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ED187E2" w14:textId="77777777" w:rsidR="003D4C15" w:rsidRPr="00B240C0" w:rsidRDefault="003D4C15" w:rsidP="00496E0E">
      <w:pPr>
        <w:pStyle w:val="Betarp"/>
        <w:spacing w:after="240"/>
        <w:jc w:val="both"/>
        <w:rPr>
          <w:rFonts w:asciiTheme="minorHAnsi" w:hAnsiTheme="minorHAnsi" w:cstheme="minorHAnsi"/>
        </w:rPr>
      </w:pPr>
    </w:p>
    <w:p w14:paraId="17569D08" w14:textId="77777777" w:rsidR="003D4C15" w:rsidRPr="00B240C0" w:rsidRDefault="003D4C15" w:rsidP="00496E0E">
      <w:pPr>
        <w:pStyle w:val="Betarp"/>
        <w:spacing w:after="240"/>
        <w:jc w:val="both"/>
        <w:rPr>
          <w:rFonts w:asciiTheme="minorHAnsi" w:hAnsiTheme="minorHAnsi" w:cstheme="minorHAnsi"/>
        </w:rPr>
      </w:pPr>
    </w:p>
    <w:p w14:paraId="70D2EAA9" w14:textId="77777777" w:rsidR="00A4671F" w:rsidRPr="00B240C0" w:rsidRDefault="00A4671F" w:rsidP="00496E0E">
      <w:pPr>
        <w:pStyle w:val="Betarp"/>
        <w:spacing w:after="1440"/>
        <w:ind w:left="1296" w:hanging="1296"/>
        <w:jc w:val="center"/>
        <w:rPr>
          <w:rFonts w:asciiTheme="minorHAnsi" w:hAnsiTheme="minorHAnsi" w:cstheme="minorHAnsi"/>
          <w:lang w:eastAsia="lt-LT"/>
        </w:rPr>
      </w:pPr>
    </w:p>
    <w:p w14:paraId="66813C6B" w14:textId="77777777" w:rsidR="003D4C15" w:rsidRPr="00B240C0" w:rsidRDefault="003D4C15" w:rsidP="00496E0E">
      <w:pPr>
        <w:pStyle w:val="Betarp"/>
        <w:spacing w:after="1440"/>
        <w:ind w:left="1296" w:hanging="1296"/>
        <w:jc w:val="center"/>
        <w:rPr>
          <w:rFonts w:asciiTheme="minorHAnsi" w:hAnsiTheme="minorHAnsi" w:cstheme="minorHAnsi"/>
        </w:rPr>
      </w:pPr>
      <w:r w:rsidRPr="00B240C0">
        <w:rPr>
          <w:rFonts w:asciiTheme="minorHAnsi" w:hAnsiTheme="minorHAnsi" w:cstheme="minorHAnsi"/>
          <w:noProof/>
          <w:lang w:eastAsia="lt-LT"/>
        </w:rPr>
        <w:drawing>
          <wp:inline distT="0" distB="0" distL="0" distR="0" wp14:anchorId="56558103" wp14:editId="29433013">
            <wp:extent cx="3084830" cy="2106930"/>
            <wp:effectExtent l="1905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3084830" cy="2106930"/>
                    </a:xfrm>
                    <a:prstGeom prst="rect">
                      <a:avLst/>
                    </a:prstGeom>
                    <a:noFill/>
                    <a:ln w="9525">
                      <a:noFill/>
                      <a:miter lim="800000"/>
                      <a:headEnd/>
                      <a:tailEnd/>
                    </a:ln>
                  </pic:spPr>
                </pic:pic>
              </a:graphicData>
            </a:graphic>
          </wp:inline>
        </w:drawing>
      </w:r>
      <w:r w:rsidR="00614B0B" w:rsidRPr="00B240C0">
        <w:rPr>
          <w:rFonts w:asciiTheme="minorHAnsi" w:hAnsiTheme="minorHAnsi" w:cstheme="minorHAnsi"/>
          <w:noProof/>
          <w:lang w:eastAsia="lt-LT"/>
        </w:rPr>
        <mc:AlternateContent>
          <mc:Choice Requires="wps">
            <w:drawing>
              <wp:anchor distT="0" distB="0" distL="114300" distR="114300" simplePos="0" relativeHeight="251660288" behindDoc="0" locked="0" layoutInCell="0" allowOverlap="1" wp14:anchorId="11981688" wp14:editId="12A519C7">
                <wp:simplePos x="0" y="0"/>
                <wp:positionH relativeFrom="page">
                  <wp:posOffset>-302895</wp:posOffset>
                </wp:positionH>
                <wp:positionV relativeFrom="page">
                  <wp:posOffset>10160</wp:posOffset>
                </wp:positionV>
                <wp:extent cx="7921625" cy="625475"/>
                <wp:effectExtent l="0" t="0" r="5715" b="0"/>
                <wp:wrapNone/>
                <wp:docPr id="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31849B"/>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5F0ED16A" id="Rectangle 7" o:spid="_x0000_s1026" style="position:absolute;margin-left:-23.85pt;margin-top:.8pt;width:623.75pt;height:49.25pt;z-index:251660288;visibility:visible;mso-wrap-style:square;mso-width-percent:1050;mso-height-percent:900;mso-wrap-distance-left:9pt;mso-wrap-distance-top:0;mso-wrap-distance-right:9pt;mso-wrap-distance-bottom:0;mso-position-horizontal:absolute;mso-position-horizontal-relative:page;mso-position-vertical:absolute;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" o:allowincell="f" fillcolor="#365f91" strokecolor="#31849b">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59264" behindDoc="0" locked="0" layoutInCell="0" allowOverlap="1" wp14:anchorId="62DAADE0" wp14:editId="7A4D4842">
                <wp:simplePos x="0" y="0"/>
                <wp:positionH relativeFrom="page">
                  <wp:align>center</wp:align>
                </wp:positionH>
                <wp:positionV relativeFrom="page">
                  <wp:align>bottom</wp:align>
                </wp:positionV>
                <wp:extent cx="7921625" cy="625475"/>
                <wp:effectExtent l="0" t="0" r="5715" b="0"/>
                <wp:wrapNone/>
                <wp:docPr id="4"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921625" cy="625475"/>
                        </a:xfrm>
                        <a:prstGeom prst="rect">
                          <a:avLst/>
                        </a:prstGeom>
                        <a:solidFill>
                          <a:srgbClr val="365F91"/>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105000</wp14:pctWidth>
                </wp14:sizeRelH>
                <wp14:sizeRelV relativeFrom="topMargin">
                  <wp14:pctHeight>90000</wp14:pctHeight>
                </wp14:sizeRelV>
              </wp:anchor>
            </w:drawing>
          </mc:Choice>
          <mc:Fallback>
            <w:pict>
              <v:rect w14:anchorId="0BB0D123" id="Rectangle 6" o:spid="_x0000_s1026" style="position:absolute;margin-left:0;margin-top:0;width:623.75pt;height:49.25pt;z-index:251659264;visibility:visible;mso-wrap-style:square;mso-width-percent:1050;mso-height-percent:900;mso-wrap-distance-left:9pt;mso-wrap-distance-top:0;mso-wrap-distance-right:9pt;mso-wrap-distance-bottom:0;mso-position-horizontal:center;mso-position-horizontal-relative:page;mso-position-vertical:bottom;mso-position-vertical-relative:page;mso-width-percent:1050;mso-height-percent:900;mso-width-relative:page;mso-height-relative:top-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" o:allowincell="f" fillcolor="#365f91"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2336" behindDoc="0" locked="0" layoutInCell="0" allowOverlap="1" wp14:anchorId="01D9FCAC" wp14:editId="22BF0D28">
                <wp:simplePos x="0" y="0"/>
                <wp:positionH relativeFrom="page">
                  <wp:posOffset>494665</wp:posOffset>
                </wp:positionH>
                <wp:positionV relativeFrom="page">
                  <wp:posOffset>-262255</wp:posOffset>
                </wp:positionV>
                <wp:extent cx="90805" cy="11199495"/>
                <wp:effectExtent l="0" t="0" r="4445" b="0"/>
                <wp:wrapNone/>
                <wp:docPr id="3"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23502C55" id="Rectangle 9" o:spid="_x0000_s1026" style="position:absolute;margin-left:38.95pt;margin-top:-20.65pt;width:7.15pt;height:881.85pt;z-index:251662336;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" o:allowincell="f" strokecolor="#17365d">
                <w10:wrap anchorx="page" anchory="page"/>
              </v:rect>
            </w:pict>
          </mc:Fallback>
        </mc:AlternateContent>
      </w:r>
      <w:r w:rsidR="00614B0B" w:rsidRPr="00B240C0">
        <w:rPr>
          <w:rFonts w:asciiTheme="minorHAnsi" w:hAnsiTheme="minorHAnsi" w:cstheme="minorHAnsi"/>
          <w:noProof/>
          <w:lang w:eastAsia="lt-LT"/>
        </w:rPr>
        <mc:AlternateContent>
          <mc:Choice Requires="wps">
            <w:drawing>
              <wp:anchor distT="0" distB="0" distL="114300" distR="114300" simplePos="0" relativeHeight="251661312" behindDoc="0" locked="0" layoutInCell="0" allowOverlap="1" wp14:anchorId="166873A1" wp14:editId="4028A587">
                <wp:simplePos x="0" y="0"/>
                <wp:positionH relativeFrom="page">
                  <wp:posOffset>7244715</wp:posOffset>
                </wp:positionH>
                <wp:positionV relativeFrom="page">
                  <wp:posOffset>-262255</wp:posOffset>
                </wp:positionV>
                <wp:extent cx="90805" cy="11199495"/>
                <wp:effectExtent l="0" t="0" r="4445" b="0"/>
                <wp:wrapNone/>
                <wp:docPr id="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0805" cy="11199495"/>
                        </a:xfrm>
                        <a:prstGeom prst="rect">
                          <a:avLst/>
                        </a:prstGeom>
                        <a:solidFill>
                          <a:srgbClr val="FFFFFF"/>
                        </a:solidFill>
                        <a:ln w="9525">
                          <a:solidFill>
                            <a:srgbClr val="17365D"/>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105000</wp14:pctHeight>
                </wp14:sizeRelV>
              </wp:anchor>
            </w:drawing>
          </mc:Choice>
          <mc:Fallback>
            <w:pict>
              <v:rect w14:anchorId="3DE6C875" id="Rectangle 8" o:spid="_x0000_s1026" style="position:absolute;margin-left:570.45pt;margin-top:-20.65pt;width:7.15pt;height:881.85pt;z-index:251661312;visibility:visible;mso-wrap-style:square;mso-width-percent:0;mso-height-percent:1050;mso-wrap-distance-left:9pt;mso-wrap-distance-top:0;mso-wrap-distance-right:9pt;mso-wrap-distance-bottom:0;mso-position-horizontal:absolute;mso-position-horizontal-relative:page;mso-position-vertical:absolute;mso-position-vertical-relative:page;mso-width-percent:0;mso-height-percent:10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" o:allowincell="f" strokecolor="#17365d">
                <w10:wrap anchorx="page" anchory="page"/>
              </v:rect>
            </w:pict>
          </mc:Fallback>
        </mc:AlternateContent>
      </w:r>
    </w:p>
    <w:p w14:paraId="06F7CBC9" w14:textId="77777777" w:rsidR="003D4C15" w:rsidRPr="00EF63E3" w:rsidRDefault="003D4C15" w:rsidP="00496E0E">
      <w:pPr>
        <w:pStyle w:val="Betarp"/>
        <w:jc w:val="center"/>
        <w:rPr>
          <w:rFonts w:asciiTheme="minorHAnsi" w:hAnsiTheme="minorHAnsi" w:cstheme="minorHAnsi"/>
          <w:smallCaps/>
          <w:sz w:val="52"/>
          <w:szCs w:val="52"/>
        </w:rPr>
      </w:pPr>
      <w:r w:rsidRPr="00EF63E3">
        <w:rPr>
          <w:rFonts w:asciiTheme="minorHAnsi" w:hAnsiTheme="minorHAnsi" w:cstheme="minorHAnsi"/>
          <w:smallCaps/>
          <w:sz w:val="52"/>
          <w:szCs w:val="52"/>
        </w:rPr>
        <w:t>Lietuvos vyriausiojo administracinio teismo praktikos apžvalga</w:t>
      </w:r>
    </w:p>
    <w:p w14:paraId="6B519B9C" w14:textId="70E9BF68" w:rsidR="003D4C15" w:rsidRPr="00EF63E3" w:rsidRDefault="003D4C15" w:rsidP="00496E0E">
      <w:pPr>
        <w:pStyle w:val="Betarp"/>
        <w:jc w:val="center"/>
        <w:rPr>
          <w:rFonts w:asciiTheme="minorHAnsi" w:hAnsiTheme="minorHAnsi" w:cstheme="minorHAnsi"/>
          <w:b/>
          <w:smallCaps/>
          <w:sz w:val="32"/>
          <w:szCs w:val="32"/>
          <w:u w:val="double"/>
        </w:rPr>
      </w:pPr>
      <w:bookmarkStart w:id="0" w:name="_Toc328035733"/>
      <w:bookmarkStart w:id="1" w:name="_Toc329780677"/>
      <w:bookmarkStart w:id="2" w:name="_Toc329787755"/>
      <w:bookmarkStart w:id="3" w:name="_Toc329790165"/>
      <w:bookmarkStart w:id="4" w:name="_Toc330304784"/>
      <w:bookmarkStart w:id="5" w:name="_Toc331487542"/>
      <w:r w:rsidRPr="00EF63E3">
        <w:rPr>
          <w:rFonts w:asciiTheme="minorHAnsi" w:hAnsiTheme="minorHAnsi" w:cstheme="minorHAnsi"/>
          <w:b/>
          <w:smallCaps/>
          <w:sz w:val="32"/>
          <w:szCs w:val="32"/>
          <w:u w:val="double"/>
        </w:rPr>
        <w:t>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 </w:t>
      </w:r>
      <w:r w:rsidR="00D76017">
        <w:rPr>
          <w:rFonts w:asciiTheme="minorHAnsi" w:hAnsiTheme="minorHAnsi" w:cstheme="minorHAnsi"/>
          <w:b/>
          <w:smallCaps/>
          <w:sz w:val="32"/>
          <w:szCs w:val="32"/>
          <w:u w:val="double"/>
        </w:rPr>
        <w:t>gruodžio</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1 d. – 201</w:t>
      </w:r>
      <w:r w:rsidR="00381934">
        <w:rPr>
          <w:rFonts w:asciiTheme="minorHAnsi" w:hAnsiTheme="minorHAnsi" w:cstheme="minorHAnsi"/>
          <w:b/>
          <w:smallCaps/>
          <w:sz w:val="32"/>
          <w:szCs w:val="32"/>
          <w:u w:val="double"/>
        </w:rPr>
        <w:t>9</w:t>
      </w:r>
      <w:r w:rsidRPr="00EF63E3">
        <w:rPr>
          <w:rFonts w:asciiTheme="minorHAnsi" w:hAnsiTheme="minorHAnsi" w:cstheme="minorHAnsi"/>
          <w:b/>
          <w:smallCaps/>
          <w:sz w:val="32"/>
          <w:szCs w:val="32"/>
          <w:u w:val="double"/>
        </w:rPr>
        <w:t xml:space="preserve"> m.</w:t>
      </w:r>
      <w:r w:rsidR="000F1C77" w:rsidRPr="00EF63E3">
        <w:rPr>
          <w:rFonts w:asciiTheme="minorHAnsi" w:hAnsiTheme="minorHAnsi" w:cstheme="minorHAnsi"/>
          <w:b/>
          <w:smallCaps/>
          <w:sz w:val="32"/>
          <w:szCs w:val="32"/>
          <w:u w:val="double"/>
        </w:rPr>
        <w:t xml:space="preserve"> </w:t>
      </w:r>
      <w:r w:rsidR="00D76017">
        <w:rPr>
          <w:rFonts w:asciiTheme="minorHAnsi" w:hAnsiTheme="minorHAnsi" w:cstheme="minorHAnsi"/>
          <w:b/>
          <w:smallCaps/>
          <w:sz w:val="32"/>
          <w:szCs w:val="32"/>
          <w:u w:val="double"/>
        </w:rPr>
        <w:t>gruodžio</w:t>
      </w:r>
      <w:r w:rsidR="009623D0">
        <w:rPr>
          <w:rFonts w:asciiTheme="minorHAnsi" w:hAnsiTheme="minorHAnsi" w:cstheme="minorHAnsi"/>
          <w:b/>
          <w:smallCaps/>
          <w:sz w:val="32"/>
          <w:szCs w:val="32"/>
          <w:u w:val="double"/>
        </w:rPr>
        <w:t xml:space="preserve"> </w:t>
      </w:r>
      <w:r w:rsidR="00B1030A">
        <w:rPr>
          <w:rFonts w:asciiTheme="minorHAnsi" w:hAnsiTheme="minorHAnsi" w:cstheme="minorHAnsi"/>
          <w:b/>
          <w:smallCaps/>
          <w:sz w:val="32"/>
          <w:szCs w:val="32"/>
          <w:u w:val="double"/>
        </w:rPr>
        <w:t>3</w:t>
      </w:r>
      <w:r w:rsidR="00D76017">
        <w:rPr>
          <w:rFonts w:asciiTheme="minorHAnsi" w:hAnsiTheme="minorHAnsi" w:cstheme="minorHAnsi"/>
          <w:b/>
          <w:smallCaps/>
          <w:sz w:val="32"/>
          <w:szCs w:val="32"/>
          <w:u w:val="double"/>
        </w:rPr>
        <w:t>1</w:t>
      </w:r>
      <w:r w:rsidR="000F1C77" w:rsidRPr="00EF63E3">
        <w:rPr>
          <w:rFonts w:asciiTheme="minorHAnsi" w:hAnsiTheme="minorHAnsi" w:cstheme="minorHAnsi"/>
          <w:b/>
          <w:smallCaps/>
          <w:sz w:val="32"/>
          <w:szCs w:val="32"/>
          <w:u w:val="double"/>
        </w:rPr>
        <w:t xml:space="preserve"> </w:t>
      </w:r>
      <w:r w:rsidRPr="00EF63E3">
        <w:rPr>
          <w:rFonts w:asciiTheme="minorHAnsi" w:hAnsiTheme="minorHAnsi" w:cstheme="minorHAnsi"/>
          <w:b/>
          <w:smallCaps/>
          <w:sz w:val="32"/>
          <w:szCs w:val="32"/>
          <w:u w:val="double"/>
        </w:rPr>
        <w:t>d.</w:t>
      </w:r>
      <w:bookmarkEnd w:id="0"/>
      <w:bookmarkEnd w:id="1"/>
      <w:bookmarkEnd w:id="2"/>
      <w:bookmarkEnd w:id="3"/>
      <w:bookmarkEnd w:id="4"/>
      <w:bookmarkEnd w:id="5"/>
    </w:p>
    <w:p w14:paraId="34CB955A" w14:textId="77777777" w:rsidR="003D4C15" w:rsidRPr="00EF63E3" w:rsidRDefault="003D4C15" w:rsidP="00496E0E">
      <w:pPr>
        <w:jc w:val="both"/>
        <w:rPr>
          <w:rFonts w:asciiTheme="minorHAnsi" w:hAnsiTheme="minorHAnsi" w:cstheme="minorHAnsi"/>
          <w:b/>
          <w:smallCaps/>
          <w:sz w:val="32"/>
          <w:szCs w:val="32"/>
        </w:rPr>
      </w:pPr>
    </w:p>
    <w:p w14:paraId="012D63E8" w14:textId="77777777" w:rsidR="003D4C15" w:rsidRPr="00B240C0" w:rsidRDefault="003D4C15" w:rsidP="00496E0E">
      <w:pPr>
        <w:jc w:val="both"/>
        <w:rPr>
          <w:rFonts w:asciiTheme="minorHAnsi" w:hAnsiTheme="minorHAnsi" w:cstheme="minorHAnsi"/>
          <w:b/>
          <w:smallCaps/>
          <w:sz w:val="22"/>
          <w:szCs w:val="22"/>
        </w:rPr>
      </w:pPr>
    </w:p>
    <w:p w14:paraId="455E7653" w14:textId="77777777" w:rsidR="003D4C15" w:rsidRPr="00B240C0" w:rsidRDefault="003D4C15" w:rsidP="00496E0E">
      <w:pPr>
        <w:jc w:val="both"/>
        <w:rPr>
          <w:rFonts w:asciiTheme="minorHAnsi" w:hAnsiTheme="minorHAnsi" w:cstheme="minorHAnsi"/>
          <w:b/>
          <w:smallCaps/>
          <w:sz w:val="22"/>
          <w:szCs w:val="22"/>
        </w:rPr>
      </w:pPr>
    </w:p>
    <w:p w14:paraId="53EE2D16" w14:textId="77777777" w:rsidR="003D4C15" w:rsidRPr="00B240C0" w:rsidRDefault="003D4C15" w:rsidP="00496E0E">
      <w:pPr>
        <w:jc w:val="both"/>
        <w:rPr>
          <w:rFonts w:asciiTheme="minorHAnsi" w:hAnsiTheme="minorHAnsi" w:cstheme="minorHAnsi"/>
          <w:b/>
          <w:smallCaps/>
          <w:sz w:val="22"/>
          <w:szCs w:val="22"/>
        </w:rPr>
      </w:pPr>
    </w:p>
    <w:p w14:paraId="73448F9D" w14:textId="77777777" w:rsidR="003D4C15" w:rsidRPr="00B240C0" w:rsidRDefault="003D4C15" w:rsidP="00496E0E">
      <w:pPr>
        <w:jc w:val="both"/>
        <w:rPr>
          <w:rFonts w:asciiTheme="minorHAnsi" w:hAnsiTheme="minorHAnsi" w:cstheme="minorHAnsi"/>
          <w:b/>
          <w:smallCaps/>
          <w:sz w:val="22"/>
          <w:szCs w:val="22"/>
        </w:rPr>
      </w:pPr>
    </w:p>
    <w:p w14:paraId="28466615" w14:textId="77777777" w:rsidR="003D4C15" w:rsidRPr="00B240C0" w:rsidRDefault="003D4C15" w:rsidP="00496E0E">
      <w:pPr>
        <w:jc w:val="both"/>
        <w:rPr>
          <w:rFonts w:asciiTheme="minorHAnsi" w:hAnsiTheme="minorHAnsi" w:cstheme="minorHAnsi"/>
          <w:b/>
          <w:smallCaps/>
          <w:sz w:val="22"/>
          <w:szCs w:val="22"/>
        </w:rPr>
      </w:pPr>
    </w:p>
    <w:p w14:paraId="2FC70AC6" w14:textId="77777777" w:rsidR="003D4C15" w:rsidRPr="00B240C0" w:rsidRDefault="003D4C15" w:rsidP="00496E0E">
      <w:pPr>
        <w:jc w:val="both"/>
        <w:rPr>
          <w:rFonts w:asciiTheme="minorHAnsi" w:hAnsiTheme="minorHAnsi" w:cstheme="minorHAnsi"/>
          <w:b/>
          <w:smallCaps/>
          <w:sz w:val="22"/>
          <w:szCs w:val="22"/>
        </w:rPr>
      </w:pPr>
    </w:p>
    <w:p w14:paraId="01F50AED" w14:textId="77777777" w:rsidR="003D4C15" w:rsidRPr="00B240C0" w:rsidRDefault="003D4C15" w:rsidP="00496E0E">
      <w:pPr>
        <w:jc w:val="both"/>
        <w:rPr>
          <w:rFonts w:asciiTheme="minorHAnsi" w:hAnsiTheme="minorHAnsi" w:cstheme="minorHAnsi"/>
          <w:b/>
          <w:smallCaps/>
          <w:sz w:val="22"/>
          <w:szCs w:val="22"/>
        </w:rPr>
      </w:pPr>
    </w:p>
    <w:p w14:paraId="30B0D408" w14:textId="77777777" w:rsidR="003D4C15" w:rsidRPr="00B240C0" w:rsidRDefault="003D4C15" w:rsidP="00496E0E">
      <w:pPr>
        <w:jc w:val="both"/>
        <w:rPr>
          <w:rFonts w:asciiTheme="minorHAnsi" w:hAnsiTheme="minorHAnsi" w:cstheme="minorHAnsi"/>
          <w:b/>
          <w:smallCaps/>
          <w:sz w:val="22"/>
          <w:szCs w:val="22"/>
        </w:rPr>
      </w:pPr>
    </w:p>
    <w:p w14:paraId="0AC2F7A6" w14:textId="77777777" w:rsidR="003D4C15" w:rsidRPr="00B240C0" w:rsidRDefault="003D4C15" w:rsidP="00496E0E">
      <w:pPr>
        <w:jc w:val="both"/>
        <w:rPr>
          <w:rFonts w:asciiTheme="minorHAnsi" w:hAnsiTheme="minorHAnsi" w:cstheme="minorHAnsi"/>
          <w:b/>
          <w:smallCaps/>
          <w:sz w:val="22"/>
          <w:szCs w:val="22"/>
        </w:rPr>
      </w:pPr>
    </w:p>
    <w:p w14:paraId="74A36362" w14:textId="77777777" w:rsidR="003D4C15" w:rsidRPr="00B240C0" w:rsidRDefault="003D4C15" w:rsidP="00496E0E">
      <w:pPr>
        <w:jc w:val="both"/>
        <w:rPr>
          <w:rFonts w:asciiTheme="minorHAnsi" w:hAnsiTheme="minorHAnsi" w:cstheme="minorHAnsi"/>
          <w:b/>
          <w:smallCaps/>
          <w:sz w:val="22"/>
          <w:szCs w:val="22"/>
        </w:rPr>
      </w:pPr>
    </w:p>
    <w:p w14:paraId="3B289CC4" w14:textId="77777777" w:rsidR="003D4C15" w:rsidRPr="00B240C0" w:rsidRDefault="003D4C15" w:rsidP="00496E0E">
      <w:pPr>
        <w:jc w:val="both"/>
        <w:rPr>
          <w:rFonts w:asciiTheme="minorHAnsi" w:hAnsiTheme="minorHAnsi" w:cstheme="minorHAnsi"/>
          <w:b/>
          <w:smallCaps/>
          <w:sz w:val="22"/>
          <w:szCs w:val="22"/>
        </w:rPr>
      </w:pPr>
    </w:p>
    <w:p w14:paraId="2012CFEA" w14:textId="77777777" w:rsidR="003D4C15" w:rsidRPr="00B240C0" w:rsidRDefault="003D4C15" w:rsidP="00496E0E">
      <w:pPr>
        <w:jc w:val="both"/>
        <w:rPr>
          <w:rFonts w:asciiTheme="minorHAnsi" w:hAnsiTheme="minorHAnsi" w:cstheme="minorHAnsi"/>
          <w:b/>
          <w:smallCaps/>
          <w:sz w:val="22"/>
          <w:szCs w:val="22"/>
        </w:rPr>
      </w:pPr>
    </w:p>
    <w:p w14:paraId="0CBF0D24" w14:textId="77777777" w:rsidR="003D4C15" w:rsidRPr="00B240C0" w:rsidRDefault="003D4C15" w:rsidP="00496E0E">
      <w:pPr>
        <w:jc w:val="both"/>
        <w:rPr>
          <w:rFonts w:asciiTheme="minorHAnsi" w:hAnsiTheme="minorHAnsi" w:cstheme="minorHAnsi"/>
          <w:b/>
          <w:smallCaps/>
          <w:sz w:val="22"/>
          <w:szCs w:val="22"/>
        </w:rPr>
      </w:pPr>
    </w:p>
    <w:p w14:paraId="1867DC59" w14:textId="77777777" w:rsidR="003D4C15" w:rsidRPr="00B240C0" w:rsidRDefault="003D4C15" w:rsidP="00496E0E">
      <w:pPr>
        <w:jc w:val="both"/>
        <w:rPr>
          <w:rFonts w:asciiTheme="minorHAnsi" w:hAnsiTheme="minorHAnsi" w:cstheme="minorHAnsi"/>
          <w:b/>
          <w:smallCaps/>
          <w:sz w:val="22"/>
          <w:szCs w:val="22"/>
        </w:rPr>
      </w:pPr>
    </w:p>
    <w:p w14:paraId="637CF3A2" w14:textId="77777777" w:rsidR="003D4C15" w:rsidRPr="00EF63E3" w:rsidRDefault="003D4C15" w:rsidP="00496E0E">
      <w:pPr>
        <w:jc w:val="center"/>
        <w:rPr>
          <w:rFonts w:asciiTheme="minorHAnsi" w:hAnsiTheme="minorHAnsi" w:cstheme="minorHAnsi"/>
          <w:b/>
          <w:smallCaps/>
          <w:sz w:val="28"/>
          <w:szCs w:val="28"/>
        </w:rPr>
      </w:pPr>
      <w:r w:rsidRPr="00EF63E3">
        <w:rPr>
          <w:rFonts w:asciiTheme="minorHAnsi" w:hAnsiTheme="minorHAnsi" w:cstheme="minorHAnsi"/>
          <w:b/>
          <w:smallCaps/>
          <w:sz w:val="28"/>
          <w:szCs w:val="28"/>
        </w:rPr>
        <w:t>Apžvalgą parengė Lietuvos vyriausiojo administracinio teismo</w:t>
      </w:r>
    </w:p>
    <w:p w14:paraId="4B9B7B9F" w14:textId="0245E218" w:rsidR="003D4C15" w:rsidRPr="00B240C0" w:rsidRDefault="003D4C15" w:rsidP="00496E0E">
      <w:pPr>
        <w:jc w:val="center"/>
        <w:rPr>
          <w:rFonts w:asciiTheme="minorHAnsi" w:hAnsiTheme="minorHAnsi" w:cstheme="minorHAnsi"/>
          <w:sz w:val="22"/>
          <w:szCs w:val="22"/>
        </w:rPr>
      </w:pPr>
      <w:r w:rsidRPr="00EF63E3">
        <w:rPr>
          <w:rFonts w:asciiTheme="minorHAnsi" w:hAnsiTheme="minorHAnsi" w:cstheme="minorHAnsi"/>
          <w:b/>
          <w:smallCaps/>
          <w:sz w:val="28"/>
          <w:szCs w:val="28"/>
        </w:rPr>
        <w:t>T</w:t>
      </w:r>
      <w:r w:rsidR="0016762E" w:rsidRPr="00EF63E3">
        <w:rPr>
          <w:rFonts w:asciiTheme="minorHAnsi" w:hAnsiTheme="minorHAnsi" w:cstheme="minorHAnsi"/>
          <w:b/>
          <w:smallCaps/>
          <w:sz w:val="28"/>
          <w:szCs w:val="28"/>
        </w:rPr>
        <w:t xml:space="preserve">eismų praktikos </w:t>
      </w:r>
      <w:r w:rsidRPr="00EF63E3">
        <w:rPr>
          <w:rFonts w:asciiTheme="minorHAnsi" w:hAnsiTheme="minorHAnsi" w:cstheme="minorHAnsi"/>
          <w:b/>
          <w:smallCaps/>
          <w:sz w:val="28"/>
          <w:szCs w:val="28"/>
        </w:rPr>
        <w:t>departamentas</w:t>
      </w:r>
      <w:r w:rsidRPr="00B240C0">
        <w:rPr>
          <w:rFonts w:asciiTheme="minorHAnsi" w:hAnsiTheme="minorHAnsi" w:cstheme="minorHAnsi"/>
          <w:smallCaps/>
          <w:sz w:val="22"/>
          <w:szCs w:val="22"/>
        </w:rPr>
        <w:br w:type="page"/>
      </w:r>
      <w:bookmarkStart w:id="6" w:name="_Hlk529270320"/>
      <w:bookmarkStart w:id="7" w:name="_Toc120597382"/>
      <w:r w:rsidRPr="00B240C0">
        <w:rPr>
          <w:rFonts w:asciiTheme="minorHAnsi" w:hAnsiTheme="minorHAnsi" w:cstheme="minorHAnsi"/>
          <w:b/>
          <w:sz w:val="22"/>
          <w:szCs w:val="22"/>
        </w:rPr>
        <w:lastRenderedPageBreak/>
        <w:t>TURINY</w:t>
      </w:r>
      <w:r w:rsidR="00E179B2">
        <w:rPr>
          <w:rFonts w:asciiTheme="minorHAnsi" w:hAnsiTheme="minorHAnsi" w:cstheme="minorHAnsi"/>
          <w:b/>
          <w:sz w:val="22"/>
          <w:szCs w:val="22"/>
        </w:rPr>
        <w:t>S</w:t>
      </w:r>
    </w:p>
    <w:p w14:paraId="3DFA5C7B" w14:textId="6E2286AE" w:rsidR="00BF5D9A" w:rsidRDefault="00A364C6">
      <w:pPr>
        <w:pStyle w:val="Turinys1"/>
        <w:rPr>
          <w:rFonts w:eastAsiaTheme="minorEastAsia" w:cstheme="minorBidi"/>
          <w:b w:val="0"/>
          <w:bCs w:val="0"/>
          <w:caps w:val="0"/>
          <w:noProof/>
          <w:szCs w:val="22"/>
          <w:lang w:val="en-US" w:eastAsia="en-US"/>
        </w:rPr>
      </w:pPr>
      <w:r w:rsidRPr="00B240C0">
        <w:rPr>
          <w:rFonts w:cstheme="minorHAnsi"/>
          <w:szCs w:val="22"/>
        </w:rPr>
        <w:fldChar w:fldCharType="begin"/>
      </w:r>
      <w:r w:rsidR="003D4C15" w:rsidRPr="00B240C0">
        <w:rPr>
          <w:rFonts w:cstheme="minorHAnsi"/>
          <w:szCs w:val="22"/>
        </w:rPr>
        <w:instrText xml:space="preserve"> TOC \o "1-3" \h \z \u </w:instrText>
      </w:r>
      <w:r w:rsidRPr="00B240C0">
        <w:rPr>
          <w:rFonts w:cstheme="minorHAnsi"/>
          <w:szCs w:val="22"/>
        </w:rPr>
        <w:fldChar w:fldCharType="separate"/>
      </w:r>
      <w:hyperlink w:anchor="_Toc32243574" w:history="1">
        <w:r w:rsidR="00BF5D9A" w:rsidRPr="00581D8C">
          <w:rPr>
            <w:rStyle w:val="Hipersaitas"/>
            <w:rFonts w:cstheme="minorHAnsi"/>
            <w:noProof/>
          </w:rPr>
          <w:t>I. Administracinės bylos, kylančios iš ginčų dėl teisės viešojo administravimo srityje</w:t>
        </w:r>
        <w:r w:rsidR="00BF5D9A">
          <w:rPr>
            <w:noProof/>
            <w:webHidden/>
          </w:rPr>
          <w:tab/>
        </w:r>
        <w:r w:rsidR="00BF5D9A">
          <w:rPr>
            <w:noProof/>
            <w:webHidden/>
          </w:rPr>
          <w:fldChar w:fldCharType="begin"/>
        </w:r>
        <w:r w:rsidR="00BF5D9A">
          <w:rPr>
            <w:noProof/>
            <w:webHidden/>
          </w:rPr>
          <w:instrText xml:space="preserve"> PAGEREF _Toc32243574 \h </w:instrText>
        </w:r>
        <w:r w:rsidR="00BF5D9A">
          <w:rPr>
            <w:noProof/>
            <w:webHidden/>
          </w:rPr>
        </w:r>
        <w:r w:rsidR="00BF5D9A">
          <w:rPr>
            <w:noProof/>
            <w:webHidden/>
          </w:rPr>
          <w:fldChar w:fldCharType="separate"/>
        </w:r>
        <w:r w:rsidR="00BF5D9A">
          <w:rPr>
            <w:noProof/>
            <w:webHidden/>
          </w:rPr>
          <w:t>4</w:t>
        </w:r>
        <w:r w:rsidR="00BF5D9A">
          <w:rPr>
            <w:noProof/>
            <w:webHidden/>
          </w:rPr>
          <w:fldChar w:fldCharType="end"/>
        </w:r>
      </w:hyperlink>
    </w:p>
    <w:p w14:paraId="48BAA457" w14:textId="297F8B39" w:rsidR="00BF5D9A" w:rsidRDefault="00E956D9">
      <w:pPr>
        <w:pStyle w:val="Turinys1"/>
        <w:rPr>
          <w:rFonts w:eastAsiaTheme="minorEastAsia" w:cstheme="minorBidi"/>
          <w:b w:val="0"/>
          <w:bCs w:val="0"/>
          <w:caps w:val="0"/>
          <w:noProof/>
          <w:szCs w:val="22"/>
          <w:lang w:val="en-US" w:eastAsia="en-US"/>
        </w:rPr>
      </w:pPr>
      <w:hyperlink w:anchor="_Toc32243575" w:history="1">
        <w:r w:rsidR="00BF5D9A" w:rsidRPr="00581D8C">
          <w:rPr>
            <w:rStyle w:val="Hipersaitas"/>
            <w:rFonts w:cstheme="minorHAnsi"/>
            <w:noProof/>
          </w:rPr>
          <w:t>7. Socialinė apsauga</w:t>
        </w:r>
        <w:r w:rsidR="00BF5D9A">
          <w:rPr>
            <w:noProof/>
            <w:webHidden/>
          </w:rPr>
          <w:tab/>
        </w:r>
        <w:r w:rsidR="00BF5D9A">
          <w:rPr>
            <w:noProof/>
            <w:webHidden/>
          </w:rPr>
          <w:fldChar w:fldCharType="begin"/>
        </w:r>
        <w:r w:rsidR="00BF5D9A">
          <w:rPr>
            <w:noProof/>
            <w:webHidden/>
          </w:rPr>
          <w:instrText xml:space="preserve"> PAGEREF _Toc32243575 \h </w:instrText>
        </w:r>
        <w:r w:rsidR="00BF5D9A">
          <w:rPr>
            <w:noProof/>
            <w:webHidden/>
          </w:rPr>
        </w:r>
        <w:r w:rsidR="00BF5D9A">
          <w:rPr>
            <w:noProof/>
            <w:webHidden/>
          </w:rPr>
          <w:fldChar w:fldCharType="separate"/>
        </w:r>
        <w:r w:rsidR="00BF5D9A">
          <w:rPr>
            <w:noProof/>
            <w:webHidden/>
          </w:rPr>
          <w:t>4</w:t>
        </w:r>
        <w:r w:rsidR="00BF5D9A">
          <w:rPr>
            <w:noProof/>
            <w:webHidden/>
          </w:rPr>
          <w:fldChar w:fldCharType="end"/>
        </w:r>
      </w:hyperlink>
    </w:p>
    <w:p w14:paraId="3B3F6649" w14:textId="3EF1A056" w:rsidR="00BF5D9A" w:rsidRDefault="00E956D9">
      <w:pPr>
        <w:pStyle w:val="Turinys2"/>
        <w:rPr>
          <w:rFonts w:eastAsiaTheme="minorEastAsia" w:cstheme="minorBidi"/>
          <w:i w:val="0"/>
          <w:noProof/>
          <w:szCs w:val="22"/>
          <w:lang w:val="en-US" w:eastAsia="en-US"/>
        </w:rPr>
      </w:pPr>
      <w:hyperlink w:anchor="_Toc32243576" w:history="1">
        <w:r w:rsidR="00BF5D9A" w:rsidRPr="00581D8C">
          <w:rPr>
            <w:rStyle w:val="Hipersaitas"/>
            <w:noProof/>
          </w:rPr>
          <w:t>Dėl tinkamo savivaldybės administracijos informavimo apie pasikeitusias aplinkybes, turinčias reikšmės šalpos išmokos mokėjimui</w:t>
        </w:r>
        <w:r w:rsidR="00BF5D9A">
          <w:rPr>
            <w:noProof/>
            <w:webHidden/>
          </w:rPr>
          <w:tab/>
        </w:r>
        <w:r w:rsidR="00BF5D9A">
          <w:rPr>
            <w:noProof/>
            <w:webHidden/>
          </w:rPr>
          <w:fldChar w:fldCharType="begin"/>
        </w:r>
        <w:r w:rsidR="00BF5D9A">
          <w:rPr>
            <w:noProof/>
            <w:webHidden/>
          </w:rPr>
          <w:instrText xml:space="preserve"> PAGEREF _Toc32243576 \h </w:instrText>
        </w:r>
        <w:r w:rsidR="00BF5D9A">
          <w:rPr>
            <w:noProof/>
            <w:webHidden/>
          </w:rPr>
        </w:r>
        <w:r w:rsidR="00BF5D9A">
          <w:rPr>
            <w:noProof/>
            <w:webHidden/>
          </w:rPr>
          <w:fldChar w:fldCharType="separate"/>
        </w:r>
        <w:r w:rsidR="00BF5D9A">
          <w:rPr>
            <w:noProof/>
            <w:webHidden/>
          </w:rPr>
          <w:t>4</w:t>
        </w:r>
        <w:r w:rsidR="00BF5D9A">
          <w:rPr>
            <w:noProof/>
            <w:webHidden/>
          </w:rPr>
          <w:fldChar w:fldCharType="end"/>
        </w:r>
      </w:hyperlink>
    </w:p>
    <w:p w14:paraId="0A43DFB5" w14:textId="0454BD7B" w:rsidR="00BF5D9A" w:rsidRDefault="00E956D9">
      <w:pPr>
        <w:pStyle w:val="Turinys1"/>
        <w:rPr>
          <w:rFonts w:eastAsiaTheme="minorEastAsia" w:cstheme="minorBidi"/>
          <w:b w:val="0"/>
          <w:bCs w:val="0"/>
          <w:caps w:val="0"/>
          <w:noProof/>
          <w:szCs w:val="22"/>
          <w:lang w:val="en-US" w:eastAsia="en-US"/>
        </w:rPr>
      </w:pPr>
      <w:hyperlink w:anchor="_Toc32243577" w:history="1">
        <w:r w:rsidR="00BF5D9A" w:rsidRPr="00581D8C">
          <w:rPr>
            <w:rStyle w:val="Hipersaitas"/>
            <w:rFonts w:ascii="Calibri" w:hAnsi="Calibri"/>
            <w:noProof/>
          </w:rPr>
          <w:t>8. Užsieniečių teisinė padėtis</w:t>
        </w:r>
        <w:r w:rsidR="00BF5D9A">
          <w:rPr>
            <w:noProof/>
            <w:webHidden/>
          </w:rPr>
          <w:tab/>
        </w:r>
        <w:r w:rsidR="00BF5D9A">
          <w:rPr>
            <w:noProof/>
            <w:webHidden/>
          </w:rPr>
          <w:fldChar w:fldCharType="begin"/>
        </w:r>
        <w:r w:rsidR="00BF5D9A">
          <w:rPr>
            <w:noProof/>
            <w:webHidden/>
          </w:rPr>
          <w:instrText xml:space="preserve"> PAGEREF _Toc32243577 \h </w:instrText>
        </w:r>
        <w:r w:rsidR="00BF5D9A">
          <w:rPr>
            <w:noProof/>
            <w:webHidden/>
          </w:rPr>
        </w:r>
        <w:r w:rsidR="00BF5D9A">
          <w:rPr>
            <w:noProof/>
            <w:webHidden/>
          </w:rPr>
          <w:fldChar w:fldCharType="separate"/>
        </w:r>
        <w:r w:rsidR="00BF5D9A">
          <w:rPr>
            <w:noProof/>
            <w:webHidden/>
          </w:rPr>
          <w:t>5</w:t>
        </w:r>
        <w:r w:rsidR="00BF5D9A">
          <w:rPr>
            <w:noProof/>
            <w:webHidden/>
          </w:rPr>
          <w:fldChar w:fldCharType="end"/>
        </w:r>
      </w:hyperlink>
    </w:p>
    <w:p w14:paraId="68E9C66B" w14:textId="129ADB86" w:rsidR="00BF5D9A" w:rsidRDefault="00E956D9">
      <w:pPr>
        <w:pStyle w:val="Turinys2"/>
        <w:rPr>
          <w:rFonts w:eastAsiaTheme="minorEastAsia" w:cstheme="minorBidi"/>
          <w:i w:val="0"/>
          <w:noProof/>
          <w:szCs w:val="22"/>
          <w:lang w:val="en-US" w:eastAsia="en-US"/>
        </w:rPr>
      </w:pPr>
      <w:hyperlink w:anchor="_Toc32243578" w:history="1">
        <w:r w:rsidR="00BF5D9A" w:rsidRPr="00581D8C">
          <w:rPr>
            <w:rStyle w:val="Hipersaitas"/>
            <w:noProof/>
          </w:rPr>
          <w:t>Dėl trečiosios šalies piliečiui tenkančios pareigos pagrįsti atvykimo tikslą</w:t>
        </w:r>
        <w:r w:rsidR="00BF5D9A">
          <w:rPr>
            <w:noProof/>
            <w:webHidden/>
          </w:rPr>
          <w:tab/>
        </w:r>
        <w:r w:rsidR="00BF5D9A">
          <w:rPr>
            <w:noProof/>
            <w:webHidden/>
          </w:rPr>
          <w:fldChar w:fldCharType="begin"/>
        </w:r>
        <w:r w:rsidR="00BF5D9A">
          <w:rPr>
            <w:noProof/>
            <w:webHidden/>
          </w:rPr>
          <w:instrText xml:space="preserve"> PAGEREF _Toc32243578 \h </w:instrText>
        </w:r>
        <w:r w:rsidR="00BF5D9A">
          <w:rPr>
            <w:noProof/>
            <w:webHidden/>
          </w:rPr>
        </w:r>
        <w:r w:rsidR="00BF5D9A">
          <w:rPr>
            <w:noProof/>
            <w:webHidden/>
          </w:rPr>
          <w:fldChar w:fldCharType="separate"/>
        </w:r>
        <w:r w:rsidR="00BF5D9A">
          <w:rPr>
            <w:noProof/>
            <w:webHidden/>
          </w:rPr>
          <w:t>5</w:t>
        </w:r>
        <w:r w:rsidR="00BF5D9A">
          <w:rPr>
            <w:noProof/>
            <w:webHidden/>
          </w:rPr>
          <w:fldChar w:fldCharType="end"/>
        </w:r>
      </w:hyperlink>
    </w:p>
    <w:p w14:paraId="6B6DE264" w14:textId="17B08661" w:rsidR="00BF5D9A" w:rsidRDefault="00E956D9">
      <w:pPr>
        <w:pStyle w:val="Turinys1"/>
        <w:rPr>
          <w:rFonts w:eastAsiaTheme="minorEastAsia" w:cstheme="minorBidi"/>
          <w:b w:val="0"/>
          <w:bCs w:val="0"/>
          <w:caps w:val="0"/>
          <w:noProof/>
          <w:szCs w:val="22"/>
          <w:lang w:val="en-US" w:eastAsia="en-US"/>
        </w:rPr>
      </w:pPr>
      <w:hyperlink w:anchor="_Toc32243579" w:history="1">
        <w:r w:rsidR="00BF5D9A" w:rsidRPr="00581D8C">
          <w:rPr>
            <w:rStyle w:val="Hipersaitas"/>
            <w:rFonts w:ascii="Calibri" w:hAnsi="Calibri"/>
            <w:noProof/>
          </w:rPr>
          <w:t>9. Prieglobstis</w:t>
        </w:r>
        <w:r w:rsidR="00BF5D9A">
          <w:rPr>
            <w:noProof/>
            <w:webHidden/>
          </w:rPr>
          <w:tab/>
        </w:r>
        <w:r w:rsidR="00BF5D9A">
          <w:rPr>
            <w:noProof/>
            <w:webHidden/>
          </w:rPr>
          <w:fldChar w:fldCharType="begin"/>
        </w:r>
        <w:r w:rsidR="00BF5D9A">
          <w:rPr>
            <w:noProof/>
            <w:webHidden/>
          </w:rPr>
          <w:instrText xml:space="preserve"> PAGEREF _Toc32243579 \h </w:instrText>
        </w:r>
        <w:r w:rsidR="00BF5D9A">
          <w:rPr>
            <w:noProof/>
            <w:webHidden/>
          </w:rPr>
        </w:r>
        <w:r w:rsidR="00BF5D9A">
          <w:rPr>
            <w:noProof/>
            <w:webHidden/>
          </w:rPr>
          <w:fldChar w:fldCharType="separate"/>
        </w:r>
        <w:r w:rsidR="00BF5D9A">
          <w:rPr>
            <w:noProof/>
            <w:webHidden/>
          </w:rPr>
          <w:t>5</w:t>
        </w:r>
        <w:r w:rsidR="00BF5D9A">
          <w:rPr>
            <w:noProof/>
            <w:webHidden/>
          </w:rPr>
          <w:fldChar w:fldCharType="end"/>
        </w:r>
      </w:hyperlink>
    </w:p>
    <w:p w14:paraId="71930944" w14:textId="7DB4FD45" w:rsidR="00BF5D9A" w:rsidRDefault="00E956D9">
      <w:pPr>
        <w:pStyle w:val="Turinys2"/>
        <w:rPr>
          <w:rFonts w:eastAsiaTheme="minorEastAsia" w:cstheme="minorBidi"/>
          <w:i w:val="0"/>
          <w:noProof/>
          <w:szCs w:val="22"/>
          <w:lang w:val="en-US" w:eastAsia="en-US"/>
        </w:rPr>
      </w:pPr>
      <w:hyperlink w:anchor="_Toc32243580" w:history="1">
        <w:r w:rsidR="00BF5D9A" w:rsidRPr="00581D8C">
          <w:rPr>
            <w:rStyle w:val="Hipersaitas"/>
            <w:noProof/>
          </w:rPr>
          <w:t>Dėl atsivertimo į krikščionybę vertinimo aspektų</w:t>
        </w:r>
        <w:r w:rsidR="00BF5D9A">
          <w:rPr>
            <w:noProof/>
            <w:webHidden/>
          </w:rPr>
          <w:tab/>
        </w:r>
        <w:r w:rsidR="00BF5D9A">
          <w:rPr>
            <w:noProof/>
            <w:webHidden/>
          </w:rPr>
          <w:fldChar w:fldCharType="begin"/>
        </w:r>
        <w:r w:rsidR="00BF5D9A">
          <w:rPr>
            <w:noProof/>
            <w:webHidden/>
          </w:rPr>
          <w:instrText xml:space="preserve"> PAGEREF _Toc32243580 \h </w:instrText>
        </w:r>
        <w:r w:rsidR="00BF5D9A">
          <w:rPr>
            <w:noProof/>
            <w:webHidden/>
          </w:rPr>
        </w:r>
        <w:r w:rsidR="00BF5D9A">
          <w:rPr>
            <w:noProof/>
            <w:webHidden/>
          </w:rPr>
          <w:fldChar w:fldCharType="separate"/>
        </w:r>
        <w:r w:rsidR="00BF5D9A">
          <w:rPr>
            <w:noProof/>
            <w:webHidden/>
          </w:rPr>
          <w:t>5</w:t>
        </w:r>
        <w:r w:rsidR="00BF5D9A">
          <w:rPr>
            <w:noProof/>
            <w:webHidden/>
          </w:rPr>
          <w:fldChar w:fldCharType="end"/>
        </w:r>
      </w:hyperlink>
    </w:p>
    <w:p w14:paraId="30D7681F" w14:textId="37F41B99" w:rsidR="00BF5D9A" w:rsidRDefault="00E956D9">
      <w:pPr>
        <w:pStyle w:val="Turinys1"/>
        <w:rPr>
          <w:rFonts w:eastAsiaTheme="minorEastAsia" w:cstheme="minorBidi"/>
          <w:b w:val="0"/>
          <w:bCs w:val="0"/>
          <w:caps w:val="0"/>
          <w:noProof/>
          <w:szCs w:val="22"/>
          <w:lang w:val="en-US" w:eastAsia="en-US"/>
        </w:rPr>
      </w:pPr>
      <w:hyperlink w:anchor="_Toc32243581" w:history="1">
        <w:r w:rsidR="00BF5D9A" w:rsidRPr="00581D8C">
          <w:rPr>
            <w:rStyle w:val="Hipersaitas"/>
            <w:rFonts w:ascii="Calibri" w:hAnsi="Calibri"/>
            <w:noProof/>
          </w:rPr>
          <w:t>10. Lietuvos Respublikos pilietybė</w:t>
        </w:r>
        <w:r w:rsidR="00BF5D9A">
          <w:rPr>
            <w:noProof/>
            <w:webHidden/>
          </w:rPr>
          <w:tab/>
        </w:r>
        <w:r w:rsidR="00BF5D9A">
          <w:rPr>
            <w:noProof/>
            <w:webHidden/>
          </w:rPr>
          <w:fldChar w:fldCharType="begin"/>
        </w:r>
        <w:r w:rsidR="00BF5D9A">
          <w:rPr>
            <w:noProof/>
            <w:webHidden/>
          </w:rPr>
          <w:instrText xml:space="preserve"> PAGEREF _Toc32243581 \h </w:instrText>
        </w:r>
        <w:r w:rsidR="00BF5D9A">
          <w:rPr>
            <w:noProof/>
            <w:webHidden/>
          </w:rPr>
        </w:r>
        <w:r w:rsidR="00BF5D9A">
          <w:rPr>
            <w:noProof/>
            <w:webHidden/>
          </w:rPr>
          <w:fldChar w:fldCharType="separate"/>
        </w:r>
        <w:r w:rsidR="00BF5D9A">
          <w:rPr>
            <w:noProof/>
            <w:webHidden/>
          </w:rPr>
          <w:t>6</w:t>
        </w:r>
        <w:r w:rsidR="00BF5D9A">
          <w:rPr>
            <w:noProof/>
            <w:webHidden/>
          </w:rPr>
          <w:fldChar w:fldCharType="end"/>
        </w:r>
      </w:hyperlink>
    </w:p>
    <w:p w14:paraId="52C22ED3" w14:textId="72EBB1C4" w:rsidR="00BF5D9A" w:rsidRDefault="00E956D9">
      <w:pPr>
        <w:pStyle w:val="Turinys2"/>
        <w:rPr>
          <w:rFonts w:eastAsiaTheme="minorEastAsia" w:cstheme="minorBidi"/>
          <w:i w:val="0"/>
          <w:noProof/>
          <w:szCs w:val="22"/>
          <w:lang w:val="en-US" w:eastAsia="en-US"/>
        </w:rPr>
      </w:pPr>
      <w:hyperlink w:anchor="_Toc32243582" w:history="1">
        <w:r w:rsidR="00BF5D9A" w:rsidRPr="00581D8C">
          <w:rPr>
            <w:rStyle w:val="Hipersaitas"/>
            <w:rFonts w:ascii="Calibri" w:hAnsi="Calibri" w:cs="Calibri"/>
            <w:bCs/>
            <w:iCs/>
            <w:noProof/>
          </w:rPr>
          <w:t xml:space="preserve">Dėl Lietuvos Respublikos pilietybės atkūrimo, išlaikant turimą kitos valstybės pilietybę, sąlygų bei sąvokos </w:t>
        </w:r>
        <w:r w:rsidR="00BF5D9A" w:rsidRPr="00581D8C">
          <w:rPr>
            <w:rStyle w:val="Hipersaitas"/>
            <w:rFonts w:ascii="Calibri" w:hAnsi="Calibri"/>
            <w:noProof/>
          </w:rPr>
          <w:t>„iki 1940 m. birželio 15 d. Lietuvos Respublikos pilietybę turėjęs asmuo“ aiškinimo</w:t>
        </w:r>
        <w:r w:rsidR="00BF5D9A">
          <w:rPr>
            <w:noProof/>
            <w:webHidden/>
          </w:rPr>
          <w:tab/>
        </w:r>
        <w:r w:rsidR="00BF5D9A">
          <w:rPr>
            <w:noProof/>
            <w:webHidden/>
          </w:rPr>
          <w:fldChar w:fldCharType="begin"/>
        </w:r>
        <w:r w:rsidR="00BF5D9A">
          <w:rPr>
            <w:noProof/>
            <w:webHidden/>
          </w:rPr>
          <w:instrText xml:space="preserve"> PAGEREF _Toc32243582 \h </w:instrText>
        </w:r>
        <w:r w:rsidR="00BF5D9A">
          <w:rPr>
            <w:noProof/>
            <w:webHidden/>
          </w:rPr>
        </w:r>
        <w:r w:rsidR="00BF5D9A">
          <w:rPr>
            <w:noProof/>
            <w:webHidden/>
          </w:rPr>
          <w:fldChar w:fldCharType="separate"/>
        </w:r>
        <w:r w:rsidR="00BF5D9A">
          <w:rPr>
            <w:noProof/>
            <w:webHidden/>
          </w:rPr>
          <w:t>6</w:t>
        </w:r>
        <w:r w:rsidR="00BF5D9A">
          <w:rPr>
            <w:noProof/>
            <w:webHidden/>
          </w:rPr>
          <w:fldChar w:fldCharType="end"/>
        </w:r>
      </w:hyperlink>
    </w:p>
    <w:p w14:paraId="7E8B2C04" w14:textId="14D7676F" w:rsidR="00BF5D9A" w:rsidRDefault="00E956D9">
      <w:pPr>
        <w:pStyle w:val="Turinys1"/>
        <w:rPr>
          <w:rFonts w:eastAsiaTheme="minorEastAsia" w:cstheme="minorBidi"/>
          <w:b w:val="0"/>
          <w:bCs w:val="0"/>
          <w:caps w:val="0"/>
          <w:noProof/>
          <w:szCs w:val="22"/>
          <w:lang w:val="en-US" w:eastAsia="en-US"/>
        </w:rPr>
      </w:pPr>
      <w:hyperlink w:anchor="_Toc32243583" w:history="1">
        <w:r w:rsidR="00BF5D9A" w:rsidRPr="00581D8C">
          <w:rPr>
            <w:rStyle w:val="Hipersaitas"/>
            <w:rFonts w:cstheme="minorHAnsi"/>
            <w:noProof/>
          </w:rPr>
          <w:t>11. Konkurencija</w:t>
        </w:r>
        <w:r w:rsidR="00BF5D9A">
          <w:rPr>
            <w:noProof/>
            <w:webHidden/>
          </w:rPr>
          <w:tab/>
        </w:r>
        <w:r w:rsidR="00BF5D9A">
          <w:rPr>
            <w:noProof/>
            <w:webHidden/>
          </w:rPr>
          <w:fldChar w:fldCharType="begin"/>
        </w:r>
        <w:r w:rsidR="00BF5D9A">
          <w:rPr>
            <w:noProof/>
            <w:webHidden/>
          </w:rPr>
          <w:instrText xml:space="preserve"> PAGEREF _Toc32243583 \h </w:instrText>
        </w:r>
        <w:r w:rsidR="00BF5D9A">
          <w:rPr>
            <w:noProof/>
            <w:webHidden/>
          </w:rPr>
        </w:r>
        <w:r w:rsidR="00BF5D9A">
          <w:rPr>
            <w:noProof/>
            <w:webHidden/>
          </w:rPr>
          <w:fldChar w:fldCharType="separate"/>
        </w:r>
        <w:r w:rsidR="00BF5D9A">
          <w:rPr>
            <w:noProof/>
            <w:webHidden/>
          </w:rPr>
          <w:t>7</w:t>
        </w:r>
        <w:r w:rsidR="00BF5D9A">
          <w:rPr>
            <w:noProof/>
            <w:webHidden/>
          </w:rPr>
          <w:fldChar w:fldCharType="end"/>
        </w:r>
      </w:hyperlink>
    </w:p>
    <w:p w14:paraId="3C248DB7" w14:textId="27F6C45F" w:rsidR="00BF5D9A" w:rsidRDefault="00E956D9">
      <w:pPr>
        <w:pStyle w:val="Turinys2"/>
        <w:rPr>
          <w:rFonts w:eastAsiaTheme="minorEastAsia" w:cstheme="minorBidi"/>
          <w:i w:val="0"/>
          <w:noProof/>
          <w:szCs w:val="22"/>
          <w:lang w:val="en-US" w:eastAsia="en-US"/>
        </w:rPr>
      </w:pPr>
      <w:hyperlink w:anchor="_Toc32243584" w:history="1">
        <w:r w:rsidR="00BF5D9A" w:rsidRPr="00581D8C">
          <w:rPr>
            <w:rStyle w:val="Hipersaitas"/>
            <w:noProof/>
          </w:rPr>
          <w:t>Dėl ūkio subjektų, padariusių konkurencijos teisės pažeidimą, vadovų atsakomybės, apribojant vadovų teisę eiti tam tikras pareigas bei skiriant baudą</w:t>
        </w:r>
        <w:r w:rsidR="00BF5D9A">
          <w:rPr>
            <w:noProof/>
            <w:webHidden/>
          </w:rPr>
          <w:tab/>
        </w:r>
        <w:r w:rsidR="00BF5D9A">
          <w:rPr>
            <w:noProof/>
            <w:webHidden/>
          </w:rPr>
          <w:fldChar w:fldCharType="begin"/>
        </w:r>
        <w:r w:rsidR="00BF5D9A">
          <w:rPr>
            <w:noProof/>
            <w:webHidden/>
          </w:rPr>
          <w:instrText xml:space="preserve"> PAGEREF _Toc32243584 \h </w:instrText>
        </w:r>
        <w:r w:rsidR="00BF5D9A">
          <w:rPr>
            <w:noProof/>
            <w:webHidden/>
          </w:rPr>
        </w:r>
        <w:r w:rsidR="00BF5D9A">
          <w:rPr>
            <w:noProof/>
            <w:webHidden/>
          </w:rPr>
          <w:fldChar w:fldCharType="separate"/>
        </w:r>
        <w:r w:rsidR="00BF5D9A">
          <w:rPr>
            <w:noProof/>
            <w:webHidden/>
          </w:rPr>
          <w:t>7</w:t>
        </w:r>
        <w:r w:rsidR="00BF5D9A">
          <w:rPr>
            <w:noProof/>
            <w:webHidden/>
          </w:rPr>
          <w:fldChar w:fldCharType="end"/>
        </w:r>
      </w:hyperlink>
    </w:p>
    <w:p w14:paraId="615D6D7C" w14:textId="3F27A8DB" w:rsidR="00BF5D9A" w:rsidRDefault="00E956D9">
      <w:pPr>
        <w:pStyle w:val="Turinys1"/>
        <w:rPr>
          <w:rFonts w:eastAsiaTheme="minorEastAsia" w:cstheme="minorBidi"/>
          <w:b w:val="0"/>
          <w:bCs w:val="0"/>
          <w:caps w:val="0"/>
          <w:noProof/>
          <w:szCs w:val="22"/>
          <w:lang w:val="en-US" w:eastAsia="en-US"/>
        </w:rPr>
      </w:pPr>
      <w:hyperlink w:anchor="_Toc32243585" w:history="1">
        <w:r w:rsidR="00BF5D9A" w:rsidRPr="00581D8C">
          <w:rPr>
            <w:rStyle w:val="Hipersaitas"/>
            <w:rFonts w:ascii="Calibri" w:hAnsi="Calibri"/>
            <w:noProof/>
          </w:rPr>
          <w:t>12. Mokesčiai, įmokos ir kiti privalomieji mokėjimai</w:t>
        </w:r>
        <w:r w:rsidR="00BF5D9A">
          <w:rPr>
            <w:noProof/>
            <w:webHidden/>
          </w:rPr>
          <w:tab/>
        </w:r>
        <w:r w:rsidR="00BF5D9A">
          <w:rPr>
            <w:noProof/>
            <w:webHidden/>
          </w:rPr>
          <w:fldChar w:fldCharType="begin"/>
        </w:r>
        <w:r w:rsidR="00BF5D9A">
          <w:rPr>
            <w:noProof/>
            <w:webHidden/>
          </w:rPr>
          <w:instrText xml:space="preserve"> PAGEREF _Toc32243585 \h </w:instrText>
        </w:r>
        <w:r w:rsidR="00BF5D9A">
          <w:rPr>
            <w:noProof/>
            <w:webHidden/>
          </w:rPr>
        </w:r>
        <w:r w:rsidR="00BF5D9A">
          <w:rPr>
            <w:noProof/>
            <w:webHidden/>
          </w:rPr>
          <w:fldChar w:fldCharType="separate"/>
        </w:r>
        <w:r w:rsidR="00BF5D9A">
          <w:rPr>
            <w:noProof/>
            <w:webHidden/>
          </w:rPr>
          <w:t>8</w:t>
        </w:r>
        <w:r w:rsidR="00BF5D9A">
          <w:rPr>
            <w:noProof/>
            <w:webHidden/>
          </w:rPr>
          <w:fldChar w:fldCharType="end"/>
        </w:r>
      </w:hyperlink>
    </w:p>
    <w:p w14:paraId="583E1D3D" w14:textId="6E06F886" w:rsidR="00BF5D9A" w:rsidRDefault="00E956D9">
      <w:pPr>
        <w:pStyle w:val="Turinys2"/>
        <w:rPr>
          <w:rFonts w:eastAsiaTheme="minorEastAsia" w:cstheme="minorBidi"/>
          <w:i w:val="0"/>
          <w:noProof/>
          <w:szCs w:val="22"/>
          <w:lang w:val="en-US" w:eastAsia="en-US"/>
        </w:rPr>
      </w:pPr>
      <w:hyperlink w:anchor="_Toc32243586" w:history="1">
        <w:r w:rsidR="00BF5D9A" w:rsidRPr="00581D8C">
          <w:rPr>
            <w:rStyle w:val="Hipersaitas"/>
            <w:noProof/>
          </w:rPr>
          <w:t>Dėl vienkartinėje gyventojo (šeimos) turėto turto deklaracijoje (forma FR0593) deklaruotų piniginių lėšų ne banko įstaigoje vertinimo</w:t>
        </w:r>
        <w:r w:rsidR="00BF5D9A">
          <w:rPr>
            <w:noProof/>
            <w:webHidden/>
          </w:rPr>
          <w:tab/>
        </w:r>
        <w:r w:rsidR="00BF5D9A">
          <w:rPr>
            <w:noProof/>
            <w:webHidden/>
          </w:rPr>
          <w:fldChar w:fldCharType="begin"/>
        </w:r>
        <w:r w:rsidR="00BF5D9A">
          <w:rPr>
            <w:noProof/>
            <w:webHidden/>
          </w:rPr>
          <w:instrText xml:space="preserve"> PAGEREF _Toc32243586 \h </w:instrText>
        </w:r>
        <w:r w:rsidR="00BF5D9A">
          <w:rPr>
            <w:noProof/>
            <w:webHidden/>
          </w:rPr>
        </w:r>
        <w:r w:rsidR="00BF5D9A">
          <w:rPr>
            <w:noProof/>
            <w:webHidden/>
          </w:rPr>
          <w:fldChar w:fldCharType="separate"/>
        </w:r>
        <w:r w:rsidR="00BF5D9A">
          <w:rPr>
            <w:noProof/>
            <w:webHidden/>
          </w:rPr>
          <w:t>8</w:t>
        </w:r>
        <w:r w:rsidR="00BF5D9A">
          <w:rPr>
            <w:noProof/>
            <w:webHidden/>
          </w:rPr>
          <w:fldChar w:fldCharType="end"/>
        </w:r>
      </w:hyperlink>
    </w:p>
    <w:p w14:paraId="61F49C47" w14:textId="4F0AAF4A" w:rsidR="00BF5D9A" w:rsidRDefault="00E956D9">
      <w:pPr>
        <w:pStyle w:val="Turinys2"/>
        <w:rPr>
          <w:rFonts w:eastAsiaTheme="minorEastAsia" w:cstheme="minorBidi"/>
          <w:i w:val="0"/>
          <w:noProof/>
          <w:szCs w:val="22"/>
          <w:lang w:val="en-US" w:eastAsia="en-US"/>
        </w:rPr>
      </w:pPr>
      <w:hyperlink w:anchor="_Toc32243587" w:history="1">
        <w:r w:rsidR="00BF5D9A" w:rsidRPr="00581D8C">
          <w:rPr>
            <w:rStyle w:val="Hipersaitas"/>
            <w:bCs/>
            <w:noProof/>
          </w:rPr>
          <w:t xml:space="preserve">Dėl </w:t>
        </w:r>
        <w:r w:rsidR="00BF5D9A" w:rsidRPr="00581D8C">
          <w:rPr>
            <w:rStyle w:val="Hipersaitas"/>
            <w:noProof/>
          </w:rPr>
          <w:t>vienkartinės gyventojo (šeimos) 2003 m. gruodžio 31 d. turėto turto deklaracijos (FR0593) duomenų reikšmės ir jų teisinio stabilumo bei mokesčių administratoriaus teisės (jos apimties) kvestionuoti šiuos duomenis</w:t>
        </w:r>
        <w:r w:rsidR="00BF5D9A">
          <w:rPr>
            <w:noProof/>
            <w:webHidden/>
          </w:rPr>
          <w:tab/>
        </w:r>
        <w:r w:rsidR="00BF5D9A">
          <w:rPr>
            <w:noProof/>
            <w:webHidden/>
          </w:rPr>
          <w:fldChar w:fldCharType="begin"/>
        </w:r>
        <w:r w:rsidR="00BF5D9A">
          <w:rPr>
            <w:noProof/>
            <w:webHidden/>
          </w:rPr>
          <w:instrText xml:space="preserve"> PAGEREF _Toc32243587 \h </w:instrText>
        </w:r>
        <w:r w:rsidR="00BF5D9A">
          <w:rPr>
            <w:noProof/>
            <w:webHidden/>
          </w:rPr>
        </w:r>
        <w:r w:rsidR="00BF5D9A">
          <w:rPr>
            <w:noProof/>
            <w:webHidden/>
          </w:rPr>
          <w:fldChar w:fldCharType="separate"/>
        </w:r>
        <w:r w:rsidR="00BF5D9A">
          <w:rPr>
            <w:noProof/>
            <w:webHidden/>
          </w:rPr>
          <w:t>10</w:t>
        </w:r>
        <w:r w:rsidR="00BF5D9A">
          <w:rPr>
            <w:noProof/>
            <w:webHidden/>
          </w:rPr>
          <w:fldChar w:fldCharType="end"/>
        </w:r>
      </w:hyperlink>
    </w:p>
    <w:p w14:paraId="001C37F3" w14:textId="749EC25D" w:rsidR="00BF5D9A" w:rsidRDefault="00E956D9">
      <w:pPr>
        <w:pStyle w:val="Turinys2"/>
        <w:rPr>
          <w:rFonts w:eastAsiaTheme="minorEastAsia" w:cstheme="minorBidi"/>
          <w:i w:val="0"/>
          <w:noProof/>
          <w:szCs w:val="22"/>
          <w:lang w:val="en-US" w:eastAsia="en-US"/>
        </w:rPr>
      </w:pPr>
      <w:hyperlink w:anchor="_Toc32243588" w:history="1">
        <w:r w:rsidR="00BF5D9A" w:rsidRPr="00581D8C">
          <w:rPr>
            <w:rStyle w:val="Hipersaitas"/>
            <w:noProof/>
          </w:rPr>
          <w:t>Dėl aplinkybės, kad tiekimo Bendrijos viduje atveju prekės buvo patiektos ne PVM sąskaitoje faktūroje, o kitiems (nenustatytiems) asmenims, reikšmės sprendžiant dėl tiekėjo teisės į šio tiekimo neapmokestinimą</w:t>
        </w:r>
        <w:r w:rsidR="00BF5D9A">
          <w:rPr>
            <w:noProof/>
            <w:webHidden/>
          </w:rPr>
          <w:tab/>
        </w:r>
        <w:r w:rsidR="00BF5D9A">
          <w:rPr>
            <w:noProof/>
            <w:webHidden/>
          </w:rPr>
          <w:fldChar w:fldCharType="begin"/>
        </w:r>
        <w:r w:rsidR="00BF5D9A">
          <w:rPr>
            <w:noProof/>
            <w:webHidden/>
          </w:rPr>
          <w:instrText xml:space="preserve"> PAGEREF _Toc32243588 \h </w:instrText>
        </w:r>
        <w:r w:rsidR="00BF5D9A">
          <w:rPr>
            <w:noProof/>
            <w:webHidden/>
          </w:rPr>
        </w:r>
        <w:r w:rsidR="00BF5D9A">
          <w:rPr>
            <w:noProof/>
            <w:webHidden/>
          </w:rPr>
          <w:fldChar w:fldCharType="separate"/>
        </w:r>
        <w:r w:rsidR="00BF5D9A">
          <w:rPr>
            <w:noProof/>
            <w:webHidden/>
          </w:rPr>
          <w:t>11</w:t>
        </w:r>
        <w:r w:rsidR="00BF5D9A">
          <w:rPr>
            <w:noProof/>
            <w:webHidden/>
          </w:rPr>
          <w:fldChar w:fldCharType="end"/>
        </w:r>
      </w:hyperlink>
    </w:p>
    <w:p w14:paraId="559B04D2" w14:textId="38A6CE2D" w:rsidR="00BF5D9A" w:rsidRDefault="00E956D9">
      <w:pPr>
        <w:pStyle w:val="Turinys2"/>
        <w:rPr>
          <w:rFonts w:eastAsiaTheme="minorEastAsia" w:cstheme="minorBidi"/>
          <w:i w:val="0"/>
          <w:noProof/>
          <w:szCs w:val="22"/>
          <w:lang w:val="en-US" w:eastAsia="en-US"/>
        </w:rPr>
      </w:pPr>
      <w:hyperlink w:anchor="_Toc32243589" w:history="1">
        <w:r w:rsidR="00BF5D9A" w:rsidRPr="00581D8C">
          <w:rPr>
            <w:rStyle w:val="Hipersaitas"/>
            <w:noProof/>
          </w:rPr>
          <w:t>Dėl mokesčių administratoriaus pareigos atsižvelgti ir į tiekėjui palankias aplinkybes, vertinant tiekimo Bendrijos viduje sandorius tiekėjo sąžiningumo aspektu</w:t>
        </w:r>
        <w:r w:rsidR="00BF5D9A">
          <w:rPr>
            <w:noProof/>
            <w:webHidden/>
          </w:rPr>
          <w:tab/>
        </w:r>
        <w:r w:rsidR="00BF5D9A">
          <w:rPr>
            <w:noProof/>
            <w:webHidden/>
          </w:rPr>
          <w:fldChar w:fldCharType="begin"/>
        </w:r>
        <w:r w:rsidR="00BF5D9A">
          <w:rPr>
            <w:noProof/>
            <w:webHidden/>
          </w:rPr>
          <w:instrText xml:space="preserve"> PAGEREF _Toc32243589 \h </w:instrText>
        </w:r>
        <w:r w:rsidR="00BF5D9A">
          <w:rPr>
            <w:noProof/>
            <w:webHidden/>
          </w:rPr>
        </w:r>
        <w:r w:rsidR="00BF5D9A">
          <w:rPr>
            <w:noProof/>
            <w:webHidden/>
          </w:rPr>
          <w:fldChar w:fldCharType="separate"/>
        </w:r>
        <w:r w:rsidR="00BF5D9A">
          <w:rPr>
            <w:noProof/>
            <w:webHidden/>
          </w:rPr>
          <w:t>11</w:t>
        </w:r>
        <w:r w:rsidR="00BF5D9A">
          <w:rPr>
            <w:noProof/>
            <w:webHidden/>
          </w:rPr>
          <w:fldChar w:fldCharType="end"/>
        </w:r>
      </w:hyperlink>
    </w:p>
    <w:p w14:paraId="3714D830" w14:textId="4FE6F957" w:rsidR="00BF5D9A" w:rsidRDefault="00E956D9">
      <w:pPr>
        <w:pStyle w:val="Turinys1"/>
        <w:rPr>
          <w:rFonts w:eastAsiaTheme="minorEastAsia" w:cstheme="minorBidi"/>
          <w:b w:val="0"/>
          <w:bCs w:val="0"/>
          <w:caps w:val="0"/>
          <w:noProof/>
          <w:szCs w:val="22"/>
          <w:lang w:val="en-US" w:eastAsia="en-US"/>
        </w:rPr>
      </w:pPr>
      <w:hyperlink w:anchor="_Toc32243590" w:history="1">
        <w:r w:rsidR="00BF5D9A" w:rsidRPr="00581D8C">
          <w:rPr>
            <w:rStyle w:val="Hipersaitas"/>
            <w:rFonts w:cstheme="minorHAnsi"/>
            <w:noProof/>
          </w:rPr>
          <w:t>14. Aplinkos apsauga</w:t>
        </w:r>
        <w:r w:rsidR="00BF5D9A">
          <w:rPr>
            <w:noProof/>
            <w:webHidden/>
          </w:rPr>
          <w:tab/>
        </w:r>
        <w:r w:rsidR="00BF5D9A">
          <w:rPr>
            <w:noProof/>
            <w:webHidden/>
          </w:rPr>
          <w:fldChar w:fldCharType="begin"/>
        </w:r>
        <w:r w:rsidR="00BF5D9A">
          <w:rPr>
            <w:noProof/>
            <w:webHidden/>
          </w:rPr>
          <w:instrText xml:space="preserve"> PAGEREF _Toc32243590 \h </w:instrText>
        </w:r>
        <w:r w:rsidR="00BF5D9A">
          <w:rPr>
            <w:noProof/>
            <w:webHidden/>
          </w:rPr>
        </w:r>
        <w:r w:rsidR="00BF5D9A">
          <w:rPr>
            <w:noProof/>
            <w:webHidden/>
          </w:rPr>
          <w:fldChar w:fldCharType="separate"/>
        </w:r>
        <w:r w:rsidR="00BF5D9A">
          <w:rPr>
            <w:noProof/>
            <w:webHidden/>
          </w:rPr>
          <w:t>12</w:t>
        </w:r>
        <w:r w:rsidR="00BF5D9A">
          <w:rPr>
            <w:noProof/>
            <w:webHidden/>
          </w:rPr>
          <w:fldChar w:fldCharType="end"/>
        </w:r>
      </w:hyperlink>
    </w:p>
    <w:p w14:paraId="35B680E1" w14:textId="7425E3FD" w:rsidR="00BF5D9A" w:rsidRDefault="00E956D9">
      <w:pPr>
        <w:pStyle w:val="Turinys2"/>
        <w:rPr>
          <w:rFonts w:eastAsiaTheme="minorEastAsia" w:cstheme="minorBidi"/>
          <w:i w:val="0"/>
          <w:noProof/>
          <w:szCs w:val="22"/>
          <w:lang w:val="en-US" w:eastAsia="en-US"/>
        </w:rPr>
      </w:pPr>
      <w:hyperlink w:anchor="_Toc32243591" w:history="1">
        <w:r w:rsidR="00BF5D9A" w:rsidRPr="00581D8C">
          <w:rPr>
            <w:rStyle w:val="Hipersaitas"/>
            <w:noProof/>
          </w:rPr>
          <w:t>Dėl pagrindų laikyti ataskaitą apie užstato sistemos veiklos vykdymą nepateikta</w:t>
        </w:r>
        <w:r w:rsidR="00BF5D9A">
          <w:rPr>
            <w:noProof/>
            <w:webHidden/>
          </w:rPr>
          <w:tab/>
        </w:r>
        <w:r w:rsidR="00BF5D9A">
          <w:rPr>
            <w:noProof/>
            <w:webHidden/>
          </w:rPr>
          <w:fldChar w:fldCharType="begin"/>
        </w:r>
        <w:r w:rsidR="00BF5D9A">
          <w:rPr>
            <w:noProof/>
            <w:webHidden/>
          </w:rPr>
          <w:instrText xml:space="preserve"> PAGEREF _Toc32243591 \h </w:instrText>
        </w:r>
        <w:r w:rsidR="00BF5D9A">
          <w:rPr>
            <w:noProof/>
            <w:webHidden/>
          </w:rPr>
        </w:r>
        <w:r w:rsidR="00BF5D9A">
          <w:rPr>
            <w:noProof/>
            <w:webHidden/>
          </w:rPr>
          <w:fldChar w:fldCharType="separate"/>
        </w:r>
        <w:r w:rsidR="00BF5D9A">
          <w:rPr>
            <w:noProof/>
            <w:webHidden/>
          </w:rPr>
          <w:t>12</w:t>
        </w:r>
        <w:r w:rsidR="00BF5D9A">
          <w:rPr>
            <w:noProof/>
            <w:webHidden/>
          </w:rPr>
          <w:fldChar w:fldCharType="end"/>
        </w:r>
      </w:hyperlink>
    </w:p>
    <w:p w14:paraId="357B109B" w14:textId="0E3CB521" w:rsidR="00BF5D9A" w:rsidRDefault="00E956D9">
      <w:pPr>
        <w:pStyle w:val="Turinys1"/>
        <w:rPr>
          <w:rFonts w:eastAsiaTheme="minorEastAsia" w:cstheme="minorBidi"/>
          <w:b w:val="0"/>
          <w:bCs w:val="0"/>
          <w:caps w:val="0"/>
          <w:noProof/>
          <w:szCs w:val="22"/>
          <w:lang w:val="en-US" w:eastAsia="en-US"/>
        </w:rPr>
      </w:pPr>
      <w:hyperlink w:anchor="_Toc32243592" w:history="1">
        <w:r w:rsidR="00BF5D9A" w:rsidRPr="00581D8C">
          <w:rPr>
            <w:rStyle w:val="Hipersaitas"/>
            <w:rFonts w:cstheme="minorHAnsi"/>
            <w:noProof/>
          </w:rPr>
          <w:t>20. Civilinė atsakomybė už žalą, atsiradusią dėl valdžios institucijų neteisėtų veiksmų</w:t>
        </w:r>
        <w:r w:rsidR="00BF5D9A">
          <w:rPr>
            <w:noProof/>
            <w:webHidden/>
          </w:rPr>
          <w:tab/>
        </w:r>
        <w:r w:rsidR="00BF5D9A">
          <w:rPr>
            <w:noProof/>
            <w:webHidden/>
          </w:rPr>
          <w:fldChar w:fldCharType="begin"/>
        </w:r>
        <w:r w:rsidR="00BF5D9A">
          <w:rPr>
            <w:noProof/>
            <w:webHidden/>
          </w:rPr>
          <w:instrText xml:space="preserve"> PAGEREF _Toc32243592 \h </w:instrText>
        </w:r>
        <w:r w:rsidR="00BF5D9A">
          <w:rPr>
            <w:noProof/>
            <w:webHidden/>
          </w:rPr>
        </w:r>
        <w:r w:rsidR="00BF5D9A">
          <w:rPr>
            <w:noProof/>
            <w:webHidden/>
          </w:rPr>
          <w:fldChar w:fldCharType="separate"/>
        </w:r>
        <w:r w:rsidR="00BF5D9A">
          <w:rPr>
            <w:noProof/>
            <w:webHidden/>
          </w:rPr>
          <w:t>13</w:t>
        </w:r>
        <w:r w:rsidR="00BF5D9A">
          <w:rPr>
            <w:noProof/>
            <w:webHidden/>
          </w:rPr>
          <w:fldChar w:fldCharType="end"/>
        </w:r>
      </w:hyperlink>
    </w:p>
    <w:p w14:paraId="4D38CE1E" w14:textId="6FE8D35A" w:rsidR="00BF5D9A" w:rsidRDefault="00E956D9">
      <w:pPr>
        <w:pStyle w:val="Turinys2"/>
        <w:rPr>
          <w:rFonts w:eastAsiaTheme="minorEastAsia" w:cstheme="minorBidi"/>
          <w:i w:val="0"/>
          <w:noProof/>
          <w:szCs w:val="22"/>
          <w:lang w:val="en-US" w:eastAsia="en-US"/>
        </w:rPr>
      </w:pPr>
      <w:hyperlink w:anchor="_Toc32243593" w:history="1">
        <w:r w:rsidR="00BF5D9A" w:rsidRPr="00581D8C">
          <w:rPr>
            <w:rStyle w:val="Hipersaitas"/>
            <w:noProof/>
          </w:rPr>
          <w:t>Dėl privatumo naudojantis dušu pažeidimo trukmės skaičiavimo</w:t>
        </w:r>
        <w:r w:rsidR="00BF5D9A">
          <w:rPr>
            <w:noProof/>
            <w:webHidden/>
          </w:rPr>
          <w:tab/>
        </w:r>
        <w:r w:rsidR="00BF5D9A">
          <w:rPr>
            <w:noProof/>
            <w:webHidden/>
          </w:rPr>
          <w:fldChar w:fldCharType="begin"/>
        </w:r>
        <w:r w:rsidR="00BF5D9A">
          <w:rPr>
            <w:noProof/>
            <w:webHidden/>
          </w:rPr>
          <w:instrText xml:space="preserve"> PAGEREF _Toc32243593 \h </w:instrText>
        </w:r>
        <w:r w:rsidR="00BF5D9A">
          <w:rPr>
            <w:noProof/>
            <w:webHidden/>
          </w:rPr>
        </w:r>
        <w:r w:rsidR="00BF5D9A">
          <w:rPr>
            <w:noProof/>
            <w:webHidden/>
          </w:rPr>
          <w:fldChar w:fldCharType="separate"/>
        </w:r>
        <w:r w:rsidR="00BF5D9A">
          <w:rPr>
            <w:noProof/>
            <w:webHidden/>
          </w:rPr>
          <w:t>13</w:t>
        </w:r>
        <w:r w:rsidR="00BF5D9A">
          <w:rPr>
            <w:noProof/>
            <w:webHidden/>
          </w:rPr>
          <w:fldChar w:fldCharType="end"/>
        </w:r>
      </w:hyperlink>
    </w:p>
    <w:p w14:paraId="17483D80" w14:textId="55D825FE" w:rsidR="00BF5D9A" w:rsidRDefault="00E956D9">
      <w:pPr>
        <w:pStyle w:val="Turinys1"/>
        <w:rPr>
          <w:rFonts w:eastAsiaTheme="minorEastAsia" w:cstheme="minorBidi"/>
          <w:b w:val="0"/>
          <w:bCs w:val="0"/>
          <w:caps w:val="0"/>
          <w:noProof/>
          <w:szCs w:val="22"/>
          <w:lang w:val="en-US" w:eastAsia="en-US"/>
        </w:rPr>
      </w:pPr>
      <w:hyperlink w:anchor="_Toc32243594" w:history="1">
        <w:r w:rsidR="00BF5D9A" w:rsidRPr="00581D8C">
          <w:rPr>
            <w:rStyle w:val="Hipersaitas"/>
            <w:rFonts w:ascii="Calibri" w:hAnsi="Calibri"/>
            <w:noProof/>
          </w:rPr>
          <w:t>21. Valstybės tarnautojo statuso įgijimas, pasikeitimas, praradimas ir atsakomybė</w:t>
        </w:r>
        <w:r w:rsidR="00BF5D9A">
          <w:rPr>
            <w:noProof/>
            <w:webHidden/>
          </w:rPr>
          <w:tab/>
        </w:r>
        <w:r w:rsidR="00BF5D9A">
          <w:rPr>
            <w:noProof/>
            <w:webHidden/>
          </w:rPr>
          <w:fldChar w:fldCharType="begin"/>
        </w:r>
        <w:r w:rsidR="00BF5D9A">
          <w:rPr>
            <w:noProof/>
            <w:webHidden/>
          </w:rPr>
          <w:instrText xml:space="preserve"> PAGEREF _Toc32243594 \h </w:instrText>
        </w:r>
        <w:r w:rsidR="00BF5D9A">
          <w:rPr>
            <w:noProof/>
            <w:webHidden/>
          </w:rPr>
        </w:r>
        <w:r w:rsidR="00BF5D9A">
          <w:rPr>
            <w:noProof/>
            <w:webHidden/>
          </w:rPr>
          <w:fldChar w:fldCharType="separate"/>
        </w:r>
        <w:r w:rsidR="00BF5D9A">
          <w:rPr>
            <w:noProof/>
            <w:webHidden/>
          </w:rPr>
          <w:t>14</w:t>
        </w:r>
        <w:r w:rsidR="00BF5D9A">
          <w:rPr>
            <w:noProof/>
            <w:webHidden/>
          </w:rPr>
          <w:fldChar w:fldCharType="end"/>
        </w:r>
      </w:hyperlink>
    </w:p>
    <w:p w14:paraId="496C20DB" w14:textId="15AB89BD" w:rsidR="00BF5D9A" w:rsidRDefault="00E956D9">
      <w:pPr>
        <w:pStyle w:val="Turinys2"/>
        <w:rPr>
          <w:rFonts w:eastAsiaTheme="minorEastAsia" w:cstheme="minorBidi"/>
          <w:i w:val="0"/>
          <w:noProof/>
          <w:szCs w:val="22"/>
          <w:lang w:val="en-US" w:eastAsia="en-US"/>
        </w:rPr>
      </w:pPr>
      <w:hyperlink w:anchor="_Toc32243595" w:history="1">
        <w:r w:rsidR="00BF5D9A" w:rsidRPr="00581D8C">
          <w:rPr>
            <w:rStyle w:val="Hipersaitas"/>
            <w:noProof/>
          </w:rPr>
          <w:t>Dėl tarnybos vadovo darbo vietos</w:t>
        </w:r>
        <w:r w:rsidR="00BF5D9A">
          <w:rPr>
            <w:noProof/>
            <w:webHidden/>
          </w:rPr>
          <w:tab/>
        </w:r>
        <w:r w:rsidR="00BF5D9A">
          <w:rPr>
            <w:noProof/>
            <w:webHidden/>
          </w:rPr>
          <w:fldChar w:fldCharType="begin"/>
        </w:r>
        <w:r w:rsidR="00BF5D9A">
          <w:rPr>
            <w:noProof/>
            <w:webHidden/>
          </w:rPr>
          <w:instrText xml:space="preserve"> PAGEREF _Toc32243595 \h </w:instrText>
        </w:r>
        <w:r w:rsidR="00BF5D9A">
          <w:rPr>
            <w:noProof/>
            <w:webHidden/>
          </w:rPr>
        </w:r>
        <w:r w:rsidR="00BF5D9A">
          <w:rPr>
            <w:noProof/>
            <w:webHidden/>
          </w:rPr>
          <w:fldChar w:fldCharType="separate"/>
        </w:r>
        <w:r w:rsidR="00BF5D9A">
          <w:rPr>
            <w:noProof/>
            <w:webHidden/>
          </w:rPr>
          <w:t>14</w:t>
        </w:r>
        <w:r w:rsidR="00BF5D9A">
          <w:rPr>
            <w:noProof/>
            <w:webHidden/>
          </w:rPr>
          <w:fldChar w:fldCharType="end"/>
        </w:r>
      </w:hyperlink>
    </w:p>
    <w:p w14:paraId="543544BA" w14:textId="2C6AB9D5" w:rsidR="00BF5D9A" w:rsidRDefault="00E956D9">
      <w:pPr>
        <w:pStyle w:val="Turinys2"/>
        <w:rPr>
          <w:rFonts w:eastAsiaTheme="minorEastAsia" w:cstheme="minorBidi"/>
          <w:i w:val="0"/>
          <w:noProof/>
          <w:szCs w:val="22"/>
          <w:lang w:val="en-US" w:eastAsia="en-US"/>
        </w:rPr>
      </w:pPr>
      <w:hyperlink w:anchor="_Toc32243596" w:history="1">
        <w:r w:rsidR="00BF5D9A" w:rsidRPr="00581D8C">
          <w:rPr>
            <w:rStyle w:val="Hipersaitas"/>
            <w:noProof/>
          </w:rPr>
          <w:t>Dėl tarnybinės nuobaudos įforminimo</w:t>
        </w:r>
        <w:r w:rsidR="00BF5D9A">
          <w:rPr>
            <w:noProof/>
            <w:webHidden/>
          </w:rPr>
          <w:tab/>
        </w:r>
        <w:r w:rsidR="00BF5D9A">
          <w:rPr>
            <w:noProof/>
            <w:webHidden/>
          </w:rPr>
          <w:fldChar w:fldCharType="begin"/>
        </w:r>
        <w:r w:rsidR="00BF5D9A">
          <w:rPr>
            <w:noProof/>
            <w:webHidden/>
          </w:rPr>
          <w:instrText xml:space="preserve"> PAGEREF _Toc32243596 \h </w:instrText>
        </w:r>
        <w:r w:rsidR="00BF5D9A">
          <w:rPr>
            <w:noProof/>
            <w:webHidden/>
          </w:rPr>
        </w:r>
        <w:r w:rsidR="00BF5D9A">
          <w:rPr>
            <w:noProof/>
            <w:webHidden/>
          </w:rPr>
          <w:fldChar w:fldCharType="separate"/>
        </w:r>
        <w:r w:rsidR="00BF5D9A">
          <w:rPr>
            <w:noProof/>
            <w:webHidden/>
          </w:rPr>
          <w:t>15</w:t>
        </w:r>
        <w:r w:rsidR="00BF5D9A">
          <w:rPr>
            <w:noProof/>
            <w:webHidden/>
          </w:rPr>
          <w:fldChar w:fldCharType="end"/>
        </w:r>
      </w:hyperlink>
    </w:p>
    <w:p w14:paraId="1A9A853D" w14:textId="0EC41671" w:rsidR="00BF5D9A" w:rsidRDefault="00E956D9">
      <w:pPr>
        <w:pStyle w:val="Turinys2"/>
        <w:rPr>
          <w:rFonts w:eastAsiaTheme="minorEastAsia" w:cstheme="minorBidi"/>
          <w:i w:val="0"/>
          <w:noProof/>
          <w:szCs w:val="22"/>
          <w:lang w:val="en-US" w:eastAsia="en-US"/>
        </w:rPr>
      </w:pPr>
      <w:hyperlink w:anchor="_Toc32243597" w:history="1">
        <w:r w:rsidR="00BF5D9A" w:rsidRPr="00581D8C">
          <w:rPr>
            <w:rStyle w:val="Hipersaitas"/>
            <w:noProof/>
          </w:rPr>
          <w:t>Dėl visapusiškos informacijos apie siūlomas laisvas pareigas pateikimo</w:t>
        </w:r>
        <w:r w:rsidR="00BF5D9A">
          <w:rPr>
            <w:noProof/>
            <w:webHidden/>
          </w:rPr>
          <w:tab/>
        </w:r>
        <w:r w:rsidR="00BF5D9A">
          <w:rPr>
            <w:noProof/>
            <w:webHidden/>
          </w:rPr>
          <w:fldChar w:fldCharType="begin"/>
        </w:r>
        <w:r w:rsidR="00BF5D9A">
          <w:rPr>
            <w:noProof/>
            <w:webHidden/>
          </w:rPr>
          <w:instrText xml:space="preserve"> PAGEREF _Toc32243597 \h </w:instrText>
        </w:r>
        <w:r w:rsidR="00BF5D9A">
          <w:rPr>
            <w:noProof/>
            <w:webHidden/>
          </w:rPr>
        </w:r>
        <w:r w:rsidR="00BF5D9A">
          <w:rPr>
            <w:noProof/>
            <w:webHidden/>
          </w:rPr>
          <w:fldChar w:fldCharType="separate"/>
        </w:r>
        <w:r w:rsidR="00BF5D9A">
          <w:rPr>
            <w:noProof/>
            <w:webHidden/>
          </w:rPr>
          <w:t>16</w:t>
        </w:r>
        <w:r w:rsidR="00BF5D9A">
          <w:rPr>
            <w:noProof/>
            <w:webHidden/>
          </w:rPr>
          <w:fldChar w:fldCharType="end"/>
        </w:r>
      </w:hyperlink>
    </w:p>
    <w:p w14:paraId="34F63DB1" w14:textId="137D1C17" w:rsidR="00BF5D9A" w:rsidRDefault="00E956D9">
      <w:pPr>
        <w:pStyle w:val="Turinys1"/>
        <w:rPr>
          <w:rFonts w:eastAsiaTheme="minorEastAsia" w:cstheme="minorBidi"/>
          <w:b w:val="0"/>
          <w:bCs w:val="0"/>
          <w:caps w:val="0"/>
          <w:noProof/>
          <w:szCs w:val="22"/>
          <w:lang w:val="en-US" w:eastAsia="en-US"/>
        </w:rPr>
      </w:pPr>
      <w:hyperlink w:anchor="_Toc32243598" w:history="1">
        <w:r w:rsidR="00BF5D9A" w:rsidRPr="00581D8C">
          <w:rPr>
            <w:rStyle w:val="Hipersaitas"/>
            <w:rFonts w:ascii="Calibri" w:hAnsi="Calibri"/>
            <w:noProof/>
          </w:rPr>
          <w:t>22. Kiti su valstybės tarnyba susiję klausimai</w:t>
        </w:r>
        <w:r w:rsidR="00BF5D9A">
          <w:rPr>
            <w:noProof/>
            <w:webHidden/>
          </w:rPr>
          <w:tab/>
        </w:r>
        <w:r w:rsidR="00BF5D9A">
          <w:rPr>
            <w:noProof/>
            <w:webHidden/>
          </w:rPr>
          <w:fldChar w:fldCharType="begin"/>
        </w:r>
        <w:r w:rsidR="00BF5D9A">
          <w:rPr>
            <w:noProof/>
            <w:webHidden/>
          </w:rPr>
          <w:instrText xml:space="preserve"> PAGEREF _Toc32243598 \h </w:instrText>
        </w:r>
        <w:r w:rsidR="00BF5D9A">
          <w:rPr>
            <w:noProof/>
            <w:webHidden/>
          </w:rPr>
        </w:r>
        <w:r w:rsidR="00BF5D9A">
          <w:rPr>
            <w:noProof/>
            <w:webHidden/>
          </w:rPr>
          <w:fldChar w:fldCharType="separate"/>
        </w:r>
        <w:r w:rsidR="00BF5D9A">
          <w:rPr>
            <w:noProof/>
            <w:webHidden/>
          </w:rPr>
          <w:t>16</w:t>
        </w:r>
        <w:r w:rsidR="00BF5D9A">
          <w:rPr>
            <w:noProof/>
            <w:webHidden/>
          </w:rPr>
          <w:fldChar w:fldCharType="end"/>
        </w:r>
      </w:hyperlink>
    </w:p>
    <w:p w14:paraId="65A9828B" w14:textId="0B6B8078" w:rsidR="00BF5D9A" w:rsidRDefault="00E956D9">
      <w:pPr>
        <w:pStyle w:val="Turinys2"/>
        <w:rPr>
          <w:rFonts w:eastAsiaTheme="minorEastAsia" w:cstheme="minorBidi"/>
          <w:i w:val="0"/>
          <w:noProof/>
          <w:szCs w:val="22"/>
          <w:lang w:val="en-US" w:eastAsia="en-US"/>
        </w:rPr>
      </w:pPr>
      <w:hyperlink w:anchor="_Toc32243599" w:history="1">
        <w:r w:rsidR="00BF5D9A" w:rsidRPr="00581D8C">
          <w:rPr>
            <w:rStyle w:val="Hipersaitas"/>
            <w:noProof/>
          </w:rPr>
          <w:t>Dėl neišmokėtos važiavimo išlaidų kompensacijos priteisimo pareigūnams</w:t>
        </w:r>
        <w:r w:rsidR="00BF5D9A">
          <w:rPr>
            <w:noProof/>
            <w:webHidden/>
          </w:rPr>
          <w:tab/>
        </w:r>
        <w:r w:rsidR="00BF5D9A">
          <w:rPr>
            <w:noProof/>
            <w:webHidden/>
          </w:rPr>
          <w:fldChar w:fldCharType="begin"/>
        </w:r>
        <w:r w:rsidR="00BF5D9A">
          <w:rPr>
            <w:noProof/>
            <w:webHidden/>
          </w:rPr>
          <w:instrText xml:space="preserve"> PAGEREF _Toc32243599 \h </w:instrText>
        </w:r>
        <w:r w:rsidR="00BF5D9A">
          <w:rPr>
            <w:noProof/>
            <w:webHidden/>
          </w:rPr>
        </w:r>
        <w:r w:rsidR="00BF5D9A">
          <w:rPr>
            <w:noProof/>
            <w:webHidden/>
          </w:rPr>
          <w:fldChar w:fldCharType="separate"/>
        </w:r>
        <w:r w:rsidR="00BF5D9A">
          <w:rPr>
            <w:noProof/>
            <w:webHidden/>
          </w:rPr>
          <w:t>16</w:t>
        </w:r>
        <w:r w:rsidR="00BF5D9A">
          <w:rPr>
            <w:noProof/>
            <w:webHidden/>
          </w:rPr>
          <w:fldChar w:fldCharType="end"/>
        </w:r>
      </w:hyperlink>
    </w:p>
    <w:p w14:paraId="33020722" w14:textId="6E5F442B" w:rsidR="00BF5D9A" w:rsidRDefault="00E956D9">
      <w:pPr>
        <w:pStyle w:val="Turinys1"/>
        <w:rPr>
          <w:rFonts w:eastAsiaTheme="minorEastAsia" w:cstheme="minorBidi"/>
          <w:b w:val="0"/>
          <w:bCs w:val="0"/>
          <w:caps w:val="0"/>
          <w:noProof/>
          <w:szCs w:val="22"/>
          <w:lang w:val="en-US" w:eastAsia="en-US"/>
        </w:rPr>
      </w:pPr>
      <w:hyperlink w:anchor="_Toc32243600" w:history="1">
        <w:r w:rsidR="00BF5D9A" w:rsidRPr="00581D8C">
          <w:rPr>
            <w:rStyle w:val="Hipersaitas"/>
            <w:rFonts w:ascii="Calibri" w:hAnsi="Calibri"/>
            <w:noProof/>
          </w:rPr>
          <w:t>23. Vyriausiosios tarnybinės etikos komisijos sprendimai</w:t>
        </w:r>
        <w:r w:rsidR="00BF5D9A">
          <w:rPr>
            <w:noProof/>
            <w:webHidden/>
          </w:rPr>
          <w:tab/>
        </w:r>
        <w:r w:rsidR="00BF5D9A">
          <w:rPr>
            <w:noProof/>
            <w:webHidden/>
          </w:rPr>
          <w:fldChar w:fldCharType="begin"/>
        </w:r>
        <w:r w:rsidR="00BF5D9A">
          <w:rPr>
            <w:noProof/>
            <w:webHidden/>
          </w:rPr>
          <w:instrText xml:space="preserve"> PAGEREF _Toc32243600 \h </w:instrText>
        </w:r>
        <w:r w:rsidR="00BF5D9A">
          <w:rPr>
            <w:noProof/>
            <w:webHidden/>
          </w:rPr>
        </w:r>
        <w:r w:rsidR="00BF5D9A">
          <w:rPr>
            <w:noProof/>
            <w:webHidden/>
          </w:rPr>
          <w:fldChar w:fldCharType="separate"/>
        </w:r>
        <w:r w:rsidR="00BF5D9A">
          <w:rPr>
            <w:noProof/>
            <w:webHidden/>
          </w:rPr>
          <w:t>18</w:t>
        </w:r>
        <w:r w:rsidR="00BF5D9A">
          <w:rPr>
            <w:noProof/>
            <w:webHidden/>
          </w:rPr>
          <w:fldChar w:fldCharType="end"/>
        </w:r>
      </w:hyperlink>
    </w:p>
    <w:p w14:paraId="6FD867C2" w14:textId="6401657B" w:rsidR="00BF5D9A" w:rsidRDefault="00E956D9">
      <w:pPr>
        <w:pStyle w:val="Turinys2"/>
        <w:rPr>
          <w:rFonts w:eastAsiaTheme="minorEastAsia" w:cstheme="minorBidi"/>
          <w:i w:val="0"/>
          <w:noProof/>
          <w:szCs w:val="22"/>
          <w:lang w:val="en-US" w:eastAsia="en-US"/>
        </w:rPr>
      </w:pPr>
      <w:hyperlink w:anchor="_Toc32243601" w:history="1">
        <w:r w:rsidR="00BF5D9A" w:rsidRPr="00581D8C">
          <w:rPr>
            <w:rStyle w:val="Hipersaitas"/>
            <w:noProof/>
          </w:rPr>
          <w:t>Dėl narystės asociacijoje sustabdymo reikšmės Viešųjų ir privačių interesų derinimo valstybės tarnyboje įstatymo prasme</w:t>
        </w:r>
        <w:r w:rsidR="00BF5D9A">
          <w:rPr>
            <w:noProof/>
            <w:webHidden/>
          </w:rPr>
          <w:tab/>
        </w:r>
        <w:r w:rsidR="00BF5D9A">
          <w:rPr>
            <w:noProof/>
            <w:webHidden/>
          </w:rPr>
          <w:fldChar w:fldCharType="begin"/>
        </w:r>
        <w:r w:rsidR="00BF5D9A">
          <w:rPr>
            <w:noProof/>
            <w:webHidden/>
          </w:rPr>
          <w:instrText xml:space="preserve"> PAGEREF _Toc32243601 \h </w:instrText>
        </w:r>
        <w:r w:rsidR="00BF5D9A">
          <w:rPr>
            <w:noProof/>
            <w:webHidden/>
          </w:rPr>
        </w:r>
        <w:r w:rsidR="00BF5D9A">
          <w:rPr>
            <w:noProof/>
            <w:webHidden/>
          </w:rPr>
          <w:fldChar w:fldCharType="separate"/>
        </w:r>
        <w:r w:rsidR="00BF5D9A">
          <w:rPr>
            <w:noProof/>
            <w:webHidden/>
          </w:rPr>
          <w:t>18</w:t>
        </w:r>
        <w:r w:rsidR="00BF5D9A">
          <w:rPr>
            <w:noProof/>
            <w:webHidden/>
          </w:rPr>
          <w:fldChar w:fldCharType="end"/>
        </w:r>
      </w:hyperlink>
    </w:p>
    <w:p w14:paraId="5C117775" w14:textId="01249CE8" w:rsidR="00BF5D9A" w:rsidRDefault="00E956D9">
      <w:pPr>
        <w:pStyle w:val="Turinys1"/>
        <w:rPr>
          <w:rFonts w:eastAsiaTheme="minorEastAsia" w:cstheme="minorBidi"/>
          <w:b w:val="0"/>
          <w:bCs w:val="0"/>
          <w:caps w:val="0"/>
          <w:noProof/>
          <w:szCs w:val="22"/>
          <w:lang w:val="en-US" w:eastAsia="en-US"/>
        </w:rPr>
      </w:pPr>
      <w:hyperlink w:anchor="_Toc32243602" w:history="1">
        <w:r w:rsidR="00BF5D9A" w:rsidRPr="00581D8C">
          <w:rPr>
            <w:rStyle w:val="Hipersaitas"/>
            <w:rFonts w:cstheme="minorHAnsi"/>
            <w:noProof/>
          </w:rPr>
          <w:t>24. Vietos savivalda</w:t>
        </w:r>
        <w:r w:rsidR="00BF5D9A">
          <w:rPr>
            <w:noProof/>
            <w:webHidden/>
          </w:rPr>
          <w:tab/>
        </w:r>
        <w:r w:rsidR="00BF5D9A">
          <w:rPr>
            <w:noProof/>
            <w:webHidden/>
          </w:rPr>
          <w:fldChar w:fldCharType="begin"/>
        </w:r>
        <w:r w:rsidR="00BF5D9A">
          <w:rPr>
            <w:noProof/>
            <w:webHidden/>
          </w:rPr>
          <w:instrText xml:space="preserve"> PAGEREF _Toc32243602 \h </w:instrText>
        </w:r>
        <w:r w:rsidR="00BF5D9A">
          <w:rPr>
            <w:noProof/>
            <w:webHidden/>
          </w:rPr>
        </w:r>
        <w:r w:rsidR="00BF5D9A">
          <w:rPr>
            <w:noProof/>
            <w:webHidden/>
          </w:rPr>
          <w:fldChar w:fldCharType="separate"/>
        </w:r>
        <w:r w:rsidR="00BF5D9A">
          <w:rPr>
            <w:noProof/>
            <w:webHidden/>
          </w:rPr>
          <w:t>19</w:t>
        </w:r>
        <w:r w:rsidR="00BF5D9A">
          <w:rPr>
            <w:noProof/>
            <w:webHidden/>
          </w:rPr>
          <w:fldChar w:fldCharType="end"/>
        </w:r>
      </w:hyperlink>
    </w:p>
    <w:p w14:paraId="2520B89E" w14:textId="0FBE51B2" w:rsidR="00BF5D9A" w:rsidRDefault="00E956D9">
      <w:pPr>
        <w:pStyle w:val="Turinys2"/>
        <w:rPr>
          <w:rFonts w:eastAsiaTheme="minorEastAsia" w:cstheme="minorBidi"/>
          <w:i w:val="0"/>
          <w:noProof/>
          <w:szCs w:val="22"/>
          <w:lang w:val="en-US" w:eastAsia="en-US"/>
        </w:rPr>
      </w:pPr>
      <w:hyperlink w:anchor="_Toc32243603" w:history="1">
        <w:r w:rsidR="00BF5D9A" w:rsidRPr="00581D8C">
          <w:rPr>
            <w:rStyle w:val="Hipersaitas"/>
            <w:noProof/>
          </w:rPr>
          <w:t>Dėl reikalavimų sprendimui pakeisti pastato adresą, priskiriant šį pastatą kitai gatvei, bei pastato priskyrimo konkrečiai gatvei kriterijų</w:t>
        </w:r>
        <w:r w:rsidR="00BF5D9A">
          <w:rPr>
            <w:noProof/>
            <w:webHidden/>
          </w:rPr>
          <w:tab/>
        </w:r>
        <w:r w:rsidR="00BF5D9A">
          <w:rPr>
            <w:noProof/>
            <w:webHidden/>
          </w:rPr>
          <w:fldChar w:fldCharType="begin"/>
        </w:r>
        <w:r w:rsidR="00BF5D9A">
          <w:rPr>
            <w:noProof/>
            <w:webHidden/>
          </w:rPr>
          <w:instrText xml:space="preserve"> PAGEREF _Toc32243603 \h </w:instrText>
        </w:r>
        <w:r w:rsidR="00BF5D9A">
          <w:rPr>
            <w:noProof/>
            <w:webHidden/>
          </w:rPr>
        </w:r>
        <w:r w:rsidR="00BF5D9A">
          <w:rPr>
            <w:noProof/>
            <w:webHidden/>
          </w:rPr>
          <w:fldChar w:fldCharType="separate"/>
        </w:r>
        <w:r w:rsidR="00BF5D9A">
          <w:rPr>
            <w:noProof/>
            <w:webHidden/>
          </w:rPr>
          <w:t>19</w:t>
        </w:r>
        <w:r w:rsidR="00BF5D9A">
          <w:rPr>
            <w:noProof/>
            <w:webHidden/>
          </w:rPr>
          <w:fldChar w:fldCharType="end"/>
        </w:r>
      </w:hyperlink>
    </w:p>
    <w:p w14:paraId="73575B90" w14:textId="4CB0F055" w:rsidR="00BF5D9A" w:rsidRDefault="00E956D9">
      <w:pPr>
        <w:pStyle w:val="Turinys1"/>
        <w:rPr>
          <w:rFonts w:eastAsiaTheme="minorEastAsia" w:cstheme="minorBidi"/>
          <w:b w:val="0"/>
          <w:bCs w:val="0"/>
          <w:caps w:val="0"/>
          <w:noProof/>
          <w:szCs w:val="22"/>
          <w:lang w:val="en-US" w:eastAsia="en-US"/>
        </w:rPr>
      </w:pPr>
      <w:hyperlink w:anchor="_Toc32243604" w:history="1">
        <w:r w:rsidR="00BF5D9A" w:rsidRPr="00581D8C">
          <w:rPr>
            <w:rStyle w:val="Hipersaitas"/>
            <w:rFonts w:ascii="Calibri" w:hAnsi="Calibri"/>
            <w:noProof/>
          </w:rPr>
          <w:t>25. Mokslas ir švietimas</w:t>
        </w:r>
        <w:r w:rsidR="00BF5D9A">
          <w:rPr>
            <w:noProof/>
            <w:webHidden/>
          </w:rPr>
          <w:tab/>
        </w:r>
        <w:r w:rsidR="00BF5D9A">
          <w:rPr>
            <w:noProof/>
            <w:webHidden/>
          </w:rPr>
          <w:fldChar w:fldCharType="begin"/>
        </w:r>
        <w:r w:rsidR="00BF5D9A">
          <w:rPr>
            <w:noProof/>
            <w:webHidden/>
          </w:rPr>
          <w:instrText xml:space="preserve"> PAGEREF _Toc32243604 \h </w:instrText>
        </w:r>
        <w:r w:rsidR="00BF5D9A">
          <w:rPr>
            <w:noProof/>
            <w:webHidden/>
          </w:rPr>
        </w:r>
        <w:r w:rsidR="00BF5D9A">
          <w:rPr>
            <w:noProof/>
            <w:webHidden/>
          </w:rPr>
          <w:fldChar w:fldCharType="separate"/>
        </w:r>
        <w:r w:rsidR="00BF5D9A">
          <w:rPr>
            <w:noProof/>
            <w:webHidden/>
          </w:rPr>
          <w:t>20</w:t>
        </w:r>
        <w:r w:rsidR="00BF5D9A">
          <w:rPr>
            <w:noProof/>
            <w:webHidden/>
          </w:rPr>
          <w:fldChar w:fldCharType="end"/>
        </w:r>
      </w:hyperlink>
    </w:p>
    <w:p w14:paraId="79609F2A" w14:textId="55BE3829" w:rsidR="00BF5D9A" w:rsidRDefault="00E956D9">
      <w:pPr>
        <w:pStyle w:val="Turinys2"/>
        <w:rPr>
          <w:rFonts w:eastAsiaTheme="minorEastAsia" w:cstheme="minorBidi"/>
          <w:i w:val="0"/>
          <w:noProof/>
          <w:szCs w:val="22"/>
          <w:lang w:val="en-US" w:eastAsia="en-US"/>
        </w:rPr>
      </w:pPr>
      <w:hyperlink w:anchor="_Toc32243605" w:history="1">
        <w:r w:rsidR="00BF5D9A" w:rsidRPr="00581D8C">
          <w:rPr>
            <w:rStyle w:val="Hipersaitas"/>
            <w:rFonts w:ascii="Calibri" w:eastAsia="Calibri" w:hAnsi="Calibri"/>
            <w:noProof/>
          </w:rPr>
          <w:t>Dėl kvietimo teikti paraiškas mokslo projektų finansavimui sąlygų</w:t>
        </w:r>
        <w:r w:rsidR="00BF5D9A">
          <w:rPr>
            <w:noProof/>
            <w:webHidden/>
          </w:rPr>
          <w:tab/>
        </w:r>
        <w:r w:rsidR="00BF5D9A">
          <w:rPr>
            <w:noProof/>
            <w:webHidden/>
          </w:rPr>
          <w:fldChar w:fldCharType="begin"/>
        </w:r>
        <w:r w:rsidR="00BF5D9A">
          <w:rPr>
            <w:noProof/>
            <w:webHidden/>
          </w:rPr>
          <w:instrText xml:space="preserve"> PAGEREF _Toc32243605 \h </w:instrText>
        </w:r>
        <w:r w:rsidR="00BF5D9A">
          <w:rPr>
            <w:noProof/>
            <w:webHidden/>
          </w:rPr>
        </w:r>
        <w:r w:rsidR="00BF5D9A">
          <w:rPr>
            <w:noProof/>
            <w:webHidden/>
          </w:rPr>
          <w:fldChar w:fldCharType="separate"/>
        </w:r>
        <w:r w:rsidR="00BF5D9A">
          <w:rPr>
            <w:noProof/>
            <w:webHidden/>
          </w:rPr>
          <w:t>20</w:t>
        </w:r>
        <w:r w:rsidR="00BF5D9A">
          <w:rPr>
            <w:noProof/>
            <w:webHidden/>
          </w:rPr>
          <w:fldChar w:fldCharType="end"/>
        </w:r>
      </w:hyperlink>
    </w:p>
    <w:p w14:paraId="0AC71834" w14:textId="5DD28E92" w:rsidR="00BF5D9A" w:rsidRDefault="00E956D9">
      <w:pPr>
        <w:pStyle w:val="Turinys1"/>
        <w:rPr>
          <w:rFonts w:eastAsiaTheme="minorEastAsia" w:cstheme="minorBidi"/>
          <w:b w:val="0"/>
          <w:bCs w:val="0"/>
          <w:caps w:val="0"/>
          <w:noProof/>
          <w:szCs w:val="22"/>
          <w:lang w:val="en-US" w:eastAsia="en-US"/>
        </w:rPr>
      </w:pPr>
      <w:hyperlink w:anchor="_Toc32243606" w:history="1">
        <w:r w:rsidR="00BF5D9A" w:rsidRPr="00581D8C">
          <w:rPr>
            <w:rStyle w:val="Hipersaitas"/>
            <w:rFonts w:cstheme="minorHAnsi"/>
            <w:noProof/>
          </w:rPr>
          <w:t>37. Bausmių vykdymo sąlygos</w:t>
        </w:r>
        <w:r w:rsidR="00BF5D9A">
          <w:rPr>
            <w:noProof/>
            <w:webHidden/>
          </w:rPr>
          <w:tab/>
        </w:r>
        <w:r w:rsidR="00BF5D9A">
          <w:rPr>
            <w:noProof/>
            <w:webHidden/>
          </w:rPr>
          <w:fldChar w:fldCharType="begin"/>
        </w:r>
        <w:r w:rsidR="00BF5D9A">
          <w:rPr>
            <w:noProof/>
            <w:webHidden/>
          </w:rPr>
          <w:instrText xml:space="preserve"> PAGEREF _Toc32243606 \h </w:instrText>
        </w:r>
        <w:r w:rsidR="00BF5D9A">
          <w:rPr>
            <w:noProof/>
            <w:webHidden/>
          </w:rPr>
        </w:r>
        <w:r w:rsidR="00BF5D9A">
          <w:rPr>
            <w:noProof/>
            <w:webHidden/>
          </w:rPr>
          <w:fldChar w:fldCharType="separate"/>
        </w:r>
        <w:r w:rsidR="00BF5D9A">
          <w:rPr>
            <w:noProof/>
            <w:webHidden/>
          </w:rPr>
          <w:t>21</w:t>
        </w:r>
        <w:r w:rsidR="00BF5D9A">
          <w:rPr>
            <w:noProof/>
            <w:webHidden/>
          </w:rPr>
          <w:fldChar w:fldCharType="end"/>
        </w:r>
      </w:hyperlink>
    </w:p>
    <w:p w14:paraId="12F845CE" w14:textId="67AAD8DF" w:rsidR="00BF5D9A" w:rsidRDefault="00E956D9">
      <w:pPr>
        <w:pStyle w:val="Turinys2"/>
        <w:rPr>
          <w:rFonts w:eastAsiaTheme="minorEastAsia" w:cstheme="minorBidi"/>
          <w:i w:val="0"/>
          <w:noProof/>
          <w:szCs w:val="22"/>
          <w:lang w:val="en-US" w:eastAsia="en-US"/>
        </w:rPr>
      </w:pPr>
      <w:hyperlink w:anchor="_Toc32243607" w:history="1">
        <w:r w:rsidR="00BF5D9A" w:rsidRPr="00581D8C">
          <w:rPr>
            <w:rStyle w:val="Hipersaitas"/>
            <w:noProof/>
          </w:rPr>
          <w:t>Dėl skatinimo priemonių skyrimo nuteistiesiems sąlygų</w:t>
        </w:r>
        <w:r w:rsidR="00BF5D9A">
          <w:rPr>
            <w:noProof/>
            <w:webHidden/>
          </w:rPr>
          <w:tab/>
        </w:r>
        <w:r w:rsidR="00BF5D9A">
          <w:rPr>
            <w:noProof/>
            <w:webHidden/>
          </w:rPr>
          <w:fldChar w:fldCharType="begin"/>
        </w:r>
        <w:r w:rsidR="00BF5D9A">
          <w:rPr>
            <w:noProof/>
            <w:webHidden/>
          </w:rPr>
          <w:instrText xml:space="preserve"> PAGEREF _Toc32243607 \h </w:instrText>
        </w:r>
        <w:r w:rsidR="00BF5D9A">
          <w:rPr>
            <w:noProof/>
            <w:webHidden/>
          </w:rPr>
        </w:r>
        <w:r w:rsidR="00BF5D9A">
          <w:rPr>
            <w:noProof/>
            <w:webHidden/>
          </w:rPr>
          <w:fldChar w:fldCharType="separate"/>
        </w:r>
        <w:r w:rsidR="00BF5D9A">
          <w:rPr>
            <w:noProof/>
            <w:webHidden/>
          </w:rPr>
          <w:t>21</w:t>
        </w:r>
        <w:r w:rsidR="00BF5D9A">
          <w:rPr>
            <w:noProof/>
            <w:webHidden/>
          </w:rPr>
          <w:fldChar w:fldCharType="end"/>
        </w:r>
      </w:hyperlink>
    </w:p>
    <w:p w14:paraId="599AAB2E" w14:textId="3EFEB5C8" w:rsidR="00BF5D9A" w:rsidRDefault="00E956D9">
      <w:pPr>
        <w:pStyle w:val="Turinys1"/>
        <w:rPr>
          <w:rFonts w:eastAsiaTheme="minorEastAsia" w:cstheme="minorBidi"/>
          <w:b w:val="0"/>
          <w:bCs w:val="0"/>
          <w:caps w:val="0"/>
          <w:noProof/>
          <w:szCs w:val="22"/>
          <w:lang w:val="en-US" w:eastAsia="en-US"/>
        </w:rPr>
      </w:pPr>
      <w:hyperlink w:anchor="_Toc32243608" w:history="1">
        <w:r w:rsidR="00BF5D9A" w:rsidRPr="00581D8C">
          <w:rPr>
            <w:rStyle w:val="Hipersaitas"/>
            <w:rFonts w:cstheme="minorHAnsi"/>
            <w:noProof/>
          </w:rPr>
          <w:t>41. Kiti ginčai viešojo administravimo srityje</w:t>
        </w:r>
        <w:r w:rsidR="00BF5D9A">
          <w:rPr>
            <w:noProof/>
            <w:webHidden/>
          </w:rPr>
          <w:tab/>
        </w:r>
        <w:r w:rsidR="00BF5D9A">
          <w:rPr>
            <w:noProof/>
            <w:webHidden/>
          </w:rPr>
          <w:fldChar w:fldCharType="begin"/>
        </w:r>
        <w:r w:rsidR="00BF5D9A">
          <w:rPr>
            <w:noProof/>
            <w:webHidden/>
          </w:rPr>
          <w:instrText xml:space="preserve"> PAGEREF _Toc32243608 \h </w:instrText>
        </w:r>
        <w:r w:rsidR="00BF5D9A">
          <w:rPr>
            <w:noProof/>
            <w:webHidden/>
          </w:rPr>
        </w:r>
        <w:r w:rsidR="00BF5D9A">
          <w:rPr>
            <w:noProof/>
            <w:webHidden/>
          </w:rPr>
          <w:fldChar w:fldCharType="separate"/>
        </w:r>
        <w:r w:rsidR="00BF5D9A">
          <w:rPr>
            <w:noProof/>
            <w:webHidden/>
          </w:rPr>
          <w:t>21</w:t>
        </w:r>
        <w:r w:rsidR="00BF5D9A">
          <w:rPr>
            <w:noProof/>
            <w:webHidden/>
          </w:rPr>
          <w:fldChar w:fldCharType="end"/>
        </w:r>
      </w:hyperlink>
    </w:p>
    <w:p w14:paraId="1DA5D828" w14:textId="60D0D575" w:rsidR="00BF5D9A" w:rsidRDefault="00E956D9">
      <w:pPr>
        <w:pStyle w:val="Turinys2"/>
        <w:rPr>
          <w:rFonts w:eastAsiaTheme="minorEastAsia" w:cstheme="minorBidi"/>
          <w:i w:val="0"/>
          <w:noProof/>
          <w:szCs w:val="22"/>
          <w:lang w:val="en-US" w:eastAsia="en-US"/>
        </w:rPr>
      </w:pPr>
      <w:hyperlink w:anchor="_Toc32243609" w:history="1">
        <w:r w:rsidR="00BF5D9A" w:rsidRPr="00581D8C">
          <w:rPr>
            <w:rStyle w:val="Hipersaitas"/>
            <w:noProof/>
          </w:rPr>
          <w:t>Dėl pagrindo pradėti neplaninį bankroto administratoriaus patikrinimą</w:t>
        </w:r>
        <w:r w:rsidR="00BF5D9A">
          <w:rPr>
            <w:noProof/>
            <w:webHidden/>
          </w:rPr>
          <w:tab/>
        </w:r>
        <w:r w:rsidR="00BF5D9A">
          <w:rPr>
            <w:noProof/>
            <w:webHidden/>
          </w:rPr>
          <w:fldChar w:fldCharType="begin"/>
        </w:r>
        <w:r w:rsidR="00BF5D9A">
          <w:rPr>
            <w:noProof/>
            <w:webHidden/>
          </w:rPr>
          <w:instrText xml:space="preserve"> PAGEREF _Toc32243609 \h </w:instrText>
        </w:r>
        <w:r w:rsidR="00BF5D9A">
          <w:rPr>
            <w:noProof/>
            <w:webHidden/>
          </w:rPr>
        </w:r>
        <w:r w:rsidR="00BF5D9A">
          <w:rPr>
            <w:noProof/>
            <w:webHidden/>
          </w:rPr>
          <w:fldChar w:fldCharType="separate"/>
        </w:r>
        <w:r w:rsidR="00BF5D9A">
          <w:rPr>
            <w:noProof/>
            <w:webHidden/>
          </w:rPr>
          <w:t>22</w:t>
        </w:r>
        <w:r w:rsidR="00BF5D9A">
          <w:rPr>
            <w:noProof/>
            <w:webHidden/>
          </w:rPr>
          <w:fldChar w:fldCharType="end"/>
        </w:r>
      </w:hyperlink>
    </w:p>
    <w:p w14:paraId="7E624534" w14:textId="77B78FC1" w:rsidR="00BF5D9A" w:rsidRDefault="00E956D9">
      <w:pPr>
        <w:pStyle w:val="Turinys2"/>
        <w:rPr>
          <w:rFonts w:eastAsiaTheme="minorEastAsia" w:cstheme="minorBidi"/>
          <w:i w:val="0"/>
          <w:noProof/>
          <w:szCs w:val="22"/>
          <w:lang w:val="en-US" w:eastAsia="en-US"/>
        </w:rPr>
      </w:pPr>
      <w:hyperlink w:anchor="_Toc32243610" w:history="1">
        <w:r w:rsidR="00BF5D9A" w:rsidRPr="00581D8C">
          <w:rPr>
            <w:rStyle w:val="Hipersaitas"/>
            <w:noProof/>
          </w:rPr>
          <w:t>Dėl pakartotinio prašymo nagrinėjimo Architektų profesinio atestavimo komisijoje tvarkos</w:t>
        </w:r>
        <w:r w:rsidR="00BF5D9A">
          <w:rPr>
            <w:noProof/>
            <w:webHidden/>
          </w:rPr>
          <w:tab/>
        </w:r>
        <w:r w:rsidR="00BF5D9A">
          <w:rPr>
            <w:noProof/>
            <w:webHidden/>
          </w:rPr>
          <w:fldChar w:fldCharType="begin"/>
        </w:r>
        <w:r w:rsidR="00BF5D9A">
          <w:rPr>
            <w:noProof/>
            <w:webHidden/>
          </w:rPr>
          <w:instrText xml:space="preserve"> PAGEREF _Toc32243610 \h </w:instrText>
        </w:r>
        <w:r w:rsidR="00BF5D9A">
          <w:rPr>
            <w:noProof/>
            <w:webHidden/>
          </w:rPr>
        </w:r>
        <w:r w:rsidR="00BF5D9A">
          <w:rPr>
            <w:noProof/>
            <w:webHidden/>
          </w:rPr>
          <w:fldChar w:fldCharType="separate"/>
        </w:r>
        <w:r w:rsidR="00BF5D9A">
          <w:rPr>
            <w:noProof/>
            <w:webHidden/>
          </w:rPr>
          <w:t>22</w:t>
        </w:r>
        <w:r w:rsidR="00BF5D9A">
          <w:rPr>
            <w:noProof/>
            <w:webHidden/>
          </w:rPr>
          <w:fldChar w:fldCharType="end"/>
        </w:r>
      </w:hyperlink>
    </w:p>
    <w:p w14:paraId="1B05D175" w14:textId="7DF86EAC" w:rsidR="00BF5D9A" w:rsidRDefault="00E956D9">
      <w:pPr>
        <w:pStyle w:val="Turinys2"/>
        <w:rPr>
          <w:rFonts w:eastAsiaTheme="minorEastAsia" w:cstheme="minorBidi"/>
          <w:i w:val="0"/>
          <w:noProof/>
          <w:szCs w:val="22"/>
          <w:lang w:val="en-US" w:eastAsia="en-US"/>
        </w:rPr>
      </w:pPr>
      <w:hyperlink w:anchor="_Toc32243611" w:history="1">
        <w:r w:rsidR="00BF5D9A" w:rsidRPr="00581D8C">
          <w:rPr>
            <w:rStyle w:val="Hipersaitas"/>
            <w:noProof/>
          </w:rPr>
          <w:t>Dėl asmens teisės gauti LITEKO duomenis</w:t>
        </w:r>
        <w:r w:rsidR="00BF5D9A">
          <w:rPr>
            <w:noProof/>
            <w:webHidden/>
          </w:rPr>
          <w:tab/>
        </w:r>
        <w:r w:rsidR="00BF5D9A">
          <w:rPr>
            <w:noProof/>
            <w:webHidden/>
          </w:rPr>
          <w:fldChar w:fldCharType="begin"/>
        </w:r>
        <w:r w:rsidR="00BF5D9A">
          <w:rPr>
            <w:noProof/>
            <w:webHidden/>
          </w:rPr>
          <w:instrText xml:space="preserve"> PAGEREF _Toc32243611 \h </w:instrText>
        </w:r>
        <w:r w:rsidR="00BF5D9A">
          <w:rPr>
            <w:noProof/>
            <w:webHidden/>
          </w:rPr>
        </w:r>
        <w:r w:rsidR="00BF5D9A">
          <w:rPr>
            <w:noProof/>
            <w:webHidden/>
          </w:rPr>
          <w:fldChar w:fldCharType="separate"/>
        </w:r>
        <w:r w:rsidR="00BF5D9A">
          <w:rPr>
            <w:noProof/>
            <w:webHidden/>
          </w:rPr>
          <w:t>23</w:t>
        </w:r>
        <w:r w:rsidR="00BF5D9A">
          <w:rPr>
            <w:noProof/>
            <w:webHidden/>
          </w:rPr>
          <w:fldChar w:fldCharType="end"/>
        </w:r>
      </w:hyperlink>
    </w:p>
    <w:p w14:paraId="494128D4" w14:textId="3E8B31DF" w:rsidR="00BF5D9A" w:rsidRDefault="00E956D9">
      <w:pPr>
        <w:pStyle w:val="Turinys1"/>
        <w:rPr>
          <w:rFonts w:eastAsiaTheme="minorEastAsia" w:cstheme="minorBidi"/>
          <w:b w:val="0"/>
          <w:bCs w:val="0"/>
          <w:caps w:val="0"/>
          <w:noProof/>
          <w:szCs w:val="22"/>
          <w:lang w:val="en-US" w:eastAsia="en-US"/>
        </w:rPr>
      </w:pPr>
      <w:hyperlink w:anchor="_Toc32243612" w:history="1">
        <w:r w:rsidR="00BF5D9A" w:rsidRPr="00581D8C">
          <w:rPr>
            <w:rStyle w:val="Hipersaitas"/>
            <w:rFonts w:cstheme="minorHAnsi"/>
            <w:noProof/>
          </w:rPr>
          <w:t>II. Administracinių bylų teisena</w:t>
        </w:r>
        <w:r w:rsidR="00BF5D9A">
          <w:rPr>
            <w:noProof/>
            <w:webHidden/>
          </w:rPr>
          <w:tab/>
        </w:r>
        <w:r w:rsidR="00BF5D9A">
          <w:rPr>
            <w:noProof/>
            <w:webHidden/>
          </w:rPr>
          <w:fldChar w:fldCharType="begin"/>
        </w:r>
        <w:r w:rsidR="00BF5D9A">
          <w:rPr>
            <w:noProof/>
            <w:webHidden/>
          </w:rPr>
          <w:instrText xml:space="preserve"> PAGEREF _Toc32243612 \h </w:instrText>
        </w:r>
        <w:r w:rsidR="00BF5D9A">
          <w:rPr>
            <w:noProof/>
            <w:webHidden/>
          </w:rPr>
        </w:r>
        <w:r w:rsidR="00BF5D9A">
          <w:rPr>
            <w:noProof/>
            <w:webHidden/>
          </w:rPr>
          <w:fldChar w:fldCharType="separate"/>
        </w:r>
        <w:r w:rsidR="00BF5D9A">
          <w:rPr>
            <w:noProof/>
            <w:webHidden/>
          </w:rPr>
          <w:t>25</w:t>
        </w:r>
        <w:r w:rsidR="00BF5D9A">
          <w:rPr>
            <w:noProof/>
            <w:webHidden/>
          </w:rPr>
          <w:fldChar w:fldCharType="end"/>
        </w:r>
      </w:hyperlink>
    </w:p>
    <w:p w14:paraId="63C8371D" w14:textId="69346BFE" w:rsidR="00BF5D9A" w:rsidRDefault="00E956D9">
      <w:pPr>
        <w:pStyle w:val="Turinys1"/>
        <w:rPr>
          <w:rFonts w:eastAsiaTheme="minorEastAsia" w:cstheme="minorBidi"/>
          <w:b w:val="0"/>
          <w:bCs w:val="0"/>
          <w:caps w:val="0"/>
          <w:noProof/>
          <w:szCs w:val="22"/>
          <w:lang w:val="en-US" w:eastAsia="en-US"/>
        </w:rPr>
      </w:pPr>
      <w:hyperlink w:anchor="_Toc32243613" w:history="1">
        <w:r w:rsidR="00BF5D9A" w:rsidRPr="00581D8C">
          <w:rPr>
            <w:rStyle w:val="Hipersaitas"/>
            <w:rFonts w:cstheme="minorHAnsi"/>
            <w:noProof/>
          </w:rPr>
          <w:t>43. Teisė kreiptis į teismą ir jos realizavimas</w:t>
        </w:r>
        <w:r w:rsidR="00BF5D9A">
          <w:rPr>
            <w:noProof/>
            <w:webHidden/>
          </w:rPr>
          <w:tab/>
        </w:r>
        <w:r w:rsidR="00BF5D9A">
          <w:rPr>
            <w:noProof/>
            <w:webHidden/>
          </w:rPr>
          <w:fldChar w:fldCharType="begin"/>
        </w:r>
        <w:r w:rsidR="00BF5D9A">
          <w:rPr>
            <w:noProof/>
            <w:webHidden/>
          </w:rPr>
          <w:instrText xml:space="preserve"> PAGEREF _Toc32243613 \h </w:instrText>
        </w:r>
        <w:r w:rsidR="00BF5D9A">
          <w:rPr>
            <w:noProof/>
            <w:webHidden/>
          </w:rPr>
        </w:r>
        <w:r w:rsidR="00BF5D9A">
          <w:rPr>
            <w:noProof/>
            <w:webHidden/>
          </w:rPr>
          <w:fldChar w:fldCharType="separate"/>
        </w:r>
        <w:r w:rsidR="00BF5D9A">
          <w:rPr>
            <w:noProof/>
            <w:webHidden/>
          </w:rPr>
          <w:t>25</w:t>
        </w:r>
        <w:r w:rsidR="00BF5D9A">
          <w:rPr>
            <w:noProof/>
            <w:webHidden/>
          </w:rPr>
          <w:fldChar w:fldCharType="end"/>
        </w:r>
      </w:hyperlink>
    </w:p>
    <w:p w14:paraId="12F7352B" w14:textId="18FB1BA7" w:rsidR="00BF5D9A" w:rsidRDefault="00E956D9">
      <w:pPr>
        <w:pStyle w:val="Turinys2"/>
        <w:rPr>
          <w:rFonts w:eastAsiaTheme="minorEastAsia" w:cstheme="minorBidi"/>
          <w:i w:val="0"/>
          <w:noProof/>
          <w:szCs w:val="22"/>
          <w:lang w:val="en-US" w:eastAsia="en-US"/>
        </w:rPr>
      </w:pPr>
      <w:hyperlink w:anchor="_Toc32243614" w:history="1">
        <w:r w:rsidR="00BF5D9A" w:rsidRPr="00581D8C">
          <w:rPr>
            <w:rStyle w:val="Hipersaitas"/>
            <w:noProof/>
          </w:rPr>
          <w:t>Dėl asmens teisės ginčyti ne dėl jo priimtą administracinį aktą</w:t>
        </w:r>
        <w:r w:rsidR="00BF5D9A">
          <w:rPr>
            <w:noProof/>
            <w:webHidden/>
          </w:rPr>
          <w:tab/>
        </w:r>
        <w:r w:rsidR="00BF5D9A">
          <w:rPr>
            <w:noProof/>
            <w:webHidden/>
          </w:rPr>
          <w:fldChar w:fldCharType="begin"/>
        </w:r>
        <w:r w:rsidR="00BF5D9A">
          <w:rPr>
            <w:noProof/>
            <w:webHidden/>
          </w:rPr>
          <w:instrText xml:space="preserve"> PAGEREF _Toc32243614 \h </w:instrText>
        </w:r>
        <w:r w:rsidR="00BF5D9A">
          <w:rPr>
            <w:noProof/>
            <w:webHidden/>
          </w:rPr>
        </w:r>
        <w:r w:rsidR="00BF5D9A">
          <w:rPr>
            <w:noProof/>
            <w:webHidden/>
          </w:rPr>
          <w:fldChar w:fldCharType="separate"/>
        </w:r>
        <w:r w:rsidR="00BF5D9A">
          <w:rPr>
            <w:noProof/>
            <w:webHidden/>
          </w:rPr>
          <w:t>25</w:t>
        </w:r>
        <w:r w:rsidR="00BF5D9A">
          <w:rPr>
            <w:noProof/>
            <w:webHidden/>
          </w:rPr>
          <w:fldChar w:fldCharType="end"/>
        </w:r>
      </w:hyperlink>
    </w:p>
    <w:p w14:paraId="19CBDCDB" w14:textId="30BF8019" w:rsidR="00520245" w:rsidRDefault="00A364C6" w:rsidP="00496E0E">
      <w:pPr>
        <w:spacing w:before="240" w:after="240"/>
        <w:jc w:val="both"/>
        <w:rPr>
          <w:rFonts w:asciiTheme="minorHAnsi" w:hAnsiTheme="minorHAnsi" w:cstheme="minorHAnsi"/>
          <w:sz w:val="22"/>
          <w:szCs w:val="22"/>
        </w:rPr>
      </w:pPr>
      <w:r w:rsidRPr="00B240C0">
        <w:rPr>
          <w:rFonts w:asciiTheme="minorHAnsi" w:hAnsiTheme="minorHAnsi" w:cstheme="minorHAnsi"/>
          <w:sz w:val="22"/>
          <w:szCs w:val="22"/>
        </w:rPr>
        <w:fldChar w:fldCharType="end"/>
      </w:r>
      <w:bookmarkEnd w:id="6"/>
    </w:p>
    <w:p w14:paraId="11BC93FC" w14:textId="185262B1" w:rsidR="00293CF6" w:rsidRDefault="00293CF6" w:rsidP="00496E0E">
      <w:pPr>
        <w:spacing w:before="240" w:after="240"/>
        <w:jc w:val="both"/>
        <w:rPr>
          <w:rFonts w:asciiTheme="minorHAnsi" w:hAnsiTheme="minorHAnsi" w:cstheme="minorHAnsi"/>
          <w:sz w:val="22"/>
          <w:szCs w:val="22"/>
        </w:rPr>
      </w:pPr>
      <w:r>
        <w:rPr>
          <w:rFonts w:asciiTheme="minorHAnsi" w:hAnsiTheme="minorHAnsi" w:cstheme="minorHAnsi"/>
          <w:sz w:val="22"/>
          <w:szCs w:val="22"/>
        </w:rPr>
        <w:t xml:space="preserve">Šioje apžvalgoje vartojami </w:t>
      </w:r>
      <w:r w:rsidRPr="006D2858">
        <w:rPr>
          <w:rFonts w:asciiTheme="minorHAnsi" w:hAnsiTheme="minorHAnsi" w:cstheme="minorHAnsi"/>
          <w:b/>
          <w:sz w:val="22"/>
          <w:szCs w:val="22"/>
        </w:rPr>
        <w:t>sutrumpinimai</w:t>
      </w:r>
      <w:r>
        <w:rPr>
          <w:rFonts w:asciiTheme="minorHAnsi" w:hAnsiTheme="minorHAnsi" w:cstheme="minorHAnsi"/>
          <w:sz w:val="22"/>
          <w:szCs w:val="22"/>
        </w:rPr>
        <w:t>:</w:t>
      </w:r>
    </w:p>
    <w:p w14:paraId="7AF347C7" w14:textId="77777777" w:rsidR="002F1CF6" w:rsidRPr="004C384F" w:rsidRDefault="002F1CF6" w:rsidP="00496E0E">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vyriausiasis administracinis teismas – </w:t>
      </w:r>
      <w:r w:rsidRPr="004C384F">
        <w:rPr>
          <w:rFonts w:asciiTheme="minorHAnsi" w:hAnsiTheme="minorHAnsi" w:cstheme="minorHAnsi"/>
          <w:b/>
          <w:sz w:val="22"/>
          <w:szCs w:val="22"/>
        </w:rPr>
        <w:t>LVAT</w:t>
      </w:r>
    </w:p>
    <w:p w14:paraId="356C2674" w14:textId="77777777" w:rsidR="002F1CF6" w:rsidRPr="004C384F" w:rsidRDefault="002F1CF6" w:rsidP="00496E0E">
      <w:pPr>
        <w:jc w:val="both"/>
        <w:rPr>
          <w:rFonts w:asciiTheme="minorHAnsi" w:hAnsiTheme="minorHAnsi" w:cstheme="minorHAnsi"/>
          <w:sz w:val="22"/>
          <w:szCs w:val="22"/>
        </w:rPr>
      </w:pPr>
      <w:r w:rsidRPr="004C384F">
        <w:rPr>
          <w:rFonts w:asciiTheme="minorHAnsi" w:hAnsiTheme="minorHAnsi" w:cstheme="minorHAnsi"/>
          <w:sz w:val="22"/>
          <w:szCs w:val="22"/>
        </w:rPr>
        <w:t xml:space="preserve">Lietuvos Respublikos administracinių bylų teisenos įstatymas – </w:t>
      </w:r>
      <w:r w:rsidRPr="004C384F">
        <w:rPr>
          <w:rFonts w:asciiTheme="minorHAnsi" w:hAnsiTheme="minorHAnsi" w:cstheme="minorHAnsi"/>
          <w:b/>
          <w:sz w:val="22"/>
          <w:szCs w:val="22"/>
        </w:rPr>
        <w:t>ABTĮ</w:t>
      </w:r>
      <w:r w:rsidRPr="004C384F">
        <w:rPr>
          <w:rFonts w:asciiTheme="minorHAnsi" w:hAnsiTheme="minorHAnsi" w:cstheme="minorHAnsi"/>
          <w:sz w:val="22"/>
          <w:szCs w:val="22"/>
        </w:rPr>
        <w:t xml:space="preserve"> </w:t>
      </w:r>
    </w:p>
    <w:p w14:paraId="110BFC3C" w14:textId="5941245A" w:rsidR="002F1CF6" w:rsidRDefault="002F1CF6" w:rsidP="00496E0E">
      <w:pPr>
        <w:jc w:val="both"/>
        <w:rPr>
          <w:rFonts w:asciiTheme="minorHAnsi" w:hAnsiTheme="minorHAnsi" w:cstheme="minorHAnsi"/>
          <w:b/>
          <w:sz w:val="22"/>
          <w:szCs w:val="22"/>
        </w:rPr>
      </w:pPr>
      <w:r w:rsidRPr="001A4AFC">
        <w:rPr>
          <w:rFonts w:asciiTheme="minorHAnsi" w:hAnsiTheme="minorHAnsi" w:cstheme="minorHAnsi"/>
          <w:sz w:val="22"/>
          <w:szCs w:val="22"/>
        </w:rPr>
        <w:t xml:space="preserve">Lietuvos Respublikos </w:t>
      </w:r>
      <w:r w:rsidR="001A4AFC" w:rsidRPr="001A4AFC">
        <w:rPr>
          <w:rFonts w:asciiTheme="minorHAnsi" w:hAnsiTheme="minorHAnsi" w:cstheme="minorHAnsi"/>
          <w:sz w:val="22"/>
          <w:szCs w:val="22"/>
        </w:rPr>
        <w:t>bausmių vykdymo</w:t>
      </w:r>
      <w:r w:rsidRPr="001A4AFC">
        <w:rPr>
          <w:rFonts w:asciiTheme="minorHAnsi" w:hAnsiTheme="minorHAnsi" w:cstheme="minorHAnsi"/>
          <w:sz w:val="22"/>
          <w:szCs w:val="22"/>
        </w:rPr>
        <w:t xml:space="preserve"> kodeksas – </w:t>
      </w:r>
      <w:r w:rsidR="001A4AFC">
        <w:rPr>
          <w:rFonts w:asciiTheme="minorHAnsi" w:hAnsiTheme="minorHAnsi" w:cstheme="minorHAnsi"/>
          <w:b/>
          <w:sz w:val="22"/>
          <w:szCs w:val="22"/>
        </w:rPr>
        <w:t>BVK</w:t>
      </w:r>
    </w:p>
    <w:p w14:paraId="3E324524" w14:textId="6C1FEE53" w:rsidR="00793668" w:rsidRDefault="00793668" w:rsidP="00496E0E">
      <w:pPr>
        <w:jc w:val="both"/>
        <w:rPr>
          <w:rFonts w:asciiTheme="minorHAnsi" w:hAnsiTheme="minorHAnsi" w:cstheme="minorHAnsi"/>
          <w:sz w:val="22"/>
          <w:szCs w:val="22"/>
        </w:rPr>
      </w:pPr>
      <w:r w:rsidRPr="00793668">
        <w:rPr>
          <w:rFonts w:asciiTheme="minorHAnsi" w:hAnsiTheme="minorHAnsi" w:cstheme="minorHAnsi"/>
          <w:bCs/>
          <w:sz w:val="22"/>
          <w:szCs w:val="22"/>
        </w:rPr>
        <w:t xml:space="preserve">Lietuvos Respublikos </w:t>
      </w:r>
      <w:r w:rsidR="00E279A9">
        <w:rPr>
          <w:rFonts w:asciiTheme="minorHAnsi" w:hAnsiTheme="minorHAnsi" w:cstheme="minorHAnsi"/>
          <w:bCs/>
          <w:sz w:val="22"/>
          <w:szCs w:val="22"/>
        </w:rPr>
        <w:t>baudžiamojo proceso</w:t>
      </w:r>
      <w:r w:rsidRPr="00793668">
        <w:rPr>
          <w:rFonts w:asciiTheme="minorHAnsi" w:hAnsiTheme="minorHAnsi" w:cstheme="minorHAnsi"/>
          <w:bCs/>
          <w:sz w:val="22"/>
          <w:szCs w:val="22"/>
        </w:rPr>
        <w:t xml:space="preserve"> kodeksas –</w:t>
      </w:r>
      <w:r>
        <w:rPr>
          <w:rFonts w:asciiTheme="minorHAnsi" w:hAnsiTheme="minorHAnsi" w:cstheme="minorHAnsi"/>
          <w:b/>
          <w:sz w:val="22"/>
          <w:szCs w:val="22"/>
        </w:rPr>
        <w:t xml:space="preserve"> </w:t>
      </w:r>
      <w:r w:rsidR="00E279A9">
        <w:rPr>
          <w:rFonts w:asciiTheme="minorHAnsi" w:hAnsiTheme="minorHAnsi" w:cstheme="minorHAnsi"/>
          <w:b/>
          <w:sz w:val="22"/>
          <w:szCs w:val="22"/>
        </w:rPr>
        <w:t>BPK</w:t>
      </w:r>
    </w:p>
    <w:p w14:paraId="3CBFD35A" w14:textId="77777777" w:rsidR="002F1CF6" w:rsidRDefault="002F1CF6" w:rsidP="00496E0E">
      <w:pPr>
        <w:jc w:val="both"/>
        <w:rPr>
          <w:rFonts w:asciiTheme="minorHAnsi" w:hAnsiTheme="minorHAnsi" w:cstheme="minorHAnsi"/>
          <w:sz w:val="22"/>
          <w:szCs w:val="22"/>
        </w:rPr>
      </w:pPr>
      <w:r w:rsidRPr="00445177">
        <w:rPr>
          <w:rFonts w:asciiTheme="minorHAnsi" w:hAnsiTheme="minorHAnsi" w:cstheme="minorHAnsi"/>
          <w:sz w:val="22"/>
          <w:szCs w:val="22"/>
        </w:rPr>
        <w:t xml:space="preserve">Lietuvos Respublikos civilinis kodeksas – </w:t>
      </w:r>
      <w:r w:rsidRPr="00445177">
        <w:rPr>
          <w:rFonts w:asciiTheme="minorHAnsi" w:hAnsiTheme="minorHAnsi" w:cstheme="minorHAnsi"/>
          <w:b/>
          <w:sz w:val="22"/>
          <w:szCs w:val="22"/>
        </w:rPr>
        <w:t>CK</w:t>
      </w:r>
      <w:r w:rsidRPr="00841BF3">
        <w:rPr>
          <w:rFonts w:asciiTheme="minorHAnsi" w:hAnsiTheme="minorHAnsi" w:cstheme="minorHAnsi"/>
          <w:sz w:val="22"/>
          <w:szCs w:val="22"/>
        </w:rPr>
        <w:t xml:space="preserve"> </w:t>
      </w:r>
    </w:p>
    <w:p w14:paraId="261BE94E" w14:textId="77777777" w:rsidR="002F1CF6" w:rsidRDefault="002F1CF6" w:rsidP="00496E0E">
      <w:pPr>
        <w:jc w:val="both"/>
        <w:rPr>
          <w:rFonts w:asciiTheme="minorHAnsi" w:hAnsiTheme="minorHAnsi" w:cstheme="minorHAnsi"/>
          <w:b/>
          <w:sz w:val="22"/>
          <w:szCs w:val="22"/>
        </w:rPr>
      </w:pPr>
      <w:r w:rsidRPr="00A630DB">
        <w:rPr>
          <w:rFonts w:asciiTheme="minorHAnsi" w:hAnsiTheme="minorHAnsi" w:cstheme="minorHAnsi"/>
          <w:sz w:val="22"/>
          <w:szCs w:val="22"/>
        </w:rPr>
        <w:t>Lietuvos Respublikos darbo kodeksas –</w:t>
      </w:r>
      <w:r w:rsidRPr="00A630DB">
        <w:rPr>
          <w:rFonts w:asciiTheme="minorHAnsi" w:hAnsiTheme="minorHAnsi" w:cstheme="minorHAnsi"/>
          <w:b/>
          <w:sz w:val="22"/>
          <w:szCs w:val="22"/>
        </w:rPr>
        <w:t xml:space="preserve"> DK</w:t>
      </w:r>
    </w:p>
    <w:p w14:paraId="0E8DB19D" w14:textId="63A94C02" w:rsidR="002F1CF6" w:rsidRDefault="002F1CF6" w:rsidP="00496E0E">
      <w:pPr>
        <w:jc w:val="both"/>
        <w:rPr>
          <w:rFonts w:asciiTheme="minorHAnsi" w:hAnsiTheme="minorHAnsi" w:cstheme="minorHAnsi"/>
          <w:b/>
          <w:sz w:val="22"/>
          <w:szCs w:val="22"/>
        </w:rPr>
      </w:pPr>
      <w:r w:rsidRPr="007C376F">
        <w:rPr>
          <w:rFonts w:asciiTheme="minorHAnsi" w:hAnsiTheme="minorHAnsi" w:cstheme="minorHAnsi"/>
          <w:bCs/>
          <w:sz w:val="22"/>
          <w:szCs w:val="22"/>
        </w:rPr>
        <w:t>Lietuvos Aukščiausiasis Teismas –</w:t>
      </w:r>
      <w:r w:rsidRPr="007C376F">
        <w:rPr>
          <w:rFonts w:asciiTheme="minorHAnsi" w:hAnsiTheme="minorHAnsi" w:cstheme="minorHAnsi"/>
          <w:b/>
          <w:sz w:val="22"/>
          <w:szCs w:val="22"/>
        </w:rPr>
        <w:t xml:space="preserve"> LAT</w:t>
      </w:r>
      <w:r w:rsidRPr="005937CA">
        <w:rPr>
          <w:rFonts w:asciiTheme="minorHAnsi" w:hAnsiTheme="minorHAnsi" w:cstheme="minorHAnsi"/>
          <w:b/>
          <w:sz w:val="22"/>
          <w:szCs w:val="22"/>
        </w:rPr>
        <w:t xml:space="preserve"> </w:t>
      </w:r>
    </w:p>
    <w:p w14:paraId="70D5E0D5" w14:textId="1EA3D9EE" w:rsidR="00FD07AB" w:rsidRPr="005937CA" w:rsidRDefault="00FD07AB" w:rsidP="00496E0E">
      <w:pPr>
        <w:jc w:val="both"/>
        <w:rPr>
          <w:rFonts w:asciiTheme="minorHAnsi" w:hAnsiTheme="minorHAnsi" w:cstheme="minorHAnsi"/>
          <w:b/>
          <w:sz w:val="22"/>
          <w:szCs w:val="22"/>
        </w:rPr>
      </w:pPr>
      <w:r w:rsidRPr="001A72D2">
        <w:rPr>
          <w:rFonts w:asciiTheme="minorHAnsi" w:hAnsiTheme="minorHAnsi" w:cstheme="minorHAnsi"/>
          <w:bCs/>
          <w:sz w:val="22"/>
          <w:szCs w:val="22"/>
        </w:rPr>
        <w:t>Valstybinė mokesčių inspekcija prie</w:t>
      </w:r>
      <w:r w:rsidRPr="001A72D2">
        <w:rPr>
          <w:rFonts w:ascii="Arial" w:hAnsi="Arial" w:cs="Arial"/>
          <w:color w:val="545454"/>
          <w:sz w:val="21"/>
          <w:szCs w:val="21"/>
          <w:shd w:val="clear" w:color="auto" w:fill="FFFFFF"/>
        </w:rPr>
        <w:t xml:space="preserve"> </w:t>
      </w:r>
      <w:r w:rsidRPr="001A72D2">
        <w:rPr>
          <w:rFonts w:asciiTheme="minorHAnsi" w:hAnsiTheme="minorHAnsi" w:cstheme="minorHAnsi"/>
          <w:bCs/>
          <w:sz w:val="22"/>
          <w:szCs w:val="22"/>
        </w:rPr>
        <w:t xml:space="preserve">Lietuvos Respublikos finansų ministerijos – </w:t>
      </w:r>
      <w:r w:rsidRPr="001A72D2">
        <w:rPr>
          <w:rFonts w:asciiTheme="minorHAnsi" w:hAnsiTheme="minorHAnsi" w:cstheme="minorHAnsi"/>
          <w:b/>
          <w:sz w:val="22"/>
          <w:szCs w:val="22"/>
        </w:rPr>
        <w:t>VMI</w:t>
      </w:r>
    </w:p>
    <w:p w14:paraId="1F204854" w14:textId="77777777" w:rsidR="002F1CF6" w:rsidRPr="00445177" w:rsidRDefault="002F1CF6" w:rsidP="00496E0E">
      <w:pPr>
        <w:jc w:val="both"/>
        <w:rPr>
          <w:rFonts w:asciiTheme="minorHAnsi" w:hAnsiTheme="minorHAnsi" w:cstheme="minorHAnsi"/>
          <w:b/>
          <w:sz w:val="22"/>
          <w:szCs w:val="22"/>
        </w:rPr>
      </w:pPr>
      <w:r w:rsidRPr="00445177">
        <w:rPr>
          <w:rFonts w:asciiTheme="minorHAnsi" w:hAnsiTheme="minorHAnsi" w:cstheme="minorHAnsi"/>
          <w:sz w:val="22"/>
          <w:szCs w:val="22"/>
        </w:rPr>
        <w:t>Europos Sąjungos Teisingumo Teismas –</w:t>
      </w:r>
      <w:r w:rsidRPr="00445177">
        <w:rPr>
          <w:rFonts w:asciiTheme="minorHAnsi" w:hAnsiTheme="minorHAnsi" w:cstheme="minorHAnsi"/>
          <w:b/>
          <w:sz w:val="22"/>
          <w:szCs w:val="22"/>
        </w:rPr>
        <w:t xml:space="preserve"> ESTT </w:t>
      </w:r>
    </w:p>
    <w:p w14:paraId="34837E81" w14:textId="473961E7" w:rsidR="002F1CF6" w:rsidRPr="00402428" w:rsidRDefault="002F1CF6" w:rsidP="00496E0E">
      <w:pPr>
        <w:jc w:val="both"/>
        <w:rPr>
          <w:rFonts w:asciiTheme="minorHAnsi" w:hAnsiTheme="minorHAnsi" w:cstheme="minorHAnsi"/>
          <w:sz w:val="22"/>
          <w:szCs w:val="22"/>
        </w:rPr>
      </w:pPr>
      <w:r w:rsidRPr="00402428">
        <w:rPr>
          <w:rFonts w:asciiTheme="minorHAnsi" w:hAnsiTheme="minorHAnsi" w:cstheme="minorHAnsi"/>
          <w:sz w:val="22"/>
          <w:szCs w:val="22"/>
        </w:rPr>
        <w:t xml:space="preserve">Europos Žmogaus Teisių Teismas – </w:t>
      </w:r>
      <w:r w:rsidRPr="00402428">
        <w:rPr>
          <w:rFonts w:asciiTheme="minorHAnsi" w:hAnsiTheme="minorHAnsi" w:cstheme="minorHAnsi"/>
          <w:b/>
          <w:sz w:val="22"/>
          <w:szCs w:val="22"/>
        </w:rPr>
        <w:t>EŽTT</w:t>
      </w:r>
      <w:r w:rsidRPr="00402428">
        <w:rPr>
          <w:rFonts w:asciiTheme="minorHAnsi" w:hAnsiTheme="minorHAnsi" w:cstheme="minorHAnsi"/>
          <w:sz w:val="22"/>
          <w:szCs w:val="22"/>
        </w:rPr>
        <w:t xml:space="preserve"> </w:t>
      </w:r>
    </w:p>
    <w:p w14:paraId="7F6DAACA" w14:textId="54F11F19" w:rsidR="00445177" w:rsidRDefault="00445177" w:rsidP="00496E0E">
      <w:pPr>
        <w:jc w:val="both"/>
        <w:rPr>
          <w:rFonts w:asciiTheme="minorHAnsi" w:hAnsiTheme="minorHAnsi" w:cstheme="minorHAnsi"/>
          <w:sz w:val="22"/>
          <w:szCs w:val="22"/>
        </w:rPr>
      </w:pPr>
      <w:r w:rsidRPr="007C376F">
        <w:rPr>
          <w:rFonts w:asciiTheme="minorHAnsi" w:hAnsiTheme="minorHAnsi" w:cstheme="minorHAnsi"/>
          <w:sz w:val="22"/>
          <w:szCs w:val="22"/>
        </w:rPr>
        <w:t xml:space="preserve">Žmogaus teisių ir pagrindinių laisvių apsaugos konvencija – </w:t>
      </w:r>
      <w:r w:rsidRPr="007C376F">
        <w:rPr>
          <w:rFonts w:asciiTheme="minorHAnsi" w:hAnsiTheme="minorHAnsi" w:cstheme="minorHAnsi"/>
          <w:b/>
          <w:sz w:val="22"/>
          <w:szCs w:val="22"/>
        </w:rPr>
        <w:t>Konvencija</w:t>
      </w:r>
      <w:r>
        <w:rPr>
          <w:rFonts w:asciiTheme="minorHAnsi" w:hAnsiTheme="minorHAnsi" w:cstheme="minorHAnsi"/>
          <w:sz w:val="22"/>
          <w:szCs w:val="22"/>
        </w:rPr>
        <w:t xml:space="preserve"> </w:t>
      </w:r>
    </w:p>
    <w:p w14:paraId="6EE10D97" w14:textId="6683EE86" w:rsidR="001A72D2" w:rsidRDefault="001A72D2" w:rsidP="00496E0E">
      <w:pPr>
        <w:jc w:val="both"/>
        <w:rPr>
          <w:rFonts w:asciiTheme="minorHAnsi" w:hAnsiTheme="minorHAnsi" w:cstheme="minorHAnsi"/>
          <w:b/>
          <w:sz w:val="22"/>
          <w:szCs w:val="22"/>
        </w:rPr>
      </w:pPr>
      <w:r w:rsidRPr="001A72D2">
        <w:rPr>
          <w:rFonts w:asciiTheme="minorHAnsi" w:hAnsiTheme="minorHAnsi" w:cstheme="minorHAnsi"/>
          <w:sz w:val="22"/>
          <w:szCs w:val="22"/>
        </w:rPr>
        <w:t>Pridėtinės vertės mokestis –</w:t>
      </w:r>
      <w:r>
        <w:rPr>
          <w:rFonts w:asciiTheme="minorHAnsi" w:hAnsiTheme="minorHAnsi" w:cstheme="minorHAnsi"/>
          <w:b/>
          <w:sz w:val="22"/>
          <w:szCs w:val="22"/>
        </w:rPr>
        <w:t xml:space="preserve"> PVM</w:t>
      </w:r>
    </w:p>
    <w:p w14:paraId="6E628449" w14:textId="7F295151" w:rsidR="00EE26F3" w:rsidRPr="00445177" w:rsidRDefault="00EE26F3" w:rsidP="00496E0E">
      <w:pPr>
        <w:jc w:val="both"/>
        <w:rPr>
          <w:rFonts w:asciiTheme="minorHAnsi" w:hAnsiTheme="minorHAnsi" w:cstheme="minorHAnsi"/>
          <w:b/>
          <w:sz w:val="22"/>
          <w:szCs w:val="22"/>
        </w:rPr>
      </w:pPr>
      <w:r w:rsidRPr="00EE26F3">
        <w:rPr>
          <w:rFonts w:asciiTheme="minorHAnsi" w:hAnsiTheme="minorHAnsi" w:cstheme="minorHAnsi"/>
          <w:bCs/>
          <w:sz w:val="22"/>
          <w:szCs w:val="22"/>
        </w:rPr>
        <w:t>Viešoji įstaiga –</w:t>
      </w:r>
      <w:r>
        <w:rPr>
          <w:rFonts w:asciiTheme="minorHAnsi" w:hAnsiTheme="minorHAnsi" w:cstheme="minorHAnsi"/>
          <w:b/>
          <w:sz w:val="22"/>
          <w:szCs w:val="22"/>
        </w:rPr>
        <w:t xml:space="preserve"> VšĮ</w:t>
      </w:r>
    </w:p>
    <w:p w14:paraId="459F4DD8" w14:textId="219AF6F1" w:rsidR="004B5E60" w:rsidRDefault="00E227FE" w:rsidP="00496E0E">
      <w:pPr>
        <w:spacing w:before="240" w:after="240"/>
        <w:jc w:val="both"/>
        <w:rPr>
          <w:rFonts w:asciiTheme="minorHAnsi" w:hAnsiTheme="minorHAnsi" w:cstheme="minorHAnsi"/>
          <w:sz w:val="22"/>
          <w:szCs w:val="22"/>
        </w:rPr>
      </w:pPr>
      <w:r w:rsidRPr="00B240C0">
        <w:rPr>
          <w:rFonts w:asciiTheme="minorHAnsi" w:hAnsiTheme="minorHAnsi" w:cstheme="minorHAnsi"/>
          <w:b/>
          <w:sz w:val="22"/>
          <w:szCs w:val="22"/>
        </w:rPr>
        <w:t>P</w:t>
      </w:r>
      <w:r w:rsidR="003D4C15" w:rsidRPr="00B240C0">
        <w:rPr>
          <w:rFonts w:asciiTheme="minorHAnsi" w:hAnsiTheme="minorHAnsi" w:cstheme="minorHAnsi"/>
          <w:b/>
          <w:sz w:val="22"/>
          <w:szCs w:val="22"/>
        </w:rPr>
        <w:t>astaba.</w:t>
      </w:r>
      <w:r w:rsidR="003D4C15" w:rsidRPr="00B240C0">
        <w:rPr>
          <w:rFonts w:asciiTheme="minorHAnsi" w:hAnsiTheme="minorHAnsi" w:cstheme="minorHAnsi"/>
          <w:sz w:val="22"/>
          <w:szCs w:val="22"/>
        </w:rPr>
        <w:t xml:space="preserve"> Šioje apžvalgoje pateikiamos neoficialios </w:t>
      </w:r>
      <w:r w:rsidR="0028287C" w:rsidRPr="0028287C">
        <w:rPr>
          <w:rFonts w:asciiTheme="minorHAnsi" w:hAnsiTheme="minorHAnsi" w:cstheme="minorHAnsi"/>
          <w:sz w:val="22"/>
          <w:szCs w:val="22"/>
        </w:rPr>
        <w:t>LVAT</w:t>
      </w:r>
      <w:r w:rsidR="003D4C15" w:rsidRPr="00B240C0">
        <w:rPr>
          <w:rFonts w:asciiTheme="minorHAnsi" w:hAnsiTheme="minorHAnsi" w:cstheme="minorHAnsi"/>
          <w:sz w:val="22"/>
          <w:szCs w:val="22"/>
        </w:rPr>
        <w:t xml:space="preserve"> procesinių sprendimų santraukos, kurios LVAT nesaisto. Šis dokumentas yra skirtas tik info</w:t>
      </w:r>
      <w:r w:rsidR="009E6C8D" w:rsidRPr="00B240C0">
        <w:rPr>
          <w:rFonts w:asciiTheme="minorHAnsi" w:hAnsiTheme="minorHAnsi" w:cstheme="minorHAnsi"/>
          <w:sz w:val="22"/>
          <w:szCs w:val="22"/>
        </w:rPr>
        <w:t>rm</w:t>
      </w:r>
      <w:r w:rsidR="00E71287">
        <w:rPr>
          <w:rFonts w:asciiTheme="minorHAnsi" w:hAnsiTheme="minorHAnsi" w:cstheme="minorHAnsi"/>
          <w:sz w:val="22"/>
          <w:szCs w:val="22"/>
        </w:rPr>
        <w:t>uoti</w:t>
      </w:r>
      <w:r w:rsidR="003D4C15" w:rsidRPr="00B240C0">
        <w:rPr>
          <w:rFonts w:asciiTheme="minorHAnsi" w:hAnsiTheme="minorHAnsi" w:cstheme="minorHAnsi"/>
          <w:sz w:val="22"/>
          <w:szCs w:val="22"/>
        </w:rPr>
        <w:t>. Oficialius nutarčių bei sprendimų tekstus galite rasti pasinaudoję interaktyviomis nuorodomis. Informacija dėstoma remiantis Teisėjų tarybos 20</w:t>
      </w:r>
      <w:r w:rsidR="0045102F" w:rsidRPr="00B240C0">
        <w:rPr>
          <w:rFonts w:asciiTheme="minorHAnsi" w:hAnsiTheme="minorHAnsi" w:cstheme="minorHAnsi"/>
          <w:sz w:val="22"/>
          <w:szCs w:val="22"/>
        </w:rPr>
        <w:t>16</w:t>
      </w:r>
      <w:r w:rsidR="003D4C15" w:rsidRPr="00B240C0">
        <w:rPr>
          <w:rFonts w:asciiTheme="minorHAnsi" w:hAnsiTheme="minorHAnsi" w:cstheme="minorHAnsi"/>
          <w:sz w:val="22"/>
          <w:szCs w:val="22"/>
        </w:rPr>
        <w:t xml:space="preserve"> m. </w:t>
      </w:r>
      <w:r w:rsidR="0045102F" w:rsidRPr="00B240C0">
        <w:rPr>
          <w:rFonts w:asciiTheme="minorHAnsi" w:hAnsiTheme="minorHAnsi" w:cstheme="minorHAnsi"/>
          <w:sz w:val="22"/>
          <w:szCs w:val="22"/>
        </w:rPr>
        <w:t>rugsėjo 30</w:t>
      </w:r>
      <w:r w:rsidR="009E6C8D" w:rsidRPr="00B240C0">
        <w:rPr>
          <w:rFonts w:asciiTheme="minorHAnsi" w:hAnsiTheme="minorHAnsi" w:cstheme="minorHAnsi"/>
          <w:sz w:val="22"/>
          <w:szCs w:val="22"/>
        </w:rPr>
        <w:t> </w:t>
      </w:r>
      <w:r w:rsidR="00291483">
        <w:rPr>
          <w:rFonts w:asciiTheme="minorHAnsi" w:hAnsiTheme="minorHAnsi" w:cstheme="minorHAnsi"/>
          <w:sz w:val="22"/>
          <w:szCs w:val="22"/>
        </w:rPr>
        <w:t>d. nutarimu Nr. </w:t>
      </w:r>
      <w:r w:rsidR="003D4C15" w:rsidRPr="00B240C0">
        <w:rPr>
          <w:rFonts w:asciiTheme="minorHAnsi" w:hAnsiTheme="minorHAnsi" w:cstheme="minorHAnsi"/>
          <w:sz w:val="22"/>
          <w:szCs w:val="22"/>
        </w:rPr>
        <w:t>13P-</w:t>
      </w:r>
      <w:r w:rsidR="0045102F" w:rsidRPr="00B240C0">
        <w:rPr>
          <w:rFonts w:asciiTheme="minorHAnsi" w:hAnsiTheme="minorHAnsi" w:cstheme="minorHAnsi"/>
          <w:sz w:val="22"/>
          <w:szCs w:val="22"/>
        </w:rPr>
        <w:t>102</w:t>
      </w:r>
      <w:r w:rsidR="003D4C15" w:rsidRPr="00B240C0">
        <w:rPr>
          <w:rFonts w:asciiTheme="minorHAnsi" w:hAnsiTheme="minorHAnsi" w:cstheme="minorHAnsi"/>
          <w:sz w:val="22"/>
          <w:szCs w:val="22"/>
        </w:rPr>
        <w:t>-(7.1.2) patvirtintu Teismų procesinių sprendimų administracinėse bylose kategorijų klasifikatoriumi</w:t>
      </w:r>
      <w:r w:rsidR="0038475E">
        <w:rPr>
          <w:rFonts w:asciiTheme="minorHAnsi" w:hAnsiTheme="minorHAnsi" w:cstheme="minorHAnsi"/>
          <w:sz w:val="22"/>
          <w:szCs w:val="22"/>
        </w:rPr>
        <w:t xml:space="preserve"> (nuo 2019 m. vasario 1 d. galiojanti redakcija)</w:t>
      </w:r>
      <w:r w:rsidR="003D4C15" w:rsidRPr="00B240C0">
        <w:rPr>
          <w:rFonts w:asciiTheme="minorHAnsi" w:hAnsiTheme="minorHAnsi" w:cstheme="minorHAnsi"/>
          <w:sz w:val="22"/>
          <w:szCs w:val="22"/>
        </w:rPr>
        <w:t>.</w:t>
      </w:r>
      <w:bookmarkStart w:id="8" w:name="_Toc410389752"/>
      <w:bookmarkStart w:id="9" w:name="_Toc361146890"/>
      <w:bookmarkEnd w:id="7"/>
      <w:r w:rsidR="00CA65D3">
        <w:rPr>
          <w:rFonts w:asciiTheme="minorHAnsi" w:hAnsiTheme="minorHAnsi" w:cstheme="minorHAnsi"/>
          <w:sz w:val="22"/>
          <w:szCs w:val="22"/>
        </w:rPr>
        <w:t xml:space="preserve"> </w:t>
      </w:r>
    </w:p>
    <w:p w14:paraId="6AAB4AE5" w14:textId="77777777" w:rsidR="0007050C" w:rsidRPr="00E956D9" w:rsidRDefault="0007050C" w:rsidP="00496E0E">
      <w:pPr>
        <w:spacing w:before="240" w:after="240"/>
        <w:jc w:val="both"/>
        <w:rPr>
          <w:rFonts w:asciiTheme="minorHAnsi" w:hAnsiTheme="minorHAnsi" w:cstheme="minorHAnsi"/>
          <w:sz w:val="22"/>
          <w:szCs w:val="22"/>
        </w:rPr>
      </w:pPr>
      <w:r>
        <w:rPr>
          <w:rFonts w:asciiTheme="minorHAnsi" w:hAnsiTheme="minorHAnsi" w:cstheme="minorHAnsi"/>
          <w:sz w:val="22"/>
          <w:szCs w:val="22"/>
        </w:rPr>
        <w:br w:type="page"/>
      </w:r>
    </w:p>
    <w:p w14:paraId="4865180B" w14:textId="77777777" w:rsidR="00A84D45" w:rsidRPr="00821330" w:rsidRDefault="00A84D45" w:rsidP="00496E0E">
      <w:pPr>
        <w:pStyle w:val="Apzvalgai1"/>
        <w:rPr>
          <w:rFonts w:asciiTheme="minorHAnsi" w:hAnsiTheme="minorHAnsi" w:cstheme="minorHAnsi"/>
        </w:rPr>
      </w:pPr>
      <w:bookmarkStart w:id="10" w:name="_Toc519600852"/>
      <w:bookmarkStart w:id="11" w:name="_Toc32243574"/>
      <w:r w:rsidRPr="00821330">
        <w:rPr>
          <w:rFonts w:asciiTheme="minorHAnsi" w:hAnsiTheme="minorHAnsi" w:cstheme="minorHAnsi"/>
        </w:rPr>
        <w:lastRenderedPageBreak/>
        <w:t>I. Administracinės bylos, kylančios iš ginčų dėl teisės viešojo administravimo srityje</w:t>
      </w:r>
      <w:bookmarkEnd w:id="10"/>
      <w:bookmarkEnd w:id="11"/>
    </w:p>
    <w:p w14:paraId="6F5DEE8F" w14:textId="77777777" w:rsidR="000C6BFD" w:rsidRPr="00821330" w:rsidRDefault="000C6BFD" w:rsidP="00496E0E">
      <w:pPr>
        <w:rPr>
          <w:rFonts w:asciiTheme="minorHAnsi" w:hAnsiTheme="minorHAnsi" w:cstheme="minorHAnsi"/>
          <w:b/>
          <w:bCs/>
          <w:sz w:val="22"/>
          <w:szCs w:val="22"/>
          <w:u w:val="single"/>
        </w:rPr>
      </w:pPr>
      <w:bookmarkStart w:id="12" w:name="_Toc462149990"/>
      <w:bookmarkStart w:id="13" w:name="_Toc462150004"/>
      <w:bookmarkStart w:id="14" w:name="_Toc462149971"/>
      <w:bookmarkStart w:id="15" w:name="_Toc462149972"/>
    </w:p>
    <w:p w14:paraId="0FEE9B50" w14:textId="5B97FF80" w:rsidR="00B01FF9" w:rsidRPr="00222CE9" w:rsidRDefault="00AB444C" w:rsidP="00B01FF9">
      <w:pPr>
        <w:pStyle w:val="Antrat1"/>
        <w:rPr>
          <w:rFonts w:asciiTheme="minorHAnsi" w:hAnsiTheme="minorHAnsi" w:cstheme="minorHAnsi"/>
          <w:bCs/>
        </w:rPr>
      </w:pPr>
      <w:bookmarkStart w:id="16" w:name="_Toc32243575"/>
      <w:bookmarkEnd w:id="12"/>
      <w:bookmarkEnd w:id="13"/>
      <w:bookmarkEnd w:id="14"/>
      <w:bookmarkEnd w:id="15"/>
      <w:r w:rsidRPr="00222CE9">
        <w:rPr>
          <w:rFonts w:asciiTheme="minorHAnsi" w:hAnsiTheme="minorHAnsi" w:cstheme="minorHAnsi"/>
          <w:bCs/>
        </w:rPr>
        <w:t>7</w:t>
      </w:r>
      <w:r w:rsidR="00F124E5" w:rsidRPr="00222CE9">
        <w:rPr>
          <w:rFonts w:asciiTheme="minorHAnsi" w:hAnsiTheme="minorHAnsi" w:cstheme="minorHAnsi"/>
          <w:bCs/>
        </w:rPr>
        <w:t xml:space="preserve">. </w:t>
      </w:r>
      <w:r w:rsidR="00E17AD2" w:rsidRPr="00222CE9">
        <w:rPr>
          <w:rFonts w:asciiTheme="minorHAnsi" w:hAnsiTheme="minorHAnsi" w:cstheme="minorHAnsi"/>
          <w:bCs/>
        </w:rPr>
        <w:t>Socialinė apsauga</w:t>
      </w:r>
      <w:bookmarkEnd w:id="16"/>
    </w:p>
    <w:p w14:paraId="312ADB56" w14:textId="104F6A08" w:rsidR="007944F5" w:rsidRPr="00821330" w:rsidRDefault="00314C65" w:rsidP="003D3997">
      <w:pPr>
        <w:tabs>
          <w:tab w:val="left" w:pos="567"/>
        </w:tabs>
        <w:rPr>
          <w:rFonts w:asciiTheme="minorHAnsi" w:hAnsiTheme="minorHAnsi" w:cstheme="minorHAnsi"/>
          <w:b/>
          <w:bCs/>
          <w:sz w:val="22"/>
          <w:szCs w:val="22"/>
          <w:u w:val="single"/>
        </w:rPr>
      </w:pPr>
      <w:r w:rsidRPr="00821330">
        <w:rPr>
          <w:rFonts w:asciiTheme="minorHAnsi" w:hAnsiTheme="minorHAnsi" w:cstheme="minorHAnsi"/>
          <w:b/>
          <w:bCs/>
          <w:sz w:val="22"/>
          <w:szCs w:val="22"/>
        </w:rPr>
        <w:tab/>
      </w:r>
      <w:r w:rsidR="003D3997" w:rsidRPr="00821330">
        <w:rPr>
          <w:rFonts w:asciiTheme="minorHAnsi" w:hAnsiTheme="minorHAnsi" w:cstheme="minorHAnsi"/>
          <w:b/>
          <w:bCs/>
          <w:sz w:val="22"/>
          <w:szCs w:val="22"/>
          <w:u w:val="single"/>
        </w:rPr>
        <w:t>7.7. Valstybinės šalpos išmokos</w:t>
      </w:r>
    </w:p>
    <w:p w14:paraId="12A7D6AA" w14:textId="77777777" w:rsidR="007944F5" w:rsidRPr="00821330" w:rsidRDefault="007944F5" w:rsidP="00496E0E">
      <w:pPr>
        <w:tabs>
          <w:tab w:val="left" w:pos="567"/>
        </w:tabs>
        <w:rPr>
          <w:rFonts w:eastAsiaTheme="minorEastAsia"/>
          <w:sz w:val="22"/>
          <w:szCs w:val="22"/>
        </w:rPr>
      </w:pPr>
    </w:p>
    <w:p w14:paraId="6FF6BDE7" w14:textId="20520731" w:rsidR="007944F5" w:rsidRPr="00821330" w:rsidRDefault="007944F5" w:rsidP="00F31DA2">
      <w:pPr>
        <w:pStyle w:val="Antrat2"/>
      </w:pPr>
      <w:bookmarkStart w:id="17" w:name="_Toc32243576"/>
      <w:r w:rsidRPr="00821330">
        <w:t xml:space="preserve">Dėl </w:t>
      </w:r>
      <w:r w:rsidR="00D21615" w:rsidRPr="00821330">
        <w:t>tinkamo savivaldybės administracijos informavimo apie pasikeitusias aplinkybes, turinčias reikšmės šalpos išmokos mokėjimui</w:t>
      </w:r>
      <w:bookmarkEnd w:id="17"/>
    </w:p>
    <w:p w14:paraId="67E02E8B" w14:textId="77777777" w:rsidR="007944F5" w:rsidRPr="00821330" w:rsidRDefault="007944F5" w:rsidP="00496E0E">
      <w:pPr>
        <w:rPr>
          <w:sz w:val="22"/>
          <w:szCs w:val="22"/>
          <w:lang w:eastAsia="en-US"/>
        </w:rPr>
      </w:pPr>
    </w:p>
    <w:p w14:paraId="04EAFEAC" w14:textId="77777777" w:rsidR="00FE5EF0" w:rsidRPr="00821330" w:rsidRDefault="00433E7A" w:rsidP="00FE5EF0">
      <w:pPr>
        <w:tabs>
          <w:tab w:val="left" w:pos="567"/>
          <w:tab w:val="left" w:pos="6521"/>
        </w:tabs>
        <w:jc w:val="both"/>
        <w:rPr>
          <w:rFonts w:asciiTheme="minorHAnsi" w:hAnsiTheme="minorHAnsi" w:cstheme="minorHAnsi"/>
          <w:bCs/>
          <w:sz w:val="22"/>
          <w:szCs w:val="22"/>
        </w:rPr>
      </w:pPr>
      <w:r w:rsidRPr="00821330">
        <w:rPr>
          <w:rFonts w:asciiTheme="minorHAnsi" w:hAnsiTheme="minorHAnsi" w:cstheme="minorHAnsi"/>
          <w:sz w:val="22"/>
          <w:szCs w:val="22"/>
        </w:rPr>
        <w:tab/>
      </w:r>
      <w:r w:rsidR="007944F5" w:rsidRPr="00821330">
        <w:rPr>
          <w:rFonts w:asciiTheme="minorHAnsi" w:hAnsiTheme="minorHAnsi" w:cstheme="minorHAnsi"/>
          <w:sz w:val="22"/>
          <w:szCs w:val="22"/>
        </w:rPr>
        <w:t>Apžvelgiamoje</w:t>
      </w:r>
      <w:r w:rsidR="00640DB0" w:rsidRPr="00821330">
        <w:rPr>
          <w:rFonts w:asciiTheme="minorHAnsi" w:hAnsiTheme="minorHAnsi" w:cstheme="minorHAnsi"/>
          <w:sz w:val="22"/>
          <w:szCs w:val="22"/>
        </w:rPr>
        <w:t xml:space="preserve"> byloje </w:t>
      </w:r>
      <w:r w:rsidRPr="00821330">
        <w:rPr>
          <w:rFonts w:asciiTheme="minorHAnsi" w:hAnsiTheme="minorHAnsi" w:cstheme="minorHAnsi"/>
          <w:sz w:val="22"/>
          <w:szCs w:val="22"/>
        </w:rPr>
        <w:t xml:space="preserve">ginčas kilo dėl </w:t>
      </w:r>
      <w:r w:rsidRPr="00821330">
        <w:rPr>
          <w:rFonts w:asciiTheme="minorHAnsi" w:hAnsiTheme="minorHAnsi" w:cstheme="minorHAnsi"/>
          <w:bCs/>
          <w:sz w:val="22"/>
          <w:szCs w:val="22"/>
        </w:rPr>
        <w:t xml:space="preserve">Vilniaus miesto savivaldybės administracijos Socialinių reikalų ir sveikatos departamento Socialinių išmokų skyriaus sprendimo, kuriuo nurodyta pareiškėjui grąžinti neteisėtai gautą šalpos neįgalumo pensijos sumą (2 708,16 Eur), pagrįstumo ir teisėtumo. </w:t>
      </w:r>
    </w:p>
    <w:p w14:paraId="7735ECAD" w14:textId="77777777" w:rsidR="00FE5EF0" w:rsidRPr="00821330" w:rsidRDefault="00FE5EF0" w:rsidP="00FE5EF0">
      <w:pPr>
        <w:tabs>
          <w:tab w:val="left" w:pos="567"/>
          <w:tab w:val="left" w:pos="6521"/>
        </w:tabs>
        <w:jc w:val="both"/>
        <w:rPr>
          <w:rFonts w:asciiTheme="minorHAnsi" w:hAnsiTheme="minorHAnsi" w:cstheme="minorHAnsi"/>
          <w:bCs/>
          <w:sz w:val="22"/>
          <w:szCs w:val="22"/>
        </w:rPr>
      </w:pPr>
      <w:r w:rsidRPr="00821330">
        <w:rPr>
          <w:rFonts w:asciiTheme="minorHAnsi" w:hAnsiTheme="minorHAnsi" w:cstheme="minorHAnsi"/>
          <w:bCs/>
          <w:sz w:val="22"/>
          <w:szCs w:val="22"/>
        </w:rPr>
        <w:tab/>
      </w:r>
      <w:r w:rsidR="00433E7A" w:rsidRPr="00821330">
        <w:rPr>
          <w:rFonts w:asciiTheme="minorHAnsi" w:hAnsiTheme="minorHAnsi" w:cstheme="minorHAnsi"/>
          <w:bCs/>
          <w:sz w:val="22"/>
          <w:szCs w:val="22"/>
        </w:rPr>
        <w:t xml:space="preserve">Ginčijamas sprendimas pagrįstas </w:t>
      </w:r>
      <w:r w:rsidRPr="00821330">
        <w:rPr>
          <w:rFonts w:asciiTheme="minorHAnsi" w:hAnsiTheme="minorHAnsi" w:cstheme="minorHAnsi"/>
          <w:bCs/>
          <w:sz w:val="22"/>
          <w:szCs w:val="22"/>
        </w:rPr>
        <w:t>Š</w:t>
      </w:r>
      <w:r w:rsidR="00433E7A" w:rsidRPr="00821330">
        <w:rPr>
          <w:rFonts w:asciiTheme="minorHAnsi" w:hAnsiTheme="minorHAnsi" w:cstheme="minorHAnsi"/>
          <w:bCs/>
          <w:sz w:val="22"/>
          <w:szCs w:val="22"/>
        </w:rPr>
        <w:t xml:space="preserve">alpos pensijų įstatymo 18 straipsnio 4 dalimi, pagal kurią šalpos išmokos neskiriamos, o paskirtosios nemokamos asmenims, kuriems </w:t>
      </w:r>
      <w:r w:rsidRPr="00821330">
        <w:rPr>
          <w:rFonts w:asciiTheme="minorHAnsi" w:hAnsiTheme="minorHAnsi" w:cstheme="minorHAnsi"/>
          <w:bCs/>
          <w:sz w:val="22"/>
          <w:szCs w:val="22"/>
        </w:rPr>
        <w:t xml:space="preserve">BPK </w:t>
      </w:r>
      <w:r w:rsidR="00433E7A" w:rsidRPr="00821330">
        <w:rPr>
          <w:rFonts w:asciiTheme="minorHAnsi" w:hAnsiTheme="minorHAnsi" w:cstheme="minorHAnsi"/>
          <w:bCs/>
          <w:sz w:val="22"/>
          <w:szCs w:val="22"/>
        </w:rPr>
        <w:t xml:space="preserve">nustatyta tvarka paskirtos priverčiamosios stacionarinio stebėjimo specializuotose psichikos sveikatos priežiūros įstaigose medicinos priemonės. Šiems asmenims paskirtos šalpos išmokos nemokamos nuo kito mėnesio pirmos dienos po to, kai jie buvo pradėti priverstinai gydyti. </w:t>
      </w:r>
    </w:p>
    <w:p w14:paraId="1A78E79D" w14:textId="3A865048" w:rsidR="00FE5EF0" w:rsidRPr="00821330" w:rsidRDefault="00FE5EF0" w:rsidP="00FE5EF0">
      <w:pPr>
        <w:tabs>
          <w:tab w:val="left" w:pos="567"/>
          <w:tab w:val="left" w:pos="6521"/>
        </w:tabs>
        <w:jc w:val="both"/>
        <w:rPr>
          <w:rFonts w:asciiTheme="minorHAnsi" w:hAnsiTheme="minorHAnsi" w:cstheme="minorHAnsi"/>
          <w:bCs/>
          <w:sz w:val="22"/>
          <w:szCs w:val="22"/>
        </w:rPr>
      </w:pPr>
      <w:r w:rsidRPr="00821330">
        <w:rPr>
          <w:rFonts w:asciiTheme="minorHAnsi" w:hAnsiTheme="minorHAnsi" w:cstheme="minorHAnsi"/>
          <w:bCs/>
          <w:sz w:val="22"/>
          <w:szCs w:val="22"/>
        </w:rPr>
        <w:tab/>
      </w:r>
      <w:r w:rsidR="00433E7A" w:rsidRPr="00821330">
        <w:rPr>
          <w:rFonts w:asciiTheme="minorHAnsi" w:hAnsiTheme="minorHAnsi" w:cstheme="minorHAnsi"/>
          <w:bCs/>
          <w:sz w:val="22"/>
          <w:szCs w:val="22"/>
        </w:rPr>
        <w:t>Socialinių išmokų skyrius sprendimu pareiškėjui laikotarpiu nuo 2015 m. liepos 29 d. iki 2017 m. rugpjūčio 11 d. paskyrė šalpos pensiją neįgaliajam, netekusiam darbingumo. Vilniaus miesto apylinkės teismo 2016 m. kovo 22 d. nutartimi baudžiamojoje byloje pareiškėjui paskirta priverčiamoji medicinos priemonė – stacionarus stebėjimas bendro stebėjimo sąlygomis specializuotoje psichikos sveikatos priežiūros įstaigoje – VšĮ Rokiškio psichiatrijos ligoninėje. Pareiškėjas nuo 2016 m. balandžio 25 d.</w:t>
      </w:r>
      <w:r w:rsidRPr="00821330">
        <w:rPr>
          <w:rFonts w:asciiTheme="minorHAnsi" w:hAnsiTheme="minorHAnsi" w:cstheme="minorHAnsi"/>
          <w:bCs/>
          <w:sz w:val="22"/>
          <w:szCs w:val="22"/>
        </w:rPr>
        <w:t xml:space="preserve"> buvo</w:t>
      </w:r>
      <w:r w:rsidR="00433E7A" w:rsidRPr="00821330">
        <w:rPr>
          <w:rFonts w:asciiTheme="minorHAnsi" w:hAnsiTheme="minorHAnsi" w:cstheme="minorHAnsi"/>
          <w:bCs/>
          <w:sz w:val="22"/>
          <w:szCs w:val="22"/>
        </w:rPr>
        <w:t xml:space="preserve"> gydomas VšĮ Rokiškio psichiatrijos ligoninėje.</w:t>
      </w:r>
    </w:p>
    <w:p w14:paraId="09484E09" w14:textId="77777777" w:rsidR="00FE5EF0" w:rsidRPr="00821330" w:rsidRDefault="00FE5EF0" w:rsidP="00FE5EF0">
      <w:pPr>
        <w:tabs>
          <w:tab w:val="left" w:pos="567"/>
          <w:tab w:val="left" w:pos="6521"/>
        </w:tabs>
        <w:ind w:firstLine="567"/>
        <w:jc w:val="both"/>
        <w:rPr>
          <w:rFonts w:asciiTheme="minorHAnsi" w:hAnsiTheme="minorHAnsi" w:cstheme="minorHAnsi"/>
          <w:bCs/>
          <w:sz w:val="22"/>
          <w:szCs w:val="22"/>
          <w:u w:val="single"/>
        </w:rPr>
      </w:pPr>
      <w:r w:rsidRPr="00821330">
        <w:rPr>
          <w:rFonts w:asciiTheme="minorHAnsi" w:hAnsiTheme="minorHAnsi" w:cstheme="minorHAnsi"/>
          <w:bCs/>
          <w:sz w:val="22"/>
          <w:szCs w:val="22"/>
        </w:rPr>
        <w:t xml:space="preserve">Teisėjų kolegija nurodė, kad </w:t>
      </w:r>
      <w:r w:rsidR="00433E7A" w:rsidRPr="00821330">
        <w:rPr>
          <w:rFonts w:asciiTheme="minorHAnsi" w:hAnsiTheme="minorHAnsi" w:cstheme="minorHAnsi"/>
          <w:bCs/>
          <w:sz w:val="22"/>
          <w:szCs w:val="22"/>
        </w:rPr>
        <w:t xml:space="preserve">Šalpos pensijų įstatymo 15 straipsnio 10 dalyje nustatyta, </w:t>
      </w:r>
      <w:r w:rsidRPr="00821330">
        <w:rPr>
          <w:rFonts w:asciiTheme="minorHAnsi" w:hAnsiTheme="minorHAnsi" w:cstheme="minorHAnsi"/>
          <w:bCs/>
          <w:sz w:val="22"/>
          <w:szCs w:val="22"/>
        </w:rPr>
        <w:t>jog</w:t>
      </w:r>
      <w:r w:rsidR="00433E7A" w:rsidRPr="00821330">
        <w:rPr>
          <w:rFonts w:asciiTheme="minorHAnsi" w:hAnsiTheme="minorHAnsi" w:cstheme="minorHAnsi"/>
          <w:bCs/>
          <w:sz w:val="22"/>
          <w:szCs w:val="22"/>
        </w:rPr>
        <w:t xml:space="preserve"> jeigu šalpos išmokos gavėjas arba vienas iš jo tėvų (įtėvių), globėjas ar rūpintojas apie pasikeitusias aplinkybes laiku nepraneša ir dėl to permokama šalpos išmoka, permokėta suma grąžinama arba iš gavėjo išieškoma savivaldybės administracijos direktoriaus sprendimu. Atsižvelgiant į teisinį reguliavimą, o ypač Šalpos pensijų įstatymo 15 straipsnio 10 dalį ir 18 straipsnio 4 dalį, </w:t>
      </w:r>
      <w:r w:rsidRPr="00821330">
        <w:rPr>
          <w:rFonts w:asciiTheme="minorHAnsi" w:hAnsiTheme="minorHAnsi" w:cstheme="minorHAnsi"/>
          <w:bCs/>
          <w:sz w:val="22"/>
          <w:szCs w:val="22"/>
        </w:rPr>
        <w:t>padaryta</w:t>
      </w:r>
      <w:r w:rsidR="00433E7A" w:rsidRPr="00821330">
        <w:rPr>
          <w:rFonts w:asciiTheme="minorHAnsi" w:hAnsiTheme="minorHAnsi" w:cstheme="minorHAnsi"/>
          <w:bCs/>
          <w:sz w:val="22"/>
          <w:szCs w:val="22"/>
        </w:rPr>
        <w:t xml:space="preserve"> išvada, kad </w:t>
      </w:r>
      <w:r w:rsidR="00433E7A" w:rsidRPr="00821330">
        <w:rPr>
          <w:rFonts w:asciiTheme="minorHAnsi" w:hAnsiTheme="minorHAnsi" w:cstheme="minorHAnsi"/>
          <w:bCs/>
          <w:sz w:val="22"/>
          <w:szCs w:val="22"/>
          <w:u w:val="single"/>
        </w:rPr>
        <w:t>atsakovas susigrąžinti permokėtą šalpos sumą gali tik vienu atveju, kai šalpos išmokos gavėjas arba vienas iš jo tėvų (įtėvių), globėjas ar rūpintojas laiku nepraneša apie pasikeitusias aplinkybes.</w:t>
      </w:r>
    </w:p>
    <w:p w14:paraId="208A82D8" w14:textId="3823B158" w:rsidR="00FE5EF0" w:rsidRPr="00821330" w:rsidRDefault="00FE5EF0" w:rsidP="00FE5EF0">
      <w:pPr>
        <w:tabs>
          <w:tab w:val="left" w:pos="567"/>
          <w:tab w:val="left" w:pos="1134"/>
          <w:tab w:val="left" w:pos="1276"/>
        </w:tabs>
        <w:ind w:right="-1"/>
        <w:contextualSpacing/>
        <w:jc w:val="both"/>
        <w:rPr>
          <w:rFonts w:asciiTheme="minorHAnsi" w:hAnsiTheme="minorHAnsi" w:cstheme="minorHAnsi"/>
          <w:bCs/>
          <w:sz w:val="22"/>
          <w:szCs w:val="22"/>
        </w:rPr>
      </w:pPr>
      <w:r w:rsidRPr="00821330">
        <w:rPr>
          <w:rFonts w:asciiTheme="minorHAnsi" w:hAnsiTheme="minorHAnsi" w:cstheme="minorHAnsi"/>
          <w:bCs/>
          <w:sz w:val="22"/>
          <w:szCs w:val="22"/>
        </w:rPr>
        <w:tab/>
      </w:r>
      <w:r w:rsidR="00433E7A" w:rsidRPr="00821330">
        <w:rPr>
          <w:rFonts w:asciiTheme="minorHAnsi" w:hAnsiTheme="minorHAnsi" w:cstheme="minorHAnsi"/>
          <w:bCs/>
          <w:sz w:val="22"/>
          <w:szCs w:val="22"/>
        </w:rPr>
        <w:t>Teisėjų kolegija nesuti</w:t>
      </w:r>
      <w:r w:rsidRPr="00821330">
        <w:rPr>
          <w:rFonts w:asciiTheme="minorHAnsi" w:hAnsiTheme="minorHAnsi" w:cstheme="minorHAnsi"/>
          <w:bCs/>
          <w:sz w:val="22"/>
          <w:szCs w:val="22"/>
        </w:rPr>
        <w:t>ko</w:t>
      </w:r>
      <w:r w:rsidR="00433E7A" w:rsidRPr="00821330">
        <w:rPr>
          <w:rFonts w:asciiTheme="minorHAnsi" w:hAnsiTheme="minorHAnsi" w:cstheme="minorHAnsi"/>
          <w:bCs/>
          <w:sz w:val="22"/>
          <w:szCs w:val="22"/>
        </w:rPr>
        <w:t xml:space="preserve"> su pirmosios instancijos teismo pozicija, kad nagrinė</w:t>
      </w:r>
      <w:r w:rsidRPr="00821330">
        <w:rPr>
          <w:rFonts w:asciiTheme="minorHAnsi" w:hAnsiTheme="minorHAnsi" w:cstheme="minorHAnsi"/>
          <w:bCs/>
          <w:sz w:val="22"/>
          <w:szCs w:val="22"/>
        </w:rPr>
        <w:t>t</w:t>
      </w:r>
      <w:r w:rsidR="00433E7A" w:rsidRPr="00821330">
        <w:rPr>
          <w:rFonts w:asciiTheme="minorHAnsi" w:hAnsiTheme="minorHAnsi" w:cstheme="minorHAnsi"/>
          <w:bCs/>
          <w:sz w:val="22"/>
          <w:szCs w:val="22"/>
        </w:rPr>
        <w:t>u atveju svarbu ne tai, ar atsakovas buvo informuotas apie konkrečiu atveju svarbią Šalpos pensijų įstatymo 18 straipsnio 4 dalies požiūriu aplinkybę, kad pareiškėjas yra gydomas VšĮ Rokiškio psichiatrijos ligoninėje, ir disponavo šia informacija, bet tai, kad Vilniaus miesto savivaldybės administracija gavo šią informaciją ne iš paties pa</w:t>
      </w:r>
      <w:r w:rsidR="00C53F04" w:rsidRPr="00821330">
        <w:rPr>
          <w:rFonts w:asciiTheme="minorHAnsi" w:hAnsiTheme="minorHAnsi" w:cstheme="minorHAnsi"/>
          <w:bCs/>
          <w:sz w:val="22"/>
          <w:szCs w:val="22"/>
        </w:rPr>
        <w:t>reiškėjo ar jo tėvų, bet iš VšĮ </w:t>
      </w:r>
      <w:r w:rsidR="00433E7A" w:rsidRPr="00821330">
        <w:rPr>
          <w:rFonts w:asciiTheme="minorHAnsi" w:hAnsiTheme="minorHAnsi" w:cstheme="minorHAnsi"/>
          <w:bCs/>
          <w:sz w:val="22"/>
          <w:szCs w:val="22"/>
        </w:rPr>
        <w:t xml:space="preserve">Rokiškio psichiatrijos ligoninės. </w:t>
      </w:r>
      <w:r w:rsidR="00433E7A" w:rsidRPr="00821330">
        <w:rPr>
          <w:rFonts w:asciiTheme="minorHAnsi" w:hAnsiTheme="minorHAnsi" w:cstheme="minorHAnsi"/>
          <w:bCs/>
          <w:sz w:val="22"/>
          <w:szCs w:val="22"/>
          <w:u w:val="single"/>
        </w:rPr>
        <w:t xml:space="preserve">Teisėjų kolegija, atsižvelgdama į Šalpos pensijų įstatymu siekiamus tikslus, vadovaudamasi teleologiniu metodu ir sistemiškai vertindama Šalpos pensijų įstatymo 15 straipsnio 10 dalies ir 18 straipsnio 4 dalies nuostatas, </w:t>
      </w:r>
      <w:r w:rsidR="00233956" w:rsidRPr="00821330">
        <w:rPr>
          <w:rFonts w:asciiTheme="minorHAnsi" w:hAnsiTheme="minorHAnsi" w:cstheme="minorHAnsi"/>
          <w:bCs/>
          <w:sz w:val="22"/>
          <w:szCs w:val="22"/>
          <w:u w:val="single"/>
        </w:rPr>
        <w:t>pa</w:t>
      </w:r>
      <w:r w:rsidR="00433E7A" w:rsidRPr="00821330">
        <w:rPr>
          <w:rFonts w:asciiTheme="minorHAnsi" w:hAnsiTheme="minorHAnsi" w:cstheme="minorHAnsi"/>
          <w:bCs/>
          <w:sz w:val="22"/>
          <w:szCs w:val="22"/>
          <w:u w:val="single"/>
        </w:rPr>
        <w:t>dar</w:t>
      </w:r>
      <w:r w:rsidRPr="00821330">
        <w:rPr>
          <w:rFonts w:asciiTheme="minorHAnsi" w:hAnsiTheme="minorHAnsi" w:cstheme="minorHAnsi"/>
          <w:bCs/>
          <w:sz w:val="22"/>
          <w:szCs w:val="22"/>
          <w:u w:val="single"/>
        </w:rPr>
        <w:t>ė</w:t>
      </w:r>
      <w:r w:rsidR="00433E7A" w:rsidRPr="00821330">
        <w:rPr>
          <w:rFonts w:asciiTheme="minorHAnsi" w:hAnsiTheme="minorHAnsi" w:cstheme="minorHAnsi"/>
          <w:bCs/>
          <w:sz w:val="22"/>
          <w:szCs w:val="22"/>
          <w:u w:val="single"/>
        </w:rPr>
        <w:t xml:space="preserve"> išvadą, kad</w:t>
      </w:r>
      <w:r w:rsidR="00233956" w:rsidRPr="00821330">
        <w:rPr>
          <w:rFonts w:asciiTheme="minorHAnsi" w:hAnsiTheme="minorHAnsi" w:cstheme="minorHAnsi"/>
          <w:bCs/>
          <w:sz w:val="22"/>
          <w:szCs w:val="22"/>
          <w:u w:val="single"/>
        </w:rPr>
        <w:t>,</w:t>
      </w:r>
      <w:r w:rsidR="00433E7A" w:rsidRPr="00821330">
        <w:rPr>
          <w:rFonts w:asciiTheme="minorHAnsi" w:hAnsiTheme="minorHAnsi" w:cstheme="minorHAnsi"/>
          <w:bCs/>
          <w:sz w:val="22"/>
          <w:szCs w:val="22"/>
          <w:u w:val="single"/>
        </w:rPr>
        <w:t xml:space="preserve"> remiantis Šalpos pensijų įstatymu</w:t>
      </w:r>
      <w:r w:rsidR="00233956" w:rsidRPr="00821330">
        <w:rPr>
          <w:rFonts w:asciiTheme="minorHAnsi" w:hAnsiTheme="minorHAnsi" w:cstheme="minorHAnsi"/>
          <w:bCs/>
          <w:sz w:val="22"/>
          <w:szCs w:val="22"/>
          <w:u w:val="single"/>
        </w:rPr>
        <w:t>,</w:t>
      </w:r>
      <w:r w:rsidR="00433E7A" w:rsidRPr="00821330">
        <w:rPr>
          <w:rFonts w:asciiTheme="minorHAnsi" w:hAnsiTheme="minorHAnsi" w:cstheme="minorHAnsi"/>
          <w:bCs/>
          <w:sz w:val="22"/>
          <w:szCs w:val="22"/>
          <w:u w:val="single"/>
        </w:rPr>
        <w:t xml:space="preserve"> reikalaujama, </w:t>
      </w:r>
      <w:r w:rsidRPr="00821330">
        <w:rPr>
          <w:rFonts w:asciiTheme="minorHAnsi" w:hAnsiTheme="minorHAnsi" w:cstheme="minorHAnsi"/>
          <w:bCs/>
          <w:sz w:val="22"/>
          <w:szCs w:val="22"/>
          <w:u w:val="single"/>
        </w:rPr>
        <w:t>jog</w:t>
      </w:r>
      <w:r w:rsidR="00433E7A" w:rsidRPr="00821330">
        <w:rPr>
          <w:rFonts w:asciiTheme="minorHAnsi" w:hAnsiTheme="minorHAnsi" w:cstheme="minorHAnsi"/>
          <w:bCs/>
          <w:sz w:val="22"/>
          <w:szCs w:val="22"/>
          <w:u w:val="single"/>
        </w:rPr>
        <w:t xml:space="preserve"> savivaldybės administracija būtų informuojama apie pasikeitusias aplinkybes, kaip jos yra išdėstytos minėto įstatymo 18 straipsnio 4 dalyje, ir svarbu tai, kad savivaldybės administracija disponuotų šia informacija, o ne tai</w:t>
      </w:r>
      <w:r w:rsidRPr="00821330">
        <w:rPr>
          <w:rFonts w:asciiTheme="minorHAnsi" w:hAnsiTheme="minorHAnsi" w:cstheme="minorHAnsi"/>
          <w:bCs/>
          <w:sz w:val="22"/>
          <w:szCs w:val="22"/>
          <w:u w:val="single"/>
        </w:rPr>
        <w:t>,</w:t>
      </w:r>
      <w:r w:rsidR="00433E7A" w:rsidRPr="00821330">
        <w:rPr>
          <w:rFonts w:asciiTheme="minorHAnsi" w:hAnsiTheme="minorHAnsi" w:cstheme="minorHAnsi"/>
          <w:bCs/>
          <w:sz w:val="22"/>
          <w:szCs w:val="22"/>
          <w:u w:val="single"/>
        </w:rPr>
        <w:t xml:space="preserve"> kokiu būdu ji šią informaciją gauna</w:t>
      </w:r>
      <w:r w:rsidR="00433E7A" w:rsidRPr="00821330">
        <w:rPr>
          <w:rFonts w:asciiTheme="minorHAnsi" w:hAnsiTheme="minorHAnsi" w:cstheme="minorHAnsi"/>
          <w:bCs/>
          <w:sz w:val="22"/>
          <w:szCs w:val="22"/>
        </w:rPr>
        <w:t>. Vadinasi</w:t>
      </w:r>
      <w:r w:rsidRPr="00821330">
        <w:rPr>
          <w:rFonts w:asciiTheme="minorHAnsi" w:hAnsiTheme="minorHAnsi" w:cstheme="minorHAnsi"/>
          <w:bCs/>
          <w:sz w:val="22"/>
          <w:szCs w:val="22"/>
        </w:rPr>
        <w:t>,</w:t>
      </w:r>
      <w:r w:rsidR="00433E7A" w:rsidRPr="00821330">
        <w:rPr>
          <w:rFonts w:asciiTheme="minorHAnsi" w:hAnsiTheme="minorHAnsi" w:cstheme="minorHAnsi"/>
          <w:bCs/>
          <w:sz w:val="22"/>
          <w:szCs w:val="22"/>
        </w:rPr>
        <w:t xml:space="preserve"> tuomet, kai savivaldybės administracija jau yra informuota apie pasikeitusias aplinkybes (VšĮ Rokiškio psichiatrijos ligoninė informavo savivaldybės administraciją, kaip yra nustatyta minėto įstatymo 18 straipsnio 4</w:t>
      </w:r>
      <w:r w:rsidRPr="00821330">
        <w:rPr>
          <w:rFonts w:asciiTheme="minorHAnsi" w:hAnsiTheme="minorHAnsi" w:cstheme="minorHAnsi"/>
          <w:bCs/>
          <w:sz w:val="22"/>
          <w:szCs w:val="22"/>
        </w:rPr>
        <w:t> </w:t>
      </w:r>
      <w:r w:rsidR="00433E7A" w:rsidRPr="00821330">
        <w:rPr>
          <w:rFonts w:asciiTheme="minorHAnsi" w:hAnsiTheme="minorHAnsi" w:cstheme="minorHAnsi"/>
          <w:bCs/>
          <w:sz w:val="22"/>
          <w:szCs w:val="22"/>
        </w:rPr>
        <w:t xml:space="preserve">dalyje), ji turi nedelsdama imtis veiksmų, kurie yra nurodyti minėto įstatymo 18 straipsnio 4 dalyje. </w:t>
      </w:r>
    </w:p>
    <w:p w14:paraId="2C0E54F4" w14:textId="20F4F9EA" w:rsidR="00F62A71" w:rsidRPr="00821330" w:rsidRDefault="00F62A71" w:rsidP="00FE5EF0">
      <w:pPr>
        <w:tabs>
          <w:tab w:val="left" w:pos="567"/>
          <w:tab w:val="left" w:pos="1134"/>
          <w:tab w:val="left" w:pos="1276"/>
        </w:tabs>
        <w:ind w:right="-1"/>
        <w:contextualSpacing/>
        <w:jc w:val="both"/>
        <w:rPr>
          <w:rFonts w:asciiTheme="minorHAnsi" w:hAnsiTheme="minorHAnsi" w:cstheme="minorHAnsi"/>
          <w:bCs/>
          <w:sz w:val="22"/>
          <w:szCs w:val="22"/>
        </w:rPr>
      </w:pPr>
      <w:r w:rsidRPr="00821330">
        <w:rPr>
          <w:rFonts w:asciiTheme="minorHAnsi" w:hAnsiTheme="minorHAnsi" w:cstheme="minorHAnsi"/>
          <w:bCs/>
          <w:sz w:val="22"/>
          <w:szCs w:val="22"/>
        </w:rPr>
        <w:tab/>
      </w:r>
      <w:r w:rsidR="00433E7A" w:rsidRPr="00821330">
        <w:rPr>
          <w:rFonts w:asciiTheme="minorHAnsi" w:hAnsiTheme="minorHAnsi" w:cstheme="minorHAnsi"/>
          <w:bCs/>
          <w:sz w:val="22"/>
          <w:szCs w:val="22"/>
        </w:rPr>
        <w:t>Teisėjų kolegija atkreip</w:t>
      </w:r>
      <w:r w:rsidR="00FE5EF0" w:rsidRPr="00821330">
        <w:rPr>
          <w:rFonts w:asciiTheme="minorHAnsi" w:hAnsiTheme="minorHAnsi" w:cstheme="minorHAnsi"/>
          <w:bCs/>
          <w:sz w:val="22"/>
          <w:szCs w:val="22"/>
        </w:rPr>
        <w:t>ė</w:t>
      </w:r>
      <w:r w:rsidR="00433E7A" w:rsidRPr="00821330">
        <w:rPr>
          <w:rFonts w:asciiTheme="minorHAnsi" w:hAnsiTheme="minorHAnsi" w:cstheme="minorHAnsi"/>
          <w:bCs/>
          <w:sz w:val="22"/>
          <w:szCs w:val="22"/>
        </w:rPr>
        <w:t xml:space="preserve"> dėmesį į tai, kad Šalpos pensijų įstatymo 15 straipsnio 10 dalyje nėra numatyta</w:t>
      </w:r>
      <w:r w:rsidR="00FE5EF0" w:rsidRPr="00821330">
        <w:rPr>
          <w:rFonts w:asciiTheme="minorHAnsi" w:hAnsiTheme="minorHAnsi" w:cstheme="minorHAnsi"/>
          <w:bCs/>
          <w:sz w:val="22"/>
          <w:szCs w:val="22"/>
        </w:rPr>
        <w:t>,</w:t>
      </w:r>
      <w:r w:rsidR="00433E7A" w:rsidRPr="00821330">
        <w:rPr>
          <w:rFonts w:asciiTheme="minorHAnsi" w:hAnsiTheme="minorHAnsi" w:cstheme="minorHAnsi"/>
          <w:bCs/>
          <w:sz w:val="22"/>
          <w:szCs w:val="22"/>
        </w:rPr>
        <w:t xml:space="preserve"> kokiu būdu šalpos išmokos gavėjas ar vienas iš jo tėvų (įtėvių), globėjas ar rūpintojas privalo pranešti savivaldybės administracijai apie aplinkybes, turinčias įtakos šalpos išmokos dydžiui ar mokėjimui. Konkrečiu atveju reikalauti, kad pats pareiškėjas, besigydantis VšĮ Rokiškio psichiatrijos ligoninėje, raštu praneštų savivaldybės administracijai apie pasikeitusias aplinkybes, būtų visiškai neobjektyvu. Teisėjų kolegija vertin</w:t>
      </w:r>
      <w:r w:rsidR="00B97DE6" w:rsidRPr="00821330">
        <w:rPr>
          <w:rFonts w:asciiTheme="minorHAnsi" w:hAnsiTheme="minorHAnsi" w:cstheme="minorHAnsi"/>
          <w:bCs/>
          <w:sz w:val="22"/>
          <w:szCs w:val="22"/>
        </w:rPr>
        <w:t>o</w:t>
      </w:r>
      <w:r w:rsidR="00433E7A" w:rsidRPr="00821330">
        <w:rPr>
          <w:rFonts w:asciiTheme="minorHAnsi" w:hAnsiTheme="minorHAnsi" w:cstheme="minorHAnsi"/>
          <w:bCs/>
          <w:sz w:val="22"/>
          <w:szCs w:val="22"/>
        </w:rPr>
        <w:t>, kad Šalpos pensijų įstatymo 15 straipsnio 10 dalyje numatytą pareiškėjo pareigą informuoti apie pasikeitusias aplinkybes įvykdė VšĮ Rokiškio psichiatrijos ligoninė, kurioje pareiškėjas ir buvo gydomas</w:t>
      </w:r>
      <w:r w:rsidRPr="00821330">
        <w:rPr>
          <w:rFonts w:asciiTheme="minorHAnsi" w:hAnsiTheme="minorHAnsi" w:cstheme="minorHAnsi"/>
          <w:bCs/>
          <w:sz w:val="22"/>
          <w:szCs w:val="22"/>
        </w:rPr>
        <w:t>.</w:t>
      </w:r>
    </w:p>
    <w:p w14:paraId="031E2B85" w14:textId="7B1BDA1D" w:rsidR="00B97DE6" w:rsidRPr="00821330" w:rsidRDefault="00B97DE6" w:rsidP="00B97DE6">
      <w:pPr>
        <w:tabs>
          <w:tab w:val="left" w:pos="567"/>
          <w:tab w:val="left" w:pos="1134"/>
          <w:tab w:val="left" w:pos="1276"/>
        </w:tabs>
        <w:ind w:right="-1"/>
        <w:contextualSpacing/>
        <w:jc w:val="both"/>
        <w:rPr>
          <w:rFonts w:asciiTheme="minorHAnsi" w:hAnsiTheme="minorHAnsi" w:cstheme="minorHAnsi"/>
          <w:bCs/>
          <w:sz w:val="22"/>
          <w:szCs w:val="22"/>
        </w:rPr>
      </w:pPr>
      <w:r w:rsidRPr="00821330">
        <w:rPr>
          <w:rFonts w:asciiTheme="minorHAnsi" w:hAnsiTheme="minorHAnsi" w:cstheme="minorHAnsi"/>
          <w:bCs/>
          <w:sz w:val="22"/>
          <w:szCs w:val="22"/>
        </w:rPr>
        <w:tab/>
      </w:r>
      <w:r w:rsidR="00433E7A" w:rsidRPr="00821330">
        <w:rPr>
          <w:rFonts w:asciiTheme="minorHAnsi" w:hAnsiTheme="minorHAnsi" w:cstheme="minorHAnsi"/>
          <w:bCs/>
          <w:sz w:val="22"/>
          <w:szCs w:val="22"/>
        </w:rPr>
        <w:t>Teisėjų kolegija sprend</w:t>
      </w:r>
      <w:r w:rsidRPr="00821330">
        <w:rPr>
          <w:rFonts w:asciiTheme="minorHAnsi" w:hAnsiTheme="minorHAnsi" w:cstheme="minorHAnsi"/>
          <w:bCs/>
          <w:sz w:val="22"/>
          <w:szCs w:val="22"/>
        </w:rPr>
        <w:t>ė</w:t>
      </w:r>
      <w:r w:rsidR="00433E7A" w:rsidRPr="00821330">
        <w:rPr>
          <w:rFonts w:asciiTheme="minorHAnsi" w:hAnsiTheme="minorHAnsi" w:cstheme="minorHAnsi"/>
          <w:bCs/>
          <w:sz w:val="22"/>
          <w:szCs w:val="22"/>
        </w:rPr>
        <w:t xml:space="preserve">, </w:t>
      </w:r>
      <w:r w:rsidRPr="00821330">
        <w:rPr>
          <w:rFonts w:asciiTheme="minorHAnsi" w:hAnsiTheme="minorHAnsi" w:cstheme="minorHAnsi"/>
          <w:bCs/>
          <w:sz w:val="22"/>
          <w:szCs w:val="22"/>
        </w:rPr>
        <w:t>jog</w:t>
      </w:r>
      <w:r w:rsidR="00433E7A" w:rsidRPr="00821330">
        <w:rPr>
          <w:rFonts w:asciiTheme="minorHAnsi" w:hAnsiTheme="minorHAnsi" w:cstheme="minorHAnsi"/>
          <w:bCs/>
          <w:sz w:val="22"/>
          <w:szCs w:val="22"/>
        </w:rPr>
        <w:t xml:space="preserve"> pirmosios instancijos teismas nepagrįstai laikėsi nuostatos, kad ginčo atveju nebuvo įvykdyta </w:t>
      </w:r>
      <w:r w:rsidRPr="00821330">
        <w:rPr>
          <w:rFonts w:asciiTheme="minorHAnsi" w:hAnsiTheme="minorHAnsi" w:cstheme="minorHAnsi"/>
          <w:bCs/>
          <w:sz w:val="22"/>
          <w:szCs w:val="22"/>
        </w:rPr>
        <w:t>Šalpos pensijų į</w:t>
      </w:r>
      <w:r w:rsidR="00433E7A" w:rsidRPr="00821330">
        <w:rPr>
          <w:rFonts w:asciiTheme="minorHAnsi" w:hAnsiTheme="minorHAnsi" w:cstheme="minorHAnsi"/>
          <w:bCs/>
          <w:sz w:val="22"/>
          <w:szCs w:val="22"/>
        </w:rPr>
        <w:t>statymo 15 straipsnio 10 dalyje įtvirtinta pareiga savivaldybės administracijai pranešti apie pasikeitusias aplinkybes.</w:t>
      </w:r>
    </w:p>
    <w:p w14:paraId="11C6D655" w14:textId="589DAA83" w:rsidR="00433E7A" w:rsidRPr="00821330" w:rsidRDefault="00B97DE6" w:rsidP="00B97DE6">
      <w:pPr>
        <w:tabs>
          <w:tab w:val="left" w:pos="567"/>
          <w:tab w:val="left" w:pos="1134"/>
          <w:tab w:val="left" w:pos="1276"/>
        </w:tabs>
        <w:ind w:right="-1"/>
        <w:contextualSpacing/>
        <w:jc w:val="both"/>
        <w:rPr>
          <w:rFonts w:asciiTheme="minorHAnsi" w:hAnsiTheme="minorHAnsi" w:cstheme="minorHAnsi"/>
          <w:bCs/>
          <w:sz w:val="22"/>
          <w:szCs w:val="22"/>
        </w:rPr>
      </w:pPr>
      <w:r w:rsidRPr="00821330">
        <w:rPr>
          <w:rFonts w:asciiTheme="minorHAnsi" w:hAnsiTheme="minorHAnsi" w:cstheme="minorHAnsi"/>
          <w:bCs/>
          <w:sz w:val="22"/>
          <w:szCs w:val="22"/>
        </w:rPr>
        <w:tab/>
      </w:r>
      <w:r w:rsidR="00433E7A" w:rsidRPr="00821330">
        <w:rPr>
          <w:rFonts w:asciiTheme="minorHAnsi" w:hAnsiTheme="minorHAnsi" w:cstheme="minorHAnsi"/>
          <w:bCs/>
          <w:sz w:val="22"/>
          <w:szCs w:val="22"/>
        </w:rPr>
        <w:t>Pirmosios instancijos</w:t>
      </w:r>
      <w:r w:rsidRPr="00821330">
        <w:rPr>
          <w:rFonts w:asciiTheme="minorHAnsi" w:hAnsiTheme="minorHAnsi" w:cstheme="minorHAnsi"/>
          <w:bCs/>
          <w:sz w:val="22"/>
          <w:szCs w:val="22"/>
        </w:rPr>
        <w:t xml:space="preserve"> </w:t>
      </w:r>
      <w:r w:rsidR="00433E7A" w:rsidRPr="00821330">
        <w:rPr>
          <w:rFonts w:asciiTheme="minorHAnsi" w:hAnsiTheme="minorHAnsi" w:cstheme="minorHAnsi"/>
          <w:bCs/>
          <w:sz w:val="22"/>
          <w:szCs w:val="22"/>
        </w:rPr>
        <w:t xml:space="preserve">teismo sprendimas </w:t>
      </w:r>
      <w:r w:rsidRPr="00821330">
        <w:rPr>
          <w:rFonts w:asciiTheme="minorHAnsi" w:hAnsiTheme="minorHAnsi" w:cstheme="minorHAnsi"/>
          <w:bCs/>
          <w:sz w:val="22"/>
          <w:szCs w:val="22"/>
        </w:rPr>
        <w:t>pa</w:t>
      </w:r>
      <w:r w:rsidR="00433E7A" w:rsidRPr="00821330">
        <w:rPr>
          <w:rFonts w:asciiTheme="minorHAnsi" w:hAnsiTheme="minorHAnsi" w:cstheme="minorHAnsi"/>
          <w:bCs/>
          <w:sz w:val="22"/>
          <w:szCs w:val="22"/>
        </w:rPr>
        <w:t>naikin</w:t>
      </w:r>
      <w:r w:rsidRPr="00821330">
        <w:rPr>
          <w:rFonts w:asciiTheme="minorHAnsi" w:hAnsiTheme="minorHAnsi" w:cstheme="minorHAnsi"/>
          <w:bCs/>
          <w:sz w:val="22"/>
          <w:szCs w:val="22"/>
        </w:rPr>
        <w:t>t</w:t>
      </w:r>
      <w:r w:rsidR="00433E7A" w:rsidRPr="00821330">
        <w:rPr>
          <w:rFonts w:asciiTheme="minorHAnsi" w:hAnsiTheme="minorHAnsi" w:cstheme="minorHAnsi"/>
          <w:bCs/>
          <w:sz w:val="22"/>
          <w:szCs w:val="22"/>
        </w:rPr>
        <w:t>as, priim</w:t>
      </w:r>
      <w:r w:rsidRPr="00821330">
        <w:rPr>
          <w:rFonts w:asciiTheme="minorHAnsi" w:hAnsiTheme="minorHAnsi" w:cstheme="minorHAnsi"/>
          <w:bCs/>
          <w:sz w:val="22"/>
          <w:szCs w:val="22"/>
        </w:rPr>
        <w:t>t</w:t>
      </w:r>
      <w:r w:rsidR="00433E7A" w:rsidRPr="00821330">
        <w:rPr>
          <w:rFonts w:asciiTheme="minorHAnsi" w:hAnsiTheme="minorHAnsi" w:cstheme="minorHAnsi"/>
          <w:bCs/>
          <w:sz w:val="22"/>
          <w:szCs w:val="22"/>
        </w:rPr>
        <w:t xml:space="preserve">as naujas sprendimas, </w:t>
      </w:r>
      <w:r w:rsidRPr="00821330">
        <w:rPr>
          <w:rFonts w:asciiTheme="minorHAnsi" w:hAnsiTheme="minorHAnsi" w:cstheme="minorHAnsi"/>
          <w:bCs/>
          <w:sz w:val="22"/>
          <w:szCs w:val="22"/>
        </w:rPr>
        <w:t xml:space="preserve">kuriuo </w:t>
      </w:r>
      <w:r w:rsidR="00433E7A" w:rsidRPr="00821330">
        <w:rPr>
          <w:rFonts w:asciiTheme="minorHAnsi" w:hAnsiTheme="minorHAnsi" w:cstheme="minorHAnsi"/>
          <w:bCs/>
          <w:sz w:val="22"/>
          <w:szCs w:val="22"/>
        </w:rPr>
        <w:t>pareiškėjo skund</w:t>
      </w:r>
      <w:r w:rsidRPr="00821330">
        <w:rPr>
          <w:rFonts w:asciiTheme="minorHAnsi" w:hAnsiTheme="minorHAnsi" w:cstheme="minorHAnsi"/>
          <w:bCs/>
          <w:sz w:val="22"/>
          <w:szCs w:val="22"/>
        </w:rPr>
        <w:t>as tenkintas ir atsakovo sprendimas panaikintas</w:t>
      </w:r>
      <w:r w:rsidR="00433E7A" w:rsidRPr="00821330">
        <w:rPr>
          <w:rFonts w:asciiTheme="minorHAnsi" w:hAnsiTheme="minorHAnsi" w:cstheme="minorHAnsi"/>
          <w:bCs/>
          <w:sz w:val="22"/>
          <w:szCs w:val="22"/>
        </w:rPr>
        <w:t xml:space="preserve">. </w:t>
      </w:r>
    </w:p>
    <w:p w14:paraId="7A732E5F" w14:textId="33093551" w:rsidR="007944F5" w:rsidRPr="00821330" w:rsidRDefault="007944F5" w:rsidP="00433E7A">
      <w:pPr>
        <w:tabs>
          <w:tab w:val="left" w:pos="567"/>
        </w:tabs>
        <w:rPr>
          <w:rFonts w:eastAsiaTheme="minorEastAsia"/>
          <w:sz w:val="22"/>
          <w:szCs w:val="22"/>
        </w:rPr>
      </w:pPr>
    </w:p>
    <w:p w14:paraId="19A2314E" w14:textId="2A270523" w:rsidR="00433E7A" w:rsidRPr="00821330" w:rsidRDefault="007944F5" w:rsidP="00433E7A">
      <w:pPr>
        <w:jc w:val="both"/>
        <w:rPr>
          <w:rFonts w:asciiTheme="minorHAnsi" w:hAnsiTheme="minorHAnsi" w:cstheme="minorHAnsi"/>
          <w:sz w:val="22"/>
          <w:szCs w:val="22"/>
        </w:rPr>
      </w:pPr>
      <w:r w:rsidRPr="00821330">
        <w:rPr>
          <w:rFonts w:asciiTheme="minorHAnsi" w:hAnsiTheme="minorHAnsi" w:cstheme="minorHAnsi"/>
          <w:sz w:val="22"/>
          <w:szCs w:val="22"/>
        </w:rPr>
        <w:t xml:space="preserve">2019 m. </w:t>
      </w:r>
      <w:r w:rsidR="00433E7A" w:rsidRPr="00821330">
        <w:rPr>
          <w:rFonts w:asciiTheme="minorHAnsi" w:hAnsiTheme="minorHAnsi" w:cstheme="minorHAnsi"/>
          <w:sz w:val="22"/>
          <w:szCs w:val="22"/>
        </w:rPr>
        <w:t>gruodžio 10</w:t>
      </w:r>
      <w:r w:rsidRPr="00821330">
        <w:rPr>
          <w:rFonts w:asciiTheme="minorHAnsi" w:hAnsiTheme="minorHAnsi" w:cstheme="minorHAnsi"/>
          <w:sz w:val="22"/>
          <w:szCs w:val="22"/>
        </w:rPr>
        <w:t xml:space="preserve"> d. sprendimas administracinėje byloje </w:t>
      </w:r>
      <w:r w:rsidR="00433E7A" w:rsidRPr="00821330">
        <w:rPr>
          <w:rFonts w:asciiTheme="minorHAnsi" w:hAnsiTheme="minorHAnsi" w:cstheme="minorHAnsi"/>
          <w:sz w:val="22"/>
          <w:szCs w:val="22"/>
        </w:rPr>
        <w:t>Nr. A-1799-822/2019</w:t>
      </w:r>
    </w:p>
    <w:p w14:paraId="7E4A3EBF" w14:textId="77777777" w:rsidR="00433E7A" w:rsidRPr="00821330" w:rsidRDefault="00433E7A" w:rsidP="00433E7A">
      <w:pPr>
        <w:jc w:val="both"/>
        <w:rPr>
          <w:rFonts w:asciiTheme="minorHAnsi" w:hAnsiTheme="minorHAnsi" w:cstheme="minorHAnsi"/>
          <w:bCs/>
          <w:sz w:val="22"/>
          <w:szCs w:val="22"/>
        </w:rPr>
      </w:pPr>
      <w:r w:rsidRPr="00821330">
        <w:rPr>
          <w:rFonts w:asciiTheme="minorHAnsi" w:hAnsiTheme="minorHAnsi" w:cstheme="minorHAnsi"/>
          <w:sz w:val="22"/>
          <w:szCs w:val="22"/>
        </w:rPr>
        <w:t xml:space="preserve">Teisminio proceso Nr. </w:t>
      </w:r>
      <w:r w:rsidRPr="00821330">
        <w:rPr>
          <w:rFonts w:asciiTheme="minorHAnsi" w:hAnsiTheme="minorHAnsi" w:cstheme="minorHAnsi"/>
          <w:bCs/>
          <w:sz w:val="22"/>
          <w:szCs w:val="22"/>
        </w:rPr>
        <w:t>3-61-3-03467-2017-3</w:t>
      </w:r>
    </w:p>
    <w:p w14:paraId="0156152F" w14:textId="77777777" w:rsidR="00433E7A" w:rsidRPr="00821330" w:rsidRDefault="00433E7A" w:rsidP="00433E7A">
      <w:pPr>
        <w:jc w:val="both"/>
        <w:rPr>
          <w:rFonts w:asciiTheme="minorHAnsi" w:hAnsiTheme="minorHAnsi" w:cstheme="minorHAnsi"/>
          <w:sz w:val="22"/>
          <w:szCs w:val="22"/>
        </w:rPr>
      </w:pPr>
      <w:r w:rsidRPr="00821330">
        <w:rPr>
          <w:rFonts w:asciiTheme="minorHAnsi" w:hAnsiTheme="minorHAnsi" w:cstheme="minorHAnsi"/>
          <w:sz w:val="22"/>
          <w:szCs w:val="22"/>
        </w:rPr>
        <w:t>Procesinio sprendimo kategorija 7.7</w:t>
      </w:r>
    </w:p>
    <w:p w14:paraId="1CE2F6CC" w14:textId="63D3627F" w:rsidR="00D66C52" w:rsidRPr="00821330" w:rsidRDefault="00E956D9" w:rsidP="0065671D">
      <w:pPr>
        <w:jc w:val="both"/>
        <w:rPr>
          <w:rFonts w:asciiTheme="minorHAnsi" w:hAnsiTheme="minorHAnsi" w:cstheme="minorHAnsi"/>
          <w:sz w:val="22"/>
          <w:szCs w:val="22"/>
        </w:rPr>
      </w:pPr>
      <w:hyperlink r:id="rId9" w:history="1">
        <w:r w:rsidR="007944F5" w:rsidRPr="00821330">
          <w:rPr>
            <w:rStyle w:val="Hipersaitas"/>
            <w:rFonts w:asciiTheme="minorHAnsi" w:hAnsiTheme="minorHAnsi" w:cstheme="minorHAnsi"/>
            <w:sz w:val="22"/>
            <w:szCs w:val="22"/>
          </w:rPr>
          <w:t>Prieiga internete</w:t>
        </w:r>
        <w:bookmarkStart w:id="18" w:name="_Toc462149976"/>
      </w:hyperlink>
    </w:p>
    <w:p w14:paraId="073F08FB" w14:textId="5F170005" w:rsidR="00E076E9" w:rsidRPr="00821330" w:rsidRDefault="00E076E9" w:rsidP="007E7F95">
      <w:pPr>
        <w:tabs>
          <w:tab w:val="left" w:pos="567"/>
        </w:tabs>
        <w:rPr>
          <w:rFonts w:eastAsiaTheme="minorEastAsia"/>
          <w:sz w:val="22"/>
          <w:szCs w:val="22"/>
        </w:rPr>
      </w:pPr>
    </w:p>
    <w:p w14:paraId="2700DE45" w14:textId="77777777" w:rsidR="00F85C89" w:rsidRPr="00821330" w:rsidRDefault="00F85C89" w:rsidP="00F85C89">
      <w:pPr>
        <w:pStyle w:val="Antrat1"/>
        <w:rPr>
          <w:rFonts w:ascii="Calibri" w:hAnsi="Calibri"/>
        </w:rPr>
      </w:pPr>
      <w:bookmarkStart w:id="19" w:name="_Toc774916"/>
      <w:bookmarkStart w:id="20" w:name="_Toc32243577"/>
      <w:r w:rsidRPr="00821330">
        <w:rPr>
          <w:rFonts w:ascii="Calibri" w:hAnsi="Calibri"/>
        </w:rPr>
        <w:t>8. Užsieniečių teisinė padėtis</w:t>
      </w:r>
      <w:bookmarkEnd w:id="19"/>
      <w:bookmarkEnd w:id="20"/>
    </w:p>
    <w:p w14:paraId="675BB5C9" w14:textId="77777777" w:rsidR="00F85C89" w:rsidRPr="00821330" w:rsidRDefault="00F85C89" w:rsidP="00F85C89">
      <w:pPr>
        <w:ind w:firstLine="567"/>
        <w:jc w:val="both"/>
        <w:rPr>
          <w:rFonts w:ascii="Calibri" w:hAnsi="Calibri"/>
          <w:b/>
          <w:sz w:val="22"/>
          <w:szCs w:val="22"/>
          <w:u w:val="single"/>
        </w:rPr>
      </w:pPr>
      <w:r w:rsidRPr="00821330">
        <w:rPr>
          <w:rFonts w:ascii="Calibri" w:hAnsi="Calibri"/>
          <w:b/>
          <w:sz w:val="22"/>
          <w:szCs w:val="22"/>
          <w:u w:val="single"/>
        </w:rPr>
        <w:t>8.1. Užsieniečių atvykimas į Lietuvos Respubliką</w:t>
      </w:r>
    </w:p>
    <w:p w14:paraId="4459CD1D" w14:textId="77777777" w:rsidR="00F85C89" w:rsidRPr="00821330" w:rsidRDefault="00F85C89" w:rsidP="00F85C89">
      <w:pPr>
        <w:ind w:firstLine="1134"/>
        <w:jc w:val="both"/>
        <w:rPr>
          <w:rFonts w:ascii="Calibri" w:hAnsi="Calibri"/>
          <w:b/>
          <w:sz w:val="22"/>
          <w:szCs w:val="22"/>
          <w:u w:val="single"/>
        </w:rPr>
      </w:pPr>
      <w:r w:rsidRPr="00821330">
        <w:rPr>
          <w:rFonts w:ascii="Calibri" w:hAnsi="Calibri"/>
          <w:b/>
          <w:sz w:val="22"/>
          <w:szCs w:val="22"/>
          <w:u w:val="single"/>
        </w:rPr>
        <w:t>8.1.3. Kiti su užsieniečių atvykimu į Lietuvos Respubliką susiję klausimai</w:t>
      </w:r>
    </w:p>
    <w:p w14:paraId="441EBD5B" w14:textId="77777777" w:rsidR="00F85C89" w:rsidRPr="00821330" w:rsidRDefault="00F85C89" w:rsidP="00F85C89">
      <w:pPr>
        <w:ind w:firstLine="567"/>
        <w:jc w:val="both"/>
        <w:rPr>
          <w:rFonts w:ascii="Calibri" w:hAnsi="Calibri"/>
          <w:b/>
          <w:sz w:val="22"/>
          <w:szCs w:val="22"/>
          <w:u w:val="single"/>
        </w:rPr>
      </w:pPr>
    </w:p>
    <w:p w14:paraId="6A533482" w14:textId="46DD19BD" w:rsidR="00F85C89" w:rsidRPr="00821330" w:rsidRDefault="00F85C89" w:rsidP="00F31DA2">
      <w:pPr>
        <w:pStyle w:val="Antrat2"/>
        <w:rPr>
          <w:bCs/>
          <w:iCs/>
        </w:rPr>
      </w:pPr>
      <w:bookmarkStart w:id="21" w:name="_Toc32243578"/>
      <w:bookmarkStart w:id="22" w:name="_Hlk32243065"/>
      <w:r w:rsidRPr="00821330">
        <w:t xml:space="preserve">Dėl </w:t>
      </w:r>
      <w:r w:rsidR="00BF5D9A">
        <w:t xml:space="preserve">trečiosios šalies piliečiui tenkančios </w:t>
      </w:r>
      <w:r w:rsidRPr="00821330">
        <w:t>pareigos pagrįsti atvykimo tikslą</w:t>
      </w:r>
      <w:bookmarkEnd w:id="21"/>
      <w:r w:rsidRPr="00821330">
        <w:t xml:space="preserve"> </w:t>
      </w:r>
    </w:p>
    <w:bookmarkEnd w:id="22"/>
    <w:p w14:paraId="15124103" w14:textId="77777777" w:rsidR="00F85C89" w:rsidRPr="00821330" w:rsidRDefault="00F85C89" w:rsidP="00F85C89">
      <w:pPr>
        <w:shd w:val="clear" w:color="auto" w:fill="FFFFFF"/>
        <w:tabs>
          <w:tab w:val="left" w:pos="3119"/>
        </w:tabs>
        <w:ind w:right="-1" w:firstLine="567"/>
        <w:jc w:val="both"/>
        <w:rPr>
          <w:rFonts w:cstheme="minorHAnsi"/>
          <w:sz w:val="22"/>
          <w:szCs w:val="22"/>
        </w:rPr>
      </w:pPr>
    </w:p>
    <w:p w14:paraId="7854C523" w14:textId="11F59895" w:rsidR="00F85C89" w:rsidRPr="00821330" w:rsidRDefault="00F85C89" w:rsidP="00F85C89">
      <w:pPr>
        <w:shd w:val="clear" w:color="auto" w:fill="FFFFFF"/>
        <w:tabs>
          <w:tab w:val="left" w:pos="3119"/>
        </w:tabs>
        <w:ind w:right="-1"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Nagrinėtoje byloje kilo ginčas dėl Valstybės sienos apsaugos tarnybos (toliau – VSAT) atsisakymo, kuriuo atsisakyta leisti pareiškėjui kirsti Lietuvos Respublikos sieną, pagrįstumo ir teisėtumo. Byloje nustatyta, kad pareiškėjas atsisakė paaiškinti atvykimo ir buvimo Lietuvos Respublikoje tikslą. Įvedant pareiškėjo duomenis į </w:t>
      </w:r>
      <w:r w:rsidR="00005A31" w:rsidRPr="00821330">
        <w:rPr>
          <w:rFonts w:asciiTheme="minorHAnsi" w:hAnsiTheme="minorHAnsi" w:cstheme="minorHAnsi"/>
          <w:sz w:val="22"/>
          <w:szCs w:val="22"/>
        </w:rPr>
        <w:t xml:space="preserve">VSAT informacinę sistemą, </w:t>
      </w:r>
      <w:r w:rsidRPr="00821330">
        <w:rPr>
          <w:rFonts w:asciiTheme="minorHAnsi" w:hAnsiTheme="minorHAnsi" w:cstheme="minorHAnsi"/>
          <w:sz w:val="22"/>
          <w:szCs w:val="22"/>
        </w:rPr>
        <w:t>vizos duomenų lape buvo nurodytas vizos išdavimo tikslas: ,,tourism” (turizmas). Papildomai paklausus pareiškėją apie atvykimo ir buvimo Lietuvos Respublikoje tikslą, jis paaiškino, kad važiuoja pas draugą, kurio nei vardo, nei gyvenamojo adreso nesugebėjo pasakyti. Paklausus, ar gali patikslinti, pareiškėjas pradėjo nurodinėti kitus tikslus, bet nei vienas nebuvo susijęs su minėtu vizos išdavimo tikslu. Patikrinus pareiškėjo kelionės dokumentus ir duomenų bazės įrašus, pastebėta, kad jis atvyksta į Lietuvos Respubliką kiekvieną dieną mažiausiai po kelis kartus ir jo lankymosi laikas Lietuvos Respublikoje būna trumpas, apytiksliai iki kelių valandų. Kadangi nei vienas iš asmens nurodytų tikslų neatitiko nurodyto vizos išdavimo tikslo, priimtas sprendimas atsisakyti leisti atvykti pareiškėjui kertant sieną.</w:t>
      </w:r>
    </w:p>
    <w:p w14:paraId="671BC0A1" w14:textId="09B5B023" w:rsidR="00F85C89" w:rsidRPr="00821330" w:rsidRDefault="00F85C89" w:rsidP="00F85C89">
      <w:pPr>
        <w:shd w:val="clear" w:color="auto" w:fill="FFFFFF"/>
        <w:tabs>
          <w:tab w:val="left" w:pos="3119"/>
        </w:tabs>
        <w:ind w:right="-1" w:firstLine="567"/>
        <w:jc w:val="both"/>
        <w:rPr>
          <w:rFonts w:asciiTheme="minorHAnsi" w:hAnsiTheme="minorHAnsi" w:cstheme="minorHAnsi"/>
          <w:sz w:val="22"/>
          <w:szCs w:val="22"/>
        </w:rPr>
      </w:pPr>
      <w:r w:rsidRPr="00821330">
        <w:rPr>
          <w:rFonts w:asciiTheme="minorHAnsi" w:hAnsiTheme="minorHAnsi" w:cstheme="minorHAnsi"/>
          <w:sz w:val="22"/>
          <w:szCs w:val="22"/>
        </w:rPr>
        <w:t>Teisėjų kolegija</w:t>
      </w:r>
      <w:r w:rsidR="00005A31" w:rsidRPr="00821330">
        <w:rPr>
          <w:rFonts w:asciiTheme="minorHAnsi" w:hAnsiTheme="minorHAnsi" w:cstheme="minorHAnsi"/>
          <w:sz w:val="22"/>
          <w:szCs w:val="22"/>
        </w:rPr>
        <w:t>,</w:t>
      </w:r>
      <w:r w:rsidRPr="00821330">
        <w:rPr>
          <w:rFonts w:asciiTheme="minorHAnsi" w:hAnsiTheme="minorHAnsi" w:cstheme="minorHAnsi"/>
          <w:sz w:val="22"/>
          <w:szCs w:val="22"/>
        </w:rPr>
        <w:t xml:space="preserve"> įvertinusi </w:t>
      </w:r>
      <w:r w:rsidR="00005A31" w:rsidRPr="00821330">
        <w:rPr>
          <w:rFonts w:asciiTheme="minorHAnsi" w:hAnsiTheme="minorHAnsi" w:cstheme="minorHAnsi"/>
          <w:sz w:val="22"/>
          <w:szCs w:val="22"/>
        </w:rPr>
        <w:t>Į</w:t>
      </w:r>
      <w:r w:rsidRPr="00821330">
        <w:rPr>
          <w:rFonts w:asciiTheme="minorHAnsi" w:hAnsiTheme="minorHAnsi" w:cstheme="minorHAnsi"/>
          <w:sz w:val="22"/>
          <w:szCs w:val="22"/>
        </w:rPr>
        <w:t>statymo „Dėl užsieniečių teisinės padėties“ (toliau –</w:t>
      </w:r>
      <w:r w:rsidR="00005A31" w:rsidRPr="00821330">
        <w:rPr>
          <w:rFonts w:asciiTheme="minorHAnsi" w:hAnsiTheme="minorHAnsi" w:cstheme="minorHAnsi"/>
          <w:sz w:val="22"/>
          <w:szCs w:val="22"/>
        </w:rPr>
        <w:t xml:space="preserve"> Į</w:t>
      </w:r>
      <w:r w:rsidRPr="00821330">
        <w:rPr>
          <w:rFonts w:asciiTheme="minorHAnsi" w:hAnsiTheme="minorHAnsi" w:cstheme="minorHAnsi"/>
          <w:sz w:val="22"/>
          <w:szCs w:val="22"/>
        </w:rPr>
        <w:t xml:space="preserve">statymas) ir 2016 m. kovo 9 d. Europos Parlamento ir Tarybos reglamento (ES) 2016/399 dėl taisyklių, reglamentuojančių asmenų judėjimą per sienas, Sąjungos kodekso (Šengeno sienų kodekso) nuostatas bei byloje surinktus įrodymus, sutiko su pirmosios instancijos teismo išvada, jog </w:t>
      </w:r>
      <w:r w:rsidRPr="00821330">
        <w:rPr>
          <w:rFonts w:asciiTheme="minorHAnsi" w:hAnsiTheme="minorHAnsi" w:cstheme="minorHAnsi"/>
          <w:sz w:val="22"/>
          <w:szCs w:val="22"/>
          <w:u w:val="single"/>
        </w:rPr>
        <w:t>trečiosios šalies piliečiui, siekiančiam atvykti į Lietuvos Respubliką, tenka pareiga pagrįsti buvimo tikslą bei tokio tikslo tikrumą</w:t>
      </w:r>
      <w:r w:rsidRPr="00821330">
        <w:rPr>
          <w:rFonts w:asciiTheme="minorHAnsi" w:hAnsiTheme="minorHAnsi" w:cstheme="minorHAnsi"/>
          <w:sz w:val="22"/>
          <w:szCs w:val="22"/>
        </w:rPr>
        <w:t>, o konkrečiu atveju duomenys, nustatyti VSAT atliekamo tikrinimo metu, neatitiko Šengeno sienų kodekso 6 straipsnio 1 dalies c punkto, pagal kurį asmuo turi pagrįsti numatomo buvimo tikslą bei sąlygas, todėl VSAT pagrįstai priėmė sprendimą atsisakyti pareiškėjui leisti atvykti kertant sieną. Toks atsisakymas yra vienkartinis, todėl pareiškėjui, pagrindus vizito tikslą Lietuvos Respublikoje, neužkertamas kelias atvykti pakartotinai.</w:t>
      </w:r>
    </w:p>
    <w:p w14:paraId="2EB9D680" w14:textId="77777777" w:rsidR="00F85C89" w:rsidRPr="00821330" w:rsidRDefault="00F85C89" w:rsidP="00F85C89">
      <w:pPr>
        <w:shd w:val="clear" w:color="auto" w:fill="FFFFFF"/>
        <w:tabs>
          <w:tab w:val="left" w:pos="3119"/>
        </w:tabs>
        <w:ind w:right="-1" w:firstLine="567"/>
        <w:jc w:val="both"/>
        <w:rPr>
          <w:rFonts w:asciiTheme="minorHAnsi" w:hAnsiTheme="minorHAnsi" w:cstheme="minorHAnsi"/>
          <w:sz w:val="22"/>
          <w:szCs w:val="22"/>
        </w:rPr>
      </w:pPr>
      <w:r w:rsidRPr="00821330">
        <w:rPr>
          <w:rFonts w:asciiTheme="minorHAnsi" w:hAnsiTheme="minorHAnsi" w:cstheme="minorHAnsi"/>
          <w:sz w:val="22"/>
          <w:szCs w:val="22"/>
        </w:rPr>
        <w:t>LVAT nutartimi pirmosios instancijos teismo sprendimas paliktas nepakeistas, o apeliacinis skundas atmestas.</w:t>
      </w:r>
    </w:p>
    <w:p w14:paraId="2A66C990" w14:textId="77777777" w:rsidR="00F85C89" w:rsidRPr="00821330" w:rsidRDefault="00F85C89" w:rsidP="00F85C89">
      <w:pPr>
        <w:shd w:val="clear" w:color="auto" w:fill="FFFFFF"/>
        <w:tabs>
          <w:tab w:val="left" w:pos="3119"/>
        </w:tabs>
        <w:ind w:right="-1" w:firstLine="567"/>
        <w:jc w:val="both"/>
        <w:rPr>
          <w:rFonts w:cstheme="minorHAnsi"/>
          <w:sz w:val="22"/>
          <w:szCs w:val="22"/>
        </w:rPr>
      </w:pPr>
    </w:p>
    <w:p w14:paraId="444F63B7" w14:textId="77777777" w:rsidR="00F85C89" w:rsidRPr="00821330" w:rsidRDefault="00F85C89" w:rsidP="00F85C89">
      <w:pPr>
        <w:jc w:val="both"/>
        <w:rPr>
          <w:rFonts w:ascii="Calibri" w:eastAsia="Calibri" w:hAnsi="Calibri"/>
          <w:bCs/>
          <w:sz w:val="22"/>
          <w:szCs w:val="22"/>
        </w:rPr>
      </w:pPr>
      <w:r w:rsidRPr="00821330">
        <w:rPr>
          <w:rFonts w:ascii="Calibri" w:eastAsia="Calibri" w:hAnsi="Calibri"/>
          <w:bCs/>
          <w:sz w:val="22"/>
          <w:szCs w:val="22"/>
        </w:rPr>
        <w:t xml:space="preserve">2019 m. gruodžio 5 d. nutartis administracinėje byloje Nr. eA-5163-822/2019 </w:t>
      </w:r>
    </w:p>
    <w:p w14:paraId="34B14B7B" w14:textId="77777777" w:rsidR="00F85C89" w:rsidRPr="00821330" w:rsidRDefault="00F85C89" w:rsidP="00F85C89">
      <w:pPr>
        <w:jc w:val="both"/>
        <w:rPr>
          <w:rFonts w:ascii="Calibri" w:eastAsia="Calibri" w:hAnsi="Calibri"/>
          <w:bCs/>
          <w:sz w:val="22"/>
          <w:szCs w:val="22"/>
        </w:rPr>
      </w:pPr>
      <w:r w:rsidRPr="00821330">
        <w:rPr>
          <w:rFonts w:ascii="Calibri" w:eastAsia="Calibri" w:hAnsi="Calibri"/>
          <w:bCs/>
          <w:sz w:val="22"/>
          <w:szCs w:val="22"/>
        </w:rPr>
        <w:t xml:space="preserve">Teisminio proceso Nr. 3-61-3-01390-2019-8 </w:t>
      </w:r>
    </w:p>
    <w:p w14:paraId="10A98C06" w14:textId="77777777" w:rsidR="00F85C89" w:rsidRPr="00821330" w:rsidRDefault="00F85C89" w:rsidP="00F85C89">
      <w:pPr>
        <w:shd w:val="clear" w:color="auto" w:fill="FFFFFF"/>
        <w:tabs>
          <w:tab w:val="left" w:pos="3119"/>
        </w:tabs>
        <w:ind w:right="-1"/>
        <w:jc w:val="both"/>
        <w:rPr>
          <w:rFonts w:ascii="Calibri" w:eastAsia="Calibri" w:hAnsi="Calibri"/>
          <w:bCs/>
          <w:sz w:val="22"/>
          <w:szCs w:val="22"/>
        </w:rPr>
      </w:pPr>
      <w:r w:rsidRPr="00821330">
        <w:rPr>
          <w:rFonts w:ascii="Calibri" w:eastAsia="Calibri" w:hAnsi="Calibri"/>
          <w:bCs/>
          <w:sz w:val="22"/>
          <w:szCs w:val="22"/>
        </w:rPr>
        <w:t>Procesinio sprendimo kategorija 8.1.3</w:t>
      </w:r>
    </w:p>
    <w:p w14:paraId="536D6997" w14:textId="77777777" w:rsidR="00F85C89" w:rsidRPr="00821330" w:rsidRDefault="00E956D9" w:rsidP="00F85C89">
      <w:pPr>
        <w:shd w:val="clear" w:color="auto" w:fill="FFFFFF"/>
        <w:tabs>
          <w:tab w:val="left" w:pos="3119"/>
        </w:tabs>
        <w:ind w:right="-1"/>
        <w:jc w:val="both"/>
        <w:rPr>
          <w:rFonts w:ascii="Calibri" w:eastAsia="Calibri" w:hAnsi="Calibri"/>
          <w:bCs/>
          <w:sz w:val="22"/>
          <w:szCs w:val="22"/>
        </w:rPr>
      </w:pPr>
      <w:hyperlink r:id="rId10" w:history="1">
        <w:r w:rsidR="00F85C89" w:rsidRPr="00821330">
          <w:rPr>
            <w:rStyle w:val="Hipersaitas"/>
            <w:rFonts w:ascii="Calibri" w:eastAsia="Calibri" w:hAnsi="Calibri"/>
            <w:bCs/>
            <w:sz w:val="22"/>
            <w:szCs w:val="22"/>
          </w:rPr>
          <w:t>Prieiga internete</w:t>
        </w:r>
      </w:hyperlink>
      <w:r w:rsidR="00F85C89" w:rsidRPr="00821330">
        <w:rPr>
          <w:rFonts w:ascii="Calibri" w:eastAsia="Calibri" w:hAnsi="Calibri"/>
          <w:bCs/>
          <w:sz w:val="22"/>
          <w:szCs w:val="22"/>
        </w:rPr>
        <w:t xml:space="preserve"> </w:t>
      </w:r>
    </w:p>
    <w:p w14:paraId="2778B487" w14:textId="77777777" w:rsidR="00F85C89" w:rsidRPr="00821330" w:rsidRDefault="00F85C89" w:rsidP="00F85C89">
      <w:pPr>
        <w:shd w:val="clear" w:color="auto" w:fill="FFFFFF"/>
        <w:tabs>
          <w:tab w:val="left" w:pos="3119"/>
        </w:tabs>
        <w:ind w:right="-1"/>
        <w:jc w:val="both"/>
        <w:rPr>
          <w:rFonts w:cstheme="minorHAnsi"/>
          <w:sz w:val="22"/>
          <w:szCs w:val="22"/>
        </w:rPr>
      </w:pPr>
    </w:p>
    <w:p w14:paraId="1B2332FE" w14:textId="77777777" w:rsidR="00F85C89" w:rsidRPr="0092010E" w:rsidRDefault="00F85C89" w:rsidP="00F85C89">
      <w:pPr>
        <w:jc w:val="both"/>
        <w:outlineLvl w:val="0"/>
        <w:rPr>
          <w:rFonts w:ascii="Calibri" w:hAnsi="Calibri"/>
          <w:b/>
          <w:sz w:val="22"/>
          <w:szCs w:val="22"/>
          <w:u w:val="single"/>
        </w:rPr>
      </w:pPr>
      <w:bookmarkStart w:id="23" w:name="_Toc32243579"/>
      <w:r w:rsidRPr="0092010E">
        <w:rPr>
          <w:rFonts w:ascii="Calibri" w:hAnsi="Calibri"/>
          <w:b/>
          <w:sz w:val="22"/>
          <w:szCs w:val="22"/>
          <w:u w:val="single"/>
        </w:rPr>
        <w:t>9. Prieglobstis</w:t>
      </w:r>
      <w:bookmarkEnd w:id="23"/>
    </w:p>
    <w:p w14:paraId="29C561D1" w14:textId="77777777" w:rsidR="00F85C89" w:rsidRPr="00821330" w:rsidRDefault="00F85C89" w:rsidP="00F85C89">
      <w:pPr>
        <w:ind w:firstLine="567"/>
        <w:jc w:val="both"/>
        <w:rPr>
          <w:rFonts w:ascii="Calibri" w:eastAsia="Calibri" w:hAnsi="Calibri"/>
          <w:b/>
          <w:sz w:val="22"/>
          <w:szCs w:val="22"/>
          <w:u w:val="single"/>
          <w:lang w:eastAsia="en-US"/>
        </w:rPr>
      </w:pPr>
      <w:r w:rsidRPr="00821330">
        <w:rPr>
          <w:rFonts w:ascii="Calibri" w:eastAsia="Calibri" w:hAnsi="Calibri"/>
          <w:b/>
          <w:sz w:val="22"/>
          <w:szCs w:val="22"/>
          <w:u w:val="single"/>
          <w:lang w:eastAsia="en-US"/>
        </w:rPr>
        <w:t>9.2. Pabėgėlio statuso suteikimas</w:t>
      </w:r>
    </w:p>
    <w:p w14:paraId="14464600" w14:textId="77777777" w:rsidR="00F85C89" w:rsidRPr="00821330" w:rsidRDefault="00F85C89" w:rsidP="00F85C89">
      <w:pPr>
        <w:shd w:val="clear" w:color="auto" w:fill="FFFFFF"/>
        <w:tabs>
          <w:tab w:val="left" w:pos="3119"/>
        </w:tabs>
        <w:ind w:firstLine="567"/>
        <w:jc w:val="both"/>
        <w:rPr>
          <w:rFonts w:ascii="Calibri" w:eastAsia="Calibri" w:hAnsi="Calibri" w:cs="Calibri"/>
          <w:sz w:val="22"/>
          <w:szCs w:val="22"/>
          <w:lang w:eastAsia="en-US"/>
        </w:rPr>
      </w:pPr>
    </w:p>
    <w:p w14:paraId="66F834E1" w14:textId="77777777" w:rsidR="00F85C89" w:rsidRPr="00821330" w:rsidRDefault="00F85C89" w:rsidP="00F31DA2">
      <w:pPr>
        <w:pStyle w:val="Antrat2"/>
      </w:pPr>
      <w:bookmarkStart w:id="24" w:name="_Toc32243580"/>
      <w:r w:rsidRPr="00821330">
        <w:t>Dėl atsivertimo į krikščionybę vertinimo aspektų</w:t>
      </w:r>
      <w:bookmarkEnd w:id="24"/>
      <w:r w:rsidRPr="00821330">
        <w:t xml:space="preserve"> </w:t>
      </w:r>
    </w:p>
    <w:p w14:paraId="5B11957F" w14:textId="77777777" w:rsidR="00F85C89" w:rsidRPr="00821330" w:rsidRDefault="00F85C89" w:rsidP="00F85C89">
      <w:pPr>
        <w:shd w:val="clear" w:color="auto" w:fill="FFFFFF"/>
        <w:tabs>
          <w:tab w:val="left" w:pos="3119"/>
        </w:tabs>
        <w:ind w:firstLine="567"/>
        <w:jc w:val="both"/>
        <w:rPr>
          <w:rFonts w:ascii="Calibri" w:eastAsia="Calibri" w:hAnsi="Calibri" w:cs="Calibri"/>
          <w:sz w:val="22"/>
          <w:szCs w:val="22"/>
          <w:lang w:eastAsia="en-US"/>
        </w:rPr>
      </w:pPr>
    </w:p>
    <w:p w14:paraId="4CA10958" w14:textId="77777777" w:rsidR="00F85C89" w:rsidRPr="00821330" w:rsidRDefault="00F85C89" w:rsidP="00F85C89">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Nagrinėtoje administracinėje byloje ginčas kilo dėl Migracijos departamento sprendimo teisėtumo ir pagrįstumo. Byloje nustatyta, kad parei</w:t>
      </w:r>
      <w:r w:rsidRPr="00821330">
        <w:rPr>
          <w:rFonts w:ascii="Calibri" w:hAnsi="Calibri" w:cs="Calibri" w:hint="eastAsia"/>
          <w:sz w:val="22"/>
          <w:szCs w:val="22"/>
        </w:rPr>
        <w:t>š</w:t>
      </w:r>
      <w:r w:rsidRPr="00821330">
        <w:rPr>
          <w:rFonts w:ascii="Calibri" w:hAnsi="Calibri" w:cs="Calibri"/>
          <w:sz w:val="22"/>
          <w:szCs w:val="22"/>
        </w:rPr>
        <w:t>kėjas, b</w:t>
      </w:r>
      <w:r w:rsidRPr="00821330">
        <w:rPr>
          <w:rFonts w:ascii="Calibri" w:hAnsi="Calibri" w:cs="Calibri" w:hint="eastAsia"/>
          <w:sz w:val="22"/>
          <w:szCs w:val="22"/>
        </w:rPr>
        <w:t>ū</w:t>
      </w:r>
      <w:r w:rsidRPr="00821330">
        <w:rPr>
          <w:rFonts w:ascii="Calibri" w:hAnsi="Calibri" w:cs="Calibri"/>
          <w:sz w:val="22"/>
          <w:szCs w:val="22"/>
        </w:rPr>
        <w:t>damas Lietuvoje, pateikė antrąjį savo pra</w:t>
      </w:r>
      <w:r w:rsidRPr="00821330">
        <w:rPr>
          <w:rFonts w:ascii="Calibri" w:hAnsi="Calibri" w:cs="Calibri" w:hint="eastAsia"/>
          <w:sz w:val="22"/>
          <w:szCs w:val="22"/>
        </w:rPr>
        <w:t>š</w:t>
      </w:r>
      <w:r w:rsidRPr="00821330">
        <w:rPr>
          <w:rFonts w:ascii="Calibri" w:hAnsi="Calibri" w:cs="Calibri"/>
          <w:sz w:val="22"/>
          <w:szCs w:val="22"/>
        </w:rPr>
        <w:t>ymą suteikti prieglobstį, kurį apklausų metu grindė tuo, kad pakeitė religiją i</w:t>
      </w:r>
      <w:r w:rsidRPr="00821330">
        <w:rPr>
          <w:rFonts w:ascii="Calibri" w:hAnsi="Calibri" w:cs="Calibri" w:hint="eastAsia"/>
          <w:sz w:val="22"/>
          <w:szCs w:val="22"/>
        </w:rPr>
        <w:t>š</w:t>
      </w:r>
      <w:r w:rsidRPr="00821330">
        <w:rPr>
          <w:rFonts w:ascii="Calibri" w:hAnsi="Calibri" w:cs="Calibri"/>
          <w:sz w:val="22"/>
          <w:szCs w:val="22"/>
        </w:rPr>
        <w:t xml:space="preserve"> islamo į krik</w:t>
      </w:r>
      <w:r w:rsidRPr="00821330">
        <w:rPr>
          <w:rFonts w:ascii="Calibri" w:hAnsi="Calibri" w:cs="Calibri" w:hint="eastAsia"/>
          <w:sz w:val="22"/>
          <w:szCs w:val="22"/>
        </w:rPr>
        <w:t>š</w:t>
      </w:r>
      <w:r w:rsidRPr="00821330">
        <w:rPr>
          <w:rFonts w:ascii="Calibri" w:hAnsi="Calibri" w:cs="Calibri"/>
          <w:sz w:val="22"/>
          <w:szCs w:val="22"/>
        </w:rPr>
        <w:t>čionybę, todėl pagrįstai bijo grįžti į savo kilmės valstybę. Parei</w:t>
      </w:r>
      <w:r w:rsidRPr="00821330">
        <w:rPr>
          <w:rFonts w:ascii="Calibri" w:hAnsi="Calibri" w:cs="Calibri" w:hint="eastAsia"/>
          <w:sz w:val="22"/>
          <w:szCs w:val="22"/>
        </w:rPr>
        <w:t>š</w:t>
      </w:r>
      <w:r w:rsidRPr="00821330">
        <w:rPr>
          <w:rFonts w:ascii="Calibri" w:hAnsi="Calibri" w:cs="Calibri"/>
          <w:sz w:val="22"/>
          <w:szCs w:val="22"/>
        </w:rPr>
        <w:t xml:space="preserve">kėjas pateikė teismui Emanuelio bažnyčios patvirtinimą ir pažymą apie tai, kad jis lanko </w:t>
      </w:r>
      <w:r w:rsidRPr="00821330">
        <w:rPr>
          <w:rFonts w:ascii="Calibri" w:hAnsi="Calibri" w:cs="Calibri" w:hint="eastAsia"/>
          <w:sz w:val="22"/>
          <w:szCs w:val="22"/>
        </w:rPr>
        <w:t>š</w:t>
      </w:r>
      <w:r w:rsidRPr="00821330">
        <w:rPr>
          <w:rFonts w:ascii="Calibri" w:hAnsi="Calibri" w:cs="Calibri"/>
          <w:sz w:val="22"/>
          <w:szCs w:val="22"/>
        </w:rPr>
        <w:t>ią krik</w:t>
      </w:r>
      <w:r w:rsidRPr="00821330">
        <w:rPr>
          <w:rFonts w:ascii="Calibri" w:hAnsi="Calibri" w:cs="Calibri" w:hint="eastAsia"/>
          <w:sz w:val="22"/>
          <w:szCs w:val="22"/>
        </w:rPr>
        <w:t>š</w:t>
      </w:r>
      <w:r w:rsidRPr="00821330">
        <w:rPr>
          <w:rFonts w:ascii="Calibri" w:hAnsi="Calibri" w:cs="Calibri"/>
          <w:sz w:val="22"/>
          <w:szCs w:val="22"/>
        </w:rPr>
        <w:t>čionių bažnyčią, atlieka apeigas ir pan., taip pat nuotraukų bei vaizdo įra</w:t>
      </w:r>
      <w:r w:rsidRPr="00821330">
        <w:rPr>
          <w:rFonts w:ascii="Calibri" w:hAnsi="Calibri" w:cs="Calibri" w:hint="eastAsia"/>
          <w:sz w:val="22"/>
          <w:szCs w:val="22"/>
        </w:rPr>
        <w:t>š</w:t>
      </w:r>
      <w:r w:rsidRPr="00821330">
        <w:rPr>
          <w:rFonts w:ascii="Calibri" w:hAnsi="Calibri" w:cs="Calibri"/>
          <w:sz w:val="22"/>
          <w:szCs w:val="22"/>
        </w:rPr>
        <w:t>ų. Pirmosios instancijos teismas parei</w:t>
      </w:r>
      <w:r w:rsidRPr="00821330">
        <w:rPr>
          <w:rFonts w:ascii="Calibri" w:hAnsi="Calibri" w:cs="Calibri" w:hint="eastAsia"/>
          <w:sz w:val="22"/>
          <w:szCs w:val="22"/>
        </w:rPr>
        <w:t>š</w:t>
      </w:r>
      <w:r w:rsidRPr="00821330">
        <w:rPr>
          <w:rFonts w:ascii="Calibri" w:hAnsi="Calibri" w:cs="Calibri"/>
          <w:sz w:val="22"/>
          <w:szCs w:val="22"/>
        </w:rPr>
        <w:t>kėjo skundą atmetė, pritardamas atsakovo i</w:t>
      </w:r>
      <w:r w:rsidRPr="00821330">
        <w:rPr>
          <w:rFonts w:ascii="Calibri" w:hAnsi="Calibri" w:cs="Calibri" w:hint="eastAsia"/>
          <w:sz w:val="22"/>
          <w:szCs w:val="22"/>
        </w:rPr>
        <w:t>š</w:t>
      </w:r>
      <w:r w:rsidRPr="00821330">
        <w:rPr>
          <w:rFonts w:ascii="Calibri" w:hAnsi="Calibri" w:cs="Calibri"/>
          <w:sz w:val="22"/>
          <w:szCs w:val="22"/>
        </w:rPr>
        <w:t>vadai, jog parei</w:t>
      </w:r>
      <w:r w:rsidRPr="00821330">
        <w:rPr>
          <w:rFonts w:ascii="Calibri" w:hAnsi="Calibri" w:cs="Calibri" w:hint="eastAsia"/>
          <w:sz w:val="22"/>
          <w:szCs w:val="22"/>
        </w:rPr>
        <w:t>š</w:t>
      </w:r>
      <w:r w:rsidRPr="00821330">
        <w:rPr>
          <w:rFonts w:ascii="Calibri" w:hAnsi="Calibri" w:cs="Calibri"/>
          <w:sz w:val="22"/>
          <w:szCs w:val="22"/>
        </w:rPr>
        <w:t>kėjo pasakojimas apie naujai i</w:t>
      </w:r>
      <w:r w:rsidRPr="00821330">
        <w:rPr>
          <w:rFonts w:ascii="Calibri" w:hAnsi="Calibri" w:cs="Calibri" w:hint="eastAsia"/>
          <w:sz w:val="22"/>
          <w:szCs w:val="22"/>
        </w:rPr>
        <w:t>š</w:t>
      </w:r>
      <w:r w:rsidRPr="00821330">
        <w:rPr>
          <w:rFonts w:ascii="Calibri" w:hAnsi="Calibri" w:cs="Calibri"/>
          <w:sz w:val="22"/>
          <w:szCs w:val="22"/>
        </w:rPr>
        <w:t>pažįstamą religiją (krik</w:t>
      </w:r>
      <w:r w:rsidRPr="00821330">
        <w:rPr>
          <w:rFonts w:ascii="Calibri" w:hAnsi="Calibri" w:cs="Calibri" w:hint="eastAsia"/>
          <w:sz w:val="22"/>
          <w:szCs w:val="22"/>
        </w:rPr>
        <w:t>š</w:t>
      </w:r>
      <w:r w:rsidRPr="00821330">
        <w:rPr>
          <w:rFonts w:ascii="Calibri" w:hAnsi="Calibri" w:cs="Calibri"/>
          <w:sz w:val="22"/>
          <w:szCs w:val="22"/>
        </w:rPr>
        <w:t>čionybę) nėra i</w:t>
      </w:r>
      <w:r w:rsidRPr="00821330">
        <w:rPr>
          <w:rFonts w:ascii="Calibri" w:hAnsi="Calibri" w:cs="Calibri" w:hint="eastAsia"/>
          <w:sz w:val="22"/>
          <w:szCs w:val="22"/>
        </w:rPr>
        <w:t>š</w:t>
      </w:r>
      <w:r w:rsidRPr="00821330">
        <w:rPr>
          <w:rFonts w:ascii="Calibri" w:hAnsi="Calibri" w:cs="Calibri"/>
          <w:sz w:val="22"/>
          <w:szCs w:val="22"/>
        </w:rPr>
        <w:t>samus, detalus ar nuo</w:t>
      </w:r>
      <w:r w:rsidRPr="00821330">
        <w:rPr>
          <w:rFonts w:ascii="Calibri" w:hAnsi="Calibri" w:cs="Calibri" w:hint="eastAsia"/>
          <w:sz w:val="22"/>
          <w:szCs w:val="22"/>
        </w:rPr>
        <w:t>š</w:t>
      </w:r>
      <w:r w:rsidRPr="00821330">
        <w:rPr>
          <w:rFonts w:ascii="Calibri" w:hAnsi="Calibri" w:cs="Calibri"/>
          <w:sz w:val="22"/>
          <w:szCs w:val="22"/>
        </w:rPr>
        <w:t>irdus, apklausos metu pateikta informacija apie krik</w:t>
      </w:r>
      <w:r w:rsidRPr="00821330">
        <w:rPr>
          <w:rFonts w:ascii="Calibri" w:hAnsi="Calibri" w:cs="Calibri" w:hint="eastAsia"/>
          <w:sz w:val="22"/>
          <w:szCs w:val="22"/>
        </w:rPr>
        <w:t>š</w:t>
      </w:r>
      <w:r w:rsidRPr="00821330">
        <w:rPr>
          <w:rFonts w:ascii="Calibri" w:hAnsi="Calibri" w:cs="Calibri"/>
          <w:sz w:val="22"/>
          <w:szCs w:val="22"/>
        </w:rPr>
        <w:t>čionybę buvo bendro pob</w:t>
      </w:r>
      <w:r w:rsidRPr="00821330">
        <w:rPr>
          <w:rFonts w:ascii="Calibri" w:hAnsi="Calibri" w:cs="Calibri" w:hint="eastAsia"/>
          <w:sz w:val="22"/>
          <w:szCs w:val="22"/>
        </w:rPr>
        <w:t>ū</w:t>
      </w:r>
      <w:r w:rsidRPr="00821330">
        <w:rPr>
          <w:rFonts w:ascii="Calibri" w:hAnsi="Calibri" w:cs="Calibri"/>
          <w:sz w:val="22"/>
          <w:szCs w:val="22"/>
        </w:rPr>
        <w:t xml:space="preserve">džio, </w:t>
      </w:r>
      <w:r w:rsidRPr="00821330">
        <w:rPr>
          <w:rFonts w:ascii="Calibri" w:hAnsi="Calibri" w:cs="Calibri" w:hint="eastAsia"/>
          <w:sz w:val="22"/>
          <w:szCs w:val="22"/>
        </w:rPr>
        <w:t>„</w:t>
      </w:r>
      <w:r w:rsidRPr="00821330">
        <w:rPr>
          <w:rFonts w:ascii="Calibri" w:hAnsi="Calibri" w:cs="Calibri"/>
          <w:sz w:val="22"/>
          <w:szCs w:val="22"/>
        </w:rPr>
        <w:t>religijos pakeitimas</w:t>
      </w:r>
      <w:r w:rsidRPr="00821330">
        <w:rPr>
          <w:rFonts w:ascii="Calibri" w:hAnsi="Calibri" w:cs="Calibri" w:hint="eastAsia"/>
          <w:sz w:val="22"/>
          <w:szCs w:val="22"/>
        </w:rPr>
        <w:t>“</w:t>
      </w:r>
      <w:r w:rsidRPr="00821330">
        <w:rPr>
          <w:rFonts w:ascii="Calibri" w:hAnsi="Calibri" w:cs="Calibri"/>
          <w:sz w:val="22"/>
          <w:szCs w:val="22"/>
        </w:rPr>
        <w:t xml:space="preserve"> laikytas b</w:t>
      </w:r>
      <w:r w:rsidRPr="00821330">
        <w:rPr>
          <w:rFonts w:ascii="Calibri" w:hAnsi="Calibri" w:cs="Calibri" w:hint="eastAsia"/>
          <w:sz w:val="22"/>
          <w:szCs w:val="22"/>
        </w:rPr>
        <w:t>ū</w:t>
      </w:r>
      <w:r w:rsidRPr="00821330">
        <w:rPr>
          <w:rFonts w:ascii="Calibri" w:hAnsi="Calibri" w:cs="Calibri"/>
          <w:sz w:val="22"/>
          <w:szCs w:val="22"/>
        </w:rPr>
        <w:t>du pareiškėjui i</w:t>
      </w:r>
      <w:r w:rsidRPr="00821330">
        <w:rPr>
          <w:rFonts w:ascii="Calibri" w:hAnsi="Calibri" w:cs="Calibri" w:hint="eastAsia"/>
          <w:sz w:val="22"/>
          <w:szCs w:val="22"/>
        </w:rPr>
        <w:t>š</w:t>
      </w:r>
      <w:r w:rsidRPr="00821330">
        <w:rPr>
          <w:rFonts w:ascii="Calibri" w:hAnsi="Calibri" w:cs="Calibri"/>
          <w:sz w:val="22"/>
          <w:szCs w:val="22"/>
        </w:rPr>
        <w:t xml:space="preserve">vengti grąžinimo į kilmės </w:t>
      </w:r>
      <w:r w:rsidRPr="00821330">
        <w:rPr>
          <w:rFonts w:ascii="Calibri" w:hAnsi="Calibri" w:cs="Calibri" w:hint="eastAsia"/>
          <w:sz w:val="22"/>
          <w:szCs w:val="22"/>
        </w:rPr>
        <w:t>š</w:t>
      </w:r>
      <w:r w:rsidRPr="00821330">
        <w:rPr>
          <w:rFonts w:ascii="Calibri" w:hAnsi="Calibri" w:cs="Calibri"/>
          <w:sz w:val="22"/>
          <w:szCs w:val="22"/>
        </w:rPr>
        <w:t>alį.</w:t>
      </w:r>
    </w:p>
    <w:p w14:paraId="58F05780" w14:textId="29CE9918" w:rsidR="00F85C89" w:rsidRPr="00821330" w:rsidRDefault="00F85C89" w:rsidP="00F85C89">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lastRenderedPageBreak/>
        <w:t>LVAT, remdamasis ESTT 2018 m. spalio 4 d. sprendime byloje C</w:t>
      </w:r>
      <w:r w:rsidRPr="00821330">
        <w:rPr>
          <w:rFonts w:ascii="Calibri" w:hAnsi="Calibri" w:cs="Calibri"/>
          <w:sz w:val="22"/>
          <w:szCs w:val="22"/>
        </w:rPr>
        <w:noBreakHyphen/>
        <w:t xml:space="preserve">56/17 pateiktais </w:t>
      </w:r>
      <w:r w:rsidR="005D7AD9" w:rsidRPr="00821330">
        <w:rPr>
          <w:rFonts w:ascii="Calibri" w:hAnsi="Calibri" w:cs="Calibri"/>
          <w:sz w:val="22"/>
          <w:szCs w:val="22"/>
        </w:rPr>
        <w:t xml:space="preserve">Europos Parlamento ir Tarybos 2011 m. gruodžio 13 d. direktyvos 2011/95/ES dėl trečiųjų šalių piliečių ar asmenų be pilietybės priskyrimo prie tarptautinės apsaugos gavėjų, vienodo statuso pabėgėliams arba papildomą apsaugą galintiems gauti asmenims ir suteikiamos apsaugos pobūdžio reikalavimų (toliau – Direktyva 2011/95/ES) </w:t>
      </w:r>
      <w:r w:rsidRPr="00821330">
        <w:rPr>
          <w:rFonts w:ascii="Calibri" w:hAnsi="Calibri" w:cs="Calibri"/>
          <w:sz w:val="22"/>
          <w:szCs w:val="22"/>
        </w:rPr>
        <w:t xml:space="preserve">išaiškinimais, atkreipė dėmesį ir į minėtoje byloje pateiktą generalinio advokato 2018 m. liepos 25 d. išvadą, kurioje pažymėta, jog </w:t>
      </w:r>
      <w:r w:rsidRPr="00821330">
        <w:rPr>
          <w:rFonts w:ascii="Calibri" w:hAnsi="Calibri" w:cs="Calibri"/>
          <w:sz w:val="22"/>
          <w:szCs w:val="22"/>
          <w:u w:val="single"/>
        </w:rPr>
        <w:t>nagrinėjant tarptautinės apsaugos prašymus, pagrįstus baime būti persekiojamam dėl religinių motyvų, reikia atsižvelgti ne tik į prašytojo individualų statusą ir asmeninę padėtį, bet ir į jo religinius įsitikinimus ir jų susiformavimo aplinkybes</w:t>
      </w:r>
      <w:r w:rsidRPr="00821330">
        <w:rPr>
          <w:rFonts w:ascii="Calibri" w:hAnsi="Calibri" w:cs="Calibri"/>
          <w:sz w:val="22"/>
          <w:szCs w:val="22"/>
        </w:rPr>
        <w:t xml:space="preserve">, į tai, kaip jis suvokia ir praktikuoja savo tikėjimą ar netikėjimą, į jo santykį su doktrininiais, ritualiniais ar įsakomaisiais religijos, kurios pasekėjas jis teigia esąs ar kurios ketina atsisakyti, aspektais, į galimą jo vaidmenį skleidžiant savo tikėjimą arba į religinių ir tapatybės, etninių ar panašių veiksnių tarpusavio sąveiką. </w:t>
      </w:r>
      <w:bookmarkStart w:id="25" w:name="part_1c8dc18d76f14ca1b3d1e78c36aec188"/>
      <w:bookmarkStart w:id="26" w:name="part_6f317d35160e4b48a0254fdb96cfa3f7"/>
      <w:bookmarkEnd w:id="25"/>
      <w:bookmarkEnd w:id="26"/>
      <w:r w:rsidRPr="00821330">
        <w:rPr>
          <w:rFonts w:ascii="Calibri" w:hAnsi="Calibri" w:cs="Calibri"/>
          <w:sz w:val="22"/>
          <w:szCs w:val="22"/>
        </w:rPr>
        <w:t xml:space="preserve">Taip pat atkreiptas dėmesys į Generalinio advokato pateiktas pastabas. </w:t>
      </w:r>
      <w:r w:rsidR="005D7AD9" w:rsidRPr="00821330">
        <w:rPr>
          <w:rFonts w:ascii="Calibri" w:hAnsi="Calibri" w:cs="Calibri"/>
          <w:sz w:val="22"/>
          <w:szCs w:val="22"/>
        </w:rPr>
        <w:t>Pareiškėjo</w:t>
      </w:r>
      <w:r w:rsidRPr="00821330">
        <w:rPr>
          <w:rFonts w:ascii="Calibri" w:hAnsi="Calibri" w:cs="Calibri"/>
          <w:sz w:val="22"/>
          <w:szCs w:val="22"/>
        </w:rPr>
        <w:t xml:space="preserve"> prašymas suteikti prieglobstį buvo susijęs su tarptautinės apsaugos poreikiu, atsiradusiu </w:t>
      </w:r>
      <w:r w:rsidRPr="00821330">
        <w:rPr>
          <w:rFonts w:ascii="Calibri" w:hAnsi="Calibri" w:cs="Calibri"/>
          <w:i/>
          <w:iCs/>
          <w:sz w:val="22"/>
          <w:szCs w:val="22"/>
        </w:rPr>
        <w:t>sur place</w:t>
      </w:r>
      <w:r w:rsidRPr="00821330">
        <w:rPr>
          <w:rFonts w:ascii="Calibri" w:hAnsi="Calibri" w:cs="Calibri"/>
          <w:sz w:val="22"/>
          <w:szCs w:val="22"/>
        </w:rPr>
        <w:t>, pagal Direktyvos 2011/95 5 straipsnį (atsivertė išvykęs iš Irano). Tačiau, kaip pabrėžė EŽTT</w:t>
      </w:r>
      <w:r w:rsidR="005D7AD9" w:rsidRPr="00821330">
        <w:rPr>
          <w:rFonts w:ascii="Calibri" w:hAnsi="Calibri" w:cs="Calibri"/>
          <w:sz w:val="22"/>
          <w:szCs w:val="22"/>
        </w:rPr>
        <w:t xml:space="preserve"> 2016 m. kovo 23 d. sprendime </w:t>
      </w:r>
      <w:r w:rsidR="005D7AD9" w:rsidRPr="00821330">
        <w:rPr>
          <w:rFonts w:ascii="Calibri" w:hAnsi="Calibri" w:cs="Calibri"/>
          <w:i/>
          <w:iCs/>
          <w:sz w:val="22"/>
          <w:szCs w:val="22"/>
        </w:rPr>
        <w:t>F. G. prieš Švediją</w:t>
      </w:r>
      <w:r w:rsidR="005D7AD9" w:rsidRPr="00821330">
        <w:rPr>
          <w:rFonts w:ascii="Calibri" w:hAnsi="Calibri" w:cs="Calibri"/>
          <w:sz w:val="22"/>
          <w:szCs w:val="22"/>
        </w:rPr>
        <w:t>,</w:t>
      </w:r>
      <w:r w:rsidRPr="00821330">
        <w:rPr>
          <w:rFonts w:ascii="Calibri" w:hAnsi="Calibri" w:cs="Calibri"/>
          <w:sz w:val="22"/>
          <w:szCs w:val="22"/>
        </w:rPr>
        <w:t xml:space="preserve"> remdamasis Gairėmis dėl religija grindžiamų prašymų suteikti prieglobstį, </w:t>
      </w:r>
      <w:r w:rsidRPr="00821330">
        <w:rPr>
          <w:rFonts w:ascii="Calibri" w:hAnsi="Calibri" w:cs="Calibri"/>
          <w:sz w:val="22"/>
          <w:szCs w:val="22"/>
          <w:u w:val="single"/>
        </w:rPr>
        <w:t xml:space="preserve">jei prieglobsčio prašytojas remiasi atsivertimu </w:t>
      </w:r>
      <w:r w:rsidRPr="00821330">
        <w:rPr>
          <w:rFonts w:ascii="Calibri" w:hAnsi="Calibri" w:cs="Calibri"/>
          <w:i/>
          <w:iCs/>
          <w:sz w:val="22"/>
          <w:szCs w:val="22"/>
          <w:u w:val="single"/>
        </w:rPr>
        <w:t>sur place</w:t>
      </w:r>
      <w:r w:rsidRPr="00821330">
        <w:rPr>
          <w:rFonts w:ascii="Calibri" w:hAnsi="Calibri" w:cs="Calibri"/>
          <w:sz w:val="22"/>
          <w:szCs w:val="22"/>
          <w:u w:val="single"/>
        </w:rPr>
        <w:t>, paprastai kyla didelių abejonių dėl pasakojimo įtikimumo, todėl būtinas griežtas ir išsamus atsivertimo aplinkybių tyrimas</w:t>
      </w:r>
      <w:r w:rsidRPr="00E97AD6">
        <w:rPr>
          <w:rFonts w:ascii="Calibri" w:hAnsi="Calibri" w:cs="Calibri"/>
          <w:sz w:val="22"/>
          <w:szCs w:val="22"/>
        </w:rPr>
        <w:t xml:space="preserve">. Be to, tokios rūšies bylose galimi persekiotojai būna linkę teikti mažiau reikšmės atsivertimams </w:t>
      </w:r>
      <w:r w:rsidRPr="00E97AD6">
        <w:rPr>
          <w:rFonts w:ascii="Calibri" w:hAnsi="Calibri" w:cs="Calibri"/>
          <w:i/>
          <w:iCs/>
          <w:sz w:val="22"/>
          <w:szCs w:val="22"/>
        </w:rPr>
        <w:t>sur place</w:t>
      </w:r>
      <w:r w:rsidRPr="00E97AD6">
        <w:rPr>
          <w:rFonts w:ascii="Calibri" w:hAnsi="Calibri" w:cs="Calibri"/>
          <w:sz w:val="22"/>
          <w:szCs w:val="22"/>
        </w:rPr>
        <w:t>, nes jų pobūdis dažnai būna oportunistinis.</w:t>
      </w:r>
      <w:r w:rsidRPr="00821330">
        <w:rPr>
          <w:rFonts w:ascii="Calibri" w:hAnsi="Calibri" w:cs="Calibri"/>
          <w:sz w:val="22"/>
          <w:szCs w:val="22"/>
        </w:rPr>
        <w:t xml:space="preserve"> </w:t>
      </w:r>
    </w:p>
    <w:p w14:paraId="17599DDF" w14:textId="7BFD56E3" w:rsidR="00F85C89" w:rsidRPr="00821330" w:rsidRDefault="00F85C89" w:rsidP="00F85C89">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 xml:space="preserve">Teisėjų kolegija nurodė, kad </w:t>
      </w:r>
      <w:r w:rsidRPr="00821330">
        <w:rPr>
          <w:rFonts w:ascii="Calibri" w:hAnsi="Calibri" w:cs="Calibri"/>
          <w:sz w:val="22"/>
          <w:szCs w:val="22"/>
          <w:u w:val="single"/>
        </w:rPr>
        <w:t>atsakovas</w:t>
      </w:r>
      <w:r w:rsidRPr="00821330">
        <w:rPr>
          <w:rFonts w:ascii="Calibri" w:hAnsi="Calibri" w:cs="Calibri"/>
          <w:sz w:val="22"/>
          <w:szCs w:val="22"/>
        </w:rPr>
        <w:t xml:space="preserve">, priimdamas sprendimą dėl prieglobsčio Lietuvos Respublikoje (ne)suteikimo, </w:t>
      </w:r>
      <w:r w:rsidRPr="00821330">
        <w:rPr>
          <w:rFonts w:ascii="Calibri" w:hAnsi="Calibri" w:cs="Calibri"/>
          <w:sz w:val="22"/>
          <w:szCs w:val="22"/>
          <w:u w:val="single"/>
        </w:rPr>
        <w:t>turėjo atlikti griežtą, i</w:t>
      </w:r>
      <w:r w:rsidRPr="00821330">
        <w:rPr>
          <w:rFonts w:ascii="Calibri" w:hAnsi="Calibri" w:cs="Calibri" w:hint="eastAsia"/>
          <w:sz w:val="22"/>
          <w:szCs w:val="22"/>
          <w:u w:val="single"/>
        </w:rPr>
        <w:t>š</w:t>
      </w:r>
      <w:r w:rsidRPr="00821330">
        <w:rPr>
          <w:rFonts w:ascii="Calibri" w:hAnsi="Calibri" w:cs="Calibri"/>
          <w:sz w:val="22"/>
          <w:szCs w:val="22"/>
          <w:u w:val="single"/>
        </w:rPr>
        <w:t>samų ir kruop</w:t>
      </w:r>
      <w:r w:rsidRPr="00821330">
        <w:rPr>
          <w:rFonts w:ascii="Calibri" w:hAnsi="Calibri" w:cs="Calibri" w:hint="eastAsia"/>
          <w:sz w:val="22"/>
          <w:szCs w:val="22"/>
          <w:u w:val="single"/>
        </w:rPr>
        <w:t>š</w:t>
      </w:r>
      <w:r w:rsidRPr="00821330">
        <w:rPr>
          <w:rFonts w:ascii="Calibri" w:hAnsi="Calibri" w:cs="Calibri"/>
          <w:sz w:val="22"/>
          <w:szCs w:val="22"/>
          <w:u w:val="single"/>
        </w:rPr>
        <w:t>tų parei</w:t>
      </w:r>
      <w:r w:rsidRPr="00821330">
        <w:rPr>
          <w:rFonts w:ascii="Calibri" w:hAnsi="Calibri" w:cs="Calibri" w:hint="eastAsia"/>
          <w:sz w:val="22"/>
          <w:szCs w:val="22"/>
          <w:u w:val="single"/>
        </w:rPr>
        <w:t>š</w:t>
      </w:r>
      <w:r w:rsidRPr="00821330">
        <w:rPr>
          <w:rFonts w:ascii="Calibri" w:hAnsi="Calibri" w:cs="Calibri"/>
          <w:sz w:val="22"/>
          <w:szCs w:val="22"/>
          <w:u w:val="single"/>
        </w:rPr>
        <w:t>kėjo atsivertimo</w:t>
      </w:r>
      <w:r w:rsidRPr="00821330">
        <w:rPr>
          <w:rFonts w:ascii="Calibri" w:hAnsi="Calibri" w:cs="Calibri"/>
          <w:sz w:val="22"/>
          <w:szCs w:val="22"/>
        </w:rPr>
        <w:t>, jo tikėjimo rimtumo, taip, kaip jis rei</w:t>
      </w:r>
      <w:r w:rsidRPr="00821330">
        <w:rPr>
          <w:rFonts w:ascii="Calibri" w:hAnsi="Calibri" w:cs="Calibri" w:hint="eastAsia"/>
          <w:sz w:val="22"/>
          <w:szCs w:val="22"/>
        </w:rPr>
        <w:t>š</w:t>
      </w:r>
      <w:r w:rsidRPr="00821330">
        <w:rPr>
          <w:rFonts w:ascii="Calibri" w:hAnsi="Calibri" w:cs="Calibri"/>
          <w:sz w:val="22"/>
          <w:szCs w:val="22"/>
        </w:rPr>
        <w:t>kė savo krik</w:t>
      </w:r>
      <w:r w:rsidRPr="00821330">
        <w:rPr>
          <w:rFonts w:ascii="Calibri" w:hAnsi="Calibri" w:cs="Calibri" w:hint="eastAsia"/>
          <w:sz w:val="22"/>
          <w:szCs w:val="22"/>
        </w:rPr>
        <w:t>š</w:t>
      </w:r>
      <w:r w:rsidRPr="00821330">
        <w:rPr>
          <w:rFonts w:ascii="Calibri" w:hAnsi="Calibri" w:cs="Calibri"/>
          <w:sz w:val="22"/>
          <w:szCs w:val="22"/>
        </w:rPr>
        <w:t>čioni</w:t>
      </w:r>
      <w:r w:rsidRPr="00821330">
        <w:rPr>
          <w:rFonts w:ascii="Calibri" w:hAnsi="Calibri" w:cs="Calibri" w:hint="eastAsia"/>
          <w:sz w:val="22"/>
          <w:szCs w:val="22"/>
        </w:rPr>
        <w:t>š</w:t>
      </w:r>
      <w:r w:rsidRPr="00821330">
        <w:rPr>
          <w:rFonts w:ascii="Calibri" w:hAnsi="Calibri" w:cs="Calibri"/>
          <w:sz w:val="22"/>
          <w:szCs w:val="22"/>
        </w:rPr>
        <w:t>ką tikėjimą Lietuvoje ir kaip jis ketino jį praktikuoti kilmės valstybėje, jeigu b</w:t>
      </w:r>
      <w:r w:rsidRPr="00821330">
        <w:rPr>
          <w:rFonts w:ascii="Calibri" w:hAnsi="Calibri" w:cs="Calibri" w:hint="eastAsia"/>
          <w:sz w:val="22"/>
          <w:szCs w:val="22"/>
        </w:rPr>
        <w:t>ū</w:t>
      </w:r>
      <w:r w:rsidRPr="00821330">
        <w:rPr>
          <w:rFonts w:ascii="Calibri" w:hAnsi="Calibri" w:cs="Calibri"/>
          <w:sz w:val="22"/>
          <w:szCs w:val="22"/>
        </w:rPr>
        <w:t>tų įvykdytas sprendimas jį i</w:t>
      </w:r>
      <w:r w:rsidRPr="00821330">
        <w:rPr>
          <w:rFonts w:ascii="Calibri" w:hAnsi="Calibri" w:cs="Calibri" w:hint="eastAsia"/>
          <w:sz w:val="22"/>
          <w:szCs w:val="22"/>
        </w:rPr>
        <w:t>š</w:t>
      </w:r>
      <w:r w:rsidRPr="00821330">
        <w:rPr>
          <w:rFonts w:ascii="Calibri" w:hAnsi="Calibri" w:cs="Calibri"/>
          <w:sz w:val="22"/>
          <w:szCs w:val="22"/>
        </w:rPr>
        <w:t xml:space="preserve">siųsti, </w:t>
      </w:r>
      <w:r w:rsidRPr="00821330">
        <w:rPr>
          <w:rFonts w:ascii="Calibri" w:hAnsi="Calibri" w:cs="Calibri"/>
          <w:sz w:val="22"/>
          <w:szCs w:val="22"/>
          <w:u w:val="single"/>
        </w:rPr>
        <w:t>patikrinimą</w:t>
      </w:r>
      <w:r w:rsidRPr="00821330">
        <w:rPr>
          <w:rFonts w:ascii="Calibri" w:hAnsi="Calibri" w:cs="Calibri"/>
          <w:sz w:val="22"/>
          <w:szCs w:val="22"/>
        </w:rPr>
        <w:t xml:space="preserve">. Atsakovas </w:t>
      </w:r>
      <w:r w:rsidRPr="00821330">
        <w:rPr>
          <w:rFonts w:ascii="Calibri" w:hAnsi="Calibri" w:cs="Calibri"/>
          <w:sz w:val="22"/>
          <w:szCs w:val="22"/>
          <w:u w:val="single"/>
        </w:rPr>
        <w:t>taip pat turėjo įvertinti</w:t>
      </w:r>
      <w:r w:rsidR="00E956D9">
        <w:rPr>
          <w:rFonts w:ascii="Calibri" w:hAnsi="Calibri" w:cs="Calibri"/>
          <w:sz w:val="22"/>
          <w:szCs w:val="22"/>
          <w:u w:val="single"/>
        </w:rPr>
        <w:t xml:space="preserve"> </w:t>
      </w:r>
      <w:r w:rsidRPr="00821330">
        <w:rPr>
          <w:rFonts w:ascii="Calibri" w:hAnsi="Calibri" w:cs="Calibri"/>
          <w:sz w:val="22"/>
          <w:szCs w:val="22"/>
          <w:u w:val="single"/>
        </w:rPr>
        <w:t>/</w:t>
      </w:r>
      <w:r w:rsidR="00E956D9">
        <w:rPr>
          <w:rFonts w:ascii="Calibri" w:hAnsi="Calibri" w:cs="Calibri"/>
          <w:sz w:val="22"/>
          <w:szCs w:val="22"/>
          <w:u w:val="single"/>
        </w:rPr>
        <w:t xml:space="preserve"> </w:t>
      </w:r>
      <w:r w:rsidRPr="00821330">
        <w:rPr>
          <w:rFonts w:ascii="Calibri" w:hAnsi="Calibri" w:cs="Calibri"/>
          <w:sz w:val="22"/>
          <w:szCs w:val="22"/>
          <w:u w:val="single"/>
        </w:rPr>
        <w:t xml:space="preserve">patikrinti, kaip </w:t>
      </w:r>
      <w:r w:rsidRPr="00821330">
        <w:rPr>
          <w:rFonts w:ascii="Calibri" w:hAnsi="Calibri" w:cs="Calibri" w:hint="eastAsia"/>
          <w:sz w:val="22"/>
          <w:szCs w:val="22"/>
          <w:u w:val="single"/>
        </w:rPr>
        <w:t>š</w:t>
      </w:r>
      <w:r w:rsidRPr="00821330">
        <w:rPr>
          <w:rFonts w:ascii="Calibri" w:hAnsi="Calibri" w:cs="Calibri"/>
          <w:sz w:val="22"/>
          <w:szCs w:val="22"/>
          <w:u w:val="single"/>
        </w:rPr>
        <w:t>ie parei</w:t>
      </w:r>
      <w:r w:rsidRPr="00821330">
        <w:rPr>
          <w:rFonts w:ascii="Calibri" w:hAnsi="Calibri" w:cs="Calibri" w:hint="eastAsia"/>
          <w:sz w:val="22"/>
          <w:szCs w:val="22"/>
          <w:u w:val="single"/>
        </w:rPr>
        <w:t>š</w:t>
      </w:r>
      <w:r w:rsidRPr="00821330">
        <w:rPr>
          <w:rFonts w:ascii="Calibri" w:hAnsi="Calibri" w:cs="Calibri"/>
          <w:sz w:val="22"/>
          <w:szCs w:val="22"/>
          <w:u w:val="single"/>
        </w:rPr>
        <w:t>kėjo veiksmai b</w:t>
      </w:r>
      <w:r w:rsidRPr="00821330">
        <w:rPr>
          <w:rFonts w:ascii="Calibri" w:hAnsi="Calibri" w:cs="Calibri" w:hint="eastAsia"/>
          <w:sz w:val="22"/>
          <w:szCs w:val="22"/>
          <w:u w:val="single"/>
        </w:rPr>
        <w:t>ū</w:t>
      </w:r>
      <w:r w:rsidRPr="00821330">
        <w:rPr>
          <w:rFonts w:ascii="Calibri" w:hAnsi="Calibri" w:cs="Calibri"/>
          <w:sz w:val="22"/>
          <w:szCs w:val="22"/>
          <w:u w:val="single"/>
        </w:rPr>
        <w:t xml:space="preserve">tų traktuojami jo kilmės </w:t>
      </w:r>
      <w:r w:rsidRPr="00821330">
        <w:rPr>
          <w:rFonts w:ascii="Calibri" w:hAnsi="Calibri" w:cs="Calibri" w:hint="eastAsia"/>
          <w:sz w:val="22"/>
          <w:szCs w:val="22"/>
          <w:u w:val="single"/>
        </w:rPr>
        <w:t>š</w:t>
      </w:r>
      <w:r w:rsidRPr="00821330">
        <w:rPr>
          <w:rFonts w:ascii="Calibri" w:hAnsi="Calibri" w:cs="Calibri"/>
          <w:sz w:val="22"/>
          <w:szCs w:val="22"/>
          <w:u w:val="single"/>
        </w:rPr>
        <w:t>alyje</w:t>
      </w:r>
      <w:r w:rsidRPr="00821330">
        <w:rPr>
          <w:rFonts w:ascii="Calibri" w:hAnsi="Calibri" w:cs="Calibri"/>
          <w:sz w:val="22"/>
          <w:szCs w:val="22"/>
        </w:rPr>
        <w:t xml:space="preserve"> tiek tuo atveju, jei parei</w:t>
      </w:r>
      <w:r w:rsidRPr="00821330">
        <w:rPr>
          <w:rFonts w:ascii="Calibri" w:hAnsi="Calibri" w:cs="Calibri" w:hint="eastAsia"/>
          <w:sz w:val="22"/>
          <w:szCs w:val="22"/>
        </w:rPr>
        <w:t>š</w:t>
      </w:r>
      <w:r w:rsidRPr="00821330">
        <w:rPr>
          <w:rFonts w:ascii="Calibri" w:hAnsi="Calibri" w:cs="Calibri"/>
          <w:sz w:val="22"/>
          <w:szCs w:val="22"/>
        </w:rPr>
        <w:t>kėjas nuspręstų i</w:t>
      </w:r>
      <w:r w:rsidRPr="00821330">
        <w:rPr>
          <w:rFonts w:ascii="Calibri" w:hAnsi="Calibri" w:cs="Calibri" w:hint="eastAsia"/>
          <w:sz w:val="22"/>
          <w:szCs w:val="22"/>
        </w:rPr>
        <w:t>š</w:t>
      </w:r>
      <w:r w:rsidRPr="00821330">
        <w:rPr>
          <w:rFonts w:ascii="Calibri" w:hAnsi="Calibri" w:cs="Calibri"/>
          <w:sz w:val="22"/>
          <w:szCs w:val="22"/>
        </w:rPr>
        <w:t>pažinti krik</w:t>
      </w:r>
      <w:r w:rsidRPr="00821330">
        <w:rPr>
          <w:rFonts w:ascii="Calibri" w:hAnsi="Calibri" w:cs="Calibri" w:hint="eastAsia"/>
          <w:sz w:val="22"/>
          <w:szCs w:val="22"/>
        </w:rPr>
        <w:t>š</w:t>
      </w:r>
      <w:r w:rsidRPr="00821330">
        <w:rPr>
          <w:rFonts w:ascii="Calibri" w:hAnsi="Calibri" w:cs="Calibri"/>
          <w:sz w:val="22"/>
          <w:szCs w:val="22"/>
        </w:rPr>
        <w:t xml:space="preserve">čionybę kilmės </w:t>
      </w:r>
      <w:r w:rsidRPr="00821330">
        <w:rPr>
          <w:rFonts w:ascii="Calibri" w:hAnsi="Calibri" w:cs="Calibri" w:hint="eastAsia"/>
          <w:sz w:val="22"/>
          <w:szCs w:val="22"/>
        </w:rPr>
        <w:t>š</w:t>
      </w:r>
      <w:r w:rsidRPr="00821330">
        <w:rPr>
          <w:rFonts w:ascii="Calibri" w:hAnsi="Calibri" w:cs="Calibri"/>
          <w:sz w:val="22"/>
          <w:szCs w:val="22"/>
        </w:rPr>
        <w:t xml:space="preserve">alyje, tiek tuo atveju, jei jis kilmės </w:t>
      </w:r>
      <w:r w:rsidRPr="00821330">
        <w:rPr>
          <w:rFonts w:ascii="Calibri" w:hAnsi="Calibri" w:cs="Calibri" w:hint="eastAsia"/>
          <w:sz w:val="22"/>
          <w:szCs w:val="22"/>
        </w:rPr>
        <w:t>š</w:t>
      </w:r>
      <w:r w:rsidRPr="00821330">
        <w:rPr>
          <w:rFonts w:ascii="Calibri" w:hAnsi="Calibri" w:cs="Calibri"/>
          <w:sz w:val="22"/>
          <w:szCs w:val="22"/>
        </w:rPr>
        <w:t>alyje grįžtų prie islamo i</w:t>
      </w:r>
      <w:r w:rsidRPr="00821330">
        <w:rPr>
          <w:rFonts w:ascii="Calibri" w:hAnsi="Calibri" w:cs="Calibri" w:hint="eastAsia"/>
          <w:sz w:val="22"/>
          <w:szCs w:val="22"/>
        </w:rPr>
        <w:t>š</w:t>
      </w:r>
      <w:r w:rsidRPr="00821330">
        <w:rPr>
          <w:rFonts w:ascii="Calibri" w:hAnsi="Calibri" w:cs="Calibri"/>
          <w:sz w:val="22"/>
          <w:szCs w:val="22"/>
        </w:rPr>
        <w:t xml:space="preserve">pažinimo, jei kilmės </w:t>
      </w:r>
      <w:r w:rsidRPr="00821330">
        <w:rPr>
          <w:rFonts w:ascii="Calibri" w:hAnsi="Calibri" w:cs="Calibri" w:hint="eastAsia"/>
          <w:sz w:val="22"/>
          <w:szCs w:val="22"/>
        </w:rPr>
        <w:t>š</w:t>
      </w:r>
      <w:r w:rsidRPr="00821330">
        <w:rPr>
          <w:rFonts w:ascii="Calibri" w:hAnsi="Calibri" w:cs="Calibri"/>
          <w:sz w:val="22"/>
          <w:szCs w:val="22"/>
        </w:rPr>
        <w:t>alyje b</w:t>
      </w:r>
      <w:r w:rsidRPr="00821330">
        <w:rPr>
          <w:rFonts w:ascii="Calibri" w:hAnsi="Calibri" w:cs="Calibri" w:hint="eastAsia"/>
          <w:sz w:val="22"/>
          <w:szCs w:val="22"/>
        </w:rPr>
        <w:t>ū</w:t>
      </w:r>
      <w:r w:rsidRPr="00821330">
        <w:rPr>
          <w:rFonts w:ascii="Calibri" w:hAnsi="Calibri" w:cs="Calibri"/>
          <w:sz w:val="22"/>
          <w:szCs w:val="22"/>
        </w:rPr>
        <w:t>tų žinoma apie jo buvusį atsivertimą (perėjimą) į krik</w:t>
      </w:r>
      <w:r w:rsidRPr="00821330">
        <w:rPr>
          <w:rFonts w:ascii="Calibri" w:hAnsi="Calibri" w:cs="Calibri" w:hint="eastAsia"/>
          <w:sz w:val="22"/>
          <w:szCs w:val="22"/>
        </w:rPr>
        <w:t>š</w:t>
      </w:r>
      <w:r w:rsidRPr="00821330">
        <w:rPr>
          <w:rFonts w:ascii="Calibri" w:hAnsi="Calibri" w:cs="Calibri"/>
          <w:sz w:val="22"/>
          <w:szCs w:val="22"/>
        </w:rPr>
        <w:t>čionybę. Nagrinėtu atveju atsakovas tokio tyrimo neatliko, todėl nenustatė visų reik</w:t>
      </w:r>
      <w:r w:rsidRPr="00821330">
        <w:rPr>
          <w:rFonts w:ascii="Calibri" w:hAnsi="Calibri" w:cs="Calibri" w:hint="eastAsia"/>
          <w:sz w:val="22"/>
          <w:szCs w:val="22"/>
        </w:rPr>
        <w:t>š</w:t>
      </w:r>
      <w:r w:rsidRPr="00821330">
        <w:rPr>
          <w:rFonts w:ascii="Calibri" w:hAnsi="Calibri" w:cs="Calibri"/>
          <w:sz w:val="22"/>
          <w:szCs w:val="22"/>
        </w:rPr>
        <w:t>mingų aplinkybių, kurios sudarytų pagrindą priimti teisingą bei pagrįstą atitinkamą sprendimą.</w:t>
      </w:r>
    </w:p>
    <w:p w14:paraId="640A3BB7" w14:textId="5F3D33F7" w:rsidR="00F85C89" w:rsidRPr="00821330" w:rsidRDefault="00F85C89" w:rsidP="00F85C89">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LVAT sprendimu pirmosios instancijos teismo sprendimas panaikintas ir priimtas naujas sprendimas</w:t>
      </w:r>
      <w:r w:rsidR="00B475D5" w:rsidRPr="00821330">
        <w:rPr>
          <w:rFonts w:ascii="Calibri" w:hAnsi="Calibri" w:cs="Calibri"/>
          <w:sz w:val="22"/>
          <w:szCs w:val="22"/>
        </w:rPr>
        <w:t>:</w:t>
      </w:r>
      <w:r w:rsidRPr="00821330">
        <w:rPr>
          <w:rFonts w:ascii="Calibri" w:hAnsi="Calibri" w:cs="Calibri"/>
          <w:sz w:val="22"/>
          <w:szCs w:val="22"/>
        </w:rPr>
        <w:t xml:space="preserve"> parei</w:t>
      </w:r>
      <w:r w:rsidRPr="00821330">
        <w:rPr>
          <w:rFonts w:ascii="Calibri" w:hAnsi="Calibri" w:cs="Calibri" w:hint="eastAsia"/>
          <w:sz w:val="22"/>
          <w:szCs w:val="22"/>
        </w:rPr>
        <w:t>š</w:t>
      </w:r>
      <w:r w:rsidRPr="00821330">
        <w:rPr>
          <w:rFonts w:ascii="Calibri" w:hAnsi="Calibri" w:cs="Calibri"/>
          <w:sz w:val="22"/>
          <w:szCs w:val="22"/>
        </w:rPr>
        <w:t>kėjo skundas tenkintas, atsakovo sprendimas panaikintas</w:t>
      </w:r>
      <w:r w:rsidR="00B475D5" w:rsidRPr="00821330">
        <w:rPr>
          <w:rFonts w:ascii="Calibri" w:hAnsi="Calibri" w:cs="Calibri"/>
          <w:sz w:val="22"/>
          <w:szCs w:val="22"/>
        </w:rPr>
        <w:t xml:space="preserve"> ir</w:t>
      </w:r>
      <w:r w:rsidRPr="00821330">
        <w:rPr>
          <w:rFonts w:ascii="Calibri" w:hAnsi="Calibri" w:cs="Calibri"/>
          <w:sz w:val="22"/>
          <w:szCs w:val="22"/>
        </w:rPr>
        <w:t xml:space="preserve"> atsakovas įpareigotas i</w:t>
      </w:r>
      <w:r w:rsidRPr="00821330">
        <w:rPr>
          <w:rFonts w:ascii="Calibri" w:hAnsi="Calibri" w:cs="Calibri" w:hint="eastAsia"/>
          <w:sz w:val="22"/>
          <w:szCs w:val="22"/>
        </w:rPr>
        <w:t>š</w:t>
      </w:r>
      <w:r w:rsidRPr="00821330">
        <w:rPr>
          <w:rFonts w:ascii="Calibri" w:hAnsi="Calibri" w:cs="Calibri"/>
          <w:sz w:val="22"/>
          <w:szCs w:val="22"/>
        </w:rPr>
        <w:t xml:space="preserve"> naujo i</w:t>
      </w:r>
      <w:r w:rsidRPr="00821330">
        <w:rPr>
          <w:rFonts w:ascii="Calibri" w:hAnsi="Calibri" w:cs="Calibri" w:hint="eastAsia"/>
          <w:sz w:val="22"/>
          <w:szCs w:val="22"/>
        </w:rPr>
        <w:t>š</w:t>
      </w:r>
      <w:r w:rsidRPr="00821330">
        <w:rPr>
          <w:rFonts w:ascii="Calibri" w:hAnsi="Calibri" w:cs="Calibri"/>
          <w:sz w:val="22"/>
          <w:szCs w:val="22"/>
        </w:rPr>
        <w:t>nagrinėti parei</w:t>
      </w:r>
      <w:r w:rsidRPr="00821330">
        <w:rPr>
          <w:rFonts w:ascii="Calibri" w:hAnsi="Calibri" w:cs="Calibri" w:hint="eastAsia"/>
          <w:sz w:val="22"/>
          <w:szCs w:val="22"/>
        </w:rPr>
        <w:t>š</w:t>
      </w:r>
      <w:r w:rsidRPr="00821330">
        <w:rPr>
          <w:rFonts w:ascii="Calibri" w:hAnsi="Calibri" w:cs="Calibri"/>
          <w:sz w:val="22"/>
          <w:szCs w:val="22"/>
        </w:rPr>
        <w:t>kėjo pra</w:t>
      </w:r>
      <w:r w:rsidRPr="00821330">
        <w:rPr>
          <w:rFonts w:ascii="Calibri" w:hAnsi="Calibri" w:cs="Calibri" w:hint="eastAsia"/>
          <w:sz w:val="22"/>
          <w:szCs w:val="22"/>
        </w:rPr>
        <w:t>š</w:t>
      </w:r>
      <w:r w:rsidRPr="00821330">
        <w:rPr>
          <w:rFonts w:ascii="Calibri" w:hAnsi="Calibri" w:cs="Calibri"/>
          <w:sz w:val="22"/>
          <w:szCs w:val="22"/>
        </w:rPr>
        <w:t>ymą suteikti prieglobstį Lietuvos Respublikoje.</w:t>
      </w:r>
    </w:p>
    <w:p w14:paraId="77A1D529" w14:textId="77777777" w:rsidR="00F85C89" w:rsidRPr="00821330" w:rsidRDefault="00F85C89" w:rsidP="00F85C89">
      <w:pPr>
        <w:shd w:val="clear" w:color="auto" w:fill="FFFFFF"/>
        <w:tabs>
          <w:tab w:val="left" w:pos="3119"/>
        </w:tabs>
        <w:ind w:firstLine="567"/>
        <w:jc w:val="both"/>
        <w:rPr>
          <w:rFonts w:ascii="Calibri" w:eastAsia="Calibri" w:hAnsi="Calibri" w:cs="Calibri"/>
          <w:sz w:val="22"/>
          <w:szCs w:val="22"/>
          <w:lang w:eastAsia="en-US"/>
        </w:rPr>
      </w:pPr>
    </w:p>
    <w:p w14:paraId="167B8580" w14:textId="77777777" w:rsidR="00F85C89" w:rsidRPr="00821330" w:rsidRDefault="00F85C89" w:rsidP="00F85C89">
      <w:pPr>
        <w:jc w:val="both"/>
        <w:rPr>
          <w:rFonts w:ascii="Calibri" w:eastAsia="Calibri" w:hAnsi="Calibri"/>
          <w:bCs/>
          <w:sz w:val="22"/>
          <w:szCs w:val="22"/>
          <w:lang w:eastAsia="en-US"/>
        </w:rPr>
      </w:pPr>
      <w:r w:rsidRPr="00821330">
        <w:rPr>
          <w:rFonts w:ascii="Calibri" w:eastAsia="Calibri" w:hAnsi="Calibri"/>
          <w:bCs/>
          <w:sz w:val="22"/>
          <w:szCs w:val="22"/>
          <w:lang w:eastAsia="en-US"/>
        </w:rPr>
        <w:t>2019 m. gruodžio 11 d. sprendimas administracinėje byloje Nr. eA-5576-1062/2019</w:t>
      </w:r>
    </w:p>
    <w:p w14:paraId="1BBD3FDE" w14:textId="77777777" w:rsidR="00F85C89" w:rsidRPr="00821330" w:rsidRDefault="00F85C89" w:rsidP="00F85C89">
      <w:pPr>
        <w:jc w:val="both"/>
        <w:rPr>
          <w:rFonts w:ascii="Calibri" w:eastAsia="Calibri" w:hAnsi="Calibri"/>
          <w:bCs/>
          <w:sz w:val="22"/>
          <w:szCs w:val="22"/>
          <w:lang w:eastAsia="en-US"/>
        </w:rPr>
      </w:pPr>
      <w:r w:rsidRPr="00821330">
        <w:rPr>
          <w:rFonts w:ascii="Calibri" w:eastAsia="Calibri" w:hAnsi="Calibri"/>
          <w:bCs/>
          <w:sz w:val="22"/>
          <w:szCs w:val="22"/>
          <w:lang w:eastAsia="en-US"/>
        </w:rPr>
        <w:t>Teisminio proceso Nr. 3-61-3-02752-2019-1</w:t>
      </w:r>
    </w:p>
    <w:p w14:paraId="4647DC3F" w14:textId="77777777" w:rsidR="00F85C89" w:rsidRPr="00821330" w:rsidRDefault="00F85C89" w:rsidP="00F85C89">
      <w:pPr>
        <w:jc w:val="both"/>
        <w:rPr>
          <w:rFonts w:ascii="Calibri" w:eastAsia="Calibri" w:hAnsi="Calibri"/>
          <w:bCs/>
          <w:sz w:val="22"/>
          <w:szCs w:val="22"/>
          <w:lang w:eastAsia="en-US"/>
        </w:rPr>
      </w:pPr>
      <w:r w:rsidRPr="00821330">
        <w:rPr>
          <w:rFonts w:ascii="Calibri" w:eastAsia="Calibri" w:hAnsi="Calibri"/>
          <w:bCs/>
          <w:sz w:val="22"/>
          <w:szCs w:val="22"/>
          <w:lang w:eastAsia="en-US"/>
        </w:rPr>
        <w:t xml:space="preserve">Procesinio sprendimo kategorijos: 9.2; 9.3 </w:t>
      </w:r>
    </w:p>
    <w:p w14:paraId="24066D5C" w14:textId="60FF6D7F" w:rsidR="00F85C89" w:rsidRDefault="00E956D9" w:rsidP="000C4189">
      <w:pPr>
        <w:jc w:val="both"/>
        <w:rPr>
          <w:rFonts w:ascii="Calibri" w:eastAsia="Calibri" w:hAnsi="Calibri"/>
          <w:bCs/>
          <w:sz w:val="22"/>
          <w:szCs w:val="22"/>
          <w:lang w:eastAsia="en-US"/>
        </w:rPr>
      </w:pPr>
      <w:hyperlink r:id="rId11" w:history="1">
        <w:r w:rsidR="00F85C89" w:rsidRPr="00821330">
          <w:rPr>
            <w:rFonts w:ascii="Calibri" w:eastAsia="Calibri" w:hAnsi="Calibri"/>
            <w:bCs/>
            <w:color w:val="0000FF"/>
            <w:sz w:val="22"/>
            <w:szCs w:val="22"/>
            <w:u w:val="single"/>
            <w:lang w:eastAsia="en-US"/>
          </w:rPr>
          <w:t>Prieiga internete</w:t>
        </w:r>
      </w:hyperlink>
      <w:r w:rsidR="00F85C89" w:rsidRPr="00821330">
        <w:rPr>
          <w:rFonts w:ascii="Calibri" w:eastAsia="Calibri" w:hAnsi="Calibri"/>
          <w:bCs/>
          <w:sz w:val="22"/>
          <w:szCs w:val="22"/>
          <w:lang w:eastAsia="en-US"/>
        </w:rPr>
        <w:t xml:space="preserve"> </w:t>
      </w:r>
    </w:p>
    <w:p w14:paraId="42188AC9" w14:textId="0CAF0D45" w:rsidR="000C4189" w:rsidRDefault="000C4189" w:rsidP="000C4189">
      <w:pPr>
        <w:jc w:val="both"/>
        <w:rPr>
          <w:rFonts w:ascii="Calibri" w:eastAsia="Calibri" w:hAnsi="Calibri"/>
          <w:bCs/>
          <w:sz w:val="22"/>
          <w:szCs w:val="22"/>
          <w:lang w:eastAsia="en-US"/>
        </w:rPr>
      </w:pPr>
    </w:p>
    <w:p w14:paraId="38D0F0B0" w14:textId="77777777" w:rsidR="000C4189" w:rsidRPr="00821330" w:rsidRDefault="000C4189" w:rsidP="000C4189">
      <w:pPr>
        <w:jc w:val="both"/>
        <w:outlineLvl w:val="0"/>
        <w:rPr>
          <w:rFonts w:ascii="Calibri" w:hAnsi="Calibri"/>
          <w:b/>
          <w:sz w:val="22"/>
          <w:szCs w:val="22"/>
          <w:u w:val="single"/>
        </w:rPr>
      </w:pPr>
      <w:bookmarkStart w:id="27" w:name="_Toc32243581"/>
      <w:bookmarkStart w:id="28" w:name="m_-3647217582678678324__Hlk22630542"/>
      <w:r w:rsidRPr="00821330">
        <w:rPr>
          <w:rFonts w:ascii="Calibri" w:hAnsi="Calibri"/>
          <w:b/>
          <w:sz w:val="22"/>
          <w:szCs w:val="22"/>
          <w:u w:val="single"/>
        </w:rPr>
        <w:t>10. Lietuvos Respublikos pilietybė</w:t>
      </w:r>
      <w:bookmarkEnd w:id="27"/>
    </w:p>
    <w:p w14:paraId="42AE72FE" w14:textId="77777777" w:rsidR="000C4189" w:rsidRPr="00821330" w:rsidRDefault="000C4189" w:rsidP="000C4189">
      <w:pPr>
        <w:ind w:firstLine="567"/>
        <w:jc w:val="both"/>
        <w:rPr>
          <w:rFonts w:ascii="Calibri" w:eastAsia="Calibri" w:hAnsi="Calibri"/>
          <w:b/>
          <w:sz w:val="22"/>
          <w:szCs w:val="22"/>
          <w:u w:val="single"/>
          <w:lang w:eastAsia="en-US"/>
        </w:rPr>
      </w:pPr>
      <w:r w:rsidRPr="00821330">
        <w:rPr>
          <w:rFonts w:ascii="Calibri" w:eastAsia="Calibri" w:hAnsi="Calibri"/>
          <w:b/>
          <w:sz w:val="22"/>
          <w:szCs w:val="22"/>
          <w:u w:val="single"/>
          <w:lang w:eastAsia="en-US"/>
        </w:rPr>
        <w:t>10.5. Dviguba pilietybė</w:t>
      </w:r>
    </w:p>
    <w:p w14:paraId="397E590F" w14:textId="77777777" w:rsidR="000C4189" w:rsidRPr="00821330" w:rsidRDefault="000C4189" w:rsidP="000C4189">
      <w:pPr>
        <w:ind w:firstLine="567"/>
        <w:jc w:val="both"/>
        <w:rPr>
          <w:rFonts w:ascii="Calibri" w:eastAsia="Calibri" w:hAnsi="Calibri" w:cs="Calibri"/>
          <w:bCs/>
          <w:i/>
          <w:iCs/>
          <w:sz w:val="22"/>
          <w:szCs w:val="22"/>
          <w:shd w:val="clear" w:color="auto" w:fill="FFFFFF"/>
          <w:lang w:eastAsia="en-US"/>
        </w:rPr>
      </w:pPr>
    </w:p>
    <w:p w14:paraId="3F2B65AC" w14:textId="77777777" w:rsidR="000C4189" w:rsidRPr="00821330" w:rsidRDefault="000C4189" w:rsidP="000C4189">
      <w:pPr>
        <w:pStyle w:val="Antrat2"/>
        <w:rPr>
          <w:rFonts w:ascii="Calibri" w:hAnsi="Calibri" w:cs="Calibri"/>
          <w:bCs/>
          <w:i w:val="0"/>
          <w:iCs/>
        </w:rPr>
      </w:pPr>
      <w:bookmarkStart w:id="29" w:name="_Toc32243582"/>
      <w:r w:rsidRPr="00821330">
        <w:rPr>
          <w:rFonts w:ascii="Calibri" w:hAnsi="Calibri" w:cs="Calibri"/>
          <w:bCs/>
          <w:iCs/>
        </w:rPr>
        <w:t xml:space="preserve">Dėl Lietuvos Respublikos pilietybės atkūrimo, išlaikant turimą kitos valstybės pilietybę, sąlygų bei sąvokos </w:t>
      </w:r>
      <w:r w:rsidRPr="00821330">
        <w:rPr>
          <w:rFonts w:ascii="Calibri" w:hAnsi="Calibri"/>
        </w:rPr>
        <w:t>„iki 1940 m. birželio 15 d. Lietuvos Respublikos pilietybę turėjęs asmuo“ aiškinimo</w:t>
      </w:r>
      <w:bookmarkEnd w:id="29"/>
    </w:p>
    <w:p w14:paraId="7EE84D6C" w14:textId="77777777" w:rsidR="000C4189" w:rsidRPr="00821330" w:rsidRDefault="000C4189" w:rsidP="000C4189">
      <w:pPr>
        <w:shd w:val="clear" w:color="auto" w:fill="FFFFFF"/>
        <w:jc w:val="both"/>
        <w:rPr>
          <w:rFonts w:ascii="Calibri" w:eastAsia="Calibri" w:hAnsi="Calibri" w:cs="Calibri"/>
          <w:bCs/>
          <w:i/>
          <w:iCs/>
          <w:sz w:val="22"/>
          <w:szCs w:val="22"/>
          <w:shd w:val="clear" w:color="auto" w:fill="FFFFFF"/>
          <w:lang w:eastAsia="en-US"/>
        </w:rPr>
      </w:pPr>
    </w:p>
    <w:p w14:paraId="30EF358D" w14:textId="77777777" w:rsidR="000C4189" w:rsidRPr="00821330" w:rsidRDefault="000C4189" w:rsidP="000C4189">
      <w:pPr>
        <w:shd w:val="clear" w:color="auto" w:fill="FFFFFF"/>
        <w:tabs>
          <w:tab w:val="left" w:pos="3119"/>
        </w:tabs>
        <w:ind w:firstLine="567"/>
        <w:jc w:val="both"/>
        <w:rPr>
          <w:rFonts w:ascii="Calibri" w:eastAsia="Calibri" w:hAnsi="Calibri" w:cs="Calibri"/>
          <w:sz w:val="22"/>
          <w:szCs w:val="22"/>
          <w:lang w:eastAsia="en-US"/>
        </w:rPr>
      </w:pPr>
      <w:r w:rsidRPr="00821330">
        <w:rPr>
          <w:rFonts w:ascii="Calibri" w:hAnsi="Calibri" w:cs="Calibri"/>
          <w:sz w:val="22"/>
          <w:szCs w:val="22"/>
        </w:rPr>
        <w:t xml:space="preserve">Nagrinėtoje byloje ginčas kilo dėl </w:t>
      </w:r>
      <w:r w:rsidRPr="00821330">
        <w:rPr>
          <w:rFonts w:ascii="Calibri" w:eastAsia="Calibri" w:hAnsi="Calibri" w:cs="Calibri"/>
          <w:sz w:val="22"/>
          <w:szCs w:val="22"/>
          <w:lang w:eastAsia="en-US"/>
        </w:rPr>
        <w:t>to, ar teisėtai ir pagrįstai Lietuvos Respublikos vidaus reikalų ministerija (toliau – VRM) atsisakė tenkinti pareiškėjų prašymą dėl Lietuvos Respublikos pilietybės atkūrimo, išlaikant turimą kitos valstybės pilietybę.</w:t>
      </w:r>
    </w:p>
    <w:p w14:paraId="63E62BE0" w14:textId="77777777" w:rsidR="000C4189" w:rsidRPr="00821330" w:rsidRDefault="000C4189" w:rsidP="000C4189">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 xml:space="preserve">Išplėstinė teisėjų kolegija nustatė, jog įstatymų leidėjas galimybę asmenims, siekiantiems atkurti Lietuvos Respublikos pilietybę ir kartu išlaikyti turimą kitos valstybės pilietybę, sieja su tam tikromis sąlygomis. Visų pirma, remiantis Pilietybės įstatymo 9 straipsnio 2 dalimi, tai turi būti asmuo, išvykęs arba ištremtas iš Lietuvos iki 1990 m. kovo 11 d. arba tokio asmens palikuonis (Pilietybės įstatymo 7 str. 2, 3 ar 4 p.). Asmens, išvykusio iš Lietuvos iki 1990 m. kovo 11 d., sąvoka įtvirtinta Pilietybės įstatymo 2 straipsnio 3 dalyje, numatant, jog tai – iki 1940 m. birželio 15 d. Lietuvos Respublikos pilietybę turėjęs asmuo ar jo palikuonis, iki 1990 m. kovo 11 d. išvykę iš dabartinės Lietuvos Respublikos teritorijos nuolat gyventi į kitą valstybę, jeigu 1990 m. kovo 11 d. jų nuolatinė gyvenamoji vieta buvo ne Lietuvoje. Ši sąvoka netaikoma asmenims, kurie po 1940 m. birželio 15 d. išvyko iš Lietuvos teritorijos į buvusią Sovietų Sąjungos teritoriją. </w:t>
      </w:r>
    </w:p>
    <w:p w14:paraId="102E1F6C" w14:textId="77777777" w:rsidR="000C4189" w:rsidRPr="00821330" w:rsidRDefault="000C4189" w:rsidP="000C4189">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 xml:space="preserve">Įvertinus minėtas teisės normas, daryta išvada, jog </w:t>
      </w:r>
      <w:r w:rsidRPr="00821330">
        <w:rPr>
          <w:rFonts w:ascii="Calibri" w:hAnsi="Calibri" w:cs="Calibri"/>
          <w:sz w:val="22"/>
          <w:szCs w:val="22"/>
          <w:u w:val="single"/>
        </w:rPr>
        <w:t xml:space="preserve">sprendžiant pilietybės atkūrimo, neatsisakant turimos kitos valstybės pilietybės, klausimą, turi būti įvertinti du aspektai, t. y. asmuo ar jo protėvis turi būti išvykęs ar </w:t>
      </w:r>
      <w:r w:rsidRPr="00821330">
        <w:rPr>
          <w:rFonts w:ascii="Calibri" w:hAnsi="Calibri" w:cs="Calibri"/>
          <w:sz w:val="22"/>
          <w:szCs w:val="22"/>
          <w:u w:val="single"/>
        </w:rPr>
        <w:lastRenderedPageBreak/>
        <w:t>ištremtas iš Lietuvos iki 1990 m. kovo 11 d., bei asmuo ar jo protėvis turi būti turėję Lietuvos Respublikos pilietybę iki 1940 m. birželio 15 d.</w:t>
      </w:r>
      <w:r w:rsidRPr="00821330">
        <w:rPr>
          <w:rFonts w:ascii="Calibri" w:hAnsi="Calibri" w:cs="Calibri"/>
          <w:sz w:val="22"/>
          <w:szCs w:val="22"/>
        </w:rPr>
        <w:t xml:space="preserve"> </w:t>
      </w:r>
    </w:p>
    <w:p w14:paraId="54782D0D" w14:textId="77777777" w:rsidR="000C4189" w:rsidRPr="00821330" w:rsidRDefault="000C4189" w:rsidP="000C4189">
      <w:pPr>
        <w:shd w:val="clear" w:color="auto" w:fill="FFFFFF"/>
        <w:tabs>
          <w:tab w:val="left" w:pos="3119"/>
        </w:tabs>
        <w:ind w:right="-1" w:firstLine="567"/>
        <w:jc w:val="both"/>
        <w:rPr>
          <w:rFonts w:ascii="Calibri" w:hAnsi="Calibri" w:cs="Calibri"/>
          <w:sz w:val="22"/>
          <w:szCs w:val="22"/>
        </w:rPr>
      </w:pPr>
      <w:r w:rsidRPr="00821330">
        <w:rPr>
          <w:rFonts w:ascii="Calibri" w:eastAsia="Calibri" w:hAnsi="Calibri"/>
          <w:sz w:val="22"/>
          <w:szCs w:val="22"/>
          <w:lang w:eastAsia="en-US"/>
        </w:rPr>
        <w:t xml:space="preserve">Byloje buvo kilęs ginčas dėl frazės „iki 1940 m. birželio 15 d. Lietuvos Respublikos pilietybę turėjęs asmuo“ aiškinimo, t. y. ar tokia įstatymo formuluotė turėtų būti suprantama kaip: 1) apimanti asmenis, kurie bent dalį laikotarpio nuo 1919 m. sausio 9 d. Laikinojo įstatymo apie Lietuvos pilietybę priėmimo iki 1940 m. birželio 15 d. turėjo Lietuvos Respublikos pilietybę; ar 2) taikoma tik tiems asmenims, kurie, nepriklausomai nuo pilietybės įgijimo momento, būtent 1940 m. birželio 15 d. vis dar turėjo Lietuvos Respublikos pilietybę. </w:t>
      </w:r>
    </w:p>
    <w:p w14:paraId="21653C1E" w14:textId="77777777" w:rsidR="000C4189" w:rsidRPr="00821330" w:rsidRDefault="000C4189" w:rsidP="000C4189">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 xml:space="preserve">Išplėstinė teisėjų kolegija pažymėjo, jog sąvoka „iki 1940 m. birželio 15 d. Lietuvos Respublikos pilietybę turėjęs asmuo ar jo palikuonis“ yra detaliai išaiškinta LVAT 2017 m. spalio 31 d. nutartyje administracinėje byloje Nr. eA-4691-756/2017, kurioje konstatuota, kad </w:t>
      </w:r>
      <w:r w:rsidRPr="00821330">
        <w:rPr>
          <w:rFonts w:ascii="Calibri" w:hAnsi="Calibri" w:cs="Calibri"/>
          <w:sz w:val="22"/>
          <w:szCs w:val="22"/>
          <w:u w:val="single"/>
        </w:rPr>
        <w:t>pretenduoti į Lietuvos Respublikos pilietybės atkūrimą, kartu pasiliekant ir turimą kitos valstybės pilietybę, gali tik tie asmenys, kurie 1940 m. birželio 15 d. (t. y. iki buvusios Sovietų Sąjungos įvykdytos okupacijos) turėjo Lietuvos Respublikos pilietybę, ir tokių asmenų palikuonys.</w:t>
      </w:r>
      <w:r w:rsidRPr="00821330">
        <w:rPr>
          <w:rFonts w:ascii="Calibri" w:hAnsi="Calibri" w:cs="Calibri"/>
          <w:sz w:val="22"/>
          <w:szCs w:val="22"/>
        </w:rPr>
        <w:t xml:space="preserve"> &lt;...&gt; </w:t>
      </w:r>
      <w:r w:rsidRPr="00821330">
        <w:rPr>
          <w:rFonts w:ascii="Calibri" w:hAnsi="Calibri" w:cs="Calibri"/>
          <w:sz w:val="22"/>
          <w:szCs w:val="22"/>
          <w:u w:val="single"/>
        </w:rPr>
        <w:t>Išimties dėl dvigubos pilietybės nustatančių Įstatymo nuostatų taikymui svarbu ir tai, kad asmuo &lt;...&gt; išvykimo momentu ne tik būtų Lietuvos Respublikos piliečiu, bet ir Lietuvos Respublikos pilietybės nebūtų netekęs dėl savo valingų veiksmų iki 1940 m. birželio 15 d.</w:t>
      </w:r>
    </w:p>
    <w:p w14:paraId="43C0100F" w14:textId="77777777" w:rsidR="000C4189" w:rsidRPr="00821330" w:rsidRDefault="000C4189" w:rsidP="000C4189">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 xml:space="preserve">Sprendžiant klausimą, ar pareiškėjų senelė ir prosenelė atitiko antrąją sąlygą, t. y. ar Lietuvos Respublikos pilietybės nebuvo netekusi dėl savo valingų veiksmų iki 1940 m. birželio 15 d., nustatyta, jog </w:t>
      </w:r>
      <w:r w:rsidRPr="00821330">
        <w:rPr>
          <w:rFonts w:ascii="Calibri" w:eastAsia="Calibri" w:hAnsi="Calibri"/>
          <w:sz w:val="22"/>
          <w:szCs w:val="22"/>
          <w:lang w:eastAsia="en-US"/>
        </w:rPr>
        <w:t xml:space="preserve">Migracijos departamento prie Vidaus reikalų ministerijos (toliau – Migracijos departamentas) </w:t>
      </w:r>
      <w:r w:rsidRPr="00821330">
        <w:rPr>
          <w:rFonts w:ascii="Calibri" w:hAnsi="Calibri" w:cs="Calibri"/>
          <w:sz w:val="22"/>
          <w:szCs w:val="22"/>
        </w:rPr>
        <w:t xml:space="preserve">teikimai bei skundžiamas VRM įsakymas yra priimti prieštaraujančių įrodymų pagrindu, tų prieštaravimų neanalizavus ir jų nepašalinus. Konstatuota, jog pirmosios instancijos teismas netinkamai sprendė dėl viešojo administravimo subjekto surinktų ir vertintų įrodymų. </w:t>
      </w:r>
    </w:p>
    <w:p w14:paraId="3A34DC07" w14:textId="00ACBDB8" w:rsidR="000C4189" w:rsidRPr="00821330" w:rsidRDefault="000C4189" w:rsidP="000C4189">
      <w:pPr>
        <w:shd w:val="clear" w:color="auto" w:fill="FFFFFF"/>
        <w:tabs>
          <w:tab w:val="left" w:pos="3119"/>
        </w:tabs>
        <w:ind w:right="-1" w:firstLine="567"/>
        <w:jc w:val="both"/>
        <w:rPr>
          <w:rFonts w:ascii="Calibri" w:eastAsia="Calibri" w:hAnsi="Calibri"/>
          <w:color w:val="000000"/>
          <w:sz w:val="22"/>
          <w:szCs w:val="22"/>
          <w:lang w:eastAsia="en-US"/>
        </w:rPr>
      </w:pPr>
      <w:r w:rsidRPr="00821330">
        <w:rPr>
          <w:rFonts w:ascii="Calibri" w:hAnsi="Calibri" w:cs="Calibri"/>
          <w:sz w:val="22"/>
          <w:szCs w:val="22"/>
        </w:rPr>
        <w:t xml:space="preserve">Be to, apžvelgiamoje byloje buvo </w:t>
      </w:r>
      <w:r w:rsidRPr="00821330">
        <w:rPr>
          <w:rFonts w:ascii="Calibri" w:eastAsia="Calibri" w:hAnsi="Calibri"/>
          <w:color w:val="000000"/>
          <w:sz w:val="22"/>
          <w:szCs w:val="22"/>
          <w:lang w:eastAsia="en-US"/>
        </w:rPr>
        <w:t>susidariusi situacija, kad esant toms pačioms (nepasikeitusioms) faktinėms aplinkybėms ir galiojant nepakeistiems teisės aktams, vieniems pareiškėjų senelės / prosenelės palikuoni</w:t>
      </w:r>
      <w:r w:rsidR="00E956D9">
        <w:rPr>
          <w:rFonts w:ascii="Calibri" w:eastAsia="Calibri" w:hAnsi="Calibri"/>
          <w:color w:val="000000"/>
          <w:sz w:val="22"/>
          <w:szCs w:val="22"/>
          <w:lang w:eastAsia="en-US"/>
        </w:rPr>
        <w:t>a</w:t>
      </w:r>
      <w:r w:rsidRPr="00821330">
        <w:rPr>
          <w:rFonts w:ascii="Calibri" w:eastAsia="Calibri" w:hAnsi="Calibri"/>
          <w:color w:val="000000"/>
          <w:sz w:val="22"/>
          <w:szCs w:val="22"/>
          <w:lang w:eastAsia="en-US"/>
        </w:rPr>
        <w:t xml:space="preserve">ms </w:t>
      </w:r>
      <w:r w:rsidRPr="00821330">
        <w:rPr>
          <w:rFonts w:ascii="Calibri" w:eastAsia="Calibri" w:hAnsi="Calibri"/>
          <w:i/>
          <w:color w:val="000000"/>
          <w:sz w:val="22"/>
          <w:szCs w:val="22"/>
          <w:lang w:eastAsia="en-US"/>
        </w:rPr>
        <w:t>(pastaba: jie nėra pareiškėjai</w:t>
      </w:r>
      <w:bookmarkStart w:id="30" w:name="_GoBack"/>
      <w:bookmarkEnd w:id="30"/>
      <w:r w:rsidRPr="00821330">
        <w:rPr>
          <w:rFonts w:ascii="Calibri" w:eastAsia="Calibri" w:hAnsi="Calibri"/>
          <w:i/>
          <w:color w:val="000000"/>
          <w:sz w:val="22"/>
          <w:szCs w:val="22"/>
          <w:lang w:eastAsia="en-US"/>
        </w:rPr>
        <w:t xml:space="preserve"> šioje byloje; sprendimas dėl jų priimtas iki Lietuvos vyriausiojo administracinio teismo 2017 m. spalio 31 d. nutarties administracinėje byloje Nr. eA-4691-756/2017 priėmimo)</w:t>
      </w:r>
      <w:r w:rsidRPr="00821330">
        <w:rPr>
          <w:rFonts w:ascii="Calibri" w:eastAsia="Calibri" w:hAnsi="Calibri"/>
          <w:color w:val="000000"/>
          <w:sz w:val="22"/>
          <w:szCs w:val="22"/>
          <w:lang w:eastAsia="en-US"/>
        </w:rPr>
        <w:t xml:space="preserve"> Lietuvos Respublikos pilietybė buvo atkurta, o kitiems (pareiškėjams) – ne. </w:t>
      </w:r>
    </w:p>
    <w:p w14:paraId="18E9C473" w14:textId="77777777" w:rsidR="000C4189" w:rsidRPr="00821330" w:rsidRDefault="000C4189" w:rsidP="000C4189">
      <w:pPr>
        <w:shd w:val="clear" w:color="auto" w:fill="FFFFFF"/>
        <w:tabs>
          <w:tab w:val="left" w:pos="3119"/>
        </w:tabs>
        <w:ind w:right="-1" w:firstLine="567"/>
        <w:jc w:val="both"/>
        <w:rPr>
          <w:rFonts w:ascii="Calibri" w:eastAsia="Calibri" w:hAnsi="Calibri"/>
          <w:color w:val="000000"/>
          <w:sz w:val="22"/>
          <w:szCs w:val="22"/>
          <w:lang w:eastAsia="en-US"/>
        </w:rPr>
      </w:pPr>
      <w:r w:rsidRPr="00821330">
        <w:rPr>
          <w:rFonts w:ascii="Calibri" w:eastAsia="Calibri" w:hAnsi="Calibri"/>
          <w:color w:val="000000"/>
          <w:sz w:val="22"/>
          <w:szCs w:val="22"/>
          <w:lang w:eastAsia="en-US"/>
        </w:rPr>
        <w:t>Išplėstinė teisėjų kolegija pabrėžė, kad</w:t>
      </w:r>
      <w:r w:rsidRPr="00821330">
        <w:rPr>
          <w:rFonts w:ascii="Calibri" w:eastAsia="Calibri" w:hAnsi="Calibri"/>
          <w:noProof/>
          <w:sz w:val="22"/>
          <w:szCs w:val="22"/>
          <w:lang w:eastAsia="en-US"/>
        </w:rPr>
        <w:t xml:space="preserve"> </w:t>
      </w:r>
      <w:r w:rsidRPr="00821330">
        <w:rPr>
          <w:rFonts w:ascii="Calibri" w:eastAsia="Calibri" w:hAnsi="Calibri"/>
          <w:noProof/>
          <w:sz w:val="22"/>
          <w:szCs w:val="22"/>
          <w:u w:val="single"/>
          <w:lang w:eastAsia="en-US"/>
        </w:rPr>
        <w:t xml:space="preserve">LVAT </w:t>
      </w:r>
      <w:r w:rsidRPr="00821330">
        <w:rPr>
          <w:rFonts w:ascii="Calibri" w:eastAsia="Calibri" w:hAnsi="Calibri"/>
          <w:color w:val="000000"/>
          <w:sz w:val="22"/>
          <w:szCs w:val="22"/>
          <w:u w:val="single"/>
          <w:lang w:eastAsia="en-US"/>
        </w:rPr>
        <w:t>2017 m. spalio 31 d. priėmus nutartį administracinėje byloje Nr. eA-4691-756/2017, kurioje buvo išaiškinta, kaip turi būti taikomos Pilietybės įstatymo nuostatos, valstybės institucijoms kyla pareiga vadovautis šia LVAT praktika</w:t>
      </w:r>
      <w:r w:rsidRPr="00821330">
        <w:rPr>
          <w:rFonts w:ascii="Calibri" w:eastAsia="Calibri" w:hAnsi="Calibri"/>
          <w:color w:val="000000"/>
          <w:sz w:val="22"/>
          <w:szCs w:val="22"/>
          <w:lang w:eastAsia="en-US"/>
        </w:rPr>
        <w:t xml:space="preserve">. Konstatuota, jog po minėtos nutarties įsigaliojimo Migracijos departamentas pagrįstai teikimuose vadovavosi </w:t>
      </w:r>
      <w:r w:rsidRPr="00821330">
        <w:rPr>
          <w:rFonts w:ascii="Calibri" w:eastAsia="Calibri" w:hAnsi="Calibri"/>
          <w:noProof/>
          <w:sz w:val="22"/>
          <w:szCs w:val="22"/>
          <w:lang w:eastAsia="en-US"/>
        </w:rPr>
        <w:t xml:space="preserve">LVAT </w:t>
      </w:r>
      <w:r w:rsidRPr="00821330">
        <w:rPr>
          <w:rFonts w:ascii="Calibri" w:eastAsia="Calibri" w:hAnsi="Calibri"/>
          <w:color w:val="000000"/>
          <w:sz w:val="22"/>
          <w:szCs w:val="22"/>
          <w:lang w:eastAsia="en-US"/>
        </w:rPr>
        <w:t xml:space="preserve">pateiktais Pilietybės įstatymo nuostatų išaiškinimais. </w:t>
      </w:r>
      <w:r w:rsidRPr="00821330">
        <w:rPr>
          <w:rFonts w:ascii="Calibri" w:eastAsia="Calibri" w:hAnsi="Calibri"/>
          <w:color w:val="000000"/>
          <w:sz w:val="22"/>
          <w:szCs w:val="22"/>
          <w:u w:val="single"/>
          <w:lang w:eastAsia="en-US"/>
        </w:rPr>
        <w:t>Nenustatytas</w:t>
      </w:r>
      <w:r w:rsidRPr="00821330">
        <w:rPr>
          <w:rFonts w:ascii="Calibri" w:eastAsia="Calibri" w:hAnsi="Calibri"/>
          <w:noProof/>
          <w:sz w:val="22"/>
          <w:szCs w:val="22"/>
          <w:u w:val="single"/>
          <w:lang w:eastAsia="en-US"/>
        </w:rPr>
        <w:t xml:space="preserve"> pagrindas daryti išvadą, kad pareiškėjų teisėti lūkesčiai buvo pažeisti</w:t>
      </w:r>
      <w:r w:rsidRPr="00821330">
        <w:rPr>
          <w:rFonts w:ascii="Calibri" w:eastAsia="Calibri" w:hAnsi="Calibri"/>
          <w:noProof/>
          <w:sz w:val="22"/>
          <w:szCs w:val="22"/>
          <w:lang w:eastAsia="en-US"/>
        </w:rPr>
        <w:t xml:space="preserve">. </w:t>
      </w:r>
    </w:p>
    <w:p w14:paraId="5B222354" w14:textId="77777777" w:rsidR="000C4189" w:rsidRPr="00821330" w:rsidRDefault="000C4189" w:rsidP="000C4189">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Pirmosios instancijos teismo sprendimas panaikintas ir priimtas naujas sprendimas, kuriuo pareiškėjų skundas patenkintas, skundžiama VRM įsakymo dalis panaikinta ir VRM įpareigota iš naujo spręsti klausimą dėl Lietuvos Respublikos pilietybės pareiškėjams atkūrimo.</w:t>
      </w:r>
    </w:p>
    <w:p w14:paraId="47B22628" w14:textId="77777777" w:rsidR="000C4189" w:rsidRPr="00821330" w:rsidRDefault="000C4189" w:rsidP="000C4189">
      <w:pPr>
        <w:ind w:firstLine="567"/>
        <w:jc w:val="both"/>
        <w:rPr>
          <w:rFonts w:ascii="Calibri" w:eastAsia="Calibri" w:hAnsi="Calibri" w:cs="Calibri"/>
          <w:color w:val="000000"/>
          <w:sz w:val="22"/>
          <w:szCs w:val="22"/>
          <w:shd w:val="clear" w:color="auto" w:fill="FFFFFF"/>
          <w:lang w:eastAsia="en-US"/>
        </w:rPr>
      </w:pPr>
    </w:p>
    <w:p w14:paraId="186EA1CD" w14:textId="77777777" w:rsidR="000C4189" w:rsidRPr="00821330" w:rsidRDefault="000C4189" w:rsidP="000C4189">
      <w:pPr>
        <w:jc w:val="both"/>
        <w:rPr>
          <w:rFonts w:ascii="Calibri" w:eastAsia="Calibri" w:hAnsi="Calibri"/>
          <w:sz w:val="22"/>
          <w:szCs w:val="22"/>
          <w:lang w:eastAsia="en-US"/>
        </w:rPr>
      </w:pPr>
      <w:r w:rsidRPr="00821330">
        <w:rPr>
          <w:rFonts w:ascii="Calibri" w:eastAsia="Calibri" w:hAnsi="Calibri"/>
          <w:bCs/>
          <w:sz w:val="22"/>
          <w:szCs w:val="22"/>
          <w:lang w:eastAsia="en-US"/>
        </w:rPr>
        <w:t xml:space="preserve">Išplėstinės teisėjų kolegijos </w:t>
      </w:r>
      <w:r w:rsidRPr="00821330">
        <w:rPr>
          <w:rFonts w:ascii="Calibri" w:eastAsia="Calibri" w:hAnsi="Calibri"/>
          <w:sz w:val="22"/>
          <w:szCs w:val="22"/>
          <w:lang w:eastAsia="en-US"/>
        </w:rPr>
        <w:t xml:space="preserve">2019 m. gruodžio </w:t>
      </w:r>
      <w:r w:rsidRPr="00821330">
        <w:rPr>
          <w:rFonts w:ascii="Calibri" w:eastAsia="Calibri" w:hAnsi="Calibri"/>
          <w:sz w:val="22"/>
          <w:szCs w:val="22"/>
          <w:lang w:val="en-US" w:eastAsia="en-US"/>
        </w:rPr>
        <w:t>5</w:t>
      </w:r>
      <w:r w:rsidRPr="00821330">
        <w:rPr>
          <w:rFonts w:ascii="Calibri" w:eastAsia="Calibri" w:hAnsi="Calibri"/>
          <w:sz w:val="22"/>
          <w:szCs w:val="22"/>
          <w:lang w:eastAsia="en-US"/>
        </w:rPr>
        <w:t xml:space="preserve"> d. sprendimas administracinėje byloje Nr. eA-2915-602/2019</w:t>
      </w:r>
    </w:p>
    <w:p w14:paraId="67420412" w14:textId="77777777" w:rsidR="000C4189" w:rsidRPr="00821330" w:rsidRDefault="000C4189" w:rsidP="000C4189">
      <w:pPr>
        <w:jc w:val="both"/>
        <w:rPr>
          <w:rFonts w:ascii="Calibri" w:eastAsia="Calibri" w:hAnsi="Calibri"/>
          <w:sz w:val="22"/>
          <w:szCs w:val="22"/>
          <w:lang w:eastAsia="en-US"/>
        </w:rPr>
      </w:pPr>
      <w:r w:rsidRPr="00821330">
        <w:rPr>
          <w:rFonts w:ascii="Calibri" w:eastAsia="Calibri" w:hAnsi="Calibri"/>
          <w:sz w:val="22"/>
          <w:szCs w:val="22"/>
          <w:lang w:eastAsia="en-US"/>
        </w:rPr>
        <w:t>Teisminio proceso Nr. 3-61-3-01124-2018-2</w:t>
      </w:r>
    </w:p>
    <w:p w14:paraId="6AA31522" w14:textId="77777777" w:rsidR="000C4189" w:rsidRPr="00821330" w:rsidRDefault="000C4189" w:rsidP="000C4189">
      <w:pPr>
        <w:jc w:val="both"/>
        <w:rPr>
          <w:rFonts w:ascii="Calibri" w:eastAsia="Calibri" w:hAnsi="Calibri"/>
          <w:sz w:val="22"/>
          <w:szCs w:val="22"/>
          <w:lang w:eastAsia="en-US"/>
        </w:rPr>
      </w:pPr>
      <w:r w:rsidRPr="00821330">
        <w:rPr>
          <w:rFonts w:ascii="Calibri" w:eastAsia="Calibri" w:hAnsi="Calibri"/>
          <w:sz w:val="22"/>
          <w:szCs w:val="22"/>
          <w:lang w:eastAsia="en-US"/>
        </w:rPr>
        <w:t>Procesinio sprendimo kategorija 10.5</w:t>
      </w:r>
    </w:p>
    <w:p w14:paraId="0D6E9717" w14:textId="77777777" w:rsidR="000C4189" w:rsidRPr="00821330" w:rsidRDefault="00E956D9" w:rsidP="000C4189">
      <w:pPr>
        <w:jc w:val="both"/>
        <w:rPr>
          <w:rFonts w:ascii="Calibri" w:eastAsia="Calibri" w:hAnsi="Calibri"/>
          <w:sz w:val="22"/>
          <w:szCs w:val="22"/>
          <w:lang w:eastAsia="en-US"/>
        </w:rPr>
      </w:pPr>
      <w:hyperlink r:id="rId12" w:history="1">
        <w:r w:rsidR="000C4189" w:rsidRPr="00821330">
          <w:rPr>
            <w:rFonts w:ascii="Calibri" w:eastAsia="Calibri" w:hAnsi="Calibri"/>
            <w:color w:val="0000FF"/>
            <w:sz w:val="22"/>
            <w:szCs w:val="22"/>
            <w:u w:val="single"/>
            <w:lang w:eastAsia="en-US"/>
          </w:rPr>
          <w:t>Prieiga internete</w:t>
        </w:r>
      </w:hyperlink>
      <w:r w:rsidR="000C4189" w:rsidRPr="00821330">
        <w:rPr>
          <w:rFonts w:ascii="Calibri" w:eastAsia="Calibri" w:hAnsi="Calibri"/>
          <w:sz w:val="22"/>
          <w:szCs w:val="22"/>
          <w:lang w:eastAsia="en-US"/>
        </w:rPr>
        <w:t xml:space="preserve"> </w:t>
      </w:r>
    </w:p>
    <w:bookmarkEnd w:id="28"/>
    <w:p w14:paraId="329CCDA9" w14:textId="77777777" w:rsidR="000C4189" w:rsidRDefault="000C4189" w:rsidP="000C4189">
      <w:pPr>
        <w:jc w:val="both"/>
        <w:rPr>
          <w:rFonts w:ascii="Calibri" w:eastAsia="Calibri" w:hAnsi="Calibri" w:cs="Calibri"/>
          <w:sz w:val="22"/>
          <w:szCs w:val="22"/>
          <w:lang w:eastAsia="en-US"/>
        </w:rPr>
      </w:pPr>
    </w:p>
    <w:p w14:paraId="5F19C88C" w14:textId="77777777" w:rsidR="00F6098F" w:rsidRPr="007D3F98" w:rsidRDefault="00F6098F" w:rsidP="00F6098F">
      <w:pPr>
        <w:pStyle w:val="Apzvalgai1"/>
        <w:rPr>
          <w:rFonts w:asciiTheme="minorHAnsi" w:hAnsiTheme="minorHAnsi" w:cstheme="minorHAnsi"/>
        </w:rPr>
      </w:pPr>
      <w:bookmarkStart w:id="31" w:name="_Toc28689661"/>
      <w:bookmarkStart w:id="32" w:name="_Toc32243583"/>
      <w:r w:rsidRPr="007D3F98">
        <w:rPr>
          <w:rFonts w:asciiTheme="minorHAnsi" w:hAnsiTheme="minorHAnsi" w:cstheme="minorHAnsi"/>
        </w:rPr>
        <w:t>11. Konkurencija</w:t>
      </w:r>
      <w:bookmarkEnd w:id="31"/>
      <w:bookmarkEnd w:id="32"/>
    </w:p>
    <w:p w14:paraId="7B2F8E61" w14:textId="77777777" w:rsidR="00F6098F" w:rsidRPr="007D3F98" w:rsidRDefault="00F6098F" w:rsidP="00F6098F">
      <w:pPr>
        <w:ind w:firstLine="567"/>
        <w:jc w:val="both"/>
        <w:rPr>
          <w:rFonts w:asciiTheme="minorHAnsi" w:hAnsiTheme="minorHAnsi" w:cstheme="minorHAnsi"/>
          <w:b/>
          <w:sz w:val="22"/>
          <w:szCs w:val="22"/>
          <w:u w:val="single"/>
        </w:rPr>
      </w:pPr>
      <w:r w:rsidRPr="007D3F98">
        <w:rPr>
          <w:rFonts w:asciiTheme="minorHAnsi" w:hAnsiTheme="minorHAnsi" w:cstheme="minorHAnsi"/>
          <w:b/>
          <w:sz w:val="22"/>
          <w:szCs w:val="22"/>
          <w:u w:val="single"/>
        </w:rPr>
        <w:t>11.</w:t>
      </w:r>
      <w:r>
        <w:rPr>
          <w:rFonts w:asciiTheme="minorHAnsi" w:hAnsiTheme="minorHAnsi" w:cstheme="minorHAnsi"/>
          <w:b/>
          <w:sz w:val="22"/>
          <w:szCs w:val="22"/>
          <w:u w:val="single"/>
        </w:rPr>
        <w:t>6</w:t>
      </w:r>
      <w:r w:rsidRPr="007D3F98">
        <w:rPr>
          <w:rFonts w:asciiTheme="minorHAnsi" w:hAnsiTheme="minorHAnsi" w:cstheme="minorHAnsi"/>
          <w:b/>
          <w:sz w:val="22"/>
          <w:szCs w:val="22"/>
          <w:u w:val="single"/>
        </w:rPr>
        <w:t xml:space="preserve">. </w:t>
      </w:r>
      <w:r>
        <w:rPr>
          <w:rFonts w:asciiTheme="minorHAnsi" w:hAnsiTheme="minorHAnsi" w:cstheme="minorHAnsi"/>
          <w:b/>
          <w:sz w:val="22"/>
          <w:szCs w:val="22"/>
          <w:u w:val="single"/>
        </w:rPr>
        <w:t>Konkurencijos tarybos įgaliojimai, teisės ir pareigos</w:t>
      </w:r>
    </w:p>
    <w:p w14:paraId="6A76122D" w14:textId="77777777" w:rsidR="00F6098F" w:rsidRPr="007D3F98" w:rsidRDefault="00F6098F" w:rsidP="00F6098F">
      <w:pPr>
        <w:ind w:firstLine="567"/>
        <w:jc w:val="both"/>
        <w:rPr>
          <w:rFonts w:asciiTheme="minorHAnsi" w:hAnsiTheme="minorHAnsi" w:cstheme="minorHAnsi"/>
          <w:i/>
          <w:sz w:val="22"/>
          <w:szCs w:val="22"/>
        </w:rPr>
      </w:pPr>
    </w:p>
    <w:p w14:paraId="4EA43AC3" w14:textId="77777777" w:rsidR="00F6098F" w:rsidRPr="007D3F98" w:rsidRDefault="00F6098F" w:rsidP="00F6098F">
      <w:pPr>
        <w:pStyle w:val="Antrat2"/>
      </w:pPr>
      <w:bookmarkStart w:id="33" w:name="_Toc32243584"/>
      <w:r>
        <w:t>Dėl ūkio subjektų, padariusių konkurencijos teisės pažeidimą, vadovų atsakomybės, apribojant vadovų teisę eiti tam tikras pareigas bei skiriant baudą</w:t>
      </w:r>
      <w:bookmarkEnd w:id="33"/>
    </w:p>
    <w:p w14:paraId="0D6F32B2" w14:textId="77777777" w:rsidR="00F6098F" w:rsidRPr="007D3F98" w:rsidRDefault="00F6098F" w:rsidP="00F6098F">
      <w:pPr>
        <w:jc w:val="both"/>
        <w:rPr>
          <w:rFonts w:asciiTheme="minorHAnsi" w:hAnsiTheme="minorHAnsi" w:cstheme="minorHAnsi"/>
          <w:sz w:val="22"/>
          <w:szCs w:val="22"/>
          <w:u w:val="single"/>
        </w:rPr>
      </w:pPr>
    </w:p>
    <w:p w14:paraId="24EC7C10" w14:textId="5BBA4061" w:rsidR="00F6098F" w:rsidRDefault="00F6098F" w:rsidP="00F6098F">
      <w:pPr>
        <w:ind w:firstLine="567"/>
        <w:jc w:val="both"/>
        <w:rPr>
          <w:rFonts w:asciiTheme="minorHAnsi" w:hAnsiTheme="minorHAnsi" w:cstheme="minorHAnsi"/>
          <w:sz w:val="22"/>
          <w:szCs w:val="22"/>
        </w:rPr>
      </w:pPr>
      <w:r>
        <w:rPr>
          <w:rFonts w:asciiTheme="minorHAnsi" w:hAnsiTheme="minorHAnsi" w:cstheme="minorHAnsi"/>
          <w:sz w:val="22"/>
          <w:szCs w:val="22"/>
        </w:rPr>
        <w:t xml:space="preserve">Ginčas byloje kilo dėl to, kad Konkurencijos Taryba (toliau – Taryba) ūkio subjektų, padariusių konkurencijos teisės pažeidimą, vadovams prašė skirti pinigines baudas ir </w:t>
      </w:r>
      <w:r w:rsidRPr="006975F9">
        <w:rPr>
          <w:rFonts w:asciiTheme="minorHAnsi" w:hAnsiTheme="minorHAnsi" w:cstheme="minorHAnsi"/>
          <w:sz w:val="22"/>
          <w:szCs w:val="22"/>
        </w:rPr>
        <w:t>apriboti</w:t>
      </w:r>
      <w:r>
        <w:rPr>
          <w:rFonts w:asciiTheme="minorHAnsi" w:hAnsiTheme="minorHAnsi" w:cstheme="minorHAnsi"/>
          <w:sz w:val="22"/>
          <w:szCs w:val="22"/>
        </w:rPr>
        <w:t xml:space="preserve"> jų</w:t>
      </w:r>
      <w:r w:rsidRPr="006975F9">
        <w:rPr>
          <w:rFonts w:asciiTheme="minorHAnsi" w:hAnsiTheme="minorHAnsi" w:cstheme="minorHAnsi"/>
          <w:sz w:val="22"/>
          <w:szCs w:val="22"/>
        </w:rPr>
        <w:t xml:space="preserve"> teisę eiti viešojo ir (arba) privataus juridinio asmens vadovo pareigas, būti viešojo ir (arba) privataus juridinio asmens kolegialaus priežiūros ir (arba) </w:t>
      </w:r>
      <w:r w:rsidRPr="00817A65">
        <w:rPr>
          <w:rFonts w:asciiTheme="minorHAnsi" w:hAnsiTheme="minorHAnsi" w:cstheme="minorHAnsi"/>
          <w:sz w:val="22"/>
          <w:szCs w:val="22"/>
        </w:rPr>
        <w:t xml:space="preserve">valdymo organo nariu: A. M. skirti 14 000 Eur baudą ir apriboti teisę eiti pareigas 5 m., J. V. ir A. J. skirti 8 000 Eur baudą ir apriboti teisę eiti pareigas 4 m., A. Ž. skirti 7 000 Eur baudą ir apriboti teisę eiti pareigas 3 m. Pirmosios instancijos teismas bylą </w:t>
      </w:r>
      <w:r w:rsidR="000C4189">
        <w:rPr>
          <w:rFonts w:asciiTheme="minorHAnsi" w:hAnsiTheme="minorHAnsi" w:cstheme="minorHAnsi"/>
          <w:sz w:val="22"/>
          <w:szCs w:val="22"/>
        </w:rPr>
        <w:t xml:space="preserve">dėl </w:t>
      </w:r>
      <w:r w:rsidRPr="00817A65">
        <w:rPr>
          <w:rFonts w:asciiTheme="minorHAnsi" w:hAnsiTheme="minorHAnsi" w:cstheme="minorHAnsi"/>
          <w:sz w:val="22"/>
          <w:szCs w:val="22"/>
        </w:rPr>
        <w:t>A. M. ir A. Ž. nutraukė, o A. J. ir J. V. skyrė atitinkamai 900 Eur ir 920 Eur dydžio baudas.</w:t>
      </w:r>
      <w:r>
        <w:rPr>
          <w:rFonts w:asciiTheme="minorHAnsi" w:hAnsiTheme="minorHAnsi" w:cstheme="minorHAnsi"/>
          <w:sz w:val="22"/>
          <w:szCs w:val="22"/>
        </w:rPr>
        <w:t xml:space="preserve"> Apeliaciniuose skunduose keltas klausimas, ar pirmosios instancijos teismas </w:t>
      </w:r>
      <w:r>
        <w:rPr>
          <w:rFonts w:asciiTheme="minorHAnsi" w:hAnsiTheme="minorHAnsi" w:cstheme="minorHAnsi"/>
          <w:sz w:val="22"/>
          <w:szCs w:val="22"/>
        </w:rPr>
        <w:lastRenderedPageBreak/>
        <w:t>pagrįstai nutraukė bylą dviejų atsakovų atžvilgiu; taip pat, ar teismas gali skirti papildomą sankciją (piniginę baudą), neskirdamas pagrindinės sankcijos – teisės eiti pareigas apribojimo.</w:t>
      </w:r>
    </w:p>
    <w:p w14:paraId="416E290C" w14:textId="1F603CF8" w:rsidR="00F6098F" w:rsidRPr="00F6098F" w:rsidRDefault="00F6098F" w:rsidP="00F6098F">
      <w:pPr>
        <w:ind w:firstLine="567"/>
        <w:jc w:val="both"/>
        <w:rPr>
          <w:rFonts w:asciiTheme="minorHAnsi" w:hAnsiTheme="minorHAnsi" w:cstheme="minorHAnsi"/>
          <w:sz w:val="22"/>
          <w:szCs w:val="22"/>
        </w:rPr>
      </w:pPr>
      <w:r w:rsidRPr="00F6098F">
        <w:rPr>
          <w:rFonts w:asciiTheme="minorHAnsi" w:hAnsiTheme="minorHAnsi" w:cstheme="minorHAnsi"/>
          <w:sz w:val="22"/>
          <w:szCs w:val="22"/>
        </w:rPr>
        <w:t xml:space="preserve">Teisėjų kolegija paaiškino, kad Konkurencijos įstatymo (toliau – Įstatymas) 41 straipsnio 3 dalyje yra nustatytas terminas procesiniam veiksmui atlikti – kreiptis į teismą su prašymu taikyti sankcijas ūkio subjekto vadovui, – kuriam pasibaigus teisė atlikti šį procesinį veiksmą išnyksta (ABTĮ 66 str. 2 d.); </w:t>
      </w:r>
      <w:r w:rsidRPr="00F6098F">
        <w:rPr>
          <w:rFonts w:asciiTheme="minorHAnsi" w:hAnsiTheme="minorHAnsi" w:cstheme="minorHAnsi"/>
          <w:sz w:val="22"/>
          <w:szCs w:val="22"/>
          <w:u w:val="single"/>
        </w:rPr>
        <w:t>termino teikti prašymą dėl sankcijos skyrimo ūkio subjekto vadovui pradžia yra kita diena po Tarybos nutarimo, kuriuo ūkio subjektui skiriama sankcija už Įstatymo 40 straipsnio 1 dalyje nurodytus pažeidimus, apskundimo termino pasibaigimo. Tuo atveju, jei nutarimas yra apskundžiamas, termino teikti prašymą dėl sankcijų skyrimo ūkio subjekto, apskundusio Tarybos nutarimą, vadovui pradžia yra kita diena po teismo sprendimo, nepanaikinančio Tarybos nutarimo ar jo dalies dėl Įstatymo 40 straipsnio 1 dalyje nurodytų pažeidimų, įsiteisėjimo</w:t>
      </w:r>
      <w:r w:rsidRPr="00F6098F">
        <w:rPr>
          <w:rFonts w:asciiTheme="minorHAnsi" w:hAnsiTheme="minorHAnsi" w:cstheme="minorHAnsi"/>
          <w:sz w:val="22"/>
          <w:szCs w:val="22"/>
        </w:rPr>
        <w:t xml:space="preserve">. Ūkio subjekto vadovo už prisidėjimą prie ūkio subjekto sudaryto draudžiamo konkurentų susitarimo ar piktnaudžiavimo dominuojančia padėtimi </w:t>
      </w:r>
      <w:r w:rsidRPr="00F6098F">
        <w:rPr>
          <w:rFonts w:asciiTheme="minorHAnsi" w:hAnsiTheme="minorHAnsi" w:cstheme="minorHAnsi"/>
          <w:sz w:val="22"/>
          <w:szCs w:val="22"/>
          <w:u w:val="single"/>
        </w:rPr>
        <w:t>patraukimo atsakomybėm senaties terminas nustatytas Įstatymo 35 straipsnio 3 dalyje</w:t>
      </w:r>
      <w:r w:rsidRPr="00F6098F">
        <w:rPr>
          <w:rFonts w:asciiTheme="minorHAnsi" w:hAnsiTheme="minorHAnsi" w:cstheme="minorHAnsi"/>
          <w:sz w:val="22"/>
          <w:szCs w:val="22"/>
        </w:rPr>
        <w:t>. Teisėjų kolegija taip pat pažymėjo, kad Tarybos nutarimas, kuriuo ūkio subjektui / subjektams skiriamos sankcijos už Įstatymo 40 straipsnio 1 dalyje nurodytus pažeidimus, nepriklausomai nuo to, ar jis (nutarimas) visas ar jo dalis yra apskundžiamas teismui, yra vykdytinas nuo nutarimo paskelbimo dienos, o skundo padavimas dėl Tarybos nutarimo, kuriuo ūkio subjektui paskirta bauda, iki teismo sprendimo įsiteisėjimo dienos sustabdo ne Tarybos nutarimo galiojimą, o tik juo paskirtos baudos ir palūkanų priverstinį išieškojimą iš subjektų, apskundusių Tarybos nutarimą (Įstatymo 33 str. 3 d.).</w:t>
      </w:r>
    </w:p>
    <w:p w14:paraId="3A2978EB" w14:textId="77777777" w:rsidR="00F6098F" w:rsidRPr="00F6098F" w:rsidRDefault="00F6098F" w:rsidP="00F6098F">
      <w:pPr>
        <w:ind w:firstLine="567"/>
        <w:jc w:val="both"/>
        <w:rPr>
          <w:rFonts w:asciiTheme="minorHAnsi" w:hAnsiTheme="minorHAnsi" w:cstheme="minorHAnsi"/>
          <w:b/>
          <w:sz w:val="22"/>
          <w:szCs w:val="22"/>
        </w:rPr>
      </w:pPr>
      <w:r w:rsidRPr="00F6098F">
        <w:rPr>
          <w:rFonts w:asciiTheme="minorHAnsi" w:hAnsiTheme="minorHAnsi" w:cstheme="minorHAnsi"/>
          <w:sz w:val="22"/>
          <w:szCs w:val="22"/>
        </w:rPr>
        <w:t xml:space="preserve">Teisėjų kolegija nusprendė, kad </w:t>
      </w:r>
      <w:r w:rsidRPr="00F6098F">
        <w:rPr>
          <w:rFonts w:asciiTheme="minorHAnsi" w:hAnsiTheme="minorHAnsi" w:cstheme="minorHAnsi"/>
          <w:sz w:val="22"/>
          <w:szCs w:val="22"/>
          <w:u w:val="single"/>
        </w:rPr>
        <w:t>Įstatymo 40 straipsnio 1 dalyje nėra nustatytas imperatyvas skirti abi sankcijas – ir teisės eiti viešojo ir (arba) privataus juridinio asmens vadovo pareigas, būti viešojo ir (arba) privataus juridinio asmens kolegialaus priežiūros ir (arba) valdymo organo nariu apribojimą, ir piniginę baudą, – todėl teismas nėra saistomas Tarybos siūlymo nei dėl sankcijų skaičiaus, nei dėl jų dydžio, t. y., be kita ko, atsižvelgdamas į Įstatymo 41 straipsnio 5 dalies nuostatas, gali neskirti pagrindinės sankcijos ar papildomos sankcijos, skirti švelnesnę nei numatyta pagrindinę sankciją ar / ir papildomą sankciją ir t. t.</w:t>
      </w:r>
    </w:p>
    <w:p w14:paraId="641094C1" w14:textId="1344B4FD" w:rsidR="00F6098F" w:rsidRPr="00BA482E" w:rsidRDefault="00F6098F" w:rsidP="00F6098F">
      <w:pPr>
        <w:ind w:firstLine="567"/>
        <w:jc w:val="both"/>
        <w:rPr>
          <w:rFonts w:asciiTheme="minorHAnsi" w:hAnsiTheme="minorHAnsi" w:cstheme="minorHAnsi"/>
          <w:sz w:val="22"/>
          <w:szCs w:val="22"/>
        </w:rPr>
      </w:pPr>
      <w:r w:rsidRPr="00BA482E">
        <w:rPr>
          <w:rFonts w:asciiTheme="minorHAnsi" w:hAnsiTheme="minorHAnsi" w:cstheme="minorHAnsi"/>
          <w:sz w:val="22"/>
          <w:szCs w:val="22"/>
        </w:rPr>
        <w:t xml:space="preserve">Vis dėlto, teisėjų kolegija dėmesį atkreipė į tai, kad </w:t>
      </w:r>
      <w:r w:rsidRPr="00F71704">
        <w:rPr>
          <w:rFonts w:asciiTheme="minorHAnsi" w:hAnsiTheme="minorHAnsi" w:cstheme="minorHAnsi"/>
          <w:sz w:val="22"/>
          <w:szCs w:val="22"/>
          <w:u w:val="single"/>
        </w:rPr>
        <w:t>švelnesnės nei Įstatyme numatytos pagrindinės sankcijos skyrimas (arba jos neskyrimas) yra ne taisyklė, bet išimtis: kaip pabrėžiama konstitucinėje doktrinoje dėl teisinės atsakomybės, švelnesnę nei įstatymo numatytą bausmę teismas gali skirti tik esant ypatingoms atsakomybę lengvinančioms aplinkybėms, į kurias neatsižvelgus</w:t>
      </w:r>
      <w:r w:rsidR="000C4189">
        <w:rPr>
          <w:rFonts w:asciiTheme="minorHAnsi" w:hAnsiTheme="minorHAnsi" w:cstheme="minorHAnsi"/>
          <w:sz w:val="22"/>
          <w:szCs w:val="22"/>
          <w:u w:val="single"/>
        </w:rPr>
        <w:t>,</w:t>
      </w:r>
      <w:r w:rsidRPr="00F71704">
        <w:rPr>
          <w:rFonts w:asciiTheme="minorHAnsi" w:hAnsiTheme="minorHAnsi" w:cstheme="minorHAnsi"/>
          <w:sz w:val="22"/>
          <w:szCs w:val="22"/>
          <w:u w:val="single"/>
        </w:rPr>
        <w:t xml:space="preserve"> įstatyme nustatyta bausmė, jeigu ji būtų paskirta, būtų akivaizdžiai neteisinga</w:t>
      </w:r>
      <w:r w:rsidRPr="00BA482E">
        <w:rPr>
          <w:rFonts w:asciiTheme="minorHAnsi" w:hAnsiTheme="minorHAnsi" w:cstheme="minorHAnsi"/>
          <w:sz w:val="22"/>
          <w:szCs w:val="22"/>
        </w:rPr>
        <w:t xml:space="preserve">. Kadangi ribojimas užsiimti tam tikra profesija gali paveikti privatų gyvenimą, kaip jis suprantamas pagal </w:t>
      </w:r>
      <w:r w:rsidR="007C376F">
        <w:rPr>
          <w:rFonts w:asciiTheme="minorHAnsi" w:hAnsiTheme="minorHAnsi" w:cstheme="minorHAnsi"/>
          <w:sz w:val="22"/>
          <w:szCs w:val="22"/>
        </w:rPr>
        <w:t>K</w:t>
      </w:r>
      <w:r w:rsidRPr="00BA482E">
        <w:rPr>
          <w:rFonts w:asciiTheme="minorHAnsi" w:hAnsiTheme="minorHAnsi" w:cstheme="minorHAnsi"/>
          <w:sz w:val="22"/>
          <w:szCs w:val="22"/>
        </w:rPr>
        <w:t>onvencijos 8 straipsnį, šioje srityje taikomi ribojimai turi atitikti tam tikras sąlygas – jie turi būti nustatyti įstatymo, turėti vieną ar daugiau teisėtų tikslų ir būti būtini demokratinėje visuomenėje.</w:t>
      </w:r>
      <w:r>
        <w:rPr>
          <w:rFonts w:asciiTheme="minorHAnsi" w:hAnsiTheme="minorHAnsi" w:cstheme="minorHAnsi"/>
          <w:sz w:val="22"/>
          <w:szCs w:val="22"/>
        </w:rPr>
        <w:t xml:space="preserve"> </w:t>
      </w:r>
    </w:p>
    <w:p w14:paraId="6B279198" w14:textId="77777777" w:rsidR="00F6098F" w:rsidRPr="007D3F98" w:rsidRDefault="00F6098F" w:rsidP="00F6098F">
      <w:pPr>
        <w:ind w:firstLine="567"/>
        <w:jc w:val="both"/>
        <w:rPr>
          <w:rFonts w:asciiTheme="minorHAnsi" w:hAnsiTheme="minorHAnsi" w:cstheme="minorHAnsi"/>
          <w:sz w:val="22"/>
          <w:szCs w:val="22"/>
        </w:rPr>
      </w:pPr>
      <w:r>
        <w:rPr>
          <w:rFonts w:asciiTheme="minorHAnsi" w:hAnsiTheme="minorHAnsi" w:cstheme="minorHAnsi"/>
          <w:sz w:val="22"/>
          <w:szCs w:val="22"/>
        </w:rPr>
        <w:t>Atsižvelgdama į visa tai, teisėjų kolegija iš dalies tenkino Tarybos apeliacinio skundo dalį dėl sankcijų skyrimo ir pakeitė p</w:t>
      </w:r>
      <w:r w:rsidRPr="007D3F98">
        <w:rPr>
          <w:rFonts w:asciiTheme="minorHAnsi" w:hAnsiTheme="minorHAnsi" w:cstheme="minorHAnsi"/>
          <w:sz w:val="22"/>
          <w:szCs w:val="22"/>
        </w:rPr>
        <w:t>irmosios instancijos teismo sprendim</w:t>
      </w:r>
      <w:r>
        <w:rPr>
          <w:rFonts w:asciiTheme="minorHAnsi" w:hAnsiTheme="minorHAnsi" w:cstheme="minorHAnsi"/>
          <w:sz w:val="22"/>
          <w:szCs w:val="22"/>
        </w:rPr>
        <w:t xml:space="preserve">ą – J. V. skyrė 6 mėn. teisės eiti </w:t>
      </w:r>
      <w:r w:rsidRPr="006975F9">
        <w:rPr>
          <w:rFonts w:asciiTheme="minorHAnsi" w:hAnsiTheme="minorHAnsi" w:cstheme="minorHAnsi"/>
          <w:sz w:val="22"/>
          <w:szCs w:val="22"/>
        </w:rPr>
        <w:t>viešojo ir (arba) privataus juridinio asmens vadovo pareigas, būti viešojo ir (arba) privataus juridinio asmens kolegialaus priežiūros ir (arba) valdymo organo nariu</w:t>
      </w:r>
      <w:r>
        <w:rPr>
          <w:rFonts w:asciiTheme="minorHAnsi" w:hAnsiTheme="minorHAnsi" w:cstheme="minorHAnsi"/>
          <w:sz w:val="22"/>
          <w:szCs w:val="22"/>
        </w:rPr>
        <w:t xml:space="preserve"> apribojimą ir 4 000 Eur baudą, o A. J. – 6 mėn. teisės eiti pareigas apribojimą ir 2 000 Eur baudą</w:t>
      </w:r>
      <w:r w:rsidRPr="007D3F98">
        <w:rPr>
          <w:rFonts w:asciiTheme="minorHAnsi" w:hAnsiTheme="minorHAnsi" w:cstheme="minorHAnsi"/>
          <w:sz w:val="22"/>
          <w:szCs w:val="22"/>
        </w:rPr>
        <w:t>.</w:t>
      </w:r>
    </w:p>
    <w:p w14:paraId="68095A1E" w14:textId="77777777" w:rsidR="00F6098F" w:rsidRPr="007D3F98" w:rsidRDefault="00F6098F" w:rsidP="00F6098F">
      <w:pPr>
        <w:ind w:firstLine="567"/>
        <w:jc w:val="both"/>
        <w:rPr>
          <w:rFonts w:asciiTheme="minorHAnsi" w:hAnsiTheme="minorHAnsi" w:cstheme="minorHAnsi"/>
          <w:color w:val="000000"/>
          <w:sz w:val="22"/>
          <w:szCs w:val="22"/>
          <w:shd w:val="clear" w:color="auto" w:fill="FFFFFF"/>
        </w:rPr>
      </w:pPr>
    </w:p>
    <w:p w14:paraId="49D3324D" w14:textId="77777777" w:rsidR="00F6098F" w:rsidRPr="007D3F98" w:rsidRDefault="00F6098F" w:rsidP="00F6098F">
      <w:pPr>
        <w:jc w:val="both"/>
        <w:rPr>
          <w:rFonts w:asciiTheme="minorHAnsi" w:hAnsiTheme="minorHAnsi" w:cstheme="minorHAnsi"/>
          <w:sz w:val="22"/>
          <w:szCs w:val="22"/>
        </w:rPr>
      </w:pPr>
      <w:r w:rsidRPr="007D3F98">
        <w:rPr>
          <w:rFonts w:asciiTheme="minorHAnsi" w:hAnsiTheme="minorHAnsi" w:cstheme="minorHAnsi"/>
          <w:sz w:val="22"/>
          <w:szCs w:val="22"/>
        </w:rPr>
        <w:t xml:space="preserve">2019 m. </w:t>
      </w:r>
      <w:r>
        <w:rPr>
          <w:rFonts w:asciiTheme="minorHAnsi" w:hAnsiTheme="minorHAnsi" w:cstheme="minorHAnsi"/>
          <w:sz w:val="22"/>
          <w:szCs w:val="22"/>
        </w:rPr>
        <w:t>gruodžio</w:t>
      </w:r>
      <w:r w:rsidRPr="007D3F98">
        <w:rPr>
          <w:rFonts w:asciiTheme="minorHAnsi" w:hAnsiTheme="minorHAnsi" w:cstheme="minorHAnsi"/>
          <w:sz w:val="22"/>
          <w:szCs w:val="22"/>
        </w:rPr>
        <w:t xml:space="preserve"> 1</w:t>
      </w:r>
      <w:r>
        <w:rPr>
          <w:rFonts w:asciiTheme="minorHAnsi" w:hAnsiTheme="minorHAnsi" w:cstheme="minorHAnsi"/>
          <w:sz w:val="22"/>
          <w:szCs w:val="22"/>
        </w:rPr>
        <w:t>8</w:t>
      </w:r>
      <w:r w:rsidRPr="007D3F98">
        <w:rPr>
          <w:rFonts w:asciiTheme="minorHAnsi" w:hAnsiTheme="minorHAnsi" w:cstheme="minorHAnsi"/>
          <w:sz w:val="22"/>
          <w:szCs w:val="22"/>
        </w:rPr>
        <w:t xml:space="preserve"> d. nutartis administracinėje byloje Nr. eA-</w:t>
      </w:r>
      <w:r>
        <w:rPr>
          <w:rFonts w:asciiTheme="minorHAnsi" w:hAnsiTheme="minorHAnsi" w:cstheme="minorHAnsi"/>
          <w:sz w:val="22"/>
          <w:szCs w:val="22"/>
        </w:rPr>
        <w:t>2005</w:t>
      </w:r>
      <w:r w:rsidRPr="007D3F98">
        <w:rPr>
          <w:rFonts w:asciiTheme="minorHAnsi" w:hAnsiTheme="minorHAnsi" w:cstheme="minorHAnsi"/>
          <w:sz w:val="22"/>
          <w:szCs w:val="22"/>
        </w:rPr>
        <w:t>-62</w:t>
      </w:r>
      <w:r>
        <w:rPr>
          <w:rFonts w:asciiTheme="minorHAnsi" w:hAnsiTheme="minorHAnsi" w:cstheme="minorHAnsi"/>
          <w:sz w:val="22"/>
          <w:szCs w:val="22"/>
        </w:rPr>
        <w:t>4</w:t>
      </w:r>
      <w:r w:rsidRPr="007D3F98">
        <w:rPr>
          <w:rFonts w:asciiTheme="minorHAnsi" w:hAnsiTheme="minorHAnsi" w:cstheme="minorHAnsi"/>
          <w:sz w:val="22"/>
          <w:szCs w:val="22"/>
        </w:rPr>
        <w:t>/2019</w:t>
      </w:r>
    </w:p>
    <w:p w14:paraId="463D820C" w14:textId="77777777" w:rsidR="00F6098F" w:rsidRPr="007D3F98" w:rsidRDefault="00F6098F" w:rsidP="00F6098F">
      <w:pPr>
        <w:jc w:val="both"/>
        <w:rPr>
          <w:rFonts w:asciiTheme="minorHAnsi" w:hAnsiTheme="minorHAnsi" w:cstheme="minorHAnsi"/>
          <w:sz w:val="22"/>
          <w:szCs w:val="22"/>
        </w:rPr>
      </w:pPr>
      <w:r w:rsidRPr="007D3F98">
        <w:rPr>
          <w:rFonts w:asciiTheme="minorHAnsi" w:hAnsiTheme="minorHAnsi" w:cstheme="minorHAnsi"/>
          <w:sz w:val="22"/>
          <w:szCs w:val="22"/>
        </w:rPr>
        <w:t xml:space="preserve">Teisminio proceso Nr. </w:t>
      </w:r>
      <w:r w:rsidRPr="00556C26">
        <w:rPr>
          <w:rFonts w:asciiTheme="minorHAnsi" w:hAnsiTheme="minorHAnsi" w:cstheme="minorHAnsi"/>
          <w:sz w:val="22"/>
          <w:szCs w:val="22"/>
        </w:rPr>
        <w:t>3-61-3-04190-2017-7</w:t>
      </w:r>
    </w:p>
    <w:p w14:paraId="40B2EA8A" w14:textId="77777777" w:rsidR="00F6098F" w:rsidRPr="007D3F98" w:rsidRDefault="00F6098F" w:rsidP="00F6098F">
      <w:pPr>
        <w:jc w:val="both"/>
        <w:rPr>
          <w:rFonts w:asciiTheme="minorHAnsi" w:hAnsiTheme="minorHAnsi" w:cstheme="minorHAnsi"/>
          <w:sz w:val="22"/>
          <w:szCs w:val="22"/>
        </w:rPr>
      </w:pPr>
      <w:r w:rsidRPr="007D3F98">
        <w:rPr>
          <w:rFonts w:asciiTheme="minorHAnsi" w:hAnsiTheme="minorHAnsi" w:cstheme="minorHAnsi"/>
          <w:sz w:val="22"/>
          <w:szCs w:val="22"/>
        </w:rPr>
        <w:t xml:space="preserve">Procesinio sprendimo </w:t>
      </w:r>
      <w:r w:rsidRPr="00EA0666">
        <w:rPr>
          <w:rFonts w:asciiTheme="minorHAnsi" w:hAnsiTheme="minorHAnsi" w:cstheme="minorHAnsi"/>
          <w:sz w:val="22"/>
          <w:szCs w:val="22"/>
        </w:rPr>
        <w:t>kategorij</w:t>
      </w:r>
      <w:r>
        <w:rPr>
          <w:rFonts w:asciiTheme="minorHAnsi" w:hAnsiTheme="minorHAnsi" w:cstheme="minorHAnsi"/>
          <w:sz w:val="22"/>
          <w:szCs w:val="22"/>
        </w:rPr>
        <w:t>os:</w:t>
      </w:r>
      <w:r w:rsidRPr="00EA0666">
        <w:rPr>
          <w:rFonts w:asciiTheme="minorHAnsi" w:hAnsiTheme="minorHAnsi" w:cstheme="minorHAnsi"/>
          <w:sz w:val="22"/>
          <w:szCs w:val="22"/>
        </w:rPr>
        <w:t xml:space="preserve"> 11.6; 11.9</w:t>
      </w:r>
      <w:r w:rsidRPr="007D3F98">
        <w:rPr>
          <w:rFonts w:asciiTheme="minorHAnsi" w:hAnsiTheme="minorHAnsi" w:cstheme="minorHAnsi"/>
          <w:sz w:val="22"/>
          <w:szCs w:val="22"/>
        </w:rPr>
        <w:t xml:space="preserve"> </w:t>
      </w:r>
    </w:p>
    <w:p w14:paraId="2ADC845B" w14:textId="77777777" w:rsidR="00F6098F" w:rsidRPr="007D3F98" w:rsidRDefault="00E956D9" w:rsidP="00F6098F">
      <w:pPr>
        <w:jc w:val="both"/>
        <w:rPr>
          <w:rStyle w:val="Hipersaitas"/>
          <w:rFonts w:asciiTheme="minorHAnsi" w:hAnsiTheme="minorHAnsi" w:cstheme="minorHAnsi"/>
          <w:sz w:val="22"/>
          <w:szCs w:val="22"/>
        </w:rPr>
      </w:pPr>
      <w:hyperlink r:id="rId13" w:history="1">
        <w:r w:rsidR="00F6098F" w:rsidRPr="007D3F98">
          <w:rPr>
            <w:rStyle w:val="Hipersaitas"/>
            <w:rFonts w:asciiTheme="minorHAnsi" w:hAnsiTheme="minorHAnsi" w:cstheme="minorHAnsi"/>
            <w:sz w:val="22"/>
            <w:szCs w:val="22"/>
          </w:rPr>
          <w:t>Prieiga internete</w:t>
        </w:r>
      </w:hyperlink>
    </w:p>
    <w:p w14:paraId="476A3CD2" w14:textId="77777777" w:rsidR="00F6098F" w:rsidRPr="00821330" w:rsidRDefault="00F6098F" w:rsidP="00F85C89">
      <w:pPr>
        <w:shd w:val="clear" w:color="auto" w:fill="FFFFFF"/>
        <w:tabs>
          <w:tab w:val="left" w:pos="3119"/>
        </w:tabs>
        <w:ind w:firstLine="567"/>
        <w:jc w:val="both"/>
        <w:rPr>
          <w:rFonts w:ascii="Calibri" w:eastAsia="Calibri" w:hAnsi="Calibri" w:cs="Calibri"/>
          <w:sz w:val="22"/>
          <w:szCs w:val="22"/>
          <w:lang w:eastAsia="en-US"/>
        </w:rPr>
      </w:pPr>
    </w:p>
    <w:p w14:paraId="7AEA8DD6" w14:textId="1247B860" w:rsidR="0072219A" w:rsidRPr="00821330" w:rsidRDefault="0072219A" w:rsidP="0072219A">
      <w:pPr>
        <w:jc w:val="both"/>
        <w:outlineLvl w:val="0"/>
        <w:rPr>
          <w:rFonts w:ascii="Calibri" w:hAnsi="Calibri"/>
          <w:b/>
          <w:sz w:val="22"/>
          <w:szCs w:val="22"/>
          <w:u w:val="single"/>
        </w:rPr>
      </w:pPr>
      <w:bookmarkStart w:id="34" w:name="_Toc28344239"/>
      <w:bookmarkStart w:id="35" w:name="_Toc32243585"/>
      <w:r w:rsidRPr="00821330">
        <w:rPr>
          <w:rFonts w:ascii="Calibri" w:hAnsi="Calibri"/>
          <w:b/>
          <w:sz w:val="22"/>
          <w:szCs w:val="22"/>
          <w:u w:val="single"/>
        </w:rPr>
        <w:t>12. Mokesčiai, įmokos ir kiti privalomieji mokėjimai</w:t>
      </w:r>
      <w:bookmarkEnd w:id="34"/>
      <w:bookmarkEnd w:id="35"/>
    </w:p>
    <w:p w14:paraId="3769E0B8" w14:textId="505B98AF" w:rsidR="0072219A" w:rsidRPr="00821330" w:rsidRDefault="0072219A" w:rsidP="0072219A">
      <w:pPr>
        <w:tabs>
          <w:tab w:val="left" w:pos="567"/>
        </w:tabs>
        <w:rPr>
          <w:rFonts w:ascii="Calibri" w:hAnsi="Calibri"/>
          <w:b/>
          <w:sz w:val="22"/>
          <w:szCs w:val="22"/>
          <w:u w:val="single"/>
        </w:rPr>
      </w:pPr>
      <w:r w:rsidRPr="00821330">
        <w:rPr>
          <w:rFonts w:ascii="Calibri" w:hAnsi="Calibri"/>
          <w:b/>
          <w:sz w:val="22"/>
          <w:szCs w:val="22"/>
        </w:rPr>
        <w:tab/>
      </w:r>
      <w:r w:rsidRPr="00821330">
        <w:rPr>
          <w:rFonts w:ascii="Calibri" w:hAnsi="Calibri"/>
          <w:b/>
          <w:sz w:val="22"/>
          <w:szCs w:val="22"/>
          <w:u w:val="single"/>
        </w:rPr>
        <w:t>12.2. Mokesčio apskaičiavimas</w:t>
      </w:r>
    </w:p>
    <w:p w14:paraId="390678CF" w14:textId="65F7DF85" w:rsidR="0072219A" w:rsidRPr="00821330" w:rsidRDefault="0072219A" w:rsidP="0072219A">
      <w:pPr>
        <w:tabs>
          <w:tab w:val="left" w:pos="567"/>
        </w:tabs>
        <w:rPr>
          <w:rFonts w:ascii="Calibri" w:hAnsi="Calibri"/>
          <w:b/>
          <w:sz w:val="22"/>
          <w:szCs w:val="22"/>
          <w:u w:val="single"/>
        </w:rPr>
      </w:pPr>
      <w:r w:rsidRPr="00821330">
        <w:rPr>
          <w:rFonts w:ascii="Calibri" w:hAnsi="Calibri"/>
          <w:b/>
          <w:sz w:val="22"/>
          <w:szCs w:val="22"/>
        </w:rPr>
        <w:tab/>
      </w:r>
      <w:r w:rsidRPr="00821330">
        <w:rPr>
          <w:rFonts w:ascii="Calibri" w:hAnsi="Calibri"/>
          <w:b/>
          <w:sz w:val="22"/>
          <w:szCs w:val="22"/>
        </w:rPr>
        <w:tab/>
      </w:r>
      <w:r w:rsidRPr="00821330">
        <w:rPr>
          <w:rFonts w:ascii="Calibri" w:hAnsi="Calibri"/>
          <w:b/>
          <w:sz w:val="22"/>
          <w:szCs w:val="22"/>
          <w:u w:val="single"/>
        </w:rPr>
        <w:t>12.2.3. Mokesčio apskaičiavimas pagal mokesčių administratoriaus įvertinimą</w:t>
      </w:r>
    </w:p>
    <w:p w14:paraId="10399D3A" w14:textId="77777777" w:rsidR="0072219A" w:rsidRPr="00821330" w:rsidRDefault="0072219A" w:rsidP="0072219A">
      <w:pPr>
        <w:rPr>
          <w:rFonts w:asciiTheme="minorHAnsi" w:hAnsiTheme="minorHAnsi" w:cstheme="minorHAnsi"/>
          <w:b/>
          <w:sz w:val="22"/>
          <w:szCs w:val="22"/>
          <w:u w:val="single"/>
        </w:rPr>
      </w:pPr>
    </w:p>
    <w:p w14:paraId="0D517F28" w14:textId="07281DFC" w:rsidR="0072219A" w:rsidRPr="00821330" w:rsidRDefault="0072219A" w:rsidP="00F31DA2">
      <w:pPr>
        <w:pStyle w:val="Antrat2"/>
      </w:pPr>
      <w:bookmarkStart w:id="36" w:name="_Toc32243586"/>
      <w:r w:rsidRPr="00821330">
        <w:t xml:space="preserve">Dėl </w:t>
      </w:r>
      <w:r w:rsidR="002F0EBF" w:rsidRPr="00821330">
        <w:t>vienkartinėje gyventojo (šeimos) turėto turto deklaracijoje (forma FR0593) deklaruotų piniginių lėšų ne banko įstaigoje vertinimo</w:t>
      </w:r>
      <w:bookmarkEnd w:id="36"/>
    </w:p>
    <w:p w14:paraId="0A87E725" w14:textId="77777777" w:rsidR="0072219A" w:rsidRPr="00821330" w:rsidRDefault="0072219A" w:rsidP="0072219A">
      <w:pPr>
        <w:rPr>
          <w:sz w:val="22"/>
          <w:szCs w:val="22"/>
          <w:lang w:eastAsia="en-US"/>
        </w:rPr>
      </w:pPr>
    </w:p>
    <w:p w14:paraId="45AA99C2" w14:textId="77777777" w:rsidR="00990887" w:rsidRPr="00821330" w:rsidRDefault="00990887" w:rsidP="00990887">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r>
      <w:r w:rsidR="0072219A" w:rsidRPr="00821330">
        <w:rPr>
          <w:rFonts w:asciiTheme="minorHAnsi" w:hAnsiTheme="minorHAnsi" w:cstheme="minorHAnsi"/>
          <w:sz w:val="22"/>
          <w:szCs w:val="22"/>
        </w:rPr>
        <w:t xml:space="preserve">Apžvelgiamoje byloje </w:t>
      </w:r>
      <w:r w:rsidRPr="00821330">
        <w:rPr>
          <w:rFonts w:asciiTheme="minorHAnsi" w:hAnsiTheme="minorHAnsi" w:cstheme="minorHAnsi"/>
          <w:sz w:val="22"/>
          <w:szCs w:val="22"/>
        </w:rPr>
        <w:t>ginčas iš esmės kilo dėl to, ar mokesčių administratorius, 2014–2016 m. atlikdamas pareiškėjų mokestinį tyrimą bei patikrinimą, galėjo tikrinti pareiškėjų 2005 m. balandžio 29 d. ir 2005 m. gegužės 1 d. pateiktų vienkartinės gyventojo (šeimos) turėto turto deklaracijų duomenų teisingumą ir pagrįstumą, jų nepripažinti bei atitinkamai apskaičiuoti pareiškėjams mokėtinus mokesčius ir su jais susijusias sumas už 2009–</w:t>
      </w:r>
      <w:r w:rsidRPr="00821330">
        <w:rPr>
          <w:rFonts w:asciiTheme="minorHAnsi" w:hAnsiTheme="minorHAnsi" w:cstheme="minorHAnsi"/>
          <w:sz w:val="22"/>
          <w:szCs w:val="22"/>
        </w:rPr>
        <w:lastRenderedPageBreak/>
        <w:t>2012 m., neatsižvelgdamas į minėtoje deklaracijoje nurodytas pinigines lėšas, kurias pareiškėjai buvo deklaravę kaip ne banke turimą grynųjų piniginių lėšų likutį.</w:t>
      </w:r>
    </w:p>
    <w:p w14:paraId="29CC3F27" w14:textId="3353A575" w:rsidR="00990887" w:rsidRPr="00821330" w:rsidRDefault="00990887" w:rsidP="00990887">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r>
      <w:r w:rsidR="00B3231D" w:rsidRPr="00821330">
        <w:rPr>
          <w:rFonts w:asciiTheme="minorHAnsi" w:hAnsiTheme="minorHAnsi" w:cstheme="minorHAnsi"/>
          <w:sz w:val="22"/>
          <w:szCs w:val="22"/>
        </w:rPr>
        <w:t>Aptarus</w:t>
      </w:r>
      <w:r w:rsidRPr="00821330">
        <w:rPr>
          <w:rFonts w:asciiTheme="minorHAnsi" w:hAnsiTheme="minorHAnsi" w:cstheme="minorHAnsi"/>
          <w:sz w:val="22"/>
          <w:szCs w:val="22"/>
        </w:rPr>
        <w:t xml:space="preserve"> Vienkartinio gyventojų turto deklaravimo įstatym</w:t>
      </w:r>
      <w:r w:rsidR="00B3231D" w:rsidRPr="00821330">
        <w:rPr>
          <w:rFonts w:asciiTheme="minorHAnsi" w:hAnsiTheme="minorHAnsi" w:cstheme="minorHAnsi"/>
          <w:sz w:val="22"/>
          <w:szCs w:val="22"/>
        </w:rPr>
        <w:t>o ir Vienkartinio gyventojų turto deklaravimo įstatymo aiškinam</w:t>
      </w:r>
      <w:r w:rsidR="00626313" w:rsidRPr="00821330">
        <w:rPr>
          <w:rFonts w:asciiTheme="minorHAnsi" w:hAnsiTheme="minorHAnsi" w:cstheme="minorHAnsi"/>
          <w:sz w:val="22"/>
          <w:szCs w:val="22"/>
        </w:rPr>
        <w:t>ojo</w:t>
      </w:r>
      <w:r w:rsidR="00B3231D" w:rsidRPr="00821330">
        <w:rPr>
          <w:rFonts w:asciiTheme="minorHAnsi" w:hAnsiTheme="minorHAnsi" w:cstheme="minorHAnsi"/>
          <w:sz w:val="22"/>
          <w:szCs w:val="22"/>
        </w:rPr>
        <w:t xml:space="preserve"> akto nuostatas pažymėta</w:t>
      </w:r>
      <w:r w:rsidRPr="00821330">
        <w:rPr>
          <w:rFonts w:asciiTheme="minorHAnsi" w:hAnsiTheme="minorHAnsi" w:cstheme="minorHAnsi"/>
          <w:sz w:val="22"/>
          <w:szCs w:val="22"/>
        </w:rPr>
        <w:t>,</w:t>
      </w:r>
      <w:r w:rsidR="00B3231D" w:rsidRPr="00821330">
        <w:rPr>
          <w:rFonts w:asciiTheme="minorHAnsi" w:hAnsiTheme="minorHAnsi" w:cstheme="minorHAnsi"/>
          <w:sz w:val="22"/>
          <w:szCs w:val="22"/>
        </w:rPr>
        <w:t xml:space="preserve"> jog</w:t>
      </w:r>
      <w:r w:rsidRPr="00821330">
        <w:rPr>
          <w:rFonts w:asciiTheme="minorHAnsi" w:hAnsiTheme="minorHAnsi" w:cstheme="minorHAnsi"/>
          <w:sz w:val="22"/>
          <w:szCs w:val="22"/>
        </w:rPr>
        <w:t xml:space="preserve"> šiuo deklaravimu buvo siekiama sukurti tam tikrą gyventojų turto duomenų bazę, be to, gyventojams įtvirtinta galimybė grįsti deklaruotu turtu vėlesnes išlaidas.</w:t>
      </w:r>
    </w:p>
    <w:p w14:paraId="6D8301CA" w14:textId="5AC6494A" w:rsidR="00990887" w:rsidRPr="00821330" w:rsidRDefault="00990887" w:rsidP="00990887">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r>
      <w:r w:rsidR="00B3231D" w:rsidRPr="00821330">
        <w:rPr>
          <w:rFonts w:asciiTheme="minorHAnsi" w:hAnsiTheme="minorHAnsi" w:cstheme="minorHAnsi"/>
          <w:sz w:val="22"/>
          <w:szCs w:val="22"/>
        </w:rPr>
        <w:t>LVAT</w:t>
      </w:r>
      <w:r w:rsidRPr="00821330">
        <w:rPr>
          <w:rFonts w:asciiTheme="minorHAnsi" w:hAnsiTheme="minorHAnsi" w:cstheme="minorHAnsi"/>
          <w:sz w:val="22"/>
          <w:szCs w:val="22"/>
        </w:rPr>
        <w:t xml:space="preserve"> 2015 m. rugsėjo 23 d. sprendime administracinėje byloje </w:t>
      </w:r>
      <w:hyperlink r:id="rId14" w:history="1">
        <w:r w:rsidRPr="00821330">
          <w:rPr>
            <w:rFonts w:asciiTheme="minorHAnsi" w:hAnsiTheme="minorHAnsi" w:cstheme="minorHAnsi"/>
            <w:sz w:val="22"/>
            <w:szCs w:val="22"/>
          </w:rPr>
          <w:t>Nr. A-2667-438/2015</w:t>
        </w:r>
      </w:hyperlink>
      <w:r w:rsidRPr="00821330">
        <w:rPr>
          <w:rFonts w:asciiTheme="minorHAnsi" w:hAnsiTheme="minorHAnsi" w:cstheme="minorHAnsi"/>
          <w:sz w:val="22"/>
          <w:szCs w:val="22"/>
        </w:rPr>
        <w:t xml:space="preserve"> konstatavo, jog būtų nepateisinama tokia situacija bei būtų neproporcinga kaip priemonė, jeigu mokesčių administratoriui būtų suteikta teisė neribotą laiką tikrinti asmens (gyventojo) deklaracijos, pateiktos iki 2005 m. gegužės 1 d., apie jo 2003 m. gruodžio 31 d. turėtą turtą duomenų tikrumą, o asmenį (gyventoją), neribotą laiką įpareigojant pagrįsti šios deklaracijos duomenis, t. y., šiems teisiniams santykiams nesuteikiant stabilumo neribotą laiką. Šiems teisiniams santykiams pagal analogiją turi būti taikomos </w:t>
      </w:r>
      <w:bookmarkStart w:id="37" w:name="n4daf0cf2-6cf5-44a5-b725-cfbb667dbc6b"/>
      <w:r w:rsidRPr="00821330">
        <w:rPr>
          <w:rFonts w:asciiTheme="minorHAnsi" w:hAnsiTheme="minorHAnsi" w:cstheme="minorHAnsi"/>
          <w:sz w:val="22"/>
          <w:szCs w:val="22"/>
        </w:rPr>
        <w:fldChar w:fldCharType="begin"/>
      </w:r>
      <w:r w:rsidRPr="00821330">
        <w:rPr>
          <w:rFonts w:asciiTheme="minorHAnsi" w:hAnsiTheme="minorHAnsi" w:cstheme="minorHAnsi"/>
          <w:sz w:val="22"/>
          <w:szCs w:val="22"/>
        </w:rPr>
        <w:instrText xml:space="preserve"> HYPERLINK "https://www.infolex.lt/ta/72771" \o "Lietuvos Respublikos gyventojų turto deklaravimo įstatymas" \t "_blank" </w:instrText>
      </w:r>
      <w:r w:rsidRPr="00821330">
        <w:rPr>
          <w:rFonts w:asciiTheme="minorHAnsi" w:hAnsiTheme="minorHAnsi" w:cstheme="minorHAnsi"/>
          <w:sz w:val="22"/>
          <w:szCs w:val="22"/>
        </w:rPr>
        <w:fldChar w:fldCharType="separate"/>
      </w:r>
      <w:r w:rsidRPr="00821330">
        <w:rPr>
          <w:rFonts w:asciiTheme="minorHAnsi" w:hAnsiTheme="minorHAnsi" w:cstheme="minorHAnsi"/>
          <w:sz w:val="22"/>
          <w:szCs w:val="22"/>
        </w:rPr>
        <w:t>Gyventojų turto deklaravimo įstatymo</w:t>
      </w:r>
      <w:r w:rsidRPr="00821330">
        <w:rPr>
          <w:rFonts w:asciiTheme="minorHAnsi" w:hAnsiTheme="minorHAnsi" w:cstheme="minorHAnsi"/>
          <w:sz w:val="22"/>
          <w:szCs w:val="22"/>
        </w:rPr>
        <w:fldChar w:fldCharType="end"/>
      </w:r>
      <w:bookmarkStart w:id="38" w:name="pn4daf0cf2-6cf5-44a5-b725-cfbb667dbc6b"/>
      <w:bookmarkEnd w:id="37"/>
      <w:bookmarkEnd w:id="38"/>
      <w:r w:rsidRPr="00821330">
        <w:rPr>
          <w:rFonts w:asciiTheme="minorHAnsi" w:hAnsiTheme="minorHAnsi" w:cstheme="minorHAnsi"/>
          <w:sz w:val="22"/>
          <w:szCs w:val="22"/>
        </w:rPr>
        <w:t xml:space="preserve"> </w:t>
      </w:r>
      <w:bookmarkStart w:id="39" w:name="nc1b1f3c6-5884-4e78-b065-c4807c89ed4b"/>
      <w:r w:rsidRPr="00821330">
        <w:rPr>
          <w:rFonts w:asciiTheme="minorHAnsi" w:hAnsiTheme="minorHAnsi" w:cstheme="minorHAnsi"/>
          <w:sz w:val="22"/>
          <w:szCs w:val="22"/>
        </w:rPr>
        <w:fldChar w:fldCharType="begin"/>
      </w:r>
      <w:r w:rsidRPr="00821330">
        <w:rPr>
          <w:rFonts w:asciiTheme="minorHAnsi" w:hAnsiTheme="minorHAnsi" w:cstheme="minorHAnsi"/>
          <w:sz w:val="22"/>
          <w:szCs w:val="22"/>
        </w:rPr>
        <w:instrText xml:space="preserve"> HYPERLINK "https://www.infolex.lt/tp/1694099" \o "Turto deklaravimo tvarka" \t "_blank" </w:instrText>
      </w:r>
      <w:r w:rsidRPr="00821330">
        <w:rPr>
          <w:rFonts w:asciiTheme="minorHAnsi" w:hAnsiTheme="minorHAnsi" w:cstheme="minorHAnsi"/>
          <w:sz w:val="22"/>
          <w:szCs w:val="22"/>
        </w:rPr>
        <w:fldChar w:fldCharType="separate"/>
      </w:r>
      <w:r w:rsidRPr="00821330">
        <w:rPr>
          <w:rFonts w:asciiTheme="minorHAnsi" w:hAnsiTheme="minorHAnsi" w:cstheme="minorHAnsi"/>
          <w:sz w:val="22"/>
          <w:szCs w:val="22"/>
        </w:rPr>
        <w:t>5</w:t>
      </w:r>
      <w:r w:rsidRPr="00821330">
        <w:rPr>
          <w:rFonts w:asciiTheme="minorHAnsi" w:hAnsiTheme="minorHAnsi" w:cstheme="minorHAnsi"/>
          <w:sz w:val="22"/>
          <w:szCs w:val="22"/>
        </w:rPr>
        <w:fldChar w:fldCharType="end"/>
      </w:r>
      <w:bookmarkStart w:id="40" w:name="pnc1b1f3c6-5884-4e78-b065-c4807c89ed4b"/>
      <w:bookmarkEnd w:id="39"/>
      <w:bookmarkEnd w:id="40"/>
      <w:r w:rsidRPr="00821330">
        <w:rPr>
          <w:rFonts w:asciiTheme="minorHAnsi" w:hAnsiTheme="minorHAnsi" w:cstheme="minorHAnsi"/>
          <w:sz w:val="22"/>
          <w:szCs w:val="22"/>
        </w:rPr>
        <w:t> straipsnio 3</w:t>
      </w:r>
      <w:r w:rsidR="00B3231D" w:rsidRPr="00821330">
        <w:rPr>
          <w:rFonts w:asciiTheme="minorHAnsi" w:hAnsiTheme="minorHAnsi" w:cstheme="minorHAnsi"/>
          <w:sz w:val="22"/>
          <w:szCs w:val="22"/>
        </w:rPr>
        <w:t> </w:t>
      </w:r>
      <w:r w:rsidRPr="00821330">
        <w:rPr>
          <w:rFonts w:asciiTheme="minorHAnsi" w:hAnsiTheme="minorHAnsi" w:cstheme="minorHAnsi"/>
          <w:sz w:val="22"/>
          <w:szCs w:val="22"/>
        </w:rPr>
        <w:t xml:space="preserve">dalies ir </w:t>
      </w:r>
      <w:bookmarkStart w:id="41" w:name="n9ea17a34-6277-4828-828d-47fce54d02a3"/>
      <w:r w:rsidRPr="00821330">
        <w:rPr>
          <w:rFonts w:asciiTheme="minorHAnsi" w:hAnsiTheme="minorHAnsi" w:cstheme="minorHAnsi"/>
          <w:sz w:val="22"/>
          <w:szCs w:val="22"/>
        </w:rPr>
        <w:fldChar w:fldCharType="begin"/>
      </w:r>
      <w:r w:rsidRPr="00821330">
        <w:rPr>
          <w:rFonts w:asciiTheme="minorHAnsi" w:hAnsiTheme="minorHAnsi" w:cstheme="minorHAnsi"/>
          <w:sz w:val="22"/>
          <w:szCs w:val="22"/>
        </w:rPr>
        <w:instrText xml:space="preserve"> HYPERLINK "https://www.infolex.lt/tp/1694099" \o "Atsakomybė už šio Įstatymo pažeidimą" \t "_blank" </w:instrText>
      </w:r>
      <w:r w:rsidRPr="00821330">
        <w:rPr>
          <w:rFonts w:asciiTheme="minorHAnsi" w:hAnsiTheme="minorHAnsi" w:cstheme="minorHAnsi"/>
          <w:sz w:val="22"/>
          <w:szCs w:val="22"/>
        </w:rPr>
        <w:fldChar w:fldCharType="separate"/>
      </w:r>
      <w:r w:rsidRPr="00821330">
        <w:rPr>
          <w:rFonts w:asciiTheme="minorHAnsi" w:hAnsiTheme="minorHAnsi" w:cstheme="minorHAnsi"/>
          <w:sz w:val="22"/>
          <w:szCs w:val="22"/>
        </w:rPr>
        <w:t>9</w:t>
      </w:r>
      <w:r w:rsidRPr="00821330">
        <w:rPr>
          <w:rFonts w:asciiTheme="minorHAnsi" w:hAnsiTheme="minorHAnsi" w:cstheme="minorHAnsi"/>
          <w:sz w:val="22"/>
          <w:szCs w:val="22"/>
        </w:rPr>
        <w:fldChar w:fldCharType="end"/>
      </w:r>
      <w:bookmarkStart w:id="42" w:name="pn9ea17a34-6277-4828-828d-47fce54d02a3"/>
      <w:bookmarkEnd w:id="41"/>
      <w:bookmarkEnd w:id="42"/>
      <w:r w:rsidRPr="00821330">
        <w:rPr>
          <w:rFonts w:asciiTheme="minorHAnsi" w:hAnsiTheme="minorHAnsi" w:cstheme="minorHAnsi"/>
          <w:sz w:val="22"/>
          <w:szCs w:val="22"/>
        </w:rPr>
        <w:t xml:space="preserve"> straipsnio 3 dalies bei </w:t>
      </w:r>
      <w:bookmarkStart w:id="43" w:name="n31d82a66-9a5c-48c5-8125-228c1c50268c"/>
      <w:r w:rsidRPr="00821330">
        <w:rPr>
          <w:rFonts w:asciiTheme="minorHAnsi" w:hAnsiTheme="minorHAnsi" w:cstheme="minorHAnsi"/>
          <w:sz w:val="22"/>
          <w:szCs w:val="22"/>
        </w:rPr>
        <w:fldChar w:fldCharType="begin"/>
      </w:r>
      <w:r w:rsidRPr="00821330">
        <w:rPr>
          <w:rFonts w:asciiTheme="minorHAnsi" w:hAnsiTheme="minorHAnsi" w:cstheme="minorHAnsi"/>
          <w:sz w:val="22"/>
          <w:szCs w:val="22"/>
        </w:rPr>
        <w:instrText xml:space="preserve"> HYPERLINK "https://www.infolex.lt/ta/76519" \o "Lietuvos Respublikos mokesčių administravimo įstatymas" \t "_blank" </w:instrText>
      </w:r>
      <w:r w:rsidRPr="00821330">
        <w:rPr>
          <w:rFonts w:asciiTheme="minorHAnsi" w:hAnsiTheme="minorHAnsi" w:cstheme="minorHAnsi"/>
          <w:sz w:val="22"/>
          <w:szCs w:val="22"/>
        </w:rPr>
        <w:fldChar w:fldCharType="separate"/>
      </w:r>
      <w:r w:rsidR="00B3231D" w:rsidRPr="00821330">
        <w:rPr>
          <w:rFonts w:asciiTheme="minorHAnsi" w:hAnsiTheme="minorHAnsi" w:cstheme="minorHAnsi"/>
          <w:sz w:val="22"/>
          <w:szCs w:val="22"/>
        </w:rPr>
        <w:t>Mokesčių</w:t>
      </w:r>
      <w:r w:rsidRPr="00821330">
        <w:rPr>
          <w:rFonts w:asciiTheme="minorHAnsi" w:hAnsiTheme="minorHAnsi" w:cstheme="minorHAnsi"/>
          <w:sz w:val="22"/>
          <w:szCs w:val="22"/>
        </w:rPr>
        <w:fldChar w:fldCharType="end"/>
      </w:r>
      <w:bookmarkStart w:id="44" w:name="pn31d82a66-9a5c-48c5-8125-228c1c50268c"/>
      <w:bookmarkEnd w:id="43"/>
      <w:bookmarkEnd w:id="44"/>
      <w:r w:rsidR="00B3231D" w:rsidRPr="00821330">
        <w:rPr>
          <w:rFonts w:asciiTheme="minorHAnsi" w:hAnsiTheme="minorHAnsi" w:cstheme="minorHAnsi"/>
          <w:sz w:val="22"/>
          <w:szCs w:val="22"/>
        </w:rPr>
        <w:t xml:space="preserve"> administravimo įstatymo</w:t>
      </w:r>
      <w:r w:rsidRPr="00821330">
        <w:rPr>
          <w:rFonts w:asciiTheme="minorHAnsi" w:hAnsiTheme="minorHAnsi" w:cstheme="minorHAnsi"/>
          <w:sz w:val="22"/>
          <w:szCs w:val="22"/>
        </w:rPr>
        <w:t xml:space="preserve"> </w:t>
      </w:r>
      <w:bookmarkStart w:id="45" w:name="n991b51f0-6027-4062-8386-875533326516"/>
      <w:r w:rsidRPr="00821330">
        <w:rPr>
          <w:rFonts w:asciiTheme="minorHAnsi" w:hAnsiTheme="minorHAnsi" w:cstheme="minorHAnsi"/>
          <w:sz w:val="22"/>
          <w:szCs w:val="22"/>
        </w:rPr>
        <w:fldChar w:fldCharType="begin"/>
      </w:r>
      <w:r w:rsidRPr="00821330">
        <w:rPr>
          <w:rFonts w:asciiTheme="minorHAnsi" w:hAnsiTheme="minorHAnsi" w:cstheme="minorHAnsi"/>
          <w:sz w:val="22"/>
          <w:szCs w:val="22"/>
        </w:rPr>
        <w:instrText xml:space="preserve"> HYPERLINK "https://www.infolex.lt/tp/1694099" \o "Mokesčio apskaičiavimo ir perskaičiavimo senatis" \t "_blank" </w:instrText>
      </w:r>
      <w:r w:rsidRPr="00821330">
        <w:rPr>
          <w:rFonts w:asciiTheme="minorHAnsi" w:hAnsiTheme="minorHAnsi" w:cstheme="minorHAnsi"/>
          <w:sz w:val="22"/>
          <w:szCs w:val="22"/>
        </w:rPr>
        <w:fldChar w:fldCharType="separate"/>
      </w:r>
      <w:r w:rsidRPr="00821330">
        <w:rPr>
          <w:rFonts w:asciiTheme="minorHAnsi" w:hAnsiTheme="minorHAnsi" w:cstheme="minorHAnsi"/>
          <w:sz w:val="22"/>
          <w:szCs w:val="22"/>
        </w:rPr>
        <w:t>68</w:t>
      </w:r>
      <w:r w:rsidRPr="00821330">
        <w:rPr>
          <w:rFonts w:asciiTheme="minorHAnsi" w:hAnsiTheme="minorHAnsi" w:cstheme="minorHAnsi"/>
          <w:sz w:val="22"/>
          <w:szCs w:val="22"/>
        </w:rPr>
        <w:fldChar w:fldCharType="end"/>
      </w:r>
      <w:bookmarkStart w:id="46" w:name="pn991b51f0-6027-4062-8386-875533326516"/>
      <w:bookmarkEnd w:id="45"/>
      <w:bookmarkEnd w:id="46"/>
      <w:r w:rsidRPr="00821330">
        <w:rPr>
          <w:rFonts w:asciiTheme="minorHAnsi" w:hAnsiTheme="minorHAnsi" w:cstheme="minorHAnsi"/>
          <w:sz w:val="22"/>
          <w:szCs w:val="22"/>
        </w:rPr>
        <w:t xml:space="preserve"> straipsnio nuostatos (</w:t>
      </w:r>
      <w:bookmarkStart w:id="47" w:name="nefb86bbe-5f2c-477f-bbf4-2b2a1810be94"/>
      <w:r w:rsidRPr="00821330">
        <w:rPr>
          <w:rFonts w:asciiTheme="minorHAnsi" w:hAnsiTheme="minorHAnsi" w:cstheme="minorHAnsi"/>
          <w:sz w:val="22"/>
          <w:szCs w:val="22"/>
        </w:rPr>
        <w:fldChar w:fldCharType="begin"/>
      </w:r>
      <w:r w:rsidRPr="00821330">
        <w:rPr>
          <w:rFonts w:asciiTheme="minorHAnsi" w:hAnsiTheme="minorHAnsi" w:cstheme="minorHAnsi"/>
          <w:sz w:val="22"/>
          <w:szCs w:val="22"/>
        </w:rPr>
        <w:instrText xml:space="preserve"> HYPERLINK "https://www.infolex.lt/ta/23225" \o "Lietuvos Respublikos administracinių bylų teisenos įstatymas" \t "_blank" </w:instrText>
      </w:r>
      <w:r w:rsidRPr="00821330">
        <w:rPr>
          <w:rFonts w:asciiTheme="minorHAnsi" w:hAnsiTheme="minorHAnsi" w:cstheme="minorHAnsi"/>
          <w:sz w:val="22"/>
          <w:szCs w:val="22"/>
        </w:rPr>
        <w:fldChar w:fldCharType="separate"/>
      </w:r>
      <w:r w:rsidRPr="00821330">
        <w:rPr>
          <w:rFonts w:asciiTheme="minorHAnsi" w:hAnsiTheme="minorHAnsi" w:cstheme="minorHAnsi"/>
          <w:sz w:val="22"/>
          <w:szCs w:val="22"/>
        </w:rPr>
        <w:t>ABTĮ</w:t>
      </w:r>
      <w:r w:rsidRPr="00821330">
        <w:rPr>
          <w:rFonts w:asciiTheme="minorHAnsi" w:hAnsiTheme="minorHAnsi" w:cstheme="minorHAnsi"/>
          <w:sz w:val="22"/>
          <w:szCs w:val="22"/>
        </w:rPr>
        <w:fldChar w:fldCharType="end"/>
      </w:r>
      <w:bookmarkStart w:id="48" w:name="pnefb86bbe-5f2c-477f-bbf4-2b2a1810be94"/>
      <w:bookmarkEnd w:id="47"/>
      <w:bookmarkEnd w:id="48"/>
      <w:r w:rsidRPr="00821330">
        <w:rPr>
          <w:rFonts w:asciiTheme="minorHAnsi" w:hAnsiTheme="minorHAnsi" w:cstheme="minorHAnsi"/>
          <w:sz w:val="22"/>
          <w:szCs w:val="22"/>
        </w:rPr>
        <w:t xml:space="preserve"> </w:t>
      </w:r>
      <w:bookmarkStart w:id="49" w:name="n4ba605f8-525c-4bc3-a24a-925cc50d39e8"/>
      <w:r w:rsidRPr="00821330">
        <w:rPr>
          <w:rFonts w:asciiTheme="minorHAnsi" w:hAnsiTheme="minorHAnsi" w:cstheme="minorHAnsi"/>
          <w:sz w:val="22"/>
          <w:szCs w:val="22"/>
        </w:rPr>
        <w:fldChar w:fldCharType="begin"/>
      </w:r>
      <w:r w:rsidRPr="00821330">
        <w:rPr>
          <w:rFonts w:asciiTheme="minorHAnsi" w:hAnsiTheme="minorHAnsi" w:cstheme="minorHAnsi"/>
          <w:sz w:val="22"/>
          <w:szCs w:val="22"/>
        </w:rPr>
        <w:instrText xml:space="preserve"> HYPERLINK "https://www.infolex.lt/tp/1694099" \o "Įstatymų taikymas nagrinėjant administracines bylas" \t "_blank" </w:instrText>
      </w:r>
      <w:r w:rsidRPr="00821330">
        <w:rPr>
          <w:rFonts w:asciiTheme="minorHAnsi" w:hAnsiTheme="minorHAnsi" w:cstheme="minorHAnsi"/>
          <w:sz w:val="22"/>
          <w:szCs w:val="22"/>
        </w:rPr>
        <w:fldChar w:fldCharType="separate"/>
      </w:r>
      <w:r w:rsidRPr="00821330">
        <w:rPr>
          <w:rFonts w:asciiTheme="minorHAnsi" w:hAnsiTheme="minorHAnsi" w:cstheme="minorHAnsi"/>
          <w:sz w:val="22"/>
          <w:szCs w:val="22"/>
        </w:rPr>
        <w:t>4</w:t>
      </w:r>
      <w:r w:rsidRPr="00821330">
        <w:rPr>
          <w:rFonts w:asciiTheme="minorHAnsi" w:hAnsiTheme="minorHAnsi" w:cstheme="minorHAnsi"/>
          <w:sz w:val="22"/>
          <w:szCs w:val="22"/>
        </w:rPr>
        <w:fldChar w:fldCharType="end"/>
      </w:r>
      <w:bookmarkStart w:id="50" w:name="pn4ba605f8-525c-4bc3-a24a-925cc50d39e8"/>
      <w:bookmarkEnd w:id="49"/>
      <w:bookmarkEnd w:id="50"/>
      <w:r w:rsidRPr="00821330">
        <w:rPr>
          <w:rFonts w:asciiTheme="minorHAnsi" w:hAnsiTheme="minorHAnsi" w:cstheme="minorHAnsi"/>
          <w:sz w:val="22"/>
          <w:szCs w:val="22"/>
        </w:rPr>
        <w:t xml:space="preserve"> str. 7 d.), mokesčių administratoriui suteikiančios teisę mokestinį patikrinimą atlikti, o taip pat ir mokestį apskaičiuoti arba perskaičiuoti ne daugiau kaip už einamuosius ir penkerius praėjusius kalendorinius metus, skaičiuojamus atgal nuo tų metų, kada pradedama mokestį apskaičiuoti arba perskaičiuoti, sausio 1 dienos. Šia praktika buvo nuosekliai vadovaujamasi ir kitose </w:t>
      </w:r>
      <w:r w:rsidR="00626313" w:rsidRPr="00821330">
        <w:rPr>
          <w:rFonts w:asciiTheme="minorHAnsi" w:hAnsiTheme="minorHAnsi" w:cstheme="minorHAnsi"/>
          <w:sz w:val="22"/>
          <w:szCs w:val="22"/>
        </w:rPr>
        <w:t>LVAT</w:t>
      </w:r>
      <w:r w:rsidRPr="00821330">
        <w:rPr>
          <w:rFonts w:asciiTheme="minorHAnsi" w:hAnsiTheme="minorHAnsi" w:cstheme="minorHAnsi"/>
          <w:sz w:val="22"/>
          <w:szCs w:val="22"/>
        </w:rPr>
        <w:t xml:space="preserve"> nagrinėtose bylose. LVAT išplėstinė teisėjų kolegija 2019 m. gruodžio 11 d. nutartyje administracinėje byloje Nr. eA-5376-968/2019 anksčiau minėtose bylose suformuotai pozicijai taip pat pritarė ir konstatavo, jog nėra nei teisinio, nei faktinio pagrindo, leidžiančio daryti išvadą, kad yra sąlygos kurti naują precedentą ar nukrypti nuo nurodytos ankstesnės šioje srityje jau suformuotos dominuojančios </w:t>
      </w:r>
      <w:r w:rsidR="00626313" w:rsidRPr="00821330">
        <w:rPr>
          <w:rFonts w:asciiTheme="minorHAnsi" w:hAnsiTheme="minorHAnsi" w:cstheme="minorHAnsi"/>
          <w:sz w:val="22"/>
          <w:szCs w:val="22"/>
        </w:rPr>
        <w:t>LVAT</w:t>
      </w:r>
      <w:r w:rsidRPr="00821330">
        <w:rPr>
          <w:rFonts w:asciiTheme="minorHAnsi" w:hAnsiTheme="minorHAnsi" w:cstheme="minorHAnsi"/>
          <w:sz w:val="22"/>
          <w:szCs w:val="22"/>
        </w:rPr>
        <w:t xml:space="preserve"> praktikos. </w:t>
      </w:r>
      <w:r w:rsidR="00B3231D" w:rsidRPr="00821330">
        <w:rPr>
          <w:rFonts w:asciiTheme="minorHAnsi" w:hAnsiTheme="minorHAnsi" w:cstheme="minorHAnsi"/>
          <w:sz w:val="22"/>
          <w:szCs w:val="22"/>
        </w:rPr>
        <w:t>Aptariamą</w:t>
      </w:r>
      <w:r w:rsidRPr="00821330">
        <w:rPr>
          <w:rFonts w:asciiTheme="minorHAnsi" w:hAnsiTheme="minorHAnsi" w:cstheme="minorHAnsi"/>
          <w:sz w:val="22"/>
          <w:szCs w:val="22"/>
        </w:rPr>
        <w:t xml:space="preserve"> bylą nagrinėjanti išplėstinė teisėjų kolegija taip pat netur</w:t>
      </w:r>
      <w:r w:rsidR="00B3231D" w:rsidRPr="00821330">
        <w:rPr>
          <w:rFonts w:asciiTheme="minorHAnsi" w:hAnsiTheme="minorHAnsi" w:cstheme="minorHAnsi"/>
          <w:sz w:val="22"/>
          <w:szCs w:val="22"/>
        </w:rPr>
        <w:t>ėjo</w:t>
      </w:r>
      <w:r w:rsidRPr="00821330">
        <w:rPr>
          <w:rFonts w:asciiTheme="minorHAnsi" w:hAnsiTheme="minorHAnsi" w:cstheme="minorHAnsi"/>
          <w:sz w:val="22"/>
          <w:szCs w:val="22"/>
        </w:rPr>
        <w:t xml:space="preserve"> pagrindo daryti kitokią išvadą. </w:t>
      </w:r>
    </w:p>
    <w:p w14:paraId="659D3799" w14:textId="3A87E213" w:rsidR="00B3231D" w:rsidRPr="00821330" w:rsidRDefault="00990887" w:rsidP="00B3231D">
      <w:pPr>
        <w:tabs>
          <w:tab w:val="left" w:pos="567"/>
          <w:tab w:val="left" w:pos="6521"/>
        </w:tabs>
        <w:jc w:val="both"/>
        <w:rPr>
          <w:rFonts w:asciiTheme="minorHAnsi" w:hAnsiTheme="minorHAnsi" w:cstheme="minorHAnsi"/>
          <w:sz w:val="22"/>
          <w:szCs w:val="22"/>
          <w:u w:val="single"/>
        </w:rPr>
      </w:pPr>
      <w:r w:rsidRPr="00821330">
        <w:rPr>
          <w:rFonts w:asciiTheme="minorHAnsi" w:hAnsiTheme="minorHAnsi" w:cstheme="minorHAnsi"/>
          <w:sz w:val="22"/>
          <w:szCs w:val="22"/>
        </w:rPr>
        <w:tab/>
        <w:t xml:space="preserve">Taigi pagal LVAT suformuotą praktiką, </w:t>
      </w:r>
      <w:r w:rsidRPr="00821330">
        <w:rPr>
          <w:rFonts w:asciiTheme="minorHAnsi" w:hAnsiTheme="minorHAnsi" w:cstheme="minorHAnsi"/>
          <w:sz w:val="22"/>
          <w:szCs w:val="22"/>
          <w:u w:val="single"/>
        </w:rPr>
        <w:t>pateiktai vienkartinės gyventojo (šeimos) 2003 m. gruodžio 31 d. turėto turto deklaracijai, t. y. joje nurodytiems duomenims, pagal teisinį reguliavimą (</w:t>
      </w:r>
      <w:hyperlink r:id="rId15" w:tgtFrame="_blank" w:tooltip="Lietuvos Respublikos gyventojų turto deklaravimo įstatymas" w:history="1">
        <w:r w:rsidRPr="00821330">
          <w:rPr>
            <w:rFonts w:asciiTheme="minorHAnsi" w:hAnsiTheme="minorHAnsi" w:cstheme="minorHAnsi"/>
            <w:sz w:val="22"/>
            <w:szCs w:val="22"/>
            <w:u w:val="single"/>
          </w:rPr>
          <w:t>Gyventojų turto deklaravimo įstatymo</w:t>
        </w:r>
      </w:hyperlink>
      <w:r w:rsidRPr="00821330">
        <w:rPr>
          <w:rFonts w:asciiTheme="minorHAnsi" w:hAnsiTheme="minorHAnsi" w:cstheme="minorHAnsi"/>
          <w:sz w:val="22"/>
          <w:szCs w:val="22"/>
          <w:u w:val="single"/>
        </w:rPr>
        <w:t xml:space="preserve"> </w:t>
      </w:r>
      <w:hyperlink r:id="rId16" w:tgtFrame="_blank" w:tooltip="Turto deklaravimo tvarka" w:history="1">
        <w:r w:rsidRPr="00821330">
          <w:rPr>
            <w:rFonts w:asciiTheme="minorHAnsi" w:hAnsiTheme="minorHAnsi" w:cstheme="minorHAnsi"/>
            <w:sz w:val="22"/>
            <w:szCs w:val="22"/>
            <w:u w:val="single"/>
          </w:rPr>
          <w:t>5</w:t>
        </w:r>
      </w:hyperlink>
      <w:r w:rsidRPr="00821330">
        <w:rPr>
          <w:rFonts w:asciiTheme="minorHAnsi" w:hAnsiTheme="minorHAnsi" w:cstheme="minorHAnsi"/>
          <w:sz w:val="22"/>
          <w:szCs w:val="22"/>
          <w:u w:val="single"/>
        </w:rPr>
        <w:t xml:space="preserve"> str. 3 d., </w:t>
      </w:r>
      <w:hyperlink r:id="rId17" w:tgtFrame="_blank" w:tooltip="Atsakomybė už šio Įstatymo pažeidimą" w:history="1">
        <w:r w:rsidRPr="00821330">
          <w:rPr>
            <w:rFonts w:asciiTheme="minorHAnsi" w:hAnsiTheme="minorHAnsi" w:cstheme="minorHAnsi"/>
            <w:sz w:val="22"/>
            <w:szCs w:val="22"/>
            <w:u w:val="single"/>
          </w:rPr>
          <w:t>9</w:t>
        </w:r>
      </w:hyperlink>
      <w:r w:rsidRPr="00821330">
        <w:rPr>
          <w:rFonts w:asciiTheme="minorHAnsi" w:hAnsiTheme="minorHAnsi" w:cstheme="minorHAnsi"/>
          <w:sz w:val="22"/>
          <w:szCs w:val="22"/>
          <w:u w:val="single"/>
        </w:rPr>
        <w:t xml:space="preserve"> str. 3 d. ir </w:t>
      </w:r>
      <w:hyperlink r:id="rId18" w:tgtFrame="_blank" w:tooltip="Lietuvos Respublikos mokesčių administravimo įstatymas" w:history="1">
        <w:r w:rsidR="00B3231D" w:rsidRPr="00821330">
          <w:rPr>
            <w:rFonts w:asciiTheme="minorHAnsi" w:hAnsiTheme="minorHAnsi" w:cstheme="minorHAnsi"/>
            <w:sz w:val="22"/>
            <w:szCs w:val="22"/>
            <w:u w:val="single"/>
          </w:rPr>
          <w:t>Mokesčių</w:t>
        </w:r>
      </w:hyperlink>
      <w:r w:rsidR="00B3231D" w:rsidRPr="00821330">
        <w:rPr>
          <w:rFonts w:asciiTheme="minorHAnsi" w:hAnsiTheme="minorHAnsi" w:cstheme="minorHAnsi"/>
          <w:sz w:val="22"/>
          <w:szCs w:val="22"/>
          <w:u w:val="single"/>
        </w:rPr>
        <w:t xml:space="preserve"> administravimo įstatymo </w:t>
      </w:r>
      <w:hyperlink r:id="rId19" w:tgtFrame="_blank" w:tooltip="Mokesčio apskaičiavimo ir perskaičiavimo senatis" w:history="1">
        <w:r w:rsidRPr="00821330">
          <w:rPr>
            <w:rFonts w:asciiTheme="minorHAnsi" w:hAnsiTheme="minorHAnsi" w:cstheme="minorHAnsi"/>
            <w:sz w:val="22"/>
            <w:szCs w:val="22"/>
            <w:u w:val="single"/>
          </w:rPr>
          <w:t>68</w:t>
        </w:r>
      </w:hyperlink>
      <w:r w:rsidRPr="00821330">
        <w:rPr>
          <w:rFonts w:asciiTheme="minorHAnsi" w:hAnsiTheme="minorHAnsi" w:cstheme="minorHAnsi"/>
          <w:sz w:val="22"/>
          <w:szCs w:val="22"/>
          <w:u w:val="single"/>
        </w:rPr>
        <w:t xml:space="preserve"> str.) įgijus teisinį stabilumą, mokesčių administratorius, atlikdamas mokestinius tyrimus bei patikrinimus, neturi teisinio pagrindo kvestionuoti šių minėtos deklaracijos duomenų, nes jo teisė duoti gyventojui privalomą vykdyti nurodymą, kad mokesčio mokėtojas pagrįstų deklaruoto turto įsigijimo šaltinius, už einamuosius ir penkerius praėjusius kalendorinius metus, skaičiuojamus atgal nuo tų metų, kada buvo pateikta deklaracija, sausio 1 dienos, yra pasibaigusi.</w:t>
      </w:r>
    </w:p>
    <w:p w14:paraId="511CFDB3" w14:textId="6FB6AB81" w:rsidR="00B3231D" w:rsidRPr="00821330" w:rsidRDefault="00B3231D" w:rsidP="00B3231D">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r>
      <w:r w:rsidR="00990887" w:rsidRPr="00821330">
        <w:rPr>
          <w:rFonts w:asciiTheme="minorHAnsi" w:hAnsiTheme="minorHAnsi" w:cstheme="minorHAnsi"/>
          <w:sz w:val="22"/>
          <w:szCs w:val="22"/>
        </w:rPr>
        <w:t>Išplėstinė teisėjų kolegija pažym</w:t>
      </w:r>
      <w:r w:rsidRPr="00821330">
        <w:rPr>
          <w:rFonts w:asciiTheme="minorHAnsi" w:hAnsiTheme="minorHAnsi" w:cstheme="minorHAnsi"/>
          <w:sz w:val="22"/>
          <w:szCs w:val="22"/>
        </w:rPr>
        <w:t>ėjo</w:t>
      </w:r>
      <w:r w:rsidR="00990887" w:rsidRPr="00821330">
        <w:rPr>
          <w:rFonts w:asciiTheme="minorHAnsi" w:hAnsiTheme="minorHAnsi" w:cstheme="minorHAnsi"/>
          <w:sz w:val="22"/>
          <w:szCs w:val="22"/>
        </w:rPr>
        <w:t xml:space="preserve">, jog deklaracijos paskirtis yra deklaruoti, kad asmuo turi atitinkamą turtą, ir deklaracijos (joje nurodytų duomenų) teisingumas pagal įstatymą yra preziumuojamas (žr. A. Medelienė, B. Sudavičius. Mokesčių teisė. Vadovėlis. Vilnius, 2011, p. 191). Nenuginčijus deklaracijos, preziumuojama, kad asmuo deklaruojamą dieną turėjo atitinkamą turtą ar pinigines lėšas. Kaip ir kiekviena prezumpcija, deklaracijos teisingumo prezumpcija gali būti paneigiama, tačiau tai gali būti daroma nepažeidžiant įstatymuose nustatytų reikalavimų ir pamatinių teisės principų. Taigi šiuo atveju vienkartinės gyventojo (šeimos) 2003 m. gruodžio 31 d. turėto turto deklaracijos teisingumo prezumpcija galėjo būti neigiama tol, kol ji, remiantis teisinio saugumo principu ir pagal </w:t>
      </w:r>
      <w:hyperlink r:id="rId20" w:tgtFrame="_blank" w:tooltip="Lietuvos Respublikos gyventojų turto deklaravimo įstatymas" w:history="1">
        <w:r w:rsidR="00990887" w:rsidRPr="00821330">
          <w:rPr>
            <w:rFonts w:asciiTheme="minorHAnsi" w:hAnsiTheme="minorHAnsi" w:cstheme="minorHAnsi"/>
            <w:sz w:val="22"/>
            <w:szCs w:val="22"/>
          </w:rPr>
          <w:t>Gyventojų turto deklaravimo įstatymo</w:t>
        </w:r>
      </w:hyperlink>
      <w:r w:rsidR="00990887" w:rsidRPr="00821330">
        <w:rPr>
          <w:rFonts w:asciiTheme="minorHAnsi" w:hAnsiTheme="minorHAnsi" w:cstheme="minorHAnsi"/>
          <w:sz w:val="22"/>
          <w:szCs w:val="22"/>
        </w:rPr>
        <w:t xml:space="preserve"> </w:t>
      </w:r>
      <w:hyperlink r:id="rId21" w:tgtFrame="_blank" w:tooltip="Turto deklaravimo tvarka" w:history="1">
        <w:r w:rsidR="00990887" w:rsidRPr="00821330">
          <w:rPr>
            <w:rFonts w:asciiTheme="minorHAnsi" w:hAnsiTheme="minorHAnsi" w:cstheme="minorHAnsi"/>
            <w:sz w:val="22"/>
            <w:szCs w:val="22"/>
          </w:rPr>
          <w:t>5</w:t>
        </w:r>
      </w:hyperlink>
      <w:r w:rsidR="00990887" w:rsidRPr="00821330">
        <w:rPr>
          <w:rFonts w:asciiTheme="minorHAnsi" w:hAnsiTheme="minorHAnsi" w:cstheme="minorHAnsi"/>
          <w:sz w:val="22"/>
          <w:szCs w:val="22"/>
        </w:rPr>
        <w:t xml:space="preserve"> straipsnio 3 dalį, </w:t>
      </w:r>
      <w:hyperlink r:id="rId22" w:tgtFrame="_blank" w:tooltip="Atsakomybė už šio Įstatymo pažeidimą" w:history="1">
        <w:r w:rsidR="00990887" w:rsidRPr="00821330">
          <w:rPr>
            <w:rFonts w:asciiTheme="minorHAnsi" w:hAnsiTheme="minorHAnsi" w:cstheme="minorHAnsi"/>
            <w:sz w:val="22"/>
            <w:szCs w:val="22"/>
          </w:rPr>
          <w:t>9</w:t>
        </w:r>
      </w:hyperlink>
      <w:r w:rsidR="00990887" w:rsidRPr="00821330">
        <w:rPr>
          <w:rFonts w:asciiTheme="minorHAnsi" w:hAnsiTheme="minorHAnsi" w:cstheme="minorHAnsi"/>
          <w:sz w:val="22"/>
          <w:szCs w:val="22"/>
        </w:rPr>
        <w:t xml:space="preserve"> straipsnio 3 dalį ir </w:t>
      </w:r>
      <w:hyperlink r:id="rId23" w:tgtFrame="_blank" w:tooltip="Lietuvos Respublikos mokesčių administravimo įstatymas" w:history="1">
        <w:r w:rsidRPr="00821330">
          <w:rPr>
            <w:rFonts w:asciiTheme="minorHAnsi" w:hAnsiTheme="minorHAnsi" w:cstheme="minorHAnsi"/>
            <w:sz w:val="22"/>
            <w:szCs w:val="22"/>
          </w:rPr>
          <w:t>Mokesčių</w:t>
        </w:r>
      </w:hyperlink>
      <w:r w:rsidRPr="00821330">
        <w:rPr>
          <w:rFonts w:asciiTheme="minorHAnsi" w:hAnsiTheme="minorHAnsi" w:cstheme="minorHAnsi"/>
          <w:sz w:val="22"/>
          <w:szCs w:val="22"/>
        </w:rPr>
        <w:t xml:space="preserve"> administravimo įstatymo</w:t>
      </w:r>
      <w:r w:rsidR="00990887" w:rsidRPr="00821330">
        <w:rPr>
          <w:rFonts w:asciiTheme="minorHAnsi" w:hAnsiTheme="minorHAnsi" w:cstheme="minorHAnsi"/>
          <w:sz w:val="22"/>
          <w:szCs w:val="22"/>
        </w:rPr>
        <w:t xml:space="preserve"> </w:t>
      </w:r>
      <w:hyperlink r:id="rId24" w:tgtFrame="_blank" w:tooltip="Mokesčio apskaičiavimo ir perskaičiavimo senatis" w:history="1">
        <w:r w:rsidR="00990887" w:rsidRPr="00821330">
          <w:rPr>
            <w:rFonts w:asciiTheme="minorHAnsi" w:hAnsiTheme="minorHAnsi" w:cstheme="minorHAnsi"/>
            <w:sz w:val="22"/>
            <w:szCs w:val="22"/>
          </w:rPr>
          <w:t>68</w:t>
        </w:r>
      </w:hyperlink>
      <w:r w:rsidR="00990887" w:rsidRPr="00821330">
        <w:rPr>
          <w:rFonts w:asciiTheme="minorHAnsi" w:hAnsiTheme="minorHAnsi" w:cstheme="minorHAnsi"/>
          <w:sz w:val="22"/>
          <w:szCs w:val="22"/>
        </w:rPr>
        <w:t xml:space="preserve"> straipsnį, įgijo teisinį stabilumą.</w:t>
      </w:r>
    </w:p>
    <w:p w14:paraId="24A0B78C" w14:textId="19F8F149" w:rsidR="00B3231D" w:rsidRPr="00821330" w:rsidRDefault="00B3231D" w:rsidP="00B3231D">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r>
      <w:r w:rsidR="00990887" w:rsidRPr="00821330">
        <w:rPr>
          <w:rFonts w:asciiTheme="minorHAnsi" w:hAnsiTheme="minorHAnsi" w:cstheme="minorHAnsi"/>
          <w:sz w:val="22"/>
          <w:szCs w:val="22"/>
        </w:rPr>
        <w:t>Papildomai pastebėta, kad atsakovas neteik</w:t>
      </w:r>
      <w:r w:rsidRPr="00821330">
        <w:rPr>
          <w:rFonts w:asciiTheme="minorHAnsi" w:hAnsiTheme="minorHAnsi" w:cstheme="minorHAnsi"/>
          <w:sz w:val="22"/>
          <w:szCs w:val="22"/>
        </w:rPr>
        <w:t>ė</w:t>
      </w:r>
      <w:r w:rsidR="00990887" w:rsidRPr="00821330">
        <w:rPr>
          <w:rFonts w:asciiTheme="minorHAnsi" w:hAnsiTheme="minorHAnsi" w:cstheme="minorHAnsi"/>
          <w:sz w:val="22"/>
          <w:szCs w:val="22"/>
        </w:rPr>
        <w:t xml:space="preserve"> argumentų, jog pareiškėjų vienkartinės gyventojo (šeimos) 2003 m. gruodžio 31 d. turėto turto deklaracijos akivaizdžiai neatitinka protingumo kriterijų ar yra kitų išskirtinių aplinkybių, sudarančių pagrindą svarstyti nesivadovauti anksčiau minėta nuoseklia </w:t>
      </w:r>
      <w:r w:rsidRPr="00821330">
        <w:rPr>
          <w:rFonts w:asciiTheme="minorHAnsi" w:hAnsiTheme="minorHAnsi" w:cstheme="minorHAnsi"/>
          <w:sz w:val="22"/>
          <w:szCs w:val="22"/>
        </w:rPr>
        <w:t>LVAT</w:t>
      </w:r>
      <w:r w:rsidR="001A72D2" w:rsidRPr="00821330">
        <w:rPr>
          <w:rFonts w:asciiTheme="minorHAnsi" w:hAnsiTheme="minorHAnsi" w:cstheme="minorHAnsi"/>
          <w:sz w:val="22"/>
          <w:szCs w:val="22"/>
        </w:rPr>
        <w:t xml:space="preserve"> praktika ar nuo jos nukrypti. </w:t>
      </w:r>
    </w:p>
    <w:p w14:paraId="2EC424B6" w14:textId="7E4D2A53" w:rsidR="00990887" w:rsidRPr="00821330" w:rsidRDefault="00B3231D" w:rsidP="00B3231D">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r>
      <w:r w:rsidR="00990887" w:rsidRPr="00821330">
        <w:rPr>
          <w:rFonts w:asciiTheme="minorHAnsi" w:hAnsiTheme="minorHAnsi" w:cstheme="minorHAnsi"/>
          <w:sz w:val="22"/>
          <w:szCs w:val="22"/>
        </w:rPr>
        <w:t>Vadovaujantis išdėstytais motyvais, spręsta, jog pirmosios instancijos teismas pagrįstai konstatavo, kad mokesčių administratoriui 2005 m. balandžio 29 d. ir 2005 m. gegužės 1 d. pateiktos pareiškėjų vienkartinė</w:t>
      </w:r>
      <w:r w:rsidR="001A72D2" w:rsidRPr="00821330">
        <w:rPr>
          <w:rFonts w:asciiTheme="minorHAnsi" w:hAnsiTheme="minorHAnsi" w:cstheme="minorHAnsi"/>
          <w:sz w:val="22"/>
          <w:szCs w:val="22"/>
        </w:rPr>
        <w:t>s</w:t>
      </w:r>
      <w:r w:rsidR="00990887" w:rsidRPr="00821330">
        <w:rPr>
          <w:rFonts w:asciiTheme="minorHAnsi" w:hAnsiTheme="minorHAnsi" w:cstheme="minorHAnsi"/>
          <w:sz w:val="22"/>
          <w:szCs w:val="22"/>
        </w:rPr>
        <w:t xml:space="preserve"> gyventojo (šeimos) 2003 m. gruodžio 31 d. turėto turto deklaracijos, t. y. jose nurodyti duomenys, įgijo teisinį stabilumą. Taigi mokesčių administratorius, 2009–2012 m. atlikdamas pareiškėjų mokestinį tyrimą bei patikrinimą, šių duomenų kvestionuoti neturėjo teisinio pagrindo. Dėl to pripažinta pagrįsta pirmosios instancijos teismo išvada, kad VMI, nepripažinusi vienkartinėse gyventojo 2003 m. gruodžio 31 d. turėto turto deklaracijose deklaruotų 288 000 Lt piniginių lėšų, neteisingai nustatė pareiškėjų tikrinamojo laikotarpio pradžioje disponuojamų grynųjų pinigų likutį, dėl ko pareiškėjams neteisingai apskaičiavo mokestines prievoles bei su jomis susijusias sumas. Tai konstatavus buvo pagrindas grąžinti centriniam mokesčių administratoriui mokestinį ginčą nagrinėti iš naujo. </w:t>
      </w:r>
    </w:p>
    <w:p w14:paraId="028AA6AD" w14:textId="1A9A289F" w:rsidR="0072219A" w:rsidRPr="00821330" w:rsidRDefault="0072219A" w:rsidP="00990887">
      <w:pPr>
        <w:tabs>
          <w:tab w:val="left" w:pos="567"/>
          <w:tab w:val="left" w:pos="6521"/>
        </w:tabs>
        <w:jc w:val="both"/>
        <w:rPr>
          <w:rFonts w:asciiTheme="minorHAnsi" w:hAnsiTheme="minorHAnsi" w:cstheme="minorHAnsi"/>
          <w:sz w:val="22"/>
          <w:szCs w:val="22"/>
        </w:rPr>
      </w:pPr>
    </w:p>
    <w:p w14:paraId="1B67F611" w14:textId="6F5DD873" w:rsidR="002F0EBF" w:rsidRPr="00821330" w:rsidRDefault="00990887" w:rsidP="002F0EBF">
      <w:pPr>
        <w:jc w:val="both"/>
        <w:rPr>
          <w:rFonts w:asciiTheme="minorHAnsi" w:hAnsiTheme="minorHAnsi" w:cstheme="minorHAnsi"/>
          <w:sz w:val="22"/>
          <w:szCs w:val="22"/>
        </w:rPr>
      </w:pPr>
      <w:r w:rsidRPr="00821330">
        <w:rPr>
          <w:rFonts w:asciiTheme="minorHAnsi" w:hAnsiTheme="minorHAnsi" w:cstheme="minorHAnsi"/>
          <w:sz w:val="22"/>
          <w:szCs w:val="22"/>
        </w:rPr>
        <w:t xml:space="preserve">Išplėstinės teisėjų kolegijos </w:t>
      </w:r>
      <w:r w:rsidR="0072219A" w:rsidRPr="00821330">
        <w:rPr>
          <w:rFonts w:asciiTheme="minorHAnsi" w:hAnsiTheme="minorHAnsi" w:cstheme="minorHAnsi"/>
          <w:sz w:val="22"/>
          <w:szCs w:val="22"/>
        </w:rPr>
        <w:t xml:space="preserve">2019 m. gruodžio </w:t>
      </w:r>
      <w:r w:rsidR="002F0EBF" w:rsidRPr="00821330">
        <w:rPr>
          <w:rFonts w:asciiTheme="minorHAnsi" w:hAnsiTheme="minorHAnsi" w:cstheme="minorHAnsi"/>
          <w:sz w:val="22"/>
          <w:szCs w:val="22"/>
        </w:rPr>
        <w:t>18</w:t>
      </w:r>
      <w:r w:rsidR="0072219A" w:rsidRPr="00821330">
        <w:rPr>
          <w:rFonts w:asciiTheme="minorHAnsi" w:hAnsiTheme="minorHAnsi" w:cstheme="minorHAnsi"/>
          <w:sz w:val="22"/>
          <w:szCs w:val="22"/>
        </w:rPr>
        <w:t xml:space="preserve"> d. nutartis administracinėje byloje </w:t>
      </w:r>
      <w:r w:rsidR="002F0EBF" w:rsidRPr="00821330">
        <w:rPr>
          <w:rFonts w:asciiTheme="minorHAnsi" w:hAnsiTheme="minorHAnsi" w:cstheme="minorHAnsi"/>
          <w:sz w:val="22"/>
          <w:szCs w:val="22"/>
        </w:rPr>
        <w:t>Nr. A-569-602/2019</w:t>
      </w:r>
    </w:p>
    <w:p w14:paraId="7E57BC72" w14:textId="439759F4" w:rsidR="002F0EBF" w:rsidRPr="00821330" w:rsidRDefault="002F0EBF" w:rsidP="002F0EBF">
      <w:pPr>
        <w:jc w:val="both"/>
        <w:rPr>
          <w:rFonts w:asciiTheme="minorHAnsi" w:hAnsiTheme="minorHAnsi" w:cstheme="minorHAnsi"/>
          <w:sz w:val="22"/>
          <w:szCs w:val="22"/>
        </w:rPr>
      </w:pPr>
      <w:r w:rsidRPr="00821330">
        <w:rPr>
          <w:rFonts w:asciiTheme="minorHAnsi" w:hAnsiTheme="minorHAnsi" w:cstheme="minorHAnsi"/>
          <w:sz w:val="22"/>
          <w:szCs w:val="22"/>
        </w:rPr>
        <w:t>Teisminio proceso Nr. 3-61-3-00363-2017-5</w:t>
      </w:r>
    </w:p>
    <w:p w14:paraId="06E54C31" w14:textId="77777777" w:rsidR="002F0EBF" w:rsidRPr="00821330" w:rsidRDefault="002F0EBF" w:rsidP="002F0EBF">
      <w:pPr>
        <w:jc w:val="both"/>
        <w:rPr>
          <w:rFonts w:asciiTheme="minorHAnsi" w:hAnsiTheme="minorHAnsi" w:cstheme="minorHAnsi"/>
          <w:sz w:val="22"/>
          <w:szCs w:val="22"/>
        </w:rPr>
      </w:pPr>
      <w:r w:rsidRPr="00821330">
        <w:rPr>
          <w:rFonts w:asciiTheme="minorHAnsi" w:hAnsiTheme="minorHAnsi" w:cstheme="minorHAnsi"/>
          <w:sz w:val="22"/>
          <w:szCs w:val="22"/>
        </w:rPr>
        <w:lastRenderedPageBreak/>
        <w:t>Procesinio sprendimo kategorijos: 12.2.3; 12.13.1.2</w:t>
      </w:r>
    </w:p>
    <w:p w14:paraId="1D093382" w14:textId="2F709A52" w:rsidR="0072219A" w:rsidRPr="00821330" w:rsidRDefault="00E956D9" w:rsidP="002F0EBF">
      <w:pPr>
        <w:jc w:val="both"/>
        <w:rPr>
          <w:rFonts w:asciiTheme="minorHAnsi" w:hAnsiTheme="minorHAnsi" w:cstheme="minorHAnsi"/>
          <w:sz w:val="22"/>
          <w:szCs w:val="22"/>
        </w:rPr>
      </w:pPr>
      <w:hyperlink r:id="rId25" w:history="1">
        <w:r w:rsidR="0072219A" w:rsidRPr="00821330">
          <w:rPr>
            <w:rStyle w:val="Hipersaitas"/>
            <w:rFonts w:asciiTheme="minorHAnsi" w:hAnsiTheme="minorHAnsi" w:cstheme="minorHAnsi"/>
            <w:sz w:val="22"/>
            <w:szCs w:val="22"/>
          </w:rPr>
          <w:t>Prieiga internete</w:t>
        </w:r>
      </w:hyperlink>
      <w:r w:rsidR="00C40C55" w:rsidRPr="00821330">
        <w:rPr>
          <w:rFonts w:asciiTheme="minorHAnsi" w:hAnsiTheme="minorHAnsi" w:cstheme="minorHAnsi"/>
          <w:sz w:val="22"/>
          <w:szCs w:val="22"/>
        </w:rPr>
        <w:t xml:space="preserve"> </w:t>
      </w:r>
    </w:p>
    <w:p w14:paraId="6547F012" w14:textId="13D1D901" w:rsidR="00F31DA2" w:rsidRPr="00821330" w:rsidRDefault="00F31DA2" w:rsidP="007E7F95">
      <w:pPr>
        <w:tabs>
          <w:tab w:val="left" w:pos="567"/>
        </w:tabs>
        <w:rPr>
          <w:rFonts w:asciiTheme="minorHAnsi" w:hAnsiTheme="minorHAnsi" w:cstheme="minorHAnsi"/>
          <w:sz w:val="22"/>
          <w:szCs w:val="22"/>
        </w:rPr>
      </w:pPr>
    </w:p>
    <w:p w14:paraId="7F3AAD2D" w14:textId="77777777" w:rsidR="00F31DA2" w:rsidRPr="00821330" w:rsidRDefault="00F31DA2" w:rsidP="00F31DA2">
      <w:pPr>
        <w:ind w:firstLine="567"/>
        <w:rPr>
          <w:rFonts w:asciiTheme="minorHAnsi" w:hAnsiTheme="minorHAnsi" w:cstheme="minorHAnsi"/>
          <w:bCs/>
          <w:sz w:val="22"/>
          <w:szCs w:val="22"/>
        </w:rPr>
      </w:pPr>
      <w:r w:rsidRPr="00821330">
        <w:rPr>
          <w:rFonts w:asciiTheme="minorHAnsi" w:hAnsiTheme="minorHAnsi" w:cstheme="minorHAnsi"/>
          <w:b/>
          <w:bCs/>
          <w:sz w:val="22"/>
          <w:szCs w:val="22"/>
          <w:u w:val="single"/>
        </w:rPr>
        <w:t>12.8. Mokestinis patikrinimas ir mokestinis tyrimas</w:t>
      </w:r>
    </w:p>
    <w:p w14:paraId="091282E0" w14:textId="77777777" w:rsidR="00F31DA2" w:rsidRPr="00821330" w:rsidRDefault="00F31DA2" w:rsidP="00F31DA2">
      <w:pPr>
        <w:rPr>
          <w:rFonts w:asciiTheme="minorHAnsi" w:hAnsiTheme="minorHAnsi" w:cstheme="minorHAnsi"/>
          <w:bCs/>
          <w:sz w:val="22"/>
          <w:szCs w:val="22"/>
        </w:rPr>
      </w:pPr>
    </w:p>
    <w:p w14:paraId="263371AA" w14:textId="73FD6610" w:rsidR="00F31DA2" w:rsidRPr="00821330" w:rsidRDefault="00F31DA2" w:rsidP="00F31DA2">
      <w:pPr>
        <w:pStyle w:val="Antrat2"/>
        <w:rPr>
          <w:bCs/>
        </w:rPr>
      </w:pPr>
      <w:bookmarkStart w:id="51" w:name="_Toc32243587"/>
      <w:r w:rsidRPr="00821330">
        <w:rPr>
          <w:bCs/>
        </w:rPr>
        <w:t xml:space="preserve">Dėl </w:t>
      </w:r>
      <w:r w:rsidR="001A72D2" w:rsidRPr="00821330">
        <w:t>v</w:t>
      </w:r>
      <w:r w:rsidRPr="00821330">
        <w:t>ienkartinės gyventojo (šeimos) 2003 m. gruodžio 31 d. turėto turto deklaracijos (FR0593) duomenų reikšmės ir jų teisinio stabilumo bei mokesčių administratoriaus teisės (jos apimties) kvestionuoti šiuos duomenis</w:t>
      </w:r>
      <w:bookmarkEnd w:id="51"/>
    </w:p>
    <w:p w14:paraId="1E9C59A2" w14:textId="77777777" w:rsidR="00F31DA2" w:rsidRPr="00821330" w:rsidRDefault="00F31DA2" w:rsidP="00F31DA2">
      <w:pPr>
        <w:rPr>
          <w:rFonts w:asciiTheme="minorHAnsi" w:hAnsiTheme="minorHAnsi" w:cstheme="minorHAnsi"/>
          <w:bCs/>
          <w:sz w:val="22"/>
          <w:szCs w:val="22"/>
        </w:rPr>
      </w:pPr>
    </w:p>
    <w:p w14:paraId="6F274B47" w14:textId="7529FBF2" w:rsidR="00F31DA2" w:rsidRPr="00821330" w:rsidRDefault="00F31DA2" w:rsidP="00F31DA2">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Apžvelgiamoje byloje ginčas iš esmės kilo dėl to, ar mokesčių administratorius, 2014–2016 metais atlikdamas pareiškėjo mokestinį patikrinimą, galėjo tikrinti 2005 m. balandžio 29 d. pateiktos </w:t>
      </w:r>
      <w:r w:rsidR="001A72D2" w:rsidRPr="00821330">
        <w:rPr>
          <w:rFonts w:asciiTheme="minorHAnsi" w:hAnsiTheme="minorHAnsi" w:cstheme="minorHAnsi"/>
          <w:bCs/>
          <w:sz w:val="22"/>
          <w:szCs w:val="22"/>
        </w:rPr>
        <w:t>v</w:t>
      </w:r>
      <w:r w:rsidRPr="00821330">
        <w:rPr>
          <w:rFonts w:asciiTheme="minorHAnsi" w:hAnsiTheme="minorHAnsi" w:cstheme="minorHAnsi"/>
          <w:bCs/>
          <w:sz w:val="22"/>
          <w:szCs w:val="22"/>
        </w:rPr>
        <w:t>ienkartinės gyventojo (šeimos) 2003 m. gruodžio 31 d. turėto turto deklaracijos (FR0593) (toliau – Vienkartinė deklaracija) duomenų teisingumą ir pagrįstumą, jų nepripažinti bei atitinkamai apskaičiuoti pareiškėjui mokėtinus mokesčius ir su jais susijusias sumas už 2009–2012 metus, neatsižvelgdamas į minėtoje deklaracijoje nurodytas pinigines lėšas, kurias pareiškėjas su sutuoktine buvo deklaravę kaip ne banke turimą grynųjų piniginių lėšų likutį.</w:t>
      </w:r>
    </w:p>
    <w:p w14:paraId="517FE22C" w14:textId="66DADC7E" w:rsidR="00F31DA2" w:rsidRPr="00821330" w:rsidRDefault="00F31DA2" w:rsidP="00F31DA2">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Atnaujinus procesą šioje byloje ABTĮ 156 straipsnio 2 dalies 12 punkto pagrindu – kai būtina užtikrinti vienodos administracinių teismų praktikos formavimą, bylą iš naujo nagrinėjusi išplėstinė teisėjų kolegija patvirtino ankstesnę </w:t>
      </w:r>
      <w:r w:rsidR="001A72D2" w:rsidRPr="00821330">
        <w:rPr>
          <w:rFonts w:asciiTheme="minorHAnsi" w:hAnsiTheme="minorHAnsi" w:cstheme="minorHAnsi"/>
          <w:bCs/>
          <w:sz w:val="22"/>
          <w:szCs w:val="22"/>
        </w:rPr>
        <w:t>LVAT</w:t>
      </w:r>
      <w:r w:rsidRPr="00821330">
        <w:rPr>
          <w:rFonts w:asciiTheme="minorHAnsi" w:hAnsiTheme="minorHAnsi" w:cstheme="minorHAnsi"/>
          <w:bCs/>
          <w:sz w:val="22"/>
          <w:szCs w:val="22"/>
        </w:rPr>
        <w:t xml:space="preserve"> suformuotą praktiką, kad Vienkartinės deklaracijos duomenys, per įstatymuose nustatytą laiko tarpą jų nepaneigus, įgyja teisinį stabilumą ir suponuoja mokesčių administratoriaus pareigą, atliekant mokesčių mokėtojo atžvilgiu mokestinį patikrinimą, nebekvestionuoti šių duomenų bei nereikalauti iš mokesčių mokėtojo juos papildomai pagrįsti, t. y. pateikti minėtoje deklaracijoje nurodytų duomenų teisingumą patvirtinančius įrodymus.</w:t>
      </w:r>
    </w:p>
    <w:p w14:paraId="321483BB" w14:textId="77777777" w:rsidR="00F31DA2" w:rsidRPr="00821330" w:rsidRDefault="00F31DA2" w:rsidP="00F31DA2">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Tačiau išplėstinė teisėjų kolegija pažymėjo, kad </w:t>
      </w:r>
      <w:r w:rsidRPr="00821330">
        <w:rPr>
          <w:rFonts w:asciiTheme="minorHAnsi" w:hAnsiTheme="minorHAnsi" w:cstheme="minorHAnsi"/>
          <w:bCs/>
          <w:sz w:val="22"/>
          <w:szCs w:val="22"/>
          <w:u w:val="single"/>
        </w:rPr>
        <w:t>nagrinėjant bylas, kylančias iš mokestinių teisinių santykių, kuriose mokesčių mokėtojai Vienkartinės deklaracijos duomenimis grindžia savo vėlesnes išlaidas, be kita ko, svarbu įvertinti aplinkybes, kurios atsirado laikotarpiu nuo 2003 m. gruodžio 31 d., kai laikomasi pozicijos, kad mokesčių mokėtojas nurodytą datą turėjo pateiktoje deklaracijoje deklaruotą turtą (lėšas), iki tos dienos, kai buvo patirtos išlaidos, kurias mokesčių mokėtojas grindžia tokios deklaracijos duomenimis, t. y. svarbu įvertinti, ar asmuo po 2003 m. gruodžio 31 d. vis dar disponavo Vienkartinėje deklaracijoje nurodytu turtu (lėšomis) – ar nebuvo jų išleidęs arba kitaip praradęs</w:t>
      </w:r>
      <w:r w:rsidRPr="00821330">
        <w:rPr>
          <w:rFonts w:asciiTheme="minorHAnsi" w:hAnsiTheme="minorHAnsi" w:cstheme="minorHAnsi"/>
          <w:bCs/>
          <w:sz w:val="22"/>
          <w:szCs w:val="22"/>
        </w:rPr>
        <w:t>.</w:t>
      </w:r>
    </w:p>
    <w:p w14:paraId="580E7D4A" w14:textId="27E92A1A" w:rsidR="00F31DA2" w:rsidRPr="00821330" w:rsidRDefault="00F31DA2" w:rsidP="00F31DA2">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Išplėstinė teisėjų kolegija atkreipė dėmesį, kad šiuo aspektu aktualios tokio pobūdžio bylose suformuotos įrodinėjimo naštos paskirstymo taisyklės, ir priminė, jog pagal MAĮ 67 straipsnio 1 dalį būtent mokesčių administratorius privalo pagrįsti jo mokesčių mokėtojui apskaičiuotas mokesčio ir su juo susijusias sumas. Todėl </w:t>
      </w:r>
      <w:r w:rsidRPr="00821330">
        <w:rPr>
          <w:rFonts w:asciiTheme="minorHAnsi" w:hAnsiTheme="minorHAnsi" w:cstheme="minorHAnsi"/>
          <w:bCs/>
          <w:sz w:val="22"/>
          <w:szCs w:val="22"/>
          <w:u w:val="single"/>
        </w:rPr>
        <w:t>būtent mokesčių administratorius, visų pirma, turėtų įrodyti, jog mokesčių mokėtojas dar iki patirdamas išlaidas, kurias jis grindžia Vienkartinės deklaracijos duomenimis, jau nebeturėjo deklaruotų lėšų ar konkrečios jų dalies (nebedisponavo šiuo turtu), o mokesčių administratoriui neįvykdžius šios pareigos, jam ir tenka neįrodytų aplinkybių neigiamų pasekmių našta (negatyvusis įrodinėjimo naštos aspektas). Išplėstinė teisėjų kolegija pabrėžė, kad įrodinėjimo našta tokiu atveju negali būti perkeliama mokesčių mokėtojui</w:t>
      </w:r>
      <w:r w:rsidRPr="00821330">
        <w:rPr>
          <w:rFonts w:asciiTheme="minorHAnsi" w:hAnsiTheme="minorHAnsi" w:cstheme="minorHAnsi"/>
          <w:bCs/>
          <w:sz w:val="22"/>
          <w:szCs w:val="22"/>
        </w:rPr>
        <w:t xml:space="preserve">, pirmiausia reikalaujant iš jo papildomai įrodinėti, kad iki tikrinamuoju laikotarpiu patirdamas atitinkamas išlaidas jis vis dar turėjo </w:t>
      </w:r>
      <w:r w:rsidR="001A72D2" w:rsidRPr="00821330">
        <w:rPr>
          <w:rFonts w:asciiTheme="minorHAnsi" w:hAnsiTheme="minorHAnsi" w:cstheme="minorHAnsi"/>
          <w:bCs/>
          <w:sz w:val="22"/>
          <w:szCs w:val="22"/>
        </w:rPr>
        <w:t>v</w:t>
      </w:r>
      <w:r w:rsidRPr="00821330">
        <w:rPr>
          <w:rFonts w:asciiTheme="minorHAnsi" w:hAnsiTheme="minorHAnsi" w:cstheme="minorHAnsi"/>
          <w:bCs/>
          <w:sz w:val="22"/>
          <w:szCs w:val="22"/>
        </w:rPr>
        <w:t>ienkartinėje gyventojo (šeimos) 2003 m. gruodžio 31 d. turėto turto deklaracijoje (FR0593) nurodytas pinigines lėšas, kuriomis grindžia tokias išlaidas, ir jomis disponavo.</w:t>
      </w:r>
    </w:p>
    <w:p w14:paraId="3EE9705A" w14:textId="1E6CE3F0" w:rsidR="00F31DA2" w:rsidRPr="00821330" w:rsidRDefault="00F31DA2" w:rsidP="00F31DA2">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Išplėstinė teisėjų kolegija nurodė, kad šioje byloje </w:t>
      </w:r>
      <w:r w:rsidRPr="00821330">
        <w:rPr>
          <w:rFonts w:asciiTheme="minorHAnsi" w:hAnsiTheme="minorHAnsi" w:cstheme="minorHAnsi"/>
          <w:bCs/>
          <w:sz w:val="22"/>
          <w:szCs w:val="22"/>
          <w:lang w:bidi="lt-LT"/>
        </w:rPr>
        <w:t xml:space="preserve">nebuvo pagrindo </w:t>
      </w:r>
      <w:r w:rsidRPr="00821330">
        <w:rPr>
          <w:rFonts w:asciiTheme="minorHAnsi" w:hAnsiTheme="minorHAnsi" w:cstheme="minorHAnsi"/>
          <w:bCs/>
          <w:sz w:val="22"/>
          <w:szCs w:val="22"/>
        </w:rPr>
        <w:t xml:space="preserve">Vienkartinę deklaraciją ir joje pateiktus duomenis kilusio ginčo ir jį sprendžiant taikytinų teisės normų kontekste </w:t>
      </w:r>
      <w:r w:rsidRPr="00821330">
        <w:rPr>
          <w:rFonts w:asciiTheme="minorHAnsi" w:hAnsiTheme="minorHAnsi" w:cstheme="minorHAnsi"/>
          <w:bCs/>
          <w:sz w:val="22"/>
          <w:szCs w:val="22"/>
          <w:lang w:bidi="lt-LT"/>
        </w:rPr>
        <w:t xml:space="preserve">vertinti kitaip, negu anksčiau </w:t>
      </w:r>
      <w:r w:rsidR="001A72D2" w:rsidRPr="00821330">
        <w:rPr>
          <w:rFonts w:asciiTheme="minorHAnsi" w:hAnsiTheme="minorHAnsi" w:cstheme="minorHAnsi"/>
          <w:bCs/>
          <w:sz w:val="22"/>
          <w:szCs w:val="22"/>
          <w:lang w:bidi="lt-LT"/>
        </w:rPr>
        <w:t>LVAT</w:t>
      </w:r>
      <w:r w:rsidRPr="00821330">
        <w:rPr>
          <w:rFonts w:asciiTheme="minorHAnsi" w:hAnsiTheme="minorHAnsi" w:cstheme="minorHAnsi"/>
          <w:bCs/>
          <w:sz w:val="22"/>
          <w:szCs w:val="22"/>
          <w:lang w:bidi="lt-LT"/>
        </w:rPr>
        <w:t xml:space="preserve"> </w:t>
      </w:r>
      <w:r w:rsidRPr="00821330">
        <w:rPr>
          <w:rFonts w:asciiTheme="minorHAnsi" w:hAnsiTheme="minorHAnsi" w:cstheme="minorHAnsi"/>
          <w:bCs/>
          <w:sz w:val="22"/>
          <w:szCs w:val="22"/>
        </w:rPr>
        <w:t>išnagrinėtoje pareiškėjo sutuoktinės byloje, kurioje nustatytos tapačios faktinės aplinkybės ir konstatuota, jog, įvertinus Vienkartinėje deklaracijoje deklaruotą 2003 m. gruodžio 31 d. ne banke turėtą grynųjų piniginių lėšų likutį, taip pat atsižvelgus į mokesčių administratoriaus atliktą pareiškėjo ir jo sutuoktinės 2004–2008 metų pajamų ir išlaidų tyrimą, akivaizdu, kad pareiškėjo sutuoktinei pakako lėšų pagrįsti 2009–2012 metais turėtas išlaidas.</w:t>
      </w:r>
    </w:p>
    <w:p w14:paraId="1C87F8D3" w14:textId="77777777" w:rsidR="00F31DA2" w:rsidRPr="00821330" w:rsidRDefault="00F31DA2" w:rsidP="00F31DA2">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Todėl pirmosios instancijos teismo sprendimas, kuriuo pareiškėjo skundas tenkintas ir panaikinti skundžiami mokesčių administratoriaus sprendimai dėl pareiškėjui papildomai apskaičiuotų mokesčių ir su jais susijusių sumų, buvo paliktas nepakeistas.</w:t>
      </w:r>
    </w:p>
    <w:p w14:paraId="27617F1C" w14:textId="77777777" w:rsidR="00F31DA2" w:rsidRPr="00821330" w:rsidRDefault="00F31DA2" w:rsidP="00F31DA2">
      <w:pPr>
        <w:rPr>
          <w:rFonts w:asciiTheme="minorHAnsi" w:hAnsiTheme="minorHAnsi" w:cstheme="minorHAnsi"/>
          <w:bCs/>
          <w:sz w:val="22"/>
          <w:szCs w:val="22"/>
        </w:rPr>
      </w:pPr>
    </w:p>
    <w:p w14:paraId="62562172" w14:textId="77777777" w:rsidR="00F31DA2" w:rsidRPr="00821330" w:rsidRDefault="00F31DA2" w:rsidP="00F31DA2">
      <w:pPr>
        <w:rPr>
          <w:rFonts w:asciiTheme="minorHAnsi" w:hAnsiTheme="minorHAnsi" w:cstheme="minorHAnsi"/>
          <w:sz w:val="22"/>
          <w:szCs w:val="22"/>
        </w:rPr>
      </w:pPr>
      <w:r w:rsidRPr="00821330">
        <w:rPr>
          <w:rFonts w:asciiTheme="minorHAnsi" w:hAnsiTheme="minorHAnsi" w:cstheme="minorHAnsi"/>
          <w:sz w:val="22"/>
          <w:szCs w:val="22"/>
        </w:rPr>
        <w:t xml:space="preserve">Išplėstinės teisėjų kolegijos 2019 m. gruodžio 11 d. nutartis administracinėje byloje Nr. </w:t>
      </w:r>
      <w:r w:rsidRPr="00821330">
        <w:rPr>
          <w:rFonts w:asciiTheme="minorHAnsi" w:hAnsiTheme="minorHAnsi" w:cstheme="minorHAnsi"/>
          <w:sz w:val="22"/>
          <w:szCs w:val="22"/>
          <w:lang w:eastAsia="en-US"/>
        </w:rPr>
        <w:t>eA-5376-968/2019</w:t>
      </w:r>
    </w:p>
    <w:p w14:paraId="1D4E0F2C" w14:textId="77777777" w:rsidR="00F31DA2" w:rsidRPr="00821330" w:rsidRDefault="00F31DA2" w:rsidP="00F31DA2">
      <w:pPr>
        <w:rPr>
          <w:rFonts w:asciiTheme="minorHAnsi" w:hAnsiTheme="minorHAnsi" w:cstheme="minorHAnsi"/>
          <w:sz w:val="22"/>
          <w:szCs w:val="22"/>
        </w:rPr>
      </w:pPr>
      <w:r w:rsidRPr="00821330">
        <w:rPr>
          <w:rFonts w:asciiTheme="minorHAnsi" w:hAnsiTheme="minorHAnsi" w:cstheme="minorHAnsi"/>
          <w:sz w:val="22"/>
          <w:szCs w:val="22"/>
        </w:rPr>
        <w:t xml:space="preserve">Teisminio proceso Nr. </w:t>
      </w:r>
      <w:r w:rsidRPr="00821330">
        <w:rPr>
          <w:rFonts w:asciiTheme="minorHAnsi" w:hAnsiTheme="minorHAnsi" w:cstheme="minorHAnsi"/>
          <w:bCs/>
          <w:sz w:val="22"/>
          <w:szCs w:val="22"/>
          <w:lang w:eastAsia="en-US"/>
        </w:rPr>
        <w:t>3-61-3-03852-2016-0</w:t>
      </w:r>
    </w:p>
    <w:p w14:paraId="56A8CF05" w14:textId="77777777" w:rsidR="00F31DA2" w:rsidRPr="00821330" w:rsidRDefault="00F31DA2" w:rsidP="00F31DA2">
      <w:pPr>
        <w:rPr>
          <w:rFonts w:asciiTheme="minorHAnsi" w:hAnsiTheme="minorHAnsi" w:cstheme="minorHAnsi"/>
          <w:sz w:val="22"/>
          <w:szCs w:val="22"/>
          <w:lang w:eastAsia="en-US"/>
        </w:rPr>
      </w:pPr>
      <w:r w:rsidRPr="00821330">
        <w:rPr>
          <w:rFonts w:asciiTheme="minorHAnsi" w:hAnsiTheme="minorHAnsi" w:cstheme="minorHAnsi"/>
          <w:sz w:val="22"/>
          <w:szCs w:val="22"/>
        </w:rPr>
        <w:t xml:space="preserve">Procesinio sprendimo </w:t>
      </w:r>
      <w:r w:rsidRPr="00821330">
        <w:rPr>
          <w:rFonts w:asciiTheme="minorHAnsi" w:hAnsiTheme="minorHAnsi" w:cstheme="minorHAnsi"/>
          <w:sz w:val="22"/>
          <w:szCs w:val="22"/>
          <w:lang w:eastAsia="en-US"/>
        </w:rPr>
        <w:t>kategorijos: 12.2.3; 12.3; 12.8; 12.13.1.2</w:t>
      </w:r>
    </w:p>
    <w:p w14:paraId="251AC9F6" w14:textId="24DBD4A6" w:rsidR="00F31DA2" w:rsidRPr="00821330" w:rsidRDefault="00E956D9" w:rsidP="00F31DA2">
      <w:pPr>
        <w:rPr>
          <w:rFonts w:asciiTheme="minorHAnsi" w:hAnsiTheme="minorHAnsi" w:cstheme="minorHAnsi"/>
          <w:sz w:val="22"/>
          <w:szCs w:val="22"/>
          <w:u w:val="single"/>
        </w:rPr>
      </w:pPr>
      <w:hyperlink r:id="rId26" w:history="1">
        <w:r w:rsidR="00F31DA2" w:rsidRPr="00821330">
          <w:rPr>
            <w:rStyle w:val="Hipersaitas"/>
            <w:rFonts w:asciiTheme="minorHAnsi" w:hAnsiTheme="minorHAnsi" w:cstheme="minorHAnsi"/>
            <w:sz w:val="22"/>
            <w:szCs w:val="22"/>
          </w:rPr>
          <w:t>Prieiga internete</w:t>
        </w:r>
      </w:hyperlink>
      <w:r w:rsidR="00F31DA2" w:rsidRPr="00821330">
        <w:rPr>
          <w:rStyle w:val="Hipersaitas"/>
          <w:rFonts w:asciiTheme="minorHAnsi" w:hAnsiTheme="minorHAnsi" w:cstheme="minorHAnsi"/>
          <w:sz w:val="22"/>
          <w:szCs w:val="22"/>
        </w:rPr>
        <w:t xml:space="preserve"> </w:t>
      </w:r>
    </w:p>
    <w:p w14:paraId="747EB581" w14:textId="77777777" w:rsidR="00F31DA2" w:rsidRPr="00821330" w:rsidRDefault="00F31DA2" w:rsidP="007E7F95">
      <w:pPr>
        <w:tabs>
          <w:tab w:val="left" w:pos="567"/>
        </w:tabs>
        <w:rPr>
          <w:rFonts w:asciiTheme="minorHAnsi" w:hAnsiTheme="minorHAnsi" w:cstheme="minorHAnsi"/>
          <w:sz w:val="22"/>
          <w:szCs w:val="22"/>
        </w:rPr>
      </w:pPr>
    </w:p>
    <w:p w14:paraId="42CC2FEF" w14:textId="77777777" w:rsidR="00A24BAF" w:rsidRPr="00821330" w:rsidRDefault="00A24BAF" w:rsidP="00A24BAF">
      <w:pPr>
        <w:ind w:firstLine="567"/>
        <w:rPr>
          <w:rFonts w:asciiTheme="minorHAnsi" w:hAnsiTheme="minorHAnsi" w:cstheme="minorHAnsi"/>
          <w:b/>
          <w:sz w:val="22"/>
          <w:szCs w:val="22"/>
          <w:u w:val="single"/>
        </w:rPr>
      </w:pPr>
      <w:r w:rsidRPr="00821330">
        <w:rPr>
          <w:rFonts w:asciiTheme="minorHAnsi" w:hAnsiTheme="minorHAnsi" w:cstheme="minorHAnsi"/>
          <w:b/>
          <w:sz w:val="22"/>
          <w:szCs w:val="22"/>
          <w:u w:val="single"/>
        </w:rPr>
        <w:t>12.15. Pridėtinės vertės mokestis</w:t>
      </w:r>
    </w:p>
    <w:p w14:paraId="2E57B5B9" w14:textId="77777777" w:rsidR="00A24BAF" w:rsidRPr="00821330" w:rsidRDefault="00A24BAF" w:rsidP="00A24BAF">
      <w:pPr>
        <w:ind w:left="426" w:firstLine="708"/>
        <w:rPr>
          <w:rFonts w:asciiTheme="minorHAnsi" w:hAnsiTheme="minorHAnsi" w:cstheme="minorHAnsi"/>
          <w:b/>
          <w:sz w:val="22"/>
          <w:szCs w:val="22"/>
          <w:u w:val="single"/>
        </w:rPr>
      </w:pPr>
      <w:r w:rsidRPr="00821330">
        <w:rPr>
          <w:rFonts w:asciiTheme="minorHAnsi" w:hAnsiTheme="minorHAnsi" w:cstheme="minorHAnsi"/>
          <w:b/>
          <w:sz w:val="22"/>
          <w:szCs w:val="22"/>
          <w:u w:val="single"/>
        </w:rPr>
        <w:t>12.15.3. Pridėtinės vertės mokesčio tarifai</w:t>
      </w:r>
    </w:p>
    <w:p w14:paraId="75E34223" w14:textId="77777777" w:rsidR="00A24BAF" w:rsidRPr="00821330" w:rsidRDefault="00A24BAF" w:rsidP="00A24BAF">
      <w:pPr>
        <w:ind w:firstLine="1701"/>
        <w:jc w:val="both"/>
        <w:rPr>
          <w:rFonts w:asciiTheme="minorHAnsi" w:hAnsiTheme="minorHAnsi" w:cstheme="minorHAnsi"/>
          <w:b/>
          <w:sz w:val="22"/>
          <w:szCs w:val="22"/>
          <w:u w:val="single"/>
        </w:rPr>
      </w:pPr>
      <w:r w:rsidRPr="00821330">
        <w:rPr>
          <w:rFonts w:asciiTheme="minorHAnsi" w:hAnsiTheme="minorHAnsi" w:cstheme="minorHAnsi"/>
          <w:b/>
          <w:sz w:val="22"/>
          <w:szCs w:val="22"/>
          <w:u w:val="single"/>
        </w:rPr>
        <w:t>12.15.3.2. 0 procentų pridėtinės vertės mokesčio tarifo taikymas</w:t>
      </w:r>
    </w:p>
    <w:p w14:paraId="2A6D20F1" w14:textId="77777777" w:rsidR="00A24BAF" w:rsidRPr="00821330" w:rsidRDefault="00A24BAF" w:rsidP="00A24BAF">
      <w:pPr>
        <w:jc w:val="both"/>
        <w:rPr>
          <w:rFonts w:asciiTheme="minorHAnsi" w:hAnsiTheme="minorHAnsi" w:cstheme="minorHAnsi"/>
          <w:sz w:val="22"/>
          <w:szCs w:val="22"/>
        </w:rPr>
      </w:pPr>
    </w:p>
    <w:p w14:paraId="37958A81" w14:textId="312DCDAA" w:rsidR="00A24BAF" w:rsidRPr="00821330" w:rsidRDefault="00A24BAF" w:rsidP="00A24BAF">
      <w:pPr>
        <w:pStyle w:val="Antrat2"/>
        <w:rPr>
          <w:i w:val="0"/>
        </w:rPr>
      </w:pPr>
      <w:bookmarkStart w:id="52" w:name="_Toc32243588"/>
      <w:r w:rsidRPr="00821330">
        <w:t>Dėl aplinkybės, kad tiekimo Bendrijos viduje atveju prekės buvo patiektos ne PVM sąskaitoje faktūroje, o kitiems (ne</w:t>
      </w:r>
      <w:r w:rsidR="003E5FE5" w:rsidRPr="00821330">
        <w:t xml:space="preserve">nustatytiems) asmenims, reikšmės sprendžiant dėl </w:t>
      </w:r>
      <w:r w:rsidRPr="00821330">
        <w:t>tiekėjo teis</w:t>
      </w:r>
      <w:r w:rsidR="003E5FE5" w:rsidRPr="00821330">
        <w:t>ė</w:t>
      </w:r>
      <w:r w:rsidRPr="00821330">
        <w:t>s į šio tiekimo neapmokestinimą</w:t>
      </w:r>
      <w:bookmarkEnd w:id="52"/>
      <w:r w:rsidR="003E5FE5" w:rsidRPr="00821330">
        <w:t xml:space="preserve"> </w:t>
      </w:r>
    </w:p>
    <w:p w14:paraId="7EEF3F3E" w14:textId="19CC2B40" w:rsidR="00A24BAF" w:rsidRPr="00821330" w:rsidRDefault="00A24BAF" w:rsidP="00A24BAF">
      <w:pPr>
        <w:pStyle w:val="Antrat2"/>
        <w:rPr>
          <w:i w:val="0"/>
        </w:rPr>
      </w:pPr>
      <w:bookmarkStart w:id="53" w:name="_Toc32243589"/>
      <w:r w:rsidRPr="00821330">
        <w:t>Dėl mokesčių administratoriaus pareigos atsižvelgti ir į tiekėjui palankias aplinkybes</w:t>
      </w:r>
      <w:r w:rsidR="003E5FE5" w:rsidRPr="00821330">
        <w:t>,</w:t>
      </w:r>
      <w:r w:rsidRPr="00821330">
        <w:t xml:space="preserve"> vertinant tiekimo Bendrijos viduje sandorius tiekėjo sąžiningumo aspektu</w:t>
      </w:r>
      <w:bookmarkEnd w:id="53"/>
    </w:p>
    <w:p w14:paraId="3B5A1932" w14:textId="77777777" w:rsidR="00A24BAF" w:rsidRPr="00821330" w:rsidRDefault="00A24BAF" w:rsidP="00A24BAF">
      <w:pPr>
        <w:ind w:firstLine="567"/>
        <w:jc w:val="both"/>
        <w:rPr>
          <w:rFonts w:asciiTheme="minorHAnsi" w:hAnsiTheme="minorHAnsi" w:cstheme="minorHAnsi"/>
          <w:sz w:val="22"/>
          <w:szCs w:val="22"/>
        </w:rPr>
      </w:pPr>
    </w:p>
    <w:p w14:paraId="0A856DC2" w14:textId="08C8237B"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Apžvelgiamoje byloje ginčas kilo dėl mokesčių administratoriaus sprendimo, kuriuo pareiškėjui papildomai apskaičiuoti ir nurodyti sumokėti </w:t>
      </w:r>
      <w:r w:rsidR="003E5FE5" w:rsidRPr="00821330">
        <w:rPr>
          <w:rFonts w:asciiTheme="minorHAnsi" w:hAnsiTheme="minorHAnsi" w:cstheme="minorHAnsi"/>
          <w:sz w:val="22"/>
          <w:szCs w:val="22"/>
        </w:rPr>
        <w:t>PVM</w:t>
      </w:r>
      <w:r w:rsidRPr="00821330">
        <w:rPr>
          <w:rFonts w:asciiTheme="minorHAnsi" w:hAnsiTheme="minorHAnsi" w:cstheme="minorHAnsi"/>
          <w:sz w:val="22"/>
          <w:szCs w:val="22"/>
        </w:rPr>
        <w:t xml:space="preserve"> ir su juo susijusios sumos</w:t>
      </w:r>
      <w:r w:rsidR="003E5FE5" w:rsidRPr="00821330">
        <w:rPr>
          <w:rFonts w:asciiTheme="minorHAnsi" w:hAnsiTheme="minorHAnsi" w:cstheme="minorHAnsi"/>
          <w:sz w:val="22"/>
          <w:szCs w:val="22"/>
        </w:rPr>
        <w:t>,</w:t>
      </w:r>
      <w:r w:rsidRPr="00821330">
        <w:rPr>
          <w:rFonts w:asciiTheme="minorHAnsi" w:hAnsiTheme="minorHAnsi" w:cstheme="minorHAnsi"/>
          <w:sz w:val="22"/>
          <w:szCs w:val="22"/>
        </w:rPr>
        <w:t xml:space="preserve"> paneigus jo teisę į tiekimo Bendrijos viduje neapmokestinimą (apmokestinimą taikant 0 proc. PVM tarifą). Konkrečiai mokesčių administratorius vertino, kad pareiškėjas (1) neįrodė, kad tenkinamos visos šio neapmokestinimo materialiosios sąlygos ir (2) veikdamas sąžiningai, atidžiai ir rūpestingai, galėjo žinoti, jog dalyvauja į sukčiavimą PVM įtrauktuose sandoriuose. Tokios pozicijos mokesčių administratorius laikėsi nustatęs, kad ginčo prekės, kurių tiekimą pareiškėjas apmokestino taikydamas 0 proc. PVM tarifą, buvo patiektas ne PVM sąskaitose faktūrose nurodytoms Lenkijos įmonėms, o jų vardu veikusiems (nenustatytiems) asmenims, kurie sukčiavo PVM srityje.</w:t>
      </w:r>
    </w:p>
    <w:p w14:paraId="3BD04FBE" w14:textId="5C736B4E"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Su ginčo tiekimų apmokestinimu PVM susijusius santykius pirmiausia reglamentavo Pridėtinės vertės </w:t>
      </w:r>
      <w:r w:rsidR="003E5FE5" w:rsidRPr="00821330">
        <w:rPr>
          <w:rFonts w:asciiTheme="minorHAnsi" w:hAnsiTheme="minorHAnsi" w:cstheme="minorHAnsi"/>
          <w:sz w:val="22"/>
          <w:szCs w:val="22"/>
        </w:rPr>
        <w:t xml:space="preserve">mokesčio įstatymas (toliau – </w:t>
      </w:r>
      <w:r w:rsidRPr="00821330">
        <w:rPr>
          <w:rFonts w:asciiTheme="minorHAnsi" w:hAnsiTheme="minorHAnsi" w:cstheme="minorHAnsi"/>
          <w:sz w:val="22"/>
          <w:szCs w:val="22"/>
        </w:rPr>
        <w:t>PVM įstatymas), kuriuo į nacionalinę teisę, be kita ko, yra perkelta 2006 m. lapkričio 28 d. Tarybos direktyva 2006/112/EB dėl pridėtinės vertės mokesč</w:t>
      </w:r>
      <w:r w:rsidR="003E5FE5" w:rsidRPr="00821330">
        <w:rPr>
          <w:rFonts w:asciiTheme="minorHAnsi" w:hAnsiTheme="minorHAnsi" w:cstheme="minorHAnsi"/>
          <w:sz w:val="22"/>
          <w:szCs w:val="22"/>
        </w:rPr>
        <w:t xml:space="preserve">io bendros sistemos (toliau – </w:t>
      </w:r>
      <w:r w:rsidRPr="00821330">
        <w:rPr>
          <w:rFonts w:asciiTheme="minorHAnsi" w:hAnsiTheme="minorHAnsi" w:cstheme="minorHAnsi"/>
          <w:sz w:val="22"/>
          <w:szCs w:val="22"/>
        </w:rPr>
        <w:t>PVM direktyva).</w:t>
      </w:r>
    </w:p>
    <w:p w14:paraId="41900291" w14:textId="7531631C"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PVM įstatymo 49 straipsnio 1 dalyje įtvirtinta bendro pobūdžio taisyklė, kuri nustato, kad taikant 0 proc. PVM tarifą apmokestinamos prekės, tiekiamos kitoje valstybėje narėje įregistruotam PVM mokėtojui ir išgabenamos iš šalies teritorijos į kitą valstybę narę (neatsižvelgiant į tai, kas (prekių tiekėjas, pirkėjas ar bet kurio iš jų užsakymu trečioji šalis) prekes gabena). </w:t>
      </w:r>
    </w:p>
    <w:p w14:paraId="4CBF46A6" w14:textId="77777777"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Šia nuostata į nacionalinę teisę perkeliama PVM direktyvos 138 straipsnio 1 dalis nustato, kad „valstybės narės neapmokestina prekių tiekimo, kai tas prekes pardavėjas ar prekes įsigyjantis asmuo išsiunčia ar išgabena į paskirties vietą, esančią Bendrijoje, bet ne jos atitinkamoje teritorijoje, kitam apmokestinamajam asmeniui ar neapmokestinamajam juridiniam asmeniui, veikiančiam kaip toks, į kitą valstybę narę nei ta, kurioje pradėtas prekių siuntimas ar gabenimas, arba kai tai atliekama pardavėjo ar prekes įsigyjančio asmens vardu“.</w:t>
      </w:r>
    </w:p>
    <w:p w14:paraId="61061D34" w14:textId="77777777"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Remdamasi ESTT praktika, išplėstinė teisėjų kolegija pažymėjo, kad pagal minėtas nuostatas, </w:t>
      </w:r>
      <w:r w:rsidRPr="00821330">
        <w:rPr>
          <w:rFonts w:asciiTheme="minorHAnsi" w:hAnsiTheme="minorHAnsi" w:cstheme="minorHAnsi"/>
          <w:sz w:val="22"/>
          <w:szCs w:val="22"/>
          <w:u w:val="single"/>
        </w:rPr>
        <w:t>išskyrus sąlygas, susijusias su (1) apmokestinamojo asmens statusu, (2) teisės disponuoti turtu, tampant jo savininku, perleidimu ir (3) fiziniu prekių išgabenimu iš vienos valstybės narės į kitą, neturėtų būti taikoma jokia kita sąlyga tam, kad sandoris būrų kvalifikuojamas kaip tiekimo ar įsigijimo sandoris Bendrijos viduje</w:t>
      </w:r>
      <w:r w:rsidRPr="00821330">
        <w:rPr>
          <w:rFonts w:asciiTheme="minorHAnsi" w:hAnsiTheme="minorHAnsi" w:cstheme="minorHAnsi"/>
          <w:sz w:val="22"/>
          <w:szCs w:val="22"/>
        </w:rPr>
        <w:t>.</w:t>
      </w:r>
    </w:p>
    <w:p w14:paraId="429B37FF" w14:textId="77777777"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u w:val="single"/>
        </w:rPr>
        <w:t>Asmuo, kuris prašo leisti pasinaudoti teise į neapmokestinimą PVM, t. y. prekių tiekėjas, turi pateikti įrodymų, kad tenkinamos PVM direktyvos 138 straipsnio 1 dalyje numatytos sąlygos. Šie asmenys taip pat privalo įrodyti, kad yra tenkinamos ir tos sąlygos, kurias nustato pačios valstybės narės</w:t>
      </w:r>
      <w:r w:rsidRPr="00821330">
        <w:rPr>
          <w:rFonts w:asciiTheme="minorHAnsi" w:hAnsiTheme="minorHAnsi" w:cstheme="minorHAnsi"/>
          <w:sz w:val="22"/>
          <w:szCs w:val="22"/>
        </w:rPr>
        <w:t>, siekdamos užtikrinti teisingą ir paprastą atleidimo nuo mokesčio atvejų taikymą bei užkirsti kelią bet kokiam galimam sukčiavimui, mokesčių vengimui ar piktnaudžiavimui. Šiuo klausimu LVAT priminė, kad,</w:t>
      </w:r>
      <w:r w:rsidRPr="00821330">
        <w:rPr>
          <w:rFonts w:asciiTheme="minorHAnsi" w:hAnsiTheme="minorHAnsi" w:cstheme="minorHAnsi"/>
          <w:sz w:val="22"/>
          <w:szCs w:val="22"/>
          <w:u w:val="single"/>
        </w:rPr>
        <w:t xml:space="preserve"> nesant atitinkamų Sąjungos ir (ar) nacionalinių teisės aktų nuostatų, iš 0 proc. PVM tarifą pritaikiusio tiekėjo negali būti reikalaujama aplinkybę, kad yra tenkinamos tiekimo Bendrijos viduje neapmokestinimo sąlygos, įrodinėti kitais nei konkrečių tiekimo sandorių įprastoje praktikoje apmokestinamojo asmens (paprastai) gaunamais ir turimais šias sąlygas patvirtinančiais įrodymais</w:t>
      </w:r>
      <w:r w:rsidRPr="00821330">
        <w:rPr>
          <w:rFonts w:asciiTheme="minorHAnsi" w:hAnsiTheme="minorHAnsi" w:cstheme="minorHAnsi"/>
          <w:sz w:val="22"/>
          <w:szCs w:val="22"/>
        </w:rPr>
        <w:t>.</w:t>
      </w:r>
    </w:p>
    <w:p w14:paraId="57BFFEE3" w14:textId="77777777"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Mokesčių administratorius apžvelgiamoje byloje pareiškėjo teisę į ginčo tiekimo neapmokestinimą pirmiausia neigė remdamasis aplinkybe, kad prekės nebuvo perduotos įgijėjui disponuoti kaip savininkui, nes jos buvo patiektos ne PVM sąskaitoje faktūroje nurodytiems, o kitiems (nenustatytiems) asmenims.</w:t>
      </w:r>
    </w:p>
    <w:p w14:paraId="7BA22EB7" w14:textId="12D0465F"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Šiuo klausimu išplėstinė teisėjų kolegija pirmiausia pastebė</w:t>
      </w:r>
      <w:r w:rsidR="009245D3" w:rsidRPr="00821330">
        <w:rPr>
          <w:rFonts w:asciiTheme="minorHAnsi" w:hAnsiTheme="minorHAnsi" w:cstheme="minorHAnsi"/>
          <w:sz w:val="22"/>
          <w:szCs w:val="22"/>
        </w:rPr>
        <w:t>j</w:t>
      </w:r>
      <w:r w:rsidRPr="00821330">
        <w:rPr>
          <w:rFonts w:asciiTheme="minorHAnsi" w:hAnsiTheme="minorHAnsi" w:cstheme="minorHAnsi"/>
          <w:sz w:val="22"/>
          <w:szCs w:val="22"/>
        </w:rPr>
        <w:t xml:space="preserve">o, kad pagal </w:t>
      </w:r>
      <w:r w:rsidR="003E5FE5" w:rsidRPr="00821330">
        <w:rPr>
          <w:rFonts w:asciiTheme="minorHAnsi" w:hAnsiTheme="minorHAnsi" w:cstheme="minorHAnsi"/>
          <w:sz w:val="22"/>
          <w:szCs w:val="22"/>
        </w:rPr>
        <w:t>PVM direktyvos 138 straipsnio 1 </w:t>
      </w:r>
      <w:r w:rsidRPr="00821330">
        <w:rPr>
          <w:rFonts w:asciiTheme="minorHAnsi" w:hAnsiTheme="minorHAnsi" w:cstheme="minorHAnsi"/>
          <w:sz w:val="22"/>
          <w:szCs w:val="22"/>
        </w:rPr>
        <w:t xml:space="preserve">dalį „&lt;...&gt; valstybės narės neapmokestina prekių tiekimo, kai &lt;...&gt;“, todėl tiekėjas, be kita ko, turi įrodyti, kad perdavė įgijėjui teisę disponuoti prekėmis kaip savininkui. Tačiau kartu LVAT atkreipė dėmesį, kad PVM direktyvos 138 straipsnio 1 dalies taikymo kontekste kalbėdamas apie teisės, kaip savininkui disponuoti materialiuoju turtu, perdavimą, ESTT yra pažymėjęs, kad tai yra būtina kiekvieno prekių tiekimo, kaip jis apibrėžtas PVM direktyvos 14 straipsnio 1 dalyje, sąlyga ir remiantis pačiu šiuo perdavimu negalima nustatyti, </w:t>
      </w:r>
      <w:r w:rsidRPr="00821330">
        <w:rPr>
          <w:rFonts w:asciiTheme="minorHAnsi" w:hAnsiTheme="minorHAnsi" w:cstheme="minorHAnsi"/>
          <w:sz w:val="22"/>
          <w:szCs w:val="22"/>
        </w:rPr>
        <w:lastRenderedPageBreak/>
        <w:t>ar atitinkamas sandoris vykdomas Bendrijos viduje. Atitinkamai įvertinęs byloje nustatytas faktines aplinkybes, LVAT pripažino, kad prekių tiekimas realiai įvyko.</w:t>
      </w:r>
    </w:p>
    <w:p w14:paraId="17E72409" w14:textId="6B507D17"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Išplėstinė teisėjų kolegija taip pat pažymėjo, kad </w:t>
      </w:r>
      <w:r w:rsidRPr="00821330">
        <w:rPr>
          <w:rFonts w:asciiTheme="minorHAnsi" w:hAnsiTheme="minorHAnsi" w:cstheme="minorHAnsi"/>
          <w:sz w:val="22"/>
          <w:szCs w:val="22"/>
          <w:u w:val="single"/>
        </w:rPr>
        <w:t>teisės disponuoti materialiuoju turtu kaip savininkui perdavimas nereikalauja, kad šalis, kuriai šis turtas perduotas, jį turėtų fiziškai arba kad minėtas turtas būtų fiziškai jai nugabentas ir (arba) fiziškai jos gautas</w:t>
      </w:r>
      <w:r w:rsidRPr="00821330">
        <w:rPr>
          <w:rFonts w:asciiTheme="minorHAnsi" w:hAnsiTheme="minorHAnsi" w:cstheme="minorHAnsi"/>
          <w:sz w:val="22"/>
          <w:szCs w:val="22"/>
        </w:rPr>
        <w:t xml:space="preserve">. Tai reiškia, kad </w:t>
      </w:r>
      <w:r w:rsidRPr="00821330">
        <w:rPr>
          <w:rFonts w:asciiTheme="minorHAnsi" w:hAnsiTheme="minorHAnsi" w:cstheme="minorHAnsi"/>
          <w:sz w:val="22"/>
          <w:szCs w:val="22"/>
          <w:u w:val="single"/>
        </w:rPr>
        <w:t>įrodymo, kuris patvirtintų, jog prekės fiziškai buvo gautos įgijėjo</w:t>
      </w:r>
      <w:r w:rsidR="003E5FE5" w:rsidRPr="00821330">
        <w:rPr>
          <w:rFonts w:asciiTheme="minorHAnsi" w:hAnsiTheme="minorHAnsi" w:cstheme="minorHAnsi"/>
          <w:sz w:val="22"/>
          <w:szCs w:val="22"/>
          <w:u w:val="single"/>
        </w:rPr>
        <w:t>,</w:t>
      </w:r>
      <w:r w:rsidRPr="00821330">
        <w:rPr>
          <w:rFonts w:asciiTheme="minorHAnsi" w:hAnsiTheme="minorHAnsi" w:cstheme="minorHAnsi"/>
          <w:sz w:val="22"/>
          <w:szCs w:val="22"/>
          <w:u w:val="single"/>
        </w:rPr>
        <w:t xml:space="preserve"> nebuvimas savaime nepaneigia aptariamos teisės disponuoti turtu kaip savininkui perdavimo sąlygos</w:t>
      </w:r>
      <w:r w:rsidRPr="00821330">
        <w:rPr>
          <w:rFonts w:asciiTheme="minorHAnsi" w:hAnsiTheme="minorHAnsi" w:cstheme="minorHAnsi"/>
          <w:sz w:val="22"/>
          <w:szCs w:val="22"/>
        </w:rPr>
        <w:t xml:space="preserve">. Šios sąlygos nepaneigia ir vien tai, kad prekės nebuvo perduotos tiesiogiai įgijėjui, bet buvo perimtos transporto bendrovių (vežėjų) ir akcizais apmokestinamų prekių sandėlių, kuriuos jis (įgijėjas) nurodė, žinion. Be to, įprastinė tokių, kaip ginčo, prekių (dyzelinio kuro) tiekimo praktika neimplikuoja ir nagrinėtu atveju akivaizdžiai </w:t>
      </w:r>
      <w:r w:rsidRPr="00821330">
        <w:rPr>
          <w:rFonts w:asciiTheme="minorHAnsi" w:hAnsiTheme="minorHAnsi" w:cstheme="minorHAnsi"/>
          <w:sz w:val="22"/>
          <w:szCs w:val="22"/>
          <w:u w:val="single"/>
        </w:rPr>
        <w:t>proporcingumo neatitikt</w:t>
      </w:r>
      <w:r w:rsidR="003E5FE5" w:rsidRPr="00821330">
        <w:rPr>
          <w:rFonts w:asciiTheme="minorHAnsi" w:hAnsiTheme="minorHAnsi" w:cstheme="minorHAnsi"/>
          <w:sz w:val="22"/>
          <w:szCs w:val="22"/>
          <w:u w:val="single"/>
        </w:rPr>
        <w:t>ų</w:t>
      </w:r>
      <w:r w:rsidRPr="00821330">
        <w:rPr>
          <w:rFonts w:asciiTheme="minorHAnsi" w:hAnsiTheme="minorHAnsi" w:cstheme="minorHAnsi"/>
          <w:sz w:val="22"/>
          <w:szCs w:val="22"/>
          <w:u w:val="single"/>
        </w:rPr>
        <w:t xml:space="preserve"> reikalavimas tiekėjui domėtis ir pateikti (gebėti pateikti) įrodymus apie tai, ką su įsigytomis prekėmis po jų pristatymo į kitoje valstybėje narėje esančius akcizais apmokestinamų prekių sandėlius atliko jas įsigijęs asmuo, disponuodamas jomis kaip savininkas</w:t>
      </w:r>
      <w:r w:rsidRPr="00821330">
        <w:rPr>
          <w:rFonts w:asciiTheme="minorHAnsi" w:hAnsiTheme="minorHAnsi" w:cstheme="minorHAnsi"/>
          <w:sz w:val="22"/>
          <w:szCs w:val="22"/>
        </w:rPr>
        <w:t>.</w:t>
      </w:r>
    </w:p>
    <w:p w14:paraId="195E22FF" w14:textId="38BB6CC9"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Dėl mokesčių administratoriaus teiginio, jog pareiškėjas neįrodė, kad prekės buvo patiektos būtent PVM sąskaitose faktūrose nur</w:t>
      </w:r>
      <w:r w:rsidR="009245D3" w:rsidRPr="00821330">
        <w:rPr>
          <w:rFonts w:asciiTheme="minorHAnsi" w:hAnsiTheme="minorHAnsi" w:cstheme="minorHAnsi"/>
          <w:sz w:val="22"/>
          <w:szCs w:val="22"/>
        </w:rPr>
        <w:t xml:space="preserve">odytiems, o ne kitiems asmenims, </w:t>
      </w:r>
      <w:r w:rsidRPr="00821330">
        <w:rPr>
          <w:rFonts w:asciiTheme="minorHAnsi" w:hAnsiTheme="minorHAnsi" w:cstheme="minorHAnsi"/>
          <w:sz w:val="22"/>
          <w:szCs w:val="22"/>
        </w:rPr>
        <w:t xml:space="preserve">išplėstinė teisėjų kolegija akcentavo, kad </w:t>
      </w:r>
      <w:r w:rsidRPr="00821330">
        <w:rPr>
          <w:rFonts w:asciiTheme="minorHAnsi" w:hAnsiTheme="minorHAnsi" w:cstheme="minorHAnsi"/>
          <w:sz w:val="22"/>
          <w:szCs w:val="22"/>
          <w:u w:val="single"/>
        </w:rPr>
        <w:t xml:space="preserve">pareiga nurodyti įgijėją, kuriam skirtos Bendrijos viduje patiektos prekės, yra </w:t>
      </w:r>
      <w:r w:rsidR="003E5FE5" w:rsidRPr="00821330">
        <w:rPr>
          <w:rFonts w:asciiTheme="minorHAnsi" w:hAnsiTheme="minorHAnsi" w:cstheme="minorHAnsi"/>
          <w:sz w:val="22"/>
          <w:szCs w:val="22"/>
          <w:u w:val="single"/>
        </w:rPr>
        <w:t>ne aptariama PVM direktyvos 138 </w:t>
      </w:r>
      <w:r w:rsidRPr="00821330">
        <w:rPr>
          <w:rFonts w:asciiTheme="minorHAnsi" w:hAnsiTheme="minorHAnsi" w:cstheme="minorHAnsi"/>
          <w:sz w:val="22"/>
          <w:szCs w:val="22"/>
          <w:u w:val="single"/>
        </w:rPr>
        <w:t>straipsnio 1 dalyje numatyta tiekimo bendrijos viduje neapmokestinimo sąly</w:t>
      </w:r>
      <w:r w:rsidR="003E5FE5" w:rsidRPr="00821330">
        <w:rPr>
          <w:rFonts w:asciiTheme="minorHAnsi" w:hAnsiTheme="minorHAnsi" w:cstheme="minorHAnsi"/>
          <w:sz w:val="22"/>
          <w:szCs w:val="22"/>
          <w:u w:val="single"/>
        </w:rPr>
        <w:t>ga, o pagal šios direktyvos 131 </w:t>
      </w:r>
      <w:r w:rsidRPr="00821330">
        <w:rPr>
          <w:rFonts w:asciiTheme="minorHAnsi" w:hAnsiTheme="minorHAnsi" w:cstheme="minorHAnsi"/>
          <w:sz w:val="22"/>
          <w:szCs w:val="22"/>
          <w:u w:val="single"/>
        </w:rPr>
        <w:t>straipsnį valstybės narės nustatytas reikalavimas</w:t>
      </w:r>
      <w:r w:rsidRPr="00821330">
        <w:rPr>
          <w:rFonts w:asciiTheme="minorHAnsi" w:hAnsiTheme="minorHAnsi" w:cstheme="minorHAnsi"/>
          <w:sz w:val="22"/>
          <w:szCs w:val="22"/>
        </w:rPr>
        <w:t xml:space="preserve">. Kitaip tariant, </w:t>
      </w:r>
      <w:r w:rsidRPr="00821330">
        <w:rPr>
          <w:rFonts w:asciiTheme="minorHAnsi" w:hAnsiTheme="minorHAnsi" w:cstheme="minorHAnsi"/>
          <w:sz w:val="22"/>
          <w:szCs w:val="22"/>
          <w:u w:val="single"/>
        </w:rPr>
        <w:t xml:space="preserve">„prekių tiekimas“, kaip viena iš materialiųjų PVM direktyvos 138 straipsnio 1 dalies sąlygų, nėra siejama su apskaitos dokumente nurodytu pirkėju (įgijėju). Vien tai, jog prekės galbūt buvo patiektos ne PVM sąskaitoje faktūroje nurodytam asmeniui, nepaneigia, kad tiekėjas perdavė įgijėjui teisę disponuoti prekėmis kaip savininkui, be kita ko, </w:t>
      </w:r>
      <w:r w:rsidR="003E5FE5" w:rsidRPr="00821330">
        <w:rPr>
          <w:rFonts w:asciiTheme="minorHAnsi" w:hAnsiTheme="minorHAnsi" w:cstheme="minorHAnsi"/>
          <w:sz w:val="22"/>
          <w:szCs w:val="22"/>
          <w:u w:val="single"/>
        </w:rPr>
        <w:t>PVM direktyvos 138 straipsnio 1 </w:t>
      </w:r>
      <w:r w:rsidRPr="00821330">
        <w:rPr>
          <w:rFonts w:asciiTheme="minorHAnsi" w:hAnsiTheme="minorHAnsi" w:cstheme="minorHAnsi"/>
          <w:sz w:val="22"/>
          <w:szCs w:val="22"/>
          <w:u w:val="single"/>
        </w:rPr>
        <w:t>dalies taikymo prasme (tikslais)</w:t>
      </w:r>
      <w:r w:rsidRPr="00821330">
        <w:rPr>
          <w:rFonts w:asciiTheme="minorHAnsi" w:hAnsiTheme="minorHAnsi" w:cstheme="minorHAnsi"/>
          <w:sz w:val="22"/>
          <w:szCs w:val="22"/>
        </w:rPr>
        <w:t>.</w:t>
      </w:r>
    </w:p>
    <w:p w14:paraId="4B714D2E" w14:textId="77777777"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Taigi, </w:t>
      </w:r>
      <w:r w:rsidRPr="00821330">
        <w:rPr>
          <w:rFonts w:asciiTheme="minorHAnsi" w:hAnsiTheme="minorHAnsi" w:cstheme="minorHAnsi"/>
          <w:sz w:val="22"/>
          <w:szCs w:val="22"/>
          <w:u w:val="single"/>
        </w:rPr>
        <w:t>tais atvejais, kai prekių tiekimas realiai įvyko, t. y. teisė disponuoti prekėmis kaip savininkui buvo perduota, o tiekėjas pateikė įrodymų, iš pirmo žvilgsnio patvirtinančių jo teisę būti atleistam nuo mokesčio už prekių tiekimą Bendrijos viduje, pastarojo teisė į šį neapmokestinimą dėl to, kad PVM sąskaitoje faktūroje yra nurodyti ne tikrieji įgijėjai, gali būti paneigta tik jei tiekėjas: (1) pats sukčiavo, pavyzdžiui, tyčia nurodydamas klaidingus duomenis apie įgijėją; (2) žinojo arba, būdamas atidus ir rūpestingas, galėjo žinoti, jog įgijėjas sukčiauja, bet vis tiek sudarė sandorį</w:t>
      </w:r>
      <w:r w:rsidRPr="00821330">
        <w:rPr>
          <w:rFonts w:asciiTheme="minorHAnsi" w:hAnsiTheme="minorHAnsi" w:cstheme="minorHAnsi"/>
          <w:sz w:val="22"/>
          <w:szCs w:val="22"/>
        </w:rPr>
        <w:t>.</w:t>
      </w:r>
    </w:p>
    <w:p w14:paraId="54AAAE8F" w14:textId="77777777"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Išplėstinė teisėjų kolegija pabrėžė, jog </w:t>
      </w:r>
      <w:r w:rsidRPr="00821330">
        <w:rPr>
          <w:rFonts w:asciiTheme="minorHAnsi" w:hAnsiTheme="minorHAnsi" w:cstheme="minorHAnsi"/>
          <w:sz w:val="22"/>
          <w:szCs w:val="22"/>
          <w:u w:val="single"/>
        </w:rPr>
        <w:t>nustačiusi, kad tiekėjo kontrahentas dalyvavo sukčiaujant arba padarė pažeidimų, kompetentinga mokesčių institucija, atsižvelgdama į objektyvius įrodymus ir nereikalaudama iš tiekėjo atlikti patikrinimų, kurie jam nepriklauso, turi nustatyti, jog apmokestinamasis asmuo žinojo ar turėjo žinoti, kad sandoris, kuriuo remiamasi siekiant pagrįsti savo teisę, yra susijęs su sukčiavimu PVM srityje</w:t>
      </w:r>
      <w:r w:rsidRPr="00821330">
        <w:rPr>
          <w:rFonts w:asciiTheme="minorHAnsi" w:hAnsiTheme="minorHAnsi" w:cstheme="minorHAnsi"/>
          <w:sz w:val="22"/>
          <w:szCs w:val="22"/>
        </w:rPr>
        <w:t xml:space="preserve">. </w:t>
      </w:r>
    </w:p>
    <w:p w14:paraId="32F77D6A" w14:textId="77777777" w:rsidR="00A24BAF" w:rsidRPr="00821330" w:rsidRDefault="00A24BAF" w:rsidP="00A24BAF">
      <w:pPr>
        <w:ind w:firstLine="567"/>
        <w:jc w:val="both"/>
        <w:rPr>
          <w:rFonts w:asciiTheme="minorHAnsi" w:hAnsiTheme="minorHAnsi" w:cstheme="minorHAnsi"/>
          <w:sz w:val="22"/>
          <w:szCs w:val="22"/>
        </w:rPr>
      </w:pPr>
      <w:r w:rsidRPr="00821330">
        <w:rPr>
          <w:rFonts w:asciiTheme="minorHAnsi" w:hAnsiTheme="minorHAnsi" w:cstheme="minorHAnsi"/>
          <w:sz w:val="22"/>
          <w:szCs w:val="22"/>
        </w:rPr>
        <w:t>Šios viešojo administravimo subjekto kontekste įvertinusi ginčo faktines aplinkybes ir akcentavusi, kad centrinis mokesčių administratorius, be kita ko, pažeisdamas vieną iš pagrindinių jo uždavinių – padėti mokesčių mokėtojams įgyvendinti savo teises ir atlikti pareigas (Mokesčių administravimo įstatymo 19 str. 1 d. 1 p.) – iš esmės pasirinktinai ir autonomiškai nuo reikšmingų bylos aplinkybių išskyrė ir analizavo tik pareiškėjui nepalankias aplinkybes, neatsižvelgdamas į jų reikšmę vertinant tiekėjo sąžiningumą visų, t. y. ir pareiškėjui palankių aplinkybių kontekste, panaikino mokestinį ginčą nagrinėjusių institucijų sprendimus ir grąžino klausimą dėl mokestinio patikrinimo akto tvirtinimo atsakovui nagrinėti ir naujo.</w:t>
      </w:r>
    </w:p>
    <w:p w14:paraId="5B9320B3" w14:textId="77777777" w:rsidR="00A24BAF" w:rsidRPr="00821330" w:rsidRDefault="00A24BAF" w:rsidP="00A24BAF">
      <w:pPr>
        <w:ind w:firstLine="567"/>
        <w:jc w:val="both"/>
        <w:rPr>
          <w:rFonts w:asciiTheme="minorHAnsi" w:hAnsiTheme="minorHAnsi" w:cstheme="minorHAnsi"/>
          <w:sz w:val="22"/>
          <w:szCs w:val="22"/>
        </w:rPr>
      </w:pPr>
    </w:p>
    <w:p w14:paraId="365A6106" w14:textId="77777777" w:rsidR="00A24BAF" w:rsidRPr="00821330" w:rsidRDefault="00A24BAF" w:rsidP="00A24BAF">
      <w:pPr>
        <w:jc w:val="both"/>
        <w:rPr>
          <w:rFonts w:asciiTheme="minorHAnsi" w:hAnsiTheme="minorHAnsi" w:cstheme="minorHAnsi"/>
          <w:sz w:val="22"/>
          <w:szCs w:val="22"/>
        </w:rPr>
      </w:pPr>
      <w:r w:rsidRPr="00821330">
        <w:rPr>
          <w:rFonts w:asciiTheme="minorHAnsi" w:hAnsiTheme="minorHAnsi" w:cstheme="minorHAnsi"/>
          <w:sz w:val="22"/>
          <w:szCs w:val="22"/>
        </w:rPr>
        <w:t>Išplėstinės teisėjų kolegijos 2019 m. gruodžio 18 d. nutartis administracinėje byloje Nr. A-276-602/2019</w:t>
      </w:r>
    </w:p>
    <w:p w14:paraId="4448EF88" w14:textId="77777777" w:rsidR="00A24BAF" w:rsidRPr="00821330" w:rsidRDefault="00A24BAF" w:rsidP="00A24BAF">
      <w:pPr>
        <w:jc w:val="both"/>
        <w:rPr>
          <w:rFonts w:asciiTheme="minorHAnsi" w:hAnsiTheme="minorHAnsi" w:cstheme="minorHAnsi"/>
          <w:sz w:val="22"/>
          <w:szCs w:val="22"/>
        </w:rPr>
      </w:pPr>
      <w:r w:rsidRPr="00821330">
        <w:rPr>
          <w:rFonts w:asciiTheme="minorHAnsi" w:hAnsiTheme="minorHAnsi" w:cstheme="minorHAnsi"/>
          <w:sz w:val="22"/>
          <w:szCs w:val="22"/>
        </w:rPr>
        <w:t>Teisminio proceso Nr. 3-61-3-04233-2016-4</w:t>
      </w:r>
    </w:p>
    <w:p w14:paraId="3D1A11C4" w14:textId="77777777" w:rsidR="00A24BAF" w:rsidRPr="00821330" w:rsidRDefault="00A24BAF" w:rsidP="00A24BAF">
      <w:pPr>
        <w:jc w:val="both"/>
        <w:rPr>
          <w:rFonts w:asciiTheme="minorHAnsi" w:hAnsiTheme="minorHAnsi" w:cstheme="minorHAnsi"/>
          <w:sz w:val="22"/>
          <w:szCs w:val="22"/>
        </w:rPr>
      </w:pPr>
      <w:r w:rsidRPr="00821330">
        <w:rPr>
          <w:rFonts w:asciiTheme="minorHAnsi" w:hAnsiTheme="minorHAnsi" w:cstheme="minorHAnsi"/>
          <w:sz w:val="22"/>
          <w:szCs w:val="22"/>
        </w:rPr>
        <w:t>Procesinio sprendimo kategorijos: 1.2.3; 12.15.3.2</w:t>
      </w:r>
    </w:p>
    <w:p w14:paraId="2C28727B" w14:textId="67DA7BB5" w:rsidR="00A24BAF" w:rsidRPr="00821330" w:rsidRDefault="00E956D9" w:rsidP="00A24BAF">
      <w:pPr>
        <w:jc w:val="both"/>
        <w:rPr>
          <w:rFonts w:asciiTheme="minorHAnsi" w:hAnsiTheme="minorHAnsi" w:cstheme="minorHAnsi"/>
          <w:sz w:val="22"/>
          <w:szCs w:val="22"/>
        </w:rPr>
      </w:pPr>
      <w:hyperlink r:id="rId27" w:history="1">
        <w:r w:rsidR="00A24BAF" w:rsidRPr="00821330">
          <w:rPr>
            <w:rStyle w:val="Hipersaitas"/>
            <w:rFonts w:asciiTheme="minorHAnsi" w:hAnsiTheme="minorHAnsi" w:cstheme="minorHAnsi"/>
            <w:sz w:val="22"/>
            <w:szCs w:val="22"/>
          </w:rPr>
          <w:t>Prieiga internete</w:t>
        </w:r>
      </w:hyperlink>
      <w:r w:rsidR="008A6458" w:rsidRPr="00821330">
        <w:rPr>
          <w:rFonts w:asciiTheme="minorHAnsi" w:hAnsiTheme="minorHAnsi" w:cstheme="minorHAnsi"/>
          <w:sz w:val="22"/>
          <w:szCs w:val="22"/>
        </w:rPr>
        <w:t xml:space="preserve"> </w:t>
      </w:r>
    </w:p>
    <w:p w14:paraId="1405EFC6" w14:textId="77777777" w:rsidR="00A24BAF" w:rsidRPr="00821330" w:rsidRDefault="00A24BAF" w:rsidP="007E7F95">
      <w:pPr>
        <w:tabs>
          <w:tab w:val="left" w:pos="567"/>
        </w:tabs>
        <w:rPr>
          <w:rFonts w:asciiTheme="minorHAnsi" w:hAnsiTheme="minorHAnsi" w:cstheme="minorHAnsi"/>
          <w:sz w:val="22"/>
          <w:szCs w:val="22"/>
        </w:rPr>
      </w:pPr>
    </w:p>
    <w:p w14:paraId="40736F15" w14:textId="77777777" w:rsidR="00A456B0" w:rsidRPr="00821330" w:rsidRDefault="00A456B0" w:rsidP="00A456B0">
      <w:pPr>
        <w:pStyle w:val="Antrat1"/>
        <w:rPr>
          <w:rFonts w:asciiTheme="minorHAnsi" w:hAnsiTheme="minorHAnsi" w:cstheme="minorHAnsi"/>
          <w:b w:val="0"/>
        </w:rPr>
      </w:pPr>
      <w:bookmarkStart w:id="54" w:name="_Toc32243590"/>
      <w:bookmarkStart w:id="55" w:name="_Hlk29232611"/>
      <w:r w:rsidRPr="00821330">
        <w:rPr>
          <w:rFonts w:asciiTheme="minorHAnsi" w:hAnsiTheme="minorHAnsi" w:cstheme="minorHAnsi"/>
        </w:rPr>
        <w:t>14. Aplinkos apsauga</w:t>
      </w:r>
      <w:bookmarkEnd w:id="54"/>
    </w:p>
    <w:bookmarkEnd w:id="55"/>
    <w:p w14:paraId="27794701" w14:textId="77777777" w:rsidR="00A456B0" w:rsidRPr="00821330" w:rsidRDefault="00A456B0" w:rsidP="00A456B0">
      <w:pPr>
        <w:ind w:firstLine="567"/>
        <w:rPr>
          <w:rFonts w:asciiTheme="minorHAnsi" w:hAnsiTheme="minorHAnsi" w:cstheme="minorHAnsi"/>
          <w:b/>
          <w:bCs/>
          <w:sz w:val="22"/>
          <w:szCs w:val="22"/>
          <w:u w:val="single"/>
        </w:rPr>
      </w:pPr>
      <w:r w:rsidRPr="00821330">
        <w:rPr>
          <w:rFonts w:asciiTheme="minorHAnsi" w:hAnsiTheme="minorHAnsi" w:cstheme="minorHAnsi"/>
          <w:b/>
          <w:bCs/>
          <w:sz w:val="22"/>
          <w:szCs w:val="22"/>
          <w:u w:val="single"/>
        </w:rPr>
        <w:t xml:space="preserve">14.15. </w:t>
      </w:r>
      <w:r w:rsidRPr="00821330">
        <w:rPr>
          <w:rFonts w:asciiTheme="minorHAnsi" w:hAnsiTheme="minorHAnsi" w:cstheme="minorHAnsi"/>
          <w:b/>
          <w:sz w:val="22"/>
          <w:szCs w:val="22"/>
          <w:u w:val="single"/>
        </w:rPr>
        <w:t>Kiti su aplinkos apsauga susiję klausimai</w:t>
      </w:r>
    </w:p>
    <w:p w14:paraId="72A5CB0D" w14:textId="77777777" w:rsidR="00A456B0" w:rsidRPr="00821330" w:rsidRDefault="00A456B0" w:rsidP="00A456B0">
      <w:pPr>
        <w:rPr>
          <w:rFonts w:asciiTheme="minorHAnsi" w:hAnsiTheme="minorHAnsi" w:cstheme="minorHAnsi"/>
          <w:bCs/>
          <w:sz w:val="22"/>
          <w:szCs w:val="22"/>
        </w:rPr>
      </w:pPr>
    </w:p>
    <w:p w14:paraId="5D6B9BD2" w14:textId="77777777" w:rsidR="00A456B0" w:rsidRPr="00821330" w:rsidRDefault="00A456B0" w:rsidP="00F31DA2">
      <w:pPr>
        <w:pStyle w:val="Antrat2"/>
        <w:rPr>
          <w:bCs/>
        </w:rPr>
      </w:pPr>
      <w:bookmarkStart w:id="56" w:name="_Toc32243591"/>
      <w:r w:rsidRPr="00821330">
        <w:t>Dėl pagrindų laikyti ataskaitą apie užstato sistemos veiklos vykdymą nepateikta</w:t>
      </w:r>
      <w:bookmarkEnd w:id="56"/>
    </w:p>
    <w:p w14:paraId="0445A8ED" w14:textId="77777777" w:rsidR="00A456B0" w:rsidRPr="00821330" w:rsidRDefault="00A456B0" w:rsidP="00A456B0">
      <w:pPr>
        <w:rPr>
          <w:rFonts w:asciiTheme="minorHAnsi" w:hAnsiTheme="minorHAnsi" w:cstheme="minorHAnsi"/>
          <w:bCs/>
          <w:sz w:val="22"/>
          <w:szCs w:val="22"/>
        </w:rPr>
      </w:pPr>
    </w:p>
    <w:p w14:paraId="7F6E3335" w14:textId="77777777" w:rsidR="00A456B0" w:rsidRPr="00821330" w:rsidRDefault="00A456B0" w:rsidP="00A456B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Ginčas šioje byloje kilo dėl Aplinkos apsaugos agentūros sprendimo (toliau – Sprendimas), kuriuo pareiškėjo pateikta Ataskaita apie užstato sistemos veiklos vykdymą 2016 metais (toliau – Ataskaita) laikyta nepateikta, pagrįstumo ir teisėtumo. Ataskaitą buvo nuspręsta laikyti nepateikta dėl to, kad pagal pareiškėjo pateiktus dokumentus neįrodytas pareiškėjo įsipareigojimų vykdymas.</w:t>
      </w:r>
    </w:p>
    <w:p w14:paraId="41AF716A" w14:textId="1E8FD1DF" w:rsidR="00A456B0" w:rsidRPr="00821330" w:rsidRDefault="00A456B0" w:rsidP="00A456B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lastRenderedPageBreak/>
        <w:t>Pirmosios instancijos teismas, be kita ko, įvertinęs ginčijamo Sprendimo priėmi</w:t>
      </w:r>
      <w:r w:rsidR="003B2D2E" w:rsidRPr="00821330">
        <w:rPr>
          <w:rFonts w:asciiTheme="minorHAnsi" w:hAnsiTheme="minorHAnsi" w:cstheme="minorHAnsi"/>
          <w:bCs/>
          <w:sz w:val="22"/>
          <w:szCs w:val="22"/>
        </w:rPr>
        <w:t>mo metu galiojusios redakcijos a</w:t>
      </w:r>
      <w:r w:rsidRPr="00821330">
        <w:rPr>
          <w:rFonts w:asciiTheme="minorHAnsi" w:hAnsiTheme="minorHAnsi" w:cstheme="minorHAnsi"/>
          <w:bCs/>
          <w:sz w:val="22"/>
          <w:szCs w:val="22"/>
        </w:rPr>
        <w:t>plinkos ministro 2014 m. rugsėjo 30 d. įsakymu Nr. D1-791 patvirtinto Užstato už vienkartines pakuotes sistemos organizavimo plano, finansavimo schemos ir švietimo programos rengimo, derinimo ir ataskaitų bei informacijos apie jų vykdymą teikimo tvarkos aprašo (toliau – Aprašas) nuostatas, padarė išvadą, kad ataskaitos laikymas nepateikta yra siejamas ne su įsipareigojimų nevykdymu, o su trūkumų ir netikslumų nepašalinimu, todėl konstatavo, jog Sprendimas yra neteisėtas ir nepagrįstas, bei jį panaikino. Aplinkos apsaugos agentūra su tokiu pirmosios instancijos teismo sprendimu nesutiko ir pateikė apeliacinį skundą.</w:t>
      </w:r>
    </w:p>
    <w:p w14:paraId="029EBE69" w14:textId="28D6D110" w:rsidR="00A456B0" w:rsidRPr="00821330" w:rsidRDefault="00A456B0" w:rsidP="00A456B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Teisėjų kolegija pritarė pirmosios instancijos teismo pozicijai ir pažymėjo, kad, sistemiškai aiškinant Aprašo 30–35 ir 42 punktus, išskiriami du etapai, susiję su ataskaitos teikimu bei jos vertinimu: 1) pirmasis etapas apima ataskaitos pateikimą ir vertinimą, ar pateikta ataskaita atitinka Aprašo 30–34 punktų reikalavimus (Aprašo 35 p</w:t>
      </w:r>
      <w:r w:rsidR="003B2D2E" w:rsidRPr="00821330">
        <w:rPr>
          <w:rFonts w:asciiTheme="minorHAnsi" w:hAnsiTheme="minorHAnsi" w:cstheme="minorHAnsi"/>
          <w:bCs/>
          <w:sz w:val="22"/>
          <w:szCs w:val="22"/>
        </w:rPr>
        <w:t>.</w:t>
      </w:r>
      <w:r w:rsidRPr="00821330">
        <w:rPr>
          <w:rFonts w:asciiTheme="minorHAnsi" w:hAnsiTheme="minorHAnsi" w:cstheme="minorHAnsi"/>
          <w:bCs/>
          <w:sz w:val="22"/>
          <w:szCs w:val="22"/>
        </w:rPr>
        <w:t>); 2) antrasis etapas apima jau pateiktoje ataskaitoje ir kartu su ja pateiktos informacijos vertinimą bei veiksmų eigą, kai yra nustatomi teisės aktų pažeidimai, jei užstato administratorius nepateikia metinės ar tarpinės ataskaitos ar nepateikia Patikslintų einamųjų metų dokumentų, arba atlikus ataskaitos ir kartu su ataskaita pateiktos informacijos apie Finansavimo schemos ir Švietimo programos vykdymą ar Patikslintų einamųjų metų dokumentų vertinimą (Aprašo 42 p</w:t>
      </w:r>
      <w:r w:rsidR="003B2D2E" w:rsidRPr="00821330">
        <w:rPr>
          <w:rFonts w:asciiTheme="minorHAnsi" w:hAnsiTheme="minorHAnsi" w:cstheme="minorHAnsi"/>
          <w:bCs/>
          <w:sz w:val="22"/>
          <w:szCs w:val="22"/>
        </w:rPr>
        <w:t>.</w:t>
      </w:r>
      <w:r w:rsidRPr="00821330">
        <w:rPr>
          <w:rFonts w:asciiTheme="minorHAnsi" w:hAnsiTheme="minorHAnsi" w:cstheme="minorHAnsi"/>
          <w:bCs/>
          <w:sz w:val="22"/>
          <w:szCs w:val="22"/>
        </w:rPr>
        <w:t xml:space="preserve">). Kadangi nagrinėtu atveju ginčas kilo dėl Sprendimo, kuriuo pareiškėjo pateiktą Ataskaitą už 2016 metus nuspręsta laikyti nepateikta, teisėjų kolegija nurodė, jog aktualus pirmasis etapas, t. y. Aprašo 30–35 punktai, kuriuos įvertinusi teisėjų kolegija sutiko su pirmosios instancijos teismo išvada, kad </w:t>
      </w:r>
      <w:r w:rsidRPr="00821330">
        <w:rPr>
          <w:rFonts w:asciiTheme="minorHAnsi" w:hAnsiTheme="minorHAnsi" w:cstheme="minorHAnsi"/>
          <w:bCs/>
          <w:sz w:val="22"/>
          <w:szCs w:val="22"/>
          <w:u w:val="single"/>
        </w:rPr>
        <w:t>ataskaita gali būti laikoma nepateikta tik tuo atveju, kai užstato administratorius nepašalina nurodytų trūkumų ir netikslumų</w:t>
      </w:r>
      <w:r w:rsidRPr="00821330">
        <w:rPr>
          <w:rFonts w:asciiTheme="minorHAnsi" w:hAnsiTheme="minorHAnsi" w:cstheme="minorHAnsi"/>
          <w:bCs/>
          <w:sz w:val="22"/>
          <w:szCs w:val="22"/>
        </w:rPr>
        <w:t>. Remdamasi bylos medžiaga, teisėjų kolegija nustatė, kad pareiškėjas pašalino atsakovo nurodytus trūkumus, todėl sprendė, kad nėra pagrindo laikyti pareiškėjo Ataskaitą nepateikta.</w:t>
      </w:r>
    </w:p>
    <w:p w14:paraId="1EFB7FE3" w14:textId="041EEFE5" w:rsidR="00A456B0" w:rsidRPr="00821330" w:rsidRDefault="00A456B0" w:rsidP="00A456B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Teisėjų kolegija nesutiko su apeliacinio skundo argumentais, kad ataskaita, kurioje yra pateikta informacija bei dokumentai, pagrindžiantys, jog neįvykdytos numatytos priemon</w:t>
      </w:r>
      <w:r w:rsidR="000C4189">
        <w:rPr>
          <w:rFonts w:asciiTheme="minorHAnsi" w:hAnsiTheme="minorHAnsi" w:cstheme="minorHAnsi"/>
          <w:bCs/>
          <w:sz w:val="22"/>
          <w:szCs w:val="22"/>
        </w:rPr>
        <w:t>ė</w:t>
      </w:r>
      <w:r w:rsidRPr="00821330">
        <w:rPr>
          <w:rFonts w:asciiTheme="minorHAnsi" w:hAnsiTheme="minorHAnsi" w:cstheme="minorHAnsi"/>
          <w:bCs/>
          <w:sz w:val="22"/>
          <w:szCs w:val="22"/>
        </w:rPr>
        <w:t xml:space="preserve">s, negali būti laikytina pateikta. Šiuo aspektu teisėjų kolegija pažymėjo, kad vertinimas, ar pareiškėjas įvykdė </w:t>
      </w:r>
      <w:r w:rsidR="007B339D" w:rsidRPr="00821330">
        <w:rPr>
          <w:rFonts w:asciiTheme="minorHAnsi" w:hAnsiTheme="minorHAnsi" w:cstheme="minorHAnsi"/>
          <w:bCs/>
          <w:sz w:val="22"/>
          <w:szCs w:val="22"/>
        </w:rPr>
        <w:t xml:space="preserve">Sistemos organizavimo plane </w:t>
      </w:r>
      <w:r w:rsidRPr="00821330">
        <w:rPr>
          <w:rFonts w:asciiTheme="minorHAnsi" w:hAnsiTheme="minorHAnsi" w:cstheme="minorHAnsi"/>
          <w:bCs/>
          <w:sz w:val="22"/>
          <w:szCs w:val="22"/>
        </w:rPr>
        <w:t xml:space="preserve">numatytas priemones, apima antrąjį etapą. Atsižvelgusi į tai ir įvertinusi Aprašo 42 punktą, teisėjų kolegija padarė išvadą, jog Aplinkos apsaugos agentūra gali kreiptis į </w:t>
      </w:r>
      <w:r w:rsidR="007B339D" w:rsidRPr="00821330">
        <w:rPr>
          <w:rFonts w:asciiTheme="minorHAnsi" w:hAnsiTheme="minorHAnsi" w:cstheme="minorHAnsi"/>
          <w:bCs/>
          <w:sz w:val="22"/>
          <w:szCs w:val="22"/>
        </w:rPr>
        <w:t xml:space="preserve">Lietuvos Respublikos aplinkos ministerijos regiono aplinkos apsaugos departamentą </w:t>
      </w:r>
      <w:r w:rsidRPr="00821330">
        <w:rPr>
          <w:rFonts w:asciiTheme="minorHAnsi" w:hAnsiTheme="minorHAnsi" w:cstheme="minorHAnsi"/>
          <w:bCs/>
          <w:sz w:val="22"/>
          <w:szCs w:val="22"/>
        </w:rPr>
        <w:t>dėl ūkio subjekto galimai padaryto pažeidimo tyrimo pradėjimo ir tuo atveju, kai Aplinkos apsaugos agentūra, išnagrinėjusi pateiktą ataskaitą ir (ar) kartu su ataskaita teikiamą informaciją apie Finansavimo schemos ir Švietimo programos vykdymą, nustato teisės aktų pažeidimą.</w:t>
      </w:r>
    </w:p>
    <w:p w14:paraId="3165F4B8" w14:textId="20B74ADD" w:rsidR="00A456B0" w:rsidRPr="00821330" w:rsidRDefault="007B339D" w:rsidP="00A456B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P</w:t>
      </w:r>
      <w:r w:rsidR="00A456B0" w:rsidRPr="00821330">
        <w:rPr>
          <w:rFonts w:asciiTheme="minorHAnsi" w:hAnsiTheme="minorHAnsi" w:cstheme="minorHAnsi"/>
          <w:bCs/>
          <w:sz w:val="22"/>
          <w:szCs w:val="22"/>
        </w:rPr>
        <w:t>irmosios instancijos teismo sprendimas paliktas nepakeistas.</w:t>
      </w:r>
    </w:p>
    <w:p w14:paraId="2F6A0BBD" w14:textId="77777777" w:rsidR="00A456B0" w:rsidRPr="00821330" w:rsidRDefault="00A456B0" w:rsidP="00A456B0">
      <w:pPr>
        <w:rPr>
          <w:rFonts w:asciiTheme="minorHAnsi" w:hAnsiTheme="minorHAnsi" w:cstheme="minorHAnsi"/>
          <w:bCs/>
          <w:sz w:val="22"/>
          <w:szCs w:val="22"/>
        </w:rPr>
      </w:pPr>
    </w:p>
    <w:p w14:paraId="125123C9" w14:textId="77777777" w:rsidR="00A456B0" w:rsidRPr="00821330" w:rsidRDefault="00A456B0" w:rsidP="00A456B0">
      <w:pPr>
        <w:rPr>
          <w:rFonts w:asciiTheme="minorHAnsi" w:hAnsiTheme="minorHAnsi" w:cstheme="minorHAnsi"/>
          <w:sz w:val="22"/>
          <w:szCs w:val="22"/>
        </w:rPr>
      </w:pPr>
      <w:r w:rsidRPr="00821330">
        <w:rPr>
          <w:rFonts w:asciiTheme="minorHAnsi" w:hAnsiTheme="minorHAnsi" w:cstheme="minorHAnsi"/>
          <w:sz w:val="22"/>
          <w:szCs w:val="22"/>
        </w:rPr>
        <w:t xml:space="preserve">2019 m. gruodžio 5 d. nutartis administracinėje byloje Nr. </w:t>
      </w:r>
      <w:r w:rsidRPr="00821330">
        <w:rPr>
          <w:rFonts w:asciiTheme="minorHAnsi" w:hAnsiTheme="minorHAnsi" w:cstheme="minorHAnsi"/>
          <w:sz w:val="22"/>
          <w:szCs w:val="22"/>
          <w:lang w:eastAsia="en-US"/>
        </w:rPr>
        <w:t>eA-1106-525/2019</w:t>
      </w:r>
    </w:p>
    <w:p w14:paraId="4DD68C7E" w14:textId="77777777" w:rsidR="00A456B0" w:rsidRPr="00821330" w:rsidRDefault="00A456B0" w:rsidP="00A456B0">
      <w:pPr>
        <w:rPr>
          <w:rFonts w:asciiTheme="minorHAnsi" w:hAnsiTheme="minorHAnsi" w:cstheme="minorHAnsi"/>
          <w:sz w:val="22"/>
          <w:szCs w:val="22"/>
        </w:rPr>
      </w:pPr>
      <w:r w:rsidRPr="00821330">
        <w:rPr>
          <w:rFonts w:asciiTheme="minorHAnsi" w:hAnsiTheme="minorHAnsi" w:cstheme="minorHAnsi"/>
          <w:sz w:val="22"/>
          <w:szCs w:val="22"/>
        </w:rPr>
        <w:t xml:space="preserve">Teisminio proceso Nr. </w:t>
      </w:r>
      <w:r w:rsidRPr="00821330">
        <w:rPr>
          <w:rFonts w:asciiTheme="minorHAnsi" w:hAnsiTheme="minorHAnsi" w:cstheme="minorHAnsi"/>
          <w:bCs/>
          <w:sz w:val="22"/>
          <w:szCs w:val="22"/>
          <w:lang w:eastAsia="en-US"/>
        </w:rPr>
        <w:t>3-61-3-02159-2017-0</w:t>
      </w:r>
    </w:p>
    <w:p w14:paraId="3AD899A3" w14:textId="77777777" w:rsidR="00A456B0" w:rsidRPr="00821330" w:rsidRDefault="00A456B0" w:rsidP="00A456B0">
      <w:pPr>
        <w:rPr>
          <w:rFonts w:asciiTheme="minorHAnsi" w:hAnsiTheme="minorHAnsi" w:cstheme="minorHAnsi"/>
          <w:sz w:val="22"/>
          <w:szCs w:val="22"/>
          <w:lang w:eastAsia="en-US"/>
        </w:rPr>
      </w:pPr>
      <w:r w:rsidRPr="00821330">
        <w:rPr>
          <w:rFonts w:asciiTheme="minorHAnsi" w:hAnsiTheme="minorHAnsi" w:cstheme="minorHAnsi"/>
          <w:sz w:val="22"/>
          <w:szCs w:val="22"/>
        </w:rPr>
        <w:t xml:space="preserve">Procesinio sprendimo </w:t>
      </w:r>
      <w:r w:rsidRPr="00821330">
        <w:rPr>
          <w:rFonts w:asciiTheme="minorHAnsi" w:hAnsiTheme="minorHAnsi" w:cstheme="minorHAnsi"/>
          <w:sz w:val="22"/>
          <w:szCs w:val="22"/>
          <w:lang w:eastAsia="en-US"/>
        </w:rPr>
        <w:t>kategorija 14.15</w:t>
      </w:r>
    </w:p>
    <w:p w14:paraId="228AD038" w14:textId="77777777" w:rsidR="00A456B0" w:rsidRPr="00821330" w:rsidRDefault="00E956D9" w:rsidP="00A456B0">
      <w:pPr>
        <w:rPr>
          <w:rFonts w:asciiTheme="minorHAnsi" w:hAnsiTheme="minorHAnsi" w:cstheme="minorHAnsi"/>
          <w:sz w:val="22"/>
          <w:szCs w:val="22"/>
          <w:u w:val="single"/>
        </w:rPr>
      </w:pPr>
      <w:hyperlink r:id="rId28" w:history="1">
        <w:r w:rsidR="00A456B0" w:rsidRPr="00821330">
          <w:rPr>
            <w:rStyle w:val="Hipersaitas"/>
            <w:rFonts w:asciiTheme="minorHAnsi" w:hAnsiTheme="minorHAnsi" w:cstheme="minorHAnsi"/>
            <w:sz w:val="22"/>
            <w:szCs w:val="22"/>
          </w:rPr>
          <w:t>Prieiga internete</w:t>
        </w:r>
      </w:hyperlink>
    </w:p>
    <w:p w14:paraId="4262AB31" w14:textId="77777777" w:rsidR="00A456B0" w:rsidRPr="00821330" w:rsidRDefault="00A456B0" w:rsidP="00A456B0">
      <w:pPr>
        <w:rPr>
          <w:rFonts w:asciiTheme="minorHAnsi" w:hAnsiTheme="minorHAnsi" w:cstheme="minorHAnsi"/>
          <w:bCs/>
          <w:sz w:val="22"/>
          <w:szCs w:val="22"/>
        </w:rPr>
      </w:pPr>
    </w:p>
    <w:p w14:paraId="5BC17F28" w14:textId="77777777" w:rsidR="00A456B0" w:rsidRPr="00821330" w:rsidRDefault="00A456B0" w:rsidP="00A456B0">
      <w:pPr>
        <w:pStyle w:val="Antrat1"/>
        <w:rPr>
          <w:rFonts w:asciiTheme="minorHAnsi" w:hAnsiTheme="minorHAnsi" w:cstheme="minorHAnsi"/>
          <w:b w:val="0"/>
        </w:rPr>
      </w:pPr>
      <w:bookmarkStart w:id="57" w:name="_Toc32243592"/>
      <w:bookmarkStart w:id="58" w:name="_Hlk29653045"/>
      <w:r w:rsidRPr="00821330">
        <w:rPr>
          <w:rFonts w:asciiTheme="minorHAnsi" w:hAnsiTheme="minorHAnsi" w:cstheme="minorHAnsi"/>
        </w:rPr>
        <w:t>20. Civilinė atsakomybė už žalą, atsiradusią dėl valdžios institucijų neteisėtų veiksmų</w:t>
      </w:r>
      <w:bookmarkEnd w:id="57"/>
    </w:p>
    <w:p w14:paraId="5DC31839" w14:textId="77777777" w:rsidR="00A456B0" w:rsidRPr="00821330" w:rsidRDefault="00A456B0" w:rsidP="00A456B0">
      <w:pPr>
        <w:ind w:firstLine="567"/>
        <w:rPr>
          <w:rFonts w:asciiTheme="minorHAnsi" w:hAnsiTheme="minorHAnsi" w:cstheme="minorHAnsi"/>
          <w:b/>
          <w:bCs/>
          <w:sz w:val="22"/>
          <w:szCs w:val="22"/>
          <w:u w:val="single"/>
        </w:rPr>
      </w:pPr>
      <w:bookmarkStart w:id="59" w:name="_Hlk29653038"/>
      <w:bookmarkEnd w:id="58"/>
      <w:r w:rsidRPr="00821330">
        <w:rPr>
          <w:rFonts w:asciiTheme="minorHAnsi" w:hAnsiTheme="minorHAnsi" w:cstheme="minorHAnsi"/>
          <w:b/>
          <w:bCs/>
          <w:sz w:val="22"/>
          <w:szCs w:val="22"/>
          <w:u w:val="single"/>
        </w:rPr>
        <w:t>20.5. Kiti su civiline atsakomybe susiję klausimai</w:t>
      </w:r>
    </w:p>
    <w:p w14:paraId="208534E6" w14:textId="77777777" w:rsidR="00A456B0" w:rsidRPr="00821330" w:rsidRDefault="00A456B0" w:rsidP="00A456B0">
      <w:pPr>
        <w:ind w:left="1843" w:hanging="709"/>
        <w:jc w:val="both"/>
        <w:rPr>
          <w:rFonts w:asciiTheme="minorHAnsi" w:hAnsiTheme="minorHAnsi" w:cstheme="minorHAnsi"/>
          <w:b/>
          <w:bCs/>
          <w:sz w:val="22"/>
          <w:szCs w:val="22"/>
          <w:u w:val="single"/>
        </w:rPr>
      </w:pPr>
      <w:r w:rsidRPr="00821330">
        <w:rPr>
          <w:rFonts w:asciiTheme="minorHAnsi" w:hAnsiTheme="minorHAnsi" w:cstheme="minorHAnsi"/>
          <w:b/>
          <w:bCs/>
          <w:sz w:val="22"/>
          <w:szCs w:val="22"/>
          <w:u w:val="single"/>
        </w:rPr>
        <w:t>20.5.1. Laisvės atėmimo bausmę atliekančių asmenų skundų dėl žalos atlyginimo už netinkamas kalinimo sąlygas nagrinėjimas</w:t>
      </w:r>
    </w:p>
    <w:p w14:paraId="314B2E80" w14:textId="77777777" w:rsidR="00A456B0" w:rsidRPr="00821330" w:rsidRDefault="00A456B0" w:rsidP="00A456B0">
      <w:pPr>
        <w:ind w:firstLine="567"/>
        <w:jc w:val="both"/>
        <w:rPr>
          <w:rFonts w:asciiTheme="minorHAnsi" w:hAnsiTheme="minorHAnsi" w:cstheme="minorHAnsi"/>
          <w:bCs/>
          <w:sz w:val="22"/>
          <w:szCs w:val="22"/>
        </w:rPr>
      </w:pPr>
    </w:p>
    <w:p w14:paraId="2C43C143" w14:textId="77777777" w:rsidR="00A456B0" w:rsidRPr="00821330" w:rsidRDefault="00A456B0" w:rsidP="00F31DA2">
      <w:pPr>
        <w:pStyle w:val="Antrat2"/>
        <w:rPr>
          <w:bCs/>
          <w:iCs/>
        </w:rPr>
      </w:pPr>
      <w:bookmarkStart w:id="60" w:name="_Toc32243593"/>
      <w:bookmarkEnd w:id="59"/>
      <w:r w:rsidRPr="00821330">
        <w:t>Dėl privatumo naudojantis dušu pažeidimo trukmės skaičiavimo</w:t>
      </w:r>
      <w:bookmarkEnd w:id="60"/>
    </w:p>
    <w:p w14:paraId="3E59FC3C" w14:textId="77777777" w:rsidR="00A456B0" w:rsidRPr="00821330" w:rsidRDefault="00A456B0" w:rsidP="00A456B0">
      <w:pPr>
        <w:ind w:firstLine="567"/>
        <w:jc w:val="both"/>
        <w:rPr>
          <w:rFonts w:asciiTheme="minorHAnsi" w:hAnsiTheme="minorHAnsi" w:cstheme="minorHAnsi"/>
          <w:bCs/>
          <w:sz w:val="22"/>
          <w:szCs w:val="22"/>
        </w:rPr>
      </w:pPr>
    </w:p>
    <w:p w14:paraId="1D2E5BEC" w14:textId="77777777" w:rsidR="00A456B0" w:rsidRPr="00821330" w:rsidRDefault="00A456B0" w:rsidP="00A456B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Apžvelgiamoje byloje ginčas kilo dėl neturtinės žalos, kurią pareiškėjas kildino, be kita ko, iš to, kad jam atliekant laisvės atėmimo bausmę Vilniaus PN nebuvo užtikrintas privatumas naudojantis dušu.</w:t>
      </w:r>
    </w:p>
    <w:p w14:paraId="16892336" w14:textId="498DD5E3" w:rsidR="00A456B0" w:rsidRPr="00821330" w:rsidRDefault="00A456B0" w:rsidP="00A456B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Pirmosios instancijos teismas, įvertinęs atsakovo atstovo pateiktus duomenis apie dušų įrengimą, konstatavo, kad dušuose pertvarų nėra, vienu metu dušu naudojasi keli asmenys, taigi jie yra matomi kitiems asmenims, esantiems patalpoje. Teismas pripažino, kad ne visiškas dušo atskyrimas nuo likusios patalpos laikytinas pareiškėjo teisių pažeidimu, sukėlusiu jam neigiamus išgyvenimus, sietinus su atsakovo pareigos užtikrinti pareiškėjui teisę į privatumą nevykdymu, turėjusiu įtakos jo kalinimo sąlygų bloginimui. Todėl sprendė, kad pareiškėjo privatumas naudojantis dušu galėjo būti pažeistas visą jo kalinimo V</w:t>
      </w:r>
      <w:r w:rsidR="0033486B" w:rsidRPr="00821330">
        <w:rPr>
          <w:rFonts w:asciiTheme="minorHAnsi" w:hAnsiTheme="minorHAnsi" w:cstheme="minorHAnsi"/>
          <w:bCs/>
          <w:sz w:val="22"/>
          <w:szCs w:val="22"/>
        </w:rPr>
        <w:t>ilniaus PN ginčo laikotarpį, t. </w:t>
      </w:r>
      <w:r w:rsidRPr="00821330">
        <w:rPr>
          <w:rFonts w:asciiTheme="minorHAnsi" w:hAnsiTheme="minorHAnsi" w:cstheme="minorHAnsi"/>
          <w:bCs/>
          <w:sz w:val="22"/>
          <w:szCs w:val="22"/>
        </w:rPr>
        <w:t>y. 1</w:t>
      </w:r>
      <w:r w:rsidR="00854C71">
        <w:rPr>
          <w:rFonts w:asciiTheme="minorHAnsi" w:hAnsiTheme="minorHAnsi" w:cstheme="minorHAnsi"/>
          <w:bCs/>
          <w:sz w:val="22"/>
          <w:szCs w:val="22"/>
        </w:rPr>
        <w:t> </w:t>
      </w:r>
      <w:r w:rsidRPr="00821330">
        <w:rPr>
          <w:rFonts w:asciiTheme="minorHAnsi" w:hAnsiTheme="minorHAnsi" w:cstheme="minorHAnsi"/>
          <w:bCs/>
          <w:sz w:val="22"/>
          <w:szCs w:val="22"/>
        </w:rPr>
        <w:t>139 dienas.</w:t>
      </w:r>
    </w:p>
    <w:p w14:paraId="2618841E" w14:textId="77777777" w:rsidR="00A456B0" w:rsidRPr="00821330" w:rsidRDefault="00A456B0" w:rsidP="00A456B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Teisėjų kolegija nesutiko su pirmosios instancijos teismo nustatyta pareiškėjo privatumo naudojantis dušu pažeidimo trukme ir pažymėjo, kad pareiškėjui suteikiama teisė ne rečiau kaip kartą per savaitę iki 15 minučių praustis duše, todėl pirmosios instancijos teismas nepagrįstai skaičiavo pažeidimo laikotarpį už </w:t>
      </w:r>
      <w:r w:rsidRPr="00821330">
        <w:rPr>
          <w:rFonts w:asciiTheme="minorHAnsi" w:hAnsiTheme="minorHAnsi" w:cstheme="minorHAnsi"/>
          <w:bCs/>
          <w:sz w:val="22"/>
          <w:szCs w:val="22"/>
        </w:rPr>
        <w:lastRenderedPageBreak/>
        <w:t>kiekvieną dieną. Teisėjų kolegijos vertinimu, pareiškėjo privatumo teisė naudojantis dušu galėjo būti pažeista 162 dienas (kartus).</w:t>
      </w:r>
    </w:p>
    <w:p w14:paraId="159140E7" w14:textId="77777777" w:rsidR="00A456B0" w:rsidRPr="00821330" w:rsidRDefault="00A456B0" w:rsidP="00A456B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Atsižvelgiant į tai, atsakovo apeliacinis skundas buvo tenkintas iš dalies ir pirmosios instancijos teismo sprendimas pakeistas, iki 150 Eur sumažinant pareiškėjui priteisto neturtinės žalos atlyginimo dydį.</w:t>
      </w:r>
    </w:p>
    <w:p w14:paraId="007394C5" w14:textId="77777777" w:rsidR="00A456B0" w:rsidRPr="00821330" w:rsidRDefault="00A456B0" w:rsidP="00A456B0">
      <w:pPr>
        <w:ind w:firstLine="567"/>
        <w:jc w:val="both"/>
        <w:rPr>
          <w:rFonts w:asciiTheme="minorHAnsi" w:hAnsiTheme="minorHAnsi" w:cstheme="minorHAnsi"/>
          <w:bCs/>
          <w:sz w:val="22"/>
          <w:szCs w:val="22"/>
        </w:rPr>
      </w:pPr>
    </w:p>
    <w:p w14:paraId="6D1EFB8B" w14:textId="77777777" w:rsidR="00A456B0" w:rsidRPr="00821330" w:rsidRDefault="00A456B0" w:rsidP="00A456B0">
      <w:pPr>
        <w:rPr>
          <w:rFonts w:asciiTheme="minorHAnsi" w:hAnsiTheme="minorHAnsi" w:cstheme="minorHAnsi"/>
          <w:sz w:val="22"/>
          <w:szCs w:val="22"/>
        </w:rPr>
      </w:pPr>
      <w:r w:rsidRPr="00821330">
        <w:rPr>
          <w:rFonts w:asciiTheme="minorHAnsi" w:hAnsiTheme="minorHAnsi" w:cstheme="minorHAnsi"/>
          <w:sz w:val="22"/>
          <w:szCs w:val="22"/>
        </w:rPr>
        <w:t xml:space="preserve">2019 m. gruodžio 4 d. nutartis administracinėje byloje Nr. </w:t>
      </w:r>
      <w:r w:rsidRPr="00821330">
        <w:rPr>
          <w:rFonts w:asciiTheme="minorHAnsi" w:hAnsiTheme="minorHAnsi" w:cstheme="minorHAnsi"/>
          <w:sz w:val="22"/>
          <w:szCs w:val="22"/>
          <w:lang w:eastAsia="en-US"/>
        </w:rPr>
        <w:t>A-3067-662/2019</w:t>
      </w:r>
    </w:p>
    <w:p w14:paraId="58A4E341" w14:textId="77777777" w:rsidR="00A456B0" w:rsidRPr="00821330" w:rsidRDefault="00A456B0" w:rsidP="00A456B0">
      <w:pPr>
        <w:rPr>
          <w:rFonts w:asciiTheme="minorHAnsi" w:hAnsiTheme="minorHAnsi" w:cstheme="minorHAnsi"/>
          <w:sz w:val="22"/>
          <w:szCs w:val="22"/>
        </w:rPr>
      </w:pPr>
      <w:r w:rsidRPr="00821330">
        <w:rPr>
          <w:rFonts w:asciiTheme="minorHAnsi" w:hAnsiTheme="minorHAnsi" w:cstheme="minorHAnsi"/>
          <w:sz w:val="22"/>
          <w:szCs w:val="22"/>
        </w:rPr>
        <w:t xml:space="preserve">Teisminio proceso Nr. </w:t>
      </w:r>
      <w:r w:rsidRPr="00821330">
        <w:rPr>
          <w:rFonts w:asciiTheme="minorHAnsi" w:hAnsiTheme="minorHAnsi" w:cstheme="minorHAnsi"/>
          <w:bCs/>
          <w:sz w:val="22"/>
          <w:szCs w:val="22"/>
          <w:lang w:eastAsia="en-US"/>
        </w:rPr>
        <w:t>3-61-3-01454-2018-8</w:t>
      </w:r>
    </w:p>
    <w:p w14:paraId="48AF1F3C" w14:textId="77777777" w:rsidR="00A456B0" w:rsidRPr="00821330" w:rsidRDefault="00A456B0" w:rsidP="00A456B0">
      <w:pPr>
        <w:rPr>
          <w:rFonts w:asciiTheme="minorHAnsi" w:hAnsiTheme="minorHAnsi" w:cstheme="minorHAnsi"/>
          <w:sz w:val="22"/>
          <w:szCs w:val="22"/>
          <w:lang w:eastAsia="en-US"/>
        </w:rPr>
      </w:pPr>
      <w:r w:rsidRPr="00821330">
        <w:rPr>
          <w:rFonts w:asciiTheme="minorHAnsi" w:hAnsiTheme="minorHAnsi" w:cstheme="minorHAnsi"/>
          <w:sz w:val="22"/>
          <w:szCs w:val="22"/>
        </w:rPr>
        <w:t xml:space="preserve">Procesinio sprendimo </w:t>
      </w:r>
      <w:r w:rsidRPr="00821330">
        <w:rPr>
          <w:rFonts w:asciiTheme="minorHAnsi" w:hAnsiTheme="minorHAnsi" w:cstheme="minorHAnsi"/>
          <w:sz w:val="22"/>
          <w:szCs w:val="22"/>
          <w:lang w:eastAsia="en-US"/>
        </w:rPr>
        <w:t>kategorija 20.5.1</w:t>
      </w:r>
    </w:p>
    <w:p w14:paraId="014E2CD9" w14:textId="26B8E42A" w:rsidR="00A456B0" w:rsidRPr="00821330" w:rsidRDefault="00E956D9" w:rsidP="00A456B0">
      <w:pPr>
        <w:rPr>
          <w:rFonts w:asciiTheme="minorHAnsi" w:hAnsiTheme="minorHAnsi" w:cstheme="minorHAnsi"/>
          <w:sz w:val="22"/>
          <w:szCs w:val="22"/>
          <w:u w:val="single"/>
        </w:rPr>
      </w:pPr>
      <w:hyperlink r:id="rId29" w:history="1">
        <w:r w:rsidR="00A456B0" w:rsidRPr="00821330">
          <w:rPr>
            <w:rStyle w:val="Hipersaitas"/>
            <w:rFonts w:asciiTheme="minorHAnsi" w:hAnsiTheme="minorHAnsi" w:cstheme="minorHAnsi"/>
            <w:sz w:val="22"/>
            <w:szCs w:val="22"/>
          </w:rPr>
          <w:t>Prieiga internete</w:t>
        </w:r>
      </w:hyperlink>
      <w:r w:rsidR="00A456B0" w:rsidRPr="00821330">
        <w:rPr>
          <w:rFonts w:asciiTheme="minorHAnsi" w:hAnsiTheme="minorHAnsi" w:cstheme="minorHAnsi"/>
          <w:sz w:val="22"/>
          <w:szCs w:val="22"/>
          <w:highlight w:val="yellow"/>
        </w:rPr>
        <w:t xml:space="preserve"> </w:t>
      </w:r>
    </w:p>
    <w:p w14:paraId="2F1B3176" w14:textId="77777777" w:rsidR="00A456B0" w:rsidRPr="00821330" w:rsidRDefault="00A456B0" w:rsidP="00A456B0">
      <w:pPr>
        <w:ind w:firstLine="567"/>
        <w:jc w:val="both"/>
        <w:rPr>
          <w:rFonts w:asciiTheme="minorHAnsi" w:hAnsiTheme="minorHAnsi" w:cstheme="minorHAnsi"/>
          <w:bCs/>
          <w:sz w:val="22"/>
          <w:szCs w:val="22"/>
        </w:rPr>
      </w:pPr>
    </w:p>
    <w:p w14:paraId="2F7A7BFA" w14:textId="77777777" w:rsidR="00642D78" w:rsidRPr="00821330" w:rsidRDefault="00642D78" w:rsidP="00642D78">
      <w:pPr>
        <w:pStyle w:val="Antrat1"/>
        <w:rPr>
          <w:rFonts w:ascii="Calibri" w:hAnsi="Calibri"/>
        </w:rPr>
      </w:pPr>
      <w:bookmarkStart w:id="61" w:name="_Toc32243594"/>
      <w:bookmarkStart w:id="62" w:name="_Hlk32241265"/>
      <w:r w:rsidRPr="00821330">
        <w:rPr>
          <w:rFonts w:ascii="Calibri" w:hAnsi="Calibri"/>
        </w:rPr>
        <w:t>21. Valstybės tarnautojo statuso įgijimas, pasikeitimas, praradimas ir atsakomybė</w:t>
      </w:r>
      <w:bookmarkEnd w:id="61"/>
    </w:p>
    <w:p w14:paraId="08F2F001" w14:textId="77777777" w:rsidR="00642D78" w:rsidRPr="00821330" w:rsidRDefault="00642D78" w:rsidP="00642D78">
      <w:pPr>
        <w:ind w:firstLine="567"/>
        <w:jc w:val="both"/>
        <w:rPr>
          <w:rFonts w:ascii="Calibri" w:hAnsi="Calibri"/>
          <w:b/>
          <w:sz w:val="22"/>
          <w:szCs w:val="22"/>
          <w:u w:val="single"/>
        </w:rPr>
      </w:pPr>
      <w:r w:rsidRPr="00821330">
        <w:rPr>
          <w:rFonts w:ascii="Calibri" w:hAnsi="Calibri"/>
          <w:b/>
          <w:sz w:val="22"/>
          <w:szCs w:val="22"/>
          <w:u w:val="single"/>
        </w:rPr>
        <w:t>21.2. Tarnybinės nuobaudos</w:t>
      </w:r>
    </w:p>
    <w:p w14:paraId="6AEE0318"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3F6BF199" w14:textId="163ABC1F" w:rsidR="00642D78" w:rsidRPr="00821330" w:rsidRDefault="00642D78" w:rsidP="00F31DA2">
      <w:pPr>
        <w:pStyle w:val="Antrat2"/>
      </w:pPr>
      <w:bookmarkStart w:id="63" w:name="_Toc32243595"/>
      <w:bookmarkEnd w:id="62"/>
      <w:r w:rsidRPr="00821330">
        <w:t xml:space="preserve">Dėl </w:t>
      </w:r>
      <w:r w:rsidR="00F10F06">
        <w:t xml:space="preserve">tarnybos </w:t>
      </w:r>
      <w:r w:rsidRPr="00821330">
        <w:t>vadovo darbo vietos</w:t>
      </w:r>
      <w:bookmarkEnd w:id="63"/>
      <w:r w:rsidRPr="00821330">
        <w:t xml:space="preserve"> </w:t>
      </w:r>
    </w:p>
    <w:p w14:paraId="2B203DA5"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0EE9AC39" w14:textId="6348E95E" w:rsidR="00642D78" w:rsidRPr="00821330" w:rsidRDefault="00642D78" w:rsidP="00642D78">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Ginč</w:t>
      </w:r>
      <w:r w:rsidR="00E61F8E" w:rsidRPr="00821330">
        <w:rPr>
          <w:rFonts w:ascii="Calibri" w:hAnsi="Calibri" w:cs="Calibri"/>
          <w:sz w:val="22"/>
          <w:szCs w:val="22"/>
        </w:rPr>
        <w:t>as nagrinėtoje byloje kilo dėl t</w:t>
      </w:r>
      <w:r w:rsidRPr="00821330">
        <w:rPr>
          <w:rFonts w:ascii="Calibri" w:hAnsi="Calibri" w:cs="Calibri"/>
          <w:sz w:val="22"/>
          <w:szCs w:val="22"/>
        </w:rPr>
        <w:t xml:space="preserve">eisingumo ministro </w:t>
      </w:r>
      <w:r w:rsidR="00E6437E" w:rsidRPr="00821330">
        <w:rPr>
          <w:rFonts w:ascii="Calibri" w:hAnsi="Calibri" w:cs="Calibri"/>
          <w:sz w:val="22"/>
          <w:szCs w:val="22"/>
        </w:rPr>
        <w:t>į</w:t>
      </w:r>
      <w:r w:rsidRPr="00821330">
        <w:rPr>
          <w:rFonts w:ascii="Calibri" w:hAnsi="Calibri" w:cs="Calibri"/>
          <w:sz w:val="22"/>
          <w:szCs w:val="22"/>
        </w:rPr>
        <w:t xml:space="preserve">sakymo, kuriuo pareiškėjai, Valstybės garantuojamos teisinės pagalbos tarnybos (toliau – Tarnyba) direktorei, skirta tarnybinė nuobauda – papeikimas, teisėtumo ir pagrįstumo. Tarnybinė nuobauda pareiškėjai </w:t>
      </w:r>
      <w:r w:rsidRPr="00821330">
        <w:rPr>
          <w:rFonts w:ascii="Calibri" w:hAnsi="Calibri" w:cs="Calibri"/>
          <w:i/>
          <w:iCs/>
          <w:sz w:val="22"/>
          <w:szCs w:val="22"/>
        </w:rPr>
        <w:t>inter alia</w:t>
      </w:r>
      <w:r w:rsidRPr="00821330">
        <w:rPr>
          <w:rFonts w:ascii="Calibri" w:hAnsi="Calibri" w:cs="Calibri"/>
          <w:sz w:val="22"/>
          <w:szCs w:val="22"/>
        </w:rPr>
        <w:t xml:space="preserve"> skirta už tai, kad ji nebuvo savo darbo vietoje ir neužtikrino, kad kiti Tarnybos darbuotojai dirbtų jiems priskirtoje darbo vietoje. </w:t>
      </w:r>
      <w:bookmarkStart w:id="64" w:name="part_e997f9cdec694dedba4f830cc081dfab"/>
      <w:bookmarkEnd w:id="64"/>
      <w:r w:rsidRPr="00821330">
        <w:rPr>
          <w:rFonts w:ascii="Calibri" w:hAnsi="Calibri" w:cs="Calibri"/>
          <w:sz w:val="22"/>
          <w:szCs w:val="22"/>
        </w:rPr>
        <w:t xml:space="preserve">Pirmosios instancijos teismas konstatavo, kad: darbo sutartyje būtina nurodyti darbovietę ir darbo funkcijas, tačiau konkrečią darbo vietą (struktūrinį padalinį) reikia nurodyti tik šalių susitarimu; pareiškėja darbo funkcijas vykdė labai gerai, buvo nuolat skatinama, Tarnybos padaliniai išsidėstę visoje Lietuvos Respublikos teritorijoje, todėl išvada, kad pareiškėja pažeidė DK (iki 2017 m. liepos 1 d. galiojusi redakcija) 234 nuostatas, nes nedirbo savo darbo vietoje Vilniuje, nėra pakankamas pagrindas nusižengimui konstatuoti; nustatyti pareiškėjai pavaldžių darbuotojų darbo vietas yra jos, kaip Tarnybos direktorės, diskrecijos teisė. </w:t>
      </w:r>
      <w:bookmarkStart w:id="65" w:name="part_50672cd9bf82419799646bdac79b8b35"/>
      <w:bookmarkEnd w:id="65"/>
    </w:p>
    <w:p w14:paraId="3580D2E9"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bookmarkStart w:id="66" w:name="part_6bbdcb085ab24b8c88ba1b21b842e693"/>
      <w:bookmarkStart w:id="67" w:name="part_b997827cac1f40f885bc7806bb4bb35b"/>
      <w:bookmarkStart w:id="68" w:name="part_99c1e19008864355b20112b0913ed47b"/>
      <w:bookmarkEnd w:id="66"/>
      <w:bookmarkEnd w:id="67"/>
      <w:bookmarkEnd w:id="68"/>
      <w:r w:rsidRPr="00821330">
        <w:rPr>
          <w:rFonts w:ascii="Calibri" w:hAnsi="Calibri" w:cs="Calibri"/>
          <w:sz w:val="22"/>
          <w:szCs w:val="22"/>
        </w:rPr>
        <w:t xml:space="preserve">LVAT teisėjų kolegija, patikrinusi bylą teisės taikymo ir įrodymų vertinimo aspektu, iš esmės sutiko su pirmosios instancijos teismo padarytomis išvadomis. </w:t>
      </w:r>
      <w:bookmarkStart w:id="69" w:name="part_b2b1bac935aa43eabd3ef81c80ea4ff1"/>
      <w:bookmarkEnd w:id="69"/>
    </w:p>
    <w:p w14:paraId="2A280412"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 xml:space="preserve">Atsakovo nuomone, Tarnybos direktorės darbo vieta turi būti ten, kur yra centrinė Tarnybos buveinė, todėl aplinkybė, kad pareiškėja darbo vietą buvo įsirengusi Tarnybos Kauno teritoriniame skyriuje, laikytina DK 234 straipsnio, kuriame nustatyta, kad darbo drausmės pažeidimas yra darbo pareigų nevykdymas arba netinkamas jų vykdymas dėl darbuotojo kaltės, pažeidimu. Ministerijos teigimu, skiriant pareiškėją į pareigas jos darbo vieta atskirai nebuvo nustatyta dėl to, kad įstaigos vadovo darbas ir taip yra susijęs su įstaigos buveine. LVAT teisėjų kolegija su šiais atsakovo argumentais nesutiko. </w:t>
      </w:r>
    </w:p>
    <w:p w14:paraId="5C30EEB2" w14:textId="58C8D7EF" w:rsidR="00642D78" w:rsidRPr="00821330" w:rsidRDefault="00642D78" w:rsidP="00642D78">
      <w:pPr>
        <w:shd w:val="clear" w:color="auto" w:fill="FFFFFF"/>
        <w:tabs>
          <w:tab w:val="left" w:pos="3119"/>
        </w:tabs>
        <w:ind w:right="-1" w:firstLine="567"/>
        <w:jc w:val="both"/>
        <w:rPr>
          <w:rFonts w:ascii="Calibri" w:hAnsi="Calibri" w:cs="Calibri"/>
          <w:sz w:val="22"/>
          <w:szCs w:val="22"/>
        </w:rPr>
      </w:pPr>
      <w:bookmarkStart w:id="70" w:name="part_3e83fd7a010546f5aefddd999e1e39dc"/>
      <w:bookmarkEnd w:id="70"/>
      <w:r w:rsidRPr="00821330">
        <w:rPr>
          <w:rFonts w:ascii="Calibri" w:hAnsi="Calibri" w:cs="Calibri"/>
          <w:sz w:val="22"/>
          <w:szCs w:val="22"/>
        </w:rPr>
        <w:t>LVAT, įvertinęs Valstybės garantuojam</w:t>
      </w:r>
      <w:r w:rsidR="00E61F8E" w:rsidRPr="00821330">
        <w:rPr>
          <w:rFonts w:ascii="Calibri" w:hAnsi="Calibri" w:cs="Calibri"/>
          <w:sz w:val="22"/>
          <w:szCs w:val="22"/>
        </w:rPr>
        <w:t>os teisinės pagalbos įstatymo, t</w:t>
      </w:r>
      <w:r w:rsidRPr="00821330">
        <w:rPr>
          <w:rFonts w:ascii="Calibri" w:hAnsi="Calibri" w:cs="Calibri"/>
          <w:sz w:val="22"/>
          <w:szCs w:val="22"/>
        </w:rPr>
        <w:t xml:space="preserve">eisingumo ministro 2015 m. birželio 12 d. įsakymu Nr. 1R-147 patvirtinto Valstybės garantuojamos teisinės pagalbos tarnybų reorganizavimo sąlygų aprašo, įsakymu Nr. 1R-148 patvirtintų Valstybės garantuojamos teisinės pagalbos tarnybos nuostatų normas ir įsakymu Nr. 1R-149 nustatytas Tarnybos teritorinių administracijos padalinių veiklos teritorijas, konstatavo, jog </w:t>
      </w:r>
      <w:r w:rsidRPr="00821330">
        <w:rPr>
          <w:rFonts w:ascii="Calibri" w:hAnsi="Calibri" w:cs="Calibri"/>
          <w:sz w:val="22"/>
          <w:szCs w:val="22"/>
          <w:u w:val="single"/>
        </w:rPr>
        <w:t>teisės aktuose nustatyta tik Tarnybos buveinė, o Tarnybos direktoriaus darbo vieta nei reorganizuojant buvusias teritorines valstybės garantuojamos teisės pagalbos tarnybas, nei tvirtinant naują Tarnybos struktūrą nebuvo nustatyta</w:t>
      </w:r>
      <w:r w:rsidRPr="00821330">
        <w:rPr>
          <w:rFonts w:ascii="Calibri" w:hAnsi="Calibri" w:cs="Calibri"/>
          <w:sz w:val="22"/>
          <w:szCs w:val="22"/>
        </w:rPr>
        <w:t xml:space="preserve">. LVAT pažymėjo, jog Tarnybos direktoriaus darbo vieta nenustatyta ir Tarnybos direktoriaus pareigybės aprašyme. Būtent </w:t>
      </w:r>
      <w:r w:rsidR="00E61F8E" w:rsidRPr="00986BD2">
        <w:rPr>
          <w:rFonts w:ascii="Calibri" w:hAnsi="Calibri" w:cs="Calibri"/>
          <w:sz w:val="22"/>
          <w:szCs w:val="22"/>
          <w:u w:val="single"/>
        </w:rPr>
        <w:t>t</w:t>
      </w:r>
      <w:r w:rsidRPr="00821330">
        <w:rPr>
          <w:rFonts w:ascii="Calibri" w:hAnsi="Calibri" w:cs="Calibri"/>
          <w:sz w:val="22"/>
          <w:szCs w:val="22"/>
          <w:u w:val="single"/>
        </w:rPr>
        <w:t>eisingumo ministrui teisės aktais yra nustatyta diskrecija ne tik nustatyti bei keisti Tarnybos buveinės adresą, bet ir tvirtinti konkrečią šios įstaigos struktūrą, taigi ir nustatyti (jei reikia) konkrečią Tarnybos direktoriaus darbo funkcijų atlikimo vietą</w:t>
      </w:r>
      <w:r w:rsidRPr="00821330">
        <w:rPr>
          <w:rFonts w:ascii="Calibri" w:hAnsi="Calibri" w:cs="Calibri"/>
          <w:sz w:val="22"/>
          <w:szCs w:val="22"/>
        </w:rPr>
        <w:t xml:space="preserve">. Ministerija neginčijo aplinkybės, jog konkreti pareiškėjos darbo vieta atskirai nebuvo aptarta ir nustatyta, o </w:t>
      </w:r>
      <w:r w:rsidRPr="00821330">
        <w:rPr>
          <w:rFonts w:ascii="Calibri" w:hAnsi="Calibri" w:cs="Calibri"/>
          <w:sz w:val="22"/>
          <w:szCs w:val="22"/>
          <w:u w:val="single"/>
        </w:rPr>
        <w:t>Tarnybos nuostatų norma, kurioje nurodytas įstaigos buveinės adresas, teisėjų kolegijos vertinimu, negali būti aiškinama ir kaip nustatanti konkrečią bei vienintelę pareiškėjos darbo vietą</w:t>
      </w:r>
      <w:r w:rsidRPr="00821330">
        <w:rPr>
          <w:rFonts w:ascii="Calibri" w:hAnsi="Calibri" w:cs="Calibri"/>
          <w:sz w:val="22"/>
          <w:szCs w:val="22"/>
        </w:rPr>
        <w:t xml:space="preserve">. Vien ta aplinkybė, kad atlikto patikrinimo metu pareiškėja buvo Tarnybos Kauno skyriuje, o ne centrinėje buveinėje įrengtoje darbo vietoje, savaime nereiškia, kad Tarnybos buveinėje Vilniuje, pareiškėja neatlieka jokių darbo funkcijų. </w:t>
      </w:r>
    </w:p>
    <w:p w14:paraId="5C41F96E"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bookmarkStart w:id="71" w:name="part_1835c407c0fc47019770388725cbddf0"/>
      <w:bookmarkStart w:id="72" w:name="part_1e9890cf4959455d861894d516ec243c"/>
      <w:bookmarkEnd w:id="71"/>
      <w:bookmarkEnd w:id="72"/>
      <w:r w:rsidRPr="00821330">
        <w:rPr>
          <w:rFonts w:ascii="Calibri" w:hAnsi="Calibri" w:cs="Calibri"/>
          <w:sz w:val="22"/>
          <w:szCs w:val="22"/>
        </w:rPr>
        <w:t xml:space="preserve">Atsakydama į Ministerijos apeliacinio skundo argumentus, jog pareiškėja tinkamai neįformino sprendimų dėl darbuotojų darbo vietos nustatymo, tuo neužtikrindama, kad darbuotojams būtų sudarytos sąlygos laikytis darbo drausmės ir vidaus tvarkos taisyklių, bei pažeisdama DK 228 straipsnio nuostatas, teisėjų kolegija pažymėjo, kad byloje pateikti Tarnybos direktorės įsakymai, kuriais Tarnybos Kauno skyriaus darbuotojai laikinai perkelti į Tarnybos Panevėžio ir Šiaulių skyrių vedėjų pareigas, jų darbo vietą nustatant Tarnybos Kauno teritorinio padalinio patalpose. Taigi sprendimai dėl minėtų asmenų darbo vietos buvo įforminti. Įvertinusi </w:t>
      </w:r>
      <w:r w:rsidRPr="00821330">
        <w:rPr>
          <w:rFonts w:ascii="Calibri" w:hAnsi="Calibri" w:cs="Calibri"/>
          <w:sz w:val="22"/>
          <w:szCs w:val="22"/>
        </w:rPr>
        <w:lastRenderedPageBreak/>
        <w:t xml:space="preserve">teisinį reglamentavimą bei byloje nustatytas aplinkybes, teisėjų kolegija neturėjo pagrindo pirmosios instancijos teismo išvadą, kad Tarnybos direktoriui suteikta diskrecija nustatyti jam pavaldžių darbuotojų darbo vietas, laikyti nepagrįsta ir ją keisti ar naikinti. </w:t>
      </w:r>
    </w:p>
    <w:p w14:paraId="6A0AD7D6"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bookmarkStart w:id="73" w:name="part_421fc89bcda640f28b113b27e5bb148b"/>
      <w:bookmarkStart w:id="74" w:name="part_f253a7c5141841a6ac9d6f0ce75d2612"/>
      <w:bookmarkEnd w:id="73"/>
      <w:bookmarkEnd w:id="74"/>
      <w:r w:rsidRPr="00821330">
        <w:rPr>
          <w:rFonts w:ascii="Calibri" w:hAnsi="Calibri" w:cs="Calibri"/>
          <w:sz w:val="22"/>
          <w:szCs w:val="22"/>
        </w:rPr>
        <w:t>LVAT nutartimi pirmosios instancijos teismo sprendimas paliktas nepakeistas, o atsakovo apeliacinis skundas atmestas.</w:t>
      </w:r>
    </w:p>
    <w:p w14:paraId="3D0715A4"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53D619CE"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2019 m. gruodžio 4 d. nutartis administracinėje byloje Nr. A-1568-552/2019</w:t>
      </w:r>
    </w:p>
    <w:p w14:paraId="57A8DCE2"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Teisminio proceso Nr. 3-61-3-02818-2017-2</w:t>
      </w:r>
    </w:p>
    <w:p w14:paraId="042EBD45"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 xml:space="preserve">Procesinio sprendimo kategorija 21.2 </w:t>
      </w:r>
    </w:p>
    <w:p w14:paraId="101FBA84" w14:textId="77777777" w:rsidR="00642D78" w:rsidRPr="00821330" w:rsidRDefault="00E956D9" w:rsidP="00642D78">
      <w:pPr>
        <w:jc w:val="both"/>
        <w:rPr>
          <w:rFonts w:ascii="Calibri" w:eastAsia="Calibri" w:hAnsi="Calibri"/>
          <w:bCs/>
          <w:sz w:val="22"/>
          <w:szCs w:val="22"/>
          <w:lang w:eastAsia="en-US"/>
        </w:rPr>
      </w:pPr>
      <w:hyperlink r:id="rId30" w:history="1">
        <w:r w:rsidR="00642D78" w:rsidRPr="00821330">
          <w:rPr>
            <w:rFonts w:ascii="Calibri" w:eastAsia="Calibri" w:hAnsi="Calibri"/>
            <w:bCs/>
            <w:color w:val="0000FF"/>
            <w:sz w:val="22"/>
            <w:szCs w:val="22"/>
            <w:u w:val="single"/>
            <w:lang w:eastAsia="en-US"/>
          </w:rPr>
          <w:t>Prieiga internete</w:t>
        </w:r>
      </w:hyperlink>
      <w:r w:rsidR="00642D78" w:rsidRPr="00821330">
        <w:rPr>
          <w:rFonts w:ascii="Calibri" w:eastAsia="Calibri" w:hAnsi="Calibri"/>
          <w:bCs/>
          <w:sz w:val="22"/>
          <w:szCs w:val="22"/>
          <w:lang w:eastAsia="en-US"/>
        </w:rPr>
        <w:t xml:space="preserve"> </w:t>
      </w:r>
    </w:p>
    <w:p w14:paraId="1454C547" w14:textId="77777777" w:rsidR="00642D78" w:rsidRPr="00821330" w:rsidRDefault="00642D78" w:rsidP="007E7F95">
      <w:pPr>
        <w:tabs>
          <w:tab w:val="left" w:pos="567"/>
        </w:tabs>
        <w:rPr>
          <w:rFonts w:asciiTheme="minorHAnsi" w:hAnsiTheme="minorHAnsi" w:cstheme="minorHAnsi"/>
          <w:sz w:val="22"/>
          <w:szCs w:val="22"/>
        </w:rPr>
      </w:pPr>
    </w:p>
    <w:p w14:paraId="5FE0232F" w14:textId="77777777" w:rsidR="00642D78" w:rsidRPr="00821330" w:rsidRDefault="00642D78" w:rsidP="00642D78">
      <w:pPr>
        <w:ind w:firstLine="567"/>
        <w:jc w:val="both"/>
        <w:rPr>
          <w:rFonts w:ascii="Calibri" w:hAnsi="Calibri"/>
          <w:b/>
          <w:sz w:val="22"/>
          <w:szCs w:val="22"/>
          <w:u w:val="single"/>
        </w:rPr>
      </w:pPr>
      <w:r w:rsidRPr="00821330">
        <w:rPr>
          <w:rFonts w:ascii="Calibri" w:hAnsi="Calibri"/>
          <w:b/>
          <w:sz w:val="22"/>
          <w:szCs w:val="22"/>
          <w:u w:val="single"/>
        </w:rPr>
        <w:t>21.3. Valstybės tarnautojų atleidimas iš pareigų</w:t>
      </w:r>
    </w:p>
    <w:p w14:paraId="34B2AC53" w14:textId="77777777" w:rsidR="00642D78" w:rsidRPr="00821330" w:rsidRDefault="00642D78" w:rsidP="00642D78">
      <w:pPr>
        <w:ind w:firstLine="1134"/>
        <w:jc w:val="both"/>
        <w:rPr>
          <w:rFonts w:ascii="Calibri" w:hAnsi="Calibri"/>
          <w:b/>
          <w:sz w:val="22"/>
          <w:szCs w:val="22"/>
          <w:u w:val="single"/>
        </w:rPr>
      </w:pPr>
      <w:r w:rsidRPr="00821330">
        <w:rPr>
          <w:rFonts w:ascii="Calibri" w:hAnsi="Calibri"/>
          <w:b/>
          <w:sz w:val="22"/>
          <w:szCs w:val="22"/>
          <w:u w:val="single"/>
        </w:rPr>
        <w:t>21.3.2. Atleidimas, pritaikius tarnybinę atsakomybę</w:t>
      </w:r>
    </w:p>
    <w:p w14:paraId="4589B55B"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339FB394" w14:textId="5E456BBC" w:rsidR="00642D78" w:rsidRPr="000B16C8" w:rsidRDefault="000B16C8" w:rsidP="000B16C8">
      <w:pPr>
        <w:pStyle w:val="Antrat2"/>
      </w:pPr>
      <w:bookmarkStart w:id="75" w:name="_Toc32243596"/>
      <w:r w:rsidRPr="000B16C8">
        <w:t>Dėl tarnybinės nuobaudos įforminimo</w:t>
      </w:r>
      <w:bookmarkEnd w:id="75"/>
    </w:p>
    <w:p w14:paraId="26FA69A3" w14:textId="77777777" w:rsidR="000B16C8" w:rsidRDefault="000B16C8" w:rsidP="00642D78">
      <w:pPr>
        <w:shd w:val="clear" w:color="auto" w:fill="FFFFFF"/>
        <w:tabs>
          <w:tab w:val="left" w:pos="3119"/>
        </w:tabs>
        <w:ind w:right="-1" w:firstLine="567"/>
        <w:jc w:val="both"/>
        <w:rPr>
          <w:rFonts w:ascii="Calibri" w:hAnsi="Calibri" w:cs="Calibri"/>
          <w:sz w:val="22"/>
          <w:szCs w:val="22"/>
        </w:rPr>
      </w:pPr>
    </w:p>
    <w:p w14:paraId="10B8FC8D" w14:textId="38AEDA53" w:rsidR="00642D78" w:rsidRPr="00821330" w:rsidRDefault="00642D78" w:rsidP="00642D78">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 xml:space="preserve">Nagrinėtoje byloje ginčas kilo dėl </w:t>
      </w:r>
      <w:r w:rsidR="00E61F8E" w:rsidRPr="00821330">
        <w:rPr>
          <w:rFonts w:ascii="Calibri" w:hAnsi="Calibri" w:cs="Calibri"/>
          <w:sz w:val="22"/>
          <w:szCs w:val="22"/>
        </w:rPr>
        <w:t>į</w:t>
      </w:r>
      <w:r w:rsidRPr="00821330">
        <w:rPr>
          <w:rFonts w:ascii="Calibri" w:hAnsi="Calibri" w:cs="Calibri"/>
          <w:sz w:val="22"/>
          <w:szCs w:val="22"/>
        </w:rPr>
        <w:t xml:space="preserve">sakymo, kuriuo pareiškėjas atleistas pareigų (už vairavimą esant neblaiviam ir tuo diskreditavus pareigūno vardą), teisėtumo ir pagrįstumo. Pareiškėjas apeliaciniame skunde tvirtino, kad </w:t>
      </w:r>
      <w:r w:rsidR="00E61F8E" w:rsidRPr="00821330">
        <w:rPr>
          <w:rFonts w:ascii="Calibri" w:hAnsi="Calibri" w:cs="Calibri"/>
          <w:sz w:val="22"/>
          <w:szCs w:val="22"/>
        </w:rPr>
        <w:t>į</w:t>
      </w:r>
      <w:r w:rsidRPr="00821330">
        <w:rPr>
          <w:rFonts w:ascii="Calibri" w:hAnsi="Calibri" w:cs="Calibri"/>
          <w:sz w:val="22"/>
          <w:szCs w:val="22"/>
        </w:rPr>
        <w:t>sakymas priimtas nesant teisinio pagrindo, t. y. nepaskyrus tarnybinės nuobaudos, pažeidžiant tarnybinių nuobaudų skyrimo procedūrą.</w:t>
      </w:r>
    </w:p>
    <w:p w14:paraId="23BD6126" w14:textId="7A28135E" w:rsidR="00642D78" w:rsidRPr="00821330" w:rsidRDefault="00642D78" w:rsidP="00642D78">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Bylą nagrinėjusi teisėjų kolegija pažymėjo, jog tarnybinio patikrinimo išvadoje, kuri buvo s</w:t>
      </w:r>
      <w:r w:rsidR="00E61F8E" w:rsidRPr="00821330">
        <w:rPr>
          <w:rFonts w:ascii="Calibri" w:hAnsi="Calibri" w:cs="Calibri"/>
          <w:sz w:val="22"/>
          <w:szCs w:val="22"/>
        </w:rPr>
        <w:t>udėtinė į</w:t>
      </w:r>
      <w:r w:rsidRPr="00821330">
        <w:rPr>
          <w:rFonts w:ascii="Calibri" w:hAnsi="Calibri" w:cs="Calibri"/>
          <w:sz w:val="22"/>
          <w:szCs w:val="22"/>
        </w:rPr>
        <w:t>sakymo dalis, nustatyta, jog pareiškėjas padarė tarnybinį nusižengimą, už kurį Valstybės tarnybos įstatymo nustatyta tvarka jis gali būti atleistas iš valstybės tarnybos. Teisėjų kolegijos vertinimu, į</w:t>
      </w:r>
      <w:r w:rsidRPr="00821330">
        <w:rPr>
          <w:rFonts w:ascii="Calibri" w:hAnsi="Calibri" w:cs="Calibri"/>
          <w:sz w:val="22"/>
          <w:szCs w:val="22"/>
          <w:u w:val="single"/>
        </w:rPr>
        <w:t>statymų leidėjas nėra įtvirtinęs privalomo reikalavimo tarnybinės nuobaudos paskyrimą įforminti atskiru teisės aktu, kai taikoma tarnybinė nuobauda – atleidimas iš pareigų</w:t>
      </w:r>
      <w:r w:rsidRPr="00821330">
        <w:rPr>
          <w:rFonts w:ascii="Calibri" w:hAnsi="Calibri" w:cs="Calibri"/>
          <w:sz w:val="22"/>
          <w:szCs w:val="22"/>
        </w:rPr>
        <w:t>. Valstybės tarnybos įstatymo 33 straipsnio 3 dalis apibrėžia tik tarnybinių nuobaudų rūšis, o to paties įstatymo 51 straipsnis yra teisės norma, kuri įtvirtina valstybės tarnautojų at</w:t>
      </w:r>
      <w:r w:rsidR="00E61F8E" w:rsidRPr="00821330">
        <w:rPr>
          <w:rFonts w:ascii="Calibri" w:hAnsi="Calibri" w:cs="Calibri"/>
          <w:sz w:val="22"/>
          <w:szCs w:val="22"/>
        </w:rPr>
        <w:t>leidimo iš pareigų pagrindus ir</w:t>
      </w:r>
      <w:r w:rsidRPr="00821330">
        <w:rPr>
          <w:rFonts w:ascii="Calibri" w:hAnsi="Calibri" w:cs="Calibri"/>
          <w:sz w:val="22"/>
          <w:szCs w:val="22"/>
        </w:rPr>
        <w:t xml:space="preserve"> kuria remiantis valstybės tarnautoją į pareigas priimantis asmuo priima sprendimus. Atsižvelgiant į tai, ka</w:t>
      </w:r>
      <w:r w:rsidR="00E82187">
        <w:rPr>
          <w:rFonts w:ascii="Calibri" w:hAnsi="Calibri" w:cs="Calibri"/>
          <w:sz w:val="22"/>
          <w:szCs w:val="22"/>
        </w:rPr>
        <w:t>s</w:t>
      </w:r>
      <w:r w:rsidRPr="00821330">
        <w:rPr>
          <w:rFonts w:ascii="Calibri" w:hAnsi="Calibri" w:cs="Calibri"/>
          <w:sz w:val="22"/>
          <w:szCs w:val="22"/>
        </w:rPr>
        <w:t xml:space="preserve"> išdėstyta, spręsta, kad </w:t>
      </w:r>
      <w:r w:rsidRPr="00821330">
        <w:rPr>
          <w:rFonts w:ascii="Calibri" w:hAnsi="Calibri" w:cs="Calibri"/>
          <w:sz w:val="22"/>
          <w:szCs w:val="22"/>
          <w:u w:val="single"/>
        </w:rPr>
        <w:t xml:space="preserve">juridinės technikos prasme nėra būtinas dviejų teisės aktų priėmimas, todėl pareiškėjo padaryto tarnybinio nusižengimo </w:t>
      </w:r>
      <w:r w:rsidR="00E61F8E" w:rsidRPr="00821330">
        <w:rPr>
          <w:rFonts w:ascii="Calibri" w:hAnsi="Calibri" w:cs="Calibri"/>
          <w:sz w:val="22"/>
          <w:szCs w:val="22"/>
          <w:u w:val="single"/>
        </w:rPr>
        <w:t>į</w:t>
      </w:r>
      <w:r w:rsidRPr="00821330">
        <w:rPr>
          <w:rFonts w:ascii="Calibri" w:hAnsi="Calibri" w:cs="Calibri"/>
          <w:sz w:val="22"/>
          <w:szCs w:val="22"/>
          <w:u w:val="single"/>
        </w:rPr>
        <w:t>sakyme kvalifikavimas vien pagal Valstybės tarnybos įstatymo 51 straipsnį buvo visiškai teisiškai pagrįstas</w:t>
      </w:r>
      <w:r w:rsidRPr="00821330">
        <w:rPr>
          <w:rFonts w:ascii="Calibri" w:hAnsi="Calibri" w:cs="Calibri"/>
          <w:sz w:val="22"/>
          <w:szCs w:val="22"/>
        </w:rPr>
        <w:t>.</w:t>
      </w:r>
    </w:p>
    <w:p w14:paraId="3344C3ED" w14:textId="627078BF" w:rsidR="00642D78" w:rsidRPr="00821330" w:rsidRDefault="00642D78" w:rsidP="00642D78">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 xml:space="preserve">Pareiškėjas nurodė, kad atsižvelgiant į </w:t>
      </w:r>
      <w:r w:rsidR="00E61F8E" w:rsidRPr="00821330">
        <w:rPr>
          <w:rFonts w:ascii="Calibri" w:hAnsi="Calibri" w:cs="Calibri"/>
          <w:sz w:val="22"/>
          <w:szCs w:val="22"/>
        </w:rPr>
        <w:t>p</w:t>
      </w:r>
      <w:r w:rsidRPr="00821330">
        <w:rPr>
          <w:rFonts w:ascii="Calibri" w:hAnsi="Calibri" w:cs="Calibri"/>
          <w:sz w:val="22"/>
          <w:szCs w:val="22"/>
        </w:rPr>
        <w:t>ranešimo turinį, tarnybinio nus</w:t>
      </w:r>
      <w:r w:rsidR="00E61F8E" w:rsidRPr="00821330">
        <w:rPr>
          <w:rFonts w:ascii="Calibri" w:hAnsi="Calibri" w:cs="Calibri"/>
          <w:sz w:val="22"/>
          <w:szCs w:val="22"/>
        </w:rPr>
        <w:t>ižengimo tyrimą turėjo atlikti k</w:t>
      </w:r>
      <w:r w:rsidRPr="00821330">
        <w:rPr>
          <w:rFonts w:ascii="Calibri" w:hAnsi="Calibri" w:cs="Calibri"/>
          <w:sz w:val="22"/>
          <w:szCs w:val="22"/>
        </w:rPr>
        <w:t xml:space="preserve">omisija. Teisėjų kolegijos vertinimu, </w:t>
      </w:r>
      <w:r w:rsidRPr="00821330">
        <w:rPr>
          <w:rFonts w:ascii="Calibri" w:eastAsia="Calibri" w:hAnsi="Calibri"/>
          <w:sz w:val="22"/>
          <w:szCs w:val="22"/>
          <w:lang w:eastAsia="en-US"/>
        </w:rPr>
        <w:t>Tarnybinių nuobaudų skyrimo valstybės tarnautojams skyrimo aprašo, patvirtinto Lietuvos Respublikos Vyriausybės 2002 m. birželio 25 d. nutarimu Nr. 977</w:t>
      </w:r>
      <w:r w:rsidR="00E82187">
        <w:rPr>
          <w:rFonts w:ascii="Calibri" w:eastAsia="Calibri" w:hAnsi="Calibri"/>
          <w:sz w:val="22"/>
          <w:szCs w:val="22"/>
          <w:lang w:eastAsia="en-US"/>
        </w:rPr>
        <w:t>,</w:t>
      </w:r>
      <w:r w:rsidRPr="00821330">
        <w:rPr>
          <w:rFonts w:ascii="Calibri" w:eastAsia="Calibri" w:hAnsi="Calibri"/>
          <w:sz w:val="22"/>
          <w:szCs w:val="22"/>
          <w:lang w:eastAsia="en-US"/>
        </w:rPr>
        <w:t xml:space="preserve"> (toliau – Aprašas)</w:t>
      </w:r>
      <w:r w:rsidRPr="00821330">
        <w:rPr>
          <w:rFonts w:ascii="Calibri" w:hAnsi="Calibri" w:cs="Calibri"/>
          <w:sz w:val="22"/>
          <w:szCs w:val="22"/>
        </w:rPr>
        <w:t xml:space="preserve"> 4 ir </w:t>
      </w:r>
      <w:r w:rsidR="00E61F8E" w:rsidRPr="00821330">
        <w:rPr>
          <w:rFonts w:ascii="Calibri" w:hAnsi="Calibri" w:cs="Calibri"/>
          <w:sz w:val="22"/>
          <w:szCs w:val="22"/>
        </w:rPr>
        <w:t>5 </w:t>
      </w:r>
      <w:r w:rsidRPr="00821330">
        <w:rPr>
          <w:rFonts w:ascii="Calibri" w:hAnsi="Calibri" w:cs="Calibri"/>
          <w:sz w:val="22"/>
          <w:szCs w:val="22"/>
        </w:rPr>
        <w:t xml:space="preserve">punktų sisteminė analizė leidžia teigti, kad </w:t>
      </w:r>
      <w:r w:rsidRPr="00821330">
        <w:rPr>
          <w:rFonts w:ascii="Calibri" w:hAnsi="Calibri" w:cs="Calibri"/>
          <w:sz w:val="22"/>
          <w:szCs w:val="22"/>
          <w:u w:val="single"/>
        </w:rPr>
        <w:t>tarnybinio nusižengimo tyrimo komisijos sudarymas, jos personalinė sudėtis yra valstybės tarnautoją į pareigas priimančio asmens teisė, o ne pareiga ir tik esant pagrindui manyti, kad valstybės tarnautojas padarė tarnybinį nusižengimą, už kurį gali būti paskirta tarnybinė nuobauda – atleidimas iš valstybės tarnautojo pareigų, komisiją sudaryti būtina</w:t>
      </w:r>
      <w:r w:rsidRPr="00821330">
        <w:rPr>
          <w:rFonts w:ascii="Calibri" w:hAnsi="Calibri" w:cs="Calibri"/>
          <w:sz w:val="22"/>
          <w:szCs w:val="22"/>
        </w:rPr>
        <w:t xml:space="preserve">. Teisėjų kolegija konstatavo, jog </w:t>
      </w:r>
      <w:r w:rsidR="00E61F8E" w:rsidRPr="00821330">
        <w:rPr>
          <w:rFonts w:ascii="Calibri" w:hAnsi="Calibri" w:cs="Calibri"/>
          <w:sz w:val="22"/>
          <w:szCs w:val="22"/>
        </w:rPr>
        <w:t>p</w:t>
      </w:r>
      <w:r w:rsidRPr="00821330">
        <w:rPr>
          <w:rFonts w:ascii="Calibri" w:hAnsi="Calibri" w:cs="Calibri"/>
          <w:sz w:val="22"/>
          <w:szCs w:val="22"/>
        </w:rPr>
        <w:t>ranešimo turinys savaime nesuteikė pagrindo daryti vienareikšmišką išvadą, kad pareiškėjui bus taikoma tarnybinė nuobauda – atleidimas iš pareigų, taigi atsakovas turėjo teisę tarnybinio nusižengimo tyrimą iš pradžių pavesti vienam asmeniui. Atsakovas, atsižvelgdamas į įsiteisėjusią Vilniaus apygardos teismo nutartį bei įvertinęs jos turinį</w:t>
      </w:r>
      <w:r w:rsidR="00020A68" w:rsidRPr="00821330">
        <w:rPr>
          <w:rFonts w:ascii="Calibri" w:hAnsi="Calibri" w:cs="Calibri"/>
          <w:sz w:val="22"/>
          <w:szCs w:val="22"/>
        </w:rPr>
        <w:t xml:space="preserve">, </w:t>
      </w:r>
      <w:r w:rsidRPr="00821330">
        <w:rPr>
          <w:rFonts w:ascii="Calibri" w:hAnsi="Calibri" w:cs="Calibri"/>
          <w:sz w:val="22"/>
          <w:szCs w:val="22"/>
        </w:rPr>
        <w:t xml:space="preserve">sudarė Komisiją, kuri atliko pareiškėjo tarnybinio nusižengimo tyrimą, surašė išsamią bei motyvuotą </w:t>
      </w:r>
      <w:r w:rsidR="00020A68" w:rsidRPr="00821330">
        <w:rPr>
          <w:rFonts w:ascii="Calibri" w:hAnsi="Calibri" w:cs="Calibri"/>
          <w:sz w:val="22"/>
          <w:szCs w:val="22"/>
        </w:rPr>
        <w:t>i</w:t>
      </w:r>
      <w:r w:rsidRPr="00821330">
        <w:rPr>
          <w:rFonts w:ascii="Calibri" w:hAnsi="Calibri" w:cs="Calibri"/>
          <w:sz w:val="22"/>
          <w:szCs w:val="22"/>
        </w:rPr>
        <w:t xml:space="preserve">švadą. </w:t>
      </w:r>
    </w:p>
    <w:p w14:paraId="701D1BC2" w14:textId="19479F15" w:rsidR="00642D78" w:rsidRPr="00821330" w:rsidRDefault="00642D78" w:rsidP="00642D78">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Įvertinusi Aprašo 5 ir 9 punktų nuostatas, teisėjų kolegija sutiko su pareiškėjo apeliacinio skundo argumentu, kad jis neturėjo galimybės visiškai realizuoti savo teisių tarnybinio nusižengimo tyrimo procedūroje, tačiau šis procedūrinio pobūdžio pažeidimas nekėlė abejonių, jog tarnybinio nusižengimo tyrimas buvo atliktas objektyviai įvertinant visas pareiškėjo tarnybinio nusižengimo aplin</w:t>
      </w:r>
      <w:r w:rsidR="003A46DE" w:rsidRPr="00821330">
        <w:rPr>
          <w:rFonts w:ascii="Calibri" w:hAnsi="Calibri" w:cs="Calibri"/>
          <w:sz w:val="22"/>
          <w:szCs w:val="22"/>
        </w:rPr>
        <w:t>kybes, o k</w:t>
      </w:r>
      <w:r w:rsidRPr="00821330">
        <w:rPr>
          <w:rFonts w:ascii="Calibri" w:hAnsi="Calibri" w:cs="Calibri"/>
          <w:sz w:val="22"/>
          <w:szCs w:val="22"/>
        </w:rPr>
        <w:t>omisija buvo nešališka</w:t>
      </w:r>
      <w:r w:rsidR="003A46DE" w:rsidRPr="00821330">
        <w:rPr>
          <w:rFonts w:ascii="Calibri" w:hAnsi="Calibri" w:cs="Calibri"/>
          <w:sz w:val="22"/>
          <w:szCs w:val="22"/>
        </w:rPr>
        <w:t>. Nepateikta jokių duomenų dėl k</w:t>
      </w:r>
      <w:r w:rsidRPr="00821330">
        <w:rPr>
          <w:rFonts w:ascii="Calibri" w:hAnsi="Calibri" w:cs="Calibri"/>
          <w:sz w:val="22"/>
          <w:szCs w:val="22"/>
        </w:rPr>
        <w:t xml:space="preserve">omisijos priešiškumo / šališkumo pareiškėjo (apelianto) atžvilgiu. </w:t>
      </w:r>
    </w:p>
    <w:p w14:paraId="27BED851" w14:textId="26BB518F" w:rsidR="00642D78" w:rsidRPr="00821330" w:rsidRDefault="00642D78" w:rsidP="00642D78">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 xml:space="preserve">Pareiškėjas nurodė, kad byloje nėra duomenų apie tarnybinio nusižengimo tyrimo pratęsimą, todėl visi vėlesni, po tarnybinio nusižengimo tyrimo sustabdymo atlikti veiksmai, buvo atlikti pasibaigus Apraše nustatytam 20 darbo dienų terminui. Įvertinusi bylos duomenis, teisėjų kolegija pažymėjo, jog nors atsakovas ir pažeidė Aprašo 14 punkto reikalavimus, tačiau atsižvelgiant į tai, kad Aprašas nenustato Aprašo 14 punkto termino praleidimo pasekmių, teisėjų kolegija minėto pažeidimo nelaikė esminiu, t. y. tokiu, dėl kurio </w:t>
      </w:r>
      <w:r w:rsidR="003A46DE" w:rsidRPr="00821330">
        <w:rPr>
          <w:rFonts w:ascii="Calibri" w:hAnsi="Calibri" w:cs="Calibri"/>
          <w:sz w:val="22"/>
          <w:szCs w:val="22"/>
        </w:rPr>
        <w:t>į</w:t>
      </w:r>
      <w:r w:rsidRPr="00821330">
        <w:rPr>
          <w:rFonts w:ascii="Calibri" w:hAnsi="Calibri" w:cs="Calibri"/>
          <w:sz w:val="22"/>
          <w:szCs w:val="22"/>
        </w:rPr>
        <w:t>sakymas turėtų būti naikinamas.</w:t>
      </w:r>
    </w:p>
    <w:p w14:paraId="5F7D5232"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65C73FE6"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lastRenderedPageBreak/>
        <w:t>2019 m. gruodžio 18 d. nutartis administracinėje byloje Nr. A-5621-556/2019</w:t>
      </w:r>
    </w:p>
    <w:p w14:paraId="27EB3E70"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Teisminio proceso Nr. 3-61-3-02944-2019-4</w:t>
      </w:r>
    </w:p>
    <w:p w14:paraId="06C7070A"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 xml:space="preserve">Procesinio sprendimo kategorija 21.3.2 </w:t>
      </w:r>
    </w:p>
    <w:p w14:paraId="1C65AE87" w14:textId="77777777" w:rsidR="00642D78" w:rsidRPr="00821330" w:rsidRDefault="00E956D9" w:rsidP="00642D78">
      <w:pPr>
        <w:jc w:val="both"/>
        <w:rPr>
          <w:rFonts w:ascii="Calibri" w:eastAsia="Calibri" w:hAnsi="Calibri"/>
          <w:bCs/>
          <w:sz w:val="22"/>
          <w:szCs w:val="22"/>
          <w:lang w:eastAsia="en-US"/>
        </w:rPr>
      </w:pPr>
      <w:hyperlink r:id="rId31" w:history="1">
        <w:r w:rsidR="00642D78" w:rsidRPr="00821330">
          <w:rPr>
            <w:rFonts w:ascii="Calibri" w:eastAsia="Calibri" w:hAnsi="Calibri"/>
            <w:bCs/>
            <w:color w:val="0000FF"/>
            <w:sz w:val="22"/>
            <w:szCs w:val="22"/>
            <w:u w:val="single"/>
            <w:lang w:eastAsia="en-US"/>
          </w:rPr>
          <w:t>Prieiga internete</w:t>
        </w:r>
      </w:hyperlink>
      <w:r w:rsidR="00642D78" w:rsidRPr="00821330">
        <w:rPr>
          <w:rFonts w:ascii="Calibri" w:eastAsia="Calibri" w:hAnsi="Calibri"/>
          <w:bCs/>
          <w:sz w:val="22"/>
          <w:szCs w:val="22"/>
          <w:lang w:eastAsia="en-US"/>
        </w:rPr>
        <w:t xml:space="preserve"> </w:t>
      </w:r>
    </w:p>
    <w:p w14:paraId="03E524BF"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33C2A7F9" w14:textId="77777777" w:rsidR="00642D78" w:rsidRPr="00821330" w:rsidRDefault="00642D78" w:rsidP="00642D78">
      <w:pPr>
        <w:ind w:firstLine="567"/>
        <w:jc w:val="both"/>
        <w:rPr>
          <w:rFonts w:ascii="Calibri" w:hAnsi="Calibri"/>
          <w:b/>
          <w:sz w:val="22"/>
          <w:szCs w:val="22"/>
          <w:u w:val="single"/>
        </w:rPr>
      </w:pPr>
      <w:r w:rsidRPr="00821330">
        <w:rPr>
          <w:rFonts w:ascii="Calibri" w:hAnsi="Calibri"/>
          <w:b/>
          <w:sz w:val="22"/>
          <w:szCs w:val="22"/>
          <w:u w:val="single"/>
        </w:rPr>
        <w:t>21.3. Valstybės tarnautojų atleidimas iš pareigų</w:t>
      </w:r>
    </w:p>
    <w:p w14:paraId="4DB2CACE" w14:textId="77777777" w:rsidR="00642D78" w:rsidRPr="00821330" w:rsidRDefault="00642D78" w:rsidP="00642D78">
      <w:pPr>
        <w:ind w:firstLine="1134"/>
        <w:jc w:val="both"/>
        <w:rPr>
          <w:rFonts w:ascii="Calibri" w:hAnsi="Calibri"/>
          <w:b/>
          <w:sz w:val="22"/>
          <w:szCs w:val="22"/>
          <w:u w:val="single"/>
        </w:rPr>
      </w:pPr>
      <w:r w:rsidRPr="00821330">
        <w:rPr>
          <w:rFonts w:ascii="Calibri" w:hAnsi="Calibri"/>
          <w:b/>
          <w:sz w:val="22"/>
          <w:szCs w:val="22"/>
          <w:u w:val="single"/>
        </w:rPr>
        <w:t>21.3.7. Pareigybės panaikinimas</w:t>
      </w:r>
    </w:p>
    <w:p w14:paraId="5F1B2863"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2FE938DB" w14:textId="77777777" w:rsidR="00642D78" w:rsidRPr="00821330" w:rsidRDefault="00642D78" w:rsidP="00F31DA2">
      <w:pPr>
        <w:pStyle w:val="Antrat2"/>
      </w:pPr>
      <w:bookmarkStart w:id="76" w:name="_Toc32243597"/>
      <w:r w:rsidRPr="00821330">
        <w:t>Dėl visapusiškos informacijos apie siūlomas laisvas pareigas pateikimo</w:t>
      </w:r>
      <w:bookmarkEnd w:id="76"/>
      <w:r w:rsidRPr="00821330">
        <w:t xml:space="preserve"> </w:t>
      </w:r>
    </w:p>
    <w:p w14:paraId="2136E9B3"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52B03E16"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r w:rsidRPr="00821330">
        <w:rPr>
          <w:rFonts w:ascii="Calibri" w:hAnsi="Calibri" w:cs="Calibri"/>
          <w:sz w:val="22"/>
          <w:szCs w:val="22"/>
        </w:rPr>
        <w:t>Byloje ginčas kilo dėl atsakovo įsakymo, kuriuo pareiškėjas atleistas iš pareigų panaikinus jo užimamą pareigybę, teisėtumo ir pagrįstumo. Pirmosios instancijos teismas tenkino pareiškėjo skundo dalį ir panaikino atsakovo įsakymą bei įpareigojo atsakovą grąžinti pareiškėją į eitoms pareigoms lygiavertes pareigas. Pirmosios instancijos teismas sprendė, kad pareiškėjui, vadovaujantis Valstybės tarnybos įstatymo 43 straipsnio 1 dalimi, nustatančia, kad karjeros valstybės tarnautojas, kurio pareigybė naikinama, paskiriamas į kitas to paties lygio ir kategorijos karjeros valstybės tarnautojo pareigas, o jei tokių pareigų nėra ir valstybės tarnautojas sutinka, – į žemesnės kategorijos pareigas, nebuvo pasiūlytos kitos to paties lygio ir kategorijos karjeros valstybės tarnautojo pareigos bei žemesnės kategorijos pareigos, nors pareiškėjas atitiko keletui karjeros valstybės tarnautojo pareigybių nustatytus reikalavimus.</w:t>
      </w:r>
    </w:p>
    <w:p w14:paraId="4E4AA576" w14:textId="7D6A74D8" w:rsidR="00642D78" w:rsidRPr="00821330" w:rsidRDefault="00642D78" w:rsidP="00642D78">
      <w:pPr>
        <w:shd w:val="clear" w:color="auto" w:fill="FFFFFF"/>
        <w:tabs>
          <w:tab w:val="left" w:pos="3119"/>
        </w:tabs>
        <w:ind w:right="-1" w:firstLine="567"/>
        <w:jc w:val="both"/>
        <w:rPr>
          <w:rFonts w:ascii="Calibri" w:hAnsi="Calibri" w:cs="Calibri"/>
          <w:sz w:val="22"/>
          <w:szCs w:val="22"/>
        </w:rPr>
      </w:pPr>
      <w:bookmarkStart w:id="77" w:name="part_6a1223e7978b45e9ba1a658747aacbdc"/>
      <w:bookmarkStart w:id="78" w:name="part_cf8c1d91091d4cc3a01d4cd296cf1d69"/>
      <w:bookmarkEnd w:id="77"/>
      <w:bookmarkEnd w:id="78"/>
      <w:r w:rsidRPr="00821330">
        <w:rPr>
          <w:rFonts w:ascii="Calibri" w:hAnsi="Calibri" w:cs="Calibri"/>
          <w:sz w:val="22"/>
          <w:szCs w:val="22"/>
        </w:rPr>
        <w:t xml:space="preserve">Teisėjų kolegija sutiko su pirmosios instancijos teismo išvada, kad </w:t>
      </w:r>
      <w:r w:rsidRPr="00821330">
        <w:rPr>
          <w:rFonts w:ascii="Calibri" w:hAnsi="Calibri" w:cs="Calibri"/>
          <w:sz w:val="22"/>
          <w:szCs w:val="22"/>
          <w:u w:val="single"/>
        </w:rPr>
        <w:t>būtent viešojo administravimo subjektui tenka atsakomybė ir pareiga užtikrinti, kad pareigybių specialieji reikalavimai būtų tiksliai apibrėžti ir aiškiai suprantami, kad būtų galima įvertinti, ar asmuo atitinka keliamus reikalavimus</w:t>
      </w:r>
      <w:r w:rsidRPr="00821330">
        <w:rPr>
          <w:rFonts w:ascii="Calibri" w:hAnsi="Calibri" w:cs="Calibri"/>
          <w:sz w:val="22"/>
          <w:szCs w:val="22"/>
        </w:rPr>
        <w:t>, nes pareigybės aprašyme nustatyti specialieji reikalavimai yra konstitucinių teisių pasirinkti darbą (Konstitucijos 48 str</w:t>
      </w:r>
      <w:r w:rsidR="00AD2ABC" w:rsidRPr="00821330">
        <w:rPr>
          <w:rFonts w:ascii="Calibri" w:hAnsi="Calibri" w:cs="Calibri"/>
          <w:sz w:val="22"/>
          <w:szCs w:val="22"/>
        </w:rPr>
        <w:t>.</w:t>
      </w:r>
      <w:r w:rsidRPr="00821330">
        <w:rPr>
          <w:rFonts w:ascii="Calibri" w:hAnsi="Calibri" w:cs="Calibri"/>
          <w:sz w:val="22"/>
          <w:szCs w:val="22"/>
        </w:rPr>
        <w:t xml:space="preserve"> 1 d</w:t>
      </w:r>
      <w:r w:rsidR="00AD2ABC" w:rsidRPr="00821330">
        <w:rPr>
          <w:rFonts w:ascii="Calibri" w:hAnsi="Calibri" w:cs="Calibri"/>
          <w:sz w:val="22"/>
          <w:szCs w:val="22"/>
        </w:rPr>
        <w:t>.</w:t>
      </w:r>
      <w:r w:rsidRPr="00821330">
        <w:rPr>
          <w:rFonts w:ascii="Calibri" w:hAnsi="Calibri" w:cs="Calibri"/>
          <w:sz w:val="22"/>
          <w:szCs w:val="22"/>
        </w:rPr>
        <w:t>) ir lygiomis teisėmis stoti į valstybinę tarnybą (Konstitucijos 33 str</w:t>
      </w:r>
      <w:r w:rsidR="00AD2ABC" w:rsidRPr="00821330">
        <w:rPr>
          <w:rFonts w:ascii="Calibri" w:hAnsi="Calibri" w:cs="Calibri"/>
          <w:sz w:val="22"/>
          <w:szCs w:val="22"/>
        </w:rPr>
        <w:t>.</w:t>
      </w:r>
      <w:r w:rsidRPr="00821330">
        <w:rPr>
          <w:rFonts w:ascii="Calibri" w:hAnsi="Calibri" w:cs="Calibri"/>
          <w:sz w:val="22"/>
          <w:szCs w:val="22"/>
        </w:rPr>
        <w:t xml:space="preserve"> 1 d</w:t>
      </w:r>
      <w:r w:rsidR="00AD2ABC" w:rsidRPr="00821330">
        <w:rPr>
          <w:rFonts w:ascii="Calibri" w:hAnsi="Calibri" w:cs="Calibri"/>
          <w:sz w:val="22"/>
          <w:szCs w:val="22"/>
        </w:rPr>
        <w:t>.</w:t>
      </w:r>
      <w:r w:rsidRPr="00821330">
        <w:rPr>
          <w:rFonts w:ascii="Calibri" w:hAnsi="Calibri" w:cs="Calibri"/>
          <w:sz w:val="22"/>
          <w:szCs w:val="22"/>
        </w:rPr>
        <w:t xml:space="preserve">) ribojimas, kuris turi būti konstituciškai pagrįstas. </w:t>
      </w:r>
      <w:bookmarkStart w:id="79" w:name="part_b05d1a330d8d4b1196752c7649aebd49"/>
      <w:bookmarkEnd w:id="79"/>
      <w:r w:rsidRPr="00821330">
        <w:rPr>
          <w:rFonts w:ascii="Calibri" w:hAnsi="Calibri" w:cs="Calibri"/>
          <w:sz w:val="22"/>
          <w:szCs w:val="22"/>
        </w:rPr>
        <w:t>Todėl teisėjų kolegija priėjo prie išvados, kad atsakovas pareiškėją, jo sutikimu, privalėjo paskirti į pareigas, kurioms keliamus reikalavimus jis atitiko, o to nepadaręs, neužtikrino Valstybės tarnybos įstatymo 43 straipsnio 1 dalyje įtvirtintos valstybės tarnautojui nustatytos garantijos įgyvendinimo, todėl buvo teisinis pagrindas pripažinti pareiškėjo atleidimą neteisėtu ir atkurti jo pažeistas teises.</w:t>
      </w:r>
      <w:bookmarkStart w:id="80" w:name="part_59170066dfc6453bb4c3591c3234d875"/>
      <w:bookmarkStart w:id="81" w:name="part_e524599c32534cd58864c6a793731e63"/>
      <w:bookmarkEnd w:id="80"/>
      <w:bookmarkEnd w:id="81"/>
    </w:p>
    <w:p w14:paraId="20BA870C" w14:textId="7785FB2B" w:rsidR="00642D78" w:rsidRPr="00821330" w:rsidRDefault="00642D78" w:rsidP="00642D78">
      <w:pPr>
        <w:shd w:val="clear" w:color="auto" w:fill="FFFFFF"/>
        <w:tabs>
          <w:tab w:val="left" w:pos="3119"/>
        </w:tabs>
        <w:ind w:right="-1" w:firstLine="567"/>
        <w:jc w:val="both"/>
        <w:rPr>
          <w:rFonts w:ascii="Calibri" w:hAnsi="Calibri" w:cs="Calibri"/>
          <w:sz w:val="22"/>
          <w:szCs w:val="22"/>
        </w:rPr>
      </w:pPr>
      <w:bookmarkStart w:id="82" w:name="part_f41bc2299a214d46bffc32071dc89647"/>
      <w:bookmarkEnd w:id="82"/>
      <w:r w:rsidRPr="00821330">
        <w:rPr>
          <w:rFonts w:ascii="Calibri" w:hAnsi="Calibri" w:cs="Calibri"/>
          <w:sz w:val="22"/>
          <w:szCs w:val="22"/>
        </w:rPr>
        <w:t>Taip pat LVAT atkreipė dėmesį, jog pareiškėjui teiktame siūlyme pateiktas laisvų pareigybių sąrašas ir nurodyta, kad dėl pareigybėms keliamų specialiųjų reikalavimų, pareigybės aprašymų ir kitos informacijos jis turi kreiptis į Personalo administravimo valdybą. Apie sutikimą būti paskirtam į laisva</w:t>
      </w:r>
      <w:r w:rsidR="00AD2ABC" w:rsidRPr="00821330">
        <w:rPr>
          <w:rFonts w:ascii="Calibri" w:hAnsi="Calibri" w:cs="Calibri"/>
          <w:sz w:val="22"/>
          <w:szCs w:val="22"/>
        </w:rPr>
        <w:t>s pareigas nurodyta informuoti minėtą v</w:t>
      </w:r>
      <w:r w:rsidRPr="00821330">
        <w:rPr>
          <w:rFonts w:ascii="Calibri" w:hAnsi="Calibri" w:cs="Calibri"/>
          <w:sz w:val="22"/>
          <w:szCs w:val="22"/>
        </w:rPr>
        <w:t xml:space="preserve">aldybą per 5 darbo dienas nuo siūlymo gavimo dienos. </w:t>
      </w:r>
      <w:bookmarkStart w:id="83" w:name="part_576a1c635d47474dae342863084a5bd8"/>
      <w:bookmarkEnd w:id="83"/>
      <w:r w:rsidRPr="00821330">
        <w:rPr>
          <w:rFonts w:ascii="Calibri" w:hAnsi="Calibri" w:cs="Calibri"/>
          <w:sz w:val="22"/>
          <w:szCs w:val="22"/>
        </w:rPr>
        <w:t xml:space="preserve">Teisėjų kolegijos vertinimu, </w:t>
      </w:r>
      <w:r w:rsidRPr="00821330">
        <w:rPr>
          <w:rFonts w:ascii="Calibri" w:hAnsi="Calibri" w:cs="Calibri"/>
          <w:sz w:val="22"/>
          <w:szCs w:val="22"/>
          <w:u w:val="single"/>
        </w:rPr>
        <w:t>atsakovo pareiga siūlyti užimti laisvas pareigas įgyvendinama tinkamai tik tuo atveju, kai teikiamas laisvų pareigybių sąrašas ir visa informacija, reikalinga valstybės tarnautojui sprendimams dėl siūlymų priimti</w:t>
      </w:r>
      <w:r w:rsidRPr="00821330">
        <w:rPr>
          <w:rFonts w:ascii="Calibri" w:hAnsi="Calibri" w:cs="Calibri"/>
          <w:sz w:val="22"/>
          <w:szCs w:val="22"/>
        </w:rPr>
        <w:t xml:space="preserve">. LVAT nurodė, jog </w:t>
      </w:r>
      <w:bookmarkStart w:id="84" w:name="part_f873708ce3d34a4bb41cb53dc71398ac"/>
      <w:bookmarkEnd w:id="84"/>
      <w:r w:rsidRPr="00821330">
        <w:rPr>
          <w:rFonts w:ascii="Calibri" w:hAnsi="Calibri" w:cs="Calibri"/>
          <w:sz w:val="22"/>
          <w:szCs w:val="22"/>
        </w:rPr>
        <w:t>pareiškėjas pagrįstai reagavo į tokį darbdavio pareigų teikti duomenis nevykdymą el. laišku, prašydamas teikti visą aktualią informaciją ir duomenis jam asmeniškai, o gavęs laisvų pareigybių aprašymus – kitu el. laišku prašė aktualios informacijos dėl atlyginimo ir darbo vietos. Teismo vertinimu, šis susirašinėjimas liudijo, kad pareiškėjas buvo aktyvus, jo reikalavimai pagrįsti ir aktualūs sprendimams dėl pateikto siūlymo priimti, todėl tai, kad sutikimą užimti laisvas pareigybes atsakovui jis pateikė nežymiai p</w:t>
      </w:r>
      <w:r w:rsidR="00AD2ABC" w:rsidRPr="00821330">
        <w:rPr>
          <w:rFonts w:ascii="Calibri" w:hAnsi="Calibri" w:cs="Calibri"/>
          <w:sz w:val="22"/>
          <w:szCs w:val="22"/>
        </w:rPr>
        <w:t xml:space="preserve">avėlavęs, negali būti vertinama </w:t>
      </w:r>
      <w:r w:rsidRPr="00821330">
        <w:rPr>
          <w:rFonts w:ascii="Calibri" w:hAnsi="Calibri" w:cs="Calibri"/>
          <w:sz w:val="22"/>
          <w:szCs w:val="22"/>
        </w:rPr>
        <w:t xml:space="preserve">kaip pareiškėjo piktnaudžiavimas teise ar nesąžiningas, neatidus ar neapdairus elgesys. </w:t>
      </w:r>
    </w:p>
    <w:p w14:paraId="2EDB8F68"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bookmarkStart w:id="85" w:name="part_dc710ed1185b4d06860e100ac4805f8c"/>
      <w:bookmarkEnd w:id="85"/>
      <w:r w:rsidRPr="00821330">
        <w:rPr>
          <w:rFonts w:ascii="Calibri" w:hAnsi="Calibri" w:cs="Calibri"/>
          <w:sz w:val="22"/>
          <w:szCs w:val="22"/>
        </w:rPr>
        <w:t xml:space="preserve">LVAT nutartimi atsakovo apeliacinis skundas atmestas, pirmosios instancijos teismo sprendimas paliktas nepakeistas. </w:t>
      </w:r>
    </w:p>
    <w:p w14:paraId="38195D87"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4025C83A"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2019 m. gruodžio 18 d. nutartis administracinėje byloje Nr. eA-5589-415/2019</w:t>
      </w:r>
    </w:p>
    <w:p w14:paraId="047F3E27"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Teisminio proceso Nr. 3-61-3-04012-2018-1</w:t>
      </w:r>
    </w:p>
    <w:p w14:paraId="208012EB"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Procesinio sprendimo kategorija 21.3.7</w:t>
      </w:r>
    </w:p>
    <w:p w14:paraId="6C62966A" w14:textId="77777777" w:rsidR="00642D78" w:rsidRPr="00821330" w:rsidRDefault="00E956D9" w:rsidP="00642D78">
      <w:pPr>
        <w:jc w:val="both"/>
        <w:rPr>
          <w:rFonts w:ascii="Calibri" w:eastAsia="Calibri" w:hAnsi="Calibri"/>
          <w:bCs/>
          <w:sz w:val="22"/>
          <w:szCs w:val="22"/>
          <w:lang w:eastAsia="en-US"/>
        </w:rPr>
      </w:pPr>
      <w:hyperlink r:id="rId32" w:history="1">
        <w:r w:rsidR="00642D78" w:rsidRPr="00821330">
          <w:rPr>
            <w:rFonts w:ascii="Calibri" w:eastAsia="Calibri" w:hAnsi="Calibri"/>
            <w:bCs/>
            <w:color w:val="0000FF"/>
            <w:sz w:val="22"/>
            <w:szCs w:val="22"/>
            <w:u w:val="single"/>
            <w:lang w:eastAsia="en-US"/>
          </w:rPr>
          <w:t>Prieiga internete</w:t>
        </w:r>
      </w:hyperlink>
      <w:r w:rsidR="00642D78" w:rsidRPr="00821330">
        <w:rPr>
          <w:rFonts w:ascii="Calibri" w:eastAsia="Calibri" w:hAnsi="Calibri"/>
          <w:bCs/>
          <w:sz w:val="22"/>
          <w:szCs w:val="22"/>
          <w:lang w:eastAsia="en-US"/>
        </w:rPr>
        <w:t xml:space="preserve"> </w:t>
      </w:r>
    </w:p>
    <w:p w14:paraId="1B35B356" w14:textId="77777777" w:rsidR="00642D78" w:rsidRPr="00821330" w:rsidRDefault="00642D78" w:rsidP="007E7F95">
      <w:pPr>
        <w:tabs>
          <w:tab w:val="left" w:pos="567"/>
        </w:tabs>
        <w:rPr>
          <w:rFonts w:asciiTheme="minorHAnsi" w:hAnsiTheme="minorHAnsi" w:cstheme="minorHAnsi"/>
          <w:sz w:val="22"/>
          <w:szCs w:val="22"/>
        </w:rPr>
      </w:pPr>
    </w:p>
    <w:p w14:paraId="01EC58B0" w14:textId="130C63DF" w:rsidR="00E076E9" w:rsidRPr="00821330" w:rsidRDefault="00E076E9" w:rsidP="00C36798">
      <w:pPr>
        <w:pStyle w:val="Antrat1"/>
        <w:rPr>
          <w:rFonts w:ascii="Calibri" w:hAnsi="Calibri"/>
          <w:bCs/>
        </w:rPr>
      </w:pPr>
      <w:bookmarkStart w:id="86" w:name="_Toc462149986"/>
      <w:bookmarkStart w:id="87" w:name="_Toc32243598"/>
      <w:bookmarkStart w:id="88" w:name="_Toc774936"/>
      <w:bookmarkStart w:id="89" w:name="_Toc462150005"/>
      <w:bookmarkEnd w:id="18"/>
      <w:r w:rsidRPr="00821330">
        <w:rPr>
          <w:rFonts w:ascii="Calibri" w:hAnsi="Calibri"/>
        </w:rPr>
        <w:t>22. Kiti su valstybės tarnyba</w:t>
      </w:r>
      <w:r w:rsidRPr="00821330" w:rsidDel="00E3531F">
        <w:rPr>
          <w:rFonts w:ascii="Calibri" w:hAnsi="Calibri"/>
        </w:rPr>
        <w:t xml:space="preserve"> </w:t>
      </w:r>
      <w:r w:rsidRPr="00821330">
        <w:rPr>
          <w:rFonts w:ascii="Calibri" w:hAnsi="Calibri"/>
        </w:rPr>
        <w:t>susiję klausimai</w:t>
      </w:r>
      <w:bookmarkEnd w:id="86"/>
      <w:bookmarkEnd w:id="87"/>
    </w:p>
    <w:p w14:paraId="38A6221D" w14:textId="518925D4" w:rsidR="000B07AF" w:rsidRPr="00821330" w:rsidRDefault="00E076E9" w:rsidP="00BF0FD7">
      <w:pPr>
        <w:ind w:firstLine="709"/>
        <w:rPr>
          <w:rFonts w:ascii="Calibri" w:hAnsi="Calibri"/>
          <w:b/>
          <w:sz w:val="22"/>
          <w:szCs w:val="22"/>
          <w:u w:val="single"/>
        </w:rPr>
      </w:pPr>
      <w:r w:rsidRPr="00821330">
        <w:rPr>
          <w:rFonts w:ascii="Calibri" w:hAnsi="Calibri"/>
          <w:b/>
          <w:sz w:val="22"/>
          <w:szCs w:val="22"/>
          <w:u w:val="single"/>
        </w:rPr>
        <w:t>22.7. Kiti su valstybės tarnyba susiję klausimai</w:t>
      </w:r>
    </w:p>
    <w:p w14:paraId="319616F0" w14:textId="4A5956A2" w:rsidR="000B07AF" w:rsidRPr="00821330" w:rsidRDefault="000B07AF" w:rsidP="00496E0E">
      <w:pPr>
        <w:rPr>
          <w:rFonts w:asciiTheme="minorHAnsi" w:hAnsiTheme="minorHAnsi" w:cstheme="minorHAnsi"/>
          <w:b/>
          <w:sz w:val="22"/>
          <w:szCs w:val="22"/>
          <w:u w:val="single"/>
        </w:rPr>
      </w:pPr>
    </w:p>
    <w:p w14:paraId="38850D4E" w14:textId="1C403650" w:rsidR="00E66470" w:rsidRPr="00821330" w:rsidRDefault="00E66470" w:rsidP="00F31DA2">
      <w:pPr>
        <w:pStyle w:val="Antrat2"/>
      </w:pPr>
      <w:bookmarkStart w:id="90" w:name="_Toc32243599"/>
      <w:r w:rsidRPr="00821330">
        <w:t xml:space="preserve">Dėl </w:t>
      </w:r>
      <w:r w:rsidR="009D5F32" w:rsidRPr="00821330">
        <w:t>neišmokėtos važiavimo išlaidų kompensacijos priteisimo pareigūnams</w:t>
      </w:r>
      <w:bookmarkEnd w:id="90"/>
    </w:p>
    <w:p w14:paraId="635C4E90" w14:textId="77777777" w:rsidR="00E66470" w:rsidRPr="00821330" w:rsidRDefault="00E66470" w:rsidP="00E66470">
      <w:pPr>
        <w:rPr>
          <w:sz w:val="22"/>
          <w:szCs w:val="22"/>
          <w:lang w:eastAsia="en-US"/>
        </w:rPr>
      </w:pPr>
    </w:p>
    <w:p w14:paraId="176ACB50" w14:textId="0A1777F2" w:rsidR="00B83958" w:rsidRPr="00821330" w:rsidRDefault="009D5F32" w:rsidP="00B83958">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lastRenderedPageBreak/>
        <w:tab/>
      </w:r>
      <w:r w:rsidR="00E66470" w:rsidRPr="00821330">
        <w:rPr>
          <w:rFonts w:asciiTheme="minorHAnsi" w:hAnsiTheme="minorHAnsi" w:cstheme="minorHAnsi"/>
          <w:sz w:val="22"/>
          <w:szCs w:val="22"/>
        </w:rPr>
        <w:t xml:space="preserve">Apžvelgiamoje byloje </w:t>
      </w:r>
      <w:r w:rsidRPr="00821330">
        <w:rPr>
          <w:rFonts w:asciiTheme="minorHAnsi" w:hAnsiTheme="minorHAnsi" w:cstheme="minorHAnsi"/>
          <w:sz w:val="22"/>
          <w:szCs w:val="22"/>
        </w:rPr>
        <w:t xml:space="preserve">ginčas kilo dėl </w:t>
      </w:r>
      <w:bookmarkStart w:id="91" w:name="_Hlk27735060"/>
      <w:r w:rsidRPr="00821330">
        <w:rPr>
          <w:rFonts w:asciiTheme="minorHAnsi" w:hAnsiTheme="minorHAnsi" w:cstheme="minorHAnsi"/>
          <w:sz w:val="22"/>
          <w:szCs w:val="22"/>
        </w:rPr>
        <w:t>neišmokėtos važiavimo išlaidų kompensacijos priteisimo pareigūnams</w:t>
      </w:r>
      <w:bookmarkEnd w:id="91"/>
      <w:r w:rsidRPr="00821330">
        <w:rPr>
          <w:rFonts w:asciiTheme="minorHAnsi" w:hAnsiTheme="minorHAnsi" w:cstheme="minorHAnsi"/>
          <w:sz w:val="22"/>
          <w:szCs w:val="22"/>
        </w:rPr>
        <w:t xml:space="preserve"> iš Vilniaus apskrities vyriausiojo policijos komisariato</w:t>
      </w:r>
      <w:r w:rsidR="00B83958" w:rsidRPr="00821330">
        <w:rPr>
          <w:rFonts w:asciiTheme="minorHAnsi" w:hAnsiTheme="minorHAnsi" w:cstheme="minorHAnsi"/>
          <w:sz w:val="22"/>
          <w:szCs w:val="22"/>
        </w:rPr>
        <w:t xml:space="preserve"> (toliau – Vilniaus AVPK)</w:t>
      </w:r>
      <w:r w:rsidRPr="00821330">
        <w:rPr>
          <w:rFonts w:asciiTheme="minorHAnsi" w:hAnsiTheme="minorHAnsi" w:cstheme="minorHAnsi"/>
          <w:sz w:val="22"/>
          <w:szCs w:val="22"/>
        </w:rPr>
        <w:t>.</w:t>
      </w:r>
    </w:p>
    <w:p w14:paraId="2890E2C2" w14:textId="0B84B991" w:rsidR="00B83958" w:rsidRPr="00821330" w:rsidRDefault="00B83958" w:rsidP="00B83958">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r>
      <w:r w:rsidR="009D5F32" w:rsidRPr="00821330">
        <w:rPr>
          <w:rFonts w:asciiTheme="minorHAnsi" w:hAnsiTheme="minorHAnsi" w:cstheme="minorHAnsi"/>
          <w:sz w:val="22"/>
          <w:szCs w:val="22"/>
        </w:rPr>
        <w:t xml:space="preserve">Pirmosios instancijos teismas, įvertinęs byloje esančius įrodymus ir atsižvelgdamas į tai, jog norminio administracinio akto norma, kuria vadovaujantis pareiškėjams buvo apskaičiuota kelionės išlaidų kompensacijos suma, buvo pripažinta prieštaraujančia aukštesnės galios teisės aktams, konstatavo, kad </w:t>
      </w:r>
      <w:r w:rsidR="009D5F32" w:rsidRPr="00821330">
        <w:rPr>
          <w:rFonts w:asciiTheme="minorHAnsi" w:hAnsiTheme="minorHAnsi" w:cstheme="minorHAnsi"/>
          <w:sz w:val="22"/>
          <w:szCs w:val="22"/>
          <w:lang w:bidi="lt-LT"/>
        </w:rPr>
        <w:t xml:space="preserve">atsakovas nepagrįstai atsisako išmokėti pareiškėjams kelionės išlaidų kompensavimo nepriemoką už laikotarpį </w:t>
      </w:r>
      <w:r w:rsidR="009D5F32" w:rsidRPr="00821330">
        <w:rPr>
          <w:rFonts w:asciiTheme="minorHAnsi" w:hAnsiTheme="minorHAnsi" w:cstheme="minorHAnsi"/>
          <w:sz w:val="22"/>
          <w:szCs w:val="22"/>
        </w:rPr>
        <w:t>nuo 2016 m. sausio 1</w:t>
      </w:r>
      <w:r w:rsidRPr="00821330">
        <w:rPr>
          <w:rFonts w:asciiTheme="minorHAnsi" w:hAnsiTheme="minorHAnsi" w:cstheme="minorHAnsi"/>
          <w:sz w:val="22"/>
          <w:szCs w:val="22"/>
        </w:rPr>
        <w:t> </w:t>
      </w:r>
      <w:r w:rsidR="009D5F32" w:rsidRPr="00821330">
        <w:rPr>
          <w:rFonts w:asciiTheme="minorHAnsi" w:hAnsiTheme="minorHAnsi" w:cstheme="minorHAnsi"/>
          <w:sz w:val="22"/>
          <w:szCs w:val="22"/>
        </w:rPr>
        <w:t xml:space="preserve">d. iki 2019 m. kovo 3 d., ir </w:t>
      </w:r>
      <w:r w:rsidR="009D5F32" w:rsidRPr="00821330">
        <w:rPr>
          <w:rFonts w:asciiTheme="minorHAnsi" w:hAnsiTheme="minorHAnsi" w:cstheme="minorHAnsi"/>
          <w:sz w:val="22"/>
          <w:szCs w:val="22"/>
          <w:lang w:bidi="lt-LT"/>
        </w:rPr>
        <w:t>įpareigojo atsakovą</w:t>
      </w:r>
      <w:r w:rsidR="009D5F32" w:rsidRPr="00821330">
        <w:rPr>
          <w:rFonts w:asciiTheme="minorHAnsi" w:hAnsiTheme="minorHAnsi" w:cstheme="minorHAnsi"/>
          <w:sz w:val="22"/>
          <w:szCs w:val="22"/>
        </w:rPr>
        <w:t xml:space="preserve"> Vilniaus </w:t>
      </w:r>
      <w:r w:rsidR="006E5997" w:rsidRPr="00821330">
        <w:rPr>
          <w:rFonts w:asciiTheme="minorHAnsi" w:hAnsiTheme="minorHAnsi" w:cstheme="minorHAnsi"/>
          <w:sz w:val="22"/>
          <w:szCs w:val="22"/>
        </w:rPr>
        <w:t>AVPK</w:t>
      </w:r>
      <w:r w:rsidR="009D5F32" w:rsidRPr="00821330">
        <w:rPr>
          <w:rFonts w:asciiTheme="minorHAnsi" w:hAnsiTheme="minorHAnsi" w:cstheme="minorHAnsi"/>
          <w:sz w:val="22"/>
          <w:szCs w:val="22"/>
        </w:rPr>
        <w:t xml:space="preserve"> tokią nepriemoką </w:t>
      </w:r>
      <w:r w:rsidR="009D5F32" w:rsidRPr="00821330">
        <w:rPr>
          <w:rFonts w:asciiTheme="minorHAnsi" w:hAnsiTheme="minorHAnsi" w:cstheme="minorHAnsi"/>
          <w:bCs/>
          <w:sz w:val="22"/>
          <w:szCs w:val="22"/>
        </w:rPr>
        <w:t>apskaičiuoti ir išmokėti</w:t>
      </w:r>
      <w:r w:rsidR="009D5F32" w:rsidRPr="00821330">
        <w:rPr>
          <w:rFonts w:asciiTheme="minorHAnsi" w:hAnsiTheme="minorHAnsi" w:cstheme="minorHAnsi"/>
          <w:sz w:val="22"/>
          <w:szCs w:val="22"/>
        </w:rPr>
        <w:t>.</w:t>
      </w:r>
    </w:p>
    <w:p w14:paraId="23E7BE83" w14:textId="776B41BF" w:rsidR="009D5F32" w:rsidRPr="00821330" w:rsidRDefault="00B83958" w:rsidP="00B83958">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r>
      <w:r w:rsidR="009D5F32" w:rsidRPr="00821330">
        <w:rPr>
          <w:rFonts w:asciiTheme="minorHAnsi" w:hAnsiTheme="minorHAnsi" w:cstheme="minorHAnsi"/>
          <w:sz w:val="22"/>
          <w:szCs w:val="22"/>
        </w:rPr>
        <w:t>Atsakovas Vilniaus AVPK apeliaciniame skunde su pirmosios instancijos teismo sprendimu nesuti</w:t>
      </w:r>
      <w:r w:rsidRPr="00821330">
        <w:rPr>
          <w:rFonts w:asciiTheme="minorHAnsi" w:hAnsiTheme="minorHAnsi" w:cstheme="minorHAnsi"/>
          <w:sz w:val="22"/>
          <w:szCs w:val="22"/>
        </w:rPr>
        <w:t>ko</w:t>
      </w:r>
      <w:r w:rsidR="009D5F32" w:rsidRPr="00821330">
        <w:rPr>
          <w:rFonts w:asciiTheme="minorHAnsi" w:hAnsiTheme="minorHAnsi" w:cstheme="minorHAnsi"/>
          <w:sz w:val="22"/>
          <w:szCs w:val="22"/>
        </w:rPr>
        <w:t xml:space="preserve"> iš esmės teigdamas, jog sprendimai dėl kelionės išlaidų kompensavimo buvo priimti vadovaujantis galiojančiu teisiniu reguliavimu, be to, nagrinėjant bylą buvo padaryta esminių proceso pažeidimų.</w:t>
      </w:r>
    </w:p>
    <w:p w14:paraId="1DEB2C53" w14:textId="7C0E2F39" w:rsidR="00B83958" w:rsidRPr="00821330" w:rsidRDefault="00B83958" w:rsidP="00B83958">
      <w:pPr>
        <w:tabs>
          <w:tab w:val="left" w:pos="567"/>
          <w:tab w:val="left" w:pos="6521"/>
        </w:tabs>
        <w:jc w:val="both"/>
        <w:rPr>
          <w:rFonts w:asciiTheme="minorHAnsi" w:hAnsiTheme="minorHAnsi" w:cstheme="minorHAnsi"/>
          <w:bCs/>
          <w:sz w:val="22"/>
          <w:szCs w:val="22"/>
        </w:rPr>
      </w:pPr>
      <w:r w:rsidRPr="00821330">
        <w:rPr>
          <w:rFonts w:asciiTheme="minorHAnsi" w:hAnsiTheme="minorHAnsi" w:cstheme="minorHAnsi"/>
          <w:sz w:val="22"/>
          <w:szCs w:val="22"/>
        </w:rPr>
        <w:tab/>
        <w:t>Teisėjų kolegija, įvertinusi Vidaus tarnybos statuto normas, nurodė, jog</w:t>
      </w:r>
      <w:r w:rsidRPr="00821330">
        <w:rPr>
          <w:rFonts w:asciiTheme="minorHAnsi" w:hAnsiTheme="minorHAnsi" w:cstheme="minorHAnsi"/>
          <w:sz w:val="22"/>
          <w:szCs w:val="22"/>
          <w:u w:val="single"/>
        </w:rPr>
        <w:t xml:space="preserve"> </w:t>
      </w:r>
      <w:r w:rsidRPr="00821330">
        <w:rPr>
          <w:rFonts w:asciiTheme="minorHAnsi" w:hAnsiTheme="minorHAnsi" w:cstheme="minorHAnsi"/>
          <w:bCs/>
          <w:sz w:val="22"/>
          <w:szCs w:val="22"/>
          <w:u w:val="single"/>
        </w:rPr>
        <w:t>važiavimo išlaidų kompensavimas pareigūnams, kurie pagal tarnybos pobūdį važinėja keleiviniu ar asmeniniu transportu tarnybos tikslais, yra socialinė garantija, skirta kompensuoti pareigūnų tarnybos ypatumus</w:t>
      </w:r>
      <w:r w:rsidRPr="00E82187">
        <w:rPr>
          <w:rFonts w:asciiTheme="minorHAnsi" w:hAnsiTheme="minorHAnsi" w:cstheme="minorHAnsi"/>
          <w:bCs/>
          <w:sz w:val="22"/>
          <w:szCs w:val="22"/>
        </w:rPr>
        <w:t xml:space="preserve"> </w:t>
      </w:r>
      <w:r w:rsidRPr="00821330">
        <w:rPr>
          <w:rFonts w:asciiTheme="minorHAnsi" w:hAnsiTheme="minorHAnsi" w:cstheme="minorHAnsi"/>
          <w:bCs/>
          <w:sz w:val="22"/>
          <w:szCs w:val="22"/>
        </w:rPr>
        <w:t>(didesnį pavojų gyvybei ar sveikatai, griežtesn</w:t>
      </w:r>
      <w:r w:rsidR="00E82187">
        <w:rPr>
          <w:rFonts w:asciiTheme="minorHAnsi" w:hAnsiTheme="minorHAnsi" w:cstheme="minorHAnsi"/>
          <w:bCs/>
          <w:sz w:val="22"/>
          <w:szCs w:val="22"/>
        </w:rPr>
        <w:t>ę</w:t>
      </w:r>
      <w:r w:rsidRPr="00821330">
        <w:rPr>
          <w:rFonts w:asciiTheme="minorHAnsi" w:hAnsiTheme="minorHAnsi" w:cstheme="minorHAnsi"/>
          <w:bCs/>
          <w:sz w:val="22"/>
          <w:szCs w:val="22"/>
        </w:rPr>
        <w:t xml:space="preserve"> atsakomybę ir įvairius su tarnyba susijusius apribojimus).</w:t>
      </w:r>
    </w:p>
    <w:p w14:paraId="77D18323" w14:textId="72375642" w:rsidR="00597394" w:rsidRPr="00821330" w:rsidRDefault="00B83958" w:rsidP="00597394">
      <w:pPr>
        <w:tabs>
          <w:tab w:val="left" w:pos="567"/>
          <w:tab w:val="left" w:pos="6521"/>
        </w:tabs>
        <w:jc w:val="both"/>
        <w:rPr>
          <w:rFonts w:asciiTheme="minorHAnsi" w:hAnsiTheme="minorHAnsi" w:cstheme="minorHAnsi"/>
          <w:bCs/>
          <w:sz w:val="22"/>
          <w:szCs w:val="22"/>
        </w:rPr>
      </w:pPr>
      <w:r w:rsidRPr="00821330">
        <w:rPr>
          <w:rFonts w:asciiTheme="minorHAnsi" w:hAnsiTheme="minorHAnsi" w:cstheme="minorHAnsi"/>
          <w:bCs/>
          <w:sz w:val="22"/>
          <w:szCs w:val="22"/>
        </w:rPr>
        <w:tab/>
      </w:r>
      <w:r w:rsidRPr="00821330">
        <w:rPr>
          <w:rFonts w:asciiTheme="minorHAnsi" w:hAnsiTheme="minorHAnsi" w:cstheme="minorHAnsi"/>
          <w:sz w:val="22"/>
          <w:szCs w:val="22"/>
        </w:rPr>
        <w:t>Byloje nagrinėtu atveju važiavimo išlaidos pareiškėjams buvo atlygintos nevisiškai, t. y.</w:t>
      </w:r>
      <w:r w:rsidRPr="00821330">
        <w:rPr>
          <w:rFonts w:asciiTheme="minorHAnsi" w:hAnsiTheme="minorHAnsi" w:cstheme="minorHAnsi"/>
          <w:bCs/>
          <w:sz w:val="22"/>
          <w:szCs w:val="22"/>
        </w:rPr>
        <w:t xml:space="preserve"> pareiškėjams išmokėtos kompensacijos už važiavimo išlaidas buvo apskaičiuotos vadovaujantis </w:t>
      </w:r>
      <w:r w:rsidR="003B5269" w:rsidRPr="00821330">
        <w:rPr>
          <w:rFonts w:asciiTheme="minorHAnsi" w:hAnsiTheme="minorHAnsi" w:cstheme="minorHAnsi"/>
          <w:sz w:val="22"/>
          <w:szCs w:val="22"/>
        </w:rPr>
        <w:t xml:space="preserve">Lietuvos Respublikos vidaus reikalų ministro 2016 m. sausio 6 d. Nr. 1V-3 įsakymu patvirtino Vidaus tarnybos sistemos pareigūnų, kurie pagal tarnybos pobūdį važinėja keleiviniu ar asmeniniu transportu tarnybiniais tikslais, važiavimo išlaidų kompensavimo ir vidaus tarnybos sistemos pareigūnų, kurie pagal tarnybos reikmes ar pobūdį vyksta į tarnybos vietą ir iš jos, kelionės išlaidų apmokėjimo tvarkos aprašo (toliau – Aprašas) </w:t>
      </w:r>
      <w:r w:rsidRPr="00821330">
        <w:rPr>
          <w:rFonts w:asciiTheme="minorHAnsi" w:hAnsiTheme="minorHAnsi" w:cstheme="minorHAnsi"/>
          <w:bCs/>
          <w:sz w:val="22"/>
          <w:szCs w:val="22"/>
        </w:rPr>
        <w:t xml:space="preserve">15 punktu, kuriame buvo </w:t>
      </w:r>
      <w:r w:rsidRPr="00821330">
        <w:rPr>
          <w:rFonts w:asciiTheme="minorHAnsi" w:hAnsiTheme="minorHAnsi" w:cstheme="minorHAnsi"/>
          <w:sz w:val="22"/>
          <w:szCs w:val="22"/>
        </w:rPr>
        <w:t>numatyta, jog naudojant</w:t>
      </w:r>
      <w:r w:rsidRPr="00821330">
        <w:rPr>
          <w:rFonts w:asciiTheme="minorHAnsi" w:hAnsiTheme="minorHAnsi" w:cstheme="minorHAnsi"/>
          <w:bCs/>
          <w:sz w:val="22"/>
          <w:szCs w:val="22"/>
        </w:rPr>
        <w:t xml:space="preserve"> automobilius su dyzeliniais varikliais, hibridinius automobilius, elektromobilius ar vietoj benzino naudojant suskystintas naftos dujas, pagal tvarkos aprašo 13 punktą apskaičiuotos važiavimo išlaidos mažinamos 35 procentais. </w:t>
      </w:r>
    </w:p>
    <w:p w14:paraId="580E21D8" w14:textId="5BEC9EB4" w:rsidR="00B83958" w:rsidRPr="00821330" w:rsidRDefault="00597394" w:rsidP="00597394">
      <w:pPr>
        <w:tabs>
          <w:tab w:val="left" w:pos="567"/>
          <w:tab w:val="left" w:pos="6521"/>
        </w:tabs>
        <w:jc w:val="both"/>
        <w:rPr>
          <w:rFonts w:asciiTheme="minorHAnsi" w:hAnsiTheme="minorHAnsi" w:cstheme="minorHAnsi"/>
          <w:bCs/>
          <w:sz w:val="22"/>
          <w:szCs w:val="22"/>
        </w:rPr>
      </w:pPr>
      <w:r w:rsidRPr="00821330">
        <w:rPr>
          <w:rFonts w:asciiTheme="minorHAnsi" w:hAnsiTheme="minorHAnsi" w:cstheme="minorHAnsi"/>
          <w:bCs/>
          <w:sz w:val="22"/>
          <w:szCs w:val="22"/>
        </w:rPr>
        <w:tab/>
      </w:r>
      <w:r w:rsidR="00B83958" w:rsidRPr="00821330">
        <w:rPr>
          <w:rFonts w:asciiTheme="minorHAnsi" w:hAnsiTheme="minorHAnsi" w:cstheme="minorHAnsi"/>
          <w:sz w:val="22"/>
          <w:szCs w:val="22"/>
        </w:rPr>
        <w:t xml:space="preserve">Nagrinėdamas šią individualią bylą pirmosios instancijos teismas inicijavo norminio administracinio akto teisėtumo tyrimo bylą, kurioje </w:t>
      </w:r>
      <w:r w:rsidRPr="00821330">
        <w:rPr>
          <w:rFonts w:asciiTheme="minorHAnsi" w:hAnsiTheme="minorHAnsi" w:cstheme="minorHAnsi"/>
          <w:bCs/>
          <w:sz w:val="22"/>
          <w:szCs w:val="22"/>
        </w:rPr>
        <w:t>LVAT</w:t>
      </w:r>
      <w:r w:rsidR="00B83958" w:rsidRPr="00821330">
        <w:rPr>
          <w:rFonts w:asciiTheme="minorHAnsi" w:hAnsiTheme="minorHAnsi" w:cstheme="minorHAnsi"/>
          <w:bCs/>
          <w:sz w:val="22"/>
          <w:szCs w:val="22"/>
        </w:rPr>
        <w:t xml:space="preserve"> 2019 m. gegužės 16 d. sprendimu administracinėje byloje Nr. </w:t>
      </w:r>
      <w:r w:rsidR="00B83958" w:rsidRPr="00E71287">
        <w:rPr>
          <w:rFonts w:asciiTheme="minorHAnsi" w:hAnsiTheme="minorHAnsi" w:cstheme="minorHAnsi"/>
          <w:bCs/>
          <w:sz w:val="22"/>
          <w:szCs w:val="22"/>
        </w:rPr>
        <w:t>I-8-520/2019</w:t>
      </w:r>
      <w:r w:rsidR="00B83958" w:rsidRPr="00821330">
        <w:rPr>
          <w:rFonts w:asciiTheme="minorHAnsi" w:hAnsiTheme="minorHAnsi" w:cstheme="minorHAnsi"/>
          <w:bCs/>
          <w:sz w:val="22"/>
          <w:szCs w:val="22"/>
        </w:rPr>
        <w:t xml:space="preserve"> pripažino, kad Aprašo </w:t>
      </w:r>
      <w:r w:rsidR="00B83958" w:rsidRPr="00821330">
        <w:rPr>
          <w:rFonts w:asciiTheme="minorHAnsi" w:hAnsiTheme="minorHAnsi" w:cstheme="minorHAnsi"/>
          <w:bCs/>
          <w:sz w:val="22"/>
          <w:szCs w:val="22"/>
          <w:lang w:bidi="lt-LT"/>
        </w:rPr>
        <w:t xml:space="preserve">15 punktas ta apimtimi, kiek jame nustatyta, jog naudojant automobilius su dyzeliniais varikliais, pagal tvarkos aprašo 13 punktą apskaičiuotos važiavimo išlaidos mažinamos 35 procentais, prieštarauja </w:t>
      </w:r>
      <w:r w:rsidR="00B83958" w:rsidRPr="00821330">
        <w:rPr>
          <w:rFonts w:asciiTheme="minorHAnsi" w:hAnsiTheme="minorHAnsi" w:cstheme="minorHAnsi"/>
          <w:bCs/>
          <w:sz w:val="22"/>
          <w:szCs w:val="22"/>
        </w:rPr>
        <w:t xml:space="preserve">konstituciniam atsakingo valdymo principui. Taigi pareiškėjams važiavimo išlaidų kompensacija buvo apskaičiuota vadovaujantis teisės norma, kuri pripažinta prieštaraujančia aukštesnės teisinės galios </w:t>
      </w:r>
      <w:r w:rsidR="00C82C75" w:rsidRPr="00821330">
        <w:rPr>
          <w:rFonts w:asciiTheme="minorHAnsi" w:hAnsiTheme="minorHAnsi" w:cstheme="minorHAnsi"/>
          <w:bCs/>
          <w:sz w:val="22"/>
          <w:szCs w:val="22"/>
        </w:rPr>
        <w:t>normoms</w:t>
      </w:r>
      <w:r w:rsidR="00B83958" w:rsidRPr="00821330">
        <w:rPr>
          <w:rFonts w:asciiTheme="minorHAnsi" w:hAnsiTheme="minorHAnsi" w:cstheme="minorHAnsi"/>
          <w:bCs/>
          <w:sz w:val="22"/>
          <w:szCs w:val="22"/>
        </w:rPr>
        <w:t xml:space="preserve">. </w:t>
      </w:r>
    </w:p>
    <w:p w14:paraId="790F70B8" w14:textId="008F41A8" w:rsidR="00B83958" w:rsidRPr="00821330" w:rsidRDefault="00716F0A" w:rsidP="00B83958">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bCs/>
          <w:sz w:val="22"/>
          <w:szCs w:val="22"/>
        </w:rPr>
        <w:tab/>
        <w:t>Teisėjų kolegija pasisakė dėl teisinių pasekmių, pripažinus norminio administracinio akto normą neteisėta</w:t>
      </w:r>
      <w:r w:rsidR="00F533F0" w:rsidRPr="00821330">
        <w:rPr>
          <w:rFonts w:asciiTheme="minorHAnsi" w:hAnsiTheme="minorHAnsi" w:cstheme="minorHAnsi"/>
          <w:bCs/>
          <w:sz w:val="22"/>
          <w:szCs w:val="22"/>
        </w:rPr>
        <w:t>,</w:t>
      </w:r>
      <w:r w:rsidRPr="00821330">
        <w:rPr>
          <w:rFonts w:asciiTheme="minorHAnsi" w:hAnsiTheme="minorHAnsi" w:cstheme="minorHAnsi"/>
          <w:bCs/>
          <w:i/>
          <w:iCs/>
          <w:sz w:val="22"/>
          <w:szCs w:val="22"/>
        </w:rPr>
        <w:t xml:space="preserve"> </w:t>
      </w:r>
      <w:r w:rsidR="003C42D3" w:rsidRPr="00821330">
        <w:rPr>
          <w:rFonts w:asciiTheme="minorHAnsi" w:hAnsiTheme="minorHAnsi" w:cstheme="minorHAnsi"/>
          <w:bCs/>
          <w:sz w:val="22"/>
          <w:szCs w:val="22"/>
        </w:rPr>
        <w:t>o</w:t>
      </w:r>
      <w:r w:rsidRPr="00821330">
        <w:rPr>
          <w:rFonts w:asciiTheme="minorHAnsi" w:hAnsiTheme="minorHAnsi" w:cstheme="minorHAnsi"/>
          <w:bCs/>
          <w:i/>
          <w:iCs/>
          <w:sz w:val="22"/>
          <w:szCs w:val="22"/>
        </w:rPr>
        <w:t xml:space="preserve"> </w:t>
      </w:r>
      <w:r w:rsidRPr="00821330">
        <w:rPr>
          <w:rFonts w:asciiTheme="minorHAnsi" w:hAnsiTheme="minorHAnsi" w:cstheme="minorHAnsi"/>
          <w:sz w:val="22"/>
          <w:szCs w:val="22"/>
        </w:rPr>
        <w:t>atsakovo argumentai, kad pripažinta neteisėta norminio administracinio akto nuostata gali būti netaikoma tik tiems teisiniams santykiams, kurie susiklostė po oficialaus administracinio teismo sprendimo norminėje byloje paskelbimo, atmesti kaip nepagrįsti, nes taip būtų paneigta pareiškėjų teisė ginti savo pažeistas teises, o teismui – vykdyti teisingumą.</w:t>
      </w:r>
    </w:p>
    <w:p w14:paraId="08697518" w14:textId="51519B16" w:rsidR="003C42D3" w:rsidRPr="00821330" w:rsidRDefault="003C42D3" w:rsidP="003C42D3">
      <w:pPr>
        <w:tabs>
          <w:tab w:val="left" w:pos="567"/>
          <w:tab w:val="left" w:pos="6521"/>
        </w:tabs>
        <w:jc w:val="both"/>
        <w:rPr>
          <w:rFonts w:asciiTheme="minorHAnsi" w:hAnsiTheme="minorHAnsi" w:cstheme="minorHAnsi"/>
          <w:sz w:val="22"/>
          <w:szCs w:val="22"/>
          <w:u w:val="single"/>
        </w:rPr>
      </w:pPr>
      <w:r w:rsidRPr="00821330">
        <w:rPr>
          <w:rFonts w:asciiTheme="minorHAnsi" w:hAnsiTheme="minorHAnsi" w:cstheme="minorHAnsi"/>
          <w:sz w:val="22"/>
          <w:szCs w:val="22"/>
        </w:rPr>
        <w:tab/>
        <w:t xml:space="preserve">Teisėjų kolegija, spręsdama dėl pareiškėjų teisių gynimo būdo, pažymėjo, jog ginčas kilo dėl pareigūnų socialinės garantijos – važiavimo išlaidų kompensacijos – tinkamo užtikrinimo. Todėl yra būtina atsižvelgti į LVAT praktiką, formuojamą panašaus pobūdžio bylose, t. y. jog ne visais atvejais kreipiantis į teismą dėl įpareigojimo atlikti veiksmus, susijusius su socialinės garantijos tinkamu įgyvendinimu, yra reikalaujama iš pareiškėjų nuginčyti individualius administracinius aktus, kurių pagrindų socialinės garantijos nėra užtikrinamos. Pridurta, jog aptariamu atveju atsakovo sprendimas išmokėti pareiškėjams tik dalį važiavimo išlaidų kompensacijos ir atsisakymas išmokėti pagal Aprašo 15 punktą nesumažintą kompensaciją yra aiškūs. Vadovaudamasi išdėstytais argumentais, teisėjų kolegija sprendė, </w:t>
      </w:r>
      <w:r w:rsidR="00667665" w:rsidRPr="00667665">
        <w:rPr>
          <w:rFonts w:asciiTheme="minorHAnsi" w:hAnsiTheme="minorHAnsi" w:cstheme="minorHAnsi"/>
          <w:sz w:val="22"/>
          <w:szCs w:val="22"/>
        </w:rPr>
        <w:t>nustačius, kad atsakovas pareiškėjams važiavimo išlaidų kompensaciją išmokėjo apribodamas ją pagal Aprašo 15 punkto nuostatą, kuri pripažinta prieštaraujančia aukštesnės galios teisės aktams, pareiškėjų pažeistos teisės realiai gali būti apgintos priteisiant jiems neišmokėtos važiavimo išlaidų kompensacijos dalį, o ne panaikinant kiekvieną individualų administracinį aktą</w:t>
      </w:r>
      <w:r w:rsidR="00667665">
        <w:rPr>
          <w:rFonts w:asciiTheme="minorHAnsi" w:hAnsiTheme="minorHAnsi" w:cstheme="minorHAnsi"/>
          <w:sz w:val="22"/>
          <w:szCs w:val="22"/>
        </w:rPr>
        <w:t xml:space="preserve"> [kuriuo buvo išmokėta ne visa kompensacija]</w:t>
      </w:r>
      <w:r w:rsidR="00667665" w:rsidRPr="00667665">
        <w:rPr>
          <w:rFonts w:asciiTheme="minorHAnsi" w:hAnsiTheme="minorHAnsi" w:cstheme="minorHAnsi"/>
          <w:sz w:val="22"/>
          <w:szCs w:val="22"/>
        </w:rPr>
        <w:t xml:space="preserve"> atskirai.</w:t>
      </w:r>
    </w:p>
    <w:p w14:paraId="314DCCB8" w14:textId="15FBF266" w:rsidR="00D05A9F" w:rsidRPr="00821330" w:rsidRDefault="003C42D3" w:rsidP="00D05A9F">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bCs/>
          <w:sz w:val="22"/>
          <w:szCs w:val="22"/>
        </w:rPr>
        <w:tab/>
      </w:r>
      <w:r w:rsidR="00471673" w:rsidRPr="00821330">
        <w:rPr>
          <w:rFonts w:asciiTheme="minorHAnsi" w:hAnsiTheme="minorHAnsi" w:cstheme="minorHAnsi"/>
          <w:bCs/>
          <w:sz w:val="22"/>
          <w:szCs w:val="22"/>
        </w:rPr>
        <w:t>Teisėjų kolegija nustatė, kad v</w:t>
      </w:r>
      <w:r w:rsidRPr="00821330">
        <w:rPr>
          <w:rFonts w:asciiTheme="minorHAnsi" w:hAnsiTheme="minorHAnsi" w:cstheme="minorHAnsi"/>
          <w:bCs/>
          <w:sz w:val="22"/>
          <w:szCs w:val="22"/>
        </w:rPr>
        <w:t xml:space="preserve">idaus reikalų ministro </w:t>
      </w:r>
      <w:r w:rsidRPr="00821330">
        <w:rPr>
          <w:rFonts w:asciiTheme="minorHAnsi" w:hAnsiTheme="minorHAnsi" w:cstheme="minorHAnsi"/>
          <w:sz w:val="22"/>
          <w:szCs w:val="22"/>
        </w:rPr>
        <w:t>2019 m. kovo 4 d. įsakymas Nr. 1V-216, kuriuo Aprašas pripažintas netekusiu galios, įsigaliojo nuo 2019 m. kovo 8 d., o pagal atsakovo pateiktus duomenis, pareiškėjams važiavimo išlaid</w:t>
      </w:r>
      <w:r w:rsidR="00E82187">
        <w:rPr>
          <w:rFonts w:asciiTheme="minorHAnsi" w:hAnsiTheme="minorHAnsi" w:cstheme="minorHAnsi"/>
          <w:sz w:val="22"/>
          <w:szCs w:val="22"/>
        </w:rPr>
        <w:t>ų</w:t>
      </w:r>
      <w:r w:rsidRPr="00821330">
        <w:rPr>
          <w:rFonts w:asciiTheme="minorHAnsi" w:hAnsiTheme="minorHAnsi" w:cstheme="minorHAnsi"/>
          <w:sz w:val="22"/>
          <w:szCs w:val="22"/>
        </w:rPr>
        <w:t xml:space="preserve"> kompensacijos, taikant Aprašo 15 punktą, taip pat buvo apskaičiuojamos iki 2019 m. kovo 8 d. </w:t>
      </w:r>
      <w:r w:rsidR="00D05A9F" w:rsidRPr="00821330">
        <w:rPr>
          <w:rFonts w:asciiTheme="minorHAnsi" w:hAnsiTheme="minorHAnsi" w:cstheme="minorHAnsi"/>
          <w:sz w:val="22"/>
          <w:szCs w:val="22"/>
        </w:rPr>
        <w:t xml:space="preserve">Teisėjų kolegija </w:t>
      </w:r>
      <w:r w:rsidRPr="00821330">
        <w:rPr>
          <w:rFonts w:asciiTheme="minorHAnsi" w:hAnsiTheme="minorHAnsi" w:cstheme="minorHAnsi"/>
          <w:sz w:val="22"/>
          <w:szCs w:val="22"/>
        </w:rPr>
        <w:t>laik</w:t>
      </w:r>
      <w:r w:rsidR="00D05A9F" w:rsidRPr="00821330">
        <w:rPr>
          <w:rFonts w:asciiTheme="minorHAnsi" w:hAnsiTheme="minorHAnsi" w:cstheme="minorHAnsi"/>
          <w:sz w:val="22"/>
          <w:szCs w:val="22"/>
        </w:rPr>
        <w:t>ė</w:t>
      </w:r>
      <w:r w:rsidRPr="00821330">
        <w:rPr>
          <w:rFonts w:asciiTheme="minorHAnsi" w:hAnsiTheme="minorHAnsi" w:cstheme="minorHAnsi"/>
          <w:sz w:val="22"/>
          <w:szCs w:val="22"/>
        </w:rPr>
        <w:t>, kad ginčo dėl to, jog pareiškėjams priklausanti važiavimo išlaidų kompensacijos suma apima laikotarpį iki 2019 m. kovo 8 d., nek</w:t>
      </w:r>
      <w:r w:rsidR="00D05A9F" w:rsidRPr="00821330">
        <w:rPr>
          <w:rFonts w:asciiTheme="minorHAnsi" w:hAnsiTheme="minorHAnsi" w:cstheme="minorHAnsi"/>
          <w:sz w:val="22"/>
          <w:szCs w:val="22"/>
        </w:rPr>
        <w:t>ilo</w:t>
      </w:r>
      <w:r w:rsidRPr="00821330">
        <w:rPr>
          <w:rFonts w:asciiTheme="minorHAnsi" w:hAnsiTheme="minorHAnsi" w:cstheme="minorHAnsi"/>
          <w:sz w:val="22"/>
          <w:szCs w:val="22"/>
        </w:rPr>
        <w:t xml:space="preserve">. </w:t>
      </w:r>
    </w:p>
    <w:p w14:paraId="2151BB43" w14:textId="706227BA" w:rsidR="00D05A9F" w:rsidRPr="00821330" w:rsidRDefault="00D05A9F" w:rsidP="003C42D3">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t xml:space="preserve">Vis tik pirmosios instancijos teismas tik </w:t>
      </w:r>
      <w:r w:rsidRPr="00821330">
        <w:rPr>
          <w:rFonts w:asciiTheme="minorHAnsi" w:hAnsiTheme="minorHAnsi" w:cstheme="minorHAnsi"/>
          <w:sz w:val="22"/>
          <w:szCs w:val="22"/>
          <w:lang w:bidi="lt-LT"/>
        </w:rPr>
        <w:t>įpareigojo atsakovą</w:t>
      </w:r>
      <w:r w:rsidRPr="00821330">
        <w:rPr>
          <w:rFonts w:asciiTheme="minorHAnsi" w:hAnsiTheme="minorHAnsi" w:cstheme="minorHAnsi"/>
          <w:sz w:val="22"/>
          <w:szCs w:val="22"/>
        </w:rPr>
        <w:t xml:space="preserve"> </w:t>
      </w:r>
      <w:r w:rsidRPr="00821330">
        <w:rPr>
          <w:rFonts w:asciiTheme="minorHAnsi" w:hAnsiTheme="minorHAnsi" w:cstheme="minorHAnsi"/>
          <w:bCs/>
          <w:sz w:val="22"/>
          <w:szCs w:val="22"/>
        </w:rPr>
        <w:t>apskaičiuoti ir išmokėti pareiškėjams</w:t>
      </w:r>
      <w:r w:rsidRPr="00821330">
        <w:rPr>
          <w:rFonts w:asciiTheme="minorHAnsi" w:hAnsiTheme="minorHAnsi" w:cstheme="minorHAnsi"/>
          <w:sz w:val="22"/>
          <w:szCs w:val="22"/>
        </w:rPr>
        <w:t xml:space="preserve"> važiavimo išlaidų kompensacijos už kurą nepriemokas laikotarpiu nuo 2016 m. sausio 1 d. iki 2019 m. kovo 3 d. </w:t>
      </w:r>
      <w:r w:rsidRPr="00821330">
        <w:rPr>
          <w:rFonts w:asciiTheme="minorHAnsi" w:hAnsiTheme="minorHAnsi" w:cstheme="minorHAnsi"/>
          <w:sz w:val="22"/>
          <w:szCs w:val="22"/>
        </w:rPr>
        <w:lastRenderedPageBreak/>
        <w:t>Teisėjų kolegijos vertinimu, tokia teismo sprendimo formuluotė neatitinka teisinio aiškumo kriterijų, galėtų sukelti naujus teisinius ginčus ateityje, nes atsakovui tarsi paliekama diskrecija iš naujo nustatyti, kokio dydžio važiavimo išlaidų kompensacija turėtų būti sumokama. Nustačiusi, jog pirmosios instancijos teismas nepagrįstai nurodė, kad nuo 2019 m. kovo 4 d. pareiškėjams kelionės išlaidos turi būti kompensuojamos pagal naują kompensavimo tvarką, t. y. jog atsakovas atsisakė neišmokėtą važiavimo išlaidų kompensaciją mokėti tik iki 2019 m. kovo 3 d., taip pat nustačiusi, jog ginčo dėl matematini</w:t>
      </w:r>
      <w:r w:rsidR="00E82187">
        <w:rPr>
          <w:rFonts w:asciiTheme="minorHAnsi" w:hAnsiTheme="minorHAnsi" w:cstheme="minorHAnsi"/>
          <w:sz w:val="22"/>
          <w:szCs w:val="22"/>
        </w:rPr>
        <w:t>o</w:t>
      </w:r>
      <w:r w:rsidRPr="00821330">
        <w:rPr>
          <w:rFonts w:asciiTheme="minorHAnsi" w:hAnsiTheme="minorHAnsi" w:cstheme="minorHAnsi"/>
          <w:sz w:val="22"/>
          <w:szCs w:val="22"/>
        </w:rPr>
        <w:t xml:space="preserve"> kompensacijos sumų apskaičiavimo laikotarpiu nuo 2016 m. sausio 1 d. iki 2019 m. kovo 8 d. tarp šalių nėra, bei tai, jog pareiškėjams priklausanti važiavimo išlaidų kompensacijos suma apima laikotarpį iki 2019 m. kovo 8 d., teisėjų kolegija vertino, kad yra pagrindas pirmosios instancijos teismo sprendimą pakeisti ir priteisti pareiškėjams iš atsakovo konkrečias neišmokėtos važiavimo išlaidų kompensacijos sumas</w:t>
      </w:r>
      <w:r w:rsidR="00AA2F46" w:rsidRPr="00AA2F46">
        <w:rPr>
          <w:color w:val="000000"/>
        </w:rPr>
        <w:t xml:space="preserve"> </w:t>
      </w:r>
      <w:r w:rsidR="00AA2F46" w:rsidRPr="00AA2F46">
        <w:rPr>
          <w:rFonts w:asciiTheme="minorHAnsi" w:hAnsiTheme="minorHAnsi" w:cstheme="minorHAnsi"/>
          <w:sz w:val="22"/>
          <w:szCs w:val="22"/>
        </w:rPr>
        <w:t>už laikotarpį nuo 2016 m. sausio 1 d. iki 2019 m. kovo 8 d.</w:t>
      </w:r>
      <w:r w:rsidRPr="00821330">
        <w:rPr>
          <w:rFonts w:asciiTheme="minorHAnsi" w:hAnsiTheme="minorHAnsi" w:cstheme="minorHAnsi"/>
          <w:sz w:val="22"/>
          <w:szCs w:val="22"/>
        </w:rPr>
        <w:t xml:space="preserve"> </w:t>
      </w:r>
    </w:p>
    <w:p w14:paraId="455600DE" w14:textId="52831613" w:rsidR="00D05A9F" w:rsidRPr="00821330" w:rsidRDefault="00D05A9F" w:rsidP="00D05A9F">
      <w:pPr>
        <w:tabs>
          <w:tab w:val="left" w:pos="567"/>
          <w:tab w:val="left" w:pos="6521"/>
        </w:tabs>
        <w:jc w:val="both"/>
        <w:rPr>
          <w:rFonts w:asciiTheme="minorHAnsi" w:hAnsiTheme="minorHAnsi" w:cstheme="minorHAnsi"/>
          <w:sz w:val="22"/>
          <w:szCs w:val="22"/>
        </w:rPr>
      </w:pPr>
      <w:r w:rsidRPr="00821330">
        <w:rPr>
          <w:rFonts w:asciiTheme="minorHAnsi" w:hAnsiTheme="minorHAnsi" w:cstheme="minorHAnsi"/>
          <w:sz w:val="22"/>
          <w:szCs w:val="22"/>
        </w:rPr>
        <w:tab/>
        <w:t>Teisėjų kolegija vertino, jog bylos grąžinimas nagrinėti iš naujo pirmosios instancijos teismui nebūtų tikslingas ir neprisidėtų prie operatyvaus, ekonomiško ir koncentruoto ginčo išsprendimo. Aptariamu atveju pirmosios instancijos teismo sprendimo pakeitimas nelaikytas atsakovo padėties pabloginimu, kadangi tokiu būdu, atsakovui iš esmės nekvestionuojant neišmokėtos kompensacijos dalies dydžio ir laikotarpio, prisidedama prie teisinio aiškumo užtikrinimo, užkertamas kelias naujo ginčo kilimui bei įgyvendinami proceso operatyvumo, ekonomiškumo ir koncentruotumo principai.</w:t>
      </w:r>
    </w:p>
    <w:p w14:paraId="703F6396" w14:textId="77777777" w:rsidR="00E66470" w:rsidRPr="00821330" w:rsidRDefault="00E66470" w:rsidP="00E66470">
      <w:pPr>
        <w:tabs>
          <w:tab w:val="left" w:pos="567"/>
        </w:tabs>
        <w:rPr>
          <w:rFonts w:eastAsiaTheme="minorEastAsia"/>
          <w:sz w:val="22"/>
          <w:szCs w:val="22"/>
        </w:rPr>
      </w:pPr>
    </w:p>
    <w:p w14:paraId="5B5E713C" w14:textId="680ADB1D" w:rsidR="00E66470" w:rsidRPr="00821330" w:rsidRDefault="00E66470" w:rsidP="00E66470">
      <w:pPr>
        <w:jc w:val="both"/>
        <w:rPr>
          <w:rFonts w:asciiTheme="minorHAnsi" w:hAnsiTheme="minorHAnsi" w:cstheme="minorHAnsi"/>
          <w:sz w:val="22"/>
          <w:szCs w:val="22"/>
        </w:rPr>
      </w:pPr>
      <w:r w:rsidRPr="00821330">
        <w:rPr>
          <w:rFonts w:asciiTheme="minorHAnsi" w:hAnsiTheme="minorHAnsi" w:cstheme="minorHAnsi"/>
          <w:sz w:val="22"/>
          <w:szCs w:val="22"/>
        </w:rPr>
        <w:t>2019 m. gruodžio 4 d. nutartis administracinėje byloje Nr. A-5468-552/2019</w:t>
      </w:r>
    </w:p>
    <w:p w14:paraId="512AE9BB" w14:textId="77777777" w:rsidR="00E66470" w:rsidRPr="00821330" w:rsidRDefault="00E66470" w:rsidP="00E66470">
      <w:pPr>
        <w:jc w:val="both"/>
        <w:rPr>
          <w:rFonts w:asciiTheme="minorHAnsi" w:hAnsiTheme="minorHAnsi" w:cstheme="minorHAnsi"/>
          <w:sz w:val="22"/>
          <w:szCs w:val="22"/>
        </w:rPr>
      </w:pPr>
      <w:r w:rsidRPr="00821330">
        <w:rPr>
          <w:rFonts w:asciiTheme="minorHAnsi" w:hAnsiTheme="minorHAnsi" w:cstheme="minorHAnsi"/>
          <w:sz w:val="22"/>
          <w:szCs w:val="22"/>
        </w:rPr>
        <w:t>Teisminio proceso Nr. 3-61-3-02387-2016-2</w:t>
      </w:r>
    </w:p>
    <w:p w14:paraId="76558A17" w14:textId="77777777" w:rsidR="00E66470" w:rsidRPr="00821330" w:rsidRDefault="00E66470" w:rsidP="00E66470">
      <w:pPr>
        <w:jc w:val="both"/>
        <w:rPr>
          <w:rFonts w:asciiTheme="minorHAnsi" w:hAnsiTheme="minorHAnsi" w:cstheme="minorHAnsi"/>
          <w:sz w:val="22"/>
          <w:szCs w:val="22"/>
        </w:rPr>
      </w:pPr>
      <w:r w:rsidRPr="00821330">
        <w:rPr>
          <w:rFonts w:asciiTheme="minorHAnsi" w:hAnsiTheme="minorHAnsi" w:cstheme="minorHAnsi"/>
          <w:sz w:val="22"/>
          <w:szCs w:val="22"/>
        </w:rPr>
        <w:t>Procesinio sprendimo kategorija 22.7</w:t>
      </w:r>
    </w:p>
    <w:p w14:paraId="2D1D3F1F" w14:textId="50F89921" w:rsidR="00E66470" w:rsidRPr="00821330" w:rsidRDefault="00E956D9" w:rsidP="00E66470">
      <w:pPr>
        <w:jc w:val="both"/>
        <w:rPr>
          <w:rFonts w:asciiTheme="minorHAnsi" w:hAnsiTheme="minorHAnsi" w:cstheme="minorHAnsi"/>
          <w:sz w:val="22"/>
          <w:szCs w:val="22"/>
        </w:rPr>
      </w:pPr>
      <w:hyperlink r:id="rId33" w:history="1">
        <w:r w:rsidR="00E66470" w:rsidRPr="00821330">
          <w:rPr>
            <w:rStyle w:val="Hipersaitas"/>
            <w:rFonts w:asciiTheme="minorHAnsi" w:hAnsiTheme="minorHAnsi" w:cstheme="minorHAnsi"/>
            <w:sz w:val="22"/>
            <w:szCs w:val="22"/>
          </w:rPr>
          <w:t>Prieiga internete</w:t>
        </w:r>
      </w:hyperlink>
    </w:p>
    <w:bookmarkEnd w:id="88"/>
    <w:p w14:paraId="44F9C1DA" w14:textId="77777777" w:rsidR="000B1B87" w:rsidRPr="00821330" w:rsidRDefault="000B1B87" w:rsidP="00496E0E">
      <w:pPr>
        <w:rPr>
          <w:rFonts w:asciiTheme="minorHAnsi" w:hAnsiTheme="minorHAnsi" w:cstheme="minorHAnsi"/>
          <w:sz w:val="22"/>
          <w:szCs w:val="22"/>
        </w:rPr>
      </w:pPr>
    </w:p>
    <w:p w14:paraId="52733676" w14:textId="77777777" w:rsidR="00642D78" w:rsidRPr="00821330" w:rsidRDefault="00642D78" w:rsidP="00642D78">
      <w:pPr>
        <w:pStyle w:val="Antrat1"/>
        <w:rPr>
          <w:rFonts w:ascii="Calibri" w:hAnsi="Calibri"/>
        </w:rPr>
      </w:pPr>
      <w:bookmarkStart w:id="92" w:name="_Toc774931"/>
      <w:bookmarkStart w:id="93" w:name="_Toc32243600"/>
      <w:r w:rsidRPr="00821330">
        <w:rPr>
          <w:rFonts w:ascii="Calibri" w:hAnsi="Calibri"/>
        </w:rPr>
        <w:t>23. Vyriausiosios tarnybinės etikos komisijos sprendimai</w:t>
      </w:r>
      <w:bookmarkEnd w:id="92"/>
      <w:bookmarkEnd w:id="93"/>
    </w:p>
    <w:p w14:paraId="28FD3A7D" w14:textId="77777777" w:rsidR="00642D78" w:rsidRPr="00821330" w:rsidRDefault="00642D78" w:rsidP="00642D78">
      <w:pPr>
        <w:ind w:firstLine="567"/>
        <w:jc w:val="both"/>
        <w:rPr>
          <w:rFonts w:ascii="Calibri" w:hAnsi="Calibri"/>
          <w:b/>
          <w:sz w:val="22"/>
          <w:szCs w:val="22"/>
          <w:u w:val="single"/>
        </w:rPr>
      </w:pPr>
      <w:r w:rsidRPr="00821330">
        <w:rPr>
          <w:rFonts w:ascii="Calibri" w:hAnsi="Calibri"/>
          <w:b/>
          <w:sz w:val="22"/>
          <w:szCs w:val="22"/>
          <w:u w:val="single"/>
        </w:rPr>
        <w:t>23.2. Reikalavimai asmenims, dirbantiems valstybinėje tarnyboje</w:t>
      </w:r>
    </w:p>
    <w:p w14:paraId="15B99D49"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0CD3C520" w14:textId="77777777" w:rsidR="00642D78" w:rsidRPr="00821330" w:rsidRDefault="00642D78" w:rsidP="00F31DA2">
      <w:pPr>
        <w:pStyle w:val="Antrat2"/>
      </w:pPr>
      <w:bookmarkStart w:id="94" w:name="_Toc32243601"/>
      <w:r w:rsidRPr="00821330">
        <w:t>Dėl narystės asociacijoje sustabdymo reikšmės Viešųjų ir privačių interesų derinimo valstybės tarnyboje įstatymo prasme</w:t>
      </w:r>
      <w:bookmarkEnd w:id="94"/>
    </w:p>
    <w:p w14:paraId="333E1AAB" w14:textId="77777777" w:rsidR="00642D78" w:rsidRPr="00821330" w:rsidRDefault="00642D78" w:rsidP="00642D78">
      <w:pPr>
        <w:shd w:val="clear" w:color="auto" w:fill="FFFFFF"/>
        <w:tabs>
          <w:tab w:val="left" w:pos="3119"/>
        </w:tabs>
        <w:ind w:right="-1" w:firstLine="567"/>
        <w:jc w:val="both"/>
        <w:rPr>
          <w:rFonts w:ascii="Calibri" w:hAnsi="Calibri" w:cs="Calibri"/>
          <w:sz w:val="22"/>
          <w:szCs w:val="22"/>
        </w:rPr>
      </w:pPr>
    </w:p>
    <w:p w14:paraId="7091D4E1" w14:textId="5BD08DA3"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hAnsi="Calibri" w:cs="Calibri"/>
          <w:sz w:val="22"/>
          <w:szCs w:val="22"/>
        </w:rPr>
        <w:t>Ginčas nagrinėtoje byloje kilo dėl Vyriausiosios tarnybinės etikos</w:t>
      </w:r>
      <w:r w:rsidR="00C82C75" w:rsidRPr="00821330">
        <w:rPr>
          <w:rFonts w:ascii="Calibri" w:hAnsi="Calibri" w:cs="Calibri"/>
          <w:sz w:val="22"/>
          <w:szCs w:val="22"/>
        </w:rPr>
        <w:t xml:space="preserve"> komisijos (toliau – Komisija) s</w:t>
      </w:r>
      <w:r w:rsidRPr="00821330">
        <w:rPr>
          <w:rFonts w:ascii="Calibri" w:hAnsi="Calibri" w:cs="Calibri"/>
          <w:sz w:val="22"/>
          <w:szCs w:val="22"/>
        </w:rPr>
        <w:t>prendimo, kuriuo pripažinta, kad pareiškėjas pažeidė Viešųjų ir privačių interesų derinimo valstybinėje</w:t>
      </w:r>
      <w:r w:rsidR="00C82C75" w:rsidRPr="00821330">
        <w:rPr>
          <w:rFonts w:ascii="Calibri" w:hAnsi="Calibri" w:cs="Calibri"/>
          <w:sz w:val="22"/>
          <w:szCs w:val="22"/>
        </w:rPr>
        <w:t xml:space="preserve"> tarnyboje įstatymo (toliau –</w:t>
      </w:r>
      <w:r w:rsidRPr="00821330">
        <w:rPr>
          <w:rFonts w:ascii="Calibri" w:hAnsi="Calibri" w:cs="Calibri"/>
          <w:sz w:val="22"/>
          <w:szCs w:val="22"/>
        </w:rPr>
        <w:t xml:space="preserve"> Įstatymas) nuostatas, teisėtumo ir pagrįstumo. P</w:t>
      </w:r>
      <w:r w:rsidRPr="00821330">
        <w:rPr>
          <w:rFonts w:ascii="Calibri" w:eastAsia="Calibri" w:hAnsi="Calibri"/>
          <w:sz w:val="22"/>
          <w:szCs w:val="22"/>
          <w:lang w:eastAsia="en-US"/>
        </w:rPr>
        <w:t xml:space="preserve">areiškėjas pripažintas pažeidęs Įstatymą tuo, kad, būdamas savivaldybės administracijos direktoriumi, rengė, pristatė savivaldybės tarybai ir dalyvavo svarstant </w:t>
      </w:r>
      <w:r w:rsidR="00C82C75" w:rsidRPr="00821330">
        <w:rPr>
          <w:rFonts w:ascii="Calibri" w:eastAsia="Calibri" w:hAnsi="Calibri"/>
          <w:sz w:val="22"/>
          <w:szCs w:val="22"/>
          <w:lang w:eastAsia="en-US"/>
        </w:rPr>
        <w:t xml:space="preserve">Raseinių rajono savivaldybės tarybos (toliau – Taryba) </w:t>
      </w:r>
      <w:r w:rsidRPr="00821330">
        <w:rPr>
          <w:rFonts w:ascii="Calibri" w:eastAsia="Calibri" w:hAnsi="Calibri"/>
          <w:sz w:val="22"/>
          <w:szCs w:val="22"/>
          <w:lang w:eastAsia="en-US"/>
        </w:rPr>
        <w:t xml:space="preserve">sprendimą, kuris buvo inicijuotas </w:t>
      </w:r>
      <w:r w:rsidR="00C82C75" w:rsidRPr="00821330">
        <w:rPr>
          <w:rFonts w:ascii="Calibri" w:eastAsia="Calibri" w:hAnsi="Calibri"/>
          <w:sz w:val="22"/>
          <w:szCs w:val="22"/>
          <w:lang w:eastAsia="en-US"/>
        </w:rPr>
        <w:t xml:space="preserve">asociacijos Raseinių krašto ateities sąjūdis „Rasai“ (toliau – Asociacija) </w:t>
      </w:r>
      <w:r w:rsidRPr="00821330">
        <w:rPr>
          <w:rFonts w:ascii="Calibri" w:eastAsia="Calibri" w:hAnsi="Calibri"/>
          <w:sz w:val="22"/>
          <w:szCs w:val="22"/>
          <w:lang w:eastAsia="en-US"/>
        </w:rPr>
        <w:t>bei susijęs su tolesne Asociacijos veikla. Pareiškėjas Komisijos sprendimą kvestionavo tuo aspektu, kad jis, tapęs savivaldybės administracijos direktoriumi, buvo sustabdęs savo narystę Asociacijoje, jos neatstovavo, todėl rengdamas ir pateikdamas su šia visuomenine organizacija susijusį sprendimą savivaldybės tarybos posėdyje, nesukėlė interesų konflikto, veikė vedamas tik viešojo intereso. Pirmosios instancijos teismas pareiškėjo skundą atmetė, konstatavęs, kad vien laikinas narystės sustabdymas visuomeninėje organizacijoje nereiškia, kad asmuo nebeturi privačių interesų, susijusių su šia organizacija.</w:t>
      </w:r>
    </w:p>
    <w:p w14:paraId="25A0B5E0"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 xml:space="preserve">Bylą nagrinėjusi teisėjų kolegija, remdamasi LVAT praktika, sutiko su pirmosios instancijos teismo padarytomis išvadomis bei pažymėjo, jog Įstatymo 11 straipsnio 1 dalies nuostatų pažeidimui konstatuoti pakako aplinkybės, jog pareiškėjas dalyvavo rengiant ir svarstant sprendimą, susijusį su Asociacija. LVAT vertinimu, </w:t>
      </w:r>
      <w:r w:rsidRPr="00821330">
        <w:rPr>
          <w:rFonts w:ascii="Calibri" w:eastAsia="Calibri" w:hAnsi="Calibri"/>
          <w:sz w:val="22"/>
          <w:szCs w:val="22"/>
          <w:u w:val="single"/>
          <w:lang w:eastAsia="en-US"/>
        </w:rPr>
        <w:t>aplinkybė, jog pareiškėjas buvo sustabdęs savo narystę Asociacijoje, nekeitė situacijos vertinimo</w:t>
      </w:r>
      <w:r w:rsidRPr="00821330">
        <w:rPr>
          <w:rFonts w:ascii="Calibri" w:eastAsia="Calibri" w:hAnsi="Calibri"/>
          <w:sz w:val="22"/>
          <w:szCs w:val="22"/>
          <w:lang w:eastAsia="en-US"/>
        </w:rPr>
        <w:t>. Nors pareiškėjas teigė, jog narystės suspendavimo laikotarpiu jis savęs nelaikė tos organizacijos nariu ir nesinaudojo narystės teikiamais privalumais, tačiau įvertinusi tai, kad pareiškėjas inicijavo ir patį Asociacijos kreipimąsi į Tarybą bei Tarybos posėdyje, pristatydamas sprendimo projektą vartojo tokias lingvistines konstrukcijas, kurios sudarė įspūdį, kad pareiškėjas kalbėjo savo ar jam artimų žmonių grupės vardu, turėdamas šališką teigiamą nusistatymą svarstomu klausimu, teisėjų kolegija pripažino, kad pareiškėjas šio sprendimo rengimo ir priėmimo procese iš esmės atstovavo Asociacijai, rūpindamasis šios organizacijos interesais, taigi minėtu metu pareiškėją veikė interesų konfliktas ir jis privalėjo nusišalinti nuo dalyvavimo rengiant ir svarstant Tarybos sprendimą. LVAT pažymėjo ir tai, kad pareiškėjas buvo tik laikinai sustabdęs savo narystę, kas suponavo išvadą, kad jis siejo savo ateities planus su dalyvavimu vėlesnėje Asociacijos veikloje.</w:t>
      </w:r>
    </w:p>
    <w:p w14:paraId="216E08DA"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lastRenderedPageBreak/>
        <w:t>LVAT nutartimi pirmosios instancijos teismo sprendimas paliktas nepakeistas, o pareiškėjo apeliacinis skundas atmestas.</w:t>
      </w:r>
    </w:p>
    <w:p w14:paraId="155648B2"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p>
    <w:p w14:paraId="2A2FA2AB"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2019 m. gruodžio 18 d. nutartis administracinėje byloje Nr. eA-1828-552/2019</w:t>
      </w:r>
    </w:p>
    <w:p w14:paraId="008030F9"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Teisminio proceso Nr. 3-61-3-00092-2018-5</w:t>
      </w:r>
    </w:p>
    <w:p w14:paraId="50E3726F"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Procesinio sprendimo kategorijos: 23.2; 23.4</w:t>
      </w:r>
    </w:p>
    <w:p w14:paraId="40A9EC16" w14:textId="77777777" w:rsidR="00642D78" w:rsidRPr="00821330" w:rsidRDefault="00E956D9" w:rsidP="00642D78">
      <w:pPr>
        <w:jc w:val="both"/>
        <w:rPr>
          <w:rFonts w:ascii="Calibri" w:eastAsia="Calibri" w:hAnsi="Calibri"/>
          <w:bCs/>
          <w:sz w:val="22"/>
          <w:szCs w:val="22"/>
          <w:lang w:eastAsia="en-US"/>
        </w:rPr>
      </w:pPr>
      <w:hyperlink r:id="rId34" w:history="1">
        <w:r w:rsidR="00642D78" w:rsidRPr="00821330">
          <w:rPr>
            <w:rFonts w:ascii="Calibri" w:eastAsia="Calibri" w:hAnsi="Calibri"/>
            <w:bCs/>
            <w:color w:val="0000FF"/>
            <w:sz w:val="22"/>
            <w:szCs w:val="22"/>
            <w:u w:val="single"/>
            <w:lang w:eastAsia="en-US"/>
          </w:rPr>
          <w:t xml:space="preserve">Prieiga internete </w:t>
        </w:r>
      </w:hyperlink>
      <w:r w:rsidR="00642D78" w:rsidRPr="00821330">
        <w:rPr>
          <w:rFonts w:ascii="Calibri" w:eastAsia="Calibri" w:hAnsi="Calibri"/>
          <w:bCs/>
          <w:sz w:val="22"/>
          <w:szCs w:val="22"/>
          <w:lang w:eastAsia="en-US"/>
        </w:rPr>
        <w:t xml:space="preserve"> </w:t>
      </w:r>
    </w:p>
    <w:p w14:paraId="6D6DA752" w14:textId="23BAA302" w:rsidR="00642D78" w:rsidRPr="00821330" w:rsidRDefault="00642D78" w:rsidP="00496E0E">
      <w:pPr>
        <w:rPr>
          <w:rFonts w:asciiTheme="minorHAnsi" w:hAnsiTheme="minorHAnsi" w:cstheme="minorHAnsi"/>
          <w:sz w:val="22"/>
          <w:szCs w:val="22"/>
        </w:rPr>
      </w:pPr>
    </w:p>
    <w:p w14:paraId="5125784C" w14:textId="77777777" w:rsidR="00621F73" w:rsidRPr="00821330" w:rsidRDefault="00621F73" w:rsidP="00621F73">
      <w:pPr>
        <w:pStyle w:val="Antrat1"/>
        <w:rPr>
          <w:rFonts w:asciiTheme="minorHAnsi" w:hAnsiTheme="minorHAnsi" w:cstheme="minorHAnsi"/>
        </w:rPr>
      </w:pPr>
      <w:bookmarkStart w:id="95" w:name="_Toc462149988"/>
      <w:bookmarkStart w:id="96" w:name="_Toc32243602"/>
      <w:r w:rsidRPr="00821330">
        <w:rPr>
          <w:rFonts w:asciiTheme="minorHAnsi" w:hAnsiTheme="minorHAnsi" w:cstheme="minorHAnsi"/>
        </w:rPr>
        <w:t>24. Vietos savivalda</w:t>
      </w:r>
      <w:bookmarkEnd w:id="95"/>
      <w:bookmarkEnd w:id="96"/>
    </w:p>
    <w:p w14:paraId="2584E989" w14:textId="77777777" w:rsidR="00621F73" w:rsidRPr="00821330" w:rsidRDefault="00621F73" w:rsidP="00BC1FDE">
      <w:pPr>
        <w:tabs>
          <w:tab w:val="left" w:pos="567"/>
        </w:tabs>
        <w:ind w:left="851" w:hanging="284"/>
        <w:rPr>
          <w:rFonts w:asciiTheme="minorHAnsi" w:hAnsiTheme="minorHAnsi" w:cstheme="minorHAnsi"/>
          <w:b/>
          <w:sz w:val="22"/>
          <w:szCs w:val="22"/>
          <w:u w:val="single"/>
        </w:rPr>
      </w:pPr>
      <w:r w:rsidRPr="00821330">
        <w:rPr>
          <w:rFonts w:asciiTheme="minorHAnsi" w:hAnsiTheme="minorHAnsi" w:cstheme="minorHAnsi"/>
          <w:b/>
          <w:sz w:val="22"/>
          <w:szCs w:val="22"/>
          <w:u w:val="single"/>
        </w:rPr>
        <w:t>24.7. Kiti su vietos savivalda susiję klausimai</w:t>
      </w:r>
    </w:p>
    <w:p w14:paraId="76FFE2CA" w14:textId="77777777" w:rsidR="00621F73" w:rsidRPr="00821330" w:rsidRDefault="00621F73" w:rsidP="00621F73">
      <w:pPr>
        <w:ind w:firstLine="567"/>
        <w:jc w:val="both"/>
        <w:rPr>
          <w:rFonts w:asciiTheme="minorHAnsi" w:hAnsiTheme="minorHAnsi" w:cstheme="minorHAnsi"/>
          <w:sz w:val="22"/>
          <w:szCs w:val="22"/>
        </w:rPr>
      </w:pPr>
    </w:p>
    <w:p w14:paraId="51AC5E29" w14:textId="07DBEC47" w:rsidR="00621F73" w:rsidRPr="00821330" w:rsidRDefault="00621F73" w:rsidP="00621F73">
      <w:pPr>
        <w:pStyle w:val="Antrat2"/>
        <w:rPr>
          <w:i w:val="0"/>
        </w:rPr>
      </w:pPr>
      <w:bookmarkStart w:id="97" w:name="_Toc32243603"/>
      <w:r w:rsidRPr="00821330">
        <w:t>Dėl reikalavimų sprendimui pakeisti pastato adresą, priskiriant šį pas</w:t>
      </w:r>
      <w:r w:rsidR="003D349F">
        <w:t>t</w:t>
      </w:r>
      <w:r w:rsidRPr="00821330">
        <w:t>atą kitai gatvei</w:t>
      </w:r>
      <w:r w:rsidR="00CC041D" w:rsidRPr="00821330">
        <w:t>,</w:t>
      </w:r>
      <w:r w:rsidRPr="00821330">
        <w:t xml:space="preserve"> bei pastato priskyrimo konkrečiai gatvei kriterijų</w:t>
      </w:r>
      <w:bookmarkEnd w:id="97"/>
    </w:p>
    <w:p w14:paraId="5CA5319F" w14:textId="77777777" w:rsidR="00621F73" w:rsidRPr="00821330" w:rsidRDefault="00621F73" w:rsidP="00621F73">
      <w:pPr>
        <w:ind w:firstLine="567"/>
        <w:jc w:val="both"/>
        <w:rPr>
          <w:rFonts w:asciiTheme="minorHAnsi" w:hAnsiTheme="minorHAnsi" w:cstheme="minorHAnsi"/>
          <w:sz w:val="22"/>
          <w:szCs w:val="22"/>
        </w:rPr>
      </w:pPr>
    </w:p>
    <w:p w14:paraId="486D7BB9" w14:textId="73209127" w:rsidR="00621F73" w:rsidRPr="00821330" w:rsidRDefault="00621F73" w:rsidP="00621F73">
      <w:pPr>
        <w:ind w:firstLine="567"/>
        <w:jc w:val="both"/>
        <w:rPr>
          <w:rFonts w:asciiTheme="minorHAnsi" w:hAnsiTheme="minorHAnsi" w:cstheme="minorHAnsi"/>
          <w:sz w:val="22"/>
          <w:szCs w:val="22"/>
        </w:rPr>
      </w:pPr>
      <w:r w:rsidRPr="00821330">
        <w:rPr>
          <w:rFonts w:asciiTheme="minorHAnsi" w:hAnsiTheme="minorHAnsi" w:cstheme="minorHAnsi"/>
          <w:sz w:val="22"/>
          <w:szCs w:val="22"/>
        </w:rPr>
        <w:t>Apžvelgiamoje byloje buvo nagrinėjamas Daugiabučio namo savininkų bendrijos skundas dėl Alytaus miesto savivaldybės administracijos 2017 m. balandžio 13 d. įsakymo dal</w:t>
      </w:r>
      <w:r w:rsidR="00CC041D" w:rsidRPr="00821330">
        <w:rPr>
          <w:rFonts w:asciiTheme="minorHAnsi" w:hAnsiTheme="minorHAnsi" w:cstheme="minorHAnsi"/>
          <w:sz w:val="22"/>
          <w:szCs w:val="22"/>
        </w:rPr>
        <w:t>ies</w:t>
      </w:r>
      <w:r w:rsidRPr="00821330">
        <w:rPr>
          <w:rFonts w:asciiTheme="minorHAnsi" w:hAnsiTheme="minorHAnsi" w:cstheme="minorHAnsi"/>
          <w:sz w:val="22"/>
          <w:szCs w:val="22"/>
        </w:rPr>
        <w:t>, kuria nutarta pakeisti daugiabučio namo adresą, įskaitant gatvės pavadinimą iš Gatvės A į Gatvę B.</w:t>
      </w:r>
    </w:p>
    <w:p w14:paraId="2B3055AE" w14:textId="42AA0913" w:rsidR="00621F73" w:rsidRPr="00821330" w:rsidRDefault="00621F73" w:rsidP="00621F73">
      <w:pPr>
        <w:tabs>
          <w:tab w:val="left" w:pos="426"/>
        </w:tabs>
        <w:ind w:firstLine="567"/>
        <w:jc w:val="both"/>
        <w:rPr>
          <w:rFonts w:asciiTheme="minorHAnsi" w:hAnsiTheme="minorHAnsi" w:cstheme="minorHAnsi"/>
          <w:sz w:val="22"/>
          <w:szCs w:val="22"/>
        </w:rPr>
      </w:pPr>
      <w:r w:rsidRPr="00821330">
        <w:rPr>
          <w:rFonts w:asciiTheme="minorHAnsi" w:hAnsiTheme="minorHAnsi" w:cstheme="minorHAnsi"/>
          <w:sz w:val="22"/>
          <w:szCs w:val="22"/>
        </w:rPr>
        <w:t>Pareiškėjas akcentavo, kad planuojamas daugiabučio namo adreso pakeitimas yra neprotingas ir nebūtinas, prieštarauja namo butų savininkų ir garažų savininkų interesams; daugiabučiame name yra 38 butai, namo žemės sklype tuo pačiu adresu yra pastatyti ir įregistruoti garažai; daugiabutis namas eksploatuojamas jau 20 metų; siekiant pakeisti ant namo fasado užrašytą gatvės pavadinimą ir numerį, tektų perdažyti visą namą, nes dabartiniai dažai nebegaminami; dokumentų keitimas ir fasado perdažymas pareikalaus ne tik laiko, bet ir piniginių lėšų; namas yra atokiau nuo Gatvės B.</w:t>
      </w:r>
    </w:p>
    <w:p w14:paraId="7853B625" w14:textId="009B0861" w:rsidR="00621F73" w:rsidRPr="00821330" w:rsidRDefault="00621F73" w:rsidP="00621F73">
      <w:pPr>
        <w:ind w:firstLine="567"/>
        <w:jc w:val="both"/>
        <w:rPr>
          <w:rFonts w:asciiTheme="minorHAnsi" w:hAnsiTheme="minorHAnsi" w:cstheme="minorHAnsi"/>
          <w:sz w:val="22"/>
          <w:szCs w:val="22"/>
        </w:rPr>
      </w:pPr>
      <w:r w:rsidRPr="00821330">
        <w:rPr>
          <w:rFonts w:asciiTheme="minorHAnsi" w:hAnsiTheme="minorHAnsi" w:cstheme="minorHAnsi"/>
          <w:sz w:val="22"/>
          <w:szCs w:val="22"/>
        </w:rPr>
        <w:t>Atsakovas savo ruožtu paaiškino, jog adresų registro tvarkytojas raštu jam nurodė keistinus adresus, tarp jų ir ginčo adresą, nes pastarasis adresas yra ne Gatvėje A. Atsakovo nuomone, akivaizdu, kad suformuotas žemės sklypas, kuriame stovi ginčo daugiabutis namas, yra priskirtinas Gatvei B, nes tiek į šį daugiabutį namą, tiek į nuomos pagrindais valdomą žemės sklypą pagrindinis privažiavimas yra tik iš Gatvės B pusės.</w:t>
      </w:r>
    </w:p>
    <w:p w14:paraId="3E7FA3A6" w14:textId="436D7017" w:rsidR="00621F73" w:rsidRPr="00821330" w:rsidRDefault="00621F73" w:rsidP="00621F73">
      <w:pPr>
        <w:ind w:firstLine="567"/>
        <w:jc w:val="both"/>
        <w:rPr>
          <w:rFonts w:asciiTheme="minorHAnsi" w:hAnsiTheme="minorHAnsi" w:cstheme="minorHAnsi"/>
          <w:sz w:val="22"/>
          <w:szCs w:val="22"/>
        </w:rPr>
      </w:pPr>
      <w:r w:rsidRPr="00821330">
        <w:rPr>
          <w:rFonts w:asciiTheme="minorHAnsi" w:hAnsiTheme="minorHAnsi" w:cstheme="minorHAnsi"/>
          <w:sz w:val="22"/>
          <w:szCs w:val="22"/>
        </w:rPr>
        <w:t>Pirmosios instancijos teismas tenkino pareiškėjų skundą ir panaikino ginčytą įsakymą, nurodęs, kad jis (įsakymas) yra abstraktus, jame nenurodyti administracinio akto priėmimo pagrindiniai faktai, įrodymai ir individuali argumentacija, kurie pagal įstatymą privalo būti nurodomi administraciniame akte ar jo sudedamosiose dalyse, o motyvų nurodymas atsiliepime į skundą ar teismo proceso metu neturi būti vertinamas ir neleidžia nemotyvuoto sprendimo pripažinti teisėtu.</w:t>
      </w:r>
    </w:p>
    <w:p w14:paraId="41B5FB09" w14:textId="278D9056" w:rsidR="00621F73" w:rsidRPr="00821330" w:rsidRDefault="00621F73" w:rsidP="00621F73">
      <w:pPr>
        <w:ind w:firstLine="567"/>
        <w:jc w:val="both"/>
        <w:rPr>
          <w:rFonts w:asciiTheme="minorHAnsi" w:hAnsiTheme="minorHAnsi" w:cstheme="minorHAnsi"/>
          <w:sz w:val="22"/>
          <w:szCs w:val="22"/>
        </w:rPr>
      </w:pPr>
      <w:r w:rsidRPr="00821330">
        <w:rPr>
          <w:rFonts w:asciiTheme="minorHAnsi" w:hAnsiTheme="minorHAnsi" w:cstheme="minorHAnsi"/>
          <w:sz w:val="22"/>
          <w:szCs w:val="22"/>
        </w:rPr>
        <w:t>LVAT akcentavo, kad byloje nebuvo ginčo dėl to, kad atsakovas kaip savivaldos institucija, turėjo teisę priimti sprendimus dėl pastatų, patalpų, žemės sklypų adresų keitimo. Tokia atsakovo teisė buvo numatyta ginčo įsakyme nurodytose teisės normose – Vietos savivaldos įstatyme, taip pat poįstatyminiuose aktuose, įskaitant vidaus reikalų ministro 2011 m. sausio 25</w:t>
      </w:r>
      <w:r w:rsidR="00E82187">
        <w:rPr>
          <w:rFonts w:asciiTheme="minorHAnsi" w:hAnsiTheme="minorHAnsi" w:cstheme="minorHAnsi"/>
          <w:sz w:val="22"/>
          <w:szCs w:val="22"/>
        </w:rPr>
        <w:t xml:space="preserve"> </w:t>
      </w:r>
      <w:r w:rsidRPr="00821330">
        <w:rPr>
          <w:rFonts w:asciiTheme="minorHAnsi" w:hAnsiTheme="minorHAnsi" w:cstheme="minorHAnsi"/>
          <w:sz w:val="22"/>
          <w:szCs w:val="22"/>
        </w:rPr>
        <w:t>d. įsakymu Nr. 1V-57 patvirtintą Numerių pastatams, patalpoms, butams ir žemės sklypams, kuriuose pagal jų naudojimo paskirtį (būdą) ar teritorijų planavimo dokumentus leidžiama pastatų statyba, suteikimo, keitimo ir a</w:t>
      </w:r>
      <w:r w:rsidR="00E82187">
        <w:rPr>
          <w:rFonts w:asciiTheme="minorHAnsi" w:hAnsiTheme="minorHAnsi" w:cstheme="minorHAnsi"/>
          <w:sz w:val="22"/>
          <w:szCs w:val="22"/>
        </w:rPr>
        <w:t>p</w:t>
      </w:r>
      <w:r w:rsidRPr="00821330">
        <w:rPr>
          <w:rFonts w:asciiTheme="minorHAnsi" w:hAnsiTheme="minorHAnsi" w:cstheme="minorHAnsi"/>
          <w:sz w:val="22"/>
          <w:szCs w:val="22"/>
        </w:rPr>
        <w:t>skaitos tvarkos aprašą (toliau –</w:t>
      </w:r>
      <w:r w:rsidR="00D567A8" w:rsidRPr="00821330">
        <w:rPr>
          <w:rFonts w:asciiTheme="minorHAnsi" w:hAnsiTheme="minorHAnsi" w:cstheme="minorHAnsi"/>
          <w:sz w:val="22"/>
          <w:szCs w:val="22"/>
        </w:rPr>
        <w:t xml:space="preserve"> </w:t>
      </w:r>
      <w:r w:rsidRPr="00821330">
        <w:rPr>
          <w:rFonts w:asciiTheme="minorHAnsi" w:hAnsiTheme="minorHAnsi" w:cstheme="minorHAnsi"/>
          <w:sz w:val="22"/>
          <w:szCs w:val="22"/>
        </w:rPr>
        <w:t>Aprašas).</w:t>
      </w:r>
    </w:p>
    <w:p w14:paraId="7D6C590A" w14:textId="4797A81E" w:rsidR="00621F73" w:rsidRPr="00821330" w:rsidRDefault="00621F73" w:rsidP="00621F73">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Tačiau Viešojo administravimo įstatymo 8 straipsnio 1 dalis nustato, kad individualus administracinis aktas turi būti pagrįstas ne tik teisės aktų normomis, bet ir objektyviais duomenimis (faktais), o taikomos poveikio priemonės turi būti motyvuotos. Ginčytas įsakymas šių reikalavimų neatitiko, nes jis nebuvo pagrįstas objektyviais duomenimis, o </w:t>
      </w:r>
      <w:r w:rsidRPr="00821330">
        <w:rPr>
          <w:rFonts w:asciiTheme="minorHAnsi" w:hAnsiTheme="minorHAnsi" w:cstheme="minorHAnsi"/>
          <w:sz w:val="22"/>
          <w:szCs w:val="22"/>
          <w:u w:val="single"/>
        </w:rPr>
        <w:t>sprendimas keisti adresą niekaip nemotyvuotas</w:t>
      </w:r>
      <w:r w:rsidRPr="00821330">
        <w:rPr>
          <w:rFonts w:asciiTheme="minorHAnsi" w:hAnsiTheme="minorHAnsi" w:cstheme="minorHAnsi"/>
          <w:sz w:val="22"/>
          <w:szCs w:val="22"/>
        </w:rPr>
        <w:t>. Todėl LVAT teisėjų kolegija padar</w:t>
      </w:r>
      <w:r w:rsidR="00D567A8" w:rsidRPr="00821330">
        <w:rPr>
          <w:rFonts w:asciiTheme="minorHAnsi" w:hAnsiTheme="minorHAnsi" w:cstheme="minorHAnsi"/>
          <w:sz w:val="22"/>
          <w:szCs w:val="22"/>
        </w:rPr>
        <w:t>ė išvadą, kad</w:t>
      </w:r>
      <w:r w:rsidRPr="00821330">
        <w:rPr>
          <w:rFonts w:asciiTheme="minorHAnsi" w:hAnsiTheme="minorHAnsi" w:cstheme="minorHAnsi"/>
          <w:sz w:val="22"/>
          <w:szCs w:val="22"/>
        </w:rPr>
        <w:t xml:space="preserve"> pirmosios instancijos teismas teisėtai ir pagrįstai tenkino pareiškėjų skundą bei panaikino teismui apskųstą įsakymo dalį.</w:t>
      </w:r>
    </w:p>
    <w:p w14:paraId="40A0CD7E" w14:textId="77777777" w:rsidR="00621F73" w:rsidRPr="00821330" w:rsidRDefault="00621F73" w:rsidP="00621F73">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Kita vertus, LVAT teisėjų kolegija ir teismui pateiktuose procesiniuose dokumentuose atsakovo nurodytus argumentus, kuriais remiantis priimtas sprendimas dėl adreso keitimo, vertino kaip nepakankamus. Šiuo klausimu atsakovas rėmėsi Aprašo 11 punktu, nustatančiu, kad „prie gatvių sankryžų esantiems žemės sklypams, kuriuose leidžiama pastatų statyba, pastatams ir jų kompleksams suteikiamas numeris, nurodantis jų priklausomybę tik vienai gatvei (pavyzdžiui, tai gatvei, iš kurios yra privažiavimas prie pastatų ir jų kompleksų arba prie kurios pastatas ar pagrindinis pastatų komplekso pastatas stovi frontalia dalimi ar iš kurios yra įėjimas į pastatą ar pastatų kompleksą)“. </w:t>
      </w:r>
    </w:p>
    <w:p w14:paraId="73F83429" w14:textId="77777777" w:rsidR="00621F73" w:rsidRPr="00821330" w:rsidRDefault="00621F73" w:rsidP="00621F73">
      <w:pPr>
        <w:ind w:firstLine="567"/>
        <w:jc w:val="both"/>
        <w:rPr>
          <w:rFonts w:asciiTheme="minorHAnsi" w:hAnsiTheme="minorHAnsi" w:cstheme="minorHAnsi"/>
          <w:sz w:val="22"/>
          <w:szCs w:val="22"/>
        </w:rPr>
      </w:pPr>
      <w:r w:rsidRPr="00821330">
        <w:rPr>
          <w:rFonts w:asciiTheme="minorHAnsi" w:hAnsiTheme="minorHAnsi" w:cstheme="minorHAnsi"/>
          <w:sz w:val="22"/>
          <w:szCs w:val="22"/>
        </w:rPr>
        <w:t xml:space="preserve">Kaip pažymėjo LVAT, </w:t>
      </w:r>
      <w:r w:rsidRPr="00821330">
        <w:rPr>
          <w:rFonts w:asciiTheme="minorHAnsi" w:hAnsiTheme="minorHAnsi" w:cstheme="minorHAnsi"/>
          <w:sz w:val="22"/>
          <w:szCs w:val="22"/>
          <w:u w:val="single"/>
        </w:rPr>
        <w:t>šioje normoje pateikiamos trys pavyzdinės pastatų išsidėstymo situacijos</w:t>
      </w:r>
      <w:r w:rsidRPr="00821330">
        <w:rPr>
          <w:rFonts w:asciiTheme="minorHAnsi" w:hAnsiTheme="minorHAnsi" w:cstheme="minorHAnsi"/>
          <w:sz w:val="22"/>
          <w:szCs w:val="22"/>
        </w:rPr>
        <w:t xml:space="preserve">, t. y. tam tikri kriterijai, atsižvelgiant į kuriuos pastatą galima priskirti vienai ar kitai gatvei. </w:t>
      </w:r>
      <w:r w:rsidRPr="00821330">
        <w:rPr>
          <w:rFonts w:asciiTheme="minorHAnsi" w:hAnsiTheme="minorHAnsi" w:cstheme="minorHAnsi"/>
          <w:sz w:val="22"/>
          <w:szCs w:val="22"/>
          <w:u w:val="single"/>
        </w:rPr>
        <w:t xml:space="preserve">Visi Aprašo 11 punkte pateikti </w:t>
      </w:r>
      <w:r w:rsidRPr="00821330">
        <w:rPr>
          <w:rFonts w:asciiTheme="minorHAnsi" w:hAnsiTheme="minorHAnsi" w:cstheme="minorHAnsi"/>
          <w:sz w:val="22"/>
          <w:szCs w:val="22"/>
          <w:u w:val="single"/>
        </w:rPr>
        <w:lastRenderedPageBreak/>
        <w:t>kriterijai yra lygiareikšmiai, nes aptariamos normos tekste nėra išskiriamas prioritetas kuriam nors vienam iš numatytų kriterijų</w:t>
      </w:r>
      <w:r w:rsidRPr="00821330">
        <w:rPr>
          <w:rFonts w:asciiTheme="minorHAnsi" w:hAnsiTheme="minorHAnsi" w:cstheme="minorHAnsi"/>
          <w:sz w:val="22"/>
          <w:szCs w:val="22"/>
        </w:rPr>
        <w:t>.</w:t>
      </w:r>
    </w:p>
    <w:p w14:paraId="13F5FD7C" w14:textId="3FD409AF" w:rsidR="00621F73" w:rsidRPr="00821330" w:rsidRDefault="00621F73" w:rsidP="00621F73">
      <w:pPr>
        <w:ind w:firstLine="567"/>
        <w:jc w:val="both"/>
        <w:rPr>
          <w:rFonts w:asciiTheme="minorHAnsi" w:hAnsiTheme="minorHAnsi" w:cstheme="minorHAnsi"/>
          <w:sz w:val="22"/>
          <w:szCs w:val="22"/>
        </w:rPr>
      </w:pPr>
      <w:r w:rsidRPr="00821330">
        <w:rPr>
          <w:rFonts w:asciiTheme="minorHAnsi" w:hAnsiTheme="minorHAnsi" w:cstheme="minorHAnsi"/>
          <w:sz w:val="22"/>
          <w:szCs w:val="22"/>
        </w:rPr>
        <w:t>Ginčo atveju atsakovas akcentavo ir rėmėsi vienu iš Aprašo 11 punkte numatytų kriterijų, t. y. tuo, kad privažiavimas prie ginčo daugiabučio nam</w:t>
      </w:r>
      <w:r w:rsidR="00D567A8" w:rsidRPr="00821330">
        <w:rPr>
          <w:rFonts w:asciiTheme="minorHAnsi" w:hAnsiTheme="minorHAnsi" w:cstheme="minorHAnsi"/>
          <w:sz w:val="22"/>
          <w:szCs w:val="22"/>
        </w:rPr>
        <w:t>o yra iš Gatvės B pusės. Tačiau, k</w:t>
      </w:r>
      <w:r w:rsidRPr="00821330">
        <w:rPr>
          <w:rFonts w:asciiTheme="minorHAnsi" w:hAnsiTheme="minorHAnsi" w:cstheme="minorHAnsi"/>
          <w:sz w:val="22"/>
          <w:szCs w:val="22"/>
        </w:rPr>
        <w:t xml:space="preserve">aip pažymėjo teisėjų kolegija, byloje pateiktos ginčo daugiabučio namo fotonuotraukos bei ginčo teritorijoje esančių statinių schema patvirtina, jog ginčo daugiabutis namas stovi frontalia dalimi į Gatvės A pusę. Taigi egzistavo du lygiaverčiai kriterijai, kurie nurodo į skirtingas gatves. Nei ginčo įsakyme, nei teismui pateiktuose procesiniuose dokumentuose, atsakovas nebuvo pateikęs jokių argumentų ar motyvų, kodėl nagrinėtu atveju atsakovas </w:t>
      </w:r>
      <w:r w:rsidR="00D567A8" w:rsidRPr="00821330">
        <w:rPr>
          <w:rFonts w:asciiTheme="minorHAnsi" w:hAnsiTheme="minorHAnsi" w:cstheme="minorHAnsi"/>
          <w:sz w:val="22"/>
          <w:szCs w:val="22"/>
        </w:rPr>
        <w:t>atsižvelgė į vieną iš Aprašo 11 </w:t>
      </w:r>
      <w:r w:rsidRPr="00821330">
        <w:rPr>
          <w:rFonts w:asciiTheme="minorHAnsi" w:hAnsiTheme="minorHAnsi" w:cstheme="minorHAnsi"/>
          <w:sz w:val="22"/>
          <w:szCs w:val="22"/>
        </w:rPr>
        <w:t>punkte numatytų kriterijų, tačiau visiškai ignoravo kitą.</w:t>
      </w:r>
    </w:p>
    <w:p w14:paraId="5F0A49CC" w14:textId="77777777" w:rsidR="00621F73" w:rsidRPr="00821330" w:rsidRDefault="00621F73" w:rsidP="00621F73">
      <w:pPr>
        <w:ind w:firstLine="567"/>
        <w:jc w:val="both"/>
        <w:rPr>
          <w:rFonts w:asciiTheme="minorHAnsi" w:hAnsiTheme="minorHAnsi" w:cstheme="minorHAnsi"/>
          <w:sz w:val="22"/>
          <w:szCs w:val="22"/>
        </w:rPr>
      </w:pPr>
    </w:p>
    <w:p w14:paraId="28BE0974" w14:textId="77777777" w:rsidR="00621F73" w:rsidRPr="00821330" w:rsidRDefault="00621F73" w:rsidP="00621F73">
      <w:pPr>
        <w:jc w:val="both"/>
        <w:rPr>
          <w:rFonts w:asciiTheme="minorHAnsi" w:hAnsiTheme="minorHAnsi" w:cstheme="minorHAnsi"/>
          <w:sz w:val="22"/>
          <w:szCs w:val="22"/>
        </w:rPr>
      </w:pPr>
      <w:r w:rsidRPr="00821330">
        <w:rPr>
          <w:rFonts w:asciiTheme="minorHAnsi" w:hAnsiTheme="minorHAnsi" w:cstheme="minorHAnsi"/>
          <w:sz w:val="22"/>
          <w:szCs w:val="22"/>
        </w:rPr>
        <w:t>2019 m. gruodžio 4 d. nutartis administracinėje byloje Nr. A-1013-525/2019</w:t>
      </w:r>
    </w:p>
    <w:p w14:paraId="1D7D61A9" w14:textId="77777777" w:rsidR="00621F73" w:rsidRPr="00821330" w:rsidRDefault="00621F73" w:rsidP="00621F73">
      <w:pPr>
        <w:jc w:val="both"/>
        <w:rPr>
          <w:rFonts w:asciiTheme="minorHAnsi" w:hAnsiTheme="minorHAnsi" w:cstheme="minorHAnsi"/>
          <w:sz w:val="22"/>
          <w:szCs w:val="22"/>
        </w:rPr>
      </w:pPr>
      <w:r w:rsidRPr="00821330">
        <w:rPr>
          <w:rFonts w:asciiTheme="minorHAnsi" w:hAnsiTheme="minorHAnsi" w:cstheme="minorHAnsi"/>
          <w:sz w:val="22"/>
          <w:szCs w:val="22"/>
        </w:rPr>
        <w:t>Teisminio proceso Nr. 3-62-3-01131-2017-0</w:t>
      </w:r>
    </w:p>
    <w:p w14:paraId="6E1864E9" w14:textId="77777777" w:rsidR="00621F73" w:rsidRPr="00821330" w:rsidRDefault="00621F73" w:rsidP="00621F73">
      <w:pPr>
        <w:jc w:val="both"/>
        <w:rPr>
          <w:rFonts w:asciiTheme="minorHAnsi" w:hAnsiTheme="minorHAnsi" w:cstheme="minorHAnsi"/>
          <w:sz w:val="22"/>
          <w:szCs w:val="22"/>
        </w:rPr>
      </w:pPr>
      <w:r w:rsidRPr="00821330">
        <w:rPr>
          <w:rFonts w:asciiTheme="minorHAnsi" w:hAnsiTheme="minorHAnsi" w:cstheme="minorHAnsi"/>
          <w:sz w:val="22"/>
          <w:szCs w:val="22"/>
        </w:rPr>
        <w:t>Procesinio sprendimo kategorija 24.7</w:t>
      </w:r>
    </w:p>
    <w:p w14:paraId="38E43AA7" w14:textId="77777777" w:rsidR="00621F73" w:rsidRPr="00821330" w:rsidRDefault="00E956D9" w:rsidP="00621F73">
      <w:pPr>
        <w:jc w:val="both"/>
        <w:rPr>
          <w:rFonts w:asciiTheme="minorHAnsi" w:hAnsiTheme="minorHAnsi" w:cstheme="minorHAnsi"/>
          <w:sz w:val="22"/>
          <w:szCs w:val="22"/>
        </w:rPr>
      </w:pPr>
      <w:hyperlink r:id="rId35" w:history="1">
        <w:r w:rsidR="00621F73" w:rsidRPr="00821330">
          <w:rPr>
            <w:rStyle w:val="Hipersaitas"/>
            <w:rFonts w:asciiTheme="minorHAnsi" w:hAnsiTheme="minorHAnsi" w:cstheme="minorHAnsi"/>
            <w:sz w:val="22"/>
            <w:szCs w:val="22"/>
          </w:rPr>
          <w:t>Prieiga internete</w:t>
        </w:r>
      </w:hyperlink>
    </w:p>
    <w:p w14:paraId="307DFADE" w14:textId="77777777" w:rsidR="00621F73" w:rsidRPr="00821330" w:rsidRDefault="00621F73" w:rsidP="00496E0E">
      <w:pPr>
        <w:rPr>
          <w:rFonts w:asciiTheme="minorHAnsi" w:hAnsiTheme="minorHAnsi" w:cstheme="minorHAnsi"/>
          <w:sz w:val="22"/>
          <w:szCs w:val="22"/>
        </w:rPr>
      </w:pPr>
    </w:p>
    <w:p w14:paraId="1D928098" w14:textId="7B73BD23" w:rsidR="003E6372" w:rsidRPr="00821330" w:rsidRDefault="003E6372" w:rsidP="003E6372">
      <w:pPr>
        <w:jc w:val="both"/>
        <w:outlineLvl w:val="0"/>
        <w:rPr>
          <w:rFonts w:ascii="Calibri" w:hAnsi="Calibri"/>
          <w:b/>
          <w:sz w:val="22"/>
          <w:szCs w:val="22"/>
          <w:u w:val="single"/>
        </w:rPr>
      </w:pPr>
      <w:bookmarkStart w:id="98" w:name="_Toc32243604"/>
      <w:r w:rsidRPr="00821330">
        <w:rPr>
          <w:rFonts w:ascii="Calibri" w:hAnsi="Calibri"/>
          <w:b/>
          <w:sz w:val="22"/>
          <w:szCs w:val="22"/>
          <w:u w:val="single"/>
        </w:rPr>
        <w:t>25. Mokslas ir švietimas</w:t>
      </w:r>
      <w:bookmarkEnd w:id="98"/>
    </w:p>
    <w:p w14:paraId="7BE73D94" w14:textId="185C10CD" w:rsidR="003E6372" w:rsidRPr="00821330" w:rsidRDefault="003E6372" w:rsidP="003E6372">
      <w:pPr>
        <w:ind w:firstLine="567"/>
        <w:rPr>
          <w:rFonts w:ascii="Calibri" w:hAnsi="Calibri"/>
          <w:b/>
          <w:sz w:val="22"/>
          <w:szCs w:val="22"/>
          <w:u w:val="single"/>
        </w:rPr>
      </w:pPr>
      <w:r w:rsidRPr="00821330">
        <w:rPr>
          <w:rFonts w:ascii="Calibri" w:hAnsi="Calibri"/>
          <w:b/>
          <w:sz w:val="22"/>
          <w:szCs w:val="22"/>
          <w:u w:val="single"/>
        </w:rPr>
        <w:t>25.8. Kiti su mokslu ir švietimu susiję klausimai</w:t>
      </w:r>
    </w:p>
    <w:p w14:paraId="713240A3" w14:textId="77777777" w:rsidR="003E6372" w:rsidRPr="00821330" w:rsidRDefault="003E6372" w:rsidP="003E6372">
      <w:pPr>
        <w:ind w:firstLine="567"/>
        <w:jc w:val="both"/>
        <w:rPr>
          <w:rFonts w:ascii="Calibri" w:eastAsia="Calibri" w:hAnsi="Calibri"/>
          <w:sz w:val="22"/>
          <w:szCs w:val="22"/>
          <w:lang w:eastAsia="en-US"/>
        </w:rPr>
      </w:pPr>
    </w:p>
    <w:p w14:paraId="2FE6A062" w14:textId="77777777" w:rsidR="003E6372" w:rsidRPr="00821330" w:rsidRDefault="003E6372" w:rsidP="003E6372">
      <w:pPr>
        <w:jc w:val="both"/>
        <w:outlineLvl w:val="1"/>
        <w:rPr>
          <w:rFonts w:ascii="Calibri" w:eastAsia="Calibri" w:hAnsi="Calibri"/>
          <w:i/>
          <w:sz w:val="22"/>
          <w:szCs w:val="22"/>
        </w:rPr>
      </w:pPr>
      <w:bookmarkStart w:id="99" w:name="_Toc32243605"/>
      <w:r w:rsidRPr="00821330">
        <w:rPr>
          <w:rFonts w:ascii="Calibri" w:eastAsia="Calibri" w:hAnsi="Calibri"/>
          <w:i/>
          <w:sz w:val="22"/>
          <w:szCs w:val="22"/>
        </w:rPr>
        <w:t>Dėl kvietimo teikti paraiškas mokslo projektų finansavimui sąlygų</w:t>
      </w:r>
      <w:bookmarkEnd w:id="99"/>
      <w:r w:rsidRPr="00821330">
        <w:rPr>
          <w:rFonts w:ascii="Calibri" w:eastAsia="Calibri" w:hAnsi="Calibri"/>
          <w:i/>
          <w:sz w:val="22"/>
          <w:szCs w:val="22"/>
        </w:rPr>
        <w:t xml:space="preserve">  </w:t>
      </w:r>
    </w:p>
    <w:p w14:paraId="3DA38A1F" w14:textId="77777777" w:rsidR="003E6372" w:rsidRPr="00821330" w:rsidRDefault="003E6372" w:rsidP="003E6372">
      <w:pPr>
        <w:ind w:firstLine="567"/>
        <w:jc w:val="both"/>
        <w:rPr>
          <w:rFonts w:ascii="Calibri" w:hAnsi="Calibri"/>
          <w:sz w:val="22"/>
          <w:szCs w:val="22"/>
        </w:rPr>
      </w:pPr>
    </w:p>
    <w:p w14:paraId="45F69BC8" w14:textId="4DF91AC0" w:rsidR="003E6372" w:rsidRPr="00821330" w:rsidRDefault="003E6372" w:rsidP="003E6372">
      <w:pPr>
        <w:ind w:firstLine="567"/>
        <w:jc w:val="both"/>
        <w:rPr>
          <w:rFonts w:ascii="Calibri" w:eastAsia="Calibri" w:hAnsi="Calibri"/>
          <w:sz w:val="22"/>
          <w:szCs w:val="22"/>
          <w:lang w:eastAsia="en-US"/>
        </w:rPr>
      </w:pPr>
      <w:r w:rsidRPr="00821330">
        <w:rPr>
          <w:rFonts w:ascii="Calibri" w:eastAsia="Calibri" w:hAnsi="Calibri"/>
          <w:sz w:val="22"/>
          <w:szCs w:val="22"/>
          <w:lang w:eastAsia="en-US"/>
        </w:rPr>
        <w:t>Apžvelgiamoje byloje buvo išnagrinėtas skundas, kuriame pareiškėjas prašė panaikinti Lietuvos mokslo tarybos (toliau – atsakovas, Taryba) paskelbto VII kvietimo teikti paraiškas mokslininkų grupių projektams įgyvendinti 2017–2020 m. (toliau – Kvietimas) 1 Konkurso „Humanitarinių ir socialinių mokslo sričių projektai, vadovaujami patyrusių mokslininkų“ sąlygų (toliau – Sąlygos) 11 punktą; Tarybos 2017 m. liepos 19 d. projekto paraiškos administracinės patikros pažymos Nr. AP-MIP-17-444 (1) (toliau – Pažyma) dalį, kurioje nustatyta, kad pareiškėjas nepateikė straipsnių periodiniuose mokslo leidiniuose, turinčiuose cituojamumo rodiklį (Impact Factor) Clarivate analytics (buv. Thomson Reuters) WEB of Science arba SCOPUS (toliau – cituojamumo rodiklis), todėl jo paraiška neatitinka Kvietimo paraiškoms keliamų reikalavimų ir neteikiama ekspertiniam vertinimui ir įpareigoti Tarybą atlikti projekto ekspertinį vertinimą.</w:t>
      </w:r>
    </w:p>
    <w:p w14:paraId="20C31D4D" w14:textId="77777777" w:rsidR="003E6372" w:rsidRPr="00821330" w:rsidRDefault="003E6372" w:rsidP="003E6372">
      <w:pPr>
        <w:ind w:firstLine="567"/>
        <w:jc w:val="both"/>
        <w:rPr>
          <w:rFonts w:ascii="Calibri" w:eastAsia="Calibri" w:hAnsi="Calibri"/>
          <w:sz w:val="22"/>
          <w:szCs w:val="22"/>
          <w:lang w:eastAsia="en-US"/>
        </w:rPr>
      </w:pPr>
      <w:r w:rsidRPr="00821330">
        <w:rPr>
          <w:rFonts w:ascii="Calibri" w:eastAsia="Calibri" w:hAnsi="Calibri"/>
          <w:sz w:val="22"/>
          <w:szCs w:val="22"/>
          <w:lang w:eastAsia="en-US"/>
        </w:rPr>
        <w:t>Sąlygų 11 punkte buvo nustatyta, kad teikiamo socialinių mokslų srities (paraiškoje nurodytos kaip pagrindinė projekto mokslo sritis) projekto vadovas turi atitikti bent vieną iš šių reikalavimų: 11.1. per pastaruosius dešimt metų iki kvietime nustatyto paraiškų pateikimo termino paskutinės dienos yra paskelbęs ne mažiau kaip penkiolika mokslo straipsnių periodiniuose ar tęstiniuose mokslo leidiniuose, iš jų ne mažiau kaip aštuonis – periodiniuose mokslo leidiniuose, turinčiuose cituojamumo rodiklį duomenų bazėse; 11.2. per pastaruosius dešimt metų iki kvietime nustatyto paraiškų pateikimo termino paskutinės dienos yra paskelbęs ne disertacijos pagrindu parengtą monografiją arba, jei monografija parengta su bendraautoriais, jos dalį (ne mažesnę kaip 4 autoriniai lankai) ir ne mažiau kaip dvylika mokslo straipsnių periodiniuose ar tęstiniuose mokslo leidiniuose, iš jų ne mažiau kaip penkis – periodiniuose mokslo leidiniuose, turinčiuose cituojamumo rodiklį duomenų bazėse.</w:t>
      </w:r>
    </w:p>
    <w:p w14:paraId="7847DE0C" w14:textId="77777777" w:rsidR="003E6372" w:rsidRPr="00821330" w:rsidRDefault="003E6372" w:rsidP="003E6372">
      <w:pPr>
        <w:ind w:firstLine="567"/>
        <w:jc w:val="both"/>
        <w:rPr>
          <w:rFonts w:ascii="Calibri" w:eastAsia="Calibri" w:hAnsi="Calibri"/>
          <w:sz w:val="22"/>
          <w:szCs w:val="22"/>
          <w:lang w:eastAsia="en-US"/>
        </w:rPr>
      </w:pPr>
      <w:r w:rsidRPr="00821330">
        <w:rPr>
          <w:rFonts w:ascii="Calibri" w:eastAsia="Calibri" w:hAnsi="Calibri"/>
          <w:sz w:val="22"/>
          <w:szCs w:val="22"/>
          <w:lang w:eastAsia="en-US"/>
        </w:rPr>
        <w:t xml:space="preserve">Teisėjų kolegija nustatė, kad bylos nagrinėjimo ribos sietinos su Sąlygų 11 punkte išdėstytų reikalavimų nustatymu, nulėmusiu ir Pažymos ginčo dalies surašymą, todėl teisminė patikra turėjo būti atlikta ta apimtimi, kiek pagrįsta buvo Tarybos diskrecija, apibrėžiant nuostatas Sąlygų 11 punkte. </w:t>
      </w:r>
    </w:p>
    <w:p w14:paraId="781E72B5" w14:textId="0107B8F8" w:rsidR="003E6372" w:rsidRPr="00821330" w:rsidRDefault="003E6372" w:rsidP="003E6372">
      <w:pPr>
        <w:ind w:firstLine="567"/>
        <w:jc w:val="both"/>
        <w:rPr>
          <w:rFonts w:ascii="Calibri" w:eastAsia="Calibri" w:hAnsi="Calibri"/>
          <w:sz w:val="22"/>
          <w:szCs w:val="22"/>
          <w:lang w:eastAsia="en-US"/>
        </w:rPr>
      </w:pPr>
      <w:r w:rsidRPr="00821330">
        <w:rPr>
          <w:rFonts w:ascii="Calibri" w:eastAsia="Calibri" w:hAnsi="Calibri"/>
          <w:sz w:val="22"/>
          <w:szCs w:val="22"/>
          <w:lang w:eastAsia="en-US"/>
        </w:rPr>
        <w:t>Stokojant teisinio reguliavimo pagrindimo dėl konkrečių duomenų bazių, kuriose reikalaujama būti paskelbus publikacijas, buvo aktualu, kiek logiška, tikslinga bei racionalu, Sąlygose įtvirtinti konkrečias duomenų bazes, be kita ko, numatant reikalavimą, kad tose duomenų bazėse būtų buvę skelbiamasi ne mažiau kaip dešimt metų iki konkurso paskelbimo, nenumatant jokių išimčių ar alternatyvų. Sąlygų 11 punkte įtvirtinti imperatyvai nebuvo logiškai paaiškinami – potencialūs paraiškos davėjai suvaržomi laike, apibrėžtomis duomenų bazėmis, nepaisant jų turimos kvalifikacijos, kompetencijos, patirties, taip pastarųjų atžvilgiu sukeliant neigiamus padarinius, o kitiems asmenims, galbūt, suteikiant prioritetą. Šiame punkte iš principo buvo pareikalauta kitų asmenų atžvilgiu iš esmės to, ko negalima turėti / atitikti, nes apie tai iš anksto nežinota. Galutinės instancijos teismo teisėjų kolegija konstatavo, kad tai nesuderinama su atsakingo valdymo principu ir sutiko su pirmosios instancijos teismo padarytomis išvadomis, kad Sąlygų 11 punkte nustatytų reikalavimų įtvirtinimas nebuvo pagrįstas, kitiems asmenims realiai neįmanomas, todėl ir negalėjo būti paliktas galioti.</w:t>
      </w:r>
    </w:p>
    <w:p w14:paraId="43238FCD" w14:textId="1B0404BC" w:rsidR="003E6372" w:rsidRDefault="003E6372" w:rsidP="003E6372">
      <w:pPr>
        <w:ind w:firstLine="567"/>
        <w:jc w:val="both"/>
        <w:rPr>
          <w:rFonts w:ascii="Calibri" w:eastAsia="Calibri" w:hAnsi="Calibri"/>
          <w:sz w:val="22"/>
          <w:szCs w:val="22"/>
          <w:lang w:eastAsia="en-US"/>
        </w:rPr>
      </w:pPr>
      <w:r w:rsidRPr="00821330">
        <w:rPr>
          <w:rFonts w:ascii="Calibri" w:eastAsia="Calibri" w:hAnsi="Calibri"/>
          <w:sz w:val="22"/>
          <w:szCs w:val="22"/>
          <w:lang w:eastAsia="en-US"/>
        </w:rPr>
        <w:lastRenderedPageBreak/>
        <w:t>Dėl pareiškėjo reikalavimo įpareigoti Tarybą atlikti pareiškėjo pateikto Projekto ekspertinį vertinimą nustatyta, kad ginčo konkursas bylos nagrinėjimo metu buvo pasibaigęs, reikalavimas dėl įpareigojimo Tarybą atlikti pakartotinį vertinimą nebus įmanomas, tokiu būdu, pareiškėjo teisės nebus apgintos, todėl pirmosios instancijos teismo sprendimo dalis panaikinta ta apimtimi, kuria Lietuvos mokslų taryba buvo įpareigota atlikti pareiškėjo pateikto mokslinio projekto ekspertinį vertinimą.</w:t>
      </w:r>
    </w:p>
    <w:p w14:paraId="043668D5" w14:textId="36606043" w:rsidR="003D349F" w:rsidRDefault="003D349F" w:rsidP="003E6372">
      <w:pPr>
        <w:ind w:firstLine="567"/>
        <w:jc w:val="both"/>
        <w:rPr>
          <w:rFonts w:ascii="Calibri" w:eastAsia="Calibri" w:hAnsi="Calibri"/>
          <w:sz w:val="22"/>
          <w:szCs w:val="22"/>
          <w:lang w:eastAsia="en-US"/>
        </w:rPr>
      </w:pPr>
    </w:p>
    <w:p w14:paraId="19D7E295" w14:textId="77777777" w:rsidR="003E6372" w:rsidRPr="00821330" w:rsidRDefault="003E6372" w:rsidP="003E6372">
      <w:pPr>
        <w:tabs>
          <w:tab w:val="left" w:pos="142"/>
        </w:tabs>
        <w:ind w:right="38"/>
        <w:jc w:val="both"/>
        <w:rPr>
          <w:rFonts w:ascii="Calibri" w:eastAsia="Calibri" w:hAnsi="Calibri"/>
          <w:sz w:val="22"/>
          <w:szCs w:val="22"/>
          <w:lang w:eastAsia="en-US"/>
        </w:rPr>
      </w:pPr>
      <w:r w:rsidRPr="00821330">
        <w:rPr>
          <w:rFonts w:ascii="Calibri" w:eastAsia="Calibri" w:hAnsi="Calibri"/>
          <w:bCs/>
          <w:sz w:val="22"/>
          <w:szCs w:val="22"/>
          <w:lang w:eastAsia="en-US"/>
        </w:rPr>
        <w:t xml:space="preserve">2019 m. </w:t>
      </w:r>
      <w:r w:rsidRPr="00821330">
        <w:rPr>
          <w:rFonts w:ascii="Calibri" w:eastAsia="Calibri" w:hAnsi="Calibri"/>
          <w:sz w:val="22"/>
          <w:szCs w:val="22"/>
          <w:lang w:eastAsia="en-US"/>
        </w:rPr>
        <w:t xml:space="preserve">gruodžio </w:t>
      </w:r>
      <w:r w:rsidRPr="00821330">
        <w:rPr>
          <w:rFonts w:ascii="Calibri" w:eastAsia="Calibri" w:hAnsi="Calibri"/>
          <w:sz w:val="22"/>
          <w:szCs w:val="22"/>
          <w:lang w:val="en-US" w:eastAsia="en-US"/>
        </w:rPr>
        <w:t>18</w:t>
      </w:r>
      <w:r w:rsidRPr="00821330">
        <w:rPr>
          <w:rFonts w:ascii="Calibri" w:eastAsia="Calibri" w:hAnsi="Calibri"/>
          <w:sz w:val="22"/>
          <w:szCs w:val="22"/>
          <w:lang w:eastAsia="en-US"/>
        </w:rPr>
        <w:t xml:space="preserve"> </w:t>
      </w:r>
      <w:r w:rsidRPr="00821330">
        <w:rPr>
          <w:rFonts w:ascii="Calibri" w:eastAsia="Calibri" w:hAnsi="Calibri"/>
          <w:bCs/>
          <w:sz w:val="22"/>
          <w:szCs w:val="22"/>
          <w:lang w:eastAsia="en-US"/>
        </w:rPr>
        <w:t>d. nutartis administracinėje byloje Nr. eA-1269-556/2019</w:t>
      </w:r>
    </w:p>
    <w:p w14:paraId="0A1C2F18" w14:textId="77777777" w:rsidR="003E6372" w:rsidRPr="00821330" w:rsidRDefault="003E6372" w:rsidP="003E6372">
      <w:pPr>
        <w:tabs>
          <w:tab w:val="left" w:pos="142"/>
        </w:tabs>
        <w:ind w:right="38"/>
        <w:jc w:val="both"/>
        <w:rPr>
          <w:rFonts w:ascii="Calibri" w:eastAsia="Calibri" w:hAnsi="Calibri"/>
          <w:sz w:val="22"/>
          <w:szCs w:val="22"/>
          <w:lang w:eastAsia="en-US"/>
        </w:rPr>
      </w:pPr>
      <w:r w:rsidRPr="00821330">
        <w:rPr>
          <w:rFonts w:ascii="Calibri" w:eastAsia="Calibri" w:hAnsi="Calibri"/>
          <w:sz w:val="22"/>
          <w:szCs w:val="22"/>
          <w:lang w:eastAsia="en-US"/>
        </w:rPr>
        <w:t>Teisminio proceso Nr. 3-61-3-02717-2017-0</w:t>
      </w:r>
    </w:p>
    <w:p w14:paraId="764771B3" w14:textId="77777777" w:rsidR="003E6372" w:rsidRPr="00821330" w:rsidRDefault="003E6372" w:rsidP="003E6372">
      <w:pPr>
        <w:tabs>
          <w:tab w:val="left" w:pos="142"/>
        </w:tabs>
        <w:ind w:right="38"/>
        <w:jc w:val="both"/>
        <w:rPr>
          <w:rFonts w:ascii="Calibri" w:eastAsia="Calibri" w:hAnsi="Calibri"/>
          <w:bCs/>
          <w:sz w:val="22"/>
          <w:szCs w:val="22"/>
          <w:lang w:eastAsia="en-US"/>
        </w:rPr>
      </w:pPr>
      <w:r w:rsidRPr="00821330">
        <w:rPr>
          <w:rFonts w:ascii="Calibri" w:eastAsia="Calibri" w:hAnsi="Calibri"/>
          <w:bCs/>
          <w:sz w:val="22"/>
          <w:szCs w:val="22"/>
          <w:lang w:eastAsia="en-US"/>
        </w:rPr>
        <w:t>Procesinio sprendimo kategorijos: 25.8; 29.1</w:t>
      </w:r>
    </w:p>
    <w:p w14:paraId="2DE1D2E5" w14:textId="77777777" w:rsidR="003E6372" w:rsidRPr="00821330" w:rsidRDefault="00E956D9" w:rsidP="003E6372">
      <w:pPr>
        <w:tabs>
          <w:tab w:val="left" w:pos="142"/>
        </w:tabs>
        <w:ind w:right="38"/>
        <w:jc w:val="both"/>
        <w:rPr>
          <w:rFonts w:ascii="Calibri" w:eastAsia="Calibri" w:hAnsi="Calibri"/>
          <w:color w:val="0000FF"/>
          <w:sz w:val="22"/>
          <w:szCs w:val="22"/>
          <w:u w:val="single"/>
          <w:lang w:eastAsia="en-US"/>
        </w:rPr>
      </w:pPr>
      <w:hyperlink r:id="rId36" w:history="1">
        <w:r w:rsidR="003E6372" w:rsidRPr="00821330">
          <w:rPr>
            <w:rFonts w:ascii="Calibri" w:eastAsia="Calibri" w:hAnsi="Calibri"/>
            <w:color w:val="0000FF"/>
            <w:sz w:val="22"/>
            <w:szCs w:val="22"/>
            <w:u w:val="single"/>
            <w:lang w:eastAsia="en-US"/>
          </w:rPr>
          <w:t>Prieiga internete</w:t>
        </w:r>
      </w:hyperlink>
    </w:p>
    <w:p w14:paraId="68840D3E" w14:textId="77777777" w:rsidR="003E6372" w:rsidRPr="00821330" w:rsidRDefault="003E6372" w:rsidP="003E6372">
      <w:pPr>
        <w:tabs>
          <w:tab w:val="left" w:pos="142"/>
        </w:tabs>
        <w:ind w:right="38"/>
        <w:jc w:val="both"/>
        <w:rPr>
          <w:rFonts w:ascii="Calibri" w:eastAsia="Calibri" w:hAnsi="Calibri"/>
          <w:sz w:val="22"/>
          <w:szCs w:val="22"/>
          <w:lang w:eastAsia="en-US"/>
        </w:rPr>
      </w:pPr>
    </w:p>
    <w:p w14:paraId="565781E4" w14:textId="77777777" w:rsidR="00284255" w:rsidRPr="00821330" w:rsidRDefault="00284255" w:rsidP="00284255">
      <w:pPr>
        <w:pStyle w:val="Antrat1"/>
        <w:rPr>
          <w:rFonts w:asciiTheme="minorHAnsi" w:hAnsiTheme="minorHAnsi" w:cstheme="minorHAnsi"/>
          <w:b w:val="0"/>
        </w:rPr>
      </w:pPr>
      <w:bookmarkStart w:id="100" w:name="_Toc32243606"/>
      <w:r w:rsidRPr="00821330">
        <w:rPr>
          <w:rFonts w:asciiTheme="minorHAnsi" w:hAnsiTheme="minorHAnsi" w:cstheme="minorHAnsi"/>
        </w:rPr>
        <w:t>37. Bausmių vykdymo sąlygos</w:t>
      </w:r>
      <w:bookmarkEnd w:id="100"/>
    </w:p>
    <w:p w14:paraId="761EF153" w14:textId="77777777" w:rsidR="00284255" w:rsidRPr="00821330" w:rsidRDefault="00284255" w:rsidP="00284255">
      <w:pPr>
        <w:ind w:firstLine="567"/>
        <w:rPr>
          <w:rFonts w:asciiTheme="minorHAnsi" w:hAnsiTheme="minorHAnsi" w:cstheme="minorHAnsi"/>
          <w:b/>
          <w:sz w:val="22"/>
          <w:szCs w:val="22"/>
          <w:u w:val="single"/>
        </w:rPr>
      </w:pPr>
      <w:r w:rsidRPr="00821330">
        <w:rPr>
          <w:rFonts w:asciiTheme="minorHAnsi" w:hAnsiTheme="minorHAnsi" w:cstheme="minorHAnsi"/>
          <w:b/>
          <w:sz w:val="22"/>
          <w:szCs w:val="22"/>
          <w:u w:val="single"/>
        </w:rPr>
        <w:t>37.5. Nuobaudos ir paskatinimo priemonės</w:t>
      </w:r>
    </w:p>
    <w:p w14:paraId="1C1CF3C4" w14:textId="77777777" w:rsidR="00284255" w:rsidRPr="00821330" w:rsidRDefault="00284255" w:rsidP="00284255">
      <w:pPr>
        <w:ind w:firstLine="567"/>
        <w:jc w:val="both"/>
        <w:rPr>
          <w:rFonts w:asciiTheme="minorHAnsi" w:hAnsiTheme="minorHAnsi" w:cstheme="minorHAnsi"/>
          <w:bCs/>
          <w:sz w:val="22"/>
          <w:szCs w:val="22"/>
        </w:rPr>
      </w:pPr>
    </w:p>
    <w:p w14:paraId="1DC06E5D" w14:textId="77777777" w:rsidR="00284255" w:rsidRPr="00821330" w:rsidRDefault="00284255" w:rsidP="00F31DA2">
      <w:pPr>
        <w:pStyle w:val="Antrat2"/>
        <w:rPr>
          <w:bCs/>
        </w:rPr>
      </w:pPr>
      <w:bookmarkStart w:id="101" w:name="_Toc32243607"/>
      <w:r w:rsidRPr="00821330">
        <w:t>Dėl skatinimo priemonių skyrimo nuteistiesiems sąlygų</w:t>
      </w:r>
      <w:bookmarkEnd w:id="101"/>
    </w:p>
    <w:p w14:paraId="7A569630" w14:textId="77777777" w:rsidR="00284255" w:rsidRPr="00821330" w:rsidRDefault="00284255" w:rsidP="00284255">
      <w:pPr>
        <w:jc w:val="both"/>
        <w:rPr>
          <w:rFonts w:asciiTheme="minorHAnsi" w:hAnsiTheme="minorHAnsi" w:cstheme="minorHAnsi"/>
          <w:bCs/>
          <w:i/>
          <w:sz w:val="22"/>
          <w:szCs w:val="22"/>
        </w:rPr>
      </w:pPr>
    </w:p>
    <w:p w14:paraId="66CC9650" w14:textId="00A92A90" w:rsidR="00284255" w:rsidRPr="00821330" w:rsidRDefault="00284255" w:rsidP="00284255">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Apžvelgiamoje byloje ginčas, be kita ko, kilo dėl Pravieniškių</w:t>
      </w:r>
      <w:r w:rsidR="003534DE" w:rsidRPr="00821330">
        <w:rPr>
          <w:rFonts w:asciiTheme="minorHAnsi" w:hAnsiTheme="minorHAnsi" w:cstheme="minorHAnsi"/>
          <w:bCs/>
          <w:sz w:val="22"/>
          <w:szCs w:val="22"/>
        </w:rPr>
        <w:t xml:space="preserve"> pataisos namų-atvirosios kolonijos</w:t>
      </w:r>
      <w:r w:rsidRPr="00821330">
        <w:rPr>
          <w:rFonts w:asciiTheme="minorHAnsi" w:hAnsiTheme="minorHAnsi" w:cstheme="minorHAnsi"/>
          <w:bCs/>
          <w:sz w:val="22"/>
          <w:szCs w:val="22"/>
        </w:rPr>
        <w:t xml:space="preserve"> </w:t>
      </w:r>
      <w:r w:rsidR="003534DE" w:rsidRPr="00821330">
        <w:rPr>
          <w:rFonts w:asciiTheme="minorHAnsi" w:hAnsiTheme="minorHAnsi" w:cstheme="minorHAnsi"/>
          <w:bCs/>
          <w:sz w:val="22"/>
          <w:szCs w:val="22"/>
        </w:rPr>
        <w:t>s</w:t>
      </w:r>
      <w:r w:rsidRPr="00821330">
        <w:rPr>
          <w:rFonts w:asciiTheme="minorHAnsi" w:hAnsiTheme="minorHAnsi" w:cstheme="minorHAnsi"/>
          <w:bCs/>
          <w:sz w:val="22"/>
          <w:szCs w:val="22"/>
        </w:rPr>
        <w:t>prendimo, kuriuo išnagrinėtas ir netenkintas pareiškėjo prašymas dėl paskatinimo skyrimo už aktyvią veiklą ir dalyvavimą įgyvendinant nuteistųjų socialinės reabilitacijos priemones, teisėtumo ir pagrįstumo. Pareiškėjas teigė, kad jis buvo diskriminuojamas, nes kitiems analogiškoje veikloje dalyvavusiems nuteistiesiems buvo skirtos paskatinimo priemonės, o teikimas dėl jo skatinimo nebuvo pateiktas.</w:t>
      </w:r>
    </w:p>
    <w:p w14:paraId="51AF6409" w14:textId="6B2542B2" w:rsidR="00284255" w:rsidRPr="00821330" w:rsidRDefault="00284255" w:rsidP="00284255">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Tačiau pirmosios instancijos teismas nenustatė pareiškėjo diskriminavimo, kadangi kiti jo nurodyti nuteistieji buvo skatinami ir už gerą elgesį, neturėjo galiojančių nuobaudų</w:t>
      </w:r>
      <w:r w:rsidR="005C008E">
        <w:rPr>
          <w:rFonts w:asciiTheme="minorHAnsi" w:hAnsiTheme="minorHAnsi" w:cstheme="minorHAnsi"/>
          <w:bCs/>
          <w:sz w:val="22"/>
          <w:szCs w:val="22"/>
        </w:rPr>
        <w:t>,</w:t>
      </w:r>
      <w:r w:rsidRPr="00821330">
        <w:rPr>
          <w:rFonts w:asciiTheme="minorHAnsi" w:hAnsiTheme="minorHAnsi" w:cstheme="minorHAnsi"/>
          <w:bCs/>
          <w:sz w:val="22"/>
          <w:szCs w:val="22"/>
        </w:rPr>
        <w:t xml:space="preserve"> o pareiškėjas buvo baustas ir nuobaudos galiojančios. Atsižvelgęs į tai, kad įgalioti skirti paskatinimą subjektai nebuvo gavę jokio teikimo dėl paskatinimo priemonių skyrimo pareiškėjui, teismas nurodė, kad šiuo atveju nebuvo teisinio pagrindo skirti jam paskatinimo priemonę, todėl pareiškėjo skundą atmetė. Dėl šio sprendimo pareiškėjas pateikė apeliacinį skundą.</w:t>
      </w:r>
    </w:p>
    <w:p w14:paraId="509D9977" w14:textId="3930F719" w:rsidR="00284255" w:rsidRPr="00821330" w:rsidRDefault="00284255" w:rsidP="00284255">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Teisėjų kolegija, pasisakydama dėl pareiškėjo apeliacinio skundo argumentų, nurodė, kad </w:t>
      </w:r>
      <w:r w:rsidRPr="00821330">
        <w:rPr>
          <w:rFonts w:asciiTheme="minorHAnsi" w:hAnsiTheme="minorHAnsi" w:cstheme="minorHAnsi"/>
          <w:bCs/>
          <w:sz w:val="22"/>
          <w:szCs w:val="22"/>
          <w:u w:val="single"/>
        </w:rPr>
        <w:t>BVK 140</w:t>
      </w:r>
      <w:r w:rsidR="001A4AFC" w:rsidRPr="00821330">
        <w:rPr>
          <w:rFonts w:asciiTheme="minorHAnsi" w:hAnsiTheme="minorHAnsi" w:cstheme="minorHAnsi"/>
          <w:bCs/>
          <w:sz w:val="22"/>
          <w:szCs w:val="22"/>
          <w:u w:val="single"/>
        </w:rPr>
        <w:t>–141 </w:t>
      </w:r>
      <w:r w:rsidRPr="00821330">
        <w:rPr>
          <w:rFonts w:asciiTheme="minorHAnsi" w:hAnsiTheme="minorHAnsi" w:cstheme="minorHAnsi"/>
          <w:bCs/>
          <w:sz w:val="22"/>
          <w:szCs w:val="22"/>
          <w:u w:val="single"/>
        </w:rPr>
        <w:t>straipsniuose įtvirtintas teisinis reguliavimas suteikia teisę, bet ne pareigą skirti skatinimo priemones nuteistiesiems</w:t>
      </w:r>
      <w:r w:rsidRPr="00821330">
        <w:rPr>
          <w:rFonts w:asciiTheme="minorHAnsi" w:hAnsiTheme="minorHAnsi" w:cstheme="minorHAnsi"/>
          <w:bCs/>
          <w:sz w:val="22"/>
          <w:szCs w:val="22"/>
        </w:rPr>
        <w:t>, tačiau ši diskrecijos teisė yra saistoma ir bendrųjų konstitucinių teisės principų (teisinės valstybės, teisės viršenybės, draudimo diskriminuoti, asmenų lygybės prieš įstatymą, proporcingumo ir kt.) bei gero administravimo, atsakingo valdymo principų (teisėtumo, objektyvumo, nepiktnaudžiavimo valdžia, asmens dalyvavimo priimant atitinkamus sprendimus, skaidrumo ir kt.). Šiame kontekste</w:t>
      </w:r>
      <w:r w:rsidR="001A4AFC" w:rsidRPr="00821330">
        <w:rPr>
          <w:rFonts w:asciiTheme="minorHAnsi" w:hAnsiTheme="minorHAnsi" w:cstheme="minorHAnsi"/>
          <w:bCs/>
          <w:sz w:val="22"/>
          <w:szCs w:val="22"/>
        </w:rPr>
        <w:t xml:space="preserve"> teisėjų kolegija pabrėžė BVK 6 </w:t>
      </w:r>
      <w:r w:rsidRPr="00821330">
        <w:rPr>
          <w:rFonts w:asciiTheme="minorHAnsi" w:hAnsiTheme="minorHAnsi" w:cstheme="minorHAnsi"/>
          <w:bCs/>
          <w:sz w:val="22"/>
          <w:szCs w:val="22"/>
        </w:rPr>
        <w:t>straipsnyje įtvirtintą nuteistųjų lygybės taikant bausmių vykdymo įstatymus principą, taip pat sutiko su pareiškėjo apeliacinio skundo argumentu, kad galiojanti nuobaud</w:t>
      </w:r>
      <w:r w:rsidR="001A4AFC" w:rsidRPr="00821330">
        <w:rPr>
          <w:rFonts w:asciiTheme="minorHAnsi" w:hAnsiTheme="minorHAnsi" w:cstheme="minorHAnsi"/>
          <w:bCs/>
          <w:sz w:val="22"/>
          <w:szCs w:val="22"/>
        </w:rPr>
        <w:t>a nuteistajam pagal BVK 140–141 </w:t>
      </w:r>
      <w:r w:rsidRPr="00821330">
        <w:rPr>
          <w:rFonts w:asciiTheme="minorHAnsi" w:hAnsiTheme="minorHAnsi" w:cstheme="minorHAnsi"/>
          <w:bCs/>
          <w:sz w:val="22"/>
          <w:szCs w:val="22"/>
        </w:rPr>
        <w:t xml:space="preserve">straipsniuose įtvirtintą teisinį reguliavimą formaliai nepaneigia galimybės būti paskatintam. Kita vertus, teisėjų kolegija atkreipė dėmesį, kad </w:t>
      </w:r>
      <w:r w:rsidRPr="00821330">
        <w:rPr>
          <w:rFonts w:asciiTheme="minorHAnsi" w:hAnsiTheme="minorHAnsi" w:cstheme="minorHAnsi"/>
          <w:bCs/>
          <w:sz w:val="22"/>
          <w:szCs w:val="22"/>
          <w:u w:val="single"/>
        </w:rPr>
        <w:t>BVK 140 straipsnio 1 dalyje įtvirtintų kriterijų visuma – nepriekaištingas elgesys, iniciatyva ir aktyvus dalyvavimas įgyvendinant socialinės reabilitacijos priemones, stropus darbas ir geri mokymosi rezultatai – sudaro teisinį pagrindą skirti paskatinimo priemones nuteistiesiems ir šie kriterijai turi būti vertinami kompleksiškai</w:t>
      </w:r>
      <w:r w:rsidRPr="00821330">
        <w:rPr>
          <w:rFonts w:asciiTheme="minorHAnsi" w:hAnsiTheme="minorHAnsi" w:cstheme="minorHAnsi"/>
          <w:bCs/>
          <w:sz w:val="22"/>
          <w:szCs w:val="22"/>
        </w:rPr>
        <w:t>. Todėl vien aplinkybė, jog pareiškėjo nurodyti nuteistieji dalyvavo toje pačioje nuteistųjų visuomeninėje veikloje kaip ir pareiškėjas bei buvo paskatinti, savaime nereiškia, kad dėl aktyvaus dalyvavimo analogiškose priemonėse, nepaisant kitų, pareiškėją charakterizuojančių veiksnių, turėjo būti pasiūlyta paskirti paskatinimą ir pareiškėjui.</w:t>
      </w:r>
    </w:p>
    <w:p w14:paraId="49154F29" w14:textId="268447A2" w:rsidR="00284255" w:rsidRPr="00821330" w:rsidRDefault="00284255" w:rsidP="00284255">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Taigi teisėjų kolegija sutiko su pirmosios instancijos teismo vertinimu, kad šiuo atveju nebuvo pagrindo konstatuoti pareiškėjo teisių pažeidimą, todėl pareiškėjo apeliacinį skundą atmetė ir paliko pirmosios instancijos teismo sprendimą nepakeistą.</w:t>
      </w:r>
    </w:p>
    <w:p w14:paraId="518AA512" w14:textId="77777777" w:rsidR="00284255" w:rsidRPr="00821330" w:rsidRDefault="00284255" w:rsidP="00284255">
      <w:pPr>
        <w:ind w:firstLine="567"/>
        <w:jc w:val="both"/>
        <w:rPr>
          <w:rFonts w:asciiTheme="minorHAnsi" w:hAnsiTheme="minorHAnsi" w:cstheme="minorHAnsi"/>
          <w:bCs/>
          <w:sz w:val="22"/>
          <w:szCs w:val="22"/>
        </w:rPr>
      </w:pPr>
    </w:p>
    <w:p w14:paraId="4EEB80D3" w14:textId="77777777" w:rsidR="00284255" w:rsidRPr="00821330" w:rsidRDefault="00284255" w:rsidP="00284255">
      <w:pPr>
        <w:rPr>
          <w:rFonts w:asciiTheme="minorHAnsi" w:hAnsiTheme="minorHAnsi" w:cstheme="minorHAnsi"/>
          <w:sz w:val="22"/>
          <w:szCs w:val="22"/>
        </w:rPr>
      </w:pPr>
      <w:r w:rsidRPr="00821330">
        <w:rPr>
          <w:rFonts w:asciiTheme="minorHAnsi" w:hAnsiTheme="minorHAnsi" w:cstheme="minorHAnsi"/>
          <w:sz w:val="22"/>
          <w:szCs w:val="22"/>
        </w:rPr>
        <w:t xml:space="preserve">2019 m. gruodžio 18 d. nutartis administracinėje byloje Nr. </w:t>
      </w:r>
      <w:r w:rsidRPr="00821330">
        <w:rPr>
          <w:rFonts w:asciiTheme="minorHAnsi" w:hAnsiTheme="minorHAnsi" w:cstheme="minorHAnsi"/>
          <w:sz w:val="22"/>
          <w:szCs w:val="22"/>
          <w:lang w:eastAsia="en-US"/>
        </w:rPr>
        <w:t>eA-2433-575/2019</w:t>
      </w:r>
    </w:p>
    <w:p w14:paraId="3BB9FDF6" w14:textId="77777777" w:rsidR="00284255" w:rsidRPr="00821330" w:rsidRDefault="00284255" w:rsidP="00284255">
      <w:pPr>
        <w:rPr>
          <w:rFonts w:asciiTheme="minorHAnsi" w:hAnsiTheme="minorHAnsi" w:cstheme="minorHAnsi"/>
          <w:sz w:val="22"/>
          <w:szCs w:val="22"/>
        </w:rPr>
      </w:pPr>
      <w:r w:rsidRPr="00821330">
        <w:rPr>
          <w:rFonts w:asciiTheme="minorHAnsi" w:hAnsiTheme="minorHAnsi" w:cstheme="minorHAnsi"/>
          <w:sz w:val="22"/>
          <w:szCs w:val="22"/>
        </w:rPr>
        <w:t xml:space="preserve">Teisminio proceso Nr. </w:t>
      </w:r>
      <w:r w:rsidRPr="00821330">
        <w:rPr>
          <w:rFonts w:asciiTheme="minorHAnsi" w:hAnsiTheme="minorHAnsi" w:cstheme="minorHAnsi"/>
          <w:bCs/>
          <w:sz w:val="22"/>
          <w:szCs w:val="22"/>
          <w:lang w:eastAsia="en-US"/>
        </w:rPr>
        <w:t>3-62-3-02252-2017-5</w:t>
      </w:r>
    </w:p>
    <w:p w14:paraId="6950A201" w14:textId="77777777" w:rsidR="00284255" w:rsidRPr="00821330" w:rsidRDefault="00284255" w:rsidP="00284255">
      <w:pPr>
        <w:rPr>
          <w:rFonts w:asciiTheme="minorHAnsi" w:hAnsiTheme="minorHAnsi" w:cstheme="minorHAnsi"/>
          <w:sz w:val="22"/>
          <w:szCs w:val="22"/>
          <w:lang w:eastAsia="en-US"/>
        </w:rPr>
      </w:pPr>
      <w:r w:rsidRPr="00821330">
        <w:rPr>
          <w:rFonts w:asciiTheme="minorHAnsi" w:hAnsiTheme="minorHAnsi" w:cstheme="minorHAnsi"/>
          <w:sz w:val="22"/>
          <w:szCs w:val="22"/>
        </w:rPr>
        <w:t xml:space="preserve">Procesinio sprendimo </w:t>
      </w:r>
      <w:r w:rsidRPr="00821330">
        <w:rPr>
          <w:rFonts w:asciiTheme="minorHAnsi" w:hAnsiTheme="minorHAnsi" w:cstheme="minorHAnsi"/>
          <w:sz w:val="22"/>
          <w:szCs w:val="22"/>
          <w:lang w:eastAsia="en-US"/>
        </w:rPr>
        <w:t>kategorijos: 37.1; 37.5</w:t>
      </w:r>
    </w:p>
    <w:p w14:paraId="5563DFD2" w14:textId="77777777" w:rsidR="00284255" w:rsidRPr="00821330" w:rsidRDefault="00E956D9" w:rsidP="00284255">
      <w:pPr>
        <w:rPr>
          <w:rFonts w:asciiTheme="minorHAnsi" w:hAnsiTheme="minorHAnsi" w:cstheme="minorHAnsi"/>
          <w:sz w:val="22"/>
          <w:szCs w:val="22"/>
          <w:u w:val="single"/>
        </w:rPr>
      </w:pPr>
      <w:hyperlink r:id="rId37" w:history="1">
        <w:r w:rsidR="00284255" w:rsidRPr="00821330">
          <w:rPr>
            <w:rStyle w:val="Hipersaitas"/>
            <w:rFonts w:asciiTheme="minorHAnsi" w:hAnsiTheme="minorHAnsi" w:cstheme="minorHAnsi"/>
            <w:sz w:val="22"/>
            <w:szCs w:val="22"/>
          </w:rPr>
          <w:t>Prieiga internete</w:t>
        </w:r>
      </w:hyperlink>
    </w:p>
    <w:p w14:paraId="4A0C564C" w14:textId="77777777" w:rsidR="00284255" w:rsidRPr="00821330" w:rsidRDefault="00284255" w:rsidP="00496E0E">
      <w:pPr>
        <w:rPr>
          <w:rFonts w:asciiTheme="minorHAnsi" w:hAnsiTheme="minorHAnsi" w:cstheme="minorHAnsi"/>
          <w:sz w:val="22"/>
          <w:szCs w:val="22"/>
        </w:rPr>
      </w:pPr>
    </w:p>
    <w:p w14:paraId="27884261" w14:textId="77777777" w:rsidR="00D13D83" w:rsidRPr="00821330" w:rsidRDefault="00D13D83" w:rsidP="00D13D83">
      <w:pPr>
        <w:pStyle w:val="Antrat1"/>
        <w:rPr>
          <w:rFonts w:asciiTheme="minorHAnsi" w:hAnsiTheme="minorHAnsi" w:cstheme="minorHAnsi"/>
        </w:rPr>
      </w:pPr>
      <w:bookmarkStart w:id="102" w:name="_Toc774949"/>
      <w:bookmarkStart w:id="103" w:name="_Toc32243608"/>
      <w:r w:rsidRPr="00821330">
        <w:rPr>
          <w:rFonts w:asciiTheme="minorHAnsi" w:hAnsiTheme="minorHAnsi" w:cstheme="minorHAnsi"/>
        </w:rPr>
        <w:t>41. Kiti ginčai viešojo administravimo srityje</w:t>
      </w:r>
      <w:bookmarkEnd w:id="102"/>
      <w:bookmarkEnd w:id="103"/>
    </w:p>
    <w:p w14:paraId="515FE5A7" w14:textId="77777777" w:rsidR="00D13D83" w:rsidRPr="00821330" w:rsidRDefault="00D13D83" w:rsidP="00496E0E">
      <w:pPr>
        <w:rPr>
          <w:rFonts w:asciiTheme="minorHAnsi" w:hAnsiTheme="minorHAnsi" w:cstheme="minorHAnsi"/>
          <w:sz w:val="22"/>
          <w:szCs w:val="22"/>
        </w:rPr>
      </w:pPr>
    </w:p>
    <w:p w14:paraId="18B69A32" w14:textId="555EE32C" w:rsidR="000B16C8" w:rsidRDefault="000B16C8" w:rsidP="00F31DA2">
      <w:pPr>
        <w:pStyle w:val="Antrat2"/>
      </w:pPr>
      <w:bookmarkStart w:id="104" w:name="_Toc32243609"/>
      <w:r w:rsidRPr="000B16C8">
        <w:lastRenderedPageBreak/>
        <w:t xml:space="preserve">Dėl </w:t>
      </w:r>
      <w:r>
        <w:t>pagrindo pradėti neplaninį bankroto administratoriaus patikrinimą</w:t>
      </w:r>
      <w:bookmarkEnd w:id="104"/>
    </w:p>
    <w:p w14:paraId="74477BBF"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p>
    <w:p w14:paraId="75635661" w14:textId="74ADA706"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 xml:space="preserve">Byloje ginčas kilo dėl to, ar </w:t>
      </w:r>
      <w:r w:rsidR="00B41FC9" w:rsidRPr="00821330">
        <w:rPr>
          <w:rFonts w:ascii="Calibri" w:eastAsia="Calibri" w:hAnsi="Calibri"/>
          <w:sz w:val="22"/>
          <w:szCs w:val="22"/>
          <w:lang w:eastAsia="en-US"/>
        </w:rPr>
        <w:t>Audito, apskaitos, turto vertinimo ir nemokumo valdymo tarnyb</w:t>
      </w:r>
      <w:r w:rsidR="005D0B6A">
        <w:rPr>
          <w:rFonts w:ascii="Calibri" w:eastAsia="Calibri" w:hAnsi="Calibri"/>
          <w:sz w:val="22"/>
          <w:szCs w:val="22"/>
          <w:lang w:eastAsia="en-US"/>
        </w:rPr>
        <w:t>a</w:t>
      </w:r>
      <w:r w:rsidR="00B41FC9" w:rsidRPr="00821330">
        <w:rPr>
          <w:rFonts w:ascii="Calibri" w:eastAsia="Calibri" w:hAnsi="Calibri"/>
          <w:sz w:val="22"/>
          <w:szCs w:val="22"/>
          <w:lang w:eastAsia="en-US"/>
        </w:rPr>
        <w:t xml:space="preserve"> prie Lietuvos Respublikos finansų ministerijos (toliau – Tarnyba) </w:t>
      </w:r>
      <w:r w:rsidRPr="00821330">
        <w:rPr>
          <w:rFonts w:ascii="Calibri" w:eastAsia="Calibri" w:hAnsi="Calibri"/>
          <w:sz w:val="22"/>
          <w:szCs w:val="22"/>
          <w:lang w:eastAsia="en-US"/>
        </w:rPr>
        <w:t>(atsakovas), gavusi pareiškėjo prašymą įvertinti Bankroto administratoriaus veiksmus, vykdant bendrovės bankroto procedūras, turėjo atlikti Bankroto administratoriaus veiklos neplaninį patikrinimą, ar nagrinėjamu atveju galėjo šio patikrinimo nepradėti.</w:t>
      </w:r>
    </w:p>
    <w:p w14:paraId="7EF5BB26" w14:textId="4BD6A0D5"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Teisėjų kolegija, įvertinusi ginčui aktualias Viešojo administravimo įstatymo, Audito, apskaitos, turto vertinimo ir nemokumo valdymo tarnybos direktoriaus 2016 m. rugpjūčio 30 d. įsakymu Nr. V1-341 patvirtintų Planinių ir neplaninių bankroto administratorių veiklos patikrinimų taisyklių (to</w:t>
      </w:r>
      <w:r w:rsidR="00B43CA5" w:rsidRPr="00821330">
        <w:rPr>
          <w:rFonts w:ascii="Calibri" w:eastAsia="Calibri" w:hAnsi="Calibri"/>
          <w:sz w:val="22"/>
          <w:szCs w:val="22"/>
          <w:lang w:eastAsia="en-US"/>
        </w:rPr>
        <w:t xml:space="preserve">liau – </w:t>
      </w:r>
      <w:r w:rsidRPr="00821330">
        <w:rPr>
          <w:rFonts w:ascii="Calibri" w:eastAsia="Calibri" w:hAnsi="Calibri"/>
          <w:sz w:val="22"/>
          <w:szCs w:val="22"/>
          <w:lang w:eastAsia="en-US"/>
        </w:rPr>
        <w:t>Taisyklės), Lietuvos Respublikos finansų ministro 2016 m. liepos 5 d. įsakymu Nr. 1K-270 patvirtintų Bankroto administratorių veiklos pr</w:t>
      </w:r>
      <w:r w:rsidR="00B43CA5" w:rsidRPr="00821330">
        <w:rPr>
          <w:rFonts w:ascii="Calibri" w:eastAsia="Calibri" w:hAnsi="Calibri"/>
          <w:sz w:val="22"/>
          <w:szCs w:val="22"/>
          <w:lang w:eastAsia="en-US"/>
        </w:rPr>
        <w:t xml:space="preserve">iežiūros taisyklių (toliau – </w:t>
      </w:r>
      <w:r w:rsidRPr="00821330">
        <w:rPr>
          <w:rFonts w:ascii="Calibri" w:eastAsia="Calibri" w:hAnsi="Calibri"/>
          <w:sz w:val="22"/>
          <w:szCs w:val="22"/>
          <w:lang w:eastAsia="en-US"/>
        </w:rPr>
        <w:t xml:space="preserve">Priežiūros taisyklės) nuostatas, konstatavo, kad </w:t>
      </w:r>
      <w:r w:rsidRPr="00821330">
        <w:rPr>
          <w:rFonts w:ascii="Calibri" w:eastAsia="Calibri" w:hAnsi="Calibri"/>
          <w:sz w:val="22"/>
          <w:szCs w:val="22"/>
          <w:u w:val="single"/>
          <w:lang w:eastAsia="en-US"/>
        </w:rPr>
        <w:t xml:space="preserve">pakankamas pagrindas pradėti neplaninį patikrinimą administratoriaus atžvilgiu atsiranda kai: 1) asmuo pateikia skundą / pareiškimą ir 2) </w:t>
      </w:r>
      <w:bookmarkStart w:id="105" w:name="_Hlk25832024"/>
      <w:r w:rsidRPr="00821330">
        <w:rPr>
          <w:rFonts w:ascii="Calibri" w:eastAsia="Calibri" w:hAnsi="Calibri"/>
          <w:sz w:val="22"/>
          <w:szCs w:val="22"/>
          <w:u w:val="single"/>
          <w:lang w:eastAsia="en-US"/>
        </w:rPr>
        <w:t>pateiktos informacijos užtenka atsirasti pagrįstiems įtarimams, jog administratoriaus veiksmai ar neveikimas gali prieštarauti teisės aktams ar neatitikti teisės aktų nustatytų reikalavimų</w:t>
      </w:r>
      <w:r w:rsidRPr="00821330">
        <w:rPr>
          <w:rFonts w:ascii="Calibri" w:eastAsia="Calibri" w:hAnsi="Calibri"/>
          <w:sz w:val="22"/>
          <w:szCs w:val="22"/>
          <w:lang w:eastAsia="en-US"/>
        </w:rPr>
        <w:t xml:space="preserve">. </w:t>
      </w:r>
    </w:p>
    <w:bookmarkEnd w:id="105"/>
    <w:p w14:paraId="3419A102" w14:textId="03E4DE0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 xml:space="preserve">Antroji sąlyga dėl informacijos pakankamumo atsirasti pagrįstiems įtarimams, jog administratoriaus veiksmai ar neveikimas gali prieštarauti teisės aktams ar neatitikti teisės aktų nustatytų reikalavimų, reiškia, kad </w:t>
      </w:r>
      <w:r w:rsidRPr="00821330">
        <w:rPr>
          <w:rFonts w:ascii="Calibri" w:eastAsia="Calibri" w:hAnsi="Calibri"/>
          <w:sz w:val="22"/>
          <w:szCs w:val="22"/>
          <w:u w:val="single"/>
          <w:lang w:eastAsia="en-US"/>
        </w:rPr>
        <w:t>sprendimo, pradėti ar nepradėti neplaninį patikrinimą priėmimo stadijoje nėra vertinama, ar administratoriaus skundžiami veiksmai / neveikimas prieštarauja teisės aktų reikalavimams, ar ne, ar yra administratoriaus veikoje atitinkamos atsakomybės (drausminės, civilinės, baudžiamosios ir kt.) sudėtis, ar ne. Šis vertinimas atliekamas atlikus neplaninį patikrinimą</w:t>
      </w:r>
      <w:r w:rsidRPr="00821330">
        <w:rPr>
          <w:rFonts w:ascii="Calibri" w:eastAsia="Calibri" w:hAnsi="Calibri"/>
          <w:sz w:val="22"/>
          <w:szCs w:val="22"/>
          <w:lang w:eastAsia="en-US"/>
        </w:rPr>
        <w:t xml:space="preserve">, kurio metu ir ištiriamos minėtos aplinkybės. Šioje stadijoje </w:t>
      </w:r>
      <w:r w:rsidRPr="00821330">
        <w:rPr>
          <w:rFonts w:ascii="Calibri" w:eastAsia="Calibri" w:hAnsi="Calibri"/>
          <w:sz w:val="22"/>
          <w:szCs w:val="22"/>
          <w:u w:val="single"/>
          <w:lang w:eastAsia="en-US"/>
        </w:rPr>
        <w:t>lemiamą reikšmę, pradėti ar nepradėti neplaninį patikrinimą, turi</w:t>
      </w:r>
      <w:r w:rsidRPr="00821330">
        <w:rPr>
          <w:rFonts w:ascii="Calibri" w:eastAsia="Calibri" w:hAnsi="Calibri"/>
          <w:sz w:val="22"/>
          <w:szCs w:val="22"/>
          <w:lang w:eastAsia="en-US"/>
        </w:rPr>
        <w:t xml:space="preserve"> pateiktos informacijos pobūdis. Jei šioje informacijoje yra nurodomos </w:t>
      </w:r>
      <w:r w:rsidRPr="00821330">
        <w:rPr>
          <w:rFonts w:ascii="Calibri" w:eastAsia="Calibri" w:hAnsi="Calibri"/>
          <w:sz w:val="22"/>
          <w:szCs w:val="22"/>
          <w:u w:val="single"/>
          <w:lang w:eastAsia="en-US"/>
        </w:rPr>
        <w:t>aplinkybės, duodančios pagrindą atsirasti pagrįstiems įtarimams, jog galimai administratoriaus veikoje yra atitinkamo teisės pažeidimo sudėtis</w:t>
      </w:r>
      <w:r w:rsidRPr="00821330">
        <w:rPr>
          <w:rFonts w:ascii="Calibri" w:eastAsia="Calibri" w:hAnsi="Calibri"/>
          <w:sz w:val="22"/>
          <w:szCs w:val="22"/>
          <w:lang w:eastAsia="en-US"/>
        </w:rPr>
        <w:t xml:space="preserve">, neplaninis patikrinimas turi būti atliekamas. Ir priešingai, jei asmens pateiktoje informacijoje nėra nurodoma tokių aplinkybių, tuomet nėra ir vienos iš būtinų sąlygų pradėti tokį patikrinimą. </w:t>
      </w:r>
    </w:p>
    <w:p w14:paraId="56429B79"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 xml:space="preserve">Byloje nustatyta, kad pareiškėjas atsakovui pateikė skundą dėl </w:t>
      </w:r>
      <w:bookmarkStart w:id="106" w:name="_Hlk25831239"/>
      <w:r w:rsidRPr="00821330">
        <w:rPr>
          <w:rFonts w:ascii="Calibri" w:eastAsia="Calibri" w:hAnsi="Calibri"/>
          <w:sz w:val="22"/>
          <w:szCs w:val="22"/>
          <w:lang w:eastAsia="en-US"/>
        </w:rPr>
        <w:t xml:space="preserve">bendrovės </w:t>
      </w:r>
      <w:bookmarkEnd w:id="106"/>
      <w:r w:rsidRPr="00821330">
        <w:rPr>
          <w:rFonts w:ascii="Calibri" w:eastAsia="Calibri" w:hAnsi="Calibri"/>
          <w:sz w:val="22"/>
          <w:szCs w:val="22"/>
          <w:lang w:eastAsia="en-US"/>
        </w:rPr>
        <w:t xml:space="preserve">administratoriaus veiksmų, vykdant bendrovės bankroto procedūras, įvertinimo. Skunde nurodė aplinkybes dėl galimai netinkamo Vilniaus apygardos teismo nutarčių, </w:t>
      </w:r>
      <w:bookmarkStart w:id="107" w:name="_Hlk25832193"/>
      <w:r w:rsidRPr="00821330">
        <w:rPr>
          <w:rFonts w:ascii="Calibri" w:eastAsia="Calibri" w:hAnsi="Calibri"/>
          <w:sz w:val="22"/>
          <w:szCs w:val="22"/>
          <w:lang w:eastAsia="en-US"/>
        </w:rPr>
        <w:t>susijusių su laikinųjų apsaugos priemonių – bendrovės turto varžytinių sustabdymu / nesustabdymu</w:t>
      </w:r>
      <w:bookmarkEnd w:id="107"/>
      <w:r w:rsidRPr="00821330">
        <w:rPr>
          <w:rFonts w:ascii="Calibri" w:eastAsia="Calibri" w:hAnsi="Calibri"/>
          <w:sz w:val="22"/>
          <w:szCs w:val="22"/>
          <w:lang w:eastAsia="en-US"/>
        </w:rPr>
        <w:t xml:space="preserve"> – vykdymo. Tai, kad šių teismo nutarčių vykdymas, administratoriui atliekant turto varžytinių veiksmus, buvo komplikuotas bei dviprasmiškas, pripažino ir atsakovas ginčijamame </w:t>
      </w:r>
      <w:bookmarkStart w:id="108" w:name="_Hlk25832287"/>
      <w:r w:rsidRPr="00821330">
        <w:rPr>
          <w:rFonts w:ascii="Calibri" w:eastAsia="Calibri" w:hAnsi="Calibri"/>
          <w:sz w:val="22"/>
          <w:szCs w:val="22"/>
          <w:lang w:eastAsia="en-US"/>
        </w:rPr>
        <w:t>sprendim</w:t>
      </w:r>
      <w:bookmarkEnd w:id="108"/>
      <w:r w:rsidRPr="00821330">
        <w:rPr>
          <w:rFonts w:ascii="Calibri" w:eastAsia="Calibri" w:hAnsi="Calibri"/>
          <w:sz w:val="22"/>
          <w:szCs w:val="22"/>
          <w:lang w:eastAsia="en-US"/>
        </w:rPr>
        <w:t>e. Teisėjų kolegijos vertinimu, aptartos aplinkybės patvirtino, kad pareiškėjo pateikta informacija atsakovui buvo pakankama atsirasti pagrįstiems įtarimams, jog administratoriaus veiksmai ar neveikimas galėjo prieštarauti teisės aktams ar neatitikti teisės aktų nustatytų reikalavimų, vykdant minėtas teismo nutartis. Tačiau atsakovas ginčijamu sprendimu nusprendė neplaninio patikrinimo administratoriaus atžvilgiu pagal pareiškėjo nurodytas aplinkybes nepradėti konstatavęs, jog situacijos dviprasmiškumas duoda pagrindą išvadai, kad administratoriaus veiksmai atitiko jo veiklą reglamentuojančių teisės aktų reikalavimus.</w:t>
      </w:r>
    </w:p>
    <w:p w14:paraId="54535150"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LVAT nutartimi pirmosios instancijos teismo sprendimas paliktas nepakeistas, atsakovo apeliacinis skundas atmestas.</w:t>
      </w:r>
    </w:p>
    <w:p w14:paraId="1B635A88"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p>
    <w:p w14:paraId="4D94DF88" w14:textId="1D375754"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201</w:t>
      </w:r>
      <w:r w:rsidR="00E71287">
        <w:rPr>
          <w:rFonts w:ascii="Calibri" w:eastAsia="Calibri" w:hAnsi="Calibri"/>
          <w:bCs/>
          <w:sz w:val="22"/>
          <w:szCs w:val="22"/>
          <w:lang w:eastAsia="en-US"/>
        </w:rPr>
        <w:t>9</w:t>
      </w:r>
      <w:r w:rsidRPr="00821330">
        <w:rPr>
          <w:rFonts w:ascii="Calibri" w:eastAsia="Calibri" w:hAnsi="Calibri"/>
          <w:bCs/>
          <w:sz w:val="22"/>
          <w:szCs w:val="22"/>
          <w:lang w:eastAsia="en-US"/>
        </w:rPr>
        <w:t xml:space="preserve"> m. gruodžio 4 d. nutartis administracinėje byloje Nr. eA-1352-438/2019</w:t>
      </w:r>
    </w:p>
    <w:p w14:paraId="63505339"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Teisminio proceso Nr. 3-61-3-02625-2017-8</w:t>
      </w:r>
    </w:p>
    <w:p w14:paraId="1B95A45A"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Procesinio sprendimo kategorija 41</w:t>
      </w:r>
    </w:p>
    <w:p w14:paraId="56CEC0B9" w14:textId="77777777" w:rsidR="00642D78" w:rsidRPr="00821330" w:rsidRDefault="00E956D9" w:rsidP="00642D78">
      <w:pPr>
        <w:jc w:val="both"/>
        <w:rPr>
          <w:rFonts w:ascii="Calibri" w:eastAsia="Calibri" w:hAnsi="Calibri"/>
          <w:bCs/>
          <w:sz w:val="22"/>
          <w:szCs w:val="22"/>
          <w:lang w:eastAsia="en-US"/>
        </w:rPr>
      </w:pPr>
      <w:hyperlink r:id="rId38" w:history="1">
        <w:r w:rsidR="00642D78" w:rsidRPr="00821330">
          <w:rPr>
            <w:rFonts w:ascii="Calibri" w:eastAsia="Calibri" w:hAnsi="Calibri"/>
            <w:bCs/>
            <w:color w:val="0000FF"/>
            <w:sz w:val="22"/>
            <w:szCs w:val="22"/>
            <w:u w:val="single"/>
            <w:lang w:eastAsia="en-US"/>
          </w:rPr>
          <w:t>Prieiga internete</w:t>
        </w:r>
      </w:hyperlink>
      <w:r w:rsidR="00642D78" w:rsidRPr="00821330">
        <w:rPr>
          <w:rFonts w:ascii="Calibri" w:eastAsia="Calibri" w:hAnsi="Calibri"/>
          <w:bCs/>
          <w:sz w:val="22"/>
          <w:szCs w:val="22"/>
          <w:lang w:eastAsia="en-US"/>
        </w:rPr>
        <w:t xml:space="preserve"> </w:t>
      </w:r>
    </w:p>
    <w:p w14:paraId="54C4639B" w14:textId="77777777" w:rsidR="00642D78" w:rsidRPr="00821330" w:rsidRDefault="00642D78" w:rsidP="00642D78">
      <w:pPr>
        <w:rPr>
          <w:rFonts w:asciiTheme="minorHAnsi" w:hAnsiTheme="minorHAnsi" w:cstheme="minorHAnsi"/>
          <w:sz w:val="22"/>
          <w:szCs w:val="22"/>
        </w:rPr>
      </w:pPr>
    </w:p>
    <w:p w14:paraId="3D8C2701" w14:textId="4C5F9BBE" w:rsidR="00642D78" w:rsidRPr="0060499B" w:rsidRDefault="0060499B" w:rsidP="0060499B">
      <w:pPr>
        <w:pStyle w:val="Antrat2"/>
      </w:pPr>
      <w:bookmarkStart w:id="109" w:name="_Toc32243610"/>
      <w:r w:rsidRPr="0060499B">
        <w:t>Dėl pakartotinio prašymo nagrinėjimo Architektų profesinio atestavimo komisijoje tvarkos</w:t>
      </w:r>
      <w:bookmarkEnd w:id="109"/>
    </w:p>
    <w:p w14:paraId="02A4B823" w14:textId="77777777" w:rsidR="0060499B" w:rsidRDefault="0060499B" w:rsidP="00642D78">
      <w:pPr>
        <w:shd w:val="clear" w:color="auto" w:fill="FFFFFF"/>
        <w:tabs>
          <w:tab w:val="left" w:pos="3119"/>
        </w:tabs>
        <w:ind w:right="-1" w:firstLine="567"/>
        <w:jc w:val="both"/>
        <w:rPr>
          <w:rFonts w:ascii="Calibri" w:eastAsia="Calibri" w:hAnsi="Calibri"/>
          <w:sz w:val="22"/>
          <w:szCs w:val="22"/>
          <w:lang w:eastAsia="en-US"/>
        </w:rPr>
      </w:pPr>
    </w:p>
    <w:p w14:paraId="44C11DB7" w14:textId="6792B7DE"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 xml:space="preserve">Byloje nagrinėtas ginčas kilo dėl pareiškėjos reikalavimo įpareigoti Lietuvos architektų rūmus (toliau – Rūmai) per 30 darbo dienų nuo teismo sprendimo įsiteisėjimo iš naujo išnagrinėti jos </w:t>
      </w:r>
      <w:r w:rsidR="005C008E">
        <w:rPr>
          <w:rFonts w:ascii="Calibri" w:eastAsia="Calibri" w:hAnsi="Calibri"/>
          <w:sz w:val="22"/>
          <w:szCs w:val="22"/>
          <w:lang w:eastAsia="en-US"/>
        </w:rPr>
        <w:t xml:space="preserve">skundą </w:t>
      </w:r>
      <w:r w:rsidRPr="00821330">
        <w:rPr>
          <w:rFonts w:ascii="Calibri" w:eastAsia="Calibri" w:hAnsi="Calibri"/>
          <w:sz w:val="22"/>
          <w:szCs w:val="22"/>
          <w:lang w:eastAsia="en-US"/>
        </w:rPr>
        <w:t xml:space="preserve">dėl architekto kvalifikacijos atestato išdavimo ir priimti sprendimą be papildomo profesinių žinių egzamino pagrįstumo. </w:t>
      </w:r>
    </w:p>
    <w:p w14:paraId="3F9DD2D7" w14:textId="3B0AED11"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 xml:space="preserve">Byloje nustatyta, kad pareiškėja su prašymu kreipėsi į Rūmus dėl statybos techninės veiklos srities vadovo kvalifikacijos atestato suteikimo, t. y. kvalifikacijos atestato, suteikiančio teisę eiti statinio projekto vadovo, statinio projekto vykdymo priežiūros vadovo, statinio projekto architektūrinės dalies vadovo, statinio projekto architektūrinės dalies vykdymo priežiūros vadovo pareigas ypatinguosiuose ir neypatinguosiuose statiniuose, taip pat ypatinguosiuose ir neypatinguosiuose statiniuose, esančiuose kultūros paveldo objekto teritorijoje, </w:t>
      </w:r>
      <w:r w:rsidRPr="00821330">
        <w:rPr>
          <w:rFonts w:ascii="Calibri" w:eastAsia="Calibri" w:hAnsi="Calibri"/>
          <w:sz w:val="22"/>
          <w:szCs w:val="22"/>
          <w:lang w:eastAsia="en-US"/>
        </w:rPr>
        <w:lastRenderedPageBreak/>
        <w:t xml:space="preserve">apsaugos zonoje ar vietovėje. </w:t>
      </w:r>
      <w:r w:rsidR="003C1794" w:rsidRPr="00821330">
        <w:rPr>
          <w:rFonts w:ascii="Calibri" w:eastAsia="Calibri" w:hAnsi="Calibri"/>
          <w:sz w:val="22"/>
          <w:szCs w:val="22"/>
          <w:lang w:eastAsia="en-US"/>
        </w:rPr>
        <w:t>Architektų profesinio atestavimo komisija (toliau – Atestavimo komisija)</w:t>
      </w:r>
      <w:r w:rsidRPr="00821330">
        <w:rPr>
          <w:rFonts w:ascii="Calibri" w:eastAsia="Calibri" w:hAnsi="Calibri"/>
          <w:sz w:val="22"/>
          <w:szCs w:val="22"/>
          <w:lang w:eastAsia="en-US"/>
        </w:rPr>
        <w:t xml:space="preserve">, atsižvelgusi į pareiškėjos pateiktus dokumentus, paaiškinimus ir atsakymus vykdant profesinių žinių patikrinimą, ekspertų rekomendacijas, nutarė, jog pareiškėjos profesinė patirtis ir turimos žinios yra pakankamos tam, jog jai būtų išduotas architekto kvalifikacijos atestatas, suteikiantis teisę eiti statinio projekto architektūrinės dalies vadovo, statinio projekto architektūrinės dalies vykdymo priežiūros vadovo pareigas neypatinguosiuose statiniuose. Pareiškėja skundu kreipėsi į </w:t>
      </w:r>
      <w:r w:rsidR="003C1794" w:rsidRPr="00821330">
        <w:rPr>
          <w:rFonts w:ascii="Calibri" w:eastAsia="Calibri" w:hAnsi="Calibri"/>
          <w:sz w:val="22"/>
          <w:szCs w:val="22"/>
          <w:lang w:eastAsia="en-US"/>
        </w:rPr>
        <w:t>Lietuvos Respublikos aplinkos ministerijos Skundų dėl sprendimų dėl kvalifikacijos atestatų ir (ar) teisės pripažinimo dokumentų išdavimo ar neišdavimo arba galiojimo sustabdymo ar galiojimo panaikinimo teisėtumo nagrinėjimo komisiją (toliau – Komisija)</w:t>
      </w:r>
      <w:r w:rsidRPr="00821330">
        <w:rPr>
          <w:rFonts w:ascii="Calibri" w:eastAsia="Calibri" w:hAnsi="Calibri"/>
          <w:sz w:val="22"/>
          <w:szCs w:val="22"/>
          <w:lang w:eastAsia="en-US"/>
        </w:rPr>
        <w:t>, prašydama pripažinti Rūmų sprendimą nepagrįstu ir įpareigoti sprendimą priėmusią organizaciją jos skundą nagrinėti iš naujo. Komisija pripažino Rūmų sprendimą nepagrįstu ir įpareigojo Rūmus pareiškėjos prašymą dėl architekto kvalifikacijos atestato išdavimo nagrinėti iš naujo. Rūmai informavo pareiškėją, kad pakartotinai jos prašymas bus svarstomas Atestavimo komisijos posėdyje</w:t>
      </w:r>
      <w:r w:rsidR="005C008E">
        <w:rPr>
          <w:rFonts w:ascii="Calibri" w:eastAsia="Calibri" w:hAnsi="Calibri"/>
          <w:sz w:val="22"/>
          <w:szCs w:val="22"/>
          <w:lang w:eastAsia="en-US"/>
        </w:rPr>
        <w:t>,</w:t>
      </w:r>
      <w:r w:rsidRPr="00821330">
        <w:rPr>
          <w:rFonts w:ascii="Calibri" w:eastAsia="Calibri" w:hAnsi="Calibri"/>
          <w:sz w:val="22"/>
          <w:szCs w:val="22"/>
          <w:lang w:eastAsia="en-US"/>
        </w:rPr>
        <w:t xml:space="preserve"> ir pakvietė pareiškėją jame dalyvauti. Rūmai nurodė, jog prašymas bus svarstomas pareiškėjai dalyvaujant, t. y. vyks profesinių žinių egzaminas. Pareiškėja kreipėsi į Rūmus, išdėstydama savo poziciją dėl pakartotinio jos prašymo nagrinėjimo. Rūmai informavo pareiškėją, kad Atestavimo komisijos posėdyje nutarta jos prašymo nesvarstyti jai neatvykus į posėdį ir pareiškėjos prašymą pakartotinai svarstyti tik jai dalyvaujant. </w:t>
      </w:r>
    </w:p>
    <w:p w14:paraId="24AE6862"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 xml:space="preserve">Pirmosios instancijos teismas, išnagrinėjęs pareiškėjos skundą ir konstatavęs, kad būtent Rūmų sprendimo turinio trūkumai (motyvavimo trūkumai) buvo pagrindas jį pripažinti nepagrįstu (neteisėtu), skundą tenkino ir įpareigojo Rūmus per 30 darbo dienų nuo teismo sprendimo įsiteisėjimo dienos iš naujo išnagrinėti pareiškėjos prašymo dalį ir priimti sprendimą toje dalyje, kurioje Rūmų sprendimas pripažintas nepagrįstu, be papildomo profesinių žinių egzamino. </w:t>
      </w:r>
    </w:p>
    <w:p w14:paraId="51E74F1E"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r w:rsidRPr="00821330">
        <w:rPr>
          <w:rFonts w:ascii="Calibri" w:eastAsia="Calibri" w:hAnsi="Calibri"/>
          <w:sz w:val="22"/>
          <w:szCs w:val="22"/>
          <w:lang w:eastAsia="en-US"/>
        </w:rPr>
        <w:t xml:space="preserve">LVAT sutiko su tokiu pirmosios instancijos teismo sprendimu. Teisėjų kolegijos manymu, įvertinus, kad pareiškėjos prašymas dėl architekto kvalifikacijos atestato išdavimo Rūmų sprendimu tenkintas iš dalies, pareiškėja nereiškė nesutikimo dėl šios sprendimo dalies, kuria jos prašymas tenkintas, aplinkybę, kad pareiškėjai išduotas atestatas nėra panaikintas, pirmosios instancijos teismas pagrįstai įpareigojo atsakovą iš naujo išnagrinėti tik pareiškėjos prašymo dalį ir priimti sprendimą toje dalyje, kurioje Lietuvos architektų rūmų sprendimas pripažintas nepagrįstu </w:t>
      </w:r>
      <w:r w:rsidRPr="00821330">
        <w:rPr>
          <w:rFonts w:ascii="Calibri" w:eastAsia="Calibri" w:hAnsi="Calibri"/>
          <w:sz w:val="22"/>
          <w:szCs w:val="22"/>
          <w:u w:val="single"/>
          <w:lang w:eastAsia="en-US"/>
        </w:rPr>
        <w:t>be papildomo profesinių žinių egzamino</w:t>
      </w:r>
      <w:r w:rsidRPr="00821330">
        <w:rPr>
          <w:rFonts w:ascii="Calibri" w:eastAsia="Calibri" w:hAnsi="Calibri"/>
          <w:sz w:val="22"/>
          <w:szCs w:val="22"/>
          <w:lang w:eastAsia="en-US"/>
        </w:rPr>
        <w:t xml:space="preserve">. </w:t>
      </w:r>
    </w:p>
    <w:p w14:paraId="31D311BC"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p>
    <w:p w14:paraId="095C18FD"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2019 m. gruodžio 11 d. nutartis administracinėje byloje Nr. eA-3050-624/2019</w:t>
      </w:r>
    </w:p>
    <w:p w14:paraId="2D376486"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Teisminio proceso Nr. 3-61-3-01441-2018-4</w:t>
      </w:r>
    </w:p>
    <w:p w14:paraId="41182E83" w14:textId="77777777" w:rsidR="00642D78" w:rsidRPr="00821330" w:rsidRDefault="00642D78" w:rsidP="00642D78">
      <w:pPr>
        <w:jc w:val="both"/>
        <w:rPr>
          <w:rFonts w:ascii="Calibri" w:eastAsia="Calibri" w:hAnsi="Calibri"/>
          <w:bCs/>
          <w:sz w:val="22"/>
          <w:szCs w:val="22"/>
          <w:lang w:eastAsia="en-US"/>
        </w:rPr>
      </w:pPr>
      <w:r w:rsidRPr="00821330">
        <w:rPr>
          <w:rFonts w:ascii="Calibri" w:eastAsia="Calibri" w:hAnsi="Calibri"/>
          <w:bCs/>
          <w:sz w:val="22"/>
          <w:szCs w:val="22"/>
          <w:lang w:eastAsia="en-US"/>
        </w:rPr>
        <w:t>Procesinio sprendimo kategorija 41</w:t>
      </w:r>
    </w:p>
    <w:p w14:paraId="57BD3C84" w14:textId="77777777" w:rsidR="00642D78" w:rsidRPr="00821330" w:rsidRDefault="00E956D9" w:rsidP="00642D78">
      <w:pPr>
        <w:jc w:val="both"/>
        <w:rPr>
          <w:rFonts w:ascii="Calibri" w:eastAsia="Calibri" w:hAnsi="Calibri"/>
          <w:bCs/>
          <w:sz w:val="22"/>
          <w:szCs w:val="22"/>
          <w:lang w:eastAsia="en-US"/>
        </w:rPr>
      </w:pPr>
      <w:hyperlink r:id="rId39" w:history="1">
        <w:r w:rsidR="00642D78" w:rsidRPr="00821330">
          <w:rPr>
            <w:rFonts w:ascii="Calibri" w:eastAsia="Calibri" w:hAnsi="Calibri"/>
            <w:bCs/>
            <w:color w:val="0000FF"/>
            <w:sz w:val="22"/>
            <w:szCs w:val="22"/>
            <w:u w:val="single"/>
            <w:lang w:eastAsia="en-US"/>
          </w:rPr>
          <w:t>Prieiga internete</w:t>
        </w:r>
      </w:hyperlink>
      <w:r w:rsidR="00642D78" w:rsidRPr="00821330">
        <w:rPr>
          <w:rFonts w:ascii="Calibri" w:eastAsia="Calibri" w:hAnsi="Calibri"/>
          <w:bCs/>
          <w:sz w:val="22"/>
          <w:szCs w:val="22"/>
          <w:lang w:eastAsia="en-US"/>
        </w:rPr>
        <w:t xml:space="preserve"> </w:t>
      </w:r>
    </w:p>
    <w:p w14:paraId="11C7877F" w14:textId="77777777" w:rsidR="00642D78" w:rsidRPr="00821330" w:rsidRDefault="00642D78" w:rsidP="00642D78">
      <w:pPr>
        <w:shd w:val="clear" w:color="auto" w:fill="FFFFFF"/>
        <w:tabs>
          <w:tab w:val="left" w:pos="3119"/>
        </w:tabs>
        <w:ind w:right="-1" w:firstLine="567"/>
        <w:jc w:val="both"/>
        <w:rPr>
          <w:rFonts w:ascii="Calibri" w:eastAsia="Calibri" w:hAnsi="Calibri"/>
          <w:sz w:val="22"/>
          <w:szCs w:val="22"/>
          <w:lang w:eastAsia="en-US"/>
        </w:rPr>
      </w:pPr>
    </w:p>
    <w:p w14:paraId="1166CF46" w14:textId="1FAD290A" w:rsidR="00D13D83" w:rsidRPr="00821330" w:rsidRDefault="00D13D83" w:rsidP="00F31DA2">
      <w:pPr>
        <w:pStyle w:val="Antrat2"/>
      </w:pPr>
      <w:bookmarkStart w:id="110" w:name="_Toc32243611"/>
      <w:r w:rsidRPr="00821330">
        <w:t>Dėl asmens teisės gauti LITEKO duomenis</w:t>
      </w:r>
      <w:bookmarkEnd w:id="110"/>
      <w:r w:rsidRPr="00821330">
        <w:t xml:space="preserve"> </w:t>
      </w:r>
    </w:p>
    <w:p w14:paraId="302A6B79" w14:textId="77777777" w:rsidR="00D13D83" w:rsidRPr="00821330" w:rsidRDefault="00D13D83" w:rsidP="00D13D83">
      <w:pPr>
        <w:jc w:val="both"/>
        <w:rPr>
          <w:rFonts w:asciiTheme="minorHAnsi" w:hAnsiTheme="minorHAnsi" w:cstheme="minorHAnsi"/>
          <w:bCs/>
          <w:sz w:val="22"/>
          <w:szCs w:val="22"/>
        </w:rPr>
      </w:pPr>
    </w:p>
    <w:p w14:paraId="106BD9E8" w14:textId="337D0543" w:rsidR="00BE748B" w:rsidRPr="00821330" w:rsidRDefault="00D13D83" w:rsidP="00BE748B">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Aptariamu atveju byloje ginčas kilo dėl Lietuvos teismų informacinės sistemos (toliau – LITEKO) duomenų, t. y. informacijos apie asmenis, prisijungusius prie civilinės bylos Nr. 2-278-291/2015, taip pat kokius konkrečius procesinius veiksmus atliko / neatliko šie asmenys, prisijungimo trukmę (nurodant vardus, pavardes, pareigas, datas, </w:t>
      </w:r>
      <w:r w:rsidR="003D6170" w:rsidRPr="00821330">
        <w:rPr>
          <w:rFonts w:asciiTheme="minorHAnsi" w:hAnsiTheme="minorHAnsi" w:cstheme="minorHAnsi"/>
          <w:bCs/>
          <w:sz w:val="22"/>
          <w:szCs w:val="22"/>
        </w:rPr>
        <w:t>atliktus veiksmus (jeigu atliko</w:t>
      </w:r>
      <w:r w:rsidRPr="00821330">
        <w:rPr>
          <w:rFonts w:asciiTheme="minorHAnsi" w:hAnsiTheme="minorHAnsi" w:cstheme="minorHAnsi"/>
          <w:bCs/>
          <w:sz w:val="22"/>
          <w:szCs w:val="22"/>
        </w:rPr>
        <w:t>), pateikimo civilinės bylos proceso dalyviui ir neturtinės žalos, kildinamos iš teismo veiklos teikiant LITEKO duomenis, atlyginimo.</w:t>
      </w:r>
      <w:r w:rsidR="00BE748B" w:rsidRPr="00821330">
        <w:rPr>
          <w:rFonts w:asciiTheme="minorHAnsi" w:hAnsiTheme="minorHAnsi" w:cstheme="minorHAnsi"/>
          <w:bCs/>
          <w:sz w:val="22"/>
          <w:szCs w:val="22"/>
        </w:rPr>
        <w:t xml:space="preserve"> Pareiškėja nurodė, kad </w:t>
      </w:r>
      <w:r w:rsidR="00EF7A60" w:rsidRPr="00821330">
        <w:rPr>
          <w:rFonts w:asciiTheme="minorHAnsi" w:hAnsiTheme="minorHAnsi" w:cstheme="minorHAnsi"/>
          <w:bCs/>
          <w:sz w:val="22"/>
          <w:szCs w:val="22"/>
        </w:rPr>
        <w:t xml:space="preserve">iš atsakovo Panevėžio apygardos teismo </w:t>
      </w:r>
      <w:r w:rsidR="00BE748B" w:rsidRPr="00821330">
        <w:rPr>
          <w:rFonts w:asciiTheme="minorHAnsi" w:hAnsiTheme="minorHAnsi" w:cstheme="minorHAnsi"/>
          <w:bCs/>
          <w:sz w:val="22"/>
          <w:szCs w:val="22"/>
        </w:rPr>
        <w:t xml:space="preserve">ji gavo neišsamius duomenis. </w:t>
      </w:r>
    </w:p>
    <w:p w14:paraId="3D6D636A" w14:textId="553F5EFE" w:rsidR="008B07CF" w:rsidRPr="00821330" w:rsidRDefault="00BE748B" w:rsidP="00EF7A6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Teisėjų kolegija</w:t>
      </w:r>
      <w:r w:rsidR="00EF7A60" w:rsidRPr="00821330">
        <w:rPr>
          <w:rFonts w:asciiTheme="minorHAnsi" w:hAnsiTheme="minorHAnsi" w:cstheme="minorHAnsi"/>
          <w:bCs/>
          <w:sz w:val="22"/>
          <w:szCs w:val="22"/>
        </w:rPr>
        <w:t>,</w:t>
      </w:r>
      <w:r w:rsidRPr="00821330">
        <w:rPr>
          <w:rFonts w:asciiTheme="minorHAnsi" w:hAnsiTheme="minorHAnsi" w:cstheme="minorHAnsi"/>
          <w:bCs/>
          <w:sz w:val="22"/>
          <w:szCs w:val="22"/>
        </w:rPr>
        <w:t xml:space="preserve"> vertin</w:t>
      </w:r>
      <w:r w:rsidR="00EF7A60" w:rsidRPr="00821330">
        <w:rPr>
          <w:rFonts w:asciiTheme="minorHAnsi" w:hAnsiTheme="minorHAnsi" w:cstheme="minorHAnsi"/>
          <w:bCs/>
          <w:sz w:val="22"/>
          <w:szCs w:val="22"/>
        </w:rPr>
        <w:t>dama</w:t>
      </w:r>
      <w:r w:rsidRPr="00821330">
        <w:rPr>
          <w:rFonts w:asciiTheme="minorHAnsi" w:hAnsiTheme="minorHAnsi" w:cstheme="minorHAnsi"/>
          <w:bCs/>
          <w:sz w:val="22"/>
          <w:szCs w:val="22"/>
        </w:rPr>
        <w:t>, ar teisės aktų nuostatose yra įtvirtinta atsakovo pareiga suteikti pareišk</w:t>
      </w:r>
      <w:r w:rsidR="00EF7A60" w:rsidRPr="00821330">
        <w:rPr>
          <w:rFonts w:asciiTheme="minorHAnsi" w:hAnsiTheme="minorHAnsi" w:cstheme="minorHAnsi"/>
          <w:bCs/>
          <w:sz w:val="22"/>
          <w:szCs w:val="22"/>
        </w:rPr>
        <w:t xml:space="preserve">ėjai prašomos apimties duomenis, </w:t>
      </w:r>
      <w:r w:rsidR="008B07CF" w:rsidRPr="00821330">
        <w:rPr>
          <w:rFonts w:asciiTheme="minorHAnsi" w:hAnsiTheme="minorHAnsi" w:cstheme="minorHAnsi"/>
          <w:bCs/>
          <w:sz w:val="22"/>
          <w:szCs w:val="22"/>
        </w:rPr>
        <w:t xml:space="preserve">nurodė, jog </w:t>
      </w:r>
      <w:r w:rsidR="00283359" w:rsidRPr="00821330">
        <w:rPr>
          <w:rFonts w:asciiTheme="minorHAnsi" w:hAnsiTheme="minorHAnsi" w:cstheme="minorHAnsi"/>
          <w:bCs/>
          <w:sz w:val="22"/>
          <w:szCs w:val="22"/>
        </w:rPr>
        <w:t>Nacionalinės teismų administracijos direktoriaus 2011</w:t>
      </w:r>
      <w:r w:rsidR="008B07CF" w:rsidRPr="00821330">
        <w:rPr>
          <w:rFonts w:asciiTheme="minorHAnsi" w:hAnsiTheme="minorHAnsi" w:cstheme="minorHAnsi"/>
          <w:bCs/>
          <w:sz w:val="22"/>
          <w:szCs w:val="22"/>
        </w:rPr>
        <w:t xml:space="preserve"> m. lapkričio 28 d. įsakymu Nr. </w:t>
      </w:r>
      <w:r w:rsidR="00283359" w:rsidRPr="00821330">
        <w:rPr>
          <w:rFonts w:asciiTheme="minorHAnsi" w:hAnsiTheme="minorHAnsi" w:cstheme="minorHAnsi"/>
          <w:bCs/>
          <w:sz w:val="22"/>
          <w:szCs w:val="22"/>
        </w:rPr>
        <w:t xml:space="preserve">6P-112-(1.1) patvirtintų Lietuvos teismų informacinės sistemos nuostatų (Nacionalinės teismų administracijos direktoriaus 2016 m. rugpjūčio 18 d. įsakymo Nr. 6P-117-(1.1) redakcijos) (toliau – Nuostatai) </w:t>
      </w:r>
      <w:r w:rsidR="008B07CF" w:rsidRPr="00821330">
        <w:rPr>
          <w:rFonts w:asciiTheme="minorHAnsi" w:hAnsiTheme="minorHAnsi" w:cstheme="minorHAnsi"/>
          <w:bCs/>
          <w:sz w:val="22"/>
          <w:szCs w:val="22"/>
        </w:rPr>
        <w:t xml:space="preserve">21, 22, 23 punktuose išvardinti duomenys (LITEKO naudotojų duomenys, LITEKO paslaugų naudotojų duomenys, pagrindiniai su bylos medžiaga susiję duomenys) tvarkomi atsižvelgiant į LITEKO </w:t>
      </w:r>
      <w:r w:rsidR="00EF7A60" w:rsidRPr="00821330">
        <w:rPr>
          <w:rFonts w:asciiTheme="minorHAnsi" w:hAnsiTheme="minorHAnsi" w:cstheme="minorHAnsi"/>
          <w:bCs/>
          <w:sz w:val="22"/>
          <w:szCs w:val="22"/>
        </w:rPr>
        <w:t>tikslą (Nuostatų 5 </w:t>
      </w:r>
      <w:r w:rsidR="008B07CF" w:rsidRPr="00821330">
        <w:rPr>
          <w:rFonts w:asciiTheme="minorHAnsi" w:hAnsiTheme="minorHAnsi" w:cstheme="minorHAnsi"/>
          <w:bCs/>
          <w:sz w:val="22"/>
          <w:szCs w:val="22"/>
        </w:rPr>
        <w:t xml:space="preserve">p.), uždavinius ir funkcijas (Nuostatų 7 ir 8 p.) ir kiekvienu atveju gali būti teikiami tik laikantis Asmens duomenų teisinės apsaugos įstatymo bei Valstybės informacinių išteklių valdymo įstatymo nuostatų. Akivaizdu, kad tam tikri duomenys, kurie išvardinti kaip tvarkomi LITEKO, apskritai nėra teiktini pagal asmenų prašymus, pavyzdžiui, LITEKO naudotojų kodai, slaptažodžiai, darbo pažymėjimo numeriai arba LITEKO paslaugų naudotojų asmens kodai. Padaryta išvada, kad </w:t>
      </w:r>
      <w:r w:rsidR="008B07CF" w:rsidRPr="00821330">
        <w:rPr>
          <w:rFonts w:asciiTheme="minorHAnsi" w:hAnsiTheme="minorHAnsi" w:cstheme="minorHAnsi"/>
          <w:bCs/>
          <w:sz w:val="22"/>
          <w:szCs w:val="22"/>
          <w:u w:val="single"/>
        </w:rPr>
        <w:t>LITEKO tvarkomų LITEKO naudotojų duomenų (Nuostatų 21 p.), LITEKO tvarkomų LITEKO paslaugų naudotojų duomenų (Nuostatų 22 p.); LITEKO tvarkomų pagrindinių su bylos medžiaga susijusių duomenų (Nuostatų 23 p.) apimtys nesutampa su teiktinų duomenų apimtimi</w:t>
      </w:r>
      <w:r w:rsidR="008B07CF" w:rsidRPr="00821330">
        <w:rPr>
          <w:rFonts w:asciiTheme="minorHAnsi" w:hAnsiTheme="minorHAnsi" w:cstheme="minorHAnsi"/>
          <w:bCs/>
          <w:sz w:val="22"/>
          <w:szCs w:val="22"/>
        </w:rPr>
        <w:t xml:space="preserve">. </w:t>
      </w:r>
    </w:p>
    <w:p w14:paraId="57964A9F" w14:textId="1B1878AB" w:rsidR="008B07CF" w:rsidRPr="00821330" w:rsidRDefault="008B07CF" w:rsidP="008B07CF">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lastRenderedPageBreak/>
        <w:t>Teisėjų kolegijos vertinimu, pareiškėjos prašomi duomenys apie tai, kurie šio teismo teisėjai ir darbuotojai 2015 m. balandžio 1 d.–2016 m. birželio 1 d. laikotarpiu buvo prisijungę prie konkrečios bylos; kokius konkrečius veiksmus atliko/neatliko (nurodant vardus, pavardes, pareigas, prisijung</w:t>
      </w:r>
      <w:r w:rsidR="003D6170" w:rsidRPr="00821330">
        <w:rPr>
          <w:rFonts w:asciiTheme="minorHAnsi" w:hAnsiTheme="minorHAnsi" w:cstheme="minorHAnsi"/>
          <w:bCs/>
          <w:sz w:val="22"/>
          <w:szCs w:val="22"/>
        </w:rPr>
        <w:t>imo datas; jei atliko veiksmus –</w:t>
      </w:r>
      <w:r w:rsidRPr="00821330">
        <w:rPr>
          <w:rFonts w:asciiTheme="minorHAnsi" w:hAnsiTheme="minorHAnsi" w:cstheme="minorHAnsi"/>
          <w:bCs/>
          <w:sz w:val="22"/>
          <w:szCs w:val="22"/>
        </w:rPr>
        <w:t xml:space="preserve"> prisijungimo trukmę), iš dalies priskirtini Nuostatų 21 punkte išvardintiems LITEKO tvarkomiems LITEKO naudotojų duomenims. Tačiau LITEKO naudotojų duomenys neapima dalies pareiškėjos prašomų duomenų, o konkrečiai duomenų apie prisijungimą prie konkrečios bylos ir konkrečius veiksmus, prisijungimo laiką ir trukmę. Taigi pareiškėja prašo specialių LITEKO duomenų, kurie nėra pagrindiniai su bylos medžiaga susiję duomenys, įtvirtinti Nuostatų 23 punkte, o taip pat tik iš dalies patenka į LITEKO naudotojų duomenų sąrašą pagal Nuostatų 21 punktą, be to, pareiškėjos prašomi duomenys yra sietini su papildomu duomenų apdorojimu (Valstybės informacinių išteklių valdymo įstatymo 35 str. 4 d.). </w:t>
      </w:r>
    </w:p>
    <w:p w14:paraId="1580ED3D" w14:textId="78AE000A" w:rsidR="008B07CF" w:rsidRPr="00821330" w:rsidRDefault="008B07CF" w:rsidP="008B07CF">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Teisėjų kolegija sprendė, kad nei LITEKO tikslas (elektroniniu būdu tvarkyti Lietuvos teismuose nagrinėjamų ir išnagrinėtų bylų duomenimis, fiksuoti bylų nagrinėjimo eigą ir teikti teisės aktuose numatytas taikinamojo tarpininkavimo ir viešąsias elektronines paslaugas, Nuostatų 5 punktas), nei asmens duomenų tvarkymo LITEKO tikslas (rinkti, kaupti, apdoroti, sisteminti, saugoti ir teikti asmens duomenis, naudojamus teisingumo vykdymo funkcijų įgyvendinimo procese, ir (ar) susijusius su taikinamuoju tarpininkavimu ir viešųjų teismų elektroninių paslaugų teikimu, Nuostatų 6 p.), nei LITEKO uždaviniai (Nuostatų 7 p.) ar funkcijos (Nuostatų 8 p.) negali būti aiškinami taip, kad jie nagrinėtu atveju pagrįstų teismo pareigą teikti prašomus atitinkamos apimties duomenis privatiems asmenims (nepriklausomai nuo to, ar jie yra proceso dalyviai, ar ne).</w:t>
      </w:r>
    </w:p>
    <w:p w14:paraId="4588C2AF" w14:textId="2D5CD49B" w:rsidR="008B07CF" w:rsidRPr="00821330" w:rsidRDefault="00C43A4B" w:rsidP="008B07CF">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Dėl teisės gauti LITEKO duomenis teisėjų kolegija nustatė, jog pareiškėja yra LITEKO paslaugų naudotoja ir prašo duomenų, kurie sietini su LITEKO naudotojais civilinės bylos Nr. 2-278-291/2015 kontekste.</w:t>
      </w:r>
      <w:r w:rsidR="00283B4B" w:rsidRPr="00821330">
        <w:rPr>
          <w:rFonts w:asciiTheme="minorHAnsi" w:hAnsiTheme="minorHAnsi" w:cstheme="minorHAnsi"/>
          <w:bCs/>
          <w:sz w:val="22"/>
          <w:szCs w:val="22"/>
        </w:rPr>
        <w:t xml:space="preserve"> LVAT nurodė, jog nors pirmosios instancijos teismas pagrįstai nustatė, kad pareiškėja, kaip civilinės bylos Nr. 2-278-291/2015 proceso dalyvė, turi teisę gauti LITEKO duomenis, tačiau</w:t>
      </w:r>
      <w:r w:rsidR="00C841DD" w:rsidRPr="00821330">
        <w:rPr>
          <w:rFonts w:asciiTheme="minorHAnsi" w:hAnsiTheme="minorHAnsi" w:cstheme="minorHAnsi"/>
          <w:bCs/>
          <w:sz w:val="22"/>
          <w:szCs w:val="22"/>
        </w:rPr>
        <w:t xml:space="preserve"> nesutiko</w:t>
      </w:r>
      <w:r w:rsidR="00283B4B" w:rsidRPr="00821330">
        <w:rPr>
          <w:rFonts w:asciiTheme="minorHAnsi" w:hAnsiTheme="minorHAnsi" w:cstheme="minorHAnsi"/>
          <w:bCs/>
          <w:sz w:val="22"/>
          <w:szCs w:val="22"/>
        </w:rPr>
        <w:t xml:space="preserve"> su pirmosios instancijos teismo išvada, kad pareiškėja, kaip proceso dalyvė, turi absoliu</w:t>
      </w:r>
      <w:r w:rsidR="00C841DD" w:rsidRPr="00821330">
        <w:rPr>
          <w:rFonts w:asciiTheme="minorHAnsi" w:hAnsiTheme="minorHAnsi" w:cstheme="minorHAnsi"/>
          <w:bCs/>
          <w:sz w:val="22"/>
          <w:szCs w:val="22"/>
        </w:rPr>
        <w:t>čią teisę gauti LITEKO duomenis</w:t>
      </w:r>
      <w:r w:rsidR="00283B4B" w:rsidRPr="00821330">
        <w:rPr>
          <w:rFonts w:asciiTheme="minorHAnsi" w:hAnsiTheme="minorHAnsi" w:cstheme="minorHAnsi"/>
          <w:bCs/>
          <w:sz w:val="22"/>
          <w:szCs w:val="22"/>
        </w:rPr>
        <w:t>.</w:t>
      </w:r>
    </w:p>
    <w:p w14:paraId="025F9934" w14:textId="640FD148" w:rsidR="00AA5AF2" w:rsidRPr="00821330" w:rsidRDefault="003D76F9" w:rsidP="00AA5AF2">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Teisėjų kolegija nurodė, jog </w:t>
      </w:r>
      <w:r w:rsidR="008A11C9" w:rsidRPr="00821330">
        <w:rPr>
          <w:rFonts w:asciiTheme="minorHAnsi" w:hAnsiTheme="minorHAnsi" w:cstheme="minorHAnsi"/>
          <w:bCs/>
          <w:sz w:val="22"/>
          <w:szCs w:val="22"/>
        </w:rPr>
        <w:t xml:space="preserve">nors pareiškėja, kaip proceso dalyvė, ir turi teisę gauti LITEKO duomenis apie minėtos bylos procesą, tačiau tai jokiu būdu nereiškia, kad visi LITEKO duomenys gali būti prieinami pareiškėjai, kaip LITEKO paslaugų naudotojai. </w:t>
      </w:r>
      <w:r w:rsidR="008A11C9" w:rsidRPr="00821330">
        <w:rPr>
          <w:rFonts w:asciiTheme="minorHAnsi" w:hAnsiTheme="minorHAnsi" w:cstheme="minorHAnsi"/>
          <w:bCs/>
          <w:sz w:val="22"/>
          <w:szCs w:val="22"/>
          <w:u w:val="single"/>
        </w:rPr>
        <w:t xml:space="preserve">Kiekvienu atveju gavus prašymą dėl LITEKO duomenų teikimo turėtų būti vertinami tokie svarbūs asmens duomenų teikimo požiūriu aspektai – prašomų LITEKO duomenų pobūdis, apimtis bei tikslai, dėl kurių jie prašomi. </w:t>
      </w:r>
      <w:r w:rsidR="008A11C9" w:rsidRPr="00821330">
        <w:rPr>
          <w:rFonts w:asciiTheme="minorHAnsi" w:hAnsiTheme="minorHAnsi" w:cstheme="minorHAnsi"/>
          <w:bCs/>
          <w:sz w:val="22"/>
          <w:szCs w:val="22"/>
        </w:rPr>
        <w:t>Vadinasi, konkrečiu atveju būtina nustatyti prašomų LITEKO duomenų pobūdį (Nuostatų 21, 22, 23 p</w:t>
      </w:r>
      <w:r w:rsidRPr="00821330">
        <w:rPr>
          <w:rFonts w:asciiTheme="minorHAnsi" w:hAnsiTheme="minorHAnsi" w:cstheme="minorHAnsi"/>
          <w:bCs/>
          <w:sz w:val="22"/>
          <w:szCs w:val="22"/>
        </w:rPr>
        <w:t>.</w:t>
      </w:r>
      <w:r w:rsidR="008A11C9" w:rsidRPr="00821330">
        <w:rPr>
          <w:rFonts w:asciiTheme="minorHAnsi" w:hAnsiTheme="minorHAnsi" w:cstheme="minorHAnsi"/>
          <w:bCs/>
          <w:sz w:val="22"/>
          <w:szCs w:val="22"/>
        </w:rPr>
        <w:t>), apimtį (Nuostatų 21, 22, 23 p</w:t>
      </w:r>
      <w:r w:rsidRPr="00821330">
        <w:rPr>
          <w:rFonts w:asciiTheme="minorHAnsi" w:hAnsiTheme="minorHAnsi" w:cstheme="minorHAnsi"/>
          <w:bCs/>
          <w:sz w:val="22"/>
          <w:szCs w:val="22"/>
        </w:rPr>
        <w:t>.</w:t>
      </w:r>
      <w:r w:rsidR="008A11C9" w:rsidRPr="00821330">
        <w:rPr>
          <w:rFonts w:asciiTheme="minorHAnsi" w:hAnsiTheme="minorHAnsi" w:cstheme="minorHAnsi"/>
          <w:bCs/>
          <w:sz w:val="22"/>
          <w:szCs w:val="22"/>
        </w:rPr>
        <w:t>, Valstybės informacinių išteklių valdymo įstatymo 35 str</w:t>
      </w:r>
      <w:r w:rsidRPr="00821330">
        <w:rPr>
          <w:rFonts w:asciiTheme="minorHAnsi" w:hAnsiTheme="minorHAnsi" w:cstheme="minorHAnsi"/>
          <w:bCs/>
          <w:sz w:val="22"/>
          <w:szCs w:val="22"/>
        </w:rPr>
        <w:t>.</w:t>
      </w:r>
      <w:r w:rsidR="008A11C9" w:rsidRPr="00821330">
        <w:rPr>
          <w:rFonts w:asciiTheme="minorHAnsi" w:hAnsiTheme="minorHAnsi" w:cstheme="minorHAnsi"/>
          <w:bCs/>
          <w:sz w:val="22"/>
          <w:szCs w:val="22"/>
        </w:rPr>
        <w:t xml:space="preserve"> 2 d</w:t>
      </w:r>
      <w:r w:rsidRPr="00821330">
        <w:rPr>
          <w:rFonts w:asciiTheme="minorHAnsi" w:hAnsiTheme="minorHAnsi" w:cstheme="minorHAnsi"/>
          <w:bCs/>
          <w:sz w:val="22"/>
          <w:szCs w:val="22"/>
        </w:rPr>
        <w:t>.</w:t>
      </w:r>
      <w:r w:rsidR="008A11C9" w:rsidRPr="00821330">
        <w:rPr>
          <w:rFonts w:asciiTheme="minorHAnsi" w:hAnsiTheme="minorHAnsi" w:cstheme="minorHAnsi"/>
          <w:bCs/>
          <w:sz w:val="22"/>
          <w:szCs w:val="22"/>
        </w:rPr>
        <w:t>), galimybę teikti be papildomo LITEKO duomenų apdorojimo (Valstybės informacinių išteklių valdymo įstatymo 35 str</w:t>
      </w:r>
      <w:r w:rsidRPr="00821330">
        <w:rPr>
          <w:rFonts w:asciiTheme="minorHAnsi" w:hAnsiTheme="minorHAnsi" w:cstheme="minorHAnsi"/>
          <w:bCs/>
          <w:sz w:val="22"/>
          <w:szCs w:val="22"/>
        </w:rPr>
        <w:t>.</w:t>
      </w:r>
      <w:r w:rsidR="008A11C9" w:rsidRPr="00821330">
        <w:rPr>
          <w:rFonts w:asciiTheme="minorHAnsi" w:hAnsiTheme="minorHAnsi" w:cstheme="minorHAnsi"/>
          <w:bCs/>
          <w:sz w:val="22"/>
          <w:szCs w:val="22"/>
        </w:rPr>
        <w:t xml:space="preserve"> 4 d</w:t>
      </w:r>
      <w:r w:rsidRPr="00821330">
        <w:rPr>
          <w:rFonts w:asciiTheme="minorHAnsi" w:hAnsiTheme="minorHAnsi" w:cstheme="minorHAnsi"/>
          <w:bCs/>
          <w:sz w:val="22"/>
          <w:szCs w:val="22"/>
        </w:rPr>
        <w:t>.</w:t>
      </w:r>
      <w:r w:rsidR="008A11C9" w:rsidRPr="00821330">
        <w:rPr>
          <w:rFonts w:asciiTheme="minorHAnsi" w:hAnsiTheme="minorHAnsi" w:cstheme="minorHAnsi"/>
          <w:bCs/>
          <w:sz w:val="22"/>
          <w:szCs w:val="22"/>
        </w:rPr>
        <w:t>, Nuostatų 29 p</w:t>
      </w:r>
      <w:r w:rsidRPr="00821330">
        <w:rPr>
          <w:rFonts w:asciiTheme="minorHAnsi" w:hAnsiTheme="minorHAnsi" w:cstheme="minorHAnsi"/>
          <w:bCs/>
          <w:sz w:val="22"/>
          <w:szCs w:val="22"/>
        </w:rPr>
        <w:t>.</w:t>
      </w:r>
      <w:r w:rsidR="008A11C9" w:rsidRPr="00821330">
        <w:rPr>
          <w:rFonts w:asciiTheme="minorHAnsi" w:hAnsiTheme="minorHAnsi" w:cstheme="minorHAnsi"/>
          <w:bCs/>
          <w:sz w:val="22"/>
          <w:szCs w:val="22"/>
        </w:rPr>
        <w:t xml:space="preserve">). </w:t>
      </w:r>
      <w:r w:rsidR="00C841DD" w:rsidRPr="00821330">
        <w:rPr>
          <w:rFonts w:asciiTheme="minorHAnsi" w:hAnsiTheme="minorHAnsi" w:cstheme="minorHAnsi"/>
          <w:bCs/>
          <w:sz w:val="22"/>
          <w:szCs w:val="22"/>
        </w:rPr>
        <w:t>P</w:t>
      </w:r>
      <w:r w:rsidR="008A11C9" w:rsidRPr="00821330">
        <w:rPr>
          <w:rFonts w:asciiTheme="minorHAnsi" w:hAnsiTheme="minorHAnsi" w:cstheme="minorHAnsi"/>
          <w:bCs/>
          <w:sz w:val="22"/>
          <w:szCs w:val="22"/>
        </w:rPr>
        <w:t>irmosios instancijos teismas ir pareiškėja nenurodė teisės aktų nuostatų, kurios konkrečiu atveju suteikia jai teisę gauti išsamius LITEKO duomenis, įskaitant LITEKO naudotojų ir kitus duomenis.</w:t>
      </w:r>
    </w:p>
    <w:p w14:paraId="304752D3" w14:textId="1D8C4FEE" w:rsidR="008A11C9" w:rsidRPr="00821330" w:rsidRDefault="00877E1C" w:rsidP="008A11C9">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w:t>
      </w:r>
      <w:r w:rsidR="008A11C9" w:rsidRPr="00821330">
        <w:rPr>
          <w:rFonts w:asciiTheme="minorHAnsi" w:hAnsiTheme="minorHAnsi" w:cstheme="minorHAnsi"/>
          <w:bCs/>
          <w:sz w:val="22"/>
          <w:szCs w:val="22"/>
        </w:rPr>
        <w:t xml:space="preserve">eisėjų kolegija </w:t>
      </w:r>
      <w:r w:rsidRPr="00821330">
        <w:rPr>
          <w:rFonts w:asciiTheme="minorHAnsi" w:hAnsiTheme="minorHAnsi" w:cstheme="minorHAnsi"/>
          <w:bCs/>
          <w:sz w:val="22"/>
          <w:szCs w:val="22"/>
        </w:rPr>
        <w:t>darė</w:t>
      </w:r>
      <w:r w:rsidR="008A11C9" w:rsidRPr="00821330">
        <w:rPr>
          <w:rFonts w:asciiTheme="minorHAnsi" w:hAnsiTheme="minorHAnsi" w:cstheme="minorHAnsi"/>
          <w:bCs/>
          <w:sz w:val="22"/>
          <w:szCs w:val="22"/>
        </w:rPr>
        <w:t xml:space="preserve"> išvadą, kad </w:t>
      </w:r>
      <w:r w:rsidR="008A11C9" w:rsidRPr="00821330">
        <w:rPr>
          <w:rFonts w:asciiTheme="minorHAnsi" w:hAnsiTheme="minorHAnsi" w:cstheme="minorHAnsi"/>
          <w:bCs/>
          <w:sz w:val="22"/>
          <w:szCs w:val="22"/>
          <w:u w:val="single"/>
        </w:rPr>
        <w:t>LITEKO paslaugų naudotojo statusas savaime nesuteikia pareiškėjai teisės gauti visų LITEKO tvarkomų duomenų, susijusių su pareiškėjos byla</w:t>
      </w:r>
      <w:r w:rsidR="008A11C9" w:rsidRPr="00821330">
        <w:rPr>
          <w:rFonts w:asciiTheme="minorHAnsi" w:hAnsiTheme="minorHAnsi" w:cstheme="minorHAnsi"/>
          <w:bCs/>
          <w:sz w:val="22"/>
          <w:szCs w:val="22"/>
        </w:rPr>
        <w:t xml:space="preserve">. </w:t>
      </w:r>
      <w:r w:rsidRPr="00821330">
        <w:rPr>
          <w:rFonts w:asciiTheme="minorHAnsi" w:hAnsiTheme="minorHAnsi" w:cstheme="minorHAnsi"/>
          <w:bCs/>
          <w:sz w:val="22"/>
          <w:szCs w:val="22"/>
        </w:rPr>
        <w:t>Aptariamu</w:t>
      </w:r>
      <w:r w:rsidR="008A11C9" w:rsidRPr="00821330">
        <w:rPr>
          <w:rFonts w:asciiTheme="minorHAnsi" w:hAnsiTheme="minorHAnsi" w:cstheme="minorHAnsi"/>
          <w:bCs/>
          <w:sz w:val="22"/>
          <w:szCs w:val="22"/>
        </w:rPr>
        <w:t xml:space="preserve"> atveju pareiškėja praš</w:t>
      </w:r>
      <w:r w:rsidRPr="00821330">
        <w:rPr>
          <w:rFonts w:asciiTheme="minorHAnsi" w:hAnsiTheme="minorHAnsi" w:cstheme="minorHAnsi"/>
          <w:bCs/>
          <w:sz w:val="22"/>
          <w:szCs w:val="22"/>
        </w:rPr>
        <w:t>ė</w:t>
      </w:r>
      <w:r w:rsidR="008A11C9" w:rsidRPr="00821330">
        <w:rPr>
          <w:rFonts w:asciiTheme="minorHAnsi" w:hAnsiTheme="minorHAnsi" w:cstheme="minorHAnsi"/>
          <w:bCs/>
          <w:sz w:val="22"/>
          <w:szCs w:val="22"/>
        </w:rPr>
        <w:t xml:space="preserve"> duomenų, kurie net ir nepatenka į Nuostatų 21, 22, 23 punktuose išvardintų LITEKO tvarkomų duomenų sąrašą. Teisėjų kolegija pažym</w:t>
      </w:r>
      <w:r w:rsidRPr="00821330">
        <w:rPr>
          <w:rFonts w:asciiTheme="minorHAnsi" w:hAnsiTheme="minorHAnsi" w:cstheme="minorHAnsi"/>
          <w:bCs/>
          <w:sz w:val="22"/>
          <w:szCs w:val="22"/>
        </w:rPr>
        <w:t>ėjo</w:t>
      </w:r>
      <w:r w:rsidR="008A11C9" w:rsidRPr="00821330">
        <w:rPr>
          <w:rFonts w:asciiTheme="minorHAnsi" w:hAnsiTheme="minorHAnsi" w:cstheme="minorHAnsi"/>
          <w:bCs/>
          <w:sz w:val="22"/>
          <w:szCs w:val="22"/>
        </w:rPr>
        <w:t xml:space="preserve">, kad prašomų duomenų teikimo klausimas galbūt patektų į Teisės gauti informaciją iš valstybės ir savivaldybės institucijų ir įstaigų įstatymo reguliavimo sritį, tačiau minėto įstatymo </w:t>
      </w:r>
      <w:r w:rsidRPr="00821330">
        <w:rPr>
          <w:rFonts w:asciiTheme="minorHAnsi" w:hAnsiTheme="minorHAnsi" w:cstheme="minorHAnsi"/>
          <w:bCs/>
          <w:sz w:val="22"/>
          <w:szCs w:val="22"/>
        </w:rPr>
        <w:t>2 straipsnio 2 </w:t>
      </w:r>
      <w:r w:rsidR="008A11C9" w:rsidRPr="00821330">
        <w:rPr>
          <w:rFonts w:asciiTheme="minorHAnsi" w:hAnsiTheme="minorHAnsi" w:cstheme="minorHAnsi"/>
          <w:bCs/>
          <w:sz w:val="22"/>
          <w:szCs w:val="22"/>
        </w:rPr>
        <w:t xml:space="preserve">dalies 4 punkte nustatyta, kad šis įstatymas netaikomas dokumentams, kuriuos teikti riboja įstatymai ar jų pagrindu priimti kiti norminiai teisės aktai, taip pat pareiškėjai turi pagrįsti dokumentų, kurių prašo, panaudojimo tikslą. Šiuo atveju </w:t>
      </w:r>
      <w:r w:rsidR="00E33990" w:rsidRPr="00821330">
        <w:rPr>
          <w:rFonts w:asciiTheme="minorHAnsi" w:hAnsiTheme="minorHAnsi" w:cstheme="minorHAnsi"/>
          <w:bCs/>
          <w:sz w:val="22"/>
          <w:szCs w:val="22"/>
        </w:rPr>
        <w:t>nebuvo</w:t>
      </w:r>
      <w:r w:rsidR="008A11C9" w:rsidRPr="00821330">
        <w:rPr>
          <w:rFonts w:asciiTheme="minorHAnsi" w:hAnsiTheme="minorHAnsi" w:cstheme="minorHAnsi"/>
          <w:bCs/>
          <w:sz w:val="22"/>
          <w:szCs w:val="22"/>
        </w:rPr>
        <w:t xml:space="preserve"> teisinio pagrindo laikytis pozicijos, kad atsakovas, spęsdamas klausimą dėl prašomų duomenų teikimo, būtų atleistas nuo teisės aktų reikalavimų, išv</w:t>
      </w:r>
      <w:r w:rsidRPr="00821330">
        <w:rPr>
          <w:rFonts w:asciiTheme="minorHAnsi" w:hAnsiTheme="minorHAnsi" w:cstheme="minorHAnsi"/>
          <w:bCs/>
          <w:sz w:val="22"/>
          <w:szCs w:val="22"/>
        </w:rPr>
        <w:t>ardintų anksčiau. Taip pat atkreipt</w:t>
      </w:r>
      <w:r w:rsidR="008A11C9" w:rsidRPr="00821330">
        <w:rPr>
          <w:rFonts w:asciiTheme="minorHAnsi" w:hAnsiTheme="minorHAnsi" w:cstheme="minorHAnsi"/>
          <w:bCs/>
          <w:sz w:val="22"/>
          <w:szCs w:val="22"/>
        </w:rPr>
        <w:t xml:space="preserve">as dėmesys į tai, kad pareiškėjos prašomi duomenys negali būti tapatinami </w:t>
      </w:r>
      <w:r w:rsidR="005C008E">
        <w:rPr>
          <w:rFonts w:asciiTheme="minorHAnsi" w:hAnsiTheme="minorHAnsi" w:cstheme="minorHAnsi"/>
          <w:bCs/>
          <w:sz w:val="22"/>
          <w:szCs w:val="22"/>
        </w:rPr>
        <w:t xml:space="preserve">su </w:t>
      </w:r>
      <w:r w:rsidR="008A11C9" w:rsidRPr="00821330">
        <w:rPr>
          <w:rFonts w:asciiTheme="minorHAnsi" w:hAnsiTheme="minorHAnsi" w:cstheme="minorHAnsi"/>
          <w:bCs/>
          <w:sz w:val="22"/>
          <w:szCs w:val="22"/>
        </w:rPr>
        <w:t>savo asmens duomenimis Asmens duomenų teisinės apsaugos įstatymo 23 straipsnio, kuris įtvirtina teisę susipažinti su savo asmens duomenimis ir kaip jie yra tvarkomi, prasme.</w:t>
      </w:r>
    </w:p>
    <w:p w14:paraId="0D12C467" w14:textId="49656146" w:rsidR="008A11C9" w:rsidRPr="00821330" w:rsidRDefault="00C46A36" w:rsidP="00E3399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Teisėjų kolegija sprendė</w:t>
      </w:r>
      <w:r w:rsidR="008A11C9" w:rsidRPr="00821330">
        <w:rPr>
          <w:rFonts w:asciiTheme="minorHAnsi" w:hAnsiTheme="minorHAnsi" w:cstheme="minorHAnsi"/>
          <w:bCs/>
          <w:sz w:val="22"/>
          <w:szCs w:val="22"/>
        </w:rPr>
        <w:t xml:space="preserve">, kad pirmosios instancijos teismas nepagrįstai pripažino, kad atsakovas Panevėžio apygardos teismas </w:t>
      </w:r>
      <w:r w:rsidR="008931B7">
        <w:rPr>
          <w:rFonts w:asciiTheme="minorHAnsi" w:hAnsiTheme="minorHAnsi" w:cstheme="minorHAnsi"/>
          <w:bCs/>
          <w:sz w:val="22"/>
          <w:szCs w:val="22"/>
        </w:rPr>
        <w:t xml:space="preserve">turi </w:t>
      </w:r>
      <w:r w:rsidR="008A11C9" w:rsidRPr="00821330">
        <w:rPr>
          <w:rFonts w:asciiTheme="minorHAnsi" w:hAnsiTheme="minorHAnsi" w:cstheme="minorHAnsi"/>
          <w:bCs/>
          <w:sz w:val="22"/>
          <w:szCs w:val="22"/>
        </w:rPr>
        <w:t>pareigą imtis priemonių, kad pareiškėjai būtų pateikti visi prašomi LITEKO duomenys.</w:t>
      </w:r>
      <w:r w:rsidR="00E33990" w:rsidRPr="00821330">
        <w:rPr>
          <w:rFonts w:asciiTheme="minorHAnsi" w:hAnsiTheme="minorHAnsi" w:cstheme="minorHAnsi"/>
          <w:bCs/>
          <w:sz w:val="22"/>
          <w:szCs w:val="22"/>
        </w:rPr>
        <w:t xml:space="preserve"> </w:t>
      </w:r>
      <w:r w:rsidR="008A11C9" w:rsidRPr="00821330">
        <w:rPr>
          <w:rFonts w:asciiTheme="minorHAnsi" w:hAnsiTheme="minorHAnsi" w:cstheme="minorHAnsi"/>
          <w:bCs/>
          <w:sz w:val="22"/>
          <w:szCs w:val="22"/>
        </w:rPr>
        <w:t>Teisėjų kolegija dar</w:t>
      </w:r>
      <w:r w:rsidR="00E33990" w:rsidRPr="00821330">
        <w:rPr>
          <w:rFonts w:asciiTheme="minorHAnsi" w:hAnsiTheme="minorHAnsi" w:cstheme="minorHAnsi"/>
          <w:bCs/>
          <w:sz w:val="22"/>
          <w:szCs w:val="22"/>
        </w:rPr>
        <w:t>ė</w:t>
      </w:r>
      <w:r w:rsidR="008A11C9" w:rsidRPr="00821330">
        <w:rPr>
          <w:rFonts w:asciiTheme="minorHAnsi" w:hAnsiTheme="minorHAnsi" w:cstheme="minorHAnsi"/>
          <w:bCs/>
          <w:sz w:val="22"/>
          <w:szCs w:val="22"/>
        </w:rPr>
        <w:t xml:space="preserve"> išvadą, kad </w:t>
      </w:r>
      <w:r w:rsidR="00070614" w:rsidRPr="00821330">
        <w:rPr>
          <w:rFonts w:asciiTheme="minorHAnsi" w:hAnsiTheme="minorHAnsi" w:cstheme="minorHAnsi"/>
          <w:bCs/>
          <w:sz w:val="22"/>
          <w:szCs w:val="22"/>
        </w:rPr>
        <w:t>pagal ginčui aktualaus teisinio reguliavimo nuostatas</w:t>
      </w:r>
      <w:r w:rsidR="008A11C9" w:rsidRPr="00821330">
        <w:rPr>
          <w:rFonts w:asciiTheme="minorHAnsi" w:hAnsiTheme="minorHAnsi" w:cstheme="minorHAnsi"/>
          <w:bCs/>
          <w:sz w:val="22"/>
          <w:szCs w:val="22"/>
        </w:rPr>
        <w:t xml:space="preserve"> Panevėžio apygardos teismas nėra įpareigotas teikti tokią informaciją, kurią jau yra pateikęs pareiškėjai, o taip pat nė</w:t>
      </w:r>
      <w:r w:rsidR="00E33990" w:rsidRPr="00821330">
        <w:rPr>
          <w:rFonts w:asciiTheme="minorHAnsi" w:hAnsiTheme="minorHAnsi" w:cstheme="minorHAnsi"/>
          <w:bCs/>
          <w:sz w:val="22"/>
          <w:szCs w:val="22"/>
        </w:rPr>
        <w:t>ra įpareigotas teikti nagrinėt</w:t>
      </w:r>
      <w:r w:rsidR="008A11C9" w:rsidRPr="00821330">
        <w:rPr>
          <w:rFonts w:asciiTheme="minorHAnsi" w:hAnsiTheme="minorHAnsi" w:cstheme="minorHAnsi"/>
          <w:bCs/>
          <w:sz w:val="22"/>
          <w:szCs w:val="22"/>
        </w:rPr>
        <w:t>oje byloje pareiškėjos prašomus duomenis. Pareiškėja nepateikė pagrįstų argumentų dėl prašomų pateikti duomenų reikalingumo, neišaiškino tikslo, dėl kurio jai reikalingi prašomi duomenys. Teisėjų kolegija netur</w:t>
      </w:r>
      <w:r w:rsidR="00E33990" w:rsidRPr="00821330">
        <w:rPr>
          <w:rFonts w:asciiTheme="minorHAnsi" w:hAnsiTheme="minorHAnsi" w:cstheme="minorHAnsi"/>
          <w:bCs/>
          <w:sz w:val="22"/>
          <w:szCs w:val="22"/>
        </w:rPr>
        <w:t>ėjo</w:t>
      </w:r>
      <w:r w:rsidR="008A11C9" w:rsidRPr="00821330">
        <w:rPr>
          <w:rFonts w:asciiTheme="minorHAnsi" w:hAnsiTheme="minorHAnsi" w:cstheme="minorHAnsi"/>
          <w:bCs/>
          <w:sz w:val="22"/>
          <w:szCs w:val="22"/>
        </w:rPr>
        <w:t xml:space="preserve"> galimybės atlikti asmens duomenų teikimo požiūriu svarbių aspektų testo </w:t>
      </w:r>
      <w:r w:rsidR="00E33990" w:rsidRPr="00821330">
        <w:rPr>
          <w:rFonts w:asciiTheme="minorHAnsi" w:hAnsiTheme="minorHAnsi" w:cstheme="minorHAnsi"/>
          <w:bCs/>
          <w:sz w:val="22"/>
          <w:szCs w:val="22"/>
        </w:rPr>
        <w:t>–</w:t>
      </w:r>
      <w:r w:rsidR="008A11C9" w:rsidRPr="00821330">
        <w:rPr>
          <w:rFonts w:asciiTheme="minorHAnsi" w:hAnsiTheme="minorHAnsi" w:cstheme="minorHAnsi"/>
          <w:bCs/>
          <w:sz w:val="22"/>
          <w:szCs w:val="22"/>
        </w:rPr>
        <w:t xml:space="preserve"> </w:t>
      </w:r>
      <w:r w:rsidR="00E33990" w:rsidRPr="00821330">
        <w:rPr>
          <w:rFonts w:asciiTheme="minorHAnsi" w:hAnsiTheme="minorHAnsi" w:cstheme="minorHAnsi"/>
          <w:bCs/>
          <w:sz w:val="22"/>
          <w:szCs w:val="22"/>
        </w:rPr>
        <w:t>negalėjo</w:t>
      </w:r>
      <w:r w:rsidR="008A11C9" w:rsidRPr="00821330">
        <w:rPr>
          <w:rFonts w:asciiTheme="minorHAnsi" w:hAnsiTheme="minorHAnsi" w:cstheme="minorHAnsi"/>
          <w:bCs/>
          <w:sz w:val="22"/>
          <w:szCs w:val="22"/>
        </w:rPr>
        <w:t xml:space="preserve"> tinkamai įvertinti prašomų LITEKO duomenų pobūdžio, apimties bei tikslų, dėl kurių jie prašomi, akivaizdu, kad tokio asmens duomenų teikimo požiūriu svarbių aspektų testo negalėjo atlikti ir Panevėžio apygardos teismas.</w:t>
      </w:r>
    </w:p>
    <w:p w14:paraId="0BC05EC9" w14:textId="6E010DC6" w:rsidR="003D6170" w:rsidRPr="00821330" w:rsidRDefault="003D6170" w:rsidP="00E33990">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lastRenderedPageBreak/>
        <w:t>Pirmosios instancijos teismo sprendimas pakeistas, pareiškėjos skundą atmetant.</w:t>
      </w:r>
    </w:p>
    <w:p w14:paraId="7585023D" w14:textId="77777777" w:rsidR="00D13D83" w:rsidRPr="00821330" w:rsidRDefault="00D13D83" w:rsidP="00D13D83">
      <w:pPr>
        <w:rPr>
          <w:rFonts w:asciiTheme="minorHAnsi" w:hAnsiTheme="minorHAnsi" w:cstheme="minorHAnsi"/>
          <w:sz w:val="22"/>
          <w:szCs w:val="22"/>
        </w:rPr>
      </w:pPr>
    </w:p>
    <w:p w14:paraId="591A97F2" w14:textId="7047B309" w:rsidR="00D13D83" w:rsidRPr="00821330" w:rsidRDefault="00D13D83" w:rsidP="00D13D83">
      <w:pPr>
        <w:jc w:val="both"/>
        <w:rPr>
          <w:rFonts w:asciiTheme="minorHAnsi" w:hAnsiTheme="minorHAnsi" w:cstheme="minorHAnsi"/>
          <w:b/>
          <w:sz w:val="22"/>
          <w:szCs w:val="22"/>
        </w:rPr>
      </w:pPr>
      <w:r w:rsidRPr="00821330">
        <w:rPr>
          <w:rFonts w:asciiTheme="minorHAnsi" w:hAnsiTheme="minorHAnsi" w:cstheme="minorHAnsi"/>
          <w:sz w:val="22"/>
          <w:szCs w:val="22"/>
        </w:rPr>
        <w:t>2019 m. gruodžio 30 d. nutartis administracinėje byloje</w:t>
      </w:r>
      <w:r w:rsidRPr="00821330">
        <w:rPr>
          <w:b/>
          <w:sz w:val="22"/>
          <w:szCs w:val="22"/>
          <w:lang w:eastAsia="en-US"/>
        </w:rPr>
        <w:t xml:space="preserve"> </w:t>
      </w:r>
      <w:r w:rsidRPr="00821330">
        <w:rPr>
          <w:rFonts w:asciiTheme="minorHAnsi" w:hAnsiTheme="minorHAnsi" w:cstheme="minorHAnsi"/>
          <w:sz w:val="22"/>
          <w:szCs w:val="22"/>
        </w:rPr>
        <w:t>Nr. eA-1446-822/2019</w:t>
      </w:r>
    </w:p>
    <w:p w14:paraId="6C4406C3" w14:textId="77777777" w:rsidR="00D13D83" w:rsidRPr="00821330" w:rsidRDefault="00D13D83" w:rsidP="00D13D83">
      <w:pPr>
        <w:jc w:val="both"/>
        <w:rPr>
          <w:rFonts w:asciiTheme="minorHAnsi" w:hAnsiTheme="minorHAnsi" w:cstheme="minorHAnsi"/>
          <w:sz w:val="22"/>
          <w:szCs w:val="22"/>
        </w:rPr>
      </w:pPr>
      <w:r w:rsidRPr="00821330">
        <w:rPr>
          <w:rFonts w:asciiTheme="minorHAnsi" w:hAnsiTheme="minorHAnsi" w:cstheme="minorHAnsi"/>
          <w:sz w:val="22"/>
          <w:szCs w:val="22"/>
        </w:rPr>
        <w:t xml:space="preserve">Teisminio proceso Nr. </w:t>
      </w:r>
      <w:r w:rsidRPr="00821330">
        <w:rPr>
          <w:rFonts w:asciiTheme="minorHAnsi" w:hAnsiTheme="minorHAnsi" w:cstheme="minorHAnsi"/>
          <w:bCs/>
          <w:sz w:val="22"/>
          <w:szCs w:val="22"/>
        </w:rPr>
        <w:t>3-65-3-00261-2017-6</w:t>
      </w:r>
    </w:p>
    <w:p w14:paraId="08C45D9B" w14:textId="77777777" w:rsidR="00D13D83" w:rsidRPr="00821330" w:rsidRDefault="00D13D83" w:rsidP="00D13D83">
      <w:pPr>
        <w:jc w:val="both"/>
        <w:rPr>
          <w:rFonts w:asciiTheme="minorHAnsi" w:hAnsiTheme="minorHAnsi" w:cstheme="minorHAnsi"/>
          <w:sz w:val="22"/>
          <w:szCs w:val="22"/>
        </w:rPr>
      </w:pPr>
      <w:r w:rsidRPr="00821330">
        <w:rPr>
          <w:rFonts w:asciiTheme="minorHAnsi" w:hAnsiTheme="minorHAnsi" w:cstheme="minorHAnsi"/>
          <w:sz w:val="22"/>
          <w:szCs w:val="22"/>
        </w:rPr>
        <w:t>Procesinio sprendimo kategorijos: 20.2.3.1; 41</w:t>
      </w:r>
    </w:p>
    <w:p w14:paraId="3CC064EE" w14:textId="126761E5" w:rsidR="00D13D83" w:rsidRPr="00821330" w:rsidRDefault="00E956D9" w:rsidP="00D13D83">
      <w:pPr>
        <w:jc w:val="both"/>
        <w:rPr>
          <w:rFonts w:asciiTheme="minorHAnsi" w:hAnsiTheme="minorHAnsi" w:cstheme="minorHAnsi"/>
          <w:color w:val="0000FF"/>
          <w:sz w:val="22"/>
          <w:szCs w:val="22"/>
          <w:u w:val="single"/>
        </w:rPr>
      </w:pPr>
      <w:hyperlink r:id="rId40" w:history="1">
        <w:r w:rsidR="00D13D83" w:rsidRPr="00821330">
          <w:rPr>
            <w:rStyle w:val="Hipersaitas"/>
            <w:rFonts w:asciiTheme="minorHAnsi" w:hAnsiTheme="minorHAnsi" w:cstheme="minorHAnsi"/>
            <w:sz w:val="22"/>
            <w:szCs w:val="22"/>
          </w:rPr>
          <w:t>Prieiga internete</w:t>
        </w:r>
      </w:hyperlink>
      <w:r w:rsidR="00D13D83" w:rsidRPr="00821330">
        <w:rPr>
          <w:rStyle w:val="Hipersaitas"/>
          <w:rFonts w:asciiTheme="minorHAnsi" w:hAnsiTheme="minorHAnsi" w:cstheme="minorHAnsi"/>
          <w:sz w:val="22"/>
          <w:szCs w:val="22"/>
        </w:rPr>
        <w:t xml:space="preserve"> </w:t>
      </w:r>
    </w:p>
    <w:p w14:paraId="7425A51C" w14:textId="77777777" w:rsidR="00D13D83" w:rsidRPr="00821330" w:rsidRDefault="00D13D83" w:rsidP="00D13D83">
      <w:pPr>
        <w:rPr>
          <w:rFonts w:asciiTheme="minorHAnsi" w:hAnsiTheme="minorHAnsi" w:cstheme="minorHAnsi"/>
          <w:sz w:val="22"/>
          <w:szCs w:val="22"/>
        </w:rPr>
      </w:pPr>
    </w:p>
    <w:p w14:paraId="15AF86F6" w14:textId="77777777" w:rsidR="00A84D45" w:rsidRPr="00821330" w:rsidRDefault="00A84D45" w:rsidP="00496E0E">
      <w:pPr>
        <w:pStyle w:val="Apzvalgai1"/>
        <w:rPr>
          <w:rFonts w:asciiTheme="minorHAnsi" w:hAnsiTheme="minorHAnsi" w:cstheme="minorHAnsi"/>
        </w:rPr>
      </w:pPr>
      <w:bookmarkStart w:id="111" w:name="_Toc519600876"/>
      <w:bookmarkStart w:id="112" w:name="_Toc32243612"/>
      <w:bookmarkEnd w:id="89"/>
      <w:r w:rsidRPr="00821330">
        <w:rPr>
          <w:rFonts w:asciiTheme="minorHAnsi" w:hAnsiTheme="minorHAnsi" w:cstheme="minorHAnsi"/>
        </w:rPr>
        <w:t>II. Administracinių bylų teisena</w:t>
      </w:r>
      <w:bookmarkEnd w:id="111"/>
      <w:bookmarkEnd w:id="112"/>
    </w:p>
    <w:p w14:paraId="09D93B8D" w14:textId="77777777" w:rsidR="00D41361" w:rsidRPr="00821330" w:rsidRDefault="00D41361" w:rsidP="00496E0E">
      <w:pPr>
        <w:pStyle w:val="Apzvalgai1"/>
        <w:outlineLvl w:val="9"/>
        <w:rPr>
          <w:rFonts w:asciiTheme="minorHAnsi" w:hAnsiTheme="minorHAnsi" w:cstheme="minorHAnsi"/>
        </w:rPr>
      </w:pPr>
    </w:p>
    <w:p w14:paraId="2CCF2B64" w14:textId="7A3E9F6F" w:rsidR="00DA1F5B" w:rsidRPr="00821330" w:rsidRDefault="00D41361" w:rsidP="00496E0E">
      <w:pPr>
        <w:pStyle w:val="Antrat1"/>
        <w:rPr>
          <w:rFonts w:asciiTheme="minorHAnsi" w:hAnsiTheme="minorHAnsi" w:cstheme="minorHAnsi"/>
        </w:rPr>
      </w:pPr>
      <w:bookmarkStart w:id="113" w:name="_Toc462150008"/>
      <w:bookmarkStart w:id="114" w:name="_Toc32243613"/>
      <w:r w:rsidRPr="00821330">
        <w:rPr>
          <w:rFonts w:asciiTheme="minorHAnsi" w:hAnsiTheme="minorHAnsi" w:cstheme="minorHAnsi"/>
        </w:rPr>
        <w:t>43. Teisė kreiptis į teismą ir jos realizavimas</w:t>
      </w:r>
      <w:bookmarkEnd w:id="8"/>
      <w:bookmarkEnd w:id="9"/>
      <w:bookmarkEnd w:id="113"/>
      <w:bookmarkEnd w:id="114"/>
    </w:p>
    <w:p w14:paraId="0FB95C96" w14:textId="77777777" w:rsidR="004F2950" w:rsidRPr="00821330" w:rsidRDefault="004F2950" w:rsidP="004F2950">
      <w:pPr>
        <w:ind w:firstLine="567"/>
        <w:rPr>
          <w:rFonts w:asciiTheme="minorHAnsi" w:hAnsiTheme="minorHAnsi" w:cstheme="minorHAnsi"/>
          <w:b/>
          <w:bCs/>
          <w:sz w:val="22"/>
          <w:szCs w:val="22"/>
          <w:u w:val="single"/>
        </w:rPr>
      </w:pPr>
      <w:r w:rsidRPr="00821330">
        <w:rPr>
          <w:rFonts w:asciiTheme="minorHAnsi" w:hAnsiTheme="minorHAnsi" w:cstheme="minorHAnsi"/>
          <w:b/>
          <w:bCs/>
          <w:sz w:val="22"/>
          <w:szCs w:val="22"/>
          <w:u w:val="single"/>
        </w:rPr>
        <w:t>43.5. Atsisakymas priimti skundą</w:t>
      </w:r>
    </w:p>
    <w:p w14:paraId="17CD95CC" w14:textId="77777777" w:rsidR="00A42119" w:rsidRPr="00821330" w:rsidRDefault="00A42119" w:rsidP="00A42119">
      <w:pPr>
        <w:tabs>
          <w:tab w:val="left" w:pos="1134"/>
        </w:tabs>
        <w:ind w:left="1134"/>
        <w:jc w:val="both"/>
        <w:rPr>
          <w:rFonts w:asciiTheme="minorHAnsi" w:hAnsiTheme="minorHAnsi" w:cstheme="minorHAnsi"/>
          <w:b/>
          <w:bCs/>
          <w:sz w:val="22"/>
          <w:szCs w:val="22"/>
          <w:u w:val="single"/>
        </w:rPr>
      </w:pPr>
      <w:r w:rsidRPr="00821330">
        <w:rPr>
          <w:rFonts w:asciiTheme="minorHAnsi" w:hAnsiTheme="minorHAnsi" w:cstheme="minorHAnsi"/>
          <w:b/>
          <w:bCs/>
          <w:sz w:val="22"/>
          <w:szCs w:val="22"/>
          <w:u w:val="single"/>
        </w:rPr>
        <w:t>43.5.1. Kai skundas nenagrinėtinas ABTĮ nustatyta tvarka</w:t>
      </w:r>
    </w:p>
    <w:p w14:paraId="44F8847B" w14:textId="64BA2A43" w:rsidR="00A42119" w:rsidRPr="00821330" w:rsidRDefault="00A42119" w:rsidP="00A42119">
      <w:pPr>
        <w:tabs>
          <w:tab w:val="left" w:pos="1134"/>
        </w:tabs>
        <w:ind w:left="1134" w:firstLine="567"/>
        <w:jc w:val="both"/>
        <w:rPr>
          <w:rFonts w:asciiTheme="minorHAnsi" w:hAnsiTheme="minorHAnsi" w:cstheme="minorHAnsi"/>
          <w:b/>
          <w:bCs/>
          <w:sz w:val="22"/>
          <w:szCs w:val="22"/>
          <w:u w:val="single"/>
        </w:rPr>
      </w:pPr>
      <w:r w:rsidRPr="00821330">
        <w:rPr>
          <w:rFonts w:asciiTheme="minorHAnsi" w:hAnsiTheme="minorHAnsi" w:cstheme="minorHAnsi"/>
          <w:b/>
          <w:bCs/>
          <w:sz w:val="22"/>
          <w:szCs w:val="22"/>
          <w:u w:val="single"/>
        </w:rPr>
        <w:t>43.5.1.1. Aktai ar veiksmai, dėl kurių negalima pateikti skundo administraciniam teismui</w:t>
      </w:r>
    </w:p>
    <w:p w14:paraId="04BB0D69" w14:textId="594498E0" w:rsidR="00EB51BA" w:rsidRPr="00821330" w:rsidRDefault="00EB51BA" w:rsidP="00496E0E">
      <w:pPr>
        <w:ind w:left="1560" w:hanging="709"/>
        <w:jc w:val="both"/>
        <w:rPr>
          <w:rFonts w:asciiTheme="minorHAnsi" w:hAnsiTheme="minorHAnsi" w:cstheme="minorHAnsi"/>
          <w:b/>
          <w:bCs/>
          <w:sz w:val="22"/>
          <w:szCs w:val="22"/>
          <w:u w:val="single"/>
        </w:rPr>
      </w:pPr>
    </w:p>
    <w:p w14:paraId="1E961E59" w14:textId="2935A711" w:rsidR="00EB51BA" w:rsidRPr="00821330" w:rsidRDefault="00EB51BA" w:rsidP="00F31DA2">
      <w:pPr>
        <w:pStyle w:val="Antrat2"/>
      </w:pPr>
      <w:bookmarkStart w:id="115" w:name="_Toc32243614"/>
      <w:r w:rsidRPr="00821330">
        <w:t xml:space="preserve">Dėl </w:t>
      </w:r>
      <w:r w:rsidR="00602A7D" w:rsidRPr="00821330">
        <w:t>asmens teisės ginčyti ne dėl jo priimtą administracinį aktą</w:t>
      </w:r>
      <w:bookmarkEnd w:id="115"/>
    </w:p>
    <w:p w14:paraId="00170BC3" w14:textId="77777777" w:rsidR="00EB51BA" w:rsidRPr="00821330" w:rsidRDefault="00EB51BA" w:rsidP="00496E0E">
      <w:pPr>
        <w:jc w:val="both"/>
        <w:rPr>
          <w:rFonts w:asciiTheme="minorHAnsi" w:hAnsiTheme="minorHAnsi" w:cstheme="minorHAnsi"/>
          <w:bCs/>
          <w:sz w:val="22"/>
          <w:szCs w:val="22"/>
        </w:rPr>
      </w:pPr>
    </w:p>
    <w:p w14:paraId="328C8A77" w14:textId="61A04F4E" w:rsidR="00602A7D" w:rsidRPr="00821330" w:rsidRDefault="00602A7D" w:rsidP="00602A7D">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 xml:space="preserve">Pareiškėja skundo reikalavimu Nr. 2 prašė panaikinti aplinkos ministro įsakymą, kuriuo </w:t>
      </w:r>
      <w:bookmarkStart w:id="116" w:name="Buk_3"/>
      <w:r w:rsidRPr="00821330">
        <w:rPr>
          <w:rFonts w:asciiTheme="minorHAnsi" w:hAnsiTheme="minorHAnsi" w:cstheme="minorHAnsi"/>
          <w:bCs/>
          <w:sz w:val="22"/>
          <w:szCs w:val="22"/>
        </w:rPr>
        <w:t xml:space="preserve">G. G. </w:t>
      </w:r>
      <w:bookmarkEnd w:id="116"/>
      <w:r w:rsidRPr="00821330">
        <w:rPr>
          <w:rFonts w:asciiTheme="minorHAnsi" w:hAnsiTheme="minorHAnsi" w:cstheme="minorHAnsi"/>
          <w:bCs/>
          <w:sz w:val="22"/>
          <w:szCs w:val="22"/>
        </w:rPr>
        <w:t>priimamas į Lietuvos geologijos tarnybos direktoriaus pareigas 5 metų kadencijai nuo 2019 m. spalio 14 d., laimėjus konkursą. Pirmosios instancijos teismas atsisakė priimti nagrinėti šį reikalavimą konstatavęs, kad šis administracinis aktas neturi įtakos pareiškėjos teisėms, nes jis priimtas ne pareiškėjos atžvilgiu.</w:t>
      </w:r>
    </w:p>
    <w:p w14:paraId="0DF4E1B4" w14:textId="77777777" w:rsidR="00191ADC" w:rsidRPr="00821330" w:rsidRDefault="00602A7D" w:rsidP="00602A7D">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Teisėjų kolegija akcent</w:t>
      </w:r>
      <w:r w:rsidR="00191ADC" w:rsidRPr="00821330">
        <w:rPr>
          <w:rFonts w:asciiTheme="minorHAnsi" w:hAnsiTheme="minorHAnsi" w:cstheme="minorHAnsi"/>
          <w:bCs/>
          <w:sz w:val="22"/>
          <w:szCs w:val="22"/>
        </w:rPr>
        <w:t>avo</w:t>
      </w:r>
      <w:r w:rsidRPr="00821330">
        <w:rPr>
          <w:rFonts w:asciiTheme="minorHAnsi" w:hAnsiTheme="minorHAnsi" w:cstheme="minorHAnsi"/>
          <w:bCs/>
          <w:sz w:val="22"/>
          <w:szCs w:val="22"/>
        </w:rPr>
        <w:t xml:space="preserve">, kad </w:t>
      </w:r>
      <w:r w:rsidRPr="00821330">
        <w:rPr>
          <w:rFonts w:asciiTheme="minorHAnsi" w:hAnsiTheme="minorHAnsi" w:cstheme="minorHAnsi"/>
          <w:bCs/>
          <w:sz w:val="22"/>
          <w:szCs w:val="22"/>
          <w:u w:val="single"/>
        </w:rPr>
        <w:t>aplinkybė, jog pareiškėja nėra minima individualiame administraciniame akte, savaime nereiškia, kad toks aktas nesukelia jokių teisinių pasekmių jos teisėms ir pareigoms</w:t>
      </w:r>
      <w:r w:rsidRPr="00821330">
        <w:rPr>
          <w:rFonts w:asciiTheme="minorHAnsi" w:hAnsiTheme="minorHAnsi" w:cstheme="minorHAnsi"/>
          <w:bCs/>
          <w:sz w:val="22"/>
          <w:szCs w:val="22"/>
        </w:rPr>
        <w:t xml:space="preserve">. </w:t>
      </w:r>
      <w:r w:rsidR="00191ADC" w:rsidRPr="00821330">
        <w:rPr>
          <w:rFonts w:asciiTheme="minorHAnsi" w:hAnsiTheme="minorHAnsi" w:cstheme="minorHAnsi"/>
          <w:bCs/>
          <w:sz w:val="22"/>
          <w:szCs w:val="22"/>
        </w:rPr>
        <w:t>Norimas apskųsti aplinkos ministro</w:t>
      </w:r>
      <w:r w:rsidRPr="00821330">
        <w:rPr>
          <w:rFonts w:asciiTheme="minorHAnsi" w:hAnsiTheme="minorHAnsi" w:cstheme="minorHAnsi"/>
          <w:bCs/>
          <w:sz w:val="22"/>
          <w:szCs w:val="22"/>
        </w:rPr>
        <w:t xml:space="preserve"> įsakymas </w:t>
      </w:r>
      <w:r w:rsidR="00191ADC" w:rsidRPr="00821330">
        <w:rPr>
          <w:rFonts w:asciiTheme="minorHAnsi" w:hAnsiTheme="minorHAnsi" w:cstheme="minorHAnsi"/>
          <w:bCs/>
          <w:sz w:val="22"/>
          <w:szCs w:val="22"/>
        </w:rPr>
        <w:t>buvo</w:t>
      </w:r>
      <w:r w:rsidRPr="00821330">
        <w:rPr>
          <w:rFonts w:asciiTheme="minorHAnsi" w:hAnsiTheme="minorHAnsi" w:cstheme="minorHAnsi"/>
          <w:bCs/>
          <w:sz w:val="22"/>
          <w:szCs w:val="22"/>
        </w:rPr>
        <w:t xml:space="preserve"> priimtas konkurso rezultatų, dėl kurių pareiškėja kelia ginčą, pagrindu ir yra tiesiogiai susijęs su pareiškėjos pageidaujama ginčo baigtimi – dalyvauti konkurse Lietuvos geologijos tarnybos direktoriaus pareigoms užimti, sudarant realią galimybę šį konkursą laimėti. Šiame kontekste atkreiptas dėmesys ir į teismo priimtą nagrinėti skundo reikalavimą, t. y. reikalavimą Nr. 1 – panaikinti aplinkos ministro įsakymą, kuriuo nuspręsta grąžinti pareiškėją nuo 2019 m. spalio 14 d. iš dėl tarnybinės būtinybės eitų Lietuvos geologijos tarnybos direktoriaus pareigų į eitas iki perkėlimo Lietuvos geologijos tarnybos direktoriaus pavaduotojo pareigas bei pavesti pareiškėjai iki 2019 m. spalio 15 d. perdavimo–priėmimo aktu perduoti </w:t>
      </w:r>
      <w:bookmarkStart w:id="117" w:name="Buk_4"/>
      <w:r w:rsidRPr="00821330">
        <w:rPr>
          <w:rFonts w:asciiTheme="minorHAnsi" w:hAnsiTheme="minorHAnsi" w:cstheme="minorHAnsi"/>
          <w:bCs/>
          <w:sz w:val="22"/>
          <w:szCs w:val="22"/>
        </w:rPr>
        <w:t xml:space="preserve">G. G. </w:t>
      </w:r>
      <w:bookmarkEnd w:id="117"/>
      <w:r w:rsidRPr="00821330">
        <w:rPr>
          <w:rFonts w:asciiTheme="minorHAnsi" w:hAnsiTheme="minorHAnsi" w:cstheme="minorHAnsi"/>
          <w:bCs/>
          <w:sz w:val="22"/>
          <w:szCs w:val="22"/>
        </w:rPr>
        <w:t xml:space="preserve">visus dokumentus, susijusius su direktoriaus funkcijų vykdymu, turtą, už kurį ji materialiai atsakinga, ir kt. Tenkinus pareiškėjos skundą skundžiama teismo nutartimi priimtoje nagrinėti apimtyje, susidarytų situacija, kai įsakymas grąžinti pareiškėją nuo 2019 m. spalio 14 d. iš Lietuvos geologijos tarnybos direktoriaus pareigų būtų panaikintas, t. y. pareiškėja liktų Lietuvos geologijos tarnybos direktoriaus pareigose po 2019 m. spalio 14 d., tačiau tuo pat metu galiotų ir priešingas įsakymas – į Lietuvos geologijos tarnybos direktoriaus pareigas nuo 2019 m. spalio 14 d. priimti </w:t>
      </w:r>
      <w:bookmarkStart w:id="118" w:name="Buk_1"/>
      <w:r w:rsidRPr="00821330">
        <w:rPr>
          <w:rFonts w:asciiTheme="minorHAnsi" w:hAnsiTheme="minorHAnsi" w:cstheme="minorHAnsi"/>
          <w:bCs/>
          <w:sz w:val="22"/>
          <w:szCs w:val="22"/>
        </w:rPr>
        <w:t>G. G.</w:t>
      </w:r>
      <w:bookmarkEnd w:id="118"/>
    </w:p>
    <w:p w14:paraId="54A8B7E5" w14:textId="42F3C7B6" w:rsidR="00602A7D" w:rsidRPr="00821330" w:rsidRDefault="00602A7D" w:rsidP="00602A7D">
      <w:pPr>
        <w:ind w:firstLine="567"/>
        <w:jc w:val="both"/>
        <w:rPr>
          <w:rFonts w:asciiTheme="minorHAnsi" w:hAnsiTheme="minorHAnsi" w:cstheme="minorHAnsi"/>
          <w:bCs/>
          <w:sz w:val="22"/>
          <w:szCs w:val="22"/>
        </w:rPr>
      </w:pPr>
      <w:r w:rsidRPr="00821330">
        <w:rPr>
          <w:rFonts w:asciiTheme="minorHAnsi" w:hAnsiTheme="minorHAnsi" w:cstheme="minorHAnsi"/>
          <w:bCs/>
          <w:sz w:val="22"/>
          <w:szCs w:val="22"/>
        </w:rPr>
        <w:t>Atsižvelgiant į šias aplinkybes, teismo atsisakymas priimti nagrinėti skundo reikalavimą Nr. 2 kaip neturintį įtakos pareiškėjos teisėms ir pareigoms laikytas nepagrįstu.</w:t>
      </w:r>
    </w:p>
    <w:p w14:paraId="12903605" w14:textId="77777777" w:rsidR="00927037" w:rsidRPr="00821330" w:rsidRDefault="00927037" w:rsidP="00927037">
      <w:pPr>
        <w:ind w:firstLine="567"/>
        <w:jc w:val="both"/>
        <w:rPr>
          <w:rFonts w:asciiTheme="minorHAnsi" w:hAnsiTheme="minorHAnsi" w:cstheme="minorHAnsi"/>
          <w:bCs/>
          <w:sz w:val="22"/>
          <w:szCs w:val="22"/>
        </w:rPr>
      </w:pPr>
    </w:p>
    <w:p w14:paraId="647B0817" w14:textId="055BCE54" w:rsidR="00862C9B" w:rsidRPr="00821330" w:rsidRDefault="00EB51BA" w:rsidP="00862C9B">
      <w:pPr>
        <w:jc w:val="both"/>
        <w:rPr>
          <w:rFonts w:asciiTheme="minorHAnsi" w:hAnsiTheme="minorHAnsi" w:cstheme="minorHAnsi"/>
          <w:sz w:val="22"/>
          <w:szCs w:val="22"/>
        </w:rPr>
      </w:pPr>
      <w:r w:rsidRPr="00821330">
        <w:rPr>
          <w:rFonts w:asciiTheme="minorHAnsi" w:hAnsiTheme="minorHAnsi" w:cstheme="minorHAnsi"/>
          <w:sz w:val="22"/>
          <w:szCs w:val="22"/>
        </w:rPr>
        <w:t xml:space="preserve">2019 m. </w:t>
      </w:r>
      <w:r w:rsidR="0058660A" w:rsidRPr="00821330">
        <w:rPr>
          <w:rFonts w:asciiTheme="minorHAnsi" w:hAnsiTheme="minorHAnsi" w:cstheme="minorHAnsi"/>
          <w:sz w:val="22"/>
          <w:szCs w:val="22"/>
        </w:rPr>
        <w:t>gruodžio 11</w:t>
      </w:r>
      <w:r w:rsidRPr="00821330">
        <w:rPr>
          <w:rFonts w:asciiTheme="minorHAnsi" w:hAnsiTheme="minorHAnsi" w:cstheme="minorHAnsi"/>
          <w:sz w:val="22"/>
          <w:szCs w:val="22"/>
        </w:rPr>
        <w:t xml:space="preserve"> d. nutartis administracinėje byloje </w:t>
      </w:r>
      <w:r w:rsidR="00862C9B" w:rsidRPr="00821330">
        <w:rPr>
          <w:rFonts w:asciiTheme="minorHAnsi" w:hAnsiTheme="minorHAnsi" w:cstheme="minorHAnsi"/>
          <w:sz w:val="22"/>
          <w:szCs w:val="22"/>
        </w:rPr>
        <w:t>Nr. eAS-720-756/2019</w:t>
      </w:r>
    </w:p>
    <w:p w14:paraId="5EF24474" w14:textId="77777777" w:rsidR="00862C9B" w:rsidRPr="00821330" w:rsidRDefault="00862C9B" w:rsidP="00862C9B">
      <w:pPr>
        <w:jc w:val="both"/>
        <w:rPr>
          <w:rFonts w:asciiTheme="minorHAnsi" w:hAnsiTheme="minorHAnsi" w:cstheme="minorHAnsi"/>
          <w:sz w:val="22"/>
          <w:szCs w:val="22"/>
        </w:rPr>
      </w:pPr>
      <w:r w:rsidRPr="00821330">
        <w:rPr>
          <w:rFonts w:asciiTheme="minorHAnsi" w:hAnsiTheme="minorHAnsi" w:cstheme="minorHAnsi"/>
          <w:sz w:val="22"/>
          <w:szCs w:val="22"/>
        </w:rPr>
        <w:t>Teisminio proceso Nr. 3-61-3-03491-2019-2</w:t>
      </w:r>
    </w:p>
    <w:p w14:paraId="0F38F7C7" w14:textId="77777777" w:rsidR="00862C9B" w:rsidRPr="00821330" w:rsidRDefault="00862C9B" w:rsidP="00862C9B">
      <w:pPr>
        <w:jc w:val="both"/>
        <w:rPr>
          <w:rFonts w:asciiTheme="minorHAnsi" w:hAnsiTheme="minorHAnsi" w:cstheme="minorHAnsi"/>
          <w:sz w:val="22"/>
          <w:szCs w:val="22"/>
        </w:rPr>
      </w:pPr>
      <w:r w:rsidRPr="00821330">
        <w:rPr>
          <w:rFonts w:asciiTheme="minorHAnsi" w:hAnsiTheme="minorHAnsi" w:cstheme="minorHAnsi"/>
          <w:sz w:val="22"/>
          <w:szCs w:val="22"/>
        </w:rPr>
        <w:t>Procesinio sprendimo kategorija 43.5.1.1</w:t>
      </w:r>
    </w:p>
    <w:p w14:paraId="45C5A38E" w14:textId="3F41AC02" w:rsidR="00072C40" w:rsidRPr="00821330" w:rsidRDefault="00E956D9" w:rsidP="00AC6343">
      <w:pPr>
        <w:jc w:val="both"/>
        <w:rPr>
          <w:rFonts w:asciiTheme="minorHAnsi" w:hAnsiTheme="minorHAnsi" w:cstheme="minorHAnsi"/>
          <w:color w:val="0000FF"/>
          <w:sz w:val="22"/>
          <w:szCs w:val="22"/>
          <w:u w:val="single"/>
        </w:rPr>
      </w:pPr>
      <w:hyperlink r:id="rId41" w:history="1">
        <w:r w:rsidR="00EB51BA" w:rsidRPr="00821330">
          <w:rPr>
            <w:rStyle w:val="Hipersaitas"/>
            <w:rFonts w:asciiTheme="minorHAnsi" w:hAnsiTheme="minorHAnsi" w:cstheme="minorHAnsi"/>
            <w:sz w:val="22"/>
            <w:szCs w:val="22"/>
          </w:rPr>
          <w:t>Prieiga internete</w:t>
        </w:r>
      </w:hyperlink>
      <w:r w:rsidR="00EB51BA" w:rsidRPr="00821330">
        <w:rPr>
          <w:rStyle w:val="Hipersaitas"/>
          <w:rFonts w:asciiTheme="minorHAnsi" w:hAnsiTheme="minorHAnsi" w:cstheme="minorHAnsi"/>
          <w:sz w:val="22"/>
          <w:szCs w:val="22"/>
        </w:rPr>
        <w:t xml:space="preserve"> </w:t>
      </w:r>
    </w:p>
    <w:p w14:paraId="32BB9F01" w14:textId="60CB03F8" w:rsidR="000664DB" w:rsidRPr="00B240C0" w:rsidRDefault="000664DB" w:rsidP="00496E0E">
      <w:pPr>
        <w:jc w:val="center"/>
        <w:rPr>
          <w:rFonts w:asciiTheme="minorHAnsi" w:hAnsiTheme="minorHAnsi" w:cstheme="minorHAnsi"/>
          <w:sz w:val="22"/>
          <w:szCs w:val="22"/>
        </w:rPr>
      </w:pPr>
      <w:r w:rsidRPr="00B240C0">
        <w:rPr>
          <w:rFonts w:asciiTheme="minorHAnsi" w:hAnsiTheme="minorHAnsi" w:cstheme="minorHAnsi"/>
          <w:sz w:val="22"/>
          <w:szCs w:val="22"/>
        </w:rPr>
        <w:t>______________</w:t>
      </w:r>
    </w:p>
    <w:p w14:paraId="62CFBB68" w14:textId="77777777" w:rsidR="000664DB" w:rsidRDefault="000664DB" w:rsidP="00496E0E">
      <w:pPr>
        <w:ind w:left="851" w:firstLine="283"/>
        <w:jc w:val="both"/>
        <w:rPr>
          <w:rFonts w:asciiTheme="minorHAnsi" w:hAnsiTheme="minorHAnsi" w:cstheme="minorHAnsi"/>
          <w:b/>
          <w:sz w:val="22"/>
          <w:szCs w:val="22"/>
          <w:u w:val="single"/>
        </w:rPr>
      </w:pPr>
    </w:p>
    <w:sectPr w:rsidR="000664DB" w:rsidSect="00EF63E3">
      <w:headerReference w:type="default" r:id="rId42"/>
      <w:footerReference w:type="even" r:id="rId43"/>
      <w:footerReference w:type="default" r:id="rId44"/>
      <w:pgSz w:w="11906" w:h="16838"/>
      <w:pgMar w:top="1134" w:right="567" w:bottom="1134" w:left="147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110AF7" w14:textId="77777777" w:rsidR="003B4617" w:rsidRDefault="003B4617" w:rsidP="003D4C15">
      <w:r>
        <w:separator/>
      </w:r>
    </w:p>
  </w:endnote>
  <w:endnote w:type="continuationSeparator" w:id="0">
    <w:p w14:paraId="0214CDA0" w14:textId="77777777" w:rsidR="003B4617" w:rsidRDefault="003B4617" w:rsidP="003D4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ourier New">
    <w:panose1 w:val="02070309020205020404"/>
    <w:charset w:val="BA"/>
    <w:family w:val="modern"/>
    <w:pitch w:val="fixed"/>
    <w:sig w:usb0="E0002EFF" w:usb1="C0007843" w:usb2="00000009" w:usb3="00000000" w:csb0="000001FF" w:csb1="00000000"/>
  </w:font>
  <w:font w:name="Microsoft Sans Serif">
    <w:panose1 w:val="020B0604020202020204"/>
    <w:charset w:val="BA"/>
    <w:family w:val="swiss"/>
    <w:pitch w:val="variable"/>
    <w:sig w:usb0="E5002EFF" w:usb1="C000605B" w:usb2="00000029" w:usb3="00000000" w:csb0="000101FF" w:csb1="00000000"/>
  </w:font>
  <w:font w:name="Arial">
    <w:panose1 w:val="020B0604020202020204"/>
    <w:charset w:val="BA"/>
    <w:family w:val="swiss"/>
    <w:pitch w:val="variable"/>
    <w:sig w:usb0="E0002EFF" w:usb1="C000785B" w:usb2="00000009" w:usb3="00000000" w:csb0="000001FF" w:csb1="00000000"/>
  </w:font>
  <w:font w:name="TimesLT">
    <w:altName w:val="Times New Roman"/>
    <w:charset w:val="BA"/>
    <w:family w:val="roman"/>
    <w:pitch w:val="variable"/>
    <w:sig w:usb0="00000001" w:usb1="00000000" w:usb2="00000000" w:usb3="00000000" w:csb0="0000009F" w:csb1="00000000"/>
  </w:font>
  <w:font w:name="Arial Narrow">
    <w:panose1 w:val="020B0606020202030204"/>
    <w:charset w:val="BA"/>
    <w:family w:val="swiss"/>
    <w:pitch w:val="variable"/>
    <w:sig w:usb0="00000287" w:usb1="00000800" w:usb2="00000000" w:usb3="00000000" w:csb0="0000009F" w:csb1="00000000"/>
  </w:font>
  <w:font w:name="Palatino Linotype">
    <w:panose1 w:val="02040502050505030304"/>
    <w:charset w:val="BA"/>
    <w:family w:val="roman"/>
    <w:pitch w:val="variable"/>
    <w:sig w:usb0="E0000287" w:usb1="4000001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2730A6" w14:textId="77777777" w:rsidR="00E956D9" w:rsidRDefault="00E956D9">
    <w:pPr>
      <w:pStyle w:val="Porat"/>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19820B33" w14:textId="77777777" w:rsidR="00E956D9" w:rsidRDefault="00E956D9">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272015" w14:textId="77777777" w:rsidR="00E956D9" w:rsidRPr="00386C1C" w:rsidRDefault="00E956D9">
    <w:pPr>
      <w:pStyle w:val="Porat"/>
      <w:jc w:val="center"/>
      <w:rPr>
        <w:rFonts w:asciiTheme="minorHAnsi" w:hAnsiTheme="minorHAnsi"/>
        <w:sz w:val="20"/>
        <w:szCs w:val="20"/>
      </w:rPr>
    </w:pP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PAGE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5</w:t>
    </w:r>
    <w:r w:rsidRPr="00386C1C">
      <w:rPr>
        <w:rStyle w:val="Puslapionumeris"/>
        <w:rFonts w:asciiTheme="minorHAnsi" w:hAnsiTheme="minorHAnsi"/>
        <w:sz w:val="20"/>
        <w:szCs w:val="20"/>
      </w:rPr>
      <w:fldChar w:fldCharType="end"/>
    </w:r>
    <w:r w:rsidRPr="00386C1C">
      <w:rPr>
        <w:rStyle w:val="Puslapionumeris"/>
        <w:rFonts w:asciiTheme="minorHAnsi" w:hAnsiTheme="minorHAnsi"/>
        <w:sz w:val="20"/>
        <w:szCs w:val="20"/>
      </w:rPr>
      <w:t xml:space="preserve"> / </w:t>
    </w:r>
    <w:r w:rsidRPr="00386C1C">
      <w:rPr>
        <w:rStyle w:val="Puslapionumeris"/>
        <w:rFonts w:asciiTheme="minorHAnsi" w:hAnsiTheme="minorHAnsi"/>
        <w:sz w:val="20"/>
        <w:szCs w:val="20"/>
      </w:rPr>
      <w:fldChar w:fldCharType="begin"/>
    </w:r>
    <w:r w:rsidRPr="00386C1C">
      <w:rPr>
        <w:rStyle w:val="Puslapionumeris"/>
        <w:rFonts w:asciiTheme="minorHAnsi" w:hAnsiTheme="minorHAnsi"/>
        <w:sz w:val="20"/>
        <w:szCs w:val="20"/>
      </w:rPr>
      <w:instrText xml:space="preserve"> NUMPAGES </w:instrText>
    </w:r>
    <w:r w:rsidRPr="00386C1C">
      <w:rPr>
        <w:rStyle w:val="Puslapionumeris"/>
        <w:rFonts w:asciiTheme="minorHAnsi" w:hAnsiTheme="minorHAnsi"/>
        <w:sz w:val="20"/>
        <w:szCs w:val="20"/>
      </w:rPr>
      <w:fldChar w:fldCharType="separate"/>
    </w:r>
    <w:r>
      <w:rPr>
        <w:rStyle w:val="Puslapionumeris"/>
        <w:rFonts w:asciiTheme="minorHAnsi" w:hAnsiTheme="minorHAnsi"/>
        <w:noProof/>
        <w:sz w:val="20"/>
        <w:szCs w:val="20"/>
      </w:rPr>
      <w:t>38</w:t>
    </w:r>
    <w:r w:rsidRPr="00386C1C">
      <w:rPr>
        <w:rStyle w:val="Puslapionumeris"/>
        <w:rFonts w:asciiTheme="minorHAnsi" w:hAnsiTheme="minorHAnsi"/>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75DD57" w14:textId="77777777" w:rsidR="003B4617" w:rsidRDefault="003B4617" w:rsidP="003D4C15">
      <w:r>
        <w:separator/>
      </w:r>
    </w:p>
  </w:footnote>
  <w:footnote w:type="continuationSeparator" w:id="0">
    <w:p w14:paraId="086FCB2E" w14:textId="77777777" w:rsidR="003B4617" w:rsidRDefault="003B4617" w:rsidP="003D4C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single" w:sz="4" w:space="0" w:color="44546A" w:themeColor="text2"/>
      </w:tblBorders>
      <w:tblLook w:val="04A0" w:firstRow="1" w:lastRow="0" w:firstColumn="1" w:lastColumn="0" w:noHBand="0" w:noVBand="1"/>
    </w:tblPr>
    <w:tblGrid>
      <w:gridCol w:w="7230"/>
      <w:gridCol w:w="2409"/>
    </w:tblGrid>
    <w:tr w:rsidR="00E956D9" w:rsidRPr="000967FF" w14:paraId="1A3B950A" w14:textId="77777777" w:rsidTr="00125BDC">
      <w:tc>
        <w:tcPr>
          <w:tcW w:w="7230" w:type="dxa"/>
        </w:tcPr>
        <w:p w14:paraId="2A61BEB6" w14:textId="77777777" w:rsidR="00E956D9" w:rsidRPr="0021377E" w:rsidRDefault="00E956D9" w:rsidP="0016762E">
          <w:pPr>
            <w:rPr>
              <w:rFonts w:ascii="Calibri" w:hAnsi="Calibri"/>
              <w:i/>
              <w:color w:val="323E4F" w:themeColor="text2" w:themeShade="BF"/>
              <w:sz w:val="20"/>
              <w:szCs w:val="20"/>
            </w:rPr>
          </w:pPr>
          <w:r w:rsidRPr="0021377E">
            <w:rPr>
              <w:rFonts w:ascii="Calibri" w:hAnsi="Calibri"/>
              <w:i/>
              <w:color w:val="323E4F" w:themeColor="text2" w:themeShade="BF"/>
              <w:sz w:val="20"/>
              <w:szCs w:val="20"/>
            </w:rPr>
            <w:t>Teis</w:t>
          </w:r>
          <w:r>
            <w:rPr>
              <w:rFonts w:ascii="Calibri" w:hAnsi="Calibri"/>
              <w:i/>
              <w:color w:val="323E4F" w:themeColor="text2" w:themeShade="BF"/>
              <w:sz w:val="20"/>
              <w:szCs w:val="20"/>
            </w:rPr>
            <w:t xml:space="preserve">mų praktikos </w:t>
          </w:r>
          <w:r w:rsidRPr="0021377E">
            <w:rPr>
              <w:rFonts w:ascii="Calibri" w:hAnsi="Calibri"/>
              <w:i/>
              <w:color w:val="323E4F" w:themeColor="text2" w:themeShade="BF"/>
              <w:sz w:val="20"/>
              <w:szCs w:val="20"/>
            </w:rPr>
            <w:t>departamentas</w:t>
          </w:r>
        </w:p>
      </w:tc>
      <w:tc>
        <w:tcPr>
          <w:tcW w:w="2409" w:type="dxa"/>
        </w:tcPr>
        <w:p w14:paraId="02DE0391" w14:textId="171CBCFE" w:rsidR="00E956D9" w:rsidRPr="0021377E" w:rsidRDefault="00E956D9" w:rsidP="005E7FEB">
          <w:pPr>
            <w:rPr>
              <w:rFonts w:ascii="Calibri" w:hAnsi="Calibri"/>
              <w:color w:val="323E4F" w:themeColor="text2" w:themeShade="BF"/>
              <w:sz w:val="20"/>
              <w:szCs w:val="20"/>
            </w:rPr>
          </w:pPr>
          <w:r>
            <w:rPr>
              <w:rFonts w:ascii="Calibri" w:hAnsi="Calibri"/>
              <w:color w:val="323E4F" w:themeColor="text2" w:themeShade="BF"/>
              <w:sz w:val="20"/>
              <w:szCs w:val="20"/>
            </w:rPr>
            <w:t xml:space="preserve">      2019 12 </w:t>
          </w:r>
          <w:r w:rsidRPr="0021377E">
            <w:rPr>
              <w:rFonts w:ascii="Calibri" w:hAnsi="Calibri"/>
              <w:color w:val="323E4F" w:themeColor="text2" w:themeShade="BF"/>
              <w:sz w:val="20"/>
              <w:szCs w:val="20"/>
            </w:rPr>
            <w:t>01–201</w:t>
          </w:r>
          <w:r>
            <w:rPr>
              <w:rFonts w:ascii="Calibri" w:hAnsi="Calibri"/>
              <w:color w:val="323E4F" w:themeColor="text2" w:themeShade="BF"/>
              <w:sz w:val="20"/>
              <w:szCs w:val="20"/>
            </w:rPr>
            <w:t xml:space="preserve">9 12 31 </w:t>
          </w:r>
        </w:p>
      </w:tc>
    </w:tr>
  </w:tbl>
  <w:p w14:paraId="7AD15F6C" w14:textId="77777777" w:rsidR="00E956D9" w:rsidRPr="008A0597" w:rsidRDefault="00E956D9">
    <w:pPr>
      <w:pStyle w:val="Antrats"/>
      <w:rPr>
        <w:sz w:val="20"/>
        <w:szCs w:val="20"/>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0602A"/>
    <w:multiLevelType w:val="hybridMultilevel"/>
    <w:tmpl w:val="C7EC575E"/>
    <w:lvl w:ilvl="0" w:tplc="080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1" w15:restartNumberingAfterBreak="0">
    <w:nsid w:val="0A5D48FF"/>
    <w:multiLevelType w:val="multilevel"/>
    <w:tmpl w:val="4F0AC94E"/>
    <w:lvl w:ilvl="0">
      <w:start w:val="1"/>
      <w:numFmt w:val="decimal"/>
      <w:lvlText w:val="%1."/>
      <w:lvlJc w:val="left"/>
      <w:pPr>
        <w:ind w:left="360" w:hanging="360"/>
      </w:pPr>
      <w:rPr>
        <w:b w:val="0"/>
        <w:lang w:val="lt-LT"/>
      </w:rPr>
    </w:lvl>
    <w:lvl w:ilvl="1">
      <w:start w:val="1"/>
      <w:numFmt w:val="decimal"/>
      <w:lvlText w:val="%1.%2."/>
      <w:lvlJc w:val="left"/>
      <w:pPr>
        <w:ind w:left="792" w:hanging="432"/>
      </w:pPr>
      <w:rPr>
        <w:b w:val="0"/>
        <w:sz w:val="24"/>
        <w:szCs w:val="24"/>
      </w:rPr>
    </w:lvl>
    <w:lvl w:ilvl="2">
      <w:start w:val="1"/>
      <w:numFmt w:val="decimal"/>
      <w:lvlText w:val="%1.%2.%3."/>
      <w:lvlJc w:val="left"/>
      <w:pPr>
        <w:ind w:left="1224" w:hanging="504"/>
      </w:pPr>
      <w:rPr>
        <w:b/>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A83068C"/>
    <w:multiLevelType w:val="hybridMultilevel"/>
    <w:tmpl w:val="AE8A69AC"/>
    <w:numStyleLink w:val="ImportedStyle1"/>
  </w:abstractNum>
  <w:abstractNum w:abstractNumId="3" w15:restartNumberingAfterBreak="0">
    <w:nsid w:val="0EB4371A"/>
    <w:multiLevelType w:val="hybridMultilevel"/>
    <w:tmpl w:val="6A04A6BA"/>
    <w:lvl w:ilvl="0" w:tplc="0C6E25AA">
      <w:start w:val="1"/>
      <w:numFmt w:val="decimal"/>
      <w:lvlText w:val="%1."/>
      <w:lvlJc w:val="left"/>
      <w:pPr>
        <w:ind w:left="1069" w:hanging="360"/>
      </w:pPr>
      <w:rPr>
        <w:rFonts w:hint="default"/>
      </w:rPr>
    </w:lvl>
    <w:lvl w:ilvl="1" w:tplc="04270019" w:tentative="1">
      <w:start w:val="1"/>
      <w:numFmt w:val="lowerLetter"/>
      <w:lvlText w:val="%2."/>
      <w:lvlJc w:val="left"/>
      <w:pPr>
        <w:ind w:left="1789" w:hanging="360"/>
      </w:pPr>
    </w:lvl>
    <w:lvl w:ilvl="2" w:tplc="0427001B" w:tentative="1">
      <w:start w:val="1"/>
      <w:numFmt w:val="lowerRoman"/>
      <w:lvlText w:val="%3."/>
      <w:lvlJc w:val="right"/>
      <w:pPr>
        <w:ind w:left="2509" w:hanging="180"/>
      </w:pPr>
    </w:lvl>
    <w:lvl w:ilvl="3" w:tplc="0427000F" w:tentative="1">
      <w:start w:val="1"/>
      <w:numFmt w:val="decimal"/>
      <w:lvlText w:val="%4."/>
      <w:lvlJc w:val="left"/>
      <w:pPr>
        <w:ind w:left="3229" w:hanging="360"/>
      </w:pPr>
    </w:lvl>
    <w:lvl w:ilvl="4" w:tplc="04270019" w:tentative="1">
      <w:start w:val="1"/>
      <w:numFmt w:val="lowerLetter"/>
      <w:lvlText w:val="%5."/>
      <w:lvlJc w:val="left"/>
      <w:pPr>
        <w:ind w:left="3949" w:hanging="360"/>
      </w:pPr>
    </w:lvl>
    <w:lvl w:ilvl="5" w:tplc="0427001B" w:tentative="1">
      <w:start w:val="1"/>
      <w:numFmt w:val="lowerRoman"/>
      <w:lvlText w:val="%6."/>
      <w:lvlJc w:val="right"/>
      <w:pPr>
        <w:ind w:left="4669" w:hanging="180"/>
      </w:pPr>
    </w:lvl>
    <w:lvl w:ilvl="6" w:tplc="0427000F" w:tentative="1">
      <w:start w:val="1"/>
      <w:numFmt w:val="decimal"/>
      <w:lvlText w:val="%7."/>
      <w:lvlJc w:val="left"/>
      <w:pPr>
        <w:ind w:left="5389" w:hanging="360"/>
      </w:pPr>
    </w:lvl>
    <w:lvl w:ilvl="7" w:tplc="04270019" w:tentative="1">
      <w:start w:val="1"/>
      <w:numFmt w:val="lowerLetter"/>
      <w:lvlText w:val="%8."/>
      <w:lvlJc w:val="left"/>
      <w:pPr>
        <w:ind w:left="6109" w:hanging="360"/>
      </w:pPr>
    </w:lvl>
    <w:lvl w:ilvl="8" w:tplc="0427001B" w:tentative="1">
      <w:start w:val="1"/>
      <w:numFmt w:val="lowerRoman"/>
      <w:lvlText w:val="%9."/>
      <w:lvlJc w:val="right"/>
      <w:pPr>
        <w:ind w:left="6829" w:hanging="180"/>
      </w:pPr>
    </w:lvl>
  </w:abstractNum>
  <w:abstractNum w:abstractNumId="4" w15:restartNumberingAfterBreak="0">
    <w:nsid w:val="19FC1CFB"/>
    <w:multiLevelType w:val="multilevel"/>
    <w:tmpl w:val="0B647CDA"/>
    <w:lvl w:ilvl="0">
      <w:start w:val="1"/>
      <w:numFmt w:val="decimal"/>
      <w:lvlText w:val="%1."/>
      <w:lvlJc w:val="left"/>
      <w:pPr>
        <w:ind w:left="360" w:hanging="360"/>
      </w:pPr>
      <w:rPr>
        <w:rFonts w:hint="default"/>
        <w:sz w:val="24"/>
        <w:szCs w:val="24"/>
      </w:rPr>
    </w:lvl>
    <w:lvl w:ilvl="1">
      <w:start w:val="1"/>
      <w:numFmt w:val="decimal"/>
      <w:lvlText w:val="%1.%2."/>
      <w:lvlJc w:val="left"/>
      <w:pPr>
        <w:ind w:left="1283" w:hanging="432"/>
      </w:pPr>
      <w:rPr>
        <w:rFonts w:hint="default"/>
        <w:b w:val="0"/>
        <w:b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C6B484C"/>
    <w:multiLevelType w:val="hybridMultilevel"/>
    <w:tmpl w:val="BEAED27A"/>
    <w:lvl w:ilvl="0" w:tplc="7A44F82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6" w15:restartNumberingAfterBreak="0">
    <w:nsid w:val="2E5F3180"/>
    <w:multiLevelType w:val="multilevel"/>
    <w:tmpl w:val="A3EAF280"/>
    <w:lvl w:ilvl="0">
      <w:start w:val="1"/>
      <w:numFmt w:val="decimal"/>
      <w:lvlText w:val="%1."/>
      <w:lvlJc w:val="left"/>
      <w:pPr>
        <w:ind w:left="2629" w:hanging="360"/>
      </w:pPr>
      <w:rPr>
        <w:rFonts w:ascii="Times New Roman" w:hAnsi="Times New Roman" w:cs="Times New Roman" w:hint="default"/>
        <w:b w:val="0"/>
        <w:i w:val="0"/>
        <w:color w:val="000000"/>
        <w:sz w:val="24"/>
        <w:szCs w:val="24"/>
      </w:rPr>
    </w:lvl>
    <w:lvl w:ilvl="1">
      <w:start w:val="1"/>
      <w:numFmt w:val="decimal"/>
      <w:lvlText w:val="%1.%2."/>
      <w:lvlJc w:val="left"/>
      <w:pPr>
        <w:ind w:left="5962" w:hanging="432"/>
      </w:pPr>
    </w:lvl>
    <w:lvl w:ilvl="2">
      <w:start w:val="1"/>
      <w:numFmt w:val="decimal"/>
      <w:lvlText w:val="%1.%2.%3."/>
      <w:lvlJc w:val="left"/>
      <w:pPr>
        <w:ind w:left="6044" w:hanging="504"/>
      </w:pPr>
    </w:lvl>
    <w:lvl w:ilvl="3">
      <w:start w:val="1"/>
      <w:numFmt w:val="decimal"/>
      <w:lvlText w:val="%1.%2.%3.%4."/>
      <w:lvlJc w:val="left"/>
      <w:pPr>
        <w:ind w:left="6548" w:hanging="648"/>
      </w:pPr>
    </w:lvl>
    <w:lvl w:ilvl="4">
      <w:start w:val="1"/>
      <w:numFmt w:val="decimal"/>
      <w:lvlText w:val="%1.%2.%3.%4.%5."/>
      <w:lvlJc w:val="left"/>
      <w:pPr>
        <w:ind w:left="7052" w:hanging="792"/>
      </w:pPr>
    </w:lvl>
    <w:lvl w:ilvl="5">
      <w:start w:val="1"/>
      <w:numFmt w:val="decimal"/>
      <w:lvlText w:val="%1.%2.%3.%4.%5.%6."/>
      <w:lvlJc w:val="left"/>
      <w:pPr>
        <w:ind w:left="7556" w:hanging="936"/>
      </w:pPr>
    </w:lvl>
    <w:lvl w:ilvl="6">
      <w:start w:val="1"/>
      <w:numFmt w:val="decimal"/>
      <w:lvlText w:val="%1.%2.%3.%4.%5.%6.%7."/>
      <w:lvlJc w:val="left"/>
      <w:pPr>
        <w:ind w:left="8060" w:hanging="1080"/>
      </w:pPr>
    </w:lvl>
    <w:lvl w:ilvl="7">
      <w:start w:val="1"/>
      <w:numFmt w:val="decimal"/>
      <w:lvlText w:val="%1.%2.%3.%4.%5.%6.%7.%8."/>
      <w:lvlJc w:val="left"/>
      <w:pPr>
        <w:ind w:left="8564" w:hanging="1224"/>
      </w:pPr>
    </w:lvl>
    <w:lvl w:ilvl="8">
      <w:start w:val="1"/>
      <w:numFmt w:val="decimal"/>
      <w:lvlText w:val="%1.%2.%3.%4.%5.%6.%7.%8.%9."/>
      <w:lvlJc w:val="left"/>
      <w:pPr>
        <w:ind w:left="9140" w:hanging="1440"/>
      </w:pPr>
    </w:lvl>
  </w:abstractNum>
  <w:abstractNum w:abstractNumId="7" w15:restartNumberingAfterBreak="0">
    <w:nsid w:val="2EB21AFB"/>
    <w:multiLevelType w:val="multilevel"/>
    <w:tmpl w:val="0427001F"/>
    <w:lvl w:ilvl="0">
      <w:start w:val="1"/>
      <w:numFmt w:val="decimal"/>
      <w:lvlText w:val="%1."/>
      <w:lvlJc w:val="left"/>
      <w:pPr>
        <w:ind w:left="6598"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C2305E2"/>
    <w:multiLevelType w:val="hybridMultilevel"/>
    <w:tmpl w:val="AE8A69AC"/>
    <w:styleLink w:val="ImportedStyle1"/>
    <w:lvl w:ilvl="0" w:tplc="72CA3B14">
      <w:start w:val="1"/>
      <w:numFmt w:val="decimal"/>
      <w:lvlText w:val="%1."/>
      <w:lvlJc w:val="left"/>
      <w:pPr>
        <w:tabs>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 w:ilvl="1" w:tplc="CFDCDE0A">
      <w:start w:val="1"/>
      <w:numFmt w:val="lowerLetter"/>
      <w:lvlText w:val="%2."/>
      <w:lvlJc w:val="left"/>
      <w:pPr>
        <w:tabs>
          <w:tab w:val="num" w:pos="1331"/>
        </w:tabs>
        <w:ind w:left="622" w:firstLine="87"/>
      </w:pPr>
      <w:rPr>
        <w:rFonts w:hAnsi="Arial Unicode MS"/>
        <w:caps w:val="0"/>
        <w:smallCaps w:val="0"/>
        <w:strike w:val="0"/>
        <w:dstrike w:val="0"/>
        <w:outline w:val="0"/>
        <w:emboss w:val="0"/>
        <w:imprint w:val="0"/>
        <w:spacing w:val="0"/>
        <w:w w:val="100"/>
        <w:kern w:val="0"/>
        <w:position w:val="0"/>
        <w:highlight w:val="none"/>
        <w:vertAlign w:val="baseline"/>
      </w:rPr>
    </w:lvl>
    <w:lvl w:ilvl="2" w:tplc="E68C4DE2">
      <w:start w:val="1"/>
      <w:numFmt w:val="lowerRoman"/>
      <w:suff w:val="nothing"/>
      <w:lvlText w:val="%3."/>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3" w:tplc="70025BA6">
      <w:start w:val="1"/>
      <w:numFmt w:val="decimal"/>
      <w:lvlText w:val="%4."/>
      <w:lvlJc w:val="left"/>
      <w:pPr>
        <w:tabs>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 w:ilvl="4" w:tplc="748EF882">
      <w:start w:val="1"/>
      <w:numFmt w:val="lowerLetter"/>
      <w:suff w:val="nothing"/>
      <w:lvlText w:val="%5."/>
      <w:lvlJc w:val="left"/>
      <w:pPr>
        <w:tabs>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 w:ilvl="5" w:tplc="30FC9D0C">
      <w:start w:val="1"/>
      <w:numFmt w:val="lowerRoman"/>
      <w:lvlText w:val="%6."/>
      <w:lvlJc w:val="left"/>
      <w:pPr>
        <w:tabs>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 w:ilvl="6" w:tplc="7AC6704C">
      <w:start w:val="1"/>
      <w:numFmt w:val="decimal"/>
      <w:lvlText w:val="%7."/>
      <w:lvlJc w:val="left"/>
      <w:pPr>
        <w:tabs>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 w:ilvl="7" w:tplc="8ED0693C">
      <w:start w:val="1"/>
      <w:numFmt w:val="lowerLetter"/>
      <w:lvlText w:val="%8."/>
      <w:lvlJc w:val="left"/>
      <w:pPr>
        <w:tabs>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 w:ilvl="8" w:tplc="A5F2E4A8">
      <w:start w:val="1"/>
      <w:numFmt w:val="lowerRoman"/>
      <w:lvlText w:val="%9."/>
      <w:lvlJc w:val="left"/>
      <w:pPr>
        <w:tabs>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9" w15:restartNumberingAfterBreak="0">
    <w:nsid w:val="5E262C66"/>
    <w:multiLevelType w:val="hybridMultilevel"/>
    <w:tmpl w:val="DDA20F4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2E94BD0"/>
    <w:multiLevelType w:val="hybridMultilevel"/>
    <w:tmpl w:val="40A0A22A"/>
    <w:lvl w:ilvl="0" w:tplc="88AE034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6C55393C"/>
    <w:multiLevelType w:val="hybridMultilevel"/>
    <w:tmpl w:val="6E2CF6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0D73920"/>
    <w:multiLevelType w:val="multilevel"/>
    <w:tmpl w:val="10E6AD38"/>
    <w:styleLink w:val="WWNum17"/>
    <w:lvl w:ilvl="0">
      <w:start w:val="1"/>
      <w:numFmt w:val="decimal"/>
      <w:lvlText w:val="%1."/>
      <w:lvlJc w:val="left"/>
      <w:pPr>
        <w:ind w:left="1211" w:hanging="360"/>
      </w:pPr>
      <w:rPr>
        <w:i w:val="0"/>
        <w:sz w:val="24"/>
        <w:szCs w:val="24"/>
      </w:rPr>
    </w:lvl>
    <w:lvl w:ilvl="1">
      <w:start w:val="1"/>
      <w:numFmt w:val="decimal"/>
      <w:lvlText w:val="%1.%2."/>
      <w:lvlJc w:val="left"/>
      <w:pPr>
        <w:ind w:left="1211" w:hanging="360"/>
      </w:pPr>
      <w:rPr>
        <w:i w:val="0"/>
        <w:sz w:val="24"/>
        <w:szCs w:val="24"/>
      </w:rPr>
    </w:lvl>
    <w:lvl w:ilvl="2">
      <w:start w:val="1"/>
      <w:numFmt w:val="decimal"/>
      <w:lvlText w:val="%1.%2.%3."/>
      <w:lvlJc w:val="left"/>
      <w:pPr>
        <w:ind w:left="1571" w:hanging="720"/>
      </w:pPr>
    </w:lvl>
    <w:lvl w:ilvl="3">
      <w:start w:val="1"/>
      <w:numFmt w:val="decimal"/>
      <w:lvlText w:val="%1.%2.%3.%4."/>
      <w:lvlJc w:val="left"/>
      <w:pPr>
        <w:ind w:left="1571" w:hanging="720"/>
      </w:pPr>
    </w:lvl>
    <w:lvl w:ilvl="4">
      <w:start w:val="1"/>
      <w:numFmt w:val="decimal"/>
      <w:lvlText w:val="%1.%2.%3.%4.%5."/>
      <w:lvlJc w:val="left"/>
      <w:pPr>
        <w:ind w:left="1931" w:hanging="1080"/>
      </w:pPr>
    </w:lvl>
    <w:lvl w:ilvl="5">
      <w:start w:val="1"/>
      <w:numFmt w:val="decimal"/>
      <w:lvlText w:val="%1.%2.%3.%4.%5.%6."/>
      <w:lvlJc w:val="left"/>
      <w:pPr>
        <w:ind w:left="1931" w:hanging="1080"/>
      </w:pPr>
    </w:lvl>
    <w:lvl w:ilvl="6">
      <w:start w:val="1"/>
      <w:numFmt w:val="decimal"/>
      <w:lvlText w:val="%1.%2.%3.%4.%5.%6.%7."/>
      <w:lvlJc w:val="left"/>
      <w:pPr>
        <w:ind w:left="2291" w:hanging="1440"/>
      </w:pPr>
    </w:lvl>
    <w:lvl w:ilvl="7">
      <w:start w:val="1"/>
      <w:numFmt w:val="decimal"/>
      <w:lvlText w:val="%1.%2.%3.%4.%5.%6.%7.%8."/>
      <w:lvlJc w:val="left"/>
      <w:pPr>
        <w:ind w:left="2291" w:hanging="1440"/>
      </w:pPr>
    </w:lvl>
    <w:lvl w:ilvl="8">
      <w:start w:val="1"/>
      <w:numFmt w:val="decimal"/>
      <w:lvlText w:val="%1.%2.%3.%4.%5.%6.%7.%8.%9."/>
      <w:lvlJc w:val="left"/>
      <w:pPr>
        <w:ind w:left="2651" w:hanging="1800"/>
      </w:pPr>
    </w:lvl>
  </w:abstractNum>
  <w:num w:numId="1">
    <w:abstractNumId w:val="12"/>
  </w:num>
  <w:num w:numId="2">
    <w:abstractNumId w:val="7"/>
  </w:num>
  <w:num w:numId="3">
    <w:abstractNumId w:val="3"/>
  </w:num>
  <w:num w:numId="4">
    <w:abstractNumId w:val="1"/>
  </w:num>
  <w:num w:numId="5">
    <w:abstractNumId w:val="8"/>
  </w:num>
  <w:num w:numId="6">
    <w:abstractNumId w:val="2"/>
    <w:lvlOverride w:ilvl="0">
      <w:lvl w:ilvl="0" w:tplc="62F26DD8">
        <w:start w:val="1"/>
        <w:numFmt w:val="decimal"/>
        <w:lvlText w:val="%1."/>
        <w:lvlJc w:val="left"/>
        <w:pPr>
          <w:tabs>
            <w:tab w:val="left" w:pos="710"/>
            <w:tab w:val="num" w:pos="1134"/>
          </w:tabs>
          <w:ind w:left="425" w:firstLine="284"/>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tplc="8E2C9972">
        <w:start w:val="1"/>
        <w:numFmt w:val="lowerLetter"/>
        <w:lvlText w:val="%2."/>
        <w:lvlJc w:val="left"/>
        <w:pPr>
          <w:tabs>
            <w:tab w:val="left" w:pos="710"/>
            <w:tab w:val="num" w:pos="907"/>
            <w:tab w:val="left" w:pos="1134"/>
          </w:tabs>
          <w:ind w:left="198" w:firstLine="511"/>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2222FBF8">
        <w:start w:val="1"/>
        <w:numFmt w:val="lowerRoman"/>
        <w:suff w:val="nothing"/>
        <w:lvlText w:val="%3."/>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ED1E5CB2">
        <w:start w:val="1"/>
        <w:numFmt w:val="decimal"/>
        <w:lvlText w:val="%4."/>
        <w:lvlJc w:val="left"/>
        <w:pPr>
          <w:tabs>
            <w:tab w:val="left" w:pos="710"/>
            <w:tab w:val="num" w:pos="1349"/>
          </w:tabs>
          <w:ind w:left="640" w:firstLine="6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6A8CE768">
        <w:start w:val="1"/>
        <w:numFmt w:val="lowerLetter"/>
        <w:suff w:val="nothing"/>
        <w:lvlText w:val="%5."/>
        <w:lvlJc w:val="left"/>
        <w:pPr>
          <w:tabs>
            <w:tab w:val="left" w:pos="710"/>
            <w:tab w:val="left" w:pos="1134"/>
          </w:tabs>
          <w:ind w:left="120" w:firstLine="58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1A20B8AC">
        <w:start w:val="1"/>
        <w:numFmt w:val="lowerRoman"/>
        <w:lvlText w:val="%6."/>
        <w:lvlJc w:val="left"/>
        <w:pPr>
          <w:tabs>
            <w:tab w:val="left" w:pos="710"/>
            <w:tab w:val="num" w:pos="1130"/>
            <w:tab w:val="left" w:pos="1134"/>
          </w:tabs>
          <w:ind w:left="421" w:firstLine="288"/>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20D03A62">
        <w:start w:val="1"/>
        <w:numFmt w:val="decimal"/>
        <w:lvlText w:val="%7."/>
        <w:lvlJc w:val="left"/>
        <w:pPr>
          <w:tabs>
            <w:tab w:val="left" w:pos="710"/>
            <w:tab w:val="num" w:pos="1557"/>
          </w:tabs>
          <w:ind w:left="848" w:hanging="139"/>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51E4E964">
        <w:start w:val="1"/>
        <w:numFmt w:val="lowerLetter"/>
        <w:lvlText w:val="%8."/>
        <w:lvlJc w:val="left"/>
        <w:pPr>
          <w:tabs>
            <w:tab w:val="left" w:pos="710"/>
            <w:tab w:val="left" w:pos="1134"/>
            <w:tab w:val="num" w:pos="1857"/>
          </w:tabs>
          <w:ind w:left="1148" w:firstLine="35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35CC4BAE">
        <w:start w:val="1"/>
        <w:numFmt w:val="lowerRoman"/>
        <w:lvlText w:val="%9."/>
        <w:lvlJc w:val="left"/>
        <w:pPr>
          <w:tabs>
            <w:tab w:val="left" w:pos="710"/>
            <w:tab w:val="left" w:pos="1134"/>
            <w:tab w:val="num" w:pos="2577"/>
          </w:tabs>
          <w:ind w:left="1868" w:firstLine="224"/>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7">
    <w:abstractNumId w:val="2"/>
  </w:num>
  <w:num w:numId="8">
    <w:abstractNumId w:val="0"/>
  </w:num>
  <w:num w:numId="9">
    <w:abstractNumId w:val="10"/>
  </w:num>
  <w:num w:numId="10">
    <w:abstractNumId w:val="9"/>
  </w:num>
  <w:num w:numId="11">
    <w:abstractNumId w:val="11"/>
  </w:num>
  <w:num w:numId="12">
    <w:abstractNumId w:val="5"/>
  </w:num>
  <w:num w:numId="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hideSpellingErrors/>
  <w:hideGrammaticalErrors/>
  <w:proofState w:spelling="clean" w:grammar="clean"/>
  <w:defaultTabStop w:val="1296"/>
  <w:hyphenationZone w:val="396"/>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4C15"/>
    <w:rsid w:val="00000CF1"/>
    <w:rsid w:val="0000181D"/>
    <w:rsid w:val="00001B52"/>
    <w:rsid w:val="00001F07"/>
    <w:rsid w:val="00002966"/>
    <w:rsid w:val="00002A22"/>
    <w:rsid w:val="00002CB5"/>
    <w:rsid w:val="00002F90"/>
    <w:rsid w:val="000046DE"/>
    <w:rsid w:val="00005391"/>
    <w:rsid w:val="00005A31"/>
    <w:rsid w:val="00005A36"/>
    <w:rsid w:val="000064C2"/>
    <w:rsid w:val="00006E86"/>
    <w:rsid w:val="000075AF"/>
    <w:rsid w:val="00007A79"/>
    <w:rsid w:val="00007AE0"/>
    <w:rsid w:val="00010516"/>
    <w:rsid w:val="0001086D"/>
    <w:rsid w:val="000113E1"/>
    <w:rsid w:val="000130FA"/>
    <w:rsid w:val="0001338B"/>
    <w:rsid w:val="0001374D"/>
    <w:rsid w:val="00013D25"/>
    <w:rsid w:val="00014130"/>
    <w:rsid w:val="00014148"/>
    <w:rsid w:val="00014C00"/>
    <w:rsid w:val="0001541F"/>
    <w:rsid w:val="00016443"/>
    <w:rsid w:val="00017230"/>
    <w:rsid w:val="0001760A"/>
    <w:rsid w:val="00017C67"/>
    <w:rsid w:val="00017F45"/>
    <w:rsid w:val="00020A68"/>
    <w:rsid w:val="00020BE8"/>
    <w:rsid w:val="00021869"/>
    <w:rsid w:val="00021C5E"/>
    <w:rsid w:val="000232BE"/>
    <w:rsid w:val="000238BA"/>
    <w:rsid w:val="00024FF5"/>
    <w:rsid w:val="00025504"/>
    <w:rsid w:val="000256A0"/>
    <w:rsid w:val="00025BA1"/>
    <w:rsid w:val="000262CF"/>
    <w:rsid w:val="00026349"/>
    <w:rsid w:val="00027DF8"/>
    <w:rsid w:val="00030179"/>
    <w:rsid w:val="00030614"/>
    <w:rsid w:val="0003114D"/>
    <w:rsid w:val="0003198A"/>
    <w:rsid w:val="00031F67"/>
    <w:rsid w:val="00033126"/>
    <w:rsid w:val="00033C55"/>
    <w:rsid w:val="00034291"/>
    <w:rsid w:val="00034C6D"/>
    <w:rsid w:val="00034F46"/>
    <w:rsid w:val="00035916"/>
    <w:rsid w:val="00035BB7"/>
    <w:rsid w:val="00035E28"/>
    <w:rsid w:val="000361AE"/>
    <w:rsid w:val="00036B29"/>
    <w:rsid w:val="00037C27"/>
    <w:rsid w:val="00037D5F"/>
    <w:rsid w:val="00040EBD"/>
    <w:rsid w:val="0004105D"/>
    <w:rsid w:val="0004324F"/>
    <w:rsid w:val="000437A2"/>
    <w:rsid w:val="00043CD9"/>
    <w:rsid w:val="00043FA6"/>
    <w:rsid w:val="000446AC"/>
    <w:rsid w:val="00044F1B"/>
    <w:rsid w:val="00045020"/>
    <w:rsid w:val="000458C0"/>
    <w:rsid w:val="00045B8E"/>
    <w:rsid w:val="00045C20"/>
    <w:rsid w:val="00046189"/>
    <w:rsid w:val="00046B5B"/>
    <w:rsid w:val="00046E01"/>
    <w:rsid w:val="00047043"/>
    <w:rsid w:val="00047F10"/>
    <w:rsid w:val="00050321"/>
    <w:rsid w:val="00050657"/>
    <w:rsid w:val="00050891"/>
    <w:rsid w:val="00050B91"/>
    <w:rsid w:val="00050CE1"/>
    <w:rsid w:val="00051F4C"/>
    <w:rsid w:val="00051FCA"/>
    <w:rsid w:val="00052995"/>
    <w:rsid w:val="00052FC4"/>
    <w:rsid w:val="000532AC"/>
    <w:rsid w:val="000536F6"/>
    <w:rsid w:val="000545FE"/>
    <w:rsid w:val="000546B9"/>
    <w:rsid w:val="000546D1"/>
    <w:rsid w:val="0005480A"/>
    <w:rsid w:val="00055759"/>
    <w:rsid w:val="0005601D"/>
    <w:rsid w:val="0005610D"/>
    <w:rsid w:val="00057DF4"/>
    <w:rsid w:val="000608A3"/>
    <w:rsid w:val="000611FF"/>
    <w:rsid w:val="0006157E"/>
    <w:rsid w:val="0006163D"/>
    <w:rsid w:val="0006177A"/>
    <w:rsid w:val="00061B35"/>
    <w:rsid w:val="00061D97"/>
    <w:rsid w:val="000641D7"/>
    <w:rsid w:val="000641F6"/>
    <w:rsid w:val="00064654"/>
    <w:rsid w:val="00064CB1"/>
    <w:rsid w:val="000650DE"/>
    <w:rsid w:val="000660B9"/>
    <w:rsid w:val="000664DB"/>
    <w:rsid w:val="00066917"/>
    <w:rsid w:val="00066F18"/>
    <w:rsid w:val="0006729D"/>
    <w:rsid w:val="0006745F"/>
    <w:rsid w:val="000674B2"/>
    <w:rsid w:val="0006759B"/>
    <w:rsid w:val="00067FB8"/>
    <w:rsid w:val="0007050C"/>
    <w:rsid w:val="00070614"/>
    <w:rsid w:val="00070B4D"/>
    <w:rsid w:val="00070F1E"/>
    <w:rsid w:val="00071022"/>
    <w:rsid w:val="00072C40"/>
    <w:rsid w:val="000738BB"/>
    <w:rsid w:val="00073B21"/>
    <w:rsid w:val="00073B99"/>
    <w:rsid w:val="00073F44"/>
    <w:rsid w:val="000744E9"/>
    <w:rsid w:val="00074E76"/>
    <w:rsid w:val="00075247"/>
    <w:rsid w:val="000752AE"/>
    <w:rsid w:val="0007560C"/>
    <w:rsid w:val="00075877"/>
    <w:rsid w:val="000763FB"/>
    <w:rsid w:val="00076882"/>
    <w:rsid w:val="00076920"/>
    <w:rsid w:val="00076972"/>
    <w:rsid w:val="00076BBD"/>
    <w:rsid w:val="00076D36"/>
    <w:rsid w:val="0007786B"/>
    <w:rsid w:val="000779F9"/>
    <w:rsid w:val="00080B12"/>
    <w:rsid w:val="00080C5A"/>
    <w:rsid w:val="00081450"/>
    <w:rsid w:val="00081734"/>
    <w:rsid w:val="00082913"/>
    <w:rsid w:val="00082A2D"/>
    <w:rsid w:val="0008302F"/>
    <w:rsid w:val="00083E78"/>
    <w:rsid w:val="00084172"/>
    <w:rsid w:val="00084279"/>
    <w:rsid w:val="00084D99"/>
    <w:rsid w:val="000853D2"/>
    <w:rsid w:val="0008597D"/>
    <w:rsid w:val="00085E0F"/>
    <w:rsid w:val="00086F37"/>
    <w:rsid w:val="00087DA3"/>
    <w:rsid w:val="00087F0A"/>
    <w:rsid w:val="0009023A"/>
    <w:rsid w:val="000903B8"/>
    <w:rsid w:val="000904B8"/>
    <w:rsid w:val="00091B33"/>
    <w:rsid w:val="00091EE2"/>
    <w:rsid w:val="00092976"/>
    <w:rsid w:val="00092E83"/>
    <w:rsid w:val="00094290"/>
    <w:rsid w:val="0009591E"/>
    <w:rsid w:val="00095E50"/>
    <w:rsid w:val="00096A7B"/>
    <w:rsid w:val="000977FE"/>
    <w:rsid w:val="00097D04"/>
    <w:rsid w:val="000A1143"/>
    <w:rsid w:val="000A2ACD"/>
    <w:rsid w:val="000A39F4"/>
    <w:rsid w:val="000A3A7B"/>
    <w:rsid w:val="000A48C7"/>
    <w:rsid w:val="000A533A"/>
    <w:rsid w:val="000A5DF8"/>
    <w:rsid w:val="000A6981"/>
    <w:rsid w:val="000A7295"/>
    <w:rsid w:val="000A7A94"/>
    <w:rsid w:val="000B07AF"/>
    <w:rsid w:val="000B0DB3"/>
    <w:rsid w:val="000B0F24"/>
    <w:rsid w:val="000B0F96"/>
    <w:rsid w:val="000B15D3"/>
    <w:rsid w:val="000B16C8"/>
    <w:rsid w:val="000B189F"/>
    <w:rsid w:val="000B1AF3"/>
    <w:rsid w:val="000B1B87"/>
    <w:rsid w:val="000B200F"/>
    <w:rsid w:val="000B29D3"/>
    <w:rsid w:val="000B2D36"/>
    <w:rsid w:val="000B2EF7"/>
    <w:rsid w:val="000B466D"/>
    <w:rsid w:val="000B4BA2"/>
    <w:rsid w:val="000B4F48"/>
    <w:rsid w:val="000B53F8"/>
    <w:rsid w:val="000B5CA5"/>
    <w:rsid w:val="000B5F7A"/>
    <w:rsid w:val="000B6099"/>
    <w:rsid w:val="000B630C"/>
    <w:rsid w:val="000B6917"/>
    <w:rsid w:val="000B6970"/>
    <w:rsid w:val="000B7172"/>
    <w:rsid w:val="000B7B87"/>
    <w:rsid w:val="000B7E29"/>
    <w:rsid w:val="000C05E3"/>
    <w:rsid w:val="000C0EFB"/>
    <w:rsid w:val="000C0FC4"/>
    <w:rsid w:val="000C3304"/>
    <w:rsid w:val="000C3364"/>
    <w:rsid w:val="000C338C"/>
    <w:rsid w:val="000C4189"/>
    <w:rsid w:val="000C45A4"/>
    <w:rsid w:val="000C45FB"/>
    <w:rsid w:val="000C46F2"/>
    <w:rsid w:val="000C523F"/>
    <w:rsid w:val="000C5D18"/>
    <w:rsid w:val="000C6090"/>
    <w:rsid w:val="000C66E5"/>
    <w:rsid w:val="000C6BFD"/>
    <w:rsid w:val="000C7D39"/>
    <w:rsid w:val="000C7EA9"/>
    <w:rsid w:val="000D0F76"/>
    <w:rsid w:val="000D24DC"/>
    <w:rsid w:val="000D282A"/>
    <w:rsid w:val="000D42DA"/>
    <w:rsid w:val="000D607E"/>
    <w:rsid w:val="000D613F"/>
    <w:rsid w:val="000D6259"/>
    <w:rsid w:val="000D641E"/>
    <w:rsid w:val="000D6B6F"/>
    <w:rsid w:val="000D6D2E"/>
    <w:rsid w:val="000D7545"/>
    <w:rsid w:val="000D7B2B"/>
    <w:rsid w:val="000D7E2A"/>
    <w:rsid w:val="000E00E4"/>
    <w:rsid w:val="000E05F1"/>
    <w:rsid w:val="000E06F6"/>
    <w:rsid w:val="000E0A69"/>
    <w:rsid w:val="000E0E17"/>
    <w:rsid w:val="000E1021"/>
    <w:rsid w:val="000E124F"/>
    <w:rsid w:val="000E171C"/>
    <w:rsid w:val="000E1F23"/>
    <w:rsid w:val="000E1FB4"/>
    <w:rsid w:val="000E2D3D"/>
    <w:rsid w:val="000E3BCE"/>
    <w:rsid w:val="000E4080"/>
    <w:rsid w:val="000E43AC"/>
    <w:rsid w:val="000E4B13"/>
    <w:rsid w:val="000E4D96"/>
    <w:rsid w:val="000E52D8"/>
    <w:rsid w:val="000E5B1F"/>
    <w:rsid w:val="000E733A"/>
    <w:rsid w:val="000E768E"/>
    <w:rsid w:val="000F0AC2"/>
    <w:rsid w:val="000F0DB2"/>
    <w:rsid w:val="000F10B9"/>
    <w:rsid w:val="000F12B8"/>
    <w:rsid w:val="000F1C77"/>
    <w:rsid w:val="000F2745"/>
    <w:rsid w:val="000F27F0"/>
    <w:rsid w:val="000F2CE7"/>
    <w:rsid w:val="000F32EB"/>
    <w:rsid w:val="000F3F88"/>
    <w:rsid w:val="000F4990"/>
    <w:rsid w:val="000F51E8"/>
    <w:rsid w:val="000F5D10"/>
    <w:rsid w:val="000F6C25"/>
    <w:rsid w:val="000F6E87"/>
    <w:rsid w:val="000F7F53"/>
    <w:rsid w:val="001002EB"/>
    <w:rsid w:val="00100755"/>
    <w:rsid w:val="001014A9"/>
    <w:rsid w:val="001018C5"/>
    <w:rsid w:val="00101B47"/>
    <w:rsid w:val="00101C1A"/>
    <w:rsid w:val="00101C75"/>
    <w:rsid w:val="001025CD"/>
    <w:rsid w:val="001029F4"/>
    <w:rsid w:val="00102FB6"/>
    <w:rsid w:val="001035B6"/>
    <w:rsid w:val="001044C5"/>
    <w:rsid w:val="001060AB"/>
    <w:rsid w:val="001063A0"/>
    <w:rsid w:val="00106A7D"/>
    <w:rsid w:val="0010733D"/>
    <w:rsid w:val="00110509"/>
    <w:rsid w:val="00110772"/>
    <w:rsid w:val="00110B80"/>
    <w:rsid w:val="00112122"/>
    <w:rsid w:val="001122B8"/>
    <w:rsid w:val="0011266F"/>
    <w:rsid w:val="00112D29"/>
    <w:rsid w:val="001132D8"/>
    <w:rsid w:val="00113435"/>
    <w:rsid w:val="001135A4"/>
    <w:rsid w:val="00113802"/>
    <w:rsid w:val="001142A1"/>
    <w:rsid w:val="00114A19"/>
    <w:rsid w:val="00114CBE"/>
    <w:rsid w:val="00115A7B"/>
    <w:rsid w:val="0011613B"/>
    <w:rsid w:val="0011627C"/>
    <w:rsid w:val="00117BD5"/>
    <w:rsid w:val="00117D56"/>
    <w:rsid w:val="001200FC"/>
    <w:rsid w:val="001206C8"/>
    <w:rsid w:val="001206FB"/>
    <w:rsid w:val="00121181"/>
    <w:rsid w:val="0012143E"/>
    <w:rsid w:val="001224BE"/>
    <w:rsid w:val="00122887"/>
    <w:rsid w:val="0012368B"/>
    <w:rsid w:val="001242A9"/>
    <w:rsid w:val="0012444E"/>
    <w:rsid w:val="0012446E"/>
    <w:rsid w:val="00125287"/>
    <w:rsid w:val="00125BDC"/>
    <w:rsid w:val="00125FC8"/>
    <w:rsid w:val="00126AFD"/>
    <w:rsid w:val="00126DDF"/>
    <w:rsid w:val="001276F1"/>
    <w:rsid w:val="00127767"/>
    <w:rsid w:val="00127D7A"/>
    <w:rsid w:val="001302A3"/>
    <w:rsid w:val="001304C9"/>
    <w:rsid w:val="001305A8"/>
    <w:rsid w:val="00131194"/>
    <w:rsid w:val="00131290"/>
    <w:rsid w:val="001315C0"/>
    <w:rsid w:val="00132328"/>
    <w:rsid w:val="001324EF"/>
    <w:rsid w:val="00132B36"/>
    <w:rsid w:val="00132ED5"/>
    <w:rsid w:val="00134825"/>
    <w:rsid w:val="00134881"/>
    <w:rsid w:val="00134F11"/>
    <w:rsid w:val="001364B3"/>
    <w:rsid w:val="00137D41"/>
    <w:rsid w:val="00137FBD"/>
    <w:rsid w:val="00140059"/>
    <w:rsid w:val="0014071C"/>
    <w:rsid w:val="00140D6D"/>
    <w:rsid w:val="00141524"/>
    <w:rsid w:val="00141536"/>
    <w:rsid w:val="00141DE3"/>
    <w:rsid w:val="00141E16"/>
    <w:rsid w:val="00141ED3"/>
    <w:rsid w:val="00142479"/>
    <w:rsid w:val="00142B27"/>
    <w:rsid w:val="00143256"/>
    <w:rsid w:val="0014360F"/>
    <w:rsid w:val="00144240"/>
    <w:rsid w:val="001448A8"/>
    <w:rsid w:val="00144C08"/>
    <w:rsid w:val="00144CAC"/>
    <w:rsid w:val="00144EAC"/>
    <w:rsid w:val="001450EC"/>
    <w:rsid w:val="001454BB"/>
    <w:rsid w:val="00145540"/>
    <w:rsid w:val="00145AF2"/>
    <w:rsid w:val="00145BCF"/>
    <w:rsid w:val="00146B4E"/>
    <w:rsid w:val="001502B3"/>
    <w:rsid w:val="00150B38"/>
    <w:rsid w:val="00151D5D"/>
    <w:rsid w:val="001521A0"/>
    <w:rsid w:val="00152840"/>
    <w:rsid w:val="00152D73"/>
    <w:rsid w:val="00152FD9"/>
    <w:rsid w:val="0015377A"/>
    <w:rsid w:val="00154014"/>
    <w:rsid w:val="001544D2"/>
    <w:rsid w:val="001556AC"/>
    <w:rsid w:val="00155EAA"/>
    <w:rsid w:val="00156AFE"/>
    <w:rsid w:val="00157368"/>
    <w:rsid w:val="00160700"/>
    <w:rsid w:val="00161759"/>
    <w:rsid w:val="00162692"/>
    <w:rsid w:val="00162DD2"/>
    <w:rsid w:val="00162DE5"/>
    <w:rsid w:val="00163F5B"/>
    <w:rsid w:val="0016628D"/>
    <w:rsid w:val="00166EB9"/>
    <w:rsid w:val="001671AE"/>
    <w:rsid w:val="0016762E"/>
    <w:rsid w:val="0017058A"/>
    <w:rsid w:val="001707A2"/>
    <w:rsid w:val="00170ABD"/>
    <w:rsid w:val="00170CDB"/>
    <w:rsid w:val="00170D65"/>
    <w:rsid w:val="00171042"/>
    <w:rsid w:val="001719D0"/>
    <w:rsid w:val="00172A8F"/>
    <w:rsid w:val="00172D2B"/>
    <w:rsid w:val="00173611"/>
    <w:rsid w:val="001738F3"/>
    <w:rsid w:val="0017480C"/>
    <w:rsid w:val="001756EA"/>
    <w:rsid w:val="0018007F"/>
    <w:rsid w:val="00180278"/>
    <w:rsid w:val="00181674"/>
    <w:rsid w:val="00181CED"/>
    <w:rsid w:val="00181E4B"/>
    <w:rsid w:val="00182145"/>
    <w:rsid w:val="00182789"/>
    <w:rsid w:val="001828DD"/>
    <w:rsid w:val="00182986"/>
    <w:rsid w:val="001839DE"/>
    <w:rsid w:val="001841D9"/>
    <w:rsid w:val="0018451A"/>
    <w:rsid w:val="0018481C"/>
    <w:rsid w:val="00184EE7"/>
    <w:rsid w:val="001853A2"/>
    <w:rsid w:val="001853F7"/>
    <w:rsid w:val="001857DA"/>
    <w:rsid w:val="00185D79"/>
    <w:rsid w:val="001867B8"/>
    <w:rsid w:val="0018693C"/>
    <w:rsid w:val="0018716C"/>
    <w:rsid w:val="00187B29"/>
    <w:rsid w:val="00187E5E"/>
    <w:rsid w:val="00190668"/>
    <w:rsid w:val="00190D8E"/>
    <w:rsid w:val="0019118E"/>
    <w:rsid w:val="00191649"/>
    <w:rsid w:val="00191ADC"/>
    <w:rsid w:val="001921AE"/>
    <w:rsid w:val="00192542"/>
    <w:rsid w:val="001927BE"/>
    <w:rsid w:val="00193329"/>
    <w:rsid w:val="00193907"/>
    <w:rsid w:val="001942E9"/>
    <w:rsid w:val="00194945"/>
    <w:rsid w:val="00195E5C"/>
    <w:rsid w:val="001964BA"/>
    <w:rsid w:val="00196BE4"/>
    <w:rsid w:val="001979F8"/>
    <w:rsid w:val="001A0189"/>
    <w:rsid w:val="001A01BD"/>
    <w:rsid w:val="001A036A"/>
    <w:rsid w:val="001A0565"/>
    <w:rsid w:val="001A0A78"/>
    <w:rsid w:val="001A0B5D"/>
    <w:rsid w:val="001A0CA7"/>
    <w:rsid w:val="001A1122"/>
    <w:rsid w:val="001A14C1"/>
    <w:rsid w:val="001A1FA5"/>
    <w:rsid w:val="001A2401"/>
    <w:rsid w:val="001A2AFB"/>
    <w:rsid w:val="001A4AFC"/>
    <w:rsid w:val="001A5310"/>
    <w:rsid w:val="001A59DF"/>
    <w:rsid w:val="001A6208"/>
    <w:rsid w:val="001A6277"/>
    <w:rsid w:val="001A68BC"/>
    <w:rsid w:val="001A6C29"/>
    <w:rsid w:val="001A7289"/>
    <w:rsid w:val="001A72D2"/>
    <w:rsid w:val="001B04D7"/>
    <w:rsid w:val="001B1824"/>
    <w:rsid w:val="001B1CF4"/>
    <w:rsid w:val="001B22F3"/>
    <w:rsid w:val="001B23D1"/>
    <w:rsid w:val="001B27E9"/>
    <w:rsid w:val="001B2CA1"/>
    <w:rsid w:val="001B3153"/>
    <w:rsid w:val="001B3924"/>
    <w:rsid w:val="001B3AE0"/>
    <w:rsid w:val="001B3DC8"/>
    <w:rsid w:val="001B4548"/>
    <w:rsid w:val="001B5075"/>
    <w:rsid w:val="001B5307"/>
    <w:rsid w:val="001B5FBA"/>
    <w:rsid w:val="001B6E68"/>
    <w:rsid w:val="001B7187"/>
    <w:rsid w:val="001B7319"/>
    <w:rsid w:val="001B7697"/>
    <w:rsid w:val="001C0AF1"/>
    <w:rsid w:val="001C1E42"/>
    <w:rsid w:val="001C296B"/>
    <w:rsid w:val="001C2CF1"/>
    <w:rsid w:val="001C36A5"/>
    <w:rsid w:val="001C3F98"/>
    <w:rsid w:val="001C40C6"/>
    <w:rsid w:val="001C482B"/>
    <w:rsid w:val="001C5364"/>
    <w:rsid w:val="001C55DF"/>
    <w:rsid w:val="001C597B"/>
    <w:rsid w:val="001C5A1C"/>
    <w:rsid w:val="001C5B3C"/>
    <w:rsid w:val="001C5B7F"/>
    <w:rsid w:val="001C656F"/>
    <w:rsid w:val="001C6C69"/>
    <w:rsid w:val="001C6DCE"/>
    <w:rsid w:val="001C7EF0"/>
    <w:rsid w:val="001D0441"/>
    <w:rsid w:val="001D1087"/>
    <w:rsid w:val="001D12CB"/>
    <w:rsid w:val="001D134A"/>
    <w:rsid w:val="001D1734"/>
    <w:rsid w:val="001D19F6"/>
    <w:rsid w:val="001D1B05"/>
    <w:rsid w:val="001D1D4D"/>
    <w:rsid w:val="001D2019"/>
    <w:rsid w:val="001D2D45"/>
    <w:rsid w:val="001D32CA"/>
    <w:rsid w:val="001D3FB2"/>
    <w:rsid w:val="001D4040"/>
    <w:rsid w:val="001D540C"/>
    <w:rsid w:val="001D6103"/>
    <w:rsid w:val="001D636C"/>
    <w:rsid w:val="001D6386"/>
    <w:rsid w:val="001D64D2"/>
    <w:rsid w:val="001D7408"/>
    <w:rsid w:val="001D7992"/>
    <w:rsid w:val="001E0CA3"/>
    <w:rsid w:val="001E11D8"/>
    <w:rsid w:val="001E13E4"/>
    <w:rsid w:val="001E15E7"/>
    <w:rsid w:val="001E27E5"/>
    <w:rsid w:val="001E3582"/>
    <w:rsid w:val="001E3F5A"/>
    <w:rsid w:val="001E4460"/>
    <w:rsid w:val="001E44D3"/>
    <w:rsid w:val="001E45B4"/>
    <w:rsid w:val="001E549C"/>
    <w:rsid w:val="001E57E3"/>
    <w:rsid w:val="001E6108"/>
    <w:rsid w:val="001E64EE"/>
    <w:rsid w:val="001E69FA"/>
    <w:rsid w:val="001E6B93"/>
    <w:rsid w:val="001F0A80"/>
    <w:rsid w:val="001F122F"/>
    <w:rsid w:val="001F14F6"/>
    <w:rsid w:val="001F207C"/>
    <w:rsid w:val="001F2A6C"/>
    <w:rsid w:val="001F2C3C"/>
    <w:rsid w:val="001F2E5F"/>
    <w:rsid w:val="001F3487"/>
    <w:rsid w:val="001F35CD"/>
    <w:rsid w:val="001F376B"/>
    <w:rsid w:val="001F3775"/>
    <w:rsid w:val="001F382F"/>
    <w:rsid w:val="001F4C1C"/>
    <w:rsid w:val="001F5959"/>
    <w:rsid w:val="001F5990"/>
    <w:rsid w:val="001F5B62"/>
    <w:rsid w:val="001F6068"/>
    <w:rsid w:val="001F7D80"/>
    <w:rsid w:val="0020035C"/>
    <w:rsid w:val="002003FC"/>
    <w:rsid w:val="0020061B"/>
    <w:rsid w:val="002025A7"/>
    <w:rsid w:val="00203A1F"/>
    <w:rsid w:val="00203B59"/>
    <w:rsid w:val="0020434C"/>
    <w:rsid w:val="00205621"/>
    <w:rsid w:val="00207EE9"/>
    <w:rsid w:val="00210172"/>
    <w:rsid w:val="002114C4"/>
    <w:rsid w:val="00211A1D"/>
    <w:rsid w:val="00212775"/>
    <w:rsid w:val="00212E45"/>
    <w:rsid w:val="002134F3"/>
    <w:rsid w:val="002139E6"/>
    <w:rsid w:val="00213D20"/>
    <w:rsid w:val="00214621"/>
    <w:rsid w:val="0021479A"/>
    <w:rsid w:val="00215358"/>
    <w:rsid w:val="00217251"/>
    <w:rsid w:val="00217AFE"/>
    <w:rsid w:val="00220323"/>
    <w:rsid w:val="002205E6"/>
    <w:rsid w:val="0022124C"/>
    <w:rsid w:val="002212C4"/>
    <w:rsid w:val="0022178B"/>
    <w:rsid w:val="002217CE"/>
    <w:rsid w:val="0022247A"/>
    <w:rsid w:val="00222CE9"/>
    <w:rsid w:val="00222F3F"/>
    <w:rsid w:val="002231BF"/>
    <w:rsid w:val="0022338C"/>
    <w:rsid w:val="00223858"/>
    <w:rsid w:val="00223EF4"/>
    <w:rsid w:val="00223FBB"/>
    <w:rsid w:val="002253D7"/>
    <w:rsid w:val="00225711"/>
    <w:rsid w:val="00225AF5"/>
    <w:rsid w:val="00225FA1"/>
    <w:rsid w:val="00226E38"/>
    <w:rsid w:val="0022758F"/>
    <w:rsid w:val="0022777A"/>
    <w:rsid w:val="00227AAC"/>
    <w:rsid w:val="00230824"/>
    <w:rsid w:val="00231026"/>
    <w:rsid w:val="00231487"/>
    <w:rsid w:val="0023257B"/>
    <w:rsid w:val="00232754"/>
    <w:rsid w:val="002328D5"/>
    <w:rsid w:val="002328FF"/>
    <w:rsid w:val="00232BAE"/>
    <w:rsid w:val="00232F4C"/>
    <w:rsid w:val="00233956"/>
    <w:rsid w:val="00233FF0"/>
    <w:rsid w:val="00234560"/>
    <w:rsid w:val="00234DF2"/>
    <w:rsid w:val="002351C2"/>
    <w:rsid w:val="00235502"/>
    <w:rsid w:val="00235C9E"/>
    <w:rsid w:val="002360DF"/>
    <w:rsid w:val="00236946"/>
    <w:rsid w:val="00236B93"/>
    <w:rsid w:val="002375C1"/>
    <w:rsid w:val="00237873"/>
    <w:rsid w:val="002378C2"/>
    <w:rsid w:val="00237FCA"/>
    <w:rsid w:val="00240307"/>
    <w:rsid w:val="00240690"/>
    <w:rsid w:val="0024110E"/>
    <w:rsid w:val="0024119E"/>
    <w:rsid w:val="002417A7"/>
    <w:rsid w:val="002425B8"/>
    <w:rsid w:val="002427B8"/>
    <w:rsid w:val="00242839"/>
    <w:rsid w:val="00242DA7"/>
    <w:rsid w:val="00243C8E"/>
    <w:rsid w:val="00244840"/>
    <w:rsid w:val="002450A6"/>
    <w:rsid w:val="00245F2C"/>
    <w:rsid w:val="0024642C"/>
    <w:rsid w:val="00246AAC"/>
    <w:rsid w:val="002507A6"/>
    <w:rsid w:val="0025160A"/>
    <w:rsid w:val="00251841"/>
    <w:rsid w:val="00251873"/>
    <w:rsid w:val="00251889"/>
    <w:rsid w:val="002522BC"/>
    <w:rsid w:val="00252880"/>
    <w:rsid w:val="00252FE9"/>
    <w:rsid w:val="00253D0F"/>
    <w:rsid w:val="00254EF7"/>
    <w:rsid w:val="00255A8F"/>
    <w:rsid w:val="00255CED"/>
    <w:rsid w:val="002563FE"/>
    <w:rsid w:val="00256465"/>
    <w:rsid w:val="00256EFF"/>
    <w:rsid w:val="00256F1C"/>
    <w:rsid w:val="002571EB"/>
    <w:rsid w:val="00257271"/>
    <w:rsid w:val="002574C5"/>
    <w:rsid w:val="00260C34"/>
    <w:rsid w:val="002617EB"/>
    <w:rsid w:val="002618A4"/>
    <w:rsid w:val="002620FA"/>
    <w:rsid w:val="00263369"/>
    <w:rsid w:val="00264394"/>
    <w:rsid w:val="002643FA"/>
    <w:rsid w:val="002645CF"/>
    <w:rsid w:val="002647B9"/>
    <w:rsid w:val="002649B3"/>
    <w:rsid w:val="00264D05"/>
    <w:rsid w:val="0026538B"/>
    <w:rsid w:val="00266B8C"/>
    <w:rsid w:val="00266BE3"/>
    <w:rsid w:val="002678BE"/>
    <w:rsid w:val="00267A2E"/>
    <w:rsid w:val="00267F26"/>
    <w:rsid w:val="0027063B"/>
    <w:rsid w:val="0027071A"/>
    <w:rsid w:val="00270E53"/>
    <w:rsid w:val="002714CD"/>
    <w:rsid w:val="002719FB"/>
    <w:rsid w:val="00271EA9"/>
    <w:rsid w:val="002725C1"/>
    <w:rsid w:val="00272D4C"/>
    <w:rsid w:val="00272F51"/>
    <w:rsid w:val="00273165"/>
    <w:rsid w:val="00273253"/>
    <w:rsid w:val="00273C06"/>
    <w:rsid w:val="002746AF"/>
    <w:rsid w:val="002748FE"/>
    <w:rsid w:val="00274DA5"/>
    <w:rsid w:val="00274E29"/>
    <w:rsid w:val="00275812"/>
    <w:rsid w:val="00275BF6"/>
    <w:rsid w:val="00275C6A"/>
    <w:rsid w:val="002775AC"/>
    <w:rsid w:val="00277E58"/>
    <w:rsid w:val="00277F81"/>
    <w:rsid w:val="00280046"/>
    <w:rsid w:val="00280957"/>
    <w:rsid w:val="0028146D"/>
    <w:rsid w:val="0028287C"/>
    <w:rsid w:val="00282A32"/>
    <w:rsid w:val="00283359"/>
    <w:rsid w:val="00283A96"/>
    <w:rsid w:val="00283B4B"/>
    <w:rsid w:val="00283C1E"/>
    <w:rsid w:val="00283F23"/>
    <w:rsid w:val="00284255"/>
    <w:rsid w:val="002844FB"/>
    <w:rsid w:val="00284B9B"/>
    <w:rsid w:val="00284E43"/>
    <w:rsid w:val="0028506A"/>
    <w:rsid w:val="00285459"/>
    <w:rsid w:val="0028546B"/>
    <w:rsid w:val="002855BC"/>
    <w:rsid w:val="00286051"/>
    <w:rsid w:val="00286052"/>
    <w:rsid w:val="00286145"/>
    <w:rsid w:val="00286DED"/>
    <w:rsid w:val="002878C3"/>
    <w:rsid w:val="00290408"/>
    <w:rsid w:val="00291483"/>
    <w:rsid w:val="00291B20"/>
    <w:rsid w:val="00291F5F"/>
    <w:rsid w:val="00292002"/>
    <w:rsid w:val="00292619"/>
    <w:rsid w:val="002926CC"/>
    <w:rsid w:val="00293CF6"/>
    <w:rsid w:val="002941F8"/>
    <w:rsid w:val="00294EF5"/>
    <w:rsid w:val="002950FA"/>
    <w:rsid w:val="0029551E"/>
    <w:rsid w:val="002961C0"/>
    <w:rsid w:val="00296428"/>
    <w:rsid w:val="00296792"/>
    <w:rsid w:val="00297968"/>
    <w:rsid w:val="0029796D"/>
    <w:rsid w:val="002A042D"/>
    <w:rsid w:val="002A1172"/>
    <w:rsid w:val="002A18B0"/>
    <w:rsid w:val="002A3987"/>
    <w:rsid w:val="002A5132"/>
    <w:rsid w:val="002A5297"/>
    <w:rsid w:val="002A62C6"/>
    <w:rsid w:val="002A7AD6"/>
    <w:rsid w:val="002A7B7C"/>
    <w:rsid w:val="002A7FDC"/>
    <w:rsid w:val="002B01D5"/>
    <w:rsid w:val="002B0665"/>
    <w:rsid w:val="002B0E53"/>
    <w:rsid w:val="002B11A7"/>
    <w:rsid w:val="002B1C54"/>
    <w:rsid w:val="002B4371"/>
    <w:rsid w:val="002B498D"/>
    <w:rsid w:val="002B49B9"/>
    <w:rsid w:val="002B4AE4"/>
    <w:rsid w:val="002B4BAE"/>
    <w:rsid w:val="002B4E18"/>
    <w:rsid w:val="002B52C9"/>
    <w:rsid w:val="002B52FE"/>
    <w:rsid w:val="002B57B3"/>
    <w:rsid w:val="002B62EC"/>
    <w:rsid w:val="002B6379"/>
    <w:rsid w:val="002B672A"/>
    <w:rsid w:val="002B67E6"/>
    <w:rsid w:val="002B6AEA"/>
    <w:rsid w:val="002B6D23"/>
    <w:rsid w:val="002B6DAA"/>
    <w:rsid w:val="002B75FF"/>
    <w:rsid w:val="002C01C9"/>
    <w:rsid w:val="002C10EB"/>
    <w:rsid w:val="002C1E20"/>
    <w:rsid w:val="002C2502"/>
    <w:rsid w:val="002C2CAA"/>
    <w:rsid w:val="002C37D9"/>
    <w:rsid w:val="002C413A"/>
    <w:rsid w:val="002C44ED"/>
    <w:rsid w:val="002C556C"/>
    <w:rsid w:val="002C55C3"/>
    <w:rsid w:val="002C5898"/>
    <w:rsid w:val="002C6581"/>
    <w:rsid w:val="002C6696"/>
    <w:rsid w:val="002C6F4A"/>
    <w:rsid w:val="002C78B1"/>
    <w:rsid w:val="002D027C"/>
    <w:rsid w:val="002D03ED"/>
    <w:rsid w:val="002D06D3"/>
    <w:rsid w:val="002D1129"/>
    <w:rsid w:val="002D14DB"/>
    <w:rsid w:val="002D1804"/>
    <w:rsid w:val="002D2319"/>
    <w:rsid w:val="002D2404"/>
    <w:rsid w:val="002D25E7"/>
    <w:rsid w:val="002D298C"/>
    <w:rsid w:val="002D31DA"/>
    <w:rsid w:val="002D3B15"/>
    <w:rsid w:val="002D3B9A"/>
    <w:rsid w:val="002D3D65"/>
    <w:rsid w:val="002D47EA"/>
    <w:rsid w:val="002D59B6"/>
    <w:rsid w:val="002D65CE"/>
    <w:rsid w:val="002D67E5"/>
    <w:rsid w:val="002D690D"/>
    <w:rsid w:val="002D6A59"/>
    <w:rsid w:val="002D7086"/>
    <w:rsid w:val="002E0E0E"/>
    <w:rsid w:val="002E180F"/>
    <w:rsid w:val="002E1CD9"/>
    <w:rsid w:val="002E1D17"/>
    <w:rsid w:val="002E2EB2"/>
    <w:rsid w:val="002E55E3"/>
    <w:rsid w:val="002E67D9"/>
    <w:rsid w:val="002E688F"/>
    <w:rsid w:val="002E704F"/>
    <w:rsid w:val="002F0DB5"/>
    <w:rsid w:val="002F0EBF"/>
    <w:rsid w:val="002F14AC"/>
    <w:rsid w:val="002F182D"/>
    <w:rsid w:val="002F1872"/>
    <w:rsid w:val="002F1C5B"/>
    <w:rsid w:val="002F1CF6"/>
    <w:rsid w:val="002F1FCF"/>
    <w:rsid w:val="002F353F"/>
    <w:rsid w:val="002F3CC8"/>
    <w:rsid w:val="002F4CE9"/>
    <w:rsid w:val="002F5053"/>
    <w:rsid w:val="002F56D1"/>
    <w:rsid w:val="002F5D43"/>
    <w:rsid w:val="002F64B9"/>
    <w:rsid w:val="002F7489"/>
    <w:rsid w:val="002F7E38"/>
    <w:rsid w:val="0030011E"/>
    <w:rsid w:val="00300253"/>
    <w:rsid w:val="003002D9"/>
    <w:rsid w:val="00301E35"/>
    <w:rsid w:val="0030298A"/>
    <w:rsid w:val="003034A4"/>
    <w:rsid w:val="00303D8F"/>
    <w:rsid w:val="003041B4"/>
    <w:rsid w:val="0030489B"/>
    <w:rsid w:val="00305485"/>
    <w:rsid w:val="00306897"/>
    <w:rsid w:val="00306A83"/>
    <w:rsid w:val="00306B3B"/>
    <w:rsid w:val="0030703C"/>
    <w:rsid w:val="00307269"/>
    <w:rsid w:val="003072D1"/>
    <w:rsid w:val="00307874"/>
    <w:rsid w:val="00307B39"/>
    <w:rsid w:val="003106C2"/>
    <w:rsid w:val="00310F4E"/>
    <w:rsid w:val="0031142B"/>
    <w:rsid w:val="003116B7"/>
    <w:rsid w:val="0031264E"/>
    <w:rsid w:val="00312D45"/>
    <w:rsid w:val="00312FE8"/>
    <w:rsid w:val="0031324D"/>
    <w:rsid w:val="003133B6"/>
    <w:rsid w:val="0031386F"/>
    <w:rsid w:val="00313ED0"/>
    <w:rsid w:val="003142CA"/>
    <w:rsid w:val="00314C65"/>
    <w:rsid w:val="00314DA3"/>
    <w:rsid w:val="00315DE0"/>
    <w:rsid w:val="003168E9"/>
    <w:rsid w:val="00317609"/>
    <w:rsid w:val="00317842"/>
    <w:rsid w:val="00317AB4"/>
    <w:rsid w:val="00317E27"/>
    <w:rsid w:val="003203BE"/>
    <w:rsid w:val="00320907"/>
    <w:rsid w:val="00321763"/>
    <w:rsid w:val="003228AD"/>
    <w:rsid w:val="003230E8"/>
    <w:rsid w:val="00323412"/>
    <w:rsid w:val="003234CC"/>
    <w:rsid w:val="003234F6"/>
    <w:rsid w:val="0032355E"/>
    <w:rsid w:val="003235B6"/>
    <w:rsid w:val="00323CE7"/>
    <w:rsid w:val="00323DD6"/>
    <w:rsid w:val="00323FF6"/>
    <w:rsid w:val="00324135"/>
    <w:rsid w:val="003241B0"/>
    <w:rsid w:val="00324717"/>
    <w:rsid w:val="003247F9"/>
    <w:rsid w:val="003249BA"/>
    <w:rsid w:val="003263AE"/>
    <w:rsid w:val="00326CC4"/>
    <w:rsid w:val="0032755B"/>
    <w:rsid w:val="00330290"/>
    <w:rsid w:val="00330656"/>
    <w:rsid w:val="00330ACD"/>
    <w:rsid w:val="00331929"/>
    <w:rsid w:val="00331E71"/>
    <w:rsid w:val="00333C7E"/>
    <w:rsid w:val="00333D04"/>
    <w:rsid w:val="00334367"/>
    <w:rsid w:val="00334499"/>
    <w:rsid w:val="0033486B"/>
    <w:rsid w:val="00335240"/>
    <w:rsid w:val="00336149"/>
    <w:rsid w:val="003365EF"/>
    <w:rsid w:val="003375D7"/>
    <w:rsid w:val="00337EAA"/>
    <w:rsid w:val="003408B3"/>
    <w:rsid w:val="00341159"/>
    <w:rsid w:val="0034154C"/>
    <w:rsid w:val="00341604"/>
    <w:rsid w:val="00341709"/>
    <w:rsid w:val="00341A92"/>
    <w:rsid w:val="00341D6D"/>
    <w:rsid w:val="00342FB8"/>
    <w:rsid w:val="0034305E"/>
    <w:rsid w:val="00344227"/>
    <w:rsid w:val="00347E25"/>
    <w:rsid w:val="00347F37"/>
    <w:rsid w:val="00347FEC"/>
    <w:rsid w:val="003500BE"/>
    <w:rsid w:val="0035019E"/>
    <w:rsid w:val="00351125"/>
    <w:rsid w:val="003517E0"/>
    <w:rsid w:val="00351BAB"/>
    <w:rsid w:val="00351C84"/>
    <w:rsid w:val="00352140"/>
    <w:rsid w:val="00352309"/>
    <w:rsid w:val="00352362"/>
    <w:rsid w:val="003531F4"/>
    <w:rsid w:val="003534DE"/>
    <w:rsid w:val="00353876"/>
    <w:rsid w:val="00353DA0"/>
    <w:rsid w:val="00354FA7"/>
    <w:rsid w:val="003560F2"/>
    <w:rsid w:val="00356741"/>
    <w:rsid w:val="00357B24"/>
    <w:rsid w:val="00360377"/>
    <w:rsid w:val="00360428"/>
    <w:rsid w:val="0036064D"/>
    <w:rsid w:val="00360CBB"/>
    <w:rsid w:val="00361B99"/>
    <w:rsid w:val="00361E20"/>
    <w:rsid w:val="00362B25"/>
    <w:rsid w:val="00363C0B"/>
    <w:rsid w:val="00363DFB"/>
    <w:rsid w:val="0036486B"/>
    <w:rsid w:val="003648AD"/>
    <w:rsid w:val="00364B72"/>
    <w:rsid w:val="00365626"/>
    <w:rsid w:val="003657FF"/>
    <w:rsid w:val="0036616A"/>
    <w:rsid w:val="00367460"/>
    <w:rsid w:val="0036749C"/>
    <w:rsid w:val="0036752C"/>
    <w:rsid w:val="00367712"/>
    <w:rsid w:val="00367B9A"/>
    <w:rsid w:val="00367FE7"/>
    <w:rsid w:val="00371002"/>
    <w:rsid w:val="00371890"/>
    <w:rsid w:val="003719D4"/>
    <w:rsid w:val="00371C07"/>
    <w:rsid w:val="00372164"/>
    <w:rsid w:val="0037284B"/>
    <w:rsid w:val="003747B8"/>
    <w:rsid w:val="00374FE2"/>
    <w:rsid w:val="00375DFD"/>
    <w:rsid w:val="003763C2"/>
    <w:rsid w:val="0037652F"/>
    <w:rsid w:val="0037703D"/>
    <w:rsid w:val="00377725"/>
    <w:rsid w:val="00377E40"/>
    <w:rsid w:val="003805A7"/>
    <w:rsid w:val="003808A3"/>
    <w:rsid w:val="003808A7"/>
    <w:rsid w:val="00381376"/>
    <w:rsid w:val="003813D4"/>
    <w:rsid w:val="00381934"/>
    <w:rsid w:val="00382AED"/>
    <w:rsid w:val="00383C62"/>
    <w:rsid w:val="00383C95"/>
    <w:rsid w:val="0038475E"/>
    <w:rsid w:val="003851CC"/>
    <w:rsid w:val="00385251"/>
    <w:rsid w:val="00385D9C"/>
    <w:rsid w:val="003864BE"/>
    <w:rsid w:val="00386896"/>
    <w:rsid w:val="00386EB6"/>
    <w:rsid w:val="003877F6"/>
    <w:rsid w:val="00387860"/>
    <w:rsid w:val="003904A9"/>
    <w:rsid w:val="00390826"/>
    <w:rsid w:val="00390AFC"/>
    <w:rsid w:val="00390FDB"/>
    <w:rsid w:val="00391519"/>
    <w:rsid w:val="0039197D"/>
    <w:rsid w:val="00391CE9"/>
    <w:rsid w:val="00391FFB"/>
    <w:rsid w:val="003923B3"/>
    <w:rsid w:val="0039476B"/>
    <w:rsid w:val="00394918"/>
    <w:rsid w:val="0039493F"/>
    <w:rsid w:val="00394B29"/>
    <w:rsid w:val="00394F07"/>
    <w:rsid w:val="0039508B"/>
    <w:rsid w:val="003955C7"/>
    <w:rsid w:val="00395CBF"/>
    <w:rsid w:val="00396123"/>
    <w:rsid w:val="00396D07"/>
    <w:rsid w:val="00397572"/>
    <w:rsid w:val="003975B3"/>
    <w:rsid w:val="00397E7E"/>
    <w:rsid w:val="003A013A"/>
    <w:rsid w:val="003A0965"/>
    <w:rsid w:val="003A1185"/>
    <w:rsid w:val="003A1300"/>
    <w:rsid w:val="003A1342"/>
    <w:rsid w:val="003A1351"/>
    <w:rsid w:val="003A1470"/>
    <w:rsid w:val="003A15BC"/>
    <w:rsid w:val="003A1A4F"/>
    <w:rsid w:val="003A1CD4"/>
    <w:rsid w:val="003A31D9"/>
    <w:rsid w:val="003A4135"/>
    <w:rsid w:val="003A46DE"/>
    <w:rsid w:val="003A49A2"/>
    <w:rsid w:val="003A4C9C"/>
    <w:rsid w:val="003A53BD"/>
    <w:rsid w:val="003A5401"/>
    <w:rsid w:val="003A5671"/>
    <w:rsid w:val="003A5FA5"/>
    <w:rsid w:val="003A7312"/>
    <w:rsid w:val="003B2ADF"/>
    <w:rsid w:val="003B2D2E"/>
    <w:rsid w:val="003B2EED"/>
    <w:rsid w:val="003B2FB5"/>
    <w:rsid w:val="003B3040"/>
    <w:rsid w:val="003B3330"/>
    <w:rsid w:val="003B3516"/>
    <w:rsid w:val="003B38A2"/>
    <w:rsid w:val="003B4244"/>
    <w:rsid w:val="003B4617"/>
    <w:rsid w:val="003B4855"/>
    <w:rsid w:val="003B4A3F"/>
    <w:rsid w:val="003B5269"/>
    <w:rsid w:val="003B542C"/>
    <w:rsid w:val="003B560D"/>
    <w:rsid w:val="003B5C0F"/>
    <w:rsid w:val="003B5D78"/>
    <w:rsid w:val="003B5E15"/>
    <w:rsid w:val="003B6690"/>
    <w:rsid w:val="003B6E9B"/>
    <w:rsid w:val="003B6F45"/>
    <w:rsid w:val="003B6F81"/>
    <w:rsid w:val="003B72D1"/>
    <w:rsid w:val="003B78D9"/>
    <w:rsid w:val="003C099F"/>
    <w:rsid w:val="003C0A06"/>
    <w:rsid w:val="003C0C16"/>
    <w:rsid w:val="003C0DAE"/>
    <w:rsid w:val="003C0DEF"/>
    <w:rsid w:val="003C0E70"/>
    <w:rsid w:val="003C12A9"/>
    <w:rsid w:val="003C1794"/>
    <w:rsid w:val="003C1C50"/>
    <w:rsid w:val="003C1CF6"/>
    <w:rsid w:val="003C27DA"/>
    <w:rsid w:val="003C2BBC"/>
    <w:rsid w:val="003C2FC8"/>
    <w:rsid w:val="003C3338"/>
    <w:rsid w:val="003C3A92"/>
    <w:rsid w:val="003C42D3"/>
    <w:rsid w:val="003C434C"/>
    <w:rsid w:val="003C4F1D"/>
    <w:rsid w:val="003C519C"/>
    <w:rsid w:val="003C5B50"/>
    <w:rsid w:val="003C5DED"/>
    <w:rsid w:val="003C6914"/>
    <w:rsid w:val="003C7A86"/>
    <w:rsid w:val="003C7ABB"/>
    <w:rsid w:val="003C7B94"/>
    <w:rsid w:val="003D0906"/>
    <w:rsid w:val="003D0F12"/>
    <w:rsid w:val="003D1AFE"/>
    <w:rsid w:val="003D1FFC"/>
    <w:rsid w:val="003D22DF"/>
    <w:rsid w:val="003D22F4"/>
    <w:rsid w:val="003D2333"/>
    <w:rsid w:val="003D3366"/>
    <w:rsid w:val="003D349F"/>
    <w:rsid w:val="003D3997"/>
    <w:rsid w:val="003D3C59"/>
    <w:rsid w:val="003D409B"/>
    <w:rsid w:val="003D4945"/>
    <w:rsid w:val="003D4C15"/>
    <w:rsid w:val="003D57E0"/>
    <w:rsid w:val="003D58F9"/>
    <w:rsid w:val="003D6170"/>
    <w:rsid w:val="003D751E"/>
    <w:rsid w:val="003D76F9"/>
    <w:rsid w:val="003D7F25"/>
    <w:rsid w:val="003D7FDE"/>
    <w:rsid w:val="003E12BD"/>
    <w:rsid w:val="003E16F4"/>
    <w:rsid w:val="003E18A8"/>
    <w:rsid w:val="003E2306"/>
    <w:rsid w:val="003E3488"/>
    <w:rsid w:val="003E42E1"/>
    <w:rsid w:val="003E462E"/>
    <w:rsid w:val="003E4B77"/>
    <w:rsid w:val="003E5ACE"/>
    <w:rsid w:val="003E5D16"/>
    <w:rsid w:val="003E5FE5"/>
    <w:rsid w:val="003E6372"/>
    <w:rsid w:val="003E65D0"/>
    <w:rsid w:val="003E67EE"/>
    <w:rsid w:val="003E7945"/>
    <w:rsid w:val="003F0005"/>
    <w:rsid w:val="003F07D0"/>
    <w:rsid w:val="003F177F"/>
    <w:rsid w:val="003F1D00"/>
    <w:rsid w:val="003F1E23"/>
    <w:rsid w:val="003F2776"/>
    <w:rsid w:val="003F2CE4"/>
    <w:rsid w:val="003F349F"/>
    <w:rsid w:val="003F34D4"/>
    <w:rsid w:val="003F386E"/>
    <w:rsid w:val="003F3BCE"/>
    <w:rsid w:val="003F3DDD"/>
    <w:rsid w:val="003F4E0C"/>
    <w:rsid w:val="003F567A"/>
    <w:rsid w:val="003F61A6"/>
    <w:rsid w:val="003F6A67"/>
    <w:rsid w:val="003F6B62"/>
    <w:rsid w:val="003F6CCE"/>
    <w:rsid w:val="003F6EF4"/>
    <w:rsid w:val="003F72E7"/>
    <w:rsid w:val="003F737D"/>
    <w:rsid w:val="003F754A"/>
    <w:rsid w:val="003F7679"/>
    <w:rsid w:val="004002E2"/>
    <w:rsid w:val="00400C83"/>
    <w:rsid w:val="00400E3E"/>
    <w:rsid w:val="0040129C"/>
    <w:rsid w:val="004014F0"/>
    <w:rsid w:val="0040196F"/>
    <w:rsid w:val="004019A5"/>
    <w:rsid w:val="00402145"/>
    <w:rsid w:val="004021A1"/>
    <w:rsid w:val="0040227C"/>
    <w:rsid w:val="00402428"/>
    <w:rsid w:val="00402CA9"/>
    <w:rsid w:val="00402E1A"/>
    <w:rsid w:val="00402F04"/>
    <w:rsid w:val="00403102"/>
    <w:rsid w:val="00403775"/>
    <w:rsid w:val="00403923"/>
    <w:rsid w:val="00403A62"/>
    <w:rsid w:val="0040441F"/>
    <w:rsid w:val="00404769"/>
    <w:rsid w:val="0040484E"/>
    <w:rsid w:val="00404995"/>
    <w:rsid w:val="0040499B"/>
    <w:rsid w:val="0040543F"/>
    <w:rsid w:val="0040586F"/>
    <w:rsid w:val="00405B3B"/>
    <w:rsid w:val="00406A4D"/>
    <w:rsid w:val="00407195"/>
    <w:rsid w:val="004072D6"/>
    <w:rsid w:val="00407451"/>
    <w:rsid w:val="0041054B"/>
    <w:rsid w:val="00410BC0"/>
    <w:rsid w:val="00410BEF"/>
    <w:rsid w:val="00411379"/>
    <w:rsid w:val="0041137C"/>
    <w:rsid w:val="004113A8"/>
    <w:rsid w:val="00411E38"/>
    <w:rsid w:val="00411EE2"/>
    <w:rsid w:val="00412280"/>
    <w:rsid w:val="0041249C"/>
    <w:rsid w:val="00412F8F"/>
    <w:rsid w:val="0041300A"/>
    <w:rsid w:val="004130E1"/>
    <w:rsid w:val="00413C16"/>
    <w:rsid w:val="00414C9A"/>
    <w:rsid w:val="00415054"/>
    <w:rsid w:val="004157F5"/>
    <w:rsid w:val="00415F2B"/>
    <w:rsid w:val="00417383"/>
    <w:rsid w:val="00417C69"/>
    <w:rsid w:val="004206A7"/>
    <w:rsid w:val="00420D11"/>
    <w:rsid w:val="00420FBE"/>
    <w:rsid w:val="00421A43"/>
    <w:rsid w:val="00421AC2"/>
    <w:rsid w:val="00422599"/>
    <w:rsid w:val="0042294F"/>
    <w:rsid w:val="0042457A"/>
    <w:rsid w:val="0042457D"/>
    <w:rsid w:val="00424F97"/>
    <w:rsid w:val="004251BE"/>
    <w:rsid w:val="00425FD2"/>
    <w:rsid w:val="00427118"/>
    <w:rsid w:val="0042749A"/>
    <w:rsid w:val="00430459"/>
    <w:rsid w:val="00430A8A"/>
    <w:rsid w:val="00430E9D"/>
    <w:rsid w:val="00431037"/>
    <w:rsid w:val="004319CA"/>
    <w:rsid w:val="00432416"/>
    <w:rsid w:val="00432B47"/>
    <w:rsid w:val="00432F65"/>
    <w:rsid w:val="004339FA"/>
    <w:rsid w:val="00433E7A"/>
    <w:rsid w:val="00434B6D"/>
    <w:rsid w:val="00434E04"/>
    <w:rsid w:val="00434FDF"/>
    <w:rsid w:val="0043583D"/>
    <w:rsid w:val="00435E75"/>
    <w:rsid w:val="00435ECC"/>
    <w:rsid w:val="0043602E"/>
    <w:rsid w:val="00436C8F"/>
    <w:rsid w:val="0043755D"/>
    <w:rsid w:val="00437F89"/>
    <w:rsid w:val="00440BB0"/>
    <w:rsid w:val="0044110A"/>
    <w:rsid w:val="004413F3"/>
    <w:rsid w:val="0044153D"/>
    <w:rsid w:val="0044161E"/>
    <w:rsid w:val="00443675"/>
    <w:rsid w:val="00444182"/>
    <w:rsid w:val="004445E5"/>
    <w:rsid w:val="00444BF0"/>
    <w:rsid w:val="00444DF8"/>
    <w:rsid w:val="0044508C"/>
    <w:rsid w:val="00445177"/>
    <w:rsid w:val="00445487"/>
    <w:rsid w:val="00445591"/>
    <w:rsid w:val="0044587B"/>
    <w:rsid w:val="004459C2"/>
    <w:rsid w:val="00445E84"/>
    <w:rsid w:val="00445FE3"/>
    <w:rsid w:val="00446B3B"/>
    <w:rsid w:val="00446FEF"/>
    <w:rsid w:val="00447E42"/>
    <w:rsid w:val="0045043D"/>
    <w:rsid w:val="0045045E"/>
    <w:rsid w:val="00450E9E"/>
    <w:rsid w:val="00450FD2"/>
    <w:rsid w:val="00450FF8"/>
    <w:rsid w:val="0045102F"/>
    <w:rsid w:val="00451D32"/>
    <w:rsid w:val="0045229B"/>
    <w:rsid w:val="00452BFB"/>
    <w:rsid w:val="00452BFE"/>
    <w:rsid w:val="0045327E"/>
    <w:rsid w:val="00453353"/>
    <w:rsid w:val="0045349D"/>
    <w:rsid w:val="004534B5"/>
    <w:rsid w:val="00453996"/>
    <w:rsid w:val="00453BF7"/>
    <w:rsid w:val="0045437E"/>
    <w:rsid w:val="0045484A"/>
    <w:rsid w:val="00455127"/>
    <w:rsid w:val="00455EDE"/>
    <w:rsid w:val="00456C71"/>
    <w:rsid w:val="00456EA3"/>
    <w:rsid w:val="00457216"/>
    <w:rsid w:val="0046020B"/>
    <w:rsid w:val="004602EB"/>
    <w:rsid w:val="004602FF"/>
    <w:rsid w:val="004605D0"/>
    <w:rsid w:val="00462757"/>
    <w:rsid w:val="00463ABF"/>
    <w:rsid w:val="00463F44"/>
    <w:rsid w:val="00464585"/>
    <w:rsid w:val="00464780"/>
    <w:rsid w:val="004658A0"/>
    <w:rsid w:val="00465FE2"/>
    <w:rsid w:val="00466CDA"/>
    <w:rsid w:val="004671D5"/>
    <w:rsid w:val="00467BA9"/>
    <w:rsid w:val="004701DC"/>
    <w:rsid w:val="00470ACA"/>
    <w:rsid w:val="00470BA4"/>
    <w:rsid w:val="00470EAF"/>
    <w:rsid w:val="00470F10"/>
    <w:rsid w:val="0047110E"/>
    <w:rsid w:val="00471156"/>
    <w:rsid w:val="004712E6"/>
    <w:rsid w:val="00471673"/>
    <w:rsid w:val="00471B05"/>
    <w:rsid w:val="004739B7"/>
    <w:rsid w:val="00474B7C"/>
    <w:rsid w:val="00474FE7"/>
    <w:rsid w:val="004752AE"/>
    <w:rsid w:val="00475DDF"/>
    <w:rsid w:val="00476323"/>
    <w:rsid w:val="0047662E"/>
    <w:rsid w:val="00476995"/>
    <w:rsid w:val="0047768F"/>
    <w:rsid w:val="00477D6B"/>
    <w:rsid w:val="00480B1D"/>
    <w:rsid w:val="00481622"/>
    <w:rsid w:val="00481AF1"/>
    <w:rsid w:val="00481C2B"/>
    <w:rsid w:val="00481D41"/>
    <w:rsid w:val="0048200F"/>
    <w:rsid w:val="0048238C"/>
    <w:rsid w:val="00483875"/>
    <w:rsid w:val="004838FD"/>
    <w:rsid w:val="00483BE4"/>
    <w:rsid w:val="00484004"/>
    <w:rsid w:val="0048426B"/>
    <w:rsid w:val="00484568"/>
    <w:rsid w:val="00484A6A"/>
    <w:rsid w:val="00484A6D"/>
    <w:rsid w:val="0048517A"/>
    <w:rsid w:val="00485831"/>
    <w:rsid w:val="0048588F"/>
    <w:rsid w:val="004865DC"/>
    <w:rsid w:val="004866E0"/>
    <w:rsid w:val="00486A13"/>
    <w:rsid w:val="00486C3D"/>
    <w:rsid w:val="00487F8E"/>
    <w:rsid w:val="0049074B"/>
    <w:rsid w:val="00490E4C"/>
    <w:rsid w:val="00490F4A"/>
    <w:rsid w:val="00490FF4"/>
    <w:rsid w:val="004912CF"/>
    <w:rsid w:val="00492166"/>
    <w:rsid w:val="00492369"/>
    <w:rsid w:val="004926E5"/>
    <w:rsid w:val="00492DAB"/>
    <w:rsid w:val="00492F28"/>
    <w:rsid w:val="004933C1"/>
    <w:rsid w:val="00493777"/>
    <w:rsid w:val="00493CBB"/>
    <w:rsid w:val="00493D19"/>
    <w:rsid w:val="0049521F"/>
    <w:rsid w:val="0049523D"/>
    <w:rsid w:val="00495317"/>
    <w:rsid w:val="00495F18"/>
    <w:rsid w:val="00496C0B"/>
    <w:rsid w:val="00496D59"/>
    <w:rsid w:val="00496E0E"/>
    <w:rsid w:val="004A01E0"/>
    <w:rsid w:val="004A10F4"/>
    <w:rsid w:val="004A2AC7"/>
    <w:rsid w:val="004A40C5"/>
    <w:rsid w:val="004A4731"/>
    <w:rsid w:val="004A4F5F"/>
    <w:rsid w:val="004A4FC9"/>
    <w:rsid w:val="004A52B7"/>
    <w:rsid w:val="004A57ED"/>
    <w:rsid w:val="004A5D53"/>
    <w:rsid w:val="004A7AEF"/>
    <w:rsid w:val="004B0180"/>
    <w:rsid w:val="004B04DE"/>
    <w:rsid w:val="004B07F1"/>
    <w:rsid w:val="004B0ACF"/>
    <w:rsid w:val="004B1006"/>
    <w:rsid w:val="004B146A"/>
    <w:rsid w:val="004B17C7"/>
    <w:rsid w:val="004B1E83"/>
    <w:rsid w:val="004B219C"/>
    <w:rsid w:val="004B2D88"/>
    <w:rsid w:val="004B376E"/>
    <w:rsid w:val="004B3C37"/>
    <w:rsid w:val="004B5190"/>
    <w:rsid w:val="004B591E"/>
    <w:rsid w:val="004B5E60"/>
    <w:rsid w:val="004B76A5"/>
    <w:rsid w:val="004C0F1A"/>
    <w:rsid w:val="004C0F42"/>
    <w:rsid w:val="004C2038"/>
    <w:rsid w:val="004C24BB"/>
    <w:rsid w:val="004C353A"/>
    <w:rsid w:val="004C3709"/>
    <w:rsid w:val="004C384F"/>
    <w:rsid w:val="004C3C90"/>
    <w:rsid w:val="004C429F"/>
    <w:rsid w:val="004C4CD4"/>
    <w:rsid w:val="004C554E"/>
    <w:rsid w:val="004C5570"/>
    <w:rsid w:val="004C55DC"/>
    <w:rsid w:val="004C67BA"/>
    <w:rsid w:val="004C7840"/>
    <w:rsid w:val="004C7CC1"/>
    <w:rsid w:val="004D01A7"/>
    <w:rsid w:val="004D0362"/>
    <w:rsid w:val="004D0642"/>
    <w:rsid w:val="004D09C5"/>
    <w:rsid w:val="004D0F2D"/>
    <w:rsid w:val="004D1BBF"/>
    <w:rsid w:val="004D1CE4"/>
    <w:rsid w:val="004D1E09"/>
    <w:rsid w:val="004D23E0"/>
    <w:rsid w:val="004D31C5"/>
    <w:rsid w:val="004D3596"/>
    <w:rsid w:val="004D3AEE"/>
    <w:rsid w:val="004D3CE0"/>
    <w:rsid w:val="004D3D3A"/>
    <w:rsid w:val="004D425C"/>
    <w:rsid w:val="004D55E5"/>
    <w:rsid w:val="004D5E41"/>
    <w:rsid w:val="004E00D2"/>
    <w:rsid w:val="004E016F"/>
    <w:rsid w:val="004E052B"/>
    <w:rsid w:val="004E06C1"/>
    <w:rsid w:val="004E12AE"/>
    <w:rsid w:val="004E15A8"/>
    <w:rsid w:val="004E15E4"/>
    <w:rsid w:val="004E193F"/>
    <w:rsid w:val="004E19C8"/>
    <w:rsid w:val="004E285C"/>
    <w:rsid w:val="004E3502"/>
    <w:rsid w:val="004E3CF0"/>
    <w:rsid w:val="004E4993"/>
    <w:rsid w:val="004E65D3"/>
    <w:rsid w:val="004E6606"/>
    <w:rsid w:val="004E68E5"/>
    <w:rsid w:val="004E7998"/>
    <w:rsid w:val="004E7B84"/>
    <w:rsid w:val="004E7ED8"/>
    <w:rsid w:val="004F197F"/>
    <w:rsid w:val="004F1F20"/>
    <w:rsid w:val="004F26AA"/>
    <w:rsid w:val="004F2902"/>
    <w:rsid w:val="004F2950"/>
    <w:rsid w:val="004F3D95"/>
    <w:rsid w:val="004F4A2E"/>
    <w:rsid w:val="004F5DE7"/>
    <w:rsid w:val="004F7233"/>
    <w:rsid w:val="004F7D37"/>
    <w:rsid w:val="005008C6"/>
    <w:rsid w:val="00500916"/>
    <w:rsid w:val="00501257"/>
    <w:rsid w:val="0050189E"/>
    <w:rsid w:val="00501B2C"/>
    <w:rsid w:val="00501F18"/>
    <w:rsid w:val="00503093"/>
    <w:rsid w:val="00504E8E"/>
    <w:rsid w:val="005067A5"/>
    <w:rsid w:val="005068C3"/>
    <w:rsid w:val="00506B5A"/>
    <w:rsid w:val="00506E99"/>
    <w:rsid w:val="005076B4"/>
    <w:rsid w:val="005102A1"/>
    <w:rsid w:val="00510377"/>
    <w:rsid w:val="005107AE"/>
    <w:rsid w:val="00510A5D"/>
    <w:rsid w:val="00510AAC"/>
    <w:rsid w:val="0051130E"/>
    <w:rsid w:val="0051135B"/>
    <w:rsid w:val="00511755"/>
    <w:rsid w:val="00511ABE"/>
    <w:rsid w:val="00512C11"/>
    <w:rsid w:val="00513529"/>
    <w:rsid w:val="00514605"/>
    <w:rsid w:val="005149FA"/>
    <w:rsid w:val="0051512E"/>
    <w:rsid w:val="0051527A"/>
    <w:rsid w:val="00516B1F"/>
    <w:rsid w:val="00517D30"/>
    <w:rsid w:val="00520005"/>
    <w:rsid w:val="00520245"/>
    <w:rsid w:val="005202B9"/>
    <w:rsid w:val="0052069E"/>
    <w:rsid w:val="00523691"/>
    <w:rsid w:val="005236C0"/>
    <w:rsid w:val="005248C4"/>
    <w:rsid w:val="00525772"/>
    <w:rsid w:val="005261D2"/>
    <w:rsid w:val="00526C8F"/>
    <w:rsid w:val="005273A6"/>
    <w:rsid w:val="00527CAF"/>
    <w:rsid w:val="00527E81"/>
    <w:rsid w:val="00530A65"/>
    <w:rsid w:val="00530E00"/>
    <w:rsid w:val="005312AA"/>
    <w:rsid w:val="0053170A"/>
    <w:rsid w:val="00531A9A"/>
    <w:rsid w:val="005325F6"/>
    <w:rsid w:val="00532991"/>
    <w:rsid w:val="005330CB"/>
    <w:rsid w:val="005336CE"/>
    <w:rsid w:val="00533DEA"/>
    <w:rsid w:val="00534BEF"/>
    <w:rsid w:val="00536427"/>
    <w:rsid w:val="00536C11"/>
    <w:rsid w:val="00536CB0"/>
    <w:rsid w:val="00536F9F"/>
    <w:rsid w:val="00537C96"/>
    <w:rsid w:val="005401AA"/>
    <w:rsid w:val="005405F3"/>
    <w:rsid w:val="00540695"/>
    <w:rsid w:val="00540775"/>
    <w:rsid w:val="00540B88"/>
    <w:rsid w:val="00540D00"/>
    <w:rsid w:val="00540EB7"/>
    <w:rsid w:val="0054125B"/>
    <w:rsid w:val="00541934"/>
    <w:rsid w:val="00541BEC"/>
    <w:rsid w:val="00541C6A"/>
    <w:rsid w:val="00541D56"/>
    <w:rsid w:val="00542220"/>
    <w:rsid w:val="005427EA"/>
    <w:rsid w:val="00542D1B"/>
    <w:rsid w:val="005430ED"/>
    <w:rsid w:val="0054439E"/>
    <w:rsid w:val="00545753"/>
    <w:rsid w:val="00545936"/>
    <w:rsid w:val="00546207"/>
    <w:rsid w:val="00546D79"/>
    <w:rsid w:val="00547494"/>
    <w:rsid w:val="0054767E"/>
    <w:rsid w:val="005477D7"/>
    <w:rsid w:val="00547BEA"/>
    <w:rsid w:val="005505E4"/>
    <w:rsid w:val="00550FE3"/>
    <w:rsid w:val="005516CE"/>
    <w:rsid w:val="00551AB7"/>
    <w:rsid w:val="005522F1"/>
    <w:rsid w:val="00552CA9"/>
    <w:rsid w:val="00552D3B"/>
    <w:rsid w:val="0055435B"/>
    <w:rsid w:val="0055483C"/>
    <w:rsid w:val="00555D66"/>
    <w:rsid w:val="005560AA"/>
    <w:rsid w:val="00556774"/>
    <w:rsid w:val="005567C3"/>
    <w:rsid w:val="00556A30"/>
    <w:rsid w:val="005578C6"/>
    <w:rsid w:val="00560AD2"/>
    <w:rsid w:val="00560F15"/>
    <w:rsid w:val="00561570"/>
    <w:rsid w:val="00561F60"/>
    <w:rsid w:val="005627EB"/>
    <w:rsid w:val="00562D1C"/>
    <w:rsid w:val="0056396E"/>
    <w:rsid w:val="00564490"/>
    <w:rsid w:val="005648CB"/>
    <w:rsid w:val="00564DB6"/>
    <w:rsid w:val="005656A9"/>
    <w:rsid w:val="005657D8"/>
    <w:rsid w:val="005660B3"/>
    <w:rsid w:val="00566828"/>
    <w:rsid w:val="00566D2D"/>
    <w:rsid w:val="00566FAB"/>
    <w:rsid w:val="00570196"/>
    <w:rsid w:val="0057099E"/>
    <w:rsid w:val="00570A01"/>
    <w:rsid w:val="0057108C"/>
    <w:rsid w:val="005717DE"/>
    <w:rsid w:val="00571CA9"/>
    <w:rsid w:val="005720C2"/>
    <w:rsid w:val="005722C1"/>
    <w:rsid w:val="00572687"/>
    <w:rsid w:val="00572974"/>
    <w:rsid w:val="00572CC6"/>
    <w:rsid w:val="005730E3"/>
    <w:rsid w:val="00573771"/>
    <w:rsid w:val="00573863"/>
    <w:rsid w:val="0057451B"/>
    <w:rsid w:val="005759A2"/>
    <w:rsid w:val="005769C7"/>
    <w:rsid w:val="00576AEE"/>
    <w:rsid w:val="00576C74"/>
    <w:rsid w:val="00576CE3"/>
    <w:rsid w:val="00576EC2"/>
    <w:rsid w:val="00577D3D"/>
    <w:rsid w:val="005802C7"/>
    <w:rsid w:val="00581021"/>
    <w:rsid w:val="005820C7"/>
    <w:rsid w:val="00582222"/>
    <w:rsid w:val="005825DF"/>
    <w:rsid w:val="00583182"/>
    <w:rsid w:val="005831CC"/>
    <w:rsid w:val="005835CE"/>
    <w:rsid w:val="005853AC"/>
    <w:rsid w:val="00585749"/>
    <w:rsid w:val="00585963"/>
    <w:rsid w:val="00585D53"/>
    <w:rsid w:val="00585EAE"/>
    <w:rsid w:val="0058660A"/>
    <w:rsid w:val="0058699F"/>
    <w:rsid w:val="0058740D"/>
    <w:rsid w:val="00587617"/>
    <w:rsid w:val="00587725"/>
    <w:rsid w:val="00587897"/>
    <w:rsid w:val="00587A7D"/>
    <w:rsid w:val="005926E1"/>
    <w:rsid w:val="00592AF2"/>
    <w:rsid w:val="00592D6F"/>
    <w:rsid w:val="00593161"/>
    <w:rsid w:val="005937CA"/>
    <w:rsid w:val="00593A4A"/>
    <w:rsid w:val="00594017"/>
    <w:rsid w:val="00594302"/>
    <w:rsid w:val="00594BC7"/>
    <w:rsid w:val="00594DA1"/>
    <w:rsid w:val="00595C1F"/>
    <w:rsid w:val="0059624E"/>
    <w:rsid w:val="00596D9C"/>
    <w:rsid w:val="00597394"/>
    <w:rsid w:val="005976CC"/>
    <w:rsid w:val="0059787E"/>
    <w:rsid w:val="00597CF4"/>
    <w:rsid w:val="005A011D"/>
    <w:rsid w:val="005A0793"/>
    <w:rsid w:val="005A0FFB"/>
    <w:rsid w:val="005A100B"/>
    <w:rsid w:val="005A10C4"/>
    <w:rsid w:val="005A23E7"/>
    <w:rsid w:val="005A2A38"/>
    <w:rsid w:val="005A2E58"/>
    <w:rsid w:val="005A48D2"/>
    <w:rsid w:val="005A5097"/>
    <w:rsid w:val="005A6118"/>
    <w:rsid w:val="005A645A"/>
    <w:rsid w:val="005A6F02"/>
    <w:rsid w:val="005A6F71"/>
    <w:rsid w:val="005A7B9B"/>
    <w:rsid w:val="005B008D"/>
    <w:rsid w:val="005B0561"/>
    <w:rsid w:val="005B05D5"/>
    <w:rsid w:val="005B1796"/>
    <w:rsid w:val="005B327C"/>
    <w:rsid w:val="005B3785"/>
    <w:rsid w:val="005B466F"/>
    <w:rsid w:val="005B4CA6"/>
    <w:rsid w:val="005B5CD9"/>
    <w:rsid w:val="005B6DEA"/>
    <w:rsid w:val="005B77CC"/>
    <w:rsid w:val="005B7840"/>
    <w:rsid w:val="005B7AE8"/>
    <w:rsid w:val="005C008E"/>
    <w:rsid w:val="005C0A8B"/>
    <w:rsid w:val="005C0F8E"/>
    <w:rsid w:val="005C2ED2"/>
    <w:rsid w:val="005C2FF9"/>
    <w:rsid w:val="005C4299"/>
    <w:rsid w:val="005C4442"/>
    <w:rsid w:val="005C50DA"/>
    <w:rsid w:val="005C58A5"/>
    <w:rsid w:val="005C5DEE"/>
    <w:rsid w:val="005C618A"/>
    <w:rsid w:val="005C632B"/>
    <w:rsid w:val="005C67E3"/>
    <w:rsid w:val="005C6B95"/>
    <w:rsid w:val="005C6CDA"/>
    <w:rsid w:val="005C6E10"/>
    <w:rsid w:val="005C6F62"/>
    <w:rsid w:val="005C6FFB"/>
    <w:rsid w:val="005C7A09"/>
    <w:rsid w:val="005C7E1E"/>
    <w:rsid w:val="005C7FA2"/>
    <w:rsid w:val="005D013B"/>
    <w:rsid w:val="005D01B3"/>
    <w:rsid w:val="005D08D3"/>
    <w:rsid w:val="005D0B6A"/>
    <w:rsid w:val="005D1203"/>
    <w:rsid w:val="005D166D"/>
    <w:rsid w:val="005D1675"/>
    <w:rsid w:val="005D3205"/>
    <w:rsid w:val="005D337D"/>
    <w:rsid w:val="005D3C8D"/>
    <w:rsid w:val="005D4770"/>
    <w:rsid w:val="005D53CE"/>
    <w:rsid w:val="005D5947"/>
    <w:rsid w:val="005D59A4"/>
    <w:rsid w:val="005D5EF9"/>
    <w:rsid w:val="005D6986"/>
    <w:rsid w:val="005D6F64"/>
    <w:rsid w:val="005D7148"/>
    <w:rsid w:val="005D75FE"/>
    <w:rsid w:val="005D76AF"/>
    <w:rsid w:val="005D76E1"/>
    <w:rsid w:val="005D7AAE"/>
    <w:rsid w:val="005D7AD9"/>
    <w:rsid w:val="005E043F"/>
    <w:rsid w:val="005E05ED"/>
    <w:rsid w:val="005E063D"/>
    <w:rsid w:val="005E1269"/>
    <w:rsid w:val="005E1A50"/>
    <w:rsid w:val="005E2549"/>
    <w:rsid w:val="005E2F2D"/>
    <w:rsid w:val="005E31F4"/>
    <w:rsid w:val="005E3315"/>
    <w:rsid w:val="005E3BDE"/>
    <w:rsid w:val="005E3EFB"/>
    <w:rsid w:val="005E4055"/>
    <w:rsid w:val="005E4471"/>
    <w:rsid w:val="005E4499"/>
    <w:rsid w:val="005E5E42"/>
    <w:rsid w:val="005E6140"/>
    <w:rsid w:val="005E65A7"/>
    <w:rsid w:val="005E70ED"/>
    <w:rsid w:val="005E7647"/>
    <w:rsid w:val="005E7A49"/>
    <w:rsid w:val="005E7A8F"/>
    <w:rsid w:val="005E7EFC"/>
    <w:rsid w:val="005E7FEB"/>
    <w:rsid w:val="005F2673"/>
    <w:rsid w:val="005F2E3D"/>
    <w:rsid w:val="005F2F6A"/>
    <w:rsid w:val="005F310D"/>
    <w:rsid w:val="005F32CB"/>
    <w:rsid w:val="005F47C0"/>
    <w:rsid w:val="005F4BD8"/>
    <w:rsid w:val="005F4E01"/>
    <w:rsid w:val="005F52A0"/>
    <w:rsid w:val="005F5326"/>
    <w:rsid w:val="005F539A"/>
    <w:rsid w:val="005F5BBA"/>
    <w:rsid w:val="005F63E4"/>
    <w:rsid w:val="005F64C2"/>
    <w:rsid w:val="005F675D"/>
    <w:rsid w:val="005F6B6F"/>
    <w:rsid w:val="005F6B9A"/>
    <w:rsid w:val="005F6D3C"/>
    <w:rsid w:val="005F7412"/>
    <w:rsid w:val="005F7EEE"/>
    <w:rsid w:val="006004F5"/>
    <w:rsid w:val="00600B6A"/>
    <w:rsid w:val="00601146"/>
    <w:rsid w:val="0060196B"/>
    <w:rsid w:val="0060279A"/>
    <w:rsid w:val="006028A1"/>
    <w:rsid w:val="006029D3"/>
    <w:rsid w:val="00602A7D"/>
    <w:rsid w:val="00603233"/>
    <w:rsid w:val="006035A8"/>
    <w:rsid w:val="0060409F"/>
    <w:rsid w:val="0060460A"/>
    <w:rsid w:val="0060499B"/>
    <w:rsid w:val="0060506E"/>
    <w:rsid w:val="00605186"/>
    <w:rsid w:val="006054C7"/>
    <w:rsid w:val="00605679"/>
    <w:rsid w:val="00606901"/>
    <w:rsid w:val="00606AC1"/>
    <w:rsid w:val="00606C38"/>
    <w:rsid w:val="006071FA"/>
    <w:rsid w:val="00607B01"/>
    <w:rsid w:val="00607CB5"/>
    <w:rsid w:val="0061062F"/>
    <w:rsid w:val="00610857"/>
    <w:rsid w:val="006109A4"/>
    <w:rsid w:val="00610A09"/>
    <w:rsid w:val="00610D74"/>
    <w:rsid w:val="00611A59"/>
    <w:rsid w:val="006121C6"/>
    <w:rsid w:val="00612749"/>
    <w:rsid w:val="00612FD4"/>
    <w:rsid w:val="006134AE"/>
    <w:rsid w:val="00614489"/>
    <w:rsid w:val="00614B0B"/>
    <w:rsid w:val="00615CF7"/>
    <w:rsid w:val="006161E3"/>
    <w:rsid w:val="0061681C"/>
    <w:rsid w:val="0061708C"/>
    <w:rsid w:val="00617685"/>
    <w:rsid w:val="006179A3"/>
    <w:rsid w:val="00617A2E"/>
    <w:rsid w:val="00617F13"/>
    <w:rsid w:val="006201D8"/>
    <w:rsid w:val="00620636"/>
    <w:rsid w:val="00620826"/>
    <w:rsid w:val="00620D58"/>
    <w:rsid w:val="0062190D"/>
    <w:rsid w:val="00621F73"/>
    <w:rsid w:val="006225A0"/>
    <w:rsid w:val="006228B1"/>
    <w:rsid w:val="00622BC8"/>
    <w:rsid w:val="0062311B"/>
    <w:rsid w:val="0062369B"/>
    <w:rsid w:val="00624D4B"/>
    <w:rsid w:val="00624DBA"/>
    <w:rsid w:val="00625DDD"/>
    <w:rsid w:val="00626313"/>
    <w:rsid w:val="00626D2F"/>
    <w:rsid w:val="0062709E"/>
    <w:rsid w:val="0062768A"/>
    <w:rsid w:val="00627953"/>
    <w:rsid w:val="00627D18"/>
    <w:rsid w:val="00630268"/>
    <w:rsid w:val="00630467"/>
    <w:rsid w:val="006310B1"/>
    <w:rsid w:val="00631657"/>
    <w:rsid w:val="00631C54"/>
    <w:rsid w:val="00631DF1"/>
    <w:rsid w:val="006324ED"/>
    <w:rsid w:val="006328BA"/>
    <w:rsid w:val="0063347C"/>
    <w:rsid w:val="00633EBE"/>
    <w:rsid w:val="00635BF9"/>
    <w:rsid w:val="0063601D"/>
    <w:rsid w:val="006362EE"/>
    <w:rsid w:val="00636372"/>
    <w:rsid w:val="00636A8E"/>
    <w:rsid w:val="006376CD"/>
    <w:rsid w:val="0063791D"/>
    <w:rsid w:val="00640635"/>
    <w:rsid w:val="0064067E"/>
    <w:rsid w:val="00640DB0"/>
    <w:rsid w:val="00641620"/>
    <w:rsid w:val="0064186E"/>
    <w:rsid w:val="006419CF"/>
    <w:rsid w:val="00641C8C"/>
    <w:rsid w:val="006421FB"/>
    <w:rsid w:val="006426CA"/>
    <w:rsid w:val="00642D78"/>
    <w:rsid w:val="006438B0"/>
    <w:rsid w:val="00643F43"/>
    <w:rsid w:val="006448A6"/>
    <w:rsid w:val="00644B78"/>
    <w:rsid w:val="00644D0B"/>
    <w:rsid w:val="00646C8B"/>
    <w:rsid w:val="00650140"/>
    <w:rsid w:val="006507CC"/>
    <w:rsid w:val="00650AAB"/>
    <w:rsid w:val="00651196"/>
    <w:rsid w:val="0065155B"/>
    <w:rsid w:val="0065190B"/>
    <w:rsid w:val="006520CB"/>
    <w:rsid w:val="00652555"/>
    <w:rsid w:val="00652AF6"/>
    <w:rsid w:val="00652EF1"/>
    <w:rsid w:val="0065381F"/>
    <w:rsid w:val="006538B4"/>
    <w:rsid w:val="006540E2"/>
    <w:rsid w:val="00655886"/>
    <w:rsid w:val="0065671D"/>
    <w:rsid w:val="00657160"/>
    <w:rsid w:val="006579B5"/>
    <w:rsid w:val="00660B0B"/>
    <w:rsid w:val="00660E1D"/>
    <w:rsid w:val="00661021"/>
    <w:rsid w:val="006610D6"/>
    <w:rsid w:val="00661189"/>
    <w:rsid w:val="00661B6C"/>
    <w:rsid w:val="0066248C"/>
    <w:rsid w:val="0066463D"/>
    <w:rsid w:val="00664AC9"/>
    <w:rsid w:val="00664BDE"/>
    <w:rsid w:val="00664D37"/>
    <w:rsid w:val="0066500F"/>
    <w:rsid w:val="00665170"/>
    <w:rsid w:val="006655D7"/>
    <w:rsid w:val="006656FE"/>
    <w:rsid w:val="00665E1F"/>
    <w:rsid w:val="00666C88"/>
    <w:rsid w:val="0066736F"/>
    <w:rsid w:val="00667665"/>
    <w:rsid w:val="00667C13"/>
    <w:rsid w:val="00667F8A"/>
    <w:rsid w:val="006703B4"/>
    <w:rsid w:val="00670E4D"/>
    <w:rsid w:val="00672609"/>
    <w:rsid w:val="006734AC"/>
    <w:rsid w:val="00674C50"/>
    <w:rsid w:val="0067530C"/>
    <w:rsid w:val="00676076"/>
    <w:rsid w:val="006762D4"/>
    <w:rsid w:val="00676716"/>
    <w:rsid w:val="006767D9"/>
    <w:rsid w:val="00676F65"/>
    <w:rsid w:val="006770E7"/>
    <w:rsid w:val="00677510"/>
    <w:rsid w:val="00677BEF"/>
    <w:rsid w:val="0068158A"/>
    <w:rsid w:val="006817AB"/>
    <w:rsid w:val="006826CC"/>
    <w:rsid w:val="00682D30"/>
    <w:rsid w:val="00682DE5"/>
    <w:rsid w:val="00684D91"/>
    <w:rsid w:val="00685897"/>
    <w:rsid w:val="00687564"/>
    <w:rsid w:val="00690728"/>
    <w:rsid w:val="006909CF"/>
    <w:rsid w:val="00690A09"/>
    <w:rsid w:val="006915E9"/>
    <w:rsid w:val="0069190D"/>
    <w:rsid w:val="00691D9B"/>
    <w:rsid w:val="00693148"/>
    <w:rsid w:val="006944E7"/>
    <w:rsid w:val="0069463E"/>
    <w:rsid w:val="006953F8"/>
    <w:rsid w:val="0069541C"/>
    <w:rsid w:val="0069785F"/>
    <w:rsid w:val="006A09BC"/>
    <w:rsid w:val="006A0CF1"/>
    <w:rsid w:val="006A1069"/>
    <w:rsid w:val="006A1802"/>
    <w:rsid w:val="006A2576"/>
    <w:rsid w:val="006A4809"/>
    <w:rsid w:val="006A4C3B"/>
    <w:rsid w:val="006A4D40"/>
    <w:rsid w:val="006A648B"/>
    <w:rsid w:val="006A6949"/>
    <w:rsid w:val="006A7017"/>
    <w:rsid w:val="006A7495"/>
    <w:rsid w:val="006A7900"/>
    <w:rsid w:val="006B11F1"/>
    <w:rsid w:val="006B3F4C"/>
    <w:rsid w:val="006B423B"/>
    <w:rsid w:val="006B44B9"/>
    <w:rsid w:val="006B4E65"/>
    <w:rsid w:val="006B6FEA"/>
    <w:rsid w:val="006B74FC"/>
    <w:rsid w:val="006B772F"/>
    <w:rsid w:val="006B7D8C"/>
    <w:rsid w:val="006B7D97"/>
    <w:rsid w:val="006B7FBE"/>
    <w:rsid w:val="006C0EDA"/>
    <w:rsid w:val="006C1096"/>
    <w:rsid w:val="006C12A4"/>
    <w:rsid w:val="006C1C1A"/>
    <w:rsid w:val="006C1FC9"/>
    <w:rsid w:val="006C29E3"/>
    <w:rsid w:val="006C2ED4"/>
    <w:rsid w:val="006C3031"/>
    <w:rsid w:val="006C3C83"/>
    <w:rsid w:val="006C3DFF"/>
    <w:rsid w:val="006C3E63"/>
    <w:rsid w:val="006C46E6"/>
    <w:rsid w:val="006C4886"/>
    <w:rsid w:val="006C492D"/>
    <w:rsid w:val="006C59C5"/>
    <w:rsid w:val="006C7064"/>
    <w:rsid w:val="006C7ECD"/>
    <w:rsid w:val="006C7F26"/>
    <w:rsid w:val="006D0061"/>
    <w:rsid w:val="006D0697"/>
    <w:rsid w:val="006D0C77"/>
    <w:rsid w:val="006D1747"/>
    <w:rsid w:val="006D1B8A"/>
    <w:rsid w:val="006D20C2"/>
    <w:rsid w:val="006D235E"/>
    <w:rsid w:val="006D2858"/>
    <w:rsid w:val="006D323D"/>
    <w:rsid w:val="006D36D2"/>
    <w:rsid w:val="006D4687"/>
    <w:rsid w:val="006D5E0E"/>
    <w:rsid w:val="006D5E90"/>
    <w:rsid w:val="006D63B3"/>
    <w:rsid w:val="006D6E91"/>
    <w:rsid w:val="006D75D8"/>
    <w:rsid w:val="006E038A"/>
    <w:rsid w:val="006E0DFB"/>
    <w:rsid w:val="006E15AD"/>
    <w:rsid w:val="006E1992"/>
    <w:rsid w:val="006E1E44"/>
    <w:rsid w:val="006E2475"/>
    <w:rsid w:val="006E29A8"/>
    <w:rsid w:val="006E2CF0"/>
    <w:rsid w:val="006E3339"/>
    <w:rsid w:val="006E3C94"/>
    <w:rsid w:val="006E4371"/>
    <w:rsid w:val="006E4563"/>
    <w:rsid w:val="006E4A43"/>
    <w:rsid w:val="006E5997"/>
    <w:rsid w:val="006E6F4A"/>
    <w:rsid w:val="006E74CA"/>
    <w:rsid w:val="006F005D"/>
    <w:rsid w:val="006F0AD2"/>
    <w:rsid w:val="006F0BF6"/>
    <w:rsid w:val="006F0DEB"/>
    <w:rsid w:val="006F1327"/>
    <w:rsid w:val="006F2E74"/>
    <w:rsid w:val="006F39C3"/>
    <w:rsid w:val="006F4129"/>
    <w:rsid w:val="006F4692"/>
    <w:rsid w:val="006F48DF"/>
    <w:rsid w:val="006F4A95"/>
    <w:rsid w:val="006F4E6C"/>
    <w:rsid w:val="006F4FF9"/>
    <w:rsid w:val="006F5096"/>
    <w:rsid w:val="006F58AD"/>
    <w:rsid w:val="006F6629"/>
    <w:rsid w:val="006F694B"/>
    <w:rsid w:val="006F6B51"/>
    <w:rsid w:val="006F6F12"/>
    <w:rsid w:val="006F71CA"/>
    <w:rsid w:val="006F7CA8"/>
    <w:rsid w:val="006F7F3A"/>
    <w:rsid w:val="00700E79"/>
    <w:rsid w:val="00702761"/>
    <w:rsid w:val="00704596"/>
    <w:rsid w:val="007048B9"/>
    <w:rsid w:val="00704DE4"/>
    <w:rsid w:val="00705529"/>
    <w:rsid w:val="007056D6"/>
    <w:rsid w:val="00705711"/>
    <w:rsid w:val="00705AD1"/>
    <w:rsid w:val="00706CB1"/>
    <w:rsid w:val="007070B2"/>
    <w:rsid w:val="00707427"/>
    <w:rsid w:val="00707C49"/>
    <w:rsid w:val="007110B4"/>
    <w:rsid w:val="007118EF"/>
    <w:rsid w:val="00711A2D"/>
    <w:rsid w:val="00712449"/>
    <w:rsid w:val="007129A3"/>
    <w:rsid w:val="00713110"/>
    <w:rsid w:val="00713111"/>
    <w:rsid w:val="0071336D"/>
    <w:rsid w:val="00713552"/>
    <w:rsid w:val="0071366B"/>
    <w:rsid w:val="007136DE"/>
    <w:rsid w:val="0071533A"/>
    <w:rsid w:val="00715AA9"/>
    <w:rsid w:val="00715D91"/>
    <w:rsid w:val="00715E86"/>
    <w:rsid w:val="007164BA"/>
    <w:rsid w:val="00716975"/>
    <w:rsid w:val="00716F0A"/>
    <w:rsid w:val="007177DA"/>
    <w:rsid w:val="007178B2"/>
    <w:rsid w:val="00720086"/>
    <w:rsid w:val="00720C1F"/>
    <w:rsid w:val="00720E4D"/>
    <w:rsid w:val="007211AA"/>
    <w:rsid w:val="007214FF"/>
    <w:rsid w:val="00722089"/>
    <w:rsid w:val="0072219A"/>
    <w:rsid w:val="00722D86"/>
    <w:rsid w:val="0072316B"/>
    <w:rsid w:val="0072329A"/>
    <w:rsid w:val="00723A88"/>
    <w:rsid w:val="00723B4D"/>
    <w:rsid w:val="00723CC9"/>
    <w:rsid w:val="007240BC"/>
    <w:rsid w:val="00724A4E"/>
    <w:rsid w:val="00724D69"/>
    <w:rsid w:val="0072610B"/>
    <w:rsid w:val="00727F44"/>
    <w:rsid w:val="00730837"/>
    <w:rsid w:val="00730DF9"/>
    <w:rsid w:val="007310B1"/>
    <w:rsid w:val="0073242E"/>
    <w:rsid w:val="0073289D"/>
    <w:rsid w:val="00732958"/>
    <w:rsid w:val="0073317B"/>
    <w:rsid w:val="0073374A"/>
    <w:rsid w:val="00733FC4"/>
    <w:rsid w:val="00734C84"/>
    <w:rsid w:val="0073514D"/>
    <w:rsid w:val="0073527E"/>
    <w:rsid w:val="0073556B"/>
    <w:rsid w:val="007357D8"/>
    <w:rsid w:val="00735B38"/>
    <w:rsid w:val="0073646B"/>
    <w:rsid w:val="00737455"/>
    <w:rsid w:val="00737964"/>
    <w:rsid w:val="00737BEC"/>
    <w:rsid w:val="00740B8D"/>
    <w:rsid w:val="007413C3"/>
    <w:rsid w:val="00742D58"/>
    <w:rsid w:val="00742FC7"/>
    <w:rsid w:val="00743130"/>
    <w:rsid w:val="007434CB"/>
    <w:rsid w:val="00743A86"/>
    <w:rsid w:val="00743B19"/>
    <w:rsid w:val="007450AE"/>
    <w:rsid w:val="0074510A"/>
    <w:rsid w:val="00745112"/>
    <w:rsid w:val="00745242"/>
    <w:rsid w:val="007460A5"/>
    <w:rsid w:val="007463FF"/>
    <w:rsid w:val="007471EA"/>
    <w:rsid w:val="0074746E"/>
    <w:rsid w:val="007476CD"/>
    <w:rsid w:val="007477E3"/>
    <w:rsid w:val="00750110"/>
    <w:rsid w:val="007505EE"/>
    <w:rsid w:val="00750BEF"/>
    <w:rsid w:val="00750E90"/>
    <w:rsid w:val="007512D7"/>
    <w:rsid w:val="00751324"/>
    <w:rsid w:val="00751D8C"/>
    <w:rsid w:val="007528D1"/>
    <w:rsid w:val="00752C0C"/>
    <w:rsid w:val="00752E09"/>
    <w:rsid w:val="007539DC"/>
    <w:rsid w:val="00753A9F"/>
    <w:rsid w:val="007545F0"/>
    <w:rsid w:val="00754DA7"/>
    <w:rsid w:val="00755366"/>
    <w:rsid w:val="0075550B"/>
    <w:rsid w:val="00755582"/>
    <w:rsid w:val="007556B2"/>
    <w:rsid w:val="007568D1"/>
    <w:rsid w:val="00756EFA"/>
    <w:rsid w:val="00757161"/>
    <w:rsid w:val="00757C14"/>
    <w:rsid w:val="00760314"/>
    <w:rsid w:val="00760523"/>
    <w:rsid w:val="00762606"/>
    <w:rsid w:val="007632E1"/>
    <w:rsid w:val="00764A71"/>
    <w:rsid w:val="00764DF3"/>
    <w:rsid w:val="00764F58"/>
    <w:rsid w:val="00764FC9"/>
    <w:rsid w:val="007651ED"/>
    <w:rsid w:val="00765CDE"/>
    <w:rsid w:val="00765DB8"/>
    <w:rsid w:val="00766ECE"/>
    <w:rsid w:val="00766FF2"/>
    <w:rsid w:val="00767155"/>
    <w:rsid w:val="00767171"/>
    <w:rsid w:val="0077118A"/>
    <w:rsid w:val="00771D70"/>
    <w:rsid w:val="00772561"/>
    <w:rsid w:val="007728B6"/>
    <w:rsid w:val="0077300D"/>
    <w:rsid w:val="0077364E"/>
    <w:rsid w:val="00773B26"/>
    <w:rsid w:val="00773B4A"/>
    <w:rsid w:val="007740E5"/>
    <w:rsid w:val="00776134"/>
    <w:rsid w:val="00776542"/>
    <w:rsid w:val="00776752"/>
    <w:rsid w:val="00777349"/>
    <w:rsid w:val="0077757C"/>
    <w:rsid w:val="00777FDE"/>
    <w:rsid w:val="00780481"/>
    <w:rsid w:val="00780792"/>
    <w:rsid w:val="00780F7C"/>
    <w:rsid w:val="00780FF2"/>
    <w:rsid w:val="00782294"/>
    <w:rsid w:val="0078338D"/>
    <w:rsid w:val="00783C8F"/>
    <w:rsid w:val="00784780"/>
    <w:rsid w:val="0078578C"/>
    <w:rsid w:val="007858EB"/>
    <w:rsid w:val="0078594A"/>
    <w:rsid w:val="0078625E"/>
    <w:rsid w:val="00786A02"/>
    <w:rsid w:val="00787462"/>
    <w:rsid w:val="00787614"/>
    <w:rsid w:val="00787756"/>
    <w:rsid w:val="0078783D"/>
    <w:rsid w:val="00790DA3"/>
    <w:rsid w:val="00791116"/>
    <w:rsid w:val="00791B5D"/>
    <w:rsid w:val="0079287A"/>
    <w:rsid w:val="00793129"/>
    <w:rsid w:val="00793668"/>
    <w:rsid w:val="00793AAE"/>
    <w:rsid w:val="00794030"/>
    <w:rsid w:val="007944F5"/>
    <w:rsid w:val="00794D8F"/>
    <w:rsid w:val="00794FF5"/>
    <w:rsid w:val="0079503B"/>
    <w:rsid w:val="00795175"/>
    <w:rsid w:val="00795366"/>
    <w:rsid w:val="0079572E"/>
    <w:rsid w:val="007958FA"/>
    <w:rsid w:val="00796B08"/>
    <w:rsid w:val="0079761E"/>
    <w:rsid w:val="00797651"/>
    <w:rsid w:val="007A0356"/>
    <w:rsid w:val="007A1688"/>
    <w:rsid w:val="007A234C"/>
    <w:rsid w:val="007A25C9"/>
    <w:rsid w:val="007A2631"/>
    <w:rsid w:val="007A2828"/>
    <w:rsid w:val="007A283A"/>
    <w:rsid w:val="007A331D"/>
    <w:rsid w:val="007A3895"/>
    <w:rsid w:val="007A3F12"/>
    <w:rsid w:val="007A4063"/>
    <w:rsid w:val="007A46EF"/>
    <w:rsid w:val="007A5D5F"/>
    <w:rsid w:val="007A689D"/>
    <w:rsid w:val="007A68C3"/>
    <w:rsid w:val="007B0044"/>
    <w:rsid w:val="007B082A"/>
    <w:rsid w:val="007B0833"/>
    <w:rsid w:val="007B1789"/>
    <w:rsid w:val="007B1A08"/>
    <w:rsid w:val="007B1D07"/>
    <w:rsid w:val="007B268E"/>
    <w:rsid w:val="007B2720"/>
    <w:rsid w:val="007B339D"/>
    <w:rsid w:val="007B358C"/>
    <w:rsid w:val="007B3793"/>
    <w:rsid w:val="007B3BBC"/>
    <w:rsid w:val="007B3F67"/>
    <w:rsid w:val="007B4D12"/>
    <w:rsid w:val="007B5870"/>
    <w:rsid w:val="007B659E"/>
    <w:rsid w:val="007B667D"/>
    <w:rsid w:val="007B6731"/>
    <w:rsid w:val="007B6F7C"/>
    <w:rsid w:val="007B7031"/>
    <w:rsid w:val="007B72E5"/>
    <w:rsid w:val="007B7591"/>
    <w:rsid w:val="007B772C"/>
    <w:rsid w:val="007C065A"/>
    <w:rsid w:val="007C07AC"/>
    <w:rsid w:val="007C1709"/>
    <w:rsid w:val="007C1FFB"/>
    <w:rsid w:val="007C2717"/>
    <w:rsid w:val="007C2F22"/>
    <w:rsid w:val="007C3224"/>
    <w:rsid w:val="007C376F"/>
    <w:rsid w:val="007C3F4A"/>
    <w:rsid w:val="007C3F6E"/>
    <w:rsid w:val="007C4A7F"/>
    <w:rsid w:val="007C4AC7"/>
    <w:rsid w:val="007C4D8C"/>
    <w:rsid w:val="007C5699"/>
    <w:rsid w:val="007C6259"/>
    <w:rsid w:val="007C62E9"/>
    <w:rsid w:val="007C70CA"/>
    <w:rsid w:val="007C77D8"/>
    <w:rsid w:val="007C7BF4"/>
    <w:rsid w:val="007D1CA6"/>
    <w:rsid w:val="007D1CF5"/>
    <w:rsid w:val="007D350C"/>
    <w:rsid w:val="007D3596"/>
    <w:rsid w:val="007D4816"/>
    <w:rsid w:val="007D52BE"/>
    <w:rsid w:val="007D59DA"/>
    <w:rsid w:val="007D62BB"/>
    <w:rsid w:val="007D6493"/>
    <w:rsid w:val="007D6F58"/>
    <w:rsid w:val="007E04A1"/>
    <w:rsid w:val="007E0BAB"/>
    <w:rsid w:val="007E1059"/>
    <w:rsid w:val="007E11B4"/>
    <w:rsid w:val="007E14BA"/>
    <w:rsid w:val="007E1F71"/>
    <w:rsid w:val="007E2BEA"/>
    <w:rsid w:val="007E2C1B"/>
    <w:rsid w:val="007E3D25"/>
    <w:rsid w:val="007E4613"/>
    <w:rsid w:val="007E4D69"/>
    <w:rsid w:val="007E6068"/>
    <w:rsid w:val="007E66A8"/>
    <w:rsid w:val="007E688F"/>
    <w:rsid w:val="007E6C35"/>
    <w:rsid w:val="007E71FD"/>
    <w:rsid w:val="007E7F95"/>
    <w:rsid w:val="007F0351"/>
    <w:rsid w:val="007F0AAA"/>
    <w:rsid w:val="007F0FCD"/>
    <w:rsid w:val="007F3058"/>
    <w:rsid w:val="007F3134"/>
    <w:rsid w:val="007F3163"/>
    <w:rsid w:val="007F3C1E"/>
    <w:rsid w:val="007F4230"/>
    <w:rsid w:val="007F6D13"/>
    <w:rsid w:val="00800B88"/>
    <w:rsid w:val="00800E30"/>
    <w:rsid w:val="008015F8"/>
    <w:rsid w:val="008017E8"/>
    <w:rsid w:val="008024B7"/>
    <w:rsid w:val="00802F26"/>
    <w:rsid w:val="0080333D"/>
    <w:rsid w:val="00803CC8"/>
    <w:rsid w:val="00804507"/>
    <w:rsid w:val="008058C0"/>
    <w:rsid w:val="00805EF4"/>
    <w:rsid w:val="00806202"/>
    <w:rsid w:val="008062F1"/>
    <w:rsid w:val="0080761B"/>
    <w:rsid w:val="00807E53"/>
    <w:rsid w:val="00810067"/>
    <w:rsid w:val="008101E6"/>
    <w:rsid w:val="00811541"/>
    <w:rsid w:val="008120BF"/>
    <w:rsid w:val="00812422"/>
    <w:rsid w:val="00812654"/>
    <w:rsid w:val="00812C7B"/>
    <w:rsid w:val="00813258"/>
    <w:rsid w:val="00813512"/>
    <w:rsid w:val="00813E7C"/>
    <w:rsid w:val="0081470A"/>
    <w:rsid w:val="00814EBD"/>
    <w:rsid w:val="0081523C"/>
    <w:rsid w:val="00815672"/>
    <w:rsid w:val="00816216"/>
    <w:rsid w:val="00816C5A"/>
    <w:rsid w:val="00817611"/>
    <w:rsid w:val="00817A65"/>
    <w:rsid w:val="00817DDC"/>
    <w:rsid w:val="00820A62"/>
    <w:rsid w:val="00821330"/>
    <w:rsid w:val="0082193D"/>
    <w:rsid w:val="00822015"/>
    <w:rsid w:val="00822B4B"/>
    <w:rsid w:val="00822D2A"/>
    <w:rsid w:val="0082325B"/>
    <w:rsid w:val="008241F7"/>
    <w:rsid w:val="00825A1D"/>
    <w:rsid w:val="00825A38"/>
    <w:rsid w:val="00825E39"/>
    <w:rsid w:val="008263C9"/>
    <w:rsid w:val="008266B5"/>
    <w:rsid w:val="00826BD9"/>
    <w:rsid w:val="0082782E"/>
    <w:rsid w:val="00827F72"/>
    <w:rsid w:val="0083042E"/>
    <w:rsid w:val="00830785"/>
    <w:rsid w:val="0083103A"/>
    <w:rsid w:val="00831288"/>
    <w:rsid w:val="00831B96"/>
    <w:rsid w:val="0083223A"/>
    <w:rsid w:val="008322C9"/>
    <w:rsid w:val="0083272A"/>
    <w:rsid w:val="00833160"/>
    <w:rsid w:val="00833983"/>
    <w:rsid w:val="00833F78"/>
    <w:rsid w:val="00834E84"/>
    <w:rsid w:val="008355B3"/>
    <w:rsid w:val="00835612"/>
    <w:rsid w:val="00837000"/>
    <w:rsid w:val="008374FB"/>
    <w:rsid w:val="00837545"/>
    <w:rsid w:val="0084001D"/>
    <w:rsid w:val="00840EEF"/>
    <w:rsid w:val="0084131F"/>
    <w:rsid w:val="00841505"/>
    <w:rsid w:val="008416FE"/>
    <w:rsid w:val="00841BF3"/>
    <w:rsid w:val="00841EE9"/>
    <w:rsid w:val="00842A91"/>
    <w:rsid w:val="0084316C"/>
    <w:rsid w:val="008432F7"/>
    <w:rsid w:val="00844975"/>
    <w:rsid w:val="00844A42"/>
    <w:rsid w:val="00844BC8"/>
    <w:rsid w:val="00845FF8"/>
    <w:rsid w:val="0084619F"/>
    <w:rsid w:val="00846ABF"/>
    <w:rsid w:val="00846FDF"/>
    <w:rsid w:val="00850130"/>
    <w:rsid w:val="00850367"/>
    <w:rsid w:val="008505EC"/>
    <w:rsid w:val="00851655"/>
    <w:rsid w:val="00851BA1"/>
    <w:rsid w:val="008527CD"/>
    <w:rsid w:val="00852DE1"/>
    <w:rsid w:val="00853CE9"/>
    <w:rsid w:val="00854373"/>
    <w:rsid w:val="00854B62"/>
    <w:rsid w:val="00854C71"/>
    <w:rsid w:val="00854FD3"/>
    <w:rsid w:val="008550C9"/>
    <w:rsid w:val="00855411"/>
    <w:rsid w:val="00855443"/>
    <w:rsid w:val="00855502"/>
    <w:rsid w:val="00855635"/>
    <w:rsid w:val="00855BC8"/>
    <w:rsid w:val="00860921"/>
    <w:rsid w:val="00861DA7"/>
    <w:rsid w:val="00862555"/>
    <w:rsid w:val="0086255B"/>
    <w:rsid w:val="008625E8"/>
    <w:rsid w:val="00862C9B"/>
    <w:rsid w:val="0086364E"/>
    <w:rsid w:val="008646D8"/>
    <w:rsid w:val="0086480D"/>
    <w:rsid w:val="008653D7"/>
    <w:rsid w:val="00865513"/>
    <w:rsid w:val="00866061"/>
    <w:rsid w:val="0086625E"/>
    <w:rsid w:val="008662C6"/>
    <w:rsid w:val="00866596"/>
    <w:rsid w:val="00866860"/>
    <w:rsid w:val="008713AC"/>
    <w:rsid w:val="008714D9"/>
    <w:rsid w:val="00871E43"/>
    <w:rsid w:val="008722D9"/>
    <w:rsid w:val="00872AEA"/>
    <w:rsid w:val="00872AED"/>
    <w:rsid w:val="00872C99"/>
    <w:rsid w:val="008730B0"/>
    <w:rsid w:val="008734AF"/>
    <w:rsid w:val="008745C7"/>
    <w:rsid w:val="0087490B"/>
    <w:rsid w:val="00875992"/>
    <w:rsid w:val="00875F4E"/>
    <w:rsid w:val="008772AD"/>
    <w:rsid w:val="00877657"/>
    <w:rsid w:val="00877D02"/>
    <w:rsid w:val="00877E1C"/>
    <w:rsid w:val="008812DE"/>
    <w:rsid w:val="00881A27"/>
    <w:rsid w:val="008826CF"/>
    <w:rsid w:val="008828CF"/>
    <w:rsid w:val="008831FC"/>
    <w:rsid w:val="00883A14"/>
    <w:rsid w:val="00884619"/>
    <w:rsid w:val="008849FF"/>
    <w:rsid w:val="008855AD"/>
    <w:rsid w:val="00886320"/>
    <w:rsid w:val="00886AA1"/>
    <w:rsid w:val="00887183"/>
    <w:rsid w:val="00887ACA"/>
    <w:rsid w:val="00887CCE"/>
    <w:rsid w:val="00887DE5"/>
    <w:rsid w:val="00890514"/>
    <w:rsid w:val="0089166D"/>
    <w:rsid w:val="008919D9"/>
    <w:rsid w:val="00891BAC"/>
    <w:rsid w:val="00892DFB"/>
    <w:rsid w:val="00892E2E"/>
    <w:rsid w:val="008931B7"/>
    <w:rsid w:val="00893884"/>
    <w:rsid w:val="00893A9E"/>
    <w:rsid w:val="00893E6F"/>
    <w:rsid w:val="0089418C"/>
    <w:rsid w:val="00894B1D"/>
    <w:rsid w:val="00894BCC"/>
    <w:rsid w:val="00896642"/>
    <w:rsid w:val="00897035"/>
    <w:rsid w:val="00897A3C"/>
    <w:rsid w:val="00897B86"/>
    <w:rsid w:val="00897C7E"/>
    <w:rsid w:val="008A014F"/>
    <w:rsid w:val="008A0601"/>
    <w:rsid w:val="008A087E"/>
    <w:rsid w:val="008A1113"/>
    <w:rsid w:val="008A11C9"/>
    <w:rsid w:val="008A14FE"/>
    <w:rsid w:val="008A1597"/>
    <w:rsid w:val="008A1B44"/>
    <w:rsid w:val="008A28FA"/>
    <w:rsid w:val="008A2BA1"/>
    <w:rsid w:val="008A2FA6"/>
    <w:rsid w:val="008A3337"/>
    <w:rsid w:val="008A4348"/>
    <w:rsid w:val="008A4843"/>
    <w:rsid w:val="008A4D55"/>
    <w:rsid w:val="008A55DD"/>
    <w:rsid w:val="008A5947"/>
    <w:rsid w:val="008A5AC8"/>
    <w:rsid w:val="008A5B52"/>
    <w:rsid w:val="008A5B90"/>
    <w:rsid w:val="008A6458"/>
    <w:rsid w:val="008A657C"/>
    <w:rsid w:val="008A6C85"/>
    <w:rsid w:val="008B020D"/>
    <w:rsid w:val="008B0289"/>
    <w:rsid w:val="008B07CF"/>
    <w:rsid w:val="008B122E"/>
    <w:rsid w:val="008B1601"/>
    <w:rsid w:val="008B18A3"/>
    <w:rsid w:val="008B223F"/>
    <w:rsid w:val="008B2D4D"/>
    <w:rsid w:val="008B2FD0"/>
    <w:rsid w:val="008B3C63"/>
    <w:rsid w:val="008B410D"/>
    <w:rsid w:val="008B4335"/>
    <w:rsid w:val="008B469E"/>
    <w:rsid w:val="008B6221"/>
    <w:rsid w:val="008B65A5"/>
    <w:rsid w:val="008B6D0A"/>
    <w:rsid w:val="008B6D39"/>
    <w:rsid w:val="008B6D51"/>
    <w:rsid w:val="008B729D"/>
    <w:rsid w:val="008B76BA"/>
    <w:rsid w:val="008C0A1A"/>
    <w:rsid w:val="008C111C"/>
    <w:rsid w:val="008C2E16"/>
    <w:rsid w:val="008C37F0"/>
    <w:rsid w:val="008C4EEC"/>
    <w:rsid w:val="008C556C"/>
    <w:rsid w:val="008C5E2F"/>
    <w:rsid w:val="008C6E48"/>
    <w:rsid w:val="008C6FE9"/>
    <w:rsid w:val="008D0379"/>
    <w:rsid w:val="008D0662"/>
    <w:rsid w:val="008D091B"/>
    <w:rsid w:val="008D13E6"/>
    <w:rsid w:val="008D18F4"/>
    <w:rsid w:val="008D1E89"/>
    <w:rsid w:val="008D2A6C"/>
    <w:rsid w:val="008D2DD7"/>
    <w:rsid w:val="008D3A99"/>
    <w:rsid w:val="008D3C7D"/>
    <w:rsid w:val="008D4115"/>
    <w:rsid w:val="008D5679"/>
    <w:rsid w:val="008D58A3"/>
    <w:rsid w:val="008D5A54"/>
    <w:rsid w:val="008D5BD2"/>
    <w:rsid w:val="008D64E5"/>
    <w:rsid w:val="008D724C"/>
    <w:rsid w:val="008D7C97"/>
    <w:rsid w:val="008D7DA8"/>
    <w:rsid w:val="008E03B4"/>
    <w:rsid w:val="008E24CC"/>
    <w:rsid w:val="008E263D"/>
    <w:rsid w:val="008E3062"/>
    <w:rsid w:val="008E344F"/>
    <w:rsid w:val="008E347E"/>
    <w:rsid w:val="008E3815"/>
    <w:rsid w:val="008E3F3E"/>
    <w:rsid w:val="008E4BBE"/>
    <w:rsid w:val="008E4F26"/>
    <w:rsid w:val="008E544D"/>
    <w:rsid w:val="008E5502"/>
    <w:rsid w:val="008E5F7B"/>
    <w:rsid w:val="008E7AD6"/>
    <w:rsid w:val="008F00AF"/>
    <w:rsid w:val="008F0744"/>
    <w:rsid w:val="008F13EB"/>
    <w:rsid w:val="008F23BF"/>
    <w:rsid w:val="008F2C31"/>
    <w:rsid w:val="008F2CD5"/>
    <w:rsid w:val="008F32BE"/>
    <w:rsid w:val="008F345C"/>
    <w:rsid w:val="008F5ACD"/>
    <w:rsid w:val="008F5F0D"/>
    <w:rsid w:val="008F6262"/>
    <w:rsid w:val="008F7A6B"/>
    <w:rsid w:val="008F7F33"/>
    <w:rsid w:val="00900748"/>
    <w:rsid w:val="0090104F"/>
    <w:rsid w:val="00901142"/>
    <w:rsid w:val="009011D8"/>
    <w:rsid w:val="00901393"/>
    <w:rsid w:val="00901D29"/>
    <w:rsid w:val="00902046"/>
    <w:rsid w:val="00903819"/>
    <w:rsid w:val="00903F2E"/>
    <w:rsid w:val="0090420E"/>
    <w:rsid w:val="00904419"/>
    <w:rsid w:val="009045BF"/>
    <w:rsid w:val="0090486F"/>
    <w:rsid w:val="0090542A"/>
    <w:rsid w:val="00905525"/>
    <w:rsid w:val="00905616"/>
    <w:rsid w:val="009058B7"/>
    <w:rsid w:val="00905F4D"/>
    <w:rsid w:val="009062D3"/>
    <w:rsid w:val="009067F7"/>
    <w:rsid w:val="0090683E"/>
    <w:rsid w:val="00906A56"/>
    <w:rsid w:val="009074F0"/>
    <w:rsid w:val="009108DD"/>
    <w:rsid w:val="00910DC3"/>
    <w:rsid w:val="00911BC6"/>
    <w:rsid w:val="00912168"/>
    <w:rsid w:val="00912C14"/>
    <w:rsid w:val="0091339B"/>
    <w:rsid w:val="0091385F"/>
    <w:rsid w:val="0091405D"/>
    <w:rsid w:val="00914CD9"/>
    <w:rsid w:val="00915C00"/>
    <w:rsid w:val="0091614D"/>
    <w:rsid w:val="00916D1A"/>
    <w:rsid w:val="00916FB6"/>
    <w:rsid w:val="0091705E"/>
    <w:rsid w:val="009170D4"/>
    <w:rsid w:val="00917400"/>
    <w:rsid w:val="009177AD"/>
    <w:rsid w:val="0092010E"/>
    <w:rsid w:val="009202C7"/>
    <w:rsid w:val="009212CD"/>
    <w:rsid w:val="00921DAD"/>
    <w:rsid w:val="00922A23"/>
    <w:rsid w:val="00922F25"/>
    <w:rsid w:val="00923FAE"/>
    <w:rsid w:val="00924260"/>
    <w:rsid w:val="00924502"/>
    <w:rsid w:val="009245D3"/>
    <w:rsid w:val="009255CE"/>
    <w:rsid w:val="009267A6"/>
    <w:rsid w:val="00927037"/>
    <w:rsid w:val="00927230"/>
    <w:rsid w:val="00930430"/>
    <w:rsid w:val="00930748"/>
    <w:rsid w:val="00932778"/>
    <w:rsid w:val="00933030"/>
    <w:rsid w:val="00934914"/>
    <w:rsid w:val="00935A38"/>
    <w:rsid w:val="00935B9F"/>
    <w:rsid w:val="0093657E"/>
    <w:rsid w:val="00937647"/>
    <w:rsid w:val="00940631"/>
    <w:rsid w:val="0094180C"/>
    <w:rsid w:val="00942091"/>
    <w:rsid w:val="009425EE"/>
    <w:rsid w:val="00944928"/>
    <w:rsid w:val="00944A9B"/>
    <w:rsid w:val="0094516F"/>
    <w:rsid w:val="009451DE"/>
    <w:rsid w:val="00945315"/>
    <w:rsid w:val="00946009"/>
    <w:rsid w:val="00946506"/>
    <w:rsid w:val="0095060C"/>
    <w:rsid w:val="00950C74"/>
    <w:rsid w:val="009511A9"/>
    <w:rsid w:val="009512A0"/>
    <w:rsid w:val="0095161C"/>
    <w:rsid w:val="00951E8F"/>
    <w:rsid w:val="00952D82"/>
    <w:rsid w:val="00952E84"/>
    <w:rsid w:val="00953036"/>
    <w:rsid w:val="00953268"/>
    <w:rsid w:val="00953460"/>
    <w:rsid w:val="00953D58"/>
    <w:rsid w:val="00955079"/>
    <w:rsid w:val="00955481"/>
    <w:rsid w:val="009554C7"/>
    <w:rsid w:val="009557EE"/>
    <w:rsid w:val="00955EC5"/>
    <w:rsid w:val="009561DC"/>
    <w:rsid w:val="009566DE"/>
    <w:rsid w:val="00957756"/>
    <w:rsid w:val="0095778B"/>
    <w:rsid w:val="009614DF"/>
    <w:rsid w:val="00961D41"/>
    <w:rsid w:val="009623D0"/>
    <w:rsid w:val="009626E1"/>
    <w:rsid w:val="00962AF9"/>
    <w:rsid w:val="009632A4"/>
    <w:rsid w:val="00963A33"/>
    <w:rsid w:val="009642AC"/>
    <w:rsid w:val="0096448F"/>
    <w:rsid w:val="00964782"/>
    <w:rsid w:val="00965993"/>
    <w:rsid w:val="0096669C"/>
    <w:rsid w:val="00966905"/>
    <w:rsid w:val="00966BE3"/>
    <w:rsid w:val="0096707E"/>
    <w:rsid w:val="0096751F"/>
    <w:rsid w:val="00970648"/>
    <w:rsid w:val="00970A28"/>
    <w:rsid w:val="009716DD"/>
    <w:rsid w:val="0097190C"/>
    <w:rsid w:val="00972224"/>
    <w:rsid w:val="00972721"/>
    <w:rsid w:val="009730C2"/>
    <w:rsid w:val="0097316B"/>
    <w:rsid w:val="00973B64"/>
    <w:rsid w:val="00973C43"/>
    <w:rsid w:val="00974B1F"/>
    <w:rsid w:val="009752C9"/>
    <w:rsid w:val="009752DB"/>
    <w:rsid w:val="0097605E"/>
    <w:rsid w:val="00976D96"/>
    <w:rsid w:val="009774F2"/>
    <w:rsid w:val="0097775B"/>
    <w:rsid w:val="00977B74"/>
    <w:rsid w:val="00977E36"/>
    <w:rsid w:val="00980750"/>
    <w:rsid w:val="0098087E"/>
    <w:rsid w:val="00980BD0"/>
    <w:rsid w:val="00981821"/>
    <w:rsid w:val="009825C4"/>
    <w:rsid w:val="00983365"/>
    <w:rsid w:val="009833C9"/>
    <w:rsid w:val="009863C6"/>
    <w:rsid w:val="009865B4"/>
    <w:rsid w:val="00986BD2"/>
    <w:rsid w:val="00986C49"/>
    <w:rsid w:val="00986CD7"/>
    <w:rsid w:val="009877FB"/>
    <w:rsid w:val="00990887"/>
    <w:rsid w:val="00991012"/>
    <w:rsid w:val="00991022"/>
    <w:rsid w:val="009913A2"/>
    <w:rsid w:val="00991B71"/>
    <w:rsid w:val="00992AC4"/>
    <w:rsid w:val="00993FE7"/>
    <w:rsid w:val="00994350"/>
    <w:rsid w:val="00994CF8"/>
    <w:rsid w:val="009950CE"/>
    <w:rsid w:val="00995485"/>
    <w:rsid w:val="00995B17"/>
    <w:rsid w:val="00995C6B"/>
    <w:rsid w:val="00995F45"/>
    <w:rsid w:val="009964F2"/>
    <w:rsid w:val="009968CF"/>
    <w:rsid w:val="00996A2A"/>
    <w:rsid w:val="009A17DF"/>
    <w:rsid w:val="009A1FBA"/>
    <w:rsid w:val="009A2DC7"/>
    <w:rsid w:val="009A3486"/>
    <w:rsid w:val="009A486B"/>
    <w:rsid w:val="009A5ABF"/>
    <w:rsid w:val="009A5B39"/>
    <w:rsid w:val="009A62A6"/>
    <w:rsid w:val="009A6362"/>
    <w:rsid w:val="009A7664"/>
    <w:rsid w:val="009A77F4"/>
    <w:rsid w:val="009A7F41"/>
    <w:rsid w:val="009A7FC5"/>
    <w:rsid w:val="009B03E7"/>
    <w:rsid w:val="009B0627"/>
    <w:rsid w:val="009B09C2"/>
    <w:rsid w:val="009B156B"/>
    <w:rsid w:val="009B1B09"/>
    <w:rsid w:val="009B1F90"/>
    <w:rsid w:val="009B22C9"/>
    <w:rsid w:val="009B379A"/>
    <w:rsid w:val="009B40C4"/>
    <w:rsid w:val="009B4173"/>
    <w:rsid w:val="009B4C40"/>
    <w:rsid w:val="009B4D84"/>
    <w:rsid w:val="009B5E37"/>
    <w:rsid w:val="009B60B3"/>
    <w:rsid w:val="009B6192"/>
    <w:rsid w:val="009B6E8F"/>
    <w:rsid w:val="009B6E96"/>
    <w:rsid w:val="009B724B"/>
    <w:rsid w:val="009C078B"/>
    <w:rsid w:val="009C0D58"/>
    <w:rsid w:val="009C115C"/>
    <w:rsid w:val="009C1A62"/>
    <w:rsid w:val="009C1DFA"/>
    <w:rsid w:val="009C23B7"/>
    <w:rsid w:val="009C3697"/>
    <w:rsid w:val="009C3FE7"/>
    <w:rsid w:val="009C51CF"/>
    <w:rsid w:val="009C5585"/>
    <w:rsid w:val="009C6FEA"/>
    <w:rsid w:val="009C78AD"/>
    <w:rsid w:val="009D16B9"/>
    <w:rsid w:val="009D1F1A"/>
    <w:rsid w:val="009D240E"/>
    <w:rsid w:val="009D31F2"/>
    <w:rsid w:val="009D374E"/>
    <w:rsid w:val="009D456D"/>
    <w:rsid w:val="009D470B"/>
    <w:rsid w:val="009D4957"/>
    <w:rsid w:val="009D52E5"/>
    <w:rsid w:val="009D5583"/>
    <w:rsid w:val="009D5905"/>
    <w:rsid w:val="009D5F0D"/>
    <w:rsid w:val="009D5F32"/>
    <w:rsid w:val="009D63C1"/>
    <w:rsid w:val="009D648F"/>
    <w:rsid w:val="009D66B0"/>
    <w:rsid w:val="009D67FF"/>
    <w:rsid w:val="009D7876"/>
    <w:rsid w:val="009D7BBA"/>
    <w:rsid w:val="009D7D11"/>
    <w:rsid w:val="009E068E"/>
    <w:rsid w:val="009E0BB8"/>
    <w:rsid w:val="009E0D53"/>
    <w:rsid w:val="009E1F7F"/>
    <w:rsid w:val="009E3164"/>
    <w:rsid w:val="009E3FA0"/>
    <w:rsid w:val="009E559A"/>
    <w:rsid w:val="009E5B2C"/>
    <w:rsid w:val="009E6C8D"/>
    <w:rsid w:val="009E7097"/>
    <w:rsid w:val="009F010A"/>
    <w:rsid w:val="009F0309"/>
    <w:rsid w:val="009F0988"/>
    <w:rsid w:val="009F0A7F"/>
    <w:rsid w:val="009F10AC"/>
    <w:rsid w:val="009F192E"/>
    <w:rsid w:val="009F2191"/>
    <w:rsid w:val="009F2AC4"/>
    <w:rsid w:val="009F3012"/>
    <w:rsid w:val="009F32FF"/>
    <w:rsid w:val="009F3765"/>
    <w:rsid w:val="009F48C5"/>
    <w:rsid w:val="009F535A"/>
    <w:rsid w:val="009F584F"/>
    <w:rsid w:val="009F7441"/>
    <w:rsid w:val="009F7A29"/>
    <w:rsid w:val="009F7B35"/>
    <w:rsid w:val="00A00CE8"/>
    <w:rsid w:val="00A00FBF"/>
    <w:rsid w:val="00A0112F"/>
    <w:rsid w:val="00A013A2"/>
    <w:rsid w:val="00A01F93"/>
    <w:rsid w:val="00A01FE0"/>
    <w:rsid w:val="00A022DC"/>
    <w:rsid w:val="00A02537"/>
    <w:rsid w:val="00A02825"/>
    <w:rsid w:val="00A02C47"/>
    <w:rsid w:val="00A031FA"/>
    <w:rsid w:val="00A040C4"/>
    <w:rsid w:val="00A04299"/>
    <w:rsid w:val="00A042E3"/>
    <w:rsid w:val="00A04812"/>
    <w:rsid w:val="00A05CE0"/>
    <w:rsid w:val="00A05D2B"/>
    <w:rsid w:val="00A05DAA"/>
    <w:rsid w:val="00A064C9"/>
    <w:rsid w:val="00A066F9"/>
    <w:rsid w:val="00A07044"/>
    <w:rsid w:val="00A101CE"/>
    <w:rsid w:val="00A102A0"/>
    <w:rsid w:val="00A1040F"/>
    <w:rsid w:val="00A10A36"/>
    <w:rsid w:val="00A1141F"/>
    <w:rsid w:val="00A11463"/>
    <w:rsid w:val="00A11E24"/>
    <w:rsid w:val="00A12493"/>
    <w:rsid w:val="00A1362D"/>
    <w:rsid w:val="00A136F5"/>
    <w:rsid w:val="00A13A5A"/>
    <w:rsid w:val="00A13D37"/>
    <w:rsid w:val="00A1543D"/>
    <w:rsid w:val="00A154EE"/>
    <w:rsid w:val="00A155E8"/>
    <w:rsid w:val="00A1594F"/>
    <w:rsid w:val="00A15C6D"/>
    <w:rsid w:val="00A16894"/>
    <w:rsid w:val="00A171EC"/>
    <w:rsid w:val="00A172B7"/>
    <w:rsid w:val="00A17393"/>
    <w:rsid w:val="00A213E6"/>
    <w:rsid w:val="00A21992"/>
    <w:rsid w:val="00A21AE4"/>
    <w:rsid w:val="00A21C17"/>
    <w:rsid w:val="00A21CC6"/>
    <w:rsid w:val="00A22BCB"/>
    <w:rsid w:val="00A22CF7"/>
    <w:rsid w:val="00A2477C"/>
    <w:rsid w:val="00A24BAF"/>
    <w:rsid w:val="00A24F9A"/>
    <w:rsid w:val="00A256B2"/>
    <w:rsid w:val="00A26201"/>
    <w:rsid w:val="00A26CE2"/>
    <w:rsid w:val="00A26EB1"/>
    <w:rsid w:val="00A2717F"/>
    <w:rsid w:val="00A274A8"/>
    <w:rsid w:val="00A27A86"/>
    <w:rsid w:val="00A30126"/>
    <w:rsid w:val="00A302F9"/>
    <w:rsid w:val="00A30627"/>
    <w:rsid w:val="00A30F77"/>
    <w:rsid w:val="00A3119B"/>
    <w:rsid w:val="00A31966"/>
    <w:rsid w:val="00A3312A"/>
    <w:rsid w:val="00A331AA"/>
    <w:rsid w:val="00A334BF"/>
    <w:rsid w:val="00A336E2"/>
    <w:rsid w:val="00A33852"/>
    <w:rsid w:val="00A34114"/>
    <w:rsid w:val="00A3477B"/>
    <w:rsid w:val="00A34A59"/>
    <w:rsid w:val="00A364C6"/>
    <w:rsid w:val="00A368A9"/>
    <w:rsid w:val="00A36E61"/>
    <w:rsid w:val="00A36E93"/>
    <w:rsid w:val="00A37551"/>
    <w:rsid w:val="00A40C78"/>
    <w:rsid w:val="00A40E5D"/>
    <w:rsid w:val="00A4107C"/>
    <w:rsid w:val="00A41945"/>
    <w:rsid w:val="00A41DB2"/>
    <w:rsid w:val="00A42119"/>
    <w:rsid w:val="00A43051"/>
    <w:rsid w:val="00A43EC3"/>
    <w:rsid w:val="00A448C8"/>
    <w:rsid w:val="00A45076"/>
    <w:rsid w:val="00A456B0"/>
    <w:rsid w:val="00A457FF"/>
    <w:rsid w:val="00A45854"/>
    <w:rsid w:val="00A45997"/>
    <w:rsid w:val="00A45E00"/>
    <w:rsid w:val="00A4650D"/>
    <w:rsid w:val="00A4671F"/>
    <w:rsid w:val="00A46B66"/>
    <w:rsid w:val="00A46F67"/>
    <w:rsid w:val="00A47A42"/>
    <w:rsid w:val="00A501D1"/>
    <w:rsid w:val="00A5082B"/>
    <w:rsid w:val="00A5163A"/>
    <w:rsid w:val="00A51E35"/>
    <w:rsid w:val="00A52170"/>
    <w:rsid w:val="00A53138"/>
    <w:rsid w:val="00A5327A"/>
    <w:rsid w:val="00A53B57"/>
    <w:rsid w:val="00A5434C"/>
    <w:rsid w:val="00A54F96"/>
    <w:rsid w:val="00A54FBF"/>
    <w:rsid w:val="00A55307"/>
    <w:rsid w:val="00A555D1"/>
    <w:rsid w:val="00A57B45"/>
    <w:rsid w:val="00A57CAD"/>
    <w:rsid w:val="00A60E22"/>
    <w:rsid w:val="00A616AA"/>
    <w:rsid w:val="00A62E16"/>
    <w:rsid w:val="00A630DB"/>
    <w:rsid w:val="00A63467"/>
    <w:rsid w:val="00A63693"/>
    <w:rsid w:val="00A636F2"/>
    <w:rsid w:val="00A639EC"/>
    <w:rsid w:val="00A643C1"/>
    <w:rsid w:val="00A645B2"/>
    <w:rsid w:val="00A6501C"/>
    <w:rsid w:val="00A65089"/>
    <w:rsid w:val="00A65138"/>
    <w:rsid w:val="00A652E8"/>
    <w:rsid w:val="00A65DD7"/>
    <w:rsid w:val="00A66184"/>
    <w:rsid w:val="00A67124"/>
    <w:rsid w:val="00A67CB1"/>
    <w:rsid w:val="00A67EAB"/>
    <w:rsid w:val="00A67EBF"/>
    <w:rsid w:val="00A7000C"/>
    <w:rsid w:val="00A71B28"/>
    <w:rsid w:val="00A72307"/>
    <w:rsid w:val="00A72C40"/>
    <w:rsid w:val="00A7332D"/>
    <w:rsid w:val="00A73C68"/>
    <w:rsid w:val="00A74218"/>
    <w:rsid w:val="00A74B97"/>
    <w:rsid w:val="00A74F89"/>
    <w:rsid w:val="00A76848"/>
    <w:rsid w:val="00A76A4F"/>
    <w:rsid w:val="00A76C01"/>
    <w:rsid w:val="00A77B15"/>
    <w:rsid w:val="00A77E0B"/>
    <w:rsid w:val="00A80936"/>
    <w:rsid w:val="00A80DB0"/>
    <w:rsid w:val="00A81244"/>
    <w:rsid w:val="00A81458"/>
    <w:rsid w:val="00A81501"/>
    <w:rsid w:val="00A82368"/>
    <w:rsid w:val="00A826F4"/>
    <w:rsid w:val="00A827BF"/>
    <w:rsid w:val="00A83114"/>
    <w:rsid w:val="00A83A21"/>
    <w:rsid w:val="00A83A24"/>
    <w:rsid w:val="00A83A66"/>
    <w:rsid w:val="00A83B60"/>
    <w:rsid w:val="00A84273"/>
    <w:rsid w:val="00A84761"/>
    <w:rsid w:val="00A84D45"/>
    <w:rsid w:val="00A85A60"/>
    <w:rsid w:val="00A85AC7"/>
    <w:rsid w:val="00A85B7D"/>
    <w:rsid w:val="00A85DA0"/>
    <w:rsid w:val="00A871A4"/>
    <w:rsid w:val="00A8767B"/>
    <w:rsid w:val="00A903FB"/>
    <w:rsid w:val="00A90540"/>
    <w:rsid w:val="00A91A45"/>
    <w:rsid w:val="00A924D2"/>
    <w:rsid w:val="00A93804"/>
    <w:rsid w:val="00A94378"/>
    <w:rsid w:val="00A947AD"/>
    <w:rsid w:val="00A94894"/>
    <w:rsid w:val="00A94C55"/>
    <w:rsid w:val="00A95072"/>
    <w:rsid w:val="00A95457"/>
    <w:rsid w:val="00A958C6"/>
    <w:rsid w:val="00A95BBE"/>
    <w:rsid w:val="00A95D50"/>
    <w:rsid w:val="00A96789"/>
    <w:rsid w:val="00A9685F"/>
    <w:rsid w:val="00A96883"/>
    <w:rsid w:val="00A9725F"/>
    <w:rsid w:val="00A974F8"/>
    <w:rsid w:val="00A9796C"/>
    <w:rsid w:val="00A97B5D"/>
    <w:rsid w:val="00A97BC1"/>
    <w:rsid w:val="00AA0B23"/>
    <w:rsid w:val="00AA189A"/>
    <w:rsid w:val="00AA2082"/>
    <w:rsid w:val="00AA21AA"/>
    <w:rsid w:val="00AA2AF9"/>
    <w:rsid w:val="00AA2F46"/>
    <w:rsid w:val="00AA2F8E"/>
    <w:rsid w:val="00AA4297"/>
    <w:rsid w:val="00AA4724"/>
    <w:rsid w:val="00AA4A36"/>
    <w:rsid w:val="00AA510F"/>
    <w:rsid w:val="00AA5192"/>
    <w:rsid w:val="00AA52DD"/>
    <w:rsid w:val="00AA52FB"/>
    <w:rsid w:val="00AA5AC2"/>
    <w:rsid w:val="00AA5AF2"/>
    <w:rsid w:val="00AA6CF5"/>
    <w:rsid w:val="00AA7610"/>
    <w:rsid w:val="00AB0867"/>
    <w:rsid w:val="00AB10E8"/>
    <w:rsid w:val="00AB1D0C"/>
    <w:rsid w:val="00AB2449"/>
    <w:rsid w:val="00AB2C01"/>
    <w:rsid w:val="00AB2DB1"/>
    <w:rsid w:val="00AB362A"/>
    <w:rsid w:val="00AB444C"/>
    <w:rsid w:val="00AB4B64"/>
    <w:rsid w:val="00AB5B26"/>
    <w:rsid w:val="00AB647E"/>
    <w:rsid w:val="00AB6A10"/>
    <w:rsid w:val="00AB6AC5"/>
    <w:rsid w:val="00AB6C8A"/>
    <w:rsid w:val="00AB73D0"/>
    <w:rsid w:val="00AB7A45"/>
    <w:rsid w:val="00AC011D"/>
    <w:rsid w:val="00AC0408"/>
    <w:rsid w:val="00AC0F10"/>
    <w:rsid w:val="00AC112C"/>
    <w:rsid w:val="00AC1639"/>
    <w:rsid w:val="00AC27E2"/>
    <w:rsid w:val="00AC2BC0"/>
    <w:rsid w:val="00AC3611"/>
    <w:rsid w:val="00AC3A8C"/>
    <w:rsid w:val="00AC3C18"/>
    <w:rsid w:val="00AC4E40"/>
    <w:rsid w:val="00AC60A6"/>
    <w:rsid w:val="00AC6343"/>
    <w:rsid w:val="00AC65E7"/>
    <w:rsid w:val="00AC6CD5"/>
    <w:rsid w:val="00AC6D80"/>
    <w:rsid w:val="00AC73BF"/>
    <w:rsid w:val="00AC74D0"/>
    <w:rsid w:val="00AC7E2D"/>
    <w:rsid w:val="00AD0068"/>
    <w:rsid w:val="00AD01EE"/>
    <w:rsid w:val="00AD0374"/>
    <w:rsid w:val="00AD0483"/>
    <w:rsid w:val="00AD05D3"/>
    <w:rsid w:val="00AD0758"/>
    <w:rsid w:val="00AD0C32"/>
    <w:rsid w:val="00AD0EB1"/>
    <w:rsid w:val="00AD161A"/>
    <w:rsid w:val="00AD1EB2"/>
    <w:rsid w:val="00AD2ABC"/>
    <w:rsid w:val="00AD358D"/>
    <w:rsid w:val="00AD382E"/>
    <w:rsid w:val="00AD3B4D"/>
    <w:rsid w:val="00AD406C"/>
    <w:rsid w:val="00AD44A7"/>
    <w:rsid w:val="00AD45A9"/>
    <w:rsid w:val="00AD4F42"/>
    <w:rsid w:val="00AD6CAB"/>
    <w:rsid w:val="00AD6CFC"/>
    <w:rsid w:val="00AD779D"/>
    <w:rsid w:val="00AD7FF1"/>
    <w:rsid w:val="00AE0793"/>
    <w:rsid w:val="00AE0896"/>
    <w:rsid w:val="00AE1712"/>
    <w:rsid w:val="00AE245D"/>
    <w:rsid w:val="00AE251D"/>
    <w:rsid w:val="00AE2B40"/>
    <w:rsid w:val="00AE3076"/>
    <w:rsid w:val="00AE38AA"/>
    <w:rsid w:val="00AE391A"/>
    <w:rsid w:val="00AE3F2E"/>
    <w:rsid w:val="00AE3F5C"/>
    <w:rsid w:val="00AE41C4"/>
    <w:rsid w:val="00AE4D0A"/>
    <w:rsid w:val="00AE4EF0"/>
    <w:rsid w:val="00AE519F"/>
    <w:rsid w:val="00AE56F6"/>
    <w:rsid w:val="00AE6124"/>
    <w:rsid w:val="00AE6B4D"/>
    <w:rsid w:val="00AE73FF"/>
    <w:rsid w:val="00AE7684"/>
    <w:rsid w:val="00AE7F93"/>
    <w:rsid w:val="00AF096E"/>
    <w:rsid w:val="00AF1033"/>
    <w:rsid w:val="00AF13E5"/>
    <w:rsid w:val="00AF1D2A"/>
    <w:rsid w:val="00AF1F76"/>
    <w:rsid w:val="00AF30A5"/>
    <w:rsid w:val="00AF3610"/>
    <w:rsid w:val="00AF4396"/>
    <w:rsid w:val="00AF50C1"/>
    <w:rsid w:val="00AF54CE"/>
    <w:rsid w:val="00AF5EF2"/>
    <w:rsid w:val="00AF61E9"/>
    <w:rsid w:val="00AF659D"/>
    <w:rsid w:val="00AF6666"/>
    <w:rsid w:val="00B00D0F"/>
    <w:rsid w:val="00B01FF9"/>
    <w:rsid w:val="00B028AE"/>
    <w:rsid w:val="00B034C2"/>
    <w:rsid w:val="00B03B53"/>
    <w:rsid w:val="00B03C68"/>
    <w:rsid w:val="00B03D12"/>
    <w:rsid w:val="00B03F73"/>
    <w:rsid w:val="00B051BF"/>
    <w:rsid w:val="00B057CE"/>
    <w:rsid w:val="00B059CC"/>
    <w:rsid w:val="00B07866"/>
    <w:rsid w:val="00B07D7E"/>
    <w:rsid w:val="00B07E5C"/>
    <w:rsid w:val="00B1030A"/>
    <w:rsid w:val="00B10924"/>
    <w:rsid w:val="00B10CCE"/>
    <w:rsid w:val="00B10EDE"/>
    <w:rsid w:val="00B11033"/>
    <w:rsid w:val="00B11253"/>
    <w:rsid w:val="00B11899"/>
    <w:rsid w:val="00B118BB"/>
    <w:rsid w:val="00B11BA0"/>
    <w:rsid w:val="00B11FE2"/>
    <w:rsid w:val="00B12700"/>
    <w:rsid w:val="00B12F1A"/>
    <w:rsid w:val="00B140F7"/>
    <w:rsid w:val="00B143AF"/>
    <w:rsid w:val="00B14AE2"/>
    <w:rsid w:val="00B159DE"/>
    <w:rsid w:val="00B15A49"/>
    <w:rsid w:val="00B15DBA"/>
    <w:rsid w:val="00B15E9C"/>
    <w:rsid w:val="00B16455"/>
    <w:rsid w:val="00B16AB6"/>
    <w:rsid w:val="00B16FFA"/>
    <w:rsid w:val="00B1704B"/>
    <w:rsid w:val="00B22F87"/>
    <w:rsid w:val="00B234F5"/>
    <w:rsid w:val="00B23DEC"/>
    <w:rsid w:val="00B240C0"/>
    <w:rsid w:val="00B242A0"/>
    <w:rsid w:val="00B243FF"/>
    <w:rsid w:val="00B254C2"/>
    <w:rsid w:val="00B260E2"/>
    <w:rsid w:val="00B27BDF"/>
    <w:rsid w:val="00B30249"/>
    <w:rsid w:val="00B30355"/>
    <w:rsid w:val="00B30460"/>
    <w:rsid w:val="00B30A5A"/>
    <w:rsid w:val="00B31023"/>
    <w:rsid w:val="00B3231D"/>
    <w:rsid w:val="00B32ECC"/>
    <w:rsid w:val="00B3323B"/>
    <w:rsid w:val="00B34102"/>
    <w:rsid w:val="00B348B8"/>
    <w:rsid w:val="00B3715A"/>
    <w:rsid w:val="00B377FF"/>
    <w:rsid w:val="00B407D7"/>
    <w:rsid w:val="00B40843"/>
    <w:rsid w:val="00B40ECE"/>
    <w:rsid w:val="00B41FC9"/>
    <w:rsid w:val="00B42053"/>
    <w:rsid w:val="00B420CC"/>
    <w:rsid w:val="00B42228"/>
    <w:rsid w:val="00B42721"/>
    <w:rsid w:val="00B4287A"/>
    <w:rsid w:val="00B42A6F"/>
    <w:rsid w:val="00B43164"/>
    <w:rsid w:val="00B433AD"/>
    <w:rsid w:val="00B434C1"/>
    <w:rsid w:val="00B43649"/>
    <w:rsid w:val="00B43CA5"/>
    <w:rsid w:val="00B43ED0"/>
    <w:rsid w:val="00B461A1"/>
    <w:rsid w:val="00B46D95"/>
    <w:rsid w:val="00B475D5"/>
    <w:rsid w:val="00B47785"/>
    <w:rsid w:val="00B47A65"/>
    <w:rsid w:val="00B47ECB"/>
    <w:rsid w:val="00B51157"/>
    <w:rsid w:val="00B512D4"/>
    <w:rsid w:val="00B51BEF"/>
    <w:rsid w:val="00B52102"/>
    <w:rsid w:val="00B52481"/>
    <w:rsid w:val="00B52B38"/>
    <w:rsid w:val="00B52E28"/>
    <w:rsid w:val="00B534E1"/>
    <w:rsid w:val="00B53A5A"/>
    <w:rsid w:val="00B548AF"/>
    <w:rsid w:val="00B55123"/>
    <w:rsid w:val="00B5554F"/>
    <w:rsid w:val="00B55BB5"/>
    <w:rsid w:val="00B563D1"/>
    <w:rsid w:val="00B56611"/>
    <w:rsid w:val="00B56B3F"/>
    <w:rsid w:val="00B56D8A"/>
    <w:rsid w:val="00B57A81"/>
    <w:rsid w:val="00B618E7"/>
    <w:rsid w:val="00B62881"/>
    <w:rsid w:val="00B62B73"/>
    <w:rsid w:val="00B63368"/>
    <w:rsid w:val="00B64450"/>
    <w:rsid w:val="00B649F0"/>
    <w:rsid w:val="00B651D1"/>
    <w:rsid w:val="00B65277"/>
    <w:rsid w:val="00B65B0E"/>
    <w:rsid w:val="00B65F58"/>
    <w:rsid w:val="00B65FCB"/>
    <w:rsid w:val="00B6659A"/>
    <w:rsid w:val="00B672BA"/>
    <w:rsid w:val="00B673D1"/>
    <w:rsid w:val="00B67E14"/>
    <w:rsid w:val="00B67E88"/>
    <w:rsid w:val="00B7000C"/>
    <w:rsid w:val="00B70A99"/>
    <w:rsid w:val="00B71781"/>
    <w:rsid w:val="00B718DE"/>
    <w:rsid w:val="00B72C63"/>
    <w:rsid w:val="00B7368F"/>
    <w:rsid w:val="00B73CBD"/>
    <w:rsid w:val="00B74584"/>
    <w:rsid w:val="00B755AC"/>
    <w:rsid w:val="00B75A1D"/>
    <w:rsid w:val="00B75BCC"/>
    <w:rsid w:val="00B75F30"/>
    <w:rsid w:val="00B75F79"/>
    <w:rsid w:val="00B76ED1"/>
    <w:rsid w:val="00B77B13"/>
    <w:rsid w:val="00B80206"/>
    <w:rsid w:val="00B832D8"/>
    <w:rsid w:val="00B8381C"/>
    <w:rsid w:val="00B83958"/>
    <w:rsid w:val="00B840AA"/>
    <w:rsid w:val="00B84558"/>
    <w:rsid w:val="00B84777"/>
    <w:rsid w:val="00B8498F"/>
    <w:rsid w:val="00B86858"/>
    <w:rsid w:val="00B875E7"/>
    <w:rsid w:val="00B90026"/>
    <w:rsid w:val="00B90269"/>
    <w:rsid w:val="00B91115"/>
    <w:rsid w:val="00B913B5"/>
    <w:rsid w:val="00B91508"/>
    <w:rsid w:val="00B9170D"/>
    <w:rsid w:val="00B919A0"/>
    <w:rsid w:val="00B91DB9"/>
    <w:rsid w:val="00B922D4"/>
    <w:rsid w:val="00B93601"/>
    <w:rsid w:val="00B93817"/>
    <w:rsid w:val="00B93EC9"/>
    <w:rsid w:val="00B940D4"/>
    <w:rsid w:val="00B942C7"/>
    <w:rsid w:val="00B942FC"/>
    <w:rsid w:val="00B94A2C"/>
    <w:rsid w:val="00B956B4"/>
    <w:rsid w:val="00B95A6A"/>
    <w:rsid w:val="00B96D01"/>
    <w:rsid w:val="00B96DEB"/>
    <w:rsid w:val="00B96F42"/>
    <w:rsid w:val="00B9755D"/>
    <w:rsid w:val="00B97DE6"/>
    <w:rsid w:val="00B97E85"/>
    <w:rsid w:val="00BA04BF"/>
    <w:rsid w:val="00BA0C07"/>
    <w:rsid w:val="00BA0EFB"/>
    <w:rsid w:val="00BA1614"/>
    <w:rsid w:val="00BA21D1"/>
    <w:rsid w:val="00BA354A"/>
    <w:rsid w:val="00BA370C"/>
    <w:rsid w:val="00BA3763"/>
    <w:rsid w:val="00BA3E9E"/>
    <w:rsid w:val="00BA4429"/>
    <w:rsid w:val="00BA45C1"/>
    <w:rsid w:val="00BA49AF"/>
    <w:rsid w:val="00BA4A6D"/>
    <w:rsid w:val="00BA5085"/>
    <w:rsid w:val="00BA5DFC"/>
    <w:rsid w:val="00BA6350"/>
    <w:rsid w:val="00BA63A1"/>
    <w:rsid w:val="00BA7254"/>
    <w:rsid w:val="00BA772A"/>
    <w:rsid w:val="00BA7EED"/>
    <w:rsid w:val="00BB0887"/>
    <w:rsid w:val="00BB153B"/>
    <w:rsid w:val="00BB1F2A"/>
    <w:rsid w:val="00BB20C7"/>
    <w:rsid w:val="00BB2972"/>
    <w:rsid w:val="00BB29D1"/>
    <w:rsid w:val="00BB314A"/>
    <w:rsid w:val="00BB3BBF"/>
    <w:rsid w:val="00BB3C87"/>
    <w:rsid w:val="00BB5098"/>
    <w:rsid w:val="00BB64AC"/>
    <w:rsid w:val="00BB6D22"/>
    <w:rsid w:val="00BB79E2"/>
    <w:rsid w:val="00BC042A"/>
    <w:rsid w:val="00BC0598"/>
    <w:rsid w:val="00BC0C3E"/>
    <w:rsid w:val="00BC1012"/>
    <w:rsid w:val="00BC1BCD"/>
    <w:rsid w:val="00BC1FDE"/>
    <w:rsid w:val="00BC22F0"/>
    <w:rsid w:val="00BC2921"/>
    <w:rsid w:val="00BC29CD"/>
    <w:rsid w:val="00BC29EA"/>
    <w:rsid w:val="00BC34EB"/>
    <w:rsid w:val="00BC4323"/>
    <w:rsid w:val="00BC44C4"/>
    <w:rsid w:val="00BC4DF5"/>
    <w:rsid w:val="00BC5CFC"/>
    <w:rsid w:val="00BC7953"/>
    <w:rsid w:val="00BD0B7D"/>
    <w:rsid w:val="00BD12E7"/>
    <w:rsid w:val="00BD1C50"/>
    <w:rsid w:val="00BD2078"/>
    <w:rsid w:val="00BD3925"/>
    <w:rsid w:val="00BD3A86"/>
    <w:rsid w:val="00BD4505"/>
    <w:rsid w:val="00BD4542"/>
    <w:rsid w:val="00BD466F"/>
    <w:rsid w:val="00BD5AD0"/>
    <w:rsid w:val="00BD5DA9"/>
    <w:rsid w:val="00BD6B2D"/>
    <w:rsid w:val="00BD6F78"/>
    <w:rsid w:val="00BD70BD"/>
    <w:rsid w:val="00BD719D"/>
    <w:rsid w:val="00BE00E9"/>
    <w:rsid w:val="00BE0172"/>
    <w:rsid w:val="00BE0258"/>
    <w:rsid w:val="00BE0271"/>
    <w:rsid w:val="00BE0B02"/>
    <w:rsid w:val="00BE0EA6"/>
    <w:rsid w:val="00BE1447"/>
    <w:rsid w:val="00BE2148"/>
    <w:rsid w:val="00BE215D"/>
    <w:rsid w:val="00BE37E5"/>
    <w:rsid w:val="00BE3C1E"/>
    <w:rsid w:val="00BE3C71"/>
    <w:rsid w:val="00BE4DE1"/>
    <w:rsid w:val="00BE4E01"/>
    <w:rsid w:val="00BE5587"/>
    <w:rsid w:val="00BE57DD"/>
    <w:rsid w:val="00BE611E"/>
    <w:rsid w:val="00BE748B"/>
    <w:rsid w:val="00BE76CB"/>
    <w:rsid w:val="00BE7A15"/>
    <w:rsid w:val="00BE7A59"/>
    <w:rsid w:val="00BF0A1F"/>
    <w:rsid w:val="00BF0AF1"/>
    <w:rsid w:val="00BF0D0D"/>
    <w:rsid w:val="00BF0FD7"/>
    <w:rsid w:val="00BF1809"/>
    <w:rsid w:val="00BF182B"/>
    <w:rsid w:val="00BF1A41"/>
    <w:rsid w:val="00BF1CFC"/>
    <w:rsid w:val="00BF2190"/>
    <w:rsid w:val="00BF2598"/>
    <w:rsid w:val="00BF2F22"/>
    <w:rsid w:val="00BF3432"/>
    <w:rsid w:val="00BF39F9"/>
    <w:rsid w:val="00BF3A58"/>
    <w:rsid w:val="00BF3C0D"/>
    <w:rsid w:val="00BF3FDF"/>
    <w:rsid w:val="00BF4F68"/>
    <w:rsid w:val="00BF50B5"/>
    <w:rsid w:val="00BF5D9A"/>
    <w:rsid w:val="00BF5F22"/>
    <w:rsid w:val="00BF685D"/>
    <w:rsid w:val="00BF71C6"/>
    <w:rsid w:val="00BF72CA"/>
    <w:rsid w:val="00BF7CD8"/>
    <w:rsid w:val="00BF7E2C"/>
    <w:rsid w:val="00C00849"/>
    <w:rsid w:val="00C0119B"/>
    <w:rsid w:val="00C02A11"/>
    <w:rsid w:val="00C02BE9"/>
    <w:rsid w:val="00C02C37"/>
    <w:rsid w:val="00C02CE1"/>
    <w:rsid w:val="00C0309A"/>
    <w:rsid w:val="00C03141"/>
    <w:rsid w:val="00C035B9"/>
    <w:rsid w:val="00C036F3"/>
    <w:rsid w:val="00C03923"/>
    <w:rsid w:val="00C04B21"/>
    <w:rsid w:val="00C04C7E"/>
    <w:rsid w:val="00C0563C"/>
    <w:rsid w:val="00C058DD"/>
    <w:rsid w:val="00C06136"/>
    <w:rsid w:val="00C069D8"/>
    <w:rsid w:val="00C06DC5"/>
    <w:rsid w:val="00C07BAE"/>
    <w:rsid w:val="00C07C15"/>
    <w:rsid w:val="00C07D28"/>
    <w:rsid w:val="00C1064A"/>
    <w:rsid w:val="00C13270"/>
    <w:rsid w:val="00C1346A"/>
    <w:rsid w:val="00C13818"/>
    <w:rsid w:val="00C14BA3"/>
    <w:rsid w:val="00C150AD"/>
    <w:rsid w:val="00C156BF"/>
    <w:rsid w:val="00C166C1"/>
    <w:rsid w:val="00C16FFA"/>
    <w:rsid w:val="00C17602"/>
    <w:rsid w:val="00C20026"/>
    <w:rsid w:val="00C2023E"/>
    <w:rsid w:val="00C206C7"/>
    <w:rsid w:val="00C208C0"/>
    <w:rsid w:val="00C216C2"/>
    <w:rsid w:val="00C21A66"/>
    <w:rsid w:val="00C21B4F"/>
    <w:rsid w:val="00C21E41"/>
    <w:rsid w:val="00C22CCF"/>
    <w:rsid w:val="00C235EA"/>
    <w:rsid w:val="00C23670"/>
    <w:rsid w:val="00C2371B"/>
    <w:rsid w:val="00C23B52"/>
    <w:rsid w:val="00C2415E"/>
    <w:rsid w:val="00C2552B"/>
    <w:rsid w:val="00C25765"/>
    <w:rsid w:val="00C25DC1"/>
    <w:rsid w:val="00C25ECF"/>
    <w:rsid w:val="00C25FA6"/>
    <w:rsid w:val="00C2601D"/>
    <w:rsid w:val="00C2685E"/>
    <w:rsid w:val="00C2687B"/>
    <w:rsid w:val="00C26B59"/>
    <w:rsid w:val="00C26F08"/>
    <w:rsid w:val="00C27CB3"/>
    <w:rsid w:val="00C27E89"/>
    <w:rsid w:val="00C309E1"/>
    <w:rsid w:val="00C30A95"/>
    <w:rsid w:val="00C31397"/>
    <w:rsid w:val="00C3180A"/>
    <w:rsid w:val="00C325C9"/>
    <w:rsid w:val="00C33493"/>
    <w:rsid w:val="00C34B06"/>
    <w:rsid w:val="00C35384"/>
    <w:rsid w:val="00C35CA3"/>
    <w:rsid w:val="00C35DDE"/>
    <w:rsid w:val="00C36039"/>
    <w:rsid w:val="00C36163"/>
    <w:rsid w:val="00C36180"/>
    <w:rsid w:val="00C36798"/>
    <w:rsid w:val="00C40212"/>
    <w:rsid w:val="00C40C55"/>
    <w:rsid w:val="00C41071"/>
    <w:rsid w:val="00C41B9B"/>
    <w:rsid w:val="00C42B7B"/>
    <w:rsid w:val="00C43145"/>
    <w:rsid w:val="00C43441"/>
    <w:rsid w:val="00C43A4B"/>
    <w:rsid w:val="00C450C9"/>
    <w:rsid w:val="00C45DB2"/>
    <w:rsid w:val="00C46745"/>
    <w:rsid w:val="00C46A36"/>
    <w:rsid w:val="00C46F16"/>
    <w:rsid w:val="00C47C07"/>
    <w:rsid w:val="00C47D1C"/>
    <w:rsid w:val="00C501AA"/>
    <w:rsid w:val="00C50961"/>
    <w:rsid w:val="00C50979"/>
    <w:rsid w:val="00C512B1"/>
    <w:rsid w:val="00C517BE"/>
    <w:rsid w:val="00C5294A"/>
    <w:rsid w:val="00C53CF7"/>
    <w:rsid w:val="00C53E92"/>
    <w:rsid w:val="00C53F04"/>
    <w:rsid w:val="00C54128"/>
    <w:rsid w:val="00C5419F"/>
    <w:rsid w:val="00C55F0D"/>
    <w:rsid w:val="00C56336"/>
    <w:rsid w:val="00C5688D"/>
    <w:rsid w:val="00C56914"/>
    <w:rsid w:val="00C569CE"/>
    <w:rsid w:val="00C56E87"/>
    <w:rsid w:val="00C5754E"/>
    <w:rsid w:val="00C57F83"/>
    <w:rsid w:val="00C60F5B"/>
    <w:rsid w:val="00C612D7"/>
    <w:rsid w:val="00C61C8C"/>
    <w:rsid w:val="00C622DB"/>
    <w:rsid w:val="00C627A6"/>
    <w:rsid w:val="00C6295C"/>
    <w:rsid w:val="00C62A1B"/>
    <w:rsid w:val="00C62C1D"/>
    <w:rsid w:val="00C63381"/>
    <w:rsid w:val="00C63E8B"/>
    <w:rsid w:val="00C63E90"/>
    <w:rsid w:val="00C648E1"/>
    <w:rsid w:val="00C64941"/>
    <w:rsid w:val="00C64A73"/>
    <w:rsid w:val="00C651D3"/>
    <w:rsid w:val="00C65AC2"/>
    <w:rsid w:val="00C660A2"/>
    <w:rsid w:val="00C66219"/>
    <w:rsid w:val="00C66531"/>
    <w:rsid w:val="00C66E8D"/>
    <w:rsid w:val="00C66FD2"/>
    <w:rsid w:val="00C67306"/>
    <w:rsid w:val="00C6770E"/>
    <w:rsid w:val="00C67A04"/>
    <w:rsid w:val="00C67D84"/>
    <w:rsid w:val="00C71F7B"/>
    <w:rsid w:val="00C7255D"/>
    <w:rsid w:val="00C7322E"/>
    <w:rsid w:val="00C73777"/>
    <w:rsid w:val="00C73E3E"/>
    <w:rsid w:val="00C74DE6"/>
    <w:rsid w:val="00C74EAD"/>
    <w:rsid w:val="00C75933"/>
    <w:rsid w:val="00C75D0A"/>
    <w:rsid w:val="00C76680"/>
    <w:rsid w:val="00C77C8A"/>
    <w:rsid w:val="00C77D06"/>
    <w:rsid w:val="00C80FC3"/>
    <w:rsid w:val="00C81881"/>
    <w:rsid w:val="00C81927"/>
    <w:rsid w:val="00C8194F"/>
    <w:rsid w:val="00C81E36"/>
    <w:rsid w:val="00C82331"/>
    <w:rsid w:val="00C82C75"/>
    <w:rsid w:val="00C841DD"/>
    <w:rsid w:val="00C84711"/>
    <w:rsid w:val="00C84A03"/>
    <w:rsid w:val="00C85723"/>
    <w:rsid w:val="00C85E07"/>
    <w:rsid w:val="00C86604"/>
    <w:rsid w:val="00C867BB"/>
    <w:rsid w:val="00C8768A"/>
    <w:rsid w:val="00C90597"/>
    <w:rsid w:val="00C90AD6"/>
    <w:rsid w:val="00C90BF4"/>
    <w:rsid w:val="00C90E41"/>
    <w:rsid w:val="00C91632"/>
    <w:rsid w:val="00C9277D"/>
    <w:rsid w:val="00C92B09"/>
    <w:rsid w:val="00C92FAE"/>
    <w:rsid w:val="00C93A35"/>
    <w:rsid w:val="00C9486A"/>
    <w:rsid w:val="00C95C58"/>
    <w:rsid w:val="00C963EA"/>
    <w:rsid w:val="00C969EE"/>
    <w:rsid w:val="00C96A1F"/>
    <w:rsid w:val="00C96E2E"/>
    <w:rsid w:val="00C977E1"/>
    <w:rsid w:val="00CA1649"/>
    <w:rsid w:val="00CA2193"/>
    <w:rsid w:val="00CA38F0"/>
    <w:rsid w:val="00CA3D0A"/>
    <w:rsid w:val="00CA46C8"/>
    <w:rsid w:val="00CA4840"/>
    <w:rsid w:val="00CA52AB"/>
    <w:rsid w:val="00CA564E"/>
    <w:rsid w:val="00CA56A3"/>
    <w:rsid w:val="00CA5AD0"/>
    <w:rsid w:val="00CA64CD"/>
    <w:rsid w:val="00CA6571"/>
    <w:rsid w:val="00CA65D3"/>
    <w:rsid w:val="00CB040A"/>
    <w:rsid w:val="00CB0E29"/>
    <w:rsid w:val="00CB17FA"/>
    <w:rsid w:val="00CB1902"/>
    <w:rsid w:val="00CB1AED"/>
    <w:rsid w:val="00CB2E57"/>
    <w:rsid w:val="00CB2F1E"/>
    <w:rsid w:val="00CB46BE"/>
    <w:rsid w:val="00CB5662"/>
    <w:rsid w:val="00CB67F0"/>
    <w:rsid w:val="00CC041D"/>
    <w:rsid w:val="00CC0C38"/>
    <w:rsid w:val="00CC1259"/>
    <w:rsid w:val="00CC153F"/>
    <w:rsid w:val="00CC197F"/>
    <w:rsid w:val="00CC210C"/>
    <w:rsid w:val="00CC2999"/>
    <w:rsid w:val="00CC39E2"/>
    <w:rsid w:val="00CC3E85"/>
    <w:rsid w:val="00CC5129"/>
    <w:rsid w:val="00CC577A"/>
    <w:rsid w:val="00CC5DE5"/>
    <w:rsid w:val="00CC5F29"/>
    <w:rsid w:val="00CC6707"/>
    <w:rsid w:val="00CC729E"/>
    <w:rsid w:val="00CC7E42"/>
    <w:rsid w:val="00CD0B56"/>
    <w:rsid w:val="00CD0D8B"/>
    <w:rsid w:val="00CD1301"/>
    <w:rsid w:val="00CD1CFE"/>
    <w:rsid w:val="00CD1E63"/>
    <w:rsid w:val="00CD2007"/>
    <w:rsid w:val="00CD2BAD"/>
    <w:rsid w:val="00CD31FF"/>
    <w:rsid w:val="00CD368F"/>
    <w:rsid w:val="00CD3729"/>
    <w:rsid w:val="00CD3BF2"/>
    <w:rsid w:val="00CD403A"/>
    <w:rsid w:val="00CD4573"/>
    <w:rsid w:val="00CD508E"/>
    <w:rsid w:val="00CD5846"/>
    <w:rsid w:val="00CD59C8"/>
    <w:rsid w:val="00CD5E7B"/>
    <w:rsid w:val="00CD6A47"/>
    <w:rsid w:val="00CD6A87"/>
    <w:rsid w:val="00CD6F6F"/>
    <w:rsid w:val="00CD7749"/>
    <w:rsid w:val="00CD7B9A"/>
    <w:rsid w:val="00CE0340"/>
    <w:rsid w:val="00CE1C25"/>
    <w:rsid w:val="00CE2293"/>
    <w:rsid w:val="00CE2DE3"/>
    <w:rsid w:val="00CE3448"/>
    <w:rsid w:val="00CE34D2"/>
    <w:rsid w:val="00CE35C0"/>
    <w:rsid w:val="00CE4852"/>
    <w:rsid w:val="00CE656C"/>
    <w:rsid w:val="00CE7702"/>
    <w:rsid w:val="00CF1386"/>
    <w:rsid w:val="00CF1C54"/>
    <w:rsid w:val="00CF1F53"/>
    <w:rsid w:val="00CF2169"/>
    <w:rsid w:val="00CF2A56"/>
    <w:rsid w:val="00CF2BD1"/>
    <w:rsid w:val="00CF33D0"/>
    <w:rsid w:val="00CF388F"/>
    <w:rsid w:val="00CF3D3C"/>
    <w:rsid w:val="00CF4F89"/>
    <w:rsid w:val="00CF5BB1"/>
    <w:rsid w:val="00CF6239"/>
    <w:rsid w:val="00CF64EB"/>
    <w:rsid w:val="00CF67D9"/>
    <w:rsid w:val="00CF758B"/>
    <w:rsid w:val="00D020F2"/>
    <w:rsid w:val="00D021A3"/>
    <w:rsid w:val="00D02863"/>
    <w:rsid w:val="00D028F2"/>
    <w:rsid w:val="00D03772"/>
    <w:rsid w:val="00D03AD3"/>
    <w:rsid w:val="00D03F6B"/>
    <w:rsid w:val="00D04F40"/>
    <w:rsid w:val="00D052CD"/>
    <w:rsid w:val="00D05A9F"/>
    <w:rsid w:val="00D05B72"/>
    <w:rsid w:val="00D05BF3"/>
    <w:rsid w:val="00D06E3C"/>
    <w:rsid w:val="00D102D5"/>
    <w:rsid w:val="00D10CBA"/>
    <w:rsid w:val="00D1108C"/>
    <w:rsid w:val="00D11159"/>
    <w:rsid w:val="00D11AB2"/>
    <w:rsid w:val="00D1245B"/>
    <w:rsid w:val="00D128DB"/>
    <w:rsid w:val="00D1293C"/>
    <w:rsid w:val="00D12F96"/>
    <w:rsid w:val="00D13D83"/>
    <w:rsid w:val="00D13DC5"/>
    <w:rsid w:val="00D16124"/>
    <w:rsid w:val="00D1709C"/>
    <w:rsid w:val="00D17AEB"/>
    <w:rsid w:val="00D2083A"/>
    <w:rsid w:val="00D21615"/>
    <w:rsid w:val="00D226BA"/>
    <w:rsid w:val="00D22D42"/>
    <w:rsid w:val="00D23ABD"/>
    <w:rsid w:val="00D23CBA"/>
    <w:rsid w:val="00D24B5E"/>
    <w:rsid w:val="00D25E98"/>
    <w:rsid w:val="00D27023"/>
    <w:rsid w:val="00D27330"/>
    <w:rsid w:val="00D311ED"/>
    <w:rsid w:val="00D31576"/>
    <w:rsid w:val="00D316C0"/>
    <w:rsid w:val="00D319C5"/>
    <w:rsid w:val="00D31AC9"/>
    <w:rsid w:val="00D328BD"/>
    <w:rsid w:val="00D33058"/>
    <w:rsid w:val="00D3309C"/>
    <w:rsid w:val="00D3378D"/>
    <w:rsid w:val="00D34E98"/>
    <w:rsid w:val="00D35C5E"/>
    <w:rsid w:val="00D3685D"/>
    <w:rsid w:val="00D3763B"/>
    <w:rsid w:val="00D37ACD"/>
    <w:rsid w:val="00D404CF"/>
    <w:rsid w:val="00D40A4C"/>
    <w:rsid w:val="00D41361"/>
    <w:rsid w:val="00D41511"/>
    <w:rsid w:val="00D41693"/>
    <w:rsid w:val="00D416F4"/>
    <w:rsid w:val="00D427CB"/>
    <w:rsid w:val="00D42BC1"/>
    <w:rsid w:val="00D44AD8"/>
    <w:rsid w:val="00D451B2"/>
    <w:rsid w:val="00D451FA"/>
    <w:rsid w:val="00D45229"/>
    <w:rsid w:val="00D4582D"/>
    <w:rsid w:val="00D464FD"/>
    <w:rsid w:val="00D4790F"/>
    <w:rsid w:val="00D47DB5"/>
    <w:rsid w:val="00D47DCF"/>
    <w:rsid w:val="00D50361"/>
    <w:rsid w:val="00D512CF"/>
    <w:rsid w:val="00D513B7"/>
    <w:rsid w:val="00D51A5C"/>
    <w:rsid w:val="00D51EB4"/>
    <w:rsid w:val="00D52663"/>
    <w:rsid w:val="00D52DC7"/>
    <w:rsid w:val="00D52E26"/>
    <w:rsid w:val="00D539E3"/>
    <w:rsid w:val="00D53C40"/>
    <w:rsid w:val="00D53ED2"/>
    <w:rsid w:val="00D540A5"/>
    <w:rsid w:val="00D542B6"/>
    <w:rsid w:val="00D54673"/>
    <w:rsid w:val="00D5481B"/>
    <w:rsid w:val="00D54C7D"/>
    <w:rsid w:val="00D556AE"/>
    <w:rsid w:val="00D55ED8"/>
    <w:rsid w:val="00D55F63"/>
    <w:rsid w:val="00D567A8"/>
    <w:rsid w:val="00D567E2"/>
    <w:rsid w:val="00D56F2D"/>
    <w:rsid w:val="00D579A7"/>
    <w:rsid w:val="00D6054D"/>
    <w:rsid w:val="00D60993"/>
    <w:rsid w:val="00D60C79"/>
    <w:rsid w:val="00D60C9C"/>
    <w:rsid w:val="00D61192"/>
    <w:rsid w:val="00D61381"/>
    <w:rsid w:val="00D61BC0"/>
    <w:rsid w:val="00D62E2C"/>
    <w:rsid w:val="00D63174"/>
    <w:rsid w:val="00D631D5"/>
    <w:rsid w:val="00D637D5"/>
    <w:rsid w:val="00D63D79"/>
    <w:rsid w:val="00D63E56"/>
    <w:rsid w:val="00D63F70"/>
    <w:rsid w:val="00D642D5"/>
    <w:rsid w:val="00D6443A"/>
    <w:rsid w:val="00D66AFC"/>
    <w:rsid w:val="00D66C52"/>
    <w:rsid w:val="00D6753D"/>
    <w:rsid w:val="00D6758D"/>
    <w:rsid w:val="00D67A83"/>
    <w:rsid w:val="00D703F9"/>
    <w:rsid w:val="00D70815"/>
    <w:rsid w:val="00D70848"/>
    <w:rsid w:val="00D70C5F"/>
    <w:rsid w:val="00D70D39"/>
    <w:rsid w:val="00D70DBA"/>
    <w:rsid w:val="00D738EE"/>
    <w:rsid w:val="00D73AB5"/>
    <w:rsid w:val="00D73D6D"/>
    <w:rsid w:val="00D74C28"/>
    <w:rsid w:val="00D74EFC"/>
    <w:rsid w:val="00D74F57"/>
    <w:rsid w:val="00D750DE"/>
    <w:rsid w:val="00D7528E"/>
    <w:rsid w:val="00D75AC1"/>
    <w:rsid w:val="00D75D5A"/>
    <w:rsid w:val="00D76017"/>
    <w:rsid w:val="00D76666"/>
    <w:rsid w:val="00D766C3"/>
    <w:rsid w:val="00D768A4"/>
    <w:rsid w:val="00D76C9B"/>
    <w:rsid w:val="00D7768A"/>
    <w:rsid w:val="00D77910"/>
    <w:rsid w:val="00D77EB8"/>
    <w:rsid w:val="00D80F83"/>
    <w:rsid w:val="00D812E2"/>
    <w:rsid w:val="00D81358"/>
    <w:rsid w:val="00D8184B"/>
    <w:rsid w:val="00D82D3E"/>
    <w:rsid w:val="00D834F1"/>
    <w:rsid w:val="00D83957"/>
    <w:rsid w:val="00D83EFE"/>
    <w:rsid w:val="00D847CF"/>
    <w:rsid w:val="00D84EB3"/>
    <w:rsid w:val="00D85A0F"/>
    <w:rsid w:val="00D85B89"/>
    <w:rsid w:val="00D86F4A"/>
    <w:rsid w:val="00D87081"/>
    <w:rsid w:val="00D871B9"/>
    <w:rsid w:val="00D8791F"/>
    <w:rsid w:val="00D90DC1"/>
    <w:rsid w:val="00D91044"/>
    <w:rsid w:val="00D913EE"/>
    <w:rsid w:val="00D913F3"/>
    <w:rsid w:val="00D917BB"/>
    <w:rsid w:val="00D92232"/>
    <w:rsid w:val="00D92E25"/>
    <w:rsid w:val="00D93252"/>
    <w:rsid w:val="00D9396A"/>
    <w:rsid w:val="00D94756"/>
    <w:rsid w:val="00D94DF5"/>
    <w:rsid w:val="00D96119"/>
    <w:rsid w:val="00D963BB"/>
    <w:rsid w:val="00D9695F"/>
    <w:rsid w:val="00D97A83"/>
    <w:rsid w:val="00D97C27"/>
    <w:rsid w:val="00D97F80"/>
    <w:rsid w:val="00D97FAD"/>
    <w:rsid w:val="00DA01C5"/>
    <w:rsid w:val="00DA09DD"/>
    <w:rsid w:val="00DA1670"/>
    <w:rsid w:val="00DA1F5B"/>
    <w:rsid w:val="00DA2462"/>
    <w:rsid w:val="00DA278E"/>
    <w:rsid w:val="00DA2B0B"/>
    <w:rsid w:val="00DA2E17"/>
    <w:rsid w:val="00DA390A"/>
    <w:rsid w:val="00DA57C5"/>
    <w:rsid w:val="00DA638C"/>
    <w:rsid w:val="00DA70D4"/>
    <w:rsid w:val="00DA7213"/>
    <w:rsid w:val="00DA7694"/>
    <w:rsid w:val="00DA78A6"/>
    <w:rsid w:val="00DB010F"/>
    <w:rsid w:val="00DB01DF"/>
    <w:rsid w:val="00DB0C69"/>
    <w:rsid w:val="00DB1089"/>
    <w:rsid w:val="00DB10DC"/>
    <w:rsid w:val="00DB2689"/>
    <w:rsid w:val="00DB2807"/>
    <w:rsid w:val="00DB2A1B"/>
    <w:rsid w:val="00DB2E4D"/>
    <w:rsid w:val="00DB438F"/>
    <w:rsid w:val="00DB4C5B"/>
    <w:rsid w:val="00DB5238"/>
    <w:rsid w:val="00DB55E9"/>
    <w:rsid w:val="00DB57DD"/>
    <w:rsid w:val="00DB5859"/>
    <w:rsid w:val="00DB5B21"/>
    <w:rsid w:val="00DB5FF2"/>
    <w:rsid w:val="00DB70E7"/>
    <w:rsid w:val="00DC0D99"/>
    <w:rsid w:val="00DC10DE"/>
    <w:rsid w:val="00DC15A3"/>
    <w:rsid w:val="00DC163C"/>
    <w:rsid w:val="00DC1ED0"/>
    <w:rsid w:val="00DC246C"/>
    <w:rsid w:val="00DC273C"/>
    <w:rsid w:val="00DC2E82"/>
    <w:rsid w:val="00DC2FEB"/>
    <w:rsid w:val="00DC3301"/>
    <w:rsid w:val="00DC37CA"/>
    <w:rsid w:val="00DC3C20"/>
    <w:rsid w:val="00DC419C"/>
    <w:rsid w:val="00DC48F0"/>
    <w:rsid w:val="00DC49E4"/>
    <w:rsid w:val="00DC49ED"/>
    <w:rsid w:val="00DC4B71"/>
    <w:rsid w:val="00DC4FAA"/>
    <w:rsid w:val="00DC59EB"/>
    <w:rsid w:val="00DC5F6A"/>
    <w:rsid w:val="00DC608A"/>
    <w:rsid w:val="00DC613E"/>
    <w:rsid w:val="00DC65F1"/>
    <w:rsid w:val="00DC7172"/>
    <w:rsid w:val="00DC73A3"/>
    <w:rsid w:val="00DC757A"/>
    <w:rsid w:val="00DD0562"/>
    <w:rsid w:val="00DD0886"/>
    <w:rsid w:val="00DD1B1C"/>
    <w:rsid w:val="00DD2475"/>
    <w:rsid w:val="00DD2781"/>
    <w:rsid w:val="00DD2F75"/>
    <w:rsid w:val="00DD2F9E"/>
    <w:rsid w:val="00DD3B2F"/>
    <w:rsid w:val="00DD46BE"/>
    <w:rsid w:val="00DD47A3"/>
    <w:rsid w:val="00DD499D"/>
    <w:rsid w:val="00DD4C66"/>
    <w:rsid w:val="00DD4F0A"/>
    <w:rsid w:val="00DD511E"/>
    <w:rsid w:val="00DD57D9"/>
    <w:rsid w:val="00DD6033"/>
    <w:rsid w:val="00DD6275"/>
    <w:rsid w:val="00DD64EF"/>
    <w:rsid w:val="00DD6D01"/>
    <w:rsid w:val="00DD7504"/>
    <w:rsid w:val="00DD7684"/>
    <w:rsid w:val="00DD7941"/>
    <w:rsid w:val="00DE03A8"/>
    <w:rsid w:val="00DE12C2"/>
    <w:rsid w:val="00DE2395"/>
    <w:rsid w:val="00DE24D9"/>
    <w:rsid w:val="00DE2BAA"/>
    <w:rsid w:val="00DE3996"/>
    <w:rsid w:val="00DE47DA"/>
    <w:rsid w:val="00DE4890"/>
    <w:rsid w:val="00DE50DD"/>
    <w:rsid w:val="00DE54DE"/>
    <w:rsid w:val="00DE5907"/>
    <w:rsid w:val="00DE6794"/>
    <w:rsid w:val="00DE6C14"/>
    <w:rsid w:val="00DE6FE1"/>
    <w:rsid w:val="00DE74F5"/>
    <w:rsid w:val="00DE7745"/>
    <w:rsid w:val="00DF07E8"/>
    <w:rsid w:val="00DF0D25"/>
    <w:rsid w:val="00DF1291"/>
    <w:rsid w:val="00DF1492"/>
    <w:rsid w:val="00DF1B50"/>
    <w:rsid w:val="00DF1B61"/>
    <w:rsid w:val="00DF3048"/>
    <w:rsid w:val="00DF3051"/>
    <w:rsid w:val="00DF343E"/>
    <w:rsid w:val="00DF36BF"/>
    <w:rsid w:val="00DF3FC2"/>
    <w:rsid w:val="00DF3FFA"/>
    <w:rsid w:val="00DF42A7"/>
    <w:rsid w:val="00DF4391"/>
    <w:rsid w:val="00DF4985"/>
    <w:rsid w:val="00DF4BD2"/>
    <w:rsid w:val="00DF6BD8"/>
    <w:rsid w:val="00DF6EA8"/>
    <w:rsid w:val="00DF7070"/>
    <w:rsid w:val="00DF7807"/>
    <w:rsid w:val="00DF7A97"/>
    <w:rsid w:val="00DF7B31"/>
    <w:rsid w:val="00E0007B"/>
    <w:rsid w:val="00E0041A"/>
    <w:rsid w:val="00E005BB"/>
    <w:rsid w:val="00E0095E"/>
    <w:rsid w:val="00E015F4"/>
    <w:rsid w:val="00E019FE"/>
    <w:rsid w:val="00E02344"/>
    <w:rsid w:val="00E027E9"/>
    <w:rsid w:val="00E028EF"/>
    <w:rsid w:val="00E02A91"/>
    <w:rsid w:val="00E04804"/>
    <w:rsid w:val="00E05552"/>
    <w:rsid w:val="00E05A87"/>
    <w:rsid w:val="00E06190"/>
    <w:rsid w:val="00E06330"/>
    <w:rsid w:val="00E0689B"/>
    <w:rsid w:val="00E06ABC"/>
    <w:rsid w:val="00E06DB2"/>
    <w:rsid w:val="00E0734A"/>
    <w:rsid w:val="00E076E9"/>
    <w:rsid w:val="00E078AA"/>
    <w:rsid w:val="00E10CE7"/>
    <w:rsid w:val="00E11E0F"/>
    <w:rsid w:val="00E1216F"/>
    <w:rsid w:val="00E12921"/>
    <w:rsid w:val="00E134EE"/>
    <w:rsid w:val="00E13649"/>
    <w:rsid w:val="00E14714"/>
    <w:rsid w:val="00E150FD"/>
    <w:rsid w:val="00E158DB"/>
    <w:rsid w:val="00E1591F"/>
    <w:rsid w:val="00E16377"/>
    <w:rsid w:val="00E1700C"/>
    <w:rsid w:val="00E17934"/>
    <w:rsid w:val="00E179B2"/>
    <w:rsid w:val="00E17AD2"/>
    <w:rsid w:val="00E17DF9"/>
    <w:rsid w:val="00E2075F"/>
    <w:rsid w:val="00E20A94"/>
    <w:rsid w:val="00E22755"/>
    <w:rsid w:val="00E227FE"/>
    <w:rsid w:val="00E2368D"/>
    <w:rsid w:val="00E238A7"/>
    <w:rsid w:val="00E23D8B"/>
    <w:rsid w:val="00E246AA"/>
    <w:rsid w:val="00E2509C"/>
    <w:rsid w:val="00E26014"/>
    <w:rsid w:val="00E26150"/>
    <w:rsid w:val="00E279A9"/>
    <w:rsid w:val="00E300B7"/>
    <w:rsid w:val="00E32DE0"/>
    <w:rsid w:val="00E32E5D"/>
    <w:rsid w:val="00E32F37"/>
    <w:rsid w:val="00E33007"/>
    <w:rsid w:val="00E33990"/>
    <w:rsid w:val="00E34122"/>
    <w:rsid w:val="00E34AC0"/>
    <w:rsid w:val="00E34F2E"/>
    <w:rsid w:val="00E37096"/>
    <w:rsid w:val="00E370DC"/>
    <w:rsid w:val="00E37A7E"/>
    <w:rsid w:val="00E37CAE"/>
    <w:rsid w:val="00E37EEE"/>
    <w:rsid w:val="00E40323"/>
    <w:rsid w:val="00E4197C"/>
    <w:rsid w:val="00E43089"/>
    <w:rsid w:val="00E4420E"/>
    <w:rsid w:val="00E443CE"/>
    <w:rsid w:val="00E44F10"/>
    <w:rsid w:val="00E45477"/>
    <w:rsid w:val="00E456B4"/>
    <w:rsid w:val="00E4582D"/>
    <w:rsid w:val="00E45A08"/>
    <w:rsid w:val="00E46A4F"/>
    <w:rsid w:val="00E471B8"/>
    <w:rsid w:val="00E50323"/>
    <w:rsid w:val="00E50882"/>
    <w:rsid w:val="00E50C75"/>
    <w:rsid w:val="00E50D5A"/>
    <w:rsid w:val="00E51895"/>
    <w:rsid w:val="00E51B4D"/>
    <w:rsid w:val="00E51D2C"/>
    <w:rsid w:val="00E51F04"/>
    <w:rsid w:val="00E52A25"/>
    <w:rsid w:val="00E52CB9"/>
    <w:rsid w:val="00E52F40"/>
    <w:rsid w:val="00E53088"/>
    <w:rsid w:val="00E548EA"/>
    <w:rsid w:val="00E55045"/>
    <w:rsid w:val="00E55966"/>
    <w:rsid w:val="00E55C07"/>
    <w:rsid w:val="00E55CD5"/>
    <w:rsid w:val="00E55FC8"/>
    <w:rsid w:val="00E56970"/>
    <w:rsid w:val="00E577F5"/>
    <w:rsid w:val="00E57B51"/>
    <w:rsid w:val="00E57E79"/>
    <w:rsid w:val="00E600B9"/>
    <w:rsid w:val="00E604AE"/>
    <w:rsid w:val="00E60AD6"/>
    <w:rsid w:val="00E612ED"/>
    <w:rsid w:val="00E61B05"/>
    <w:rsid w:val="00E61F8E"/>
    <w:rsid w:val="00E620F2"/>
    <w:rsid w:val="00E6347B"/>
    <w:rsid w:val="00E63CA9"/>
    <w:rsid w:val="00E64075"/>
    <w:rsid w:val="00E6437E"/>
    <w:rsid w:val="00E654DC"/>
    <w:rsid w:val="00E65B8E"/>
    <w:rsid w:val="00E66022"/>
    <w:rsid w:val="00E66470"/>
    <w:rsid w:val="00E66B52"/>
    <w:rsid w:val="00E67128"/>
    <w:rsid w:val="00E70676"/>
    <w:rsid w:val="00E70CE3"/>
    <w:rsid w:val="00E70FA5"/>
    <w:rsid w:val="00E71287"/>
    <w:rsid w:val="00E72409"/>
    <w:rsid w:val="00E735DD"/>
    <w:rsid w:val="00E7393B"/>
    <w:rsid w:val="00E73A85"/>
    <w:rsid w:val="00E73EA5"/>
    <w:rsid w:val="00E74650"/>
    <w:rsid w:val="00E74A2F"/>
    <w:rsid w:val="00E74EE3"/>
    <w:rsid w:val="00E751E5"/>
    <w:rsid w:val="00E7680C"/>
    <w:rsid w:val="00E768C5"/>
    <w:rsid w:val="00E77099"/>
    <w:rsid w:val="00E77259"/>
    <w:rsid w:val="00E77713"/>
    <w:rsid w:val="00E77801"/>
    <w:rsid w:val="00E77D6C"/>
    <w:rsid w:val="00E8082F"/>
    <w:rsid w:val="00E80DE4"/>
    <w:rsid w:val="00E80E8B"/>
    <w:rsid w:val="00E82187"/>
    <w:rsid w:val="00E82BB6"/>
    <w:rsid w:val="00E8394A"/>
    <w:rsid w:val="00E83AC5"/>
    <w:rsid w:val="00E909E8"/>
    <w:rsid w:val="00E91A95"/>
    <w:rsid w:val="00E91D12"/>
    <w:rsid w:val="00E93001"/>
    <w:rsid w:val="00E931F6"/>
    <w:rsid w:val="00E9375C"/>
    <w:rsid w:val="00E93BFF"/>
    <w:rsid w:val="00E941C0"/>
    <w:rsid w:val="00E9429D"/>
    <w:rsid w:val="00E9466D"/>
    <w:rsid w:val="00E94829"/>
    <w:rsid w:val="00E94EE3"/>
    <w:rsid w:val="00E950C5"/>
    <w:rsid w:val="00E9535B"/>
    <w:rsid w:val="00E95406"/>
    <w:rsid w:val="00E956D9"/>
    <w:rsid w:val="00E96936"/>
    <w:rsid w:val="00E96B4D"/>
    <w:rsid w:val="00E970F6"/>
    <w:rsid w:val="00E975C6"/>
    <w:rsid w:val="00E97AD6"/>
    <w:rsid w:val="00EA11CA"/>
    <w:rsid w:val="00EA1878"/>
    <w:rsid w:val="00EA1DD3"/>
    <w:rsid w:val="00EA31F2"/>
    <w:rsid w:val="00EA36B6"/>
    <w:rsid w:val="00EA388C"/>
    <w:rsid w:val="00EA4781"/>
    <w:rsid w:val="00EA58E4"/>
    <w:rsid w:val="00EA6080"/>
    <w:rsid w:val="00EA64DE"/>
    <w:rsid w:val="00EA6760"/>
    <w:rsid w:val="00EA6CE0"/>
    <w:rsid w:val="00EB0434"/>
    <w:rsid w:val="00EB11F9"/>
    <w:rsid w:val="00EB19B5"/>
    <w:rsid w:val="00EB1D30"/>
    <w:rsid w:val="00EB1F2A"/>
    <w:rsid w:val="00EB26BA"/>
    <w:rsid w:val="00EB2BFC"/>
    <w:rsid w:val="00EB2EE8"/>
    <w:rsid w:val="00EB3C7A"/>
    <w:rsid w:val="00EB4060"/>
    <w:rsid w:val="00EB4769"/>
    <w:rsid w:val="00EB51BA"/>
    <w:rsid w:val="00EB5578"/>
    <w:rsid w:val="00EB6EDD"/>
    <w:rsid w:val="00EB73CF"/>
    <w:rsid w:val="00EB76DB"/>
    <w:rsid w:val="00EB7706"/>
    <w:rsid w:val="00EB7759"/>
    <w:rsid w:val="00EC0773"/>
    <w:rsid w:val="00EC0941"/>
    <w:rsid w:val="00EC0BA7"/>
    <w:rsid w:val="00EC0C40"/>
    <w:rsid w:val="00EC0D17"/>
    <w:rsid w:val="00EC0FA6"/>
    <w:rsid w:val="00EC0FDC"/>
    <w:rsid w:val="00EC1039"/>
    <w:rsid w:val="00EC2144"/>
    <w:rsid w:val="00EC21F3"/>
    <w:rsid w:val="00EC4063"/>
    <w:rsid w:val="00EC46F7"/>
    <w:rsid w:val="00EC59F7"/>
    <w:rsid w:val="00EC7243"/>
    <w:rsid w:val="00EC794D"/>
    <w:rsid w:val="00ED2167"/>
    <w:rsid w:val="00ED3419"/>
    <w:rsid w:val="00ED381B"/>
    <w:rsid w:val="00ED3984"/>
    <w:rsid w:val="00ED5228"/>
    <w:rsid w:val="00ED5CB8"/>
    <w:rsid w:val="00ED6F19"/>
    <w:rsid w:val="00ED75A9"/>
    <w:rsid w:val="00ED75F1"/>
    <w:rsid w:val="00EE0351"/>
    <w:rsid w:val="00EE0E00"/>
    <w:rsid w:val="00EE1237"/>
    <w:rsid w:val="00EE1F10"/>
    <w:rsid w:val="00EE26F3"/>
    <w:rsid w:val="00EE292E"/>
    <w:rsid w:val="00EE3234"/>
    <w:rsid w:val="00EE38C2"/>
    <w:rsid w:val="00EE4195"/>
    <w:rsid w:val="00EE4387"/>
    <w:rsid w:val="00EE4556"/>
    <w:rsid w:val="00EE47E6"/>
    <w:rsid w:val="00EE5C15"/>
    <w:rsid w:val="00EE5E1B"/>
    <w:rsid w:val="00EE5ED4"/>
    <w:rsid w:val="00EF000F"/>
    <w:rsid w:val="00EF105A"/>
    <w:rsid w:val="00EF10CD"/>
    <w:rsid w:val="00EF1271"/>
    <w:rsid w:val="00EF13E6"/>
    <w:rsid w:val="00EF1E9D"/>
    <w:rsid w:val="00EF29E5"/>
    <w:rsid w:val="00EF37F5"/>
    <w:rsid w:val="00EF48A5"/>
    <w:rsid w:val="00EF4FA5"/>
    <w:rsid w:val="00EF5659"/>
    <w:rsid w:val="00EF56A5"/>
    <w:rsid w:val="00EF56C4"/>
    <w:rsid w:val="00EF63E3"/>
    <w:rsid w:val="00EF6ADC"/>
    <w:rsid w:val="00EF6C67"/>
    <w:rsid w:val="00EF79EE"/>
    <w:rsid w:val="00EF7A60"/>
    <w:rsid w:val="00EF7D4A"/>
    <w:rsid w:val="00F00AA5"/>
    <w:rsid w:val="00F01286"/>
    <w:rsid w:val="00F012C9"/>
    <w:rsid w:val="00F0142B"/>
    <w:rsid w:val="00F01700"/>
    <w:rsid w:val="00F037E0"/>
    <w:rsid w:val="00F03DA0"/>
    <w:rsid w:val="00F0462D"/>
    <w:rsid w:val="00F048E8"/>
    <w:rsid w:val="00F049AA"/>
    <w:rsid w:val="00F06377"/>
    <w:rsid w:val="00F06EB8"/>
    <w:rsid w:val="00F07245"/>
    <w:rsid w:val="00F076D9"/>
    <w:rsid w:val="00F10015"/>
    <w:rsid w:val="00F10509"/>
    <w:rsid w:val="00F10F06"/>
    <w:rsid w:val="00F110A5"/>
    <w:rsid w:val="00F1152B"/>
    <w:rsid w:val="00F11D6A"/>
    <w:rsid w:val="00F11F6C"/>
    <w:rsid w:val="00F124E5"/>
    <w:rsid w:val="00F12EEB"/>
    <w:rsid w:val="00F134C1"/>
    <w:rsid w:val="00F13586"/>
    <w:rsid w:val="00F13630"/>
    <w:rsid w:val="00F143CD"/>
    <w:rsid w:val="00F1524A"/>
    <w:rsid w:val="00F16342"/>
    <w:rsid w:val="00F16B34"/>
    <w:rsid w:val="00F173FA"/>
    <w:rsid w:val="00F17769"/>
    <w:rsid w:val="00F179DA"/>
    <w:rsid w:val="00F17C01"/>
    <w:rsid w:val="00F20464"/>
    <w:rsid w:val="00F207BE"/>
    <w:rsid w:val="00F20BF9"/>
    <w:rsid w:val="00F2130B"/>
    <w:rsid w:val="00F21D76"/>
    <w:rsid w:val="00F22641"/>
    <w:rsid w:val="00F2341C"/>
    <w:rsid w:val="00F2370E"/>
    <w:rsid w:val="00F239F8"/>
    <w:rsid w:val="00F23A3E"/>
    <w:rsid w:val="00F24296"/>
    <w:rsid w:val="00F24442"/>
    <w:rsid w:val="00F247B2"/>
    <w:rsid w:val="00F249B6"/>
    <w:rsid w:val="00F24D03"/>
    <w:rsid w:val="00F2523D"/>
    <w:rsid w:val="00F26326"/>
    <w:rsid w:val="00F2633B"/>
    <w:rsid w:val="00F26E25"/>
    <w:rsid w:val="00F27758"/>
    <w:rsid w:val="00F27B0E"/>
    <w:rsid w:val="00F27D63"/>
    <w:rsid w:val="00F30185"/>
    <w:rsid w:val="00F30C27"/>
    <w:rsid w:val="00F3180F"/>
    <w:rsid w:val="00F31A52"/>
    <w:rsid w:val="00F31DA2"/>
    <w:rsid w:val="00F32196"/>
    <w:rsid w:val="00F3260A"/>
    <w:rsid w:val="00F33832"/>
    <w:rsid w:val="00F33882"/>
    <w:rsid w:val="00F33D1D"/>
    <w:rsid w:val="00F33F81"/>
    <w:rsid w:val="00F34212"/>
    <w:rsid w:val="00F35D89"/>
    <w:rsid w:val="00F35F8B"/>
    <w:rsid w:val="00F3676F"/>
    <w:rsid w:val="00F36ABF"/>
    <w:rsid w:val="00F36CE1"/>
    <w:rsid w:val="00F37DA5"/>
    <w:rsid w:val="00F40974"/>
    <w:rsid w:val="00F40C34"/>
    <w:rsid w:val="00F4115B"/>
    <w:rsid w:val="00F415E9"/>
    <w:rsid w:val="00F41E76"/>
    <w:rsid w:val="00F4206B"/>
    <w:rsid w:val="00F4254B"/>
    <w:rsid w:val="00F4290E"/>
    <w:rsid w:val="00F43108"/>
    <w:rsid w:val="00F4547B"/>
    <w:rsid w:val="00F456CE"/>
    <w:rsid w:val="00F45B45"/>
    <w:rsid w:val="00F468EC"/>
    <w:rsid w:val="00F47242"/>
    <w:rsid w:val="00F500DF"/>
    <w:rsid w:val="00F508F7"/>
    <w:rsid w:val="00F51852"/>
    <w:rsid w:val="00F518BE"/>
    <w:rsid w:val="00F51AAE"/>
    <w:rsid w:val="00F51FF4"/>
    <w:rsid w:val="00F5330C"/>
    <w:rsid w:val="00F533F0"/>
    <w:rsid w:val="00F541F6"/>
    <w:rsid w:val="00F54B42"/>
    <w:rsid w:val="00F54D75"/>
    <w:rsid w:val="00F5508A"/>
    <w:rsid w:val="00F551E8"/>
    <w:rsid w:val="00F56C76"/>
    <w:rsid w:val="00F56FEA"/>
    <w:rsid w:val="00F57624"/>
    <w:rsid w:val="00F6098F"/>
    <w:rsid w:val="00F60F57"/>
    <w:rsid w:val="00F6150D"/>
    <w:rsid w:val="00F61692"/>
    <w:rsid w:val="00F616AB"/>
    <w:rsid w:val="00F61AFD"/>
    <w:rsid w:val="00F61B87"/>
    <w:rsid w:val="00F6208A"/>
    <w:rsid w:val="00F620E1"/>
    <w:rsid w:val="00F62A71"/>
    <w:rsid w:val="00F62B55"/>
    <w:rsid w:val="00F62EAE"/>
    <w:rsid w:val="00F637F1"/>
    <w:rsid w:val="00F63C51"/>
    <w:rsid w:val="00F64403"/>
    <w:rsid w:val="00F64759"/>
    <w:rsid w:val="00F64927"/>
    <w:rsid w:val="00F64F25"/>
    <w:rsid w:val="00F65246"/>
    <w:rsid w:val="00F6570B"/>
    <w:rsid w:val="00F70297"/>
    <w:rsid w:val="00F702BE"/>
    <w:rsid w:val="00F70E08"/>
    <w:rsid w:val="00F7111A"/>
    <w:rsid w:val="00F718A9"/>
    <w:rsid w:val="00F71B75"/>
    <w:rsid w:val="00F71FC0"/>
    <w:rsid w:val="00F72E06"/>
    <w:rsid w:val="00F73A4E"/>
    <w:rsid w:val="00F73B7F"/>
    <w:rsid w:val="00F73D6C"/>
    <w:rsid w:val="00F74210"/>
    <w:rsid w:val="00F74B75"/>
    <w:rsid w:val="00F75829"/>
    <w:rsid w:val="00F762E0"/>
    <w:rsid w:val="00F769DB"/>
    <w:rsid w:val="00F76B31"/>
    <w:rsid w:val="00F76CB6"/>
    <w:rsid w:val="00F777B5"/>
    <w:rsid w:val="00F77968"/>
    <w:rsid w:val="00F80139"/>
    <w:rsid w:val="00F80372"/>
    <w:rsid w:val="00F824FE"/>
    <w:rsid w:val="00F83201"/>
    <w:rsid w:val="00F842B8"/>
    <w:rsid w:val="00F846FD"/>
    <w:rsid w:val="00F8506D"/>
    <w:rsid w:val="00F850E5"/>
    <w:rsid w:val="00F85151"/>
    <w:rsid w:val="00F855AC"/>
    <w:rsid w:val="00F856A5"/>
    <w:rsid w:val="00F858F5"/>
    <w:rsid w:val="00F85C89"/>
    <w:rsid w:val="00F87488"/>
    <w:rsid w:val="00F87BA1"/>
    <w:rsid w:val="00F87CE6"/>
    <w:rsid w:val="00F87F56"/>
    <w:rsid w:val="00F904EC"/>
    <w:rsid w:val="00F91103"/>
    <w:rsid w:val="00F9130B"/>
    <w:rsid w:val="00F91483"/>
    <w:rsid w:val="00F91E56"/>
    <w:rsid w:val="00F9202F"/>
    <w:rsid w:val="00F923D1"/>
    <w:rsid w:val="00F934DD"/>
    <w:rsid w:val="00F93DF3"/>
    <w:rsid w:val="00F94FD7"/>
    <w:rsid w:val="00F95170"/>
    <w:rsid w:val="00F95E16"/>
    <w:rsid w:val="00F963E6"/>
    <w:rsid w:val="00F96912"/>
    <w:rsid w:val="00F97730"/>
    <w:rsid w:val="00F9790B"/>
    <w:rsid w:val="00F97D4F"/>
    <w:rsid w:val="00FA0393"/>
    <w:rsid w:val="00FA07DB"/>
    <w:rsid w:val="00FA0F03"/>
    <w:rsid w:val="00FA115C"/>
    <w:rsid w:val="00FA1392"/>
    <w:rsid w:val="00FA1A02"/>
    <w:rsid w:val="00FA1D37"/>
    <w:rsid w:val="00FA3839"/>
    <w:rsid w:val="00FA4F3D"/>
    <w:rsid w:val="00FA52DE"/>
    <w:rsid w:val="00FA6C0A"/>
    <w:rsid w:val="00FA73BF"/>
    <w:rsid w:val="00FA7897"/>
    <w:rsid w:val="00FA7B2D"/>
    <w:rsid w:val="00FB0A21"/>
    <w:rsid w:val="00FB0BF3"/>
    <w:rsid w:val="00FB1DF6"/>
    <w:rsid w:val="00FB1EE0"/>
    <w:rsid w:val="00FB2144"/>
    <w:rsid w:val="00FB2CF2"/>
    <w:rsid w:val="00FB305C"/>
    <w:rsid w:val="00FB308C"/>
    <w:rsid w:val="00FB319A"/>
    <w:rsid w:val="00FB34E9"/>
    <w:rsid w:val="00FB4300"/>
    <w:rsid w:val="00FB56C0"/>
    <w:rsid w:val="00FB57DD"/>
    <w:rsid w:val="00FB5836"/>
    <w:rsid w:val="00FB595F"/>
    <w:rsid w:val="00FB5B90"/>
    <w:rsid w:val="00FB6271"/>
    <w:rsid w:val="00FB6415"/>
    <w:rsid w:val="00FB68B7"/>
    <w:rsid w:val="00FB7462"/>
    <w:rsid w:val="00FC0125"/>
    <w:rsid w:val="00FC0FE2"/>
    <w:rsid w:val="00FC117D"/>
    <w:rsid w:val="00FC1F58"/>
    <w:rsid w:val="00FC2177"/>
    <w:rsid w:val="00FC231D"/>
    <w:rsid w:val="00FC2474"/>
    <w:rsid w:val="00FC2920"/>
    <w:rsid w:val="00FC3A54"/>
    <w:rsid w:val="00FC3A6D"/>
    <w:rsid w:val="00FC4303"/>
    <w:rsid w:val="00FC588D"/>
    <w:rsid w:val="00FC5A58"/>
    <w:rsid w:val="00FC5E3A"/>
    <w:rsid w:val="00FC6564"/>
    <w:rsid w:val="00FC6E1C"/>
    <w:rsid w:val="00FD0166"/>
    <w:rsid w:val="00FD07AB"/>
    <w:rsid w:val="00FD0DB1"/>
    <w:rsid w:val="00FD196F"/>
    <w:rsid w:val="00FD1FF0"/>
    <w:rsid w:val="00FD30BE"/>
    <w:rsid w:val="00FD3BE0"/>
    <w:rsid w:val="00FD432F"/>
    <w:rsid w:val="00FD4395"/>
    <w:rsid w:val="00FD4AE4"/>
    <w:rsid w:val="00FD4CA0"/>
    <w:rsid w:val="00FD55FB"/>
    <w:rsid w:val="00FD5C04"/>
    <w:rsid w:val="00FD5D3C"/>
    <w:rsid w:val="00FD62EA"/>
    <w:rsid w:val="00FD694E"/>
    <w:rsid w:val="00FD6CB3"/>
    <w:rsid w:val="00FD6CE2"/>
    <w:rsid w:val="00FD6E3E"/>
    <w:rsid w:val="00FD7C6B"/>
    <w:rsid w:val="00FE088E"/>
    <w:rsid w:val="00FE0B81"/>
    <w:rsid w:val="00FE0D3E"/>
    <w:rsid w:val="00FE10A1"/>
    <w:rsid w:val="00FE10F6"/>
    <w:rsid w:val="00FE180F"/>
    <w:rsid w:val="00FE209B"/>
    <w:rsid w:val="00FE2667"/>
    <w:rsid w:val="00FE306F"/>
    <w:rsid w:val="00FE316C"/>
    <w:rsid w:val="00FE495D"/>
    <w:rsid w:val="00FE4C64"/>
    <w:rsid w:val="00FE5244"/>
    <w:rsid w:val="00FE5578"/>
    <w:rsid w:val="00FE5EF0"/>
    <w:rsid w:val="00FE5F5C"/>
    <w:rsid w:val="00FE5FD7"/>
    <w:rsid w:val="00FE5FED"/>
    <w:rsid w:val="00FE6B6C"/>
    <w:rsid w:val="00FE7FA5"/>
    <w:rsid w:val="00FF0B2E"/>
    <w:rsid w:val="00FF25F8"/>
    <w:rsid w:val="00FF35AF"/>
    <w:rsid w:val="00FF3AD8"/>
    <w:rsid w:val="00FF4B0D"/>
    <w:rsid w:val="00FF5DE5"/>
    <w:rsid w:val="00FF619B"/>
    <w:rsid w:val="00FF6E30"/>
    <w:rsid w:val="00FF7326"/>
    <w:rsid w:val="00FF7705"/>
    <w:rsid w:val="00FF7D63"/>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863625"/>
  <w15:docId w15:val="{7B459E13-2ACA-49FC-8C3E-9AC503CB55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rsid w:val="003D4C15"/>
    <w:pPr>
      <w:spacing w:after="0" w:line="240" w:lineRule="auto"/>
    </w:pPr>
    <w:rPr>
      <w:rFonts w:ascii="Times New Roman" w:eastAsia="Times New Roman" w:hAnsi="Times New Roman" w:cs="Times New Roman"/>
      <w:sz w:val="24"/>
      <w:szCs w:val="24"/>
      <w:lang w:eastAsia="lt-LT"/>
    </w:rPr>
  </w:style>
  <w:style w:type="paragraph" w:styleId="Antrat1">
    <w:name w:val="heading 1"/>
    <w:basedOn w:val="prastasis"/>
    <w:next w:val="prastasis"/>
    <w:link w:val="Antrat1Diagrama"/>
    <w:qFormat/>
    <w:rsid w:val="003D4C15"/>
    <w:pPr>
      <w:jc w:val="both"/>
      <w:outlineLvl w:val="0"/>
    </w:pPr>
    <w:rPr>
      <w:b/>
      <w:sz w:val="22"/>
      <w:szCs w:val="22"/>
      <w:u w:val="single"/>
    </w:rPr>
  </w:style>
  <w:style w:type="paragraph" w:styleId="Antrat2">
    <w:name w:val="heading 2"/>
    <w:basedOn w:val="prastasis"/>
    <w:next w:val="prastasis"/>
    <w:link w:val="Antrat2Diagrama"/>
    <w:autoRedefine/>
    <w:uiPriority w:val="9"/>
    <w:unhideWhenUsed/>
    <w:qFormat/>
    <w:rsid w:val="00F31DA2"/>
    <w:pPr>
      <w:shd w:val="clear" w:color="auto" w:fill="FFFFFF"/>
      <w:tabs>
        <w:tab w:val="left" w:pos="567"/>
      </w:tabs>
      <w:jc w:val="both"/>
      <w:outlineLvl w:val="1"/>
    </w:pPr>
    <w:rPr>
      <w:rFonts w:asciiTheme="minorHAnsi" w:eastAsia="Calibri" w:hAnsiTheme="minorHAnsi" w:cstheme="minorHAnsi"/>
      <w:i/>
      <w:sz w:val="22"/>
      <w:szCs w:val="22"/>
      <w:shd w:val="clear" w:color="auto" w:fill="FFFFFF"/>
      <w:lang w:eastAsia="en-US"/>
    </w:rPr>
  </w:style>
  <w:style w:type="paragraph" w:styleId="Antrat3">
    <w:name w:val="heading 3"/>
    <w:basedOn w:val="prastasis"/>
    <w:next w:val="prastasis"/>
    <w:link w:val="Antrat3Diagrama"/>
    <w:uiPriority w:val="9"/>
    <w:unhideWhenUsed/>
    <w:rsid w:val="003D4C15"/>
    <w:pPr>
      <w:jc w:val="both"/>
      <w:outlineLvl w:val="2"/>
    </w:pPr>
    <w:rPr>
      <w:i/>
      <w:sz w:val="22"/>
      <w:szCs w:val="22"/>
    </w:rPr>
  </w:style>
  <w:style w:type="paragraph" w:styleId="Antrat4">
    <w:name w:val="heading 4"/>
    <w:basedOn w:val="prastasis"/>
    <w:next w:val="prastasis"/>
    <w:link w:val="Antrat4Diagrama"/>
    <w:uiPriority w:val="9"/>
    <w:unhideWhenUsed/>
    <w:rsid w:val="003D4C15"/>
    <w:pPr>
      <w:keepNext/>
      <w:ind w:firstLine="720"/>
      <w:jc w:val="both"/>
      <w:outlineLvl w:val="3"/>
    </w:pPr>
    <w:rPr>
      <w:b/>
      <w:bCs/>
      <w:sz w:val="22"/>
      <w:szCs w:val="28"/>
      <w:u w:val="single"/>
    </w:rPr>
  </w:style>
  <w:style w:type="paragraph" w:styleId="Antrat5">
    <w:name w:val="heading 5"/>
    <w:basedOn w:val="prastasis"/>
    <w:next w:val="prastasis"/>
    <w:link w:val="Antrat5Diagrama"/>
    <w:uiPriority w:val="9"/>
    <w:unhideWhenUsed/>
    <w:rsid w:val="003D4C15"/>
    <w:pPr>
      <w:jc w:val="both"/>
      <w:outlineLvl w:val="4"/>
    </w:pPr>
    <w:rPr>
      <w:bCs/>
      <w:i/>
      <w:iCs/>
      <w:sz w:val="22"/>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3D4C15"/>
    <w:rPr>
      <w:rFonts w:ascii="Times New Roman" w:eastAsia="Times New Roman" w:hAnsi="Times New Roman" w:cs="Times New Roman"/>
      <w:b/>
      <w:u w:val="single"/>
      <w:lang w:eastAsia="lt-LT"/>
    </w:rPr>
  </w:style>
  <w:style w:type="character" w:customStyle="1" w:styleId="Antrat2Diagrama">
    <w:name w:val="Antraštė 2 Diagrama"/>
    <w:basedOn w:val="Numatytasispastraiposriftas"/>
    <w:link w:val="Antrat2"/>
    <w:uiPriority w:val="9"/>
    <w:rsid w:val="00F31DA2"/>
    <w:rPr>
      <w:rFonts w:eastAsia="Calibri" w:cstheme="minorHAnsi"/>
      <w:i/>
      <w:shd w:val="clear" w:color="auto" w:fill="FFFFFF"/>
    </w:rPr>
  </w:style>
  <w:style w:type="character" w:customStyle="1" w:styleId="Antrat3Diagrama">
    <w:name w:val="Antraštė 3 Diagrama"/>
    <w:basedOn w:val="Numatytasispastraiposriftas"/>
    <w:link w:val="Antrat3"/>
    <w:uiPriority w:val="9"/>
    <w:rsid w:val="003D4C15"/>
    <w:rPr>
      <w:rFonts w:ascii="Times New Roman" w:eastAsia="Times New Roman" w:hAnsi="Times New Roman" w:cs="Times New Roman"/>
      <w:i/>
      <w:lang w:eastAsia="lt-LT"/>
    </w:rPr>
  </w:style>
  <w:style w:type="character" w:customStyle="1" w:styleId="Antrat4Diagrama">
    <w:name w:val="Antraštė 4 Diagrama"/>
    <w:basedOn w:val="Numatytasispastraiposriftas"/>
    <w:link w:val="Antrat4"/>
    <w:uiPriority w:val="9"/>
    <w:rsid w:val="003D4C15"/>
    <w:rPr>
      <w:rFonts w:ascii="Times New Roman" w:eastAsia="Times New Roman" w:hAnsi="Times New Roman" w:cs="Times New Roman"/>
      <w:b/>
      <w:bCs/>
      <w:szCs w:val="28"/>
      <w:u w:val="single"/>
      <w:lang w:eastAsia="lt-LT"/>
    </w:rPr>
  </w:style>
  <w:style w:type="character" w:customStyle="1" w:styleId="Antrat5Diagrama">
    <w:name w:val="Antraštė 5 Diagrama"/>
    <w:basedOn w:val="Numatytasispastraiposriftas"/>
    <w:link w:val="Antrat5"/>
    <w:uiPriority w:val="9"/>
    <w:rsid w:val="003D4C15"/>
    <w:rPr>
      <w:rFonts w:ascii="Times New Roman" w:eastAsia="Times New Roman" w:hAnsi="Times New Roman" w:cs="Times New Roman"/>
      <w:bCs/>
      <w:i/>
      <w:iCs/>
      <w:szCs w:val="26"/>
      <w:lang w:eastAsia="lt-LT"/>
    </w:rPr>
  </w:style>
  <w:style w:type="paragraph" w:styleId="Antrats">
    <w:name w:val="header"/>
    <w:basedOn w:val="prastasis"/>
    <w:link w:val="AntratsDiagrama"/>
    <w:uiPriority w:val="99"/>
    <w:rsid w:val="003D4C15"/>
    <w:pPr>
      <w:tabs>
        <w:tab w:val="center" w:pos="4153"/>
        <w:tab w:val="right" w:pos="8306"/>
      </w:tabs>
    </w:pPr>
    <w:rPr>
      <w:lang w:val="en-GB" w:eastAsia="en-US"/>
    </w:rPr>
  </w:style>
  <w:style w:type="character" w:customStyle="1" w:styleId="AntratsDiagrama">
    <w:name w:val="Antraštės Diagrama"/>
    <w:basedOn w:val="Numatytasispastraiposriftas"/>
    <w:link w:val="Antrats"/>
    <w:uiPriority w:val="99"/>
    <w:rsid w:val="003D4C15"/>
    <w:rPr>
      <w:rFonts w:ascii="Times New Roman" w:eastAsia="Times New Roman" w:hAnsi="Times New Roman" w:cs="Times New Roman"/>
      <w:sz w:val="24"/>
      <w:szCs w:val="24"/>
      <w:lang w:val="en-GB"/>
    </w:rPr>
  </w:style>
  <w:style w:type="paragraph" w:styleId="Porat">
    <w:name w:val="footer"/>
    <w:basedOn w:val="prastasis"/>
    <w:link w:val="PoratDiagrama"/>
    <w:rsid w:val="003D4C15"/>
    <w:pPr>
      <w:tabs>
        <w:tab w:val="center" w:pos="4153"/>
        <w:tab w:val="right" w:pos="8306"/>
      </w:tabs>
    </w:pPr>
  </w:style>
  <w:style w:type="character" w:customStyle="1" w:styleId="PoratDiagrama">
    <w:name w:val="Poraštė Diagrama"/>
    <w:basedOn w:val="Numatytasispastraiposriftas"/>
    <w:link w:val="Porat"/>
    <w:rsid w:val="003D4C15"/>
    <w:rPr>
      <w:rFonts w:ascii="Times New Roman" w:eastAsia="Times New Roman" w:hAnsi="Times New Roman" w:cs="Times New Roman"/>
      <w:sz w:val="24"/>
      <w:szCs w:val="24"/>
      <w:lang w:eastAsia="lt-LT"/>
    </w:rPr>
  </w:style>
  <w:style w:type="character" w:styleId="Puslapionumeris">
    <w:name w:val="page number"/>
    <w:basedOn w:val="Numatytasispastraiposriftas"/>
    <w:rsid w:val="003D4C15"/>
  </w:style>
  <w:style w:type="paragraph" w:styleId="prastasiniatinklio">
    <w:name w:val="Normal (Web)"/>
    <w:basedOn w:val="prastasis"/>
    <w:link w:val="prastasiniatinklioDiagrama"/>
    <w:uiPriority w:val="99"/>
    <w:rsid w:val="003D4C15"/>
    <w:pPr>
      <w:spacing w:before="100" w:beforeAutospacing="1" w:after="100" w:afterAutospacing="1"/>
    </w:pPr>
    <w:rPr>
      <w:lang w:val="en-US" w:eastAsia="en-US"/>
    </w:rPr>
  </w:style>
  <w:style w:type="paragraph" w:customStyle="1" w:styleId="Style12">
    <w:name w:val="Style12"/>
    <w:basedOn w:val="prastasis"/>
    <w:rsid w:val="003D4C15"/>
    <w:pPr>
      <w:widowControl w:val="0"/>
      <w:autoSpaceDE w:val="0"/>
      <w:autoSpaceDN w:val="0"/>
      <w:adjustRightInd w:val="0"/>
      <w:spacing w:line="276" w:lineRule="exact"/>
      <w:ind w:firstLine="1622"/>
      <w:jc w:val="both"/>
    </w:pPr>
  </w:style>
  <w:style w:type="character" w:styleId="Hipersaitas">
    <w:name w:val="Hyperlink"/>
    <w:basedOn w:val="Numatytasispastraiposriftas"/>
    <w:uiPriority w:val="99"/>
    <w:rsid w:val="003D4C15"/>
    <w:rPr>
      <w:color w:val="0000FF"/>
      <w:u w:val="single"/>
    </w:rPr>
  </w:style>
  <w:style w:type="paragraph" w:styleId="Pagrindiniotekstotrauka2">
    <w:name w:val="Body Text Indent 2"/>
    <w:basedOn w:val="prastasis"/>
    <w:link w:val="Pagrindiniotekstotrauka2Diagrama"/>
    <w:rsid w:val="003D4C15"/>
    <w:pPr>
      <w:ind w:firstLine="540"/>
      <w:jc w:val="both"/>
    </w:pPr>
    <w:rPr>
      <w:bCs/>
      <w:lang w:eastAsia="en-US"/>
    </w:rPr>
  </w:style>
  <w:style w:type="character" w:customStyle="1" w:styleId="Pagrindiniotekstotrauka2Diagrama">
    <w:name w:val="Pagrindinio teksto įtrauka 2 Diagrama"/>
    <w:basedOn w:val="Numatytasispastraiposriftas"/>
    <w:link w:val="Pagrindiniotekstotrauka2"/>
    <w:rsid w:val="003D4C15"/>
    <w:rPr>
      <w:rFonts w:ascii="Times New Roman" w:eastAsia="Times New Roman" w:hAnsi="Times New Roman" w:cs="Times New Roman"/>
      <w:bCs/>
      <w:sz w:val="24"/>
      <w:szCs w:val="24"/>
    </w:rPr>
  </w:style>
  <w:style w:type="paragraph" w:styleId="Pagrindinistekstas">
    <w:name w:val="Body Text"/>
    <w:basedOn w:val="prastasis"/>
    <w:link w:val="PagrindinistekstasDiagrama"/>
    <w:unhideWhenUsed/>
    <w:rsid w:val="003D4C15"/>
    <w:pPr>
      <w:spacing w:after="120"/>
    </w:pPr>
  </w:style>
  <w:style w:type="character" w:customStyle="1" w:styleId="PagrindinistekstasDiagrama">
    <w:name w:val="Pagrindinis tekstas Diagrama"/>
    <w:basedOn w:val="Numatytasispastraiposriftas"/>
    <w:link w:val="Pagrindinistekstas"/>
    <w:rsid w:val="003D4C15"/>
    <w:rPr>
      <w:rFonts w:ascii="Times New Roman" w:eastAsia="Times New Roman" w:hAnsi="Times New Roman" w:cs="Times New Roman"/>
      <w:sz w:val="24"/>
      <w:szCs w:val="24"/>
      <w:lang w:eastAsia="lt-LT"/>
    </w:rPr>
  </w:style>
  <w:style w:type="paragraph" w:styleId="HTMLiankstoformatuotas">
    <w:name w:val="HTML Preformatted"/>
    <w:basedOn w:val="prastasis"/>
    <w:link w:val="HTMLiankstoformatuotasDiagrama"/>
    <w:uiPriority w:val="99"/>
    <w:rsid w:val="003D4C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sz w:val="20"/>
      <w:szCs w:val="20"/>
      <w:lang w:val="en-GB" w:eastAsia="en-US"/>
    </w:rPr>
  </w:style>
  <w:style w:type="character" w:customStyle="1" w:styleId="HTMLiankstoformatuotasDiagrama">
    <w:name w:val="HTML iš anksto formatuotas Diagrama"/>
    <w:basedOn w:val="Numatytasispastraiposriftas"/>
    <w:link w:val="HTMLiankstoformatuotas"/>
    <w:uiPriority w:val="99"/>
    <w:rsid w:val="003D4C15"/>
    <w:rPr>
      <w:rFonts w:ascii="Arial Unicode MS" w:eastAsia="Arial Unicode MS" w:hAnsi="Arial Unicode MS" w:cs="Times New Roman"/>
      <w:sz w:val="20"/>
      <w:szCs w:val="20"/>
      <w:lang w:val="en-GB"/>
    </w:rPr>
  </w:style>
  <w:style w:type="character" w:customStyle="1" w:styleId="FontStyle27">
    <w:name w:val="Font Style27"/>
    <w:basedOn w:val="Numatytasispastraiposriftas"/>
    <w:rsid w:val="003D4C15"/>
    <w:rPr>
      <w:rFonts w:ascii="Times New Roman" w:hAnsi="Times New Roman" w:cs="Times New Roman"/>
      <w:sz w:val="20"/>
      <w:szCs w:val="20"/>
    </w:rPr>
  </w:style>
  <w:style w:type="character" w:customStyle="1" w:styleId="FontStyle31">
    <w:name w:val="Font Style31"/>
    <w:basedOn w:val="Numatytasispastraiposriftas"/>
    <w:rsid w:val="003D4C15"/>
    <w:rPr>
      <w:rFonts w:ascii="Times New Roman" w:hAnsi="Times New Roman" w:cs="Times New Roman"/>
      <w:sz w:val="22"/>
      <w:szCs w:val="22"/>
    </w:rPr>
  </w:style>
  <w:style w:type="character" w:customStyle="1" w:styleId="FontStyle21">
    <w:name w:val="Font Style21"/>
    <w:basedOn w:val="Numatytasispastraiposriftas"/>
    <w:uiPriority w:val="99"/>
    <w:rsid w:val="003D4C15"/>
    <w:rPr>
      <w:rFonts w:ascii="Times New Roman" w:hAnsi="Times New Roman" w:cs="Times New Roman"/>
      <w:sz w:val="20"/>
      <w:szCs w:val="20"/>
    </w:rPr>
  </w:style>
  <w:style w:type="paragraph" w:styleId="Dokumentostruktra">
    <w:name w:val="Document Map"/>
    <w:basedOn w:val="prastasis"/>
    <w:link w:val="DokumentostruktraDiagrama"/>
    <w:uiPriority w:val="99"/>
    <w:semiHidden/>
    <w:unhideWhenUsed/>
    <w:rsid w:val="003D4C15"/>
    <w:rPr>
      <w:rFonts w:ascii="Tahoma" w:hAnsi="Tahoma" w:cs="Tahoma"/>
      <w:sz w:val="16"/>
      <w:szCs w:val="16"/>
    </w:rPr>
  </w:style>
  <w:style w:type="character" w:customStyle="1" w:styleId="DokumentostruktraDiagrama">
    <w:name w:val="Dokumento struktūra Diagrama"/>
    <w:basedOn w:val="Numatytasispastraiposriftas"/>
    <w:link w:val="Dokumentostruktra"/>
    <w:uiPriority w:val="99"/>
    <w:semiHidden/>
    <w:rsid w:val="003D4C15"/>
    <w:rPr>
      <w:rFonts w:ascii="Tahoma" w:eastAsia="Times New Roman" w:hAnsi="Tahoma" w:cs="Tahoma"/>
      <w:sz w:val="16"/>
      <w:szCs w:val="16"/>
      <w:lang w:eastAsia="lt-LT"/>
    </w:rPr>
  </w:style>
  <w:style w:type="character" w:customStyle="1" w:styleId="FontStyle32">
    <w:name w:val="Font Style32"/>
    <w:basedOn w:val="Numatytasispastraiposriftas"/>
    <w:rsid w:val="003D4C15"/>
    <w:rPr>
      <w:rFonts w:ascii="Times New Roman" w:hAnsi="Times New Roman" w:cs="Times New Roman"/>
      <w:sz w:val="20"/>
      <w:szCs w:val="20"/>
    </w:rPr>
  </w:style>
  <w:style w:type="paragraph" w:styleId="Pagrindiniotekstotrauka">
    <w:name w:val="Body Text Indent"/>
    <w:basedOn w:val="prastasis"/>
    <w:link w:val="PagrindiniotekstotraukaDiagrama"/>
    <w:uiPriority w:val="99"/>
    <w:unhideWhenUsed/>
    <w:rsid w:val="003D4C15"/>
    <w:pPr>
      <w:spacing w:after="120"/>
      <w:ind w:left="283"/>
    </w:pPr>
  </w:style>
  <w:style w:type="character" w:customStyle="1" w:styleId="PagrindiniotekstotraukaDiagrama">
    <w:name w:val="Pagrindinio teksto įtrauka Diagrama"/>
    <w:basedOn w:val="Numatytasispastraiposriftas"/>
    <w:link w:val="Pagrindiniotekstotrauka"/>
    <w:uiPriority w:val="99"/>
    <w:rsid w:val="003D4C15"/>
    <w:rPr>
      <w:rFonts w:ascii="Times New Roman" w:eastAsia="Times New Roman" w:hAnsi="Times New Roman" w:cs="Times New Roman"/>
      <w:sz w:val="24"/>
      <w:szCs w:val="24"/>
      <w:lang w:eastAsia="lt-LT"/>
    </w:rPr>
  </w:style>
  <w:style w:type="paragraph" w:styleId="Puslapioinaostekstas">
    <w:name w:val="footnote text"/>
    <w:basedOn w:val="prastasis"/>
    <w:link w:val="PuslapioinaostekstasDiagrama"/>
    <w:semiHidden/>
    <w:rsid w:val="003D4C15"/>
    <w:rPr>
      <w:sz w:val="20"/>
      <w:szCs w:val="20"/>
    </w:rPr>
  </w:style>
  <w:style w:type="character" w:customStyle="1" w:styleId="PuslapioinaostekstasDiagrama">
    <w:name w:val="Puslapio išnašos tekstas Diagrama"/>
    <w:basedOn w:val="Numatytasispastraiposriftas"/>
    <w:link w:val="Puslapioinaostekstas"/>
    <w:uiPriority w:val="99"/>
    <w:semiHidden/>
    <w:rsid w:val="003D4C15"/>
    <w:rPr>
      <w:rFonts w:ascii="Times New Roman" w:eastAsia="Times New Roman" w:hAnsi="Times New Roman" w:cs="Times New Roman"/>
      <w:sz w:val="20"/>
      <w:szCs w:val="20"/>
      <w:lang w:eastAsia="lt-LT"/>
    </w:rPr>
  </w:style>
  <w:style w:type="character" w:styleId="Puslapioinaosnuoroda">
    <w:name w:val="footnote reference"/>
    <w:basedOn w:val="Numatytasispastraiposriftas"/>
    <w:semiHidden/>
    <w:rsid w:val="003D4C15"/>
    <w:rPr>
      <w:vertAlign w:val="superscript"/>
    </w:rPr>
  </w:style>
  <w:style w:type="paragraph" w:styleId="Turinys1">
    <w:name w:val="toc 1"/>
    <w:basedOn w:val="prastasis"/>
    <w:next w:val="prastasis"/>
    <w:autoRedefine/>
    <w:uiPriority w:val="39"/>
    <w:unhideWhenUsed/>
    <w:qFormat/>
    <w:rsid w:val="003D4C15"/>
    <w:pPr>
      <w:tabs>
        <w:tab w:val="right" w:leader="dot" w:pos="9639"/>
      </w:tabs>
      <w:spacing w:before="120" w:after="120"/>
      <w:jc w:val="both"/>
    </w:pPr>
    <w:rPr>
      <w:rFonts w:asciiTheme="minorHAnsi" w:hAnsiTheme="minorHAnsi"/>
      <w:b/>
      <w:bCs/>
      <w:caps/>
      <w:sz w:val="22"/>
      <w:szCs w:val="20"/>
    </w:rPr>
  </w:style>
  <w:style w:type="paragraph" w:styleId="Turinys2">
    <w:name w:val="toc 2"/>
    <w:basedOn w:val="prastasis"/>
    <w:next w:val="prastasis"/>
    <w:autoRedefine/>
    <w:uiPriority w:val="39"/>
    <w:unhideWhenUsed/>
    <w:qFormat/>
    <w:rsid w:val="003D4C15"/>
    <w:pPr>
      <w:tabs>
        <w:tab w:val="right" w:leader="dot" w:pos="9639"/>
      </w:tabs>
      <w:ind w:left="240"/>
      <w:jc w:val="both"/>
    </w:pPr>
    <w:rPr>
      <w:rFonts w:asciiTheme="minorHAnsi" w:hAnsiTheme="minorHAnsi"/>
      <w:i/>
      <w:sz w:val="22"/>
      <w:szCs w:val="20"/>
    </w:rPr>
  </w:style>
  <w:style w:type="paragraph" w:styleId="Turinys3">
    <w:name w:val="toc 3"/>
    <w:basedOn w:val="prastasis"/>
    <w:next w:val="prastasis"/>
    <w:autoRedefine/>
    <w:uiPriority w:val="39"/>
    <w:unhideWhenUsed/>
    <w:qFormat/>
    <w:rsid w:val="003D4C15"/>
    <w:pPr>
      <w:tabs>
        <w:tab w:val="right" w:leader="dot" w:pos="9628"/>
      </w:tabs>
      <w:ind w:left="480"/>
      <w:jc w:val="both"/>
    </w:pPr>
    <w:rPr>
      <w:rFonts w:asciiTheme="minorHAnsi" w:hAnsiTheme="minorHAnsi"/>
      <w:i/>
      <w:iCs/>
      <w:sz w:val="22"/>
      <w:szCs w:val="20"/>
    </w:rPr>
  </w:style>
  <w:style w:type="paragraph" w:styleId="Turinys4">
    <w:name w:val="toc 4"/>
    <w:basedOn w:val="prastasis"/>
    <w:next w:val="prastasis"/>
    <w:autoRedefine/>
    <w:uiPriority w:val="39"/>
    <w:unhideWhenUsed/>
    <w:rsid w:val="003D4C15"/>
    <w:pPr>
      <w:ind w:left="720"/>
    </w:pPr>
    <w:rPr>
      <w:rFonts w:ascii="Calibri" w:hAnsi="Calibri"/>
      <w:sz w:val="18"/>
      <w:szCs w:val="18"/>
    </w:rPr>
  </w:style>
  <w:style w:type="paragraph" w:styleId="Betarp">
    <w:name w:val="No Spacing"/>
    <w:link w:val="BetarpDiagrama"/>
    <w:uiPriority w:val="1"/>
    <w:qFormat/>
    <w:rsid w:val="003D4C15"/>
    <w:pPr>
      <w:spacing w:after="0" w:line="240" w:lineRule="auto"/>
    </w:pPr>
    <w:rPr>
      <w:rFonts w:ascii="Calibri" w:eastAsia="Times New Roman" w:hAnsi="Calibri" w:cs="Times New Roman"/>
    </w:rPr>
  </w:style>
  <w:style w:type="character" w:customStyle="1" w:styleId="BetarpDiagrama">
    <w:name w:val="Be tarpų Diagrama"/>
    <w:basedOn w:val="Numatytasispastraiposriftas"/>
    <w:link w:val="Betarp"/>
    <w:uiPriority w:val="1"/>
    <w:rsid w:val="003D4C15"/>
    <w:rPr>
      <w:rFonts w:ascii="Calibri" w:eastAsia="Times New Roman" w:hAnsi="Calibri" w:cs="Times New Roman"/>
    </w:rPr>
  </w:style>
  <w:style w:type="paragraph" w:styleId="Debesliotekstas">
    <w:name w:val="Balloon Text"/>
    <w:basedOn w:val="prastasis"/>
    <w:link w:val="DebesliotekstasDiagrama"/>
    <w:uiPriority w:val="99"/>
    <w:semiHidden/>
    <w:unhideWhenUsed/>
    <w:rsid w:val="003D4C15"/>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4C15"/>
    <w:rPr>
      <w:rFonts w:ascii="Tahoma" w:eastAsia="Times New Roman" w:hAnsi="Tahoma" w:cs="Tahoma"/>
      <w:sz w:val="16"/>
      <w:szCs w:val="16"/>
      <w:lang w:eastAsia="lt-LT"/>
    </w:rPr>
  </w:style>
  <w:style w:type="character" w:styleId="Perirtashipersaitas">
    <w:name w:val="FollowedHyperlink"/>
    <w:basedOn w:val="Numatytasispastraiposriftas"/>
    <w:uiPriority w:val="99"/>
    <w:semiHidden/>
    <w:unhideWhenUsed/>
    <w:rsid w:val="003D4C15"/>
    <w:rPr>
      <w:color w:val="800080"/>
      <w:u w:val="single"/>
    </w:rPr>
  </w:style>
  <w:style w:type="paragraph" w:styleId="Turinys5">
    <w:name w:val="toc 5"/>
    <w:basedOn w:val="prastasis"/>
    <w:next w:val="prastasis"/>
    <w:autoRedefine/>
    <w:uiPriority w:val="39"/>
    <w:unhideWhenUsed/>
    <w:rsid w:val="003D4C15"/>
    <w:pPr>
      <w:ind w:left="960"/>
    </w:pPr>
    <w:rPr>
      <w:rFonts w:ascii="Calibri" w:hAnsi="Calibri"/>
      <w:sz w:val="18"/>
      <w:szCs w:val="18"/>
    </w:rPr>
  </w:style>
  <w:style w:type="character" w:styleId="Emfaz">
    <w:name w:val="Emphasis"/>
    <w:basedOn w:val="Numatytasispastraiposriftas"/>
    <w:qFormat/>
    <w:rsid w:val="003D4C15"/>
    <w:rPr>
      <w:rFonts w:ascii="Times New Roman" w:hAnsi="Times New Roman"/>
      <w:i/>
      <w:iCs/>
      <w:sz w:val="22"/>
    </w:rPr>
  </w:style>
  <w:style w:type="character" w:customStyle="1" w:styleId="Pagrindinistekstas11">
    <w:name w:val="Pagrindinis tekstas (11)_"/>
    <w:basedOn w:val="Numatytasispastraiposriftas"/>
    <w:link w:val="Pagrindinistekstas110"/>
    <w:rsid w:val="003D4C15"/>
    <w:rPr>
      <w:sz w:val="23"/>
      <w:szCs w:val="23"/>
      <w:shd w:val="clear" w:color="auto" w:fill="FFFFFF"/>
    </w:rPr>
  </w:style>
  <w:style w:type="paragraph" w:customStyle="1" w:styleId="Pagrindinistekstas110">
    <w:name w:val="Pagrindinis tekstas (11)"/>
    <w:basedOn w:val="prastasis"/>
    <w:link w:val="Pagrindinistekstas11"/>
    <w:rsid w:val="003D4C15"/>
    <w:pPr>
      <w:shd w:val="clear" w:color="auto" w:fill="FFFFFF"/>
      <w:spacing w:line="274" w:lineRule="exact"/>
      <w:jc w:val="both"/>
    </w:pPr>
    <w:rPr>
      <w:rFonts w:asciiTheme="minorHAnsi" w:eastAsiaTheme="minorHAnsi" w:hAnsiTheme="minorHAnsi" w:cstheme="minorBidi"/>
      <w:sz w:val="23"/>
      <w:szCs w:val="23"/>
      <w:shd w:val="clear" w:color="auto" w:fill="FFFFFF"/>
      <w:lang w:eastAsia="en-US"/>
    </w:rPr>
  </w:style>
  <w:style w:type="paragraph" w:styleId="Komentarotekstas">
    <w:name w:val="annotation text"/>
    <w:basedOn w:val="prastasis"/>
    <w:link w:val="KomentarotekstasDiagrama"/>
    <w:uiPriority w:val="99"/>
    <w:unhideWhenUsed/>
    <w:rsid w:val="003D4C15"/>
    <w:pPr>
      <w:spacing w:after="200" w:line="276" w:lineRule="auto"/>
    </w:pPr>
    <w:rPr>
      <w:rFonts w:ascii="Calibri" w:eastAsia="Calibri" w:hAnsi="Calibri"/>
      <w:sz w:val="20"/>
      <w:szCs w:val="20"/>
      <w:lang w:eastAsia="en-US"/>
    </w:rPr>
  </w:style>
  <w:style w:type="character" w:customStyle="1" w:styleId="KomentarotekstasDiagrama">
    <w:name w:val="Komentaro tekstas Diagrama"/>
    <w:basedOn w:val="Numatytasispastraiposriftas"/>
    <w:link w:val="Komentarotekstas"/>
    <w:uiPriority w:val="99"/>
    <w:rsid w:val="003D4C15"/>
    <w:rPr>
      <w:rFonts w:ascii="Calibri" w:eastAsia="Calibri" w:hAnsi="Calibri" w:cs="Times New Roman"/>
      <w:sz w:val="20"/>
      <w:szCs w:val="20"/>
    </w:rPr>
  </w:style>
  <w:style w:type="paragraph" w:styleId="Pagrindiniotekstotrauka3">
    <w:name w:val="Body Text Indent 3"/>
    <w:basedOn w:val="prastasis"/>
    <w:link w:val="Pagrindiniotekstotrauka3Diagrama"/>
    <w:unhideWhenUsed/>
    <w:rsid w:val="003D4C15"/>
    <w:pPr>
      <w:spacing w:after="120"/>
      <w:ind w:left="283"/>
    </w:pPr>
    <w:rPr>
      <w:sz w:val="16"/>
      <w:szCs w:val="16"/>
    </w:rPr>
  </w:style>
  <w:style w:type="character" w:customStyle="1" w:styleId="Pagrindiniotekstotrauka3Diagrama">
    <w:name w:val="Pagrindinio teksto įtrauka 3 Diagrama"/>
    <w:basedOn w:val="Numatytasispastraiposriftas"/>
    <w:link w:val="Pagrindiniotekstotrauka3"/>
    <w:rsid w:val="003D4C15"/>
    <w:rPr>
      <w:rFonts w:ascii="Times New Roman" w:eastAsia="Times New Roman" w:hAnsi="Times New Roman" w:cs="Times New Roman"/>
      <w:sz w:val="16"/>
      <w:szCs w:val="16"/>
      <w:lang w:eastAsia="lt-LT"/>
    </w:rPr>
  </w:style>
  <w:style w:type="character" w:customStyle="1" w:styleId="Pagrindinistekstas5">
    <w:name w:val="Pagrindinis tekstas5"/>
    <w:rsid w:val="003D4C15"/>
    <w:rPr>
      <w:rFonts w:ascii="Times New Roman" w:hAnsi="Times New Roman" w:cs="Times New Roman"/>
      <w:sz w:val="23"/>
      <w:szCs w:val="23"/>
      <w:u w:val="single"/>
      <w:shd w:val="clear" w:color="auto" w:fill="FFFFFF"/>
    </w:rPr>
  </w:style>
  <w:style w:type="paragraph" w:styleId="Turinioantrat">
    <w:name w:val="TOC Heading"/>
    <w:basedOn w:val="Antrat1"/>
    <w:next w:val="prastasis"/>
    <w:uiPriority w:val="39"/>
    <w:semiHidden/>
    <w:unhideWhenUsed/>
    <w:qFormat/>
    <w:rsid w:val="003D4C15"/>
    <w:pPr>
      <w:keepLines/>
      <w:spacing w:before="480" w:line="276" w:lineRule="auto"/>
      <w:jc w:val="left"/>
      <w:outlineLvl w:val="9"/>
    </w:pPr>
    <w:rPr>
      <w:rFonts w:ascii="Cambria" w:hAnsi="Cambria"/>
      <w:color w:val="365F91"/>
      <w:sz w:val="28"/>
      <w:szCs w:val="28"/>
    </w:rPr>
  </w:style>
  <w:style w:type="character" w:customStyle="1" w:styleId="Pagrindinistekstas3">
    <w:name w:val="Pagrindinis tekstas3"/>
    <w:basedOn w:val="Numatytasispastraiposriftas"/>
    <w:uiPriority w:val="99"/>
    <w:rsid w:val="003D4C15"/>
    <w:rPr>
      <w:rFonts w:ascii="Times New Roman" w:hAnsi="Times New Roman" w:cs="Times New Roman"/>
      <w:spacing w:val="0"/>
      <w:sz w:val="22"/>
      <w:szCs w:val="22"/>
      <w:u w:val="single"/>
    </w:rPr>
  </w:style>
  <w:style w:type="character" w:customStyle="1" w:styleId="statymonr">
    <w:name w:val="statymonr"/>
    <w:basedOn w:val="Numatytasispastraiposriftas"/>
    <w:uiPriority w:val="99"/>
    <w:rsid w:val="003D4C15"/>
  </w:style>
  <w:style w:type="character" w:customStyle="1" w:styleId="typewriter">
    <w:name w:val="typewriter"/>
    <w:basedOn w:val="Numatytasispastraiposriftas"/>
    <w:rsid w:val="003D4C15"/>
    <w:rPr>
      <w:rFonts w:ascii="Courier New" w:hAnsi="Courier New" w:cs="Courier New" w:hint="default"/>
    </w:rPr>
  </w:style>
  <w:style w:type="character" w:customStyle="1" w:styleId="Typewriter0">
    <w:name w:val="Typewriter"/>
    <w:rsid w:val="003D4C15"/>
    <w:rPr>
      <w:rFonts w:ascii="Courier New" w:hAnsi="Courier New" w:cs="Courier New"/>
      <w:sz w:val="20"/>
      <w:szCs w:val="20"/>
    </w:rPr>
  </w:style>
  <w:style w:type="character" w:customStyle="1" w:styleId="Heading1Char1">
    <w:name w:val="Heading 1 Char1"/>
    <w:rsid w:val="003D4C15"/>
    <w:rPr>
      <w:sz w:val="28"/>
      <w:lang w:eastAsia="en-US"/>
    </w:rPr>
  </w:style>
  <w:style w:type="paragraph" w:styleId="Sraopastraipa">
    <w:name w:val="List Paragraph"/>
    <w:aliases w:val="Table of contents numbered,List Paragraph21,Lentele,List Paragraph2,ERP-List Paragraph,List Paragraph11,Bullet EY,Buletai,lp1,Bullet 1,Use Case List Paragraph,Numbering,List Paragraph111,Paragraph,List Paragraph Red"/>
    <w:basedOn w:val="prastasis"/>
    <w:link w:val="SraopastraipaDiagrama"/>
    <w:uiPriority w:val="34"/>
    <w:qFormat/>
    <w:rsid w:val="003D4C15"/>
    <w:pPr>
      <w:spacing w:after="200" w:line="276" w:lineRule="auto"/>
      <w:ind w:left="720"/>
      <w:contextualSpacing/>
    </w:pPr>
    <w:rPr>
      <w:rFonts w:eastAsia="Calibri"/>
      <w:szCs w:val="22"/>
      <w:lang w:eastAsia="en-US"/>
    </w:rPr>
  </w:style>
  <w:style w:type="character" w:customStyle="1" w:styleId="apple-converted-space">
    <w:name w:val="apple-converted-space"/>
    <w:basedOn w:val="Numatytasispastraiposriftas"/>
    <w:rsid w:val="003D4C15"/>
  </w:style>
  <w:style w:type="character" w:customStyle="1" w:styleId="FontStyle61">
    <w:name w:val="Font Style61"/>
    <w:basedOn w:val="Numatytasispastraiposriftas"/>
    <w:uiPriority w:val="99"/>
    <w:rsid w:val="003D4C15"/>
    <w:rPr>
      <w:rFonts w:ascii="Times New Roman" w:hAnsi="Times New Roman" w:cs="Times New Roman"/>
      <w:sz w:val="22"/>
      <w:szCs w:val="22"/>
    </w:rPr>
  </w:style>
  <w:style w:type="character" w:customStyle="1" w:styleId="FontStyle25">
    <w:name w:val="Font Style25"/>
    <w:rsid w:val="003D4C15"/>
    <w:rPr>
      <w:rFonts w:ascii="Times New Roman" w:hAnsi="Times New Roman" w:cs="Times New Roman"/>
      <w:sz w:val="22"/>
      <w:szCs w:val="22"/>
    </w:rPr>
  </w:style>
  <w:style w:type="character" w:customStyle="1" w:styleId="FontStyle58">
    <w:name w:val="Font Style58"/>
    <w:basedOn w:val="Numatytasispastraiposriftas"/>
    <w:rsid w:val="003D4C15"/>
    <w:rPr>
      <w:rFonts w:ascii="Microsoft Sans Serif" w:hAnsi="Microsoft Sans Serif" w:cs="Microsoft Sans Serif" w:hint="default"/>
      <w:sz w:val="20"/>
      <w:szCs w:val="20"/>
    </w:rPr>
  </w:style>
  <w:style w:type="character" w:customStyle="1" w:styleId="FontStyle47">
    <w:name w:val="Font Style47"/>
    <w:basedOn w:val="Numatytasispastraiposriftas"/>
    <w:uiPriority w:val="99"/>
    <w:rsid w:val="003D4C15"/>
    <w:rPr>
      <w:rFonts w:ascii="Times New Roman" w:hAnsi="Times New Roman" w:cs="Times New Roman"/>
      <w:sz w:val="22"/>
      <w:szCs w:val="22"/>
    </w:rPr>
  </w:style>
  <w:style w:type="character" w:customStyle="1" w:styleId="FontStyle26">
    <w:name w:val="Font Style26"/>
    <w:basedOn w:val="Numatytasispastraiposriftas"/>
    <w:rsid w:val="003D4C15"/>
    <w:rPr>
      <w:rFonts w:ascii="Times New Roman" w:hAnsi="Times New Roman" w:cs="Times New Roman"/>
      <w:i/>
      <w:iCs/>
      <w:sz w:val="22"/>
      <w:szCs w:val="22"/>
    </w:rPr>
  </w:style>
  <w:style w:type="character" w:customStyle="1" w:styleId="FontStyle22">
    <w:name w:val="Font Style22"/>
    <w:basedOn w:val="Numatytasispastraiposriftas"/>
    <w:uiPriority w:val="99"/>
    <w:rsid w:val="003D4C15"/>
    <w:rPr>
      <w:rFonts w:ascii="Times New Roman" w:hAnsi="Times New Roman" w:cs="Times New Roman"/>
      <w:i/>
      <w:iCs/>
      <w:sz w:val="20"/>
      <w:szCs w:val="20"/>
    </w:rPr>
  </w:style>
  <w:style w:type="character" w:customStyle="1" w:styleId="FontStyle23">
    <w:name w:val="Font Style23"/>
    <w:basedOn w:val="Numatytasispastraiposriftas"/>
    <w:uiPriority w:val="99"/>
    <w:rsid w:val="003D4C15"/>
    <w:rPr>
      <w:rFonts w:ascii="Times New Roman" w:hAnsi="Times New Roman" w:cs="Times New Roman"/>
      <w:b/>
      <w:bCs/>
      <w:sz w:val="22"/>
      <w:szCs w:val="22"/>
    </w:rPr>
  </w:style>
  <w:style w:type="paragraph" w:customStyle="1" w:styleId="tajtip">
    <w:name w:val="tajtip"/>
    <w:basedOn w:val="prastasis"/>
    <w:rsid w:val="003D4C15"/>
    <w:pPr>
      <w:spacing w:before="100" w:beforeAutospacing="1" w:after="100" w:afterAutospacing="1"/>
    </w:pPr>
  </w:style>
  <w:style w:type="character" w:styleId="Grietas">
    <w:name w:val="Strong"/>
    <w:uiPriority w:val="22"/>
    <w:qFormat/>
    <w:rsid w:val="003D4C15"/>
    <w:rPr>
      <w:b/>
      <w:bCs/>
    </w:rPr>
  </w:style>
  <w:style w:type="character" w:customStyle="1" w:styleId="dnr">
    <w:name w:val="dnr"/>
    <w:basedOn w:val="Numatytasispastraiposriftas"/>
    <w:rsid w:val="003D4C15"/>
  </w:style>
  <w:style w:type="character" w:customStyle="1" w:styleId="apple-style-span">
    <w:name w:val="apple-style-span"/>
    <w:basedOn w:val="Numatytasispastraiposriftas"/>
    <w:rsid w:val="003D4C15"/>
  </w:style>
  <w:style w:type="paragraph" w:customStyle="1" w:styleId="bodytext">
    <w:name w:val="bodytext"/>
    <w:basedOn w:val="prastasis"/>
    <w:uiPriority w:val="99"/>
    <w:rsid w:val="003D4C15"/>
    <w:pPr>
      <w:spacing w:before="100" w:beforeAutospacing="1" w:after="100" w:afterAutospacing="1"/>
    </w:pPr>
  </w:style>
  <w:style w:type="character" w:customStyle="1" w:styleId="quatationtext">
    <w:name w:val="quatation_text"/>
    <w:basedOn w:val="Numatytasispastraiposriftas"/>
    <w:rsid w:val="003D4C15"/>
    <w:rPr>
      <w:rFonts w:ascii="Arial" w:hAnsi="Arial" w:cs="Arial" w:hint="default"/>
      <w:b/>
      <w:bCs/>
      <w:vanish w:val="0"/>
      <w:webHidden w:val="0"/>
      <w:color w:val="4A473C"/>
      <w:sz w:val="11"/>
      <w:szCs w:val="11"/>
      <w:specVanish w:val="0"/>
    </w:rPr>
  </w:style>
  <w:style w:type="character" w:customStyle="1" w:styleId="FontStyle13">
    <w:name w:val="Font Style13"/>
    <w:basedOn w:val="Numatytasispastraiposriftas"/>
    <w:rsid w:val="003D4C15"/>
    <w:rPr>
      <w:rFonts w:ascii="Times New Roman" w:hAnsi="Times New Roman" w:cs="Times New Roman"/>
      <w:sz w:val="20"/>
      <w:szCs w:val="20"/>
    </w:rPr>
  </w:style>
  <w:style w:type="character" w:customStyle="1" w:styleId="FontStyle11">
    <w:name w:val="Font Style11"/>
    <w:basedOn w:val="Numatytasispastraiposriftas"/>
    <w:rsid w:val="003D4C15"/>
    <w:rPr>
      <w:rFonts w:ascii="Times New Roman" w:hAnsi="Times New Roman" w:cs="Times New Roman"/>
      <w:sz w:val="22"/>
      <w:szCs w:val="22"/>
    </w:rPr>
  </w:style>
  <w:style w:type="paragraph" w:customStyle="1" w:styleId="ListParagraph1">
    <w:name w:val="List Paragraph1"/>
    <w:basedOn w:val="prastasis"/>
    <w:rsid w:val="003D4C15"/>
    <w:pPr>
      <w:spacing w:after="200" w:line="276" w:lineRule="auto"/>
      <w:ind w:left="720"/>
      <w:contextualSpacing/>
    </w:pPr>
    <w:rPr>
      <w:rFonts w:eastAsia="Calibri"/>
      <w:szCs w:val="22"/>
      <w:lang w:eastAsia="en-US"/>
    </w:rPr>
  </w:style>
  <w:style w:type="character" w:customStyle="1" w:styleId="FontStyle46">
    <w:name w:val="Font Style46"/>
    <w:basedOn w:val="Numatytasispastraiposriftas"/>
    <w:rsid w:val="003D4C15"/>
    <w:rPr>
      <w:rFonts w:ascii="Times New Roman" w:hAnsi="Times New Roman" w:cs="Times New Roman"/>
      <w:b/>
      <w:bCs/>
      <w:sz w:val="20"/>
      <w:szCs w:val="20"/>
    </w:rPr>
  </w:style>
  <w:style w:type="character" w:customStyle="1" w:styleId="CharChar10">
    <w:name w:val="Char Char10"/>
    <w:basedOn w:val="Numatytasispastraiposriftas"/>
    <w:rsid w:val="003D4C15"/>
    <w:rPr>
      <w:sz w:val="28"/>
      <w:lang w:eastAsia="en-US"/>
    </w:rPr>
  </w:style>
  <w:style w:type="character" w:customStyle="1" w:styleId="FontStyle12">
    <w:name w:val="Font Style12"/>
    <w:basedOn w:val="Numatytasispastraiposriftas"/>
    <w:rsid w:val="003D4C15"/>
    <w:rPr>
      <w:rFonts w:ascii="Times New Roman" w:hAnsi="Times New Roman" w:cs="Times New Roman"/>
      <w:i/>
      <w:iCs/>
      <w:sz w:val="22"/>
      <w:szCs w:val="22"/>
    </w:rPr>
  </w:style>
  <w:style w:type="character" w:customStyle="1" w:styleId="FontStyle14">
    <w:name w:val="Font Style14"/>
    <w:basedOn w:val="Numatytasispastraiposriftas"/>
    <w:rsid w:val="003D4C15"/>
    <w:rPr>
      <w:rFonts w:ascii="Times New Roman" w:hAnsi="Times New Roman" w:cs="Times New Roman"/>
      <w:b/>
      <w:bCs/>
      <w:sz w:val="22"/>
      <w:szCs w:val="22"/>
    </w:rPr>
  </w:style>
  <w:style w:type="paragraph" w:customStyle="1" w:styleId="DiagramaDiagramaDiagramaDiagramaDiagramaDiagrama1DiagramaDiagramaDiagrama">
    <w:name w:val="Diagrama Diagrama Diagrama Diagrama Diagrama Diagrama1 Diagrama Diagrama Diagrama"/>
    <w:basedOn w:val="prastasis"/>
    <w:next w:val="prastasis"/>
    <w:rsid w:val="003D4C15"/>
    <w:pPr>
      <w:spacing w:before="120" w:after="120"/>
      <w:jc w:val="center"/>
    </w:pPr>
    <w:rPr>
      <w:b/>
      <w:bCs/>
      <w:snapToGrid w:val="0"/>
      <w:u w:val="single"/>
      <w:lang w:eastAsia="en-GB"/>
    </w:rPr>
  </w:style>
  <w:style w:type="character" w:customStyle="1" w:styleId="PagrindinistekstasPusjuodis4">
    <w:name w:val="Pagrindinis tekstas + Pusjuodis4"/>
    <w:basedOn w:val="Numatytasispastraiposriftas"/>
    <w:rsid w:val="003D4C15"/>
    <w:rPr>
      <w:rFonts w:ascii="Times New Roman" w:hAnsi="Times New Roman" w:cs="Times New Roman"/>
      <w:b/>
      <w:bCs/>
      <w:spacing w:val="0"/>
      <w:sz w:val="23"/>
      <w:szCs w:val="23"/>
    </w:rPr>
  </w:style>
  <w:style w:type="paragraph" w:styleId="Turinys6">
    <w:name w:val="toc 6"/>
    <w:basedOn w:val="prastasis"/>
    <w:next w:val="prastasis"/>
    <w:autoRedefine/>
    <w:uiPriority w:val="39"/>
    <w:unhideWhenUsed/>
    <w:rsid w:val="003D4C15"/>
    <w:pPr>
      <w:ind w:left="1200"/>
    </w:pPr>
    <w:rPr>
      <w:rFonts w:ascii="Calibri" w:hAnsi="Calibri"/>
      <w:sz w:val="18"/>
      <w:szCs w:val="18"/>
    </w:rPr>
  </w:style>
  <w:style w:type="paragraph" w:styleId="Turinys7">
    <w:name w:val="toc 7"/>
    <w:basedOn w:val="prastasis"/>
    <w:next w:val="prastasis"/>
    <w:autoRedefine/>
    <w:uiPriority w:val="39"/>
    <w:unhideWhenUsed/>
    <w:rsid w:val="003D4C15"/>
    <w:pPr>
      <w:ind w:left="1440"/>
    </w:pPr>
    <w:rPr>
      <w:rFonts w:ascii="Calibri" w:hAnsi="Calibri"/>
      <w:sz w:val="18"/>
      <w:szCs w:val="18"/>
    </w:rPr>
  </w:style>
  <w:style w:type="paragraph" w:styleId="Turinys8">
    <w:name w:val="toc 8"/>
    <w:basedOn w:val="prastasis"/>
    <w:next w:val="prastasis"/>
    <w:autoRedefine/>
    <w:uiPriority w:val="39"/>
    <w:unhideWhenUsed/>
    <w:rsid w:val="003D4C15"/>
    <w:pPr>
      <w:ind w:left="1680"/>
    </w:pPr>
    <w:rPr>
      <w:rFonts w:ascii="Calibri" w:hAnsi="Calibri"/>
      <w:sz w:val="18"/>
      <w:szCs w:val="18"/>
    </w:rPr>
  </w:style>
  <w:style w:type="paragraph" w:styleId="Turinys9">
    <w:name w:val="toc 9"/>
    <w:basedOn w:val="prastasis"/>
    <w:next w:val="prastasis"/>
    <w:autoRedefine/>
    <w:uiPriority w:val="39"/>
    <w:unhideWhenUsed/>
    <w:rsid w:val="003D4C15"/>
    <w:pPr>
      <w:ind w:left="1920"/>
    </w:pPr>
    <w:rPr>
      <w:rFonts w:ascii="Calibri" w:hAnsi="Calibri"/>
      <w:sz w:val="18"/>
      <w:szCs w:val="18"/>
    </w:rPr>
  </w:style>
  <w:style w:type="character" w:customStyle="1" w:styleId="FontStyle54">
    <w:name w:val="Font Style54"/>
    <w:basedOn w:val="Numatytasispastraiposriftas"/>
    <w:uiPriority w:val="99"/>
    <w:rsid w:val="003D4C15"/>
    <w:rPr>
      <w:rFonts w:ascii="Courier New" w:hAnsi="Courier New" w:cs="Courier New"/>
      <w:sz w:val="22"/>
      <w:szCs w:val="22"/>
    </w:rPr>
  </w:style>
  <w:style w:type="character" w:customStyle="1" w:styleId="Pagrindinistekstas24">
    <w:name w:val="Pagrindinis tekstas (2)4"/>
    <w:basedOn w:val="Numatytasispastraiposriftas"/>
    <w:uiPriority w:val="99"/>
    <w:rsid w:val="003D4C15"/>
    <w:rPr>
      <w:rFonts w:ascii="Calibri" w:hAnsi="Calibri" w:cs="Calibri"/>
      <w:b/>
      <w:bCs/>
      <w:spacing w:val="0"/>
      <w:sz w:val="22"/>
      <w:szCs w:val="22"/>
      <w:u w:val="single"/>
      <w:shd w:val="clear" w:color="auto" w:fill="FFFFFF"/>
    </w:rPr>
  </w:style>
  <w:style w:type="character" w:customStyle="1" w:styleId="Pagrindinistekstas2Kursyvas2">
    <w:name w:val="Pagrindinis tekstas (2) + Kursyvas2"/>
    <w:basedOn w:val="Numatytasispastraiposriftas"/>
    <w:uiPriority w:val="99"/>
    <w:rsid w:val="003D4C15"/>
    <w:rPr>
      <w:rFonts w:ascii="Calibri" w:hAnsi="Calibri" w:cs="Calibri"/>
      <w:b/>
      <w:bCs/>
      <w:i/>
      <w:iCs/>
      <w:spacing w:val="0"/>
      <w:sz w:val="22"/>
      <w:szCs w:val="22"/>
      <w:shd w:val="clear" w:color="auto" w:fill="FFFFFF"/>
    </w:rPr>
  </w:style>
  <w:style w:type="character" w:customStyle="1" w:styleId="FontStyle17">
    <w:name w:val="Font Style17"/>
    <w:basedOn w:val="Numatytasispastraiposriftas"/>
    <w:rsid w:val="003D4C15"/>
    <w:rPr>
      <w:rFonts w:ascii="Times New Roman" w:hAnsi="Times New Roman" w:cs="Times New Roman"/>
      <w:sz w:val="24"/>
      <w:szCs w:val="24"/>
    </w:rPr>
  </w:style>
  <w:style w:type="character" w:customStyle="1" w:styleId="Pagrindinistekstas711">
    <w:name w:val="Pagrindinis tekstas (7) + 11"/>
    <w:aliases w:val="5 tšk.6,Ne kursyvas,Pagrindinis tekstas (6) + 11,5 tšk.,Pagrindinis tekstas + 11,5 t_k."/>
    <w:uiPriority w:val="99"/>
    <w:rsid w:val="003D4C15"/>
    <w:rPr>
      <w:i/>
      <w:iCs/>
      <w:sz w:val="23"/>
      <w:szCs w:val="23"/>
      <w:shd w:val="clear" w:color="auto" w:fill="FFFFFF"/>
    </w:rPr>
  </w:style>
  <w:style w:type="character" w:customStyle="1" w:styleId="Pagrindinistekstas117">
    <w:name w:val="Pagrindinis tekstas + 117"/>
    <w:aliases w:val="5 t_k.9,Ne kursyvas7"/>
    <w:uiPriority w:val="99"/>
    <w:rsid w:val="003D4C15"/>
    <w:rPr>
      <w:i w:val="0"/>
      <w:iCs w:val="0"/>
      <w:sz w:val="23"/>
      <w:szCs w:val="23"/>
      <w:u w:val="single"/>
      <w:shd w:val="clear" w:color="auto" w:fill="FFFFFF"/>
    </w:rPr>
  </w:style>
  <w:style w:type="character" w:customStyle="1" w:styleId="FontStyle37">
    <w:name w:val="Font Style37"/>
    <w:basedOn w:val="Numatytasispastraiposriftas"/>
    <w:rsid w:val="003D4C15"/>
    <w:rPr>
      <w:rFonts w:ascii="Times New Roman" w:hAnsi="Times New Roman" w:cs="Times New Roman"/>
      <w:sz w:val="22"/>
      <w:szCs w:val="22"/>
    </w:rPr>
  </w:style>
  <w:style w:type="paragraph" w:customStyle="1" w:styleId="ISTATYMAS">
    <w:name w:val="ISTATYMAS"/>
    <w:rsid w:val="003D4C15"/>
    <w:pPr>
      <w:autoSpaceDE w:val="0"/>
      <w:autoSpaceDN w:val="0"/>
      <w:adjustRightInd w:val="0"/>
      <w:spacing w:after="0" w:line="240" w:lineRule="auto"/>
      <w:jc w:val="center"/>
    </w:pPr>
    <w:rPr>
      <w:rFonts w:ascii="TimesLT" w:eastAsia="Times New Roman" w:hAnsi="TimesLT" w:cs="Times New Roman"/>
      <w:sz w:val="20"/>
      <w:szCs w:val="20"/>
      <w:lang w:val="en-US"/>
    </w:rPr>
  </w:style>
  <w:style w:type="character" w:customStyle="1" w:styleId="FontStyle30">
    <w:name w:val="Font Style30"/>
    <w:uiPriority w:val="99"/>
    <w:rsid w:val="003D4C15"/>
    <w:rPr>
      <w:rFonts w:ascii="Times New Roman" w:hAnsi="Times New Roman" w:cs="Times New Roman"/>
      <w:sz w:val="20"/>
      <w:szCs w:val="20"/>
    </w:rPr>
  </w:style>
  <w:style w:type="character" w:customStyle="1" w:styleId="FontStyle48">
    <w:name w:val="Font Style48"/>
    <w:basedOn w:val="Numatytasispastraiposriftas"/>
    <w:rsid w:val="003D4C15"/>
    <w:rPr>
      <w:rFonts w:ascii="Arial Narrow" w:hAnsi="Arial Narrow" w:cs="Arial Narrow"/>
      <w:i/>
      <w:iCs/>
      <w:sz w:val="18"/>
      <w:szCs w:val="18"/>
    </w:rPr>
  </w:style>
  <w:style w:type="character" w:customStyle="1" w:styleId="FontStyle49">
    <w:name w:val="Font Style49"/>
    <w:basedOn w:val="Numatytasispastraiposriftas"/>
    <w:rsid w:val="003D4C15"/>
    <w:rPr>
      <w:rFonts w:ascii="Times New Roman" w:hAnsi="Times New Roman" w:cs="Times New Roman"/>
      <w:sz w:val="20"/>
      <w:szCs w:val="20"/>
    </w:rPr>
  </w:style>
  <w:style w:type="paragraph" w:styleId="Paantrat">
    <w:name w:val="Subtitle"/>
    <w:basedOn w:val="prastasis"/>
    <w:next w:val="prastasis"/>
    <w:link w:val="PaantratDiagrama"/>
    <w:uiPriority w:val="11"/>
    <w:qFormat/>
    <w:rsid w:val="003D4C15"/>
    <w:pPr>
      <w:spacing w:after="60"/>
      <w:jc w:val="center"/>
      <w:outlineLvl w:val="1"/>
    </w:pPr>
    <w:rPr>
      <w:rFonts w:ascii="Cambria" w:hAnsi="Cambria"/>
    </w:rPr>
  </w:style>
  <w:style w:type="character" w:customStyle="1" w:styleId="PaantratDiagrama">
    <w:name w:val="Paantraštė Diagrama"/>
    <w:basedOn w:val="Numatytasispastraiposriftas"/>
    <w:link w:val="Paantrat"/>
    <w:uiPriority w:val="11"/>
    <w:rsid w:val="003D4C15"/>
    <w:rPr>
      <w:rFonts w:ascii="Cambria" w:eastAsia="Times New Roman" w:hAnsi="Cambria" w:cs="Times New Roman"/>
      <w:sz w:val="24"/>
      <w:szCs w:val="24"/>
      <w:lang w:eastAsia="lt-LT"/>
    </w:rPr>
  </w:style>
  <w:style w:type="paragraph" w:styleId="Indeksas1">
    <w:name w:val="index 1"/>
    <w:basedOn w:val="prastasis"/>
    <w:next w:val="prastasis"/>
    <w:autoRedefine/>
    <w:uiPriority w:val="99"/>
    <w:semiHidden/>
    <w:unhideWhenUsed/>
    <w:rsid w:val="003D4C15"/>
    <w:pPr>
      <w:ind w:left="240" w:hanging="240"/>
    </w:pPr>
  </w:style>
  <w:style w:type="character" w:customStyle="1" w:styleId="normal-h">
    <w:name w:val="normal-h"/>
    <w:basedOn w:val="Numatytasispastraiposriftas"/>
    <w:rsid w:val="003D4C15"/>
  </w:style>
  <w:style w:type="paragraph" w:customStyle="1" w:styleId="Sraopastraipa1">
    <w:name w:val="Sąrašo pastraipa1"/>
    <w:basedOn w:val="prastasis"/>
    <w:rsid w:val="003D4C15"/>
    <w:pPr>
      <w:ind w:left="720"/>
    </w:pPr>
    <w:rPr>
      <w:rFonts w:eastAsia="Calibri"/>
      <w:sz w:val="20"/>
      <w:szCs w:val="20"/>
      <w:lang w:eastAsia="en-US"/>
    </w:rPr>
  </w:style>
  <w:style w:type="paragraph" w:customStyle="1" w:styleId="tactin">
    <w:name w:val="tactin"/>
    <w:basedOn w:val="prastasis"/>
    <w:rsid w:val="003D4C15"/>
    <w:pPr>
      <w:spacing w:before="100" w:beforeAutospacing="1" w:after="100" w:afterAutospacing="1"/>
    </w:pPr>
  </w:style>
  <w:style w:type="character" w:customStyle="1" w:styleId="Pagrindinistekstas7">
    <w:name w:val="Pagrindinis tekstas (7)_"/>
    <w:basedOn w:val="Numatytasispastraiposriftas"/>
    <w:link w:val="Pagrindinistekstas71"/>
    <w:rsid w:val="003D4C15"/>
    <w:rPr>
      <w:shd w:val="clear" w:color="auto" w:fill="FFFFFF"/>
    </w:rPr>
  </w:style>
  <w:style w:type="paragraph" w:customStyle="1" w:styleId="Pagrindinistekstas71">
    <w:name w:val="Pagrindinis tekstas (7)1"/>
    <w:basedOn w:val="prastasis"/>
    <w:link w:val="Pagrindinistekstas7"/>
    <w:rsid w:val="003D4C15"/>
    <w:pPr>
      <w:shd w:val="clear" w:color="auto" w:fill="FFFFFF"/>
      <w:spacing w:before="540" w:line="278" w:lineRule="exact"/>
    </w:pPr>
    <w:rPr>
      <w:rFonts w:asciiTheme="minorHAnsi" w:eastAsiaTheme="minorHAnsi" w:hAnsiTheme="minorHAnsi" w:cstheme="minorBidi"/>
      <w:sz w:val="22"/>
      <w:szCs w:val="22"/>
      <w:lang w:eastAsia="en-US"/>
    </w:rPr>
  </w:style>
  <w:style w:type="character" w:customStyle="1" w:styleId="CharChar7">
    <w:name w:val="Char Char7"/>
    <w:rsid w:val="003D4C15"/>
    <w:rPr>
      <w:sz w:val="28"/>
      <w:lang w:eastAsia="en-US"/>
    </w:rPr>
  </w:style>
  <w:style w:type="character" w:customStyle="1" w:styleId="CharChar4">
    <w:name w:val="Char Char4"/>
    <w:basedOn w:val="Numatytasispastraiposriftas"/>
    <w:rsid w:val="003D4C15"/>
    <w:rPr>
      <w:rFonts w:ascii="Times New Roman" w:eastAsia="Times New Roman" w:hAnsi="Times New Roman" w:cs="Times New Roman"/>
      <w:sz w:val="28"/>
      <w:szCs w:val="20"/>
      <w:lang w:val="lt-LT"/>
    </w:rPr>
  </w:style>
  <w:style w:type="character" w:customStyle="1" w:styleId="CharChar12">
    <w:name w:val="Char Char12"/>
    <w:rsid w:val="003D4C15"/>
    <w:rPr>
      <w:sz w:val="28"/>
      <w:lang w:eastAsia="en-US"/>
    </w:rPr>
  </w:style>
  <w:style w:type="character" w:customStyle="1" w:styleId="CharChar8">
    <w:name w:val="Char Char8"/>
    <w:rsid w:val="003D4C15"/>
    <w:rPr>
      <w:sz w:val="28"/>
      <w:lang w:eastAsia="en-US"/>
    </w:rPr>
  </w:style>
  <w:style w:type="character" w:customStyle="1" w:styleId="FontStyle51">
    <w:name w:val="Font Style51"/>
    <w:basedOn w:val="Numatytasispastraiposriftas"/>
    <w:rsid w:val="003D4C15"/>
    <w:rPr>
      <w:rFonts w:ascii="Times New Roman" w:hAnsi="Times New Roman" w:cs="Times New Roman"/>
      <w:i/>
      <w:iCs/>
      <w:sz w:val="20"/>
      <w:szCs w:val="20"/>
    </w:rPr>
  </w:style>
  <w:style w:type="character" w:customStyle="1" w:styleId="CharChar9">
    <w:name w:val="Char Char9"/>
    <w:rsid w:val="003D4C15"/>
    <w:rPr>
      <w:sz w:val="28"/>
      <w:lang w:eastAsia="en-US"/>
    </w:rPr>
  </w:style>
  <w:style w:type="character" w:customStyle="1" w:styleId="CharChar6">
    <w:name w:val="Char Char6"/>
    <w:rsid w:val="003D4C15"/>
    <w:rPr>
      <w:sz w:val="28"/>
      <w:lang w:eastAsia="en-US"/>
    </w:rPr>
  </w:style>
  <w:style w:type="character" w:customStyle="1" w:styleId="Pagrindinistekstas0">
    <w:name w:val="Pagrindinis tekstas_"/>
    <w:basedOn w:val="Numatytasispastraiposriftas"/>
    <w:link w:val="Pagrindinistekstas1"/>
    <w:locked/>
    <w:rsid w:val="003D4C15"/>
    <w:rPr>
      <w:spacing w:val="4"/>
      <w:sz w:val="21"/>
      <w:szCs w:val="21"/>
      <w:shd w:val="clear" w:color="auto" w:fill="FFFFFF"/>
    </w:rPr>
  </w:style>
  <w:style w:type="paragraph" w:customStyle="1" w:styleId="Pagrindinistekstas1">
    <w:name w:val="Pagrindinis tekstas1"/>
    <w:basedOn w:val="prastasis"/>
    <w:link w:val="Pagrindinistekstas0"/>
    <w:rsid w:val="003D4C15"/>
    <w:pPr>
      <w:shd w:val="clear" w:color="auto" w:fill="FFFFFF"/>
      <w:spacing w:line="274" w:lineRule="exact"/>
      <w:jc w:val="both"/>
    </w:pPr>
    <w:rPr>
      <w:rFonts w:asciiTheme="minorHAnsi" w:eastAsiaTheme="minorHAnsi" w:hAnsiTheme="minorHAnsi" w:cstheme="minorBidi"/>
      <w:spacing w:val="4"/>
      <w:sz w:val="21"/>
      <w:szCs w:val="21"/>
      <w:lang w:eastAsia="en-US"/>
    </w:rPr>
  </w:style>
  <w:style w:type="character" w:customStyle="1" w:styleId="Bodytext4NotBold">
    <w:name w:val="Body text (4) + Not Bold"/>
    <w:aliases w:val="Not Italic"/>
    <w:basedOn w:val="Numatytasispastraiposriftas"/>
    <w:rsid w:val="003D4C15"/>
    <w:rPr>
      <w:rFonts w:ascii="Times New Roman" w:hAnsi="Times New Roman" w:cs="Times New Roman"/>
      <w:b/>
      <w:bCs/>
      <w:i/>
      <w:iCs/>
      <w:color w:val="000000"/>
      <w:spacing w:val="0"/>
      <w:w w:val="100"/>
      <w:position w:val="0"/>
      <w:shd w:val="clear" w:color="auto" w:fill="FFFFFF"/>
      <w:lang w:val="lt-LT" w:eastAsia="lt-LT"/>
    </w:rPr>
  </w:style>
  <w:style w:type="paragraph" w:customStyle="1" w:styleId="Default">
    <w:name w:val="Default"/>
    <w:rsid w:val="003D4C15"/>
    <w:pPr>
      <w:autoSpaceDE w:val="0"/>
      <w:autoSpaceDN w:val="0"/>
      <w:adjustRightInd w:val="0"/>
      <w:spacing w:after="0" w:line="240" w:lineRule="auto"/>
    </w:pPr>
    <w:rPr>
      <w:rFonts w:ascii="Times New Roman" w:eastAsia="Times New Roman" w:hAnsi="Times New Roman" w:cs="Times New Roman"/>
      <w:color w:val="000000"/>
      <w:sz w:val="24"/>
      <w:szCs w:val="24"/>
      <w:lang w:eastAsia="lt-LT"/>
    </w:rPr>
  </w:style>
  <w:style w:type="character" w:styleId="Komentaronuoroda">
    <w:name w:val="annotation reference"/>
    <w:basedOn w:val="Numatytasispastraiposriftas"/>
    <w:uiPriority w:val="99"/>
    <w:semiHidden/>
    <w:unhideWhenUsed/>
    <w:rsid w:val="003D4C15"/>
    <w:rPr>
      <w:sz w:val="16"/>
      <w:szCs w:val="16"/>
    </w:rPr>
  </w:style>
  <w:style w:type="paragraph" w:customStyle="1" w:styleId="Sraopastraipa2">
    <w:name w:val="Sąrašo pastraipa2"/>
    <w:basedOn w:val="prastasis"/>
    <w:rsid w:val="003D4C15"/>
    <w:pPr>
      <w:ind w:left="720"/>
    </w:pPr>
    <w:rPr>
      <w:rFonts w:eastAsia="Calibri"/>
      <w:sz w:val="20"/>
      <w:szCs w:val="20"/>
      <w:lang w:eastAsia="en-US"/>
    </w:rPr>
  </w:style>
  <w:style w:type="character" w:customStyle="1" w:styleId="Heading1Char">
    <w:name w:val="Heading 1 Char"/>
    <w:locked/>
    <w:rsid w:val="003D4C15"/>
    <w:rPr>
      <w:sz w:val="28"/>
      <w:lang w:eastAsia="en-US"/>
    </w:rPr>
  </w:style>
  <w:style w:type="paragraph" w:customStyle="1" w:styleId="tajtipfb">
    <w:name w:val="tajtipfb"/>
    <w:basedOn w:val="prastasis"/>
    <w:rsid w:val="003D4C15"/>
    <w:pPr>
      <w:spacing w:before="100" w:beforeAutospacing="1" w:after="100" w:afterAutospacing="1"/>
    </w:pPr>
  </w:style>
  <w:style w:type="character" w:customStyle="1" w:styleId="clear">
    <w:name w:val="clear"/>
    <w:basedOn w:val="Numatytasispastraiposriftas"/>
    <w:rsid w:val="003D4C15"/>
  </w:style>
  <w:style w:type="paragraph" w:customStyle="1" w:styleId="Betarp1">
    <w:name w:val="Be tarpų1"/>
    <w:rsid w:val="003D4C15"/>
    <w:pPr>
      <w:spacing w:after="0" w:line="240" w:lineRule="auto"/>
    </w:pPr>
    <w:rPr>
      <w:rFonts w:ascii="Times New Roman" w:eastAsia="Times New Roman" w:hAnsi="Times New Roman" w:cs="Times New Roman"/>
      <w:sz w:val="24"/>
      <w:szCs w:val="20"/>
    </w:rPr>
  </w:style>
  <w:style w:type="character" w:styleId="Nerykuspabraukimas">
    <w:name w:val="Subtle Emphasis"/>
    <w:basedOn w:val="Numatytasispastraiposriftas"/>
    <w:uiPriority w:val="19"/>
    <w:qFormat/>
    <w:rsid w:val="003D4C15"/>
    <w:rPr>
      <w:i/>
      <w:iCs/>
      <w:color w:val="808080" w:themeColor="text1" w:themeTint="7F"/>
    </w:rPr>
  </w:style>
  <w:style w:type="paragraph" w:customStyle="1" w:styleId="Apzvalgai1">
    <w:name w:val="Apzvalgai1"/>
    <w:basedOn w:val="Antrat1"/>
    <w:link w:val="Apzvalgai1Char"/>
    <w:qFormat/>
    <w:rsid w:val="003D4C15"/>
  </w:style>
  <w:style w:type="paragraph" w:customStyle="1" w:styleId="ApzvalgaiItalikas">
    <w:name w:val="Apzvalgai_Italikas"/>
    <w:basedOn w:val="Antrat2"/>
    <w:link w:val="ApzvalgaiItalikasChar"/>
    <w:rsid w:val="003D4C15"/>
  </w:style>
  <w:style w:type="character" w:customStyle="1" w:styleId="Apzvalgai1Char">
    <w:name w:val="Apzvalgai1 Char"/>
    <w:basedOn w:val="Antrat1Diagrama"/>
    <w:link w:val="Apzvalgai1"/>
    <w:rsid w:val="003D4C15"/>
    <w:rPr>
      <w:rFonts w:ascii="Times New Roman" w:eastAsia="Times New Roman" w:hAnsi="Times New Roman" w:cs="Times New Roman"/>
      <w:b/>
      <w:u w:val="single"/>
      <w:lang w:eastAsia="lt-LT"/>
    </w:rPr>
  </w:style>
  <w:style w:type="character" w:customStyle="1" w:styleId="ApzvalgaiItalikasChar">
    <w:name w:val="Apzvalgai_Italikas Char"/>
    <w:basedOn w:val="Antrat2Diagrama"/>
    <w:link w:val="ApzvalgaiItalikas"/>
    <w:rsid w:val="003D4C15"/>
    <w:rPr>
      <w:rFonts w:ascii="Calibri" w:eastAsia="Arial Unicode MS" w:hAnsi="Calibri" w:cs="Times New Roman"/>
      <w:bCs w:val="0"/>
      <w:i/>
      <w:iCs w:val="0"/>
      <w:color w:val="000000"/>
      <w:szCs w:val="24"/>
      <w:shd w:val="clear" w:color="auto" w:fill="FFFFFF"/>
      <w:lang w:eastAsia="lt-LT"/>
    </w:rPr>
  </w:style>
  <w:style w:type="character" w:customStyle="1" w:styleId="FontStyle16">
    <w:name w:val="Font Style16"/>
    <w:uiPriority w:val="99"/>
    <w:rsid w:val="003D4C15"/>
    <w:rPr>
      <w:rFonts w:ascii="Palatino Linotype" w:hAnsi="Palatino Linotype" w:cs="Palatino Linotype"/>
      <w:sz w:val="20"/>
      <w:szCs w:val="20"/>
    </w:rPr>
  </w:style>
  <w:style w:type="character" w:customStyle="1" w:styleId="Pagrindinistekstas2">
    <w:name w:val="Pagrindinis tekstas2"/>
    <w:basedOn w:val="Numatytasispastraiposriftas"/>
    <w:uiPriority w:val="99"/>
    <w:rsid w:val="003D4C15"/>
    <w:rPr>
      <w:rFonts w:ascii="Times New Roman" w:eastAsia="Times New Roman" w:hAnsi="Times New Roman" w:cs="Times New Roman"/>
      <w:b w:val="0"/>
      <w:bCs w:val="0"/>
      <w:i w:val="0"/>
      <w:iCs w:val="0"/>
      <w:smallCaps w:val="0"/>
      <w:strike w:val="0"/>
      <w:spacing w:val="3"/>
      <w:sz w:val="21"/>
      <w:szCs w:val="21"/>
      <w:u w:val="single"/>
    </w:rPr>
  </w:style>
  <w:style w:type="character" w:customStyle="1" w:styleId="HeaderChar1">
    <w:name w:val="Header Char1"/>
    <w:basedOn w:val="Numatytasispastraiposriftas"/>
    <w:uiPriority w:val="99"/>
    <w:locked/>
    <w:rsid w:val="003D4C15"/>
    <w:rPr>
      <w:rFonts w:ascii="Calibri" w:eastAsia="Times New Roman" w:hAnsi="Calibri" w:cs="Calibri"/>
      <w:sz w:val="24"/>
      <w:szCs w:val="24"/>
      <w:lang w:val="en-GB" w:eastAsia="en-US"/>
    </w:rPr>
  </w:style>
  <w:style w:type="paragraph" w:customStyle="1" w:styleId="Betarp2">
    <w:name w:val="Be tarpų2"/>
    <w:rsid w:val="003D4C15"/>
    <w:pPr>
      <w:spacing w:after="0" w:line="240" w:lineRule="auto"/>
    </w:pPr>
    <w:rPr>
      <w:rFonts w:ascii="Times New Roman" w:eastAsia="Times New Roman" w:hAnsi="Times New Roman" w:cs="Times New Roman"/>
      <w:sz w:val="24"/>
      <w:szCs w:val="20"/>
    </w:rPr>
  </w:style>
  <w:style w:type="character" w:customStyle="1" w:styleId="prastasiniatinklioDiagrama">
    <w:name w:val="Įprastas (žiniatinklio) Diagrama"/>
    <w:link w:val="prastasiniatinklio"/>
    <w:uiPriority w:val="99"/>
    <w:rsid w:val="003D4C15"/>
    <w:rPr>
      <w:rFonts w:ascii="Times New Roman" w:eastAsia="Times New Roman" w:hAnsi="Times New Roman" w:cs="Times New Roman"/>
      <w:sz w:val="24"/>
      <w:szCs w:val="24"/>
      <w:lang w:val="en-US"/>
    </w:rPr>
  </w:style>
  <w:style w:type="character" w:customStyle="1" w:styleId="bold">
    <w:name w:val="bold"/>
    <w:uiPriority w:val="99"/>
    <w:rsid w:val="003D4C15"/>
  </w:style>
  <w:style w:type="paragraph" w:styleId="Komentarotema">
    <w:name w:val="annotation subject"/>
    <w:basedOn w:val="Komentarotekstas"/>
    <w:next w:val="Komentarotekstas"/>
    <w:link w:val="KomentarotemaDiagrama"/>
    <w:uiPriority w:val="99"/>
    <w:semiHidden/>
    <w:unhideWhenUsed/>
    <w:rsid w:val="003D4C15"/>
    <w:pPr>
      <w:spacing w:after="0" w:line="240" w:lineRule="auto"/>
    </w:pPr>
    <w:rPr>
      <w:rFonts w:ascii="Times New Roman" w:eastAsia="Times New Roman" w:hAnsi="Times New Roman"/>
      <w:b/>
      <w:bCs/>
      <w:lang w:eastAsia="lt-LT"/>
    </w:rPr>
  </w:style>
  <w:style w:type="character" w:customStyle="1" w:styleId="KomentarotemaDiagrama">
    <w:name w:val="Komentaro tema Diagrama"/>
    <w:basedOn w:val="KomentarotekstasDiagrama"/>
    <w:link w:val="Komentarotema"/>
    <w:uiPriority w:val="99"/>
    <w:semiHidden/>
    <w:rsid w:val="003D4C15"/>
    <w:rPr>
      <w:rFonts w:ascii="Times New Roman" w:eastAsia="Times New Roman" w:hAnsi="Times New Roman" w:cs="Times New Roman"/>
      <w:b/>
      <w:bCs/>
      <w:sz w:val="20"/>
      <w:szCs w:val="20"/>
      <w:lang w:eastAsia="lt-LT"/>
    </w:rPr>
  </w:style>
  <w:style w:type="paragraph" w:customStyle="1" w:styleId="taltipfb">
    <w:name w:val="taltipfb"/>
    <w:basedOn w:val="prastasis"/>
    <w:rsid w:val="003D4C15"/>
    <w:pPr>
      <w:spacing w:before="100" w:beforeAutospacing="1" w:after="100" w:afterAutospacing="1"/>
    </w:pPr>
  </w:style>
  <w:style w:type="character" w:customStyle="1" w:styleId="FontStyle19">
    <w:name w:val="Font Style19"/>
    <w:basedOn w:val="Numatytasispastraiposriftas"/>
    <w:rsid w:val="003D4C15"/>
    <w:rPr>
      <w:rFonts w:ascii="Times New Roman" w:hAnsi="Times New Roman" w:cs="Times New Roman"/>
      <w:sz w:val="20"/>
      <w:szCs w:val="20"/>
    </w:rPr>
  </w:style>
  <w:style w:type="character" w:customStyle="1" w:styleId="FontStyle20">
    <w:name w:val="Font Style20"/>
    <w:basedOn w:val="Numatytasispastraiposriftas"/>
    <w:rsid w:val="003D4C15"/>
    <w:rPr>
      <w:rFonts w:ascii="Times New Roman" w:hAnsi="Times New Roman" w:cs="Times New Roman"/>
      <w:sz w:val="22"/>
      <w:szCs w:val="22"/>
    </w:rPr>
  </w:style>
  <w:style w:type="character" w:customStyle="1" w:styleId="sfbbfee58">
    <w:name w:val="sfbbfee58"/>
    <w:basedOn w:val="Numatytasispastraiposriftas"/>
    <w:rsid w:val="003D4C15"/>
  </w:style>
  <w:style w:type="paragraph" w:customStyle="1" w:styleId="Style3">
    <w:name w:val="Style3"/>
    <w:basedOn w:val="prastasis"/>
    <w:rsid w:val="003D4C15"/>
    <w:pPr>
      <w:widowControl w:val="0"/>
      <w:autoSpaceDE w:val="0"/>
      <w:autoSpaceDN w:val="0"/>
      <w:adjustRightInd w:val="0"/>
      <w:spacing w:line="274" w:lineRule="exact"/>
      <w:ind w:firstLine="442"/>
      <w:jc w:val="both"/>
    </w:pPr>
    <w:rPr>
      <w:rFonts w:ascii="Arial" w:hAnsi="Arial"/>
    </w:rPr>
  </w:style>
  <w:style w:type="character" w:customStyle="1" w:styleId="FontStyle15">
    <w:name w:val="Font Style15"/>
    <w:uiPriority w:val="99"/>
    <w:rsid w:val="007F3163"/>
    <w:rPr>
      <w:rFonts w:ascii="Times New Roman" w:hAnsi="Times New Roman" w:cs="Times New Roman"/>
      <w:b/>
      <w:bCs/>
      <w:sz w:val="20"/>
      <w:szCs w:val="20"/>
    </w:rPr>
  </w:style>
  <w:style w:type="paragraph" w:customStyle="1" w:styleId="tip">
    <w:name w:val="tip"/>
    <w:basedOn w:val="prastasis"/>
    <w:rsid w:val="00F24296"/>
    <w:pPr>
      <w:spacing w:before="100" w:beforeAutospacing="1" w:after="100" w:afterAutospacing="1"/>
    </w:pPr>
  </w:style>
  <w:style w:type="character" w:customStyle="1" w:styleId="Neapdorotaspaminjimas1">
    <w:name w:val="Neapdorotas paminėjimas1"/>
    <w:basedOn w:val="Numatytasispastraiposriftas"/>
    <w:uiPriority w:val="99"/>
    <w:semiHidden/>
    <w:unhideWhenUsed/>
    <w:rsid w:val="00AC73BF"/>
    <w:rPr>
      <w:color w:val="808080"/>
      <w:shd w:val="clear" w:color="auto" w:fill="E6E6E6"/>
    </w:rPr>
  </w:style>
  <w:style w:type="paragraph" w:customStyle="1" w:styleId="Style9">
    <w:name w:val="Style9"/>
    <w:basedOn w:val="prastasis"/>
    <w:uiPriority w:val="99"/>
    <w:rsid w:val="00B64450"/>
    <w:pPr>
      <w:widowControl w:val="0"/>
      <w:autoSpaceDE w:val="0"/>
      <w:autoSpaceDN w:val="0"/>
      <w:adjustRightInd w:val="0"/>
      <w:spacing w:line="250" w:lineRule="exact"/>
      <w:ind w:hanging="346"/>
      <w:jc w:val="both"/>
    </w:pPr>
    <w:rPr>
      <w:rFonts w:eastAsiaTheme="minorEastAsia"/>
    </w:rPr>
  </w:style>
  <w:style w:type="paragraph" w:customStyle="1" w:styleId="Style22">
    <w:name w:val="Style22"/>
    <w:basedOn w:val="prastasis"/>
    <w:rsid w:val="0045349D"/>
    <w:pPr>
      <w:widowControl w:val="0"/>
      <w:autoSpaceDE w:val="0"/>
      <w:autoSpaceDN w:val="0"/>
      <w:adjustRightInd w:val="0"/>
      <w:spacing w:line="274" w:lineRule="exact"/>
    </w:pPr>
    <w:rPr>
      <w:rFonts w:ascii="Arial" w:hAnsi="Arial" w:cs="Arial"/>
    </w:rPr>
  </w:style>
  <w:style w:type="character" w:customStyle="1" w:styleId="Neapdorotaspaminjimas2">
    <w:name w:val="Neapdorotas paminėjimas2"/>
    <w:basedOn w:val="Numatytasispastraiposriftas"/>
    <w:uiPriority w:val="99"/>
    <w:semiHidden/>
    <w:unhideWhenUsed/>
    <w:rsid w:val="00715AA9"/>
    <w:rPr>
      <w:color w:val="808080"/>
      <w:shd w:val="clear" w:color="auto" w:fill="E6E6E6"/>
    </w:rPr>
  </w:style>
  <w:style w:type="character" w:customStyle="1" w:styleId="SraopastraipaDiagrama">
    <w:name w:val="Sąrašo pastraipa Diagrama"/>
    <w:aliases w:val="Table of contents numbered Diagrama,List Paragraph21 Diagrama,Lentele Diagrama,List Paragraph2 Diagrama,ERP-List Paragraph Diagrama,List Paragraph11 Diagrama,Bullet EY Diagrama,Buletai Diagrama,lp1 Diagrama,Bullet 1 Diagrama"/>
    <w:link w:val="Sraopastraipa"/>
    <w:uiPriority w:val="99"/>
    <w:locked/>
    <w:rsid w:val="00B42228"/>
    <w:rPr>
      <w:rFonts w:ascii="Times New Roman" w:eastAsia="Calibri" w:hAnsi="Times New Roman" w:cs="Times New Roman"/>
      <w:sz w:val="24"/>
    </w:rPr>
  </w:style>
  <w:style w:type="character" w:customStyle="1" w:styleId="Bodytext2">
    <w:name w:val="Body text (2)"/>
    <w:basedOn w:val="Numatytasispastraiposriftas"/>
    <w:uiPriority w:val="99"/>
    <w:rsid w:val="00B42228"/>
    <w:rPr>
      <w:rFonts w:ascii="Times New Roman" w:hAnsi="Times New Roman" w:cs="Times New Roman" w:hint="default"/>
      <w:shd w:val="clear" w:color="auto" w:fill="FFFFFF"/>
    </w:rPr>
  </w:style>
  <w:style w:type="character" w:customStyle="1" w:styleId="Bodytext2Bold">
    <w:name w:val="Body text (2) + Bold"/>
    <w:basedOn w:val="Numatytasispastraiposriftas"/>
    <w:rsid w:val="00D61381"/>
    <w:rPr>
      <w:rFonts w:ascii="Times New Roman" w:eastAsia="Times New Roman" w:hAnsi="Times New Roman" w:cs="Times New Roman" w:hint="default"/>
      <w:b/>
      <w:bCs/>
      <w:color w:val="000000"/>
      <w:spacing w:val="0"/>
      <w:w w:val="100"/>
      <w:position w:val="0"/>
      <w:sz w:val="24"/>
      <w:szCs w:val="24"/>
      <w:shd w:val="clear" w:color="auto" w:fill="FFFFFF"/>
      <w:lang w:val="lt-LT" w:eastAsia="lt-LT" w:bidi="lt-LT"/>
    </w:rPr>
  </w:style>
  <w:style w:type="character" w:customStyle="1" w:styleId="Neapdorotaspaminjimas3">
    <w:name w:val="Neapdorotas paminėjimas3"/>
    <w:basedOn w:val="Numatytasispastraiposriftas"/>
    <w:uiPriority w:val="99"/>
    <w:semiHidden/>
    <w:unhideWhenUsed/>
    <w:rsid w:val="00AD7FF1"/>
    <w:rPr>
      <w:color w:val="605E5C"/>
      <w:shd w:val="clear" w:color="auto" w:fill="E1DFDD"/>
    </w:rPr>
  </w:style>
  <w:style w:type="character" w:customStyle="1" w:styleId="Bodytext2115ptItalic">
    <w:name w:val="Body text (2) + 11;5 pt;Italic"/>
    <w:rsid w:val="00F26326"/>
    <w:rPr>
      <w:rFonts w:ascii="Times New Roman" w:eastAsia="Times New Roman" w:hAnsi="Times New Roman" w:cs="Times New Roman"/>
      <w:b w:val="0"/>
      <w:bCs w:val="0"/>
      <w:i/>
      <w:iCs/>
      <w:smallCaps w:val="0"/>
      <w:strike w:val="0"/>
      <w:color w:val="000000"/>
      <w:spacing w:val="0"/>
      <w:w w:val="100"/>
      <w:position w:val="0"/>
      <w:sz w:val="23"/>
      <w:szCs w:val="23"/>
      <w:u w:val="none"/>
      <w:lang w:val="lt-LT" w:eastAsia="lt-LT" w:bidi="lt-LT"/>
    </w:rPr>
  </w:style>
  <w:style w:type="character" w:customStyle="1" w:styleId="UnresolvedMention1">
    <w:name w:val="Unresolved Mention1"/>
    <w:basedOn w:val="Numatytasispastraiposriftas"/>
    <w:uiPriority w:val="99"/>
    <w:semiHidden/>
    <w:unhideWhenUsed/>
    <w:rsid w:val="00A71B28"/>
    <w:rPr>
      <w:color w:val="605E5C"/>
      <w:shd w:val="clear" w:color="auto" w:fill="E1DFDD"/>
    </w:rPr>
  </w:style>
  <w:style w:type="character" w:customStyle="1" w:styleId="Bodytext20">
    <w:name w:val="Body text (2)_"/>
    <w:rsid w:val="00D512CF"/>
    <w:rPr>
      <w:shd w:val="clear" w:color="auto" w:fill="FFFFFF"/>
    </w:rPr>
  </w:style>
  <w:style w:type="character" w:customStyle="1" w:styleId="default-paragraph-fonthyperlink">
    <w:name w:val="default-paragraph-fonthyperlink"/>
    <w:basedOn w:val="Numatytasispastraiposriftas"/>
    <w:rsid w:val="00DB1089"/>
  </w:style>
  <w:style w:type="numbering" w:customStyle="1" w:styleId="WWNum17">
    <w:name w:val="WWNum17"/>
    <w:basedOn w:val="Sraonra"/>
    <w:rsid w:val="00685897"/>
    <w:pPr>
      <w:numPr>
        <w:numId w:val="1"/>
      </w:numPr>
    </w:pPr>
  </w:style>
  <w:style w:type="character" w:customStyle="1" w:styleId="UnresolvedMention2">
    <w:name w:val="Unresolved Mention2"/>
    <w:basedOn w:val="Numatytasispastraiposriftas"/>
    <w:uiPriority w:val="99"/>
    <w:semiHidden/>
    <w:unhideWhenUsed/>
    <w:rsid w:val="005E6140"/>
    <w:rPr>
      <w:color w:val="605E5C"/>
      <w:shd w:val="clear" w:color="auto" w:fill="E1DFDD"/>
    </w:rPr>
  </w:style>
  <w:style w:type="paragraph" w:customStyle="1" w:styleId="list-paragraph">
    <w:name w:val="list-paragraph"/>
    <w:basedOn w:val="prastasis"/>
    <w:rsid w:val="00BE611E"/>
    <w:pPr>
      <w:spacing w:before="100" w:beforeAutospacing="1" w:after="100" w:afterAutospacing="1"/>
    </w:pPr>
    <w:rPr>
      <w:rFonts w:eastAsiaTheme="minorEastAsia"/>
    </w:rPr>
  </w:style>
  <w:style w:type="character" w:customStyle="1" w:styleId="UnresolvedMention3">
    <w:name w:val="Unresolved Mention3"/>
    <w:basedOn w:val="Numatytasispastraiposriftas"/>
    <w:uiPriority w:val="99"/>
    <w:semiHidden/>
    <w:unhideWhenUsed/>
    <w:rsid w:val="00B234F5"/>
    <w:rPr>
      <w:color w:val="605E5C"/>
      <w:shd w:val="clear" w:color="auto" w:fill="E1DFDD"/>
    </w:rPr>
  </w:style>
  <w:style w:type="character" w:customStyle="1" w:styleId="UnresolvedMention4">
    <w:name w:val="Unresolved Mention4"/>
    <w:basedOn w:val="Numatytasispastraiposriftas"/>
    <w:uiPriority w:val="99"/>
    <w:semiHidden/>
    <w:unhideWhenUsed/>
    <w:rsid w:val="008D7C97"/>
    <w:rPr>
      <w:color w:val="605E5C"/>
      <w:shd w:val="clear" w:color="auto" w:fill="E1DFDD"/>
    </w:rPr>
  </w:style>
  <w:style w:type="character" w:customStyle="1" w:styleId="UnresolvedMention5">
    <w:name w:val="Unresolved Mention5"/>
    <w:basedOn w:val="Numatytasispastraiposriftas"/>
    <w:uiPriority w:val="99"/>
    <w:semiHidden/>
    <w:unhideWhenUsed/>
    <w:rsid w:val="00983365"/>
    <w:rPr>
      <w:color w:val="605E5C"/>
      <w:shd w:val="clear" w:color="auto" w:fill="E1DFDD"/>
    </w:rPr>
  </w:style>
  <w:style w:type="character" w:customStyle="1" w:styleId="UnresolvedMention6">
    <w:name w:val="Unresolved Mention6"/>
    <w:basedOn w:val="Numatytasispastraiposriftas"/>
    <w:uiPriority w:val="99"/>
    <w:semiHidden/>
    <w:unhideWhenUsed/>
    <w:rsid w:val="00B07866"/>
    <w:rPr>
      <w:color w:val="605E5C"/>
      <w:shd w:val="clear" w:color="auto" w:fill="E1DFDD"/>
    </w:rPr>
  </w:style>
  <w:style w:type="character" w:customStyle="1" w:styleId="UnresolvedMention7">
    <w:name w:val="Unresolved Mention7"/>
    <w:basedOn w:val="Numatytasispastraiposriftas"/>
    <w:uiPriority w:val="99"/>
    <w:semiHidden/>
    <w:unhideWhenUsed/>
    <w:rsid w:val="00AF1D2A"/>
    <w:rPr>
      <w:color w:val="605E5C"/>
      <w:shd w:val="clear" w:color="auto" w:fill="E1DFDD"/>
    </w:rPr>
  </w:style>
  <w:style w:type="character" w:customStyle="1" w:styleId="UnresolvedMention8">
    <w:name w:val="Unresolved Mention8"/>
    <w:basedOn w:val="Numatytasispastraiposriftas"/>
    <w:uiPriority w:val="99"/>
    <w:semiHidden/>
    <w:unhideWhenUsed/>
    <w:rsid w:val="003813D4"/>
    <w:rPr>
      <w:color w:val="605E5C"/>
      <w:shd w:val="clear" w:color="auto" w:fill="E1DFDD"/>
    </w:rPr>
  </w:style>
  <w:style w:type="numbering" w:customStyle="1" w:styleId="ImportedStyle1">
    <w:name w:val="Imported Style 1"/>
    <w:rsid w:val="00CC5129"/>
    <w:pPr>
      <w:numPr>
        <w:numId w:val="5"/>
      </w:numPr>
    </w:pPr>
  </w:style>
  <w:style w:type="character" w:customStyle="1" w:styleId="UnresolvedMention9">
    <w:name w:val="Unresolved Mention9"/>
    <w:basedOn w:val="Numatytasispastraiposriftas"/>
    <w:uiPriority w:val="99"/>
    <w:semiHidden/>
    <w:unhideWhenUsed/>
    <w:rsid w:val="00C40C5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72014">
      <w:bodyDiv w:val="1"/>
      <w:marLeft w:val="0"/>
      <w:marRight w:val="0"/>
      <w:marTop w:val="0"/>
      <w:marBottom w:val="0"/>
      <w:divBdr>
        <w:top w:val="none" w:sz="0" w:space="0" w:color="auto"/>
        <w:left w:val="none" w:sz="0" w:space="0" w:color="auto"/>
        <w:bottom w:val="none" w:sz="0" w:space="0" w:color="auto"/>
        <w:right w:val="none" w:sz="0" w:space="0" w:color="auto"/>
      </w:divBdr>
    </w:div>
    <w:div w:id="16082935">
      <w:bodyDiv w:val="1"/>
      <w:marLeft w:val="0"/>
      <w:marRight w:val="0"/>
      <w:marTop w:val="0"/>
      <w:marBottom w:val="0"/>
      <w:divBdr>
        <w:top w:val="none" w:sz="0" w:space="0" w:color="auto"/>
        <w:left w:val="none" w:sz="0" w:space="0" w:color="auto"/>
        <w:bottom w:val="none" w:sz="0" w:space="0" w:color="auto"/>
        <w:right w:val="none" w:sz="0" w:space="0" w:color="auto"/>
      </w:divBdr>
    </w:div>
    <w:div w:id="24067043">
      <w:bodyDiv w:val="1"/>
      <w:marLeft w:val="0"/>
      <w:marRight w:val="0"/>
      <w:marTop w:val="0"/>
      <w:marBottom w:val="0"/>
      <w:divBdr>
        <w:top w:val="none" w:sz="0" w:space="0" w:color="auto"/>
        <w:left w:val="none" w:sz="0" w:space="0" w:color="auto"/>
        <w:bottom w:val="none" w:sz="0" w:space="0" w:color="auto"/>
        <w:right w:val="none" w:sz="0" w:space="0" w:color="auto"/>
      </w:divBdr>
    </w:div>
    <w:div w:id="37049238">
      <w:bodyDiv w:val="1"/>
      <w:marLeft w:val="0"/>
      <w:marRight w:val="0"/>
      <w:marTop w:val="0"/>
      <w:marBottom w:val="0"/>
      <w:divBdr>
        <w:top w:val="none" w:sz="0" w:space="0" w:color="auto"/>
        <w:left w:val="none" w:sz="0" w:space="0" w:color="auto"/>
        <w:bottom w:val="none" w:sz="0" w:space="0" w:color="auto"/>
        <w:right w:val="none" w:sz="0" w:space="0" w:color="auto"/>
      </w:divBdr>
    </w:div>
    <w:div w:id="40714135">
      <w:bodyDiv w:val="1"/>
      <w:marLeft w:val="0"/>
      <w:marRight w:val="0"/>
      <w:marTop w:val="0"/>
      <w:marBottom w:val="0"/>
      <w:divBdr>
        <w:top w:val="none" w:sz="0" w:space="0" w:color="auto"/>
        <w:left w:val="none" w:sz="0" w:space="0" w:color="auto"/>
        <w:bottom w:val="none" w:sz="0" w:space="0" w:color="auto"/>
        <w:right w:val="none" w:sz="0" w:space="0" w:color="auto"/>
      </w:divBdr>
    </w:div>
    <w:div w:id="53313444">
      <w:bodyDiv w:val="1"/>
      <w:marLeft w:val="0"/>
      <w:marRight w:val="0"/>
      <w:marTop w:val="0"/>
      <w:marBottom w:val="0"/>
      <w:divBdr>
        <w:top w:val="none" w:sz="0" w:space="0" w:color="auto"/>
        <w:left w:val="none" w:sz="0" w:space="0" w:color="auto"/>
        <w:bottom w:val="none" w:sz="0" w:space="0" w:color="auto"/>
        <w:right w:val="none" w:sz="0" w:space="0" w:color="auto"/>
      </w:divBdr>
    </w:div>
    <w:div w:id="61880185">
      <w:bodyDiv w:val="1"/>
      <w:marLeft w:val="0"/>
      <w:marRight w:val="0"/>
      <w:marTop w:val="0"/>
      <w:marBottom w:val="0"/>
      <w:divBdr>
        <w:top w:val="none" w:sz="0" w:space="0" w:color="auto"/>
        <w:left w:val="none" w:sz="0" w:space="0" w:color="auto"/>
        <w:bottom w:val="none" w:sz="0" w:space="0" w:color="auto"/>
        <w:right w:val="none" w:sz="0" w:space="0" w:color="auto"/>
      </w:divBdr>
    </w:div>
    <w:div w:id="63453348">
      <w:bodyDiv w:val="1"/>
      <w:marLeft w:val="0"/>
      <w:marRight w:val="0"/>
      <w:marTop w:val="0"/>
      <w:marBottom w:val="0"/>
      <w:divBdr>
        <w:top w:val="none" w:sz="0" w:space="0" w:color="auto"/>
        <w:left w:val="none" w:sz="0" w:space="0" w:color="auto"/>
        <w:bottom w:val="none" w:sz="0" w:space="0" w:color="auto"/>
        <w:right w:val="none" w:sz="0" w:space="0" w:color="auto"/>
      </w:divBdr>
    </w:div>
    <w:div w:id="69351867">
      <w:bodyDiv w:val="1"/>
      <w:marLeft w:val="0"/>
      <w:marRight w:val="0"/>
      <w:marTop w:val="0"/>
      <w:marBottom w:val="0"/>
      <w:divBdr>
        <w:top w:val="none" w:sz="0" w:space="0" w:color="auto"/>
        <w:left w:val="none" w:sz="0" w:space="0" w:color="auto"/>
        <w:bottom w:val="none" w:sz="0" w:space="0" w:color="auto"/>
        <w:right w:val="none" w:sz="0" w:space="0" w:color="auto"/>
      </w:divBdr>
    </w:div>
    <w:div w:id="76289486">
      <w:bodyDiv w:val="1"/>
      <w:marLeft w:val="0"/>
      <w:marRight w:val="0"/>
      <w:marTop w:val="0"/>
      <w:marBottom w:val="0"/>
      <w:divBdr>
        <w:top w:val="none" w:sz="0" w:space="0" w:color="auto"/>
        <w:left w:val="none" w:sz="0" w:space="0" w:color="auto"/>
        <w:bottom w:val="none" w:sz="0" w:space="0" w:color="auto"/>
        <w:right w:val="none" w:sz="0" w:space="0" w:color="auto"/>
      </w:divBdr>
    </w:div>
    <w:div w:id="77144399">
      <w:bodyDiv w:val="1"/>
      <w:marLeft w:val="0"/>
      <w:marRight w:val="0"/>
      <w:marTop w:val="0"/>
      <w:marBottom w:val="0"/>
      <w:divBdr>
        <w:top w:val="none" w:sz="0" w:space="0" w:color="auto"/>
        <w:left w:val="none" w:sz="0" w:space="0" w:color="auto"/>
        <w:bottom w:val="none" w:sz="0" w:space="0" w:color="auto"/>
        <w:right w:val="none" w:sz="0" w:space="0" w:color="auto"/>
      </w:divBdr>
    </w:div>
    <w:div w:id="92165038">
      <w:bodyDiv w:val="1"/>
      <w:marLeft w:val="0"/>
      <w:marRight w:val="0"/>
      <w:marTop w:val="0"/>
      <w:marBottom w:val="0"/>
      <w:divBdr>
        <w:top w:val="none" w:sz="0" w:space="0" w:color="auto"/>
        <w:left w:val="none" w:sz="0" w:space="0" w:color="auto"/>
        <w:bottom w:val="none" w:sz="0" w:space="0" w:color="auto"/>
        <w:right w:val="none" w:sz="0" w:space="0" w:color="auto"/>
      </w:divBdr>
    </w:div>
    <w:div w:id="92940110">
      <w:bodyDiv w:val="1"/>
      <w:marLeft w:val="0"/>
      <w:marRight w:val="0"/>
      <w:marTop w:val="0"/>
      <w:marBottom w:val="0"/>
      <w:divBdr>
        <w:top w:val="none" w:sz="0" w:space="0" w:color="auto"/>
        <w:left w:val="none" w:sz="0" w:space="0" w:color="auto"/>
        <w:bottom w:val="none" w:sz="0" w:space="0" w:color="auto"/>
        <w:right w:val="none" w:sz="0" w:space="0" w:color="auto"/>
      </w:divBdr>
    </w:div>
    <w:div w:id="104466894">
      <w:bodyDiv w:val="1"/>
      <w:marLeft w:val="0"/>
      <w:marRight w:val="0"/>
      <w:marTop w:val="0"/>
      <w:marBottom w:val="0"/>
      <w:divBdr>
        <w:top w:val="none" w:sz="0" w:space="0" w:color="auto"/>
        <w:left w:val="none" w:sz="0" w:space="0" w:color="auto"/>
        <w:bottom w:val="none" w:sz="0" w:space="0" w:color="auto"/>
        <w:right w:val="none" w:sz="0" w:space="0" w:color="auto"/>
      </w:divBdr>
    </w:div>
    <w:div w:id="108475406">
      <w:bodyDiv w:val="1"/>
      <w:marLeft w:val="0"/>
      <w:marRight w:val="0"/>
      <w:marTop w:val="0"/>
      <w:marBottom w:val="0"/>
      <w:divBdr>
        <w:top w:val="none" w:sz="0" w:space="0" w:color="auto"/>
        <w:left w:val="none" w:sz="0" w:space="0" w:color="auto"/>
        <w:bottom w:val="none" w:sz="0" w:space="0" w:color="auto"/>
        <w:right w:val="none" w:sz="0" w:space="0" w:color="auto"/>
      </w:divBdr>
      <w:divsChild>
        <w:div w:id="650015789">
          <w:marLeft w:val="0"/>
          <w:marRight w:val="0"/>
          <w:marTop w:val="0"/>
          <w:marBottom w:val="0"/>
          <w:divBdr>
            <w:top w:val="none" w:sz="0" w:space="0" w:color="auto"/>
            <w:left w:val="none" w:sz="0" w:space="0" w:color="auto"/>
            <w:bottom w:val="none" w:sz="0" w:space="0" w:color="auto"/>
            <w:right w:val="none" w:sz="0" w:space="0" w:color="auto"/>
          </w:divBdr>
          <w:divsChild>
            <w:div w:id="2145736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019656">
      <w:bodyDiv w:val="1"/>
      <w:marLeft w:val="0"/>
      <w:marRight w:val="0"/>
      <w:marTop w:val="0"/>
      <w:marBottom w:val="0"/>
      <w:divBdr>
        <w:top w:val="none" w:sz="0" w:space="0" w:color="auto"/>
        <w:left w:val="none" w:sz="0" w:space="0" w:color="auto"/>
        <w:bottom w:val="none" w:sz="0" w:space="0" w:color="auto"/>
        <w:right w:val="none" w:sz="0" w:space="0" w:color="auto"/>
      </w:divBdr>
    </w:div>
    <w:div w:id="112329805">
      <w:bodyDiv w:val="1"/>
      <w:marLeft w:val="0"/>
      <w:marRight w:val="0"/>
      <w:marTop w:val="0"/>
      <w:marBottom w:val="0"/>
      <w:divBdr>
        <w:top w:val="none" w:sz="0" w:space="0" w:color="auto"/>
        <w:left w:val="none" w:sz="0" w:space="0" w:color="auto"/>
        <w:bottom w:val="none" w:sz="0" w:space="0" w:color="auto"/>
        <w:right w:val="none" w:sz="0" w:space="0" w:color="auto"/>
      </w:divBdr>
    </w:div>
    <w:div w:id="117841610">
      <w:bodyDiv w:val="1"/>
      <w:marLeft w:val="0"/>
      <w:marRight w:val="0"/>
      <w:marTop w:val="0"/>
      <w:marBottom w:val="0"/>
      <w:divBdr>
        <w:top w:val="none" w:sz="0" w:space="0" w:color="auto"/>
        <w:left w:val="none" w:sz="0" w:space="0" w:color="auto"/>
        <w:bottom w:val="none" w:sz="0" w:space="0" w:color="auto"/>
        <w:right w:val="none" w:sz="0" w:space="0" w:color="auto"/>
      </w:divBdr>
    </w:div>
    <w:div w:id="126554837">
      <w:bodyDiv w:val="1"/>
      <w:marLeft w:val="0"/>
      <w:marRight w:val="0"/>
      <w:marTop w:val="0"/>
      <w:marBottom w:val="0"/>
      <w:divBdr>
        <w:top w:val="none" w:sz="0" w:space="0" w:color="auto"/>
        <w:left w:val="none" w:sz="0" w:space="0" w:color="auto"/>
        <w:bottom w:val="none" w:sz="0" w:space="0" w:color="auto"/>
        <w:right w:val="none" w:sz="0" w:space="0" w:color="auto"/>
      </w:divBdr>
    </w:div>
    <w:div w:id="126702315">
      <w:bodyDiv w:val="1"/>
      <w:marLeft w:val="0"/>
      <w:marRight w:val="0"/>
      <w:marTop w:val="0"/>
      <w:marBottom w:val="0"/>
      <w:divBdr>
        <w:top w:val="none" w:sz="0" w:space="0" w:color="auto"/>
        <w:left w:val="none" w:sz="0" w:space="0" w:color="auto"/>
        <w:bottom w:val="none" w:sz="0" w:space="0" w:color="auto"/>
        <w:right w:val="none" w:sz="0" w:space="0" w:color="auto"/>
      </w:divBdr>
    </w:div>
    <w:div w:id="132139601">
      <w:bodyDiv w:val="1"/>
      <w:marLeft w:val="0"/>
      <w:marRight w:val="0"/>
      <w:marTop w:val="0"/>
      <w:marBottom w:val="0"/>
      <w:divBdr>
        <w:top w:val="none" w:sz="0" w:space="0" w:color="auto"/>
        <w:left w:val="none" w:sz="0" w:space="0" w:color="auto"/>
        <w:bottom w:val="none" w:sz="0" w:space="0" w:color="auto"/>
        <w:right w:val="none" w:sz="0" w:space="0" w:color="auto"/>
      </w:divBdr>
    </w:div>
    <w:div w:id="134958088">
      <w:bodyDiv w:val="1"/>
      <w:marLeft w:val="0"/>
      <w:marRight w:val="0"/>
      <w:marTop w:val="0"/>
      <w:marBottom w:val="0"/>
      <w:divBdr>
        <w:top w:val="none" w:sz="0" w:space="0" w:color="auto"/>
        <w:left w:val="none" w:sz="0" w:space="0" w:color="auto"/>
        <w:bottom w:val="none" w:sz="0" w:space="0" w:color="auto"/>
        <w:right w:val="none" w:sz="0" w:space="0" w:color="auto"/>
      </w:divBdr>
      <w:divsChild>
        <w:div w:id="2034384347">
          <w:marLeft w:val="0"/>
          <w:marRight w:val="0"/>
          <w:marTop w:val="0"/>
          <w:marBottom w:val="0"/>
          <w:divBdr>
            <w:top w:val="none" w:sz="0" w:space="0" w:color="auto"/>
            <w:left w:val="none" w:sz="0" w:space="0" w:color="auto"/>
            <w:bottom w:val="none" w:sz="0" w:space="0" w:color="auto"/>
            <w:right w:val="none" w:sz="0" w:space="0" w:color="auto"/>
          </w:divBdr>
          <w:divsChild>
            <w:div w:id="169222983">
              <w:marLeft w:val="0"/>
              <w:marRight w:val="0"/>
              <w:marTop w:val="0"/>
              <w:marBottom w:val="0"/>
              <w:divBdr>
                <w:top w:val="none" w:sz="0" w:space="0" w:color="auto"/>
                <w:left w:val="none" w:sz="0" w:space="0" w:color="auto"/>
                <w:bottom w:val="none" w:sz="0" w:space="0" w:color="auto"/>
                <w:right w:val="none" w:sz="0" w:space="0" w:color="auto"/>
              </w:divBdr>
              <w:divsChild>
                <w:div w:id="1775049607">
                  <w:marLeft w:val="0"/>
                  <w:marRight w:val="0"/>
                  <w:marTop w:val="0"/>
                  <w:marBottom w:val="0"/>
                  <w:divBdr>
                    <w:top w:val="none" w:sz="0" w:space="0" w:color="auto"/>
                    <w:left w:val="none" w:sz="0" w:space="0" w:color="auto"/>
                    <w:bottom w:val="none" w:sz="0" w:space="0" w:color="auto"/>
                    <w:right w:val="none" w:sz="0" w:space="0" w:color="auto"/>
                  </w:divBdr>
                  <w:divsChild>
                    <w:div w:id="1450321575">
                      <w:marLeft w:val="0"/>
                      <w:marRight w:val="0"/>
                      <w:marTop w:val="0"/>
                      <w:marBottom w:val="0"/>
                      <w:divBdr>
                        <w:top w:val="none" w:sz="0" w:space="0" w:color="auto"/>
                        <w:left w:val="none" w:sz="0" w:space="0" w:color="auto"/>
                        <w:bottom w:val="none" w:sz="0" w:space="0" w:color="auto"/>
                        <w:right w:val="none" w:sz="0" w:space="0" w:color="auto"/>
                      </w:divBdr>
                      <w:divsChild>
                        <w:div w:id="205139563">
                          <w:marLeft w:val="0"/>
                          <w:marRight w:val="0"/>
                          <w:marTop w:val="0"/>
                          <w:marBottom w:val="0"/>
                          <w:divBdr>
                            <w:top w:val="none" w:sz="0" w:space="0" w:color="auto"/>
                            <w:left w:val="none" w:sz="0" w:space="0" w:color="auto"/>
                            <w:bottom w:val="none" w:sz="0" w:space="0" w:color="auto"/>
                            <w:right w:val="none" w:sz="0" w:space="0" w:color="auto"/>
                          </w:divBdr>
                          <w:divsChild>
                            <w:div w:id="61023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270368">
      <w:bodyDiv w:val="1"/>
      <w:marLeft w:val="0"/>
      <w:marRight w:val="0"/>
      <w:marTop w:val="0"/>
      <w:marBottom w:val="0"/>
      <w:divBdr>
        <w:top w:val="none" w:sz="0" w:space="0" w:color="auto"/>
        <w:left w:val="none" w:sz="0" w:space="0" w:color="auto"/>
        <w:bottom w:val="none" w:sz="0" w:space="0" w:color="auto"/>
        <w:right w:val="none" w:sz="0" w:space="0" w:color="auto"/>
      </w:divBdr>
    </w:div>
    <w:div w:id="140000386">
      <w:bodyDiv w:val="1"/>
      <w:marLeft w:val="0"/>
      <w:marRight w:val="0"/>
      <w:marTop w:val="0"/>
      <w:marBottom w:val="0"/>
      <w:divBdr>
        <w:top w:val="none" w:sz="0" w:space="0" w:color="auto"/>
        <w:left w:val="none" w:sz="0" w:space="0" w:color="auto"/>
        <w:bottom w:val="none" w:sz="0" w:space="0" w:color="auto"/>
        <w:right w:val="none" w:sz="0" w:space="0" w:color="auto"/>
      </w:divBdr>
    </w:div>
    <w:div w:id="152991608">
      <w:bodyDiv w:val="1"/>
      <w:marLeft w:val="0"/>
      <w:marRight w:val="0"/>
      <w:marTop w:val="0"/>
      <w:marBottom w:val="0"/>
      <w:divBdr>
        <w:top w:val="none" w:sz="0" w:space="0" w:color="auto"/>
        <w:left w:val="none" w:sz="0" w:space="0" w:color="auto"/>
        <w:bottom w:val="none" w:sz="0" w:space="0" w:color="auto"/>
        <w:right w:val="none" w:sz="0" w:space="0" w:color="auto"/>
      </w:divBdr>
    </w:div>
    <w:div w:id="153837528">
      <w:bodyDiv w:val="1"/>
      <w:marLeft w:val="0"/>
      <w:marRight w:val="0"/>
      <w:marTop w:val="0"/>
      <w:marBottom w:val="0"/>
      <w:divBdr>
        <w:top w:val="none" w:sz="0" w:space="0" w:color="auto"/>
        <w:left w:val="none" w:sz="0" w:space="0" w:color="auto"/>
        <w:bottom w:val="none" w:sz="0" w:space="0" w:color="auto"/>
        <w:right w:val="none" w:sz="0" w:space="0" w:color="auto"/>
      </w:divBdr>
    </w:div>
    <w:div w:id="155998113">
      <w:bodyDiv w:val="1"/>
      <w:marLeft w:val="0"/>
      <w:marRight w:val="0"/>
      <w:marTop w:val="0"/>
      <w:marBottom w:val="0"/>
      <w:divBdr>
        <w:top w:val="none" w:sz="0" w:space="0" w:color="auto"/>
        <w:left w:val="none" w:sz="0" w:space="0" w:color="auto"/>
        <w:bottom w:val="none" w:sz="0" w:space="0" w:color="auto"/>
        <w:right w:val="none" w:sz="0" w:space="0" w:color="auto"/>
      </w:divBdr>
    </w:div>
    <w:div w:id="164514539">
      <w:bodyDiv w:val="1"/>
      <w:marLeft w:val="0"/>
      <w:marRight w:val="0"/>
      <w:marTop w:val="0"/>
      <w:marBottom w:val="0"/>
      <w:divBdr>
        <w:top w:val="none" w:sz="0" w:space="0" w:color="auto"/>
        <w:left w:val="none" w:sz="0" w:space="0" w:color="auto"/>
        <w:bottom w:val="none" w:sz="0" w:space="0" w:color="auto"/>
        <w:right w:val="none" w:sz="0" w:space="0" w:color="auto"/>
      </w:divBdr>
    </w:div>
    <w:div w:id="170872991">
      <w:bodyDiv w:val="1"/>
      <w:marLeft w:val="0"/>
      <w:marRight w:val="0"/>
      <w:marTop w:val="0"/>
      <w:marBottom w:val="0"/>
      <w:divBdr>
        <w:top w:val="none" w:sz="0" w:space="0" w:color="auto"/>
        <w:left w:val="none" w:sz="0" w:space="0" w:color="auto"/>
        <w:bottom w:val="none" w:sz="0" w:space="0" w:color="auto"/>
        <w:right w:val="none" w:sz="0" w:space="0" w:color="auto"/>
      </w:divBdr>
    </w:div>
    <w:div w:id="177431403">
      <w:bodyDiv w:val="1"/>
      <w:marLeft w:val="0"/>
      <w:marRight w:val="0"/>
      <w:marTop w:val="0"/>
      <w:marBottom w:val="0"/>
      <w:divBdr>
        <w:top w:val="none" w:sz="0" w:space="0" w:color="auto"/>
        <w:left w:val="none" w:sz="0" w:space="0" w:color="auto"/>
        <w:bottom w:val="none" w:sz="0" w:space="0" w:color="auto"/>
        <w:right w:val="none" w:sz="0" w:space="0" w:color="auto"/>
      </w:divBdr>
    </w:div>
    <w:div w:id="184249174">
      <w:bodyDiv w:val="1"/>
      <w:marLeft w:val="0"/>
      <w:marRight w:val="0"/>
      <w:marTop w:val="0"/>
      <w:marBottom w:val="0"/>
      <w:divBdr>
        <w:top w:val="none" w:sz="0" w:space="0" w:color="auto"/>
        <w:left w:val="none" w:sz="0" w:space="0" w:color="auto"/>
        <w:bottom w:val="none" w:sz="0" w:space="0" w:color="auto"/>
        <w:right w:val="none" w:sz="0" w:space="0" w:color="auto"/>
      </w:divBdr>
    </w:div>
    <w:div w:id="186456767">
      <w:bodyDiv w:val="1"/>
      <w:marLeft w:val="0"/>
      <w:marRight w:val="0"/>
      <w:marTop w:val="0"/>
      <w:marBottom w:val="0"/>
      <w:divBdr>
        <w:top w:val="none" w:sz="0" w:space="0" w:color="auto"/>
        <w:left w:val="none" w:sz="0" w:space="0" w:color="auto"/>
        <w:bottom w:val="none" w:sz="0" w:space="0" w:color="auto"/>
        <w:right w:val="none" w:sz="0" w:space="0" w:color="auto"/>
      </w:divBdr>
    </w:div>
    <w:div w:id="186912018">
      <w:bodyDiv w:val="1"/>
      <w:marLeft w:val="0"/>
      <w:marRight w:val="0"/>
      <w:marTop w:val="0"/>
      <w:marBottom w:val="0"/>
      <w:divBdr>
        <w:top w:val="none" w:sz="0" w:space="0" w:color="auto"/>
        <w:left w:val="none" w:sz="0" w:space="0" w:color="auto"/>
        <w:bottom w:val="none" w:sz="0" w:space="0" w:color="auto"/>
        <w:right w:val="none" w:sz="0" w:space="0" w:color="auto"/>
      </w:divBdr>
    </w:div>
    <w:div w:id="193426692">
      <w:bodyDiv w:val="1"/>
      <w:marLeft w:val="0"/>
      <w:marRight w:val="0"/>
      <w:marTop w:val="0"/>
      <w:marBottom w:val="0"/>
      <w:divBdr>
        <w:top w:val="none" w:sz="0" w:space="0" w:color="auto"/>
        <w:left w:val="none" w:sz="0" w:space="0" w:color="auto"/>
        <w:bottom w:val="none" w:sz="0" w:space="0" w:color="auto"/>
        <w:right w:val="none" w:sz="0" w:space="0" w:color="auto"/>
      </w:divBdr>
    </w:div>
    <w:div w:id="199903159">
      <w:bodyDiv w:val="1"/>
      <w:marLeft w:val="0"/>
      <w:marRight w:val="0"/>
      <w:marTop w:val="0"/>
      <w:marBottom w:val="0"/>
      <w:divBdr>
        <w:top w:val="none" w:sz="0" w:space="0" w:color="auto"/>
        <w:left w:val="none" w:sz="0" w:space="0" w:color="auto"/>
        <w:bottom w:val="none" w:sz="0" w:space="0" w:color="auto"/>
        <w:right w:val="none" w:sz="0" w:space="0" w:color="auto"/>
      </w:divBdr>
    </w:div>
    <w:div w:id="205417135">
      <w:bodyDiv w:val="1"/>
      <w:marLeft w:val="0"/>
      <w:marRight w:val="0"/>
      <w:marTop w:val="0"/>
      <w:marBottom w:val="0"/>
      <w:divBdr>
        <w:top w:val="none" w:sz="0" w:space="0" w:color="auto"/>
        <w:left w:val="none" w:sz="0" w:space="0" w:color="auto"/>
        <w:bottom w:val="none" w:sz="0" w:space="0" w:color="auto"/>
        <w:right w:val="none" w:sz="0" w:space="0" w:color="auto"/>
      </w:divBdr>
    </w:div>
    <w:div w:id="210507255">
      <w:bodyDiv w:val="1"/>
      <w:marLeft w:val="0"/>
      <w:marRight w:val="0"/>
      <w:marTop w:val="0"/>
      <w:marBottom w:val="0"/>
      <w:divBdr>
        <w:top w:val="none" w:sz="0" w:space="0" w:color="auto"/>
        <w:left w:val="none" w:sz="0" w:space="0" w:color="auto"/>
        <w:bottom w:val="none" w:sz="0" w:space="0" w:color="auto"/>
        <w:right w:val="none" w:sz="0" w:space="0" w:color="auto"/>
      </w:divBdr>
    </w:div>
    <w:div w:id="210852490">
      <w:bodyDiv w:val="1"/>
      <w:marLeft w:val="0"/>
      <w:marRight w:val="0"/>
      <w:marTop w:val="0"/>
      <w:marBottom w:val="0"/>
      <w:divBdr>
        <w:top w:val="none" w:sz="0" w:space="0" w:color="auto"/>
        <w:left w:val="none" w:sz="0" w:space="0" w:color="auto"/>
        <w:bottom w:val="none" w:sz="0" w:space="0" w:color="auto"/>
        <w:right w:val="none" w:sz="0" w:space="0" w:color="auto"/>
      </w:divBdr>
    </w:div>
    <w:div w:id="217056121">
      <w:bodyDiv w:val="1"/>
      <w:marLeft w:val="0"/>
      <w:marRight w:val="0"/>
      <w:marTop w:val="0"/>
      <w:marBottom w:val="0"/>
      <w:divBdr>
        <w:top w:val="none" w:sz="0" w:space="0" w:color="auto"/>
        <w:left w:val="none" w:sz="0" w:space="0" w:color="auto"/>
        <w:bottom w:val="none" w:sz="0" w:space="0" w:color="auto"/>
        <w:right w:val="none" w:sz="0" w:space="0" w:color="auto"/>
      </w:divBdr>
    </w:div>
    <w:div w:id="232158704">
      <w:bodyDiv w:val="1"/>
      <w:marLeft w:val="0"/>
      <w:marRight w:val="0"/>
      <w:marTop w:val="0"/>
      <w:marBottom w:val="0"/>
      <w:divBdr>
        <w:top w:val="none" w:sz="0" w:space="0" w:color="auto"/>
        <w:left w:val="none" w:sz="0" w:space="0" w:color="auto"/>
        <w:bottom w:val="none" w:sz="0" w:space="0" w:color="auto"/>
        <w:right w:val="none" w:sz="0" w:space="0" w:color="auto"/>
      </w:divBdr>
    </w:div>
    <w:div w:id="244725114">
      <w:bodyDiv w:val="1"/>
      <w:marLeft w:val="0"/>
      <w:marRight w:val="0"/>
      <w:marTop w:val="0"/>
      <w:marBottom w:val="0"/>
      <w:divBdr>
        <w:top w:val="none" w:sz="0" w:space="0" w:color="auto"/>
        <w:left w:val="none" w:sz="0" w:space="0" w:color="auto"/>
        <w:bottom w:val="none" w:sz="0" w:space="0" w:color="auto"/>
        <w:right w:val="none" w:sz="0" w:space="0" w:color="auto"/>
      </w:divBdr>
    </w:div>
    <w:div w:id="248853669">
      <w:bodyDiv w:val="1"/>
      <w:marLeft w:val="0"/>
      <w:marRight w:val="0"/>
      <w:marTop w:val="0"/>
      <w:marBottom w:val="0"/>
      <w:divBdr>
        <w:top w:val="none" w:sz="0" w:space="0" w:color="auto"/>
        <w:left w:val="none" w:sz="0" w:space="0" w:color="auto"/>
        <w:bottom w:val="none" w:sz="0" w:space="0" w:color="auto"/>
        <w:right w:val="none" w:sz="0" w:space="0" w:color="auto"/>
      </w:divBdr>
    </w:div>
    <w:div w:id="249242670">
      <w:bodyDiv w:val="1"/>
      <w:marLeft w:val="0"/>
      <w:marRight w:val="0"/>
      <w:marTop w:val="0"/>
      <w:marBottom w:val="0"/>
      <w:divBdr>
        <w:top w:val="none" w:sz="0" w:space="0" w:color="auto"/>
        <w:left w:val="none" w:sz="0" w:space="0" w:color="auto"/>
        <w:bottom w:val="none" w:sz="0" w:space="0" w:color="auto"/>
        <w:right w:val="none" w:sz="0" w:space="0" w:color="auto"/>
      </w:divBdr>
    </w:div>
    <w:div w:id="256400924">
      <w:bodyDiv w:val="1"/>
      <w:marLeft w:val="0"/>
      <w:marRight w:val="0"/>
      <w:marTop w:val="0"/>
      <w:marBottom w:val="0"/>
      <w:divBdr>
        <w:top w:val="none" w:sz="0" w:space="0" w:color="auto"/>
        <w:left w:val="none" w:sz="0" w:space="0" w:color="auto"/>
        <w:bottom w:val="none" w:sz="0" w:space="0" w:color="auto"/>
        <w:right w:val="none" w:sz="0" w:space="0" w:color="auto"/>
      </w:divBdr>
    </w:div>
    <w:div w:id="258373143">
      <w:bodyDiv w:val="1"/>
      <w:marLeft w:val="0"/>
      <w:marRight w:val="0"/>
      <w:marTop w:val="0"/>
      <w:marBottom w:val="0"/>
      <w:divBdr>
        <w:top w:val="none" w:sz="0" w:space="0" w:color="auto"/>
        <w:left w:val="none" w:sz="0" w:space="0" w:color="auto"/>
        <w:bottom w:val="none" w:sz="0" w:space="0" w:color="auto"/>
        <w:right w:val="none" w:sz="0" w:space="0" w:color="auto"/>
      </w:divBdr>
    </w:div>
    <w:div w:id="260649560">
      <w:bodyDiv w:val="1"/>
      <w:marLeft w:val="0"/>
      <w:marRight w:val="0"/>
      <w:marTop w:val="0"/>
      <w:marBottom w:val="0"/>
      <w:divBdr>
        <w:top w:val="none" w:sz="0" w:space="0" w:color="auto"/>
        <w:left w:val="none" w:sz="0" w:space="0" w:color="auto"/>
        <w:bottom w:val="none" w:sz="0" w:space="0" w:color="auto"/>
        <w:right w:val="none" w:sz="0" w:space="0" w:color="auto"/>
      </w:divBdr>
    </w:div>
    <w:div w:id="272633961">
      <w:bodyDiv w:val="1"/>
      <w:marLeft w:val="0"/>
      <w:marRight w:val="0"/>
      <w:marTop w:val="0"/>
      <w:marBottom w:val="0"/>
      <w:divBdr>
        <w:top w:val="none" w:sz="0" w:space="0" w:color="auto"/>
        <w:left w:val="none" w:sz="0" w:space="0" w:color="auto"/>
        <w:bottom w:val="none" w:sz="0" w:space="0" w:color="auto"/>
        <w:right w:val="none" w:sz="0" w:space="0" w:color="auto"/>
      </w:divBdr>
    </w:div>
    <w:div w:id="278294194">
      <w:bodyDiv w:val="1"/>
      <w:marLeft w:val="0"/>
      <w:marRight w:val="0"/>
      <w:marTop w:val="0"/>
      <w:marBottom w:val="0"/>
      <w:divBdr>
        <w:top w:val="none" w:sz="0" w:space="0" w:color="auto"/>
        <w:left w:val="none" w:sz="0" w:space="0" w:color="auto"/>
        <w:bottom w:val="none" w:sz="0" w:space="0" w:color="auto"/>
        <w:right w:val="none" w:sz="0" w:space="0" w:color="auto"/>
      </w:divBdr>
    </w:div>
    <w:div w:id="278534154">
      <w:bodyDiv w:val="1"/>
      <w:marLeft w:val="0"/>
      <w:marRight w:val="0"/>
      <w:marTop w:val="0"/>
      <w:marBottom w:val="0"/>
      <w:divBdr>
        <w:top w:val="none" w:sz="0" w:space="0" w:color="auto"/>
        <w:left w:val="none" w:sz="0" w:space="0" w:color="auto"/>
        <w:bottom w:val="none" w:sz="0" w:space="0" w:color="auto"/>
        <w:right w:val="none" w:sz="0" w:space="0" w:color="auto"/>
      </w:divBdr>
    </w:div>
    <w:div w:id="294720192">
      <w:bodyDiv w:val="1"/>
      <w:marLeft w:val="0"/>
      <w:marRight w:val="0"/>
      <w:marTop w:val="0"/>
      <w:marBottom w:val="0"/>
      <w:divBdr>
        <w:top w:val="none" w:sz="0" w:space="0" w:color="auto"/>
        <w:left w:val="none" w:sz="0" w:space="0" w:color="auto"/>
        <w:bottom w:val="none" w:sz="0" w:space="0" w:color="auto"/>
        <w:right w:val="none" w:sz="0" w:space="0" w:color="auto"/>
      </w:divBdr>
    </w:div>
    <w:div w:id="295137788">
      <w:bodyDiv w:val="1"/>
      <w:marLeft w:val="0"/>
      <w:marRight w:val="0"/>
      <w:marTop w:val="0"/>
      <w:marBottom w:val="0"/>
      <w:divBdr>
        <w:top w:val="none" w:sz="0" w:space="0" w:color="auto"/>
        <w:left w:val="none" w:sz="0" w:space="0" w:color="auto"/>
        <w:bottom w:val="none" w:sz="0" w:space="0" w:color="auto"/>
        <w:right w:val="none" w:sz="0" w:space="0" w:color="auto"/>
      </w:divBdr>
    </w:div>
    <w:div w:id="296106721">
      <w:bodyDiv w:val="1"/>
      <w:marLeft w:val="0"/>
      <w:marRight w:val="0"/>
      <w:marTop w:val="0"/>
      <w:marBottom w:val="0"/>
      <w:divBdr>
        <w:top w:val="none" w:sz="0" w:space="0" w:color="auto"/>
        <w:left w:val="none" w:sz="0" w:space="0" w:color="auto"/>
        <w:bottom w:val="none" w:sz="0" w:space="0" w:color="auto"/>
        <w:right w:val="none" w:sz="0" w:space="0" w:color="auto"/>
      </w:divBdr>
    </w:div>
    <w:div w:id="296492661">
      <w:bodyDiv w:val="1"/>
      <w:marLeft w:val="0"/>
      <w:marRight w:val="0"/>
      <w:marTop w:val="0"/>
      <w:marBottom w:val="0"/>
      <w:divBdr>
        <w:top w:val="none" w:sz="0" w:space="0" w:color="auto"/>
        <w:left w:val="none" w:sz="0" w:space="0" w:color="auto"/>
        <w:bottom w:val="none" w:sz="0" w:space="0" w:color="auto"/>
        <w:right w:val="none" w:sz="0" w:space="0" w:color="auto"/>
      </w:divBdr>
    </w:div>
    <w:div w:id="304436823">
      <w:bodyDiv w:val="1"/>
      <w:marLeft w:val="0"/>
      <w:marRight w:val="0"/>
      <w:marTop w:val="0"/>
      <w:marBottom w:val="0"/>
      <w:divBdr>
        <w:top w:val="none" w:sz="0" w:space="0" w:color="auto"/>
        <w:left w:val="none" w:sz="0" w:space="0" w:color="auto"/>
        <w:bottom w:val="none" w:sz="0" w:space="0" w:color="auto"/>
        <w:right w:val="none" w:sz="0" w:space="0" w:color="auto"/>
      </w:divBdr>
    </w:div>
    <w:div w:id="306974681">
      <w:bodyDiv w:val="1"/>
      <w:marLeft w:val="0"/>
      <w:marRight w:val="0"/>
      <w:marTop w:val="0"/>
      <w:marBottom w:val="0"/>
      <w:divBdr>
        <w:top w:val="none" w:sz="0" w:space="0" w:color="auto"/>
        <w:left w:val="none" w:sz="0" w:space="0" w:color="auto"/>
        <w:bottom w:val="none" w:sz="0" w:space="0" w:color="auto"/>
        <w:right w:val="none" w:sz="0" w:space="0" w:color="auto"/>
      </w:divBdr>
    </w:div>
    <w:div w:id="311254923">
      <w:bodyDiv w:val="1"/>
      <w:marLeft w:val="0"/>
      <w:marRight w:val="0"/>
      <w:marTop w:val="0"/>
      <w:marBottom w:val="0"/>
      <w:divBdr>
        <w:top w:val="none" w:sz="0" w:space="0" w:color="auto"/>
        <w:left w:val="none" w:sz="0" w:space="0" w:color="auto"/>
        <w:bottom w:val="none" w:sz="0" w:space="0" w:color="auto"/>
        <w:right w:val="none" w:sz="0" w:space="0" w:color="auto"/>
      </w:divBdr>
    </w:div>
    <w:div w:id="313801799">
      <w:bodyDiv w:val="1"/>
      <w:marLeft w:val="0"/>
      <w:marRight w:val="0"/>
      <w:marTop w:val="0"/>
      <w:marBottom w:val="0"/>
      <w:divBdr>
        <w:top w:val="none" w:sz="0" w:space="0" w:color="auto"/>
        <w:left w:val="none" w:sz="0" w:space="0" w:color="auto"/>
        <w:bottom w:val="none" w:sz="0" w:space="0" w:color="auto"/>
        <w:right w:val="none" w:sz="0" w:space="0" w:color="auto"/>
      </w:divBdr>
    </w:div>
    <w:div w:id="318458432">
      <w:bodyDiv w:val="1"/>
      <w:marLeft w:val="0"/>
      <w:marRight w:val="0"/>
      <w:marTop w:val="0"/>
      <w:marBottom w:val="0"/>
      <w:divBdr>
        <w:top w:val="none" w:sz="0" w:space="0" w:color="auto"/>
        <w:left w:val="none" w:sz="0" w:space="0" w:color="auto"/>
        <w:bottom w:val="none" w:sz="0" w:space="0" w:color="auto"/>
        <w:right w:val="none" w:sz="0" w:space="0" w:color="auto"/>
      </w:divBdr>
    </w:div>
    <w:div w:id="325401687">
      <w:bodyDiv w:val="1"/>
      <w:marLeft w:val="0"/>
      <w:marRight w:val="0"/>
      <w:marTop w:val="0"/>
      <w:marBottom w:val="0"/>
      <w:divBdr>
        <w:top w:val="none" w:sz="0" w:space="0" w:color="auto"/>
        <w:left w:val="none" w:sz="0" w:space="0" w:color="auto"/>
        <w:bottom w:val="none" w:sz="0" w:space="0" w:color="auto"/>
        <w:right w:val="none" w:sz="0" w:space="0" w:color="auto"/>
      </w:divBdr>
    </w:div>
    <w:div w:id="331031355">
      <w:bodyDiv w:val="1"/>
      <w:marLeft w:val="0"/>
      <w:marRight w:val="0"/>
      <w:marTop w:val="0"/>
      <w:marBottom w:val="0"/>
      <w:divBdr>
        <w:top w:val="none" w:sz="0" w:space="0" w:color="auto"/>
        <w:left w:val="none" w:sz="0" w:space="0" w:color="auto"/>
        <w:bottom w:val="none" w:sz="0" w:space="0" w:color="auto"/>
        <w:right w:val="none" w:sz="0" w:space="0" w:color="auto"/>
      </w:divBdr>
    </w:div>
    <w:div w:id="343410130">
      <w:bodyDiv w:val="1"/>
      <w:marLeft w:val="0"/>
      <w:marRight w:val="0"/>
      <w:marTop w:val="0"/>
      <w:marBottom w:val="0"/>
      <w:divBdr>
        <w:top w:val="none" w:sz="0" w:space="0" w:color="auto"/>
        <w:left w:val="none" w:sz="0" w:space="0" w:color="auto"/>
        <w:bottom w:val="none" w:sz="0" w:space="0" w:color="auto"/>
        <w:right w:val="none" w:sz="0" w:space="0" w:color="auto"/>
      </w:divBdr>
    </w:div>
    <w:div w:id="357706183">
      <w:bodyDiv w:val="1"/>
      <w:marLeft w:val="0"/>
      <w:marRight w:val="0"/>
      <w:marTop w:val="0"/>
      <w:marBottom w:val="0"/>
      <w:divBdr>
        <w:top w:val="none" w:sz="0" w:space="0" w:color="auto"/>
        <w:left w:val="none" w:sz="0" w:space="0" w:color="auto"/>
        <w:bottom w:val="none" w:sz="0" w:space="0" w:color="auto"/>
        <w:right w:val="none" w:sz="0" w:space="0" w:color="auto"/>
      </w:divBdr>
    </w:div>
    <w:div w:id="361201336">
      <w:bodyDiv w:val="1"/>
      <w:marLeft w:val="0"/>
      <w:marRight w:val="0"/>
      <w:marTop w:val="0"/>
      <w:marBottom w:val="0"/>
      <w:divBdr>
        <w:top w:val="none" w:sz="0" w:space="0" w:color="auto"/>
        <w:left w:val="none" w:sz="0" w:space="0" w:color="auto"/>
        <w:bottom w:val="none" w:sz="0" w:space="0" w:color="auto"/>
        <w:right w:val="none" w:sz="0" w:space="0" w:color="auto"/>
      </w:divBdr>
    </w:div>
    <w:div w:id="362096018">
      <w:bodyDiv w:val="1"/>
      <w:marLeft w:val="0"/>
      <w:marRight w:val="0"/>
      <w:marTop w:val="0"/>
      <w:marBottom w:val="0"/>
      <w:divBdr>
        <w:top w:val="none" w:sz="0" w:space="0" w:color="auto"/>
        <w:left w:val="none" w:sz="0" w:space="0" w:color="auto"/>
        <w:bottom w:val="none" w:sz="0" w:space="0" w:color="auto"/>
        <w:right w:val="none" w:sz="0" w:space="0" w:color="auto"/>
      </w:divBdr>
    </w:div>
    <w:div w:id="365184787">
      <w:bodyDiv w:val="1"/>
      <w:marLeft w:val="0"/>
      <w:marRight w:val="0"/>
      <w:marTop w:val="0"/>
      <w:marBottom w:val="0"/>
      <w:divBdr>
        <w:top w:val="none" w:sz="0" w:space="0" w:color="auto"/>
        <w:left w:val="none" w:sz="0" w:space="0" w:color="auto"/>
        <w:bottom w:val="none" w:sz="0" w:space="0" w:color="auto"/>
        <w:right w:val="none" w:sz="0" w:space="0" w:color="auto"/>
      </w:divBdr>
    </w:div>
    <w:div w:id="366370560">
      <w:bodyDiv w:val="1"/>
      <w:marLeft w:val="0"/>
      <w:marRight w:val="0"/>
      <w:marTop w:val="0"/>
      <w:marBottom w:val="0"/>
      <w:divBdr>
        <w:top w:val="none" w:sz="0" w:space="0" w:color="auto"/>
        <w:left w:val="none" w:sz="0" w:space="0" w:color="auto"/>
        <w:bottom w:val="none" w:sz="0" w:space="0" w:color="auto"/>
        <w:right w:val="none" w:sz="0" w:space="0" w:color="auto"/>
      </w:divBdr>
    </w:div>
    <w:div w:id="371031559">
      <w:bodyDiv w:val="1"/>
      <w:marLeft w:val="0"/>
      <w:marRight w:val="0"/>
      <w:marTop w:val="0"/>
      <w:marBottom w:val="0"/>
      <w:divBdr>
        <w:top w:val="none" w:sz="0" w:space="0" w:color="auto"/>
        <w:left w:val="none" w:sz="0" w:space="0" w:color="auto"/>
        <w:bottom w:val="none" w:sz="0" w:space="0" w:color="auto"/>
        <w:right w:val="none" w:sz="0" w:space="0" w:color="auto"/>
      </w:divBdr>
    </w:div>
    <w:div w:id="387611474">
      <w:bodyDiv w:val="1"/>
      <w:marLeft w:val="0"/>
      <w:marRight w:val="0"/>
      <w:marTop w:val="0"/>
      <w:marBottom w:val="0"/>
      <w:divBdr>
        <w:top w:val="none" w:sz="0" w:space="0" w:color="auto"/>
        <w:left w:val="none" w:sz="0" w:space="0" w:color="auto"/>
        <w:bottom w:val="none" w:sz="0" w:space="0" w:color="auto"/>
        <w:right w:val="none" w:sz="0" w:space="0" w:color="auto"/>
      </w:divBdr>
    </w:div>
    <w:div w:id="399056460">
      <w:bodyDiv w:val="1"/>
      <w:marLeft w:val="0"/>
      <w:marRight w:val="0"/>
      <w:marTop w:val="0"/>
      <w:marBottom w:val="0"/>
      <w:divBdr>
        <w:top w:val="none" w:sz="0" w:space="0" w:color="auto"/>
        <w:left w:val="none" w:sz="0" w:space="0" w:color="auto"/>
        <w:bottom w:val="none" w:sz="0" w:space="0" w:color="auto"/>
        <w:right w:val="none" w:sz="0" w:space="0" w:color="auto"/>
      </w:divBdr>
    </w:div>
    <w:div w:id="403070731">
      <w:bodyDiv w:val="1"/>
      <w:marLeft w:val="0"/>
      <w:marRight w:val="0"/>
      <w:marTop w:val="0"/>
      <w:marBottom w:val="0"/>
      <w:divBdr>
        <w:top w:val="none" w:sz="0" w:space="0" w:color="auto"/>
        <w:left w:val="none" w:sz="0" w:space="0" w:color="auto"/>
        <w:bottom w:val="none" w:sz="0" w:space="0" w:color="auto"/>
        <w:right w:val="none" w:sz="0" w:space="0" w:color="auto"/>
      </w:divBdr>
    </w:div>
    <w:div w:id="404496224">
      <w:bodyDiv w:val="1"/>
      <w:marLeft w:val="0"/>
      <w:marRight w:val="0"/>
      <w:marTop w:val="0"/>
      <w:marBottom w:val="0"/>
      <w:divBdr>
        <w:top w:val="none" w:sz="0" w:space="0" w:color="auto"/>
        <w:left w:val="none" w:sz="0" w:space="0" w:color="auto"/>
        <w:bottom w:val="none" w:sz="0" w:space="0" w:color="auto"/>
        <w:right w:val="none" w:sz="0" w:space="0" w:color="auto"/>
      </w:divBdr>
    </w:div>
    <w:div w:id="409350305">
      <w:bodyDiv w:val="1"/>
      <w:marLeft w:val="0"/>
      <w:marRight w:val="0"/>
      <w:marTop w:val="0"/>
      <w:marBottom w:val="0"/>
      <w:divBdr>
        <w:top w:val="none" w:sz="0" w:space="0" w:color="auto"/>
        <w:left w:val="none" w:sz="0" w:space="0" w:color="auto"/>
        <w:bottom w:val="none" w:sz="0" w:space="0" w:color="auto"/>
        <w:right w:val="none" w:sz="0" w:space="0" w:color="auto"/>
      </w:divBdr>
    </w:div>
    <w:div w:id="413362384">
      <w:bodyDiv w:val="1"/>
      <w:marLeft w:val="0"/>
      <w:marRight w:val="0"/>
      <w:marTop w:val="0"/>
      <w:marBottom w:val="0"/>
      <w:divBdr>
        <w:top w:val="none" w:sz="0" w:space="0" w:color="auto"/>
        <w:left w:val="none" w:sz="0" w:space="0" w:color="auto"/>
        <w:bottom w:val="none" w:sz="0" w:space="0" w:color="auto"/>
        <w:right w:val="none" w:sz="0" w:space="0" w:color="auto"/>
      </w:divBdr>
    </w:div>
    <w:div w:id="415783062">
      <w:bodyDiv w:val="1"/>
      <w:marLeft w:val="0"/>
      <w:marRight w:val="0"/>
      <w:marTop w:val="0"/>
      <w:marBottom w:val="0"/>
      <w:divBdr>
        <w:top w:val="none" w:sz="0" w:space="0" w:color="auto"/>
        <w:left w:val="none" w:sz="0" w:space="0" w:color="auto"/>
        <w:bottom w:val="none" w:sz="0" w:space="0" w:color="auto"/>
        <w:right w:val="none" w:sz="0" w:space="0" w:color="auto"/>
      </w:divBdr>
    </w:div>
    <w:div w:id="416555560">
      <w:bodyDiv w:val="1"/>
      <w:marLeft w:val="0"/>
      <w:marRight w:val="0"/>
      <w:marTop w:val="0"/>
      <w:marBottom w:val="0"/>
      <w:divBdr>
        <w:top w:val="none" w:sz="0" w:space="0" w:color="auto"/>
        <w:left w:val="none" w:sz="0" w:space="0" w:color="auto"/>
        <w:bottom w:val="none" w:sz="0" w:space="0" w:color="auto"/>
        <w:right w:val="none" w:sz="0" w:space="0" w:color="auto"/>
      </w:divBdr>
    </w:div>
    <w:div w:id="434906742">
      <w:bodyDiv w:val="1"/>
      <w:marLeft w:val="0"/>
      <w:marRight w:val="0"/>
      <w:marTop w:val="0"/>
      <w:marBottom w:val="0"/>
      <w:divBdr>
        <w:top w:val="none" w:sz="0" w:space="0" w:color="auto"/>
        <w:left w:val="none" w:sz="0" w:space="0" w:color="auto"/>
        <w:bottom w:val="none" w:sz="0" w:space="0" w:color="auto"/>
        <w:right w:val="none" w:sz="0" w:space="0" w:color="auto"/>
      </w:divBdr>
    </w:div>
    <w:div w:id="440413541">
      <w:bodyDiv w:val="1"/>
      <w:marLeft w:val="0"/>
      <w:marRight w:val="0"/>
      <w:marTop w:val="0"/>
      <w:marBottom w:val="0"/>
      <w:divBdr>
        <w:top w:val="none" w:sz="0" w:space="0" w:color="auto"/>
        <w:left w:val="none" w:sz="0" w:space="0" w:color="auto"/>
        <w:bottom w:val="none" w:sz="0" w:space="0" w:color="auto"/>
        <w:right w:val="none" w:sz="0" w:space="0" w:color="auto"/>
      </w:divBdr>
    </w:div>
    <w:div w:id="440995032">
      <w:bodyDiv w:val="1"/>
      <w:marLeft w:val="0"/>
      <w:marRight w:val="0"/>
      <w:marTop w:val="0"/>
      <w:marBottom w:val="0"/>
      <w:divBdr>
        <w:top w:val="none" w:sz="0" w:space="0" w:color="auto"/>
        <w:left w:val="none" w:sz="0" w:space="0" w:color="auto"/>
        <w:bottom w:val="none" w:sz="0" w:space="0" w:color="auto"/>
        <w:right w:val="none" w:sz="0" w:space="0" w:color="auto"/>
      </w:divBdr>
    </w:div>
    <w:div w:id="448283433">
      <w:bodyDiv w:val="1"/>
      <w:marLeft w:val="0"/>
      <w:marRight w:val="0"/>
      <w:marTop w:val="0"/>
      <w:marBottom w:val="0"/>
      <w:divBdr>
        <w:top w:val="none" w:sz="0" w:space="0" w:color="auto"/>
        <w:left w:val="none" w:sz="0" w:space="0" w:color="auto"/>
        <w:bottom w:val="none" w:sz="0" w:space="0" w:color="auto"/>
        <w:right w:val="none" w:sz="0" w:space="0" w:color="auto"/>
      </w:divBdr>
    </w:div>
    <w:div w:id="450322547">
      <w:bodyDiv w:val="1"/>
      <w:marLeft w:val="0"/>
      <w:marRight w:val="0"/>
      <w:marTop w:val="0"/>
      <w:marBottom w:val="0"/>
      <w:divBdr>
        <w:top w:val="none" w:sz="0" w:space="0" w:color="auto"/>
        <w:left w:val="none" w:sz="0" w:space="0" w:color="auto"/>
        <w:bottom w:val="none" w:sz="0" w:space="0" w:color="auto"/>
        <w:right w:val="none" w:sz="0" w:space="0" w:color="auto"/>
      </w:divBdr>
    </w:div>
    <w:div w:id="452099890">
      <w:bodyDiv w:val="1"/>
      <w:marLeft w:val="0"/>
      <w:marRight w:val="0"/>
      <w:marTop w:val="0"/>
      <w:marBottom w:val="0"/>
      <w:divBdr>
        <w:top w:val="none" w:sz="0" w:space="0" w:color="auto"/>
        <w:left w:val="none" w:sz="0" w:space="0" w:color="auto"/>
        <w:bottom w:val="none" w:sz="0" w:space="0" w:color="auto"/>
        <w:right w:val="none" w:sz="0" w:space="0" w:color="auto"/>
      </w:divBdr>
    </w:div>
    <w:div w:id="453646181">
      <w:bodyDiv w:val="1"/>
      <w:marLeft w:val="0"/>
      <w:marRight w:val="0"/>
      <w:marTop w:val="0"/>
      <w:marBottom w:val="0"/>
      <w:divBdr>
        <w:top w:val="none" w:sz="0" w:space="0" w:color="auto"/>
        <w:left w:val="none" w:sz="0" w:space="0" w:color="auto"/>
        <w:bottom w:val="none" w:sz="0" w:space="0" w:color="auto"/>
        <w:right w:val="none" w:sz="0" w:space="0" w:color="auto"/>
      </w:divBdr>
    </w:div>
    <w:div w:id="461660045">
      <w:bodyDiv w:val="1"/>
      <w:marLeft w:val="0"/>
      <w:marRight w:val="0"/>
      <w:marTop w:val="0"/>
      <w:marBottom w:val="0"/>
      <w:divBdr>
        <w:top w:val="none" w:sz="0" w:space="0" w:color="auto"/>
        <w:left w:val="none" w:sz="0" w:space="0" w:color="auto"/>
        <w:bottom w:val="none" w:sz="0" w:space="0" w:color="auto"/>
        <w:right w:val="none" w:sz="0" w:space="0" w:color="auto"/>
      </w:divBdr>
    </w:div>
    <w:div w:id="462504817">
      <w:bodyDiv w:val="1"/>
      <w:marLeft w:val="0"/>
      <w:marRight w:val="0"/>
      <w:marTop w:val="0"/>
      <w:marBottom w:val="0"/>
      <w:divBdr>
        <w:top w:val="none" w:sz="0" w:space="0" w:color="auto"/>
        <w:left w:val="none" w:sz="0" w:space="0" w:color="auto"/>
        <w:bottom w:val="none" w:sz="0" w:space="0" w:color="auto"/>
        <w:right w:val="none" w:sz="0" w:space="0" w:color="auto"/>
      </w:divBdr>
    </w:div>
    <w:div w:id="465467989">
      <w:bodyDiv w:val="1"/>
      <w:marLeft w:val="0"/>
      <w:marRight w:val="0"/>
      <w:marTop w:val="0"/>
      <w:marBottom w:val="0"/>
      <w:divBdr>
        <w:top w:val="none" w:sz="0" w:space="0" w:color="auto"/>
        <w:left w:val="none" w:sz="0" w:space="0" w:color="auto"/>
        <w:bottom w:val="none" w:sz="0" w:space="0" w:color="auto"/>
        <w:right w:val="none" w:sz="0" w:space="0" w:color="auto"/>
      </w:divBdr>
    </w:div>
    <w:div w:id="468593361">
      <w:bodyDiv w:val="1"/>
      <w:marLeft w:val="0"/>
      <w:marRight w:val="0"/>
      <w:marTop w:val="0"/>
      <w:marBottom w:val="0"/>
      <w:divBdr>
        <w:top w:val="none" w:sz="0" w:space="0" w:color="auto"/>
        <w:left w:val="none" w:sz="0" w:space="0" w:color="auto"/>
        <w:bottom w:val="none" w:sz="0" w:space="0" w:color="auto"/>
        <w:right w:val="none" w:sz="0" w:space="0" w:color="auto"/>
      </w:divBdr>
    </w:div>
    <w:div w:id="469713817">
      <w:bodyDiv w:val="1"/>
      <w:marLeft w:val="0"/>
      <w:marRight w:val="0"/>
      <w:marTop w:val="0"/>
      <w:marBottom w:val="0"/>
      <w:divBdr>
        <w:top w:val="none" w:sz="0" w:space="0" w:color="auto"/>
        <w:left w:val="none" w:sz="0" w:space="0" w:color="auto"/>
        <w:bottom w:val="none" w:sz="0" w:space="0" w:color="auto"/>
        <w:right w:val="none" w:sz="0" w:space="0" w:color="auto"/>
      </w:divBdr>
    </w:div>
    <w:div w:id="472407931">
      <w:bodyDiv w:val="1"/>
      <w:marLeft w:val="0"/>
      <w:marRight w:val="0"/>
      <w:marTop w:val="0"/>
      <w:marBottom w:val="0"/>
      <w:divBdr>
        <w:top w:val="none" w:sz="0" w:space="0" w:color="auto"/>
        <w:left w:val="none" w:sz="0" w:space="0" w:color="auto"/>
        <w:bottom w:val="none" w:sz="0" w:space="0" w:color="auto"/>
        <w:right w:val="none" w:sz="0" w:space="0" w:color="auto"/>
      </w:divBdr>
    </w:div>
    <w:div w:id="475492424">
      <w:bodyDiv w:val="1"/>
      <w:marLeft w:val="0"/>
      <w:marRight w:val="0"/>
      <w:marTop w:val="0"/>
      <w:marBottom w:val="0"/>
      <w:divBdr>
        <w:top w:val="none" w:sz="0" w:space="0" w:color="auto"/>
        <w:left w:val="none" w:sz="0" w:space="0" w:color="auto"/>
        <w:bottom w:val="none" w:sz="0" w:space="0" w:color="auto"/>
        <w:right w:val="none" w:sz="0" w:space="0" w:color="auto"/>
      </w:divBdr>
    </w:div>
    <w:div w:id="484394462">
      <w:bodyDiv w:val="1"/>
      <w:marLeft w:val="0"/>
      <w:marRight w:val="0"/>
      <w:marTop w:val="0"/>
      <w:marBottom w:val="0"/>
      <w:divBdr>
        <w:top w:val="none" w:sz="0" w:space="0" w:color="auto"/>
        <w:left w:val="none" w:sz="0" w:space="0" w:color="auto"/>
        <w:bottom w:val="none" w:sz="0" w:space="0" w:color="auto"/>
        <w:right w:val="none" w:sz="0" w:space="0" w:color="auto"/>
      </w:divBdr>
    </w:div>
    <w:div w:id="487094099">
      <w:bodyDiv w:val="1"/>
      <w:marLeft w:val="0"/>
      <w:marRight w:val="0"/>
      <w:marTop w:val="0"/>
      <w:marBottom w:val="0"/>
      <w:divBdr>
        <w:top w:val="none" w:sz="0" w:space="0" w:color="auto"/>
        <w:left w:val="none" w:sz="0" w:space="0" w:color="auto"/>
        <w:bottom w:val="none" w:sz="0" w:space="0" w:color="auto"/>
        <w:right w:val="none" w:sz="0" w:space="0" w:color="auto"/>
      </w:divBdr>
    </w:div>
    <w:div w:id="491529891">
      <w:bodyDiv w:val="1"/>
      <w:marLeft w:val="0"/>
      <w:marRight w:val="0"/>
      <w:marTop w:val="0"/>
      <w:marBottom w:val="0"/>
      <w:divBdr>
        <w:top w:val="none" w:sz="0" w:space="0" w:color="auto"/>
        <w:left w:val="none" w:sz="0" w:space="0" w:color="auto"/>
        <w:bottom w:val="none" w:sz="0" w:space="0" w:color="auto"/>
        <w:right w:val="none" w:sz="0" w:space="0" w:color="auto"/>
      </w:divBdr>
    </w:div>
    <w:div w:id="498274177">
      <w:bodyDiv w:val="1"/>
      <w:marLeft w:val="0"/>
      <w:marRight w:val="0"/>
      <w:marTop w:val="0"/>
      <w:marBottom w:val="0"/>
      <w:divBdr>
        <w:top w:val="none" w:sz="0" w:space="0" w:color="auto"/>
        <w:left w:val="none" w:sz="0" w:space="0" w:color="auto"/>
        <w:bottom w:val="none" w:sz="0" w:space="0" w:color="auto"/>
        <w:right w:val="none" w:sz="0" w:space="0" w:color="auto"/>
      </w:divBdr>
    </w:div>
    <w:div w:id="501699448">
      <w:bodyDiv w:val="1"/>
      <w:marLeft w:val="0"/>
      <w:marRight w:val="0"/>
      <w:marTop w:val="0"/>
      <w:marBottom w:val="0"/>
      <w:divBdr>
        <w:top w:val="none" w:sz="0" w:space="0" w:color="auto"/>
        <w:left w:val="none" w:sz="0" w:space="0" w:color="auto"/>
        <w:bottom w:val="none" w:sz="0" w:space="0" w:color="auto"/>
        <w:right w:val="none" w:sz="0" w:space="0" w:color="auto"/>
      </w:divBdr>
    </w:div>
    <w:div w:id="524826580">
      <w:bodyDiv w:val="1"/>
      <w:marLeft w:val="0"/>
      <w:marRight w:val="0"/>
      <w:marTop w:val="0"/>
      <w:marBottom w:val="0"/>
      <w:divBdr>
        <w:top w:val="none" w:sz="0" w:space="0" w:color="auto"/>
        <w:left w:val="none" w:sz="0" w:space="0" w:color="auto"/>
        <w:bottom w:val="none" w:sz="0" w:space="0" w:color="auto"/>
        <w:right w:val="none" w:sz="0" w:space="0" w:color="auto"/>
      </w:divBdr>
    </w:div>
    <w:div w:id="530537982">
      <w:bodyDiv w:val="1"/>
      <w:marLeft w:val="0"/>
      <w:marRight w:val="0"/>
      <w:marTop w:val="0"/>
      <w:marBottom w:val="0"/>
      <w:divBdr>
        <w:top w:val="none" w:sz="0" w:space="0" w:color="auto"/>
        <w:left w:val="none" w:sz="0" w:space="0" w:color="auto"/>
        <w:bottom w:val="none" w:sz="0" w:space="0" w:color="auto"/>
        <w:right w:val="none" w:sz="0" w:space="0" w:color="auto"/>
      </w:divBdr>
    </w:div>
    <w:div w:id="539320556">
      <w:bodyDiv w:val="1"/>
      <w:marLeft w:val="0"/>
      <w:marRight w:val="0"/>
      <w:marTop w:val="0"/>
      <w:marBottom w:val="0"/>
      <w:divBdr>
        <w:top w:val="none" w:sz="0" w:space="0" w:color="auto"/>
        <w:left w:val="none" w:sz="0" w:space="0" w:color="auto"/>
        <w:bottom w:val="none" w:sz="0" w:space="0" w:color="auto"/>
        <w:right w:val="none" w:sz="0" w:space="0" w:color="auto"/>
      </w:divBdr>
    </w:div>
    <w:div w:id="549607719">
      <w:bodyDiv w:val="1"/>
      <w:marLeft w:val="0"/>
      <w:marRight w:val="0"/>
      <w:marTop w:val="0"/>
      <w:marBottom w:val="0"/>
      <w:divBdr>
        <w:top w:val="none" w:sz="0" w:space="0" w:color="auto"/>
        <w:left w:val="none" w:sz="0" w:space="0" w:color="auto"/>
        <w:bottom w:val="none" w:sz="0" w:space="0" w:color="auto"/>
        <w:right w:val="none" w:sz="0" w:space="0" w:color="auto"/>
      </w:divBdr>
    </w:div>
    <w:div w:id="557012660">
      <w:bodyDiv w:val="1"/>
      <w:marLeft w:val="0"/>
      <w:marRight w:val="0"/>
      <w:marTop w:val="0"/>
      <w:marBottom w:val="0"/>
      <w:divBdr>
        <w:top w:val="none" w:sz="0" w:space="0" w:color="auto"/>
        <w:left w:val="none" w:sz="0" w:space="0" w:color="auto"/>
        <w:bottom w:val="none" w:sz="0" w:space="0" w:color="auto"/>
        <w:right w:val="none" w:sz="0" w:space="0" w:color="auto"/>
      </w:divBdr>
    </w:div>
    <w:div w:id="561674042">
      <w:bodyDiv w:val="1"/>
      <w:marLeft w:val="0"/>
      <w:marRight w:val="0"/>
      <w:marTop w:val="0"/>
      <w:marBottom w:val="0"/>
      <w:divBdr>
        <w:top w:val="none" w:sz="0" w:space="0" w:color="auto"/>
        <w:left w:val="none" w:sz="0" w:space="0" w:color="auto"/>
        <w:bottom w:val="none" w:sz="0" w:space="0" w:color="auto"/>
        <w:right w:val="none" w:sz="0" w:space="0" w:color="auto"/>
      </w:divBdr>
    </w:div>
    <w:div w:id="561715103">
      <w:bodyDiv w:val="1"/>
      <w:marLeft w:val="0"/>
      <w:marRight w:val="0"/>
      <w:marTop w:val="0"/>
      <w:marBottom w:val="0"/>
      <w:divBdr>
        <w:top w:val="none" w:sz="0" w:space="0" w:color="auto"/>
        <w:left w:val="none" w:sz="0" w:space="0" w:color="auto"/>
        <w:bottom w:val="none" w:sz="0" w:space="0" w:color="auto"/>
        <w:right w:val="none" w:sz="0" w:space="0" w:color="auto"/>
      </w:divBdr>
    </w:div>
    <w:div w:id="564878599">
      <w:bodyDiv w:val="1"/>
      <w:marLeft w:val="0"/>
      <w:marRight w:val="0"/>
      <w:marTop w:val="0"/>
      <w:marBottom w:val="0"/>
      <w:divBdr>
        <w:top w:val="none" w:sz="0" w:space="0" w:color="auto"/>
        <w:left w:val="none" w:sz="0" w:space="0" w:color="auto"/>
        <w:bottom w:val="none" w:sz="0" w:space="0" w:color="auto"/>
        <w:right w:val="none" w:sz="0" w:space="0" w:color="auto"/>
      </w:divBdr>
    </w:div>
    <w:div w:id="572473160">
      <w:bodyDiv w:val="1"/>
      <w:marLeft w:val="0"/>
      <w:marRight w:val="0"/>
      <w:marTop w:val="0"/>
      <w:marBottom w:val="0"/>
      <w:divBdr>
        <w:top w:val="none" w:sz="0" w:space="0" w:color="auto"/>
        <w:left w:val="none" w:sz="0" w:space="0" w:color="auto"/>
        <w:bottom w:val="none" w:sz="0" w:space="0" w:color="auto"/>
        <w:right w:val="none" w:sz="0" w:space="0" w:color="auto"/>
      </w:divBdr>
    </w:div>
    <w:div w:id="592711726">
      <w:bodyDiv w:val="1"/>
      <w:marLeft w:val="0"/>
      <w:marRight w:val="0"/>
      <w:marTop w:val="0"/>
      <w:marBottom w:val="0"/>
      <w:divBdr>
        <w:top w:val="none" w:sz="0" w:space="0" w:color="auto"/>
        <w:left w:val="none" w:sz="0" w:space="0" w:color="auto"/>
        <w:bottom w:val="none" w:sz="0" w:space="0" w:color="auto"/>
        <w:right w:val="none" w:sz="0" w:space="0" w:color="auto"/>
      </w:divBdr>
    </w:div>
    <w:div w:id="600837639">
      <w:bodyDiv w:val="1"/>
      <w:marLeft w:val="0"/>
      <w:marRight w:val="0"/>
      <w:marTop w:val="0"/>
      <w:marBottom w:val="0"/>
      <w:divBdr>
        <w:top w:val="none" w:sz="0" w:space="0" w:color="auto"/>
        <w:left w:val="none" w:sz="0" w:space="0" w:color="auto"/>
        <w:bottom w:val="none" w:sz="0" w:space="0" w:color="auto"/>
        <w:right w:val="none" w:sz="0" w:space="0" w:color="auto"/>
      </w:divBdr>
    </w:div>
    <w:div w:id="625507360">
      <w:bodyDiv w:val="1"/>
      <w:marLeft w:val="0"/>
      <w:marRight w:val="0"/>
      <w:marTop w:val="0"/>
      <w:marBottom w:val="0"/>
      <w:divBdr>
        <w:top w:val="none" w:sz="0" w:space="0" w:color="auto"/>
        <w:left w:val="none" w:sz="0" w:space="0" w:color="auto"/>
        <w:bottom w:val="none" w:sz="0" w:space="0" w:color="auto"/>
        <w:right w:val="none" w:sz="0" w:space="0" w:color="auto"/>
      </w:divBdr>
    </w:div>
    <w:div w:id="627665738">
      <w:bodyDiv w:val="1"/>
      <w:marLeft w:val="0"/>
      <w:marRight w:val="0"/>
      <w:marTop w:val="0"/>
      <w:marBottom w:val="0"/>
      <w:divBdr>
        <w:top w:val="none" w:sz="0" w:space="0" w:color="auto"/>
        <w:left w:val="none" w:sz="0" w:space="0" w:color="auto"/>
        <w:bottom w:val="none" w:sz="0" w:space="0" w:color="auto"/>
        <w:right w:val="none" w:sz="0" w:space="0" w:color="auto"/>
      </w:divBdr>
    </w:div>
    <w:div w:id="627709401">
      <w:bodyDiv w:val="1"/>
      <w:marLeft w:val="0"/>
      <w:marRight w:val="0"/>
      <w:marTop w:val="0"/>
      <w:marBottom w:val="0"/>
      <w:divBdr>
        <w:top w:val="none" w:sz="0" w:space="0" w:color="auto"/>
        <w:left w:val="none" w:sz="0" w:space="0" w:color="auto"/>
        <w:bottom w:val="none" w:sz="0" w:space="0" w:color="auto"/>
        <w:right w:val="none" w:sz="0" w:space="0" w:color="auto"/>
      </w:divBdr>
    </w:div>
    <w:div w:id="630479981">
      <w:bodyDiv w:val="1"/>
      <w:marLeft w:val="0"/>
      <w:marRight w:val="0"/>
      <w:marTop w:val="0"/>
      <w:marBottom w:val="0"/>
      <w:divBdr>
        <w:top w:val="none" w:sz="0" w:space="0" w:color="auto"/>
        <w:left w:val="none" w:sz="0" w:space="0" w:color="auto"/>
        <w:bottom w:val="none" w:sz="0" w:space="0" w:color="auto"/>
        <w:right w:val="none" w:sz="0" w:space="0" w:color="auto"/>
      </w:divBdr>
    </w:div>
    <w:div w:id="631138764">
      <w:bodyDiv w:val="1"/>
      <w:marLeft w:val="0"/>
      <w:marRight w:val="0"/>
      <w:marTop w:val="0"/>
      <w:marBottom w:val="0"/>
      <w:divBdr>
        <w:top w:val="none" w:sz="0" w:space="0" w:color="auto"/>
        <w:left w:val="none" w:sz="0" w:space="0" w:color="auto"/>
        <w:bottom w:val="none" w:sz="0" w:space="0" w:color="auto"/>
        <w:right w:val="none" w:sz="0" w:space="0" w:color="auto"/>
      </w:divBdr>
    </w:div>
    <w:div w:id="633289330">
      <w:bodyDiv w:val="1"/>
      <w:marLeft w:val="0"/>
      <w:marRight w:val="0"/>
      <w:marTop w:val="0"/>
      <w:marBottom w:val="0"/>
      <w:divBdr>
        <w:top w:val="none" w:sz="0" w:space="0" w:color="auto"/>
        <w:left w:val="none" w:sz="0" w:space="0" w:color="auto"/>
        <w:bottom w:val="none" w:sz="0" w:space="0" w:color="auto"/>
        <w:right w:val="none" w:sz="0" w:space="0" w:color="auto"/>
      </w:divBdr>
    </w:div>
    <w:div w:id="640040477">
      <w:bodyDiv w:val="1"/>
      <w:marLeft w:val="0"/>
      <w:marRight w:val="0"/>
      <w:marTop w:val="0"/>
      <w:marBottom w:val="0"/>
      <w:divBdr>
        <w:top w:val="none" w:sz="0" w:space="0" w:color="auto"/>
        <w:left w:val="none" w:sz="0" w:space="0" w:color="auto"/>
        <w:bottom w:val="none" w:sz="0" w:space="0" w:color="auto"/>
        <w:right w:val="none" w:sz="0" w:space="0" w:color="auto"/>
      </w:divBdr>
    </w:div>
    <w:div w:id="643391887">
      <w:bodyDiv w:val="1"/>
      <w:marLeft w:val="0"/>
      <w:marRight w:val="0"/>
      <w:marTop w:val="0"/>
      <w:marBottom w:val="0"/>
      <w:divBdr>
        <w:top w:val="none" w:sz="0" w:space="0" w:color="auto"/>
        <w:left w:val="none" w:sz="0" w:space="0" w:color="auto"/>
        <w:bottom w:val="none" w:sz="0" w:space="0" w:color="auto"/>
        <w:right w:val="none" w:sz="0" w:space="0" w:color="auto"/>
      </w:divBdr>
    </w:div>
    <w:div w:id="647787542">
      <w:bodyDiv w:val="1"/>
      <w:marLeft w:val="0"/>
      <w:marRight w:val="0"/>
      <w:marTop w:val="0"/>
      <w:marBottom w:val="0"/>
      <w:divBdr>
        <w:top w:val="none" w:sz="0" w:space="0" w:color="auto"/>
        <w:left w:val="none" w:sz="0" w:space="0" w:color="auto"/>
        <w:bottom w:val="none" w:sz="0" w:space="0" w:color="auto"/>
        <w:right w:val="none" w:sz="0" w:space="0" w:color="auto"/>
      </w:divBdr>
    </w:div>
    <w:div w:id="653678239">
      <w:bodyDiv w:val="1"/>
      <w:marLeft w:val="0"/>
      <w:marRight w:val="0"/>
      <w:marTop w:val="0"/>
      <w:marBottom w:val="0"/>
      <w:divBdr>
        <w:top w:val="none" w:sz="0" w:space="0" w:color="auto"/>
        <w:left w:val="none" w:sz="0" w:space="0" w:color="auto"/>
        <w:bottom w:val="none" w:sz="0" w:space="0" w:color="auto"/>
        <w:right w:val="none" w:sz="0" w:space="0" w:color="auto"/>
      </w:divBdr>
      <w:divsChild>
        <w:div w:id="129833366">
          <w:marLeft w:val="0"/>
          <w:marRight w:val="0"/>
          <w:marTop w:val="0"/>
          <w:marBottom w:val="0"/>
          <w:divBdr>
            <w:top w:val="none" w:sz="0" w:space="0" w:color="auto"/>
            <w:left w:val="none" w:sz="0" w:space="0" w:color="auto"/>
            <w:bottom w:val="none" w:sz="0" w:space="0" w:color="auto"/>
            <w:right w:val="none" w:sz="0" w:space="0" w:color="auto"/>
          </w:divBdr>
          <w:divsChild>
            <w:div w:id="72163350">
              <w:marLeft w:val="0"/>
              <w:marRight w:val="0"/>
              <w:marTop w:val="0"/>
              <w:marBottom w:val="0"/>
              <w:divBdr>
                <w:top w:val="none" w:sz="0" w:space="0" w:color="auto"/>
                <w:left w:val="none" w:sz="0" w:space="0" w:color="auto"/>
                <w:bottom w:val="none" w:sz="0" w:space="0" w:color="auto"/>
                <w:right w:val="none" w:sz="0" w:space="0" w:color="auto"/>
              </w:divBdr>
              <w:divsChild>
                <w:div w:id="1806700245">
                  <w:marLeft w:val="0"/>
                  <w:marRight w:val="0"/>
                  <w:marTop w:val="0"/>
                  <w:marBottom w:val="0"/>
                  <w:divBdr>
                    <w:top w:val="none" w:sz="0" w:space="0" w:color="auto"/>
                    <w:left w:val="none" w:sz="0" w:space="0" w:color="auto"/>
                    <w:bottom w:val="none" w:sz="0" w:space="0" w:color="auto"/>
                    <w:right w:val="none" w:sz="0" w:space="0" w:color="auto"/>
                  </w:divBdr>
                  <w:divsChild>
                    <w:div w:id="1700662412">
                      <w:marLeft w:val="0"/>
                      <w:marRight w:val="0"/>
                      <w:marTop w:val="0"/>
                      <w:marBottom w:val="0"/>
                      <w:divBdr>
                        <w:top w:val="none" w:sz="0" w:space="0" w:color="auto"/>
                        <w:left w:val="none" w:sz="0" w:space="0" w:color="auto"/>
                        <w:bottom w:val="none" w:sz="0" w:space="0" w:color="auto"/>
                        <w:right w:val="none" w:sz="0" w:space="0" w:color="auto"/>
                      </w:divBdr>
                      <w:divsChild>
                        <w:div w:id="1797945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65209376">
      <w:bodyDiv w:val="1"/>
      <w:marLeft w:val="0"/>
      <w:marRight w:val="0"/>
      <w:marTop w:val="0"/>
      <w:marBottom w:val="0"/>
      <w:divBdr>
        <w:top w:val="none" w:sz="0" w:space="0" w:color="auto"/>
        <w:left w:val="none" w:sz="0" w:space="0" w:color="auto"/>
        <w:bottom w:val="none" w:sz="0" w:space="0" w:color="auto"/>
        <w:right w:val="none" w:sz="0" w:space="0" w:color="auto"/>
      </w:divBdr>
    </w:div>
    <w:div w:id="675571701">
      <w:bodyDiv w:val="1"/>
      <w:marLeft w:val="0"/>
      <w:marRight w:val="0"/>
      <w:marTop w:val="0"/>
      <w:marBottom w:val="0"/>
      <w:divBdr>
        <w:top w:val="none" w:sz="0" w:space="0" w:color="auto"/>
        <w:left w:val="none" w:sz="0" w:space="0" w:color="auto"/>
        <w:bottom w:val="none" w:sz="0" w:space="0" w:color="auto"/>
        <w:right w:val="none" w:sz="0" w:space="0" w:color="auto"/>
      </w:divBdr>
    </w:div>
    <w:div w:id="677654976">
      <w:bodyDiv w:val="1"/>
      <w:marLeft w:val="0"/>
      <w:marRight w:val="0"/>
      <w:marTop w:val="0"/>
      <w:marBottom w:val="0"/>
      <w:divBdr>
        <w:top w:val="none" w:sz="0" w:space="0" w:color="auto"/>
        <w:left w:val="none" w:sz="0" w:space="0" w:color="auto"/>
        <w:bottom w:val="none" w:sz="0" w:space="0" w:color="auto"/>
        <w:right w:val="none" w:sz="0" w:space="0" w:color="auto"/>
      </w:divBdr>
    </w:div>
    <w:div w:id="679351638">
      <w:bodyDiv w:val="1"/>
      <w:marLeft w:val="0"/>
      <w:marRight w:val="0"/>
      <w:marTop w:val="0"/>
      <w:marBottom w:val="0"/>
      <w:divBdr>
        <w:top w:val="none" w:sz="0" w:space="0" w:color="auto"/>
        <w:left w:val="none" w:sz="0" w:space="0" w:color="auto"/>
        <w:bottom w:val="none" w:sz="0" w:space="0" w:color="auto"/>
        <w:right w:val="none" w:sz="0" w:space="0" w:color="auto"/>
      </w:divBdr>
    </w:div>
    <w:div w:id="683821038">
      <w:bodyDiv w:val="1"/>
      <w:marLeft w:val="0"/>
      <w:marRight w:val="0"/>
      <w:marTop w:val="0"/>
      <w:marBottom w:val="0"/>
      <w:divBdr>
        <w:top w:val="none" w:sz="0" w:space="0" w:color="auto"/>
        <w:left w:val="none" w:sz="0" w:space="0" w:color="auto"/>
        <w:bottom w:val="none" w:sz="0" w:space="0" w:color="auto"/>
        <w:right w:val="none" w:sz="0" w:space="0" w:color="auto"/>
      </w:divBdr>
    </w:div>
    <w:div w:id="684019641">
      <w:bodyDiv w:val="1"/>
      <w:marLeft w:val="0"/>
      <w:marRight w:val="0"/>
      <w:marTop w:val="0"/>
      <w:marBottom w:val="0"/>
      <w:divBdr>
        <w:top w:val="none" w:sz="0" w:space="0" w:color="auto"/>
        <w:left w:val="none" w:sz="0" w:space="0" w:color="auto"/>
        <w:bottom w:val="none" w:sz="0" w:space="0" w:color="auto"/>
        <w:right w:val="none" w:sz="0" w:space="0" w:color="auto"/>
      </w:divBdr>
    </w:div>
    <w:div w:id="688259553">
      <w:bodyDiv w:val="1"/>
      <w:marLeft w:val="0"/>
      <w:marRight w:val="0"/>
      <w:marTop w:val="0"/>
      <w:marBottom w:val="0"/>
      <w:divBdr>
        <w:top w:val="none" w:sz="0" w:space="0" w:color="auto"/>
        <w:left w:val="none" w:sz="0" w:space="0" w:color="auto"/>
        <w:bottom w:val="none" w:sz="0" w:space="0" w:color="auto"/>
        <w:right w:val="none" w:sz="0" w:space="0" w:color="auto"/>
      </w:divBdr>
    </w:div>
    <w:div w:id="697582033">
      <w:bodyDiv w:val="1"/>
      <w:marLeft w:val="0"/>
      <w:marRight w:val="0"/>
      <w:marTop w:val="0"/>
      <w:marBottom w:val="0"/>
      <w:divBdr>
        <w:top w:val="none" w:sz="0" w:space="0" w:color="auto"/>
        <w:left w:val="none" w:sz="0" w:space="0" w:color="auto"/>
        <w:bottom w:val="none" w:sz="0" w:space="0" w:color="auto"/>
        <w:right w:val="none" w:sz="0" w:space="0" w:color="auto"/>
      </w:divBdr>
    </w:div>
    <w:div w:id="712777892">
      <w:bodyDiv w:val="1"/>
      <w:marLeft w:val="0"/>
      <w:marRight w:val="0"/>
      <w:marTop w:val="0"/>
      <w:marBottom w:val="0"/>
      <w:divBdr>
        <w:top w:val="none" w:sz="0" w:space="0" w:color="auto"/>
        <w:left w:val="none" w:sz="0" w:space="0" w:color="auto"/>
        <w:bottom w:val="none" w:sz="0" w:space="0" w:color="auto"/>
        <w:right w:val="none" w:sz="0" w:space="0" w:color="auto"/>
      </w:divBdr>
    </w:div>
    <w:div w:id="722215836">
      <w:bodyDiv w:val="1"/>
      <w:marLeft w:val="0"/>
      <w:marRight w:val="0"/>
      <w:marTop w:val="0"/>
      <w:marBottom w:val="0"/>
      <w:divBdr>
        <w:top w:val="none" w:sz="0" w:space="0" w:color="auto"/>
        <w:left w:val="none" w:sz="0" w:space="0" w:color="auto"/>
        <w:bottom w:val="none" w:sz="0" w:space="0" w:color="auto"/>
        <w:right w:val="none" w:sz="0" w:space="0" w:color="auto"/>
      </w:divBdr>
    </w:div>
    <w:div w:id="724185224">
      <w:bodyDiv w:val="1"/>
      <w:marLeft w:val="0"/>
      <w:marRight w:val="0"/>
      <w:marTop w:val="0"/>
      <w:marBottom w:val="0"/>
      <w:divBdr>
        <w:top w:val="none" w:sz="0" w:space="0" w:color="auto"/>
        <w:left w:val="none" w:sz="0" w:space="0" w:color="auto"/>
        <w:bottom w:val="none" w:sz="0" w:space="0" w:color="auto"/>
        <w:right w:val="none" w:sz="0" w:space="0" w:color="auto"/>
      </w:divBdr>
    </w:div>
    <w:div w:id="727608462">
      <w:bodyDiv w:val="1"/>
      <w:marLeft w:val="0"/>
      <w:marRight w:val="0"/>
      <w:marTop w:val="0"/>
      <w:marBottom w:val="0"/>
      <w:divBdr>
        <w:top w:val="none" w:sz="0" w:space="0" w:color="auto"/>
        <w:left w:val="none" w:sz="0" w:space="0" w:color="auto"/>
        <w:bottom w:val="none" w:sz="0" w:space="0" w:color="auto"/>
        <w:right w:val="none" w:sz="0" w:space="0" w:color="auto"/>
      </w:divBdr>
    </w:div>
    <w:div w:id="731584841">
      <w:bodyDiv w:val="1"/>
      <w:marLeft w:val="0"/>
      <w:marRight w:val="0"/>
      <w:marTop w:val="0"/>
      <w:marBottom w:val="0"/>
      <w:divBdr>
        <w:top w:val="none" w:sz="0" w:space="0" w:color="auto"/>
        <w:left w:val="none" w:sz="0" w:space="0" w:color="auto"/>
        <w:bottom w:val="none" w:sz="0" w:space="0" w:color="auto"/>
        <w:right w:val="none" w:sz="0" w:space="0" w:color="auto"/>
      </w:divBdr>
    </w:div>
    <w:div w:id="734623378">
      <w:bodyDiv w:val="1"/>
      <w:marLeft w:val="0"/>
      <w:marRight w:val="0"/>
      <w:marTop w:val="0"/>
      <w:marBottom w:val="0"/>
      <w:divBdr>
        <w:top w:val="none" w:sz="0" w:space="0" w:color="auto"/>
        <w:left w:val="none" w:sz="0" w:space="0" w:color="auto"/>
        <w:bottom w:val="none" w:sz="0" w:space="0" w:color="auto"/>
        <w:right w:val="none" w:sz="0" w:space="0" w:color="auto"/>
      </w:divBdr>
    </w:div>
    <w:div w:id="736510427">
      <w:bodyDiv w:val="1"/>
      <w:marLeft w:val="0"/>
      <w:marRight w:val="0"/>
      <w:marTop w:val="0"/>
      <w:marBottom w:val="0"/>
      <w:divBdr>
        <w:top w:val="none" w:sz="0" w:space="0" w:color="auto"/>
        <w:left w:val="none" w:sz="0" w:space="0" w:color="auto"/>
        <w:bottom w:val="none" w:sz="0" w:space="0" w:color="auto"/>
        <w:right w:val="none" w:sz="0" w:space="0" w:color="auto"/>
      </w:divBdr>
    </w:div>
    <w:div w:id="742219204">
      <w:bodyDiv w:val="1"/>
      <w:marLeft w:val="0"/>
      <w:marRight w:val="0"/>
      <w:marTop w:val="0"/>
      <w:marBottom w:val="0"/>
      <w:divBdr>
        <w:top w:val="none" w:sz="0" w:space="0" w:color="auto"/>
        <w:left w:val="none" w:sz="0" w:space="0" w:color="auto"/>
        <w:bottom w:val="none" w:sz="0" w:space="0" w:color="auto"/>
        <w:right w:val="none" w:sz="0" w:space="0" w:color="auto"/>
      </w:divBdr>
    </w:div>
    <w:div w:id="755979063">
      <w:bodyDiv w:val="1"/>
      <w:marLeft w:val="0"/>
      <w:marRight w:val="0"/>
      <w:marTop w:val="0"/>
      <w:marBottom w:val="0"/>
      <w:divBdr>
        <w:top w:val="none" w:sz="0" w:space="0" w:color="auto"/>
        <w:left w:val="none" w:sz="0" w:space="0" w:color="auto"/>
        <w:bottom w:val="none" w:sz="0" w:space="0" w:color="auto"/>
        <w:right w:val="none" w:sz="0" w:space="0" w:color="auto"/>
      </w:divBdr>
    </w:div>
    <w:div w:id="757748159">
      <w:bodyDiv w:val="1"/>
      <w:marLeft w:val="0"/>
      <w:marRight w:val="0"/>
      <w:marTop w:val="0"/>
      <w:marBottom w:val="0"/>
      <w:divBdr>
        <w:top w:val="none" w:sz="0" w:space="0" w:color="auto"/>
        <w:left w:val="none" w:sz="0" w:space="0" w:color="auto"/>
        <w:bottom w:val="none" w:sz="0" w:space="0" w:color="auto"/>
        <w:right w:val="none" w:sz="0" w:space="0" w:color="auto"/>
      </w:divBdr>
    </w:div>
    <w:div w:id="758060322">
      <w:bodyDiv w:val="1"/>
      <w:marLeft w:val="0"/>
      <w:marRight w:val="0"/>
      <w:marTop w:val="0"/>
      <w:marBottom w:val="0"/>
      <w:divBdr>
        <w:top w:val="none" w:sz="0" w:space="0" w:color="auto"/>
        <w:left w:val="none" w:sz="0" w:space="0" w:color="auto"/>
        <w:bottom w:val="none" w:sz="0" w:space="0" w:color="auto"/>
        <w:right w:val="none" w:sz="0" w:space="0" w:color="auto"/>
      </w:divBdr>
    </w:div>
    <w:div w:id="763191672">
      <w:bodyDiv w:val="1"/>
      <w:marLeft w:val="0"/>
      <w:marRight w:val="0"/>
      <w:marTop w:val="0"/>
      <w:marBottom w:val="0"/>
      <w:divBdr>
        <w:top w:val="none" w:sz="0" w:space="0" w:color="auto"/>
        <w:left w:val="none" w:sz="0" w:space="0" w:color="auto"/>
        <w:bottom w:val="none" w:sz="0" w:space="0" w:color="auto"/>
        <w:right w:val="none" w:sz="0" w:space="0" w:color="auto"/>
      </w:divBdr>
    </w:div>
    <w:div w:id="767774378">
      <w:bodyDiv w:val="1"/>
      <w:marLeft w:val="0"/>
      <w:marRight w:val="0"/>
      <w:marTop w:val="0"/>
      <w:marBottom w:val="0"/>
      <w:divBdr>
        <w:top w:val="none" w:sz="0" w:space="0" w:color="auto"/>
        <w:left w:val="none" w:sz="0" w:space="0" w:color="auto"/>
        <w:bottom w:val="none" w:sz="0" w:space="0" w:color="auto"/>
        <w:right w:val="none" w:sz="0" w:space="0" w:color="auto"/>
      </w:divBdr>
    </w:div>
    <w:div w:id="792791251">
      <w:bodyDiv w:val="1"/>
      <w:marLeft w:val="0"/>
      <w:marRight w:val="0"/>
      <w:marTop w:val="0"/>
      <w:marBottom w:val="0"/>
      <w:divBdr>
        <w:top w:val="none" w:sz="0" w:space="0" w:color="auto"/>
        <w:left w:val="none" w:sz="0" w:space="0" w:color="auto"/>
        <w:bottom w:val="none" w:sz="0" w:space="0" w:color="auto"/>
        <w:right w:val="none" w:sz="0" w:space="0" w:color="auto"/>
      </w:divBdr>
    </w:div>
    <w:div w:id="818495541">
      <w:bodyDiv w:val="1"/>
      <w:marLeft w:val="0"/>
      <w:marRight w:val="0"/>
      <w:marTop w:val="0"/>
      <w:marBottom w:val="0"/>
      <w:divBdr>
        <w:top w:val="none" w:sz="0" w:space="0" w:color="auto"/>
        <w:left w:val="none" w:sz="0" w:space="0" w:color="auto"/>
        <w:bottom w:val="none" w:sz="0" w:space="0" w:color="auto"/>
        <w:right w:val="none" w:sz="0" w:space="0" w:color="auto"/>
      </w:divBdr>
    </w:div>
    <w:div w:id="823164768">
      <w:bodyDiv w:val="1"/>
      <w:marLeft w:val="0"/>
      <w:marRight w:val="0"/>
      <w:marTop w:val="0"/>
      <w:marBottom w:val="0"/>
      <w:divBdr>
        <w:top w:val="none" w:sz="0" w:space="0" w:color="auto"/>
        <w:left w:val="none" w:sz="0" w:space="0" w:color="auto"/>
        <w:bottom w:val="none" w:sz="0" w:space="0" w:color="auto"/>
        <w:right w:val="none" w:sz="0" w:space="0" w:color="auto"/>
      </w:divBdr>
    </w:div>
    <w:div w:id="828406337">
      <w:bodyDiv w:val="1"/>
      <w:marLeft w:val="0"/>
      <w:marRight w:val="0"/>
      <w:marTop w:val="0"/>
      <w:marBottom w:val="0"/>
      <w:divBdr>
        <w:top w:val="none" w:sz="0" w:space="0" w:color="auto"/>
        <w:left w:val="none" w:sz="0" w:space="0" w:color="auto"/>
        <w:bottom w:val="none" w:sz="0" w:space="0" w:color="auto"/>
        <w:right w:val="none" w:sz="0" w:space="0" w:color="auto"/>
      </w:divBdr>
    </w:div>
    <w:div w:id="829255520">
      <w:bodyDiv w:val="1"/>
      <w:marLeft w:val="0"/>
      <w:marRight w:val="0"/>
      <w:marTop w:val="0"/>
      <w:marBottom w:val="0"/>
      <w:divBdr>
        <w:top w:val="none" w:sz="0" w:space="0" w:color="auto"/>
        <w:left w:val="none" w:sz="0" w:space="0" w:color="auto"/>
        <w:bottom w:val="none" w:sz="0" w:space="0" w:color="auto"/>
        <w:right w:val="none" w:sz="0" w:space="0" w:color="auto"/>
      </w:divBdr>
    </w:div>
    <w:div w:id="830680406">
      <w:bodyDiv w:val="1"/>
      <w:marLeft w:val="0"/>
      <w:marRight w:val="0"/>
      <w:marTop w:val="0"/>
      <w:marBottom w:val="0"/>
      <w:divBdr>
        <w:top w:val="none" w:sz="0" w:space="0" w:color="auto"/>
        <w:left w:val="none" w:sz="0" w:space="0" w:color="auto"/>
        <w:bottom w:val="none" w:sz="0" w:space="0" w:color="auto"/>
        <w:right w:val="none" w:sz="0" w:space="0" w:color="auto"/>
      </w:divBdr>
    </w:div>
    <w:div w:id="843280191">
      <w:bodyDiv w:val="1"/>
      <w:marLeft w:val="0"/>
      <w:marRight w:val="0"/>
      <w:marTop w:val="0"/>
      <w:marBottom w:val="0"/>
      <w:divBdr>
        <w:top w:val="none" w:sz="0" w:space="0" w:color="auto"/>
        <w:left w:val="none" w:sz="0" w:space="0" w:color="auto"/>
        <w:bottom w:val="none" w:sz="0" w:space="0" w:color="auto"/>
        <w:right w:val="none" w:sz="0" w:space="0" w:color="auto"/>
      </w:divBdr>
    </w:div>
    <w:div w:id="853610079">
      <w:bodyDiv w:val="1"/>
      <w:marLeft w:val="0"/>
      <w:marRight w:val="0"/>
      <w:marTop w:val="0"/>
      <w:marBottom w:val="0"/>
      <w:divBdr>
        <w:top w:val="none" w:sz="0" w:space="0" w:color="auto"/>
        <w:left w:val="none" w:sz="0" w:space="0" w:color="auto"/>
        <w:bottom w:val="none" w:sz="0" w:space="0" w:color="auto"/>
        <w:right w:val="none" w:sz="0" w:space="0" w:color="auto"/>
      </w:divBdr>
    </w:div>
    <w:div w:id="860628744">
      <w:bodyDiv w:val="1"/>
      <w:marLeft w:val="0"/>
      <w:marRight w:val="0"/>
      <w:marTop w:val="0"/>
      <w:marBottom w:val="0"/>
      <w:divBdr>
        <w:top w:val="none" w:sz="0" w:space="0" w:color="auto"/>
        <w:left w:val="none" w:sz="0" w:space="0" w:color="auto"/>
        <w:bottom w:val="none" w:sz="0" w:space="0" w:color="auto"/>
        <w:right w:val="none" w:sz="0" w:space="0" w:color="auto"/>
      </w:divBdr>
    </w:div>
    <w:div w:id="860701244">
      <w:bodyDiv w:val="1"/>
      <w:marLeft w:val="0"/>
      <w:marRight w:val="0"/>
      <w:marTop w:val="0"/>
      <w:marBottom w:val="0"/>
      <w:divBdr>
        <w:top w:val="none" w:sz="0" w:space="0" w:color="auto"/>
        <w:left w:val="none" w:sz="0" w:space="0" w:color="auto"/>
        <w:bottom w:val="none" w:sz="0" w:space="0" w:color="auto"/>
        <w:right w:val="none" w:sz="0" w:space="0" w:color="auto"/>
      </w:divBdr>
    </w:div>
    <w:div w:id="865868600">
      <w:bodyDiv w:val="1"/>
      <w:marLeft w:val="0"/>
      <w:marRight w:val="0"/>
      <w:marTop w:val="0"/>
      <w:marBottom w:val="0"/>
      <w:divBdr>
        <w:top w:val="none" w:sz="0" w:space="0" w:color="auto"/>
        <w:left w:val="none" w:sz="0" w:space="0" w:color="auto"/>
        <w:bottom w:val="none" w:sz="0" w:space="0" w:color="auto"/>
        <w:right w:val="none" w:sz="0" w:space="0" w:color="auto"/>
      </w:divBdr>
    </w:div>
    <w:div w:id="883296314">
      <w:bodyDiv w:val="1"/>
      <w:marLeft w:val="0"/>
      <w:marRight w:val="0"/>
      <w:marTop w:val="0"/>
      <w:marBottom w:val="0"/>
      <w:divBdr>
        <w:top w:val="none" w:sz="0" w:space="0" w:color="auto"/>
        <w:left w:val="none" w:sz="0" w:space="0" w:color="auto"/>
        <w:bottom w:val="none" w:sz="0" w:space="0" w:color="auto"/>
        <w:right w:val="none" w:sz="0" w:space="0" w:color="auto"/>
      </w:divBdr>
    </w:div>
    <w:div w:id="885145956">
      <w:bodyDiv w:val="1"/>
      <w:marLeft w:val="0"/>
      <w:marRight w:val="0"/>
      <w:marTop w:val="0"/>
      <w:marBottom w:val="0"/>
      <w:divBdr>
        <w:top w:val="none" w:sz="0" w:space="0" w:color="auto"/>
        <w:left w:val="none" w:sz="0" w:space="0" w:color="auto"/>
        <w:bottom w:val="none" w:sz="0" w:space="0" w:color="auto"/>
        <w:right w:val="none" w:sz="0" w:space="0" w:color="auto"/>
      </w:divBdr>
    </w:div>
    <w:div w:id="885526905">
      <w:bodyDiv w:val="1"/>
      <w:marLeft w:val="0"/>
      <w:marRight w:val="0"/>
      <w:marTop w:val="0"/>
      <w:marBottom w:val="0"/>
      <w:divBdr>
        <w:top w:val="none" w:sz="0" w:space="0" w:color="auto"/>
        <w:left w:val="none" w:sz="0" w:space="0" w:color="auto"/>
        <w:bottom w:val="none" w:sz="0" w:space="0" w:color="auto"/>
        <w:right w:val="none" w:sz="0" w:space="0" w:color="auto"/>
      </w:divBdr>
    </w:div>
    <w:div w:id="887187252">
      <w:bodyDiv w:val="1"/>
      <w:marLeft w:val="0"/>
      <w:marRight w:val="0"/>
      <w:marTop w:val="0"/>
      <w:marBottom w:val="0"/>
      <w:divBdr>
        <w:top w:val="none" w:sz="0" w:space="0" w:color="auto"/>
        <w:left w:val="none" w:sz="0" w:space="0" w:color="auto"/>
        <w:bottom w:val="none" w:sz="0" w:space="0" w:color="auto"/>
        <w:right w:val="none" w:sz="0" w:space="0" w:color="auto"/>
      </w:divBdr>
    </w:div>
    <w:div w:id="887257130">
      <w:bodyDiv w:val="1"/>
      <w:marLeft w:val="0"/>
      <w:marRight w:val="0"/>
      <w:marTop w:val="0"/>
      <w:marBottom w:val="0"/>
      <w:divBdr>
        <w:top w:val="none" w:sz="0" w:space="0" w:color="auto"/>
        <w:left w:val="none" w:sz="0" w:space="0" w:color="auto"/>
        <w:bottom w:val="none" w:sz="0" w:space="0" w:color="auto"/>
        <w:right w:val="none" w:sz="0" w:space="0" w:color="auto"/>
      </w:divBdr>
    </w:div>
    <w:div w:id="890074709">
      <w:bodyDiv w:val="1"/>
      <w:marLeft w:val="0"/>
      <w:marRight w:val="0"/>
      <w:marTop w:val="0"/>
      <w:marBottom w:val="0"/>
      <w:divBdr>
        <w:top w:val="none" w:sz="0" w:space="0" w:color="auto"/>
        <w:left w:val="none" w:sz="0" w:space="0" w:color="auto"/>
        <w:bottom w:val="none" w:sz="0" w:space="0" w:color="auto"/>
        <w:right w:val="none" w:sz="0" w:space="0" w:color="auto"/>
      </w:divBdr>
    </w:div>
    <w:div w:id="899094898">
      <w:bodyDiv w:val="1"/>
      <w:marLeft w:val="0"/>
      <w:marRight w:val="0"/>
      <w:marTop w:val="0"/>
      <w:marBottom w:val="0"/>
      <w:divBdr>
        <w:top w:val="none" w:sz="0" w:space="0" w:color="auto"/>
        <w:left w:val="none" w:sz="0" w:space="0" w:color="auto"/>
        <w:bottom w:val="none" w:sz="0" w:space="0" w:color="auto"/>
        <w:right w:val="none" w:sz="0" w:space="0" w:color="auto"/>
      </w:divBdr>
    </w:div>
    <w:div w:id="901259831">
      <w:bodyDiv w:val="1"/>
      <w:marLeft w:val="0"/>
      <w:marRight w:val="0"/>
      <w:marTop w:val="0"/>
      <w:marBottom w:val="0"/>
      <w:divBdr>
        <w:top w:val="none" w:sz="0" w:space="0" w:color="auto"/>
        <w:left w:val="none" w:sz="0" w:space="0" w:color="auto"/>
        <w:bottom w:val="none" w:sz="0" w:space="0" w:color="auto"/>
        <w:right w:val="none" w:sz="0" w:space="0" w:color="auto"/>
      </w:divBdr>
    </w:div>
    <w:div w:id="902132495">
      <w:bodyDiv w:val="1"/>
      <w:marLeft w:val="0"/>
      <w:marRight w:val="0"/>
      <w:marTop w:val="0"/>
      <w:marBottom w:val="0"/>
      <w:divBdr>
        <w:top w:val="none" w:sz="0" w:space="0" w:color="auto"/>
        <w:left w:val="none" w:sz="0" w:space="0" w:color="auto"/>
        <w:bottom w:val="none" w:sz="0" w:space="0" w:color="auto"/>
        <w:right w:val="none" w:sz="0" w:space="0" w:color="auto"/>
      </w:divBdr>
    </w:div>
    <w:div w:id="902719879">
      <w:bodyDiv w:val="1"/>
      <w:marLeft w:val="0"/>
      <w:marRight w:val="0"/>
      <w:marTop w:val="0"/>
      <w:marBottom w:val="0"/>
      <w:divBdr>
        <w:top w:val="none" w:sz="0" w:space="0" w:color="auto"/>
        <w:left w:val="none" w:sz="0" w:space="0" w:color="auto"/>
        <w:bottom w:val="none" w:sz="0" w:space="0" w:color="auto"/>
        <w:right w:val="none" w:sz="0" w:space="0" w:color="auto"/>
      </w:divBdr>
    </w:div>
    <w:div w:id="908423367">
      <w:bodyDiv w:val="1"/>
      <w:marLeft w:val="0"/>
      <w:marRight w:val="0"/>
      <w:marTop w:val="0"/>
      <w:marBottom w:val="0"/>
      <w:divBdr>
        <w:top w:val="none" w:sz="0" w:space="0" w:color="auto"/>
        <w:left w:val="none" w:sz="0" w:space="0" w:color="auto"/>
        <w:bottom w:val="none" w:sz="0" w:space="0" w:color="auto"/>
        <w:right w:val="none" w:sz="0" w:space="0" w:color="auto"/>
      </w:divBdr>
    </w:div>
    <w:div w:id="919948146">
      <w:bodyDiv w:val="1"/>
      <w:marLeft w:val="0"/>
      <w:marRight w:val="0"/>
      <w:marTop w:val="0"/>
      <w:marBottom w:val="0"/>
      <w:divBdr>
        <w:top w:val="none" w:sz="0" w:space="0" w:color="auto"/>
        <w:left w:val="none" w:sz="0" w:space="0" w:color="auto"/>
        <w:bottom w:val="none" w:sz="0" w:space="0" w:color="auto"/>
        <w:right w:val="none" w:sz="0" w:space="0" w:color="auto"/>
      </w:divBdr>
    </w:div>
    <w:div w:id="927227959">
      <w:bodyDiv w:val="1"/>
      <w:marLeft w:val="0"/>
      <w:marRight w:val="0"/>
      <w:marTop w:val="0"/>
      <w:marBottom w:val="0"/>
      <w:divBdr>
        <w:top w:val="none" w:sz="0" w:space="0" w:color="auto"/>
        <w:left w:val="none" w:sz="0" w:space="0" w:color="auto"/>
        <w:bottom w:val="none" w:sz="0" w:space="0" w:color="auto"/>
        <w:right w:val="none" w:sz="0" w:space="0" w:color="auto"/>
      </w:divBdr>
    </w:div>
    <w:div w:id="932978507">
      <w:bodyDiv w:val="1"/>
      <w:marLeft w:val="0"/>
      <w:marRight w:val="0"/>
      <w:marTop w:val="0"/>
      <w:marBottom w:val="0"/>
      <w:divBdr>
        <w:top w:val="none" w:sz="0" w:space="0" w:color="auto"/>
        <w:left w:val="none" w:sz="0" w:space="0" w:color="auto"/>
        <w:bottom w:val="none" w:sz="0" w:space="0" w:color="auto"/>
        <w:right w:val="none" w:sz="0" w:space="0" w:color="auto"/>
      </w:divBdr>
    </w:div>
    <w:div w:id="933710010">
      <w:bodyDiv w:val="1"/>
      <w:marLeft w:val="0"/>
      <w:marRight w:val="0"/>
      <w:marTop w:val="0"/>
      <w:marBottom w:val="0"/>
      <w:divBdr>
        <w:top w:val="none" w:sz="0" w:space="0" w:color="auto"/>
        <w:left w:val="none" w:sz="0" w:space="0" w:color="auto"/>
        <w:bottom w:val="none" w:sz="0" w:space="0" w:color="auto"/>
        <w:right w:val="none" w:sz="0" w:space="0" w:color="auto"/>
      </w:divBdr>
    </w:div>
    <w:div w:id="934561031">
      <w:bodyDiv w:val="1"/>
      <w:marLeft w:val="0"/>
      <w:marRight w:val="0"/>
      <w:marTop w:val="0"/>
      <w:marBottom w:val="0"/>
      <w:divBdr>
        <w:top w:val="none" w:sz="0" w:space="0" w:color="auto"/>
        <w:left w:val="none" w:sz="0" w:space="0" w:color="auto"/>
        <w:bottom w:val="none" w:sz="0" w:space="0" w:color="auto"/>
        <w:right w:val="none" w:sz="0" w:space="0" w:color="auto"/>
      </w:divBdr>
    </w:div>
    <w:div w:id="936909442">
      <w:bodyDiv w:val="1"/>
      <w:marLeft w:val="0"/>
      <w:marRight w:val="0"/>
      <w:marTop w:val="0"/>
      <w:marBottom w:val="0"/>
      <w:divBdr>
        <w:top w:val="none" w:sz="0" w:space="0" w:color="auto"/>
        <w:left w:val="none" w:sz="0" w:space="0" w:color="auto"/>
        <w:bottom w:val="none" w:sz="0" w:space="0" w:color="auto"/>
        <w:right w:val="none" w:sz="0" w:space="0" w:color="auto"/>
      </w:divBdr>
    </w:div>
    <w:div w:id="941374467">
      <w:bodyDiv w:val="1"/>
      <w:marLeft w:val="0"/>
      <w:marRight w:val="0"/>
      <w:marTop w:val="0"/>
      <w:marBottom w:val="0"/>
      <w:divBdr>
        <w:top w:val="none" w:sz="0" w:space="0" w:color="auto"/>
        <w:left w:val="none" w:sz="0" w:space="0" w:color="auto"/>
        <w:bottom w:val="none" w:sz="0" w:space="0" w:color="auto"/>
        <w:right w:val="none" w:sz="0" w:space="0" w:color="auto"/>
      </w:divBdr>
    </w:div>
    <w:div w:id="943876719">
      <w:bodyDiv w:val="1"/>
      <w:marLeft w:val="0"/>
      <w:marRight w:val="0"/>
      <w:marTop w:val="0"/>
      <w:marBottom w:val="0"/>
      <w:divBdr>
        <w:top w:val="none" w:sz="0" w:space="0" w:color="auto"/>
        <w:left w:val="none" w:sz="0" w:space="0" w:color="auto"/>
        <w:bottom w:val="none" w:sz="0" w:space="0" w:color="auto"/>
        <w:right w:val="none" w:sz="0" w:space="0" w:color="auto"/>
      </w:divBdr>
    </w:div>
    <w:div w:id="950744974">
      <w:bodyDiv w:val="1"/>
      <w:marLeft w:val="0"/>
      <w:marRight w:val="0"/>
      <w:marTop w:val="0"/>
      <w:marBottom w:val="0"/>
      <w:divBdr>
        <w:top w:val="none" w:sz="0" w:space="0" w:color="auto"/>
        <w:left w:val="none" w:sz="0" w:space="0" w:color="auto"/>
        <w:bottom w:val="none" w:sz="0" w:space="0" w:color="auto"/>
        <w:right w:val="none" w:sz="0" w:space="0" w:color="auto"/>
      </w:divBdr>
    </w:div>
    <w:div w:id="952908181">
      <w:bodyDiv w:val="1"/>
      <w:marLeft w:val="0"/>
      <w:marRight w:val="0"/>
      <w:marTop w:val="0"/>
      <w:marBottom w:val="0"/>
      <w:divBdr>
        <w:top w:val="none" w:sz="0" w:space="0" w:color="auto"/>
        <w:left w:val="none" w:sz="0" w:space="0" w:color="auto"/>
        <w:bottom w:val="none" w:sz="0" w:space="0" w:color="auto"/>
        <w:right w:val="none" w:sz="0" w:space="0" w:color="auto"/>
      </w:divBdr>
    </w:div>
    <w:div w:id="957681673">
      <w:bodyDiv w:val="1"/>
      <w:marLeft w:val="0"/>
      <w:marRight w:val="0"/>
      <w:marTop w:val="0"/>
      <w:marBottom w:val="0"/>
      <w:divBdr>
        <w:top w:val="none" w:sz="0" w:space="0" w:color="auto"/>
        <w:left w:val="none" w:sz="0" w:space="0" w:color="auto"/>
        <w:bottom w:val="none" w:sz="0" w:space="0" w:color="auto"/>
        <w:right w:val="none" w:sz="0" w:space="0" w:color="auto"/>
      </w:divBdr>
    </w:div>
    <w:div w:id="958879771">
      <w:bodyDiv w:val="1"/>
      <w:marLeft w:val="0"/>
      <w:marRight w:val="0"/>
      <w:marTop w:val="0"/>
      <w:marBottom w:val="0"/>
      <w:divBdr>
        <w:top w:val="none" w:sz="0" w:space="0" w:color="auto"/>
        <w:left w:val="none" w:sz="0" w:space="0" w:color="auto"/>
        <w:bottom w:val="none" w:sz="0" w:space="0" w:color="auto"/>
        <w:right w:val="none" w:sz="0" w:space="0" w:color="auto"/>
      </w:divBdr>
    </w:div>
    <w:div w:id="964307617">
      <w:bodyDiv w:val="1"/>
      <w:marLeft w:val="0"/>
      <w:marRight w:val="0"/>
      <w:marTop w:val="0"/>
      <w:marBottom w:val="0"/>
      <w:divBdr>
        <w:top w:val="none" w:sz="0" w:space="0" w:color="auto"/>
        <w:left w:val="none" w:sz="0" w:space="0" w:color="auto"/>
        <w:bottom w:val="none" w:sz="0" w:space="0" w:color="auto"/>
        <w:right w:val="none" w:sz="0" w:space="0" w:color="auto"/>
      </w:divBdr>
    </w:div>
    <w:div w:id="965770709">
      <w:bodyDiv w:val="1"/>
      <w:marLeft w:val="0"/>
      <w:marRight w:val="0"/>
      <w:marTop w:val="0"/>
      <w:marBottom w:val="0"/>
      <w:divBdr>
        <w:top w:val="none" w:sz="0" w:space="0" w:color="auto"/>
        <w:left w:val="none" w:sz="0" w:space="0" w:color="auto"/>
        <w:bottom w:val="none" w:sz="0" w:space="0" w:color="auto"/>
        <w:right w:val="none" w:sz="0" w:space="0" w:color="auto"/>
      </w:divBdr>
    </w:div>
    <w:div w:id="966398811">
      <w:bodyDiv w:val="1"/>
      <w:marLeft w:val="0"/>
      <w:marRight w:val="0"/>
      <w:marTop w:val="0"/>
      <w:marBottom w:val="0"/>
      <w:divBdr>
        <w:top w:val="none" w:sz="0" w:space="0" w:color="auto"/>
        <w:left w:val="none" w:sz="0" w:space="0" w:color="auto"/>
        <w:bottom w:val="none" w:sz="0" w:space="0" w:color="auto"/>
        <w:right w:val="none" w:sz="0" w:space="0" w:color="auto"/>
      </w:divBdr>
    </w:div>
    <w:div w:id="966468140">
      <w:bodyDiv w:val="1"/>
      <w:marLeft w:val="0"/>
      <w:marRight w:val="0"/>
      <w:marTop w:val="0"/>
      <w:marBottom w:val="0"/>
      <w:divBdr>
        <w:top w:val="none" w:sz="0" w:space="0" w:color="auto"/>
        <w:left w:val="none" w:sz="0" w:space="0" w:color="auto"/>
        <w:bottom w:val="none" w:sz="0" w:space="0" w:color="auto"/>
        <w:right w:val="none" w:sz="0" w:space="0" w:color="auto"/>
      </w:divBdr>
    </w:div>
    <w:div w:id="973293939">
      <w:bodyDiv w:val="1"/>
      <w:marLeft w:val="0"/>
      <w:marRight w:val="0"/>
      <w:marTop w:val="0"/>
      <w:marBottom w:val="0"/>
      <w:divBdr>
        <w:top w:val="none" w:sz="0" w:space="0" w:color="auto"/>
        <w:left w:val="none" w:sz="0" w:space="0" w:color="auto"/>
        <w:bottom w:val="none" w:sz="0" w:space="0" w:color="auto"/>
        <w:right w:val="none" w:sz="0" w:space="0" w:color="auto"/>
      </w:divBdr>
    </w:div>
    <w:div w:id="980617391">
      <w:bodyDiv w:val="1"/>
      <w:marLeft w:val="0"/>
      <w:marRight w:val="0"/>
      <w:marTop w:val="0"/>
      <w:marBottom w:val="0"/>
      <w:divBdr>
        <w:top w:val="none" w:sz="0" w:space="0" w:color="auto"/>
        <w:left w:val="none" w:sz="0" w:space="0" w:color="auto"/>
        <w:bottom w:val="none" w:sz="0" w:space="0" w:color="auto"/>
        <w:right w:val="none" w:sz="0" w:space="0" w:color="auto"/>
      </w:divBdr>
    </w:div>
    <w:div w:id="980694304">
      <w:bodyDiv w:val="1"/>
      <w:marLeft w:val="0"/>
      <w:marRight w:val="0"/>
      <w:marTop w:val="0"/>
      <w:marBottom w:val="0"/>
      <w:divBdr>
        <w:top w:val="none" w:sz="0" w:space="0" w:color="auto"/>
        <w:left w:val="none" w:sz="0" w:space="0" w:color="auto"/>
        <w:bottom w:val="none" w:sz="0" w:space="0" w:color="auto"/>
        <w:right w:val="none" w:sz="0" w:space="0" w:color="auto"/>
      </w:divBdr>
    </w:div>
    <w:div w:id="982851659">
      <w:bodyDiv w:val="1"/>
      <w:marLeft w:val="0"/>
      <w:marRight w:val="0"/>
      <w:marTop w:val="0"/>
      <w:marBottom w:val="0"/>
      <w:divBdr>
        <w:top w:val="none" w:sz="0" w:space="0" w:color="auto"/>
        <w:left w:val="none" w:sz="0" w:space="0" w:color="auto"/>
        <w:bottom w:val="none" w:sz="0" w:space="0" w:color="auto"/>
        <w:right w:val="none" w:sz="0" w:space="0" w:color="auto"/>
      </w:divBdr>
    </w:div>
    <w:div w:id="990257527">
      <w:bodyDiv w:val="1"/>
      <w:marLeft w:val="0"/>
      <w:marRight w:val="0"/>
      <w:marTop w:val="0"/>
      <w:marBottom w:val="0"/>
      <w:divBdr>
        <w:top w:val="none" w:sz="0" w:space="0" w:color="auto"/>
        <w:left w:val="none" w:sz="0" w:space="0" w:color="auto"/>
        <w:bottom w:val="none" w:sz="0" w:space="0" w:color="auto"/>
        <w:right w:val="none" w:sz="0" w:space="0" w:color="auto"/>
      </w:divBdr>
    </w:div>
    <w:div w:id="1000430172">
      <w:bodyDiv w:val="1"/>
      <w:marLeft w:val="0"/>
      <w:marRight w:val="0"/>
      <w:marTop w:val="0"/>
      <w:marBottom w:val="0"/>
      <w:divBdr>
        <w:top w:val="none" w:sz="0" w:space="0" w:color="auto"/>
        <w:left w:val="none" w:sz="0" w:space="0" w:color="auto"/>
        <w:bottom w:val="none" w:sz="0" w:space="0" w:color="auto"/>
        <w:right w:val="none" w:sz="0" w:space="0" w:color="auto"/>
      </w:divBdr>
    </w:div>
    <w:div w:id="1005784547">
      <w:bodyDiv w:val="1"/>
      <w:marLeft w:val="0"/>
      <w:marRight w:val="0"/>
      <w:marTop w:val="0"/>
      <w:marBottom w:val="0"/>
      <w:divBdr>
        <w:top w:val="none" w:sz="0" w:space="0" w:color="auto"/>
        <w:left w:val="none" w:sz="0" w:space="0" w:color="auto"/>
        <w:bottom w:val="none" w:sz="0" w:space="0" w:color="auto"/>
        <w:right w:val="none" w:sz="0" w:space="0" w:color="auto"/>
      </w:divBdr>
    </w:div>
    <w:div w:id="1007711790">
      <w:bodyDiv w:val="1"/>
      <w:marLeft w:val="0"/>
      <w:marRight w:val="0"/>
      <w:marTop w:val="0"/>
      <w:marBottom w:val="0"/>
      <w:divBdr>
        <w:top w:val="none" w:sz="0" w:space="0" w:color="auto"/>
        <w:left w:val="none" w:sz="0" w:space="0" w:color="auto"/>
        <w:bottom w:val="none" w:sz="0" w:space="0" w:color="auto"/>
        <w:right w:val="none" w:sz="0" w:space="0" w:color="auto"/>
      </w:divBdr>
      <w:divsChild>
        <w:div w:id="1666669212">
          <w:marLeft w:val="0"/>
          <w:marRight w:val="0"/>
          <w:marTop w:val="0"/>
          <w:marBottom w:val="0"/>
          <w:divBdr>
            <w:top w:val="none" w:sz="0" w:space="0" w:color="auto"/>
            <w:left w:val="none" w:sz="0" w:space="0" w:color="auto"/>
            <w:bottom w:val="none" w:sz="0" w:space="0" w:color="auto"/>
            <w:right w:val="none" w:sz="0" w:space="0" w:color="auto"/>
          </w:divBdr>
          <w:divsChild>
            <w:div w:id="797991445">
              <w:marLeft w:val="0"/>
              <w:marRight w:val="0"/>
              <w:marTop w:val="0"/>
              <w:marBottom w:val="0"/>
              <w:divBdr>
                <w:top w:val="none" w:sz="0" w:space="0" w:color="auto"/>
                <w:left w:val="none" w:sz="0" w:space="0" w:color="auto"/>
                <w:bottom w:val="none" w:sz="0" w:space="0" w:color="auto"/>
                <w:right w:val="none" w:sz="0" w:space="0" w:color="auto"/>
              </w:divBdr>
              <w:divsChild>
                <w:div w:id="1581216654">
                  <w:marLeft w:val="0"/>
                  <w:marRight w:val="0"/>
                  <w:marTop w:val="0"/>
                  <w:marBottom w:val="0"/>
                  <w:divBdr>
                    <w:top w:val="none" w:sz="0" w:space="0" w:color="auto"/>
                    <w:left w:val="none" w:sz="0" w:space="0" w:color="auto"/>
                    <w:bottom w:val="none" w:sz="0" w:space="0" w:color="auto"/>
                    <w:right w:val="none" w:sz="0" w:space="0" w:color="auto"/>
                  </w:divBdr>
                  <w:divsChild>
                    <w:div w:id="924145969">
                      <w:marLeft w:val="0"/>
                      <w:marRight w:val="0"/>
                      <w:marTop w:val="0"/>
                      <w:marBottom w:val="0"/>
                      <w:divBdr>
                        <w:top w:val="none" w:sz="0" w:space="0" w:color="auto"/>
                        <w:left w:val="none" w:sz="0" w:space="0" w:color="auto"/>
                        <w:bottom w:val="none" w:sz="0" w:space="0" w:color="auto"/>
                        <w:right w:val="none" w:sz="0" w:space="0" w:color="auto"/>
                      </w:divBdr>
                      <w:divsChild>
                        <w:div w:id="724111409">
                          <w:marLeft w:val="0"/>
                          <w:marRight w:val="0"/>
                          <w:marTop w:val="0"/>
                          <w:marBottom w:val="0"/>
                          <w:divBdr>
                            <w:top w:val="none" w:sz="0" w:space="0" w:color="auto"/>
                            <w:left w:val="none" w:sz="0" w:space="0" w:color="auto"/>
                            <w:bottom w:val="none" w:sz="0" w:space="0" w:color="auto"/>
                            <w:right w:val="none" w:sz="0" w:space="0" w:color="auto"/>
                          </w:divBdr>
                          <w:divsChild>
                            <w:div w:id="41100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807629">
      <w:bodyDiv w:val="1"/>
      <w:marLeft w:val="0"/>
      <w:marRight w:val="0"/>
      <w:marTop w:val="0"/>
      <w:marBottom w:val="0"/>
      <w:divBdr>
        <w:top w:val="none" w:sz="0" w:space="0" w:color="auto"/>
        <w:left w:val="none" w:sz="0" w:space="0" w:color="auto"/>
        <w:bottom w:val="none" w:sz="0" w:space="0" w:color="auto"/>
        <w:right w:val="none" w:sz="0" w:space="0" w:color="auto"/>
      </w:divBdr>
    </w:div>
    <w:div w:id="1017270533">
      <w:bodyDiv w:val="1"/>
      <w:marLeft w:val="0"/>
      <w:marRight w:val="0"/>
      <w:marTop w:val="0"/>
      <w:marBottom w:val="0"/>
      <w:divBdr>
        <w:top w:val="none" w:sz="0" w:space="0" w:color="auto"/>
        <w:left w:val="none" w:sz="0" w:space="0" w:color="auto"/>
        <w:bottom w:val="none" w:sz="0" w:space="0" w:color="auto"/>
        <w:right w:val="none" w:sz="0" w:space="0" w:color="auto"/>
      </w:divBdr>
    </w:div>
    <w:div w:id="1031491181">
      <w:bodyDiv w:val="1"/>
      <w:marLeft w:val="0"/>
      <w:marRight w:val="0"/>
      <w:marTop w:val="0"/>
      <w:marBottom w:val="0"/>
      <w:divBdr>
        <w:top w:val="none" w:sz="0" w:space="0" w:color="auto"/>
        <w:left w:val="none" w:sz="0" w:space="0" w:color="auto"/>
        <w:bottom w:val="none" w:sz="0" w:space="0" w:color="auto"/>
        <w:right w:val="none" w:sz="0" w:space="0" w:color="auto"/>
      </w:divBdr>
    </w:div>
    <w:div w:id="1032192314">
      <w:bodyDiv w:val="1"/>
      <w:marLeft w:val="0"/>
      <w:marRight w:val="0"/>
      <w:marTop w:val="0"/>
      <w:marBottom w:val="0"/>
      <w:divBdr>
        <w:top w:val="none" w:sz="0" w:space="0" w:color="auto"/>
        <w:left w:val="none" w:sz="0" w:space="0" w:color="auto"/>
        <w:bottom w:val="none" w:sz="0" w:space="0" w:color="auto"/>
        <w:right w:val="none" w:sz="0" w:space="0" w:color="auto"/>
      </w:divBdr>
    </w:div>
    <w:div w:id="1036083421">
      <w:bodyDiv w:val="1"/>
      <w:marLeft w:val="0"/>
      <w:marRight w:val="0"/>
      <w:marTop w:val="0"/>
      <w:marBottom w:val="0"/>
      <w:divBdr>
        <w:top w:val="none" w:sz="0" w:space="0" w:color="auto"/>
        <w:left w:val="none" w:sz="0" w:space="0" w:color="auto"/>
        <w:bottom w:val="none" w:sz="0" w:space="0" w:color="auto"/>
        <w:right w:val="none" w:sz="0" w:space="0" w:color="auto"/>
      </w:divBdr>
    </w:div>
    <w:div w:id="1036852095">
      <w:bodyDiv w:val="1"/>
      <w:marLeft w:val="0"/>
      <w:marRight w:val="0"/>
      <w:marTop w:val="0"/>
      <w:marBottom w:val="0"/>
      <w:divBdr>
        <w:top w:val="none" w:sz="0" w:space="0" w:color="auto"/>
        <w:left w:val="none" w:sz="0" w:space="0" w:color="auto"/>
        <w:bottom w:val="none" w:sz="0" w:space="0" w:color="auto"/>
        <w:right w:val="none" w:sz="0" w:space="0" w:color="auto"/>
      </w:divBdr>
    </w:div>
    <w:div w:id="1038697998">
      <w:bodyDiv w:val="1"/>
      <w:marLeft w:val="0"/>
      <w:marRight w:val="0"/>
      <w:marTop w:val="0"/>
      <w:marBottom w:val="0"/>
      <w:divBdr>
        <w:top w:val="none" w:sz="0" w:space="0" w:color="auto"/>
        <w:left w:val="none" w:sz="0" w:space="0" w:color="auto"/>
        <w:bottom w:val="none" w:sz="0" w:space="0" w:color="auto"/>
        <w:right w:val="none" w:sz="0" w:space="0" w:color="auto"/>
      </w:divBdr>
    </w:div>
    <w:div w:id="1040591063">
      <w:bodyDiv w:val="1"/>
      <w:marLeft w:val="0"/>
      <w:marRight w:val="0"/>
      <w:marTop w:val="0"/>
      <w:marBottom w:val="0"/>
      <w:divBdr>
        <w:top w:val="none" w:sz="0" w:space="0" w:color="auto"/>
        <w:left w:val="none" w:sz="0" w:space="0" w:color="auto"/>
        <w:bottom w:val="none" w:sz="0" w:space="0" w:color="auto"/>
        <w:right w:val="none" w:sz="0" w:space="0" w:color="auto"/>
      </w:divBdr>
    </w:div>
    <w:div w:id="1045063353">
      <w:bodyDiv w:val="1"/>
      <w:marLeft w:val="0"/>
      <w:marRight w:val="0"/>
      <w:marTop w:val="0"/>
      <w:marBottom w:val="0"/>
      <w:divBdr>
        <w:top w:val="none" w:sz="0" w:space="0" w:color="auto"/>
        <w:left w:val="none" w:sz="0" w:space="0" w:color="auto"/>
        <w:bottom w:val="none" w:sz="0" w:space="0" w:color="auto"/>
        <w:right w:val="none" w:sz="0" w:space="0" w:color="auto"/>
      </w:divBdr>
      <w:divsChild>
        <w:div w:id="1121538197">
          <w:marLeft w:val="0"/>
          <w:marRight w:val="0"/>
          <w:marTop w:val="0"/>
          <w:marBottom w:val="0"/>
          <w:divBdr>
            <w:top w:val="none" w:sz="0" w:space="0" w:color="auto"/>
            <w:left w:val="none" w:sz="0" w:space="0" w:color="auto"/>
            <w:bottom w:val="none" w:sz="0" w:space="0" w:color="auto"/>
            <w:right w:val="none" w:sz="0" w:space="0" w:color="auto"/>
          </w:divBdr>
        </w:div>
        <w:div w:id="364452631">
          <w:marLeft w:val="0"/>
          <w:marRight w:val="0"/>
          <w:marTop w:val="0"/>
          <w:marBottom w:val="0"/>
          <w:divBdr>
            <w:top w:val="none" w:sz="0" w:space="0" w:color="auto"/>
            <w:left w:val="none" w:sz="0" w:space="0" w:color="auto"/>
            <w:bottom w:val="none" w:sz="0" w:space="0" w:color="auto"/>
            <w:right w:val="none" w:sz="0" w:space="0" w:color="auto"/>
          </w:divBdr>
        </w:div>
        <w:div w:id="1110660965">
          <w:marLeft w:val="0"/>
          <w:marRight w:val="0"/>
          <w:marTop w:val="0"/>
          <w:marBottom w:val="0"/>
          <w:divBdr>
            <w:top w:val="none" w:sz="0" w:space="0" w:color="auto"/>
            <w:left w:val="none" w:sz="0" w:space="0" w:color="auto"/>
            <w:bottom w:val="none" w:sz="0" w:space="0" w:color="auto"/>
            <w:right w:val="none" w:sz="0" w:space="0" w:color="auto"/>
          </w:divBdr>
        </w:div>
        <w:div w:id="1391615181">
          <w:marLeft w:val="0"/>
          <w:marRight w:val="0"/>
          <w:marTop w:val="0"/>
          <w:marBottom w:val="0"/>
          <w:divBdr>
            <w:top w:val="none" w:sz="0" w:space="0" w:color="auto"/>
            <w:left w:val="none" w:sz="0" w:space="0" w:color="auto"/>
            <w:bottom w:val="none" w:sz="0" w:space="0" w:color="auto"/>
            <w:right w:val="none" w:sz="0" w:space="0" w:color="auto"/>
          </w:divBdr>
        </w:div>
        <w:div w:id="1247688289">
          <w:marLeft w:val="0"/>
          <w:marRight w:val="0"/>
          <w:marTop w:val="0"/>
          <w:marBottom w:val="0"/>
          <w:divBdr>
            <w:top w:val="none" w:sz="0" w:space="0" w:color="auto"/>
            <w:left w:val="none" w:sz="0" w:space="0" w:color="auto"/>
            <w:bottom w:val="none" w:sz="0" w:space="0" w:color="auto"/>
            <w:right w:val="none" w:sz="0" w:space="0" w:color="auto"/>
          </w:divBdr>
        </w:div>
        <w:div w:id="1139223510">
          <w:marLeft w:val="0"/>
          <w:marRight w:val="0"/>
          <w:marTop w:val="0"/>
          <w:marBottom w:val="0"/>
          <w:divBdr>
            <w:top w:val="none" w:sz="0" w:space="0" w:color="auto"/>
            <w:left w:val="none" w:sz="0" w:space="0" w:color="auto"/>
            <w:bottom w:val="none" w:sz="0" w:space="0" w:color="auto"/>
            <w:right w:val="none" w:sz="0" w:space="0" w:color="auto"/>
          </w:divBdr>
        </w:div>
      </w:divsChild>
    </w:div>
    <w:div w:id="1049692733">
      <w:bodyDiv w:val="1"/>
      <w:marLeft w:val="0"/>
      <w:marRight w:val="0"/>
      <w:marTop w:val="0"/>
      <w:marBottom w:val="0"/>
      <w:divBdr>
        <w:top w:val="none" w:sz="0" w:space="0" w:color="auto"/>
        <w:left w:val="none" w:sz="0" w:space="0" w:color="auto"/>
        <w:bottom w:val="none" w:sz="0" w:space="0" w:color="auto"/>
        <w:right w:val="none" w:sz="0" w:space="0" w:color="auto"/>
      </w:divBdr>
      <w:divsChild>
        <w:div w:id="2173106">
          <w:marLeft w:val="0"/>
          <w:marRight w:val="0"/>
          <w:marTop w:val="0"/>
          <w:marBottom w:val="0"/>
          <w:divBdr>
            <w:top w:val="none" w:sz="0" w:space="0" w:color="auto"/>
            <w:left w:val="none" w:sz="0" w:space="0" w:color="auto"/>
            <w:bottom w:val="none" w:sz="0" w:space="0" w:color="auto"/>
            <w:right w:val="none" w:sz="0" w:space="0" w:color="auto"/>
          </w:divBdr>
          <w:divsChild>
            <w:div w:id="2038965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3432086">
      <w:bodyDiv w:val="1"/>
      <w:marLeft w:val="0"/>
      <w:marRight w:val="0"/>
      <w:marTop w:val="0"/>
      <w:marBottom w:val="0"/>
      <w:divBdr>
        <w:top w:val="none" w:sz="0" w:space="0" w:color="auto"/>
        <w:left w:val="none" w:sz="0" w:space="0" w:color="auto"/>
        <w:bottom w:val="none" w:sz="0" w:space="0" w:color="auto"/>
        <w:right w:val="none" w:sz="0" w:space="0" w:color="auto"/>
      </w:divBdr>
    </w:div>
    <w:div w:id="1054545631">
      <w:bodyDiv w:val="1"/>
      <w:marLeft w:val="0"/>
      <w:marRight w:val="0"/>
      <w:marTop w:val="0"/>
      <w:marBottom w:val="0"/>
      <w:divBdr>
        <w:top w:val="none" w:sz="0" w:space="0" w:color="auto"/>
        <w:left w:val="none" w:sz="0" w:space="0" w:color="auto"/>
        <w:bottom w:val="none" w:sz="0" w:space="0" w:color="auto"/>
        <w:right w:val="none" w:sz="0" w:space="0" w:color="auto"/>
      </w:divBdr>
    </w:div>
    <w:div w:id="1058013449">
      <w:bodyDiv w:val="1"/>
      <w:marLeft w:val="0"/>
      <w:marRight w:val="0"/>
      <w:marTop w:val="0"/>
      <w:marBottom w:val="0"/>
      <w:divBdr>
        <w:top w:val="none" w:sz="0" w:space="0" w:color="auto"/>
        <w:left w:val="none" w:sz="0" w:space="0" w:color="auto"/>
        <w:bottom w:val="none" w:sz="0" w:space="0" w:color="auto"/>
        <w:right w:val="none" w:sz="0" w:space="0" w:color="auto"/>
      </w:divBdr>
    </w:div>
    <w:div w:id="1070930780">
      <w:bodyDiv w:val="1"/>
      <w:marLeft w:val="0"/>
      <w:marRight w:val="0"/>
      <w:marTop w:val="0"/>
      <w:marBottom w:val="0"/>
      <w:divBdr>
        <w:top w:val="none" w:sz="0" w:space="0" w:color="auto"/>
        <w:left w:val="none" w:sz="0" w:space="0" w:color="auto"/>
        <w:bottom w:val="none" w:sz="0" w:space="0" w:color="auto"/>
        <w:right w:val="none" w:sz="0" w:space="0" w:color="auto"/>
      </w:divBdr>
    </w:div>
    <w:div w:id="1079864182">
      <w:bodyDiv w:val="1"/>
      <w:marLeft w:val="0"/>
      <w:marRight w:val="0"/>
      <w:marTop w:val="0"/>
      <w:marBottom w:val="0"/>
      <w:divBdr>
        <w:top w:val="none" w:sz="0" w:space="0" w:color="auto"/>
        <w:left w:val="none" w:sz="0" w:space="0" w:color="auto"/>
        <w:bottom w:val="none" w:sz="0" w:space="0" w:color="auto"/>
        <w:right w:val="none" w:sz="0" w:space="0" w:color="auto"/>
      </w:divBdr>
    </w:div>
    <w:div w:id="1096512458">
      <w:bodyDiv w:val="1"/>
      <w:marLeft w:val="0"/>
      <w:marRight w:val="0"/>
      <w:marTop w:val="0"/>
      <w:marBottom w:val="0"/>
      <w:divBdr>
        <w:top w:val="none" w:sz="0" w:space="0" w:color="auto"/>
        <w:left w:val="none" w:sz="0" w:space="0" w:color="auto"/>
        <w:bottom w:val="none" w:sz="0" w:space="0" w:color="auto"/>
        <w:right w:val="none" w:sz="0" w:space="0" w:color="auto"/>
      </w:divBdr>
    </w:div>
    <w:div w:id="1101028576">
      <w:bodyDiv w:val="1"/>
      <w:marLeft w:val="0"/>
      <w:marRight w:val="0"/>
      <w:marTop w:val="0"/>
      <w:marBottom w:val="0"/>
      <w:divBdr>
        <w:top w:val="none" w:sz="0" w:space="0" w:color="auto"/>
        <w:left w:val="none" w:sz="0" w:space="0" w:color="auto"/>
        <w:bottom w:val="none" w:sz="0" w:space="0" w:color="auto"/>
        <w:right w:val="none" w:sz="0" w:space="0" w:color="auto"/>
      </w:divBdr>
    </w:div>
    <w:div w:id="1106342702">
      <w:bodyDiv w:val="1"/>
      <w:marLeft w:val="0"/>
      <w:marRight w:val="0"/>
      <w:marTop w:val="0"/>
      <w:marBottom w:val="0"/>
      <w:divBdr>
        <w:top w:val="none" w:sz="0" w:space="0" w:color="auto"/>
        <w:left w:val="none" w:sz="0" w:space="0" w:color="auto"/>
        <w:bottom w:val="none" w:sz="0" w:space="0" w:color="auto"/>
        <w:right w:val="none" w:sz="0" w:space="0" w:color="auto"/>
      </w:divBdr>
    </w:div>
    <w:div w:id="1112893672">
      <w:bodyDiv w:val="1"/>
      <w:marLeft w:val="0"/>
      <w:marRight w:val="0"/>
      <w:marTop w:val="0"/>
      <w:marBottom w:val="0"/>
      <w:divBdr>
        <w:top w:val="none" w:sz="0" w:space="0" w:color="auto"/>
        <w:left w:val="none" w:sz="0" w:space="0" w:color="auto"/>
        <w:bottom w:val="none" w:sz="0" w:space="0" w:color="auto"/>
        <w:right w:val="none" w:sz="0" w:space="0" w:color="auto"/>
      </w:divBdr>
    </w:div>
    <w:div w:id="1115563806">
      <w:bodyDiv w:val="1"/>
      <w:marLeft w:val="0"/>
      <w:marRight w:val="0"/>
      <w:marTop w:val="0"/>
      <w:marBottom w:val="0"/>
      <w:divBdr>
        <w:top w:val="none" w:sz="0" w:space="0" w:color="auto"/>
        <w:left w:val="none" w:sz="0" w:space="0" w:color="auto"/>
        <w:bottom w:val="none" w:sz="0" w:space="0" w:color="auto"/>
        <w:right w:val="none" w:sz="0" w:space="0" w:color="auto"/>
      </w:divBdr>
    </w:div>
    <w:div w:id="1118257030">
      <w:bodyDiv w:val="1"/>
      <w:marLeft w:val="0"/>
      <w:marRight w:val="0"/>
      <w:marTop w:val="0"/>
      <w:marBottom w:val="0"/>
      <w:divBdr>
        <w:top w:val="none" w:sz="0" w:space="0" w:color="auto"/>
        <w:left w:val="none" w:sz="0" w:space="0" w:color="auto"/>
        <w:bottom w:val="none" w:sz="0" w:space="0" w:color="auto"/>
        <w:right w:val="none" w:sz="0" w:space="0" w:color="auto"/>
      </w:divBdr>
    </w:div>
    <w:div w:id="1118984835">
      <w:bodyDiv w:val="1"/>
      <w:marLeft w:val="0"/>
      <w:marRight w:val="0"/>
      <w:marTop w:val="0"/>
      <w:marBottom w:val="0"/>
      <w:divBdr>
        <w:top w:val="none" w:sz="0" w:space="0" w:color="auto"/>
        <w:left w:val="none" w:sz="0" w:space="0" w:color="auto"/>
        <w:bottom w:val="none" w:sz="0" w:space="0" w:color="auto"/>
        <w:right w:val="none" w:sz="0" w:space="0" w:color="auto"/>
      </w:divBdr>
    </w:div>
    <w:div w:id="1123036690">
      <w:bodyDiv w:val="1"/>
      <w:marLeft w:val="0"/>
      <w:marRight w:val="0"/>
      <w:marTop w:val="0"/>
      <w:marBottom w:val="0"/>
      <w:divBdr>
        <w:top w:val="none" w:sz="0" w:space="0" w:color="auto"/>
        <w:left w:val="none" w:sz="0" w:space="0" w:color="auto"/>
        <w:bottom w:val="none" w:sz="0" w:space="0" w:color="auto"/>
        <w:right w:val="none" w:sz="0" w:space="0" w:color="auto"/>
      </w:divBdr>
    </w:div>
    <w:div w:id="1128014453">
      <w:bodyDiv w:val="1"/>
      <w:marLeft w:val="0"/>
      <w:marRight w:val="0"/>
      <w:marTop w:val="0"/>
      <w:marBottom w:val="0"/>
      <w:divBdr>
        <w:top w:val="none" w:sz="0" w:space="0" w:color="auto"/>
        <w:left w:val="none" w:sz="0" w:space="0" w:color="auto"/>
        <w:bottom w:val="none" w:sz="0" w:space="0" w:color="auto"/>
        <w:right w:val="none" w:sz="0" w:space="0" w:color="auto"/>
      </w:divBdr>
    </w:div>
    <w:div w:id="1131434612">
      <w:bodyDiv w:val="1"/>
      <w:marLeft w:val="0"/>
      <w:marRight w:val="0"/>
      <w:marTop w:val="0"/>
      <w:marBottom w:val="0"/>
      <w:divBdr>
        <w:top w:val="none" w:sz="0" w:space="0" w:color="auto"/>
        <w:left w:val="none" w:sz="0" w:space="0" w:color="auto"/>
        <w:bottom w:val="none" w:sz="0" w:space="0" w:color="auto"/>
        <w:right w:val="none" w:sz="0" w:space="0" w:color="auto"/>
      </w:divBdr>
    </w:div>
    <w:div w:id="1137841366">
      <w:bodyDiv w:val="1"/>
      <w:marLeft w:val="0"/>
      <w:marRight w:val="0"/>
      <w:marTop w:val="0"/>
      <w:marBottom w:val="0"/>
      <w:divBdr>
        <w:top w:val="none" w:sz="0" w:space="0" w:color="auto"/>
        <w:left w:val="none" w:sz="0" w:space="0" w:color="auto"/>
        <w:bottom w:val="none" w:sz="0" w:space="0" w:color="auto"/>
        <w:right w:val="none" w:sz="0" w:space="0" w:color="auto"/>
      </w:divBdr>
    </w:div>
    <w:div w:id="1144002523">
      <w:bodyDiv w:val="1"/>
      <w:marLeft w:val="0"/>
      <w:marRight w:val="0"/>
      <w:marTop w:val="0"/>
      <w:marBottom w:val="0"/>
      <w:divBdr>
        <w:top w:val="none" w:sz="0" w:space="0" w:color="auto"/>
        <w:left w:val="none" w:sz="0" w:space="0" w:color="auto"/>
        <w:bottom w:val="none" w:sz="0" w:space="0" w:color="auto"/>
        <w:right w:val="none" w:sz="0" w:space="0" w:color="auto"/>
      </w:divBdr>
    </w:div>
    <w:div w:id="1147285703">
      <w:bodyDiv w:val="1"/>
      <w:marLeft w:val="0"/>
      <w:marRight w:val="0"/>
      <w:marTop w:val="0"/>
      <w:marBottom w:val="0"/>
      <w:divBdr>
        <w:top w:val="none" w:sz="0" w:space="0" w:color="auto"/>
        <w:left w:val="none" w:sz="0" w:space="0" w:color="auto"/>
        <w:bottom w:val="none" w:sz="0" w:space="0" w:color="auto"/>
        <w:right w:val="none" w:sz="0" w:space="0" w:color="auto"/>
      </w:divBdr>
    </w:div>
    <w:div w:id="1155411866">
      <w:bodyDiv w:val="1"/>
      <w:marLeft w:val="0"/>
      <w:marRight w:val="0"/>
      <w:marTop w:val="0"/>
      <w:marBottom w:val="0"/>
      <w:divBdr>
        <w:top w:val="none" w:sz="0" w:space="0" w:color="auto"/>
        <w:left w:val="none" w:sz="0" w:space="0" w:color="auto"/>
        <w:bottom w:val="none" w:sz="0" w:space="0" w:color="auto"/>
        <w:right w:val="none" w:sz="0" w:space="0" w:color="auto"/>
      </w:divBdr>
    </w:div>
    <w:div w:id="1160266439">
      <w:bodyDiv w:val="1"/>
      <w:marLeft w:val="0"/>
      <w:marRight w:val="0"/>
      <w:marTop w:val="0"/>
      <w:marBottom w:val="0"/>
      <w:divBdr>
        <w:top w:val="none" w:sz="0" w:space="0" w:color="auto"/>
        <w:left w:val="none" w:sz="0" w:space="0" w:color="auto"/>
        <w:bottom w:val="none" w:sz="0" w:space="0" w:color="auto"/>
        <w:right w:val="none" w:sz="0" w:space="0" w:color="auto"/>
      </w:divBdr>
    </w:div>
    <w:div w:id="1188258423">
      <w:bodyDiv w:val="1"/>
      <w:marLeft w:val="0"/>
      <w:marRight w:val="0"/>
      <w:marTop w:val="0"/>
      <w:marBottom w:val="0"/>
      <w:divBdr>
        <w:top w:val="none" w:sz="0" w:space="0" w:color="auto"/>
        <w:left w:val="none" w:sz="0" w:space="0" w:color="auto"/>
        <w:bottom w:val="none" w:sz="0" w:space="0" w:color="auto"/>
        <w:right w:val="none" w:sz="0" w:space="0" w:color="auto"/>
      </w:divBdr>
    </w:div>
    <w:div w:id="1194804119">
      <w:bodyDiv w:val="1"/>
      <w:marLeft w:val="0"/>
      <w:marRight w:val="0"/>
      <w:marTop w:val="0"/>
      <w:marBottom w:val="0"/>
      <w:divBdr>
        <w:top w:val="none" w:sz="0" w:space="0" w:color="auto"/>
        <w:left w:val="none" w:sz="0" w:space="0" w:color="auto"/>
        <w:bottom w:val="none" w:sz="0" w:space="0" w:color="auto"/>
        <w:right w:val="none" w:sz="0" w:space="0" w:color="auto"/>
      </w:divBdr>
      <w:divsChild>
        <w:div w:id="547376040">
          <w:marLeft w:val="0"/>
          <w:marRight w:val="0"/>
          <w:marTop w:val="0"/>
          <w:marBottom w:val="0"/>
          <w:divBdr>
            <w:top w:val="none" w:sz="0" w:space="0" w:color="auto"/>
            <w:left w:val="none" w:sz="0" w:space="0" w:color="auto"/>
            <w:bottom w:val="none" w:sz="0" w:space="0" w:color="auto"/>
            <w:right w:val="none" w:sz="0" w:space="0" w:color="auto"/>
          </w:divBdr>
        </w:div>
        <w:div w:id="30351028">
          <w:marLeft w:val="0"/>
          <w:marRight w:val="0"/>
          <w:marTop w:val="0"/>
          <w:marBottom w:val="0"/>
          <w:divBdr>
            <w:top w:val="none" w:sz="0" w:space="0" w:color="auto"/>
            <w:left w:val="none" w:sz="0" w:space="0" w:color="auto"/>
            <w:bottom w:val="none" w:sz="0" w:space="0" w:color="auto"/>
            <w:right w:val="none" w:sz="0" w:space="0" w:color="auto"/>
          </w:divBdr>
        </w:div>
        <w:div w:id="1701198816">
          <w:marLeft w:val="0"/>
          <w:marRight w:val="0"/>
          <w:marTop w:val="0"/>
          <w:marBottom w:val="0"/>
          <w:divBdr>
            <w:top w:val="none" w:sz="0" w:space="0" w:color="auto"/>
            <w:left w:val="none" w:sz="0" w:space="0" w:color="auto"/>
            <w:bottom w:val="none" w:sz="0" w:space="0" w:color="auto"/>
            <w:right w:val="none" w:sz="0" w:space="0" w:color="auto"/>
          </w:divBdr>
        </w:div>
        <w:div w:id="392700046">
          <w:marLeft w:val="0"/>
          <w:marRight w:val="0"/>
          <w:marTop w:val="0"/>
          <w:marBottom w:val="0"/>
          <w:divBdr>
            <w:top w:val="none" w:sz="0" w:space="0" w:color="auto"/>
            <w:left w:val="none" w:sz="0" w:space="0" w:color="auto"/>
            <w:bottom w:val="none" w:sz="0" w:space="0" w:color="auto"/>
            <w:right w:val="none" w:sz="0" w:space="0" w:color="auto"/>
          </w:divBdr>
        </w:div>
        <w:div w:id="1937253925">
          <w:marLeft w:val="0"/>
          <w:marRight w:val="0"/>
          <w:marTop w:val="0"/>
          <w:marBottom w:val="0"/>
          <w:divBdr>
            <w:top w:val="none" w:sz="0" w:space="0" w:color="auto"/>
            <w:left w:val="none" w:sz="0" w:space="0" w:color="auto"/>
            <w:bottom w:val="none" w:sz="0" w:space="0" w:color="auto"/>
            <w:right w:val="none" w:sz="0" w:space="0" w:color="auto"/>
          </w:divBdr>
        </w:div>
        <w:div w:id="1964538938">
          <w:marLeft w:val="0"/>
          <w:marRight w:val="0"/>
          <w:marTop w:val="0"/>
          <w:marBottom w:val="0"/>
          <w:divBdr>
            <w:top w:val="none" w:sz="0" w:space="0" w:color="auto"/>
            <w:left w:val="none" w:sz="0" w:space="0" w:color="auto"/>
            <w:bottom w:val="none" w:sz="0" w:space="0" w:color="auto"/>
            <w:right w:val="none" w:sz="0" w:space="0" w:color="auto"/>
          </w:divBdr>
        </w:div>
        <w:div w:id="2021929122">
          <w:marLeft w:val="0"/>
          <w:marRight w:val="0"/>
          <w:marTop w:val="0"/>
          <w:marBottom w:val="0"/>
          <w:divBdr>
            <w:top w:val="none" w:sz="0" w:space="0" w:color="auto"/>
            <w:left w:val="none" w:sz="0" w:space="0" w:color="auto"/>
            <w:bottom w:val="none" w:sz="0" w:space="0" w:color="auto"/>
            <w:right w:val="none" w:sz="0" w:space="0" w:color="auto"/>
          </w:divBdr>
        </w:div>
        <w:div w:id="1065951893">
          <w:marLeft w:val="0"/>
          <w:marRight w:val="0"/>
          <w:marTop w:val="0"/>
          <w:marBottom w:val="0"/>
          <w:divBdr>
            <w:top w:val="none" w:sz="0" w:space="0" w:color="auto"/>
            <w:left w:val="none" w:sz="0" w:space="0" w:color="auto"/>
            <w:bottom w:val="none" w:sz="0" w:space="0" w:color="auto"/>
            <w:right w:val="none" w:sz="0" w:space="0" w:color="auto"/>
          </w:divBdr>
        </w:div>
      </w:divsChild>
    </w:div>
    <w:div w:id="1206604130">
      <w:bodyDiv w:val="1"/>
      <w:marLeft w:val="0"/>
      <w:marRight w:val="0"/>
      <w:marTop w:val="0"/>
      <w:marBottom w:val="0"/>
      <w:divBdr>
        <w:top w:val="none" w:sz="0" w:space="0" w:color="auto"/>
        <w:left w:val="none" w:sz="0" w:space="0" w:color="auto"/>
        <w:bottom w:val="none" w:sz="0" w:space="0" w:color="auto"/>
        <w:right w:val="none" w:sz="0" w:space="0" w:color="auto"/>
      </w:divBdr>
    </w:div>
    <w:div w:id="1221674761">
      <w:bodyDiv w:val="1"/>
      <w:marLeft w:val="0"/>
      <w:marRight w:val="0"/>
      <w:marTop w:val="0"/>
      <w:marBottom w:val="0"/>
      <w:divBdr>
        <w:top w:val="none" w:sz="0" w:space="0" w:color="auto"/>
        <w:left w:val="none" w:sz="0" w:space="0" w:color="auto"/>
        <w:bottom w:val="none" w:sz="0" w:space="0" w:color="auto"/>
        <w:right w:val="none" w:sz="0" w:space="0" w:color="auto"/>
      </w:divBdr>
    </w:div>
    <w:div w:id="1229420775">
      <w:bodyDiv w:val="1"/>
      <w:marLeft w:val="0"/>
      <w:marRight w:val="0"/>
      <w:marTop w:val="0"/>
      <w:marBottom w:val="0"/>
      <w:divBdr>
        <w:top w:val="none" w:sz="0" w:space="0" w:color="auto"/>
        <w:left w:val="none" w:sz="0" w:space="0" w:color="auto"/>
        <w:bottom w:val="none" w:sz="0" w:space="0" w:color="auto"/>
        <w:right w:val="none" w:sz="0" w:space="0" w:color="auto"/>
      </w:divBdr>
    </w:div>
    <w:div w:id="1230648822">
      <w:bodyDiv w:val="1"/>
      <w:marLeft w:val="0"/>
      <w:marRight w:val="0"/>
      <w:marTop w:val="0"/>
      <w:marBottom w:val="0"/>
      <w:divBdr>
        <w:top w:val="none" w:sz="0" w:space="0" w:color="auto"/>
        <w:left w:val="none" w:sz="0" w:space="0" w:color="auto"/>
        <w:bottom w:val="none" w:sz="0" w:space="0" w:color="auto"/>
        <w:right w:val="none" w:sz="0" w:space="0" w:color="auto"/>
      </w:divBdr>
    </w:div>
    <w:div w:id="1239749189">
      <w:bodyDiv w:val="1"/>
      <w:marLeft w:val="0"/>
      <w:marRight w:val="0"/>
      <w:marTop w:val="0"/>
      <w:marBottom w:val="0"/>
      <w:divBdr>
        <w:top w:val="none" w:sz="0" w:space="0" w:color="auto"/>
        <w:left w:val="none" w:sz="0" w:space="0" w:color="auto"/>
        <w:bottom w:val="none" w:sz="0" w:space="0" w:color="auto"/>
        <w:right w:val="none" w:sz="0" w:space="0" w:color="auto"/>
      </w:divBdr>
    </w:div>
    <w:div w:id="1244342018">
      <w:bodyDiv w:val="1"/>
      <w:marLeft w:val="0"/>
      <w:marRight w:val="0"/>
      <w:marTop w:val="0"/>
      <w:marBottom w:val="0"/>
      <w:divBdr>
        <w:top w:val="none" w:sz="0" w:space="0" w:color="auto"/>
        <w:left w:val="none" w:sz="0" w:space="0" w:color="auto"/>
        <w:bottom w:val="none" w:sz="0" w:space="0" w:color="auto"/>
        <w:right w:val="none" w:sz="0" w:space="0" w:color="auto"/>
      </w:divBdr>
    </w:div>
    <w:div w:id="1249385505">
      <w:bodyDiv w:val="1"/>
      <w:marLeft w:val="0"/>
      <w:marRight w:val="0"/>
      <w:marTop w:val="0"/>
      <w:marBottom w:val="0"/>
      <w:divBdr>
        <w:top w:val="none" w:sz="0" w:space="0" w:color="auto"/>
        <w:left w:val="none" w:sz="0" w:space="0" w:color="auto"/>
        <w:bottom w:val="none" w:sz="0" w:space="0" w:color="auto"/>
        <w:right w:val="none" w:sz="0" w:space="0" w:color="auto"/>
      </w:divBdr>
    </w:div>
    <w:div w:id="1250037923">
      <w:bodyDiv w:val="1"/>
      <w:marLeft w:val="0"/>
      <w:marRight w:val="0"/>
      <w:marTop w:val="0"/>
      <w:marBottom w:val="0"/>
      <w:divBdr>
        <w:top w:val="none" w:sz="0" w:space="0" w:color="auto"/>
        <w:left w:val="none" w:sz="0" w:space="0" w:color="auto"/>
        <w:bottom w:val="none" w:sz="0" w:space="0" w:color="auto"/>
        <w:right w:val="none" w:sz="0" w:space="0" w:color="auto"/>
      </w:divBdr>
    </w:div>
    <w:div w:id="1252814435">
      <w:bodyDiv w:val="1"/>
      <w:marLeft w:val="0"/>
      <w:marRight w:val="0"/>
      <w:marTop w:val="0"/>
      <w:marBottom w:val="0"/>
      <w:divBdr>
        <w:top w:val="none" w:sz="0" w:space="0" w:color="auto"/>
        <w:left w:val="none" w:sz="0" w:space="0" w:color="auto"/>
        <w:bottom w:val="none" w:sz="0" w:space="0" w:color="auto"/>
        <w:right w:val="none" w:sz="0" w:space="0" w:color="auto"/>
      </w:divBdr>
    </w:div>
    <w:div w:id="1260219529">
      <w:bodyDiv w:val="1"/>
      <w:marLeft w:val="0"/>
      <w:marRight w:val="0"/>
      <w:marTop w:val="0"/>
      <w:marBottom w:val="0"/>
      <w:divBdr>
        <w:top w:val="none" w:sz="0" w:space="0" w:color="auto"/>
        <w:left w:val="none" w:sz="0" w:space="0" w:color="auto"/>
        <w:bottom w:val="none" w:sz="0" w:space="0" w:color="auto"/>
        <w:right w:val="none" w:sz="0" w:space="0" w:color="auto"/>
      </w:divBdr>
    </w:div>
    <w:div w:id="1262371883">
      <w:bodyDiv w:val="1"/>
      <w:marLeft w:val="0"/>
      <w:marRight w:val="0"/>
      <w:marTop w:val="0"/>
      <w:marBottom w:val="0"/>
      <w:divBdr>
        <w:top w:val="none" w:sz="0" w:space="0" w:color="auto"/>
        <w:left w:val="none" w:sz="0" w:space="0" w:color="auto"/>
        <w:bottom w:val="none" w:sz="0" w:space="0" w:color="auto"/>
        <w:right w:val="none" w:sz="0" w:space="0" w:color="auto"/>
      </w:divBdr>
    </w:div>
    <w:div w:id="1282033063">
      <w:bodyDiv w:val="1"/>
      <w:marLeft w:val="0"/>
      <w:marRight w:val="0"/>
      <w:marTop w:val="0"/>
      <w:marBottom w:val="0"/>
      <w:divBdr>
        <w:top w:val="none" w:sz="0" w:space="0" w:color="auto"/>
        <w:left w:val="none" w:sz="0" w:space="0" w:color="auto"/>
        <w:bottom w:val="none" w:sz="0" w:space="0" w:color="auto"/>
        <w:right w:val="none" w:sz="0" w:space="0" w:color="auto"/>
      </w:divBdr>
    </w:div>
    <w:div w:id="1291981414">
      <w:bodyDiv w:val="1"/>
      <w:marLeft w:val="0"/>
      <w:marRight w:val="0"/>
      <w:marTop w:val="0"/>
      <w:marBottom w:val="0"/>
      <w:divBdr>
        <w:top w:val="none" w:sz="0" w:space="0" w:color="auto"/>
        <w:left w:val="none" w:sz="0" w:space="0" w:color="auto"/>
        <w:bottom w:val="none" w:sz="0" w:space="0" w:color="auto"/>
        <w:right w:val="none" w:sz="0" w:space="0" w:color="auto"/>
      </w:divBdr>
    </w:div>
    <w:div w:id="1294023434">
      <w:bodyDiv w:val="1"/>
      <w:marLeft w:val="0"/>
      <w:marRight w:val="0"/>
      <w:marTop w:val="0"/>
      <w:marBottom w:val="0"/>
      <w:divBdr>
        <w:top w:val="none" w:sz="0" w:space="0" w:color="auto"/>
        <w:left w:val="none" w:sz="0" w:space="0" w:color="auto"/>
        <w:bottom w:val="none" w:sz="0" w:space="0" w:color="auto"/>
        <w:right w:val="none" w:sz="0" w:space="0" w:color="auto"/>
      </w:divBdr>
    </w:div>
    <w:div w:id="1303191185">
      <w:bodyDiv w:val="1"/>
      <w:marLeft w:val="0"/>
      <w:marRight w:val="0"/>
      <w:marTop w:val="0"/>
      <w:marBottom w:val="0"/>
      <w:divBdr>
        <w:top w:val="none" w:sz="0" w:space="0" w:color="auto"/>
        <w:left w:val="none" w:sz="0" w:space="0" w:color="auto"/>
        <w:bottom w:val="none" w:sz="0" w:space="0" w:color="auto"/>
        <w:right w:val="none" w:sz="0" w:space="0" w:color="auto"/>
      </w:divBdr>
    </w:div>
    <w:div w:id="1306548505">
      <w:bodyDiv w:val="1"/>
      <w:marLeft w:val="0"/>
      <w:marRight w:val="0"/>
      <w:marTop w:val="0"/>
      <w:marBottom w:val="0"/>
      <w:divBdr>
        <w:top w:val="none" w:sz="0" w:space="0" w:color="auto"/>
        <w:left w:val="none" w:sz="0" w:space="0" w:color="auto"/>
        <w:bottom w:val="none" w:sz="0" w:space="0" w:color="auto"/>
        <w:right w:val="none" w:sz="0" w:space="0" w:color="auto"/>
      </w:divBdr>
    </w:div>
    <w:div w:id="1317145764">
      <w:bodyDiv w:val="1"/>
      <w:marLeft w:val="0"/>
      <w:marRight w:val="0"/>
      <w:marTop w:val="0"/>
      <w:marBottom w:val="0"/>
      <w:divBdr>
        <w:top w:val="none" w:sz="0" w:space="0" w:color="auto"/>
        <w:left w:val="none" w:sz="0" w:space="0" w:color="auto"/>
        <w:bottom w:val="none" w:sz="0" w:space="0" w:color="auto"/>
        <w:right w:val="none" w:sz="0" w:space="0" w:color="auto"/>
      </w:divBdr>
    </w:div>
    <w:div w:id="1319068671">
      <w:bodyDiv w:val="1"/>
      <w:marLeft w:val="0"/>
      <w:marRight w:val="0"/>
      <w:marTop w:val="0"/>
      <w:marBottom w:val="0"/>
      <w:divBdr>
        <w:top w:val="none" w:sz="0" w:space="0" w:color="auto"/>
        <w:left w:val="none" w:sz="0" w:space="0" w:color="auto"/>
        <w:bottom w:val="none" w:sz="0" w:space="0" w:color="auto"/>
        <w:right w:val="none" w:sz="0" w:space="0" w:color="auto"/>
      </w:divBdr>
    </w:div>
    <w:div w:id="1333558490">
      <w:bodyDiv w:val="1"/>
      <w:marLeft w:val="0"/>
      <w:marRight w:val="0"/>
      <w:marTop w:val="0"/>
      <w:marBottom w:val="0"/>
      <w:divBdr>
        <w:top w:val="none" w:sz="0" w:space="0" w:color="auto"/>
        <w:left w:val="none" w:sz="0" w:space="0" w:color="auto"/>
        <w:bottom w:val="none" w:sz="0" w:space="0" w:color="auto"/>
        <w:right w:val="none" w:sz="0" w:space="0" w:color="auto"/>
      </w:divBdr>
    </w:div>
    <w:div w:id="1337805030">
      <w:bodyDiv w:val="1"/>
      <w:marLeft w:val="0"/>
      <w:marRight w:val="0"/>
      <w:marTop w:val="0"/>
      <w:marBottom w:val="0"/>
      <w:divBdr>
        <w:top w:val="none" w:sz="0" w:space="0" w:color="auto"/>
        <w:left w:val="none" w:sz="0" w:space="0" w:color="auto"/>
        <w:bottom w:val="none" w:sz="0" w:space="0" w:color="auto"/>
        <w:right w:val="none" w:sz="0" w:space="0" w:color="auto"/>
      </w:divBdr>
    </w:div>
    <w:div w:id="1349214247">
      <w:bodyDiv w:val="1"/>
      <w:marLeft w:val="0"/>
      <w:marRight w:val="0"/>
      <w:marTop w:val="0"/>
      <w:marBottom w:val="0"/>
      <w:divBdr>
        <w:top w:val="none" w:sz="0" w:space="0" w:color="auto"/>
        <w:left w:val="none" w:sz="0" w:space="0" w:color="auto"/>
        <w:bottom w:val="none" w:sz="0" w:space="0" w:color="auto"/>
        <w:right w:val="none" w:sz="0" w:space="0" w:color="auto"/>
      </w:divBdr>
    </w:div>
    <w:div w:id="1353650934">
      <w:bodyDiv w:val="1"/>
      <w:marLeft w:val="0"/>
      <w:marRight w:val="0"/>
      <w:marTop w:val="0"/>
      <w:marBottom w:val="0"/>
      <w:divBdr>
        <w:top w:val="none" w:sz="0" w:space="0" w:color="auto"/>
        <w:left w:val="none" w:sz="0" w:space="0" w:color="auto"/>
        <w:bottom w:val="none" w:sz="0" w:space="0" w:color="auto"/>
        <w:right w:val="none" w:sz="0" w:space="0" w:color="auto"/>
      </w:divBdr>
    </w:div>
    <w:div w:id="1357737018">
      <w:bodyDiv w:val="1"/>
      <w:marLeft w:val="0"/>
      <w:marRight w:val="0"/>
      <w:marTop w:val="0"/>
      <w:marBottom w:val="0"/>
      <w:divBdr>
        <w:top w:val="none" w:sz="0" w:space="0" w:color="auto"/>
        <w:left w:val="none" w:sz="0" w:space="0" w:color="auto"/>
        <w:bottom w:val="none" w:sz="0" w:space="0" w:color="auto"/>
        <w:right w:val="none" w:sz="0" w:space="0" w:color="auto"/>
      </w:divBdr>
    </w:div>
    <w:div w:id="1359358464">
      <w:bodyDiv w:val="1"/>
      <w:marLeft w:val="0"/>
      <w:marRight w:val="0"/>
      <w:marTop w:val="0"/>
      <w:marBottom w:val="0"/>
      <w:divBdr>
        <w:top w:val="none" w:sz="0" w:space="0" w:color="auto"/>
        <w:left w:val="none" w:sz="0" w:space="0" w:color="auto"/>
        <w:bottom w:val="none" w:sz="0" w:space="0" w:color="auto"/>
        <w:right w:val="none" w:sz="0" w:space="0" w:color="auto"/>
      </w:divBdr>
    </w:div>
    <w:div w:id="1360820198">
      <w:bodyDiv w:val="1"/>
      <w:marLeft w:val="0"/>
      <w:marRight w:val="0"/>
      <w:marTop w:val="0"/>
      <w:marBottom w:val="0"/>
      <w:divBdr>
        <w:top w:val="none" w:sz="0" w:space="0" w:color="auto"/>
        <w:left w:val="none" w:sz="0" w:space="0" w:color="auto"/>
        <w:bottom w:val="none" w:sz="0" w:space="0" w:color="auto"/>
        <w:right w:val="none" w:sz="0" w:space="0" w:color="auto"/>
      </w:divBdr>
    </w:div>
    <w:div w:id="1368220679">
      <w:bodyDiv w:val="1"/>
      <w:marLeft w:val="0"/>
      <w:marRight w:val="0"/>
      <w:marTop w:val="0"/>
      <w:marBottom w:val="0"/>
      <w:divBdr>
        <w:top w:val="none" w:sz="0" w:space="0" w:color="auto"/>
        <w:left w:val="none" w:sz="0" w:space="0" w:color="auto"/>
        <w:bottom w:val="none" w:sz="0" w:space="0" w:color="auto"/>
        <w:right w:val="none" w:sz="0" w:space="0" w:color="auto"/>
      </w:divBdr>
    </w:div>
    <w:div w:id="1374495938">
      <w:bodyDiv w:val="1"/>
      <w:marLeft w:val="0"/>
      <w:marRight w:val="0"/>
      <w:marTop w:val="0"/>
      <w:marBottom w:val="0"/>
      <w:divBdr>
        <w:top w:val="none" w:sz="0" w:space="0" w:color="auto"/>
        <w:left w:val="none" w:sz="0" w:space="0" w:color="auto"/>
        <w:bottom w:val="none" w:sz="0" w:space="0" w:color="auto"/>
        <w:right w:val="none" w:sz="0" w:space="0" w:color="auto"/>
      </w:divBdr>
    </w:div>
    <w:div w:id="1391002612">
      <w:bodyDiv w:val="1"/>
      <w:marLeft w:val="0"/>
      <w:marRight w:val="0"/>
      <w:marTop w:val="0"/>
      <w:marBottom w:val="0"/>
      <w:divBdr>
        <w:top w:val="none" w:sz="0" w:space="0" w:color="auto"/>
        <w:left w:val="none" w:sz="0" w:space="0" w:color="auto"/>
        <w:bottom w:val="none" w:sz="0" w:space="0" w:color="auto"/>
        <w:right w:val="none" w:sz="0" w:space="0" w:color="auto"/>
      </w:divBdr>
    </w:div>
    <w:div w:id="1391804764">
      <w:bodyDiv w:val="1"/>
      <w:marLeft w:val="0"/>
      <w:marRight w:val="0"/>
      <w:marTop w:val="0"/>
      <w:marBottom w:val="0"/>
      <w:divBdr>
        <w:top w:val="none" w:sz="0" w:space="0" w:color="auto"/>
        <w:left w:val="none" w:sz="0" w:space="0" w:color="auto"/>
        <w:bottom w:val="none" w:sz="0" w:space="0" w:color="auto"/>
        <w:right w:val="none" w:sz="0" w:space="0" w:color="auto"/>
      </w:divBdr>
    </w:div>
    <w:div w:id="1403411202">
      <w:bodyDiv w:val="1"/>
      <w:marLeft w:val="0"/>
      <w:marRight w:val="0"/>
      <w:marTop w:val="0"/>
      <w:marBottom w:val="0"/>
      <w:divBdr>
        <w:top w:val="none" w:sz="0" w:space="0" w:color="auto"/>
        <w:left w:val="none" w:sz="0" w:space="0" w:color="auto"/>
        <w:bottom w:val="none" w:sz="0" w:space="0" w:color="auto"/>
        <w:right w:val="none" w:sz="0" w:space="0" w:color="auto"/>
      </w:divBdr>
    </w:div>
    <w:div w:id="1405765131">
      <w:bodyDiv w:val="1"/>
      <w:marLeft w:val="0"/>
      <w:marRight w:val="0"/>
      <w:marTop w:val="0"/>
      <w:marBottom w:val="0"/>
      <w:divBdr>
        <w:top w:val="none" w:sz="0" w:space="0" w:color="auto"/>
        <w:left w:val="none" w:sz="0" w:space="0" w:color="auto"/>
        <w:bottom w:val="none" w:sz="0" w:space="0" w:color="auto"/>
        <w:right w:val="none" w:sz="0" w:space="0" w:color="auto"/>
      </w:divBdr>
    </w:div>
    <w:div w:id="1409038596">
      <w:bodyDiv w:val="1"/>
      <w:marLeft w:val="0"/>
      <w:marRight w:val="0"/>
      <w:marTop w:val="0"/>
      <w:marBottom w:val="0"/>
      <w:divBdr>
        <w:top w:val="none" w:sz="0" w:space="0" w:color="auto"/>
        <w:left w:val="none" w:sz="0" w:space="0" w:color="auto"/>
        <w:bottom w:val="none" w:sz="0" w:space="0" w:color="auto"/>
        <w:right w:val="none" w:sz="0" w:space="0" w:color="auto"/>
      </w:divBdr>
    </w:div>
    <w:div w:id="1431319457">
      <w:bodyDiv w:val="1"/>
      <w:marLeft w:val="0"/>
      <w:marRight w:val="0"/>
      <w:marTop w:val="0"/>
      <w:marBottom w:val="0"/>
      <w:divBdr>
        <w:top w:val="none" w:sz="0" w:space="0" w:color="auto"/>
        <w:left w:val="none" w:sz="0" w:space="0" w:color="auto"/>
        <w:bottom w:val="none" w:sz="0" w:space="0" w:color="auto"/>
        <w:right w:val="none" w:sz="0" w:space="0" w:color="auto"/>
      </w:divBdr>
      <w:divsChild>
        <w:div w:id="486091764">
          <w:marLeft w:val="0"/>
          <w:marRight w:val="0"/>
          <w:marTop w:val="0"/>
          <w:marBottom w:val="0"/>
          <w:divBdr>
            <w:top w:val="none" w:sz="0" w:space="0" w:color="auto"/>
            <w:left w:val="none" w:sz="0" w:space="0" w:color="auto"/>
            <w:bottom w:val="none" w:sz="0" w:space="0" w:color="auto"/>
            <w:right w:val="none" w:sz="0" w:space="0" w:color="auto"/>
          </w:divBdr>
          <w:divsChild>
            <w:div w:id="1119447198">
              <w:marLeft w:val="0"/>
              <w:marRight w:val="0"/>
              <w:marTop w:val="0"/>
              <w:marBottom w:val="0"/>
              <w:divBdr>
                <w:top w:val="none" w:sz="0" w:space="0" w:color="auto"/>
                <w:left w:val="none" w:sz="0" w:space="0" w:color="auto"/>
                <w:bottom w:val="none" w:sz="0" w:space="0" w:color="auto"/>
                <w:right w:val="none" w:sz="0" w:space="0" w:color="auto"/>
              </w:divBdr>
              <w:divsChild>
                <w:div w:id="311524703">
                  <w:marLeft w:val="0"/>
                  <w:marRight w:val="0"/>
                  <w:marTop w:val="0"/>
                  <w:marBottom w:val="0"/>
                  <w:divBdr>
                    <w:top w:val="none" w:sz="0" w:space="0" w:color="auto"/>
                    <w:left w:val="none" w:sz="0" w:space="0" w:color="auto"/>
                    <w:bottom w:val="none" w:sz="0" w:space="0" w:color="auto"/>
                    <w:right w:val="none" w:sz="0" w:space="0" w:color="auto"/>
                  </w:divBdr>
                  <w:divsChild>
                    <w:div w:id="1636714518">
                      <w:marLeft w:val="0"/>
                      <w:marRight w:val="0"/>
                      <w:marTop w:val="0"/>
                      <w:marBottom w:val="0"/>
                      <w:divBdr>
                        <w:top w:val="none" w:sz="0" w:space="0" w:color="auto"/>
                        <w:left w:val="none" w:sz="0" w:space="0" w:color="auto"/>
                        <w:bottom w:val="none" w:sz="0" w:space="0" w:color="auto"/>
                        <w:right w:val="none" w:sz="0" w:space="0" w:color="auto"/>
                      </w:divBdr>
                      <w:divsChild>
                        <w:div w:id="93659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35396497">
      <w:bodyDiv w:val="1"/>
      <w:marLeft w:val="0"/>
      <w:marRight w:val="0"/>
      <w:marTop w:val="0"/>
      <w:marBottom w:val="0"/>
      <w:divBdr>
        <w:top w:val="none" w:sz="0" w:space="0" w:color="auto"/>
        <w:left w:val="none" w:sz="0" w:space="0" w:color="auto"/>
        <w:bottom w:val="none" w:sz="0" w:space="0" w:color="auto"/>
        <w:right w:val="none" w:sz="0" w:space="0" w:color="auto"/>
      </w:divBdr>
    </w:div>
    <w:div w:id="1448237061">
      <w:bodyDiv w:val="1"/>
      <w:marLeft w:val="0"/>
      <w:marRight w:val="0"/>
      <w:marTop w:val="0"/>
      <w:marBottom w:val="0"/>
      <w:divBdr>
        <w:top w:val="none" w:sz="0" w:space="0" w:color="auto"/>
        <w:left w:val="none" w:sz="0" w:space="0" w:color="auto"/>
        <w:bottom w:val="none" w:sz="0" w:space="0" w:color="auto"/>
        <w:right w:val="none" w:sz="0" w:space="0" w:color="auto"/>
      </w:divBdr>
    </w:div>
    <w:div w:id="1450665012">
      <w:bodyDiv w:val="1"/>
      <w:marLeft w:val="0"/>
      <w:marRight w:val="0"/>
      <w:marTop w:val="0"/>
      <w:marBottom w:val="0"/>
      <w:divBdr>
        <w:top w:val="none" w:sz="0" w:space="0" w:color="auto"/>
        <w:left w:val="none" w:sz="0" w:space="0" w:color="auto"/>
        <w:bottom w:val="none" w:sz="0" w:space="0" w:color="auto"/>
        <w:right w:val="none" w:sz="0" w:space="0" w:color="auto"/>
      </w:divBdr>
    </w:div>
    <w:div w:id="1466853561">
      <w:bodyDiv w:val="1"/>
      <w:marLeft w:val="0"/>
      <w:marRight w:val="0"/>
      <w:marTop w:val="0"/>
      <w:marBottom w:val="0"/>
      <w:divBdr>
        <w:top w:val="none" w:sz="0" w:space="0" w:color="auto"/>
        <w:left w:val="none" w:sz="0" w:space="0" w:color="auto"/>
        <w:bottom w:val="none" w:sz="0" w:space="0" w:color="auto"/>
        <w:right w:val="none" w:sz="0" w:space="0" w:color="auto"/>
      </w:divBdr>
    </w:div>
    <w:div w:id="1470049964">
      <w:bodyDiv w:val="1"/>
      <w:marLeft w:val="0"/>
      <w:marRight w:val="0"/>
      <w:marTop w:val="0"/>
      <w:marBottom w:val="0"/>
      <w:divBdr>
        <w:top w:val="none" w:sz="0" w:space="0" w:color="auto"/>
        <w:left w:val="none" w:sz="0" w:space="0" w:color="auto"/>
        <w:bottom w:val="none" w:sz="0" w:space="0" w:color="auto"/>
        <w:right w:val="none" w:sz="0" w:space="0" w:color="auto"/>
      </w:divBdr>
    </w:div>
    <w:div w:id="1470395224">
      <w:bodyDiv w:val="1"/>
      <w:marLeft w:val="0"/>
      <w:marRight w:val="0"/>
      <w:marTop w:val="0"/>
      <w:marBottom w:val="0"/>
      <w:divBdr>
        <w:top w:val="none" w:sz="0" w:space="0" w:color="auto"/>
        <w:left w:val="none" w:sz="0" w:space="0" w:color="auto"/>
        <w:bottom w:val="none" w:sz="0" w:space="0" w:color="auto"/>
        <w:right w:val="none" w:sz="0" w:space="0" w:color="auto"/>
      </w:divBdr>
    </w:div>
    <w:div w:id="1479035122">
      <w:bodyDiv w:val="1"/>
      <w:marLeft w:val="0"/>
      <w:marRight w:val="0"/>
      <w:marTop w:val="0"/>
      <w:marBottom w:val="0"/>
      <w:divBdr>
        <w:top w:val="none" w:sz="0" w:space="0" w:color="auto"/>
        <w:left w:val="none" w:sz="0" w:space="0" w:color="auto"/>
        <w:bottom w:val="none" w:sz="0" w:space="0" w:color="auto"/>
        <w:right w:val="none" w:sz="0" w:space="0" w:color="auto"/>
      </w:divBdr>
    </w:div>
    <w:div w:id="1481268060">
      <w:bodyDiv w:val="1"/>
      <w:marLeft w:val="0"/>
      <w:marRight w:val="0"/>
      <w:marTop w:val="0"/>
      <w:marBottom w:val="0"/>
      <w:divBdr>
        <w:top w:val="none" w:sz="0" w:space="0" w:color="auto"/>
        <w:left w:val="none" w:sz="0" w:space="0" w:color="auto"/>
        <w:bottom w:val="none" w:sz="0" w:space="0" w:color="auto"/>
        <w:right w:val="none" w:sz="0" w:space="0" w:color="auto"/>
      </w:divBdr>
    </w:div>
    <w:div w:id="1481775025">
      <w:bodyDiv w:val="1"/>
      <w:marLeft w:val="0"/>
      <w:marRight w:val="0"/>
      <w:marTop w:val="0"/>
      <w:marBottom w:val="0"/>
      <w:divBdr>
        <w:top w:val="none" w:sz="0" w:space="0" w:color="auto"/>
        <w:left w:val="none" w:sz="0" w:space="0" w:color="auto"/>
        <w:bottom w:val="none" w:sz="0" w:space="0" w:color="auto"/>
        <w:right w:val="none" w:sz="0" w:space="0" w:color="auto"/>
      </w:divBdr>
    </w:div>
    <w:div w:id="1488402824">
      <w:bodyDiv w:val="1"/>
      <w:marLeft w:val="0"/>
      <w:marRight w:val="0"/>
      <w:marTop w:val="0"/>
      <w:marBottom w:val="0"/>
      <w:divBdr>
        <w:top w:val="none" w:sz="0" w:space="0" w:color="auto"/>
        <w:left w:val="none" w:sz="0" w:space="0" w:color="auto"/>
        <w:bottom w:val="none" w:sz="0" w:space="0" w:color="auto"/>
        <w:right w:val="none" w:sz="0" w:space="0" w:color="auto"/>
      </w:divBdr>
    </w:div>
    <w:div w:id="1489442704">
      <w:bodyDiv w:val="1"/>
      <w:marLeft w:val="0"/>
      <w:marRight w:val="0"/>
      <w:marTop w:val="0"/>
      <w:marBottom w:val="0"/>
      <w:divBdr>
        <w:top w:val="none" w:sz="0" w:space="0" w:color="auto"/>
        <w:left w:val="none" w:sz="0" w:space="0" w:color="auto"/>
        <w:bottom w:val="none" w:sz="0" w:space="0" w:color="auto"/>
        <w:right w:val="none" w:sz="0" w:space="0" w:color="auto"/>
      </w:divBdr>
    </w:div>
    <w:div w:id="1491169723">
      <w:bodyDiv w:val="1"/>
      <w:marLeft w:val="0"/>
      <w:marRight w:val="0"/>
      <w:marTop w:val="0"/>
      <w:marBottom w:val="0"/>
      <w:divBdr>
        <w:top w:val="none" w:sz="0" w:space="0" w:color="auto"/>
        <w:left w:val="none" w:sz="0" w:space="0" w:color="auto"/>
        <w:bottom w:val="none" w:sz="0" w:space="0" w:color="auto"/>
        <w:right w:val="none" w:sz="0" w:space="0" w:color="auto"/>
      </w:divBdr>
    </w:div>
    <w:div w:id="1496527081">
      <w:bodyDiv w:val="1"/>
      <w:marLeft w:val="0"/>
      <w:marRight w:val="0"/>
      <w:marTop w:val="0"/>
      <w:marBottom w:val="0"/>
      <w:divBdr>
        <w:top w:val="none" w:sz="0" w:space="0" w:color="auto"/>
        <w:left w:val="none" w:sz="0" w:space="0" w:color="auto"/>
        <w:bottom w:val="none" w:sz="0" w:space="0" w:color="auto"/>
        <w:right w:val="none" w:sz="0" w:space="0" w:color="auto"/>
      </w:divBdr>
    </w:div>
    <w:div w:id="1503741773">
      <w:bodyDiv w:val="1"/>
      <w:marLeft w:val="0"/>
      <w:marRight w:val="0"/>
      <w:marTop w:val="0"/>
      <w:marBottom w:val="0"/>
      <w:divBdr>
        <w:top w:val="none" w:sz="0" w:space="0" w:color="auto"/>
        <w:left w:val="none" w:sz="0" w:space="0" w:color="auto"/>
        <w:bottom w:val="none" w:sz="0" w:space="0" w:color="auto"/>
        <w:right w:val="none" w:sz="0" w:space="0" w:color="auto"/>
      </w:divBdr>
    </w:div>
    <w:div w:id="1511063930">
      <w:bodyDiv w:val="1"/>
      <w:marLeft w:val="0"/>
      <w:marRight w:val="0"/>
      <w:marTop w:val="0"/>
      <w:marBottom w:val="0"/>
      <w:divBdr>
        <w:top w:val="none" w:sz="0" w:space="0" w:color="auto"/>
        <w:left w:val="none" w:sz="0" w:space="0" w:color="auto"/>
        <w:bottom w:val="none" w:sz="0" w:space="0" w:color="auto"/>
        <w:right w:val="none" w:sz="0" w:space="0" w:color="auto"/>
      </w:divBdr>
    </w:div>
    <w:div w:id="1511329316">
      <w:bodyDiv w:val="1"/>
      <w:marLeft w:val="0"/>
      <w:marRight w:val="0"/>
      <w:marTop w:val="0"/>
      <w:marBottom w:val="0"/>
      <w:divBdr>
        <w:top w:val="none" w:sz="0" w:space="0" w:color="auto"/>
        <w:left w:val="none" w:sz="0" w:space="0" w:color="auto"/>
        <w:bottom w:val="none" w:sz="0" w:space="0" w:color="auto"/>
        <w:right w:val="none" w:sz="0" w:space="0" w:color="auto"/>
      </w:divBdr>
    </w:div>
    <w:div w:id="1527985070">
      <w:bodyDiv w:val="1"/>
      <w:marLeft w:val="0"/>
      <w:marRight w:val="0"/>
      <w:marTop w:val="0"/>
      <w:marBottom w:val="0"/>
      <w:divBdr>
        <w:top w:val="none" w:sz="0" w:space="0" w:color="auto"/>
        <w:left w:val="none" w:sz="0" w:space="0" w:color="auto"/>
        <w:bottom w:val="none" w:sz="0" w:space="0" w:color="auto"/>
        <w:right w:val="none" w:sz="0" w:space="0" w:color="auto"/>
      </w:divBdr>
    </w:div>
    <w:div w:id="1531186382">
      <w:bodyDiv w:val="1"/>
      <w:marLeft w:val="0"/>
      <w:marRight w:val="0"/>
      <w:marTop w:val="0"/>
      <w:marBottom w:val="0"/>
      <w:divBdr>
        <w:top w:val="none" w:sz="0" w:space="0" w:color="auto"/>
        <w:left w:val="none" w:sz="0" w:space="0" w:color="auto"/>
        <w:bottom w:val="none" w:sz="0" w:space="0" w:color="auto"/>
        <w:right w:val="none" w:sz="0" w:space="0" w:color="auto"/>
      </w:divBdr>
    </w:div>
    <w:div w:id="1536888565">
      <w:bodyDiv w:val="1"/>
      <w:marLeft w:val="0"/>
      <w:marRight w:val="0"/>
      <w:marTop w:val="0"/>
      <w:marBottom w:val="0"/>
      <w:divBdr>
        <w:top w:val="none" w:sz="0" w:space="0" w:color="auto"/>
        <w:left w:val="none" w:sz="0" w:space="0" w:color="auto"/>
        <w:bottom w:val="none" w:sz="0" w:space="0" w:color="auto"/>
        <w:right w:val="none" w:sz="0" w:space="0" w:color="auto"/>
      </w:divBdr>
    </w:div>
    <w:div w:id="1544631234">
      <w:bodyDiv w:val="1"/>
      <w:marLeft w:val="0"/>
      <w:marRight w:val="0"/>
      <w:marTop w:val="0"/>
      <w:marBottom w:val="0"/>
      <w:divBdr>
        <w:top w:val="none" w:sz="0" w:space="0" w:color="auto"/>
        <w:left w:val="none" w:sz="0" w:space="0" w:color="auto"/>
        <w:bottom w:val="none" w:sz="0" w:space="0" w:color="auto"/>
        <w:right w:val="none" w:sz="0" w:space="0" w:color="auto"/>
      </w:divBdr>
    </w:div>
    <w:div w:id="1548104325">
      <w:bodyDiv w:val="1"/>
      <w:marLeft w:val="0"/>
      <w:marRight w:val="0"/>
      <w:marTop w:val="0"/>
      <w:marBottom w:val="0"/>
      <w:divBdr>
        <w:top w:val="none" w:sz="0" w:space="0" w:color="auto"/>
        <w:left w:val="none" w:sz="0" w:space="0" w:color="auto"/>
        <w:bottom w:val="none" w:sz="0" w:space="0" w:color="auto"/>
        <w:right w:val="none" w:sz="0" w:space="0" w:color="auto"/>
      </w:divBdr>
    </w:div>
    <w:div w:id="1548643504">
      <w:bodyDiv w:val="1"/>
      <w:marLeft w:val="0"/>
      <w:marRight w:val="0"/>
      <w:marTop w:val="0"/>
      <w:marBottom w:val="0"/>
      <w:divBdr>
        <w:top w:val="none" w:sz="0" w:space="0" w:color="auto"/>
        <w:left w:val="none" w:sz="0" w:space="0" w:color="auto"/>
        <w:bottom w:val="none" w:sz="0" w:space="0" w:color="auto"/>
        <w:right w:val="none" w:sz="0" w:space="0" w:color="auto"/>
      </w:divBdr>
    </w:div>
    <w:div w:id="1558123918">
      <w:bodyDiv w:val="1"/>
      <w:marLeft w:val="0"/>
      <w:marRight w:val="0"/>
      <w:marTop w:val="0"/>
      <w:marBottom w:val="0"/>
      <w:divBdr>
        <w:top w:val="none" w:sz="0" w:space="0" w:color="auto"/>
        <w:left w:val="none" w:sz="0" w:space="0" w:color="auto"/>
        <w:bottom w:val="none" w:sz="0" w:space="0" w:color="auto"/>
        <w:right w:val="none" w:sz="0" w:space="0" w:color="auto"/>
      </w:divBdr>
    </w:div>
    <w:div w:id="1559168613">
      <w:bodyDiv w:val="1"/>
      <w:marLeft w:val="0"/>
      <w:marRight w:val="0"/>
      <w:marTop w:val="0"/>
      <w:marBottom w:val="0"/>
      <w:divBdr>
        <w:top w:val="none" w:sz="0" w:space="0" w:color="auto"/>
        <w:left w:val="none" w:sz="0" w:space="0" w:color="auto"/>
        <w:bottom w:val="none" w:sz="0" w:space="0" w:color="auto"/>
        <w:right w:val="none" w:sz="0" w:space="0" w:color="auto"/>
      </w:divBdr>
    </w:div>
    <w:div w:id="1567111560">
      <w:bodyDiv w:val="1"/>
      <w:marLeft w:val="0"/>
      <w:marRight w:val="0"/>
      <w:marTop w:val="0"/>
      <w:marBottom w:val="0"/>
      <w:divBdr>
        <w:top w:val="none" w:sz="0" w:space="0" w:color="auto"/>
        <w:left w:val="none" w:sz="0" w:space="0" w:color="auto"/>
        <w:bottom w:val="none" w:sz="0" w:space="0" w:color="auto"/>
        <w:right w:val="none" w:sz="0" w:space="0" w:color="auto"/>
      </w:divBdr>
    </w:div>
    <w:div w:id="1568028137">
      <w:bodyDiv w:val="1"/>
      <w:marLeft w:val="0"/>
      <w:marRight w:val="0"/>
      <w:marTop w:val="0"/>
      <w:marBottom w:val="0"/>
      <w:divBdr>
        <w:top w:val="none" w:sz="0" w:space="0" w:color="auto"/>
        <w:left w:val="none" w:sz="0" w:space="0" w:color="auto"/>
        <w:bottom w:val="none" w:sz="0" w:space="0" w:color="auto"/>
        <w:right w:val="none" w:sz="0" w:space="0" w:color="auto"/>
      </w:divBdr>
    </w:div>
    <w:div w:id="1578052144">
      <w:bodyDiv w:val="1"/>
      <w:marLeft w:val="0"/>
      <w:marRight w:val="0"/>
      <w:marTop w:val="0"/>
      <w:marBottom w:val="0"/>
      <w:divBdr>
        <w:top w:val="none" w:sz="0" w:space="0" w:color="auto"/>
        <w:left w:val="none" w:sz="0" w:space="0" w:color="auto"/>
        <w:bottom w:val="none" w:sz="0" w:space="0" w:color="auto"/>
        <w:right w:val="none" w:sz="0" w:space="0" w:color="auto"/>
      </w:divBdr>
    </w:div>
    <w:div w:id="1583834929">
      <w:bodyDiv w:val="1"/>
      <w:marLeft w:val="0"/>
      <w:marRight w:val="0"/>
      <w:marTop w:val="0"/>
      <w:marBottom w:val="0"/>
      <w:divBdr>
        <w:top w:val="none" w:sz="0" w:space="0" w:color="auto"/>
        <w:left w:val="none" w:sz="0" w:space="0" w:color="auto"/>
        <w:bottom w:val="none" w:sz="0" w:space="0" w:color="auto"/>
        <w:right w:val="none" w:sz="0" w:space="0" w:color="auto"/>
      </w:divBdr>
    </w:div>
    <w:div w:id="1590043590">
      <w:bodyDiv w:val="1"/>
      <w:marLeft w:val="0"/>
      <w:marRight w:val="0"/>
      <w:marTop w:val="0"/>
      <w:marBottom w:val="0"/>
      <w:divBdr>
        <w:top w:val="none" w:sz="0" w:space="0" w:color="auto"/>
        <w:left w:val="none" w:sz="0" w:space="0" w:color="auto"/>
        <w:bottom w:val="none" w:sz="0" w:space="0" w:color="auto"/>
        <w:right w:val="none" w:sz="0" w:space="0" w:color="auto"/>
      </w:divBdr>
    </w:div>
    <w:div w:id="1603027833">
      <w:bodyDiv w:val="1"/>
      <w:marLeft w:val="0"/>
      <w:marRight w:val="0"/>
      <w:marTop w:val="0"/>
      <w:marBottom w:val="0"/>
      <w:divBdr>
        <w:top w:val="none" w:sz="0" w:space="0" w:color="auto"/>
        <w:left w:val="none" w:sz="0" w:space="0" w:color="auto"/>
        <w:bottom w:val="none" w:sz="0" w:space="0" w:color="auto"/>
        <w:right w:val="none" w:sz="0" w:space="0" w:color="auto"/>
      </w:divBdr>
    </w:div>
    <w:div w:id="1607423412">
      <w:bodyDiv w:val="1"/>
      <w:marLeft w:val="0"/>
      <w:marRight w:val="0"/>
      <w:marTop w:val="0"/>
      <w:marBottom w:val="0"/>
      <w:divBdr>
        <w:top w:val="none" w:sz="0" w:space="0" w:color="auto"/>
        <w:left w:val="none" w:sz="0" w:space="0" w:color="auto"/>
        <w:bottom w:val="none" w:sz="0" w:space="0" w:color="auto"/>
        <w:right w:val="none" w:sz="0" w:space="0" w:color="auto"/>
      </w:divBdr>
    </w:div>
    <w:div w:id="1616214066">
      <w:bodyDiv w:val="1"/>
      <w:marLeft w:val="0"/>
      <w:marRight w:val="0"/>
      <w:marTop w:val="0"/>
      <w:marBottom w:val="0"/>
      <w:divBdr>
        <w:top w:val="none" w:sz="0" w:space="0" w:color="auto"/>
        <w:left w:val="none" w:sz="0" w:space="0" w:color="auto"/>
        <w:bottom w:val="none" w:sz="0" w:space="0" w:color="auto"/>
        <w:right w:val="none" w:sz="0" w:space="0" w:color="auto"/>
      </w:divBdr>
    </w:div>
    <w:div w:id="1617564900">
      <w:bodyDiv w:val="1"/>
      <w:marLeft w:val="0"/>
      <w:marRight w:val="0"/>
      <w:marTop w:val="0"/>
      <w:marBottom w:val="0"/>
      <w:divBdr>
        <w:top w:val="none" w:sz="0" w:space="0" w:color="auto"/>
        <w:left w:val="none" w:sz="0" w:space="0" w:color="auto"/>
        <w:bottom w:val="none" w:sz="0" w:space="0" w:color="auto"/>
        <w:right w:val="none" w:sz="0" w:space="0" w:color="auto"/>
      </w:divBdr>
    </w:div>
    <w:div w:id="1623226872">
      <w:bodyDiv w:val="1"/>
      <w:marLeft w:val="0"/>
      <w:marRight w:val="0"/>
      <w:marTop w:val="0"/>
      <w:marBottom w:val="0"/>
      <w:divBdr>
        <w:top w:val="none" w:sz="0" w:space="0" w:color="auto"/>
        <w:left w:val="none" w:sz="0" w:space="0" w:color="auto"/>
        <w:bottom w:val="none" w:sz="0" w:space="0" w:color="auto"/>
        <w:right w:val="none" w:sz="0" w:space="0" w:color="auto"/>
      </w:divBdr>
    </w:div>
    <w:div w:id="1624844852">
      <w:bodyDiv w:val="1"/>
      <w:marLeft w:val="0"/>
      <w:marRight w:val="0"/>
      <w:marTop w:val="0"/>
      <w:marBottom w:val="0"/>
      <w:divBdr>
        <w:top w:val="none" w:sz="0" w:space="0" w:color="auto"/>
        <w:left w:val="none" w:sz="0" w:space="0" w:color="auto"/>
        <w:bottom w:val="none" w:sz="0" w:space="0" w:color="auto"/>
        <w:right w:val="none" w:sz="0" w:space="0" w:color="auto"/>
      </w:divBdr>
    </w:div>
    <w:div w:id="1627464757">
      <w:bodyDiv w:val="1"/>
      <w:marLeft w:val="0"/>
      <w:marRight w:val="0"/>
      <w:marTop w:val="0"/>
      <w:marBottom w:val="0"/>
      <w:divBdr>
        <w:top w:val="none" w:sz="0" w:space="0" w:color="auto"/>
        <w:left w:val="none" w:sz="0" w:space="0" w:color="auto"/>
        <w:bottom w:val="none" w:sz="0" w:space="0" w:color="auto"/>
        <w:right w:val="none" w:sz="0" w:space="0" w:color="auto"/>
      </w:divBdr>
    </w:div>
    <w:div w:id="1627858580">
      <w:bodyDiv w:val="1"/>
      <w:marLeft w:val="0"/>
      <w:marRight w:val="0"/>
      <w:marTop w:val="0"/>
      <w:marBottom w:val="0"/>
      <w:divBdr>
        <w:top w:val="none" w:sz="0" w:space="0" w:color="auto"/>
        <w:left w:val="none" w:sz="0" w:space="0" w:color="auto"/>
        <w:bottom w:val="none" w:sz="0" w:space="0" w:color="auto"/>
        <w:right w:val="none" w:sz="0" w:space="0" w:color="auto"/>
      </w:divBdr>
    </w:div>
    <w:div w:id="1635089931">
      <w:bodyDiv w:val="1"/>
      <w:marLeft w:val="0"/>
      <w:marRight w:val="0"/>
      <w:marTop w:val="0"/>
      <w:marBottom w:val="0"/>
      <w:divBdr>
        <w:top w:val="none" w:sz="0" w:space="0" w:color="auto"/>
        <w:left w:val="none" w:sz="0" w:space="0" w:color="auto"/>
        <w:bottom w:val="none" w:sz="0" w:space="0" w:color="auto"/>
        <w:right w:val="none" w:sz="0" w:space="0" w:color="auto"/>
      </w:divBdr>
    </w:div>
    <w:div w:id="1639258692">
      <w:bodyDiv w:val="1"/>
      <w:marLeft w:val="0"/>
      <w:marRight w:val="0"/>
      <w:marTop w:val="0"/>
      <w:marBottom w:val="0"/>
      <w:divBdr>
        <w:top w:val="none" w:sz="0" w:space="0" w:color="auto"/>
        <w:left w:val="none" w:sz="0" w:space="0" w:color="auto"/>
        <w:bottom w:val="none" w:sz="0" w:space="0" w:color="auto"/>
        <w:right w:val="none" w:sz="0" w:space="0" w:color="auto"/>
      </w:divBdr>
    </w:div>
    <w:div w:id="1650397859">
      <w:bodyDiv w:val="1"/>
      <w:marLeft w:val="0"/>
      <w:marRight w:val="0"/>
      <w:marTop w:val="0"/>
      <w:marBottom w:val="0"/>
      <w:divBdr>
        <w:top w:val="none" w:sz="0" w:space="0" w:color="auto"/>
        <w:left w:val="none" w:sz="0" w:space="0" w:color="auto"/>
        <w:bottom w:val="none" w:sz="0" w:space="0" w:color="auto"/>
        <w:right w:val="none" w:sz="0" w:space="0" w:color="auto"/>
      </w:divBdr>
    </w:div>
    <w:div w:id="1662007774">
      <w:bodyDiv w:val="1"/>
      <w:marLeft w:val="0"/>
      <w:marRight w:val="0"/>
      <w:marTop w:val="0"/>
      <w:marBottom w:val="0"/>
      <w:divBdr>
        <w:top w:val="none" w:sz="0" w:space="0" w:color="auto"/>
        <w:left w:val="none" w:sz="0" w:space="0" w:color="auto"/>
        <w:bottom w:val="none" w:sz="0" w:space="0" w:color="auto"/>
        <w:right w:val="none" w:sz="0" w:space="0" w:color="auto"/>
      </w:divBdr>
    </w:div>
    <w:div w:id="1666975432">
      <w:bodyDiv w:val="1"/>
      <w:marLeft w:val="0"/>
      <w:marRight w:val="0"/>
      <w:marTop w:val="0"/>
      <w:marBottom w:val="0"/>
      <w:divBdr>
        <w:top w:val="none" w:sz="0" w:space="0" w:color="auto"/>
        <w:left w:val="none" w:sz="0" w:space="0" w:color="auto"/>
        <w:bottom w:val="none" w:sz="0" w:space="0" w:color="auto"/>
        <w:right w:val="none" w:sz="0" w:space="0" w:color="auto"/>
      </w:divBdr>
    </w:div>
    <w:div w:id="1675916921">
      <w:bodyDiv w:val="1"/>
      <w:marLeft w:val="0"/>
      <w:marRight w:val="0"/>
      <w:marTop w:val="0"/>
      <w:marBottom w:val="0"/>
      <w:divBdr>
        <w:top w:val="none" w:sz="0" w:space="0" w:color="auto"/>
        <w:left w:val="none" w:sz="0" w:space="0" w:color="auto"/>
        <w:bottom w:val="none" w:sz="0" w:space="0" w:color="auto"/>
        <w:right w:val="none" w:sz="0" w:space="0" w:color="auto"/>
      </w:divBdr>
    </w:div>
    <w:div w:id="1708024804">
      <w:bodyDiv w:val="1"/>
      <w:marLeft w:val="0"/>
      <w:marRight w:val="0"/>
      <w:marTop w:val="0"/>
      <w:marBottom w:val="0"/>
      <w:divBdr>
        <w:top w:val="none" w:sz="0" w:space="0" w:color="auto"/>
        <w:left w:val="none" w:sz="0" w:space="0" w:color="auto"/>
        <w:bottom w:val="none" w:sz="0" w:space="0" w:color="auto"/>
        <w:right w:val="none" w:sz="0" w:space="0" w:color="auto"/>
      </w:divBdr>
    </w:div>
    <w:div w:id="1708722711">
      <w:bodyDiv w:val="1"/>
      <w:marLeft w:val="0"/>
      <w:marRight w:val="0"/>
      <w:marTop w:val="0"/>
      <w:marBottom w:val="0"/>
      <w:divBdr>
        <w:top w:val="none" w:sz="0" w:space="0" w:color="auto"/>
        <w:left w:val="none" w:sz="0" w:space="0" w:color="auto"/>
        <w:bottom w:val="none" w:sz="0" w:space="0" w:color="auto"/>
        <w:right w:val="none" w:sz="0" w:space="0" w:color="auto"/>
      </w:divBdr>
    </w:div>
    <w:div w:id="1716588210">
      <w:bodyDiv w:val="1"/>
      <w:marLeft w:val="0"/>
      <w:marRight w:val="0"/>
      <w:marTop w:val="0"/>
      <w:marBottom w:val="0"/>
      <w:divBdr>
        <w:top w:val="none" w:sz="0" w:space="0" w:color="auto"/>
        <w:left w:val="none" w:sz="0" w:space="0" w:color="auto"/>
        <w:bottom w:val="none" w:sz="0" w:space="0" w:color="auto"/>
        <w:right w:val="none" w:sz="0" w:space="0" w:color="auto"/>
      </w:divBdr>
    </w:div>
    <w:div w:id="1720588310">
      <w:bodyDiv w:val="1"/>
      <w:marLeft w:val="0"/>
      <w:marRight w:val="0"/>
      <w:marTop w:val="0"/>
      <w:marBottom w:val="0"/>
      <w:divBdr>
        <w:top w:val="none" w:sz="0" w:space="0" w:color="auto"/>
        <w:left w:val="none" w:sz="0" w:space="0" w:color="auto"/>
        <w:bottom w:val="none" w:sz="0" w:space="0" w:color="auto"/>
        <w:right w:val="none" w:sz="0" w:space="0" w:color="auto"/>
      </w:divBdr>
    </w:div>
    <w:div w:id="1728718468">
      <w:bodyDiv w:val="1"/>
      <w:marLeft w:val="0"/>
      <w:marRight w:val="0"/>
      <w:marTop w:val="0"/>
      <w:marBottom w:val="0"/>
      <w:divBdr>
        <w:top w:val="none" w:sz="0" w:space="0" w:color="auto"/>
        <w:left w:val="none" w:sz="0" w:space="0" w:color="auto"/>
        <w:bottom w:val="none" w:sz="0" w:space="0" w:color="auto"/>
        <w:right w:val="none" w:sz="0" w:space="0" w:color="auto"/>
      </w:divBdr>
    </w:div>
    <w:div w:id="1731345894">
      <w:bodyDiv w:val="1"/>
      <w:marLeft w:val="0"/>
      <w:marRight w:val="0"/>
      <w:marTop w:val="0"/>
      <w:marBottom w:val="0"/>
      <w:divBdr>
        <w:top w:val="none" w:sz="0" w:space="0" w:color="auto"/>
        <w:left w:val="none" w:sz="0" w:space="0" w:color="auto"/>
        <w:bottom w:val="none" w:sz="0" w:space="0" w:color="auto"/>
        <w:right w:val="none" w:sz="0" w:space="0" w:color="auto"/>
      </w:divBdr>
    </w:div>
    <w:div w:id="1737631852">
      <w:bodyDiv w:val="1"/>
      <w:marLeft w:val="0"/>
      <w:marRight w:val="0"/>
      <w:marTop w:val="0"/>
      <w:marBottom w:val="0"/>
      <w:divBdr>
        <w:top w:val="none" w:sz="0" w:space="0" w:color="auto"/>
        <w:left w:val="none" w:sz="0" w:space="0" w:color="auto"/>
        <w:bottom w:val="none" w:sz="0" w:space="0" w:color="auto"/>
        <w:right w:val="none" w:sz="0" w:space="0" w:color="auto"/>
      </w:divBdr>
    </w:div>
    <w:div w:id="1738892214">
      <w:bodyDiv w:val="1"/>
      <w:marLeft w:val="0"/>
      <w:marRight w:val="0"/>
      <w:marTop w:val="0"/>
      <w:marBottom w:val="0"/>
      <w:divBdr>
        <w:top w:val="none" w:sz="0" w:space="0" w:color="auto"/>
        <w:left w:val="none" w:sz="0" w:space="0" w:color="auto"/>
        <w:bottom w:val="none" w:sz="0" w:space="0" w:color="auto"/>
        <w:right w:val="none" w:sz="0" w:space="0" w:color="auto"/>
      </w:divBdr>
    </w:div>
    <w:div w:id="1739088615">
      <w:bodyDiv w:val="1"/>
      <w:marLeft w:val="0"/>
      <w:marRight w:val="0"/>
      <w:marTop w:val="0"/>
      <w:marBottom w:val="0"/>
      <w:divBdr>
        <w:top w:val="none" w:sz="0" w:space="0" w:color="auto"/>
        <w:left w:val="none" w:sz="0" w:space="0" w:color="auto"/>
        <w:bottom w:val="none" w:sz="0" w:space="0" w:color="auto"/>
        <w:right w:val="none" w:sz="0" w:space="0" w:color="auto"/>
      </w:divBdr>
    </w:div>
    <w:div w:id="1751927574">
      <w:bodyDiv w:val="1"/>
      <w:marLeft w:val="0"/>
      <w:marRight w:val="0"/>
      <w:marTop w:val="0"/>
      <w:marBottom w:val="0"/>
      <w:divBdr>
        <w:top w:val="none" w:sz="0" w:space="0" w:color="auto"/>
        <w:left w:val="none" w:sz="0" w:space="0" w:color="auto"/>
        <w:bottom w:val="none" w:sz="0" w:space="0" w:color="auto"/>
        <w:right w:val="none" w:sz="0" w:space="0" w:color="auto"/>
      </w:divBdr>
    </w:div>
    <w:div w:id="1782069118">
      <w:bodyDiv w:val="1"/>
      <w:marLeft w:val="0"/>
      <w:marRight w:val="0"/>
      <w:marTop w:val="0"/>
      <w:marBottom w:val="0"/>
      <w:divBdr>
        <w:top w:val="none" w:sz="0" w:space="0" w:color="auto"/>
        <w:left w:val="none" w:sz="0" w:space="0" w:color="auto"/>
        <w:bottom w:val="none" w:sz="0" w:space="0" w:color="auto"/>
        <w:right w:val="none" w:sz="0" w:space="0" w:color="auto"/>
      </w:divBdr>
    </w:div>
    <w:div w:id="1790930100">
      <w:bodyDiv w:val="1"/>
      <w:marLeft w:val="0"/>
      <w:marRight w:val="0"/>
      <w:marTop w:val="0"/>
      <w:marBottom w:val="0"/>
      <w:divBdr>
        <w:top w:val="none" w:sz="0" w:space="0" w:color="auto"/>
        <w:left w:val="none" w:sz="0" w:space="0" w:color="auto"/>
        <w:bottom w:val="none" w:sz="0" w:space="0" w:color="auto"/>
        <w:right w:val="none" w:sz="0" w:space="0" w:color="auto"/>
      </w:divBdr>
    </w:div>
    <w:div w:id="1793162623">
      <w:bodyDiv w:val="1"/>
      <w:marLeft w:val="0"/>
      <w:marRight w:val="0"/>
      <w:marTop w:val="0"/>
      <w:marBottom w:val="0"/>
      <w:divBdr>
        <w:top w:val="none" w:sz="0" w:space="0" w:color="auto"/>
        <w:left w:val="none" w:sz="0" w:space="0" w:color="auto"/>
        <w:bottom w:val="none" w:sz="0" w:space="0" w:color="auto"/>
        <w:right w:val="none" w:sz="0" w:space="0" w:color="auto"/>
      </w:divBdr>
      <w:divsChild>
        <w:div w:id="260649293">
          <w:marLeft w:val="0"/>
          <w:marRight w:val="0"/>
          <w:marTop w:val="0"/>
          <w:marBottom w:val="0"/>
          <w:divBdr>
            <w:top w:val="none" w:sz="0" w:space="0" w:color="auto"/>
            <w:left w:val="none" w:sz="0" w:space="0" w:color="auto"/>
            <w:bottom w:val="none" w:sz="0" w:space="0" w:color="auto"/>
            <w:right w:val="none" w:sz="0" w:space="0" w:color="auto"/>
          </w:divBdr>
        </w:div>
        <w:div w:id="1587615141">
          <w:marLeft w:val="0"/>
          <w:marRight w:val="0"/>
          <w:marTop w:val="0"/>
          <w:marBottom w:val="0"/>
          <w:divBdr>
            <w:top w:val="none" w:sz="0" w:space="0" w:color="auto"/>
            <w:left w:val="none" w:sz="0" w:space="0" w:color="auto"/>
            <w:bottom w:val="none" w:sz="0" w:space="0" w:color="auto"/>
            <w:right w:val="none" w:sz="0" w:space="0" w:color="auto"/>
          </w:divBdr>
        </w:div>
      </w:divsChild>
    </w:div>
    <w:div w:id="1796562158">
      <w:bodyDiv w:val="1"/>
      <w:marLeft w:val="0"/>
      <w:marRight w:val="0"/>
      <w:marTop w:val="0"/>
      <w:marBottom w:val="0"/>
      <w:divBdr>
        <w:top w:val="none" w:sz="0" w:space="0" w:color="auto"/>
        <w:left w:val="none" w:sz="0" w:space="0" w:color="auto"/>
        <w:bottom w:val="none" w:sz="0" w:space="0" w:color="auto"/>
        <w:right w:val="none" w:sz="0" w:space="0" w:color="auto"/>
      </w:divBdr>
    </w:div>
    <w:div w:id="1797291986">
      <w:bodyDiv w:val="1"/>
      <w:marLeft w:val="0"/>
      <w:marRight w:val="0"/>
      <w:marTop w:val="0"/>
      <w:marBottom w:val="0"/>
      <w:divBdr>
        <w:top w:val="none" w:sz="0" w:space="0" w:color="auto"/>
        <w:left w:val="none" w:sz="0" w:space="0" w:color="auto"/>
        <w:bottom w:val="none" w:sz="0" w:space="0" w:color="auto"/>
        <w:right w:val="none" w:sz="0" w:space="0" w:color="auto"/>
      </w:divBdr>
    </w:div>
    <w:div w:id="1804612812">
      <w:bodyDiv w:val="1"/>
      <w:marLeft w:val="0"/>
      <w:marRight w:val="0"/>
      <w:marTop w:val="0"/>
      <w:marBottom w:val="0"/>
      <w:divBdr>
        <w:top w:val="none" w:sz="0" w:space="0" w:color="auto"/>
        <w:left w:val="none" w:sz="0" w:space="0" w:color="auto"/>
        <w:bottom w:val="none" w:sz="0" w:space="0" w:color="auto"/>
        <w:right w:val="none" w:sz="0" w:space="0" w:color="auto"/>
      </w:divBdr>
    </w:div>
    <w:div w:id="1806727860">
      <w:bodyDiv w:val="1"/>
      <w:marLeft w:val="0"/>
      <w:marRight w:val="0"/>
      <w:marTop w:val="0"/>
      <w:marBottom w:val="0"/>
      <w:divBdr>
        <w:top w:val="none" w:sz="0" w:space="0" w:color="auto"/>
        <w:left w:val="none" w:sz="0" w:space="0" w:color="auto"/>
        <w:bottom w:val="none" w:sz="0" w:space="0" w:color="auto"/>
        <w:right w:val="none" w:sz="0" w:space="0" w:color="auto"/>
      </w:divBdr>
    </w:div>
    <w:div w:id="1817524639">
      <w:bodyDiv w:val="1"/>
      <w:marLeft w:val="0"/>
      <w:marRight w:val="0"/>
      <w:marTop w:val="0"/>
      <w:marBottom w:val="0"/>
      <w:divBdr>
        <w:top w:val="none" w:sz="0" w:space="0" w:color="auto"/>
        <w:left w:val="none" w:sz="0" w:space="0" w:color="auto"/>
        <w:bottom w:val="none" w:sz="0" w:space="0" w:color="auto"/>
        <w:right w:val="none" w:sz="0" w:space="0" w:color="auto"/>
      </w:divBdr>
    </w:div>
    <w:div w:id="1830556290">
      <w:bodyDiv w:val="1"/>
      <w:marLeft w:val="0"/>
      <w:marRight w:val="0"/>
      <w:marTop w:val="0"/>
      <w:marBottom w:val="0"/>
      <w:divBdr>
        <w:top w:val="none" w:sz="0" w:space="0" w:color="auto"/>
        <w:left w:val="none" w:sz="0" w:space="0" w:color="auto"/>
        <w:bottom w:val="none" w:sz="0" w:space="0" w:color="auto"/>
        <w:right w:val="none" w:sz="0" w:space="0" w:color="auto"/>
      </w:divBdr>
    </w:div>
    <w:div w:id="1830824006">
      <w:bodyDiv w:val="1"/>
      <w:marLeft w:val="0"/>
      <w:marRight w:val="0"/>
      <w:marTop w:val="0"/>
      <w:marBottom w:val="0"/>
      <w:divBdr>
        <w:top w:val="none" w:sz="0" w:space="0" w:color="auto"/>
        <w:left w:val="none" w:sz="0" w:space="0" w:color="auto"/>
        <w:bottom w:val="none" w:sz="0" w:space="0" w:color="auto"/>
        <w:right w:val="none" w:sz="0" w:space="0" w:color="auto"/>
      </w:divBdr>
    </w:div>
    <w:div w:id="1835216784">
      <w:bodyDiv w:val="1"/>
      <w:marLeft w:val="0"/>
      <w:marRight w:val="0"/>
      <w:marTop w:val="0"/>
      <w:marBottom w:val="0"/>
      <w:divBdr>
        <w:top w:val="none" w:sz="0" w:space="0" w:color="auto"/>
        <w:left w:val="none" w:sz="0" w:space="0" w:color="auto"/>
        <w:bottom w:val="none" w:sz="0" w:space="0" w:color="auto"/>
        <w:right w:val="none" w:sz="0" w:space="0" w:color="auto"/>
      </w:divBdr>
    </w:div>
    <w:div w:id="1839955549">
      <w:bodyDiv w:val="1"/>
      <w:marLeft w:val="0"/>
      <w:marRight w:val="0"/>
      <w:marTop w:val="0"/>
      <w:marBottom w:val="0"/>
      <w:divBdr>
        <w:top w:val="none" w:sz="0" w:space="0" w:color="auto"/>
        <w:left w:val="none" w:sz="0" w:space="0" w:color="auto"/>
        <w:bottom w:val="none" w:sz="0" w:space="0" w:color="auto"/>
        <w:right w:val="none" w:sz="0" w:space="0" w:color="auto"/>
      </w:divBdr>
    </w:div>
    <w:div w:id="1850871110">
      <w:bodyDiv w:val="1"/>
      <w:marLeft w:val="0"/>
      <w:marRight w:val="0"/>
      <w:marTop w:val="0"/>
      <w:marBottom w:val="0"/>
      <w:divBdr>
        <w:top w:val="none" w:sz="0" w:space="0" w:color="auto"/>
        <w:left w:val="none" w:sz="0" w:space="0" w:color="auto"/>
        <w:bottom w:val="none" w:sz="0" w:space="0" w:color="auto"/>
        <w:right w:val="none" w:sz="0" w:space="0" w:color="auto"/>
      </w:divBdr>
    </w:div>
    <w:div w:id="1870413879">
      <w:bodyDiv w:val="1"/>
      <w:marLeft w:val="0"/>
      <w:marRight w:val="0"/>
      <w:marTop w:val="0"/>
      <w:marBottom w:val="0"/>
      <w:divBdr>
        <w:top w:val="none" w:sz="0" w:space="0" w:color="auto"/>
        <w:left w:val="none" w:sz="0" w:space="0" w:color="auto"/>
        <w:bottom w:val="none" w:sz="0" w:space="0" w:color="auto"/>
        <w:right w:val="none" w:sz="0" w:space="0" w:color="auto"/>
      </w:divBdr>
    </w:div>
    <w:div w:id="1876887311">
      <w:bodyDiv w:val="1"/>
      <w:marLeft w:val="0"/>
      <w:marRight w:val="0"/>
      <w:marTop w:val="0"/>
      <w:marBottom w:val="0"/>
      <w:divBdr>
        <w:top w:val="none" w:sz="0" w:space="0" w:color="auto"/>
        <w:left w:val="none" w:sz="0" w:space="0" w:color="auto"/>
        <w:bottom w:val="none" w:sz="0" w:space="0" w:color="auto"/>
        <w:right w:val="none" w:sz="0" w:space="0" w:color="auto"/>
      </w:divBdr>
    </w:div>
    <w:div w:id="1880244953">
      <w:bodyDiv w:val="1"/>
      <w:marLeft w:val="0"/>
      <w:marRight w:val="0"/>
      <w:marTop w:val="0"/>
      <w:marBottom w:val="0"/>
      <w:divBdr>
        <w:top w:val="none" w:sz="0" w:space="0" w:color="auto"/>
        <w:left w:val="none" w:sz="0" w:space="0" w:color="auto"/>
        <w:bottom w:val="none" w:sz="0" w:space="0" w:color="auto"/>
        <w:right w:val="none" w:sz="0" w:space="0" w:color="auto"/>
      </w:divBdr>
    </w:div>
    <w:div w:id="1888444531">
      <w:bodyDiv w:val="1"/>
      <w:marLeft w:val="0"/>
      <w:marRight w:val="0"/>
      <w:marTop w:val="0"/>
      <w:marBottom w:val="0"/>
      <w:divBdr>
        <w:top w:val="none" w:sz="0" w:space="0" w:color="auto"/>
        <w:left w:val="none" w:sz="0" w:space="0" w:color="auto"/>
        <w:bottom w:val="none" w:sz="0" w:space="0" w:color="auto"/>
        <w:right w:val="none" w:sz="0" w:space="0" w:color="auto"/>
      </w:divBdr>
    </w:div>
    <w:div w:id="1902516504">
      <w:bodyDiv w:val="1"/>
      <w:marLeft w:val="0"/>
      <w:marRight w:val="0"/>
      <w:marTop w:val="0"/>
      <w:marBottom w:val="0"/>
      <w:divBdr>
        <w:top w:val="none" w:sz="0" w:space="0" w:color="auto"/>
        <w:left w:val="none" w:sz="0" w:space="0" w:color="auto"/>
        <w:bottom w:val="none" w:sz="0" w:space="0" w:color="auto"/>
        <w:right w:val="none" w:sz="0" w:space="0" w:color="auto"/>
      </w:divBdr>
    </w:div>
    <w:div w:id="1904480775">
      <w:bodyDiv w:val="1"/>
      <w:marLeft w:val="0"/>
      <w:marRight w:val="0"/>
      <w:marTop w:val="0"/>
      <w:marBottom w:val="0"/>
      <w:divBdr>
        <w:top w:val="none" w:sz="0" w:space="0" w:color="auto"/>
        <w:left w:val="none" w:sz="0" w:space="0" w:color="auto"/>
        <w:bottom w:val="none" w:sz="0" w:space="0" w:color="auto"/>
        <w:right w:val="none" w:sz="0" w:space="0" w:color="auto"/>
      </w:divBdr>
    </w:div>
    <w:div w:id="1915314799">
      <w:bodyDiv w:val="1"/>
      <w:marLeft w:val="0"/>
      <w:marRight w:val="0"/>
      <w:marTop w:val="0"/>
      <w:marBottom w:val="0"/>
      <w:divBdr>
        <w:top w:val="none" w:sz="0" w:space="0" w:color="auto"/>
        <w:left w:val="none" w:sz="0" w:space="0" w:color="auto"/>
        <w:bottom w:val="none" w:sz="0" w:space="0" w:color="auto"/>
        <w:right w:val="none" w:sz="0" w:space="0" w:color="auto"/>
      </w:divBdr>
    </w:div>
    <w:div w:id="1928536465">
      <w:bodyDiv w:val="1"/>
      <w:marLeft w:val="0"/>
      <w:marRight w:val="0"/>
      <w:marTop w:val="0"/>
      <w:marBottom w:val="0"/>
      <w:divBdr>
        <w:top w:val="none" w:sz="0" w:space="0" w:color="auto"/>
        <w:left w:val="none" w:sz="0" w:space="0" w:color="auto"/>
        <w:bottom w:val="none" w:sz="0" w:space="0" w:color="auto"/>
        <w:right w:val="none" w:sz="0" w:space="0" w:color="auto"/>
      </w:divBdr>
    </w:div>
    <w:div w:id="1931888353">
      <w:bodyDiv w:val="1"/>
      <w:marLeft w:val="0"/>
      <w:marRight w:val="0"/>
      <w:marTop w:val="0"/>
      <w:marBottom w:val="0"/>
      <w:divBdr>
        <w:top w:val="none" w:sz="0" w:space="0" w:color="auto"/>
        <w:left w:val="none" w:sz="0" w:space="0" w:color="auto"/>
        <w:bottom w:val="none" w:sz="0" w:space="0" w:color="auto"/>
        <w:right w:val="none" w:sz="0" w:space="0" w:color="auto"/>
      </w:divBdr>
    </w:div>
    <w:div w:id="1937791146">
      <w:bodyDiv w:val="1"/>
      <w:marLeft w:val="0"/>
      <w:marRight w:val="0"/>
      <w:marTop w:val="0"/>
      <w:marBottom w:val="0"/>
      <w:divBdr>
        <w:top w:val="none" w:sz="0" w:space="0" w:color="auto"/>
        <w:left w:val="none" w:sz="0" w:space="0" w:color="auto"/>
        <w:bottom w:val="none" w:sz="0" w:space="0" w:color="auto"/>
        <w:right w:val="none" w:sz="0" w:space="0" w:color="auto"/>
      </w:divBdr>
    </w:div>
    <w:div w:id="1940336047">
      <w:bodyDiv w:val="1"/>
      <w:marLeft w:val="0"/>
      <w:marRight w:val="0"/>
      <w:marTop w:val="0"/>
      <w:marBottom w:val="0"/>
      <w:divBdr>
        <w:top w:val="none" w:sz="0" w:space="0" w:color="auto"/>
        <w:left w:val="none" w:sz="0" w:space="0" w:color="auto"/>
        <w:bottom w:val="none" w:sz="0" w:space="0" w:color="auto"/>
        <w:right w:val="none" w:sz="0" w:space="0" w:color="auto"/>
      </w:divBdr>
    </w:div>
    <w:div w:id="1941644815">
      <w:bodyDiv w:val="1"/>
      <w:marLeft w:val="0"/>
      <w:marRight w:val="0"/>
      <w:marTop w:val="0"/>
      <w:marBottom w:val="0"/>
      <w:divBdr>
        <w:top w:val="none" w:sz="0" w:space="0" w:color="auto"/>
        <w:left w:val="none" w:sz="0" w:space="0" w:color="auto"/>
        <w:bottom w:val="none" w:sz="0" w:space="0" w:color="auto"/>
        <w:right w:val="none" w:sz="0" w:space="0" w:color="auto"/>
      </w:divBdr>
      <w:divsChild>
        <w:div w:id="1639341512">
          <w:marLeft w:val="0"/>
          <w:marRight w:val="0"/>
          <w:marTop w:val="0"/>
          <w:marBottom w:val="0"/>
          <w:divBdr>
            <w:top w:val="none" w:sz="0" w:space="0" w:color="auto"/>
            <w:left w:val="none" w:sz="0" w:space="0" w:color="auto"/>
            <w:bottom w:val="none" w:sz="0" w:space="0" w:color="auto"/>
            <w:right w:val="none" w:sz="0" w:space="0" w:color="auto"/>
          </w:divBdr>
          <w:divsChild>
            <w:div w:id="1811628946">
              <w:marLeft w:val="0"/>
              <w:marRight w:val="0"/>
              <w:marTop w:val="0"/>
              <w:marBottom w:val="0"/>
              <w:divBdr>
                <w:top w:val="none" w:sz="0" w:space="0" w:color="auto"/>
                <w:left w:val="none" w:sz="0" w:space="0" w:color="auto"/>
                <w:bottom w:val="none" w:sz="0" w:space="0" w:color="auto"/>
                <w:right w:val="none" w:sz="0" w:space="0" w:color="auto"/>
              </w:divBdr>
              <w:divsChild>
                <w:div w:id="75592955">
                  <w:marLeft w:val="0"/>
                  <w:marRight w:val="0"/>
                  <w:marTop w:val="0"/>
                  <w:marBottom w:val="0"/>
                  <w:divBdr>
                    <w:top w:val="none" w:sz="0" w:space="0" w:color="auto"/>
                    <w:left w:val="none" w:sz="0" w:space="0" w:color="auto"/>
                    <w:bottom w:val="none" w:sz="0" w:space="0" w:color="auto"/>
                    <w:right w:val="none" w:sz="0" w:space="0" w:color="auto"/>
                  </w:divBdr>
                  <w:divsChild>
                    <w:div w:id="2097361747">
                      <w:marLeft w:val="0"/>
                      <w:marRight w:val="0"/>
                      <w:marTop w:val="0"/>
                      <w:marBottom w:val="0"/>
                      <w:divBdr>
                        <w:top w:val="none" w:sz="0" w:space="0" w:color="auto"/>
                        <w:left w:val="none" w:sz="0" w:space="0" w:color="auto"/>
                        <w:bottom w:val="none" w:sz="0" w:space="0" w:color="auto"/>
                        <w:right w:val="none" w:sz="0" w:space="0" w:color="auto"/>
                      </w:divBdr>
                      <w:divsChild>
                        <w:div w:id="43891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591972">
      <w:bodyDiv w:val="1"/>
      <w:marLeft w:val="0"/>
      <w:marRight w:val="0"/>
      <w:marTop w:val="0"/>
      <w:marBottom w:val="0"/>
      <w:divBdr>
        <w:top w:val="none" w:sz="0" w:space="0" w:color="auto"/>
        <w:left w:val="none" w:sz="0" w:space="0" w:color="auto"/>
        <w:bottom w:val="none" w:sz="0" w:space="0" w:color="auto"/>
        <w:right w:val="none" w:sz="0" w:space="0" w:color="auto"/>
      </w:divBdr>
    </w:div>
    <w:div w:id="1968464764">
      <w:bodyDiv w:val="1"/>
      <w:marLeft w:val="0"/>
      <w:marRight w:val="0"/>
      <w:marTop w:val="0"/>
      <w:marBottom w:val="0"/>
      <w:divBdr>
        <w:top w:val="none" w:sz="0" w:space="0" w:color="auto"/>
        <w:left w:val="none" w:sz="0" w:space="0" w:color="auto"/>
        <w:bottom w:val="none" w:sz="0" w:space="0" w:color="auto"/>
        <w:right w:val="none" w:sz="0" w:space="0" w:color="auto"/>
      </w:divBdr>
      <w:divsChild>
        <w:div w:id="1801265651">
          <w:marLeft w:val="0"/>
          <w:marRight w:val="0"/>
          <w:marTop w:val="0"/>
          <w:marBottom w:val="0"/>
          <w:divBdr>
            <w:top w:val="none" w:sz="0" w:space="0" w:color="auto"/>
            <w:left w:val="none" w:sz="0" w:space="0" w:color="auto"/>
            <w:bottom w:val="none" w:sz="0" w:space="0" w:color="auto"/>
            <w:right w:val="none" w:sz="0" w:space="0" w:color="auto"/>
          </w:divBdr>
          <w:divsChild>
            <w:div w:id="163023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8966503">
      <w:bodyDiv w:val="1"/>
      <w:marLeft w:val="0"/>
      <w:marRight w:val="0"/>
      <w:marTop w:val="0"/>
      <w:marBottom w:val="0"/>
      <w:divBdr>
        <w:top w:val="none" w:sz="0" w:space="0" w:color="auto"/>
        <w:left w:val="none" w:sz="0" w:space="0" w:color="auto"/>
        <w:bottom w:val="none" w:sz="0" w:space="0" w:color="auto"/>
        <w:right w:val="none" w:sz="0" w:space="0" w:color="auto"/>
      </w:divBdr>
    </w:div>
    <w:div w:id="1969161943">
      <w:bodyDiv w:val="1"/>
      <w:marLeft w:val="0"/>
      <w:marRight w:val="0"/>
      <w:marTop w:val="0"/>
      <w:marBottom w:val="0"/>
      <w:divBdr>
        <w:top w:val="none" w:sz="0" w:space="0" w:color="auto"/>
        <w:left w:val="none" w:sz="0" w:space="0" w:color="auto"/>
        <w:bottom w:val="none" w:sz="0" w:space="0" w:color="auto"/>
        <w:right w:val="none" w:sz="0" w:space="0" w:color="auto"/>
      </w:divBdr>
    </w:div>
    <w:div w:id="1969357499">
      <w:bodyDiv w:val="1"/>
      <w:marLeft w:val="0"/>
      <w:marRight w:val="0"/>
      <w:marTop w:val="0"/>
      <w:marBottom w:val="0"/>
      <w:divBdr>
        <w:top w:val="none" w:sz="0" w:space="0" w:color="auto"/>
        <w:left w:val="none" w:sz="0" w:space="0" w:color="auto"/>
        <w:bottom w:val="none" w:sz="0" w:space="0" w:color="auto"/>
        <w:right w:val="none" w:sz="0" w:space="0" w:color="auto"/>
      </w:divBdr>
    </w:div>
    <w:div w:id="1976838082">
      <w:bodyDiv w:val="1"/>
      <w:marLeft w:val="0"/>
      <w:marRight w:val="0"/>
      <w:marTop w:val="0"/>
      <w:marBottom w:val="0"/>
      <w:divBdr>
        <w:top w:val="none" w:sz="0" w:space="0" w:color="auto"/>
        <w:left w:val="none" w:sz="0" w:space="0" w:color="auto"/>
        <w:bottom w:val="none" w:sz="0" w:space="0" w:color="auto"/>
        <w:right w:val="none" w:sz="0" w:space="0" w:color="auto"/>
      </w:divBdr>
    </w:div>
    <w:div w:id="1982610408">
      <w:bodyDiv w:val="1"/>
      <w:marLeft w:val="0"/>
      <w:marRight w:val="0"/>
      <w:marTop w:val="0"/>
      <w:marBottom w:val="0"/>
      <w:divBdr>
        <w:top w:val="none" w:sz="0" w:space="0" w:color="auto"/>
        <w:left w:val="none" w:sz="0" w:space="0" w:color="auto"/>
        <w:bottom w:val="none" w:sz="0" w:space="0" w:color="auto"/>
        <w:right w:val="none" w:sz="0" w:space="0" w:color="auto"/>
      </w:divBdr>
    </w:div>
    <w:div w:id="1988127026">
      <w:bodyDiv w:val="1"/>
      <w:marLeft w:val="0"/>
      <w:marRight w:val="0"/>
      <w:marTop w:val="0"/>
      <w:marBottom w:val="0"/>
      <w:divBdr>
        <w:top w:val="none" w:sz="0" w:space="0" w:color="auto"/>
        <w:left w:val="none" w:sz="0" w:space="0" w:color="auto"/>
        <w:bottom w:val="none" w:sz="0" w:space="0" w:color="auto"/>
        <w:right w:val="none" w:sz="0" w:space="0" w:color="auto"/>
      </w:divBdr>
    </w:div>
    <w:div w:id="1995798111">
      <w:bodyDiv w:val="1"/>
      <w:marLeft w:val="0"/>
      <w:marRight w:val="0"/>
      <w:marTop w:val="0"/>
      <w:marBottom w:val="0"/>
      <w:divBdr>
        <w:top w:val="none" w:sz="0" w:space="0" w:color="auto"/>
        <w:left w:val="none" w:sz="0" w:space="0" w:color="auto"/>
        <w:bottom w:val="none" w:sz="0" w:space="0" w:color="auto"/>
        <w:right w:val="none" w:sz="0" w:space="0" w:color="auto"/>
      </w:divBdr>
    </w:div>
    <w:div w:id="2013027005">
      <w:bodyDiv w:val="1"/>
      <w:marLeft w:val="0"/>
      <w:marRight w:val="0"/>
      <w:marTop w:val="0"/>
      <w:marBottom w:val="0"/>
      <w:divBdr>
        <w:top w:val="none" w:sz="0" w:space="0" w:color="auto"/>
        <w:left w:val="none" w:sz="0" w:space="0" w:color="auto"/>
        <w:bottom w:val="none" w:sz="0" w:space="0" w:color="auto"/>
        <w:right w:val="none" w:sz="0" w:space="0" w:color="auto"/>
      </w:divBdr>
    </w:div>
    <w:div w:id="2022201161">
      <w:bodyDiv w:val="1"/>
      <w:marLeft w:val="0"/>
      <w:marRight w:val="0"/>
      <w:marTop w:val="0"/>
      <w:marBottom w:val="0"/>
      <w:divBdr>
        <w:top w:val="none" w:sz="0" w:space="0" w:color="auto"/>
        <w:left w:val="none" w:sz="0" w:space="0" w:color="auto"/>
        <w:bottom w:val="none" w:sz="0" w:space="0" w:color="auto"/>
        <w:right w:val="none" w:sz="0" w:space="0" w:color="auto"/>
      </w:divBdr>
    </w:div>
    <w:div w:id="2025587761">
      <w:bodyDiv w:val="1"/>
      <w:marLeft w:val="0"/>
      <w:marRight w:val="0"/>
      <w:marTop w:val="0"/>
      <w:marBottom w:val="0"/>
      <w:divBdr>
        <w:top w:val="none" w:sz="0" w:space="0" w:color="auto"/>
        <w:left w:val="none" w:sz="0" w:space="0" w:color="auto"/>
        <w:bottom w:val="none" w:sz="0" w:space="0" w:color="auto"/>
        <w:right w:val="none" w:sz="0" w:space="0" w:color="auto"/>
      </w:divBdr>
    </w:div>
    <w:div w:id="2030830961">
      <w:bodyDiv w:val="1"/>
      <w:marLeft w:val="0"/>
      <w:marRight w:val="0"/>
      <w:marTop w:val="0"/>
      <w:marBottom w:val="0"/>
      <w:divBdr>
        <w:top w:val="none" w:sz="0" w:space="0" w:color="auto"/>
        <w:left w:val="none" w:sz="0" w:space="0" w:color="auto"/>
        <w:bottom w:val="none" w:sz="0" w:space="0" w:color="auto"/>
        <w:right w:val="none" w:sz="0" w:space="0" w:color="auto"/>
      </w:divBdr>
    </w:div>
    <w:div w:id="2050179240">
      <w:bodyDiv w:val="1"/>
      <w:marLeft w:val="0"/>
      <w:marRight w:val="0"/>
      <w:marTop w:val="0"/>
      <w:marBottom w:val="0"/>
      <w:divBdr>
        <w:top w:val="none" w:sz="0" w:space="0" w:color="auto"/>
        <w:left w:val="none" w:sz="0" w:space="0" w:color="auto"/>
        <w:bottom w:val="none" w:sz="0" w:space="0" w:color="auto"/>
        <w:right w:val="none" w:sz="0" w:space="0" w:color="auto"/>
      </w:divBdr>
    </w:div>
    <w:div w:id="2054306237">
      <w:bodyDiv w:val="1"/>
      <w:marLeft w:val="0"/>
      <w:marRight w:val="0"/>
      <w:marTop w:val="0"/>
      <w:marBottom w:val="0"/>
      <w:divBdr>
        <w:top w:val="none" w:sz="0" w:space="0" w:color="auto"/>
        <w:left w:val="none" w:sz="0" w:space="0" w:color="auto"/>
        <w:bottom w:val="none" w:sz="0" w:space="0" w:color="auto"/>
        <w:right w:val="none" w:sz="0" w:space="0" w:color="auto"/>
      </w:divBdr>
    </w:div>
    <w:div w:id="2056588086">
      <w:bodyDiv w:val="1"/>
      <w:marLeft w:val="0"/>
      <w:marRight w:val="0"/>
      <w:marTop w:val="0"/>
      <w:marBottom w:val="0"/>
      <w:divBdr>
        <w:top w:val="none" w:sz="0" w:space="0" w:color="auto"/>
        <w:left w:val="none" w:sz="0" w:space="0" w:color="auto"/>
        <w:bottom w:val="none" w:sz="0" w:space="0" w:color="auto"/>
        <w:right w:val="none" w:sz="0" w:space="0" w:color="auto"/>
      </w:divBdr>
    </w:div>
    <w:div w:id="2064283006">
      <w:bodyDiv w:val="1"/>
      <w:marLeft w:val="0"/>
      <w:marRight w:val="0"/>
      <w:marTop w:val="0"/>
      <w:marBottom w:val="0"/>
      <w:divBdr>
        <w:top w:val="none" w:sz="0" w:space="0" w:color="auto"/>
        <w:left w:val="none" w:sz="0" w:space="0" w:color="auto"/>
        <w:bottom w:val="none" w:sz="0" w:space="0" w:color="auto"/>
        <w:right w:val="none" w:sz="0" w:space="0" w:color="auto"/>
      </w:divBdr>
    </w:div>
    <w:div w:id="2069912423">
      <w:bodyDiv w:val="1"/>
      <w:marLeft w:val="0"/>
      <w:marRight w:val="0"/>
      <w:marTop w:val="0"/>
      <w:marBottom w:val="0"/>
      <w:divBdr>
        <w:top w:val="none" w:sz="0" w:space="0" w:color="auto"/>
        <w:left w:val="none" w:sz="0" w:space="0" w:color="auto"/>
        <w:bottom w:val="none" w:sz="0" w:space="0" w:color="auto"/>
        <w:right w:val="none" w:sz="0" w:space="0" w:color="auto"/>
      </w:divBdr>
    </w:div>
    <w:div w:id="2070809037">
      <w:bodyDiv w:val="1"/>
      <w:marLeft w:val="0"/>
      <w:marRight w:val="0"/>
      <w:marTop w:val="0"/>
      <w:marBottom w:val="0"/>
      <w:divBdr>
        <w:top w:val="none" w:sz="0" w:space="0" w:color="auto"/>
        <w:left w:val="none" w:sz="0" w:space="0" w:color="auto"/>
        <w:bottom w:val="none" w:sz="0" w:space="0" w:color="auto"/>
        <w:right w:val="none" w:sz="0" w:space="0" w:color="auto"/>
      </w:divBdr>
    </w:div>
    <w:div w:id="2072192357">
      <w:bodyDiv w:val="1"/>
      <w:marLeft w:val="0"/>
      <w:marRight w:val="0"/>
      <w:marTop w:val="0"/>
      <w:marBottom w:val="0"/>
      <w:divBdr>
        <w:top w:val="none" w:sz="0" w:space="0" w:color="auto"/>
        <w:left w:val="none" w:sz="0" w:space="0" w:color="auto"/>
        <w:bottom w:val="none" w:sz="0" w:space="0" w:color="auto"/>
        <w:right w:val="none" w:sz="0" w:space="0" w:color="auto"/>
      </w:divBdr>
    </w:div>
    <w:div w:id="2075471534">
      <w:bodyDiv w:val="1"/>
      <w:marLeft w:val="0"/>
      <w:marRight w:val="0"/>
      <w:marTop w:val="0"/>
      <w:marBottom w:val="0"/>
      <w:divBdr>
        <w:top w:val="none" w:sz="0" w:space="0" w:color="auto"/>
        <w:left w:val="none" w:sz="0" w:space="0" w:color="auto"/>
        <w:bottom w:val="none" w:sz="0" w:space="0" w:color="auto"/>
        <w:right w:val="none" w:sz="0" w:space="0" w:color="auto"/>
      </w:divBdr>
    </w:div>
    <w:div w:id="2077512111">
      <w:bodyDiv w:val="1"/>
      <w:marLeft w:val="0"/>
      <w:marRight w:val="0"/>
      <w:marTop w:val="0"/>
      <w:marBottom w:val="0"/>
      <w:divBdr>
        <w:top w:val="none" w:sz="0" w:space="0" w:color="auto"/>
        <w:left w:val="none" w:sz="0" w:space="0" w:color="auto"/>
        <w:bottom w:val="none" w:sz="0" w:space="0" w:color="auto"/>
        <w:right w:val="none" w:sz="0" w:space="0" w:color="auto"/>
      </w:divBdr>
    </w:div>
    <w:div w:id="2089575769">
      <w:bodyDiv w:val="1"/>
      <w:marLeft w:val="0"/>
      <w:marRight w:val="0"/>
      <w:marTop w:val="0"/>
      <w:marBottom w:val="0"/>
      <w:divBdr>
        <w:top w:val="none" w:sz="0" w:space="0" w:color="auto"/>
        <w:left w:val="none" w:sz="0" w:space="0" w:color="auto"/>
        <w:bottom w:val="none" w:sz="0" w:space="0" w:color="auto"/>
        <w:right w:val="none" w:sz="0" w:space="0" w:color="auto"/>
      </w:divBdr>
    </w:div>
    <w:div w:id="2099206950">
      <w:bodyDiv w:val="1"/>
      <w:marLeft w:val="0"/>
      <w:marRight w:val="0"/>
      <w:marTop w:val="0"/>
      <w:marBottom w:val="0"/>
      <w:divBdr>
        <w:top w:val="none" w:sz="0" w:space="0" w:color="auto"/>
        <w:left w:val="none" w:sz="0" w:space="0" w:color="auto"/>
        <w:bottom w:val="none" w:sz="0" w:space="0" w:color="auto"/>
        <w:right w:val="none" w:sz="0" w:space="0" w:color="auto"/>
      </w:divBdr>
    </w:div>
    <w:div w:id="2108574609">
      <w:bodyDiv w:val="1"/>
      <w:marLeft w:val="0"/>
      <w:marRight w:val="0"/>
      <w:marTop w:val="0"/>
      <w:marBottom w:val="0"/>
      <w:divBdr>
        <w:top w:val="none" w:sz="0" w:space="0" w:color="auto"/>
        <w:left w:val="none" w:sz="0" w:space="0" w:color="auto"/>
        <w:bottom w:val="none" w:sz="0" w:space="0" w:color="auto"/>
        <w:right w:val="none" w:sz="0" w:space="0" w:color="auto"/>
      </w:divBdr>
    </w:div>
    <w:div w:id="2108691745">
      <w:bodyDiv w:val="1"/>
      <w:marLeft w:val="0"/>
      <w:marRight w:val="0"/>
      <w:marTop w:val="0"/>
      <w:marBottom w:val="0"/>
      <w:divBdr>
        <w:top w:val="none" w:sz="0" w:space="0" w:color="auto"/>
        <w:left w:val="none" w:sz="0" w:space="0" w:color="auto"/>
        <w:bottom w:val="none" w:sz="0" w:space="0" w:color="auto"/>
        <w:right w:val="none" w:sz="0" w:space="0" w:color="auto"/>
      </w:divBdr>
    </w:div>
    <w:div w:id="2108848155">
      <w:bodyDiv w:val="1"/>
      <w:marLeft w:val="0"/>
      <w:marRight w:val="0"/>
      <w:marTop w:val="0"/>
      <w:marBottom w:val="0"/>
      <w:divBdr>
        <w:top w:val="none" w:sz="0" w:space="0" w:color="auto"/>
        <w:left w:val="none" w:sz="0" w:space="0" w:color="auto"/>
        <w:bottom w:val="none" w:sz="0" w:space="0" w:color="auto"/>
        <w:right w:val="none" w:sz="0" w:space="0" w:color="auto"/>
      </w:divBdr>
    </w:div>
    <w:div w:id="2110272279">
      <w:bodyDiv w:val="1"/>
      <w:marLeft w:val="0"/>
      <w:marRight w:val="0"/>
      <w:marTop w:val="0"/>
      <w:marBottom w:val="0"/>
      <w:divBdr>
        <w:top w:val="none" w:sz="0" w:space="0" w:color="auto"/>
        <w:left w:val="none" w:sz="0" w:space="0" w:color="auto"/>
        <w:bottom w:val="none" w:sz="0" w:space="0" w:color="auto"/>
        <w:right w:val="none" w:sz="0" w:space="0" w:color="auto"/>
      </w:divBdr>
    </w:div>
    <w:div w:id="2116779381">
      <w:bodyDiv w:val="1"/>
      <w:marLeft w:val="0"/>
      <w:marRight w:val="0"/>
      <w:marTop w:val="0"/>
      <w:marBottom w:val="0"/>
      <w:divBdr>
        <w:top w:val="none" w:sz="0" w:space="0" w:color="auto"/>
        <w:left w:val="none" w:sz="0" w:space="0" w:color="auto"/>
        <w:bottom w:val="none" w:sz="0" w:space="0" w:color="auto"/>
        <w:right w:val="none" w:sz="0" w:space="0" w:color="auto"/>
      </w:divBdr>
    </w:div>
    <w:div w:id="21206439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e-tar.lt/portal/lt/legalAct/2f4a45f0273811eabe008ea93139d588" TargetMode="External"/><Relationship Id="rId18" Type="http://schemas.openxmlformats.org/officeDocument/2006/relationships/hyperlink" Target="https://www.infolex.lt/ta/76519" TargetMode="External"/><Relationship Id="rId26" Type="http://schemas.openxmlformats.org/officeDocument/2006/relationships/hyperlink" Target="https://www.e-tar.lt/portal/lt/legalAct/86632ec03f9711ea829bc2bea81c1194" TargetMode="External"/><Relationship Id="rId39" Type="http://schemas.openxmlformats.org/officeDocument/2006/relationships/hyperlink" Target="https://www.e-tar.lt/portal/lt/legalAct/75bd0970228111eabe008ea93139d588" TargetMode="External"/><Relationship Id="rId3" Type="http://schemas.openxmlformats.org/officeDocument/2006/relationships/styles" Target="styles.xml"/><Relationship Id="rId21" Type="http://schemas.openxmlformats.org/officeDocument/2006/relationships/hyperlink" Target="https://www.infolex.lt/tp/1694099" TargetMode="External"/><Relationship Id="rId34" Type="http://schemas.openxmlformats.org/officeDocument/2006/relationships/hyperlink" Target="https://www.e-tar.lt/portal/lt/legalAct/182289f0273811eabe008ea93139d588" TargetMode="External"/><Relationship Id="rId42"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e-tar.lt/portal/lt/legalAct/a7d7fbd0202511eabe008ea93139d588" TargetMode="External"/><Relationship Id="rId17" Type="http://schemas.openxmlformats.org/officeDocument/2006/relationships/hyperlink" Target="https://www.infolex.lt/tp/1694099" TargetMode="External"/><Relationship Id="rId25" Type="http://schemas.openxmlformats.org/officeDocument/2006/relationships/hyperlink" Target="https://www.e-tar.lt/portal/lt/legalAct/9250e2003f9611ea829bc2bea81c1194" TargetMode="External"/><Relationship Id="rId33" Type="http://schemas.openxmlformats.org/officeDocument/2006/relationships/hyperlink" Target="https://www.e-tar.lt/portal/lt/legalAct/1b0637801c3811eabe008ea93139d588" TargetMode="External"/><Relationship Id="rId38" Type="http://schemas.openxmlformats.org/officeDocument/2006/relationships/hyperlink" Target="https://www.e-tar.lt/portal/lt/legalAct/c95a51a01c3711eabe008ea93139d588"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infolex.lt/tp/1694099" TargetMode="External"/><Relationship Id="rId20" Type="http://schemas.openxmlformats.org/officeDocument/2006/relationships/hyperlink" Target="https://www.infolex.lt/ta/72771" TargetMode="External"/><Relationship Id="rId29" Type="http://schemas.openxmlformats.org/officeDocument/2006/relationships/hyperlink" Target="https://www.e-tar.lt/portal/lt/legalAct/0178f5103f9611ea829bc2bea81c1194" TargetMode="External"/><Relationship Id="rId41" Type="http://schemas.openxmlformats.org/officeDocument/2006/relationships/hyperlink" Target="https://www.e-tar.lt/portal/lt/legalAct/68e8877021b811eabe008ea93139d58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tar.lt/portal/lt/legalAct/6424219021b811eabe008ea93139d588" TargetMode="External"/><Relationship Id="rId24" Type="http://schemas.openxmlformats.org/officeDocument/2006/relationships/hyperlink" Target="https://www.infolex.lt/tp/1694099" TargetMode="External"/><Relationship Id="rId32" Type="http://schemas.openxmlformats.org/officeDocument/2006/relationships/hyperlink" Target="https://www.e-tar.lt/portal/lt/legalAct/47a2e0d0273811eabe008ea93139d588" TargetMode="External"/><Relationship Id="rId37" Type="http://schemas.openxmlformats.org/officeDocument/2006/relationships/hyperlink" Target="https://www.e-tar.lt/portal/lt/legalAct/7bfc44b0280111eabe008ea93139d588" TargetMode="External"/><Relationship Id="rId40" Type="http://schemas.openxmlformats.org/officeDocument/2006/relationships/hyperlink" Target="https://www.e-tar.lt/portal/lt/legalAct/df58f1a033ca11ea829bc2bea81c1194"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infolex.lt/ta/72771" TargetMode="External"/><Relationship Id="rId23" Type="http://schemas.openxmlformats.org/officeDocument/2006/relationships/hyperlink" Target="https://www.infolex.lt/ta/76519" TargetMode="External"/><Relationship Id="rId28" Type="http://schemas.openxmlformats.org/officeDocument/2006/relationships/hyperlink" Target="https://www.e-tar.lt/portal/lt/legalAct/a99cdd50202511eabe008ea93139d588" TargetMode="External"/><Relationship Id="rId36" Type="http://schemas.openxmlformats.org/officeDocument/2006/relationships/hyperlink" Target="https://www.e-tar.lt/portal/lt/legalAct/80bf7210280111eabe008ea93139d588" TargetMode="External"/><Relationship Id="rId10" Type="http://schemas.openxmlformats.org/officeDocument/2006/relationships/hyperlink" Target="https://www.e-tar.lt/portal/lt/legalAct/9db8bc70202511eabe008ea93139d588" TargetMode="External"/><Relationship Id="rId19" Type="http://schemas.openxmlformats.org/officeDocument/2006/relationships/hyperlink" Target="https://www.infolex.lt/tp/1694099" TargetMode="External"/><Relationship Id="rId31" Type="http://schemas.openxmlformats.org/officeDocument/2006/relationships/hyperlink" Target="https://www.e-tar.lt/portal/lt/legalAct/53d49320280111eabe008ea93139d588" TargetMode="External"/><Relationship Id="rId44"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www.e-tar.lt/portal/lt/legalAct/59089c30234a11eabe008ea93139d588" TargetMode="External"/><Relationship Id="rId14" Type="http://schemas.openxmlformats.org/officeDocument/2006/relationships/hyperlink" Target="https://www.infolex.lt/tp/1141172" TargetMode="External"/><Relationship Id="rId22" Type="http://schemas.openxmlformats.org/officeDocument/2006/relationships/hyperlink" Target="https://www.infolex.lt/tp/1694099" TargetMode="External"/><Relationship Id="rId27" Type="http://schemas.openxmlformats.org/officeDocument/2006/relationships/hyperlink" Target="https://www.e-tar.lt/portal/lt/legalAct/1105c0b03f9811ea829bc2bea81c1194" TargetMode="External"/><Relationship Id="rId30" Type="http://schemas.openxmlformats.org/officeDocument/2006/relationships/hyperlink" Target="https://www.e-tar.lt/portal/lt/legalAct/2c839a701c3811eabe008ea93139d588" TargetMode="External"/><Relationship Id="rId35" Type="http://schemas.openxmlformats.org/officeDocument/2006/relationships/hyperlink" Target="https://www.e-tar.lt/portal/lt/legalAct/d0d60f501c3711eabe008ea93139d588" TargetMode="External"/><Relationship Id="rId43" Type="http://schemas.openxmlformats.org/officeDocument/2006/relationships/footer" Target="foot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066CC9-1E97-455D-84D0-B9ED32048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221</TotalTime>
  <Pages>25</Pages>
  <Words>16779</Words>
  <Characters>95642</Characters>
  <Application>Microsoft Office Word</Application>
  <DocSecurity>0</DocSecurity>
  <Lines>797</Lines>
  <Paragraphs>224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Grizli777</Company>
  <LinksUpToDate>false</LinksUpToDate>
  <CharactersWithSpaces>112197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Lina Gudeliauskienė</dc:creator>
  <cp:keywords/>
  <dc:description/>
  <cp:lastModifiedBy>Jurga Marcinkevičiūtė</cp:lastModifiedBy>
  <cp:revision>4</cp:revision>
  <cp:lastPrinted>2018-07-19T07:34:00Z</cp:lastPrinted>
  <dcterms:created xsi:type="dcterms:W3CDTF">2020-02-11T06:55:00Z</dcterms:created>
  <dcterms:modified xsi:type="dcterms:W3CDTF">2020-02-11T11:51:00Z</dcterms:modified>
</cp:coreProperties>
</file>