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3140" w14:textId="77777777" w:rsidR="003D4C15" w:rsidRPr="00B74A97" w:rsidRDefault="003D4C15" w:rsidP="003724AC">
      <w:pPr>
        <w:pStyle w:val="NoSpacing"/>
        <w:spacing w:after="240"/>
        <w:jc w:val="both"/>
        <w:rPr>
          <w:rFonts w:asciiTheme="minorHAnsi" w:hAnsiTheme="minorHAnsi" w:cstheme="minorHAnsi"/>
        </w:rPr>
      </w:pPr>
    </w:p>
    <w:p w14:paraId="07286714" w14:textId="77777777" w:rsidR="003D4C15" w:rsidRPr="00B74A97" w:rsidRDefault="003D4C15" w:rsidP="003724AC">
      <w:pPr>
        <w:pStyle w:val="NoSpacing"/>
        <w:spacing w:after="240"/>
        <w:jc w:val="both"/>
        <w:rPr>
          <w:rFonts w:asciiTheme="minorHAnsi" w:hAnsiTheme="minorHAnsi" w:cstheme="minorHAnsi"/>
        </w:rPr>
      </w:pPr>
    </w:p>
    <w:p w14:paraId="34072370" w14:textId="77777777" w:rsidR="00A4671F" w:rsidRPr="00B74A97" w:rsidRDefault="00A4671F" w:rsidP="003724AC">
      <w:pPr>
        <w:pStyle w:val="NoSpacing"/>
        <w:spacing w:after="1440"/>
        <w:ind w:left="1296" w:hanging="1296"/>
        <w:jc w:val="both"/>
        <w:rPr>
          <w:rFonts w:asciiTheme="minorHAnsi" w:hAnsiTheme="minorHAnsi" w:cstheme="minorHAnsi"/>
          <w:lang w:eastAsia="lt-LT"/>
        </w:rPr>
      </w:pPr>
    </w:p>
    <w:p w14:paraId="10E749DF" w14:textId="77777777" w:rsidR="003D4C15" w:rsidRPr="00B74A97" w:rsidRDefault="003D4C15" w:rsidP="006711FB">
      <w:pPr>
        <w:pStyle w:val="NoSpacing"/>
        <w:spacing w:after="1440"/>
        <w:ind w:left="1296" w:hanging="1296"/>
        <w:jc w:val="center"/>
        <w:rPr>
          <w:rFonts w:asciiTheme="minorHAnsi" w:hAnsiTheme="minorHAnsi" w:cstheme="minorHAnsi"/>
        </w:rPr>
      </w:pPr>
      <w:r w:rsidRPr="00B74A97">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74A97">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454159F4">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45599925">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64186153">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B74A97">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074F81B3">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B74A97" w:rsidRDefault="003D4C15" w:rsidP="006711FB">
      <w:pPr>
        <w:pStyle w:val="NoSpacing"/>
        <w:jc w:val="center"/>
        <w:rPr>
          <w:rFonts w:asciiTheme="minorHAnsi" w:hAnsiTheme="minorHAnsi" w:cstheme="minorHAnsi"/>
          <w:smallCaps/>
          <w:sz w:val="52"/>
          <w:szCs w:val="52"/>
        </w:rPr>
      </w:pPr>
      <w:r w:rsidRPr="00B74A97">
        <w:rPr>
          <w:rFonts w:asciiTheme="minorHAnsi" w:hAnsiTheme="minorHAnsi" w:cstheme="minorHAnsi"/>
          <w:smallCaps/>
          <w:sz w:val="52"/>
          <w:szCs w:val="52"/>
        </w:rPr>
        <w:t>Lietuvos vyriausiojo administracinio teismo praktikos apžvalga</w:t>
      </w:r>
    </w:p>
    <w:p w14:paraId="4FCF0FB8" w14:textId="708CF134" w:rsidR="003D4C15" w:rsidRPr="00B74A97"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B74A97">
        <w:rPr>
          <w:rFonts w:asciiTheme="minorHAnsi" w:hAnsiTheme="minorHAnsi" w:cstheme="minorHAnsi"/>
          <w:b/>
          <w:smallCaps/>
          <w:sz w:val="32"/>
          <w:szCs w:val="32"/>
          <w:u w:val="double"/>
        </w:rPr>
        <w:t>20</w:t>
      </w:r>
      <w:r w:rsidR="007E55E3" w:rsidRPr="00B74A97">
        <w:rPr>
          <w:rFonts w:asciiTheme="minorHAnsi" w:hAnsiTheme="minorHAnsi" w:cstheme="minorHAnsi"/>
          <w:b/>
          <w:smallCaps/>
          <w:sz w:val="32"/>
          <w:szCs w:val="32"/>
          <w:u w:val="double"/>
        </w:rPr>
        <w:t>2</w:t>
      </w:r>
      <w:r w:rsidR="00AC4E03" w:rsidRPr="00B74A97">
        <w:rPr>
          <w:rFonts w:asciiTheme="minorHAnsi" w:hAnsiTheme="minorHAnsi" w:cstheme="minorHAnsi"/>
          <w:b/>
          <w:smallCaps/>
          <w:sz w:val="32"/>
          <w:szCs w:val="32"/>
          <w:u w:val="double"/>
        </w:rPr>
        <w:t>5</w:t>
      </w:r>
      <w:r w:rsidRPr="00B74A97">
        <w:rPr>
          <w:rFonts w:asciiTheme="minorHAnsi" w:hAnsiTheme="minorHAnsi" w:cstheme="minorHAnsi"/>
          <w:b/>
          <w:smallCaps/>
          <w:sz w:val="32"/>
          <w:szCs w:val="32"/>
          <w:u w:val="double"/>
        </w:rPr>
        <w:t xml:space="preserve"> m. </w:t>
      </w:r>
      <w:r w:rsidR="007E4978">
        <w:rPr>
          <w:rFonts w:asciiTheme="minorHAnsi" w:hAnsiTheme="minorHAnsi" w:cstheme="minorHAnsi"/>
          <w:b/>
          <w:smallCaps/>
          <w:sz w:val="32"/>
          <w:szCs w:val="32"/>
          <w:u w:val="double"/>
        </w:rPr>
        <w:t>balandži</w:t>
      </w:r>
      <w:r w:rsidR="00581707" w:rsidRPr="00B74A97">
        <w:rPr>
          <w:rFonts w:asciiTheme="minorHAnsi" w:hAnsiTheme="minorHAnsi" w:cstheme="minorHAnsi"/>
          <w:b/>
          <w:smallCaps/>
          <w:sz w:val="32"/>
          <w:szCs w:val="32"/>
          <w:u w:val="double"/>
        </w:rPr>
        <w:t>o</w:t>
      </w:r>
      <w:r w:rsidR="00572EBC" w:rsidRPr="00B74A97">
        <w:rPr>
          <w:rFonts w:asciiTheme="minorHAnsi" w:hAnsiTheme="minorHAnsi" w:cstheme="minorHAnsi"/>
          <w:b/>
          <w:smallCaps/>
          <w:sz w:val="32"/>
          <w:szCs w:val="32"/>
          <w:u w:val="double"/>
        </w:rPr>
        <w:t xml:space="preserve"> </w:t>
      </w:r>
      <w:r w:rsidRPr="00B74A97">
        <w:rPr>
          <w:rFonts w:asciiTheme="minorHAnsi" w:hAnsiTheme="minorHAnsi" w:cstheme="minorHAnsi"/>
          <w:b/>
          <w:smallCaps/>
          <w:sz w:val="32"/>
          <w:szCs w:val="32"/>
          <w:u w:val="double"/>
        </w:rPr>
        <w:t>1 d.–20</w:t>
      </w:r>
      <w:r w:rsidR="007E55E3" w:rsidRPr="00B74A97">
        <w:rPr>
          <w:rFonts w:asciiTheme="minorHAnsi" w:hAnsiTheme="minorHAnsi" w:cstheme="minorHAnsi"/>
          <w:b/>
          <w:smallCaps/>
          <w:sz w:val="32"/>
          <w:szCs w:val="32"/>
          <w:u w:val="double"/>
        </w:rPr>
        <w:t>2</w:t>
      </w:r>
      <w:r w:rsidR="00AC4E03" w:rsidRPr="00B74A97">
        <w:rPr>
          <w:rFonts w:asciiTheme="minorHAnsi" w:hAnsiTheme="minorHAnsi" w:cstheme="minorHAnsi"/>
          <w:b/>
          <w:smallCaps/>
          <w:sz w:val="32"/>
          <w:szCs w:val="32"/>
          <w:u w:val="double"/>
        </w:rPr>
        <w:t>5</w:t>
      </w:r>
      <w:r w:rsidRPr="00B74A97">
        <w:rPr>
          <w:rFonts w:asciiTheme="minorHAnsi" w:hAnsiTheme="minorHAnsi" w:cstheme="minorHAnsi"/>
          <w:b/>
          <w:smallCaps/>
          <w:sz w:val="32"/>
          <w:szCs w:val="32"/>
          <w:u w:val="double"/>
        </w:rPr>
        <w:t xml:space="preserve"> m.</w:t>
      </w:r>
      <w:r w:rsidR="000F1C77" w:rsidRPr="00B74A97">
        <w:rPr>
          <w:rFonts w:asciiTheme="minorHAnsi" w:hAnsiTheme="minorHAnsi" w:cstheme="minorHAnsi"/>
          <w:b/>
          <w:smallCaps/>
          <w:sz w:val="32"/>
          <w:szCs w:val="32"/>
          <w:u w:val="double"/>
        </w:rPr>
        <w:t xml:space="preserve"> </w:t>
      </w:r>
      <w:r w:rsidR="007E4978">
        <w:rPr>
          <w:rFonts w:asciiTheme="minorHAnsi" w:hAnsiTheme="minorHAnsi" w:cstheme="minorHAnsi"/>
          <w:b/>
          <w:smallCaps/>
          <w:sz w:val="32"/>
          <w:szCs w:val="32"/>
          <w:u w:val="double"/>
        </w:rPr>
        <w:t>balandži</w:t>
      </w:r>
      <w:r w:rsidR="007E4978" w:rsidRPr="00B74A97">
        <w:rPr>
          <w:rFonts w:asciiTheme="minorHAnsi" w:hAnsiTheme="minorHAnsi" w:cstheme="minorHAnsi"/>
          <w:b/>
          <w:smallCaps/>
          <w:sz w:val="32"/>
          <w:szCs w:val="32"/>
          <w:u w:val="double"/>
        </w:rPr>
        <w:t xml:space="preserve">o </w:t>
      </w:r>
      <w:r w:rsidR="00E77278">
        <w:rPr>
          <w:rFonts w:asciiTheme="minorHAnsi" w:hAnsiTheme="minorHAnsi" w:cstheme="minorHAnsi"/>
          <w:b/>
          <w:smallCaps/>
          <w:sz w:val="32"/>
          <w:szCs w:val="32"/>
          <w:u w:val="double"/>
        </w:rPr>
        <w:t>3</w:t>
      </w:r>
      <w:r w:rsidR="007E4978">
        <w:rPr>
          <w:rFonts w:asciiTheme="minorHAnsi" w:hAnsiTheme="minorHAnsi" w:cstheme="minorHAnsi"/>
          <w:b/>
          <w:smallCaps/>
          <w:sz w:val="32"/>
          <w:szCs w:val="32"/>
          <w:u w:val="double"/>
        </w:rPr>
        <w:t>0</w:t>
      </w:r>
      <w:r w:rsidR="007F7CA4" w:rsidRPr="00B74A97">
        <w:rPr>
          <w:rFonts w:asciiTheme="minorHAnsi" w:hAnsiTheme="minorHAnsi" w:cstheme="minorHAnsi"/>
          <w:b/>
          <w:smallCaps/>
          <w:sz w:val="32"/>
          <w:szCs w:val="32"/>
          <w:u w:val="double"/>
        </w:rPr>
        <w:t xml:space="preserve"> </w:t>
      </w:r>
      <w:r w:rsidRPr="00B74A97">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B74A97" w:rsidRDefault="003D4C15" w:rsidP="003724AC">
      <w:pPr>
        <w:jc w:val="both"/>
        <w:rPr>
          <w:rFonts w:asciiTheme="minorHAnsi" w:hAnsiTheme="minorHAnsi" w:cstheme="minorHAnsi"/>
          <w:b/>
          <w:smallCaps/>
          <w:sz w:val="22"/>
          <w:szCs w:val="22"/>
        </w:rPr>
      </w:pPr>
    </w:p>
    <w:p w14:paraId="3549E2CB" w14:textId="77777777" w:rsidR="003D4C15" w:rsidRPr="00B74A97" w:rsidRDefault="003D4C15" w:rsidP="003724AC">
      <w:pPr>
        <w:jc w:val="both"/>
        <w:rPr>
          <w:rFonts w:asciiTheme="minorHAnsi" w:hAnsiTheme="minorHAnsi" w:cstheme="minorHAnsi"/>
          <w:b/>
          <w:smallCaps/>
          <w:sz w:val="22"/>
          <w:szCs w:val="22"/>
        </w:rPr>
      </w:pPr>
    </w:p>
    <w:p w14:paraId="6E8E5B89" w14:textId="77777777" w:rsidR="003D4C15" w:rsidRPr="00B74A97" w:rsidRDefault="003D4C15" w:rsidP="003724AC">
      <w:pPr>
        <w:jc w:val="both"/>
        <w:rPr>
          <w:rFonts w:asciiTheme="minorHAnsi" w:hAnsiTheme="minorHAnsi" w:cstheme="minorHAnsi"/>
          <w:b/>
          <w:smallCaps/>
          <w:sz w:val="22"/>
          <w:szCs w:val="22"/>
        </w:rPr>
      </w:pPr>
    </w:p>
    <w:p w14:paraId="665A9625" w14:textId="77777777" w:rsidR="003D4C15" w:rsidRPr="00B74A97" w:rsidRDefault="003D4C15" w:rsidP="003724AC">
      <w:pPr>
        <w:jc w:val="both"/>
        <w:rPr>
          <w:rFonts w:asciiTheme="minorHAnsi" w:hAnsiTheme="minorHAnsi" w:cstheme="minorHAnsi"/>
          <w:b/>
          <w:smallCaps/>
          <w:sz w:val="22"/>
          <w:szCs w:val="22"/>
        </w:rPr>
      </w:pPr>
    </w:p>
    <w:p w14:paraId="3C3F018D" w14:textId="77777777" w:rsidR="003D4C15" w:rsidRPr="00B74A97" w:rsidRDefault="003D4C15" w:rsidP="003724AC">
      <w:pPr>
        <w:jc w:val="both"/>
        <w:rPr>
          <w:rFonts w:asciiTheme="minorHAnsi" w:hAnsiTheme="minorHAnsi" w:cstheme="minorHAnsi"/>
          <w:b/>
          <w:smallCaps/>
          <w:sz w:val="22"/>
          <w:szCs w:val="22"/>
        </w:rPr>
      </w:pPr>
    </w:p>
    <w:p w14:paraId="582B5E94" w14:textId="77777777" w:rsidR="003D4C15" w:rsidRPr="00B74A97" w:rsidRDefault="003D4C15" w:rsidP="003724AC">
      <w:pPr>
        <w:jc w:val="both"/>
        <w:rPr>
          <w:rFonts w:asciiTheme="minorHAnsi" w:hAnsiTheme="minorHAnsi" w:cstheme="minorHAnsi"/>
          <w:b/>
          <w:smallCaps/>
          <w:sz w:val="22"/>
          <w:szCs w:val="22"/>
        </w:rPr>
      </w:pPr>
    </w:p>
    <w:p w14:paraId="12D8443C" w14:textId="77777777" w:rsidR="003D4C15" w:rsidRPr="00B74A97" w:rsidRDefault="003D4C15" w:rsidP="003724AC">
      <w:pPr>
        <w:jc w:val="both"/>
        <w:rPr>
          <w:rFonts w:asciiTheme="minorHAnsi" w:hAnsiTheme="minorHAnsi" w:cstheme="minorHAnsi"/>
          <w:b/>
          <w:smallCaps/>
          <w:sz w:val="22"/>
          <w:szCs w:val="22"/>
        </w:rPr>
      </w:pPr>
    </w:p>
    <w:p w14:paraId="0DBE7DED" w14:textId="77777777" w:rsidR="003D4C15" w:rsidRPr="00B74A97" w:rsidRDefault="003D4C15" w:rsidP="003724AC">
      <w:pPr>
        <w:jc w:val="both"/>
        <w:rPr>
          <w:rFonts w:asciiTheme="minorHAnsi" w:hAnsiTheme="minorHAnsi" w:cstheme="minorHAnsi"/>
          <w:b/>
          <w:smallCaps/>
          <w:sz w:val="22"/>
          <w:szCs w:val="22"/>
        </w:rPr>
      </w:pPr>
    </w:p>
    <w:p w14:paraId="5FF1B58D" w14:textId="77777777" w:rsidR="003D4C15" w:rsidRPr="00B74A97" w:rsidRDefault="003D4C15" w:rsidP="003724AC">
      <w:pPr>
        <w:jc w:val="both"/>
        <w:rPr>
          <w:rFonts w:asciiTheme="minorHAnsi" w:hAnsiTheme="minorHAnsi" w:cstheme="minorHAnsi"/>
          <w:b/>
          <w:smallCaps/>
          <w:sz w:val="22"/>
          <w:szCs w:val="22"/>
        </w:rPr>
      </w:pPr>
    </w:p>
    <w:p w14:paraId="56CED4DD" w14:textId="77777777" w:rsidR="003D4C15" w:rsidRPr="00B74A97" w:rsidRDefault="003D4C15" w:rsidP="003724AC">
      <w:pPr>
        <w:jc w:val="both"/>
        <w:rPr>
          <w:rFonts w:asciiTheme="minorHAnsi" w:hAnsiTheme="minorHAnsi" w:cstheme="minorHAnsi"/>
          <w:b/>
          <w:smallCaps/>
          <w:sz w:val="22"/>
          <w:szCs w:val="22"/>
        </w:rPr>
      </w:pPr>
    </w:p>
    <w:p w14:paraId="57C8F8AD" w14:textId="77777777" w:rsidR="003D4C15" w:rsidRPr="00B74A97" w:rsidRDefault="003D4C15" w:rsidP="003724AC">
      <w:pPr>
        <w:jc w:val="both"/>
        <w:rPr>
          <w:rFonts w:asciiTheme="minorHAnsi" w:hAnsiTheme="minorHAnsi" w:cstheme="minorHAnsi"/>
          <w:b/>
          <w:smallCaps/>
          <w:sz w:val="22"/>
          <w:szCs w:val="22"/>
        </w:rPr>
      </w:pPr>
    </w:p>
    <w:p w14:paraId="53F8EF3F" w14:textId="77777777" w:rsidR="003D4C15" w:rsidRPr="00B74A97" w:rsidRDefault="003D4C15" w:rsidP="003724AC">
      <w:pPr>
        <w:jc w:val="both"/>
        <w:rPr>
          <w:rFonts w:asciiTheme="minorHAnsi" w:hAnsiTheme="minorHAnsi" w:cstheme="minorHAnsi"/>
          <w:b/>
          <w:smallCaps/>
          <w:sz w:val="22"/>
          <w:szCs w:val="22"/>
        </w:rPr>
      </w:pPr>
    </w:p>
    <w:p w14:paraId="0FFF1B08" w14:textId="77777777" w:rsidR="003D4C15" w:rsidRPr="00B74A97" w:rsidRDefault="003D4C15" w:rsidP="003724AC">
      <w:pPr>
        <w:jc w:val="both"/>
        <w:rPr>
          <w:rFonts w:asciiTheme="minorHAnsi" w:hAnsiTheme="minorHAnsi" w:cstheme="minorHAnsi"/>
          <w:b/>
          <w:smallCaps/>
          <w:sz w:val="22"/>
          <w:szCs w:val="22"/>
        </w:rPr>
      </w:pPr>
    </w:p>
    <w:p w14:paraId="48BCBEE6" w14:textId="77777777" w:rsidR="003D4C15" w:rsidRPr="00B74A97" w:rsidRDefault="003D4C15" w:rsidP="003724AC">
      <w:pPr>
        <w:jc w:val="both"/>
        <w:rPr>
          <w:rFonts w:asciiTheme="minorHAnsi" w:hAnsiTheme="minorHAnsi" w:cstheme="minorHAnsi"/>
          <w:b/>
          <w:smallCaps/>
          <w:sz w:val="22"/>
          <w:szCs w:val="22"/>
        </w:rPr>
      </w:pPr>
    </w:p>
    <w:p w14:paraId="0BF451DA" w14:textId="77777777" w:rsidR="003D4C15" w:rsidRPr="00B74A97" w:rsidRDefault="003D4C15" w:rsidP="003724AC">
      <w:pPr>
        <w:jc w:val="both"/>
        <w:rPr>
          <w:rFonts w:asciiTheme="minorHAnsi" w:hAnsiTheme="minorHAnsi" w:cstheme="minorHAnsi"/>
          <w:b/>
          <w:smallCaps/>
          <w:sz w:val="22"/>
          <w:szCs w:val="22"/>
        </w:rPr>
      </w:pPr>
    </w:p>
    <w:p w14:paraId="36F4D8EF" w14:textId="77777777" w:rsidR="003D4C15" w:rsidRPr="00B74A97" w:rsidRDefault="003D4C15" w:rsidP="006711FB">
      <w:pPr>
        <w:jc w:val="center"/>
        <w:rPr>
          <w:rFonts w:asciiTheme="minorHAnsi" w:hAnsiTheme="minorHAnsi" w:cstheme="minorHAnsi"/>
          <w:b/>
          <w:smallCaps/>
          <w:sz w:val="28"/>
          <w:szCs w:val="28"/>
        </w:rPr>
      </w:pPr>
      <w:r w:rsidRPr="00B74A97">
        <w:rPr>
          <w:rFonts w:asciiTheme="minorHAnsi" w:hAnsiTheme="minorHAnsi" w:cstheme="minorHAnsi"/>
          <w:b/>
          <w:smallCaps/>
          <w:sz w:val="28"/>
          <w:szCs w:val="28"/>
        </w:rPr>
        <w:t>Apžvalgą parengė Lietuvos vyriausiojo administracinio teismo</w:t>
      </w:r>
    </w:p>
    <w:p w14:paraId="6A332043" w14:textId="77777777" w:rsidR="003D4C15" w:rsidRPr="00B74A97" w:rsidRDefault="003D4C15" w:rsidP="006711FB">
      <w:pPr>
        <w:jc w:val="center"/>
        <w:rPr>
          <w:rFonts w:asciiTheme="minorHAnsi" w:hAnsiTheme="minorHAnsi" w:cstheme="minorHAnsi"/>
          <w:sz w:val="22"/>
          <w:szCs w:val="22"/>
        </w:rPr>
      </w:pPr>
      <w:r w:rsidRPr="00B74A97">
        <w:rPr>
          <w:rFonts w:asciiTheme="minorHAnsi" w:hAnsiTheme="minorHAnsi" w:cstheme="minorHAnsi"/>
          <w:b/>
          <w:smallCaps/>
          <w:sz w:val="28"/>
          <w:szCs w:val="28"/>
        </w:rPr>
        <w:t>T</w:t>
      </w:r>
      <w:r w:rsidR="0016762E" w:rsidRPr="00B74A97">
        <w:rPr>
          <w:rFonts w:asciiTheme="minorHAnsi" w:hAnsiTheme="minorHAnsi" w:cstheme="minorHAnsi"/>
          <w:b/>
          <w:smallCaps/>
          <w:sz w:val="28"/>
          <w:szCs w:val="28"/>
        </w:rPr>
        <w:t xml:space="preserve">eismų praktikos </w:t>
      </w:r>
      <w:r w:rsidRPr="00B74A97">
        <w:rPr>
          <w:rFonts w:asciiTheme="minorHAnsi" w:hAnsiTheme="minorHAnsi" w:cstheme="minorHAnsi"/>
          <w:b/>
          <w:smallCaps/>
          <w:sz w:val="28"/>
          <w:szCs w:val="28"/>
        </w:rPr>
        <w:t>departamentas</w:t>
      </w:r>
      <w:r w:rsidRPr="00B74A97">
        <w:rPr>
          <w:rFonts w:asciiTheme="minorHAnsi" w:hAnsiTheme="minorHAnsi" w:cstheme="minorHAnsi"/>
          <w:smallCaps/>
          <w:sz w:val="22"/>
          <w:szCs w:val="22"/>
        </w:rPr>
        <w:br w:type="page"/>
      </w:r>
      <w:bookmarkStart w:id="6" w:name="_Hlk529270320"/>
      <w:bookmarkStart w:id="7" w:name="_Toc120597382"/>
      <w:r w:rsidRPr="00B74A97">
        <w:rPr>
          <w:rFonts w:asciiTheme="minorHAnsi" w:hAnsiTheme="minorHAnsi" w:cstheme="minorHAnsi"/>
          <w:b/>
          <w:sz w:val="22"/>
          <w:szCs w:val="22"/>
        </w:rPr>
        <w:lastRenderedPageBreak/>
        <w:t>TURINY</w:t>
      </w:r>
      <w:r w:rsidR="00AA4BED" w:rsidRPr="00B74A97">
        <w:rPr>
          <w:rFonts w:asciiTheme="minorHAnsi" w:hAnsiTheme="minorHAnsi" w:cstheme="minorHAnsi"/>
          <w:b/>
          <w:sz w:val="22"/>
          <w:szCs w:val="22"/>
        </w:rPr>
        <w:t>S</w:t>
      </w:r>
    </w:p>
    <w:bookmarkStart w:id="8" w:name="_Hlk78967306"/>
    <w:p w14:paraId="3F0FCA80" w14:textId="5B41EC78" w:rsidR="00007C73" w:rsidRDefault="00A364C6">
      <w:pPr>
        <w:pStyle w:val="TOC1"/>
        <w:rPr>
          <w:rFonts w:eastAsiaTheme="minorEastAsia" w:cstheme="minorBidi"/>
          <w:b w:val="0"/>
          <w:bCs w:val="0"/>
          <w:caps w:val="0"/>
          <w:noProof/>
          <w:kern w:val="2"/>
          <w:sz w:val="24"/>
          <w:szCs w:val="24"/>
          <w:lang w:val="en-US" w:eastAsia="en-US"/>
          <w14:ligatures w14:val="standardContextual"/>
        </w:rPr>
      </w:pPr>
      <w:r w:rsidRPr="00B74A97">
        <w:rPr>
          <w:szCs w:val="22"/>
        </w:rPr>
        <w:fldChar w:fldCharType="begin"/>
      </w:r>
      <w:r w:rsidR="003D4C15" w:rsidRPr="007A22BF">
        <w:rPr>
          <w:szCs w:val="22"/>
        </w:rPr>
        <w:instrText xml:space="preserve"> TOC \o "1-3" \h \z \u </w:instrText>
      </w:r>
      <w:r w:rsidRPr="00B74A97">
        <w:rPr>
          <w:szCs w:val="22"/>
        </w:rPr>
        <w:fldChar w:fldCharType="separate"/>
      </w:r>
      <w:hyperlink w:anchor="_Toc199503131" w:history="1">
        <w:r w:rsidR="00007C73" w:rsidRPr="00A05263">
          <w:rPr>
            <w:rStyle w:val="Hyperlink"/>
            <w:rFonts w:cstheme="minorHAnsi"/>
            <w:noProof/>
          </w:rPr>
          <w:t>I. Administracinės bylos, kylančios iš ginčų dėl teisės viešojo administravimo srityje</w:t>
        </w:r>
        <w:r w:rsidR="00007C73">
          <w:rPr>
            <w:noProof/>
            <w:webHidden/>
          </w:rPr>
          <w:tab/>
        </w:r>
        <w:r w:rsidR="00007C73">
          <w:rPr>
            <w:noProof/>
            <w:webHidden/>
          </w:rPr>
          <w:fldChar w:fldCharType="begin"/>
        </w:r>
        <w:r w:rsidR="00007C73">
          <w:rPr>
            <w:noProof/>
            <w:webHidden/>
          </w:rPr>
          <w:instrText xml:space="preserve"> PAGEREF _Toc199503131 \h </w:instrText>
        </w:r>
        <w:r w:rsidR="00007C73">
          <w:rPr>
            <w:noProof/>
            <w:webHidden/>
          </w:rPr>
        </w:r>
        <w:r w:rsidR="00007C73">
          <w:rPr>
            <w:noProof/>
            <w:webHidden/>
          </w:rPr>
          <w:fldChar w:fldCharType="separate"/>
        </w:r>
        <w:r w:rsidR="00007C73">
          <w:rPr>
            <w:noProof/>
            <w:webHidden/>
          </w:rPr>
          <w:t>5</w:t>
        </w:r>
        <w:r w:rsidR="00007C73">
          <w:rPr>
            <w:noProof/>
            <w:webHidden/>
          </w:rPr>
          <w:fldChar w:fldCharType="end"/>
        </w:r>
      </w:hyperlink>
    </w:p>
    <w:p w14:paraId="5BD8756D" w14:textId="44A9F813"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32" w:history="1">
        <w:r w:rsidRPr="00A05263">
          <w:rPr>
            <w:rStyle w:val="Hyperlink"/>
            <w:rFonts w:cstheme="minorHAnsi"/>
            <w:noProof/>
          </w:rPr>
          <w:t>4. Norminių administracinių aktų teisėtumo patikra</w:t>
        </w:r>
        <w:r>
          <w:rPr>
            <w:noProof/>
            <w:webHidden/>
          </w:rPr>
          <w:tab/>
        </w:r>
        <w:r>
          <w:rPr>
            <w:noProof/>
            <w:webHidden/>
          </w:rPr>
          <w:fldChar w:fldCharType="begin"/>
        </w:r>
        <w:r>
          <w:rPr>
            <w:noProof/>
            <w:webHidden/>
          </w:rPr>
          <w:instrText xml:space="preserve"> PAGEREF _Toc199503132 \h </w:instrText>
        </w:r>
        <w:r>
          <w:rPr>
            <w:noProof/>
            <w:webHidden/>
          </w:rPr>
        </w:r>
        <w:r>
          <w:rPr>
            <w:noProof/>
            <w:webHidden/>
          </w:rPr>
          <w:fldChar w:fldCharType="separate"/>
        </w:r>
        <w:r>
          <w:rPr>
            <w:noProof/>
            <w:webHidden/>
          </w:rPr>
          <w:t>5</w:t>
        </w:r>
        <w:r>
          <w:rPr>
            <w:noProof/>
            <w:webHidden/>
          </w:rPr>
          <w:fldChar w:fldCharType="end"/>
        </w:r>
      </w:hyperlink>
    </w:p>
    <w:p w14:paraId="1A1DCA24" w14:textId="1222970D" w:rsidR="00007C73" w:rsidRDefault="00007C73">
      <w:pPr>
        <w:pStyle w:val="TOC2"/>
        <w:rPr>
          <w:rFonts w:eastAsiaTheme="minorEastAsia" w:cstheme="minorBidi"/>
          <w:i w:val="0"/>
          <w:noProof/>
          <w:kern w:val="2"/>
          <w:sz w:val="24"/>
          <w:szCs w:val="24"/>
          <w:lang w:val="en-US" w:eastAsia="en-US"/>
          <w14:ligatures w14:val="standardContextual"/>
        </w:rPr>
      </w:pPr>
      <w:hyperlink w:anchor="_Toc199503133" w:history="1">
        <w:r w:rsidRPr="00A05263">
          <w:rPr>
            <w:rStyle w:val="Hyperlink"/>
            <w:rFonts w:eastAsia="Calibri" w:cstheme="minorHAnsi"/>
            <w:noProof/>
          </w:rPr>
          <w:t>Dėl kai kurių norminių administracinių aktų nuostatų, reglamentavusių Alternatyviųjų degalų įstatyme nurodyto termino Degalų iš atsinaujinančių energijos išteklių apskaitos vienetų sistemos dalyviui pateikti ataskaitą apie įstatyme nustatytų įpareigojimų įvykdymą praleidimo pasekmes, teisėtumo</w:t>
        </w:r>
        <w:r>
          <w:rPr>
            <w:noProof/>
            <w:webHidden/>
          </w:rPr>
          <w:tab/>
        </w:r>
        <w:r>
          <w:rPr>
            <w:noProof/>
            <w:webHidden/>
          </w:rPr>
          <w:fldChar w:fldCharType="begin"/>
        </w:r>
        <w:r>
          <w:rPr>
            <w:noProof/>
            <w:webHidden/>
          </w:rPr>
          <w:instrText xml:space="preserve"> PAGEREF _Toc199503133 \h </w:instrText>
        </w:r>
        <w:r>
          <w:rPr>
            <w:noProof/>
            <w:webHidden/>
          </w:rPr>
        </w:r>
        <w:r>
          <w:rPr>
            <w:noProof/>
            <w:webHidden/>
          </w:rPr>
          <w:fldChar w:fldCharType="separate"/>
        </w:r>
        <w:r>
          <w:rPr>
            <w:noProof/>
            <w:webHidden/>
          </w:rPr>
          <w:t>5</w:t>
        </w:r>
        <w:r>
          <w:rPr>
            <w:noProof/>
            <w:webHidden/>
          </w:rPr>
          <w:fldChar w:fldCharType="end"/>
        </w:r>
      </w:hyperlink>
    </w:p>
    <w:p w14:paraId="03E07E01" w14:textId="06B300DF"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34" w:history="1">
        <w:r w:rsidRPr="00A05263">
          <w:rPr>
            <w:rStyle w:val="Hyperlink"/>
            <w:rFonts w:cstheme="minorHAnsi"/>
            <w:noProof/>
          </w:rPr>
          <w:t>7. Socialinė apsauga</w:t>
        </w:r>
        <w:r>
          <w:rPr>
            <w:noProof/>
            <w:webHidden/>
          </w:rPr>
          <w:tab/>
        </w:r>
        <w:r>
          <w:rPr>
            <w:noProof/>
            <w:webHidden/>
          </w:rPr>
          <w:fldChar w:fldCharType="begin"/>
        </w:r>
        <w:r>
          <w:rPr>
            <w:noProof/>
            <w:webHidden/>
          </w:rPr>
          <w:instrText xml:space="preserve"> PAGEREF _Toc199503134 \h </w:instrText>
        </w:r>
        <w:r>
          <w:rPr>
            <w:noProof/>
            <w:webHidden/>
          </w:rPr>
        </w:r>
        <w:r>
          <w:rPr>
            <w:noProof/>
            <w:webHidden/>
          </w:rPr>
          <w:fldChar w:fldCharType="separate"/>
        </w:r>
        <w:r>
          <w:rPr>
            <w:noProof/>
            <w:webHidden/>
          </w:rPr>
          <w:t>6</w:t>
        </w:r>
        <w:r>
          <w:rPr>
            <w:noProof/>
            <w:webHidden/>
          </w:rPr>
          <w:fldChar w:fldCharType="end"/>
        </w:r>
      </w:hyperlink>
    </w:p>
    <w:p w14:paraId="564EA54F" w14:textId="2C5A3CBC" w:rsidR="00007C73" w:rsidRDefault="00007C73">
      <w:pPr>
        <w:pStyle w:val="TOC2"/>
        <w:rPr>
          <w:rFonts w:eastAsiaTheme="minorEastAsia" w:cstheme="minorBidi"/>
          <w:i w:val="0"/>
          <w:noProof/>
          <w:kern w:val="2"/>
          <w:sz w:val="24"/>
          <w:szCs w:val="24"/>
          <w:lang w:val="en-US" w:eastAsia="en-US"/>
          <w14:ligatures w14:val="standardContextual"/>
        </w:rPr>
      </w:pPr>
      <w:hyperlink w:anchor="_Toc199503135" w:history="1">
        <w:r w:rsidRPr="00A05263">
          <w:rPr>
            <w:rStyle w:val="Hyperlink"/>
            <w:rFonts w:eastAsia="Calibri" w:cstheme="minorHAnsi"/>
            <w:noProof/>
          </w:rPr>
          <w:t>Dėl karo tarnybos laiko apskaičiavimo, atsižvelgiant į individualią situaciją ir teisingumo principą</w:t>
        </w:r>
        <w:r>
          <w:rPr>
            <w:noProof/>
            <w:webHidden/>
          </w:rPr>
          <w:tab/>
        </w:r>
        <w:r>
          <w:rPr>
            <w:noProof/>
            <w:webHidden/>
          </w:rPr>
          <w:fldChar w:fldCharType="begin"/>
        </w:r>
        <w:r>
          <w:rPr>
            <w:noProof/>
            <w:webHidden/>
          </w:rPr>
          <w:instrText xml:space="preserve"> PAGEREF _Toc199503135 \h </w:instrText>
        </w:r>
        <w:r>
          <w:rPr>
            <w:noProof/>
            <w:webHidden/>
          </w:rPr>
        </w:r>
        <w:r>
          <w:rPr>
            <w:noProof/>
            <w:webHidden/>
          </w:rPr>
          <w:fldChar w:fldCharType="separate"/>
        </w:r>
        <w:r>
          <w:rPr>
            <w:noProof/>
            <w:webHidden/>
          </w:rPr>
          <w:t>6</w:t>
        </w:r>
        <w:r>
          <w:rPr>
            <w:noProof/>
            <w:webHidden/>
          </w:rPr>
          <w:fldChar w:fldCharType="end"/>
        </w:r>
      </w:hyperlink>
    </w:p>
    <w:p w14:paraId="2228A357" w14:textId="3BBD5DE6"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36" w:history="1">
        <w:r w:rsidRPr="00A05263">
          <w:rPr>
            <w:rStyle w:val="Hyperlink"/>
            <w:rFonts w:cstheme="minorHAnsi"/>
            <w:noProof/>
          </w:rPr>
          <w:t>8. Užsieniečių teisinė padėtis</w:t>
        </w:r>
        <w:r>
          <w:rPr>
            <w:noProof/>
            <w:webHidden/>
          </w:rPr>
          <w:tab/>
        </w:r>
        <w:r>
          <w:rPr>
            <w:noProof/>
            <w:webHidden/>
          </w:rPr>
          <w:fldChar w:fldCharType="begin"/>
        </w:r>
        <w:r>
          <w:rPr>
            <w:noProof/>
            <w:webHidden/>
          </w:rPr>
          <w:instrText xml:space="preserve"> PAGEREF _Toc199503136 \h </w:instrText>
        </w:r>
        <w:r>
          <w:rPr>
            <w:noProof/>
            <w:webHidden/>
          </w:rPr>
        </w:r>
        <w:r>
          <w:rPr>
            <w:noProof/>
            <w:webHidden/>
          </w:rPr>
          <w:fldChar w:fldCharType="separate"/>
        </w:r>
        <w:r>
          <w:rPr>
            <w:noProof/>
            <w:webHidden/>
          </w:rPr>
          <w:t>7</w:t>
        </w:r>
        <w:r>
          <w:rPr>
            <w:noProof/>
            <w:webHidden/>
          </w:rPr>
          <w:fldChar w:fldCharType="end"/>
        </w:r>
      </w:hyperlink>
    </w:p>
    <w:p w14:paraId="0C0EF9B4" w14:textId="66117100" w:rsidR="00007C73" w:rsidRDefault="00007C73">
      <w:pPr>
        <w:pStyle w:val="TOC2"/>
        <w:rPr>
          <w:rFonts w:eastAsiaTheme="minorEastAsia" w:cstheme="minorBidi"/>
          <w:i w:val="0"/>
          <w:noProof/>
          <w:kern w:val="2"/>
          <w:sz w:val="24"/>
          <w:szCs w:val="24"/>
          <w:lang w:val="en-US" w:eastAsia="en-US"/>
          <w14:ligatures w14:val="standardContextual"/>
        </w:rPr>
      </w:pPr>
      <w:hyperlink w:anchor="_Toc199503137" w:history="1">
        <w:r w:rsidRPr="00A05263">
          <w:rPr>
            <w:rStyle w:val="Hyperlink"/>
            <w:rFonts w:eastAsia="Calibri" w:cstheme="minorHAnsi"/>
            <w:noProof/>
          </w:rPr>
          <w:t>Dėl leidimo laikinai gyventi panaikinimo, kai kita valstybė Šengeno informacinėje sistemoje yra įvedusi perspėjimą dėl draudimo užsieniečiui atvykti ir apsigyventi</w:t>
        </w:r>
        <w:r>
          <w:rPr>
            <w:noProof/>
            <w:webHidden/>
          </w:rPr>
          <w:tab/>
        </w:r>
        <w:r>
          <w:rPr>
            <w:noProof/>
            <w:webHidden/>
          </w:rPr>
          <w:fldChar w:fldCharType="begin"/>
        </w:r>
        <w:r>
          <w:rPr>
            <w:noProof/>
            <w:webHidden/>
          </w:rPr>
          <w:instrText xml:space="preserve"> PAGEREF _Toc199503137 \h </w:instrText>
        </w:r>
        <w:r>
          <w:rPr>
            <w:noProof/>
            <w:webHidden/>
          </w:rPr>
        </w:r>
        <w:r>
          <w:rPr>
            <w:noProof/>
            <w:webHidden/>
          </w:rPr>
          <w:fldChar w:fldCharType="separate"/>
        </w:r>
        <w:r>
          <w:rPr>
            <w:noProof/>
            <w:webHidden/>
          </w:rPr>
          <w:t>7</w:t>
        </w:r>
        <w:r>
          <w:rPr>
            <w:noProof/>
            <w:webHidden/>
          </w:rPr>
          <w:fldChar w:fldCharType="end"/>
        </w:r>
      </w:hyperlink>
    </w:p>
    <w:p w14:paraId="358E319A" w14:textId="2D34B1BB" w:rsidR="00007C73" w:rsidRDefault="00007C73">
      <w:pPr>
        <w:pStyle w:val="TOC2"/>
        <w:rPr>
          <w:rFonts w:eastAsiaTheme="minorEastAsia" w:cstheme="minorBidi"/>
          <w:i w:val="0"/>
          <w:noProof/>
          <w:kern w:val="2"/>
          <w:sz w:val="24"/>
          <w:szCs w:val="24"/>
          <w:lang w:val="en-US" w:eastAsia="en-US"/>
          <w14:ligatures w14:val="standardContextual"/>
        </w:rPr>
      </w:pPr>
      <w:hyperlink w:anchor="_Toc199503138" w:history="1">
        <w:r w:rsidRPr="00A05263">
          <w:rPr>
            <w:rStyle w:val="Hyperlink"/>
            <w:rFonts w:eastAsia="Calibri" w:cstheme="minorHAnsi"/>
            <w:noProof/>
          </w:rPr>
          <w:t>Dėl pareigos sudaryti sąlygas užsieniečiui išvykti iš Lietuvos savanoriškai</w:t>
        </w:r>
        <w:r>
          <w:rPr>
            <w:noProof/>
            <w:webHidden/>
          </w:rPr>
          <w:tab/>
        </w:r>
        <w:r>
          <w:rPr>
            <w:noProof/>
            <w:webHidden/>
          </w:rPr>
          <w:fldChar w:fldCharType="begin"/>
        </w:r>
        <w:r>
          <w:rPr>
            <w:noProof/>
            <w:webHidden/>
          </w:rPr>
          <w:instrText xml:space="preserve"> PAGEREF _Toc199503138 \h </w:instrText>
        </w:r>
        <w:r>
          <w:rPr>
            <w:noProof/>
            <w:webHidden/>
          </w:rPr>
        </w:r>
        <w:r>
          <w:rPr>
            <w:noProof/>
            <w:webHidden/>
          </w:rPr>
          <w:fldChar w:fldCharType="separate"/>
        </w:r>
        <w:r>
          <w:rPr>
            <w:noProof/>
            <w:webHidden/>
          </w:rPr>
          <w:t>9</w:t>
        </w:r>
        <w:r>
          <w:rPr>
            <w:noProof/>
            <w:webHidden/>
          </w:rPr>
          <w:fldChar w:fldCharType="end"/>
        </w:r>
      </w:hyperlink>
    </w:p>
    <w:p w14:paraId="2B11B82A" w14:textId="7AAA9C85"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39" w:history="1">
        <w:r w:rsidRPr="00A05263">
          <w:rPr>
            <w:rStyle w:val="Hyperlink"/>
            <w:rFonts w:cstheme="minorHAnsi"/>
            <w:noProof/>
          </w:rPr>
          <w:t>12. Mokesčiai, įmokos ir kiti privalomieji mokėjimai</w:t>
        </w:r>
        <w:r>
          <w:rPr>
            <w:noProof/>
            <w:webHidden/>
          </w:rPr>
          <w:tab/>
        </w:r>
        <w:r>
          <w:rPr>
            <w:noProof/>
            <w:webHidden/>
          </w:rPr>
          <w:fldChar w:fldCharType="begin"/>
        </w:r>
        <w:r>
          <w:rPr>
            <w:noProof/>
            <w:webHidden/>
          </w:rPr>
          <w:instrText xml:space="preserve"> PAGEREF _Toc199503139 \h </w:instrText>
        </w:r>
        <w:r>
          <w:rPr>
            <w:noProof/>
            <w:webHidden/>
          </w:rPr>
        </w:r>
        <w:r>
          <w:rPr>
            <w:noProof/>
            <w:webHidden/>
          </w:rPr>
          <w:fldChar w:fldCharType="separate"/>
        </w:r>
        <w:r>
          <w:rPr>
            <w:noProof/>
            <w:webHidden/>
          </w:rPr>
          <w:t>9</w:t>
        </w:r>
        <w:r>
          <w:rPr>
            <w:noProof/>
            <w:webHidden/>
          </w:rPr>
          <w:fldChar w:fldCharType="end"/>
        </w:r>
      </w:hyperlink>
    </w:p>
    <w:p w14:paraId="61D2E737" w14:textId="5A5DE004" w:rsidR="00007C73" w:rsidRDefault="00007C73">
      <w:pPr>
        <w:pStyle w:val="TOC2"/>
        <w:rPr>
          <w:rFonts w:eastAsiaTheme="minorEastAsia" w:cstheme="minorBidi"/>
          <w:i w:val="0"/>
          <w:noProof/>
          <w:kern w:val="2"/>
          <w:sz w:val="24"/>
          <w:szCs w:val="24"/>
          <w:lang w:val="en-US" w:eastAsia="en-US"/>
          <w14:ligatures w14:val="standardContextual"/>
        </w:rPr>
      </w:pPr>
      <w:hyperlink w:anchor="_Toc199503140" w:history="1">
        <w:r w:rsidRPr="00A05263">
          <w:rPr>
            <w:rStyle w:val="Hyperlink"/>
            <w:rFonts w:eastAsia="Calibri" w:cstheme="minorHAnsi"/>
            <w:noProof/>
          </w:rPr>
          <w:t>Dėl mokesčių administratoriaus teisės priverstinai išieškoti mokestinę nepriemoką nutraukus mokestinės paskolos sutartį, kai kyla ginčas dėl jo atsisakymo šią sutartį pratęsti</w:t>
        </w:r>
        <w:r>
          <w:rPr>
            <w:noProof/>
            <w:webHidden/>
          </w:rPr>
          <w:tab/>
        </w:r>
        <w:r>
          <w:rPr>
            <w:noProof/>
            <w:webHidden/>
          </w:rPr>
          <w:fldChar w:fldCharType="begin"/>
        </w:r>
        <w:r>
          <w:rPr>
            <w:noProof/>
            <w:webHidden/>
          </w:rPr>
          <w:instrText xml:space="preserve"> PAGEREF _Toc199503140 \h </w:instrText>
        </w:r>
        <w:r>
          <w:rPr>
            <w:noProof/>
            <w:webHidden/>
          </w:rPr>
        </w:r>
        <w:r>
          <w:rPr>
            <w:noProof/>
            <w:webHidden/>
          </w:rPr>
          <w:fldChar w:fldCharType="separate"/>
        </w:r>
        <w:r>
          <w:rPr>
            <w:noProof/>
            <w:webHidden/>
          </w:rPr>
          <w:t>9</w:t>
        </w:r>
        <w:r>
          <w:rPr>
            <w:noProof/>
            <w:webHidden/>
          </w:rPr>
          <w:fldChar w:fldCharType="end"/>
        </w:r>
      </w:hyperlink>
    </w:p>
    <w:p w14:paraId="72FD1F84" w14:textId="558EDD5C"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41" w:history="1">
        <w:r w:rsidRPr="00A05263">
          <w:rPr>
            <w:rStyle w:val="Hyperlink"/>
            <w:rFonts w:cstheme="minorHAnsi"/>
            <w:noProof/>
          </w:rPr>
          <w:t>14. Aplinkos apsauga</w:t>
        </w:r>
        <w:r>
          <w:rPr>
            <w:noProof/>
            <w:webHidden/>
          </w:rPr>
          <w:tab/>
        </w:r>
        <w:r>
          <w:rPr>
            <w:noProof/>
            <w:webHidden/>
          </w:rPr>
          <w:fldChar w:fldCharType="begin"/>
        </w:r>
        <w:r>
          <w:rPr>
            <w:noProof/>
            <w:webHidden/>
          </w:rPr>
          <w:instrText xml:space="preserve"> PAGEREF _Toc199503141 \h </w:instrText>
        </w:r>
        <w:r>
          <w:rPr>
            <w:noProof/>
            <w:webHidden/>
          </w:rPr>
        </w:r>
        <w:r>
          <w:rPr>
            <w:noProof/>
            <w:webHidden/>
          </w:rPr>
          <w:fldChar w:fldCharType="separate"/>
        </w:r>
        <w:r>
          <w:rPr>
            <w:noProof/>
            <w:webHidden/>
          </w:rPr>
          <w:t>10</w:t>
        </w:r>
        <w:r>
          <w:rPr>
            <w:noProof/>
            <w:webHidden/>
          </w:rPr>
          <w:fldChar w:fldCharType="end"/>
        </w:r>
      </w:hyperlink>
    </w:p>
    <w:p w14:paraId="73AEF26D" w14:textId="168AD968" w:rsidR="00007C73" w:rsidRDefault="00007C73">
      <w:pPr>
        <w:pStyle w:val="TOC2"/>
        <w:rPr>
          <w:rFonts w:eastAsiaTheme="minorEastAsia" w:cstheme="minorBidi"/>
          <w:i w:val="0"/>
          <w:noProof/>
          <w:kern w:val="2"/>
          <w:sz w:val="24"/>
          <w:szCs w:val="24"/>
          <w:lang w:val="en-US" w:eastAsia="en-US"/>
          <w14:ligatures w14:val="standardContextual"/>
        </w:rPr>
      </w:pPr>
      <w:hyperlink w:anchor="_Toc199503142" w:history="1">
        <w:r w:rsidRPr="00A05263">
          <w:rPr>
            <w:rStyle w:val="Hyperlink"/>
            <w:rFonts w:eastAsia="Calibri" w:cstheme="minorHAnsi"/>
            <w:noProof/>
          </w:rPr>
          <w:t>Dėl trečiųjų asmenų kaltės vertinimo sprendžiant ūkio subjekto atsakomybės už netinkamą nuotekų kontrolę klausimą</w:t>
        </w:r>
        <w:r>
          <w:rPr>
            <w:noProof/>
            <w:webHidden/>
          </w:rPr>
          <w:tab/>
        </w:r>
        <w:r>
          <w:rPr>
            <w:noProof/>
            <w:webHidden/>
          </w:rPr>
          <w:fldChar w:fldCharType="begin"/>
        </w:r>
        <w:r>
          <w:rPr>
            <w:noProof/>
            <w:webHidden/>
          </w:rPr>
          <w:instrText xml:space="preserve"> PAGEREF _Toc199503142 \h </w:instrText>
        </w:r>
        <w:r>
          <w:rPr>
            <w:noProof/>
            <w:webHidden/>
          </w:rPr>
        </w:r>
        <w:r>
          <w:rPr>
            <w:noProof/>
            <w:webHidden/>
          </w:rPr>
          <w:fldChar w:fldCharType="separate"/>
        </w:r>
        <w:r>
          <w:rPr>
            <w:noProof/>
            <w:webHidden/>
          </w:rPr>
          <w:t>10</w:t>
        </w:r>
        <w:r>
          <w:rPr>
            <w:noProof/>
            <w:webHidden/>
          </w:rPr>
          <w:fldChar w:fldCharType="end"/>
        </w:r>
      </w:hyperlink>
    </w:p>
    <w:p w14:paraId="199739F5" w14:textId="381F9444"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43" w:history="1">
        <w:r w:rsidRPr="00A05263">
          <w:rPr>
            <w:rStyle w:val="Hyperlink"/>
            <w:rFonts w:cstheme="minorHAnsi"/>
            <w:noProof/>
          </w:rPr>
          <w:t>20. Civilinė atsakomybė už žalą, atsiradusią dėl valdžios institucijų neteisėtų veiksmų</w:t>
        </w:r>
        <w:r>
          <w:rPr>
            <w:noProof/>
            <w:webHidden/>
          </w:rPr>
          <w:tab/>
        </w:r>
        <w:r>
          <w:rPr>
            <w:noProof/>
            <w:webHidden/>
          </w:rPr>
          <w:fldChar w:fldCharType="begin"/>
        </w:r>
        <w:r>
          <w:rPr>
            <w:noProof/>
            <w:webHidden/>
          </w:rPr>
          <w:instrText xml:space="preserve"> PAGEREF _Toc199503143 \h </w:instrText>
        </w:r>
        <w:r>
          <w:rPr>
            <w:noProof/>
            <w:webHidden/>
          </w:rPr>
        </w:r>
        <w:r>
          <w:rPr>
            <w:noProof/>
            <w:webHidden/>
          </w:rPr>
          <w:fldChar w:fldCharType="separate"/>
        </w:r>
        <w:r>
          <w:rPr>
            <w:noProof/>
            <w:webHidden/>
          </w:rPr>
          <w:t>11</w:t>
        </w:r>
        <w:r>
          <w:rPr>
            <w:noProof/>
            <w:webHidden/>
          </w:rPr>
          <w:fldChar w:fldCharType="end"/>
        </w:r>
      </w:hyperlink>
    </w:p>
    <w:p w14:paraId="5997374E" w14:textId="11EF63C9" w:rsidR="00007C73" w:rsidRDefault="00007C73">
      <w:pPr>
        <w:pStyle w:val="TOC2"/>
        <w:rPr>
          <w:rFonts w:eastAsiaTheme="minorEastAsia" w:cstheme="minorBidi"/>
          <w:i w:val="0"/>
          <w:noProof/>
          <w:kern w:val="2"/>
          <w:sz w:val="24"/>
          <w:szCs w:val="24"/>
          <w:lang w:val="en-US" w:eastAsia="en-US"/>
          <w14:ligatures w14:val="standardContextual"/>
        </w:rPr>
      </w:pPr>
      <w:hyperlink w:anchor="_Toc199503144" w:history="1">
        <w:r w:rsidRPr="00A05263">
          <w:rPr>
            <w:rStyle w:val="Hyperlink"/>
            <w:rFonts w:eastAsia="Calibri" w:cstheme="minorHAnsi"/>
            <w:noProof/>
          </w:rPr>
          <w:t>Dėl nuteistųjų teisės be apribojimų pasimatyti su kitais asmenimis išvykus iš bausmės atlikimo vietos įgyvendinimo sąlygų</w:t>
        </w:r>
        <w:r>
          <w:rPr>
            <w:noProof/>
            <w:webHidden/>
          </w:rPr>
          <w:tab/>
        </w:r>
        <w:r>
          <w:rPr>
            <w:noProof/>
            <w:webHidden/>
          </w:rPr>
          <w:fldChar w:fldCharType="begin"/>
        </w:r>
        <w:r>
          <w:rPr>
            <w:noProof/>
            <w:webHidden/>
          </w:rPr>
          <w:instrText xml:space="preserve"> PAGEREF _Toc199503144 \h </w:instrText>
        </w:r>
        <w:r>
          <w:rPr>
            <w:noProof/>
            <w:webHidden/>
          </w:rPr>
        </w:r>
        <w:r>
          <w:rPr>
            <w:noProof/>
            <w:webHidden/>
          </w:rPr>
          <w:fldChar w:fldCharType="separate"/>
        </w:r>
        <w:r>
          <w:rPr>
            <w:noProof/>
            <w:webHidden/>
          </w:rPr>
          <w:t>11</w:t>
        </w:r>
        <w:r>
          <w:rPr>
            <w:noProof/>
            <w:webHidden/>
          </w:rPr>
          <w:fldChar w:fldCharType="end"/>
        </w:r>
      </w:hyperlink>
    </w:p>
    <w:p w14:paraId="19319A3C" w14:textId="1293DF5F" w:rsidR="00007C73" w:rsidRDefault="00007C73">
      <w:pPr>
        <w:pStyle w:val="TOC2"/>
        <w:rPr>
          <w:rFonts w:eastAsiaTheme="minorEastAsia" w:cstheme="minorBidi"/>
          <w:i w:val="0"/>
          <w:noProof/>
          <w:kern w:val="2"/>
          <w:sz w:val="24"/>
          <w:szCs w:val="24"/>
          <w:lang w:val="en-US" w:eastAsia="en-US"/>
          <w14:ligatures w14:val="standardContextual"/>
        </w:rPr>
      </w:pPr>
      <w:hyperlink w:anchor="_Toc199503145" w:history="1">
        <w:r w:rsidRPr="00A05263">
          <w:rPr>
            <w:rStyle w:val="Hyperlink"/>
            <w:rFonts w:eastAsia="Calibri" w:cstheme="minorHAnsi"/>
            <w:noProof/>
          </w:rPr>
          <w:t>Dėl reikalavimų kalinimo sąlygoms, kai asmenys laikinojo sulaikymo patalpose laikomi ilgiau nei 24 val.</w:t>
        </w:r>
        <w:r>
          <w:rPr>
            <w:noProof/>
            <w:webHidden/>
          </w:rPr>
          <w:tab/>
        </w:r>
        <w:r>
          <w:rPr>
            <w:noProof/>
            <w:webHidden/>
          </w:rPr>
          <w:fldChar w:fldCharType="begin"/>
        </w:r>
        <w:r>
          <w:rPr>
            <w:noProof/>
            <w:webHidden/>
          </w:rPr>
          <w:instrText xml:space="preserve"> PAGEREF _Toc199503145 \h </w:instrText>
        </w:r>
        <w:r>
          <w:rPr>
            <w:noProof/>
            <w:webHidden/>
          </w:rPr>
        </w:r>
        <w:r>
          <w:rPr>
            <w:noProof/>
            <w:webHidden/>
          </w:rPr>
          <w:fldChar w:fldCharType="separate"/>
        </w:r>
        <w:r>
          <w:rPr>
            <w:noProof/>
            <w:webHidden/>
          </w:rPr>
          <w:t>11</w:t>
        </w:r>
        <w:r>
          <w:rPr>
            <w:noProof/>
            <w:webHidden/>
          </w:rPr>
          <w:fldChar w:fldCharType="end"/>
        </w:r>
      </w:hyperlink>
    </w:p>
    <w:p w14:paraId="1EF69CAE" w14:textId="726707AC"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46" w:history="1">
        <w:r w:rsidRPr="00A05263">
          <w:rPr>
            <w:rStyle w:val="Hyperlink"/>
            <w:rFonts w:cstheme="minorHAnsi"/>
            <w:noProof/>
          </w:rPr>
          <w:t>22. Kiti su valstybės tarnyba susiję klausimai</w:t>
        </w:r>
        <w:r>
          <w:rPr>
            <w:noProof/>
            <w:webHidden/>
          </w:rPr>
          <w:tab/>
        </w:r>
        <w:r>
          <w:rPr>
            <w:noProof/>
            <w:webHidden/>
          </w:rPr>
          <w:fldChar w:fldCharType="begin"/>
        </w:r>
        <w:r>
          <w:rPr>
            <w:noProof/>
            <w:webHidden/>
          </w:rPr>
          <w:instrText xml:space="preserve"> PAGEREF _Toc199503146 \h </w:instrText>
        </w:r>
        <w:r>
          <w:rPr>
            <w:noProof/>
            <w:webHidden/>
          </w:rPr>
        </w:r>
        <w:r>
          <w:rPr>
            <w:noProof/>
            <w:webHidden/>
          </w:rPr>
          <w:fldChar w:fldCharType="separate"/>
        </w:r>
        <w:r>
          <w:rPr>
            <w:noProof/>
            <w:webHidden/>
          </w:rPr>
          <w:t>12</w:t>
        </w:r>
        <w:r>
          <w:rPr>
            <w:noProof/>
            <w:webHidden/>
          </w:rPr>
          <w:fldChar w:fldCharType="end"/>
        </w:r>
      </w:hyperlink>
    </w:p>
    <w:p w14:paraId="75E5917B" w14:textId="26CF03EE" w:rsidR="00007C73" w:rsidRDefault="00007C73">
      <w:pPr>
        <w:pStyle w:val="TOC2"/>
        <w:rPr>
          <w:rFonts w:eastAsiaTheme="minorEastAsia" w:cstheme="minorBidi"/>
          <w:i w:val="0"/>
          <w:noProof/>
          <w:kern w:val="2"/>
          <w:sz w:val="24"/>
          <w:szCs w:val="24"/>
          <w:lang w:val="en-US" w:eastAsia="en-US"/>
          <w14:ligatures w14:val="standardContextual"/>
        </w:rPr>
      </w:pPr>
      <w:hyperlink w:anchor="_Toc199503147" w:history="1">
        <w:r w:rsidRPr="00A05263">
          <w:rPr>
            <w:rStyle w:val="Hyperlink"/>
            <w:rFonts w:eastAsia="Calibri" w:cstheme="minorHAnsi"/>
            <w:noProof/>
          </w:rPr>
          <w:t>Dėl savanoriško kario dalyvavimo renginyje susiejimo su tarnybos pareigų vykdymu</w:t>
        </w:r>
        <w:r>
          <w:rPr>
            <w:noProof/>
            <w:webHidden/>
          </w:rPr>
          <w:tab/>
        </w:r>
        <w:r>
          <w:rPr>
            <w:noProof/>
            <w:webHidden/>
          </w:rPr>
          <w:fldChar w:fldCharType="begin"/>
        </w:r>
        <w:r>
          <w:rPr>
            <w:noProof/>
            <w:webHidden/>
          </w:rPr>
          <w:instrText xml:space="preserve"> PAGEREF _Toc199503147 \h </w:instrText>
        </w:r>
        <w:r>
          <w:rPr>
            <w:noProof/>
            <w:webHidden/>
          </w:rPr>
        </w:r>
        <w:r>
          <w:rPr>
            <w:noProof/>
            <w:webHidden/>
          </w:rPr>
          <w:fldChar w:fldCharType="separate"/>
        </w:r>
        <w:r>
          <w:rPr>
            <w:noProof/>
            <w:webHidden/>
          </w:rPr>
          <w:t>12</w:t>
        </w:r>
        <w:r>
          <w:rPr>
            <w:noProof/>
            <w:webHidden/>
          </w:rPr>
          <w:fldChar w:fldCharType="end"/>
        </w:r>
      </w:hyperlink>
    </w:p>
    <w:p w14:paraId="030B0676" w14:textId="07729C73"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48" w:history="1">
        <w:r w:rsidRPr="00A05263">
          <w:rPr>
            <w:rStyle w:val="Hyperlink"/>
            <w:rFonts w:cstheme="minorHAnsi"/>
            <w:noProof/>
          </w:rPr>
          <w:t>26. Asmens duomenų teisinė apsauga</w:t>
        </w:r>
        <w:r>
          <w:rPr>
            <w:noProof/>
            <w:webHidden/>
          </w:rPr>
          <w:tab/>
        </w:r>
        <w:r>
          <w:rPr>
            <w:noProof/>
            <w:webHidden/>
          </w:rPr>
          <w:fldChar w:fldCharType="begin"/>
        </w:r>
        <w:r>
          <w:rPr>
            <w:noProof/>
            <w:webHidden/>
          </w:rPr>
          <w:instrText xml:space="preserve"> PAGEREF _Toc199503148 \h </w:instrText>
        </w:r>
        <w:r>
          <w:rPr>
            <w:noProof/>
            <w:webHidden/>
          </w:rPr>
        </w:r>
        <w:r>
          <w:rPr>
            <w:noProof/>
            <w:webHidden/>
          </w:rPr>
          <w:fldChar w:fldCharType="separate"/>
        </w:r>
        <w:r>
          <w:rPr>
            <w:noProof/>
            <w:webHidden/>
          </w:rPr>
          <w:t>13</w:t>
        </w:r>
        <w:r>
          <w:rPr>
            <w:noProof/>
            <w:webHidden/>
          </w:rPr>
          <w:fldChar w:fldCharType="end"/>
        </w:r>
      </w:hyperlink>
    </w:p>
    <w:p w14:paraId="59038A33" w14:textId="6F3EBDEA" w:rsidR="00007C73" w:rsidRDefault="00007C73">
      <w:pPr>
        <w:pStyle w:val="TOC2"/>
        <w:rPr>
          <w:rFonts w:eastAsiaTheme="minorEastAsia" w:cstheme="minorBidi"/>
          <w:i w:val="0"/>
          <w:noProof/>
          <w:kern w:val="2"/>
          <w:sz w:val="24"/>
          <w:szCs w:val="24"/>
          <w:lang w:val="en-US" w:eastAsia="en-US"/>
          <w14:ligatures w14:val="standardContextual"/>
        </w:rPr>
      </w:pPr>
      <w:hyperlink w:anchor="_Toc199503149" w:history="1">
        <w:r w:rsidRPr="00A05263">
          <w:rPr>
            <w:rStyle w:val="Hyperlink"/>
            <w:rFonts w:eastAsia="Calibri" w:cstheme="minorHAnsi"/>
            <w:noProof/>
          </w:rPr>
          <w:t>Dėl sodininkų bendrijos kreipimosi į VĮ Registrų centrą siekiant išsiaiškinti, kas yra sodininkų bendrijos teritorijoje esančio sodo sklypo savininkas</w:t>
        </w:r>
        <w:r>
          <w:rPr>
            <w:noProof/>
            <w:webHidden/>
          </w:rPr>
          <w:tab/>
        </w:r>
        <w:r>
          <w:rPr>
            <w:noProof/>
            <w:webHidden/>
          </w:rPr>
          <w:fldChar w:fldCharType="begin"/>
        </w:r>
        <w:r>
          <w:rPr>
            <w:noProof/>
            <w:webHidden/>
          </w:rPr>
          <w:instrText xml:space="preserve"> PAGEREF _Toc199503149 \h </w:instrText>
        </w:r>
        <w:r>
          <w:rPr>
            <w:noProof/>
            <w:webHidden/>
          </w:rPr>
        </w:r>
        <w:r>
          <w:rPr>
            <w:noProof/>
            <w:webHidden/>
          </w:rPr>
          <w:fldChar w:fldCharType="separate"/>
        </w:r>
        <w:r>
          <w:rPr>
            <w:noProof/>
            <w:webHidden/>
          </w:rPr>
          <w:t>13</w:t>
        </w:r>
        <w:r>
          <w:rPr>
            <w:noProof/>
            <w:webHidden/>
          </w:rPr>
          <w:fldChar w:fldCharType="end"/>
        </w:r>
      </w:hyperlink>
    </w:p>
    <w:p w14:paraId="77D99C3F" w14:textId="36CE782C"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50" w:history="1">
        <w:r w:rsidRPr="00A05263">
          <w:rPr>
            <w:rStyle w:val="Hyperlink"/>
            <w:rFonts w:cstheme="minorHAnsi"/>
            <w:noProof/>
          </w:rPr>
          <w:t>30. Energetika</w:t>
        </w:r>
        <w:r>
          <w:rPr>
            <w:noProof/>
            <w:webHidden/>
          </w:rPr>
          <w:tab/>
        </w:r>
        <w:r>
          <w:rPr>
            <w:noProof/>
            <w:webHidden/>
          </w:rPr>
          <w:fldChar w:fldCharType="begin"/>
        </w:r>
        <w:r>
          <w:rPr>
            <w:noProof/>
            <w:webHidden/>
          </w:rPr>
          <w:instrText xml:space="preserve"> PAGEREF _Toc199503150 \h </w:instrText>
        </w:r>
        <w:r>
          <w:rPr>
            <w:noProof/>
            <w:webHidden/>
          </w:rPr>
        </w:r>
        <w:r>
          <w:rPr>
            <w:noProof/>
            <w:webHidden/>
          </w:rPr>
          <w:fldChar w:fldCharType="separate"/>
        </w:r>
        <w:r>
          <w:rPr>
            <w:noProof/>
            <w:webHidden/>
          </w:rPr>
          <w:t>14</w:t>
        </w:r>
        <w:r>
          <w:rPr>
            <w:noProof/>
            <w:webHidden/>
          </w:rPr>
          <w:fldChar w:fldCharType="end"/>
        </w:r>
      </w:hyperlink>
    </w:p>
    <w:p w14:paraId="724C05EF" w14:textId="4A24D2AB" w:rsidR="00007C73" w:rsidRDefault="00007C73">
      <w:pPr>
        <w:pStyle w:val="TOC2"/>
        <w:rPr>
          <w:rFonts w:eastAsiaTheme="minorEastAsia" w:cstheme="minorBidi"/>
          <w:i w:val="0"/>
          <w:noProof/>
          <w:kern w:val="2"/>
          <w:sz w:val="24"/>
          <w:szCs w:val="24"/>
          <w:lang w:val="en-US" w:eastAsia="en-US"/>
          <w14:ligatures w14:val="standardContextual"/>
        </w:rPr>
      </w:pPr>
      <w:hyperlink w:anchor="_Toc199503151" w:history="1">
        <w:r w:rsidRPr="00A05263">
          <w:rPr>
            <w:rStyle w:val="Hyperlink"/>
            <w:rFonts w:eastAsia="Calibri" w:cstheme="minorHAnsi"/>
            <w:noProof/>
          </w:rPr>
          <w:t>Dėl Elektros energetikos įstatymo 17 straipsnio 2 dalyje nurodytų sprendimo dėl leidimo plėtoti elektros energijos gamybos pajėgumus išdavimo nepriėmimo per nustatytą terminą pasekmių, kai prašymas išduoti leidimą paduotas esant pasiektai ir viršytai 2 GW saulės šviesos energijos elektrinių suminei įrengtajai galiai</w:t>
        </w:r>
        <w:r>
          <w:rPr>
            <w:noProof/>
            <w:webHidden/>
          </w:rPr>
          <w:tab/>
        </w:r>
        <w:r>
          <w:rPr>
            <w:noProof/>
            <w:webHidden/>
          </w:rPr>
          <w:fldChar w:fldCharType="begin"/>
        </w:r>
        <w:r>
          <w:rPr>
            <w:noProof/>
            <w:webHidden/>
          </w:rPr>
          <w:instrText xml:space="preserve"> PAGEREF _Toc199503151 \h </w:instrText>
        </w:r>
        <w:r>
          <w:rPr>
            <w:noProof/>
            <w:webHidden/>
          </w:rPr>
        </w:r>
        <w:r>
          <w:rPr>
            <w:noProof/>
            <w:webHidden/>
          </w:rPr>
          <w:fldChar w:fldCharType="separate"/>
        </w:r>
        <w:r>
          <w:rPr>
            <w:noProof/>
            <w:webHidden/>
          </w:rPr>
          <w:t>14</w:t>
        </w:r>
        <w:r>
          <w:rPr>
            <w:noProof/>
            <w:webHidden/>
          </w:rPr>
          <w:fldChar w:fldCharType="end"/>
        </w:r>
      </w:hyperlink>
    </w:p>
    <w:p w14:paraId="698C9523" w14:textId="76C9D29C"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52" w:history="1">
        <w:r w:rsidRPr="00A05263">
          <w:rPr>
            <w:rStyle w:val="Hyperlink"/>
            <w:rFonts w:cstheme="minorHAnsi"/>
            <w:noProof/>
          </w:rPr>
          <w:t>32. Viešieji pirkimai</w:t>
        </w:r>
        <w:r>
          <w:rPr>
            <w:noProof/>
            <w:webHidden/>
          </w:rPr>
          <w:tab/>
        </w:r>
        <w:r>
          <w:rPr>
            <w:noProof/>
            <w:webHidden/>
          </w:rPr>
          <w:fldChar w:fldCharType="begin"/>
        </w:r>
        <w:r>
          <w:rPr>
            <w:noProof/>
            <w:webHidden/>
          </w:rPr>
          <w:instrText xml:space="preserve"> PAGEREF _Toc199503152 \h </w:instrText>
        </w:r>
        <w:r>
          <w:rPr>
            <w:noProof/>
            <w:webHidden/>
          </w:rPr>
        </w:r>
        <w:r>
          <w:rPr>
            <w:noProof/>
            <w:webHidden/>
          </w:rPr>
          <w:fldChar w:fldCharType="separate"/>
        </w:r>
        <w:r>
          <w:rPr>
            <w:noProof/>
            <w:webHidden/>
          </w:rPr>
          <w:t>15</w:t>
        </w:r>
        <w:r>
          <w:rPr>
            <w:noProof/>
            <w:webHidden/>
          </w:rPr>
          <w:fldChar w:fldCharType="end"/>
        </w:r>
      </w:hyperlink>
    </w:p>
    <w:p w14:paraId="51424E88" w14:textId="174C9801" w:rsidR="00007C73" w:rsidRDefault="00007C73">
      <w:pPr>
        <w:pStyle w:val="TOC2"/>
        <w:rPr>
          <w:rFonts w:eastAsiaTheme="minorEastAsia" w:cstheme="minorBidi"/>
          <w:i w:val="0"/>
          <w:noProof/>
          <w:kern w:val="2"/>
          <w:sz w:val="24"/>
          <w:szCs w:val="24"/>
          <w:lang w:val="en-US" w:eastAsia="en-US"/>
          <w14:ligatures w14:val="standardContextual"/>
        </w:rPr>
      </w:pPr>
      <w:hyperlink w:anchor="_Toc199503153" w:history="1">
        <w:r w:rsidRPr="00A05263">
          <w:rPr>
            <w:rStyle w:val="Hyperlink"/>
            <w:rFonts w:eastAsia="Calibri" w:cstheme="minorHAnsi"/>
            <w:noProof/>
          </w:rPr>
          <w:t>Dėl pirkimo sutartyje įtvirtintų netesybų mažinimo, kai rangovas nėra kaltas, kad pagal pirkimo sutartį atlikti darbai nebuvo perduoti laiku</w:t>
        </w:r>
        <w:r>
          <w:rPr>
            <w:noProof/>
            <w:webHidden/>
          </w:rPr>
          <w:tab/>
        </w:r>
        <w:r>
          <w:rPr>
            <w:noProof/>
            <w:webHidden/>
          </w:rPr>
          <w:fldChar w:fldCharType="begin"/>
        </w:r>
        <w:r>
          <w:rPr>
            <w:noProof/>
            <w:webHidden/>
          </w:rPr>
          <w:instrText xml:space="preserve"> PAGEREF _Toc199503153 \h </w:instrText>
        </w:r>
        <w:r>
          <w:rPr>
            <w:noProof/>
            <w:webHidden/>
          </w:rPr>
        </w:r>
        <w:r>
          <w:rPr>
            <w:noProof/>
            <w:webHidden/>
          </w:rPr>
          <w:fldChar w:fldCharType="separate"/>
        </w:r>
        <w:r>
          <w:rPr>
            <w:noProof/>
            <w:webHidden/>
          </w:rPr>
          <w:t>15</w:t>
        </w:r>
        <w:r>
          <w:rPr>
            <w:noProof/>
            <w:webHidden/>
          </w:rPr>
          <w:fldChar w:fldCharType="end"/>
        </w:r>
      </w:hyperlink>
    </w:p>
    <w:p w14:paraId="77CBAA0B" w14:textId="145BD2F8"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54" w:history="1">
        <w:r w:rsidRPr="00A05263">
          <w:rPr>
            <w:rStyle w:val="Hyperlink"/>
            <w:rFonts w:cstheme="minorHAnsi"/>
            <w:noProof/>
          </w:rPr>
          <w:t>35. Lošimų ir loterijų priežiūra bei kontrolė</w:t>
        </w:r>
        <w:r>
          <w:rPr>
            <w:noProof/>
            <w:webHidden/>
          </w:rPr>
          <w:tab/>
        </w:r>
        <w:r>
          <w:rPr>
            <w:noProof/>
            <w:webHidden/>
          </w:rPr>
          <w:fldChar w:fldCharType="begin"/>
        </w:r>
        <w:r>
          <w:rPr>
            <w:noProof/>
            <w:webHidden/>
          </w:rPr>
          <w:instrText xml:space="preserve"> PAGEREF _Toc199503154 \h </w:instrText>
        </w:r>
        <w:r>
          <w:rPr>
            <w:noProof/>
            <w:webHidden/>
          </w:rPr>
        </w:r>
        <w:r>
          <w:rPr>
            <w:noProof/>
            <w:webHidden/>
          </w:rPr>
          <w:fldChar w:fldCharType="separate"/>
        </w:r>
        <w:r>
          <w:rPr>
            <w:noProof/>
            <w:webHidden/>
          </w:rPr>
          <w:t>16</w:t>
        </w:r>
        <w:r>
          <w:rPr>
            <w:noProof/>
            <w:webHidden/>
          </w:rPr>
          <w:fldChar w:fldCharType="end"/>
        </w:r>
      </w:hyperlink>
    </w:p>
    <w:p w14:paraId="5B4764C0" w14:textId="307DF9E1" w:rsidR="00007C73" w:rsidRDefault="00007C73">
      <w:pPr>
        <w:pStyle w:val="TOC2"/>
        <w:rPr>
          <w:rFonts w:eastAsiaTheme="minorEastAsia" w:cstheme="minorBidi"/>
          <w:i w:val="0"/>
          <w:noProof/>
          <w:kern w:val="2"/>
          <w:sz w:val="24"/>
          <w:szCs w:val="24"/>
          <w:lang w:val="en-US" w:eastAsia="en-US"/>
          <w14:ligatures w14:val="standardContextual"/>
        </w:rPr>
      </w:pPr>
      <w:hyperlink w:anchor="_Toc199503155" w:history="1">
        <w:r w:rsidRPr="00A05263">
          <w:rPr>
            <w:rStyle w:val="Hyperlink"/>
            <w:rFonts w:eastAsia="Calibri" w:cstheme="minorHAnsi"/>
            <w:noProof/>
          </w:rPr>
          <w:t>Dėl pareigos supaprastintą lažybų pasiūlą įtvirtinti nuotolinio lošimo organizavimo reglamente</w:t>
        </w:r>
        <w:r>
          <w:rPr>
            <w:noProof/>
            <w:webHidden/>
          </w:rPr>
          <w:tab/>
        </w:r>
        <w:r>
          <w:rPr>
            <w:noProof/>
            <w:webHidden/>
          </w:rPr>
          <w:fldChar w:fldCharType="begin"/>
        </w:r>
        <w:r>
          <w:rPr>
            <w:noProof/>
            <w:webHidden/>
          </w:rPr>
          <w:instrText xml:space="preserve"> PAGEREF _Toc199503155 \h </w:instrText>
        </w:r>
        <w:r>
          <w:rPr>
            <w:noProof/>
            <w:webHidden/>
          </w:rPr>
        </w:r>
        <w:r>
          <w:rPr>
            <w:noProof/>
            <w:webHidden/>
          </w:rPr>
          <w:fldChar w:fldCharType="separate"/>
        </w:r>
        <w:r>
          <w:rPr>
            <w:noProof/>
            <w:webHidden/>
          </w:rPr>
          <w:t>16</w:t>
        </w:r>
        <w:r>
          <w:rPr>
            <w:noProof/>
            <w:webHidden/>
          </w:rPr>
          <w:fldChar w:fldCharType="end"/>
        </w:r>
      </w:hyperlink>
    </w:p>
    <w:p w14:paraId="5CF10439" w14:textId="43E25CFA" w:rsidR="00007C73" w:rsidRDefault="00007C73">
      <w:pPr>
        <w:pStyle w:val="TOC2"/>
        <w:rPr>
          <w:rFonts w:eastAsiaTheme="minorEastAsia" w:cstheme="minorBidi"/>
          <w:i w:val="0"/>
          <w:noProof/>
          <w:kern w:val="2"/>
          <w:sz w:val="24"/>
          <w:szCs w:val="24"/>
          <w:lang w:val="en-US" w:eastAsia="en-US"/>
          <w14:ligatures w14:val="standardContextual"/>
        </w:rPr>
      </w:pPr>
      <w:hyperlink w:anchor="_Toc199503156" w:history="1">
        <w:r w:rsidRPr="00A05263">
          <w:rPr>
            <w:rStyle w:val="Hyperlink"/>
            <w:rFonts w:eastAsia="Calibri" w:cstheme="minorHAnsi"/>
            <w:noProof/>
          </w:rPr>
          <w:t>Dėl pareigos notifikuoti Europos Komisiją apie teisinio reguliavimo pasikeitimus neįvykdymo pasekmių</w:t>
        </w:r>
        <w:r>
          <w:rPr>
            <w:noProof/>
            <w:webHidden/>
          </w:rPr>
          <w:tab/>
        </w:r>
        <w:r>
          <w:rPr>
            <w:noProof/>
            <w:webHidden/>
          </w:rPr>
          <w:fldChar w:fldCharType="begin"/>
        </w:r>
        <w:r>
          <w:rPr>
            <w:noProof/>
            <w:webHidden/>
          </w:rPr>
          <w:instrText xml:space="preserve"> PAGEREF _Toc199503156 \h </w:instrText>
        </w:r>
        <w:r>
          <w:rPr>
            <w:noProof/>
            <w:webHidden/>
          </w:rPr>
        </w:r>
        <w:r>
          <w:rPr>
            <w:noProof/>
            <w:webHidden/>
          </w:rPr>
          <w:fldChar w:fldCharType="separate"/>
        </w:r>
        <w:r>
          <w:rPr>
            <w:noProof/>
            <w:webHidden/>
          </w:rPr>
          <w:t>17</w:t>
        </w:r>
        <w:r>
          <w:rPr>
            <w:noProof/>
            <w:webHidden/>
          </w:rPr>
          <w:fldChar w:fldCharType="end"/>
        </w:r>
      </w:hyperlink>
    </w:p>
    <w:p w14:paraId="253BDCD2" w14:textId="34CB2DEC"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57" w:history="1">
        <w:r w:rsidRPr="00A05263">
          <w:rPr>
            <w:rStyle w:val="Hyperlink"/>
            <w:rFonts w:cstheme="minorHAnsi"/>
            <w:noProof/>
          </w:rPr>
          <w:t>41. Kiti ginčai viešojo administravimo srityje</w:t>
        </w:r>
        <w:r>
          <w:rPr>
            <w:noProof/>
            <w:webHidden/>
          </w:rPr>
          <w:tab/>
        </w:r>
        <w:r>
          <w:rPr>
            <w:noProof/>
            <w:webHidden/>
          </w:rPr>
          <w:fldChar w:fldCharType="begin"/>
        </w:r>
        <w:r>
          <w:rPr>
            <w:noProof/>
            <w:webHidden/>
          </w:rPr>
          <w:instrText xml:space="preserve"> PAGEREF _Toc199503157 \h </w:instrText>
        </w:r>
        <w:r>
          <w:rPr>
            <w:noProof/>
            <w:webHidden/>
          </w:rPr>
        </w:r>
        <w:r>
          <w:rPr>
            <w:noProof/>
            <w:webHidden/>
          </w:rPr>
          <w:fldChar w:fldCharType="separate"/>
        </w:r>
        <w:r>
          <w:rPr>
            <w:noProof/>
            <w:webHidden/>
          </w:rPr>
          <w:t>18</w:t>
        </w:r>
        <w:r>
          <w:rPr>
            <w:noProof/>
            <w:webHidden/>
          </w:rPr>
          <w:fldChar w:fldCharType="end"/>
        </w:r>
      </w:hyperlink>
    </w:p>
    <w:p w14:paraId="04931D2A" w14:textId="39C5636B" w:rsidR="00007C73" w:rsidRDefault="00007C73">
      <w:pPr>
        <w:pStyle w:val="TOC2"/>
        <w:rPr>
          <w:rFonts w:eastAsiaTheme="minorEastAsia" w:cstheme="minorBidi"/>
          <w:i w:val="0"/>
          <w:noProof/>
          <w:kern w:val="2"/>
          <w:sz w:val="24"/>
          <w:szCs w:val="24"/>
          <w:lang w:val="en-US" w:eastAsia="en-US"/>
          <w14:ligatures w14:val="standardContextual"/>
        </w:rPr>
      </w:pPr>
      <w:hyperlink w:anchor="_Toc199503158" w:history="1">
        <w:r w:rsidRPr="00A05263">
          <w:rPr>
            <w:rStyle w:val="Hyperlink"/>
            <w:rFonts w:eastAsia="Calibri" w:cstheme="minorHAnsi"/>
            <w:noProof/>
          </w:rPr>
          <w:t>Dėl mobilių kuro (degalų) talpyklų priskyrimo potencialiai pavojingiems įrenginiams</w:t>
        </w:r>
        <w:r>
          <w:rPr>
            <w:noProof/>
            <w:webHidden/>
          </w:rPr>
          <w:tab/>
        </w:r>
        <w:r>
          <w:rPr>
            <w:noProof/>
            <w:webHidden/>
          </w:rPr>
          <w:fldChar w:fldCharType="begin"/>
        </w:r>
        <w:r>
          <w:rPr>
            <w:noProof/>
            <w:webHidden/>
          </w:rPr>
          <w:instrText xml:space="preserve"> PAGEREF _Toc199503158 \h </w:instrText>
        </w:r>
        <w:r>
          <w:rPr>
            <w:noProof/>
            <w:webHidden/>
          </w:rPr>
        </w:r>
        <w:r>
          <w:rPr>
            <w:noProof/>
            <w:webHidden/>
          </w:rPr>
          <w:fldChar w:fldCharType="separate"/>
        </w:r>
        <w:r>
          <w:rPr>
            <w:noProof/>
            <w:webHidden/>
          </w:rPr>
          <w:t>18</w:t>
        </w:r>
        <w:r>
          <w:rPr>
            <w:noProof/>
            <w:webHidden/>
          </w:rPr>
          <w:fldChar w:fldCharType="end"/>
        </w:r>
      </w:hyperlink>
    </w:p>
    <w:p w14:paraId="1AD28291" w14:textId="4B0C9D1A" w:rsidR="00007C73" w:rsidRDefault="00007C73">
      <w:pPr>
        <w:pStyle w:val="TOC2"/>
        <w:rPr>
          <w:rFonts w:eastAsiaTheme="minorEastAsia" w:cstheme="minorBidi"/>
          <w:i w:val="0"/>
          <w:noProof/>
          <w:kern w:val="2"/>
          <w:sz w:val="24"/>
          <w:szCs w:val="24"/>
          <w:lang w:val="en-US" w:eastAsia="en-US"/>
          <w14:ligatures w14:val="standardContextual"/>
        </w:rPr>
      </w:pPr>
      <w:hyperlink w:anchor="_Toc199503159" w:history="1">
        <w:r w:rsidRPr="00A05263">
          <w:rPr>
            <w:rStyle w:val="Hyperlink"/>
            <w:rFonts w:eastAsia="Calibri" w:cstheme="minorHAnsi"/>
            <w:noProof/>
          </w:rPr>
          <w:t>Dėl Alternatyviųjų degalų įstatyme nustatyto administracinės atsakomybės taikymo senaties termino skaičiavimo pradžios</w:t>
        </w:r>
        <w:r>
          <w:rPr>
            <w:noProof/>
            <w:webHidden/>
          </w:rPr>
          <w:tab/>
        </w:r>
        <w:r>
          <w:rPr>
            <w:noProof/>
            <w:webHidden/>
          </w:rPr>
          <w:fldChar w:fldCharType="begin"/>
        </w:r>
        <w:r>
          <w:rPr>
            <w:noProof/>
            <w:webHidden/>
          </w:rPr>
          <w:instrText xml:space="preserve"> PAGEREF _Toc199503159 \h </w:instrText>
        </w:r>
        <w:r>
          <w:rPr>
            <w:noProof/>
            <w:webHidden/>
          </w:rPr>
        </w:r>
        <w:r>
          <w:rPr>
            <w:noProof/>
            <w:webHidden/>
          </w:rPr>
          <w:fldChar w:fldCharType="separate"/>
        </w:r>
        <w:r>
          <w:rPr>
            <w:noProof/>
            <w:webHidden/>
          </w:rPr>
          <w:t>19</w:t>
        </w:r>
        <w:r>
          <w:rPr>
            <w:noProof/>
            <w:webHidden/>
          </w:rPr>
          <w:fldChar w:fldCharType="end"/>
        </w:r>
      </w:hyperlink>
    </w:p>
    <w:p w14:paraId="18E7B1E5" w14:textId="15CF61C8"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60" w:history="1">
        <w:r w:rsidRPr="00A05263">
          <w:rPr>
            <w:rStyle w:val="Hyperlink"/>
            <w:rFonts w:cstheme="minorHAnsi"/>
            <w:noProof/>
          </w:rPr>
          <w:t>II. Administracinių bylų teisena</w:t>
        </w:r>
        <w:r>
          <w:rPr>
            <w:noProof/>
            <w:webHidden/>
          </w:rPr>
          <w:tab/>
        </w:r>
        <w:r>
          <w:rPr>
            <w:noProof/>
            <w:webHidden/>
          </w:rPr>
          <w:fldChar w:fldCharType="begin"/>
        </w:r>
        <w:r>
          <w:rPr>
            <w:noProof/>
            <w:webHidden/>
          </w:rPr>
          <w:instrText xml:space="preserve"> PAGEREF _Toc199503160 \h </w:instrText>
        </w:r>
        <w:r>
          <w:rPr>
            <w:noProof/>
            <w:webHidden/>
          </w:rPr>
        </w:r>
        <w:r>
          <w:rPr>
            <w:noProof/>
            <w:webHidden/>
          </w:rPr>
          <w:fldChar w:fldCharType="separate"/>
        </w:r>
        <w:r>
          <w:rPr>
            <w:noProof/>
            <w:webHidden/>
          </w:rPr>
          <w:t>20</w:t>
        </w:r>
        <w:r>
          <w:rPr>
            <w:noProof/>
            <w:webHidden/>
          </w:rPr>
          <w:fldChar w:fldCharType="end"/>
        </w:r>
      </w:hyperlink>
    </w:p>
    <w:p w14:paraId="0BA06108" w14:textId="55D78E7E"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61" w:history="1">
        <w:r w:rsidRPr="00A05263">
          <w:rPr>
            <w:rStyle w:val="Hyperlink"/>
            <w:rFonts w:cstheme="minorHAnsi"/>
            <w:noProof/>
          </w:rPr>
          <w:t>43. Teisė kreiptis į teismą ir jos realizavimas</w:t>
        </w:r>
        <w:r>
          <w:rPr>
            <w:noProof/>
            <w:webHidden/>
          </w:rPr>
          <w:tab/>
        </w:r>
        <w:r>
          <w:rPr>
            <w:noProof/>
            <w:webHidden/>
          </w:rPr>
          <w:fldChar w:fldCharType="begin"/>
        </w:r>
        <w:r>
          <w:rPr>
            <w:noProof/>
            <w:webHidden/>
          </w:rPr>
          <w:instrText xml:space="preserve"> PAGEREF _Toc199503161 \h </w:instrText>
        </w:r>
        <w:r>
          <w:rPr>
            <w:noProof/>
            <w:webHidden/>
          </w:rPr>
        </w:r>
        <w:r>
          <w:rPr>
            <w:noProof/>
            <w:webHidden/>
          </w:rPr>
          <w:fldChar w:fldCharType="separate"/>
        </w:r>
        <w:r>
          <w:rPr>
            <w:noProof/>
            <w:webHidden/>
          </w:rPr>
          <w:t>20</w:t>
        </w:r>
        <w:r>
          <w:rPr>
            <w:noProof/>
            <w:webHidden/>
          </w:rPr>
          <w:fldChar w:fldCharType="end"/>
        </w:r>
      </w:hyperlink>
    </w:p>
    <w:p w14:paraId="22B72449" w14:textId="6009B8B4" w:rsidR="00007C73" w:rsidRDefault="00007C73">
      <w:pPr>
        <w:pStyle w:val="TOC2"/>
        <w:rPr>
          <w:rFonts w:eastAsiaTheme="minorEastAsia" w:cstheme="minorBidi"/>
          <w:i w:val="0"/>
          <w:noProof/>
          <w:kern w:val="2"/>
          <w:sz w:val="24"/>
          <w:szCs w:val="24"/>
          <w:lang w:val="en-US" w:eastAsia="en-US"/>
          <w14:ligatures w14:val="standardContextual"/>
        </w:rPr>
      </w:pPr>
      <w:hyperlink w:anchor="_Toc199503162" w:history="1">
        <w:r w:rsidRPr="00A05263">
          <w:rPr>
            <w:rStyle w:val="Hyperlink"/>
            <w:rFonts w:eastAsia="Calibri" w:cstheme="minorHAnsi"/>
            <w:noProof/>
          </w:rPr>
          <w:t>Dėl infrastruktūros plėtros įmokos priteisimo</w:t>
        </w:r>
        <w:r>
          <w:rPr>
            <w:noProof/>
            <w:webHidden/>
          </w:rPr>
          <w:tab/>
        </w:r>
        <w:r>
          <w:rPr>
            <w:noProof/>
            <w:webHidden/>
          </w:rPr>
          <w:fldChar w:fldCharType="begin"/>
        </w:r>
        <w:r>
          <w:rPr>
            <w:noProof/>
            <w:webHidden/>
          </w:rPr>
          <w:instrText xml:space="preserve"> PAGEREF _Toc199503162 \h </w:instrText>
        </w:r>
        <w:r>
          <w:rPr>
            <w:noProof/>
            <w:webHidden/>
          </w:rPr>
        </w:r>
        <w:r>
          <w:rPr>
            <w:noProof/>
            <w:webHidden/>
          </w:rPr>
          <w:fldChar w:fldCharType="separate"/>
        </w:r>
        <w:r>
          <w:rPr>
            <w:noProof/>
            <w:webHidden/>
          </w:rPr>
          <w:t>20</w:t>
        </w:r>
        <w:r>
          <w:rPr>
            <w:noProof/>
            <w:webHidden/>
          </w:rPr>
          <w:fldChar w:fldCharType="end"/>
        </w:r>
      </w:hyperlink>
    </w:p>
    <w:p w14:paraId="66F7B6B8" w14:textId="7CAF210A" w:rsidR="00007C73" w:rsidRDefault="00007C73">
      <w:pPr>
        <w:pStyle w:val="TOC2"/>
        <w:rPr>
          <w:rFonts w:eastAsiaTheme="minorEastAsia" w:cstheme="minorBidi"/>
          <w:i w:val="0"/>
          <w:noProof/>
          <w:kern w:val="2"/>
          <w:sz w:val="24"/>
          <w:szCs w:val="24"/>
          <w:lang w:val="en-US" w:eastAsia="en-US"/>
          <w14:ligatures w14:val="standardContextual"/>
        </w:rPr>
      </w:pPr>
      <w:hyperlink w:anchor="_Toc199503163" w:history="1">
        <w:r w:rsidRPr="00A05263">
          <w:rPr>
            <w:rStyle w:val="Hyperlink"/>
            <w:rFonts w:eastAsia="Calibri" w:cstheme="minorHAnsi"/>
            <w:noProof/>
          </w:rPr>
          <w:t>Dėl teritorinio teismingumo taisyklių pažeidimo nelaikymo absoliučiu pirmosios instancijos teismo sprendimo negaliojimo pagrindu</w:t>
        </w:r>
        <w:r>
          <w:rPr>
            <w:noProof/>
            <w:webHidden/>
          </w:rPr>
          <w:tab/>
        </w:r>
        <w:r>
          <w:rPr>
            <w:noProof/>
            <w:webHidden/>
          </w:rPr>
          <w:fldChar w:fldCharType="begin"/>
        </w:r>
        <w:r>
          <w:rPr>
            <w:noProof/>
            <w:webHidden/>
          </w:rPr>
          <w:instrText xml:space="preserve"> PAGEREF _Toc199503163 \h </w:instrText>
        </w:r>
        <w:r>
          <w:rPr>
            <w:noProof/>
            <w:webHidden/>
          </w:rPr>
        </w:r>
        <w:r>
          <w:rPr>
            <w:noProof/>
            <w:webHidden/>
          </w:rPr>
          <w:fldChar w:fldCharType="separate"/>
        </w:r>
        <w:r>
          <w:rPr>
            <w:noProof/>
            <w:webHidden/>
          </w:rPr>
          <w:t>21</w:t>
        </w:r>
        <w:r>
          <w:rPr>
            <w:noProof/>
            <w:webHidden/>
          </w:rPr>
          <w:fldChar w:fldCharType="end"/>
        </w:r>
      </w:hyperlink>
    </w:p>
    <w:p w14:paraId="4829A582" w14:textId="4DFDC43D" w:rsidR="00007C73" w:rsidRDefault="00007C73">
      <w:pPr>
        <w:pStyle w:val="TOC2"/>
        <w:rPr>
          <w:rFonts w:eastAsiaTheme="minorEastAsia" w:cstheme="minorBidi"/>
          <w:i w:val="0"/>
          <w:noProof/>
          <w:kern w:val="2"/>
          <w:sz w:val="24"/>
          <w:szCs w:val="24"/>
          <w:lang w:val="en-US" w:eastAsia="en-US"/>
          <w14:ligatures w14:val="standardContextual"/>
        </w:rPr>
      </w:pPr>
      <w:hyperlink w:anchor="_Toc199503164" w:history="1">
        <w:r w:rsidRPr="00A05263">
          <w:rPr>
            <w:rStyle w:val="Hyperlink"/>
            <w:rFonts w:eastAsia="Calibri" w:cstheme="minorHAnsi"/>
            <w:noProof/>
          </w:rPr>
          <w:t>Dėl Konstitucinio Teismo sprendimų, kuriais atsisakoma priimti individualų konstitucinį skundą, neskundžiamumo</w:t>
        </w:r>
        <w:r>
          <w:rPr>
            <w:noProof/>
            <w:webHidden/>
          </w:rPr>
          <w:tab/>
        </w:r>
        <w:r>
          <w:rPr>
            <w:noProof/>
            <w:webHidden/>
          </w:rPr>
          <w:fldChar w:fldCharType="begin"/>
        </w:r>
        <w:r>
          <w:rPr>
            <w:noProof/>
            <w:webHidden/>
          </w:rPr>
          <w:instrText xml:space="preserve"> PAGEREF _Toc199503164 \h </w:instrText>
        </w:r>
        <w:r>
          <w:rPr>
            <w:noProof/>
            <w:webHidden/>
          </w:rPr>
        </w:r>
        <w:r>
          <w:rPr>
            <w:noProof/>
            <w:webHidden/>
          </w:rPr>
          <w:fldChar w:fldCharType="separate"/>
        </w:r>
        <w:r>
          <w:rPr>
            <w:noProof/>
            <w:webHidden/>
          </w:rPr>
          <w:t>21</w:t>
        </w:r>
        <w:r>
          <w:rPr>
            <w:noProof/>
            <w:webHidden/>
          </w:rPr>
          <w:fldChar w:fldCharType="end"/>
        </w:r>
      </w:hyperlink>
    </w:p>
    <w:p w14:paraId="00BF3EF4" w14:textId="37D7D5E6" w:rsidR="00007C73" w:rsidRDefault="00007C73">
      <w:pPr>
        <w:pStyle w:val="TOC2"/>
        <w:rPr>
          <w:rFonts w:eastAsiaTheme="minorEastAsia" w:cstheme="minorBidi"/>
          <w:i w:val="0"/>
          <w:noProof/>
          <w:kern w:val="2"/>
          <w:sz w:val="24"/>
          <w:szCs w:val="24"/>
          <w:lang w:val="en-US" w:eastAsia="en-US"/>
          <w14:ligatures w14:val="standardContextual"/>
        </w:rPr>
      </w:pPr>
      <w:hyperlink w:anchor="_Toc199503165" w:history="1">
        <w:r w:rsidRPr="00A05263">
          <w:rPr>
            <w:rStyle w:val="Hyperlink"/>
            <w:rFonts w:eastAsia="Calibri" w:cstheme="minorHAnsi"/>
            <w:noProof/>
          </w:rPr>
          <w:t>Dėl suinteresuotumo ginčyti kito asmens atžvilgiu priimtą individualų administracinį aktą</w:t>
        </w:r>
        <w:r>
          <w:rPr>
            <w:noProof/>
            <w:webHidden/>
          </w:rPr>
          <w:tab/>
        </w:r>
        <w:r>
          <w:rPr>
            <w:noProof/>
            <w:webHidden/>
          </w:rPr>
          <w:fldChar w:fldCharType="begin"/>
        </w:r>
        <w:r>
          <w:rPr>
            <w:noProof/>
            <w:webHidden/>
          </w:rPr>
          <w:instrText xml:space="preserve"> PAGEREF _Toc199503165 \h </w:instrText>
        </w:r>
        <w:r>
          <w:rPr>
            <w:noProof/>
            <w:webHidden/>
          </w:rPr>
        </w:r>
        <w:r>
          <w:rPr>
            <w:noProof/>
            <w:webHidden/>
          </w:rPr>
          <w:fldChar w:fldCharType="separate"/>
        </w:r>
        <w:r>
          <w:rPr>
            <w:noProof/>
            <w:webHidden/>
          </w:rPr>
          <w:t>22</w:t>
        </w:r>
        <w:r>
          <w:rPr>
            <w:noProof/>
            <w:webHidden/>
          </w:rPr>
          <w:fldChar w:fldCharType="end"/>
        </w:r>
      </w:hyperlink>
    </w:p>
    <w:p w14:paraId="43DEB822" w14:textId="26C6C55C"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66" w:history="1">
        <w:r w:rsidRPr="00A05263">
          <w:rPr>
            <w:rStyle w:val="Hyperlink"/>
            <w:rFonts w:cstheme="minorHAnsi"/>
            <w:noProof/>
          </w:rPr>
          <w:t>49. Reikalavimo užtikrinimo priemonių taikymas</w:t>
        </w:r>
        <w:r>
          <w:rPr>
            <w:noProof/>
            <w:webHidden/>
          </w:rPr>
          <w:tab/>
        </w:r>
        <w:r>
          <w:rPr>
            <w:noProof/>
            <w:webHidden/>
          </w:rPr>
          <w:fldChar w:fldCharType="begin"/>
        </w:r>
        <w:r>
          <w:rPr>
            <w:noProof/>
            <w:webHidden/>
          </w:rPr>
          <w:instrText xml:space="preserve"> PAGEREF _Toc199503166 \h </w:instrText>
        </w:r>
        <w:r>
          <w:rPr>
            <w:noProof/>
            <w:webHidden/>
          </w:rPr>
        </w:r>
        <w:r>
          <w:rPr>
            <w:noProof/>
            <w:webHidden/>
          </w:rPr>
          <w:fldChar w:fldCharType="separate"/>
        </w:r>
        <w:r>
          <w:rPr>
            <w:noProof/>
            <w:webHidden/>
          </w:rPr>
          <w:t>23</w:t>
        </w:r>
        <w:r>
          <w:rPr>
            <w:noProof/>
            <w:webHidden/>
          </w:rPr>
          <w:fldChar w:fldCharType="end"/>
        </w:r>
      </w:hyperlink>
    </w:p>
    <w:p w14:paraId="524AD19C" w14:textId="74A055CD" w:rsidR="00007C73" w:rsidRDefault="00007C73">
      <w:pPr>
        <w:pStyle w:val="TOC2"/>
        <w:rPr>
          <w:rFonts w:eastAsiaTheme="minorEastAsia" w:cstheme="minorBidi"/>
          <w:i w:val="0"/>
          <w:noProof/>
          <w:kern w:val="2"/>
          <w:sz w:val="24"/>
          <w:szCs w:val="24"/>
          <w:lang w:val="en-US" w:eastAsia="en-US"/>
          <w14:ligatures w14:val="standardContextual"/>
        </w:rPr>
      </w:pPr>
      <w:hyperlink w:anchor="_Toc199503167" w:history="1">
        <w:r w:rsidRPr="00A05263">
          <w:rPr>
            <w:rStyle w:val="Hyperlink"/>
            <w:rFonts w:eastAsia="Calibri" w:cstheme="minorHAnsi"/>
            <w:noProof/>
          </w:rPr>
          <w:t>Dėl Pensijų kaupimo įstatyme nustatyto pensijų įmokų pervedimo sustabdymo termino reikšmės teismui taikant reikalavimo užtikrinimo priemones</w:t>
        </w:r>
        <w:r>
          <w:rPr>
            <w:noProof/>
            <w:webHidden/>
          </w:rPr>
          <w:tab/>
        </w:r>
        <w:r>
          <w:rPr>
            <w:noProof/>
            <w:webHidden/>
          </w:rPr>
          <w:fldChar w:fldCharType="begin"/>
        </w:r>
        <w:r>
          <w:rPr>
            <w:noProof/>
            <w:webHidden/>
          </w:rPr>
          <w:instrText xml:space="preserve"> PAGEREF _Toc199503167 \h </w:instrText>
        </w:r>
        <w:r>
          <w:rPr>
            <w:noProof/>
            <w:webHidden/>
          </w:rPr>
        </w:r>
        <w:r>
          <w:rPr>
            <w:noProof/>
            <w:webHidden/>
          </w:rPr>
          <w:fldChar w:fldCharType="separate"/>
        </w:r>
        <w:r>
          <w:rPr>
            <w:noProof/>
            <w:webHidden/>
          </w:rPr>
          <w:t>23</w:t>
        </w:r>
        <w:r>
          <w:rPr>
            <w:noProof/>
            <w:webHidden/>
          </w:rPr>
          <w:fldChar w:fldCharType="end"/>
        </w:r>
      </w:hyperlink>
    </w:p>
    <w:p w14:paraId="1B582A23" w14:textId="2F2CE82C"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68" w:history="1">
        <w:r w:rsidRPr="00A05263">
          <w:rPr>
            <w:rStyle w:val="Hyperlink"/>
            <w:rFonts w:cstheme="minorHAnsi"/>
            <w:noProof/>
          </w:rPr>
          <w:t>55. Teismo procesiniai dokumentai</w:t>
        </w:r>
        <w:r>
          <w:rPr>
            <w:noProof/>
            <w:webHidden/>
          </w:rPr>
          <w:tab/>
        </w:r>
        <w:r>
          <w:rPr>
            <w:noProof/>
            <w:webHidden/>
          </w:rPr>
          <w:fldChar w:fldCharType="begin"/>
        </w:r>
        <w:r>
          <w:rPr>
            <w:noProof/>
            <w:webHidden/>
          </w:rPr>
          <w:instrText xml:space="preserve"> PAGEREF _Toc199503168 \h </w:instrText>
        </w:r>
        <w:r>
          <w:rPr>
            <w:noProof/>
            <w:webHidden/>
          </w:rPr>
        </w:r>
        <w:r>
          <w:rPr>
            <w:noProof/>
            <w:webHidden/>
          </w:rPr>
          <w:fldChar w:fldCharType="separate"/>
        </w:r>
        <w:r>
          <w:rPr>
            <w:noProof/>
            <w:webHidden/>
          </w:rPr>
          <w:t>23</w:t>
        </w:r>
        <w:r>
          <w:rPr>
            <w:noProof/>
            <w:webHidden/>
          </w:rPr>
          <w:fldChar w:fldCharType="end"/>
        </w:r>
      </w:hyperlink>
    </w:p>
    <w:p w14:paraId="205539BD" w14:textId="242DDD7A" w:rsidR="00007C73" w:rsidRDefault="00007C73">
      <w:pPr>
        <w:pStyle w:val="TOC2"/>
        <w:rPr>
          <w:rFonts w:eastAsiaTheme="minorEastAsia" w:cstheme="minorBidi"/>
          <w:i w:val="0"/>
          <w:noProof/>
          <w:kern w:val="2"/>
          <w:sz w:val="24"/>
          <w:szCs w:val="24"/>
          <w:lang w:val="en-US" w:eastAsia="en-US"/>
          <w14:ligatures w14:val="standardContextual"/>
        </w:rPr>
      </w:pPr>
      <w:hyperlink w:anchor="_Toc199503169" w:history="1">
        <w:r w:rsidRPr="00A05263">
          <w:rPr>
            <w:rStyle w:val="Hyperlink"/>
            <w:rFonts w:eastAsia="Calibri" w:cstheme="minorHAnsi"/>
            <w:noProof/>
          </w:rPr>
          <w:t>Dėl prašymo išaiškinti teismo sprendimą nagrinėjimo atidėjimo ir šio prašymo išsprendimo rezoliucija</w:t>
        </w:r>
        <w:r>
          <w:rPr>
            <w:noProof/>
            <w:webHidden/>
          </w:rPr>
          <w:tab/>
        </w:r>
        <w:r>
          <w:rPr>
            <w:noProof/>
            <w:webHidden/>
          </w:rPr>
          <w:fldChar w:fldCharType="begin"/>
        </w:r>
        <w:r>
          <w:rPr>
            <w:noProof/>
            <w:webHidden/>
          </w:rPr>
          <w:instrText xml:space="preserve"> PAGEREF _Toc199503169 \h </w:instrText>
        </w:r>
        <w:r>
          <w:rPr>
            <w:noProof/>
            <w:webHidden/>
          </w:rPr>
        </w:r>
        <w:r>
          <w:rPr>
            <w:noProof/>
            <w:webHidden/>
          </w:rPr>
          <w:fldChar w:fldCharType="separate"/>
        </w:r>
        <w:r>
          <w:rPr>
            <w:noProof/>
            <w:webHidden/>
          </w:rPr>
          <w:t>23</w:t>
        </w:r>
        <w:r>
          <w:rPr>
            <w:noProof/>
            <w:webHidden/>
          </w:rPr>
          <w:fldChar w:fldCharType="end"/>
        </w:r>
      </w:hyperlink>
    </w:p>
    <w:p w14:paraId="0094C3E8" w14:textId="7E4DCEB2" w:rsidR="00007C73" w:rsidRDefault="00007C73">
      <w:pPr>
        <w:pStyle w:val="TOC1"/>
        <w:rPr>
          <w:rFonts w:eastAsiaTheme="minorEastAsia" w:cstheme="minorBidi"/>
          <w:b w:val="0"/>
          <w:bCs w:val="0"/>
          <w:caps w:val="0"/>
          <w:noProof/>
          <w:kern w:val="2"/>
          <w:sz w:val="24"/>
          <w:szCs w:val="24"/>
          <w:lang w:val="en-US" w:eastAsia="en-US"/>
          <w14:ligatures w14:val="standardContextual"/>
        </w:rPr>
      </w:pPr>
      <w:hyperlink w:anchor="_Toc199503170" w:history="1">
        <w:r w:rsidRPr="00A05263">
          <w:rPr>
            <w:rStyle w:val="Hyperlink"/>
            <w:rFonts w:cstheme="minorHAnsi"/>
            <w:noProof/>
          </w:rPr>
          <w:t>59. Apeliacinis procesas</w:t>
        </w:r>
        <w:r>
          <w:rPr>
            <w:noProof/>
            <w:webHidden/>
          </w:rPr>
          <w:tab/>
        </w:r>
        <w:r>
          <w:rPr>
            <w:noProof/>
            <w:webHidden/>
          </w:rPr>
          <w:fldChar w:fldCharType="begin"/>
        </w:r>
        <w:r>
          <w:rPr>
            <w:noProof/>
            <w:webHidden/>
          </w:rPr>
          <w:instrText xml:space="preserve"> PAGEREF _Toc199503170 \h </w:instrText>
        </w:r>
        <w:r>
          <w:rPr>
            <w:noProof/>
            <w:webHidden/>
          </w:rPr>
        </w:r>
        <w:r>
          <w:rPr>
            <w:noProof/>
            <w:webHidden/>
          </w:rPr>
          <w:fldChar w:fldCharType="separate"/>
        </w:r>
        <w:r>
          <w:rPr>
            <w:noProof/>
            <w:webHidden/>
          </w:rPr>
          <w:t>24</w:t>
        </w:r>
        <w:r>
          <w:rPr>
            <w:noProof/>
            <w:webHidden/>
          </w:rPr>
          <w:fldChar w:fldCharType="end"/>
        </w:r>
      </w:hyperlink>
    </w:p>
    <w:p w14:paraId="662C5041" w14:textId="2310C637" w:rsidR="00007C73" w:rsidRDefault="00007C73">
      <w:pPr>
        <w:pStyle w:val="TOC2"/>
        <w:rPr>
          <w:rFonts w:eastAsiaTheme="minorEastAsia" w:cstheme="minorBidi"/>
          <w:i w:val="0"/>
          <w:noProof/>
          <w:kern w:val="2"/>
          <w:sz w:val="24"/>
          <w:szCs w:val="24"/>
          <w:lang w:val="en-US" w:eastAsia="en-US"/>
          <w14:ligatures w14:val="standardContextual"/>
        </w:rPr>
      </w:pPr>
      <w:hyperlink w:anchor="_Toc199503171" w:history="1">
        <w:r w:rsidRPr="00A05263">
          <w:rPr>
            <w:rStyle w:val="Hyperlink"/>
            <w:rFonts w:eastAsia="Calibri" w:cstheme="minorHAnsi"/>
            <w:noProof/>
          </w:rPr>
          <w:t>Dėl pirmosios instancijos teismo sudėties nagrinėjant bylas dėl profesinių sąjungų (ne)sutikimų tarnybinių nuobaudų skyrimo procese</w:t>
        </w:r>
        <w:r>
          <w:rPr>
            <w:noProof/>
            <w:webHidden/>
          </w:rPr>
          <w:tab/>
        </w:r>
        <w:r>
          <w:rPr>
            <w:noProof/>
            <w:webHidden/>
          </w:rPr>
          <w:fldChar w:fldCharType="begin"/>
        </w:r>
        <w:r>
          <w:rPr>
            <w:noProof/>
            <w:webHidden/>
          </w:rPr>
          <w:instrText xml:space="preserve"> PAGEREF _Toc199503171 \h </w:instrText>
        </w:r>
        <w:r>
          <w:rPr>
            <w:noProof/>
            <w:webHidden/>
          </w:rPr>
        </w:r>
        <w:r>
          <w:rPr>
            <w:noProof/>
            <w:webHidden/>
          </w:rPr>
          <w:fldChar w:fldCharType="separate"/>
        </w:r>
        <w:r>
          <w:rPr>
            <w:noProof/>
            <w:webHidden/>
          </w:rPr>
          <w:t>24</w:t>
        </w:r>
        <w:r>
          <w:rPr>
            <w:noProof/>
            <w:webHidden/>
          </w:rPr>
          <w:fldChar w:fldCharType="end"/>
        </w:r>
      </w:hyperlink>
    </w:p>
    <w:p w14:paraId="2A3B6F45" w14:textId="4D0FB790" w:rsidR="0088425C" w:rsidRPr="00B74A97" w:rsidRDefault="00A364C6" w:rsidP="00322FB0">
      <w:pPr>
        <w:tabs>
          <w:tab w:val="right" w:leader="dot" w:pos="9921"/>
        </w:tabs>
        <w:jc w:val="both"/>
        <w:rPr>
          <w:rFonts w:asciiTheme="minorHAnsi" w:hAnsiTheme="minorHAnsi" w:cstheme="minorHAnsi"/>
          <w:sz w:val="22"/>
          <w:szCs w:val="22"/>
        </w:rPr>
      </w:pPr>
      <w:r w:rsidRPr="00B74A97">
        <w:rPr>
          <w:rFonts w:asciiTheme="minorHAnsi" w:hAnsiTheme="minorHAnsi" w:cstheme="minorHAnsi"/>
          <w:sz w:val="22"/>
          <w:szCs w:val="22"/>
        </w:rPr>
        <w:fldChar w:fldCharType="end"/>
      </w:r>
      <w:bookmarkEnd w:id="6"/>
      <w:bookmarkEnd w:id="8"/>
    </w:p>
    <w:p w14:paraId="2BA3859C" w14:textId="725B2D10" w:rsidR="00070655" w:rsidRPr="00B74A97"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B74A97" w:rsidRDefault="00070655" w:rsidP="00E65949">
      <w:pPr>
        <w:tabs>
          <w:tab w:val="right" w:leader="dot" w:pos="9921"/>
        </w:tabs>
        <w:jc w:val="both"/>
        <w:rPr>
          <w:rFonts w:asciiTheme="minorHAnsi" w:hAnsiTheme="minorHAnsi" w:cstheme="minorHAnsi"/>
          <w:sz w:val="22"/>
          <w:szCs w:val="22"/>
        </w:rPr>
      </w:pPr>
    </w:p>
    <w:p w14:paraId="38319F38" w14:textId="62B5EB74" w:rsidR="000363AC" w:rsidRPr="00B74A97" w:rsidRDefault="000363AC" w:rsidP="00E65949">
      <w:pPr>
        <w:tabs>
          <w:tab w:val="right" w:leader="dot" w:pos="9921"/>
        </w:tabs>
        <w:jc w:val="both"/>
        <w:rPr>
          <w:rFonts w:asciiTheme="minorHAnsi" w:hAnsiTheme="minorHAnsi" w:cstheme="minorHAnsi"/>
          <w:sz w:val="22"/>
          <w:szCs w:val="22"/>
        </w:rPr>
      </w:pPr>
    </w:p>
    <w:p w14:paraId="17AF5536" w14:textId="3C64B216" w:rsidR="00E65949" w:rsidRPr="00B74A97"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B74A97" w:rsidRDefault="00A4795D" w:rsidP="0088425C">
      <w:pPr>
        <w:tabs>
          <w:tab w:val="right" w:leader="dot" w:pos="9921"/>
        </w:tabs>
        <w:spacing w:before="240" w:after="240"/>
        <w:jc w:val="both"/>
        <w:rPr>
          <w:rFonts w:asciiTheme="minorHAnsi" w:hAnsiTheme="minorHAnsi" w:cstheme="minorHAnsi"/>
          <w:sz w:val="22"/>
          <w:szCs w:val="22"/>
        </w:rPr>
      </w:pPr>
      <w:r w:rsidRPr="00B74A97">
        <w:rPr>
          <w:rFonts w:asciiTheme="minorHAnsi" w:hAnsiTheme="minorHAnsi" w:cstheme="minorHAnsi"/>
          <w:sz w:val="22"/>
          <w:szCs w:val="22"/>
        </w:rPr>
        <w:t>Š</w:t>
      </w:r>
      <w:r w:rsidR="00293CF6" w:rsidRPr="00B74A97">
        <w:rPr>
          <w:rFonts w:asciiTheme="minorHAnsi" w:hAnsiTheme="minorHAnsi" w:cstheme="minorHAnsi"/>
          <w:sz w:val="22"/>
          <w:szCs w:val="22"/>
        </w:rPr>
        <w:t>ioje apžvalgoje vartojam</w:t>
      </w:r>
      <w:r w:rsidR="00BF0C24" w:rsidRPr="00B74A97">
        <w:rPr>
          <w:rFonts w:asciiTheme="minorHAnsi" w:hAnsiTheme="minorHAnsi" w:cstheme="minorHAnsi"/>
          <w:sz w:val="22"/>
          <w:szCs w:val="22"/>
        </w:rPr>
        <w:t>os</w:t>
      </w:r>
      <w:r w:rsidR="00293CF6" w:rsidRPr="00B74A97">
        <w:rPr>
          <w:rFonts w:asciiTheme="minorHAnsi" w:hAnsiTheme="minorHAnsi" w:cstheme="minorHAnsi"/>
          <w:sz w:val="22"/>
          <w:szCs w:val="22"/>
        </w:rPr>
        <w:t xml:space="preserve"> </w:t>
      </w:r>
      <w:r w:rsidR="00293CF6" w:rsidRPr="00B74A97">
        <w:rPr>
          <w:rFonts w:asciiTheme="minorHAnsi" w:hAnsiTheme="minorHAnsi" w:cstheme="minorHAnsi"/>
          <w:b/>
          <w:sz w:val="22"/>
          <w:szCs w:val="22"/>
        </w:rPr>
        <w:t>s</w:t>
      </w:r>
      <w:r w:rsidR="00BF0C24" w:rsidRPr="00B74A97">
        <w:rPr>
          <w:rFonts w:asciiTheme="minorHAnsi" w:hAnsiTheme="minorHAnsi" w:cstheme="minorHAnsi"/>
          <w:b/>
          <w:sz w:val="22"/>
          <w:szCs w:val="22"/>
        </w:rPr>
        <w:t>antrumpos</w:t>
      </w:r>
      <w:r w:rsidR="00293CF6" w:rsidRPr="00B74A97">
        <w:rPr>
          <w:rFonts w:asciiTheme="minorHAnsi" w:hAnsiTheme="minorHAnsi" w:cstheme="minorHAnsi"/>
          <w:sz w:val="22"/>
          <w:szCs w:val="22"/>
        </w:rPr>
        <w:t>:</w:t>
      </w:r>
    </w:p>
    <w:p w14:paraId="136FE4E5" w14:textId="6252A9DC" w:rsidR="00B610AB" w:rsidRPr="000B6A5A" w:rsidRDefault="00B610AB" w:rsidP="00B610AB">
      <w:pPr>
        <w:tabs>
          <w:tab w:val="left" w:pos="1701"/>
        </w:tabs>
        <w:jc w:val="both"/>
        <w:rPr>
          <w:rFonts w:asciiTheme="minorHAnsi" w:hAnsiTheme="minorHAnsi" w:cstheme="minorHAnsi"/>
          <w:sz w:val="22"/>
          <w:szCs w:val="22"/>
        </w:rPr>
      </w:pPr>
      <w:r w:rsidRPr="000B6A5A">
        <w:rPr>
          <w:rFonts w:asciiTheme="minorHAnsi" w:hAnsiTheme="minorHAnsi" w:cstheme="minorHAnsi"/>
          <w:b/>
          <w:bCs/>
          <w:sz w:val="22"/>
          <w:szCs w:val="22"/>
        </w:rPr>
        <w:t>AB</w:t>
      </w:r>
      <w:r w:rsidRPr="000B6A5A">
        <w:rPr>
          <w:rFonts w:asciiTheme="minorHAnsi" w:hAnsiTheme="minorHAnsi" w:cstheme="minorHAnsi"/>
          <w:bCs/>
          <w:sz w:val="22"/>
          <w:szCs w:val="22"/>
        </w:rPr>
        <w:tab/>
      </w:r>
      <w:r>
        <w:rPr>
          <w:rFonts w:asciiTheme="minorHAnsi" w:hAnsiTheme="minorHAnsi" w:cstheme="minorHAnsi"/>
          <w:sz w:val="22"/>
          <w:szCs w:val="22"/>
        </w:rPr>
        <w:t>akcinė bendrovė</w:t>
      </w:r>
    </w:p>
    <w:p w14:paraId="040998EB" w14:textId="003452D1" w:rsidR="00AE0292" w:rsidRPr="000B6A5A" w:rsidRDefault="00AE0292" w:rsidP="00F63421">
      <w:pPr>
        <w:tabs>
          <w:tab w:val="left" w:pos="1701"/>
        </w:tabs>
        <w:jc w:val="both"/>
        <w:rPr>
          <w:rFonts w:asciiTheme="minorHAnsi" w:hAnsiTheme="minorHAnsi" w:cstheme="minorHAnsi"/>
          <w:sz w:val="22"/>
          <w:szCs w:val="22"/>
        </w:rPr>
      </w:pPr>
      <w:r w:rsidRPr="000B6A5A">
        <w:rPr>
          <w:rFonts w:asciiTheme="minorHAnsi" w:hAnsiTheme="minorHAnsi" w:cstheme="minorHAnsi"/>
          <w:b/>
          <w:bCs/>
          <w:sz w:val="22"/>
          <w:szCs w:val="22"/>
        </w:rPr>
        <w:t>ABTĮ</w:t>
      </w:r>
      <w:r w:rsidRPr="000B6A5A">
        <w:rPr>
          <w:rFonts w:asciiTheme="minorHAnsi" w:hAnsiTheme="minorHAnsi" w:cstheme="minorHAnsi"/>
          <w:bCs/>
          <w:sz w:val="22"/>
          <w:szCs w:val="22"/>
        </w:rPr>
        <w:tab/>
      </w:r>
      <w:r w:rsidRPr="000B6A5A">
        <w:rPr>
          <w:rFonts w:asciiTheme="minorHAnsi" w:hAnsiTheme="minorHAnsi" w:cstheme="minorHAnsi"/>
          <w:sz w:val="22"/>
          <w:szCs w:val="22"/>
        </w:rPr>
        <w:t>Lietuvos Respublikos administracinių bylų teisenos įstatymas</w:t>
      </w:r>
    </w:p>
    <w:p w14:paraId="1DF6D378" w14:textId="77777777" w:rsidR="00A83326" w:rsidRPr="00A83326" w:rsidRDefault="00A83326" w:rsidP="00A83326">
      <w:pPr>
        <w:tabs>
          <w:tab w:val="left" w:pos="1701"/>
        </w:tabs>
        <w:ind w:left="1701" w:hanging="1701"/>
        <w:jc w:val="both"/>
        <w:rPr>
          <w:rFonts w:asciiTheme="minorHAnsi" w:hAnsiTheme="minorHAnsi" w:cstheme="minorHAnsi"/>
          <w:sz w:val="22"/>
          <w:szCs w:val="22"/>
        </w:rPr>
      </w:pPr>
      <w:r w:rsidRPr="00A83326">
        <w:rPr>
          <w:rFonts w:asciiTheme="minorHAnsi" w:hAnsiTheme="minorHAnsi" w:cstheme="minorHAnsi"/>
          <w:b/>
          <w:bCs/>
          <w:sz w:val="22"/>
          <w:szCs w:val="22"/>
        </w:rPr>
        <w:t>BDAR</w:t>
      </w:r>
      <w:r w:rsidRPr="00A83326">
        <w:rPr>
          <w:rFonts w:asciiTheme="minorHAnsi" w:hAnsiTheme="minorHAnsi" w:cstheme="minorHAnsi"/>
          <w:bCs/>
          <w:sz w:val="22"/>
          <w:szCs w:val="22"/>
        </w:rPr>
        <w:tab/>
      </w:r>
      <w:r w:rsidRPr="00A83326">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55C95E67" w14:textId="4DE81BF5" w:rsidR="00AC6765" w:rsidRPr="005B24D3" w:rsidRDefault="00AC6765" w:rsidP="00AC6765">
      <w:pPr>
        <w:tabs>
          <w:tab w:val="left" w:pos="1701"/>
        </w:tabs>
        <w:rPr>
          <w:rFonts w:asciiTheme="minorHAnsi" w:hAnsiTheme="minorHAnsi" w:cstheme="minorHAnsi"/>
          <w:bCs/>
          <w:sz w:val="22"/>
          <w:szCs w:val="22"/>
        </w:rPr>
      </w:pPr>
      <w:r w:rsidRPr="005B24D3">
        <w:rPr>
          <w:rFonts w:asciiTheme="minorHAnsi" w:hAnsiTheme="minorHAnsi" w:cstheme="minorHAnsi"/>
          <w:b/>
          <w:sz w:val="22"/>
          <w:szCs w:val="22"/>
        </w:rPr>
        <w:t>BVK</w:t>
      </w:r>
      <w:r>
        <w:rPr>
          <w:rFonts w:asciiTheme="minorHAnsi" w:hAnsiTheme="minorHAnsi" w:cstheme="minorHAnsi"/>
          <w:bCs/>
          <w:sz w:val="22"/>
          <w:szCs w:val="22"/>
        </w:rPr>
        <w:tab/>
      </w:r>
      <w:r w:rsidRPr="00D52EE9">
        <w:rPr>
          <w:rFonts w:asciiTheme="minorHAnsi" w:hAnsiTheme="minorHAnsi" w:cstheme="minorHAnsi"/>
          <w:bCs/>
          <w:sz w:val="22"/>
          <w:szCs w:val="22"/>
        </w:rPr>
        <w:t>Lietuvos Respubliko</w:t>
      </w:r>
      <w:r>
        <w:rPr>
          <w:rFonts w:asciiTheme="minorHAnsi" w:hAnsiTheme="minorHAnsi" w:cstheme="minorHAnsi"/>
          <w:bCs/>
          <w:sz w:val="22"/>
          <w:szCs w:val="22"/>
        </w:rPr>
        <w:t>s bausmių vykdymo kodeksas</w:t>
      </w:r>
    </w:p>
    <w:p w14:paraId="04C9F0D1" w14:textId="01BB438F" w:rsidR="003515B5" w:rsidRPr="00EF71D1" w:rsidRDefault="003515B5" w:rsidP="00F63421">
      <w:pPr>
        <w:tabs>
          <w:tab w:val="left" w:pos="1701"/>
        </w:tabs>
        <w:jc w:val="both"/>
        <w:rPr>
          <w:rFonts w:asciiTheme="minorHAnsi" w:hAnsiTheme="minorHAnsi" w:cstheme="minorHAnsi"/>
          <w:sz w:val="22"/>
          <w:szCs w:val="22"/>
        </w:rPr>
      </w:pPr>
      <w:r w:rsidRPr="00EF71D1">
        <w:rPr>
          <w:rFonts w:asciiTheme="minorHAnsi" w:hAnsiTheme="minorHAnsi" w:cstheme="minorHAnsi"/>
          <w:b/>
          <w:bCs/>
          <w:sz w:val="22"/>
          <w:szCs w:val="22"/>
        </w:rPr>
        <w:t>CK</w:t>
      </w:r>
      <w:r w:rsidRPr="00EF71D1">
        <w:rPr>
          <w:rFonts w:asciiTheme="minorHAnsi" w:hAnsiTheme="minorHAnsi" w:cstheme="minorHAnsi"/>
          <w:bCs/>
          <w:sz w:val="22"/>
          <w:szCs w:val="22"/>
        </w:rPr>
        <w:tab/>
        <w:t xml:space="preserve">Lietuvos Respublikos </w:t>
      </w:r>
      <w:r w:rsidRPr="00EF71D1">
        <w:rPr>
          <w:rFonts w:asciiTheme="minorHAnsi" w:hAnsiTheme="minorHAnsi" w:cstheme="minorHAnsi"/>
          <w:sz w:val="22"/>
          <w:szCs w:val="22"/>
        </w:rPr>
        <w:t>civilinis kodeksas</w:t>
      </w:r>
    </w:p>
    <w:p w14:paraId="68708775" w14:textId="66BC5206" w:rsidR="006417BE" w:rsidRPr="00BE234A" w:rsidRDefault="006417BE" w:rsidP="00F63421">
      <w:pPr>
        <w:tabs>
          <w:tab w:val="left" w:pos="1701"/>
        </w:tabs>
        <w:jc w:val="both"/>
        <w:rPr>
          <w:rFonts w:asciiTheme="minorHAnsi" w:hAnsiTheme="minorHAnsi" w:cstheme="minorHAnsi"/>
          <w:b/>
          <w:sz w:val="22"/>
          <w:szCs w:val="22"/>
        </w:rPr>
      </w:pPr>
      <w:r w:rsidRPr="00BE234A">
        <w:rPr>
          <w:rFonts w:asciiTheme="minorHAnsi" w:hAnsiTheme="minorHAnsi" w:cstheme="minorHAnsi"/>
          <w:b/>
          <w:sz w:val="22"/>
          <w:szCs w:val="22"/>
        </w:rPr>
        <w:t>ESTT</w:t>
      </w:r>
      <w:r w:rsidRPr="00BE234A">
        <w:rPr>
          <w:rFonts w:asciiTheme="minorHAnsi" w:hAnsiTheme="minorHAnsi" w:cstheme="minorHAnsi"/>
          <w:b/>
          <w:sz w:val="22"/>
          <w:szCs w:val="22"/>
        </w:rPr>
        <w:tab/>
      </w:r>
      <w:r w:rsidRPr="00BE234A">
        <w:rPr>
          <w:rFonts w:asciiTheme="minorHAnsi" w:hAnsiTheme="minorHAnsi" w:cstheme="minorHAnsi"/>
          <w:bCs/>
          <w:sz w:val="22"/>
          <w:szCs w:val="22"/>
        </w:rPr>
        <w:t>Europos Sąjungos Teisingumo Teismas</w:t>
      </w:r>
    </w:p>
    <w:p w14:paraId="62E2FA76" w14:textId="2FFB2CF4" w:rsidR="00807720" w:rsidRPr="00ED126B" w:rsidRDefault="00807720" w:rsidP="00F63421">
      <w:pPr>
        <w:tabs>
          <w:tab w:val="left" w:pos="1701"/>
        </w:tabs>
        <w:jc w:val="both"/>
        <w:rPr>
          <w:rFonts w:asciiTheme="minorHAnsi" w:hAnsiTheme="minorHAnsi" w:cstheme="minorHAnsi"/>
          <w:sz w:val="22"/>
          <w:szCs w:val="22"/>
        </w:rPr>
      </w:pPr>
      <w:r w:rsidRPr="00ED126B">
        <w:rPr>
          <w:rFonts w:asciiTheme="minorHAnsi" w:hAnsiTheme="minorHAnsi" w:cstheme="minorHAnsi"/>
          <w:b/>
          <w:sz w:val="22"/>
          <w:szCs w:val="22"/>
        </w:rPr>
        <w:t>LAT</w:t>
      </w:r>
      <w:r w:rsidRPr="00ED126B">
        <w:rPr>
          <w:rFonts w:asciiTheme="minorHAnsi" w:hAnsiTheme="minorHAnsi" w:cstheme="minorHAnsi"/>
          <w:bCs/>
          <w:sz w:val="22"/>
          <w:szCs w:val="22"/>
        </w:rPr>
        <w:tab/>
      </w:r>
      <w:r w:rsidRPr="00ED126B">
        <w:rPr>
          <w:rFonts w:asciiTheme="minorHAnsi" w:hAnsiTheme="minorHAnsi" w:cstheme="minorHAnsi"/>
          <w:sz w:val="22"/>
          <w:szCs w:val="22"/>
        </w:rPr>
        <w:t>Lietuvos Aukščiausiasis Teismas</w:t>
      </w:r>
    </w:p>
    <w:p w14:paraId="4C6B083B" w14:textId="4A2AD66A" w:rsidR="00AE0292" w:rsidRPr="00393626" w:rsidRDefault="00AE0292" w:rsidP="00F63421">
      <w:pPr>
        <w:tabs>
          <w:tab w:val="left" w:pos="1701"/>
        </w:tabs>
        <w:jc w:val="both"/>
        <w:rPr>
          <w:rFonts w:asciiTheme="minorHAnsi" w:hAnsiTheme="minorHAnsi" w:cstheme="minorHAnsi"/>
          <w:sz w:val="22"/>
          <w:szCs w:val="22"/>
        </w:rPr>
      </w:pPr>
      <w:r w:rsidRPr="00393626">
        <w:rPr>
          <w:rFonts w:asciiTheme="minorHAnsi" w:hAnsiTheme="minorHAnsi" w:cstheme="minorHAnsi"/>
          <w:b/>
          <w:sz w:val="22"/>
          <w:szCs w:val="22"/>
        </w:rPr>
        <w:t>LVAT</w:t>
      </w:r>
      <w:r w:rsidRPr="00393626">
        <w:rPr>
          <w:rFonts w:asciiTheme="minorHAnsi" w:hAnsiTheme="minorHAnsi" w:cstheme="minorHAnsi"/>
          <w:bCs/>
          <w:sz w:val="22"/>
          <w:szCs w:val="22"/>
        </w:rPr>
        <w:tab/>
      </w:r>
      <w:r w:rsidRPr="00393626">
        <w:rPr>
          <w:rFonts w:asciiTheme="minorHAnsi" w:hAnsiTheme="minorHAnsi" w:cstheme="minorHAnsi"/>
          <w:sz w:val="22"/>
          <w:szCs w:val="22"/>
        </w:rPr>
        <w:t>Lietuvos vyriausiasis administracinis teismas</w:t>
      </w:r>
    </w:p>
    <w:p w14:paraId="52F8CC07" w14:textId="77777777" w:rsidR="00E069AE" w:rsidRPr="00B5006D" w:rsidRDefault="00E069AE" w:rsidP="00E069AE">
      <w:pPr>
        <w:tabs>
          <w:tab w:val="left" w:pos="1701"/>
        </w:tabs>
        <w:jc w:val="both"/>
        <w:rPr>
          <w:rFonts w:asciiTheme="minorHAnsi" w:hAnsiTheme="minorHAnsi" w:cstheme="minorHAnsi"/>
          <w:bCs/>
          <w:sz w:val="22"/>
          <w:szCs w:val="22"/>
        </w:rPr>
      </w:pPr>
      <w:r w:rsidRPr="00B5006D">
        <w:rPr>
          <w:rFonts w:asciiTheme="minorHAnsi" w:hAnsiTheme="minorHAnsi" w:cstheme="minorHAnsi"/>
          <w:b/>
          <w:sz w:val="22"/>
          <w:szCs w:val="22"/>
        </w:rPr>
        <w:t>MD</w:t>
      </w:r>
      <w:r w:rsidRPr="00B5006D">
        <w:rPr>
          <w:rFonts w:asciiTheme="minorHAnsi" w:hAnsiTheme="minorHAnsi" w:cstheme="minorHAnsi"/>
          <w:bCs/>
          <w:sz w:val="22"/>
          <w:szCs w:val="22"/>
        </w:rPr>
        <w:tab/>
      </w:r>
      <w:r w:rsidRPr="00B5006D">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785A0AF8" w14:textId="477E3F76" w:rsidR="00137A24" w:rsidRPr="005A18A4" w:rsidRDefault="00137A24" w:rsidP="00F63421">
      <w:pPr>
        <w:tabs>
          <w:tab w:val="left" w:pos="1701"/>
        </w:tabs>
        <w:jc w:val="both"/>
        <w:rPr>
          <w:rFonts w:asciiTheme="minorHAnsi" w:hAnsiTheme="minorHAnsi" w:cstheme="minorHAnsi"/>
          <w:sz w:val="22"/>
          <w:szCs w:val="22"/>
        </w:rPr>
      </w:pPr>
      <w:r w:rsidRPr="00BE234A">
        <w:rPr>
          <w:rFonts w:asciiTheme="minorHAnsi" w:hAnsiTheme="minorHAnsi" w:cstheme="minorHAnsi"/>
          <w:b/>
          <w:bCs/>
          <w:sz w:val="22"/>
          <w:szCs w:val="22"/>
        </w:rPr>
        <w:t>UAB</w:t>
      </w:r>
      <w:r w:rsidRPr="00BE234A">
        <w:rPr>
          <w:rFonts w:asciiTheme="minorHAnsi" w:hAnsiTheme="minorHAnsi" w:cstheme="minorHAnsi"/>
          <w:bCs/>
          <w:sz w:val="22"/>
          <w:szCs w:val="22"/>
        </w:rPr>
        <w:tab/>
        <w:t xml:space="preserve">uždaroji </w:t>
      </w:r>
      <w:r w:rsidRPr="00BE234A">
        <w:rPr>
          <w:rFonts w:asciiTheme="minorHAnsi" w:hAnsiTheme="minorHAnsi" w:cstheme="minorHAnsi"/>
          <w:sz w:val="22"/>
          <w:szCs w:val="22"/>
        </w:rPr>
        <w:t>akcinė bendrovė</w:t>
      </w:r>
    </w:p>
    <w:p w14:paraId="05EE06D3" w14:textId="77777777" w:rsidR="00EC286D" w:rsidRPr="00766271" w:rsidRDefault="00EC286D" w:rsidP="00EC286D">
      <w:pPr>
        <w:tabs>
          <w:tab w:val="left" w:pos="1701"/>
        </w:tabs>
        <w:jc w:val="both"/>
        <w:rPr>
          <w:rFonts w:asciiTheme="minorHAnsi" w:hAnsiTheme="minorHAnsi" w:cstheme="minorHAnsi"/>
          <w:sz w:val="22"/>
          <w:szCs w:val="22"/>
        </w:rPr>
      </w:pPr>
      <w:r w:rsidRPr="00766271">
        <w:rPr>
          <w:rFonts w:asciiTheme="minorHAnsi" w:hAnsiTheme="minorHAnsi" w:cstheme="minorHAnsi"/>
          <w:b/>
          <w:bCs/>
          <w:sz w:val="22"/>
          <w:szCs w:val="22"/>
        </w:rPr>
        <w:t>UTPĮ</w:t>
      </w:r>
      <w:r w:rsidRPr="00766271">
        <w:rPr>
          <w:rFonts w:asciiTheme="minorHAnsi" w:hAnsiTheme="minorHAnsi" w:cstheme="minorHAnsi"/>
          <w:bCs/>
          <w:sz w:val="22"/>
          <w:szCs w:val="22"/>
        </w:rPr>
        <w:tab/>
        <w:t>Lietuvos Respublikos įstatymas „Dėl užsieniečių teisinės padėties“</w:t>
      </w:r>
    </w:p>
    <w:p w14:paraId="2546418B" w14:textId="2359DAB3" w:rsidR="001D44F1" w:rsidRPr="00093D0E" w:rsidRDefault="001D44F1" w:rsidP="00F63421">
      <w:pPr>
        <w:tabs>
          <w:tab w:val="left" w:pos="1701"/>
        </w:tabs>
        <w:jc w:val="both"/>
        <w:rPr>
          <w:rFonts w:asciiTheme="minorHAnsi" w:hAnsiTheme="minorHAnsi" w:cstheme="minorHAnsi"/>
          <w:sz w:val="22"/>
          <w:szCs w:val="22"/>
        </w:rPr>
      </w:pPr>
      <w:r w:rsidRPr="00093D0E">
        <w:rPr>
          <w:rFonts w:asciiTheme="minorHAnsi" w:hAnsiTheme="minorHAnsi" w:cstheme="minorHAnsi"/>
          <w:b/>
          <w:bCs/>
          <w:sz w:val="22"/>
          <w:szCs w:val="22"/>
        </w:rPr>
        <w:t>VAĮ</w:t>
      </w:r>
      <w:r w:rsidRPr="00093D0E">
        <w:rPr>
          <w:rFonts w:asciiTheme="minorHAnsi" w:hAnsiTheme="minorHAnsi" w:cstheme="minorHAnsi"/>
          <w:sz w:val="22"/>
          <w:szCs w:val="22"/>
        </w:rPr>
        <w:tab/>
        <w:t>Lietuvos Respublikos viešojo administravimo įstatymas</w:t>
      </w:r>
    </w:p>
    <w:p w14:paraId="089184BA" w14:textId="18F52FF6" w:rsidR="00EF19BE" w:rsidRPr="00EF19BE" w:rsidRDefault="00EF19BE" w:rsidP="009560A6">
      <w:pPr>
        <w:tabs>
          <w:tab w:val="left" w:pos="1701"/>
        </w:tabs>
        <w:jc w:val="both"/>
        <w:rPr>
          <w:rFonts w:asciiTheme="minorHAnsi" w:hAnsiTheme="minorHAnsi" w:cstheme="minorHAnsi"/>
          <w:sz w:val="22"/>
          <w:szCs w:val="22"/>
        </w:rPr>
      </w:pPr>
      <w:r w:rsidRPr="00EF19BE">
        <w:rPr>
          <w:rFonts w:asciiTheme="minorHAnsi" w:hAnsiTheme="minorHAnsi" w:cstheme="minorHAnsi"/>
          <w:b/>
          <w:bCs/>
          <w:sz w:val="22"/>
          <w:szCs w:val="22"/>
        </w:rPr>
        <w:t>VSAT</w:t>
      </w:r>
      <w:r>
        <w:rPr>
          <w:rFonts w:asciiTheme="minorHAnsi" w:hAnsiTheme="minorHAnsi" w:cstheme="minorHAnsi"/>
          <w:sz w:val="22"/>
          <w:szCs w:val="22"/>
        </w:rPr>
        <w:tab/>
      </w:r>
      <w:r w:rsidRPr="00EF19BE">
        <w:rPr>
          <w:rFonts w:asciiTheme="minorHAnsi" w:hAnsiTheme="minorHAnsi" w:cstheme="minorHAnsi"/>
          <w:sz w:val="22"/>
          <w:szCs w:val="22"/>
        </w:rPr>
        <w:t>Valstybės sienos apsaugos tarnyb</w:t>
      </w:r>
      <w:r>
        <w:rPr>
          <w:rFonts w:asciiTheme="minorHAnsi" w:hAnsiTheme="minorHAnsi" w:cstheme="minorHAnsi"/>
          <w:sz w:val="22"/>
          <w:szCs w:val="22"/>
        </w:rPr>
        <w:t>a</w:t>
      </w:r>
      <w:r w:rsidRPr="00EF19BE">
        <w:rPr>
          <w:rFonts w:asciiTheme="minorHAnsi" w:hAnsiTheme="minorHAnsi" w:cstheme="minorHAnsi"/>
          <w:sz w:val="22"/>
          <w:szCs w:val="22"/>
        </w:rPr>
        <w:t xml:space="preserve"> prie Lietuvos Respublikos vidaus reikalų ministerijos</w:t>
      </w:r>
    </w:p>
    <w:p w14:paraId="152FA250" w14:textId="375665F0" w:rsidR="009560A6" w:rsidRPr="009560A6" w:rsidRDefault="009560A6" w:rsidP="009560A6">
      <w:pPr>
        <w:tabs>
          <w:tab w:val="left" w:pos="1701"/>
        </w:tabs>
        <w:jc w:val="both"/>
        <w:rPr>
          <w:rFonts w:asciiTheme="minorHAnsi" w:hAnsiTheme="minorHAnsi" w:cstheme="minorHAnsi"/>
          <w:b/>
          <w:sz w:val="22"/>
          <w:szCs w:val="22"/>
        </w:rPr>
      </w:pPr>
      <w:r w:rsidRPr="009560A6">
        <w:rPr>
          <w:rFonts w:asciiTheme="minorHAnsi" w:hAnsiTheme="minorHAnsi" w:cstheme="minorHAnsi"/>
          <w:b/>
          <w:bCs/>
          <w:sz w:val="22"/>
          <w:szCs w:val="22"/>
        </w:rPr>
        <w:t>VĮ</w:t>
      </w:r>
      <w:r w:rsidRPr="009560A6">
        <w:rPr>
          <w:rFonts w:asciiTheme="minorHAnsi" w:hAnsiTheme="minorHAnsi" w:cstheme="minorHAnsi"/>
          <w:sz w:val="22"/>
          <w:szCs w:val="22"/>
        </w:rPr>
        <w:tab/>
        <w:t>valstybės įmonė</w:t>
      </w:r>
    </w:p>
    <w:p w14:paraId="5D2577E3" w14:textId="714069E8" w:rsidR="00AE0292" w:rsidRPr="00B74A97" w:rsidRDefault="00AE0292" w:rsidP="00F63421">
      <w:pPr>
        <w:tabs>
          <w:tab w:val="left" w:pos="1701"/>
        </w:tabs>
        <w:jc w:val="both"/>
        <w:rPr>
          <w:rFonts w:asciiTheme="minorHAnsi" w:hAnsiTheme="minorHAnsi" w:cstheme="minorHAnsi"/>
          <w:sz w:val="22"/>
          <w:szCs w:val="22"/>
        </w:rPr>
      </w:pPr>
      <w:r w:rsidRPr="00B610AB">
        <w:rPr>
          <w:rFonts w:asciiTheme="minorHAnsi" w:hAnsiTheme="minorHAnsi" w:cstheme="minorHAnsi"/>
          <w:b/>
          <w:bCs/>
          <w:sz w:val="22"/>
          <w:szCs w:val="22"/>
        </w:rPr>
        <w:t>VšĮ</w:t>
      </w:r>
      <w:r w:rsidRPr="00B610AB">
        <w:rPr>
          <w:rFonts w:asciiTheme="minorHAnsi" w:hAnsiTheme="minorHAnsi" w:cstheme="minorHAnsi"/>
          <w:bCs/>
          <w:sz w:val="22"/>
          <w:szCs w:val="22"/>
        </w:rPr>
        <w:tab/>
      </w:r>
      <w:r w:rsidR="00385E1A" w:rsidRPr="00B610AB">
        <w:rPr>
          <w:rFonts w:asciiTheme="minorHAnsi" w:hAnsiTheme="minorHAnsi" w:cstheme="minorHAnsi"/>
          <w:sz w:val="22"/>
          <w:szCs w:val="22"/>
        </w:rPr>
        <w:t>v</w:t>
      </w:r>
      <w:r w:rsidRPr="00B610AB">
        <w:rPr>
          <w:rFonts w:asciiTheme="minorHAnsi" w:hAnsiTheme="minorHAnsi" w:cstheme="minorHAnsi"/>
          <w:sz w:val="22"/>
          <w:szCs w:val="22"/>
        </w:rPr>
        <w:t>iešoji įstaiga</w:t>
      </w:r>
    </w:p>
    <w:p w14:paraId="2CA688DD" w14:textId="77777777" w:rsidR="002F08EB" w:rsidRPr="00B74A97" w:rsidRDefault="002F08EB" w:rsidP="00751F3D">
      <w:pPr>
        <w:spacing w:before="240"/>
        <w:jc w:val="both"/>
        <w:rPr>
          <w:rFonts w:asciiTheme="minorHAnsi" w:hAnsiTheme="minorHAnsi" w:cstheme="minorHAnsi"/>
          <w:b/>
          <w:sz w:val="22"/>
          <w:szCs w:val="22"/>
        </w:rPr>
      </w:pPr>
    </w:p>
    <w:p w14:paraId="6E6F07C4" w14:textId="014722C4" w:rsidR="0007050C" w:rsidRPr="00B74A97" w:rsidRDefault="00E227FE" w:rsidP="004701D7">
      <w:pPr>
        <w:spacing w:before="240"/>
        <w:jc w:val="both"/>
        <w:rPr>
          <w:rFonts w:asciiTheme="minorHAnsi" w:hAnsiTheme="minorHAnsi" w:cstheme="minorHAnsi"/>
          <w:sz w:val="22"/>
          <w:szCs w:val="22"/>
        </w:rPr>
      </w:pPr>
      <w:r w:rsidRPr="00B74A97">
        <w:rPr>
          <w:rFonts w:asciiTheme="minorHAnsi" w:hAnsiTheme="minorHAnsi" w:cstheme="minorHAnsi"/>
          <w:b/>
          <w:sz w:val="22"/>
          <w:szCs w:val="22"/>
        </w:rPr>
        <w:t>P</w:t>
      </w:r>
      <w:r w:rsidR="003D4C15" w:rsidRPr="00B74A97">
        <w:rPr>
          <w:rFonts w:asciiTheme="minorHAnsi" w:hAnsiTheme="minorHAnsi" w:cstheme="minorHAnsi"/>
          <w:b/>
          <w:sz w:val="22"/>
          <w:szCs w:val="22"/>
        </w:rPr>
        <w:t>astaba.</w:t>
      </w:r>
      <w:r w:rsidR="003D4C15" w:rsidRPr="00B74A97">
        <w:rPr>
          <w:rFonts w:asciiTheme="minorHAnsi" w:hAnsiTheme="minorHAnsi" w:cstheme="minorHAnsi"/>
          <w:sz w:val="22"/>
          <w:szCs w:val="22"/>
        </w:rPr>
        <w:t xml:space="preserve"> Šioje apžvalgoje pateikiamos neoficialios </w:t>
      </w:r>
      <w:r w:rsidR="0028287C" w:rsidRPr="00B74A97">
        <w:rPr>
          <w:rFonts w:asciiTheme="minorHAnsi" w:hAnsiTheme="minorHAnsi" w:cstheme="minorHAnsi"/>
          <w:sz w:val="22"/>
          <w:szCs w:val="22"/>
        </w:rPr>
        <w:t>LVAT</w:t>
      </w:r>
      <w:r w:rsidR="003D4C15" w:rsidRPr="00B74A97">
        <w:rPr>
          <w:rFonts w:asciiTheme="minorHAnsi" w:hAnsiTheme="minorHAnsi" w:cstheme="minorHAnsi"/>
          <w:sz w:val="22"/>
          <w:szCs w:val="22"/>
        </w:rPr>
        <w:t xml:space="preserve"> procesinių sprendimų santraukos, kurios LVAT nesaisto. Šis dokumentas yra skirtas tik info</w:t>
      </w:r>
      <w:r w:rsidR="009E6C8D" w:rsidRPr="00B74A97">
        <w:rPr>
          <w:rFonts w:asciiTheme="minorHAnsi" w:hAnsiTheme="minorHAnsi" w:cstheme="minorHAnsi"/>
          <w:sz w:val="22"/>
          <w:szCs w:val="22"/>
        </w:rPr>
        <w:t>rm</w:t>
      </w:r>
      <w:r w:rsidR="0001474E" w:rsidRPr="00B74A97">
        <w:rPr>
          <w:rFonts w:asciiTheme="minorHAnsi" w:hAnsiTheme="minorHAnsi" w:cstheme="minorHAnsi"/>
          <w:sz w:val="22"/>
          <w:szCs w:val="22"/>
        </w:rPr>
        <w:t>uoti</w:t>
      </w:r>
      <w:r w:rsidR="003D4C15" w:rsidRPr="00B74A97">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74A97">
        <w:rPr>
          <w:rFonts w:asciiTheme="minorHAnsi" w:hAnsiTheme="minorHAnsi" w:cstheme="minorHAnsi"/>
          <w:sz w:val="22"/>
          <w:szCs w:val="22"/>
        </w:rPr>
        <w:t>16</w:t>
      </w:r>
      <w:r w:rsidR="00F1556D" w:rsidRPr="00B74A97">
        <w:rPr>
          <w:rFonts w:asciiTheme="minorHAnsi" w:hAnsiTheme="minorHAnsi" w:cstheme="minorHAnsi"/>
          <w:sz w:val="22"/>
          <w:szCs w:val="22"/>
        </w:rPr>
        <w:t xml:space="preserve"> </w:t>
      </w:r>
      <w:r w:rsidR="003D4C15" w:rsidRPr="00B74A97">
        <w:rPr>
          <w:rFonts w:asciiTheme="minorHAnsi" w:hAnsiTheme="minorHAnsi" w:cstheme="minorHAnsi"/>
          <w:sz w:val="22"/>
          <w:szCs w:val="22"/>
        </w:rPr>
        <w:t xml:space="preserve">m. </w:t>
      </w:r>
      <w:r w:rsidR="0045102F" w:rsidRPr="00B74A97">
        <w:rPr>
          <w:rFonts w:asciiTheme="minorHAnsi" w:hAnsiTheme="minorHAnsi" w:cstheme="minorHAnsi"/>
          <w:sz w:val="22"/>
          <w:szCs w:val="22"/>
        </w:rPr>
        <w:t>rugsėjo 30</w:t>
      </w:r>
      <w:r w:rsidR="00F1556D" w:rsidRPr="00B74A97">
        <w:rPr>
          <w:rFonts w:asciiTheme="minorHAnsi" w:hAnsiTheme="minorHAnsi" w:cstheme="minorHAnsi"/>
          <w:sz w:val="22"/>
          <w:szCs w:val="22"/>
        </w:rPr>
        <w:t xml:space="preserve"> </w:t>
      </w:r>
      <w:r w:rsidR="00291483" w:rsidRPr="00B74A97">
        <w:rPr>
          <w:rFonts w:asciiTheme="minorHAnsi" w:hAnsiTheme="minorHAnsi" w:cstheme="minorHAnsi"/>
          <w:sz w:val="22"/>
          <w:szCs w:val="22"/>
        </w:rPr>
        <w:t>d. nutarimu Nr. </w:t>
      </w:r>
      <w:r w:rsidR="003D4C15" w:rsidRPr="00B74A97">
        <w:rPr>
          <w:rFonts w:asciiTheme="minorHAnsi" w:hAnsiTheme="minorHAnsi" w:cstheme="minorHAnsi"/>
          <w:sz w:val="22"/>
          <w:szCs w:val="22"/>
        </w:rPr>
        <w:t>13P-</w:t>
      </w:r>
      <w:r w:rsidR="0045102F" w:rsidRPr="00B74A97">
        <w:rPr>
          <w:rFonts w:asciiTheme="minorHAnsi" w:hAnsiTheme="minorHAnsi" w:cstheme="minorHAnsi"/>
          <w:sz w:val="22"/>
          <w:szCs w:val="22"/>
        </w:rPr>
        <w:t>102</w:t>
      </w:r>
      <w:r w:rsidR="003D4C15" w:rsidRPr="00B74A97">
        <w:rPr>
          <w:rFonts w:asciiTheme="minorHAnsi" w:hAnsiTheme="minorHAnsi" w:cstheme="minorHAnsi"/>
          <w:sz w:val="22"/>
          <w:szCs w:val="22"/>
        </w:rPr>
        <w:t>-(7.1.2) patvirtintu Teismų procesinių sprendimų administracinėse bylose kategorijų klasifikatoriumi</w:t>
      </w:r>
      <w:r w:rsidR="0038475E" w:rsidRPr="00B74A97">
        <w:rPr>
          <w:rFonts w:asciiTheme="minorHAnsi" w:hAnsiTheme="minorHAnsi" w:cstheme="minorHAnsi"/>
          <w:sz w:val="22"/>
          <w:szCs w:val="22"/>
        </w:rPr>
        <w:t xml:space="preserve"> (nuo 2019 m. vasario 1 d. galiojanti redakcija)</w:t>
      </w:r>
      <w:r w:rsidR="003D4C15" w:rsidRPr="00B74A97">
        <w:rPr>
          <w:rFonts w:asciiTheme="minorHAnsi" w:hAnsiTheme="minorHAnsi" w:cstheme="minorHAnsi"/>
          <w:sz w:val="22"/>
          <w:szCs w:val="22"/>
        </w:rPr>
        <w:t>.</w:t>
      </w:r>
      <w:bookmarkStart w:id="9" w:name="_Toc410389752"/>
      <w:bookmarkStart w:id="10" w:name="_Toc361146890"/>
      <w:bookmarkEnd w:id="7"/>
      <w:r w:rsidR="0007050C" w:rsidRPr="00B74A97">
        <w:rPr>
          <w:rFonts w:asciiTheme="minorHAnsi" w:hAnsiTheme="minorHAnsi" w:cstheme="minorHAnsi"/>
          <w:sz w:val="22"/>
          <w:szCs w:val="22"/>
        </w:rPr>
        <w:br w:type="page"/>
      </w:r>
    </w:p>
    <w:p w14:paraId="26C4EE0E" w14:textId="0E6E1B55" w:rsidR="007C61EC" w:rsidRPr="00B74A97" w:rsidRDefault="00A84D45" w:rsidP="001B5CE0">
      <w:pPr>
        <w:pStyle w:val="Apzvalgai1"/>
        <w:rPr>
          <w:rFonts w:asciiTheme="minorHAnsi" w:hAnsiTheme="minorHAnsi" w:cstheme="minorHAnsi"/>
        </w:rPr>
      </w:pPr>
      <w:bookmarkStart w:id="11" w:name="_Toc519600852"/>
      <w:bookmarkStart w:id="12" w:name="_Toc199503131"/>
      <w:r w:rsidRPr="00B74A97">
        <w:rPr>
          <w:rFonts w:asciiTheme="minorHAnsi" w:hAnsiTheme="minorHAnsi" w:cstheme="minorHAnsi"/>
        </w:rPr>
        <w:lastRenderedPageBreak/>
        <w:t>I. Administracinės bylos, kylančios iš ginčų dėl teisės viešojo administravimo srityje</w:t>
      </w:r>
      <w:bookmarkEnd w:id="11"/>
      <w:bookmarkEnd w:id="12"/>
    </w:p>
    <w:p w14:paraId="311B5742" w14:textId="7886086C" w:rsidR="00D84197" w:rsidRPr="00B74A97" w:rsidRDefault="00D84197" w:rsidP="00431059">
      <w:pPr>
        <w:rPr>
          <w:rFonts w:asciiTheme="minorHAnsi" w:hAnsiTheme="minorHAnsi" w:cstheme="minorHAnsi"/>
        </w:rPr>
      </w:pPr>
    </w:p>
    <w:p w14:paraId="47189A12" w14:textId="77777777" w:rsidR="00CE2597" w:rsidRPr="00915F14" w:rsidRDefault="00CE2597" w:rsidP="00CE2597">
      <w:pPr>
        <w:pStyle w:val="Apzvalgai1"/>
        <w:rPr>
          <w:rFonts w:asciiTheme="minorHAnsi" w:hAnsiTheme="minorHAnsi" w:cstheme="minorHAnsi"/>
        </w:rPr>
      </w:pPr>
      <w:bookmarkStart w:id="13" w:name="_Toc199503132"/>
      <w:bookmarkStart w:id="14" w:name="_Toc52542057"/>
      <w:r w:rsidRPr="00915F14">
        <w:rPr>
          <w:rFonts w:asciiTheme="minorHAnsi" w:hAnsiTheme="minorHAnsi" w:cstheme="minorHAnsi"/>
        </w:rPr>
        <w:t>4. Norminių administracinių aktų teisėtumo patikra</w:t>
      </w:r>
      <w:bookmarkEnd w:id="13"/>
    </w:p>
    <w:p w14:paraId="15DB6F3F" w14:textId="77777777" w:rsidR="00CE2597" w:rsidRPr="00915F14" w:rsidRDefault="00CE2597" w:rsidP="00CE2597">
      <w:pPr>
        <w:pStyle w:val="NoSpacing"/>
        <w:ind w:firstLine="567"/>
        <w:rPr>
          <w:rFonts w:cstheme="minorHAnsi"/>
          <w:highlight w:val="yellow"/>
          <w:lang w:eastAsia="lt-LT"/>
        </w:rPr>
      </w:pPr>
      <w:r w:rsidRPr="00915F14">
        <w:rPr>
          <w:rFonts w:cstheme="minorHAnsi"/>
          <w:b/>
          <w:u w:val="single"/>
          <w:lang w:eastAsia="lt-LT"/>
        </w:rPr>
        <w:t>4.1. Centrinių valstybinio administravimo subjektų norminių administracinių aktų teisėtumas</w:t>
      </w:r>
    </w:p>
    <w:p w14:paraId="1E477B09" w14:textId="77777777" w:rsidR="00CE2597" w:rsidRPr="00CE2597" w:rsidRDefault="00CE2597" w:rsidP="00CE2597">
      <w:pPr>
        <w:jc w:val="both"/>
        <w:rPr>
          <w:rFonts w:asciiTheme="minorHAnsi" w:hAnsiTheme="minorHAnsi" w:cstheme="minorHAnsi"/>
          <w:sz w:val="22"/>
          <w:szCs w:val="22"/>
        </w:rPr>
      </w:pPr>
    </w:p>
    <w:p w14:paraId="54E6A937" w14:textId="77777777" w:rsidR="00E8171D" w:rsidRPr="00E8171D" w:rsidRDefault="00E8171D" w:rsidP="00E8171D">
      <w:pPr>
        <w:jc w:val="both"/>
        <w:outlineLvl w:val="1"/>
        <w:rPr>
          <w:rFonts w:asciiTheme="minorHAnsi" w:eastAsia="Calibri" w:hAnsiTheme="minorHAnsi" w:cstheme="minorHAnsi"/>
          <w:i/>
          <w:sz w:val="22"/>
          <w:szCs w:val="22"/>
        </w:rPr>
      </w:pPr>
      <w:bookmarkStart w:id="15" w:name="_Toc199503133"/>
      <w:r w:rsidRPr="00E8171D">
        <w:rPr>
          <w:rFonts w:asciiTheme="minorHAnsi" w:eastAsia="Calibri" w:hAnsiTheme="minorHAnsi" w:cstheme="minorHAnsi"/>
          <w:i/>
          <w:sz w:val="22"/>
          <w:szCs w:val="22"/>
        </w:rPr>
        <w:t>Dėl kai kurių norminių administracinių aktų nuostatų, reglamentavusių Alternatyviųjų degalų įstatyme nurodyto termino Degalų iš atsinaujinančių energijos išteklių apskaitos vienetų sistemos dalyviui pateikti ataskaitą apie įstatyme nustatytų įpareigojimų įvykdymą praleidimo pasekmes, teisėtumo</w:t>
      </w:r>
      <w:bookmarkEnd w:id="15"/>
    </w:p>
    <w:p w14:paraId="2FF692A0" w14:textId="77777777" w:rsidR="00E8171D" w:rsidRPr="00E8171D" w:rsidRDefault="00E8171D" w:rsidP="00E8171D">
      <w:pPr>
        <w:ind w:firstLine="567"/>
        <w:jc w:val="both"/>
        <w:rPr>
          <w:rFonts w:asciiTheme="minorHAnsi" w:hAnsiTheme="minorHAnsi" w:cstheme="minorHAnsi"/>
          <w:sz w:val="22"/>
          <w:szCs w:val="22"/>
        </w:rPr>
      </w:pPr>
    </w:p>
    <w:p w14:paraId="2163D054" w14:textId="77777777" w:rsidR="00E8171D" w:rsidRPr="00E8171D" w:rsidRDefault="00E8171D" w:rsidP="00E8171D">
      <w:pPr>
        <w:ind w:firstLine="567"/>
        <w:jc w:val="both"/>
        <w:rPr>
          <w:rFonts w:asciiTheme="minorHAnsi" w:hAnsiTheme="minorHAnsi" w:cstheme="minorHAnsi"/>
          <w:sz w:val="22"/>
          <w:szCs w:val="22"/>
        </w:rPr>
      </w:pPr>
      <w:r w:rsidRPr="00E8171D">
        <w:rPr>
          <w:rFonts w:asciiTheme="minorHAnsi" w:hAnsiTheme="minorHAnsi" w:cstheme="minorHAnsi"/>
          <w:sz w:val="22"/>
          <w:szCs w:val="22"/>
        </w:rPr>
        <w:t>Apžvelgiamoje norminėje administracinėje byloje buvo nagrinėjamas Regionų administracinio teismo prašymas, be kita ko, ištirti, ar konstituciniam teisinės valstybės principui neprieštarauja (i) Degalų iš atsinaujinančių energijos išteklių apskaitos vienetų sistemos administravimo tvarkos aprašo, patvirtinto energetikos ministro 2021 m. gruodžio 29 d. įsakymu Nr. 1-379 (toliau – Administravimo aprašas), 44 punktas ir (ii) Degalų iš atsinaujinančių energijos išteklių apskaitos vienetų sistemos dalyvių įpareigojimų ir reikalavimų įgyvendinimo vertinimo tvarkos aprašo, patvirtinto Valstybinės energetikos reguliavimo tarybos (toliau – VERT) 2022 m. kovo 31 d. nutarimu Nr. O3E-439 (toliau – Vertinimo aprašas), 15 punktas.</w:t>
      </w:r>
    </w:p>
    <w:p w14:paraId="0D3BF5F1" w14:textId="5B45E041" w:rsidR="00E8171D" w:rsidRPr="00E8171D" w:rsidRDefault="00E8171D" w:rsidP="28FC6351">
      <w:pPr>
        <w:ind w:firstLine="567"/>
        <w:jc w:val="both"/>
        <w:rPr>
          <w:rFonts w:asciiTheme="minorHAnsi" w:hAnsiTheme="minorHAnsi" w:cstheme="minorBidi"/>
          <w:sz w:val="22"/>
          <w:szCs w:val="22"/>
        </w:rPr>
      </w:pPr>
      <w:r w:rsidRPr="28FC6351">
        <w:rPr>
          <w:rFonts w:asciiTheme="minorHAnsi" w:hAnsiTheme="minorHAnsi" w:cstheme="minorBidi"/>
          <w:sz w:val="22"/>
          <w:szCs w:val="22"/>
        </w:rPr>
        <w:t>Šis prašymas buvo pateiktas individualioje byloje nagrinėjant skundą dėl VERT sprendimo bendrovei – Degalų iš atsinaujinančių energijos išteklių apskaitos vienetų (toliau – DAEI apskaitos vienetai) sistemos (toliau – Sistema) dalyvei – skirti Alternatyviųjų degalų įstatymo (toliau – ADĮ) 32 straipsnio 1 dalies 1 punkte nustatytą sankciją</w:t>
      </w:r>
      <w:r w:rsidRPr="28FC6351">
        <w:rPr>
          <w:rStyle w:val="FootnoteReference"/>
          <w:rFonts w:asciiTheme="minorHAnsi" w:hAnsiTheme="minorHAnsi" w:cstheme="minorBidi"/>
          <w:sz w:val="22"/>
          <w:szCs w:val="22"/>
        </w:rPr>
        <w:footnoteReference w:id="1"/>
      </w:r>
      <w:r w:rsidRPr="28FC6351">
        <w:rPr>
          <w:rFonts w:asciiTheme="minorHAnsi" w:hAnsiTheme="minorHAnsi" w:cstheme="minorBidi"/>
          <w:sz w:val="22"/>
          <w:szCs w:val="22"/>
        </w:rPr>
        <w:t xml:space="preserve"> už tai, kad ji neįvykdė šio įstatymo 16 straipsnio 1 dalies 1 punkte nustatytų įpareigojimų</w:t>
      </w:r>
      <w:r w:rsidRPr="28FC6351">
        <w:rPr>
          <w:rStyle w:val="FootnoteReference"/>
          <w:rFonts w:asciiTheme="minorHAnsi" w:hAnsiTheme="minorHAnsi" w:cstheme="minorBidi"/>
          <w:sz w:val="22"/>
          <w:szCs w:val="22"/>
        </w:rPr>
        <w:footnoteReference w:id="2"/>
      </w:r>
      <w:r w:rsidRPr="28FC6351">
        <w:rPr>
          <w:rFonts w:asciiTheme="minorHAnsi" w:hAnsiTheme="minorHAnsi" w:cstheme="minorBidi"/>
          <w:sz w:val="22"/>
          <w:szCs w:val="22"/>
        </w:rPr>
        <w:t>. Šį neįvykdymą VERT iš esmės siejo su aplinkybe, kad bendrovė iki 2023 m. balandžio 30 d. nepateikė ADĮ 18</w:t>
      </w:r>
      <w:r w:rsidR="004E0963" w:rsidRPr="28FC6351">
        <w:rPr>
          <w:rFonts w:asciiTheme="minorHAnsi" w:hAnsiTheme="minorHAnsi" w:cstheme="minorBidi"/>
          <w:sz w:val="22"/>
          <w:szCs w:val="22"/>
        </w:rPr>
        <w:t> </w:t>
      </w:r>
      <w:r w:rsidRPr="28FC6351">
        <w:rPr>
          <w:rFonts w:asciiTheme="minorHAnsi" w:hAnsiTheme="minorHAnsi" w:cstheme="minorBidi"/>
          <w:sz w:val="22"/>
          <w:szCs w:val="22"/>
        </w:rPr>
        <w:t>straipsnio 2 dalies 4 punkte nurodytos audito ataskaitos už 2022 metus.</w:t>
      </w:r>
    </w:p>
    <w:p w14:paraId="5056E6B5" w14:textId="6F0EEE32" w:rsidR="00E8171D" w:rsidRPr="00E8171D" w:rsidRDefault="00E8171D" w:rsidP="00E8171D">
      <w:pPr>
        <w:ind w:firstLine="567"/>
        <w:jc w:val="both"/>
        <w:rPr>
          <w:rFonts w:asciiTheme="minorHAnsi" w:hAnsiTheme="minorHAnsi" w:cstheme="minorHAnsi"/>
          <w:sz w:val="22"/>
          <w:szCs w:val="22"/>
        </w:rPr>
      </w:pPr>
      <w:r w:rsidRPr="00E8171D">
        <w:rPr>
          <w:rFonts w:asciiTheme="minorHAnsi" w:hAnsiTheme="minorHAnsi" w:cstheme="minorHAnsi"/>
          <w:sz w:val="22"/>
          <w:szCs w:val="22"/>
        </w:rPr>
        <w:t>ADĮ 18 straipsnio 2 dalies 4 punktas nustato, jog Sistemos dalyviai, vadovaudamiesi Administravimo aprašu, be kita ko, privalo ne vėliau kaip iki einamųjų metų balandžio 30 dienos pateikti atestuoto auditoriaus arba audito įmonės audito ataskaitą apie praėjusiais kalendoriniais metais vidaus rinkoje patiektus benzino, dyzelino kiekius ir degalų iš atsinaujinančių energijos išteklių kiekius, už kuriuos šio įstatymo nustatyta tvarka galėjo būti suteikti DAEI apskaitos vienetai. Vadovaujantis ADĮ 17 straipsnio 4 dalimi, VERT, atsižvelgdama į minėtas audito ataskaitas, ne vėliau kaip per 30 kalendorinių dienų nuo tinkamos audito ataskaitos pateikimo Sistemoje ir visos reikiamos informacijos ar duomenų gavimo VERT dienos priima vieną iš šių sprendimų: 1)</w:t>
      </w:r>
      <w:r w:rsidR="004346E2">
        <w:rPr>
          <w:rFonts w:asciiTheme="minorHAnsi" w:hAnsiTheme="minorHAnsi" w:cstheme="minorHAnsi"/>
          <w:sz w:val="22"/>
          <w:szCs w:val="22"/>
        </w:rPr>
        <w:t> </w:t>
      </w:r>
      <w:r w:rsidRPr="00E8171D">
        <w:rPr>
          <w:rFonts w:asciiTheme="minorHAnsi" w:hAnsiTheme="minorHAnsi" w:cstheme="minorHAnsi"/>
          <w:sz w:val="22"/>
          <w:szCs w:val="22"/>
        </w:rPr>
        <w:t>įskaityti DAEI apskaitos vienetus (ar jų dalį) į metinių įpareigojimų įvykdymą; 2) panaikinti DAEI apskaitos vienetus tokia apimtimi, kuria dėl šių vienetų audito ataskaitoje nustatyta trūkumų.</w:t>
      </w:r>
    </w:p>
    <w:p w14:paraId="30DD8486" w14:textId="77777777" w:rsidR="00E8171D" w:rsidRPr="00E8171D" w:rsidRDefault="00E8171D" w:rsidP="00E8171D">
      <w:pPr>
        <w:ind w:firstLine="567"/>
        <w:jc w:val="both"/>
        <w:rPr>
          <w:rFonts w:asciiTheme="minorHAnsi" w:hAnsiTheme="minorHAnsi" w:cstheme="minorHAnsi"/>
          <w:sz w:val="22"/>
          <w:szCs w:val="22"/>
        </w:rPr>
      </w:pPr>
      <w:r w:rsidRPr="00E8171D">
        <w:rPr>
          <w:rFonts w:asciiTheme="minorHAnsi" w:hAnsiTheme="minorHAnsi" w:cstheme="minorHAnsi"/>
          <w:sz w:val="22"/>
          <w:szCs w:val="22"/>
        </w:rPr>
        <w:t>Tikrintas Administravimo aprašo 44 punktas įtvirtino, kad degalų tiekėjams ir transporto sektoriaus gamtinių dujų tiekėjams, kurie iki einamųjų metų balandžio 30 dienos Sistemoje nėra pateikę ataskaitos, už praėjusius kalendorinius metus sugeneruoti DAEI apskaitos vienetai yra panaikinami. Kvestionuotas Vertinimo aprašo 15 punktas taip pat nustatė, kad Sistemos dalyviui, kuris iki einamųjų metų balandžio 30 dienos Sistemoje nepateikė ataskaitos už praėjusius kalendorinius metus, sugeneruoti DAEI apskaitos vienetai yra panaikinami ir laikoma, kad Sistemos dalyvis ADĮ 16 straipsnio 1 ir 3 dalyse nustatytų įpareigojimų neįvykdė.</w:t>
      </w:r>
    </w:p>
    <w:p w14:paraId="3D31C932" w14:textId="70E11395" w:rsidR="00E8171D" w:rsidRPr="00E8171D" w:rsidRDefault="00E8171D" w:rsidP="00E8171D">
      <w:pPr>
        <w:ind w:firstLine="567"/>
        <w:jc w:val="both"/>
        <w:rPr>
          <w:rFonts w:asciiTheme="minorHAnsi" w:hAnsiTheme="minorHAnsi" w:cstheme="minorHAnsi"/>
          <w:sz w:val="22"/>
          <w:szCs w:val="22"/>
        </w:rPr>
      </w:pPr>
      <w:r w:rsidRPr="00E8171D">
        <w:rPr>
          <w:rFonts w:asciiTheme="minorHAnsi" w:hAnsiTheme="minorHAnsi" w:cstheme="minorHAnsi"/>
          <w:sz w:val="22"/>
          <w:szCs w:val="22"/>
        </w:rPr>
        <w:t xml:space="preserve">Išanalizavusi įvairias ADĮ nuostatas, </w:t>
      </w:r>
      <w:r w:rsidR="00A82549">
        <w:rPr>
          <w:rFonts w:asciiTheme="minorHAnsi" w:hAnsiTheme="minorHAnsi" w:cstheme="minorHAnsi"/>
          <w:sz w:val="22"/>
          <w:szCs w:val="22"/>
        </w:rPr>
        <w:t xml:space="preserve">LVAT </w:t>
      </w:r>
      <w:r w:rsidRPr="00E8171D">
        <w:rPr>
          <w:rFonts w:asciiTheme="minorHAnsi" w:hAnsiTheme="minorHAnsi" w:cstheme="minorHAnsi"/>
          <w:sz w:val="22"/>
          <w:szCs w:val="22"/>
        </w:rPr>
        <w:t xml:space="preserve">išplėstinė teisėjų kolegija pažymėjo, kad, viena vertus, </w:t>
      </w:r>
      <w:r w:rsidRPr="00E8171D">
        <w:rPr>
          <w:rFonts w:asciiTheme="minorHAnsi" w:hAnsiTheme="minorHAnsi" w:cstheme="minorHAnsi"/>
          <w:sz w:val="22"/>
          <w:szCs w:val="22"/>
          <w:u w:val="single"/>
        </w:rPr>
        <w:t>Sistemos dalyviui nepateikus minėtos audito ataskaitos, negalima įvertinti ir, atitinkamai, pripažinti, kad yra tenkinamos įstatymo leidėjo nustatytos materialiosios sąlygos jo turimiems DAEI apskaitos vienetams įskaityti, kas, be kita ko, reiškia (lemia), jog šis dalyvis negali būti pripažintas įvykdžiusiu ADĮ 16 straipsnio 1 dalyje įtvirtintus įpareigojimus</w:t>
      </w:r>
      <w:r w:rsidRPr="00E8171D">
        <w:rPr>
          <w:rFonts w:asciiTheme="minorHAnsi" w:hAnsiTheme="minorHAnsi" w:cstheme="minorHAnsi"/>
          <w:sz w:val="22"/>
          <w:szCs w:val="22"/>
        </w:rPr>
        <w:t xml:space="preserve">. Antra vertus, </w:t>
      </w:r>
      <w:r w:rsidR="00937CF4">
        <w:rPr>
          <w:rFonts w:asciiTheme="minorHAnsi" w:hAnsiTheme="minorHAnsi" w:cstheme="minorHAnsi"/>
          <w:sz w:val="22"/>
          <w:szCs w:val="22"/>
        </w:rPr>
        <w:t>išplėstinė teisėjų</w:t>
      </w:r>
      <w:r w:rsidRPr="00E8171D">
        <w:rPr>
          <w:rFonts w:asciiTheme="minorHAnsi" w:hAnsiTheme="minorHAnsi" w:cstheme="minorHAnsi"/>
          <w:sz w:val="22"/>
          <w:szCs w:val="22"/>
        </w:rPr>
        <w:t xml:space="preserve"> kolegija taip pat pastebėjo, kad ADĮ nėra eksplicitiškai apibrėžtos šio įstatymo 18 straipsnio 2 dalies 4 punkte nurodyto termino pateikti audito ataskaitą praleidimo pasekmės.</w:t>
      </w:r>
    </w:p>
    <w:p w14:paraId="3A0045B3" w14:textId="717B0C8F" w:rsidR="00E8171D" w:rsidRPr="00E8171D" w:rsidRDefault="00E8171D" w:rsidP="00E8171D">
      <w:pPr>
        <w:ind w:firstLine="567"/>
        <w:jc w:val="both"/>
        <w:rPr>
          <w:rFonts w:asciiTheme="minorHAnsi" w:hAnsiTheme="minorHAnsi" w:cstheme="minorHAnsi"/>
          <w:sz w:val="22"/>
          <w:szCs w:val="22"/>
        </w:rPr>
      </w:pPr>
      <w:r w:rsidRPr="00E8171D">
        <w:rPr>
          <w:rFonts w:asciiTheme="minorHAnsi" w:hAnsiTheme="minorHAnsi" w:cstheme="minorHAnsi"/>
          <w:sz w:val="22"/>
          <w:szCs w:val="22"/>
        </w:rPr>
        <w:t xml:space="preserve">Šiuo aspektu LVAT, be kita ko, akcentavo, kad šio termino praleidimas ataskaitai pateikti sudaro pagrindą VERT pradėti ADĮ 32 straipsnio 1 dalies 1 punkte nustatytos sankcijos už ADĮ 16 straipsnio 1 dalyje nustatytų </w:t>
      </w:r>
      <w:r w:rsidRPr="00E8171D">
        <w:rPr>
          <w:rFonts w:asciiTheme="minorHAnsi" w:hAnsiTheme="minorHAnsi" w:cstheme="minorHAnsi"/>
          <w:sz w:val="22"/>
          <w:szCs w:val="22"/>
        </w:rPr>
        <w:lastRenderedPageBreak/>
        <w:t>įpareigojimų neįvykdymą skyrimo procedūrą – tokiu atveju pagrindas ADĮ įtvirtintai atsakomybei taikyti nėra siejamas su DAEI apskaitos vienetų panaikinimu Sistemoje, bet su aplinkybe, jog, nesant pateiktos minėtos ataskaitos, šie vienetai negali būti įskaityti į minėtų įpareigojimų įvykdymą VERT priimant ADĮ 17 straipsnio 4</w:t>
      </w:r>
      <w:r w:rsidR="00937CF4">
        <w:rPr>
          <w:rFonts w:asciiTheme="minorHAnsi" w:hAnsiTheme="minorHAnsi" w:cstheme="minorHAnsi"/>
          <w:sz w:val="22"/>
          <w:szCs w:val="22"/>
        </w:rPr>
        <w:t> </w:t>
      </w:r>
      <w:r w:rsidRPr="00E8171D">
        <w:rPr>
          <w:rFonts w:asciiTheme="minorHAnsi" w:hAnsiTheme="minorHAnsi" w:cstheme="minorHAnsi"/>
          <w:sz w:val="22"/>
          <w:szCs w:val="22"/>
        </w:rPr>
        <w:t>dalies 1 punkte nurodytą sprendimą arba pagal to paties straipsnio 5 dalį (dėl VERT neveikimo). ADĮ 18</w:t>
      </w:r>
      <w:r w:rsidR="00AF7DB5">
        <w:rPr>
          <w:rFonts w:asciiTheme="minorHAnsi" w:hAnsiTheme="minorHAnsi" w:cstheme="minorHAnsi"/>
          <w:sz w:val="22"/>
          <w:szCs w:val="22"/>
        </w:rPr>
        <w:t> </w:t>
      </w:r>
      <w:r w:rsidRPr="00E8171D">
        <w:rPr>
          <w:rFonts w:asciiTheme="minorHAnsi" w:hAnsiTheme="minorHAnsi" w:cstheme="minorHAnsi"/>
          <w:sz w:val="22"/>
          <w:szCs w:val="22"/>
        </w:rPr>
        <w:t xml:space="preserve">straipsnio 2 dalies 4 punkte nurodyta audito ataskaita tėra įstatymų leidėjo nustatyta formalioji sąlyga turimiems DAEI apskaitos vienetams įskaityti į minėtų įpareigojimų įvykdymą, t. y. ji pati neapsprendžia, ar degalų tiekėjas įvykdė ADĮ 16 straipsnio 1 dalies įpareigojimus, bet tik leidžia įsitikinti, ar yra tenkinamos materialiosios sąlygos, su kuriomis įstatymų leidėjas sieja aptariamų įpareigojimų įgyvendinimą. Todėl, kaip pažymėjo išplėstinė teisėjų kolegija, akivaizdžiai </w:t>
      </w:r>
      <w:r w:rsidRPr="00E8171D">
        <w:rPr>
          <w:rFonts w:asciiTheme="minorHAnsi" w:hAnsiTheme="minorHAnsi" w:cstheme="minorHAnsi"/>
          <w:sz w:val="22"/>
          <w:szCs w:val="22"/>
          <w:u w:val="single"/>
        </w:rPr>
        <w:t xml:space="preserve">iš proporcingumo principo kylančių reikalavimų neatitiktų ADĮ nuostatų aiškinimas, kad realiai ADĮ 16 straipsnio 1 dalyje nustatytus įpareigojimus įvykdęs Sistemos dalyvis galėtų būti pripažintas neįvykdžiusiu šių įpareigojimų vien dėl to, </w:t>
      </w:r>
      <w:r w:rsidR="002F3557">
        <w:rPr>
          <w:rFonts w:asciiTheme="minorHAnsi" w:hAnsiTheme="minorHAnsi" w:cstheme="minorHAnsi"/>
          <w:sz w:val="22"/>
          <w:szCs w:val="22"/>
          <w:u w:val="single"/>
        </w:rPr>
        <w:t>jog</w:t>
      </w:r>
      <w:r w:rsidRPr="00E8171D">
        <w:rPr>
          <w:rFonts w:asciiTheme="minorHAnsi" w:hAnsiTheme="minorHAnsi" w:cstheme="minorHAnsi"/>
          <w:sz w:val="22"/>
          <w:szCs w:val="22"/>
          <w:u w:val="single"/>
        </w:rPr>
        <w:t xml:space="preserve"> pažeisdamas formalų reikalavimą </w:t>
      </w:r>
      <w:r w:rsidR="0014659B">
        <w:rPr>
          <w:rFonts w:asciiTheme="minorHAnsi" w:hAnsiTheme="minorHAnsi" w:cstheme="minorHAnsi"/>
          <w:sz w:val="22"/>
          <w:szCs w:val="22"/>
          <w:u w:val="single"/>
        </w:rPr>
        <w:t>a</w:t>
      </w:r>
      <w:r w:rsidRPr="00E8171D">
        <w:rPr>
          <w:rFonts w:asciiTheme="minorHAnsi" w:hAnsiTheme="minorHAnsi" w:cstheme="minorHAnsi"/>
          <w:sz w:val="22"/>
          <w:szCs w:val="22"/>
          <w:u w:val="single"/>
        </w:rPr>
        <w:t>ptariamą audito ataskaitą pateikia pavėluotai (pvz., minėtos sankcijos skyrimo procedūros metu), juolab kad ADĮ 17</w:t>
      </w:r>
      <w:r w:rsidR="0014659B">
        <w:rPr>
          <w:rFonts w:asciiTheme="minorHAnsi" w:hAnsiTheme="minorHAnsi" w:cstheme="minorHAnsi"/>
          <w:sz w:val="22"/>
          <w:szCs w:val="22"/>
          <w:u w:val="single"/>
        </w:rPr>
        <w:t> </w:t>
      </w:r>
      <w:r w:rsidRPr="00E8171D">
        <w:rPr>
          <w:rFonts w:asciiTheme="minorHAnsi" w:hAnsiTheme="minorHAnsi" w:cstheme="minorHAnsi"/>
          <w:sz w:val="22"/>
          <w:szCs w:val="22"/>
          <w:u w:val="single"/>
        </w:rPr>
        <w:t>straipsnio 4 dalis ir 19 straipsnio 7 dalis VERT teisės ir pareigos atlikti vertinimą dėl Sistemos dalyvio ADĮ 16</w:t>
      </w:r>
      <w:r w:rsidR="0014659B">
        <w:rPr>
          <w:rFonts w:asciiTheme="minorHAnsi" w:hAnsiTheme="minorHAnsi" w:cstheme="minorHAnsi"/>
          <w:sz w:val="22"/>
          <w:szCs w:val="22"/>
          <w:u w:val="single"/>
        </w:rPr>
        <w:t> </w:t>
      </w:r>
      <w:r w:rsidRPr="00E8171D">
        <w:rPr>
          <w:rFonts w:asciiTheme="minorHAnsi" w:hAnsiTheme="minorHAnsi" w:cstheme="minorHAnsi"/>
          <w:sz w:val="22"/>
          <w:szCs w:val="22"/>
          <w:u w:val="single"/>
        </w:rPr>
        <w:t>straipsnio 1 dalyje nustatytų įpareigojimų įgyvendinimo neriboja šios audito ataskaitos pateikimo data ir (ar) momentu</w:t>
      </w:r>
      <w:r w:rsidRPr="00E8171D">
        <w:rPr>
          <w:rFonts w:asciiTheme="minorHAnsi" w:hAnsiTheme="minorHAnsi" w:cstheme="minorHAnsi"/>
          <w:sz w:val="22"/>
          <w:szCs w:val="22"/>
        </w:rPr>
        <w:t xml:space="preserve">. Nesant jokių kitų ADĮ nuostatų, taip pat atsižvelgiant į tai, kad degalų tiekėjai įpareigojimų vykdymo ataskaitas teikia Sistemoje (ADĮ 2 str. 4 d., 18 str. 1 d.), suponuoja ir išvadą, kad </w:t>
      </w:r>
      <w:r w:rsidRPr="00E8171D">
        <w:rPr>
          <w:rFonts w:asciiTheme="minorHAnsi" w:hAnsiTheme="minorHAnsi" w:cstheme="minorHAnsi"/>
          <w:sz w:val="22"/>
          <w:szCs w:val="22"/>
          <w:u w:val="single"/>
        </w:rPr>
        <w:t>ADĮ 18 straipsnio 2 dalies 4</w:t>
      </w:r>
      <w:r w:rsidR="0014659B">
        <w:rPr>
          <w:rFonts w:asciiTheme="minorHAnsi" w:hAnsiTheme="minorHAnsi" w:cstheme="minorHAnsi"/>
          <w:sz w:val="22"/>
          <w:szCs w:val="22"/>
          <w:u w:val="single"/>
        </w:rPr>
        <w:t> </w:t>
      </w:r>
      <w:r w:rsidRPr="00E8171D">
        <w:rPr>
          <w:rFonts w:asciiTheme="minorHAnsi" w:hAnsiTheme="minorHAnsi" w:cstheme="minorHAnsi"/>
          <w:sz w:val="22"/>
          <w:szCs w:val="22"/>
          <w:u w:val="single"/>
        </w:rPr>
        <w:t>punktas ir (ar) kitos šio įstatymo nuostatos negali būti aiškinamos kaip draudžiančios Sistemos dalyviui aptariamą audito ataskaitą už praėjusius kalendorinius metus Sistemoje pateikti po balandžio 30 d</w:t>
      </w:r>
      <w:r w:rsidRPr="00E8171D">
        <w:rPr>
          <w:rFonts w:asciiTheme="minorHAnsi" w:hAnsiTheme="minorHAnsi" w:cstheme="minorHAnsi"/>
          <w:sz w:val="22"/>
          <w:szCs w:val="22"/>
        </w:rPr>
        <w:t>.</w:t>
      </w:r>
    </w:p>
    <w:p w14:paraId="377EC942" w14:textId="788B5186" w:rsidR="00E8171D" w:rsidRPr="00E8171D" w:rsidRDefault="00E8171D" w:rsidP="00E8171D">
      <w:pPr>
        <w:ind w:firstLine="567"/>
        <w:jc w:val="both"/>
        <w:rPr>
          <w:rFonts w:asciiTheme="minorHAnsi" w:hAnsiTheme="minorHAnsi" w:cstheme="minorHAnsi"/>
          <w:sz w:val="22"/>
          <w:szCs w:val="22"/>
        </w:rPr>
      </w:pPr>
      <w:r w:rsidRPr="00E8171D">
        <w:rPr>
          <w:rFonts w:asciiTheme="minorHAnsi" w:hAnsiTheme="minorHAnsi" w:cstheme="minorHAnsi"/>
          <w:sz w:val="22"/>
          <w:szCs w:val="22"/>
        </w:rPr>
        <w:t xml:space="preserve">Tačiau, kaip pabrėžė išplėstinė teisėjų kolegija, tai nereiškia, kad ADĮ nuostatos gali būti aiškinamos kaip nustatančios ADĮ 18 straipsnio 2 dalies 4 punkte įtvirtintą pareigą pažeidusių Sistemos dalyvių galimybę be jokių apribojimų laiko atžvilgiu Sistemoje teikti aptariamą audito ataskaitą. Iš tiesų, </w:t>
      </w:r>
      <w:r w:rsidRPr="00E8171D">
        <w:rPr>
          <w:rFonts w:asciiTheme="minorHAnsi" w:hAnsiTheme="minorHAnsi" w:cstheme="minorHAnsi"/>
          <w:sz w:val="22"/>
          <w:szCs w:val="22"/>
          <w:u w:val="single"/>
        </w:rPr>
        <w:t>be kita ko, ADĮ 18 straipsnio 1</w:t>
      </w:r>
      <w:r w:rsidR="00D30694">
        <w:rPr>
          <w:rFonts w:asciiTheme="minorHAnsi" w:hAnsiTheme="minorHAnsi" w:cstheme="minorHAnsi"/>
          <w:sz w:val="22"/>
          <w:szCs w:val="22"/>
          <w:u w:val="single"/>
        </w:rPr>
        <w:t> </w:t>
      </w:r>
      <w:r w:rsidRPr="00E8171D">
        <w:rPr>
          <w:rFonts w:asciiTheme="minorHAnsi" w:hAnsiTheme="minorHAnsi" w:cstheme="minorHAnsi"/>
          <w:sz w:val="22"/>
          <w:szCs w:val="22"/>
          <w:u w:val="single"/>
        </w:rPr>
        <w:t>dalyje nustatytiems skaidrumo ir patikimumo reikalavimams bei teisinio saugumo principui prieštarautų aiškinimas, kad Sistemos dalyvis gali pateikti minėtą audito ataskaitą, be kita ko, po to, kai VERT, priimdama sprendimą dėl ADĮ 32 straipsnio 1 dalies 1 punkte nustatytos sankcijos skyrimo, jau iš esmės pripažino, kad Sistemos dalyvis neįvykdė ADĮ 16 straipsnio 1 dalyje nustatytų įpareigojimų</w:t>
      </w:r>
      <w:r w:rsidRPr="00E8171D">
        <w:rPr>
          <w:rFonts w:asciiTheme="minorHAnsi" w:hAnsiTheme="minorHAnsi" w:cstheme="minorHAnsi"/>
          <w:sz w:val="22"/>
          <w:szCs w:val="22"/>
        </w:rPr>
        <w:t>.</w:t>
      </w:r>
    </w:p>
    <w:p w14:paraId="15FBABAA" w14:textId="13C3857B" w:rsidR="00E8171D" w:rsidRPr="00E8171D" w:rsidRDefault="00E8171D" w:rsidP="00E8171D">
      <w:pPr>
        <w:ind w:firstLine="567"/>
        <w:jc w:val="both"/>
        <w:rPr>
          <w:rFonts w:asciiTheme="minorHAnsi" w:hAnsiTheme="minorHAnsi" w:cstheme="minorHAnsi"/>
          <w:sz w:val="22"/>
          <w:szCs w:val="22"/>
        </w:rPr>
      </w:pPr>
      <w:r w:rsidRPr="00E8171D">
        <w:rPr>
          <w:rFonts w:asciiTheme="minorHAnsi" w:hAnsiTheme="minorHAnsi" w:cstheme="minorHAnsi"/>
          <w:sz w:val="22"/>
          <w:szCs w:val="22"/>
        </w:rPr>
        <w:t xml:space="preserve">Išplėstinė teisėjų kolegija taip pat atskirai pastebėjo, kad </w:t>
      </w:r>
      <w:r w:rsidRPr="00E8171D">
        <w:rPr>
          <w:rFonts w:asciiTheme="minorHAnsi" w:hAnsiTheme="minorHAnsi" w:cstheme="minorHAnsi"/>
          <w:sz w:val="22"/>
          <w:szCs w:val="22"/>
          <w:u w:val="single"/>
        </w:rPr>
        <w:t>minėtos sankcijos skyrimo procedūros metu Sistemos dalyvio prašymu VERT, įvertinusi reikšmingas konkretaus atvejo aplinkybes, paprastai turėtų suteikti protingą terminą, per kurį šis dalyvis galėtų pateikti aptariamą audito ataskaitą</w:t>
      </w:r>
      <w:r w:rsidRPr="00E8171D">
        <w:rPr>
          <w:rFonts w:asciiTheme="minorHAnsi" w:hAnsiTheme="minorHAnsi" w:cstheme="minorHAnsi"/>
          <w:sz w:val="22"/>
          <w:szCs w:val="22"/>
        </w:rPr>
        <w:t>.</w:t>
      </w:r>
    </w:p>
    <w:p w14:paraId="72F5658E" w14:textId="75885183" w:rsidR="00E8171D" w:rsidRPr="00E8171D" w:rsidRDefault="00E8171D" w:rsidP="00E8171D">
      <w:pPr>
        <w:ind w:firstLine="567"/>
        <w:jc w:val="both"/>
        <w:rPr>
          <w:rFonts w:asciiTheme="minorHAnsi" w:hAnsiTheme="minorHAnsi" w:cstheme="minorHAnsi"/>
          <w:sz w:val="22"/>
          <w:szCs w:val="22"/>
        </w:rPr>
      </w:pPr>
      <w:r w:rsidRPr="00E8171D">
        <w:rPr>
          <w:rFonts w:asciiTheme="minorHAnsi" w:hAnsiTheme="minorHAnsi" w:cstheme="minorHAnsi"/>
          <w:sz w:val="22"/>
          <w:szCs w:val="22"/>
        </w:rPr>
        <w:t xml:space="preserve">Šiomis ir kitomis aplinkybėmis LVAT konstatavo, jog </w:t>
      </w:r>
      <w:r w:rsidRPr="00E8171D">
        <w:rPr>
          <w:rFonts w:asciiTheme="minorHAnsi" w:hAnsiTheme="minorHAnsi" w:cstheme="minorHAnsi"/>
          <w:sz w:val="22"/>
          <w:szCs w:val="22"/>
          <w:u w:val="single"/>
        </w:rPr>
        <w:t xml:space="preserve">ADĮ nuostatos ne tik kad nenustato, bet ir draudžia aiškinimą, </w:t>
      </w:r>
      <w:r w:rsidR="00D94ED2">
        <w:rPr>
          <w:rFonts w:asciiTheme="minorHAnsi" w:hAnsiTheme="minorHAnsi" w:cstheme="minorHAnsi"/>
          <w:sz w:val="22"/>
          <w:szCs w:val="22"/>
          <w:u w:val="single"/>
        </w:rPr>
        <w:t>jog</w:t>
      </w:r>
      <w:r w:rsidRPr="00E8171D">
        <w:rPr>
          <w:rFonts w:asciiTheme="minorHAnsi" w:hAnsiTheme="minorHAnsi" w:cstheme="minorHAnsi"/>
          <w:sz w:val="22"/>
          <w:szCs w:val="22"/>
          <w:u w:val="single"/>
        </w:rPr>
        <w:t xml:space="preserve"> DAEI apskaitos vienetai gali būti panaikinti ir (ar) Sistemos dalyvis gali būti pripažintas neįvykdžiusiu ADĮ 16 straipsnio 1 dalyje nustatytų įpareigojimų, vien dėl tos priežasties, kad jis praleido ADĮ 18</w:t>
      </w:r>
      <w:r w:rsidR="002E65CA">
        <w:rPr>
          <w:rFonts w:asciiTheme="minorHAnsi" w:hAnsiTheme="minorHAnsi" w:cstheme="minorHAnsi"/>
          <w:sz w:val="22"/>
          <w:szCs w:val="22"/>
          <w:u w:val="single"/>
        </w:rPr>
        <w:t> </w:t>
      </w:r>
      <w:r w:rsidRPr="00E8171D">
        <w:rPr>
          <w:rFonts w:asciiTheme="minorHAnsi" w:hAnsiTheme="minorHAnsi" w:cstheme="minorHAnsi"/>
          <w:sz w:val="22"/>
          <w:szCs w:val="22"/>
          <w:u w:val="single"/>
        </w:rPr>
        <w:t>straipsnio 2 dalies 4 punkte nustatytą terminą audito ataskaitai Sistemoje pateikti</w:t>
      </w:r>
      <w:r w:rsidRPr="00E8171D">
        <w:rPr>
          <w:rFonts w:asciiTheme="minorHAnsi" w:hAnsiTheme="minorHAnsi" w:cstheme="minorHAnsi"/>
          <w:sz w:val="22"/>
          <w:szCs w:val="22"/>
        </w:rPr>
        <w:t>. Atitinkamai išplėstinė teisėjų kolegija sprendė, kad nagrinėtu atveju buvo pakankamas pagrindas pripažinti, jog Administravimo aprašo 44 punktas ir Vertinimo aprašo 15 punktas prieštaravo iš konstitucinio teisinės valstybės principo kylantiems teisės aktų hierarchijos reikalavimams.</w:t>
      </w:r>
    </w:p>
    <w:p w14:paraId="4B45FFC2" w14:textId="77777777" w:rsidR="00E8171D" w:rsidRPr="00E8171D" w:rsidRDefault="00E8171D" w:rsidP="00E8171D">
      <w:pPr>
        <w:ind w:firstLine="567"/>
        <w:jc w:val="both"/>
        <w:rPr>
          <w:rFonts w:asciiTheme="minorHAnsi" w:hAnsiTheme="minorHAnsi" w:cstheme="minorHAnsi"/>
          <w:sz w:val="22"/>
          <w:szCs w:val="22"/>
        </w:rPr>
      </w:pPr>
    </w:p>
    <w:p w14:paraId="57718307" w14:textId="77777777" w:rsidR="00E8171D" w:rsidRPr="00E8171D" w:rsidRDefault="00E8171D" w:rsidP="00E8171D">
      <w:pPr>
        <w:jc w:val="both"/>
        <w:rPr>
          <w:rFonts w:asciiTheme="minorHAnsi" w:hAnsiTheme="minorHAnsi" w:cstheme="minorHAnsi"/>
          <w:sz w:val="22"/>
          <w:szCs w:val="22"/>
        </w:rPr>
      </w:pPr>
      <w:r w:rsidRPr="00E8171D">
        <w:rPr>
          <w:rFonts w:asciiTheme="minorHAnsi" w:hAnsiTheme="minorHAnsi" w:cstheme="minorHAnsi"/>
          <w:sz w:val="22"/>
          <w:szCs w:val="22"/>
        </w:rPr>
        <w:t>Išplėstinės teisėjų kolegijos 2025 m. balandžio 9 d. sprendimas administracinėje byloje Nr. eI-5-629/2025</w:t>
      </w:r>
    </w:p>
    <w:p w14:paraId="38BC7D4F" w14:textId="77777777" w:rsidR="00E8171D" w:rsidRPr="00E8171D" w:rsidRDefault="00E8171D" w:rsidP="00E8171D">
      <w:pPr>
        <w:jc w:val="both"/>
        <w:rPr>
          <w:rFonts w:asciiTheme="minorHAnsi" w:hAnsiTheme="minorHAnsi" w:cstheme="minorHAnsi"/>
          <w:sz w:val="22"/>
          <w:szCs w:val="22"/>
        </w:rPr>
      </w:pPr>
      <w:r w:rsidRPr="00E8171D">
        <w:rPr>
          <w:rFonts w:asciiTheme="minorHAnsi" w:hAnsiTheme="minorHAnsi" w:cstheme="minorHAnsi"/>
          <w:sz w:val="22"/>
          <w:szCs w:val="22"/>
        </w:rPr>
        <w:t>Teisminio proceso Nr. 3-66-3-00084-2024-8</w:t>
      </w:r>
    </w:p>
    <w:p w14:paraId="32200A67" w14:textId="77777777" w:rsidR="00E8171D" w:rsidRPr="00E8171D" w:rsidRDefault="00E8171D" w:rsidP="00E8171D">
      <w:pPr>
        <w:jc w:val="both"/>
        <w:rPr>
          <w:rFonts w:asciiTheme="minorHAnsi" w:hAnsiTheme="minorHAnsi" w:cstheme="minorHAnsi"/>
          <w:sz w:val="22"/>
          <w:szCs w:val="22"/>
        </w:rPr>
      </w:pPr>
      <w:hyperlink r:id="rId9" w:history="1">
        <w:r w:rsidRPr="00E8171D">
          <w:rPr>
            <w:rStyle w:val="Hyperlink"/>
            <w:rFonts w:asciiTheme="minorHAnsi" w:hAnsiTheme="minorHAnsi" w:cstheme="minorHAnsi"/>
            <w:sz w:val="22"/>
            <w:szCs w:val="22"/>
          </w:rPr>
          <w:t>Prieiga internete</w:t>
        </w:r>
      </w:hyperlink>
    </w:p>
    <w:bookmarkEnd w:id="14"/>
    <w:p w14:paraId="34984054" w14:textId="77777777" w:rsidR="008D4476" w:rsidRPr="00527EB1" w:rsidRDefault="008D4476" w:rsidP="0071646A">
      <w:pPr>
        <w:ind w:firstLine="567"/>
        <w:rPr>
          <w:rFonts w:asciiTheme="minorHAnsi" w:hAnsiTheme="minorHAnsi" w:cstheme="minorHAnsi"/>
          <w:sz w:val="22"/>
          <w:szCs w:val="22"/>
        </w:rPr>
      </w:pPr>
    </w:p>
    <w:p w14:paraId="5D4735C8" w14:textId="77777777" w:rsidR="00527EB1" w:rsidRPr="00527EB1" w:rsidRDefault="00527EB1" w:rsidP="00527EB1">
      <w:pPr>
        <w:pStyle w:val="Apzvalgai1"/>
        <w:rPr>
          <w:rFonts w:asciiTheme="minorHAnsi" w:hAnsiTheme="minorHAnsi" w:cstheme="minorHAnsi"/>
        </w:rPr>
      </w:pPr>
      <w:bookmarkStart w:id="16" w:name="_Toc774915"/>
      <w:bookmarkStart w:id="17" w:name="_Toc199503134"/>
      <w:r w:rsidRPr="00527EB1">
        <w:rPr>
          <w:rFonts w:asciiTheme="minorHAnsi" w:hAnsiTheme="minorHAnsi" w:cstheme="minorHAnsi"/>
        </w:rPr>
        <w:t>7. Socialinė apsauga</w:t>
      </w:r>
      <w:bookmarkEnd w:id="16"/>
      <w:bookmarkEnd w:id="17"/>
    </w:p>
    <w:p w14:paraId="0FE70F14" w14:textId="77777777" w:rsidR="00527EB1" w:rsidRPr="00527EB1" w:rsidRDefault="00527EB1" w:rsidP="00527EB1">
      <w:pPr>
        <w:ind w:firstLine="567"/>
        <w:rPr>
          <w:rFonts w:asciiTheme="minorHAnsi" w:eastAsia="Calibri" w:hAnsiTheme="minorHAnsi" w:cstheme="minorHAnsi"/>
          <w:b/>
          <w:bCs/>
          <w:color w:val="000000"/>
          <w:sz w:val="22"/>
          <w:szCs w:val="22"/>
          <w:u w:val="single"/>
          <w:bdr w:val="none" w:sz="0" w:space="0" w:color="auto" w:frame="1"/>
        </w:rPr>
      </w:pPr>
      <w:r w:rsidRPr="00527EB1">
        <w:rPr>
          <w:rFonts w:asciiTheme="minorHAnsi" w:eastAsia="Calibri" w:hAnsiTheme="minorHAnsi" w:cstheme="minorHAnsi"/>
          <w:b/>
          <w:bCs/>
          <w:color w:val="000000"/>
          <w:sz w:val="22"/>
          <w:szCs w:val="22"/>
          <w:u w:val="single"/>
          <w:bdr w:val="none" w:sz="0" w:space="0" w:color="auto" w:frame="1"/>
        </w:rPr>
        <w:t>7.5. Valstybinės pensijos</w:t>
      </w:r>
    </w:p>
    <w:p w14:paraId="2E3A2871" w14:textId="77777777" w:rsidR="00527EB1" w:rsidRPr="00527EB1" w:rsidRDefault="00527EB1" w:rsidP="00527EB1">
      <w:pPr>
        <w:ind w:firstLine="1134"/>
        <w:rPr>
          <w:rFonts w:asciiTheme="minorHAnsi" w:eastAsia="Calibri" w:hAnsiTheme="minorHAnsi" w:cstheme="minorHAnsi"/>
          <w:b/>
          <w:bCs/>
          <w:color w:val="000000"/>
          <w:sz w:val="22"/>
          <w:szCs w:val="22"/>
          <w:u w:val="single"/>
          <w:bdr w:val="none" w:sz="0" w:space="0" w:color="auto" w:frame="1"/>
        </w:rPr>
      </w:pPr>
      <w:r w:rsidRPr="00527EB1">
        <w:rPr>
          <w:rFonts w:asciiTheme="minorHAnsi" w:eastAsia="Calibri" w:hAnsiTheme="minorHAnsi" w:cstheme="minorHAnsi"/>
          <w:b/>
          <w:bCs/>
          <w:color w:val="000000"/>
          <w:sz w:val="22"/>
          <w:szCs w:val="22"/>
          <w:u w:val="single"/>
          <w:bdr w:val="none" w:sz="0" w:space="0" w:color="auto" w:frame="1"/>
        </w:rPr>
        <w:t>7.5.3. Pareigūnų ir karių valstybinės pensijos</w:t>
      </w:r>
    </w:p>
    <w:p w14:paraId="082E370B" w14:textId="77777777" w:rsidR="00527EB1" w:rsidRPr="00527EB1" w:rsidRDefault="00527EB1" w:rsidP="00527EB1">
      <w:pPr>
        <w:rPr>
          <w:rFonts w:asciiTheme="minorHAnsi" w:eastAsia="Calibri" w:hAnsiTheme="minorHAnsi" w:cstheme="minorHAnsi"/>
          <w:b/>
          <w:bCs/>
          <w:color w:val="000000"/>
          <w:sz w:val="22"/>
          <w:szCs w:val="22"/>
          <w:u w:val="single"/>
          <w:bdr w:val="none" w:sz="0" w:space="0" w:color="auto" w:frame="1"/>
        </w:rPr>
      </w:pPr>
    </w:p>
    <w:p w14:paraId="7002591D" w14:textId="77777777" w:rsidR="00527EB1" w:rsidRPr="00527EB1" w:rsidRDefault="00527EB1" w:rsidP="00527EB1">
      <w:pPr>
        <w:jc w:val="both"/>
        <w:outlineLvl w:val="1"/>
        <w:rPr>
          <w:rFonts w:asciiTheme="minorHAnsi" w:eastAsia="Calibri" w:hAnsiTheme="minorHAnsi" w:cstheme="minorHAnsi"/>
          <w:i/>
          <w:sz w:val="22"/>
          <w:szCs w:val="22"/>
        </w:rPr>
      </w:pPr>
      <w:bookmarkStart w:id="18" w:name="_Toc199503135"/>
      <w:r w:rsidRPr="00527EB1">
        <w:rPr>
          <w:rFonts w:asciiTheme="minorHAnsi" w:eastAsia="Calibri" w:hAnsiTheme="minorHAnsi" w:cstheme="minorHAnsi"/>
          <w:i/>
          <w:sz w:val="22"/>
          <w:szCs w:val="22"/>
        </w:rPr>
        <w:t>Dėl karo tarnybos laiko apskaičiavimo, atsižvelgiant į individualią situaciją ir teisingumo principą</w:t>
      </w:r>
      <w:bookmarkEnd w:id="18"/>
    </w:p>
    <w:p w14:paraId="2521AF9D" w14:textId="77777777" w:rsidR="00527EB1" w:rsidRPr="00527EB1" w:rsidRDefault="00527EB1" w:rsidP="00527EB1">
      <w:pPr>
        <w:ind w:firstLine="567"/>
        <w:jc w:val="both"/>
        <w:rPr>
          <w:rFonts w:asciiTheme="minorHAnsi" w:eastAsia="Calibri" w:hAnsiTheme="minorHAnsi" w:cstheme="minorHAnsi"/>
          <w:color w:val="000000"/>
          <w:sz w:val="22"/>
          <w:szCs w:val="22"/>
          <w:bdr w:val="none" w:sz="0" w:space="0" w:color="auto" w:frame="1"/>
        </w:rPr>
      </w:pPr>
    </w:p>
    <w:p w14:paraId="185ADA1A" w14:textId="77DDFF27" w:rsidR="00527EB1" w:rsidRPr="00527EB1" w:rsidRDefault="00527EB1" w:rsidP="00527EB1">
      <w:pPr>
        <w:ind w:firstLine="567"/>
        <w:jc w:val="both"/>
        <w:rPr>
          <w:rFonts w:asciiTheme="minorHAnsi" w:eastAsia="Calibri" w:hAnsiTheme="minorHAnsi" w:cstheme="minorHAnsi"/>
          <w:color w:val="000000"/>
          <w:sz w:val="22"/>
          <w:szCs w:val="22"/>
          <w:bdr w:val="none" w:sz="0" w:space="0" w:color="auto" w:frame="1"/>
        </w:rPr>
      </w:pPr>
      <w:r w:rsidRPr="00527EB1">
        <w:rPr>
          <w:rFonts w:asciiTheme="minorHAnsi" w:eastAsia="Calibri" w:hAnsiTheme="minorHAnsi" w:cstheme="minorHAnsi"/>
          <w:color w:val="000000"/>
          <w:sz w:val="22"/>
          <w:szCs w:val="22"/>
          <w:bdr w:val="none" w:sz="0" w:space="0" w:color="auto" w:frame="1"/>
        </w:rPr>
        <w:t>Apžvelgiamoje byloje ginčas kilo dėl Valstybinio socialinio draudimo fondo valdybos prie Socialinės apsaugos ir darbo ministerijos institucijų sprendimų, kuriais į pareiškėjos karo tarnybos laiką neįskaičiuotas laikotarpis nuo 1995 m. sausio 1 d. iki 1995 m. rugpjūčio 31 d., teisėtumo ir pagrįstumo.</w:t>
      </w:r>
    </w:p>
    <w:p w14:paraId="706DD688" w14:textId="691631AF" w:rsidR="00527EB1" w:rsidRPr="00527EB1" w:rsidRDefault="00527EB1" w:rsidP="00527EB1">
      <w:pPr>
        <w:ind w:firstLine="567"/>
        <w:jc w:val="both"/>
        <w:rPr>
          <w:rFonts w:asciiTheme="minorHAnsi" w:eastAsia="Calibri" w:hAnsiTheme="minorHAnsi" w:cstheme="minorHAnsi"/>
          <w:color w:val="000000"/>
          <w:sz w:val="22"/>
          <w:szCs w:val="22"/>
          <w:bdr w:val="none" w:sz="0" w:space="0" w:color="auto" w:frame="1"/>
        </w:rPr>
      </w:pPr>
      <w:r w:rsidRPr="00527EB1">
        <w:rPr>
          <w:rFonts w:asciiTheme="minorHAnsi" w:eastAsia="Calibri" w:hAnsiTheme="minorHAnsi" w:cstheme="minorHAnsi"/>
          <w:color w:val="000000"/>
          <w:sz w:val="22"/>
          <w:szCs w:val="22"/>
          <w:bdr w:val="none" w:sz="0" w:space="0" w:color="auto" w:frame="1"/>
        </w:rPr>
        <w:t xml:space="preserve">Pirmosios instancijos teismas pareiškėjos skundą atmetė konstatavęs, kad skundžiami sprendimai pagrįsti faktiniais duomenimis bei teisės normomis, nes </w:t>
      </w:r>
      <w:r w:rsidRPr="00527EB1">
        <w:rPr>
          <w:rFonts w:asciiTheme="minorHAnsi" w:eastAsia="Calibri" w:hAnsiTheme="minorHAnsi" w:cstheme="minorHAnsi"/>
          <w:color w:val="000000"/>
          <w:sz w:val="22"/>
          <w:szCs w:val="22"/>
          <w:bdr w:val="none" w:sz="0" w:space="0" w:color="auto" w:frame="1"/>
          <w:lang w:bidi="lt-LT"/>
        </w:rPr>
        <w:t xml:space="preserve">nuo 1995 m. sausio 1 d. iki </w:t>
      </w:r>
      <w:r w:rsidRPr="00527EB1">
        <w:rPr>
          <w:rFonts w:asciiTheme="minorHAnsi" w:eastAsia="Calibri" w:hAnsiTheme="minorHAnsi" w:cstheme="minorHAnsi"/>
          <w:color w:val="000000"/>
          <w:sz w:val="22"/>
          <w:szCs w:val="22"/>
          <w:bdr w:val="none" w:sz="0" w:space="0" w:color="auto" w:frame="1"/>
        </w:rPr>
        <w:t>1995 m. rugsėjo 1 d. pareiškėja dirbo pagal darbo sutartį, nebuvo karys ir neturėjo karinio laipsnio.</w:t>
      </w:r>
    </w:p>
    <w:p w14:paraId="40CC1D5C" w14:textId="137CF133" w:rsidR="00527EB1" w:rsidRPr="00527EB1" w:rsidRDefault="00527EB1" w:rsidP="00527EB1">
      <w:pPr>
        <w:ind w:firstLine="567"/>
        <w:jc w:val="both"/>
        <w:rPr>
          <w:rFonts w:asciiTheme="minorHAnsi" w:eastAsia="Calibri" w:hAnsiTheme="minorHAnsi" w:cstheme="minorHAnsi"/>
          <w:color w:val="000000"/>
          <w:sz w:val="22"/>
          <w:szCs w:val="22"/>
          <w:bdr w:val="none" w:sz="0" w:space="0" w:color="auto" w:frame="1"/>
        </w:rPr>
      </w:pPr>
      <w:r w:rsidRPr="00527EB1">
        <w:rPr>
          <w:rFonts w:asciiTheme="minorHAnsi" w:eastAsia="Calibri" w:hAnsiTheme="minorHAnsi" w:cstheme="minorHAnsi"/>
          <w:color w:val="000000"/>
          <w:sz w:val="22"/>
          <w:szCs w:val="22"/>
          <w:bdr w:val="none" w:sz="0" w:space="0" w:color="auto" w:frame="1"/>
        </w:rPr>
        <w:lastRenderedPageBreak/>
        <w:t>Pareiškėja apeliaciniame skunde su pirmosios instancijos teismo sprendimu nesutiko teigdama, kad teismas netinkamai vertino įrodymus, patvirtinančius jos tarnybos krašto apsaugos sistemoje nepertraukiamumą.</w:t>
      </w:r>
    </w:p>
    <w:p w14:paraId="1E960183" w14:textId="636822B5" w:rsidR="00527EB1" w:rsidRPr="00527EB1" w:rsidRDefault="00527EB1" w:rsidP="000424DB">
      <w:pPr>
        <w:ind w:firstLine="567"/>
        <w:jc w:val="both"/>
        <w:rPr>
          <w:rFonts w:asciiTheme="minorHAnsi" w:eastAsia="Calibri" w:hAnsiTheme="minorHAnsi" w:cstheme="minorHAnsi"/>
          <w:color w:val="000000"/>
          <w:sz w:val="22"/>
          <w:szCs w:val="22"/>
          <w:bdr w:val="none" w:sz="0" w:space="0" w:color="auto" w:frame="1"/>
        </w:rPr>
      </w:pPr>
      <w:r w:rsidRPr="00527EB1">
        <w:rPr>
          <w:rFonts w:asciiTheme="minorHAnsi" w:eastAsia="Calibri" w:hAnsiTheme="minorHAnsi" w:cstheme="minorHAnsi"/>
          <w:color w:val="000000"/>
          <w:sz w:val="22"/>
          <w:szCs w:val="22"/>
          <w:bdr w:val="none" w:sz="0" w:space="0" w:color="auto" w:frame="1"/>
        </w:rPr>
        <w:t>Pareigūnų ir karių valstybinių pensijų įstatymo 6 straipsnio 1 dalies 1 punktas, be kita ko, nustato, kad krašto apsaugos sistemų pareigūnams ir kariams į tarnybos laiką pensijai skirti įskaitomas tarnybos krašto apsaugos sistemose laikas nuo paskyrimo į pareigūno ar kario pareigas dienos.</w:t>
      </w:r>
      <w:r w:rsidR="000424DB">
        <w:rPr>
          <w:rFonts w:asciiTheme="minorHAnsi" w:eastAsia="Calibri" w:hAnsiTheme="minorHAnsi" w:cstheme="minorHAnsi"/>
          <w:color w:val="000000"/>
          <w:sz w:val="22"/>
          <w:szCs w:val="22"/>
          <w:bdr w:val="none" w:sz="0" w:space="0" w:color="auto" w:frame="1"/>
        </w:rPr>
        <w:t xml:space="preserve"> </w:t>
      </w:r>
      <w:r w:rsidRPr="00527EB1">
        <w:rPr>
          <w:rFonts w:asciiTheme="minorHAnsi" w:eastAsia="Calibri" w:hAnsiTheme="minorHAnsi" w:cstheme="minorHAnsi"/>
          <w:color w:val="000000"/>
          <w:sz w:val="22"/>
          <w:szCs w:val="22"/>
          <w:bdr w:val="none" w:sz="0" w:space="0" w:color="auto" w:frame="1"/>
          <w:lang w:bidi="lt-LT"/>
        </w:rPr>
        <w:t>Pareigūnų ir karių valstybinių</w:t>
      </w:r>
      <w:r w:rsidRPr="00527EB1">
        <w:rPr>
          <w:rFonts w:asciiTheme="minorHAnsi" w:eastAsia="Calibri" w:hAnsiTheme="minorHAnsi" w:cstheme="minorHAnsi"/>
          <w:color w:val="000000"/>
          <w:sz w:val="22"/>
          <w:szCs w:val="22"/>
          <w:bdr w:val="none" w:sz="0" w:space="0" w:color="auto" w:frame="1"/>
        </w:rPr>
        <w:t xml:space="preserve"> pensijų įstatymo 16 straipsnio 3 dali</w:t>
      </w:r>
      <w:r w:rsidR="000424DB">
        <w:rPr>
          <w:rFonts w:asciiTheme="minorHAnsi" w:eastAsia="Calibri" w:hAnsiTheme="minorHAnsi" w:cstheme="minorHAnsi"/>
          <w:color w:val="000000"/>
          <w:sz w:val="22"/>
          <w:szCs w:val="22"/>
          <w:bdr w:val="none" w:sz="0" w:space="0" w:color="auto" w:frame="1"/>
        </w:rPr>
        <w:t>e</w:t>
      </w:r>
      <w:r w:rsidRPr="00527EB1">
        <w:rPr>
          <w:rFonts w:asciiTheme="minorHAnsi" w:eastAsia="Calibri" w:hAnsiTheme="minorHAnsi" w:cstheme="minorHAnsi"/>
          <w:color w:val="000000"/>
          <w:sz w:val="22"/>
          <w:szCs w:val="22"/>
          <w:bdr w:val="none" w:sz="0" w:space="0" w:color="auto" w:frame="1"/>
        </w:rPr>
        <w:t>s</w:t>
      </w:r>
      <w:r w:rsidR="000424DB">
        <w:rPr>
          <w:rFonts w:asciiTheme="minorHAnsi" w:eastAsia="Calibri" w:hAnsiTheme="minorHAnsi" w:cstheme="minorHAnsi"/>
          <w:color w:val="000000"/>
          <w:sz w:val="22"/>
          <w:szCs w:val="22"/>
          <w:bdr w:val="none" w:sz="0" w:space="0" w:color="auto" w:frame="1"/>
        </w:rPr>
        <w:t xml:space="preserve"> 2 punktas</w:t>
      </w:r>
      <w:r w:rsidRPr="00527EB1">
        <w:rPr>
          <w:rFonts w:asciiTheme="minorHAnsi" w:eastAsia="Calibri" w:hAnsiTheme="minorHAnsi" w:cstheme="minorHAnsi"/>
          <w:color w:val="000000"/>
          <w:sz w:val="22"/>
          <w:szCs w:val="22"/>
          <w:bdr w:val="none" w:sz="0" w:space="0" w:color="auto" w:frame="1"/>
        </w:rPr>
        <w:t>, be kita ko, nustato, kad asmenims, priimtiems tarnauti Lietuvos Respublikos krašto apsaugos sistemose pareigūnais ir kariais, tarnybos laikui pensijai skirti prilyginami šie laikotarpiai, buvę iki 1995 m. sausio 1 d.</w:t>
      </w:r>
      <w:r w:rsidR="000424DB">
        <w:rPr>
          <w:rFonts w:asciiTheme="minorHAnsi" w:eastAsia="Calibri" w:hAnsiTheme="minorHAnsi" w:cstheme="minorHAnsi"/>
          <w:color w:val="000000"/>
          <w:sz w:val="22"/>
          <w:szCs w:val="22"/>
          <w:bdr w:val="none" w:sz="0" w:space="0" w:color="auto" w:frame="1"/>
        </w:rPr>
        <w:t xml:space="preserve"> –</w:t>
      </w:r>
      <w:r w:rsidRPr="00527EB1">
        <w:rPr>
          <w:rFonts w:asciiTheme="minorHAnsi" w:eastAsia="Calibri" w:hAnsiTheme="minorHAnsi" w:cstheme="minorHAnsi"/>
          <w:color w:val="000000"/>
          <w:sz w:val="22"/>
          <w:szCs w:val="22"/>
          <w:bdr w:val="none" w:sz="0" w:space="0" w:color="auto" w:frame="1"/>
        </w:rPr>
        <w:t xml:space="preserve"> darbo krašto apsaugos sistemose laikas Darbo sutarties įstatymo pagrindais, jeigu vėliau tos pareigos priskirtos pareigūno ar kario pareigoms.</w:t>
      </w:r>
    </w:p>
    <w:p w14:paraId="7BC4BD74" w14:textId="36AF26FC" w:rsidR="00527EB1" w:rsidRPr="00527EB1" w:rsidRDefault="00527EB1" w:rsidP="00527EB1">
      <w:pPr>
        <w:ind w:firstLine="567"/>
        <w:jc w:val="both"/>
        <w:rPr>
          <w:rFonts w:asciiTheme="minorHAnsi" w:eastAsia="Calibri" w:hAnsiTheme="minorHAnsi" w:cstheme="minorHAnsi"/>
          <w:color w:val="000000"/>
          <w:sz w:val="22"/>
          <w:szCs w:val="22"/>
          <w:bdr w:val="none" w:sz="0" w:space="0" w:color="auto" w:frame="1"/>
        </w:rPr>
      </w:pPr>
      <w:r w:rsidRPr="00527EB1">
        <w:rPr>
          <w:rFonts w:asciiTheme="minorHAnsi" w:eastAsia="Calibri" w:hAnsiTheme="minorHAnsi" w:cstheme="minorHAnsi"/>
          <w:color w:val="000000"/>
          <w:sz w:val="22"/>
          <w:szCs w:val="22"/>
          <w:bdr w:val="none" w:sz="0" w:space="0" w:color="auto" w:frame="1"/>
        </w:rPr>
        <w:t xml:space="preserve">Byloje </w:t>
      </w:r>
      <w:r w:rsidR="00947C36">
        <w:rPr>
          <w:rFonts w:asciiTheme="minorHAnsi" w:eastAsia="Calibri" w:hAnsiTheme="minorHAnsi" w:cstheme="minorHAnsi"/>
          <w:color w:val="000000"/>
          <w:sz w:val="22"/>
          <w:szCs w:val="22"/>
          <w:bdr w:val="none" w:sz="0" w:space="0" w:color="auto" w:frame="1"/>
        </w:rPr>
        <w:t xml:space="preserve">ginčytu </w:t>
      </w:r>
      <w:r w:rsidRPr="00527EB1">
        <w:rPr>
          <w:rFonts w:asciiTheme="minorHAnsi" w:eastAsia="Calibri" w:hAnsiTheme="minorHAnsi" w:cstheme="minorHAnsi"/>
          <w:color w:val="000000"/>
          <w:sz w:val="22"/>
          <w:szCs w:val="22"/>
          <w:bdr w:val="none" w:sz="0" w:space="0" w:color="auto" w:frame="1"/>
        </w:rPr>
        <w:t>sprendimu pareiškėjai nustatytas ištarnautas laikas yra 30 metų 4 mėnesiai 17 dienų, iš jų: iki 1994 m. gruodžio 31 d. – 2,6417 m., po 1995 m. rugsėjo 1 d. – 27,7389 m. Dėl šių laikotarpių ginčo nebuvo. Ginčas kilo dėl į pareiškėjos karo tarnybos laiką neįskaičiuoto laikotarpio nuo 1995 m. sausio 1 d. iki 1995 m. rugpjūčio 31 d.</w:t>
      </w:r>
    </w:p>
    <w:p w14:paraId="45A4F431" w14:textId="669F5528" w:rsidR="00527EB1" w:rsidRPr="00527EB1" w:rsidRDefault="00B82054" w:rsidP="00527EB1">
      <w:pPr>
        <w:ind w:firstLine="567"/>
        <w:jc w:val="both"/>
        <w:rPr>
          <w:rFonts w:asciiTheme="minorHAnsi" w:eastAsia="Calibri" w:hAnsiTheme="minorHAnsi" w:cstheme="minorHAnsi"/>
          <w:color w:val="000000"/>
          <w:sz w:val="22"/>
          <w:szCs w:val="22"/>
          <w:bdr w:val="none" w:sz="0" w:space="0" w:color="auto" w:frame="1"/>
        </w:rPr>
      </w:pPr>
      <w:r>
        <w:rPr>
          <w:rFonts w:asciiTheme="minorHAnsi" w:eastAsia="Calibri" w:hAnsiTheme="minorHAnsi" w:cstheme="minorHAnsi"/>
          <w:color w:val="000000"/>
          <w:sz w:val="22"/>
          <w:szCs w:val="22"/>
          <w:bdr w:val="none" w:sz="0" w:space="0" w:color="auto" w:frame="1"/>
        </w:rPr>
        <w:t>LVA</w:t>
      </w:r>
      <w:r w:rsidR="00527EB1" w:rsidRPr="00527EB1">
        <w:rPr>
          <w:rFonts w:asciiTheme="minorHAnsi" w:eastAsia="Calibri" w:hAnsiTheme="minorHAnsi" w:cstheme="minorHAnsi"/>
          <w:color w:val="000000"/>
          <w:sz w:val="22"/>
          <w:szCs w:val="22"/>
          <w:bdr w:val="none" w:sz="0" w:space="0" w:color="auto" w:frame="1"/>
        </w:rPr>
        <w:t>T</w:t>
      </w:r>
      <w:r>
        <w:rPr>
          <w:rFonts w:asciiTheme="minorHAnsi" w:eastAsia="Calibri" w:hAnsiTheme="minorHAnsi" w:cstheme="minorHAnsi"/>
          <w:color w:val="000000"/>
          <w:sz w:val="22"/>
          <w:szCs w:val="22"/>
          <w:bdr w:val="none" w:sz="0" w:space="0" w:color="auto" w:frame="1"/>
        </w:rPr>
        <w:t xml:space="preserve"> t</w:t>
      </w:r>
      <w:r w:rsidR="00527EB1" w:rsidRPr="00527EB1">
        <w:rPr>
          <w:rFonts w:asciiTheme="minorHAnsi" w:eastAsia="Calibri" w:hAnsiTheme="minorHAnsi" w:cstheme="minorHAnsi"/>
          <w:color w:val="000000"/>
          <w:sz w:val="22"/>
          <w:szCs w:val="22"/>
          <w:bdr w:val="none" w:sz="0" w:space="0" w:color="auto" w:frame="1"/>
        </w:rPr>
        <w:t xml:space="preserve">eisėjų kolegija, susipažinusi su byloje nustatytomis faktinėmis aplinkybėmis, įvertinusi byloje esančius įrodymus ir proceso dalyvių pozicijas, išdėstytas procesiniuose dokumentuose, padarė išvadą, kad pareiškėjos tarnybos laikas nuo 1995 m. sausio 1 d. iki 1995 m. rugpjūčio 31 d. </w:t>
      </w:r>
      <w:r w:rsidR="00B52521">
        <w:rPr>
          <w:rFonts w:asciiTheme="minorHAnsi" w:eastAsia="Calibri" w:hAnsiTheme="minorHAnsi" w:cstheme="minorHAnsi"/>
          <w:color w:val="000000"/>
          <w:sz w:val="22"/>
          <w:szCs w:val="22"/>
          <w:bdr w:val="none" w:sz="0" w:space="0" w:color="auto" w:frame="1"/>
        </w:rPr>
        <w:t xml:space="preserve">ginčyto </w:t>
      </w:r>
      <w:r w:rsidR="00527EB1" w:rsidRPr="00527EB1">
        <w:rPr>
          <w:rFonts w:asciiTheme="minorHAnsi" w:eastAsia="Calibri" w:hAnsiTheme="minorHAnsi" w:cstheme="minorHAnsi"/>
          <w:color w:val="000000"/>
          <w:sz w:val="22"/>
          <w:szCs w:val="22"/>
          <w:bdr w:val="none" w:sz="0" w:space="0" w:color="auto" w:frame="1"/>
        </w:rPr>
        <w:t>sprendimo dalyje įvertintas netinkamai. Dėl to pirmosios instancijos teismas netinkamai įvertino byloje surinktus įrodymus: Lietuvos Respublikos krašto apsaugos ministerijos Aviacijos tarnybos Aviacijos bazės vado 1992 m. gegužės 11</w:t>
      </w:r>
      <w:r w:rsidR="00460EDD">
        <w:rPr>
          <w:rFonts w:asciiTheme="minorHAnsi" w:eastAsia="Calibri" w:hAnsiTheme="minorHAnsi" w:cstheme="minorHAnsi"/>
          <w:color w:val="000000"/>
          <w:sz w:val="22"/>
          <w:szCs w:val="22"/>
          <w:bdr w:val="none" w:sz="0" w:space="0" w:color="auto" w:frame="1"/>
        </w:rPr>
        <w:t> </w:t>
      </w:r>
      <w:r w:rsidR="00527EB1" w:rsidRPr="00527EB1">
        <w:rPr>
          <w:rFonts w:asciiTheme="minorHAnsi" w:eastAsia="Calibri" w:hAnsiTheme="minorHAnsi" w:cstheme="minorHAnsi"/>
          <w:color w:val="000000"/>
          <w:sz w:val="22"/>
          <w:szCs w:val="22"/>
          <w:bdr w:val="none" w:sz="0" w:space="0" w:color="auto" w:frame="1"/>
        </w:rPr>
        <w:t xml:space="preserve">d. įsakymą, kuriuo pareiškėja buvo priimta į Krašto apsaugos ministerijos Aviacijos tarnybos Aviacijos bazės finansinį skyrių į vyr. specialisto pareigas; 1992 m. spalio 9 d. pareiškėjos priesaiką, 1994 m. rugpjūčio 18 d. įsakymą, kuriuo pareiškėja nuo 1994 m. rugpjūčio 21 d. pradėjo vykdyti pareigas, grįžusi iš vaiko priežiūros atostogų; Lietuvos Respublikos krašto apsaugos ministerijos Aviacijos tarnybos vado 1995 m. rugsėjo 1 d. įsakymą, kuriuo pareiškėjai buvo suteiktas karinis eilinio laipsnis. Pažymėta, kad </w:t>
      </w:r>
      <w:r w:rsidR="00527EB1" w:rsidRPr="00527EB1">
        <w:rPr>
          <w:rFonts w:asciiTheme="minorHAnsi" w:eastAsia="Calibri" w:hAnsiTheme="minorHAnsi" w:cstheme="minorHAnsi"/>
          <w:color w:val="000000"/>
          <w:sz w:val="22"/>
          <w:szCs w:val="22"/>
          <w:u w:val="single"/>
          <w:bdr w:val="none" w:sz="0" w:space="0" w:color="auto" w:frame="1"/>
        </w:rPr>
        <w:t>laikotarpis iki 1995 m. sausio 1</w:t>
      </w:r>
      <w:r w:rsidR="00460EDD">
        <w:rPr>
          <w:rFonts w:asciiTheme="minorHAnsi" w:eastAsia="Calibri" w:hAnsiTheme="minorHAnsi" w:cstheme="minorHAnsi"/>
          <w:color w:val="000000"/>
          <w:sz w:val="22"/>
          <w:szCs w:val="22"/>
          <w:u w:val="single"/>
          <w:bdr w:val="none" w:sz="0" w:space="0" w:color="auto" w:frame="1"/>
        </w:rPr>
        <w:t> </w:t>
      </w:r>
      <w:r w:rsidR="00527EB1" w:rsidRPr="00527EB1">
        <w:rPr>
          <w:rFonts w:asciiTheme="minorHAnsi" w:eastAsia="Calibri" w:hAnsiTheme="minorHAnsi" w:cstheme="minorHAnsi"/>
          <w:color w:val="000000"/>
          <w:sz w:val="22"/>
          <w:szCs w:val="22"/>
          <w:u w:val="single"/>
          <w:bdr w:val="none" w:sz="0" w:space="0" w:color="auto" w:frame="1"/>
        </w:rPr>
        <w:t>d. ir laikotarpis po 1995 m. rugpjūčio 31 d. yra įtraukti į ištarnautą laiką, todėl neteisinga dėl kitusio teisinio reguliavimo</w:t>
      </w:r>
      <w:r w:rsidR="00460EDD">
        <w:rPr>
          <w:rFonts w:asciiTheme="minorHAnsi" w:eastAsia="Calibri" w:hAnsiTheme="minorHAnsi" w:cstheme="minorHAnsi"/>
          <w:color w:val="000000"/>
          <w:sz w:val="22"/>
          <w:szCs w:val="22"/>
          <w:u w:val="single"/>
          <w:bdr w:val="none" w:sz="0" w:space="0" w:color="auto" w:frame="1"/>
        </w:rPr>
        <w:t>,</w:t>
      </w:r>
      <w:r w:rsidR="00527EB1" w:rsidRPr="00527EB1">
        <w:rPr>
          <w:rFonts w:asciiTheme="minorHAnsi" w:eastAsia="Calibri" w:hAnsiTheme="minorHAnsi" w:cstheme="minorHAnsi"/>
          <w:color w:val="000000"/>
          <w:sz w:val="22"/>
          <w:szCs w:val="22"/>
          <w:u w:val="single"/>
          <w:bdr w:val="none" w:sz="0" w:space="0" w:color="auto" w:frame="1"/>
        </w:rPr>
        <w:t xml:space="preserve"> pareiškėjos buvimo vaiko priežiūros atostogose</w:t>
      </w:r>
      <w:r w:rsidR="00460EDD">
        <w:rPr>
          <w:rFonts w:asciiTheme="minorHAnsi" w:eastAsia="Calibri" w:hAnsiTheme="minorHAnsi" w:cstheme="minorHAnsi"/>
          <w:color w:val="000000"/>
          <w:sz w:val="22"/>
          <w:szCs w:val="22"/>
          <w:u w:val="single"/>
          <w:bdr w:val="none" w:sz="0" w:space="0" w:color="auto" w:frame="1"/>
        </w:rPr>
        <w:t xml:space="preserve"> ir</w:t>
      </w:r>
      <w:r w:rsidR="00527EB1" w:rsidRPr="00527EB1">
        <w:rPr>
          <w:rFonts w:asciiTheme="minorHAnsi" w:eastAsia="Calibri" w:hAnsiTheme="minorHAnsi" w:cstheme="minorHAnsi"/>
          <w:color w:val="000000"/>
          <w:sz w:val="22"/>
          <w:szCs w:val="22"/>
          <w:u w:val="single"/>
          <w:bdr w:val="none" w:sz="0" w:space="0" w:color="auto" w:frame="1"/>
        </w:rPr>
        <w:t xml:space="preserve"> užtrukusio dokumentų tinkamo įforminimo kitaip vertinti laikotarpį nuo 1995 m. sausio 1 d. iki 1995 m. rugpjūčio 31 d.</w:t>
      </w:r>
      <w:r w:rsidR="00527EB1" w:rsidRPr="00C01FB2">
        <w:rPr>
          <w:rFonts w:asciiTheme="minorHAnsi" w:eastAsia="Calibri" w:hAnsiTheme="minorHAnsi" w:cstheme="minorHAnsi"/>
          <w:color w:val="000000"/>
          <w:sz w:val="22"/>
          <w:szCs w:val="22"/>
          <w:bdr w:val="none" w:sz="0" w:space="0" w:color="auto" w:frame="1"/>
        </w:rPr>
        <w:t xml:space="preserve"> </w:t>
      </w:r>
      <w:r w:rsidR="00527EB1" w:rsidRPr="00527EB1">
        <w:rPr>
          <w:rFonts w:asciiTheme="minorHAnsi" w:eastAsia="Calibri" w:hAnsiTheme="minorHAnsi" w:cstheme="minorHAnsi"/>
          <w:color w:val="000000"/>
          <w:sz w:val="22"/>
          <w:szCs w:val="22"/>
          <w:bdr w:val="none" w:sz="0" w:space="0" w:color="auto" w:frame="1"/>
        </w:rPr>
        <w:t>Tokią išvadą teisėjų kolegija padarė įvertinusi byloje esančių įrodymų visetą, nustatytų faktinių aplinkybių visumą. Šiuo atveju kitoks įrodymų vertinimas, neįvertinus susiklosčiusios pareiškėjos individualios situacijos, prieštarautų teisingumo principui.</w:t>
      </w:r>
    </w:p>
    <w:p w14:paraId="6438C8C0" w14:textId="77777777" w:rsidR="00527EB1" w:rsidRPr="00527EB1" w:rsidRDefault="00527EB1" w:rsidP="00527EB1">
      <w:pPr>
        <w:ind w:firstLine="567"/>
        <w:jc w:val="both"/>
        <w:rPr>
          <w:rFonts w:asciiTheme="minorHAnsi" w:eastAsia="Calibri" w:hAnsiTheme="minorHAnsi" w:cstheme="minorHAnsi"/>
          <w:color w:val="000000"/>
          <w:sz w:val="22"/>
          <w:szCs w:val="22"/>
          <w:bdr w:val="none" w:sz="0" w:space="0" w:color="auto" w:frame="1"/>
        </w:rPr>
      </w:pPr>
      <w:r w:rsidRPr="00527EB1">
        <w:rPr>
          <w:rFonts w:asciiTheme="minorHAnsi" w:eastAsia="Calibri" w:hAnsiTheme="minorHAnsi" w:cstheme="minorHAnsi"/>
          <w:color w:val="000000"/>
          <w:sz w:val="22"/>
          <w:szCs w:val="22"/>
          <w:bdr w:val="none" w:sz="0" w:space="0" w:color="auto" w:frame="1"/>
        </w:rPr>
        <w:t>Pareiškėjos apeliacinis skundas tenkintas, pirmosios instancijos teismo sprendimas panaikintas ir priimtas naujas sprendimas, kuriuo pareiškėjos skundas tenkintas, panaikinant ginčytas sprendimų dalis ir įpareigojant instituciją perskaičiuoti pareiškėjai skirtą pareigūnų ir karių valstybinę pensiją.</w:t>
      </w:r>
    </w:p>
    <w:p w14:paraId="717A5C7E" w14:textId="77777777" w:rsidR="00527EB1" w:rsidRPr="00527EB1" w:rsidRDefault="00527EB1" w:rsidP="00527EB1">
      <w:pPr>
        <w:ind w:firstLine="567"/>
        <w:jc w:val="both"/>
        <w:rPr>
          <w:rFonts w:asciiTheme="minorHAnsi" w:eastAsia="Calibri" w:hAnsiTheme="minorHAnsi" w:cstheme="minorHAnsi"/>
          <w:color w:val="000000"/>
          <w:sz w:val="22"/>
          <w:szCs w:val="22"/>
          <w:bdr w:val="none" w:sz="0" w:space="0" w:color="auto" w:frame="1"/>
        </w:rPr>
      </w:pPr>
    </w:p>
    <w:p w14:paraId="7E3B3971" w14:textId="77777777" w:rsidR="00527EB1" w:rsidRPr="00527EB1" w:rsidRDefault="00527EB1" w:rsidP="00527EB1">
      <w:pPr>
        <w:jc w:val="both"/>
        <w:rPr>
          <w:rFonts w:asciiTheme="minorHAnsi" w:hAnsiTheme="minorHAnsi" w:cstheme="minorHAnsi"/>
          <w:bCs/>
          <w:color w:val="000000"/>
          <w:sz w:val="22"/>
          <w:szCs w:val="22"/>
          <w:shd w:val="clear" w:color="auto" w:fill="FFFFFF"/>
        </w:rPr>
      </w:pPr>
      <w:r w:rsidRPr="00527EB1">
        <w:rPr>
          <w:rFonts w:asciiTheme="minorHAnsi" w:hAnsiTheme="minorHAnsi" w:cstheme="minorHAnsi"/>
          <w:color w:val="000000"/>
          <w:sz w:val="22"/>
          <w:szCs w:val="22"/>
          <w:shd w:val="clear" w:color="auto" w:fill="FFFFFF"/>
        </w:rPr>
        <w:t>2025 m. balandžio 9 d. sprendimas administracinėje byloje</w:t>
      </w:r>
      <w:r w:rsidRPr="00527EB1">
        <w:rPr>
          <w:rFonts w:asciiTheme="minorHAnsi" w:hAnsiTheme="minorHAnsi" w:cstheme="minorHAnsi"/>
          <w:i/>
          <w:iCs/>
          <w:sz w:val="22"/>
          <w:szCs w:val="22"/>
        </w:rPr>
        <w:t xml:space="preserve"> </w:t>
      </w:r>
      <w:r w:rsidRPr="00527EB1">
        <w:rPr>
          <w:rFonts w:asciiTheme="minorHAnsi" w:hAnsiTheme="minorHAnsi" w:cstheme="minorHAnsi"/>
          <w:bCs/>
          <w:color w:val="000000"/>
          <w:sz w:val="22"/>
          <w:szCs w:val="22"/>
          <w:shd w:val="clear" w:color="auto" w:fill="FFFFFF"/>
        </w:rPr>
        <w:t>Nr. eA-727-1047/2025</w:t>
      </w:r>
    </w:p>
    <w:p w14:paraId="4117A501" w14:textId="77777777" w:rsidR="00527EB1" w:rsidRPr="00527EB1" w:rsidRDefault="00527EB1" w:rsidP="00527EB1">
      <w:pPr>
        <w:jc w:val="both"/>
        <w:rPr>
          <w:rFonts w:asciiTheme="minorHAnsi" w:hAnsiTheme="minorHAnsi" w:cstheme="minorHAnsi"/>
          <w:bCs/>
          <w:color w:val="000000"/>
          <w:sz w:val="22"/>
          <w:szCs w:val="22"/>
          <w:shd w:val="clear" w:color="auto" w:fill="FFFFFF"/>
        </w:rPr>
      </w:pPr>
      <w:r w:rsidRPr="00527EB1">
        <w:rPr>
          <w:rFonts w:asciiTheme="minorHAnsi" w:hAnsiTheme="minorHAnsi" w:cstheme="minorHAnsi"/>
          <w:bCs/>
          <w:color w:val="000000"/>
          <w:sz w:val="22"/>
          <w:szCs w:val="22"/>
          <w:shd w:val="clear" w:color="auto" w:fill="FFFFFF"/>
        </w:rPr>
        <w:t>Teisminio proceso Nr. 3-65-3-00454-2023-7</w:t>
      </w:r>
    </w:p>
    <w:p w14:paraId="4321E211" w14:textId="1A92851D" w:rsidR="00527EB1" w:rsidRPr="00527EB1" w:rsidRDefault="00527EB1" w:rsidP="00527EB1">
      <w:pPr>
        <w:jc w:val="both"/>
        <w:rPr>
          <w:rFonts w:asciiTheme="minorHAnsi" w:hAnsiTheme="minorHAnsi" w:cstheme="minorHAnsi"/>
          <w:sz w:val="22"/>
          <w:szCs w:val="22"/>
        </w:rPr>
      </w:pPr>
      <w:hyperlink r:id="rId10" w:history="1">
        <w:r w:rsidRPr="00527EB1">
          <w:rPr>
            <w:rStyle w:val="Hyperlink"/>
            <w:rFonts w:asciiTheme="minorHAnsi" w:hAnsiTheme="minorHAnsi" w:cstheme="minorHAnsi"/>
            <w:sz w:val="22"/>
            <w:szCs w:val="22"/>
            <w:shd w:val="clear" w:color="auto" w:fill="FFFFFF"/>
          </w:rPr>
          <w:t>Prieiga internete</w:t>
        </w:r>
      </w:hyperlink>
    </w:p>
    <w:p w14:paraId="05EA83B1" w14:textId="77777777" w:rsidR="00527EB1" w:rsidRPr="00527EB1" w:rsidRDefault="00527EB1" w:rsidP="00527EB1">
      <w:pPr>
        <w:jc w:val="both"/>
        <w:rPr>
          <w:rFonts w:asciiTheme="minorHAnsi" w:eastAsia="Calibri" w:hAnsiTheme="minorHAnsi" w:cstheme="minorHAnsi"/>
          <w:i/>
          <w:sz w:val="22"/>
          <w:szCs w:val="22"/>
        </w:rPr>
      </w:pPr>
    </w:p>
    <w:p w14:paraId="537B99AA" w14:textId="42B132E9" w:rsidR="00356685" w:rsidRPr="00B74A97" w:rsidRDefault="00356685" w:rsidP="00AB718F">
      <w:pPr>
        <w:pStyle w:val="Apzvalgai1"/>
        <w:rPr>
          <w:rFonts w:asciiTheme="minorHAnsi" w:hAnsiTheme="minorHAnsi" w:cstheme="minorHAnsi"/>
        </w:rPr>
      </w:pPr>
      <w:bookmarkStart w:id="19" w:name="_Toc199503136"/>
      <w:r w:rsidRPr="00B74A97">
        <w:rPr>
          <w:rFonts w:asciiTheme="minorHAnsi" w:hAnsiTheme="minorHAnsi" w:cstheme="minorHAnsi"/>
        </w:rPr>
        <w:t>8. Užsieniečių teisinė padėtis</w:t>
      </w:r>
      <w:bookmarkEnd w:id="19"/>
    </w:p>
    <w:p w14:paraId="4972F6C9" w14:textId="77777777" w:rsidR="00985099" w:rsidRDefault="00985099" w:rsidP="00985099">
      <w:pPr>
        <w:pStyle w:val="NoSpacing"/>
        <w:ind w:firstLine="567"/>
        <w:jc w:val="both"/>
        <w:rPr>
          <w:rFonts w:cstheme="minorHAnsi"/>
          <w:b/>
          <w:bCs/>
          <w:u w:val="single"/>
        </w:rPr>
      </w:pPr>
      <w:r>
        <w:rPr>
          <w:rFonts w:cstheme="minorHAnsi"/>
          <w:b/>
          <w:bCs/>
          <w:u w:val="single"/>
        </w:rPr>
        <w:t>8.3. Trečiųjų šalių piliečių ir jų šeimos narių teisė apsigyventi Lietuvoje</w:t>
      </w:r>
    </w:p>
    <w:p w14:paraId="5A725B0E" w14:textId="7B863871" w:rsidR="00985099" w:rsidRDefault="00985099" w:rsidP="00985099">
      <w:pPr>
        <w:pStyle w:val="NoSpacing"/>
        <w:ind w:firstLine="1134"/>
        <w:jc w:val="both"/>
        <w:rPr>
          <w:rFonts w:cstheme="minorHAnsi"/>
          <w:b/>
          <w:bCs/>
          <w:u w:val="single"/>
        </w:rPr>
      </w:pPr>
      <w:r>
        <w:rPr>
          <w:rFonts w:cstheme="minorHAnsi"/>
          <w:b/>
          <w:bCs/>
          <w:u w:val="single"/>
        </w:rPr>
        <w:t>8.3.1.</w:t>
      </w:r>
      <w:r w:rsidRPr="00DF3F38">
        <w:rPr>
          <w:rFonts w:cstheme="minorHAnsi"/>
          <w:b/>
          <w:bCs/>
          <w:u w:val="single"/>
        </w:rPr>
        <w:t xml:space="preserve"> </w:t>
      </w:r>
      <w:r>
        <w:rPr>
          <w:rFonts w:cstheme="minorHAnsi"/>
          <w:b/>
          <w:bCs/>
          <w:u w:val="single"/>
        </w:rPr>
        <w:t>Trečiųjų šalių piliečių ir jų šeimos narių teisė laikinai gyventi Lietuvoje</w:t>
      </w:r>
    </w:p>
    <w:p w14:paraId="701C0059" w14:textId="77777777" w:rsidR="00985099" w:rsidRDefault="00985099" w:rsidP="00985099">
      <w:pPr>
        <w:pStyle w:val="NoSpacing"/>
        <w:jc w:val="both"/>
        <w:rPr>
          <w:rFonts w:cstheme="minorHAnsi"/>
        </w:rPr>
      </w:pPr>
    </w:p>
    <w:p w14:paraId="712FD3EA" w14:textId="77777777" w:rsidR="007261E1" w:rsidRPr="007261E1" w:rsidRDefault="007261E1" w:rsidP="007261E1">
      <w:pPr>
        <w:jc w:val="both"/>
        <w:outlineLvl w:val="1"/>
        <w:rPr>
          <w:rFonts w:asciiTheme="minorHAnsi" w:eastAsia="Calibri" w:hAnsiTheme="minorHAnsi" w:cstheme="minorHAnsi"/>
          <w:i/>
          <w:sz w:val="22"/>
          <w:szCs w:val="22"/>
        </w:rPr>
      </w:pPr>
      <w:bookmarkStart w:id="20" w:name="_Toc199503137"/>
      <w:r w:rsidRPr="007261E1">
        <w:rPr>
          <w:rFonts w:asciiTheme="minorHAnsi" w:eastAsia="Calibri" w:hAnsiTheme="minorHAnsi" w:cstheme="minorHAnsi"/>
          <w:i/>
          <w:sz w:val="22"/>
          <w:szCs w:val="22"/>
        </w:rPr>
        <w:t>Dėl leidimo laikinai gyventi panaikinimo, kai kita valstybė Šengeno informacinėje sistemoje yra įvedusi perspėjimą dėl draudimo užsieniečiui atvykti ir apsigyventi</w:t>
      </w:r>
      <w:bookmarkEnd w:id="20"/>
    </w:p>
    <w:p w14:paraId="52E1A8A0" w14:textId="77777777" w:rsidR="007261E1" w:rsidRPr="00BF7B99" w:rsidRDefault="007261E1" w:rsidP="007261E1">
      <w:pPr>
        <w:pStyle w:val="NoSpacing"/>
        <w:jc w:val="both"/>
        <w:rPr>
          <w:rFonts w:cstheme="minorHAnsi"/>
        </w:rPr>
      </w:pPr>
    </w:p>
    <w:p w14:paraId="360EDC44" w14:textId="07355071" w:rsidR="007261E1" w:rsidRDefault="007261E1" w:rsidP="007261E1">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uo panaikintas pareiškėjui išduotas leidimas laikinai gyventi Lietuvoje</w:t>
      </w:r>
      <w:r w:rsidRPr="000A73C0">
        <w:rPr>
          <w:rFonts w:cstheme="minorHAnsi"/>
        </w:rPr>
        <w:t>, pagrįstumo ir teisėtumo.</w:t>
      </w:r>
    </w:p>
    <w:p w14:paraId="7324E3E2" w14:textId="219783CF" w:rsidR="007261E1" w:rsidRDefault="007261E1" w:rsidP="007261E1">
      <w:pPr>
        <w:pStyle w:val="NoSpacing"/>
        <w:ind w:firstLine="567"/>
        <w:jc w:val="both"/>
        <w:rPr>
          <w:rFonts w:cstheme="minorHAnsi"/>
        </w:rPr>
      </w:pPr>
      <w:r>
        <w:rPr>
          <w:rFonts w:cstheme="minorHAnsi"/>
        </w:rPr>
        <w:t xml:space="preserve">Pirmosios instancijos teismas atmetė pareiškėjo skundą, konstatavęs, kad </w:t>
      </w:r>
      <w:r w:rsidRPr="00AD3CCA">
        <w:rPr>
          <w:rFonts w:cstheme="minorHAnsi"/>
        </w:rPr>
        <w:t xml:space="preserve">kita Šengeno valstybė (Vokietijos Federacija) </w:t>
      </w:r>
      <w:r>
        <w:rPr>
          <w:rFonts w:cstheme="minorHAnsi"/>
        </w:rPr>
        <w:t xml:space="preserve">dėl nustatyto nelegalaus pareiškėjo darbo šioje valstybėje </w:t>
      </w:r>
      <w:r w:rsidRPr="00AD3CCA">
        <w:rPr>
          <w:rFonts w:cstheme="minorHAnsi"/>
        </w:rPr>
        <w:t xml:space="preserve">yra įvedusi į </w:t>
      </w:r>
      <w:r>
        <w:rPr>
          <w:rFonts w:cstheme="minorHAnsi"/>
        </w:rPr>
        <w:t xml:space="preserve">Šengeno informacinę sistemą (toliau – </w:t>
      </w:r>
      <w:r w:rsidRPr="00AD3CCA">
        <w:rPr>
          <w:rFonts w:cstheme="minorHAnsi"/>
        </w:rPr>
        <w:t>SIS</w:t>
      </w:r>
      <w:r>
        <w:rPr>
          <w:rFonts w:cstheme="minorHAnsi"/>
        </w:rPr>
        <w:t>)</w:t>
      </w:r>
      <w:r w:rsidRPr="00AD3CCA">
        <w:rPr>
          <w:rFonts w:cstheme="minorHAnsi"/>
        </w:rPr>
        <w:t xml:space="preserve"> perspėjimą dėl draudimo pareiškėjui atvykti ir apsigyventi</w:t>
      </w:r>
      <w:r>
        <w:rPr>
          <w:rFonts w:cstheme="minorHAnsi"/>
        </w:rPr>
        <w:t>.</w:t>
      </w:r>
    </w:p>
    <w:p w14:paraId="6947445E" w14:textId="5780DAEE" w:rsidR="007261E1" w:rsidRDefault="007261E1" w:rsidP="007261E1">
      <w:pPr>
        <w:pStyle w:val="NoSpacing"/>
        <w:ind w:firstLine="567"/>
        <w:jc w:val="both"/>
        <w:rPr>
          <w:rFonts w:cstheme="minorHAnsi"/>
        </w:rPr>
      </w:pPr>
      <w:r>
        <w:rPr>
          <w:rFonts w:cstheme="minorHAnsi"/>
        </w:rPr>
        <w:lastRenderedPageBreak/>
        <w:t>Įvertinęs bylai aktualų Šengeno konvencijoje</w:t>
      </w:r>
      <w:r>
        <w:rPr>
          <w:rStyle w:val="FootnoteReference"/>
          <w:rFonts w:cstheme="minorHAnsi"/>
        </w:rPr>
        <w:footnoteReference w:id="3"/>
      </w:r>
      <w:r w:rsidRPr="00AD3CCA">
        <w:rPr>
          <w:rFonts w:cstheme="minorHAnsi"/>
        </w:rPr>
        <w:t>, Reglamente 2018/1861</w:t>
      </w:r>
      <w:r>
        <w:rPr>
          <w:rStyle w:val="FootnoteReference"/>
          <w:rFonts w:cstheme="minorHAnsi"/>
        </w:rPr>
        <w:footnoteReference w:id="4"/>
      </w:r>
      <w:r w:rsidRPr="00AD3CCA">
        <w:rPr>
          <w:rFonts w:cstheme="minorHAnsi"/>
        </w:rPr>
        <w:t xml:space="preserve"> bei </w:t>
      </w:r>
      <w:r w:rsidRPr="003A534E">
        <w:rPr>
          <w:rFonts w:cstheme="minorHAnsi"/>
        </w:rPr>
        <w:t>UTPĮ</w:t>
      </w:r>
      <w:r>
        <w:rPr>
          <w:rFonts w:cstheme="minorHAnsi"/>
        </w:rPr>
        <w:t xml:space="preserve"> įtvirtintą reglamentavimą ir su juo susijusią ESTT praktiką, LVAT pažymėjo, jog </w:t>
      </w:r>
      <w:r>
        <w:rPr>
          <w:rFonts w:cstheme="minorHAnsi"/>
          <w:u w:val="single"/>
        </w:rPr>
        <w:t>p</w:t>
      </w:r>
      <w:r w:rsidRPr="00AA33E5">
        <w:rPr>
          <w:rFonts w:cstheme="minorHAnsi"/>
          <w:u w:val="single"/>
        </w:rPr>
        <w:t>erspėjimą į SIS įvedančios ir leidimą laikinai gyventi išduodančios valstybių narių teisių ir pareigų apimtis skiriasi priklausomai nuo to, koks klausimas konkrečiu atveju yra sprendžiamas – leidimo laikinai gyventi išdavimas asmeniui, dėl kurio yra įvestas perspėjimas į SIS, ar asmeniui anksčiau išduoto leidimo laikinai gyventi panaikinimas, kai yra svarstoma dėl perspėjimo į SIS įvedimo arba kai toks perspėjimas yra įvedamas. Šios situacijos yra aiškiai atribotos, atskirai apibrėžiant ne tik aplinkybes, kurias valstybė narė privalo įvertinti, išduodama ar naikindama leidimą laikinai gyventi, bet ir konsultavimosi procedūros seką bei atitinkamas valstybių narių pareigas šioje procedūroje</w:t>
      </w:r>
      <w:r w:rsidRPr="00AA33E5">
        <w:rPr>
          <w:rFonts w:cstheme="minorHAnsi"/>
        </w:rPr>
        <w:t>.</w:t>
      </w:r>
    </w:p>
    <w:p w14:paraId="6E16C04F" w14:textId="11F66B8F" w:rsidR="007261E1" w:rsidRDefault="007261E1" w:rsidP="28FC6351">
      <w:pPr>
        <w:pStyle w:val="NoSpacing"/>
        <w:ind w:firstLine="567"/>
        <w:jc w:val="both"/>
        <w:rPr>
          <w:rFonts w:cstheme="minorBidi"/>
        </w:rPr>
      </w:pPr>
      <w:r w:rsidRPr="28FC6351">
        <w:rPr>
          <w:rFonts w:cstheme="minorBidi"/>
          <w:u w:val="single"/>
        </w:rPr>
        <w:t>Sprendžiant dėl asmeniui išduoto leidimo laikinai gyventi panaikinimo, kai yra svarstoma dėl perspėjimo į SIS įvedimo arba kai toks perspėjimas yra įvedamas, vertinama, ar egzistuoja priežastys, sudarančios pagrindą panaikinti minėtą leidimą, bei tai, ar šios priežastys yra pakankamos</w:t>
      </w:r>
      <w:r w:rsidRPr="28FC6351">
        <w:rPr>
          <w:rFonts w:cstheme="minorBidi"/>
        </w:rPr>
        <w:t>. Vertinimas „ar egzistuoja pakankamos priežastys panaikinti leidimą“ savo apimtimi ir esme yra platesnio pobūdžio ir apima tiek tokio leidimo išdavimo konkrečiam asmeniui pagrindų, tiek aplinkybių, susiklosčiusių po leidimo laikinai gyventi išdavimo (</w:t>
      </w:r>
      <w:r w:rsidRPr="28FC6351">
        <w:rPr>
          <w:rFonts w:cstheme="minorBidi"/>
          <w:i/>
          <w:iCs/>
        </w:rPr>
        <w:t>inter alia</w:t>
      </w:r>
      <w:r w:rsidRPr="28FC6351">
        <w:rPr>
          <w:rFonts w:cstheme="minorBidi"/>
        </w:rPr>
        <w:t xml:space="preserve"> (be kita ko) visų grėsmių viešajai tvarkai ar visuomenės saugumui, kurias gali kelti atitinkamo trečiosios šalies piliečio buvimas valstybių narių teritorijoje)</w:t>
      </w:r>
      <w:r w:rsidR="6FE66D1B" w:rsidRPr="28FC6351">
        <w:rPr>
          <w:rFonts w:cstheme="minorBidi"/>
        </w:rPr>
        <w:t>,</w:t>
      </w:r>
      <w:r w:rsidRPr="28FC6351">
        <w:rPr>
          <w:rFonts w:cstheme="minorBidi"/>
        </w:rPr>
        <w:t xml:space="preserve"> vertinimą.</w:t>
      </w:r>
      <w:r>
        <w:t xml:space="preserve"> </w:t>
      </w:r>
      <w:r w:rsidRPr="28FC6351">
        <w:rPr>
          <w:rFonts w:cstheme="minorBidi"/>
          <w:u w:val="single"/>
        </w:rPr>
        <w:t>Galutinį sprendimą dėl leidimo gyventi (ne)naikinimo, įvertinusi su individualiu atveju susijusią reikšmingą informaciją, priima leidimą išduodanti valstybė narė. Atitinkamai, jei leidimą gyventi šalyje išdavusi valstybė narė mano, kad leidimą reikia palikti galioti, perspėjimą į SIS įvedusiai valstybei narei kyla aiški, tiksli ir besąlygiška pareiga atšaukti tokį perspėjimą</w:t>
      </w:r>
      <w:r w:rsidRPr="28FC6351">
        <w:rPr>
          <w:rFonts w:cstheme="minorBidi"/>
        </w:rPr>
        <w:t>.</w:t>
      </w:r>
    </w:p>
    <w:p w14:paraId="79DC81B2" w14:textId="77777777" w:rsidR="007261E1" w:rsidRDefault="007261E1" w:rsidP="007261E1">
      <w:pPr>
        <w:pStyle w:val="NoSpacing"/>
        <w:ind w:firstLine="567"/>
        <w:jc w:val="both"/>
        <w:rPr>
          <w:rFonts w:cstheme="minorHAnsi"/>
        </w:rPr>
      </w:pPr>
      <w:r w:rsidRPr="00881632">
        <w:rPr>
          <w:rFonts w:cstheme="minorHAnsi"/>
          <w:u w:val="single"/>
        </w:rPr>
        <w:t>Perspėjimo į SIS įvedimas ne tik savaime nėra laikomas pagrindu panaikinti trečiosios šalies piliečiui išduotą leidimą laikinai gyventi, bet tuo pačiu reiškia, jog sprendimas dėl leidimo gyventi panaikinimo tokiu atveju negali būti priimtas automatiškai</w:t>
      </w:r>
      <w:r w:rsidRPr="007C3887">
        <w:rPr>
          <w:rFonts w:cstheme="minorHAnsi"/>
        </w:rPr>
        <w:t>, jis turi būti individualizuotas. Sprendimą dėl leidimo gyventi panaikinimo priimanti kompetentinga nacionalinė institucija turi surinkti ir patikrinti šiam sprendimui priimti reikšmingą informaciją – su perspėjimu SIS susietą papildomą informaciją, kuria keičiamasi per SIRENE biurus, atsižvelgti į perspėjimą davusios valstybės narės interesus, taip pat konkretaus leidimo gyventi išdavimo pagrindus, grėsmes viešajai tvarkai ar visuomenės saugumui, kurias gali kelti atitinkamo trečiosios šalies piliečio buvimas valstybių narių teritorijoje, kitą reikšmingą informaciją bei įvertinti, ar ši informacija yra pagrindas spręsti, jog egzistuoja pakankamos priežastys panaikinti tokiam asmeniui išduotą leidimą gyventi.</w:t>
      </w:r>
    </w:p>
    <w:p w14:paraId="1B687231" w14:textId="2F00BA0E" w:rsidR="007261E1" w:rsidRDefault="007261E1" w:rsidP="007261E1">
      <w:pPr>
        <w:pStyle w:val="NoSpacing"/>
        <w:ind w:firstLine="567"/>
        <w:jc w:val="both"/>
        <w:rPr>
          <w:rFonts w:cstheme="minorHAnsi"/>
        </w:rPr>
      </w:pPr>
      <w:r>
        <w:rPr>
          <w:rFonts w:cstheme="minorHAnsi"/>
        </w:rPr>
        <w:t xml:space="preserve">Byloje nustatyta, kad </w:t>
      </w:r>
      <w:r w:rsidRPr="00DB6381">
        <w:rPr>
          <w:rFonts w:cstheme="minorHAnsi"/>
        </w:rPr>
        <w:t>kita Šengeno valstybė (Vokietijos Federacija) įvedė perspėjimą į SIS po to, kai Lietuvos Respublika jau buvo išdavusi pareiškėjui leidimą laikinai gyventi</w:t>
      </w:r>
      <w:r>
        <w:rPr>
          <w:rFonts w:cstheme="minorHAnsi"/>
        </w:rPr>
        <w:t xml:space="preserve">, todėl </w:t>
      </w:r>
      <w:r w:rsidRPr="00DB6381">
        <w:rPr>
          <w:rFonts w:cstheme="minorHAnsi"/>
        </w:rPr>
        <w:t>privalomą konsultavimosi procedūrą turėjo inicijuoti Vokietijos Federacija</w:t>
      </w:r>
      <w:r>
        <w:rPr>
          <w:rFonts w:cstheme="minorHAnsi"/>
        </w:rPr>
        <w:t xml:space="preserve">. Byloje surinkti duomenys patvirtino tinkamą konsultavimosi procedūros vykdymą. Vis dėlto LVAT atkreipė dėmesį, kad </w:t>
      </w:r>
      <w:r w:rsidRPr="00362D7F">
        <w:rPr>
          <w:rFonts w:cstheme="minorHAnsi"/>
          <w:u w:val="single"/>
        </w:rPr>
        <w:t>privalomos konsultavimosi procedūros tikslas – keistis su kita Šengeno valstybe su trečiosios šalies piliečiu, turinčiu teisę teisėtai gyventi valstybių narių teritorijoje, susijusia informacija, o ne tokiam asmeniui išduoto leidimo laikinai gyventi panaikinimas</w:t>
      </w:r>
      <w:r w:rsidRPr="00E131DE">
        <w:rPr>
          <w:rFonts w:cstheme="minorHAnsi"/>
        </w:rPr>
        <w:t>.</w:t>
      </w:r>
    </w:p>
    <w:p w14:paraId="10F18444" w14:textId="5B43F015" w:rsidR="007261E1" w:rsidRDefault="007261E1" w:rsidP="007261E1">
      <w:pPr>
        <w:pStyle w:val="NoSpacing"/>
        <w:ind w:firstLine="567"/>
        <w:jc w:val="both"/>
        <w:rPr>
          <w:rFonts w:cstheme="minorHAnsi"/>
        </w:rPr>
      </w:pPr>
      <w:r>
        <w:rPr>
          <w:rFonts w:cstheme="minorHAnsi"/>
        </w:rPr>
        <w:t xml:space="preserve">Įvertinęs </w:t>
      </w:r>
      <w:r w:rsidR="00EE0C8A">
        <w:rPr>
          <w:rFonts w:cstheme="minorHAnsi"/>
        </w:rPr>
        <w:t xml:space="preserve">byloje </w:t>
      </w:r>
      <w:r>
        <w:rPr>
          <w:rFonts w:cstheme="minorHAnsi"/>
        </w:rPr>
        <w:t>ginč</w:t>
      </w:r>
      <w:r w:rsidR="00EE0C8A">
        <w:rPr>
          <w:rFonts w:cstheme="minorHAnsi"/>
        </w:rPr>
        <w:t>yt</w:t>
      </w:r>
      <w:r>
        <w:rPr>
          <w:rFonts w:cstheme="minorHAnsi"/>
        </w:rPr>
        <w:t xml:space="preserve">o MD sprendimo turinį, LVAT konstatavo, jog atsakovas </w:t>
      </w:r>
      <w:r w:rsidRPr="00BD74CA">
        <w:rPr>
          <w:rFonts w:cstheme="minorHAnsi"/>
        </w:rPr>
        <w:t xml:space="preserve">neatliko grėsmių viešajai tvarkai ar visuomenės saugumui, kurias gali kelti pareiškėjo buvimas valstybių narių teritorijoje, kitų reikšmingų aplinkybių vertinimo, taip pat nepasisakė dėl nustatytų priežasčių, sudarančių pagrindą panaikinti pareiškėjui išduotą leidimą gyventi, pakankamumo (proporcingumo), be kita ko, jų derėjimo su </w:t>
      </w:r>
      <w:r>
        <w:rPr>
          <w:rFonts w:cstheme="minorHAnsi"/>
        </w:rPr>
        <w:t>Europos Sąjungos pagrindinių teisių c</w:t>
      </w:r>
      <w:r w:rsidRPr="00BD74CA">
        <w:rPr>
          <w:rFonts w:cstheme="minorHAnsi"/>
        </w:rPr>
        <w:t xml:space="preserve">hartijoje įtvirtintomis teisėmis, nors tai daryti </w:t>
      </w:r>
      <w:r>
        <w:rPr>
          <w:rFonts w:cstheme="minorHAnsi"/>
        </w:rPr>
        <w:t>MD</w:t>
      </w:r>
      <w:r w:rsidRPr="00BD74CA">
        <w:rPr>
          <w:rFonts w:cstheme="minorHAnsi"/>
        </w:rPr>
        <w:t xml:space="preserve"> įpareigoja </w:t>
      </w:r>
      <w:r>
        <w:rPr>
          <w:rFonts w:cstheme="minorHAnsi"/>
        </w:rPr>
        <w:t>Šengeno konvencijos</w:t>
      </w:r>
      <w:r w:rsidRPr="00BD74CA">
        <w:rPr>
          <w:rFonts w:cstheme="minorHAnsi"/>
        </w:rPr>
        <w:t xml:space="preserve"> bei Reglamento nuostatos. </w:t>
      </w:r>
      <w:r>
        <w:rPr>
          <w:rFonts w:cstheme="minorHAnsi"/>
        </w:rPr>
        <w:t xml:space="preserve">Šiuo aspektu byloje taip pat akcentuota, kad </w:t>
      </w:r>
      <w:r w:rsidRPr="00EB6935">
        <w:rPr>
          <w:rFonts w:cstheme="minorHAnsi"/>
          <w:u w:val="single"/>
        </w:rPr>
        <w:t>svarstydamas, ar yra pakankamai priežasčių panaikinti leidimą gyventi, MD turi surinkti ir įvertinti visą tokiam sprendimui priimti reikšmingą informaciją, kuri, atsižvelgiant į kiekvieną individualią situaciją, nebūtinai apsiriboja vien tik valstybių narių konsultavimosi procedūros metu gautais duomenimis</w:t>
      </w:r>
      <w:r w:rsidRPr="00BD74CA">
        <w:rPr>
          <w:rFonts w:cstheme="minorHAnsi"/>
        </w:rPr>
        <w:t xml:space="preserve">. Esant poreikiui, </w:t>
      </w:r>
      <w:r>
        <w:rPr>
          <w:rFonts w:cstheme="minorHAnsi"/>
        </w:rPr>
        <w:t>MD t</w:t>
      </w:r>
      <w:r w:rsidRPr="00BD74CA">
        <w:rPr>
          <w:rFonts w:cstheme="minorHAnsi"/>
        </w:rPr>
        <w:t>urėtų kreiptis į kitas institucijas ar asmenis, įskaitant asmenį, kuriam išduotas leidimas gyventi, dėl informacijos, reikalingos priimti sprendimą, pateikimo.</w:t>
      </w:r>
    </w:p>
    <w:p w14:paraId="1C6BDC9A" w14:textId="0A1E4BB6" w:rsidR="007261E1" w:rsidRDefault="007261E1" w:rsidP="007261E1">
      <w:pPr>
        <w:pStyle w:val="NoSpacing"/>
        <w:ind w:firstLine="567"/>
        <w:jc w:val="both"/>
        <w:rPr>
          <w:rFonts w:cstheme="minorHAnsi"/>
        </w:rPr>
      </w:pPr>
      <w:r>
        <w:rPr>
          <w:rFonts w:cstheme="minorHAnsi"/>
        </w:rPr>
        <w:t>LVAT tenkino pareiškėjo apeliacinį skundą – panaikino pirmosios instancijos teismo sprendimą ir priėmė naują sprendimą, kuriuo panaikino ginč</w:t>
      </w:r>
      <w:r w:rsidR="00B5006D">
        <w:rPr>
          <w:rFonts w:cstheme="minorHAnsi"/>
        </w:rPr>
        <w:t>yt</w:t>
      </w:r>
      <w:r>
        <w:rPr>
          <w:rFonts w:cstheme="minorHAnsi"/>
        </w:rPr>
        <w:t>ą MD sprendimą.</w:t>
      </w:r>
    </w:p>
    <w:p w14:paraId="70FAC6C0" w14:textId="77777777" w:rsidR="007261E1" w:rsidRDefault="007261E1" w:rsidP="007261E1">
      <w:pPr>
        <w:pStyle w:val="NoSpacing"/>
        <w:jc w:val="both"/>
        <w:rPr>
          <w:rFonts w:cstheme="minorHAnsi"/>
        </w:rPr>
      </w:pPr>
    </w:p>
    <w:p w14:paraId="5FA7A68A" w14:textId="77777777" w:rsidR="007261E1" w:rsidRPr="00E81924" w:rsidRDefault="007261E1" w:rsidP="007261E1">
      <w:pPr>
        <w:pStyle w:val="NoSpacing"/>
        <w:jc w:val="both"/>
        <w:rPr>
          <w:rFonts w:cstheme="minorHAnsi"/>
        </w:rPr>
      </w:pPr>
      <w:r>
        <w:rPr>
          <w:rFonts w:cstheme="minorHAnsi"/>
        </w:rPr>
        <w:t xml:space="preserve">Išplėstinės teisėjų kolegijos </w:t>
      </w:r>
      <w:r w:rsidRPr="00E432F5">
        <w:rPr>
          <w:rFonts w:cstheme="minorHAnsi"/>
        </w:rPr>
        <w:t xml:space="preserve">2025 m. </w:t>
      </w:r>
      <w:r>
        <w:rPr>
          <w:rFonts w:cstheme="minorHAnsi"/>
        </w:rPr>
        <w:t>balandžio 23</w:t>
      </w:r>
      <w:r w:rsidRPr="00E432F5">
        <w:rPr>
          <w:rFonts w:cstheme="minorHAnsi"/>
        </w:rPr>
        <w:t xml:space="preserve"> d.</w:t>
      </w:r>
      <w:r>
        <w:rPr>
          <w:rFonts w:cstheme="minorHAnsi"/>
        </w:rPr>
        <w:t xml:space="preserve"> sprendimas </w:t>
      </w:r>
      <w:r w:rsidRPr="00E81924">
        <w:rPr>
          <w:rFonts w:cstheme="minorHAnsi"/>
        </w:rPr>
        <w:t xml:space="preserve">administracinėje byloje Nr. </w:t>
      </w:r>
      <w:r w:rsidRPr="00BA4EEA">
        <w:rPr>
          <w:rFonts w:cstheme="minorHAnsi"/>
        </w:rPr>
        <w:t>eA-1061-789/2025</w:t>
      </w:r>
    </w:p>
    <w:p w14:paraId="3DACE076" w14:textId="77777777" w:rsidR="007261E1" w:rsidRPr="00E81924" w:rsidRDefault="007261E1" w:rsidP="007261E1">
      <w:pPr>
        <w:pStyle w:val="NoSpacing"/>
        <w:jc w:val="both"/>
        <w:rPr>
          <w:rFonts w:cstheme="minorHAnsi"/>
        </w:rPr>
      </w:pPr>
      <w:r w:rsidRPr="00E81924">
        <w:rPr>
          <w:rFonts w:cstheme="minorHAnsi"/>
        </w:rPr>
        <w:lastRenderedPageBreak/>
        <w:t xml:space="preserve">Teisminio proceso Nr. </w:t>
      </w:r>
      <w:r w:rsidRPr="00BA4EEA">
        <w:rPr>
          <w:rFonts w:cstheme="minorHAnsi"/>
        </w:rPr>
        <w:t>3-61-3-04603-2024-4</w:t>
      </w:r>
    </w:p>
    <w:p w14:paraId="2C2BF106" w14:textId="77777777" w:rsidR="007261E1" w:rsidRPr="00340792" w:rsidRDefault="007261E1" w:rsidP="007261E1">
      <w:pPr>
        <w:pStyle w:val="NoSpacing"/>
        <w:jc w:val="both"/>
        <w:rPr>
          <w:rStyle w:val="Hyperlink"/>
          <w:rFonts w:cstheme="minorHAnsi"/>
        </w:rPr>
      </w:pPr>
      <w:r>
        <w:rPr>
          <w:rFonts w:cstheme="minorHAnsi"/>
        </w:rPr>
        <w:fldChar w:fldCharType="begin"/>
      </w:r>
      <w:r>
        <w:rPr>
          <w:rFonts w:cstheme="minorHAnsi"/>
        </w:rPr>
        <w:instrText>HYPERLINK "https://www.e-tar.lt/portal/lt/legalAct/4155089425dc11f08fdabd4950271e2c"</w:instrText>
      </w:r>
      <w:r>
        <w:rPr>
          <w:rFonts w:cstheme="minorHAnsi"/>
        </w:rPr>
      </w:r>
      <w:r>
        <w:rPr>
          <w:rFonts w:cstheme="minorHAnsi"/>
        </w:rPr>
        <w:fldChar w:fldCharType="separate"/>
      </w:r>
      <w:r w:rsidRPr="00340792">
        <w:rPr>
          <w:rStyle w:val="Hyperlink"/>
          <w:rFonts w:cstheme="minorHAnsi"/>
        </w:rPr>
        <w:t>Prieiga internete</w:t>
      </w:r>
    </w:p>
    <w:p w14:paraId="2CCA4B12" w14:textId="77777777" w:rsidR="007261E1" w:rsidRDefault="007261E1" w:rsidP="007261E1">
      <w:pPr>
        <w:pStyle w:val="NoSpacing"/>
        <w:jc w:val="both"/>
        <w:rPr>
          <w:rFonts w:cstheme="minorHAnsi"/>
        </w:rPr>
      </w:pPr>
      <w:r>
        <w:rPr>
          <w:rFonts w:cstheme="minorHAnsi"/>
        </w:rPr>
        <w:fldChar w:fldCharType="end"/>
      </w:r>
    </w:p>
    <w:p w14:paraId="3E61F134" w14:textId="0E3400E2" w:rsidR="00985099" w:rsidRPr="000A4053" w:rsidRDefault="00985099" w:rsidP="00985099">
      <w:pPr>
        <w:pStyle w:val="NoSpacing"/>
        <w:ind w:firstLine="567"/>
        <w:jc w:val="both"/>
        <w:rPr>
          <w:rFonts w:cstheme="minorHAnsi"/>
          <w:b/>
          <w:bCs/>
          <w:u w:val="single"/>
        </w:rPr>
      </w:pPr>
      <w:r w:rsidRPr="00073A33">
        <w:rPr>
          <w:rFonts w:cstheme="minorHAnsi"/>
          <w:b/>
          <w:bCs/>
          <w:u w:val="single"/>
        </w:rPr>
        <w:t>8.6. Užsieniečių išvykimas iš Lietuvos Respublikos</w:t>
      </w:r>
    </w:p>
    <w:p w14:paraId="76C48E20" w14:textId="77777777" w:rsidR="00237711" w:rsidRDefault="00237711" w:rsidP="00237711">
      <w:pPr>
        <w:pStyle w:val="NoSpacing"/>
        <w:ind w:firstLine="1134"/>
        <w:jc w:val="both"/>
        <w:rPr>
          <w:rFonts w:cstheme="minorHAnsi"/>
          <w:b/>
          <w:bCs/>
          <w:u w:val="single"/>
        </w:rPr>
      </w:pPr>
      <w:r>
        <w:rPr>
          <w:rFonts w:cstheme="minorHAnsi"/>
          <w:b/>
          <w:bCs/>
          <w:u w:val="single"/>
        </w:rPr>
        <w:t>8.6.3. Užsieniečių išsiuntimas</w:t>
      </w:r>
    </w:p>
    <w:p w14:paraId="6D8D570A" w14:textId="77777777" w:rsidR="00237711" w:rsidRDefault="00237711" w:rsidP="00237711">
      <w:pPr>
        <w:pStyle w:val="NoSpacing"/>
        <w:jc w:val="both"/>
        <w:rPr>
          <w:rFonts w:cstheme="minorHAnsi"/>
          <w:b/>
          <w:bCs/>
          <w:u w:val="single"/>
        </w:rPr>
      </w:pPr>
    </w:p>
    <w:p w14:paraId="6250FD50" w14:textId="77777777" w:rsidR="00237711" w:rsidRPr="00237711" w:rsidRDefault="00237711" w:rsidP="00237711">
      <w:pPr>
        <w:jc w:val="both"/>
        <w:outlineLvl w:val="1"/>
        <w:rPr>
          <w:rFonts w:asciiTheme="minorHAnsi" w:eastAsia="Calibri" w:hAnsiTheme="minorHAnsi" w:cstheme="minorHAnsi"/>
          <w:i/>
          <w:sz w:val="22"/>
          <w:szCs w:val="22"/>
        </w:rPr>
      </w:pPr>
      <w:bookmarkStart w:id="21" w:name="_Toc199503138"/>
      <w:r w:rsidRPr="00237711">
        <w:rPr>
          <w:rFonts w:asciiTheme="minorHAnsi" w:eastAsia="Calibri" w:hAnsiTheme="minorHAnsi" w:cstheme="minorHAnsi"/>
          <w:i/>
          <w:sz w:val="22"/>
          <w:szCs w:val="22"/>
        </w:rPr>
        <w:t>Dėl pareigos sudaryti sąlygas užsieniečiui išvykti iš Lietuvos savanoriškai</w:t>
      </w:r>
      <w:bookmarkEnd w:id="21"/>
    </w:p>
    <w:p w14:paraId="5812C871" w14:textId="77777777" w:rsidR="00237711" w:rsidRPr="00BF7B99" w:rsidRDefault="00237711" w:rsidP="00237711">
      <w:pPr>
        <w:pStyle w:val="NoSpacing"/>
        <w:jc w:val="both"/>
        <w:rPr>
          <w:rFonts w:cstheme="minorHAnsi"/>
        </w:rPr>
      </w:pPr>
    </w:p>
    <w:p w14:paraId="63A083D8" w14:textId="46EE5399" w:rsidR="00237711" w:rsidRDefault="00237711" w:rsidP="00237711">
      <w:pPr>
        <w:pStyle w:val="NoSpacing"/>
        <w:ind w:firstLine="567"/>
        <w:jc w:val="both"/>
        <w:rPr>
          <w:rFonts w:cstheme="minorHAnsi"/>
        </w:rPr>
      </w:pPr>
      <w:r w:rsidRPr="000A73C0">
        <w:rPr>
          <w:rFonts w:cstheme="minorHAnsi"/>
        </w:rPr>
        <w:t xml:space="preserve">Byloje nagrinėtas ginčas, kilęs dėl </w:t>
      </w:r>
      <w:r>
        <w:rPr>
          <w:rFonts w:cstheme="minorHAnsi"/>
        </w:rPr>
        <w:t xml:space="preserve">VSAT sprendimo </w:t>
      </w:r>
      <w:r w:rsidRPr="004A4E27">
        <w:rPr>
          <w:rFonts w:cstheme="minorHAnsi"/>
        </w:rPr>
        <w:t>išsiųsti pareiškėją iš Lietuvos Respublikos</w:t>
      </w:r>
      <w:r>
        <w:rPr>
          <w:rFonts w:cstheme="minorHAnsi"/>
        </w:rPr>
        <w:t xml:space="preserve">, </w:t>
      </w:r>
      <w:r w:rsidRPr="00B71435">
        <w:rPr>
          <w:rFonts w:cstheme="minorHAnsi"/>
        </w:rPr>
        <w:t>uždrausti jam atvykti į Lietuvos Respubliką 60 mėnesių</w:t>
      </w:r>
      <w:r>
        <w:rPr>
          <w:rFonts w:cstheme="minorHAnsi"/>
        </w:rPr>
        <w:t xml:space="preserve"> bei įvesti dėl to perspėjimą į Šengeno informacinę sistemą, pagrįstumo ir teisėtumo. Ginč</w:t>
      </w:r>
      <w:r w:rsidR="00B70CF8">
        <w:rPr>
          <w:rFonts w:cstheme="minorHAnsi"/>
        </w:rPr>
        <w:t>yt</w:t>
      </w:r>
      <w:r>
        <w:rPr>
          <w:rFonts w:cstheme="minorHAnsi"/>
        </w:rPr>
        <w:t>as sprendimas priimtas, vadovaujantis UTPĮ 126 straipsnio 1 dalies 2 ir 3</w:t>
      </w:r>
      <w:r w:rsidR="00B70CF8">
        <w:rPr>
          <w:rFonts w:cstheme="minorHAnsi"/>
        </w:rPr>
        <w:t> </w:t>
      </w:r>
      <w:r>
        <w:rPr>
          <w:rFonts w:cstheme="minorHAnsi"/>
        </w:rPr>
        <w:t>punktais</w:t>
      </w:r>
      <w:r>
        <w:rPr>
          <w:rStyle w:val="FootnoteReference"/>
          <w:rFonts w:cstheme="minorHAnsi"/>
        </w:rPr>
        <w:footnoteReference w:id="5"/>
      </w:r>
      <w:r>
        <w:rPr>
          <w:rFonts w:cstheme="minorHAnsi"/>
        </w:rPr>
        <w:t>.</w:t>
      </w:r>
    </w:p>
    <w:p w14:paraId="1FEEEBC8" w14:textId="752A4715" w:rsidR="00237711" w:rsidRDefault="00237711" w:rsidP="00237711">
      <w:pPr>
        <w:pStyle w:val="NoSpacing"/>
        <w:ind w:firstLine="567"/>
        <w:jc w:val="both"/>
        <w:rPr>
          <w:rFonts w:cstheme="minorHAnsi"/>
        </w:rPr>
      </w:pPr>
      <w:r>
        <w:rPr>
          <w:rFonts w:cstheme="minorHAnsi"/>
        </w:rPr>
        <w:t xml:space="preserve">Pirmosios instancijos teismas atmetė pareiškėjo skundą, konstatavęs, kad </w:t>
      </w:r>
      <w:r w:rsidRPr="00B71435">
        <w:rPr>
          <w:rFonts w:cstheme="minorHAnsi"/>
        </w:rPr>
        <w:t>ginč</w:t>
      </w:r>
      <w:r w:rsidR="002E61AA">
        <w:rPr>
          <w:rFonts w:cstheme="minorHAnsi"/>
        </w:rPr>
        <w:t>o</w:t>
      </w:r>
      <w:r w:rsidRPr="00B71435">
        <w:rPr>
          <w:rFonts w:cstheme="minorHAnsi"/>
        </w:rPr>
        <w:t xml:space="preserve"> </w:t>
      </w:r>
      <w:r>
        <w:rPr>
          <w:rFonts w:cstheme="minorHAnsi"/>
        </w:rPr>
        <w:t>s</w:t>
      </w:r>
      <w:r w:rsidRPr="00B71435">
        <w:rPr>
          <w:rFonts w:cstheme="minorHAnsi"/>
        </w:rPr>
        <w:t>prendimas atitinka V</w:t>
      </w:r>
      <w:r w:rsidR="002E61AA">
        <w:rPr>
          <w:rFonts w:cstheme="minorHAnsi"/>
        </w:rPr>
        <w:t>AĮ</w:t>
      </w:r>
      <w:r w:rsidRPr="00B71435">
        <w:rPr>
          <w:rFonts w:cstheme="minorHAnsi"/>
        </w:rPr>
        <w:t xml:space="preserve"> reikalavimus, yra objektyvus, pagrįstas faktais ir teisės aktų normomis</w:t>
      </w:r>
      <w:r>
        <w:rPr>
          <w:rFonts w:cstheme="minorHAnsi"/>
        </w:rPr>
        <w:t>.</w:t>
      </w:r>
    </w:p>
    <w:p w14:paraId="2BD82A3B" w14:textId="08A424A5" w:rsidR="00237711" w:rsidRDefault="00237711" w:rsidP="00237711">
      <w:pPr>
        <w:pStyle w:val="NoSpacing"/>
        <w:ind w:firstLine="567"/>
        <w:jc w:val="both"/>
        <w:rPr>
          <w:rFonts w:cstheme="minorHAnsi"/>
        </w:rPr>
      </w:pPr>
      <w:r>
        <w:rPr>
          <w:rFonts w:cstheme="minorHAnsi"/>
        </w:rPr>
        <w:t xml:space="preserve">Nesutikdamas su pirmosios instancijos teismo išvadomis, LVAT pažymėjo, jog </w:t>
      </w:r>
      <w:r w:rsidRPr="00CA4AC4">
        <w:rPr>
          <w:rFonts w:cstheme="minorHAnsi"/>
        </w:rPr>
        <w:t xml:space="preserve">byloje nėra duomenų, kad </w:t>
      </w:r>
      <w:r>
        <w:rPr>
          <w:rFonts w:cstheme="minorHAnsi"/>
        </w:rPr>
        <w:t>VSAT</w:t>
      </w:r>
      <w:r w:rsidRPr="00CA4AC4">
        <w:rPr>
          <w:rFonts w:cstheme="minorHAnsi"/>
        </w:rPr>
        <w:t xml:space="preserve"> iki ginčo sprendimo priėmimo būtų surinkusi sprendimo dėl pareiškėjo išsiuntimo </w:t>
      </w:r>
      <w:r>
        <w:rPr>
          <w:rFonts w:cstheme="minorHAnsi"/>
        </w:rPr>
        <w:t>UTPĮ</w:t>
      </w:r>
      <w:r w:rsidRPr="00CA4AC4">
        <w:rPr>
          <w:rFonts w:cstheme="minorHAnsi"/>
        </w:rPr>
        <w:t xml:space="preserve"> 126</w:t>
      </w:r>
      <w:r w:rsidR="000A35DE">
        <w:rPr>
          <w:rFonts w:cstheme="minorHAnsi"/>
        </w:rPr>
        <w:t xml:space="preserve"> </w:t>
      </w:r>
      <w:r w:rsidRPr="00CA4AC4">
        <w:rPr>
          <w:rFonts w:cstheme="minorHAnsi"/>
        </w:rPr>
        <w:t>straipsnio 1</w:t>
      </w:r>
      <w:r w:rsidR="000A35DE">
        <w:rPr>
          <w:rFonts w:cstheme="minorHAnsi"/>
        </w:rPr>
        <w:t> </w:t>
      </w:r>
      <w:r w:rsidRPr="00CA4AC4">
        <w:rPr>
          <w:rFonts w:cstheme="minorHAnsi"/>
        </w:rPr>
        <w:t xml:space="preserve">dalies 2 ir 3 punktuose numatytais pagrindais priėmimui būtinus duomenis: apie aplinkybes, dėl kurių jam nesuteikiamas terminas savanoriškai išvykti (jeigu toks terminas nebuvo suteiktas vadovaujantis </w:t>
      </w:r>
      <w:r>
        <w:rPr>
          <w:rFonts w:cstheme="minorHAnsi"/>
        </w:rPr>
        <w:t>UTPĮ</w:t>
      </w:r>
      <w:r w:rsidRPr="00CA4AC4">
        <w:rPr>
          <w:rFonts w:cstheme="minorHAnsi"/>
        </w:rPr>
        <w:t xml:space="preserve"> 127</w:t>
      </w:r>
      <w:r w:rsidR="000A35DE">
        <w:rPr>
          <w:rFonts w:cstheme="minorHAnsi"/>
        </w:rPr>
        <w:t> </w:t>
      </w:r>
      <w:r w:rsidRPr="00CA4AC4">
        <w:rPr>
          <w:rFonts w:cstheme="minorHAnsi"/>
        </w:rPr>
        <w:t xml:space="preserve">straipsnio 31 dalimi arba jeigu </w:t>
      </w:r>
      <w:r>
        <w:rPr>
          <w:rFonts w:cstheme="minorHAnsi"/>
        </w:rPr>
        <w:t>UTPĮ</w:t>
      </w:r>
      <w:r w:rsidRPr="00CA4AC4">
        <w:rPr>
          <w:rFonts w:cstheme="minorHAnsi"/>
        </w:rPr>
        <w:t xml:space="preserve"> 125 straipsnio 1 dalies 7 ar 8 punkte nurodytas užsienietis nepateikia prašymo leisti savanoriškai grįžti į užsienio valstybę); </w:t>
      </w:r>
      <w:r>
        <w:rPr>
          <w:rFonts w:cstheme="minorHAnsi"/>
        </w:rPr>
        <w:t xml:space="preserve">apie </w:t>
      </w:r>
      <w:r w:rsidRPr="00CA4AC4">
        <w:rPr>
          <w:rFonts w:cstheme="minorHAnsi"/>
        </w:rPr>
        <w:t>vertinim</w:t>
      </w:r>
      <w:r>
        <w:rPr>
          <w:rFonts w:cstheme="minorHAnsi"/>
        </w:rPr>
        <w:t>ą</w:t>
      </w:r>
      <w:r w:rsidRPr="00CA4AC4">
        <w:rPr>
          <w:rFonts w:cstheme="minorHAnsi"/>
        </w:rPr>
        <w:t xml:space="preserve"> dėl pareiškėjo grėsmės viešajai tvarkai. Šiuo aspektu pažymėta, jog </w:t>
      </w:r>
      <w:r w:rsidRPr="00176E28">
        <w:rPr>
          <w:rFonts w:cstheme="minorHAnsi"/>
          <w:u w:val="single"/>
        </w:rPr>
        <w:t>byloje nebuvo duomenų, sudarančių pagrindą manyti, kad pareiškėją, kuris buvo sulaikytas, būtų buvę būtina išsiųsti nedelsiant</w:t>
      </w:r>
      <w:r w:rsidRPr="00CA4AC4">
        <w:rPr>
          <w:rFonts w:cstheme="minorHAnsi"/>
        </w:rPr>
        <w:t>.</w:t>
      </w:r>
    </w:p>
    <w:p w14:paraId="1ED8D35B" w14:textId="6AE28565" w:rsidR="00237711" w:rsidRDefault="00237711" w:rsidP="00237711">
      <w:pPr>
        <w:pStyle w:val="NoSpacing"/>
        <w:ind w:firstLine="567"/>
        <w:jc w:val="both"/>
        <w:rPr>
          <w:rFonts w:cstheme="minorHAnsi"/>
        </w:rPr>
      </w:pPr>
      <w:r>
        <w:rPr>
          <w:rFonts w:cstheme="minorHAnsi"/>
        </w:rPr>
        <w:t xml:space="preserve">Byloje nustačius, kad </w:t>
      </w:r>
      <w:r w:rsidRPr="00176E28">
        <w:rPr>
          <w:rFonts w:cstheme="minorHAnsi"/>
        </w:rPr>
        <w:t>VSAT nesurinko sprendim</w:t>
      </w:r>
      <w:r>
        <w:rPr>
          <w:rFonts w:cstheme="minorHAnsi"/>
        </w:rPr>
        <w:t>ui</w:t>
      </w:r>
      <w:r w:rsidRPr="00176E28">
        <w:rPr>
          <w:rFonts w:cstheme="minorHAnsi"/>
        </w:rPr>
        <w:t xml:space="preserve"> dėl pareiškėjo išsiuntimo </w:t>
      </w:r>
      <w:r>
        <w:rPr>
          <w:rFonts w:cstheme="minorHAnsi"/>
        </w:rPr>
        <w:t>UTPĮ</w:t>
      </w:r>
      <w:r w:rsidRPr="00176E28">
        <w:rPr>
          <w:rFonts w:cstheme="minorHAnsi"/>
        </w:rPr>
        <w:t xml:space="preserve"> 126 straipsnio 1 dalies 2</w:t>
      </w:r>
      <w:r w:rsidR="005B437C">
        <w:rPr>
          <w:rFonts w:cstheme="minorHAnsi"/>
        </w:rPr>
        <w:t> </w:t>
      </w:r>
      <w:r w:rsidRPr="00176E28">
        <w:rPr>
          <w:rFonts w:cstheme="minorHAnsi"/>
        </w:rPr>
        <w:t>ir 3 punktuose numatytais pagrindais pri</w:t>
      </w:r>
      <w:r>
        <w:rPr>
          <w:rFonts w:cstheme="minorHAnsi"/>
        </w:rPr>
        <w:t>imti</w:t>
      </w:r>
      <w:r w:rsidRPr="00176E28">
        <w:rPr>
          <w:rFonts w:cstheme="minorHAnsi"/>
        </w:rPr>
        <w:t xml:space="preserve"> būtinų duomenų, </w:t>
      </w:r>
      <w:r>
        <w:rPr>
          <w:rFonts w:cstheme="minorHAnsi"/>
        </w:rPr>
        <w:t xml:space="preserve">kita </w:t>
      </w:r>
      <w:r w:rsidRPr="00176E28">
        <w:rPr>
          <w:rFonts w:cstheme="minorHAnsi"/>
        </w:rPr>
        <w:t>ginč</w:t>
      </w:r>
      <w:r w:rsidR="00576931">
        <w:rPr>
          <w:rFonts w:cstheme="minorHAnsi"/>
        </w:rPr>
        <w:t>yt</w:t>
      </w:r>
      <w:r>
        <w:rPr>
          <w:rFonts w:cstheme="minorHAnsi"/>
        </w:rPr>
        <w:t>o</w:t>
      </w:r>
      <w:r w:rsidRPr="00176E28">
        <w:rPr>
          <w:rFonts w:cstheme="minorHAnsi"/>
        </w:rPr>
        <w:t xml:space="preserve"> </w:t>
      </w:r>
      <w:r>
        <w:rPr>
          <w:rFonts w:cstheme="minorHAnsi"/>
        </w:rPr>
        <w:t>s</w:t>
      </w:r>
      <w:r w:rsidRPr="00176E28">
        <w:rPr>
          <w:rFonts w:cstheme="minorHAnsi"/>
        </w:rPr>
        <w:t>prendim</w:t>
      </w:r>
      <w:r>
        <w:rPr>
          <w:rFonts w:cstheme="minorHAnsi"/>
        </w:rPr>
        <w:t>o dalis</w:t>
      </w:r>
      <w:r w:rsidRPr="00176E28">
        <w:rPr>
          <w:rFonts w:cstheme="minorHAnsi"/>
        </w:rPr>
        <w:t>, kuri</w:t>
      </w:r>
      <w:r>
        <w:rPr>
          <w:rFonts w:cstheme="minorHAnsi"/>
        </w:rPr>
        <w:t xml:space="preserve">a buvo </w:t>
      </w:r>
      <w:r w:rsidRPr="00176E28">
        <w:rPr>
          <w:rFonts w:cstheme="minorHAnsi"/>
        </w:rPr>
        <w:t xml:space="preserve">išspręsti klausimai dėl uždraudimo pareiškėjui atvykti į Lietuvos Respubliką bei </w:t>
      </w:r>
      <w:r>
        <w:rPr>
          <w:rFonts w:cstheme="minorHAnsi"/>
        </w:rPr>
        <w:t xml:space="preserve">perspėjimo </w:t>
      </w:r>
      <w:r w:rsidRPr="00176E28">
        <w:rPr>
          <w:rFonts w:cstheme="minorHAnsi"/>
        </w:rPr>
        <w:t xml:space="preserve">įtraukimo į Šengeno informacinę sistemą, </w:t>
      </w:r>
      <w:r>
        <w:rPr>
          <w:rFonts w:cstheme="minorHAnsi"/>
        </w:rPr>
        <w:t>taip pat nelaikyta</w:t>
      </w:r>
      <w:r w:rsidRPr="00176E28">
        <w:rPr>
          <w:rFonts w:cstheme="minorHAnsi"/>
        </w:rPr>
        <w:t xml:space="preserve"> teisėt</w:t>
      </w:r>
      <w:r>
        <w:rPr>
          <w:rFonts w:cstheme="minorHAnsi"/>
        </w:rPr>
        <w:t>a.</w:t>
      </w:r>
    </w:p>
    <w:p w14:paraId="7F310D31" w14:textId="7DF1F139" w:rsidR="00237711" w:rsidRDefault="00237711" w:rsidP="00237711">
      <w:pPr>
        <w:pStyle w:val="NoSpacing"/>
        <w:ind w:firstLine="567"/>
        <w:jc w:val="both"/>
        <w:rPr>
          <w:rFonts w:cstheme="minorHAnsi"/>
        </w:rPr>
      </w:pPr>
      <w:r>
        <w:rPr>
          <w:rFonts w:cstheme="minorHAnsi"/>
        </w:rPr>
        <w:t>LVAT tenkino pareiškėjo apeliacinį skundą – panaikino pirmosios instancijos teismo sprendimą ir priėmė naują sprendimą, kuriuo panaikino ginč</w:t>
      </w:r>
      <w:r w:rsidR="00A73C20">
        <w:rPr>
          <w:rFonts w:cstheme="minorHAnsi"/>
        </w:rPr>
        <w:t>yt</w:t>
      </w:r>
      <w:r>
        <w:rPr>
          <w:rFonts w:cstheme="minorHAnsi"/>
        </w:rPr>
        <w:t>ą VSAT sprendimą.</w:t>
      </w:r>
    </w:p>
    <w:p w14:paraId="17D4076A" w14:textId="77777777" w:rsidR="00237711" w:rsidRDefault="00237711" w:rsidP="00237711">
      <w:pPr>
        <w:pStyle w:val="NoSpacing"/>
        <w:ind w:firstLine="567"/>
        <w:jc w:val="both"/>
        <w:rPr>
          <w:rFonts w:cstheme="minorHAnsi"/>
        </w:rPr>
      </w:pPr>
    </w:p>
    <w:p w14:paraId="3C2D35AA" w14:textId="77777777" w:rsidR="00237711" w:rsidRPr="00E81924" w:rsidRDefault="00237711" w:rsidP="00237711">
      <w:pPr>
        <w:pStyle w:val="NoSpacing"/>
        <w:jc w:val="both"/>
        <w:rPr>
          <w:rFonts w:cstheme="minorHAnsi"/>
        </w:rPr>
      </w:pPr>
      <w:r w:rsidRPr="00A16236">
        <w:rPr>
          <w:rFonts w:cstheme="minorHAnsi"/>
        </w:rPr>
        <w:t>202</w:t>
      </w:r>
      <w:r>
        <w:rPr>
          <w:rFonts w:cstheme="minorHAnsi"/>
        </w:rPr>
        <w:t>5</w:t>
      </w:r>
      <w:r w:rsidRPr="00A16236">
        <w:rPr>
          <w:rFonts w:cstheme="minorHAnsi"/>
        </w:rPr>
        <w:t xml:space="preserve"> m. </w:t>
      </w:r>
      <w:r>
        <w:rPr>
          <w:rFonts w:cstheme="minorHAnsi"/>
        </w:rPr>
        <w:t>balandžio 9</w:t>
      </w:r>
      <w:r w:rsidRPr="00A16236">
        <w:rPr>
          <w:rFonts w:cstheme="minorHAnsi"/>
        </w:rPr>
        <w:t xml:space="preserve"> d.</w:t>
      </w:r>
      <w:r>
        <w:rPr>
          <w:rFonts w:cstheme="minorHAnsi"/>
        </w:rPr>
        <w:t xml:space="preserve"> sprendimas </w:t>
      </w:r>
      <w:r w:rsidRPr="00E81924">
        <w:rPr>
          <w:rFonts w:cstheme="minorHAnsi"/>
        </w:rPr>
        <w:t xml:space="preserve">administracinėje byloje Nr. </w:t>
      </w:r>
      <w:r w:rsidRPr="00731F90">
        <w:rPr>
          <w:rFonts w:cstheme="minorHAnsi"/>
        </w:rPr>
        <w:t>eA-1573-624/2025</w:t>
      </w:r>
    </w:p>
    <w:p w14:paraId="2D709187" w14:textId="77777777" w:rsidR="00237711" w:rsidRPr="00E81924" w:rsidRDefault="00237711" w:rsidP="00237711">
      <w:pPr>
        <w:pStyle w:val="NoSpacing"/>
        <w:jc w:val="both"/>
        <w:rPr>
          <w:rFonts w:cstheme="minorHAnsi"/>
        </w:rPr>
      </w:pPr>
      <w:r w:rsidRPr="00E81924">
        <w:rPr>
          <w:rFonts w:cstheme="minorHAnsi"/>
        </w:rPr>
        <w:t xml:space="preserve">Teisminio proceso Nr. </w:t>
      </w:r>
      <w:r w:rsidRPr="00731F90">
        <w:rPr>
          <w:rFonts w:cstheme="minorHAnsi"/>
        </w:rPr>
        <w:t>3-61-3-06836-2024-4</w:t>
      </w:r>
    </w:p>
    <w:p w14:paraId="528BA88E" w14:textId="77777777" w:rsidR="00237711" w:rsidRPr="00731F90" w:rsidRDefault="00237711" w:rsidP="00237711">
      <w:pPr>
        <w:pStyle w:val="NoSpacing"/>
        <w:jc w:val="both"/>
        <w:rPr>
          <w:rStyle w:val="Hyperlink"/>
          <w:rFonts w:cstheme="minorHAnsi"/>
          <w:b/>
          <w:bCs/>
        </w:rPr>
      </w:pPr>
      <w:r>
        <w:rPr>
          <w:rFonts w:cstheme="minorHAnsi"/>
        </w:rPr>
        <w:fldChar w:fldCharType="begin"/>
      </w:r>
      <w:r>
        <w:rPr>
          <w:rFonts w:cstheme="minorHAnsi"/>
        </w:rPr>
        <w:instrText>HYPERLINK "https://www.e-tar.lt/portal/lt/legalAct/42a56ed4212511f08fdabd4950271e2c"</w:instrText>
      </w:r>
      <w:r>
        <w:rPr>
          <w:rFonts w:cstheme="minorHAnsi"/>
        </w:rPr>
      </w:r>
      <w:r>
        <w:rPr>
          <w:rFonts w:cstheme="minorHAnsi"/>
        </w:rPr>
        <w:fldChar w:fldCharType="separate"/>
      </w:r>
      <w:r w:rsidRPr="00731F90">
        <w:rPr>
          <w:rStyle w:val="Hyperlink"/>
          <w:rFonts w:cstheme="minorHAnsi"/>
        </w:rPr>
        <w:t>Prieiga internete</w:t>
      </w:r>
    </w:p>
    <w:p w14:paraId="67B885B1" w14:textId="2DD46CE6" w:rsidR="00EB1237" w:rsidRPr="00B74A97" w:rsidRDefault="00237711" w:rsidP="001B68D4">
      <w:pPr>
        <w:pStyle w:val="NoSpacing"/>
        <w:jc w:val="both"/>
        <w:rPr>
          <w:rFonts w:asciiTheme="minorHAnsi" w:hAnsiTheme="minorHAnsi" w:cstheme="minorHAnsi"/>
        </w:rPr>
      </w:pPr>
      <w:r>
        <w:rPr>
          <w:rFonts w:cstheme="minorHAnsi"/>
        </w:rPr>
        <w:fldChar w:fldCharType="end"/>
      </w:r>
    </w:p>
    <w:p w14:paraId="2FA34C4F" w14:textId="77777777" w:rsidR="00D604B3" w:rsidRPr="00D604B3" w:rsidRDefault="00D604B3" w:rsidP="00D604B3">
      <w:pPr>
        <w:pStyle w:val="Apzvalgai1"/>
        <w:rPr>
          <w:rFonts w:asciiTheme="minorHAnsi" w:hAnsiTheme="minorHAnsi" w:cstheme="minorHAnsi"/>
        </w:rPr>
      </w:pPr>
      <w:bookmarkStart w:id="22" w:name="_Toc199503139"/>
      <w:r w:rsidRPr="00D604B3">
        <w:rPr>
          <w:rFonts w:asciiTheme="minorHAnsi" w:hAnsiTheme="minorHAnsi" w:cstheme="minorHAnsi"/>
        </w:rPr>
        <w:t>12. Mokesčiai, įmokos ir kiti privalomieji mokėjimai</w:t>
      </w:r>
      <w:bookmarkEnd w:id="22"/>
    </w:p>
    <w:p w14:paraId="26B3323E" w14:textId="77777777" w:rsidR="00D604B3" w:rsidRPr="00D604B3" w:rsidRDefault="00D604B3" w:rsidP="00D604B3">
      <w:pPr>
        <w:ind w:firstLine="567"/>
        <w:jc w:val="both"/>
        <w:rPr>
          <w:rFonts w:asciiTheme="minorHAnsi" w:hAnsiTheme="minorHAnsi" w:cstheme="minorHAnsi"/>
          <w:b/>
          <w:bCs/>
          <w:sz w:val="22"/>
          <w:szCs w:val="22"/>
          <w:u w:val="single"/>
        </w:rPr>
      </w:pPr>
      <w:r w:rsidRPr="00D604B3">
        <w:rPr>
          <w:rFonts w:asciiTheme="minorHAnsi" w:hAnsiTheme="minorHAnsi" w:cstheme="minorHAnsi"/>
          <w:b/>
          <w:bCs/>
          <w:sz w:val="22"/>
          <w:szCs w:val="22"/>
          <w:u w:val="single"/>
        </w:rPr>
        <w:t>12.6. Mokestinė nepriemoka ir jos išieškojimas</w:t>
      </w:r>
    </w:p>
    <w:p w14:paraId="439B2933" w14:textId="77777777" w:rsidR="00D604B3" w:rsidRPr="00D604B3" w:rsidRDefault="00D604B3" w:rsidP="00D604B3">
      <w:pPr>
        <w:ind w:firstLine="1134"/>
        <w:jc w:val="both"/>
        <w:rPr>
          <w:rFonts w:asciiTheme="minorHAnsi" w:hAnsiTheme="minorHAnsi" w:cstheme="minorHAnsi"/>
          <w:b/>
          <w:bCs/>
          <w:sz w:val="22"/>
          <w:szCs w:val="22"/>
          <w:u w:val="single"/>
        </w:rPr>
      </w:pPr>
      <w:r w:rsidRPr="00D604B3">
        <w:rPr>
          <w:rFonts w:asciiTheme="minorHAnsi" w:hAnsiTheme="minorHAnsi" w:cstheme="minorHAnsi"/>
          <w:b/>
          <w:bCs/>
          <w:sz w:val="22"/>
          <w:szCs w:val="22"/>
          <w:u w:val="single"/>
        </w:rPr>
        <w:t>12.6.3. Mokestinės nepriemokos priverstinis išieškojimas</w:t>
      </w:r>
    </w:p>
    <w:p w14:paraId="3288579B" w14:textId="77777777" w:rsidR="00D604B3" w:rsidRPr="00D604B3" w:rsidRDefault="00D604B3" w:rsidP="00D604B3">
      <w:pPr>
        <w:jc w:val="both"/>
        <w:rPr>
          <w:rFonts w:asciiTheme="minorHAnsi" w:hAnsiTheme="minorHAnsi" w:cstheme="minorHAnsi"/>
          <w:sz w:val="22"/>
          <w:szCs w:val="22"/>
        </w:rPr>
      </w:pPr>
    </w:p>
    <w:p w14:paraId="33959320" w14:textId="664E4159" w:rsidR="00D604B3" w:rsidRPr="00D604B3" w:rsidRDefault="00D604B3" w:rsidP="00D604B3">
      <w:pPr>
        <w:jc w:val="both"/>
        <w:outlineLvl w:val="1"/>
        <w:rPr>
          <w:rFonts w:asciiTheme="minorHAnsi" w:eastAsia="Calibri" w:hAnsiTheme="minorHAnsi" w:cstheme="minorHAnsi"/>
          <w:i/>
          <w:sz w:val="22"/>
          <w:szCs w:val="22"/>
        </w:rPr>
      </w:pPr>
      <w:bookmarkStart w:id="23" w:name="_Toc199503140"/>
      <w:r w:rsidRPr="00D604B3">
        <w:rPr>
          <w:rFonts w:asciiTheme="minorHAnsi" w:eastAsia="Calibri" w:hAnsiTheme="minorHAnsi" w:cstheme="minorHAnsi"/>
          <w:i/>
          <w:sz w:val="22"/>
          <w:szCs w:val="22"/>
        </w:rPr>
        <w:t>Dėl mokesčių administratoriaus teisės priverstinai išieškoti mokestinę nepriemoką nutraukus mokestinės paskolos sutartį, kai kyla ginčas dėl jo atsisakymo šią sutartį pratęsti</w:t>
      </w:r>
      <w:bookmarkEnd w:id="23"/>
    </w:p>
    <w:p w14:paraId="0C3A06D9" w14:textId="77777777" w:rsidR="00D604B3" w:rsidRPr="00D604B3" w:rsidRDefault="00D604B3" w:rsidP="00D604B3">
      <w:pPr>
        <w:jc w:val="both"/>
        <w:rPr>
          <w:rFonts w:asciiTheme="minorHAnsi" w:hAnsiTheme="minorHAnsi" w:cstheme="minorHAnsi"/>
          <w:sz w:val="22"/>
          <w:szCs w:val="22"/>
        </w:rPr>
      </w:pPr>
    </w:p>
    <w:p w14:paraId="29256C9A" w14:textId="77777777" w:rsidR="00D604B3" w:rsidRPr="00D604B3" w:rsidRDefault="00D604B3" w:rsidP="00D604B3">
      <w:pPr>
        <w:ind w:firstLine="567"/>
        <w:jc w:val="both"/>
        <w:rPr>
          <w:rFonts w:asciiTheme="minorHAnsi" w:hAnsiTheme="minorHAnsi" w:cstheme="minorHAnsi"/>
          <w:sz w:val="22"/>
          <w:szCs w:val="22"/>
        </w:rPr>
      </w:pPr>
      <w:r w:rsidRPr="00D604B3">
        <w:rPr>
          <w:rFonts w:asciiTheme="minorHAnsi" w:hAnsiTheme="minorHAnsi" w:cstheme="minorHAnsi"/>
          <w:sz w:val="22"/>
          <w:szCs w:val="22"/>
        </w:rPr>
        <w:t>Apžvelgiamoje byloje nagrinėtas ginčas kilo dėl mokesčio administratoriaus sprendimo įskaityti mokesčio permoką pareiškėjo turėtai mokestinei nepriemokai padengti.</w:t>
      </w:r>
    </w:p>
    <w:p w14:paraId="1BC42B83" w14:textId="6E873DD3" w:rsidR="00D604B3" w:rsidRPr="00D604B3" w:rsidRDefault="00D604B3" w:rsidP="00D604B3">
      <w:pPr>
        <w:ind w:firstLine="567"/>
        <w:jc w:val="both"/>
        <w:rPr>
          <w:rFonts w:asciiTheme="minorHAnsi" w:hAnsiTheme="minorHAnsi" w:cstheme="minorHAnsi"/>
          <w:sz w:val="22"/>
          <w:szCs w:val="22"/>
        </w:rPr>
      </w:pPr>
      <w:r w:rsidRPr="00D604B3">
        <w:rPr>
          <w:rFonts w:asciiTheme="minorHAnsi" w:hAnsiTheme="minorHAnsi" w:cstheme="minorHAnsi"/>
          <w:sz w:val="22"/>
          <w:szCs w:val="22"/>
        </w:rPr>
        <w:t>Nustatyta, kad pareiškėjas su mokesčių administratoriumi buvo sudaręs mokestinės paskolos sutartį, kurią pastarasis 2022 m. gruodžio 27 d. sprendimu atsisakė pratęsti. Teisme vykstant ginčui dėl šio atsisakymo, mokesčių administratorius 2023 m. sausio 10 d. nutraukė paskolos sutartį pasibaigus jos terminui ir išsiuntė raginimą sumokėti mokestinę nepriemoką, likusią pasibaigus mokestinės paskolos sutarčiai</w:t>
      </w:r>
      <w:r w:rsidR="006C455E">
        <w:rPr>
          <w:rFonts w:asciiTheme="minorHAnsi" w:hAnsiTheme="minorHAnsi" w:cstheme="minorHAnsi"/>
          <w:sz w:val="22"/>
          <w:szCs w:val="22"/>
        </w:rPr>
        <w:t>,</w:t>
      </w:r>
      <w:r w:rsidRPr="00D604B3">
        <w:rPr>
          <w:rFonts w:asciiTheme="minorHAnsi" w:hAnsiTheme="minorHAnsi" w:cstheme="minorHAnsi"/>
          <w:sz w:val="22"/>
          <w:szCs w:val="22"/>
        </w:rPr>
        <w:t xml:space="preserve"> bei apžvelgiamoje byloje ginčytu sprendimu įskaitė pareiškėjo turėtą mokesčio permoką šiai mokestin</w:t>
      </w:r>
      <w:r w:rsidR="006C455E">
        <w:rPr>
          <w:rFonts w:asciiTheme="minorHAnsi" w:hAnsiTheme="minorHAnsi" w:cstheme="minorHAnsi"/>
          <w:sz w:val="22"/>
          <w:szCs w:val="22"/>
        </w:rPr>
        <w:t>e</w:t>
      </w:r>
      <w:r w:rsidRPr="00D604B3">
        <w:rPr>
          <w:rFonts w:asciiTheme="minorHAnsi" w:hAnsiTheme="minorHAnsi" w:cstheme="minorHAnsi"/>
          <w:sz w:val="22"/>
          <w:szCs w:val="22"/>
        </w:rPr>
        <w:t>i nepriemokai padengti.</w:t>
      </w:r>
    </w:p>
    <w:p w14:paraId="4FC5F2B7" w14:textId="42A270E0" w:rsidR="00D604B3" w:rsidRPr="00D604B3" w:rsidRDefault="00D604B3" w:rsidP="00D604B3">
      <w:pPr>
        <w:ind w:firstLine="567"/>
        <w:jc w:val="both"/>
        <w:rPr>
          <w:rFonts w:asciiTheme="minorHAnsi" w:hAnsiTheme="minorHAnsi" w:cstheme="minorHAnsi"/>
          <w:sz w:val="22"/>
          <w:szCs w:val="22"/>
        </w:rPr>
      </w:pPr>
      <w:r w:rsidRPr="00D604B3">
        <w:rPr>
          <w:rFonts w:asciiTheme="minorHAnsi" w:hAnsiTheme="minorHAnsi" w:cstheme="minorHAnsi"/>
          <w:sz w:val="22"/>
          <w:szCs w:val="22"/>
        </w:rPr>
        <w:t xml:space="preserve">Kvestionuodamas šio viešojo administravimo subjekto teisę įskaityti šią permoką pareiškėjas iš esmės laikėsi pozicijos, kad mokesčių administratorius negalėjo priverstinai išieškoti aptariamos mokestinės </w:t>
      </w:r>
      <w:r w:rsidRPr="00D604B3">
        <w:rPr>
          <w:rFonts w:asciiTheme="minorHAnsi" w:hAnsiTheme="minorHAnsi" w:cstheme="minorHAnsi"/>
          <w:sz w:val="22"/>
          <w:szCs w:val="22"/>
        </w:rPr>
        <w:lastRenderedPageBreak/>
        <w:t>nepriemokos, nes</w:t>
      </w:r>
      <w:r w:rsidR="00CA0172">
        <w:rPr>
          <w:rFonts w:asciiTheme="minorHAnsi" w:hAnsiTheme="minorHAnsi" w:cstheme="minorHAnsi"/>
          <w:sz w:val="22"/>
          <w:szCs w:val="22"/>
        </w:rPr>
        <w:t>,</w:t>
      </w:r>
      <w:r w:rsidRPr="00D604B3">
        <w:rPr>
          <w:rFonts w:asciiTheme="minorHAnsi" w:hAnsiTheme="minorHAnsi" w:cstheme="minorHAnsi"/>
          <w:sz w:val="22"/>
          <w:szCs w:val="22"/>
        </w:rPr>
        <w:t xml:space="preserve"> kol galėjo būti skundžiami minėti 2022 m. gruodžio 27 d. ir 2023 m. sausio 10 d. sprendimai</w:t>
      </w:r>
      <w:r w:rsidR="00CA0172">
        <w:rPr>
          <w:rFonts w:asciiTheme="minorHAnsi" w:hAnsiTheme="minorHAnsi" w:cstheme="minorHAnsi"/>
          <w:sz w:val="22"/>
          <w:szCs w:val="22"/>
        </w:rPr>
        <w:t>,</w:t>
      </w:r>
      <w:r w:rsidRPr="00D604B3">
        <w:rPr>
          <w:rFonts w:asciiTheme="minorHAnsi" w:hAnsiTheme="minorHAnsi" w:cstheme="minorHAnsi"/>
          <w:sz w:val="22"/>
          <w:szCs w:val="22"/>
        </w:rPr>
        <w:t xml:space="preserve"> mokestinės paskolos sutartis turėjo teisinę reikšmę ir Mokesčių administravimo įstatymo 110 straipsnio 2 dalis, numatanti priverstinio išieškojimo sustabdymą sudarius mokestinės paskolos sutartį, turėjo būti taikoma.</w:t>
      </w:r>
    </w:p>
    <w:p w14:paraId="77FD442C" w14:textId="69C8C99B" w:rsidR="00D604B3" w:rsidRPr="00D604B3" w:rsidRDefault="00D604B3" w:rsidP="00D604B3">
      <w:pPr>
        <w:ind w:firstLine="567"/>
        <w:jc w:val="both"/>
        <w:rPr>
          <w:rFonts w:asciiTheme="minorHAnsi" w:hAnsiTheme="minorHAnsi" w:cstheme="minorHAnsi"/>
          <w:sz w:val="22"/>
          <w:szCs w:val="22"/>
        </w:rPr>
      </w:pPr>
      <w:r w:rsidRPr="00D604B3">
        <w:rPr>
          <w:rFonts w:asciiTheme="minorHAnsi" w:hAnsiTheme="minorHAnsi" w:cstheme="minorHAnsi"/>
          <w:sz w:val="22"/>
          <w:szCs w:val="22"/>
        </w:rPr>
        <w:t xml:space="preserve">Nesutikdama su šiais pareiškėjo teiginiais LVAT teisėjų kolegija pažymėjo, kad </w:t>
      </w:r>
      <w:r w:rsidR="006C455E">
        <w:rPr>
          <w:rFonts w:asciiTheme="minorHAnsi" w:hAnsiTheme="minorHAnsi" w:cstheme="minorHAnsi"/>
          <w:sz w:val="22"/>
          <w:szCs w:val="22"/>
          <w:u w:val="single"/>
        </w:rPr>
        <w:t>p</w:t>
      </w:r>
      <w:r w:rsidRPr="00D604B3">
        <w:rPr>
          <w:rFonts w:asciiTheme="minorHAnsi" w:hAnsiTheme="minorHAnsi" w:cstheme="minorHAnsi"/>
          <w:sz w:val="22"/>
          <w:szCs w:val="22"/>
          <w:u w:val="single"/>
        </w:rPr>
        <w:t xml:space="preserve">riėmus sprendimą nutraukti mokestinės paskolos sutartį Mokesčių administravimo įstatymo 110 straipsnio 2 dalis negalėjo būti taikoma, nes šios </w:t>
      </w:r>
      <w:r w:rsidR="00624637">
        <w:rPr>
          <w:rFonts w:asciiTheme="minorHAnsi" w:hAnsiTheme="minorHAnsi" w:cstheme="minorHAnsi"/>
          <w:sz w:val="22"/>
          <w:szCs w:val="22"/>
          <w:u w:val="single"/>
        </w:rPr>
        <w:t>s</w:t>
      </w:r>
      <w:r w:rsidRPr="00D604B3">
        <w:rPr>
          <w:rFonts w:asciiTheme="minorHAnsi" w:hAnsiTheme="minorHAnsi" w:cstheme="minorHAnsi"/>
          <w:sz w:val="22"/>
          <w:szCs w:val="22"/>
          <w:u w:val="single"/>
        </w:rPr>
        <w:t>utarties nuostatos neveikė; sprendimo atsisakyti pratęsti mokestinės paskolos sutartį ar sprendim</w:t>
      </w:r>
      <w:r w:rsidR="00624637">
        <w:rPr>
          <w:rFonts w:asciiTheme="minorHAnsi" w:hAnsiTheme="minorHAnsi" w:cstheme="minorHAnsi"/>
          <w:sz w:val="22"/>
          <w:szCs w:val="22"/>
          <w:u w:val="single"/>
        </w:rPr>
        <w:t>o</w:t>
      </w:r>
      <w:r w:rsidRPr="00D604B3">
        <w:rPr>
          <w:rFonts w:asciiTheme="minorHAnsi" w:hAnsiTheme="minorHAnsi" w:cstheme="minorHAnsi"/>
          <w:sz w:val="22"/>
          <w:szCs w:val="22"/>
          <w:u w:val="single"/>
        </w:rPr>
        <w:t xml:space="preserve"> nutraukti šią sutartį apskundimas negalėjo turėti įtakos minėtos įstatymo nuostatos taikymui</w:t>
      </w:r>
      <w:r w:rsidRPr="00D604B3">
        <w:rPr>
          <w:rFonts w:asciiTheme="minorHAnsi" w:hAnsiTheme="minorHAnsi" w:cstheme="minorHAnsi"/>
          <w:sz w:val="22"/>
          <w:szCs w:val="22"/>
        </w:rPr>
        <w:t xml:space="preserve">. Teisėjų kolegija taip pat paminėjo, kad mokesčių administratoriaus 2022 m. gruodžio 27 d. sprendimas apskritai neturėjo įtakos mokestinės paskolos </w:t>
      </w:r>
      <w:r w:rsidR="00624637">
        <w:rPr>
          <w:rFonts w:asciiTheme="minorHAnsi" w:hAnsiTheme="minorHAnsi" w:cstheme="minorHAnsi"/>
          <w:sz w:val="22"/>
          <w:szCs w:val="22"/>
        </w:rPr>
        <w:t>s</w:t>
      </w:r>
      <w:r w:rsidRPr="00D604B3">
        <w:rPr>
          <w:rFonts w:asciiTheme="minorHAnsi" w:hAnsiTheme="minorHAnsi" w:cstheme="minorHAnsi"/>
          <w:sz w:val="22"/>
          <w:szCs w:val="22"/>
        </w:rPr>
        <w:t xml:space="preserve">utarties tolesniam veikimui, nes juo buvo atsisakyta pratęsti šią </w:t>
      </w:r>
      <w:r w:rsidR="00624637">
        <w:rPr>
          <w:rFonts w:asciiTheme="minorHAnsi" w:hAnsiTheme="minorHAnsi" w:cstheme="minorHAnsi"/>
          <w:sz w:val="22"/>
          <w:szCs w:val="22"/>
        </w:rPr>
        <w:t>s</w:t>
      </w:r>
      <w:r w:rsidRPr="00D604B3">
        <w:rPr>
          <w:rFonts w:asciiTheme="minorHAnsi" w:hAnsiTheme="minorHAnsi" w:cstheme="minorHAnsi"/>
          <w:sz w:val="22"/>
          <w:szCs w:val="22"/>
        </w:rPr>
        <w:t>utartį.</w:t>
      </w:r>
    </w:p>
    <w:p w14:paraId="4A2D4930" w14:textId="77777777" w:rsidR="00D604B3" w:rsidRPr="00D604B3" w:rsidRDefault="00D604B3" w:rsidP="00D604B3">
      <w:pPr>
        <w:ind w:firstLine="567"/>
        <w:jc w:val="both"/>
        <w:rPr>
          <w:rFonts w:asciiTheme="minorHAnsi" w:hAnsiTheme="minorHAnsi" w:cstheme="minorHAnsi"/>
          <w:sz w:val="22"/>
          <w:szCs w:val="22"/>
        </w:rPr>
      </w:pPr>
      <w:r w:rsidRPr="00D604B3">
        <w:rPr>
          <w:rFonts w:asciiTheme="minorHAnsi" w:hAnsiTheme="minorHAnsi" w:cstheme="minorHAnsi"/>
          <w:sz w:val="22"/>
          <w:szCs w:val="22"/>
        </w:rPr>
        <w:t>LVAT atmetė pareiškėjo apeliacinį skundą.</w:t>
      </w:r>
    </w:p>
    <w:p w14:paraId="465DA45B" w14:textId="77777777" w:rsidR="00D604B3" w:rsidRPr="00D604B3" w:rsidRDefault="00D604B3" w:rsidP="00D604B3">
      <w:pPr>
        <w:ind w:firstLine="567"/>
        <w:jc w:val="both"/>
        <w:rPr>
          <w:rFonts w:asciiTheme="minorHAnsi" w:hAnsiTheme="minorHAnsi" w:cstheme="minorHAnsi"/>
          <w:sz w:val="22"/>
          <w:szCs w:val="22"/>
        </w:rPr>
      </w:pPr>
    </w:p>
    <w:p w14:paraId="117722CF" w14:textId="77777777" w:rsidR="00D604B3" w:rsidRPr="00D604B3" w:rsidRDefault="00D604B3" w:rsidP="00D604B3">
      <w:pPr>
        <w:jc w:val="both"/>
        <w:rPr>
          <w:rFonts w:asciiTheme="minorHAnsi" w:hAnsiTheme="minorHAnsi" w:cstheme="minorHAnsi"/>
          <w:sz w:val="22"/>
          <w:szCs w:val="22"/>
        </w:rPr>
      </w:pPr>
      <w:r w:rsidRPr="00D604B3">
        <w:rPr>
          <w:rFonts w:asciiTheme="minorHAnsi" w:hAnsiTheme="minorHAnsi" w:cstheme="minorHAnsi"/>
          <w:sz w:val="22"/>
          <w:szCs w:val="22"/>
        </w:rPr>
        <w:t>2025 m. balandžio 23 d. nutartis administracinėje byloje Nr. eA-317-815/2025</w:t>
      </w:r>
    </w:p>
    <w:p w14:paraId="227F1A52" w14:textId="77777777" w:rsidR="00D604B3" w:rsidRPr="00D604B3" w:rsidRDefault="00D604B3" w:rsidP="00D604B3">
      <w:pPr>
        <w:jc w:val="both"/>
        <w:rPr>
          <w:rFonts w:asciiTheme="minorHAnsi" w:hAnsiTheme="minorHAnsi" w:cstheme="minorHAnsi"/>
          <w:sz w:val="22"/>
          <w:szCs w:val="22"/>
        </w:rPr>
      </w:pPr>
      <w:r w:rsidRPr="00D604B3">
        <w:rPr>
          <w:rFonts w:asciiTheme="minorHAnsi" w:hAnsiTheme="minorHAnsi" w:cstheme="minorHAnsi"/>
          <w:sz w:val="22"/>
          <w:szCs w:val="22"/>
        </w:rPr>
        <w:t>Teisminio proceso Nr. 3-61-3-05026-2023-3</w:t>
      </w:r>
    </w:p>
    <w:p w14:paraId="01217B55" w14:textId="77777777" w:rsidR="00D604B3" w:rsidRPr="00D604B3" w:rsidRDefault="00D604B3" w:rsidP="00D604B3">
      <w:pPr>
        <w:jc w:val="both"/>
        <w:rPr>
          <w:rFonts w:asciiTheme="minorHAnsi" w:hAnsiTheme="minorHAnsi" w:cstheme="minorHAnsi"/>
          <w:sz w:val="22"/>
          <w:szCs w:val="22"/>
        </w:rPr>
      </w:pPr>
      <w:hyperlink r:id="rId11" w:history="1">
        <w:r w:rsidRPr="00D604B3">
          <w:rPr>
            <w:rStyle w:val="Hyperlink"/>
            <w:rFonts w:asciiTheme="minorHAnsi" w:hAnsiTheme="minorHAnsi" w:cstheme="minorHAnsi"/>
            <w:sz w:val="22"/>
            <w:szCs w:val="22"/>
          </w:rPr>
          <w:t>Prieiga internete</w:t>
        </w:r>
      </w:hyperlink>
    </w:p>
    <w:p w14:paraId="5A9F62EF" w14:textId="77777777" w:rsidR="00D604B3" w:rsidRDefault="00D604B3" w:rsidP="00624AE5">
      <w:pPr>
        <w:pStyle w:val="NoSpacing"/>
        <w:jc w:val="both"/>
        <w:rPr>
          <w:rFonts w:cstheme="minorHAnsi"/>
        </w:rPr>
      </w:pPr>
    </w:p>
    <w:p w14:paraId="65F904F1" w14:textId="77777777" w:rsidR="00E631E5" w:rsidRPr="00E631E5" w:rsidRDefault="00E631E5" w:rsidP="00E631E5">
      <w:pPr>
        <w:pStyle w:val="Apzvalgai1"/>
        <w:rPr>
          <w:rFonts w:asciiTheme="minorHAnsi" w:hAnsiTheme="minorHAnsi" w:cstheme="minorHAnsi"/>
        </w:rPr>
      </w:pPr>
      <w:bookmarkStart w:id="24" w:name="_Toc774922"/>
      <w:bookmarkStart w:id="25" w:name="_Toc199503141"/>
      <w:r w:rsidRPr="00E631E5">
        <w:rPr>
          <w:rFonts w:asciiTheme="minorHAnsi" w:hAnsiTheme="minorHAnsi" w:cstheme="minorHAnsi"/>
        </w:rPr>
        <w:t>14. Aplinkos apsauga</w:t>
      </w:r>
      <w:bookmarkEnd w:id="24"/>
      <w:bookmarkEnd w:id="25"/>
    </w:p>
    <w:p w14:paraId="1D3F6F37" w14:textId="203227E9" w:rsidR="00E631E5" w:rsidRPr="00D90F21" w:rsidRDefault="00D90F21" w:rsidP="00D90F21">
      <w:pPr>
        <w:pStyle w:val="NoSpacing"/>
        <w:ind w:firstLine="567"/>
        <w:jc w:val="both"/>
        <w:rPr>
          <w:rFonts w:cstheme="minorHAnsi"/>
          <w:b/>
          <w:bCs/>
          <w:u w:val="single"/>
        </w:rPr>
      </w:pPr>
      <w:r w:rsidRPr="00D90F21">
        <w:rPr>
          <w:rFonts w:cstheme="minorHAnsi"/>
          <w:b/>
          <w:bCs/>
          <w:u w:val="single"/>
        </w:rPr>
        <w:t>14.10. Aplinkos apsaugos valstybinė kontrolė</w:t>
      </w:r>
    </w:p>
    <w:p w14:paraId="1955832E" w14:textId="77777777" w:rsidR="00D90F21" w:rsidRPr="00E631E5" w:rsidRDefault="00D90F21" w:rsidP="00E631E5">
      <w:pPr>
        <w:rPr>
          <w:rFonts w:asciiTheme="minorHAnsi" w:hAnsiTheme="minorHAnsi" w:cstheme="minorHAnsi"/>
          <w:sz w:val="22"/>
          <w:szCs w:val="22"/>
        </w:rPr>
      </w:pPr>
    </w:p>
    <w:p w14:paraId="259A4668" w14:textId="77777777" w:rsidR="00E631E5" w:rsidRPr="00E631E5" w:rsidRDefault="00E631E5" w:rsidP="00E631E5">
      <w:pPr>
        <w:jc w:val="both"/>
        <w:outlineLvl w:val="1"/>
        <w:rPr>
          <w:rFonts w:asciiTheme="minorHAnsi" w:eastAsia="Calibri" w:hAnsiTheme="minorHAnsi" w:cstheme="minorHAnsi"/>
          <w:i/>
          <w:sz w:val="22"/>
          <w:szCs w:val="22"/>
        </w:rPr>
      </w:pPr>
      <w:bookmarkStart w:id="26" w:name="_Toc199503142"/>
      <w:r w:rsidRPr="00E631E5">
        <w:rPr>
          <w:rFonts w:asciiTheme="minorHAnsi" w:eastAsia="Calibri" w:hAnsiTheme="minorHAnsi" w:cstheme="minorHAnsi"/>
          <w:i/>
          <w:sz w:val="22"/>
          <w:szCs w:val="22"/>
        </w:rPr>
        <w:t>Dėl trečiųjų asmenų kaltės vertinimo sprendžiant ūkio subjekto atsakomybės už netinkamą nuotekų kontrolę klausimą</w:t>
      </w:r>
      <w:bookmarkEnd w:id="26"/>
    </w:p>
    <w:p w14:paraId="2A8BCAD1" w14:textId="77777777" w:rsidR="00E631E5" w:rsidRPr="00E631E5" w:rsidRDefault="00E631E5" w:rsidP="00E631E5">
      <w:pPr>
        <w:ind w:firstLine="567"/>
        <w:jc w:val="both"/>
        <w:rPr>
          <w:rFonts w:asciiTheme="minorHAnsi" w:hAnsiTheme="minorHAnsi" w:cstheme="minorHAnsi"/>
          <w:sz w:val="22"/>
          <w:szCs w:val="22"/>
        </w:rPr>
      </w:pPr>
    </w:p>
    <w:p w14:paraId="4FF06EE5" w14:textId="0BD79824" w:rsidR="00E631E5" w:rsidRPr="00E631E5" w:rsidRDefault="00E631E5" w:rsidP="00E631E5">
      <w:pPr>
        <w:ind w:firstLine="567"/>
        <w:jc w:val="both"/>
        <w:rPr>
          <w:rFonts w:asciiTheme="minorHAnsi" w:hAnsiTheme="minorHAnsi" w:cstheme="minorHAnsi"/>
          <w:sz w:val="22"/>
          <w:szCs w:val="22"/>
        </w:rPr>
      </w:pPr>
      <w:r w:rsidRPr="00E631E5">
        <w:rPr>
          <w:rFonts w:asciiTheme="minorHAnsi" w:hAnsiTheme="minorHAnsi" w:cstheme="minorHAnsi"/>
          <w:sz w:val="22"/>
          <w:szCs w:val="22"/>
        </w:rPr>
        <w:t>Apžvelgiamoje byloje ginčas kilo dėl Aplinkos apsaugos departamento prie Aplinkos ministerijos nutarimo, kuriuo pareiškėjui UAB „Vilniaus vandenys“ buvo skirta minimali ekonominė sankcija – 1</w:t>
      </w:r>
      <w:r w:rsidR="00A87A09">
        <w:rPr>
          <w:rFonts w:asciiTheme="minorHAnsi" w:hAnsiTheme="minorHAnsi" w:cstheme="minorHAnsi"/>
          <w:sz w:val="22"/>
          <w:szCs w:val="22"/>
        </w:rPr>
        <w:t> </w:t>
      </w:r>
      <w:r w:rsidRPr="00E631E5">
        <w:rPr>
          <w:rFonts w:asciiTheme="minorHAnsi" w:hAnsiTheme="minorHAnsi" w:cstheme="minorHAnsi"/>
          <w:sz w:val="22"/>
          <w:szCs w:val="22"/>
        </w:rPr>
        <w:t>400 Eur bauda (toliau – Nutarimas), už pažeidimą, numatytą Aplinkos apsaugos įstatymo 90 straipsnio 3 dalyje, t. y. išmetus nepavojingąsias atliekas į aplinką, kai išmestas 5 kub</w:t>
      </w:r>
      <w:r w:rsidR="00AC3D84">
        <w:rPr>
          <w:rFonts w:asciiTheme="minorHAnsi" w:hAnsiTheme="minorHAnsi" w:cstheme="minorHAnsi"/>
          <w:sz w:val="22"/>
          <w:szCs w:val="22"/>
        </w:rPr>
        <w:t>.</w:t>
      </w:r>
      <w:r w:rsidRPr="00E631E5">
        <w:rPr>
          <w:rFonts w:asciiTheme="minorHAnsi" w:hAnsiTheme="minorHAnsi" w:cstheme="minorHAnsi"/>
          <w:sz w:val="22"/>
          <w:szCs w:val="22"/>
        </w:rPr>
        <w:t xml:space="preserve"> m</w:t>
      </w:r>
      <w:r w:rsidR="00AC3D84">
        <w:rPr>
          <w:rFonts w:asciiTheme="minorHAnsi" w:hAnsiTheme="minorHAnsi" w:cstheme="minorHAnsi"/>
          <w:sz w:val="22"/>
          <w:szCs w:val="22"/>
        </w:rPr>
        <w:t>.</w:t>
      </w:r>
      <w:r w:rsidRPr="00E631E5">
        <w:rPr>
          <w:rFonts w:asciiTheme="minorHAnsi" w:hAnsiTheme="minorHAnsi" w:cstheme="minorHAnsi"/>
          <w:sz w:val="22"/>
          <w:szCs w:val="22"/>
        </w:rPr>
        <w:t xml:space="preserve"> ir didesnis, bet mažesnis kaip 50 kub</w:t>
      </w:r>
      <w:r w:rsidR="00A87A09">
        <w:rPr>
          <w:rFonts w:asciiTheme="minorHAnsi" w:hAnsiTheme="minorHAnsi" w:cstheme="minorHAnsi"/>
          <w:sz w:val="22"/>
          <w:szCs w:val="22"/>
        </w:rPr>
        <w:t>. m.</w:t>
      </w:r>
      <w:r w:rsidRPr="00E631E5">
        <w:rPr>
          <w:rFonts w:asciiTheme="minorHAnsi" w:hAnsiTheme="minorHAnsi" w:cstheme="minorHAnsi"/>
          <w:sz w:val="22"/>
          <w:szCs w:val="22"/>
        </w:rPr>
        <w:t xml:space="preserve"> nepavojingųjų atliekų kiekis.</w:t>
      </w:r>
    </w:p>
    <w:p w14:paraId="55DB1F28" w14:textId="2CF83B72" w:rsidR="00E631E5" w:rsidRPr="00E631E5" w:rsidRDefault="00E631E5" w:rsidP="00E631E5">
      <w:pPr>
        <w:ind w:firstLine="567"/>
        <w:jc w:val="both"/>
        <w:rPr>
          <w:rFonts w:asciiTheme="minorHAnsi" w:hAnsiTheme="minorHAnsi" w:cstheme="minorHAnsi"/>
          <w:sz w:val="22"/>
          <w:szCs w:val="22"/>
        </w:rPr>
      </w:pPr>
      <w:r w:rsidRPr="00E631E5">
        <w:rPr>
          <w:rFonts w:asciiTheme="minorHAnsi" w:hAnsiTheme="minorHAnsi" w:cstheme="minorHAnsi"/>
          <w:sz w:val="22"/>
          <w:szCs w:val="22"/>
        </w:rPr>
        <w:t>Pirmosios instancijos teismo sprendimu pareiškėjo skundas buvo patenkintas, Nutarimas panaikintas</w:t>
      </w:r>
      <w:r w:rsidR="000A2923">
        <w:rPr>
          <w:rFonts w:asciiTheme="minorHAnsi" w:hAnsiTheme="minorHAnsi" w:cstheme="minorHAnsi"/>
          <w:sz w:val="22"/>
          <w:szCs w:val="22"/>
        </w:rPr>
        <w:t>,</w:t>
      </w:r>
      <w:r w:rsidRPr="00E631E5">
        <w:rPr>
          <w:rFonts w:asciiTheme="minorHAnsi" w:hAnsiTheme="minorHAnsi" w:cstheme="minorHAnsi"/>
          <w:sz w:val="22"/>
          <w:szCs w:val="22"/>
        </w:rPr>
        <w:t xml:space="preserve"> padarius išvadą, kad Nutarimas nėra tinkamai motyvuotas, jame tik deklaratyviai išvardytos pareiškėjo galbūt pažeistos teisės normos</w:t>
      </w:r>
      <w:r w:rsidR="000A2923">
        <w:rPr>
          <w:rFonts w:asciiTheme="minorHAnsi" w:hAnsiTheme="minorHAnsi" w:cstheme="minorHAnsi"/>
          <w:sz w:val="22"/>
          <w:szCs w:val="22"/>
        </w:rPr>
        <w:t>,</w:t>
      </w:r>
      <w:r w:rsidRPr="00E631E5">
        <w:rPr>
          <w:rFonts w:asciiTheme="minorHAnsi" w:hAnsiTheme="minorHAnsi" w:cstheme="minorHAnsi"/>
          <w:sz w:val="22"/>
          <w:szCs w:val="22"/>
        </w:rPr>
        <w:t xml:space="preserve"> jų nesiejant su pareiškėjo konkrečiais neteisėtais veiksmais.</w:t>
      </w:r>
    </w:p>
    <w:p w14:paraId="524724CF" w14:textId="29992D0C" w:rsidR="00E631E5" w:rsidRPr="00E631E5" w:rsidRDefault="000A2923" w:rsidP="00E631E5">
      <w:pPr>
        <w:ind w:firstLine="567"/>
        <w:jc w:val="both"/>
        <w:rPr>
          <w:rFonts w:asciiTheme="minorHAnsi" w:hAnsiTheme="minorHAnsi" w:cstheme="minorHAnsi"/>
          <w:sz w:val="22"/>
          <w:szCs w:val="22"/>
        </w:rPr>
      </w:pPr>
      <w:r>
        <w:rPr>
          <w:rFonts w:asciiTheme="minorHAnsi" w:hAnsiTheme="minorHAnsi" w:cstheme="minorHAnsi"/>
          <w:sz w:val="22"/>
          <w:szCs w:val="22"/>
        </w:rPr>
        <w:t>LVAT t</w:t>
      </w:r>
      <w:r w:rsidR="00E631E5" w:rsidRPr="00E631E5">
        <w:rPr>
          <w:rFonts w:asciiTheme="minorHAnsi" w:hAnsiTheme="minorHAnsi" w:cstheme="minorHAnsi"/>
          <w:sz w:val="22"/>
          <w:szCs w:val="22"/>
        </w:rPr>
        <w:t xml:space="preserve">eisėjų kolegija nustatė, jog Nutarimas grindžiamas bylos duomenimis, kad laikotarpiu nuo 2020 m. sausio 20 d. iki 2020 m. liepos 9 d. į Neries upę iš Vilniaus nuotekų valyklos, kurią eksploatuoja pareiškėjas, buvo leidžiamos 19,04 t linijinio mažo tankio polietileno (LLDPE) atliekos, kurie laikytini patvirtinančiais pareiškėjui inkriminuojamo pažeidimo objektyviąją pusę – neteisėtus veiksmus ir / ar neveikimą. Pažymėta, jog </w:t>
      </w:r>
      <w:r w:rsidR="00E631E5" w:rsidRPr="00E631E5">
        <w:rPr>
          <w:rFonts w:asciiTheme="minorHAnsi" w:hAnsiTheme="minorHAnsi" w:cstheme="minorHAnsi"/>
          <w:sz w:val="22"/>
          <w:szCs w:val="22"/>
          <w:u w:val="single"/>
        </w:rPr>
        <w:t>ekonominės sankcijos taikymo prasme reikšmingas pats minėtų atliekų patekimo į gamtinę aplinką iš pareiškėjo valymo įrenginių faktas nepriklausomai nuo aplinkybės, kad tokios atliekos pateko į pareiškėjo valyklą dėl trečiųjų asmenų kaltė</w:t>
      </w:r>
      <w:r w:rsidR="00E631E5" w:rsidRPr="00217F42">
        <w:rPr>
          <w:rFonts w:asciiTheme="minorHAnsi" w:hAnsiTheme="minorHAnsi" w:cstheme="minorHAnsi"/>
          <w:sz w:val="22"/>
          <w:szCs w:val="22"/>
          <w:u w:val="single"/>
        </w:rPr>
        <w:t>s. P</w:t>
      </w:r>
      <w:r w:rsidR="00E631E5" w:rsidRPr="00E631E5">
        <w:rPr>
          <w:rFonts w:asciiTheme="minorHAnsi" w:hAnsiTheme="minorHAnsi" w:cstheme="minorHAnsi"/>
          <w:sz w:val="22"/>
          <w:szCs w:val="22"/>
          <w:u w:val="single"/>
        </w:rPr>
        <w:t>areiškėjo argumentai dėl trečiųjų asmenų atsakomybės laipsnio galėtų būti reikšmingi sprendžiant dėl gamtinei aplinkai padarytos žalos atlyginimo, tačiau už aplinkosaugos reikalavimų pažeidimą pareiškėjui kyla savarankiška atsakomybė</w:t>
      </w:r>
      <w:r w:rsidR="00E631E5" w:rsidRPr="00E631E5">
        <w:rPr>
          <w:rFonts w:asciiTheme="minorHAnsi" w:hAnsiTheme="minorHAnsi" w:cstheme="minorHAnsi"/>
          <w:sz w:val="22"/>
          <w:szCs w:val="22"/>
        </w:rPr>
        <w:t>.</w:t>
      </w:r>
    </w:p>
    <w:p w14:paraId="0E5C0CE4" w14:textId="5BE54949" w:rsidR="00E631E5" w:rsidRPr="00E631E5" w:rsidRDefault="00E631E5" w:rsidP="00E631E5">
      <w:pPr>
        <w:ind w:firstLine="567"/>
        <w:jc w:val="both"/>
        <w:rPr>
          <w:rFonts w:asciiTheme="minorHAnsi" w:hAnsiTheme="minorHAnsi" w:cstheme="minorHAnsi"/>
          <w:sz w:val="22"/>
          <w:szCs w:val="22"/>
        </w:rPr>
      </w:pPr>
      <w:r w:rsidRPr="00E631E5">
        <w:rPr>
          <w:rFonts w:asciiTheme="minorHAnsi" w:hAnsiTheme="minorHAnsi" w:cstheme="minorHAnsi"/>
          <w:sz w:val="22"/>
          <w:szCs w:val="22"/>
        </w:rPr>
        <w:t xml:space="preserve">Teisėjų kolegija pažymėjo, jog pareiškėjas teikia viešąsias paslaugas, jo veikla vykdoma vandentvarkos srityje, ja siekiama užtikrinti abonentų aprūpinimą geriamuoju vandeniu, nuotekų tvarkymą, vandens ūkio plėtojimą ir vystymą, saugų vandens ir nuotekų sistemos eksploatavimą; tokia veikla yra reikšmingas viešojo intereso objektas, reglamentuojama imperatyvaus pobūdžio teisės aktais, tai suponuoja šioje ūkinės veiklos srityje veikiančio subjekto aukštesnį atidumo, atsargumo ir rūpestingumo bei atsakomybės standartą. Byloje surinkti duomenys patvirtino, kad tik po linijinio mažo tankio polietileno atliekų patekimo į Neries upę iš valyklos viešų faktų nustatymo pareiškėjas ėmėsi aktyvių veiksmų prieš trečiuosius asmenis (abonentus), kurie pažeisdami sutartinius įsipareigojimus leido nuotekas su polietileno atliekomis. Pareiškėjo </w:t>
      </w:r>
      <w:r w:rsidRPr="00E631E5">
        <w:rPr>
          <w:rFonts w:asciiTheme="minorHAnsi" w:hAnsiTheme="minorHAnsi" w:cstheme="minorHAnsi"/>
          <w:sz w:val="22"/>
          <w:szCs w:val="22"/>
          <w:u w:val="single"/>
        </w:rPr>
        <w:t>argumentas, kad atliekas apdorojančių, surenkančių ar vežančių įmonių, tarpininkų, prekiautojų atliekomis ir atliekų darytojų priežiūrą (įskaitant įmonių patikrinimus) atlieka (privalo atlikti) ne pareiškėjas, o aplinkos apsaugos valstybinės kontrolės ir kitų įgaliotų institucijų pareigūnai (Atliekų tvarkymo įstatymo 111 str.)</w:t>
      </w:r>
      <w:r w:rsidR="005915D0">
        <w:rPr>
          <w:rFonts w:asciiTheme="minorHAnsi" w:hAnsiTheme="minorHAnsi" w:cstheme="minorHAnsi"/>
          <w:sz w:val="22"/>
          <w:szCs w:val="22"/>
          <w:u w:val="single"/>
        </w:rPr>
        <w:t>,</w:t>
      </w:r>
      <w:r w:rsidRPr="00E631E5">
        <w:rPr>
          <w:rFonts w:asciiTheme="minorHAnsi" w:hAnsiTheme="minorHAnsi" w:cstheme="minorHAnsi"/>
          <w:sz w:val="22"/>
          <w:szCs w:val="22"/>
          <w:u w:val="single"/>
        </w:rPr>
        <w:t xml:space="preserve"> nepaneigė paties pareiškėjo pareigos kontroliuoti abonentų tinkamą sutartinių įsipareigojimų vykdymą</w:t>
      </w:r>
      <w:r w:rsidRPr="00E631E5">
        <w:rPr>
          <w:rFonts w:asciiTheme="minorHAnsi" w:hAnsiTheme="minorHAnsi" w:cstheme="minorHAnsi"/>
          <w:sz w:val="22"/>
          <w:szCs w:val="22"/>
        </w:rPr>
        <w:t xml:space="preserve"> (ypač atsižvelgiant į nustatyto pažeidimo trukmę), numatyti tam reikalingas priemones ir mechanizmus, nes </w:t>
      </w:r>
      <w:r w:rsidRPr="00E631E5">
        <w:rPr>
          <w:rFonts w:asciiTheme="minorHAnsi" w:hAnsiTheme="minorHAnsi" w:cstheme="minorHAnsi"/>
          <w:sz w:val="22"/>
          <w:szCs w:val="22"/>
          <w:u w:val="single"/>
        </w:rPr>
        <w:t>priešingu atveju taptų neįmanoma įgyvendinti pareiškėjo veiklos srityje numatytus tikslus, tai neatitiktų nei įmonės paskirties, nei viešojo intereso</w:t>
      </w:r>
      <w:r w:rsidRPr="00E631E5">
        <w:rPr>
          <w:rFonts w:asciiTheme="minorHAnsi" w:hAnsiTheme="minorHAnsi" w:cstheme="minorHAnsi"/>
          <w:sz w:val="22"/>
          <w:szCs w:val="22"/>
        </w:rPr>
        <w:t>.</w:t>
      </w:r>
    </w:p>
    <w:p w14:paraId="7C674BAF" w14:textId="5428D7E6" w:rsidR="00E631E5" w:rsidRPr="00E631E5" w:rsidRDefault="005915D0" w:rsidP="00E631E5">
      <w:pPr>
        <w:ind w:firstLine="567"/>
        <w:jc w:val="both"/>
        <w:rPr>
          <w:rFonts w:asciiTheme="minorHAnsi" w:hAnsiTheme="minorHAnsi" w:cstheme="minorHAnsi"/>
          <w:sz w:val="22"/>
          <w:szCs w:val="22"/>
        </w:rPr>
      </w:pPr>
      <w:r>
        <w:rPr>
          <w:rFonts w:asciiTheme="minorHAnsi" w:hAnsiTheme="minorHAnsi" w:cstheme="minorHAnsi"/>
          <w:sz w:val="22"/>
          <w:szCs w:val="22"/>
        </w:rPr>
        <w:t>Teisėjų kolegija pad</w:t>
      </w:r>
      <w:r w:rsidR="00E631E5" w:rsidRPr="00E631E5">
        <w:rPr>
          <w:rFonts w:asciiTheme="minorHAnsi" w:hAnsiTheme="minorHAnsi" w:cstheme="minorHAnsi"/>
          <w:sz w:val="22"/>
          <w:szCs w:val="22"/>
        </w:rPr>
        <w:t>ar</w:t>
      </w:r>
      <w:r>
        <w:rPr>
          <w:rFonts w:asciiTheme="minorHAnsi" w:hAnsiTheme="minorHAnsi" w:cstheme="minorHAnsi"/>
          <w:sz w:val="22"/>
          <w:szCs w:val="22"/>
        </w:rPr>
        <w:t>ė</w:t>
      </w:r>
      <w:r w:rsidR="00E631E5" w:rsidRPr="00E631E5">
        <w:rPr>
          <w:rFonts w:asciiTheme="minorHAnsi" w:hAnsiTheme="minorHAnsi" w:cstheme="minorHAnsi"/>
          <w:sz w:val="22"/>
          <w:szCs w:val="22"/>
        </w:rPr>
        <w:t xml:space="preserve"> išvad</w:t>
      </w:r>
      <w:r>
        <w:rPr>
          <w:rFonts w:asciiTheme="minorHAnsi" w:hAnsiTheme="minorHAnsi" w:cstheme="minorHAnsi"/>
          <w:sz w:val="22"/>
          <w:szCs w:val="22"/>
        </w:rPr>
        <w:t>ą</w:t>
      </w:r>
      <w:r w:rsidR="00E631E5" w:rsidRPr="00E631E5">
        <w:rPr>
          <w:rFonts w:asciiTheme="minorHAnsi" w:hAnsiTheme="minorHAnsi" w:cstheme="minorHAnsi"/>
          <w:sz w:val="22"/>
          <w:szCs w:val="22"/>
        </w:rPr>
        <w:t xml:space="preserve">, kad byloje nustatytų ir Nutarime užfiksuotų duomenų visuma patvirtino, jog pareiškėjui buvo pakankamai aiškiai atskleisti atsakomybės jam taikymo pagrindai ir argumentai, todėl turėjo </w:t>
      </w:r>
      <w:r w:rsidR="00E631E5" w:rsidRPr="00E631E5">
        <w:rPr>
          <w:rFonts w:asciiTheme="minorHAnsi" w:hAnsiTheme="minorHAnsi" w:cstheme="minorHAnsi"/>
          <w:sz w:val="22"/>
          <w:szCs w:val="22"/>
        </w:rPr>
        <w:lastRenderedPageBreak/>
        <w:t>būti suprantami ekonominės sankcijos taikymo motyvai, o pirmosios instancijos teismas turėjo galimybę ir privalėjo iš esmės įvertinti, ar nurodomais pareiškėjo veiksmais ir / ar neveikimu buvo pažeisti Nutarime nurodyti teisės aktų reikalavimai.</w:t>
      </w:r>
    </w:p>
    <w:p w14:paraId="21CF7602" w14:textId="5F780B4C" w:rsidR="00E631E5" w:rsidRPr="00E631E5" w:rsidRDefault="00E631E5" w:rsidP="00E631E5">
      <w:pPr>
        <w:ind w:firstLine="567"/>
        <w:jc w:val="both"/>
        <w:rPr>
          <w:rFonts w:asciiTheme="minorHAnsi" w:hAnsiTheme="minorHAnsi" w:cstheme="minorHAnsi"/>
          <w:sz w:val="22"/>
          <w:szCs w:val="22"/>
        </w:rPr>
      </w:pPr>
      <w:r w:rsidRPr="00E631E5">
        <w:rPr>
          <w:rFonts w:asciiTheme="minorHAnsi" w:hAnsiTheme="minorHAnsi" w:cstheme="minorHAnsi"/>
          <w:sz w:val="22"/>
          <w:szCs w:val="22"/>
        </w:rPr>
        <w:t>Pirmosios instancijos teismo sprendimas panaikintas</w:t>
      </w:r>
      <w:r w:rsidR="00443EAC">
        <w:rPr>
          <w:rFonts w:asciiTheme="minorHAnsi" w:hAnsiTheme="minorHAnsi" w:cstheme="minorHAnsi"/>
          <w:sz w:val="22"/>
          <w:szCs w:val="22"/>
        </w:rPr>
        <w:t>,</w:t>
      </w:r>
      <w:r w:rsidRPr="00E631E5">
        <w:rPr>
          <w:rFonts w:asciiTheme="minorHAnsi" w:hAnsiTheme="minorHAnsi" w:cstheme="minorHAnsi"/>
          <w:sz w:val="22"/>
          <w:szCs w:val="22"/>
        </w:rPr>
        <w:t xml:space="preserve"> byla perduota pirmosios instancijos teismui nagrinėti iš naujo.</w:t>
      </w:r>
    </w:p>
    <w:p w14:paraId="2EEEE0E7" w14:textId="77777777" w:rsidR="00E631E5" w:rsidRPr="00E631E5" w:rsidRDefault="00E631E5" w:rsidP="00E631E5">
      <w:pPr>
        <w:rPr>
          <w:rFonts w:asciiTheme="minorHAnsi" w:hAnsiTheme="minorHAnsi" w:cstheme="minorHAnsi"/>
          <w:sz w:val="22"/>
          <w:szCs w:val="22"/>
        </w:rPr>
      </w:pPr>
    </w:p>
    <w:p w14:paraId="1D36BDE9" w14:textId="77777777" w:rsidR="00E631E5" w:rsidRPr="00E631E5" w:rsidRDefault="00E631E5" w:rsidP="00E631E5">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E631E5">
        <w:rPr>
          <w:rStyle w:val="normaltextrun"/>
          <w:rFonts w:asciiTheme="minorHAnsi" w:eastAsiaTheme="majorEastAsia" w:hAnsiTheme="minorHAnsi" w:cstheme="minorHAnsi"/>
          <w:sz w:val="22"/>
          <w:szCs w:val="22"/>
        </w:rPr>
        <w:t>2025 m. balandžio 9 d. nutartis administracinėje byloje Nr. eA-57-492/2025</w:t>
      </w:r>
    </w:p>
    <w:p w14:paraId="58204BC4" w14:textId="77777777" w:rsidR="00E631E5" w:rsidRPr="00E631E5" w:rsidRDefault="00E631E5" w:rsidP="00E631E5">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E631E5">
        <w:rPr>
          <w:rStyle w:val="normaltextrun"/>
          <w:rFonts w:asciiTheme="minorHAnsi" w:eastAsiaTheme="majorEastAsia" w:hAnsiTheme="minorHAnsi" w:cstheme="minorHAnsi"/>
          <w:sz w:val="22"/>
          <w:szCs w:val="22"/>
        </w:rPr>
        <w:t>Teisminio proceso Nr. 3-61-3-02906-2022-6</w:t>
      </w:r>
    </w:p>
    <w:p w14:paraId="6A0779EA" w14:textId="77777777" w:rsidR="00E631E5" w:rsidRPr="00E631E5" w:rsidRDefault="00E631E5" w:rsidP="00E631E5">
      <w:pPr>
        <w:rPr>
          <w:rStyle w:val="normaltextrun"/>
          <w:rFonts w:asciiTheme="minorHAnsi" w:eastAsiaTheme="majorEastAsia" w:hAnsiTheme="minorHAnsi" w:cstheme="minorHAnsi"/>
          <w:sz w:val="22"/>
          <w:szCs w:val="22"/>
          <w:lang w:eastAsia="en-GB"/>
        </w:rPr>
      </w:pPr>
      <w:hyperlink r:id="rId12" w:history="1">
        <w:r w:rsidRPr="00E631E5">
          <w:rPr>
            <w:rStyle w:val="Hyperlink"/>
            <w:rFonts w:asciiTheme="minorHAnsi" w:eastAsiaTheme="majorEastAsia" w:hAnsiTheme="minorHAnsi" w:cstheme="minorHAnsi"/>
            <w:sz w:val="22"/>
            <w:szCs w:val="22"/>
            <w:lang w:eastAsia="en-GB"/>
          </w:rPr>
          <w:t>Prieiga internete</w:t>
        </w:r>
      </w:hyperlink>
    </w:p>
    <w:p w14:paraId="057CE753" w14:textId="5183ABA0" w:rsidR="000A68E9" w:rsidRDefault="000A68E9" w:rsidP="000A68E9">
      <w:pPr>
        <w:jc w:val="both"/>
        <w:rPr>
          <w:rFonts w:asciiTheme="minorHAnsi" w:hAnsiTheme="minorHAnsi" w:cstheme="minorHAnsi"/>
          <w:sz w:val="22"/>
          <w:szCs w:val="22"/>
          <w:highlight w:val="yellow"/>
        </w:rPr>
      </w:pPr>
    </w:p>
    <w:p w14:paraId="5C11797D" w14:textId="77777777" w:rsidR="00EF71D1" w:rsidRPr="00EF71D1" w:rsidRDefault="00EF71D1" w:rsidP="00EF71D1">
      <w:pPr>
        <w:pStyle w:val="Apzvalgai1"/>
        <w:rPr>
          <w:rFonts w:asciiTheme="minorHAnsi" w:hAnsiTheme="minorHAnsi" w:cstheme="minorHAnsi"/>
        </w:rPr>
      </w:pPr>
      <w:bookmarkStart w:id="27" w:name="_Toc199503143"/>
      <w:r w:rsidRPr="00EF71D1">
        <w:rPr>
          <w:rFonts w:asciiTheme="minorHAnsi" w:hAnsiTheme="minorHAnsi" w:cstheme="minorHAnsi"/>
        </w:rPr>
        <w:t>20. Civilinė atsakomybė už žalą, atsiradusią dėl valdžios institucijų neteisėtų veiksmų</w:t>
      </w:r>
      <w:bookmarkEnd w:id="27"/>
    </w:p>
    <w:p w14:paraId="02D65402" w14:textId="77777777" w:rsidR="00EF71D1" w:rsidRPr="00996A4B" w:rsidRDefault="00EF71D1" w:rsidP="00EF71D1">
      <w:pPr>
        <w:ind w:firstLine="567"/>
        <w:jc w:val="both"/>
        <w:rPr>
          <w:rFonts w:asciiTheme="minorHAnsi" w:hAnsiTheme="minorHAnsi" w:cstheme="minorHAnsi"/>
          <w:b/>
          <w:bCs/>
          <w:sz w:val="22"/>
          <w:szCs w:val="22"/>
          <w:u w:val="single"/>
        </w:rPr>
      </w:pPr>
      <w:r w:rsidRPr="00996A4B">
        <w:rPr>
          <w:rFonts w:asciiTheme="minorHAnsi" w:hAnsiTheme="minorHAnsi" w:cstheme="minorHAnsi"/>
          <w:b/>
          <w:bCs/>
          <w:sz w:val="22"/>
          <w:szCs w:val="22"/>
          <w:u w:val="single"/>
        </w:rPr>
        <w:t>20.5. Kiti su civiline atsakomybe susiję klausimai</w:t>
      </w:r>
    </w:p>
    <w:p w14:paraId="736184A6" w14:textId="77777777" w:rsidR="00EF71D1" w:rsidRPr="00996A4B" w:rsidRDefault="00EF71D1" w:rsidP="00EF71D1">
      <w:pPr>
        <w:ind w:left="1843" w:hanging="709"/>
        <w:jc w:val="both"/>
        <w:rPr>
          <w:rFonts w:asciiTheme="minorHAnsi" w:hAnsiTheme="minorHAnsi" w:cstheme="minorHAnsi"/>
          <w:b/>
          <w:bCs/>
          <w:sz w:val="22"/>
          <w:szCs w:val="22"/>
          <w:u w:val="single"/>
        </w:rPr>
      </w:pPr>
      <w:r w:rsidRPr="00996A4B">
        <w:rPr>
          <w:rFonts w:asciiTheme="minorHAnsi" w:hAnsiTheme="minorHAnsi" w:cstheme="minorHAnsi"/>
          <w:b/>
          <w:bCs/>
          <w:sz w:val="22"/>
          <w:szCs w:val="22"/>
          <w:u w:val="single"/>
        </w:rPr>
        <w:t>20.5.1. Laisvės atėmimo bausmę atliekančių asmenų skundų dėl žalos atlyginimo už netinkamas kalinimo sąlygas nagrinėjimas</w:t>
      </w:r>
    </w:p>
    <w:p w14:paraId="7F2ACFC9" w14:textId="77777777" w:rsidR="00EF71D1" w:rsidRPr="006332A1" w:rsidRDefault="00EF71D1" w:rsidP="006332A1">
      <w:pPr>
        <w:ind w:firstLine="567"/>
        <w:jc w:val="both"/>
        <w:rPr>
          <w:rFonts w:asciiTheme="minorHAnsi" w:hAnsiTheme="minorHAnsi" w:cstheme="minorHAnsi"/>
          <w:sz w:val="22"/>
          <w:szCs w:val="22"/>
        </w:rPr>
      </w:pPr>
    </w:p>
    <w:p w14:paraId="28725020" w14:textId="77777777" w:rsidR="00EF71D1" w:rsidRPr="00EF71D1" w:rsidRDefault="00EF71D1" w:rsidP="00EF71D1">
      <w:pPr>
        <w:jc w:val="both"/>
        <w:outlineLvl w:val="1"/>
        <w:rPr>
          <w:rFonts w:asciiTheme="minorHAnsi" w:eastAsia="Calibri" w:hAnsiTheme="minorHAnsi" w:cstheme="minorHAnsi"/>
          <w:i/>
          <w:sz w:val="22"/>
          <w:szCs w:val="22"/>
        </w:rPr>
      </w:pPr>
      <w:bookmarkStart w:id="28" w:name="_Toc199503144"/>
      <w:r w:rsidRPr="00EF71D1">
        <w:rPr>
          <w:rFonts w:asciiTheme="minorHAnsi" w:eastAsia="Calibri" w:hAnsiTheme="minorHAnsi" w:cstheme="minorHAnsi"/>
          <w:i/>
          <w:sz w:val="22"/>
          <w:szCs w:val="22"/>
        </w:rPr>
        <w:t>Dėl nuteistųjų teisės be apribojimų pasimatyti su kitais asmenimis išvykus iš bausmės atlikimo vietos įgyvendinimo sąlygų</w:t>
      </w:r>
      <w:bookmarkEnd w:id="28"/>
    </w:p>
    <w:p w14:paraId="4478AA13" w14:textId="77777777" w:rsidR="00EF71D1" w:rsidRDefault="00EF71D1" w:rsidP="00EF71D1">
      <w:pPr>
        <w:ind w:firstLine="567"/>
        <w:jc w:val="both"/>
        <w:rPr>
          <w:rFonts w:asciiTheme="minorHAnsi" w:hAnsiTheme="minorHAnsi" w:cstheme="minorHAnsi"/>
          <w:sz w:val="22"/>
          <w:szCs w:val="22"/>
        </w:rPr>
      </w:pPr>
    </w:p>
    <w:p w14:paraId="64217B8F" w14:textId="3C57788D" w:rsidR="00EF71D1" w:rsidRDefault="00EF71D1" w:rsidP="00EF71D1">
      <w:pPr>
        <w:ind w:firstLine="567"/>
        <w:jc w:val="both"/>
        <w:rPr>
          <w:rFonts w:asciiTheme="minorHAnsi" w:hAnsiTheme="minorHAnsi" w:cstheme="minorHAnsi"/>
          <w:sz w:val="22"/>
          <w:szCs w:val="22"/>
        </w:rPr>
      </w:pPr>
      <w:r>
        <w:rPr>
          <w:rFonts w:asciiTheme="minorHAnsi" w:hAnsiTheme="minorHAnsi" w:cstheme="minorHAnsi"/>
          <w:sz w:val="22"/>
          <w:szCs w:val="22"/>
        </w:rPr>
        <w:t xml:space="preserve">Nagrinėtu atveju pareiškėjas prašė priteisti neturtinę žalą, kurią jis kildino iš </w:t>
      </w:r>
      <w:r w:rsidRPr="00570849">
        <w:rPr>
          <w:rFonts w:asciiTheme="minorHAnsi" w:hAnsiTheme="minorHAnsi" w:cstheme="minorHAnsi"/>
          <w:sz w:val="22"/>
          <w:szCs w:val="22"/>
        </w:rPr>
        <w:t>teisės aktų neatitinkančių kalinimo sąlygų</w:t>
      </w:r>
      <w:r>
        <w:rPr>
          <w:rFonts w:asciiTheme="minorHAnsi" w:hAnsiTheme="minorHAnsi" w:cstheme="minorHAnsi"/>
          <w:sz w:val="22"/>
          <w:szCs w:val="22"/>
        </w:rPr>
        <w:t xml:space="preserve"> </w:t>
      </w:r>
      <w:r w:rsidRPr="00FE3A2B">
        <w:rPr>
          <w:rFonts w:asciiTheme="minorHAnsi" w:hAnsiTheme="minorHAnsi" w:cstheme="minorHAnsi"/>
          <w:sz w:val="22"/>
          <w:szCs w:val="22"/>
        </w:rPr>
        <w:t>Pravieniškių 1-</w:t>
      </w:r>
      <w:r>
        <w:rPr>
          <w:rFonts w:asciiTheme="minorHAnsi" w:hAnsiTheme="minorHAnsi" w:cstheme="minorHAnsi"/>
          <w:sz w:val="22"/>
          <w:szCs w:val="22"/>
        </w:rPr>
        <w:t>a</w:t>
      </w:r>
      <w:r w:rsidRPr="00FE3A2B">
        <w:rPr>
          <w:rFonts w:asciiTheme="minorHAnsi" w:hAnsiTheme="minorHAnsi" w:cstheme="minorHAnsi"/>
          <w:sz w:val="22"/>
          <w:szCs w:val="22"/>
        </w:rPr>
        <w:t>me kalėjime (atviro tipo bausmės atlikimo vieta)</w:t>
      </w:r>
      <w:r>
        <w:rPr>
          <w:rFonts w:asciiTheme="minorHAnsi" w:hAnsiTheme="minorHAnsi" w:cstheme="minorHAnsi"/>
          <w:sz w:val="22"/>
          <w:szCs w:val="22"/>
        </w:rPr>
        <w:t xml:space="preserve">, įstaigos administracijai neleidus jam </w:t>
      </w:r>
      <w:r w:rsidRPr="00570849">
        <w:rPr>
          <w:rFonts w:asciiTheme="minorHAnsi" w:hAnsiTheme="minorHAnsi" w:cstheme="minorHAnsi"/>
          <w:sz w:val="22"/>
          <w:szCs w:val="22"/>
        </w:rPr>
        <w:t>išvykti iš bausmės atlikimo vietos</w:t>
      </w:r>
      <w:r>
        <w:rPr>
          <w:rFonts w:asciiTheme="minorHAnsi" w:hAnsiTheme="minorHAnsi" w:cstheme="minorHAnsi"/>
          <w:sz w:val="22"/>
          <w:szCs w:val="22"/>
        </w:rPr>
        <w:t xml:space="preserve"> </w:t>
      </w:r>
      <w:r w:rsidRPr="007802CA">
        <w:rPr>
          <w:rFonts w:asciiTheme="minorHAnsi" w:hAnsiTheme="minorHAnsi" w:cstheme="minorHAnsi"/>
          <w:sz w:val="22"/>
          <w:szCs w:val="22"/>
        </w:rPr>
        <w:t>pasimatyti su kitais asmenimis</w:t>
      </w:r>
      <w:r>
        <w:rPr>
          <w:rFonts w:asciiTheme="minorHAnsi" w:hAnsiTheme="minorHAnsi" w:cstheme="minorHAnsi"/>
          <w:sz w:val="22"/>
          <w:szCs w:val="22"/>
        </w:rPr>
        <w:t xml:space="preserve">. Šią teisę pareiškėjas grindė BVK </w:t>
      </w:r>
      <w:r w:rsidRPr="003007D4">
        <w:rPr>
          <w:rFonts w:asciiTheme="minorHAnsi" w:hAnsiTheme="minorHAnsi" w:cstheme="minorHAnsi"/>
          <w:sz w:val="22"/>
          <w:szCs w:val="22"/>
        </w:rPr>
        <w:t>35</w:t>
      </w:r>
      <w:r w:rsidR="008202C5">
        <w:rPr>
          <w:rFonts w:asciiTheme="minorHAnsi" w:hAnsiTheme="minorHAnsi" w:cstheme="minorHAnsi"/>
          <w:sz w:val="22"/>
          <w:szCs w:val="22"/>
        </w:rPr>
        <w:t> </w:t>
      </w:r>
      <w:r w:rsidRPr="003007D4">
        <w:rPr>
          <w:rFonts w:asciiTheme="minorHAnsi" w:hAnsiTheme="minorHAnsi" w:cstheme="minorHAnsi"/>
          <w:sz w:val="22"/>
          <w:szCs w:val="22"/>
        </w:rPr>
        <w:t>straipsnio 3 dalies 2 punkt</w:t>
      </w:r>
      <w:r>
        <w:rPr>
          <w:rFonts w:asciiTheme="minorHAnsi" w:hAnsiTheme="minorHAnsi" w:cstheme="minorHAnsi"/>
          <w:sz w:val="22"/>
          <w:szCs w:val="22"/>
        </w:rPr>
        <w:t>u, pagal kurį a</w:t>
      </w:r>
      <w:r w:rsidRPr="00F8633E">
        <w:rPr>
          <w:rFonts w:asciiTheme="minorHAnsi" w:hAnsiTheme="minorHAnsi" w:cstheme="minorHAnsi"/>
          <w:sz w:val="22"/>
          <w:szCs w:val="22"/>
        </w:rPr>
        <w:t>tviro tipo bausmės atlikimo vietose bausmę atliekantys nuteistieji</w:t>
      </w:r>
      <w:r>
        <w:rPr>
          <w:rFonts w:asciiTheme="minorHAnsi" w:hAnsiTheme="minorHAnsi" w:cstheme="minorHAnsi"/>
          <w:sz w:val="22"/>
          <w:szCs w:val="22"/>
        </w:rPr>
        <w:t>,</w:t>
      </w:r>
      <w:r w:rsidRPr="00F8633E">
        <w:rPr>
          <w:rFonts w:asciiTheme="minorHAnsi" w:hAnsiTheme="minorHAnsi" w:cstheme="minorHAnsi"/>
          <w:sz w:val="22"/>
          <w:szCs w:val="22"/>
        </w:rPr>
        <w:t xml:space="preserve"> </w:t>
      </w:r>
      <w:r>
        <w:rPr>
          <w:rFonts w:asciiTheme="minorHAnsi" w:hAnsiTheme="minorHAnsi" w:cstheme="minorHAnsi"/>
          <w:sz w:val="22"/>
          <w:szCs w:val="22"/>
        </w:rPr>
        <w:t>be kita ko,</w:t>
      </w:r>
      <w:r w:rsidRPr="008437C0">
        <w:rPr>
          <w:rFonts w:asciiTheme="minorHAnsi" w:hAnsiTheme="minorHAnsi" w:cstheme="minorHAnsi"/>
          <w:sz w:val="22"/>
          <w:szCs w:val="22"/>
        </w:rPr>
        <w:t xml:space="preserve"> </w:t>
      </w:r>
      <w:r w:rsidRPr="00F8633E">
        <w:rPr>
          <w:rFonts w:asciiTheme="minorHAnsi" w:hAnsiTheme="minorHAnsi" w:cstheme="minorHAnsi"/>
          <w:sz w:val="22"/>
          <w:szCs w:val="22"/>
        </w:rPr>
        <w:t>turi teisę be apribojimų pasimatyti su kitais asmenimis išvykus iš bausmės atlikimo vietos</w:t>
      </w:r>
      <w:r>
        <w:rPr>
          <w:rFonts w:asciiTheme="minorHAnsi" w:hAnsiTheme="minorHAnsi" w:cstheme="minorHAnsi"/>
          <w:sz w:val="22"/>
          <w:szCs w:val="22"/>
        </w:rPr>
        <w:t>.</w:t>
      </w:r>
    </w:p>
    <w:p w14:paraId="738E02EC" w14:textId="77777777" w:rsidR="00EF71D1" w:rsidRDefault="00EF71D1" w:rsidP="00EF71D1">
      <w:pPr>
        <w:ind w:firstLine="567"/>
        <w:jc w:val="both"/>
        <w:rPr>
          <w:rFonts w:asciiTheme="minorHAnsi" w:hAnsiTheme="minorHAnsi" w:cstheme="minorHAnsi"/>
          <w:sz w:val="22"/>
          <w:szCs w:val="22"/>
        </w:rPr>
      </w:pPr>
      <w:r w:rsidRPr="0096479C">
        <w:rPr>
          <w:rFonts w:asciiTheme="minorHAnsi" w:hAnsiTheme="minorHAnsi" w:cstheme="minorHAnsi"/>
          <w:sz w:val="22"/>
          <w:szCs w:val="22"/>
        </w:rPr>
        <w:t>Pirmosios instancijos teismas pareiškėjo skundą atmetė</w:t>
      </w:r>
      <w:r>
        <w:rPr>
          <w:rFonts w:asciiTheme="minorHAnsi" w:hAnsiTheme="minorHAnsi" w:cstheme="minorHAnsi"/>
          <w:sz w:val="22"/>
          <w:szCs w:val="22"/>
        </w:rPr>
        <w:t>,</w:t>
      </w:r>
      <w:r w:rsidRPr="0096479C">
        <w:rPr>
          <w:rFonts w:asciiTheme="minorHAnsi" w:hAnsiTheme="minorHAnsi" w:cstheme="minorHAnsi"/>
          <w:sz w:val="22"/>
          <w:szCs w:val="22"/>
        </w:rPr>
        <w:t xml:space="preserve"> nenustatęs būtinų</w:t>
      </w:r>
      <w:r>
        <w:rPr>
          <w:rFonts w:asciiTheme="minorHAnsi" w:hAnsiTheme="minorHAnsi" w:cstheme="minorHAnsi"/>
          <w:sz w:val="22"/>
          <w:szCs w:val="22"/>
        </w:rPr>
        <w:t>jų</w:t>
      </w:r>
      <w:r w:rsidRPr="0096479C">
        <w:rPr>
          <w:rFonts w:asciiTheme="minorHAnsi" w:hAnsiTheme="minorHAnsi" w:cstheme="minorHAnsi"/>
          <w:sz w:val="22"/>
          <w:szCs w:val="22"/>
        </w:rPr>
        <w:t xml:space="preserve"> sąlygų valstybės civilinei atsakomybei </w:t>
      </w:r>
      <w:r>
        <w:rPr>
          <w:rFonts w:asciiTheme="minorHAnsi" w:hAnsiTheme="minorHAnsi" w:cstheme="minorHAnsi"/>
          <w:sz w:val="22"/>
          <w:szCs w:val="22"/>
        </w:rPr>
        <w:t>kilti.</w:t>
      </w:r>
    </w:p>
    <w:p w14:paraId="2A13201B" w14:textId="77777777" w:rsidR="00EF71D1" w:rsidRDefault="00EF71D1" w:rsidP="00EF71D1">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įvertinusi ginčui aktualias BVK </w:t>
      </w:r>
      <w:r w:rsidRPr="003007D4">
        <w:rPr>
          <w:rFonts w:asciiTheme="minorHAnsi" w:hAnsiTheme="minorHAnsi" w:cstheme="minorHAnsi"/>
          <w:sz w:val="22"/>
          <w:szCs w:val="22"/>
        </w:rPr>
        <w:t>35 straipsnio 3 dalies</w:t>
      </w:r>
      <w:r>
        <w:rPr>
          <w:rFonts w:asciiTheme="minorHAnsi" w:hAnsiTheme="minorHAnsi" w:cstheme="minorHAnsi"/>
          <w:sz w:val="22"/>
          <w:szCs w:val="22"/>
        </w:rPr>
        <w:t xml:space="preserve"> nuostatas, pritarė p</w:t>
      </w:r>
      <w:r w:rsidRPr="0096479C">
        <w:rPr>
          <w:rFonts w:asciiTheme="minorHAnsi" w:hAnsiTheme="minorHAnsi" w:cstheme="minorHAnsi"/>
          <w:sz w:val="22"/>
          <w:szCs w:val="22"/>
        </w:rPr>
        <w:t>irmosios instancijos teism</w:t>
      </w:r>
      <w:r>
        <w:rPr>
          <w:rFonts w:asciiTheme="minorHAnsi" w:hAnsiTheme="minorHAnsi" w:cstheme="minorHAnsi"/>
          <w:sz w:val="22"/>
          <w:szCs w:val="22"/>
        </w:rPr>
        <w:t xml:space="preserve">o išvadai, kad </w:t>
      </w:r>
      <w:r w:rsidRPr="00F61B02">
        <w:rPr>
          <w:rFonts w:asciiTheme="minorHAnsi" w:hAnsiTheme="minorHAnsi" w:cstheme="minorHAnsi"/>
          <w:sz w:val="22"/>
          <w:szCs w:val="22"/>
          <w:u w:val="single"/>
        </w:rPr>
        <w:t>BVK 35 straipsnio 3 dalies 2 punkte įtvirtinta tik teisė be apribojimų pasimatyti su kitais asmenimis išvykus iš bausmės atlikimo vietos, o sąlygos, kuriomis atviro tipo bausmės atlikimo vietose bausmę atliekantys nuteistieji turi teisę išvykti iš bausmės atlikimo vietos, nustatytos kitose normose, iš jų – ir BVK 35 straipsnio 3 dalies 6 punkte</w:t>
      </w:r>
      <w:r>
        <w:rPr>
          <w:rFonts w:asciiTheme="minorHAnsi" w:hAnsiTheme="minorHAnsi" w:cstheme="minorHAnsi"/>
          <w:sz w:val="22"/>
          <w:szCs w:val="22"/>
        </w:rPr>
        <w:t>, pagal kurį a</w:t>
      </w:r>
      <w:r w:rsidRPr="00F8633E">
        <w:rPr>
          <w:rFonts w:asciiTheme="minorHAnsi" w:hAnsiTheme="minorHAnsi" w:cstheme="minorHAnsi"/>
          <w:sz w:val="22"/>
          <w:szCs w:val="22"/>
        </w:rPr>
        <w:t>tviro tipo bausmės atlikimo vietose bausmę atliekantys nuteistieji</w:t>
      </w:r>
      <w:r>
        <w:rPr>
          <w:rFonts w:asciiTheme="minorHAnsi" w:hAnsiTheme="minorHAnsi" w:cstheme="minorHAnsi"/>
          <w:sz w:val="22"/>
          <w:szCs w:val="22"/>
        </w:rPr>
        <w:t xml:space="preserve"> turi teisę </w:t>
      </w:r>
      <w:r w:rsidRPr="00807715">
        <w:rPr>
          <w:rFonts w:asciiTheme="minorHAnsi" w:hAnsiTheme="minorHAnsi" w:cstheme="minorHAnsi"/>
          <w:sz w:val="22"/>
          <w:szCs w:val="22"/>
        </w:rPr>
        <w:t>laisvės atėmimo vietų įstaigos direktoriaus įgaliotam pareigūnui leidus, jeigu nuteistasis neturi drausminių nuobaudų arba neįvykdytų administracinių nuobaudų ar administracinio poveikio priemonių, kartą per savaitę iki dviejų parų ne darbo metu parvykti į Lietuvos Respublikos teritorijoje esančius namus ar aplankyti Lietuvos Respublikos teritorijoje gyvenančius artimuosius</w:t>
      </w:r>
      <w:r w:rsidRPr="00FF5DAE">
        <w:rPr>
          <w:rFonts w:asciiTheme="minorHAnsi" w:hAnsiTheme="minorHAnsi" w:cstheme="minorHAnsi"/>
          <w:sz w:val="22"/>
          <w:szCs w:val="22"/>
        </w:rPr>
        <w:t>.</w:t>
      </w:r>
    </w:p>
    <w:p w14:paraId="3AC375C3" w14:textId="28A23184" w:rsidR="00EF71D1" w:rsidRDefault="00EF71D1" w:rsidP="00EF71D1">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nustatyta, kad </w:t>
      </w:r>
      <w:r w:rsidRPr="0044011B">
        <w:rPr>
          <w:rFonts w:asciiTheme="minorHAnsi" w:hAnsiTheme="minorHAnsi" w:cstheme="minorHAnsi"/>
          <w:sz w:val="22"/>
          <w:szCs w:val="22"/>
        </w:rPr>
        <w:t xml:space="preserve">pareiškėjas </w:t>
      </w:r>
      <w:r>
        <w:rPr>
          <w:rFonts w:asciiTheme="minorHAnsi" w:hAnsiTheme="minorHAnsi" w:cstheme="minorHAnsi"/>
          <w:sz w:val="22"/>
          <w:szCs w:val="22"/>
        </w:rPr>
        <w:t xml:space="preserve">nuo </w:t>
      </w:r>
      <w:r w:rsidRPr="0044011B">
        <w:rPr>
          <w:rFonts w:asciiTheme="minorHAnsi" w:hAnsiTheme="minorHAnsi" w:cstheme="minorHAnsi"/>
          <w:sz w:val="22"/>
          <w:szCs w:val="22"/>
        </w:rPr>
        <w:t xml:space="preserve">2023 m. balandžio 7 d. </w:t>
      </w:r>
      <w:r>
        <w:rPr>
          <w:rFonts w:asciiTheme="minorHAnsi" w:hAnsiTheme="minorHAnsi" w:cstheme="minorHAnsi"/>
          <w:sz w:val="22"/>
          <w:szCs w:val="22"/>
        </w:rPr>
        <w:t>iki</w:t>
      </w:r>
      <w:r w:rsidRPr="0044011B">
        <w:rPr>
          <w:rFonts w:asciiTheme="minorHAnsi" w:hAnsiTheme="minorHAnsi" w:cstheme="minorHAnsi"/>
          <w:sz w:val="22"/>
          <w:szCs w:val="22"/>
        </w:rPr>
        <w:t xml:space="preserve"> 2023 m. rugsėjo 6 d. atliko laisvės atėmimo bausmę Pravieniškių 1-</w:t>
      </w:r>
      <w:r>
        <w:rPr>
          <w:rFonts w:asciiTheme="minorHAnsi" w:hAnsiTheme="minorHAnsi" w:cstheme="minorHAnsi"/>
          <w:sz w:val="22"/>
          <w:szCs w:val="22"/>
        </w:rPr>
        <w:t>a</w:t>
      </w:r>
      <w:r w:rsidRPr="0044011B">
        <w:rPr>
          <w:rFonts w:asciiTheme="minorHAnsi" w:hAnsiTheme="minorHAnsi" w:cstheme="minorHAnsi"/>
          <w:sz w:val="22"/>
          <w:szCs w:val="22"/>
        </w:rPr>
        <w:t>me kalėjime atviro tipo bausmės atlikimo sąlygomis</w:t>
      </w:r>
      <w:r>
        <w:rPr>
          <w:rFonts w:asciiTheme="minorHAnsi" w:hAnsiTheme="minorHAnsi" w:cstheme="minorHAnsi"/>
          <w:sz w:val="22"/>
          <w:szCs w:val="22"/>
        </w:rPr>
        <w:t>.</w:t>
      </w:r>
      <w:r w:rsidRPr="0044011B">
        <w:rPr>
          <w:rFonts w:asciiTheme="minorHAnsi" w:hAnsiTheme="minorHAnsi" w:cstheme="minorHAnsi"/>
          <w:sz w:val="22"/>
          <w:szCs w:val="22"/>
        </w:rPr>
        <w:t xml:space="preserve"> </w:t>
      </w:r>
      <w:r>
        <w:rPr>
          <w:rFonts w:asciiTheme="minorHAnsi" w:hAnsiTheme="minorHAnsi" w:cstheme="minorHAnsi"/>
          <w:sz w:val="22"/>
          <w:szCs w:val="22"/>
        </w:rPr>
        <w:t>Tačiau, pagal b</w:t>
      </w:r>
      <w:r w:rsidRPr="00D01F09">
        <w:rPr>
          <w:rFonts w:asciiTheme="minorHAnsi" w:hAnsiTheme="minorHAnsi" w:cstheme="minorHAnsi"/>
          <w:sz w:val="22"/>
          <w:szCs w:val="22"/>
        </w:rPr>
        <w:t>ylos duomeni</w:t>
      </w:r>
      <w:r>
        <w:rPr>
          <w:rFonts w:asciiTheme="minorHAnsi" w:hAnsiTheme="minorHAnsi" w:cstheme="minorHAnsi"/>
          <w:sz w:val="22"/>
          <w:szCs w:val="22"/>
        </w:rPr>
        <w:t>s,</w:t>
      </w:r>
      <w:r w:rsidRPr="00D01F09">
        <w:rPr>
          <w:rFonts w:asciiTheme="minorHAnsi" w:hAnsiTheme="minorHAnsi" w:cstheme="minorHAnsi"/>
          <w:sz w:val="22"/>
          <w:szCs w:val="22"/>
        </w:rPr>
        <w:t xml:space="preserve"> pareiškėjui 2023 m. balandžio 24 d. ir 2023 m. gegužės 5 d. Pravieniškių 1-ojo kalėjimo viršininko nutarimais </w:t>
      </w:r>
      <w:r>
        <w:rPr>
          <w:rFonts w:asciiTheme="minorHAnsi" w:hAnsiTheme="minorHAnsi" w:cstheme="minorHAnsi"/>
          <w:sz w:val="22"/>
          <w:szCs w:val="22"/>
        </w:rPr>
        <w:t xml:space="preserve">buvo </w:t>
      </w:r>
      <w:r w:rsidRPr="00D01F09">
        <w:rPr>
          <w:rFonts w:asciiTheme="minorHAnsi" w:hAnsiTheme="minorHAnsi" w:cstheme="minorHAnsi"/>
          <w:sz w:val="22"/>
          <w:szCs w:val="22"/>
        </w:rPr>
        <w:t>skirtos drausminės nuobaudos.</w:t>
      </w:r>
      <w:r>
        <w:rPr>
          <w:rFonts w:asciiTheme="minorHAnsi" w:hAnsiTheme="minorHAnsi" w:cstheme="minorHAnsi"/>
          <w:sz w:val="22"/>
          <w:szCs w:val="22"/>
        </w:rPr>
        <w:t xml:space="preserve"> </w:t>
      </w:r>
      <w:r w:rsidRPr="00F61B02">
        <w:rPr>
          <w:rFonts w:asciiTheme="minorHAnsi" w:hAnsiTheme="minorHAnsi" w:cstheme="minorHAnsi"/>
          <w:sz w:val="22"/>
          <w:szCs w:val="22"/>
        </w:rPr>
        <w:t>Todėl įvertinus</w:t>
      </w:r>
      <w:r>
        <w:rPr>
          <w:rFonts w:asciiTheme="minorHAnsi" w:hAnsiTheme="minorHAnsi" w:cstheme="minorHAnsi"/>
          <w:sz w:val="22"/>
          <w:szCs w:val="22"/>
        </w:rPr>
        <w:t xml:space="preserve"> tai</w:t>
      </w:r>
      <w:r w:rsidRPr="00F61B02">
        <w:rPr>
          <w:rFonts w:asciiTheme="minorHAnsi" w:hAnsiTheme="minorHAnsi" w:cstheme="minorHAnsi"/>
          <w:sz w:val="22"/>
          <w:szCs w:val="22"/>
        </w:rPr>
        <w:t xml:space="preserve">, kad pareiškėjas </w:t>
      </w:r>
      <w:r>
        <w:rPr>
          <w:rFonts w:asciiTheme="minorHAnsi" w:hAnsiTheme="minorHAnsi" w:cstheme="minorHAnsi"/>
          <w:sz w:val="22"/>
          <w:szCs w:val="22"/>
        </w:rPr>
        <w:t>ginčui aktualiu</w:t>
      </w:r>
      <w:r w:rsidRPr="00F61B02">
        <w:rPr>
          <w:rFonts w:asciiTheme="minorHAnsi" w:hAnsiTheme="minorHAnsi" w:cstheme="minorHAnsi"/>
          <w:sz w:val="22"/>
          <w:szCs w:val="22"/>
        </w:rPr>
        <w:t xml:space="preserve"> laikotarpiu turėjo galiojančių drausminių nuobaudų, atsakovas pagrįstai ir teisėtai netenkino jo prašymų išvykti iš bausmės atlikimo vietos susitikti su artimaisiais</w:t>
      </w:r>
      <w:r>
        <w:rPr>
          <w:rFonts w:asciiTheme="minorHAnsi" w:hAnsiTheme="minorHAnsi" w:cstheme="minorHAnsi"/>
          <w:sz w:val="22"/>
          <w:szCs w:val="22"/>
        </w:rPr>
        <w:t>.</w:t>
      </w:r>
    </w:p>
    <w:p w14:paraId="77899E64" w14:textId="77777777" w:rsidR="00EF71D1" w:rsidRDefault="00EF71D1" w:rsidP="00EF71D1">
      <w:pPr>
        <w:ind w:firstLine="567"/>
        <w:jc w:val="both"/>
        <w:rPr>
          <w:rFonts w:asciiTheme="minorHAnsi" w:hAnsiTheme="minorHAnsi" w:cstheme="minorHAnsi"/>
          <w:sz w:val="22"/>
          <w:szCs w:val="22"/>
        </w:rPr>
      </w:pPr>
      <w:r>
        <w:rPr>
          <w:rFonts w:asciiTheme="minorHAnsi" w:hAnsiTheme="minorHAnsi" w:cstheme="minorHAnsi"/>
          <w:sz w:val="22"/>
          <w:szCs w:val="22"/>
        </w:rPr>
        <w:t>Remiantis šiomis aplinkybėmis, pareiškėjo apeliacinis skundas atmestas, o pirmosios instancijos teismo sprendimas paliktas nepakeistas.</w:t>
      </w:r>
    </w:p>
    <w:p w14:paraId="758E5963" w14:textId="77777777" w:rsidR="00EF71D1" w:rsidRDefault="00EF71D1" w:rsidP="00EF71D1">
      <w:pPr>
        <w:ind w:firstLine="567"/>
        <w:jc w:val="both"/>
        <w:rPr>
          <w:rFonts w:asciiTheme="minorHAnsi" w:hAnsiTheme="minorHAnsi" w:cstheme="minorHAnsi"/>
          <w:sz w:val="22"/>
          <w:szCs w:val="22"/>
        </w:rPr>
      </w:pPr>
    </w:p>
    <w:p w14:paraId="71081CEE" w14:textId="77777777" w:rsidR="00EF71D1" w:rsidRPr="009D7FC8" w:rsidRDefault="00EF71D1" w:rsidP="00EF71D1">
      <w:pPr>
        <w:jc w:val="both"/>
        <w:rPr>
          <w:rFonts w:asciiTheme="minorHAnsi" w:hAnsiTheme="minorHAnsi" w:cstheme="minorHAnsi"/>
          <w:sz w:val="22"/>
          <w:szCs w:val="22"/>
        </w:rPr>
      </w:pPr>
      <w:r w:rsidRPr="009D7FC8">
        <w:rPr>
          <w:rFonts w:asciiTheme="minorHAnsi" w:hAnsiTheme="minorHAnsi" w:cstheme="minorHAnsi"/>
          <w:bCs/>
          <w:sz w:val="22"/>
          <w:szCs w:val="22"/>
        </w:rPr>
        <w:t xml:space="preserve">2025 m. </w:t>
      </w:r>
      <w:r w:rsidRPr="003133AC">
        <w:rPr>
          <w:rFonts w:asciiTheme="minorHAnsi" w:hAnsiTheme="minorHAnsi" w:cstheme="minorHAnsi"/>
          <w:bCs/>
          <w:sz w:val="22"/>
          <w:szCs w:val="22"/>
        </w:rPr>
        <w:t xml:space="preserve">balandžio </w:t>
      </w:r>
      <w:r>
        <w:rPr>
          <w:rFonts w:asciiTheme="minorHAnsi" w:hAnsiTheme="minorHAnsi" w:cstheme="minorHAnsi"/>
          <w:bCs/>
          <w:sz w:val="22"/>
          <w:szCs w:val="22"/>
        </w:rPr>
        <w:t>16</w:t>
      </w:r>
      <w:r w:rsidRPr="003133AC">
        <w:rPr>
          <w:rFonts w:asciiTheme="minorHAnsi" w:hAnsiTheme="minorHAnsi" w:cstheme="minorHAnsi"/>
          <w:bCs/>
          <w:sz w:val="22"/>
          <w:szCs w:val="22"/>
        </w:rPr>
        <w:t xml:space="preserve"> </w:t>
      </w:r>
      <w:r w:rsidRPr="009D7FC8">
        <w:rPr>
          <w:rFonts w:asciiTheme="minorHAnsi" w:hAnsiTheme="minorHAnsi" w:cstheme="minorHAnsi"/>
          <w:sz w:val="22"/>
          <w:szCs w:val="22"/>
        </w:rPr>
        <w:t xml:space="preserve">d. nutartis administracinėje byloje Nr. </w:t>
      </w:r>
      <w:r w:rsidRPr="004E044B">
        <w:rPr>
          <w:rFonts w:asciiTheme="minorHAnsi" w:hAnsiTheme="minorHAnsi" w:cstheme="minorHAnsi"/>
          <w:bCs/>
          <w:sz w:val="22"/>
          <w:szCs w:val="22"/>
        </w:rPr>
        <w:t>eTA-33-624/2025</w:t>
      </w:r>
    </w:p>
    <w:p w14:paraId="5F4ABAF0" w14:textId="77777777" w:rsidR="00EF71D1" w:rsidRPr="009D7FC8" w:rsidRDefault="00EF71D1" w:rsidP="00EF71D1">
      <w:pPr>
        <w:jc w:val="both"/>
        <w:rPr>
          <w:rFonts w:asciiTheme="minorHAnsi" w:hAnsiTheme="minorHAnsi" w:cstheme="minorHAnsi"/>
          <w:bCs/>
          <w:sz w:val="22"/>
          <w:szCs w:val="22"/>
        </w:rPr>
      </w:pPr>
      <w:r w:rsidRPr="009D7FC8">
        <w:rPr>
          <w:rFonts w:asciiTheme="minorHAnsi" w:hAnsiTheme="minorHAnsi" w:cstheme="minorHAnsi"/>
          <w:sz w:val="22"/>
          <w:szCs w:val="22"/>
        </w:rPr>
        <w:t xml:space="preserve">Teisminio proceso Nr. </w:t>
      </w:r>
      <w:r w:rsidRPr="004E044B">
        <w:rPr>
          <w:rFonts w:asciiTheme="minorHAnsi" w:hAnsiTheme="minorHAnsi" w:cstheme="minorHAnsi"/>
          <w:bCs/>
          <w:sz w:val="22"/>
          <w:szCs w:val="22"/>
        </w:rPr>
        <w:t>3-62-3-02878-2023-6</w:t>
      </w:r>
    </w:p>
    <w:p w14:paraId="50F2795B" w14:textId="77777777" w:rsidR="00EF71D1" w:rsidRPr="009D7FC8" w:rsidRDefault="00EF71D1" w:rsidP="00EF71D1">
      <w:pPr>
        <w:jc w:val="both"/>
        <w:rPr>
          <w:rFonts w:asciiTheme="minorHAnsi" w:hAnsiTheme="minorHAnsi" w:cstheme="minorHAnsi"/>
          <w:sz w:val="22"/>
          <w:szCs w:val="22"/>
          <w:u w:val="single"/>
        </w:rPr>
      </w:pPr>
      <w:hyperlink r:id="rId13" w:history="1">
        <w:r w:rsidRPr="009D7FC8">
          <w:rPr>
            <w:rStyle w:val="Hyperlink"/>
            <w:rFonts w:asciiTheme="minorHAnsi" w:hAnsiTheme="minorHAnsi" w:cstheme="minorHAnsi"/>
            <w:sz w:val="22"/>
            <w:szCs w:val="22"/>
          </w:rPr>
          <w:t>Prieiga internete</w:t>
        </w:r>
      </w:hyperlink>
    </w:p>
    <w:p w14:paraId="01266EAE" w14:textId="77777777" w:rsidR="00EF71D1" w:rsidRDefault="00EF71D1" w:rsidP="00EF71D1">
      <w:pPr>
        <w:ind w:firstLine="567"/>
        <w:jc w:val="both"/>
        <w:rPr>
          <w:rFonts w:asciiTheme="minorHAnsi" w:hAnsiTheme="minorHAnsi" w:cstheme="minorHAnsi"/>
          <w:sz w:val="22"/>
          <w:szCs w:val="22"/>
        </w:rPr>
      </w:pPr>
    </w:p>
    <w:p w14:paraId="3A70BBCA" w14:textId="77777777" w:rsidR="00EF71D1" w:rsidRPr="00FF48E3" w:rsidRDefault="00EF71D1" w:rsidP="00FF48E3">
      <w:pPr>
        <w:jc w:val="both"/>
        <w:outlineLvl w:val="1"/>
        <w:rPr>
          <w:rFonts w:asciiTheme="minorHAnsi" w:eastAsia="Calibri" w:hAnsiTheme="minorHAnsi" w:cstheme="minorHAnsi"/>
          <w:i/>
          <w:sz w:val="22"/>
          <w:szCs w:val="22"/>
        </w:rPr>
      </w:pPr>
      <w:bookmarkStart w:id="29" w:name="_Toc199503145"/>
      <w:r w:rsidRPr="00FF48E3">
        <w:rPr>
          <w:rFonts w:asciiTheme="minorHAnsi" w:eastAsia="Calibri" w:hAnsiTheme="minorHAnsi" w:cstheme="minorHAnsi"/>
          <w:i/>
          <w:sz w:val="22"/>
          <w:szCs w:val="22"/>
        </w:rPr>
        <w:t>Dėl reikalavimų kalinimo sąlygoms, kai asmenys laikinojo sulaikymo patalpose laikomi ilgiau nei 24 val.</w:t>
      </w:r>
      <w:bookmarkEnd w:id="29"/>
    </w:p>
    <w:p w14:paraId="11E0FF2A" w14:textId="77777777" w:rsidR="00EF71D1" w:rsidRDefault="00EF71D1" w:rsidP="00EF71D1">
      <w:pPr>
        <w:ind w:firstLine="567"/>
        <w:jc w:val="both"/>
        <w:rPr>
          <w:rFonts w:asciiTheme="minorHAnsi" w:hAnsiTheme="minorHAnsi" w:cstheme="minorHAnsi"/>
          <w:sz w:val="22"/>
          <w:szCs w:val="22"/>
        </w:rPr>
      </w:pPr>
    </w:p>
    <w:p w14:paraId="7FA9B7D5" w14:textId="77777777" w:rsidR="00EF71D1" w:rsidRDefault="00EF71D1" w:rsidP="00EF71D1">
      <w:pPr>
        <w:ind w:firstLine="567"/>
        <w:jc w:val="both"/>
        <w:rPr>
          <w:rFonts w:asciiTheme="minorHAnsi" w:hAnsiTheme="minorHAnsi" w:cstheme="minorHAnsi"/>
          <w:sz w:val="22"/>
          <w:szCs w:val="22"/>
        </w:rPr>
      </w:pPr>
      <w:r>
        <w:rPr>
          <w:rFonts w:asciiTheme="minorHAnsi" w:hAnsiTheme="minorHAnsi" w:cstheme="minorHAnsi"/>
          <w:sz w:val="22"/>
          <w:szCs w:val="22"/>
        </w:rPr>
        <w:t xml:space="preserve">Šioje byloje ginčas kilo dėl neturtinės žalos, kurią pareiškėjas, be kita ko, kildino iš netinkamų kalinimo sąlygų jį izoliavus </w:t>
      </w:r>
      <w:r w:rsidRPr="00AE2DEC">
        <w:rPr>
          <w:rFonts w:asciiTheme="minorHAnsi" w:hAnsiTheme="minorHAnsi" w:cstheme="minorHAnsi"/>
          <w:sz w:val="22"/>
          <w:szCs w:val="22"/>
        </w:rPr>
        <w:t>laikinojo sulaikymo patalpo</w:t>
      </w:r>
      <w:r>
        <w:rPr>
          <w:rFonts w:asciiTheme="minorHAnsi" w:hAnsiTheme="minorHAnsi" w:cstheme="minorHAnsi"/>
          <w:sz w:val="22"/>
          <w:szCs w:val="22"/>
        </w:rPr>
        <w:t>j</w:t>
      </w:r>
      <w:r w:rsidRPr="00AE2DEC">
        <w:rPr>
          <w:rFonts w:asciiTheme="minorHAnsi" w:hAnsiTheme="minorHAnsi" w:cstheme="minorHAnsi"/>
          <w:sz w:val="22"/>
          <w:szCs w:val="22"/>
        </w:rPr>
        <w:t>e</w:t>
      </w:r>
      <w:r>
        <w:rPr>
          <w:rFonts w:asciiTheme="minorHAnsi" w:hAnsiTheme="minorHAnsi" w:cstheme="minorHAnsi"/>
          <w:sz w:val="22"/>
          <w:szCs w:val="22"/>
        </w:rPr>
        <w:t>, atlyginimo.</w:t>
      </w:r>
    </w:p>
    <w:p w14:paraId="2CFE74D2" w14:textId="26E30378" w:rsidR="00EF71D1" w:rsidRDefault="00EF71D1" w:rsidP="00EF71D1">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w:t>
      </w:r>
      <w:r>
        <w:rPr>
          <w:rFonts w:asciiTheme="minorHAnsi" w:hAnsiTheme="minorHAnsi" w:cstheme="minorHAnsi"/>
          <w:i/>
          <w:iCs/>
          <w:sz w:val="22"/>
          <w:szCs w:val="22"/>
        </w:rPr>
        <w:t xml:space="preserve">inter alia </w:t>
      </w:r>
      <w:r>
        <w:rPr>
          <w:rFonts w:asciiTheme="minorHAnsi" w:hAnsiTheme="minorHAnsi" w:cstheme="minorHAnsi"/>
          <w:sz w:val="22"/>
          <w:szCs w:val="22"/>
        </w:rPr>
        <w:t xml:space="preserve">(be kita ko) nustatyta, kad </w:t>
      </w:r>
      <w:r w:rsidRPr="002208DB">
        <w:rPr>
          <w:rFonts w:asciiTheme="minorHAnsi" w:hAnsiTheme="minorHAnsi" w:cstheme="minorHAnsi"/>
          <w:sz w:val="22"/>
          <w:szCs w:val="22"/>
        </w:rPr>
        <w:t>pareiškėjas už padarytą šiurkštų tvarkos pažeidimą Vilniaus kalėjimo Saugumo valdybos 2023 m. kovo 17 d. nutarimu buvo izoliuotas nuo kitų nuteistųjų, patalpinant jį į laikino</w:t>
      </w:r>
      <w:r w:rsidR="00B23705">
        <w:rPr>
          <w:rFonts w:asciiTheme="minorHAnsi" w:hAnsiTheme="minorHAnsi" w:cstheme="minorHAnsi"/>
          <w:sz w:val="22"/>
          <w:szCs w:val="22"/>
        </w:rPr>
        <w:t>jo</w:t>
      </w:r>
      <w:r w:rsidRPr="002208DB">
        <w:rPr>
          <w:rFonts w:asciiTheme="minorHAnsi" w:hAnsiTheme="minorHAnsi" w:cstheme="minorHAnsi"/>
          <w:sz w:val="22"/>
          <w:szCs w:val="22"/>
        </w:rPr>
        <w:t xml:space="preserve"> sulaikymo patalpą Nr. 5</w:t>
      </w:r>
      <w:r>
        <w:rPr>
          <w:rFonts w:asciiTheme="minorHAnsi" w:hAnsiTheme="minorHAnsi" w:cstheme="minorHAnsi"/>
          <w:sz w:val="22"/>
          <w:szCs w:val="22"/>
        </w:rPr>
        <w:t xml:space="preserve">, kurioje jis </w:t>
      </w:r>
      <w:r w:rsidRPr="002208DB">
        <w:rPr>
          <w:rFonts w:asciiTheme="minorHAnsi" w:hAnsiTheme="minorHAnsi" w:cstheme="minorHAnsi"/>
          <w:sz w:val="22"/>
          <w:szCs w:val="22"/>
        </w:rPr>
        <w:t xml:space="preserve">buvo laikomas kartu su kitu nuteistuoju iki 2023 m. kovo 21 d. </w:t>
      </w:r>
      <w:r w:rsidRPr="008509AF">
        <w:rPr>
          <w:rFonts w:asciiTheme="minorHAnsi" w:hAnsiTheme="minorHAnsi" w:cstheme="minorHAnsi"/>
          <w:sz w:val="22"/>
          <w:szCs w:val="22"/>
        </w:rPr>
        <w:lastRenderedPageBreak/>
        <w:t xml:space="preserve">Lietuvos kalėjimų tarnybos </w:t>
      </w:r>
      <w:r w:rsidRPr="009A3EC3">
        <w:rPr>
          <w:rFonts w:asciiTheme="minorHAnsi" w:hAnsiTheme="minorHAnsi" w:cstheme="minorHAnsi"/>
          <w:sz w:val="22"/>
          <w:szCs w:val="22"/>
        </w:rPr>
        <w:t>byloje pateikti paaiškinimai bei laikino</w:t>
      </w:r>
      <w:r w:rsidR="00B23705">
        <w:rPr>
          <w:rFonts w:asciiTheme="minorHAnsi" w:hAnsiTheme="minorHAnsi" w:cstheme="minorHAnsi"/>
          <w:sz w:val="22"/>
          <w:szCs w:val="22"/>
        </w:rPr>
        <w:t>jo</w:t>
      </w:r>
      <w:r w:rsidRPr="009A3EC3">
        <w:rPr>
          <w:rFonts w:asciiTheme="minorHAnsi" w:hAnsiTheme="minorHAnsi" w:cstheme="minorHAnsi"/>
          <w:sz w:val="22"/>
          <w:szCs w:val="22"/>
        </w:rPr>
        <w:t xml:space="preserve"> sulaikymo patalpos Nr. 5 nuotraukos patvirtin</w:t>
      </w:r>
      <w:r>
        <w:rPr>
          <w:rFonts w:asciiTheme="minorHAnsi" w:hAnsiTheme="minorHAnsi" w:cstheme="minorHAnsi"/>
          <w:sz w:val="22"/>
          <w:szCs w:val="22"/>
        </w:rPr>
        <w:t>o</w:t>
      </w:r>
      <w:r w:rsidRPr="009A3EC3">
        <w:rPr>
          <w:rFonts w:asciiTheme="minorHAnsi" w:hAnsiTheme="minorHAnsi" w:cstheme="minorHAnsi"/>
          <w:sz w:val="22"/>
          <w:szCs w:val="22"/>
        </w:rPr>
        <w:t>, kad minėtoje patalpoje įrengtas sanitarinis mazgas, dirbtinis apšvietimas, vėdinimas, patalpa yra šildoma, joje pastatyti gultai kiekvienam nuteistajam. Byloje n</w:t>
      </w:r>
      <w:r>
        <w:rPr>
          <w:rFonts w:asciiTheme="minorHAnsi" w:hAnsiTheme="minorHAnsi" w:cstheme="minorHAnsi"/>
          <w:sz w:val="22"/>
          <w:szCs w:val="22"/>
        </w:rPr>
        <w:t>ebuvo</w:t>
      </w:r>
      <w:r w:rsidRPr="009A3EC3">
        <w:rPr>
          <w:rFonts w:asciiTheme="minorHAnsi" w:hAnsiTheme="minorHAnsi" w:cstheme="minorHAnsi"/>
          <w:sz w:val="22"/>
          <w:szCs w:val="22"/>
        </w:rPr>
        <w:t xml:space="preserve"> ginčo, kad laikino</w:t>
      </w:r>
      <w:r w:rsidR="00B23705">
        <w:rPr>
          <w:rFonts w:asciiTheme="minorHAnsi" w:hAnsiTheme="minorHAnsi" w:cstheme="minorHAnsi"/>
          <w:sz w:val="22"/>
          <w:szCs w:val="22"/>
        </w:rPr>
        <w:t>jo</w:t>
      </w:r>
      <w:r w:rsidRPr="009A3EC3">
        <w:rPr>
          <w:rFonts w:asciiTheme="minorHAnsi" w:hAnsiTheme="minorHAnsi" w:cstheme="minorHAnsi"/>
          <w:sz w:val="22"/>
          <w:szCs w:val="22"/>
        </w:rPr>
        <w:t xml:space="preserve"> sulaikymo kameroje Nr.</w:t>
      </w:r>
      <w:r w:rsidR="00B23705">
        <w:rPr>
          <w:rFonts w:asciiTheme="minorHAnsi" w:hAnsiTheme="minorHAnsi" w:cstheme="minorHAnsi"/>
          <w:sz w:val="22"/>
          <w:szCs w:val="22"/>
        </w:rPr>
        <w:t> </w:t>
      </w:r>
      <w:r w:rsidRPr="009A3EC3">
        <w:rPr>
          <w:rFonts w:asciiTheme="minorHAnsi" w:hAnsiTheme="minorHAnsi" w:cstheme="minorHAnsi"/>
          <w:sz w:val="22"/>
          <w:szCs w:val="22"/>
        </w:rPr>
        <w:t xml:space="preserve">5 nėra įrengtas langas, taip pat minėta patalpa nėra aprūpinta visais baldais ir inventoriumi, vadovaujantis </w:t>
      </w:r>
      <w:r w:rsidRPr="00821CE2">
        <w:rPr>
          <w:rFonts w:asciiTheme="minorHAnsi" w:hAnsiTheme="minorHAnsi" w:cstheme="minorHAnsi"/>
          <w:sz w:val="22"/>
          <w:szCs w:val="22"/>
        </w:rPr>
        <w:t>Kalėjimų departamento direktoriaus 2017 m. birželio 7 d. įsakymu Nr. V-245</w:t>
      </w:r>
      <w:r>
        <w:rPr>
          <w:rFonts w:asciiTheme="minorHAnsi" w:hAnsiTheme="minorHAnsi" w:cstheme="minorHAnsi"/>
          <w:sz w:val="22"/>
          <w:szCs w:val="22"/>
        </w:rPr>
        <w:t xml:space="preserve"> </w:t>
      </w:r>
      <w:r w:rsidRPr="00821CE2">
        <w:rPr>
          <w:rFonts w:asciiTheme="minorHAnsi" w:hAnsiTheme="minorHAnsi" w:cstheme="minorHAnsi"/>
          <w:sz w:val="22"/>
          <w:szCs w:val="22"/>
        </w:rPr>
        <w:t>patvirtint</w:t>
      </w:r>
      <w:r>
        <w:rPr>
          <w:rFonts w:asciiTheme="minorHAnsi" w:hAnsiTheme="minorHAnsi" w:cstheme="minorHAnsi"/>
          <w:sz w:val="22"/>
          <w:szCs w:val="22"/>
        </w:rPr>
        <w:t>ų</w:t>
      </w:r>
      <w:r w:rsidRPr="00821CE2">
        <w:rPr>
          <w:rFonts w:asciiTheme="minorHAnsi" w:hAnsiTheme="minorHAnsi" w:cstheme="minorHAnsi"/>
          <w:sz w:val="22"/>
          <w:szCs w:val="22"/>
        </w:rPr>
        <w:t xml:space="preserve"> Laisvės atėmimo vietų patalpų aprūpinimo baldais ir kitu inventoriumi norm</w:t>
      </w:r>
      <w:r>
        <w:rPr>
          <w:rFonts w:asciiTheme="minorHAnsi" w:hAnsiTheme="minorHAnsi" w:cstheme="minorHAnsi"/>
          <w:sz w:val="22"/>
          <w:szCs w:val="22"/>
        </w:rPr>
        <w:t xml:space="preserve">ų (toliau – </w:t>
      </w:r>
      <w:r w:rsidRPr="008956E7">
        <w:rPr>
          <w:rFonts w:asciiTheme="minorHAnsi" w:hAnsiTheme="minorHAnsi" w:cstheme="minorHAnsi"/>
          <w:sz w:val="22"/>
          <w:szCs w:val="22"/>
        </w:rPr>
        <w:t>Aprūpinimo normos</w:t>
      </w:r>
      <w:r>
        <w:rPr>
          <w:rFonts w:asciiTheme="minorHAnsi" w:hAnsiTheme="minorHAnsi" w:cstheme="minorHAnsi"/>
          <w:sz w:val="22"/>
          <w:szCs w:val="22"/>
        </w:rPr>
        <w:t>)</w:t>
      </w:r>
      <w:r w:rsidRPr="009A3EC3">
        <w:rPr>
          <w:rFonts w:asciiTheme="minorHAnsi" w:hAnsiTheme="minorHAnsi" w:cstheme="minorHAnsi"/>
          <w:sz w:val="22"/>
          <w:szCs w:val="22"/>
        </w:rPr>
        <w:t xml:space="preserve"> reikalavimais.</w:t>
      </w:r>
    </w:p>
    <w:p w14:paraId="38D45B4E" w14:textId="5FF983A1" w:rsidR="00EF71D1" w:rsidRDefault="00EF71D1" w:rsidP="00EF71D1">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pažymėjo, kad </w:t>
      </w:r>
      <w:r w:rsidRPr="00380BF7">
        <w:rPr>
          <w:rFonts w:asciiTheme="minorHAnsi" w:hAnsiTheme="minorHAnsi" w:cstheme="minorHAnsi"/>
          <w:sz w:val="22"/>
          <w:szCs w:val="22"/>
        </w:rPr>
        <w:t>2022 m. gruodžio 30 d. teisingumo ministro įsakymu Nr. 1R-444 patvirtintų</w:t>
      </w:r>
      <w:r>
        <w:rPr>
          <w:rFonts w:asciiTheme="minorHAnsi" w:hAnsiTheme="minorHAnsi" w:cstheme="minorHAnsi"/>
          <w:sz w:val="22"/>
          <w:szCs w:val="22"/>
        </w:rPr>
        <w:t xml:space="preserve"> </w:t>
      </w:r>
      <w:r w:rsidRPr="00380BF7">
        <w:rPr>
          <w:rFonts w:asciiTheme="minorHAnsi" w:hAnsiTheme="minorHAnsi" w:cstheme="minorHAnsi"/>
          <w:sz w:val="22"/>
          <w:szCs w:val="22"/>
        </w:rPr>
        <w:t xml:space="preserve">Laisvės atėmimo vietų įstaigos vidaus tvarkos taisyklių (toliau – Taisyklės) 12 punkte nurodyta, </w:t>
      </w:r>
      <w:r>
        <w:rPr>
          <w:rFonts w:asciiTheme="minorHAnsi" w:hAnsiTheme="minorHAnsi" w:cstheme="minorHAnsi"/>
          <w:sz w:val="22"/>
          <w:szCs w:val="22"/>
        </w:rPr>
        <w:t>jog</w:t>
      </w:r>
      <w:r w:rsidRPr="00380BF7">
        <w:rPr>
          <w:rFonts w:asciiTheme="minorHAnsi" w:hAnsiTheme="minorHAnsi" w:cstheme="minorHAnsi"/>
          <w:sz w:val="22"/>
          <w:szCs w:val="22"/>
        </w:rPr>
        <w:t xml:space="preserve"> atliekant Taisyklių 7 punkte nustatytus veiksmus suimtieji ir nuteistieji laikinai, bet ne ilgiau kaip 4 val</w:t>
      </w:r>
      <w:r>
        <w:rPr>
          <w:rFonts w:asciiTheme="minorHAnsi" w:hAnsiTheme="minorHAnsi" w:cstheme="minorHAnsi"/>
          <w:sz w:val="22"/>
          <w:szCs w:val="22"/>
        </w:rPr>
        <w:t>.,</w:t>
      </w:r>
      <w:r w:rsidRPr="00380BF7">
        <w:rPr>
          <w:rFonts w:asciiTheme="minorHAnsi" w:hAnsiTheme="minorHAnsi" w:cstheme="minorHAnsi"/>
          <w:sz w:val="22"/>
          <w:szCs w:val="22"/>
        </w:rPr>
        <w:t xml:space="preserve"> gali būti uždaromi į laikino sulaikymo kameras.</w:t>
      </w:r>
      <w:r>
        <w:rPr>
          <w:rFonts w:asciiTheme="minorHAnsi" w:hAnsiTheme="minorHAnsi" w:cstheme="minorHAnsi"/>
          <w:sz w:val="22"/>
          <w:szCs w:val="22"/>
        </w:rPr>
        <w:t xml:space="preserve"> N</w:t>
      </w:r>
      <w:r w:rsidRPr="00090282">
        <w:rPr>
          <w:rFonts w:asciiTheme="minorHAnsi" w:hAnsiTheme="minorHAnsi" w:cstheme="minorHAnsi"/>
          <w:sz w:val="22"/>
          <w:szCs w:val="22"/>
        </w:rPr>
        <w:t>ors sveikatos apsaugos ministro 2015 m. rugpjūčio 3 d. įsakymu Nr. V-908 patvirtint</w:t>
      </w:r>
      <w:r>
        <w:rPr>
          <w:rFonts w:asciiTheme="minorHAnsi" w:hAnsiTheme="minorHAnsi" w:cstheme="minorHAnsi"/>
          <w:sz w:val="22"/>
          <w:szCs w:val="22"/>
        </w:rPr>
        <w:t>os</w:t>
      </w:r>
      <w:r w:rsidRPr="00090282">
        <w:rPr>
          <w:rFonts w:asciiTheme="minorHAnsi" w:hAnsiTheme="minorHAnsi" w:cstheme="minorHAnsi"/>
          <w:sz w:val="22"/>
          <w:szCs w:val="22"/>
        </w:rPr>
        <w:t xml:space="preserve"> Lietuvos higienos normos HN 134:2015 „Laisvės atėmimo vietų ir teritorinių policijos įstaigų areštinių sveikatos saugos reikalavimai“ (toliau – HN 134:2015) 2 punkte nustatyta, kad ši norma netaikoma laikinojo sulaikymo patalpoms (laikinojo sulaikymo, paskirstymo kameros), tačiau HN</w:t>
      </w:r>
      <w:r w:rsidR="00D15E64">
        <w:rPr>
          <w:rFonts w:asciiTheme="minorHAnsi" w:hAnsiTheme="minorHAnsi" w:cstheme="minorHAnsi"/>
          <w:sz w:val="22"/>
          <w:szCs w:val="22"/>
        </w:rPr>
        <w:t xml:space="preserve"> </w:t>
      </w:r>
      <w:r w:rsidRPr="00090282">
        <w:rPr>
          <w:rFonts w:asciiTheme="minorHAnsi" w:hAnsiTheme="minorHAnsi" w:cstheme="minorHAnsi"/>
          <w:sz w:val="22"/>
          <w:szCs w:val="22"/>
        </w:rPr>
        <w:t>134:2015 15 punkte nustatyta, kad natūralus apšvietimas gali būti neįrengiamas patalpose, kuriose asmenys laikomi ne ilgiau nei 24</w:t>
      </w:r>
      <w:r w:rsidR="00D15E64">
        <w:rPr>
          <w:rFonts w:asciiTheme="minorHAnsi" w:hAnsiTheme="minorHAnsi" w:cstheme="minorHAnsi"/>
          <w:sz w:val="22"/>
          <w:szCs w:val="22"/>
        </w:rPr>
        <w:t> </w:t>
      </w:r>
      <w:r w:rsidRPr="00090282">
        <w:rPr>
          <w:rFonts w:asciiTheme="minorHAnsi" w:hAnsiTheme="minorHAnsi" w:cstheme="minorHAnsi"/>
          <w:sz w:val="22"/>
          <w:szCs w:val="22"/>
        </w:rPr>
        <w:t xml:space="preserve">val. Taigi, </w:t>
      </w:r>
      <w:r>
        <w:rPr>
          <w:rFonts w:asciiTheme="minorHAnsi" w:hAnsiTheme="minorHAnsi" w:cstheme="minorHAnsi"/>
          <w:sz w:val="22"/>
          <w:szCs w:val="22"/>
        </w:rPr>
        <w:t xml:space="preserve">teisėjų kolegija </w:t>
      </w:r>
      <w:r w:rsidRPr="00090282">
        <w:rPr>
          <w:rFonts w:asciiTheme="minorHAnsi" w:hAnsiTheme="minorHAnsi" w:cstheme="minorHAnsi"/>
          <w:sz w:val="22"/>
          <w:szCs w:val="22"/>
        </w:rPr>
        <w:t>konstata</w:t>
      </w:r>
      <w:r>
        <w:rPr>
          <w:rFonts w:asciiTheme="minorHAnsi" w:hAnsiTheme="minorHAnsi" w:cstheme="minorHAnsi"/>
          <w:sz w:val="22"/>
          <w:szCs w:val="22"/>
        </w:rPr>
        <w:t>vo</w:t>
      </w:r>
      <w:r w:rsidRPr="00090282">
        <w:rPr>
          <w:rFonts w:asciiTheme="minorHAnsi" w:hAnsiTheme="minorHAnsi" w:cstheme="minorHAnsi"/>
          <w:sz w:val="22"/>
          <w:szCs w:val="22"/>
        </w:rPr>
        <w:t xml:space="preserve">, kad </w:t>
      </w:r>
      <w:r w:rsidRPr="00485737">
        <w:rPr>
          <w:rFonts w:asciiTheme="minorHAnsi" w:hAnsiTheme="minorHAnsi" w:cstheme="minorHAnsi"/>
          <w:sz w:val="22"/>
          <w:szCs w:val="22"/>
          <w:u w:val="single"/>
        </w:rPr>
        <w:t xml:space="preserve">jei asmuo laikinojo sulaikymo patalpoje laikomas ilgesnį </w:t>
      </w:r>
      <w:r>
        <w:rPr>
          <w:rFonts w:asciiTheme="minorHAnsi" w:hAnsiTheme="minorHAnsi" w:cstheme="minorHAnsi"/>
          <w:sz w:val="22"/>
          <w:szCs w:val="22"/>
          <w:u w:val="single"/>
        </w:rPr>
        <w:t xml:space="preserve">(nei 24 val.) </w:t>
      </w:r>
      <w:r w:rsidRPr="00485737">
        <w:rPr>
          <w:rFonts w:asciiTheme="minorHAnsi" w:hAnsiTheme="minorHAnsi" w:cstheme="minorHAnsi"/>
          <w:sz w:val="22"/>
          <w:szCs w:val="22"/>
          <w:u w:val="single"/>
        </w:rPr>
        <w:t>laiką, jam turi būti užtikrinamos visos gyvenamosioms patalpoms teisės aktų numatytos sąlygos, be kita ko, ir dėl natūralaus apšvietimo</w:t>
      </w:r>
      <w:r w:rsidRPr="00090282">
        <w:rPr>
          <w:rFonts w:asciiTheme="minorHAnsi" w:hAnsiTheme="minorHAnsi" w:cstheme="minorHAnsi"/>
          <w:sz w:val="22"/>
          <w:szCs w:val="22"/>
        </w:rPr>
        <w:t xml:space="preserve">, kaip tai nustatyta </w:t>
      </w:r>
      <w:r w:rsidRPr="00AB56E0">
        <w:rPr>
          <w:rFonts w:asciiTheme="minorHAnsi" w:hAnsiTheme="minorHAnsi" w:cstheme="minorHAnsi"/>
          <w:sz w:val="22"/>
          <w:szCs w:val="22"/>
        </w:rPr>
        <w:t>Kalėjimų departamento direktoriaus 2020 m. gruodžio 21 d. įsakymu Nr. V-389 patvirtintų</w:t>
      </w:r>
      <w:r>
        <w:rPr>
          <w:rFonts w:asciiTheme="minorHAnsi" w:hAnsiTheme="minorHAnsi" w:cstheme="minorHAnsi"/>
          <w:sz w:val="22"/>
          <w:szCs w:val="22"/>
        </w:rPr>
        <w:t xml:space="preserve"> </w:t>
      </w:r>
      <w:r w:rsidRPr="00AB56E0">
        <w:rPr>
          <w:rFonts w:asciiTheme="minorHAnsi" w:hAnsiTheme="minorHAnsi" w:cstheme="minorHAnsi"/>
          <w:sz w:val="22"/>
          <w:szCs w:val="22"/>
        </w:rPr>
        <w:t>Pataisos įstaigų (tardymo izoliatorių) įrengimo ir eksploatavimo taisyklių</w:t>
      </w:r>
      <w:r>
        <w:rPr>
          <w:rFonts w:asciiTheme="minorHAnsi" w:hAnsiTheme="minorHAnsi" w:cstheme="minorHAnsi"/>
          <w:sz w:val="22"/>
          <w:szCs w:val="22"/>
        </w:rPr>
        <w:t xml:space="preserve"> </w:t>
      </w:r>
      <w:r w:rsidRPr="00090282">
        <w:rPr>
          <w:rFonts w:asciiTheme="minorHAnsi" w:hAnsiTheme="minorHAnsi" w:cstheme="minorHAnsi"/>
          <w:sz w:val="22"/>
          <w:szCs w:val="22"/>
        </w:rPr>
        <w:t>12.7</w:t>
      </w:r>
      <w:r w:rsidR="00D15E64">
        <w:rPr>
          <w:rFonts w:asciiTheme="minorHAnsi" w:hAnsiTheme="minorHAnsi" w:cstheme="minorHAnsi"/>
          <w:sz w:val="22"/>
          <w:szCs w:val="22"/>
        </w:rPr>
        <w:t> </w:t>
      </w:r>
      <w:r w:rsidRPr="00090282">
        <w:rPr>
          <w:rFonts w:asciiTheme="minorHAnsi" w:hAnsiTheme="minorHAnsi" w:cstheme="minorHAnsi"/>
          <w:sz w:val="22"/>
          <w:szCs w:val="22"/>
        </w:rPr>
        <w:t xml:space="preserve">punkte, kuriame nurodyta, kad kamerose turi būti įrengiamas natūralus, dirbtinis ir naktinis (budintis) apšvietimas. </w:t>
      </w:r>
      <w:r>
        <w:rPr>
          <w:rFonts w:asciiTheme="minorHAnsi" w:hAnsiTheme="minorHAnsi" w:cstheme="minorHAnsi"/>
          <w:sz w:val="22"/>
          <w:szCs w:val="22"/>
        </w:rPr>
        <w:t>Be to, p</w:t>
      </w:r>
      <w:r w:rsidRPr="00090282">
        <w:rPr>
          <w:rFonts w:asciiTheme="minorHAnsi" w:hAnsiTheme="minorHAnsi" w:cstheme="minorHAnsi"/>
          <w:sz w:val="22"/>
          <w:szCs w:val="22"/>
        </w:rPr>
        <w:t xml:space="preserve">ažymėta, jog atsakovo atstovas nepateikė duomenų, </w:t>
      </w:r>
      <w:r>
        <w:rPr>
          <w:rFonts w:asciiTheme="minorHAnsi" w:hAnsiTheme="minorHAnsi" w:cstheme="minorHAnsi"/>
          <w:sz w:val="22"/>
          <w:szCs w:val="22"/>
        </w:rPr>
        <w:t>kad</w:t>
      </w:r>
      <w:r w:rsidRPr="00090282">
        <w:rPr>
          <w:rFonts w:asciiTheme="minorHAnsi" w:hAnsiTheme="minorHAnsi" w:cstheme="minorHAnsi"/>
          <w:sz w:val="22"/>
          <w:szCs w:val="22"/>
        </w:rPr>
        <w:t xml:space="preserve"> pareiškėjas, kuris nuo 2023 m. kovo 17 d. iki 2023 m. kovo 21 d. praleido laikino</w:t>
      </w:r>
      <w:r w:rsidR="00D15E64">
        <w:rPr>
          <w:rFonts w:asciiTheme="minorHAnsi" w:hAnsiTheme="minorHAnsi" w:cstheme="minorHAnsi"/>
          <w:sz w:val="22"/>
          <w:szCs w:val="22"/>
        </w:rPr>
        <w:t>jo</w:t>
      </w:r>
      <w:r w:rsidRPr="00090282">
        <w:rPr>
          <w:rFonts w:asciiTheme="minorHAnsi" w:hAnsiTheme="minorHAnsi" w:cstheme="minorHAnsi"/>
          <w:sz w:val="22"/>
          <w:szCs w:val="22"/>
        </w:rPr>
        <w:t xml:space="preserve"> sulaikymo patalpoje Nr. 5 be natūralaus apšvietimo, ginčo laikotarpiu dienos metu buvo vedamas pasivaikščioti į lauką ar jam kitaip buvo sušvelnintas HN 134:2015 neatitinkančių jo laikymų sąlygų neigiamas poveikis.</w:t>
      </w:r>
    </w:p>
    <w:p w14:paraId="45BF8FF5" w14:textId="3A33F44C" w:rsidR="00EF71D1" w:rsidRDefault="00EF71D1" w:rsidP="00EF71D1">
      <w:pPr>
        <w:ind w:firstLine="567"/>
        <w:jc w:val="both"/>
        <w:rPr>
          <w:rFonts w:asciiTheme="minorHAnsi" w:hAnsiTheme="minorHAnsi" w:cstheme="minorHAnsi"/>
          <w:sz w:val="22"/>
          <w:szCs w:val="22"/>
        </w:rPr>
      </w:pPr>
      <w:r w:rsidRPr="00380BF7">
        <w:rPr>
          <w:rFonts w:asciiTheme="minorHAnsi" w:hAnsiTheme="minorHAnsi" w:cstheme="minorHAnsi"/>
          <w:sz w:val="22"/>
          <w:szCs w:val="22"/>
        </w:rPr>
        <w:t xml:space="preserve">Teisėjų kolegija taip pat </w:t>
      </w:r>
      <w:r>
        <w:rPr>
          <w:rFonts w:asciiTheme="minorHAnsi" w:hAnsiTheme="minorHAnsi" w:cstheme="minorHAnsi"/>
          <w:sz w:val="22"/>
          <w:szCs w:val="22"/>
        </w:rPr>
        <w:t>sprendė</w:t>
      </w:r>
      <w:r w:rsidRPr="00380BF7">
        <w:rPr>
          <w:rFonts w:asciiTheme="minorHAnsi" w:hAnsiTheme="minorHAnsi" w:cstheme="minorHAnsi"/>
          <w:sz w:val="22"/>
          <w:szCs w:val="22"/>
        </w:rPr>
        <w:t xml:space="preserve">, </w:t>
      </w:r>
      <w:r>
        <w:rPr>
          <w:rFonts w:asciiTheme="minorHAnsi" w:hAnsiTheme="minorHAnsi" w:cstheme="minorHAnsi"/>
          <w:sz w:val="22"/>
          <w:szCs w:val="22"/>
        </w:rPr>
        <w:t xml:space="preserve">kad </w:t>
      </w:r>
      <w:r w:rsidRPr="00C460B3">
        <w:rPr>
          <w:rFonts w:asciiTheme="minorHAnsi" w:hAnsiTheme="minorHAnsi" w:cstheme="minorHAnsi"/>
          <w:sz w:val="22"/>
          <w:szCs w:val="22"/>
          <w:u w:val="single"/>
        </w:rPr>
        <w:t>nuostatos, jog specialiosioms trumpalaikio laikymo patalpoms aprūpinimo baldais ir kitu inventoriumi reikalavimai netaikomi, galioja tik</w:t>
      </w:r>
      <w:r>
        <w:rPr>
          <w:rFonts w:asciiTheme="minorHAnsi" w:hAnsiTheme="minorHAnsi" w:cstheme="minorHAnsi"/>
          <w:sz w:val="22"/>
          <w:szCs w:val="22"/>
          <w:u w:val="single"/>
        </w:rPr>
        <w:t xml:space="preserve"> tais</w:t>
      </w:r>
      <w:r w:rsidRPr="00C460B3">
        <w:rPr>
          <w:rFonts w:asciiTheme="minorHAnsi" w:hAnsiTheme="minorHAnsi" w:cstheme="minorHAnsi"/>
          <w:sz w:val="22"/>
          <w:szCs w:val="22"/>
          <w:u w:val="single"/>
        </w:rPr>
        <w:t xml:space="preserve"> atvejais, kai laikino</w:t>
      </w:r>
      <w:r w:rsidR="00D15E64">
        <w:rPr>
          <w:rFonts w:asciiTheme="minorHAnsi" w:hAnsiTheme="minorHAnsi" w:cstheme="minorHAnsi"/>
          <w:sz w:val="22"/>
          <w:szCs w:val="22"/>
          <w:u w:val="single"/>
        </w:rPr>
        <w:t>jo</w:t>
      </w:r>
      <w:r w:rsidRPr="00C460B3">
        <w:rPr>
          <w:rFonts w:asciiTheme="minorHAnsi" w:hAnsiTheme="minorHAnsi" w:cstheme="minorHAnsi"/>
          <w:sz w:val="22"/>
          <w:szCs w:val="22"/>
          <w:u w:val="single"/>
        </w:rPr>
        <w:t xml:space="preserve"> sulaikymo patalpa naudojama pagal tiesioginę paskirtį, t. y. nuteistiesiems laikyti ne ilgiau kaip 4</w:t>
      </w:r>
      <w:r>
        <w:rPr>
          <w:rFonts w:asciiTheme="minorHAnsi" w:hAnsiTheme="minorHAnsi" w:cstheme="minorHAnsi"/>
          <w:sz w:val="22"/>
          <w:szCs w:val="22"/>
          <w:u w:val="single"/>
        </w:rPr>
        <w:t xml:space="preserve"> </w:t>
      </w:r>
      <w:r w:rsidRPr="00C460B3">
        <w:rPr>
          <w:rFonts w:asciiTheme="minorHAnsi" w:hAnsiTheme="minorHAnsi" w:cstheme="minorHAnsi"/>
          <w:sz w:val="22"/>
          <w:szCs w:val="22"/>
          <w:u w:val="single"/>
        </w:rPr>
        <w:t>val.</w:t>
      </w:r>
      <w:r>
        <w:rPr>
          <w:rFonts w:asciiTheme="minorHAnsi" w:hAnsiTheme="minorHAnsi" w:cstheme="minorHAnsi"/>
          <w:sz w:val="22"/>
          <w:szCs w:val="22"/>
        </w:rPr>
        <w:t xml:space="preserve"> Kadangi </w:t>
      </w:r>
      <w:r w:rsidRPr="008509AF">
        <w:rPr>
          <w:rFonts w:asciiTheme="minorHAnsi" w:hAnsiTheme="minorHAnsi" w:cstheme="minorHAnsi"/>
          <w:sz w:val="22"/>
          <w:szCs w:val="22"/>
        </w:rPr>
        <w:t>Lietuvos kalėjimų tarnyb</w:t>
      </w:r>
      <w:r>
        <w:rPr>
          <w:rFonts w:asciiTheme="minorHAnsi" w:hAnsiTheme="minorHAnsi" w:cstheme="minorHAnsi"/>
          <w:sz w:val="22"/>
          <w:szCs w:val="22"/>
        </w:rPr>
        <w:t>a</w:t>
      </w:r>
      <w:r w:rsidRPr="008509AF">
        <w:rPr>
          <w:rFonts w:asciiTheme="minorHAnsi" w:hAnsiTheme="minorHAnsi" w:cstheme="minorHAnsi"/>
          <w:sz w:val="22"/>
          <w:szCs w:val="22"/>
        </w:rPr>
        <w:t xml:space="preserve"> </w:t>
      </w:r>
      <w:r w:rsidRPr="00380BF7">
        <w:rPr>
          <w:rFonts w:asciiTheme="minorHAnsi" w:hAnsiTheme="minorHAnsi" w:cstheme="minorHAnsi"/>
          <w:sz w:val="22"/>
          <w:szCs w:val="22"/>
        </w:rPr>
        <w:t xml:space="preserve">nenurodė, o </w:t>
      </w:r>
      <w:r>
        <w:rPr>
          <w:rFonts w:asciiTheme="minorHAnsi" w:hAnsiTheme="minorHAnsi" w:cstheme="minorHAnsi"/>
          <w:sz w:val="22"/>
          <w:szCs w:val="22"/>
        </w:rPr>
        <w:t>LVAT</w:t>
      </w:r>
      <w:r w:rsidRPr="00380BF7">
        <w:rPr>
          <w:rFonts w:asciiTheme="minorHAnsi" w:hAnsiTheme="minorHAnsi" w:cstheme="minorHAnsi"/>
          <w:sz w:val="22"/>
          <w:szCs w:val="22"/>
        </w:rPr>
        <w:t xml:space="preserve"> iš byloje pateiktų duomenų nenustatė, jog laikino</w:t>
      </w:r>
      <w:r w:rsidR="00D7500E">
        <w:rPr>
          <w:rFonts w:asciiTheme="minorHAnsi" w:hAnsiTheme="minorHAnsi" w:cstheme="minorHAnsi"/>
          <w:sz w:val="22"/>
          <w:szCs w:val="22"/>
        </w:rPr>
        <w:t>jo</w:t>
      </w:r>
      <w:r w:rsidRPr="00380BF7">
        <w:rPr>
          <w:rFonts w:asciiTheme="minorHAnsi" w:hAnsiTheme="minorHAnsi" w:cstheme="minorHAnsi"/>
          <w:sz w:val="22"/>
          <w:szCs w:val="22"/>
        </w:rPr>
        <w:t xml:space="preserve"> sulaikymo patalpoje Nr.</w:t>
      </w:r>
      <w:r w:rsidR="00D7500E">
        <w:rPr>
          <w:rFonts w:asciiTheme="minorHAnsi" w:hAnsiTheme="minorHAnsi" w:cstheme="minorHAnsi"/>
          <w:sz w:val="22"/>
          <w:szCs w:val="22"/>
        </w:rPr>
        <w:t> </w:t>
      </w:r>
      <w:r w:rsidRPr="00380BF7">
        <w:rPr>
          <w:rFonts w:asciiTheme="minorHAnsi" w:hAnsiTheme="minorHAnsi" w:cstheme="minorHAnsi"/>
          <w:sz w:val="22"/>
          <w:szCs w:val="22"/>
        </w:rPr>
        <w:t xml:space="preserve">5 </w:t>
      </w:r>
      <w:r>
        <w:rPr>
          <w:rFonts w:asciiTheme="minorHAnsi" w:hAnsiTheme="minorHAnsi" w:cstheme="minorHAnsi"/>
          <w:sz w:val="22"/>
          <w:szCs w:val="22"/>
        </w:rPr>
        <w:t xml:space="preserve">ginčo </w:t>
      </w:r>
      <w:r w:rsidRPr="00380BF7">
        <w:rPr>
          <w:rFonts w:asciiTheme="minorHAnsi" w:hAnsiTheme="minorHAnsi" w:cstheme="minorHAnsi"/>
          <w:sz w:val="22"/>
          <w:szCs w:val="22"/>
        </w:rPr>
        <w:t xml:space="preserve">laikotarpiu buvo </w:t>
      </w:r>
      <w:r>
        <w:rPr>
          <w:rFonts w:asciiTheme="minorHAnsi" w:hAnsiTheme="minorHAnsi" w:cstheme="minorHAnsi"/>
          <w:sz w:val="22"/>
          <w:szCs w:val="22"/>
        </w:rPr>
        <w:t>visi</w:t>
      </w:r>
      <w:r w:rsidRPr="00380BF7">
        <w:rPr>
          <w:rFonts w:asciiTheme="minorHAnsi" w:hAnsiTheme="minorHAnsi" w:cstheme="minorHAnsi"/>
          <w:sz w:val="22"/>
          <w:szCs w:val="22"/>
        </w:rPr>
        <w:t xml:space="preserve"> baldai ir inventorius, kaip tai numatyta Aprūpinimo normų reikalavimuose, t. y.</w:t>
      </w:r>
      <w:r>
        <w:rPr>
          <w:rFonts w:asciiTheme="minorHAnsi" w:hAnsiTheme="minorHAnsi" w:cstheme="minorHAnsi"/>
          <w:sz w:val="22"/>
          <w:szCs w:val="22"/>
        </w:rPr>
        <w:t xml:space="preserve"> kad nurodytoje patalpoje</w:t>
      </w:r>
      <w:r w:rsidRPr="00380BF7">
        <w:rPr>
          <w:rFonts w:asciiTheme="minorHAnsi" w:hAnsiTheme="minorHAnsi" w:cstheme="minorHAnsi"/>
          <w:sz w:val="22"/>
          <w:szCs w:val="22"/>
        </w:rPr>
        <w:t xml:space="preserve"> </w:t>
      </w:r>
      <w:r>
        <w:rPr>
          <w:rFonts w:asciiTheme="minorHAnsi" w:hAnsiTheme="minorHAnsi" w:cstheme="minorHAnsi"/>
          <w:sz w:val="22"/>
          <w:szCs w:val="22"/>
        </w:rPr>
        <w:t xml:space="preserve">buvo ir </w:t>
      </w:r>
      <w:r w:rsidRPr="00380BF7">
        <w:rPr>
          <w:rFonts w:asciiTheme="minorHAnsi" w:hAnsiTheme="minorHAnsi" w:cstheme="minorHAnsi"/>
          <w:sz w:val="22"/>
          <w:szCs w:val="22"/>
        </w:rPr>
        <w:t>spintelė, stalas, suolas arba kėdė, arba taburetė, maisto produktų laikymo spintelė arba lentyna, viršutinių drabužių pakaba, šiukšlių dėžė, veidrodis</w:t>
      </w:r>
      <w:r>
        <w:rPr>
          <w:rFonts w:asciiTheme="minorHAnsi" w:hAnsiTheme="minorHAnsi" w:cstheme="minorHAnsi"/>
          <w:sz w:val="22"/>
          <w:szCs w:val="22"/>
        </w:rPr>
        <w:t>, pažeidimas konstatuotas ir šiuo aspektu.</w:t>
      </w:r>
    </w:p>
    <w:p w14:paraId="610294ED" w14:textId="380BB4A4" w:rsidR="00EF71D1" w:rsidRDefault="00EF71D1" w:rsidP="00EF71D1">
      <w:pPr>
        <w:ind w:firstLine="567"/>
        <w:jc w:val="both"/>
        <w:rPr>
          <w:rFonts w:asciiTheme="minorHAnsi" w:hAnsiTheme="minorHAnsi" w:cstheme="minorHAnsi"/>
          <w:sz w:val="22"/>
          <w:szCs w:val="22"/>
        </w:rPr>
      </w:pPr>
      <w:r>
        <w:rPr>
          <w:rFonts w:asciiTheme="minorHAnsi" w:hAnsiTheme="minorHAnsi" w:cstheme="minorHAnsi"/>
          <w:sz w:val="22"/>
          <w:szCs w:val="22"/>
        </w:rPr>
        <w:t>Remiantis nurodytomis aplinkybėmis, pareiškėjo apeliacinis skundas tenkintas iš dalies, pirmosios instancijos teismo sprendimas pakeistas ir pareiškėjui</w:t>
      </w:r>
      <w:r w:rsidRPr="00FE47BD">
        <w:rPr>
          <w:rFonts w:asciiTheme="minorHAnsi" w:hAnsiTheme="minorHAnsi" w:cstheme="minorHAnsi"/>
          <w:sz w:val="22"/>
          <w:szCs w:val="22"/>
        </w:rPr>
        <w:t xml:space="preserve"> </w:t>
      </w:r>
      <w:r>
        <w:rPr>
          <w:rFonts w:asciiTheme="minorHAnsi" w:hAnsiTheme="minorHAnsi" w:cstheme="minorHAnsi"/>
          <w:sz w:val="22"/>
          <w:szCs w:val="22"/>
        </w:rPr>
        <w:t xml:space="preserve">dėl byloje nustatytų pažeidimų iš atsakovo Lietuvos valstybės </w:t>
      </w:r>
      <w:r w:rsidR="00B728CC">
        <w:rPr>
          <w:rFonts w:asciiTheme="minorHAnsi" w:hAnsiTheme="minorHAnsi" w:cstheme="minorHAnsi"/>
          <w:sz w:val="22"/>
          <w:szCs w:val="22"/>
        </w:rPr>
        <w:t xml:space="preserve">priteista </w:t>
      </w:r>
      <w:r>
        <w:rPr>
          <w:rFonts w:asciiTheme="minorHAnsi" w:hAnsiTheme="minorHAnsi" w:cstheme="minorHAnsi"/>
          <w:sz w:val="22"/>
          <w:szCs w:val="22"/>
        </w:rPr>
        <w:t>200 Eur neturtinei žalai atlyginti, taip pat procesinės palūkanos nuo šios sumos.</w:t>
      </w:r>
    </w:p>
    <w:p w14:paraId="3B1829A8" w14:textId="77777777" w:rsidR="00EF71D1" w:rsidRDefault="00EF71D1" w:rsidP="00EF71D1">
      <w:pPr>
        <w:ind w:firstLine="567"/>
        <w:jc w:val="both"/>
        <w:rPr>
          <w:rFonts w:asciiTheme="minorHAnsi" w:hAnsiTheme="minorHAnsi" w:cstheme="minorHAnsi"/>
          <w:sz w:val="22"/>
          <w:szCs w:val="22"/>
        </w:rPr>
      </w:pPr>
    </w:p>
    <w:p w14:paraId="2902D88A" w14:textId="77777777" w:rsidR="00EF71D1" w:rsidRPr="009D7FC8" w:rsidRDefault="00EF71D1" w:rsidP="00EF71D1">
      <w:pPr>
        <w:jc w:val="both"/>
        <w:rPr>
          <w:rFonts w:asciiTheme="minorHAnsi" w:hAnsiTheme="minorHAnsi" w:cstheme="minorHAnsi"/>
          <w:sz w:val="22"/>
          <w:szCs w:val="22"/>
        </w:rPr>
      </w:pPr>
      <w:r w:rsidRPr="009D7FC8">
        <w:rPr>
          <w:rFonts w:asciiTheme="minorHAnsi" w:hAnsiTheme="minorHAnsi" w:cstheme="minorHAnsi"/>
          <w:bCs/>
          <w:sz w:val="22"/>
          <w:szCs w:val="22"/>
        </w:rPr>
        <w:t xml:space="preserve">2025 m. </w:t>
      </w:r>
      <w:r w:rsidRPr="003133AC">
        <w:rPr>
          <w:rFonts w:asciiTheme="minorHAnsi" w:hAnsiTheme="minorHAnsi" w:cstheme="minorHAnsi"/>
          <w:bCs/>
          <w:sz w:val="22"/>
          <w:szCs w:val="22"/>
        </w:rPr>
        <w:t xml:space="preserve">balandžio </w:t>
      </w:r>
      <w:r>
        <w:rPr>
          <w:rFonts w:asciiTheme="minorHAnsi" w:hAnsiTheme="minorHAnsi" w:cstheme="minorHAnsi"/>
          <w:bCs/>
          <w:sz w:val="22"/>
          <w:szCs w:val="22"/>
        </w:rPr>
        <w:t>30</w:t>
      </w:r>
      <w:r w:rsidRPr="003133AC">
        <w:rPr>
          <w:rFonts w:asciiTheme="minorHAnsi" w:hAnsiTheme="minorHAnsi" w:cstheme="minorHAnsi"/>
          <w:bCs/>
          <w:sz w:val="22"/>
          <w:szCs w:val="22"/>
        </w:rPr>
        <w:t xml:space="preserve"> </w:t>
      </w:r>
      <w:r w:rsidRPr="009D7FC8">
        <w:rPr>
          <w:rFonts w:asciiTheme="minorHAnsi" w:hAnsiTheme="minorHAnsi" w:cstheme="minorHAnsi"/>
          <w:sz w:val="22"/>
          <w:szCs w:val="22"/>
        </w:rPr>
        <w:t xml:space="preserve">d. nutartis administracinėje byloje Nr. </w:t>
      </w:r>
      <w:r w:rsidRPr="00B310ED">
        <w:rPr>
          <w:rFonts w:asciiTheme="minorHAnsi" w:hAnsiTheme="minorHAnsi" w:cstheme="minorHAnsi"/>
          <w:bCs/>
          <w:sz w:val="22"/>
          <w:szCs w:val="22"/>
        </w:rPr>
        <w:t>eTA-30-624/2025</w:t>
      </w:r>
    </w:p>
    <w:p w14:paraId="6D39FD0C" w14:textId="77777777" w:rsidR="00EF71D1" w:rsidRPr="009D7FC8" w:rsidRDefault="00EF71D1" w:rsidP="00EF71D1">
      <w:pPr>
        <w:jc w:val="both"/>
        <w:rPr>
          <w:rFonts w:asciiTheme="minorHAnsi" w:hAnsiTheme="minorHAnsi" w:cstheme="minorHAnsi"/>
          <w:bCs/>
          <w:sz w:val="22"/>
          <w:szCs w:val="22"/>
        </w:rPr>
      </w:pPr>
      <w:r w:rsidRPr="009D7FC8">
        <w:rPr>
          <w:rFonts w:asciiTheme="minorHAnsi" w:hAnsiTheme="minorHAnsi" w:cstheme="minorHAnsi"/>
          <w:sz w:val="22"/>
          <w:szCs w:val="22"/>
        </w:rPr>
        <w:t xml:space="preserve">Teisminio proceso Nr. </w:t>
      </w:r>
      <w:r w:rsidRPr="00B310ED">
        <w:rPr>
          <w:rFonts w:asciiTheme="minorHAnsi" w:hAnsiTheme="minorHAnsi" w:cstheme="minorHAnsi"/>
          <w:bCs/>
          <w:sz w:val="22"/>
          <w:szCs w:val="22"/>
        </w:rPr>
        <w:t>3-61-3-09821-2023-0</w:t>
      </w:r>
    </w:p>
    <w:p w14:paraId="64ADAA2C" w14:textId="77777777" w:rsidR="00EF71D1" w:rsidRPr="009D7FC8" w:rsidRDefault="00EF71D1" w:rsidP="00EF71D1">
      <w:pPr>
        <w:jc w:val="both"/>
        <w:rPr>
          <w:rFonts w:asciiTheme="minorHAnsi" w:hAnsiTheme="minorHAnsi" w:cstheme="minorHAnsi"/>
          <w:sz w:val="22"/>
          <w:szCs w:val="22"/>
          <w:u w:val="single"/>
        </w:rPr>
      </w:pPr>
      <w:hyperlink r:id="rId14" w:history="1">
        <w:r w:rsidRPr="009D7FC8">
          <w:rPr>
            <w:rStyle w:val="Hyperlink"/>
            <w:rFonts w:asciiTheme="minorHAnsi" w:hAnsiTheme="minorHAnsi" w:cstheme="minorHAnsi"/>
            <w:sz w:val="22"/>
            <w:szCs w:val="22"/>
          </w:rPr>
          <w:t>Prieiga internete</w:t>
        </w:r>
      </w:hyperlink>
    </w:p>
    <w:p w14:paraId="310100CA" w14:textId="77777777" w:rsidR="00EF71D1" w:rsidRDefault="00EF71D1" w:rsidP="000A68E9">
      <w:pPr>
        <w:jc w:val="both"/>
        <w:rPr>
          <w:rFonts w:asciiTheme="minorHAnsi" w:hAnsiTheme="minorHAnsi" w:cstheme="minorHAnsi"/>
          <w:sz w:val="22"/>
          <w:szCs w:val="22"/>
          <w:highlight w:val="yellow"/>
        </w:rPr>
      </w:pPr>
    </w:p>
    <w:p w14:paraId="1D7F76D5" w14:textId="77777777" w:rsidR="00F76A73" w:rsidRPr="00F76A73" w:rsidRDefault="00F76A73" w:rsidP="00F76A73">
      <w:pPr>
        <w:pStyle w:val="Apzvalgai1"/>
        <w:rPr>
          <w:rFonts w:asciiTheme="minorHAnsi" w:hAnsiTheme="minorHAnsi" w:cstheme="minorHAnsi"/>
        </w:rPr>
      </w:pPr>
      <w:bookmarkStart w:id="30" w:name="_Toc199503146"/>
      <w:r w:rsidRPr="00F76A73">
        <w:rPr>
          <w:rFonts w:asciiTheme="minorHAnsi" w:hAnsiTheme="minorHAnsi" w:cstheme="minorHAnsi"/>
        </w:rPr>
        <w:t>22. Kiti su valstybės tarnyba</w:t>
      </w:r>
      <w:r w:rsidRPr="00F76A73" w:rsidDel="00E3531F">
        <w:rPr>
          <w:rFonts w:asciiTheme="minorHAnsi" w:hAnsiTheme="minorHAnsi" w:cstheme="minorHAnsi"/>
        </w:rPr>
        <w:t xml:space="preserve"> </w:t>
      </w:r>
      <w:r w:rsidRPr="00F76A73">
        <w:rPr>
          <w:rFonts w:asciiTheme="minorHAnsi" w:hAnsiTheme="minorHAnsi" w:cstheme="minorHAnsi"/>
        </w:rPr>
        <w:t>susiję klausimai</w:t>
      </w:r>
      <w:bookmarkEnd w:id="30"/>
    </w:p>
    <w:p w14:paraId="3DFE7A02" w14:textId="77777777" w:rsidR="00F76A73" w:rsidRPr="00F76A73" w:rsidRDefault="00F76A73" w:rsidP="00F76A73">
      <w:pPr>
        <w:ind w:firstLine="567"/>
        <w:jc w:val="both"/>
        <w:rPr>
          <w:rFonts w:asciiTheme="minorHAnsi" w:hAnsiTheme="minorHAnsi" w:cstheme="minorHAnsi"/>
          <w:b/>
          <w:bCs/>
          <w:sz w:val="22"/>
          <w:szCs w:val="22"/>
          <w:u w:val="single"/>
        </w:rPr>
      </w:pPr>
      <w:r w:rsidRPr="00F76A73">
        <w:rPr>
          <w:rFonts w:asciiTheme="minorHAnsi" w:hAnsiTheme="minorHAnsi" w:cstheme="minorHAnsi"/>
          <w:b/>
          <w:bCs/>
          <w:sz w:val="22"/>
          <w:szCs w:val="22"/>
          <w:u w:val="single"/>
        </w:rPr>
        <w:t>22.4. Valstybės tarnautojų socialinės ir kitos garantijos</w:t>
      </w:r>
    </w:p>
    <w:p w14:paraId="669B7425" w14:textId="77777777" w:rsidR="00F76A73" w:rsidRPr="00F76A73" w:rsidRDefault="00F76A73" w:rsidP="00F76A73">
      <w:pPr>
        <w:ind w:firstLine="1134"/>
        <w:jc w:val="both"/>
        <w:rPr>
          <w:rFonts w:asciiTheme="minorHAnsi" w:hAnsiTheme="minorHAnsi" w:cstheme="minorHAnsi"/>
          <w:b/>
          <w:bCs/>
          <w:sz w:val="22"/>
          <w:szCs w:val="22"/>
          <w:u w:val="single"/>
        </w:rPr>
      </w:pPr>
      <w:r w:rsidRPr="00F76A73">
        <w:rPr>
          <w:rFonts w:asciiTheme="minorHAnsi" w:hAnsiTheme="minorHAnsi" w:cstheme="minorHAnsi"/>
          <w:b/>
          <w:bCs/>
          <w:sz w:val="22"/>
          <w:szCs w:val="22"/>
          <w:u w:val="single"/>
        </w:rPr>
        <w:t>22.4.4. Kitos valstybės tarnautojų garantijos</w:t>
      </w:r>
    </w:p>
    <w:p w14:paraId="74C38BFA" w14:textId="77777777" w:rsidR="00F76A73" w:rsidRPr="00F76A73" w:rsidRDefault="00F76A73" w:rsidP="00F76A73">
      <w:pPr>
        <w:jc w:val="both"/>
        <w:rPr>
          <w:rFonts w:asciiTheme="minorHAnsi" w:hAnsiTheme="minorHAnsi" w:cstheme="minorHAnsi"/>
          <w:b/>
          <w:bCs/>
          <w:sz w:val="22"/>
          <w:szCs w:val="22"/>
          <w:u w:val="single"/>
        </w:rPr>
      </w:pPr>
    </w:p>
    <w:p w14:paraId="0CDDDC2D" w14:textId="77777777" w:rsidR="00F76A73" w:rsidRPr="00F76A73" w:rsidRDefault="00F76A73" w:rsidP="00F76A73">
      <w:pPr>
        <w:jc w:val="both"/>
        <w:outlineLvl w:val="1"/>
        <w:rPr>
          <w:rFonts w:asciiTheme="minorHAnsi" w:eastAsia="Calibri" w:hAnsiTheme="minorHAnsi" w:cstheme="minorHAnsi"/>
          <w:i/>
          <w:sz w:val="22"/>
          <w:szCs w:val="22"/>
        </w:rPr>
      </w:pPr>
      <w:bookmarkStart w:id="31" w:name="_Toc199503147"/>
      <w:r w:rsidRPr="00F76A73">
        <w:rPr>
          <w:rFonts w:asciiTheme="minorHAnsi" w:eastAsia="Calibri" w:hAnsiTheme="minorHAnsi" w:cstheme="minorHAnsi"/>
          <w:i/>
          <w:sz w:val="22"/>
          <w:szCs w:val="22"/>
        </w:rPr>
        <w:t>Dėl savanoriško kario dalyvavimo renginyje susiejimo su tarnybos pareigų vykdymu</w:t>
      </w:r>
      <w:bookmarkEnd w:id="31"/>
    </w:p>
    <w:p w14:paraId="3654629F" w14:textId="77777777" w:rsidR="00F76A73" w:rsidRPr="00F76A73" w:rsidRDefault="00F76A73" w:rsidP="00F76A73">
      <w:pPr>
        <w:ind w:firstLine="567"/>
        <w:rPr>
          <w:rFonts w:asciiTheme="minorHAnsi" w:hAnsiTheme="minorHAnsi" w:cstheme="minorHAnsi"/>
          <w:bCs/>
          <w:sz w:val="22"/>
          <w:szCs w:val="22"/>
          <w:lang w:eastAsia="en-US"/>
        </w:rPr>
      </w:pPr>
    </w:p>
    <w:p w14:paraId="5E58310C" w14:textId="161BC794" w:rsidR="00F76A73" w:rsidRPr="00F76A73" w:rsidRDefault="00F76A73" w:rsidP="00F76A73">
      <w:pPr>
        <w:pStyle w:val="NormalWeb"/>
        <w:shd w:val="clear" w:color="auto" w:fill="FFFFFF"/>
        <w:spacing w:before="0" w:beforeAutospacing="0" w:after="0" w:afterAutospacing="0"/>
        <w:ind w:firstLine="567"/>
        <w:jc w:val="both"/>
        <w:rPr>
          <w:rFonts w:asciiTheme="minorHAnsi" w:hAnsiTheme="minorHAnsi" w:cstheme="minorHAnsi"/>
          <w:bCs/>
          <w:sz w:val="22"/>
          <w:szCs w:val="22"/>
          <w:lang w:val="lt-LT"/>
        </w:rPr>
      </w:pPr>
      <w:r w:rsidRPr="00F76A73">
        <w:rPr>
          <w:rFonts w:asciiTheme="minorHAnsi" w:hAnsiTheme="minorHAnsi" w:cstheme="minorHAnsi"/>
          <w:bCs/>
          <w:sz w:val="22"/>
          <w:szCs w:val="22"/>
          <w:lang w:val="lt-LT"/>
        </w:rPr>
        <w:t>Pareiškėjas K. B. kreipėsi į teismą</w:t>
      </w:r>
      <w:r w:rsidR="00C11139">
        <w:rPr>
          <w:rFonts w:asciiTheme="minorHAnsi" w:hAnsiTheme="minorHAnsi" w:cstheme="minorHAnsi"/>
          <w:bCs/>
          <w:sz w:val="22"/>
          <w:szCs w:val="22"/>
          <w:lang w:val="lt-LT"/>
        </w:rPr>
        <w:t>,</w:t>
      </w:r>
      <w:r w:rsidRPr="00F76A73">
        <w:rPr>
          <w:rFonts w:asciiTheme="minorHAnsi" w:hAnsiTheme="minorHAnsi" w:cstheme="minorHAnsi"/>
          <w:bCs/>
          <w:sz w:val="22"/>
          <w:szCs w:val="22"/>
          <w:lang w:val="lt-LT"/>
        </w:rPr>
        <w:t xml:space="preserve"> ginčydamas </w:t>
      </w:r>
      <w:r w:rsidR="00C11139">
        <w:rPr>
          <w:rFonts w:asciiTheme="minorHAnsi" w:hAnsiTheme="minorHAnsi" w:cstheme="minorHAnsi"/>
          <w:bCs/>
          <w:sz w:val="22"/>
          <w:szCs w:val="22"/>
          <w:lang w:val="lt-LT"/>
        </w:rPr>
        <w:t>K</w:t>
      </w:r>
      <w:r w:rsidRPr="00F76A73">
        <w:rPr>
          <w:rFonts w:asciiTheme="minorHAnsi" w:hAnsiTheme="minorHAnsi" w:cstheme="minorHAnsi"/>
          <w:bCs/>
          <w:sz w:val="22"/>
          <w:szCs w:val="22"/>
          <w:lang w:val="lt-LT"/>
        </w:rPr>
        <w:t>rašto apsaugos ministerijos Tarnybinio tyrimo komisijos (toliau – Komisija) sprendimą, kuriuo pareiškėjo patirt</w:t>
      </w:r>
      <w:r w:rsidR="00C11139">
        <w:rPr>
          <w:rFonts w:asciiTheme="minorHAnsi" w:hAnsiTheme="minorHAnsi" w:cstheme="minorHAnsi"/>
          <w:bCs/>
          <w:sz w:val="22"/>
          <w:szCs w:val="22"/>
          <w:lang w:val="lt-LT"/>
        </w:rPr>
        <w:t>i</w:t>
      </w:r>
      <w:r w:rsidRPr="00F76A73">
        <w:rPr>
          <w:rFonts w:asciiTheme="minorHAnsi" w:hAnsiTheme="minorHAnsi" w:cstheme="minorHAnsi"/>
          <w:bCs/>
          <w:sz w:val="22"/>
          <w:szCs w:val="22"/>
          <w:lang w:val="lt-LT"/>
        </w:rPr>
        <w:t xml:space="preserve"> sveikatos sutrikim</w:t>
      </w:r>
      <w:r w:rsidR="00C11139">
        <w:rPr>
          <w:rFonts w:asciiTheme="minorHAnsi" w:hAnsiTheme="minorHAnsi" w:cstheme="minorHAnsi"/>
          <w:bCs/>
          <w:sz w:val="22"/>
          <w:szCs w:val="22"/>
          <w:lang w:val="lt-LT"/>
        </w:rPr>
        <w:t>ai</w:t>
      </w:r>
      <w:r w:rsidRPr="00F76A73">
        <w:rPr>
          <w:rFonts w:asciiTheme="minorHAnsi" w:hAnsiTheme="minorHAnsi" w:cstheme="minorHAnsi"/>
          <w:bCs/>
          <w:sz w:val="22"/>
          <w:szCs w:val="22"/>
          <w:lang w:val="lt-LT"/>
        </w:rPr>
        <w:t xml:space="preserve"> (duomenys neskelbtini) pripažinti nesusijusiais su tarnybos pareigų vykdymu.</w:t>
      </w:r>
    </w:p>
    <w:p w14:paraId="785E778B" w14:textId="0832D54F" w:rsidR="00F76A73" w:rsidRPr="00F76A73" w:rsidRDefault="00F76A73" w:rsidP="28FC6351">
      <w:pPr>
        <w:pStyle w:val="NormalWeb"/>
        <w:shd w:val="clear" w:color="auto" w:fill="FFFFFF" w:themeFill="background1"/>
        <w:spacing w:before="0" w:beforeAutospacing="0" w:after="0" w:afterAutospacing="0"/>
        <w:ind w:firstLine="567"/>
        <w:jc w:val="both"/>
        <w:rPr>
          <w:rFonts w:asciiTheme="minorHAnsi" w:hAnsiTheme="minorHAnsi" w:cstheme="minorBidi"/>
          <w:sz w:val="22"/>
          <w:szCs w:val="22"/>
          <w:lang w:val="lt-LT"/>
        </w:rPr>
      </w:pPr>
      <w:r w:rsidRPr="28FC6351">
        <w:rPr>
          <w:rFonts w:asciiTheme="minorHAnsi" w:hAnsiTheme="minorHAnsi" w:cstheme="minorBidi"/>
          <w:sz w:val="22"/>
          <w:szCs w:val="22"/>
          <w:lang w:val="lt-LT"/>
        </w:rPr>
        <w:t>Byloje nustatyta, jo</w:t>
      </w:r>
      <w:r w:rsidR="03CDA269" w:rsidRPr="28FC6351">
        <w:rPr>
          <w:rFonts w:asciiTheme="minorHAnsi" w:hAnsiTheme="minorHAnsi" w:cstheme="minorBidi"/>
          <w:sz w:val="22"/>
          <w:szCs w:val="22"/>
          <w:lang w:val="lt-LT"/>
        </w:rPr>
        <w:t>g</w:t>
      </w:r>
      <w:r w:rsidRPr="28FC6351">
        <w:rPr>
          <w:rFonts w:asciiTheme="minorHAnsi" w:hAnsiTheme="minorHAnsi" w:cstheme="minorBidi"/>
          <w:sz w:val="22"/>
          <w:szCs w:val="22"/>
          <w:lang w:val="lt-LT"/>
        </w:rPr>
        <w:t xml:space="preserve"> tiesioginio vadovo paragintas pareiškėjas sutiko sudalyvauti turnyre, skirtame Lietuvos kariuomenės Mechanizuotosios pėstininkų brigados „Geležinis Vilkas“ 30-osioms vardo metinėms paminėti. Lietuvos kariuomenės Mechanizuotosios pėstininkų brigados „Geležinis Vilkas“ Kunigaikščio Vaidoto mechanizuotojo pėstininkų bataliono vado įsakymu „Dėl dalyvavimo karinės kovinės savigynos čempionate“ (toliau – Įsakymas) K. B. buvo sudarytos sąlygos dalyvauti karinės kovinės savigynos turnyre. Pareiškėjas 2022</w:t>
      </w:r>
      <w:r w:rsidR="00ED50E8" w:rsidRPr="28FC6351">
        <w:rPr>
          <w:rFonts w:asciiTheme="minorHAnsi" w:hAnsiTheme="minorHAnsi" w:cstheme="minorBidi"/>
          <w:sz w:val="22"/>
          <w:szCs w:val="22"/>
          <w:lang w:val="lt-LT"/>
        </w:rPr>
        <w:t> </w:t>
      </w:r>
      <w:r w:rsidRPr="28FC6351">
        <w:rPr>
          <w:rFonts w:asciiTheme="minorHAnsi" w:hAnsiTheme="minorHAnsi" w:cstheme="minorBidi"/>
          <w:sz w:val="22"/>
          <w:szCs w:val="22"/>
          <w:lang w:val="lt-LT"/>
        </w:rPr>
        <w:t xml:space="preserve">m. kovo 31 d. dalyvavo turnyre ir apie 13.00 val. įžengęs į ringą, pajuto stiprų skausmą kairėje kojoje, dėl ko negalėjo </w:t>
      </w:r>
      <w:r w:rsidRPr="28FC6351">
        <w:rPr>
          <w:rFonts w:asciiTheme="minorHAnsi" w:hAnsiTheme="minorHAnsi" w:cstheme="minorBidi"/>
          <w:sz w:val="22"/>
          <w:szCs w:val="22"/>
          <w:lang w:val="lt-LT"/>
        </w:rPr>
        <w:lastRenderedPageBreak/>
        <w:t>toliau dalyvauti varžybose, o vėliau inicijuotos procedūros nustatyti sveikatos sutrikimo priežastinį ryšį su tarnybos pareigų vykdymu.</w:t>
      </w:r>
    </w:p>
    <w:p w14:paraId="5B1CF5B2" w14:textId="701A5D74" w:rsidR="00F76A73" w:rsidRPr="00F76A73" w:rsidRDefault="00F76A73" w:rsidP="00F76A73">
      <w:pPr>
        <w:pStyle w:val="NormalWeb"/>
        <w:shd w:val="clear" w:color="auto" w:fill="FFFFFF"/>
        <w:spacing w:before="0" w:beforeAutospacing="0" w:after="0" w:afterAutospacing="0"/>
        <w:ind w:firstLine="567"/>
        <w:jc w:val="both"/>
        <w:rPr>
          <w:rFonts w:asciiTheme="minorHAnsi" w:hAnsiTheme="minorHAnsi" w:cstheme="minorHAnsi"/>
          <w:bCs/>
          <w:sz w:val="22"/>
          <w:szCs w:val="22"/>
          <w:lang w:val="lt-LT"/>
        </w:rPr>
      </w:pPr>
      <w:r w:rsidRPr="00F76A73">
        <w:rPr>
          <w:rFonts w:asciiTheme="minorHAnsi" w:hAnsiTheme="minorHAnsi" w:cstheme="minorHAnsi"/>
          <w:bCs/>
          <w:sz w:val="22"/>
          <w:szCs w:val="22"/>
          <w:lang w:val="lt-LT"/>
        </w:rPr>
        <w:t xml:space="preserve">Pirmosios instancijos teismas Komisijos sprendimą panaikino ir įpareigojo iš naujo išnagrinėti pareiškėjo prašymą dėl sveikatos sutrikimo susiejimo su tarnybos pareigų vykdymu. Teismas padarė išvadą, kad Įsakymas K. B. buvo privalomas, todėl </w:t>
      </w:r>
      <w:r w:rsidR="00CB5881">
        <w:rPr>
          <w:rFonts w:asciiTheme="minorHAnsi" w:hAnsiTheme="minorHAnsi" w:cstheme="minorHAnsi"/>
          <w:bCs/>
          <w:sz w:val="22"/>
          <w:szCs w:val="22"/>
          <w:lang w:val="lt-LT"/>
        </w:rPr>
        <w:t>ginčytame Komisijos</w:t>
      </w:r>
      <w:r w:rsidRPr="00F76A73">
        <w:rPr>
          <w:rFonts w:asciiTheme="minorHAnsi" w:hAnsiTheme="minorHAnsi" w:cstheme="minorHAnsi"/>
          <w:bCs/>
          <w:sz w:val="22"/>
          <w:szCs w:val="22"/>
          <w:lang w:val="lt-LT"/>
        </w:rPr>
        <w:t xml:space="preserve"> sprendime nurodytas argumentas, jog K. B. sveikatos sutrikimą patyrė ne dėl vykdomų tarnybos pareigų, nepagrindžia, kad pareiškėjo vykdomos funkcijos nebuvo vienas iš veiksnių, nulėmusių jo sveikatos sutrikimą. Teismo nuomone, Komisija išsamaus vertinimo dėl nelaimingo atsitikimo priežastinio ryšio su kario tarnybos funkcijų atlikimu ar tarnyba neatliko, tik nurodė, kad turnyro metu K. B. nebuvo paskirtos kokios nors tarnybos užduotys. Teismas sprendė, kad </w:t>
      </w:r>
      <w:r w:rsidR="00E62810">
        <w:rPr>
          <w:rFonts w:asciiTheme="minorHAnsi" w:hAnsiTheme="minorHAnsi" w:cstheme="minorHAnsi"/>
          <w:bCs/>
          <w:sz w:val="22"/>
          <w:szCs w:val="22"/>
          <w:lang w:val="lt-LT"/>
        </w:rPr>
        <w:t xml:space="preserve">Komisijos </w:t>
      </w:r>
      <w:r w:rsidRPr="00F76A73">
        <w:rPr>
          <w:rFonts w:asciiTheme="minorHAnsi" w:hAnsiTheme="minorHAnsi" w:cstheme="minorHAnsi"/>
          <w:bCs/>
          <w:sz w:val="22"/>
          <w:szCs w:val="22"/>
          <w:lang w:val="lt-LT"/>
        </w:rPr>
        <w:t xml:space="preserve">sprendimas turi būti panaikintas kaip neteisėtas dėl to, </w:t>
      </w:r>
      <w:r w:rsidR="00974A2A">
        <w:rPr>
          <w:rFonts w:asciiTheme="minorHAnsi" w:hAnsiTheme="minorHAnsi" w:cstheme="minorHAnsi"/>
          <w:bCs/>
          <w:sz w:val="22"/>
          <w:szCs w:val="22"/>
          <w:lang w:val="lt-LT"/>
        </w:rPr>
        <w:t>jog</w:t>
      </w:r>
      <w:r w:rsidRPr="00F76A73">
        <w:rPr>
          <w:rFonts w:asciiTheme="minorHAnsi" w:hAnsiTheme="minorHAnsi" w:cstheme="minorHAnsi"/>
          <w:bCs/>
          <w:sz w:val="22"/>
          <w:szCs w:val="22"/>
          <w:lang w:val="lt-LT"/>
        </w:rPr>
        <w:t xml:space="preserve"> jį priimant buvo pažeistos pagrindinės procedūros, ypač taisyklės, turėjusios užtikrinti objektyvų visų aplinkybių įvertinimą ir sprendimo pagrįstumą.</w:t>
      </w:r>
    </w:p>
    <w:p w14:paraId="010AA494" w14:textId="361DF179" w:rsidR="00F76A73" w:rsidRPr="00F76A73" w:rsidRDefault="00F76A73" w:rsidP="00F76A73">
      <w:pPr>
        <w:pStyle w:val="NormalWeb"/>
        <w:shd w:val="clear" w:color="auto" w:fill="FFFFFF"/>
        <w:spacing w:before="0" w:beforeAutospacing="0" w:after="0" w:afterAutospacing="0"/>
        <w:ind w:firstLine="567"/>
        <w:jc w:val="both"/>
        <w:rPr>
          <w:rFonts w:asciiTheme="minorHAnsi" w:hAnsiTheme="minorHAnsi" w:cstheme="minorHAnsi"/>
          <w:bCs/>
          <w:sz w:val="22"/>
          <w:szCs w:val="22"/>
          <w:lang w:val="lt-LT"/>
        </w:rPr>
      </w:pPr>
      <w:r w:rsidRPr="00F76A73">
        <w:rPr>
          <w:rFonts w:asciiTheme="minorHAnsi" w:hAnsiTheme="minorHAnsi" w:cstheme="minorHAnsi"/>
          <w:bCs/>
          <w:sz w:val="22"/>
          <w:szCs w:val="22"/>
          <w:lang w:val="lt-LT"/>
        </w:rPr>
        <w:t xml:space="preserve">Nesutikdamas su pirmosios instancijos teismo sprendimu atsakovas pateikė apeliacinį skundą, kuriame akcentavo, jog netinkamai buvo įvertinta bylai svarbi aplinkybė, </w:t>
      </w:r>
      <w:r w:rsidR="00974A2A">
        <w:rPr>
          <w:rFonts w:asciiTheme="minorHAnsi" w:hAnsiTheme="minorHAnsi" w:cstheme="minorHAnsi"/>
          <w:bCs/>
          <w:sz w:val="22"/>
          <w:szCs w:val="22"/>
          <w:lang w:val="lt-LT"/>
        </w:rPr>
        <w:t>kad</w:t>
      </w:r>
      <w:r w:rsidRPr="00F76A73">
        <w:rPr>
          <w:rFonts w:asciiTheme="minorHAnsi" w:hAnsiTheme="minorHAnsi" w:cstheme="minorHAnsi"/>
          <w:bCs/>
          <w:sz w:val="22"/>
          <w:szCs w:val="22"/>
          <w:lang w:val="lt-LT"/>
        </w:rPr>
        <w:t xml:space="preserve"> K. B. turnyre dalyvavo savo paties apsisprendimu ir dalinys, kuriame jis tarnavo, tik suteikė leidimą</w:t>
      </w:r>
      <w:r w:rsidR="00974A2A">
        <w:rPr>
          <w:rFonts w:asciiTheme="minorHAnsi" w:hAnsiTheme="minorHAnsi" w:cstheme="minorHAnsi"/>
          <w:bCs/>
          <w:sz w:val="22"/>
          <w:szCs w:val="22"/>
          <w:lang w:val="lt-LT"/>
        </w:rPr>
        <w:t xml:space="preserve"> </w:t>
      </w:r>
      <w:r w:rsidRPr="00F76A73">
        <w:rPr>
          <w:rFonts w:asciiTheme="minorHAnsi" w:hAnsiTheme="minorHAnsi" w:cstheme="minorHAnsi"/>
          <w:bCs/>
          <w:sz w:val="22"/>
          <w:szCs w:val="22"/>
          <w:lang w:val="lt-LT"/>
        </w:rPr>
        <w:t>/</w:t>
      </w:r>
      <w:r w:rsidR="00974A2A">
        <w:rPr>
          <w:rFonts w:asciiTheme="minorHAnsi" w:hAnsiTheme="minorHAnsi" w:cstheme="minorHAnsi"/>
          <w:bCs/>
          <w:sz w:val="22"/>
          <w:szCs w:val="22"/>
          <w:lang w:val="lt-LT"/>
        </w:rPr>
        <w:t xml:space="preserve"> </w:t>
      </w:r>
      <w:r w:rsidRPr="00F76A73">
        <w:rPr>
          <w:rFonts w:asciiTheme="minorHAnsi" w:hAnsiTheme="minorHAnsi" w:cstheme="minorHAnsi"/>
          <w:bCs/>
          <w:sz w:val="22"/>
          <w:szCs w:val="22"/>
          <w:lang w:val="lt-LT"/>
        </w:rPr>
        <w:t>sudarė sąlygas dalyvauti turnyre, priimdamas organizacinio pobūdžio dokumentą, pateisinantį pareiškėjo tarnybos užduočių nevykdymą, todėl savanoriškas karių dalyvavimas renginiuose, turnyruose dėl savanoriškumo pobūdžio negali būti laikomas privalomu veiksmu, kuriuos karys turi pareigą atlikti, ar teisės aktai jį įpareigoja tai atlikti (tarnybos pareigų vykdymu), t</w:t>
      </w:r>
      <w:r w:rsidR="00727AB7">
        <w:rPr>
          <w:rFonts w:asciiTheme="minorHAnsi" w:hAnsiTheme="minorHAnsi" w:cstheme="minorHAnsi"/>
          <w:bCs/>
          <w:sz w:val="22"/>
          <w:szCs w:val="22"/>
          <w:lang w:val="lt-LT"/>
        </w:rPr>
        <w:t>aigi</w:t>
      </w:r>
      <w:r w:rsidRPr="00F76A73">
        <w:rPr>
          <w:rFonts w:asciiTheme="minorHAnsi" w:hAnsiTheme="minorHAnsi" w:cstheme="minorHAnsi"/>
          <w:bCs/>
          <w:sz w:val="22"/>
          <w:szCs w:val="22"/>
          <w:lang w:val="lt-LT"/>
        </w:rPr>
        <w:t xml:space="preserve"> įvykiai, atsitikę šių renginių (turnyrų) metu, negali būti siejami su kario tarnybos pareigų vykdymu, o laikytini įprastu nelaimingu atsitikimu tarnyboje.</w:t>
      </w:r>
    </w:p>
    <w:p w14:paraId="10587F5C" w14:textId="6B6CFABA" w:rsidR="00F76A73" w:rsidRPr="00F76A73" w:rsidRDefault="00727AB7" w:rsidP="00F76A73">
      <w:pPr>
        <w:pStyle w:val="NormalWeb"/>
        <w:shd w:val="clear" w:color="auto" w:fill="FFFFFF"/>
        <w:spacing w:before="0" w:beforeAutospacing="0" w:after="0" w:afterAutospacing="0"/>
        <w:ind w:firstLine="567"/>
        <w:jc w:val="both"/>
        <w:rPr>
          <w:rFonts w:asciiTheme="minorHAnsi" w:hAnsiTheme="minorHAnsi" w:cstheme="minorHAnsi"/>
          <w:bCs/>
          <w:sz w:val="22"/>
          <w:szCs w:val="22"/>
          <w:u w:val="single"/>
          <w:lang w:val="lt-LT"/>
        </w:rPr>
      </w:pPr>
      <w:r>
        <w:rPr>
          <w:rFonts w:asciiTheme="minorHAnsi" w:hAnsiTheme="minorHAnsi" w:cstheme="minorHAnsi"/>
          <w:bCs/>
          <w:sz w:val="22"/>
          <w:szCs w:val="22"/>
          <w:lang w:val="lt-LT"/>
        </w:rPr>
        <w:t>LVAT t</w:t>
      </w:r>
      <w:r w:rsidR="00F76A73" w:rsidRPr="00F76A73">
        <w:rPr>
          <w:rFonts w:asciiTheme="minorHAnsi" w:hAnsiTheme="minorHAnsi" w:cstheme="minorHAnsi"/>
          <w:bCs/>
          <w:sz w:val="22"/>
          <w:szCs w:val="22"/>
          <w:lang w:val="lt-LT"/>
        </w:rPr>
        <w:t xml:space="preserve">eisėjų kolegija, nagrinėdama atsakovo apeliacinį skundą ir tikrindama pirmosios instancijos teismo sprendimo pagrįstumą </w:t>
      </w:r>
      <w:r w:rsidR="00942A4E">
        <w:rPr>
          <w:rFonts w:asciiTheme="minorHAnsi" w:hAnsiTheme="minorHAnsi" w:cstheme="minorHAnsi"/>
          <w:bCs/>
          <w:sz w:val="22"/>
          <w:szCs w:val="22"/>
          <w:lang w:val="lt-LT"/>
        </w:rPr>
        <w:t>be</w:t>
      </w:r>
      <w:r w:rsidR="00F76A73" w:rsidRPr="00F76A73">
        <w:rPr>
          <w:rFonts w:asciiTheme="minorHAnsi" w:hAnsiTheme="minorHAnsi" w:cstheme="minorHAnsi"/>
          <w:bCs/>
          <w:sz w:val="22"/>
          <w:szCs w:val="22"/>
          <w:lang w:val="lt-LT"/>
        </w:rPr>
        <w:t xml:space="preserve">i teisėtumą, pažymėjo, jog, įvertinus teisės aktus, matyti, kad </w:t>
      </w:r>
      <w:r w:rsidR="00F76A73" w:rsidRPr="00942A4E">
        <w:rPr>
          <w:rFonts w:asciiTheme="minorHAnsi" w:hAnsiTheme="minorHAnsi" w:cstheme="minorHAnsi"/>
          <w:bCs/>
          <w:sz w:val="22"/>
          <w:szCs w:val="22"/>
          <w:u w:val="single"/>
          <w:lang w:val="lt-LT"/>
        </w:rPr>
        <w:t>sveikatos sutrikimo priežastinio ryšio su tarnybos pareigų vykdymu buvimas konstatuojamas tik nustačius, kad karys sveikatos sutrikimą patyrė vy</w:t>
      </w:r>
      <w:r w:rsidR="00F76A73" w:rsidRPr="00F76A73">
        <w:rPr>
          <w:rFonts w:asciiTheme="minorHAnsi" w:hAnsiTheme="minorHAnsi" w:cstheme="minorHAnsi"/>
          <w:bCs/>
          <w:sz w:val="22"/>
          <w:szCs w:val="22"/>
          <w:u w:val="single"/>
          <w:lang w:val="lt-LT"/>
        </w:rPr>
        <w:t>kdydamas kariui privalomą veiklą (atitinkamas funkcijas, užduotis ir panašiai), t. y. kario pareiginiuose nuostatuose įtvirtintas pareigas (funkcijas) arba privalomus vadų nurodymus arba dėl savo kario statuso</w:t>
      </w:r>
      <w:r w:rsidR="00F76A73" w:rsidRPr="00F76A73">
        <w:rPr>
          <w:rFonts w:asciiTheme="minorHAnsi" w:hAnsiTheme="minorHAnsi" w:cstheme="minorHAnsi"/>
          <w:bCs/>
          <w:sz w:val="22"/>
          <w:szCs w:val="22"/>
          <w:lang w:val="lt-LT"/>
        </w:rPr>
        <w:t>. Atsižvelg</w:t>
      </w:r>
      <w:r w:rsidR="000E2F77">
        <w:rPr>
          <w:rFonts w:asciiTheme="minorHAnsi" w:hAnsiTheme="minorHAnsi" w:cstheme="minorHAnsi"/>
          <w:bCs/>
          <w:sz w:val="22"/>
          <w:szCs w:val="22"/>
          <w:lang w:val="lt-LT"/>
        </w:rPr>
        <w:t>usi</w:t>
      </w:r>
      <w:r w:rsidR="00F76A73" w:rsidRPr="00F76A73">
        <w:rPr>
          <w:rFonts w:asciiTheme="minorHAnsi" w:hAnsiTheme="minorHAnsi" w:cstheme="minorHAnsi"/>
          <w:bCs/>
          <w:sz w:val="22"/>
          <w:szCs w:val="22"/>
          <w:lang w:val="lt-LT"/>
        </w:rPr>
        <w:t xml:space="preserve"> į tai, teisėjų kolegija pirmiausia vertino </w:t>
      </w:r>
      <w:r w:rsidR="008773B8">
        <w:rPr>
          <w:rFonts w:asciiTheme="minorHAnsi" w:hAnsiTheme="minorHAnsi" w:cstheme="minorHAnsi"/>
          <w:bCs/>
          <w:sz w:val="22"/>
          <w:szCs w:val="22"/>
          <w:lang w:val="lt-LT"/>
        </w:rPr>
        <w:t>Į</w:t>
      </w:r>
      <w:r w:rsidR="00F76A73" w:rsidRPr="00F76A73">
        <w:rPr>
          <w:rFonts w:asciiTheme="minorHAnsi" w:hAnsiTheme="minorHAnsi" w:cstheme="minorHAnsi"/>
          <w:bCs/>
          <w:sz w:val="22"/>
          <w:szCs w:val="22"/>
          <w:lang w:val="lt-LT"/>
        </w:rPr>
        <w:t>sakymą „Dėl dalyvavimo karinės kovinės savigynos čempionate“ bei įvertinus</w:t>
      </w:r>
      <w:r w:rsidR="00820BE1">
        <w:rPr>
          <w:rFonts w:asciiTheme="minorHAnsi" w:hAnsiTheme="minorHAnsi" w:cstheme="minorHAnsi"/>
          <w:bCs/>
          <w:sz w:val="22"/>
          <w:szCs w:val="22"/>
          <w:lang w:val="lt-LT"/>
        </w:rPr>
        <w:t>i</w:t>
      </w:r>
      <w:r w:rsidR="00F76A73" w:rsidRPr="00F76A73">
        <w:rPr>
          <w:rFonts w:asciiTheme="minorHAnsi" w:hAnsiTheme="minorHAnsi" w:cstheme="minorHAnsi"/>
          <w:bCs/>
          <w:sz w:val="22"/>
          <w:szCs w:val="22"/>
          <w:lang w:val="lt-LT"/>
        </w:rPr>
        <w:t xml:space="preserve"> jo turinį nustatė, kad juo buvo patvirtintas karių, kurie išreiškė norą dalyvauti turnyre, sąrašas ir Vaidoto bataliono personalui duoti nurodymai, susiję su turnyro organizavimu. Šis Įsakymas buvo priimtas siekiant sudaryti sąlygas kariams dalyvauti turnyre ir į turnyro dalyvių sąrašą buvo įtraukti Vaidoto bataliono kariai, išreiškę norą dalyvauti turnyre. Įvertinusi </w:t>
      </w:r>
      <w:r w:rsidR="00F76A73" w:rsidRPr="00F76A73">
        <w:rPr>
          <w:rFonts w:asciiTheme="minorHAnsi" w:hAnsiTheme="minorHAnsi" w:cstheme="minorHAnsi"/>
          <w:bCs/>
          <w:sz w:val="22"/>
          <w:szCs w:val="22"/>
          <w:u w:val="single"/>
          <w:lang w:val="lt-LT"/>
        </w:rPr>
        <w:t>Įsakymo turinį karių pavaldumo ir tarpusavio santykių specifikos kontekste, teisėjų kolegija konstatavo, kad jis K. B. buvo privalomas, aplinkybė, kad pats K. B. sutiko dalyvauti turnyre, Įsakymo privalomumo jam nekeičia</w:t>
      </w:r>
      <w:r w:rsidR="00F76A73" w:rsidRPr="00F76A73">
        <w:rPr>
          <w:rFonts w:asciiTheme="minorHAnsi" w:hAnsiTheme="minorHAnsi" w:cstheme="minorHAnsi"/>
          <w:bCs/>
          <w:sz w:val="22"/>
          <w:szCs w:val="22"/>
          <w:lang w:val="lt-LT"/>
        </w:rPr>
        <w:t xml:space="preserve">. Pažymėta ir tai, kad turnyras buvo skirtas kariuomenei reikšmingai šventei paminėti, jis buvo rengiamas išimtinai Lietuvos kariuomenėje ir buvo susietas vien tik su kariuomene, renginys vyko Lietuvos kariuomenei priklausiančioje sporto salėje, turnyro metu buvo pakeista pareiškėjo dienotvarkė ir buvo sudarytos sąlygos dalyvauti turnyre, kuriame pareiškėjas dalyvavo ne laisvu nuo tarnybos metu. Be to, pareiškėjo dalyvavimas turnyre buvo susijęs su Lietuvos kariuomenės populiarinimu, žinomumo didinimu, Lietuvos kariuomenės įvaizdžio visuomenėje formavimu bei Lietuvos kariuomenės Mechanizuotosios pėstininkų brigados „Geležinis Vilkas“ Kunigaikščio Vaidoto mechanizuotojo pėstininkų bataliono atstovavimu, todėl </w:t>
      </w:r>
      <w:r w:rsidR="00F76A73" w:rsidRPr="002650F1">
        <w:rPr>
          <w:rFonts w:asciiTheme="minorHAnsi" w:hAnsiTheme="minorHAnsi" w:cstheme="minorHAnsi"/>
          <w:bCs/>
          <w:sz w:val="22"/>
          <w:szCs w:val="22"/>
          <w:u w:val="single"/>
          <w:lang w:val="lt-LT"/>
        </w:rPr>
        <w:t>būtų so</w:t>
      </w:r>
      <w:r w:rsidR="00F76A73" w:rsidRPr="00F76A73">
        <w:rPr>
          <w:rFonts w:asciiTheme="minorHAnsi" w:hAnsiTheme="minorHAnsi" w:cstheme="minorHAnsi"/>
          <w:bCs/>
          <w:sz w:val="22"/>
          <w:szCs w:val="22"/>
          <w:u w:val="single"/>
          <w:lang w:val="lt-LT"/>
        </w:rPr>
        <w:t>cialiai neteisinga, jog dalyvaudamas tokiame renginyje ir dėl to patyręs traumą, nors jokių saugos ir sveikatos norminių teisės aktų pažeidimų nebuvo nustatyta, karys neturėtų teisės į kompensaciją</w:t>
      </w:r>
      <w:r w:rsidR="00F76A73" w:rsidRPr="002650F1">
        <w:rPr>
          <w:rFonts w:asciiTheme="minorHAnsi" w:hAnsiTheme="minorHAnsi" w:cstheme="minorHAnsi"/>
          <w:bCs/>
          <w:sz w:val="22"/>
          <w:szCs w:val="22"/>
          <w:lang w:val="lt-LT"/>
        </w:rPr>
        <w:t>.</w:t>
      </w:r>
    </w:p>
    <w:p w14:paraId="2E1AABBD" w14:textId="4952CDE6" w:rsidR="00F76A73" w:rsidRPr="00F76A73" w:rsidRDefault="00F76A73" w:rsidP="00F76A73">
      <w:pPr>
        <w:pStyle w:val="NormalWeb"/>
        <w:shd w:val="clear" w:color="auto" w:fill="FFFFFF"/>
        <w:spacing w:before="0" w:beforeAutospacing="0" w:after="0" w:afterAutospacing="0"/>
        <w:ind w:firstLine="567"/>
        <w:jc w:val="both"/>
        <w:rPr>
          <w:rFonts w:asciiTheme="minorHAnsi" w:hAnsiTheme="minorHAnsi" w:cstheme="minorHAnsi"/>
          <w:bCs/>
          <w:sz w:val="22"/>
          <w:szCs w:val="22"/>
          <w:lang w:val="lt-LT"/>
        </w:rPr>
      </w:pPr>
      <w:r w:rsidRPr="00F76A73">
        <w:rPr>
          <w:rFonts w:asciiTheme="minorHAnsi" w:hAnsiTheme="minorHAnsi" w:cstheme="minorHAnsi"/>
          <w:bCs/>
          <w:sz w:val="22"/>
          <w:szCs w:val="22"/>
          <w:lang w:val="lt-LT"/>
        </w:rPr>
        <w:t>Apibendrindama savo išvadas, teisėjų kolegija sprendė, jog pirmosios instancijos teismo sprendimas palik</w:t>
      </w:r>
      <w:r w:rsidR="00F847F3">
        <w:rPr>
          <w:rFonts w:asciiTheme="minorHAnsi" w:hAnsiTheme="minorHAnsi" w:cstheme="minorHAnsi"/>
          <w:bCs/>
          <w:sz w:val="22"/>
          <w:szCs w:val="22"/>
          <w:lang w:val="lt-LT"/>
        </w:rPr>
        <w:t>tin</w:t>
      </w:r>
      <w:r w:rsidRPr="00F76A73">
        <w:rPr>
          <w:rFonts w:asciiTheme="minorHAnsi" w:hAnsiTheme="minorHAnsi" w:cstheme="minorHAnsi"/>
          <w:bCs/>
          <w:sz w:val="22"/>
          <w:szCs w:val="22"/>
          <w:lang w:val="lt-LT"/>
        </w:rPr>
        <w:t>as nepakeistas, o atsakovo apeliacinis skundas atme</w:t>
      </w:r>
      <w:r w:rsidR="00F847F3">
        <w:rPr>
          <w:rFonts w:asciiTheme="minorHAnsi" w:hAnsiTheme="minorHAnsi" w:cstheme="minorHAnsi"/>
          <w:bCs/>
          <w:sz w:val="22"/>
          <w:szCs w:val="22"/>
          <w:lang w:val="lt-LT"/>
        </w:rPr>
        <w:t>s</w:t>
      </w:r>
      <w:r w:rsidRPr="00F76A73">
        <w:rPr>
          <w:rFonts w:asciiTheme="minorHAnsi" w:hAnsiTheme="minorHAnsi" w:cstheme="minorHAnsi"/>
          <w:bCs/>
          <w:sz w:val="22"/>
          <w:szCs w:val="22"/>
          <w:lang w:val="lt-LT"/>
        </w:rPr>
        <w:t>t</w:t>
      </w:r>
      <w:r w:rsidR="00F847F3">
        <w:rPr>
          <w:rFonts w:asciiTheme="minorHAnsi" w:hAnsiTheme="minorHAnsi" w:cstheme="minorHAnsi"/>
          <w:bCs/>
          <w:sz w:val="22"/>
          <w:szCs w:val="22"/>
          <w:lang w:val="lt-LT"/>
        </w:rPr>
        <w:t>in</w:t>
      </w:r>
      <w:r w:rsidRPr="00F76A73">
        <w:rPr>
          <w:rFonts w:asciiTheme="minorHAnsi" w:hAnsiTheme="minorHAnsi" w:cstheme="minorHAnsi"/>
          <w:bCs/>
          <w:sz w:val="22"/>
          <w:szCs w:val="22"/>
          <w:lang w:val="lt-LT"/>
        </w:rPr>
        <w:t>as.</w:t>
      </w:r>
    </w:p>
    <w:p w14:paraId="503B434B" w14:textId="77777777" w:rsidR="00F76A73" w:rsidRPr="00F76A73" w:rsidRDefault="00F76A73" w:rsidP="00F76A73">
      <w:pPr>
        <w:pStyle w:val="NormalWeb"/>
        <w:shd w:val="clear" w:color="auto" w:fill="FFFFFF"/>
        <w:spacing w:before="0" w:beforeAutospacing="0" w:after="0" w:afterAutospacing="0"/>
        <w:ind w:firstLine="567"/>
        <w:jc w:val="both"/>
        <w:rPr>
          <w:rFonts w:asciiTheme="minorHAnsi" w:hAnsiTheme="minorHAnsi" w:cstheme="minorHAnsi"/>
          <w:bCs/>
          <w:sz w:val="22"/>
          <w:szCs w:val="22"/>
          <w:lang w:val="lt-LT"/>
        </w:rPr>
      </w:pPr>
    </w:p>
    <w:p w14:paraId="0C917D56" w14:textId="77777777" w:rsidR="00F76A73" w:rsidRPr="00F76A73" w:rsidRDefault="00F76A73" w:rsidP="00DA2D9F">
      <w:pPr>
        <w:pStyle w:val="NormalWeb"/>
        <w:shd w:val="clear" w:color="auto" w:fill="FFFFFF"/>
        <w:spacing w:before="0" w:beforeAutospacing="0" w:after="0" w:afterAutospacing="0"/>
        <w:jc w:val="both"/>
        <w:rPr>
          <w:rFonts w:asciiTheme="minorHAnsi" w:hAnsiTheme="minorHAnsi" w:cstheme="minorHAnsi"/>
          <w:bCs/>
          <w:sz w:val="22"/>
          <w:szCs w:val="22"/>
          <w:lang w:val="lt-LT"/>
        </w:rPr>
      </w:pPr>
      <w:r w:rsidRPr="00F76A73">
        <w:rPr>
          <w:rFonts w:asciiTheme="minorHAnsi" w:hAnsiTheme="minorHAnsi" w:cstheme="minorHAnsi"/>
          <w:bCs/>
          <w:sz w:val="22"/>
          <w:szCs w:val="22"/>
          <w:lang w:val="lt-LT"/>
        </w:rPr>
        <w:t>2025 m. balandžio 9 d. nutartis administracinėje byloje Nr. eA-436-1188/2025</w:t>
      </w:r>
    </w:p>
    <w:p w14:paraId="44820962" w14:textId="77777777" w:rsidR="00F76A73" w:rsidRPr="00F76A73" w:rsidRDefault="00F76A73" w:rsidP="00DA2D9F">
      <w:pPr>
        <w:pStyle w:val="NormalWeb"/>
        <w:shd w:val="clear" w:color="auto" w:fill="FFFFFF"/>
        <w:spacing w:before="0" w:beforeAutospacing="0" w:after="0" w:afterAutospacing="0"/>
        <w:jc w:val="both"/>
        <w:rPr>
          <w:rFonts w:asciiTheme="minorHAnsi" w:hAnsiTheme="minorHAnsi" w:cstheme="minorHAnsi"/>
          <w:bCs/>
          <w:sz w:val="22"/>
          <w:szCs w:val="22"/>
          <w:lang w:val="lt-LT"/>
        </w:rPr>
      </w:pPr>
      <w:r w:rsidRPr="00F76A73">
        <w:rPr>
          <w:rFonts w:asciiTheme="minorHAnsi" w:hAnsiTheme="minorHAnsi" w:cstheme="minorHAnsi"/>
          <w:bCs/>
          <w:sz w:val="22"/>
          <w:szCs w:val="22"/>
          <w:lang w:val="lt-LT"/>
        </w:rPr>
        <w:t>Teisminio proceso Nr. 3-61-3-04574-2023-0</w:t>
      </w:r>
    </w:p>
    <w:p w14:paraId="4BAED6D5" w14:textId="77777777" w:rsidR="00F76A73" w:rsidRPr="00F76A73" w:rsidRDefault="00F76A73" w:rsidP="00DA2D9F">
      <w:pPr>
        <w:pStyle w:val="NormalWeb"/>
        <w:shd w:val="clear" w:color="auto" w:fill="FFFFFF"/>
        <w:spacing w:before="0" w:beforeAutospacing="0" w:after="0" w:afterAutospacing="0"/>
        <w:jc w:val="both"/>
        <w:rPr>
          <w:rFonts w:asciiTheme="minorHAnsi" w:hAnsiTheme="minorHAnsi" w:cstheme="minorHAnsi"/>
          <w:bCs/>
          <w:sz w:val="22"/>
          <w:szCs w:val="22"/>
          <w:lang w:val="lt-LT"/>
        </w:rPr>
      </w:pPr>
      <w:hyperlink r:id="rId15" w:history="1">
        <w:r w:rsidRPr="00F76A73">
          <w:rPr>
            <w:rStyle w:val="Hyperlink"/>
            <w:rFonts w:asciiTheme="minorHAnsi" w:hAnsiTheme="minorHAnsi" w:cstheme="minorHAnsi"/>
            <w:bCs/>
            <w:sz w:val="22"/>
            <w:szCs w:val="22"/>
            <w:lang w:val="lt-LT"/>
          </w:rPr>
          <w:t>Prieiga internete</w:t>
        </w:r>
      </w:hyperlink>
    </w:p>
    <w:p w14:paraId="0D74883E" w14:textId="77777777" w:rsidR="00F76A73" w:rsidRPr="00F76A73" w:rsidRDefault="00F76A73" w:rsidP="00F76A73">
      <w:pPr>
        <w:pStyle w:val="NormalWeb"/>
        <w:shd w:val="clear" w:color="auto" w:fill="FFFFFF"/>
        <w:spacing w:before="0" w:beforeAutospacing="0" w:after="0" w:afterAutospacing="0"/>
        <w:ind w:firstLine="567"/>
        <w:jc w:val="both"/>
        <w:rPr>
          <w:rFonts w:asciiTheme="minorHAnsi" w:hAnsiTheme="minorHAnsi" w:cstheme="minorHAnsi"/>
          <w:sz w:val="22"/>
          <w:szCs w:val="22"/>
        </w:rPr>
      </w:pPr>
    </w:p>
    <w:p w14:paraId="6C17CB9E" w14:textId="77777777" w:rsidR="00E16ACA" w:rsidRPr="00E16ACA" w:rsidRDefault="00E16ACA" w:rsidP="00E16ACA">
      <w:pPr>
        <w:pStyle w:val="Apzvalgai1"/>
        <w:rPr>
          <w:rFonts w:asciiTheme="minorHAnsi" w:hAnsiTheme="minorHAnsi" w:cstheme="minorHAnsi"/>
        </w:rPr>
      </w:pPr>
      <w:bookmarkStart w:id="32" w:name="_Toc774934"/>
      <w:bookmarkStart w:id="33" w:name="_Toc199503148"/>
      <w:bookmarkStart w:id="34" w:name="_Hlk188015282"/>
      <w:r w:rsidRPr="00E16ACA">
        <w:rPr>
          <w:rFonts w:asciiTheme="minorHAnsi" w:hAnsiTheme="minorHAnsi" w:cstheme="minorHAnsi"/>
        </w:rPr>
        <w:t>26. Asmens duomenų teisinė apsauga</w:t>
      </w:r>
      <w:bookmarkEnd w:id="32"/>
      <w:bookmarkEnd w:id="33"/>
    </w:p>
    <w:bookmarkEnd w:id="34"/>
    <w:p w14:paraId="67EB5C7D" w14:textId="77777777" w:rsidR="00E16ACA" w:rsidRPr="00E16ACA" w:rsidRDefault="00E16ACA" w:rsidP="00E16ACA">
      <w:pPr>
        <w:ind w:firstLine="567"/>
        <w:jc w:val="both"/>
        <w:rPr>
          <w:rFonts w:asciiTheme="minorHAnsi" w:hAnsiTheme="minorHAnsi" w:cstheme="minorHAnsi"/>
          <w:sz w:val="22"/>
          <w:szCs w:val="22"/>
        </w:rPr>
      </w:pPr>
    </w:p>
    <w:p w14:paraId="4B481D6C" w14:textId="77777777" w:rsidR="00E16ACA" w:rsidRPr="00E16ACA" w:rsidRDefault="00E16ACA" w:rsidP="00E16ACA">
      <w:pPr>
        <w:jc w:val="both"/>
        <w:outlineLvl w:val="1"/>
        <w:rPr>
          <w:rFonts w:asciiTheme="minorHAnsi" w:eastAsia="Calibri" w:hAnsiTheme="minorHAnsi" w:cstheme="minorHAnsi"/>
          <w:i/>
          <w:sz w:val="22"/>
          <w:szCs w:val="22"/>
        </w:rPr>
      </w:pPr>
      <w:bookmarkStart w:id="35" w:name="_Toc199503149"/>
      <w:r w:rsidRPr="00E16ACA">
        <w:rPr>
          <w:rFonts w:asciiTheme="minorHAnsi" w:eastAsia="Calibri" w:hAnsiTheme="minorHAnsi" w:cstheme="minorHAnsi"/>
          <w:i/>
          <w:sz w:val="22"/>
          <w:szCs w:val="22"/>
        </w:rPr>
        <w:t>Dėl sodininkų bendrijos kreipimosi į VĮ Registrų centrą siekiant išsiaiškinti, kas yra sodininkų bendrijos teritorijoje esančio sodo sklypo savininkas</w:t>
      </w:r>
      <w:bookmarkEnd w:id="35"/>
    </w:p>
    <w:p w14:paraId="289D954C" w14:textId="77777777" w:rsidR="00E16ACA" w:rsidRPr="00E16ACA" w:rsidRDefault="00E16ACA" w:rsidP="00E16ACA">
      <w:pPr>
        <w:ind w:firstLine="567"/>
        <w:jc w:val="both"/>
        <w:rPr>
          <w:rFonts w:asciiTheme="minorHAnsi" w:hAnsiTheme="minorHAnsi" w:cstheme="minorHAnsi"/>
          <w:sz w:val="22"/>
          <w:szCs w:val="22"/>
        </w:rPr>
      </w:pPr>
    </w:p>
    <w:p w14:paraId="40754F03" w14:textId="06603CEB" w:rsidR="00E16ACA" w:rsidRPr="00E16ACA" w:rsidRDefault="00E16ACA" w:rsidP="00E16ACA">
      <w:pPr>
        <w:ind w:firstLine="567"/>
        <w:jc w:val="both"/>
        <w:rPr>
          <w:rFonts w:asciiTheme="minorHAnsi" w:hAnsiTheme="minorHAnsi" w:cstheme="minorHAnsi"/>
          <w:sz w:val="22"/>
          <w:szCs w:val="22"/>
        </w:rPr>
      </w:pPr>
      <w:r w:rsidRPr="00E16ACA">
        <w:rPr>
          <w:rFonts w:asciiTheme="minorHAnsi" w:hAnsiTheme="minorHAnsi" w:cstheme="minorHAnsi"/>
          <w:sz w:val="22"/>
          <w:szCs w:val="22"/>
        </w:rPr>
        <w:t>Pareiškėjas sodininkų bendrija „Žalgiris-2“ (toliau – Bendrija) su skundu kreipėsi į teismą, prašydamas panaikinti atsakovo Valstybinės duomenų apsaugos inspekcijos (toliau – Inspekcija) sprendimo 3 ir 4 punktus.</w:t>
      </w:r>
    </w:p>
    <w:p w14:paraId="6F650E16" w14:textId="77777777" w:rsidR="00E16ACA" w:rsidRPr="00E16ACA" w:rsidRDefault="00E16ACA" w:rsidP="00E16ACA">
      <w:pPr>
        <w:ind w:firstLine="567"/>
        <w:jc w:val="both"/>
        <w:rPr>
          <w:rFonts w:asciiTheme="minorHAnsi" w:hAnsiTheme="minorHAnsi" w:cstheme="minorHAnsi"/>
          <w:sz w:val="22"/>
          <w:szCs w:val="22"/>
        </w:rPr>
      </w:pPr>
      <w:r w:rsidRPr="00E16ACA">
        <w:rPr>
          <w:rFonts w:asciiTheme="minorHAnsi" w:hAnsiTheme="minorHAnsi" w:cstheme="minorHAnsi"/>
          <w:sz w:val="22"/>
          <w:szCs w:val="22"/>
        </w:rPr>
        <w:lastRenderedPageBreak/>
        <w:t>Pirmosios instancijos teismas pareiškėjo skundą tenkino iš dalies – panaikino sprendimo rezoliucinės dalies 3 punkto dalis dėl V. B. asmens duomenų tvarkymo Bendrijos valdybos 2019 m. lapkričio 10 d. susirinkimo protokole ir Bendrijos sklypų savininkų visuotinio ataskaitinio (pakartotinio) susirinkimo 2020 m. rugpjūčio 23 d. protokole, duomenų apie V. B. turimą vaizdo stebėjimo kamerą tvarkymo teisėtumo bei teisės susipažinti su duomenimis netinkamo įgyvendinimo ir 4 punktą, o kitą skundo dalį atmetė.</w:t>
      </w:r>
    </w:p>
    <w:p w14:paraId="12DA66B1" w14:textId="68B18587" w:rsidR="00E16ACA" w:rsidRPr="00E16ACA" w:rsidRDefault="00E16ACA" w:rsidP="00E16ACA">
      <w:pPr>
        <w:ind w:firstLine="567"/>
        <w:jc w:val="both"/>
        <w:rPr>
          <w:rFonts w:asciiTheme="minorHAnsi" w:hAnsiTheme="minorHAnsi" w:cstheme="minorHAnsi"/>
          <w:sz w:val="22"/>
          <w:szCs w:val="22"/>
        </w:rPr>
      </w:pPr>
      <w:r w:rsidRPr="00E16ACA">
        <w:rPr>
          <w:rFonts w:asciiTheme="minorHAnsi" w:hAnsiTheme="minorHAnsi" w:cstheme="minorHAnsi"/>
          <w:sz w:val="22"/>
          <w:szCs w:val="22"/>
        </w:rPr>
        <w:t>L</w:t>
      </w:r>
      <w:r w:rsidR="004A370F">
        <w:rPr>
          <w:rFonts w:asciiTheme="minorHAnsi" w:hAnsiTheme="minorHAnsi" w:cstheme="minorHAnsi"/>
          <w:sz w:val="22"/>
          <w:szCs w:val="22"/>
        </w:rPr>
        <w:t>VAT</w:t>
      </w:r>
      <w:r w:rsidRPr="00E16ACA">
        <w:rPr>
          <w:rFonts w:asciiTheme="minorHAnsi" w:hAnsiTheme="minorHAnsi" w:cstheme="minorHAnsi"/>
          <w:sz w:val="22"/>
          <w:szCs w:val="22"/>
        </w:rPr>
        <w:t xml:space="preserve"> pažymėjo, kad, vadovaujantis </w:t>
      </w:r>
      <w:bookmarkStart w:id="36" w:name="_Hlk198556017"/>
      <w:r w:rsidRPr="00E16ACA">
        <w:rPr>
          <w:rFonts w:asciiTheme="minorHAnsi" w:hAnsiTheme="minorHAnsi" w:cstheme="minorHAnsi"/>
          <w:sz w:val="22"/>
          <w:szCs w:val="22"/>
        </w:rPr>
        <w:t>Sodininkų bendrijų įstatymo</w:t>
      </w:r>
      <w:bookmarkEnd w:id="36"/>
      <w:r w:rsidRPr="00E16ACA">
        <w:rPr>
          <w:rFonts w:asciiTheme="minorHAnsi" w:hAnsiTheme="minorHAnsi" w:cstheme="minorHAnsi"/>
          <w:sz w:val="22"/>
          <w:szCs w:val="22"/>
        </w:rPr>
        <w:t xml:space="preserve"> 21</w:t>
      </w:r>
      <w:r w:rsidR="003015D7">
        <w:rPr>
          <w:rFonts w:asciiTheme="minorHAnsi" w:hAnsiTheme="minorHAnsi" w:cstheme="minorHAnsi"/>
          <w:sz w:val="22"/>
          <w:szCs w:val="22"/>
        </w:rPr>
        <w:t xml:space="preserve"> </w:t>
      </w:r>
      <w:r w:rsidRPr="00E16ACA">
        <w:rPr>
          <w:rFonts w:asciiTheme="minorHAnsi" w:hAnsiTheme="minorHAnsi" w:cstheme="minorHAnsi"/>
          <w:sz w:val="22"/>
          <w:szCs w:val="22"/>
        </w:rPr>
        <w:t xml:space="preserve">straipsnio 3 dalimi, Bendrijos buveinėje turi būti bendrijos narių ir kitų asmenų, įsigijusių mėgėjų sodo teritorijoje sodo sklypą, registravimo knyga. Registravimo knygoje turi būti nurodyta fizinio asmens vardas ir pavardė, gimimo data, gyvenamoji vieta, kontaktiniai duomenys, juridinio asmens pavadinimas, teisinė forma, kodas, buveinė (adresas), sklypo valdymo teisės pagrindas, sodo sklypo plotas, adresas ir kontaktiniai duomenys, fizinio asmens įstojimo į bendrijos narius ir išstojimo iš bendrijos narių data. Registravimo knygoje gali būti nurodomi ir kiti duomenys, jeigu tai numatyta bendrijos įstatuose. Registravimo knygoje esantys duomenys tvarkomi ir teikiami vadovaujantis Lietuvos Respublikos įstatymais, </w:t>
      </w:r>
      <w:r w:rsidR="00D21798">
        <w:rPr>
          <w:rFonts w:asciiTheme="minorHAnsi" w:hAnsiTheme="minorHAnsi" w:cstheme="minorHAnsi"/>
          <w:sz w:val="22"/>
          <w:szCs w:val="22"/>
        </w:rPr>
        <w:t>BDAR</w:t>
      </w:r>
      <w:r w:rsidRPr="00E16ACA">
        <w:rPr>
          <w:rFonts w:asciiTheme="minorHAnsi" w:hAnsiTheme="minorHAnsi" w:cstheme="minorHAnsi"/>
          <w:sz w:val="22"/>
          <w:szCs w:val="22"/>
        </w:rPr>
        <w:t>. Asmenims, pageidaujantiems susipažinti su registravimo knyga, teikiami tik su jais pačiais susiję duomenys.</w:t>
      </w:r>
    </w:p>
    <w:p w14:paraId="5FA26226" w14:textId="218B0DB2" w:rsidR="00E16ACA" w:rsidRPr="00E16ACA" w:rsidRDefault="00E16ACA" w:rsidP="00E16ACA">
      <w:pPr>
        <w:ind w:firstLine="567"/>
        <w:jc w:val="both"/>
        <w:rPr>
          <w:rFonts w:asciiTheme="minorHAnsi" w:hAnsiTheme="minorHAnsi" w:cstheme="minorHAnsi"/>
          <w:sz w:val="22"/>
          <w:szCs w:val="22"/>
        </w:rPr>
      </w:pPr>
      <w:r w:rsidRPr="00E16ACA">
        <w:rPr>
          <w:rFonts w:asciiTheme="minorHAnsi" w:hAnsiTheme="minorHAnsi" w:cstheme="minorHAnsi"/>
          <w:sz w:val="22"/>
          <w:szCs w:val="22"/>
        </w:rPr>
        <w:t>Teisėjų kolegija atkreipė dėmesį, kad atsakovas sutiko, jog pareigą pildyti registracijos knygą pareiškėjas pagrįstai grindė BDAR 6 straipsnio 1 dalies c punktu (tvarkyti duomenis būtina, kad būtų įvykdyta duomenų valdytojui taikoma teisinė prievolė), tačiau, Inspekcijos teigimu, pareiškėjas nepagrindė duomenų tvarkymo (atskiras veiksmas) – kreipimosi į VĮ Registrų centrą, teisėtumo BDAR 6 straipsnio 1</w:t>
      </w:r>
      <w:r w:rsidR="00BC67B9">
        <w:rPr>
          <w:rFonts w:asciiTheme="minorHAnsi" w:hAnsiTheme="minorHAnsi" w:cstheme="minorHAnsi"/>
          <w:sz w:val="22"/>
          <w:szCs w:val="22"/>
        </w:rPr>
        <w:t xml:space="preserve"> </w:t>
      </w:r>
      <w:r w:rsidRPr="00E16ACA">
        <w:rPr>
          <w:rFonts w:asciiTheme="minorHAnsi" w:hAnsiTheme="minorHAnsi" w:cstheme="minorHAnsi"/>
          <w:sz w:val="22"/>
          <w:szCs w:val="22"/>
        </w:rPr>
        <w:t xml:space="preserve">dalyje nurodytų sąlygų prasme. Dėl šios priežasties Inspekcija nepripažino šio asmens duomenų tvarkymo veiksmo (kreipimosi į VĮ Registrų centrą), kaip atitinkančio BDAR reikalavimus. Byloje nustatyta, kad </w:t>
      </w:r>
      <w:bookmarkStart w:id="37" w:name="_Hlk198557283"/>
      <w:r w:rsidRPr="00E16ACA">
        <w:rPr>
          <w:rFonts w:asciiTheme="minorHAnsi" w:hAnsiTheme="minorHAnsi" w:cstheme="minorHAnsi"/>
          <w:sz w:val="22"/>
          <w:szCs w:val="22"/>
        </w:rPr>
        <w:t>Bendrijos kreipimosi į VĮ Registrų centrą tikslas buvo išsiaiškinti, kas yra Bendrijos teritorijoje esančio sodo sklypo savininkas</w:t>
      </w:r>
      <w:bookmarkEnd w:id="37"/>
      <w:r w:rsidRPr="00E16ACA">
        <w:rPr>
          <w:rFonts w:asciiTheme="minorHAnsi" w:hAnsiTheme="minorHAnsi" w:cstheme="minorHAnsi"/>
          <w:sz w:val="22"/>
          <w:szCs w:val="22"/>
        </w:rPr>
        <w:t>, nes kitu būdu sužinoti sklypo valdytojo tapatybės Bendrija neturėjo galimybės. Byloje nebuvo duomenų, kad trečiasis suinteresuotas asmuo V. B. būtų pranešęs Bendrijai apie nuosavybės teises į turimą sodo sklypą. Nustatytų faktinių aplinkybių pagrindu teisėjų kolegija priėjo prie išvados, jog nagrinėtu atveju užklausos VĮ Registrų centrui tikslas buvo identifikuoti Bendrijoje esančio sklypo savininką tam, kad būtų galima įvykdyti imperatyvius Sodininkų bendrijų įstatymo 21 straipsnio 3 dalies reikalavimus dėl registracijos knygos pildymo, t. y. įvykdyti duomenų valdytojui taikomą teisinę prievolę, kaip tai nustato BDAR 6 straipsnio 1 dalies c punktas („tvarkyti duomenis būtina, kad būtų įvykdyta duomenų valdytojui taikoma teisinė prievolė“), todėl Inspekcija nepagrįstai nurodytus Bendrijos veiksmus pripažino neteisėtais, nenurodydama, kokiu kitu būdu imperatyvi Bendrijos pareiga galėjo būti įvykdyta</w:t>
      </w:r>
      <w:r w:rsidR="00917AC5">
        <w:rPr>
          <w:rFonts w:asciiTheme="minorHAnsi" w:hAnsiTheme="minorHAnsi" w:cstheme="minorHAnsi"/>
          <w:sz w:val="22"/>
          <w:szCs w:val="22"/>
        </w:rPr>
        <w:t>,</w:t>
      </w:r>
      <w:r w:rsidRPr="00E16ACA">
        <w:rPr>
          <w:rFonts w:asciiTheme="minorHAnsi" w:hAnsiTheme="minorHAnsi" w:cstheme="minorHAnsi"/>
          <w:sz w:val="22"/>
          <w:szCs w:val="22"/>
        </w:rPr>
        <w:t xml:space="preserve"> bei vertindama, kad toks duomenų tvarkymo pagrindas nebuvo nustatytas nacionalinėje teisėje.</w:t>
      </w:r>
    </w:p>
    <w:p w14:paraId="4C876CA2" w14:textId="212DEDE0" w:rsidR="00E16ACA" w:rsidRPr="00E16ACA" w:rsidRDefault="00E16ACA" w:rsidP="00E16ACA">
      <w:pPr>
        <w:ind w:firstLine="567"/>
        <w:jc w:val="both"/>
        <w:rPr>
          <w:rFonts w:asciiTheme="minorHAnsi" w:hAnsiTheme="minorHAnsi" w:cstheme="minorHAnsi"/>
          <w:sz w:val="22"/>
          <w:szCs w:val="22"/>
        </w:rPr>
      </w:pPr>
      <w:r w:rsidRPr="00E16ACA">
        <w:rPr>
          <w:rFonts w:asciiTheme="minorHAnsi" w:hAnsiTheme="minorHAnsi" w:cstheme="minorHAnsi"/>
          <w:sz w:val="22"/>
          <w:szCs w:val="22"/>
        </w:rPr>
        <w:t>Pirmosios instancijos teismo sprendimas, kuriuo pareiškėjo skundas patenkintas iš dalies</w:t>
      </w:r>
      <w:r w:rsidR="00137B62">
        <w:rPr>
          <w:rFonts w:asciiTheme="minorHAnsi" w:hAnsiTheme="minorHAnsi" w:cstheme="minorHAnsi"/>
          <w:sz w:val="22"/>
          <w:szCs w:val="22"/>
        </w:rPr>
        <w:t>,</w:t>
      </w:r>
      <w:r w:rsidRPr="00E16ACA">
        <w:rPr>
          <w:rFonts w:asciiTheme="minorHAnsi" w:hAnsiTheme="minorHAnsi" w:cstheme="minorHAnsi"/>
          <w:sz w:val="22"/>
          <w:szCs w:val="22"/>
        </w:rPr>
        <w:t xml:space="preserve"> pakeistas ir </w:t>
      </w:r>
      <w:r w:rsidR="00595407" w:rsidRPr="00E16ACA">
        <w:rPr>
          <w:rFonts w:asciiTheme="minorHAnsi" w:hAnsiTheme="minorHAnsi" w:cstheme="minorHAnsi"/>
          <w:sz w:val="22"/>
          <w:szCs w:val="22"/>
        </w:rPr>
        <w:t xml:space="preserve">panaikinta </w:t>
      </w:r>
      <w:r w:rsidRPr="00E16ACA">
        <w:rPr>
          <w:rFonts w:asciiTheme="minorHAnsi" w:hAnsiTheme="minorHAnsi" w:cstheme="minorHAnsi"/>
          <w:sz w:val="22"/>
          <w:szCs w:val="22"/>
        </w:rPr>
        <w:t xml:space="preserve">ginčyto </w:t>
      </w:r>
      <w:r w:rsidR="00137B62">
        <w:rPr>
          <w:rFonts w:asciiTheme="minorHAnsi" w:hAnsiTheme="minorHAnsi" w:cstheme="minorHAnsi"/>
          <w:sz w:val="22"/>
          <w:szCs w:val="22"/>
        </w:rPr>
        <w:t xml:space="preserve">Inspekcijos </w:t>
      </w:r>
      <w:r w:rsidRPr="00E16ACA">
        <w:rPr>
          <w:rFonts w:asciiTheme="minorHAnsi" w:hAnsiTheme="minorHAnsi" w:cstheme="minorHAnsi"/>
          <w:sz w:val="22"/>
          <w:szCs w:val="22"/>
        </w:rPr>
        <w:t>sprendimo 3 punkto dalis dėl asmens duomenų gavimo iš valstybės registrų (įskaitant ir iš VĮ Registrų centro tvarkomo Nekilnojamojo turto registro atskirai atliktos duomenų tvarkymo operacijos). Kita pirmosios instancijos teismo sprendimo dalis palikta nepakeista.</w:t>
      </w:r>
    </w:p>
    <w:p w14:paraId="025F61F1" w14:textId="77777777" w:rsidR="00E16ACA" w:rsidRPr="00E16ACA" w:rsidRDefault="00E16ACA" w:rsidP="00E16ACA">
      <w:pPr>
        <w:ind w:firstLine="567"/>
        <w:jc w:val="both"/>
        <w:rPr>
          <w:rFonts w:asciiTheme="minorHAnsi" w:hAnsiTheme="minorHAnsi" w:cstheme="minorHAnsi"/>
          <w:sz w:val="22"/>
          <w:szCs w:val="22"/>
        </w:rPr>
      </w:pPr>
    </w:p>
    <w:p w14:paraId="203CFAEC" w14:textId="20CABE9C" w:rsidR="00E16ACA" w:rsidRPr="00E16ACA" w:rsidRDefault="00E16ACA" w:rsidP="00E16ACA">
      <w:pPr>
        <w:jc w:val="both"/>
        <w:rPr>
          <w:rFonts w:asciiTheme="minorHAnsi" w:hAnsiTheme="minorHAnsi" w:cstheme="minorHAnsi"/>
          <w:sz w:val="22"/>
          <w:szCs w:val="22"/>
        </w:rPr>
      </w:pPr>
      <w:r w:rsidRPr="00E16ACA">
        <w:rPr>
          <w:rFonts w:asciiTheme="minorHAnsi" w:hAnsiTheme="minorHAnsi" w:cstheme="minorHAnsi"/>
          <w:sz w:val="22"/>
          <w:szCs w:val="22"/>
        </w:rPr>
        <w:t>2025 m. balandžio 30 d. nutartis administracinėje byloje Nr. eA-1568-629/2025</w:t>
      </w:r>
    </w:p>
    <w:p w14:paraId="5E72F532" w14:textId="77777777" w:rsidR="00E16ACA" w:rsidRPr="00E16ACA" w:rsidRDefault="00E16ACA" w:rsidP="00E16ACA">
      <w:pPr>
        <w:jc w:val="both"/>
        <w:rPr>
          <w:rFonts w:asciiTheme="minorHAnsi" w:hAnsiTheme="minorHAnsi" w:cstheme="minorHAnsi"/>
          <w:sz w:val="22"/>
          <w:szCs w:val="22"/>
        </w:rPr>
      </w:pPr>
      <w:r w:rsidRPr="00E16ACA">
        <w:rPr>
          <w:rFonts w:asciiTheme="minorHAnsi" w:hAnsiTheme="minorHAnsi" w:cstheme="minorHAnsi"/>
          <w:sz w:val="22"/>
          <w:szCs w:val="22"/>
        </w:rPr>
        <w:t>Teisminio proceso Nr. 3-61-3-02842-2022-5</w:t>
      </w:r>
    </w:p>
    <w:p w14:paraId="7B355840" w14:textId="77777777" w:rsidR="00E16ACA" w:rsidRPr="00E16ACA" w:rsidRDefault="00E16ACA" w:rsidP="00E16ACA">
      <w:pPr>
        <w:jc w:val="both"/>
        <w:rPr>
          <w:rFonts w:asciiTheme="minorHAnsi" w:hAnsiTheme="minorHAnsi" w:cstheme="minorHAnsi"/>
          <w:sz w:val="22"/>
          <w:szCs w:val="22"/>
        </w:rPr>
      </w:pPr>
      <w:hyperlink r:id="rId16" w:history="1">
        <w:r w:rsidRPr="00E16ACA">
          <w:rPr>
            <w:rStyle w:val="Hyperlink"/>
            <w:rFonts w:asciiTheme="minorHAnsi" w:hAnsiTheme="minorHAnsi" w:cstheme="minorHAnsi"/>
            <w:sz w:val="22"/>
            <w:szCs w:val="22"/>
          </w:rPr>
          <w:t>Prieiga internete</w:t>
        </w:r>
      </w:hyperlink>
    </w:p>
    <w:p w14:paraId="68F31F41" w14:textId="77777777" w:rsidR="00007C73" w:rsidRPr="00007C73" w:rsidRDefault="00007C73" w:rsidP="00007C73">
      <w:pPr>
        <w:rPr>
          <w:sz w:val="22"/>
          <w:szCs w:val="22"/>
        </w:rPr>
      </w:pPr>
    </w:p>
    <w:p w14:paraId="4E97E7B9" w14:textId="51DB665F" w:rsidR="0095428E" w:rsidRPr="0095428E" w:rsidRDefault="0095428E" w:rsidP="0095428E">
      <w:pPr>
        <w:pStyle w:val="Apzvalgai1"/>
        <w:rPr>
          <w:rFonts w:asciiTheme="minorHAnsi" w:hAnsiTheme="minorHAnsi" w:cstheme="minorHAnsi"/>
        </w:rPr>
      </w:pPr>
      <w:bookmarkStart w:id="38" w:name="_Toc199503150"/>
      <w:r w:rsidRPr="0095428E">
        <w:rPr>
          <w:rFonts w:asciiTheme="minorHAnsi" w:hAnsiTheme="minorHAnsi" w:cstheme="minorHAnsi"/>
        </w:rPr>
        <w:t>30. Energetika</w:t>
      </w:r>
      <w:bookmarkEnd w:id="38"/>
    </w:p>
    <w:p w14:paraId="34A181B8" w14:textId="77777777" w:rsidR="0095428E" w:rsidRPr="0095428E" w:rsidRDefault="0095428E" w:rsidP="0095428E">
      <w:pPr>
        <w:ind w:firstLine="567"/>
        <w:rPr>
          <w:rFonts w:asciiTheme="minorHAnsi" w:hAnsiTheme="minorHAnsi" w:cstheme="minorHAnsi"/>
          <w:b/>
          <w:bCs/>
          <w:sz w:val="22"/>
          <w:szCs w:val="22"/>
          <w:u w:val="single"/>
        </w:rPr>
      </w:pPr>
      <w:r w:rsidRPr="0095428E">
        <w:rPr>
          <w:rFonts w:asciiTheme="minorHAnsi" w:hAnsiTheme="minorHAnsi" w:cstheme="minorHAnsi"/>
          <w:b/>
          <w:bCs/>
          <w:sz w:val="22"/>
          <w:szCs w:val="22"/>
          <w:u w:val="single"/>
        </w:rPr>
        <w:t>30.4. Atsinaujinantys energijos ištekliai</w:t>
      </w:r>
    </w:p>
    <w:p w14:paraId="32FA3DB2" w14:textId="77777777" w:rsidR="0095428E" w:rsidRPr="0095428E" w:rsidRDefault="0095428E" w:rsidP="0095428E">
      <w:pPr>
        <w:ind w:firstLine="567"/>
        <w:rPr>
          <w:rFonts w:asciiTheme="minorHAnsi" w:hAnsiTheme="minorHAnsi" w:cstheme="minorHAnsi"/>
          <w:b/>
          <w:bCs/>
          <w:sz w:val="22"/>
          <w:szCs w:val="22"/>
          <w:u w:val="single"/>
        </w:rPr>
      </w:pPr>
    </w:p>
    <w:p w14:paraId="451DA4F0" w14:textId="11274D3B" w:rsidR="0095428E" w:rsidRPr="0095428E" w:rsidRDefault="0095428E" w:rsidP="0095428E">
      <w:pPr>
        <w:jc w:val="both"/>
        <w:outlineLvl w:val="1"/>
        <w:rPr>
          <w:rFonts w:asciiTheme="minorHAnsi" w:eastAsia="Calibri" w:hAnsiTheme="minorHAnsi" w:cstheme="minorHAnsi"/>
          <w:i/>
          <w:sz w:val="22"/>
          <w:szCs w:val="22"/>
        </w:rPr>
      </w:pPr>
      <w:bookmarkStart w:id="39" w:name="_Toc199503151"/>
      <w:r w:rsidRPr="0095428E">
        <w:rPr>
          <w:rFonts w:asciiTheme="minorHAnsi" w:eastAsia="Calibri" w:hAnsiTheme="minorHAnsi" w:cstheme="minorHAnsi"/>
          <w:i/>
          <w:sz w:val="22"/>
          <w:szCs w:val="22"/>
        </w:rPr>
        <w:t>Dėl Elektros energetikos įstatymo 17 straipsnio 2 dalyje nurodytų sprendimo dėl leidimo plėtoti elektros energijos gamybos pajėgumus išdavimo nepriėmimo per nustatytą terminą pasekmių, kai prašymas išduoti leidimą paduotas esant pasiektai ir viršytai 2 GW saulės šviesos energijos elektrinių suminei įrengtajai galiai</w:t>
      </w:r>
      <w:bookmarkEnd w:id="39"/>
    </w:p>
    <w:p w14:paraId="1D4D6BC6" w14:textId="77777777" w:rsidR="0095428E" w:rsidRPr="0095428E" w:rsidRDefault="0095428E"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p>
    <w:p w14:paraId="3E2C4393" w14:textId="77777777" w:rsidR="0095428E" w:rsidRPr="0095428E" w:rsidRDefault="0095428E"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5428E">
        <w:rPr>
          <w:rStyle w:val="normaltextrun"/>
          <w:rFonts w:asciiTheme="minorHAnsi" w:eastAsiaTheme="majorEastAsia" w:hAnsiTheme="minorHAnsi" w:cstheme="minorHAnsi"/>
          <w:sz w:val="22"/>
          <w:szCs w:val="22"/>
        </w:rPr>
        <w:t>Apžvelgiamoje byloje ginčas kilo dėl leidimo plėtoti elektros energijos gamybos pajėgumus pareiškėjui neišdavimo Elektros energetikos įstatymo 17 straipsnio 2 dalies pagrindu. Pareiškėjas skundu prašė įpareigoti Valstybinę energetikos reguliavimo tarybą (toliau – Taryba) pateikti pareiškėjui išduotą leidimą pagal 2022 m. rugpjūčio 3 d. prašymą ir įpareigoti atsakovą išviešinti faktą apie pareiškėjui išduotą leidimą.</w:t>
      </w:r>
    </w:p>
    <w:p w14:paraId="43294488" w14:textId="17A34DB5" w:rsidR="0095428E" w:rsidRPr="0095428E" w:rsidRDefault="0095428E"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trike/>
          <w:sz w:val="22"/>
          <w:szCs w:val="22"/>
        </w:rPr>
      </w:pPr>
      <w:r w:rsidRPr="0095428E">
        <w:rPr>
          <w:rStyle w:val="normaltextrun"/>
          <w:rFonts w:asciiTheme="minorHAnsi" w:eastAsiaTheme="majorEastAsia" w:hAnsiTheme="minorHAnsi" w:cstheme="minorHAnsi"/>
          <w:sz w:val="22"/>
          <w:szCs w:val="22"/>
        </w:rPr>
        <w:t>Pirmosios instancijos teismas atmetė pareiškėjo skundą.</w:t>
      </w:r>
    </w:p>
    <w:p w14:paraId="2136DEFD" w14:textId="241CAD9F" w:rsidR="0095428E" w:rsidRPr="0095428E" w:rsidRDefault="003B4B0E"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Pr>
          <w:rStyle w:val="normaltextrun"/>
          <w:rFonts w:asciiTheme="minorHAnsi" w:eastAsiaTheme="majorEastAsia" w:hAnsiTheme="minorHAnsi" w:cstheme="minorHAnsi"/>
          <w:sz w:val="22"/>
          <w:szCs w:val="22"/>
        </w:rPr>
        <w:t>LVAT i</w:t>
      </w:r>
      <w:r w:rsidR="0095428E" w:rsidRPr="0095428E">
        <w:rPr>
          <w:rStyle w:val="normaltextrun"/>
          <w:rFonts w:asciiTheme="minorHAnsi" w:eastAsiaTheme="majorEastAsia" w:hAnsiTheme="minorHAnsi" w:cstheme="minorHAnsi"/>
          <w:sz w:val="22"/>
          <w:szCs w:val="22"/>
        </w:rPr>
        <w:t xml:space="preserve">šplėstinė teisėjų kolegija pažymėjo, jog Elektros energetikos įstatymo 17 straipsnio 2 dalyje </w:t>
      </w:r>
      <w:r w:rsidR="0095428E" w:rsidRPr="0095428E">
        <w:rPr>
          <w:rStyle w:val="normaltextrun"/>
          <w:rFonts w:asciiTheme="minorHAnsi" w:eastAsiaTheme="majorEastAsia" w:hAnsiTheme="minorHAnsi" w:cstheme="minorHAnsi"/>
          <w:i/>
          <w:iCs/>
          <w:sz w:val="22"/>
          <w:szCs w:val="22"/>
        </w:rPr>
        <w:t>expressis verbis</w:t>
      </w:r>
      <w:r w:rsidR="0095428E" w:rsidRPr="0095428E">
        <w:rPr>
          <w:rStyle w:val="normaltextrun"/>
          <w:rFonts w:asciiTheme="minorHAnsi" w:eastAsiaTheme="majorEastAsia" w:hAnsiTheme="minorHAnsi" w:cstheme="minorHAnsi"/>
          <w:sz w:val="22"/>
          <w:szCs w:val="22"/>
        </w:rPr>
        <w:t xml:space="preserve"> </w:t>
      </w:r>
      <w:r w:rsidR="00F55CC7">
        <w:rPr>
          <w:rStyle w:val="normaltextrun"/>
          <w:rFonts w:asciiTheme="minorHAnsi" w:eastAsiaTheme="majorEastAsia" w:hAnsiTheme="minorHAnsi" w:cstheme="minorHAnsi"/>
          <w:sz w:val="22"/>
          <w:szCs w:val="22"/>
        </w:rPr>
        <w:t xml:space="preserve">(aiškiais žodžiais, tiesiogiai) </w:t>
      </w:r>
      <w:r w:rsidR="0095428E" w:rsidRPr="0095428E">
        <w:rPr>
          <w:rStyle w:val="normaltextrun"/>
          <w:rFonts w:asciiTheme="minorHAnsi" w:eastAsiaTheme="majorEastAsia" w:hAnsiTheme="minorHAnsi" w:cstheme="minorHAnsi"/>
          <w:sz w:val="22"/>
          <w:szCs w:val="22"/>
        </w:rPr>
        <w:t xml:space="preserve">įtvirtinta, kad tuo atveju, jeigu į tinkamai pateiktą prašymą išduoti leidimą neatsakoma per šioje dalyje nurodytą terminą, laikoma, kad yra priimtas teigiamas sprendimas dėl leidimo </w:t>
      </w:r>
      <w:r w:rsidR="0095428E" w:rsidRPr="0095428E">
        <w:rPr>
          <w:rStyle w:val="normaltextrun"/>
          <w:rFonts w:asciiTheme="minorHAnsi" w:eastAsiaTheme="majorEastAsia" w:hAnsiTheme="minorHAnsi" w:cstheme="minorHAnsi"/>
          <w:sz w:val="22"/>
          <w:szCs w:val="22"/>
        </w:rPr>
        <w:lastRenderedPageBreak/>
        <w:t xml:space="preserve">išdavimo. Tačiau šis įstatymo reguliavimas negali būti vertinamas atsietai nuo kitų imperatyvių teisės aktų nuostatų, t. y. </w:t>
      </w:r>
      <w:r w:rsidR="0095428E" w:rsidRPr="0095428E">
        <w:rPr>
          <w:rStyle w:val="normaltextrun"/>
          <w:rFonts w:asciiTheme="minorHAnsi" w:eastAsiaTheme="majorEastAsia" w:hAnsiTheme="minorHAnsi" w:cstheme="minorHAnsi"/>
          <w:sz w:val="22"/>
          <w:szCs w:val="22"/>
          <w:u w:val="single"/>
        </w:rPr>
        <w:t>Elektros energetikos įstatymo 17 straipsnio 2 dalyje nurodytos teisinės sprendimo dėl leidimo nepriėmimo per nustatytą terminą pasekmės galėtų būti taikomos tik tokiu atveju, jei leidimo išdavimas būtų suderinamas su imperatyviomis teisės aktų nuostatomis</w:t>
      </w:r>
      <w:r w:rsidR="0095428E" w:rsidRPr="00AC0096">
        <w:rPr>
          <w:rStyle w:val="normaltextrun"/>
          <w:rFonts w:asciiTheme="minorHAnsi" w:eastAsiaTheme="majorEastAsia" w:hAnsiTheme="minorHAnsi" w:cstheme="minorHAnsi"/>
          <w:sz w:val="22"/>
          <w:szCs w:val="22"/>
        </w:rPr>
        <w:t>.</w:t>
      </w:r>
      <w:r w:rsidR="0095428E" w:rsidRPr="0095428E">
        <w:rPr>
          <w:rStyle w:val="normaltextrun"/>
          <w:rFonts w:asciiTheme="minorHAnsi" w:eastAsiaTheme="majorEastAsia" w:hAnsiTheme="minorHAnsi" w:cstheme="minorHAnsi"/>
          <w:sz w:val="22"/>
          <w:szCs w:val="22"/>
        </w:rPr>
        <w:t xml:space="preserve"> Be to, įstatymų leidėjas Elektros energetikos įstatymo 17 straipsnio 3 dalyje yra įvardijęs atvejus, kada Elektros energetikos įstatymo 17 straipsnio 2 dalyje nustatyta sąlyga dėl leidimo išdavimo termino yra netaikoma, įskaitant priežastis, pateisinamas svarbiais visuomenės interesais.</w:t>
      </w:r>
    </w:p>
    <w:p w14:paraId="5115519F" w14:textId="258B4B14" w:rsidR="0095428E" w:rsidRPr="0095428E" w:rsidRDefault="0095428E"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5428E">
        <w:rPr>
          <w:rStyle w:val="normaltextrun"/>
          <w:rFonts w:asciiTheme="minorHAnsi" w:eastAsiaTheme="majorEastAsia" w:hAnsiTheme="minorHAnsi" w:cstheme="minorHAnsi"/>
          <w:sz w:val="22"/>
          <w:szCs w:val="22"/>
        </w:rPr>
        <w:t xml:space="preserve">Nustatyta, kad pareiškėjas padavė prašymą išduoti leidimą jau įsigaliojus Atsinaujinančių išteklių energetikos įstatymo 13 straipsnio 10 daliai (2022 m. birželio 23 d. įstatymo Nr. XIV-1169 redakcija), kurioje </w:t>
      </w:r>
      <w:r w:rsidRPr="0095428E">
        <w:rPr>
          <w:rStyle w:val="normaltextrun"/>
          <w:rFonts w:asciiTheme="minorHAnsi" w:eastAsiaTheme="majorEastAsia" w:hAnsiTheme="minorHAnsi" w:cstheme="minorHAnsi"/>
          <w:i/>
          <w:iCs/>
          <w:sz w:val="22"/>
          <w:szCs w:val="22"/>
        </w:rPr>
        <w:t>inter alia</w:t>
      </w:r>
      <w:r w:rsidRPr="0095428E">
        <w:rPr>
          <w:rStyle w:val="normaltextrun"/>
          <w:rFonts w:asciiTheme="minorHAnsi" w:eastAsiaTheme="majorEastAsia" w:hAnsiTheme="minorHAnsi" w:cstheme="minorHAnsi"/>
          <w:sz w:val="22"/>
          <w:szCs w:val="22"/>
        </w:rPr>
        <w:t xml:space="preserve"> </w:t>
      </w:r>
      <w:r w:rsidR="00AE755A">
        <w:rPr>
          <w:rStyle w:val="normaltextrun"/>
          <w:rFonts w:asciiTheme="minorHAnsi" w:eastAsiaTheme="majorEastAsia" w:hAnsiTheme="minorHAnsi" w:cstheme="minorHAnsi"/>
          <w:sz w:val="22"/>
          <w:szCs w:val="22"/>
        </w:rPr>
        <w:t xml:space="preserve">(be kita ko) </w:t>
      </w:r>
      <w:r w:rsidRPr="0095428E">
        <w:rPr>
          <w:rStyle w:val="normaltextrun"/>
          <w:rFonts w:asciiTheme="minorHAnsi" w:eastAsiaTheme="majorEastAsia" w:hAnsiTheme="minorHAnsi" w:cstheme="minorHAnsi"/>
          <w:sz w:val="22"/>
          <w:szCs w:val="22"/>
        </w:rPr>
        <w:t xml:space="preserve">buvo nustatyta, kad saulės šviesos energijos elektrinių suminė įrengtoji galia negali viršyti 2 GW, bei esant </w:t>
      </w:r>
      <w:r w:rsidRPr="0095428E">
        <w:rPr>
          <w:rStyle w:val="normaltextrun"/>
          <w:rFonts w:asciiTheme="minorHAnsi" w:eastAsiaTheme="majorEastAsia" w:hAnsiTheme="minorHAnsi" w:cstheme="minorHAnsi"/>
          <w:i/>
          <w:iCs/>
          <w:sz w:val="22"/>
          <w:szCs w:val="22"/>
        </w:rPr>
        <w:t>de facto</w:t>
      </w:r>
      <w:r w:rsidRPr="0095428E">
        <w:rPr>
          <w:rStyle w:val="normaltextrun"/>
          <w:rFonts w:asciiTheme="minorHAnsi" w:eastAsiaTheme="majorEastAsia" w:hAnsiTheme="minorHAnsi" w:cstheme="minorHAnsi"/>
          <w:sz w:val="22"/>
          <w:szCs w:val="22"/>
        </w:rPr>
        <w:t xml:space="preserve"> </w:t>
      </w:r>
      <w:r w:rsidR="00AE755A">
        <w:rPr>
          <w:rStyle w:val="normaltextrun"/>
          <w:rFonts w:asciiTheme="minorHAnsi" w:eastAsiaTheme="majorEastAsia" w:hAnsiTheme="minorHAnsi" w:cstheme="minorHAnsi"/>
          <w:sz w:val="22"/>
          <w:szCs w:val="22"/>
        </w:rPr>
        <w:t>(faktiškai</w:t>
      </w:r>
      <w:r w:rsidR="00E1409C">
        <w:rPr>
          <w:rStyle w:val="normaltextrun"/>
          <w:rFonts w:asciiTheme="minorHAnsi" w:eastAsiaTheme="majorEastAsia" w:hAnsiTheme="minorHAnsi" w:cstheme="minorHAnsi"/>
          <w:sz w:val="22"/>
          <w:szCs w:val="22"/>
        </w:rPr>
        <w:t xml:space="preserve">, </w:t>
      </w:r>
      <w:r w:rsidR="00E1409C" w:rsidRPr="00E1409C">
        <w:rPr>
          <w:rStyle w:val="normaltextrun"/>
          <w:rFonts w:asciiTheme="minorHAnsi" w:eastAsiaTheme="majorEastAsia" w:hAnsiTheme="minorHAnsi" w:cstheme="minorHAnsi"/>
          <w:sz w:val="22"/>
          <w:szCs w:val="22"/>
        </w:rPr>
        <w:t>iš tikrųjų</w:t>
      </w:r>
      <w:r w:rsidR="00AE755A">
        <w:rPr>
          <w:rStyle w:val="normaltextrun"/>
          <w:rFonts w:asciiTheme="minorHAnsi" w:eastAsiaTheme="majorEastAsia" w:hAnsiTheme="minorHAnsi" w:cstheme="minorHAnsi"/>
          <w:sz w:val="22"/>
          <w:szCs w:val="22"/>
        </w:rPr>
        <w:t xml:space="preserve">) </w:t>
      </w:r>
      <w:r w:rsidRPr="0095428E">
        <w:rPr>
          <w:rStyle w:val="normaltextrun"/>
          <w:rFonts w:asciiTheme="minorHAnsi" w:eastAsiaTheme="majorEastAsia" w:hAnsiTheme="minorHAnsi" w:cstheme="minorHAnsi"/>
          <w:sz w:val="22"/>
          <w:szCs w:val="22"/>
        </w:rPr>
        <w:t>pasiektai ir viršytai 2 GW galiai, o Tarybai gavus asmenų prašymus išduoti leidimus plėtoti elektros energijos gamybos pajėgumus įrengiant saulės šviesos energijos elektrines didesnei suminei įrengtajai galiai nei nustatyta didžiausia saulės šviesos energijos elektrinių suminės įrengtosios galios riba.</w:t>
      </w:r>
    </w:p>
    <w:p w14:paraId="39E92611" w14:textId="62969BFF" w:rsidR="0095428E" w:rsidRPr="0095428E" w:rsidRDefault="0095428E"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5428E">
        <w:rPr>
          <w:rStyle w:val="normaltextrun"/>
          <w:rFonts w:asciiTheme="minorHAnsi" w:eastAsiaTheme="majorEastAsia" w:hAnsiTheme="minorHAnsi" w:cstheme="minorHAnsi"/>
          <w:sz w:val="22"/>
          <w:szCs w:val="22"/>
        </w:rPr>
        <w:t>Išplėstinė teisėjų kolegija, atsižvelgusi į Elektros energetikos įstatymo 17 straipsnio 2</w:t>
      </w:r>
      <w:r w:rsidR="00E1409C">
        <w:rPr>
          <w:rStyle w:val="normaltextrun"/>
          <w:rFonts w:asciiTheme="minorHAnsi" w:eastAsiaTheme="majorEastAsia" w:hAnsiTheme="minorHAnsi" w:cstheme="minorHAnsi"/>
          <w:sz w:val="22"/>
          <w:szCs w:val="22"/>
        </w:rPr>
        <w:t xml:space="preserve"> ir</w:t>
      </w:r>
      <w:r w:rsidRPr="0095428E">
        <w:rPr>
          <w:rStyle w:val="normaltextrun"/>
          <w:rFonts w:asciiTheme="minorHAnsi" w:eastAsiaTheme="majorEastAsia" w:hAnsiTheme="minorHAnsi" w:cstheme="minorHAnsi"/>
          <w:sz w:val="22"/>
          <w:szCs w:val="22"/>
        </w:rPr>
        <w:t xml:space="preserve"> 3 dalių, Atsinaujinančių išteklių energetikos įstatymo 13 straipsnio 10 dalies (2022 m. birželio 23 d. įstatymo Nr. XIV-1169 redakcija) nuostatas, Konstitucinio Teismo išaiškinimus, susijusius su elektros energijos gamybos iš atsinaujinančių energijos išteklių ūkinės veiklos plėtros ypatumais, bei tai, kad suteikiant galimybę vystyti saulės šviesos energijos elektrinių veiklą turi būti įvertinami tokie aspektai, kaip elektros energetikos sistemos stabilumas, saugumas, patikimumas i</w:t>
      </w:r>
      <w:r w:rsidR="00AD3356">
        <w:rPr>
          <w:rStyle w:val="normaltextrun"/>
          <w:rFonts w:asciiTheme="minorHAnsi" w:eastAsiaTheme="majorEastAsia" w:hAnsiTheme="minorHAnsi" w:cstheme="minorHAnsi"/>
          <w:sz w:val="22"/>
          <w:szCs w:val="22"/>
        </w:rPr>
        <w:t>r</w:t>
      </w:r>
      <w:r w:rsidRPr="0095428E">
        <w:rPr>
          <w:rStyle w:val="normaltextrun"/>
          <w:rFonts w:asciiTheme="minorHAnsi" w:eastAsiaTheme="majorEastAsia" w:hAnsiTheme="minorHAnsi" w:cstheme="minorHAnsi"/>
          <w:sz w:val="22"/>
          <w:szCs w:val="22"/>
        </w:rPr>
        <w:t xml:space="preserve"> sklandus elektros energijos tinklų funkcionavimas (elektros energijos gamybos iš įvairių atsinaujinančių energijos išteklių plėtros suderinamumas su elektros energijos tinklų pajėgumais), konstatavo, jog </w:t>
      </w:r>
      <w:r w:rsidRPr="0095428E">
        <w:rPr>
          <w:rStyle w:val="normaltextrun"/>
          <w:rFonts w:asciiTheme="minorHAnsi" w:eastAsiaTheme="majorEastAsia" w:hAnsiTheme="minorHAnsi" w:cstheme="minorHAnsi"/>
          <w:sz w:val="22"/>
          <w:szCs w:val="22"/>
          <w:u w:val="single"/>
        </w:rPr>
        <w:t xml:space="preserve">byloje susiklosčiusių aplinkybių kontekste, kai pareiškėjo prašymas išduoti leidimą 120 MW galios saulės elektrinių parko statybai buvo pateiktas jau galiojant Atsinaujinančių išteklių energetikos įstatymo 13 straipsnio 10 dalies (2022 m. birželio 23 d. įstatymo Nr. XIV-1169 redakcija) nuostatai, kad saulės šviesos energijos elektrinių suminė įrengtoji galia negali viršyti 2 GW, o šiai galiai esant </w:t>
      </w:r>
      <w:r w:rsidRPr="0095428E">
        <w:rPr>
          <w:rStyle w:val="normaltextrun"/>
          <w:rFonts w:asciiTheme="minorHAnsi" w:eastAsiaTheme="majorEastAsia" w:hAnsiTheme="minorHAnsi" w:cstheme="minorHAnsi"/>
          <w:i/>
          <w:iCs/>
          <w:sz w:val="22"/>
          <w:szCs w:val="22"/>
          <w:u w:val="single"/>
        </w:rPr>
        <w:t>de facto</w:t>
      </w:r>
      <w:r w:rsidRPr="0095428E">
        <w:rPr>
          <w:rStyle w:val="normaltextrun"/>
          <w:rFonts w:asciiTheme="minorHAnsi" w:eastAsiaTheme="majorEastAsia" w:hAnsiTheme="minorHAnsi" w:cstheme="minorHAnsi"/>
          <w:sz w:val="22"/>
          <w:szCs w:val="22"/>
          <w:u w:val="single"/>
        </w:rPr>
        <w:t xml:space="preserve"> pasiektai ir viršytai, Taryba negalėjo automatiškai išduoti pareiškėjui tokio leidimo, neįvertinusi imperatyvaus teisinio reguliavimo bei faktinių aplinkybių, susijusių su 2 GW galios viršijimu</w:t>
      </w:r>
      <w:r w:rsidRPr="0095428E">
        <w:rPr>
          <w:rStyle w:val="normaltextrun"/>
          <w:rFonts w:asciiTheme="minorHAnsi" w:eastAsiaTheme="majorEastAsia" w:hAnsiTheme="minorHAnsi" w:cstheme="minorHAnsi"/>
          <w:sz w:val="22"/>
          <w:szCs w:val="22"/>
        </w:rPr>
        <w:t>. Kitaip tariant, nagrinėtu atveju leidimo pareiškėjui išdavimas tokiomis aplinkybėmis Elektros energetikos įstatymo 17 straipsnio 2 dalies pagrindu, neatsižvelgiant į susiklosčiusią teisinę ir faktinę situaciją, nebūtų suderinamas su imperatyviomis teisės aktų nuostatomis, draudžiančiomis saulės šviesos energijos elektrinių suminei įrengtajai galiai viršyti 2 GW.</w:t>
      </w:r>
    </w:p>
    <w:p w14:paraId="406623D5" w14:textId="77777777" w:rsidR="0095428E" w:rsidRPr="0095428E" w:rsidRDefault="0095428E"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95428E">
        <w:rPr>
          <w:rStyle w:val="normaltextrun"/>
          <w:rFonts w:asciiTheme="minorHAnsi" w:eastAsiaTheme="majorEastAsia" w:hAnsiTheme="minorHAnsi" w:cstheme="minorHAnsi"/>
          <w:sz w:val="22"/>
          <w:szCs w:val="22"/>
        </w:rPr>
        <w:t xml:space="preserve">LVAT taip pat pažymėjo, jog </w:t>
      </w:r>
      <w:r w:rsidRPr="0095428E">
        <w:rPr>
          <w:rStyle w:val="normaltextrun"/>
          <w:rFonts w:asciiTheme="minorHAnsi" w:eastAsiaTheme="majorEastAsia" w:hAnsiTheme="minorHAnsi" w:cstheme="minorHAnsi"/>
          <w:sz w:val="22"/>
          <w:szCs w:val="22"/>
          <w:u w:val="single"/>
        </w:rPr>
        <w:t xml:space="preserve">Taryba, gavusi pareiškėjo </w:t>
      </w:r>
      <w:r w:rsidRPr="0095428E">
        <w:rPr>
          <w:rFonts w:asciiTheme="minorHAnsi" w:eastAsiaTheme="majorEastAsia" w:hAnsiTheme="minorHAnsi" w:cstheme="minorHAnsi"/>
          <w:sz w:val="22"/>
          <w:szCs w:val="22"/>
          <w:u w:val="single"/>
        </w:rPr>
        <w:t xml:space="preserve">2022 m. rugpjūčio 3 d. </w:t>
      </w:r>
      <w:r w:rsidRPr="0095428E">
        <w:rPr>
          <w:rStyle w:val="normaltextrun"/>
          <w:rFonts w:asciiTheme="minorHAnsi" w:eastAsiaTheme="majorEastAsia" w:hAnsiTheme="minorHAnsi" w:cstheme="minorHAnsi"/>
          <w:sz w:val="22"/>
          <w:szCs w:val="22"/>
          <w:u w:val="single"/>
        </w:rPr>
        <w:t>prašymą išduoti leidimą, laiku į jį neatsakė</w:t>
      </w:r>
      <w:r w:rsidRPr="0095428E">
        <w:rPr>
          <w:rStyle w:val="normaltextrun"/>
          <w:rFonts w:asciiTheme="minorHAnsi" w:eastAsiaTheme="majorEastAsia" w:hAnsiTheme="minorHAnsi" w:cstheme="minorHAnsi"/>
          <w:sz w:val="22"/>
          <w:szCs w:val="22"/>
        </w:rPr>
        <w:t xml:space="preserve">, t. y. per Elektros energetikos įstatymo 17 straipsnio 2 dalyje nustatytą 30 kalendorinių dienų terminą nuo prašymo registravimo institucijoje dienos neinformavo pareiškėjo apie susiklosčiusią saulės šviesos energijos elektrinių plėtros situaciją bei leidimų plėtoti elektros energijos gamybos pajėgumus išdavimo proceso ypatumus. Taryba tik 2022 m. rugsėjo 19 d. raštu informavo pareiškėją, kad jau yra pasiekta ir viršyta Atsinaujinančių išteklių energetikos įstatymo 13 straipsnio 10 dalyje nurodyta 2 GW galia, kad šiuo metu leidimai plėtoti elektros energijos gamybos pajėgumus pareiškėjams neišduodami ir kad yra rengiamas tvarkos aprašo, kuriame bus nustatyti kriterijai, kuriais remiantis bus atliekamas papildomas gautų prašymų dėl leidimų vertinimas, projektas. </w:t>
      </w:r>
      <w:r w:rsidRPr="0095428E">
        <w:rPr>
          <w:rStyle w:val="normaltextrun"/>
          <w:rFonts w:asciiTheme="minorHAnsi" w:eastAsiaTheme="majorEastAsia" w:hAnsiTheme="minorHAnsi" w:cstheme="minorHAnsi"/>
          <w:sz w:val="22"/>
          <w:szCs w:val="22"/>
          <w:u w:val="single"/>
        </w:rPr>
        <w:t>Tokie Tarybos veiksmai pripažinti netinkamais ir laikyti procedūriniu pažeidimu, tačiau šis pažeidimas nagrinėto ginčo atveju, atsižvelgus į pirmiau išdėstytas aplinkybes, nepripažintas pagrindu konstatuoti, kad leidimas pareiškėjui yra išduotas pagal Elektros energetikos įstatymo 17 straipsnio 2 dalį</w:t>
      </w:r>
      <w:r w:rsidRPr="0095428E">
        <w:rPr>
          <w:rStyle w:val="normaltextrun"/>
          <w:rFonts w:asciiTheme="minorHAnsi" w:eastAsiaTheme="majorEastAsia" w:hAnsiTheme="minorHAnsi" w:cstheme="minorHAnsi"/>
          <w:sz w:val="22"/>
          <w:szCs w:val="22"/>
        </w:rPr>
        <w:t>.</w:t>
      </w:r>
    </w:p>
    <w:p w14:paraId="29796B10" w14:textId="66022BE4" w:rsidR="0095428E" w:rsidRPr="0095428E" w:rsidRDefault="00886428"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Pr>
          <w:rFonts w:asciiTheme="minorHAnsi" w:eastAsiaTheme="majorEastAsia" w:hAnsiTheme="minorHAnsi" w:cstheme="minorHAnsi"/>
          <w:sz w:val="22"/>
          <w:szCs w:val="22"/>
        </w:rPr>
        <w:t>Pareiškėjo a</w:t>
      </w:r>
      <w:r w:rsidR="0095428E" w:rsidRPr="0095428E">
        <w:rPr>
          <w:rFonts w:asciiTheme="minorHAnsi" w:eastAsiaTheme="majorEastAsia" w:hAnsiTheme="minorHAnsi" w:cstheme="minorHAnsi"/>
          <w:sz w:val="22"/>
          <w:szCs w:val="22"/>
        </w:rPr>
        <w:t>peliacinis skundas atmestas, p</w:t>
      </w:r>
      <w:r w:rsidR="0095428E" w:rsidRPr="0095428E">
        <w:rPr>
          <w:rStyle w:val="normaltextrun"/>
          <w:rFonts w:asciiTheme="minorHAnsi" w:eastAsiaTheme="majorEastAsia" w:hAnsiTheme="minorHAnsi" w:cstheme="minorHAnsi"/>
          <w:sz w:val="22"/>
          <w:szCs w:val="22"/>
        </w:rPr>
        <w:t>irmosios instancijos teismo sprendimas paliktas nepakeistas.</w:t>
      </w:r>
    </w:p>
    <w:p w14:paraId="320CFFA2" w14:textId="77777777" w:rsidR="0095428E" w:rsidRPr="0095428E" w:rsidRDefault="0095428E" w:rsidP="0095428E">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p>
    <w:p w14:paraId="37B7B3E2" w14:textId="77777777" w:rsidR="0095428E" w:rsidRPr="0095428E" w:rsidRDefault="0095428E" w:rsidP="0095428E">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95428E">
        <w:rPr>
          <w:rStyle w:val="normaltextrun"/>
          <w:rFonts w:asciiTheme="minorHAnsi" w:eastAsiaTheme="majorEastAsia" w:hAnsiTheme="minorHAnsi" w:cstheme="minorHAnsi"/>
          <w:sz w:val="22"/>
          <w:szCs w:val="22"/>
        </w:rPr>
        <w:t>Išplėstinės teisėjų kolegijos 2025 m. balandžio 30 d. nutartis administracinėje byloje Nr. eA-52-629/2025</w:t>
      </w:r>
    </w:p>
    <w:p w14:paraId="1D7CAA43" w14:textId="77777777" w:rsidR="0095428E" w:rsidRPr="0095428E" w:rsidRDefault="0095428E" w:rsidP="0095428E">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95428E">
        <w:rPr>
          <w:rStyle w:val="normaltextrun"/>
          <w:rFonts w:asciiTheme="minorHAnsi" w:eastAsiaTheme="majorEastAsia" w:hAnsiTheme="minorHAnsi" w:cstheme="minorHAnsi"/>
          <w:sz w:val="22"/>
          <w:szCs w:val="22"/>
        </w:rPr>
        <w:t>Teisminio proceso Nr. 3-61-3-05651-2022-6</w:t>
      </w:r>
    </w:p>
    <w:p w14:paraId="529C98EA" w14:textId="77777777" w:rsidR="0095428E" w:rsidRPr="0095428E" w:rsidRDefault="0095428E" w:rsidP="0095428E">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hyperlink r:id="rId17" w:history="1">
        <w:r w:rsidRPr="0095428E">
          <w:rPr>
            <w:rStyle w:val="Hyperlink"/>
            <w:rFonts w:asciiTheme="minorHAnsi" w:eastAsiaTheme="majorEastAsia" w:hAnsiTheme="minorHAnsi" w:cstheme="minorHAnsi"/>
            <w:sz w:val="22"/>
            <w:szCs w:val="22"/>
          </w:rPr>
          <w:t>Prieiga internete</w:t>
        </w:r>
      </w:hyperlink>
    </w:p>
    <w:p w14:paraId="65A9CB79" w14:textId="77777777" w:rsidR="006D494A" w:rsidRDefault="006D494A" w:rsidP="00A32A5C">
      <w:pPr>
        <w:ind w:firstLine="567"/>
        <w:rPr>
          <w:rFonts w:asciiTheme="minorHAnsi" w:hAnsiTheme="minorHAnsi" w:cstheme="minorHAnsi"/>
          <w:sz w:val="22"/>
          <w:szCs w:val="22"/>
        </w:rPr>
      </w:pPr>
    </w:p>
    <w:p w14:paraId="26570B8C" w14:textId="77777777" w:rsidR="002D790C" w:rsidRPr="002D790C" w:rsidRDefault="002D790C" w:rsidP="002D790C">
      <w:pPr>
        <w:pStyle w:val="Apzvalgai1"/>
        <w:rPr>
          <w:rFonts w:asciiTheme="minorHAnsi" w:hAnsiTheme="minorHAnsi" w:cstheme="minorHAnsi"/>
        </w:rPr>
      </w:pPr>
      <w:bookmarkStart w:id="40" w:name="_Toc199503152"/>
      <w:r w:rsidRPr="002D790C">
        <w:rPr>
          <w:rFonts w:asciiTheme="minorHAnsi" w:hAnsiTheme="minorHAnsi" w:cstheme="minorHAnsi"/>
        </w:rPr>
        <w:t>32. Viešieji pirkimai</w:t>
      </w:r>
      <w:bookmarkEnd w:id="40"/>
    </w:p>
    <w:p w14:paraId="7462BB7E" w14:textId="77777777" w:rsidR="002D790C" w:rsidRDefault="002D790C" w:rsidP="002D790C">
      <w:pPr>
        <w:pStyle w:val="NoSpacing"/>
        <w:jc w:val="both"/>
        <w:rPr>
          <w:rFonts w:cstheme="minorHAnsi"/>
        </w:rPr>
      </w:pPr>
    </w:p>
    <w:p w14:paraId="758343CE" w14:textId="79451272" w:rsidR="00B610AB" w:rsidRPr="00B610AB" w:rsidRDefault="00B610AB" w:rsidP="00B610AB">
      <w:pPr>
        <w:jc w:val="both"/>
        <w:outlineLvl w:val="1"/>
        <w:rPr>
          <w:rFonts w:asciiTheme="minorHAnsi" w:eastAsia="Calibri" w:hAnsiTheme="minorHAnsi" w:cstheme="minorHAnsi"/>
          <w:i/>
          <w:sz w:val="22"/>
          <w:szCs w:val="22"/>
        </w:rPr>
      </w:pPr>
      <w:bookmarkStart w:id="41" w:name="_Toc199503153"/>
      <w:r w:rsidRPr="00B610AB">
        <w:rPr>
          <w:rFonts w:asciiTheme="minorHAnsi" w:eastAsia="Calibri" w:hAnsiTheme="minorHAnsi" w:cstheme="minorHAnsi"/>
          <w:i/>
          <w:sz w:val="22"/>
          <w:szCs w:val="22"/>
        </w:rPr>
        <w:t>Dėl pirkimo sutartyje įtvirtintų netesybų mažinimo, kai rangovas nėra kaltas, kad pagal pirkimo sutartį atlikti darbai nebuvo perduoti laiku</w:t>
      </w:r>
      <w:bookmarkEnd w:id="41"/>
    </w:p>
    <w:p w14:paraId="47CD20E9" w14:textId="77777777" w:rsidR="00B610AB" w:rsidRDefault="00B610AB" w:rsidP="00B610AB">
      <w:pPr>
        <w:pStyle w:val="NoSpacing"/>
        <w:jc w:val="both"/>
        <w:rPr>
          <w:rFonts w:cstheme="minorHAnsi"/>
        </w:rPr>
      </w:pPr>
    </w:p>
    <w:p w14:paraId="237453DA" w14:textId="57237653" w:rsidR="00B610AB" w:rsidRPr="00140FD9" w:rsidRDefault="00B610AB" w:rsidP="00B610AB">
      <w:pPr>
        <w:pStyle w:val="NoSpacing"/>
        <w:ind w:firstLine="567"/>
        <w:jc w:val="both"/>
        <w:rPr>
          <w:rFonts w:cstheme="minorHAnsi"/>
        </w:rPr>
      </w:pPr>
      <w:r w:rsidRPr="00140FD9">
        <w:rPr>
          <w:rFonts w:cstheme="minorHAnsi"/>
        </w:rPr>
        <w:t xml:space="preserve">Byloje nagrinėtas ginčas, kilęs dėl </w:t>
      </w:r>
      <w:r w:rsidRPr="00340F78">
        <w:rPr>
          <w:rFonts w:cstheme="minorHAnsi"/>
        </w:rPr>
        <w:t>VšĮ</w:t>
      </w:r>
      <w:r w:rsidRPr="00FB6B89">
        <w:rPr>
          <w:rFonts w:cstheme="minorHAnsi"/>
        </w:rPr>
        <w:t xml:space="preserve"> Centrinės projektų valdymo agentūros (toliau –</w:t>
      </w:r>
      <w:r>
        <w:rPr>
          <w:rFonts w:cstheme="minorHAnsi"/>
        </w:rPr>
        <w:t xml:space="preserve"> </w:t>
      </w:r>
      <w:r w:rsidRPr="00FB6B89">
        <w:rPr>
          <w:rFonts w:cstheme="minorHAnsi"/>
        </w:rPr>
        <w:t xml:space="preserve">Agentūra) </w:t>
      </w:r>
      <w:r>
        <w:rPr>
          <w:rFonts w:cstheme="minorHAnsi"/>
        </w:rPr>
        <w:t>sprendimo</w:t>
      </w:r>
      <w:r w:rsidR="007952BE">
        <w:rPr>
          <w:rFonts w:cstheme="minorHAnsi"/>
        </w:rPr>
        <w:t xml:space="preserve"> taikyti </w:t>
      </w:r>
      <w:r>
        <w:rPr>
          <w:rFonts w:cstheme="minorHAnsi"/>
        </w:rPr>
        <w:t>pareiškėjui finansinę korekciją už viešųjų pirkimų pažeidimus pagrįstumo ir teisėtumo</w:t>
      </w:r>
      <w:r w:rsidRPr="00140FD9">
        <w:rPr>
          <w:rFonts w:cstheme="minorHAnsi"/>
        </w:rPr>
        <w:t>.</w:t>
      </w:r>
    </w:p>
    <w:p w14:paraId="40C1976E" w14:textId="77777777" w:rsidR="00B610AB" w:rsidRDefault="00B610AB" w:rsidP="00B610AB">
      <w:pPr>
        <w:pStyle w:val="NoSpacing"/>
        <w:ind w:firstLine="567"/>
        <w:jc w:val="both"/>
        <w:rPr>
          <w:rFonts w:cstheme="minorHAnsi"/>
        </w:rPr>
      </w:pPr>
      <w:r w:rsidRPr="00140FD9">
        <w:rPr>
          <w:rFonts w:cstheme="minorHAnsi"/>
        </w:rPr>
        <w:lastRenderedPageBreak/>
        <w:t>Pirmosios instancijos teismas atmetė pareiškėjo skundą, konstatavęs, jog</w:t>
      </w:r>
      <w:r>
        <w:rPr>
          <w:rFonts w:cstheme="minorHAnsi"/>
        </w:rPr>
        <w:t xml:space="preserve"> pareiškėjas nepaskaičiavo rangovui delspinigių už laikotarpį, kuriuo buvo vėluojama atlikti darbus. Tokiais </w:t>
      </w:r>
      <w:r w:rsidRPr="00FB6B89">
        <w:rPr>
          <w:rFonts w:cstheme="minorHAnsi"/>
        </w:rPr>
        <w:t>veiksmais</w:t>
      </w:r>
      <w:r>
        <w:rPr>
          <w:rFonts w:cstheme="minorHAnsi"/>
        </w:rPr>
        <w:t xml:space="preserve"> pareiškėjas</w:t>
      </w:r>
      <w:r w:rsidRPr="00FB6B89">
        <w:rPr>
          <w:rFonts w:cstheme="minorHAnsi"/>
        </w:rPr>
        <w:t xml:space="preserve"> nustatė naują </w:t>
      </w:r>
      <w:r>
        <w:rPr>
          <w:rFonts w:cstheme="minorHAnsi"/>
        </w:rPr>
        <w:t xml:space="preserve">pirkimo </w:t>
      </w:r>
      <w:r w:rsidRPr="00FB6B89">
        <w:rPr>
          <w:rFonts w:cstheme="minorHAnsi"/>
        </w:rPr>
        <w:t>sutarties sąlygą, pa</w:t>
      </w:r>
      <w:r>
        <w:rPr>
          <w:rFonts w:cstheme="minorHAnsi"/>
        </w:rPr>
        <w:t>keitė</w:t>
      </w:r>
      <w:r w:rsidRPr="00FB6B89">
        <w:rPr>
          <w:rFonts w:cstheme="minorHAnsi"/>
        </w:rPr>
        <w:t xml:space="preserve"> ekonomin</w:t>
      </w:r>
      <w:r>
        <w:rPr>
          <w:rFonts w:cstheme="minorHAnsi"/>
        </w:rPr>
        <w:t>ę</w:t>
      </w:r>
      <w:r w:rsidRPr="00FB6B89">
        <w:rPr>
          <w:rFonts w:cstheme="minorHAnsi"/>
        </w:rPr>
        <w:t xml:space="preserve"> pusiausvyr</w:t>
      </w:r>
      <w:r>
        <w:rPr>
          <w:rFonts w:cstheme="minorHAnsi"/>
        </w:rPr>
        <w:t>ą</w:t>
      </w:r>
      <w:r w:rsidRPr="00FB6B89">
        <w:rPr>
          <w:rFonts w:cstheme="minorHAnsi"/>
        </w:rPr>
        <w:t xml:space="preserve"> </w:t>
      </w:r>
      <w:r>
        <w:rPr>
          <w:rFonts w:cstheme="minorHAnsi"/>
        </w:rPr>
        <w:t>r</w:t>
      </w:r>
      <w:r w:rsidRPr="00FB6B89">
        <w:rPr>
          <w:rFonts w:cstheme="minorHAnsi"/>
        </w:rPr>
        <w:t>angovo naudai</w:t>
      </w:r>
      <w:r>
        <w:rPr>
          <w:rFonts w:cstheme="minorHAnsi"/>
        </w:rPr>
        <w:t xml:space="preserve">, todėl </w:t>
      </w:r>
      <w:r w:rsidRPr="00FB6B89">
        <w:rPr>
          <w:rFonts w:cstheme="minorHAnsi"/>
        </w:rPr>
        <w:t>pažei</w:t>
      </w:r>
      <w:r>
        <w:rPr>
          <w:rFonts w:cstheme="minorHAnsi"/>
        </w:rPr>
        <w:t>dė</w:t>
      </w:r>
      <w:r w:rsidRPr="00FB6B89">
        <w:rPr>
          <w:rFonts w:cstheme="minorHAnsi"/>
        </w:rPr>
        <w:t xml:space="preserve"> </w:t>
      </w:r>
      <w:r>
        <w:rPr>
          <w:rFonts w:cstheme="minorHAnsi"/>
        </w:rPr>
        <w:t xml:space="preserve">viešųjų pirkimų </w:t>
      </w:r>
      <w:r w:rsidRPr="00FB6B89">
        <w:rPr>
          <w:rFonts w:cstheme="minorHAnsi"/>
        </w:rPr>
        <w:t>skaidrumo, lygiateisiškumo ir nediskriminavimo princip</w:t>
      </w:r>
      <w:r>
        <w:rPr>
          <w:rFonts w:cstheme="minorHAnsi"/>
        </w:rPr>
        <w:t>us</w:t>
      </w:r>
      <w:r w:rsidRPr="00FB6B89">
        <w:rPr>
          <w:rFonts w:cstheme="minorHAnsi"/>
        </w:rPr>
        <w:t>.</w:t>
      </w:r>
    </w:p>
    <w:p w14:paraId="5DDB2A81" w14:textId="77777777" w:rsidR="00B610AB" w:rsidRDefault="00B610AB" w:rsidP="00B610AB">
      <w:pPr>
        <w:pStyle w:val="NoSpacing"/>
        <w:ind w:firstLine="567"/>
        <w:jc w:val="both"/>
        <w:rPr>
          <w:rFonts w:cstheme="minorHAnsi"/>
        </w:rPr>
      </w:pPr>
      <w:r>
        <w:rPr>
          <w:rFonts w:cstheme="minorHAnsi"/>
        </w:rPr>
        <w:t>Byloje nustatyta, kad r</w:t>
      </w:r>
      <w:r w:rsidRPr="000343A6">
        <w:rPr>
          <w:rFonts w:cstheme="minorHAnsi"/>
        </w:rPr>
        <w:t xml:space="preserve">angovas darbus atliko per </w:t>
      </w:r>
      <w:r>
        <w:rPr>
          <w:rFonts w:cstheme="minorHAnsi"/>
        </w:rPr>
        <w:t>pirkimo s</w:t>
      </w:r>
      <w:r w:rsidRPr="000343A6">
        <w:rPr>
          <w:rFonts w:cstheme="minorHAnsi"/>
        </w:rPr>
        <w:t>utartyje nustatytą terminą</w:t>
      </w:r>
      <w:r>
        <w:rPr>
          <w:rFonts w:cstheme="minorHAnsi"/>
        </w:rPr>
        <w:t>, tačiau p</w:t>
      </w:r>
      <w:r w:rsidRPr="000343A6">
        <w:rPr>
          <w:rFonts w:cstheme="minorHAnsi"/>
        </w:rPr>
        <w:t>erkančioji organizacija</w:t>
      </w:r>
      <w:r>
        <w:rPr>
          <w:rFonts w:cstheme="minorHAnsi"/>
        </w:rPr>
        <w:t xml:space="preserve"> nustatyta tvarka</w:t>
      </w:r>
      <w:r w:rsidRPr="000343A6">
        <w:rPr>
          <w:rFonts w:cstheme="minorHAnsi"/>
        </w:rPr>
        <w:t xml:space="preserve"> nesuorganizavo darbų priėmimo.</w:t>
      </w:r>
      <w:r>
        <w:rPr>
          <w:rFonts w:cstheme="minorHAnsi"/>
        </w:rPr>
        <w:t xml:space="preserve"> Šiomis aplinkybėmis LVAT darė išvadą, kad byloje nebuvo pagrindo konstatuoti, jog laiku pagal pirkimo sutartį atlikti darbai nebuvo perduoti dėl rangovo kaltės. Byloje nebuvo paneigta, kad </w:t>
      </w:r>
      <w:r w:rsidRPr="00572739">
        <w:rPr>
          <w:rFonts w:cstheme="minorHAnsi"/>
        </w:rPr>
        <w:t xml:space="preserve">galutinai atlikti darbai nebuvo laiku perduoti dėl aplinkybių, kurios nepriskirtinos rangovo rizikai, </w:t>
      </w:r>
      <w:r w:rsidRPr="00572739">
        <w:rPr>
          <w:rFonts w:cstheme="minorHAnsi"/>
          <w:i/>
          <w:iCs/>
        </w:rPr>
        <w:t>inter alia</w:t>
      </w:r>
      <w:r w:rsidRPr="00572739">
        <w:rPr>
          <w:rFonts w:cstheme="minorHAnsi"/>
        </w:rPr>
        <w:t xml:space="preserve"> (be kita ko) dėl </w:t>
      </w:r>
      <w:r>
        <w:rPr>
          <w:rFonts w:cstheme="minorHAnsi"/>
        </w:rPr>
        <w:t>u</w:t>
      </w:r>
      <w:r w:rsidRPr="00572739">
        <w:rPr>
          <w:rFonts w:cstheme="minorHAnsi"/>
        </w:rPr>
        <w:t>žsakovo –</w:t>
      </w:r>
      <w:r>
        <w:rPr>
          <w:rFonts w:cstheme="minorHAnsi"/>
        </w:rPr>
        <w:t xml:space="preserve"> tuometinės</w:t>
      </w:r>
      <w:r w:rsidRPr="00572739">
        <w:rPr>
          <w:rFonts w:cstheme="minorHAnsi"/>
        </w:rPr>
        <w:t xml:space="preserve"> </w:t>
      </w:r>
      <w:r w:rsidRPr="008E4BFE">
        <w:rPr>
          <w:rFonts w:cstheme="minorHAnsi"/>
        </w:rPr>
        <w:t>AB</w:t>
      </w:r>
      <w:r>
        <w:rPr>
          <w:rFonts w:cstheme="minorHAnsi"/>
        </w:rPr>
        <w:t xml:space="preserve"> Lietuvos automobilių k</w:t>
      </w:r>
      <w:r w:rsidRPr="00572739">
        <w:rPr>
          <w:rFonts w:cstheme="minorHAnsi"/>
        </w:rPr>
        <w:t>elių direkcijos</w:t>
      </w:r>
      <w:r>
        <w:rPr>
          <w:rFonts w:cstheme="minorHAnsi"/>
        </w:rPr>
        <w:t xml:space="preserve"> –</w:t>
      </w:r>
      <w:r w:rsidRPr="00572739">
        <w:rPr>
          <w:rFonts w:cstheme="minorHAnsi"/>
        </w:rPr>
        <w:t xml:space="preserve"> kaltės.</w:t>
      </w:r>
    </w:p>
    <w:p w14:paraId="3BFA8502" w14:textId="13CED766" w:rsidR="00B610AB" w:rsidRDefault="00B610AB" w:rsidP="00B610AB">
      <w:pPr>
        <w:pStyle w:val="NoSpacing"/>
        <w:ind w:firstLine="567"/>
        <w:jc w:val="both"/>
        <w:rPr>
          <w:rFonts w:cstheme="minorHAnsi"/>
        </w:rPr>
      </w:pPr>
      <w:r>
        <w:rPr>
          <w:rFonts w:cstheme="minorHAnsi"/>
        </w:rPr>
        <w:t xml:space="preserve">Vadovaudamasis LAT išaiškinimais dėl Viešųjų pirkimų įstatymo ir </w:t>
      </w:r>
      <w:r w:rsidRPr="008E4BFE">
        <w:rPr>
          <w:rFonts w:cstheme="minorHAnsi"/>
        </w:rPr>
        <w:t>CK</w:t>
      </w:r>
      <w:r w:rsidRPr="00AE1BFC">
        <w:rPr>
          <w:rFonts w:cstheme="minorHAnsi"/>
        </w:rPr>
        <w:t xml:space="preserve"> aiškinimo bei taikymo,</w:t>
      </w:r>
      <w:r>
        <w:rPr>
          <w:rFonts w:cstheme="minorHAnsi"/>
        </w:rPr>
        <w:t xml:space="preserve"> LVAT pabrėžė,</w:t>
      </w:r>
      <w:r w:rsidRPr="00AE1BFC">
        <w:rPr>
          <w:rFonts w:cstheme="minorHAnsi"/>
        </w:rPr>
        <w:t xml:space="preserve"> jog </w:t>
      </w:r>
      <w:r w:rsidRPr="007E720E">
        <w:rPr>
          <w:rFonts w:cstheme="minorHAnsi"/>
          <w:u w:val="single"/>
        </w:rPr>
        <w:t>viešojo pirkimo sutartyse įtvirtintų netesybų mažinimas iš principo yra galimas ir, išskyrus išimtines situacijas, neturėtų būti vertinamas kaip kitų tiekėjų teisių pažeidimas ir (ar) nukrypimas nuo pradinių konkurso sąlygų</w:t>
      </w:r>
      <w:r w:rsidRPr="00AE1BFC">
        <w:rPr>
          <w:rFonts w:cstheme="minorHAnsi"/>
        </w:rPr>
        <w:t xml:space="preserve">. </w:t>
      </w:r>
      <w:r>
        <w:rPr>
          <w:rFonts w:cstheme="minorHAnsi"/>
        </w:rPr>
        <w:t>A</w:t>
      </w:r>
      <w:r w:rsidRPr="00AE1BFC">
        <w:rPr>
          <w:rFonts w:cstheme="minorHAnsi"/>
        </w:rPr>
        <w:t>tsižvelg</w:t>
      </w:r>
      <w:r>
        <w:rPr>
          <w:rFonts w:cstheme="minorHAnsi"/>
        </w:rPr>
        <w:t>ęs</w:t>
      </w:r>
      <w:r w:rsidRPr="00AE1BFC">
        <w:rPr>
          <w:rFonts w:cstheme="minorHAnsi"/>
        </w:rPr>
        <w:t xml:space="preserve"> į byloje nustatytas aplinkybes</w:t>
      </w:r>
      <w:r>
        <w:rPr>
          <w:rFonts w:cstheme="minorHAnsi"/>
        </w:rPr>
        <w:t>, LVAT darė išvadą</w:t>
      </w:r>
      <w:r w:rsidRPr="00AE1BFC">
        <w:rPr>
          <w:rFonts w:cstheme="minorHAnsi"/>
        </w:rPr>
        <w:t xml:space="preserve">, kad </w:t>
      </w:r>
      <w:r w:rsidRPr="007E720E">
        <w:rPr>
          <w:rFonts w:cstheme="minorHAnsi"/>
          <w:u w:val="single"/>
        </w:rPr>
        <w:t>vėlesnis atliktų statybos darbų perdavimo statytojui (užsakovui) akto pasirašymas ne dėl rangovo kaltės nesuponavo ginč</w:t>
      </w:r>
      <w:r w:rsidR="00C54F18">
        <w:rPr>
          <w:rFonts w:cstheme="minorHAnsi"/>
          <w:u w:val="single"/>
        </w:rPr>
        <w:t>yt</w:t>
      </w:r>
      <w:r w:rsidRPr="007E720E">
        <w:rPr>
          <w:rFonts w:cstheme="minorHAnsi"/>
          <w:u w:val="single"/>
        </w:rPr>
        <w:t xml:space="preserve">ame sprendime nurodyto netesybų skaičiavimo ir Viešųjų pirkimų įstatyme įtvirtintų lygiateisiškumo </w:t>
      </w:r>
      <w:r w:rsidR="00326A6B">
        <w:rPr>
          <w:rFonts w:cstheme="minorHAnsi"/>
          <w:u w:val="single"/>
        </w:rPr>
        <w:t>be</w:t>
      </w:r>
      <w:r w:rsidRPr="007E720E">
        <w:rPr>
          <w:rFonts w:cstheme="minorHAnsi"/>
          <w:u w:val="single"/>
        </w:rPr>
        <w:t>i skaidrumo principų pažeidimo</w:t>
      </w:r>
      <w:r w:rsidRPr="003117E7">
        <w:rPr>
          <w:rFonts w:cstheme="minorHAnsi"/>
        </w:rPr>
        <w:t xml:space="preserve"> i</w:t>
      </w:r>
      <w:r w:rsidR="00326A6B">
        <w:rPr>
          <w:rFonts w:cstheme="minorHAnsi"/>
        </w:rPr>
        <w:t>r</w:t>
      </w:r>
      <w:r w:rsidRPr="003117E7">
        <w:rPr>
          <w:rFonts w:cstheme="minorHAnsi"/>
        </w:rPr>
        <w:t xml:space="preserve"> situacijos teisinio vertinimo, kad ekonominė pusiausvyra pasikeitė tiekėjo, su kuriuo sudaryta pirkimo sutartis, naudai taip, kaip nebuvo aptarta pradinėje pirkimo sutartyje, bei kad faktiškai buvo taikoma nauja sąlyga, kurią įtraukus į pradinį pirkimą būtų galima priimti kitų dalyvių pasiūlymų ar pirkimas sudomintų daugiau tiekėjų</w:t>
      </w:r>
      <w:r w:rsidRPr="00AE1BFC">
        <w:rPr>
          <w:rFonts w:cstheme="minorHAnsi"/>
        </w:rPr>
        <w:t>.</w:t>
      </w:r>
    </w:p>
    <w:p w14:paraId="14CD7805" w14:textId="210D43E0" w:rsidR="00B610AB" w:rsidRDefault="00B610AB" w:rsidP="00B610AB">
      <w:pPr>
        <w:pStyle w:val="NoSpacing"/>
        <w:ind w:firstLine="567"/>
        <w:jc w:val="both"/>
        <w:rPr>
          <w:rFonts w:cstheme="minorHAnsi"/>
        </w:rPr>
      </w:pPr>
      <w:r>
        <w:rPr>
          <w:rFonts w:cstheme="minorHAnsi"/>
        </w:rPr>
        <w:t>LVAT panaikino pirmosios instancijos teismo sprendimą ir priėmė naują sprendimą, kuriuo panaikino ginč</w:t>
      </w:r>
      <w:r w:rsidR="006D5E33">
        <w:rPr>
          <w:rFonts w:cstheme="minorHAnsi"/>
        </w:rPr>
        <w:t>yt</w:t>
      </w:r>
      <w:r>
        <w:rPr>
          <w:rFonts w:cstheme="minorHAnsi"/>
        </w:rPr>
        <w:t>ą Agentūros sprendimą.</w:t>
      </w:r>
    </w:p>
    <w:p w14:paraId="29820693" w14:textId="77777777" w:rsidR="00B610AB" w:rsidRPr="00140FD9" w:rsidRDefault="00B610AB" w:rsidP="00B610AB">
      <w:pPr>
        <w:pStyle w:val="NoSpacing"/>
        <w:jc w:val="both"/>
        <w:rPr>
          <w:rFonts w:cstheme="minorHAnsi"/>
        </w:rPr>
      </w:pPr>
    </w:p>
    <w:p w14:paraId="7C42F610" w14:textId="77777777" w:rsidR="00B610AB" w:rsidRPr="00140FD9" w:rsidRDefault="00B610AB" w:rsidP="00B610AB">
      <w:pPr>
        <w:pStyle w:val="NoSpacing"/>
        <w:jc w:val="both"/>
        <w:rPr>
          <w:rFonts w:cstheme="minorHAnsi"/>
        </w:rPr>
      </w:pPr>
      <w:r w:rsidRPr="00140FD9">
        <w:rPr>
          <w:rFonts w:cstheme="minorHAnsi"/>
        </w:rPr>
        <w:t xml:space="preserve">2025 m. </w:t>
      </w:r>
      <w:r>
        <w:rPr>
          <w:rFonts w:cstheme="minorHAnsi"/>
        </w:rPr>
        <w:t>balandžio 23</w:t>
      </w:r>
      <w:r w:rsidRPr="00140FD9">
        <w:rPr>
          <w:rFonts w:cstheme="minorHAnsi"/>
        </w:rPr>
        <w:t xml:space="preserve"> d. </w:t>
      </w:r>
      <w:r>
        <w:rPr>
          <w:rFonts w:cstheme="minorHAnsi"/>
        </w:rPr>
        <w:t>sprendimas</w:t>
      </w:r>
      <w:r w:rsidRPr="00140FD9">
        <w:rPr>
          <w:rFonts w:cstheme="minorHAnsi"/>
        </w:rPr>
        <w:t xml:space="preserve"> administracinėje byloje Nr. </w:t>
      </w:r>
      <w:r w:rsidRPr="0066586C">
        <w:rPr>
          <w:rFonts w:cstheme="minorHAnsi"/>
        </w:rPr>
        <w:t>eA-451-415/2025</w:t>
      </w:r>
    </w:p>
    <w:p w14:paraId="2FE6BAA6" w14:textId="77777777" w:rsidR="00B610AB" w:rsidRPr="00140FD9" w:rsidRDefault="00B610AB" w:rsidP="00B610AB">
      <w:pPr>
        <w:pStyle w:val="NoSpacing"/>
        <w:jc w:val="both"/>
        <w:rPr>
          <w:rFonts w:cstheme="minorHAnsi"/>
        </w:rPr>
      </w:pPr>
      <w:r w:rsidRPr="00140FD9">
        <w:rPr>
          <w:rFonts w:cstheme="minorHAnsi"/>
        </w:rPr>
        <w:t xml:space="preserve">Teisminio proceso Nr. </w:t>
      </w:r>
      <w:r w:rsidRPr="0066586C">
        <w:rPr>
          <w:rFonts w:cstheme="minorHAnsi"/>
        </w:rPr>
        <w:t>3-61-3-02510-2022-7</w:t>
      </w:r>
    </w:p>
    <w:p w14:paraId="41934F71" w14:textId="77777777" w:rsidR="00B610AB" w:rsidRPr="00140FD9" w:rsidRDefault="00B610AB" w:rsidP="00B610AB">
      <w:pPr>
        <w:pStyle w:val="NoSpacing"/>
        <w:jc w:val="both"/>
        <w:rPr>
          <w:rStyle w:val="Hyperlink"/>
          <w:rFonts w:cstheme="minorHAnsi"/>
        </w:rPr>
      </w:pPr>
      <w:r w:rsidRPr="00140FD9">
        <w:rPr>
          <w:rFonts w:cstheme="minorHAnsi"/>
        </w:rPr>
        <w:fldChar w:fldCharType="begin"/>
      </w:r>
      <w:r>
        <w:rPr>
          <w:rFonts w:cstheme="minorHAnsi"/>
        </w:rPr>
        <w:instrText>HYPERLINK "https://www.e-tar.lt/portal/lt/legalAct/42e4f76125dc11f08fdabd4950271e2c"</w:instrText>
      </w:r>
      <w:r w:rsidRPr="00140FD9">
        <w:rPr>
          <w:rFonts w:cstheme="minorHAnsi"/>
        </w:rPr>
      </w:r>
      <w:r w:rsidRPr="00140FD9">
        <w:rPr>
          <w:rFonts w:cstheme="minorHAnsi"/>
        </w:rPr>
        <w:fldChar w:fldCharType="separate"/>
      </w:r>
      <w:r w:rsidRPr="00140FD9">
        <w:rPr>
          <w:rStyle w:val="Hyperlink"/>
          <w:rFonts w:cstheme="minorHAnsi"/>
        </w:rPr>
        <w:t>Prieiga internete</w:t>
      </w:r>
    </w:p>
    <w:p w14:paraId="3C3928CF" w14:textId="7F45B805" w:rsidR="004203F3" w:rsidRPr="004203F3" w:rsidRDefault="00B610AB" w:rsidP="002A7423">
      <w:pPr>
        <w:pStyle w:val="NoSpacing"/>
        <w:jc w:val="both"/>
        <w:rPr>
          <w:rFonts w:asciiTheme="minorHAnsi" w:eastAsia="Calibri" w:hAnsiTheme="minorHAnsi" w:cstheme="minorHAnsi"/>
          <w:color w:val="000000"/>
          <w:bdr w:val="none" w:sz="0" w:space="0" w:color="auto" w:frame="1"/>
        </w:rPr>
      </w:pPr>
      <w:r w:rsidRPr="00140FD9">
        <w:rPr>
          <w:rFonts w:cstheme="minorHAnsi"/>
        </w:rPr>
        <w:fldChar w:fldCharType="end"/>
      </w:r>
    </w:p>
    <w:p w14:paraId="56D6AAD9" w14:textId="77777777" w:rsidR="004203F3" w:rsidRPr="004203F3" w:rsidRDefault="004203F3" w:rsidP="004203F3">
      <w:pPr>
        <w:pStyle w:val="Apzvalgai1"/>
        <w:rPr>
          <w:rFonts w:asciiTheme="minorHAnsi" w:hAnsiTheme="minorHAnsi" w:cstheme="minorHAnsi"/>
        </w:rPr>
      </w:pPr>
      <w:bookmarkStart w:id="42" w:name="_Toc774943"/>
      <w:bookmarkStart w:id="43" w:name="_Toc199503154"/>
      <w:r w:rsidRPr="004203F3">
        <w:rPr>
          <w:rFonts w:asciiTheme="minorHAnsi" w:hAnsiTheme="minorHAnsi" w:cstheme="minorHAnsi"/>
        </w:rPr>
        <w:t>35. Lošimų ir loterijų priežiūra bei kontrolė</w:t>
      </w:r>
      <w:bookmarkEnd w:id="42"/>
      <w:bookmarkEnd w:id="43"/>
    </w:p>
    <w:p w14:paraId="046536B4" w14:textId="77777777" w:rsidR="004203F3" w:rsidRPr="004203F3" w:rsidRDefault="004203F3" w:rsidP="004203F3">
      <w:pPr>
        <w:jc w:val="both"/>
        <w:rPr>
          <w:rFonts w:asciiTheme="minorHAnsi" w:hAnsiTheme="minorHAnsi" w:cstheme="minorHAnsi"/>
          <w:bCs/>
          <w:color w:val="000000"/>
          <w:sz w:val="22"/>
          <w:szCs w:val="22"/>
          <w:shd w:val="clear" w:color="auto" w:fill="FFFFFF"/>
        </w:rPr>
      </w:pPr>
    </w:p>
    <w:p w14:paraId="39F05223" w14:textId="76ECE369" w:rsidR="004203F3" w:rsidRPr="004203F3" w:rsidRDefault="004203F3" w:rsidP="004203F3">
      <w:pPr>
        <w:jc w:val="both"/>
        <w:outlineLvl w:val="1"/>
        <w:rPr>
          <w:rFonts w:asciiTheme="minorHAnsi" w:eastAsia="Calibri" w:hAnsiTheme="minorHAnsi" w:cstheme="minorHAnsi"/>
          <w:i/>
          <w:sz w:val="22"/>
          <w:szCs w:val="22"/>
        </w:rPr>
      </w:pPr>
      <w:bookmarkStart w:id="44" w:name="_Toc199503155"/>
      <w:r w:rsidRPr="004203F3">
        <w:rPr>
          <w:rFonts w:asciiTheme="minorHAnsi" w:eastAsia="Calibri" w:hAnsiTheme="minorHAnsi" w:cstheme="minorHAnsi"/>
          <w:i/>
          <w:sz w:val="22"/>
          <w:szCs w:val="22"/>
        </w:rPr>
        <w:t>Dėl pareigos supaprastintą lažybų pasiūlą įtvirtinti nuotolinio lošimo organizavimo reglamente</w:t>
      </w:r>
      <w:bookmarkEnd w:id="44"/>
    </w:p>
    <w:p w14:paraId="538BCBC6" w14:textId="7777777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p>
    <w:p w14:paraId="35155A93" w14:textId="591BD63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Apžvelgiamoje byloje ginčas kilo dėl Lošimų priežiūros tarnybos prie Lietuvos Respublikos finansų ministerijos (toliau – Tarnyba) direktoriaus įsakymo dėl atlikto UAB „Amber Gaming“ (toliau – Bendrovė) neplaninio specialiojo patikrinimo pagrįstumo ir teisėtumo. Ginčytu įsakymu UAB „Amber Gaming“ už tai, kad Bendrovė be teisinio pagrindo pritaikė lošėjui supaprastintą lažybų pasiūlą, kurios sudarymo ir teikimo galimybė nebuvo reglamentuota Bendrovės nuotolinio lošimo organizavimo reglamente, patvirtintame Tarnybos direktoriaus 2021 m. balandžio 29 d. įsakymu Nr. DIE-246 (toliau – Reglamentas), tokiais savo veiksmais pažeidė Reglamento 4.7.2</w:t>
      </w:r>
      <w:r w:rsidR="00CD6086">
        <w:rPr>
          <w:rFonts w:asciiTheme="minorHAnsi" w:eastAsia="Calibri" w:hAnsiTheme="minorHAnsi" w:cstheme="minorHAnsi"/>
          <w:color w:val="000000"/>
          <w:sz w:val="22"/>
          <w:szCs w:val="22"/>
          <w:bdr w:val="none" w:sz="0" w:space="0" w:color="auto" w:frame="1"/>
        </w:rPr>
        <w:t xml:space="preserve"> </w:t>
      </w:r>
      <w:r w:rsidRPr="004203F3">
        <w:rPr>
          <w:rFonts w:asciiTheme="minorHAnsi" w:eastAsia="Calibri" w:hAnsiTheme="minorHAnsi" w:cstheme="minorHAnsi"/>
          <w:color w:val="000000"/>
          <w:sz w:val="22"/>
          <w:szCs w:val="22"/>
          <w:bdr w:val="none" w:sz="0" w:space="0" w:color="auto" w:frame="1"/>
        </w:rPr>
        <w:t>ir 14.3 papunkčiuose nustatytą tvarką ir Azartinių lošimų įstatymo (toliau – ALĮ) 18</w:t>
      </w:r>
      <w:r w:rsidR="00CD6086">
        <w:rPr>
          <w:rFonts w:asciiTheme="minorHAnsi" w:eastAsia="Calibri" w:hAnsiTheme="minorHAnsi" w:cstheme="minorHAnsi"/>
          <w:color w:val="000000"/>
          <w:sz w:val="22"/>
          <w:szCs w:val="22"/>
          <w:bdr w:val="none" w:sz="0" w:space="0" w:color="auto" w:frame="1"/>
        </w:rPr>
        <w:t xml:space="preserve"> </w:t>
      </w:r>
      <w:r w:rsidRPr="004203F3">
        <w:rPr>
          <w:rFonts w:asciiTheme="minorHAnsi" w:eastAsia="Calibri" w:hAnsiTheme="minorHAnsi" w:cstheme="minorHAnsi"/>
          <w:color w:val="000000"/>
          <w:sz w:val="22"/>
          <w:szCs w:val="22"/>
          <w:bdr w:val="none" w:sz="0" w:space="0" w:color="auto" w:frame="1"/>
        </w:rPr>
        <w:t>straipsnio 1 dalį, Tarnyba skyrė Bendrovei 6 000 Eur baudą.</w:t>
      </w:r>
    </w:p>
    <w:p w14:paraId="0F40859C" w14:textId="7777777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Pirmosios instancijos teismas atmetė pareiškėjo Bendrovės skundą, iš esmės pritardamas Tarnybos pozicijai. Pareiškėjas, nesutikdamas su pirmosios instancijos teismo sprendimu, pateikė apeliacinį skundą.</w:t>
      </w:r>
    </w:p>
    <w:p w14:paraId="39525ABC" w14:textId="2FF4E24C" w:rsidR="004203F3" w:rsidRPr="004203F3" w:rsidRDefault="00EF4A92" w:rsidP="004203F3">
      <w:pPr>
        <w:ind w:firstLine="567"/>
        <w:jc w:val="both"/>
        <w:rPr>
          <w:rFonts w:asciiTheme="minorHAnsi" w:eastAsia="Calibri" w:hAnsiTheme="minorHAnsi" w:cstheme="minorHAnsi"/>
          <w:color w:val="000000"/>
          <w:sz w:val="22"/>
          <w:szCs w:val="22"/>
          <w:bdr w:val="none" w:sz="0" w:space="0" w:color="auto" w:frame="1"/>
        </w:rPr>
      </w:pPr>
      <w:r>
        <w:rPr>
          <w:rFonts w:asciiTheme="minorHAnsi" w:eastAsia="Calibri" w:hAnsiTheme="minorHAnsi" w:cstheme="minorHAnsi"/>
          <w:color w:val="000000"/>
          <w:sz w:val="22"/>
          <w:szCs w:val="22"/>
          <w:bdr w:val="none" w:sz="0" w:space="0" w:color="auto" w:frame="1"/>
        </w:rPr>
        <w:t>LVAT t</w:t>
      </w:r>
      <w:r w:rsidR="004203F3" w:rsidRPr="004203F3">
        <w:rPr>
          <w:rFonts w:asciiTheme="minorHAnsi" w:eastAsia="Calibri" w:hAnsiTheme="minorHAnsi" w:cstheme="minorHAnsi"/>
          <w:color w:val="000000"/>
          <w:sz w:val="22"/>
          <w:szCs w:val="22"/>
          <w:bdr w:val="none" w:sz="0" w:space="0" w:color="auto" w:frame="1"/>
        </w:rPr>
        <w:t>eisėjų kolegija konstatavo, kad tiek Tarnyba, tiek pirmosios instancijos teismas atliko pakankamai išsamų ir visapusišką tyrimą bei pagrįstai nustatė, jog Bendrovė padarė Reglamento 4.7.2 ir 14.3</w:t>
      </w:r>
      <w:r>
        <w:rPr>
          <w:rFonts w:asciiTheme="minorHAnsi" w:eastAsia="Calibri" w:hAnsiTheme="minorHAnsi" w:cstheme="minorHAnsi"/>
          <w:color w:val="000000"/>
          <w:sz w:val="22"/>
          <w:szCs w:val="22"/>
          <w:bdr w:val="none" w:sz="0" w:space="0" w:color="auto" w:frame="1"/>
        </w:rPr>
        <w:t xml:space="preserve"> </w:t>
      </w:r>
      <w:r w:rsidR="004203F3" w:rsidRPr="004203F3">
        <w:rPr>
          <w:rFonts w:asciiTheme="minorHAnsi" w:eastAsia="Calibri" w:hAnsiTheme="minorHAnsi" w:cstheme="minorHAnsi"/>
          <w:color w:val="000000"/>
          <w:sz w:val="22"/>
          <w:szCs w:val="22"/>
          <w:bdr w:val="none" w:sz="0" w:space="0" w:color="auto" w:frame="1"/>
        </w:rPr>
        <w:t>papunkčiuose nustatytos tvarkos ir ALĮ 18 straipsnio 1 dalies pažeidimus, už ką jai buvo pritaikytos ALĮ numatytos poveikio priemonės. Teisėjų kolegija, be kita ko, pritarė, jog pagal ALĮ 18 straipsnį visos aplinkybės, kurios gali lemti lošėjo ar lošimų organizatoriaus teisėtus interesus, turi būti aiškiai aprašytos Reglamente ir žinomos lošėjui. Bendrovė ir lošėjas privalo vadovautis Reglamentu.</w:t>
      </w:r>
    </w:p>
    <w:p w14:paraId="276FA674" w14:textId="762FE4BE"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 xml:space="preserve">Teisėjų kolegijos vertinimu, </w:t>
      </w:r>
      <w:r w:rsidRPr="004203F3">
        <w:rPr>
          <w:rFonts w:asciiTheme="minorHAnsi" w:eastAsia="Calibri" w:hAnsiTheme="minorHAnsi" w:cstheme="minorHAnsi"/>
          <w:color w:val="000000"/>
          <w:sz w:val="22"/>
          <w:szCs w:val="22"/>
          <w:u w:val="single"/>
          <w:bdr w:val="none" w:sz="0" w:space="0" w:color="auto" w:frame="1"/>
        </w:rPr>
        <w:t>Bendrovei, norint teikti specialią – supaprastintą lažybų pasiūlą – tokia galimybė turi būti įtvirtinta Reglamente ir skelbiama viešai. Priešingu atveju nebūtų galimybės apsaugoti lošėjus nuo Bendrovės neribotos laisvės elgtis taip, kaip ji nori tam tikrų lošėjų atžvilgiu</w:t>
      </w:r>
      <w:r w:rsidRPr="004203F3">
        <w:rPr>
          <w:rFonts w:asciiTheme="minorHAnsi" w:eastAsia="Calibri" w:hAnsiTheme="minorHAnsi" w:cstheme="minorHAnsi"/>
          <w:color w:val="000000"/>
          <w:sz w:val="22"/>
          <w:szCs w:val="22"/>
          <w:bdr w:val="none" w:sz="0" w:space="0" w:color="auto" w:frame="1"/>
        </w:rPr>
        <w:t>. Bendrovė dėl lošimų (lažybų) pasiūlos gali spręsti tiek, kiek tai aiškiai leidžia ir apibrėžia lošimus reglamentuojantys teisės aktai, visų pirma – Bendrovės Reglamentas, nes, priešingai nei teigia apeliantas, lažybų pasiūla yra ta sritis, kuri patenka būtent į ALĮ ir Reglamento reguliavimo apimtį. Todėl, jeigu Bendrovė siūlo atlikti statymus žemesnės lygos varžybose, siūlo tam tikrus koeficientus, o lošėjas siūlymais pasinaudoja, Bendrovė, aiškiai to neįtvirtinusi Bendrovės Reglamente, negali vėliau įtarinėti lošėjų ir riboti jiems lažybų pasiūlą, atlikus statymus pagal pačios Bendrovės siūlomą rizikingą pasiūlą.</w:t>
      </w:r>
    </w:p>
    <w:p w14:paraId="015186E9" w14:textId="2440EDA5"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lastRenderedPageBreak/>
        <w:t xml:space="preserve">Taip pat pažymėta, jog </w:t>
      </w:r>
      <w:r w:rsidRPr="004203F3">
        <w:rPr>
          <w:rFonts w:asciiTheme="minorHAnsi" w:eastAsia="Calibri" w:hAnsiTheme="minorHAnsi" w:cstheme="minorHAnsi"/>
          <w:color w:val="000000"/>
          <w:sz w:val="22"/>
          <w:szCs w:val="22"/>
          <w:u w:val="single"/>
          <w:bdr w:val="none" w:sz="0" w:space="0" w:color="auto" w:frame="1"/>
        </w:rPr>
        <w:t>lošėjo ir Bendrovės teisiniai santykiai negali būti teisiniame neapibrėžtume – lošėjui negali būti taikoma supaprastinta lažybų pasiūla, nesant objektyvių, Reglamente apibrėžtų tokios pasiūlos sudarymo ir taikymo pagrindų bei kriterijų. Bendrovė visiems lažybų dalyviams privalo teikti vienodą pasiūlą, kad būtų užtikrintas lošėjų lygiateisiškumo principas. Ji negali savo veiksmų grįsti prielaidomis ir siaurinti lošėjams lažybų pasiūlas Bendrovės Reglamente nenustatytais atvejais. O tuo atveju, jeigu nustatomi atvejai, kad lošėjas pažeidė Reglamentą, ar yra kitų nuotolinio lošimo sutarties nutraukimo pagrindų, ar lošėjo veiksmai kelia įtarimų dėl pinigų plovimo ir teroristų finansavimo rizikos, su tokiu lošėju nutraukiama nuotolinio lošimo sutartis arba imamasi kitų Reglamente numatytų priemonių</w:t>
      </w:r>
      <w:r w:rsidRPr="004203F3">
        <w:rPr>
          <w:rFonts w:asciiTheme="minorHAnsi" w:eastAsia="Calibri" w:hAnsiTheme="minorHAnsi" w:cstheme="minorHAnsi"/>
          <w:color w:val="000000"/>
          <w:sz w:val="22"/>
          <w:szCs w:val="22"/>
          <w:bdr w:val="none" w:sz="0" w:space="0" w:color="auto" w:frame="1"/>
        </w:rPr>
        <w:t>. Pavyzdžiui, Reglamento 4.7.2</w:t>
      </w:r>
      <w:r w:rsidR="000347E7">
        <w:rPr>
          <w:rFonts w:asciiTheme="minorHAnsi" w:eastAsia="Calibri" w:hAnsiTheme="minorHAnsi" w:cstheme="minorHAnsi"/>
          <w:color w:val="000000"/>
          <w:sz w:val="22"/>
          <w:szCs w:val="22"/>
          <w:bdr w:val="none" w:sz="0" w:space="0" w:color="auto" w:frame="1"/>
        </w:rPr>
        <w:t xml:space="preserve"> </w:t>
      </w:r>
      <w:r w:rsidRPr="004203F3">
        <w:rPr>
          <w:rFonts w:asciiTheme="minorHAnsi" w:eastAsia="Calibri" w:hAnsiTheme="minorHAnsi" w:cstheme="minorHAnsi"/>
          <w:color w:val="000000"/>
          <w:sz w:val="22"/>
          <w:szCs w:val="22"/>
          <w:bdr w:val="none" w:sz="0" w:space="0" w:color="auto" w:frame="1"/>
        </w:rPr>
        <w:t xml:space="preserve">papunktyje nustatyta, kad </w:t>
      </w:r>
      <w:r w:rsidR="00B50291">
        <w:rPr>
          <w:rFonts w:asciiTheme="minorHAnsi" w:eastAsia="Calibri" w:hAnsiTheme="minorHAnsi" w:cstheme="minorHAnsi"/>
          <w:color w:val="000000"/>
          <w:sz w:val="22"/>
          <w:szCs w:val="22"/>
          <w:bdr w:val="none" w:sz="0" w:space="0" w:color="auto" w:frame="1"/>
        </w:rPr>
        <w:t>B</w:t>
      </w:r>
      <w:r w:rsidRPr="004203F3">
        <w:rPr>
          <w:rFonts w:asciiTheme="minorHAnsi" w:eastAsia="Calibri" w:hAnsiTheme="minorHAnsi" w:cstheme="minorHAnsi"/>
          <w:color w:val="000000"/>
          <w:sz w:val="22"/>
          <w:szCs w:val="22"/>
          <w:bdr w:val="none" w:sz="0" w:space="0" w:color="auto" w:frame="1"/>
        </w:rPr>
        <w:t xml:space="preserve">endrovė turi teisę laikinai vienašališkai užblokuoti lošėjo lošimų sąskaitą ir neleisti ja naudotis, iki kol </w:t>
      </w:r>
      <w:r w:rsidR="00B50291">
        <w:rPr>
          <w:rFonts w:asciiTheme="minorHAnsi" w:eastAsia="Calibri" w:hAnsiTheme="minorHAnsi" w:cstheme="minorHAnsi"/>
          <w:color w:val="000000"/>
          <w:sz w:val="22"/>
          <w:szCs w:val="22"/>
          <w:bdr w:val="none" w:sz="0" w:space="0" w:color="auto" w:frame="1"/>
        </w:rPr>
        <w:t>B</w:t>
      </w:r>
      <w:r w:rsidRPr="004203F3">
        <w:rPr>
          <w:rFonts w:asciiTheme="minorHAnsi" w:eastAsia="Calibri" w:hAnsiTheme="minorHAnsi" w:cstheme="minorHAnsi"/>
          <w:color w:val="000000"/>
          <w:sz w:val="22"/>
          <w:szCs w:val="22"/>
          <w:bdr w:val="none" w:sz="0" w:space="0" w:color="auto" w:frame="1"/>
        </w:rPr>
        <w:t xml:space="preserve">endrovė išsiaiškins visas įtarimus sukėlusias aplinkybes ir priims atitinkamą sprendimą (nustačius lošėjo veiksmuose Reglamento pažeidimus – nutraukti su lošėju nuotolinio lošimo sutartį arba, nenustačius Reglamento pažeidimų, leisti jam naudotis lošėjo lošimų sąskaita), o Reglamento 14.3 papunktyje numatyti atvejai, kada </w:t>
      </w:r>
      <w:r w:rsidR="00B50291">
        <w:rPr>
          <w:rFonts w:asciiTheme="minorHAnsi" w:eastAsia="Calibri" w:hAnsiTheme="minorHAnsi" w:cstheme="minorHAnsi"/>
          <w:color w:val="000000"/>
          <w:sz w:val="22"/>
          <w:szCs w:val="22"/>
          <w:bdr w:val="none" w:sz="0" w:space="0" w:color="auto" w:frame="1"/>
        </w:rPr>
        <w:t>B</w:t>
      </w:r>
      <w:r w:rsidRPr="004203F3">
        <w:rPr>
          <w:rFonts w:asciiTheme="minorHAnsi" w:eastAsia="Calibri" w:hAnsiTheme="minorHAnsi" w:cstheme="minorHAnsi"/>
          <w:color w:val="000000"/>
          <w:sz w:val="22"/>
          <w:szCs w:val="22"/>
          <w:bdr w:val="none" w:sz="0" w:space="0" w:color="auto" w:frame="1"/>
        </w:rPr>
        <w:t xml:space="preserve">endrovė turi teisę sustabdyti laimėjimo išmokėjimą, detaliai reglamentuoti konkretūs veiksmai, kuriuos </w:t>
      </w:r>
      <w:r w:rsidR="00B50291">
        <w:rPr>
          <w:rFonts w:asciiTheme="minorHAnsi" w:eastAsia="Calibri" w:hAnsiTheme="minorHAnsi" w:cstheme="minorHAnsi"/>
          <w:color w:val="000000"/>
          <w:sz w:val="22"/>
          <w:szCs w:val="22"/>
          <w:bdr w:val="none" w:sz="0" w:space="0" w:color="auto" w:frame="1"/>
        </w:rPr>
        <w:t>B</w:t>
      </w:r>
      <w:r w:rsidRPr="004203F3">
        <w:rPr>
          <w:rFonts w:asciiTheme="minorHAnsi" w:eastAsia="Calibri" w:hAnsiTheme="minorHAnsi" w:cstheme="minorHAnsi"/>
          <w:color w:val="000000"/>
          <w:sz w:val="22"/>
          <w:szCs w:val="22"/>
          <w:bdr w:val="none" w:sz="0" w:space="0" w:color="auto" w:frame="1"/>
        </w:rPr>
        <w:t>endrovė turi atlikti tokiais atvejais (atlikti vidinį tyrimą, kreiptis į kompetentingas institucijas ir kt.), esant pagrindui anuliuoti lošimo įvykį.</w:t>
      </w:r>
    </w:p>
    <w:p w14:paraId="2FB15929" w14:textId="4CDE2FB4"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Nagrinėtoje byloje, be kita ko, nebuvo objektyvių duomenų, patvirtinančių, jog varžybose, dėl kurių lošėjas lažinosi, iš tiesų buvo manipuliuojama sporto varžybų eiga ar rezultatu ar kad lošėjas atliko kokius nors neteisėtus veiksmus, todėl nebuvo pagrindo konstatuoti, jog lošėjas statymus atliko dėl galbūt sutartų varžybų arba nesąžiningo elgesio. Nors Bendrovė laikėsi pozicijos, kad supaprastintos lažybų pasiūlos taikymas lošėjui yra Bendrovės teikiamų lošimo paslaugų panaudojimo pinigų plovimo ir teroristų finansavimo schemose riziką mažinanti priemonė ir ji neturėjo būti numatyta Reglamente, tačiau teisėjų kolegija su tokia Bendrovės pozicija nesutiko.</w:t>
      </w:r>
    </w:p>
    <w:p w14:paraId="41B63C6F" w14:textId="7777777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Pirmosios instancijos teismo sprendimas paliktas nepakeistas, o pareiškėjo apeliacinis skundas atmestas.</w:t>
      </w:r>
    </w:p>
    <w:p w14:paraId="073938B2" w14:textId="7777777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p>
    <w:p w14:paraId="3940AFAC" w14:textId="77777777" w:rsidR="004203F3" w:rsidRPr="004203F3" w:rsidRDefault="004203F3" w:rsidP="004203F3">
      <w:pPr>
        <w:jc w:val="both"/>
        <w:rPr>
          <w:rFonts w:asciiTheme="minorHAnsi" w:hAnsiTheme="minorHAnsi" w:cstheme="minorHAnsi"/>
          <w:bCs/>
          <w:color w:val="000000"/>
          <w:sz w:val="22"/>
          <w:szCs w:val="22"/>
          <w:shd w:val="clear" w:color="auto" w:fill="FFFFFF"/>
        </w:rPr>
      </w:pPr>
      <w:r w:rsidRPr="004203F3">
        <w:rPr>
          <w:rFonts w:asciiTheme="minorHAnsi" w:hAnsiTheme="minorHAnsi" w:cstheme="minorHAnsi"/>
          <w:color w:val="000000"/>
          <w:sz w:val="22"/>
          <w:szCs w:val="22"/>
          <w:shd w:val="clear" w:color="auto" w:fill="FFFFFF"/>
        </w:rPr>
        <w:t>2025 m. balandžio 16 d. nutartis administracinėje byloje</w:t>
      </w:r>
      <w:r w:rsidRPr="004203F3">
        <w:rPr>
          <w:rFonts w:asciiTheme="minorHAnsi" w:hAnsiTheme="minorHAnsi" w:cstheme="minorHAnsi"/>
          <w:i/>
          <w:iCs/>
          <w:sz w:val="22"/>
          <w:szCs w:val="22"/>
        </w:rPr>
        <w:t xml:space="preserve"> </w:t>
      </w:r>
      <w:r w:rsidRPr="004203F3">
        <w:rPr>
          <w:rFonts w:asciiTheme="minorHAnsi" w:hAnsiTheme="minorHAnsi" w:cstheme="minorHAnsi"/>
          <w:bCs/>
          <w:color w:val="000000"/>
          <w:sz w:val="22"/>
          <w:szCs w:val="22"/>
          <w:shd w:val="clear" w:color="auto" w:fill="FFFFFF"/>
        </w:rPr>
        <w:t>Nr. eA-284-662/2025</w:t>
      </w:r>
    </w:p>
    <w:p w14:paraId="01A03D5E" w14:textId="77777777" w:rsidR="004203F3" w:rsidRPr="004203F3" w:rsidRDefault="004203F3" w:rsidP="004203F3">
      <w:pPr>
        <w:jc w:val="both"/>
        <w:rPr>
          <w:rFonts w:asciiTheme="minorHAnsi" w:hAnsiTheme="minorHAnsi" w:cstheme="minorHAnsi"/>
          <w:bCs/>
          <w:color w:val="000000"/>
          <w:sz w:val="22"/>
          <w:szCs w:val="22"/>
          <w:shd w:val="clear" w:color="auto" w:fill="FFFFFF"/>
        </w:rPr>
      </w:pPr>
      <w:r w:rsidRPr="004203F3">
        <w:rPr>
          <w:rFonts w:asciiTheme="minorHAnsi" w:hAnsiTheme="minorHAnsi" w:cstheme="minorHAnsi"/>
          <w:bCs/>
          <w:color w:val="000000"/>
          <w:sz w:val="22"/>
          <w:szCs w:val="22"/>
          <w:shd w:val="clear" w:color="auto" w:fill="FFFFFF"/>
        </w:rPr>
        <w:t>Teisminio proceso Nr. 3-61-3-07018-2022-5</w:t>
      </w:r>
    </w:p>
    <w:p w14:paraId="7B5EF77E" w14:textId="477F785F" w:rsidR="004203F3" w:rsidRPr="004203F3" w:rsidRDefault="004203F3" w:rsidP="004203F3">
      <w:pPr>
        <w:jc w:val="both"/>
        <w:rPr>
          <w:rFonts w:asciiTheme="minorHAnsi" w:hAnsiTheme="minorHAnsi" w:cstheme="minorHAnsi"/>
          <w:sz w:val="22"/>
          <w:szCs w:val="22"/>
        </w:rPr>
      </w:pPr>
      <w:hyperlink r:id="rId18" w:history="1">
        <w:r w:rsidRPr="004203F3">
          <w:rPr>
            <w:rStyle w:val="Hyperlink"/>
            <w:rFonts w:asciiTheme="minorHAnsi" w:hAnsiTheme="minorHAnsi" w:cstheme="minorHAnsi"/>
            <w:sz w:val="22"/>
            <w:szCs w:val="22"/>
            <w:shd w:val="clear" w:color="auto" w:fill="FFFFFF"/>
          </w:rPr>
          <w:t>Prieiga internete</w:t>
        </w:r>
      </w:hyperlink>
    </w:p>
    <w:p w14:paraId="05498D65" w14:textId="77777777" w:rsidR="004203F3" w:rsidRPr="004203F3" w:rsidRDefault="004203F3" w:rsidP="004203F3">
      <w:pPr>
        <w:jc w:val="both"/>
        <w:rPr>
          <w:rFonts w:asciiTheme="minorHAnsi" w:hAnsiTheme="minorHAnsi" w:cstheme="minorHAnsi"/>
          <w:bCs/>
          <w:color w:val="000000"/>
          <w:sz w:val="22"/>
          <w:szCs w:val="22"/>
          <w:shd w:val="clear" w:color="auto" w:fill="FFFFFF"/>
        </w:rPr>
      </w:pPr>
    </w:p>
    <w:p w14:paraId="71C21B01" w14:textId="77777777" w:rsidR="004203F3" w:rsidRPr="004203F3" w:rsidRDefault="004203F3" w:rsidP="004203F3">
      <w:pPr>
        <w:jc w:val="both"/>
        <w:outlineLvl w:val="1"/>
        <w:rPr>
          <w:rFonts w:asciiTheme="minorHAnsi" w:eastAsia="Calibri" w:hAnsiTheme="minorHAnsi" w:cstheme="minorHAnsi"/>
          <w:i/>
          <w:sz w:val="22"/>
          <w:szCs w:val="22"/>
        </w:rPr>
      </w:pPr>
      <w:bookmarkStart w:id="45" w:name="_Toc199503156"/>
      <w:r w:rsidRPr="004203F3">
        <w:rPr>
          <w:rFonts w:asciiTheme="minorHAnsi" w:eastAsia="Calibri" w:hAnsiTheme="minorHAnsi" w:cstheme="minorHAnsi"/>
          <w:i/>
          <w:sz w:val="22"/>
          <w:szCs w:val="22"/>
        </w:rPr>
        <w:t>Dėl pareigos notifikuoti Europos Komisiją apie teisinio reguliavimo pasikeitimus neįvykdymo pasekmių</w:t>
      </w:r>
      <w:bookmarkEnd w:id="45"/>
    </w:p>
    <w:p w14:paraId="3E92E1DC" w14:textId="7777777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p>
    <w:p w14:paraId="23EF8F5D" w14:textId="7777777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Apžvelgiamoje byloje ginčas kilo dėl Lošimų priežiūros tarnybos prie Lietuvos Respublikos finansų ministerijos (toliau – Tarnyba) direktoriaus įsakymo dėl atlikto UAB „Unigames“ neplaninio specialiojo patikrinimo teisėtumo ir pagrįstumo.</w:t>
      </w:r>
    </w:p>
    <w:p w14:paraId="385B9F7A" w14:textId="44F28E39" w:rsidR="004203F3" w:rsidRPr="004203F3" w:rsidRDefault="00A800B1" w:rsidP="004203F3">
      <w:pPr>
        <w:ind w:firstLine="567"/>
        <w:jc w:val="both"/>
        <w:rPr>
          <w:rFonts w:asciiTheme="minorHAnsi" w:eastAsia="Calibri" w:hAnsiTheme="minorHAnsi" w:cstheme="minorHAnsi"/>
          <w:color w:val="000000"/>
          <w:sz w:val="22"/>
          <w:szCs w:val="22"/>
          <w:bdr w:val="none" w:sz="0" w:space="0" w:color="auto" w:frame="1"/>
        </w:rPr>
      </w:pPr>
      <w:r>
        <w:rPr>
          <w:rFonts w:asciiTheme="minorHAnsi" w:eastAsia="Calibri" w:hAnsiTheme="minorHAnsi" w:cstheme="minorHAnsi"/>
          <w:color w:val="000000"/>
          <w:sz w:val="22"/>
          <w:szCs w:val="22"/>
          <w:bdr w:val="none" w:sz="0" w:space="0" w:color="auto" w:frame="1"/>
        </w:rPr>
        <w:t>Byloje g</w:t>
      </w:r>
      <w:r w:rsidR="004203F3" w:rsidRPr="004203F3">
        <w:rPr>
          <w:rFonts w:asciiTheme="minorHAnsi" w:eastAsia="Calibri" w:hAnsiTheme="minorHAnsi" w:cstheme="minorHAnsi"/>
          <w:color w:val="000000"/>
          <w:sz w:val="22"/>
          <w:szCs w:val="22"/>
          <w:bdr w:val="none" w:sz="0" w:space="0" w:color="auto" w:frame="1"/>
        </w:rPr>
        <w:t>inč</w:t>
      </w:r>
      <w:r>
        <w:rPr>
          <w:rFonts w:asciiTheme="minorHAnsi" w:eastAsia="Calibri" w:hAnsiTheme="minorHAnsi" w:cstheme="minorHAnsi"/>
          <w:color w:val="000000"/>
          <w:sz w:val="22"/>
          <w:szCs w:val="22"/>
          <w:bdr w:val="none" w:sz="0" w:space="0" w:color="auto" w:frame="1"/>
        </w:rPr>
        <w:t>yt</w:t>
      </w:r>
      <w:r w:rsidR="004203F3" w:rsidRPr="004203F3">
        <w:rPr>
          <w:rFonts w:asciiTheme="minorHAnsi" w:eastAsia="Calibri" w:hAnsiTheme="minorHAnsi" w:cstheme="minorHAnsi"/>
          <w:color w:val="000000"/>
          <w:sz w:val="22"/>
          <w:szCs w:val="22"/>
          <w:bdr w:val="none" w:sz="0" w:space="0" w:color="auto" w:frame="1"/>
        </w:rPr>
        <w:t>u įsakymu už veiksmus, draudžiamus Azartinių lošimų įstatymo (toliau – ALĮ) 10 straipsnio 19 dalyje įtvirtintu teisiniu reguliavimu (draudžiama skatinti dalyvauti lošimuose), pareiškėjui skirta 12</w:t>
      </w:r>
      <w:r w:rsidR="003502B7">
        <w:rPr>
          <w:rFonts w:asciiTheme="minorHAnsi" w:eastAsia="Calibri" w:hAnsiTheme="minorHAnsi" w:cstheme="minorHAnsi"/>
          <w:color w:val="000000"/>
          <w:sz w:val="22"/>
          <w:szCs w:val="22"/>
          <w:bdr w:val="none" w:sz="0" w:space="0" w:color="auto" w:frame="1"/>
        </w:rPr>
        <w:t> </w:t>
      </w:r>
      <w:r w:rsidR="004203F3" w:rsidRPr="004203F3">
        <w:rPr>
          <w:rFonts w:asciiTheme="minorHAnsi" w:eastAsia="Calibri" w:hAnsiTheme="minorHAnsi" w:cstheme="minorHAnsi"/>
          <w:color w:val="000000"/>
          <w:sz w:val="22"/>
          <w:szCs w:val="22"/>
          <w:bdr w:val="none" w:sz="0" w:space="0" w:color="auto" w:frame="1"/>
        </w:rPr>
        <w:t>662</w:t>
      </w:r>
      <w:r w:rsidR="003502B7">
        <w:rPr>
          <w:rFonts w:asciiTheme="minorHAnsi" w:eastAsia="Calibri" w:hAnsiTheme="minorHAnsi" w:cstheme="minorHAnsi"/>
          <w:color w:val="000000"/>
          <w:sz w:val="22"/>
          <w:szCs w:val="22"/>
          <w:bdr w:val="none" w:sz="0" w:space="0" w:color="auto" w:frame="1"/>
        </w:rPr>
        <w:t xml:space="preserve"> </w:t>
      </w:r>
      <w:r w:rsidR="004203F3" w:rsidRPr="004203F3">
        <w:rPr>
          <w:rFonts w:asciiTheme="minorHAnsi" w:eastAsia="Calibri" w:hAnsiTheme="minorHAnsi" w:cstheme="minorHAnsi"/>
          <w:color w:val="000000"/>
          <w:sz w:val="22"/>
          <w:szCs w:val="22"/>
          <w:bdr w:val="none" w:sz="0" w:space="0" w:color="auto" w:frame="1"/>
        </w:rPr>
        <w:t>Eur bauda, jis įspėtas apie galimą licencijos organizuoti lošimus B kategorijos automatais galiojimo sustabdymą, nustatyta, kad pareiškėjas privalo pašalinti pažeidimą. Tarnyba konstatavo, kad pareiškėjo interneto svetainėje https://uniclub.lt toliau skelbiama informacija, kuria siekiama atkreipti dėmesį į pareiškėjo pasiūlą, skatinamaisiais sakiniais ar žodžiais raginama lošti, siekiama atkreipti dėmesį į pareiškėjo patikimumą, jo interneto svetainės išskirtinumą ar teikiamų paslaugų ypatybes, ir tai laikytina draudimo skatinti dalyvauti lošimuose pažeidimu, kad pareiškėjo interneto svetainėje https://uniclub.lt užfiksuota ir skelbta informacija skatino pareiškėjo interneto svetainės lankytojus dalyvauti nuotoliniuose lošimuose.</w:t>
      </w:r>
    </w:p>
    <w:p w14:paraId="1A7EDF09" w14:textId="70C2A893" w:rsidR="004203F3" w:rsidRPr="004203F3" w:rsidRDefault="004203F3" w:rsidP="00CB2908">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 xml:space="preserve">LVAT kreipėsi į ESTT, kuris 2025 m. kovo 13 d. priėmė sprendimą byloje </w:t>
      </w:r>
      <w:r w:rsidRPr="004203F3">
        <w:rPr>
          <w:rFonts w:asciiTheme="minorHAnsi" w:eastAsia="Calibri" w:hAnsiTheme="minorHAnsi" w:cstheme="minorHAnsi"/>
          <w:i/>
          <w:iCs/>
          <w:color w:val="000000"/>
          <w:sz w:val="22"/>
          <w:szCs w:val="22"/>
          <w:bdr w:val="none" w:sz="0" w:space="0" w:color="auto" w:frame="1"/>
        </w:rPr>
        <w:t>UAB „Unigames“ prieš Lošimų priežiūros tarnybą prie Lietuvos Respublikos finansų ministerijos</w:t>
      </w:r>
      <w:r w:rsidRPr="004203F3">
        <w:rPr>
          <w:rFonts w:asciiTheme="minorHAnsi" w:eastAsia="Calibri" w:hAnsiTheme="minorHAnsi" w:cstheme="minorHAnsi"/>
          <w:color w:val="000000"/>
          <w:sz w:val="22"/>
          <w:szCs w:val="22"/>
          <w:bdr w:val="none" w:sz="0" w:space="0" w:color="auto" w:frame="1"/>
        </w:rPr>
        <w:t>, C-120/24, EU:C:2025:174.</w:t>
      </w:r>
      <w:r w:rsidR="00CB2908">
        <w:rPr>
          <w:rFonts w:asciiTheme="minorHAnsi" w:eastAsia="Calibri" w:hAnsiTheme="minorHAnsi" w:cstheme="minorHAnsi"/>
          <w:color w:val="000000"/>
          <w:sz w:val="22"/>
          <w:szCs w:val="22"/>
          <w:bdr w:val="none" w:sz="0" w:space="0" w:color="auto" w:frame="1"/>
        </w:rPr>
        <w:t xml:space="preserve"> </w:t>
      </w:r>
      <w:r w:rsidRPr="004203F3">
        <w:rPr>
          <w:rFonts w:asciiTheme="minorHAnsi" w:eastAsia="Calibri" w:hAnsiTheme="minorHAnsi" w:cstheme="minorHAnsi"/>
          <w:color w:val="000000"/>
          <w:sz w:val="22"/>
          <w:szCs w:val="22"/>
          <w:bdr w:val="none" w:sz="0" w:space="0" w:color="auto" w:frame="1"/>
        </w:rPr>
        <w:t xml:space="preserve">ESTT priimtame prejudiciniame sprendime pateikti teisės aiškinimai suponavo, kad </w:t>
      </w:r>
      <w:r w:rsidR="0092300D">
        <w:rPr>
          <w:rFonts w:asciiTheme="minorHAnsi" w:eastAsia="Calibri" w:hAnsiTheme="minorHAnsi" w:cstheme="minorHAnsi"/>
          <w:color w:val="000000"/>
          <w:sz w:val="22"/>
          <w:szCs w:val="22"/>
          <w:bdr w:val="none" w:sz="0" w:space="0" w:color="auto" w:frame="1"/>
        </w:rPr>
        <w:t xml:space="preserve">LVAT </w:t>
      </w:r>
      <w:r w:rsidRPr="004203F3">
        <w:rPr>
          <w:rFonts w:asciiTheme="minorHAnsi" w:eastAsia="Calibri" w:hAnsiTheme="minorHAnsi" w:cstheme="minorHAnsi"/>
          <w:color w:val="000000"/>
          <w:sz w:val="22"/>
          <w:szCs w:val="22"/>
          <w:bdr w:val="none" w:sz="0" w:space="0" w:color="auto" w:frame="1"/>
        </w:rPr>
        <w:t xml:space="preserve">išplėstinė teisėjų kolegija turėjo įvertinti tik vieną šioje byloje taikytinos nacionalinės teisės – ALĮ 10 straipsnio 19 dalyje įtvirtintos teisės normos – turinio elementą, ar veiksmai (t. y. informacijos, susijusios su </w:t>
      </w:r>
      <w:r w:rsidR="00FE55CD">
        <w:rPr>
          <w:rFonts w:asciiTheme="minorHAnsi" w:eastAsia="Calibri" w:hAnsiTheme="minorHAnsi" w:cstheme="minorHAnsi"/>
          <w:color w:val="000000"/>
          <w:sz w:val="22"/>
          <w:szCs w:val="22"/>
          <w:bdr w:val="none" w:sz="0" w:space="0" w:color="auto" w:frame="1"/>
        </w:rPr>
        <w:t>„</w:t>
      </w:r>
      <w:r w:rsidRPr="004203F3">
        <w:rPr>
          <w:rFonts w:asciiTheme="minorHAnsi" w:eastAsia="Calibri" w:hAnsiTheme="minorHAnsi" w:cstheme="minorHAnsi"/>
          <w:color w:val="000000"/>
          <w:sz w:val="22"/>
          <w:szCs w:val="22"/>
          <w:bdr w:val="none" w:sz="0" w:space="0" w:color="auto" w:frame="1"/>
        </w:rPr>
        <w:t>Unigames“ siūlomais azartiniais lošimais, paskelbimas šios bendrovės interneto svetainėje), kurie pripažinti pažeidimu pagal ALĮ 10 straipsnio 19 dalies redakciją, negalėtų būti pripažįstami pažeidimu pagal ankstesnę ALĮ 10</w:t>
      </w:r>
      <w:r w:rsidR="00124D70">
        <w:rPr>
          <w:rFonts w:asciiTheme="minorHAnsi" w:eastAsia="Calibri" w:hAnsiTheme="minorHAnsi" w:cstheme="minorHAnsi"/>
          <w:color w:val="000000"/>
          <w:sz w:val="22"/>
          <w:szCs w:val="22"/>
          <w:bdr w:val="none" w:sz="0" w:space="0" w:color="auto" w:frame="1"/>
        </w:rPr>
        <w:t xml:space="preserve"> </w:t>
      </w:r>
      <w:r w:rsidRPr="004203F3">
        <w:rPr>
          <w:rFonts w:asciiTheme="minorHAnsi" w:eastAsia="Calibri" w:hAnsiTheme="minorHAnsi" w:cstheme="minorHAnsi"/>
          <w:color w:val="000000"/>
          <w:sz w:val="22"/>
          <w:szCs w:val="22"/>
          <w:bdr w:val="none" w:sz="0" w:space="0" w:color="auto" w:frame="1"/>
        </w:rPr>
        <w:t>straipsnio 19 dalies redakciją, t. y. ar ALĮ 10</w:t>
      </w:r>
      <w:r w:rsidR="00124D70">
        <w:rPr>
          <w:rFonts w:asciiTheme="minorHAnsi" w:eastAsia="Calibri" w:hAnsiTheme="minorHAnsi" w:cstheme="minorHAnsi"/>
          <w:color w:val="000000"/>
          <w:sz w:val="22"/>
          <w:szCs w:val="22"/>
          <w:bdr w:val="none" w:sz="0" w:space="0" w:color="auto" w:frame="1"/>
        </w:rPr>
        <w:t> </w:t>
      </w:r>
      <w:r w:rsidRPr="004203F3">
        <w:rPr>
          <w:rFonts w:asciiTheme="minorHAnsi" w:eastAsia="Calibri" w:hAnsiTheme="minorHAnsi" w:cstheme="minorHAnsi"/>
          <w:color w:val="000000"/>
          <w:sz w:val="22"/>
          <w:szCs w:val="22"/>
          <w:bdr w:val="none" w:sz="0" w:space="0" w:color="auto" w:frame="1"/>
        </w:rPr>
        <w:t>straipsnio 19 dalimi buvo išplėsta to draudimo taikymo sritis – buvo įtraukti nauji arba papildomi reikalavimai, palyginus su ankstesniu reguliavimu.</w:t>
      </w:r>
    </w:p>
    <w:p w14:paraId="103F0BDA" w14:textId="2DEDDCE3" w:rsidR="004203F3" w:rsidRPr="004203F3" w:rsidRDefault="0092300D" w:rsidP="004203F3">
      <w:pPr>
        <w:ind w:firstLine="567"/>
        <w:jc w:val="both"/>
        <w:rPr>
          <w:rFonts w:asciiTheme="minorHAnsi" w:eastAsia="Calibri" w:hAnsiTheme="minorHAnsi" w:cstheme="minorHAnsi"/>
          <w:color w:val="000000"/>
          <w:sz w:val="22"/>
          <w:szCs w:val="22"/>
          <w:bdr w:val="none" w:sz="0" w:space="0" w:color="auto" w:frame="1"/>
        </w:rPr>
      </w:pPr>
      <w:r>
        <w:rPr>
          <w:rFonts w:asciiTheme="minorHAnsi" w:eastAsia="Calibri" w:hAnsiTheme="minorHAnsi" w:cstheme="minorHAnsi"/>
          <w:color w:val="000000"/>
          <w:sz w:val="22"/>
          <w:szCs w:val="22"/>
          <w:bdr w:val="none" w:sz="0" w:space="0" w:color="auto" w:frame="1"/>
        </w:rPr>
        <w:t>LVAT i</w:t>
      </w:r>
      <w:r w:rsidR="004203F3" w:rsidRPr="004203F3">
        <w:rPr>
          <w:rFonts w:asciiTheme="minorHAnsi" w:eastAsia="Calibri" w:hAnsiTheme="minorHAnsi" w:cstheme="minorHAnsi"/>
          <w:color w:val="000000"/>
          <w:sz w:val="22"/>
          <w:szCs w:val="22"/>
          <w:bdr w:val="none" w:sz="0" w:space="0" w:color="auto" w:frame="1"/>
        </w:rPr>
        <w:t>šplėstinė teisėjų kolegija, lygindama aktualią ALĮ 10 straipsnio 19 dalyje įtvirtintos teisės normos redakciją su ankstesne, priėjo prie išvados, kad pareiškėjo veiksmai, ginč</w:t>
      </w:r>
      <w:r w:rsidR="003C75CE">
        <w:rPr>
          <w:rFonts w:asciiTheme="minorHAnsi" w:eastAsia="Calibri" w:hAnsiTheme="minorHAnsi" w:cstheme="minorHAnsi"/>
          <w:color w:val="000000"/>
          <w:sz w:val="22"/>
          <w:szCs w:val="22"/>
          <w:bdr w:val="none" w:sz="0" w:space="0" w:color="auto" w:frame="1"/>
        </w:rPr>
        <w:t>yt</w:t>
      </w:r>
      <w:r w:rsidR="004203F3" w:rsidRPr="004203F3">
        <w:rPr>
          <w:rFonts w:asciiTheme="minorHAnsi" w:eastAsia="Calibri" w:hAnsiTheme="minorHAnsi" w:cstheme="minorHAnsi"/>
          <w:color w:val="000000"/>
          <w:sz w:val="22"/>
          <w:szCs w:val="22"/>
          <w:bdr w:val="none" w:sz="0" w:space="0" w:color="auto" w:frame="1"/>
        </w:rPr>
        <w:t xml:space="preserve">ame atsakovo įsakyme pripažįstami pažeidžiančiais ALĮ 10 straipsnio 19 dalyje įtvirtintą teisinį reguliavimą – informacija apie azartinius lošimus, </w:t>
      </w:r>
      <w:r w:rsidR="004203F3" w:rsidRPr="004203F3">
        <w:rPr>
          <w:rFonts w:asciiTheme="minorHAnsi" w:eastAsia="Calibri" w:hAnsiTheme="minorHAnsi" w:cstheme="minorHAnsi"/>
          <w:color w:val="000000"/>
          <w:sz w:val="22"/>
          <w:szCs w:val="22"/>
          <w:bdr w:val="none" w:sz="0" w:space="0" w:color="auto" w:frame="1"/>
        </w:rPr>
        <w:lastRenderedPageBreak/>
        <w:t xml:space="preserve">paskelbta šių lošimų organizatoriaus interneto svetainėje, nebūtų patekusi į ankstesniame įstatyme įtvirtinto draudimo taikymo sritį. Taigi </w:t>
      </w:r>
      <w:r w:rsidR="004203F3" w:rsidRPr="004203F3">
        <w:rPr>
          <w:rFonts w:asciiTheme="minorHAnsi" w:eastAsia="Calibri" w:hAnsiTheme="minorHAnsi" w:cstheme="minorHAnsi"/>
          <w:color w:val="000000"/>
          <w:sz w:val="22"/>
          <w:szCs w:val="22"/>
          <w:u w:val="single"/>
          <w:bdr w:val="none" w:sz="0" w:space="0" w:color="auto" w:frame="1"/>
        </w:rPr>
        <w:t>galiojančios redakcijos ALĮ 10 straipsnio 19 dalimi buvo sugriežtintas rinkodaros priemonių naudojimas ir išplėsta draudimo skatinti dalyvauti azartiniuose lošimuose taikymo sritis – įtvirtintas absoliutus draudimas skatinti dalyvauti azartiniuose lošimuose, lyginant su ankstesniu draudimu, nustačiusiu dvi draudimų skatinti dalyvauti azartiniuose lošimuose grupes</w:t>
      </w:r>
      <w:r w:rsidR="004203F3" w:rsidRPr="004203F3">
        <w:rPr>
          <w:rFonts w:asciiTheme="minorHAnsi" w:eastAsia="Calibri" w:hAnsiTheme="minorHAnsi" w:cstheme="minorHAnsi"/>
          <w:color w:val="000000"/>
          <w:sz w:val="22"/>
          <w:szCs w:val="22"/>
          <w:bdr w:val="none" w:sz="0" w:space="0" w:color="auto" w:frame="1"/>
        </w:rPr>
        <w:t>: iš karto ar per tam tikrą terminą po dalyvavimo lošimuose gauti dovanų iš lošimų organizatoriaus ir ne lošimų organizavimo vietose ar lošimų organizatoriaus interneto svetainėje organizuoti žaidimus ar konkursus, bandomuosius lošimus, loterijas ir kitus renginius, kurie skatintų dalyvauti lošimuose, įskaitant nuotolinius lošimus.</w:t>
      </w:r>
    </w:p>
    <w:p w14:paraId="5DB66AC8" w14:textId="40232009"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 xml:space="preserve">Dėl nurodytų argumentų išplėstinė teisėjų kolegija konstatavo, kad </w:t>
      </w:r>
      <w:r w:rsidRPr="004203F3">
        <w:rPr>
          <w:rFonts w:asciiTheme="minorHAnsi" w:eastAsia="Calibri" w:hAnsiTheme="minorHAnsi" w:cstheme="minorHAnsi"/>
          <w:color w:val="000000"/>
          <w:sz w:val="22"/>
          <w:szCs w:val="22"/>
          <w:u w:val="single"/>
          <w:bdr w:val="none" w:sz="0" w:space="0" w:color="auto" w:frame="1"/>
        </w:rPr>
        <w:t>į ALĮ 10 straipsnio 19 dalį buvo įtraukti nauji / papildomi reikalavimai, palyginus su ankstesne ALĮ 10 straipsnio 19</w:t>
      </w:r>
      <w:r w:rsidR="00F14B75">
        <w:rPr>
          <w:rFonts w:asciiTheme="minorHAnsi" w:eastAsia="Calibri" w:hAnsiTheme="minorHAnsi" w:cstheme="minorHAnsi"/>
          <w:color w:val="000000"/>
          <w:sz w:val="22"/>
          <w:szCs w:val="22"/>
          <w:u w:val="single"/>
          <w:bdr w:val="none" w:sz="0" w:space="0" w:color="auto" w:frame="1"/>
        </w:rPr>
        <w:t xml:space="preserve"> </w:t>
      </w:r>
      <w:r w:rsidRPr="004203F3">
        <w:rPr>
          <w:rFonts w:asciiTheme="minorHAnsi" w:eastAsia="Calibri" w:hAnsiTheme="minorHAnsi" w:cstheme="minorHAnsi"/>
          <w:color w:val="000000"/>
          <w:sz w:val="22"/>
          <w:szCs w:val="22"/>
          <w:u w:val="single"/>
          <w:bdr w:val="none" w:sz="0" w:space="0" w:color="auto" w:frame="1"/>
        </w:rPr>
        <w:t>dalimi, todėl apie teisės normos pakeitimą, įtvirtintą šioje byloje taikytoje ALĮ 10 straipsnio 19 dalyje, turėjo būti pranešta pagal Direktyvos 2015/1535</w:t>
      </w:r>
      <w:r w:rsidRPr="004203F3">
        <w:rPr>
          <w:rStyle w:val="FootnoteReference"/>
          <w:rFonts w:asciiTheme="minorHAnsi" w:eastAsia="Calibri" w:hAnsiTheme="minorHAnsi" w:cstheme="minorHAnsi"/>
          <w:color w:val="000000"/>
          <w:sz w:val="22"/>
          <w:szCs w:val="22"/>
          <w:u w:val="single"/>
          <w:bdr w:val="none" w:sz="0" w:space="0" w:color="auto" w:frame="1"/>
        </w:rPr>
        <w:footnoteReference w:id="6"/>
      </w:r>
      <w:r w:rsidRPr="004203F3">
        <w:rPr>
          <w:rFonts w:asciiTheme="minorHAnsi" w:eastAsia="Calibri" w:hAnsiTheme="minorHAnsi" w:cstheme="minorHAnsi"/>
          <w:color w:val="000000"/>
          <w:sz w:val="22"/>
          <w:szCs w:val="22"/>
          <w:u w:val="single"/>
          <w:bdr w:val="none" w:sz="0" w:space="0" w:color="auto" w:frame="1"/>
        </w:rPr>
        <w:t xml:space="preserve"> 5 straipsnio 1 dalies pirmą pastraipą</w:t>
      </w:r>
      <w:r w:rsidRPr="004203F3">
        <w:rPr>
          <w:rFonts w:asciiTheme="minorHAnsi" w:eastAsia="Calibri" w:hAnsiTheme="minorHAnsi" w:cstheme="minorHAnsi"/>
          <w:color w:val="000000"/>
          <w:sz w:val="22"/>
          <w:szCs w:val="22"/>
          <w:bdr w:val="none" w:sz="0" w:space="0" w:color="auto" w:frame="1"/>
        </w:rPr>
        <w:t>. Byloje nustatyta, kad pareiga pateikti Europos Komisijai techninio reglamento – ALĮ 10 straipsnio 19 dalies pakeitimo – projektą pagal Direktyvos 2015/1535 5 straipsnio 1 dalies pirmą pastraipą nebuvo įvykdyta.</w:t>
      </w:r>
    </w:p>
    <w:p w14:paraId="3A2B6A86" w14:textId="7BAC4C32"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 xml:space="preserve">Pažymėta, kad, kaip akcentuota ESTT 2025 m. kovo 13 d. sprendimo </w:t>
      </w:r>
      <w:r w:rsidRPr="004203F3">
        <w:rPr>
          <w:rFonts w:asciiTheme="minorHAnsi" w:eastAsia="Calibri" w:hAnsiTheme="minorHAnsi" w:cstheme="minorHAnsi"/>
          <w:i/>
          <w:iCs/>
          <w:color w:val="000000"/>
          <w:sz w:val="22"/>
          <w:szCs w:val="22"/>
          <w:bdr w:val="none" w:sz="0" w:space="0" w:color="auto" w:frame="1"/>
        </w:rPr>
        <w:t>UAB „Unigames“ prieš Lošimų priežiūros tarnybą prie Lietuvos Respublikos finansų ministerijos</w:t>
      </w:r>
      <w:r w:rsidRPr="004203F3">
        <w:rPr>
          <w:rFonts w:asciiTheme="minorHAnsi" w:eastAsia="Calibri" w:hAnsiTheme="minorHAnsi" w:cstheme="minorHAnsi"/>
          <w:color w:val="000000"/>
          <w:sz w:val="22"/>
          <w:szCs w:val="22"/>
          <w:bdr w:val="none" w:sz="0" w:space="0" w:color="auto" w:frame="1"/>
        </w:rPr>
        <w:t>, C-120/24, EU:C:2025:174, 63 punkte, nacionalinės teisės nuostatos, kuri yra techninis reglamentas, kaip tai suprantama pagal Direktyvos 2015/1535 1 straipsnio 1 dalies f punktą, ir apie kurią pranešta Europos Komisijai pagal šio 5 straipsnio 1 dalį, pakeitimu negalima remtis prieš ekonominės veiklos vykdytojus, jeigu apie tokį pakeitimą nepranešta ir juo išplėsta šių nuostatų taikymo sritis. Taigi tai yra techninis reglamentas, apie kurį reikia pranešti pagal minėto 5 straipsnio 1</w:t>
      </w:r>
      <w:r w:rsidR="004327C0">
        <w:rPr>
          <w:rFonts w:asciiTheme="minorHAnsi" w:eastAsia="Calibri" w:hAnsiTheme="minorHAnsi" w:cstheme="minorHAnsi"/>
          <w:color w:val="000000"/>
          <w:sz w:val="22"/>
          <w:szCs w:val="22"/>
          <w:bdr w:val="none" w:sz="0" w:space="0" w:color="auto" w:frame="1"/>
        </w:rPr>
        <w:t> </w:t>
      </w:r>
      <w:r w:rsidRPr="004203F3">
        <w:rPr>
          <w:rFonts w:asciiTheme="minorHAnsi" w:eastAsia="Calibri" w:hAnsiTheme="minorHAnsi" w:cstheme="minorHAnsi"/>
          <w:color w:val="000000"/>
          <w:sz w:val="22"/>
          <w:szCs w:val="22"/>
          <w:bdr w:val="none" w:sz="0" w:space="0" w:color="auto" w:frame="1"/>
        </w:rPr>
        <w:t>dalį. Vadovaudamasi tuo,</w:t>
      </w:r>
      <w:r w:rsidR="004327C0">
        <w:rPr>
          <w:rFonts w:asciiTheme="minorHAnsi" w:eastAsia="Calibri" w:hAnsiTheme="minorHAnsi" w:cstheme="minorHAnsi"/>
          <w:color w:val="000000"/>
          <w:sz w:val="22"/>
          <w:szCs w:val="22"/>
          <w:bdr w:val="none" w:sz="0" w:space="0" w:color="auto" w:frame="1"/>
        </w:rPr>
        <w:t xml:space="preserve"> LVAT</w:t>
      </w:r>
      <w:r w:rsidRPr="004203F3">
        <w:rPr>
          <w:rFonts w:asciiTheme="minorHAnsi" w:eastAsia="Calibri" w:hAnsiTheme="minorHAnsi" w:cstheme="minorHAnsi"/>
          <w:color w:val="000000"/>
          <w:sz w:val="22"/>
          <w:szCs w:val="22"/>
          <w:bdr w:val="none" w:sz="0" w:space="0" w:color="auto" w:frame="1"/>
        </w:rPr>
        <w:t xml:space="preserve"> išplėstinė teisėjų kolegija sprendė, kad </w:t>
      </w:r>
      <w:r w:rsidRPr="004203F3">
        <w:rPr>
          <w:rFonts w:asciiTheme="minorHAnsi" w:eastAsia="Calibri" w:hAnsiTheme="minorHAnsi" w:cstheme="minorHAnsi"/>
          <w:color w:val="000000"/>
          <w:sz w:val="22"/>
          <w:szCs w:val="22"/>
          <w:u w:val="single"/>
          <w:bdr w:val="none" w:sz="0" w:space="0" w:color="auto" w:frame="1"/>
        </w:rPr>
        <w:t>ginčui aktualia ALĮ 10</w:t>
      </w:r>
      <w:r w:rsidR="004327C0">
        <w:rPr>
          <w:rFonts w:asciiTheme="minorHAnsi" w:eastAsia="Calibri" w:hAnsiTheme="minorHAnsi" w:cstheme="minorHAnsi"/>
          <w:color w:val="000000"/>
          <w:sz w:val="22"/>
          <w:szCs w:val="22"/>
          <w:u w:val="single"/>
          <w:bdr w:val="none" w:sz="0" w:space="0" w:color="auto" w:frame="1"/>
        </w:rPr>
        <w:t xml:space="preserve"> </w:t>
      </w:r>
      <w:r w:rsidRPr="004203F3">
        <w:rPr>
          <w:rFonts w:asciiTheme="minorHAnsi" w:eastAsia="Calibri" w:hAnsiTheme="minorHAnsi" w:cstheme="minorHAnsi"/>
          <w:color w:val="000000"/>
          <w:sz w:val="22"/>
          <w:szCs w:val="22"/>
          <w:u w:val="single"/>
          <w:bdr w:val="none" w:sz="0" w:space="0" w:color="auto" w:frame="1"/>
        </w:rPr>
        <w:t>straipsnio 19</w:t>
      </w:r>
      <w:r w:rsidR="004327C0">
        <w:rPr>
          <w:rFonts w:asciiTheme="minorHAnsi" w:eastAsia="Calibri" w:hAnsiTheme="minorHAnsi" w:cstheme="minorHAnsi"/>
          <w:color w:val="000000"/>
          <w:sz w:val="22"/>
          <w:szCs w:val="22"/>
          <w:u w:val="single"/>
          <w:bdr w:val="none" w:sz="0" w:space="0" w:color="auto" w:frame="1"/>
        </w:rPr>
        <w:t> </w:t>
      </w:r>
      <w:r w:rsidRPr="004203F3">
        <w:rPr>
          <w:rFonts w:asciiTheme="minorHAnsi" w:eastAsia="Calibri" w:hAnsiTheme="minorHAnsi" w:cstheme="minorHAnsi"/>
          <w:color w:val="000000"/>
          <w:sz w:val="22"/>
          <w:szCs w:val="22"/>
          <w:u w:val="single"/>
          <w:bdr w:val="none" w:sz="0" w:space="0" w:color="auto" w:frame="1"/>
        </w:rPr>
        <w:t>dalimi dėl notifikavimo pareigos nevykdymo prieš pareiškėją negalima remtis</w:t>
      </w:r>
      <w:r w:rsidRPr="004203F3">
        <w:rPr>
          <w:rFonts w:asciiTheme="minorHAnsi" w:eastAsia="Calibri" w:hAnsiTheme="minorHAnsi" w:cstheme="minorHAnsi"/>
          <w:color w:val="000000"/>
          <w:sz w:val="22"/>
          <w:szCs w:val="22"/>
          <w:bdr w:val="none" w:sz="0" w:space="0" w:color="auto" w:frame="1"/>
        </w:rPr>
        <w:t>. Tai sudarė pagrindą pripažinti, kad Tarnyba nepagrįstai pareiškėjo veiksmus kvalifikavo kaip ALĮ 10 straipsnio 19 dalies pažeidimą ir nepagrįstai pareiškėjui taikė ALĮ 10 straipsnio 19 dalies reikalavimus.</w:t>
      </w:r>
    </w:p>
    <w:p w14:paraId="2EA277CA" w14:textId="7777777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r w:rsidRPr="004203F3">
        <w:rPr>
          <w:rFonts w:asciiTheme="minorHAnsi" w:eastAsia="Calibri" w:hAnsiTheme="minorHAnsi" w:cstheme="minorHAnsi"/>
          <w:color w:val="000000"/>
          <w:sz w:val="22"/>
          <w:szCs w:val="22"/>
          <w:bdr w:val="none" w:sz="0" w:space="0" w:color="auto" w:frame="1"/>
        </w:rPr>
        <w:t>Tarnybos įsakymas panaikintas kaip neteisėtas iš esmės, t. y. savo turiniu prieštaraujantis aukštesnės galios teisės aktams (ABTĮ 91 str. 1 d. 1 p.), tenkinant pareiškėjo apeliacinį skundą, panaikinant pirmosios instancijos teismo sprendimą ir priimant naują sprendimą.</w:t>
      </w:r>
    </w:p>
    <w:p w14:paraId="29DA4372" w14:textId="77777777" w:rsidR="004203F3" w:rsidRPr="004203F3" w:rsidRDefault="004203F3" w:rsidP="004203F3">
      <w:pPr>
        <w:ind w:firstLine="567"/>
        <w:jc w:val="both"/>
        <w:rPr>
          <w:rFonts w:asciiTheme="minorHAnsi" w:eastAsia="Calibri" w:hAnsiTheme="minorHAnsi" w:cstheme="minorHAnsi"/>
          <w:color w:val="000000"/>
          <w:sz w:val="22"/>
          <w:szCs w:val="22"/>
          <w:bdr w:val="none" w:sz="0" w:space="0" w:color="auto" w:frame="1"/>
        </w:rPr>
      </w:pPr>
    </w:p>
    <w:p w14:paraId="355A35B2" w14:textId="77777777" w:rsidR="004203F3" w:rsidRPr="004203F3" w:rsidRDefault="004203F3" w:rsidP="004203F3">
      <w:pPr>
        <w:jc w:val="both"/>
        <w:rPr>
          <w:rFonts w:asciiTheme="minorHAnsi" w:hAnsiTheme="minorHAnsi" w:cstheme="minorHAnsi"/>
          <w:bCs/>
          <w:color w:val="000000"/>
          <w:sz w:val="22"/>
          <w:szCs w:val="22"/>
          <w:shd w:val="clear" w:color="auto" w:fill="FFFFFF"/>
        </w:rPr>
      </w:pPr>
      <w:r w:rsidRPr="004203F3">
        <w:rPr>
          <w:rFonts w:asciiTheme="minorHAnsi" w:hAnsiTheme="minorHAnsi" w:cstheme="minorHAnsi"/>
          <w:color w:val="000000"/>
          <w:sz w:val="22"/>
          <w:szCs w:val="22"/>
          <w:shd w:val="clear" w:color="auto" w:fill="FFFFFF"/>
        </w:rPr>
        <w:t>Išplėstinės teisėjų kolegijos 2025 m. balandžio 30 d. sprendimas administracinėje byloje</w:t>
      </w:r>
      <w:r w:rsidRPr="004203F3">
        <w:rPr>
          <w:rFonts w:asciiTheme="minorHAnsi" w:hAnsiTheme="minorHAnsi" w:cstheme="minorHAnsi"/>
          <w:i/>
          <w:iCs/>
          <w:sz w:val="22"/>
          <w:szCs w:val="22"/>
        </w:rPr>
        <w:t xml:space="preserve"> </w:t>
      </w:r>
      <w:r w:rsidRPr="004203F3">
        <w:rPr>
          <w:rFonts w:asciiTheme="minorHAnsi" w:hAnsiTheme="minorHAnsi" w:cstheme="minorHAnsi"/>
          <w:bCs/>
          <w:color w:val="000000"/>
          <w:sz w:val="22"/>
          <w:szCs w:val="22"/>
          <w:shd w:val="clear" w:color="auto" w:fill="FFFFFF"/>
        </w:rPr>
        <w:t>Nr. A-11-415/2025</w:t>
      </w:r>
    </w:p>
    <w:p w14:paraId="60CAB9DD" w14:textId="77777777" w:rsidR="004203F3" w:rsidRPr="004203F3" w:rsidRDefault="004203F3" w:rsidP="004203F3">
      <w:pPr>
        <w:jc w:val="both"/>
        <w:rPr>
          <w:rFonts w:asciiTheme="minorHAnsi" w:hAnsiTheme="minorHAnsi" w:cstheme="minorHAnsi"/>
          <w:bCs/>
          <w:color w:val="000000"/>
          <w:sz w:val="22"/>
          <w:szCs w:val="22"/>
          <w:shd w:val="clear" w:color="auto" w:fill="FFFFFF"/>
        </w:rPr>
      </w:pPr>
      <w:r w:rsidRPr="004203F3">
        <w:rPr>
          <w:rFonts w:asciiTheme="minorHAnsi" w:hAnsiTheme="minorHAnsi" w:cstheme="minorHAnsi"/>
          <w:bCs/>
          <w:color w:val="000000"/>
          <w:sz w:val="22"/>
          <w:szCs w:val="22"/>
          <w:shd w:val="clear" w:color="auto" w:fill="FFFFFF"/>
        </w:rPr>
        <w:t>Teisminio proceso Nr. 3-61-3-02655-2022-7</w:t>
      </w:r>
    </w:p>
    <w:p w14:paraId="5C494912" w14:textId="3A275493" w:rsidR="004203F3" w:rsidRPr="004203F3" w:rsidRDefault="004203F3" w:rsidP="004203F3">
      <w:pPr>
        <w:jc w:val="both"/>
        <w:rPr>
          <w:rFonts w:asciiTheme="minorHAnsi" w:hAnsiTheme="minorHAnsi" w:cstheme="minorHAnsi"/>
          <w:bCs/>
          <w:color w:val="000000"/>
          <w:sz w:val="22"/>
          <w:szCs w:val="22"/>
          <w:shd w:val="clear" w:color="auto" w:fill="FFFFFF"/>
        </w:rPr>
      </w:pPr>
      <w:hyperlink r:id="rId19" w:history="1">
        <w:r w:rsidRPr="004203F3">
          <w:rPr>
            <w:rStyle w:val="Hyperlink"/>
            <w:rFonts w:asciiTheme="minorHAnsi" w:hAnsiTheme="minorHAnsi" w:cstheme="minorHAnsi"/>
            <w:sz w:val="22"/>
            <w:szCs w:val="22"/>
            <w:shd w:val="clear" w:color="auto" w:fill="FFFFFF"/>
          </w:rPr>
          <w:t>Prieiga internete</w:t>
        </w:r>
      </w:hyperlink>
    </w:p>
    <w:p w14:paraId="45B4C65F" w14:textId="77777777" w:rsidR="00CF4726" w:rsidRPr="00CF4726" w:rsidRDefault="00CF4726" w:rsidP="00CF4726">
      <w:pPr>
        <w:jc w:val="both"/>
        <w:rPr>
          <w:rFonts w:asciiTheme="minorHAnsi" w:hAnsiTheme="minorHAnsi" w:cstheme="minorHAnsi"/>
          <w:sz w:val="22"/>
          <w:szCs w:val="22"/>
          <w:shd w:val="clear" w:color="auto" w:fill="FFFFFF"/>
        </w:rPr>
      </w:pPr>
    </w:p>
    <w:p w14:paraId="432AFDC2" w14:textId="77777777" w:rsidR="00CF4726" w:rsidRPr="00CF4726" w:rsidRDefault="00CF4726" w:rsidP="00CF4726">
      <w:pPr>
        <w:pStyle w:val="Apzvalgai1"/>
        <w:rPr>
          <w:rFonts w:asciiTheme="minorHAnsi" w:hAnsiTheme="minorHAnsi" w:cstheme="minorHAnsi"/>
        </w:rPr>
      </w:pPr>
      <w:bookmarkStart w:id="46" w:name="_Toc774949"/>
      <w:bookmarkStart w:id="47" w:name="_Toc199503157"/>
      <w:r w:rsidRPr="00CF4726">
        <w:rPr>
          <w:rFonts w:asciiTheme="minorHAnsi" w:hAnsiTheme="minorHAnsi" w:cstheme="minorHAnsi"/>
        </w:rPr>
        <w:t>41. Kiti ginčai viešojo administravimo srityje</w:t>
      </w:r>
      <w:bookmarkEnd w:id="46"/>
      <w:bookmarkEnd w:id="47"/>
    </w:p>
    <w:p w14:paraId="6355CDBF" w14:textId="77777777" w:rsidR="00CF4726" w:rsidRDefault="00CF4726" w:rsidP="00CF4726">
      <w:pPr>
        <w:jc w:val="both"/>
        <w:rPr>
          <w:rFonts w:asciiTheme="minorHAnsi" w:hAnsiTheme="minorHAnsi" w:cstheme="minorHAnsi"/>
          <w:bCs/>
          <w:color w:val="000000"/>
          <w:sz w:val="22"/>
          <w:szCs w:val="22"/>
          <w:shd w:val="clear" w:color="auto" w:fill="FFFFFF"/>
        </w:rPr>
      </w:pPr>
    </w:p>
    <w:p w14:paraId="70D7AF60" w14:textId="77777777" w:rsidR="001B3B0C" w:rsidRPr="001B3B0C" w:rsidRDefault="001B3B0C" w:rsidP="001B3B0C">
      <w:pPr>
        <w:jc w:val="both"/>
        <w:outlineLvl w:val="1"/>
        <w:rPr>
          <w:rFonts w:asciiTheme="minorHAnsi" w:eastAsia="Calibri" w:hAnsiTheme="minorHAnsi" w:cstheme="minorHAnsi"/>
          <w:i/>
          <w:sz w:val="22"/>
          <w:szCs w:val="22"/>
        </w:rPr>
      </w:pPr>
      <w:bookmarkStart w:id="48" w:name="_Toc199503158"/>
      <w:r w:rsidRPr="001B3B0C">
        <w:rPr>
          <w:rFonts w:asciiTheme="minorHAnsi" w:eastAsia="Calibri" w:hAnsiTheme="minorHAnsi" w:cstheme="minorHAnsi"/>
          <w:i/>
          <w:sz w:val="22"/>
          <w:szCs w:val="22"/>
        </w:rPr>
        <w:t>Dėl mobilių kuro (degalų) talpyklų priskyrimo potencialiai pavojingiems įrenginiams</w:t>
      </w:r>
      <w:bookmarkEnd w:id="48"/>
    </w:p>
    <w:p w14:paraId="1D6FE7EB" w14:textId="77777777" w:rsidR="001B3B0C" w:rsidRDefault="001B3B0C" w:rsidP="001B3B0C">
      <w:pPr>
        <w:ind w:firstLine="567"/>
        <w:jc w:val="both"/>
        <w:rPr>
          <w:rFonts w:asciiTheme="minorHAnsi" w:hAnsiTheme="minorHAnsi" w:cstheme="minorHAnsi"/>
          <w:sz w:val="22"/>
          <w:szCs w:val="22"/>
        </w:rPr>
      </w:pPr>
    </w:p>
    <w:p w14:paraId="56AF4D54" w14:textId="77777777" w:rsidR="006D7C64" w:rsidRDefault="001B3B0C" w:rsidP="001B3B0C">
      <w:pPr>
        <w:ind w:firstLine="567"/>
        <w:jc w:val="both"/>
        <w:rPr>
          <w:rFonts w:asciiTheme="minorHAnsi" w:hAnsiTheme="minorHAnsi" w:cstheme="minorHAnsi"/>
          <w:sz w:val="22"/>
          <w:szCs w:val="22"/>
        </w:rPr>
      </w:pPr>
      <w:r w:rsidRPr="009D7FC8">
        <w:rPr>
          <w:rFonts w:asciiTheme="minorHAnsi" w:hAnsiTheme="minorHAnsi" w:cstheme="minorHAnsi"/>
          <w:sz w:val="22"/>
          <w:szCs w:val="22"/>
        </w:rPr>
        <w:t xml:space="preserve">Apžvelgiamoje byloje </w:t>
      </w:r>
      <w:r>
        <w:rPr>
          <w:rFonts w:asciiTheme="minorHAnsi" w:hAnsiTheme="minorHAnsi" w:cstheme="minorHAnsi"/>
          <w:sz w:val="22"/>
          <w:szCs w:val="22"/>
        </w:rPr>
        <w:t xml:space="preserve">nagrinėtas </w:t>
      </w:r>
      <w:r w:rsidRPr="009D7FC8">
        <w:rPr>
          <w:rFonts w:asciiTheme="minorHAnsi" w:hAnsiTheme="minorHAnsi" w:cstheme="minorHAnsi"/>
          <w:sz w:val="22"/>
          <w:szCs w:val="22"/>
        </w:rPr>
        <w:t xml:space="preserve">ginčas kilo dėl </w:t>
      </w:r>
      <w:r w:rsidRPr="00C110AA">
        <w:rPr>
          <w:rFonts w:asciiTheme="minorHAnsi" w:hAnsiTheme="minorHAnsi" w:cstheme="minorHAnsi"/>
          <w:sz w:val="22"/>
          <w:szCs w:val="22"/>
        </w:rPr>
        <w:t xml:space="preserve">Valstybinės darbo inspekcijos reikalavimo </w:t>
      </w:r>
      <w:r>
        <w:rPr>
          <w:rFonts w:asciiTheme="minorHAnsi" w:hAnsiTheme="minorHAnsi" w:cstheme="minorHAnsi"/>
          <w:sz w:val="22"/>
          <w:szCs w:val="22"/>
        </w:rPr>
        <w:t xml:space="preserve">pareiškėjui </w:t>
      </w:r>
      <w:r w:rsidRPr="00C110AA">
        <w:rPr>
          <w:rFonts w:asciiTheme="minorHAnsi" w:hAnsiTheme="minorHAnsi" w:cstheme="minorHAnsi"/>
          <w:sz w:val="22"/>
          <w:szCs w:val="22"/>
        </w:rPr>
        <w:t>pašalinti pažeidimus potencialiai pavojingų įrenginių</w:t>
      </w:r>
      <w:r>
        <w:rPr>
          <w:rFonts w:asciiTheme="minorHAnsi" w:hAnsiTheme="minorHAnsi" w:cstheme="minorHAnsi"/>
          <w:sz w:val="22"/>
          <w:szCs w:val="22"/>
        </w:rPr>
        <w:t xml:space="preserve"> </w:t>
      </w:r>
      <w:r w:rsidRPr="00C110AA">
        <w:rPr>
          <w:rFonts w:asciiTheme="minorHAnsi" w:hAnsiTheme="minorHAnsi" w:cstheme="minorHAnsi"/>
          <w:sz w:val="22"/>
          <w:szCs w:val="22"/>
        </w:rPr>
        <w:t>priežiūros srityje</w:t>
      </w:r>
      <w:r>
        <w:rPr>
          <w:rFonts w:asciiTheme="minorHAnsi" w:hAnsiTheme="minorHAnsi" w:cstheme="minorHAnsi"/>
          <w:sz w:val="22"/>
          <w:szCs w:val="22"/>
        </w:rPr>
        <w:t xml:space="preserve">. Byloje nustatyta, kad pareiškėjas vykdo atliekų tvarkymo veiklą aptvertoje aikštelėje ir savo veikloje naudoja dyzelinius autokrautuvus. Šiems autokrautuvams reikalingam </w:t>
      </w:r>
      <w:r w:rsidRPr="00770A60">
        <w:rPr>
          <w:rFonts w:asciiTheme="minorHAnsi" w:hAnsiTheme="minorHAnsi" w:cstheme="minorHAnsi"/>
          <w:sz w:val="22"/>
          <w:szCs w:val="22"/>
        </w:rPr>
        <w:t>dyzeliniam kurui</w:t>
      </w:r>
      <w:r>
        <w:rPr>
          <w:rFonts w:asciiTheme="minorHAnsi" w:hAnsiTheme="minorHAnsi" w:cstheme="minorHAnsi"/>
          <w:sz w:val="22"/>
          <w:szCs w:val="22"/>
        </w:rPr>
        <w:t xml:space="preserve"> (degalams) laikyti ir išpilstyti pareiškėjas naudoja </w:t>
      </w:r>
      <w:r w:rsidRPr="00770A60">
        <w:rPr>
          <w:rFonts w:asciiTheme="minorHAnsi" w:hAnsiTheme="minorHAnsi" w:cstheme="minorHAnsi"/>
          <w:sz w:val="22"/>
          <w:szCs w:val="22"/>
        </w:rPr>
        <w:t>9</w:t>
      </w:r>
      <w:r w:rsidR="00B95457">
        <w:rPr>
          <w:rFonts w:asciiTheme="minorHAnsi" w:hAnsiTheme="minorHAnsi" w:cstheme="minorHAnsi"/>
          <w:sz w:val="22"/>
          <w:szCs w:val="22"/>
        </w:rPr>
        <w:t xml:space="preserve"> </w:t>
      </w:r>
      <w:r>
        <w:rPr>
          <w:rFonts w:asciiTheme="minorHAnsi" w:hAnsiTheme="minorHAnsi" w:cstheme="minorHAnsi"/>
          <w:sz w:val="22"/>
          <w:szCs w:val="22"/>
        </w:rPr>
        <w:t>k</w:t>
      </w:r>
      <w:r w:rsidR="002C4E14">
        <w:rPr>
          <w:rFonts w:asciiTheme="minorHAnsi" w:hAnsiTheme="minorHAnsi" w:cstheme="minorHAnsi"/>
          <w:sz w:val="22"/>
          <w:szCs w:val="22"/>
        </w:rPr>
        <w:t>u</w:t>
      </w:r>
      <w:r>
        <w:rPr>
          <w:rFonts w:asciiTheme="minorHAnsi" w:hAnsiTheme="minorHAnsi" w:cstheme="minorHAnsi"/>
          <w:sz w:val="22"/>
          <w:szCs w:val="22"/>
        </w:rPr>
        <w:t xml:space="preserve">b. </w:t>
      </w:r>
      <w:r w:rsidRPr="00770A60">
        <w:rPr>
          <w:rFonts w:asciiTheme="minorHAnsi" w:hAnsiTheme="minorHAnsi" w:cstheme="minorHAnsi"/>
          <w:sz w:val="22"/>
          <w:szCs w:val="22"/>
        </w:rPr>
        <w:t>m talpykl</w:t>
      </w:r>
      <w:r>
        <w:rPr>
          <w:rFonts w:asciiTheme="minorHAnsi" w:hAnsiTheme="minorHAnsi" w:cstheme="minorHAnsi"/>
          <w:sz w:val="22"/>
          <w:szCs w:val="22"/>
        </w:rPr>
        <w:t>ą.</w:t>
      </w:r>
    </w:p>
    <w:p w14:paraId="2C131974" w14:textId="77777777" w:rsidR="00E961DF"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 xml:space="preserve">Atlikus pareiškėjo </w:t>
      </w:r>
      <w:r w:rsidRPr="00F0201A">
        <w:rPr>
          <w:rFonts w:asciiTheme="minorHAnsi" w:hAnsiTheme="minorHAnsi" w:cstheme="minorHAnsi"/>
          <w:sz w:val="22"/>
          <w:szCs w:val="22"/>
        </w:rPr>
        <w:t>darbuotojų saugos ir sveikatos bei darbo santykius reglamentuojančių teisės aktų reikalavimų laikymosi patikrinimą</w:t>
      </w:r>
      <w:r>
        <w:rPr>
          <w:rFonts w:asciiTheme="minorHAnsi" w:hAnsiTheme="minorHAnsi" w:cstheme="minorHAnsi"/>
          <w:sz w:val="22"/>
          <w:szCs w:val="22"/>
        </w:rPr>
        <w:t xml:space="preserve">, buvo nustatyta, kad minėta talpykla </w:t>
      </w:r>
      <w:r w:rsidRPr="00051C41">
        <w:rPr>
          <w:rFonts w:asciiTheme="minorHAnsi" w:hAnsiTheme="minorHAnsi" w:cstheme="minorHAnsi"/>
          <w:sz w:val="22"/>
          <w:szCs w:val="22"/>
        </w:rPr>
        <w:t xml:space="preserve">patenka į </w:t>
      </w:r>
      <w:r w:rsidRPr="002E45E6">
        <w:rPr>
          <w:rFonts w:asciiTheme="minorHAnsi" w:hAnsiTheme="minorHAnsi" w:cstheme="minorHAnsi"/>
          <w:sz w:val="22"/>
          <w:szCs w:val="22"/>
        </w:rPr>
        <w:t>Vyriausybės 2020 m. sausio 29</w:t>
      </w:r>
      <w:r w:rsidR="002C4E14">
        <w:rPr>
          <w:rFonts w:asciiTheme="minorHAnsi" w:hAnsiTheme="minorHAnsi" w:cstheme="minorHAnsi"/>
          <w:sz w:val="22"/>
          <w:szCs w:val="22"/>
        </w:rPr>
        <w:t> </w:t>
      </w:r>
      <w:r w:rsidRPr="002E45E6">
        <w:rPr>
          <w:rFonts w:asciiTheme="minorHAnsi" w:hAnsiTheme="minorHAnsi" w:cstheme="minorHAnsi"/>
          <w:sz w:val="22"/>
          <w:szCs w:val="22"/>
        </w:rPr>
        <w:t xml:space="preserve">d. nutarimu Nr. 61 </w:t>
      </w:r>
      <w:r>
        <w:rPr>
          <w:rFonts w:asciiTheme="minorHAnsi" w:hAnsiTheme="minorHAnsi" w:cstheme="minorHAnsi"/>
          <w:sz w:val="22"/>
          <w:szCs w:val="22"/>
        </w:rPr>
        <w:t xml:space="preserve">patvirtintą </w:t>
      </w:r>
      <w:r w:rsidRPr="002E45E6">
        <w:rPr>
          <w:rFonts w:asciiTheme="minorHAnsi" w:hAnsiTheme="minorHAnsi" w:cstheme="minorHAnsi"/>
          <w:sz w:val="22"/>
          <w:szCs w:val="22"/>
        </w:rPr>
        <w:t>Potencialiai pavojingų įrenginių kategorijų parametrų sąrašą</w:t>
      </w:r>
      <w:r>
        <w:rPr>
          <w:rFonts w:asciiTheme="minorHAnsi" w:hAnsiTheme="minorHAnsi" w:cstheme="minorHAnsi"/>
          <w:sz w:val="22"/>
          <w:szCs w:val="22"/>
        </w:rPr>
        <w:t xml:space="preserve"> (toliau – </w:t>
      </w:r>
      <w:r w:rsidRPr="002E45E6">
        <w:rPr>
          <w:rFonts w:asciiTheme="minorHAnsi" w:hAnsiTheme="minorHAnsi" w:cstheme="minorHAnsi"/>
          <w:sz w:val="22"/>
          <w:szCs w:val="22"/>
        </w:rPr>
        <w:t>Sąraš</w:t>
      </w:r>
      <w:r>
        <w:rPr>
          <w:rFonts w:asciiTheme="minorHAnsi" w:hAnsiTheme="minorHAnsi" w:cstheme="minorHAnsi"/>
          <w:sz w:val="22"/>
          <w:szCs w:val="22"/>
        </w:rPr>
        <w:t>as)</w:t>
      </w:r>
      <w:r w:rsidRPr="00051C41">
        <w:rPr>
          <w:rFonts w:asciiTheme="minorHAnsi" w:hAnsiTheme="minorHAnsi" w:cstheme="minorHAnsi"/>
          <w:sz w:val="22"/>
          <w:szCs w:val="22"/>
        </w:rPr>
        <w:t xml:space="preserve"> ir yra potencialiai pavojingas įrenginys, </w:t>
      </w:r>
      <w:r>
        <w:rPr>
          <w:rFonts w:asciiTheme="minorHAnsi" w:hAnsiTheme="minorHAnsi" w:cstheme="minorHAnsi"/>
          <w:sz w:val="22"/>
          <w:szCs w:val="22"/>
        </w:rPr>
        <w:t xml:space="preserve">tačiau </w:t>
      </w:r>
      <w:r w:rsidRPr="00770A60">
        <w:rPr>
          <w:rFonts w:asciiTheme="minorHAnsi" w:hAnsiTheme="minorHAnsi" w:cstheme="minorHAnsi"/>
          <w:sz w:val="22"/>
          <w:szCs w:val="22"/>
        </w:rPr>
        <w:t xml:space="preserve">nėra užregistruota </w:t>
      </w:r>
      <w:r w:rsidRPr="007020CE">
        <w:rPr>
          <w:rFonts w:asciiTheme="minorHAnsi" w:hAnsiTheme="minorHAnsi" w:cstheme="minorHAnsi"/>
          <w:sz w:val="22"/>
          <w:szCs w:val="22"/>
        </w:rPr>
        <w:t xml:space="preserve">Potencialiai pavojingų įrenginių valstybės registre </w:t>
      </w:r>
      <w:r w:rsidRPr="00770A60">
        <w:rPr>
          <w:rFonts w:asciiTheme="minorHAnsi" w:hAnsiTheme="minorHAnsi" w:cstheme="minorHAnsi"/>
          <w:sz w:val="22"/>
          <w:szCs w:val="22"/>
        </w:rPr>
        <w:t>bei prižiūrima teisės aktų nustatyta tvarka</w:t>
      </w:r>
      <w:r>
        <w:rPr>
          <w:rFonts w:asciiTheme="minorHAnsi" w:hAnsiTheme="minorHAnsi" w:cstheme="minorHAnsi"/>
          <w:sz w:val="22"/>
          <w:szCs w:val="22"/>
        </w:rPr>
        <w:t>.</w:t>
      </w:r>
      <w:r w:rsidR="006D7C64">
        <w:rPr>
          <w:rFonts w:asciiTheme="minorHAnsi" w:hAnsiTheme="minorHAnsi" w:cstheme="minorHAnsi"/>
          <w:sz w:val="22"/>
          <w:szCs w:val="22"/>
        </w:rPr>
        <w:t xml:space="preserve"> </w:t>
      </w:r>
      <w:r>
        <w:rPr>
          <w:rFonts w:asciiTheme="minorHAnsi" w:hAnsiTheme="minorHAnsi" w:cstheme="minorHAnsi"/>
          <w:sz w:val="22"/>
          <w:szCs w:val="22"/>
        </w:rPr>
        <w:t xml:space="preserve">Pareiškėjas nesutiko su tokiu vertinimu ir skunde teismui nurodė, kad jo naudojama talpykla </w:t>
      </w:r>
      <w:r w:rsidRPr="00C5257C">
        <w:rPr>
          <w:rFonts w:asciiTheme="minorHAnsi" w:hAnsiTheme="minorHAnsi" w:cstheme="minorHAnsi"/>
          <w:sz w:val="22"/>
          <w:szCs w:val="22"/>
        </w:rPr>
        <w:t>negali būti laikoma potencialiai pavojingu įrenginiu</w:t>
      </w:r>
      <w:r>
        <w:rPr>
          <w:rFonts w:asciiTheme="minorHAnsi" w:hAnsiTheme="minorHAnsi" w:cstheme="minorHAnsi"/>
          <w:sz w:val="22"/>
          <w:szCs w:val="22"/>
        </w:rPr>
        <w:t xml:space="preserve">, kadangi yra </w:t>
      </w:r>
      <w:r w:rsidRPr="00C5257C">
        <w:rPr>
          <w:rFonts w:asciiTheme="minorHAnsi" w:hAnsiTheme="minorHAnsi" w:cstheme="minorHAnsi"/>
          <w:sz w:val="22"/>
          <w:szCs w:val="22"/>
        </w:rPr>
        <w:t>mobili</w:t>
      </w:r>
      <w:r>
        <w:rPr>
          <w:rFonts w:asciiTheme="minorHAnsi" w:hAnsiTheme="minorHAnsi" w:cstheme="minorHAnsi"/>
          <w:sz w:val="22"/>
          <w:szCs w:val="22"/>
        </w:rPr>
        <w:t xml:space="preserve">, todėl </w:t>
      </w:r>
      <w:r w:rsidRPr="00C5257C">
        <w:rPr>
          <w:rFonts w:asciiTheme="minorHAnsi" w:hAnsiTheme="minorHAnsi" w:cstheme="minorHAnsi"/>
          <w:sz w:val="22"/>
          <w:szCs w:val="22"/>
        </w:rPr>
        <w:t>laikytina ne degaline, bet kilnojamuoju skystųjų degalų išpilstymo įrenginiu</w:t>
      </w:r>
      <w:r>
        <w:rPr>
          <w:rFonts w:asciiTheme="minorHAnsi" w:hAnsiTheme="minorHAnsi" w:cstheme="minorHAnsi"/>
          <w:sz w:val="22"/>
          <w:szCs w:val="22"/>
        </w:rPr>
        <w:t>.</w:t>
      </w:r>
    </w:p>
    <w:p w14:paraId="2E5F18FC" w14:textId="125398A1"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teismas pareiškėjo skundą atmetė.</w:t>
      </w:r>
    </w:p>
    <w:p w14:paraId="114E4774" w14:textId="2DF84D1A"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LVAT teisėjų kolegija</w:t>
      </w:r>
      <w:r w:rsidR="00E961DF">
        <w:rPr>
          <w:rFonts w:asciiTheme="minorHAnsi" w:hAnsiTheme="minorHAnsi" w:cstheme="minorHAnsi"/>
          <w:sz w:val="22"/>
          <w:szCs w:val="22"/>
        </w:rPr>
        <w:t>, nagrinėdama bylą pagal pareiškėjo apeliacinį skundą,</w:t>
      </w:r>
      <w:r>
        <w:rPr>
          <w:rFonts w:asciiTheme="minorHAnsi" w:hAnsiTheme="minorHAnsi" w:cstheme="minorHAnsi"/>
          <w:sz w:val="22"/>
          <w:szCs w:val="22"/>
        </w:rPr>
        <w:t xml:space="preserve"> pažymėjo, kad </w:t>
      </w:r>
      <w:r w:rsidRPr="004E1695">
        <w:rPr>
          <w:rFonts w:asciiTheme="minorHAnsi" w:hAnsiTheme="minorHAnsi" w:cstheme="minorHAnsi"/>
          <w:sz w:val="22"/>
          <w:szCs w:val="22"/>
        </w:rPr>
        <w:t>Potencialiai pavojingų įrenginių priežiūros įstatymo 2 straipsnio 3</w:t>
      </w:r>
      <w:r>
        <w:rPr>
          <w:rFonts w:asciiTheme="minorHAnsi" w:hAnsiTheme="minorHAnsi" w:cstheme="minorHAnsi"/>
          <w:sz w:val="22"/>
          <w:szCs w:val="22"/>
        </w:rPr>
        <w:t> </w:t>
      </w:r>
      <w:r w:rsidRPr="004E1695">
        <w:rPr>
          <w:rFonts w:asciiTheme="minorHAnsi" w:hAnsiTheme="minorHAnsi" w:cstheme="minorHAnsi"/>
          <w:sz w:val="22"/>
          <w:szCs w:val="22"/>
        </w:rPr>
        <w:t xml:space="preserve">dalyje nustatyta, </w:t>
      </w:r>
      <w:r>
        <w:rPr>
          <w:rFonts w:asciiTheme="minorHAnsi" w:hAnsiTheme="minorHAnsi" w:cstheme="minorHAnsi"/>
          <w:sz w:val="22"/>
          <w:szCs w:val="22"/>
        </w:rPr>
        <w:t>jog</w:t>
      </w:r>
      <w:r w:rsidRPr="004E1695">
        <w:rPr>
          <w:rFonts w:asciiTheme="minorHAnsi" w:hAnsiTheme="minorHAnsi" w:cstheme="minorHAnsi"/>
          <w:sz w:val="22"/>
          <w:szCs w:val="22"/>
        </w:rPr>
        <w:t xml:space="preserve"> potencialiai pavojingi įrenginiai – </w:t>
      </w:r>
      <w:r w:rsidRPr="004E1695">
        <w:rPr>
          <w:rFonts w:asciiTheme="minorHAnsi" w:hAnsiTheme="minorHAnsi" w:cstheme="minorHAnsi"/>
          <w:sz w:val="22"/>
          <w:szCs w:val="22"/>
        </w:rPr>
        <w:lastRenderedPageBreak/>
        <w:t xml:space="preserve">įrenginiai, kurie atitinka šiame įstatyme nurodytas kategorijas ir Vyriausybės patvirtintus šių įrenginių kategorijų parametrus ir kuriuos naudojant dėl juose susikaupusios energijos ir vykstančių procesų kyla pavojus (galima grėsmė) žmonių gyvybei, sveikatai ar aplinkai. Šio įstatymo 12 straipsnio 1 dalyje nustatyta, kad potencialiai pavojingų įrenginių savininkai privalo užtikrinti potencialiai pavojingų įrenginių naudojimą, laikymą (saugojimą), priežiūrą pagal potencialiai pavojingų įrenginių priežiūros norminių teisės aktų ir gamintojo pateiktų potencialiai pavojingų įrenginių techninių dokumentų reikalavimus. </w:t>
      </w:r>
      <w:r>
        <w:rPr>
          <w:rFonts w:asciiTheme="minorHAnsi" w:hAnsiTheme="minorHAnsi" w:cstheme="minorHAnsi"/>
          <w:sz w:val="22"/>
          <w:szCs w:val="22"/>
        </w:rPr>
        <w:t>M</w:t>
      </w:r>
      <w:r w:rsidRPr="004E1695">
        <w:rPr>
          <w:rFonts w:asciiTheme="minorHAnsi" w:hAnsiTheme="minorHAnsi" w:cstheme="minorHAnsi"/>
          <w:sz w:val="22"/>
          <w:szCs w:val="22"/>
        </w:rPr>
        <w:t xml:space="preserve">inėto įstatymo 12 straipsnio 2 dalis, be kita ko, </w:t>
      </w:r>
      <w:r>
        <w:rPr>
          <w:rFonts w:asciiTheme="minorHAnsi" w:hAnsiTheme="minorHAnsi" w:cstheme="minorHAnsi"/>
          <w:sz w:val="22"/>
          <w:szCs w:val="22"/>
        </w:rPr>
        <w:t>įtvirtina</w:t>
      </w:r>
      <w:r w:rsidRPr="004E1695">
        <w:rPr>
          <w:rFonts w:asciiTheme="minorHAnsi" w:hAnsiTheme="minorHAnsi" w:cstheme="minorHAnsi"/>
          <w:sz w:val="22"/>
          <w:szCs w:val="22"/>
        </w:rPr>
        <w:t xml:space="preserve">, </w:t>
      </w:r>
      <w:r>
        <w:rPr>
          <w:rFonts w:asciiTheme="minorHAnsi" w:hAnsiTheme="minorHAnsi" w:cstheme="minorHAnsi"/>
          <w:sz w:val="22"/>
          <w:szCs w:val="22"/>
        </w:rPr>
        <w:t>jog</w:t>
      </w:r>
      <w:r w:rsidRPr="004E1695">
        <w:rPr>
          <w:rFonts w:asciiTheme="minorHAnsi" w:hAnsiTheme="minorHAnsi" w:cstheme="minorHAnsi"/>
          <w:sz w:val="22"/>
          <w:szCs w:val="22"/>
        </w:rPr>
        <w:t xml:space="preserve"> potencialiai pavojingas įrenginys gali būti pradėtas naudoti tik gavus akredituotosios įstaigos išvadą, kad </w:t>
      </w:r>
      <w:r>
        <w:rPr>
          <w:rFonts w:asciiTheme="minorHAnsi" w:hAnsiTheme="minorHAnsi" w:cstheme="minorHAnsi"/>
          <w:sz w:val="22"/>
          <w:szCs w:val="22"/>
        </w:rPr>
        <w:t>jis</w:t>
      </w:r>
      <w:r w:rsidRPr="004E1695">
        <w:rPr>
          <w:rFonts w:asciiTheme="minorHAnsi" w:hAnsiTheme="minorHAnsi" w:cstheme="minorHAnsi"/>
          <w:sz w:val="22"/>
          <w:szCs w:val="22"/>
        </w:rPr>
        <w:t xml:space="preserve"> yra tinkamas naudoti ir saugus žmonių gyvybei, sveikatai ar aplinkai, ir Potencialiai pavojingų įrenginių valstybės registro nuostatuose nustatyta tvarka užregistravus jį šiame </w:t>
      </w:r>
      <w:r>
        <w:rPr>
          <w:rFonts w:asciiTheme="minorHAnsi" w:hAnsiTheme="minorHAnsi" w:cstheme="minorHAnsi"/>
          <w:sz w:val="22"/>
          <w:szCs w:val="22"/>
        </w:rPr>
        <w:t>r</w:t>
      </w:r>
      <w:r w:rsidRPr="004E1695">
        <w:rPr>
          <w:rFonts w:asciiTheme="minorHAnsi" w:hAnsiTheme="minorHAnsi" w:cstheme="minorHAnsi"/>
          <w:sz w:val="22"/>
          <w:szCs w:val="22"/>
        </w:rPr>
        <w:t>egistre</w:t>
      </w:r>
      <w:r>
        <w:rPr>
          <w:rFonts w:asciiTheme="minorHAnsi" w:hAnsiTheme="minorHAnsi" w:cstheme="minorHAnsi"/>
          <w:sz w:val="22"/>
          <w:szCs w:val="22"/>
        </w:rPr>
        <w:t>.</w:t>
      </w:r>
    </w:p>
    <w:p w14:paraId="0317E0B2" w14:textId="6CB6B545"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 xml:space="preserve">Vadovaujantis Sąrašo </w:t>
      </w:r>
      <w:r w:rsidRPr="0026628E">
        <w:rPr>
          <w:rFonts w:asciiTheme="minorHAnsi" w:hAnsiTheme="minorHAnsi" w:cstheme="minorHAnsi"/>
          <w:sz w:val="22"/>
          <w:szCs w:val="22"/>
        </w:rPr>
        <w:t>2.4.1.2 punkt</w:t>
      </w:r>
      <w:r>
        <w:rPr>
          <w:rFonts w:asciiTheme="minorHAnsi" w:hAnsiTheme="minorHAnsi" w:cstheme="minorHAnsi"/>
          <w:sz w:val="22"/>
          <w:szCs w:val="22"/>
        </w:rPr>
        <w:t>u</w:t>
      </w:r>
      <w:r w:rsidRPr="0026628E">
        <w:rPr>
          <w:rFonts w:asciiTheme="minorHAnsi" w:hAnsiTheme="minorHAnsi" w:cstheme="minorHAnsi"/>
          <w:sz w:val="22"/>
          <w:szCs w:val="22"/>
        </w:rPr>
        <w:t xml:space="preserve">, degalinėse degalams saugoti naudojamos talpyklos yra priskiriamos potencialiai pavojingiems įrenginiams. </w:t>
      </w:r>
      <w:r>
        <w:rPr>
          <w:rFonts w:asciiTheme="minorHAnsi" w:hAnsiTheme="minorHAnsi" w:cstheme="minorHAnsi"/>
          <w:sz w:val="22"/>
          <w:szCs w:val="22"/>
        </w:rPr>
        <w:t xml:space="preserve">Šios nuostatos kontekste LVAT pažymėjo, kad </w:t>
      </w:r>
      <w:r w:rsidRPr="00C240A7">
        <w:rPr>
          <w:rFonts w:asciiTheme="minorHAnsi" w:hAnsiTheme="minorHAnsi" w:cstheme="minorHAnsi"/>
          <w:sz w:val="22"/>
          <w:szCs w:val="22"/>
          <w:u w:val="single"/>
        </w:rPr>
        <w:t>iš apibrėžimo „degalinėse degalams saugoti naudojamos talpyklos“ neseka, jog tuo atveju, jeigu talpykla yra kilnojama, ji bus nepriskiriama potencialiai pavojingiems įrenginiams</w:t>
      </w:r>
      <w:r w:rsidRPr="0026628E">
        <w:rPr>
          <w:rFonts w:asciiTheme="minorHAnsi" w:hAnsiTheme="minorHAnsi" w:cstheme="minorHAnsi"/>
          <w:sz w:val="22"/>
          <w:szCs w:val="22"/>
        </w:rPr>
        <w:t>.</w:t>
      </w:r>
      <w:r>
        <w:rPr>
          <w:rFonts w:asciiTheme="minorHAnsi" w:hAnsiTheme="minorHAnsi" w:cstheme="minorHAnsi"/>
          <w:sz w:val="22"/>
          <w:szCs w:val="22"/>
        </w:rPr>
        <w:t xml:space="preserve"> </w:t>
      </w:r>
      <w:r w:rsidRPr="0062316B">
        <w:rPr>
          <w:rFonts w:asciiTheme="minorHAnsi" w:hAnsiTheme="minorHAnsi" w:cstheme="minorHAnsi"/>
          <w:sz w:val="22"/>
          <w:szCs w:val="22"/>
        </w:rPr>
        <w:t>Degalinių įrengimo ir eksploatavimo taisyklių, patvirtintų energetikos ministro 2009 m. balandžio 16 d. įsakymu Nr. 1-37 (2020 m. balandžio 21</w:t>
      </w:r>
      <w:r w:rsidR="007452EF">
        <w:rPr>
          <w:rFonts w:asciiTheme="minorHAnsi" w:hAnsiTheme="minorHAnsi" w:cstheme="minorHAnsi"/>
          <w:sz w:val="22"/>
          <w:szCs w:val="22"/>
        </w:rPr>
        <w:t xml:space="preserve"> </w:t>
      </w:r>
      <w:r w:rsidRPr="0062316B">
        <w:rPr>
          <w:rFonts w:asciiTheme="minorHAnsi" w:hAnsiTheme="minorHAnsi" w:cstheme="minorHAnsi"/>
          <w:sz w:val="22"/>
          <w:szCs w:val="22"/>
        </w:rPr>
        <w:t>d. įsakymo Nr. 1-94 redakcija), 6.2</w:t>
      </w:r>
      <w:r w:rsidR="007452EF">
        <w:rPr>
          <w:rFonts w:asciiTheme="minorHAnsi" w:hAnsiTheme="minorHAnsi" w:cstheme="minorHAnsi"/>
          <w:sz w:val="22"/>
          <w:szCs w:val="22"/>
        </w:rPr>
        <w:t> </w:t>
      </w:r>
      <w:r w:rsidRPr="0062316B">
        <w:rPr>
          <w:rFonts w:asciiTheme="minorHAnsi" w:hAnsiTheme="minorHAnsi" w:cstheme="minorHAnsi"/>
          <w:sz w:val="22"/>
          <w:szCs w:val="22"/>
        </w:rPr>
        <w:t>punkte apibrėžta, kad „Degalinė – specialiai įrengta teritorija su statiniais ir (ar) stacionariaisiais arba mobiliaisiais įrenginiais skystiesiems degalams, suskystintoms naftos dujoms, suslėgtoms gamtinėms dujoms ir alternatyviesiems degalams (išskyrus suskystintas gamtines dujas) priimti, laikyti, perpilti į kelių transporto priemonių degalų bakus, kilnojamąsias talpyklas ir (ar) balionus“.</w:t>
      </w:r>
      <w:r>
        <w:rPr>
          <w:rFonts w:asciiTheme="minorHAnsi" w:hAnsiTheme="minorHAnsi" w:cstheme="minorHAnsi"/>
          <w:sz w:val="22"/>
          <w:szCs w:val="22"/>
        </w:rPr>
        <w:t xml:space="preserve"> Be to, </w:t>
      </w:r>
      <w:r w:rsidRPr="0062316B">
        <w:rPr>
          <w:rFonts w:asciiTheme="minorHAnsi" w:hAnsiTheme="minorHAnsi" w:cstheme="minorHAnsi"/>
          <w:sz w:val="22"/>
          <w:szCs w:val="22"/>
        </w:rPr>
        <w:t>Asmeninio naudojimo skystojo kuro degalinių bei asmeninio naudojimo skystojo kuro talpyklų įrengimo ir naudojimo aplinkos apsaugos reikalavimų LAND 80-2006, patvirtintų aplinkos ministro 2006 m. rugsėjo 29 d. įsakymu Nr. D1-434</w:t>
      </w:r>
      <w:r>
        <w:rPr>
          <w:rFonts w:asciiTheme="minorHAnsi" w:hAnsiTheme="minorHAnsi" w:cstheme="minorHAnsi"/>
          <w:sz w:val="22"/>
          <w:szCs w:val="22"/>
        </w:rPr>
        <w:t>,</w:t>
      </w:r>
      <w:r w:rsidRPr="0062316B">
        <w:rPr>
          <w:rFonts w:asciiTheme="minorHAnsi" w:hAnsiTheme="minorHAnsi" w:cstheme="minorHAnsi"/>
          <w:sz w:val="22"/>
          <w:szCs w:val="22"/>
        </w:rPr>
        <w:t xml:space="preserve"> 7.1 punkte yra nurodyta, kad degalinėms taip pat priskiriamos stacionariai įrengtos vietos, kuriose, neįrengiant kuro kolonėlių, vykdomas kuro priėmimas, saugojimas bei perpylimas į autotransporto priemonių, žemės ūkio technikos, kitų mobiliųjų mechanizmų kuro baku</w:t>
      </w:r>
      <w:r>
        <w:rPr>
          <w:rFonts w:asciiTheme="minorHAnsi" w:hAnsiTheme="minorHAnsi" w:cstheme="minorHAnsi"/>
          <w:sz w:val="22"/>
          <w:szCs w:val="22"/>
        </w:rPr>
        <w:t>s.</w:t>
      </w:r>
    </w:p>
    <w:p w14:paraId="4613BEF1" w14:textId="3C7BD97E"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w:t>
      </w:r>
      <w:r w:rsidR="001F322C">
        <w:rPr>
          <w:rFonts w:asciiTheme="minorHAnsi" w:hAnsiTheme="minorHAnsi" w:cstheme="minorHAnsi"/>
          <w:sz w:val="22"/>
          <w:szCs w:val="22"/>
        </w:rPr>
        <w:t>pažymėjo</w:t>
      </w:r>
      <w:r>
        <w:rPr>
          <w:rFonts w:asciiTheme="minorHAnsi" w:hAnsiTheme="minorHAnsi" w:cstheme="minorHAnsi"/>
          <w:sz w:val="22"/>
          <w:szCs w:val="22"/>
        </w:rPr>
        <w:t>, kad</w:t>
      </w:r>
      <w:r w:rsidRPr="00E86B87">
        <w:rPr>
          <w:rFonts w:asciiTheme="minorHAnsi" w:hAnsiTheme="minorHAnsi" w:cstheme="minorHAnsi"/>
          <w:sz w:val="22"/>
          <w:szCs w:val="22"/>
        </w:rPr>
        <w:t xml:space="preserve"> terminas „degalinė“ yra specialusis teisinis terminas, kuris apibrėžtas teisės aktuose</w:t>
      </w:r>
      <w:r>
        <w:rPr>
          <w:rFonts w:asciiTheme="minorHAnsi" w:hAnsiTheme="minorHAnsi" w:cstheme="minorHAnsi"/>
          <w:sz w:val="22"/>
          <w:szCs w:val="22"/>
        </w:rPr>
        <w:t>,</w:t>
      </w:r>
      <w:r w:rsidRPr="00E86B87">
        <w:rPr>
          <w:rFonts w:asciiTheme="minorHAnsi" w:hAnsiTheme="minorHAnsi" w:cstheme="minorHAnsi"/>
          <w:sz w:val="22"/>
          <w:szCs w:val="22"/>
        </w:rPr>
        <w:t xml:space="preserve"> </w:t>
      </w:r>
      <w:r>
        <w:rPr>
          <w:rFonts w:asciiTheme="minorHAnsi" w:hAnsiTheme="minorHAnsi" w:cstheme="minorHAnsi"/>
          <w:sz w:val="22"/>
          <w:szCs w:val="22"/>
        </w:rPr>
        <w:t>t</w:t>
      </w:r>
      <w:r w:rsidRPr="00E86B87">
        <w:rPr>
          <w:rFonts w:asciiTheme="minorHAnsi" w:hAnsiTheme="minorHAnsi" w:cstheme="minorHAnsi"/>
          <w:sz w:val="22"/>
          <w:szCs w:val="22"/>
        </w:rPr>
        <w:t xml:space="preserve">odėl jo turinys turi būti nustatomas pagal </w:t>
      </w:r>
      <w:r>
        <w:rPr>
          <w:rFonts w:asciiTheme="minorHAnsi" w:hAnsiTheme="minorHAnsi" w:cstheme="minorHAnsi"/>
          <w:sz w:val="22"/>
          <w:szCs w:val="22"/>
        </w:rPr>
        <w:t xml:space="preserve">šiuos </w:t>
      </w:r>
      <w:r w:rsidRPr="00E86B87">
        <w:rPr>
          <w:rFonts w:asciiTheme="minorHAnsi" w:hAnsiTheme="minorHAnsi" w:cstheme="minorHAnsi"/>
          <w:sz w:val="22"/>
          <w:szCs w:val="22"/>
        </w:rPr>
        <w:t xml:space="preserve">teisės aktus. </w:t>
      </w:r>
      <w:r w:rsidR="001F322C">
        <w:rPr>
          <w:rFonts w:asciiTheme="minorHAnsi" w:hAnsiTheme="minorHAnsi" w:cstheme="minorHAnsi"/>
          <w:sz w:val="22"/>
          <w:szCs w:val="22"/>
        </w:rPr>
        <w:t>Rem</w:t>
      </w:r>
      <w:r w:rsidR="00236BE3">
        <w:rPr>
          <w:rFonts w:asciiTheme="minorHAnsi" w:hAnsiTheme="minorHAnsi" w:cstheme="minorHAnsi"/>
          <w:sz w:val="22"/>
          <w:szCs w:val="22"/>
        </w:rPr>
        <w:t>iantis</w:t>
      </w:r>
      <w:r w:rsidR="001F322C">
        <w:rPr>
          <w:rFonts w:asciiTheme="minorHAnsi" w:hAnsiTheme="minorHAnsi" w:cstheme="minorHAnsi"/>
          <w:sz w:val="22"/>
          <w:szCs w:val="22"/>
        </w:rPr>
        <w:t xml:space="preserve"> minėtomis </w:t>
      </w:r>
      <w:r w:rsidRPr="00E86B87">
        <w:rPr>
          <w:rFonts w:asciiTheme="minorHAnsi" w:hAnsiTheme="minorHAnsi" w:cstheme="minorHAnsi"/>
          <w:sz w:val="22"/>
          <w:szCs w:val="22"/>
        </w:rPr>
        <w:t>teisės norm</w:t>
      </w:r>
      <w:r w:rsidR="001F322C">
        <w:rPr>
          <w:rFonts w:asciiTheme="minorHAnsi" w:hAnsiTheme="minorHAnsi" w:cstheme="minorHAnsi"/>
          <w:sz w:val="22"/>
          <w:szCs w:val="22"/>
        </w:rPr>
        <w:t xml:space="preserve">omis, </w:t>
      </w:r>
      <w:r w:rsidRPr="00AE450D">
        <w:rPr>
          <w:rFonts w:asciiTheme="minorHAnsi" w:hAnsiTheme="minorHAnsi" w:cstheme="minorHAnsi"/>
          <w:sz w:val="22"/>
          <w:szCs w:val="22"/>
          <w:u w:val="single"/>
        </w:rPr>
        <w:t>„degalinė“ – tai tam tikra specialiai įrengta teritorija / vieta, kurioje atliekama degalų priėmimo bei paskirstymo veikla, ir kvalifikuojant tam tikrą teritoriją / vietą degaline nėra svarbu, ar degalų paskirstymas vykdomas iš stacionarių, ar iš mobilių įrenginių / talpyklų</w:t>
      </w:r>
      <w:r>
        <w:rPr>
          <w:rFonts w:asciiTheme="minorHAnsi" w:hAnsiTheme="minorHAnsi" w:cstheme="minorHAnsi"/>
          <w:sz w:val="22"/>
          <w:szCs w:val="22"/>
        </w:rPr>
        <w:t>. N</w:t>
      </w:r>
      <w:r w:rsidRPr="00577D82">
        <w:rPr>
          <w:rFonts w:asciiTheme="minorHAnsi" w:hAnsiTheme="minorHAnsi" w:cstheme="minorHAnsi"/>
          <w:sz w:val="22"/>
          <w:szCs w:val="22"/>
        </w:rPr>
        <w:t xml:space="preserve">epaisant to, jog </w:t>
      </w:r>
      <w:r>
        <w:rPr>
          <w:rFonts w:asciiTheme="minorHAnsi" w:hAnsiTheme="minorHAnsi" w:cstheme="minorHAnsi"/>
          <w:sz w:val="22"/>
          <w:szCs w:val="22"/>
        </w:rPr>
        <w:t>pareiškėjas tvirtino</w:t>
      </w:r>
      <w:r w:rsidRPr="00577D82">
        <w:rPr>
          <w:rFonts w:asciiTheme="minorHAnsi" w:hAnsiTheme="minorHAnsi" w:cstheme="minorHAnsi"/>
          <w:sz w:val="22"/>
          <w:szCs w:val="22"/>
        </w:rPr>
        <w:t>, kad</w:t>
      </w:r>
      <w:r>
        <w:rPr>
          <w:rFonts w:asciiTheme="minorHAnsi" w:hAnsiTheme="minorHAnsi" w:cstheme="minorHAnsi"/>
          <w:sz w:val="22"/>
          <w:szCs w:val="22"/>
        </w:rPr>
        <w:t xml:space="preserve"> ginčo</w:t>
      </w:r>
      <w:r w:rsidRPr="00577D82">
        <w:rPr>
          <w:rFonts w:asciiTheme="minorHAnsi" w:hAnsiTheme="minorHAnsi" w:cstheme="minorHAnsi"/>
          <w:sz w:val="22"/>
          <w:szCs w:val="22"/>
        </w:rPr>
        <w:t xml:space="preserve"> talpą galima perkelti į kitą vietą,</w:t>
      </w:r>
      <w:r>
        <w:rPr>
          <w:rFonts w:asciiTheme="minorHAnsi" w:hAnsiTheme="minorHAnsi" w:cstheme="minorHAnsi"/>
          <w:sz w:val="22"/>
          <w:szCs w:val="22"/>
        </w:rPr>
        <w:t xml:space="preserve"> įvertinusi šios</w:t>
      </w:r>
      <w:r w:rsidRPr="00577D82">
        <w:rPr>
          <w:rFonts w:asciiTheme="minorHAnsi" w:hAnsiTheme="minorHAnsi" w:cstheme="minorHAnsi"/>
          <w:sz w:val="22"/>
          <w:szCs w:val="22"/>
        </w:rPr>
        <w:t xml:space="preserve"> talpyklos naudojimo instrukcij</w:t>
      </w:r>
      <w:r>
        <w:rPr>
          <w:rFonts w:asciiTheme="minorHAnsi" w:hAnsiTheme="minorHAnsi" w:cstheme="minorHAnsi"/>
          <w:sz w:val="22"/>
          <w:szCs w:val="22"/>
        </w:rPr>
        <w:t>oje pateiktą informaciją</w:t>
      </w:r>
      <w:r w:rsidRPr="00577D82">
        <w:rPr>
          <w:rFonts w:asciiTheme="minorHAnsi" w:hAnsiTheme="minorHAnsi" w:cstheme="minorHAnsi"/>
          <w:sz w:val="22"/>
          <w:szCs w:val="22"/>
        </w:rPr>
        <w:t xml:space="preserve">, </w:t>
      </w:r>
      <w:r>
        <w:rPr>
          <w:rFonts w:asciiTheme="minorHAnsi" w:hAnsiTheme="minorHAnsi" w:cstheme="minorHAnsi"/>
          <w:sz w:val="22"/>
          <w:szCs w:val="22"/>
        </w:rPr>
        <w:t xml:space="preserve">LVAT teisėjų kolegija sprendė, kad ją </w:t>
      </w:r>
      <w:r w:rsidRPr="00577D82">
        <w:rPr>
          <w:rFonts w:asciiTheme="minorHAnsi" w:hAnsiTheme="minorHAnsi" w:cstheme="minorHAnsi"/>
          <w:sz w:val="22"/>
          <w:szCs w:val="22"/>
        </w:rPr>
        <w:t>eksploatuoti galima tik stacionariai įrengus</w:t>
      </w:r>
      <w:r>
        <w:rPr>
          <w:rFonts w:asciiTheme="minorHAnsi" w:hAnsiTheme="minorHAnsi" w:cstheme="minorHAnsi"/>
          <w:sz w:val="22"/>
          <w:szCs w:val="22"/>
        </w:rPr>
        <w:t>. Kadangi i</w:t>
      </w:r>
      <w:r w:rsidRPr="00577D82">
        <w:rPr>
          <w:rFonts w:asciiTheme="minorHAnsi" w:hAnsiTheme="minorHAnsi" w:cstheme="minorHAnsi"/>
          <w:sz w:val="22"/>
          <w:szCs w:val="22"/>
        </w:rPr>
        <w:t>š nuotraukų</w:t>
      </w:r>
      <w:r>
        <w:rPr>
          <w:rFonts w:asciiTheme="minorHAnsi" w:hAnsiTheme="minorHAnsi" w:cstheme="minorHAnsi"/>
          <w:sz w:val="22"/>
          <w:szCs w:val="22"/>
        </w:rPr>
        <w:t>, pridėtų</w:t>
      </w:r>
      <w:r w:rsidRPr="00577D82">
        <w:rPr>
          <w:rFonts w:asciiTheme="minorHAnsi" w:hAnsiTheme="minorHAnsi" w:cstheme="minorHAnsi"/>
          <w:sz w:val="22"/>
          <w:szCs w:val="22"/>
        </w:rPr>
        <w:t xml:space="preserve"> prie patikrinimo medžiagos</w:t>
      </w:r>
      <w:r>
        <w:rPr>
          <w:rFonts w:asciiTheme="minorHAnsi" w:hAnsiTheme="minorHAnsi" w:cstheme="minorHAnsi"/>
          <w:sz w:val="22"/>
          <w:szCs w:val="22"/>
        </w:rPr>
        <w:t>,</w:t>
      </w:r>
      <w:r w:rsidRPr="00577D82">
        <w:rPr>
          <w:rFonts w:asciiTheme="minorHAnsi" w:hAnsiTheme="minorHAnsi" w:cstheme="minorHAnsi"/>
          <w:sz w:val="22"/>
          <w:szCs w:val="22"/>
        </w:rPr>
        <w:t xml:space="preserve"> </w:t>
      </w:r>
      <w:r>
        <w:rPr>
          <w:rFonts w:asciiTheme="minorHAnsi" w:hAnsiTheme="minorHAnsi" w:cstheme="minorHAnsi"/>
          <w:sz w:val="22"/>
          <w:szCs w:val="22"/>
        </w:rPr>
        <w:t xml:space="preserve">buvo </w:t>
      </w:r>
      <w:r w:rsidRPr="00577D82">
        <w:rPr>
          <w:rFonts w:asciiTheme="minorHAnsi" w:hAnsiTheme="minorHAnsi" w:cstheme="minorHAnsi"/>
          <w:sz w:val="22"/>
          <w:szCs w:val="22"/>
        </w:rPr>
        <w:t xml:space="preserve">matyti, </w:t>
      </w:r>
      <w:r>
        <w:rPr>
          <w:rFonts w:asciiTheme="minorHAnsi" w:hAnsiTheme="minorHAnsi" w:cstheme="minorHAnsi"/>
          <w:sz w:val="22"/>
          <w:szCs w:val="22"/>
        </w:rPr>
        <w:t>jog</w:t>
      </w:r>
      <w:r w:rsidRPr="00577D82">
        <w:rPr>
          <w:rFonts w:asciiTheme="minorHAnsi" w:hAnsiTheme="minorHAnsi" w:cstheme="minorHAnsi"/>
          <w:sz w:val="22"/>
          <w:szCs w:val="22"/>
        </w:rPr>
        <w:t xml:space="preserve"> būtent taip ir buvo pasielgta su ginčo talpa – ji buvo įrengta stacionariai ant specialiai įrengto pagrindo, prijungta prie elektros tinklo, </w:t>
      </w:r>
      <w:r>
        <w:rPr>
          <w:rFonts w:asciiTheme="minorHAnsi" w:hAnsiTheme="minorHAnsi" w:cstheme="minorHAnsi"/>
          <w:sz w:val="22"/>
          <w:szCs w:val="22"/>
        </w:rPr>
        <w:t xml:space="preserve">teisėjų kolegija priėjo prie išvados, kad </w:t>
      </w:r>
      <w:r w:rsidRPr="00577D82">
        <w:rPr>
          <w:rFonts w:asciiTheme="minorHAnsi" w:hAnsiTheme="minorHAnsi" w:cstheme="minorHAnsi"/>
          <w:sz w:val="22"/>
          <w:szCs w:val="22"/>
        </w:rPr>
        <w:t xml:space="preserve">ginčo talpa buvo eksploatuojama degalinėje, kaip ją apibrėžia </w:t>
      </w:r>
      <w:r>
        <w:rPr>
          <w:rFonts w:asciiTheme="minorHAnsi" w:hAnsiTheme="minorHAnsi" w:cstheme="minorHAnsi"/>
          <w:sz w:val="22"/>
          <w:szCs w:val="22"/>
        </w:rPr>
        <w:t>ginčui aktualūs</w:t>
      </w:r>
      <w:r w:rsidRPr="00577D82">
        <w:rPr>
          <w:rFonts w:asciiTheme="minorHAnsi" w:hAnsiTheme="minorHAnsi" w:cstheme="minorHAnsi"/>
          <w:sz w:val="22"/>
          <w:szCs w:val="22"/>
        </w:rPr>
        <w:t xml:space="preserve"> teisės aktai</w:t>
      </w:r>
      <w:r>
        <w:rPr>
          <w:rFonts w:asciiTheme="minorHAnsi" w:hAnsiTheme="minorHAnsi" w:cstheme="minorHAnsi"/>
          <w:sz w:val="22"/>
          <w:szCs w:val="22"/>
        </w:rPr>
        <w:t xml:space="preserve">. Teisėjų kolegija taip pat atkreipė dėmesį, kad pagal </w:t>
      </w:r>
      <w:r w:rsidRPr="004709BD">
        <w:rPr>
          <w:rFonts w:asciiTheme="minorHAnsi" w:hAnsiTheme="minorHAnsi" w:cstheme="minorHAnsi"/>
          <w:sz w:val="22"/>
          <w:szCs w:val="22"/>
        </w:rPr>
        <w:t>Sąrašo 2.4.2 punkt</w:t>
      </w:r>
      <w:r>
        <w:rPr>
          <w:rFonts w:asciiTheme="minorHAnsi" w:hAnsiTheme="minorHAnsi" w:cstheme="minorHAnsi"/>
          <w:sz w:val="22"/>
          <w:szCs w:val="22"/>
        </w:rPr>
        <w:t>ą</w:t>
      </w:r>
      <w:r w:rsidRPr="004709BD">
        <w:rPr>
          <w:rFonts w:asciiTheme="minorHAnsi" w:hAnsiTheme="minorHAnsi" w:cstheme="minorHAnsi"/>
          <w:sz w:val="22"/>
          <w:szCs w:val="22"/>
        </w:rPr>
        <w:t xml:space="preserve"> potencialiai pavojingiems įrenginiams priskiriamos ir mobiliosios 1 </w:t>
      </w:r>
      <w:r>
        <w:rPr>
          <w:rFonts w:asciiTheme="minorHAnsi" w:hAnsiTheme="minorHAnsi" w:cstheme="minorHAnsi"/>
          <w:sz w:val="22"/>
          <w:szCs w:val="22"/>
        </w:rPr>
        <w:t>k</w:t>
      </w:r>
      <w:r w:rsidR="0010163F">
        <w:rPr>
          <w:rFonts w:asciiTheme="minorHAnsi" w:hAnsiTheme="minorHAnsi" w:cstheme="minorHAnsi"/>
          <w:sz w:val="22"/>
          <w:szCs w:val="22"/>
        </w:rPr>
        <w:t>u</w:t>
      </w:r>
      <w:r>
        <w:rPr>
          <w:rFonts w:asciiTheme="minorHAnsi" w:hAnsiTheme="minorHAnsi" w:cstheme="minorHAnsi"/>
          <w:sz w:val="22"/>
          <w:szCs w:val="22"/>
        </w:rPr>
        <w:t>b.</w:t>
      </w:r>
      <w:r w:rsidR="0010163F">
        <w:rPr>
          <w:rFonts w:asciiTheme="minorHAnsi" w:hAnsiTheme="minorHAnsi" w:cstheme="minorHAnsi"/>
          <w:sz w:val="22"/>
          <w:szCs w:val="22"/>
        </w:rPr>
        <w:t> </w:t>
      </w:r>
      <w:r w:rsidRPr="004709BD">
        <w:rPr>
          <w:rFonts w:asciiTheme="minorHAnsi" w:hAnsiTheme="minorHAnsi" w:cstheme="minorHAnsi"/>
          <w:sz w:val="22"/>
          <w:szCs w:val="22"/>
        </w:rPr>
        <w:t xml:space="preserve">m </w:t>
      </w:r>
      <w:r>
        <w:rPr>
          <w:rFonts w:asciiTheme="minorHAnsi" w:hAnsiTheme="minorHAnsi" w:cstheme="minorHAnsi"/>
          <w:sz w:val="22"/>
          <w:szCs w:val="22"/>
        </w:rPr>
        <w:t>be</w:t>
      </w:r>
      <w:r w:rsidRPr="004709BD">
        <w:rPr>
          <w:rFonts w:asciiTheme="minorHAnsi" w:hAnsiTheme="minorHAnsi" w:cstheme="minorHAnsi"/>
          <w:sz w:val="22"/>
          <w:szCs w:val="22"/>
        </w:rPr>
        <w:t xml:space="preserve">i didesnio tūrio beslėgės pavojingų medžiagų ir mišinių talpyklos. Taigi, </w:t>
      </w:r>
      <w:r w:rsidRPr="00CA2846">
        <w:rPr>
          <w:rFonts w:asciiTheme="minorHAnsi" w:hAnsiTheme="minorHAnsi" w:cstheme="minorHAnsi"/>
          <w:sz w:val="22"/>
          <w:szCs w:val="22"/>
          <w:u w:val="single"/>
        </w:rPr>
        <w:t>kvalifikavus ginčo talpyklą „mobilia“, ir ši aplinkybė iš esmės nieko nekeistų – įrenginys būtų priskirtinas potencialiai pavojingų įrenginių kategorijai, remiantis Sąrašo 2.4.2 punkte įvardytais parametrais</w:t>
      </w:r>
      <w:r w:rsidRPr="004709BD">
        <w:rPr>
          <w:rFonts w:asciiTheme="minorHAnsi" w:hAnsiTheme="minorHAnsi" w:cstheme="minorHAnsi"/>
          <w:sz w:val="22"/>
          <w:szCs w:val="22"/>
        </w:rPr>
        <w:t>.</w:t>
      </w:r>
    </w:p>
    <w:p w14:paraId="7E90F8D1" w14:textId="77777777"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 xml:space="preserve">Atsižvelgiant į tai, pareiškėjo </w:t>
      </w:r>
      <w:r w:rsidRPr="000577DD">
        <w:rPr>
          <w:rFonts w:asciiTheme="minorHAnsi" w:hAnsiTheme="minorHAnsi" w:cstheme="minorHAnsi"/>
          <w:sz w:val="22"/>
          <w:szCs w:val="22"/>
        </w:rPr>
        <w:t>paaiškinim</w:t>
      </w:r>
      <w:r>
        <w:rPr>
          <w:rFonts w:asciiTheme="minorHAnsi" w:hAnsiTheme="minorHAnsi" w:cstheme="minorHAnsi"/>
          <w:sz w:val="22"/>
          <w:szCs w:val="22"/>
        </w:rPr>
        <w:t>ai</w:t>
      </w:r>
      <w:r w:rsidRPr="000577DD">
        <w:rPr>
          <w:rFonts w:asciiTheme="minorHAnsi" w:hAnsiTheme="minorHAnsi" w:cstheme="minorHAnsi"/>
          <w:sz w:val="22"/>
          <w:szCs w:val="22"/>
        </w:rPr>
        <w:t xml:space="preserve">, kad </w:t>
      </w:r>
      <w:r>
        <w:rPr>
          <w:rFonts w:asciiTheme="minorHAnsi" w:hAnsiTheme="minorHAnsi" w:cstheme="minorHAnsi"/>
          <w:sz w:val="22"/>
          <w:szCs w:val="22"/>
        </w:rPr>
        <w:t>ginčo</w:t>
      </w:r>
      <w:r w:rsidRPr="000577DD">
        <w:rPr>
          <w:rFonts w:asciiTheme="minorHAnsi" w:hAnsiTheme="minorHAnsi" w:cstheme="minorHAnsi"/>
          <w:sz w:val="22"/>
          <w:szCs w:val="22"/>
        </w:rPr>
        <w:t xml:space="preserve"> talpykla negali būti laikoma potencialiai pavojingu įrenginiu</w:t>
      </w:r>
      <w:r>
        <w:rPr>
          <w:rFonts w:asciiTheme="minorHAnsi" w:hAnsiTheme="minorHAnsi" w:cstheme="minorHAnsi"/>
          <w:sz w:val="22"/>
          <w:szCs w:val="22"/>
        </w:rPr>
        <w:t>, atmesti kaip nepagrįsti, todėl pirmosios instancijos teismo sprendimas paliktas nepakeistas, o pareiškėjo apeliacinis skundas atmestas.</w:t>
      </w:r>
    </w:p>
    <w:p w14:paraId="1AA675E5" w14:textId="77777777" w:rsidR="001B3B0C" w:rsidRDefault="001B3B0C" w:rsidP="001B3B0C">
      <w:pPr>
        <w:ind w:firstLine="567"/>
        <w:jc w:val="both"/>
        <w:rPr>
          <w:rFonts w:asciiTheme="minorHAnsi" w:hAnsiTheme="minorHAnsi" w:cstheme="minorHAnsi"/>
          <w:sz w:val="22"/>
          <w:szCs w:val="22"/>
        </w:rPr>
      </w:pPr>
    </w:p>
    <w:p w14:paraId="7F05915A" w14:textId="77777777" w:rsidR="001B3B0C" w:rsidRPr="009D7FC8" w:rsidRDefault="001B3B0C" w:rsidP="001B3B0C">
      <w:pPr>
        <w:jc w:val="both"/>
        <w:rPr>
          <w:rFonts w:asciiTheme="minorHAnsi" w:hAnsiTheme="minorHAnsi" w:cstheme="minorHAnsi"/>
          <w:sz w:val="22"/>
          <w:szCs w:val="22"/>
        </w:rPr>
      </w:pPr>
      <w:r w:rsidRPr="009D7FC8">
        <w:rPr>
          <w:rFonts w:asciiTheme="minorHAnsi" w:hAnsiTheme="minorHAnsi" w:cstheme="minorHAnsi"/>
          <w:bCs/>
          <w:sz w:val="22"/>
          <w:szCs w:val="22"/>
        </w:rPr>
        <w:t xml:space="preserve">2025 m. </w:t>
      </w:r>
      <w:r w:rsidRPr="003133AC">
        <w:rPr>
          <w:rFonts w:asciiTheme="minorHAnsi" w:hAnsiTheme="minorHAnsi" w:cstheme="minorHAnsi"/>
          <w:bCs/>
          <w:sz w:val="22"/>
          <w:szCs w:val="22"/>
        </w:rPr>
        <w:t xml:space="preserve">balandžio 30 </w:t>
      </w:r>
      <w:r w:rsidRPr="009D7FC8">
        <w:rPr>
          <w:rFonts w:asciiTheme="minorHAnsi" w:hAnsiTheme="minorHAnsi" w:cstheme="minorHAnsi"/>
          <w:sz w:val="22"/>
          <w:szCs w:val="22"/>
        </w:rPr>
        <w:t xml:space="preserve">d. nutartis administracinėje byloje Nr. </w:t>
      </w:r>
      <w:r w:rsidRPr="003133AC">
        <w:rPr>
          <w:rFonts w:asciiTheme="minorHAnsi" w:hAnsiTheme="minorHAnsi" w:cstheme="minorHAnsi"/>
          <w:bCs/>
          <w:sz w:val="22"/>
          <w:szCs w:val="22"/>
        </w:rPr>
        <w:t>eA-165-575/2025</w:t>
      </w:r>
    </w:p>
    <w:p w14:paraId="13A62E9F" w14:textId="77777777" w:rsidR="001B3B0C" w:rsidRPr="009D7FC8" w:rsidRDefault="001B3B0C" w:rsidP="001B3B0C">
      <w:pPr>
        <w:jc w:val="both"/>
        <w:rPr>
          <w:rFonts w:asciiTheme="minorHAnsi" w:hAnsiTheme="minorHAnsi" w:cstheme="minorHAnsi"/>
          <w:bCs/>
          <w:sz w:val="22"/>
          <w:szCs w:val="22"/>
        </w:rPr>
      </w:pPr>
      <w:r w:rsidRPr="009D7FC8">
        <w:rPr>
          <w:rFonts w:asciiTheme="minorHAnsi" w:hAnsiTheme="minorHAnsi" w:cstheme="minorHAnsi"/>
          <w:sz w:val="22"/>
          <w:szCs w:val="22"/>
        </w:rPr>
        <w:t xml:space="preserve">Teisminio proceso Nr. </w:t>
      </w:r>
      <w:r w:rsidRPr="003133AC">
        <w:rPr>
          <w:rFonts w:asciiTheme="minorHAnsi" w:hAnsiTheme="minorHAnsi" w:cstheme="minorHAnsi"/>
          <w:bCs/>
          <w:sz w:val="22"/>
          <w:szCs w:val="22"/>
        </w:rPr>
        <w:t>3-61-3-02679-2022-3</w:t>
      </w:r>
    </w:p>
    <w:p w14:paraId="6957463A" w14:textId="77777777" w:rsidR="001B3B0C" w:rsidRPr="009D7FC8" w:rsidRDefault="001B3B0C" w:rsidP="001B3B0C">
      <w:pPr>
        <w:jc w:val="both"/>
        <w:rPr>
          <w:rFonts w:asciiTheme="minorHAnsi" w:hAnsiTheme="minorHAnsi" w:cstheme="minorHAnsi"/>
          <w:sz w:val="22"/>
          <w:szCs w:val="22"/>
          <w:u w:val="single"/>
        </w:rPr>
      </w:pPr>
      <w:hyperlink r:id="rId20" w:history="1">
        <w:r w:rsidRPr="009D7FC8">
          <w:rPr>
            <w:rStyle w:val="Hyperlink"/>
            <w:rFonts w:asciiTheme="minorHAnsi" w:hAnsiTheme="minorHAnsi" w:cstheme="minorHAnsi"/>
            <w:sz w:val="22"/>
            <w:szCs w:val="22"/>
          </w:rPr>
          <w:t>Prieiga internete</w:t>
        </w:r>
      </w:hyperlink>
    </w:p>
    <w:p w14:paraId="542E0F50" w14:textId="77777777" w:rsidR="001B3B0C" w:rsidRDefault="001B3B0C" w:rsidP="001B3B0C">
      <w:pPr>
        <w:ind w:firstLine="567"/>
        <w:jc w:val="both"/>
        <w:rPr>
          <w:rFonts w:asciiTheme="minorHAnsi" w:hAnsiTheme="minorHAnsi" w:cstheme="minorHAnsi"/>
          <w:sz w:val="22"/>
          <w:szCs w:val="22"/>
        </w:rPr>
      </w:pPr>
    </w:p>
    <w:p w14:paraId="060E4DA7" w14:textId="77777777" w:rsidR="001B3B0C" w:rsidRPr="001B3B0C" w:rsidRDefault="001B3B0C" w:rsidP="001B3B0C">
      <w:pPr>
        <w:jc w:val="both"/>
        <w:outlineLvl w:val="1"/>
        <w:rPr>
          <w:rFonts w:asciiTheme="minorHAnsi" w:eastAsia="Calibri" w:hAnsiTheme="minorHAnsi" w:cstheme="minorHAnsi"/>
          <w:i/>
          <w:sz w:val="22"/>
          <w:szCs w:val="22"/>
        </w:rPr>
      </w:pPr>
      <w:bookmarkStart w:id="49" w:name="_Toc199503159"/>
      <w:r w:rsidRPr="001B3B0C">
        <w:rPr>
          <w:rFonts w:asciiTheme="minorHAnsi" w:eastAsia="Calibri" w:hAnsiTheme="minorHAnsi" w:cstheme="minorHAnsi"/>
          <w:i/>
          <w:sz w:val="22"/>
          <w:szCs w:val="22"/>
        </w:rPr>
        <w:t>Dėl Alternatyviųjų degalų įstatyme nustatyto administracinės atsakomybės taikymo senaties termino skaičiavimo pradžios</w:t>
      </w:r>
      <w:bookmarkEnd w:id="49"/>
    </w:p>
    <w:p w14:paraId="6DC5AE1F" w14:textId="77777777" w:rsidR="001B3B0C" w:rsidRDefault="001B3B0C" w:rsidP="001B3B0C">
      <w:pPr>
        <w:ind w:firstLine="567"/>
        <w:jc w:val="both"/>
        <w:rPr>
          <w:rFonts w:asciiTheme="minorHAnsi" w:hAnsiTheme="minorHAnsi" w:cstheme="minorHAnsi"/>
          <w:sz w:val="22"/>
          <w:szCs w:val="22"/>
        </w:rPr>
      </w:pPr>
    </w:p>
    <w:p w14:paraId="53B5CCC7" w14:textId="77777777" w:rsidR="001B3B0C" w:rsidRDefault="001B3B0C" w:rsidP="001B3B0C">
      <w:pPr>
        <w:ind w:firstLine="567"/>
        <w:jc w:val="both"/>
        <w:rPr>
          <w:rFonts w:asciiTheme="minorHAnsi" w:hAnsiTheme="minorHAnsi" w:cstheme="minorHAnsi"/>
          <w:sz w:val="22"/>
          <w:szCs w:val="22"/>
        </w:rPr>
      </w:pPr>
      <w:r w:rsidRPr="00AC20C4">
        <w:rPr>
          <w:rFonts w:asciiTheme="minorHAnsi" w:hAnsiTheme="minorHAnsi" w:cstheme="minorHAnsi"/>
          <w:sz w:val="22"/>
          <w:szCs w:val="22"/>
        </w:rPr>
        <w:t>Nagrinė</w:t>
      </w:r>
      <w:r>
        <w:rPr>
          <w:rFonts w:asciiTheme="minorHAnsi" w:hAnsiTheme="minorHAnsi" w:cstheme="minorHAnsi"/>
          <w:sz w:val="22"/>
          <w:szCs w:val="22"/>
        </w:rPr>
        <w:t>t</w:t>
      </w:r>
      <w:r w:rsidRPr="00AC20C4">
        <w:rPr>
          <w:rFonts w:asciiTheme="minorHAnsi" w:hAnsiTheme="minorHAnsi" w:cstheme="minorHAnsi"/>
          <w:sz w:val="22"/>
          <w:szCs w:val="22"/>
        </w:rPr>
        <w:t xml:space="preserve">oje byloje ginčas kilo dėl </w:t>
      </w:r>
      <w:r w:rsidRPr="005B12DC">
        <w:rPr>
          <w:rFonts w:asciiTheme="minorHAnsi" w:hAnsiTheme="minorHAnsi" w:cstheme="minorHAnsi"/>
          <w:sz w:val="22"/>
          <w:szCs w:val="22"/>
        </w:rPr>
        <w:t>Valstybinės vartotojų teisių apsaugos tarnybos</w:t>
      </w:r>
      <w:r>
        <w:rPr>
          <w:rFonts w:asciiTheme="minorHAnsi" w:hAnsiTheme="minorHAnsi" w:cstheme="minorHAnsi"/>
          <w:sz w:val="22"/>
          <w:szCs w:val="22"/>
        </w:rPr>
        <w:t xml:space="preserve"> (toliau – </w:t>
      </w:r>
      <w:r w:rsidRPr="00AC20C4">
        <w:rPr>
          <w:rFonts w:asciiTheme="minorHAnsi" w:hAnsiTheme="minorHAnsi" w:cstheme="minorHAnsi"/>
          <w:sz w:val="22"/>
          <w:szCs w:val="22"/>
        </w:rPr>
        <w:t>Tarnyb</w:t>
      </w:r>
      <w:r>
        <w:rPr>
          <w:rFonts w:asciiTheme="minorHAnsi" w:hAnsiTheme="minorHAnsi" w:cstheme="minorHAnsi"/>
          <w:sz w:val="22"/>
          <w:szCs w:val="22"/>
        </w:rPr>
        <w:t>a, atsakovas)</w:t>
      </w:r>
      <w:r w:rsidRPr="00AC20C4">
        <w:rPr>
          <w:rFonts w:asciiTheme="minorHAnsi" w:hAnsiTheme="minorHAnsi" w:cstheme="minorHAnsi"/>
          <w:sz w:val="22"/>
          <w:szCs w:val="22"/>
        </w:rPr>
        <w:t xml:space="preserve"> </w:t>
      </w:r>
      <w:r>
        <w:rPr>
          <w:rFonts w:asciiTheme="minorHAnsi" w:hAnsiTheme="minorHAnsi" w:cstheme="minorHAnsi"/>
          <w:sz w:val="22"/>
          <w:szCs w:val="22"/>
        </w:rPr>
        <w:t>n</w:t>
      </w:r>
      <w:r w:rsidRPr="00AC20C4">
        <w:rPr>
          <w:rFonts w:asciiTheme="minorHAnsi" w:hAnsiTheme="minorHAnsi" w:cstheme="minorHAnsi"/>
          <w:sz w:val="22"/>
          <w:szCs w:val="22"/>
        </w:rPr>
        <w:t xml:space="preserve">utarimo, kuriuo </w:t>
      </w:r>
      <w:r w:rsidRPr="000868C8">
        <w:rPr>
          <w:rFonts w:asciiTheme="minorHAnsi" w:hAnsiTheme="minorHAnsi" w:cstheme="minorHAnsi"/>
          <w:sz w:val="22"/>
          <w:szCs w:val="22"/>
        </w:rPr>
        <w:t xml:space="preserve">UAB </w:t>
      </w:r>
      <w:r>
        <w:rPr>
          <w:rFonts w:asciiTheme="minorHAnsi" w:hAnsiTheme="minorHAnsi" w:cstheme="minorHAnsi"/>
          <w:sz w:val="22"/>
          <w:szCs w:val="22"/>
        </w:rPr>
        <w:t>„</w:t>
      </w:r>
      <w:r w:rsidRPr="000868C8">
        <w:rPr>
          <w:rFonts w:asciiTheme="minorHAnsi" w:hAnsiTheme="minorHAnsi" w:cstheme="minorHAnsi"/>
          <w:sz w:val="22"/>
          <w:szCs w:val="22"/>
        </w:rPr>
        <w:t>Jozita“</w:t>
      </w:r>
      <w:r>
        <w:rPr>
          <w:rFonts w:asciiTheme="minorHAnsi" w:hAnsiTheme="minorHAnsi" w:cstheme="minorHAnsi"/>
          <w:sz w:val="22"/>
          <w:szCs w:val="22"/>
        </w:rPr>
        <w:t xml:space="preserve"> (toliau – </w:t>
      </w:r>
      <w:r w:rsidRPr="00AC20C4">
        <w:rPr>
          <w:rFonts w:asciiTheme="minorHAnsi" w:hAnsiTheme="minorHAnsi" w:cstheme="minorHAnsi"/>
          <w:sz w:val="22"/>
          <w:szCs w:val="22"/>
        </w:rPr>
        <w:t>Bendrov</w:t>
      </w:r>
      <w:r>
        <w:rPr>
          <w:rFonts w:asciiTheme="minorHAnsi" w:hAnsiTheme="minorHAnsi" w:cstheme="minorHAnsi"/>
          <w:sz w:val="22"/>
          <w:szCs w:val="22"/>
        </w:rPr>
        <w:t>ė, pareiškėjas)</w:t>
      </w:r>
      <w:r w:rsidRPr="00AC20C4">
        <w:rPr>
          <w:rFonts w:asciiTheme="minorHAnsi" w:hAnsiTheme="minorHAnsi" w:cstheme="minorHAnsi"/>
          <w:sz w:val="22"/>
          <w:szCs w:val="22"/>
        </w:rPr>
        <w:t xml:space="preserve"> paskirta bauda už </w:t>
      </w:r>
      <w:r>
        <w:rPr>
          <w:rFonts w:asciiTheme="minorHAnsi" w:hAnsiTheme="minorHAnsi" w:cstheme="minorHAnsi"/>
          <w:sz w:val="22"/>
          <w:szCs w:val="22"/>
        </w:rPr>
        <w:t>A</w:t>
      </w:r>
      <w:r w:rsidRPr="00AC20C4">
        <w:rPr>
          <w:rFonts w:asciiTheme="minorHAnsi" w:hAnsiTheme="minorHAnsi" w:cstheme="minorHAnsi"/>
          <w:sz w:val="22"/>
          <w:szCs w:val="22"/>
        </w:rPr>
        <w:t>lternatyviųjų degalų įstatymo pažeidimą, teisėtumo ir pagrįstumo</w:t>
      </w:r>
      <w:r>
        <w:rPr>
          <w:rFonts w:asciiTheme="minorHAnsi" w:hAnsiTheme="minorHAnsi" w:cstheme="minorHAnsi"/>
          <w:sz w:val="22"/>
          <w:szCs w:val="22"/>
        </w:rPr>
        <w:t>.</w:t>
      </w:r>
    </w:p>
    <w:p w14:paraId="007DCF54" w14:textId="03EAE251"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nustatyta, kad </w:t>
      </w:r>
      <w:r w:rsidRPr="0048010F">
        <w:rPr>
          <w:rFonts w:asciiTheme="minorHAnsi" w:hAnsiTheme="minorHAnsi" w:cstheme="minorHAnsi"/>
          <w:sz w:val="22"/>
          <w:szCs w:val="22"/>
        </w:rPr>
        <w:t>Tarnyba, gavusi laboratorinių tyrimų išvadas (protokolus), surašė 2022</w:t>
      </w:r>
      <w:r>
        <w:rPr>
          <w:rFonts w:asciiTheme="minorHAnsi" w:hAnsiTheme="minorHAnsi" w:cstheme="minorHAnsi"/>
          <w:sz w:val="22"/>
          <w:szCs w:val="22"/>
        </w:rPr>
        <w:t xml:space="preserve"> </w:t>
      </w:r>
      <w:r w:rsidRPr="0048010F">
        <w:rPr>
          <w:rFonts w:asciiTheme="minorHAnsi" w:hAnsiTheme="minorHAnsi" w:cstheme="minorHAnsi"/>
          <w:sz w:val="22"/>
          <w:szCs w:val="22"/>
        </w:rPr>
        <w:t>m. liepos 22</w:t>
      </w:r>
      <w:r w:rsidR="00E40449">
        <w:rPr>
          <w:rFonts w:asciiTheme="minorHAnsi" w:hAnsiTheme="minorHAnsi" w:cstheme="minorHAnsi"/>
          <w:sz w:val="22"/>
          <w:szCs w:val="22"/>
        </w:rPr>
        <w:t> </w:t>
      </w:r>
      <w:r w:rsidRPr="0048010F">
        <w:rPr>
          <w:rFonts w:asciiTheme="minorHAnsi" w:hAnsiTheme="minorHAnsi" w:cstheme="minorHAnsi"/>
          <w:sz w:val="22"/>
          <w:szCs w:val="22"/>
        </w:rPr>
        <w:t>d., 2022 m. rugsėjo 7 d.</w:t>
      </w:r>
      <w:r>
        <w:rPr>
          <w:rFonts w:asciiTheme="minorHAnsi" w:hAnsiTheme="minorHAnsi" w:cstheme="minorHAnsi"/>
          <w:sz w:val="22"/>
          <w:szCs w:val="22"/>
        </w:rPr>
        <w:t xml:space="preserve"> ir</w:t>
      </w:r>
      <w:r w:rsidRPr="0048010F">
        <w:rPr>
          <w:rFonts w:asciiTheme="minorHAnsi" w:hAnsiTheme="minorHAnsi" w:cstheme="minorHAnsi"/>
          <w:sz w:val="22"/>
          <w:szCs w:val="22"/>
        </w:rPr>
        <w:t xml:space="preserve"> 2022 m. rugsėjo 12 d. patikrinimo aktus</w:t>
      </w:r>
      <w:r>
        <w:rPr>
          <w:rFonts w:asciiTheme="minorHAnsi" w:hAnsiTheme="minorHAnsi" w:cstheme="minorHAnsi"/>
          <w:sz w:val="22"/>
          <w:szCs w:val="22"/>
        </w:rPr>
        <w:t>, kuriuose</w:t>
      </w:r>
      <w:r w:rsidRPr="0048010F">
        <w:rPr>
          <w:rFonts w:asciiTheme="minorHAnsi" w:hAnsiTheme="minorHAnsi" w:cstheme="minorHAnsi"/>
          <w:sz w:val="22"/>
          <w:szCs w:val="22"/>
        </w:rPr>
        <w:t xml:space="preserve">, be kita ko, konstatuota, jog </w:t>
      </w:r>
      <w:r w:rsidRPr="00AC20C4">
        <w:rPr>
          <w:rFonts w:asciiTheme="minorHAnsi" w:hAnsiTheme="minorHAnsi" w:cstheme="minorHAnsi"/>
          <w:sz w:val="22"/>
          <w:szCs w:val="22"/>
        </w:rPr>
        <w:t>Bendrov</w:t>
      </w:r>
      <w:r>
        <w:rPr>
          <w:rFonts w:asciiTheme="minorHAnsi" w:hAnsiTheme="minorHAnsi" w:cstheme="minorHAnsi"/>
          <w:sz w:val="22"/>
          <w:szCs w:val="22"/>
        </w:rPr>
        <w:t>ės</w:t>
      </w:r>
      <w:r w:rsidRPr="0048010F">
        <w:rPr>
          <w:rFonts w:asciiTheme="minorHAnsi" w:hAnsiTheme="minorHAnsi" w:cstheme="minorHAnsi"/>
          <w:sz w:val="22"/>
          <w:szCs w:val="22"/>
        </w:rPr>
        <w:t xml:space="preserve"> rinkoje realizuojamas dyzelinas neatitinka</w:t>
      </w:r>
      <w:r>
        <w:rPr>
          <w:rFonts w:asciiTheme="minorHAnsi" w:hAnsiTheme="minorHAnsi" w:cstheme="minorHAnsi"/>
          <w:sz w:val="22"/>
          <w:szCs w:val="22"/>
        </w:rPr>
        <w:t xml:space="preserve"> </w:t>
      </w:r>
      <w:r w:rsidRPr="00CA1941">
        <w:rPr>
          <w:rFonts w:asciiTheme="minorHAnsi" w:hAnsiTheme="minorHAnsi" w:cstheme="minorHAnsi"/>
          <w:sz w:val="22"/>
          <w:szCs w:val="22"/>
        </w:rPr>
        <w:t xml:space="preserve">Alternatyviųjų degalų įstatymo 16 straipsnio 6 dalyje </w:t>
      </w:r>
      <w:r w:rsidRPr="00CA1941">
        <w:rPr>
          <w:rFonts w:asciiTheme="minorHAnsi" w:hAnsiTheme="minorHAnsi" w:cstheme="minorHAnsi"/>
          <w:sz w:val="22"/>
          <w:szCs w:val="22"/>
        </w:rPr>
        <w:lastRenderedPageBreak/>
        <w:t>įtvirtinto reikalavimo, kad Lietuvos Respublikos teritorijose esančiose degalinėse turi būti prekiaujama dyzelinu, kurio kiekviename litre yra ne mažiau kaip 6,2 proc</w:t>
      </w:r>
      <w:r>
        <w:rPr>
          <w:rFonts w:asciiTheme="minorHAnsi" w:hAnsiTheme="minorHAnsi" w:cstheme="minorHAnsi"/>
          <w:sz w:val="22"/>
          <w:szCs w:val="22"/>
        </w:rPr>
        <w:t>.</w:t>
      </w:r>
      <w:r w:rsidRPr="00CA1941">
        <w:rPr>
          <w:rFonts w:asciiTheme="minorHAnsi" w:hAnsiTheme="minorHAnsi" w:cstheme="minorHAnsi"/>
          <w:sz w:val="22"/>
          <w:szCs w:val="22"/>
        </w:rPr>
        <w:t xml:space="preserve"> biodegalų, skaičiuojant pagal bendrą degalų ir biodegalų mišinio energinę vertę</w:t>
      </w:r>
      <w:r>
        <w:rPr>
          <w:rFonts w:asciiTheme="minorHAnsi" w:hAnsiTheme="minorHAnsi" w:cstheme="minorHAnsi"/>
          <w:sz w:val="22"/>
          <w:szCs w:val="22"/>
        </w:rPr>
        <w:t xml:space="preserve">. </w:t>
      </w:r>
      <w:r w:rsidRPr="00C70453">
        <w:rPr>
          <w:rFonts w:asciiTheme="minorHAnsi" w:hAnsiTheme="minorHAnsi" w:cstheme="minorHAnsi"/>
          <w:sz w:val="22"/>
          <w:szCs w:val="22"/>
        </w:rPr>
        <w:t>Tarnyba 2022 m. rugsėjo 28 d. surašė Alternatyviųjų degalų įstatymo pažeidimo protokolą, kuriame rėmėsi anksčiau surašytais patikrinimo aktais</w:t>
      </w:r>
      <w:r>
        <w:rPr>
          <w:rFonts w:asciiTheme="minorHAnsi" w:hAnsiTheme="minorHAnsi" w:cstheme="minorHAnsi"/>
          <w:sz w:val="22"/>
          <w:szCs w:val="22"/>
        </w:rPr>
        <w:t xml:space="preserve">, ir </w:t>
      </w:r>
      <w:r w:rsidRPr="00C50311">
        <w:rPr>
          <w:rFonts w:asciiTheme="minorHAnsi" w:hAnsiTheme="minorHAnsi" w:cstheme="minorHAnsi"/>
          <w:sz w:val="22"/>
          <w:szCs w:val="22"/>
        </w:rPr>
        <w:t xml:space="preserve">2023 m. kovo 16 d. </w:t>
      </w:r>
      <w:r>
        <w:rPr>
          <w:rFonts w:asciiTheme="minorHAnsi" w:hAnsiTheme="minorHAnsi" w:cstheme="minorHAnsi"/>
          <w:sz w:val="22"/>
          <w:szCs w:val="22"/>
        </w:rPr>
        <w:t>priėmė n</w:t>
      </w:r>
      <w:r w:rsidRPr="00C50311">
        <w:rPr>
          <w:rFonts w:asciiTheme="minorHAnsi" w:hAnsiTheme="minorHAnsi" w:cstheme="minorHAnsi"/>
          <w:sz w:val="22"/>
          <w:szCs w:val="22"/>
        </w:rPr>
        <w:t>utarim</w:t>
      </w:r>
      <w:r>
        <w:rPr>
          <w:rFonts w:asciiTheme="minorHAnsi" w:hAnsiTheme="minorHAnsi" w:cstheme="minorHAnsi"/>
          <w:sz w:val="22"/>
          <w:szCs w:val="22"/>
        </w:rPr>
        <w:t>ą, kuriuo Bendrovei paskirta</w:t>
      </w:r>
      <w:r w:rsidRPr="00A46E9F">
        <w:rPr>
          <w:rFonts w:asciiTheme="minorHAnsi" w:hAnsiTheme="minorHAnsi" w:cstheme="minorHAnsi"/>
          <w:sz w:val="22"/>
          <w:szCs w:val="22"/>
        </w:rPr>
        <w:t xml:space="preserve"> </w:t>
      </w:r>
      <w:r>
        <w:rPr>
          <w:rFonts w:asciiTheme="minorHAnsi" w:hAnsiTheme="minorHAnsi" w:cstheme="minorHAnsi"/>
          <w:sz w:val="22"/>
          <w:szCs w:val="22"/>
        </w:rPr>
        <w:t>bauda</w:t>
      </w:r>
      <w:r w:rsidRPr="00A46E9F">
        <w:rPr>
          <w:rFonts w:asciiTheme="minorHAnsi" w:hAnsiTheme="minorHAnsi" w:cstheme="minorHAnsi"/>
          <w:sz w:val="22"/>
          <w:szCs w:val="22"/>
        </w:rPr>
        <w:t xml:space="preserve"> </w:t>
      </w:r>
      <w:r>
        <w:rPr>
          <w:rFonts w:asciiTheme="minorHAnsi" w:hAnsiTheme="minorHAnsi" w:cstheme="minorHAnsi"/>
          <w:sz w:val="22"/>
          <w:szCs w:val="22"/>
        </w:rPr>
        <w:t xml:space="preserve">dėl šių </w:t>
      </w:r>
      <w:r w:rsidRPr="00CA1941">
        <w:rPr>
          <w:rFonts w:asciiTheme="minorHAnsi" w:hAnsiTheme="minorHAnsi" w:cstheme="minorHAnsi"/>
          <w:sz w:val="22"/>
          <w:szCs w:val="22"/>
        </w:rPr>
        <w:t>naftos produkt</w:t>
      </w:r>
      <w:r>
        <w:rPr>
          <w:rFonts w:asciiTheme="minorHAnsi" w:hAnsiTheme="minorHAnsi" w:cstheme="minorHAnsi"/>
          <w:sz w:val="22"/>
          <w:szCs w:val="22"/>
        </w:rPr>
        <w:t>ų</w:t>
      </w:r>
      <w:r w:rsidRPr="00CA1941">
        <w:rPr>
          <w:rFonts w:asciiTheme="minorHAnsi" w:hAnsiTheme="minorHAnsi" w:cstheme="minorHAnsi"/>
          <w:sz w:val="22"/>
          <w:szCs w:val="22"/>
        </w:rPr>
        <w:t xml:space="preserve"> – dyzelino RRME/HVO</w:t>
      </w:r>
      <w:r>
        <w:rPr>
          <w:rFonts w:asciiTheme="minorHAnsi" w:hAnsiTheme="minorHAnsi" w:cstheme="minorHAnsi"/>
          <w:sz w:val="22"/>
          <w:szCs w:val="22"/>
        </w:rPr>
        <w:t xml:space="preserve"> </w:t>
      </w:r>
      <w:r w:rsidRPr="00CA1941">
        <w:rPr>
          <w:rFonts w:asciiTheme="minorHAnsi" w:hAnsiTheme="minorHAnsi" w:cstheme="minorHAnsi"/>
          <w:sz w:val="22"/>
          <w:szCs w:val="22"/>
        </w:rPr>
        <w:t>ir</w:t>
      </w:r>
      <w:r>
        <w:rPr>
          <w:rFonts w:asciiTheme="minorHAnsi" w:hAnsiTheme="minorHAnsi" w:cstheme="minorHAnsi"/>
          <w:sz w:val="22"/>
          <w:szCs w:val="22"/>
        </w:rPr>
        <w:t xml:space="preserve"> </w:t>
      </w:r>
      <w:r w:rsidRPr="00CA1941">
        <w:rPr>
          <w:rFonts w:asciiTheme="minorHAnsi" w:hAnsiTheme="minorHAnsi" w:cstheme="minorHAnsi"/>
          <w:sz w:val="22"/>
          <w:szCs w:val="22"/>
        </w:rPr>
        <w:t>žymėto</w:t>
      </w:r>
      <w:r>
        <w:rPr>
          <w:rFonts w:asciiTheme="minorHAnsi" w:hAnsiTheme="minorHAnsi" w:cstheme="minorHAnsi"/>
          <w:sz w:val="22"/>
          <w:szCs w:val="22"/>
        </w:rPr>
        <w:t xml:space="preserve"> </w:t>
      </w:r>
      <w:r w:rsidRPr="00CA1941">
        <w:rPr>
          <w:rFonts w:asciiTheme="minorHAnsi" w:hAnsiTheme="minorHAnsi" w:cstheme="minorHAnsi"/>
          <w:sz w:val="22"/>
          <w:szCs w:val="22"/>
        </w:rPr>
        <w:t>dyzelino</w:t>
      </w:r>
      <w:r>
        <w:rPr>
          <w:rFonts w:asciiTheme="minorHAnsi" w:hAnsiTheme="minorHAnsi" w:cstheme="minorHAnsi"/>
          <w:sz w:val="22"/>
          <w:szCs w:val="22"/>
        </w:rPr>
        <w:t xml:space="preserve"> – </w:t>
      </w:r>
      <w:r w:rsidRPr="00CA1941">
        <w:rPr>
          <w:rFonts w:asciiTheme="minorHAnsi" w:hAnsiTheme="minorHAnsi" w:cstheme="minorHAnsi"/>
          <w:sz w:val="22"/>
          <w:szCs w:val="22"/>
        </w:rPr>
        <w:t>patekimo į rinką</w:t>
      </w:r>
      <w:r>
        <w:rPr>
          <w:rFonts w:asciiTheme="minorHAnsi" w:hAnsiTheme="minorHAnsi" w:cstheme="minorHAnsi"/>
          <w:sz w:val="22"/>
          <w:szCs w:val="22"/>
        </w:rPr>
        <w:t>.</w:t>
      </w:r>
    </w:p>
    <w:p w14:paraId="7587859B" w14:textId="77777777"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 xml:space="preserve">Pareiškėjas skunde teismui, be kita ko, tvirtino, kad Tarnybos nutarimas buvo priimtas praleidus </w:t>
      </w:r>
      <w:r w:rsidRPr="00B116E8">
        <w:rPr>
          <w:rFonts w:asciiTheme="minorHAnsi" w:hAnsiTheme="minorHAnsi" w:cstheme="minorHAnsi"/>
          <w:sz w:val="22"/>
          <w:szCs w:val="22"/>
        </w:rPr>
        <w:t>Alternatyviųjų degalų įstatymo 33</w:t>
      </w:r>
      <w:r>
        <w:rPr>
          <w:rFonts w:asciiTheme="minorHAnsi" w:hAnsiTheme="minorHAnsi" w:cstheme="minorHAnsi"/>
          <w:sz w:val="22"/>
          <w:szCs w:val="22"/>
        </w:rPr>
        <w:t xml:space="preserve"> </w:t>
      </w:r>
      <w:r w:rsidRPr="00B116E8">
        <w:rPr>
          <w:rFonts w:asciiTheme="minorHAnsi" w:hAnsiTheme="minorHAnsi" w:cstheme="minorHAnsi"/>
          <w:sz w:val="22"/>
          <w:szCs w:val="22"/>
        </w:rPr>
        <w:t>straipsnio 7 dalyje įtvirtintą 6</w:t>
      </w:r>
      <w:r>
        <w:rPr>
          <w:rFonts w:asciiTheme="minorHAnsi" w:hAnsiTheme="minorHAnsi" w:cstheme="minorHAnsi"/>
          <w:sz w:val="22"/>
          <w:szCs w:val="22"/>
        </w:rPr>
        <w:t xml:space="preserve"> </w:t>
      </w:r>
      <w:r w:rsidRPr="00B116E8">
        <w:rPr>
          <w:rFonts w:asciiTheme="minorHAnsi" w:hAnsiTheme="minorHAnsi" w:cstheme="minorHAnsi"/>
          <w:sz w:val="22"/>
          <w:szCs w:val="22"/>
        </w:rPr>
        <w:t>mėnesių senaties terminą</w:t>
      </w:r>
      <w:r>
        <w:rPr>
          <w:rFonts w:asciiTheme="minorHAnsi" w:hAnsiTheme="minorHAnsi" w:cstheme="minorHAnsi"/>
          <w:sz w:val="22"/>
          <w:szCs w:val="22"/>
        </w:rPr>
        <w:t xml:space="preserve">, skaičiuojamą </w:t>
      </w:r>
      <w:r w:rsidRPr="00181CB9">
        <w:rPr>
          <w:rFonts w:asciiTheme="minorHAnsi" w:hAnsiTheme="minorHAnsi" w:cstheme="minorHAnsi"/>
          <w:sz w:val="22"/>
          <w:szCs w:val="22"/>
        </w:rPr>
        <w:t>nuo pažeidimo nustatymo dienos</w:t>
      </w:r>
      <w:r>
        <w:rPr>
          <w:rFonts w:asciiTheme="minorHAnsi" w:hAnsiTheme="minorHAnsi" w:cstheme="minorHAnsi"/>
          <w:sz w:val="22"/>
          <w:szCs w:val="22"/>
        </w:rPr>
        <w:t>,</w:t>
      </w:r>
      <w:r w:rsidRPr="00B116E8">
        <w:rPr>
          <w:rFonts w:asciiTheme="minorHAnsi" w:hAnsiTheme="minorHAnsi" w:cstheme="minorHAnsi"/>
          <w:sz w:val="22"/>
          <w:szCs w:val="22"/>
        </w:rPr>
        <w:t xml:space="preserve"> administracinei atsakomybei taikyti</w:t>
      </w:r>
      <w:r>
        <w:rPr>
          <w:rFonts w:asciiTheme="minorHAnsi" w:hAnsiTheme="minorHAnsi" w:cstheme="minorHAnsi"/>
          <w:sz w:val="22"/>
          <w:szCs w:val="22"/>
        </w:rPr>
        <w:t>, tačiau pirmosios instancijos teismas pareiškėjo skundą atmetė.</w:t>
      </w:r>
    </w:p>
    <w:p w14:paraId="6B1D7F12" w14:textId="77777777"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LVAT teisėjų kolegija v</w:t>
      </w:r>
      <w:r w:rsidRPr="00582516">
        <w:rPr>
          <w:rFonts w:asciiTheme="minorHAnsi" w:hAnsiTheme="minorHAnsi" w:cstheme="minorHAnsi"/>
          <w:sz w:val="22"/>
          <w:szCs w:val="22"/>
        </w:rPr>
        <w:t>isų pirma pažym</w:t>
      </w:r>
      <w:r>
        <w:rPr>
          <w:rFonts w:asciiTheme="minorHAnsi" w:hAnsiTheme="minorHAnsi" w:cstheme="minorHAnsi"/>
          <w:sz w:val="22"/>
          <w:szCs w:val="22"/>
        </w:rPr>
        <w:t>ėjo</w:t>
      </w:r>
      <w:r w:rsidRPr="00582516">
        <w:rPr>
          <w:rFonts w:asciiTheme="minorHAnsi" w:hAnsiTheme="minorHAnsi" w:cstheme="minorHAnsi"/>
          <w:sz w:val="22"/>
          <w:szCs w:val="22"/>
        </w:rPr>
        <w:t xml:space="preserve">, kad </w:t>
      </w:r>
      <w:r w:rsidRPr="00CA1941">
        <w:rPr>
          <w:rFonts w:asciiTheme="minorHAnsi" w:hAnsiTheme="minorHAnsi" w:cstheme="minorHAnsi"/>
          <w:sz w:val="22"/>
          <w:szCs w:val="22"/>
        </w:rPr>
        <w:t xml:space="preserve">Alternatyviųjų degalų </w:t>
      </w:r>
      <w:r>
        <w:rPr>
          <w:rFonts w:asciiTheme="minorHAnsi" w:hAnsiTheme="minorHAnsi" w:cstheme="minorHAnsi"/>
          <w:sz w:val="22"/>
          <w:szCs w:val="22"/>
        </w:rPr>
        <w:t>į</w:t>
      </w:r>
      <w:r w:rsidRPr="00582516">
        <w:rPr>
          <w:rFonts w:asciiTheme="minorHAnsi" w:hAnsiTheme="minorHAnsi" w:cstheme="minorHAnsi"/>
          <w:sz w:val="22"/>
          <w:szCs w:val="22"/>
        </w:rPr>
        <w:t>statymo 33 straipsnio 7 dalyje nu</w:t>
      </w:r>
      <w:r>
        <w:rPr>
          <w:rFonts w:asciiTheme="minorHAnsi" w:hAnsiTheme="minorHAnsi" w:cstheme="minorHAnsi"/>
          <w:sz w:val="22"/>
          <w:szCs w:val="22"/>
        </w:rPr>
        <w:t>st</w:t>
      </w:r>
      <w:r w:rsidRPr="00582516">
        <w:rPr>
          <w:rFonts w:asciiTheme="minorHAnsi" w:hAnsiTheme="minorHAnsi" w:cstheme="minorHAnsi"/>
          <w:sz w:val="22"/>
          <w:szCs w:val="22"/>
        </w:rPr>
        <w:t xml:space="preserve">atytas 6 mėnesių terminas yra administracinės atsakomybės (pagal specialųjį įstatymą) taikymo senaties terminas. Administracinė atsakomybė nebegali būti taikoma suėjus šiam terminui. Šis terminas užtikrina teisinį tikrumą, taip pat, kad būtų greitai ir efektyviai pasiekti administracinės atsakomybės tikslai, skatina bylas nagrinėjančius ir nuobaudas skiriančius subjektus operatyviai reaguoti į galimus pažeidimus, </w:t>
      </w:r>
      <w:r>
        <w:rPr>
          <w:rFonts w:asciiTheme="minorHAnsi" w:hAnsiTheme="minorHAnsi" w:cstheme="minorHAnsi"/>
          <w:sz w:val="22"/>
          <w:szCs w:val="22"/>
        </w:rPr>
        <w:t>be t</w:t>
      </w:r>
      <w:r w:rsidRPr="00582516">
        <w:rPr>
          <w:rFonts w:asciiTheme="minorHAnsi" w:hAnsiTheme="minorHAnsi" w:cstheme="minorHAnsi"/>
          <w:sz w:val="22"/>
          <w:szCs w:val="22"/>
        </w:rPr>
        <w:t>o</w:t>
      </w:r>
      <w:r>
        <w:rPr>
          <w:rFonts w:asciiTheme="minorHAnsi" w:hAnsiTheme="minorHAnsi" w:cstheme="minorHAnsi"/>
          <w:sz w:val="22"/>
          <w:szCs w:val="22"/>
        </w:rPr>
        <w:t>,</w:t>
      </w:r>
      <w:r w:rsidRPr="00582516">
        <w:rPr>
          <w:rFonts w:asciiTheme="minorHAnsi" w:hAnsiTheme="minorHAnsi" w:cstheme="minorHAnsi"/>
          <w:sz w:val="22"/>
          <w:szCs w:val="22"/>
        </w:rPr>
        <w:t xml:space="preserve"> apsaugo galimai neteisėtas veikas atlikusius asmenis nuo pernelyg ilgo proceso</w:t>
      </w:r>
      <w:r>
        <w:rPr>
          <w:rFonts w:asciiTheme="minorHAnsi" w:hAnsiTheme="minorHAnsi" w:cstheme="minorHAnsi"/>
          <w:sz w:val="22"/>
          <w:szCs w:val="22"/>
        </w:rPr>
        <w:t>.</w:t>
      </w:r>
    </w:p>
    <w:p w14:paraId="65A0D357" w14:textId="77777777"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A</w:t>
      </w:r>
      <w:r w:rsidRPr="00E70410">
        <w:rPr>
          <w:rFonts w:asciiTheme="minorHAnsi" w:hAnsiTheme="minorHAnsi" w:cstheme="minorHAnsi"/>
          <w:sz w:val="22"/>
          <w:szCs w:val="22"/>
        </w:rPr>
        <w:t xml:space="preserve">iškindama </w:t>
      </w:r>
      <w:r w:rsidRPr="00CA1941">
        <w:rPr>
          <w:rFonts w:asciiTheme="minorHAnsi" w:hAnsiTheme="minorHAnsi" w:cstheme="minorHAnsi"/>
          <w:sz w:val="22"/>
          <w:szCs w:val="22"/>
        </w:rPr>
        <w:t xml:space="preserve">Alternatyviųjų degalų </w:t>
      </w:r>
      <w:r>
        <w:rPr>
          <w:rFonts w:asciiTheme="minorHAnsi" w:hAnsiTheme="minorHAnsi" w:cstheme="minorHAnsi"/>
          <w:sz w:val="22"/>
          <w:szCs w:val="22"/>
        </w:rPr>
        <w:t>į</w:t>
      </w:r>
      <w:r w:rsidRPr="00E70410">
        <w:rPr>
          <w:rFonts w:asciiTheme="minorHAnsi" w:hAnsiTheme="minorHAnsi" w:cstheme="minorHAnsi"/>
          <w:sz w:val="22"/>
          <w:szCs w:val="22"/>
        </w:rPr>
        <w:t xml:space="preserve">statymo 33 straipsnio 7 dalyje vartojamą sąvoką „pažeidimo nustatymo diena“, </w:t>
      </w:r>
      <w:r>
        <w:rPr>
          <w:rFonts w:asciiTheme="minorHAnsi" w:hAnsiTheme="minorHAnsi" w:cstheme="minorHAnsi"/>
          <w:sz w:val="22"/>
          <w:szCs w:val="22"/>
        </w:rPr>
        <w:t>LVAT teisėjų kolegija atkreipė dėmesį</w:t>
      </w:r>
      <w:r w:rsidRPr="00E70410">
        <w:rPr>
          <w:rFonts w:asciiTheme="minorHAnsi" w:hAnsiTheme="minorHAnsi" w:cstheme="minorHAnsi"/>
          <w:sz w:val="22"/>
          <w:szCs w:val="22"/>
        </w:rPr>
        <w:t xml:space="preserve">, kad </w:t>
      </w:r>
      <w:r>
        <w:rPr>
          <w:rFonts w:asciiTheme="minorHAnsi" w:hAnsiTheme="minorHAnsi" w:cstheme="minorHAnsi"/>
          <w:sz w:val="22"/>
          <w:szCs w:val="22"/>
        </w:rPr>
        <w:t>šiame į</w:t>
      </w:r>
      <w:r w:rsidRPr="00E70410">
        <w:rPr>
          <w:rFonts w:asciiTheme="minorHAnsi" w:hAnsiTheme="minorHAnsi" w:cstheme="minorHAnsi"/>
          <w:sz w:val="22"/>
          <w:szCs w:val="22"/>
        </w:rPr>
        <w:t xml:space="preserve">statyme nėra pateiktas </w:t>
      </w:r>
      <w:r>
        <w:rPr>
          <w:rFonts w:asciiTheme="minorHAnsi" w:hAnsiTheme="minorHAnsi" w:cstheme="minorHAnsi"/>
          <w:sz w:val="22"/>
          <w:szCs w:val="22"/>
        </w:rPr>
        <w:t>nurodyt</w:t>
      </w:r>
      <w:r w:rsidRPr="00E70410">
        <w:rPr>
          <w:rFonts w:asciiTheme="minorHAnsi" w:hAnsiTheme="minorHAnsi" w:cstheme="minorHAnsi"/>
          <w:sz w:val="22"/>
          <w:szCs w:val="22"/>
        </w:rPr>
        <w:t xml:space="preserve">os sąvokos apibrėžimas. Taip pat </w:t>
      </w:r>
      <w:r>
        <w:rPr>
          <w:rFonts w:asciiTheme="minorHAnsi" w:hAnsiTheme="minorHAnsi" w:cstheme="minorHAnsi"/>
          <w:sz w:val="22"/>
          <w:szCs w:val="22"/>
        </w:rPr>
        <w:t>minėta sąvoka</w:t>
      </w:r>
      <w:r w:rsidRPr="00E70410">
        <w:rPr>
          <w:rFonts w:asciiTheme="minorHAnsi" w:hAnsiTheme="minorHAnsi" w:cstheme="minorHAnsi"/>
          <w:sz w:val="22"/>
          <w:szCs w:val="22"/>
        </w:rPr>
        <w:t xml:space="preserve"> nėra siejama su pažeidimo protokolo ar kito atsakovo vidaus dokumento surašymu. Tai leidžia teigti, kad </w:t>
      </w:r>
      <w:r w:rsidRPr="0000535D">
        <w:rPr>
          <w:rFonts w:asciiTheme="minorHAnsi" w:hAnsiTheme="minorHAnsi" w:cstheme="minorHAnsi"/>
          <w:sz w:val="22"/>
          <w:szCs w:val="22"/>
          <w:u w:val="single"/>
        </w:rPr>
        <w:t>pažeidimo nustatymo diena yra fakto klausimas, kuris nustatomas pagal bendrąsias įrodinėjimo taisykles kiekvienoje byloje</w:t>
      </w:r>
      <w:r>
        <w:rPr>
          <w:rFonts w:asciiTheme="minorHAnsi" w:hAnsiTheme="minorHAnsi" w:cstheme="minorHAnsi"/>
          <w:sz w:val="22"/>
          <w:szCs w:val="22"/>
        </w:rPr>
        <w:t>. T</w:t>
      </w:r>
      <w:r w:rsidRPr="00014B22">
        <w:rPr>
          <w:rFonts w:asciiTheme="minorHAnsi" w:hAnsiTheme="minorHAnsi" w:cstheme="minorHAnsi"/>
          <w:sz w:val="22"/>
          <w:szCs w:val="22"/>
        </w:rPr>
        <w:t xml:space="preserve">okios pozicijos yra laikomasi ir </w:t>
      </w:r>
      <w:r>
        <w:rPr>
          <w:rFonts w:asciiTheme="minorHAnsi" w:hAnsiTheme="minorHAnsi" w:cstheme="minorHAnsi"/>
          <w:sz w:val="22"/>
          <w:szCs w:val="22"/>
        </w:rPr>
        <w:t xml:space="preserve">kitose bylose LVAT suformuotoje </w:t>
      </w:r>
      <w:r w:rsidRPr="00014B22">
        <w:rPr>
          <w:rFonts w:asciiTheme="minorHAnsi" w:hAnsiTheme="minorHAnsi" w:cstheme="minorHAnsi"/>
          <w:sz w:val="22"/>
          <w:szCs w:val="22"/>
        </w:rPr>
        <w:t>praktikoje</w:t>
      </w:r>
      <w:r>
        <w:rPr>
          <w:rFonts w:asciiTheme="minorHAnsi" w:hAnsiTheme="minorHAnsi" w:cstheme="minorHAnsi"/>
          <w:sz w:val="22"/>
          <w:szCs w:val="22"/>
        </w:rPr>
        <w:t xml:space="preserve">, pabrėžiant, jog </w:t>
      </w:r>
      <w:r w:rsidRPr="00C15FAC">
        <w:rPr>
          <w:rFonts w:asciiTheme="minorHAnsi" w:hAnsiTheme="minorHAnsi" w:cstheme="minorHAnsi"/>
          <w:sz w:val="22"/>
          <w:szCs w:val="22"/>
          <w:u w:val="single"/>
        </w:rPr>
        <w:t>momentas, kada buvo gauta arba objektyviai turėjo ir galėjo būti gauta pakankamai duomenų pažeidimui užfiksuoti bei kvalifikuoti, laikytinas pažeidimo nustatymo diena</w:t>
      </w:r>
      <w:r>
        <w:rPr>
          <w:rFonts w:asciiTheme="minorHAnsi" w:hAnsiTheme="minorHAnsi" w:cstheme="minorHAnsi"/>
          <w:sz w:val="22"/>
          <w:szCs w:val="22"/>
        </w:rPr>
        <w:t>.</w:t>
      </w:r>
    </w:p>
    <w:p w14:paraId="65D8AFE8" w14:textId="6E915921"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Šiame kontekste į</w:t>
      </w:r>
      <w:r w:rsidRPr="00612FB1">
        <w:rPr>
          <w:rFonts w:asciiTheme="minorHAnsi" w:hAnsiTheme="minorHAnsi" w:cstheme="minorHAnsi"/>
          <w:sz w:val="22"/>
          <w:szCs w:val="22"/>
        </w:rPr>
        <w:t xml:space="preserve">vertinusi </w:t>
      </w:r>
      <w:r w:rsidRPr="0048010F">
        <w:rPr>
          <w:rFonts w:asciiTheme="minorHAnsi" w:hAnsiTheme="minorHAnsi" w:cstheme="minorHAnsi"/>
          <w:sz w:val="22"/>
          <w:szCs w:val="22"/>
        </w:rPr>
        <w:t>Tarnyb</w:t>
      </w:r>
      <w:r>
        <w:rPr>
          <w:rFonts w:asciiTheme="minorHAnsi" w:hAnsiTheme="minorHAnsi" w:cstheme="minorHAnsi"/>
          <w:sz w:val="22"/>
          <w:szCs w:val="22"/>
        </w:rPr>
        <w:t>os</w:t>
      </w:r>
      <w:r w:rsidRPr="0048010F">
        <w:rPr>
          <w:rFonts w:asciiTheme="minorHAnsi" w:hAnsiTheme="minorHAnsi" w:cstheme="minorHAnsi"/>
          <w:sz w:val="22"/>
          <w:szCs w:val="22"/>
        </w:rPr>
        <w:t xml:space="preserve"> 2022</w:t>
      </w:r>
      <w:r>
        <w:rPr>
          <w:rFonts w:asciiTheme="minorHAnsi" w:hAnsiTheme="minorHAnsi" w:cstheme="minorHAnsi"/>
          <w:sz w:val="22"/>
          <w:szCs w:val="22"/>
        </w:rPr>
        <w:t xml:space="preserve"> </w:t>
      </w:r>
      <w:r w:rsidRPr="0048010F">
        <w:rPr>
          <w:rFonts w:asciiTheme="minorHAnsi" w:hAnsiTheme="minorHAnsi" w:cstheme="minorHAnsi"/>
          <w:sz w:val="22"/>
          <w:szCs w:val="22"/>
        </w:rPr>
        <w:t>m. liepos 22 d., 2022 m. rugsėjo 7 d.</w:t>
      </w:r>
      <w:r>
        <w:rPr>
          <w:rFonts w:asciiTheme="minorHAnsi" w:hAnsiTheme="minorHAnsi" w:cstheme="minorHAnsi"/>
          <w:sz w:val="22"/>
          <w:szCs w:val="22"/>
        </w:rPr>
        <w:t xml:space="preserve"> ir</w:t>
      </w:r>
      <w:r w:rsidRPr="0048010F">
        <w:rPr>
          <w:rFonts w:asciiTheme="minorHAnsi" w:hAnsiTheme="minorHAnsi" w:cstheme="minorHAnsi"/>
          <w:sz w:val="22"/>
          <w:szCs w:val="22"/>
        </w:rPr>
        <w:t xml:space="preserve"> 2022 m. rugsėjo 12</w:t>
      </w:r>
      <w:r>
        <w:rPr>
          <w:rFonts w:asciiTheme="minorHAnsi" w:hAnsiTheme="minorHAnsi" w:cstheme="minorHAnsi"/>
          <w:sz w:val="22"/>
          <w:szCs w:val="22"/>
        </w:rPr>
        <w:t> </w:t>
      </w:r>
      <w:r w:rsidRPr="0048010F">
        <w:rPr>
          <w:rFonts w:asciiTheme="minorHAnsi" w:hAnsiTheme="minorHAnsi" w:cstheme="minorHAnsi"/>
          <w:sz w:val="22"/>
          <w:szCs w:val="22"/>
        </w:rPr>
        <w:t>d. patikrinimo akt</w:t>
      </w:r>
      <w:r>
        <w:rPr>
          <w:rFonts w:asciiTheme="minorHAnsi" w:hAnsiTheme="minorHAnsi" w:cstheme="minorHAnsi"/>
          <w:sz w:val="22"/>
          <w:szCs w:val="22"/>
        </w:rPr>
        <w:t xml:space="preserve">ų turinį, LVAT teisėjų kolegija akcentavo, kad </w:t>
      </w:r>
      <w:r w:rsidRPr="00F12F7F">
        <w:rPr>
          <w:rFonts w:asciiTheme="minorHAnsi" w:hAnsiTheme="minorHAnsi" w:cstheme="minorHAnsi"/>
          <w:sz w:val="22"/>
          <w:szCs w:val="22"/>
        </w:rPr>
        <w:t xml:space="preserve">atsakovas, surašęs patikrinimo aktus, ne tik konstatavo, </w:t>
      </w:r>
      <w:r>
        <w:rPr>
          <w:rFonts w:asciiTheme="minorHAnsi" w:hAnsiTheme="minorHAnsi" w:cstheme="minorHAnsi"/>
          <w:sz w:val="22"/>
          <w:szCs w:val="22"/>
        </w:rPr>
        <w:t>jog</w:t>
      </w:r>
      <w:r w:rsidRPr="00F12F7F">
        <w:rPr>
          <w:rFonts w:asciiTheme="minorHAnsi" w:hAnsiTheme="minorHAnsi" w:cstheme="minorHAnsi"/>
          <w:sz w:val="22"/>
          <w:szCs w:val="22"/>
        </w:rPr>
        <w:t xml:space="preserve"> padaryti pažeidimai, bet juos ir teisiškai kvalifikavo</w:t>
      </w:r>
      <w:r>
        <w:rPr>
          <w:rFonts w:asciiTheme="minorHAnsi" w:hAnsiTheme="minorHAnsi" w:cstheme="minorHAnsi"/>
          <w:sz w:val="22"/>
          <w:szCs w:val="22"/>
        </w:rPr>
        <w:t>, o</w:t>
      </w:r>
      <w:r w:rsidRPr="00F12F7F">
        <w:rPr>
          <w:rFonts w:asciiTheme="minorHAnsi" w:hAnsiTheme="minorHAnsi" w:cstheme="minorHAnsi"/>
          <w:sz w:val="22"/>
          <w:szCs w:val="22"/>
        </w:rPr>
        <w:t xml:space="preserve"> </w:t>
      </w:r>
      <w:r>
        <w:rPr>
          <w:rFonts w:asciiTheme="minorHAnsi" w:hAnsiTheme="minorHAnsi" w:cstheme="minorHAnsi"/>
          <w:sz w:val="22"/>
          <w:szCs w:val="22"/>
        </w:rPr>
        <w:t>v</w:t>
      </w:r>
      <w:r w:rsidRPr="00F12F7F">
        <w:rPr>
          <w:rFonts w:asciiTheme="minorHAnsi" w:hAnsiTheme="minorHAnsi" w:cstheme="minorHAnsi"/>
          <w:sz w:val="22"/>
          <w:szCs w:val="22"/>
        </w:rPr>
        <w:t>ėliau surašytame 2022 m. rugsėjo 28</w:t>
      </w:r>
      <w:r>
        <w:rPr>
          <w:rFonts w:asciiTheme="minorHAnsi" w:hAnsiTheme="minorHAnsi" w:cstheme="minorHAnsi"/>
          <w:sz w:val="22"/>
          <w:szCs w:val="22"/>
        </w:rPr>
        <w:t> </w:t>
      </w:r>
      <w:r w:rsidRPr="00F12F7F">
        <w:rPr>
          <w:rFonts w:asciiTheme="minorHAnsi" w:hAnsiTheme="minorHAnsi" w:cstheme="minorHAnsi"/>
          <w:sz w:val="22"/>
          <w:szCs w:val="22"/>
        </w:rPr>
        <w:t xml:space="preserve">d. </w:t>
      </w:r>
      <w:r w:rsidRPr="00CE2D55">
        <w:rPr>
          <w:rFonts w:asciiTheme="minorHAnsi" w:hAnsiTheme="minorHAnsi" w:cstheme="minorHAnsi"/>
          <w:sz w:val="22"/>
          <w:szCs w:val="22"/>
        </w:rPr>
        <w:t xml:space="preserve">Alternatyviųjų degalų įstatymo pažeidimo </w:t>
      </w:r>
      <w:r w:rsidRPr="00F12F7F">
        <w:rPr>
          <w:rFonts w:asciiTheme="minorHAnsi" w:hAnsiTheme="minorHAnsi" w:cstheme="minorHAnsi"/>
          <w:sz w:val="22"/>
          <w:szCs w:val="22"/>
        </w:rPr>
        <w:t>protokole naujos teisiškai reikšmingos informacijos nėra. Byloje n</w:t>
      </w:r>
      <w:r>
        <w:rPr>
          <w:rFonts w:asciiTheme="minorHAnsi" w:hAnsiTheme="minorHAnsi" w:cstheme="minorHAnsi"/>
          <w:sz w:val="22"/>
          <w:szCs w:val="22"/>
        </w:rPr>
        <w:t>ebuvo</w:t>
      </w:r>
      <w:r w:rsidRPr="00F12F7F">
        <w:rPr>
          <w:rFonts w:asciiTheme="minorHAnsi" w:hAnsiTheme="minorHAnsi" w:cstheme="minorHAnsi"/>
          <w:sz w:val="22"/>
          <w:szCs w:val="22"/>
        </w:rPr>
        <w:t xml:space="preserve"> duomenų, kad atsakovas po patikrinimo aktų surašymo atlik</w:t>
      </w:r>
      <w:r>
        <w:rPr>
          <w:rFonts w:asciiTheme="minorHAnsi" w:hAnsiTheme="minorHAnsi" w:cstheme="minorHAnsi"/>
          <w:sz w:val="22"/>
          <w:szCs w:val="22"/>
        </w:rPr>
        <w:t>o</w:t>
      </w:r>
      <w:r w:rsidRPr="00F12F7F">
        <w:rPr>
          <w:rFonts w:asciiTheme="minorHAnsi" w:hAnsiTheme="minorHAnsi" w:cstheme="minorHAnsi"/>
          <w:sz w:val="22"/>
          <w:szCs w:val="22"/>
        </w:rPr>
        <w:t xml:space="preserve"> kokius nors aktyvius su pažeidimo nustatymu susijusius veiksmus.</w:t>
      </w:r>
      <w:r>
        <w:rPr>
          <w:rFonts w:asciiTheme="minorHAnsi" w:hAnsiTheme="minorHAnsi" w:cstheme="minorHAnsi"/>
          <w:sz w:val="22"/>
          <w:szCs w:val="22"/>
        </w:rPr>
        <w:t xml:space="preserve"> </w:t>
      </w:r>
      <w:r w:rsidRPr="00BA2E1B">
        <w:rPr>
          <w:rFonts w:asciiTheme="minorHAnsi" w:hAnsiTheme="minorHAnsi" w:cstheme="minorHAnsi"/>
          <w:sz w:val="22"/>
          <w:szCs w:val="22"/>
        </w:rPr>
        <w:t>Atsižvelgusi į tai, teisėjų kolegija padarė išvadą, kad</w:t>
      </w:r>
      <w:r>
        <w:rPr>
          <w:rFonts w:asciiTheme="minorHAnsi" w:hAnsiTheme="minorHAnsi" w:cstheme="minorHAnsi"/>
          <w:sz w:val="22"/>
          <w:szCs w:val="22"/>
        </w:rPr>
        <w:t xml:space="preserve"> </w:t>
      </w:r>
      <w:r w:rsidRPr="00BA2E1B">
        <w:rPr>
          <w:rFonts w:asciiTheme="minorHAnsi" w:hAnsiTheme="minorHAnsi" w:cstheme="minorHAnsi"/>
          <w:sz w:val="22"/>
          <w:szCs w:val="22"/>
        </w:rPr>
        <w:t>atsakovas pažeidimus nustatė patikrinimo aktų surašymo dien</w:t>
      </w:r>
      <w:r>
        <w:rPr>
          <w:rFonts w:asciiTheme="minorHAnsi" w:hAnsiTheme="minorHAnsi" w:cstheme="minorHAnsi"/>
          <w:sz w:val="22"/>
          <w:szCs w:val="22"/>
        </w:rPr>
        <w:t>omis,</w:t>
      </w:r>
      <w:r w:rsidRPr="00BA2E1B">
        <w:rPr>
          <w:rFonts w:asciiTheme="minorHAnsi" w:hAnsiTheme="minorHAnsi" w:cstheme="minorHAnsi"/>
          <w:sz w:val="22"/>
          <w:szCs w:val="22"/>
        </w:rPr>
        <w:t xml:space="preserve"> t. y. 2022 m. liepos 22 d., 2022 m. rugsėjo 7 d., 2022 m. rugsėjo 12</w:t>
      </w:r>
      <w:r w:rsidR="00F73C76">
        <w:rPr>
          <w:rFonts w:asciiTheme="minorHAnsi" w:hAnsiTheme="minorHAnsi" w:cstheme="minorHAnsi"/>
          <w:sz w:val="22"/>
          <w:szCs w:val="22"/>
        </w:rPr>
        <w:t> </w:t>
      </w:r>
      <w:r w:rsidRPr="00BA2E1B">
        <w:rPr>
          <w:rFonts w:asciiTheme="minorHAnsi" w:hAnsiTheme="minorHAnsi" w:cstheme="minorHAnsi"/>
          <w:sz w:val="22"/>
          <w:szCs w:val="22"/>
        </w:rPr>
        <w:t>d.</w:t>
      </w:r>
      <w:r>
        <w:rPr>
          <w:rFonts w:asciiTheme="minorHAnsi" w:hAnsiTheme="minorHAnsi" w:cstheme="minorHAnsi"/>
          <w:sz w:val="22"/>
          <w:szCs w:val="22"/>
        </w:rPr>
        <w:t>, todėl</w:t>
      </w:r>
      <w:r w:rsidRPr="00BA2E1B">
        <w:rPr>
          <w:rFonts w:asciiTheme="minorHAnsi" w:hAnsiTheme="minorHAnsi" w:cstheme="minorHAnsi"/>
          <w:sz w:val="22"/>
          <w:szCs w:val="22"/>
        </w:rPr>
        <w:t xml:space="preserve"> </w:t>
      </w:r>
      <w:r>
        <w:rPr>
          <w:rFonts w:asciiTheme="minorHAnsi" w:hAnsiTheme="minorHAnsi" w:cstheme="minorHAnsi"/>
          <w:sz w:val="22"/>
          <w:szCs w:val="22"/>
        </w:rPr>
        <w:t xml:space="preserve">priimdamas </w:t>
      </w:r>
      <w:r w:rsidRPr="00BA2E1B">
        <w:rPr>
          <w:rFonts w:asciiTheme="minorHAnsi" w:hAnsiTheme="minorHAnsi" w:cstheme="minorHAnsi"/>
          <w:sz w:val="22"/>
          <w:szCs w:val="22"/>
        </w:rPr>
        <w:t xml:space="preserve">2023 m. kovo 16 d. </w:t>
      </w:r>
      <w:r>
        <w:rPr>
          <w:rFonts w:asciiTheme="minorHAnsi" w:hAnsiTheme="minorHAnsi" w:cstheme="minorHAnsi"/>
          <w:sz w:val="22"/>
          <w:szCs w:val="22"/>
        </w:rPr>
        <w:t>nutarimą</w:t>
      </w:r>
      <w:r w:rsidRPr="00BA2E1B">
        <w:rPr>
          <w:rFonts w:asciiTheme="minorHAnsi" w:hAnsiTheme="minorHAnsi" w:cstheme="minorHAnsi"/>
          <w:sz w:val="22"/>
          <w:szCs w:val="22"/>
        </w:rPr>
        <w:t xml:space="preserve"> praleido senaties terminą</w:t>
      </w:r>
      <w:r>
        <w:rPr>
          <w:rFonts w:asciiTheme="minorHAnsi" w:hAnsiTheme="minorHAnsi" w:cstheme="minorHAnsi"/>
          <w:sz w:val="22"/>
          <w:szCs w:val="22"/>
        </w:rPr>
        <w:t>. Nors a</w:t>
      </w:r>
      <w:r w:rsidRPr="00BA2E1B">
        <w:rPr>
          <w:rFonts w:asciiTheme="minorHAnsi" w:hAnsiTheme="minorHAnsi" w:cstheme="minorHAnsi"/>
          <w:sz w:val="22"/>
          <w:szCs w:val="22"/>
        </w:rPr>
        <w:t>tsakovas akcent</w:t>
      </w:r>
      <w:r>
        <w:rPr>
          <w:rFonts w:asciiTheme="minorHAnsi" w:hAnsiTheme="minorHAnsi" w:cstheme="minorHAnsi"/>
          <w:sz w:val="22"/>
          <w:szCs w:val="22"/>
        </w:rPr>
        <w:t>avo</w:t>
      </w:r>
      <w:r w:rsidRPr="00BA2E1B">
        <w:rPr>
          <w:rFonts w:asciiTheme="minorHAnsi" w:hAnsiTheme="minorHAnsi" w:cstheme="minorHAnsi"/>
          <w:sz w:val="22"/>
          <w:szCs w:val="22"/>
        </w:rPr>
        <w:t xml:space="preserve"> galimybę Bendrovei pateikti paaiškinimus ir naujus įrodymus iki 2022 m. rugsėjo 28 d. protokolo surašymo, </w:t>
      </w:r>
      <w:r>
        <w:rPr>
          <w:rFonts w:asciiTheme="minorHAnsi" w:hAnsiTheme="minorHAnsi" w:cstheme="minorHAnsi"/>
          <w:sz w:val="22"/>
          <w:szCs w:val="22"/>
        </w:rPr>
        <w:t>LVAT pažymėjo, kad</w:t>
      </w:r>
      <w:r w:rsidRPr="00BA2E1B">
        <w:rPr>
          <w:rFonts w:asciiTheme="minorHAnsi" w:hAnsiTheme="minorHAnsi" w:cstheme="minorHAnsi"/>
          <w:sz w:val="22"/>
          <w:szCs w:val="22"/>
        </w:rPr>
        <w:t xml:space="preserve"> galiojantys įstatymai nedraud</w:t>
      </w:r>
      <w:r>
        <w:rPr>
          <w:rFonts w:asciiTheme="minorHAnsi" w:hAnsiTheme="minorHAnsi" w:cstheme="minorHAnsi"/>
          <w:sz w:val="22"/>
          <w:szCs w:val="22"/>
        </w:rPr>
        <w:t>ė</w:t>
      </w:r>
      <w:r w:rsidRPr="00BA2E1B">
        <w:rPr>
          <w:rFonts w:asciiTheme="minorHAnsi" w:hAnsiTheme="minorHAnsi" w:cstheme="minorHAnsi"/>
          <w:sz w:val="22"/>
          <w:szCs w:val="22"/>
        </w:rPr>
        <w:t xml:space="preserve"> Bendrovei teikti paaiškinimus ir naujus įrodymus iki nutarimo priėmimo bet kuriuo metu.</w:t>
      </w:r>
    </w:p>
    <w:p w14:paraId="44E1486C" w14:textId="77777777" w:rsidR="001B3B0C" w:rsidRDefault="001B3B0C" w:rsidP="001B3B0C">
      <w:pPr>
        <w:ind w:firstLine="567"/>
        <w:jc w:val="both"/>
        <w:rPr>
          <w:rFonts w:asciiTheme="minorHAnsi" w:hAnsiTheme="minorHAnsi" w:cstheme="minorHAnsi"/>
          <w:sz w:val="22"/>
          <w:szCs w:val="22"/>
        </w:rPr>
      </w:pPr>
      <w:r>
        <w:rPr>
          <w:rFonts w:asciiTheme="minorHAnsi" w:hAnsiTheme="minorHAnsi" w:cstheme="minorHAnsi"/>
          <w:sz w:val="22"/>
          <w:szCs w:val="22"/>
        </w:rPr>
        <w:t xml:space="preserve">Šiomis aplinkybėmis </w:t>
      </w:r>
      <w:r w:rsidRPr="00CA0A81">
        <w:rPr>
          <w:rFonts w:asciiTheme="minorHAnsi" w:hAnsiTheme="minorHAnsi" w:cstheme="minorHAnsi"/>
          <w:sz w:val="22"/>
          <w:szCs w:val="22"/>
        </w:rPr>
        <w:t>pareiškėjo apeliacinis skundas tenkintas, pirmosios instancijos teismo sprendimas panaikintas ir priimtas naujas sprendimas, kuriuo panaikintas ginčytas Tarnybos nutarimas dėl baudos skyrimo pareiškėjui.</w:t>
      </w:r>
    </w:p>
    <w:p w14:paraId="11A43BB7" w14:textId="77777777" w:rsidR="001B3B0C" w:rsidRDefault="001B3B0C" w:rsidP="001B3B0C">
      <w:pPr>
        <w:ind w:firstLine="567"/>
        <w:jc w:val="both"/>
        <w:rPr>
          <w:rFonts w:asciiTheme="minorHAnsi" w:hAnsiTheme="minorHAnsi" w:cstheme="minorHAnsi"/>
          <w:sz w:val="22"/>
          <w:szCs w:val="22"/>
        </w:rPr>
      </w:pPr>
    </w:p>
    <w:p w14:paraId="6493A535" w14:textId="77777777" w:rsidR="001B3B0C" w:rsidRPr="009D7FC8" w:rsidRDefault="001B3B0C" w:rsidP="001B3B0C">
      <w:pPr>
        <w:jc w:val="both"/>
        <w:rPr>
          <w:rFonts w:asciiTheme="minorHAnsi" w:hAnsiTheme="minorHAnsi" w:cstheme="minorHAnsi"/>
          <w:sz w:val="22"/>
          <w:szCs w:val="22"/>
        </w:rPr>
      </w:pPr>
      <w:r w:rsidRPr="009D7FC8">
        <w:rPr>
          <w:rFonts w:asciiTheme="minorHAnsi" w:hAnsiTheme="minorHAnsi" w:cstheme="minorHAnsi"/>
          <w:bCs/>
          <w:sz w:val="22"/>
          <w:szCs w:val="22"/>
        </w:rPr>
        <w:t xml:space="preserve">2025 m. </w:t>
      </w:r>
      <w:r w:rsidRPr="003133AC">
        <w:rPr>
          <w:rFonts w:asciiTheme="minorHAnsi" w:hAnsiTheme="minorHAnsi" w:cstheme="minorHAnsi"/>
          <w:bCs/>
          <w:sz w:val="22"/>
          <w:szCs w:val="22"/>
        </w:rPr>
        <w:t xml:space="preserve">balandžio 30 </w:t>
      </w:r>
      <w:r w:rsidRPr="009D7FC8">
        <w:rPr>
          <w:rFonts w:asciiTheme="minorHAnsi" w:hAnsiTheme="minorHAnsi" w:cstheme="minorHAnsi"/>
          <w:sz w:val="22"/>
          <w:szCs w:val="22"/>
        </w:rPr>
        <w:t xml:space="preserve">d. </w:t>
      </w:r>
      <w:r>
        <w:rPr>
          <w:rFonts w:asciiTheme="minorHAnsi" w:hAnsiTheme="minorHAnsi" w:cstheme="minorHAnsi"/>
          <w:sz w:val="22"/>
          <w:szCs w:val="22"/>
        </w:rPr>
        <w:t>sprendimas</w:t>
      </w:r>
      <w:r w:rsidRPr="009D7FC8">
        <w:rPr>
          <w:rFonts w:asciiTheme="minorHAnsi" w:hAnsiTheme="minorHAnsi" w:cstheme="minorHAnsi"/>
          <w:sz w:val="22"/>
          <w:szCs w:val="22"/>
        </w:rPr>
        <w:t xml:space="preserve"> administracinėje byloje Nr. </w:t>
      </w:r>
      <w:r w:rsidRPr="001D3257">
        <w:rPr>
          <w:rFonts w:asciiTheme="minorHAnsi" w:hAnsiTheme="minorHAnsi" w:cstheme="minorHAnsi"/>
          <w:bCs/>
          <w:sz w:val="22"/>
          <w:szCs w:val="22"/>
        </w:rPr>
        <w:t>eA-169-575/2025</w:t>
      </w:r>
    </w:p>
    <w:p w14:paraId="0F35D845" w14:textId="77777777" w:rsidR="001B3B0C" w:rsidRPr="009D7FC8" w:rsidRDefault="001B3B0C" w:rsidP="001B3B0C">
      <w:pPr>
        <w:jc w:val="both"/>
        <w:rPr>
          <w:rFonts w:asciiTheme="minorHAnsi" w:hAnsiTheme="minorHAnsi" w:cstheme="minorHAnsi"/>
          <w:bCs/>
          <w:sz w:val="22"/>
          <w:szCs w:val="22"/>
        </w:rPr>
      </w:pPr>
      <w:r w:rsidRPr="009D7FC8">
        <w:rPr>
          <w:rFonts w:asciiTheme="minorHAnsi" w:hAnsiTheme="minorHAnsi" w:cstheme="minorHAnsi"/>
          <w:sz w:val="22"/>
          <w:szCs w:val="22"/>
        </w:rPr>
        <w:t xml:space="preserve">Teisminio proceso Nr. </w:t>
      </w:r>
      <w:r w:rsidRPr="001D3257">
        <w:rPr>
          <w:rFonts w:asciiTheme="minorHAnsi" w:hAnsiTheme="minorHAnsi" w:cstheme="minorHAnsi"/>
          <w:bCs/>
          <w:sz w:val="22"/>
          <w:szCs w:val="22"/>
        </w:rPr>
        <w:t>3-61-3-05087-2023-0</w:t>
      </w:r>
    </w:p>
    <w:p w14:paraId="1FB685C4" w14:textId="77777777" w:rsidR="001B3B0C" w:rsidRPr="009D7FC8" w:rsidRDefault="001B3B0C" w:rsidP="001B3B0C">
      <w:pPr>
        <w:jc w:val="both"/>
        <w:rPr>
          <w:rFonts w:asciiTheme="minorHAnsi" w:hAnsiTheme="minorHAnsi" w:cstheme="minorHAnsi"/>
          <w:sz w:val="22"/>
          <w:szCs w:val="22"/>
          <w:u w:val="single"/>
        </w:rPr>
      </w:pPr>
      <w:hyperlink r:id="rId21" w:history="1">
        <w:r w:rsidRPr="009D7FC8">
          <w:rPr>
            <w:rStyle w:val="Hyperlink"/>
            <w:rFonts w:asciiTheme="minorHAnsi" w:hAnsiTheme="minorHAnsi" w:cstheme="minorHAnsi"/>
            <w:sz w:val="22"/>
            <w:szCs w:val="22"/>
          </w:rPr>
          <w:t>Prieiga internete</w:t>
        </w:r>
      </w:hyperlink>
    </w:p>
    <w:p w14:paraId="38367A9C" w14:textId="77777777" w:rsidR="001B3B0C" w:rsidRDefault="001B3B0C" w:rsidP="001B3B0C">
      <w:pPr>
        <w:ind w:firstLine="567"/>
        <w:jc w:val="both"/>
        <w:rPr>
          <w:rFonts w:asciiTheme="minorHAnsi" w:hAnsiTheme="minorHAnsi" w:cstheme="minorHAnsi"/>
          <w:sz w:val="22"/>
          <w:szCs w:val="22"/>
        </w:rPr>
      </w:pPr>
    </w:p>
    <w:p w14:paraId="0B1DA189" w14:textId="77777777" w:rsidR="00046428" w:rsidRPr="00B74A97" w:rsidRDefault="00046428" w:rsidP="00046428">
      <w:pPr>
        <w:pStyle w:val="Apzvalgai1"/>
        <w:rPr>
          <w:rFonts w:asciiTheme="minorHAnsi" w:hAnsiTheme="minorHAnsi" w:cstheme="minorHAnsi"/>
        </w:rPr>
      </w:pPr>
      <w:bookmarkStart w:id="50" w:name="_Toc199503160"/>
      <w:r w:rsidRPr="00B74A97">
        <w:rPr>
          <w:rFonts w:asciiTheme="minorHAnsi" w:hAnsiTheme="minorHAnsi" w:cstheme="minorHAnsi"/>
        </w:rPr>
        <w:t>II. Administracinių bylų teisena</w:t>
      </w:r>
      <w:bookmarkEnd w:id="50"/>
    </w:p>
    <w:p w14:paraId="58CB5235" w14:textId="1C44C3E3" w:rsidR="00046428" w:rsidRPr="00B74A97" w:rsidRDefault="00046428" w:rsidP="00A32A5C">
      <w:pPr>
        <w:ind w:firstLine="567"/>
        <w:rPr>
          <w:rFonts w:asciiTheme="minorHAnsi" w:hAnsiTheme="minorHAnsi" w:cstheme="minorHAnsi"/>
          <w:sz w:val="22"/>
          <w:szCs w:val="22"/>
        </w:rPr>
      </w:pPr>
    </w:p>
    <w:p w14:paraId="76D82CA6" w14:textId="77777777" w:rsidR="00A10C18" w:rsidRPr="00B74A97" w:rsidRDefault="00A10C18" w:rsidP="00A10C18">
      <w:pPr>
        <w:pStyle w:val="Apzvalgai1"/>
        <w:rPr>
          <w:rFonts w:asciiTheme="minorHAnsi" w:hAnsiTheme="minorHAnsi" w:cstheme="minorHAnsi"/>
        </w:rPr>
      </w:pPr>
      <w:bookmarkStart w:id="51" w:name="_Toc199503161"/>
      <w:r w:rsidRPr="00B74A97">
        <w:rPr>
          <w:rFonts w:asciiTheme="minorHAnsi" w:hAnsiTheme="minorHAnsi" w:cstheme="minorHAnsi"/>
        </w:rPr>
        <w:t>43. Teisė kreiptis į teismą ir jos realizavimas</w:t>
      </w:r>
      <w:bookmarkEnd w:id="51"/>
    </w:p>
    <w:p w14:paraId="4AFCBBB9" w14:textId="77777777" w:rsidR="00A10C18" w:rsidRPr="00B74A97" w:rsidRDefault="00A10C18" w:rsidP="00A10C18">
      <w:pPr>
        <w:ind w:firstLine="567"/>
        <w:jc w:val="both"/>
        <w:rPr>
          <w:rFonts w:asciiTheme="minorHAnsi" w:hAnsiTheme="minorHAnsi" w:cstheme="minorHAnsi"/>
          <w:b/>
          <w:bCs/>
          <w:color w:val="000000"/>
          <w:sz w:val="22"/>
          <w:szCs w:val="22"/>
          <w:u w:val="single"/>
          <w:shd w:val="clear" w:color="auto" w:fill="FFFFFF"/>
        </w:rPr>
      </w:pPr>
      <w:r w:rsidRPr="00B74A97">
        <w:rPr>
          <w:rFonts w:asciiTheme="minorHAnsi" w:hAnsiTheme="minorHAnsi" w:cstheme="minorHAnsi"/>
          <w:b/>
          <w:bCs/>
          <w:color w:val="000000"/>
          <w:sz w:val="22"/>
          <w:szCs w:val="22"/>
          <w:u w:val="single"/>
          <w:shd w:val="clear" w:color="auto" w:fill="FFFFFF"/>
        </w:rPr>
        <w:t>43.5. Atsisakymas priimti skundą</w:t>
      </w:r>
    </w:p>
    <w:p w14:paraId="42662D06" w14:textId="77777777" w:rsidR="00A04163" w:rsidRDefault="00A04163" w:rsidP="000C3C1B">
      <w:pPr>
        <w:pStyle w:val="NoSpacing"/>
        <w:jc w:val="both"/>
        <w:rPr>
          <w:rFonts w:cstheme="minorHAnsi"/>
        </w:rPr>
      </w:pPr>
    </w:p>
    <w:p w14:paraId="6135AC3A" w14:textId="77777777" w:rsidR="00C26C13" w:rsidRPr="00C26C13" w:rsidRDefault="00C26C13" w:rsidP="00C26C13">
      <w:pPr>
        <w:jc w:val="both"/>
        <w:outlineLvl w:val="1"/>
        <w:rPr>
          <w:rFonts w:asciiTheme="minorHAnsi" w:eastAsia="Calibri" w:hAnsiTheme="minorHAnsi" w:cstheme="minorHAnsi"/>
          <w:i/>
          <w:sz w:val="22"/>
          <w:szCs w:val="22"/>
        </w:rPr>
      </w:pPr>
      <w:bookmarkStart w:id="52" w:name="_Toc199503162"/>
      <w:r w:rsidRPr="00C26C13">
        <w:rPr>
          <w:rFonts w:asciiTheme="minorHAnsi" w:eastAsia="Calibri" w:hAnsiTheme="minorHAnsi" w:cstheme="minorHAnsi"/>
          <w:i/>
          <w:sz w:val="22"/>
          <w:szCs w:val="22"/>
        </w:rPr>
        <w:t>Dėl infrastruktūros plėtros įmokos priteisimo</w:t>
      </w:r>
      <w:bookmarkEnd w:id="52"/>
    </w:p>
    <w:p w14:paraId="631D2853" w14:textId="77777777" w:rsidR="00C26C13" w:rsidRPr="00DB603B" w:rsidRDefault="00C26C13" w:rsidP="00C26C13">
      <w:pPr>
        <w:ind w:firstLine="567"/>
        <w:rPr>
          <w:rFonts w:ascii="Calibri" w:hAnsi="Calibri"/>
          <w:bCs/>
          <w:sz w:val="22"/>
          <w:szCs w:val="22"/>
          <w:lang w:eastAsia="en-US"/>
        </w:rPr>
      </w:pPr>
    </w:p>
    <w:p w14:paraId="70A0F0A2" w14:textId="73178EB3" w:rsidR="00C26C13" w:rsidRPr="007D2C16" w:rsidRDefault="00C26C13" w:rsidP="00C26C13">
      <w:pPr>
        <w:pStyle w:val="NormalWeb"/>
        <w:shd w:val="clear" w:color="auto" w:fill="FFFFFF"/>
        <w:spacing w:before="0" w:beforeAutospacing="0" w:after="0" w:afterAutospacing="0"/>
        <w:ind w:firstLine="567"/>
        <w:jc w:val="both"/>
        <w:rPr>
          <w:rFonts w:ascii="Calibri" w:hAnsi="Calibri"/>
          <w:bCs/>
          <w:sz w:val="22"/>
          <w:szCs w:val="22"/>
          <w:lang w:val="lt-LT"/>
        </w:rPr>
      </w:pPr>
      <w:r>
        <w:rPr>
          <w:rFonts w:ascii="Calibri" w:hAnsi="Calibri"/>
          <w:bCs/>
          <w:sz w:val="22"/>
          <w:szCs w:val="22"/>
          <w:lang w:val="lt-LT"/>
        </w:rPr>
        <w:t>Apžvelgi</w:t>
      </w:r>
      <w:r w:rsidRPr="007D2C16">
        <w:rPr>
          <w:rFonts w:ascii="Calibri" w:hAnsi="Calibri"/>
          <w:bCs/>
          <w:sz w:val="22"/>
          <w:szCs w:val="22"/>
          <w:lang w:val="lt-LT"/>
        </w:rPr>
        <w:t xml:space="preserve">amoje byloje ginčas kilo dėl </w:t>
      </w:r>
      <w:r w:rsidRPr="0009772D">
        <w:rPr>
          <w:rFonts w:ascii="Calibri" w:hAnsi="Calibri"/>
          <w:bCs/>
          <w:sz w:val="22"/>
          <w:szCs w:val="22"/>
          <w:lang w:val="lt-LT"/>
        </w:rPr>
        <w:t>Regionų administracinio teismo Klaipėdos rūmų 2025 m. vasario 24</w:t>
      </w:r>
      <w:r>
        <w:rPr>
          <w:rFonts w:ascii="Calibri" w:hAnsi="Calibri"/>
          <w:bCs/>
          <w:sz w:val="22"/>
          <w:szCs w:val="22"/>
          <w:lang w:val="lt-LT"/>
        </w:rPr>
        <w:t> </w:t>
      </w:r>
      <w:r w:rsidRPr="0009772D">
        <w:rPr>
          <w:rFonts w:ascii="Calibri" w:hAnsi="Calibri"/>
          <w:bCs/>
          <w:sz w:val="22"/>
          <w:szCs w:val="22"/>
          <w:lang w:val="lt-LT"/>
        </w:rPr>
        <w:t>d. nutarties, kuria atsisa</w:t>
      </w:r>
      <w:r>
        <w:rPr>
          <w:rFonts w:ascii="Calibri" w:hAnsi="Calibri"/>
          <w:bCs/>
          <w:sz w:val="22"/>
          <w:szCs w:val="22"/>
          <w:lang w:val="lt-LT"/>
        </w:rPr>
        <w:t>kyta</w:t>
      </w:r>
      <w:r w:rsidRPr="0009772D">
        <w:rPr>
          <w:rFonts w:ascii="Calibri" w:hAnsi="Calibri"/>
          <w:bCs/>
          <w:sz w:val="22"/>
          <w:szCs w:val="22"/>
          <w:lang w:val="lt-LT"/>
        </w:rPr>
        <w:t xml:space="preserve"> priimti</w:t>
      </w:r>
      <w:r>
        <w:rPr>
          <w:rFonts w:ascii="Calibri" w:hAnsi="Calibri"/>
          <w:bCs/>
          <w:sz w:val="22"/>
          <w:szCs w:val="22"/>
          <w:lang w:val="lt-LT"/>
        </w:rPr>
        <w:t xml:space="preserve"> </w:t>
      </w:r>
      <w:r w:rsidRPr="0009772D">
        <w:rPr>
          <w:rFonts w:ascii="Calibri" w:hAnsi="Calibri"/>
          <w:bCs/>
          <w:sz w:val="22"/>
          <w:szCs w:val="22"/>
          <w:lang w:val="lt-LT"/>
        </w:rPr>
        <w:t>Vilniaus miesto savivaldybės administracijos</w:t>
      </w:r>
      <w:r>
        <w:rPr>
          <w:rFonts w:ascii="Calibri" w:hAnsi="Calibri"/>
          <w:bCs/>
          <w:sz w:val="22"/>
          <w:szCs w:val="22"/>
          <w:lang w:val="lt-LT"/>
        </w:rPr>
        <w:t xml:space="preserve"> prašymą priteisti iš </w:t>
      </w:r>
      <w:r w:rsidRPr="0009772D">
        <w:rPr>
          <w:rFonts w:ascii="Calibri" w:hAnsi="Calibri"/>
          <w:bCs/>
          <w:sz w:val="22"/>
          <w:szCs w:val="22"/>
          <w:lang w:val="lt-LT"/>
        </w:rPr>
        <w:t>L. V.-M. 2</w:t>
      </w:r>
      <w:r>
        <w:rPr>
          <w:rFonts w:ascii="Calibri" w:hAnsi="Calibri"/>
          <w:bCs/>
          <w:sz w:val="22"/>
          <w:szCs w:val="22"/>
          <w:lang w:val="lt-LT"/>
        </w:rPr>
        <w:t> </w:t>
      </w:r>
      <w:r w:rsidRPr="0009772D">
        <w:rPr>
          <w:rFonts w:ascii="Calibri" w:hAnsi="Calibri"/>
          <w:bCs/>
          <w:sz w:val="22"/>
          <w:szCs w:val="22"/>
          <w:lang w:val="lt-LT"/>
        </w:rPr>
        <w:t>491</w:t>
      </w:r>
      <w:r>
        <w:rPr>
          <w:rFonts w:ascii="Calibri" w:hAnsi="Calibri"/>
          <w:bCs/>
          <w:sz w:val="22"/>
          <w:szCs w:val="22"/>
          <w:lang w:val="lt-LT"/>
        </w:rPr>
        <w:t> </w:t>
      </w:r>
      <w:r w:rsidRPr="0009772D">
        <w:rPr>
          <w:rFonts w:ascii="Calibri" w:hAnsi="Calibri"/>
          <w:bCs/>
          <w:sz w:val="22"/>
          <w:szCs w:val="22"/>
          <w:lang w:val="lt-LT"/>
        </w:rPr>
        <w:t xml:space="preserve">Eur dydžio savivaldybės infrastruktūros plėtros įmoką, kaip nenagrinėtiną teismų </w:t>
      </w:r>
      <w:r>
        <w:rPr>
          <w:rFonts w:ascii="Calibri" w:hAnsi="Calibri"/>
          <w:bCs/>
          <w:sz w:val="22"/>
          <w:szCs w:val="22"/>
          <w:lang w:val="lt-LT"/>
        </w:rPr>
        <w:t xml:space="preserve">ABTĮ nustatyta tvarka. </w:t>
      </w:r>
      <w:r w:rsidR="00A74D41">
        <w:rPr>
          <w:rFonts w:ascii="Calibri" w:hAnsi="Calibri"/>
          <w:bCs/>
          <w:sz w:val="22"/>
          <w:szCs w:val="22"/>
          <w:lang w:val="lt-LT"/>
        </w:rPr>
        <w:t>Pirmosios instancijos t</w:t>
      </w:r>
      <w:r w:rsidRPr="0009772D">
        <w:rPr>
          <w:rFonts w:ascii="Calibri" w:hAnsi="Calibri"/>
          <w:bCs/>
          <w:sz w:val="22"/>
          <w:szCs w:val="22"/>
          <w:lang w:val="lt-LT"/>
        </w:rPr>
        <w:t>eismas sprendė, kad pareiškėjo inicijuotas ginčas yra kilęs iš civilinių teisinių santykių, dėl kurių ginčai yra sprendžiami bendrosios kompetencijos teisme.</w:t>
      </w:r>
    </w:p>
    <w:p w14:paraId="693C7A0C" w14:textId="17A98A15" w:rsidR="00C26C13" w:rsidRPr="00B80B42" w:rsidRDefault="08B4681F" w:rsidP="08B4681F">
      <w:pPr>
        <w:pStyle w:val="NormalWeb"/>
        <w:shd w:val="clear" w:color="auto" w:fill="FFFFFF" w:themeFill="background1"/>
        <w:spacing w:before="0" w:beforeAutospacing="0" w:after="0" w:afterAutospacing="0"/>
        <w:ind w:firstLine="567"/>
        <w:jc w:val="both"/>
        <w:rPr>
          <w:rFonts w:ascii="Calibri" w:hAnsi="Calibri"/>
          <w:sz w:val="22"/>
          <w:szCs w:val="22"/>
          <w:lang w:val="lt-LT"/>
        </w:rPr>
      </w:pPr>
      <w:r w:rsidRPr="28FC6351">
        <w:rPr>
          <w:rFonts w:ascii="Calibri" w:hAnsi="Calibri"/>
          <w:sz w:val="22"/>
          <w:szCs w:val="22"/>
          <w:lang w:val="lt-LT"/>
        </w:rPr>
        <w:lastRenderedPageBreak/>
        <w:t>LVAT teisėjų kolegija, nagrinėdama Vilniaus miesto savivaldybės administracijos atskirąjį skundą, nustatė, jog Vilniaus miesto savivaldybės administracija prašė išieškoti iš atsakovės L. V.-M</w:t>
      </w:r>
      <w:r w:rsidR="3F84474E" w:rsidRPr="28FC6351">
        <w:rPr>
          <w:rFonts w:ascii="Calibri" w:hAnsi="Calibri"/>
          <w:sz w:val="22"/>
          <w:szCs w:val="22"/>
          <w:lang w:val="lt-LT"/>
        </w:rPr>
        <w:t>.</w:t>
      </w:r>
      <w:r w:rsidRPr="28FC6351">
        <w:rPr>
          <w:rFonts w:ascii="Calibri" w:hAnsi="Calibri"/>
          <w:sz w:val="22"/>
          <w:szCs w:val="22"/>
          <w:lang w:val="lt-LT"/>
        </w:rPr>
        <w:t xml:space="preserve"> 2 491 Eur dydžio savivaldybės infrastruktūros plėtros įmoką dėl to, kad atsakovė pastatė pastatą, o jo statybai nereikėjo statybą leidžiančio dokumento, tačiau nuo 2021 m. sausio 1 d. įsigaliojus Savivaldybių infrastruktūros plėtros įstatymui, </w:t>
      </w:r>
      <w:bookmarkStart w:id="53" w:name="pne92e3ca5-51b4-4731-90ba-3a793bce03f9"/>
      <w:bookmarkEnd w:id="53"/>
      <w:r w:rsidRPr="28FC6351">
        <w:rPr>
          <w:rFonts w:ascii="Calibri" w:hAnsi="Calibri"/>
          <w:sz w:val="22"/>
          <w:szCs w:val="22"/>
          <w:lang w:val="lt-LT"/>
        </w:rPr>
        <w:t>statytojui yra apskaičiuojama infrastruktūros plėtros įmoka, kurią yra privaloma sumokėti (</w:t>
      </w:r>
      <w:bookmarkStart w:id="54" w:name="pn9241ab8a-8392-499b-85d6-0fdf0d723618"/>
      <w:bookmarkEnd w:id="54"/>
      <w:r w:rsidRPr="28FC6351">
        <w:rPr>
          <w:rFonts w:ascii="Calibri" w:hAnsi="Calibri"/>
          <w:sz w:val="22"/>
          <w:szCs w:val="22"/>
          <w:lang w:val="lt-LT"/>
        </w:rPr>
        <w:t>2 str. 7 d.). Šios įstatyme nustatytos pareigos L. V.-M neįvykdė netgi raginama, todėl pareiškėjas kreipėsi į teismą dėl minėtos įmokos iš atsakovės priteisimo.</w:t>
      </w:r>
    </w:p>
    <w:p w14:paraId="323A0034" w14:textId="4F29D6BF" w:rsidR="006F2E1B" w:rsidRDefault="00C26C13" w:rsidP="006F2E1B">
      <w:pPr>
        <w:pStyle w:val="NormalWeb"/>
        <w:shd w:val="clear" w:color="auto" w:fill="FFFFFF"/>
        <w:spacing w:before="0" w:beforeAutospacing="0" w:after="0" w:afterAutospacing="0"/>
        <w:ind w:firstLine="567"/>
        <w:jc w:val="both"/>
        <w:rPr>
          <w:rFonts w:ascii="Calibri" w:hAnsi="Calibri"/>
          <w:bCs/>
          <w:sz w:val="22"/>
          <w:szCs w:val="22"/>
          <w:lang w:val="lt-LT"/>
        </w:rPr>
      </w:pPr>
      <w:r w:rsidRPr="00B80B42">
        <w:rPr>
          <w:rFonts w:ascii="Calibri" w:hAnsi="Calibri"/>
          <w:bCs/>
          <w:sz w:val="22"/>
          <w:szCs w:val="22"/>
          <w:lang w:val="lt-LT"/>
        </w:rPr>
        <w:t xml:space="preserve">LVAT pažymėjo, jog </w:t>
      </w:r>
      <w:r>
        <w:rPr>
          <w:rFonts w:ascii="Calibri" w:hAnsi="Calibri"/>
          <w:bCs/>
          <w:sz w:val="22"/>
          <w:szCs w:val="22"/>
          <w:lang w:val="lt-LT"/>
        </w:rPr>
        <w:t>n</w:t>
      </w:r>
      <w:r w:rsidRPr="0009772D">
        <w:rPr>
          <w:rFonts w:ascii="Calibri" w:hAnsi="Calibri"/>
          <w:bCs/>
          <w:sz w:val="22"/>
          <w:szCs w:val="22"/>
          <w:lang w:val="lt-LT"/>
        </w:rPr>
        <w:t xml:space="preserve">ustatytos faktinės aplinkybės patvirtina, kad </w:t>
      </w:r>
      <w:r w:rsidRPr="00007C73">
        <w:rPr>
          <w:rFonts w:ascii="Calibri" w:hAnsi="Calibri"/>
          <w:bCs/>
          <w:sz w:val="22"/>
          <w:szCs w:val="22"/>
          <w:lang w:val="lt-LT"/>
        </w:rPr>
        <w:t xml:space="preserve">ginčas šiuo atveju yra kilęs </w:t>
      </w:r>
      <w:r w:rsidR="00007C73" w:rsidRPr="00007C73">
        <w:rPr>
          <w:rFonts w:ascii="Calibri" w:hAnsi="Calibri"/>
          <w:bCs/>
          <w:sz w:val="22"/>
          <w:szCs w:val="22"/>
          <w:lang w:val="lt-LT"/>
        </w:rPr>
        <w:t>d</w:t>
      </w:r>
      <w:r w:rsidRPr="00007C73">
        <w:rPr>
          <w:rFonts w:ascii="Calibri" w:hAnsi="Calibri"/>
          <w:bCs/>
          <w:sz w:val="22"/>
          <w:szCs w:val="22"/>
          <w:lang w:val="lt-LT"/>
        </w:rPr>
        <w:t>ėl</w:t>
      </w:r>
      <w:r w:rsidRPr="0009772D">
        <w:rPr>
          <w:rFonts w:ascii="Calibri" w:hAnsi="Calibri"/>
          <w:bCs/>
          <w:sz w:val="22"/>
          <w:szCs w:val="22"/>
          <w:lang w:val="lt-LT"/>
        </w:rPr>
        <w:t xml:space="preserve"> L. V.-M. </w:t>
      </w:r>
      <w:bookmarkStart w:id="55" w:name="pn66a54a36-3c7b-4e93-9b82-89e9767e8296"/>
      <w:bookmarkEnd w:id="55"/>
      <w:r>
        <w:rPr>
          <w:rFonts w:ascii="Calibri" w:hAnsi="Calibri"/>
          <w:bCs/>
          <w:sz w:val="22"/>
          <w:szCs w:val="22"/>
          <w:lang w:val="lt-LT"/>
        </w:rPr>
        <w:t>Savivaldybių infrastruktūros plėtros įstatymu</w:t>
      </w:r>
      <w:r w:rsidRPr="0009772D">
        <w:rPr>
          <w:rFonts w:ascii="Calibri" w:hAnsi="Calibri"/>
          <w:bCs/>
          <w:sz w:val="22"/>
          <w:szCs w:val="22"/>
          <w:lang w:val="lt-LT"/>
        </w:rPr>
        <w:t xml:space="preserve"> nustatytos pareigos nevykdymo.</w:t>
      </w:r>
      <w:r>
        <w:rPr>
          <w:rFonts w:ascii="Calibri" w:hAnsi="Calibri"/>
          <w:bCs/>
          <w:sz w:val="22"/>
          <w:szCs w:val="22"/>
          <w:lang w:val="lt-LT"/>
        </w:rPr>
        <w:t xml:space="preserve"> </w:t>
      </w:r>
    </w:p>
    <w:p w14:paraId="371A84C7" w14:textId="24CEF281" w:rsidR="000C3C1B" w:rsidRDefault="00C26C13" w:rsidP="006F2E1B">
      <w:pPr>
        <w:pStyle w:val="NormalWeb"/>
        <w:shd w:val="clear" w:color="auto" w:fill="FFFFFF"/>
        <w:spacing w:before="0" w:beforeAutospacing="0" w:after="0" w:afterAutospacing="0"/>
        <w:ind w:firstLine="567"/>
        <w:jc w:val="both"/>
        <w:rPr>
          <w:rFonts w:ascii="Calibri" w:hAnsi="Calibri"/>
          <w:bCs/>
          <w:sz w:val="22"/>
          <w:szCs w:val="22"/>
          <w:lang w:val="lt-LT"/>
        </w:rPr>
      </w:pPr>
      <w:r>
        <w:rPr>
          <w:rFonts w:ascii="Calibri" w:hAnsi="Calibri"/>
          <w:bCs/>
          <w:sz w:val="22"/>
          <w:szCs w:val="22"/>
          <w:lang w:val="lt-LT"/>
        </w:rPr>
        <w:t>Ap</w:t>
      </w:r>
      <w:r w:rsidRPr="0009772D">
        <w:rPr>
          <w:rFonts w:ascii="Calibri" w:hAnsi="Calibri"/>
          <w:bCs/>
          <w:sz w:val="22"/>
          <w:szCs w:val="22"/>
          <w:lang w:val="lt-LT"/>
        </w:rPr>
        <w:t>ibendrindama nustatytas aplinkybes ir teisinį reguliavimą, teisėjų kolegija konstat</w:t>
      </w:r>
      <w:r>
        <w:rPr>
          <w:rFonts w:ascii="Calibri" w:hAnsi="Calibri"/>
          <w:bCs/>
          <w:sz w:val="22"/>
          <w:szCs w:val="22"/>
          <w:lang w:val="lt-LT"/>
        </w:rPr>
        <w:t>avo</w:t>
      </w:r>
      <w:r w:rsidRPr="0009772D">
        <w:rPr>
          <w:rFonts w:ascii="Calibri" w:hAnsi="Calibri"/>
          <w:bCs/>
          <w:sz w:val="22"/>
          <w:szCs w:val="22"/>
          <w:lang w:val="lt-LT"/>
        </w:rPr>
        <w:t xml:space="preserve">, kad pirmosios instancijos teismas padarė nepagrįstą išvadą, jog pareiškėjo prašymo nagrinėjimas nėra priskirtas administraciniam </w:t>
      </w:r>
      <w:r>
        <w:rPr>
          <w:rFonts w:ascii="Calibri" w:hAnsi="Calibri"/>
          <w:bCs/>
          <w:sz w:val="22"/>
          <w:szCs w:val="22"/>
          <w:lang w:val="lt-LT"/>
        </w:rPr>
        <w:t xml:space="preserve">teismui, todėl </w:t>
      </w:r>
      <w:r w:rsidRPr="0009772D">
        <w:rPr>
          <w:rFonts w:ascii="Calibri" w:hAnsi="Calibri"/>
          <w:bCs/>
          <w:sz w:val="22"/>
          <w:szCs w:val="22"/>
          <w:lang w:val="lt-LT"/>
        </w:rPr>
        <w:t>pirmosios instancijos teismo nutartis panaikinta, o Vilniaus miesto savivaldybės administracijos</w:t>
      </w:r>
      <w:r>
        <w:rPr>
          <w:rFonts w:ascii="Calibri" w:hAnsi="Calibri"/>
          <w:bCs/>
          <w:sz w:val="22"/>
          <w:szCs w:val="22"/>
          <w:lang w:val="lt-LT"/>
        </w:rPr>
        <w:t xml:space="preserve"> </w:t>
      </w:r>
      <w:r w:rsidRPr="0009772D">
        <w:rPr>
          <w:rFonts w:ascii="Calibri" w:hAnsi="Calibri"/>
          <w:bCs/>
          <w:sz w:val="22"/>
          <w:szCs w:val="22"/>
          <w:lang w:val="lt-LT"/>
        </w:rPr>
        <w:t>prašymo priėmimo klausimas perduotas pirmosios instancijos teismui nagrinėti iš naujo</w:t>
      </w:r>
      <w:r>
        <w:rPr>
          <w:rFonts w:ascii="Calibri" w:hAnsi="Calibri"/>
          <w:bCs/>
          <w:sz w:val="22"/>
          <w:szCs w:val="22"/>
          <w:lang w:val="lt-LT"/>
        </w:rPr>
        <w:t>.</w:t>
      </w:r>
    </w:p>
    <w:p w14:paraId="400993F5" w14:textId="77777777" w:rsidR="006F2E1B" w:rsidRDefault="006F2E1B" w:rsidP="006F2E1B">
      <w:pPr>
        <w:pStyle w:val="NormalWeb"/>
        <w:shd w:val="clear" w:color="auto" w:fill="FFFFFF"/>
        <w:spacing w:before="0" w:beforeAutospacing="0" w:after="0" w:afterAutospacing="0"/>
        <w:ind w:firstLine="567"/>
        <w:jc w:val="both"/>
        <w:rPr>
          <w:rFonts w:ascii="Calibri" w:hAnsi="Calibri"/>
          <w:bCs/>
          <w:sz w:val="22"/>
          <w:szCs w:val="22"/>
          <w:lang w:val="lt-LT"/>
        </w:rPr>
      </w:pPr>
    </w:p>
    <w:p w14:paraId="437C808C" w14:textId="77777777" w:rsidR="007F14AD" w:rsidRPr="00DB603B" w:rsidRDefault="007F14AD" w:rsidP="006066BB">
      <w:pPr>
        <w:pStyle w:val="NormalWeb"/>
        <w:shd w:val="clear" w:color="auto" w:fill="FFFFFF"/>
        <w:spacing w:before="0" w:beforeAutospacing="0" w:after="0" w:afterAutospacing="0"/>
        <w:jc w:val="both"/>
        <w:rPr>
          <w:rFonts w:ascii="Calibri" w:hAnsi="Calibri"/>
          <w:bCs/>
          <w:sz w:val="22"/>
          <w:szCs w:val="22"/>
          <w:lang w:val="lt-LT"/>
        </w:rPr>
      </w:pPr>
      <w:r w:rsidRPr="00DB603B">
        <w:rPr>
          <w:rFonts w:ascii="Calibri" w:hAnsi="Calibri"/>
          <w:bCs/>
          <w:sz w:val="22"/>
          <w:szCs w:val="22"/>
          <w:lang w:val="lt-LT"/>
        </w:rPr>
        <w:t xml:space="preserve">2025 m. </w:t>
      </w:r>
      <w:r>
        <w:rPr>
          <w:rFonts w:ascii="Calibri" w:hAnsi="Calibri"/>
          <w:bCs/>
          <w:sz w:val="22"/>
          <w:szCs w:val="22"/>
          <w:lang w:val="lt-LT"/>
        </w:rPr>
        <w:t>balandžio 9</w:t>
      </w:r>
      <w:r w:rsidRPr="00DB603B">
        <w:rPr>
          <w:rFonts w:ascii="Calibri" w:hAnsi="Calibri"/>
          <w:bCs/>
          <w:sz w:val="22"/>
          <w:szCs w:val="22"/>
          <w:lang w:val="lt-LT"/>
        </w:rPr>
        <w:t xml:space="preserve"> d. nutartis administracinėje byloje </w:t>
      </w:r>
      <w:r w:rsidRPr="00CE09E8">
        <w:rPr>
          <w:rFonts w:ascii="Calibri" w:hAnsi="Calibri"/>
          <w:bCs/>
          <w:sz w:val="22"/>
          <w:szCs w:val="22"/>
          <w:lang w:val="lt-LT"/>
        </w:rPr>
        <w:t>Nr. eAS-436-1188/2025</w:t>
      </w:r>
    </w:p>
    <w:p w14:paraId="1A5C421E" w14:textId="77777777" w:rsidR="007F14AD" w:rsidRDefault="007F14AD" w:rsidP="006066BB">
      <w:pPr>
        <w:pStyle w:val="NormalWeb"/>
        <w:shd w:val="clear" w:color="auto" w:fill="FFFFFF"/>
        <w:spacing w:before="0" w:beforeAutospacing="0" w:after="0" w:afterAutospacing="0"/>
        <w:jc w:val="both"/>
        <w:rPr>
          <w:rFonts w:ascii="Calibri" w:hAnsi="Calibri"/>
          <w:bCs/>
          <w:sz w:val="22"/>
          <w:szCs w:val="22"/>
          <w:lang w:val="lt-LT"/>
        </w:rPr>
      </w:pPr>
      <w:r w:rsidRPr="00DB603B">
        <w:rPr>
          <w:rFonts w:ascii="Calibri" w:hAnsi="Calibri"/>
          <w:bCs/>
          <w:sz w:val="22"/>
          <w:szCs w:val="22"/>
          <w:lang w:val="lt-LT"/>
        </w:rPr>
        <w:t xml:space="preserve">Teisminio proceso </w:t>
      </w:r>
      <w:r w:rsidRPr="00CE09E8">
        <w:rPr>
          <w:rFonts w:ascii="Calibri" w:hAnsi="Calibri"/>
          <w:bCs/>
          <w:sz w:val="22"/>
          <w:szCs w:val="22"/>
          <w:lang w:val="lt-LT"/>
        </w:rPr>
        <w:t>Nr. 3-61-3-00744-2025-7</w:t>
      </w:r>
    </w:p>
    <w:p w14:paraId="606148C5" w14:textId="77777777" w:rsidR="007F14AD" w:rsidRDefault="007F14AD" w:rsidP="006066BB">
      <w:pPr>
        <w:pStyle w:val="NormalWeb"/>
        <w:shd w:val="clear" w:color="auto" w:fill="FFFFFF"/>
        <w:spacing w:before="0" w:beforeAutospacing="0" w:after="0" w:afterAutospacing="0"/>
        <w:jc w:val="both"/>
        <w:rPr>
          <w:rFonts w:ascii="Calibri" w:hAnsi="Calibri"/>
          <w:bCs/>
          <w:sz w:val="22"/>
          <w:szCs w:val="22"/>
          <w:lang w:val="lt-LT"/>
        </w:rPr>
      </w:pPr>
      <w:hyperlink r:id="rId22" w:history="1">
        <w:r w:rsidRPr="00CE09E8">
          <w:rPr>
            <w:rStyle w:val="Hyperlink"/>
            <w:rFonts w:ascii="Calibri" w:hAnsi="Calibri"/>
            <w:bCs/>
            <w:sz w:val="22"/>
            <w:szCs w:val="22"/>
            <w:lang w:val="lt-LT"/>
          </w:rPr>
          <w:t>Prieiga internete</w:t>
        </w:r>
      </w:hyperlink>
    </w:p>
    <w:p w14:paraId="22481DE1" w14:textId="77777777" w:rsidR="007F14AD" w:rsidRPr="000C3C1B" w:rsidRDefault="007F14AD" w:rsidP="006F2E1B">
      <w:pPr>
        <w:pStyle w:val="NormalWeb"/>
        <w:shd w:val="clear" w:color="auto" w:fill="FFFFFF"/>
        <w:spacing w:before="0" w:beforeAutospacing="0" w:after="0" w:afterAutospacing="0"/>
        <w:ind w:firstLine="567"/>
        <w:jc w:val="both"/>
        <w:rPr>
          <w:rFonts w:cstheme="minorHAnsi"/>
        </w:rPr>
      </w:pPr>
    </w:p>
    <w:p w14:paraId="59A5E6CD" w14:textId="77777777" w:rsidR="00BA63CF" w:rsidRPr="000127E6" w:rsidRDefault="00BA63CF" w:rsidP="000127E6">
      <w:pPr>
        <w:jc w:val="both"/>
        <w:outlineLvl w:val="1"/>
        <w:rPr>
          <w:rFonts w:asciiTheme="minorHAnsi" w:eastAsia="Calibri" w:hAnsiTheme="minorHAnsi" w:cstheme="minorHAnsi"/>
          <w:i/>
          <w:sz w:val="22"/>
          <w:szCs w:val="22"/>
        </w:rPr>
      </w:pPr>
      <w:bookmarkStart w:id="56" w:name="_Toc199503163"/>
      <w:r w:rsidRPr="000127E6">
        <w:rPr>
          <w:rFonts w:asciiTheme="minorHAnsi" w:eastAsia="Calibri" w:hAnsiTheme="minorHAnsi" w:cstheme="minorHAnsi"/>
          <w:i/>
          <w:sz w:val="22"/>
          <w:szCs w:val="22"/>
        </w:rPr>
        <w:t>Dėl teritorinio teismingumo taisyklių pažeidimo nelaikymo absoliučiu pirmosios instancijos teismo sprendimo negaliojimo pagrindu</w:t>
      </w:r>
      <w:bookmarkEnd w:id="56"/>
    </w:p>
    <w:p w14:paraId="4C942E3F" w14:textId="4C26185E" w:rsidR="00BA63CF" w:rsidRPr="000127E6" w:rsidRDefault="00BA63CF" w:rsidP="000127E6">
      <w:pPr>
        <w:jc w:val="both"/>
        <w:outlineLvl w:val="1"/>
        <w:rPr>
          <w:rFonts w:asciiTheme="minorHAnsi" w:eastAsia="Calibri" w:hAnsiTheme="minorHAnsi" w:cstheme="minorHAnsi"/>
          <w:i/>
          <w:sz w:val="22"/>
          <w:szCs w:val="22"/>
        </w:rPr>
      </w:pPr>
      <w:bookmarkStart w:id="57" w:name="_Toc199503164"/>
      <w:r w:rsidRPr="000127E6">
        <w:rPr>
          <w:rFonts w:asciiTheme="minorHAnsi" w:eastAsia="Calibri" w:hAnsiTheme="minorHAnsi" w:cstheme="minorHAnsi"/>
          <w:i/>
          <w:sz w:val="22"/>
          <w:szCs w:val="22"/>
        </w:rPr>
        <w:t>Dėl Konstitucinio Teismo sprendimų, kuriais atsisakoma priimti individualų konstitucinį skundą, neskundžiamumo</w:t>
      </w:r>
      <w:bookmarkEnd w:id="57"/>
    </w:p>
    <w:p w14:paraId="6BBF16AD" w14:textId="77777777" w:rsidR="00BA63CF" w:rsidRDefault="00BA63CF" w:rsidP="00BA63CF">
      <w:pPr>
        <w:pStyle w:val="NoSpacing"/>
        <w:jc w:val="both"/>
        <w:rPr>
          <w:rFonts w:cstheme="minorHAnsi"/>
        </w:rPr>
      </w:pPr>
    </w:p>
    <w:p w14:paraId="1CD5EB5A" w14:textId="699F2F88" w:rsidR="00BA63CF" w:rsidRDefault="00BA63CF" w:rsidP="00BA63CF">
      <w:pPr>
        <w:pStyle w:val="NoSpacing"/>
        <w:ind w:firstLine="567"/>
        <w:jc w:val="both"/>
        <w:rPr>
          <w:rFonts w:cstheme="minorHAnsi"/>
        </w:rPr>
      </w:pPr>
      <w:r>
        <w:rPr>
          <w:rFonts w:cstheme="minorHAnsi"/>
        </w:rPr>
        <w:t>Pareiškėjai kreipėsi į administracinį</w:t>
      </w:r>
      <w:r w:rsidRPr="00C66D52">
        <w:rPr>
          <w:rFonts w:cstheme="minorHAnsi"/>
        </w:rPr>
        <w:t xml:space="preserve"> teismą su skundu, </w:t>
      </w:r>
      <w:r>
        <w:rPr>
          <w:rFonts w:cstheme="minorHAnsi"/>
        </w:rPr>
        <w:t>prašydami</w:t>
      </w:r>
      <w:r w:rsidRPr="00C66D52">
        <w:rPr>
          <w:rFonts w:cstheme="minorHAnsi"/>
        </w:rPr>
        <w:t xml:space="preserve"> panaikinti Lietuvos administracinių ginčų komisijos (toliau – Komisija) sprendimą, kuriuo atsisakyta priimti nagrinėti pareiškėjų skundą dėl Konstitucinio Teismo sprendimo, ir perduoti pareiškėjų skundo priėmimo klausimą iš naujo nagrinėti Komisijai.</w:t>
      </w:r>
    </w:p>
    <w:p w14:paraId="55B2A2F3" w14:textId="75615D69" w:rsidR="00BA63CF" w:rsidRDefault="00BA63CF" w:rsidP="00BA63CF">
      <w:pPr>
        <w:pStyle w:val="NoSpacing"/>
        <w:ind w:firstLine="567"/>
        <w:jc w:val="both"/>
        <w:rPr>
          <w:rFonts w:cstheme="minorHAnsi"/>
        </w:rPr>
      </w:pPr>
      <w:r w:rsidRPr="00140FD9">
        <w:rPr>
          <w:rFonts w:cstheme="minorHAnsi"/>
        </w:rPr>
        <w:t xml:space="preserve">Pirmosios instancijos teismas </w:t>
      </w:r>
      <w:r w:rsidRPr="00EC546E">
        <w:rPr>
          <w:rFonts w:cstheme="minorHAnsi"/>
        </w:rPr>
        <w:t xml:space="preserve">atmetė pareiškėjų skundo dalį dėl Komisijos sprendimo panaikinimo ir nutraukė bylos dalį dėl pareiškėjų reikalavimų panaikinti Konstitucinio Teismo sprendimą </w:t>
      </w:r>
      <w:r>
        <w:rPr>
          <w:rFonts w:cstheme="minorHAnsi"/>
        </w:rPr>
        <w:t xml:space="preserve">bei </w:t>
      </w:r>
      <w:r w:rsidRPr="00EC546E">
        <w:rPr>
          <w:rFonts w:cstheme="minorHAnsi"/>
        </w:rPr>
        <w:t>įpareigoti Konstitucinį Teismą išnagrinėti pareiškėjų prašymą iš esmės.</w:t>
      </w:r>
    </w:p>
    <w:p w14:paraId="41223A84" w14:textId="77777777" w:rsidR="00BA63CF" w:rsidRDefault="00BA63CF" w:rsidP="00BA63CF">
      <w:pPr>
        <w:pStyle w:val="NoSpacing"/>
        <w:ind w:firstLine="567"/>
        <w:jc w:val="both"/>
        <w:rPr>
          <w:rFonts w:cstheme="minorHAnsi"/>
        </w:rPr>
      </w:pPr>
      <w:r>
        <w:rPr>
          <w:rFonts w:cstheme="minorHAnsi"/>
        </w:rPr>
        <w:t>Nesutikdami su pirmosios instancijos teismo sprendimu, pareiškėjai apeliaciniame skunde, be kita ko, nurodė</w:t>
      </w:r>
      <w:r w:rsidRPr="004A2A52">
        <w:rPr>
          <w:rFonts w:cstheme="minorHAnsi"/>
        </w:rPr>
        <w:t>, jog pirmosios instancijos teismo sprendimas turi būti panaikintas dėl to, kad administracinę bylą nagrinėjo neteisėtos sudėties teismas. Tokią poziciją pareiškėjai grind</w:t>
      </w:r>
      <w:r>
        <w:rPr>
          <w:rFonts w:cstheme="minorHAnsi"/>
        </w:rPr>
        <w:t>ė</w:t>
      </w:r>
      <w:r w:rsidRPr="004A2A52">
        <w:rPr>
          <w:rFonts w:cstheme="minorHAnsi"/>
        </w:rPr>
        <w:t xml:space="preserve"> aplinkybe, kad jų gyvenamoji vieta yra Panevėžyje, o bylą nagrinėjo Regionų administracinio teismo Klaipėdos rūmai.</w:t>
      </w:r>
      <w:r>
        <w:rPr>
          <w:rFonts w:cstheme="minorHAnsi"/>
        </w:rPr>
        <w:t xml:space="preserve"> Pareiškėjai taip pat laikėsi pozicijos, kad pirmosios instancijos teismas turėjo perduoti Komisijai iš naujo spręsti jų skundo dėl Konstitucinio Teismo sprendimo panaikinimo priėmimo klausimą.</w:t>
      </w:r>
    </w:p>
    <w:p w14:paraId="592BA58E" w14:textId="14DFD72A" w:rsidR="00BA63CF" w:rsidRDefault="00BA63CF" w:rsidP="00BA63CF">
      <w:pPr>
        <w:pStyle w:val="NoSpacing"/>
        <w:ind w:firstLine="567"/>
        <w:jc w:val="both"/>
        <w:rPr>
          <w:rFonts w:cstheme="minorHAnsi"/>
        </w:rPr>
      </w:pPr>
      <w:r>
        <w:rPr>
          <w:rFonts w:cstheme="minorHAnsi"/>
        </w:rPr>
        <w:t xml:space="preserve">LVAT </w:t>
      </w:r>
      <w:r w:rsidRPr="00EE4C21">
        <w:rPr>
          <w:rFonts w:cstheme="minorHAnsi"/>
        </w:rPr>
        <w:t>išplėstinė teisėjų kolegija</w:t>
      </w:r>
      <w:r>
        <w:rPr>
          <w:rFonts w:cstheme="minorHAnsi"/>
        </w:rPr>
        <w:t xml:space="preserve"> pirmiausiai</w:t>
      </w:r>
      <w:r w:rsidRPr="00EE4C21">
        <w:rPr>
          <w:rFonts w:cstheme="minorHAnsi"/>
        </w:rPr>
        <w:t xml:space="preserve"> </w:t>
      </w:r>
      <w:r>
        <w:rPr>
          <w:rFonts w:cstheme="minorHAnsi"/>
        </w:rPr>
        <w:t>pažymėjo, jog p</w:t>
      </w:r>
      <w:r w:rsidRPr="002E3CE4">
        <w:rPr>
          <w:rFonts w:cstheme="minorHAnsi"/>
        </w:rPr>
        <w:t xml:space="preserve">areiškėjai bylos duomenimis ir teisės aktų normomis nepagrindė, kad </w:t>
      </w:r>
      <w:r w:rsidR="00B2311C">
        <w:rPr>
          <w:rFonts w:cstheme="minorHAnsi"/>
        </w:rPr>
        <w:t>šiuo</w:t>
      </w:r>
      <w:r w:rsidRPr="002E3CE4">
        <w:rPr>
          <w:rFonts w:cstheme="minorHAnsi"/>
        </w:rPr>
        <w:t xml:space="preserve"> atveju buvo pažeistos ABTĮ nuostatos dėl bylą nagrinėjusio teismo sudėties (pagal ABTĮ 43 straipsnio 1 dalį bylas dėl administracinių ginčų komisijų priimtų sprendimų nagrinėja vienas teisėjas), nereiškė jokių argumentų dėl galimo bylą nagrinėjusio teisėjo šališkumo. Byloje taip pat n</w:t>
      </w:r>
      <w:r>
        <w:rPr>
          <w:rFonts w:cstheme="minorHAnsi"/>
        </w:rPr>
        <w:t>ebuvo</w:t>
      </w:r>
      <w:r w:rsidRPr="002E3CE4">
        <w:rPr>
          <w:rFonts w:cstheme="minorHAnsi"/>
        </w:rPr>
        <w:t xml:space="preserve"> duomenų, patvirtinančių, kad </w:t>
      </w:r>
      <w:r w:rsidR="00B2311C">
        <w:rPr>
          <w:rFonts w:cstheme="minorHAnsi"/>
        </w:rPr>
        <w:t>šiuo</w:t>
      </w:r>
      <w:r w:rsidRPr="002E3CE4">
        <w:rPr>
          <w:rFonts w:cstheme="minorHAnsi"/>
        </w:rPr>
        <w:t xml:space="preserve"> atveju buvo pažeistos funkcinio (instancinio) priskirtinumo arba bylų rūšinio teismingumo bendrosios kompetencijos ar administraciniam teismui taisyklės. Pareiškėjų nurod</w:t>
      </w:r>
      <w:r>
        <w:rPr>
          <w:rFonts w:cstheme="minorHAnsi"/>
        </w:rPr>
        <w:t>yt</w:t>
      </w:r>
      <w:r w:rsidRPr="002E3CE4">
        <w:rPr>
          <w:rFonts w:cstheme="minorHAnsi"/>
        </w:rPr>
        <w:t xml:space="preserve">as </w:t>
      </w:r>
      <w:r w:rsidRPr="00034604">
        <w:rPr>
          <w:rFonts w:cstheme="minorHAnsi"/>
          <w:u w:val="single"/>
        </w:rPr>
        <w:t>teritorinis teismingumas nepatenka į ABTĮ 146 straipsnio 2 dalies 1 punkto taikymo sritį</w:t>
      </w:r>
      <w:r w:rsidRPr="002E3CE4">
        <w:rPr>
          <w:rFonts w:cstheme="minorHAnsi"/>
        </w:rPr>
        <w:t>.</w:t>
      </w:r>
      <w:r>
        <w:rPr>
          <w:rFonts w:cstheme="minorHAnsi"/>
        </w:rPr>
        <w:t xml:space="preserve"> Įvertinęs byloje nustatytas aplinkybes, LVAT konstatavo, jog </w:t>
      </w:r>
      <w:r w:rsidRPr="00EE4C21">
        <w:rPr>
          <w:rFonts w:cstheme="minorHAnsi"/>
        </w:rPr>
        <w:t xml:space="preserve">ABTĮ 31 straipsnio 1 dalyje įtvirtintų proceso teisės normų, reglamentuojančių administracinių bylų teritorinį teismingumą, pažeidimas </w:t>
      </w:r>
      <w:r w:rsidR="00530F84">
        <w:rPr>
          <w:rFonts w:cstheme="minorHAnsi"/>
        </w:rPr>
        <w:t>šios</w:t>
      </w:r>
      <w:r w:rsidRPr="00EE4C21">
        <w:rPr>
          <w:rFonts w:cstheme="minorHAnsi"/>
        </w:rPr>
        <w:t xml:space="preserve"> bylos atveju nebuvo toks, dėl kurio galėjo būti neteisingai išspręsta byla. Byla pirmosios instancijos teisme buvo išnagrinėta žodžiu, organizuojant nuotolinį teismo posėdį, pareiškėjai apie šį posėdį buvo tinkamai informuoti išsiunčiant teismo šaukimą pareiškėjų skunde nurodytu adresu. Teismo posėdyje dalyvavo vienas iš pareiškėjų, nušalinimų bylą nagrinėjusiam teisėjui nereiškė, pasisakė su byla susijusiais klausimais. Taigi aptariamos bylos atveju buvo užtikrintas pareiškėjų proceso teisių įgyvendinimas.</w:t>
      </w:r>
    </w:p>
    <w:p w14:paraId="7A7B1CFD" w14:textId="00A3B2E0" w:rsidR="00BA63CF" w:rsidRDefault="00BA63CF" w:rsidP="00BA63CF">
      <w:pPr>
        <w:pStyle w:val="NoSpacing"/>
        <w:ind w:firstLine="567"/>
        <w:jc w:val="both"/>
        <w:rPr>
          <w:rFonts w:cstheme="minorHAnsi"/>
        </w:rPr>
      </w:pPr>
      <w:r>
        <w:rPr>
          <w:rFonts w:cstheme="minorHAnsi"/>
        </w:rPr>
        <w:t xml:space="preserve">Vadovaudamasis bylai aktualiu Konstitucijoje bei Konstitucinio </w:t>
      </w:r>
      <w:r w:rsidR="00076BC6">
        <w:rPr>
          <w:rFonts w:cstheme="minorHAnsi"/>
        </w:rPr>
        <w:t>T</w:t>
      </w:r>
      <w:r>
        <w:rPr>
          <w:rFonts w:cstheme="minorHAnsi"/>
        </w:rPr>
        <w:t xml:space="preserve">eismo įstatyme įtvirtintu reglamentavimu, taip pat oficialiosios konstitucinės doktrinos nuostatomis, LVAT pabrėžė, jog </w:t>
      </w:r>
      <w:r w:rsidRPr="00C15DE4">
        <w:rPr>
          <w:rFonts w:cstheme="minorHAnsi"/>
        </w:rPr>
        <w:t xml:space="preserve">Konstitucinis Teismas yra savarankiška konstitucinės justicijos institucija, kuriai vienintelei pagal Konstituciją pavesta vykdyti konstitucinę teisminę kontrolę, be kita ko, spręsti dėl individualaus konstitucinio skundo priimtinumo, ir kurios visi sprendimai, priimti vykdant konstitucinį teisingumą, yra galutiniai ir neskundžiami. Tokia </w:t>
      </w:r>
      <w:r w:rsidRPr="00C15DE4">
        <w:rPr>
          <w:rFonts w:cstheme="minorHAnsi"/>
          <w:u w:val="single"/>
        </w:rPr>
        <w:t xml:space="preserve">išimtinė </w:t>
      </w:r>
      <w:r w:rsidRPr="00C15DE4">
        <w:rPr>
          <w:rFonts w:cstheme="minorHAnsi"/>
          <w:u w:val="single"/>
        </w:rPr>
        <w:lastRenderedPageBreak/>
        <w:t>Konstitucinio Teismo jurisdikcija reiškia, kad individualaus konstitucinio skundo (ne)priė</w:t>
      </w:r>
      <w:r w:rsidR="000C53F1">
        <w:rPr>
          <w:rFonts w:cstheme="minorHAnsi"/>
          <w:u w:val="single"/>
        </w:rPr>
        <w:t>m</w:t>
      </w:r>
      <w:r w:rsidRPr="00C15DE4">
        <w:rPr>
          <w:rFonts w:cstheme="minorHAnsi"/>
          <w:u w:val="single"/>
        </w:rPr>
        <w:t>imo klausimų vertinimas negalimas jokioje kitoje valstybės valdžios institucijoje, įskaitant administracinius teismus</w:t>
      </w:r>
      <w:r w:rsidRPr="00C15DE4">
        <w:rPr>
          <w:rFonts w:cstheme="minorHAnsi"/>
        </w:rPr>
        <w:t>.</w:t>
      </w:r>
    </w:p>
    <w:p w14:paraId="6013FF08" w14:textId="3EB10521" w:rsidR="00BA63CF" w:rsidRDefault="00BA63CF" w:rsidP="00BA63CF">
      <w:pPr>
        <w:pStyle w:val="NoSpacing"/>
        <w:ind w:firstLine="567"/>
        <w:jc w:val="both"/>
        <w:rPr>
          <w:rFonts w:cstheme="minorHAnsi"/>
        </w:rPr>
      </w:pPr>
      <w:r>
        <w:rPr>
          <w:rFonts w:cstheme="minorHAnsi"/>
        </w:rPr>
        <w:t xml:space="preserve">Atsižvelgęs į tai, kad </w:t>
      </w:r>
      <w:r w:rsidRPr="00CB2E22">
        <w:rPr>
          <w:rFonts w:cstheme="minorHAnsi"/>
        </w:rPr>
        <w:t xml:space="preserve">byloje keliamo ginčo dalykas </w:t>
      </w:r>
      <w:r>
        <w:rPr>
          <w:rFonts w:cstheme="minorHAnsi"/>
        </w:rPr>
        <w:t>buvo</w:t>
      </w:r>
      <w:r w:rsidRPr="00CB2E22">
        <w:rPr>
          <w:rFonts w:cstheme="minorHAnsi"/>
        </w:rPr>
        <w:t xml:space="preserve"> Konstitucinio Teismo sprendimas, kuriuo atsisakyta nagrinėti pareiškėjų teiktą individualų konstitucinį skundą bei atnaujinti jo pateikimo terminą</w:t>
      </w:r>
      <w:r>
        <w:rPr>
          <w:rFonts w:cstheme="minorHAnsi"/>
        </w:rPr>
        <w:t>, LVAT darė išvadą, kad</w:t>
      </w:r>
      <w:r w:rsidRPr="00CB2E22">
        <w:rPr>
          <w:rFonts w:cstheme="minorHAnsi"/>
        </w:rPr>
        <w:t xml:space="preserve"> pirmosios instancijos teismas pagrįstai nutraukė administracinės bylos dalį dėl tokio Konstitucinio Teismo sprendimo panaikinimo ir įpareigojimo atlikti veiksmus, nustatęs, kad pareiškėjų keliamas ginčas nepatenka į administracinių teismų kompetenciją. Vis dėlto, </w:t>
      </w:r>
      <w:r w:rsidRPr="00CB2E22">
        <w:rPr>
          <w:rFonts w:cstheme="minorHAnsi"/>
          <w:u w:val="single"/>
        </w:rPr>
        <w:t>nustačius, kad teisme pareiškėjų keliamas ginčas yra susijęs su išimtine Konstitucinio Teismo kompetencija individualaus konstitucinio skundo (ne)priėmimo srityje ir kad individualaus konstitucinio skundo (ne)priė</w:t>
      </w:r>
      <w:r w:rsidR="009B1380">
        <w:rPr>
          <w:rFonts w:cstheme="minorHAnsi"/>
          <w:u w:val="single"/>
        </w:rPr>
        <w:t>m</w:t>
      </w:r>
      <w:r w:rsidRPr="00CB2E22">
        <w:rPr>
          <w:rFonts w:cstheme="minorHAnsi"/>
          <w:u w:val="single"/>
        </w:rPr>
        <w:t>imo klausimų vertinimas negalimas administraciniuose teismuose, akivaizdu, jog Komisijos veiksmų, sprendžiant pareiškėjų skundo priėmimo klausimą, vertinimas teisme būtų beprasmis ir nederėtų su proceso operatyvumo bei ekonomiškumo principais</w:t>
      </w:r>
      <w:r w:rsidRPr="00CB2E22">
        <w:rPr>
          <w:rFonts w:cstheme="minorHAnsi"/>
        </w:rPr>
        <w:t xml:space="preserve">. </w:t>
      </w:r>
      <w:r>
        <w:rPr>
          <w:rFonts w:cstheme="minorHAnsi"/>
        </w:rPr>
        <w:t>P</w:t>
      </w:r>
      <w:r w:rsidRPr="00CB2E22">
        <w:rPr>
          <w:rFonts w:cstheme="minorHAnsi"/>
        </w:rPr>
        <w:t>abrėžiant aplinkybę, kad Komisijos sprendimas nėra administracinės bylos dalykas, konstatuota, jog pirmosios instancijos teisme pradėta nagrinėti administracinė byla pagal pareiškėjų skundą turėjo būti nutraukta visa apimtimi.</w:t>
      </w:r>
    </w:p>
    <w:p w14:paraId="7A2BD01C" w14:textId="541D8A4E" w:rsidR="00BA63CF" w:rsidRDefault="00BA63CF" w:rsidP="00BA63CF">
      <w:pPr>
        <w:pStyle w:val="NoSpacing"/>
        <w:ind w:firstLine="567"/>
        <w:jc w:val="both"/>
        <w:rPr>
          <w:rFonts w:cstheme="minorHAnsi"/>
        </w:rPr>
      </w:pPr>
      <w:r>
        <w:rPr>
          <w:rFonts w:cstheme="minorHAnsi"/>
        </w:rPr>
        <w:t>LVAT pakeitė pirmosios instancijos teismo sprendimą – bylą pagal pareiškėjų skundą nutraukė.</w:t>
      </w:r>
    </w:p>
    <w:p w14:paraId="7DDBCC30" w14:textId="77777777" w:rsidR="00BA63CF" w:rsidRPr="00140FD9" w:rsidRDefault="00BA63CF" w:rsidP="00BA63CF">
      <w:pPr>
        <w:pStyle w:val="NoSpacing"/>
        <w:jc w:val="both"/>
        <w:rPr>
          <w:rFonts w:cstheme="minorHAnsi"/>
        </w:rPr>
      </w:pPr>
    </w:p>
    <w:p w14:paraId="74353DC1" w14:textId="77777777" w:rsidR="00BA63CF" w:rsidRPr="00140FD9" w:rsidRDefault="00BA63CF" w:rsidP="00BA63CF">
      <w:pPr>
        <w:pStyle w:val="NoSpacing"/>
        <w:jc w:val="both"/>
        <w:rPr>
          <w:rFonts w:cstheme="minorHAnsi"/>
        </w:rPr>
      </w:pPr>
      <w:r w:rsidRPr="00C15DE4">
        <w:rPr>
          <w:rFonts w:cstheme="minorHAnsi"/>
        </w:rPr>
        <w:t xml:space="preserve">Išplėstinės teisėjų kolegijos </w:t>
      </w:r>
      <w:r w:rsidRPr="00140FD9">
        <w:rPr>
          <w:rFonts w:cstheme="minorHAnsi"/>
        </w:rPr>
        <w:t xml:space="preserve">2025 m. </w:t>
      </w:r>
      <w:r>
        <w:rPr>
          <w:rFonts w:cstheme="minorHAnsi"/>
        </w:rPr>
        <w:t>balandžio 16</w:t>
      </w:r>
      <w:r w:rsidRPr="00140FD9">
        <w:rPr>
          <w:rFonts w:cstheme="minorHAnsi"/>
        </w:rPr>
        <w:t xml:space="preserve"> d. </w:t>
      </w:r>
      <w:r>
        <w:rPr>
          <w:rFonts w:cstheme="minorHAnsi"/>
        </w:rPr>
        <w:t>nutartis</w:t>
      </w:r>
      <w:r w:rsidRPr="00140FD9">
        <w:rPr>
          <w:rFonts w:cstheme="minorHAnsi"/>
        </w:rPr>
        <w:t xml:space="preserve"> administracinėje byloje Nr. </w:t>
      </w:r>
      <w:r w:rsidRPr="00970753">
        <w:rPr>
          <w:rFonts w:cstheme="minorHAnsi"/>
        </w:rPr>
        <w:t>A-696-1047/2025</w:t>
      </w:r>
    </w:p>
    <w:p w14:paraId="398EF9BE" w14:textId="77777777" w:rsidR="00BA63CF" w:rsidRPr="00140FD9" w:rsidRDefault="00BA63CF" w:rsidP="00BA63CF">
      <w:pPr>
        <w:pStyle w:val="NoSpacing"/>
        <w:jc w:val="both"/>
        <w:rPr>
          <w:rFonts w:cstheme="minorHAnsi"/>
        </w:rPr>
      </w:pPr>
      <w:r w:rsidRPr="00140FD9">
        <w:rPr>
          <w:rFonts w:cstheme="minorHAnsi"/>
        </w:rPr>
        <w:t xml:space="preserve">Teisminio proceso Nr. </w:t>
      </w:r>
      <w:r w:rsidRPr="00970753">
        <w:rPr>
          <w:rFonts w:cstheme="minorHAnsi"/>
        </w:rPr>
        <w:t>3-65-3-00365-2024-9</w:t>
      </w:r>
    </w:p>
    <w:p w14:paraId="3D0FC5C4" w14:textId="77777777" w:rsidR="00BA63CF" w:rsidRPr="00140FD9" w:rsidRDefault="00BA63CF" w:rsidP="00BA63CF">
      <w:pPr>
        <w:pStyle w:val="NoSpacing"/>
        <w:jc w:val="both"/>
        <w:rPr>
          <w:rStyle w:val="Hyperlink"/>
          <w:rFonts w:cstheme="minorHAnsi"/>
        </w:rPr>
      </w:pPr>
      <w:r w:rsidRPr="00140FD9">
        <w:rPr>
          <w:rFonts w:cstheme="minorHAnsi"/>
        </w:rPr>
        <w:fldChar w:fldCharType="begin"/>
      </w:r>
      <w:r>
        <w:rPr>
          <w:rFonts w:cstheme="minorHAnsi"/>
        </w:rPr>
        <w:instrText>HYPERLINK "https://www.e-tar.lt/portal/lt/legalAct/6f138a5121ee11f08fdabd4950271e2c"</w:instrText>
      </w:r>
      <w:r w:rsidRPr="00140FD9">
        <w:rPr>
          <w:rFonts w:cstheme="minorHAnsi"/>
        </w:rPr>
      </w:r>
      <w:r w:rsidRPr="00140FD9">
        <w:rPr>
          <w:rFonts w:cstheme="minorHAnsi"/>
        </w:rPr>
        <w:fldChar w:fldCharType="separate"/>
      </w:r>
      <w:r w:rsidRPr="00140FD9">
        <w:rPr>
          <w:rStyle w:val="Hyperlink"/>
          <w:rFonts w:cstheme="minorHAnsi"/>
        </w:rPr>
        <w:t>Prieiga internete</w:t>
      </w:r>
    </w:p>
    <w:p w14:paraId="55F15283" w14:textId="67E9E655" w:rsidR="0039738B" w:rsidRDefault="00BA63CF" w:rsidP="00A44260">
      <w:pPr>
        <w:ind w:firstLine="567"/>
        <w:jc w:val="both"/>
        <w:rPr>
          <w:rFonts w:cstheme="minorHAnsi"/>
        </w:rPr>
      </w:pPr>
      <w:r w:rsidRPr="00140FD9">
        <w:rPr>
          <w:rFonts w:cstheme="minorHAnsi"/>
        </w:rPr>
        <w:fldChar w:fldCharType="end"/>
      </w:r>
    </w:p>
    <w:p w14:paraId="57EBFFA1" w14:textId="77777777" w:rsidR="008A4C7A" w:rsidRPr="0009772D" w:rsidRDefault="008A4C7A" w:rsidP="008A4C7A">
      <w:pPr>
        <w:ind w:firstLine="567"/>
        <w:jc w:val="both"/>
        <w:rPr>
          <w:rFonts w:ascii="Calibri" w:hAnsi="Calibri"/>
          <w:b/>
          <w:bCs/>
          <w:sz w:val="22"/>
          <w:szCs w:val="22"/>
          <w:u w:val="single"/>
        </w:rPr>
      </w:pPr>
      <w:r w:rsidRPr="0009772D">
        <w:rPr>
          <w:rFonts w:ascii="Calibri" w:hAnsi="Calibri"/>
          <w:b/>
          <w:bCs/>
          <w:sz w:val="22"/>
          <w:szCs w:val="22"/>
          <w:u w:val="single"/>
        </w:rPr>
        <w:t xml:space="preserve">43.6. Suinteresuotumas pateikti skundą </w:t>
      </w:r>
    </w:p>
    <w:p w14:paraId="13BAA798" w14:textId="77777777" w:rsidR="008A4C7A" w:rsidRDefault="008A4C7A" w:rsidP="008A4C7A">
      <w:pPr>
        <w:jc w:val="both"/>
        <w:rPr>
          <w:rFonts w:ascii="Calibri" w:hAnsi="Calibri"/>
          <w:b/>
          <w:bCs/>
          <w:sz w:val="22"/>
          <w:szCs w:val="22"/>
          <w:u w:val="single"/>
        </w:rPr>
      </w:pPr>
    </w:p>
    <w:p w14:paraId="7ABC3F77" w14:textId="77777777" w:rsidR="008A4C7A" w:rsidRPr="008A4C7A" w:rsidRDefault="008A4C7A" w:rsidP="008A4C7A">
      <w:pPr>
        <w:jc w:val="both"/>
        <w:outlineLvl w:val="1"/>
        <w:rPr>
          <w:rFonts w:asciiTheme="minorHAnsi" w:eastAsia="Calibri" w:hAnsiTheme="minorHAnsi" w:cstheme="minorHAnsi"/>
          <w:i/>
          <w:sz w:val="22"/>
          <w:szCs w:val="22"/>
        </w:rPr>
      </w:pPr>
      <w:bookmarkStart w:id="58" w:name="_Toc199503165"/>
      <w:r w:rsidRPr="008A4C7A">
        <w:rPr>
          <w:rFonts w:asciiTheme="minorHAnsi" w:eastAsia="Calibri" w:hAnsiTheme="minorHAnsi" w:cstheme="minorHAnsi"/>
          <w:i/>
          <w:sz w:val="22"/>
          <w:szCs w:val="22"/>
        </w:rPr>
        <w:t>Dėl suinteresuotumo ginčyti kito asmens atžvilgiu priimtą individualų administracinį aktą</w:t>
      </w:r>
      <w:bookmarkEnd w:id="58"/>
    </w:p>
    <w:p w14:paraId="22DBC2DA" w14:textId="77777777" w:rsidR="008A4C7A" w:rsidRPr="00DB603B" w:rsidRDefault="008A4C7A" w:rsidP="008A4C7A">
      <w:pPr>
        <w:ind w:firstLine="567"/>
        <w:rPr>
          <w:rFonts w:ascii="Calibri" w:hAnsi="Calibri"/>
          <w:bCs/>
          <w:sz w:val="22"/>
          <w:szCs w:val="22"/>
          <w:lang w:eastAsia="en-US"/>
        </w:rPr>
      </w:pPr>
    </w:p>
    <w:p w14:paraId="63CEDA2B" w14:textId="66F04359" w:rsidR="008A4C7A" w:rsidRDefault="008A4C7A" w:rsidP="008A4C7A">
      <w:pPr>
        <w:pStyle w:val="NormalWeb"/>
        <w:shd w:val="clear" w:color="auto" w:fill="FFFFFF"/>
        <w:spacing w:before="0" w:beforeAutospacing="0" w:after="0" w:afterAutospacing="0"/>
        <w:ind w:firstLine="567"/>
        <w:jc w:val="both"/>
        <w:rPr>
          <w:rFonts w:ascii="Calibri" w:hAnsi="Calibri"/>
          <w:bCs/>
          <w:sz w:val="22"/>
          <w:szCs w:val="22"/>
          <w:lang w:val="lt-LT"/>
        </w:rPr>
      </w:pPr>
      <w:r w:rsidRPr="007D2C16">
        <w:rPr>
          <w:rFonts w:ascii="Calibri" w:hAnsi="Calibri"/>
          <w:bCs/>
          <w:sz w:val="22"/>
          <w:szCs w:val="22"/>
          <w:lang w:val="lt-LT"/>
        </w:rPr>
        <w:t>Nagrinė</w:t>
      </w:r>
      <w:r w:rsidR="00A0335E">
        <w:rPr>
          <w:rFonts w:ascii="Calibri" w:hAnsi="Calibri"/>
          <w:bCs/>
          <w:sz w:val="22"/>
          <w:szCs w:val="22"/>
          <w:lang w:val="lt-LT"/>
        </w:rPr>
        <w:t>t</w:t>
      </w:r>
      <w:r w:rsidRPr="007D2C16">
        <w:rPr>
          <w:rFonts w:ascii="Calibri" w:hAnsi="Calibri"/>
          <w:bCs/>
          <w:sz w:val="22"/>
          <w:szCs w:val="22"/>
          <w:lang w:val="lt-LT"/>
        </w:rPr>
        <w:t xml:space="preserve">oje byloje ginčas kilo dėl </w:t>
      </w:r>
      <w:r w:rsidRPr="0009772D">
        <w:rPr>
          <w:rFonts w:ascii="Calibri" w:hAnsi="Calibri"/>
          <w:bCs/>
          <w:sz w:val="22"/>
          <w:szCs w:val="22"/>
          <w:lang w:val="lt-LT"/>
        </w:rPr>
        <w:t xml:space="preserve">Regionų administracinio teismo </w:t>
      </w:r>
      <w:r>
        <w:rPr>
          <w:rFonts w:ascii="Calibri" w:hAnsi="Calibri"/>
          <w:bCs/>
          <w:sz w:val="22"/>
          <w:szCs w:val="22"/>
          <w:lang w:val="lt-LT"/>
        </w:rPr>
        <w:t>2025</w:t>
      </w:r>
      <w:r w:rsidRPr="0009772D">
        <w:rPr>
          <w:rFonts w:ascii="Calibri" w:hAnsi="Calibri"/>
          <w:bCs/>
          <w:sz w:val="22"/>
          <w:szCs w:val="22"/>
          <w:lang w:val="lt-LT"/>
        </w:rPr>
        <w:t xml:space="preserve"> m. </w:t>
      </w:r>
      <w:r>
        <w:rPr>
          <w:rFonts w:ascii="Calibri" w:hAnsi="Calibri"/>
          <w:bCs/>
          <w:sz w:val="22"/>
          <w:szCs w:val="22"/>
          <w:lang w:val="lt-LT"/>
        </w:rPr>
        <w:t>sausio 29</w:t>
      </w:r>
      <w:r w:rsidRPr="0009772D">
        <w:rPr>
          <w:rFonts w:ascii="Calibri" w:hAnsi="Calibri"/>
          <w:bCs/>
          <w:sz w:val="22"/>
          <w:szCs w:val="22"/>
          <w:lang w:val="lt-LT"/>
        </w:rPr>
        <w:t xml:space="preserve"> d. nutarties, kuria atsisa</w:t>
      </w:r>
      <w:r>
        <w:rPr>
          <w:rFonts w:ascii="Calibri" w:hAnsi="Calibri"/>
          <w:bCs/>
          <w:sz w:val="22"/>
          <w:szCs w:val="22"/>
          <w:lang w:val="lt-LT"/>
        </w:rPr>
        <w:t>kyta</w:t>
      </w:r>
      <w:r w:rsidRPr="0009772D">
        <w:rPr>
          <w:rFonts w:ascii="Calibri" w:hAnsi="Calibri"/>
          <w:bCs/>
          <w:sz w:val="22"/>
          <w:szCs w:val="22"/>
          <w:lang w:val="lt-LT"/>
        </w:rPr>
        <w:t xml:space="preserve"> priimti</w:t>
      </w:r>
      <w:r>
        <w:rPr>
          <w:rFonts w:ascii="Calibri" w:hAnsi="Calibri"/>
          <w:bCs/>
          <w:sz w:val="22"/>
          <w:szCs w:val="22"/>
          <w:lang w:val="lt-LT"/>
        </w:rPr>
        <w:t xml:space="preserve"> </w:t>
      </w:r>
      <w:r w:rsidRPr="00F9082C">
        <w:rPr>
          <w:rFonts w:ascii="Calibri" w:hAnsi="Calibri"/>
          <w:bCs/>
          <w:sz w:val="22"/>
          <w:szCs w:val="22"/>
          <w:lang w:val="lt-LT"/>
        </w:rPr>
        <w:t>UAB „Bitė Lietuva“ skundą</w:t>
      </w:r>
      <w:r>
        <w:rPr>
          <w:rFonts w:ascii="Calibri" w:hAnsi="Calibri"/>
          <w:bCs/>
          <w:sz w:val="22"/>
          <w:szCs w:val="22"/>
          <w:lang w:val="lt-LT"/>
        </w:rPr>
        <w:t xml:space="preserve"> dėl </w:t>
      </w:r>
      <w:r w:rsidRPr="00F9082C">
        <w:rPr>
          <w:rFonts w:ascii="Calibri" w:hAnsi="Calibri"/>
          <w:bCs/>
          <w:sz w:val="22"/>
          <w:szCs w:val="22"/>
          <w:lang w:val="lt-LT"/>
        </w:rPr>
        <w:t>Lietuvos Respublikos ryšių reguliavimo tarnybos (toliau – Tarnyba) 2024 m. gruodžio 19 d. nutarimo „Dėl ūkio subjektui Telia Lietuva, AB nustatytų įpareigojimų pažeidimo“ rezoliucinės dalies 2 punkt</w:t>
      </w:r>
      <w:r>
        <w:rPr>
          <w:rFonts w:ascii="Calibri" w:hAnsi="Calibri"/>
          <w:bCs/>
          <w:sz w:val="22"/>
          <w:szCs w:val="22"/>
          <w:lang w:val="lt-LT"/>
        </w:rPr>
        <w:t>o panaikinimo</w:t>
      </w:r>
      <w:r w:rsidRPr="00F9082C">
        <w:rPr>
          <w:rFonts w:ascii="Calibri" w:hAnsi="Calibri"/>
          <w:bCs/>
          <w:sz w:val="22"/>
          <w:szCs w:val="22"/>
          <w:lang w:val="lt-LT"/>
        </w:rPr>
        <w:t xml:space="preserve"> ir įpareigo</w:t>
      </w:r>
      <w:r>
        <w:rPr>
          <w:rFonts w:ascii="Calibri" w:hAnsi="Calibri"/>
          <w:bCs/>
          <w:sz w:val="22"/>
          <w:szCs w:val="22"/>
          <w:lang w:val="lt-LT"/>
        </w:rPr>
        <w:t>jimo atlikti veiksmus</w:t>
      </w:r>
      <w:r w:rsidRPr="0009772D">
        <w:rPr>
          <w:rFonts w:ascii="Calibri" w:hAnsi="Calibri"/>
          <w:bCs/>
          <w:sz w:val="22"/>
          <w:szCs w:val="22"/>
          <w:lang w:val="lt-LT"/>
        </w:rPr>
        <w:t xml:space="preserve">, kaip nenagrinėtiną teismų </w:t>
      </w:r>
      <w:r>
        <w:rPr>
          <w:rFonts w:ascii="Calibri" w:hAnsi="Calibri"/>
          <w:bCs/>
          <w:sz w:val="22"/>
          <w:szCs w:val="22"/>
          <w:lang w:val="lt-LT"/>
        </w:rPr>
        <w:t xml:space="preserve">ABTĮ nustatyta tvarka. </w:t>
      </w:r>
      <w:r w:rsidR="00A0335E" w:rsidRPr="00A0335E">
        <w:rPr>
          <w:rFonts w:ascii="Calibri" w:hAnsi="Calibri"/>
          <w:bCs/>
          <w:sz w:val="22"/>
          <w:szCs w:val="22"/>
          <w:lang w:val="lt-LT"/>
        </w:rPr>
        <w:t xml:space="preserve">Pirmosios instancijos teismas </w:t>
      </w:r>
      <w:r w:rsidRPr="0009772D">
        <w:rPr>
          <w:rFonts w:ascii="Calibri" w:hAnsi="Calibri"/>
          <w:bCs/>
          <w:sz w:val="22"/>
          <w:szCs w:val="22"/>
          <w:lang w:val="lt-LT"/>
        </w:rPr>
        <w:t xml:space="preserve">sprendė, kad </w:t>
      </w:r>
      <w:r w:rsidR="00C8317D">
        <w:rPr>
          <w:rFonts w:ascii="Calibri" w:hAnsi="Calibri"/>
          <w:bCs/>
          <w:sz w:val="22"/>
          <w:szCs w:val="22"/>
          <w:lang w:val="lt-LT"/>
        </w:rPr>
        <w:t xml:space="preserve">Tarnybos </w:t>
      </w:r>
      <w:r>
        <w:rPr>
          <w:rFonts w:ascii="Calibri" w:hAnsi="Calibri"/>
          <w:bCs/>
          <w:sz w:val="22"/>
          <w:szCs w:val="22"/>
          <w:lang w:val="lt-LT"/>
        </w:rPr>
        <w:t>n</w:t>
      </w:r>
      <w:r w:rsidRPr="00F9082C">
        <w:rPr>
          <w:rFonts w:ascii="Calibri" w:hAnsi="Calibri"/>
          <w:bCs/>
          <w:sz w:val="22"/>
          <w:szCs w:val="22"/>
          <w:lang w:val="lt-LT"/>
        </w:rPr>
        <w:t xml:space="preserve">utarimas yra individualus administracinis aktas, sukeliantis atitinkamas teisines pasekmes tik konkrečiam subjektui – </w:t>
      </w:r>
      <w:r w:rsidR="00C8317D">
        <w:rPr>
          <w:rFonts w:ascii="Calibri" w:hAnsi="Calibri"/>
          <w:bCs/>
          <w:sz w:val="22"/>
          <w:szCs w:val="22"/>
          <w:lang w:val="lt-LT"/>
        </w:rPr>
        <w:t>AB „</w:t>
      </w:r>
      <w:r w:rsidRPr="00F9082C">
        <w:rPr>
          <w:rFonts w:ascii="Calibri" w:hAnsi="Calibri"/>
          <w:bCs/>
          <w:sz w:val="22"/>
          <w:szCs w:val="22"/>
          <w:lang w:val="lt-LT"/>
        </w:rPr>
        <w:t>Telia</w:t>
      </w:r>
      <w:r w:rsidR="00C8317D">
        <w:rPr>
          <w:rFonts w:ascii="Calibri" w:hAnsi="Calibri"/>
          <w:bCs/>
          <w:sz w:val="22"/>
          <w:szCs w:val="22"/>
          <w:lang w:val="lt-LT"/>
        </w:rPr>
        <w:t xml:space="preserve"> Lietuva“</w:t>
      </w:r>
      <w:r w:rsidRPr="00F9082C">
        <w:rPr>
          <w:rFonts w:ascii="Calibri" w:hAnsi="Calibri"/>
          <w:bCs/>
          <w:sz w:val="22"/>
          <w:szCs w:val="22"/>
          <w:lang w:val="lt-LT"/>
        </w:rPr>
        <w:t xml:space="preserve">, tačiau juo nesukuriama </w:t>
      </w:r>
      <w:r>
        <w:rPr>
          <w:rFonts w:ascii="Calibri" w:hAnsi="Calibri"/>
          <w:bCs/>
          <w:sz w:val="22"/>
          <w:szCs w:val="22"/>
          <w:lang w:val="lt-LT"/>
        </w:rPr>
        <w:t>jo</w:t>
      </w:r>
      <w:r w:rsidR="00C8317D">
        <w:rPr>
          <w:rFonts w:ascii="Calibri" w:hAnsi="Calibri"/>
          <w:bCs/>
          <w:sz w:val="22"/>
          <w:szCs w:val="22"/>
          <w:lang w:val="lt-LT"/>
        </w:rPr>
        <w:t>k</w:t>
      </w:r>
      <w:r>
        <w:rPr>
          <w:rFonts w:ascii="Calibri" w:hAnsi="Calibri"/>
          <w:bCs/>
          <w:sz w:val="22"/>
          <w:szCs w:val="22"/>
          <w:lang w:val="lt-LT"/>
        </w:rPr>
        <w:t>ių</w:t>
      </w:r>
      <w:r w:rsidRPr="00F9082C">
        <w:rPr>
          <w:rFonts w:ascii="Calibri" w:hAnsi="Calibri"/>
          <w:bCs/>
          <w:sz w:val="22"/>
          <w:szCs w:val="22"/>
          <w:lang w:val="lt-LT"/>
        </w:rPr>
        <w:t xml:space="preserve"> pasekmių kitiems asmenims</w:t>
      </w:r>
      <w:r>
        <w:rPr>
          <w:rFonts w:ascii="Calibri" w:hAnsi="Calibri"/>
          <w:bCs/>
          <w:sz w:val="22"/>
          <w:szCs w:val="22"/>
          <w:lang w:val="lt-LT"/>
        </w:rPr>
        <w:t xml:space="preserve">, t. y. </w:t>
      </w:r>
      <w:r w:rsidRPr="00F9082C">
        <w:rPr>
          <w:rFonts w:ascii="Calibri" w:hAnsi="Calibri"/>
          <w:bCs/>
          <w:sz w:val="22"/>
          <w:szCs w:val="22"/>
          <w:lang w:val="lt-LT"/>
        </w:rPr>
        <w:t>pareiškėjas neturi materialaus teisinio suinteresuotumo ginčyti</w:t>
      </w:r>
      <w:r w:rsidR="0019118B">
        <w:rPr>
          <w:rFonts w:ascii="Calibri" w:hAnsi="Calibri"/>
          <w:bCs/>
          <w:sz w:val="22"/>
          <w:szCs w:val="22"/>
          <w:lang w:val="lt-LT"/>
        </w:rPr>
        <w:t xml:space="preserve"> minėtą</w:t>
      </w:r>
      <w:r w:rsidRPr="00F9082C">
        <w:rPr>
          <w:rFonts w:ascii="Calibri" w:hAnsi="Calibri"/>
          <w:bCs/>
          <w:sz w:val="22"/>
          <w:szCs w:val="22"/>
          <w:lang w:val="lt-LT"/>
        </w:rPr>
        <w:t xml:space="preserve"> </w:t>
      </w:r>
      <w:r>
        <w:rPr>
          <w:rFonts w:ascii="Calibri" w:hAnsi="Calibri"/>
          <w:bCs/>
          <w:sz w:val="22"/>
          <w:szCs w:val="22"/>
          <w:lang w:val="lt-LT"/>
        </w:rPr>
        <w:t>n</w:t>
      </w:r>
      <w:r w:rsidRPr="00F9082C">
        <w:rPr>
          <w:rFonts w:ascii="Calibri" w:hAnsi="Calibri"/>
          <w:bCs/>
          <w:sz w:val="22"/>
          <w:szCs w:val="22"/>
          <w:lang w:val="lt-LT"/>
        </w:rPr>
        <w:t>utarim</w:t>
      </w:r>
      <w:r w:rsidR="0019118B">
        <w:rPr>
          <w:rFonts w:ascii="Calibri" w:hAnsi="Calibri"/>
          <w:bCs/>
          <w:sz w:val="22"/>
          <w:szCs w:val="22"/>
          <w:lang w:val="lt-LT"/>
        </w:rPr>
        <w:t>ą</w:t>
      </w:r>
      <w:r w:rsidRPr="00F9082C">
        <w:rPr>
          <w:rFonts w:ascii="Calibri" w:hAnsi="Calibri"/>
          <w:bCs/>
          <w:sz w:val="22"/>
          <w:szCs w:val="22"/>
          <w:lang w:val="lt-LT"/>
        </w:rPr>
        <w:t>.</w:t>
      </w:r>
    </w:p>
    <w:p w14:paraId="11948D93" w14:textId="44129152" w:rsidR="008A4C7A" w:rsidRDefault="007F311B" w:rsidP="008A4C7A">
      <w:pPr>
        <w:pStyle w:val="NormalWeb"/>
        <w:shd w:val="clear" w:color="auto" w:fill="FFFFFF"/>
        <w:spacing w:before="0" w:beforeAutospacing="0" w:after="0" w:afterAutospacing="0"/>
        <w:ind w:firstLine="567"/>
        <w:jc w:val="both"/>
        <w:rPr>
          <w:rFonts w:ascii="Calibri" w:hAnsi="Calibri"/>
          <w:bCs/>
          <w:sz w:val="22"/>
          <w:szCs w:val="22"/>
          <w:lang w:val="lt-LT"/>
        </w:rPr>
      </w:pPr>
      <w:r>
        <w:rPr>
          <w:rFonts w:ascii="Calibri" w:hAnsi="Calibri"/>
          <w:bCs/>
          <w:sz w:val="22"/>
          <w:szCs w:val="22"/>
          <w:lang w:val="lt-LT"/>
        </w:rPr>
        <w:t>LVAT t</w:t>
      </w:r>
      <w:r w:rsidR="008A4C7A" w:rsidRPr="00B80B42">
        <w:rPr>
          <w:rFonts w:ascii="Calibri" w:hAnsi="Calibri"/>
          <w:bCs/>
          <w:sz w:val="22"/>
          <w:szCs w:val="22"/>
          <w:lang w:val="lt-LT"/>
        </w:rPr>
        <w:t xml:space="preserve">eisėjų kolegija, nagrinėdama </w:t>
      </w:r>
      <w:r w:rsidR="008A4C7A" w:rsidRPr="00F9082C">
        <w:rPr>
          <w:rFonts w:ascii="Calibri" w:hAnsi="Calibri"/>
          <w:bCs/>
          <w:sz w:val="22"/>
          <w:szCs w:val="22"/>
          <w:lang w:val="lt-LT"/>
        </w:rPr>
        <w:t>UAB „Bitė Lietuva“</w:t>
      </w:r>
      <w:r w:rsidR="008A4C7A">
        <w:rPr>
          <w:rFonts w:ascii="Calibri" w:hAnsi="Calibri"/>
          <w:bCs/>
          <w:sz w:val="22"/>
          <w:szCs w:val="22"/>
          <w:lang w:val="lt-LT"/>
        </w:rPr>
        <w:t xml:space="preserve"> atskirąjį</w:t>
      </w:r>
      <w:r w:rsidR="008A4C7A" w:rsidRPr="00B80B42">
        <w:rPr>
          <w:rFonts w:ascii="Calibri" w:hAnsi="Calibri"/>
          <w:bCs/>
          <w:sz w:val="22"/>
          <w:szCs w:val="22"/>
          <w:lang w:val="lt-LT"/>
        </w:rPr>
        <w:t xml:space="preserve"> skundą, </w:t>
      </w:r>
      <w:r w:rsidR="008A4C7A">
        <w:rPr>
          <w:rFonts w:ascii="Calibri" w:hAnsi="Calibri"/>
          <w:bCs/>
          <w:sz w:val="22"/>
          <w:szCs w:val="22"/>
          <w:lang w:val="lt-LT"/>
        </w:rPr>
        <w:t>priminė, jog</w:t>
      </w:r>
      <w:r w:rsidR="008A4C7A" w:rsidRPr="00CA09FE">
        <w:rPr>
          <w:rFonts w:ascii="Calibri" w:hAnsi="Calibri"/>
          <w:bCs/>
          <w:sz w:val="22"/>
          <w:szCs w:val="22"/>
          <w:lang w:val="lt-LT"/>
        </w:rPr>
        <w:t xml:space="preserve"> LVAT praktikoje ne kartą išaiškinta, </w:t>
      </w:r>
      <w:r w:rsidR="008A4C7A">
        <w:rPr>
          <w:rFonts w:ascii="Calibri" w:hAnsi="Calibri"/>
          <w:bCs/>
          <w:sz w:val="22"/>
          <w:szCs w:val="22"/>
          <w:lang w:val="lt-LT"/>
        </w:rPr>
        <w:t>kad</w:t>
      </w:r>
      <w:r w:rsidR="008A4C7A" w:rsidRPr="00CA09FE">
        <w:rPr>
          <w:rFonts w:ascii="Calibri" w:hAnsi="Calibri"/>
          <w:bCs/>
          <w:sz w:val="22"/>
          <w:szCs w:val="22"/>
          <w:lang w:val="lt-LT"/>
        </w:rPr>
        <w:t xml:space="preserve"> s</w:t>
      </w:r>
      <w:r w:rsidR="008A4C7A" w:rsidRPr="00F9082C">
        <w:rPr>
          <w:rFonts w:ascii="Calibri" w:hAnsi="Calibri"/>
          <w:bCs/>
          <w:sz w:val="22"/>
          <w:szCs w:val="22"/>
          <w:lang w:val="lt-LT"/>
        </w:rPr>
        <w:t xml:space="preserve">kundo priėmimo ir bylos iškėlimo stadijoje nėra ir negali būti patikrinama, ar asmuo, kuris kreipėsi teisminės gynybos, turi materialiąją teisę į skundą (prašymą), t. y. negalima atsisakyti priimti skundo (prašymo) dėl materialiojo teisinio pobūdžio motyvų – materialiosios reikalavimo teisės neturėjimo. </w:t>
      </w:r>
      <w:r w:rsidR="008A4C7A" w:rsidRPr="00F9082C">
        <w:rPr>
          <w:rFonts w:ascii="Calibri" w:hAnsi="Calibri"/>
          <w:bCs/>
          <w:sz w:val="22"/>
          <w:szCs w:val="22"/>
          <w:u w:val="single"/>
          <w:lang w:val="lt-LT"/>
        </w:rPr>
        <w:t>Materialiojo teisinio pobūdžio aplinkybės, susijusios su pareiškėjo teise į reikalavimo patenkinimą, turi būti analizuojamos bylos nagrinėjimo iš esmės metu</w:t>
      </w:r>
      <w:r w:rsidR="008A4C7A" w:rsidRPr="00F9082C">
        <w:rPr>
          <w:rFonts w:ascii="Calibri" w:hAnsi="Calibri"/>
          <w:bCs/>
          <w:sz w:val="22"/>
          <w:szCs w:val="22"/>
          <w:lang w:val="lt-LT"/>
        </w:rPr>
        <w:t>.</w:t>
      </w:r>
    </w:p>
    <w:p w14:paraId="0B07EDBD" w14:textId="7D02CCBF" w:rsidR="008A4C7A" w:rsidRDefault="08B4681F" w:rsidP="08B4681F">
      <w:pPr>
        <w:pStyle w:val="NormalWeb"/>
        <w:shd w:val="clear" w:color="auto" w:fill="FFFFFF" w:themeFill="background1"/>
        <w:spacing w:before="0" w:beforeAutospacing="0" w:after="0" w:afterAutospacing="0"/>
        <w:ind w:firstLine="567"/>
        <w:jc w:val="both"/>
        <w:rPr>
          <w:rFonts w:ascii="Calibri" w:hAnsi="Calibri"/>
          <w:sz w:val="22"/>
          <w:szCs w:val="22"/>
          <w:lang w:val="lt-LT"/>
        </w:rPr>
      </w:pPr>
      <w:r w:rsidRPr="08B4681F">
        <w:rPr>
          <w:rFonts w:ascii="Calibri" w:hAnsi="Calibri"/>
          <w:sz w:val="22"/>
          <w:szCs w:val="22"/>
          <w:lang w:val="lt-LT"/>
        </w:rPr>
        <w:t>LVAT pažymėjo, jog, vadovaujantis Elektroninių ryšių įstatymo 93 straipsniu, sprendimas skirti ekonominę sankciją gali būti skundžiamas</w:t>
      </w:r>
      <w:bookmarkStart w:id="59" w:name="pn9d813093-0cf3-4a97-8959-45ecc8ce81bd"/>
      <w:bookmarkEnd w:id="59"/>
      <w:r w:rsidRPr="08B4681F">
        <w:rPr>
          <w:rFonts w:ascii="Calibri" w:hAnsi="Calibri"/>
          <w:sz w:val="22"/>
          <w:szCs w:val="22"/>
          <w:lang w:val="lt-LT"/>
        </w:rPr>
        <w:t xml:space="preserve"> ABTĮ nustatyta tvarka. Pagal šio įstatymo 94 straipsnio 1 dalį ūkio subjektas, kuriam inicijuotas ekonominės sankcijos skyrimo procesas ar yra paskirta ekonominė sankcija, kiti suinteresuoti asmenys, kurių teisėtiems interesams, teisėms ir (arba) pareigoms turėjo įtakos ūkio subjekto padarytas pažeidimas, ir (arba) jų atstovai turi teisę susipažinti su visa ekonominės sankcijos skyrimo proceso medžiaga, išskyrus ekonominės sankcijos skyrimo proceso medžiagą ar jos dalį, kuri šio straipsnio 3 dalyje nustatytais atvejais Ryšių reguliavimo tarnybos sprendimu pripažinta nevieša. Remiantis nurodytomis teisės normomis, nepaisant aplinkybės, kad konkrečiu atveju Telia ekonominė sankcija ir nebuvo paskirta, teisėjų kolegijos vertinimu, pareiškėjas Elektroninių ryšių įstatymo kontekste yra suinteresuotas asmuo, kurio teisėms galėjo turėti įtakos Telia padarytas pažeidimas, </w:t>
      </w:r>
      <w:r w:rsidRPr="08B4681F">
        <w:rPr>
          <w:rFonts w:ascii="Calibri" w:hAnsi="Calibri"/>
          <w:sz w:val="22"/>
          <w:szCs w:val="22"/>
          <w:u w:val="single"/>
          <w:lang w:val="lt-LT"/>
        </w:rPr>
        <w:t>o tai, kad pareiškėjas nėra minimas nutarime ir Tarnyba jo atžvilgiu nėra suformulavusi jokių privalomų nurodymų (įpareigojimų), nesudaro pagrindo skundo priėmimo stadijoje spręsti dėl pareiškėjo teisinio suinteresuotumo nebuvimo</w:t>
      </w:r>
      <w:r w:rsidRPr="08B4681F">
        <w:rPr>
          <w:rFonts w:ascii="Calibri" w:hAnsi="Calibri"/>
          <w:sz w:val="22"/>
          <w:szCs w:val="22"/>
          <w:lang w:val="lt-LT"/>
        </w:rPr>
        <w:t>, atsižvelgiant į LVAT praktiką panašaus pobūdžio bylose konkurencijos teisės srityje.</w:t>
      </w:r>
    </w:p>
    <w:p w14:paraId="4A381B04" w14:textId="77777777" w:rsidR="008A4C7A" w:rsidRDefault="008A4C7A" w:rsidP="008A4C7A">
      <w:pPr>
        <w:pStyle w:val="NormalWeb"/>
        <w:shd w:val="clear" w:color="auto" w:fill="FFFFFF"/>
        <w:spacing w:before="0" w:beforeAutospacing="0" w:after="0" w:afterAutospacing="0"/>
        <w:ind w:firstLine="567"/>
        <w:jc w:val="both"/>
        <w:rPr>
          <w:rFonts w:ascii="Calibri" w:hAnsi="Calibri"/>
          <w:bCs/>
          <w:sz w:val="22"/>
          <w:szCs w:val="22"/>
          <w:lang w:val="lt-LT"/>
        </w:rPr>
      </w:pPr>
      <w:r w:rsidRPr="00F9082C">
        <w:rPr>
          <w:rFonts w:ascii="Calibri" w:hAnsi="Calibri"/>
          <w:bCs/>
          <w:sz w:val="22"/>
          <w:szCs w:val="22"/>
          <w:lang w:val="lt-LT"/>
        </w:rPr>
        <w:t>Apibendrindama nurodytus argumentus, teisėjų kolegija konstat</w:t>
      </w:r>
      <w:r>
        <w:rPr>
          <w:rFonts w:ascii="Calibri" w:hAnsi="Calibri"/>
          <w:bCs/>
          <w:sz w:val="22"/>
          <w:szCs w:val="22"/>
          <w:lang w:val="lt-LT"/>
        </w:rPr>
        <w:t>avo</w:t>
      </w:r>
      <w:r w:rsidRPr="00F9082C">
        <w:rPr>
          <w:rFonts w:ascii="Calibri" w:hAnsi="Calibri"/>
          <w:bCs/>
          <w:sz w:val="22"/>
          <w:szCs w:val="22"/>
          <w:lang w:val="lt-LT"/>
        </w:rPr>
        <w:t xml:space="preserve">, kad pirmosios instancijos teismas nepagrįstai atsisakė priimti pareiškėjo skundą </w:t>
      </w:r>
      <w:r>
        <w:rPr>
          <w:rFonts w:ascii="Calibri" w:hAnsi="Calibri"/>
          <w:bCs/>
          <w:sz w:val="22"/>
          <w:szCs w:val="22"/>
          <w:lang w:val="lt-LT"/>
        </w:rPr>
        <w:t xml:space="preserve">ABTĮ 33 </w:t>
      </w:r>
      <w:r w:rsidRPr="00F9082C">
        <w:rPr>
          <w:rFonts w:ascii="Calibri" w:hAnsi="Calibri"/>
          <w:bCs/>
          <w:sz w:val="22"/>
          <w:szCs w:val="22"/>
          <w:lang w:val="lt-LT"/>
        </w:rPr>
        <w:t xml:space="preserve">straipsnio 2 dalies 1 punkte nustatytu pagrindu, nes skundo priėmimo stadijoje nėra faktinio ir teisinio pagrindo daryti išvadą, jog šis skundas nenagrinėtinas teismų </w:t>
      </w:r>
      <w:bookmarkStart w:id="60" w:name="pn9a081f8f-0404-497b-a705-d2390fa325f8"/>
      <w:bookmarkEnd w:id="60"/>
      <w:r>
        <w:rPr>
          <w:rFonts w:ascii="Calibri" w:hAnsi="Calibri"/>
          <w:bCs/>
          <w:sz w:val="22"/>
          <w:szCs w:val="22"/>
          <w:lang w:val="lt-LT"/>
        </w:rPr>
        <w:t xml:space="preserve">ABTĮ </w:t>
      </w:r>
      <w:r w:rsidRPr="00F9082C">
        <w:rPr>
          <w:rFonts w:ascii="Calibri" w:hAnsi="Calibri"/>
          <w:bCs/>
          <w:sz w:val="22"/>
          <w:szCs w:val="22"/>
          <w:lang w:val="lt-LT"/>
        </w:rPr>
        <w:t>nustatyta tvarka. Dėl nurodytų priežasčių pareiškėjo atskirasis skundas tenkin</w:t>
      </w:r>
      <w:r>
        <w:rPr>
          <w:rFonts w:ascii="Calibri" w:hAnsi="Calibri"/>
          <w:bCs/>
          <w:sz w:val="22"/>
          <w:szCs w:val="22"/>
          <w:lang w:val="lt-LT"/>
        </w:rPr>
        <w:t>t</w:t>
      </w:r>
      <w:r w:rsidRPr="00F9082C">
        <w:rPr>
          <w:rFonts w:ascii="Calibri" w:hAnsi="Calibri"/>
          <w:bCs/>
          <w:sz w:val="22"/>
          <w:szCs w:val="22"/>
          <w:lang w:val="lt-LT"/>
        </w:rPr>
        <w:t xml:space="preserve">as, pirmosios instancijos </w:t>
      </w:r>
      <w:r w:rsidRPr="00F9082C">
        <w:rPr>
          <w:rFonts w:ascii="Calibri" w:hAnsi="Calibri"/>
          <w:bCs/>
          <w:sz w:val="22"/>
          <w:szCs w:val="22"/>
          <w:lang w:val="lt-LT"/>
        </w:rPr>
        <w:lastRenderedPageBreak/>
        <w:t>teismo nutartis panaikin</w:t>
      </w:r>
      <w:r>
        <w:rPr>
          <w:rFonts w:ascii="Calibri" w:hAnsi="Calibri"/>
          <w:bCs/>
          <w:sz w:val="22"/>
          <w:szCs w:val="22"/>
          <w:lang w:val="lt-LT"/>
        </w:rPr>
        <w:t>t</w:t>
      </w:r>
      <w:r w:rsidRPr="00F9082C">
        <w:rPr>
          <w:rFonts w:ascii="Calibri" w:hAnsi="Calibri"/>
          <w:bCs/>
          <w:sz w:val="22"/>
          <w:szCs w:val="22"/>
          <w:lang w:val="lt-LT"/>
        </w:rPr>
        <w:t>a ir pareiškėjo skundo priėmimo klausimas perduotas pirmosios instancijos teismui nagrinėti iš naujo.</w:t>
      </w:r>
    </w:p>
    <w:p w14:paraId="65713A7F" w14:textId="77777777" w:rsidR="008A4C7A" w:rsidRPr="00DB603B" w:rsidRDefault="008A4C7A" w:rsidP="008A4C7A">
      <w:pPr>
        <w:pStyle w:val="NormalWeb"/>
        <w:shd w:val="clear" w:color="auto" w:fill="FFFFFF"/>
        <w:spacing w:before="0" w:beforeAutospacing="0" w:after="0" w:afterAutospacing="0"/>
        <w:ind w:firstLine="567"/>
        <w:jc w:val="both"/>
        <w:rPr>
          <w:rFonts w:ascii="Calibri" w:hAnsi="Calibri"/>
          <w:bCs/>
          <w:sz w:val="22"/>
          <w:szCs w:val="22"/>
          <w:lang w:val="lt-LT"/>
        </w:rPr>
      </w:pPr>
    </w:p>
    <w:p w14:paraId="43DE165E" w14:textId="77777777" w:rsidR="008A4C7A" w:rsidRPr="00DB603B" w:rsidRDefault="008A4C7A" w:rsidP="008A4C7A">
      <w:pPr>
        <w:pStyle w:val="NormalWeb"/>
        <w:shd w:val="clear" w:color="auto" w:fill="FFFFFF"/>
        <w:spacing w:before="0" w:beforeAutospacing="0" w:after="0" w:afterAutospacing="0"/>
        <w:jc w:val="both"/>
        <w:rPr>
          <w:rFonts w:ascii="Calibri" w:hAnsi="Calibri"/>
          <w:bCs/>
          <w:sz w:val="22"/>
          <w:szCs w:val="22"/>
          <w:lang w:val="lt-LT"/>
        </w:rPr>
      </w:pPr>
      <w:r w:rsidRPr="00DB603B">
        <w:rPr>
          <w:rFonts w:ascii="Calibri" w:hAnsi="Calibri"/>
          <w:bCs/>
          <w:sz w:val="22"/>
          <w:szCs w:val="22"/>
          <w:lang w:val="lt-LT"/>
        </w:rPr>
        <w:t xml:space="preserve">2025 m. </w:t>
      </w:r>
      <w:r>
        <w:rPr>
          <w:rFonts w:ascii="Calibri" w:hAnsi="Calibri"/>
          <w:bCs/>
          <w:sz w:val="22"/>
          <w:szCs w:val="22"/>
          <w:lang w:val="lt-LT"/>
        </w:rPr>
        <w:t>balandžio 9</w:t>
      </w:r>
      <w:r w:rsidRPr="00DB603B">
        <w:rPr>
          <w:rFonts w:ascii="Calibri" w:hAnsi="Calibri"/>
          <w:bCs/>
          <w:sz w:val="22"/>
          <w:szCs w:val="22"/>
          <w:lang w:val="lt-LT"/>
        </w:rPr>
        <w:t xml:space="preserve"> d. nutartis administracinėje byloje </w:t>
      </w:r>
      <w:r w:rsidRPr="00CE09E8">
        <w:rPr>
          <w:rFonts w:ascii="Calibri" w:hAnsi="Calibri"/>
          <w:bCs/>
          <w:sz w:val="22"/>
          <w:szCs w:val="22"/>
          <w:lang w:val="lt-LT"/>
        </w:rPr>
        <w:t>Nr. eAS-377-629/2025</w:t>
      </w:r>
    </w:p>
    <w:p w14:paraId="3A0CF422" w14:textId="77777777" w:rsidR="008A4C7A" w:rsidRDefault="008A4C7A" w:rsidP="008A4C7A">
      <w:pPr>
        <w:pStyle w:val="NormalWeb"/>
        <w:shd w:val="clear" w:color="auto" w:fill="FFFFFF"/>
        <w:spacing w:before="0" w:beforeAutospacing="0" w:after="0" w:afterAutospacing="0"/>
        <w:jc w:val="both"/>
        <w:rPr>
          <w:rFonts w:ascii="Calibri" w:hAnsi="Calibri"/>
          <w:bCs/>
          <w:sz w:val="22"/>
          <w:szCs w:val="22"/>
          <w:lang w:val="lt-LT"/>
        </w:rPr>
      </w:pPr>
      <w:r w:rsidRPr="00DB603B">
        <w:rPr>
          <w:rFonts w:ascii="Calibri" w:hAnsi="Calibri"/>
          <w:bCs/>
          <w:sz w:val="22"/>
          <w:szCs w:val="22"/>
          <w:lang w:val="lt-LT"/>
        </w:rPr>
        <w:t xml:space="preserve">Teisminio proceso </w:t>
      </w:r>
      <w:r w:rsidRPr="00CE09E8">
        <w:rPr>
          <w:rFonts w:ascii="Calibri" w:hAnsi="Calibri"/>
          <w:bCs/>
          <w:sz w:val="22"/>
          <w:szCs w:val="22"/>
          <w:lang w:val="lt-LT"/>
        </w:rPr>
        <w:t>Nr. 3-61-3-00241-2025-9</w:t>
      </w:r>
    </w:p>
    <w:p w14:paraId="1DFE89FB" w14:textId="77777777" w:rsidR="008A4C7A" w:rsidRDefault="008A4C7A" w:rsidP="008A4C7A">
      <w:pPr>
        <w:pStyle w:val="NormalWeb"/>
        <w:shd w:val="clear" w:color="auto" w:fill="FFFFFF"/>
        <w:spacing w:before="0" w:beforeAutospacing="0" w:after="0" w:afterAutospacing="0"/>
        <w:jc w:val="both"/>
      </w:pPr>
      <w:hyperlink r:id="rId23" w:history="1">
        <w:r w:rsidRPr="007A73BF">
          <w:rPr>
            <w:rStyle w:val="Hyperlink"/>
            <w:rFonts w:ascii="Calibri" w:hAnsi="Calibri"/>
            <w:bCs/>
            <w:sz w:val="22"/>
            <w:szCs w:val="22"/>
            <w:lang w:val="lt-LT"/>
          </w:rPr>
          <w:t>Prieiga internete</w:t>
        </w:r>
      </w:hyperlink>
    </w:p>
    <w:p w14:paraId="49001C8D" w14:textId="77777777" w:rsidR="008A4C7A" w:rsidRDefault="008A4C7A" w:rsidP="008A4C7A">
      <w:pPr>
        <w:pStyle w:val="NormalWeb"/>
        <w:shd w:val="clear" w:color="auto" w:fill="FFFFFF"/>
        <w:spacing w:before="0" w:beforeAutospacing="0" w:after="0" w:afterAutospacing="0"/>
        <w:ind w:firstLine="567"/>
        <w:jc w:val="both"/>
      </w:pPr>
    </w:p>
    <w:p w14:paraId="3BB306B4" w14:textId="77777777" w:rsidR="00D75262" w:rsidRPr="00D75262" w:rsidRDefault="00D75262" w:rsidP="00D75262">
      <w:pPr>
        <w:pStyle w:val="Apzvalgai1"/>
        <w:rPr>
          <w:rFonts w:asciiTheme="minorHAnsi" w:hAnsiTheme="minorHAnsi" w:cstheme="minorHAnsi"/>
        </w:rPr>
      </w:pPr>
      <w:bookmarkStart w:id="61" w:name="_Toc199503166"/>
      <w:r w:rsidRPr="00D75262">
        <w:rPr>
          <w:rFonts w:asciiTheme="minorHAnsi" w:hAnsiTheme="minorHAnsi" w:cstheme="minorHAnsi"/>
        </w:rPr>
        <w:t>49. Reikalavimo užtikrinimo priemonių taikymas</w:t>
      </w:r>
      <w:bookmarkEnd w:id="61"/>
    </w:p>
    <w:p w14:paraId="4C6ADE7C" w14:textId="23A17754" w:rsidR="003E37E9" w:rsidRPr="006C0010" w:rsidRDefault="003E37E9" w:rsidP="003E37E9">
      <w:pPr>
        <w:rPr>
          <w:rFonts w:asciiTheme="minorHAnsi" w:eastAsia="Calibri" w:hAnsiTheme="minorHAnsi" w:cstheme="minorHAnsi"/>
          <w:sz w:val="22"/>
          <w:szCs w:val="22"/>
        </w:rPr>
      </w:pPr>
    </w:p>
    <w:p w14:paraId="2D18E797" w14:textId="77777777" w:rsidR="006C0010" w:rsidRPr="006C0010" w:rsidRDefault="006C0010" w:rsidP="006C0010">
      <w:pPr>
        <w:jc w:val="both"/>
        <w:outlineLvl w:val="1"/>
        <w:rPr>
          <w:rFonts w:asciiTheme="minorHAnsi" w:eastAsia="Calibri" w:hAnsiTheme="minorHAnsi" w:cstheme="minorHAnsi"/>
          <w:i/>
          <w:sz w:val="22"/>
          <w:szCs w:val="22"/>
        </w:rPr>
      </w:pPr>
      <w:bookmarkStart w:id="62" w:name="_Toc199503167"/>
      <w:r w:rsidRPr="006C0010">
        <w:rPr>
          <w:rFonts w:asciiTheme="minorHAnsi" w:eastAsia="Calibri" w:hAnsiTheme="minorHAnsi" w:cstheme="minorHAnsi"/>
          <w:i/>
          <w:sz w:val="22"/>
          <w:szCs w:val="22"/>
        </w:rPr>
        <w:t>Dėl Pensijų kaupimo įstatyme nustatyto pensijų įmokų pervedimo sustabdymo termino reikšmės teismui taikant reikalavimo užtikrinimo priemones</w:t>
      </w:r>
      <w:bookmarkEnd w:id="62"/>
    </w:p>
    <w:p w14:paraId="2F79682B" w14:textId="77777777" w:rsidR="006C0010" w:rsidRPr="006C0010" w:rsidRDefault="006C0010" w:rsidP="006C0010">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p>
    <w:p w14:paraId="5F9E0B11" w14:textId="77777777" w:rsidR="006C0010" w:rsidRPr="006C0010" w:rsidRDefault="006C0010" w:rsidP="006C0010">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6C0010">
        <w:rPr>
          <w:rStyle w:val="normaltextrun"/>
          <w:rFonts w:asciiTheme="minorHAnsi" w:eastAsiaTheme="majorEastAsia" w:hAnsiTheme="minorHAnsi" w:cstheme="minorHAnsi"/>
          <w:sz w:val="22"/>
          <w:szCs w:val="22"/>
        </w:rPr>
        <w:t>Apžvelgiamos bylos atskirojo skundo dalykas – pirmosios instancijos teismo nutarties, kuria netenkintas pareiškėjos prašymas taikyti reikalavimo užtikrinimo priemonę – iki įsiteisės teismo sprendimas nagrinėjamoje byloje uždrausti Valstybinio socialinio draudimo fondo valdybai prie Socialinės apsaugos ir darbo ministerijos (toliau – Fondo valdyba) išskaityti iš pareiškėjos pajamų įmokas savanoriškam II pakopos pensijų kaupimui, teisėtumo ir pagrįstumo.</w:t>
      </w:r>
    </w:p>
    <w:p w14:paraId="4D1B7606" w14:textId="548E9771" w:rsidR="006C0010" w:rsidRPr="006C0010" w:rsidRDefault="006C0010" w:rsidP="006C0010">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6C0010">
        <w:rPr>
          <w:rStyle w:val="normaltextrun"/>
          <w:rFonts w:asciiTheme="minorHAnsi" w:eastAsiaTheme="majorEastAsia" w:hAnsiTheme="minorHAnsi" w:cstheme="minorHAnsi"/>
          <w:sz w:val="22"/>
          <w:szCs w:val="22"/>
        </w:rPr>
        <w:t xml:space="preserve">Pensijų kaupimo įstatymo 13 straipsnio 1 dalyje nustatyta, kad dalyvis turi teisę laikinai, ne daugiau kaip 12 mėnesių ir ne trumpesniam kaip </w:t>
      </w:r>
      <w:r w:rsidR="002A192D">
        <w:rPr>
          <w:rStyle w:val="normaltextrun"/>
          <w:rFonts w:asciiTheme="minorHAnsi" w:eastAsiaTheme="majorEastAsia" w:hAnsiTheme="minorHAnsi" w:cstheme="minorHAnsi"/>
          <w:sz w:val="22"/>
          <w:szCs w:val="22"/>
        </w:rPr>
        <w:t>1</w:t>
      </w:r>
      <w:r w:rsidRPr="006C0010">
        <w:rPr>
          <w:rStyle w:val="normaltextrun"/>
          <w:rFonts w:asciiTheme="minorHAnsi" w:eastAsiaTheme="majorEastAsia" w:hAnsiTheme="minorHAnsi" w:cstheme="minorHAnsi"/>
          <w:sz w:val="22"/>
          <w:szCs w:val="22"/>
        </w:rPr>
        <w:t xml:space="preserve"> mėnesio laikotarpiui per visą dalyvavimo pensijų kaupime laikotarpį, sustabdyti pensijų įmokų pervedimą.</w:t>
      </w:r>
    </w:p>
    <w:p w14:paraId="318B9EC5" w14:textId="3638F79B" w:rsidR="006C0010" w:rsidRPr="006C0010" w:rsidRDefault="002A192D" w:rsidP="006C0010">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Pr>
          <w:rStyle w:val="normaltextrun"/>
          <w:rFonts w:asciiTheme="minorHAnsi" w:eastAsiaTheme="majorEastAsia" w:hAnsiTheme="minorHAnsi" w:cstheme="minorHAnsi"/>
          <w:sz w:val="22"/>
          <w:szCs w:val="22"/>
        </w:rPr>
        <w:t>LVAT t</w:t>
      </w:r>
      <w:r w:rsidR="006C0010" w:rsidRPr="006C0010">
        <w:rPr>
          <w:rStyle w:val="normaltextrun"/>
          <w:rFonts w:asciiTheme="minorHAnsi" w:eastAsiaTheme="majorEastAsia" w:hAnsiTheme="minorHAnsi" w:cstheme="minorHAnsi"/>
          <w:sz w:val="22"/>
          <w:szCs w:val="22"/>
        </w:rPr>
        <w:t xml:space="preserve">eisėjų kolegija pažymėjo, kad </w:t>
      </w:r>
      <w:r w:rsidR="006C0010" w:rsidRPr="006C0010">
        <w:rPr>
          <w:rStyle w:val="normaltextrun"/>
          <w:rFonts w:asciiTheme="minorHAnsi" w:eastAsiaTheme="majorEastAsia" w:hAnsiTheme="minorHAnsi" w:cstheme="minorHAnsi"/>
          <w:sz w:val="22"/>
          <w:szCs w:val="22"/>
          <w:u w:val="single"/>
        </w:rPr>
        <w:t>Pensijų kaupimo įstatymo 13 straipsnio 1 dalyje įtvirtintas 12 mėnesių terminas neriboja teismo teisės taikyti reikalavimo užtikrinimo priemones pagal ABTĮ 70 straipsnio 3 dalies 1</w:t>
      </w:r>
      <w:r w:rsidR="002857AC">
        <w:rPr>
          <w:rStyle w:val="normaltextrun"/>
          <w:rFonts w:asciiTheme="minorHAnsi" w:eastAsiaTheme="majorEastAsia" w:hAnsiTheme="minorHAnsi" w:cstheme="minorHAnsi"/>
          <w:sz w:val="22"/>
          <w:szCs w:val="22"/>
          <w:u w:val="single"/>
        </w:rPr>
        <w:t> </w:t>
      </w:r>
      <w:r w:rsidR="006C0010" w:rsidRPr="006C0010">
        <w:rPr>
          <w:rStyle w:val="normaltextrun"/>
          <w:rFonts w:asciiTheme="minorHAnsi" w:eastAsiaTheme="majorEastAsia" w:hAnsiTheme="minorHAnsi" w:cstheme="minorHAnsi"/>
          <w:sz w:val="22"/>
          <w:szCs w:val="22"/>
          <w:u w:val="single"/>
        </w:rPr>
        <w:t>punktą ir sustabdyti pensijų kaupimą tokiam terminui, kokį teismas mano esant būtiną</w:t>
      </w:r>
      <w:r w:rsidR="006C0010" w:rsidRPr="006C0010">
        <w:rPr>
          <w:rStyle w:val="normaltextrun"/>
          <w:rFonts w:asciiTheme="minorHAnsi" w:eastAsiaTheme="majorEastAsia" w:hAnsiTheme="minorHAnsi" w:cstheme="minorHAnsi"/>
          <w:sz w:val="22"/>
          <w:szCs w:val="22"/>
        </w:rPr>
        <w:t>. Tačiau, įvertinus nurodytą teisinį reguliavimą, pareiškėjos prašomos taikyti reikalavimo užtikrinimo priemonės pobūdį, pareiškėjos argumentus bei bylos medžiagą, teisėjų kolegijos vertinimu, pareiškėja nagrinėtu atveju neįrodė, jog, netaikius jos prašomos taikyti reikalavimo užtikrinimo priemonės, kils neatitaisoma arba sunkiai atitaisoma didelė žala. Pažymėta, jog tuo atveju, jeigu pareiškėjos reikalavimas būtų patenkintas, visos išskaitytos pensijų įmokos pareiškėjai būtų grąžintos per 30 dienų nuo teismo sprendimo įsiteisėjimo, remiantis Pensijų kaupimo įstatymo nuostatomis.</w:t>
      </w:r>
    </w:p>
    <w:p w14:paraId="5456B632" w14:textId="77777777" w:rsidR="006C0010" w:rsidRPr="006C0010" w:rsidRDefault="006C0010" w:rsidP="006C0010">
      <w:pPr>
        <w:pStyle w:val="paragraph"/>
        <w:spacing w:before="0" w:beforeAutospacing="0" w:after="0" w:afterAutospacing="0"/>
        <w:ind w:firstLine="567"/>
        <w:jc w:val="both"/>
        <w:textAlignment w:val="baseline"/>
        <w:rPr>
          <w:rStyle w:val="normaltextrun"/>
          <w:rFonts w:asciiTheme="minorHAnsi" w:eastAsiaTheme="majorEastAsia" w:hAnsiTheme="minorHAnsi" w:cstheme="minorHAnsi"/>
          <w:sz w:val="22"/>
          <w:szCs w:val="22"/>
        </w:rPr>
      </w:pPr>
      <w:r w:rsidRPr="006C0010">
        <w:rPr>
          <w:rStyle w:val="normaltextrun"/>
          <w:rFonts w:asciiTheme="minorHAnsi" w:eastAsiaTheme="majorEastAsia" w:hAnsiTheme="minorHAnsi" w:cstheme="minorHAnsi"/>
          <w:sz w:val="22"/>
          <w:szCs w:val="22"/>
        </w:rPr>
        <w:t>Pareiškėjos atskirasis skundas atmestas, pirmosios instancijos teismo nutartis palikta nepakeista.</w:t>
      </w:r>
    </w:p>
    <w:p w14:paraId="1D9872B5" w14:textId="77777777" w:rsidR="006C0010" w:rsidRPr="006C0010" w:rsidRDefault="006C0010" w:rsidP="006C0010">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p>
    <w:p w14:paraId="7C755BB9" w14:textId="77777777" w:rsidR="006C0010" w:rsidRPr="006C0010" w:rsidRDefault="006C0010" w:rsidP="006C0010">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6C0010">
        <w:rPr>
          <w:rStyle w:val="normaltextrun"/>
          <w:rFonts w:asciiTheme="minorHAnsi" w:eastAsiaTheme="majorEastAsia" w:hAnsiTheme="minorHAnsi" w:cstheme="minorHAnsi"/>
          <w:sz w:val="22"/>
          <w:szCs w:val="22"/>
        </w:rPr>
        <w:t>2025 m. balandžio 23 d. nutartis administracinėje byloje Nr. eAS-511-789/2025</w:t>
      </w:r>
    </w:p>
    <w:p w14:paraId="3D4CBD78" w14:textId="77777777" w:rsidR="006C0010" w:rsidRPr="006C0010" w:rsidRDefault="006C0010" w:rsidP="006C0010">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6C0010">
        <w:rPr>
          <w:rStyle w:val="normaltextrun"/>
          <w:rFonts w:asciiTheme="minorHAnsi" w:eastAsiaTheme="majorEastAsia" w:hAnsiTheme="minorHAnsi" w:cstheme="minorHAnsi"/>
          <w:sz w:val="22"/>
          <w:szCs w:val="22"/>
        </w:rPr>
        <w:t>Teisminio proceso Nr. 3-61-3-07400-2024-2</w:t>
      </w:r>
    </w:p>
    <w:p w14:paraId="440D88C6" w14:textId="5ACF746A" w:rsidR="006C0010" w:rsidRPr="006C0010" w:rsidRDefault="006C0010" w:rsidP="006C0010">
      <w:pPr>
        <w:rPr>
          <w:rFonts w:asciiTheme="minorHAnsi" w:hAnsiTheme="minorHAnsi" w:cstheme="minorHAnsi"/>
          <w:sz w:val="22"/>
          <w:szCs w:val="22"/>
        </w:rPr>
      </w:pPr>
      <w:hyperlink r:id="rId24" w:history="1">
        <w:r w:rsidRPr="006C0010">
          <w:rPr>
            <w:rStyle w:val="Hyperlink"/>
            <w:rFonts w:asciiTheme="minorHAnsi" w:hAnsiTheme="minorHAnsi" w:cstheme="minorHAnsi"/>
            <w:sz w:val="22"/>
            <w:szCs w:val="22"/>
          </w:rPr>
          <w:t>Prieiga internete</w:t>
        </w:r>
      </w:hyperlink>
    </w:p>
    <w:p w14:paraId="046B8D50" w14:textId="77777777" w:rsidR="006C0010" w:rsidRPr="003E37E9" w:rsidRDefault="006C0010" w:rsidP="003E37E9">
      <w:pPr>
        <w:rPr>
          <w:rFonts w:asciiTheme="minorHAnsi" w:eastAsia="Calibri" w:hAnsiTheme="minorHAnsi" w:cstheme="minorHAnsi"/>
          <w:sz w:val="22"/>
          <w:szCs w:val="22"/>
        </w:rPr>
      </w:pPr>
    </w:p>
    <w:p w14:paraId="7551DE36" w14:textId="77777777" w:rsidR="00572BA7" w:rsidRPr="00572BA7" w:rsidRDefault="00572BA7" w:rsidP="00572BA7">
      <w:pPr>
        <w:pStyle w:val="Apzvalgai1"/>
        <w:rPr>
          <w:rFonts w:asciiTheme="minorHAnsi" w:hAnsiTheme="minorHAnsi" w:cstheme="minorHAnsi"/>
        </w:rPr>
      </w:pPr>
      <w:bookmarkStart w:id="63" w:name="_Toc199503168"/>
      <w:r w:rsidRPr="00572BA7">
        <w:rPr>
          <w:rFonts w:asciiTheme="minorHAnsi" w:hAnsiTheme="minorHAnsi" w:cstheme="minorHAnsi"/>
        </w:rPr>
        <w:t>55. Teismo procesiniai dokumentai</w:t>
      </w:r>
      <w:bookmarkEnd w:id="63"/>
    </w:p>
    <w:p w14:paraId="60C6BE31" w14:textId="77777777" w:rsidR="00572BA7" w:rsidRPr="004B0471" w:rsidRDefault="00572BA7" w:rsidP="00572BA7">
      <w:pPr>
        <w:ind w:firstLine="567"/>
        <w:jc w:val="both"/>
        <w:rPr>
          <w:rFonts w:asciiTheme="minorHAnsi" w:hAnsiTheme="minorHAnsi" w:cstheme="minorHAnsi"/>
          <w:b/>
          <w:bCs/>
          <w:sz w:val="22"/>
          <w:szCs w:val="22"/>
          <w:u w:val="single"/>
        </w:rPr>
      </w:pPr>
      <w:r w:rsidRPr="004B0471">
        <w:rPr>
          <w:rFonts w:asciiTheme="minorHAnsi" w:hAnsiTheme="minorHAnsi" w:cstheme="minorHAnsi"/>
          <w:b/>
          <w:bCs/>
          <w:sz w:val="22"/>
          <w:szCs w:val="22"/>
          <w:u w:val="single"/>
        </w:rPr>
        <w:t>55.1. Teismo sprendimas</w:t>
      </w:r>
    </w:p>
    <w:p w14:paraId="437B5250" w14:textId="77777777" w:rsidR="00572BA7" w:rsidRPr="004B0471" w:rsidRDefault="00572BA7" w:rsidP="00572BA7">
      <w:pPr>
        <w:ind w:firstLine="1134"/>
        <w:jc w:val="both"/>
        <w:rPr>
          <w:rFonts w:asciiTheme="minorHAnsi" w:hAnsiTheme="minorHAnsi" w:cstheme="minorHAnsi"/>
          <w:b/>
          <w:bCs/>
          <w:sz w:val="22"/>
          <w:szCs w:val="22"/>
          <w:u w:val="single"/>
        </w:rPr>
      </w:pPr>
      <w:r w:rsidRPr="004B0471">
        <w:rPr>
          <w:rFonts w:asciiTheme="minorHAnsi" w:hAnsiTheme="minorHAnsi" w:cstheme="minorHAnsi"/>
          <w:b/>
          <w:bCs/>
          <w:sz w:val="22"/>
          <w:szCs w:val="22"/>
          <w:u w:val="single"/>
        </w:rPr>
        <w:t>55.1.6. Teismo sprendimo išaiškinimas</w:t>
      </w:r>
    </w:p>
    <w:p w14:paraId="6D11B235" w14:textId="77777777" w:rsidR="00572BA7" w:rsidRDefault="00572BA7" w:rsidP="00572BA7">
      <w:pPr>
        <w:ind w:firstLine="567"/>
        <w:jc w:val="both"/>
        <w:rPr>
          <w:rFonts w:asciiTheme="minorHAnsi" w:hAnsiTheme="minorHAnsi" w:cstheme="minorHAnsi"/>
          <w:sz w:val="22"/>
          <w:szCs w:val="22"/>
        </w:rPr>
      </w:pPr>
    </w:p>
    <w:p w14:paraId="5AEE91B7" w14:textId="77777777" w:rsidR="00572BA7" w:rsidRPr="00572BA7" w:rsidRDefault="00572BA7" w:rsidP="00572BA7">
      <w:pPr>
        <w:jc w:val="both"/>
        <w:outlineLvl w:val="1"/>
        <w:rPr>
          <w:rFonts w:asciiTheme="minorHAnsi" w:eastAsia="Calibri" w:hAnsiTheme="minorHAnsi" w:cstheme="minorHAnsi"/>
          <w:i/>
          <w:sz w:val="22"/>
          <w:szCs w:val="22"/>
        </w:rPr>
      </w:pPr>
      <w:bookmarkStart w:id="64" w:name="_Toc199503169"/>
      <w:r w:rsidRPr="00572BA7">
        <w:rPr>
          <w:rFonts w:asciiTheme="minorHAnsi" w:eastAsia="Calibri" w:hAnsiTheme="minorHAnsi" w:cstheme="minorHAnsi"/>
          <w:i/>
          <w:sz w:val="22"/>
          <w:szCs w:val="22"/>
        </w:rPr>
        <w:t>Dėl prašymo išaiškinti teismo sprendimą nagrinėjimo atidėjimo ir šio prašymo išsprendimo rezoliucija</w:t>
      </w:r>
      <w:bookmarkEnd w:id="64"/>
    </w:p>
    <w:p w14:paraId="0D58FA11" w14:textId="77777777" w:rsidR="00572BA7" w:rsidRDefault="00572BA7" w:rsidP="00572BA7">
      <w:pPr>
        <w:ind w:firstLine="567"/>
        <w:jc w:val="both"/>
        <w:rPr>
          <w:rFonts w:asciiTheme="minorHAnsi" w:hAnsiTheme="minorHAnsi" w:cstheme="minorHAnsi"/>
          <w:sz w:val="22"/>
          <w:szCs w:val="22"/>
        </w:rPr>
      </w:pPr>
    </w:p>
    <w:p w14:paraId="297E16D3" w14:textId="5DEEE299" w:rsidR="00572BA7" w:rsidRDefault="00572BA7" w:rsidP="00572BA7">
      <w:pPr>
        <w:ind w:firstLine="567"/>
        <w:jc w:val="both"/>
        <w:rPr>
          <w:rFonts w:asciiTheme="minorHAnsi" w:hAnsiTheme="minorHAnsi" w:cstheme="minorHAnsi"/>
          <w:sz w:val="22"/>
          <w:szCs w:val="22"/>
        </w:rPr>
      </w:pPr>
      <w:r>
        <w:rPr>
          <w:rFonts w:asciiTheme="minorHAnsi" w:hAnsiTheme="minorHAnsi" w:cstheme="minorHAnsi"/>
          <w:sz w:val="22"/>
          <w:szCs w:val="22"/>
        </w:rPr>
        <w:t>Byloje n</w:t>
      </w:r>
      <w:r w:rsidRPr="008250DB">
        <w:rPr>
          <w:rFonts w:asciiTheme="minorHAnsi" w:hAnsiTheme="minorHAnsi" w:cstheme="minorHAnsi"/>
          <w:sz w:val="22"/>
          <w:szCs w:val="22"/>
        </w:rPr>
        <w:t>agrinė</w:t>
      </w:r>
      <w:r w:rsidR="00130F10">
        <w:rPr>
          <w:rFonts w:asciiTheme="minorHAnsi" w:hAnsiTheme="minorHAnsi" w:cstheme="minorHAnsi"/>
          <w:sz w:val="22"/>
          <w:szCs w:val="22"/>
        </w:rPr>
        <w:t>t</w:t>
      </w:r>
      <w:r w:rsidRPr="008250DB">
        <w:rPr>
          <w:rFonts w:asciiTheme="minorHAnsi" w:hAnsiTheme="minorHAnsi" w:cstheme="minorHAnsi"/>
          <w:sz w:val="22"/>
          <w:szCs w:val="22"/>
        </w:rPr>
        <w:t xml:space="preserve">o atskirojo skundo dalykas – Regionų administracinio teismo Šiaulių rūmų </w:t>
      </w:r>
      <w:r w:rsidRPr="0071779C">
        <w:rPr>
          <w:rFonts w:asciiTheme="minorHAnsi" w:hAnsiTheme="minorHAnsi" w:cstheme="minorHAnsi"/>
          <w:sz w:val="22"/>
          <w:szCs w:val="22"/>
        </w:rPr>
        <w:t xml:space="preserve">2025 m. vasario 10 d. </w:t>
      </w:r>
      <w:r w:rsidRPr="008250DB">
        <w:rPr>
          <w:rFonts w:asciiTheme="minorHAnsi" w:hAnsiTheme="minorHAnsi" w:cstheme="minorHAnsi"/>
          <w:sz w:val="22"/>
          <w:szCs w:val="22"/>
        </w:rPr>
        <w:t>rezoliucijos, kuria atsisakyta priimti pareiškėjo pakartotinį prašymą dėl teismo 2024 m. gruodžio 12 d. sprendimo išaiškinimo, pagrįstumas ir teisėtumas</w:t>
      </w:r>
      <w:r>
        <w:rPr>
          <w:rFonts w:asciiTheme="minorHAnsi" w:hAnsiTheme="minorHAnsi" w:cstheme="minorHAnsi"/>
          <w:sz w:val="22"/>
          <w:szCs w:val="22"/>
        </w:rPr>
        <w:t>.</w:t>
      </w:r>
    </w:p>
    <w:p w14:paraId="653E5C6A" w14:textId="3394001E" w:rsidR="00572BA7" w:rsidRDefault="00572BA7" w:rsidP="00572BA7">
      <w:pPr>
        <w:ind w:firstLine="567"/>
        <w:jc w:val="both"/>
        <w:rPr>
          <w:rFonts w:asciiTheme="minorHAnsi" w:hAnsiTheme="minorHAnsi" w:cstheme="minorHAnsi"/>
          <w:sz w:val="22"/>
          <w:szCs w:val="22"/>
        </w:rPr>
      </w:pPr>
      <w:r w:rsidRPr="008250DB">
        <w:rPr>
          <w:rFonts w:asciiTheme="minorHAnsi" w:hAnsiTheme="minorHAnsi" w:cstheme="minorHAnsi"/>
          <w:sz w:val="22"/>
          <w:szCs w:val="22"/>
        </w:rPr>
        <w:t>Nagrinė</w:t>
      </w:r>
      <w:r>
        <w:rPr>
          <w:rFonts w:asciiTheme="minorHAnsi" w:hAnsiTheme="minorHAnsi" w:cstheme="minorHAnsi"/>
          <w:sz w:val="22"/>
          <w:szCs w:val="22"/>
        </w:rPr>
        <w:t>t</w:t>
      </w:r>
      <w:r w:rsidRPr="008250DB">
        <w:rPr>
          <w:rFonts w:asciiTheme="minorHAnsi" w:hAnsiTheme="minorHAnsi" w:cstheme="minorHAnsi"/>
          <w:sz w:val="22"/>
          <w:szCs w:val="22"/>
        </w:rPr>
        <w:t xml:space="preserve">u atveju </w:t>
      </w:r>
      <w:r>
        <w:rPr>
          <w:rFonts w:asciiTheme="minorHAnsi" w:hAnsiTheme="minorHAnsi" w:cstheme="minorHAnsi"/>
          <w:sz w:val="22"/>
          <w:szCs w:val="22"/>
        </w:rPr>
        <w:t>buvo</w:t>
      </w:r>
      <w:r w:rsidRPr="008250DB">
        <w:rPr>
          <w:rFonts w:asciiTheme="minorHAnsi" w:hAnsiTheme="minorHAnsi" w:cstheme="minorHAnsi"/>
          <w:sz w:val="22"/>
          <w:szCs w:val="22"/>
        </w:rPr>
        <w:t xml:space="preserve"> nustatyta, kad pareiškėjas 2025 m. sausio 10 d. pateikė prašymą dėl teismo 2024</w:t>
      </w:r>
      <w:r w:rsidR="00130F10">
        <w:rPr>
          <w:rFonts w:asciiTheme="minorHAnsi" w:hAnsiTheme="minorHAnsi" w:cstheme="minorHAnsi"/>
          <w:sz w:val="22"/>
          <w:szCs w:val="22"/>
        </w:rPr>
        <w:t> </w:t>
      </w:r>
      <w:r w:rsidRPr="008250DB">
        <w:rPr>
          <w:rFonts w:asciiTheme="minorHAnsi" w:hAnsiTheme="minorHAnsi" w:cstheme="minorHAnsi"/>
          <w:sz w:val="22"/>
          <w:szCs w:val="22"/>
        </w:rPr>
        <w:t>m. gruodžio 12 d. sprendimo išaiškinimo. Regionų administracinio teismo Šiaulių rūmų teisėja 2025 m. sausio 14 d. rezoliucija nusprendė prašymą nagrinėti bylą išnagrinėjus apeliacine tvarka.</w:t>
      </w:r>
      <w:r>
        <w:rPr>
          <w:rFonts w:asciiTheme="minorHAnsi" w:hAnsiTheme="minorHAnsi" w:cstheme="minorHAnsi"/>
          <w:sz w:val="22"/>
          <w:szCs w:val="22"/>
        </w:rPr>
        <w:t xml:space="preserve"> </w:t>
      </w:r>
      <w:r w:rsidRPr="00B30669">
        <w:rPr>
          <w:rFonts w:asciiTheme="minorHAnsi" w:hAnsiTheme="minorHAnsi" w:cstheme="minorHAnsi"/>
          <w:sz w:val="22"/>
          <w:szCs w:val="22"/>
        </w:rPr>
        <w:t>Pareiškėjas 2025</w:t>
      </w:r>
      <w:r w:rsidR="00130F10">
        <w:rPr>
          <w:rFonts w:asciiTheme="minorHAnsi" w:hAnsiTheme="minorHAnsi" w:cstheme="minorHAnsi"/>
          <w:sz w:val="22"/>
          <w:szCs w:val="22"/>
        </w:rPr>
        <w:t xml:space="preserve"> </w:t>
      </w:r>
      <w:r w:rsidRPr="00B30669">
        <w:rPr>
          <w:rFonts w:asciiTheme="minorHAnsi" w:hAnsiTheme="minorHAnsi" w:cstheme="minorHAnsi"/>
          <w:sz w:val="22"/>
          <w:szCs w:val="22"/>
        </w:rPr>
        <w:t xml:space="preserve">m. vasario 7 d. pakartotinai pateikė prašymą dėl teismo 2024 m. gruodžio 12 d. sprendimo išaiškinimo. </w:t>
      </w:r>
      <w:r>
        <w:rPr>
          <w:rFonts w:asciiTheme="minorHAnsi" w:hAnsiTheme="minorHAnsi" w:cstheme="minorHAnsi"/>
          <w:sz w:val="22"/>
          <w:szCs w:val="22"/>
        </w:rPr>
        <w:t xml:space="preserve">Tačiau </w:t>
      </w:r>
      <w:r w:rsidRPr="00B30669">
        <w:rPr>
          <w:rFonts w:asciiTheme="minorHAnsi" w:hAnsiTheme="minorHAnsi" w:cstheme="minorHAnsi"/>
          <w:sz w:val="22"/>
          <w:szCs w:val="22"/>
        </w:rPr>
        <w:t>Regionų administracinio teismo Šiaulių rūmų teisėja 2025 m. vasario 10 d. priėmė rezoliuciją: „Pakartotinį prašymą dėl sprendimo išaiškinimo atsisakyti priimti, nes prašymas išspręstas 2025-01-14 teisėjo rezoliucija. Pareiškėjo atstovui išaiškinti, kad prašymas bus nagrinėjamas bylą (o ne tarpinį procesinį dokumentą) išnagrinėjus apeliacine tvarka“.</w:t>
      </w:r>
      <w:r>
        <w:rPr>
          <w:rFonts w:asciiTheme="minorHAnsi" w:hAnsiTheme="minorHAnsi" w:cstheme="minorHAnsi"/>
          <w:sz w:val="22"/>
          <w:szCs w:val="22"/>
        </w:rPr>
        <w:t xml:space="preserve"> </w:t>
      </w:r>
      <w:r w:rsidRPr="00A132F7">
        <w:rPr>
          <w:rFonts w:asciiTheme="minorHAnsi" w:hAnsiTheme="minorHAnsi" w:cstheme="minorHAnsi"/>
          <w:sz w:val="22"/>
          <w:szCs w:val="22"/>
        </w:rPr>
        <w:t>Pareiškėjas, nesutikdamas su teisėjos 2025 m. vasario 10 d. rezoliucija, padavė atskirąjį skundą.</w:t>
      </w:r>
    </w:p>
    <w:p w14:paraId="246C3E74" w14:textId="41D2E157" w:rsidR="00572BA7" w:rsidRDefault="00572BA7" w:rsidP="00572BA7">
      <w:pPr>
        <w:ind w:firstLine="567"/>
        <w:jc w:val="both"/>
        <w:rPr>
          <w:rFonts w:asciiTheme="minorHAnsi" w:hAnsiTheme="minorHAnsi" w:cstheme="minorHAnsi"/>
          <w:sz w:val="22"/>
          <w:szCs w:val="22"/>
        </w:rPr>
      </w:pPr>
      <w:r>
        <w:rPr>
          <w:rFonts w:asciiTheme="minorHAnsi" w:hAnsiTheme="minorHAnsi" w:cstheme="minorHAnsi"/>
          <w:sz w:val="22"/>
          <w:szCs w:val="22"/>
        </w:rPr>
        <w:lastRenderedPageBreak/>
        <w:t xml:space="preserve">LVAT teisėjų kolegija, įvertinusi aktualias ABTĮ nuostatas, pažymėjo, kad </w:t>
      </w:r>
      <w:r w:rsidRPr="005A541D">
        <w:rPr>
          <w:rFonts w:asciiTheme="minorHAnsi" w:hAnsiTheme="minorHAnsi" w:cstheme="minorHAnsi"/>
          <w:sz w:val="22"/>
          <w:szCs w:val="22"/>
        </w:rPr>
        <w:t xml:space="preserve">šiuo atveju pirmosios instancijos teismas, gavęs pareiškėjo pakartotinį prašymą dėl teismo 2024 m. gruodžio 12 d. sprendimo išaiškinimo, nepagrįstai rezoliucija atsisakė jį priimti, kadangi ABTĮ 96 straipsnyje nustatyta, </w:t>
      </w:r>
      <w:r>
        <w:rPr>
          <w:rFonts w:asciiTheme="minorHAnsi" w:hAnsiTheme="minorHAnsi" w:cstheme="minorHAnsi"/>
          <w:sz w:val="22"/>
          <w:szCs w:val="22"/>
        </w:rPr>
        <w:t>jog</w:t>
      </w:r>
      <w:r w:rsidRPr="005A541D">
        <w:rPr>
          <w:rFonts w:asciiTheme="minorHAnsi" w:hAnsiTheme="minorHAnsi" w:cstheme="minorHAnsi"/>
          <w:sz w:val="22"/>
          <w:szCs w:val="22"/>
        </w:rPr>
        <w:t xml:space="preserve"> prašymas dėl sprendimo išaiškinimo išsprendžiamas teismui priimant nutartį, kurią galima apskųsti atskiruoju skundu (3 d.). </w:t>
      </w:r>
      <w:r w:rsidRPr="005A541D">
        <w:rPr>
          <w:rFonts w:asciiTheme="minorHAnsi" w:hAnsiTheme="minorHAnsi" w:cstheme="minorHAnsi"/>
          <w:sz w:val="22"/>
          <w:szCs w:val="22"/>
          <w:u w:val="single"/>
        </w:rPr>
        <w:t>ABTĮ neįtvirtina galimybės atidėti prašymo dėl sprendimo išaiškinimo nagrinėjimą iki apeliacinės instancijos teismas išnagrinės bylą apeliacine tvarka, juolab nenumato galimybės atsisakyti priimti prašymą ir šį klausimą išspręsti teisėjo rezoliucija</w:t>
      </w:r>
      <w:r w:rsidRPr="005A541D">
        <w:rPr>
          <w:rFonts w:asciiTheme="minorHAnsi" w:hAnsiTheme="minorHAnsi" w:cstheme="minorHAnsi"/>
          <w:sz w:val="22"/>
          <w:szCs w:val="22"/>
        </w:rPr>
        <w:t xml:space="preserve">. </w:t>
      </w:r>
      <w:r>
        <w:rPr>
          <w:rFonts w:asciiTheme="minorHAnsi" w:hAnsiTheme="minorHAnsi" w:cstheme="minorHAnsi"/>
          <w:sz w:val="22"/>
          <w:szCs w:val="22"/>
        </w:rPr>
        <w:t>Šiuo</w:t>
      </w:r>
      <w:r w:rsidRPr="005A541D">
        <w:rPr>
          <w:rFonts w:asciiTheme="minorHAnsi" w:hAnsiTheme="minorHAnsi" w:cstheme="minorHAnsi"/>
          <w:sz w:val="22"/>
          <w:szCs w:val="22"/>
        </w:rPr>
        <w:t xml:space="preserve"> atveju pirmosios instancijos teismas pareiškėjo 2025 m. vasario 7 d. prašymą išaiškinti teismo 2024 m. gruodžio 12 d. sprendimą turėjo išspręsti priimdamas nutartį.</w:t>
      </w:r>
      <w:r>
        <w:rPr>
          <w:rFonts w:asciiTheme="minorHAnsi" w:hAnsiTheme="minorHAnsi" w:cstheme="minorHAnsi"/>
          <w:sz w:val="22"/>
          <w:szCs w:val="22"/>
        </w:rPr>
        <w:t xml:space="preserve"> </w:t>
      </w:r>
      <w:r w:rsidRPr="005A541D">
        <w:rPr>
          <w:rFonts w:asciiTheme="minorHAnsi" w:hAnsiTheme="minorHAnsi" w:cstheme="minorHAnsi"/>
          <w:sz w:val="22"/>
          <w:szCs w:val="22"/>
        </w:rPr>
        <w:t>Teisėjų kolegija</w:t>
      </w:r>
      <w:r>
        <w:rPr>
          <w:rFonts w:asciiTheme="minorHAnsi" w:hAnsiTheme="minorHAnsi" w:cstheme="minorHAnsi"/>
          <w:sz w:val="22"/>
          <w:szCs w:val="22"/>
        </w:rPr>
        <w:t xml:space="preserve"> kartu</w:t>
      </w:r>
      <w:r w:rsidRPr="005A541D">
        <w:rPr>
          <w:rFonts w:asciiTheme="minorHAnsi" w:hAnsiTheme="minorHAnsi" w:cstheme="minorHAnsi"/>
          <w:sz w:val="22"/>
          <w:szCs w:val="22"/>
        </w:rPr>
        <w:t xml:space="preserve"> </w:t>
      </w:r>
      <w:r>
        <w:rPr>
          <w:rFonts w:asciiTheme="minorHAnsi" w:hAnsiTheme="minorHAnsi" w:cstheme="minorHAnsi"/>
          <w:sz w:val="22"/>
          <w:szCs w:val="22"/>
        </w:rPr>
        <w:t>atkreipė dėmesį</w:t>
      </w:r>
      <w:r w:rsidRPr="005A541D">
        <w:rPr>
          <w:rFonts w:asciiTheme="minorHAnsi" w:hAnsiTheme="minorHAnsi" w:cstheme="minorHAnsi"/>
          <w:sz w:val="22"/>
          <w:szCs w:val="22"/>
        </w:rPr>
        <w:t xml:space="preserve">, jog ABTĮ 107 straipsnio 6 dalies nuostata </w:t>
      </w:r>
      <w:r w:rsidRPr="00DB0CA7">
        <w:rPr>
          <w:rFonts w:asciiTheme="minorHAnsi" w:hAnsiTheme="minorHAnsi" w:cstheme="minorHAnsi"/>
          <w:i/>
          <w:iCs/>
          <w:sz w:val="22"/>
          <w:szCs w:val="22"/>
        </w:rPr>
        <w:t>expressis verbis</w:t>
      </w:r>
      <w:r w:rsidRPr="005A541D">
        <w:rPr>
          <w:rFonts w:asciiTheme="minorHAnsi" w:hAnsiTheme="minorHAnsi" w:cstheme="minorHAnsi"/>
          <w:sz w:val="22"/>
          <w:szCs w:val="22"/>
        </w:rPr>
        <w:t xml:space="preserve"> (</w:t>
      </w:r>
      <w:r w:rsidR="00130F10">
        <w:rPr>
          <w:rFonts w:asciiTheme="minorHAnsi" w:hAnsiTheme="minorHAnsi" w:cstheme="minorHAnsi"/>
          <w:sz w:val="22"/>
          <w:szCs w:val="22"/>
        </w:rPr>
        <w:t xml:space="preserve">aiškiais žodžiais, </w:t>
      </w:r>
      <w:r w:rsidRPr="005A541D">
        <w:rPr>
          <w:rFonts w:asciiTheme="minorHAnsi" w:hAnsiTheme="minorHAnsi" w:cstheme="minorHAnsi"/>
          <w:sz w:val="22"/>
          <w:szCs w:val="22"/>
        </w:rPr>
        <w:t>tiesiogiai) įtvirtina, kad teisėjo rezoliucija nėra skundžiama, tačiau šiuo konkrečiu atveju teisėjos rezoliucija, kurios pagrįstumą ir teisėtumą siek</w:t>
      </w:r>
      <w:r>
        <w:rPr>
          <w:rFonts w:asciiTheme="minorHAnsi" w:hAnsiTheme="minorHAnsi" w:cstheme="minorHAnsi"/>
          <w:sz w:val="22"/>
          <w:szCs w:val="22"/>
        </w:rPr>
        <w:t>ė</w:t>
      </w:r>
      <w:r w:rsidRPr="005A541D">
        <w:rPr>
          <w:rFonts w:asciiTheme="minorHAnsi" w:hAnsiTheme="minorHAnsi" w:cstheme="minorHAnsi"/>
          <w:sz w:val="22"/>
          <w:szCs w:val="22"/>
        </w:rPr>
        <w:t xml:space="preserve"> nuginčyti pareiškėjas, gali būti skundžiama atskiruoju skundu.</w:t>
      </w:r>
    </w:p>
    <w:p w14:paraId="67A4A9DA" w14:textId="77777777" w:rsidR="00572BA7" w:rsidRDefault="00572BA7" w:rsidP="00572BA7">
      <w:pPr>
        <w:ind w:firstLine="567"/>
        <w:jc w:val="both"/>
        <w:rPr>
          <w:rFonts w:asciiTheme="minorHAnsi" w:hAnsiTheme="minorHAnsi" w:cstheme="minorHAnsi"/>
          <w:sz w:val="22"/>
          <w:szCs w:val="22"/>
        </w:rPr>
      </w:pPr>
      <w:r>
        <w:rPr>
          <w:rFonts w:asciiTheme="minorHAnsi" w:hAnsiTheme="minorHAnsi" w:cstheme="minorHAnsi"/>
          <w:sz w:val="22"/>
          <w:szCs w:val="22"/>
        </w:rPr>
        <w:t xml:space="preserve">Remiantis nurodytomis aplinkybėmis, pareiškėjo atskirasis skundas tenkintas, </w:t>
      </w:r>
      <w:r w:rsidRPr="000B4A6A">
        <w:rPr>
          <w:rFonts w:asciiTheme="minorHAnsi" w:hAnsiTheme="minorHAnsi" w:cstheme="minorHAnsi"/>
          <w:sz w:val="22"/>
          <w:szCs w:val="22"/>
        </w:rPr>
        <w:t>Regionų administracinio teismo Šiaulių rūmų 2025 m. vasario 10 d. rezoliucij</w:t>
      </w:r>
      <w:r>
        <w:rPr>
          <w:rFonts w:asciiTheme="minorHAnsi" w:hAnsiTheme="minorHAnsi" w:cstheme="minorHAnsi"/>
          <w:sz w:val="22"/>
          <w:szCs w:val="22"/>
        </w:rPr>
        <w:t>a</w:t>
      </w:r>
      <w:r w:rsidRPr="000B4A6A">
        <w:rPr>
          <w:rFonts w:asciiTheme="minorHAnsi" w:hAnsiTheme="minorHAnsi" w:cstheme="minorHAnsi"/>
          <w:sz w:val="22"/>
          <w:szCs w:val="22"/>
        </w:rPr>
        <w:t>, kuria nuspręsta atsisakyti priimti pareiškėjo pakartotinį prašymą dėl teismo sprendimo išaiškinimo, panaikint</w:t>
      </w:r>
      <w:r>
        <w:rPr>
          <w:rFonts w:asciiTheme="minorHAnsi" w:hAnsiTheme="minorHAnsi" w:cstheme="minorHAnsi"/>
          <w:sz w:val="22"/>
          <w:szCs w:val="22"/>
        </w:rPr>
        <w:t>a</w:t>
      </w:r>
      <w:r w:rsidRPr="000B4A6A">
        <w:rPr>
          <w:rFonts w:asciiTheme="minorHAnsi" w:hAnsiTheme="minorHAnsi" w:cstheme="minorHAnsi"/>
          <w:sz w:val="22"/>
          <w:szCs w:val="22"/>
        </w:rPr>
        <w:t xml:space="preserve"> ir klausim</w:t>
      </w:r>
      <w:r>
        <w:rPr>
          <w:rFonts w:asciiTheme="minorHAnsi" w:hAnsiTheme="minorHAnsi" w:cstheme="minorHAnsi"/>
          <w:sz w:val="22"/>
          <w:szCs w:val="22"/>
        </w:rPr>
        <w:t>as</w:t>
      </w:r>
      <w:r w:rsidRPr="000B4A6A">
        <w:rPr>
          <w:rFonts w:asciiTheme="minorHAnsi" w:hAnsiTheme="minorHAnsi" w:cstheme="minorHAnsi"/>
          <w:sz w:val="22"/>
          <w:szCs w:val="22"/>
        </w:rPr>
        <w:t xml:space="preserve"> perduot</w:t>
      </w:r>
      <w:r>
        <w:rPr>
          <w:rFonts w:asciiTheme="minorHAnsi" w:hAnsiTheme="minorHAnsi" w:cstheme="minorHAnsi"/>
          <w:sz w:val="22"/>
          <w:szCs w:val="22"/>
        </w:rPr>
        <w:t>as</w:t>
      </w:r>
      <w:r w:rsidRPr="000B4A6A">
        <w:rPr>
          <w:rFonts w:asciiTheme="minorHAnsi" w:hAnsiTheme="minorHAnsi" w:cstheme="minorHAnsi"/>
          <w:sz w:val="22"/>
          <w:szCs w:val="22"/>
        </w:rPr>
        <w:t xml:space="preserve"> pirmosios instancijos teismui nagrinėti iš naujo</w:t>
      </w:r>
      <w:r>
        <w:rPr>
          <w:rFonts w:asciiTheme="minorHAnsi" w:hAnsiTheme="minorHAnsi" w:cstheme="minorHAnsi"/>
          <w:sz w:val="22"/>
          <w:szCs w:val="22"/>
        </w:rPr>
        <w:t>.</w:t>
      </w:r>
    </w:p>
    <w:p w14:paraId="3314F580" w14:textId="77777777" w:rsidR="00572BA7" w:rsidRDefault="00572BA7" w:rsidP="00572BA7">
      <w:pPr>
        <w:ind w:firstLine="567"/>
        <w:jc w:val="both"/>
        <w:rPr>
          <w:rFonts w:asciiTheme="minorHAnsi" w:hAnsiTheme="minorHAnsi" w:cstheme="minorHAnsi"/>
          <w:sz w:val="22"/>
          <w:szCs w:val="22"/>
        </w:rPr>
      </w:pPr>
    </w:p>
    <w:p w14:paraId="461AF928" w14:textId="77777777" w:rsidR="00572BA7" w:rsidRPr="009D7FC8" w:rsidRDefault="00572BA7" w:rsidP="00572BA7">
      <w:pPr>
        <w:jc w:val="both"/>
        <w:rPr>
          <w:rFonts w:asciiTheme="minorHAnsi" w:hAnsiTheme="minorHAnsi" w:cstheme="minorHAnsi"/>
          <w:sz w:val="22"/>
          <w:szCs w:val="22"/>
        </w:rPr>
      </w:pPr>
      <w:r w:rsidRPr="009D7FC8">
        <w:rPr>
          <w:rFonts w:asciiTheme="minorHAnsi" w:hAnsiTheme="minorHAnsi" w:cstheme="minorHAnsi"/>
          <w:bCs/>
          <w:sz w:val="22"/>
          <w:szCs w:val="22"/>
        </w:rPr>
        <w:t xml:space="preserve">2025 m. </w:t>
      </w:r>
      <w:r w:rsidRPr="006E2E6A">
        <w:rPr>
          <w:rFonts w:asciiTheme="minorHAnsi" w:hAnsiTheme="minorHAnsi" w:cstheme="minorHAnsi"/>
          <w:bCs/>
          <w:sz w:val="22"/>
          <w:szCs w:val="22"/>
        </w:rPr>
        <w:t xml:space="preserve">balandžio 9 </w:t>
      </w:r>
      <w:r w:rsidRPr="009D7FC8">
        <w:rPr>
          <w:rFonts w:asciiTheme="minorHAnsi" w:hAnsiTheme="minorHAnsi" w:cstheme="minorHAnsi"/>
          <w:sz w:val="22"/>
          <w:szCs w:val="22"/>
        </w:rPr>
        <w:t xml:space="preserve">d. nutartis administracinėje byloje Nr. </w:t>
      </w:r>
      <w:r w:rsidRPr="006E2E6A">
        <w:rPr>
          <w:rFonts w:asciiTheme="minorHAnsi" w:hAnsiTheme="minorHAnsi" w:cstheme="minorHAnsi"/>
          <w:bCs/>
          <w:sz w:val="22"/>
          <w:szCs w:val="22"/>
        </w:rPr>
        <w:t>AS-424-602/2025</w:t>
      </w:r>
    </w:p>
    <w:p w14:paraId="13D53C37" w14:textId="77777777" w:rsidR="00572BA7" w:rsidRPr="009D7FC8" w:rsidRDefault="00572BA7" w:rsidP="00572BA7">
      <w:pPr>
        <w:jc w:val="both"/>
        <w:rPr>
          <w:rFonts w:asciiTheme="minorHAnsi" w:hAnsiTheme="minorHAnsi" w:cstheme="minorHAnsi"/>
          <w:bCs/>
          <w:sz w:val="22"/>
          <w:szCs w:val="22"/>
        </w:rPr>
      </w:pPr>
      <w:r w:rsidRPr="009D7FC8">
        <w:rPr>
          <w:rFonts w:asciiTheme="minorHAnsi" w:hAnsiTheme="minorHAnsi" w:cstheme="minorHAnsi"/>
          <w:sz w:val="22"/>
          <w:szCs w:val="22"/>
        </w:rPr>
        <w:t xml:space="preserve">Teisminio proceso Nr. </w:t>
      </w:r>
      <w:r w:rsidRPr="006E2E6A">
        <w:rPr>
          <w:rFonts w:asciiTheme="minorHAnsi" w:hAnsiTheme="minorHAnsi" w:cstheme="minorHAnsi"/>
          <w:bCs/>
          <w:sz w:val="22"/>
          <w:szCs w:val="22"/>
        </w:rPr>
        <w:t>3-63-3-00431-2024-1</w:t>
      </w:r>
    </w:p>
    <w:p w14:paraId="7673C4CC" w14:textId="77777777" w:rsidR="00572BA7" w:rsidRPr="009D7FC8" w:rsidRDefault="00572BA7" w:rsidP="00572BA7">
      <w:pPr>
        <w:jc w:val="both"/>
        <w:rPr>
          <w:rFonts w:asciiTheme="minorHAnsi" w:hAnsiTheme="minorHAnsi" w:cstheme="minorHAnsi"/>
          <w:sz w:val="22"/>
          <w:szCs w:val="22"/>
          <w:u w:val="single"/>
        </w:rPr>
      </w:pPr>
      <w:hyperlink r:id="rId25" w:history="1">
        <w:r w:rsidRPr="009D7FC8">
          <w:rPr>
            <w:rStyle w:val="Hyperlink"/>
            <w:rFonts w:asciiTheme="minorHAnsi" w:hAnsiTheme="minorHAnsi" w:cstheme="minorHAnsi"/>
            <w:sz w:val="22"/>
            <w:szCs w:val="22"/>
          </w:rPr>
          <w:t>Prieiga internete</w:t>
        </w:r>
      </w:hyperlink>
    </w:p>
    <w:p w14:paraId="2467C2D1" w14:textId="4920B91F" w:rsidR="006B7C0A" w:rsidRPr="008B34F2" w:rsidRDefault="006B7C0A" w:rsidP="00EA5DFC">
      <w:pPr>
        <w:ind w:firstLine="567"/>
        <w:jc w:val="both"/>
        <w:rPr>
          <w:rFonts w:asciiTheme="minorHAnsi" w:eastAsia="Calibri" w:hAnsiTheme="minorHAnsi" w:cstheme="minorHAnsi"/>
          <w:color w:val="000000"/>
          <w:sz w:val="22"/>
          <w:szCs w:val="22"/>
          <w:bdr w:val="none" w:sz="0" w:space="0" w:color="auto" w:frame="1"/>
        </w:rPr>
      </w:pPr>
    </w:p>
    <w:p w14:paraId="4B64BF26" w14:textId="77777777" w:rsidR="006B7C0A" w:rsidRPr="008B34F2" w:rsidRDefault="006B7C0A" w:rsidP="006B7C0A">
      <w:pPr>
        <w:pStyle w:val="Apzvalgai1"/>
        <w:rPr>
          <w:rFonts w:asciiTheme="minorHAnsi" w:hAnsiTheme="minorHAnsi" w:cstheme="minorHAnsi"/>
        </w:rPr>
      </w:pPr>
      <w:bookmarkStart w:id="65" w:name="_Toc199503170"/>
      <w:r w:rsidRPr="008B34F2">
        <w:rPr>
          <w:rFonts w:asciiTheme="minorHAnsi" w:hAnsiTheme="minorHAnsi" w:cstheme="minorHAnsi"/>
        </w:rPr>
        <w:t>59. Apeliacinis procesas</w:t>
      </w:r>
      <w:bookmarkEnd w:id="65"/>
    </w:p>
    <w:p w14:paraId="7305E44D" w14:textId="77777777" w:rsidR="006B7C0A" w:rsidRPr="008B34F2" w:rsidRDefault="006B7C0A" w:rsidP="006B7C0A">
      <w:pPr>
        <w:ind w:firstLine="567"/>
        <w:rPr>
          <w:rFonts w:asciiTheme="minorHAnsi" w:eastAsia="Calibri" w:hAnsiTheme="minorHAnsi" w:cstheme="minorHAnsi"/>
          <w:b/>
          <w:bCs/>
          <w:color w:val="000000"/>
          <w:sz w:val="22"/>
          <w:szCs w:val="22"/>
          <w:u w:val="single"/>
          <w:bdr w:val="none" w:sz="0" w:space="0" w:color="auto" w:frame="1"/>
        </w:rPr>
      </w:pPr>
      <w:r w:rsidRPr="008B34F2">
        <w:rPr>
          <w:rFonts w:asciiTheme="minorHAnsi" w:eastAsia="Calibri" w:hAnsiTheme="minorHAnsi" w:cstheme="minorHAnsi"/>
          <w:b/>
          <w:bCs/>
          <w:color w:val="000000"/>
          <w:sz w:val="22"/>
          <w:szCs w:val="22"/>
          <w:u w:val="single"/>
          <w:bdr w:val="none" w:sz="0" w:space="0" w:color="auto" w:frame="1"/>
        </w:rPr>
        <w:t>59.1. Bylų pagal apeliacinius skundus procesas</w:t>
      </w:r>
    </w:p>
    <w:p w14:paraId="076AA69E" w14:textId="44145376" w:rsidR="006B7C0A" w:rsidRPr="008B34F2" w:rsidRDefault="006B7C0A" w:rsidP="006B7C0A">
      <w:pPr>
        <w:ind w:firstLine="1134"/>
        <w:jc w:val="both"/>
        <w:rPr>
          <w:rFonts w:asciiTheme="minorHAnsi" w:eastAsia="Calibri" w:hAnsiTheme="minorHAnsi" w:cstheme="minorHAnsi"/>
          <w:b/>
          <w:bCs/>
          <w:color w:val="000000"/>
          <w:sz w:val="22"/>
          <w:szCs w:val="22"/>
          <w:u w:val="single"/>
          <w:bdr w:val="none" w:sz="0" w:space="0" w:color="auto" w:frame="1"/>
        </w:rPr>
      </w:pPr>
      <w:r w:rsidRPr="008B34F2">
        <w:rPr>
          <w:rFonts w:asciiTheme="minorHAnsi" w:eastAsia="Calibri" w:hAnsiTheme="minorHAnsi" w:cstheme="minorHAnsi"/>
          <w:b/>
          <w:bCs/>
          <w:color w:val="000000"/>
          <w:sz w:val="22"/>
          <w:szCs w:val="22"/>
          <w:u w:val="single"/>
          <w:bdr w:val="none" w:sz="0" w:space="0" w:color="auto" w:frame="1"/>
        </w:rPr>
        <w:t>59.1.5. Sprendimo negaliojimo pagrindai</w:t>
      </w:r>
    </w:p>
    <w:p w14:paraId="5BB0F232" w14:textId="60EAD021" w:rsidR="000C2BC4" w:rsidRPr="008B34F2" w:rsidRDefault="000C2BC4" w:rsidP="006A72A7">
      <w:pPr>
        <w:ind w:firstLine="567"/>
        <w:jc w:val="both"/>
        <w:rPr>
          <w:rFonts w:asciiTheme="minorHAnsi" w:hAnsiTheme="minorHAnsi" w:cstheme="minorHAnsi"/>
          <w:sz w:val="22"/>
          <w:szCs w:val="22"/>
        </w:rPr>
      </w:pPr>
    </w:p>
    <w:p w14:paraId="028D742F" w14:textId="77777777" w:rsidR="006B7C0A" w:rsidRPr="008B34F2" w:rsidRDefault="006B7C0A" w:rsidP="006B7C0A">
      <w:pPr>
        <w:jc w:val="both"/>
        <w:outlineLvl w:val="1"/>
        <w:rPr>
          <w:rFonts w:asciiTheme="minorHAnsi" w:eastAsia="Calibri" w:hAnsiTheme="minorHAnsi" w:cstheme="minorHAnsi"/>
          <w:i/>
          <w:sz w:val="22"/>
          <w:szCs w:val="22"/>
        </w:rPr>
      </w:pPr>
      <w:bookmarkStart w:id="66" w:name="_Toc199503171"/>
      <w:r w:rsidRPr="008B34F2">
        <w:rPr>
          <w:rFonts w:asciiTheme="minorHAnsi" w:eastAsia="Calibri" w:hAnsiTheme="minorHAnsi" w:cstheme="minorHAnsi"/>
          <w:i/>
          <w:sz w:val="22"/>
          <w:szCs w:val="22"/>
        </w:rPr>
        <w:t>Dėl pirmosios instancijos teismo sudėties nagrinėjant bylas dėl profesinių sąjungų (ne)sutikimų tarnybinių nuobaudų skyrimo procese</w:t>
      </w:r>
      <w:bookmarkEnd w:id="66"/>
    </w:p>
    <w:p w14:paraId="07AEED58" w14:textId="77777777" w:rsidR="006B7C0A" w:rsidRPr="008B34F2" w:rsidRDefault="006B7C0A" w:rsidP="006B7C0A">
      <w:pPr>
        <w:ind w:firstLine="567"/>
        <w:jc w:val="both"/>
        <w:rPr>
          <w:rFonts w:asciiTheme="minorHAnsi" w:hAnsiTheme="minorHAnsi" w:cstheme="minorHAnsi"/>
          <w:sz w:val="22"/>
          <w:szCs w:val="22"/>
        </w:rPr>
      </w:pPr>
    </w:p>
    <w:p w14:paraId="5CD3FA46" w14:textId="2EACC0FA" w:rsidR="006B7C0A" w:rsidRPr="008B34F2" w:rsidRDefault="006B7C0A" w:rsidP="006B7C0A">
      <w:pPr>
        <w:ind w:firstLine="567"/>
        <w:jc w:val="both"/>
        <w:rPr>
          <w:rFonts w:asciiTheme="minorHAnsi" w:hAnsiTheme="minorHAnsi" w:cstheme="minorHAnsi"/>
          <w:sz w:val="22"/>
          <w:szCs w:val="22"/>
        </w:rPr>
      </w:pPr>
      <w:r w:rsidRPr="008B34F2">
        <w:rPr>
          <w:rFonts w:asciiTheme="minorHAnsi" w:hAnsiTheme="minorHAnsi" w:cstheme="minorHAnsi"/>
          <w:sz w:val="22"/>
          <w:szCs w:val="22"/>
        </w:rPr>
        <w:t>Nagrinė</w:t>
      </w:r>
      <w:r w:rsidR="009620DD">
        <w:rPr>
          <w:rFonts w:asciiTheme="minorHAnsi" w:hAnsiTheme="minorHAnsi" w:cstheme="minorHAnsi"/>
          <w:sz w:val="22"/>
          <w:szCs w:val="22"/>
        </w:rPr>
        <w:t>t</w:t>
      </w:r>
      <w:r w:rsidRPr="008B34F2">
        <w:rPr>
          <w:rFonts w:asciiTheme="minorHAnsi" w:hAnsiTheme="minorHAnsi" w:cstheme="minorHAnsi"/>
          <w:sz w:val="22"/>
          <w:szCs w:val="22"/>
        </w:rPr>
        <w:t>oje byloje ginčas kilo dėl atsakovo Muitinės darbuotojų profesinės sąjungos rašto, kuriuo atsisakyta duoti pareiškėjui Muitinės departamentui sutikimą skirti tarnybines nuobaudas profesinės sąjungos nariams, tretiesiems suinteresuotiems asmenims R. S. ir G. N., teisėtumo ir pagrįstumo.</w:t>
      </w:r>
    </w:p>
    <w:p w14:paraId="4B352DD4" w14:textId="5F3817A6" w:rsidR="006B7C0A" w:rsidRPr="008B34F2" w:rsidRDefault="006B7C0A" w:rsidP="006B7C0A">
      <w:pPr>
        <w:ind w:firstLine="567"/>
        <w:jc w:val="both"/>
        <w:rPr>
          <w:rFonts w:asciiTheme="minorHAnsi" w:hAnsiTheme="minorHAnsi" w:cstheme="minorHAnsi"/>
          <w:sz w:val="22"/>
          <w:szCs w:val="22"/>
        </w:rPr>
      </w:pPr>
      <w:r w:rsidRPr="008B34F2">
        <w:rPr>
          <w:rFonts w:asciiTheme="minorHAnsi" w:hAnsiTheme="minorHAnsi" w:cstheme="minorHAnsi"/>
          <w:sz w:val="22"/>
          <w:szCs w:val="22"/>
        </w:rPr>
        <w:t xml:space="preserve">Pirmosios instancijos teismas pareiškėjo skundą tenkino ir panaikino Muitinės darbuotojų profesinės sąjungos raštą, priėjęs prie išvados, kad atsakovas viršijo savo kompetencijos ribas ir nepagrįstai nurodė, </w:t>
      </w:r>
      <w:r w:rsidR="00F80684" w:rsidRPr="008B34F2">
        <w:rPr>
          <w:rFonts w:asciiTheme="minorHAnsi" w:hAnsiTheme="minorHAnsi" w:cstheme="minorHAnsi"/>
          <w:sz w:val="22"/>
          <w:szCs w:val="22"/>
        </w:rPr>
        <w:t>jog</w:t>
      </w:r>
      <w:r w:rsidRPr="008B34F2">
        <w:rPr>
          <w:rFonts w:asciiTheme="minorHAnsi" w:hAnsiTheme="minorHAnsi" w:cstheme="minorHAnsi"/>
          <w:sz w:val="22"/>
          <w:szCs w:val="22"/>
        </w:rPr>
        <w:t xml:space="preserve"> tarnybinės nuobaudos skiriamos dėl trečiųjų suinteresuotų asmenų veiklos profesinėje sąjungoje.</w:t>
      </w:r>
    </w:p>
    <w:p w14:paraId="522C09D6" w14:textId="61E08709" w:rsidR="006B7C0A" w:rsidRPr="008B34F2" w:rsidRDefault="006B7C0A" w:rsidP="006B7C0A">
      <w:pPr>
        <w:ind w:firstLine="567"/>
        <w:jc w:val="both"/>
        <w:rPr>
          <w:rFonts w:asciiTheme="minorHAnsi" w:hAnsiTheme="minorHAnsi" w:cstheme="minorHAnsi"/>
          <w:sz w:val="22"/>
          <w:szCs w:val="22"/>
        </w:rPr>
      </w:pPr>
      <w:r w:rsidRPr="008B34F2">
        <w:rPr>
          <w:rFonts w:asciiTheme="minorHAnsi" w:hAnsiTheme="minorHAnsi" w:cstheme="minorHAnsi"/>
          <w:sz w:val="22"/>
          <w:szCs w:val="22"/>
        </w:rPr>
        <w:t xml:space="preserve">Teisėjų kolegija, nagrinėdama apeliacinį skundą, nurodė, jog pagal ABTĮ 43 straipsnio 1 dalį Regionų administraciniame teisme bylas, nurodytas šio įstatymo 17 straipsnio 1 dalies 3, 4 ir 5 punktuose, 131 straipsnio 1 ir 2 dalyse, bylas dėl viešojo administravimo subjektų sprendimų, susijusių su valstybės garantuojamos teisinės pagalbos teikimu, bylas dėl administracinių ginčų komisijų ir kitų kolegialių išankstinio ginčų nagrinėjimo ne teismo tvarka institucijų priimtų sprendimų, taip pat šio įstatymo 99 straipsnio 5 dalyje nustatytais atvejais nagrinėja vienas teisėjas, kitas bylas – trijų teisėjų kolegija. ABTĮ 17 straipsnio 1 dalies 5 punkte nustatyta, jog administraciniai teismai sprendžia bylas dėl tarnybinių ginčų, kai viena ginčo šalis yra valstybės tarnautojas ar pareigūnas, taip pat ginčų, kylančių dėl materialinės atsakomybės ir regreso (atgręžtinio reikalavimo) teisės įgyvendinimo pagal </w:t>
      </w:r>
      <w:r w:rsidR="00F80684" w:rsidRPr="008B34F2">
        <w:rPr>
          <w:rFonts w:asciiTheme="minorHAnsi" w:hAnsiTheme="minorHAnsi" w:cstheme="minorHAnsi"/>
          <w:sz w:val="22"/>
          <w:szCs w:val="22"/>
        </w:rPr>
        <w:t>V</w:t>
      </w:r>
      <w:r w:rsidRPr="008B34F2">
        <w:rPr>
          <w:rFonts w:asciiTheme="minorHAnsi" w:hAnsiTheme="minorHAnsi" w:cstheme="minorHAnsi"/>
          <w:sz w:val="22"/>
          <w:szCs w:val="22"/>
        </w:rPr>
        <w:t>alstybės tarnybos įstatymą.</w:t>
      </w:r>
    </w:p>
    <w:p w14:paraId="7E823F30" w14:textId="0E756B73" w:rsidR="006B7C0A" w:rsidRPr="008B34F2" w:rsidRDefault="006B7C0A" w:rsidP="006B7C0A">
      <w:pPr>
        <w:ind w:firstLine="567"/>
        <w:jc w:val="both"/>
        <w:rPr>
          <w:rFonts w:asciiTheme="minorHAnsi" w:hAnsiTheme="minorHAnsi" w:cstheme="minorHAnsi"/>
          <w:sz w:val="22"/>
          <w:szCs w:val="22"/>
        </w:rPr>
      </w:pPr>
      <w:r w:rsidRPr="008B34F2">
        <w:rPr>
          <w:rFonts w:asciiTheme="minorHAnsi" w:hAnsiTheme="minorHAnsi" w:cstheme="minorHAnsi"/>
          <w:sz w:val="22"/>
          <w:szCs w:val="22"/>
        </w:rPr>
        <w:t xml:space="preserve">LVAT pažymėjo, jog šiuo atveju pareiškėjas prašė panaikinti Muitinės darbuotojų profesinės sąjungos sprendimą, kuriuo atsisakyta duoti išankstinį sutikimą skirti tarnybines nuobaudas muitinės inspektoriams, taigi pareiškėjo prašymo reikalavimas nepatenka į ABTĮ 17 straipsnio 1 dalies 5 punkte nustatytą tarnybinių ginčų bylų kategoriją, kuri pagal ABTĮ nuostatas gali būti nagrinėjama vieno teisėjo. Kadangi administracinę bylą išnagrinėjo ir skundžiamą teismo sprendimą priėmė viena Regionų administracinio teismo teisėja, </w:t>
      </w:r>
      <w:r w:rsidR="00C16D19" w:rsidRPr="008B34F2">
        <w:rPr>
          <w:rFonts w:asciiTheme="minorHAnsi" w:hAnsiTheme="minorHAnsi" w:cstheme="minorHAnsi"/>
          <w:sz w:val="22"/>
          <w:szCs w:val="22"/>
        </w:rPr>
        <w:t xml:space="preserve">LVAT </w:t>
      </w:r>
      <w:r w:rsidRPr="008B34F2">
        <w:rPr>
          <w:rFonts w:asciiTheme="minorHAnsi" w:hAnsiTheme="minorHAnsi" w:cstheme="minorHAnsi"/>
          <w:sz w:val="22"/>
          <w:szCs w:val="22"/>
        </w:rPr>
        <w:t xml:space="preserve">teisėjų kolegija padarė išvadą, jog byla išnagrinėta neteisėtos sudėties teismo (ABTĮ 146 str. 2 d. 1 p.), </w:t>
      </w:r>
      <w:r w:rsidR="007B02D1" w:rsidRPr="008B34F2">
        <w:rPr>
          <w:rFonts w:asciiTheme="minorHAnsi" w:hAnsiTheme="minorHAnsi" w:cstheme="minorHAnsi"/>
          <w:sz w:val="22"/>
          <w:szCs w:val="22"/>
        </w:rPr>
        <w:t xml:space="preserve">todėl </w:t>
      </w:r>
      <w:r w:rsidRPr="008B34F2">
        <w:rPr>
          <w:rFonts w:asciiTheme="minorHAnsi" w:hAnsiTheme="minorHAnsi" w:cstheme="minorHAnsi"/>
          <w:sz w:val="22"/>
          <w:szCs w:val="22"/>
        </w:rPr>
        <w:t>pirmosios instancijos teismo sprendimas panaikin</w:t>
      </w:r>
      <w:r w:rsidR="007B02D1" w:rsidRPr="008B34F2">
        <w:rPr>
          <w:rFonts w:asciiTheme="minorHAnsi" w:hAnsiTheme="minorHAnsi" w:cstheme="minorHAnsi"/>
          <w:sz w:val="22"/>
          <w:szCs w:val="22"/>
        </w:rPr>
        <w:t>t</w:t>
      </w:r>
      <w:r w:rsidRPr="008B34F2">
        <w:rPr>
          <w:rFonts w:asciiTheme="minorHAnsi" w:hAnsiTheme="minorHAnsi" w:cstheme="minorHAnsi"/>
          <w:sz w:val="22"/>
          <w:szCs w:val="22"/>
        </w:rPr>
        <w:t>as ir byla perduo</w:t>
      </w:r>
      <w:r w:rsidR="007B02D1" w:rsidRPr="008B34F2">
        <w:rPr>
          <w:rFonts w:asciiTheme="minorHAnsi" w:hAnsiTheme="minorHAnsi" w:cstheme="minorHAnsi"/>
          <w:sz w:val="22"/>
          <w:szCs w:val="22"/>
        </w:rPr>
        <w:t>t</w:t>
      </w:r>
      <w:r w:rsidRPr="008B34F2">
        <w:rPr>
          <w:rFonts w:asciiTheme="minorHAnsi" w:hAnsiTheme="minorHAnsi" w:cstheme="minorHAnsi"/>
          <w:sz w:val="22"/>
          <w:szCs w:val="22"/>
        </w:rPr>
        <w:t>a pirmosios instancijos teismui nagrinėti iš naujo.</w:t>
      </w:r>
    </w:p>
    <w:p w14:paraId="65BF1C95" w14:textId="77777777" w:rsidR="006B7C0A" w:rsidRPr="008B34F2" w:rsidRDefault="006B7C0A" w:rsidP="006B7C0A">
      <w:pPr>
        <w:ind w:firstLine="567"/>
        <w:jc w:val="both"/>
        <w:rPr>
          <w:rFonts w:asciiTheme="minorHAnsi" w:hAnsiTheme="minorHAnsi" w:cstheme="minorHAnsi"/>
          <w:sz w:val="22"/>
          <w:szCs w:val="22"/>
        </w:rPr>
      </w:pPr>
    </w:p>
    <w:p w14:paraId="6FB85B9D" w14:textId="77777777" w:rsidR="006B7C0A" w:rsidRPr="008B34F2" w:rsidRDefault="006B7C0A" w:rsidP="007B1076">
      <w:pPr>
        <w:jc w:val="both"/>
        <w:rPr>
          <w:rFonts w:asciiTheme="minorHAnsi" w:hAnsiTheme="minorHAnsi" w:cstheme="minorHAnsi"/>
          <w:sz w:val="22"/>
          <w:szCs w:val="22"/>
        </w:rPr>
      </w:pPr>
      <w:r w:rsidRPr="008B34F2">
        <w:rPr>
          <w:rFonts w:asciiTheme="minorHAnsi" w:hAnsiTheme="minorHAnsi" w:cstheme="minorHAnsi"/>
          <w:sz w:val="22"/>
          <w:szCs w:val="22"/>
        </w:rPr>
        <w:t>2025 m. balandžio 9 d. nutartis administracinėje byloje Nr. eA-1721-821/2025</w:t>
      </w:r>
    </w:p>
    <w:p w14:paraId="0E9F8DEC" w14:textId="77777777" w:rsidR="006B7C0A" w:rsidRPr="008B34F2" w:rsidRDefault="006B7C0A" w:rsidP="007B1076">
      <w:pPr>
        <w:jc w:val="both"/>
        <w:rPr>
          <w:rFonts w:asciiTheme="minorHAnsi" w:hAnsiTheme="minorHAnsi" w:cstheme="minorHAnsi"/>
          <w:sz w:val="22"/>
          <w:szCs w:val="22"/>
        </w:rPr>
      </w:pPr>
      <w:r w:rsidRPr="008B34F2">
        <w:rPr>
          <w:rFonts w:asciiTheme="minorHAnsi" w:hAnsiTheme="minorHAnsi" w:cstheme="minorHAnsi"/>
          <w:sz w:val="22"/>
          <w:szCs w:val="22"/>
        </w:rPr>
        <w:t>Teisminio proceso Nr. 3-61-3-06297-2024-5</w:t>
      </w:r>
    </w:p>
    <w:p w14:paraId="5519153A" w14:textId="77777777" w:rsidR="006B7C0A" w:rsidRPr="008B34F2" w:rsidRDefault="006B7C0A" w:rsidP="007B1076">
      <w:pPr>
        <w:pStyle w:val="NormalWeb"/>
        <w:shd w:val="clear" w:color="auto" w:fill="FFFFFF"/>
        <w:spacing w:before="0" w:beforeAutospacing="0" w:after="0" w:afterAutospacing="0"/>
        <w:jc w:val="both"/>
        <w:rPr>
          <w:rFonts w:asciiTheme="minorHAnsi" w:hAnsiTheme="minorHAnsi" w:cstheme="minorHAnsi"/>
          <w:bCs/>
          <w:sz w:val="22"/>
          <w:szCs w:val="22"/>
          <w:lang w:val="lt-LT"/>
        </w:rPr>
      </w:pPr>
      <w:hyperlink r:id="rId26" w:history="1">
        <w:r w:rsidRPr="008B34F2">
          <w:rPr>
            <w:rStyle w:val="Hyperlink"/>
            <w:rFonts w:asciiTheme="minorHAnsi" w:hAnsiTheme="minorHAnsi" w:cstheme="minorHAnsi"/>
            <w:bCs/>
            <w:sz w:val="22"/>
            <w:szCs w:val="22"/>
            <w:lang w:val="lt-LT"/>
          </w:rPr>
          <w:t>Prieiga internete</w:t>
        </w:r>
      </w:hyperlink>
    </w:p>
    <w:bookmarkEnd w:id="9"/>
    <w:bookmarkEnd w:id="10"/>
    <w:p w14:paraId="3D7BC9B4" w14:textId="08C17F0E" w:rsidR="0002557A" w:rsidRPr="00B74A97" w:rsidRDefault="0002557A" w:rsidP="00007C73">
      <w:pPr>
        <w:rPr>
          <w:rFonts w:asciiTheme="minorHAnsi" w:hAnsiTheme="minorHAnsi" w:cstheme="minorHAnsi"/>
          <w:b/>
          <w:sz w:val="22"/>
          <w:szCs w:val="22"/>
          <w:u w:val="single"/>
        </w:rPr>
      </w:pPr>
    </w:p>
    <w:sectPr w:rsidR="0002557A" w:rsidRPr="00B74A97" w:rsidSect="00171453">
      <w:headerReference w:type="default" r:id="rId27"/>
      <w:footerReference w:type="even" r:id="rId28"/>
      <w:footerReference w:type="default" r:id="rId29"/>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A685F" w14:textId="77777777" w:rsidR="00575FCC" w:rsidRDefault="00575FCC" w:rsidP="003D4C15">
      <w:r>
        <w:separator/>
      </w:r>
    </w:p>
  </w:endnote>
  <w:endnote w:type="continuationSeparator" w:id="0">
    <w:p w14:paraId="5C130D5E" w14:textId="77777777" w:rsidR="00575FCC" w:rsidRDefault="00575FCC"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EA27" w14:textId="77777777" w:rsidR="00D41AB0" w:rsidRDefault="00D41A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D41AB0" w:rsidRDefault="00D41A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E5C9" w14:textId="77777777" w:rsidR="00D41AB0" w:rsidRPr="00386C1C" w:rsidRDefault="00D41AB0">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E3572" w14:textId="77777777" w:rsidR="00575FCC" w:rsidRDefault="00575FCC" w:rsidP="003D4C15">
      <w:r>
        <w:separator/>
      </w:r>
    </w:p>
  </w:footnote>
  <w:footnote w:type="continuationSeparator" w:id="0">
    <w:p w14:paraId="1138D82E" w14:textId="77777777" w:rsidR="00575FCC" w:rsidRDefault="00575FCC" w:rsidP="003D4C15">
      <w:r>
        <w:continuationSeparator/>
      </w:r>
    </w:p>
  </w:footnote>
  <w:footnote w:id="1">
    <w:p w14:paraId="123BEEEE" w14:textId="12FF1AA4" w:rsidR="00D41AB0" w:rsidRPr="00B70CF8" w:rsidRDefault="00D41AB0" w:rsidP="004155BB">
      <w:pPr>
        <w:pStyle w:val="FootnoteText"/>
        <w:jc w:val="both"/>
        <w:rPr>
          <w:rFonts w:asciiTheme="minorHAnsi" w:hAnsiTheme="minorHAnsi" w:cstheme="minorHAnsi"/>
        </w:rPr>
      </w:pPr>
      <w:r w:rsidRPr="00B70CF8">
        <w:rPr>
          <w:rStyle w:val="FootnoteReference"/>
          <w:rFonts w:asciiTheme="minorHAnsi" w:hAnsiTheme="minorHAnsi" w:cstheme="minorHAnsi"/>
        </w:rPr>
        <w:footnoteRef/>
      </w:r>
      <w:r w:rsidRPr="00B70CF8">
        <w:rPr>
          <w:rFonts w:asciiTheme="minorHAnsi" w:hAnsiTheme="minorHAnsi" w:cstheme="minorHAnsi"/>
        </w:rPr>
        <w:t xml:space="preserve"> ADĮ 32 straipsnio 1 dalies 1 punktas (2021 m. kovo 23 d. įstatymo Nr. XIV-196 redakcija), be kita ko, nustatė, kad VERT degalų tiekėjams VERT nustatyta tvarka už įpareigojimų ir reikalavimų, nustatytų šio įstatymo 16 straipsnio 1 dalyje, nevykdymą skiria baudą, kurios dydis yra lygus neįvykdytai įpareigojimo daliai, išreikštai energine verte (megadžauliais), padauginus ją iš keturių euro centų.</w:t>
      </w:r>
    </w:p>
  </w:footnote>
  <w:footnote w:id="2">
    <w:p w14:paraId="2049EE50" w14:textId="77777777" w:rsidR="00D41AB0" w:rsidRPr="00B70CF8" w:rsidRDefault="00D41AB0" w:rsidP="004155BB">
      <w:pPr>
        <w:pStyle w:val="FootnoteText"/>
        <w:jc w:val="both"/>
        <w:rPr>
          <w:rFonts w:asciiTheme="minorHAnsi" w:hAnsiTheme="minorHAnsi" w:cstheme="minorHAnsi"/>
        </w:rPr>
      </w:pPr>
      <w:r w:rsidRPr="00B70CF8">
        <w:rPr>
          <w:rStyle w:val="FootnoteReference"/>
          <w:rFonts w:asciiTheme="minorHAnsi" w:hAnsiTheme="minorHAnsi" w:cstheme="minorHAnsi"/>
        </w:rPr>
        <w:footnoteRef/>
      </w:r>
      <w:r w:rsidRPr="00B70CF8">
        <w:rPr>
          <w:rFonts w:asciiTheme="minorHAnsi" w:hAnsiTheme="minorHAnsi" w:cstheme="minorHAnsi"/>
        </w:rPr>
        <w:t xml:space="preserve"> ADĮ 16 straipsnio 1 dalies 1 punktu buvo nustatytas įpareigojimas degalų tiekėjams užtikrinti, kad nuo 2022 metų degalai iš atsinaujinančių energijos išteklių sudarytų ne mažiau kaip 6,8 procentinio punkto, iš kurių ne mažiau kaip 0,2 procentinio punkto pažangieji biodegalai ir (ar) nebiologiniai skystieji ir dujiniai degalai iš atsinaujinančių energijos išteklių, bendros degalų tiekėjo vidaus rinkai patiekto benzino ir dyzelino energinės vertės dalį.</w:t>
      </w:r>
    </w:p>
  </w:footnote>
  <w:footnote w:id="3">
    <w:p w14:paraId="0C27EE57" w14:textId="65B03BD9" w:rsidR="00D41AB0" w:rsidRPr="00B70CF8" w:rsidRDefault="00D41AB0" w:rsidP="007261E1">
      <w:pPr>
        <w:pStyle w:val="FootnoteText"/>
        <w:jc w:val="both"/>
        <w:rPr>
          <w:rFonts w:asciiTheme="minorHAnsi" w:hAnsiTheme="minorHAnsi" w:cstheme="minorHAnsi"/>
        </w:rPr>
      </w:pPr>
      <w:r w:rsidRPr="00B70CF8">
        <w:rPr>
          <w:rStyle w:val="FootnoteReference"/>
          <w:rFonts w:asciiTheme="minorHAnsi" w:hAnsiTheme="minorHAnsi" w:cstheme="minorHAnsi"/>
        </w:rPr>
        <w:footnoteRef/>
      </w:r>
      <w:r w:rsidRPr="00B70CF8">
        <w:rPr>
          <w:rFonts w:asciiTheme="minorHAnsi" w:hAnsiTheme="minorHAnsi" w:cstheme="minorHAnsi"/>
        </w:rPr>
        <w:t xml:space="preserve"> Konvencija dėl Šengeno susitarimo, 1985 m. birželio 14 d. sudaryto tarp Beniliukso ekonominės sąjungos valstybių, Vokietijos Federacinės Respublikos ir Prancūzijos Respublikos Vyriausybių dėl laipsniško jų bendrų sienų kontrolės panaikinimo įgyvendinimo</w:t>
      </w:r>
      <w:r w:rsidR="001C545B">
        <w:rPr>
          <w:rFonts w:asciiTheme="minorHAnsi" w:hAnsiTheme="minorHAnsi" w:cstheme="minorHAnsi"/>
        </w:rPr>
        <w:t>.</w:t>
      </w:r>
    </w:p>
  </w:footnote>
  <w:footnote w:id="4">
    <w:p w14:paraId="72EF473C" w14:textId="34F4D012" w:rsidR="00D41AB0" w:rsidRPr="00B70CF8" w:rsidRDefault="00D41AB0" w:rsidP="007261E1">
      <w:pPr>
        <w:pStyle w:val="FootnoteText"/>
        <w:jc w:val="both"/>
        <w:rPr>
          <w:rFonts w:asciiTheme="minorHAnsi" w:hAnsiTheme="minorHAnsi" w:cstheme="minorHAnsi"/>
        </w:rPr>
      </w:pPr>
      <w:r w:rsidRPr="00B70CF8">
        <w:rPr>
          <w:rStyle w:val="FootnoteReference"/>
          <w:rFonts w:asciiTheme="minorHAnsi" w:hAnsiTheme="minorHAnsi" w:cstheme="minorHAnsi"/>
        </w:rPr>
        <w:footnoteRef/>
      </w:r>
      <w:r w:rsidRPr="00B70CF8">
        <w:rPr>
          <w:rFonts w:asciiTheme="minorHAnsi" w:hAnsiTheme="minorHAnsi" w:cstheme="minorHAnsi"/>
        </w:rPr>
        <w:t xml:space="preserve"> 2018 m. lapkričio 28 d. Europos Parlamento ir Tarybos reglamentas (ES) 2018/1861 dėl Šengeno informacinės sistemos (SIS) sukūrimo, eksploatavimo ir naudojimo patikrinimams kertant sieną, kuriuo iš dalies keičiama Konvencija dėl Šengeno susitarimo įgyvendinimo ir iš dalies keičiamas bei panaikinamas Reglamentas (EB) Nr. 1987/2006</w:t>
      </w:r>
      <w:r w:rsidR="001C545B">
        <w:rPr>
          <w:rFonts w:asciiTheme="minorHAnsi" w:hAnsiTheme="minorHAnsi" w:cstheme="minorHAnsi"/>
        </w:rPr>
        <w:t>.</w:t>
      </w:r>
    </w:p>
  </w:footnote>
  <w:footnote w:id="5">
    <w:p w14:paraId="5C532B7C" w14:textId="7D298349" w:rsidR="00D41AB0" w:rsidRPr="00B70CF8" w:rsidRDefault="00D41AB0" w:rsidP="00237711">
      <w:pPr>
        <w:pStyle w:val="FootnoteText"/>
        <w:jc w:val="both"/>
        <w:rPr>
          <w:rFonts w:asciiTheme="minorHAnsi" w:hAnsiTheme="minorHAnsi" w:cstheme="minorHAnsi"/>
        </w:rPr>
      </w:pPr>
      <w:r w:rsidRPr="00B70CF8">
        <w:rPr>
          <w:rStyle w:val="FootnoteReference"/>
          <w:rFonts w:asciiTheme="minorHAnsi" w:hAnsiTheme="minorHAnsi" w:cstheme="minorHAnsi"/>
        </w:rPr>
        <w:footnoteRef/>
      </w:r>
      <w:r w:rsidRPr="00B70CF8">
        <w:rPr>
          <w:rFonts w:asciiTheme="minorHAnsi" w:hAnsiTheme="minorHAnsi" w:cstheme="minorHAnsi"/>
        </w:rPr>
        <w:t xml:space="preserve"> Užsienietis išsiunčiamas iš Lietuvos Respublikos, jeigu: &lt;...&gt;</w:t>
      </w:r>
      <w:r>
        <w:rPr>
          <w:rFonts w:asciiTheme="minorHAnsi" w:hAnsiTheme="minorHAnsi" w:cstheme="minorHAnsi"/>
        </w:rPr>
        <w:t xml:space="preserve"> </w:t>
      </w:r>
      <w:r w:rsidRPr="00B70CF8">
        <w:rPr>
          <w:rFonts w:asciiTheme="minorHAnsi" w:hAnsiTheme="minorHAnsi" w:cstheme="minorHAnsi"/>
        </w:rPr>
        <w:t>2) jis neteisėtai atvyko į Lietuvos Respubliką ar neteisėtai joje yra ir nėra šio Įstatymo 125 straipsnyje nustatytų pagrindų, dėl kurių užsienietis įpareigojamas išvykti iš Lietuvos Respublikos arba priimamas sprendimas grąžinti jį į užsienio valstybę;</w:t>
      </w:r>
      <w:r>
        <w:rPr>
          <w:rFonts w:asciiTheme="minorHAnsi" w:hAnsiTheme="minorHAnsi" w:cstheme="minorHAnsi"/>
        </w:rPr>
        <w:t xml:space="preserve"> &lt;...&gt;</w:t>
      </w:r>
      <w:r w:rsidRPr="00B70CF8">
        <w:rPr>
          <w:rFonts w:asciiTheme="minorHAnsi" w:hAnsiTheme="minorHAnsi" w:cstheme="minorHAnsi"/>
        </w:rPr>
        <w:t xml:space="preserve"> 3) jo buvimas Lietuvos Respublikoje gresia valstybės saugumui arba viešajai tvarkai</w:t>
      </w:r>
      <w:r>
        <w:rPr>
          <w:rFonts w:asciiTheme="minorHAnsi" w:hAnsiTheme="minorHAnsi" w:cstheme="minorHAnsi"/>
        </w:rPr>
        <w:t xml:space="preserve"> &lt;...&gt;.</w:t>
      </w:r>
    </w:p>
  </w:footnote>
  <w:footnote w:id="6">
    <w:p w14:paraId="02852610" w14:textId="7A58B654" w:rsidR="00D41AB0" w:rsidRPr="00B70CF8" w:rsidRDefault="00D41AB0" w:rsidP="004155BB">
      <w:pPr>
        <w:pStyle w:val="FootnoteText"/>
        <w:jc w:val="both"/>
        <w:rPr>
          <w:rFonts w:asciiTheme="minorHAnsi" w:hAnsiTheme="minorHAnsi" w:cstheme="minorHAnsi"/>
        </w:rPr>
      </w:pPr>
      <w:r w:rsidRPr="00B70CF8">
        <w:rPr>
          <w:rStyle w:val="FootnoteReference"/>
          <w:rFonts w:asciiTheme="minorHAnsi" w:hAnsiTheme="minorHAnsi" w:cstheme="minorHAnsi"/>
        </w:rPr>
        <w:footnoteRef/>
      </w:r>
      <w:r w:rsidRPr="00B70CF8">
        <w:rPr>
          <w:rFonts w:asciiTheme="minorHAnsi" w:hAnsiTheme="minorHAnsi" w:cstheme="minorHAnsi"/>
        </w:rPr>
        <w:t xml:space="preserve"> </w:t>
      </w:r>
      <w:r w:rsidRPr="00B70CF8">
        <w:rPr>
          <w:rFonts w:asciiTheme="minorHAnsi" w:eastAsia="Calibri" w:hAnsiTheme="minorHAnsi" w:cstheme="minorHAnsi"/>
          <w:color w:val="000000"/>
          <w:bdr w:val="none" w:sz="0" w:space="0" w:color="auto" w:frame="1"/>
        </w:rPr>
        <w:t>2015 m. rugsėjo 9 d. Europos Parlamento ir Tarybos direktyva (ES) 2015/1535, kuria nustatoma informacijos apie techninius reglamentus ir informacinės visuomenės paslaugų taisykles teikimo tvarka.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41AB0" w:rsidRPr="000967FF" w14:paraId="7F6B4457" w14:textId="77777777" w:rsidTr="00125BDC">
      <w:tc>
        <w:tcPr>
          <w:tcW w:w="7230" w:type="dxa"/>
        </w:tcPr>
        <w:p w14:paraId="36804DBB" w14:textId="77777777" w:rsidR="00D41AB0" w:rsidRPr="0021377E" w:rsidRDefault="00D41AB0"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BDEA471" w:rsidR="00D41AB0" w:rsidRPr="0021377E" w:rsidRDefault="00D41AB0"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2025 04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25 04 30</w:t>
          </w:r>
        </w:p>
      </w:tc>
    </w:tr>
  </w:tbl>
  <w:p w14:paraId="5129C6CC" w14:textId="77777777" w:rsidR="00D41AB0" w:rsidRPr="008A0597" w:rsidRDefault="00D41AB0">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7956420"/>
    <w:multiLevelType w:val="hybridMultilevel"/>
    <w:tmpl w:val="06EABED8"/>
    <w:lvl w:ilvl="0" w:tplc="CDD4BF6C">
      <w:start w:val="20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0FF6112"/>
    <w:multiLevelType w:val="hybridMultilevel"/>
    <w:tmpl w:val="AF6A15AA"/>
    <w:lvl w:ilvl="0" w:tplc="79F89C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147625492">
    <w:abstractNumId w:val="4"/>
  </w:num>
  <w:num w:numId="2" w16cid:durableId="742988677">
    <w:abstractNumId w:val="2"/>
  </w:num>
  <w:num w:numId="3" w16cid:durableId="1059867195">
    <w:abstractNumId w:val="0"/>
  </w:num>
  <w:num w:numId="4" w16cid:durableId="687416539">
    <w:abstractNumId w:val="1"/>
  </w:num>
  <w:num w:numId="5" w16cid:durableId="173081007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3AF"/>
    <w:rsid w:val="00003900"/>
    <w:rsid w:val="00003A03"/>
    <w:rsid w:val="00003D7F"/>
    <w:rsid w:val="0000413D"/>
    <w:rsid w:val="000046DE"/>
    <w:rsid w:val="00004777"/>
    <w:rsid w:val="00005391"/>
    <w:rsid w:val="00005618"/>
    <w:rsid w:val="00005A31"/>
    <w:rsid w:val="00005A32"/>
    <w:rsid w:val="00005A36"/>
    <w:rsid w:val="000064C2"/>
    <w:rsid w:val="000067FD"/>
    <w:rsid w:val="00006E86"/>
    <w:rsid w:val="000072F1"/>
    <w:rsid w:val="000075AF"/>
    <w:rsid w:val="00007681"/>
    <w:rsid w:val="00007A79"/>
    <w:rsid w:val="00007AE0"/>
    <w:rsid w:val="00007C73"/>
    <w:rsid w:val="000102D2"/>
    <w:rsid w:val="00010516"/>
    <w:rsid w:val="0001086D"/>
    <w:rsid w:val="000112F0"/>
    <w:rsid w:val="000113E1"/>
    <w:rsid w:val="000117AE"/>
    <w:rsid w:val="00011BE2"/>
    <w:rsid w:val="00011C12"/>
    <w:rsid w:val="00011DAF"/>
    <w:rsid w:val="00011EBD"/>
    <w:rsid w:val="000125F2"/>
    <w:rsid w:val="000127E6"/>
    <w:rsid w:val="000130FA"/>
    <w:rsid w:val="0001338B"/>
    <w:rsid w:val="0001374D"/>
    <w:rsid w:val="00013A64"/>
    <w:rsid w:val="00013D25"/>
    <w:rsid w:val="00014130"/>
    <w:rsid w:val="00014148"/>
    <w:rsid w:val="0001474E"/>
    <w:rsid w:val="00014798"/>
    <w:rsid w:val="00014865"/>
    <w:rsid w:val="0001491A"/>
    <w:rsid w:val="00014C00"/>
    <w:rsid w:val="00014C9B"/>
    <w:rsid w:val="00014F11"/>
    <w:rsid w:val="00015268"/>
    <w:rsid w:val="00015410"/>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2E2F"/>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4A4"/>
    <w:rsid w:val="00030614"/>
    <w:rsid w:val="0003198A"/>
    <w:rsid w:val="00031F67"/>
    <w:rsid w:val="00032160"/>
    <w:rsid w:val="00032657"/>
    <w:rsid w:val="000326C5"/>
    <w:rsid w:val="00033126"/>
    <w:rsid w:val="00033C55"/>
    <w:rsid w:val="00034291"/>
    <w:rsid w:val="000347E7"/>
    <w:rsid w:val="00034C6D"/>
    <w:rsid w:val="00034F46"/>
    <w:rsid w:val="000353C2"/>
    <w:rsid w:val="00035916"/>
    <w:rsid w:val="00035BB7"/>
    <w:rsid w:val="00035E28"/>
    <w:rsid w:val="000361AE"/>
    <w:rsid w:val="000362A4"/>
    <w:rsid w:val="000363AC"/>
    <w:rsid w:val="000368F0"/>
    <w:rsid w:val="00036B29"/>
    <w:rsid w:val="00037C27"/>
    <w:rsid w:val="00037D5F"/>
    <w:rsid w:val="00037FD4"/>
    <w:rsid w:val="000406C8"/>
    <w:rsid w:val="00040EBD"/>
    <w:rsid w:val="0004105D"/>
    <w:rsid w:val="000411DD"/>
    <w:rsid w:val="00041849"/>
    <w:rsid w:val="000424DB"/>
    <w:rsid w:val="00042990"/>
    <w:rsid w:val="00043033"/>
    <w:rsid w:val="0004324F"/>
    <w:rsid w:val="000437A2"/>
    <w:rsid w:val="000439D5"/>
    <w:rsid w:val="00043C66"/>
    <w:rsid w:val="00043CD9"/>
    <w:rsid w:val="00043D7F"/>
    <w:rsid w:val="00043FA6"/>
    <w:rsid w:val="00044680"/>
    <w:rsid w:val="000446AC"/>
    <w:rsid w:val="00044DD8"/>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37"/>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4F32"/>
    <w:rsid w:val="00055759"/>
    <w:rsid w:val="00055AFB"/>
    <w:rsid w:val="00055F3F"/>
    <w:rsid w:val="0005601D"/>
    <w:rsid w:val="0005610D"/>
    <w:rsid w:val="000561F6"/>
    <w:rsid w:val="000574B4"/>
    <w:rsid w:val="00057AAA"/>
    <w:rsid w:val="00057B3C"/>
    <w:rsid w:val="00057DF4"/>
    <w:rsid w:val="000608A3"/>
    <w:rsid w:val="000611FF"/>
    <w:rsid w:val="0006157E"/>
    <w:rsid w:val="0006163D"/>
    <w:rsid w:val="0006177A"/>
    <w:rsid w:val="00061B35"/>
    <w:rsid w:val="00061D97"/>
    <w:rsid w:val="000624EE"/>
    <w:rsid w:val="00063470"/>
    <w:rsid w:val="000634CC"/>
    <w:rsid w:val="00063E65"/>
    <w:rsid w:val="000641D7"/>
    <w:rsid w:val="000641F6"/>
    <w:rsid w:val="00064654"/>
    <w:rsid w:val="00064CB1"/>
    <w:rsid w:val="000650DE"/>
    <w:rsid w:val="00065CD4"/>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BC6"/>
    <w:rsid w:val="00076D36"/>
    <w:rsid w:val="00077443"/>
    <w:rsid w:val="00077641"/>
    <w:rsid w:val="0007786B"/>
    <w:rsid w:val="000779F9"/>
    <w:rsid w:val="00077CAE"/>
    <w:rsid w:val="00080621"/>
    <w:rsid w:val="00080B12"/>
    <w:rsid w:val="00080C5A"/>
    <w:rsid w:val="00081450"/>
    <w:rsid w:val="00081734"/>
    <w:rsid w:val="00081819"/>
    <w:rsid w:val="00081851"/>
    <w:rsid w:val="00082131"/>
    <w:rsid w:val="000822B9"/>
    <w:rsid w:val="00082913"/>
    <w:rsid w:val="00082A2D"/>
    <w:rsid w:val="0008302F"/>
    <w:rsid w:val="000834BB"/>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BF2"/>
    <w:rsid w:val="00087DA3"/>
    <w:rsid w:val="00087F0A"/>
    <w:rsid w:val="0009023A"/>
    <w:rsid w:val="000903B8"/>
    <w:rsid w:val="000904B8"/>
    <w:rsid w:val="000907E2"/>
    <w:rsid w:val="00090C7B"/>
    <w:rsid w:val="000914A2"/>
    <w:rsid w:val="00091B33"/>
    <w:rsid w:val="00091CC7"/>
    <w:rsid w:val="00091EE2"/>
    <w:rsid w:val="00092011"/>
    <w:rsid w:val="00092976"/>
    <w:rsid w:val="00092CD0"/>
    <w:rsid w:val="00092E83"/>
    <w:rsid w:val="00093D0E"/>
    <w:rsid w:val="00094290"/>
    <w:rsid w:val="00094683"/>
    <w:rsid w:val="00094E8E"/>
    <w:rsid w:val="00095035"/>
    <w:rsid w:val="0009591E"/>
    <w:rsid w:val="00095E50"/>
    <w:rsid w:val="00095FE8"/>
    <w:rsid w:val="00096099"/>
    <w:rsid w:val="000962ED"/>
    <w:rsid w:val="00096A7B"/>
    <w:rsid w:val="00096CC4"/>
    <w:rsid w:val="000977FE"/>
    <w:rsid w:val="00097AC0"/>
    <w:rsid w:val="00097D04"/>
    <w:rsid w:val="000A0563"/>
    <w:rsid w:val="000A07C6"/>
    <w:rsid w:val="000A095D"/>
    <w:rsid w:val="000A1143"/>
    <w:rsid w:val="000A1463"/>
    <w:rsid w:val="000A2786"/>
    <w:rsid w:val="000A2923"/>
    <w:rsid w:val="000A2ACD"/>
    <w:rsid w:val="000A35DE"/>
    <w:rsid w:val="000A39EF"/>
    <w:rsid w:val="000A39F4"/>
    <w:rsid w:val="000A3A7B"/>
    <w:rsid w:val="000A3DB2"/>
    <w:rsid w:val="000A48C7"/>
    <w:rsid w:val="000A4AAE"/>
    <w:rsid w:val="000A533A"/>
    <w:rsid w:val="000A5DF8"/>
    <w:rsid w:val="000A621D"/>
    <w:rsid w:val="000A68E9"/>
    <w:rsid w:val="000A6981"/>
    <w:rsid w:val="000A724A"/>
    <w:rsid w:val="000A7295"/>
    <w:rsid w:val="000A7448"/>
    <w:rsid w:val="000A75A3"/>
    <w:rsid w:val="000A77DB"/>
    <w:rsid w:val="000A7A94"/>
    <w:rsid w:val="000A7C1C"/>
    <w:rsid w:val="000A7F80"/>
    <w:rsid w:val="000B00CC"/>
    <w:rsid w:val="000B035F"/>
    <w:rsid w:val="000B07AF"/>
    <w:rsid w:val="000B0AA3"/>
    <w:rsid w:val="000B0DB3"/>
    <w:rsid w:val="000B0F24"/>
    <w:rsid w:val="000B0F96"/>
    <w:rsid w:val="000B1250"/>
    <w:rsid w:val="000B15D3"/>
    <w:rsid w:val="000B189F"/>
    <w:rsid w:val="000B1AF3"/>
    <w:rsid w:val="000B1B87"/>
    <w:rsid w:val="000B200F"/>
    <w:rsid w:val="000B29D3"/>
    <w:rsid w:val="000B2B07"/>
    <w:rsid w:val="000B2D36"/>
    <w:rsid w:val="000B2EF7"/>
    <w:rsid w:val="000B3154"/>
    <w:rsid w:val="000B32A6"/>
    <w:rsid w:val="000B466D"/>
    <w:rsid w:val="000B47F1"/>
    <w:rsid w:val="000B4BA2"/>
    <w:rsid w:val="000B4F48"/>
    <w:rsid w:val="000B53F8"/>
    <w:rsid w:val="000B5CA5"/>
    <w:rsid w:val="000B5DCC"/>
    <w:rsid w:val="000B5E9B"/>
    <w:rsid w:val="000B5F7A"/>
    <w:rsid w:val="000B6099"/>
    <w:rsid w:val="000B630C"/>
    <w:rsid w:val="000B6917"/>
    <w:rsid w:val="000B6970"/>
    <w:rsid w:val="000B6A5A"/>
    <w:rsid w:val="000B6B58"/>
    <w:rsid w:val="000B7172"/>
    <w:rsid w:val="000B75DC"/>
    <w:rsid w:val="000B7B4F"/>
    <w:rsid w:val="000B7B87"/>
    <w:rsid w:val="000B7E29"/>
    <w:rsid w:val="000B7F87"/>
    <w:rsid w:val="000C04C8"/>
    <w:rsid w:val="000C05E3"/>
    <w:rsid w:val="000C083C"/>
    <w:rsid w:val="000C0EFB"/>
    <w:rsid w:val="000C0FC4"/>
    <w:rsid w:val="000C11F5"/>
    <w:rsid w:val="000C2BC4"/>
    <w:rsid w:val="000C32A6"/>
    <w:rsid w:val="000C3304"/>
    <w:rsid w:val="000C3364"/>
    <w:rsid w:val="000C338C"/>
    <w:rsid w:val="000C37E1"/>
    <w:rsid w:val="000C3C1B"/>
    <w:rsid w:val="000C45A4"/>
    <w:rsid w:val="000C45FB"/>
    <w:rsid w:val="000C46F2"/>
    <w:rsid w:val="000C4FCE"/>
    <w:rsid w:val="000C5021"/>
    <w:rsid w:val="000C523F"/>
    <w:rsid w:val="000C53DF"/>
    <w:rsid w:val="000C53F1"/>
    <w:rsid w:val="000C5D18"/>
    <w:rsid w:val="000C6090"/>
    <w:rsid w:val="000C6144"/>
    <w:rsid w:val="000C6222"/>
    <w:rsid w:val="000C66E5"/>
    <w:rsid w:val="000C6BFD"/>
    <w:rsid w:val="000C7962"/>
    <w:rsid w:val="000C7D39"/>
    <w:rsid w:val="000C7D92"/>
    <w:rsid w:val="000C7EA9"/>
    <w:rsid w:val="000D09A2"/>
    <w:rsid w:val="000D0AFB"/>
    <w:rsid w:val="000D0F76"/>
    <w:rsid w:val="000D1026"/>
    <w:rsid w:val="000D1A74"/>
    <w:rsid w:val="000D1A7B"/>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2F77"/>
    <w:rsid w:val="000E33CD"/>
    <w:rsid w:val="000E3617"/>
    <w:rsid w:val="000E3BCE"/>
    <w:rsid w:val="000E3F0A"/>
    <w:rsid w:val="000E4080"/>
    <w:rsid w:val="000E43AC"/>
    <w:rsid w:val="000E4B13"/>
    <w:rsid w:val="000E4D96"/>
    <w:rsid w:val="000E50F7"/>
    <w:rsid w:val="000E52D8"/>
    <w:rsid w:val="000E5309"/>
    <w:rsid w:val="000E5B1F"/>
    <w:rsid w:val="000E5D34"/>
    <w:rsid w:val="000E6038"/>
    <w:rsid w:val="000E733A"/>
    <w:rsid w:val="000E7415"/>
    <w:rsid w:val="000E78B7"/>
    <w:rsid w:val="000E7A91"/>
    <w:rsid w:val="000E7ECE"/>
    <w:rsid w:val="000F0591"/>
    <w:rsid w:val="000F0900"/>
    <w:rsid w:val="000F0AC2"/>
    <w:rsid w:val="000F0C34"/>
    <w:rsid w:val="000F0DB2"/>
    <w:rsid w:val="000F0EEC"/>
    <w:rsid w:val="000F10B9"/>
    <w:rsid w:val="000F12B8"/>
    <w:rsid w:val="000F1523"/>
    <w:rsid w:val="000F1652"/>
    <w:rsid w:val="000F1736"/>
    <w:rsid w:val="000F1C77"/>
    <w:rsid w:val="000F1FA1"/>
    <w:rsid w:val="000F2176"/>
    <w:rsid w:val="000F222F"/>
    <w:rsid w:val="000F2317"/>
    <w:rsid w:val="000F2745"/>
    <w:rsid w:val="000F27F0"/>
    <w:rsid w:val="000F2CE7"/>
    <w:rsid w:val="000F2CEC"/>
    <w:rsid w:val="000F2FE9"/>
    <w:rsid w:val="000F32EB"/>
    <w:rsid w:val="000F3938"/>
    <w:rsid w:val="000F3F88"/>
    <w:rsid w:val="000F4990"/>
    <w:rsid w:val="000F51E8"/>
    <w:rsid w:val="000F522D"/>
    <w:rsid w:val="000F5D10"/>
    <w:rsid w:val="000F6854"/>
    <w:rsid w:val="000F6C25"/>
    <w:rsid w:val="000F6C98"/>
    <w:rsid w:val="000F6E87"/>
    <w:rsid w:val="000F7500"/>
    <w:rsid w:val="000F7ECB"/>
    <w:rsid w:val="000F7F53"/>
    <w:rsid w:val="001002EB"/>
    <w:rsid w:val="00100755"/>
    <w:rsid w:val="001014A9"/>
    <w:rsid w:val="0010163F"/>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07DE5"/>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81C"/>
    <w:rsid w:val="0011695D"/>
    <w:rsid w:val="00116976"/>
    <w:rsid w:val="00116A6F"/>
    <w:rsid w:val="00116D7D"/>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4D70"/>
    <w:rsid w:val="00125287"/>
    <w:rsid w:val="001252A2"/>
    <w:rsid w:val="001252D0"/>
    <w:rsid w:val="00125A02"/>
    <w:rsid w:val="00125BDC"/>
    <w:rsid w:val="00125FC8"/>
    <w:rsid w:val="00126AFD"/>
    <w:rsid w:val="00126DDF"/>
    <w:rsid w:val="00127240"/>
    <w:rsid w:val="001276F1"/>
    <w:rsid w:val="00127767"/>
    <w:rsid w:val="00127C2F"/>
    <w:rsid w:val="00127D7A"/>
    <w:rsid w:val="001302A3"/>
    <w:rsid w:val="001304C9"/>
    <w:rsid w:val="001305A8"/>
    <w:rsid w:val="00130F10"/>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5E68"/>
    <w:rsid w:val="001364B3"/>
    <w:rsid w:val="00137089"/>
    <w:rsid w:val="001371D9"/>
    <w:rsid w:val="00137794"/>
    <w:rsid w:val="00137A24"/>
    <w:rsid w:val="00137A55"/>
    <w:rsid w:val="00137B62"/>
    <w:rsid w:val="00137D41"/>
    <w:rsid w:val="00137E2B"/>
    <w:rsid w:val="00137FBD"/>
    <w:rsid w:val="00140059"/>
    <w:rsid w:val="0014011D"/>
    <w:rsid w:val="0014071C"/>
    <w:rsid w:val="00140D6D"/>
    <w:rsid w:val="0014131C"/>
    <w:rsid w:val="00141524"/>
    <w:rsid w:val="00141536"/>
    <w:rsid w:val="00141DE3"/>
    <w:rsid w:val="00141E16"/>
    <w:rsid w:val="00141ED3"/>
    <w:rsid w:val="001420CC"/>
    <w:rsid w:val="00142479"/>
    <w:rsid w:val="00142B27"/>
    <w:rsid w:val="00143256"/>
    <w:rsid w:val="0014360F"/>
    <w:rsid w:val="00143A9B"/>
    <w:rsid w:val="00143DC4"/>
    <w:rsid w:val="00144240"/>
    <w:rsid w:val="001447DE"/>
    <w:rsid w:val="00144803"/>
    <w:rsid w:val="001448A8"/>
    <w:rsid w:val="00144C08"/>
    <w:rsid w:val="00144CAC"/>
    <w:rsid w:val="00144D0F"/>
    <w:rsid w:val="00144EAC"/>
    <w:rsid w:val="001450EC"/>
    <w:rsid w:val="001454BB"/>
    <w:rsid w:val="001454BF"/>
    <w:rsid w:val="00145540"/>
    <w:rsid w:val="00145AF2"/>
    <w:rsid w:val="00145B0E"/>
    <w:rsid w:val="00145BCF"/>
    <w:rsid w:val="00145DB6"/>
    <w:rsid w:val="0014659B"/>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16B"/>
    <w:rsid w:val="001544D2"/>
    <w:rsid w:val="001545F6"/>
    <w:rsid w:val="001547FD"/>
    <w:rsid w:val="00154A67"/>
    <w:rsid w:val="00154CBC"/>
    <w:rsid w:val="001556AC"/>
    <w:rsid w:val="00155B90"/>
    <w:rsid w:val="00155EAA"/>
    <w:rsid w:val="001566B7"/>
    <w:rsid w:val="00156AFE"/>
    <w:rsid w:val="00157368"/>
    <w:rsid w:val="00157E05"/>
    <w:rsid w:val="001602E1"/>
    <w:rsid w:val="00160700"/>
    <w:rsid w:val="00161604"/>
    <w:rsid w:val="00161759"/>
    <w:rsid w:val="00161F73"/>
    <w:rsid w:val="00162692"/>
    <w:rsid w:val="00162DD2"/>
    <w:rsid w:val="00162DE5"/>
    <w:rsid w:val="0016374C"/>
    <w:rsid w:val="00163F5B"/>
    <w:rsid w:val="00163FA0"/>
    <w:rsid w:val="00164E55"/>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720"/>
    <w:rsid w:val="00181CED"/>
    <w:rsid w:val="00181DB4"/>
    <w:rsid w:val="00181E20"/>
    <w:rsid w:val="00181E4B"/>
    <w:rsid w:val="00182145"/>
    <w:rsid w:val="00182789"/>
    <w:rsid w:val="001828DD"/>
    <w:rsid w:val="00182986"/>
    <w:rsid w:val="00182EC7"/>
    <w:rsid w:val="001839DE"/>
    <w:rsid w:val="0018428A"/>
    <w:rsid w:val="001843B8"/>
    <w:rsid w:val="0018451A"/>
    <w:rsid w:val="0018481C"/>
    <w:rsid w:val="00184EE7"/>
    <w:rsid w:val="001853A2"/>
    <w:rsid w:val="001853F7"/>
    <w:rsid w:val="001857DA"/>
    <w:rsid w:val="001857E1"/>
    <w:rsid w:val="00185C0B"/>
    <w:rsid w:val="00185D79"/>
    <w:rsid w:val="001867B8"/>
    <w:rsid w:val="0018693C"/>
    <w:rsid w:val="00186C6E"/>
    <w:rsid w:val="0018716C"/>
    <w:rsid w:val="00187B29"/>
    <w:rsid w:val="00187D86"/>
    <w:rsid w:val="00187E5E"/>
    <w:rsid w:val="00190358"/>
    <w:rsid w:val="001905B8"/>
    <w:rsid w:val="00190668"/>
    <w:rsid w:val="00190D8E"/>
    <w:rsid w:val="0019118B"/>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6D"/>
    <w:rsid w:val="001A0CA7"/>
    <w:rsid w:val="001A0E8E"/>
    <w:rsid w:val="001A1122"/>
    <w:rsid w:val="001A12C4"/>
    <w:rsid w:val="001A13F9"/>
    <w:rsid w:val="001A14C1"/>
    <w:rsid w:val="001A18EC"/>
    <w:rsid w:val="001A1FA5"/>
    <w:rsid w:val="001A2031"/>
    <w:rsid w:val="001A2401"/>
    <w:rsid w:val="001A2AFB"/>
    <w:rsid w:val="001A327C"/>
    <w:rsid w:val="001A3472"/>
    <w:rsid w:val="001A3990"/>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079"/>
    <w:rsid w:val="001B3153"/>
    <w:rsid w:val="001B35A1"/>
    <w:rsid w:val="001B35E6"/>
    <w:rsid w:val="001B3758"/>
    <w:rsid w:val="001B3AE0"/>
    <w:rsid w:val="001B3AEF"/>
    <w:rsid w:val="001B3B0C"/>
    <w:rsid w:val="001B3DC8"/>
    <w:rsid w:val="001B4548"/>
    <w:rsid w:val="001B4672"/>
    <w:rsid w:val="001B4734"/>
    <w:rsid w:val="001B4DCD"/>
    <w:rsid w:val="001B5075"/>
    <w:rsid w:val="001B519B"/>
    <w:rsid w:val="001B5307"/>
    <w:rsid w:val="001B53C1"/>
    <w:rsid w:val="001B58D2"/>
    <w:rsid w:val="001B5CE0"/>
    <w:rsid w:val="001B5F42"/>
    <w:rsid w:val="001B5FBA"/>
    <w:rsid w:val="001B675B"/>
    <w:rsid w:val="001B68D4"/>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45B"/>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68F2"/>
    <w:rsid w:val="001D7303"/>
    <w:rsid w:val="001D7408"/>
    <w:rsid w:val="001D7992"/>
    <w:rsid w:val="001D7E84"/>
    <w:rsid w:val="001E0069"/>
    <w:rsid w:val="001E01FF"/>
    <w:rsid w:val="001E0A9B"/>
    <w:rsid w:val="001E0CA3"/>
    <w:rsid w:val="001E11D8"/>
    <w:rsid w:val="001E12D0"/>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E7B51"/>
    <w:rsid w:val="001F0834"/>
    <w:rsid w:val="001F0A80"/>
    <w:rsid w:val="001F122F"/>
    <w:rsid w:val="001F12D6"/>
    <w:rsid w:val="001F14F6"/>
    <w:rsid w:val="001F1B19"/>
    <w:rsid w:val="001F1D5F"/>
    <w:rsid w:val="001F1EF0"/>
    <w:rsid w:val="001F1F2F"/>
    <w:rsid w:val="001F1FA1"/>
    <w:rsid w:val="001F207C"/>
    <w:rsid w:val="001F233F"/>
    <w:rsid w:val="001F2A6C"/>
    <w:rsid w:val="001F2C3C"/>
    <w:rsid w:val="001F2E5F"/>
    <w:rsid w:val="001F322C"/>
    <w:rsid w:val="001F3487"/>
    <w:rsid w:val="001F35CD"/>
    <w:rsid w:val="001F376B"/>
    <w:rsid w:val="001F3775"/>
    <w:rsid w:val="001F382F"/>
    <w:rsid w:val="001F38D9"/>
    <w:rsid w:val="001F3A46"/>
    <w:rsid w:val="001F4AF3"/>
    <w:rsid w:val="001F4C1C"/>
    <w:rsid w:val="001F4C87"/>
    <w:rsid w:val="001F5750"/>
    <w:rsid w:val="001F5959"/>
    <w:rsid w:val="001F5990"/>
    <w:rsid w:val="001F5B62"/>
    <w:rsid w:val="001F5BF4"/>
    <w:rsid w:val="001F6068"/>
    <w:rsid w:val="001F619A"/>
    <w:rsid w:val="001F6EA2"/>
    <w:rsid w:val="001F708A"/>
    <w:rsid w:val="001F7206"/>
    <w:rsid w:val="001F7509"/>
    <w:rsid w:val="001F770E"/>
    <w:rsid w:val="001F7D80"/>
    <w:rsid w:val="0020035C"/>
    <w:rsid w:val="002003FC"/>
    <w:rsid w:val="0020061B"/>
    <w:rsid w:val="002009FF"/>
    <w:rsid w:val="00201ADE"/>
    <w:rsid w:val="00201C51"/>
    <w:rsid w:val="0020201F"/>
    <w:rsid w:val="002025A7"/>
    <w:rsid w:val="00203062"/>
    <w:rsid w:val="00203176"/>
    <w:rsid w:val="0020373E"/>
    <w:rsid w:val="00203A1F"/>
    <w:rsid w:val="00203B59"/>
    <w:rsid w:val="0020434C"/>
    <w:rsid w:val="00204915"/>
    <w:rsid w:val="00204FDF"/>
    <w:rsid w:val="0020556B"/>
    <w:rsid w:val="00205621"/>
    <w:rsid w:val="00205B37"/>
    <w:rsid w:val="00205FC2"/>
    <w:rsid w:val="002062A4"/>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835"/>
    <w:rsid w:val="00214B03"/>
    <w:rsid w:val="00214B65"/>
    <w:rsid w:val="00215358"/>
    <w:rsid w:val="00216E2F"/>
    <w:rsid w:val="00217251"/>
    <w:rsid w:val="00217AFE"/>
    <w:rsid w:val="00217BFD"/>
    <w:rsid w:val="00217F42"/>
    <w:rsid w:val="00220323"/>
    <w:rsid w:val="002205E6"/>
    <w:rsid w:val="00220926"/>
    <w:rsid w:val="0022124C"/>
    <w:rsid w:val="002212C4"/>
    <w:rsid w:val="0022178B"/>
    <w:rsid w:val="002217CE"/>
    <w:rsid w:val="002218CF"/>
    <w:rsid w:val="002219EE"/>
    <w:rsid w:val="0022247A"/>
    <w:rsid w:val="00222692"/>
    <w:rsid w:val="002226E8"/>
    <w:rsid w:val="002227E0"/>
    <w:rsid w:val="00222F3F"/>
    <w:rsid w:val="002231BF"/>
    <w:rsid w:val="0022338C"/>
    <w:rsid w:val="002235CC"/>
    <w:rsid w:val="0022366F"/>
    <w:rsid w:val="00223858"/>
    <w:rsid w:val="00223EF4"/>
    <w:rsid w:val="00223FBB"/>
    <w:rsid w:val="002253D7"/>
    <w:rsid w:val="00225711"/>
    <w:rsid w:val="002257F8"/>
    <w:rsid w:val="00225A8C"/>
    <w:rsid w:val="00225AF5"/>
    <w:rsid w:val="00225B22"/>
    <w:rsid w:val="00225FA1"/>
    <w:rsid w:val="002268C8"/>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C6F"/>
    <w:rsid w:val="00233E98"/>
    <w:rsid w:val="00233FF0"/>
    <w:rsid w:val="00234560"/>
    <w:rsid w:val="00234DF2"/>
    <w:rsid w:val="002351C2"/>
    <w:rsid w:val="00235502"/>
    <w:rsid w:val="002356E7"/>
    <w:rsid w:val="002358A0"/>
    <w:rsid w:val="00235B4E"/>
    <w:rsid w:val="00235C9E"/>
    <w:rsid w:val="002360DF"/>
    <w:rsid w:val="00236301"/>
    <w:rsid w:val="00236946"/>
    <w:rsid w:val="00236B93"/>
    <w:rsid w:val="00236BE3"/>
    <w:rsid w:val="00236D1C"/>
    <w:rsid w:val="00236EF5"/>
    <w:rsid w:val="00236FF9"/>
    <w:rsid w:val="002375C1"/>
    <w:rsid w:val="0023771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2E73"/>
    <w:rsid w:val="002433B6"/>
    <w:rsid w:val="00243C8E"/>
    <w:rsid w:val="00243EBD"/>
    <w:rsid w:val="0024456A"/>
    <w:rsid w:val="00244840"/>
    <w:rsid w:val="00245079"/>
    <w:rsid w:val="002450A6"/>
    <w:rsid w:val="002451ED"/>
    <w:rsid w:val="002451F7"/>
    <w:rsid w:val="002454CF"/>
    <w:rsid w:val="00245F2C"/>
    <w:rsid w:val="00245FFC"/>
    <w:rsid w:val="0024604C"/>
    <w:rsid w:val="0024642C"/>
    <w:rsid w:val="00246AAC"/>
    <w:rsid w:val="00246E35"/>
    <w:rsid w:val="00247C38"/>
    <w:rsid w:val="00247C84"/>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3E8A"/>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0F1"/>
    <w:rsid w:val="0026538B"/>
    <w:rsid w:val="00266614"/>
    <w:rsid w:val="00266B8C"/>
    <w:rsid w:val="00266BE3"/>
    <w:rsid w:val="00267131"/>
    <w:rsid w:val="002678BE"/>
    <w:rsid w:val="00267A2E"/>
    <w:rsid w:val="00267F26"/>
    <w:rsid w:val="0027063B"/>
    <w:rsid w:val="0027071A"/>
    <w:rsid w:val="00270E53"/>
    <w:rsid w:val="00270E8B"/>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3A7"/>
    <w:rsid w:val="002775AC"/>
    <w:rsid w:val="0027767C"/>
    <w:rsid w:val="00277E58"/>
    <w:rsid w:val="00277F81"/>
    <w:rsid w:val="00280046"/>
    <w:rsid w:val="00280957"/>
    <w:rsid w:val="00280970"/>
    <w:rsid w:val="00280CA2"/>
    <w:rsid w:val="0028111D"/>
    <w:rsid w:val="0028146D"/>
    <w:rsid w:val="00281527"/>
    <w:rsid w:val="0028257D"/>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57AC"/>
    <w:rsid w:val="00286051"/>
    <w:rsid w:val="00286052"/>
    <w:rsid w:val="00286145"/>
    <w:rsid w:val="0028637D"/>
    <w:rsid w:val="002863FF"/>
    <w:rsid w:val="00286864"/>
    <w:rsid w:val="00286BFA"/>
    <w:rsid w:val="00286C64"/>
    <w:rsid w:val="00287563"/>
    <w:rsid w:val="002878C3"/>
    <w:rsid w:val="00287962"/>
    <w:rsid w:val="00290408"/>
    <w:rsid w:val="00290B95"/>
    <w:rsid w:val="00291483"/>
    <w:rsid w:val="00291B20"/>
    <w:rsid w:val="00291F5F"/>
    <w:rsid w:val="00292002"/>
    <w:rsid w:val="00292182"/>
    <w:rsid w:val="00292619"/>
    <w:rsid w:val="002926CC"/>
    <w:rsid w:val="00293906"/>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968"/>
    <w:rsid w:val="00297CC4"/>
    <w:rsid w:val="00297D6A"/>
    <w:rsid w:val="002A0272"/>
    <w:rsid w:val="002A042D"/>
    <w:rsid w:val="002A0568"/>
    <w:rsid w:val="002A0F65"/>
    <w:rsid w:val="002A1172"/>
    <w:rsid w:val="002A17F8"/>
    <w:rsid w:val="002A18B0"/>
    <w:rsid w:val="002A192D"/>
    <w:rsid w:val="002A1C2F"/>
    <w:rsid w:val="002A2154"/>
    <w:rsid w:val="002A23E7"/>
    <w:rsid w:val="002A2FB3"/>
    <w:rsid w:val="002A3509"/>
    <w:rsid w:val="002A3987"/>
    <w:rsid w:val="002A3B24"/>
    <w:rsid w:val="002A4563"/>
    <w:rsid w:val="002A4564"/>
    <w:rsid w:val="002A4809"/>
    <w:rsid w:val="002A49D2"/>
    <w:rsid w:val="002A5132"/>
    <w:rsid w:val="002A5297"/>
    <w:rsid w:val="002A575A"/>
    <w:rsid w:val="002A57BB"/>
    <w:rsid w:val="002A62C6"/>
    <w:rsid w:val="002A6316"/>
    <w:rsid w:val="002A6429"/>
    <w:rsid w:val="002A64AC"/>
    <w:rsid w:val="002A7423"/>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9DF"/>
    <w:rsid w:val="002B4AE4"/>
    <w:rsid w:val="002B4BAE"/>
    <w:rsid w:val="002B4E18"/>
    <w:rsid w:val="002B52C9"/>
    <w:rsid w:val="002B52FE"/>
    <w:rsid w:val="002B577E"/>
    <w:rsid w:val="002B57B3"/>
    <w:rsid w:val="002B57EB"/>
    <w:rsid w:val="002B5B05"/>
    <w:rsid w:val="002B5BA0"/>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3AF"/>
    <w:rsid w:val="002C1C55"/>
    <w:rsid w:val="002C1E20"/>
    <w:rsid w:val="002C2502"/>
    <w:rsid w:val="002C270B"/>
    <w:rsid w:val="002C2954"/>
    <w:rsid w:val="002C2C37"/>
    <w:rsid w:val="002C2CAA"/>
    <w:rsid w:val="002C37D9"/>
    <w:rsid w:val="002C37E7"/>
    <w:rsid w:val="002C3A5E"/>
    <w:rsid w:val="002C413A"/>
    <w:rsid w:val="002C44ED"/>
    <w:rsid w:val="002C494B"/>
    <w:rsid w:val="002C4E14"/>
    <w:rsid w:val="002C556C"/>
    <w:rsid w:val="002C55C3"/>
    <w:rsid w:val="002C55D3"/>
    <w:rsid w:val="002C5843"/>
    <w:rsid w:val="002C5898"/>
    <w:rsid w:val="002C60B6"/>
    <w:rsid w:val="002C6581"/>
    <w:rsid w:val="002C6696"/>
    <w:rsid w:val="002C6F25"/>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731"/>
    <w:rsid w:val="002D3B15"/>
    <w:rsid w:val="002D3B9A"/>
    <w:rsid w:val="002D3D65"/>
    <w:rsid w:val="002D4654"/>
    <w:rsid w:val="002D47DE"/>
    <w:rsid w:val="002D47EA"/>
    <w:rsid w:val="002D59B6"/>
    <w:rsid w:val="002D5A78"/>
    <w:rsid w:val="002D5B3B"/>
    <w:rsid w:val="002D65CE"/>
    <w:rsid w:val="002D67E5"/>
    <w:rsid w:val="002D690D"/>
    <w:rsid w:val="002D6A59"/>
    <w:rsid w:val="002D6B31"/>
    <w:rsid w:val="002D6C5C"/>
    <w:rsid w:val="002D7086"/>
    <w:rsid w:val="002D790C"/>
    <w:rsid w:val="002D7C19"/>
    <w:rsid w:val="002E0E0E"/>
    <w:rsid w:val="002E12D2"/>
    <w:rsid w:val="002E180F"/>
    <w:rsid w:val="002E1CD9"/>
    <w:rsid w:val="002E1D17"/>
    <w:rsid w:val="002E1F4B"/>
    <w:rsid w:val="002E2597"/>
    <w:rsid w:val="002E2EB2"/>
    <w:rsid w:val="002E3657"/>
    <w:rsid w:val="002E43B5"/>
    <w:rsid w:val="002E467D"/>
    <w:rsid w:val="002E47CD"/>
    <w:rsid w:val="002E4E93"/>
    <w:rsid w:val="002E5130"/>
    <w:rsid w:val="002E55E3"/>
    <w:rsid w:val="002E60D8"/>
    <w:rsid w:val="002E61AA"/>
    <w:rsid w:val="002E63B6"/>
    <w:rsid w:val="002E65CA"/>
    <w:rsid w:val="002E67D9"/>
    <w:rsid w:val="002E688F"/>
    <w:rsid w:val="002E6A16"/>
    <w:rsid w:val="002E6E15"/>
    <w:rsid w:val="002E704F"/>
    <w:rsid w:val="002E75AD"/>
    <w:rsid w:val="002E79EA"/>
    <w:rsid w:val="002F07C8"/>
    <w:rsid w:val="002F08EB"/>
    <w:rsid w:val="002F0DB5"/>
    <w:rsid w:val="002F0DC8"/>
    <w:rsid w:val="002F0EBF"/>
    <w:rsid w:val="002F108F"/>
    <w:rsid w:val="002F1426"/>
    <w:rsid w:val="002F1446"/>
    <w:rsid w:val="002F14AC"/>
    <w:rsid w:val="002F14DB"/>
    <w:rsid w:val="002F1785"/>
    <w:rsid w:val="002F182D"/>
    <w:rsid w:val="002F1872"/>
    <w:rsid w:val="002F1A61"/>
    <w:rsid w:val="002F1C5B"/>
    <w:rsid w:val="002F1CF6"/>
    <w:rsid w:val="002F1FCF"/>
    <w:rsid w:val="002F28A2"/>
    <w:rsid w:val="002F2E36"/>
    <w:rsid w:val="002F33A3"/>
    <w:rsid w:val="002F353F"/>
    <w:rsid w:val="002F3557"/>
    <w:rsid w:val="002F3CC8"/>
    <w:rsid w:val="002F47D1"/>
    <w:rsid w:val="002F48AD"/>
    <w:rsid w:val="002F4B94"/>
    <w:rsid w:val="002F4BCE"/>
    <w:rsid w:val="002F4CB8"/>
    <w:rsid w:val="002F4CE9"/>
    <w:rsid w:val="002F5053"/>
    <w:rsid w:val="002F56D1"/>
    <w:rsid w:val="002F5D43"/>
    <w:rsid w:val="002F5D51"/>
    <w:rsid w:val="002F61FF"/>
    <w:rsid w:val="002F64B9"/>
    <w:rsid w:val="002F6524"/>
    <w:rsid w:val="002F65DB"/>
    <w:rsid w:val="002F7489"/>
    <w:rsid w:val="002F7E38"/>
    <w:rsid w:val="0030011E"/>
    <w:rsid w:val="00300253"/>
    <w:rsid w:val="003002D9"/>
    <w:rsid w:val="003010C6"/>
    <w:rsid w:val="003013E4"/>
    <w:rsid w:val="003015D7"/>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1A95"/>
    <w:rsid w:val="0031264E"/>
    <w:rsid w:val="00312A57"/>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032"/>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2FB0"/>
    <w:rsid w:val="003230E8"/>
    <w:rsid w:val="00323412"/>
    <w:rsid w:val="00323421"/>
    <w:rsid w:val="003234CC"/>
    <w:rsid w:val="0032355E"/>
    <w:rsid w:val="003235B6"/>
    <w:rsid w:val="00323CE7"/>
    <w:rsid w:val="00323DD6"/>
    <w:rsid w:val="00323FF6"/>
    <w:rsid w:val="003240EB"/>
    <w:rsid w:val="00324135"/>
    <w:rsid w:val="003241B0"/>
    <w:rsid w:val="0032432E"/>
    <w:rsid w:val="00324717"/>
    <w:rsid w:val="003247F9"/>
    <w:rsid w:val="003249BA"/>
    <w:rsid w:val="003257D1"/>
    <w:rsid w:val="00326246"/>
    <w:rsid w:val="003263AE"/>
    <w:rsid w:val="00326706"/>
    <w:rsid w:val="003269BD"/>
    <w:rsid w:val="00326A6B"/>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A4D"/>
    <w:rsid w:val="00333C7E"/>
    <w:rsid w:val="00333D04"/>
    <w:rsid w:val="003342E1"/>
    <w:rsid w:val="00334367"/>
    <w:rsid w:val="00334499"/>
    <w:rsid w:val="0033486B"/>
    <w:rsid w:val="00335240"/>
    <w:rsid w:val="00335F12"/>
    <w:rsid w:val="00336149"/>
    <w:rsid w:val="003365EF"/>
    <w:rsid w:val="00336982"/>
    <w:rsid w:val="003373E2"/>
    <w:rsid w:val="003375D7"/>
    <w:rsid w:val="00337EAA"/>
    <w:rsid w:val="003408B3"/>
    <w:rsid w:val="00340D26"/>
    <w:rsid w:val="00340F78"/>
    <w:rsid w:val="00341159"/>
    <w:rsid w:val="0034154C"/>
    <w:rsid w:val="00341604"/>
    <w:rsid w:val="00341709"/>
    <w:rsid w:val="003418F8"/>
    <w:rsid w:val="00341A92"/>
    <w:rsid w:val="00341D6D"/>
    <w:rsid w:val="003423FC"/>
    <w:rsid w:val="00342809"/>
    <w:rsid w:val="00342DC1"/>
    <w:rsid w:val="00342FB8"/>
    <w:rsid w:val="0034305E"/>
    <w:rsid w:val="003431AF"/>
    <w:rsid w:val="0034347C"/>
    <w:rsid w:val="00343D48"/>
    <w:rsid w:val="00344227"/>
    <w:rsid w:val="0034535D"/>
    <w:rsid w:val="00345B94"/>
    <w:rsid w:val="00345F2E"/>
    <w:rsid w:val="00345F63"/>
    <w:rsid w:val="003469A0"/>
    <w:rsid w:val="00346AA7"/>
    <w:rsid w:val="00346C5D"/>
    <w:rsid w:val="0034713B"/>
    <w:rsid w:val="00347E25"/>
    <w:rsid w:val="00347F37"/>
    <w:rsid w:val="00347FEC"/>
    <w:rsid w:val="003500F5"/>
    <w:rsid w:val="0035019E"/>
    <w:rsid w:val="003502B7"/>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5C6"/>
    <w:rsid w:val="003559C6"/>
    <w:rsid w:val="00355E7E"/>
    <w:rsid w:val="003560F2"/>
    <w:rsid w:val="00356551"/>
    <w:rsid w:val="00356685"/>
    <w:rsid w:val="00356741"/>
    <w:rsid w:val="00356A5C"/>
    <w:rsid w:val="0035790E"/>
    <w:rsid w:val="00357B24"/>
    <w:rsid w:val="00360377"/>
    <w:rsid w:val="00360428"/>
    <w:rsid w:val="0036064D"/>
    <w:rsid w:val="00360CBB"/>
    <w:rsid w:val="00361B99"/>
    <w:rsid w:val="00361E20"/>
    <w:rsid w:val="00362B25"/>
    <w:rsid w:val="0036375D"/>
    <w:rsid w:val="00363852"/>
    <w:rsid w:val="003638CA"/>
    <w:rsid w:val="00363C0B"/>
    <w:rsid w:val="00363DFB"/>
    <w:rsid w:val="003645D5"/>
    <w:rsid w:val="0036486B"/>
    <w:rsid w:val="003648AD"/>
    <w:rsid w:val="00364A22"/>
    <w:rsid w:val="00364B2B"/>
    <w:rsid w:val="00364B72"/>
    <w:rsid w:val="003650C2"/>
    <w:rsid w:val="00365626"/>
    <w:rsid w:val="0036616A"/>
    <w:rsid w:val="003664F6"/>
    <w:rsid w:val="00366978"/>
    <w:rsid w:val="00366A5E"/>
    <w:rsid w:val="00366B21"/>
    <w:rsid w:val="00367460"/>
    <w:rsid w:val="0036749C"/>
    <w:rsid w:val="0036752C"/>
    <w:rsid w:val="00367712"/>
    <w:rsid w:val="00367B9A"/>
    <w:rsid w:val="00367FE7"/>
    <w:rsid w:val="0037085D"/>
    <w:rsid w:val="00370C53"/>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5E1A"/>
    <w:rsid w:val="003864BE"/>
    <w:rsid w:val="00386896"/>
    <w:rsid w:val="00386EB6"/>
    <w:rsid w:val="00387033"/>
    <w:rsid w:val="0038714C"/>
    <w:rsid w:val="003877F6"/>
    <w:rsid w:val="00387860"/>
    <w:rsid w:val="00387CF4"/>
    <w:rsid w:val="003900F9"/>
    <w:rsid w:val="003901DE"/>
    <w:rsid w:val="003904A9"/>
    <w:rsid w:val="00390826"/>
    <w:rsid w:val="00390AFC"/>
    <w:rsid w:val="00390DF4"/>
    <w:rsid w:val="00390FDB"/>
    <w:rsid w:val="00391072"/>
    <w:rsid w:val="00391131"/>
    <w:rsid w:val="00391519"/>
    <w:rsid w:val="00391937"/>
    <w:rsid w:val="0039197D"/>
    <w:rsid w:val="00391A6A"/>
    <w:rsid w:val="00391CE9"/>
    <w:rsid w:val="00391FFB"/>
    <w:rsid w:val="00392335"/>
    <w:rsid w:val="003923B3"/>
    <w:rsid w:val="00392666"/>
    <w:rsid w:val="003929F4"/>
    <w:rsid w:val="00392A1B"/>
    <w:rsid w:val="00393626"/>
    <w:rsid w:val="00393747"/>
    <w:rsid w:val="00393CDC"/>
    <w:rsid w:val="0039476B"/>
    <w:rsid w:val="00394918"/>
    <w:rsid w:val="0039493F"/>
    <w:rsid w:val="00394B29"/>
    <w:rsid w:val="00394F07"/>
    <w:rsid w:val="0039508B"/>
    <w:rsid w:val="003955C7"/>
    <w:rsid w:val="00395AFB"/>
    <w:rsid w:val="00395C9D"/>
    <w:rsid w:val="00395CBF"/>
    <w:rsid w:val="00395E3C"/>
    <w:rsid w:val="00396123"/>
    <w:rsid w:val="00396183"/>
    <w:rsid w:val="00396D07"/>
    <w:rsid w:val="0039738B"/>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4E"/>
    <w:rsid w:val="003A53BD"/>
    <w:rsid w:val="003A5401"/>
    <w:rsid w:val="003A5671"/>
    <w:rsid w:val="003A5681"/>
    <w:rsid w:val="003A56B9"/>
    <w:rsid w:val="003A5988"/>
    <w:rsid w:val="003A5FA5"/>
    <w:rsid w:val="003A6164"/>
    <w:rsid w:val="003A6737"/>
    <w:rsid w:val="003A7312"/>
    <w:rsid w:val="003B0565"/>
    <w:rsid w:val="003B0D51"/>
    <w:rsid w:val="003B1850"/>
    <w:rsid w:val="003B1DC7"/>
    <w:rsid w:val="003B249B"/>
    <w:rsid w:val="003B271B"/>
    <w:rsid w:val="003B2ADF"/>
    <w:rsid w:val="003B2D2E"/>
    <w:rsid w:val="003B2EED"/>
    <w:rsid w:val="003B2FB5"/>
    <w:rsid w:val="003B3040"/>
    <w:rsid w:val="003B3330"/>
    <w:rsid w:val="003B3516"/>
    <w:rsid w:val="003B38A2"/>
    <w:rsid w:val="003B3D0A"/>
    <w:rsid w:val="003B3D19"/>
    <w:rsid w:val="003B4244"/>
    <w:rsid w:val="003B44CB"/>
    <w:rsid w:val="003B4855"/>
    <w:rsid w:val="003B4A3F"/>
    <w:rsid w:val="003B4B0E"/>
    <w:rsid w:val="003B5269"/>
    <w:rsid w:val="003B52F7"/>
    <w:rsid w:val="003B542C"/>
    <w:rsid w:val="003B560D"/>
    <w:rsid w:val="003B5C0F"/>
    <w:rsid w:val="003B5D78"/>
    <w:rsid w:val="003B5E15"/>
    <w:rsid w:val="003B5E6F"/>
    <w:rsid w:val="003B5EDB"/>
    <w:rsid w:val="003B634F"/>
    <w:rsid w:val="003B6690"/>
    <w:rsid w:val="003B6699"/>
    <w:rsid w:val="003B6E9B"/>
    <w:rsid w:val="003B6F45"/>
    <w:rsid w:val="003B6F81"/>
    <w:rsid w:val="003B72D1"/>
    <w:rsid w:val="003B76EC"/>
    <w:rsid w:val="003B78D9"/>
    <w:rsid w:val="003B7FB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37"/>
    <w:rsid w:val="003C3D64"/>
    <w:rsid w:val="003C42D3"/>
    <w:rsid w:val="003C434C"/>
    <w:rsid w:val="003C4F1D"/>
    <w:rsid w:val="003C519C"/>
    <w:rsid w:val="003C5B50"/>
    <w:rsid w:val="003C5DED"/>
    <w:rsid w:val="003C6914"/>
    <w:rsid w:val="003C6E28"/>
    <w:rsid w:val="003C75CE"/>
    <w:rsid w:val="003C7A86"/>
    <w:rsid w:val="003C7ABB"/>
    <w:rsid w:val="003C7B94"/>
    <w:rsid w:val="003C7F18"/>
    <w:rsid w:val="003D0906"/>
    <w:rsid w:val="003D0F12"/>
    <w:rsid w:val="003D0F79"/>
    <w:rsid w:val="003D1744"/>
    <w:rsid w:val="003D175E"/>
    <w:rsid w:val="003D1A0A"/>
    <w:rsid w:val="003D1AFE"/>
    <w:rsid w:val="003D1BC1"/>
    <w:rsid w:val="003D1CF5"/>
    <w:rsid w:val="003D1FE2"/>
    <w:rsid w:val="003D1FFC"/>
    <w:rsid w:val="003D21D6"/>
    <w:rsid w:val="003D22DF"/>
    <w:rsid w:val="003D22F4"/>
    <w:rsid w:val="003D2333"/>
    <w:rsid w:val="003D2FB0"/>
    <w:rsid w:val="003D3366"/>
    <w:rsid w:val="003D3780"/>
    <w:rsid w:val="003D3997"/>
    <w:rsid w:val="003D3A0E"/>
    <w:rsid w:val="003D3A41"/>
    <w:rsid w:val="003D3C59"/>
    <w:rsid w:val="003D409B"/>
    <w:rsid w:val="003D4277"/>
    <w:rsid w:val="003D42CE"/>
    <w:rsid w:val="003D4821"/>
    <w:rsid w:val="003D4945"/>
    <w:rsid w:val="003D4A69"/>
    <w:rsid w:val="003D4C15"/>
    <w:rsid w:val="003D4C38"/>
    <w:rsid w:val="003D53FE"/>
    <w:rsid w:val="003D57E0"/>
    <w:rsid w:val="003D58F9"/>
    <w:rsid w:val="003D5DC3"/>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2AB4"/>
    <w:rsid w:val="003E2D26"/>
    <w:rsid w:val="003E30CC"/>
    <w:rsid w:val="003E3220"/>
    <w:rsid w:val="003E3488"/>
    <w:rsid w:val="003E37E9"/>
    <w:rsid w:val="003E39E4"/>
    <w:rsid w:val="003E3A8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8BB"/>
    <w:rsid w:val="003F6A67"/>
    <w:rsid w:val="003F6B62"/>
    <w:rsid w:val="003F6CCE"/>
    <w:rsid w:val="003F6EF4"/>
    <w:rsid w:val="003F7108"/>
    <w:rsid w:val="003F72E7"/>
    <w:rsid w:val="003F737D"/>
    <w:rsid w:val="003F73AD"/>
    <w:rsid w:val="003F754A"/>
    <w:rsid w:val="003F7679"/>
    <w:rsid w:val="003F7CB6"/>
    <w:rsid w:val="003F7EB9"/>
    <w:rsid w:val="004002E2"/>
    <w:rsid w:val="004003DF"/>
    <w:rsid w:val="00400620"/>
    <w:rsid w:val="00400C83"/>
    <w:rsid w:val="00400E3E"/>
    <w:rsid w:val="0040129C"/>
    <w:rsid w:val="004014F0"/>
    <w:rsid w:val="0040196F"/>
    <w:rsid w:val="004019A5"/>
    <w:rsid w:val="00402145"/>
    <w:rsid w:val="004021A1"/>
    <w:rsid w:val="0040227C"/>
    <w:rsid w:val="00402428"/>
    <w:rsid w:val="004025BE"/>
    <w:rsid w:val="00402CA9"/>
    <w:rsid w:val="00402E1A"/>
    <w:rsid w:val="00402F04"/>
    <w:rsid w:val="00403001"/>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07ADB"/>
    <w:rsid w:val="0041054B"/>
    <w:rsid w:val="00410574"/>
    <w:rsid w:val="00410974"/>
    <w:rsid w:val="00410BC0"/>
    <w:rsid w:val="00410BEF"/>
    <w:rsid w:val="00411379"/>
    <w:rsid w:val="0041137C"/>
    <w:rsid w:val="004113A8"/>
    <w:rsid w:val="004113D9"/>
    <w:rsid w:val="00411845"/>
    <w:rsid w:val="00411E38"/>
    <w:rsid w:val="00411EE2"/>
    <w:rsid w:val="004121F0"/>
    <w:rsid w:val="00412280"/>
    <w:rsid w:val="004123CF"/>
    <w:rsid w:val="0041249C"/>
    <w:rsid w:val="00412F8F"/>
    <w:rsid w:val="0041300A"/>
    <w:rsid w:val="004130E1"/>
    <w:rsid w:val="004133E7"/>
    <w:rsid w:val="00413C16"/>
    <w:rsid w:val="00414C9A"/>
    <w:rsid w:val="00415054"/>
    <w:rsid w:val="004155BB"/>
    <w:rsid w:val="004157F5"/>
    <w:rsid w:val="00415F2B"/>
    <w:rsid w:val="00416EFD"/>
    <w:rsid w:val="00417367"/>
    <w:rsid w:val="00417383"/>
    <w:rsid w:val="004177CC"/>
    <w:rsid w:val="00417A1E"/>
    <w:rsid w:val="00417C69"/>
    <w:rsid w:val="004203F3"/>
    <w:rsid w:val="004206A7"/>
    <w:rsid w:val="00420D11"/>
    <w:rsid w:val="00420FBE"/>
    <w:rsid w:val="004211A5"/>
    <w:rsid w:val="00421A43"/>
    <w:rsid w:val="00421AC2"/>
    <w:rsid w:val="00421F4E"/>
    <w:rsid w:val="00422538"/>
    <w:rsid w:val="00422599"/>
    <w:rsid w:val="004228BF"/>
    <w:rsid w:val="0042294F"/>
    <w:rsid w:val="00422A69"/>
    <w:rsid w:val="00424304"/>
    <w:rsid w:val="0042457A"/>
    <w:rsid w:val="0042457D"/>
    <w:rsid w:val="00424F97"/>
    <w:rsid w:val="004251BE"/>
    <w:rsid w:val="004251D2"/>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7C0"/>
    <w:rsid w:val="004329FC"/>
    <w:rsid w:val="00432B47"/>
    <w:rsid w:val="00432F65"/>
    <w:rsid w:val="0043318C"/>
    <w:rsid w:val="004339FA"/>
    <w:rsid w:val="00433BD2"/>
    <w:rsid w:val="00433E7A"/>
    <w:rsid w:val="00434528"/>
    <w:rsid w:val="00434602"/>
    <w:rsid w:val="004346E2"/>
    <w:rsid w:val="00434B34"/>
    <w:rsid w:val="00434B6D"/>
    <w:rsid w:val="00434E04"/>
    <w:rsid w:val="00434FDF"/>
    <w:rsid w:val="00435276"/>
    <w:rsid w:val="00435516"/>
    <w:rsid w:val="004356E9"/>
    <w:rsid w:val="0043583D"/>
    <w:rsid w:val="00435933"/>
    <w:rsid w:val="00435E75"/>
    <w:rsid w:val="00435ECC"/>
    <w:rsid w:val="00435FC6"/>
    <w:rsid w:val="0043602E"/>
    <w:rsid w:val="00436982"/>
    <w:rsid w:val="00436C8F"/>
    <w:rsid w:val="00436E18"/>
    <w:rsid w:val="0043755D"/>
    <w:rsid w:val="0043769C"/>
    <w:rsid w:val="00437753"/>
    <w:rsid w:val="00437F89"/>
    <w:rsid w:val="00437FB4"/>
    <w:rsid w:val="004409F2"/>
    <w:rsid w:val="00440BB0"/>
    <w:rsid w:val="00440C45"/>
    <w:rsid w:val="00440C6B"/>
    <w:rsid w:val="0044110A"/>
    <w:rsid w:val="004413F3"/>
    <w:rsid w:val="0044153D"/>
    <w:rsid w:val="0044161E"/>
    <w:rsid w:val="00441C5A"/>
    <w:rsid w:val="004425F2"/>
    <w:rsid w:val="00443675"/>
    <w:rsid w:val="00443D50"/>
    <w:rsid w:val="00443E65"/>
    <w:rsid w:val="00443EAC"/>
    <w:rsid w:val="0044401C"/>
    <w:rsid w:val="00444182"/>
    <w:rsid w:val="004442AB"/>
    <w:rsid w:val="004445E5"/>
    <w:rsid w:val="00444654"/>
    <w:rsid w:val="00444BF0"/>
    <w:rsid w:val="00444DF8"/>
    <w:rsid w:val="0044508C"/>
    <w:rsid w:val="00445177"/>
    <w:rsid w:val="00445487"/>
    <w:rsid w:val="00445591"/>
    <w:rsid w:val="0044575E"/>
    <w:rsid w:val="0044587B"/>
    <w:rsid w:val="004459C2"/>
    <w:rsid w:val="00445E21"/>
    <w:rsid w:val="00445E84"/>
    <w:rsid w:val="00445FE3"/>
    <w:rsid w:val="00446B3B"/>
    <w:rsid w:val="00446B6B"/>
    <w:rsid w:val="00446FEF"/>
    <w:rsid w:val="00447437"/>
    <w:rsid w:val="00447710"/>
    <w:rsid w:val="00447A0A"/>
    <w:rsid w:val="00447B71"/>
    <w:rsid w:val="00447E42"/>
    <w:rsid w:val="0045043D"/>
    <w:rsid w:val="00450452"/>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5B6"/>
    <w:rsid w:val="00455DCB"/>
    <w:rsid w:val="00455EDE"/>
    <w:rsid w:val="00456C71"/>
    <w:rsid w:val="00456EA3"/>
    <w:rsid w:val="00457216"/>
    <w:rsid w:val="0046020B"/>
    <w:rsid w:val="004602FF"/>
    <w:rsid w:val="00460328"/>
    <w:rsid w:val="004605D0"/>
    <w:rsid w:val="00460EDD"/>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DFE"/>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2D6E"/>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C8C"/>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3B8"/>
    <w:rsid w:val="00495F18"/>
    <w:rsid w:val="0049607A"/>
    <w:rsid w:val="00496C0B"/>
    <w:rsid w:val="00496C59"/>
    <w:rsid w:val="00496D59"/>
    <w:rsid w:val="00496E0E"/>
    <w:rsid w:val="00497633"/>
    <w:rsid w:val="004978B0"/>
    <w:rsid w:val="00497F9B"/>
    <w:rsid w:val="004A01E0"/>
    <w:rsid w:val="004A0200"/>
    <w:rsid w:val="004A0ABF"/>
    <w:rsid w:val="004A0D21"/>
    <w:rsid w:val="004A10F4"/>
    <w:rsid w:val="004A1DC7"/>
    <w:rsid w:val="004A1ECC"/>
    <w:rsid w:val="004A2AC7"/>
    <w:rsid w:val="004A32C9"/>
    <w:rsid w:val="004A370F"/>
    <w:rsid w:val="004A40C5"/>
    <w:rsid w:val="004A4731"/>
    <w:rsid w:val="004A4B91"/>
    <w:rsid w:val="004A4F5F"/>
    <w:rsid w:val="004A4FC9"/>
    <w:rsid w:val="004A52B7"/>
    <w:rsid w:val="004A57ED"/>
    <w:rsid w:val="004A5D53"/>
    <w:rsid w:val="004A6082"/>
    <w:rsid w:val="004A63CE"/>
    <w:rsid w:val="004A676E"/>
    <w:rsid w:val="004A699B"/>
    <w:rsid w:val="004A6B77"/>
    <w:rsid w:val="004A6DB0"/>
    <w:rsid w:val="004A746E"/>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87"/>
    <w:rsid w:val="004C00C4"/>
    <w:rsid w:val="004C00F2"/>
    <w:rsid w:val="004C018C"/>
    <w:rsid w:val="004C02FD"/>
    <w:rsid w:val="004C0A35"/>
    <w:rsid w:val="004C0B1F"/>
    <w:rsid w:val="004C0B54"/>
    <w:rsid w:val="004C0B61"/>
    <w:rsid w:val="004C0CFF"/>
    <w:rsid w:val="004C0F1A"/>
    <w:rsid w:val="004C0F42"/>
    <w:rsid w:val="004C172C"/>
    <w:rsid w:val="004C1E57"/>
    <w:rsid w:val="004C2000"/>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2C"/>
    <w:rsid w:val="004D0642"/>
    <w:rsid w:val="004D06E5"/>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D7992"/>
    <w:rsid w:val="004E00D2"/>
    <w:rsid w:val="004E016F"/>
    <w:rsid w:val="004E04B6"/>
    <w:rsid w:val="004E052B"/>
    <w:rsid w:val="004E06C1"/>
    <w:rsid w:val="004E0963"/>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BC4"/>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128"/>
    <w:rsid w:val="004F26AA"/>
    <w:rsid w:val="004F28B8"/>
    <w:rsid w:val="004F2902"/>
    <w:rsid w:val="004F2950"/>
    <w:rsid w:val="004F2CEA"/>
    <w:rsid w:val="004F30CD"/>
    <w:rsid w:val="004F31F7"/>
    <w:rsid w:val="004F3D95"/>
    <w:rsid w:val="004F4195"/>
    <w:rsid w:val="004F4A2E"/>
    <w:rsid w:val="004F54AC"/>
    <w:rsid w:val="004F56CB"/>
    <w:rsid w:val="004F5DE7"/>
    <w:rsid w:val="004F6A92"/>
    <w:rsid w:val="004F6B38"/>
    <w:rsid w:val="004F6EE4"/>
    <w:rsid w:val="004F71C8"/>
    <w:rsid w:val="004F7233"/>
    <w:rsid w:val="004F747F"/>
    <w:rsid w:val="004F7D37"/>
    <w:rsid w:val="004F7F7A"/>
    <w:rsid w:val="00500427"/>
    <w:rsid w:val="00500772"/>
    <w:rsid w:val="005008C6"/>
    <w:rsid w:val="00500916"/>
    <w:rsid w:val="00501097"/>
    <w:rsid w:val="00501257"/>
    <w:rsid w:val="0050189E"/>
    <w:rsid w:val="00501B2C"/>
    <w:rsid w:val="00501F18"/>
    <w:rsid w:val="0050214B"/>
    <w:rsid w:val="00503093"/>
    <w:rsid w:val="00503378"/>
    <w:rsid w:val="0050498C"/>
    <w:rsid w:val="00504E8E"/>
    <w:rsid w:val="00506204"/>
    <w:rsid w:val="005063EF"/>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4EA"/>
    <w:rsid w:val="00513529"/>
    <w:rsid w:val="005136CA"/>
    <w:rsid w:val="00513E8A"/>
    <w:rsid w:val="00514605"/>
    <w:rsid w:val="005149FA"/>
    <w:rsid w:val="00514EFE"/>
    <w:rsid w:val="0051512E"/>
    <w:rsid w:val="00515193"/>
    <w:rsid w:val="0051527A"/>
    <w:rsid w:val="005164EE"/>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3713"/>
    <w:rsid w:val="005248C4"/>
    <w:rsid w:val="00525772"/>
    <w:rsid w:val="00525A09"/>
    <w:rsid w:val="005261C7"/>
    <w:rsid w:val="005261D2"/>
    <w:rsid w:val="00526C8F"/>
    <w:rsid w:val="005273A6"/>
    <w:rsid w:val="005275CB"/>
    <w:rsid w:val="00527CAF"/>
    <w:rsid w:val="00527E81"/>
    <w:rsid w:val="00527EB1"/>
    <w:rsid w:val="0052933F"/>
    <w:rsid w:val="00530A65"/>
    <w:rsid w:val="00530E00"/>
    <w:rsid w:val="00530F37"/>
    <w:rsid w:val="00530F84"/>
    <w:rsid w:val="005312AA"/>
    <w:rsid w:val="0053170A"/>
    <w:rsid w:val="005317A2"/>
    <w:rsid w:val="00531900"/>
    <w:rsid w:val="00531A9A"/>
    <w:rsid w:val="00531FB4"/>
    <w:rsid w:val="005325F6"/>
    <w:rsid w:val="00532991"/>
    <w:rsid w:val="005330CB"/>
    <w:rsid w:val="005336CE"/>
    <w:rsid w:val="00533DEA"/>
    <w:rsid w:val="00534101"/>
    <w:rsid w:val="00534367"/>
    <w:rsid w:val="0053495B"/>
    <w:rsid w:val="00534BEF"/>
    <w:rsid w:val="00535768"/>
    <w:rsid w:val="00535F8B"/>
    <w:rsid w:val="00536427"/>
    <w:rsid w:val="005364A9"/>
    <w:rsid w:val="00536A61"/>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1D81"/>
    <w:rsid w:val="005420B5"/>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EFF"/>
    <w:rsid w:val="00550FE3"/>
    <w:rsid w:val="005516CE"/>
    <w:rsid w:val="005519EC"/>
    <w:rsid w:val="00551A31"/>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6E76"/>
    <w:rsid w:val="005575B8"/>
    <w:rsid w:val="005578C6"/>
    <w:rsid w:val="00557AB6"/>
    <w:rsid w:val="00560AD2"/>
    <w:rsid w:val="00560C67"/>
    <w:rsid w:val="00560F15"/>
    <w:rsid w:val="00561570"/>
    <w:rsid w:val="005618D0"/>
    <w:rsid w:val="00561F60"/>
    <w:rsid w:val="00562057"/>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5F64"/>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BA7"/>
    <w:rsid w:val="00572CC6"/>
    <w:rsid w:val="00572CE2"/>
    <w:rsid w:val="00572DF9"/>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5FCC"/>
    <w:rsid w:val="00576124"/>
    <w:rsid w:val="00576931"/>
    <w:rsid w:val="005769C7"/>
    <w:rsid w:val="00576AD1"/>
    <w:rsid w:val="00576AEE"/>
    <w:rsid w:val="00576C74"/>
    <w:rsid w:val="00576CE3"/>
    <w:rsid w:val="00576EC2"/>
    <w:rsid w:val="005773B4"/>
    <w:rsid w:val="005775EF"/>
    <w:rsid w:val="005778FA"/>
    <w:rsid w:val="00577A16"/>
    <w:rsid w:val="00577C33"/>
    <w:rsid w:val="00577D3D"/>
    <w:rsid w:val="005802C7"/>
    <w:rsid w:val="0058047F"/>
    <w:rsid w:val="005808E9"/>
    <w:rsid w:val="00581021"/>
    <w:rsid w:val="00581707"/>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5"/>
    <w:rsid w:val="0058699F"/>
    <w:rsid w:val="00586CA4"/>
    <w:rsid w:val="0058740D"/>
    <w:rsid w:val="00587617"/>
    <w:rsid w:val="00587725"/>
    <w:rsid w:val="00587897"/>
    <w:rsid w:val="00587A7D"/>
    <w:rsid w:val="0059030E"/>
    <w:rsid w:val="005915D0"/>
    <w:rsid w:val="005926E1"/>
    <w:rsid w:val="00592A27"/>
    <w:rsid w:val="00592AA8"/>
    <w:rsid w:val="00592AF2"/>
    <w:rsid w:val="00592D6F"/>
    <w:rsid w:val="00592F27"/>
    <w:rsid w:val="005930B1"/>
    <w:rsid w:val="00593161"/>
    <w:rsid w:val="005937CA"/>
    <w:rsid w:val="00593A4A"/>
    <w:rsid w:val="00594017"/>
    <w:rsid w:val="00594302"/>
    <w:rsid w:val="00594BC7"/>
    <w:rsid w:val="00594DA1"/>
    <w:rsid w:val="00595407"/>
    <w:rsid w:val="00595A6E"/>
    <w:rsid w:val="00595C1F"/>
    <w:rsid w:val="0059613B"/>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8A4"/>
    <w:rsid w:val="005A1EE8"/>
    <w:rsid w:val="005A23E7"/>
    <w:rsid w:val="005A2A38"/>
    <w:rsid w:val="005A2E58"/>
    <w:rsid w:val="005A3755"/>
    <w:rsid w:val="005A3D1D"/>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3DB3"/>
    <w:rsid w:val="005B437C"/>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11"/>
    <w:rsid w:val="005C50DA"/>
    <w:rsid w:val="005C50F1"/>
    <w:rsid w:val="005C58A5"/>
    <w:rsid w:val="005C5AF1"/>
    <w:rsid w:val="005C5DEE"/>
    <w:rsid w:val="005C618A"/>
    <w:rsid w:val="005C632B"/>
    <w:rsid w:val="005C67E3"/>
    <w:rsid w:val="005C6816"/>
    <w:rsid w:val="005C6B95"/>
    <w:rsid w:val="005C6CDA"/>
    <w:rsid w:val="005C6E10"/>
    <w:rsid w:val="005C6E95"/>
    <w:rsid w:val="005C6E99"/>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3F2"/>
    <w:rsid w:val="005D166D"/>
    <w:rsid w:val="005D1675"/>
    <w:rsid w:val="005D19C7"/>
    <w:rsid w:val="005D230E"/>
    <w:rsid w:val="005D29D9"/>
    <w:rsid w:val="005D2D9D"/>
    <w:rsid w:val="005D2E67"/>
    <w:rsid w:val="005D3205"/>
    <w:rsid w:val="005D337D"/>
    <w:rsid w:val="005D38FA"/>
    <w:rsid w:val="005D3A2C"/>
    <w:rsid w:val="005D3C8D"/>
    <w:rsid w:val="005D4770"/>
    <w:rsid w:val="005D4807"/>
    <w:rsid w:val="005D4A45"/>
    <w:rsid w:val="005D53CE"/>
    <w:rsid w:val="005D5947"/>
    <w:rsid w:val="005D59A4"/>
    <w:rsid w:val="005D5EF9"/>
    <w:rsid w:val="005D5FE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0E50"/>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55A"/>
    <w:rsid w:val="005E5E42"/>
    <w:rsid w:val="005E6140"/>
    <w:rsid w:val="005E65A7"/>
    <w:rsid w:val="005E65E5"/>
    <w:rsid w:val="005E6E60"/>
    <w:rsid w:val="005E70ED"/>
    <w:rsid w:val="005E7647"/>
    <w:rsid w:val="005E7A49"/>
    <w:rsid w:val="005E7A8F"/>
    <w:rsid w:val="005E7EFC"/>
    <w:rsid w:val="005E7FEB"/>
    <w:rsid w:val="005F1335"/>
    <w:rsid w:val="005F173B"/>
    <w:rsid w:val="005F2043"/>
    <w:rsid w:val="005F2673"/>
    <w:rsid w:val="005F27B4"/>
    <w:rsid w:val="005F2E3D"/>
    <w:rsid w:val="005F2F6A"/>
    <w:rsid w:val="005F310D"/>
    <w:rsid w:val="005F32CB"/>
    <w:rsid w:val="005F381F"/>
    <w:rsid w:val="005F3A1F"/>
    <w:rsid w:val="005F4250"/>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5F7568"/>
    <w:rsid w:val="0060034F"/>
    <w:rsid w:val="006003B1"/>
    <w:rsid w:val="006004F5"/>
    <w:rsid w:val="006008A3"/>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26B"/>
    <w:rsid w:val="006054C7"/>
    <w:rsid w:val="00605679"/>
    <w:rsid w:val="00605B19"/>
    <w:rsid w:val="00605C31"/>
    <w:rsid w:val="00606126"/>
    <w:rsid w:val="006066BB"/>
    <w:rsid w:val="00606901"/>
    <w:rsid w:val="00606AC1"/>
    <w:rsid w:val="00606C38"/>
    <w:rsid w:val="00606CB5"/>
    <w:rsid w:val="006071FA"/>
    <w:rsid w:val="0060786F"/>
    <w:rsid w:val="006079D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12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76A"/>
    <w:rsid w:val="00623DF9"/>
    <w:rsid w:val="00623E9B"/>
    <w:rsid w:val="00624637"/>
    <w:rsid w:val="00624AE5"/>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2A1"/>
    <w:rsid w:val="0063347C"/>
    <w:rsid w:val="00633EBE"/>
    <w:rsid w:val="00633F25"/>
    <w:rsid w:val="00633FB9"/>
    <w:rsid w:val="0063405D"/>
    <w:rsid w:val="00635774"/>
    <w:rsid w:val="006357A7"/>
    <w:rsid w:val="00635BF9"/>
    <w:rsid w:val="0063601D"/>
    <w:rsid w:val="006362EE"/>
    <w:rsid w:val="00636372"/>
    <w:rsid w:val="00636650"/>
    <w:rsid w:val="00636A8E"/>
    <w:rsid w:val="006376CD"/>
    <w:rsid w:val="0063791D"/>
    <w:rsid w:val="00637968"/>
    <w:rsid w:val="00640635"/>
    <w:rsid w:val="0064067E"/>
    <w:rsid w:val="00640DB0"/>
    <w:rsid w:val="00640DE5"/>
    <w:rsid w:val="00641620"/>
    <w:rsid w:val="006417BE"/>
    <w:rsid w:val="0064181F"/>
    <w:rsid w:val="0064186E"/>
    <w:rsid w:val="00641876"/>
    <w:rsid w:val="006419CF"/>
    <w:rsid w:val="00641C8C"/>
    <w:rsid w:val="00641F08"/>
    <w:rsid w:val="006421FB"/>
    <w:rsid w:val="006426CA"/>
    <w:rsid w:val="006427AA"/>
    <w:rsid w:val="00642845"/>
    <w:rsid w:val="00642B18"/>
    <w:rsid w:val="00642D78"/>
    <w:rsid w:val="0064322E"/>
    <w:rsid w:val="006438B0"/>
    <w:rsid w:val="00643F43"/>
    <w:rsid w:val="006445BC"/>
    <w:rsid w:val="006448A6"/>
    <w:rsid w:val="00644B78"/>
    <w:rsid w:val="00644C31"/>
    <w:rsid w:val="00644D0B"/>
    <w:rsid w:val="00645739"/>
    <w:rsid w:val="00646C8B"/>
    <w:rsid w:val="00647605"/>
    <w:rsid w:val="00650140"/>
    <w:rsid w:val="00650383"/>
    <w:rsid w:val="006507CC"/>
    <w:rsid w:val="00650965"/>
    <w:rsid w:val="00650A67"/>
    <w:rsid w:val="00650AAB"/>
    <w:rsid w:val="0065103A"/>
    <w:rsid w:val="00651196"/>
    <w:rsid w:val="00651328"/>
    <w:rsid w:val="0065155B"/>
    <w:rsid w:val="0065173E"/>
    <w:rsid w:val="0065190B"/>
    <w:rsid w:val="006519DF"/>
    <w:rsid w:val="006520CB"/>
    <w:rsid w:val="00652187"/>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2C3F"/>
    <w:rsid w:val="00663C04"/>
    <w:rsid w:val="0066463D"/>
    <w:rsid w:val="0066467A"/>
    <w:rsid w:val="00664AC9"/>
    <w:rsid w:val="00664BDE"/>
    <w:rsid w:val="00664D37"/>
    <w:rsid w:val="00664DEB"/>
    <w:rsid w:val="0066500F"/>
    <w:rsid w:val="00665170"/>
    <w:rsid w:val="006655D7"/>
    <w:rsid w:val="006656FE"/>
    <w:rsid w:val="00665E1F"/>
    <w:rsid w:val="00666C88"/>
    <w:rsid w:val="00667216"/>
    <w:rsid w:val="0066736F"/>
    <w:rsid w:val="00667AE4"/>
    <w:rsid w:val="00667C13"/>
    <w:rsid w:val="00667F8A"/>
    <w:rsid w:val="006703B4"/>
    <w:rsid w:val="006704A0"/>
    <w:rsid w:val="00670B08"/>
    <w:rsid w:val="00670E4D"/>
    <w:rsid w:val="006711FB"/>
    <w:rsid w:val="0067165A"/>
    <w:rsid w:val="00671DA6"/>
    <w:rsid w:val="006720B7"/>
    <w:rsid w:val="00672609"/>
    <w:rsid w:val="00672FF5"/>
    <w:rsid w:val="006734AC"/>
    <w:rsid w:val="00673C61"/>
    <w:rsid w:val="00673C7E"/>
    <w:rsid w:val="00674697"/>
    <w:rsid w:val="0067487C"/>
    <w:rsid w:val="00674984"/>
    <w:rsid w:val="00674C50"/>
    <w:rsid w:val="00675035"/>
    <w:rsid w:val="0067530C"/>
    <w:rsid w:val="006753DF"/>
    <w:rsid w:val="006758EA"/>
    <w:rsid w:val="00676076"/>
    <w:rsid w:val="006762D4"/>
    <w:rsid w:val="00676716"/>
    <w:rsid w:val="006767D9"/>
    <w:rsid w:val="00676809"/>
    <w:rsid w:val="00676F65"/>
    <w:rsid w:val="006770C5"/>
    <w:rsid w:val="006770E7"/>
    <w:rsid w:val="00677510"/>
    <w:rsid w:val="00677BEF"/>
    <w:rsid w:val="00677D18"/>
    <w:rsid w:val="00680F67"/>
    <w:rsid w:val="0068158A"/>
    <w:rsid w:val="006817AB"/>
    <w:rsid w:val="00682383"/>
    <w:rsid w:val="006826CC"/>
    <w:rsid w:val="00682D30"/>
    <w:rsid w:val="00682DE5"/>
    <w:rsid w:val="0068426E"/>
    <w:rsid w:val="006848CC"/>
    <w:rsid w:val="00684D91"/>
    <w:rsid w:val="006853BD"/>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342B"/>
    <w:rsid w:val="00694192"/>
    <w:rsid w:val="00694247"/>
    <w:rsid w:val="006944E6"/>
    <w:rsid w:val="006944E7"/>
    <w:rsid w:val="0069463E"/>
    <w:rsid w:val="006953F8"/>
    <w:rsid w:val="0069541C"/>
    <w:rsid w:val="00696578"/>
    <w:rsid w:val="00696BD8"/>
    <w:rsid w:val="00696DE5"/>
    <w:rsid w:val="00696E78"/>
    <w:rsid w:val="00696F00"/>
    <w:rsid w:val="00696FD2"/>
    <w:rsid w:val="0069711D"/>
    <w:rsid w:val="006975B9"/>
    <w:rsid w:val="0069768B"/>
    <w:rsid w:val="006977D2"/>
    <w:rsid w:val="006977D9"/>
    <w:rsid w:val="0069785F"/>
    <w:rsid w:val="00697EE3"/>
    <w:rsid w:val="006A0729"/>
    <w:rsid w:val="006A09BC"/>
    <w:rsid w:val="006A0CF1"/>
    <w:rsid w:val="006A1069"/>
    <w:rsid w:val="006A144D"/>
    <w:rsid w:val="006A1802"/>
    <w:rsid w:val="006A2576"/>
    <w:rsid w:val="006A26D7"/>
    <w:rsid w:val="006A29CA"/>
    <w:rsid w:val="006A29F3"/>
    <w:rsid w:val="006A2BDE"/>
    <w:rsid w:val="006A4794"/>
    <w:rsid w:val="006A4809"/>
    <w:rsid w:val="006A4C3B"/>
    <w:rsid w:val="006A4D40"/>
    <w:rsid w:val="006A648B"/>
    <w:rsid w:val="006A6949"/>
    <w:rsid w:val="006A6CDA"/>
    <w:rsid w:val="006A7017"/>
    <w:rsid w:val="006A7136"/>
    <w:rsid w:val="006A72A7"/>
    <w:rsid w:val="006B04C5"/>
    <w:rsid w:val="006B0A2A"/>
    <w:rsid w:val="006B0BF0"/>
    <w:rsid w:val="006B11F1"/>
    <w:rsid w:val="006B1898"/>
    <w:rsid w:val="006B1EAB"/>
    <w:rsid w:val="006B22DD"/>
    <w:rsid w:val="006B247E"/>
    <w:rsid w:val="006B2833"/>
    <w:rsid w:val="006B297F"/>
    <w:rsid w:val="006B2E4A"/>
    <w:rsid w:val="006B3E7E"/>
    <w:rsid w:val="006B3F4C"/>
    <w:rsid w:val="006B423B"/>
    <w:rsid w:val="006B44B9"/>
    <w:rsid w:val="006B44EB"/>
    <w:rsid w:val="006B44FD"/>
    <w:rsid w:val="006B4D20"/>
    <w:rsid w:val="006B4E65"/>
    <w:rsid w:val="006B64D0"/>
    <w:rsid w:val="006B6853"/>
    <w:rsid w:val="006B6FEA"/>
    <w:rsid w:val="006B74FC"/>
    <w:rsid w:val="006B772F"/>
    <w:rsid w:val="006B7C0A"/>
    <w:rsid w:val="006B7D8C"/>
    <w:rsid w:val="006B7D97"/>
    <w:rsid w:val="006B7FBE"/>
    <w:rsid w:val="006C0010"/>
    <w:rsid w:val="006C01EB"/>
    <w:rsid w:val="006C0680"/>
    <w:rsid w:val="006C0EDA"/>
    <w:rsid w:val="006C0F8D"/>
    <w:rsid w:val="006C1096"/>
    <w:rsid w:val="006C10A6"/>
    <w:rsid w:val="006C12A4"/>
    <w:rsid w:val="006C1556"/>
    <w:rsid w:val="006C1C1A"/>
    <w:rsid w:val="006C1FC9"/>
    <w:rsid w:val="006C29E3"/>
    <w:rsid w:val="006C2ED4"/>
    <w:rsid w:val="006C3031"/>
    <w:rsid w:val="006C3C83"/>
    <w:rsid w:val="006C3D47"/>
    <w:rsid w:val="006C3DFF"/>
    <w:rsid w:val="006C3E63"/>
    <w:rsid w:val="006C44AD"/>
    <w:rsid w:val="006C455E"/>
    <w:rsid w:val="006C46E6"/>
    <w:rsid w:val="006C4886"/>
    <w:rsid w:val="006C492D"/>
    <w:rsid w:val="006C59C5"/>
    <w:rsid w:val="006C5DBE"/>
    <w:rsid w:val="006C5FD1"/>
    <w:rsid w:val="006C61B6"/>
    <w:rsid w:val="006C63C9"/>
    <w:rsid w:val="006C7064"/>
    <w:rsid w:val="006C7845"/>
    <w:rsid w:val="006C78BE"/>
    <w:rsid w:val="006C7ECD"/>
    <w:rsid w:val="006C7F26"/>
    <w:rsid w:val="006D0061"/>
    <w:rsid w:val="006D0697"/>
    <w:rsid w:val="006D0C77"/>
    <w:rsid w:val="006D1124"/>
    <w:rsid w:val="006D1237"/>
    <w:rsid w:val="006D1520"/>
    <w:rsid w:val="006D1629"/>
    <w:rsid w:val="006D1747"/>
    <w:rsid w:val="006D1B2A"/>
    <w:rsid w:val="006D1B8A"/>
    <w:rsid w:val="006D20C2"/>
    <w:rsid w:val="006D235E"/>
    <w:rsid w:val="006D24D4"/>
    <w:rsid w:val="006D26A4"/>
    <w:rsid w:val="006D2858"/>
    <w:rsid w:val="006D2B74"/>
    <w:rsid w:val="006D2C59"/>
    <w:rsid w:val="006D323D"/>
    <w:rsid w:val="006D36D2"/>
    <w:rsid w:val="006D3AAC"/>
    <w:rsid w:val="006D3E5B"/>
    <w:rsid w:val="006D3F72"/>
    <w:rsid w:val="006D4687"/>
    <w:rsid w:val="006D494A"/>
    <w:rsid w:val="006D5E04"/>
    <w:rsid w:val="006D5E0E"/>
    <w:rsid w:val="006D5E33"/>
    <w:rsid w:val="006D5E90"/>
    <w:rsid w:val="006D5FC8"/>
    <w:rsid w:val="006D6099"/>
    <w:rsid w:val="006D63B3"/>
    <w:rsid w:val="006D6E91"/>
    <w:rsid w:val="006D75D8"/>
    <w:rsid w:val="006D7C64"/>
    <w:rsid w:val="006E0292"/>
    <w:rsid w:val="006E038A"/>
    <w:rsid w:val="006E0C74"/>
    <w:rsid w:val="006E0DFB"/>
    <w:rsid w:val="006E140D"/>
    <w:rsid w:val="006E1426"/>
    <w:rsid w:val="006E15AD"/>
    <w:rsid w:val="006E1992"/>
    <w:rsid w:val="006E1E44"/>
    <w:rsid w:val="006E21B8"/>
    <w:rsid w:val="006E2475"/>
    <w:rsid w:val="006E274C"/>
    <w:rsid w:val="006E29A8"/>
    <w:rsid w:val="006E2AAD"/>
    <w:rsid w:val="006E2CF0"/>
    <w:rsid w:val="006E2DCB"/>
    <w:rsid w:val="006E2F4C"/>
    <w:rsid w:val="006E3339"/>
    <w:rsid w:val="006E3C94"/>
    <w:rsid w:val="006E3D19"/>
    <w:rsid w:val="006E4371"/>
    <w:rsid w:val="006E4444"/>
    <w:rsid w:val="006E4563"/>
    <w:rsid w:val="006E4A43"/>
    <w:rsid w:val="006E4D06"/>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8A1"/>
    <w:rsid w:val="006F1B4D"/>
    <w:rsid w:val="006F1F36"/>
    <w:rsid w:val="006F2E1B"/>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0F4"/>
    <w:rsid w:val="006F71CA"/>
    <w:rsid w:val="006F78A5"/>
    <w:rsid w:val="006F7B6D"/>
    <w:rsid w:val="006F7CA8"/>
    <w:rsid w:val="006F7F3A"/>
    <w:rsid w:val="0070040A"/>
    <w:rsid w:val="00700E79"/>
    <w:rsid w:val="0070169A"/>
    <w:rsid w:val="00701CBE"/>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41E"/>
    <w:rsid w:val="00706CB1"/>
    <w:rsid w:val="007070B2"/>
    <w:rsid w:val="00707427"/>
    <w:rsid w:val="007078D0"/>
    <w:rsid w:val="007078EA"/>
    <w:rsid w:val="00707C49"/>
    <w:rsid w:val="0071059F"/>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9E9"/>
    <w:rsid w:val="00713FBC"/>
    <w:rsid w:val="00714C73"/>
    <w:rsid w:val="0071533A"/>
    <w:rsid w:val="00715519"/>
    <w:rsid w:val="00715AA9"/>
    <w:rsid w:val="00715BAF"/>
    <w:rsid w:val="00715D91"/>
    <w:rsid w:val="00715E86"/>
    <w:rsid w:val="00715FA9"/>
    <w:rsid w:val="007160C4"/>
    <w:rsid w:val="0071646A"/>
    <w:rsid w:val="007164BA"/>
    <w:rsid w:val="00716975"/>
    <w:rsid w:val="00716F0A"/>
    <w:rsid w:val="007177DA"/>
    <w:rsid w:val="007178B2"/>
    <w:rsid w:val="00720086"/>
    <w:rsid w:val="007201E0"/>
    <w:rsid w:val="0072055A"/>
    <w:rsid w:val="00720C1F"/>
    <w:rsid w:val="00720E4D"/>
    <w:rsid w:val="00721073"/>
    <w:rsid w:val="007211AA"/>
    <w:rsid w:val="007214FF"/>
    <w:rsid w:val="00722089"/>
    <w:rsid w:val="0072219A"/>
    <w:rsid w:val="00722351"/>
    <w:rsid w:val="00722D86"/>
    <w:rsid w:val="0072316B"/>
    <w:rsid w:val="0072329A"/>
    <w:rsid w:val="007239A3"/>
    <w:rsid w:val="00723A88"/>
    <w:rsid w:val="00723B4D"/>
    <w:rsid w:val="00723CC9"/>
    <w:rsid w:val="007240BC"/>
    <w:rsid w:val="007241B1"/>
    <w:rsid w:val="00724A4E"/>
    <w:rsid w:val="00724D69"/>
    <w:rsid w:val="00724E0D"/>
    <w:rsid w:val="0072581C"/>
    <w:rsid w:val="0072610B"/>
    <w:rsid w:val="007261E1"/>
    <w:rsid w:val="00726E9A"/>
    <w:rsid w:val="00727933"/>
    <w:rsid w:val="00727AB7"/>
    <w:rsid w:val="00727BCB"/>
    <w:rsid w:val="00727F44"/>
    <w:rsid w:val="007306A9"/>
    <w:rsid w:val="00730837"/>
    <w:rsid w:val="00730901"/>
    <w:rsid w:val="00730DF9"/>
    <w:rsid w:val="007310B1"/>
    <w:rsid w:val="0073137E"/>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33D"/>
    <w:rsid w:val="0073646B"/>
    <w:rsid w:val="00736726"/>
    <w:rsid w:val="00737455"/>
    <w:rsid w:val="0073766A"/>
    <w:rsid w:val="00737964"/>
    <w:rsid w:val="00737B49"/>
    <w:rsid w:val="00737BEC"/>
    <w:rsid w:val="00740362"/>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2EF"/>
    <w:rsid w:val="00745578"/>
    <w:rsid w:val="0074579F"/>
    <w:rsid w:val="00745C49"/>
    <w:rsid w:val="00745FA1"/>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55"/>
    <w:rsid w:val="00750F85"/>
    <w:rsid w:val="007512D7"/>
    <w:rsid w:val="00751324"/>
    <w:rsid w:val="00751A55"/>
    <w:rsid w:val="00751D8C"/>
    <w:rsid w:val="00751ED3"/>
    <w:rsid w:val="00751F3D"/>
    <w:rsid w:val="00751F3E"/>
    <w:rsid w:val="0075263F"/>
    <w:rsid w:val="007528D1"/>
    <w:rsid w:val="00752A58"/>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554"/>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C64"/>
    <w:rsid w:val="00764DF3"/>
    <w:rsid w:val="00764F58"/>
    <w:rsid w:val="00764FC9"/>
    <w:rsid w:val="007651ED"/>
    <w:rsid w:val="00765C5C"/>
    <w:rsid w:val="00765CDE"/>
    <w:rsid w:val="00765DB8"/>
    <w:rsid w:val="00766271"/>
    <w:rsid w:val="0076627A"/>
    <w:rsid w:val="00766478"/>
    <w:rsid w:val="007665D9"/>
    <w:rsid w:val="00766ECE"/>
    <w:rsid w:val="00766FF2"/>
    <w:rsid w:val="00767155"/>
    <w:rsid w:val="00767171"/>
    <w:rsid w:val="00770B0E"/>
    <w:rsid w:val="0077118A"/>
    <w:rsid w:val="007711C3"/>
    <w:rsid w:val="007712EA"/>
    <w:rsid w:val="007719C8"/>
    <w:rsid w:val="00771D70"/>
    <w:rsid w:val="00771F81"/>
    <w:rsid w:val="00772192"/>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5409"/>
    <w:rsid w:val="00776134"/>
    <w:rsid w:val="00776542"/>
    <w:rsid w:val="00776752"/>
    <w:rsid w:val="00776768"/>
    <w:rsid w:val="0077677B"/>
    <w:rsid w:val="0077680F"/>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0E2"/>
    <w:rsid w:val="0078625E"/>
    <w:rsid w:val="007864C4"/>
    <w:rsid w:val="00786A02"/>
    <w:rsid w:val="00787462"/>
    <w:rsid w:val="00787614"/>
    <w:rsid w:val="00787756"/>
    <w:rsid w:val="0078783D"/>
    <w:rsid w:val="00787C19"/>
    <w:rsid w:val="00787E27"/>
    <w:rsid w:val="00790348"/>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2BE"/>
    <w:rsid w:val="00795366"/>
    <w:rsid w:val="0079572E"/>
    <w:rsid w:val="007958FA"/>
    <w:rsid w:val="00796027"/>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2BF"/>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2D1"/>
    <w:rsid w:val="007B082A"/>
    <w:rsid w:val="007B0833"/>
    <w:rsid w:val="007B1076"/>
    <w:rsid w:val="007B10BF"/>
    <w:rsid w:val="007B1789"/>
    <w:rsid w:val="007B1840"/>
    <w:rsid w:val="007B1A08"/>
    <w:rsid w:val="007B1D07"/>
    <w:rsid w:val="007B268E"/>
    <w:rsid w:val="007B2720"/>
    <w:rsid w:val="007B2CB7"/>
    <w:rsid w:val="007B30E4"/>
    <w:rsid w:val="007B339D"/>
    <w:rsid w:val="007B358C"/>
    <w:rsid w:val="007B3793"/>
    <w:rsid w:val="007B3BBC"/>
    <w:rsid w:val="007B3F67"/>
    <w:rsid w:val="007B4D12"/>
    <w:rsid w:val="007B55D2"/>
    <w:rsid w:val="007B5870"/>
    <w:rsid w:val="007B5B56"/>
    <w:rsid w:val="007B6067"/>
    <w:rsid w:val="007B643A"/>
    <w:rsid w:val="007B659E"/>
    <w:rsid w:val="007B667D"/>
    <w:rsid w:val="007B66AC"/>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CF3"/>
    <w:rsid w:val="007C0F67"/>
    <w:rsid w:val="007C1323"/>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0B34"/>
    <w:rsid w:val="007D1025"/>
    <w:rsid w:val="007D1CA6"/>
    <w:rsid w:val="007D1CF5"/>
    <w:rsid w:val="007D2F16"/>
    <w:rsid w:val="007D350C"/>
    <w:rsid w:val="007D357B"/>
    <w:rsid w:val="007D3596"/>
    <w:rsid w:val="007D4816"/>
    <w:rsid w:val="007D4F3F"/>
    <w:rsid w:val="007D4FB2"/>
    <w:rsid w:val="007D5166"/>
    <w:rsid w:val="007D52BE"/>
    <w:rsid w:val="007D5343"/>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978"/>
    <w:rsid w:val="007E4A58"/>
    <w:rsid w:val="007E4C42"/>
    <w:rsid w:val="007E4D69"/>
    <w:rsid w:val="007E55E3"/>
    <w:rsid w:val="007E6068"/>
    <w:rsid w:val="007E66A8"/>
    <w:rsid w:val="007E688F"/>
    <w:rsid w:val="007E6C35"/>
    <w:rsid w:val="007E71FD"/>
    <w:rsid w:val="007E7F1F"/>
    <w:rsid w:val="007E7F95"/>
    <w:rsid w:val="007F0351"/>
    <w:rsid w:val="007F087E"/>
    <w:rsid w:val="007F0D5A"/>
    <w:rsid w:val="007F0FCD"/>
    <w:rsid w:val="007F14AC"/>
    <w:rsid w:val="007F14AD"/>
    <w:rsid w:val="007F1985"/>
    <w:rsid w:val="007F212F"/>
    <w:rsid w:val="007F2ED6"/>
    <w:rsid w:val="007F3058"/>
    <w:rsid w:val="007F311B"/>
    <w:rsid w:val="007F3134"/>
    <w:rsid w:val="007F3163"/>
    <w:rsid w:val="007F3234"/>
    <w:rsid w:val="007F3537"/>
    <w:rsid w:val="007F3C1E"/>
    <w:rsid w:val="007F4147"/>
    <w:rsid w:val="007F4230"/>
    <w:rsid w:val="007F5480"/>
    <w:rsid w:val="007F5841"/>
    <w:rsid w:val="007F5C34"/>
    <w:rsid w:val="007F5D34"/>
    <w:rsid w:val="007F6D13"/>
    <w:rsid w:val="007F7CA4"/>
    <w:rsid w:val="00800B88"/>
    <w:rsid w:val="00800E30"/>
    <w:rsid w:val="008015F8"/>
    <w:rsid w:val="008017E8"/>
    <w:rsid w:val="008024B7"/>
    <w:rsid w:val="00802864"/>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2AD"/>
    <w:rsid w:val="0080761B"/>
    <w:rsid w:val="008076A7"/>
    <w:rsid w:val="00807720"/>
    <w:rsid w:val="00807B2B"/>
    <w:rsid w:val="00807B6C"/>
    <w:rsid w:val="00807E53"/>
    <w:rsid w:val="00810067"/>
    <w:rsid w:val="008101E6"/>
    <w:rsid w:val="0081050E"/>
    <w:rsid w:val="00811541"/>
    <w:rsid w:val="008116D5"/>
    <w:rsid w:val="008120BF"/>
    <w:rsid w:val="00812229"/>
    <w:rsid w:val="00812378"/>
    <w:rsid w:val="00812422"/>
    <w:rsid w:val="00812654"/>
    <w:rsid w:val="00812C7B"/>
    <w:rsid w:val="00813258"/>
    <w:rsid w:val="00813512"/>
    <w:rsid w:val="00813E7C"/>
    <w:rsid w:val="00813EC5"/>
    <w:rsid w:val="00814103"/>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2C5"/>
    <w:rsid w:val="0082053A"/>
    <w:rsid w:val="0082057E"/>
    <w:rsid w:val="00820A62"/>
    <w:rsid w:val="00820BE1"/>
    <w:rsid w:val="0082128F"/>
    <w:rsid w:val="0082133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DD7"/>
    <w:rsid w:val="00834E84"/>
    <w:rsid w:val="00835048"/>
    <w:rsid w:val="008355B3"/>
    <w:rsid w:val="00835612"/>
    <w:rsid w:val="00836407"/>
    <w:rsid w:val="008371B9"/>
    <w:rsid w:val="008374FB"/>
    <w:rsid w:val="00837545"/>
    <w:rsid w:val="00837F7D"/>
    <w:rsid w:val="0084001D"/>
    <w:rsid w:val="0084078A"/>
    <w:rsid w:val="00840940"/>
    <w:rsid w:val="00840EEF"/>
    <w:rsid w:val="0084131F"/>
    <w:rsid w:val="0084146F"/>
    <w:rsid w:val="00841505"/>
    <w:rsid w:val="008416FE"/>
    <w:rsid w:val="00841AE9"/>
    <w:rsid w:val="00841BF3"/>
    <w:rsid w:val="00841CEB"/>
    <w:rsid w:val="00841EE9"/>
    <w:rsid w:val="00842A91"/>
    <w:rsid w:val="0084316C"/>
    <w:rsid w:val="008432F7"/>
    <w:rsid w:val="00843BC2"/>
    <w:rsid w:val="00843D54"/>
    <w:rsid w:val="00844586"/>
    <w:rsid w:val="00844975"/>
    <w:rsid w:val="00844A42"/>
    <w:rsid w:val="00844B2F"/>
    <w:rsid w:val="00844BC8"/>
    <w:rsid w:val="0084503F"/>
    <w:rsid w:val="00845559"/>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09B3"/>
    <w:rsid w:val="0086112E"/>
    <w:rsid w:val="008611AA"/>
    <w:rsid w:val="008612D8"/>
    <w:rsid w:val="00861DA7"/>
    <w:rsid w:val="00861F88"/>
    <w:rsid w:val="008623D7"/>
    <w:rsid w:val="00862436"/>
    <w:rsid w:val="00862555"/>
    <w:rsid w:val="0086255B"/>
    <w:rsid w:val="008625E8"/>
    <w:rsid w:val="00862804"/>
    <w:rsid w:val="00862C9B"/>
    <w:rsid w:val="008631A3"/>
    <w:rsid w:val="0086364E"/>
    <w:rsid w:val="0086403D"/>
    <w:rsid w:val="008646D8"/>
    <w:rsid w:val="008647F6"/>
    <w:rsid w:val="0086480D"/>
    <w:rsid w:val="008653C9"/>
    <w:rsid w:val="008653D7"/>
    <w:rsid w:val="00865513"/>
    <w:rsid w:val="0086583D"/>
    <w:rsid w:val="00865997"/>
    <w:rsid w:val="00865AFB"/>
    <w:rsid w:val="00866061"/>
    <w:rsid w:val="0086625E"/>
    <w:rsid w:val="008662C6"/>
    <w:rsid w:val="008662DB"/>
    <w:rsid w:val="00866555"/>
    <w:rsid w:val="00866596"/>
    <w:rsid w:val="00866860"/>
    <w:rsid w:val="008669E3"/>
    <w:rsid w:val="00866B76"/>
    <w:rsid w:val="0087087A"/>
    <w:rsid w:val="0087089E"/>
    <w:rsid w:val="008713AC"/>
    <w:rsid w:val="0087144D"/>
    <w:rsid w:val="008714D9"/>
    <w:rsid w:val="00871867"/>
    <w:rsid w:val="0087192A"/>
    <w:rsid w:val="00871E43"/>
    <w:rsid w:val="008721DC"/>
    <w:rsid w:val="008722D9"/>
    <w:rsid w:val="0087242D"/>
    <w:rsid w:val="008724BA"/>
    <w:rsid w:val="00872AEA"/>
    <w:rsid w:val="00872AED"/>
    <w:rsid w:val="00872C99"/>
    <w:rsid w:val="008730B0"/>
    <w:rsid w:val="00873101"/>
    <w:rsid w:val="008733A0"/>
    <w:rsid w:val="008734AF"/>
    <w:rsid w:val="00873B5C"/>
    <w:rsid w:val="00874461"/>
    <w:rsid w:val="008745C7"/>
    <w:rsid w:val="0087490B"/>
    <w:rsid w:val="00874FD9"/>
    <w:rsid w:val="008751A7"/>
    <w:rsid w:val="008751BC"/>
    <w:rsid w:val="00875992"/>
    <w:rsid w:val="00875A4D"/>
    <w:rsid w:val="00875CFA"/>
    <w:rsid w:val="00875F4E"/>
    <w:rsid w:val="00876C99"/>
    <w:rsid w:val="00876F90"/>
    <w:rsid w:val="008772AD"/>
    <w:rsid w:val="008773B8"/>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428"/>
    <w:rsid w:val="00886AA1"/>
    <w:rsid w:val="00887183"/>
    <w:rsid w:val="00887ACA"/>
    <w:rsid w:val="00887B1A"/>
    <w:rsid w:val="00887CCE"/>
    <w:rsid w:val="00887DE5"/>
    <w:rsid w:val="00887FAE"/>
    <w:rsid w:val="00890327"/>
    <w:rsid w:val="00890514"/>
    <w:rsid w:val="00890786"/>
    <w:rsid w:val="008908A0"/>
    <w:rsid w:val="0089098E"/>
    <w:rsid w:val="0089166D"/>
    <w:rsid w:val="008919D9"/>
    <w:rsid w:val="00891BAC"/>
    <w:rsid w:val="00892DFB"/>
    <w:rsid w:val="00892E2E"/>
    <w:rsid w:val="00892FB9"/>
    <w:rsid w:val="00893884"/>
    <w:rsid w:val="00893A9E"/>
    <w:rsid w:val="00893C6C"/>
    <w:rsid w:val="00893C80"/>
    <w:rsid w:val="00893E6F"/>
    <w:rsid w:val="0089418C"/>
    <w:rsid w:val="00894903"/>
    <w:rsid w:val="00894B1D"/>
    <w:rsid w:val="00894BCC"/>
    <w:rsid w:val="00895720"/>
    <w:rsid w:val="008964F3"/>
    <w:rsid w:val="00896642"/>
    <w:rsid w:val="00897035"/>
    <w:rsid w:val="00897A3C"/>
    <w:rsid w:val="00897B86"/>
    <w:rsid w:val="00897C7E"/>
    <w:rsid w:val="008A0148"/>
    <w:rsid w:val="008A014F"/>
    <w:rsid w:val="008A0601"/>
    <w:rsid w:val="008A0795"/>
    <w:rsid w:val="008A087E"/>
    <w:rsid w:val="008A089B"/>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3D42"/>
    <w:rsid w:val="008A4348"/>
    <w:rsid w:val="008A4843"/>
    <w:rsid w:val="008A4C7A"/>
    <w:rsid w:val="008A4D55"/>
    <w:rsid w:val="008A55DD"/>
    <w:rsid w:val="008A5947"/>
    <w:rsid w:val="008A5AC8"/>
    <w:rsid w:val="008A5B52"/>
    <w:rsid w:val="008A5B90"/>
    <w:rsid w:val="008A63FD"/>
    <w:rsid w:val="008A6458"/>
    <w:rsid w:val="008A657C"/>
    <w:rsid w:val="008A6752"/>
    <w:rsid w:val="008A679B"/>
    <w:rsid w:val="008A6C85"/>
    <w:rsid w:val="008A6E97"/>
    <w:rsid w:val="008A7532"/>
    <w:rsid w:val="008A7561"/>
    <w:rsid w:val="008A7A22"/>
    <w:rsid w:val="008B00F1"/>
    <w:rsid w:val="008B01F0"/>
    <w:rsid w:val="008B020D"/>
    <w:rsid w:val="008B0289"/>
    <w:rsid w:val="008B04BB"/>
    <w:rsid w:val="008B05DC"/>
    <w:rsid w:val="008B07BB"/>
    <w:rsid w:val="008B07CF"/>
    <w:rsid w:val="008B0B37"/>
    <w:rsid w:val="008B0DC8"/>
    <w:rsid w:val="008B0E18"/>
    <w:rsid w:val="008B121E"/>
    <w:rsid w:val="008B122E"/>
    <w:rsid w:val="008B15BA"/>
    <w:rsid w:val="008B1601"/>
    <w:rsid w:val="008B164D"/>
    <w:rsid w:val="008B18A3"/>
    <w:rsid w:val="008B223F"/>
    <w:rsid w:val="008B2271"/>
    <w:rsid w:val="008B2850"/>
    <w:rsid w:val="008B28AC"/>
    <w:rsid w:val="008B2D4D"/>
    <w:rsid w:val="008B2FD0"/>
    <w:rsid w:val="008B32EF"/>
    <w:rsid w:val="008B346D"/>
    <w:rsid w:val="008B34F2"/>
    <w:rsid w:val="008B37A2"/>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1B82"/>
    <w:rsid w:val="008C2E16"/>
    <w:rsid w:val="008C2FD3"/>
    <w:rsid w:val="008C37F0"/>
    <w:rsid w:val="008C3D72"/>
    <w:rsid w:val="008C4EEC"/>
    <w:rsid w:val="008C556C"/>
    <w:rsid w:val="008C56E1"/>
    <w:rsid w:val="008C570F"/>
    <w:rsid w:val="008C5E2F"/>
    <w:rsid w:val="008C65F9"/>
    <w:rsid w:val="008C68CA"/>
    <w:rsid w:val="008C6D2B"/>
    <w:rsid w:val="008C6E48"/>
    <w:rsid w:val="008C6FE9"/>
    <w:rsid w:val="008C70F6"/>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476"/>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592"/>
    <w:rsid w:val="008E372F"/>
    <w:rsid w:val="008E3815"/>
    <w:rsid w:val="008E3F3E"/>
    <w:rsid w:val="008E3F73"/>
    <w:rsid w:val="008E49C2"/>
    <w:rsid w:val="008E4A6E"/>
    <w:rsid w:val="008E4BBE"/>
    <w:rsid w:val="008E4BFE"/>
    <w:rsid w:val="008E4F26"/>
    <w:rsid w:val="008E503C"/>
    <w:rsid w:val="008E544D"/>
    <w:rsid w:val="008E5502"/>
    <w:rsid w:val="008E5DFF"/>
    <w:rsid w:val="008E5F7B"/>
    <w:rsid w:val="008E70B9"/>
    <w:rsid w:val="008E7687"/>
    <w:rsid w:val="008E7AD6"/>
    <w:rsid w:val="008E7DA2"/>
    <w:rsid w:val="008F00AF"/>
    <w:rsid w:val="008F03E3"/>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8B1"/>
    <w:rsid w:val="008F59F1"/>
    <w:rsid w:val="008F5ACD"/>
    <w:rsid w:val="008F5F0D"/>
    <w:rsid w:val="008F6014"/>
    <w:rsid w:val="008F6262"/>
    <w:rsid w:val="008F6371"/>
    <w:rsid w:val="008F6D9B"/>
    <w:rsid w:val="008F78DB"/>
    <w:rsid w:val="008F7A6B"/>
    <w:rsid w:val="008F7B5F"/>
    <w:rsid w:val="008F7BCD"/>
    <w:rsid w:val="008F7F33"/>
    <w:rsid w:val="009000DA"/>
    <w:rsid w:val="00900EB8"/>
    <w:rsid w:val="0090104F"/>
    <w:rsid w:val="00901142"/>
    <w:rsid w:val="009011D8"/>
    <w:rsid w:val="00901393"/>
    <w:rsid w:val="00901958"/>
    <w:rsid w:val="00901AE2"/>
    <w:rsid w:val="00901D29"/>
    <w:rsid w:val="00901E18"/>
    <w:rsid w:val="00902046"/>
    <w:rsid w:val="00902116"/>
    <w:rsid w:val="0090248A"/>
    <w:rsid w:val="00902CDB"/>
    <w:rsid w:val="00902EE8"/>
    <w:rsid w:val="00902F84"/>
    <w:rsid w:val="00903819"/>
    <w:rsid w:val="009038A2"/>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0F8"/>
    <w:rsid w:val="009062D3"/>
    <w:rsid w:val="009067F7"/>
    <w:rsid w:val="0090683E"/>
    <w:rsid w:val="00906A56"/>
    <w:rsid w:val="009074F0"/>
    <w:rsid w:val="00907ADE"/>
    <w:rsid w:val="00907FEE"/>
    <w:rsid w:val="009102A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1D1"/>
    <w:rsid w:val="009166CB"/>
    <w:rsid w:val="00916D1A"/>
    <w:rsid w:val="00916FB6"/>
    <w:rsid w:val="0091705E"/>
    <w:rsid w:val="009170D4"/>
    <w:rsid w:val="00917400"/>
    <w:rsid w:val="009177AD"/>
    <w:rsid w:val="00917999"/>
    <w:rsid w:val="00917AB2"/>
    <w:rsid w:val="00917AC5"/>
    <w:rsid w:val="009202C7"/>
    <w:rsid w:val="00920C13"/>
    <w:rsid w:val="0092104A"/>
    <w:rsid w:val="009212CD"/>
    <w:rsid w:val="00921DAD"/>
    <w:rsid w:val="00921FE8"/>
    <w:rsid w:val="00922005"/>
    <w:rsid w:val="009220DB"/>
    <w:rsid w:val="0092243E"/>
    <w:rsid w:val="009225C9"/>
    <w:rsid w:val="00922622"/>
    <w:rsid w:val="00922A23"/>
    <w:rsid w:val="00922B7C"/>
    <w:rsid w:val="00922F25"/>
    <w:rsid w:val="0092300D"/>
    <w:rsid w:val="0092385C"/>
    <w:rsid w:val="00923D28"/>
    <w:rsid w:val="00923FAE"/>
    <w:rsid w:val="009241B5"/>
    <w:rsid w:val="00924260"/>
    <w:rsid w:val="00924502"/>
    <w:rsid w:val="009245D3"/>
    <w:rsid w:val="009255CE"/>
    <w:rsid w:val="009260CA"/>
    <w:rsid w:val="00926653"/>
    <w:rsid w:val="009267A6"/>
    <w:rsid w:val="00927037"/>
    <w:rsid w:val="00927213"/>
    <w:rsid w:val="00927230"/>
    <w:rsid w:val="00927233"/>
    <w:rsid w:val="00927673"/>
    <w:rsid w:val="00927904"/>
    <w:rsid w:val="00930430"/>
    <w:rsid w:val="00930748"/>
    <w:rsid w:val="00930841"/>
    <w:rsid w:val="0093116D"/>
    <w:rsid w:val="00931E92"/>
    <w:rsid w:val="00931F1E"/>
    <w:rsid w:val="00932778"/>
    <w:rsid w:val="00933030"/>
    <w:rsid w:val="009330C1"/>
    <w:rsid w:val="0093348B"/>
    <w:rsid w:val="009335A6"/>
    <w:rsid w:val="00933CFF"/>
    <w:rsid w:val="00933E5D"/>
    <w:rsid w:val="00934914"/>
    <w:rsid w:val="00934A4C"/>
    <w:rsid w:val="00934D54"/>
    <w:rsid w:val="00935A1B"/>
    <w:rsid w:val="00935A1F"/>
    <w:rsid w:val="00935A38"/>
    <w:rsid w:val="00935B9F"/>
    <w:rsid w:val="00935E3D"/>
    <w:rsid w:val="0093616C"/>
    <w:rsid w:val="0093657E"/>
    <w:rsid w:val="0093696D"/>
    <w:rsid w:val="00937358"/>
    <w:rsid w:val="00937647"/>
    <w:rsid w:val="0093787B"/>
    <w:rsid w:val="00937CF4"/>
    <w:rsid w:val="00940406"/>
    <w:rsid w:val="00940631"/>
    <w:rsid w:val="00940788"/>
    <w:rsid w:val="00940881"/>
    <w:rsid w:val="00940FCA"/>
    <w:rsid w:val="00941216"/>
    <w:rsid w:val="009413BE"/>
    <w:rsid w:val="0094180C"/>
    <w:rsid w:val="00942091"/>
    <w:rsid w:val="00942356"/>
    <w:rsid w:val="009425EE"/>
    <w:rsid w:val="00942A4E"/>
    <w:rsid w:val="00943D6F"/>
    <w:rsid w:val="00943FC4"/>
    <w:rsid w:val="00944184"/>
    <w:rsid w:val="00944928"/>
    <w:rsid w:val="00944A9B"/>
    <w:rsid w:val="0094516F"/>
    <w:rsid w:val="009451DE"/>
    <w:rsid w:val="00945315"/>
    <w:rsid w:val="00945712"/>
    <w:rsid w:val="00945C61"/>
    <w:rsid w:val="00945FE7"/>
    <w:rsid w:val="00946009"/>
    <w:rsid w:val="00946506"/>
    <w:rsid w:val="00947C36"/>
    <w:rsid w:val="0095060C"/>
    <w:rsid w:val="009508DD"/>
    <w:rsid w:val="00950B8F"/>
    <w:rsid w:val="00950C74"/>
    <w:rsid w:val="00950E99"/>
    <w:rsid w:val="009511A9"/>
    <w:rsid w:val="009512A0"/>
    <w:rsid w:val="0095161C"/>
    <w:rsid w:val="00951D00"/>
    <w:rsid w:val="00951E8F"/>
    <w:rsid w:val="00952926"/>
    <w:rsid w:val="00952D82"/>
    <w:rsid w:val="00952E84"/>
    <w:rsid w:val="00953036"/>
    <w:rsid w:val="00953268"/>
    <w:rsid w:val="00953460"/>
    <w:rsid w:val="00953D58"/>
    <w:rsid w:val="0095428E"/>
    <w:rsid w:val="00955079"/>
    <w:rsid w:val="00955458"/>
    <w:rsid w:val="00955481"/>
    <w:rsid w:val="009554C7"/>
    <w:rsid w:val="0095553C"/>
    <w:rsid w:val="009557EE"/>
    <w:rsid w:val="00955EC5"/>
    <w:rsid w:val="009560A6"/>
    <w:rsid w:val="009561DC"/>
    <w:rsid w:val="009564DE"/>
    <w:rsid w:val="009566DE"/>
    <w:rsid w:val="00956D19"/>
    <w:rsid w:val="00957756"/>
    <w:rsid w:val="0095778B"/>
    <w:rsid w:val="00957810"/>
    <w:rsid w:val="009612A1"/>
    <w:rsid w:val="009614DF"/>
    <w:rsid w:val="00961D41"/>
    <w:rsid w:val="009620DD"/>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195C"/>
    <w:rsid w:val="009720EB"/>
    <w:rsid w:val="00972224"/>
    <w:rsid w:val="00972721"/>
    <w:rsid w:val="009728BC"/>
    <w:rsid w:val="009730C2"/>
    <w:rsid w:val="0097316B"/>
    <w:rsid w:val="00973191"/>
    <w:rsid w:val="00973B64"/>
    <w:rsid w:val="00973C43"/>
    <w:rsid w:val="00973E85"/>
    <w:rsid w:val="00974157"/>
    <w:rsid w:val="00974928"/>
    <w:rsid w:val="00974A2A"/>
    <w:rsid w:val="00974B1F"/>
    <w:rsid w:val="009752C9"/>
    <w:rsid w:val="009752DB"/>
    <w:rsid w:val="0097605E"/>
    <w:rsid w:val="00976D96"/>
    <w:rsid w:val="009774F2"/>
    <w:rsid w:val="0097775B"/>
    <w:rsid w:val="00977B74"/>
    <w:rsid w:val="00977E36"/>
    <w:rsid w:val="00980042"/>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099"/>
    <w:rsid w:val="00985925"/>
    <w:rsid w:val="009863C6"/>
    <w:rsid w:val="009863FA"/>
    <w:rsid w:val="009865B4"/>
    <w:rsid w:val="00986BCE"/>
    <w:rsid w:val="00986C49"/>
    <w:rsid w:val="00986CD7"/>
    <w:rsid w:val="009875EC"/>
    <w:rsid w:val="009877FB"/>
    <w:rsid w:val="00987BCF"/>
    <w:rsid w:val="00990887"/>
    <w:rsid w:val="00991012"/>
    <w:rsid w:val="00991022"/>
    <w:rsid w:val="009913A2"/>
    <w:rsid w:val="00991597"/>
    <w:rsid w:val="00991B71"/>
    <w:rsid w:val="0099212F"/>
    <w:rsid w:val="00992AC4"/>
    <w:rsid w:val="00992ED0"/>
    <w:rsid w:val="00993355"/>
    <w:rsid w:val="0099370E"/>
    <w:rsid w:val="00993858"/>
    <w:rsid w:val="00993B8A"/>
    <w:rsid w:val="00993C3B"/>
    <w:rsid w:val="00993FE7"/>
    <w:rsid w:val="00994350"/>
    <w:rsid w:val="00994C94"/>
    <w:rsid w:val="00994CF8"/>
    <w:rsid w:val="00994FF0"/>
    <w:rsid w:val="0099506A"/>
    <w:rsid w:val="009950CE"/>
    <w:rsid w:val="00995485"/>
    <w:rsid w:val="009957ED"/>
    <w:rsid w:val="009958F4"/>
    <w:rsid w:val="00995B17"/>
    <w:rsid w:val="00995C6B"/>
    <w:rsid w:val="00995E83"/>
    <w:rsid w:val="00995F45"/>
    <w:rsid w:val="0099648B"/>
    <w:rsid w:val="009964F2"/>
    <w:rsid w:val="00996564"/>
    <w:rsid w:val="009968CF"/>
    <w:rsid w:val="009969E2"/>
    <w:rsid w:val="00996A2A"/>
    <w:rsid w:val="009A0016"/>
    <w:rsid w:val="009A0126"/>
    <w:rsid w:val="009A055F"/>
    <w:rsid w:val="009A1004"/>
    <w:rsid w:val="009A153D"/>
    <w:rsid w:val="009A17DF"/>
    <w:rsid w:val="009A1B1F"/>
    <w:rsid w:val="009A1EDF"/>
    <w:rsid w:val="009A1FBA"/>
    <w:rsid w:val="009A1FCF"/>
    <w:rsid w:val="009A2076"/>
    <w:rsid w:val="009A2A07"/>
    <w:rsid w:val="009A2DC7"/>
    <w:rsid w:val="009A3021"/>
    <w:rsid w:val="009A30F2"/>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472"/>
    <w:rsid w:val="009A6AF0"/>
    <w:rsid w:val="009A7664"/>
    <w:rsid w:val="009A77F4"/>
    <w:rsid w:val="009A7F41"/>
    <w:rsid w:val="009A7FC5"/>
    <w:rsid w:val="009B03E7"/>
    <w:rsid w:val="009B0627"/>
    <w:rsid w:val="009B09C2"/>
    <w:rsid w:val="009B0AE0"/>
    <w:rsid w:val="009B138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8E1"/>
    <w:rsid w:val="009B59E4"/>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7D8"/>
    <w:rsid w:val="009C3FE7"/>
    <w:rsid w:val="009C4247"/>
    <w:rsid w:val="009C43B8"/>
    <w:rsid w:val="009C4663"/>
    <w:rsid w:val="009C51CF"/>
    <w:rsid w:val="009C5585"/>
    <w:rsid w:val="009C6ED6"/>
    <w:rsid w:val="009C6FEA"/>
    <w:rsid w:val="009C7312"/>
    <w:rsid w:val="009C7492"/>
    <w:rsid w:val="009C7715"/>
    <w:rsid w:val="009C78AD"/>
    <w:rsid w:val="009C7ABF"/>
    <w:rsid w:val="009C7C27"/>
    <w:rsid w:val="009D09DB"/>
    <w:rsid w:val="009D14AA"/>
    <w:rsid w:val="009D16B9"/>
    <w:rsid w:val="009D1F1A"/>
    <w:rsid w:val="009D23EC"/>
    <w:rsid w:val="009D240E"/>
    <w:rsid w:val="009D2BAA"/>
    <w:rsid w:val="009D2C5B"/>
    <w:rsid w:val="009D2D55"/>
    <w:rsid w:val="009D31F2"/>
    <w:rsid w:val="009D3306"/>
    <w:rsid w:val="009D374E"/>
    <w:rsid w:val="009D3C01"/>
    <w:rsid w:val="009D456D"/>
    <w:rsid w:val="009D470B"/>
    <w:rsid w:val="009D48D3"/>
    <w:rsid w:val="009D4957"/>
    <w:rsid w:val="009D52E5"/>
    <w:rsid w:val="009D5583"/>
    <w:rsid w:val="009D5905"/>
    <w:rsid w:val="009D5F0D"/>
    <w:rsid w:val="009D5F32"/>
    <w:rsid w:val="009D605C"/>
    <w:rsid w:val="009D6161"/>
    <w:rsid w:val="009D63C1"/>
    <w:rsid w:val="009D648F"/>
    <w:rsid w:val="009D66B0"/>
    <w:rsid w:val="009D67FF"/>
    <w:rsid w:val="009D6BF3"/>
    <w:rsid w:val="009D7876"/>
    <w:rsid w:val="009D78E7"/>
    <w:rsid w:val="009D7BBA"/>
    <w:rsid w:val="009D7D11"/>
    <w:rsid w:val="009E02B8"/>
    <w:rsid w:val="009E0469"/>
    <w:rsid w:val="009E068E"/>
    <w:rsid w:val="009E09D5"/>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3E29"/>
    <w:rsid w:val="009F48C5"/>
    <w:rsid w:val="009F5197"/>
    <w:rsid w:val="009F535A"/>
    <w:rsid w:val="009F584F"/>
    <w:rsid w:val="009F58AD"/>
    <w:rsid w:val="009F5AA0"/>
    <w:rsid w:val="009F70D0"/>
    <w:rsid w:val="009F7441"/>
    <w:rsid w:val="009F7475"/>
    <w:rsid w:val="009F75D7"/>
    <w:rsid w:val="009F7A29"/>
    <w:rsid w:val="009F7B35"/>
    <w:rsid w:val="00A0003F"/>
    <w:rsid w:val="00A000ED"/>
    <w:rsid w:val="00A0059E"/>
    <w:rsid w:val="00A005A5"/>
    <w:rsid w:val="00A00CE8"/>
    <w:rsid w:val="00A00FBF"/>
    <w:rsid w:val="00A0112F"/>
    <w:rsid w:val="00A01255"/>
    <w:rsid w:val="00A013A2"/>
    <w:rsid w:val="00A0154A"/>
    <w:rsid w:val="00A01F93"/>
    <w:rsid w:val="00A01FE0"/>
    <w:rsid w:val="00A022DC"/>
    <w:rsid w:val="00A0234A"/>
    <w:rsid w:val="00A02537"/>
    <w:rsid w:val="00A0267E"/>
    <w:rsid w:val="00A02825"/>
    <w:rsid w:val="00A02893"/>
    <w:rsid w:val="00A02A0F"/>
    <w:rsid w:val="00A02C47"/>
    <w:rsid w:val="00A02F2C"/>
    <w:rsid w:val="00A0305B"/>
    <w:rsid w:val="00A031FA"/>
    <w:rsid w:val="00A0335E"/>
    <w:rsid w:val="00A0338D"/>
    <w:rsid w:val="00A03923"/>
    <w:rsid w:val="00A040C4"/>
    <w:rsid w:val="00A04163"/>
    <w:rsid w:val="00A0417E"/>
    <w:rsid w:val="00A04299"/>
    <w:rsid w:val="00A042E3"/>
    <w:rsid w:val="00A04812"/>
    <w:rsid w:val="00A04C76"/>
    <w:rsid w:val="00A050F2"/>
    <w:rsid w:val="00A056EE"/>
    <w:rsid w:val="00A05C28"/>
    <w:rsid w:val="00A05CE0"/>
    <w:rsid w:val="00A05D2B"/>
    <w:rsid w:val="00A05DAA"/>
    <w:rsid w:val="00A06000"/>
    <w:rsid w:val="00A064C9"/>
    <w:rsid w:val="00A066F9"/>
    <w:rsid w:val="00A07044"/>
    <w:rsid w:val="00A075B3"/>
    <w:rsid w:val="00A0799D"/>
    <w:rsid w:val="00A07B8C"/>
    <w:rsid w:val="00A101CE"/>
    <w:rsid w:val="00A102A0"/>
    <w:rsid w:val="00A1040F"/>
    <w:rsid w:val="00A10468"/>
    <w:rsid w:val="00A1062F"/>
    <w:rsid w:val="00A108BB"/>
    <w:rsid w:val="00A10A36"/>
    <w:rsid w:val="00A10A5F"/>
    <w:rsid w:val="00A10AB1"/>
    <w:rsid w:val="00A10C18"/>
    <w:rsid w:val="00A1111A"/>
    <w:rsid w:val="00A1141F"/>
    <w:rsid w:val="00A11426"/>
    <w:rsid w:val="00A11463"/>
    <w:rsid w:val="00A118D2"/>
    <w:rsid w:val="00A11930"/>
    <w:rsid w:val="00A11AD5"/>
    <w:rsid w:val="00A11E24"/>
    <w:rsid w:val="00A12493"/>
    <w:rsid w:val="00A12838"/>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7F1"/>
    <w:rsid w:val="00A21992"/>
    <w:rsid w:val="00A21AE4"/>
    <w:rsid w:val="00A21C17"/>
    <w:rsid w:val="00A21CC6"/>
    <w:rsid w:val="00A227D1"/>
    <w:rsid w:val="00A22BCB"/>
    <w:rsid w:val="00A22CF7"/>
    <w:rsid w:val="00A22D0E"/>
    <w:rsid w:val="00A22E6B"/>
    <w:rsid w:val="00A235E2"/>
    <w:rsid w:val="00A23698"/>
    <w:rsid w:val="00A23CDA"/>
    <w:rsid w:val="00A23FDC"/>
    <w:rsid w:val="00A2477C"/>
    <w:rsid w:val="00A24BAF"/>
    <w:rsid w:val="00A24DE4"/>
    <w:rsid w:val="00A24EFE"/>
    <w:rsid w:val="00A24F9A"/>
    <w:rsid w:val="00A25626"/>
    <w:rsid w:val="00A256B2"/>
    <w:rsid w:val="00A25A10"/>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1D03"/>
    <w:rsid w:val="00A32312"/>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D6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260"/>
    <w:rsid w:val="00A445CB"/>
    <w:rsid w:val="00A448C8"/>
    <w:rsid w:val="00A44AE2"/>
    <w:rsid w:val="00A44FC5"/>
    <w:rsid w:val="00A45076"/>
    <w:rsid w:val="00A45227"/>
    <w:rsid w:val="00A452C8"/>
    <w:rsid w:val="00A456B0"/>
    <w:rsid w:val="00A457FF"/>
    <w:rsid w:val="00A45854"/>
    <w:rsid w:val="00A458D1"/>
    <w:rsid w:val="00A45997"/>
    <w:rsid w:val="00A45C48"/>
    <w:rsid w:val="00A45CAF"/>
    <w:rsid w:val="00A45E00"/>
    <w:rsid w:val="00A46138"/>
    <w:rsid w:val="00A4650D"/>
    <w:rsid w:val="00A4671F"/>
    <w:rsid w:val="00A46B66"/>
    <w:rsid w:val="00A46E4C"/>
    <w:rsid w:val="00A46F67"/>
    <w:rsid w:val="00A475E2"/>
    <w:rsid w:val="00A4795D"/>
    <w:rsid w:val="00A47A42"/>
    <w:rsid w:val="00A50151"/>
    <w:rsid w:val="00A501D1"/>
    <w:rsid w:val="00A5082B"/>
    <w:rsid w:val="00A50EFF"/>
    <w:rsid w:val="00A5148F"/>
    <w:rsid w:val="00A51504"/>
    <w:rsid w:val="00A5163A"/>
    <w:rsid w:val="00A51E35"/>
    <w:rsid w:val="00A52170"/>
    <w:rsid w:val="00A53138"/>
    <w:rsid w:val="00A531AD"/>
    <w:rsid w:val="00A5327A"/>
    <w:rsid w:val="00A53B57"/>
    <w:rsid w:val="00A5434C"/>
    <w:rsid w:val="00A545E0"/>
    <w:rsid w:val="00A54E37"/>
    <w:rsid w:val="00A54F96"/>
    <w:rsid w:val="00A54FBF"/>
    <w:rsid w:val="00A55307"/>
    <w:rsid w:val="00A555D1"/>
    <w:rsid w:val="00A55EA5"/>
    <w:rsid w:val="00A55EBA"/>
    <w:rsid w:val="00A5602A"/>
    <w:rsid w:val="00A57171"/>
    <w:rsid w:val="00A575D1"/>
    <w:rsid w:val="00A57B45"/>
    <w:rsid w:val="00A57C22"/>
    <w:rsid w:val="00A57CAD"/>
    <w:rsid w:val="00A57DFA"/>
    <w:rsid w:val="00A60CBA"/>
    <w:rsid w:val="00A60E22"/>
    <w:rsid w:val="00A616AA"/>
    <w:rsid w:val="00A617AA"/>
    <w:rsid w:val="00A61AB7"/>
    <w:rsid w:val="00A622F9"/>
    <w:rsid w:val="00A624B5"/>
    <w:rsid w:val="00A624D2"/>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208"/>
    <w:rsid w:val="00A70DFA"/>
    <w:rsid w:val="00A70E2E"/>
    <w:rsid w:val="00A71026"/>
    <w:rsid w:val="00A71752"/>
    <w:rsid w:val="00A71B28"/>
    <w:rsid w:val="00A72307"/>
    <w:rsid w:val="00A72C40"/>
    <w:rsid w:val="00A7332D"/>
    <w:rsid w:val="00A73C20"/>
    <w:rsid w:val="00A73C68"/>
    <w:rsid w:val="00A73F23"/>
    <w:rsid w:val="00A74123"/>
    <w:rsid w:val="00A7412A"/>
    <w:rsid w:val="00A74218"/>
    <w:rsid w:val="00A746BE"/>
    <w:rsid w:val="00A74B97"/>
    <w:rsid w:val="00A74D41"/>
    <w:rsid w:val="00A74F89"/>
    <w:rsid w:val="00A75421"/>
    <w:rsid w:val="00A7570C"/>
    <w:rsid w:val="00A75C21"/>
    <w:rsid w:val="00A75DC5"/>
    <w:rsid w:val="00A760F7"/>
    <w:rsid w:val="00A76848"/>
    <w:rsid w:val="00A76A4F"/>
    <w:rsid w:val="00A76C01"/>
    <w:rsid w:val="00A77B15"/>
    <w:rsid w:val="00A77E0B"/>
    <w:rsid w:val="00A800B1"/>
    <w:rsid w:val="00A803A4"/>
    <w:rsid w:val="00A803F4"/>
    <w:rsid w:val="00A8057F"/>
    <w:rsid w:val="00A80936"/>
    <w:rsid w:val="00A80DB0"/>
    <w:rsid w:val="00A80E9D"/>
    <w:rsid w:val="00A81244"/>
    <w:rsid w:val="00A81458"/>
    <w:rsid w:val="00A81501"/>
    <w:rsid w:val="00A81B48"/>
    <w:rsid w:val="00A81BC3"/>
    <w:rsid w:val="00A81E75"/>
    <w:rsid w:val="00A8222D"/>
    <w:rsid w:val="00A82368"/>
    <w:rsid w:val="00A824CA"/>
    <w:rsid w:val="00A82549"/>
    <w:rsid w:val="00A826F4"/>
    <w:rsid w:val="00A827BF"/>
    <w:rsid w:val="00A83114"/>
    <w:rsid w:val="00A83326"/>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0B3"/>
    <w:rsid w:val="00A871A4"/>
    <w:rsid w:val="00A8767B"/>
    <w:rsid w:val="00A878D9"/>
    <w:rsid w:val="00A87A09"/>
    <w:rsid w:val="00A87E9C"/>
    <w:rsid w:val="00A903FB"/>
    <w:rsid w:val="00A90540"/>
    <w:rsid w:val="00A90678"/>
    <w:rsid w:val="00A91277"/>
    <w:rsid w:val="00A9156A"/>
    <w:rsid w:val="00A919D3"/>
    <w:rsid w:val="00A91A45"/>
    <w:rsid w:val="00A91BEB"/>
    <w:rsid w:val="00A92384"/>
    <w:rsid w:val="00A924D2"/>
    <w:rsid w:val="00A92918"/>
    <w:rsid w:val="00A92BA0"/>
    <w:rsid w:val="00A92D03"/>
    <w:rsid w:val="00A93804"/>
    <w:rsid w:val="00A93CAA"/>
    <w:rsid w:val="00A94378"/>
    <w:rsid w:val="00A94438"/>
    <w:rsid w:val="00A947AD"/>
    <w:rsid w:val="00A94894"/>
    <w:rsid w:val="00A95072"/>
    <w:rsid w:val="00A95457"/>
    <w:rsid w:val="00A958C6"/>
    <w:rsid w:val="00A95BBE"/>
    <w:rsid w:val="00A95D08"/>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9D5"/>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11A"/>
    <w:rsid w:val="00AA6776"/>
    <w:rsid w:val="00AA6CF5"/>
    <w:rsid w:val="00AA7610"/>
    <w:rsid w:val="00AA77E8"/>
    <w:rsid w:val="00AB00A6"/>
    <w:rsid w:val="00AB047D"/>
    <w:rsid w:val="00AB0867"/>
    <w:rsid w:val="00AB08F9"/>
    <w:rsid w:val="00AB0C44"/>
    <w:rsid w:val="00AB10E8"/>
    <w:rsid w:val="00AB126D"/>
    <w:rsid w:val="00AB1B3E"/>
    <w:rsid w:val="00AB1D0C"/>
    <w:rsid w:val="00AB23E5"/>
    <w:rsid w:val="00AB2449"/>
    <w:rsid w:val="00AB2C01"/>
    <w:rsid w:val="00AB2DB1"/>
    <w:rsid w:val="00AB362A"/>
    <w:rsid w:val="00AB42AB"/>
    <w:rsid w:val="00AB444C"/>
    <w:rsid w:val="00AB4632"/>
    <w:rsid w:val="00AB4B64"/>
    <w:rsid w:val="00AB4BDF"/>
    <w:rsid w:val="00AB56B8"/>
    <w:rsid w:val="00AB5B26"/>
    <w:rsid w:val="00AB647E"/>
    <w:rsid w:val="00AB69F4"/>
    <w:rsid w:val="00AB6A10"/>
    <w:rsid w:val="00AB6AC5"/>
    <w:rsid w:val="00AB6C8A"/>
    <w:rsid w:val="00AB718F"/>
    <w:rsid w:val="00AB73D0"/>
    <w:rsid w:val="00AB7A45"/>
    <w:rsid w:val="00AC0096"/>
    <w:rsid w:val="00AC011D"/>
    <w:rsid w:val="00AC037B"/>
    <w:rsid w:val="00AC03A1"/>
    <w:rsid w:val="00AC0408"/>
    <w:rsid w:val="00AC06BC"/>
    <w:rsid w:val="00AC0790"/>
    <w:rsid w:val="00AC0959"/>
    <w:rsid w:val="00AC09E2"/>
    <w:rsid w:val="00AC0F10"/>
    <w:rsid w:val="00AC112C"/>
    <w:rsid w:val="00AC1639"/>
    <w:rsid w:val="00AC1BCA"/>
    <w:rsid w:val="00AC1E7E"/>
    <w:rsid w:val="00AC27E2"/>
    <w:rsid w:val="00AC29A6"/>
    <w:rsid w:val="00AC2BC0"/>
    <w:rsid w:val="00AC2E37"/>
    <w:rsid w:val="00AC314A"/>
    <w:rsid w:val="00AC3369"/>
    <w:rsid w:val="00AC3611"/>
    <w:rsid w:val="00AC3A8C"/>
    <w:rsid w:val="00AC3C18"/>
    <w:rsid w:val="00AC3D84"/>
    <w:rsid w:val="00AC3F37"/>
    <w:rsid w:val="00AC432C"/>
    <w:rsid w:val="00AC484A"/>
    <w:rsid w:val="00AC4AF1"/>
    <w:rsid w:val="00AC4E03"/>
    <w:rsid w:val="00AC4E14"/>
    <w:rsid w:val="00AC4E40"/>
    <w:rsid w:val="00AC508E"/>
    <w:rsid w:val="00AC5777"/>
    <w:rsid w:val="00AC5800"/>
    <w:rsid w:val="00AC60A6"/>
    <w:rsid w:val="00AC6343"/>
    <w:rsid w:val="00AC65E7"/>
    <w:rsid w:val="00AC6710"/>
    <w:rsid w:val="00AC6765"/>
    <w:rsid w:val="00AC68C9"/>
    <w:rsid w:val="00AC693F"/>
    <w:rsid w:val="00AC6CD5"/>
    <w:rsid w:val="00AC6D80"/>
    <w:rsid w:val="00AC6FE9"/>
    <w:rsid w:val="00AC71E0"/>
    <w:rsid w:val="00AC73BF"/>
    <w:rsid w:val="00AC74D0"/>
    <w:rsid w:val="00AC7E2D"/>
    <w:rsid w:val="00AD0068"/>
    <w:rsid w:val="00AD0134"/>
    <w:rsid w:val="00AD01EE"/>
    <w:rsid w:val="00AD0374"/>
    <w:rsid w:val="00AD0483"/>
    <w:rsid w:val="00AD05D3"/>
    <w:rsid w:val="00AD0758"/>
    <w:rsid w:val="00AD0C32"/>
    <w:rsid w:val="00AD0CA2"/>
    <w:rsid w:val="00AD0EB1"/>
    <w:rsid w:val="00AD161A"/>
    <w:rsid w:val="00AD1EAC"/>
    <w:rsid w:val="00AD1EB2"/>
    <w:rsid w:val="00AD20D1"/>
    <w:rsid w:val="00AD23EA"/>
    <w:rsid w:val="00AD2928"/>
    <w:rsid w:val="00AD2ABC"/>
    <w:rsid w:val="00AD2E9F"/>
    <w:rsid w:val="00AD3356"/>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55A"/>
    <w:rsid w:val="00AE75EA"/>
    <w:rsid w:val="00AE7684"/>
    <w:rsid w:val="00AE7E6E"/>
    <w:rsid w:val="00AE7F93"/>
    <w:rsid w:val="00AF0109"/>
    <w:rsid w:val="00AF0258"/>
    <w:rsid w:val="00AF0502"/>
    <w:rsid w:val="00AF096E"/>
    <w:rsid w:val="00AF1033"/>
    <w:rsid w:val="00AF13E5"/>
    <w:rsid w:val="00AF187B"/>
    <w:rsid w:val="00AF1D2A"/>
    <w:rsid w:val="00AF1F76"/>
    <w:rsid w:val="00AF30A5"/>
    <w:rsid w:val="00AF3610"/>
    <w:rsid w:val="00AF4396"/>
    <w:rsid w:val="00AF4B6B"/>
    <w:rsid w:val="00AF500D"/>
    <w:rsid w:val="00AF50C1"/>
    <w:rsid w:val="00AF53D8"/>
    <w:rsid w:val="00AF53E8"/>
    <w:rsid w:val="00AF5451"/>
    <w:rsid w:val="00AF54CE"/>
    <w:rsid w:val="00AF5A02"/>
    <w:rsid w:val="00AF5EF2"/>
    <w:rsid w:val="00AF61E9"/>
    <w:rsid w:val="00AF627A"/>
    <w:rsid w:val="00AF659D"/>
    <w:rsid w:val="00AF6651"/>
    <w:rsid w:val="00AF6666"/>
    <w:rsid w:val="00AF7DB5"/>
    <w:rsid w:val="00B0080D"/>
    <w:rsid w:val="00B00898"/>
    <w:rsid w:val="00B00C5E"/>
    <w:rsid w:val="00B00D0F"/>
    <w:rsid w:val="00B011E8"/>
    <w:rsid w:val="00B0192B"/>
    <w:rsid w:val="00B01FF9"/>
    <w:rsid w:val="00B028AE"/>
    <w:rsid w:val="00B02D8C"/>
    <w:rsid w:val="00B02DC1"/>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02C"/>
    <w:rsid w:val="00B07289"/>
    <w:rsid w:val="00B07866"/>
    <w:rsid w:val="00B07A7B"/>
    <w:rsid w:val="00B07D7E"/>
    <w:rsid w:val="00B07E5C"/>
    <w:rsid w:val="00B1030A"/>
    <w:rsid w:val="00B10924"/>
    <w:rsid w:val="00B10A8C"/>
    <w:rsid w:val="00B10BC3"/>
    <w:rsid w:val="00B10CCE"/>
    <w:rsid w:val="00B10EDE"/>
    <w:rsid w:val="00B11033"/>
    <w:rsid w:val="00B11253"/>
    <w:rsid w:val="00B11452"/>
    <w:rsid w:val="00B115BA"/>
    <w:rsid w:val="00B11899"/>
    <w:rsid w:val="00B118BB"/>
    <w:rsid w:val="00B118CB"/>
    <w:rsid w:val="00B118F7"/>
    <w:rsid w:val="00B11BA0"/>
    <w:rsid w:val="00B11FE2"/>
    <w:rsid w:val="00B12700"/>
    <w:rsid w:val="00B12721"/>
    <w:rsid w:val="00B12870"/>
    <w:rsid w:val="00B12EAF"/>
    <w:rsid w:val="00B12F1A"/>
    <w:rsid w:val="00B13E6E"/>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0BC2"/>
    <w:rsid w:val="00B21028"/>
    <w:rsid w:val="00B21C5B"/>
    <w:rsid w:val="00B21ED1"/>
    <w:rsid w:val="00B223C3"/>
    <w:rsid w:val="00B22A45"/>
    <w:rsid w:val="00B22F87"/>
    <w:rsid w:val="00B2311C"/>
    <w:rsid w:val="00B23172"/>
    <w:rsid w:val="00B232E1"/>
    <w:rsid w:val="00B234F5"/>
    <w:rsid w:val="00B23562"/>
    <w:rsid w:val="00B23705"/>
    <w:rsid w:val="00B23DEC"/>
    <w:rsid w:val="00B240C0"/>
    <w:rsid w:val="00B242A0"/>
    <w:rsid w:val="00B243FF"/>
    <w:rsid w:val="00B2442D"/>
    <w:rsid w:val="00B254C2"/>
    <w:rsid w:val="00B25C63"/>
    <w:rsid w:val="00B25F67"/>
    <w:rsid w:val="00B260E2"/>
    <w:rsid w:val="00B264FA"/>
    <w:rsid w:val="00B26D1F"/>
    <w:rsid w:val="00B27130"/>
    <w:rsid w:val="00B27BDF"/>
    <w:rsid w:val="00B27E65"/>
    <w:rsid w:val="00B30249"/>
    <w:rsid w:val="00B30355"/>
    <w:rsid w:val="00B30460"/>
    <w:rsid w:val="00B306F7"/>
    <w:rsid w:val="00B30951"/>
    <w:rsid w:val="00B30A5A"/>
    <w:rsid w:val="00B31023"/>
    <w:rsid w:val="00B314B3"/>
    <w:rsid w:val="00B3162D"/>
    <w:rsid w:val="00B3174A"/>
    <w:rsid w:val="00B3192C"/>
    <w:rsid w:val="00B31C3A"/>
    <w:rsid w:val="00B3231D"/>
    <w:rsid w:val="00B32ECC"/>
    <w:rsid w:val="00B3323B"/>
    <w:rsid w:val="00B33432"/>
    <w:rsid w:val="00B33902"/>
    <w:rsid w:val="00B34102"/>
    <w:rsid w:val="00B344C5"/>
    <w:rsid w:val="00B348B8"/>
    <w:rsid w:val="00B34C99"/>
    <w:rsid w:val="00B35089"/>
    <w:rsid w:val="00B350FD"/>
    <w:rsid w:val="00B364F4"/>
    <w:rsid w:val="00B36927"/>
    <w:rsid w:val="00B3715A"/>
    <w:rsid w:val="00B3749D"/>
    <w:rsid w:val="00B377FF"/>
    <w:rsid w:val="00B37993"/>
    <w:rsid w:val="00B37F49"/>
    <w:rsid w:val="00B40583"/>
    <w:rsid w:val="00B407D7"/>
    <w:rsid w:val="00B40843"/>
    <w:rsid w:val="00B4087E"/>
    <w:rsid w:val="00B40ECE"/>
    <w:rsid w:val="00B41123"/>
    <w:rsid w:val="00B412EF"/>
    <w:rsid w:val="00B41CA4"/>
    <w:rsid w:val="00B41E6C"/>
    <w:rsid w:val="00B41F54"/>
    <w:rsid w:val="00B41FC9"/>
    <w:rsid w:val="00B42053"/>
    <w:rsid w:val="00B420CC"/>
    <w:rsid w:val="00B42228"/>
    <w:rsid w:val="00B423FC"/>
    <w:rsid w:val="00B42721"/>
    <w:rsid w:val="00B4287A"/>
    <w:rsid w:val="00B42A6F"/>
    <w:rsid w:val="00B43164"/>
    <w:rsid w:val="00B4317A"/>
    <w:rsid w:val="00B43239"/>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06D"/>
    <w:rsid w:val="00B5020C"/>
    <w:rsid w:val="00B50291"/>
    <w:rsid w:val="00B50546"/>
    <w:rsid w:val="00B50A0C"/>
    <w:rsid w:val="00B50EB1"/>
    <w:rsid w:val="00B5103A"/>
    <w:rsid w:val="00B51157"/>
    <w:rsid w:val="00B512D4"/>
    <w:rsid w:val="00B51BEF"/>
    <w:rsid w:val="00B51D74"/>
    <w:rsid w:val="00B52102"/>
    <w:rsid w:val="00B52481"/>
    <w:rsid w:val="00B52521"/>
    <w:rsid w:val="00B52916"/>
    <w:rsid w:val="00B52B38"/>
    <w:rsid w:val="00B52E28"/>
    <w:rsid w:val="00B5341D"/>
    <w:rsid w:val="00B534E1"/>
    <w:rsid w:val="00B53A5A"/>
    <w:rsid w:val="00B548AF"/>
    <w:rsid w:val="00B55123"/>
    <w:rsid w:val="00B552A7"/>
    <w:rsid w:val="00B552D3"/>
    <w:rsid w:val="00B5554F"/>
    <w:rsid w:val="00B55BB5"/>
    <w:rsid w:val="00B560CA"/>
    <w:rsid w:val="00B563D1"/>
    <w:rsid w:val="00B56611"/>
    <w:rsid w:val="00B56B3F"/>
    <w:rsid w:val="00B56D8A"/>
    <w:rsid w:val="00B56DB1"/>
    <w:rsid w:val="00B57A81"/>
    <w:rsid w:val="00B57EFD"/>
    <w:rsid w:val="00B60891"/>
    <w:rsid w:val="00B60F19"/>
    <w:rsid w:val="00B610AB"/>
    <w:rsid w:val="00B617B4"/>
    <w:rsid w:val="00B618E7"/>
    <w:rsid w:val="00B61A8A"/>
    <w:rsid w:val="00B62385"/>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6EB3"/>
    <w:rsid w:val="00B672BA"/>
    <w:rsid w:val="00B673D1"/>
    <w:rsid w:val="00B678B4"/>
    <w:rsid w:val="00B67E14"/>
    <w:rsid w:val="00B67E88"/>
    <w:rsid w:val="00B7000C"/>
    <w:rsid w:val="00B707D1"/>
    <w:rsid w:val="00B70A99"/>
    <w:rsid w:val="00B70CF8"/>
    <w:rsid w:val="00B70DA2"/>
    <w:rsid w:val="00B7127A"/>
    <w:rsid w:val="00B71762"/>
    <w:rsid w:val="00B71781"/>
    <w:rsid w:val="00B718DE"/>
    <w:rsid w:val="00B722DE"/>
    <w:rsid w:val="00B7239A"/>
    <w:rsid w:val="00B725A5"/>
    <w:rsid w:val="00B7278F"/>
    <w:rsid w:val="00B728CC"/>
    <w:rsid w:val="00B72C63"/>
    <w:rsid w:val="00B7329F"/>
    <w:rsid w:val="00B7368F"/>
    <w:rsid w:val="00B7394D"/>
    <w:rsid w:val="00B73CBD"/>
    <w:rsid w:val="00B73FB3"/>
    <w:rsid w:val="00B7432A"/>
    <w:rsid w:val="00B74584"/>
    <w:rsid w:val="00B7467E"/>
    <w:rsid w:val="00B74A97"/>
    <w:rsid w:val="00B74AAD"/>
    <w:rsid w:val="00B753BF"/>
    <w:rsid w:val="00B755AC"/>
    <w:rsid w:val="00B75A1D"/>
    <w:rsid w:val="00B75B2A"/>
    <w:rsid w:val="00B75BCC"/>
    <w:rsid w:val="00B75C6C"/>
    <w:rsid w:val="00B75F30"/>
    <w:rsid w:val="00B75F79"/>
    <w:rsid w:val="00B76BB5"/>
    <w:rsid w:val="00B76E53"/>
    <w:rsid w:val="00B76ED1"/>
    <w:rsid w:val="00B7764F"/>
    <w:rsid w:val="00B77B13"/>
    <w:rsid w:val="00B80206"/>
    <w:rsid w:val="00B80328"/>
    <w:rsid w:val="00B805FE"/>
    <w:rsid w:val="00B8066D"/>
    <w:rsid w:val="00B8092C"/>
    <w:rsid w:val="00B80C11"/>
    <w:rsid w:val="00B8114B"/>
    <w:rsid w:val="00B82054"/>
    <w:rsid w:val="00B82E14"/>
    <w:rsid w:val="00B830BE"/>
    <w:rsid w:val="00B832D8"/>
    <w:rsid w:val="00B83533"/>
    <w:rsid w:val="00B8381C"/>
    <w:rsid w:val="00B83958"/>
    <w:rsid w:val="00B839D3"/>
    <w:rsid w:val="00B83DCE"/>
    <w:rsid w:val="00B84033"/>
    <w:rsid w:val="00B840AA"/>
    <w:rsid w:val="00B8422E"/>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697"/>
    <w:rsid w:val="00B908EB"/>
    <w:rsid w:val="00B90D1E"/>
    <w:rsid w:val="00B90D86"/>
    <w:rsid w:val="00B91115"/>
    <w:rsid w:val="00B913B5"/>
    <w:rsid w:val="00B9148D"/>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457"/>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749"/>
    <w:rsid w:val="00BA08AA"/>
    <w:rsid w:val="00BA0C07"/>
    <w:rsid w:val="00BA0EFB"/>
    <w:rsid w:val="00BA11F3"/>
    <w:rsid w:val="00BA1427"/>
    <w:rsid w:val="00BA1614"/>
    <w:rsid w:val="00BA1AE5"/>
    <w:rsid w:val="00BA1DA0"/>
    <w:rsid w:val="00BA21D1"/>
    <w:rsid w:val="00BA23CA"/>
    <w:rsid w:val="00BA27AE"/>
    <w:rsid w:val="00BA28F4"/>
    <w:rsid w:val="00BA2E4B"/>
    <w:rsid w:val="00BA33CD"/>
    <w:rsid w:val="00BA3519"/>
    <w:rsid w:val="00BA354A"/>
    <w:rsid w:val="00BA370C"/>
    <w:rsid w:val="00BA3763"/>
    <w:rsid w:val="00BA3CA5"/>
    <w:rsid w:val="00BA3E9E"/>
    <w:rsid w:val="00BA4429"/>
    <w:rsid w:val="00BA45C1"/>
    <w:rsid w:val="00BA49AF"/>
    <w:rsid w:val="00BA4A6D"/>
    <w:rsid w:val="00BA4ADE"/>
    <w:rsid w:val="00BA5085"/>
    <w:rsid w:val="00BA51A4"/>
    <w:rsid w:val="00BA576C"/>
    <w:rsid w:val="00BA5DFC"/>
    <w:rsid w:val="00BA6350"/>
    <w:rsid w:val="00BA63A1"/>
    <w:rsid w:val="00BA63CF"/>
    <w:rsid w:val="00BA6AB9"/>
    <w:rsid w:val="00BA6EC3"/>
    <w:rsid w:val="00BA7254"/>
    <w:rsid w:val="00BA7560"/>
    <w:rsid w:val="00BA772A"/>
    <w:rsid w:val="00BA79A0"/>
    <w:rsid w:val="00BA7EED"/>
    <w:rsid w:val="00BB0887"/>
    <w:rsid w:val="00BB0E73"/>
    <w:rsid w:val="00BB1387"/>
    <w:rsid w:val="00BB153B"/>
    <w:rsid w:val="00BB1D0F"/>
    <w:rsid w:val="00BB1E4C"/>
    <w:rsid w:val="00BB1F2A"/>
    <w:rsid w:val="00BB1FE1"/>
    <w:rsid w:val="00BB20C7"/>
    <w:rsid w:val="00BB2338"/>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24C"/>
    <w:rsid w:val="00BC4323"/>
    <w:rsid w:val="00BC44C4"/>
    <w:rsid w:val="00BC4DF5"/>
    <w:rsid w:val="00BC5502"/>
    <w:rsid w:val="00BC5CFC"/>
    <w:rsid w:val="00BC5F59"/>
    <w:rsid w:val="00BC654B"/>
    <w:rsid w:val="00BC67B9"/>
    <w:rsid w:val="00BC6F94"/>
    <w:rsid w:val="00BC7953"/>
    <w:rsid w:val="00BD0B7D"/>
    <w:rsid w:val="00BD0C20"/>
    <w:rsid w:val="00BD12E7"/>
    <w:rsid w:val="00BD142A"/>
    <w:rsid w:val="00BD1C50"/>
    <w:rsid w:val="00BD2078"/>
    <w:rsid w:val="00BD2EF2"/>
    <w:rsid w:val="00BD2FF1"/>
    <w:rsid w:val="00BD35A3"/>
    <w:rsid w:val="00BD3925"/>
    <w:rsid w:val="00BD3A86"/>
    <w:rsid w:val="00BD3C5B"/>
    <w:rsid w:val="00BD4252"/>
    <w:rsid w:val="00BD4371"/>
    <w:rsid w:val="00BD4542"/>
    <w:rsid w:val="00BD466F"/>
    <w:rsid w:val="00BD5049"/>
    <w:rsid w:val="00BD5699"/>
    <w:rsid w:val="00BD5AD0"/>
    <w:rsid w:val="00BD5DA9"/>
    <w:rsid w:val="00BD5E81"/>
    <w:rsid w:val="00BD6B2D"/>
    <w:rsid w:val="00BD6C55"/>
    <w:rsid w:val="00BD6F78"/>
    <w:rsid w:val="00BD70BD"/>
    <w:rsid w:val="00BD719D"/>
    <w:rsid w:val="00BD78FB"/>
    <w:rsid w:val="00BD79AA"/>
    <w:rsid w:val="00BE00E9"/>
    <w:rsid w:val="00BE0172"/>
    <w:rsid w:val="00BE0258"/>
    <w:rsid w:val="00BE0271"/>
    <w:rsid w:val="00BE0B02"/>
    <w:rsid w:val="00BE0E2F"/>
    <w:rsid w:val="00BE0EA6"/>
    <w:rsid w:val="00BE1447"/>
    <w:rsid w:val="00BE1831"/>
    <w:rsid w:val="00BE1EC8"/>
    <w:rsid w:val="00BE2148"/>
    <w:rsid w:val="00BE215D"/>
    <w:rsid w:val="00BE234A"/>
    <w:rsid w:val="00BE27C1"/>
    <w:rsid w:val="00BE2A67"/>
    <w:rsid w:val="00BE2DB1"/>
    <w:rsid w:val="00BE3128"/>
    <w:rsid w:val="00BE31D2"/>
    <w:rsid w:val="00BE37E5"/>
    <w:rsid w:val="00BE3C1E"/>
    <w:rsid w:val="00BE3C71"/>
    <w:rsid w:val="00BE4DE1"/>
    <w:rsid w:val="00BE4E01"/>
    <w:rsid w:val="00BE51C4"/>
    <w:rsid w:val="00BE5587"/>
    <w:rsid w:val="00BE57DD"/>
    <w:rsid w:val="00BE611E"/>
    <w:rsid w:val="00BE65E0"/>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C8"/>
    <w:rsid w:val="00BF39F9"/>
    <w:rsid w:val="00BF3A58"/>
    <w:rsid w:val="00BF3C0D"/>
    <w:rsid w:val="00BF3FDF"/>
    <w:rsid w:val="00BF4F68"/>
    <w:rsid w:val="00BF50B5"/>
    <w:rsid w:val="00BF58EE"/>
    <w:rsid w:val="00BF5F22"/>
    <w:rsid w:val="00BF685D"/>
    <w:rsid w:val="00BF6BA9"/>
    <w:rsid w:val="00BF6DCC"/>
    <w:rsid w:val="00BF6E8C"/>
    <w:rsid w:val="00BF71C6"/>
    <w:rsid w:val="00BF72CA"/>
    <w:rsid w:val="00BF7C67"/>
    <w:rsid w:val="00BF7CD8"/>
    <w:rsid w:val="00BF7E2C"/>
    <w:rsid w:val="00BF7E96"/>
    <w:rsid w:val="00C00849"/>
    <w:rsid w:val="00C0119B"/>
    <w:rsid w:val="00C01460"/>
    <w:rsid w:val="00C018CC"/>
    <w:rsid w:val="00C01E4B"/>
    <w:rsid w:val="00C01FB2"/>
    <w:rsid w:val="00C0204F"/>
    <w:rsid w:val="00C023E4"/>
    <w:rsid w:val="00C028F5"/>
    <w:rsid w:val="00C02A11"/>
    <w:rsid w:val="00C02BE9"/>
    <w:rsid w:val="00C02CE1"/>
    <w:rsid w:val="00C0309A"/>
    <w:rsid w:val="00C03141"/>
    <w:rsid w:val="00C031EC"/>
    <w:rsid w:val="00C035B9"/>
    <w:rsid w:val="00C036F3"/>
    <w:rsid w:val="00C03923"/>
    <w:rsid w:val="00C03C66"/>
    <w:rsid w:val="00C04497"/>
    <w:rsid w:val="00C04662"/>
    <w:rsid w:val="00C04B21"/>
    <w:rsid w:val="00C04C7E"/>
    <w:rsid w:val="00C04ED0"/>
    <w:rsid w:val="00C05303"/>
    <w:rsid w:val="00C0563C"/>
    <w:rsid w:val="00C058DD"/>
    <w:rsid w:val="00C06136"/>
    <w:rsid w:val="00C069D8"/>
    <w:rsid w:val="00C06DC5"/>
    <w:rsid w:val="00C074F6"/>
    <w:rsid w:val="00C07586"/>
    <w:rsid w:val="00C07752"/>
    <w:rsid w:val="00C07BAE"/>
    <w:rsid w:val="00C07C15"/>
    <w:rsid w:val="00C07D28"/>
    <w:rsid w:val="00C10090"/>
    <w:rsid w:val="00C1064A"/>
    <w:rsid w:val="00C11139"/>
    <w:rsid w:val="00C11A24"/>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D19"/>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2E77"/>
    <w:rsid w:val="00C2359D"/>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C13"/>
    <w:rsid w:val="00C26DA4"/>
    <w:rsid w:val="00C26F08"/>
    <w:rsid w:val="00C273C4"/>
    <w:rsid w:val="00C27429"/>
    <w:rsid w:val="00C27690"/>
    <w:rsid w:val="00C27ADE"/>
    <w:rsid w:val="00C27CB3"/>
    <w:rsid w:val="00C27D54"/>
    <w:rsid w:val="00C27E89"/>
    <w:rsid w:val="00C30422"/>
    <w:rsid w:val="00C3087E"/>
    <w:rsid w:val="00C309E1"/>
    <w:rsid w:val="00C30A95"/>
    <w:rsid w:val="00C30C59"/>
    <w:rsid w:val="00C30EA9"/>
    <w:rsid w:val="00C31397"/>
    <w:rsid w:val="00C317E5"/>
    <w:rsid w:val="00C3180A"/>
    <w:rsid w:val="00C325C9"/>
    <w:rsid w:val="00C32B29"/>
    <w:rsid w:val="00C32F46"/>
    <w:rsid w:val="00C331CD"/>
    <w:rsid w:val="00C33493"/>
    <w:rsid w:val="00C343B7"/>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00D"/>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2F2"/>
    <w:rsid w:val="00C447EC"/>
    <w:rsid w:val="00C44DD6"/>
    <w:rsid w:val="00C450C9"/>
    <w:rsid w:val="00C45DB2"/>
    <w:rsid w:val="00C46096"/>
    <w:rsid w:val="00C46745"/>
    <w:rsid w:val="00C46A36"/>
    <w:rsid w:val="00C46B90"/>
    <w:rsid w:val="00C46BBF"/>
    <w:rsid w:val="00C46F16"/>
    <w:rsid w:val="00C46F43"/>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2DFA"/>
    <w:rsid w:val="00C53386"/>
    <w:rsid w:val="00C535AB"/>
    <w:rsid w:val="00C53605"/>
    <w:rsid w:val="00C53A35"/>
    <w:rsid w:val="00C53CF7"/>
    <w:rsid w:val="00C53E92"/>
    <w:rsid w:val="00C53F04"/>
    <w:rsid w:val="00C54128"/>
    <w:rsid w:val="00C5419F"/>
    <w:rsid w:val="00C54EA5"/>
    <w:rsid w:val="00C54F18"/>
    <w:rsid w:val="00C55206"/>
    <w:rsid w:val="00C55707"/>
    <w:rsid w:val="00C55F0D"/>
    <w:rsid w:val="00C56336"/>
    <w:rsid w:val="00C567D2"/>
    <w:rsid w:val="00C5688D"/>
    <w:rsid w:val="00C56914"/>
    <w:rsid w:val="00C569CE"/>
    <w:rsid w:val="00C56C93"/>
    <w:rsid w:val="00C56D9A"/>
    <w:rsid w:val="00C56E87"/>
    <w:rsid w:val="00C5754E"/>
    <w:rsid w:val="00C57846"/>
    <w:rsid w:val="00C57F83"/>
    <w:rsid w:val="00C6087F"/>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0E1"/>
    <w:rsid w:val="00C63381"/>
    <w:rsid w:val="00C63744"/>
    <w:rsid w:val="00C63E8B"/>
    <w:rsid w:val="00C63E90"/>
    <w:rsid w:val="00C648E1"/>
    <w:rsid w:val="00C64941"/>
    <w:rsid w:val="00C64A73"/>
    <w:rsid w:val="00C651D3"/>
    <w:rsid w:val="00C6567E"/>
    <w:rsid w:val="00C65AC2"/>
    <w:rsid w:val="00C65BAA"/>
    <w:rsid w:val="00C660A2"/>
    <w:rsid w:val="00C66219"/>
    <w:rsid w:val="00C66518"/>
    <w:rsid w:val="00C66531"/>
    <w:rsid w:val="00C666C7"/>
    <w:rsid w:val="00C66E8D"/>
    <w:rsid w:val="00C66FD2"/>
    <w:rsid w:val="00C67306"/>
    <w:rsid w:val="00C673A5"/>
    <w:rsid w:val="00C6770E"/>
    <w:rsid w:val="00C67A04"/>
    <w:rsid w:val="00C67CAD"/>
    <w:rsid w:val="00C67D84"/>
    <w:rsid w:val="00C67F0E"/>
    <w:rsid w:val="00C70710"/>
    <w:rsid w:val="00C709EE"/>
    <w:rsid w:val="00C716B0"/>
    <w:rsid w:val="00C71788"/>
    <w:rsid w:val="00C71ED9"/>
    <w:rsid w:val="00C71F7B"/>
    <w:rsid w:val="00C7255D"/>
    <w:rsid w:val="00C7287E"/>
    <w:rsid w:val="00C7322E"/>
    <w:rsid w:val="00C73777"/>
    <w:rsid w:val="00C73859"/>
    <w:rsid w:val="00C73E3E"/>
    <w:rsid w:val="00C74D0B"/>
    <w:rsid w:val="00C74DE6"/>
    <w:rsid w:val="00C74EAD"/>
    <w:rsid w:val="00C75933"/>
    <w:rsid w:val="00C75CE4"/>
    <w:rsid w:val="00C75D0A"/>
    <w:rsid w:val="00C75FE5"/>
    <w:rsid w:val="00C7653F"/>
    <w:rsid w:val="00C76680"/>
    <w:rsid w:val="00C773D7"/>
    <w:rsid w:val="00C77445"/>
    <w:rsid w:val="00C7746D"/>
    <w:rsid w:val="00C778C7"/>
    <w:rsid w:val="00C77C8A"/>
    <w:rsid w:val="00C77D06"/>
    <w:rsid w:val="00C77F25"/>
    <w:rsid w:val="00C80336"/>
    <w:rsid w:val="00C8067E"/>
    <w:rsid w:val="00C80846"/>
    <w:rsid w:val="00C80FC3"/>
    <w:rsid w:val="00C81881"/>
    <w:rsid w:val="00C81927"/>
    <w:rsid w:val="00C8194F"/>
    <w:rsid w:val="00C81E36"/>
    <w:rsid w:val="00C821B9"/>
    <w:rsid w:val="00C82331"/>
    <w:rsid w:val="00C82C75"/>
    <w:rsid w:val="00C82FD9"/>
    <w:rsid w:val="00C8317D"/>
    <w:rsid w:val="00C839E9"/>
    <w:rsid w:val="00C841DD"/>
    <w:rsid w:val="00C84711"/>
    <w:rsid w:val="00C84A03"/>
    <w:rsid w:val="00C84AB7"/>
    <w:rsid w:val="00C85376"/>
    <w:rsid w:val="00C85723"/>
    <w:rsid w:val="00C858DB"/>
    <w:rsid w:val="00C85E07"/>
    <w:rsid w:val="00C86604"/>
    <w:rsid w:val="00C867BB"/>
    <w:rsid w:val="00C871C1"/>
    <w:rsid w:val="00C8768A"/>
    <w:rsid w:val="00C87DA0"/>
    <w:rsid w:val="00C90396"/>
    <w:rsid w:val="00C90597"/>
    <w:rsid w:val="00C90AD6"/>
    <w:rsid w:val="00C90BF4"/>
    <w:rsid w:val="00C90DA8"/>
    <w:rsid w:val="00C90DC8"/>
    <w:rsid w:val="00C90E41"/>
    <w:rsid w:val="00C91345"/>
    <w:rsid w:val="00C91632"/>
    <w:rsid w:val="00C91E74"/>
    <w:rsid w:val="00C91F6A"/>
    <w:rsid w:val="00C920B6"/>
    <w:rsid w:val="00C9273C"/>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9D"/>
    <w:rsid w:val="00C970F6"/>
    <w:rsid w:val="00C975D8"/>
    <w:rsid w:val="00C977E1"/>
    <w:rsid w:val="00CA0172"/>
    <w:rsid w:val="00CA1166"/>
    <w:rsid w:val="00CA1649"/>
    <w:rsid w:val="00CA16C0"/>
    <w:rsid w:val="00CA2193"/>
    <w:rsid w:val="00CA28B0"/>
    <w:rsid w:val="00CA3037"/>
    <w:rsid w:val="00CA348E"/>
    <w:rsid w:val="00CA370C"/>
    <w:rsid w:val="00CA38F0"/>
    <w:rsid w:val="00CA3D0A"/>
    <w:rsid w:val="00CA46C8"/>
    <w:rsid w:val="00CA4840"/>
    <w:rsid w:val="00CA52AB"/>
    <w:rsid w:val="00CA564E"/>
    <w:rsid w:val="00CA56A3"/>
    <w:rsid w:val="00CA5AD0"/>
    <w:rsid w:val="00CA5F80"/>
    <w:rsid w:val="00CA64CD"/>
    <w:rsid w:val="00CA6571"/>
    <w:rsid w:val="00CA65D3"/>
    <w:rsid w:val="00CA702A"/>
    <w:rsid w:val="00CB019D"/>
    <w:rsid w:val="00CB02CD"/>
    <w:rsid w:val="00CB040A"/>
    <w:rsid w:val="00CB0507"/>
    <w:rsid w:val="00CB0D64"/>
    <w:rsid w:val="00CB0E29"/>
    <w:rsid w:val="00CB17FA"/>
    <w:rsid w:val="00CB1902"/>
    <w:rsid w:val="00CB1AED"/>
    <w:rsid w:val="00CB2908"/>
    <w:rsid w:val="00CB2E57"/>
    <w:rsid w:val="00CB2F1E"/>
    <w:rsid w:val="00CB3163"/>
    <w:rsid w:val="00CB3183"/>
    <w:rsid w:val="00CB3F5E"/>
    <w:rsid w:val="00CB440B"/>
    <w:rsid w:val="00CB46BE"/>
    <w:rsid w:val="00CB5662"/>
    <w:rsid w:val="00CB5881"/>
    <w:rsid w:val="00CB591E"/>
    <w:rsid w:val="00CB5F4B"/>
    <w:rsid w:val="00CB67F0"/>
    <w:rsid w:val="00CB7927"/>
    <w:rsid w:val="00CB7E10"/>
    <w:rsid w:val="00CC001B"/>
    <w:rsid w:val="00CC0203"/>
    <w:rsid w:val="00CC041D"/>
    <w:rsid w:val="00CC0C38"/>
    <w:rsid w:val="00CC1259"/>
    <w:rsid w:val="00CC14AC"/>
    <w:rsid w:val="00CC153F"/>
    <w:rsid w:val="00CC197F"/>
    <w:rsid w:val="00CC1BFF"/>
    <w:rsid w:val="00CC210C"/>
    <w:rsid w:val="00CC2999"/>
    <w:rsid w:val="00CC2AFF"/>
    <w:rsid w:val="00CC2C5B"/>
    <w:rsid w:val="00CC3933"/>
    <w:rsid w:val="00CC39E2"/>
    <w:rsid w:val="00CC3E85"/>
    <w:rsid w:val="00CC49D4"/>
    <w:rsid w:val="00CC50CE"/>
    <w:rsid w:val="00CC5129"/>
    <w:rsid w:val="00CC577A"/>
    <w:rsid w:val="00CC5ADF"/>
    <w:rsid w:val="00CC5DE5"/>
    <w:rsid w:val="00CC5F29"/>
    <w:rsid w:val="00CC64F8"/>
    <w:rsid w:val="00CC6707"/>
    <w:rsid w:val="00CC6CD9"/>
    <w:rsid w:val="00CC6D3B"/>
    <w:rsid w:val="00CC7003"/>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7BE"/>
    <w:rsid w:val="00CD3A13"/>
    <w:rsid w:val="00CD3ABA"/>
    <w:rsid w:val="00CD3BF2"/>
    <w:rsid w:val="00CD3ED4"/>
    <w:rsid w:val="00CD403A"/>
    <w:rsid w:val="00CD43F9"/>
    <w:rsid w:val="00CD4573"/>
    <w:rsid w:val="00CD4E65"/>
    <w:rsid w:val="00CD4E8C"/>
    <w:rsid w:val="00CD508E"/>
    <w:rsid w:val="00CD577D"/>
    <w:rsid w:val="00CD5846"/>
    <w:rsid w:val="00CD59C8"/>
    <w:rsid w:val="00CD5E7B"/>
    <w:rsid w:val="00CD6086"/>
    <w:rsid w:val="00CD6245"/>
    <w:rsid w:val="00CD62A4"/>
    <w:rsid w:val="00CD6593"/>
    <w:rsid w:val="00CD6A47"/>
    <w:rsid w:val="00CD6A87"/>
    <w:rsid w:val="00CD6F6F"/>
    <w:rsid w:val="00CD72C3"/>
    <w:rsid w:val="00CD7749"/>
    <w:rsid w:val="00CD7B9A"/>
    <w:rsid w:val="00CE0340"/>
    <w:rsid w:val="00CE0C42"/>
    <w:rsid w:val="00CE0ED1"/>
    <w:rsid w:val="00CE1744"/>
    <w:rsid w:val="00CE1C25"/>
    <w:rsid w:val="00CE1DBF"/>
    <w:rsid w:val="00CE1FD2"/>
    <w:rsid w:val="00CE2293"/>
    <w:rsid w:val="00CE2597"/>
    <w:rsid w:val="00CE2DE3"/>
    <w:rsid w:val="00CE3448"/>
    <w:rsid w:val="00CE34D2"/>
    <w:rsid w:val="00CE35C0"/>
    <w:rsid w:val="00CE3D25"/>
    <w:rsid w:val="00CE47D5"/>
    <w:rsid w:val="00CE4852"/>
    <w:rsid w:val="00CE4969"/>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B00"/>
    <w:rsid w:val="00CF3D3C"/>
    <w:rsid w:val="00CF3D88"/>
    <w:rsid w:val="00CF435F"/>
    <w:rsid w:val="00CF4439"/>
    <w:rsid w:val="00CF468A"/>
    <w:rsid w:val="00CF4726"/>
    <w:rsid w:val="00CF475B"/>
    <w:rsid w:val="00CF476B"/>
    <w:rsid w:val="00CF4788"/>
    <w:rsid w:val="00CF4CD9"/>
    <w:rsid w:val="00CF4F89"/>
    <w:rsid w:val="00CF5329"/>
    <w:rsid w:val="00CF53EC"/>
    <w:rsid w:val="00CF5BB1"/>
    <w:rsid w:val="00CF6093"/>
    <w:rsid w:val="00CF6239"/>
    <w:rsid w:val="00CF634E"/>
    <w:rsid w:val="00CF64EB"/>
    <w:rsid w:val="00CF67D9"/>
    <w:rsid w:val="00CF6C32"/>
    <w:rsid w:val="00CF72A9"/>
    <w:rsid w:val="00CF72C6"/>
    <w:rsid w:val="00CF758B"/>
    <w:rsid w:val="00CF7D70"/>
    <w:rsid w:val="00D0060B"/>
    <w:rsid w:val="00D017FF"/>
    <w:rsid w:val="00D020F2"/>
    <w:rsid w:val="00D021A3"/>
    <w:rsid w:val="00D02863"/>
    <w:rsid w:val="00D028F2"/>
    <w:rsid w:val="00D0343F"/>
    <w:rsid w:val="00D03772"/>
    <w:rsid w:val="00D03AD3"/>
    <w:rsid w:val="00D03F6B"/>
    <w:rsid w:val="00D04F35"/>
    <w:rsid w:val="00D04F40"/>
    <w:rsid w:val="00D05065"/>
    <w:rsid w:val="00D052CD"/>
    <w:rsid w:val="00D05A9F"/>
    <w:rsid w:val="00D05B72"/>
    <w:rsid w:val="00D05BF3"/>
    <w:rsid w:val="00D0615C"/>
    <w:rsid w:val="00D06DF9"/>
    <w:rsid w:val="00D06E3C"/>
    <w:rsid w:val="00D0797B"/>
    <w:rsid w:val="00D07D5A"/>
    <w:rsid w:val="00D100D3"/>
    <w:rsid w:val="00D102D5"/>
    <w:rsid w:val="00D10CBA"/>
    <w:rsid w:val="00D1108C"/>
    <w:rsid w:val="00D11159"/>
    <w:rsid w:val="00D11AB2"/>
    <w:rsid w:val="00D12323"/>
    <w:rsid w:val="00D1245B"/>
    <w:rsid w:val="00D128DB"/>
    <w:rsid w:val="00D1293C"/>
    <w:rsid w:val="00D12D85"/>
    <w:rsid w:val="00D12F96"/>
    <w:rsid w:val="00D13D83"/>
    <w:rsid w:val="00D13DC5"/>
    <w:rsid w:val="00D14339"/>
    <w:rsid w:val="00D145E2"/>
    <w:rsid w:val="00D153B8"/>
    <w:rsid w:val="00D15589"/>
    <w:rsid w:val="00D15E64"/>
    <w:rsid w:val="00D15F40"/>
    <w:rsid w:val="00D16124"/>
    <w:rsid w:val="00D1709C"/>
    <w:rsid w:val="00D178EC"/>
    <w:rsid w:val="00D17AEB"/>
    <w:rsid w:val="00D206B5"/>
    <w:rsid w:val="00D2083A"/>
    <w:rsid w:val="00D20F4B"/>
    <w:rsid w:val="00D21615"/>
    <w:rsid w:val="00D216DE"/>
    <w:rsid w:val="00D21798"/>
    <w:rsid w:val="00D21C3F"/>
    <w:rsid w:val="00D21E95"/>
    <w:rsid w:val="00D220D2"/>
    <w:rsid w:val="00D22142"/>
    <w:rsid w:val="00D226BA"/>
    <w:rsid w:val="00D22A31"/>
    <w:rsid w:val="00D22D42"/>
    <w:rsid w:val="00D23116"/>
    <w:rsid w:val="00D23521"/>
    <w:rsid w:val="00D23ABD"/>
    <w:rsid w:val="00D23CBA"/>
    <w:rsid w:val="00D24B5E"/>
    <w:rsid w:val="00D24E54"/>
    <w:rsid w:val="00D25575"/>
    <w:rsid w:val="00D2566A"/>
    <w:rsid w:val="00D25E98"/>
    <w:rsid w:val="00D25EE9"/>
    <w:rsid w:val="00D26779"/>
    <w:rsid w:val="00D26CCA"/>
    <w:rsid w:val="00D27023"/>
    <w:rsid w:val="00D27330"/>
    <w:rsid w:val="00D2766C"/>
    <w:rsid w:val="00D30694"/>
    <w:rsid w:val="00D30C54"/>
    <w:rsid w:val="00D30DDA"/>
    <w:rsid w:val="00D311ED"/>
    <w:rsid w:val="00D31404"/>
    <w:rsid w:val="00D31576"/>
    <w:rsid w:val="00D316C0"/>
    <w:rsid w:val="00D3187B"/>
    <w:rsid w:val="00D319C5"/>
    <w:rsid w:val="00D31AC9"/>
    <w:rsid w:val="00D328BD"/>
    <w:rsid w:val="00D329D4"/>
    <w:rsid w:val="00D32B60"/>
    <w:rsid w:val="00D33058"/>
    <w:rsid w:val="00D3309C"/>
    <w:rsid w:val="00D3378D"/>
    <w:rsid w:val="00D33CB7"/>
    <w:rsid w:val="00D3415D"/>
    <w:rsid w:val="00D34414"/>
    <w:rsid w:val="00D3474B"/>
    <w:rsid w:val="00D34E98"/>
    <w:rsid w:val="00D35A7D"/>
    <w:rsid w:val="00D35C5E"/>
    <w:rsid w:val="00D3605D"/>
    <w:rsid w:val="00D36302"/>
    <w:rsid w:val="00D36789"/>
    <w:rsid w:val="00D3685D"/>
    <w:rsid w:val="00D36E85"/>
    <w:rsid w:val="00D36FCA"/>
    <w:rsid w:val="00D37098"/>
    <w:rsid w:val="00D3763B"/>
    <w:rsid w:val="00D37ACD"/>
    <w:rsid w:val="00D37ECA"/>
    <w:rsid w:val="00D40213"/>
    <w:rsid w:val="00D404CF"/>
    <w:rsid w:val="00D40A4C"/>
    <w:rsid w:val="00D41361"/>
    <w:rsid w:val="00D41511"/>
    <w:rsid w:val="00D41693"/>
    <w:rsid w:val="00D416F4"/>
    <w:rsid w:val="00D41AB0"/>
    <w:rsid w:val="00D41B23"/>
    <w:rsid w:val="00D41E5B"/>
    <w:rsid w:val="00D42081"/>
    <w:rsid w:val="00D427CB"/>
    <w:rsid w:val="00D42BC1"/>
    <w:rsid w:val="00D42D8F"/>
    <w:rsid w:val="00D431EB"/>
    <w:rsid w:val="00D43950"/>
    <w:rsid w:val="00D43BF9"/>
    <w:rsid w:val="00D447DB"/>
    <w:rsid w:val="00D44811"/>
    <w:rsid w:val="00D44AD8"/>
    <w:rsid w:val="00D44FC8"/>
    <w:rsid w:val="00D4506E"/>
    <w:rsid w:val="00D451B2"/>
    <w:rsid w:val="00D451FA"/>
    <w:rsid w:val="00D45229"/>
    <w:rsid w:val="00D45787"/>
    <w:rsid w:val="00D4582D"/>
    <w:rsid w:val="00D458E2"/>
    <w:rsid w:val="00D464FD"/>
    <w:rsid w:val="00D468E2"/>
    <w:rsid w:val="00D475D4"/>
    <w:rsid w:val="00D4790F"/>
    <w:rsid w:val="00D47DB5"/>
    <w:rsid w:val="00D47DCF"/>
    <w:rsid w:val="00D50361"/>
    <w:rsid w:val="00D5064D"/>
    <w:rsid w:val="00D512CF"/>
    <w:rsid w:val="00D513B7"/>
    <w:rsid w:val="00D5142D"/>
    <w:rsid w:val="00D51704"/>
    <w:rsid w:val="00D51A5C"/>
    <w:rsid w:val="00D51BFA"/>
    <w:rsid w:val="00D51EB4"/>
    <w:rsid w:val="00D52404"/>
    <w:rsid w:val="00D52663"/>
    <w:rsid w:val="00D52DC7"/>
    <w:rsid w:val="00D52E26"/>
    <w:rsid w:val="00D53093"/>
    <w:rsid w:val="00D531C1"/>
    <w:rsid w:val="00D5350F"/>
    <w:rsid w:val="00D53813"/>
    <w:rsid w:val="00D539E3"/>
    <w:rsid w:val="00D53C40"/>
    <w:rsid w:val="00D53ED2"/>
    <w:rsid w:val="00D540A5"/>
    <w:rsid w:val="00D542B6"/>
    <w:rsid w:val="00D544D5"/>
    <w:rsid w:val="00D54673"/>
    <w:rsid w:val="00D5481B"/>
    <w:rsid w:val="00D54C7D"/>
    <w:rsid w:val="00D54EEB"/>
    <w:rsid w:val="00D55305"/>
    <w:rsid w:val="00D556AE"/>
    <w:rsid w:val="00D559F8"/>
    <w:rsid w:val="00D55B4C"/>
    <w:rsid w:val="00D55ED8"/>
    <w:rsid w:val="00D55F63"/>
    <w:rsid w:val="00D5617F"/>
    <w:rsid w:val="00D567A8"/>
    <w:rsid w:val="00D567E2"/>
    <w:rsid w:val="00D56CDE"/>
    <w:rsid w:val="00D56F2B"/>
    <w:rsid w:val="00D56F2D"/>
    <w:rsid w:val="00D574A8"/>
    <w:rsid w:val="00D579A7"/>
    <w:rsid w:val="00D57BAE"/>
    <w:rsid w:val="00D604B3"/>
    <w:rsid w:val="00D604DD"/>
    <w:rsid w:val="00D6054D"/>
    <w:rsid w:val="00D60993"/>
    <w:rsid w:val="00D60A4F"/>
    <w:rsid w:val="00D60C79"/>
    <w:rsid w:val="00D60C9C"/>
    <w:rsid w:val="00D60D35"/>
    <w:rsid w:val="00D61192"/>
    <w:rsid w:val="00D61381"/>
    <w:rsid w:val="00D613E7"/>
    <w:rsid w:val="00D61BC0"/>
    <w:rsid w:val="00D62E2C"/>
    <w:rsid w:val="00D62E68"/>
    <w:rsid w:val="00D63174"/>
    <w:rsid w:val="00D631D5"/>
    <w:rsid w:val="00D63230"/>
    <w:rsid w:val="00D637D5"/>
    <w:rsid w:val="00D63974"/>
    <w:rsid w:val="00D63D79"/>
    <w:rsid w:val="00D63E56"/>
    <w:rsid w:val="00D63F53"/>
    <w:rsid w:val="00D63F70"/>
    <w:rsid w:val="00D642D5"/>
    <w:rsid w:val="00D6443A"/>
    <w:rsid w:val="00D653BD"/>
    <w:rsid w:val="00D654C5"/>
    <w:rsid w:val="00D66571"/>
    <w:rsid w:val="00D66AFC"/>
    <w:rsid w:val="00D66C52"/>
    <w:rsid w:val="00D66E28"/>
    <w:rsid w:val="00D6753D"/>
    <w:rsid w:val="00D6758D"/>
    <w:rsid w:val="00D67A83"/>
    <w:rsid w:val="00D67F3A"/>
    <w:rsid w:val="00D70160"/>
    <w:rsid w:val="00D703F9"/>
    <w:rsid w:val="00D70815"/>
    <w:rsid w:val="00D70848"/>
    <w:rsid w:val="00D70C5F"/>
    <w:rsid w:val="00D70D39"/>
    <w:rsid w:val="00D70DBA"/>
    <w:rsid w:val="00D70FD6"/>
    <w:rsid w:val="00D723F9"/>
    <w:rsid w:val="00D726AD"/>
    <w:rsid w:val="00D72EE4"/>
    <w:rsid w:val="00D738EE"/>
    <w:rsid w:val="00D73AB5"/>
    <w:rsid w:val="00D73D6D"/>
    <w:rsid w:val="00D74083"/>
    <w:rsid w:val="00D74C28"/>
    <w:rsid w:val="00D74EFC"/>
    <w:rsid w:val="00D74F57"/>
    <w:rsid w:val="00D7500E"/>
    <w:rsid w:val="00D750DE"/>
    <w:rsid w:val="00D75262"/>
    <w:rsid w:val="00D7528E"/>
    <w:rsid w:val="00D7556B"/>
    <w:rsid w:val="00D75AC1"/>
    <w:rsid w:val="00D75D5A"/>
    <w:rsid w:val="00D75E49"/>
    <w:rsid w:val="00D76017"/>
    <w:rsid w:val="00D76666"/>
    <w:rsid w:val="00D766C3"/>
    <w:rsid w:val="00D768A4"/>
    <w:rsid w:val="00D76C9B"/>
    <w:rsid w:val="00D7768A"/>
    <w:rsid w:val="00D77910"/>
    <w:rsid w:val="00D7795A"/>
    <w:rsid w:val="00D77C63"/>
    <w:rsid w:val="00D77EB8"/>
    <w:rsid w:val="00D80DBF"/>
    <w:rsid w:val="00D80E41"/>
    <w:rsid w:val="00D80F83"/>
    <w:rsid w:val="00D812E0"/>
    <w:rsid w:val="00D812E2"/>
    <w:rsid w:val="00D81358"/>
    <w:rsid w:val="00D813A2"/>
    <w:rsid w:val="00D8184B"/>
    <w:rsid w:val="00D8221F"/>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3E1"/>
    <w:rsid w:val="00D86D37"/>
    <w:rsid w:val="00D86F4A"/>
    <w:rsid w:val="00D87081"/>
    <w:rsid w:val="00D871B9"/>
    <w:rsid w:val="00D8780E"/>
    <w:rsid w:val="00D8791F"/>
    <w:rsid w:val="00D90054"/>
    <w:rsid w:val="00D905A8"/>
    <w:rsid w:val="00D90765"/>
    <w:rsid w:val="00D90BEE"/>
    <w:rsid w:val="00D90DC1"/>
    <w:rsid w:val="00D90F2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4ED2"/>
    <w:rsid w:val="00D954EE"/>
    <w:rsid w:val="00D95593"/>
    <w:rsid w:val="00D95636"/>
    <w:rsid w:val="00D95B81"/>
    <w:rsid w:val="00D96012"/>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51B"/>
    <w:rsid w:val="00DA1670"/>
    <w:rsid w:val="00DA1F5B"/>
    <w:rsid w:val="00DA2462"/>
    <w:rsid w:val="00DA2763"/>
    <w:rsid w:val="00DA278E"/>
    <w:rsid w:val="00DA2B0B"/>
    <w:rsid w:val="00DA2D48"/>
    <w:rsid w:val="00DA2D9F"/>
    <w:rsid w:val="00DA2E17"/>
    <w:rsid w:val="00DA2E6B"/>
    <w:rsid w:val="00DA355C"/>
    <w:rsid w:val="00DA390A"/>
    <w:rsid w:val="00DA3B74"/>
    <w:rsid w:val="00DA3DA6"/>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1CB2"/>
    <w:rsid w:val="00DB1F59"/>
    <w:rsid w:val="00DB214C"/>
    <w:rsid w:val="00DB2275"/>
    <w:rsid w:val="00DB23BB"/>
    <w:rsid w:val="00DB25DD"/>
    <w:rsid w:val="00DB2607"/>
    <w:rsid w:val="00DB2689"/>
    <w:rsid w:val="00DB26F0"/>
    <w:rsid w:val="00DB2807"/>
    <w:rsid w:val="00DB2A1B"/>
    <w:rsid w:val="00DB2BE7"/>
    <w:rsid w:val="00DB2E4D"/>
    <w:rsid w:val="00DB317E"/>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5A"/>
    <w:rsid w:val="00DC0D99"/>
    <w:rsid w:val="00DC0E24"/>
    <w:rsid w:val="00DC10DE"/>
    <w:rsid w:val="00DC1526"/>
    <w:rsid w:val="00DC15A3"/>
    <w:rsid w:val="00DC163C"/>
    <w:rsid w:val="00DC1BFF"/>
    <w:rsid w:val="00DC1ED0"/>
    <w:rsid w:val="00DC246C"/>
    <w:rsid w:val="00DC273C"/>
    <w:rsid w:val="00DC292A"/>
    <w:rsid w:val="00DC2E82"/>
    <w:rsid w:val="00DC2FEB"/>
    <w:rsid w:val="00DC31D4"/>
    <w:rsid w:val="00DC3301"/>
    <w:rsid w:val="00DC37CA"/>
    <w:rsid w:val="00DC38D8"/>
    <w:rsid w:val="00DC3B77"/>
    <w:rsid w:val="00DC3C20"/>
    <w:rsid w:val="00DC3E44"/>
    <w:rsid w:val="00DC3EFB"/>
    <w:rsid w:val="00DC450B"/>
    <w:rsid w:val="00DC48F0"/>
    <w:rsid w:val="00DC49E4"/>
    <w:rsid w:val="00DC49ED"/>
    <w:rsid w:val="00DC49FA"/>
    <w:rsid w:val="00DC4FAA"/>
    <w:rsid w:val="00DC53E1"/>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C95"/>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2D6"/>
    <w:rsid w:val="00DF12FA"/>
    <w:rsid w:val="00DF1492"/>
    <w:rsid w:val="00DF17BD"/>
    <w:rsid w:val="00DF19A2"/>
    <w:rsid w:val="00DF1B50"/>
    <w:rsid w:val="00DF1B61"/>
    <w:rsid w:val="00DF1CE4"/>
    <w:rsid w:val="00DF1D16"/>
    <w:rsid w:val="00DF20CE"/>
    <w:rsid w:val="00DF3048"/>
    <w:rsid w:val="00DF3051"/>
    <w:rsid w:val="00DF343E"/>
    <w:rsid w:val="00DF36BF"/>
    <w:rsid w:val="00DF3852"/>
    <w:rsid w:val="00DF3B31"/>
    <w:rsid w:val="00DF3E28"/>
    <w:rsid w:val="00DF3FC2"/>
    <w:rsid w:val="00DF3FFA"/>
    <w:rsid w:val="00DF42A7"/>
    <w:rsid w:val="00DF4391"/>
    <w:rsid w:val="00DF44A2"/>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7C1"/>
    <w:rsid w:val="00E019FE"/>
    <w:rsid w:val="00E01D08"/>
    <w:rsid w:val="00E02344"/>
    <w:rsid w:val="00E027E9"/>
    <w:rsid w:val="00E028EF"/>
    <w:rsid w:val="00E02A91"/>
    <w:rsid w:val="00E04804"/>
    <w:rsid w:val="00E05552"/>
    <w:rsid w:val="00E057A1"/>
    <w:rsid w:val="00E05A87"/>
    <w:rsid w:val="00E05E62"/>
    <w:rsid w:val="00E06190"/>
    <w:rsid w:val="00E06330"/>
    <w:rsid w:val="00E0689B"/>
    <w:rsid w:val="00E069AE"/>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09C"/>
    <w:rsid w:val="00E1447A"/>
    <w:rsid w:val="00E14685"/>
    <w:rsid w:val="00E14714"/>
    <w:rsid w:val="00E150C0"/>
    <w:rsid w:val="00E150FD"/>
    <w:rsid w:val="00E15388"/>
    <w:rsid w:val="00E158DB"/>
    <w:rsid w:val="00E1591F"/>
    <w:rsid w:val="00E16377"/>
    <w:rsid w:val="00E16A55"/>
    <w:rsid w:val="00E16ACA"/>
    <w:rsid w:val="00E16FFD"/>
    <w:rsid w:val="00E1700C"/>
    <w:rsid w:val="00E17217"/>
    <w:rsid w:val="00E17425"/>
    <w:rsid w:val="00E17934"/>
    <w:rsid w:val="00E17AD2"/>
    <w:rsid w:val="00E17DF9"/>
    <w:rsid w:val="00E2075F"/>
    <w:rsid w:val="00E20A94"/>
    <w:rsid w:val="00E20D99"/>
    <w:rsid w:val="00E22755"/>
    <w:rsid w:val="00E227FE"/>
    <w:rsid w:val="00E22FDA"/>
    <w:rsid w:val="00E23592"/>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CA0"/>
    <w:rsid w:val="00E32DE0"/>
    <w:rsid w:val="00E32E5D"/>
    <w:rsid w:val="00E32F37"/>
    <w:rsid w:val="00E33007"/>
    <w:rsid w:val="00E331A4"/>
    <w:rsid w:val="00E331B8"/>
    <w:rsid w:val="00E33443"/>
    <w:rsid w:val="00E3377F"/>
    <w:rsid w:val="00E33990"/>
    <w:rsid w:val="00E34122"/>
    <w:rsid w:val="00E34AC0"/>
    <w:rsid w:val="00E34C6D"/>
    <w:rsid w:val="00E34F2E"/>
    <w:rsid w:val="00E35390"/>
    <w:rsid w:val="00E355A8"/>
    <w:rsid w:val="00E37096"/>
    <w:rsid w:val="00E37A7E"/>
    <w:rsid w:val="00E37CAE"/>
    <w:rsid w:val="00E37E47"/>
    <w:rsid w:val="00E37EEE"/>
    <w:rsid w:val="00E40323"/>
    <w:rsid w:val="00E40449"/>
    <w:rsid w:val="00E40845"/>
    <w:rsid w:val="00E40A41"/>
    <w:rsid w:val="00E41196"/>
    <w:rsid w:val="00E4176B"/>
    <w:rsid w:val="00E4197C"/>
    <w:rsid w:val="00E43089"/>
    <w:rsid w:val="00E43DC5"/>
    <w:rsid w:val="00E4420E"/>
    <w:rsid w:val="00E443CE"/>
    <w:rsid w:val="00E44F10"/>
    <w:rsid w:val="00E45477"/>
    <w:rsid w:val="00E456B4"/>
    <w:rsid w:val="00E4582D"/>
    <w:rsid w:val="00E45A08"/>
    <w:rsid w:val="00E45D1F"/>
    <w:rsid w:val="00E46363"/>
    <w:rsid w:val="00E46449"/>
    <w:rsid w:val="00E4686F"/>
    <w:rsid w:val="00E46A4F"/>
    <w:rsid w:val="00E471B8"/>
    <w:rsid w:val="00E47BDC"/>
    <w:rsid w:val="00E50149"/>
    <w:rsid w:val="00E50323"/>
    <w:rsid w:val="00E50882"/>
    <w:rsid w:val="00E50AAE"/>
    <w:rsid w:val="00E50C75"/>
    <w:rsid w:val="00E50D5A"/>
    <w:rsid w:val="00E50DEF"/>
    <w:rsid w:val="00E510E9"/>
    <w:rsid w:val="00E5140F"/>
    <w:rsid w:val="00E51895"/>
    <w:rsid w:val="00E51B4D"/>
    <w:rsid w:val="00E51CF4"/>
    <w:rsid w:val="00E51D2C"/>
    <w:rsid w:val="00E51D50"/>
    <w:rsid w:val="00E51F04"/>
    <w:rsid w:val="00E51F26"/>
    <w:rsid w:val="00E52992"/>
    <w:rsid w:val="00E52A25"/>
    <w:rsid w:val="00E52B20"/>
    <w:rsid w:val="00E52CB9"/>
    <w:rsid w:val="00E52F40"/>
    <w:rsid w:val="00E53088"/>
    <w:rsid w:val="00E5389B"/>
    <w:rsid w:val="00E53A7C"/>
    <w:rsid w:val="00E548EA"/>
    <w:rsid w:val="00E55045"/>
    <w:rsid w:val="00E55476"/>
    <w:rsid w:val="00E55616"/>
    <w:rsid w:val="00E55789"/>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0ED8"/>
    <w:rsid w:val="00E612C6"/>
    <w:rsid w:val="00E612ED"/>
    <w:rsid w:val="00E617A1"/>
    <w:rsid w:val="00E61B05"/>
    <w:rsid w:val="00E61F8E"/>
    <w:rsid w:val="00E620F2"/>
    <w:rsid w:val="00E62810"/>
    <w:rsid w:val="00E630BE"/>
    <w:rsid w:val="00E631E5"/>
    <w:rsid w:val="00E63391"/>
    <w:rsid w:val="00E6347B"/>
    <w:rsid w:val="00E6384D"/>
    <w:rsid w:val="00E63919"/>
    <w:rsid w:val="00E63CA9"/>
    <w:rsid w:val="00E64054"/>
    <w:rsid w:val="00E64075"/>
    <w:rsid w:val="00E6437E"/>
    <w:rsid w:val="00E644C9"/>
    <w:rsid w:val="00E64538"/>
    <w:rsid w:val="00E645B5"/>
    <w:rsid w:val="00E64CE8"/>
    <w:rsid w:val="00E653C5"/>
    <w:rsid w:val="00E654DC"/>
    <w:rsid w:val="00E65949"/>
    <w:rsid w:val="00E65B8E"/>
    <w:rsid w:val="00E65C88"/>
    <w:rsid w:val="00E66022"/>
    <w:rsid w:val="00E66470"/>
    <w:rsid w:val="00E66696"/>
    <w:rsid w:val="00E666BD"/>
    <w:rsid w:val="00E66B52"/>
    <w:rsid w:val="00E66E5F"/>
    <w:rsid w:val="00E67128"/>
    <w:rsid w:val="00E676CF"/>
    <w:rsid w:val="00E679BB"/>
    <w:rsid w:val="00E67BAE"/>
    <w:rsid w:val="00E70157"/>
    <w:rsid w:val="00E7024B"/>
    <w:rsid w:val="00E703F4"/>
    <w:rsid w:val="00E70676"/>
    <w:rsid w:val="00E70863"/>
    <w:rsid w:val="00E70CE3"/>
    <w:rsid w:val="00E70DFA"/>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278"/>
    <w:rsid w:val="00E77713"/>
    <w:rsid w:val="00E77801"/>
    <w:rsid w:val="00E77D6C"/>
    <w:rsid w:val="00E8082F"/>
    <w:rsid w:val="00E80DE4"/>
    <w:rsid w:val="00E80E8B"/>
    <w:rsid w:val="00E8171D"/>
    <w:rsid w:val="00E81D4A"/>
    <w:rsid w:val="00E82BB6"/>
    <w:rsid w:val="00E82CE8"/>
    <w:rsid w:val="00E82FEA"/>
    <w:rsid w:val="00E8394A"/>
    <w:rsid w:val="00E83AC5"/>
    <w:rsid w:val="00E842C1"/>
    <w:rsid w:val="00E8497C"/>
    <w:rsid w:val="00E84D57"/>
    <w:rsid w:val="00E85114"/>
    <w:rsid w:val="00E86BA9"/>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1DF"/>
    <w:rsid w:val="00E9648B"/>
    <w:rsid w:val="00E96936"/>
    <w:rsid w:val="00E96B4D"/>
    <w:rsid w:val="00E96F58"/>
    <w:rsid w:val="00E970F6"/>
    <w:rsid w:val="00E975C6"/>
    <w:rsid w:val="00E97B5C"/>
    <w:rsid w:val="00E97BE1"/>
    <w:rsid w:val="00EA0DC1"/>
    <w:rsid w:val="00EA11CA"/>
    <w:rsid w:val="00EA1878"/>
    <w:rsid w:val="00EA1A92"/>
    <w:rsid w:val="00EA1C51"/>
    <w:rsid w:val="00EA1DD3"/>
    <w:rsid w:val="00EA24BD"/>
    <w:rsid w:val="00EA31F2"/>
    <w:rsid w:val="00EA34E7"/>
    <w:rsid w:val="00EA36B6"/>
    <w:rsid w:val="00EA388C"/>
    <w:rsid w:val="00EA4781"/>
    <w:rsid w:val="00EA47A1"/>
    <w:rsid w:val="00EA4BEA"/>
    <w:rsid w:val="00EA5670"/>
    <w:rsid w:val="00EA58E4"/>
    <w:rsid w:val="00EA5DFC"/>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238"/>
    <w:rsid w:val="00EB4769"/>
    <w:rsid w:val="00EB4887"/>
    <w:rsid w:val="00EB4EC2"/>
    <w:rsid w:val="00EB51BA"/>
    <w:rsid w:val="00EB5578"/>
    <w:rsid w:val="00EB56F7"/>
    <w:rsid w:val="00EB60DF"/>
    <w:rsid w:val="00EB6451"/>
    <w:rsid w:val="00EB6EDD"/>
    <w:rsid w:val="00EB71A4"/>
    <w:rsid w:val="00EB73CF"/>
    <w:rsid w:val="00EB747A"/>
    <w:rsid w:val="00EB7508"/>
    <w:rsid w:val="00EB76DB"/>
    <w:rsid w:val="00EB7706"/>
    <w:rsid w:val="00EB7759"/>
    <w:rsid w:val="00EC03AA"/>
    <w:rsid w:val="00EC063A"/>
    <w:rsid w:val="00EC0773"/>
    <w:rsid w:val="00EC0941"/>
    <w:rsid w:val="00EC0B2D"/>
    <w:rsid w:val="00EC0B2F"/>
    <w:rsid w:val="00EC0BA7"/>
    <w:rsid w:val="00EC0C40"/>
    <w:rsid w:val="00EC0D17"/>
    <w:rsid w:val="00EC0F11"/>
    <w:rsid w:val="00EC0FA6"/>
    <w:rsid w:val="00EC0FDC"/>
    <w:rsid w:val="00EC1039"/>
    <w:rsid w:val="00EC11C4"/>
    <w:rsid w:val="00EC18AA"/>
    <w:rsid w:val="00EC2144"/>
    <w:rsid w:val="00EC21F3"/>
    <w:rsid w:val="00EC286D"/>
    <w:rsid w:val="00EC3E41"/>
    <w:rsid w:val="00EC4063"/>
    <w:rsid w:val="00EC460A"/>
    <w:rsid w:val="00EC46F7"/>
    <w:rsid w:val="00EC4820"/>
    <w:rsid w:val="00EC4CB3"/>
    <w:rsid w:val="00EC4F87"/>
    <w:rsid w:val="00EC566E"/>
    <w:rsid w:val="00EC59F7"/>
    <w:rsid w:val="00EC6286"/>
    <w:rsid w:val="00EC6B58"/>
    <w:rsid w:val="00EC6F30"/>
    <w:rsid w:val="00EC7243"/>
    <w:rsid w:val="00EC7773"/>
    <w:rsid w:val="00EC794D"/>
    <w:rsid w:val="00ED025B"/>
    <w:rsid w:val="00ED0385"/>
    <w:rsid w:val="00ED126B"/>
    <w:rsid w:val="00ED1AD6"/>
    <w:rsid w:val="00ED1CE1"/>
    <w:rsid w:val="00ED2167"/>
    <w:rsid w:val="00ED26CA"/>
    <w:rsid w:val="00ED3419"/>
    <w:rsid w:val="00ED348F"/>
    <w:rsid w:val="00ED381B"/>
    <w:rsid w:val="00ED3984"/>
    <w:rsid w:val="00ED39C5"/>
    <w:rsid w:val="00ED4572"/>
    <w:rsid w:val="00ED50E8"/>
    <w:rsid w:val="00ED5216"/>
    <w:rsid w:val="00ED5228"/>
    <w:rsid w:val="00ED5442"/>
    <w:rsid w:val="00ED5CB8"/>
    <w:rsid w:val="00ED688B"/>
    <w:rsid w:val="00ED69B9"/>
    <w:rsid w:val="00ED6F19"/>
    <w:rsid w:val="00ED75A9"/>
    <w:rsid w:val="00ED75F1"/>
    <w:rsid w:val="00EE01AC"/>
    <w:rsid w:val="00EE0351"/>
    <w:rsid w:val="00EE06CD"/>
    <w:rsid w:val="00EE0C8A"/>
    <w:rsid w:val="00EE0E00"/>
    <w:rsid w:val="00EE1237"/>
    <w:rsid w:val="00EE1287"/>
    <w:rsid w:val="00EE1F10"/>
    <w:rsid w:val="00EE2207"/>
    <w:rsid w:val="00EE292E"/>
    <w:rsid w:val="00EE3234"/>
    <w:rsid w:val="00EE342F"/>
    <w:rsid w:val="00EE345C"/>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9BE"/>
    <w:rsid w:val="00EF1E9D"/>
    <w:rsid w:val="00EF21F0"/>
    <w:rsid w:val="00EF29E5"/>
    <w:rsid w:val="00EF2ED1"/>
    <w:rsid w:val="00EF37F5"/>
    <w:rsid w:val="00EF3A31"/>
    <w:rsid w:val="00EF3B1C"/>
    <w:rsid w:val="00EF3BE8"/>
    <w:rsid w:val="00EF402E"/>
    <w:rsid w:val="00EF4363"/>
    <w:rsid w:val="00EF4421"/>
    <w:rsid w:val="00EF449C"/>
    <w:rsid w:val="00EF48A5"/>
    <w:rsid w:val="00EF4A92"/>
    <w:rsid w:val="00EF4D44"/>
    <w:rsid w:val="00EF4EB2"/>
    <w:rsid w:val="00EF4FA5"/>
    <w:rsid w:val="00EF5659"/>
    <w:rsid w:val="00EF56A5"/>
    <w:rsid w:val="00EF56C4"/>
    <w:rsid w:val="00EF5798"/>
    <w:rsid w:val="00EF5D3A"/>
    <w:rsid w:val="00EF5FA6"/>
    <w:rsid w:val="00EF5FE7"/>
    <w:rsid w:val="00EF63E3"/>
    <w:rsid w:val="00EF6ADC"/>
    <w:rsid w:val="00EF6C67"/>
    <w:rsid w:val="00EF701B"/>
    <w:rsid w:val="00EF71D1"/>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21F"/>
    <w:rsid w:val="00F06377"/>
    <w:rsid w:val="00F06DD1"/>
    <w:rsid w:val="00F06EB8"/>
    <w:rsid w:val="00F07245"/>
    <w:rsid w:val="00F076D9"/>
    <w:rsid w:val="00F10015"/>
    <w:rsid w:val="00F100ED"/>
    <w:rsid w:val="00F10509"/>
    <w:rsid w:val="00F10F8E"/>
    <w:rsid w:val="00F110A5"/>
    <w:rsid w:val="00F113D6"/>
    <w:rsid w:val="00F1152B"/>
    <w:rsid w:val="00F118B4"/>
    <w:rsid w:val="00F11AD1"/>
    <w:rsid w:val="00F11D6A"/>
    <w:rsid w:val="00F11EE0"/>
    <w:rsid w:val="00F11F6C"/>
    <w:rsid w:val="00F11F81"/>
    <w:rsid w:val="00F12140"/>
    <w:rsid w:val="00F121F1"/>
    <w:rsid w:val="00F124CB"/>
    <w:rsid w:val="00F124E5"/>
    <w:rsid w:val="00F12A7F"/>
    <w:rsid w:val="00F12EEB"/>
    <w:rsid w:val="00F12F8B"/>
    <w:rsid w:val="00F133AE"/>
    <w:rsid w:val="00F134C1"/>
    <w:rsid w:val="00F13514"/>
    <w:rsid w:val="00F13586"/>
    <w:rsid w:val="00F135A9"/>
    <w:rsid w:val="00F13630"/>
    <w:rsid w:val="00F137D9"/>
    <w:rsid w:val="00F14218"/>
    <w:rsid w:val="00F143CD"/>
    <w:rsid w:val="00F146EE"/>
    <w:rsid w:val="00F14B75"/>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404"/>
    <w:rsid w:val="00F25A3F"/>
    <w:rsid w:val="00F25B15"/>
    <w:rsid w:val="00F26326"/>
    <w:rsid w:val="00F2633B"/>
    <w:rsid w:val="00F26E25"/>
    <w:rsid w:val="00F27183"/>
    <w:rsid w:val="00F27758"/>
    <w:rsid w:val="00F27B0E"/>
    <w:rsid w:val="00F27D63"/>
    <w:rsid w:val="00F30185"/>
    <w:rsid w:val="00F30C27"/>
    <w:rsid w:val="00F315B3"/>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136"/>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13F"/>
    <w:rsid w:val="00F4250F"/>
    <w:rsid w:val="00F4254B"/>
    <w:rsid w:val="00F426B9"/>
    <w:rsid w:val="00F4290E"/>
    <w:rsid w:val="00F42B8E"/>
    <w:rsid w:val="00F43108"/>
    <w:rsid w:val="00F43EDD"/>
    <w:rsid w:val="00F44233"/>
    <w:rsid w:val="00F442F5"/>
    <w:rsid w:val="00F4547B"/>
    <w:rsid w:val="00F45492"/>
    <w:rsid w:val="00F456CE"/>
    <w:rsid w:val="00F4593C"/>
    <w:rsid w:val="00F45B45"/>
    <w:rsid w:val="00F468E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C7"/>
    <w:rsid w:val="00F55CDB"/>
    <w:rsid w:val="00F56C76"/>
    <w:rsid w:val="00F56E34"/>
    <w:rsid w:val="00F56EC3"/>
    <w:rsid w:val="00F56FEA"/>
    <w:rsid w:val="00F571D6"/>
    <w:rsid w:val="00F57624"/>
    <w:rsid w:val="00F577F6"/>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69C3"/>
    <w:rsid w:val="00F671BD"/>
    <w:rsid w:val="00F67B8D"/>
    <w:rsid w:val="00F67D7C"/>
    <w:rsid w:val="00F70297"/>
    <w:rsid w:val="00F702BE"/>
    <w:rsid w:val="00F70954"/>
    <w:rsid w:val="00F70E08"/>
    <w:rsid w:val="00F7111A"/>
    <w:rsid w:val="00F717E6"/>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C76"/>
    <w:rsid w:val="00F73D6C"/>
    <w:rsid w:val="00F73F8E"/>
    <w:rsid w:val="00F74210"/>
    <w:rsid w:val="00F74B75"/>
    <w:rsid w:val="00F74B99"/>
    <w:rsid w:val="00F750E0"/>
    <w:rsid w:val="00F7518E"/>
    <w:rsid w:val="00F75829"/>
    <w:rsid w:val="00F759CD"/>
    <w:rsid w:val="00F762E0"/>
    <w:rsid w:val="00F769DB"/>
    <w:rsid w:val="00F76A73"/>
    <w:rsid w:val="00F76AA1"/>
    <w:rsid w:val="00F76B31"/>
    <w:rsid w:val="00F76CB6"/>
    <w:rsid w:val="00F777B5"/>
    <w:rsid w:val="00F77968"/>
    <w:rsid w:val="00F77B18"/>
    <w:rsid w:val="00F77B8F"/>
    <w:rsid w:val="00F77EFD"/>
    <w:rsid w:val="00F80139"/>
    <w:rsid w:val="00F80275"/>
    <w:rsid w:val="00F80372"/>
    <w:rsid w:val="00F80684"/>
    <w:rsid w:val="00F80E5D"/>
    <w:rsid w:val="00F81D91"/>
    <w:rsid w:val="00F824FE"/>
    <w:rsid w:val="00F825A8"/>
    <w:rsid w:val="00F83201"/>
    <w:rsid w:val="00F83467"/>
    <w:rsid w:val="00F8383F"/>
    <w:rsid w:val="00F842B8"/>
    <w:rsid w:val="00F844E5"/>
    <w:rsid w:val="00F846FD"/>
    <w:rsid w:val="00F847F3"/>
    <w:rsid w:val="00F84C80"/>
    <w:rsid w:val="00F8506D"/>
    <w:rsid w:val="00F850E5"/>
    <w:rsid w:val="00F85151"/>
    <w:rsid w:val="00F85159"/>
    <w:rsid w:val="00F855AC"/>
    <w:rsid w:val="00F858F5"/>
    <w:rsid w:val="00F85C89"/>
    <w:rsid w:val="00F86CFA"/>
    <w:rsid w:val="00F873B0"/>
    <w:rsid w:val="00F87488"/>
    <w:rsid w:val="00F87BA1"/>
    <w:rsid w:val="00F87CE6"/>
    <w:rsid w:val="00F87F56"/>
    <w:rsid w:val="00F904EC"/>
    <w:rsid w:val="00F90FA1"/>
    <w:rsid w:val="00F9108D"/>
    <w:rsid w:val="00F91103"/>
    <w:rsid w:val="00F9130B"/>
    <w:rsid w:val="00F913C4"/>
    <w:rsid w:val="00F91483"/>
    <w:rsid w:val="00F91E56"/>
    <w:rsid w:val="00F9202F"/>
    <w:rsid w:val="00F923D1"/>
    <w:rsid w:val="00F9307C"/>
    <w:rsid w:val="00F933ED"/>
    <w:rsid w:val="00F934DD"/>
    <w:rsid w:val="00F9352E"/>
    <w:rsid w:val="00F93866"/>
    <w:rsid w:val="00F93876"/>
    <w:rsid w:val="00F93DF3"/>
    <w:rsid w:val="00F948CB"/>
    <w:rsid w:val="00F94F40"/>
    <w:rsid w:val="00F94FC9"/>
    <w:rsid w:val="00F94FD7"/>
    <w:rsid w:val="00F95170"/>
    <w:rsid w:val="00F954A0"/>
    <w:rsid w:val="00F954E6"/>
    <w:rsid w:val="00F95E16"/>
    <w:rsid w:val="00F963E6"/>
    <w:rsid w:val="00F96613"/>
    <w:rsid w:val="00F96912"/>
    <w:rsid w:val="00F96B7B"/>
    <w:rsid w:val="00F96CE3"/>
    <w:rsid w:val="00F97730"/>
    <w:rsid w:val="00F9790B"/>
    <w:rsid w:val="00F97A91"/>
    <w:rsid w:val="00FA00DC"/>
    <w:rsid w:val="00FA0393"/>
    <w:rsid w:val="00FA07DB"/>
    <w:rsid w:val="00FA0F03"/>
    <w:rsid w:val="00FA115C"/>
    <w:rsid w:val="00FA1392"/>
    <w:rsid w:val="00FA1A02"/>
    <w:rsid w:val="00FA1D37"/>
    <w:rsid w:val="00FA2C56"/>
    <w:rsid w:val="00FA3839"/>
    <w:rsid w:val="00FA3958"/>
    <w:rsid w:val="00FA4071"/>
    <w:rsid w:val="00FA45BC"/>
    <w:rsid w:val="00FA4A76"/>
    <w:rsid w:val="00FA4BC5"/>
    <w:rsid w:val="00FA4D35"/>
    <w:rsid w:val="00FA4E03"/>
    <w:rsid w:val="00FA4F3D"/>
    <w:rsid w:val="00FA51BF"/>
    <w:rsid w:val="00FA52DE"/>
    <w:rsid w:val="00FA5463"/>
    <w:rsid w:val="00FA5CB1"/>
    <w:rsid w:val="00FA669F"/>
    <w:rsid w:val="00FA69D7"/>
    <w:rsid w:val="00FA6C0A"/>
    <w:rsid w:val="00FA73BF"/>
    <w:rsid w:val="00FA7897"/>
    <w:rsid w:val="00FA7B2D"/>
    <w:rsid w:val="00FB0593"/>
    <w:rsid w:val="00FB05DF"/>
    <w:rsid w:val="00FB09E1"/>
    <w:rsid w:val="00FB0A21"/>
    <w:rsid w:val="00FB0BF3"/>
    <w:rsid w:val="00FB0DAA"/>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09"/>
    <w:rsid w:val="00FB5B90"/>
    <w:rsid w:val="00FB5BAA"/>
    <w:rsid w:val="00FB5D08"/>
    <w:rsid w:val="00FB5F00"/>
    <w:rsid w:val="00FB6271"/>
    <w:rsid w:val="00FB629B"/>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4E6"/>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C7D60"/>
    <w:rsid w:val="00FD0166"/>
    <w:rsid w:val="00FD07AB"/>
    <w:rsid w:val="00FD0DB1"/>
    <w:rsid w:val="00FD196F"/>
    <w:rsid w:val="00FD1A71"/>
    <w:rsid w:val="00FD1FF0"/>
    <w:rsid w:val="00FD23E8"/>
    <w:rsid w:val="00FD27DC"/>
    <w:rsid w:val="00FD2A7E"/>
    <w:rsid w:val="00FD30BE"/>
    <w:rsid w:val="00FD3516"/>
    <w:rsid w:val="00FD35D5"/>
    <w:rsid w:val="00FD3BE0"/>
    <w:rsid w:val="00FD3E42"/>
    <w:rsid w:val="00FD432F"/>
    <w:rsid w:val="00FD4330"/>
    <w:rsid w:val="00FD4395"/>
    <w:rsid w:val="00FD4AE4"/>
    <w:rsid w:val="00FD4CA0"/>
    <w:rsid w:val="00FD4DB5"/>
    <w:rsid w:val="00FD4EEA"/>
    <w:rsid w:val="00FD5195"/>
    <w:rsid w:val="00FD55FB"/>
    <w:rsid w:val="00FD5C04"/>
    <w:rsid w:val="00FD5D3C"/>
    <w:rsid w:val="00FD62EA"/>
    <w:rsid w:val="00FD6345"/>
    <w:rsid w:val="00FD67FE"/>
    <w:rsid w:val="00FD6800"/>
    <w:rsid w:val="00FD694E"/>
    <w:rsid w:val="00FD6A88"/>
    <w:rsid w:val="00FD6B89"/>
    <w:rsid w:val="00FD6CB3"/>
    <w:rsid w:val="00FD6CE2"/>
    <w:rsid w:val="00FD6E3E"/>
    <w:rsid w:val="00FD6F64"/>
    <w:rsid w:val="00FD7359"/>
    <w:rsid w:val="00FD7395"/>
    <w:rsid w:val="00FD74AE"/>
    <w:rsid w:val="00FD7947"/>
    <w:rsid w:val="00FD7C6B"/>
    <w:rsid w:val="00FE088E"/>
    <w:rsid w:val="00FE0B81"/>
    <w:rsid w:val="00FE0D3E"/>
    <w:rsid w:val="00FE10A1"/>
    <w:rsid w:val="00FE10F6"/>
    <w:rsid w:val="00FE180F"/>
    <w:rsid w:val="00FE1DCD"/>
    <w:rsid w:val="00FE209B"/>
    <w:rsid w:val="00FE2499"/>
    <w:rsid w:val="00FE2667"/>
    <w:rsid w:val="00FE306F"/>
    <w:rsid w:val="00FE316C"/>
    <w:rsid w:val="00FE3A42"/>
    <w:rsid w:val="00FE4722"/>
    <w:rsid w:val="00FE495D"/>
    <w:rsid w:val="00FE4C64"/>
    <w:rsid w:val="00FE4E5E"/>
    <w:rsid w:val="00FE4F9A"/>
    <w:rsid w:val="00FE5244"/>
    <w:rsid w:val="00FE5404"/>
    <w:rsid w:val="00FE5578"/>
    <w:rsid w:val="00FE55CC"/>
    <w:rsid w:val="00FE55CD"/>
    <w:rsid w:val="00FE5EF0"/>
    <w:rsid w:val="00FE5F5C"/>
    <w:rsid w:val="00FE5FD7"/>
    <w:rsid w:val="00FE5FED"/>
    <w:rsid w:val="00FE6B6C"/>
    <w:rsid w:val="00FE761D"/>
    <w:rsid w:val="00FE7FA5"/>
    <w:rsid w:val="00FF0308"/>
    <w:rsid w:val="00FF0931"/>
    <w:rsid w:val="00FF0AF2"/>
    <w:rsid w:val="00FF0B2E"/>
    <w:rsid w:val="00FF0FBC"/>
    <w:rsid w:val="00FF1271"/>
    <w:rsid w:val="00FF25F8"/>
    <w:rsid w:val="00FF2CAB"/>
    <w:rsid w:val="00FF2E39"/>
    <w:rsid w:val="00FF2E6D"/>
    <w:rsid w:val="00FF2F78"/>
    <w:rsid w:val="00FF35AF"/>
    <w:rsid w:val="00FF3AD8"/>
    <w:rsid w:val="00FF42A4"/>
    <w:rsid w:val="00FF48E3"/>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3CDA269"/>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B4681F"/>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522B45"/>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287C55"/>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7FF734B"/>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8FC6351"/>
    <w:rsid w:val="29093FDD"/>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819573"/>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A4C53"/>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EEC62D"/>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18D367"/>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DFF434D"/>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84474E"/>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2B83F"/>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439C4"/>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447C5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66D1B"/>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69BAD"/>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15:docId w15:val="{E4BAF971-B549-4307-B5B2-DA939DB23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322FB0"/>
    <w:pPr>
      <w:tabs>
        <w:tab w:val="right" w:leader="dot" w:pos="9921"/>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22FB0"/>
    <w:pPr>
      <w:tabs>
        <w:tab w:val="right" w:leader="dot" w:pos="9921"/>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99"/>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EF2ED1"/>
    <w:rPr>
      <w:color w:val="605E5C"/>
      <w:shd w:val="clear" w:color="auto" w:fill="E1DFDD"/>
    </w:rPr>
  </w:style>
  <w:style w:type="character" w:styleId="UnresolvedMention">
    <w:name w:val="Unresolved Mention"/>
    <w:basedOn w:val="DefaultParagraphFont"/>
    <w:uiPriority w:val="99"/>
    <w:semiHidden/>
    <w:unhideWhenUsed/>
    <w:rsid w:val="00E6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81490776">
      <w:bodyDiv w:val="1"/>
      <w:marLeft w:val="0"/>
      <w:marRight w:val="0"/>
      <w:marTop w:val="0"/>
      <w:marBottom w:val="0"/>
      <w:divBdr>
        <w:top w:val="none" w:sz="0" w:space="0" w:color="auto"/>
        <w:left w:val="none" w:sz="0" w:space="0" w:color="auto"/>
        <w:bottom w:val="none" w:sz="0" w:space="0" w:color="auto"/>
        <w:right w:val="none" w:sz="0" w:space="0" w:color="auto"/>
      </w:divBdr>
      <w:divsChild>
        <w:div w:id="693656392">
          <w:marLeft w:val="0"/>
          <w:marRight w:val="0"/>
          <w:marTop w:val="0"/>
          <w:marBottom w:val="0"/>
          <w:divBdr>
            <w:top w:val="none" w:sz="0" w:space="0" w:color="auto"/>
            <w:left w:val="none" w:sz="0" w:space="0" w:color="auto"/>
            <w:bottom w:val="none" w:sz="0" w:space="0" w:color="auto"/>
            <w:right w:val="none" w:sz="0" w:space="0" w:color="auto"/>
          </w:divBdr>
        </w:div>
        <w:div w:id="70737920">
          <w:marLeft w:val="0"/>
          <w:marRight w:val="0"/>
          <w:marTop w:val="0"/>
          <w:marBottom w:val="0"/>
          <w:divBdr>
            <w:top w:val="none" w:sz="0" w:space="0" w:color="auto"/>
            <w:left w:val="none" w:sz="0" w:space="0" w:color="auto"/>
            <w:bottom w:val="none" w:sz="0" w:space="0" w:color="auto"/>
            <w:right w:val="none" w:sz="0" w:space="0" w:color="auto"/>
          </w:divBdr>
        </w:div>
      </w:divsChild>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88295750">
      <w:bodyDiv w:val="1"/>
      <w:marLeft w:val="0"/>
      <w:marRight w:val="0"/>
      <w:marTop w:val="0"/>
      <w:marBottom w:val="0"/>
      <w:divBdr>
        <w:top w:val="none" w:sz="0" w:space="0" w:color="auto"/>
        <w:left w:val="none" w:sz="0" w:space="0" w:color="auto"/>
        <w:bottom w:val="none" w:sz="0" w:space="0" w:color="auto"/>
        <w:right w:val="none" w:sz="0" w:space="0" w:color="auto"/>
      </w:divBdr>
      <w:divsChild>
        <w:div w:id="2005009824">
          <w:marLeft w:val="0"/>
          <w:marRight w:val="0"/>
          <w:marTop w:val="0"/>
          <w:marBottom w:val="0"/>
          <w:divBdr>
            <w:top w:val="none" w:sz="0" w:space="0" w:color="auto"/>
            <w:left w:val="none" w:sz="0" w:space="0" w:color="auto"/>
            <w:bottom w:val="none" w:sz="0" w:space="0" w:color="auto"/>
            <w:right w:val="none" w:sz="0" w:space="0" w:color="auto"/>
          </w:divBdr>
        </w:div>
        <w:div w:id="1646156810">
          <w:marLeft w:val="0"/>
          <w:marRight w:val="0"/>
          <w:marTop w:val="0"/>
          <w:marBottom w:val="0"/>
          <w:divBdr>
            <w:top w:val="none" w:sz="0" w:space="0" w:color="auto"/>
            <w:left w:val="none" w:sz="0" w:space="0" w:color="auto"/>
            <w:bottom w:val="none" w:sz="0" w:space="0" w:color="auto"/>
            <w:right w:val="none" w:sz="0" w:space="0" w:color="auto"/>
          </w:divBdr>
        </w:div>
      </w:divsChild>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584885">
      <w:bodyDiv w:val="1"/>
      <w:marLeft w:val="0"/>
      <w:marRight w:val="0"/>
      <w:marTop w:val="0"/>
      <w:marBottom w:val="0"/>
      <w:divBdr>
        <w:top w:val="none" w:sz="0" w:space="0" w:color="auto"/>
        <w:left w:val="none" w:sz="0" w:space="0" w:color="auto"/>
        <w:bottom w:val="none" w:sz="0" w:space="0" w:color="auto"/>
        <w:right w:val="none" w:sz="0" w:space="0" w:color="auto"/>
      </w:divBdr>
      <w:divsChild>
        <w:div w:id="85345062">
          <w:marLeft w:val="0"/>
          <w:marRight w:val="0"/>
          <w:marTop w:val="0"/>
          <w:marBottom w:val="0"/>
          <w:divBdr>
            <w:top w:val="none" w:sz="0" w:space="0" w:color="auto"/>
            <w:left w:val="none" w:sz="0" w:space="0" w:color="auto"/>
            <w:bottom w:val="none" w:sz="0" w:space="0" w:color="auto"/>
            <w:right w:val="none" w:sz="0" w:space="0" w:color="auto"/>
          </w:divBdr>
        </w:div>
        <w:div w:id="937369857">
          <w:marLeft w:val="0"/>
          <w:marRight w:val="0"/>
          <w:marTop w:val="0"/>
          <w:marBottom w:val="0"/>
          <w:divBdr>
            <w:top w:val="none" w:sz="0" w:space="0" w:color="auto"/>
            <w:left w:val="none" w:sz="0" w:space="0" w:color="auto"/>
            <w:bottom w:val="none" w:sz="0" w:space="0" w:color="auto"/>
            <w:right w:val="none" w:sz="0" w:space="0" w:color="auto"/>
          </w:divBdr>
        </w:div>
      </w:divsChild>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33179630">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301394">
      <w:bodyDiv w:val="1"/>
      <w:marLeft w:val="0"/>
      <w:marRight w:val="0"/>
      <w:marTop w:val="0"/>
      <w:marBottom w:val="0"/>
      <w:divBdr>
        <w:top w:val="none" w:sz="0" w:space="0" w:color="auto"/>
        <w:left w:val="none" w:sz="0" w:space="0" w:color="auto"/>
        <w:bottom w:val="none" w:sz="0" w:space="0" w:color="auto"/>
        <w:right w:val="none" w:sz="0" w:space="0" w:color="auto"/>
      </w:divBdr>
      <w:divsChild>
        <w:div w:id="2082219004">
          <w:marLeft w:val="0"/>
          <w:marRight w:val="0"/>
          <w:marTop w:val="0"/>
          <w:marBottom w:val="0"/>
          <w:divBdr>
            <w:top w:val="none" w:sz="0" w:space="0" w:color="auto"/>
            <w:left w:val="none" w:sz="0" w:space="0" w:color="auto"/>
            <w:bottom w:val="none" w:sz="0" w:space="0" w:color="auto"/>
            <w:right w:val="none" w:sz="0" w:space="0" w:color="auto"/>
          </w:divBdr>
        </w:div>
        <w:div w:id="2051147387">
          <w:marLeft w:val="0"/>
          <w:marRight w:val="0"/>
          <w:marTop w:val="0"/>
          <w:marBottom w:val="0"/>
          <w:divBdr>
            <w:top w:val="none" w:sz="0" w:space="0" w:color="auto"/>
            <w:left w:val="none" w:sz="0" w:space="0" w:color="auto"/>
            <w:bottom w:val="none" w:sz="0" w:space="0" w:color="auto"/>
            <w:right w:val="none" w:sz="0" w:space="0" w:color="auto"/>
          </w:divBdr>
        </w:div>
      </w:divsChild>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3848466">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tar.lt/portal/lt/legalAct/6ccbcbc426a511f08fdabd4950271e2c" TargetMode="External"/><Relationship Id="rId18" Type="http://schemas.openxmlformats.org/officeDocument/2006/relationships/hyperlink" Target="https://e-tar.lt/portal/lt/legalAct/6e8e2db421ee11f08fdabd4950271e2c" TargetMode="External"/><Relationship Id="rId26" Type="http://schemas.openxmlformats.org/officeDocument/2006/relationships/hyperlink" Target="https://www.e-tar.lt/portal/lt/legalAct/19a3bbc41ba511f08fdabd4950271e2c" TargetMode="External"/><Relationship Id="rId3" Type="http://schemas.openxmlformats.org/officeDocument/2006/relationships/styles" Target="styles.xml"/><Relationship Id="rId21" Type="http://schemas.openxmlformats.org/officeDocument/2006/relationships/hyperlink" Target="https://e-tar.lt/portal/lt/legalAct/655ffb242b5c11f08fdabd4950271e2c" TargetMode="External"/><Relationship Id="rId7" Type="http://schemas.openxmlformats.org/officeDocument/2006/relationships/endnotes" Target="endnotes.xml"/><Relationship Id="rId12" Type="http://schemas.openxmlformats.org/officeDocument/2006/relationships/hyperlink" Target="https://www.e-tar.lt/portal/lt/legalAct/203df3141ba511f08fdabd4950271e2c" TargetMode="External"/><Relationship Id="rId17" Type="http://schemas.openxmlformats.org/officeDocument/2006/relationships/hyperlink" Target="https://www.e-tar.lt/portal/lt/legalAct/697bec062b5c11f08fdabd4950271e2c" TargetMode="External"/><Relationship Id="rId25" Type="http://schemas.openxmlformats.org/officeDocument/2006/relationships/hyperlink" Target="https://e-tar.lt/portal/lt/legalAct/4b98a2c61c6e11f08fdabd4950271e2c" TargetMode="External"/><Relationship Id="rId2" Type="http://schemas.openxmlformats.org/officeDocument/2006/relationships/numbering" Target="numbering.xml"/><Relationship Id="rId16" Type="http://schemas.openxmlformats.org/officeDocument/2006/relationships/hyperlink" Target="https://www.e-tar.lt/portal/lt/legalAct/c16781742cee11f08fdabd4950271e2c" TargetMode="External"/><Relationship Id="rId20" Type="http://schemas.openxmlformats.org/officeDocument/2006/relationships/hyperlink" Target="https://e-tar.lt/portal/lt/legalAct/6602d960301311f08fdabd4950271e2c"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ar.lt/portal/lt/legalAct/17da721329ca11f08fdabd4950271e2c" TargetMode="External"/><Relationship Id="rId24" Type="http://schemas.openxmlformats.org/officeDocument/2006/relationships/hyperlink" Target="https://www.e-tar.lt/portal/lt/legalAct/674cef8426a511f08fdabd4950271e2c" TargetMode="External"/><Relationship Id="rId5" Type="http://schemas.openxmlformats.org/officeDocument/2006/relationships/webSettings" Target="webSettings.xml"/><Relationship Id="rId15" Type="http://schemas.openxmlformats.org/officeDocument/2006/relationships/hyperlink" Target="https://www.e-tar.lt/portal/lt/legalAct/fa0c85941adb11f08fdabd4950271e2c" TargetMode="External"/><Relationship Id="rId23" Type="http://schemas.openxmlformats.org/officeDocument/2006/relationships/hyperlink" Target="https://www.e-tar.lt/portal/lt/legalAct/eec9d4d01adb11f08fdabd4950271e2c" TargetMode="External"/><Relationship Id="rId28" Type="http://schemas.openxmlformats.org/officeDocument/2006/relationships/footer" Target="footer1.xml"/><Relationship Id="rId10" Type="http://schemas.openxmlformats.org/officeDocument/2006/relationships/hyperlink" Target="https://e-tar.lt/portal/lt/legalAct/ee4478341adb11f08fdabd4950271e2c" TargetMode="External"/><Relationship Id="rId19" Type="http://schemas.openxmlformats.org/officeDocument/2006/relationships/hyperlink" Target="https://e-tar.lt/portal/lt/legalAct/6ea296262b5c11f08fdabd4950271e2c"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tar.lt/portal/lt/legalAct/191c15311ba511f08fdabd4950271e2c" TargetMode="External"/><Relationship Id="rId14" Type="http://schemas.openxmlformats.org/officeDocument/2006/relationships/hyperlink" Target="https://e-tar.lt/portal/lt/legalAct/6f600141301311f08fdabd4950271e2c" TargetMode="External"/><Relationship Id="rId22" Type="http://schemas.openxmlformats.org/officeDocument/2006/relationships/hyperlink" Target="https://www.e-tar.lt/portal/lt/legalAct/fc15c3101adb11f08fdabd4950271e2c"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12124</Words>
  <Characters>88949</Characters>
  <Application>Microsoft Office Word</Application>
  <DocSecurity>4</DocSecurity>
  <Lines>741</Lines>
  <Paragraphs>201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Žemaitis</dc:creator>
  <cp:keywords/>
  <dc:description/>
  <cp:lastModifiedBy>Marius Žemaitis</cp:lastModifiedBy>
  <cp:revision>2</cp:revision>
  <dcterms:created xsi:type="dcterms:W3CDTF">2025-06-09T12:20:00Z</dcterms:created>
  <dcterms:modified xsi:type="dcterms:W3CDTF">2025-06-09T12:20:00Z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