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D187E2" w14:textId="77777777" w:rsidR="003D4C15" w:rsidRPr="005B56A3" w:rsidRDefault="003D4C15" w:rsidP="007A35C3">
      <w:pPr>
        <w:pStyle w:val="NoSpacing"/>
        <w:spacing w:after="240"/>
        <w:jc w:val="both"/>
        <w:rPr>
          <w:rFonts w:asciiTheme="minorHAnsi" w:hAnsiTheme="minorHAnsi" w:cstheme="minorHAnsi"/>
        </w:rPr>
      </w:pPr>
      <w:bookmarkStart w:id="0" w:name="_GoBack"/>
      <w:bookmarkEnd w:id="0"/>
    </w:p>
    <w:p w14:paraId="17569D08" w14:textId="77777777" w:rsidR="003D4C15" w:rsidRPr="005B56A3" w:rsidRDefault="003D4C15" w:rsidP="007A35C3">
      <w:pPr>
        <w:pStyle w:val="NoSpacing"/>
        <w:spacing w:after="240"/>
        <w:jc w:val="both"/>
        <w:rPr>
          <w:rFonts w:asciiTheme="minorHAnsi" w:hAnsiTheme="minorHAnsi" w:cstheme="minorHAnsi"/>
        </w:rPr>
      </w:pPr>
    </w:p>
    <w:p w14:paraId="70D2EAA9" w14:textId="77777777" w:rsidR="00A4671F" w:rsidRPr="005B56A3" w:rsidRDefault="00A4671F" w:rsidP="007A35C3">
      <w:pPr>
        <w:pStyle w:val="NoSpacing"/>
        <w:spacing w:after="1440"/>
        <w:ind w:left="1296" w:hanging="1296"/>
        <w:jc w:val="center"/>
        <w:rPr>
          <w:rFonts w:asciiTheme="minorHAnsi" w:hAnsiTheme="minorHAnsi" w:cstheme="minorHAnsi"/>
          <w:lang w:eastAsia="lt-LT"/>
        </w:rPr>
      </w:pPr>
    </w:p>
    <w:p w14:paraId="66813C6B" w14:textId="77777777" w:rsidR="003D4C15" w:rsidRPr="005B56A3" w:rsidRDefault="003D4C15" w:rsidP="007A35C3">
      <w:pPr>
        <w:pStyle w:val="NoSpacing"/>
        <w:spacing w:after="1440"/>
        <w:ind w:left="1296" w:hanging="1296"/>
        <w:jc w:val="center"/>
        <w:rPr>
          <w:rFonts w:asciiTheme="minorHAnsi" w:hAnsiTheme="minorHAnsi" w:cstheme="minorHAnsi"/>
        </w:rPr>
      </w:pPr>
      <w:r w:rsidRPr="005B56A3">
        <w:rPr>
          <w:rFonts w:asciiTheme="minorHAnsi" w:hAnsiTheme="minorHAnsi" w:cstheme="minorHAnsi"/>
          <w:noProof/>
          <w:lang w:eastAsia="lt-LT"/>
        </w:rPr>
        <w:drawing>
          <wp:inline distT="0" distB="0" distL="0" distR="0" wp14:anchorId="56558103" wp14:editId="29433013">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5B56A3">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11981688" wp14:editId="12A519C7">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mo="http://schemas.microsoft.com/office/mac/office/2008/main" xmlns:mv="urn:schemas-microsoft-com:mac:vml" xmlns:a="http://schemas.openxmlformats.org/drawingml/2006/main" xmlns:pic="http://schemas.openxmlformats.org/drawingml/2006/picture"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17ED665">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5F0ED1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5B56A3">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62DAADE0" wp14:editId="7A4D4842">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mo="http://schemas.microsoft.com/office/mac/office/2008/main" xmlns:mv="urn:schemas-microsoft-com:mac:vml" xmlns:a="http://schemas.openxmlformats.org/drawingml/2006/main" xmlns:pic="http://schemas.openxmlformats.org/drawingml/2006/picture"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6A1B9C84">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0BB0D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5B56A3">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01D9FCAC" wp14:editId="22BF0D2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mo="http://schemas.microsoft.com/office/mac/office/2008/main" xmlns:mv="urn:schemas-microsoft-com:mac:vml" xmlns:a="http://schemas.openxmlformats.org/drawingml/2006/main" xmlns:pic="http://schemas.openxmlformats.org/drawingml/2006/picture"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32207BB4">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23502C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5B56A3">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166873A1" wp14:editId="4028A587">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mo="http://schemas.microsoft.com/office/mac/office/2008/main" xmlns:mv="urn:schemas-microsoft-com:mac:vml" xmlns:a="http://schemas.openxmlformats.org/drawingml/2006/main" xmlns:pic="http://schemas.openxmlformats.org/drawingml/2006/picture"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191EECB8">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3DE6C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06F7CBC9" w14:textId="77777777" w:rsidR="003D4C15" w:rsidRPr="005B56A3" w:rsidRDefault="003D4C15" w:rsidP="007A35C3">
      <w:pPr>
        <w:pStyle w:val="NoSpacing"/>
        <w:jc w:val="center"/>
        <w:rPr>
          <w:rFonts w:asciiTheme="minorHAnsi" w:hAnsiTheme="minorHAnsi" w:cstheme="minorHAnsi"/>
          <w:smallCaps/>
          <w:sz w:val="52"/>
          <w:szCs w:val="52"/>
        </w:rPr>
      </w:pPr>
      <w:r w:rsidRPr="005B56A3">
        <w:rPr>
          <w:rFonts w:asciiTheme="minorHAnsi" w:hAnsiTheme="minorHAnsi" w:cstheme="minorHAnsi"/>
          <w:smallCaps/>
          <w:sz w:val="52"/>
          <w:szCs w:val="52"/>
        </w:rPr>
        <w:t>Lietuvos vyriausiojo administracinio teismo praktikos apžvalga</w:t>
      </w:r>
    </w:p>
    <w:p w14:paraId="6B519B9C" w14:textId="6B7D1C19" w:rsidR="003D4C15" w:rsidRPr="005B56A3" w:rsidRDefault="003D4C15" w:rsidP="007A35C3">
      <w:pPr>
        <w:pStyle w:val="NoSpacing"/>
        <w:jc w:val="center"/>
        <w:rPr>
          <w:rFonts w:asciiTheme="minorHAnsi" w:hAnsiTheme="minorHAnsi" w:cstheme="minorHAnsi"/>
          <w:b/>
          <w:smallCaps/>
          <w:sz w:val="32"/>
          <w:szCs w:val="32"/>
          <w:u w:val="double"/>
        </w:rPr>
      </w:pPr>
      <w:bookmarkStart w:id="1" w:name="_Toc328035733"/>
      <w:bookmarkStart w:id="2" w:name="_Toc329780677"/>
      <w:bookmarkStart w:id="3" w:name="_Toc329787755"/>
      <w:bookmarkStart w:id="4" w:name="_Toc329790165"/>
      <w:bookmarkStart w:id="5" w:name="_Toc330304784"/>
      <w:bookmarkStart w:id="6" w:name="_Toc331487542"/>
      <w:r w:rsidRPr="005B56A3">
        <w:rPr>
          <w:rFonts w:asciiTheme="minorHAnsi" w:hAnsiTheme="minorHAnsi" w:cstheme="minorHAnsi"/>
          <w:b/>
          <w:smallCaps/>
          <w:sz w:val="32"/>
          <w:szCs w:val="32"/>
          <w:u w:val="double"/>
        </w:rPr>
        <w:t>20</w:t>
      </w:r>
      <w:r w:rsidR="007E55E3" w:rsidRPr="005B56A3">
        <w:rPr>
          <w:rFonts w:asciiTheme="minorHAnsi" w:hAnsiTheme="minorHAnsi" w:cstheme="minorHAnsi"/>
          <w:b/>
          <w:smallCaps/>
          <w:sz w:val="32"/>
          <w:szCs w:val="32"/>
          <w:u w:val="double"/>
        </w:rPr>
        <w:t>20</w:t>
      </w:r>
      <w:r w:rsidRPr="005B56A3">
        <w:rPr>
          <w:rFonts w:asciiTheme="minorHAnsi" w:hAnsiTheme="minorHAnsi" w:cstheme="minorHAnsi"/>
          <w:b/>
          <w:smallCaps/>
          <w:sz w:val="32"/>
          <w:szCs w:val="32"/>
          <w:u w:val="double"/>
        </w:rPr>
        <w:t xml:space="preserve"> m. </w:t>
      </w:r>
      <w:r w:rsidR="007412F7">
        <w:rPr>
          <w:rFonts w:asciiTheme="minorHAnsi" w:hAnsiTheme="minorHAnsi" w:cstheme="minorHAnsi"/>
          <w:b/>
          <w:smallCaps/>
          <w:sz w:val="32"/>
          <w:szCs w:val="32"/>
          <w:u w:val="double"/>
        </w:rPr>
        <w:t>spalio</w:t>
      </w:r>
      <w:r w:rsidR="000F1C77" w:rsidRPr="005B56A3">
        <w:rPr>
          <w:rFonts w:asciiTheme="minorHAnsi" w:hAnsiTheme="minorHAnsi" w:cstheme="minorHAnsi"/>
          <w:b/>
          <w:smallCaps/>
          <w:sz w:val="32"/>
          <w:szCs w:val="32"/>
          <w:u w:val="double"/>
        </w:rPr>
        <w:t xml:space="preserve"> </w:t>
      </w:r>
      <w:r w:rsidRPr="005B56A3">
        <w:rPr>
          <w:rFonts w:asciiTheme="minorHAnsi" w:hAnsiTheme="minorHAnsi" w:cstheme="minorHAnsi"/>
          <w:b/>
          <w:smallCaps/>
          <w:sz w:val="32"/>
          <w:szCs w:val="32"/>
          <w:u w:val="double"/>
        </w:rPr>
        <w:t>1 d. – 20</w:t>
      </w:r>
      <w:r w:rsidR="007E55E3" w:rsidRPr="005B56A3">
        <w:rPr>
          <w:rFonts w:asciiTheme="minorHAnsi" w:hAnsiTheme="minorHAnsi" w:cstheme="minorHAnsi"/>
          <w:b/>
          <w:smallCaps/>
          <w:sz w:val="32"/>
          <w:szCs w:val="32"/>
          <w:u w:val="double"/>
        </w:rPr>
        <w:t>20</w:t>
      </w:r>
      <w:r w:rsidRPr="005B56A3">
        <w:rPr>
          <w:rFonts w:asciiTheme="minorHAnsi" w:hAnsiTheme="minorHAnsi" w:cstheme="minorHAnsi"/>
          <w:b/>
          <w:smallCaps/>
          <w:sz w:val="32"/>
          <w:szCs w:val="32"/>
          <w:u w:val="double"/>
        </w:rPr>
        <w:t xml:space="preserve"> m.</w:t>
      </w:r>
      <w:r w:rsidR="000F1C77" w:rsidRPr="005B56A3">
        <w:rPr>
          <w:rFonts w:asciiTheme="minorHAnsi" w:hAnsiTheme="minorHAnsi" w:cstheme="minorHAnsi"/>
          <w:b/>
          <w:smallCaps/>
          <w:sz w:val="32"/>
          <w:szCs w:val="32"/>
          <w:u w:val="double"/>
        </w:rPr>
        <w:t xml:space="preserve"> </w:t>
      </w:r>
      <w:r w:rsidR="007412F7">
        <w:rPr>
          <w:rFonts w:asciiTheme="minorHAnsi" w:hAnsiTheme="minorHAnsi" w:cstheme="minorHAnsi"/>
          <w:b/>
          <w:smallCaps/>
          <w:sz w:val="32"/>
          <w:szCs w:val="32"/>
          <w:u w:val="double"/>
        </w:rPr>
        <w:t>spalio</w:t>
      </w:r>
      <w:r w:rsidR="00E4176B" w:rsidRPr="005B56A3">
        <w:rPr>
          <w:rFonts w:asciiTheme="minorHAnsi" w:hAnsiTheme="minorHAnsi" w:cstheme="minorHAnsi"/>
          <w:b/>
          <w:smallCaps/>
          <w:sz w:val="32"/>
          <w:szCs w:val="32"/>
          <w:u w:val="double"/>
        </w:rPr>
        <w:t xml:space="preserve"> 3</w:t>
      </w:r>
      <w:r w:rsidR="00AC314A">
        <w:rPr>
          <w:rFonts w:asciiTheme="minorHAnsi" w:hAnsiTheme="minorHAnsi" w:cstheme="minorHAnsi"/>
          <w:b/>
          <w:smallCaps/>
          <w:sz w:val="32"/>
          <w:szCs w:val="32"/>
          <w:u w:val="double"/>
        </w:rPr>
        <w:t>1</w:t>
      </w:r>
      <w:r w:rsidR="000F1C77" w:rsidRPr="005B56A3">
        <w:rPr>
          <w:rFonts w:asciiTheme="minorHAnsi" w:hAnsiTheme="minorHAnsi" w:cstheme="minorHAnsi"/>
          <w:b/>
          <w:smallCaps/>
          <w:sz w:val="32"/>
          <w:szCs w:val="32"/>
          <w:u w:val="double"/>
        </w:rPr>
        <w:t xml:space="preserve"> </w:t>
      </w:r>
      <w:r w:rsidRPr="005B56A3">
        <w:rPr>
          <w:rFonts w:asciiTheme="minorHAnsi" w:hAnsiTheme="minorHAnsi" w:cstheme="minorHAnsi"/>
          <w:b/>
          <w:smallCaps/>
          <w:sz w:val="32"/>
          <w:szCs w:val="32"/>
          <w:u w:val="double"/>
        </w:rPr>
        <w:t>d.</w:t>
      </w:r>
      <w:bookmarkEnd w:id="1"/>
      <w:bookmarkEnd w:id="2"/>
      <w:bookmarkEnd w:id="3"/>
      <w:bookmarkEnd w:id="4"/>
      <w:bookmarkEnd w:id="5"/>
      <w:bookmarkEnd w:id="6"/>
    </w:p>
    <w:p w14:paraId="34CB955A" w14:textId="77777777" w:rsidR="003D4C15" w:rsidRPr="005B56A3" w:rsidRDefault="003D4C15" w:rsidP="007A35C3">
      <w:pPr>
        <w:jc w:val="both"/>
        <w:rPr>
          <w:rFonts w:asciiTheme="minorHAnsi" w:hAnsiTheme="minorHAnsi" w:cstheme="minorHAnsi"/>
          <w:b/>
          <w:smallCaps/>
          <w:sz w:val="32"/>
          <w:szCs w:val="32"/>
        </w:rPr>
      </w:pPr>
    </w:p>
    <w:p w14:paraId="012D63E8" w14:textId="77777777" w:rsidR="003D4C15" w:rsidRPr="005B56A3" w:rsidRDefault="003D4C15" w:rsidP="007A35C3">
      <w:pPr>
        <w:jc w:val="both"/>
        <w:rPr>
          <w:rFonts w:asciiTheme="minorHAnsi" w:hAnsiTheme="minorHAnsi" w:cstheme="minorHAnsi"/>
          <w:b/>
          <w:smallCaps/>
          <w:sz w:val="22"/>
          <w:szCs w:val="22"/>
        </w:rPr>
      </w:pPr>
    </w:p>
    <w:p w14:paraId="455E7653" w14:textId="77777777" w:rsidR="003D4C15" w:rsidRPr="005B56A3" w:rsidRDefault="003D4C15" w:rsidP="007A35C3">
      <w:pPr>
        <w:jc w:val="both"/>
        <w:rPr>
          <w:rFonts w:asciiTheme="minorHAnsi" w:hAnsiTheme="minorHAnsi" w:cstheme="minorHAnsi"/>
          <w:b/>
          <w:smallCaps/>
          <w:sz w:val="22"/>
          <w:szCs w:val="22"/>
        </w:rPr>
      </w:pPr>
    </w:p>
    <w:p w14:paraId="53EE2D16" w14:textId="77777777" w:rsidR="003D4C15" w:rsidRPr="005B56A3" w:rsidRDefault="003D4C15" w:rsidP="007A35C3">
      <w:pPr>
        <w:jc w:val="both"/>
        <w:rPr>
          <w:rFonts w:asciiTheme="minorHAnsi" w:hAnsiTheme="minorHAnsi" w:cstheme="minorHAnsi"/>
          <w:b/>
          <w:smallCaps/>
          <w:sz w:val="22"/>
          <w:szCs w:val="22"/>
        </w:rPr>
      </w:pPr>
    </w:p>
    <w:p w14:paraId="73448F9D" w14:textId="77777777" w:rsidR="003D4C15" w:rsidRPr="005B56A3" w:rsidRDefault="003D4C15" w:rsidP="007A35C3">
      <w:pPr>
        <w:jc w:val="both"/>
        <w:rPr>
          <w:rFonts w:asciiTheme="minorHAnsi" w:hAnsiTheme="minorHAnsi" w:cstheme="minorHAnsi"/>
          <w:b/>
          <w:smallCaps/>
          <w:sz w:val="22"/>
          <w:szCs w:val="22"/>
        </w:rPr>
      </w:pPr>
    </w:p>
    <w:p w14:paraId="28466615" w14:textId="77777777" w:rsidR="003D4C15" w:rsidRPr="005B56A3" w:rsidRDefault="003D4C15" w:rsidP="007A35C3">
      <w:pPr>
        <w:jc w:val="both"/>
        <w:rPr>
          <w:rFonts w:asciiTheme="minorHAnsi" w:hAnsiTheme="minorHAnsi" w:cstheme="minorHAnsi"/>
          <w:b/>
          <w:smallCaps/>
          <w:sz w:val="22"/>
          <w:szCs w:val="22"/>
        </w:rPr>
      </w:pPr>
    </w:p>
    <w:p w14:paraId="2FC70AC6" w14:textId="77777777" w:rsidR="003D4C15" w:rsidRPr="005B56A3" w:rsidRDefault="003D4C15" w:rsidP="007A35C3">
      <w:pPr>
        <w:jc w:val="both"/>
        <w:rPr>
          <w:rFonts w:asciiTheme="minorHAnsi" w:hAnsiTheme="minorHAnsi" w:cstheme="minorHAnsi"/>
          <w:b/>
          <w:smallCaps/>
          <w:sz w:val="22"/>
          <w:szCs w:val="22"/>
        </w:rPr>
      </w:pPr>
    </w:p>
    <w:p w14:paraId="01F50AED" w14:textId="77777777" w:rsidR="003D4C15" w:rsidRPr="005B56A3" w:rsidRDefault="003D4C15" w:rsidP="007A35C3">
      <w:pPr>
        <w:jc w:val="both"/>
        <w:rPr>
          <w:rFonts w:asciiTheme="minorHAnsi" w:hAnsiTheme="minorHAnsi" w:cstheme="minorHAnsi"/>
          <w:b/>
          <w:smallCaps/>
          <w:sz w:val="22"/>
          <w:szCs w:val="22"/>
        </w:rPr>
      </w:pPr>
    </w:p>
    <w:p w14:paraId="30B0D408" w14:textId="77777777" w:rsidR="003D4C15" w:rsidRPr="005B56A3" w:rsidRDefault="003D4C15" w:rsidP="007A35C3">
      <w:pPr>
        <w:jc w:val="both"/>
        <w:rPr>
          <w:rFonts w:asciiTheme="minorHAnsi" w:hAnsiTheme="minorHAnsi" w:cstheme="minorHAnsi"/>
          <w:b/>
          <w:smallCaps/>
          <w:sz w:val="22"/>
          <w:szCs w:val="22"/>
        </w:rPr>
      </w:pPr>
    </w:p>
    <w:p w14:paraId="0AC2F7A6" w14:textId="77777777" w:rsidR="003D4C15" w:rsidRPr="005B56A3" w:rsidRDefault="003D4C15" w:rsidP="007A35C3">
      <w:pPr>
        <w:jc w:val="both"/>
        <w:rPr>
          <w:rFonts w:asciiTheme="minorHAnsi" w:hAnsiTheme="minorHAnsi" w:cstheme="minorHAnsi"/>
          <w:b/>
          <w:smallCaps/>
          <w:sz w:val="22"/>
          <w:szCs w:val="22"/>
        </w:rPr>
      </w:pPr>
    </w:p>
    <w:p w14:paraId="74A36362" w14:textId="77777777" w:rsidR="003D4C15" w:rsidRPr="005B56A3" w:rsidRDefault="003D4C15" w:rsidP="007A35C3">
      <w:pPr>
        <w:jc w:val="both"/>
        <w:rPr>
          <w:rFonts w:asciiTheme="minorHAnsi" w:hAnsiTheme="minorHAnsi" w:cstheme="minorHAnsi"/>
          <w:b/>
          <w:smallCaps/>
          <w:sz w:val="22"/>
          <w:szCs w:val="22"/>
        </w:rPr>
      </w:pPr>
    </w:p>
    <w:p w14:paraId="3B289CC4" w14:textId="77777777" w:rsidR="003D4C15" w:rsidRPr="005B56A3" w:rsidRDefault="003D4C15" w:rsidP="007A35C3">
      <w:pPr>
        <w:jc w:val="both"/>
        <w:rPr>
          <w:rFonts w:asciiTheme="minorHAnsi" w:hAnsiTheme="minorHAnsi" w:cstheme="minorHAnsi"/>
          <w:b/>
          <w:smallCaps/>
          <w:sz w:val="22"/>
          <w:szCs w:val="22"/>
        </w:rPr>
      </w:pPr>
    </w:p>
    <w:p w14:paraId="2012CFEA" w14:textId="77777777" w:rsidR="003D4C15" w:rsidRPr="005B56A3" w:rsidRDefault="003D4C15" w:rsidP="007A35C3">
      <w:pPr>
        <w:jc w:val="both"/>
        <w:rPr>
          <w:rFonts w:asciiTheme="minorHAnsi" w:hAnsiTheme="minorHAnsi" w:cstheme="minorHAnsi"/>
          <w:b/>
          <w:smallCaps/>
          <w:sz w:val="22"/>
          <w:szCs w:val="22"/>
        </w:rPr>
      </w:pPr>
    </w:p>
    <w:p w14:paraId="0CBF0D24" w14:textId="77777777" w:rsidR="003D4C15" w:rsidRPr="005B56A3" w:rsidRDefault="003D4C15" w:rsidP="007A35C3">
      <w:pPr>
        <w:jc w:val="both"/>
        <w:rPr>
          <w:rFonts w:asciiTheme="minorHAnsi" w:hAnsiTheme="minorHAnsi" w:cstheme="minorHAnsi"/>
          <w:b/>
          <w:smallCaps/>
          <w:sz w:val="22"/>
          <w:szCs w:val="22"/>
        </w:rPr>
      </w:pPr>
    </w:p>
    <w:p w14:paraId="1867DC59" w14:textId="77777777" w:rsidR="003D4C15" w:rsidRPr="005B56A3" w:rsidRDefault="003D4C15" w:rsidP="007A35C3">
      <w:pPr>
        <w:jc w:val="both"/>
        <w:rPr>
          <w:rFonts w:asciiTheme="minorHAnsi" w:hAnsiTheme="minorHAnsi" w:cstheme="minorHAnsi"/>
          <w:b/>
          <w:smallCaps/>
          <w:sz w:val="22"/>
          <w:szCs w:val="22"/>
        </w:rPr>
      </w:pPr>
    </w:p>
    <w:p w14:paraId="637CF3A2" w14:textId="77777777" w:rsidR="003D4C15" w:rsidRPr="005B56A3" w:rsidRDefault="003D4C15" w:rsidP="007A35C3">
      <w:pPr>
        <w:jc w:val="center"/>
        <w:rPr>
          <w:rFonts w:asciiTheme="minorHAnsi" w:hAnsiTheme="minorHAnsi" w:cstheme="minorHAnsi"/>
          <w:b/>
          <w:smallCaps/>
          <w:sz w:val="28"/>
          <w:szCs w:val="28"/>
        </w:rPr>
      </w:pPr>
      <w:r w:rsidRPr="005B56A3">
        <w:rPr>
          <w:rFonts w:asciiTheme="minorHAnsi" w:hAnsiTheme="minorHAnsi" w:cstheme="minorHAnsi"/>
          <w:b/>
          <w:smallCaps/>
          <w:sz w:val="28"/>
          <w:szCs w:val="28"/>
        </w:rPr>
        <w:t>Apžvalgą parengė Lietuvos vyriausiojo administracinio teismo</w:t>
      </w:r>
    </w:p>
    <w:p w14:paraId="4B9B7B9F" w14:textId="3FE214FF" w:rsidR="003D4C15" w:rsidRPr="005B56A3" w:rsidRDefault="003D4C15" w:rsidP="007A35C3">
      <w:pPr>
        <w:jc w:val="center"/>
        <w:rPr>
          <w:rFonts w:asciiTheme="minorHAnsi" w:hAnsiTheme="minorHAnsi" w:cstheme="minorHAnsi"/>
          <w:sz w:val="22"/>
          <w:szCs w:val="22"/>
        </w:rPr>
      </w:pPr>
      <w:r w:rsidRPr="005B56A3">
        <w:rPr>
          <w:rFonts w:asciiTheme="minorHAnsi" w:hAnsiTheme="minorHAnsi" w:cstheme="minorHAnsi"/>
          <w:b/>
          <w:smallCaps/>
          <w:sz w:val="28"/>
          <w:szCs w:val="28"/>
        </w:rPr>
        <w:t>T</w:t>
      </w:r>
      <w:r w:rsidR="0016762E" w:rsidRPr="005B56A3">
        <w:rPr>
          <w:rFonts w:asciiTheme="minorHAnsi" w:hAnsiTheme="minorHAnsi" w:cstheme="minorHAnsi"/>
          <w:b/>
          <w:smallCaps/>
          <w:sz w:val="28"/>
          <w:szCs w:val="28"/>
        </w:rPr>
        <w:t xml:space="preserve">eismų praktikos </w:t>
      </w:r>
      <w:r w:rsidRPr="005B56A3">
        <w:rPr>
          <w:rFonts w:asciiTheme="minorHAnsi" w:hAnsiTheme="minorHAnsi" w:cstheme="minorHAnsi"/>
          <w:b/>
          <w:smallCaps/>
          <w:sz w:val="28"/>
          <w:szCs w:val="28"/>
        </w:rPr>
        <w:t>departamentas</w:t>
      </w:r>
      <w:r w:rsidRPr="005B56A3">
        <w:rPr>
          <w:rFonts w:asciiTheme="minorHAnsi" w:hAnsiTheme="minorHAnsi" w:cstheme="minorHAnsi"/>
          <w:smallCaps/>
          <w:sz w:val="22"/>
          <w:szCs w:val="22"/>
        </w:rPr>
        <w:br w:type="page"/>
      </w:r>
      <w:bookmarkStart w:id="7" w:name="_Hlk529270320"/>
      <w:bookmarkStart w:id="8" w:name="_Toc120597382"/>
      <w:r w:rsidRPr="005B56A3">
        <w:rPr>
          <w:rFonts w:asciiTheme="minorHAnsi" w:hAnsiTheme="minorHAnsi" w:cstheme="minorHAnsi"/>
          <w:b/>
          <w:sz w:val="22"/>
          <w:szCs w:val="22"/>
        </w:rPr>
        <w:lastRenderedPageBreak/>
        <w:t>TURINY</w:t>
      </w:r>
      <w:r w:rsidR="00AA4BED" w:rsidRPr="005B56A3">
        <w:rPr>
          <w:rFonts w:asciiTheme="minorHAnsi" w:hAnsiTheme="minorHAnsi" w:cstheme="minorHAnsi"/>
          <w:b/>
          <w:sz w:val="22"/>
          <w:szCs w:val="22"/>
        </w:rPr>
        <w:t>S</w:t>
      </w:r>
    </w:p>
    <w:p w14:paraId="38E3910A" w14:textId="77777777" w:rsidR="00D236A1" w:rsidRDefault="00A364C6">
      <w:pPr>
        <w:pStyle w:val="TOC1"/>
        <w:rPr>
          <w:rFonts w:eastAsiaTheme="minorEastAsia" w:cstheme="minorBidi"/>
          <w:b w:val="0"/>
          <w:bCs w:val="0"/>
          <w:caps w:val="0"/>
          <w:noProof/>
          <w:sz w:val="24"/>
          <w:szCs w:val="24"/>
          <w:lang w:val="en-GB" w:eastAsia="en-GB"/>
        </w:rPr>
      </w:pPr>
      <w:r w:rsidRPr="005B56A3">
        <w:rPr>
          <w:rFonts w:cstheme="minorHAnsi"/>
          <w:szCs w:val="22"/>
        </w:rPr>
        <w:fldChar w:fldCharType="begin"/>
      </w:r>
      <w:r w:rsidR="003D4C15" w:rsidRPr="005B56A3">
        <w:rPr>
          <w:rFonts w:cstheme="minorHAnsi"/>
          <w:szCs w:val="22"/>
        </w:rPr>
        <w:instrText xml:space="preserve"> TOC \o "1-3" \h \z \u </w:instrText>
      </w:r>
      <w:r w:rsidRPr="005B56A3">
        <w:rPr>
          <w:rFonts w:cstheme="minorHAnsi"/>
          <w:szCs w:val="22"/>
        </w:rPr>
        <w:fldChar w:fldCharType="separate"/>
      </w:r>
      <w:hyperlink w:anchor="_Toc58851687" w:history="1">
        <w:r w:rsidR="00D236A1" w:rsidRPr="00836B07">
          <w:rPr>
            <w:rStyle w:val="Hyperlink"/>
            <w:rFonts w:cstheme="minorHAnsi"/>
            <w:noProof/>
          </w:rPr>
          <w:t>I. Administracinės bylos, kylančios iš ginčų dėl teisės viešojo administravimo srityje</w:t>
        </w:r>
        <w:r w:rsidR="00D236A1">
          <w:rPr>
            <w:noProof/>
            <w:webHidden/>
          </w:rPr>
          <w:tab/>
        </w:r>
        <w:r w:rsidR="00D236A1">
          <w:rPr>
            <w:noProof/>
            <w:webHidden/>
          </w:rPr>
          <w:fldChar w:fldCharType="begin"/>
        </w:r>
        <w:r w:rsidR="00D236A1">
          <w:rPr>
            <w:noProof/>
            <w:webHidden/>
          </w:rPr>
          <w:instrText xml:space="preserve"> PAGEREF _Toc58851687 \h </w:instrText>
        </w:r>
        <w:r w:rsidR="00D236A1">
          <w:rPr>
            <w:noProof/>
            <w:webHidden/>
          </w:rPr>
        </w:r>
        <w:r w:rsidR="00D236A1">
          <w:rPr>
            <w:noProof/>
            <w:webHidden/>
          </w:rPr>
          <w:fldChar w:fldCharType="separate"/>
        </w:r>
        <w:r w:rsidR="00D236A1">
          <w:rPr>
            <w:noProof/>
            <w:webHidden/>
          </w:rPr>
          <w:t>4</w:t>
        </w:r>
        <w:r w:rsidR="00D236A1">
          <w:rPr>
            <w:noProof/>
            <w:webHidden/>
          </w:rPr>
          <w:fldChar w:fldCharType="end"/>
        </w:r>
      </w:hyperlink>
    </w:p>
    <w:p w14:paraId="0D400161" w14:textId="77777777" w:rsidR="00D236A1" w:rsidRDefault="000F189C">
      <w:pPr>
        <w:pStyle w:val="TOC1"/>
        <w:rPr>
          <w:rFonts w:eastAsiaTheme="minorEastAsia" w:cstheme="minorBidi"/>
          <w:b w:val="0"/>
          <w:bCs w:val="0"/>
          <w:caps w:val="0"/>
          <w:noProof/>
          <w:sz w:val="24"/>
          <w:szCs w:val="24"/>
          <w:lang w:val="en-GB" w:eastAsia="en-GB"/>
        </w:rPr>
      </w:pPr>
      <w:hyperlink w:anchor="_Toc58851688" w:history="1">
        <w:r w:rsidR="00D236A1" w:rsidRPr="00836B07">
          <w:rPr>
            <w:rStyle w:val="Hyperlink"/>
            <w:rFonts w:ascii="Calibri" w:hAnsi="Calibri" w:cs="Calibri"/>
            <w:noProof/>
          </w:rPr>
          <w:t>4. Norminių administracinių aktų teisėtumo patikra</w:t>
        </w:r>
        <w:r w:rsidR="00D236A1">
          <w:rPr>
            <w:noProof/>
            <w:webHidden/>
          </w:rPr>
          <w:tab/>
        </w:r>
        <w:r w:rsidR="00D236A1">
          <w:rPr>
            <w:noProof/>
            <w:webHidden/>
          </w:rPr>
          <w:fldChar w:fldCharType="begin"/>
        </w:r>
        <w:r w:rsidR="00D236A1">
          <w:rPr>
            <w:noProof/>
            <w:webHidden/>
          </w:rPr>
          <w:instrText xml:space="preserve"> PAGEREF _Toc58851688 \h </w:instrText>
        </w:r>
        <w:r w:rsidR="00D236A1">
          <w:rPr>
            <w:noProof/>
            <w:webHidden/>
          </w:rPr>
        </w:r>
        <w:r w:rsidR="00D236A1">
          <w:rPr>
            <w:noProof/>
            <w:webHidden/>
          </w:rPr>
          <w:fldChar w:fldCharType="separate"/>
        </w:r>
        <w:r w:rsidR="00D236A1">
          <w:rPr>
            <w:noProof/>
            <w:webHidden/>
          </w:rPr>
          <w:t>4</w:t>
        </w:r>
        <w:r w:rsidR="00D236A1">
          <w:rPr>
            <w:noProof/>
            <w:webHidden/>
          </w:rPr>
          <w:fldChar w:fldCharType="end"/>
        </w:r>
      </w:hyperlink>
    </w:p>
    <w:p w14:paraId="6B81AA6C" w14:textId="77777777" w:rsidR="00D236A1" w:rsidRDefault="000F189C">
      <w:pPr>
        <w:pStyle w:val="TOC2"/>
        <w:rPr>
          <w:rFonts w:eastAsiaTheme="minorEastAsia" w:cstheme="minorBidi"/>
          <w:i w:val="0"/>
          <w:noProof/>
          <w:sz w:val="24"/>
          <w:szCs w:val="24"/>
          <w:lang w:val="en-GB" w:eastAsia="en-GB"/>
        </w:rPr>
      </w:pPr>
      <w:hyperlink w:anchor="_Toc58851689" w:history="1">
        <w:r w:rsidR="00D236A1" w:rsidRPr="00836B07">
          <w:rPr>
            <w:rStyle w:val="Hyperlink"/>
            <w:rFonts w:ascii="Calibri" w:eastAsia="Calibri" w:hAnsi="Calibri" w:cs="Calibri"/>
            <w:iCs/>
            <w:noProof/>
          </w:rPr>
          <w:t>Dėl kelio juostos užimamo žemės sklypo ribos vietovėje ženklinimo ir žemės sklypo ribų paženklinimo–parodymo akto pildymo</w:t>
        </w:r>
        <w:r w:rsidR="00D236A1">
          <w:rPr>
            <w:noProof/>
            <w:webHidden/>
          </w:rPr>
          <w:tab/>
        </w:r>
        <w:r w:rsidR="00D236A1">
          <w:rPr>
            <w:noProof/>
            <w:webHidden/>
          </w:rPr>
          <w:fldChar w:fldCharType="begin"/>
        </w:r>
        <w:r w:rsidR="00D236A1">
          <w:rPr>
            <w:noProof/>
            <w:webHidden/>
          </w:rPr>
          <w:instrText xml:space="preserve"> PAGEREF _Toc58851689 \h </w:instrText>
        </w:r>
        <w:r w:rsidR="00D236A1">
          <w:rPr>
            <w:noProof/>
            <w:webHidden/>
          </w:rPr>
        </w:r>
        <w:r w:rsidR="00D236A1">
          <w:rPr>
            <w:noProof/>
            <w:webHidden/>
          </w:rPr>
          <w:fldChar w:fldCharType="separate"/>
        </w:r>
        <w:r w:rsidR="00D236A1">
          <w:rPr>
            <w:noProof/>
            <w:webHidden/>
          </w:rPr>
          <w:t>4</w:t>
        </w:r>
        <w:r w:rsidR="00D236A1">
          <w:rPr>
            <w:noProof/>
            <w:webHidden/>
          </w:rPr>
          <w:fldChar w:fldCharType="end"/>
        </w:r>
      </w:hyperlink>
    </w:p>
    <w:p w14:paraId="6873D64F" w14:textId="77777777" w:rsidR="00D236A1" w:rsidRDefault="000F189C">
      <w:pPr>
        <w:pStyle w:val="TOC1"/>
        <w:rPr>
          <w:rFonts w:eastAsiaTheme="minorEastAsia" w:cstheme="minorBidi"/>
          <w:b w:val="0"/>
          <w:bCs w:val="0"/>
          <w:caps w:val="0"/>
          <w:noProof/>
          <w:sz w:val="24"/>
          <w:szCs w:val="24"/>
          <w:lang w:val="en-GB" w:eastAsia="en-GB"/>
        </w:rPr>
      </w:pPr>
      <w:hyperlink w:anchor="_Toc58851690" w:history="1">
        <w:r w:rsidR="00D236A1" w:rsidRPr="00836B07">
          <w:rPr>
            <w:rStyle w:val="Hyperlink"/>
            <w:rFonts w:ascii="Calibri" w:hAnsi="Calibri" w:cs="Calibri"/>
            <w:noProof/>
          </w:rPr>
          <w:t>7. Socialinė apsauga</w:t>
        </w:r>
        <w:r w:rsidR="00D236A1">
          <w:rPr>
            <w:noProof/>
            <w:webHidden/>
          </w:rPr>
          <w:tab/>
        </w:r>
        <w:r w:rsidR="00D236A1">
          <w:rPr>
            <w:noProof/>
            <w:webHidden/>
          </w:rPr>
          <w:fldChar w:fldCharType="begin"/>
        </w:r>
        <w:r w:rsidR="00D236A1">
          <w:rPr>
            <w:noProof/>
            <w:webHidden/>
          </w:rPr>
          <w:instrText xml:space="preserve"> PAGEREF _Toc58851690 \h </w:instrText>
        </w:r>
        <w:r w:rsidR="00D236A1">
          <w:rPr>
            <w:noProof/>
            <w:webHidden/>
          </w:rPr>
        </w:r>
        <w:r w:rsidR="00D236A1">
          <w:rPr>
            <w:noProof/>
            <w:webHidden/>
          </w:rPr>
          <w:fldChar w:fldCharType="separate"/>
        </w:r>
        <w:r w:rsidR="00D236A1">
          <w:rPr>
            <w:noProof/>
            <w:webHidden/>
          </w:rPr>
          <w:t>5</w:t>
        </w:r>
        <w:r w:rsidR="00D236A1">
          <w:rPr>
            <w:noProof/>
            <w:webHidden/>
          </w:rPr>
          <w:fldChar w:fldCharType="end"/>
        </w:r>
      </w:hyperlink>
    </w:p>
    <w:p w14:paraId="3EF19640" w14:textId="77777777" w:rsidR="00D236A1" w:rsidRDefault="000F189C">
      <w:pPr>
        <w:pStyle w:val="TOC2"/>
        <w:rPr>
          <w:rFonts w:eastAsiaTheme="minorEastAsia" w:cstheme="minorBidi"/>
          <w:i w:val="0"/>
          <w:noProof/>
          <w:sz w:val="24"/>
          <w:szCs w:val="24"/>
          <w:lang w:val="en-GB" w:eastAsia="en-GB"/>
        </w:rPr>
      </w:pPr>
      <w:hyperlink w:anchor="_Toc58851691" w:history="1">
        <w:r w:rsidR="00D236A1" w:rsidRPr="00836B07">
          <w:rPr>
            <w:rStyle w:val="Hyperlink"/>
            <w:rFonts w:ascii="Calibri" w:eastAsia="Calibri" w:hAnsi="Calibri" w:cs="Calibri"/>
            <w:noProof/>
          </w:rPr>
          <w:t>Dėl darbdavio pareigos įdarbinant užsienietį kreiptis dėl naujo leidimo laikinai gyventi užsieniečiui išdavimo</w:t>
        </w:r>
        <w:r w:rsidR="00D236A1">
          <w:rPr>
            <w:noProof/>
            <w:webHidden/>
          </w:rPr>
          <w:tab/>
        </w:r>
        <w:r w:rsidR="00D236A1">
          <w:rPr>
            <w:noProof/>
            <w:webHidden/>
          </w:rPr>
          <w:fldChar w:fldCharType="begin"/>
        </w:r>
        <w:r w:rsidR="00D236A1">
          <w:rPr>
            <w:noProof/>
            <w:webHidden/>
          </w:rPr>
          <w:instrText xml:space="preserve"> PAGEREF _Toc58851691 \h </w:instrText>
        </w:r>
        <w:r w:rsidR="00D236A1">
          <w:rPr>
            <w:noProof/>
            <w:webHidden/>
          </w:rPr>
        </w:r>
        <w:r w:rsidR="00D236A1">
          <w:rPr>
            <w:noProof/>
            <w:webHidden/>
          </w:rPr>
          <w:fldChar w:fldCharType="separate"/>
        </w:r>
        <w:r w:rsidR="00D236A1">
          <w:rPr>
            <w:noProof/>
            <w:webHidden/>
          </w:rPr>
          <w:t>5</w:t>
        </w:r>
        <w:r w:rsidR="00D236A1">
          <w:rPr>
            <w:noProof/>
            <w:webHidden/>
          </w:rPr>
          <w:fldChar w:fldCharType="end"/>
        </w:r>
      </w:hyperlink>
    </w:p>
    <w:p w14:paraId="551DF143" w14:textId="77777777" w:rsidR="00D236A1" w:rsidRDefault="000F189C">
      <w:pPr>
        <w:pStyle w:val="TOC1"/>
        <w:rPr>
          <w:rFonts w:eastAsiaTheme="minorEastAsia" w:cstheme="minorBidi"/>
          <w:b w:val="0"/>
          <w:bCs w:val="0"/>
          <w:caps w:val="0"/>
          <w:noProof/>
          <w:sz w:val="24"/>
          <w:szCs w:val="24"/>
          <w:lang w:val="en-GB" w:eastAsia="en-GB"/>
        </w:rPr>
      </w:pPr>
      <w:hyperlink w:anchor="_Toc58851692" w:history="1">
        <w:r w:rsidR="00D236A1" w:rsidRPr="00836B07">
          <w:rPr>
            <w:rStyle w:val="Hyperlink"/>
            <w:rFonts w:ascii="Calibri" w:hAnsi="Calibri"/>
            <w:noProof/>
          </w:rPr>
          <w:t>10. Lietuvos Respublikos pilietybė</w:t>
        </w:r>
        <w:r w:rsidR="00D236A1">
          <w:rPr>
            <w:noProof/>
            <w:webHidden/>
          </w:rPr>
          <w:tab/>
        </w:r>
        <w:r w:rsidR="00D236A1">
          <w:rPr>
            <w:noProof/>
            <w:webHidden/>
          </w:rPr>
          <w:fldChar w:fldCharType="begin"/>
        </w:r>
        <w:r w:rsidR="00D236A1">
          <w:rPr>
            <w:noProof/>
            <w:webHidden/>
          </w:rPr>
          <w:instrText xml:space="preserve"> PAGEREF _Toc58851692 \h </w:instrText>
        </w:r>
        <w:r w:rsidR="00D236A1">
          <w:rPr>
            <w:noProof/>
            <w:webHidden/>
          </w:rPr>
        </w:r>
        <w:r w:rsidR="00D236A1">
          <w:rPr>
            <w:noProof/>
            <w:webHidden/>
          </w:rPr>
          <w:fldChar w:fldCharType="separate"/>
        </w:r>
        <w:r w:rsidR="00D236A1">
          <w:rPr>
            <w:noProof/>
            <w:webHidden/>
          </w:rPr>
          <w:t>6</w:t>
        </w:r>
        <w:r w:rsidR="00D236A1">
          <w:rPr>
            <w:noProof/>
            <w:webHidden/>
          </w:rPr>
          <w:fldChar w:fldCharType="end"/>
        </w:r>
      </w:hyperlink>
    </w:p>
    <w:p w14:paraId="78BD7346" w14:textId="77777777" w:rsidR="00D236A1" w:rsidRDefault="000F189C">
      <w:pPr>
        <w:pStyle w:val="TOC2"/>
        <w:rPr>
          <w:rFonts w:eastAsiaTheme="minorEastAsia" w:cstheme="minorBidi"/>
          <w:i w:val="0"/>
          <w:noProof/>
          <w:sz w:val="24"/>
          <w:szCs w:val="24"/>
          <w:lang w:val="en-GB" w:eastAsia="en-GB"/>
        </w:rPr>
      </w:pPr>
      <w:hyperlink w:anchor="_Toc58851693" w:history="1">
        <w:r w:rsidR="00D236A1" w:rsidRPr="00836B07">
          <w:rPr>
            <w:rStyle w:val="Hyperlink"/>
            <w:noProof/>
          </w:rPr>
          <w:t>Dėl Migracijos departamento teisės priimti sprendimą nutraukti prašymo atkurti pilietybę nagrinėjimo procedūrą</w:t>
        </w:r>
        <w:r w:rsidR="00D236A1">
          <w:rPr>
            <w:noProof/>
            <w:webHidden/>
          </w:rPr>
          <w:tab/>
        </w:r>
        <w:r w:rsidR="00D236A1">
          <w:rPr>
            <w:noProof/>
            <w:webHidden/>
          </w:rPr>
          <w:fldChar w:fldCharType="begin"/>
        </w:r>
        <w:r w:rsidR="00D236A1">
          <w:rPr>
            <w:noProof/>
            <w:webHidden/>
          </w:rPr>
          <w:instrText xml:space="preserve"> PAGEREF _Toc58851693 \h </w:instrText>
        </w:r>
        <w:r w:rsidR="00D236A1">
          <w:rPr>
            <w:noProof/>
            <w:webHidden/>
          </w:rPr>
        </w:r>
        <w:r w:rsidR="00D236A1">
          <w:rPr>
            <w:noProof/>
            <w:webHidden/>
          </w:rPr>
          <w:fldChar w:fldCharType="separate"/>
        </w:r>
        <w:r w:rsidR="00D236A1">
          <w:rPr>
            <w:noProof/>
            <w:webHidden/>
          </w:rPr>
          <w:t>6</w:t>
        </w:r>
        <w:r w:rsidR="00D236A1">
          <w:rPr>
            <w:noProof/>
            <w:webHidden/>
          </w:rPr>
          <w:fldChar w:fldCharType="end"/>
        </w:r>
      </w:hyperlink>
    </w:p>
    <w:p w14:paraId="16FC3FC4" w14:textId="77777777" w:rsidR="00D236A1" w:rsidRDefault="000F189C">
      <w:pPr>
        <w:pStyle w:val="TOC1"/>
        <w:rPr>
          <w:rFonts w:eastAsiaTheme="minorEastAsia" w:cstheme="minorBidi"/>
          <w:b w:val="0"/>
          <w:bCs w:val="0"/>
          <w:caps w:val="0"/>
          <w:noProof/>
          <w:sz w:val="24"/>
          <w:szCs w:val="24"/>
          <w:lang w:val="en-GB" w:eastAsia="en-GB"/>
        </w:rPr>
      </w:pPr>
      <w:hyperlink w:anchor="_Toc58851694" w:history="1">
        <w:r w:rsidR="00D236A1" w:rsidRPr="00836B07">
          <w:rPr>
            <w:rStyle w:val="Hyperlink"/>
            <w:rFonts w:ascii="Calibri" w:hAnsi="Calibri"/>
            <w:noProof/>
          </w:rPr>
          <w:t>12. Mokesčiai, įmokos ir kiti privalomieji mokėjimai</w:t>
        </w:r>
        <w:r w:rsidR="00D236A1">
          <w:rPr>
            <w:noProof/>
            <w:webHidden/>
          </w:rPr>
          <w:tab/>
        </w:r>
        <w:r w:rsidR="00D236A1">
          <w:rPr>
            <w:noProof/>
            <w:webHidden/>
          </w:rPr>
          <w:fldChar w:fldCharType="begin"/>
        </w:r>
        <w:r w:rsidR="00D236A1">
          <w:rPr>
            <w:noProof/>
            <w:webHidden/>
          </w:rPr>
          <w:instrText xml:space="preserve"> PAGEREF _Toc58851694 \h </w:instrText>
        </w:r>
        <w:r w:rsidR="00D236A1">
          <w:rPr>
            <w:noProof/>
            <w:webHidden/>
          </w:rPr>
        </w:r>
        <w:r w:rsidR="00D236A1">
          <w:rPr>
            <w:noProof/>
            <w:webHidden/>
          </w:rPr>
          <w:fldChar w:fldCharType="separate"/>
        </w:r>
        <w:r w:rsidR="00D236A1">
          <w:rPr>
            <w:noProof/>
            <w:webHidden/>
          </w:rPr>
          <w:t>7</w:t>
        </w:r>
        <w:r w:rsidR="00D236A1">
          <w:rPr>
            <w:noProof/>
            <w:webHidden/>
          </w:rPr>
          <w:fldChar w:fldCharType="end"/>
        </w:r>
      </w:hyperlink>
    </w:p>
    <w:p w14:paraId="6626F514" w14:textId="77777777" w:rsidR="00D236A1" w:rsidRDefault="000F189C">
      <w:pPr>
        <w:pStyle w:val="TOC2"/>
        <w:rPr>
          <w:rFonts w:eastAsiaTheme="minorEastAsia" w:cstheme="minorBidi"/>
          <w:i w:val="0"/>
          <w:noProof/>
          <w:sz w:val="24"/>
          <w:szCs w:val="24"/>
          <w:lang w:val="en-GB" w:eastAsia="en-GB"/>
        </w:rPr>
      </w:pPr>
      <w:hyperlink w:anchor="_Toc58851695" w:history="1">
        <w:r w:rsidR="00D236A1" w:rsidRPr="00836B07">
          <w:rPr>
            <w:rStyle w:val="Hyperlink"/>
            <w:noProof/>
          </w:rPr>
          <w:t>Dėl mokesčių administratoriaus atsisakymo pratęsti terminą pastaboms dėl patikrinimo akto pateikti kaip savarankiško administracinės bylos nagrinėjimo dalyko</w:t>
        </w:r>
        <w:r w:rsidR="00D236A1">
          <w:rPr>
            <w:noProof/>
            <w:webHidden/>
          </w:rPr>
          <w:tab/>
        </w:r>
        <w:r w:rsidR="00D236A1">
          <w:rPr>
            <w:noProof/>
            <w:webHidden/>
          </w:rPr>
          <w:fldChar w:fldCharType="begin"/>
        </w:r>
        <w:r w:rsidR="00D236A1">
          <w:rPr>
            <w:noProof/>
            <w:webHidden/>
          </w:rPr>
          <w:instrText xml:space="preserve"> PAGEREF _Toc58851695 \h </w:instrText>
        </w:r>
        <w:r w:rsidR="00D236A1">
          <w:rPr>
            <w:noProof/>
            <w:webHidden/>
          </w:rPr>
        </w:r>
        <w:r w:rsidR="00D236A1">
          <w:rPr>
            <w:noProof/>
            <w:webHidden/>
          </w:rPr>
          <w:fldChar w:fldCharType="separate"/>
        </w:r>
        <w:r w:rsidR="00D236A1">
          <w:rPr>
            <w:noProof/>
            <w:webHidden/>
          </w:rPr>
          <w:t>8</w:t>
        </w:r>
        <w:r w:rsidR="00D236A1">
          <w:rPr>
            <w:noProof/>
            <w:webHidden/>
          </w:rPr>
          <w:fldChar w:fldCharType="end"/>
        </w:r>
      </w:hyperlink>
    </w:p>
    <w:p w14:paraId="7F94E6EA" w14:textId="77777777" w:rsidR="00D236A1" w:rsidRDefault="000F189C">
      <w:pPr>
        <w:pStyle w:val="TOC1"/>
        <w:rPr>
          <w:rFonts w:eastAsiaTheme="minorEastAsia" w:cstheme="minorBidi"/>
          <w:b w:val="0"/>
          <w:bCs w:val="0"/>
          <w:caps w:val="0"/>
          <w:noProof/>
          <w:sz w:val="24"/>
          <w:szCs w:val="24"/>
          <w:lang w:val="en-GB" w:eastAsia="en-GB"/>
        </w:rPr>
      </w:pPr>
      <w:hyperlink w:anchor="_Toc58851696" w:history="1">
        <w:r w:rsidR="00D236A1" w:rsidRPr="00836B07">
          <w:rPr>
            <w:rStyle w:val="Hyperlink"/>
            <w:rFonts w:ascii="Calibri" w:hAnsi="Calibri" w:cs="Calibri"/>
            <w:noProof/>
          </w:rPr>
          <w:t>14. Aplinkos apsauga</w:t>
        </w:r>
        <w:r w:rsidR="00D236A1">
          <w:rPr>
            <w:noProof/>
            <w:webHidden/>
          </w:rPr>
          <w:tab/>
        </w:r>
        <w:r w:rsidR="00D236A1">
          <w:rPr>
            <w:noProof/>
            <w:webHidden/>
          </w:rPr>
          <w:fldChar w:fldCharType="begin"/>
        </w:r>
        <w:r w:rsidR="00D236A1">
          <w:rPr>
            <w:noProof/>
            <w:webHidden/>
          </w:rPr>
          <w:instrText xml:space="preserve"> PAGEREF _Toc58851696 \h </w:instrText>
        </w:r>
        <w:r w:rsidR="00D236A1">
          <w:rPr>
            <w:noProof/>
            <w:webHidden/>
          </w:rPr>
        </w:r>
        <w:r w:rsidR="00D236A1">
          <w:rPr>
            <w:noProof/>
            <w:webHidden/>
          </w:rPr>
          <w:fldChar w:fldCharType="separate"/>
        </w:r>
        <w:r w:rsidR="00D236A1">
          <w:rPr>
            <w:noProof/>
            <w:webHidden/>
          </w:rPr>
          <w:t>9</w:t>
        </w:r>
        <w:r w:rsidR="00D236A1">
          <w:rPr>
            <w:noProof/>
            <w:webHidden/>
          </w:rPr>
          <w:fldChar w:fldCharType="end"/>
        </w:r>
      </w:hyperlink>
    </w:p>
    <w:p w14:paraId="0E6B995E" w14:textId="77777777" w:rsidR="00D236A1" w:rsidRDefault="000F189C">
      <w:pPr>
        <w:pStyle w:val="TOC2"/>
        <w:rPr>
          <w:rFonts w:eastAsiaTheme="minorEastAsia" w:cstheme="minorBidi"/>
          <w:i w:val="0"/>
          <w:noProof/>
          <w:sz w:val="24"/>
          <w:szCs w:val="24"/>
          <w:lang w:val="en-GB" w:eastAsia="en-GB"/>
        </w:rPr>
      </w:pPr>
      <w:hyperlink w:anchor="_Toc58851697" w:history="1">
        <w:r w:rsidR="00D236A1" w:rsidRPr="00836B07">
          <w:rPr>
            <w:rStyle w:val="Hyperlink"/>
            <w:rFonts w:ascii="Calibri" w:eastAsia="Calibri" w:hAnsi="Calibri" w:cs="Calibri"/>
            <w:noProof/>
          </w:rPr>
          <w:t xml:space="preserve">Dėl </w:t>
        </w:r>
        <w:r w:rsidR="00D236A1" w:rsidRPr="00836B07">
          <w:rPr>
            <w:rStyle w:val="Hyperlink"/>
            <w:rFonts w:ascii="Calibri" w:eastAsia="Calibri" w:hAnsi="Calibri" w:cs="Calibri"/>
            <w:noProof/>
            <w:lang w:bidi="lt-LT"/>
          </w:rPr>
          <w:t>planuojamai išplėsti pavojingųjų ir nepavojingųjų atliekų supirkimo ir perdirbimo komplekso veiklai keliamų reikalavimų, inter alia reikalavimo ne</w:t>
        </w:r>
        <w:r w:rsidR="00D236A1" w:rsidRPr="00836B07">
          <w:rPr>
            <w:rStyle w:val="Hyperlink"/>
            <w:rFonts w:ascii="Calibri" w:eastAsia="Calibri" w:hAnsi="Calibri" w:cs="Calibri"/>
            <w:noProof/>
          </w:rPr>
          <w:t>pabloginti artimiausių gyventojų gyvenimo kokybės</w:t>
        </w:r>
        <w:r w:rsidR="00D236A1">
          <w:rPr>
            <w:noProof/>
            <w:webHidden/>
          </w:rPr>
          <w:tab/>
        </w:r>
        <w:r w:rsidR="00D236A1">
          <w:rPr>
            <w:noProof/>
            <w:webHidden/>
          </w:rPr>
          <w:fldChar w:fldCharType="begin"/>
        </w:r>
        <w:r w:rsidR="00D236A1">
          <w:rPr>
            <w:noProof/>
            <w:webHidden/>
          </w:rPr>
          <w:instrText xml:space="preserve"> PAGEREF _Toc58851697 \h </w:instrText>
        </w:r>
        <w:r w:rsidR="00D236A1">
          <w:rPr>
            <w:noProof/>
            <w:webHidden/>
          </w:rPr>
        </w:r>
        <w:r w:rsidR="00D236A1">
          <w:rPr>
            <w:noProof/>
            <w:webHidden/>
          </w:rPr>
          <w:fldChar w:fldCharType="separate"/>
        </w:r>
        <w:r w:rsidR="00D236A1">
          <w:rPr>
            <w:noProof/>
            <w:webHidden/>
          </w:rPr>
          <w:t>9</w:t>
        </w:r>
        <w:r w:rsidR="00D236A1">
          <w:rPr>
            <w:noProof/>
            <w:webHidden/>
          </w:rPr>
          <w:fldChar w:fldCharType="end"/>
        </w:r>
      </w:hyperlink>
    </w:p>
    <w:p w14:paraId="50E77673" w14:textId="77777777" w:rsidR="00D236A1" w:rsidRDefault="000F189C">
      <w:pPr>
        <w:pStyle w:val="TOC1"/>
        <w:rPr>
          <w:rFonts w:eastAsiaTheme="minorEastAsia" w:cstheme="minorBidi"/>
          <w:b w:val="0"/>
          <w:bCs w:val="0"/>
          <w:caps w:val="0"/>
          <w:noProof/>
          <w:sz w:val="24"/>
          <w:szCs w:val="24"/>
          <w:lang w:val="en-GB" w:eastAsia="en-GB"/>
        </w:rPr>
      </w:pPr>
      <w:hyperlink w:anchor="_Toc58851698" w:history="1">
        <w:r w:rsidR="00D236A1" w:rsidRPr="00836B07">
          <w:rPr>
            <w:rStyle w:val="Hyperlink"/>
            <w:rFonts w:ascii="Calibri" w:hAnsi="Calibri"/>
            <w:noProof/>
          </w:rPr>
          <w:t>17. Statyba</w:t>
        </w:r>
        <w:r w:rsidR="00D236A1">
          <w:rPr>
            <w:noProof/>
            <w:webHidden/>
          </w:rPr>
          <w:tab/>
        </w:r>
        <w:r w:rsidR="00D236A1">
          <w:rPr>
            <w:noProof/>
            <w:webHidden/>
          </w:rPr>
          <w:fldChar w:fldCharType="begin"/>
        </w:r>
        <w:r w:rsidR="00D236A1">
          <w:rPr>
            <w:noProof/>
            <w:webHidden/>
          </w:rPr>
          <w:instrText xml:space="preserve"> PAGEREF _Toc58851698 \h </w:instrText>
        </w:r>
        <w:r w:rsidR="00D236A1">
          <w:rPr>
            <w:noProof/>
            <w:webHidden/>
          </w:rPr>
        </w:r>
        <w:r w:rsidR="00D236A1">
          <w:rPr>
            <w:noProof/>
            <w:webHidden/>
          </w:rPr>
          <w:fldChar w:fldCharType="separate"/>
        </w:r>
        <w:r w:rsidR="00D236A1">
          <w:rPr>
            <w:noProof/>
            <w:webHidden/>
          </w:rPr>
          <w:t>11</w:t>
        </w:r>
        <w:r w:rsidR="00D236A1">
          <w:rPr>
            <w:noProof/>
            <w:webHidden/>
          </w:rPr>
          <w:fldChar w:fldCharType="end"/>
        </w:r>
      </w:hyperlink>
    </w:p>
    <w:p w14:paraId="5AB808AB" w14:textId="77777777" w:rsidR="00D236A1" w:rsidRDefault="000F189C">
      <w:pPr>
        <w:pStyle w:val="TOC2"/>
        <w:rPr>
          <w:rFonts w:eastAsiaTheme="minorEastAsia" w:cstheme="minorBidi"/>
          <w:i w:val="0"/>
          <w:noProof/>
          <w:sz w:val="24"/>
          <w:szCs w:val="24"/>
          <w:lang w:val="en-GB" w:eastAsia="en-GB"/>
        </w:rPr>
      </w:pPr>
      <w:hyperlink w:anchor="_Toc58851699" w:history="1">
        <w:r w:rsidR="00D236A1" w:rsidRPr="00836B07">
          <w:rPr>
            <w:rStyle w:val="Hyperlink"/>
            <w:rFonts w:ascii="Calibri" w:eastAsia="Calibri" w:hAnsi="Calibri" w:cs="Calibri"/>
            <w:noProof/>
          </w:rPr>
          <w:t>Dėl Valstybinės teritorijų planavimo ir statybos inspekcijos teisės ginčyti deklaraciją apie statybos užbaigimą, kai statinys yra perleistas tretiesiems asmenims, įgyvendinimo</w:t>
        </w:r>
        <w:r w:rsidR="00D236A1">
          <w:rPr>
            <w:noProof/>
            <w:webHidden/>
          </w:rPr>
          <w:tab/>
        </w:r>
        <w:r w:rsidR="00D236A1">
          <w:rPr>
            <w:noProof/>
            <w:webHidden/>
          </w:rPr>
          <w:fldChar w:fldCharType="begin"/>
        </w:r>
        <w:r w:rsidR="00D236A1">
          <w:rPr>
            <w:noProof/>
            <w:webHidden/>
          </w:rPr>
          <w:instrText xml:space="preserve"> PAGEREF _Toc58851699 \h </w:instrText>
        </w:r>
        <w:r w:rsidR="00D236A1">
          <w:rPr>
            <w:noProof/>
            <w:webHidden/>
          </w:rPr>
        </w:r>
        <w:r w:rsidR="00D236A1">
          <w:rPr>
            <w:noProof/>
            <w:webHidden/>
          </w:rPr>
          <w:fldChar w:fldCharType="separate"/>
        </w:r>
        <w:r w:rsidR="00D236A1">
          <w:rPr>
            <w:noProof/>
            <w:webHidden/>
          </w:rPr>
          <w:t>11</w:t>
        </w:r>
        <w:r w:rsidR="00D236A1">
          <w:rPr>
            <w:noProof/>
            <w:webHidden/>
          </w:rPr>
          <w:fldChar w:fldCharType="end"/>
        </w:r>
      </w:hyperlink>
    </w:p>
    <w:p w14:paraId="613181BA" w14:textId="77777777" w:rsidR="00D236A1" w:rsidRDefault="000F189C">
      <w:pPr>
        <w:pStyle w:val="TOC1"/>
        <w:rPr>
          <w:rFonts w:eastAsiaTheme="minorEastAsia" w:cstheme="minorBidi"/>
          <w:b w:val="0"/>
          <w:bCs w:val="0"/>
          <w:caps w:val="0"/>
          <w:noProof/>
          <w:sz w:val="24"/>
          <w:szCs w:val="24"/>
          <w:lang w:val="en-GB" w:eastAsia="en-GB"/>
        </w:rPr>
      </w:pPr>
      <w:hyperlink w:anchor="_Toc58851700" w:history="1">
        <w:r w:rsidR="00D236A1" w:rsidRPr="00836B07">
          <w:rPr>
            <w:rStyle w:val="Hyperlink"/>
            <w:rFonts w:ascii="Calibri" w:hAnsi="Calibri"/>
            <w:noProof/>
          </w:rPr>
          <w:t>20. Civilinė atsakomybė už žalą, atsiradusią dėl valdžios institucijų neteisėtų veiksmų</w:t>
        </w:r>
        <w:r w:rsidR="00D236A1">
          <w:rPr>
            <w:noProof/>
            <w:webHidden/>
          </w:rPr>
          <w:tab/>
        </w:r>
        <w:r w:rsidR="00D236A1">
          <w:rPr>
            <w:noProof/>
            <w:webHidden/>
          </w:rPr>
          <w:fldChar w:fldCharType="begin"/>
        </w:r>
        <w:r w:rsidR="00D236A1">
          <w:rPr>
            <w:noProof/>
            <w:webHidden/>
          </w:rPr>
          <w:instrText xml:space="preserve"> PAGEREF _Toc58851700 \h </w:instrText>
        </w:r>
        <w:r w:rsidR="00D236A1">
          <w:rPr>
            <w:noProof/>
            <w:webHidden/>
          </w:rPr>
        </w:r>
        <w:r w:rsidR="00D236A1">
          <w:rPr>
            <w:noProof/>
            <w:webHidden/>
          </w:rPr>
          <w:fldChar w:fldCharType="separate"/>
        </w:r>
        <w:r w:rsidR="00D236A1">
          <w:rPr>
            <w:noProof/>
            <w:webHidden/>
          </w:rPr>
          <w:t>12</w:t>
        </w:r>
        <w:r w:rsidR="00D236A1">
          <w:rPr>
            <w:noProof/>
            <w:webHidden/>
          </w:rPr>
          <w:fldChar w:fldCharType="end"/>
        </w:r>
      </w:hyperlink>
    </w:p>
    <w:p w14:paraId="434AB534" w14:textId="77777777" w:rsidR="00D236A1" w:rsidRDefault="000F189C">
      <w:pPr>
        <w:pStyle w:val="TOC2"/>
        <w:rPr>
          <w:rFonts w:eastAsiaTheme="minorEastAsia" w:cstheme="minorBidi"/>
          <w:i w:val="0"/>
          <w:noProof/>
          <w:sz w:val="24"/>
          <w:szCs w:val="24"/>
          <w:lang w:val="en-GB" w:eastAsia="en-GB"/>
        </w:rPr>
      </w:pPr>
      <w:hyperlink w:anchor="_Toc58851701" w:history="1">
        <w:r w:rsidR="00D236A1" w:rsidRPr="00836B07">
          <w:rPr>
            <w:rStyle w:val="Hyperlink"/>
            <w:rFonts w:ascii="Calibri" w:eastAsia="Calibri" w:hAnsi="Calibri" w:cs="Calibri"/>
            <w:noProof/>
          </w:rPr>
          <w:t>Dėl dienos metu iš kalinamųjų paimamos patalynės saugojimo</w:t>
        </w:r>
        <w:r w:rsidR="00D236A1">
          <w:rPr>
            <w:noProof/>
            <w:webHidden/>
          </w:rPr>
          <w:tab/>
        </w:r>
        <w:r w:rsidR="00D236A1">
          <w:rPr>
            <w:noProof/>
            <w:webHidden/>
          </w:rPr>
          <w:fldChar w:fldCharType="begin"/>
        </w:r>
        <w:r w:rsidR="00D236A1">
          <w:rPr>
            <w:noProof/>
            <w:webHidden/>
          </w:rPr>
          <w:instrText xml:space="preserve"> PAGEREF _Toc58851701 \h </w:instrText>
        </w:r>
        <w:r w:rsidR="00D236A1">
          <w:rPr>
            <w:noProof/>
            <w:webHidden/>
          </w:rPr>
        </w:r>
        <w:r w:rsidR="00D236A1">
          <w:rPr>
            <w:noProof/>
            <w:webHidden/>
          </w:rPr>
          <w:fldChar w:fldCharType="separate"/>
        </w:r>
        <w:r w:rsidR="00D236A1">
          <w:rPr>
            <w:noProof/>
            <w:webHidden/>
          </w:rPr>
          <w:t>12</w:t>
        </w:r>
        <w:r w:rsidR="00D236A1">
          <w:rPr>
            <w:noProof/>
            <w:webHidden/>
          </w:rPr>
          <w:fldChar w:fldCharType="end"/>
        </w:r>
      </w:hyperlink>
    </w:p>
    <w:p w14:paraId="241676AA" w14:textId="77777777" w:rsidR="00D236A1" w:rsidRDefault="000F189C">
      <w:pPr>
        <w:pStyle w:val="TOC1"/>
        <w:rPr>
          <w:rFonts w:eastAsiaTheme="minorEastAsia" w:cstheme="minorBidi"/>
          <w:b w:val="0"/>
          <w:bCs w:val="0"/>
          <w:caps w:val="0"/>
          <w:noProof/>
          <w:sz w:val="24"/>
          <w:szCs w:val="24"/>
          <w:lang w:val="en-GB" w:eastAsia="en-GB"/>
        </w:rPr>
      </w:pPr>
      <w:hyperlink w:anchor="_Toc58851702" w:history="1">
        <w:r w:rsidR="00D236A1" w:rsidRPr="00836B07">
          <w:rPr>
            <w:rStyle w:val="Hyperlink"/>
            <w:rFonts w:ascii="Calibri" w:hAnsi="Calibri" w:cs="Calibri"/>
            <w:noProof/>
          </w:rPr>
          <w:t>23. Vyriausiosios tarnybinės etikos komisijos sprendimai</w:t>
        </w:r>
        <w:r w:rsidR="00D236A1">
          <w:rPr>
            <w:noProof/>
            <w:webHidden/>
          </w:rPr>
          <w:tab/>
        </w:r>
        <w:r w:rsidR="00D236A1">
          <w:rPr>
            <w:noProof/>
            <w:webHidden/>
          </w:rPr>
          <w:fldChar w:fldCharType="begin"/>
        </w:r>
        <w:r w:rsidR="00D236A1">
          <w:rPr>
            <w:noProof/>
            <w:webHidden/>
          </w:rPr>
          <w:instrText xml:space="preserve"> PAGEREF _Toc58851702 \h </w:instrText>
        </w:r>
        <w:r w:rsidR="00D236A1">
          <w:rPr>
            <w:noProof/>
            <w:webHidden/>
          </w:rPr>
        </w:r>
        <w:r w:rsidR="00D236A1">
          <w:rPr>
            <w:noProof/>
            <w:webHidden/>
          </w:rPr>
          <w:fldChar w:fldCharType="separate"/>
        </w:r>
        <w:r w:rsidR="00D236A1">
          <w:rPr>
            <w:noProof/>
            <w:webHidden/>
          </w:rPr>
          <w:t>13</w:t>
        </w:r>
        <w:r w:rsidR="00D236A1">
          <w:rPr>
            <w:noProof/>
            <w:webHidden/>
          </w:rPr>
          <w:fldChar w:fldCharType="end"/>
        </w:r>
      </w:hyperlink>
    </w:p>
    <w:p w14:paraId="0CD32B62" w14:textId="77777777" w:rsidR="00D236A1" w:rsidRDefault="000F189C">
      <w:pPr>
        <w:pStyle w:val="TOC2"/>
        <w:rPr>
          <w:rFonts w:eastAsiaTheme="minorEastAsia" w:cstheme="minorBidi"/>
          <w:i w:val="0"/>
          <w:noProof/>
          <w:sz w:val="24"/>
          <w:szCs w:val="24"/>
          <w:lang w:val="en-GB" w:eastAsia="en-GB"/>
        </w:rPr>
      </w:pPr>
      <w:hyperlink w:anchor="_Toc58851703" w:history="1">
        <w:r w:rsidR="00D236A1" w:rsidRPr="00836B07">
          <w:rPr>
            <w:rStyle w:val="Hyperlink"/>
            <w:rFonts w:ascii="Calibri" w:eastAsia="Calibri" w:hAnsi="Calibri" w:cs="Calibri"/>
            <w:noProof/>
          </w:rPr>
          <w:t>Dėl Vyriausiosios tarnybinės etikos komisijos pareigos tinkamai informuoti asmenį apie atliekamą tyrimą</w:t>
        </w:r>
        <w:r w:rsidR="00D236A1">
          <w:rPr>
            <w:noProof/>
            <w:webHidden/>
          </w:rPr>
          <w:tab/>
        </w:r>
        <w:r w:rsidR="00D236A1">
          <w:rPr>
            <w:noProof/>
            <w:webHidden/>
          </w:rPr>
          <w:fldChar w:fldCharType="begin"/>
        </w:r>
        <w:r w:rsidR="00D236A1">
          <w:rPr>
            <w:noProof/>
            <w:webHidden/>
          </w:rPr>
          <w:instrText xml:space="preserve"> PAGEREF _Toc58851703 \h </w:instrText>
        </w:r>
        <w:r w:rsidR="00D236A1">
          <w:rPr>
            <w:noProof/>
            <w:webHidden/>
          </w:rPr>
        </w:r>
        <w:r w:rsidR="00D236A1">
          <w:rPr>
            <w:noProof/>
            <w:webHidden/>
          </w:rPr>
          <w:fldChar w:fldCharType="separate"/>
        </w:r>
        <w:r w:rsidR="00D236A1">
          <w:rPr>
            <w:noProof/>
            <w:webHidden/>
          </w:rPr>
          <w:t>13</w:t>
        </w:r>
        <w:r w:rsidR="00D236A1">
          <w:rPr>
            <w:noProof/>
            <w:webHidden/>
          </w:rPr>
          <w:fldChar w:fldCharType="end"/>
        </w:r>
      </w:hyperlink>
    </w:p>
    <w:p w14:paraId="1C33F6FE" w14:textId="77777777" w:rsidR="00D236A1" w:rsidRDefault="000F189C">
      <w:pPr>
        <w:pStyle w:val="TOC2"/>
        <w:rPr>
          <w:rFonts w:eastAsiaTheme="minorEastAsia" w:cstheme="minorBidi"/>
          <w:i w:val="0"/>
          <w:noProof/>
          <w:sz w:val="24"/>
          <w:szCs w:val="24"/>
          <w:lang w:val="en-GB" w:eastAsia="en-GB"/>
        </w:rPr>
      </w:pPr>
      <w:hyperlink w:anchor="_Toc58851704" w:history="1">
        <w:r w:rsidR="00D236A1" w:rsidRPr="00836B07">
          <w:rPr>
            <w:rStyle w:val="Hyperlink"/>
            <w:rFonts w:ascii="Calibri" w:eastAsia="Calibri" w:hAnsi="Calibri" w:cs="Calibri"/>
            <w:noProof/>
          </w:rPr>
          <w:t xml:space="preserve">Dėl </w:t>
        </w:r>
        <w:r w:rsidR="00D236A1" w:rsidRPr="00836B07">
          <w:rPr>
            <w:rStyle w:val="Hyperlink"/>
            <w:rFonts w:ascii="Calibri" w:eastAsia="Calibri" w:hAnsi="Calibri" w:cs="Calibri"/>
            <w:bCs/>
            <w:noProof/>
            <w:lang w:bidi="lt-LT"/>
          </w:rPr>
          <w:t xml:space="preserve">nepriklausomos ir nešališkos </w:t>
        </w:r>
        <w:r w:rsidR="00D236A1" w:rsidRPr="00836B07">
          <w:rPr>
            <w:rStyle w:val="Hyperlink"/>
            <w:rFonts w:ascii="Calibri" w:eastAsia="Calibri" w:hAnsi="Calibri" w:cs="Calibri"/>
            <w:noProof/>
          </w:rPr>
          <w:t xml:space="preserve">institucijos </w:t>
        </w:r>
        <w:r w:rsidR="00D236A1" w:rsidRPr="00836B07">
          <w:rPr>
            <w:rStyle w:val="Hyperlink"/>
            <w:rFonts w:ascii="Calibri" w:eastAsia="Calibri" w:hAnsi="Calibri" w:cs="Calibri"/>
            <w:bCs/>
            <w:noProof/>
            <w:lang w:bidi="lt-LT"/>
          </w:rPr>
          <w:t>reikalavimų išpildymo, kai VTEK pirmininkavo ne pagal teisės aktuose nustatytą tvarką paskirtas pirmininkas</w:t>
        </w:r>
        <w:r w:rsidR="00D236A1">
          <w:rPr>
            <w:noProof/>
            <w:webHidden/>
          </w:rPr>
          <w:tab/>
        </w:r>
        <w:r w:rsidR="00D236A1">
          <w:rPr>
            <w:noProof/>
            <w:webHidden/>
          </w:rPr>
          <w:fldChar w:fldCharType="begin"/>
        </w:r>
        <w:r w:rsidR="00D236A1">
          <w:rPr>
            <w:noProof/>
            <w:webHidden/>
          </w:rPr>
          <w:instrText xml:space="preserve"> PAGEREF _Toc58851704 \h </w:instrText>
        </w:r>
        <w:r w:rsidR="00D236A1">
          <w:rPr>
            <w:noProof/>
            <w:webHidden/>
          </w:rPr>
        </w:r>
        <w:r w:rsidR="00D236A1">
          <w:rPr>
            <w:noProof/>
            <w:webHidden/>
          </w:rPr>
          <w:fldChar w:fldCharType="separate"/>
        </w:r>
        <w:r w:rsidR="00D236A1">
          <w:rPr>
            <w:noProof/>
            <w:webHidden/>
          </w:rPr>
          <w:t>13</w:t>
        </w:r>
        <w:r w:rsidR="00D236A1">
          <w:rPr>
            <w:noProof/>
            <w:webHidden/>
          </w:rPr>
          <w:fldChar w:fldCharType="end"/>
        </w:r>
      </w:hyperlink>
    </w:p>
    <w:p w14:paraId="10971E15" w14:textId="77777777" w:rsidR="00D236A1" w:rsidRDefault="000F189C">
      <w:pPr>
        <w:pStyle w:val="TOC1"/>
        <w:rPr>
          <w:rFonts w:eastAsiaTheme="minorEastAsia" w:cstheme="minorBidi"/>
          <w:b w:val="0"/>
          <w:bCs w:val="0"/>
          <w:caps w:val="0"/>
          <w:noProof/>
          <w:sz w:val="24"/>
          <w:szCs w:val="24"/>
          <w:lang w:val="en-GB" w:eastAsia="en-GB"/>
        </w:rPr>
      </w:pPr>
      <w:hyperlink w:anchor="_Toc58851705" w:history="1">
        <w:r w:rsidR="00D236A1" w:rsidRPr="00836B07">
          <w:rPr>
            <w:rStyle w:val="Hyperlink"/>
            <w:rFonts w:ascii="Calibri" w:hAnsi="Calibri"/>
            <w:noProof/>
          </w:rPr>
          <w:t>26. Asmens duomenų teisinė apsauga</w:t>
        </w:r>
        <w:r w:rsidR="00D236A1">
          <w:rPr>
            <w:noProof/>
            <w:webHidden/>
          </w:rPr>
          <w:tab/>
        </w:r>
        <w:r w:rsidR="00D236A1">
          <w:rPr>
            <w:noProof/>
            <w:webHidden/>
          </w:rPr>
          <w:fldChar w:fldCharType="begin"/>
        </w:r>
        <w:r w:rsidR="00D236A1">
          <w:rPr>
            <w:noProof/>
            <w:webHidden/>
          </w:rPr>
          <w:instrText xml:space="preserve"> PAGEREF _Toc58851705 \h </w:instrText>
        </w:r>
        <w:r w:rsidR="00D236A1">
          <w:rPr>
            <w:noProof/>
            <w:webHidden/>
          </w:rPr>
        </w:r>
        <w:r w:rsidR="00D236A1">
          <w:rPr>
            <w:noProof/>
            <w:webHidden/>
          </w:rPr>
          <w:fldChar w:fldCharType="separate"/>
        </w:r>
        <w:r w:rsidR="00D236A1">
          <w:rPr>
            <w:noProof/>
            <w:webHidden/>
          </w:rPr>
          <w:t>16</w:t>
        </w:r>
        <w:r w:rsidR="00D236A1">
          <w:rPr>
            <w:noProof/>
            <w:webHidden/>
          </w:rPr>
          <w:fldChar w:fldCharType="end"/>
        </w:r>
      </w:hyperlink>
    </w:p>
    <w:p w14:paraId="1069BAC3" w14:textId="77777777" w:rsidR="00D236A1" w:rsidRDefault="000F189C">
      <w:pPr>
        <w:pStyle w:val="TOC2"/>
        <w:rPr>
          <w:rFonts w:eastAsiaTheme="minorEastAsia" w:cstheme="minorBidi"/>
          <w:i w:val="0"/>
          <w:noProof/>
          <w:sz w:val="24"/>
          <w:szCs w:val="24"/>
          <w:lang w:val="en-GB" w:eastAsia="en-GB"/>
        </w:rPr>
      </w:pPr>
      <w:hyperlink w:anchor="_Toc58851706" w:history="1">
        <w:r w:rsidR="00D236A1" w:rsidRPr="00836B07">
          <w:rPr>
            <w:rStyle w:val="Hyperlink"/>
            <w:noProof/>
          </w:rPr>
          <w:t>Dėl pareigos pašalinti asmens duomenis iš viešo registro išnykus duomenų tvarkymo tikslui, nepaisant to, kad nacionaliniai teisės aktai, reglamentuojantys šių duomenų tvarkymą, tokios pareigos eksplicitiškai nenustato</w:t>
        </w:r>
        <w:r w:rsidR="00D236A1">
          <w:rPr>
            <w:noProof/>
            <w:webHidden/>
          </w:rPr>
          <w:tab/>
        </w:r>
        <w:r w:rsidR="00D236A1">
          <w:rPr>
            <w:noProof/>
            <w:webHidden/>
          </w:rPr>
          <w:fldChar w:fldCharType="begin"/>
        </w:r>
        <w:r w:rsidR="00D236A1">
          <w:rPr>
            <w:noProof/>
            <w:webHidden/>
          </w:rPr>
          <w:instrText xml:space="preserve"> PAGEREF _Toc58851706 \h </w:instrText>
        </w:r>
        <w:r w:rsidR="00D236A1">
          <w:rPr>
            <w:noProof/>
            <w:webHidden/>
          </w:rPr>
        </w:r>
        <w:r w:rsidR="00D236A1">
          <w:rPr>
            <w:noProof/>
            <w:webHidden/>
          </w:rPr>
          <w:fldChar w:fldCharType="separate"/>
        </w:r>
        <w:r w:rsidR="00D236A1">
          <w:rPr>
            <w:noProof/>
            <w:webHidden/>
          </w:rPr>
          <w:t>16</w:t>
        </w:r>
        <w:r w:rsidR="00D236A1">
          <w:rPr>
            <w:noProof/>
            <w:webHidden/>
          </w:rPr>
          <w:fldChar w:fldCharType="end"/>
        </w:r>
      </w:hyperlink>
    </w:p>
    <w:p w14:paraId="432E87FB" w14:textId="77777777" w:rsidR="00D236A1" w:rsidRDefault="000F189C">
      <w:pPr>
        <w:pStyle w:val="TOC1"/>
        <w:rPr>
          <w:rFonts w:eastAsiaTheme="minorEastAsia" w:cstheme="minorBidi"/>
          <w:b w:val="0"/>
          <w:bCs w:val="0"/>
          <w:caps w:val="0"/>
          <w:noProof/>
          <w:sz w:val="24"/>
          <w:szCs w:val="24"/>
          <w:lang w:val="en-GB" w:eastAsia="en-GB"/>
        </w:rPr>
      </w:pPr>
      <w:hyperlink w:anchor="_Toc58851707" w:history="1">
        <w:r w:rsidR="00D236A1" w:rsidRPr="00836B07">
          <w:rPr>
            <w:rStyle w:val="Hyperlink"/>
            <w:rFonts w:ascii="Calibri" w:hAnsi="Calibri"/>
            <w:noProof/>
          </w:rPr>
          <w:t>30. Energetika</w:t>
        </w:r>
        <w:r w:rsidR="00D236A1">
          <w:rPr>
            <w:noProof/>
            <w:webHidden/>
          </w:rPr>
          <w:tab/>
        </w:r>
        <w:r w:rsidR="00D236A1">
          <w:rPr>
            <w:noProof/>
            <w:webHidden/>
          </w:rPr>
          <w:fldChar w:fldCharType="begin"/>
        </w:r>
        <w:r w:rsidR="00D236A1">
          <w:rPr>
            <w:noProof/>
            <w:webHidden/>
          </w:rPr>
          <w:instrText xml:space="preserve"> PAGEREF _Toc58851707 \h </w:instrText>
        </w:r>
        <w:r w:rsidR="00D236A1">
          <w:rPr>
            <w:noProof/>
            <w:webHidden/>
          </w:rPr>
        </w:r>
        <w:r w:rsidR="00D236A1">
          <w:rPr>
            <w:noProof/>
            <w:webHidden/>
          </w:rPr>
          <w:fldChar w:fldCharType="separate"/>
        </w:r>
        <w:r w:rsidR="00D236A1">
          <w:rPr>
            <w:noProof/>
            <w:webHidden/>
          </w:rPr>
          <w:t>17</w:t>
        </w:r>
        <w:r w:rsidR="00D236A1">
          <w:rPr>
            <w:noProof/>
            <w:webHidden/>
          </w:rPr>
          <w:fldChar w:fldCharType="end"/>
        </w:r>
      </w:hyperlink>
    </w:p>
    <w:p w14:paraId="6B238A6A" w14:textId="77777777" w:rsidR="00D236A1" w:rsidRDefault="000F189C">
      <w:pPr>
        <w:pStyle w:val="TOC2"/>
        <w:rPr>
          <w:rFonts w:eastAsiaTheme="minorEastAsia" w:cstheme="minorBidi"/>
          <w:i w:val="0"/>
          <w:noProof/>
          <w:sz w:val="24"/>
          <w:szCs w:val="24"/>
          <w:lang w:val="en-GB" w:eastAsia="en-GB"/>
        </w:rPr>
      </w:pPr>
      <w:hyperlink w:anchor="_Toc58851708" w:history="1">
        <w:r w:rsidR="00D236A1" w:rsidRPr="00836B07">
          <w:rPr>
            <w:rStyle w:val="Hyperlink"/>
            <w:rFonts w:ascii="Calibri" w:eastAsia="Calibri" w:hAnsi="Calibri"/>
            <w:noProof/>
          </w:rPr>
          <w:t>Dėl leidimų gaminti elektros energiją teisėtumo nevykdžius skatinimo kvotų aukciono įsipareigojimų</w:t>
        </w:r>
        <w:r w:rsidR="00D236A1">
          <w:rPr>
            <w:noProof/>
            <w:webHidden/>
          </w:rPr>
          <w:tab/>
        </w:r>
        <w:r w:rsidR="00D236A1">
          <w:rPr>
            <w:noProof/>
            <w:webHidden/>
          </w:rPr>
          <w:fldChar w:fldCharType="begin"/>
        </w:r>
        <w:r w:rsidR="00D236A1">
          <w:rPr>
            <w:noProof/>
            <w:webHidden/>
          </w:rPr>
          <w:instrText xml:space="preserve"> PAGEREF _Toc58851708 \h </w:instrText>
        </w:r>
        <w:r w:rsidR="00D236A1">
          <w:rPr>
            <w:noProof/>
            <w:webHidden/>
          </w:rPr>
        </w:r>
        <w:r w:rsidR="00D236A1">
          <w:rPr>
            <w:noProof/>
            <w:webHidden/>
          </w:rPr>
          <w:fldChar w:fldCharType="separate"/>
        </w:r>
        <w:r w:rsidR="00D236A1">
          <w:rPr>
            <w:noProof/>
            <w:webHidden/>
          </w:rPr>
          <w:t>17</w:t>
        </w:r>
        <w:r w:rsidR="00D236A1">
          <w:rPr>
            <w:noProof/>
            <w:webHidden/>
          </w:rPr>
          <w:fldChar w:fldCharType="end"/>
        </w:r>
      </w:hyperlink>
    </w:p>
    <w:p w14:paraId="4D81E35E" w14:textId="77777777" w:rsidR="00D236A1" w:rsidRDefault="000F189C">
      <w:pPr>
        <w:pStyle w:val="TOC1"/>
        <w:rPr>
          <w:rFonts w:eastAsiaTheme="minorEastAsia" w:cstheme="minorBidi"/>
          <w:b w:val="0"/>
          <w:bCs w:val="0"/>
          <w:caps w:val="0"/>
          <w:noProof/>
          <w:sz w:val="24"/>
          <w:szCs w:val="24"/>
          <w:lang w:val="en-GB" w:eastAsia="en-GB"/>
        </w:rPr>
      </w:pPr>
      <w:hyperlink w:anchor="_Toc58851709" w:history="1">
        <w:r w:rsidR="00D236A1" w:rsidRPr="00836B07">
          <w:rPr>
            <w:rStyle w:val="Hyperlink"/>
            <w:rFonts w:cstheme="minorHAnsi"/>
            <w:noProof/>
          </w:rPr>
          <w:t>32. Viešieji pirkimai</w:t>
        </w:r>
        <w:r w:rsidR="00D236A1">
          <w:rPr>
            <w:noProof/>
            <w:webHidden/>
          </w:rPr>
          <w:tab/>
        </w:r>
        <w:r w:rsidR="00D236A1">
          <w:rPr>
            <w:noProof/>
            <w:webHidden/>
          </w:rPr>
          <w:fldChar w:fldCharType="begin"/>
        </w:r>
        <w:r w:rsidR="00D236A1">
          <w:rPr>
            <w:noProof/>
            <w:webHidden/>
          </w:rPr>
          <w:instrText xml:space="preserve"> PAGEREF _Toc58851709 \h </w:instrText>
        </w:r>
        <w:r w:rsidR="00D236A1">
          <w:rPr>
            <w:noProof/>
            <w:webHidden/>
          </w:rPr>
        </w:r>
        <w:r w:rsidR="00D236A1">
          <w:rPr>
            <w:noProof/>
            <w:webHidden/>
          </w:rPr>
          <w:fldChar w:fldCharType="separate"/>
        </w:r>
        <w:r w:rsidR="00D236A1">
          <w:rPr>
            <w:noProof/>
            <w:webHidden/>
          </w:rPr>
          <w:t>19</w:t>
        </w:r>
        <w:r w:rsidR="00D236A1">
          <w:rPr>
            <w:noProof/>
            <w:webHidden/>
          </w:rPr>
          <w:fldChar w:fldCharType="end"/>
        </w:r>
      </w:hyperlink>
    </w:p>
    <w:p w14:paraId="0AFC657E" w14:textId="77777777" w:rsidR="00D236A1" w:rsidRDefault="000F189C">
      <w:pPr>
        <w:pStyle w:val="TOC2"/>
        <w:rPr>
          <w:rFonts w:eastAsiaTheme="minorEastAsia" w:cstheme="minorBidi"/>
          <w:i w:val="0"/>
          <w:noProof/>
          <w:sz w:val="24"/>
          <w:szCs w:val="24"/>
          <w:lang w:val="en-GB" w:eastAsia="en-GB"/>
        </w:rPr>
      </w:pPr>
      <w:hyperlink w:anchor="_Toc58851710" w:history="1">
        <w:r w:rsidR="00D236A1" w:rsidRPr="00836B07">
          <w:rPr>
            <w:rStyle w:val="Hyperlink"/>
            <w:noProof/>
          </w:rPr>
          <w:t>Dėl perkančiosios organizacijos negalėjimo reikalauti pratęsti pasiūlymų ir / ar jų užtikrinimo galiojimo jų terminams jau pasibaigus</w:t>
        </w:r>
        <w:r w:rsidR="00D236A1">
          <w:rPr>
            <w:noProof/>
            <w:webHidden/>
          </w:rPr>
          <w:tab/>
        </w:r>
        <w:r w:rsidR="00D236A1">
          <w:rPr>
            <w:noProof/>
            <w:webHidden/>
          </w:rPr>
          <w:fldChar w:fldCharType="begin"/>
        </w:r>
        <w:r w:rsidR="00D236A1">
          <w:rPr>
            <w:noProof/>
            <w:webHidden/>
          </w:rPr>
          <w:instrText xml:space="preserve"> PAGEREF _Toc58851710 \h </w:instrText>
        </w:r>
        <w:r w:rsidR="00D236A1">
          <w:rPr>
            <w:noProof/>
            <w:webHidden/>
          </w:rPr>
        </w:r>
        <w:r w:rsidR="00D236A1">
          <w:rPr>
            <w:noProof/>
            <w:webHidden/>
          </w:rPr>
          <w:fldChar w:fldCharType="separate"/>
        </w:r>
        <w:r w:rsidR="00D236A1">
          <w:rPr>
            <w:noProof/>
            <w:webHidden/>
          </w:rPr>
          <w:t>19</w:t>
        </w:r>
        <w:r w:rsidR="00D236A1">
          <w:rPr>
            <w:noProof/>
            <w:webHidden/>
          </w:rPr>
          <w:fldChar w:fldCharType="end"/>
        </w:r>
      </w:hyperlink>
    </w:p>
    <w:p w14:paraId="0FCE4C2C" w14:textId="77777777" w:rsidR="00D236A1" w:rsidRDefault="000F189C">
      <w:pPr>
        <w:pStyle w:val="TOC1"/>
        <w:rPr>
          <w:rFonts w:eastAsiaTheme="minorEastAsia" w:cstheme="minorBidi"/>
          <w:b w:val="0"/>
          <w:bCs w:val="0"/>
          <w:caps w:val="0"/>
          <w:noProof/>
          <w:sz w:val="24"/>
          <w:szCs w:val="24"/>
          <w:lang w:val="en-GB" w:eastAsia="en-GB"/>
        </w:rPr>
      </w:pPr>
      <w:hyperlink w:anchor="_Toc58851711" w:history="1">
        <w:r w:rsidR="00D236A1" w:rsidRPr="00836B07">
          <w:rPr>
            <w:rStyle w:val="Hyperlink"/>
            <w:rFonts w:ascii="Calibri" w:hAnsi="Calibri" w:cs="Calibri"/>
            <w:noProof/>
          </w:rPr>
          <w:t>34. Tabako ir alkoholio kontrolė</w:t>
        </w:r>
        <w:r w:rsidR="00D236A1">
          <w:rPr>
            <w:noProof/>
            <w:webHidden/>
          </w:rPr>
          <w:tab/>
        </w:r>
        <w:r w:rsidR="00D236A1">
          <w:rPr>
            <w:noProof/>
            <w:webHidden/>
          </w:rPr>
          <w:fldChar w:fldCharType="begin"/>
        </w:r>
        <w:r w:rsidR="00D236A1">
          <w:rPr>
            <w:noProof/>
            <w:webHidden/>
          </w:rPr>
          <w:instrText xml:space="preserve"> PAGEREF _Toc58851711 \h </w:instrText>
        </w:r>
        <w:r w:rsidR="00D236A1">
          <w:rPr>
            <w:noProof/>
            <w:webHidden/>
          </w:rPr>
        </w:r>
        <w:r w:rsidR="00D236A1">
          <w:rPr>
            <w:noProof/>
            <w:webHidden/>
          </w:rPr>
          <w:fldChar w:fldCharType="separate"/>
        </w:r>
        <w:r w:rsidR="00D236A1">
          <w:rPr>
            <w:noProof/>
            <w:webHidden/>
          </w:rPr>
          <w:t>20</w:t>
        </w:r>
        <w:r w:rsidR="00D236A1">
          <w:rPr>
            <w:noProof/>
            <w:webHidden/>
          </w:rPr>
          <w:fldChar w:fldCharType="end"/>
        </w:r>
      </w:hyperlink>
    </w:p>
    <w:p w14:paraId="784CECB4" w14:textId="77777777" w:rsidR="00D236A1" w:rsidRDefault="000F189C">
      <w:pPr>
        <w:pStyle w:val="TOC2"/>
        <w:rPr>
          <w:rFonts w:eastAsiaTheme="minorEastAsia" w:cstheme="minorBidi"/>
          <w:i w:val="0"/>
          <w:noProof/>
          <w:sz w:val="24"/>
          <w:szCs w:val="24"/>
          <w:lang w:val="en-GB" w:eastAsia="en-GB"/>
        </w:rPr>
      </w:pPr>
      <w:hyperlink w:anchor="_Toc58851712" w:history="1">
        <w:r w:rsidR="00D236A1" w:rsidRPr="00836B07">
          <w:rPr>
            <w:rStyle w:val="Hyperlink"/>
            <w:rFonts w:ascii="Calibri" w:eastAsia="Calibri" w:hAnsi="Calibri" w:cs="Calibri"/>
            <w:noProof/>
          </w:rPr>
          <w:t>Dėl cigarų ir (ar) pypkių klubų įrengimo tvarkos</w:t>
        </w:r>
        <w:r w:rsidR="00D236A1">
          <w:rPr>
            <w:noProof/>
            <w:webHidden/>
          </w:rPr>
          <w:tab/>
        </w:r>
        <w:r w:rsidR="00D236A1">
          <w:rPr>
            <w:noProof/>
            <w:webHidden/>
          </w:rPr>
          <w:fldChar w:fldCharType="begin"/>
        </w:r>
        <w:r w:rsidR="00D236A1">
          <w:rPr>
            <w:noProof/>
            <w:webHidden/>
          </w:rPr>
          <w:instrText xml:space="preserve"> PAGEREF _Toc58851712 \h </w:instrText>
        </w:r>
        <w:r w:rsidR="00D236A1">
          <w:rPr>
            <w:noProof/>
            <w:webHidden/>
          </w:rPr>
        </w:r>
        <w:r w:rsidR="00D236A1">
          <w:rPr>
            <w:noProof/>
            <w:webHidden/>
          </w:rPr>
          <w:fldChar w:fldCharType="separate"/>
        </w:r>
        <w:r w:rsidR="00D236A1">
          <w:rPr>
            <w:noProof/>
            <w:webHidden/>
          </w:rPr>
          <w:t>20</w:t>
        </w:r>
        <w:r w:rsidR="00D236A1">
          <w:rPr>
            <w:noProof/>
            <w:webHidden/>
          </w:rPr>
          <w:fldChar w:fldCharType="end"/>
        </w:r>
      </w:hyperlink>
    </w:p>
    <w:p w14:paraId="3A21A27D" w14:textId="77777777" w:rsidR="00D236A1" w:rsidRDefault="000F189C">
      <w:pPr>
        <w:pStyle w:val="TOC1"/>
        <w:rPr>
          <w:rFonts w:eastAsiaTheme="minorEastAsia" w:cstheme="minorBidi"/>
          <w:b w:val="0"/>
          <w:bCs w:val="0"/>
          <w:caps w:val="0"/>
          <w:noProof/>
          <w:sz w:val="24"/>
          <w:szCs w:val="24"/>
          <w:lang w:val="en-GB" w:eastAsia="en-GB"/>
        </w:rPr>
      </w:pPr>
      <w:hyperlink w:anchor="_Toc58851713" w:history="1">
        <w:r w:rsidR="00D236A1" w:rsidRPr="00836B07">
          <w:rPr>
            <w:rStyle w:val="Hyperlink"/>
            <w:rFonts w:ascii="Calibri" w:hAnsi="Calibri"/>
            <w:noProof/>
          </w:rPr>
          <w:t>37. Bausmių vykdymo ir suėmimo sąlygos</w:t>
        </w:r>
        <w:r w:rsidR="00D236A1">
          <w:rPr>
            <w:noProof/>
            <w:webHidden/>
          </w:rPr>
          <w:tab/>
        </w:r>
        <w:r w:rsidR="00D236A1">
          <w:rPr>
            <w:noProof/>
            <w:webHidden/>
          </w:rPr>
          <w:fldChar w:fldCharType="begin"/>
        </w:r>
        <w:r w:rsidR="00D236A1">
          <w:rPr>
            <w:noProof/>
            <w:webHidden/>
          </w:rPr>
          <w:instrText xml:space="preserve"> PAGEREF _Toc58851713 \h </w:instrText>
        </w:r>
        <w:r w:rsidR="00D236A1">
          <w:rPr>
            <w:noProof/>
            <w:webHidden/>
          </w:rPr>
        </w:r>
        <w:r w:rsidR="00D236A1">
          <w:rPr>
            <w:noProof/>
            <w:webHidden/>
          </w:rPr>
          <w:fldChar w:fldCharType="separate"/>
        </w:r>
        <w:r w:rsidR="00D236A1">
          <w:rPr>
            <w:noProof/>
            <w:webHidden/>
          </w:rPr>
          <w:t>21</w:t>
        </w:r>
        <w:r w:rsidR="00D236A1">
          <w:rPr>
            <w:noProof/>
            <w:webHidden/>
          </w:rPr>
          <w:fldChar w:fldCharType="end"/>
        </w:r>
      </w:hyperlink>
    </w:p>
    <w:p w14:paraId="37635ADF" w14:textId="77777777" w:rsidR="00D236A1" w:rsidRDefault="000F189C">
      <w:pPr>
        <w:pStyle w:val="TOC2"/>
        <w:rPr>
          <w:rFonts w:eastAsiaTheme="minorEastAsia" w:cstheme="minorBidi"/>
          <w:i w:val="0"/>
          <w:noProof/>
          <w:sz w:val="24"/>
          <w:szCs w:val="24"/>
          <w:lang w:val="en-GB" w:eastAsia="en-GB"/>
        </w:rPr>
      </w:pPr>
      <w:hyperlink w:anchor="_Toc58851714" w:history="1">
        <w:r w:rsidR="00D236A1" w:rsidRPr="00836B07">
          <w:rPr>
            <w:rStyle w:val="Hyperlink"/>
            <w:noProof/>
          </w:rPr>
          <w:t>Dėl savarankiškai į darbą ar mokymosi įstaigą vykstančių nuteistųjų pareigos laikytis nustatyto maršruto apimties</w:t>
        </w:r>
        <w:r w:rsidR="00D236A1">
          <w:rPr>
            <w:noProof/>
            <w:webHidden/>
          </w:rPr>
          <w:tab/>
        </w:r>
        <w:r w:rsidR="00D236A1">
          <w:rPr>
            <w:noProof/>
            <w:webHidden/>
          </w:rPr>
          <w:fldChar w:fldCharType="begin"/>
        </w:r>
        <w:r w:rsidR="00D236A1">
          <w:rPr>
            <w:noProof/>
            <w:webHidden/>
          </w:rPr>
          <w:instrText xml:space="preserve"> PAGEREF _Toc58851714 \h </w:instrText>
        </w:r>
        <w:r w:rsidR="00D236A1">
          <w:rPr>
            <w:noProof/>
            <w:webHidden/>
          </w:rPr>
        </w:r>
        <w:r w:rsidR="00D236A1">
          <w:rPr>
            <w:noProof/>
            <w:webHidden/>
          </w:rPr>
          <w:fldChar w:fldCharType="separate"/>
        </w:r>
        <w:r w:rsidR="00D236A1">
          <w:rPr>
            <w:noProof/>
            <w:webHidden/>
          </w:rPr>
          <w:t>21</w:t>
        </w:r>
        <w:r w:rsidR="00D236A1">
          <w:rPr>
            <w:noProof/>
            <w:webHidden/>
          </w:rPr>
          <w:fldChar w:fldCharType="end"/>
        </w:r>
      </w:hyperlink>
    </w:p>
    <w:p w14:paraId="79A1DF18" w14:textId="77777777" w:rsidR="00D236A1" w:rsidRDefault="000F189C">
      <w:pPr>
        <w:pStyle w:val="TOC1"/>
        <w:rPr>
          <w:rFonts w:eastAsiaTheme="minorEastAsia" w:cstheme="minorBidi"/>
          <w:b w:val="0"/>
          <w:bCs w:val="0"/>
          <w:caps w:val="0"/>
          <w:noProof/>
          <w:sz w:val="24"/>
          <w:szCs w:val="24"/>
          <w:lang w:val="en-GB" w:eastAsia="en-GB"/>
        </w:rPr>
      </w:pPr>
      <w:hyperlink w:anchor="_Toc58851715" w:history="1">
        <w:r w:rsidR="00D236A1" w:rsidRPr="00836B07">
          <w:rPr>
            <w:rStyle w:val="Hyperlink"/>
            <w:rFonts w:ascii="Calibri" w:hAnsi="Calibri"/>
            <w:noProof/>
          </w:rPr>
          <w:t>41. Kiti ginčai viešojo administravimo srityje</w:t>
        </w:r>
        <w:r w:rsidR="00D236A1">
          <w:rPr>
            <w:noProof/>
            <w:webHidden/>
          </w:rPr>
          <w:tab/>
        </w:r>
        <w:r w:rsidR="00D236A1">
          <w:rPr>
            <w:noProof/>
            <w:webHidden/>
          </w:rPr>
          <w:fldChar w:fldCharType="begin"/>
        </w:r>
        <w:r w:rsidR="00D236A1">
          <w:rPr>
            <w:noProof/>
            <w:webHidden/>
          </w:rPr>
          <w:instrText xml:space="preserve"> PAGEREF _Toc58851715 \h </w:instrText>
        </w:r>
        <w:r w:rsidR="00D236A1">
          <w:rPr>
            <w:noProof/>
            <w:webHidden/>
          </w:rPr>
        </w:r>
        <w:r w:rsidR="00D236A1">
          <w:rPr>
            <w:noProof/>
            <w:webHidden/>
          </w:rPr>
          <w:fldChar w:fldCharType="separate"/>
        </w:r>
        <w:r w:rsidR="00D236A1">
          <w:rPr>
            <w:noProof/>
            <w:webHidden/>
          </w:rPr>
          <w:t>22</w:t>
        </w:r>
        <w:r w:rsidR="00D236A1">
          <w:rPr>
            <w:noProof/>
            <w:webHidden/>
          </w:rPr>
          <w:fldChar w:fldCharType="end"/>
        </w:r>
      </w:hyperlink>
    </w:p>
    <w:p w14:paraId="51F8A3DD" w14:textId="77777777" w:rsidR="00D236A1" w:rsidRDefault="000F189C">
      <w:pPr>
        <w:pStyle w:val="TOC2"/>
        <w:rPr>
          <w:rFonts w:eastAsiaTheme="minorEastAsia" w:cstheme="minorBidi"/>
          <w:i w:val="0"/>
          <w:noProof/>
          <w:sz w:val="24"/>
          <w:szCs w:val="24"/>
          <w:lang w:val="en-GB" w:eastAsia="en-GB"/>
        </w:rPr>
      </w:pPr>
      <w:hyperlink w:anchor="_Toc58851716" w:history="1">
        <w:r w:rsidR="00D236A1" w:rsidRPr="00836B07">
          <w:rPr>
            <w:rStyle w:val="Hyperlink"/>
            <w:noProof/>
          </w:rPr>
          <w:t>Dėl darbo užmokesčio už 1 dieną neišmokėjimo vertinimo diskriminacijos aspektu</w:t>
        </w:r>
        <w:r w:rsidR="00D236A1">
          <w:rPr>
            <w:noProof/>
            <w:webHidden/>
          </w:rPr>
          <w:tab/>
        </w:r>
        <w:r w:rsidR="00D236A1">
          <w:rPr>
            <w:noProof/>
            <w:webHidden/>
          </w:rPr>
          <w:fldChar w:fldCharType="begin"/>
        </w:r>
        <w:r w:rsidR="00D236A1">
          <w:rPr>
            <w:noProof/>
            <w:webHidden/>
          </w:rPr>
          <w:instrText xml:space="preserve"> PAGEREF _Toc58851716 \h </w:instrText>
        </w:r>
        <w:r w:rsidR="00D236A1">
          <w:rPr>
            <w:noProof/>
            <w:webHidden/>
          </w:rPr>
        </w:r>
        <w:r w:rsidR="00D236A1">
          <w:rPr>
            <w:noProof/>
            <w:webHidden/>
          </w:rPr>
          <w:fldChar w:fldCharType="separate"/>
        </w:r>
        <w:r w:rsidR="00D236A1">
          <w:rPr>
            <w:noProof/>
            <w:webHidden/>
          </w:rPr>
          <w:t>22</w:t>
        </w:r>
        <w:r w:rsidR="00D236A1">
          <w:rPr>
            <w:noProof/>
            <w:webHidden/>
          </w:rPr>
          <w:fldChar w:fldCharType="end"/>
        </w:r>
      </w:hyperlink>
    </w:p>
    <w:p w14:paraId="4AB330C6" w14:textId="77777777" w:rsidR="00D236A1" w:rsidRDefault="000F189C">
      <w:pPr>
        <w:pStyle w:val="TOC1"/>
        <w:rPr>
          <w:rFonts w:eastAsiaTheme="minorEastAsia" w:cstheme="minorBidi"/>
          <w:b w:val="0"/>
          <w:bCs w:val="0"/>
          <w:caps w:val="0"/>
          <w:noProof/>
          <w:sz w:val="24"/>
          <w:szCs w:val="24"/>
          <w:lang w:val="en-GB" w:eastAsia="en-GB"/>
        </w:rPr>
      </w:pPr>
      <w:hyperlink w:anchor="_Toc58851717" w:history="1">
        <w:r w:rsidR="00D236A1" w:rsidRPr="00836B07">
          <w:rPr>
            <w:rStyle w:val="Hyperlink"/>
            <w:rFonts w:ascii="Calibri" w:hAnsi="Calibri"/>
            <w:noProof/>
          </w:rPr>
          <w:t>II. Administracinių bylų teisena</w:t>
        </w:r>
        <w:r w:rsidR="00D236A1">
          <w:rPr>
            <w:noProof/>
            <w:webHidden/>
          </w:rPr>
          <w:tab/>
        </w:r>
        <w:r w:rsidR="00D236A1">
          <w:rPr>
            <w:noProof/>
            <w:webHidden/>
          </w:rPr>
          <w:fldChar w:fldCharType="begin"/>
        </w:r>
        <w:r w:rsidR="00D236A1">
          <w:rPr>
            <w:noProof/>
            <w:webHidden/>
          </w:rPr>
          <w:instrText xml:space="preserve"> PAGEREF _Toc58851717 \h </w:instrText>
        </w:r>
        <w:r w:rsidR="00D236A1">
          <w:rPr>
            <w:noProof/>
            <w:webHidden/>
          </w:rPr>
        </w:r>
        <w:r w:rsidR="00D236A1">
          <w:rPr>
            <w:noProof/>
            <w:webHidden/>
          </w:rPr>
          <w:fldChar w:fldCharType="separate"/>
        </w:r>
        <w:r w:rsidR="00D236A1">
          <w:rPr>
            <w:noProof/>
            <w:webHidden/>
          </w:rPr>
          <w:t>23</w:t>
        </w:r>
        <w:r w:rsidR="00D236A1">
          <w:rPr>
            <w:noProof/>
            <w:webHidden/>
          </w:rPr>
          <w:fldChar w:fldCharType="end"/>
        </w:r>
      </w:hyperlink>
    </w:p>
    <w:p w14:paraId="5762ED73" w14:textId="77777777" w:rsidR="00D236A1" w:rsidRDefault="000F189C">
      <w:pPr>
        <w:pStyle w:val="TOC1"/>
        <w:rPr>
          <w:rFonts w:eastAsiaTheme="minorEastAsia" w:cstheme="minorBidi"/>
          <w:b w:val="0"/>
          <w:bCs w:val="0"/>
          <w:caps w:val="0"/>
          <w:noProof/>
          <w:sz w:val="24"/>
          <w:szCs w:val="24"/>
          <w:lang w:val="en-GB" w:eastAsia="en-GB"/>
        </w:rPr>
      </w:pPr>
      <w:hyperlink w:anchor="_Toc58851718" w:history="1">
        <w:r w:rsidR="00D236A1" w:rsidRPr="00836B07">
          <w:rPr>
            <w:rStyle w:val="Hyperlink"/>
            <w:rFonts w:ascii="Calibri" w:hAnsi="Calibri"/>
            <w:noProof/>
          </w:rPr>
          <w:t>43. Teisė kreiptis į teismą ir jos realizavimas</w:t>
        </w:r>
        <w:r w:rsidR="00D236A1">
          <w:rPr>
            <w:noProof/>
            <w:webHidden/>
          </w:rPr>
          <w:tab/>
        </w:r>
        <w:r w:rsidR="00D236A1">
          <w:rPr>
            <w:noProof/>
            <w:webHidden/>
          </w:rPr>
          <w:fldChar w:fldCharType="begin"/>
        </w:r>
        <w:r w:rsidR="00D236A1">
          <w:rPr>
            <w:noProof/>
            <w:webHidden/>
          </w:rPr>
          <w:instrText xml:space="preserve"> PAGEREF _Toc58851718 \h </w:instrText>
        </w:r>
        <w:r w:rsidR="00D236A1">
          <w:rPr>
            <w:noProof/>
            <w:webHidden/>
          </w:rPr>
        </w:r>
        <w:r w:rsidR="00D236A1">
          <w:rPr>
            <w:noProof/>
            <w:webHidden/>
          </w:rPr>
          <w:fldChar w:fldCharType="separate"/>
        </w:r>
        <w:r w:rsidR="00D236A1">
          <w:rPr>
            <w:noProof/>
            <w:webHidden/>
          </w:rPr>
          <w:t>23</w:t>
        </w:r>
        <w:r w:rsidR="00D236A1">
          <w:rPr>
            <w:noProof/>
            <w:webHidden/>
          </w:rPr>
          <w:fldChar w:fldCharType="end"/>
        </w:r>
      </w:hyperlink>
    </w:p>
    <w:p w14:paraId="093C4699" w14:textId="77777777" w:rsidR="00D236A1" w:rsidRDefault="000F189C">
      <w:pPr>
        <w:pStyle w:val="TOC2"/>
        <w:rPr>
          <w:rFonts w:eastAsiaTheme="minorEastAsia" w:cstheme="minorBidi"/>
          <w:i w:val="0"/>
          <w:noProof/>
          <w:sz w:val="24"/>
          <w:szCs w:val="24"/>
          <w:lang w:val="en-GB" w:eastAsia="en-GB"/>
        </w:rPr>
      </w:pPr>
      <w:hyperlink w:anchor="_Toc58851719" w:history="1">
        <w:r w:rsidR="00D236A1" w:rsidRPr="00836B07">
          <w:rPr>
            <w:rStyle w:val="Hyperlink"/>
            <w:noProof/>
          </w:rPr>
          <w:t>Dėl Vyriausiosios tarnybinės etikos komisijos sprendimo nepradėti tyrimo pagal pranešimą apskundimo</w:t>
        </w:r>
        <w:r w:rsidR="00D236A1">
          <w:rPr>
            <w:noProof/>
            <w:webHidden/>
          </w:rPr>
          <w:tab/>
        </w:r>
        <w:r w:rsidR="00D236A1">
          <w:rPr>
            <w:noProof/>
            <w:webHidden/>
          </w:rPr>
          <w:fldChar w:fldCharType="begin"/>
        </w:r>
        <w:r w:rsidR="00D236A1">
          <w:rPr>
            <w:noProof/>
            <w:webHidden/>
          </w:rPr>
          <w:instrText xml:space="preserve"> PAGEREF _Toc58851719 \h </w:instrText>
        </w:r>
        <w:r w:rsidR="00D236A1">
          <w:rPr>
            <w:noProof/>
            <w:webHidden/>
          </w:rPr>
        </w:r>
        <w:r w:rsidR="00D236A1">
          <w:rPr>
            <w:noProof/>
            <w:webHidden/>
          </w:rPr>
          <w:fldChar w:fldCharType="separate"/>
        </w:r>
        <w:r w:rsidR="00D236A1">
          <w:rPr>
            <w:noProof/>
            <w:webHidden/>
          </w:rPr>
          <w:t>23</w:t>
        </w:r>
        <w:r w:rsidR="00D236A1">
          <w:rPr>
            <w:noProof/>
            <w:webHidden/>
          </w:rPr>
          <w:fldChar w:fldCharType="end"/>
        </w:r>
      </w:hyperlink>
    </w:p>
    <w:p w14:paraId="686D0BAF" w14:textId="77777777" w:rsidR="00D236A1" w:rsidRDefault="000F189C">
      <w:pPr>
        <w:pStyle w:val="TOC2"/>
        <w:rPr>
          <w:rFonts w:eastAsiaTheme="minorEastAsia" w:cstheme="minorBidi"/>
          <w:i w:val="0"/>
          <w:noProof/>
          <w:sz w:val="24"/>
          <w:szCs w:val="24"/>
          <w:lang w:val="en-GB" w:eastAsia="en-GB"/>
        </w:rPr>
      </w:pPr>
      <w:hyperlink w:anchor="_Toc58851720" w:history="1">
        <w:r w:rsidR="00D236A1" w:rsidRPr="00836B07">
          <w:rPr>
            <w:rStyle w:val="Hyperlink"/>
            <w:noProof/>
          </w:rPr>
          <w:t>Dėl Nemokumo administratorių rūmų organų sprendimų apskundimo</w:t>
        </w:r>
        <w:r w:rsidR="00D236A1">
          <w:rPr>
            <w:noProof/>
            <w:webHidden/>
          </w:rPr>
          <w:tab/>
        </w:r>
        <w:r w:rsidR="00D236A1">
          <w:rPr>
            <w:noProof/>
            <w:webHidden/>
          </w:rPr>
          <w:fldChar w:fldCharType="begin"/>
        </w:r>
        <w:r w:rsidR="00D236A1">
          <w:rPr>
            <w:noProof/>
            <w:webHidden/>
          </w:rPr>
          <w:instrText xml:space="preserve"> PAGEREF _Toc58851720 \h </w:instrText>
        </w:r>
        <w:r w:rsidR="00D236A1">
          <w:rPr>
            <w:noProof/>
            <w:webHidden/>
          </w:rPr>
        </w:r>
        <w:r w:rsidR="00D236A1">
          <w:rPr>
            <w:noProof/>
            <w:webHidden/>
          </w:rPr>
          <w:fldChar w:fldCharType="separate"/>
        </w:r>
        <w:r w:rsidR="00D236A1">
          <w:rPr>
            <w:noProof/>
            <w:webHidden/>
          </w:rPr>
          <w:t>24</w:t>
        </w:r>
        <w:r w:rsidR="00D236A1">
          <w:rPr>
            <w:noProof/>
            <w:webHidden/>
          </w:rPr>
          <w:fldChar w:fldCharType="end"/>
        </w:r>
      </w:hyperlink>
    </w:p>
    <w:p w14:paraId="3A6629F1" w14:textId="77777777" w:rsidR="00D236A1" w:rsidRDefault="000F189C">
      <w:pPr>
        <w:pStyle w:val="TOC1"/>
        <w:rPr>
          <w:rFonts w:eastAsiaTheme="minorEastAsia" w:cstheme="minorBidi"/>
          <w:b w:val="0"/>
          <w:bCs w:val="0"/>
          <w:caps w:val="0"/>
          <w:noProof/>
          <w:sz w:val="24"/>
          <w:szCs w:val="24"/>
          <w:lang w:val="en-GB" w:eastAsia="en-GB"/>
        </w:rPr>
      </w:pPr>
      <w:hyperlink w:anchor="_Toc58851721" w:history="1">
        <w:r w:rsidR="00D236A1" w:rsidRPr="00836B07">
          <w:rPr>
            <w:rStyle w:val="Hyperlink"/>
            <w:rFonts w:ascii="Calibri" w:hAnsi="Calibri"/>
            <w:noProof/>
          </w:rPr>
          <w:t>59. Apeliacinis procesas</w:t>
        </w:r>
        <w:r w:rsidR="00D236A1">
          <w:rPr>
            <w:noProof/>
            <w:webHidden/>
          </w:rPr>
          <w:tab/>
        </w:r>
        <w:r w:rsidR="00D236A1">
          <w:rPr>
            <w:noProof/>
            <w:webHidden/>
          </w:rPr>
          <w:fldChar w:fldCharType="begin"/>
        </w:r>
        <w:r w:rsidR="00D236A1">
          <w:rPr>
            <w:noProof/>
            <w:webHidden/>
          </w:rPr>
          <w:instrText xml:space="preserve"> PAGEREF _Toc58851721 \h </w:instrText>
        </w:r>
        <w:r w:rsidR="00D236A1">
          <w:rPr>
            <w:noProof/>
            <w:webHidden/>
          </w:rPr>
        </w:r>
        <w:r w:rsidR="00D236A1">
          <w:rPr>
            <w:noProof/>
            <w:webHidden/>
          </w:rPr>
          <w:fldChar w:fldCharType="separate"/>
        </w:r>
        <w:r w:rsidR="00D236A1">
          <w:rPr>
            <w:noProof/>
            <w:webHidden/>
          </w:rPr>
          <w:t>24</w:t>
        </w:r>
        <w:r w:rsidR="00D236A1">
          <w:rPr>
            <w:noProof/>
            <w:webHidden/>
          </w:rPr>
          <w:fldChar w:fldCharType="end"/>
        </w:r>
      </w:hyperlink>
    </w:p>
    <w:p w14:paraId="7C63D591" w14:textId="77777777" w:rsidR="00D236A1" w:rsidRDefault="000F189C">
      <w:pPr>
        <w:pStyle w:val="TOC2"/>
        <w:rPr>
          <w:rFonts w:eastAsiaTheme="minorEastAsia" w:cstheme="minorBidi"/>
          <w:i w:val="0"/>
          <w:noProof/>
          <w:sz w:val="24"/>
          <w:szCs w:val="24"/>
          <w:lang w:val="en-GB" w:eastAsia="en-GB"/>
        </w:rPr>
      </w:pPr>
      <w:hyperlink w:anchor="_Toc58851722" w:history="1">
        <w:r w:rsidR="00D236A1" w:rsidRPr="00836B07">
          <w:rPr>
            <w:rStyle w:val="Hyperlink"/>
            <w:noProof/>
          </w:rPr>
          <w:t>Dėl antrinės teisinės pagalbos suteikimo momento kaip svarbios aplinkybės praleistam terminui atnaujinti</w:t>
        </w:r>
        <w:r w:rsidR="00D236A1">
          <w:rPr>
            <w:noProof/>
            <w:webHidden/>
          </w:rPr>
          <w:tab/>
        </w:r>
        <w:r w:rsidR="00D236A1">
          <w:rPr>
            <w:noProof/>
            <w:webHidden/>
          </w:rPr>
          <w:fldChar w:fldCharType="begin"/>
        </w:r>
        <w:r w:rsidR="00D236A1">
          <w:rPr>
            <w:noProof/>
            <w:webHidden/>
          </w:rPr>
          <w:instrText xml:space="preserve"> PAGEREF _Toc58851722 \h </w:instrText>
        </w:r>
        <w:r w:rsidR="00D236A1">
          <w:rPr>
            <w:noProof/>
            <w:webHidden/>
          </w:rPr>
        </w:r>
        <w:r w:rsidR="00D236A1">
          <w:rPr>
            <w:noProof/>
            <w:webHidden/>
          </w:rPr>
          <w:fldChar w:fldCharType="separate"/>
        </w:r>
        <w:r w:rsidR="00D236A1">
          <w:rPr>
            <w:noProof/>
            <w:webHidden/>
          </w:rPr>
          <w:t>24</w:t>
        </w:r>
        <w:r w:rsidR="00D236A1">
          <w:rPr>
            <w:noProof/>
            <w:webHidden/>
          </w:rPr>
          <w:fldChar w:fldCharType="end"/>
        </w:r>
      </w:hyperlink>
    </w:p>
    <w:p w14:paraId="19CBDCDB" w14:textId="656DAC6E" w:rsidR="00520245" w:rsidRPr="005B56A3" w:rsidRDefault="00A364C6" w:rsidP="007A35C3">
      <w:pPr>
        <w:spacing w:before="240" w:after="240"/>
        <w:jc w:val="both"/>
        <w:rPr>
          <w:rFonts w:asciiTheme="minorHAnsi" w:hAnsiTheme="minorHAnsi" w:cstheme="minorHAnsi"/>
          <w:sz w:val="22"/>
          <w:szCs w:val="22"/>
        </w:rPr>
      </w:pPr>
      <w:r w:rsidRPr="005B56A3">
        <w:rPr>
          <w:rFonts w:asciiTheme="minorHAnsi" w:hAnsiTheme="minorHAnsi" w:cstheme="minorHAnsi"/>
          <w:sz w:val="22"/>
          <w:szCs w:val="22"/>
        </w:rPr>
        <w:fldChar w:fldCharType="end"/>
      </w:r>
      <w:bookmarkEnd w:id="7"/>
    </w:p>
    <w:p w14:paraId="11BC93FC" w14:textId="185262B1" w:rsidR="00293CF6" w:rsidRPr="005B56A3" w:rsidRDefault="00293CF6" w:rsidP="007A35C3">
      <w:pPr>
        <w:spacing w:before="240" w:after="240"/>
        <w:jc w:val="both"/>
        <w:rPr>
          <w:rFonts w:asciiTheme="minorHAnsi" w:hAnsiTheme="minorHAnsi" w:cstheme="minorHAnsi"/>
          <w:sz w:val="22"/>
          <w:szCs w:val="22"/>
        </w:rPr>
      </w:pPr>
      <w:r w:rsidRPr="005B56A3">
        <w:rPr>
          <w:rFonts w:asciiTheme="minorHAnsi" w:hAnsiTheme="minorHAnsi" w:cstheme="minorHAnsi"/>
          <w:sz w:val="22"/>
          <w:szCs w:val="22"/>
        </w:rPr>
        <w:t xml:space="preserve">Šioje apžvalgoje vartojami </w:t>
      </w:r>
      <w:r w:rsidRPr="005B56A3">
        <w:rPr>
          <w:rFonts w:asciiTheme="minorHAnsi" w:hAnsiTheme="minorHAnsi" w:cstheme="minorHAnsi"/>
          <w:b/>
          <w:sz w:val="22"/>
          <w:szCs w:val="22"/>
        </w:rPr>
        <w:t>sutrumpinimai</w:t>
      </w:r>
      <w:r w:rsidRPr="005B56A3">
        <w:rPr>
          <w:rFonts w:asciiTheme="minorHAnsi" w:hAnsiTheme="minorHAnsi" w:cstheme="minorHAnsi"/>
          <w:sz w:val="22"/>
          <w:szCs w:val="22"/>
        </w:rPr>
        <w:t>:</w:t>
      </w:r>
    </w:p>
    <w:p w14:paraId="356C2674" w14:textId="04A6D7DA" w:rsidR="002F1CF6" w:rsidRPr="005B56A3" w:rsidRDefault="002F1CF6" w:rsidP="007A35C3">
      <w:pPr>
        <w:jc w:val="both"/>
        <w:rPr>
          <w:rFonts w:asciiTheme="minorHAnsi" w:hAnsiTheme="minorHAnsi" w:cstheme="minorHAnsi"/>
          <w:sz w:val="22"/>
          <w:szCs w:val="22"/>
        </w:rPr>
      </w:pPr>
      <w:r w:rsidRPr="005B56A3">
        <w:rPr>
          <w:rFonts w:asciiTheme="minorHAnsi" w:hAnsiTheme="minorHAnsi" w:cstheme="minorHAnsi"/>
          <w:sz w:val="22"/>
          <w:szCs w:val="22"/>
        </w:rPr>
        <w:t xml:space="preserve">Lietuvos Respublikos administracinių bylų teisenos įstatymas – </w:t>
      </w:r>
      <w:r w:rsidRPr="005B56A3">
        <w:rPr>
          <w:rFonts w:asciiTheme="minorHAnsi" w:hAnsiTheme="minorHAnsi" w:cstheme="minorHAnsi"/>
          <w:b/>
          <w:sz w:val="22"/>
          <w:szCs w:val="22"/>
        </w:rPr>
        <w:t>ABTĮ</w:t>
      </w:r>
      <w:r w:rsidRPr="005B56A3">
        <w:rPr>
          <w:rFonts w:asciiTheme="minorHAnsi" w:hAnsiTheme="minorHAnsi" w:cstheme="minorHAnsi"/>
          <w:sz w:val="22"/>
          <w:szCs w:val="22"/>
        </w:rPr>
        <w:t xml:space="preserve"> </w:t>
      </w:r>
    </w:p>
    <w:p w14:paraId="5B11927D" w14:textId="4A007A16" w:rsidR="004B4BEE" w:rsidRPr="005B56A3" w:rsidRDefault="004B4BEE" w:rsidP="004B4BEE">
      <w:pPr>
        <w:jc w:val="both"/>
        <w:rPr>
          <w:rFonts w:asciiTheme="minorHAnsi" w:hAnsiTheme="minorHAnsi" w:cstheme="minorHAnsi"/>
          <w:sz w:val="22"/>
          <w:szCs w:val="22"/>
        </w:rPr>
      </w:pPr>
      <w:r w:rsidRPr="005B56A3">
        <w:rPr>
          <w:rFonts w:asciiTheme="minorHAnsi" w:hAnsiTheme="minorHAnsi" w:cstheme="minorHAnsi"/>
          <w:sz w:val="22"/>
          <w:szCs w:val="22"/>
        </w:rPr>
        <w:t>Lietuvos Respublikos civilini</w:t>
      </w:r>
      <w:r>
        <w:rPr>
          <w:rFonts w:asciiTheme="minorHAnsi" w:hAnsiTheme="minorHAnsi" w:cstheme="minorHAnsi"/>
          <w:sz w:val="22"/>
          <w:szCs w:val="22"/>
        </w:rPr>
        <w:t>s</w:t>
      </w:r>
      <w:r w:rsidRPr="005B56A3">
        <w:rPr>
          <w:rFonts w:asciiTheme="minorHAnsi" w:hAnsiTheme="minorHAnsi" w:cstheme="minorHAnsi"/>
          <w:sz w:val="22"/>
          <w:szCs w:val="22"/>
        </w:rPr>
        <w:t xml:space="preserve"> kodeksas – </w:t>
      </w:r>
      <w:r w:rsidRPr="005B56A3">
        <w:rPr>
          <w:rFonts w:asciiTheme="minorHAnsi" w:hAnsiTheme="minorHAnsi" w:cstheme="minorHAnsi"/>
          <w:b/>
          <w:sz w:val="22"/>
          <w:szCs w:val="22"/>
        </w:rPr>
        <w:t>CK</w:t>
      </w:r>
      <w:r w:rsidRPr="005B56A3">
        <w:rPr>
          <w:rFonts w:asciiTheme="minorHAnsi" w:hAnsiTheme="minorHAnsi" w:cstheme="minorHAnsi"/>
          <w:sz w:val="22"/>
          <w:szCs w:val="22"/>
        </w:rPr>
        <w:t xml:space="preserve"> </w:t>
      </w:r>
    </w:p>
    <w:p w14:paraId="261BE94E" w14:textId="5FD58DD3" w:rsidR="002F1CF6" w:rsidRDefault="002F1CF6" w:rsidP="007A35C3">
      <w:pPr>
        <w:jc w:val="both"/>
        <w:rPr>
          <w:rFonts w:asciiTheme="minorHAnsi" w:hAnsiTheme="minorHAnsi" w:cstheme="minorHAnsi"/>
          <w:b/>
          <w:sz w:val="22"/>
          <w:szCs w:val="22"/>
        </w:rPr>
      </w:pPr>
      <w:r w:rsidRPr="005B56A3">
        <w:rPr>
          <w:rFonts w:asciiTheme="minorHAnsi" w:hAnsiTheme="minorHAnsi" w:cstheme="minorHAnsi"/>
          <w:sz w:val="22"/>
          <w:szCs w:val="22"/>
        </w:rPr>
        <w:t>Lietuvos Respublikos darbo kodeksas –</w:t>
      </w:r>
      <w:r w:rsidRPr="005B56A3">
        <w:rPr>
          <w:rFonts w:asciiTheme="minorHAnsi" w:hAnsiTheme="minorHAnsi" w:cstheme="minorHAnsi"/>
          <w:b/>
          <w:sz w:val="22"/>
          <w:szCs w:val="22"/>
        </w:rPr>
        <w:t xml:space="preserve"> DK</w:t>
      </w:r>
    </w:p>
    <w:p w14:paraId="34837E81" w14:textId="473961E7" w:rsidR="002F1CF6" w:rsidRPr="005B56A3" w:rsidRDefault="002F1CF6" w:rsidP="007A35C3">
      <w:pPr>
        <w:jc w:val="both"/>
        <w:rPr>
          <w:rFonts w:asciiTheme="minorHAnsi" w:hAnsiTheme="minorHAnsi" w:cstheme="minorHAnsi"/>
          <w:sz w:val="22"/>
          <w:szCs w:val="22"/>
        </w:rPr>
      </w:pPr>
      <w:r w:rsidRPr="005B56A3">
        <w:rPr>
          <w:rFonts w:asciiTheme="minorHAnsi" w:hAnsiTheme="minorHAnsi" w:cstheme="minorHAnsi"/>
          <w:sz w:val="22"/>
          <w:szCs w:val="22"/>
        </w:rPr>
        <w:t xml:space="preserve">Europos Žmogaus Teisių Teismas – </w:t>
      </w:r>
      <w:r w:rsidRPr="005B56A3">
        <w:rPr>
          <w:rFonts w:asciiTheme="minorHAnsi" w:hAnsiTheme="minorHAnsi" w:cstheme="minorHAnsi"/>
          <w:b/>
          <w:sz w:val="22"/>
          <w:szCs w:val="22"/>
        </w:rPr>
        <w:t>EŽTT</w:t>
      </w:r>
      <w:r w:rsidRPr="005B56A3">
        <w:rPr>
          <w:rFonts w:asciiTheme="minorHAnsi" w:hAnsiTheme="minorHAnsi" w:cstheme="minorHAnsi"/>
          <w:sz w:val="22"/>
          <w:szCs w:val="22"/>
        </w:rPr>
        <w:t xml:space="preserve"> </w:t>
      </w:r>
    </w:p>
    <w:p w14:paraId="50A39EC0" w14:textId="77777777" w:rsidR="007412F7" w:rsidRPr="005B56A3" w:rsidRDefault="007412F7" w:rsidP="007412F7">
      <w:pPr>
        <w:jc w:val="both"/>
        <w:rPr>
          <w:rFonts w:asciiTheme="minorHAnsi" w:hAnsiTheme="minorHAnsi" w:cstheme="minorHAnsi"/>
          <w:sz w:val="22"/>
          <w:szCs w:val="22"/>
        </w:rPr>
      </w:pPr>
      <w:r w:rsidRPr="005B56A3">
        <w:rPr>
          <w:rFonts w:asciiTheme="minorHAnsi" w:hAnsiTheme="minorHAnsi" w:cstheme="minorHAnsi"/>
          <w:sz w:val="22"/>
          <w:szCs w:val="22"/>
        </w:rPr>
        <w:t xml:space="preserve">Lietuvos vyriausiasis administracinis teismas – </w:t>
      </w:r>
      <w:r w:rsidRPr="005B56A3">
        <w:rPr>
          <w:rFonts w:asciiTheme="minorHAnsi" w:hAnsiTheme="minorHAnsi" w:cstheme="minorHAnsi"/>
          <w:b/>
          <w:sz w:val="22"/>
          <w:szCs w:val="22"/>
        </w:rPr>
        <w:t>LVAT</w:t>
      </w:r>
    </w:p>
    <w:p w14:paraId="7F6DAACA" w14:textId="54F11F19" w:rsidR="00445177" w:rsidRPr="005B56A3" w:rsidRDefault="00445177" w:rsidP="007A35C3">
      <w:pPr>
        <w:jc w:val="both"/>
        <w:rPr>
          <w:rFonts w:asciiTheme="minorHAnsi" w:hAnsiTheme="minorHAnsi" w:cstheme="minorHAnsi"/>
          <w:sz w:val="22"/>
          <w:szCs w:val="22"/>
        </w:rPr>
      </w:pPr>
      <w:r w:rsidRPr="005B56A3">
        <w:rPr>
          <w:rFonts w:asciiTheme="minorHAnsi" w:hAnsiTheme="minorHAnsi" w:cstheme="minorHAnsi"/>
          <w:sz w:val="22"/>
          <w:szCs w:val="22"/>
        </w:rPr>
        <w:t xml:space="preserve">Žmogaus teisių ir pagrindinių laisvių apsaugos konvencija – </w:t>
      </w:r>
      <w:r w:rsidRPr="005B56A3">
        <w:rPr>
          <w:rFonts w:asciiTheme="minorHAnsi" w:hAnsiTheme="minorHAnsi" w:cstheme="minorHAnsi"/>
          <w:b/>
          <w:sz w:val="22"/>
          <w:szCs w:val="22"/>
        </w:rPr>
        <w:t>Konvencija</w:t>
      </w:r>
      <w:r w:rsidRPr="005B56A3">
        <w:rPr>
          <w:rFonts w:asciiTheme="minorHAnsi" w:hAnsiTheme="minorHAnsi" w:cstheme="minorHAnsi"/>
          <w:sz w:val="22"/>
          <w:szCs w:val="22"/>
        </w:rPr>
        <w:t xml:space="preserve"> </w:t>
      </w:r>
    </w:p>
    <w:p w14:paraId="73F013F5" w14:textId="77777777" w:rsidR="002F1CF6" w:rsidRPr="005B56A3" w:rsidRDefault="002F1CF6" w:rsidP="007A35C3">
      <w:pPr>
        <w:jc w:val="both"/>
        <w:rPr>
          <w:rFonts w:asciiTheme="minorHAnsi" w:hAnsiTheme="minorHAnsi" w:cstheme="minorHAnsi"/>
          <w:b/>
          <w:sz w:val="22"/>
          <w:szCs w:val="22"/>
        </w:rPr>
      </w:pPr>
      <w:r w:rsidRPr="005B56A3">
        <w:rPr>
          <w:rFonts w:asciiTheme="minorHAnsi" w:hAnsiTheme="minorHAnsi" w:cstheme="minorHAnsi"/>
          <w:sz w:val="22"/>
          <w:szCs w:val="22"/>
        </w:rPr>
        <w:t xml:space="preserve">Uždaroji akcinė bendrovė – </w:t>
      </w:r>
      <w:r w:rsidRPr="005B56A3">
        <w:rPr>
          <w:rFonts w:asciiTheme="minorHAnsi" w:hAnsiTheme="minorHAnsi" w:cstheme="minorHAnsi"/>
          <w:b/>
          <w:sz w:val="22"/>
          <w:szCs w:val="22"/>
        </w:rPr>
        <w:t>UAB</w:t>
      </w:r>
    </w:p>
    <w:p w14:paraId="12BA7218" w14:textId="02D6EE81" w:rsidR="00F5360E" w:rsidRPr="005B56A3" w:rsidRDefault="00F5360E" w:rsidP="007A35C3">
      <w:pPr>
        <w:jc w:val="both"/>
        <w:rPr>
          <w:rFonts w:asciiTheme="minorHAnsi" w:hAnsiTheme="minorHAnsi" w:cstheme="minorHAnsi"/>
          <w:b/>
          <w:sz w:val="22"/>
          <w:szCs w:val="22"/>
        </w:rPr>
      </w:pPr>
    </w:p>
    <w:p w14:paraId="5C0C3A6D" w14:textId="46171B71" w:rsidR="003500F5" w:rsidRPr="005B56A3" w:rsidRDefault="003500F5" w:rsidP="007A35C3">
      <w:pPr>
        <w:jc w:val="both"/>
        <w:rPr>
          <w:rFonts w:asciiTheme="minorHAnsi" w:hAnsiTheme="minorHAnsi" w:cstheme="minorHAnsi"/>
          <w:b/>
          <w:sz w:val="22"/>
          <w:szCs w:val="22"/>
        </w:rPr>
      </w:pPr>
    </w:p>
    <w:p w14:paraId="459F4DD8" w14:textId="397B7A58" w:rsidR="004B5E60" w:rsidRPr="005B56A3" w:rsidRDefault="00E227FE" w:rsidP="007A35C3">
      <w:pPr>
        <w:spacing w:before="240" w:after="240"/>
        <w:jc w:val="both"/>
        <w:rPr>
          <w:rFonts w:asciiTheme="minorHAnsi" w:hAnsiTheme="minorHAnsi" w:cstheme="minorHAnsi"/>
          <w:sz w:val="22"/>
          <w:szCs w:val="22"/>
        </w:rPr>
      </w:pPr>
      <w:r w:rsidRPr="005B56A3">
        <w:rPr>
          <w:rFonts w:asciiTheme="minorHAnsi" w:hAnsiTheme="minorHAnsi" w:cstheme="minorHAnsi"/>
          <w:b/>
          <w:sz w:val="22"/>
          <w:szCs w:val="22"/>
        </w:rPr>
        <w:t>P</w:t>
      </w:r>
      <w:r w:rsidR="003D4C15" w:rsidRPr="005B56A3">
        <w:rPr>
          <w:rFonts w:asciiTheme="minorHAnsi" w:hAnsiTheme="minorHAnsi" w:cstheme="minorHAnsi"/>
          <w:b/>
          <w:sz w:val="22"/>
          <w:szCs w:val="22"/>
        </w:rPr>
        <w:t>astaba.</w:t>
      </w:r>
      <w:r w:rsidR="003D4C15" w:rsidRPr="005B56A3">
        <w:rPr>
          <w:rFonts w:asciiTheme="minorHAnsi" w:hAnsiTheme="minorHAnsi" w:cstheme="minorHAnsi"/>
          <w:sz w:val="22"/>
          <w:szCs w:val="22"/>
        </w:rPr>
        <w:t xml:space="preserve"> Šioje apžvalgoje pateikiamos neoficialios </w:t>
      </w:r>
      <w:r w:rsidR="0028287C" w:rsidRPr="005B56A3">
        <w:rPr>
          <w:rFonts w:asciiTheme="minorHAnsi" w:hAnsiTheme="minorHAnsi" w:cstheme="minorHAnsi"/>
          <w:sz w:val="22"/>
          <w:szCs w:val="22"/>
        </w:rPr>
        <w:t>LVAT</w:t>
      </w:r>
      <w:r w:rsidR="003D4C15" w:rsidRPr="005B56A3">
        <w:rPr>
          <w:rFonts w:asciiTheme="minorHAnsi" w:hAnsiTheme="minorHAnsi" w:cstheme="minorHAnsi"/>
          <w:sz w:val="22"/>
          <w:szCs w:val="22"/>
        </w:rPr>
        <w:t xml:space="preserve"> procesinių sprendimų santraukos, kurios LVAT nesaisto. Šis dokumentas yra skirtas tik info</w:t>
      </w:r>
      <w:r w:rsidR="009E6C8D" w:rsidRPr="005B56A3">
        <w:rPr>
          <w:rFonts w:asciiTheme="minorHAnsi" w:hAnsiTheme="minorHAnsi" w:cstheme="minorHAnsi"/>
          <w:sz w:val="22"/>
          <w:szCs w:val="22"/>
        </w:rPr>
        <w:t>rm</w:t>
      </w:r>
      <w:r w:rsidR="0001474E" w:rsidRPr="005B56A3">
        <w:rPr>
          <w:rFonts w:asciiTheme="minorHAnsi" w:hAnsiTheme="minorHAnsi" w:cstheme="minorHAnsi"/>
          <w:sz w:val="22"/>
          <w:szCs w:val="22"/>
        </w:rPr>
        <w:t>uoti</w:t>
      </w:r>
      <w:r w:rsidR="003D4C15" w:rsidRPr="005B56A3">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5B56A3">
        <w:rPr>
          <w:rFonts w:asciiTheme="minorHAnsi" w:hAnsiTheme="minorHAnsi" w:cstheme="minorHAnsi"/>
          <w:sz w:val="22"/>
          <w:szCs w:val="22"/>
        </w:rPr>
        <w:t>16</w:t>
      </w:r>
      <w:r w:rsidR="003D4C15" w:rsidRPr="005B56A3">
        <w:rPr>
          <w:rFonts w:asciiTheme="minorHAnsi" w:hAnsiTheme="minorHAnsi" w:cstheme="minorHAnsi"/>
          <w:sz w:val="22"/>
          <w:szCs w:val="22"/>
        </w:rPr>
        <w:t xml:space="preserve"> m. </w:t>
      </w:r>
      <w:r w:rsidR="0045102F" w:rsidRPr="005B56A3">
        <w:rPr>
          <w:rFonts w:asciiTheme="minorHAnsi" w:hAnsiTheme="minorHAnsi" w:cstheme="minorHAnsi"/>
          <w:sz w:val="22"/>
          <w:szCs w:val="22"/>
        </w:rPr>
        <w:t>rugsėjo 30</w:t>
      </w:r>
      <w:r w:rsidR="009E6C8D" w:rsidRPr="005B56A3">
        <w:rPr>
          <w:rFonts w:asciiTheme="minorHAnsi" w:hAnsiTheme="minorHAnsi" w:cstheme="minorHAnsi"/>
          <w:sz w:val="22"/>
          <w:szCs w:val="22"/>
        </w:rPr>
        <w:t> </w:t>
      </w:r>
      <w:r w:rsidR="00291483" w:rsidRPr="005B56A3">
        <w:rPr>
          <w:rFonts w:asciiTheme="minorHAnsi" w:hAnsiTheme="minorHAnsi" w:cstheme="minorHAnsi"/>
          <w:sz w:val="22"/>
          <w:szCs w:val="22"/>
        </w:rPr>
        <w:t>d. nutarimu Nr. </w:t>
      </w:r>
      <w:r w:rsidR="003D4C15" w:rsidRPr="005B56A3">
        <w:rPr>
          <w:rFonts w:asciiTheme="minorHAnsi" w:hAnsiTheme="minorHAnsi" w:cstheme="minorHAnsi"/>
          <w:sz w:val="22"/>
          <w:szCs w:val="22"/>
        </w:rPr>
        <w:t>13P-</w:t>
      </w:r>
      <w:r w:rsidR="0045102F" w:rsidRPr="005B56A3">
        <w:rPr>
          <w:rFonts w:asciiTheme="minorHAnsi" w:hAnsiTheme="minorHAnsi" w:cstheme="minorHAnsi"/>
          <w:sz w:val="22"/>
          <w:szCs w:val="22"/>
        </w:rPr>
        <w:t>102</w:t>
      </w:r>
      <w:r w:rsidR="003D4C15" w:rsidRPr="005B56A3">
        <w:rPr>
          <w:rFonts w:asciiTheme="minorHAnsi" w:hAnsiTheme="minorHAnsi" w:cstheme="minorHAnsi"/>
          <w:sz w:val="22"/>
          <w:szCs w:val="22"/>
        </w:rPr>
        <w:t>-(7.1.2) patvirtintu Teismų procesinių sprendimų administracinėse bylose kategorijų klasifikatoriumi</w:t>
      </w:r>
      <w:r w:rsidR="0038475E" w:rsidRPr="005B56A3">
        <w:rPr>
          <w:rFonts w:asciiTheme="minorHAnsi" w:hAnsiTheme="minorHAnsi" w:cstheme="minorHAnsi"/>
          <w:sz w:val="22"/>
          <w:szCs w:val="22"/>
        </w:rPr>
        <w:t xml:space="preserve"> (nuo 2019 m. vasario 1 d. galiojanti redakcija)</w:t>
      </w:r>
      <w:r w:rsidR="003D4C15" w:rsidRPr="005B56A3">
        <w:rPr>
          <w:rFonts w:asciiTheme="minorHAnsi" w:hAnsiTheme="minorHAnsi" w:cstheme="minorHAnsi"/>
          <w:sz w:val="22"/>
          <w:szCs w:val="22"/>
        </w:rPr>
        <w:t>.</w:t>
      </w:r>
      <w:bookmarkStart w:id="9" w:name="_Toc410389752"/>
      <w:bookmarkStart w:id="10" w:name="_Toc361146890"/>
      <w:bookmarkEnd w:id="8"/>
      <w:r w:rsidR="00CA65D3" w:rsidRPr="005B56A3">
        <w:rPr>
          <w:rFonts w:asciiTheme="minorHAnsi" w:hAnsiTheme="minorHAnsi" w:cstheme="minorHAnsi"/>
          <w:sz w:val="22"/>
          <w:szCs w:val="22"/>
        </w:rPr>
        <w:t xml:space="preserve"> </w:t>
      </w:r>
    </w:p>
    <w:p w14:paraId="6AAB4AE5" w14:textId="77777777" w:rsidR="0007050C" w:rsidRPr="005B56A3" w:rsidRDefault="0007050C" w:rsidP="007A35C3">
      <w:pPr>
        <w:spacing w:before="240" w:after="240"/>
        <w:jc w:val="both"/>
        <w:rPr>
          <w:rFonts w:asciiTheme="minorHAnsi" w:hAnsiTheme="minorHAnsi" w:cstheme="minorHAnsi"/>
          <w:sz w:val="22"/>
          <w:szCs w:val="22"/>
        </w:rPr>
      </w:pPr>
      <w:r w:rsidRPr="005B56A3">
        <w:rPr>
          <w:rFonts w:asciiTheme="minorHAnsi" w:hAnsiTheme="minorHAnsi" w:cstheme="minorHAnsi"/>
          <w:sz w:val="22"/>
          <w:szCs w:val="22"/>
        </w:rPr>
        <w:br w:type="page"/>
      </w:r>
    </w:p>
    <w:p w14:paraId="4865180B" w14:textId="77777777" w:rsidR="00A84D45" w:rsidRPr="005B56A3" w:rsidRDefault="00A84D45" w:rsidP="007A35C3">
      <w:pPr>
        <w:pStyle w:val="Apzvalgai1"/>
        <w:rPr>
          <w:rFonts w:asciiTheme="minorHAnsi" w:hAnsiTheme="minorHAnsi" w:cstheme="minorHAnsi"/>
        </w:rPr>
      </w:pPr>
      <w:bookmarkStart w:id="11" w:name="_Toc519600852"/>
      <w:bookmarkStart w:id="12" w:name="_Toc58851687"/>
      <w:r w:rsidRPr="005B56A3">
        <w:rPr>
          <w:rFonts w:asciiTheme="minorHAnsi" w:hAnsiTheme="minorHAnsi" w:cstheme="minorHAnsi"/>
        </w:rPr>
        <w:lastRenderedPageBreak/>
        <w:t>I. Administracinės bylos, kylančios iš ginčų dėl teisės viešojo administravimo srityje</w:t>
      </w:r>
      <w:bookmarkEnd w:id="11"/>
      <w:bookmarkEnd w:id="12"/>
    </w:p>
    <w:p w14:paraId="21EC9F9C" w14:textId="77777777" w:rsidR="00233E98" w:rsidRPr="00233E98" w:rsidRDefault="00233E98" w:rsidP="00233E98">
      <w:pPr>
        <w:rPr>
          <w:rFonts w:ascii="Calibri" w:hAnsi="Calibri" w:cs="Calibri"/>
          <w:bCs/>
          <w:sz w:val="22"/>
          <w:szCs w:val="22"/>
        </w:rPr>
      </w:pPr>
      <w:bookmarkStart w:id="13" w:name="_Toc462149990"/>
      <w:bookmarkStart w:id="14" w:name="_Toc462150004"/>
      <w:bookmarkStart w:id="15" w:name="_Toc462149971"/>
      <w:bookmarkStart w:id="16" w:name="_Toc462149972"/>
    </w:p>
    <w:p w14:paraId="0DB3F532" w14:textId="77777777" w:rsidR="00233E98" w:rsidRPr="00233E98" w:rsidRDefault="00233E98" w:rsidP="00233E98">
      <w:pPr>
        <w:keepNext/>
        <w:tabs>
          <w:tab w:val="left" w:pos="567"/>
        </w:tabs>
        <w:jc w:val="both"/>
        <w:outlineLvl w:val="0"/>
        <w:rPr>
          <w:rFonts w:ascii="Calibri" w:hAnsi="Calibri" w:cs="Calibri"/>
          <w:b/>
          <w:sz w:val="22"/>
          <w:szCs w:val="22"/>
          <w:u w:val="single"/>
        </w:rPr>
      </w:pPr>
      <w:bookmarkStart w:id="17" w:name="_Toc58851688"/>
      <w:r w:rsidRPr="00233E98">
        <w:rPr>
          <w:rFonts w:ascii="Calibri" w:hAnsi="Calibri" w:cs="Calibri"/>
          <w:b/>
          <w:sz w:val="22"/>
          <w:szCs w:val="22"/>
          <w:u w:val="single"/>
        </w:rPr>
        <w:t>4. Norminių administracinių aktų teisėtumo patikra</w:t>
      </w:r>
      <w:bookmarkEnd w:id="17"/>
    </w:p>
    <w:p w14:paraId="4BD24A9E" w14:textId="77777777" w:rsidR="00233E98" w:rsidRPr="00233E98" w:rsidRDefault="00233E98" w:rsidP="00233E98">
      <w:pPr>
        <w:ind w:firstLine="567"/>
        <w:rPr>
          <w:rFonts w:ascii="Calibri" w:hAnsi="Calibri"/>
          <w:b/>
          <w:sz w:val="22"/>
          <w:szCs w:val="22"/>
          <w:u w:val="single"/>
        </w:rPr>
      </w:pPr>
      <w:r w:rsidRPr="00233E98">
        <w:rPr>
          <w:rFonts w:ascii="Calibri" w:hAnsi="Calibri"/>
          <w:b/>
          <w:sz w:val="22"/>
          <w:szCs w:val="22"/>
          <w:u w:val="single"/>
        </w:rPr>
        <w:t xml:space="preserve">4.1. </w:t>
      </w:r>
      <w:r w:rsidRPr="00233E98">
        <w:rPr>
          <w:rFonts w:ascii="Calibri" w:hAnsi="Calibri"/>
          <w:b/>
          <w:bCs/>
          <w:sz w:val="22"/>
          <w:szCs w:val="22"/>
          <w:u w:val="single"/>
        </w:rPr>
        <w:t>Centrinių valstybinio administravimo subjektų norminių administracinių aktų teisėtumas</w:t>
      </w:r>
    </w:p>
    <w:p w14:paraId="5D8565DD" w14:textId="77777777" w:rsidR="00233E98" w:rsidRPr="00233E98" w:rsidRDefault="00233E98" w:rsidP="00233E98">
      <w:pPr>
        <w:rPr>
          <w:rFonts w:ascii="Calibri" w:hAnsi="Calibri" w:cs="Calibri"/>
          <w:bCs/>
          <w:sz w:val="22"/>
          <w:szCs w:val="22"/>
        </w:rPr>
      </w:pPr>
    </w:p>
    <w:p w14:paraId="05779BBC" w14:textId="750B541A" w:rsidR="001C3C00" w:rsidRDefault="00233E98" w:rsidP="48AAD287">
      <w:pPr>
        <w:jc w:val="both"/>
        <w:outlineLvl w:val="1"/>
        <w:rPr>
          <w:rFonts w:ascii="Calibri" w:eastAsia="Calibri" w:hAnsi="Calibri" w:cs="Calibri"/>
          <w:i/>
          <w:iCs/>
          <w:sz w:val="22"/>
          <w:szCs w:val="22"/>
        </w:rPr>
      </w:pPr>
      <w:bookmarkStart w:id="18" w:name="_Toc58851689"/>
      <w:r w:rsidRPr="00C47127">
        <w:rPr>
          <w:rFonts w:ascii="Calibri" w:eastAsia="Calibri" w:hAnsi="Calibri" w:cs="Calibri"/>
          <w:i/>
          <w:iCs/>
          <w:sz w:val="22"/>
          <w:szCs w:val="22"/>
        </w:rPr>
        <w:t xml:space="preserve">Dėl </w:t>
      </w:r>
      <w:r w:rsidR="00FB4FB9" w:rsidRPr="00C47127">
        <w:rPr>
          <w:rFonts w:ascii="Calibri" w:eastAsia="Calibri" w:hAnsi="Calibri" w:cs="Calibri"/>
          <w:i/>
          <w:iCs/>
          <w:sz w:val="22"/>
          <w:szCs w:val="22"/>
        </w:rPr>
        <w:t>kelio juostos</w:t>
      </w:r>
      <w:r w:rsidR="00FB4FB9" w:rsidRPr="00FB4FB9">
        <w:rPr>
          <w:rFonts w:ascii="Calibri" w:eastAsia="Calibri" w:hAnsi="Calibri" w:cs="Calibri"/>
          <w:i/>
          <w:iCs/>
          <w:sz w:val="22"/>
          <w:szCs w:val="22"/>
        </w:rPr>
        <w:t xml:space="preserve"> užimamo žemės sklypo ribos vietovėje </w:t>
      </w:r>
      <w:r w:rsidR="001C3C00">
        <w:rPr>
          <w:rFonts w:ascii="Calibri" w:eastAsia="Calibri" w:hAnsi="Calibri" w:cs="Calibri"/>
          <w:i/>
          <w:iCs/>
          <w:sz w:val="22"/>
          <w:szCs w:val="22"/>
        </w:rPr>
        <w:t xml:space="preserve">ženklinimo ir </w:t>
      </w:r>
      <w:r w:rsidR="001C3C00" w:rsidRPr="001C3C00">
        <w:rPr>
          <w:rFonts w:ascii="Calibri" w:eastAsia="Calibri" w:hAnsi="Calibri" w:cs="Calibri"/>
          <w:i/>
          <w:iCs/>
          <w:sz w:val="22"/>
          <w:szCs w:val="22"/>
        </w:rPr>
        <w:t xml:space="preserve">žemės sklypo </w:t>
      </w:r>
      <w:r w:rsidR="001C3C00">
        <w:rPr>
          <w:rFonts w:ascii="Calibri" w:eastAsia="Calibri" w:hAnsi="Calibri" w:cs="Calibri"/>
          <w:i/>
          <w:iCs/>
          <w:sz w:val="22"/>
          <w:szCs w:val="22"/>
        </w:rPr>
        <w:t>ribų paženklinimo–parodymo akto pildymo</w:t>
      </w:r>
      <w:bookmarkEnd w:id="18"/>
    </w:p>
    <w:p w14:paraId="156899B1" w14:textId="77777777" w:rsidR="00233E98" w:rsidRPr="00233E98" w:rsidRDefault="00233E98" w:rsidP="00233E98">
      <w:pPr>
        <w:rPr>
          <w:rFonts w:ascii="Calibri" w:hAnsi="Calibri" w:cs="Calibri"/>
          <w:bCs/>
          <w:sz w:val="22"/>
          <w:szCs w:val="22"/>
        </w:rPr>
      </w:pPr>
    </w:p>
    <w:p w14:paraId="68DCD8AA" w14:textId="7BE0D5BB" w:rsidR="00233E98" w:rsidRPr="00233E98" w:rsidRDefault="00233E98" w:rsidP="3E77553B">
      <w:pPr>
        <w:ind w:firstLine="567"/>
        <w:jc w:val="both"/>
        <w:rPr>
          <w:rFonts w:ascii="Calibri" w:hAnsi="Calibri" w:cs="Calibri"/>
          <w:sz w:val="22"/>
          <w:szCs w:val="22"/>
        </w:rPr>
      </w:pPr>
      <w:r w:rsidRPr="6A7DC4FF">
        <w:rPr>
          <w:rFonts w:ascii="Calibri" w:hAnsi="Calibri" w:cs="Calibri"/>
          <w:sz w:val="22"/>
          <w:szCs w:val="22"/>
        </w:rPr>
        <w:t xml:space="preserve">Apžvelgiamoje norminėje administracinėje byloje buvo tiriama Nacionalinės žemės tarnybos prie Žemės ūkio ministerijos generalinio direktoriaus 2005 m. gegužės 5 d. įsakymu Nr. 1P-105 patvirtintų Kelio kadastro duomenų bylos rengimo taisyklių (toliau – Taisyklės) 42 punkto (2013 m. sausio 24 d. įsakymo Nr. 1P-(1.3.)-40 redakcija) atitiktis Nekilnojamojo turto kadastro įstatymo 8 straipsnio 3 dalies 1 punktui (2006 m. gruodžio 21 d. įstatymo Nr. X-1007 redakcija) ir Vyriausybės 2002 m. balandžio 15 d. nutarimu Nr. 534 patvirtintų Nekilnojamojo turto kadastro nuostatų (toliau – </w:t>
      </w:r>
      <w:r w:rsidR="11057250" w:rsidRPr="6A7DC4FF">
        <w:rPr>
          <w:rFonts w:ascii="Calibri" w:hAnsi="Calibri" w:cs="Calibri"/>
          <w:sz w:val="22"/>
          <w:szCs w:val="22"/>
        </w:rPr>
        <w:t>Kadastr</w:t>
      </w:r>
      <w:r w:rsidR="32C8C6A6" w:rsidRPr="6A7DC4FF">
        <w:rPr>
          <w:rFonts w:ascii="Calibri" w:hAnsi="Calibri" w:cs="Calibri"/>
          <w:sz w:val="22"/>
          <w:szCs w:val="22"/>
        </w:rPr>
        <w:t>o</w:t>
      </w:r>
      <w:r w:rsidR="11057250" w:rsidRPr="6A7DC4FF">
        <w:rPr>
          <w:rFonts w:ascii="Calibri" w:hAnsi="Calibri" w:cs="Calibri"/>
          <w:sz w:val="22"/>
          <w:szCs w:val="22"/>
        </w:rPr>
        <w:t xml:space="preserve"> n</w:t>
      </w:r>
      <w:r w:rsidRPr="6A7DC4FF">
        <w:rPr>
          <w:rFonts w:ascii="Calibri" w:hAnsi="Calibri" w:cs="Calibri"/>
          <w:sz w:val="22"/>
          <w:szCs w:val="22"/>
        </w:rPr>
        <w:t>uostatai) 32.1.1 punktui (2014 m. balandžio 1 d. nutarimo Nr. 303 redakcija) bei 32.1.1.4 punktui (2005 m. birželio 23 d. nutarimo Nr. 695 redakcija).</w:t>
      </w:r>
    </w:p>
    <w:p w14:paraId="7B70E8E4" w14:textId="5EF24690" w:rsidR="00233E98" w:rsidRPr="00233E98" w:rsidRDefault="00233E98" w:rsidP="3E77553B">
      <w:pPr>
        <w:ind w:firstLine="567"/>
        <w:jc w:val="both"/>
        <w:rPr>
          <w:rFonts w:ascii="Calibri" w:hAnsi="Calibri" w:cs="Calibri"/>
          <w:sz w:val="22"/>
          <w:szCs w:val="22"/>
        </w:rPr>
      </w:pPr>
      <w:r w:rsidRPr="3E77553B">
        <w:rPr>
          <w:rFonts w:ascii="Calibri" w:hAnsi="Calibri" w:cs="Calibri"/>
          <w:sz w:val="22"/>
          <w:szCs w:val="22"/>
        </w:rPr>
        <w:t>Prašomas ištirti Taisyklių 42 punktas (2013 m. sausio 24 d. įsakymo Nr. 1P-(1.3.)-40</w:t>
      </w:r>
      <w:r w:rsidRPr="3E77553B">
        <w:rPr>
          <w:rFonts w:ascii="Calibri" w:hAnsi="Calibri" w:cs="Calibri"/>
          <w:i/>
          <w:iCs/>
          <w:sz w:val="22"/>
          <w:szCs w:val="22"/>
        </w:rPr>
        <w:t xml:space="preserve"> </w:t>
      </w:r>
      <w:r w:rsidRPr="3E77553B">
        <w:rPr>
          <w:rFonts w:ascii="Calibri" w:hAnsi="Calibri" w:cs="Calibri"/>
          <w:sz w:val="22"/>
          <w:szCs w:val="22"/>
        </w:rPr>
        <w:t>redakcija) nustatė, kad: „Kelio juostos užimamo žemės sklypo ribos vietovėje neženklinamos ir žemės sklypo ribų paženklinimo</w:t>
      </w:r>
      <w:r w:rsidR="5CB3AB27" w:rsidRPr="3E77553B">
        <w:rPr>
          <w:rFonts w:ascii="Calibri" w:eastAsia="Calibri" w:hAnsi="Calibri" w:cs="Calibri"/>
          <w:sz w:val="22"/>
          <w:szCs w:val="22"/>
        </w:rPr>
        <w:t>–</w:t>
      </w:r>
      <w:r w:rsidRPr="3E77553B">
        <w:rPr>
          <w:rFonts w:ascii="Calibri" w:hAnsi="Calibri" w:cs="Calibri"/>
          <w:sz w:val="22"/>
          <w:szCs w:val="22"/>
        </w:rPr>
        <w:t>parodymo aktas, kurio forma patvirtinta Nekilnojamojo turto objektų kadastrinių matavimų ir kadastro duomenų surinkimo bei tikslinimo taisyklių 2 priede, nepildomas. Kelio juostos plane 3-ioji lentelė, kurioje nurodomos gretimybės, nepildoma“.</w:t>
      </w:r>
    </w:p>
    <w:p w14:paraId="35A36BB0" w14:textId="77777777" w:rsidR="00233E98" w:rsidRPr="00233E98" w:rsidRDefault="00233E98" w:rsidP="00233E98">
      <w:pPr>
        <w:ind w:firstLine="567"/>
        <w:jc w:val="both"/>
        <w:rPr>
          <w:rFonts w:ascii="Calibri" w:hAnsi="Calibri" w:cs="Calibri"/>
          <w:bCs/>
          <w:iCs/>
          <w:sz w:val="22"/>
          <w:szCs w:val="22"/>
        </w:rPr>
      </w:pPr>
      <w:r w:rsidRPr="00233E98">
        <w:rPr>
          <w:rFonts w:ascii="Calibri" w:hAnsi="Calibri" w:cs="Calibri"/>
          <w:bCs/>
          <w:sz w:val="22"/>
          <w:szCs w:val="22"/>
        </w:rPr>
        <w:t xml:space="preserve">Tačiau </w:t>
      </w:r>
      <w:r w:rsidRPr="00233E98">
        <w:rPr>
          <w:rFonts w:ascii="Calibri" w:hAnsi="Calibri" w:cs="Calibri"/>
          <w:bCs/>
          <w:iCs/>
          <w:sz w:val="22"/>
          <w:szCs w:val="22"/>
        </w:rPr>
        <w:t>Nekilnojamojo turto kadastro įstatymo 8 straipsnio 3 dalies 1 punktas (2006 m. gruodžio 21 d. įstatymo Nr. X-1007 redakcija) įtvirtino, kad: „Nekilnojamojo daikto kadastro duomenų nustatymo metu nustatomos ir riboženkliais paženklinamos (jeigu anksčiau tai nebuvo atlikta) žemės sklypo ribos arba atstatomi sunaikinti anksčiau paženklintų žemės sklypo ribų riboženkliai, kurių standartus ir ženklinimo taisykles nustato Vyriausybės įgaliota institucija. Paženklinus žemės sklypo ribas, surašomas žemės sklypo ribų paženklinimo–parodymo aktas, kuris yra neatsiejama Nekilnojamojo daikto kadastro duomenų bylos dalis“.</w:t>
      </w:r>
    </w:p>
    <w:p w14:paraId="59671853" w14:textId="77777777" w:rsidR="00233E98" w:rsidRPr="00233E98" w:rsidRDefault="00233E98" w:rsidP="3E77553B">
      <w:pPr>
        <w:ind w:firstLine="567"/>
        <w:jc w:val="both"/>
        <w:rPr>
          <w:rFonts w:ascii="Calibri" w:hAnsi="Calibri" w:cs="Calibri"/>
          <w:sz w:val="22"/>
          <w:szCs w:val="22"/>
          <w:lang w:bidi="lt-LT"/>
        </w:rPr>
      </w:pPr>
      <w:r w:rsidRPr="3E77553B">
        <w:rPr>
          <w:rFonts w:ascii="Calibri" w:hAnsi="Calibri" w:cs="Calibri"/>
          <w:sz w:val="22"/>
          <w:szCs w:val="22"/>
        </w:rPr>
        <w:t xml:space="preserve">Atitinkamai </w:t>
      </w:r>
      <w:r w:rsidRPr="3E77553B">
        <w:rPr>
          <w:rFonts w:ascii="Calibri" w:hAnsi="Calibri" w:cs="Calibri"/>
          <w:sz w:val="22"/>
          <w:szCs w:val="22"/>
          <w:lang w:bidi="lt-LT"/>
        </w:rPr>
        <w:t xml:space="preserve">Kadastro nuostatų 32.1.1 punktas (2014 m. balandžio 1 d. nutarimo Nr. 303 redakcija) reglamentavo, kad: „Nekilnojamojo daikto kadastro duomenų nustatymo metu atliekami šie veiksmai: nustatant žemės sklypo kadastro duomenis nustatomos ir riboženkliais paženklinamos (jeigu anksčiau tai nebuvo atlikta) žemės sklypo ribos arba atstatomi sunaikinti anksčiau paženklintų žemės sklypo ribų riboženkliai. </w:t>
      </w:r>
      <w:bookmarkStart w:id="19" w:name="_Hlk53580647"/>
      <w:r w:rsidRPr="3E77553B">
        <w:rPr>
          <w:rFonts w:ascii="Calibri" w:hAnsi="Calibri" w:cs="Calibri"/>
          <w:sz w:val="22"/>
          <w:szCs w:val="22"/>
          <w:lang w:bidi="lt-LT"/>
        </w:rPr>
        <w:t>Žemės sklypo ribos vietovėje paženklinamos dalyvaujant žemės sklypo savininkui (esamajam arba būsimajam) arba jo įgaliotam asmeniui, taip pat suinteresuotiems asmenims – gretimų sklypų savininkams arba jų įgaliotiems asmenims, gretimos valstybinės ar savivaldybės žemės, pagal teritorijų planavimo dokumentą ar žemės valdos projektą nesuformuotos atskiru žemės sklypu, patikėtiniui (-iams), taip pat sodininkų bendrijos pirmininkui, jeigu matuojamas žemės sklypas ribojasi su sodininkų bendrijos žeme (toliau – kviestiniai asmenys), išskyrus šių Nuostatų 32.1.1.1 punkte nurodytus atvejus“, t. y. kai žemės sklypas ribojasi su anksčiau geodeziniais prietaisais išmatuotu žemės sklypu, kurio ribų posūkio taškų ir riboženklių koordinatės nustatytos valstybinėje koordinačių sistemoje, ir kai bendra riba sutampa, kviestinis asmuo kviečiamas tik tuo atveju, jeigu reikia atstatyti sunaikintus riboženklius.</w:t>
      </w:r>
      <w:bookmarkEnd w:id="19"/>
    </w:p>
    <w:p w14:paraId="631D1CBD" w14:textId="77777777" w:rsidR="00233E98" w:rsidRPr="00233E98" w:rsidRDefault="00233E98" w:rsidP="00233E98">
      <w:pPr>
        <w:ind w:firstLine="567"/>
        <w:jc w:val="both"/>
        <w:rPr>
          <w:rFonts w:ascii="Calibri" w:hAnsi="Calibri" w:cs="Calibri"/>
          <w:bCs/>
          <w:iCs/>
          <w:sz w:val="22"/>
          <w:szCs w:val="22"/>
          <w:lang w:bidi="lt-LT"/>
        </w:rPr>
      </w:pPr>
      <w:r w:rsidRPr="00233E98">
        <w:rPr>
          <w:rFonts w:ascii="Calibri" w:hAnsi="Calibri" w:cs="Calibri"/>
          <w:bCs/>
          <w:iCs/>
          <w:sz w:val="22"/>
          <w:szCs w:val="22"/>
          <w:lang w:bidi="lt-LT"/>
        </w:rPr>
        <w:t>Kadastro nuostatų 32.1.1.4 punktas (2005 m. birželio 23 d. nutarimo Nr. 695 redakcija) nustatė, kad:</w:t>
      </w:r>
      <w:r w:rsidRPr="00233E98">
        <w:rPr>
          <w:rFonts w:ascii="Calibri" w:hAnsi="Calibri" w:cs="Calibri"/>
          <w:bCs/>
          <w:sz w:val="22"/>
          <w:szCs w:val="22"/>
          <w:lang w:bidi="lt-LT"/>
        </w:rPr>
        <w:t xml:space="preserve"> „paženklinus žemės sklypo ribas, surašomas žemės sklypo ribų paženklinimo–parodymo aktas. Aktą pasirašo dalyvavusieji paženklinant žemės sklypo ribas kviestiniai asmenys, vykdytojas ir užsakovas arba jo įgaliotas asmuo. Patikslinami Nekilnojamojo turto registre įregistruoto žemės sklypo kadastro duomenys, t. y. pokyčiai žemės sklypo viduje (žemės naudmenų pasikeitimai ar pasikeitimai dėl pastatytų naujų ar rekonstruotų statinių ir panašiai)“.</w:t>
      </w:r>
    </w:p>
    <w:p w14:paraId="6EE470C6" w14:textId="39641EB8" w:rsidR="00233E98" w:rsidRPr="00233E98" w:rsidRDefault="00233E98" w:rsidP="00233E98">
      <w:pPr>
        <w:ind w:firstLine="567"/>
        <w:jc w:val="both"/>
        <w:rPr>
          <w:rFonts w:ascii="Calibri" w:hAnsi="Calibri" w:cs="Calibri"/>
          <w:bCs/>
          <w:sz w:val="22"/>
          <w:szCs w:val="22"/>
        </w:rPr>
      </w:pPr>
      <w:r w:rsidRPr="00233E98">
        <w:rPr>
          <w:rFonts w:ascii="Calibri" w:hAnsi="Calibri" w:cs="Calibri"/>
          <w:bCs/>
          <w:sz w:val="22"/>
          <w:szCs w:val="22"/>
        </w:rPr>
        <w:t xml:space="preserve">Lietuvos Respublikos žemės ūkio ministro 2002 m. gruodžio 30 d. įsakymu Nr. 522 patvirtintų </w:t>
      </w:r>
      <w:bookmarkStart w:id="20" w:name="_Hlk53648960"/>
      <w:r w:rsidRPr="00233E98">
        <w:rPr>
          <w:rFonts w:ascii="Calibri" w:hAnsi="Calibri" w:cs="Calibri"/>
          <w:bCs/>
          <w:sz w:val="22"/>
          <w:szCs w:val="22"/>
        </w:rPr>
        <w:t xml:space="preserve">Nekilnojamojo turto objektų kadastrinių matavimų ir kadastro duomenų surinkimo bei tikslinimo taisyklių </w:t>
      </w:r>
      <w:bookmarkEnd w:id="20"/>
      <w:r w:rsidRPr="00233E98">
        <w:rPr>
          <w:rFonts w:ascii="Calibri" w:hAnsi="Calibri" w:cs="Calibri"/>
          <w:bCs/>
          <w:sz w:val="22"/>
          <w:szCs w:val="22"/>
        </w:rPr>
        <w:t>(redakcija, galiojusi nuo 2015 m. sausio 1 d. iki 2018 m. vasario 23 d.) 15.1 punktas įtvirtino, kad, atliekant žemės sklypų kadastrinius matavimus, be kita ko, nustatomos ir riboženkliais paženklinamos žemės sklypo ribos. Žemės sklypo ribos vietovėje pažymimos dalyvaujant žemės sklypo esamam (būsimam) savininkui (naudotojui) arba jo įgaliotam asmeniui, taip pat suinteresuotiems asmenims – gretimų sklypų savininkams ir naudotojams (25</w:t>
      </w:r>
      <w:r w:rsidR="00A746BE">
        <w:rPr>
          <w:rFonts w:ascii="Calibri" w:hAnsi="Calibri" w:cs="Calibri"/>
          <w:bCs/>
          <w:sz w:val="22"/>
          <w:szCs w:val="22"/>
        </w:rPr>
        <w:t> </w:t>
      </w:r>
      <w:r w:rsidRPr="00233E98">
        <w:rPr>
          <w:rFonts w:ascii="Calibri" w:hAnsi="Calibri" w:cs="Calibri"/>
          <w:bCs/>
          <w:sz w:val="22"/>
          <w:szCs w:val="22"/>
        </w:rPr>
        <w:t xml:space="preserve">punktas). Kai žemės sklypas ribojasi su anksčiau geodeziniais prietaisais išmatuotu ir koordinuotu žemės sklypu ir kai bendra riba sutampa, suinteresuotas asmuo kviečiamas tik tuo atveju, jei reikia atstatyti sunaikintus riboženklius (26 punktas). Žemės sklypo ribų ženklinimas vietovėje atliekamas </w:t>
      </w:r>
      <w:r w:rsidRPr="00233E98">
        <w:rPr>
          <w:rFonts w:ascii="Calibri" w:hAnsi="Calibri" w:cs="Calibri"/>
          <w:bCs/>
          <w:sz w:val="22"/>
          <w:szCs w:val="22"/>
        </w:rPr>
        <w:lastRenderedPageBreak/>
        <w:t>Kadastro nuostatuose nustatyta tvarka, vadovaujantis Nacionalinės žemės tarnybos direktoriaus tvirtinamomis Žemės sklypo ribų ženklinimo taisyklėmis ir Riboženklių standartais bei laikantis šiame skirsnyje nustatytų reikalavimų (12 punktas).</w:t>
      </w:r>
    </w:p>
    <w:p w14:paraId="4CC74E45" w14:textId="77777777" w:rsidR="00233E98" w:rsidRPr="00233E98" w:rsidRDefault="00233E98" w:rsidP="00233E98">
      <w:pPr>
        <w:ind w:firstLine="567"/>
        <w:jc w:val="both"/>
        <w:rPr>
          <w:rFonts w:ascii="Calibri" w:hAnsi="Calibri" w:cs="Calibri"/>
          <w:bCs/>
          <w:sz w:val="22"/>
          <w:szCs w:val="22"/>
          <w:lang w:bidi="lt-LT"/>
        </w:rPr>
      </w:pPr>
      <w:r w:rsidRPr="00233E98">
        <w:rPr>
          <w:rFonts w:ascii="Calibri" w:hAnsi="Calibri" w:cs="Calibri"/>
          <w:bCs/>
          <w:iCs/>
          <w:sz w:val="22"/>
          <w:szCs w:val="22"/>
          <w:lang w:bidi="lt-LT"/>
        </w:rPr>
        <w:t xml:space="preserve">Išplėstinė teisėjų kolegija, įvertinusi nurodytą teisinį reglamentavimą ir kvestionuojamo teisinio reglamentavimo nuostatas, priėjo prie išvados, kad </w:t>
      </w:r>
      <w:r w:rsidRPr="00233E98">
        <w:rPr>
          <w:rFonts w:ascii="Calibri" w:hAnsi="Calibri" w:cs="Calibri"/>
          <w:bCs/>
          <w:iCs/>
          <w:sz w:val="22"/>
          <w:szCs w:val="22"/>
          <w:u w:val="single"/>
          <w:lang w:bidi="lt-LT"/>
        </w:rPr>
        <w:t>nei Nekilnojamojo turto kadastro įstatyme</w:t>
      </w:r>
      <w:r w:rsidRPr="00233E98">
        <w:rPr>
          <w:rFonts w:ascii="Calibri" w:hAnsi="Calibri" w:cs="Calibri"/>
          <w:bCs/>
          <w:sz w:val="22"/>
          <w:szCs w:val="22"/>
          <w:u w:val="single"/>
        </w:rPr>
        <w:t xml:space="preserve">, nei </w:t>
      </w:r>
      <w:r w:rsidRPr="00233E98">
        <w:rPr>
          <w:rFonts w:ascii="Calibri" w:hAnsi="Calibri" w:cs="Calibri"/>
          <w:bCs/>
          <w:iCs/>
          <w:sz w:val="22"/>
          <w:szCs w:val="22"/>
          <w:u w:val="single"/>
          <w:lang w:bidi="lt-LT"/>
        </w:rPr>
        <w:t>Kadastro nuostatuose, nei</w:t>
      </w:r>
      <w:r w:rsidRPr="00233E98">
        <w:rPr>
          <w:rFonts w:ascii="Calibri" w:hAnsi="Calibri" w:cs="Calibri"/>
          <w:bCs/>
          <w:sz w:val="22"/>
          <w:szCs w:val="22"/>
          <w:u w:val="single"/>
          <w:lang w:bidi="lt-LT"/>
        </w:rPr>
        <w:t xml:space="preserve"> </w:t>
      </w:r>
      <w:r w:rsidRPr="00233E98">
        <w:rPr>
          <w:rFonts w:ascii="Calibri" w:hAnsi="Calibri" w:cs="Calibri"/>
          <w:bCs/>
          <w:iCs/>
          <w:sz w:val="22"/>
          <w:szCs w:val="22"/>
          <w:u w:val="single"/>
          <w:lang w:bidi="lt-LT"/>
        </w:rPr>
        <w:t>Nekilnojamojo turto objektų kadastrinių matavimų ir kadastro duomenų surinkimo bei tikslinimo taisyklėse nebuvo įtvirtinta bendrosios taisyklės išimtis,</w:t>
      </w:r>
      <w:r w:rsidRPr="00233E98">
        <w:rPr>
          <w:rFonts w:ascii="Calibri" w:hAnsi="Calibri" w:cs="Calibri"/>
          <w:bCs/>
          <w:sz w:val="22"/>
          <w:szCs w:val="22"/>
          <w:u w:val="single"/>
          <w:lang w:bidi="lt-LT"/>
        </w:rPr>
        <w:t xml:space="preserve"> leidžianti atliekant kelių kadastrinius matavimus ž</w:t>
      </w:r>
      <w:r w:rsidRPr="00233E98">
        <w:rPr>
          <w:rFonts w:ascii="Calibri" w:hAnsi="Calibri" w:cs="Calibri"/>
          <w:bCs/>
          <w:iCs/>
          <w:sz w:val="22"/>
          <w:szCs w:val="22"/>
          <w:u w:val="single"/>
          <w:lang w:bidi="lt-LT"/>
        </w:rPr>
        <w:t>emės sklypo ribų vietovėje neženklinti, tuo pačiu nekviesti dalyvauti šioje procedūroje kviestinių asmenų tais atvejais, kai žemės sklypas nesiriboja su anksčiau geodeziniais prietaisais išmatuotu žemės sklypu, kurio ribų posūkio taškų ir riboženklių koordinatės nustatytos valstybinėje koordinačių sistemoje, ir kai bendra riba sutampa, bei</w:t>
      </w:r>
      <w:r w:rsidRPr="00233E98">
        <w:rPr>
          <w:rFonts w:ascii="Calibri" w:hAnsi="Calibri" w:cs="Calibri"/>
          <w:bCs/>
          <w:sz w:val="22"/>
          <w:szCs w:val="22"/>
          <w:u w:val="single"/>
          <w:lang w:bidi="lt-LT"/>
        </w:rPr>
        <w:t xml:space="preserve"> </w:t>
      </w:r>
      <w:r w:rsidRPr="00233E98">
        <w:rPr>
          <w:rFonts w:ascii="Calibri" w:hAnsi="Calibri" w:cs="Calibri"/>
          <w:bCs/>
          <w:iCs/>
          <w:sz w:val="22"/>
          <w:szCs w:val="22"/>
          <w:u w:val="single"/>
        </w:rPr>
        <w:t>nesurašyti tokio žemės sklypo ribų paženklinimo–parodymo akto</w:t>
      </w:r>
      <w:r w:rsidRPr="00233E98">
        <w:rPr>
          <w:rFonts w:ascii="Calibri" w:hAnsi="Calibri" w:cs="Calibri"/>
          <w:bCs/>
          <w:iCs/>
          <w:sz w:val="22"/>
          <w:szCs w:val="22"/>
        </w:rPr>
        <w:t>.</w:t>
      </w:r>
      <w:r w:rsidRPr="00233E98">
        <w:rPr>
          <w:rFonts w:ascii="Calibri" w:hAnsi="Calibri" w:cs="Calibri"/>
          <w:bCs/>
          <w:sz w:val="22"/>
          <w:szCs w:val="22"/>
          <w:lang w:bidi="lt-LT"/>
        </w:rPr>
        <w:t xml:space="preserve"> Todėl išplėstinė teisėjų kolegija konstatavo, kad Taisyklių 42 punkte (2013 m. sausio 24 d. įsakymo Nr. 1P-(1.3.)-40 redakcija) įtvirtintas teisinis reglamentavimas kelių kadastriniams matavimams nustatė procedūrinio teisinio pobūdžio išimtį, kuriai nustatyti nebuvo teisinių pagrindų, įtvirtintų aukštesnės galios teisės aktuose, taigi nustatytasis teisinis reglamentavimas pažeidžia konstitucinį teisinės valstybės principą teisės aktų hierarchijos ir pareigos veikti aukštesnės galios teisės aktais suteiktos kompetencijos ribose aspektais.</w:t>
      </w:r>
    </w:p>
    <w:p w14:paraId="15128E1A" w14:textId="77777777" w:rsidR="00233E98" w:rsidRPr="00233E98" w:rsidRDefault="00233E98" w:rsidP="00233E98">
      <w:pPr>
        <w:ind w:firstLine="567"/>
        <w:jc w:val="both"/>
        <w:rPr>
          <w:rFonts w:ascii="Calibri" w:hAnsi="Calibri" w:cs="Calibri"/>
          <w:bCs/>
          <w:sz w:val="22"/>
          <w:szCs w:val="22"/>
          <w:lang w:bidi="lt-LT"/>
        </w:rPr>
      </w:pPr>
      <w:r w:rsidRPr="00233E98">
        <w:rPr>
          <w:rFonts w:ascii="Calibri" w:hAnsi="Calibri" w:cs="Calibri"/>
          <w:bCs/>
          <w:sz w:val="22"/>
          <w:szCs w:val="22"/>
          <w:lang w:bidi="lt-LT"/>
        </w:rPr>
        <w:t xml:space="preserve">Remdamasi nustatytomis aplinkybėmis, </w:t>
      </w:r>
      <w:r w:rsidRPr="00233E98">
        <w:rPr>
          <w:rFonts w:ascii="Calibri" w:hAnsi="Calibri" w:cs="Calibri"/>
          <w:bCs/>
          <w:sz w:val="22"/>
          <w:szCs w:val="22"/>
        </w:rPr>
        <w:t xml:space="preserve">išplėstinė teisėjų kolegija pripažino, kad </w:t>
      </w:r>
      <w:r w:rsidRPr="00233E98">
        <w:rPr>
          <w:rFonts w:ascii="Calibri" w:hAnsi="Calibri" w:cs="Calibri"/>
          <w:bCs/>
          <w:sz w:val="22"/>
          <w:szCs w:val="22"/>
          <w:lang w:bidi="lt-LT"/>
        </w:rPr>
        <w:t>Taisyklių 42 punktas (</w:t>
      </w:r>
      <w:r w:rsidRPr="00233E98">
        <w:rPr>
          <w:rFonts w:ascii="Calibri" w:hAnsi="Calibri" w:cs="Calibri"/>
          <w:bCs/>
          <w:iCs/>
          <w:sz w:val="22"/>
          <w:szCs w:val="22"/>
          <w:lang w:bidi="lt-LT"/>
        </w:rPr>
        <w:t xml:space="preserve">2013 m. sausio 24 d. įsakymo Nr. 1P-(1.3.)-40 </w:t>
      </w:r>
      <w:r w:rsidRPr="00233E98">
        <w:rPr>
          <w:rFonts w:ascii="Calibri" w:hAnsi="Calibri" w:cs="Calibri"/>
          <w:bCs/>
          <w:sz w:val="22"/>
          <w:szCs w:val="22"/>
          <w:lang w:bidi="lt-LT"/>
        </w:rPr>
        <w:t>redakcija) prieštaravo konstituciniam teisinės valstybės principui, Nekilnojamojo turto kadastro įstatymo 8 straipsnio 3 dalies 1 punktui (2006 m. gruodžio 21 d. įstatymo Nr. X-1007 redakcija) ir Kadastro nuostatų 32.1.1 punktui (2014 m. balandžio 1 d. nutarimo Nr. 303 redakcija) bei 32.1.1.4 punktui (2005 m. birželio 23 d. nutarimo Nr. 695 redakcija).</w:t>
      </w:r>
    </w:p>
    <w:p w14:paraId="03E2378B" w14:textId="77777777" w:rsidR="00233E98" w:rsidRPr="00233E98" w:rsidRDefault="00233E98" w:rsidP="00233E98">
      <w:pPr>
        <w:rPr>
          <w:rFonts w:ascii="Calibri" w:hAnsi="Calibri" w:cs="Calibri"/>
          <w:bCs/>
          <w:sz w:val="22"/>
          <w:szCs w:val="22"/>
        </w:rPr>
      </w:pPr>
    </w:p>
    <w:p w14:paraId="18797689" w14:textId="77777777" w:rsidR="00233E98" w:rsidRPr="00233E98" w:rsidRDefault="00233E98" w:rsidP="00233E98">
      <w:pPr>
        <w:rPr>
          <w:rFonts w:ascii="Calibri" w:hAnsi="Calibri" w:cs="Calibri"/>
          <w:sz w:val="22"/>
          <w:szCs w:val="22"/>
        </w:rPr>
      </w:pPr>
      <w:r w:rsidRPr="00233E98">
        <w:rPr>
          <w:rFonts w:ascii="Calibri" w:hAnsi="Calibri" w:cs="Calibri"/>
          <w:sz w:val="22"/>
          <w:szCs w:val="22"/>
        </w:rPr>
        <w:t xml:space="preserve">Išplėstinės teisėjų kolegijos 2020 m. spalio 21 d. sprendimas administracinėje byloje Nr. </w:t>
      </w:r>
      <w:r w:rsidRPr="00233E98">
        <w:rPr>
          <w:rFonts w:ascii="Calibri" w:hAnsi="Calibri" w:cs="Calibri"/>
          <w:sz w:val="22"/>
          <w:szCs w:val="22"/>
          <w:lang w:eastAsia="en-US"/>
        </w:rPr>
        <w:t>eI-18-415/2020</w:t>
      </w:r>
    </w:p>
    <w:p w14:paraId="06C5319A" w14:textId="77777777" w:rsidR="00233E98" w:rsidRPr="00233E98" w:rsidRDefault="00233E98" w:rsidP="00233E98">
      <w:pPr>
        <w:rPr>
          <w:rFonts w:ascii="Calibri" w:hAnsi="Calibri" w:cs="Calibri"/>
          <w:bCs/>
          <w:sz w:val="22"/>
          <w:szCs w:val="22"/>
          <w:lang w:eastAsia="en-US"/>
        </w:rPr>
      </w:pPr>
      <w:r w:rsidRPr="00233E98">
        <w:rPr>
          <w:rFonts w:ascii="Calibri" w:hAnsi="Calibri" w:cs="Calibri"/>
          <w:sz w:val="22"/>
          <w:szCs w:val="22"/>
        </w:rPr>
        <w:t xml:space="preserve">Teisminio proceso Nr. </w:t>
      </w:r>
      <w:r w:rsidRPr="00233E98">
        <w:rPr>
          <w:rFonts w:ascii="Calibri" w:hAnsi="Calibri" w:cs="Calibri"/>
          <w:bCs/>
          <w:sz w:val="22"/>
          <w:szCs w:val="22"/>
          <w:lang w:eastAsia="en-US"/>
        </w:rPr>
        <w:t>3-66-3-00022-2020-6</w:t>
      </w:r>
    </w:p>
    <w:p w14:paraId="560C8D87" w14:textId="77777777" w:rsidR="00233E98" w:rsidRPr="00233E98" w:rsidRDefault="00233E98" w:rsidP="00233E98">
      <w:pPr>
        <w:rPr>
          <w:rFonts w:ascii="Calibri" w:hAnsi="Calibri" w:cs="Calibri"/>
          <w:sz w:val="22"/>
          <w:szCs w:val="22"/>
          <w:lang w:eastAsia="en-US"/>
        </w:rPr>
      </w:pPr>
      <w:r w:rsidRPr="00233E98">
        <w:rPr>
          <w:rFonts w:ascii="Calibri" w:hAnsi="Calibri" w:cs="Calibri"/>
          <w:sz w:val="22"/>
          <w:szCs w:val="22"/>
        </w:rPr>
        <w:t xml:space="preserve">Procesinio sprendimo </w:t>
      </w:r>
      <w:r w:rsidRPr="00233E98">
        <w:rPr>
          <w:rFonts w:ascii="Calibri" w:hAnsi="Calibri" w:cs="Calibri"/>
          <w:sz w:val="22"/>
          <w:szCs w:val="22"/>
          <w:lang w:eastAsia="en-US"/>
        </w:rPr>
        <w:t>kategorijos: 4.1; 15.7</w:t>
      </w:r>
    </w:p>
    <w:p w14:paraId="3A9E50CE" w14:textId="77777777" w:rsidR="00233E98" w:rsidRPr="00233E98" w:rsidRDefault="000F189C" w:rsidP="00233E98">
      <w:pPr>
        <w:rPr>
          <w:rFonts w:ascii="Calibri" w:hAnsi="Calibri" w:cs="Calibri"/>
          <w:sz w:val="22"/>
          <w:szCs w:val="22"/>
          <w:u w:val="single"/>
        </w:rPr>
      </w:pPr>
      <w:hyperlink r:id="rId10" w:history="1">
        <w:r w:rsidR="00233E98" w:rsidRPr="00233E98">
          <w:rPr>
            <w:rFonts w:ascii="Calibri" w:hAnsi="Calibri" w:cs="Calibri"/>
            <w:color w:val="0000FF"/>
            <w:sz w:val="22"/>
            <w:szCs w:val="22"/>
            <w:u w:val="single"/>
          </w:rPr>
          <w:t>Prieiga internete</w:t>
        </w:r>
      </w:hyperlink>
    </w:p>
    <w:p w14:paraId="3D4837CA" w14:textId="77777777" w:rsidR="00E259FF" w:rsidRPr="00233E98" w:rsidRDefault="00E259FF" w:rsidP="0080304E">
      <w:pPr>
        <w:jc w:val="both"/>
        <w:rPr>
          <w:rFonts w:ascii="Calibri" w:hAnsi="Calibri" w:cs="Calibri"/>
          <w:bCs/>
          <w:sz w:val="22"/>
          <w:szCs w:val="22"/>
          <w:lang w:bidi="lt-LT"/>
        </w:rPr>
      </w:pPr>
    </w:p>
    <w:p w14:paraId="6E946DB7" w14:textId="32AC4547" w:rsidR="00C40A17" w:rsidRPr="0080304E" w:rsidRDefault="00C40A17" w:rsidP="0080304E">
      <w:pPr>
        <w:keepNext/>
        <w:tabs>
          <w:tab w:val="left" w:pos="567"/>
        </w:tabs>
        <w:jc w:val="both"/>
        <w:outlineLvl w:val="0"/>
        <w:rPr>
          <w:rFonts w:ascii="Calibri" w:hAnsi="Calibri" w:cs="Calibri"/>
          <w:b/>
          <w:sz w:val="22"/>
          <w:szCs w:val="22"/>
          <w:u w:val="single"/>
        </w:rPr>
      </w:pPr>
      <w:bookmarkStart w:id="21" w:name="_Toc58851690"/>
      <w:bookmarkEnd w:id="13"/>
      <w:bookmarkEnd w:id="14"/>
      <w:bookmarkEnd w:id="15"/>
      <w:bookmarkEnd w:id="16"/>
      <w:r w:rsidRPr="00C40A17">
        <w:rPr>
          <w:rFonts w:ascii="Calibri" w:hAnsi="Calibri" w:cs="Calibri"/>
          <w:b/>
          <w:sz w:val="22"/>
          <w:szCs w:val="22"/>
          <w:u w:val="single"/>
        </w:rPr>
        <w:t>7. Socialinė apsauga</w:t>
      </w:r>
      <w:bookmarkEnd w:id="21"/>
    </w:p>
    <w:p w14:paraId="4F41E7F0" w14:textId="77777777" w:rsidR="00C40A17" w:rsidRPr="00C40A17" w:rsidRDefault="00C40A17" w:rsidP="00C40A17">
      <w:pPr>
        <w:ind w:firstLine="567"/>
        <w:jc w:val="both"/>
        <w:rPr>
          <w:rFonts w:ascii="Calibri" w:hAnsi="Calibri"/>
          <w:b/>
          <w:sz w:val="22"/>
          <w:szCs w:val="22"/>
        </w:rPr>
      </w:pPr>
      <w:r w:rsidRPr="00C40A17">
        <w:rPr>
          <w:rFonts w:ascii="Calibri" w:hAnsi="Calibri" w:cs="Calibri"/>
          <w:b/>
          <w:sz w:val="22"/>
          <w:szCs w:val="22"/>
          <w:u w:val="single"/>
        </w:rPr>
        <w:t>7.9. Kiti socialinės apsaugos klausimai</w:t>
      </w:r>
    </w:p>
    <w:p w14:paraId="2E6BAFBD" w14:textId="77777777" w:rsidR="00C40A17" w:rsidRPr="00C40A17" w:rsidRDefault="00C40A17" w:rsidP="00C40A17">
      <w:pPr>
        <w:ind w:firstLine="567"/>
        <w:jc w:val="both"/>
        <w:rPr>
          <w:rFonts w:ascii="Calibri" w:eastAsia="Calibri" w:hAnsi="Calibri" w:cs="Calibri"/>
          <w:sz w:val="22"/>
          <w:szCs w:val="22"/>
        </w:rPr>
      </w:pPr>
    </w:p>
    <w:p w14:paraId="7441BF6C" w14:textId="77777777" w:rsidR="00C40A17" w:rsidRPr="00C40A17" w:rsidRDefault="00C40A17" w:rsidP="00C40A17">
      <w:pPr>
        <w:jc w:val="both"/>
        <w:outlineLvl w:val="1"/>
        <w:rPr>
          <w:rFonts w:ascii="Calibri" w:eastAsia="Calibri" w:hAnsi="Calibri"/>
          <w:i/>
          <w:sz w:val="22"/>
          <w:szCs w:val="22"/>
        </w:rPr>
      </w:pPr>
      <w:bookmarkStart w:id="22" w:name="_Toc58851691"/>
      <w:r w:rsidRPr="00C40A17">
        <w:rPr>
          <w:rFonts w:ascii="Calibri" w:eastAsia="Calibri" w:hAnsi="Calibri" w:cs="Calibri"/>
          <w:i/>
          <w:sz w:val="22"/>
          <w:szCs w:val="22"/>
        </w:rPr>
        <w:t>Dėl darbdavio pareigos įdarbinant užsienietį kreiptis dėl naujo leidimo laikinai gyventi užsieniečiui išdavimo</w:t>
      </w:r>
      <w:bookmarkEnd w:id="22"/>
    </w:p>
    <w:p w14:paraId="1959834E" w14:textId="77777777" w:rsidR="00C40A17" w:rsidRPr="00C40A17" w:rsidRDefault="00C40A17" w:rsidP="00C40A17">
      <w:pPr>
        <w:jc w:val="both"/>
        <w:rPr>
          <w:rFonts w:ascii="Calibri" w:hAnsi="Calibri" w:cs="Calibri"/>
          <w:sz w:val="22"/>
          <w:szCs w:val="22"/>
        </w:rPr>
      </w:pPr>
    </w:p>
    <w:p w14:paraId="1A0EFE90" w14:textId="77777777" w:rsidR="00C40A17" w:rsidRPr="00C40A17" w:rsidRDefault="00C40A17" w:rsidP="00C40A17">
      <w:pPr>
        <w:ind w:firstLine="567"/>
        <w:jc w:val="both"/>
        <w:rPr>
          <w:rFonts w:ascii="Calibri" w:eastAsia="Calibri" w:hAnsi="Calibri" w:cs="Calibri"/>
          <w:sz w:val="22"/>
          <w:szCs w:val="22"/>
        </w:rPr>
      </w:pPr>
      <w:r w:rsidRPr="00C40A17">
        <w:rPr>
          <w:rFonts w:ascii="Calibri" w:eastAsia="Calibri" w:hAnsi="Calibri" w:cs="Calibri"/>
          <w:sz w:val="22"/>
          <w:szCs w:val="22"/>
        </w:rPr>
        <w:t>Apžvelgiamoje byloje ginčas kilo dėl Valstybinės darbo inspekcijos prie Socialinės apsaugos ir darbo ministerijos nutarimo teisėtumo ir pagrįstumo bei reikalavimų neskirti pareiškėjui nuobaudos arba ją sušvelninti pagrįstumo.</w:t>
      </w:r>
    </w:p>
    <w:p w14:paraId="4C4888C5" w14:textId="77777777" w:rsidR="00C40A17" w:rsidRPr="00C40A17" w:rsidRDefault="00C40A17" w:rsidP="00C40A17">
      <w:pPr>
        <w:ind w:firstLine="567"/>
        <w:jc w:val="both"/>
        <w:rPr>
          <w:rFonts w:ascii="Calibri" w:eastAsia="Calibri" w:hAnsi="Calibri" w:cs="Calibri"/>
          <w:sz w:val="22"/>
          <w:szCs w:val="22"/>
        </w:rPr>
      </w:pPr>
      <w:r w:rsidRPr="00C40A17">
        <w:rPr>
          <w:rFonts w:ascii="Calibri" w:eastAsia="Calibri" w:hAnsi="Calibri" w:cs="Calibri"/>
          <w:sz w:val="22"/>
          <w:szCs w:val="22"/>
        </w:rPr>
        <w:t xml:space="preserve">Pirmosios instancijos teismas, konstatavęs skundžiamo nutarimo teisėtumą ir pagrįstumą, pareiškėjo skundą atmetė. Pareiškėjas, nesutikdamas su pirmosios instancijos teismo sprendimu, padavė apeliacinį skundą. </w:t>
      </w:r>
    </w:p>
    <w:p w14:paraId="15B3B8B9" w14:textId="1E27912E" w:rsidR="00C40A17" w:rsidRPr="00C40A17" w:rsidRDefault="00C40A17" w:rsidP="00C40A17">
      <w:pPr>
        <w:ind w:firstLine="567"/>
        <w:jc w:val="both"/>
        <w:rPr>
          <w:rFonts w:ascii="Calibri" w:eastAsia="Calibri" w:hAnsi="Calibri" w:cs="Calibri"/>
          <w:sz w:val="22"/>
          <w:szCs w:val="22"/>
        </w:rPr>
      </w:pPr>
      <w:r w:rsidRPr="00C40A17">
        <w:rPr>
          <w:rFonts w:ascii="Calibri" w:eastAsia="Calibri" w:hAnsi="Calibri" w:cs="Calibri"/>
          <w:sz w:val="22"/>
          <w:szCs w:val="22"/>
        </w:rPr>
        <w:t>Pareiškėjas apeliaciniame skunde tvirtin</w:t>
      </w:r>
      <w:r>
        <w:rPr>
          <w:rFonts w:ascii="Calibri" w:eastAsia="Calibri" w:hAnsi="Calibri" w:cs="Calibri"/>
          <w:sz w:val="22"/>
          <w:szCs w:val="22"/>
        </w:rPr>
        <w:t>o</w:t>
      </w:r>
      <w:r w:rsidRPr="00C40A17">
        <w:rPr>
          <w:rFonts w:ascii="Calibri" w:eastAsia="Calibri" w:hAnsi="Calibri" w:cs="Calibri"/>
          <w:sz w:val="22"/>
          <w:szCs w:val="22"/>
        </w:rPr>
        <w:t>, kad jis įdarbindamas užsienietį, kuris turėjo teisę gyventi Lietuvos Respublikoje suteikiantį galiojantį dokumentą, pateikęs įsipareigojimą įdarbinti užsienietį ir esant sudarytai darbo sutarčiai, įvykdė Užimtumo įstatymo (toliau – UĮ) 56 straipsnio 2 dalies 1 punkte numatytą sąlygą, kuri leidžia pareiškėją laikyti nepažeidusiu UĮ 56 straipsnio 1 dalies 2 punkto reikalavimų.</w:t>
      </w:r>
    </w:p>
    <w:p w14:paraId="2AC24BCD" w14:textId="685F6546" w:rsidR="00C40A17" w:rsidRPr="00C40A17" w:rsidRDefault="00C40A17" w:rsidP="00C40A17">
      <w:pPr>
        <w:ind w:firstLine="567"/>
        <w:jc w:val="both"/>
        <w:rPr>
          <w:rFonts w:ascii="Calibri" w:eastAsia="Calibri" w:hAnsi="Calibri" w:cs="Calibri"/>
          <w:sz w:val="22"/>
          <w:szCs w:val="22"/>
        </w:rPr>
      </w:pPr>
      <w:r w:rsidRPr="00C40A17">
        <w:rPr>
          <w:rFonts w:ascii="Calibri" w:eastAsia="Calibri" w:hAnsi="Calibri"/>
          <w:color w:val="000000"/>
          <w:sz w:val="22"/>
          <w:szCs w:val="22"/>
          <w:lang w:bidi="lt-LT"/>
        </w:rPr>
        <w:t xml:space="preserve">Įstatymo „Dėl užsieniečių teisinės </w:t>
      </w:r>
      <w:r w:rsidRPr="00C40A17">
        <w:rPr>
          <w:rFonts w:ascii="Calibri" w:eastAsia="Calibri" w:hAnsi="Calibri"/>
          <w:sz w:val="22"/>
          <w:szCs w:val="22"/>
          <w:lang w:bidi="lt-LT"/>
        </w:rPr>
        <w:t xml:space="preserve">padėties“ </w:t>
      </w:r>
      <w:r w:rsidRPr="00C40A17">
        <w:rPr>
          <w:rFonts w:ascii="Calibri" w:hAnsi="Calibri"/>
          <w:sz w:val="22"/>
          <w:szCs w:val="22"/>
          <w:lang w:eastAsia="en-US"/>
        </w:rPr>
        <w:t>(toliau – ĮUTP)</w:t>
      </w:r>
      <w:r w:rsidRPr="00C40A17">
        <w:rPr>
          <w:rFonts w:ascii="Calibri" w:eastAsia="Calibri" w:hAnsi="Calibri"/>
          <w:color w:val="000000"/>
          <w:sz w:val="22"/>
          <w:szCs w:val="22"/>
          <w:lang w:bidi="lt-LT"/>
        </w:rPr>
        <w:t xml:space="preserve"> </w:t>
      </w:r>
      <w:r w:rsidRPr="00C40A17">
        <w:rPr>
          <w:rFonts w:ascii="Calibri" w:eastAsia="Calibri" w:hAnsi="Calibri" w:cs="Calibri"/>
          <w:sz w:val="22"/>
          <w:szCs w:val="22"/>
        </w:rPr>
        <w:t>40 straipsnio 1 dalies 4 punktas nustato, kad leidimas laikinai gyventi gali būti išduodamas ar keičiamas užsieniečiui, jeigu jis ketina dirbti Lietuvos Respublikoje pagal ĮUTP 44 straipsnio nuostatas.</w:t>
      </w:r>
      <w:r w:rsidRPr="00C40A17">
        <w:rPr>
          <w:rFonts w:ascii="Calibri" w:eastAsia="Calibri" w:hAnsi="Calibri" w:cs="Calibri"/>
          <w:sz w:val="22"/>
          <w:szCs w:val="22"/>
          <w:lang w:val="en-GB"/>
        </w:rPr>
        <w:t xml:space="preserve"> </w:t>
      </w:r>
      <w:r w:rsidRPr="00C40A17">
        <w:rPr>
          <w:rFonts w:ascii="Calibri" w:eastAsia="Calibri" w:hAnsi="Calibri" w:cs="Calibri"/>
          <w:sz w:val="22"/>
          <w:szCs w:val="22"/>
        </w:rPr>
        <w:t xml:space="preserve">ĮUTP 44 straipsnio 1 dalies 3 punkto nuostata įtvirtina, kad „leidimas laikinai gyventi gali būti išduodamas užsieniečiui, kuris ketina dirbti Lietuvos Respublikoje, kai jis &lt;...&gt; atitinka šias sąlygas: a) pateikiamas darbdavio įsipareigojimas įdarbinti užsienietį pagal darbo sutartį ne trumpesniam negu 6 mėnesių laikotarpiui; b) pateikiami dokumentai, patvirtinantys užsieniečio turimą kvalifikaciją ir ne mažesnę negu vienerių metų darbo patirtį pagal turimą kvalifikaciją per pastaruosius dvejus metus &lt;...&gt;; c) Lietuvos darbo birža &lt;...&gt; priima sprendimą, kad užsieniečio darbas atitinka Lietuvos Respublikos darbo rinkos poreikius, išskyrus šio straipsnio 2 dalyje nurodytus atvejus.“ Pastaroji (3 punkto c papunktyje nurodyta) sąlyga netaikoma užsieniečiui, kurio profesija yra įtraukta į profesijų, kurių darbuotojų trūksta Lietuvos Respublikoje, sąrašą pagal ekonominės veiklos rūšis (ĮUTP 44 str. 2 d.). </w:t>
      </w:r>
      <w:r w:rsidRPr="00C40A17">
        <w:rPr>
          <w:rFonts w:ascii="Calibri" w:eastAsia="Calibri" w:hAnsi="Calibri" w:cs="Calibri"/>
          <w:sz w:val="22"/>
          <w:szCs w:val="22"/>
          <w:u w:val="single"/>
        </w:rPr>
        <w:t xml:space="preserve">Jeigu leidimas laikinai gyventi išduotas pagal ĮUTP 44 straipsnio 1 dalies 3 punktą, užsienietis gali dirbti tik pas tą darbdavį, kuris </w:t>
      </w:r>
      <w:r w:rsidRPr="00C40A17">
        <w:rPr>
          <w:rFonts w:ascii="Calibri" w:eastAsia="Calibri" w:hAnsi="Calibri" w:cs="Calibri"/>
          <w:sz w:val="22"/>
          <w:szCs w:val="22"/>
          <w:u w:val="single"/>
        </w:rPr>
        <w:lastRenderedPageBreak/>
        <w:t>įsipareigojo jį įdarbinti Lietuvos Respublikoje (ĮUTP 44 str. 7 d. (2014 m. gruodžio 9 d. įstatymo Nr. XII-1396 redakcija)</w:t>
      </w:r>
      <w:r w:rsidR="00781FCE">
        <w:rPr>
          <w:rStyle w:val="FootnoteReference"/>
          <w:rFonts w:ascii="Calibri" w:eastAsia="Calibri" w:hAnsi="Calibri" w:cs="Calibri"/>
          <w:sz w:val="22"/>
          <w:szCs w:val="22"/>
          <w:u w:val="single"/>
        </w:rPr>
        <w:footnoteReference w:id="1"/>
      </w:r>
      <w:r w:rsidRPr="00C40A17">
        <w:rPr>
          <w:rFonts w:ascii="Calibri" w:eastAsia="Calibri" w:hAnsi="Calibri" w:cs="Calibri"/>
          <w:sz w:val="22"/>
          <w:szCs w:val="22"/>
          <w:u w:val="single"/>
        </w:rPr>
        <w:t xml:space="preserve">. </w:t>
      </w:r>
      <w:bookmarkStart w:id="23" w:name="_Hlk51579852"/>
      <w:r w:rsidRPr="00C40A17">
        <w:rPr>
          <w:rFonts w:ascii="Calibri" w:eastAsia="Calibri" w:hAnsi="Calibri" w:cs="Calibri"/>
          <w:sz w:val="22"/>
          <w:szCs w:val="22"/>
          <w:u w:val="single"/>
        </w:rPr>
        <w:t>ĮUTP</w:t>
      </w:r>
      <w:bookmarkEnd w:id="23"/>
      <w:r w:rsidRPr="00C40A17">
        <w:rPr>
          <w:rFonts w:ascii="Calibri" w:eastAsia="Calibri" w:hAnsi="Calibri" w:cs="Calibri"/>
          <w:sz w:val="22"/>
          <w:szCs w:val="22"/>
          <w:u w:val="single"/>
        </w:rPr>
        <w:t xml:space="preserve"> 44 straipsnio 7 dalyje nustatytas ribojimas reiškia tai, kad laikino leidimo gyventi Lietuvos Respublikoje galiojimo metu užsienietis negali sukurti (individualių) darbo santykių su kitais asmenimis.</w:t>
      </w:r>
    </w:p>
    <w:p w14:paraId="7AE2D2F5" w14:textId="77777777" w:rsidR="00C40A17" w:rsidRPr="00C40A17" w:rsidRDefault="00C40A17" w:rsidP="00C40A17">
      <w:pPr>
        <w:ind w:firstLine="567"/>
        <w:jc w:val="both"/>
        <w:rPr>
          <w:rFonts w:ascii="Calibri" w:eastAsia="Calibri" w:hAnsi="Calibri" w:cs="Calibri"/>
          <w:sz w:val="22"/>
          <w:szCs w:val="22"/>
        </w:rPr>
      </w:pPr>
      <w:r w:rsidRPr="00C40A17">
        <w:rPr>
          <w:rFonts w:ascii="Calibri" w:eastAsia="Calibri" w:hAnsi="Calibri" w:cs="Calibri"/>
          <w:sz w:val="22"/>
          <w:szCs w:val="22"/>
        </w:rPr>
        <w:t xml:space="preserve">Byloje nagrinėtu atveju užsieniečiui </w:t>
      </w:r>
      <w:bookmarkStart w:id="24" w:name="Buk_29"/>
      <w:r w:rsidRPr="00C40A17">
        <w:rPr>
          <w:rFonts w:ascii="Calibri" w:eastAsia="Calibri" w:hAnsi="Calibri" w:cs="Calibri"/>
          <w:sz w:val="22"/>
          <w:szCs w:val="22"/>
        </w:rPr>
        <w:t xml:space="preserve">M. Z. </w:t>
      </w:r>
      <w:bookmarkEnd w:id="24"/>
      <w:r w:rsidRPr="00C40A17">
        <w:rPr>
          <w:rFonts w:ascii="Calibri" w:eastAsia="Calibri" w:hAnsi="Calibri" w:cs="Calibri"/>
          <w:sz w:val="22"/>
          <w:szCs w:val="22"/>
        </w:rPr>
        <w:t xml:space="preserve">leidimas laikinai gyventi Lietuvos Respublikoje buvo išduotas 2017 m. liepos 3 d. ĮUTP 44 straipsnio 1 dalies 3 punkto pagrindu ir galiojo iki 2019 m. liepos 3 d. Dėl leidimo išdavimo tarpininkavo UAB „Autokaravanas“, todėl </w:t>
      </w:r>
      <w:bookmarkStart w:id="25" w:name="Buk_12"/>
      <w:r w:rsidRPr="00C40A17">
        <w:rPr>
          <w:rFonts w:ascii="Calibri" w:eastAsia="Calibri" w:hAnsi="Calibri" w:cs="Calibri"/>
          <w:sz w:val="22"/>
          <w:szCs w:val="22"/>
        </w:rPr>
        <w:t xml:space="preserve">M. Z. </w:t>
      </w:r>
      <w:bookmarkEnd w:id="25"/>
      <w:r w:rsidRPr="00C40A17">
        <w:rPr>
          <w:rFonts w:ascii="Calibri" w:eastAsia="Calibri" w:hAnsi="Calibri" w:cs="Calibri"/>
          <w:sz w:val="22"/>
          <w:szCs w:val="22"/>
        </w:rPr>
        <w:t xml:space="preserve">turėjo teisę konkrečiu laikotarpiu dirbti tik UAB „Autokaravanas“ (ĮUTP 44 str. 7 d.). Atkreiptas dėmesys, kad </w:t>
      </w:r>
      <w:r w:rsidRPr="00C40A17">
        <w:rPr>
          <w:rFonts w:ascii="Calibri" w:eastAsia="Calibri" w:hAnsi="Calibri" w:cs="Calibri"/>
          <w:sz w:val="22"/>
          <w:szCs w:val="22"/>
          <w:u w:val="single"/>
        </w:rPr>
        <w:t xml:space="preserve">aplinkybė, jog 2017 m. rugpjūčio 18 d., kai tarp UAB „Meidovis“ ir užsieniečio buvo sudaryta darbo sutartis, </w:t>
      </w:r>
      <w:bookmarkStart w:id="26" w:name="Buk_13"/>
      <w:r w:rsidRPr="00C40A17">
        <w:rPr>
          <w:rFonts w:ascii="Calibri" w:eastAsia="Calibri" w:hAnsi="Calibri" w:cs="Calibri"/>
          <w:sz w:val="22"/>
          <w:szCs w:val="22"/>
          <w:u w:val="single"/>
        </w:rPr>
        <w:t xml:space="preserve">M. Z. </w:t>
      </w:r>
      <w:bookmarkEnd w:id="26"/>
      <w:r w:rsidRPr="00C40A17">
        <w:rPr>
          <w:rFonts w:ascii="Calibri" w:eastAsia="Calibri" w:hAnsi="Calibri" w:cs="Calibri"/>
          <w:sz w:val="22"/>
          <w:szCs w:val="22"/>
          <w:u w:val="single"/>
        </w:rPr>
        <w:t>turėjo galiojantį leidimą laikinai gyventi Lietuvos Respublikoje (išduotą</w:t>
      </w:r>
      <w:r w:rsidRPr="00E07006">
        <w:rPr>
          <w:rFonts w:ascii="Calibri" w:eastAsia="Calibri" w:hAnsi="Calibri" w:cs="Calibri"/>
          <w:sz w:val="22"/>
          <w:szCs w:val="22"/>
          <w:u w:val="single"/>
        </w:rPr>
        <w:t xml:space="preserve"> </w:t>
      </w:r>
      <w:r w:rsidRPr="00C40A17">
        <w:rPr>
          <w:rFonts w:ascii="Calibri" w:eastAsia="Calibri" w:hAnsi="Calibri" w:cs="Calibri"/>
          <w:sz w:val="22"/>
          <w:szCs w:val="22"/>
          <w:u w:val="single"/>
        </w:rPr>
        <w:t>ĮUTP 44 str. 1 d. 3 p. pagrindu tarpininkaujant UAB „Autokaravanas“), neatleidžia naujojo darbdavio (šiuo atveju UAB „Meidovis“) nuo pareigos kreiptis dėl naujo leidimo užsieniečiui išdavimo, kadangi nustatytas teisinis reglamentavimas leidimo laikinai gyventi išdavimą ĮUTP 44 straipsnio 1 dalies 3 punkto pagrindu sieja su užsieniečio teise dirbti tik pas tą darbdavį, kuris įsipareigojo jį įdarbinti Lietuvos Respublikoje</w:t>
      </w:r>
      <w:r w:rsidRPr="00C40A17">
        <w:rPr>
          <w:rFonts w:ascii="Calibri" w:eastAsia="Calibri" w:hAnsi="Calibri" w:cs="Calibri"/>
          <w:sz w:val="22"/>
          <w:szCs w:val="22"/>
        </w:rPr>
        <w:t xml:space="preserve">. </w:t>
      </w:r>
    </w:p>
    <w:p w14:paraId="6AC3F8E3" w14:textId="77777777" w:rsidR="00C40A17" w:rsidRPr="00C40A17" w:rsidRDefault="00C40A17" w:rsidP="00C40A17">
      <w:pPr>
        <w:ind w:firstLine="567"/>
        <w:jc w:val="both"/>
        <w:rPr>
          <w:rFonts w:ascii="Calibri" w:eastAsia="Calibri" w:hAnsi="Calibri" w:cs="Calibri"/>
          <w:sz w:val="22"/>
          <w:szCs w:val="22"/>
        </w:rPr>
      </w:pPr>
      <w:r w:rsidRPr="00C40A17">
        <w:rPr>
          <w:rFonts w:ascii="Calibri" w:eastAsia="Calibri" w:hAnsi="Calibri" w:cs="Calibri"/>
          <w:sz w:val="22"/>
          <w:szCs w:val="22"/>
        </w:rPr>
        <w:t>Pagal UĮ (redakcija, galiojanti nuo 2017 m. liepos 1 d.) 56 straipsnio 1 dalies 2 punktą, nelegaliu darbu laikoma, kai dirba asmuo, kuris nėra Europos Sąjungos pilietis, kaip nustatyta Sutarties dėl Europos Sąjungos veikimo 20 straipsnio 1 dalyje, ir nėra asmuo, kuris pagal Europos Sąjungos teisės aktus naudojasi judėjimo laisve (toliau – trečiosios šalies pilietis), įdarbintas nesilaikant norminių teisės aktų, reglamentuojančių trečiųjų šalių piliečių įdarbinimą, nustatytos tvarkos. UĮ 56 straipsnio 2 dalyje nustatyta, kad darbdavys nelaikomas pažeidusiu šio straipsnio 1 dalies 2 punktą, jeigu, įdarbindamas trečiosios šalies pilietį, įvykdo šias sąlygas: ne vėliau kaip prieš vieną darbo dieną iki numatytos darbo sutarties sudarymo dienos yra gautas leidimas gyventi Lietuvos Respublikoje ar kitas dokumentas, suteikiantis teisę būti ar gyventi Lietuvos Respublikoje, ir leidimas dirbti Lietuvos Respublikoje (2 d. 1 p.); darbo Lietuvos Respublikoje laikotarpiu saugo šio straipsnio 2 dalies 1 punkte nurodytų dokumentų kopijas ir pateikia jas Valstybinei darbo inspekcijai, Migracijos departamentui ar kitai šio įstatymo 55 straipsnyje nurodytai institucijai jų reikalavimu (2 d. 2 p.).</w:t>
      </w:r>
    </w:p>
    <w:p w14:paraId="7B300E47" w14:textId="77777777" w:rsidR="00C40A17" w:rsidRPr="00C40A17" w:rsidRDefault="00C40A17" w:rsidP="00C40A17">
      <w:pPr>
        <w:ind w:firstLine="567"/>
        <w:jc w:val="both"/>
        <w:rPr>
          <w:rFonts w:ascii="Calibri" w:eastAsia="Calibri" w:hAnsi="Calibri" w:cs="Calibri"/>
          <w:sz w:val="22"/>
          <w:szCs w:val="22"/>
        </w:rPr>
      </w:pPr>
      <w:r w:rsidRPr="00C40A17">
        <w:rPr>
          <w:rFonts w:ascii="Calibri" w:eastAsia="Calibri" w:hAnsi="Calibri" w:cs="Calibri"/>
          <w:sz w:val="22"/>
          <w:szCs w:val="22"/>
        </w:rPr>
        <w:t>Byloje nustatytos faktinės aplinkybės patvirtino, jog UAB „Meidovis“ neįvykdė UĮ 56 straipsnio 2 dalies 1 punkto reikalavimų, t. y. ne vėliau kaip prieš vieną darbo dieną iki numatytos darbo sutarties sudarymo dienos negavo užsieniečiui leidimo gyventi Lietuvos Respublikoje, todėl pagrįstai buvo nustatytas UĮ 56 straipsnio 1 dalies 2 punkto pažeidimas. Teisėjų kolegijos vertinimu, atsakovas, skirdamas baudą pareiškėjui, atsižvelgė į bylos aplinkybių visumą ir paskyrė teisingą bei proporcingą nuobaudą.</w:t>
      </w:r>
    </w:p>
    <w:p w14:paraId="7DA0B69F" w14:textId="77777777" w:rsidR="00C40A17" w:rsidRPr="00C40A17" w:rsidRDefault="00C40A17" w:rsidP="00C40A17">
      <w:pPr>
        <w:ind w:firstLine="567"/>
        <w:jc w:val="both"/>
        <w:rPr>
          <w:rFonts w:ascii="Calibri" w:eastAsia="Calibri" w:hAnsi="Calibri" w:cs="Calibri"/>
          <w:sz w:val="22"/>
          <w:szCs w:val="22"/>
        </w:rPr>
      </w:pPr>
      <w:r w:rsidRPr="00C40A17">
        <w:rPr>
          <w:rFonts w:ascii="Calibri" w:eastAsia="Calibri" w:hAnsi="Calibri" w:cs="Calibri"/>
          <w:sz w:val="22"/>
          <w:szCs w:val="22"/>
        </w:rPr>
        <w:t>Pirmosios instancijos teismo sprendimas paliktas nepakeistas, o apeliacinis skundas atmestas.</w:t>
      </w:r>
    </w:p>
    <w:p w14:paraId="198AE348" w14:textId="77777777" w:rsidR="00C40A17" w:rsidRPr="00C40A17" w:rsidRDefault="00C40A17" w:rsidP="00C40A17">
      <w:pPr>
        <w:ind w:firstLine="567"/>
        <w:jc w:val="both"/>
        <w:rPr>
          <w:rFonts w:ascii="Calibri" w:eastAsia="Calibri" w:hAnsi="Calibri" w:cs="Calibri"/>
          <w:sz w:val="22"/>
          <w:szCs w:val="22"/>
        </w:rPr>
      </w:pPr>
    </w:p>
    <w:p w14:paraId="003DFBD4" w14:textId="77777777" w:rsidR="00C40A17" w:rsidRPr="00C40A17" w:rsidRDefault="00C40A17" w:rsidP="00C40A17">
      <w:pPr>
        <w:jc w:val="both"/>
        <w:rPr>
          <w:rFonts w:ascii="Calibri" w:hAnsi="Calibri" w:cs="Calibri"/>
          <w:b/>
          <w:sz w:val="22"/>
          <w:szCs w:val="22"/>
        </w:rPr>
      </w:pPr>
      <w:r w:rsidRPr="00C40A17">
        <w:rPr>
          <w:rFonts w:ascii="Calibri" w:hAnsi="Calibri" w:cs="Calibri"/>
          <w:sz w:val="22"/>
          <w:szCs w:val="22"/>
        </w:rPr>
        <w:t>2020 m. spalio 7 d. nutartis administracinėje byloje Nr. eA-2040-575/2020</w:t>
      </w:r>
    </w:p>
    <w:p w14:paraId="64F2B01B" w14:textId="77777777" w:rsidR="00C40A17" w:rsidRPr="00C40A17" w:rsidRDefault="00C40A17" w:rsidP="00C40A17">
      <w:pPr>
        <w:jc w:val="both"/>
        <w:rPr>
          <w:rFonts w:ascii="Calibri" w:hAnsi="Calibri" w:cs="Calibri"/>
          <w:sz w:val="22"/>
          <w:szCs w:val="22"/>
        </w:rPr>
      </w:pPr>
      <w:r w:rsidRPr="00C40A17">
        <w:rPr>
          <w:rFonts w:ascii="Calibri" w:hAnsi="Calibri" w:cs="Calibri"/>
          <w:sz w:val="22"/>
          <w:szCs w:val="22"/>
        </w:rPr>
        <w:t>Teisminio proceso Nr. 3-61-3-01938-2018-5</w:t>
      </w:r>
    </w:p>
    <w:p w14:paraId="4D5AEF93" w14:textId="77777777" w:rsidR="00C40A17" w:rsidRPr="00C40A17" w:rsidRDefault="00C40A17" w:rsidP="00C40A17">
      <w:pPr>
        <w:jc w:val="both"/>
        <w:rPr>
          <w:rFonts w:ascii="Calibri" w:hAnsi="Calibri" w:cs="Calibri"/>
          <w:sz w:val="22"/>
          <w:szCs w:val="22"/>
        </w:rPr>
      </w:pPr>
      <w:r w:rsidRPr="00C40A17">
        <w:rPr>
          <w:rFonts w:ascii="Calibri" w:hAnsi="Calibri" w:cs="Calibri"/>
          <w:sz w:val="22"/>
          <w:szCs w:val="22"/>
        </w:rPr>
        <w:t>Procesinio sprendimo kategorija 7.9</w:t>
      </w:r>
    </w:p>
    <w:p w14:paraId="34A5B49E" w14:textId="77777777" w:rsidR="00C40A17" w:rsidRPr="00C40A17" w:rsidRDefault="000F189C" w:rsidP="00C40A17">
      <w:pPr>
        <w:jc w:val="both"/>
        <w:rPr>
          <w:rFonts w:ascii="Calibri" w:eastAsia="Calibri" w:hAnsi="Calibri"/>
          <w:color w:val="0000FF"/>
          <w:sz w:val="22"/>
          <w:szCs w:val="22"/>
          <w:u w:val="single"/>
          <w:lang w:eastAsia="en-US"/>
        </w:rPr>
      </w:pPr>
      <w:hyperlink r:id="rId11" w:history="1">
        <w:r w:rsidR="00C40A17" w:rsidRPr="00C40A17">
          <w:rPr>
            <w:rFonts w:ascii="Calibri" w:hAnsi="Calibri" w:cs="Calibri"/>
            <w:color w:val="0000FF"/>
            <w:sz w:val="22"/>
            <w:szCs w:val="22"/>
            <w:u w:val="single"/>
          </w:rPr>
          <w:t>Prieiga internete</w:t>
        </w:r>
      </w:hyperlink>
    </w:p>
    <w:p w14:paraId="29B75B3B" w14:textId="05B40CC7" w:rsidR="007412F7" w:rsidRDefault="007412F7" w:rsidP="00917AB2">
      <w:pPr>
        <w:shd w:val="clear" w:color="auto" w:fill="FFFFFF"/>
        <w:tabs>
          <w:tab w:val="left" w:pos="3119"/>
        </w:tabs>
        <w:ind w:right="-1" w:firstLine="567"/>
        <w:jc w:val="both"/>
        <w:rPr>
          <w:rFonts w:ascii="Calibri" w:hAnsi="Calibri" w:cs="Calibri"/>
          <w:sz w:val="22"/>
          <w:szCs w:val="22"/>
        </w:rPr>
      </w:pPr>
    </w:p>
    <w:p w14:paraId="0840BFBD" w14:textId="77777777" w:rsidR="007412F7" w:rsidRPr="007412F7" w:rsidRDefault="007412F7" w:rsidP="007412F7">
      <w:pPr>
        <w:jc w:val="both"/>
        <w:outlineLvl w:val="0"/>
        <w:rPr>
          <w:rFonts w:ascii="Calibri" w:hAnsi="Calibri"/>
          <w:b/>
          <w:sz w:val="22"/>
          <w:szCs w:val="22"/>
          <w:u w:val="single"/>
        </w:rPr>
      </w:pPr>
      <w:bookmarkStart w:id="27" w:name="_Toc462149974"/>
      <w:bookmarkStart w:id="28" w:name="_Toc58851692"/>
      <w:bookmarkStart w:id="29" w:name="_Toc462149986"/>
      <w:bookmarkStart w:id="30" w:name="m_-3647217582678678324__Hlk22630542"/>
      <w:bookmarkStart w:id="31" w:name="_Toc774917"/>
      <w:r w:rsidRPr="007412F7">
        <w:rPr>
          <w:rFonts w:ascii="Calibri" w:hAnsi="Calibri"/>
          <w:b/>
          <w:sz w:val="22"/>
          <w:szCs w:val="22"/>
          <w:u w:val="single"/>
        </w:rPr>
        <w:t>10. Lietuvos Respublikos pilietybė</w:t>
      </w:r>
      <w:bookmarkEnd w:id="27"/>
      <w:bookmarkEnd w:id="28"/>
    </w:p>
    <w:p w14:paraId="37085F05" w14:textId="77777777" w:rsidR="007412F7" w:rsidRPr="007412F7" w:rsidRDefault="007412F7" w:rsidP="007412F7">
      <w:pPr>
        <w:ind w:firstLine="567"/>
        <w:jc w:val="both"/>
        <w:rPr>
          <w:rFonts w:ascii="Calibri" w:eastAsia="Calibri" w:hAnsi="Calibri"/>
          <w:b/>
          <w:sz w:val="22"/>
          <w:szCs w:val="22"/>
          <w:u w:val="single"/>
          <w:lang w:eastAsia="en-US"/>
        </w:rPr>
      </w:pPr>
      <w:r w:rsidRPr="007412F7">
        <w:rPr>
          <w:rFonts w:ascii="Calibri" w:eastAsia="Calibri" w:hAnsi="Calibri"/>
          <w:b/>
          <w:sz w:val="22"/>
          <w:szCs w:val="22"/>
          <w:u w:val="single"/>
          <w:lang w:eastAsia="en-US"/>
        </w:rPr>
        <w:t>10.6. Kiti su Lietuvos Respublikos pilietybe susiję klausimai</w:t>
      </w:r>
    </w:p>
    <w:p w14:paraId="573226D8" w14:textId="77777777" w:rsidR="007412F7" w:rsidRPr="007412F7" w:rsidRDefault="007412F7" w:rsidP="007412F7">
      <w:pPr>
        <w:shd w:val="clear" w:color="auto" w:fill="FFFFFF"/>
        <w:tabs>
          <w:tab w:val="left" w:pos="3119"/>
        </w:tabs>
        <w:ind w:right="-1" w:firstLine="567"/>
        <w:jc w:val="both"/>
        <w:rPr>
          <w:rFonts w:ascii="Calibri" w:hAnsi="Calibri" w:cs="Calibri"/>
          <w:sz w:val="22"/>
          <w:szCs w:val="22"/>
        </w:rPr>
      </w:pPr>
    </w:p>
    <w:p w14:paraId="3A09191E" w14:textId="77777777" w:rsidR="007412F7" w:rsidRPr="007412F7" w:rsidRDefault="007412F7" w:rsidP="007412F7">
      <w:pPr>
        <w:pStyle w:val="Heading2"/>
      </w:pPr>
      <w:bookmarkStart w:id="32" w:name="_Toc58851693"/>
      <w:r w:rsidRPr="007412F7">
        <w:t>Dėl Migracijos departamento teisės priimti sprendimą nutraukti prašymo atkurti pilietybę nagrinėjimo procedūrą</w:t>
      </w:r>
      <w:bookmarkEnd w:id="32"/>
    </w:p>
    <w:p w14:paraId="0A1555EA" w14:textId="77777777" w:rsidR="007412F7" w:rsidRPr="007412F7" w:rsidRDefault="007412F7" w:rsidP="007412F7">
      <w:pPr>
        <w:shd w:val="clear" w:color="auto" w:fill="FFFFFF"/>
        <w:tabs>
          <w:tab w:val="left" w:pos="3119"/>
        </w:tabs>
        <w:ind w:right="-1" w:firstLine="567"/>
        <w:jc w:val="both"/>
        <w:rPr>
          <w:rFonts w:ascii="Calibri" w:hAnsi="Calibri" w:cs="Calibri"/>
          <w:sz w:val="22"/>
          <w:szCs w:val="22"/>
        </w:rPr>
      </w:pPr>
    </w:p>
    <w:p w14:paraId="6F8DA674" w14:textId="24687B64" w:rsidR="007412F7" w:rsidRPr="007412F7" w:rsidRDefault="007412F7" w:rsidP="00C40A17">
      <w:pPr>
        <w:ind w:firstLine="567"/>
        <w:jc w:val="both"/>
        <w:rPr>
          <w:rFonts w:ascii="Calibri" w:eastAsia="Calibri" w:hAnsi="Calibri" w:cs="Calibri"/>
          <w:sz w:val="22"/>
          <w:szCs w:val="22"/>
        </w:rPr>
      </w:pPr>
      <w:r w:rsidRPr="3E77553B">
        <w:rPr>
          <w:rFonts w:ascii="Calibri" w:eastAsia="Calibri" w:hAnsi="Calibri" w:cs="Calibri"/>
          <w:sz w:val="22"/>
          <w:szCs w:val="22"/>
        </w:rPr>
        <w:t>Apžvelgiamoje byloje buvo vertinamas pirmosios instancijos teismo sprendimo, kuriuo netenkinti pareiškėjų skundo reikalavimai panaikinti atsakovo Migracijos departamento prie Lietuvos Respublikos vidaus reikalų ministerijos (toliau – Departamentas) sprendimus</w:t>
      </w:r>
      <w:r w:rsidR="509D524D" w:rsidRPr="3E77553B">
        <w:rPr>
          <w:rFonts w:ascii="Calibri" w:eastAsia="Calibri" w:hAnsi="Calibri" w:cs="Calibri"/>
          <w:sz w:val="22"/>
          <w:szCs w:val="22"/>
        </w:rPr>
        <w:t xml:space="preserve"> (toliau – Sprendimai)</w:t>
      </w:r>
      <w:r w:rsidRPr="3E77553B">
        <w:rPr>
          <w:rFonts w:ascii="Calibri" w:eastAsia="Calibri" w:hAnsi="Calibri" w:cs="Calibri"/>
          <w:sz w:val="22"/>
          <w:szCs w:val="22"/>
        </w:rPr>
        <w:t>, pagrįstumas ir teisėtumas. Departamento sprendimais konstatuota, kad nėra pakankamai duomenų, patvirtinančių, jog pareiškėjų prosenelis iki 1940 m. birželio 15 d. buvo Lietuvos Respublikos pilietis ir pareiškėjai yra Lietuvos Respublikos piliečio palikuonys, bei nutrauktas pareiškėjų prašymų atkurti Lietuvos Respublikos pilietybę nagrinėjimas.</w:t>
      </w:r>
    </w:p>
    <w:p w14:paraId="2837B60A" w14:textId="77777777" w:rsidR="007412F7" w:rsidRPr="007412F7" w:rsidRDefault="007412F7" w:rsidP="00C40A17">
      <w:pPr>
        <w:ind w:firstLine="567"/>
        <w:jc w:val="both"/>
        <w:rPr>
          <w:rFonts w:ascii="Calibri" w:eastAsia="Calibri" w:hAnsi="Calibri" w:cs="Calibri"/>
          <w:sz w:val="22"/>
          <w:szCs w:val="22"/>
        </w:rPr>
      </w:pPr>
      <w:r w:rsidRPr="007412F7">
        <w:rPr>
          <w:rFonts w:ascii="Calibri" w:eastAsia="Calibri" w:hAnsi="Calibri" w:cs="Calibri"/>
          <w:sz w:val="22"/>
          <w:szCs w:val="22"/>
        </w:rPr>
        <w:lastRenderedPageBreak/>
        <w:t xml:space="preserve">LVAT pažymėjo, kad apeliaciniame skunde nebuvo ginčijama, jog pareiškėjai kartu su prašymais nepateikė pakankamai dokumentų, patvirtinančių, kad pareiškėjų prosenelis iki 1940 m. birželio 15 d. buvo Lietuvos Respublikos pilietis ir pareiškėjai yra Lietuvos Respublikos piliečio palikuonys pagal Pilietybės įstatymo 2 straipsnio 7 dalį, kad pareiškėjai turi teisę pasinaudoti galimybe kreiptis į bendrosios kompetencijos teismą dėl juridinę reikšmę turinčio fakto nustatymo, pateikdami netiesioginius įrodymus, kurie leistų daryti pagrįstą prielaidą, kad pareiškėjų prosenelis buvo Lietuvos Respublikos pilietis iki 1940 m. birželio 15 d. pagal tuomet galiojusius teisės aktus (Pilietybės įstatymo 38 str. 6 d.). </w:t>
      </w:r>
    </w:p>
    <w:p w14:paraId="7C4F67E2" w14:textId="3D64417B" w:rsidR="007412F7" w:rsidRPr="007412F7" w:rsidRDefault="007412F7" w:rsidP="00C40A17">
      <w:pPr>
        <w:ind w:firstLine="567"/>
        <w:jc w:val="both"/>
        <w:rPr>
          <w:rFonts w:ascii="Calibri" w:eastAsia="Calibri" w:hAnsi="Calibri" w:cs="Calibri"/>
          <w:sz w:val="22"/>
          <w:szCs w:val="22"/>
        </w:rPr>
      </w:pPr>
      <w:r w:rsidRPr="3E77553B">
        <w:rPr>
          <w:rFonts w:ascii="Calibri" w:eastAsia="Calibri" w:hAnsi="Calibri" w:cs="Calibri"/>
          <w:sz w:val="22"/>
          <w:szCs w:val="22"/>
        </w:rPr>
        <w:t xml:space="preserve">Pareiškėjai apeliacinį skundą grindė tik tuo, kad atsakovo priimti </w:t>
      </w:r>
      <w:r w:rsidR="0CD71213" w:rsidRPr="3E77553B">
        <w:rPr>
          <w:rFonts w:ascii="Calibri" w:eastAsia="Calibri" w:hAnsi="Calibri" w:cs="Calibri"/>
          <w:sz w:val="22"/>
          <w:szCs w:val="22"/>
        </w:rPr>
        <w:t>S</w:t>
      </w:r>
      <w:r w:rsidRPr="3E77553B">
        <w:rPr>
          <w:rFonts w:ascii="Calibri" w:eastAsia="Calibri" w:hAnsi="Calibri" w:cs="Calibri"/>
          <w:sz w:val="22"/>
          <w:szCs w:val="22"/>
        </w:rPr>
        <w:t xml:space="preserve">prendimai nesuderinami su Pilietybės įstatymo 32 ir 33 straipsnių nuostatomis ir LVAT praktika, nes Pilietybės įstatymas nesuteikia kompetencijos atsakovui priimti sprendimus dėl Lietuvos Respublikos pilietybės atkūrimo, atsakovas pareiškėjų pateiktus prašymus kartu su pateiktais dokumentais turėjo išnagrinėti ir perduoti klausimą dėl pareiškėjų prašymų tenkinimo / netenkinimo spręsti vidaus reikalų ministrui, o ne nutraukti prašymų nagrinėjimą pagal </w:t>
      </w:r>
      <w:r w:rsidR="00444F37" w:rsidRPr="00444F37">
        <w:rPr>
          <w:rFonts w:ascii="Calibri" w:eastAsia="Calibri" w:hAnsi="Calibri" w:cs="Calibri"/>
          <w:sz w:val="22"/>
          <w:szCs w:val="22"/>
        </w:rPr>
        <w:t xml:space="preserve">Lietuvos Respublikos pilietybės dokumentų rengimo tvarkos aprašo, patvirtinto Lietuvos Respublikos Vyriausybės 2013 m. balandžio 3 d. nutarimu Nr. 280 (toliau – ir Aprašas), </w:t>
      </w:r>
      <w:r w:rsidRPr="00444F37">
        <w:rPr>
          <w:rFonts w:ascii="Calibri" w:eastAsia="Calibri" w:hAnsi="Calibri" w:cs="Calibri"/>
          <w:sz w:val="22"/>
          <w:szCs w:val="22"/>
        </w:rPr>
        <w:t>20.5 punktą</w:t>
      </w:r>
      <w:r w:rsidRPr="3E77553B">
        <w:rPr>
          <w:rFonts w:ascii="Calibri" w:eastAsia="Calibri" w:hAnsi="Calibri" w:cs="Calibri"/>
          <w:sz w:val="22"/>
          <w:szCs w:val="22"/>
        </w:rPr>
        <w:t>.</w:t>
      </w:r>
    </w:p>
    <w:p w14:paraId="0D514988" w14:textId="77777777" w:rsidR="007412F7" w:rsidRPr="007412F7" w:rsidRDefault="007412F7" w:rsidP="00C40A17">
      <w:pPr>
        <w:ind w:firstLine="567"/>
        <w:jc w:val="both"/>
        <w:rPr>
          <w:rFonts w:ascii="Calibri" w:eastAsia="Calibri" w:hAnsi="Calibri" w:cs="Calibri"/>
          <w:sz w:val="22"/>
          <w:szCs w:val="22"/>
        </w:rPr>
      </w:pPr>
      <w:r w:rsidRPr="007412F7">
        <w:rPr>
          <w:rFonts w:ascii="Calibri" w:eastAsia="Calibri" w:hAnsi="Calibri" w:cs="Calibri"/>
          <w:sz w:val="22"/>
          <w:szCs w:val="22"/>
        </w:rPr>
        <w:t>Atsakydama į pareiškėjų argumentus dėl rėmimosi precedentu ankstesnėje byloje, teisėjų kolegija nurodė, jog LVAT 2020 m. balandžio 9 d. sprendimas administracinėje byloje Nr. eA-3534-520/2020 nelaikytinas precedentu tiek dėl skirtingų faktinių aplinkybių, tiek ir dėl minėtame sprendime analizuotų argumentų ir pateiktų motyvų esmės. Administracinėje byloje Nr. eA-3534-520/2020 priimtame sprendime nustatyta, kad Migracijos departamentas be teisėto pagrindo taikė Aprašo 20.5 punktą ir nutraukė prašymų nagrinėjimą, neparengė siūlymo vidaus reikalų ministrui pagal Pilietybės įstatymo 33 straipsnio 2 punktą dėl to, kad pareiškėjų pateiktas jų proprosenelės užsienio pasas, kuriame nurodyta, kad ji yra Lietuvos Respublikos pilietė, ir kuriame įrašyta jos nepilnametė dukra (pareiškėjų prosenelė), nepagrįstai nebuvo įvertintas kaip dokumentas, patvirtinantis dukros (pareiškėjų prosenelės) Lietuvos Respublikos pilietybę, taip pat ir dėl to, kad atsakovas nevertino ir kitų pareiškėjų dokumentų, kuriais remdamiesi pareiškėjai laikėsi pozicijos, jog jie pateikė tinkamus dokumentus, patvirtinančius, kad jie yra Lietuvos Respublikos piliečio palikuoniai.</w:t>
      </w:r>
    </w:p>
    <w:p w14:paraId="027EA6C6" w14:textId="77777777" w:rsidR="007412F7" w:rsidRPr="007412F7" w:rsidRDefault="007412F7" w:rsidP="00C40A17">
      <w:pPr>
        <w:ind w:firstLine="567"/>
        <w:jc w:val="both"/>
        <w:rPr>
          <w:rFonts w:ascii="Calibri" w:hAnsi="Calibri" w:cs="Calibri"/>
          <w:sz w:val="22"/>
          <w:szCs w:val="22"/>
        </w:rPr>
      </w:pPr>
      <w:r w:rsidRPr="007412F7">
        <w:rPr>
          <w:rFonts w:ascii="Calibri" w:eastAsia="Calibri" w:hAnsi="Calibri" w:cs="Calibri"/>
          <w:sz w:val="22"/>
          <w:szCs w:val="22"/>
        </w:rPr>
        <w:t>Tuo tarpu apžvelgiamoje byloje nustatyta, kad pareiškėjai kartu su prašymu nebuvo pateikę aptarto pobūdžio dokumentų, kuriais remdamasis Departamentas turėjo pagrindą parengti siūlymą vidaus reikalų ministrui dėl Lietuvos Respublikos pilietybės atkūrimo / neatkūrimo pareiškėjams, kaip tai yra nustatyta</w:t>
      </w:r>
      <w:r w:rsidRPr="007412F7">
        <w:rPr>
          <w:rFonts w:ascii="Calibri" w:hAnsi="Calibri" w:cs="Calibri"/>
          <w:sz w:val="22"/>
          <w:szCs w:val="22"/>
        </w:rPr>
        <w:t xml:space="preserve"> Pilietybės įstatymo 33 straipsnio 2 punkte. LVAT akcentavo, kad </w:t>
      </w:r>
      <w:r w:rsidRPr="007412F7">
        <w:rPr>
          <w:rFonts w:ascii="Calibri" w:hAnsi="Calibri" w:cs="Calibri"/>
          <w:sz w:val="22"/>
          <w:szCs w:val="22"/>
          <w:u w:val="single"/>
        </w:rPr>
        <w:t>atsakovas ne atsisakė pareiškėjams atkurti Lietuvos Respublikos pilietybę, o suteikė Pilietybės įstatymo 38 straipsnio 6 dalyje nurodytą galimybę jiems kreiptis į bendrosios kompetencijos teismą, kad būtų nustatytas juridinę reikšmę turintis faktas</w:t>
      </w:r>
      <w:r w:rsidRPr="007412F7">
        <w:rPr>
          <w:rFonts w:ascii="Calibri" w:hAnsi="Calibri" w:cs="Calibri"/>
          <w:sz w:val="22"/>
          <w:szCs w:val="22"/>
        </w:rPr>
        <w:t>.</w:t>
      </w:r>
    </w:p>
    <w:p w14:paraId="4FD0AE87" w14:textId="77777777" w:rsidR="007412F7" w:rsidRPr="007412F7" w:rsidRDefault="007412F7" w:rsidP="007412F7">
      <w:pPr>
        <w:shd w:val="clear" w:color="auto" w:fill="FFFFFF"/>
        <w:tabs>
          <w:tab w:val="left" w:pos="3119"/>
        </w:tabs>
        <w:ind w:right="-1" w:firstLine="567"/>
        <w:jc w:val="both"/>
        <w:rPr>
          <w:rFonts w:ascii="Calibri" w:hAnsi="Calibri" w:cs="Calibri"/>
          <w:sz w:val="22"/>
          <w:szCs w:val="22"/>
        </w:rPr>
      </w:pPr>
      <w:r w:rsidRPr="007412F7">
        <w:rPr>
          <w:rFonts w:ascii="Calibri" w:hAnsi="Calibri" w:cs="Calibri"/>
          <w:sz w:val="22"/>
          <w:szCs w:val="22"/>
        </w:rPr>
        <w:t xml:space="preserve">Aprašo 20.5 punkte nustatyta, kad </w:t>
      </w:r>
      <w:r w:rsidRPr="007412F7">
        <w:rPr>
          <w:rFonts w:ascii="Calibri" w:hAnsi="Calibri" w:cs="Calibri"/>
          <w:sz w:val="22"/>
          <w:szCs w:val="22"/>
          <w:u w:val="single"/>
        </w:rPr>
        <w:t>Departamentas</w:t>
      </w:r>
      <w:r w:rsidRPr="007412F7">
        <w:rPr>
          <w:rFonts w:ascii="Calibri" w:hAnsi="Calibri" w:cs="Calibri"/>
          <w:sz w:val="22"/>
          <w:szCs w:val="22"/>
        </w:rPr>
        <w:t xml:space="preserve">, kuriam Pilietybės įstatymo 33 straipsnio 2 punktu pavesta nagrinėti prašymus dėl Lietuvos Respublikos pilietybės atkūrimo ir teikti vidaus reikalų ministrui siūlymus šiuo klausimu, </w:t>
      </w:r>
      <w:r w:rsidRPr="007412F7">
        <w:rPr>
          <w:rFonts w:ascii="Calibri" w:hAnsi="Calibri" w:cs="Calibri"/>
          <w:sz w:val="22"/>
          <w:szCs w:val="22"/>
          <w:u w:val="single"/>
        </w:rPr>
        <w:t>nutraukia prašymų nagrinėjimą, jeigu konstatuoja, jog nėra pakankamai dokumentų, patvirtinančių, kad asmuo buvo Lietuvos Respublikos pilietis iki 1940 m. birželio 15 d. ar yra jo palikuonis arba kad asmuo gali būti kartu Lietuvos Respublikos ir kitos valstybės pilietis</w:t>
      </w:r>
      <w:r w:rsidRPr="007412F7">
        <w:rPr>
          <w:rFonts w:ascii="Calibri" w:hAnsi="Calibri" w:cs="Calibri"/>
          <w:sz w:val="22"/>
          <w:szCs w:val="22"/>
        </w:rPr>
        <w:t xml:space="preserve">. </w:t>
      </w:r>
    </w:p>
    <w:p w14:paraId="13C45E85" w14:textId="77777777" w:rsidR="007412F7" w:rsidRPr="007412F7" w:rsidRDefault="007412F7" w:rsidP="00C40A17">
      <w:pPr>
        <w:ind w:firstLine="567"/>
        <w:jc w:val="both"/>
        <w:rPr>
          <w:rFonts w:ascii="Calibri" w:eastAsia="Calibri" w:hAnsi="Calibri" w:cs="Calibri"/>
          <w:sz w:val="22"/>
          <w:szCs w:val="22"/>
        </w:rPr>
      </w:pPr>
      <w:r w:rsidRPr="007412F7">
        <w:rPr>
          <w:rFonts w:ascii="Calibri" w:eastAsia="Calibri" w:hAnsi="Calibri" w:cs="Calibri"/>
          <w:sz w:val="22"/>
          <w:szCs w:val="22"/>
        </w:rPr>
        <w:t>Atsižvelgęs į aptartas aplinkybes, LVAT konstatavo, kad atsakovas, priimdamas Sprendimus, pagrįstai taikė Aprašo 20.5 punktą, priimti Sprendimai nepažeidė pareiškėjų teisių ir teisėtų interesų, priešingai, jie priimti tam, kad būtų sudarytos galimybės pareiškėjams pateikti dokumentus, patvirtinančius, jog jų prosenelis buvo Lietuvos Respublikos pilietis iki 1940 m. birželio 15 d. pagal tuomet galiojusius teisės aktus, ir pareiškėjai šia galimybe pasinaudojo. Kadangi pareiškėjų kartu su prašymu pateiktų dokumentų atsakovui nepakako tam, kad jis galėtų pateikti siūlymą vidaus reikalų ministrui, todėl nebuvo faktinio ir teisinio pagrindo konstatuoti, kad atsakovas turėjo teikti siūlymą vidaus reikalų ministrui, o priimti Sprendimai nepagrįsti ir neteisėti.</w:t>
      </w:r>
    </w:p>
    <w:p w14:paraId="6F6AC6E4" w14:textId="77777777" w:rsidR="007412F7" w:rsidRPr="007412F7" w:rsidRDefault="007412F7" w:rsidP="00C40A17">
      <w:pPr>
        <w:ind w:firstLine="567"/>
        <w:jc w:val="both"/>
        <w:rPr>
          <w:rFonts w:ascii="Calibri" w:eastAsia="Calibri" w:hAnsi="Calibri" w:cs="Calibri"/>
          <w:sz w:val="22"/>
          <w:szCs w:val="22"/>
        </w:rPr>
      </w:pPr>
      <w:r w:rsidRPr="007412F7">
        <w:rPr>
          <w:rFonts w:ascii="Calibri" w:eastAsia="Calibri" w:hAnsi="Calibri" w:cs="Calibri"/>
          <w:sz w:val="22"/>
          <w:szCs w:val="22"/>
        </w:rPr>
        <w:t>LVAT nutartimi pirmosios instancijos teismo sprendimas paliktas nepakeistas, o apeliacinis skundas atmestas.</w:t>
      </w:r>
    </w:p>
    <w:p w14:paraId="6E5D09F8" w14:textId="77777777" w:rsidR="007412F7" w:rsidRPr="007412F7" w:rsidRDefault="007412F7" w:rsidP="00C40A17">
      <w:pPr>
        <w:ind w:firstLine="567"/>
        <w:jc w:val="both"/>
        <w:rPr>
          <w:rFonts w:ascii="Calibri" w:eastAsia="Calibri" w:hAnsi="Calibri" w:cs="Calibri"/>
          <w:sz w:val="22"/>
          <w:szCs w:val="22"/>
        </w:rPr>
      </w:pPr>
    </w:p>
    <w:p w14:paraId="025453BA" w14:textId="77777777" w:rsidR="007412F7" w:rsidRPr="007412F7" w:rsidRDefault="007412F7" w:rsidP="007412F7">
      <w:pPr>
        <w:jc w:val="both"/>
        <w:rPr>
          <w:rFonts w:ascii="Calibri" w:eastAsia="Calibri" w:hAnsi="Calibri"/>
          <w:bCs/>
          <w:sz w:val="22"/>
          <w:szCs w:val="22"/>
          <w:lang w:eastAsia="en-US"/>
        </w:rPr>
      </w:pPr>
      <w:r w:rsidRPr="007412F7">
        <w:rPr>
          <w:rFonts w:ascii="Calibri" w:eastAsia="Calibri" w:hAnsi="Calibri"/>
          <w:bCs/>
          <w:sz w:val="22"/>
          <w:szCs w:val="22"/>
          <w:lang w:eastAsia="en-US"/>
        </w:rPr>
        <w:t>2020 m. spalio 14 d. nutartis administracinėje byloje Nr. eA-4823-520/2020</w:t>
      </w:r>
    </w:p>
    <w:p w14:paraId="781CB7F2" w14:textId="77777777" w:rsidR="007412F7" w:rsidRPr="007412F7" w:rsidRDefault="007412F7" w:rsidP="007412F7">
      <w:pPr>
        <w:jc w:val="both"/>
        <w:rPr>
          <w:rFonts w:ascii="Calibri" w:eastAsia="Calibri" w:hAnsi="Calibri"/>
          <w:bCs/>
          <w:sz w:val="22"/>
          <w:szCs w:val="22"/>
          <w:lang w:eastAsia="en-US"/>
        </w:rPr>
      </w:pPr>
      <w:r w:rsidRPr="007412F7">
        <w:rPr>
          <w:rFonts w:ascii="Calibri" w:eastAsia="Calibri" w:hAnsi="Calibri"/>
          <w:bCs/>
          <w:sz w:val="22"/>
          <w:szCs w:val="22"/>
          <w:lang w:eastAsia="en-US"/>
        </w:rPr>
        <w:t>Teisminio proceso Nr. 3-61-3-01672-2020-3</w:t>
      </w:r>
    </w:p>
    <w:p w14:paraId="00C9B3A9" w14:textId="77777777" w:rsidR="007412F7" w:rsidRPr="007412F7" w:rsidRDefault="007412F7" w:rsidP="007412F7">
      <w:pPr>
        <w:jc w:val="both"/>
        <w:rPr>
          <w:rFonts w:ascii="Calibri" w:eastAsia="Calibri" w:hAnsi="Calibri"/>
          <w:bCs/>
          <w:sz w:val="22"/>
          <w:szCs w:val="22"/>
          <w:lang w:eastAsia="en-US"/>
        </w:rPr>
      </w:pPr>
      <w:r w:rsidRPr="007412F7">
        <w:rPr>
          <w:rFonts w:ascii="Calibri" w:eastAsia="Calibri" w:hAnsi="Calibri"/>
          <w:bCs/>
          <w:sz w:val="22"/>
          <w:szCs w:val="22"/>
          <w:lang w:eastAsia="en-US"/>
        </w:rPr>
        <w:t>Procesinio sprendimo kategorija 10.5</w:t>
      </w:r>
    </w:p>
    <w:p w14:paraId="54FDFE6F" w14:textId="77777777" w:rsidR="007412F7" w:rsidRPr="007412F7" w:rsidRDefault="000F189C" w:rsidP="007412F7">
      <w:pPr>
        <w:jc w:val="both"/>
        <w:rPr>
          <w:rFonts w:ascii="Calibri" w:hAnsi="Calibri" w:cs="Calibri"/>
          <w:color w:val="0000FF"/>
          <w:sz w:val="22"/>
          <w:szCs w:val="22"/>
          <w:u w:val="single"/>
        </w:rPr>
      </w:pPr>
      <w:hyperlink r:id="rId12" w:history="1">
        <w:r w:rsidR="007412F7" w:rsidRPr="007412F7">
          <w:rPr>
            <w:rFonts w:ascii="Calibri" w:hAnsi="Calibri" w:cs="Calibri"/>
            <w:color w:val="0000FF"/>
            <w:sz w:val="22"/>
            <w:szCs w:val="22"/>
            <w:u w:val="single"/>
          </w:rPr>
          <w:t>Prieiga internete</w:t>
        </w:r>
      </w:hyperlink>
      <w:r w:rsidR="007412F7" w:rsidRPr="007412F7">
        <w:rPr>
          <w:rFonts w:ascii="Calibri" w:hAnsi="Calibri" w:cs="Calibri"/>
          <w:color w:val="0000FF"/>
          <w:sz w:val="22"/>
          <w:szCs w:val="22"/>
          <w:u w:val="single"/>
        </w:rPr>
        <w:t xml:space="preserve"> </w:t>
      </w:r>
    </w:p>
    <w:p w14:paraId="582BFE2B" w14:textId="74B405DA" w:rsidR="007412F7" w:rsidRDefault="007412F7" w:rsidP="00350D97">
      <w:pPr>
        <w:shd w:val="clear" w:color="auto" w:fill="FFFFFF"/>
        <w:tabs>
          <w:tab w:val="left" w:pos="3119"/>
        </w:tabs>
        <w:ind w:right="-1"/>
        <w:jc w:val="both"/>
        <w:rPr>
          <w:rFonts w:ascii="Calibri" w:hAnsi="Calibri" w:cs="Calibri"/>
          <w:sz w:val="22"/>
          <w:szCs w:val="22"/>
        </w:rPr>
      </w:pPr>
    </w:p>
    <w:p w14:paraId="1ADE22BE" w14:textId="77777777" w:rsidR="007A01BA" w:rsidRPr="007A01BA" w:rsidRDefault="007A01BA" w:rsidP="007A01BA">
      <w:pPr>
        <w:jc w:val="both"/>
        <w:outlineLvl w:val="0"/>
        <w:rPr>
          <w:rFonts w:ascii="Calibri" w:hAnsi="Calibri"/>
          <w:b/>
          <w:sz w:val="22"/>
          <w:szCs w:val="22"/>
          <w:u w:val="single"/>
        </w:rPr>
      </w:pPr>
      <w:bookmarkStart w:id="33" w:name="_Toc462149976"/>
      <w:bookmarkStart w:id="34" w:name="_Toc58851694"/>
      <w:r w:rsidRPr="007A01BA">
        <w:rPr>
          <w:rFonts w:ascii="Calibri" w:hAnsi="Calibri"/>
          <w:b/>
          <w:sz w:val="22"/>
          <w:szCs w:val="22"/>
          <w:u w:val="single"/>
        </w:rPr>
        <w:t>12. Mokesčiai, įmokos ir kiti privalomieji mokėjimai</w:t>
      </w:r>
      <w:bookmarkEnd w:id="33"/>
      <w:bookmarkEnd w:id="34"/>
    </w:p>
    <w:p w14:paraId="56E79D80" w14:textId="77777777" w:rsidR="007A01BA" w:rsidRPr="007A01BA" w:rsidRDefault="007A01BA" w:rsidP="007A01BA">
      <w:pPr>
        <w:ind w:firstLine="567"/>
        <w:jc w:val="both"/>
        <w:rPr>
          <w:rFonts w:ascii="Calibri" w:eastAsia="Calibri" w:hAnsi="Calibri"/>
          <w:b/>
          <w:sz w:val="22"/>
          <w:szCs w:val="22"/>
          <w:u w:val="single"/>
          <w:lang w:eastAsia="en-US"/>
        </w:rPr>
      </w:pPr>
      <w:r w:rsidRPr="007A01BA">
        <w:rPr>
          <w:rFonts w:ascii="Calibri" w:eastAsia="Calibri" w:hAnsi="Calibri"/>
          <w:b/>
          <w:sz w:val="22"/>
          <w:szCs w:val="22"/>
          <w:u w:val="single"/>
          <w:lang w:eastAsia="en-US"/>
        </w:rPr>
        <w:t>12.8. Mokestinis patikrinimas ir mokestinis tyrimas</w:t>
      </w:r>
    </w:p>
    <w:p w14:paraId="0E922679" w14:textId="77777777" w:rsidR="007A01BA" w:rsidRDefault="007A01BA" w:rsidP="007A01BA">
      <w:pPr>
        <w:jc w:val="both"/>
        <w:rPr>
          <w:rFonts w:asciiTheme="minorHAnsi" w:hAnsiTheme="minorHAnsi" w:cstheme="minorHAnsi"/>
          <w:sz w:val="22"/>
          <w:szCs w:val="22"/>
        </w:rPr>
      </w:pPr>
    </w:p>
    <w:p w14:paraId="17DAA3CF" w14:textId="77777777" w:rsidR="007A01BA" w:rsidRPr="00FB7FA2" w:rsidRDefault="007A01BA" w:rsidP="00FB7FA2">
      <w:pPr>
        <w:pStyle w:val="Heading2"/>
      </w:pPr>
      <w:bookmarkStart w:id="35" w:name="_Toc58851695"/>
      <w:r w:rsidRPr="00FB7FA2">
        <w:t>Dėl mokesčių administratoriaus atsisakymo pratęsti terminą pastaboms dėl patikrinimo akto pateikti kaip savarankiško administracinės bylos nagrinėjimo dalyko</w:t>
      </w:r>
      <w:bookmarkEnd w:id="35"/>
    </w:p>
    <w:p w14:paraId="39CB0A5A" w14:textId="77777777" w:rsidR="007A01BA" w:rsidRPr="007A01BA" w:rsidRDefault="007A01BA" w:rsidP="007A01BA">
      <w:pPr>
        <w:shd w:val="clear" w:color="auto" w:fill="FFFFFF"/>
        <w:tabs>
          <w:tab w:val="left" w:pos="3119"/>
        </w:tabs>
        <w:ind w:right="-1" w:firstLine="567"/>
        <w:jc w:val="both"/>
        <w:rPr>
          <w:rFonts w:ascii="Calibri" w:hAnsi="Calibri" w:cs="Calibri"/>
          <w:sz w:val="22"/>
          <w:szCs w:val="22"/>
        </w:rPr>
      </w:pPr>
    </w:p>
    <w:p w14:paraId="3D58E37B" w14:textId="72411743" w:rsidR="007A01BA" w:rsidRPr="007A01BA" w:rsidRDefault="007A01BA" w:rsidP="007A01BA">
      <w:pPr>
        <w:shd w:val="clear" w:color="auto" w:fill="FFFFFF"/>
        <w:tabs>
          <w:tab w:val="left" w:pos="3119"/>
        </w:tabs>
        <w:ind w:right="-1" w:firstLine="567"/>
        <w:jc w:val="both"/>
        <w:rPr>
          <w:rFonts w:ascii="Calibri" w:hAnsi="Calibri" w:cs="Calibri"/>
          <w:sz w:val="22"/>
          <w:szCs w:val="22"/>
        </w:rPr>
      </w:pPr>
      <w:r w:rsidRPr="007A01BA">
        <w:rPr>
          <w:rFonts w:ascii="Calibri" w:hAnsi="Calibri" w:cs="Calibri"/>
          <w:sz w:val="22"/>
          <w:szCs w:val="22"/>
        </w:rPr>
        <w:t>Apžvelgiamoje byloje nagrinėtas ginčas kilo dėl centrinio mokesčių administratoriaus sprendimo, kuriuo atsisakyta pratęsti terminą pastaboms dėl atlikus pareiškėjo mokestinį patikrinimą surašyto patikrinimo akto pateikti (mokesčių mokėtojas, nesutikdamas su patikrinimo akte papildomai apskaičiuotomis mokesčių ir su jais susijusiomis sumomis, taip pat norėdamas pagrįsti kitas aplinkybes, kurios bus svarbios tvirtinat patikrinimo rezultatus, turi teisę per 30 dienų nuo patikrinimo akto įteikimo jam dienos pateikti rašytines pastabas dėl patikrinimo akto; mokesčių mokėtojo prašymu pastabų dėl patikrinimo akto pateikimo terminą dėl svarbių priežasčių dar 30 dienų gali pratęsti atitinkamo mokesčių administratoriaus viršininkas arba jo tam įgaliotas pareigūnas (Mokesčių administravimo įstatymo 131 str. 1 ir 2 d.).</w:t>
      </w:r>
    </w:p>
    <w:p w14:paraId="161BB5C9" w14:textId="468BBFDA" w:rsidR="007A01BA" w:rsidRDefault="007A01BA" w:rsidP="007A01BA">
      <w:pPr>
        <w:shd w:val="clear" w:color="auto" w:fill="FFFFFF"/>
        <w:tabs>
          <w:tab w:val="left" w:pos="3119"/>
        </w:tabs>
        <w:ind w:right="-1" w:firstLine="567"/>
        <w:jc w:val="both"/>
        <w:rPr>
          <w:rFonts w:asciiTheme="minorHAnsi" w:hAnsiTheme="minorHAnsi" w:cstheme="minorHAnsi"/>
          <w:sz w:val="22"/>
          <w:szCs w:val="22"/>
        </w:rPr>
      </w:pPr>
      <w:r w:rsidRPr="007A01BA">
        <w:rPr>
          <w:rFonts w:ascii="Calibri" w:hAnsi="Calibri" w:cs="Calibri"/>
          <w:sz w:val="22"/>
          <w:szCs w:val="22"/>
        </w:rPr>
        <w:t>LVAT pirmiausia akcentavo, kad mokestinio patikrinimo rezultatai įforminami patikrinimo aktu, o patikrinimo aktu įforminti mokestinio patikrinimo rezultatai patvirtinami sprendimu dėl patikrinimo akto tvirtinimo arba patikrinimo pažyma (Mokesčių administravimo įstatymo 128 str. 1 ir 2 d.). Mokesčių mokėtojo teisė pateikti rašytines pastabas dėl patikrinimo akto, numatyta Mokesčių administravimo įstatymo 131 straipsnio 1 dalyje, yra jo teisės būti išklausytam įgyvendinimo forma mokesčių administravimo procedūroje (mokestiniame patikrinime). Su šios mokesčių mokėtojo teisės įgyvendinimu yra susijęs ir mokesčių</w:t>
      </w:r>
      <w:r>
        <w:rPr>
          <w:rFonts w:asciiTheme="minorHAnsi" w:hAnsiTheme="minorHAnsi" w:cstheme="minorHAnsi"/>
          <w:sz w:val="22"/>
          <w:szCs w:val="22"/>
        </w:rPr>
        <w:t xml:space="preserve"> administratoriaus sprendimas dėl pastabų pateikimo termino pratęsimo (nepratęsimo). Taigi ginčijamas </w:t>
      </w:r>
      <w:r>
        <w:rPr>
          <w:rFonts w:asciiTheme="minorHAnsi" w:hAnsiTheme="minorHAnsi" w:cstheme="minorHAnsi"/>
          <w:sz w:val="22"/>
          <w:szCs w:val="22"/>
          <w:u w:val="single"/>
        </w:rPr>
        <w:t>atsakovo sprendimas yra tarpinis sprendimas, kuriuo išspręstas procedūrinis klausimas, nesukeliantis pareiškėjui materialinio teisinio pobūdžio pasekmių ir tiesiogiai nesusijęs su jo materialinių teisių ar pareigų atsiradimu, pasikeitimu ar pasibaigimu mokesčių teisės srityje</w:t>
      </w:r>
      <w:r>
        <w:rPr>
          <w:rFonts w:asciiTheme="minorHAnsi" w:hAnsiTheme="minorHAnsi" w:cstheme="minorHAnsi"/>
          <w:sz w:val="22"/>
          <w:szCs w:val="22"/>
        </w:rPr>
        <w:t xml:space="preserve">. </w:t>
      </w:r>
    </w:p>
    <w:p w14:paraId="40199A2A" w14:textId="77777777" w:rsidR="007A01BA" w:rsidRPr="007A01BA" w:rsidRDefault="007A01BA" w:rsidP="007A01BA">
      <w:pPr>
        <w:shd w:val="clear" w:color="auto" w:fill="FFFFFF"/>
        <w:tabs>
          <w:tab w:val="left" w:pos="3119"/>
        </w:tabs>
        <w:ind w:right="-1" w:firstLine="567"/>
        <w:jc w:val="both"/>
        <w:rPr>
          <w:rFonts w:ascii="Calibri" w:hAnsi="Calibri" w:cs="Calibri"/>
          <w:sz w:val="22"/>
          <w:szCs w:val="22"/>
        </w:rPr>
      </w:pPr>
      <w:r w:rsidRPr="007A01BA">
        <w:rPr>
          <w:rFonts w:ascii="Calibri" w:hAnsi="Calibri" w:cs="Calibri"/>
          <w:sz w:val="22"/>
          <w:szCs w:val="22"/>
        </w:rPr>
        <w:t>Priminusi LVAT praktiką, kad administraciniam teismui negali būti teikiamas skundas dėl tarpinių viešojo administravimo subjekto priimamų dokumentų, kuriais siekiama parengti ar sudaryti prielaidas priimti galutinį sprendimą, o argumentai dėl tarpinių aktų pagrįstumo ir teisėtumo paprastai gali būti nurodyti grindžiant skundą dėl galutinio sprendimo, kurio tarpiniais dokumentais jie yra (t. y. administracinis teismas, nagrinėdamas skundą dėl tam tikrą administracinę procedūrą užbaigiančio sprendimo, gali nagrinėti ir tarpinių (procedūrinių) aktų (sprendimų), kurie atskirai administraciniam teismui neskundžiami, teisėtumą ir pagrįstumą bei jų poveikį galutinio sprendimo teisėtumui ir pagrįstumui), teisėjų kolegija pripažino, jog pirmosios instancijos teismas pagrįstai nutraukė administracinę bylą dėl aptariamo pareiškėjo reikalavimo.</w:t>
      </w:r>
    </w:p>
    <w:p w14:paraId="313C154D" w14:textId="393CF2F3" w:rsidR="007A01BA" w:rsidRPr="007A01BA" w:rsidRDefault="007A01BA" w:rsidP="007A01BA">
      <w:pPr>
        <w:shd w:val="clear" w:color="auto" w:fill="FFFFFF"/>
        <w:tabs>
          <w:tab w:val="left" w:pos="3119"/>
        </w:tabs>
        <w:ind w:right="-1" w:firstLine="567"/>
        <w:jc w:val="both"/>
        <w:rPr>
          <w:rFonts w:ascii="Calibri" w:hAnsi="Calibri" w:cs="Calibri"/>
          <w:sz w:val="22"/>
          <w:szCs w:val="22"/>
        </w:rPr>
      </w:pPr>
    </w:p>
    <w:p w14:paraId="6909EEDB" w14:textId="77777777" w:rsidR="007A01BA" w:rsidRDefault="007A01BA" w:rsidP="007A01BA">
      <w:pPr>
        <w:jc w:val="both"/>
        <w:rPr>
          <w:rFonts w:asciiTheme="minorHAnsi" w:hAnsiTheme="minorHAnsi" w:cstheme="minorHAnsi"/>
          <w:sz w:val="22"/>
          <w:szCs w:val="22"/>
        </w:rPr>
      </w:pPr>
      <w:r>
        <w:rPr>
          <w:rFonts w:asciiTheme="minorHAnsi" w:hAnsiTheme="minorHAnsi" w:cstheme="minorHAnsi"/>
          <w:sz w:val="22"/>
          <w:szCs w:val="22"/>
        </w:rPr>
        <w:t>2020 m. spalio 7 d. nutartis administracinėje byloje Nr. eA-1258-442/2020</w:t>
      </w:r>
    </w:p>
    <w:p w14:paraId="3D1D3721" w14:textId="77777777" w:rsidR="007A01BA" w:rsidRDefault="007A01BA" w:rsidP="007A01BA">
      <w:pPr>
        <w:jc w:val="both"/>
        <w:rPr>
          <w:rFonts w:asciiTheme="minorHAnsi" w:hAnsiTheme="minorHAnsi" w:cstheme="minorHAnsi"/>
          <w:sz w:val="22"/>
          <w:szCs w:val="22"/>
        </w:rPr>
      </w:pPr>
      <w:r>
        <w:rPr>
          <w:rFonts w:asciiTheme="minorHAnsi" w:hAnsiTheme="minorHAnsi" w:cstheme="minorHAnsi"/>
          <w:sz w:val="22"/>
          <w:szCs w:val="22"/>
        </w:rPr>
        <w:t>Teisminio proceso Nr. 3-61-3-02321-2018-2</w:t>
      </w:r>
    </w:p>
    <w:p w14:paraId="24D8B239" w14:textId="0ED0E0D1" w:rsidR="007A01BA" w:rsidRDefault="007A01BA" w:rsidP="3E77553B">
      <w:pPr>
        <w:jc w:val="both"/>
        <w:rPr>
          <w:rFonts w:asciiTheme="minorHAnsi" w:hAnsiTheme="minorHAnsi" w:cstheme="minorBidi"/>
          <w:sz w:val="22"/>
          <w:szCs w:val="22"/>
        </w:rPr>
      </w:pPr>
      <w:r w:rsidRPr="3E77553B">
        <w:rPr>
          <w:rFonts w:asciiTheme="minorHAnsi" w:hAnsiTheme="minorHAnsi" w:cstheme="minorBidi"/>
          <w:sz w:val="22"/>
          <w:szCs w:val="22"/>
        </w:rPr>
        <w:t>Procesinio sprendimo kategorijos</w:t>
      </w:r>
      <w:r w:rsidR="7DC7078F" w:rsidRPr="3E77553B">
        <w:rPr>
          <w:rFonts w:asciiTheme="minorHAnsi" w:hAnsiTheme="minorHAnsi" w:cstheme="minorBidi"/>
          <w:sz w:val="22"/>
          <w:szCs w:val="22"/>
        </w:rPr>
        <w:t>:</w:t>
      </w:r>
      <w:r w:rsidRPr="3E77553B">
        <w:rPr>
          <w:rFonts w:asciiTheme="minorHAnsi" w:hAnsiTheme="minorHAnsi" w:cstheme="minorBidi"/>
          <w:sz w:val="22"/>
          <w:szCs w:val="22"/>
        </w:rPr>
        <w:t xml:space="preserve"> 12.12; 53.1</w:t>
      </w:r>
    </w:p>
    <w:p w14:paraId="283A0841" w14:textId="77777777" w:rsidR="007A01BA" w:rsidRDefault="000F189C" w:rsidP="007A01BA">
      <w:pPr>
        <w:jc w:val="both"/>
        <w:rPr>
          <w:rFonts w:asciiTheme="minorHAnsi" w:hAnsiTheme="minorHAnsi" w:cstheme="minorHAnsi"/>
          <w:sz w:val="22"/>
          <w:szCs w:val="22"/>
        </w:rPr>
      </w:pPr>
      <w:hyperlink r:id="rId13" w:history="1">
        <w:r w:rsidR="007A01BA">
          <w:rPr>
            <w:rStyle w:val="Hyperlink"/>
            <w:rFonts w:asciiTheme="minorHAnsi" w:hAnsiTheme="minorHAnsi" w:cstheme="minorHAnsi"/>
            <w:sz w:val="22"/>
            <w:szCs w:val="22"/>
          </w:rPr>
          <w:t>Prieiga internete</w:t>
        </w:r>
      </w:hyperlink>
    </w:p>
    <w:p w14:paraId="555B6D65" w14:textId="77777777" w:rsidR="007A01BA" w:rsidRPr="007A01BA" w:rsidRDefault="007A01BA" w:rsidP="007A01BA">
      <w:pPr>
        <w:shd w:val="clear" w:color="auto" w:fill="FFFFFF"/>
        <w:tabs>
          <w:tab w:val="left" w:pos="3119"/>
        </w:tabs>
        <w:ind w:right="-1" w:firstLine="567"/>
        <w:jc w:val="both"/>
        <w:rPr>
          <w:rFonts w:ascii="Calibri" w:hAnsi="Calibri" w:cs="Calibri"/>
          <w:sz w:val="22"/>
          <w:szCs w:val="22"/>
        </w:rPr>
      </w:pPr>
    </w:p>
    <w:p w14:paraId="5E4DD7FF" w14:textId="77777777" w:rsidR="007A01BA" w:rsidRPr="007A01BA" w:rsidRDefault="007A01BA" w:rsidP="007A01BA">
      <w:pPr>
        <w:ind w:firstLine="567"/>
        <w:jc w:val="both"/>
        <w:rPr>
          <w:rFonts w:ascii="Calibri" w:eastAsia="Calibri" w:hAnsi="Calibri"/>
          <w:b/>
          <w:sz w:val="22"/>
          <w:szCs w:val="22"/>
          <w:u w:val="single"/>
          <w:lang w:eastAsia="en-US"/>
        </w:rPr>
      </w:pPr>
      <w:r w:rsidRPr="007A01BA">
        <w:rPr>
          <w:rFonts w:ascii="Calibri" w:eastAsia="Calibri" w:hAnsi="Calibri"/>
          <w:b/>
          <w:sz w:val="22"/>
          <w:szCs w:val="22"/>
          <w:u w:val="single"/>
          <w:lang w:eastAsia="en-US"/>
        </w:rPr>
        <w:t>12.18. Vietinės rinkliavos</w:t>
      </w:r>
    </w:p>
    <w:p w14:paraId="6B64488C" w14:textId="77777777" w:rsidR="007A01BA" w:rsidRPr="007A01BA" w:rsidRDefault="007A01BA" w:rsidP="007A01BA">
      <w:pPr>
        <w:shd w:val="clear" w:color="auto" w:fill="FFFFFF"/>
        <w:tabs>
          <w:tab w:val="left" w:pos="3119"/>
        </w:tabs>
        <w:ind w:right="-1" w:firstLine="567"/>
        <w:jc w:val="both"/>
        <w:rPr>
          <w:rFonts w:ascii="Calibri" w:hAnsi="Calibri" w:cs="Calibri"/>
          <w:sz w:val="22"/>
          <w:szCs w:val="22"/>
        </w:rPr>
      </w:pPr>
    </w:p>
    <w:p w14:paraId="014006D1" w14:textId="77777777" w:rsidR="007A01BA" w:rsidRDefault="007A01BA" w:rsidP="007A01BA">
      <w:pPr>
        <w:jc w:val="both"/>
        <w:rPr>
          <w:rFonts w:asciiTheme="minorHAnsi" w:hAnsiTheme="minorHAnsi" w:cstheme="minorHAnsi"/>
          <w:i/>
          <w:iCs/>
          <w:sz w:val="22"/>
          <w:szCs w:val="22"/>
        </w:rPr>
      </w:pPr>
      <w:r>
        <w:rPr>
          <w:rFonts w:asciiTheme="minorHAnsi" w:hAnsiTheme="minorHAnsi" w:cstheme="minorHAnsi"/>
          <w:i/>
          <w:iCs/>
          <w:sz w:val="22"/>
          <w:szCs w:val="22"/>
        </w:rPr>
        <w:t>Dėl avansu sumokėtos vietinės rinkliavos grąžinimo, kai paslaugos, su kuria siejama ši rinkliava, rinkliavos mokėtojui nesuteiktos ir nebebus suteiktos</w:t>
      </w:r>
    </w:p>
    <w:p w14:paraId="10523F65" w14:textId="77777777" w:rsidR="007A01BA" w:rsidRPr="007A01BA" w:rsidRDefault="007A01BA" w:rsidP="007A01BA">
      <w:pPr>
        <w:shd w:val="clear" w:color="auto" w:fill="FFFFFF"/>
        <w:tabs>
          <w:tab w:val="left" w:pos="3119"/>
        </w:tabs>
        <w:ind w:right="-1" w:firstLine="567"/>
        <w:jc w:val="both"/>
        <w:rPr>
          <w:rFonts w:ascii="Calibri" w:hAnsi="Calibri" w:cs="Calibri"/>
          <w:sz w:val="22"/>
          <w:szCs w:val="22"/>
        </w:rPr>
      </w:pPr>
    </w:p>
    <w:p w14:paraId="3E56B366" w14:textId="3CF11DF2" w:rsidR="007A01BA" w:rsidRPr="007A01BA" w:rsidRDefault="007A01BA" w:rsidP="007A01BA">
      <w:pPr>
        <w:shd w:val="clear" w:color="auto" w:fill="FFFFFF"/>
        <w:tabs>
          <w:tab w:val="left" w:pos="3119"/>
        </w:tabs>
        <w:ind w:right="-1" w:firstLine="567"/>
        <w:jc w:val="both"/>
        <w:rPr>
          <w:rFonts w:ascii="Calibri" w:hAnsi="Calibri" w:cs="Calibri"/>
          <w:sz w:val="22"/>
          <w:szCs w:val="22"/>
        </w:rPr>
      </w:pPr>
      <w:r w:rsidRPr="007A01BA">
        <w:rPr>
          <w:rFonts w:ascii="Calibri" w:hAnsi="Calibri" w:cs="Calibri"/>
          <w:sz w:val="22"/>
          <w:szCs w:val="22"/>
        </w:rPr>
        <w:t>Apžvelgiamoje byloje ginčas kilo dėl pareiškėjo reikalavimo priteisti 9</w:t>
      </w:r>
      <w:r>
        <w:rPr>
          <w:rFonts w:ascii="Calibri" w:hAnsi="Calibri" w:cs="Calibri"/>
          <w:sz w:val="22"/>
          <w:szCs w:val="22"/>
        </w:rPr>
        <w:t>,</w:t>
      </w:r>
      <w:r w:rsidRPr="007A01BA">
        <w:rPr>
          <w:rFonts w:ascii="Calibri" w:hAnsi="Calibri" w:cs="Calibri"/>
          <w:sz w:val="22"/>
          <w:szCs w:val="22"/>
        </w:rPr>
        <w:t xml:space="preserve">30 Eur iš Kauno miesto savivaldybės administracijos (atsakovo). </w:t>
      </w:r>
    </w:p>
    <w:p w14:paraId="1F2D2DC1" w14:textId="77777777" w:rsidR="007A01BA" w:rsidRPr="007A01BA" w:rsidRDefault="007A01BA" w:rsidP="007A01BA">
      <w:pPr>
        <w:shd w:val="clear" w:color="auto" w:fill="FFFFFF"/>
        <w:tabs>
          <w:tab w:val="left" w:pos="3119"/>
        </w:tabs>
        <w:ind w:right="-1" w:firstLine="567"/>
        <w:jc w:val="both"/>
        <w:rPr>
          <w:rFonts w:ascii="Calibri" w:hAnsi="Calibri" w:cs="Calibri"/>
          <w:sz w:val="22"/>
          <w:szCs w:val="22"/>
        </w:rPr>
      </w:pPr>
      <w:r w:rsidRPr="007A01BA">
        <w:rPr>
          <w:rFonts w:ascii="Calibri" w:hAnsi="Calibri" w:cs="Calibri"/>
          <w:sz w:val="22"/>
          <w:szCs w:val="22"/>
        </w:rPr>
        <w:t xml:space="preserve">Šiuo klausimu nustatyta, kad pareiškėjas turėjo automobilių stovėjimo nustatytose apmokestintose Kauno miesto vietose mokėjimo kortelę, kurios likutis 32,40 Lt (9,38 Eur), ir jis 2018 m. gegužės 8 d. kreipėsi į atsakovą, prašydamas sudaryti teisines ir praktines galimybes išnaudoti mokėjimo kortelėje likusius pinigus sumokant už transporto priemonių stovėjimą Kaune, o nesant tokios galimybės, šiuos pinigus pervesti į nurodytą sąskaitą. Tačiau atsakovas netenkino šio prašymo, nurodydamas, kad pagal Kauno miesto savivaldybės tarybos patvirtintus šios rinkliavos nuostatus už parkavimą mokėjimo kortelėmis buvo galima atsiskaityti tik iki 2017 m. gruodžio 31 d., o pareiškėjo nurodyto vietinės rinkliavos grąžinimo būdo nėra numatyta. </w:t>
      </w:r>
    </w:p>
    <w:p w14:paraId="2341113E" w14:textId="5BC47BA9" w:rsidR="007A01BA" w:rsidRPr="007A01BA" w:rsidRDefault="007A01BA" w:rsidP="3E77553B">
      <w:pPr>
        <w:shd w:val="clear" w:color="auto" w:fill="FFFFFF" w:themeFill="background1"/>
        <w:tabs>
          <w:tab w:val="left" w:pos="3119"/>
        </w:tabs>
        <w:ind w:right="-1" w:firstLine="567"/>
        <w:jc w:val="both"/>
        <w:rPr>
          <w:rFonts w:ascii="Calibri" w:hAnsi="Calibri" w:cs="Calibri"/>
          <w:sz w:val="22"/>
          <w:szCs w:val="22"/>
        </w:rPr>
      </w:pPr>
      <w:r w:rsidRPr="3E77553B">
        <w:rPr>
          <w:rFonts w:ascii="Calibri" w:hAnsi="Calibri" w:cs="Calibri"/>
          <w:sz w:val="22"/>
          <w:szCs w:val="22"/>
        </w:rPr>
        <w:t>Pirmosios instancijos teismas skundo reikalavimą dėl minėtos sumos priteisimo nagrinėjo kaip pareiškėjo pareikštą reikalavimą dėl turtinės žalos atlyginimo priteisimo pagal C</w:t>
      </w:r>
      <w:r w:rsidR="520FEB70" w:rsidRPr="3E77553B">
        <w:rPr>
          <w:rFonts w:ascii="Calibri" w:hAnsi="Calibri" w:cs="Calibri"/>
          <w:sz w:val="22"/>
          <w:szCs w:val="22"/>
        </w:rPr>
        <w:t>K</w:t>
      </w:r>
      <w:r w:rsidRPr="3E77553B">
        <w:rPr>
          <w:rFonts w:ascii="Calibri" w:hAnsi="Calibri" w:cs="Calibri"/>
          <w:sz w:val="22"/>
          <w:szCs w:val="22"/>
        </w:rPr>
        <w:t xml:space="preserve"> 6.271 straipsnį, ir jį atmetė, </w:t>
      </w:r>
      <w:r w:rsidRPr="3E77553B">
        <w:rPr>
          <w:rFonts w:ascii="Calibri" w:hAnsi="Calibri" w:cs="Calibri"/>
          <w:sz w:val="22"/>
          <w:szCs w:val="22"/>
        </w:rPr>
        <w:lastRenderedPageBreak/>
        <w:t>nustatęs, jog Kauno miesto savivaldybė neatliko jokių teisei priešingų veikų, o nenustačius vienos iš būtinųjų civilinės atsakomybės sąlygų – neteistų veiksmų (neveikimo), žalos atlyginimas negalimas.</w:t>
      </w:r>
    </w:p>
    <w:p w14:paraId="123F3FFB" w14:textId="0BA86537" w:rsidR="007A01BA" w:rsidRPr="007A01BA" w:rsidRDefault="007A01BA" w:rsidP="3E77553B">
      <w:pPr>
        <w:shd w:val="clear" w:color="auto" w:fill="FFFFFF" w:themeFill="background1"/>
        <w:tabs>
          <w:tab w:val="left" w:pos="3119"/>
        </w:tabs>
        <w:ind w:right="-1" w:firstLine="567"/>
        <w:jc w:val="both"/>
        <w:rPr>
          <w:rFonts w:ascii="Calibri" w:hAnsi="Calibri" w:cs="Calibri"/>
          <w:sz w:val="22"/>
          <w:szCs w:val="22"/>
        </w:rPr>
      </w:pPr>
      <w:r w:rsidRPr="3E77553B">
        <w:rPr>
          <w:rFonts w:ascii="Calibri" w:hAnsi="Calibri" w:cs="Calibri"/>
          <w:sz w:val="22"/>
          <w:szCs w:val="22"/>
        </w:rPr>
        <w:t>LVAT teisėjų kolegija, įvertinusi bylos aplinkybes, pirmiausia pažymėjo, kad nagrinėtu atveju nebuvo jokio faktinio ir teisinio pagrindo nagrinėti ir vertinti C</w:t>
      </w:r>
      <w:r w:rsidR="0B102BDE" w:rsidRPr="3E77553B">
        <w:rPr>
          <w:rFonts w:ascii="Calibri" w:hAnsi="Calibri" w:cs="Calibri"/>
          <w:sz w:val="22"/>
          <w:szCs w:val="22"/>
        </w:rPr>
        <w:t>K</w:t>
      </w:r>
      <w:r w:rsidRPr="3E77553B">
        <w:rPr>
          <w:rFonts w:ascii="Calibri" w:hAnsi="Calibri" w:cs="Calibri"/>
          <w:sz w:val="22"/>
          <w:szCs w:val="22"/>
        </w:rPr>
        <w:t xml:space="preserve"> 6.271 straipsnyje nustatytas būtinąsias savivaldybės atsakomybei kilti sąlygas, nes iš pareiškėjo skunde nurodytų aplinkybių (skundo pagrindas), dėl kurių jis reikalavo priteisti jam iš atsakovo 9,30 Eur (skundo dalykas), ir sprendime aptartų teisiškai reikšmingų šiai bylai išnagrinėti aplinkybių matyti, kad pareiškėjas šioje byloje inicijavo ginčą dėl į savivaldybės biudžetą sumokėtos vietinės rinkliavos grąžinimo. </w:t>
      </w:r>
    </w:p>
    <w:p w14:paraId="4643428D" w14:textId="77777777" w:rsidR="007A01BA" w:rsidRDefault="007A01BA" w:rsidP="007A01BA">
      <w:pPr>
        <w:shd w:val="clear" w:color="auto" w:fill="FFFFFF"/>
        <w:tabs>
          <w:tab w:val="left" w:pos="3119"/>
        </w:tabs>
        <w:ind w:right="-1" w:firstLine="567"/>
        <w:jc w:val="both"/>
        <w:rPr>
          <w:rFonts w:ascii="Calibri" w:hAnsi="Calibri" w:cs="Calibri"/>
          <w:sz w:val="22"/>
          <w:szCs w:val="22"/>
        </w:rPr>
      </w:pPr>
      <w:r w:rsidRPr="007A01BA">
        <w:rPr>
          <w:rFonts w:ascii="Calibri" w:hAnsi="Calibri" w:cs="Calibri"/>
          <w:sz w:val="22"/>
          <w:szCs w:val="22"/>
        </w:rPr>
        <w:t>Šiuo klausimu nustatyta, kad pagal kortelės įsigijimo metu galiojusius aptariamos rinkliavos nuostatus nustatyto dydžio rinkliava buvo mokama naudojant mokėjimo korteles (transporto priemonių stovėjimo bilietų automatai, įrengti mokamose transporto priemonių stovėjimo vietose), o rinkliavos mokėtojai yra transporto priemonių valdytojai, kurie naudojasi Kauno miesto savivaldybės tarybos nustatytose Kauno miesto vietose įrengtomis mokamomis vietomis transporto priemonėms statyti, taip pat rezervuotomis transporto priemonių stovėjimo vietomis. Taigi pagal šiuos nuostatus vietinės rinkliavos mokėjimas buvo tiesiogiai susietas su atsakovo teikiamomis paslaugomis – leidimu naudotis nustatytomis vietomis automobiliams statyti. Tačiau nagrinėtu atveju susiklostė tokia situacija, kad atsakovas pareiškėjui aptarto pobūdžio paslaugų, už kurias jis buvo sumokėjęs, nesuteikė ir nesuteiks, tačiau disponuoja pareiškėjo sumokėtais pinigais. LVAT pažymėjo, kad atsakovas nebuvo nurodęs jokio teisinio pagrindo, kuriuo pagrįstų disponavimą pareiškėjo sumokėtais pinigais už paslaugas, kurių nėra suteikęs ir nesuteiks.</w:t>
      </w:r>
    </w:p>
    <w:p w14:paraId="7E302142" w14:textId="188BCCFA" w:rsidR="007A01BA" w:rsidRDefault="007A01BA" w:rsidP="48AAD287">
      <w:pPr>
        <w:shd w:val="clear" w:color="auto" w:fill="FFFFFF" w:themeFill="background1"/>
        <w:tabs>
          <w:tab w:val="left" w:pos="3119"/>
        </w:tabs>
        <w:ind w:right="-1" w:firstLine="567"/>
        <w:jc w:val="both"/>
        <w:rPr>
          <w:rFonts w:asciiTheme="minorHAnsi" w:hAnsiTheme="minorHAnsi" w:cstheme="minorBidi"/>
          <w:sz w:val="22"/>
          <w:szCs w:val="22"/>
        </w:rPr>
      </w:pPr>
      <w:r w:rsidRPr="48AAD287">
        <w:rPr>
          <w:rFonts w:asciiTheme="minorHAnsi" w:hAnsiTheme="minorHAnsi" w:cstheme="minorBidi"/>
          <w:sz w:val="22"/>
          <w:szCs w:val="22"/>
        </w:rPr>
        <w:t>Pareiškėjo prašymo grąžinti pinigus pateikimo metu Rinkliavų įstatymas nenustatė, kad vietinė rinkliava yra grąžinama tuo atveju, jei nesuteikta paslauga (tokia nuostata yra įtvirtinta nuo 2020 m. liepos 1 d. Rinkliavų įstatymo 13</w:t>
      </w:r>
      <w:r w:rsidRPr="48AAD287">
        <w:rPr>
          <w:rFonts w:asciiTheme="minorHAnsi" w:hAnsiTheme="minorHAnsi" w:cstheme="minorBidi"/>
          <w:sz w:val="22"/>
          <w:szCs w:val="22"/>
          <w:vertAlign w:val="superscript"/>
        </w:rPr>
        <w:t>2</w:t>
      </w:r>
      <w:r w:rsidRPr="48AAD287">
        <w:rPr>
          <w:rFonts w:asciiTheme="minorHAnsi" w:hAnsiTheme="minorHAnsi" w:cstheme="minorBidi"/>
          <w:sz w:val="22"/>
          <w:szCs w:val="22"/>
        </w:rPr>
        <w:t xml:space="preserve"> str.), tačiau tuo metu galiojusios Rinkliavų įstatymo nuostatos taip pat </w:t>
      </w:r>
      <w:r w:rsidRPr="48AAD287">
        <w:rPr>
          <w:rFonts w:asciiTheme="minorHAnsi" w:hAnsiTheme="minorHAnsi" w:cstheme="minorBidi"/>
          <w:i/>
          <w:iCs/>
          <w:sz w:val="22"/>
          <w:szCs w:val="22"/>
        </w:rPr>
        <w:t>nenustatė</w:t>
      </w:r>
      <w:r w:rsidRPr="48AAD287">
        <w:rPr>
          <w:rFonts w:asciiTheme="minorHAnsi" w:hAnsiTheme="minorHAnsi" w:cstheme="minorBidi"/>
          <w:sz w:val="22"/>
          <w:szCs w:val="22"/>
        </w:rPr>
        <w:t>, kad vietinė rinkliava negrąžinama, jei paslaugos nesuteiktos. Vietinė rinkliava yra savivaldybės tarybos nustatyta įmoka (įstatymu numatytas privalomasis mokėjimas į savivaldybės biudžetą) už naudojimąsi teise atlikti atitinkamus veiksmus, verstis tam tikra veikla, kurie numatyti Rinkliavų įstatymo 11 straipsnio 1 dalyje. Rinkliavų įstatymo 11 straipsnio 1 dalies 6 punkte nustatyta, kad savivaldybės taryba turi teisę savivaldybės teritorijoje nustatyti vietines rinkliavas už naudojimąsi savivaldybių tarybų nustatytomis vietomis automobiliams statyti, t. y. šiuo atveju pareiškėjo sumokėta vietinė rinkliava buvo susieta su pareiškėjo teise naudotis savivaldybės tarybos nustatytomis vietomis automobiliams statyti, ir kuria pareiškėjas negalės pasinaudoti.</w:t>
      </w:r>
    </w:p>
    <w:p w14:paraId="1778CB61" w14:textId="67BDB607" w:rsidR="007A01BA" w:rsidRPr="007A01BA" w:rsidRDefault="007A01BA" w:rsidP="3E77553B">
      <w:pPr>
        <w:shd w:val="clear" w:color="auto" w:fill="FFFFFF" w:themeFill="background1"/>
        <w:tabs>
          <w:tab w:val="left" w:pos="3119"/>
        </w:tabs>
        <w:ind w:right="-1" w:firstLine="567"/>
        <w:jc w:val="both"/>
        <w:rPr>
          <w:rFonts w:ascii="Calibri" w:hAnsi="Calibri" w:cs="Calibri"/>
          <w:sz w:val="22"/>
          <w:szCs w:val="22"/>
        </w:rPr>
      </w:pPr>
      <w:r w:rsidRPr="3E77553B">
        <w:rPr>
          <w:rFonts w:ascii="Calibri" w:hAnsi="Calibri" w:cs="Calibri"/>
          <w:sz w:val="22"/>
          <w:szCs w:val="22"/>
        </w:rPr>
        <w:t xml:space="preserve">Apibendrinusi </w:t>
      </w:r>
      <w:r w:rsidR="4C2D872E" w:rsidRPr="3E77553B">
        <w:rPr>
          <w:rFonts w:ascii="Calibri" w:hAnsi="Calibri" w:cs="Calibri"/>
          <w:sz w:val="22"/>
          <w:szCs w:val="22"/>
        </w:rPr>
        <w:t xml:space="preserve">tai, kas </w:t>
      </w:r>
      <w:r w:rsidRPr="3E77553B">
        <w:rPr>
          <w:rFonts w:ascii="Calibri" w:hAnsi="Calibri" w:cs="Calibri"/>
          <w:sz w:val="22"/>
          <w:szCs w:val="22"/>
        </w:rPr>
        <w:t>išdėstyt</w:t>
      </w:r>
      <w:r w:rsidR="60767123" w:rsidRPr="3E77553B">
        <w:rPr>
          <w:rFonts w:ascii="Calibri" w:hAnsi="Calibri" w:cs="Calibri"/>
          <w:sz w:val="22"/>
          <w:szCs w:val="22"/>
        </w:rPr>
        <w:t>a,</w:t>
      </w:r>
      <w:r w:rsidRPr="3E77553B">
        <w:rPr>
          <w:rFonts w:ascii="Calibri" w:hAnsi="Calibri" w:cs="Calibri"/>
          <w:sz w:val="22"/>
          <w:szCs w:val="22"/>
        </w:rPr>
        <w:t xml:space="preserve"> LVAT teisėjų kolegija darė išvadą, kad pareiškėjo reikalavimas priteisti jam iš atsakovo 9,30 Eur sumokėtos vietinės rinkliavos yra pagrįstas ir tenkintinas, todėl pirmosios instancijos teismo sprendimo dalis, kuria netenkintas šis reikalavimas, panaikinta ir šis reikalavimas tenkintas.</w:t>
      </w:r>
    </w:p>
    <w:p w14:paraId="101EF905" w14:textId="77777777" w:rsidR="007A01BA" w:rsidRDefault="007A01BA" w:rsidP="007A01BA">
      <w:pPr>
        <w:ind w:firstLine="851"/>
        <w:jc w:val="both"/>
        <w:rPr>
          <w:rFonts w:asciiTheme="minorHAnsi" w:hAnsiTheme="minorHAnsi" w:cstheme="minorHAnsi"/>
          <w:sz w:val="22"/>
          <w:szCs w:val="22"/>
        </w:rPr>
      </w:pPr>
    </w:p>
    <w:p w14:paraId="0F43F1D0" w14:textId="77777777" w:rsidR="007A01BA" w:rsidRDefault="007A01BA" w:rsidP="007A01BA">
      <w:pPr>
        <w:jc w:val="both"/>
        <w:rPr>
          <w:rFonts w:asciiTheme="minorHAnsi" w:hAnsiTheme="minorHAnsi" w:cstheme="minorHAnsi"/>
          <w:sz w:val="22"/>
          <w:szCs w:val="22"/>
        </w:rPr>
      </w:pPr>
      <w:r>
        <w:rPr>
          <w:rFonts w:asciiTheme="minorHAnsi" w:hAnsiTheme="minorHAnsi" w:cstheme="minorHAnsi"/>
          <w:sz w:val="22"/>
          <w:szCs w:val="22"/>
        </w:rPr>
        <w:t>2020 m. spalio 21 d. nutartis administracinėje byloje Nr. eA-2362-520/2020</w:t>
      </w:r>
    </w:p>
    <w:p w14:paraId="3CA0667E" w14:textId="77777777" w:rsidR="007A01BA" w:rsidRDefault="007A01BA" w:rsidP="007A01BA">
      <w:pPr>
        <w:jc w:val="both"/>
        <w:rPr>
          <w:rFonts w:asciiTheme="minorHAnsi" w:hAnsiTheme="minorHAnsi" w:cstheme="minorHAnsi"/>
          <w:sz w:val="22"/>
          <w:szCs w:val="22"/>
        </w:rPr>
      </w:pPr>
      <w:r>
        <w:rPr>
          <w:rFonts w:asciiTheme="minorHAnsi" w:hAnsiTheme="minorHAnsi" w:cstheme="minorHAnsi"/>
          <w:sz w:val="22"/>
          <w:szCs w:val="22"/>
        </w:rPr>
        <w:t>Teisminio proceso Nr. 2-69-3-15808-2018-3</w:t>
      </w:r>
    </w:p>
    <w:p w14:paraId="7088D6DF" w14:textId="77777777" w:rsidR="007A01BA" w:rsidRDefault="007A01BA" w:rsidP="007A01BA">
      <w:pPr>
        <w:jc w:val="both"/>
        <w:rPr>
          <w:rFonts w:asciiTheme="minorHAnsi" w:hAnsiTheme="minorHAnsi" w:cstheme="minorHAnsi"/>
          <w:sz w:val="22"/>
          <w:szCs w:val="22"/>
        </w:rPr>
      </w:pPr>
      <w:r>
        <w:rPr>
          <w:rFonts w:asciiTheme="minorHAnsi" w:hAnsiTheme="minorHAnsi" w:cstheme="minorHAnsi"/>
          <w:sz w:val="22"/>
          <w:szCs w:val="22"/>
        </w:rPr>
        <w:t>Procesinio sprendimo kategorijos: 20.2.3.1; 24.7</w:t>
      </w:r>
    </w:p>
    <w:p w14:paraId="4CA826D1" w14:textId="77777777" w:rsidR="007A01BA" w:rsidRDefault="000F189C" w:rsidP="007A01BA">
      <w:pPr>
        <w:jc w:val="both"/>
        <w:rPr>
          <w:rFonts w:asciiTheme="minorHAnsi" w:hAnsiTheme="minorHAnsi" w:cstheme="minorHAnsi"/>
          <w:sz w:val="22"/>
          <w:szCs w:val="22"/>
        </w:rPr>
      </w:pPr>
      <w:hyperlink r:id="rId14" w:history="1">
        <w:r w:rsidR="007A01BA">
          <w:rPr>
            <w:rStyle w:val="Hyperlink"/>
            <w:rFonts w:asciiTheme="minorHAnsi" w:hAnsiTheme="minorHAnsi" w:cstheme="minorHAnsi"/>
            <w:sz w:val="22"/>
            <w:szCs w:val="22"/>
          </w:rPr>
          <w:t>Prieiga internete</w:t>
        </w:r>
      </w:hyperlink>
    </w:p>
    <w:p w14:paraId="69E5F8DD" w14:textId="77777777" w:rsidR="007A01BA" w:rsidRPr="007A01BA" w:rsidRDefault="007A01BA" w:rsidP="52FAB012">
      <w:pPr>
        <w:shd w:val="clear" w:color="auto" w:fill="FFFFFF" w:themeFill="background1"/>
        <w:tabs>
          <w:tab w:val="left" w:pos="3119"/>
        </w:tabs>
        <w:ind w:right="-1" w:firstLine="567"/>
        <w:jc w:val="both"/>
        <w:rPr>
          <w:rFonts w:ascii="Calibri" w:hAnsi="Calibri" w:cs="Calibri"/>
          <w:sz w:val="22"/>
          <w:szCs w:val="22"/>
        </w:rPr>
      </w:pPr>
    </w:p>
    <w:p w14:paraId="23A5DB99" w14:textId="77777777" w:rsidR="001E4D6E" w:rsidRPr="001E4D6E" w:rsidRDefault="001E4D6E" w:rsidP="001E4D6E">
      <w:pPr>
        <w:keepNext/>
        <w:keepLines/>
        <w:jc w:val="both"/>
        <w:outlineLvl w:val="0"/>
        <w:rPr>
          <w:rFonts w:ascii="Calibri" w:hAnsi="Calibri" w:cs="Calibri"/>
          <w:b/>
          <w:sz w:val="22"/>
          <w:szCs w:val="22"/>
          <w:u w:val="single"/>
        </w:rPr>
      </w:pPr>
      <w:bookmarkStart w:id="36" w:name="_Toc462149978"/>
      <w:bookmarkStart w:id="37" w:name="_Toc58851696"/>
      <w:r w:rsidRPr="001E4D6E">
        <w:rPr>
          <w:rFonts w:ascii="Calibri" w:hAnsi="Calibri" w:cs="Calibri"/>
          <w:b/>
          <w:sz w:val="22"/>
          <w:szCs w:val="22"/>
          <w:u w:val="single"/>
        </w:rPr>
        <w:t>14. Aplinkos apsauga</w:t>
      </w:r>
      <w:bookmarkEnd w:id="36"/>
      <w:bookmarkEnd w:id="37"/>
    </w:p>
    <w:p w14:paraId="2CE64244" w14:textId="77777777" w:rsidR="001E4D6E" w:rsidRPr="001E4D6E" w:rsidRDefault="001E4D6E" w:rsidP="001E4D6E">
      <w:pPr>
        <w:ind w:firstLine="567"/>
        <w:rPr>
          <w:rFonts w:ascii="Calibri" w:hAnsi="Calibri" w:cs="Calibri"/>
          <w:b/>
          <w:sz w:val="22"/>
          <w:szCs w:val="22"/>
          <w:u w:val="single"/>
        </w:rPr>
      </w:pPr>
      <w:r w:rsidRPr="001E4D6E">
        <w:rPr>
          <w:rFonts w:ascii="Calibri" w:hAnsi="Calibri" w:cs="Calibri"/>
          <w:b/>
          <w:sz w:val="22"/>
          <w:szCs w:val="22"/>
          <w:u w:val="single"/>
        </w:rPr>
        <w:t xml:space="preserve">14.2. Poveikio ir pasekmių aplinkai vertinimas </w:t>
      </w:r>
    </w:p>
    <w:p w14:paraId="188901B3" w14:textId="77777777" w:rsidR="001E4D6E" w:rsidRPr="001E4D6E" w:rsidRDefault="001E4D6E" w:rsidP="001E4D6E">
      <w:pPr>
        <w:ind w:left="851" w:firstLine="283"/>
        <w:rPr>
          <w:rFonts w:ascii="Calibri" w:hAnsi="Calibri" w:cs="Calibri"/>
          <w:b/>
          <w:sz w:val="22"/>
          <w:szCs w:val="22"/>
          <w:u w:val="single"/>
        </w:rPr>
      </w:pPr>
      <w:r w:rsidRPr="001E4D6E">
        <w:rPr>
          <w:rFonts w:ascii="Calibri" w:hAnsi="Calibri" w:cs="Calibri"/>
          <w:b/>
          <w:sz w:val="22"/>
          <w:szCs w:val="22"/>
          <w:u w:val="single"/>
        </w:rPr>
        <w:t>14.2.1. Planuojamos ūkinės veiklos poveikio aplinkai vertinimas</w:t>
      </w:r>
    </w:p>
    <w:p w14:paraId="5B12DF15" w14:textId="77777777" w:rsidR="001E4D6E" w:rsidRPr="001E4D6E" w:rsidRDefault="001E4D6E" w:rsidP="001E4D6E">
      <w:pPr>
        <w:ind w:firstLine="567"/>
        <w:jc w:val="both"/>
        <w:rPr>
          <w:rFonts w:ascii="Calibri" w:eastAsia="Calibri" w:hAnsi="Calibri" w:cs="Calibri"/>
          <w:sz w:val="22"/>
          <w:szCs w:val="22"/>
        </w:rPr>
      </w:pPr>
    </w:p>
    <w:p w14:paraId="7E050529" w14:textId="77777777" w:rsidR="001E4D6E" w:rsidRPr="001E4D6E" w:rsidRDefault="001E4D6E" w:rsidP="001E4D6E">
      <w:pPr>
        <w:jc w:val="both"/>
        <w:outlineLvl w:val="1"/>
        <w:rPr>
          <w:rFonts w:ascii="Calibri" w:eastAsia="Calibri" w:hAnsi="Calibri" w:cs="Calibri"/>
          <w:i/>
          <w:sz w:val="22"/>
          <w:szCs w:val="22"/>
          <w:lang w:eastAsia="en-US"/>
        </w:rPr>
      </w:pPr>
      <w:bookmarkStart w:id="38" w:name="_Toc58851697"/>
      <w:r w:rsidRPr="001E4D6E">
        <w:rPr>
          <w:rFonts w:ascii="Calibri" w:eastAsia="Calibri" w:hAnsi="Calibri" w:cs="Calibri"/>
          <w:i/>
          <w:sz w:val="22"/>
          <w:szCs w:val="22"/>
        </w:rPr>
        <w:t xml:space="preserve">Dėl </w:t>
      </w:r>
      <w:r w:rsidRPr="001E4D6E">
        <w:rPr>
          <w:rFonts w:ascii="Calibri" w:eastAsia="Calibri" w:hAnsi="Calibri" w:cs="Calibri"/>
          <w:i/>
          <w:sz w:val="22"/>
          <w:szCs w:val="22"/>
          <w:lang w:bidi="lt-LT"/>
        </w:rPr>
        <w:t>planuojamai išplėsti pavojingųjų ir nepavojingųjų atliekų supirkimo ir perdirbimo komplekso veiklai keliamų reikalavimų, inter alia reikalavimo ne</w:t>
      </w:r>
      <w:r w:rsidRPr="001E4D6E">
        <w:rPr>
          <w:rFonts w:ascii="Calibri" w:eastAsia="Calibri" w:hAnsi="Calibri" w:cs="Calibri"/>
          <w:i/>
          <w:sz w:val="22"/>
          <w:szCs w:val="22"/>
        </w:rPr>
        <w:t>pabloginti artimiausių gyventojų gyvenimo kokybės</w:t>
      </w:r>
      <w:bookmarkEnd w:id="38"/>
    </w:p>
    <w:p w14:paraId="21A4029D" w14:textId="77777777" w:rsidR="001E4D6E" w:rsidRPr="001E4D6E" w:rsidRDefault="001E4D6E" w:rsidP="001E4D6E">
      <w:pPr>
        <w:ind w:firstLine="567"/>
        <w:jc w:val="both"/>
        <w:rPr>
          <w:rFonts w:ascii="Calibri" w:eastAsia="Calibri" w:hAnsi="Calibri" w:cs="Calibri"/>
          <w:sz w:val="22"/>
          <w:szCs w:val="22"/>
        </w:rPr>
      </w:pPr>
    </w:p>
    <w:p w14:paraId="2C04F94F" w14:textId="77777777" w:rsidR="001E4D6E" w:rsidRPr="001E4D6E" w:rsidRDefault="001E4D6E" w:rsidP="001E4D6E">
      <w:pPr>
        <w:ind w:firstLine="567"/>
        <w:jc w:val="both"/>
        <w:rPr>
          <w:rFonts w:ascii="Calibri" w:eastAsia="Calibri" w:hAnsi="Calibri" w:cs="Calibri"/>
          <w:sz w:val="22"/>
          <w:szCs w:val="22"/>
        </w:rPr>
      </w:pPr>
      <w:r w:rsidRPr="001E4D6E">
        <w:rPr>
          <w:rFonts w:ascii="Calibri" w:eastAsia="Calibri" w:hAnsi="Calibri" w:cs="Calibri"/>
          <w:sz w:val="22"/>
          <w:szCs w:val="22"/>
        </w:rPr>
        <w:t>Apžvelgiamoje byloje ginčas kilo dėl atsakovo Aplinkos apsaugos agentūros (toliau – Agentūra) sprendimo, kuriuo nuspręsta, jog pareiškėjo UAB „Terra recycling“ planuojama ūkinė veikla (toliau – PŪV) – pavojingųjų ir nepavojingųjų atliekų supirkimo ir perdirbimo komplekso veiklos išplėtimas – yra neleistina, pagrįstumo ir teisėtumo.</w:t>
      </w:r>
    </w:p>
    <w:p w14:paraId="55DD0EFC" w14:textId="540E13FF" w:rsidR="001E4D6E" w:rsidRPr="001E4D6E" w:rsidRDefault="001E4D6E" w:rsidP="001E4D6E">
      <w:pPr>
        <w:ind w:firstLine="567"/>
        <w:jc w:val="both"/>
        <w:rPr>
          <w:rFonts w:ascii="Calibri" w:eastAsia="Calibri" w:hAnsi="Calibri" w:cs="Calibri"/>
          <w:sz w:val="22"/>
          <w:szCs w:val="22"/>
        </w:rPr>
      </w:pPr>
      <w:r w:rsidRPr="001E4D6E">
        <w:rPr>
          <w:rFonts w:ascii="Calibri" w:eastAsia="Calibri" w:hAnsi="Calibri" w:cs="Calibri"/>
          <w:sz w:val="22"/>
          <w:szCs w:val="22"/>
          <w:lang w:bidi="lt-LT"/>
        </w:rPr>
        <w:t>Teisėjų kolegija, vertindama pareiškėjo argumentus, jog PŪV teritorijos ir pastatų ploto pakanka pavojingosioms ir nepavojingosioms atliekoms laikyti pagal esamus ir poveikio aplinkai vertinimo (toliau – PAV) ataskaitoje numatomus didžiausius vienu metu laikomų atliekų kiekius, pažymėjo, kad bendras įrenginio našumas (didžiausias vienu metu telpa</w:t>
      </w:r>
      <w:r w:rsidR="002C724F">
        <w:rPr>
          <w:rFonts w:ascii="Calibri" w:eastAsia="Calibri" w:hAnsi="Calibri" w:cs="Calibri"/>
          <w:sz w:val="22"/>
          <w:szCs w:val="22"/>
          <w:lang w:bidi="lt-LT"/>
        </w:rPr>
        <w:t>nti</w:t>
      </w:r>
      <w:r w:rsidRPr="001E4D6E">
        <w:rPr>
          <w:rFonts w:ascii="Calibri" w:eastAsia="Calibri" w:hAnsi="Calibri" w:cs="Calibri"/>
          <w:sz w:val="22"/>
          <w:szCs w:val="22"/>
          <w:lang w:bidi="lt-LT"/>
        </w:rPr>
        <w:t xml:space="preserve">s atliekų kiekis) yra 42 000 t. PAV ataskaitoje nurodyta, kad šis </w:t>
      </w:r>
      <w:r w:rsidRPr="001E4D6E">
        <w:rPr>
          <w:rFonts w:ascii="Calibri" w:eastAsia="Calibri" w:hAnsi="Calibri" w:cs="Calibri"/>
          <w:sz w:val="22"/>
          <w:szCs w:val="22"/>
          <w:lang w:bidi="lt-LT"/>
        </w:rPr>
        <w:lastRenderedPageBreak/>
        <w:t xml:space="preserve">pajėgumas įvertintas pagal metalo laužo tankį. Tačiau atkreiptas dėmesys, kad, be metalo laužo, pareiškėjas tvarkė ir kitų rūšių atliekas, po perdirbimo gautus produktus, ketino didinti metinius tvarkomų atliekų pajėgumus (iki 504 000 t/m), tvarkyti bei laikyti atliekas, kurių anksčiau niekada netvarkė, todėl teisėjų kolegija nesutiko su pareiškėjo argumentu, jog detalūs kiekvienų atliekų ir / ar atliekų srauto skaičiavimai pagal kiekvienos iš atliekų rūšių tankį šiuo atveju nėra ir nebuvo būtini. </w:t>
      </w:r>
      <w:r w:rsidRPr="001E4D6E">
        <w:rPr>
          <w:rFonts w:ascii="Calibri" w:eastAsia="Calibri" w:hAnsi="Calibri" w:cs="Calibri"/>
          <w:sz w:val="22"/>
          <w:szCs w:val="22"/>
          <w:u w:val="single"/>
          <w:lang w:bidi="lt-LT"/>
        </w:rPr>
        <w:t>Pareiškėjas planuoja išplėsti pavojingųjų ir nepavojingųjų atliekų supirkimo ir perdirbimo komplekso veiklą, todėl būtent jam tenka pareiga pagrįsti pajėgumus sutalpinti PAV ataskaitoje nurodytą atliekų kiekį, pateikti duomenis Agentūrai, kaip atsakingai institucijai, koordinuojančiai PAV procesą (Planuojamos ūkinės veiklos poveikio aplinkai vertinimo įstatymo (toliau – PAVĮ) 2 str. 1 d.), jog visi atliekų tvarkymo įrenginiai, atliekos ir po perdirbimo gaunami produktai tilps plane numatytoje teritorijoje dar iki sprendimo dėl PAV ataskaitos priėmimo</w:t>
      </w:r>
      <w:r w:rsidRPr="001E4D6E">
        <w:rPr>
          <w:rFonts w:ascii="Calibri" w:eastAsia="Calibri" w:hAnsi="Calibri" w:cs="Calibri"/>
          <w:sz w:val="22"/>
          <w:szCs w:val="22"/>
          <w:lang w:bidi="lt-LT"/>
        </w:rPr>
        <w:t>.</w:t>
      </w:r>
    </w:p>
    <w:p w14:paraId="1C94B7BC" w14:textId="77777777" w:rsidR="001E4D6E" w:rsidRPr="001E4D6E" w:rsidRDefault="001E4D6E" w:rsidP="001E4D6E">
      <w:pPr>
        <w:ind w:firstLine="567"/>
        <w:jc w:val="both"/>
        <w:rPr>
          <w:rFonts w:ascii="Calibri" w:eastAsia="Calibri" w:hAnsi="Calibri" w:cs="Calibri"/>
          <w:sz w:val="22"/>
          <w:szCs w:val="22"/>
        </w:rPr>
      </w:pPr>
      <w:r w:rsidRPr="001E4D6E">
        <w:rPr>
          <w:rFonts w:ascii="Calibri" w:eastAsia="Calibri" w:hAnsi="Calibri" w:cs="Calibri"/>
          <w:sz w:val="22"/>
          <w:szCs w:val="22"/>
        </w:rPr>
        <w:t>Agentūra, įvertinusi PAV ataskaitoje pateiktus duomenis pagal atliekų kiekius, įrenginių našumą ir atliekų laikymo pajėgumus, pagrįstai sprendė, jog išplėtus veiklą iki pareiškėjo nurodomų didelių apimčių, kyla rizika, jog bus priimta daugiau atliekų nei objektyviai leidžia pareiškėjo įrenginių našumas ir pajėgumai jas laikyti.</w:t>
      </w:r>
    </w:p>
    <w:p w14:paraId="10596724" w14:textId="431B85D3" w:rsidR="001E4D6E" w:rsidRPr="001E4D6E" w:rsidRDefault="001E4D6E" w:rsidP="001E4D6E">
      <w:pPr>
        <w:ind w:firstLine="567"/>
        <w:jc w:val="both"/>
        <w:rPr>
          <w:rFonts w:ascii="Calibri" w:eastAsia="Calibri" w:hAnsi="Calibri" w:cs="Calibri"/>
          <w:sz w:val="22"/>
          <w:szCs w:val="22"/>
          <w:u w:val="single"/>
        </w:rPr>
      </w:pPr>
      <w:r w:rsidRPr="6A7DC4FF">
        <w:rPr>
          <w:rFonts w:ascii="Calibri" w:eastAsia="Calibri" w:hAnsi="Calibri" w:cs="Calibri"/>
          <w:sz w:val="22"/>
          <w:szCs w:val="22"/>
        </w:rPr>
        <w:t xml:space="preserve">Pareiškėjas apeliaciniame skunde nurodė, kad pirmosios instancijos teismas neįvertino reikšmingos faktinės aplinkybės, jog PAV ataskaita rengiama ne dėl to, kad ketinama dar tik pradėti vykdyti iš esmės naują veiklą, o dėl to, kad planuojamas esamos, jau daugiau kaip 20 metų toje pačioje vietoje vykdomos veiklos plėtimas. Nesutikdama su tokiu pareiškėjo argumentu teisėjų kolegija pažymėjo, jog </w:t>
      </w:r>
      <w:r w:rsidRPr="6A7DC4FF">
        <w:rPr>
          <w:rFonts w:ascii="Calibri" w:eastAsia="Calibri" w:hAnsi="Calibri" w:cs="Calibri"/>
          <w:sz w:val="22"/>
          <w:szCs w:val="22"/>
          <w:u w:val="single"/>
        </w:rPr>
        <w:t xml:space="preserve">pagal PAVĮ 3 straipsnio 1 dalį poveikio aplinkai vertinimo objektas yra planuojama ūkinė veikla, kuri dėl savo pobūdžio, masto ar numatomos vietos ypatumų gali daryti reikšmingą poveikį aplinkai. Taigi esminis aspektas yra galimas PŪV poveikis aplinkai. Byloje nebuvo ginčo dėl to, kad pareiškėjo pavojingųjų ir nepavojingųjų atliekų supirkimo ir perdirbimo komplekso veiklos išplėtimas patenka į PAVĮ 2 priedo 14 punktą, buvo pradėtas PAV be atrankos procedūros, parengta PAV ataskaita, kuri tiek ketinamos vykdyti naujos veiklos atveju, tiek plečiant pradėtą veiklą turi atitikti PAV ataskaitai </w:t>
      </w:r>
      <w:r w:rsidR="3A79FB6D" w:rsidRPr="6A7DC4FF">
        <w:rPr>
          <w:rFonts w:ascii="Calibri" w:eastAsia="Calibri" w:hAnsi="Calibri" w:cs="Calibri"/>
          <w:sz w:val="22"/>
          <w:szCs w:val="22"/>
          <w:u w:val="single"/>
        </w:rPr>
        <w:t xml:space="preserve">nustatytus </w:t>
      </w:r>
      <w:r w:rsidRPr="6A7DC4FF">
        <w:rPr>
          <w:rFonts w:ascii="Calibri" w:eastAsia="Calibri" w:hAnsi="Calibri" w:cs="Calibri"/>
          <w:sz w:val="22"/>
          <w:szCs w:val="22"/>
          <w:u w:val="single"/>
        </w:rPr>
        <w:t>reikalavimus.</w:t>
      </w:r>
    </w:p>
    <w:p w14:paraId="50D67A43" w14:textId="77777777" w:rsidR="001E4D6E" w:rsidRPr="001E4D6E" w:rsidRDefault="001E4D6E" w:rsidP="001E4D6E">
      <w:pPr>
        <w:ind w:firstLine="567"/>
        <w:jc w:val="both"/>
        <w:rPr>
          <w:rFonts w:ascii="Calibri" w:eastAsia="Calibri" w:hAnsi="Calibri" w:cs="Calibri"/>
          <w:sz w:val="22"/>
          <w:szCs w:val="22"/>
        </w:rPr>
      </w:pPr>
      <w:r w:rsidRPr="001E4D6E">
        <w:rPr>
          <w:rFonts w:ascii="Calibri" w:eastAsia="Calibri" w:hAnsi="Calibri" w:cs="Calibri"/>
          <w:sz w:val="22"/>
          <w:szCs w:val="22"/>
        </w:rPr>
        <w:t>Sprendimą, jog pareiškėjo planuojamos apimties veikla neleistina, Agentūra grindė ir tuo, jog, suinteresuotos visuomenės nuomone, PŪV išplėtimas dar labiau pablogintų artimiausių gyventojų gyvenimo kokybę, metinį tvarkomų atliekų kiekį didinant iki 504 000 t/m, taip pat didinant vienu metu laikomų pavojingųjų ir nepavojingųjų atliekų kiekį ir vertinant atstumus iki artimiausios gyvenamosios aplinkos kyla rizika dėl ekstremaliųjų situacijų grėsmės gyventojams.</w:t>
      </w:r>
    </w:p>
    <w:p w14:paraId="4F1D404B" w14:textId="77777777" w:rsidR="001E4D6E" w:rsidRPr="001E4D6E" w:rsidRDefault="001E4D6E" w:rsidP="001E4D6E">
      <w:pPr>
        <w:ind w:firstLine="567"/>
        <w:jc w:val="both"/>
        <w:rPr>
          <w:rFonts w:ascii="Calibri" w:eastAsia="Calibri" w:hAnsi="Calibri" w:cs="Calibri"/>
          <w:sz w:val="22"/>
          <w:szCs w:val="22"/>
        </w:rPr>
      </w:pPr>
      <w:r w:rsidRPr="001E4D6E">
        <w:rPr>
          <w:rFonts w:ascii="Calibri" w:eastAsia="Calibri" w:hAnsi="Calibri" w:cs="Calibri"/>
          <w:sz w:val="22"/>
          <w:szCs w:val="22"/>
        </w:rPr>
        <w:t xml:space="preserve">Teisėjų kolegija, atsižvelgdama į </w:t>
      </w:r>
      <w:r w:rsidRPr="001E4D6E">
        <w:rPr>
          <w:rFonts w:ascii="Calibri" w:eastAsia="Calibri" w:hAnsi="Calibri"/>
          <w:sz w:val="22"/>
          <w:szCs w:val="22"/>
          <w:lang w:eastAsia="en-US"/>
        </w:rPr>
        <w:t xml:space="preserve">Visuomenės sveikatos priežiūros įstatymo </w:t>
      </w:r>
      <w:r w:rsidRPr="001E4D6E">
        <w:rPr>
          <w:rFonts w:ascii="Calibri" w:eastAsia="Calibri" w:hAnsi="Calibri" w:cs="Calibri"/>
          <w:sz w:val="22"/>
          <w:szCs w:val="22"/>
        </w:rPr>
        <w:t xml:space="preserve">ir Lietuvos Respublikos Vyriausybės 2004 m. rugpjūčio 19 d. įsakymu Nr. V-586 patvirtintas Sanitarinių apsaugos zonų ribų nustatymo ir režimo taisyklių nuostatas, įvertinusi sanitarinių apsaugos zonų (toliau – SAZ) reikšmę saugiai gyvenamajai aplinkai ir žmonių sveikatai, visuomenės suinteresuotumą, kad turi būti siekiama išvengti ekstremaliųjų situacijų grėsmės gyventojams, priėjo prie išvados, kad pirmosios instancijos teismas pagrįstai analizavo byloje dalyvaujančių asmenų procesiniuose dokumentuose teiktus argumentus apie SAZ sumažinimą ir dėl to neperžengė skundo ir bylos nagrinėjimo ribų. </w:t>
      </w:r>
    </w:p>
    <w:p w14:paraId="303862ED" w14:textId="77777777" w:rsidR="001E4D6E" w:rsidRPr="001E4D6E" w:rsidRDefault="001E4D6E" w:rsidP="001E4D6E">
      <w:pPr>
        <w:ind w:firstLine="567"/>
        <w:jc w:val="both"/>
        <w:rPr>
          <w:rFonts w:ascii="Calibri" w:eastAsia="Calibri" w:hAnsi="Calibri" w:cs="Calibri"/>
          <w:sz w:val="22"/>
          <w:szCs w:val="22"/>
        </w:rPr>
      </w:pPr>
      <w:r w:rsidRPr="001E4D6E">
        <w:rPr>
          <w:rFonts w:ascii="Calibri" w:eastAsia="Calibri" w:hAnsi="Calibri" w:cs="Calibri"/>
          <w:sz w:val="22"/>
          <w:szCs w:val="22"/>
        </w:rPr>
        <w:t>Ginčo PŪV – pavojingųjų ir nepavojingųjų atliekų supirkimo ir perdirbimo komplekso veiklos išplėtimas – bus vykdoma, pareiškėjo įsitikinimu, nepažeidžiant teisės aktuose nustatytų ribinių verčių dėl kvapo koncentracijos ir kietųjų dalelių (KD</w:t>
      </w:r>
      <w:r w:rsidRPr="001E4D6E">
        <w:rPr>
          <w:rFonts w:ascii="Calibri" w:eastAsia="Calibri" w:hAnsi="Calibri" w:cs="Calibri"/>
          <w:sz w:val="22"/>
          <w:szCs w:val="22"/>
          <w:vertAlign w:val="subscript"/>
        </w:rPr>
        <w:t>10</w:t>
      </w:r>
      <w:r w:rsidRPr="001E4D6E">
        <w:rPr>
          <w:rFonts w:ascii="Calibri" w:eastAsia="Calibri" w:hAnsi="Calibri" w:cs="Calibri"/>
          <w:sz w:val="22"/>
          <w:szCs w:val="22"/>
        </w:rPr>
        <w:t>) kiekio gyvenamojoje aplinkoje, todėl aplinkybė, kad kvapo koncentracija ir kietųjų dalelių (KD</w:t>
      </w:r>
      <w:r w:rsidRPr="001E4D6E">
        <w:rPr>
          <w:rFonts w:ascii="Calibri" w:eastAsia="Calibri" w:hAnsi="Calibri" w:cs="Calibri"/>
          <w:sz w:val="22"/>
          <w:szCs w:val="22"/>
          <w:vertAlign w:val="subscript"/>
        </w:rPr>
        <w:t>10</w:t>
      </w:r>
      <w:r w:rsidRPr="001E4D6E">
        <w:rPr>
          <w:rFonts w:ascii="Calibri" w:eastAsia="Calibri" w:hAnsi="Calibri" w:cs="Calibri"/>
          <w:sz w:val="22"/>
          <w:szCs w:val="22"/>
        </w:rPr>
        <w:t>) kiekis yra artimas jų ribinei vertei negali sudaryti pagrindo Agentūrai priimti sprendimą, jog PŪV negalima.</w:t>
      </w:r>
    </w:p>
    <w:p w14:paraId="7E37E43A" w14:textId="77777777" w:rsidR="001E4D6E" w:rsidRPr="001E4D6E" w:rsidRDefault="001E4D6E" w:rsidP="001E4D6E">
      <w:pPr>
        <w:ind w:firstLine="567"/>
        <w:jc w:val="both"/>
        <w:rPr>
          <w:rFonts w:ascii="Calibri" w:eastAsia="Calibri" w:hAnsi="Calibri" w:cs="Calibri"/>
          <w:sz w:val="22"/>
          <w:szCs w:val="22"/>
        </w:rPr>
      </w:pPr>
      <w:r w:rsidRPr="001E4D6E">
        <w:rPr>
          <w:rFonts w:ascii="Calibri" w:eastAsia="Calibri" w:hAnsi="Calibri" w:cs="Calibri"/>
          <w:sz w:val="22"/>
          <w:szCs w:val="22"/>
        </w:rPr>
        <w:t>Vertinant šiuos pareiškėjo argumentus atkreiptas dėmesys, kad 2008 m. gegužės 21 d. Europos Parlamento ir Tarybos direktyvos 2008/50/EB dėl aplinkos oro kokybės ir švaresnio oro Europoje (toliau – Direktyva 2008/50/EB) 9 konstatuojamojoje dalyje ir 1 straipsnio 5 punkte nustatytas oro kokybės gerinimo principas, pagal kurį vietose, kuriose oro kokybės būklė jau yra gera, reikėtų ją palaikyti arba gerinti.</w:t>
      </w:r>
      <w:r w:rsidRPr="001E4D6E">
        <w:rPr>
          <w:rFonts w:ascii="Calibri" w:eastAsia="Calibri" w:hAnsi="Calibri" w:cs="Calibri"/>
          <w:sz w:val="22"/>
          <w:szCs w:val="22"/>
        </w:rPr>
        <w:tab/>
      </w:r>
    </w:p>
    <w:p w14:paraId="413B85DF" w14:textId="7046D96C" w:rsidR="001E4D6E" w:rsidRPr="001E4D6E" w:rsidRDefault="001E4D6E" w:rsidP="001E4D6E">
      <w:pPr>
        <w:ind w:firstLine="567"/>
        <w:jc w:val="both"/>
        <w:rPr>
          <w:rFonts w:ascii="Calibri" w:eastAsia="Calibri" w:hAnsi="Calibri" w:cs="Calibri"/>
          <w:sz w:val="22"/>
          <w:szCs w:val="22"/>
        </w:rPr>
      </w:pPr>
      <w:r w:rsidRPr="001E4D6E">
        <w:rPr>
          <w:rFonts w:ascii="Calibri" w:eastAsia="Calibri" w:hAnsi="Calibri" w:cs="Calibri"/>
          <w:sz w:val="22"/>
          <w:szCs w:val="22"/>
        </w:rPr>
        <w:t>EŽTT praktikoje konstatuojama, jog veiksmingas naudojimasis teise į pagarbą savo namams reikalauja, kad valstybė imtųsi visų pagrįstų ir tinkamų priemonių, reikalingų apsaugoti asmenis nuo didelės žalos jų aplinkai (žr., pvz., EŽTT 2009 m. sausio 27 d. sprendimą</w:t>
      </w:r>
      <w:r w:rsidR="00D24051">
        <w:rPr>
          <w:rFonts w:ascii="Calibri" w:eastAsia="Calibri" w:hAnsi="Calibri" w:cs="Calibri"/>
          <w:sz w:val="22"/>
          <w:szCs w:val="22"/>
        </w:rPr>
        <w:t xml:space="preserve"> byloje </w:t>
      </w:r>
      <w:r w:rsidRPr="001E4D6E">
        <w:rPr>
          <w:rFonts w:ascii="Calibri" w:eastAsia="Calibri" w:hAnsi="Calibri" w:cs="Calibri"/>
          <w:i/>
          <w:iCs/>
          <w:sz w:val="22"/>
          <w:szCs w:val="22"/>
        </w:rPr>
        <w:t>Tătar prieš Rumuniją</w:t>
      </w:r>
      <w:r w:rsidRPr="001E4D6E">
        <w:rPr>
          <w:rFonts w:ascii="Calibri" w:eastAsia="Calibri" w:hAnsi="Calibri" w:cs="Calibri"/>
          <w:sz w:val="22"/>
          <w:szCs w:val="22"/>
        </w:rPr>
        <w:t>, pareiškimo Nr. 67021/01). Konvencijos 8 straipsnio pažeidimas gali kilti, kai pavojus aplinkai yra tokio sunkumo, dėl kurio labai sumažėja asmens galimybė mėgautis savo namais ar asmeniniu bei šeimos gyvenimu (žr., pvz., EŽTT 2017 m. liepos 13 d. sprendimą</w:t>
      </w:r>
      <w:r w:rsidR="00D24051">
        <w:rPr>
          <w:rFonts w:ascii="Calibri" w:eastAsia="Calibri" w:hAnsi="Calibri" w:cs="Calibri"/>
          <w:sz w:val="22"/>
          <w:szCs w:val="22"/>
        </w:rPr>
        <w:t xml:space="preserve"> byloje</w:t>
      </w:r>
      <w:r w:rsidRPr="001E4D6E">
        <w:rPr>
          <w:rFonts w:ascii="Calibri" w:eastAsia="Calibri" w:hAnsi="Calibri" w:cs="Calibri"/>
          <w:sz w:val="22"/>
          <w:szCs w:val="22"/>
        </w:rPr>
        <w:t xml:space="preserve"> </w:t>
      </w:r>
      <w:r w:rsidRPr="001E4D6E">
        <w:rPr>
          <w:rFonts w:ascii="Calibri" w:eastAsia="Calibri" w:hAnsi="Calibri" w:cs="Calibri"/>
          <w:i/>
          <w:iCs/>
          <w:sz w:val="22"/>
          <w:szCs w:val="22"/>
        </w:rPr>
        <w:t>Jugheli ir kt. prieš Gruziją</w:t>
      </w:r>
      <w:r w:rsidRPr="001E4D6E">
        <w:rPr>
          <w:rFonts w:ascii="Calibri" w:eastAsia="Calibri" w:hAnsi="Calibri" w:cs="Calibri"/>
          <w:sz w:val="22"/>
          <w:szCs w:val="22"/>
        </w:rPr>
        <w:t xml:space="preserve">, pareiškimo Nr. 38342/05). Valstybė turi pasiekti tinkamą konkuruojančių interesų pusiausvyrą (žr., pvz., EŽTT 2005 m. birželio 9 d. sprendimą byloje </w:t>
      </w:r>
      <w:r w:rsidRPr="001E4D6E">
        <w:rPr>
          <w:rFonts w:ascii="Calibri" w:eastAsia="Calibri" w:hAnsi="Calibri" w:cs="Calibri"/>
          <w:i/>
          <w:iCs/>
          <w:sz w:val="22"/>
          <w:szCs w:val="22"/>
        </w:rPr>
        <w:t>Fadeyeva prieš Rusiją</w:t>
      </w:r>
      <w:r w:rsidRPr="001E4D6E">
        <w:rPr>
          <w:rFonts w:ascii="Calibri" w:eastAsia="Calibri" w:hAnsi="Calibri" w:cs="Calibri"/>
          <w:sz w:val="22"/>
          <w:szCs w:val="22"/>
        </w:rPr>
        <w:t>, pareiškimo Nr. 55723/00; 2012 m. vasario 14 d. sprendimą</w:t>
      </w:r>
      <w:r w:rsidR="00D24051">
        <w:rPr>
          <w:rFonts w:ascii="Calibri" w:eastAsia="Calibri" w:hAnsi="Calibri" w:cs="Calibri"/>
          <w:sz w:val="22"/>
          <w:szCs w:val="22"/>
        </w:rPr>
        <w:t xml:space="preserve"> byloje</w:t>
      </w:r>
      <w:r w:rsidRPr="001E4D6E">
        <w:rPr>
          <w:rFonts w:ascii="Calibri" w:eastAsia="Calibri" w:hAnsi="Calibri" w:cs="Calibri"/>
          <w:sz w:val="22"/>
          <w:szCs w:val="22"/>
        </w:rPr>
        <w:t xml:space="preserve"> </w:t>
      </w:r>
      <w:r w:rsidRPr="001E4D6E">
        <w:rPr>
          <w:rFonts w:ascii="Calibri" w:eastAsia="Calibri" w:hAnsi="Calibri" w:cs="Calibri"/>
          <w:i/>
          <w:iCs/>
          <w:sz w:val="22"/>
          <w:szCs w:val="22"/>
        </w:rPr>
        <w:t>Hardy ir Maile prieš Jungtinę Karalystę</w:t>
      </w:r>
      <w:r w:rsidRPr="001E4D6E">
        <w:rPr>
          <w:rFonts w:ascii="Calibri" w:eastAsia="Calibri" w:hAnsi="Calibri" w:cs="Calibri"/>
          <w:sz w:val="22"/>
          <w:szCs w:val="22"/>
        </w:rPr>
        <w:t xml:space="preserve">, pareiškimo Nr. 31965/07). Pavojaus aplinkai minimalaus lygio vertinimas tokiose bylose yra </w:t>
      </w:r>
      <w:r w:rsidRPr="001E4D6E">
        <w:rPr>
          <w:rFonts w:ascii="Calibri" w:eastAsia="Calibri" w:hAnsi="Calibri" w:cs="Calibri"/>
          <w:sz w:val="22"/>
          <w:szCs w:val="22"/>
        </w:rPr>
        <w:lastRenderedPageBreak/>
        <w:t xml:space="preserve">reliatyvus ir priklauso nuo visų atvejo aplinkybių, tokių kaip nepatogumų intensyvumas ir trukmė bei fizinis ar psichinis poveikis asmens sveikatai ar gyvenimo kokybei (žr., pvz., EŽTT 2005 m. birželio 9 d. sprendimą byloje </w:t>
      </w:r>
      <w:r w:rsidRPr="001E4D6E">
        <w:rPr>
          <w:rFonts w:ascii="Calibri" w:eastAsia="Calibri" w:hAnsi="Calibri" w:cs="Calibri"/>
          <w:i/>
          <w:iCs/>
          <w:sz w:val="22"/>
          <w:szCs w:val="22"/>
        </w:rPr>
        <w:t>Fadeyeva prieš Rusiją</w:t>
      </w:r>
      <w:r w:rsidRPr="001E4D6E">
        <w:rPr>
          <w:rFonts w:ascii="Calibri" w:eastAsia="Calibri" w:hAnsi="Calibri" w:cs="Calibri"/>
          <w:sz w:val="22"/>
          <w:szCs w:val="22"/>
        </w:rPr>
        <w:t xml:space="preserve">, pareiškimo Nr. 55723/00; 2011 m. vasario 10 d. sprendimą byloje </w:t>
      </w:r>
      <w:r w:rsidRPr="001E4D6E">
        <w:rPr>
          <w:rFonts w:ascii="Calibri" w:eastAsia="Calibri" w:hAnsi="Calibri" w:cs="Calibri"/>
          <w:i/>
          <w:iCs/>
          <w:sz w:val="22"/>
          <w:szCs w:val="22"/>
        </w:rPr>
        <w:t>Dubetska ir kt. prieš Ukrainą</w:t>
      </w:r>
      <w:r w:rsidRPr="001E4D6E">
        <w:rPr>
          <w:rFonts w:ascii="Calibri" w:eastAsia="Calibri" w:hAnsi="Calibri" w:cs="Calibri"/>
          <w:sz w:val="22"/>
          <w:szCs w:val="22"/>
        </w:rPr>
        <w:t>, pareiškimo Nr.</w:t>
      </w:r>
      <w:r w:rsidR="00FD6345">
        <w:rPr>
          <w:rFonts w:ascii="Calibri" w:eastAsia="Calibri" w:hAnsi="Calibri" w:cs="Calibri"/>
          <w:sz w:val="22"/>
          <w:szCs w:val="22"/>
        </w:rPr>
        <w:t> </w:t>
      </w:r>
      <w:r w:rsidRPr="001E4D6E">
        <w:rPr>
          <w:rFonts w:ascii="Calibri" w:eastAsia="Calibri" w:hAnsi="Calibri" w:cs="Calibri"/>
          <w:sz w:val="22"/>
          <w:szCs w:val="22"/>
        </w:rPr>
        <w:t xml:space="preserve">30499/03; 2011 m. liepos 21 d. sprendimą byloje </w:t>
      </w:r>
      <w:r w:rsidRPr="001E4D6E">
        <w:rPr>
          <w:rFonts w:ascii="Calibri" w:eastAsia="Calibri" w:hAnsi="Calibri" w:cs="Calibri"/>
          <w:i/>
          <w:iCs/>
          <w:sz w:val="22"/>
          <w:szCs w:val="22"/>
        </w:rPr>
        <w:t>Grimkovskaya prieš Ukrainą</w:t>
      </w:r>
      <w:r w:rsidRPr="001E4D6E">
        <w:rPr>
          <w:rFonts w:ascii="Calibri" w:eastAsia="Calibri" w:hAnsi="Calibri" w:cs="Calibri"/>
          <w:sz w:val="22"/>
          <w:szCs w:val="22"/>
        </w:rPr>
        <w:t xml:space="preserve">, pareiškimo Nr. 38182/03). </w:t>
      </w:r>
    </w:p>
    <w:p w14:paraId="238B9F25" w14:textId="77777777" w:rsidR="001E4D6E" w:rsidRPr="001E4D6E" w:rsidRDefault="001E4D6E" w:rsidP="001E4D6E">
      <w:pPr>
        <w:ind w:firstLine="567"/>
        <w:jc w:val="both"/>
        <w:rPr>
          <w:rFonts w:ascii="Calibri" w:eastAsia="Calibri" w:hAnsi="Calibri" w:cs="Calibri"/>
          <w:sz w:val="22"/>
          <w:szCs w:val="22"/>
        </w:rPr>
      </w:pPr>
      <w:r w:rsidRPr="001E4D6E">
        <w:rPr>
          <w:rFonts w:ascii="Calibri" w:eastAsia="Calibri" w:hAnsi="Calibri" w:cs="Calibri"/>
          <w:sz w:val="22"/>
          <w:szCs w:val="22"/>
        </w:rPr>
        <w:t>LVAT praktikoje konstatuojama, jog remiantis PAVĮ 9 straipsnio 1 dalimi pareiškėjas jau PAV ataskaitoje turėjo pateikti tokius planuojamos veiklos aprašymus bei argumentus, kurie būtų leidę atsakovui spręsti dėl to, kad planuojama veikla nedarys neigiamo poveikio aplinkai (žr., pvz., 2019 m. balandžio 9 d. nutartį administracinėje byloje Nr. eA-289-822/2019).</w:t>
      </w:r>
    </w:p>
    <w:p w14:paraId="3E650DD5" w14:textId="53BAADB0" w:rsidR="001E4D6E" w:rsidRPr="001E4D6E" w:rsidRDefault="001E4D6E" w:rsidP="001E4D6E">
      <w:pPr>
        <w:ind w:firstLine="567"/>
        <w:jc w:val="both"/>
        <w:rPr>
          <w:rFonts w:ascii="Calibri" w:eastAsia="Calibri" w:hAnsi="Calibri" w:cs="Calibri"/>
          <w:sz w:val="22"/>
          <w:szCs w:val="22"/>
        </w:rPr>
      </w:pPr>
      <w:r w:rsidRPr="001E4D6E">
        <w:rPr>
          <w:rFonts w:ascii="Calibri" w:eastAsia="Calibri" w:hAnsi="Calibri" w:cs="Calibri"/>
          <w:sz w:val="22"/>
          <w:szCs w:val="22"/>
        </w:rPr>
        <w:t>Teisėjų kolegija, įvertinusi tai, jog pareiškėjas siek</w:t>
      </w:r>
      <w:r w:rsidR="00FD6345">
        <w:rPr>
          <w:rFonts w:ascii="Calibri" w:eastAsia="Calibri" w:hAnsi="Calibri" w:cs="Calibri"/>
          <w:sz w:val="22"/>
          <w:szCs w:val="22"/>
        </w:rPr>
        <w:t>ė</w:t>
      </w:r>
      <w:r w:rsidRPr="001E4D6E">
        <w:rPr>
          <w:rFonts w:ascii="Calibri" w:eastAsia="Calibri" w:hAnsi="Calibri" w:cs="Calibri"/>
          <w:sz w:val="22"/>
          <w:szCs w:val="22"/>
        </w:rPr>
        <w:t xml:space="preserve"> padidinti metinį tvarkomų pavojingųjų ir nepavojingųjų atliekų kiekį iki 504 000 t/m, taip pat ir didžiausią vienu metu laikomų pavojingųjų ir nepavojingųjų atliekų kiekį, t. y. PŪV mastą (veiklos apimtys didinamos nuo 5 iki 158 kartų) ir pobūdį (pavojingųjų ir nepavojingųjų atliekų supirkimo ir perdirbimo kompleksas, pareiškėjas ketina tvarkyti atliekas, kurių anksčiau netvarkė), bei tai, kad nustatyta, jog PAV ataskaitoje pateikta informacija apie įrenginio pajėgumus sutvarkyti planuojamus atliekų kiekius ir galimybę sutalpinti atliekas yra abejotina, jog pareiškėjas nesiekia naudoti pažangių pavojingųjų ir nepavojingųjų atliekų tvarkymo technologijų, arti PŪV teritorijos yra gyvenamieji namai ir gyventojams kyla potenciali rizika dėl ekstremaliųjų situacijų grėsmės, padarė išvadą, kad </w:t>
      </w:r>
      <w:r w:rsidRPr="001E4D6E">
        <w:rPr>
          <w:rFonts w:ascii="Calibri" w:eastAsia="Calibri" w:hAnsi="Calibri" w:cs="Calibri"/>
          <w:sz w:val="22"/>
          <w:szCs w:val="22"/>
          <w:u w:val="single"/>
        </w:rPr>
        <w:t>vien tai, jog kvapo sklaidos aplinkos ore ir oro teršalų modeliavimo duomenys nesiekė ribinės vertės, nesudaro pagrindo daryti išvadą, kad ginčijamas sprendimas yra nepagrįstas ir neteisėtas, o PŪV aplinkosauginiu požiūriu nėra potencialus taršos šaltinis, kuris kelia grėsmę tiek aplinkai, tiek visuomenės sveikatai ir saugumui</w:t>
      </w:r>
      <w:r w:rsidRPr="001E4D6E">
        <w:rPr>
          <w:rFonts w:ascii="Calibri" w:eastAsia="Calibri" w:hAnsi="Calibri" w:cs="Calibri"/>
          <w:sz w:val="22"/>
          <w:szCs w:val="22"/>
        </w:rPr>
        <w:t xml:space="preserve">. </w:t>
      </w:r>
    </w:p>
    <w:p w14:paraId="45D0717B" w14:textId="77777777" w:rsidR="001E4D6E" w:rsidRPr="001E4D6E" w:rsidRDefault="001E4D6E" w:rsidP="001E4D6E">
      <w:pPr>
        <w:ind w:firstLine="567"/>
        <w:jc w:val="both"/>
        <w:rPr>
          <w:rFonts w:ascii="Calibri" w:eastAsia="Calibri" w:hAnsi="Calibri" w:cs="Calibri"/>
          <w:sz w:val="22"/>
          <w:szCs w:val="22"/>
        </w:rPr>
      </w:pPr>
      <w:r w:rsidRPr="001E4D6E">
        <w:rPr>
          <w:rFonts w:ascii="Calibri" w:eastAsia="Calibri" w:hAnsi="Calibri" w:cs="Calibri"/>
          <w:sz w:val="22"/>
          <w:szCs w:val="22"/>
        </w:rPr>
        <w:t>Pažymėta ir tai, jog byloje buvo duomenų, kad atsakovas buvo nuvykęs į PŪV teritoriją ir ją vizualiai įvertinęs nustatė, kad atliekų tvarkymo talpos buvo atidengtos, atviros, atliekų tvarkymo veikla buvo vykdoma netvarkingai. Pareiškėjas nebuvo parengęs galimų avarijų ir incidentų valdymo plano, programos, skirtos sumažinti galimą pavojų žmonių sveikatai ir aplinkai nuo gaisro, sprogimo ar skystų atliekų nutekėjimo. Ekstremaliųjų situacijų valdymo planas pateiktas tik nagrinėjant bylą teisme. Visos šios aplinkybės, ypač atsižvelgiant į Direktyvoje 2008/50/EB įtvirtintą oro kokybės gerinimo principą, suteikia pagrindą spręsti, jog šiuo atveju prioritetas turi būti teikiamas visuomenės apsaugai nuo didelės žalos jos gyvenamajai aplinkai, ir pritarti Agentūros sprendimui, jog nustatyta aplinkybė, kad kvapo koncentracija ir kietųjų dalelių (KD10) kiekis yra artimas jų ribinei vertei, kartu su kitomis nustatytomis aplinkybėmis yra pakankamas pagrindas sprendimui, jog PŪV negalima.</w:t>
      </w:r>
    </w:p>
    <w:p w14:paraId="689E5200" w14:textId="77777777" w:rsidR="001E4D6E" w:rsidRPr="001E4D6E" w:rsidRDefault="001E4D6E" w:rsidP="001E4D6E">
      <w:pPr>
        <w:ind w:firstLine="567"/>
        <w:jc w:val="both"/>
        <w:rPr>
          <w:rFonts w:ascii="Calibri" w:eastAsia="Calibri" w:hAnsi="Calibri" w:cs="Calibri"/>
          <w:sz w:val="22"/>
          <w:szCs w:val="22"/>
        </w:rPr>
      </w:pPr>
      <w:r w:rsidRPr="001E4D6E">
        <w:rPr>
          <w:rFonts w:ascii="Calibri" w:eastAsia="Calibri" w:hAnsi="Calibri" w:cs="Calibri"/>
          <w:sz w:val="22"/>
          <w:szCs w:val="22"/>
        </w:rPr>
        <w:t>Pirmosios instancijos teismo sprendimas paliktas nepakeistas, o apeliacinis skundas atmestas.</w:t>
      </w:r>
    </w:p>
    <w:p w14:paraId="1CBCAD6F" w14:textId="77777777" w:rsidR="001E4D6E" w:rsidRPr="001E4D6E" w:rsidRDefault="001E4D6E" w:rsidP="001E4D6E">
      <w:pPr>
        <w:jc w:val="both"/>
        <w:rPr>
          <w:rFonts w:ascii="Calibri" w:eastAsia="Calibri" w:hAnsi="Calibri" w:cs="Calibri"/>
          <w:sz w:val="22"/>
          <w:szCs w:val="22"/>
        </w:rPr>
      </w:pPr>
    </w:p>
    <w:p w14:paraId="0D56303A" w14:textId="77777777" w:rsidR="001E4D6E" w:rsidRPr="001E4D6E" w:rsidRDefault="001E4D6E" w:rsidP="001E4D6E">
      <w:pPr>
        <w:jc w:val="both"/>
        <w:rPr>
          <w:rFonts w:ascii="Calibri" w:hAnsi="Calibri" w:cs="Calibri"/>
          <w:b/>
          <w:sz w:val="22"/>
          <w:szCs w:val="22"/>
        </w:rPr>
      </w:pPr>
      <w:r w:rsidRPr="001E4D6E">
        <w:rPr>
          <w:rFonts w:ascii="Calibri" w:hAnsi="Calibri" w:cs="Calibri"/>
          <w:sz w:val="22"/>
          <w:szCs w:val="22"/>
        </w:rPr>
        <w:t>2020 m. spalio 7 d. nutartis administracinėje byloje Nr. eA-2282-520/2020</w:t>
      </w:r>
    </w:p>
    <w:p w14:paraId="3E84DDB0" w14:textId="77777777" w:rsidR="001E4D6E" w:rsidRPr="001E4D6E" w:rsidRDefault="001E4D6E" w:rsidP="001E4D6E">
      <w:pPr>
        <w:jc w:val="both"/>
        <w:rPr>
          <w:rFonts w:ascii="Calibri" w:hAnsi="Calibri" w:cs="Calibri"/>
          <w:sz w:val="22"/>
          <w:szCs w:val="22"/>
        </w:rPr>
      </w:pPr>
      <w:r w:rsidRPr="001E4D6E">
        <w:rPr>
          <w:rFonts w:ascii="Calibri" w:hAnsi="Calibri" w:cs="Calibri"/>
          <w:sz w:val="22"/>
          <w:szCs w:val="22"/>
        </w:rPr>
        <w:t>Teisminio proceso Nr. 3-61-3-03800-2018-5</w:t>
      </w:r>
    </w:p>
    <w:p w14:paraId="0A3980C2" w14:textId="77777777" w:rsidR="001E4D6E" w:rsidRPr="001E4D6E" w:rsidRDefault="001E4D6E" w:rsidP="001E4D6E">
      <w:pPr>
        <w:jc w:val="both"/>
        <w:rPr>
          <w:rFonts w:ascii="Calibri" w:hAnsi="Calibri" w:cs="Calibri"/>
          <w:bCs/>
          <w:sz w:val="22"/>
          <w:szCs w:val="22"/>
        </w:rPr>
      </w:pPr>
      <w:r w:rsidRPr="001E4D6E">
        <w:rPr>
          <w:rFonts w:ascii="Calibri" w:hAnsi="Calibri" w:cs="Calibri"/>
          <w:sz w:val="22"/>
          <w:szCs w:val="22"/>
        </w:rPr>
        <w:t xml:space="preserve">Procesinio sprendimo kategorija </w:t>
      </w:r>
      <w:r w:rsidRPr="001E4D6E">
        <w:rPr>
          <w:rFonts w:ascii="Calibri" w:hAnsi="Calibri" w:cs="Calibri"/>
          <w:bCs/>
          <w:sz w:val="22"/>
          <w:szCs w:val="22"/>
        </w:rPr>
        <w:t>14.2.1</w:t>
      </w:r>
    </w:p>
    <w:p w14:paraId="5B0D4175" w14:textId="77777777" w:rsidR="001E4D6E" w:rsidRPr="001E4D6E" w:rsidRDefault="000F189C" w:rsidP="001E4D6E">
      <w:pPr>
        <w:jc w:val="both"/>
        <w:rPr>
          <w:rFonts w:ascii="Calibri" w:hAnsi="Calibri"/>
          <w:color w:val="0000FF"/>
          <w:sz w:val="22"/>
          <w:szCs w:val="22"/>
          <w:u w:val="single"/>
          <w:lang w:eastAsia="en-US"/>
        </w:rPr>
      </w:pPr>
      <w:hyperlink r:id="rId15" w:history="1">
        <w:r w:rsidR="001E4D6E" w:rsidRPr="001E4D6E">
          <w:rPr>
            <w:rFonts w:ascii="Calibri" w:hAnsi="Calibri" w:cs="Calibri"/>
            <w:color w:val="0000FF"/>
            <w:sz w:val="22"/>
            <w:szCs w:val="22"/>
            <w:u w:val="single"/>
          </w:rPr>
          <w:t>Prieiga internete</w:t>
        </w:r>
      </w:hyperlink>
    </w:p>
    <w:p w14:paraId="5D9A5402" w14:textId="50FB4FD6" w:rsidR="001E4D6E" w:rsidRDefault="001E4D6E" w:rsidP="007412F7">
      <w:pPr>
        <w:shd w:val="clear" w:color="auto" w:fill="FFFFFF"/>
        <w:tabs>
          <w:tab w:val="left" w:pos="3119"/>
        </w:tabs>
        <w:ind w:right="-1" w:firstLine="567"/>
        <w:jc w:val="both"/>
        <w:rPr>
          <w:rFonts w:ascii="Calibri" w:hAnsi="Calibri" w:cs="Calibri"/>
          <w:sz w:val="22"/>
          <w:szCs w:val="22"/>
        </w:rPr>
      </w:pPr>
    </w:p>
    <w:p w14:paraId="2DECD4AB" w14:textId="77777777" w:rsidR="00A746BE" w:rsidRPr="00A746BE" w:rsidRDefault="00A746BE" w:rsidP="00A746BE">
      <w:pPr>
        <w:jc w:val="both"/>
        <w:outlineLvl w:val="0"/>
        <w:rPr>
          <w:rFonts w:ascii="Calibri" w:hAnsi="Calibri"/>
          <w:b/>
          <w:sz w:val="22"/>
          <w:szCs w:val="22"/>
          <w:u w:val="single"/>
        </w:rPr>
      </w:pPr>
      <w:bookmarkStart w:id="39" w:name="_Toc58851698"/>
      <w:r w:rsidRPr="00A746BE">
        <w:rPr>
          <w:rFonts w:ascii="Calibri" w:hAnsi="Calibri"/>
          <w:b/>
          <w:sz w:val="22"/>
          <w:szCs w:val="22"/>
          <w:u w:val="single"/>
        </w:rPr>
        <w:t>17. Statyba</w:t>
      </w:r>
      <w:bookmarkEnd w:id="39"/>
    </w:p>
    <w:p w14:paraId="71A77484" w14:textId="77777777" w:rsidR="00A746BE" w:rsidRPr="00A746BE" w:rsidRDefault="00A746BE" w:rsidP="00A746BE">
      <w:pPr>
        <w:ind w:firstLine="567"/>
        <w:rPr>
          <w:rFonts w:ascii="Calibri" w:hAnsi="Calibri"/>
          <w:b/>
          <w:sz w:val="22"/>
          <w:szCs w:val="22"/>
          <w:u w:val="single"/>
        </w:rPr>
      </w:pPr>
      <w:r w:rsidRPr="00A746BE">
        <w:rPr>
          <w:rFonts w:ascii="Calibri" w:hAnsi="Calibri"/>
          <w:b/>
          <w:sz w:val="22"/>
          <w:szCs w:val="22"/>
          <w:u w:val="single"/>
        </w:rPr>
        <w:t>17.6. Statybos valstybinė priežiūra</w:t>
      </w:r>
    </w:p>
    <w:p w14:paraId="402DE856" w14:textId="77777777" w:rsidR="00A746BE" w:rsidRPr="00A746BE" w:rsidRDefault="00A746BE" w:rsidP="00A746BE">
      <w:pPr>
        <w:rPr>
          <w:rFonts w:ascii="Calibri" w:hAnsi="Calibri" w:cs="Calibri"/>
          <w:bCs/>
          <w:sz w:val="22"/>
          <w:szCs w:val="22"/>
        </w:rPr>
      </w:pPr>
    </w:p>
    <w:p w14:paraId="3C36F2CD" w14:textId="77777777" w:rsidR="00A746BE" w:rsidRPr="00A746BE" w:rsidRDefault="00A746BE" w:rsidP="00A746BE">
      <w:pPr>
        <w:jc w:val="both"/>
        <w:outlineLvl w:val="1"/>
        <w:rPr>
          <w:rFonts w:ascii="Calibri" w:eastAsia="Calibri" w:hAnsi="Calibri" w:cs="Calibri"/>
          <w:i/>
          <w:sz w:val="22"/>
          <w:szCs w:val="22"/>
        </w:rPr>
      </w:pPr>
      <w:bookmarkStart w:id="40" w:name="_Toc58851699"/>
      <w:r w:rsidRPr="00A746BE">
        <w:rPr>
          <w:rFonts w:ascii="Calibri" w:eastAsia="Calibri" w:hAnsi="Calibri" w:cs="Calibri"/>
          <w:i/>
          <w:sz w:val="22"/>
          <w:szCs w:val="22"/>
        </w:rPr>
        <w:t>Dėl Valstybinės teritorijų planavimo ir statybos inspekcijos teisės ginčyti deklaraciją apie statybos užbaigimą, kai statinys yra perleistas tretiesiems asmenims, įgyvendinimo</w:t>
      </w:r>
      <w:bookmarkEnd w:id="40"/>
    </w:p>
    <w:p w14:paraId="230D67DC" w14:textId="77777777" w:rsidR="00A746BE" w:rsidRPr="00A746BE" w:rsidRDefault="00A746BE" w:rsidP="00A746BE">
      <w:pPr>
        <w:ind w:firstLine="567"/>
        <w:rPr>
          <w:rFonts w:ascii="Calibri" w:hAnsi="Calibri" w:cs="Calibri"/>
          <w:bCs/>
          <w:sz w:val="22"/>
          <w:szCs w:val="22"/>
        </w:rPr>
      </w:pPr>
    </w:p>
    <w:p w14:paraId="54561E0A" w14:textId="77777777" w:rsidR="00A746BE" w:rsidRPr="00A746BE" w:rsidRDefault="00A746BE" w:rsidP="00A746BE">
      <w:pPr>
        <w:ind w:firstLine="567"/>
        <w:jc w:val="both"/>
        <w:rPr>
          <w:rFonts w:ascii="Calibri" w:hAnsi="Calibri" w:cs="Calibri"/>
          <w:bCs/>
          <w:sz w:val="22"/>
          <w:szCs w:val="22"/>
        </w:rPr>
      </w:pPr>
      <w:r w:rsidRPr="00A746BE">
        <w:rPr>
          <w:rFonts w:ascii="Calibri" w:hAnsi="Calibri" w:cs="Calibri"/>
          <w:bCs/>
          <w:sz w:val="22"/>
          <w:szCs w:val="22"/>
        </w:rPr>
        <w:t>Šioje byloje Valstybinė teritorijų planavimo ir statybos inspekcija prie Aplinkos ministerijos (toliau – Inspekcija) kreipėsi į teismą su prašymu panaikinti UAB „Senamiesčio turtas“ (toliau – Statytojas) 2016 m. lapkričio 16 d. surašytos (pateikta 2016 m. lapkričio 18 d.) deklaracijos apie statybos užbaigimą (toliau – Deklaracija) galiojimą bei pastatyto Gyvenamojo namo teisinę registraciją. Apžvelgiamu atveju buvo susiklosčiusi situacija, kai atsakovas – Statytojas – nuosavybės teises į Gyvenamąjį namą buvo perleidęs tretiesiems asmenims.</w:t>
      </w:r>
    </w:p>
    <w:p w14:paraId="06CB4B8A" w14:textId="77777777" w:rsidR="00A746BE" w:rsidRPr="00A746BE" w:rsidRDefault="00A746BE" w:rsidP="00A746BE">
      <w:pPr>
        <w:ind w:firstLine="567"/>
        <w:jc w:val="both"/>
        <w:rPr>
          <w:rFonts w:ascii="Calibri" w:hAnsi="Calibri" w:cs="Calibri"/>
          <w:bCs/>
          <w:sz w:val="22"/>
          <w:szCs w:val="22"/>
        </w:rPr>
      </w:pPr>
      <w:r w:rsidRPr="00A746BE">
        <w:rPr>
          <w:rFonts w:ascii="Calibri" w:hAnsi="Calibri" w:cs="Calibri"/>
          <w:bCs/>
          <w:sz w:val="22"/>
          <w:szCs w:val="22"/>
        </w:rPr>
        <w:t xml:space="preserve">Pirmosios instancijos teismas, nustatęs, kad Statytojas Gyvenamąjį namą pastatė ne pagal statybą leidžiantį dokumentą, todėl neturėjo teisės surašyti Deklaraciją, Inspekcijos prašymą tenkino – panaikino Deklaracijos galiojimą ir Gyvenamojo namo teisinę registraciją. Pastarąjį reikalavimą pirmosios instancijos </w:t>
      </w:r>
      <w:r w:rsidRPr="00A746BE">
        <w:rPr>
          <w:rFonts w:ascii="Calibri" w:hAnsi="Calibri" w:cs="Calibri"/>
          <w:bCs/>
          <w:sz w:val="22"/>
          <w:szCs w:val="22"/>
        </w:rPr>
        <w:lastRenderedPageBreak/>
        <w:t>teismas laikė išvestiniu ir tenkino, padaręs išvadą, jog neteisėtai surašytos ir pateiktos registruoti Deklaracijos teisinės pasekmės negali būti pripažįstamos teisėtomis.</w:t>
      </w:r>
    </w:p>
    <w:p w14:paraId="7400B90A" w14:textId="4401894F" w:rsidR="00A83191" w:rsidRPr="00A746BE" w:rsidRDefault="00A746BE" w:rsidP="00A83191">
      <w:pPr>
        <w:ind w:firstLine="567"/>
        <w:jc w:val="both"/>
        <w:rPr>
          <w:rFonts w:ascii="Calibri" w:hAnsi="Calibri" w:cs="Calibri"/>
          <w:bCs/>
          <w:sz w:val="22"/>
          <w:szCs w:val="22"/>
        </w:rPr>
      </w:pPr>
      <w:r w:rsidRPr="00A746BE">
        <w:rPr>
          <w:rFonts w:ascii="Calibri" w:hAnsi="Calibri" w:cs="Calibri"/>
          <w:bCs/>
          <w:sz w:val="22"/>
          <w:szCs w:val="22"/>
        </w:rPr>
        <w:t xml:space="preserve">Tačiau išplėstinė teisėjų kolegija sprendė, kad pirmosios instancijos teismas nenustatė visų bylai svarbių aplinkybių, visapusiškai ir objektyviai remdamasis byloje </w:t>
      </w:r>
      <w:r w:rsidR="00A83191">
        <w:rPr>
          <w:rFonts w:ascii="Calibri" w:hAnsi="Calibri" w:cs="Calibri"/>
          <w:bCs/>
          <w:sz w:val="22"/>
          <w:szCs w:val="22"/>
        </w:rPr>
        <w:t>esančiais įrodymais jų neištyrė.</w:t>
      </w:r>
      <w:r w:rsidRPr="00A746BE">
        <w:rPr>
          <w:rFonts w:ascii="Calibri" w:hAnsi="Calibri" w:cs="Calibri"/>
          <w:bCs/>
          <w:sz w:val="22"/>
          <w:szCs w:val="22"/>
        </w:rPr>
        <w:t xml:space="preserve"> </w:t>
      </w:r>
      <w:r w:rsidR="00986D77">
        <w:rPr>
          <w:rFonts w:ascii="Calibri" w:hAnsi="Calibri" w:cs="Calibri"/>
          <w:bCs/>
          <w:sz w:val="22"/>
          <w:szCs w:val="22"/>
        </w:rPr>
        <w:t>Tokia</w:t>
      </w:r>
      <w:r w:rsidR="00A83191" w:rsidRPr="00A746BE">
        <w:rPr>
          <w:rFonts w:ascii="Calibri" w:hAnsi="Calibri" w:cs="Calibri"/>
          <w:bCs/>
          <w:sz w:val="22"/>
          <w:szCs w:val="22"/>
        </w:rPr>
        <w:t xml:space="preserve"> išplėstinės teisėjų kolegijos </w:t>
      </w:r>
      <w:r w:rsidR="00986D77">
        <w:rPr>
          <w:rFonts w:ascii="Calibri" w:hAnsi="Calibri" w:cs="Calibri"/>
          <w:bCs/>
          <w:sz w:val="22"/>
          <w:szCs w:val="22"/>
        </w:rPr>
        <w:t>išvada iš esmės buvo grindžiama</w:t>
      </w:r>
      <w:r w:rsidR="00A83191" w:rsidRPr="00A746BE">
        <w:rPr>
          <w:rFonts w:ascii="Calibri" w:hAnsi="Calibri" w:cs="Calibri"/>
          <w:bCs/>
          <w:sz w:val="22"/>
          <w:szCs w:val="22"/>
        </w:rPr>
        <w:t xml:space="preserve"> trimis pagrindais.</w:t>
      </w:r>
    </w:p>
    <w:p w14:paraId="401DA1CF" w14:textId="3470AACE" w:rsidR="00A746BE" w:rsidRPr="00A746BE" w:rsidRDefault="00A746BE" w:rsidP="00A746BE">
      <w:pPr>
        <w:ind w:firstLine="567"/>
        <w:jc w:val="both"/>
        <w:rPr>
          <w:rFonts w:ascii="Calibri" w:hAnsi="Calibri" w:cs="Calibri"/>
          <w:bCs/>
          <w:sz w:val="22"/>
          <w:szCs w:val="22"/>
        </w:rPr>
      </w:pPr>
    </w:p>
    <w:p w14:paraId="4BD55046" w14:textId="77777777" w:rsidR="00A746BE" w:rsidRPr="00A746BE" w:rsidRDefault="00A746BE" w:rsidP="00A746BE">
      <w:pPr>
        <w:ind w:firstLine="567"/>
        <w:jc w:val="both"/>
        <w:rPr>
          <w:rFonts w:ascii="Calibri" w:hAnsi="Calibri" w:cs="Calibri"/>
          <w:bCs/>
          <w:sz w:val="22"/>
          <w:szCs w:val="22"/>
        </w:rPr>
      </w:pPr>
      <w:r w:rsidRPr="00A746BE">
        <w:rPr>
          <w:rFonts w:ascii="Calibri" w:hAnsi="Calibri" w:cs="Calibri"/>
          <w:bCs/>
          <w:sz w:val="22"/>
          <w:szCs w:val="22"/>
        </w:rPr>
        <w:t xml:space="preserve">Pirma, išplėstinė teisėjų kolegija, atsižvelgusi į byloje susiklosčiusią situaciją, akcentavo, kad nors Inspekcijos teisė kreiptis į teismą dėl deklaracijos apie statybos užbaigimą galiojimo panaikinimo nustatyta įstatyme, tačiau kreipimasis į teismą su reikalavimu panaikinti deklaraciją apie statybos užbaigimą, kurios pagrindu yra ne tik atlikta naujai sukurto nekilnojamojo turto bei statytojo daiktinių teisių į jį registracija, bet ir sudaryti daiktinių teisių į šį turtą perleidimo, daiktinių teisių bei nekilnojamojo daikto suvaržymo sandoriai, negali būti savitikslis, o turi būti skirtas viešojo intereso apsaugai. Tačiau </w:t>
      </w:r>
      <w:r w:rsidRPr="00A746BE">
        <w:rPr>
          <w:rFonts w:ascii="Calibri" w:hAnsi="Calibri" w:cs="Calibri"/>
          <w:bCs/>
          <w:sz w:val="22"/>
          <w:szCs w:val="22"/>
          <w:lang w:bidi="lt-LT"/>
        </w:rPr>
        <w:t xml:space="preserve">pareiškėjas prašyme nepagrindė, kaip jo pareikštais reikalavimais bus pasiektas tikslas, dėl kurio iš esmės buvo kreiptasi į teismą. Atsižvelgusi į tai, kad reikalavimas panaikinti Deklaracijos galiojimą bei jos pagrindu atliktą Gyvenamojo namo teisinę registraciją nėra siejamas su atitinkamais materialiaisiais teisiniais padariniais (susidariusios situacijos išsprendimu iki galo), bei įvertinusi byloje susiklosčiusią situaciją, išplėstinė teisėjų kolegija sprendė, kad Inspekcijos prašyme suformuluoti reikalavimai nėra tinkami ir pakankami viešajam interesui apginti. </w:t>
      </w:r>
      <w:r w:rsidRPr="00A746BE">
        <w:rPr>
          <w:rFonts w:ascii="Calibri" w:hAnsi="Calibri" w:cs="Calibri"/>
          <w:bCs/>
          <w:sz w:val="22"/>
          <w:szCs w:val="22"/>
        </w:rPr>
        <w:t xml:space="preserve">Išplėstinės teisėjų kolegijos vertinimu, patenkinus tik pareiškėjo prašyme suformuluotus reikalavimus, bus sukelta dar didesnė sumaištis, nes </w:t>
      </w:r>
      <w:r w:rsidRPr="00A746BE">
        <w:rPr>
          <w:rFonts w:ascii="Calibri" w:hAnsi="Calibri" w:cs="Calibri"/>
          <w:bCs/>
          <w:sz w:val="22"/>
          <w:szCs w:val="22"/>
          <w:u w:val="single"/>
        </w:rPr>
        <w:t>bylinėjantis vien dėl Deklaracijos panaikinimo, nesiekiant šiuo aktu sukurtų visų materialinių teisinių padarinių pašalinimo, sukuriamas nestabilumas susiformavusiuose teisiniuose santykiuose, o viešasis interesas realiai nėra apginamas</w:t>
      </w:r>
      <w:r w:rsidRPr="00A746BE">
        <w:rPr>
          <w:rFonts w:ascii="Calibri" w:hAnsi="Calibri" w:cs="Calibri"/>
          <w:bCs/>
          <w:sz w:val="22"/>
          <w:szCs w:val="22"/>
        </w:rPr>
        <w:t>.</w:t>
      </w:r>
    </w:p>
    <w:p w14:paraId="5175719C" w14:textId="77777777" w:rsidR="00A746BE" w:rsidRPr="00A746BE" w:rsidRDefault="00A746BE" w:rsidP="00A746BE">
      <w:pPr>
        <w:ind w:firstLine="567"/>
        <w:jc w:val="both"/>
        <w:rPr>
          <w:rFonts w:ascii="Calibri" w:hAnsi="Calibri" w:cs="Calibri"/>
          <w:bCs/>
          <w:sz w:val="22"/>
          <w:szCs w:val="22"/>
        </w:rPr>
      </w:pPr>
      <w:r w:rsidRPr="00A746BE">
        <w:rPr>
          <w:rFonts w:ascii="Calibri" w:hAnsi="Calibri" w:cs="Calibri"/>
          <w:bCs/>
          <w:sz w:val="22"/>
          <w:szCs w:val="22"/>
        </w:rPr>
        <w:t xml:space="preserve">Antra, išplėstinė teisėjų kolegija konstatavo, kad pirmosios instancijos teismas, panaikindamas Deklaracijos galiojimą, nevertino Inspekcijos veiksmų teisėtumo tvirtinant Deklaraciją, neanalizavo, ar buvo atlikti visi veiksmai, įtvirtinti Statybos techniniame reglamente STR 1.11.01:2010 „Statybos užbaigimas“, iš esmės būtini tam, kad būtų užkirstas kelias akivaizdžiai neteisėtos Deklaracijos patvirtinimui bei registravimui. Išplėstinė teisėjų kolegija pažymėjo, kad </w:t>
      </w:r>
      <w:r w:rsidRPr="00A746BE">
        <w:rPr>
          <w:rFonts w:ascii="Calibri" w:hAnsi="Calibri" w:cs="Calibri"/>
          <w:bCs/>
          <w:sz w:val="22"/>
          <w:szCs w:val="22"/>
          <w:u w:val="single"/>
        </w:rPr>
        <w:t>sprendžiant Inspekcijos reikalavimo panaikinti Deklaracijos galiojimą pagrįstumo klausimą, vertintina ne tik tai, ar Inspekcijai tvirtinti pateiktoje Deklaracijoje užfiksuoti duomenys yra teisingi, bet ir tai, ar Inspekcija turėjo teisinį pagrindą tokią Deklaraciją tvirtinti</w:t>
      </w:r>
      <w:r w:rsidRPr="00A746BE">
        <w:rPr>
          <w:rFonts w:ascii="Calibri" w:hAnsi="Calibri" w:cs="Calibri"/>
          <w:bCs/>
          <w:sz w:val="22"/>
          <w:szCs w:val="22"/>
        </w:rPr>
        <w:t>.</w:t>
      </w:r>
    </w:p>
    <w:p w14:paraId="219441E5" w14:textId="77777777" w:rsidR="00A746BE" w:rsidRPr="00A746BE" w:rsidRDefault="00A746BE" w:rsidP="00A746BE">
      <w:pPr>
        <w:ind w:firstLine="567"/>
        <w:jc w:val="both"/>
        <w:rPr>
          <w:rFonts w:ascii="Calibri" w:hAnsi="Calibri" w:cs="Calibri"/>
          <w:bCs/>
          <w:sz w:val="22"/>
          <w:szCs w:val="22"/>
        </w:rPr>
      </w:pPr>
      <w:r w:rsidRPr="00A746BE">
        <w:rPr>
          <w:rFonts w:ascii="Calibri" w:hAnsi="Calibri" w:cs="Calibri"/>
          <w:bCs/>
          <w:sz w:val="22"/>
          <w:szCs w:val="22"/>
        </w:rPr>
        <w:t xml:space="preserve">Trečia, išplėstinė teisėjų kolegija nurodė, kad siekdamas panaikinti Gyvenamojo namo teisinę registraciją pareiškėjas turi įrodyti, jog dokumentai, vadovaujantis kuriais į Nekilnojamojo turto kadastrą įrašyti Gyvenamojo namo kadastro duomenys, yra neteisėti. Savo ruožtu, bylą nagrinėjęs pirmosios instancijos teismas turėjo nustatyti, kad Nekilnojamojo turto registre įregistruoto Gyvenamojo namo parametrai į Nekilnojamojo turto kadastrą įrašyti neteisėtų dokumentų pagrindu. Tačiau byloje nagrinėtu atveju </w:t>
      </w:r>
      <w:r w:rsidRPr="00A746BE">
        <w:rPr>
          <w:rFonts w:ascii="Calibri" w:hAnsi="Calibri" w:cs="Calibri"/>
          <w:sz w:val="22"/>
          <w:szCs w:val="22"/>
          <w:lang w:bidi="lt-LT"/>
        </w:rPr>
        <w:t>Deklaracijos pagrindu Gyvenamasis namas nebuvo įregistruotas Nekilnojamojo turto registre, šio dokumento pagrindu buvo tik patikslinti Gyvenamojo namo kadastro duomenys. Gyvenamasis namas, kaip nebaigta statyba, Nekilnojamojo turto kadastre bei registre įregistruotas Inspekcijos išduotos 2016 m. birželio 14 d. pažymos apie statinio statybą be nukrypimų nuo esminių statinio projekto sprendinių,</w:t>
      </w:r>
      <w:r w:rsidRPr="00A746BE">
        <w:rPr>
          <w:rFonts w:eastAsia="Calibri"/>
          <w:lang w:eastAsia="en-US"/>
        </w:rPr>
        <w:t xml:space="preserve"> </w:t>
      </w:r>
      <w:r w:rsidRPr="00A746BE">
        <w:rPr>
          <w:rFonts w:ascii="Calibri" w:hAnsi="Calibri" w:cs="Calibri"/>
          <w:sz w:val="22"/>
          <w:szCs w:val="22"/>
          <w:lang w:bidi="lt-LT"/>
        </w:rPr>
        <w:t>kuri byloje nėra ginčijama, pagrindu.</w:t>
      </w:r>
      <w:r w:rsidRPr="00A746BE">
        <w:rPr>
          <w:rFonts w:eastAsia="Calibri"/>
          <w:lang w:eastAsia="en-US"/>
        </w:rPr>
        <w:t xml:space="preserve"> </w:t>
      </w:r>
      <w:r w:rsidRPr="00A746BE">
        <w:rPr>
          <w:rFonts w:ascii="Calibri" w:hAnsi="Calibri" w:cs="Calibri"/>
          <w:sz w:val="22"/>
          <w:szCs w:val="22"/>
          <w:lang w:bidi="lt-LT"/>
        </w:rPr>
        <w:t>Be to, byloje nustatyta, kad paskutiniai Gyvenamojo namo duomenų pakeitimai Nekilnojamojo turto registre atlikti ne Deklaracijos, o civilinių sandorių, kurie taip pat nėra ginčijami, pagrindu. Šiame kontekste i</w:t>
      </w:r>
      <w:r w:rsidRPr="00A746BE">
        <w:rPr>
          <w:rFonts w:ascii="Calibri" w:hAnsi="Calibri" w:cs="Calibri"/>
          <w:bCs/>
          <w:sz w:val="22"/>
          <w:szCs w:val="22"/>
        </w:rPr>
        <w:t xml:space="preserve">šplėstinė teisėjų kolegija konstatavo, kad </w:t>
      </w:r>
      <w:r w:rsidRPr="00A746BE">
        <w:rPr>
          <w:rFonts w:ascii="Calibri" w:hAnsi="Calibri" w:cs="Calibri"/>
          <w:bCs/>
          <w:sz w:val="22"/>
          <w:szCs w:val="22"/>
          <w:u w:val="single"/>
        </w:rPr>
        <w:t>egzistuojantis (nežuvęs) nekilnojamasis daiktas negali būti išregistruotas iš Nekilnojamojo turto registro tol, kol nėra išregistruotos į šį nekilnojamąjį turtą įregistruotos daiktinės teisės bei jų suvaržymai</w:t>
      </w:r>
      <w:r w:rsidRPr="00A746BE">
        <w:rPr>
          <w:rFonts w:ascii="Calibri" w:hAnsi="Calibri" w:cs="Calibri"/>
          <w:bCs/>
          <w:sz w:val="22"/>
          <w:szCs w:val="22"/>
        </w:rPr>
        <w:t>.</w:t>
      </w:r>
    </w:p>
    <w:p w14:paraId="615560D3" w14:textId="23970753" w:rsidR="00A83191" w:rsidRPr="00A746BE" w:rsidRDefault="00A83191" w:rsidP="00A83191">
      <w:pPr>
        <w:ind w:firstLine="567"/>
        <w:jc w:val="both"/>
        <w:rPr>
          <w:rFonts w:ascii="Calibri" w:hAnsi="Calibri" w:cs="Calibri"/>
          <w:bCs/>
          <w:sz w:val="22"/>
          <w:szCs w:val="22"/>
        </w:rPr>
      </w:pPr>
      <w:r>
        <w:rPr>
          <w:rFonts w:ascii="Calibri" w:hAnsi="Calibri" w:cs="Calibri"/>
          <w:bCs/>
          <w:sz w:val="22"/>
          <w:szCs w:val="22"/>
        </w:rPr>
        <w:t>Atsižvelgus į šias aplinkybes, ginčijamas sprendimas panaikintas ir bylą grąžinta</w:t>
      </w:r>
      <w:r w:rsidRPr="00A746BE">
        <w:rPr>
          <w:rFonts w:ascii="Calibri" w:hAnsi="Calibri" w:cs="Calibri"/>
          <w:bCs/>
          <w:sz w:val="22"/>
          <w:szCs w:val="22"/>
        </w:rPr>
        <w:t xml:space="preserve"> nagrinėti iš naujo. </w:t>
      </w:r>
    </w:p>
    <w:p w14:paraId="4FB0A7F6" w14:textId="77777777" w:rsidR="00A746BE" w:rsidRPr="00A746BE" w:rsidRDefault="00A746BE" w:rsidP="00A746BE">
      <w:pPr>
        <w:ind w:firstLine="567"/>
        <w:rPr>
          <w:rFonts w:ascii="Calibri" w:hAnsi="Calibri" w:cs="Calibri"/>
          <w:bCs/>
          <w:sz w:val="22"/>
          <w:szCs w:val="22"/>
        </w:rPr>
      </w:pPr>
    </w:p>
    <w:p w14:paraId="472863EE" w14:textId="77777777" w:rsidR="00A746BE" w:rsidRPr="00A746BE" w:rsidRDefault="00A746BE" w:rsidP="00A746BE">
      <w:pPr>
        <w:rPr>
          <w:rFonts w:ascii="Calibri" w:hAnsi="Calibri" w:cs="Calibri"/>
          <w:sz w:val="22"/>
          <w:szCs w:val="22"/>
        </w:rPr>
      </w:pPr>
      <w:r w:rsidRPr="00A746BE">
        <w:rPr>
          <w:rFonts w:ascii="Calibri" w:hAnsi="Calibri" w:cs="Calibri"/>
          <w:sz w:val="22"/>
          <w:szCs w:val="22"/>
        </w:rPr>
        <w:t xml:space="preserve">Išplėstinės teisėjų kolegijos 2020 m. spalio 19 d. nutartis administracinėje byloje Nr. </w:t>
      </w:r>
      <w:r w:rsidRPr="00A746BE">
        <w:rPr>
          <w:rFonts w:ascii="Calibri" w:hAnsi="Calibri" w:cs="Calibri"/>
          <w:sz w:val="22"/>
          <w:szCs w:val="22"/>
          <w:lang w:eastAsia="en-US"/>
        </w:rPr>
        <w:t>eA-3134-502/2020</w:t>
      </w:r>
    </w:p>
    <w:p w14:paraId="738E79F3" w14:textId="77777777" w:rsidR="00A746BE" w:rsidRPr="00A746BE" w:rsidRDefault="00A746BE" w:rsidP="00A746BE">
      <w:pPr>
        <w:rPr>
          <w:rFonts w:ascii="Calibri" w:hAnsi="Calibri" w:cs="Calibri"/>
          <w:bCs/>
          <w:sz w:val="22"/>
          <w:szCs w:val="22"/>
          <w:lang w:eastAsia="en-US"/>
        </w:rPr>
      </w:pPr>
      <w:r w:rsidRPr="00A746BE">
        <w:rPr>
          <w:rFonts w:ascii="Calibri" w:hAnsi="Calibri" w:cs="Calibri"/>
          <w:sz w:val="22"/>
          <w:szCs w:val="22"/>
        </w:rPr>
        <w:t xml:space="preserve">Teisminio proceso Nr. </w:t>
      </w:r>
      <w:r w:rsidRPr="00A746BE">
        <w:rPr>
          <w:rFonts w:ascii="Calibri" w:hAnsi="Calibri" w:cs="Calibri"/>
          <w:bCs/>
          <w:sz w:val="22"/>
          <w:szCs w:val="22"/>
          <w:lang w:eastAsia="en-US"/>
        </w:rPr>
        <w:t>3-61-3-01741-2017-6</w:t>
      </w:r>
    </w:p>
    <w:p w14:paraId="3BE94CF9" w14:textId="77777777" w:rsidR="00A746BE" w:rsidRPr="00A746BE" w:rsidRDefault="00A746BE" w:rsidP="00A746BE">
      <w:pPr>
        <w:rPr>
          <w:rFonts w:ascii="Calibri" w:hAnsi="Calibri" w:cs="Calibri"/>
          <w:sz w:val="22"/>
          <w:szCs w:val="22"/>
          <w:lang w:eastAsia="en-US"/>
        </w:rPr>
      </w:pPr>
      <w:r w:rsidRPr="00A746BE">
        <w:rPr>
          <w:rFonts w:ascii="Calibri" w:hAnsi="Calibri" w:cs="Calibri"/>
          <w:sz w:val="22"/>
          <w:szCs w:val="22"/>
        </w:rPr>
        <w:t xml:space="preserve">Procesinio sprendimo </w:t>
      </w:r>
      <w:r w:rsidRPr="00A746BE">
        <w:rPr>
          <w:rFonts w:ascii="Calibri" w:hAnsi="Calibri" w:cs="Calibri"/>
          <w:sz w:val="22"/>
          <w:szCs w:val="22"/>
          <w:lang w:eastAsia="en-US"/>
        </w:rPr>
        <w:t>kategorijos: 17.4; 17.5; 17.6; 19.3.3; 43.7</w:t>
      </w:r>
    </w:p>
    <w:p w14:paraId="69632874" w14:textId="7C1ED960" w:rsidR="00A746BE" w:rsidRPr="00A15C59" w:rsidRDefault="000F189C" w:rsidP="00A15C59">
      <w:pPr>
        <w:rPr>
          <w:rFonts w:ascii="Calibri" w:hAnsi="Calibri" w:cs="Calibri"/>
          <w:sz w:val="22"/>
          <w:szCs w:val="22"/>
          <w:u w:val="single"/>
        </w:rPr>
      </w:pPr>
      <w:hyperlink r:id="rId16" w:history="1">
        <w:r w:rsidR="00A746BE" w:rsidRPr="00A746BE">
          <w:rPr>
            <w:rFonts w:ascii="Calibri" w:hAnsi="Calibri" w:cs="Calibri"/>
            <w:color w:val="0000FF"/>
            <w:sz w:val="22"/>
            <w:szCs w:val="22"/>
            <w:u w:val="single"/>
          </w:rPr>
          <w:t>Prieiga internete</w:t>
        </w:r>
      </w:hyperlink>
    </w:p>
    <w:p w14:paraId="7D166A56" w14:textId="09314C2B" w:rsidR="001E4D6E" w:rsidRDefault="001E4D6E" w:rsidP="007412F7">
      <w:pPr>
        <w:shd w:val="clear" w:color="auto" w:fill="FFFFFF"/>
        <w:tabs>
          <w:tab w:val="left" w:pos="3119"/>
        </w:tabs>
        <w:ind w:right="-1" w:firstLine="567"/>
        <w:jc w:val="both"/>
        <w:rPr>
          <w:rFonts w:ascii="Calibri" w:hAnsi="Calibri" w:cs="Calibri"/>
          <w:sz w:val="22"/>
          <w:szCs w:val="22"/>
        </w:rPr>
      </w:pPr>
    </w:p>
    <w:p w14:paraId="39EF7840" w14:textId="77777777" w:rsidR="00147A06" w:rsidRPr="00147A06" w:rsidRDefault="00147A06" w:rsidP="00147A06">
      <w:pPr>
        <w:jc w:val="both"/>
        <w:outlineLvl w:val="0"/>
        <w:rPr>
          <w:rFonts w:ascii="Calibri" w:hAnsi="Calibri"/>
          <w:b/>
          <w:sz w:val="22"/>
          <w:szCs w:val="22"/>
          <w:u w:val="single"/>
        </w:rPr>
      </w:pPr>
      <w:bookmarkStart w:id="41" w:name="_Toc58851700"/>
      <w:r w:rsidRPr="00147A06">
        <w:rPr>
          <w:rFonts w:ascii="Calibri" w:hAnsi="Calibri"/>
          <w:b/>
          <w:sz w:val="22"/>
          <w:szCs w:val="22"/>
          <w:u w:val="single"/>
        </w:rPr>
        <w:t>20. Civilinė atsakomybė už žalą, atsiradusią dėl valdžios institucijų neteisėtų veiksmų</w:t>
      </w:r>
      <w:bookmarkEnd w:id="41"/>
    </w:p>
    <w:p w14:paraId="32E511A2" w14:textId="77777777" w:rsidR="00147A06" w:rsidRPr="00147A06" w:rsidRDefault="00147A06" w:rsidP="00147A06">
      <w:pPr>
        <w:ind w:firstLine="567"/>
        <w:rPr>
          <w:rFonts w:ascii="Calibri" w:hAnsi="Calibri"/>
          <w:b/>
          <w:sz w:val="22"/>
          <w:szCs w:val="22"/>
          <w:u w:val="single"/>
        </w:rPr>
      </w:pPr>
      <w:r w:rsidRPr="00147A06">
        <w:rPr>
          <w:rFonts w:ascii="Calibri" w:hAnsi="Calibri"/>
          <w:b/>
          <w:sz w:val="22"/>
          <w:szCs w:val="22"/>
          <w:u w:val="single"/>
        </w:rPr>
        <w:t>20.5. Kiti su civiline atsakomybe susiję klausimai</w:t>
      </w:r>
    </w:p>
    <w:p w14:paraId="18E23A49" w14:textId="77777777" w:rsidR="00147A06" w:rsidRPr="00147A06" w:rsidRDefault="00147A06" w:rsidP="00147A06">
      <w:pPr>
        <w:ind w:left="1843" w:hanging="709"/>
        <w:jc w:val="both"/>
        <w:rPr>
          <w:rFonts w:ascii="Calibri" w:hAnsi="Calibri"/>
          <w:b/>
          <w:sz w:val="22"/>
          <w:szCs w:val="22"/>
          <w:u w:val="single"/>
        </w:rPr>
      </w:pPr>
      <w:r w:rsidRPr="00147A06">
        <w:rPr>
          <w:rFonts w:ascii="Calibri" w:hAnsi="Calibri"/>
          <w:b/>
          <w:sz w:val="22"/>
          <w:szCs w:val="22"/>
          <w:u w:val="single"/>
        </w:rPr>
        <w:t>20.5.1. Laisvės atėmimo bausmę atliekančių asmenų skundų dėl žalos atlyginimo už netinkamas kalinimo sąlygas nagrinėjimas</w:t>
      </w:r>
    </w:p>
    <w:p w14:paraId="39E2D278" w14:textId="77777777" w:rsidR="00147A06" w:rsidRPr="00147A06" w:rsidRDefault="00147A06" w:rsidP="00147A06">
      <w:pPr>
        <w:rPr>
          <w:rFonts w:ascii="Calibri" w:hAnsi="Calibri" w:cs="Calibri"/>
          <w:bCs/>
          <w:sz w:val="22"/>
          <w:szCs w:val="22"/>
        </w:rPr>
      </w:pPr>
    </w:p>
    <w:p w14:paraId="4DB1182A" w14:textId="77777777" w:rsidR="00147A06" w:rsidRPr="00147A06" w:rsidRDefault="00147A06" w:rsidP="00147A06">
      <w:pPr>
        <w:jc w:val="both"/>
        <w:outlineLvl w:val="1"/>
        <w:rPr>
          <w:rFonts w:ascii="Calibri" w:eastAsia="Calibri" w:hAnsi="Calibri" w:cs="Calibri"/>
          <w:i/>
          <w:sz w:val="22"/>
          <w:szCs w:val="22"/>
        </w:rPr>
      </w:pPr>
      <w:bookmarkStart w:id="42" w:name="_Toc58851701"/>
      <w:r w:rsidRPr="00147A06">
        <w:rPr>
          <w:rFonts w:ascii="Calibri" w:eastAsia="Calibri" w:hAnsi="Calibri" w:cs="Calibri"/>
          <w:i/>
          <w:sz w:val="22"/>
          <w:szCs w:val="22"/>
        </w:rPr>
        <w:lastRenderedPageBreak/>
        <w:t>Dėl dienos metu iš kalinamųjų paimamos patalynės saugojimo</w:t>
      </w:r>
      <w:bookmarkEnd w:id="42"/>
    </w:p>
    <w:p w14:paraId="1DF8E38B" w14:textId="77777777" w:rsidR="00147A06" w:rsidRPr="00147A06" w:rsidRDefault="00147A06" w:rsidP="00147A06">
      <w:pPr>
        <w:rPr>
          <w:rFonts w:ascii="Calibri" w:hAnsi="Calibri" w:cs="Calibri"/>
          <w:bCs/>
          <w:sz w:val="22"/>
          <w:szCs w:val="22"/>
        </w:rPr>
      </w:pPr>
    </w:p>
    <w:p w14:paraId="703E0EA1" w14:textId="3A641C5F" w:rsidR="00147A06" w:rsidRPr="00147A06" w:rsidRDefault="00147A06" w:rsidP="3E77553B">
      <w:pPr>
        <w:ind w:firstLine="567"/>
        <w:jc w:val="both"/>
        <w:rPr>
          <w:rFonts w:ascii="Calibri" w:hAnsi="Calibri" w:cs="Calibri"/>
          <w:sz w:val="22"/>
          <w:szCs w:val="22"/>
        </w:rPr>
      </w:pPr>
      <w:r w:rsidRPr="3E77553B">
        <w:rPr>
          <w:rFonts w:ascii="Calibri" w:hAnsi="Calibri" w:cs="Calibri"/>
          <w:sz w:val="22"/>
          <w:szCs w:val="22"/>
        </w:rPr>
        <w:t xml:space="preserve">Šioje byloje ginčas kilo dėl neturtinės žalos, kurią pareiškėjas, be kita ko, kildino iš </w:t>
      </w:r>
      <w:r w:rsidR="66146C5A" w:rsidRPr="3E77553B">
        <w:rPr>
          <w:rFonts w:ascii="Calibri" w:hAnsi="Calibri" w:cs="Calibri"/>
          <w:sz w:val="22"/>
          <w:szCs w:val="22"/>
        </w:rPr>
        <w:t>s</w:t>
      </w:r>
      <w:r w:rsidRPr="3E77553B">
        <w:rPr>
          <w:rFonts w:ascii="Calibri" w:hAnsi="Calibri" w:cs="Calibri"/>
          <w:sz w:val="22"/>
          <w:szCs w:val="22"/>
          <w:lang w:bidi="lt-LT"/>
        </w:rPr>
        <w:t xml:space="preserve">veikatos apsaugos ministro 2015 m. rugpjūčio 3 d. įsakymu Nr. V-908 patvirtintos Lietuvos higienos normos HN 134:2015 „Laisvės atėmimo vietų ir teritorinių policijos įstaigų areštinių sveikatos saugos reikalavimai“ (toliau – HN 134:2015) </w:t>
      </w:r>
      <w:r w:rsidRPr="3E77553B">
        <w:rPr>
          <w:rFonts w:ascii="Calibri" w:hAnsi="Calibri" w:cs="Calibri"/>
          <w:sz w:val="22"/>
          <w:szCs w:val="22"/>
        </w:rPr>
        <w:t>27 punkto pažeidimo Vilniaus pataisos namuose (toliau – Vilniaus PN), kadangi kamerų tipo patalpose laikomų asmenų miegui skirtas inventorius (čiužiniai, pagalvės, antklodės, patalynė) dienos metu buvo saugomas pirmame aukšte, tam skirtoje patalpoje esančiose atvirose spintose.</w:t>
      </w:r>
    </w:p>
    <w:p w14:paraId="17C42D1A" w14:textId="77777777" w:rsidR="00147A06" w:rsidRPr="00147A06" w:rsidRDefault="00147A06" w:rsidP="00147A06">
      <w:pPr>
        <w:ind w:firstLine="567"/>
        <w:jc w:val="both"/>
        <w:rPr>
          <w:rFonts w:ascii="Calibri" w:hAnsi="Calibri" w:cs="Calibri"/>
          <w:bCs/>
          <w:sz w:val="22"/>
          <w:szCs w:val="22"/>
        </w:rPr>
      </w:pPr>
      <w:r w:rsidRPr="00147A06">
        <w:rPr>
          <w:rFonts w:ascii="Calibri" w:hAnsi="Calibri" w:cs="Calibri"/>
          <w:bCs/>
          <w:sz w:val="22"/>
          <w:szCs w:val="22"/>
        </w:rPr>
        <w:t xml:space="preserve">Tačiau teisėjų kolegija pažymėjo, kad HN 134:2015 27 punktas nustato, jog švarūs skalbiniai, iki jiems patenkant į gyvenamąsias laisvės atėmimo vietos patalpas, laikomi jiems skirtose švariose uždarose spintose arba talpyklose atskirai nuo nešvarių skalbinių. Taigi, </w:t>
      </w:r>
      <w:r w:rsidRPr="00147A06">
        <w:rPr>
          <w:rFonts w:ascii="Calibri" w:hAnsi="Calibri" w:cs="Calibri"/>
          <w:bCs/>
          <w:sz w:val="22"/>
          <w:szCs w:val="22"/>
          <w:u w:val="single"/>
        </w:rPr>
        <w:t>HN 134:2015 27 punktas taikomas tik naujai išduodamai švariai patalynei</w:t>
      </w:r>
      <w:r w:rsidRPr="00147A06">
        <w:rPr>
          <w:rFonts w:ascii="Calibri" w:hAnsi="Calibri" w:cs="Calibri"/>
          <w:bCs/>
          <w:sz w:val="22"/>
          <w:szCs w:val="22"/>
        </w:rPr>
        <w:t>, o iš pareiškėjo skundo teismui turinio matyti, kad pareiškėjas skundėsi ne naujai išduodamos patalynės netinkamu laikymu, bet tos, kuri paimama iš nuteistųjų dienos metu ir grąžinama vakare nakties miegui.</w:t>
      </w:r>
    </w:p>
    <w:p w14:paraId="5C03069A" w14:textId="77777777" w:rsidR="00147A06" w:rsidRPr="00147A06" w:rsidRDefault="00147A06" w:rsidP="00147A06">
      <w:pPr>
        <w:ind w:firstLine="567"/>
        <w:jc w:val="both"/>
        <w:rPr>
          <w:rFonts w:ascii="Calibri" w:hAnsi="Calibri" w:cs="Calibri"/>
          <w:bCs/>
          <w:sz w:val="22"/>
          <w:szCs w:val="22"/>
        </w:rPr>
      </w:pPr>
      <w:r w:rsidRPr="00147A06">
        <w:rPr>
          <w:rFonts w:ascii="Calibri" w:hAnsi="Calibri" w:cs="Calibri"/>
          <w:bCs/>
          <w:sz w:val="22"/>
          <w:szCs w:val="22"/>
        </w:rPr>
        <w:t>Šiame kontekste teisėjų kolegija atkreipė dėmesį, kad Vilniaus PN pirmo aukšto kamerų tipo patalpose laikomų asmenų miegui skirtas inventorius (čiužiniai, pagalvės, antklodės, patalynė) buvo saugomas pirmame aukšte, tam skirtoje patalpoje esančiose atvirose spintose su pertvaromis. Todėl teisėjų kolegija padarė išvadą, kad pareiškėjo patalynė su kitų asmenų patalyne tokioje spintoje nesiliesdavo, o HN 134:2015 nenustatant reikalavimų jau dėvėtos patalynės saugojimui, nėra pagrindo pripažinti, jog Vilniaus PN atliko neteisėtus veiksmus.</w:t>
      </w:r>
    </w:p>
    <w:p w14:paraId="7B2118B6" w14:textId="77777777" w:rsidR="00147A06" w:rsidRPr="00147A06" w:rsidRDefault="00147A06" w:rsidP="00147A06">
      <w:pPr>
        <w:ind w:firstLine="567"/>
        <w:jc w:val="both"/>
        <w:rPr>
          <w:rFonts w:ascii="Calibri" w:hAnsi="Calibri" w:cs="Calibri"/>
          <w:bCs/>
          <w:sz w:val="22"/>
          <w:szCs w:val="22"/>
        </w:rPr>
      </w:pPr>
    </w:p>
    <w:p w14:paraId="3FBDE4FE" w14:textId="77777777" w:rsidR="00147A06" w:rsidRPr="00147A06" w:rsidRDefault="00147A06" w:rsidP="00147A06">
      <w:pPr>
        <w:rPr>
          <w:rFonts w:ascii="Calibri" w:hAnsi="Calibri" w:cs="Calibri"/>
          <w:sz w:val="22"/>
          <w:szCs w:val="22"/>
        </w:rPr>
      </w:pPr>
      <w:r w:rsidRPr="00147A06">
        <w:rPr>
          <w:rFonts w:ascii="Calibri" w:hAnsi="Calibri" w:cs="Calibri"/>
          <w:sz w:val="22"/>
          <w:szCs w:val="22"/>
        </w:rPr>
        <w:t xml:space="preserve">2020 m. spalio 7 d. nutartis administracinėje byloje Nr. </w:t>
      </w:r>
      <w:r w:rsidRPr="00147A06">
        <w:rPr>
          <w:rFonts w:ascii="Calibri" w:hAnsi="Calibri" w:cs="Calibri"/>
          <w:bCs/>
          <w:sz w:val="22"/>
          <w:szCs w:val="22"/>
          <w:lang w:eastAsia="en-US"/>
        </w:rPr>
        <w:t>A-2769-662/2020</w:t>
      </w:r>
    </w:p>
    <w:p w14:paraId="7306CD3F" w14:textId="77777777" w:rsidR="00147A06" w:rsidRPr="00147A06" w:rsidRDefault="00147A06" w:rsidP="00147A06">
      <w:pPr>
        <w:rPr>
          <w:rFonts w:ascii="Calibri" w:hAnsi="Calibri" w:cs="Calibri"/>
          <w:bCs/>
          <w:sz w:val="22"/>
          <w:szCs w:val="22"/>
          <w:lang w:eastAsia="en-US"/>
        </w:rPr>
      </w:pPr>
      <w:r w:rsidRPr="00147A06">
        <w:rPr>
          <w:rFonts w:ascii="Calibri" w:hAnsi="Calibri" w:cs="Calibri"/>
          <w:sz w:val="22"/>
          <w:szCs w:val="22"/>
        </w:rPr>
        <w:t xml:space="preserve">Teisminio proceso Nr. </w:t>
      </w:r>
      <w:r w:rsidRPr="00147A06">
        <w:rPr>
          <w:rFonts w:ascii="Calibri" w:hAnsi="Calibri" w:cs="Calibri"/>
          <w:bCs/>
          <w:sz w:val="22"/>
          <w:szCs w:val="22"/>
          <w:lang w:eastAsia="en-US"/>
        </w:rPr>
        <w:t>3-61-3-01572-2019-0</w:t>
      </w:r>
    </w:p>
    <w:p w14:paraId="66FCD615" w14:textId="77777777" w:rsidR="00147A06" w:rsidRPr="00147A06" w:rsidRDefault="00147A06" w:rsidP="00147A06">
      <w:pPr>
        <w:rPr>
          <w:rFonts w:ascii="Calibri" w:hAnsi="Calibri" w:cs="Calibri"/>
          <w:sz w:val="22"/>
          <w:szCs w:val="22"/>
          <w:lang w:eastAsia="en-US"/>
        </w:rPr>
      </w:pPr>
      <w:r w:rsidRPr="00147A06">
        <w:rPr>
          <w:rFonts w:ascii="Calibri" w:hAnsi="Calibri" w:cs="Calibri"/>
          <w:sz w:val="22"/>
          <w:szCs w:val="22"/>
        </w:rPr>
        <w:t xml:space="preserve">Procesinio sprendimo </w:t>
      </w:r>
      <w:r w:rsidRPr="00147A06">
        <w:rPr>
          <w:rFonts w:ascii="Calibri" w:hAnsi="Calibri" w:cs="Calibri"/>
          <w:sz w:val="22"/>
          <w:szCs w:val="22"/>
          <w:lang w:eastAsia="en-US"/>
        </w:rPr>
        <w:t>kategorija 20.5.1</w:t>
      </w:r>
    </w:p>
    <w:p w14:paraId="0CADC890" w14:textId="77777777" w:rsidR="00147A06" w:rsidRPr="00147A06" w:rsidRDefault="000F189C" w:rsidP="00147A06">
      <w:pPr>
        <w:rPr>
          <w:rFonts w:ascii="Calibri" w:hAnsi="Calibri" w:cs="Calibri"/>
          <w:sz w:val="22"/>
          <w:szCs w:val="22"/>
          <w:u w:val="single"/>
        </w:rPr>
      </w:pPr>
      <w:hyperlink r:id="rId17" w:history="1">
        <w:r w:rsidR="00147A06" w:rsidRPr="00147A06">
          <w:rPr>
            <w:rFonts w:ascii="Calibri" w:hAnsi="Calibri" w:cs="Calibri"/>
            <w:color w:val="0000FF"/>
            <w:sz w:val="22"/>
            <w:szCs w:val="22"/>
            <w:u w:val="single"/>
          </w:rPr>
          <w:t>Prieiga internete</w:t>
        </w:r>
      </w:hyperlink>
    </w:p>
    <w:bookmarkEnd w:id="29"/>
    <w:bookmarkEnd w:id="30"/>
    <w:bookmarkEnd w:id="31"/>
    <w:p w14:paraId="151C0657" w14:textId="3BA625F5" w:rsidR="007412F7" w:rsidRDefault="007412F7" w:rsidP="001C6FA6">
      <w:pPr>
        <w:shd w:val="clear" w:color="auto" w:fill="FFFFFF"/>
        <w:tabs>
          <w:tab w:val="left" w:pos="3119"/>
        </w:tabs>
        <w:ind w:right="-1"/>
        <w:jc w:val="both"/>
        <w:rPr>
          <w:rFonts w:ascii="Calibri" w:hAnsi="Calibri" w:cs="Calibri"/>
          <w:sz w:val="22"/>
          <w:szCs w:val="22"/>
        </w:rPr>
      </w:pPr>
    </w:p>
    <w:p w14:paraId="6FA4F0ED" w14:textId="77777777" w:rsidR="00FD6345" w:rsidRPr="00FD6345" w:rsidRDefault="00FD6345" w:rsidP="00FD6345">
      <w:pPr>
        <w:keepNext/>
        <w:tabs>
          <w:tab w:val="left" w:pos="567"/>
        </w:tabs>
        <w:jc w:val="both"/>
        <w:outlineLvl w:val="0"/>
        <w:rPr>
          <w:rFonts w:ascii="Calibri" w:hAnsi="Calibri" w:cs="Calibri"/>
          <w:b/>
          <w:sz w:val="22"/>
          <w:szCs w:val="22"/>
          <w:u w:val="single"/>
        </w:rPr>
      </w:pPr>
      <w:bookmarkStart w:id="43" w:name="_Toc58851702"/>
      <w:r w:rsidRPr="00FD6345">
        <w:rPr>
          <w:rFonts w:ascii="Calibri" w:hAnsi="Calibri" w:cs="Calibri"/>
          <w:b/>
          <w:sz w:val="22"/>
          <w:szCs w:val="22"/>
          <w:u w:val="single"/>
        </w:rPr>
        <w:t>23. Vyriausiosios tarnybinės etikos komisijos sprendimai</w:t>
      </w:r>
      <w:bookmarkEnd w:id="43"/>
    </w:p>
    <w:p w14:paraId="25BBB666" w14:textId="77777777" w:rsidR="00FD6345" w:rsidRPr="00FD6345" w:rsidRDefault="00FD6345" w:rsidP="00FD6345">
      <w:pPr>
        <w:tabs>
          <w:tab w:val="left" w:pos="567"/>
        </w:tabs>
        <w:ind w:left="567"/>
        <w:rPr>
          <w:rFonts w:ascii="Calibri" w:hAnsi="Calibri" w:cs="Calibri"/>
          <w:b/>
          <w:sz w:val="22"/>
          <w:szCs w:val="22"/>
          <w:u w:val="single"/>
        </w:rPr>
      </w:pPr>
      <w:r w:rsidRPr="00FD6345">
        <w:rPr>
          <w:rFonts w:ascii="Calibri" w:hAnsi="Calibri" w:cs="Calibri"/>
          <w:b/>
          <w:sz w:val="22"/>
          <w:szCs w:val="22"/>
          <w:u w:val="single"/>
        </w:rPr>
        <w:t xml:space="preserve">23.4. Kiti su Vyriausiosios tarnybinės etikos komisijos sprendimais susiję klausimai </w:t>
      </w:r>
    </w:p>
    <w:p w14:paraId="2D513C1A" w14:textId="77777777" w:rsidR="00FD6345" w:rsidRPr="00FD6345" w:rsidRDefault="00FD6345" w:rsidP="00FD6345">
      <w:pPr>
        <w:tabs>
          <w:tab w:val="left" w:pos="567"/>
        </w:tabs>
        <w:ind w:left="567"/>
        <w:rPr>
          <w:rFonts w:ascii="Calibri" w:hAnsi="Calibri" w:cs="Calibri"/>
          <w:b/>
          <w:sz w:val="22"/>
          <w:szCs w:val="22"/>
          <w:u w:val="single"/>
        </w:rPr>
      </w:pPr>
    </w:p>
    <w:p w14:paraId="207B6B24" w14:textId="77777777" w:rsidR="00FD6345" w:rsidRPr="00FD6345" w:rsidRDefault="00FD6345" w:rsidP="00FD6345">
      <w:pPr>
        <w:jc w:val="both"/>
        <w:outlineLvl w:val="1"/>
        <w:rPr>
          <w:rFonts w:ascii="Calibri" w:eastAsia="Calibri" w:hAnsi="Calibri" w:cs="Calibri"/>
          <w:i/>
          <w:sz w:val="22"/>
          <w:szCs w:val="22"/>
        </w:rPr>
      </w:pPr>
      <w:bookmarkStart w:id="44" w:name="_Toc52542057"/>
      <w:bookmarkStart w:id="45" w:name="_Toc55328618"/>
      <w:bookmarkStart w:id="46" w:name="_Toc58851703"/>
      <w:r w:rsidRPr="00FD6345">
        <w:rPr>
          <w:rFonts w:ascii="Calibri" w:eastAsia="Calibri" w:hAnsi="Calibri" w:cs="Calibri"/>
          <w:i/>
          <w:sz w:val="22"/>
          <w:szCs w:val="22"/>
        </w:rPr>
        <w:t xml:space="preserve">Dėl </w:t>
      </w:r>
      <w:bookmarkEnd w:id="44"/>
      <w:bookmarkEnd w:id="45"/>
      <w:r w:rsidRPr="00FD6345">
        <w:rPr>
          <w:rFonts w:ascii="Calibri" w:eastAsia="Calibri" w:hAnsi="Calibri" w:cs="Calibri"/>
          <w:i/>
          <w:sz w:val="22"/>
          <w:szCs w:val="22"/>
        </w:rPr>
        <w:t>Vyriausiosios tarnybinės etikos komisijos pareigos tinkamai informuoti asmenį apie atliekamą tyrimą</w:t>
      </w:r>
      <w:bookmarkEnd w:id="46"/>
    </w:p>
    <w:p w14:paraId="39CA18AC" w14:textId="77777777" w:rsidR="00FD6345" w:rsidRPr="00FD6345" w:rsidRDefault="00FD6345" w:rsidP="00FD6345">
      <w:pPr>
        <w:jc w:val="both"/>
        <w:outlineLvl w:val="1"/>
        <w:rPr>
          <w:rFonts w:ascii="Calibri" w:eastAsia="Calibri" w:hAnsi="Calibri" w:cs="Calibri"/>
          <w:i/>
          <w:sz w:val="22"/>
          <w:szCs w:val="22"/>
        </w:rPr>
      </w:pPr>
      <w:bookmarkStart w:id="47" w:name="_Toc58851704"/>
      <w:r w:rsidRPr="00FD6345">
        <w:rPr>
          <w:rFonts w:ascii="Calibri" w:eastAsia="Calibri" w:hAnsi="Calibri" w:cs="Calibri"/>
          <w:i/>
          <w:sz w:val="22"/>
          <w:szCs w:val="22"/>
        </w:rPr>
        <w:t xml:space="preserve">Dėl </w:t>
      </w:r>
      <w:r w:rsidRPr="00FD6345">
        <w:rPr>
          <w:rFonts w:ascii="Calibri" w:eastAsia="Calibri" w:hAnsi="Calibri" w:cs="Calibri"/>
          <w:bCs/>
          <w:i/>
          <w:sz w:val="22"/>
          <w:szCs w:val="22"/>
          <w:lang w:bidi="lt-LT"/>
        </w:rPr>
        <w:t xml:space="preserve">nepriklausomos ir nešališkos </w:t>
      </w:r>
      <w:r w:rsidRPr="00FD6345">
        <w:rPr>
          <w:rFonts w:ascii="Calibri" w:eastAsia="Calibri" w:hAnsi="Calibri" w:cs="Calibri"/>
          <w:i/>
          <w:sz w:val="22"/>
          <w:szCs w:val="22"/>
        </w:rPr>
        <w:t xml:space="preserve">institucijos </w:t>
      </w:r>
      <w:r w:rsidRPr="00FD6345">
        <w:rPr>
          <w:rFonts w:ascii="Calibri" w:eastAsia="Calibri" w:hAnsi="Calibri" w:cs="Calibri"/>
          <w:bCs/>
          <w:i/>
          <w:sz w:val="22"/>
          <w:szCs w:val="22"/>
          <w:lang w:bidi="lt-LT"/>
        </w:rPr>
        <w:t>reikalavimų išpildymo, kai VTEK pirmininkavo ne pagal teisės aktuose nustatytą tvarką paskirtas pirmininkas</w:t>
      </w:r>
      <w:bookmarkEnd w:id="47"/>
    </w:p>
    <w:p w14:paraId="19215B19" w14:textId="77777777" w:rsidR="00FD6345" w:rsidRPr="00FD6345" w:rsidRDefault="00FD6345" w:rsidP="00FD6345">
      <w:pPr>
        <w:jc w:val="both"/>
        <w:rPr>
          <w:rFonts w:ascii="Calibri" w:hAnsi="Calibri" w:cs="Calibri"/>
          <w:sz w:val="22"/>
          <w:szCs w:val="22"/>
        </w:rPr>
      </w:pPr>
    </w:p>
    <w:p w14:paraId="2FB0950A" w14:textId="77777777" w:rsidR="00FD6345" w:rsidRPr="00FD6345" w:rsidRDefault="00FD6345" w:rsidP="00FD6345">
      <w:pPr>
        <w:ind w:firstLine="567"/>
        <w:jc w:val="both"/>
        <w:rPr>
          <w:rFonts w:ascii="Calibri" w:eastAsia="Calibri" w:hAnsi="Calibri" w:cs="Calibri"/>
          <w:sz w:val="22"/>
          <w:szCs w:val="22"/>
        </w:rPr>
      </w:pPr>
      <w:r w:rsidRPr="00FD6345">
        <w:rPr>
          <w:rFonts w:ascii="Calibri" w:eastAsia="Calibri" w:hAnsi="Calibri" w:cs="Calibri"/>
          <w:sz w:val="22"/>
          <w:szCs w:val="22"/>
        </w:rPr>
        <w:t xml:space="preserve">Apžvelgiamoje administracinėje byloje ginčas kilo dėl Vyriausiosios tarnybinės etikos komisijos (toliau – VTEK, Komisija) sprendimo, kuriuo asmuo pripažintas pažeidęs Viešųjų ir privačių interesų derinimo valstybinėje tarnyboje įstatymo (toliau – </w:t>
      </w:r>
      <w:r w:rsidRPr="00FD6345">
        <w:rPr>
          <w:rFonts w:ascii="Calibri" w:eastAsia="Calibri" w:hAnsi="Calibri" w:cs="Calibri"/>
          <w:sz w:val="22"/>
          <w:szCs w:val="22"/>
          <w:lang w:bidi="lt-LT"/>
        </w:rPr>
        <w:t>VPIDVTĮ)</w:t>
      </w:r>
      <w:r w:rsidRPr="00FD6345">
        <w:rPr>
          <w:rFonts w:ascii="Calibri" w:eastAsia="Calibri" w:hAnsi="Calibri" w:cs="Calibri"/>
          <w:sz w:val="22"/>
          <w:szCs w:val="22"/>
        </w:rPr>
        <w:t xml:space="preserve"> nuostatas, (toliau – Sprendimas) teisėtumo.</w:t>
      </w:r>
    </w:p>
    <w:p w14:paraId="24527B00" w14:textId="77777777" w:rsidR="00FD6345" w:rsidRPr="00FD6345" w:rsidRDefault="00FD6345" w:rsidP="00FD6345">
      <w:pPr>
        <w:ind w:firstLine="567"/>
        <w:jc w:val="both"/>
        <w:rPr>
          <w:rFonts w:ascii="Calibri" w:eastAsia="Calibri" w:hAnsi="Calibri" w:cs="Calibri"/>
          <w:sz w:val="22"/>
          <w:szCs w:val="22"/>
        </w:rPr>
      </w:pPr>
      <w:r w:rsidRPr="00FD6345">
        <w:rPr>
          <w:rFonts w:ascii="Calibri" w:eastAsia="Calibri" w:hAnsi="Calibri" w:cs="Calibri"/>
          <w:sz w:val="22"/>
          <w:szCs w:val="22"/>
        </w:rPr>
        <w:t xml:space="preserve">Pirmosios instancijos teismas esminių pažeidimų dėl VTEK Sprendimo nenustatė ir pareiškėjo skundą atmetė. Pareiškėjo tvirtinimu, priimant Sprendimą </w:t>
      </w:r>
      <w:r w:rsidRPr="00FD6345">
        <w:rPr>
          <w:rFonts w:ascii="Calibri" w:eastAsia="Calibri" w:hAnsi="Calibri" w:cs="Calibri"/>
          <w:iCs/>
          <w:sz w:val="22"/>
          <w:szCs w:val="22"/>
        </w:rPr>
        <w:t>buvo pažeista pareiškėjo teisė būti išklausytam.</w:t>
      </w:r>
    </w:p>
    <w:p w14:paraId="0B4564BA" w14:textId="77777777" w:rsidR="00FD6345" w:rsidRPr="00FD6345" w:rsidRDefault="00FD6345" w:rsidP="00FD6345">
      <w:pPr>
        <w:ind w:firstLine="567"/>
        <w:jc w:val="both"/>
        <w:rPr>
          <w:rFonts w:ascii="Calibri" w:eastAsia="Calibri" w:hAnsi="Calibri" w:cs="Calibri"/>
          <w:sz w:val="22"/>
          <w:szCs w:val="22"/>
        </w:rPr>
      </w:pPr>
      <w:r w:rsidRPr="00FD6345">
        <w:rPr>
          <w:rFonts w:ascii="Calibri" w:eastAsia="Calibri" w:hAnsi="Calibri" w:cs="Calibri"/>
          <w:sz w:val="22"/>
          <w:szCs w:val="22"/>
          <w:lang w:bidi="lt-LT"/>
        </w:rPr>
        <w:t>Išplėstinė teisėjų kolegija pažymėjo, jog VTEK – Lietuvos Respublikos Seimo įsteigta ir jam atskaitinga kolegiali asmenų, dirbančių valstybinėje tarnyboje, ir asmenų, vykdančių lobistinę veiklą, priežiūrą ir korupcijos prevenciją pagal įstatymo jai priskirtą kompetenciją vykdanti</w:t>
      </w:r>
      <w:r w:rsidRPr="00FD6345">
        <w:rPr>
          <w:rFonts w:ascii="Calibri" w:eastAsia="Calibri" w:hAnsi="Calibri" w:cs="Calibri"/>
          <w:b/>
          <w:bCs/>
          <w:sz w:val="22"/>
          <w:szCs w:val="22"/>
          <w:lang w:bidi="lt-LT"/>
        </w:rPr>
        <w:t> </w:t>
      </w:r>
      <w:r w:rsidRPr="00FD6345">
        <w:rPr>
          <w:rFonts w:ascii="Calibri" w:eastAsia="Calibri" w:hAnsi="Calibri" w:cs="Calibri"/>
          <w:sz w:val="22"/>
          <w:szCs w:val="22"/>
          <w:lang w:bidi="lt-LT"/>
        </w:rPr>
        <w:t xml:space="preserve">institucija (Vyriausiosios tarnybinės etikos komisijos įstatymo (toliau – VTEKĮ) 2 str. 1 d.). Pastebėta, jog </w:t>
      </w:r>
      <w:r w:rsidRPr="00FD6345">
        <w:rPr>
          <w:rFonts w:ascii="Calibri" w:eastAsia="Calibri" w:hAnsi="Calibri" w:cs="Calibri"/>
          <w:sz w:val="22"/>
          <w:szCs w:val="22"/>
          <w:u w:val="single"/>
          <w:lang w:bidi="lt-LT"/>
        </w:rPr>
        <w:t xml:space="preserve">VTEK sprendimai turi reikšmingą įtaką ir asmeniui gali sukelti įvairaus pobūdžio pasekmes, paveikiančias profesinį asmens gyvenimą bei reputaciją. Dėl to yra itin svarbu, jog VTEK savo veikloje vadovautųsi teisės aktų reikalavimais, užtikrintų nepriklausomumo bei nešališkumo reikalavimus ir asmenų teisę į tinkamas procedūras, taip pat laiduotų nuoseklų VTEK kompetencijai pavestų sričių taisyklių, </w:t>
      </w:r>
      <w:r w:rsidRPr="00FD6345">
        <w:rPr>
          <w:rFonts w:ascii="Calibri" w:eastAsia="Calibri" w:hAnsi="Calibri" w:cs="Calibri"/>
          <w:i/>
          <w:sz w:val="22"/>
          <w:szCs w:val="22"/>
          <w:u w:val="single"/>
          <w:lang w:bidi="lt-LT"/>
        </w:rPr>
        <w:t>inter alia</w:t>
      </w:r>
      <w:r w:rsidRPr="00FD6345">
        <w:rPr>
          <w:rFonts w:ascii="Calibri" w:eastAsia="Calibri" w:hAnsi="Calibri" w:cs="Calibri"/>
          <w:sz w:val="22"/>
          <w:szCs w:val="22"/>
          <w:u w:val="single"/>
          <w:lang w:bidi="lt-LT"/>
        </w:rPr>
        <w:t xml:space="preserve"> VPIDVTĮ nuostatų, taikymą ir aiškinimą, tokiu būdu užtikrinant lygiateisiškumo ir teisinio saugumo principus</w:t>
      </w:r>
      <w:r w:rsidRPr="00FD6345">
        <w:rPr>
          <w:rFonts w:ascii="Calibri" w:eastAsia="Calibri" w:hAnsi="Calibri" w:cs="Calibri"/>
          <w:sz w:val="22"/>
          <w:szCs w:val="22"/>
          <w:lang w:bidi="lt-LT"/>
        </w:rPr>
        <w:t xml:space="preserve">. </w:t>
      </w:r>
    </w:p>
    <w:p w14:paraId="0035F01E" w14:textId="20324FCF" w:rsidR="00FD6345" w:rsidRPr="00FD6345" w:rsidRDefault="00FD6345" w:rsidP="6A7DC4FF">
      <w:pPr>
        <w:ind w:firstLine="567"/>
        <w:jc w:val="both"/>
        <w:rPr>
          <w:rFonts w:ascii="Calibri" w:eastAsia="Calibri" w:hAnsi="Calibri" w:cs="Calibri"/>
          <w:sz w:val="22"/>
          <w:szCs w:val="22"/>
        </w:rPr>
      </w:pPr>
      <w:r w:rsidRPr="6A7DC4FF">
        <w:rPr>
          <w:rFonts w:ascii="Calibri" w:eastAsia="Calibri" w:hAnsi="Calibri" w:cs="Calibri"/>
          <w:sz w:val="22"/>
          <w:szCs w:val="22"/>
        </w:rPr>
        <w:t xml:space="preserve">Išplėstinė teisėjų kolegija įvertino, jog </w:t>
      </w:r>
      <w:r w:rsidRPr="6A7DC4FF">
        <w:rPr>
          <w:rFonts w:ascii="Calibri" w:eastAsia="Calibri" w:hAnsi="Calibri" w:cs="Calibri"/>
          <w:sz w:val="22"/>
          <w:szCs w:val="22"/>
          <w:u w:val="single"/>
        </w:rPr>
        <w:t>pranešimų tyrimo VTEK procedūrą reglamentuojanči</w:t>
      </w:r>
      <w:r w:rsidR="51D9D61A" w:rsidRPr="6A7DC4FF">
        <w:rPr>
          <w:rFonts w:ascii="Calibri" w:eastAsia="Calibri" w:hAnsi="Calibri" w:cs="Calibri"/>
          <w:sz w:val="22"/>
          <w:szCs w:val="22"/>
          <w:u w:val="single"/>
        </w:rPr>
        <w:t>o</w:t>
      </w:r>
      <w:r w:rsidRPr="6A7DC4FF">
        <w:rPr>
          <w:rFonts w:ascii="Calibri" w:eastAsia="Calibri" w:hAnsi="Calibri" w:cs="Calibri"/>
          <w:sz w:val="22"/>
          <w:szCs w:val="22"/>
          <w:u w:val="single"/>
        </w:rPr>
        <w:t xml:space="preserve"> VTEKĮ 28 straipsnio (2014 m. kovo 13 d. įstatymo Nr. XII-785 redakcija, su vėlesniais pakeitimais) normomis yra siekiama užtikrinti tinkamą asmens teisės būti išklausytam, kuri yra neatsiejama Lietuvos Respublikos Konstitucijos 30 straipsnyje įtvirtintos </w:t>
      </w:r>
      <w:r w:rsidRPr="6A7DC4FF">
        <w:rPr>
          <w:rFonts w:ascii="Calibri" w:eastAsia="Calibri" w:hAnsi="Calibri" w:cs="Calibri"/>
          <w:sz w:val="22"/>
          <w:szCs w:val="22"/>
          <w:u w:val="single"/>
          <w:lang w:bidi="lt-LT"/>
        </w:rPr>
        <w:t xml:space="preserve">teisės į tinkamą teisinį procesą ir gero administravimo principo dalis, įgyvendinimą, kad asmuo iki sprendimo, galinčio neigiamai paveikti jo interesus, priėmimo galėtų tinkamai ir veiksmingai pareikšti savo nuomonę bei paaiškinti reikšmingas aplinkybes. Tinkamas asmens informavimas apie tyrimą kartu yra ir būtina prielaida priimti objektyvų sprendimą. Tai, jog asmuo padarė VPIDVTĮ </w:t>
      </w:r>
      <w:r w:rsidRPr="6A7DC4FF">
        <w:rPr>
          <w:rFonts w:ascii="Calibri" w:eastAsia="Calibri" w:hAnsi="Calibri" w:cs="Calibri"/>
          <w:sz w:val="22"/>
          <w:szCs w:val="22"/>
          <w:u w:val="single"/>
          <w:lang w:bidi="lt-LT"/>
        </w:rPr>
        <w:lastRenderedPageBreak/>
        <w:t>pažeidimą, neturi būti preziumuojama, o turi būti nustatoma naudojant įstatymuose įtvirtintas teisines priemones</w:t>
      </w:r>
      <w:r w:rsidRPr="6A7DC4FF">
        <w:rPr>
          <w:rFonts w:ascii="Calibri" w:eastAsia="Calibri" w:hAnsi="Calibri" w:cs="Calibri"/>
          <w:sz w:val="22"/>
          <w:szCs w:val="22"/>
          <w:lang w:bidi="lt-LT"/>
        </w:rPr>
        <w:t>.</w:t>
      </w:r>
    </w:p>
    <w:p w14:paraId="30495962" w14:textId="051F8588" w:rsidR="00FD6345" w:rsidRPr="00FD6345" w:rsidRDefault="00FD6345" w:rsidP="6B5B5E0C">
      <w:pPr>
        <w:ind w:firstLine="567"/>
        <w:jc w:val="both"/>
        <w:rPr>
          <w:rFonts w:ascii="Calibri" w:eastAsia="Calibri" w:hAnsi="Calibri" w:cs="Calibri"/>
          <w:sz w:val="22"/>
          <w:szCs w:val="22"/>
        </w:rPr>
      </w:pPr>
      <w:r w:rsidRPr="27B700AD">
        <w:rPr>
          <w:rFonts w:ascii="Calibri" w:eastAsia="Calibri" w:hAnsi="Calibri" w:cs="Calibri"/>
          <w:sz w:val="22"/>
          <w:szCs w:val="22"/>
        </w:rPr>
        <w:t xml:space="preserve">Kalbant apie asmens teisę būti informuotam apie VTEK atliekamą tyrimą ir jo faktines aplinkybes, pažymėta, jog </w:t>
      </w:r>
      <w:r w:rsidRPr="27B700AD">
        <w:rPr>
          <w:rFonts w:ascii="Calibri" w:eastAsia="Calibri" w:hAnsi="Calibri" w:cs="Calibri"/>
          <w:sz w:val="22"/>
          <w:szCs w:val="22"/>
          <w:u w:val="single"/>
        </w:rPr>
        <w:t>siekiant užtikrinti asmens teisę būti išklausytam yra ypatingai svarbu tinkamai, aiškiai ir tiksliai nustatyti tyrimo dalyką, kartu apibrėžiant tyrimo ribas ir išdėstant faktines aplinkybes. Apibrėždama tyrimo ribas ir informuodama apie tyrimą (faktines aplinkybes), VTEK turi tam tikrą diskreciją, kuri yra apribota pareigos nurodyti esminius įtariamo pažeidimo požymius bei sudaryti prielaidas asmeniui, dėl kurio atliekamas tyrimas, aiškiai ir konkrečiai suvokti faktines aplinkybes, dėl kurių atliekamas tyrimas. VTEK informavimas apie atliekamą tyrimą (faktines aplinkybes) neturėtų būti pernelyg platus ar nepakankamai aiškus; iš jo turėtų būti suprantama, kokio faktinio pobūdžio informacija yra tiriama. VTEK pareiga kuo tiksliau ir aiškiau apibrėž</w:t>
      </w:r>
      <w:r w:rsidR="067EE4B9" w:rsidRPr="27B700AD">
        <w:rPr>
          <w:rFonts w:ascii="Calibri" w:eastAsia="Calibri" w:hAnsi="Calibri" w:cs="Calibri"/>
          <w:sz w:val="22"/>
          <w:szCs w:val="22"/>
          <w:u w:val="single"/>
        </w:rPr>
        <w:t>t</w:t>
      </w:r>
      <w:r w:rsidRPr="27B700AD">
        <w:rPr>
          <w:rFonts w:ascii="Calibri" w:eastAsia="Calibri" w:hAnsi="Calibri" w:cs="Calibri"/>
          <w:sz w:val="22"/>
          <w:szCs w:val="22"/>
          <w:u w:val="single"/>
        </w:rPr>
        <w:t>i tyrimo ribas ir tinkamai informuoti asmenį apie galbūt padarytą pažeidimą (faktines tyrimo aplinkybes) yra siejama ne tik su tinkama asmens procedūrinių teisių apsauga, bet ir su veiksmingos teisinės gynybos įgyvendinimu nagrinėjant klausimą institucijoje bei ginčui persikėlus į teismą</w:t>
      </w:r>
      <w:r w:rsidRPr="27B700AD">
        <w:rPr>
          <w:rFonts w:ascii="Calibri" w:eastAsia="Calibri" w:hAnsi="Calibri" w:cs="Calibri"/>
          <w:sz w:val="22"/>
          <w:szCs w:val="22"/>
        </w:rPr>
        <w:t xml:space="preserve">. </w:t>
      </w:r>
    </w:p>
    <w:p w14:paraId="08F6DE12" w14:textId="77777777" w:rsidR="00FD6345" w:rsidRPr="00FD6345" w:rsidRDefault="00FD6345" w:rsidP="00FD6345">
      <w:pPr>
        <w:ind w:firstLine="567"/>
        <w:jc w:val="both"/>
        <w:rPr>
          <w:rFonts w:ascii="Calibri" w:eastAsia="Calibri" w:hAnsi="Calibri" w:cs="Calibri"/>
          <w:bCs/>
          <w:sz w:val="22"/>
          <w:szCs w:val="22"/>
        </w:rPr>
      </w:pPr>
      <w:r w:rsidRPr="00FD6345">
        <w:rPr>
          <w:rFonts w:ascii="Calibri" w:eastAsia="Calibri" w:hAnsi="Calibri" w:cs="Calibri"/>
          <w:iCs/>
          <w:sz w:val="22"/>
          <w:szCs w:val="22"/>
        </w:rPr>
        <w:t>Išplėstinė teisėjų kolegija pažymėjo, jog pranešimas ar skundas dėl asmenų veikos atitikties teisės aktų reikalavimams</w:t>
      </w:r>
      <w:r w:rsidRPr="00FD6345">
        <w:rPr>
          <w:rFonts w:ascii="Calibri" w:eastAsia="Calibri" w:hAnsi="Calibri" w:cs="Calibri"/>
          <w:bCs/>
          <w:sz w:val="22"/>
          <w:szCs w:val="22"/>
        </w:rPr>
        <w:t xml:space="preserve">, pateiktas VTEK (VTEKĮ 20, 21 str.), kaip byloje nagrinėtu atveju – </w:t>
      </w:r>
      <w:bookmarkStart w:id="48" w:name="Buk_78"/>
      <w:r w:rsidRPr="00FD6345">
        <w:rPr>
          <w:rFonts w:ascii="Calibri" w:eastAsia="Calibri" w:hAnsi="Calibri" w:cs="Calibri"/>
          <w:bCs/>
          <w:sz w:val="22"/>
          <w:szCs w:val="22"/>
        </w:rPr>
        <w:t xml:space="preserve">P. U. </w:t>
      </w:r>
      <w:bookmarkEnd w:id="48"/>
      <w:r w:rsidRPr="00FD6345">
        <w:rPr>
          <w:rFonts w:ascii="Calibri" w:eastAsia="Calibri" w:hAnsi="Calibri" w:cs="Calibri"/>
          <w:bCs/>
          <w:sz w:val="22"/>
          <w:szCs w:val="22"/>
        </w:rPr>
        <w:t xml:space="preserve">ar kultūros ministrės pranešimai, yra tik vada (informacija) tyrimui pradėti. </w:t>
      </w:r>
      <w:r w:rsidRPr="00FD6345">
        <w:rPr>
          <w:rFonts w:ascii="Calibri" w:eastAsia="Calibri" w:hAnsi="Calibri" w:cs="Calibri"/>
          <w:iCs/>
          <w:sz w:val="22"/>
          <w:szCs w:val="22"/>
        </w:rPr>
        <w:t>Tačiau</w:t>
      </w:r>
      <w:r w:rsidRPr="00FD6345">
        <w:rPr>
          <w:rFonts w:ascii="Calibri" w:eastAsia="Calibri" w:hAnsi="Calibri" w:cs="Calibri"/>
          <w:bCs/>
          <w:sz w:val="22"/>
          <w:szCs w:val="22"/>
        </w:rPr>
        <w:t xml:space="preserve"> </w:t>
      </w:r>
      <w:r w:rsidRPr="00FD6345">
        <w:rPr>
          <w:rFonts w:ascii="Calibri" w:eastAsia="Calibri" w:hAnsi="Calibri" w:cs="Calibri"/>
          <w:bCs/>
          <w:sz w:val="22"/>
          <w:szCs w:val="22"/>
          <w:u w:val="single"/>
        </w:rPr>
        <w:t>būtent VTEK yra keliama pareiga i</w:t>
      </w:r>
      <w:r w:rsidRPr="00FD6345">
        <w:rPr>
          <w:rFonts w:ascii="Calibri" w:eastAsia="Calibri" w:hAnsi="Calibri" w:cs="Calibri"/>
          <w:bCs/>
          <w:iCs/>
          <w:sz w:val="22"/>
          <w:szCs w:val="22"/>
          <w:u w:val="single"/>
        </w:rPr>
        <w:t xml:space="preserve">šsiaiškinti, kokios pateiktoje informacijoje dėl galimo pažeidimo nurodytos aplinkybės yra reikšmingos, ir </w:t>
      </w:r>
      <w:r w:rsidRPr="00FD6345">
        <w:rPr>
          <w:rFonts w:ascii="Calibri" w:eastAsia="Calibri" w:hAnsi="Calibri" w:cs="Calibri"/>
          <w:bCs/>
          <w:sz w:val="22"/>
          <w:szCs w:val="22"/>
          <w:u w:val="single"/>
        </w:rPr>
        <w:t xml:space="preserve">tinkamai apibrėžti tyrimo ribas bei aiškiai nurodyti galbūt padarytą pažeidimą (jo faktines aplinkybes), t. y., nusprendus pradėti tyrimą, </w:t>
      </w:r>
      <w:r w:rsidRPr="00FD6345">
        <w:rPr>
          <w:rFonts w:ascii="Calibri" w:eastAsia="Calibri" w:hAnsi="Calibri" w:cs="Calibri"/>
          <w:bCs/>
          <w:iCs/>
          <w:sz w:val="22"/>
          <w:szCs w:val="22"/>
          <w:u w:val="single"/>
        </w:rPr>
        <w:t>aiškiai suformuluoti kaltinimą, nurodant konkrečias galbūt pažeistas teisės aktų normas ir faktines aplinkybes (veiksmus ar neveikimą), kuriomis buvo pažeisti teisės aktų, reglamentuojančių šio asmens pareigas, reikalavimai</w:t>
      </w:r>
      <w:r w:rsidRPr="00FD6345">
        <w:rPr>
          <w:rFonts w:ascii="Calibri" w:eastAsia="Calibri" w:hAnsi="Calibri" w:cs="Calibri"/>
          <w:bCs/>
          <w:iCs/>
          <w:sz w:val="22"/>
          <w:szCs w:val="22"/>
        </w:rPr>
        <w:t>.</w:t>
      </w:r>
      <w:r w:rsidRPr="00FD6345">
        <w:rPr>
          <w:rFonts w:ascii="Calibri" w:eastAsia="Calibri" w:hAnsi="Calibri" w:cs="Calibri"/>
          <w:bCs/>
          <w:sz w:val="22"/>
          <w:szCs w:val="22"/>
        </w:rPr>
        <w:t xml:space="preserve"> </w:t>
      </w:r>
    </w:p>
    <w:p w14:paraId="01B215C2" w14:textId="77777777" w:rsidR="00FD6345" w:rsidRPr="00FD6345" w:rsidRDefault="00FD6345" w:rsidP="00FD6345">
      <w:pPr>
        <w:ind w:firstLine="567"/>
        <w:jc w:val="both"/>
        <w:rPr>
          <w:rFonts w:ascii="Calibri" w:eastAsia="Calibri" w:hAnsi="Calibri" w:cs="Calibri"/>
          <w:bCs/>
          <w:sz w:val="22"/>
          <w:szCs w:val="22"/>
        </w:rPr>
      </w:pPr>
      <w:r w:rsidRPr="00FD6345">
        <w:rPr>
          <w:rFonts w:ascii="Calibri" w:eastAsia="Calibri" w:hAnsi="Calibri" w:cs="Calibri"/>
          <w:sz w:val="22"/>
          <w:szCs w:val="22"/>
        </w:rPr>
        <w:t xml:space="preserve">Įvertinusi </w:t>
      </w:r>
      <w:r w:rsidRPr="00FD6345">
        <w:rPr>
          <w:rFonts w:ascii="Calibri" w:eastAsia="Calibri" w:hAnsi="Calibri" w:cs="Calibri"/>
          <w:iCs/>
          <w:sz w:val="22"/>
          <w:szCs w:val="22"/>
        </w:rPr>
        <w:t xml:space="preserve">VTEK </w:t>
      </w:r>
      <w:r w:rsidRPr="00FD6345">
        <w:rPr>
          <w:rFonts w:ascii="Calibri" w:eastAsia="Calibri" w:hAnsi="Calibri" w:cs="Calibri"/>
          <w:bCs/>
          <w:sz w:val="22"/>
          <w:szCs w:val="22"/>
        </w:rPr>
        <w:t>raštus, kuriais pareiškėjas buvo informuotas apie tyrimą ir kuriuose turėjo būti aiškiai nurodytas pareiškėjo galbūt padarytas pažeidimas (tyrimo faktinės aplinkybės), išplėstinė teisėjų kolegija konstatavo, jog pareiškėjas nebuvo tinkamai informuotas apie VTEK atliekamą tyrimą, tokiu būdu buvo neužtikrintas gero administravimo principo veikimas ir pareiškėjo teisė būti išklausytam bei</w:t>
      </w:r>
      <w:r w:rsidRPr="00FD6345">
        <w:rPr>
          <w:rFonts w:ascii="Calibri" w:eastAsia="Calibri" w:hAnsi="Calibri" w:cs="Calibri"/>
          <w:bCs/>
          <w:sz w:val="22"/>
          <w:szCs w:val="22"/>
          <w:lang w:bidi="lt-LT"/>
        </w:rPr>
        <w:t xml:space="preserve"> iki sprendimo, galinčio neigiamai paveikti jo interesus, tinkamai ir veiksmingai pareikšti savo nuomonę bei paaiškinti reikšmingas aplinkybes. Be to, bylos faktinės aplinkybės ir VTEK tyrimo pareiškėjo atveju organizavimo tvarka atskleidė, jog VTEK tyrimas dėl pareiškėjo buvo vykdomas VTEK tinkamai ir aiškiai neapibrėžiant tyrimo ribų, jas plečiant arba siaurinant, vertinant itin ilgą tyrimo laikotarpį ir pareiškėją prašant pateikti įvairaus pobūdžio duomenis, tačiau neužtikrinant pareiškėjo procedūrinių teisių apsaugos. Pastebėta, jog </w:t>
      </w:r>
      <w:r w:rsidRPr="00FD6345">
        <w:rPr>
          <w:rFonts w:ascii="Calibri" w:eastAsia="Calibri" w:hAnsi="Calibri" w:cs="Calibri"/>
          <w:bCs/>
          <w:sz w:val="22"/>
          <w:szCs w:val="22"/>
          <w:u w:val="single"/>
          <w:lang w:bidi="lt-LT"/>
        </w:rPr>
        <w:t>tokia situacija, kai, gavus papildomų duomenų, tyrimas yra išplečiamas atsižvelgiant į tokius papildomai pateiktus duomenis, tačiau asmuo nėra tinkamai informuojamas apie tyrimą, yra nesuderinama su VTEKĮ 28 straipsnio 5 dalies nuostata, pagal kurią tyrimo metu paaiškėjus kitoms aplinkybėms, dėl kurių turi būti atliktas tyrimas, VTEK motyvuotu sprendimu gali nuspręsti pradėti atskirą tyrimą dėl šių aplinkybių arba raštu pateikti asmeniui naują pranešimą apie tyrimą</w:t>
      </w:r>
      <w:r w:rsidRPr="00FD6345">
        <w:rPr>
          <w:rFonts w:ascii="Calibri" w:eastAsia="Calibri" w:hAnsi="Calibri" w:cs="Calibri"/>
          <w:bCs/>
          <w:sz w:val="22"/>
          <w:szCs w:val="22"/>
          <w:lang w:bidi="lt-LT"/>
        </w:rPr>
        <w:t xml:space="preserve">. </w:t>
      </w:r>
    </w:p>
    <w:p w14:paraId="27F97650" w14:textId="77777777" w:rsidR="00FD6345" w:rsidRPr="00FD6345" w:rsidRDefault="00FD6345" w:rsidP="00FD6345">
      <w:pPr>
        <w:ind w:firstLine="567"/>
        <w:jc w:val="both"/>
        <w:rPr>
          <w:rFonts w:ascii="Calibri" w:eastAsia="Calibri" w:hAnsi="Calibri" w:cs="Calibri"/>
          <w:bCs/>
          <w:iCs/>
          <w:sz w:val="22"/>
          <w:szCs w:val="22"/>
        </w:rPr>
      </w:pPr>
      <w:r w:rsidRPr="00FD6345">
        <w:rPr>
          <w:rFonts w:ascii="Calibri" w:eastAsia="Calibri" w:hAnsi="Calibri" w:cs="Calibri"/>
          <w:bCs/>
          <w:sz w:val="22"/>
          <w:szCs w:val="22"/>
        </w:rPr>
        <w:t xml:space="preserve">Pareiškėjas taip pat nurodė, kad buvo pažeisti </w:t>
      </w:r>
      <w:r w:rsidRPr="00FD6345">
        <w:rPr>
          <w:rFonts w:ascii="Calibri" w:eastAsia="Calibri" w:hAnsi="Calibri" w:cs="Calibri"/>
          <w:bCs/>
          <w:iCs/>
          <w:sz w:val="22"/>
          <w:szCs w:val="22"/>
        </w:rPr>
        <w:t xml:space="preserve">institucijai keliami nepriklausomumo ir nešališkumo reikalavimai. </w:t>
      </w:r>
      <w:r w:rsidRPr="00FD6345">
        <w:rPr>
          <w:rFonts w:ascii="Calibri" w:eastAsia="Calibri" w:hAnsi="Calibri" w:cs="Calibri"/>
          <w:bCs/>
          <w:sz w:val="22"/>
          <w:szCs w:val="22"/>
          <w:lang w:bidi="lt-LT"/>
        </w:rPr>
        <w:t>Pareiškėjas ginčijo VTEK pirmininko įgaliojimus ir teigė, jog tai, kad VTEK pirmininko pareigas laikinai ėjo ne pagal VTEKĮ normas paskirtas asmuo, lemia VTEK priimto Sprendimo neteisėtumą.</w:t>
      </w:r>
      <w:r w:rsidRPr="00FD6345">
        <w:rPr>
          <w:rFonts w:ascii="Calibri" w:eastAsia="Calibri" w:hAnsi="Calibri" w:cs="Calibri"/>
          <w:bCs/>
          <w:iCs/>
          <w:sz w:val="22"/>
          <w:szCs w:val="22"/>
        </w:rPr>
        <w:t xml:space="preserve"> </w:t>
      </w:r>
      <w:r w:rsidRPr="00FD6345">
        <w:rPr>
          <w:rFonts w:ascii="Calibri" w:eastAsia="Calibri" w:hAnsi="Calibri" w:cs="Calibri"/>
          <w:bCs/>
          <w:sz w:val="22"/>
          <w:szCs w:val="22"/>
        </w:rPr>
        <w:t>Pirmosios instancijos teismas atmetė šiuos pareiškėjo argumentus.</w:t>
      </w:r>
    </w:p>
    <w:p w14:paraId="283CB5CE" w14:textId="77777777" w:rsidR="00FD6345" w:rsidRPr="00FD6345" w:rsidRDefault="00FD6345" w:rsidP="00FD6345">
      <w:pPr>
        <w:ind w:firstLine="567"/>
        <w:jc w:val="both"/>
        <w:rPr>
          <w:rFonts w:ascii="Calibri" w:eastAsia="Calibri" w:hAnsi="Calibri" w:cs="Calibri"/>
          <w:bCs/>
          <w:iCs/>
          <w:sz w:val="22"/>
          <w:szCs w:val="22"/>
        </w:rPr>
      </w:pPr>
      <w:r w:rsidRPr="00FD6345">
        <w:rPr>
          <w:rFonts w:ascii="Calibri" w:eastAsia="Calibri" w:hAnsi="Calibri" w:cs="Calibri"/>
          <w:bCs/>
          <w:sz w:val="22"/>
          <w:szCs w:val="22"/>
          <w:lang w:bidi="lt-LT"/>
        </w:rPr>
        <w:t xml:space="preserve">Išplėstinė teisėjų kolegija nustatė, jog Lietuvos Respublikos Seimui 2017 m. kovo 14 d. nutarimu Nr. XIII-218 nuo 2017 m. kovo 20 d. atleidus VTEK pirmininką </w:t>
      </w:r>
      <w:bookmarkStart w:id="49" w:name="Buk_81"/>
      <w:r w:rsidRPr="00FD6345">
        <w:rPr>
          <w:rFonts w:ascii="Calibri" w:eastAsia="Calibri" w:hAnsi="Calibri" w:cs="Calibri"/>
          <w:bCs/>
          <w:sz w:val="22"/>
          <w:szCs w:val="22"/>
          <w:lang w:bidi="lt-LT"/>
        </w:rPr>
        <w:t xml:space="preserve">R. V. </w:t>
      </w:r>
      <w:bookmarkEnd w:id="49"/>
      <w:r w:rsidRPr="00FD6345">
        <w:rPr>
          <w:rFonts w:ascii="Calibri" w:eastAsia="Calibri" w:hAnsi="Calibri" w:cs="Calibri"/>
          <w:bCs/>
          <w:sz w:val="22"/>
          <w:szCs w:val="22"/>
          <w:lang w:bidi="lt-LT"/>
        </w:rPr>
        <w:t xml:space="preserve">iš Komisijos pirmininko pareigų, naujo VTEK pirmininko Seimas nepaskyrė. Vyriausias pagal amžių VTEK narys, kuris pagal VTEKĮ 12 straipsnio 2 dalį turėjo laikinai eiti VTEK pirmininko pareigas, atsisakė eiti šias pareigas. Dėl to pirmininko pareigas VTEK 2017 m. kovo 17 d. sprendimu laikinai pradėjo eiti </w:t>
      </w:r>
      <w:bookmarkStart w:id="50" w:name="Buk_94"/>
      <w:r w:rsidRPr="00FD6345">
        <w:rPr>
          <w:rFonts w:ascii="Calibri" w:eastAsia="Calibri" w:hAnsi="Calibri" w:cs="Calibri"/>
          <w:bCs/>
          <w:sz w:val="22"/>
          <w:szCs w:val="22"/>
          <w:lang w:bidi="lt-LT"/>
        </w:rPr>
        <w:t>V. K.</w:t>
      </w:r>
      <w:bookmarkEnd w:id="50"/>
      <w:r w:rsidRPr="00FD6345">
        <w:rPr>
          <w:rFonts w:ascii="Calibri" w:eastAsia="Calibri" w:hAnsi="Calibri" w:cs="Calibri"/>
          <w:bCs/>
          <w:sz w:val="22"/>
          <w:szCs w:val="22"/>
          <w:lang w:bidi="lt-LT"/>
        </w:rPr>
        <w:t>, kuris nebuvo vyriausias pagal amžių VTEK narys.</w:t>
      </w:r>
    </w:p>
    <w:p w14:paraId="3C17690B" w14:textId="33608283" w:rsidR="00FD6345" w:rsidRPr="00FD6345" w:rsidRDefault="00FD6345" w:rsidP="00FD6345">
      <w:pPr>
        <w:ind w:firstLine="567"/>
        <w:jc w:val="both"/>
        <w:rPr>
          <w:rFonts w:ascii="Calibri" w:eastAsia="Calibri" w:hAnsi="Calibri" w:cs="Calibri"/>
          <w:bCs/>
          <w:iCs/>
          <w:sz w:val="22"/>
          <w:szCs w:val="22"/>
        </w:rPr>
      </w:pPr>
      <w:r w:rsidRPr="00FD6345">
        <w:rPr>
          <w:rFonts w:ascii="Calibri" w:eastAsia="Calibri" w:hAnsi="Calibri" w:cs="Calibri"/>
          <w:bCs/>
          <w:sz w:val="22"/>
          <w:szCs w:val="22"/>
          <w:lang w:bidi="lt-LT"/>
        </w:rPr>
        <w:t xml:space="preserve">VTEKĮ 12 straipsnyje </w:t>
      </w:r>
      <w:r w:rsidRPr="00FD6345">
        <w:rPr>
          <w:rFonts w:ascii="Calibri" w:eastAsia="Calibri" w:hAnsi="Calibri" w:cs="Calibri"/>
          <w:bCs/>
          <w:sz w:val="22"/>
          <w:szCs w:val="22"/>
        </w:rPr>
        <w:t xml:space="preserve">(2008 m. liepos 1 d. įstatymo Nr. X-1666 redakcija) </w:t>
      </w:r>
      <w:r w:rsidRPr="00FD6345">
        <w:rPr>
          <w:rFonts w:ascii="Calibri" w:eastAsia="Calibri" w:hAnsi="Calibri" w:cs="Calibri"/>
          <w:bCs/>
          <w:sz w:val="22"/>
          <w:szCs w:val="22"/>
          <w:lang w:bidi="lt-LT"/>
        </w:rPr>
        <w:t>buvo aptartas VTEK pirmininko pavadavimo klausimas: kai VTEK pirmininkas laikinai (dėl tarnybinės komandiruotės, atostogų, laikinojo nedarbingumo ir kt.) negali eiti pareigų, jis jas paveda atlikti kitam VTEK nariui. VTEK nariui, laikinai einančiam VTEK pirmininko pareigas, mokamas VTEK pirmininko pareigybei nustatytas darbo užmokestis (1 d.); kol nėra paskirtas VTEK pirmininkas, jo pareigas eina vyriausias pagal amžių VTEK narys (2 d.).</w:t>
      </w:r>
    </w:p>
    <w:p w14:paraId="6925903A" w14:textId="77777777" w:rsidR="00FD6345" w:rsidRPr="00FD6345" w:rsidRDefault="00FD6345" w:rsidP="00FD6345">
      <w:pPr>
        <w:ind w:firstLine="567"/>
        <w:jc w:val="both"/>
        <w:rPr>
          <w:rFonts w:ascii="Calibri" w:eastAsia="Calibri" w:hAnsi="Calibri" w:cs="Calibri"/>
          <w:bCs/>
          <w:sz w:val="22"/>
          <w:szCs w:val="22"/>
          <w:lang w:bidi="lt-LT"/>
        </w:rPr>
      </w:pPr>
      <w:r w:rsidRPr="00FD6345">
        <w:rPr>
          <w:rFonts w:ascii="Calibri" w:eastAsia="Calibri" w:hAnsi="Calibri" w:cs="Calibri"/>
          <w:bCs/>
          <w:sz w:val="22"/>
          <w:szCs w:val="22"/>
          <w:lang w:bidi="lt-LT"/>
        </w:rPr>
        <w:t>Išplėstinė teisėjų kolegija, įvertinusi teisinį reguliavimą, nustatė, jog VTEK pirmininko statusas yra dvejopas: jis yra ir VTEK narys, ir biudžetinės įstaigos vadovas, atliekantis įstatymu jam pavestas funkcijas. VTEK pirmininko statusas VTEK sistemoje išsiskiria ir tuo, jog VTEK posėdyje, priimant sprendimą ir balsuojant, „balsams pasidalijus po lygiai, lemia posėdžio pirmininko balsas“ (VTEKĮ 16</w:t>
      </w:r>
      <w:r w:rsidRPr="00FD6345">
        <w:rPr>
          <w:rFonts w:ascii="Calibri" w:eastAsia="Calibri" w:hAnsi="Calibri" w:cs="Calibri"/>
          <w:bCs/>
          <w:sz w:val="22"/>
          <w:szCs w:val="22"/>
          <w:vertAlign w:val="superscript"/>
          <w:lang w:bidi="lt-LT"/>
        </w:rPr>
        <w:t>1</w:t>
      </w:r>
      <w:r w:rsidRPr="00FD6345">
        <w:rPr>
          <w:rFonts w:ascii="Calibri" w:eastAsia="Calibri" w:hAnsi="Calibri" w:cs="Calibri"/>
          <w:bCs/>
          <w:sz w:val="22"/>
          <w:szCs w:val="22"/>
          <w:lang w:bidi="lt-LT"/>
        </w:rPr>
        <w:t xml:space="preserve"> str. 3 d.). Be to, VTEK pirmininko galios pirmininkauti VTEK posėdžiui ir tai pavesti atlikti kitam VTEK nariui yra reikšmingos, įskaitant ir tai, jog </w:t>
      </w:r>
      <w:r w:rsidRPr="00FD6345">
        <w:rPr>
          <w:rFonts w:ascii="Calibri" w:eastAsia="Calibri" w:hAnsi="Calibri" w:cs="Calibri"/>
          <w:bCs/>
          <w:sz w:val="22"/>
          <w:szCs w:val="22"/>
          <w:lang w:bidi="lt-LT"/>
        </w:rPr>
        <w:lastRenderedPageBreak/>
        <w:t xml:space="preserve">posėdžio pirmininko, kuriuo būna arba VTEK pirmininkas, arba jo parinktas asmuo, balsas VTEK balsuojant dėl sprendimo priėmimo yra lemiamas. </w:t>
      </w:r>
      <w:r w:rsidRPr="00FD6345">
        <w:rPr>
          <w:rFonts w:ascii="Calibri" w:eastAsia="Calibri" w:hAnsi="Calibri" w:cs="Calibri"/>
          <w:bCs/>
          <w:sz w:val="22"/>
          <w:szCs w:val="22"/>
          <w:u w:val="single"/>
          <w:lang w:bidi="lt-LT"/>
        </w:rPr>
        <w:t>Tai, jog įstatymų leidėjas yra numatęs specialią VTEK pirmininko paskyrimo tvarką, taip pat asmeniui, einančiam VTEK pirmininko pareigas, yra numatęs ir platesnius įgaliojimus, palyginus su VTEK nariu, rodo, jog VTEK pirmininko statusas yra ypatingas, o jo atliekamos funkcijos – reikšmingos ir svarbios</w:t>
      </w:r>
      <w:r w:rsidRPr="00FD6345">
        <w:rPr>
          <w:rFonts w:ascii="Calibri" w:eastAsia="Calibri" w:hAnsi="Calibri" w:cs="Calibri"/>
          <w:bCs/>
          <w:sz w:val="22"/>
          <w:szCs w:val="22"/>
          <w:lang w:bidi="lt-LT"/>
        </w:rPr>
        <w:t>.</w:t>
      </w:r>
      <w:bookmarkStart w:id="51" w:name="_Hlk42084284"/>
      <w:r w:rsidRPr="00FD6345">
        <w:rPr>
          <w:rFonts w:ascii="Calibri" w:eastAsia="Calibri" w:hAnsi="Calibri" w:cs="Calibri"/>
          <w:bCs/>
          <w:sz w:val="22"/>
          <w:szCs w:val="22"/>
          <w:lang w:bidi="lt-LT"/>
        </w:rPr>
        <w:t xml:space="preserve"> VTEK pirmininko statusas ir jo pavadavimo klausimas yra aiškiai ir konkrečiai apibrėžti VTEKĮ.</w:t>
      </w:r>
      <w:bookmarkEnd w:id="51"/>
    </w:p>
    <w:p w14:paraId="611AFAFA" w14:textId="77777777" w:rsidR="00FD6345" w:rsidRPr="00FD6345" w:rsidRDefault="00FD6345" w:rsidP="00FD6345">
      <w:pPr>
        <w:ind w:firstLine="567"/>
        <w:jc w:val="both"/>
        <w:rPr>
          <w:rFonts w:ascii="Calibri" w:eastAsia="Calibri" w:hAnsi="Calibri" w:cs="Calibri"/>
          <w:bCs/>
          <w:sz w:val="22"/>
          <w:szCs w:val="22"/>
          <w:lang w:bidi="lt-LT"/>
        </w:rPr>
      </w:pPr>
      <w:r w:rsidRPr="00FD6345">
        <w:rPr>
          <w:rFonts w:ascii="Calibri" w:eastAsia="Calibri" w:hAnsi="Calibri" w:cs="Calibri"/>
          <w:bCs/>
          <w:sz w:val="22"/>
          <w:szCs w:val="22"/>
          <w:lang w:bidi="lt-LT"/>
        </w:rPr>
        <w:t xml:space="preserve">VTEK pirmininko pavadavimo klausimą išsprendus nesilaikant VTEKĮ numatytos tvarkos, t. y. VTEK nariams išrinkus VTEK narį, pavaduojantį pirmininką, išplėstinės teisėjų kolegijos vertinimu, pareiškėjo galimo pažeidimo tyrimo VTEK metu VTEK pirmininko funkcijas – </w:t>
      </w:r>
      <w:r w:rsidRPr="00FD6345">
        <w:rPr>
          <w:rFonts w:ascii="Calibri" w:eastAsia="Calibri" w:hAnsi="Calibri" w:cs="Calibri"/>
          <w:bCs/>
          <w:sz w:val="22"/>
          <w:szCs w:val="22"/>
        </w:rPr>
        <w:t xml:space="preserve">organizavo VTEK sekretoriato darbą atliekant tyrimą dėl Sprendimo, vadovavo rengiant svarstyti VTEK teikiamą Sprendimą, sušaukė Komisijos posėdį, kuriame buvo priimtas Sprendimas ir jame pirmininkavo, davė privalomus nurodymus valstybės tarnautojams ir pareiškėjui bei pasirašė Sprendimą – atliko VTEK narys, kuriam tokių funkcijų atlikimas buvo priskirtas ydingai ir nesilaikant teisės aktų reikalavimų. </w:t>
      </w:r>
    </w:p>
    <w:p w14:paraId="631B36F7" w14:textId="452C7ACF" w:rsidR="00FD6345" w:rsidRPr="00FD6345" w:rsidRDefault="00FD6345" w:rsidP="6A7DC4FF">
      <w:pPr>
        <w:ind w:firstLine="567"/>
        <w:jc w:val="both"/>
        <w:rPr>
          <w:rFonts w:ascii="Calibri" w:eastAsia="Calibri" w:hAnsi="Calibri" w:cs="Calibri"/>
          <w:sz w:val="22"/>
          <w:szCs w:val="22"/>
          <w:lang w:bidi="lt-LT"/>
        </w:rPr>
      </w:pPr>
      <w:r w:rsidRPr="6A7DC4FF">
        <w:rPr>
          <w:rFonts w:ascii="Calibri" w:eastAsia="Calibri" w:hAnsi="Calibri" w:cs="Calibri"/>
          <w:sz w:val="22"/>
          <w:szCs w:val="22"/>
          <w:lang w:bidi="lt-LT"/>
        </w:rPr>
        <w:t>Padaryta išvada, jog</w:t>
      </w:r>
      <w:r w:rsidRPr="6A7DC4FF">
        <w:rPr>
          <w:rFonts w:ascii="Calibri" w:eastAsia="Calibri" w:hAnsi="Calibri" w:cs="Calibri"/>
          <w:sz w:val="22"/>
          <w:szCs w:val="22"/>
        </w:rPr>
        <w:t xml:space="preserve"> </w:t>
      </w:r>
      <w:r w:rsidRPr="6A7DC4FF">
        <w:rPr>
          <w:rFonts w:ascii="Calibri" w:eastAsia="Calibri" w:hAnsi="Calibri" w:cs="Calibri"/>
          <w:sz w:val="22"/>
          <w:szCs w:val="22"/>
          <w:lang w:bidi="lt-LT"/>
        </w:rPr>
        <w:t>VTEKĮ nustatytu teisiniu reguliavimu, pagal kurį Seimui atleidus VTEK pirmininką iš pareigų, kol nėra paskirtas VTEK pirmininkas, VTEK pirmininko pareigas eina vyriausias pagal amžių VTEK narys (12 str. 2 d.), buvo siekiama užtikrinti VTEK nešališkumą ir tai, jog sprendimai būtų priimti objektyviai. Pareiškėjui teikiant argumentus, jog Komisijos atliktas tyrimas ir priimtas sprendimas pažeidė objektyvumo, nešališkumo ir politinio neutralumo principus, išplėstinė teisėjų kolegij</w:t>
      </w:r>
      <w:r w:rsidR="43C67045" w:rsidRPr="6A7DC4FF">
        <w:rPr>
          <w:rFonts w:ascii="Calibri" w:eastAsia="Calibri" w:hAnsi="Calibri" w:cs="Calibri"/>
          <w:sz w:val="22"/>
          <w:szCs w:val="22"/>
          <w:lang w:bidi="lt-LT"/>
        </w:rPr>
        <w:t>a</w:t>
      </w:r>
      <w:r w:rsidRPr="6A7DC4FF">
        <w:rPr>
          <w:rFonts w:ascii="Calibri" w:eastAsia="Calibri" w:hAnsi="Calibri" w:cs="Calibri"/>
          <w:sz w:val="22"/>
          <w:szCs w:val="22"/>
          <w:lang w:bidi="lt-LT"/>
        </w:rPr>
        <w:t xml:space="preserve"> vertino, jog VTEKĮ 12 straipsnio 2 dalyje numatytų taisyklių nepaisymas pareiškėjui, kaip teisės subjektui, galėjo sukelti pagrįstų abejonių dėl VTEK nepriklausomumo ir neutralumo. </w:t>
      </w:r>
      <w:r w:rsidRPr="6A7DC4FF">
        <w:rPr>
          <w:rFonts w:ascii="Calibri" w:eastAsia="Calibri" w:hAnsi="Calibri" w:cs="Calibri"/>
          <w:sz w:val="22"/>
          <w:szCs w:val="22"/>
          <w:u w:val="single"/>
          <w:lang w:bidi="lt-LT"/>
        </w:rPr>
        <w:t xml:space="preserve">Tai, kad pareiškėjo klausimą dėl tarnybinės etikos pažeidimo išnagrinėjo institucija, kurios pirmininkas, dalyvavęs priimant Sprendimą, buvo paskirtas ne pagal teisės aktuose nustatytą tvarką, galėjo lemti, kad ši institucija teisės subjektams (būtent pareiškėjui) nesudarė nepriklausomos ir nešališkos institucijos įspūdžio, t. y. </w:t>
      </w:r>
      <w:bookmarkStart w:id="52" w:name="_Hlk53421673"/>
      <w:r w:rsidRPr="6A7DC4FF">
        <w:rPr>
          <w:rFonts w:ascii="Calibri" w:eastAsia="Calibri" w:hAnsi="Calibri" w:cs="Calibri"/>
          <w:sz w:val="22"/>
          <w:szCs w:val="22"/>
          <w:u w:val="single"/>
          <w:lang w:bidi="lt-LT"/>
        </w:rPr>
        <w:t xml:space="preserve">neatitiko </w:t>
      </w:r>
      <w:bookmarkEnd w:id="52"/>
      <w:r w:rsidRPr="6A7DC4FF">
        <w:rPr>
          <w:rFonts w:ascii="Calibri" w:eastAsia="Calibri" w:hAnsi="Calibri" w:cs="Calibri"/>
          <w:sz w:val="22"/>
          <w:szCs w:val="22"/>
          <w:u w:val="single"/>
          <w:lang w:bidi="lt-LT"/>
        </w:rPr>
        <w:t>objektyvaus nepriklausomumo reikalavimo, pagal kurį institucija turi suteikti pakankamai garantijų, jog neliktų jokių teisėtų abejonių dėl galimo neobjektyvumo. Tačiau šios išvados patvirtinimui būtina įvertinti ne tik institucijos suformavimo konkrečias aplinkybes (pirmininko skyrimo faktines aplinkybes), bet taip pat atsižvelgti į kitas byloje nustatytas faktines aplinkybes.</w:t>
      </w:r>
    </w:p>
    <w:p w14:paraId="26187C05" w14:textId="77777777" w:rsidR="00FD6345" w:rsidRPr="00FD6345" w:rsidRDefault="00FD6345" w:rsidP="00FD6345">
      <w:pPr>
        <w:ind w:firstLine="567"/>
        <w:jc w:val="both"/>
        <w:rPr>
          <w:rFonts w:ascii="Calibri" w:eastAsia="Calibri" w:hAnsi="Calibri" w:cs="Calibri"/>
          <w:bCs/>
          <w:sz w:val="22"/>
          <w:szCs w:val="22"/>
          <w:lang w:bidi="lt-LT"/>
        </w:rPr>
      </w:pPr>
      <w:r w:rsidRPr="00FD6345">
        <w:rPr>
          <w:rFonts w:ascii="Calibri" w:eastAsia="Calibri" w:hAnsi="Calibri" w:cs="Calibri"/>
          <w:bCs/>
          <w:sz w:val="22"/>
          <w:szCs w:val="22"/>
          <w:lang w:bidi="lt-LT"/>
        </w:rPr>
        <w:t>Pareiškėjas dėstė ir kitus argumentus, susijusius su VTEK šališkumu, bei nurodė, kad tendencingi politikų pasisakymai, nurodyti VTEK Sprendime, liudija aplinkybę, jog politikų pasakymai turėjo įtaką VTEK nariams priimant Sprendimą.</w:t>
      </w:r>
    </w:p>
    <w:p w14:paraId="145AA0F0" w14:textId="77777777" w:rsidR="00FD6345" w:rsidRPr="00FD6345" w:rsidRDefault="00FD6345" w:rsidP="00FD6345">
      <w:pPr>
        <w:ind w:firstLine="567"/>
        <w:jc w:val="both"/>
        <w:rPr>
          <w:rFonts w:ascii="Calibri" w:eastAsia="Calibri" w:hAnsi="Calibri" w:cs="Calibri"/>
          <w:bCs/>
          <w:sz w:val="22"/>
          <w:szCs w:val="22"/>
          <w:lang w:bidi="lt-LT"/>
        </w:rPr>
      </w:pPr>
      <w:r w:rsidRPr="00FD6345">
        <w:rPr>
          <w:rFonts w:ascii="Calibri" w:eastAsia="Calibri" w:hAnsi="Calibri" w:cs="Calibri"/>
          <w:bCs/>
          <w:sz w:val="22"/>
          <w:szCs w:val="22"/>
          <w:lang w:bidi="lt-LT"/>
        </w:rPr>
        <w:t>Išplėstinė teisėjų kolegija pažymėjo, jog pastraipa su politikų nuomonėmis, pagal kurias pareiškėjo tarnybinis elgesys nėra vertinamas kaip skaidrus, yra įrašyta VTEK sprendimo dalyje „Tyrimo pagrindas ir dalykas“. Pirmosios instancijos teismas pastebėjo, kad VTEK savo sprendimuose turėtų vengti remtis žiniasklaidos priemonėse skelbiamomis viešų asmenų nuomonėmis apie pareiškėją. Išplėstinė teisėjų kolegija sutiko su šia pirmosios instancijos teismo pastaba ir papildomai pažymėjo, jog nėra aišku, kodėl šios nuomonės yra minimos VTEK Sprendime, dėl to tai pareiškėjui pagrįstai sukėlė papildomų abejonių dėl VTEK nepriklausomumo ar nešališkumo.</w:t>
      </w:r>
    </w:p>
    <w:p w14:paraId="73DCD7D9" w14:textId="77777777" w:rsidR="00FD6345" w:rsidRPr="00FD6345" w:rsidRDefault="00FD6345" w:rsidP="00FD6345">
      <w:pPr>
        <w:ind w:firstLine="567"/>
        <w:jc w:val="both"/>
        <w:rPr>
          <w:rFonts w:ascii="Calibri" w:eastAsia="Calibri" w:hAnsi="Calibri" w:cs="Calibri"/>
          <w:bCs/>
          <w:sz w:val="22"/>
          <w:szCs w:val="22"/>
          <w:lang w:bidi="lt-LT"/>
        </w:rPr>
      </w:pPr>
      <w:r w:rsidRPr="00FD6345">
        <w:rPr>
          <w:rFonts w:ascii="Calibri" w:eastAsia="Calibri" w:hAnsi="Calibri" w:cs="Calibri"/>
          <w:bCs/>
          <w:sz w:val="22"/>
          <w:szCs w:val="22"/>
          <w:lang w:bidi="lt-LT"/>
        </w:rPr>
        <w:t xml:space="preserve">Be to, VTEK veiklos nešališkumu pareiškėjas pagrįstai galėjo suabejoti ir dėl kitų aplinkybių: pareiškėjas savo veikloje vadovavosi VTEK pateikta konsultacija dėl galimo viešųjų ir privačių interesų konflikto </w:t>
      </w:r>
      <w:bookmarkStart w:id="53" w:name="Buk_48"/>
      <w:r w:rsidRPr="00FD6345">
        <w:rPr>
          <w:rFonts w:ascii="Calibri" w:eastAsia="Calibri" w:hAnsi="Calibri" w:cs="Calibri"/>
          <w:bCs/>
          <w:sz w:val="22"/>
          <w:szCs w:val="22"/>
          <w:lang w:bidi="lt-LT"/>
        </w:rPr>
        <w:t xml:space="preserve">G. K. </w:t>
      </w:r>
      <w:bookmarkEnd w:id="53"/>
      <w:r w:rsidRPr="00FD6345">
        <w:rPr>
          <w:rFonts w:ascii="Calibri" w:eastAsia="Calibri" w:hAnsi="Calibri" w:cs="Calibri"/>
          <w:bCs/>
          <w:sz w:val="22"/>
          <w:szCs w:val="22"/>
          <w:lang w:bidi="lt-LT"/>
        </w:rPr>
        <w:t xml:space="preserve">pradėjus derybas dėl LNOBT programos ir repertuaro derinimo su įmone, kurios vienas iš vadovų yra jo sūnus, o VTEK [ankstesniame] 2017 m. vasario 1 d. sprendime konstatavo, kad LNOBT 2016 m. gegužės 5 d. pasirašant sutartį su UAB „Riverside Music“ dėl operos solistės </w:t>
      </w:r>
      <w:bookmarkStart w:id="54" w:name="Buk_8"/>
      <w:r w:rsidRPr="00FD6345">
        <w:rPr>
          <w:rFonts w:ascii="Calibri" w:eastAsia="Calibri" w:hAnsi="Calibri" w:cs="Calibri"/>
          <w:bCs/>
          <w:sz w:val="22"/>
          <w:szCs w:val="22"/>
          <w:lang w:bidi="lt-LT"/>
        </w:rPr>
        <w:t xml:space="preserve">A. G. </w:t>
      </w:r>
      <w:bookmarkEnd w:id="54"/>
      <w:r w:rsidRPr="00FD6345">
        <w:rPr>
          <w:rFonts w:ascii="Calibri" w:eastAsia="Calibri" w:hAnsi="Calibri" w:cs="Calibri"/>
          <w:bCs/>
          <w:sz w:val="22"/>
          <w:szCs w:val="22"/>
          <w:lang w:bidi="lt-LT"/>
        </w:rPr>
        <w:t xml:space="preserve">koncerto 2016 m. birželio 3 d. LNOBT organizavimo šio teatro generalinis direktorius </w:t>
      </w:r>
      <w:bookmarkStart w:id="55" w:name="Buk_32"/>
      <w:r w:rsidRPr="00FD6345">
        <w:rPr>
          <w:rFonts w:ascii="Calibri" w:eastAsia="Calibri" w:hAnsi="Calibri" w:cs="Calibri"/>
          <w:bCs/>
          <w:sz w:val="22"/>
          <w:szCs w:val="22"/>
          <w:lang w:bidi="lt-LT"/>
        </w:rPr>
        <w:t xml:space="preserve">G. K. </w:t>
      </w:r>
      <w:bookmarkEnd w:id="55"/>
      <w:r w:rsidRPr="00FD6345">
        <w:rPr>
          <w:rFonts w:ascii="Calibri" w:eastAsia="Calibri" w:hAnsi="Calibri" w:cs="Calibri"/>
          <w:bCs/>
          <w:sz w:val="22"/>
          <w:szCs w:val="22"/>
          <w:lang w:bidi="lt-LT"/>
        </w:rPr>
        <w:t xml:space="preserve">VPIDVTĮ nuostatų nepažeidė. Kaip matyti iš bylos duomenų, skundžiamame Sprendime aplinkybės dėl operos solistės </w:t>
      </w:r>
      <w:bookmarkStart w:id="56" w:name="Buk_9"/>
      <w:r w:rsidRPr="00FD6345">
        <w:rPr>
          <w:rFonts w:ascii="Calibri" w:eastAsia="Calibri" w:hAnsi="Calibri" w:cs="Calibri"/>
          <w:bCs/>
          <w:sz w:val="22"/>
          <w:szCs w:val="22"/>
          <w:lang w:bidi="lt-LT"/>
        </w:rPr>
        <w:t xml:space="preserve">A. G. </w:t>
      </w:r>
      <w:bookmarkEnd w:id="56"/>
      <w:r w:rsidRPr="00FD6345">
        <w:rPr>
          <w:rFonts w:ascii="Calibri" w:eastAsia="Calibri" w:hAnsi="Calibri" w:cs="Calibri"/>
          <w:bCs/>
          <w:sz w:val="22"/>
          <w:szCs w:val="22"/>
          <w:lang w:bidi="lt-LT"/>
        </w:rPr>
        <w:t>koncerto iš esmės buvo vertintos iš naujo, taigi VTEK pozicija šiuo klausimu nebuvo nuosekli.</w:t>
      </w:r>
      <w:bookmarkStart w:id="57" w:name="_Hlk53420599"/>
    </w:p>
    <w:p w14:paraId="7A5196AA" w14:textId="77777777" w:rsidR="00FD6345" w:rsidRPr="00FD6345" w:rsidRDefault="00FD6345" w:rsidP="00FD6345">
      <w:pPr>
        <w:ind w:firstLine="567"/>
        <w:jc w:val="both"/>
        <w:rPr>
          <w:rFonts w:ascii="Calibri" w:eastAsia="Calibri" w:hAnsi="Calibri" w:cs="Calibri"/>
          <w:bCs/>
          <w:sz w:val="22"/>
          <w:szCs w:val="22"/>
          <w:lang w:bidi="lt-LT"/>
        </w:rPr>
      </w:pPr>
      <w:r w:rsidRPr="00FD6345">
        <w:rPr>
          <w:rFonts w:ascii="Calibri" w:eastAsia="Calibri" w:hAnsi="Calibri" w:cs="Calibri"/>
          <w:bCs/>
          <w:sz w:val="22"/>
          <w:szCs w:val="22"/>
          <w:lang w:bidi="lt-LT"/>
        </w:rPr>
        <w:t>Išplėstinė teisėjų kolegija</w:t>
      </w:r>
      <w:bookmarkEnd w:id="57"/>
      <w:r w:rsidRPr="00FD6345">
        <w:rPr>
          <w:rFonts w:ascii="Calibri" w:eastAsia="Calibri" w:hAnsi="Calibri" w:cs="Calibri"/>
          <w:bCs/>
          <w:sz w:val="22"/>
          <w:szCs w:val="22"/>
          <w:lang w:bidi="lt-LT"/>
        </w:rPr>
        <w:t xml:space="preserve"> sprendė, kad nagrinėtu atveju buvo pažeistas teisės į gynybą principas, gero administravimo principas, </w:t>
      </w:r>
      <w:r w:rsidRPr="00FD6345">
        <w:rPr>
          <w:rFonts w:ascii="Calibri" w:eastAsia="Calibri" w:hAnsi="Calibri" w:cs="Calibri"/>
          <w:bCs/>
          <w:i/>
          <w:iCs/>
          <w:sz w:val="22"/>
          <w:szCs w:val="22"/>
          <w:lang w:bidi="lt-LT"/>
        </w:rPr>
        <w:t>inter alia</w:t>
      </w:r>
      <w:r w:rsidRPr="00FD6345">
        <w:rPr>
          <w:rFonts w:ascii="Calibri" w:eastAsia="Calibri" w:hAnsi="Calibri" w:cs="Calibri"/>
          <w:bCs/>
          <w:sz w:val="22"/>
          <w:szCs w:val="22"/>
          <w:lang w:bidi="lt-LT"/>
        </w:rPr>
        <w:t xml:space="preserve"> suponuojantis teisę, jog asmens reikalai institucijoje būtų tvarkomi nešališkai, dėl to, jog pareiškėjo klausimą dėl tarnybinės etikos pažeidimo išnagrinėjo institucija, kurios narių (pirmininko) skyrimo aplinkybės, pozicijos nenuoseklumas, tyrimo eiga nesudarė nepriklausomos ir nešališkos institucijos įspūdžio, taigi institucija neatitiko nepriklausomumo ir nešališkumo reikalavimų. Išplėstinė teisėjų kolegija, akcentuodama tai, jog viešojo administravimo subjektui yra keliami skaidrumo, nešališkumo ir objektyvumo reikalavimai, o šiuo atveju objektyvaus nepriklausomumo reikalavimas nebuvo užtikrintas, konstatavo, jog VTEKĮ 12 straipsnio 2 dalies nesilaikymas ir neteisėtas VTEK pirmininko įgaliojimų atlikimas pareiškėjo pažeidimo tyrimo VTEK metu bei papildomos aplinkybės dėl pareiškėjo klausimo VTEK nagrinėjimo, </w:t>
      </w:r>
      <w:r w:rsidRPr="00FD6345">
        <w:rPr>
          <w:rFonts w:ascii="Calibri" w:eastAsia="Calibri" w:hAnsi="Calibri" w:cs="Calibri"/>
          <w:bCs/>
          <w:sz w:val="22"/>
          <w:szCs w:val="22"/>
          <w:lang w:bidi="lt-LT"/>
        </w:rPr>
        <w:lastRenderedPageBreak/>
        <w:t>aplinkybės dėl institucijos neatitikimo nepriklausomumo ir nešališkumo reikalavimams, taip pat tai, kad buvo pažeista pareiškėjo teisė būti išklausytam, suponuoja, jog Sprendimo panaikinimas yra būtina ir adekvati pareiškėjo pažeistų teisių gynimo priemonė.</w:t>
      </w:r>
    </w:p>
    <w:p w14:paraId="270DFB42" w14:textId="77777777" w:rsidR="00FD6345" w:rsidRPr="00FD6345" w:rsidRDefault="00FD6345" w:rsidP="00FD6345">
      <w:pPr>
        <w:ind w:firstLine="567"/>
        <w:jc w:val="both"/>
        <w:rPr>
          <w:rFonts w:ascii="Calibri" w:eastAsia="Calibri" w:hAnsi="Calibri" w:cs="Calibri"/>
          <w:bCs/>
          <w:sz w:val="22"/>
          <w:szCs w:val="22"/>
          <w:lang w:bidi="lt-LT"/>
        </w:rPr>
      </w:pPr>
      <w:r w:rsidRPr="00FD6345">
        <w:rPr>
          <w:rFonts w:ascii="Calibri" w:eastAsia="Calibri" w:hAnsi="Calibri" w:cs="Calibri"/>
          <w:bCs/>
          <w:sz w:val="22"/>
          <w:szCs w:val="22"/>
          <w:lang w:bidi="lt-LT"/>
        </w:rPr>
        <w:t>Išplėstinė teisėjų kolegija, plėtodama LVAT praktiką ir siekdama užtikrinti iš Lietuvos Respublikos</w:t>
      </w:r>
      <w:bookmarkStart w:id="58" w:name="n755df016-2723-487e-ba48-6dd8dbab723e"/>
      <w:r w:rsidRPr="00FD6345">
        <w:rPr>
          <w:rFonts w:ascii="Calibri" w:eastAsia="Calibri" w:hAnsi="Calibri" w:cs="Calibri"/>
          <w:bCs/>
          <w:sz w:val="22"/>
          <w:szCs w:val="22"/>
          <w:lang w:bidi="lt-LT"/>
        </w:rPr>
        <w:t xml:space="preserve"> Konstitucijoje</w:t>
      </w:r>
      <w:bookmarkStart w:id="59" w:name="pn755df016-2723-487e-ba48-6dd8dbab723e"/>
      <w:bookmarkEnd w:id="58"/>
      <w:bookmarkEnd w:id="59"/>
      <w:r w:rsidRPr="00FD6345">
        <w:rPr>
          <w:rFonts w:ascii="Calibri" w:eastAsia="Calibri" w:hAnsi="Calibri" w:cs="Calibri"/>
          <w:bCs/>
          <w:sz w:val="22"/>
          <w:szCs w:val="22"/>
          <w:lang w:bidi="lt-LT"/>
        </w:rPr>
        <w:t xml:space="preserve"> įtvirtinto teisinės valstybės principo išplaukančius reikalavimus, pabrėžė, kad </w:t>
      </w:r>
      <w:r w:rsidRPr="00FD6345">
        <w:rPr>
          <w:rFonts w:ascii="Calibri" w:eastAsia="Calibri" w:hAnsi="Calibri" w:cs="Calibri"/>
          <w:bCs/>
          <w:sz w:val="22"/>
          <w:szCs w:val="22"/>
          <w:u w:val="single"/>
          <w:lang w:bidi="lt-LT"/>
        </w:rPr>
        <w:t>institucijos, kurios sprendimas naikinamas dėl to, kad yra pagrįstų abejonių dėl institucijos suformavimo teisėtumo (kaip byloje nagrinėtu atveju – pirmininko paskyrimo), o tuo pačiu – ir dėl jos atitikimo nepriklausomumo ir nešališkumo reikalavimams, sprendimas gali būti panaikintas, jeigu toks panaikinimas yra būtina ir adekvati pažeistų asmens teisių gynybos priemonė, taigi kiekvienu atveju turi būti vertinamas sprendimo panaikinimo proporcingumo klausimas</w:t>
      </w:r>
      <w:r w:rsidRPr="00FD6345">
        <w:rPr>
          <w:rFonts w:ascii="Calibri" w:eastAsia="Calibri" w:hAnsi="Calibri" w:cs="Calibri"/>
          <w:bCs/>
          <w:sz w:val="22"/>
          <w:szCs w:val="22"/>
          <w:lang w:bidi="lt-LT"/>
        </w:rPr>
        <w:t>.</w:t>
      </w:r>
    </w:p>
    <w:p w14:paraId="5E6CE46C" w14:textId="77777777" w:rsidR="00FD6345" w:rsidRPr="00FD6345" w:rsidRDefault="00FD6345" w:rsidP="00FD6345">
      <w:pPr>
        <w:ind w:firstLine="567"/>
        <w:jc w:val="both"/>
        <w:rPr>
          <w:rFonts w:ascii="Calibri" w:eastAsia="Calibri" w:hAnsi="Calibri" w:cs="Calibri"/>
          <w:bCs/>
          <w:sz w:val="22"/>
          <w:szCs w:val="22"/>
        </w:rPr>
      </w:pPr>
      <w:r w:rsidRPr="00FD6345">
        <w:rPr>
          <w:rFonts w:ascii="Calibri" w:eastAsia="Calibri" w:hAnsi="Calibri" w:cs="Calibri"/>
          <w:bCs/>
          <w:sz w:val="22"/>
          <w:szCs w:val="22"/>
        </w:rPr>
        <w:t>Byloje padarytos išvados sudarė pagrindą pareiškėjo apeliacinį skundą tenkinti, panaikinti pirmosios instancijos teismo sprendimą bei priimti naują sprendimą, kuriuo pareiškėjo skundas tenkintas, o skundžiamas VTEK Sprendimas panaikintas.</w:t>
      </w:r>
    </w:p>
    <w:p w14:paraId="1283EE16" w14:textId="77777777" w:rsidR="00FD6345" w:rsidRPr="00FD6345" w:rsidRDefault="00FD6345" w:rsidP="00FD6345">
      <w:pPr>
        <w:ind w:firstLine="567"/>
        <w:jc w:val="both"/>
        <w:rPr>
          <w:rFonts w:ascii="Calibri" w:hAnsi="Calibri" w:cs="Calibri"/>
          <w:sz w:val="22"/>
          <w:szCs w:val="22"/>
        </w:rPr>
      </w:pPr>
    </w:p>
    <w:p w14:paraId="6A517637" w14:textId="77777777" w:rsidR="00FD6345" w:rsidRPr="00FD6345" w:rsidRDefault="00FD6345" w:rsidP="00FD6345">
      <w:pPr>
        <w:jc w:val="both"/>
        <w:rPr>
          <w:rFonts w:ascii="Calibri" w:hAnsi="Calibri" w:cs="Calibri"/>
          <w:sz w:val="22"/>
          <w:szCs w:val="22"/>
        </w:rPr>
      </w:pPr>
      <w:r w:rsidRPr="00FD6345">
        <w:rPr>
          <w:rFonts w:ascii="Calibri" w:hAnsi="Calibri" w:cs="Calibri"/>
          <w:sz w:val="22"/>
          <w:szCs w:val="22"/>
        </w:rPr>
        <w:t>Išplėstinės teisėjų kolegijos 2020 m. spalio 14 d. sprendimas administracinėje byloje Nr. eA-3419-602/2020</w:t>
      </w:r>
    </w:p>
    <w:p w14:paraId="52310CF9" w14:textId="77777777" w:rsidR="00FD6345" w:rsidRPr="00FD6345" w:rsidRDefault="00FD6345" w:rsidP="00FD6345">
      <w:pPr>
        <w:jc w:val="both"/>
        <w:rPr>
          <w:rFonts w:ascii="Calibri" w:hAnsi="Calibri" w:cs="Calibri"/>
          <w:sz w:val="22"/>
          <w:szCs w:val="22"/>
        </w:rPr>
      </w:pPr>
      <w:r w:rsidRPr="00FD6345">
        <w:rPr>
          <w:rFonts w:ascii="Calibri" w:hAnsi="Calibri" w:cs="Calibri"/>
          <w:sz w:val="22"/>
          <w:szCs w:val="22"/>
        </w:rPr>
        <w:t>Teisminio proceso Nr. 3-61-3-02219-2017-7</w:t>
      </w:r>
    </w:p>
    <w:p w14:paraId="3ECB8300" w14:textId="77777777" w:rsidR="00FD6345" w:rsidRPr="00FD6345" w:rsidRDefault="00FD6345" w:rsidP="00FD6345">
      <w:pPr>
        <w:jc w:val="both"/>
        <w:rPr>
          <w:rFonts w:ascii="Calibri" w:hAnsi="Calibri" w:cs="Calibri"/>
          <w:sz w:val="22"/>
          <w:szCs w:val="22"/>
        </w:rPr>
      </w:pPr>
      <w:r w:rsidRPr="00FD6345">
        <w:rPr>
          <w:rFonts w:ascii="Calibri" w:hAnsi="Calibri" w:cs="Calibri"/>
          <w:sz w:val="22"/>
          <w:szCs w:val="22"/>
        </w:rPr>
        <w:t>Procesinio sprendimo kategorijos: 23.1; 23.2</w:t>
      </w:r>
    </w:p>
    <w:p w14:paraId="206D68F9" w14:textId="77777777" w:rsidR="00FD6345" w:rsidRPr="00FD6345" w:rsidRDefault="000F189C" w:rsidP="00FD6345">
      <w:pPr>
        <w:jc w:val="both"/>
        <w:rPr>
          <w:rFonts w:ascii="Calibri" w:eastAsia="Calibri" w:hAnsi="Calibri"/>
          <w:color w:val="0000FF"/>
          <w:sz w:val="22"/>
          <w:szCs w:val="22"/>
          <w:u w:val="single"/>
          <w:lang w:eastAsia="en-US"/>
        </w:rPr>
      </w:pPr>
      <w:hyperlink r:id="rId18" w:history="1">
        <w:r w:rsidR="00FD6345" w:rsidRPr="00FD6345">
          <w:rPr>
            <w:rFonts w:ascii="Calibri" w:hAnsi="Calibri" w:cs="Calibri"/>
            <w:color w:val="0000FF"/>
            <w:sz w:val="22"/>
            <w:szCs w:val="22"/>
            <w:u w:val="single"/>
          </w:rPr>
          <w:t>Prieiga internete</w:t>
        </w:r>
      </w:hyperlink>
    </w:p>
    <w:p w14:paraId="700B0CDB" w14:textId="72F91A20" w:rsidR="00FD6345" w:rsidRDefault="00FD6345" w:rsidP="007412F7">
      <w:pPr>
        <w:shd w:val="clear" w:color="auto" w:fill="FFFFFF"/>
        <w:tabs>
          <w:tab w:val="left" w:pos="3119"/>
        </w:tabs>
        <w:ind w:right="-1" w:firstLine="567"/>
        <w:jc w:val="both"/>
        <w:rPr>
          <w:rFonts w:ascii="Calibri" w:hAnsi="Calibri" w:cs="Calibri"/>
          <w:sz w:val="22"/>
          <w:szCs w:val="22"/>
        </w:rPr>
      </w:pPr>
    </w:p>
    <w:p w14:paraId="7A94728E" w14:textId="77777777" w:rsidR="005B3B07" w:rsidRPr="005B3B07" w:rsidRDefault="005B3B07" w:rsidP="005B3B07">
      <w:pPr>
        <w:jc w:val="both"/>
        <w:outlineLvl w:val="0"/>
        <w:rPr>
          <w:rFonts w:ascii="Calibri" w:hAnsi="Calibri"/>
          <w:b/>
          <w:sz w:val="22"/>
          <w:szCs w:val="22"/>
          <w:u w:val="single"/>
        </w:rPr>
      </w:pPr>
      <w:bookmarkStart w:id="60" w:name="_Toc58851705"/>
      <w:r w:rsidRPr="005B3B07">
        <w:rPr>
          <w:rFonts w:ascii="Calibri" w:hAnsi="Calibri"/>
          <w:b/>
          <w:sz w:val="22"/>
          <w:szCs w:val="22"/>
          <w:u w:val="single"/>
        </w:rPr>
        <w:t>26. Asmens duomenų teisinė apsauga</w:t>
      </w:r>
      <w:bookmarkEnd w:id="60"/>
    </w:p>
    <w:p w14:paraId="2BFB9FA8" w14:textId="77777777" w:rsidR="005B3B07" w:rsidRPr="005B3B07" w:rsidRDefault="005B3B07" w:rsidP="005B3B07">
      <w:pPr>
        <w:jc w:val="both"/>
        <w:rPr>
          <w:rFonts w:ascii="Calibri" w:eastAsia="Calibri" w:hAnsi="Calibri"/>
          <w:sz w:val="22"/>
          <w:szCs w:val="22"/>
          <w:lang w:eastAsia="en-US"/>
        </w:rPr>
      </w:pPr>
    </w:p>
    <w:p w14:paraId="6F28C36D" w14:textId="77777777" w:rsidR="005B3B07" w:rsidRPr="005B3B07" w:rsidRDefault="005B3B07" w:rsidP="005B3B07">
      <w:pPr>
        <w:pStyle w:val="Heading2"/>
      </w:pPr>
      <w:bookmarkStart w:id="61" w:name="_Toc58851706"/>
      <w:r w:rsidRPr="005B3B07">
        <w:t>Dėl pareigos pašalinti asmens duomenis iš viešo registro išnykus duomenų tvarkymo tikslui, nepaisant to, kad nacionaliniai teisės aktai, reglamentuojantys šių duomenų tvarkymą, tokios pareigos eksplicitiškai nenustato</w:t>
      </w:r>
      <w:bookmarkEnd w:id="61"/>
    </w:p>
    <w:p w14:paraId="09DE0CCF" w14:textId="77777777" w:rsidR="005B3B07" w:rsidRPr="005B3B07" w:rsidRDefault="005B3B07" w:rsidP="005B3B07">
      <w:pPr>
        <w:shd w:val="clear" w:color="auto" w:fill="FFFFFF"/>
        <w:tabs>
          <w:tab w:val="left" w:pos="3119"/>
        </w:tabs>
        <w:ind w:right="-1" w:firstLine="567"/>
        <w:jc w:val="both"/>
        <w:rPr>
          <w:rFonts w:ascii="Calibri" w:hAnsi="Calibri" w:cs="Calibri"/>
          <w:sz w:val="22"/>
          <w:szCs w:val="22"/>
        </w:rPr>
      </w:pPr>
    </w:p>
    <w:p w14:paraId="269E1D5E" w14:textId="3086D8FA" w:rsidR="005B3B07" w:rsidRPr="005B3B07" w:rsidRDefault="005B3B07" w:rsidP="005B3B07">
      <w:pPr>
        <w:shd w:val="clear" w:color="auto" w:fill="FFFFFF"/>
        <w:tabs>
          <w:tab w:val="left" w:pos="3119"/>
        </w:tabs>
        <w:ind w:right="-1" w:firstLine="567"/>
        <w:jc w:val="both"/>
        <w:rPr>
          <w:rFonts w:ascii="Calibri" w:hAnsi="Calibri" w:cs="Calibri"/>
          <w:sz w:val="22"/>
          <w:szCs w:val="22"/>
        </w:rPr>
      </w:pPr>
      <w:r w:rsidRPr="005B3B07">
        <w:rPr>
          <w:rFonts w:ascii="Calibri" w:hAnsi="Calibri" w:cs="Calibri"/>
          <w:sz w:val="22"/>
          <w:szCs w:val="22"/>
        </w:rPr>
        <w:t>Pareiškėjas kreipėsi į teismą su skundu, ginčydamas Valstybinės duomenų apsaugos inspekcijos (toliau – Inspekcija) sprendimą, kuriuo buvo atsisakyta tenkinti jo prašymą įpareigoti notarę ir</w:t>
      </w:r>
      <w:r>
        <w:rPr>
          <w:rFonts w:ascii="Calibri" w:hAnsi="Calibri" w:cs="Calibri"/>
          <w:sz w:val="22"/>
          <w:szCs w:val="22"/>
        </w:rPr>
        <w:t xml:space="preserve"> </w:t>
      </w:r>
      <w:r w:rsidRPr="005B3B07">
        <w:rPr>
          <w:rFonts w:ascii="Calibri" w:hAnsi="Calibri" w:cs="Calibri"/>
          <w:sz w:val="22"/>
          <w:szCs w:val="22"/>
        </w:rPr>
        <w:t>/</w:t>
      </w:r>
      <w:r>
        <w:rPr>
          <w:rFonts w:ascii="Calibri" w:hAnsi="Calibri" w:cs="Calibri"/>
          <w:sz w:val="22"/>
          <w:szCs w:val="22"/>
        </w:rPr>
        <w:t xml:space="preserve"> </w:t>
      </w:r>
      <w:r w:rsidRPr="005B3B07">
        <w:rPr>
          <w:rFonts w:ascii="Calibri" w:hAnsi="Calibri" w:cs="Calibri"/>
          <w:sz w:val="22"/>
          <w:szCs w:val="22"/>
        </w:rPr>
        <w:t xml:space="preserve">ar Notarų rūmus pašalinti jo asmens duomenis iš užprotestuotų dėl neapmokėjimo ar neakceptavimo vekselių viešojo registro (toliau – Registras). Pareiškėjas nurodė, kad jis atsiskaitė pagal užprotestuotą vekselį ir kreipėsi į notarę bei Lietuvos notarų rūmus dėl jo asmens duomenų pašalinimo iš interneto tinklalapyje viešai skelbiamo </w:t>
      </w:r>
      <w:bookmarkStart w:id="62" w:name="_Hlk57284292"/>
      <w:r w:rsidRPr="005B3B07">
        <w:rPr>
          <w:rFonts w:ascii="Calibri" w:hAnsi="Calibri" w:cs="Calibri"/>
          <w:sz w:val="22"/>
          <w:szCs w:val="22"/>
        </w:rPr>
        <w:t>Registr</w:t>
      </w:r>
      <w:bookmarkEnd w:id="62"/>
      <w:r w:rsidRPr="005B3B07">
        <w:rPr>
          <w:rFonts w:ascii="Calibri" w:hAnsi="Calibri" w:cs="Calibri"/>
          <w:sz w:val="22"/>
          <w:szCs w:val="22"/>
        </w:rPr>
        <w:t>o. Tiek notarė, tiek Notarų rūmai atsisakė pašalinti pareiškėjo asmens duomenis nurodydami, kad toks pareiškėjo asmens duomenų tvarkymas yra teisėtas, atliekamas vykdant duomenų valdytojui priskiriamas teisines prievoles.</w:t>
      </w:r>
    </w:p>
    <w:p w14:paraId="1AD97385" w14:textId="3F749D4E" w:rsidR="005B3B07" w:rsidRPr="005B3B07" w:rsidRDefault="005B3B07" w:rsidP="005B3B07">
      <w:pPr>
        <w:shd w:val="clear" w:color="auto" w:fill="FFFFFF"/>
        <w:tabs>
          <w:tab w:val="left" w:pos="3119"/>
        </w:tabs>
        <w:ind w:right="-1" w:firstLine="567"/>
        <w:jc w:val="both"/>
        <w:rPr>
          <w:rFonts w:ascii="Calibri" w:hAnsi="Calibri" w:cs="Calibri"/>
          <w:sz w:val="22"/>
          <w:szCs w:val="22"/>
        </w:rPr>
      </w:pPr>
      <w:r w:rsidRPr="005B3B07">
        <w:rPr>
          <w:rFonts w:ascii="Calibri" w:hAnsi="Calibri" w:cs="Calibri"/>
          <w:sz w:val="22"/>
          <w:szCs w:val="22"/>
        </w:rPr>
        <w:t xml:space="preserve">Ginčijamame sprendime Inspekcija nusprendė atmesti pareiškėjo skundą bei kreiptis į Teisingumo ministeriją su siūlymu svarstyti dėl Įsakomųjų ir paprastųjų vekselių įstatymo (toliau </w:t>
      </w:r>
      <w:r w:rsidRPr="005B3B07">
        <w:rPr>
          <w:rFonts w:ascii="Symbol" w:eastAsia="Symbol" w:hAnsi="Symbol" w:cs="Symbol"/>
          <w:sz w:val="22"/>
          <w:szCs w:val="22"/>
        </w:rPr>
        <w:t></w:t>
      </w:r>
      <w:r w:rsidRPr="005B3B07">
        <w:rPr>
          <w:rFonts w:ascii="Calibri" w:hAnsi="Calibri" w:cs="Calibri"/>
          <w:sz w:val="22"/>
          <w:szCs w:val="22"/>
        </w:rPr>
        <w:t xml:space="preserve"> ĮPVĮ) bei Vyriausybės 1999</w:t>
      </w:r>
      <w:r>
        <w:rPr>
          <w:rFonts w:ascii="Calibri" w:hAnsi="Calibri" w:cs="Calibri"/>
          <w:sz w:val="22"/>
          <w:szCs w:val="22"/>
        </w:rPr>
        <w:t> </w:t>
      </w:r>
      <w:r w:rsidRPr="005B3B07">
        <w:rPr>
          <w:rFonts w:ascii="Calibri" w:hAnsi="Calibri" w:cs="Calibri"/>
          <w:sz w:val="22"/>
          <w:szCs w:val="22"/>
        </w:rPr>
        <w:t xml:space="preserve">m. rugsėjo 13 d. nutarimu Nr. 988 patvirtintų Vekselių ir čekių protestavimo taisyklių (toliau </w:t>
      </w:r>
      <w:r w:rsidRPr="005B3B07">
        <w:rPr>
          <w:rFonts w:ascii="Symbol" w:eastAsia="Symbol" w:hAnsi="Symbol" w:cs="Symbol"/>
          <w:sz w:val="22"/>
          <w:szCs w:val="22"/>
        </w:rPr>
        <w:t></w:t>
      </w:r>
      <w:r w:rsidRPr="005B3B07">
        <w:rPr>
          <w:rFonts w:ascii="Calibri" w:hAnsi="Calibri" w:cs="Calibri"/>
          <w:sz w:val="22"/>
          <w:szCs w:val="22"/>
        </w:rPr>
        <w:t xml:space="preserve"> Taisyklės) suderinimo su 2016 m. balandžio 27 d. Europos Parlamento ir Tarybos reglamentu (ES) 2016/679 dėl fizinių asmenų apsaugos tvarkant asmens duomenis ir dėl laisvo tokių duomenų judėjimo ir kuriuo panaikinama Direktyva 95/46/EB (toliau </w:t>
      </w:r>
      <w:r w:rsidRPr="005B3B07">
        <w:rPr>
          <w:rFonts w:ascii="Symbol" w:eastAsia="Symbol" w:hAnsi="Symbol" w:cs="Symbol"/>
          <w:sz w:val="22"/>
          <w:szCs w:val="22"/>
        </w:rPr>
        <w:t></w:t>
      </w:r>
      <w:r w:rsidRPr="005B3B07">
        <w:rPr>
          <w:rFonts w:ascii="Calibri" w:hAnsi="Calibri" w:cs="Calibri"/>
          <w:sz w:val="22"/>
          <w:szCs w:val="22"/>
        </w:rPr>
        <w:t xml:space="preserve"> BDAR).</w:t>
      </w:r>
    </w:p>
    <w:p w14:paraId="23317D06" w14:textId="77777777" w:rsidR="005B3B07" w:rsidRPr="005B3B07" w:rsidRDefault="005B3B07" w:rsidP="005B3B07">
      <w:pPr>
        <w:shd w:val="clear" w:color="auto" w:fill="FFFFFF"/>
        <w:tabs>
          <w:tab w:val="left" w:pos="3119"/>
        </w:tabs>
        <w:ind w:right="-1" w:firstLine="567"/>
        <w:jc w:val="both"/>
        <w:rPr>
          <w:rFonts w:ascii="Calibri" w:hAnsi="Calibri" w:cs="Calibri"/>
          <w:sz w:val="22"/>
          <w:szCs w:val="22"/>
        </w:rPr>
      </w:pPr>
      <w:r w:rsidRPr="005B3B07">
        <w:rPr>
          <w:rFonts w:ascii="Calibri" w:hAnsi="Calibri" w:cs="Calibri"/>
          <w:sz w:val="22"/>
          <w:szCs w:val="22"/>
        </w:rPr>
        <w:t>Vilniaus apygardos administracinis teismas pareiškėjo skundą iš dalies tenkino, panaikino ginčijamo sprendimo dalį, kuria skundas atmestas kaip nepagrįstas, ir įpareigojo atsakovą iš naujo išnagrinėti pareiškėjo prašymą, kitą pareiškėjo skundo dalį atmetė kaip nepagrįstą.</w:t>
      </w:r>
    </w:p>
    <w:p w14:paraId="3C962280" w14:textId="77C39558" w:rsidR="005B3B07" w:rsidRPr="005B3B07" w:rsidRDefault="005B3B07" w:rsidP="005B3B07">
      <w:pPr>
        <w:shd w:val="clear" w:color="auto" w:fill="FFFFFF"/>
        <w:tabs>
          <w:tab w:val="left" w:pos="3119"/>
        </w:tabs>
        <w:ind w:right="-1" w:firstLine="567"/>
        <w:jc w:val="both"/>
        <w:rPr>
          <w:rFonts w:ascii="Calibri" w:hAnsi="Calibri" w:cs="Calibri"/>
          <w:sz w:val="22"/>
          <w:szCs w:val="22"/>
        </w:rPr>
      </w:pPr>
      <w:r w:rsidRPr="005B3B07">
        <w:rPr>
          <w:rFonts w:ascii="Calibri" w:hAnsi="Calibri" w:cs="Calibri"/>
          <w:sz w:val="22"/>
          <w:szCs w:val="22"/>
        </w:rPr>
        <w:t>BDAR 17 straipsnyje reglamentuojama teisė reikalauti ištrinti duomenis („teisė būti pamirštam“). Šio straipsnio 1 dalyje nustatyta, kad duomenų subjektas turi teisę reikalauti, kad duomenų valdytojas nepagrįstai nedelsdamas ištrintų su juo susijusius asmens duomenis, o duomenų valdytojas yra įpareigotas nepagrįstai nedelsdamas ištrinti asmens duomenis, jei tai galima pagrįsti</w:t>
      </w:r>
      <w:r>
        <w:rPr>
          <w:rFonts w:ascii="Calibri" w:hAnsi="Calibri" w:cs="Calibri"/>
          <w:sz w:val="22"/>
          <w:szCs w:val="22"/>
        </w:rPr>
        <w:t>,</w:t>
      </w:r>
      <w:r w:rsidRPr="005B3B07">
        <w:rPr>
          <w:rFonts w:ascii="Calibri" w:hAnsi="Calibri" w:cs="Calibri"/>
          <w:sz w:val="22"/>
          <w:szCs w:val="22"/>
        </w:rPr>
        <w:t xml:space="preserve"> be kita ko, tuo, kad: „a) asmens duomenys nebėra reikalingi, kad būtų pasiekti tikslai, kuriais jie buvo renkami arba kitaip tvarkomi“. Pagal šio straipsnio 2 dalį „kai duomenų valdytojas viešai paskelbė asmens duomenis ir pagal 1 dalį privalo asmens duomenis ištrinti, duomenų valdytojas, atsižvelgdamas į turimas technologijas ir įgyvendinimo sąnaudas, imasi pagrįstų veiksmų, įskaitant technines priemones, kad informuotų duomenis tvarkančius duomenų valdytojus, jog duomenų subjektas paprašė, kad tokie duomenų valdytojai ištrintų visas nuorodas į tuos asmens duomenis arba jų kopijas ar dublikatus“. BDAR 17 straipsnio 3 dalies b punkte įtvirtinta, kad šio straipsnio 1 ir 2 dalys netaikomos, jeigu duomenų tvarkymas yra būtinas, be kita ko, siekiant laikytis &lt;...&gt; valstybės narės teise, kuri taikoma duomenų valdytojui, nustatytos teisinės prievolės, kuria reikalaujama tvarkyti duomenis, arba </w:t>
      </w:r>
      <w:r w:rsidRPr="005B3B07">
        <w:rPr>
          <w:rFonts w:ascii="Calibri" w:hAnsi="Calibri" w:cs="Calibri"/>
          <w:sz w:val="22"/>
          <w:szCs w:val="22"/>
        </w:rPr>
        <w:lastRenderedPageBreak/>
        <w:t>siekiant atlikti užduotį, vykdomą viešojo intereso labui, arba vykdant duomenų valdytojui pavestas viešosios valdžios funkcijas“.</w:t>
      </w:r>
    </w:p>
    <w:p w14:paraId="66B661BD" w14:textId="77777777" w:rsidR="005B3B07" w:rsidRPr="005B3B07" w:rsidRDefault="005B3B07" w:rsidP="005B3B07">
      <w:pPr>
        <w:shd w:val="clear" w:color="auto" w:fill="FFFFFF"/>
        <w:tabs>
          <w:tab w:val="left" w:pos="3119"/>
        </w:tabs>
        <w:ind w:right="-1" w:firstLine="567"/>
        <w:jc w:val="both"/>
        <w:rPr>
          <w:rFonts w:ascii="Calibri" w:hAnsi="Calibri" w:cs="Calibri"/>
          <w:sz w:val="22"/>
          <w:szCs w:val="22"/>
        </w:rPr>
      </w:pPr>
      <w:r w:rsidRPr="005B3B07">
        <w:rPr>
          <w:rFonts w:ascii="Calibri" w:hAnsi="Calibri" w:cs="Calibri"/>
          <w:sz w:val="22"/>
          <w:szCs w:val="22"/>
        </w:rPr>
        <w:t>Teisėjų kolegija pažymėjo, kad ĮPVĮ 83 straipsnyje ir Taisyklių 41–44 punktuose nėra konkrečių nuostatų, reglamentuojančių į Registrą įrašytų asmens duomenų saugojimo laikotarpius ir duomenų tvarkymo operacijas bei duomenų tvarkymo procedūras tais atvejais, kai į Registrą įtraukti vekseliai yra apmokami ar akceptuojami, t. y. eksplicitiškai nenustatyta, kad tokiais atvejais į Registrą įrašyti asmens duomenys turi būti ištrinti. Taip pat paminėtose nuostatose nėra įtvirtinta, kad Registre esantis asmens duomenų tvarkymas yra tęsiamas, nepaisant to, kad į jį įtraukti vekseliai yra apmokėti ar akceptuoti.</w:t>
      </w:r>
    </w:p>
    <w:p w14:paraId="7DD0764F" w14:textId="6F98531C" w:rsidR="005B3B07" w:rsidRPr="005B3B07" w:rsidRDefault="005B3B07" w:rsidP="005B3B07">
      <w:pPr>
        <w:shd w:val="clear" w:color="auto" w:fill="FFFFFF"/>
        <w:tabs>
          <w:tab w:val="left" w:pos="3119"/>
        </w:tabs>
        <w:ind w:right="-1" w:firstLine="567"/>
        <w:jc w:val="both"/>
        <w:rPr>
          <w:rFonts w:ascii="Calibri" w:eastAsia="Calibri" w:hAnsi="Calibri"/>
          <w:sz w:val="22"/>
          <w:szCs w:val="22"/>
          <w:lang w:eastAsia="en-US"/>
        </w:rPr>
      </w:pPr>
      <w:r w:rsidRPr="005B3B07">
        <w:rPr>
          <w:rFonts w:ascii="Calibri" w:hAnsi="Calibri" w:cs="Calibri"/>
          <w:sz w:val="22"/>
          <w:szCs w:val="22"/>
        </w:rPr>
        <w:t xml:space="preserve">Teisėjų kolegija nurodė, jog, </w:t>
      </w:r>
      <w:r w:rsidRPr="006C5382">
        <w:rPr>
          <w:rFonts w:ascii="Calibri" w:hAnsi="Calibri" w:cs="Calibri"/>
          <w:sz w:val="22"/>
          <w:szCs w:val="22"/>
          <w:u w:val="single"/>
        </w:rPr>
        <w:t>ĮPVĮ 83 straipsnyje ir Taisyklių 41–44 punktuose įtvirtintą teisinį reguliavimą aiškinant sistemiškai, matyti, kad Registre tvarkomų asmens duomenų tvarkymo tikslas – viešinti duomenis apie „užprotestuotus dėl neapmokėjimo ar neakceptavimo vekselius“. Iš to seka, kad tuo atveju, kai į paminėtą registrą įtraukti vekseliai yra apmokami ar akceptuojami, šis tikslas išnyksta. Tokiais atvejais iš BDAR 17 straipsnio 1 dalies a punkte įtvirtinto teisinio reguliavimo duomenų valdytojui kyla pareiga nedelsiant tokius</w:t>
      </w:r>
      <w:r w:rsidRPr="006C5382">
        <w:rPr>
          <w:rFonts w:ascii="Calibri" w:eastAsia="Calibri" w:hAnsi="Calibri"/>
          <w:sz w:val="22"/>
          <w:szCs w:val="22"/>
          <w:u w:val="single"/>
          <w:lang w:eastAsia="en-US"/>
        </w:rPr>
        <w:t xml:space="preserve"> asmens duomenis iš Registro ištrinti. Šiame kontekste pabrėžta, kad </w:t>
      </w:r>
      <w:r w:rsidRPr="005B3B07">
        <w:rPr>
          <w:rFonts w:ascii="Calibri" w:eastAsia="Calibri" w:hAnsi="Calibri"/>
          <w:sz w:val="22"/>
          <w:szCs w:val="22"/>
          <w:u w:val="single"/>
          <w:lang w:eastAsia="en-US"/>
        </w:rPr>
        <w:t xml:space="preserve">BDAR 17 straipsnio 1 dalies a punktas yra savarankiškas ir pakankamas asmens duomenų ištrynimo pagrindas, kuris turi būti taikomas, nepaisant to, kad nacionaliniai teisės aktai, nustatantys tokių asmens duomenų tvarkymo pareigą </w:t>
      </w:r>
      <w:r w:rsidRPr="005B3B07">
        <w:rPr>
          <w:rFonts w:ascii="Calibri" w:eastAsia="Calibri" w:hAnsi="Calibri"/>
          <w:sz w:val="22"/>
          <w:szCs w:val="22"/>
          <w:lang w:eastAsia="en-US"/>
        </w:rPr>
        <w:t>(ĮPVĮ 83 str., Taisyklių 41–44</w:t>
      </w:r>
      <w:r>
        <w:rPr>
          <w:rFonts w:ascii="Calibri" w:eastAsia="Calibri" w:hAnsi="Calibri"/>
          <w:sz w:val="22"/>
          <w:szCs w:val="22"/>
          <w:lang w:eastAsia="en-US"/>
        </w:rPr>
        <w:t> </w:t>
      </w:r>
      <w:r w:rsidRPr="005B3B07">
        <w:rPr>
          <w:rFonts w:ascii="Calibri" w:eastAsia="Calibri" w:hAnsi="Calibri"/>
          <w:sz w:val="22"/>
          <w:szCs w:val="22"/>
          <w:lang w:eastAsia="en-US"/>
        </w:rPr>
        <w:t>p.),</w:t>
      </w:r>
      <w:r w:rsidRPr="005B3B07">
        <w:rPr>
          <w:rFonts w:ascii="Calibri" w:eastAsia="Calibri" w:hAnsi="Calibri"/>
          <w:sz w:val="22"/>
          <w:szCs w:val="22"/>
          <w:u w:val="single"/>
          <w:lang w:eastAsia="en-US"/>
        </w:rPr>
        <w:t xml:space="preserve"> šių asmens duomenų tvarkymo būdo eksplicitiškai nereglamentuoja.</w:t>
      </w:r>
    </w:p>
    <w:p w14:paraId="4157AF0F" w14:textId="77777777" w:rsidR="005B3B07" w:rsidRPr="005B3B07" w:rsidRDefault="005B3B07" w:rsidP="005B3B07">
      <w:pPr>
        <w:shd w:val="clear" w:color="auto" w:fill="FFFFFF"/>
        <w:tabs>
          <w:tab w:val="left" w:pos="3119"/>
        </w:tabs>
        <w:ind w:right="-1" w:firstLine="567"/>
        <w:jc w:val="both"/>
        <w:rPr>
          <w:rFonts w:ascii="Calibri" w:hAnsi="Calibri" w:cs="Calibri"/>
          <w:sz w:val="22"/>
          <w:szCs w:val="22"/>
        </w:rPr>
      </w:pPr>
      <w:r w:rsidRPr="005B3B07">
        <w:rPr>
          <w:rFonts w:ascii="Calibri" w:hAnsi="Calibri" w:cs="Calibri"/>
          <w:sz w:val="22"/>
          <w:szCs w:val="22"/>
        </w:rPr>
        <w:t>Teisėjų kolegija pažymėjo, kad nei Asmens duomenų teisinės apsaugos įstatyme, nei BDAR nėra įtvirtinti BDAR 58 straipsnio 2 dalyje nurodytų priežiūros institucijos (Inspekcijos) įgaliojimų imtis taisomųjų veiksmų ribojimai vien tik dėl to, kad konkrečių asmens duomenų tvarkymas atskirais aspektais (atskirais duomenų tvarkymo etapais) yra susijęs su nacionaliniuose teisės aktuose įtvirtinta tokių asmens duomenų tvarkymo teisine prievole (BDAR 6 str. 1 d. (c) p.).</w:t>
      </w:r>
    </w:p>
    <w:p w14:paraId="5BE39DC0" w14:textId="77777777" w:rsidR="005B3B07" w:rsidRPr="005B3B07" w:rsidRDefault="005B3B07" w:rsidP="005B3B07">
      <w:pPr>
        <w:shd w:val="clear" w:color="auto" w:fill="FFFFFF"/>
        <w:tabs>
          <w:tab w:val="left" w:pos="3119"/>
        </w:tabs>
        <w:ind w:right="-1" w:firstLine="567"/>
        <w:jc w:val="both"/>
        <w:rPr>
          <w:rFonts w:ascii="Calibri" w:hAnsi="Calibri" w:cs="Calibri"/>
          <w:sz w:val="22"/>
          <w:szCs w:val="22"/>
        </w:rPr>
      </w:pPr>
      <w:r w:rsidRPr="005B3B07">
        <w:rPr>
          <w:rFonts w:ascii="Calibri" w:hAnsi="Calibri" w:cs="Calibri"/>
          <w:sz w:val="22"/>
          <w:szCs w:val="22"/>
        </w:rPr>
        <w:t>Taigi Inspekcijos teiginiai dėl to, kad ginčijamu sprendimu teisėtai ir pagrįstai pareiškėjo skundas atmestas vien dėl to, kad Inspekcija esą neturėjo teisės pasielgti kitaip galiojant aktualiam nacionaliniam teisiniam reguliavimui, kuris įtvirtintas šiuo metu dėl asmens duomenų tvarkymo Registre (ĮPVĮ 83 str., Taisyklių 41–44 p.), buvo atmesti kaip nepagrįsti.</w:t>
      </w:r>
    </w:p>
    <w:p w14:paraId="4627BDA5" w14:textId="77777777" w:rsidR="005B3B07" w:rsidRPr="005B3B07" w:rsidRDefault="005B3B07" w:rsidP="005B3B07">
      <w:pPr>
        <w:shd w:val="clear" w:color="auto" w:fill="FFFFFF"/>
        <w:tabs>
          <w:tab w:val="left" w:pos="3119"/>
        </w:tabs>
        <w:ind w:right="-1" w:firstLine="567"/>
        <w:jc w:val="both"/>
        <w:rPr>
          <w:rFonts w:ascii="Calibri" w:hAnsi="Calibri" w:cs="Calibri"/>
          <w:sz w:val="22"/>
          <w:szCs w:val="22"/>
        </w:rPr>
      </w:pPr>
      <w:r w:rsidRPr="005B3B07">
        <w:rPr>
          <w:rFonts w:ascii="Calibri" w:hAnsi="Calibri" w:cs="Calibri"/>
          <w:sz w:val="22"/>
          <w:szCs w:val="22"/>
        </w:rPr>
        <w:t>Atsakovo Valstybinės duomenų apsaugos inspekcijos apeliacinis skundas atmestas, Vilniaus apygardos administracinio teismo sprendimas paliktas nepakeistas.</w:t>
      </w:r>
    </w:p>
    <w:p w14:paraId="7DA3362F" w14:textId="77777777" w:rsidR="005B3B07" w:rsidRPr="005B3B07" w:rsidRDefault="005B3B07" w:rsidP="005B3B07">
      <w:pPr>
        <w:rPr>
          <w:rFonts w:ascii="Calibri" w:eastAsia="Calibri" w:hAnsi="Calibri"/>
          <w:sz w:val="22"/>
          <w:szCs w:val="22"/>
          <w:lang w:eastAsia="en-US"/>
        </w:rPr>
      </w:pPr>
    </w:p>
    <w:p w14:paraId="7962A1B5" w14:textId="77777777" w:rsidR="005B3B07" w:rsidRPr="005B3B07" w:rsidRDefault="005B3B07" w:rsidP="005B3B07">
      <w:pPr>
        <w:rPr>
          <w:rFonts w:ascii="Calibri" w:eastAsia="Calibri" w:hAnsi="Calibri"/>
          <w:sz w:val="22"/>
          <w:szCs w:val="22"/>
          <w:lang w:eastAsia="en-US"/>
        </w:rPr>
      </w:pPr>
      <w:r w:rsidRPr="005B3B07">
        <w:rPr>
          <w:rFonts w:ascii="Calibri" w:eastAsia="Calibri" w:hAnsi="Calibri"/>
          <w:sz w:val="22"/>
          <w:szCs w:val="22"/>
          <w:lang w:eastAsia="en-US"/>
        </w:rPr>
        <w:t>2020 m. spalio 14 d. nutartis administracinėje byloje Nr. eA-3694-968/2020</w:t>
      </w:r>
      <w:r w:rsidRPr="005B3B07">
        <w:rPr>
          <w:rFonts w:ascii="Calibri" w:eastAsia="Calibri" w:hAnsi="Calibri"/>
          <w:sz w:val="22"/>
          <w:szCs w:val="22"/>
          <w:lang w:eastAsia="en-US"/>
        </w:rPr>
        <w:br/>
        <w:t>Teisminio proceso Nr. 3-61-3-02051-2019-3</w:t>
      </w:r>
      <w:r w:rsidRPr="005B3B07">
        <w:rPr>
          <w:rFonts w:ascii="Calibri" w:eastAsia="Calibri" w:hAnsi="Calibri"/>
          <w:sz w:val="22"/>
          <w:szCs w:val="22"/>
          <w:lang w:eastAsia="en-US"/>
        </w:rPr>
        <w:br/>
        <w:t>Procesinio sprendimo kategorija 26</w:t>
      </w:r>
    </w:p>
    <w:p w14:paraId="57E287AD" w14:textId="77777777" w:rsidR="005B3B07" w:rsidRPr="005B3B07" w:rsidRDefault="000F189C" w:rsidP="005B3B07">
      <w:pPr>
        <w:jc w:val="both"/>
        <w:rPr>
          <w:rFonts w:ascii="Calibri" w:eastAsia="Calibri" w:hAnsi="Calibri"/>
          <w:bCs/>
          <w:color w:val="0000FF"/>
          <w:sz w:val="22"/>
          <w:szCs w:val="22"/>
          <w:u w:val="single"/>
          <w:lang w:eastAsia="en-US"/>
        </w:rPr>
      </w:pPr>
      <w:hyperlink r:id="rId19">
        <w:r w:rsidR="005B3B07" w:rsidRPr="3E77553B">
          <w:rPr>
            <w:rFonts w:ascii="Calibri" w:eastAsia="Calibri" w:hAnsi="Calibri"/>
            <w:color w:val="0000FF"/>
            <w:sz w:val="22"/>
            <w:szCs w:val="22"/>
            <w:u w:val="single"/>
            <w:lang w:eastAsia="en-US"/>
          </w:rPr>
          <w:t>Prieiga internete</w:t>
        </w:r>
      </w:hyperlink>
      <w:r w:rsidR="005B3B07" w:rsidRPr="3E77553B">
        <w:rPr>
          <w:rFonts w:ascii="Calibri" w:eastAsia="Calibri" w:hAnsi="Calibri"/>
          <w:color w:val="0000FF"/>
          <w:sz w:val="22"/>
          <w:szCs w:val="22"/>
          <w:u w:val="single"/>
          <w:lang w:eastAsia="en-US"/>
        </w:rPr>
        <w:t xml:space="preserve"> </w:t>
      </w:r>
    </w:p>
    <w:p w14:paraId="6119C553" w14:textId="77777777" w:rsidR="00C122D5" w:rsidRPr="00C122D5" w:rsidRDefault="00C122D5" w:rsidP="00C122D5">
      <w:pPr>
        <w:tabs>
          <w:tab w:val="left" w:pos="142"/>
        </w:tabs>
        <w:ind w:right="38"/>
        <w:jc w:val="both"/>
        <w:rPr>
          <w:rFonts w:ascii="Calibri" w:eastAsia="Calibri" w:hAnsi="Calibri"/>
          <w:sz w:val="22"/>
          <w:szCs w:val="22"/>
          <w:lang w:eastAsia="en-US"/>
        </w:rPr>
      </w:pPr>
    </w:p>
    <w:p w14:paraId="34B3DF0A" w14:textId="77777777" w:rsidR="00C122D5" w:rsidRPr="00C122D5" w:rsidRDefault="00C122D5" w:rsidP="00C122D5">
      <w:pPr>
        <w:jc w:val="both"/>
        <w:outlineLvl w:val="0"/>
        <w:rPr>
          <w:rFonts w:ascii="Calibri" w:hAnsi="Calibri"/>
          <w:b/>
          <w:sz w:val="22"/>
          <w:szCs w:val="22"/>
          <w:u w:val="single"/>
        </w:rPr>
      </w:pPr>
      <w:bookmarkStart w:id="63" w:name="_Toc58851707"/>
      <w:r w:rsidRPr="00C122D5">
        <w:rPr>
          <w:rFonts w:ascii="Calibri" w:hAnsi="Calibri"/>
          <w:b/>
          <w:sz w:val="22"/>
          <w:szCs w:val="22"/>
          <w:u w:val="single"/>
        </w:rPr>
        <w:t>30. Energetika</w:t>
      </w:r>
      <w:bookmarkEnd w:id="63"/>
    </w:p>
    <w:p w14:paraId="73804CF5" w14:textId="77777777" w:rsidR="00C122D5" w:rsidRPr="00C122D5" w:rsidRDefault="00C122D5" w:rsidP="00C122D5">
      <w:pPr>
        <w:ind w:firstLine="567"/>
        <w:jc w:val="both"/>
        <w:rPr>
          <w:rFonts w:ascii="Calibri" w:hAnsi="Calibri" w:cs="Calibri"/>
          <w:b/>
          <w:sz w:val="22"/>
          <w:szCs w:val="22"/>
          <w:u w:val="single"/>
        </w:rPr>
      </w:pPr>
      <w:r w:rsidRPr="00C122D5">
        <w:rPr>
          <w:rFonts w:ascii="Calibri" w:hAnsi="Calibri" w:cs="Calibri"/>
          <w:b/>
          <w:sz w:val="22"/>
          <w:szCs w:val="22"/>
          <w:u w:val="single"/>
        </w:rPr>
        <w:t>30.4. Atsinaujinantys energijos ištekliai</w:t>
      </w:r>
    </w:p>
    <w:p w14:paraId="1C155A67" w14:textId="77777777" w:rsidR="00C122D5" w:rsidRPr="00C122D5" w:rsidRDefault="00C122D5" w:rsidP="00C122D5">
      <w:pPr>
        <w:ind w:firstLine="567"/>
        <w:jc w:val="both"/>
        <w:rPr>
          <w:rFonts w:ascii="Calibri" w:eastAsia="Calibri" w:hAnsi="Calibri"/>
          <w:sz w:val="22"/>
          <w:szCs w:val="22"/>
          <w:lang w:eastAsia="en-US"/>
        </w:rPr>
      </w:pPr>
    </w:p>
    <w:p w14:paraId="7A39DD95" w14:textId="77777777" w:rsidR="00C122D5" w:rsidRPr="00C122D5" w:rsidRDefault="00C122D5" w:rsidP="00C122D5">
      <w:pPr>
        <w:jc w:val="both"/>
        <w:outlineLvl w:val="1"/>
        <w:rPr>
          <w:rFonts w:ascii="Calibri" w:eastAsia="Calibri" w:hAnsi="Calibri"/>
          <w:i/>
          <w:sz w:val="22"/>
          <w:szCs w:val="22"/>
        </w:rPr>
      </w:pPr>
      <w:bookmarkStart w:id="64" w:name="_Toc58851708"/>
      <w:r w:rsidRPr="00C122D5">
        <w:rPr>
          <w:rFonts w:ascii="Calibri" w:eastAsia="Calibri" w:hAnsi="Calibri"/>
          <w:i/>
          <w:sz w:val="22"/>
          <w:szCs w:val="22"/>
        </w:rPr>
        <w:t>Dėl leidimų gaminti elektros energiją teisėtumo nevykdžius skatinimo kvotų aukciono įsipareigojimų</w:t>
      </w:r>
      <w:bookmarkEnd w:id="64"/>
    </w:p>
    <w:p w14:paraId="18F697DD" w14:textId="77777777" w:rsidR="00C122D5" w:rsidRPr="00C122D5" w:rsidRDefault="00C122D5" w:rsidP="00C122D5">
      <w:pPr>
        <w:ind w:firstLine="567"/>
        <w:jc w:val="both"/>
        <w:rPr>
          <w:rFonts w:ascii="Calibri" w:hAnsi="Calibri"/>
          <w:sz w:val="22"/>
          <w:szCs w:val="22"/>
        </w:rPr>
      </w:pPr>
    </w:p>
    <w:p w14:paraId="472CC124" w14:textId="51E62541" w:rsidR="00C122D5" w:rsidRPr="00C122D5" w:rsidRDefault="00C122D5" w:rsidP="00C122D5">
      <w:pPr>
        <w:ind w:firstLine="567"/>
        <w:jc w:val="both"/>
        <w:rPr>
          <w:rFonts w:ascii="Calibri" w:eastAsia="Calibri" w:hAnsi="Calibri"/>
          <w:sz w:val="22"/>
          <w:szCs w:val="22"/>
          <w:lang w:eastAsia="en-US"/>
        </w:rPr>
      </w:pPr>
      <w:r w:rsidRPr="3E77553B">
        <w:rPr>
          <w:rFonts w:ascii="Calibri" w:eastAsia="Calibri" w:hAnsi="Calibri"/>
          <w:sz w:val="22"/>
          <w:szCs w:val="22"/>
          <w:lang w:eastAsia="en-US"/>
        </w:rPr>
        <w:t xml:space="preserve">Šioje byloje buvo išnagrinėtas pareiškėjo Vilniaus apygardos prokuratūros prokuroro, ginančio viešąjį interesą, skundas dėl UAB „KJ 220“, UAB „PHE LT“ ir UAB „PPR Investicijos“ išduotų leidimų gaminti elektros energiją bei Energetikos įrenginių techninės būklės patikrinimo pažymų (toliau – Pažymos) teisėtumo. </w:t>
      </w:r>
    </w:p>
    <w:p w14:paraId="1AFA6356" w14:textId="3183BE27" w:rsidR="00C122D5" w:rsidRPr="00C122D5" w:rsidRDefault="00C122D5" w:rsidP="00C122D5">
      <w:pPr>
        <w:ind w:firstLine="567"/>
        <w:jc w:val="both"/>
        <w:rPr>
          <w:rFonts w:ascii="Calibri" w:eastAsia="Calibri" w:hAnsi="Calibri"/>
          <w:sz w:val="22"/>
          <w:szCs w:val="22"/>
          <w:lang w:eastAsia="en-US"/>
        </w:rPr>
      </w:pPr>
      <w:r w:rsidRPr="6B5B5E0C">
        <w:rPr>
          <w:rFonts w:ascii="Calibri" w:eastAsia="Calibri" w:hAnsi="Calibri"/>
          <w:sz w:val="22"/>
          <w:szCs w:val="22"/>
          <w:lang w:eastAsia="en-US"/>
        </w:rPr>
        <w:t xml:space="preserve">Pirmosios instancijos teismas nusprendė, kad UAB „KJ 220“, UAB „PHE LT“ ir UAB „PPR Investicijos“ išduoti leidimai gaminti elektros energiją neteisėti ir naikintini, be kita ko, motyvuodamas tuo, kad atsakovai gavo leidimus gaminti elektros energiją laimėję skatinimo kvotų paskirstymo aukcioną ir dalyvaudami aukcione deklaravo, kad statys naujas vėjo jėgaines, </w:t>
      </w:r>
      <w:r w:rsidRPr="00A15C59">
        <w:rPr>
          <w:rFonts w:ascii="Calibri" w:eastAsia="Calibri" w:hAnsi="Calibri"/>
          <w:sz w:val="22"/>
          <w:szCs w:val="22"/>
          <w:lang w:eastAsia="en-US"/>
        </w:rPr>
        <w:t>tačiau atsakovės nepastatė</w:t>
      </w:r>
      <w:r w:rsidRPr="6B5B5E0C">
        <w:rPr>
          <w:rFonts w:ascii="Calibri" w:eastAsia="Calibri" w:hAnsi="Calibri"/>
          <w:sz w:val="22"/>
          <w:szCs w:val="22"/>
          <w:lang w:eastAsia="en-US"/>
        </w:rPr>
        <w:t xml:space="preserve"> naujų vėjo jėgainių, o įsigijo kitų subjektų anksčiau pastatytas jėgaines.</w:t>
      </w:r>
    </w:p>
    <w:p w14:paraId="12C1AB3E" w14:textId="14819034" w:rsidR="00C122D5" w:rsidRPr="00C122D5" w:rsidRDefault="00C122D5" w:rsidP="00C122D5">
      <w:pPr>
        <w:ind w:firstLine="567"/>
        <w:jc w:val="both"/>
        <w:rPr>
          <w:rFonts w:ascii="Calibri" w:eastAsia="Calibri" w:hAnsi="Calibri"/>
          <w:sz w:val="22"/>
          <w:szCs w:val="22"/>
          <w:lang w:eastAsia="en-US"/>
        </w:rPr>
      </w:pPr>
      <w:r w:rsidRPr="6A7DC4FF">
        <w:rPr>
          <w:rFonts w:ascii="Calibri" w:eastAsia="Calibri" w:hAnsi="Calibri"/>
          <w:sz w:val="22"/>
          <w:szCs w:val="22"/>
          <w:lang w:eastAsia="en-US"/>
        </w:rPr>
        <w:t xml:space="preserve">LVAT teisėjų kolegija pažymėjo, kad šioje byloje buvo aktualu, jog atsakovės naudojosi atsinaujinančių išteklių energetiką skatinančiomis kvotomis, skirtomis pagal skatinimo kvotų paskirstymo aukcionų rezultatą. Valstybinės kainų ir energetikos kontrolės komisijos 2011 </w:t>
      </w:r>
      <w:r w:rsidR="75B39226" w:rsidRPr="6A7DC4FF">
        <w:rPr>
          <w:rFonts w:ascii="Calibri" w:eastAsia="Calibri" w:hAnsi="Calibri"/>
          <w:sz w:val="22"/>
          <w:szCs w:val="22"/>
          <w:lang w:eastAsia="en-US"/>
        </w:rPr>
        <w:t xml:space="preserve">m. </w:t>
      </w:r>
      <w:r w:rsidRPr="6A7DC4FF">
        <w:rPr>
          <w:rFonts w:ascii="Calibri" w:eastAsia="Calibri" w:hAnsi="Calibri"/>
          <w:sz w:val="22"/>
          <w:szCs w:val="22"/>
          <w:lang w:eastAsia="en-US"/>
        </w:rPr>
        <w:t xml:space="preserve">liepos 29 d. nutarimu Nr. O3-229 (redakcija, galiojusi nuo 2012 m. rugsėjo 27 d. iki 2012 m. lapkričio 22 d.) patvirtintų Skatinimo kvotų paskirstymo aukcionų nuostatų (toliau – Aukciono nuostatai) 94 punkte nustatyta, kad </w:t>
      </w:r>
      <w:r w:rsidR="241AB21E" w:rsidRPr="6A7DC4FF">
        <w:rPr>
          <w:rFonts w:ascii="Calibri" w:eastAsia="Calibri" w:hAnsi="Calibri"/>
          <w:sz w:val="22"/>
          <w:szCs w:val="22"/>
          <w:lang w:eastAsia="en-US"/>
        </w:rPr>
        <w:t>a</w:t>
      </w:r>
      <w:r w:rsidRPr="6A7DC4FF">
        <w:rPr>
          <w:rFonts w:ascii="Calibri" w:eastAsia="Calibri" w:hAnsi="Calibri"/>
          <w:sz w:val="22"/>
          <w:szCs w:val="22"/>
          <w:lang w:eastAsia="en-US"/>
        </w:rPr>
        <w:t xml:space="preserve">ukciono laimėtojui ar laimėtojams nesilaikant savo įsipareigojimų pagal Atsinaujinančių išteklių energetikos įstatymą ir šio įstatymo įgyvendinamuosius teisės aktus, laimėtojas atsako Energetikos įstatymo ir kitų teisės aktų nustatyta tvarka. Šis </w:t>
      </w:r>
      <w:r w:rsidRPr="6A7DC4FF">
        <w:rPr>
          <w:rFonts w:ascii="Calibri" w:eastAsia="Calibri" w:hAnsi="Calibri"/>
          <w:sz w:val="22"/>
          <w:szCs w:val="22"/>
          <w:lang w:eastAsia="en-US"/>
        </w:rPr>
        <w:lastRenderedPageBreak/>
        <w:t xml:space="preserve">Aukciono nuostatų punktas, be kita ko, įgyvendina bendrąjį teisės principą </w:t>
      </w:r>
      <w:r w:rsidRPr="6A7DC4FF">
        <w:rPr>
          <w:rFonts w:ascii="Calibri" w:eastAsia="Calibri" w:hAnsi="Calibri"/>
          <w:i/>
          <w:iCs/>
          <w:sz w:val="22"/>
          <w:szCs w:val="22"/>
          <w:lang w:eastAsia="en-US"/>
        </w:rPr>
        <w:t>pacta sunt servanda</w:t>
      </w:r>
      <w:r w:rsidRPr="6A7DC4FF">
        <w:rPr>
          <w:rFonts w:ascii="Calibri" w:eastAsia="Calibri" w:hAnsi="Calibri"/>
          <w:sz w:val="22"/>
          <w:szCs w:val="22"/>
          <w:lang w:eastAsia="en-US"/>
        </w:rPr>
        <w:t xml:space="preserve"> (sutarčių privaloma laikytis), kuris šiame kontekste reikalauja, kad skatinimo kvotų paskirstymo aukciono laimėtojai vykdytų įsipareigojimus, kuriuos patvirtino dalyvaudami konkurse ir buvo paskelbti konkurso laimėtojais.</w:t>
      </w:r>
    </w:p>
    <w:p w14:paraId="2AD32A90" w14:textId="77777777" w:rsidR="00C122D5" w:rsidRPr="00C122D5" w:rsidRDefault="00C122D5" w:rsidP="00C122D5">
      <w:pPr>
        <w:ind w:firstLine="567"/>
        <w:jc w:val="both"/>
        <w:rPr>
          <w:rFonts w:ascii="Calibri" w:eastAsia="Calibri" w:hAnsi="Calibri"/>
          <w:sz w:val="22"/>
          <w:szCs w:val="22"/>
          <w:lang w:eastAsia="en-US"/>
        </w:rPr>
      </w:pPr>
      <w:r w:rsidRPr="6A7DC4FF">
        <w:rPr>
          <w:rFonts w:ascii="Calibri" w:eastAsia="Calibri" w:hAnsi="Calibri"/>
          <w:sz w:val="22"/>
          <w:szCs w:val="22"/>
          <w:lang w:eastAsia="en-US"/>
        </w:rPr>
        <w:t xml:space="preserve">Vadovaujantis Elektros energetikos įstatymo 16 straipsnio 12 dalies 3 punktu, leidimas plėtoti elektros energijos gamybos pajėgumus išduodamas, be kita ko, asmenims, pateikusiems patvirtinimą apie skatinimo kvotų paskirstymo aukcione laimėtą fiksuotą tarifą. Lietuvos Respublikos energetikos ministro 2015 m. liepos 2 d. įsakymu Nr. 1-171 patvirtintų Veiklos elektros energetikos sektoriuje leidimų išdavimo taisyklių (toliau – Išdavimo taisyklės) 8 punkte įtvirtinti atskiri leidimo gaminti elektros energiją išdavimo pagrindai: asmeniui, kuris ketina atnaujinti sustabdytą elektros energijos gamybą esamais elektros energijos gamybos įrenginiais (8.1 p.); pastatė naują energetikos objektą (elektrinę), elektros energijai gaminti, pagal leidimą plėtoti elektros energijos gamybos pajėgumus (8.2 p.); padidino esamų veikiančių elektros energijos gamybos įrenginių įrengtąją galią pagal leidimą plėtoti elektros energijos gamybos pajėgumus (8.3 p.). Analogiški pagrindai išskirti ir pirmosios instancijos teismo sprendime nurodytos redakcijos Išdavimo taisyklių, patvirtintų Lietuvos Respublikos energetikos ministro 2013 m. spalio 22 d. </w:t>
      </w:r>
      <w:r w:rsidR="191E8589" w:rsidRPr="6A7DC4FF">
        <w:rPr>
          <w:rFonts w:ascii="Calibri" w:eastAsia="Calibri" w:hAnsi="Calibri"/>
          <w:sz w:val="22"/>
          <w:szCs w:val="22"/>
          <w:lang w:eastAsia="en-US"/>
        </w:rPr>
        <w:t xml:space="preserve">įsakymu </w:t>
      </w:r>
      <w:r w:rsidRPr="6A7DC4FF">
        <w:rPr>
          <w:rFonts w:ascii="Calibri" w:eastAsia="Calibri" w:hAnsi="Calibri"/>
          <w:sz w:val="22"/>
          <w:szCs w:val="22"/>
          <w:lang w:eastAsia="en-US"/>
        </w:rPr>
        <w:t>Nr. 1-212, 8.1-8.3 papunkčiuose.</w:t>
      </w:r>
    </w:p>
    <w:p w14:paraId="0214A345" w14:textId="27A5A040" w:rsidR="00C122D5" w:rsidRPr="00821060" w:rsidRDefault="00C122D5" w:rsidP="00C122D5">
      <w:pPr>
        <w:ind w:firstLine="567"/>
        <w:jc w:val="both"/>
        <w:rPr>
          <w:rFonts w:ascii="Calibri" w:eastAsia="Calibri" w:hAnsi="Calibri"/>
          <w:sz w:val="22"/>
          <w:szCs w:val="22"/>
          <w:lang w:eastAsia="en-US"/>
        </w:rPr>
      </w:pPr>
      <w:r w:rsidRPr="3E77553B">
        <w:rPr>
          <w:rFonts w:ascii="Calibri" w:eastAsia="Calibri" w:hAnsi="Calibri"/>
          <w:sz w:val="22"/>
          <w:szCs w:val="22"/>
          <w:lang w:eastAsia="en-US"/>
        </w:rPr>
        <w:t xml:space="preserve">Byloje ginčyti leidimai buvo išduoti tuo pagrindu, kad bendrovės laimėjo skatinimo kvotų paskirstymo aukcioną ir pastatė naujas elektrines (UAB „UAB „PHE LT“ leidimas gaminti elektros energiją Nr. L-1444 išduotas ankstesnio 2017 m. birželio 1 d. UAB „KJ 220“ išduoto leidimo gaminti elektros energiją Nr. L-1136 350 kW galios vėjo jėgainėje pagrindu). Visgi iš </w:t>
      </w:r>
      <w:r w:rsidR="4987D1AF" w:rsidRPr="3E77553B">
        <w:rPr>
          <w:rFonts w:ascii="Calibri" w:eastAsia="Calibri" w:hAnsi="Calibri"/>
          <w:sz w:val="22"/>
          <w:szCs w:val="22"/>
          <w:lang w:eastAsia="en-US"/>
        </w:rPr>
        <w:t xml:space="preserve">to, kas išdėstyta </w:t>
      </w:r>
      <w:r w:rsidRPr="3E77553B">
        <w:rPr>
          <w:rFonts w:ascii="Calibri" w:eastAsia="Calibri" w:hAnsi="Calibri"/>
          <w:sz w:val="22"/>
          <w:szCs w:val="22"/>
          <w:lang w:eastAsia="en-US"/>
        </w:rPr>
        <w:t>anksčiau</w:t>
      </w:r>
      <w:r w:rsidR="78C0F32D" w:rsidRPr="3E77553B">
        <w:rPr>
          <w:rFonts w:ascii="Calibri" w:eastAsia="Calibri" w:hAnsi="Calibri"/>
          <w:sz w:val="22"/>
          <w:szCs w:val="22"/>
          <w:lang w:eastAsia="en-US"/>
        </w:rPr>
        <w:t xml:space="preserve">, </w:t>
      </w:r>
      <w:r w:rsidRPr="3E77553B">
        <w:rPr>
          <w:rFonts w:ascii="Calibri" w:eastAsia="Calibri" w:hAnsi="Calibri"/>
          <w:sz w:val="22"/>
          <w:szCs w:val="22"/>
          <w:lang w:eastAsia="en-US"/>
        </w:rPr>
        <w:t xml:space="preserve">nustatyta, kad </w:t>
      </w:r>
      <w:r w:rsidRPr="00821060">
        <w:rPr>
          <w:rFonts w:ascii="Calibri" w:eastAsia="Calibri" w:hAnsi="Calibri"/>
          <w:sz w:val="22"/>
          <w:szCs w:val="22"/>
          <w:u w:val="single"/>
          <w:lang w:eastAsia="en-US"/>
        </w:rPr>
        <w:t>bendrovės naujų elektrinių nepastatė ir dėl to neįvykdė iš skatinimo kvotų paskirstymo aukciono kylančių įsipareigojimų, todėl daryta išvada, kad ginčijami leidimai gaminti elektros energiją negalėjo būti išduoti</w:t>
      </w:r>
      <w:r w:rsidRPr="00821060">
        <w:rPr>
          <w:rFonts w:ascii="Calibri" w:eastAsia="Calibri" w:hAnsi="Calibri"/>
          <w:sz w:val="22"/>
          <w:szCs w:val="22"/>
          <w:lang w:eastAsia="en-US"/>
        </w:rPr>
        <w:t xml:space="preserve"> ir pirmosios instancijos teismas pagrįstai nusprendė juos panaikinti kaip neteisėtus.</w:t>
      </w:r>
    </w:p>
    <w:p w14:paraId="6CC83015" w14:textId="7196BB50" w:rsidR="00C122D5" w:rsidRPr="00C122D5" w:rsidRDefault="00C122D5" w:rsidP="00C122D5">
      <w:pPr>
        <w:ind w:firstLine="567"/>
        <w:jc w:val="both"/>
        <w:rPr>
          <w:rFonts w:ascii="Calibri" w:eastAsia="Calibri" w:hAnsi="Calibri"/>
          <w:sz w:val="22"/>
          <w:szCs w:val="22"/>
          <w:lang w:eastAsia="en-US"/>
        </w:rPr>
      </w:pPr>
      <w:r w:rsidRPr="3E77553B">
        <w:rPr>
          <w:rFonts w:ascii="Calibri" w:eastAsia="Calibri" w:hAnsi="Calibri"/>
          <w:sz w:val="22"/>
          <w:szCs w:val="22"/>
          <w:lang w:eastAsia="en-US"/>
        </w:rPr>
        <w:t xml:space="preserve">Pirmosios instancijos teismo sprendimu taip pat tenkintas pareiškėjo prašymas iš UAB „KJ 220“, UAB „PHE LT“ ir UAB „PPR Investicijos“ priteisti šioms bendrovėms išmokėtas viešuosius interesus atitinkančių paslaugų lėšas. Šiuo aspektu byloje reikšmingas iš konstitucinio teisinės valstybės principo kylantis reikalavimas paisyti bendrojo teisės principo </w:t>
      </w:r>
      <w:r w:rsidRPr="3E77553B">
        <w:rPr>
          <w:rFonts w:ascii="Calibri" w:eastAsia="Calibri" w:hAnsi="Calibri"/>
          <w:i/>
          <w:iCs/>
          <w:sz w:val="22"/>
          <w:szCs w:val="22"/>
          <w:lang w:eastAsia="en-US"/>
        </w:rPr>
        <w:t>ex injuria jus non oritur</w:t>
      </w:r>
      <w:r w:rsidRPr="3E77553B">
        <w:rPr>
          <w:rFonts w:ascii="Calibri" w:eastAsia="Calibri" w:hAnsi="Calibri"/>
          <w:sz w:val="22"/>
          <w:szCs w:val="22"/>
          <w:lang w:eastAsia="en-US"/>
        </w:rPr>
        <w:t xml:space="preserve"> (neteisės pagrindu teisė neatsiranda), pagal kurį niekas negali turėti naudos iš savo padaryto teisės pažeidimo (Konstitucinio Teismo 2019 m. lapkričio 25 d., 2020 m. birželio 12 d. nutarimai). Su bylai aktualiomis konstitucinėmis nuostatomis buvo nesuderinama tokia padėtis, kurioje skatinti atsinaujinančių išteklių energetiką skirtos iš vartotojų surinktos lėšos buvo išmokamos už veiklą, kuri vykdyta neturint tam teisėto pagrindo. Šiuo atveju </w:t>
      </w:r>
      <w:r w:rsidR="00CC7A44" w:rsidRPr="3E77553B">
        <w:rPr>
          <w:rFonts w:ascii="Calibri" w:eastAsia="Calibri" w:hAnsi="Calibri"/>
          <w:sz w:val="22"/>
          <w:szCs w:val="22"/>
          <w:lang w:eastAsia="en-US"/>
        </w:rPr>
        <w:t>atsakovių</w:t>
      </w:r>
      <w:r w:rsidRPr="3E77553B">
        <w:rPr>
          <w:rFonts w:ascii="Calibri" w:eastAsia="Calibri" w:hAnsi="Calibri"/>
          <w:sz w:val="22"/>
          <w:szCs w:val="22"/>
          <w:lang w:eastAsia="en-US"/>
        </w:rPr>
        <w:t xml:space="preserve"> veikla buvo vykdoma pagal leidimus gaminti elektros energiją, kurie buvo išduoti neteisėtai ir dalis kainos už gamintą elektros energiją bendrovėms buvo mokama iš </w:t>
      </w:r>
      <w:r w:rsidR="004C0387" w:rsidRPr="004C0387">
        <w:rPr>
          <w:rFonts w:ascii="Calibri" w:eastAsia="Calibri" w:hAnsi="Calibri"/>
          <w:sz w:val="22"/>
          <w:szCs w:val="22"/>
          <w:lang w:eastAsia="en-US"/>
        </w:rPr>
        <w:t>viešuosius interesus ati</w:t>
      </w:r>
      <w:r w:rsidR="004C0387">
        <w:rPr>
          <w:rFonts w:ascii="Calibri" w:eastAsia="Calibri" w:hAnsi="Calibri"/>
          <w:sz w:val="22"/>
          <w:szCs w:val="22"/>
          <w:lang w:eastAsia="en-US"/>
        </w:rPr>
        <w:t xml:space="preserve">tinkančių paslaugų (toliau – </w:t>
      </w:r>
      <w:r w:rsidR="004C0387" w:rsidRPr="004C0387">
        <w:rPr>
          <w:rFonts w:ascii="Calibri" w:eastAsia="Calibri" w:hAnsi="Calibri"/>
          <w:sz w:val="22"/>
          <w:szCs w:val="22"/>
          <w:lang w:eastAsia="en-US"/>
        </w:rPr>
        <w:t>VIAP)</w:t>
      </w:r>
      <w:r w:rsidRPr="3E77553B">
        <w:rPr>
          <w:rFonts w:ascii="Calibri" w:eastAsia="Calibri" w:hAnsi="Calibri"/>
          <w:sz w:val="22"/>
          <w:szCs w:val="22"/>
          <w:lang w:eastAsia="en-US"/>
        </w:rPr>
        <w:t xml:space="preserve"> lėšų. Šių lėšų tinkamo paskirstymo reikalauja viešasis interesas, be kita ko, atsižvelgiant į tai, kad, vadovaujantis Lietuvos Respublikos Vyriausybės 2012 m. rugsėjo 19 d. nutarimu Nr. 1157 patvirtinto Viešuosius interesus atitinkančių paslaugų elektros energetikos sektoriuje lėšų administravimo tvarkos aprašo 16 punktu, nustatytais atvejais VIAP lėšas moka elektros energijos vartotojai. </w:t>
      </w:r>
      <w:r w:rsidR="52279BEC" w:rsidRPr="3E77553B">
        <w:rPr>
          <w:rFonts w:ascii="Calibri" w:eastAsia="Calibri" w:hAnsi="Calibri"/>
          <w:sz w:val="22"/>
          <w:szCs w:val="22"/>
          <w:lang w:eastAsia="en-US"/>
        </w:rPr>
        <w:t>Teisėjų k</w:t>
      </w:r>
      <w:r w:rsidRPr="3E77553B">
        <w:rPr>
          <w:rFonts w:ascii="Calibri" w:eastAsia="Calibri" w:hAnsi="Calibri"/>
          <w:sz w:val="22"/>
          <w:szCs w:val="22"/>
          <w:lang w:eastAsia="en-US"/>
        </w:rPr>
        <w:t xml:space="preserve">olegijos vertinimu, </w:t>
      </w:r>
      <w:r w:rsidR="00CC7A44" w:rsidRPr="3E77553B">
        <w:rPr>
          <w:rFonts w:ascii="Calibri" w:eastAsia="Calibri" w:hAnsi="Calibri"/>
          <w:sz w:val="22"/>
          <w:szCs w:val="22"/>
          <w:lang w:eastAsia="en-US"/>
        </w:rPr>
        <w:t>atsakovės</w:t>
      </w:r>
      <w:r w:rsidRPr="3E77553B">
        <w:rPr>
          <w:rFonts w:ascii="Calibri" w:eastAsia="Calibri" w:hAnsi="Calibri"/>
          <w:sz w:val="22"/>
          <w:szCs w:val="22"/>
          <w:lang w:eastAsia="en-US"/>
        </w:rPr>
        <w:t xml:space="preserve"> šiame teisiniame santykyje veikė pažeisdamos teisę ir nevykdydamos iš skatinimo kvotų paskirstymo aukciono kilusių įsipareigojimų. </w:t>
      </w:r>
      <w:r w:rsidRPr="00B81236">
        <w:rPr>
          <w:rFonts w:ascii="Calibri" w:eastAsia="Calibri" w:hAnsi="Calibri"/>
          <w:sz w:val="22"/>
          <w:szCs w:val="22"/>
          <w:u w:val="single"/>
          <w:lang w:eastAsia="en-US"/>
        </w:rPr>
        <w:t xml:space="preserve">Negali būti laikomas sąžiningu toks elgesys, kai vietoje pateikto dalyvaujant aukcione įsipareigojimo pastatyti naujas vėjo jėgaines, tuo prisidedant prie atsinaujinančių išteklių energetikos pajėgumų padidinimo šalyje, yra nuperkamos šalyje anksčiau pastatytos jėgainės ir tik padidinami jų pajėgumai. </w:t>
      </w:r>
      <w:r w:rsidR="00CC7A44" w:rsidRPr="00B81236">
        <w:rPr>
          <w:rFonts w:ascii="Calibri" w:eastAsia="Calibri" w:hAnsi="Calibri"/>
          <w:sz w:val="22"/>
          <w:szCs w:val="22"/>
          <w:u w:val="single"/>
          <w:lang w:eastAsia="en-US"/>
        </w:rPr>
        <w:t>Atsakovės</w:t>
      </w:r>
      <w:r w:rsidRPr="00B81236">
        <w:rPr>
          <w:rFonts w:ascii="Calibri" w:eastAsia="Calibri" w:hAnsi="Calibri"/>
          <w:sz w:val="22"/>
          <w:szCs w:val="22"/>
          <w:u w:val="single"/>
          <w:lang w:eastAsia="en-US"/>
        </w:rPr>
        <w:t xml:space="preserve"> yra verslo subjektai, veikiantys komercinės rizikos aplinkoje, todėl apdairiai ir rūpestingai veikdami galėjo numatyti, kad neįvykdžius minėtuose patvirtinimuose ir ketinimų protokoluose nurodyto įsipareigojimo pastatyti vėjo jėgaines bei esant kitoms šioje byloje nustatytoms aplinkybėms, gali būti pripažįstama, kad jų pasirinktas elgesio modelis neatitiko teisės.</w:t>
      </w:r>
      <w:r w:rsidRPr="3E77553B">
        <w:rPr>
          <w:rFonts w:ascii="Calibri" w:eastAsia="Calibri" w:hAnsi="Calibri"/>
          <w:sz w:val="22"/>
          <w:szCs w:val="22"/>
          <w:lang w:eastAsia="en-US"/>
        </w:rPr>
        <w:t xml:space="preserve"> Tai galėjo būti patikimai nuspėjama vadovaujantis Aukciono nuostatų 94 punktu bei teisiniais principais </w:t>
      </w:r>
      <w:r w:rsidRPr="3E77553B">
        <w:rPr>
          <w:rFonts w:ascii="Calibri" w:eastAsia="Calibri" w:hAnsi="Calibri"/>
          <w:i/>
          <w:iCs/>
          <w:sz w:val="22"/>
          <w:szCs w:val="22"/>
          <w:lang w:eastAsia="en-US"/>
        </w:rPr>
        <w:t>pacta sunt servanda</w:t>
      </w:r>
      <w:r w:rsidRPr="3E77553B">
        <w:rPr>
          <w:rFonts w:ascii="Calibri" w:eastAsia="Calibri" w:hAnsi="Calibri"/>
          <w:sz w:val="22"/>
          <w:szCs w:val="22"/>
          <w:lang w:eastAsia="en-US"/>
        </w:rPr>
        <w:t xml:space="preserve"> ir iš konstitucinio teisinės valstybės principo kylančio principo </w:t>
      </w:r>
      <w:r w:rsidRPr="3E77553B">
        <w:rPr>
          <w:rFonts w:ascii="Calibri" w:eastAsia="Calibri" w:hAnsi="Calibri"/>
          <w:i/>
          <w:iCs/>
          <w:sz w:val="22"/>
          <w:szCs w:val="22"/>
          <w:lang w:eastAsia="en-US"/>
        </w:rPr>
        <w:t>ex injuria jus non oritur</w:t>
      </w:r>
      <w:r w:rsidRPr="3E77553B">
        <w:rPr>
          <w:rFonts w:ascii="Calibri" w:eastAsia="Calibri" w:hAnsi="Calibri"/>
          <w:sz w:val="22"/>
          <w:szCs w:val="22"/>
          <w:lang w:eastAsia="en-US"/>
        </w:rPr>
        <w:t xml:space="preserve">, pagal kurį niekas negali turėti naudos iš savo padaryto teisės pažeidimo. Nepaisant to, aptariamos bendrovės pasirinko vykdyti veiklą pagal nesilaikant teisės aktų išduotus leidimus ir neįvykdžiusios įsipareigojimo pastatyti naujas vėjo jėgaines, nors byloje </w:t>
      </w:r>
      <w:r w:rsidR="00CC7A44" w:rsidRPr="3E77553B">
        <w:rPr>
          <w:rFonts w:ascii="Calibri" w:eastAsia="Calibri" w:hAnsi="Calibri"/>
          <w:sz w:val="22"/>
          <w:szCs w:val="22"/>
          <w:lang w:eastAsia="en-US"/>
        </w:rPr>
        <w:t>nebuvo</w:t>
      </w:r>
      <w:r w:rsidRPr="3E77553B">
        <w:rPr>
          <w:rFonts w:ascii="Calibri" w:eastAsia="Calibri" w:hAnsi="Calibri"/>
          <w:sz w:val="22"/>
          <w:szCs w:val="22"/>
          <w:lang w:eastAsia="en-US"/>
        </w:rPr>
        <w:t xml:space="preserve"> jokių duomenų, kurie leistų įtarti, kad teisėto elgesio modelio pasirinkimas – naujų vėjo jėgainių pastatymas – būtų sukūręs bendrovėms neproporcingą naštą.</w:t>
      </w:r>
    </w:p>
    <w:p w14:paraId="56E9814D" w14:textId="58FD8610" w:rsidR="00C122D5" w:rsidRPr="00C122D5" w:rsidRDefault="00C122D5" w:rsidP="00C122D5">
      <w:pPr>
        <w:ind w:firstLine="567"/>
        <w:jc w:val="both"/>
        <w:rPr>
          <w:rFonts w:ascii="Calibri" w:eastAsia="Calibri" w:hAnsi="Calibri"/>
          <w:sz w:val="22"/>
          <w:szCs w:val="22"/>
          <w:lang w:eastAsia="en-US"/>
        </w:rPr>
      </w:pPr>
      <w:r w:rsidRPr="3E77553B">
        <w:rPr>
          <w:rFonts w:ascii="Calibri" w:eastAsia="Calibri" w:hAnsi="Calibri"/>
          <w:sz w:val="22"/>
          <w:szCs w:val="22"/>
          <w:lang w:eastAsia="en-US"/>
        </w:rPr>
        <w:t>Teisėjų kolegija pripažino, kad bendrovių veikla neatitiko teisės aktų reikalavimų, nes bendrovės veikė pagal neteisėtai išduotus leidimus, nevykdydamos iš skatinimo kvotų paskirstymo aukciono kilusių įsipareigojimų. Dėl to, teisėjų kolegija dar</w:t>
      </w:r>
      <w:r w:rsidR="0B75050B" w:rsidRPr="3E77553B">
        <w:rPr>
          <w:rFonts w:ascii="Calibri" w:eastAsia="Calibri" w:hAnsi="Calibri"/>
          <w:sz w:val="22"/>
          <w:szCs w:val="22"/>
          <w:lang w:eastAsia="en-US"/>
        </w:rPr>
        <w:t>ė</w:t>
      </w:r>
      <w:r w:rsidRPr="3E77553B">
        <w:rPr>
          <w:rFonts w:ascii="Calibri" w:eastAsia="Calibri" w:hAnsi="Calibri"/>
          <w:sz w:val="22"/>
          <w:szCs w:val="22"/>
          <w:lang w:eastAsia="en-US"/>
        </w:rPr>
        <w:t xml:space="preserve"> išvadą, kad pirmenybė negali būti teikiama </w:t>
      </w:r>
      <w:r w:rsidR="00CC7A44" w:rsidRPr="3E77553B">
        <w:rPr>
          <w:rFonts w:ascii="Calibri" w:eastAsia="Calibri" w:hAnsi="Calibri"/>
          <w:sz w:val="22"/>
          <w:szCs w:val="22"/>
          <w:lang w:eastAsia="en-US"/>
        </w:rPr>
        <w:t xml:space="preserve">atsakovių </w:t>
      </w:r>
      <w:r w:rsidRPr="3E77553B">
        <w:rPr>
          <w:rFonts w:ascii="Calibri" w:eastAsia="Calibri" w:hAnsi="Calibri"/>
          <w:sz w:val="22"/>
          <w:szCs w:val="22"/>
          <w:lang w:eastAsia="en-US"/>
        </w:rPr>
        <w:t xml:space="preserve">bendrovių privatiems interesams konkurencijoje su viešuoju, o be teisėto pagrindo gautos VIAP lėšos privalo būti grąžinamos vadovaujantis teisėtumo principu, užtikrinant, kad nebūtų gaunama nauda už teisės aktų </w:t>
      </w:r>
      <w:r w:rsidRPr="3E77553B">
        <w:rPr>
          <w:rFonts w:ascii="Calibri" w:eastAsia="Calibri" w:hAnsi="Calibri"/>
          <w:sz w:val="22"/>
          <w:szCs w:val="22"/>
          <w:lang w:eastAsia="en-US"/>
        </w:rPr>
        <w:lastRenderedPageBreak/>
        <w:t>nuostatoms prieštaraujantį elgesį. Padarytos išvados leido konstatuoti, jog pirmosios instancijos teismas pagrįstai ir teisėtai priteisė iš bendrovių be pagrindo gautas VIAP lėšas.</w:t>
      </w:r>
    </w:p>
    <w:p w14:paraId="5712587D" w14:textId="66A780F5" w:rsidR="00C122D5" w:rsidRPr="00C122D5" w:rsidRDefault="00C122D5" w:rsidP="00C122D5">
      <w:pPr>
        <w:ind w:firstLine="567"/>
        <w:jc w:val="both"/>
        <w:rPr>
          <w:rFonts w:ascii="Calibri" w:eastAsia="Calibri" w:hAnsi="Calibri"/>
          <w:sz w:val="22"/>
          <w:szCs w:val="22"/>
          <w:lang w:eastAsia="en-US"/>
        </w:rPr>
      </w:pPr>
      <w:r w:rsidRPr="3E77553B">
        <w:rPr>
          <w:rFonts w:ascii="Calibri" w:eastAsia="Calibri" w:hAnsi="Calibri"/>
          <w:sz w:val="22"/>
          <w:szCs w:val="22"/>
          <w:lang w:eastAsia="en-US"/>
        </w:rPr>
        <w:t>Nagrinė</w:t>
      </w:r>
      <w:r w:rsidR="00CC7A44" w:rsidRPr="3E77553B">
        <w:rPr>
          <w:rFonts w:ascii="Calibri" w:eastAsia="Calibri" w:hAnsi="Calibri"/>
          <w:sz w:val="22"/>
          <w:szCs w:val="22"/>
          <w:lang w:eastAsia="en-US"/>
        </w:rPr>
        <w:t>to</w:t>
      </w:r>
      <w:r w:rsidRPr="3E77553B">
        <w:rPr>
          <w:rFonts w:ascii="Calibri" w:eastAsia="Calibri" w:hAnsi="Calibri"/>
          <w:sz w:val="22"/>
          <w:szCs w:val="22"/>
          <w:lang w:eastAsia="en-US"/>
        </w:rPr>
        <w:t>je byloje apeliaciniais skundais, be kita ko, pirmosios instancijos teismo sprendimas buvo ginčijamas ir ta apimtimi, kuria teismas nutraukė bylos dalį dėl prašymo panaikinti bendrovėms išduotas Energetikos įrenginių techninės būklės patikrinimo pažymas. Pirmosios instancijos teismo sprendime nurodyta, kad ši bylos dalis nutraukta, kadangi Energetikos įrenginių techninės būklės patikrinimo pažymose konstatuojami faktai ir jos negali būti laikomos administraciniais aktais, kuriuos administracinis teismas galėtų panaikinti, todėl reikalavimo jas panaikinti nagrinėjimas nepriskirtinas administracinių bylų kompetencijai. Ginčo patikrinimo pažymose yra nurodoma, kad energetikos įrenginiai yra „sumontuoti, išbandyti, atitinka projekto, norminių teisės aktų reikalavimus bei gali būti naudojami pagal paskirtį</w:t>
      </w:r>
      <w:r w:rsidR="1475B187" w:rsidRPr="3E77553B">
        <w:rPr>
          <w:rFonts w:ascii="Calibri" w:eastAsia="Calibri" w:hAnsi="Calibri"/>
          <w:sz w:val="22"/>
          <w:szCs w:val="22"/>
          <w:lang w:eastAsia="en-US"/>
        </w:rPr>
        <w:t>”</w:t>
      </w:r>
      <w:r w:rsidRPr="3E77553B">
        <w:rPr>
          <w:rFonts w:ascii="Calibri" w:eastAsia="Calibri" w:hAnsi="Calibri"/>
          <w:sz w:val="22"/>
          <w:szCs w:val="22"/>
          <w:lang w:eastAsia="en-US"/>
        </w:rPr>
        <w:t xml:space="preserve"> – tai yra konstatuojamojo pobūdžio turinys</w:t>
      </w:r>
      <w:r w:rsidR="5B362ED3" w:rsidRPr="3E77553B">
        <w:rPr>
          <w:rFonts w:ascii="Calibri" w:eastAsia="Calibri" w:hAnsi="Calibri"/>
          <w:sz w:val="22"/>
          <w:szCs w:val="22"/>
          <w:lang w:eastAsia="en-US"/>
        </w:rPr>
        <w:t>,</w:t>
      </w:r>
      <w:r w:rsidRPr="3E77553B">
        <w:rPr>
          <w:rFonts w:ascii="Calibri" w:eastAsia="Calibri" w:hAnsi="Calibri"/>
          <w:sz w:val="22"/>
          <w:szCs w:val="22"/>
          <w:lang w:eastAsia="en-US"/>
        </w:rPr>
        <w:t xml:space="preserve"> tiesiogiai nesukuriantis teisių ir pareigų. Apeliaciniame skunde pateiktas argumentas, kad išdavus Pažymas gali būti kreipiamasi dėl leidimo gaminti energiją išdavimo, nepaneigia minėtos išvados, o patvirtina, kad Pažymos yra tarpinio pobūdžio dokumentas, išduodamas siekiant gauti teisę gaminti elektros energiją ir sprendimas išduoti arba atsisakyti išduoti leidimą gaminti elektros energiją yra galutinis aktas, kuris gali būti ginčijamas administraciniuose teismuose. Pažymomis charakterizuojama fizinių įrenginių padėtis, todėl jos atitinka a</w:t>
      </w:r>
      <w:r w:rsidR="6AB3FE5D" w:rsidRPr="3E77553B">
        <w:rPr>
          <w:rFonts w:ascii="Calibri" w:eastAsia="Calibri" w:hAnsi="Calibri"/>
          <w:sz w:val="22"/>
          <w:szCs w:val="22"/>
          <w:lang w:eastAsia="en-US"/>
        </w:rPr>
        <w:t>n</w:t>
      </w:r>
      <w:r w:rsidRPr="3E77553B">
        <w:rPr>
          <w:rFonts w:ascii="Calibri" w:eastAsia="Calibri" w:hAnsi="Calibri"/>
          <w:sz w:val="22"/>
          <w:szCs w:val="22"/>
          <w:lang w:eastAsia="en-US"/>
        </w:rPr>
        <w:t>kščiau minėtus požymius, būdingus aktams, kurie negali būti savarankišku ginčo nagrinėjimo administraciniuose teismuose objektu, vadinasi, pirmosios instancijos teismas pagrįstai nutraukė bylos dalį dėl prašymo panaikinti Energetikos įrenginių techninės būklės patikrinimo pažymas.</w:t>
      </w:r>
    </w:p>
    <w:p w14:paraId="75D9945D" w14:textId="77777777" w:rsidR="00C122D5" w:rsidRPr="00C122D5" w:rsidRDefault="00C122D5" w:rsidP="00C122D5">
      <w:pPr>
        <w:ind w:firstLine="567"/>
        <w:jc w:val="both"/>
        <w:rPr>
          <w:rFonts w:ascii="Calibri" w:eastAsia="Calibri" w:hAnsi="Calibri"/>
          <w:bCs/>
          <w:sz w:val="22"/>
          <w:szCs w:val="22"/>
          <w:lang w:eastAsia="en-US"/>
        </w:rPr>
      </w:pPr>
      <w:r w:rsidRPr="00C122D5">
        <w:rPr>
          <w:rFonts w:ascii="Calibri" w:eastAsia="Calibri" w:hAnsi="Calibri"/>
          <w:sz w:val="22"/>
          <w:szCs w:val="22"/>
          <w:lang w:eastAsia="en-US"/>
        </w:rPr>
        <w:t>Atsižvelgiant į tai, kas išdėstyta, apeliaciniai skundai atmesti ir pirmosios instancijos teismo sprendimas paliktas nepakeistas.</w:t>
      </w:r>
    </w:p>
    <w:p w14:paraId="371DB5A3" w14:textId="77777777" w:rsidR="00C122D5" w:rsidRPr="00C122D5" w:rsidRDefault="00C122D5" w:rsidP="00C122D5">
      <w:pPr>
        <w:ind w:firstLine="567"/>
        <w:jc w:val="both"/>
        <w:rPr>
          <w:rFonts w:ascii="Calibri" w:eastAsia="Calibri" w:hAnsi="Calibri"/>
          <w:sz w:val="22"/>
          <w:szCs w:val="22"/>
          <w:lang w:eastAsia="en-US"/>
        </w:rPr>
      </w:pPr>
    </w:p>
    <w:p w14:paraId="09CDFFD1" w14:textId="77777777" w:rsidR="00C122D5" w:rsidRPr="00C122D5" w:rsidRDefault="00C122D5" w:rsidP="00C122D5">
      <w:pPr>
        <w:tabs>
          <w:tab w:val="left" w:pos="142"/>
        </w:tabs>
        <w:ind w:right="38"/>
        <w:jc w:val="both"/>
        <w:rPr>
          <w:rFonts w:ascii="Calibri" w:eastAsia="Calibri" w:hAnsi="Calibri"/>
          <w:sz w:val="22"/>
          <w:szCs w:val="22"/>
          <w:lang w:eastAsia="en-US"/>
        </w:rPr>
      </w:pPr>
      <w:r w:rsidRPr="00C122D5">
        <w:rPr>
          <w:rFonts w:ascii="Calibri" w:eastAsia="Calibri" w:hAnsi="Calibri"/>
          <w:bCs/>
          <w:sz w:val="22"/>
          <w:szCs w:val="22"/>
          <w:lang w:eastAsia="en-US"/>
        </w:rPr>
        <w:t xml:space="preserve">2020 m. </w:t>
      </w:r>
      <w:r w:rsidRPr="00C122D5">
        <w:rPr>
          <w:rFonts w:ascii="Calibri" w:eastAsia="Calibri" w:hAnsi="Calibri"/>
          <w:sz w:val="22"/>
          <w:szCs w:val="22"/>
          <w:lang w:eastAsia="en-US"/>
        </w:rPr>
        <w:t xml:space="preserve">spalio 28 </w:t>
      </w:r>
      <w:r w:rsidRPr="00C122D5">
        <w:rPr>
          <w:rFonts w:ascii="Calibri" w:eastAsia="Calibri" w:hAnsi="Calibri"/>
          <w:bCs/>
          <w:sz w:val="22"/>
          <w:szCs w:val="22"/>
          <w:lang w:eastAsia="en-US"/>
        </w:rPr>
        <w:t>d. nutartis administracinėje byloje Nr. eA-2441-629/2020</w:t>
      </w:r>
    </w:p>
    <w:p w14:paraId="3EDBA0FC" w14:textId="77777777" w:rsidR="00C122D5" w:rsidRPr="00C122D5" w:rsidRDefault="00C122D5" w:rsidP="00C122D5">
      <w:pPr>
        <w:tabs>
          <w:tab w:val="left" w:pos="142"/>
        </w:tabs>
        <w:ind w:right="38"/>
        <w:jc w:val="both"/>
        <w:rPr>
          <w:rFonts w:ascii="Calibri" w:eastAsia="Calibri" w:hAnsi="Calibri"/>
          <w:sz w:val="22"/>
          <w:szCs w:val="22"/>
          <w:lang w:eastAsia="en-US"/>
        </w:rPr>
      </w:pPr>
      <w:r w:rsidRPr="00C122D5">
        <w:rPr>
          <w:rFonts w:ascii="Calibri" w:eastAsia="Calibri" w:hAnsi="Calibri"/>
          <w:sz w:val="22"/>
          <w:szCs w:val="22"/>
          <w:lang w:eastAsia="en-US"/>
        </w:rPr>
        <w:t>Teisminio proceso Nr. 3-61-3-02855-2018-4</w:t>
      </w:r>
    </w:p>
    <w:p w14:paraId="0ABBB5E6" w14:textId="77777777" w:rsidR="00C122D5" w:rsidRPr="00C122D5" w:rsidRDefault="00C122D5" w:rsidP="00C122D5">
      <w:pPr>
        <w:tabs>
          <w:tab w:val="left" w:pos="142"/>
        </w:tabs>
        <w:ind w:right="38"/>
        <w:jc w:val="both"/>
        <w:rPr>
          <w:rFonts w:ascii="Calibri" w:eastAsia="Calibri" w:hAnsi="Calibri"/>
          <w:bCs/>
          <w:sz w:val="22"/>
          <w:szCs w:val="22"/>
          <w:lang w:eastAsia="en-US"/>
        </w:rPr>
      </w:pPr>
      <w:r w:rsidRPr="00C122D5">
        <w:rPr>
          <w:rFonts w:ascii="Calibri" w:eastAsia="Calibri" w:hAnsi="Calibri"/>
          <w:bCs/>
          <w:sz w:val="22"/>
          <w:szCs w:val="22"/>
          <w:lang w:eastAsia="en-US"/>
        </w:rPr>
        <w:t>Procesinio sprendimo kategorijos: 30.1; 30.4</w:t>
      </w:r>
    </w:p>
    <w:p w14:paraId="5E3DDD91" w14:textId="77777777" w:rsidR="00C122D5" w:rsidRPr="00C122D5" w:rsidRDefault="000F189C" w:rsidP="00C122D5">
      <w:pPr>
        <w:tabs>
          <w:tab w:val="left" w:pos="142"/>
        </w:tabs>
        <w:ind w:right="38"/>
        <w:jc w:val="both"/>
        <w:rPr>
          <w:rFonts w:ascii="Calibri" w:eastAsia="Calibri" w:hAnsi="Calibri"/>
          <w:sz w:val="22"/>
          <w:szCs w:val="22"/>
          <w:lang w:eastAsia="en-US"/>
        </w:rPr>
      </w:pPr>
      <w:hyperlink r:id="rId20" w:history="1">
        <w:r w:rsidR="00C122D5" w:rsidRPr="00C122D5">
          <w:rPr>
            <w:rFonts w:ascii="Calibri" w:eastAsia="Calibri" w:hAnsi="Calibri"/>
            <w:color w:val="0000FF"/>
            <w:sz w:val="22"/>
            <w:szCs w:val="22"/>
            <w:u w:val="single"/>
            <w:lang w:eastAsia="en-US"/>
          </w:rPr>
          <w:t>Prieiga internete</w:t>
        </w:r>
      </w:hyperlink>
    </w:p>
    <w:p w14:paraId="7CCF6492" w14:textId="5B12B0F2" w:rsidR="00C122D5" w:rsidRDefault="00C122D5" w:rsidP="007412F7">
      <w:pPr>
        <w:shd w:val="clear" w:color="auto" w:fill="FFFFFF"/>
        <w:tabs>
          <w:tab w:val="left" w:pos="3119"/>
        </w:tabs>
        <w:ind w:right="-1" w:firstLine="567"/>
        <w:jc w:val="both"/>
        <w:rPr>
          <w:rFonts w:ascii="Calibri" w:hAnsi="Calibri" w:cs="Calibri"/>
          <w:sz w:val="22"/>
          <w:szCs w:val="22"/>
        </w:rPr>
      </w:pPr>
    </w:p>
    <w:p w14:paraId="1D4C398D" w14:textId="77777777" w:rsidR="00E16A55" w:rsidRDefault="00E16A55" w:rsidP="00E16A55">
      <w:pPr>
        <w:pStyle w:val="Apzvalgai1"/>
        <w:rPr>
          <w:rFonts w:asciiTheme="minorHAnsi" w:hAnsiTheme="minorHAnsi" w:cstheme="minorHAnsi"/>
          <w:sz w:val="32"/>
          <w:szCs w:val="32"/>
        </w:rPr>
      </w:pPr>
      <w:bookmarkStart w:id="65" w:name="_Toc28689673"/>
      <w:bookmarkStart w:id="66" w:name="_Toc58851709"/>
      <w:bookmarkStart w:id="67" w:name="_Toc774936"/>
      <w:r>
        <w:rPr>
          <w:rFonts w:asciiTheme="minorHAnsi" w:hAnsiTheme="minorHAnsi" w:cstheme="minorHAnsi"/>
        </w:rPr>
        <w:t xml:space="preserve">32. </w:t>
      </w:r>
      <w:bookmarkEnd w:id="65"/>
      <w:r>
        <w:rPr>
          <w:rFonts w:asciiTheme="minorHAnsi" w:hAnsiTheme="minorHAnsi" w:cstheme="minorHAnsi"/>
        </w:rPr>
        <w:t>Viešieji pirkimai</w:t>
      </w:r>
      <w:bookmarkEnd w:id="66"/>
    </w:p>
    <w:p w14:paraId="1048A02E" w14:textId="77777777" w:rsidR="00E16A55" w:rsidRDefault="00E16A55" w:rsidP="00E16A55">
      <w:pPr>
        <w:ind w:firstLine="567"/>
        <w:jc w:val="both"/>
        <w:rPr>
          <w:rFonts w:asciiTheme="minorHAnsi" w:hAnsiTheme="minorHAnsi" w:cstheme="minorHAnsi"/>
          <w:i/>
          <w:sz w:val="22"/>
          <w:szCs w:val="22"/>
        </w:rPr>
      </w:pPr>
    </w:p>
    <w:p w14:paraId="4D35C2E7" w14:textId="77777777" w:rsidR="00E16A55" w:rsidRDefault="00E16A55" w:rsidP="00E16A55">
      <w:pPr>
        <w:pStyle w:val="Heading2"/>
        <w:rPr>
          <w:rFonts w:asciiTheme="minorHAnsi" w:hAnsiTheme="minorHAnsi" w:cstheme="minorHAnsi"/>
        </w:rPr>
      </w:pPr>
      <w:bookmarkStart w:id="68" w:name="_Toc58851710"/>
      <w:bookmarkEnd w:id="67"/>
      <w:r>
        <w:t>Dėl perkančiosios organizacijos negalėjimo reikalauti pratęsti pasiūlymų ir / ar jų užtikrinimo galiojimo jų terminams jau pasibaigus</w:t>
      </w:r>
      <w:bookmarkEnd w:id="68"/>
    </w:p>
    <w:p w14:paraId="2282E89E" w14:textId="77777777" w:rsidR="00E16A55" w:rsidRDefault="00E16A55" w:rsidP="00E16A55">
      <w:pPr>
        <w:jc w:val="both"/>
        <w:rPr>
          <w:rFonts w:asciiTheme="minorHAnsi" w:hAnsiTheme="minorHAnsi" w:cstheme="minorHAnsi"/>
          <w:sz w:val="22"/>
          <w:szCs w:val="22"/>
          <w:u w:val="single"/>
        </w:rPr>
      </w:pPr>
    </w:p>
    <w:p w14:paraId="1322C0EE" w14:textId="77777777" w:rsidR="00E16A55" w:rsidRDefault="00E16A55" w:rsidP="00E16A55">
      <w:pPr>
        <w:ind w:firstLine="567"/>
        <w:jc w:val="both"/>
        <w:rPr>
          <w:rFonts w:asciiTheme="minorHAnsi" w:hAnsiTheme="minorHAnsi" w:cstheme="minorHAnsi"/>
          <w:sz w:val="22"/>
          <w:szCs w:val="22"/>
        </w:rPr>
      </w:pPr>
      <w:r>
        <w:rPr>
          <w:rFonts w:asciiTheme="minorHAnsi" w:hAnsiTheme="minorHAnsi" w:cstheme="minorHAnsi"/>
          <w:sz w:val="22"/>
          <w:szCs w:val="22"/>
        </w:rPr>
        <w:t xml:space="preserve">Pareiškėjas UAB „Kauno vandenys“ kreipėsi į teismą su skundu, prašydamas panaikinti Aplinkos ministerijos Aplinkos projektų valdymo agentūros sprendimą, kuriame nustatyti pažeidimai pareiškėjo vykdytame viešajame pirkime </w:t>
      </w:r>
      <w:r>
        <w:rPr>
          <w:rFonts w:asciiTheme="minorHAnsi" w:hAnsiTheme="minorHAnsi" w:cstheme="minorHAnsi"/>
          <w:i/>
          <w:iCs/>
          <w:sz w:val="22"/>
          <w:szCs w:val="22"/>
        </w:rPr>
        <w:t xml:space="preserve">inter alia </w:t>
      </w:r>
      <w:r>
        <w:rPr>
          <w:rFonts w:asciiTheme="minorHAnsi" w:hAnsiTheme="minorHAnsi" w:cstheme="minorHAnsi"/>
          <w:sz w:val="22"/>
          <w:szCs w:val="22"/>
        </w:rPr>
        <w:t>nurodant, jog pareiškėjas viešojo pirkimo vykdymo metu prašė tiekėjų pratęsti pasiūlymų ir (arba) jų užtikrinimų galiojimą jau pasibaigus pasiūlymų ir (arba) jų užtikrinimų galiojimo terminams ir kad neturėjo atmesti tų tiekėjų pasiūlymų, kurie nepateikė pasiūlymų galiojimo užtikrinimo pratęsimo ir kt. Pirmosios instancijos teismas pareiškėjo skundą atmetė. Pareiškėjas nurodė, kad jis, kaip perkančioji organizacija, turėjo teisę pareikalauti iš tiekėjų pratęsti pateiktų pasiūlymų galiojimus ir pasiūlymų galiojimo užtikrinimus, ir tais atvejais, kai yra pasibaigę jų galiojimo terminai, o tiekėjams jų savalaikiai nepateikus – įgijo teisę pripažinti, kad šie tiekėjai atsisakė dalyvauti pirkime.</w:t>
      </w:r>
    </w:p>
    <w:p w14:paraId="37502189" w14:textId="5247E486" w:rsidR="00E16A55" w:rsidRDefault="00E16A55" w:rsidP="00E16A55">
      <w:pPr>
        <w:ind w:firstLine="567"/>
        <w:jc w:val="both"/>
        <w:rPr>
          <w:rFonts w:asciiTheme="minorHAnsi" w:hAnsiTheme="minorHAnsi" w:cstheme="minorHAnsi"/>
          <w:sz w:val="22"/>
          <w:szCs w:val="22"/>
        </w:rPr>
      </w:pPr>
      <w:r>
        <w:rPr>
          <w:rFonts w:asciiTheme="minorHAnsi" w:hAnsiTheme="minorHAnsi" w:cstheme="minorHAnsi"/>
          <w:sz w:val="22"/>
          <w:szCs w:val="22"/>
        </w:rPr>
        <w:t xml:space="preserve">Teisėjų kolegija pažymėjo, kad šio ginčo išsprendimui aktualios Viešųjų pirkimų įstatymo 29 straipsnio nuostatos. Šia teisės norma </w:t>
      </w:r>
      <w:r>
        <w:rPr>
          <w:rFonts w:asciiTheme="minorHAnsi" w:hAnsiTheme="minorHAnsi" w:cstheme="minorHAnsi"/>
          <w:sz w:val="22"/>
          <w:szCs w:val="22"/>
          <w:u w:val="single"/>
        </w:rPr>
        <w:t>perkančiajai organizacijai suteikta teisė, esant reikalui, prašyti tiekėjų pratęsti pasiūlymų galiojimo ir šių pasiūlymų galiojimo užtikrinimo priemonių terminus, tačiau ši teisė yra ribota laike. Ja perkančioji organizacija gali pasinaudoti iki tiekėjo pateikto pasiūlymo termino pabaigos</w:t>
      </w:r>
      <w:r>
        <w:rPr>
          <w:rFonts w:asciiTheme="minorHAnsi" w:hAnsiTheme="minorHAnsi" w:cstheme="minorHAnsi"/>
          <w:sz w:val="22"/>
          <w:szCs w:val="22"/>
        </w:rPr>
        <w:t xml:space="preserve">, t. y., iki tol, kol galioja pasiūlymas. </w:t>
      </w:r>
      <w:r>
        <w:rPr>
          <w:rFonts w:asciiTheme="minorHAnsi" w:hAnsiTheme="minorHAnsi" w:cstheme="minorHAnsi"/>
          <w:sz w:val="22"/>
          <w:szCs w:val="22"/>
          <w:u w:val="single"/>
        </w:rPr>
        <w:t xml:space="preserve">Atitinkamai, tiekėjui yra nustatyta pareiga pasirinktinai reaguoti į pateiktą perkančiosios organizacijos </w:t>
      </w:r>
      <w:r w:rsidRPr="003620A3">
        <w:rPr>
          <w:rFonts w:asciiTheme="minorHAnsi" w:hAnsiTheme="minorHAnsi" w:cstheme="minorHAnsi"/>
          <w:sz w:val="22"/>
          <w:szCs w:val="22"/>
          <w:u w:val="single"/>
        </w:rPr>
        <w:t>prašymą:</w:t>
      </w:r>
      <w:r>
        <w:rPr>
          <w:rFonts w:asciiTheme="minorHAnsi" w:hAnsiTheme="minorHAnsi" w:cstheme="minorHAnsi"/>
          <w:sz w:val="22"/>
          <w:szCs w:val="22"/>
        </w:rPr>
        <w:t xml:space="preserve"> arba patenkinti perkančiosios organizacijos prašymą ir pateikti pastarajam jo prašomus dokumentus, arba atsisakyti tai padaryti (raštu arba nutylėjimo būdu). Kai tiekėjas patenkina perkančiosios organizacijos prašymą, pastarajai atsiranda pareiga tęsti pirkimo procedūras su šiuo tiekėju. O kai tiekėjas atsisako tenkinti perkančiosios organizacijos prašymą, pastarajai atsiranda teisė pirkimo procedūras su šiuo tiekėju nutraukti.</w:t>
      </w:r>
    </w:p>
    <w:p w14:paraId="18234BA8" w14:textId="6D4C7FB6" w:rsidR="00E16A55" w:rsidRDefault="00E16A55" w:rsidP="3E77553B">
      <w:pPr>
        <w:ind w:firstLine="567"/>
        <w:jc w:val="both"/>
        <w:rPr>
          <w:rFonts w:asciiTheme="minorHAnsi" w:hAnsiTheme="minorHAnsi" w:cstheme="minorBidi"/>
          <w:sz w:val="22"/>
          <w:szCs w:val="22"/>
        </w:rPr>
      </w:pPr>
      <w:r w:rsidRPr="3E77553B">
        <w:rPr>
          <w:rFonts w:asciiTheme="minorHAnsi" w:hAnsiTheme="minorHAnsi" w:cstheme="minorBidi"/>
          <w:sz w:val="22"/>
          <w:szCs w:val="22"/>
        </w:rPr>
        <w:t xml:space="preserve">Visgi šioje teisės normoje nėra pateikta nuostatų, kurios reglamentuotų praleisto termino atnaujinimo klausimus. Nustatyta tvarka pratęsus ar atnaujinus terminą asmens atlikti veiksmai (priimti sprendimai, pasiūlymai ir pan.) sukelia teisines pasekmes kitiems atitinkamo teisinio santykio subjektams. Ir priešingai, nustatyta tvarka nepratęsus ar neatnaujinus termino, asmens veiksmai, atlikti po termino pabaigos, teisinių </w:t>
      </w:r>
      <w:r w:rsidRPr="3E77553B">
        <w:rPr>
          <w:rFonts w:asciiTheme="minorHAnsi" w:hAnsiTheme="minorHAnsi" w:cstheme="minorBidi"/>
          <w:sz w:val="22"/>
          <w:szCs w:val="22"/>
        </w:rPr>
        <w:lastRenderedPageBreak/>
        <w:t xml:space="preserve">pasekmių kitiems atitinkamo teisinio santykio subjektams nesukelia. Byloje nustatyta, kad pareiškėjas keturis kartus prašė tiekėjų pratęsti pasiūlymų galiojimo terminą ir pateikti pasiūlymų galiojimo užtikrinimus pasibaigus pasiūlymų / pasiūlymo užtikrinimo terminams. </w:t>
      </w:r>
      <w:r w:rsidRPr="3E77553B">
        <w:rPr>
          <w:rFonts w:asciiTheme="minorHAnsi" w:hAnsiTheme="minorHAnsi" w:cstheme="minorBidi"/>
          <w:sz w:val="22"/>
          <w:szCs w:val="22"/>
          <w:u w:val="single"/>
        </w:rPr>
        <w:t>Kadangi pareiškėjas pratęsti minėtus terminus tiekėjų prašė šiems terminams pasibaigus, tokie jo prašymai negalėjo sukelti teikėjams pareigų, numatytų Viešųjų pirkimų įstatymo 29 straipsnio 2 ir 3 dalyse (atsakyti į pateiktą prašymą, su juo sutikti arba nesutikti)</w:t>
      </w:r>
      <w:r w:rsidRPr="3E77553B">
        <w:rPr>
          <w:rFonts w:asciiTheme="minorHAnsi" w:hAnsiTheme="minorHAnsi" w:cstheme="minorBidi"/>
          <w:sz w:val="22"/>
          <w:szCs w:val="22"/>
        </w:rPr>
        <w:t>. Tai savo ruožtu l</w:t>
      </w:r>
      <w:r w:rsidR="00C35CA5" w:rsidRPr="3E77553B">
        <w:rPr>
          <w:rFonts w:asciiTheme="minorHAnsi" w:hAnsiTheme="minorHAnsi" w:cstheme="minorBidi"/>
          <w:sz w:val="22"/>
          <w:szCs w:val="22"/>
        </w:rPr>
        <w:t>ėmė,</w:t>
      </w:r>
      <w:r w:rsidRPr="3E77553B">
        <w:rPr>
          <w:rFonts w:asciiTheme="minorHAnsi" w:hAnsiTheme="minorHAnsi" w:cstheme="minorBidi"/>
          <w:sz w:val="22"/>
          <w:szCs w:val="22"/>
        </w:rPr>
        <w:t xml:space="preserve"> kad nagrinė</w:t>
      </w:r>
      <w:r w:rsidR="5F63915E" w:rsidRPr="3E77553B">
        <w:rPr>
          <w:rFonts w:asciiTheme="minorHAnsi" w:hAnsiTheme="minorHAnsi" w:cstheme="minorBidi"/>
          <w:sz w:val="22"/>
          <w:szCs w:val="22"/>
        </w:rPr>
        <w:t>t</w:t>
      </w:r>
      <w:r w:rsidRPr="3E77553B">
        <w:rPr>
          <w:rFonts w:asciiTheme="minorHAnsi" w:hAnsiTheme="minorHAnsi" w:cstheme="minorBidi"/>
          <w:sz w:val="22"/>
          <w:szCs w:val="22"/>
        </w:rPr>
        <w:t>u atveju pareiškėjas, pasinaudodamas Viešųjų pirkimų įstatymo 29 straipsnio 3 dalimi, negalėjo nutraukti pirkimo procedūros su tais tiekėjais, kurie nepateikė atsakymo į pareiškėjo pateiktą prašymą pratęsti aptariamus terminus. Šiuo atveju pareiškėjas, jei pagrįstai manė, kad yra poreikis pratęsti šiuos terminus, kai jie jau yra pasibaigę, tai turėjo spręsti kitais būdais, pvz., nutraukdamas pirkimo procedūras ir pradėdamas jas iš naujo, pratęsdamas pasiūlymų pateikimo terminus ir pan.</w:t>
      </w:r>
    </w:p>
    <w:p w14:paraId="1D1A1911" w14:textId="77777777" w:rsidR="00E16A55" w:rsidRDefault="00E16A55" w:rsidP="00E16A55">
      <w:pPr>
        <w:ind w:firstLine="567"/>
        <w:jc w:val="both"/>
        <w:rPr>
          <w:rFonts w:asciiTheme="minorHAnsi" w:hAnsiTheme="minorHAnsi" w:cstheme="minorHAnsi"/>
          <w:sz w:val="22"/>
          <w:szCs w:val="22"/>
        </w:rPr>
      </w:pPr>
      <w:r>
        <w:rPr>
          <w:rFonts w:asciiTheme="minorHAnsi" w:hAnsiTheme="minorHAnsi" w:cstheme="minorHAnsi"/>
          <w:sz w:val="22"/>
          <w:szCs w:val="22"/>
        </w:rPr>
        <w:t>Apeliacinis skundas atmestas, o pirmosios instancijos teismo sprendimas paliktas nepakeistas.</w:t>
      </w:r>
    </w:p>
    <w:p w14:paraId="0D405B06" w14:textId="77777777" w:rsidR="00E16A55" w:rsidRDefault="00E16A55" w:rsidP="00E16A55">
      <w:pPr>
        <w:ind w:firstLine="567"/>
        <w:jc w:val="both"/>
        <w:rPr>
          <w:rFonts w:asciiTheme="minorHAnsi" w:hAnsiTheme="minorHAnsi" w:cstheme="minorHAnsi"/>
          <w:color w:val="000000"/>
          <w:sz w:val="22"/>
          <w:szCs w:val="22"/>
          <w:shd w:val="clear" w:color="auto" w:fill="FFFFFF"/>
        </w:rPr>
      </w:pPr>
    </w:p>
    <w:p w14:paraId="78F0B158" w14:textId="77777777" w:rsidR="00E16A55" w:rsidRDefault="00E16A55" w:rsidP="00E16A55">
      <w:pPr>
        <w:jc w:val="both"/>
        <w:rPr>
          <w:rFonts w:asciiTheme="minorHAnsi" w:hAnsiTheme="minorHAnsi" w:cstheme="minorHAnsi"/>
          <w:sz w:val="22"/>
          <w:szCs w:val="22"/>
        </w:rPr>
      </w:pPr>
      <w:r>
        <w:rPr>
          <w:rFonts w:asciiTheme="minorHAnsi" w:hAnsiTheme="minorHAnsi" w:cstheme="minorHAnsi"/>
          <w:sz w:val="22"/>
          <w:szCs w:val="22"/>
        </w:rPr>
        <w:t>2020 m. spalio 14 d. nutartis administracinėje byloje Nr. eA-1549-438/2020</w:t>
      </w:r>
    </w:p>
    <w:p w14:paraId="44D077B4" w14:textId="77777777" w:rsidR="00E16A55" w:rsidRDefault="00E16A55" w:rsidP="00E16A55">
      <w:pPr>
        <w:jc w:val="both"/>
        <w:rPr>
          <w:rFonts w:asciiTheme="minorHAnsi" w:hAnsiTheme="minorHAnsi" w:cstheme="minorHAnsi"/>
          <w:sz w:val="22"/>
          <w:szCs w:val="22"/>
        </w:rPr>
      </w:pPr>
      <w:r>
        <w:rPr>
          <w:rFonts w:asciiTheme="minorHAnsi" w:hAnsiTheme="minorHAnsi" w:cstheme="minorHAnsi"/>
          <w:sz w:val="22"/>
          <w:szCs w:val="22"/>
        </w:rPr>
        <w:t>Teisminio proceso Nr. 3-61-3-03634-2018-0</w:t>
      </w:r>
    </w:p>
    <w:p w14:paraId="0C8CFC40" w14:textId="77777777" w:rsidR="00E16A55" w:rsidRDefault="00E16A55" w:rsidP="00E16A55">
      <w:pPr>
        <w:jc w:val="both"/>
        <w:rPr>
          <w:rFonts w:asciiTheme="minorHAnsi" w:hAnsiTheme="minorHAnsi" w:cstheme="minorHAnsi"/>
          <w:sz w:val="22"/>
          <w:szCs w:val="22"/>
        </w:rPr>
      </w:pPr>
      <w:r>
        <w:rPr>
          <w:rFonts w:asciiTheme="minorHAnsi" w:hAnsiTheme="minorHAnsi" w:cstheme="minorHAnsi"/>
          <w:sz w:val="22"/>
          <w:szCs w:val="22"/>
        </w:rPr>
        <w:t>Procesinio sprendimo kategorija 32</w:t>
      </w:r>
    </w:p>
    <w:p w14:paraId="17B5DE25" w14:textId="77777777" w:rsidR="00E16A55" w:rsidRDefault="000F189C" w:rsidP="00E16A55">
      <w:pPr>
        <w:jc w:val="both"/>
        <w:rPr>
          <w:rStyle w:val="Hyperlink"/>
        </w:rPr>
      </w:pPr>
      <w:hyperlink r:id="rId21" w:history="1">
        <w:r w:rsidR="00E16A55">
          <w:rPr>
            <w:rStyle w:val="Hyperlink"/>
            <w:rFonts w:asciiTheme="minorHAnsi" w:hAnsiTheme="minorHAnsi" w:cstheme="minorHAnsi"/>
            <w:sz w:val="22"/>
            <w:szCs w:val="22"/>
          </w:rPr>
          <w:t>Prieiga internete</w:t>
        </w:r>
      </w:hyperlink>
    </w:p>
    <w:p w14:paraId="6518A21F" w14:textId="77777777" w:rsidR="00E16A55" w:rsidRPr="007412F7" w:rsidRDefault="00E16A55" w:rsidP="007412F7">
      <w:pPr>
        <w:shd w:val="clear" w:color="auto" w:fill="FFFFFF"/>
        <w:tabs>
          <w:tab w:val="left" w:pos="3119"/>
        </w:tabs>
        <w:ind w:right="-1" w:firstLine="567"/>
        <w:jc w:val="both"/>
        <w:rPr>
          <w:rFonts w:ascii="Calibri" w:hAnsi="Calibri" w:cs="Calibri"/>
          <w:sz w:val="22"/>
          <w:szCs w:val="22"/>
        </w:rPr>
      </w:pPr>
    </w:p>
    <w:p w14:paraId="4822338A" w14:textId="77777777" w:rsidR="00973191" w:rsidRPr="00973191" w:rsidRDefault="00973191" w:rsidP="00973191">
      <w:pPr>
        <w:keepNext/>
        <w:keepLines/>
        <w:outlineLvl w:val="0"/>
        <w:rPr>
          <w:rFonts w:ascii="Calibri" w:hAnsi="Calibri" w:cs="Calibri"/>
          <w:b/>
          <w:bCs/>
          <w:sz w:val="22"/>
          <w:szCs w:val="32"/>
          <w:u w:val="single"/>
        </w:rPr>
      </w:pPr>
      <w:bookmarkStart w:id="69" w:name="_Toc462149998"/>
      <w:bookmarkStart w:id="70" w:name="_Toc58851711"/>
      <w:r w:rsidRPr="00973191">
        <w:rPr>
          <w:rFonts w:ascii="Calibri" w:hAnsi="Calibri" w:cs="Calibri"/>
          <w:b/>
          <w:bCs/>
          <w:sz w:val="22"/>
          <w:szCs w:val="32"/>
          <w:u w:val="single"/>
        </w:rPr>
        <w:t>34. Tabako ir alkoholio kontrolė</w:t>
      </w:r>
      <w:bookmarkEnd w:id="69"/>
      <w:bookmarkEnd w:id="70"/>
    </w:p>
    <w:p w14:paraId="63200095" w14:textId="77777777" w:rsidR="00973191" w:rsidRPr="00973191" w:rsidRDefault="00973191" w:rsidP="00973191">
      <w:pPr>
        <w:ind w:firstLine="567"/>
        <w:jc w:val="both"/>
        <w:rPr>
          <w:rFonts w:ascii="Calibri" w:hAnsi="Calibri" w:cs="Calibri"/>
          <w:b/>
          <w:sz w:val="22"/>
          <w:szCs w:val="22"/>
          <w:u w:val="single"/>
        </w:rPr>
      </w:pPr>
      <w:r w:rsidRPr="00973191">
        <w:rPr>
          <w:rFonts w:ascii="Calibri" w:hAnsi="Calibri" w:cs="Calibri"/>
          <w:b/>
          <w:sz w:val="22"/>
          <w:szCs w:val="22"/>
          <w:u w:val="single"/>
        </w:rPr>
        <w:t>34.1. Tabako kontrolė</w:t>
      </w:r>
    </w:p>
    <w:p w14:paraId="5DC350F5" w14:textId="77777777" w:rsidR="00973191" w:rsidRPr="00973191" w:rsidRDefault="00973191" w:rsidP="00973191">
      <w:pPr>
        <w:shd w:val="clear" w:color="auto" w:fill="FFFFFF"/>
        <w:tabs>
          <w:tab w:val="left" w:pos="3119"/>
        </w:tabs>
        <w:ind w:right="-1" w:firstLine="567"/>
        <w:jc w:val="both"/>
        <w:rPr>
          <w:rFonts w:ascii="Calibri" w:hAnsi="Calibri" w:cs="Calibri"/>
          <w:sz w:val="22"/>
          <w:szCs w:val="22"/>
        </w:rPr>
      </w:pPr>
    </w:p>
    <w:p w14:paraId="2905B85F" w14:textId="77777777" w:rsidR="00973191" w:rsidRPr="00973191" w:rsidRDefault="00973191" w:rsidP="00973191">
      <w:pPr>
        <w:jc w:val="both"/>
        <w:outlineLvl w:val="1"/>
        <w:rPr>
          <w:rFonts w:ascii="Calibri" w:eastAsia="Calibri" w:hAnsi="Calibri" w:cs="Calibri"/>
          <w:i/>
          <w:sz w:val="22"/>
          <w:szCs w:val="22"/>
          <w:lang w:eastAsia="en-US"/>
        </w:rPr>
      </w:pPr>
      <w:bookmarkStart w:id="71" w:name="_Toc58851712"/>
      <w:r w:rsidRPr="00973191">
        <w:rPr>
          <w:rFonts w:ascii="Calibri" w:eastAsia="Calibri" w:hAnsi="Calibri" w:cs="Calibri"/>
          <w:i/>
          <w:sz w:val="22"/>
          <w:szCs w:val="22"/>
        </w:rPr>
        <w:t>Dėl cigarų ir (ar) pypkių klubų įrengimo tvarkos</w:t>
      </w:r>
      <w:bookmarkEnd w:id="71"/>
    </w:p>
    <w:p w14:paraId="5B7EE788" w14:textId="77777777" w:rsidR="00973191" w:rsidRPr="00973191" w:rsidRDefault="00973191" w:rsidP="00973191">
      <w:pPr>
        <w:shd w:val="clear" w:color="auto" w:fill="FFFFFF"/>
        <w:tabs>
          <w:tab w:val="left" w:pos="3119"/>
        </w:tabs>
        <w:ind w:right="-1" w:firstLine="567"/>
        <w:jc w:val="both"/>
        <w:rPr>
          <w:rFonts w:ascii="Calibri" w:hAnsi="Calibri" w:cs="Calibri"/>
          <w:sz w:val="22"/>
          <w:szCs w:val="22"/>
        </w:rPr>
      </w:pPr>
    </w:p>
    <w:p w14:paraId="2E853023" w14:textId="77777777" w:rsidR="00973191" w:rsidRPr="00973191" w:rsidRDefault="00973191" w:rsidP="00973191">
      <w:pPr>
        <w:ind w:firstLine="567"/>
        <w:jc w:val="both"/>
        <w:rPr>
          <w:rFonts w:ascii="Calibri" w:hAnsi="Calibri" w:cs="Calibri"/>
          <w:sz w:val="22"/>
          <w:szCs w:val="22"/>
        </w:rPr>
      </w:pPr>
      <w:r w:rsidRPr="00973191">
        <w:rPr>
          <w:rFonts w:ascii="Calibri" w:hAnsi="Calibri" w:cs="Calibri"/>
          <w:sz w:val="22"/>
          <w:szCs w:val="22"/>
        </w:rPr>
        <w:t xml:space="preserve">Ginčas kilo dėl </w:t>
      </w:r>
      <w:r w:rsidRPr="00973191">
        <w:rPr>
          <w:rFonts w:ascii="Calibri" w:eastAsia="Calibri" w:hAnsi="Calibri"/>
          <w:color w:val="000000" w:themeColor="text1"/>
          <w:kern w:val="2"/>
          <w:sz w:val="22"/>
          <w:szCs w:val="22"/>
          <w:lang w:eastAsia="hi-IN" w:bidi="hi-IN"/>
        </w:rPr>
        <w:t xml:space="preserve">Narkotikų, tabako ir alkoholio kontrolės departamento (toliau – Departamentas) </w:t>
      </w:r>
      <w:r w:rsidRPr="00973191">
        <w:rPr>
          <w:rFonts w:ascii="Calibri" w:hAnsi="Calibri" w:cs="Calibri"/>
          <w:sz w:val="22"/>
          <w:szCs w:val="22"/>
        </w:rPr>
        <w:t xml:space="preserve">nutarimo, kuriuo pareiškėjui </w:t>
      </w:r>
      <w:r w:rsidRPr="00973191">
        <w:rPr>
          <w:rFonts w:ascii="Calibri" w:eastAsia="Calibri" w:hAnsi="Calibri"/>
          <w:sz w:val="22"/>
          <w:szCs w:val="22"/>
          <w:lang w:eastAsia="en-US"/>
        </w:rPr>
        <w:t>UAB „Propuff“ (toliau – Bendrovė)</w:t>
      </w:r>
      <w:r w:rsidRPr="00973191">
        <w:rPr>
          <w:rFonts w:ascii="Calibri" w:hAnsi="Calibri" w:cs="Calibri"/>
          <w:sz w:val="22"/>
          <w:szCs w:val="22"/>
        </w:rPr>
        <w:t xml:space="preserve"> už Tabako, tabako gaminių ir su jais susijusių gaminių kontrolės įstatymo (toliau – Įstatymas) 19 straipsnio 1 dalies 5 punkto pažeidimą skirta 289 Eur dydžio bauda.</w:t>
      </w:r>
    </w:p>
    <w:p w14:paraId="46947F7D" w14:textId="77777777" w:rsidR="00973191" w:rsidRPr="00973191" w:rsidRDefault="00973191" w:rsidP="00973191">
      <w:pPr>
        <w:ind w:firstLine="567"/>
        <w:jc w:val="both"/>
        <w:rPr>
          <w:rFonts w:ascii="Calibri" w:hAnsi="Calibri" w:cs="Calibri"/>
          <w:sz w:val="22"/>
          <w:szCs w:val="22"/>
        </w:rPr>
      </w:pPr>
      <w:r w:rsidRPr="00973191">
        <w:rPr>
          <w:rFonts w:ascii="Calibri" w:hAnsi="Calibri" w:cs="Calibri"/>
          <w:sz w:val="22"/>
          <w:szCs w:val="22"/>
        </w:rPr>
        <w:t xml:space="preserve">Įstatymo 19 straipsnio 1 dalies 5 punkte nustatyta, jog Lietuvos Respublikoje rūkyti (vartoti tabako gaminius ir elektronines cigaretes) draudžiama </w:t>
      </w:r>
      <w:bookmarkStart w:id="72" w:name="_Hlk51062589"/>
      <w:r w:rsidRPr="00973191">
        <w:rPr>
          <w:rFonts w:ascii="Calibri" w:hAnsi="Calibri" w:cs="Calibri"/>
          <w:sz w:val="22"/>
          <w:szCs w:val="22"/>
        </w:rPr>
        <w:t>restoranuose, kavinėse, baruose, kitose viešojo maitinimo įstaigose, klubuose, diskotekose, interneto kavinėse (interneto klubuose ir pan.), lošimo namuose (kazino), automatų ar bingo salonuose, kitose laisvalaikio praleidimo įstaigose, patalpose, kuriose vyksta sporto varžybos ar kiti renginiai, ir kitose žmonėms aptarnauti skirtose patalpose</w:t>
      </w:r>
      <w:bookmarkEnd w:id="72"/>
      <w:r w:rsidRPr="00973191">
        <w:rPr>
          <w:rFonts w:ascii="Calibri" w:hAnsi="Calibri" w:cs="Calibri"/>
          <w:sz w:val="22"/>
          <w:szCs w:val="22"/>
        </w:rPr>
        <w:t xml:space="preserve">, išskyrus specialiai įrengtus cigarų ir (ar) pypkių klubus. Cigarų ir (ar) pypkių klubų įrengimo tvarką nustato Lietuvos Respublikos Vyriausybė ar jos įgaliota institucija. </w:t>
      </w:r>
    </w:p>
    <w:p w14:paraId="49EBB0E8" w14:textId="3E9BDFD2" w:rsidR="00973191" w:rsidRPr="00973191" w:rsidRDefault="00973191" w:rsidP="00973191">
      <w:pPr>
        <w:ind w:firstLine="567"/>
        <w:jc w:val="both"/>
        <w:rPr>
          <w:rFonts w:ascii="Calibri" w:hAnsi="Calibri" w:cs="Calibri"/>
          <w:sz w:val="22"/>
          <w:szCs w:val="22"/>
          <w:u w:val="single"/>
        </w:rPr>
      </w:pPr>
      <w:r w:rsidRPr="6A7DC4FF">
        <w:rPr>
          <w:rFonts w:ascii="Calibri" w:hAnsi="Calibri" w:cs="Calibri"/>
          <w:sz w:val="22"/>
          <w:szCs w:val="22"/>
          <w:u w:val="single"/>
        </w:rPr>
        <w:t>Teisėjų kolegija pažymėjo, kad Įstatymo 19 straipsnio 1 dalies 5 punkte yra nustatytos konkrečios laisvalaikio praleidimo įstaigų ir kitų žmonėms aptarnauti skirtų patalpų, kuriose draudžiama rūkyti (vartoti tabako gaminius), kategorijos: restoranai, kavinės, barai, kitos viešojo maitinimo įstaigos, klubai, diskotekos, interneto kavinės (interneto klubai ir pan.), lošimo namai (kazino), automatų ar bingo salonai, kitos laisvalaikio praleidimo įstaigos, patalpos, kuriose vyksta sporto varžybos ar kiti renginiai, ir kitos žmonėms aptarnauti skirtos patalpos. Kaip matyti, šis sąrašas yra nebaigtinis. Aptariamoje teisės akto nuostatoje nurodyta vienintelė žmonėms aptarnauti skirtų patalpų kategorija, kuriose draudimas rūkyti (vartoti tabako gaminius) netaikoma</w:t>
      </w:r>
      <w:r w:rsidR="6B8794C2" w:rsidRPr="6A7DC4FF">
        <w:rPr>
          <w:rFonts w:ascii="Calibri" w:hAnsi="Calibri" w:cs="Calibri"/>
          <w:sz w:val="22"/>
          <w:szCs w:val="22"/>
          <w:u w:val="single"/>
        </w:rPr>
        <w:t>s</w:t>
      </w:r>
      <w:r w:rsidRPr="6A7DC4FF">
        <w:rPr>
          <w:rFonts w:ascii="Calibri" w:hAnsi="Calibri" w:cs="Calibri"/>
          <w:sz w:val="22"/>
          <w:szCs w:val="22"/>
          <w:u w:val="single"/>
        </w:rPr>
        <w:t xml:space="preserve"> – specialiai įrengti cigarų ir (ar) pypkių klubai. Tačiau minėta išimtis negali būti aiškinama taip, kad būtų paneigtas bendras aptariamoje teisės normoje įtvirtintas draudimas rūkyti (vartoti tabako gaminius ir elektronines cigaretes) konkrečiai įvardytose vietose: restoranuose, kavinėse, baruose, kitose viešojo maitinimo įstaigose, klubuose, diskotekose, interneto kavinėse (interneto klubuose ir pan.), lošimo namuose (kazino), automatų ar bingo salonuose). Todėl pareiškėjo teiginys, kad Įstatymo 19 straipsnio 1 dalies 5 punkto nuostatoje nenumatytas imperatyvus draudimas rūkyti restoranuose, kavinėse, baruose ir kitose viešojo maitinimo įstaigose, nepagrįstas.</w:t>
      </w:r>
    </w:p>
    <w:p w14:paraId="71EE8D98" w14:textId="77777777" w:rsidR="00973191" w:rsidRPr="00973191" w:rsidRDefault="00973191" w:rsidP="00973191">
      <w:pPr>
        <w:ind w:firstLine="567"/>
        <w:jc w:val="both"/>
        <w:rPr>
          <w:rFonts w:ascii="Calibri" w:hAnsi="Calibri" w:cs="Calibri"/>
          <w:sz w:val="22"/>
          <w:szCs w:val="22"/>
        </w:rPr>
      </w:pPr>
      <w:r w:rsidRPr="00973191">
        <w:rPr>
          <w:rFonts w:ascii="Calibri" w:hAnsi="Calibri" w:cs="Calibri"/>
          <w:sz w:val="22"/>
          <w:szCs w:val="22"/>
        </w:rPr>
        <w:t xml:space="preserve">Cigarų ir (ar) pypkių klubų įrengimo tvarka nustatyta </w:t>
      </w:r>
      <w:r w:rsidRPr="00973191">
        <w:rPr>
          <w:rFonts w:ascii="Calibri" w:eastAsia="Calibri" w:hAnsi="Calibri"/>
          <w:color w:val="000000" w:themeColor="text1"/>
          <w:kern w:val="2"/>
          <w:sz w:val="22"/>
          <w:szCs w:val="22"/>
          <w:lang w:eastAsia="hi-IN" w:bidi="hi-IN"/>
        </w:rPr>
        <w:t>Cigarų ir (ar) pypkių klubų įrengimo tvarkos apraše, patvirtintame Lietuvos Respublikos Vyriausybės 2006 m. gruodžio 22 d. nutarimu Nr. 1320, (toliau – Aprašas)</w:t>
      </w:r>
      <w:r w:rsidRPr="00973191">
        <w:rPr>
          <w:rFonts w:ascii="Calibri" w:hAnsi="Calibri" w:cs="Calibri"/>
          <w:sz w:val="22"/>
          <w:szCs w:val="22"/>
        </w:rPr>
        <w:t xml:space="preserve"> kurio 2.1 punkte įtvirtinta, jog cigarų ir pypkių klubas – tai tabako gaminiams ir elektroninėms cigaretėms rūkyti specialiai įrengtos patalpos, atitinkančios </w:t>
      </w:r>
      <w:r w:rsidRPr="00973191">
        <w:rPr>
          <w:rFonts w:ascii="Calibri" w:eastAsia="Calibri" w:hAnsi="Calibri"/>
          <w:color w:val="000000" w:themeColor="text1"/>
          <w:kern w:val="2"/>
          <w:sz w:val="22"/>
          <w:szCs w:val="22"/>
          <w:lang w:eastAsia="hi-IN" w:bidi="hi-IN"/>
        </w:rPr>
        <w:t xml:space="preserve">Apraše </w:t>
      </w:r>
      <w:r w:rsidRPr="00973191">
        <w:rPr>
          <w:rFonts w:ascii="Calibri" w:hAnsi="Calibri" w:cs="Calibri"/>
          <w:sz w:val="22"/>
          <w:szCs w:val="22"/>
        </w:rPr>
        <w:t xml:space="preserve">nustatytus reikalavimus. Aprašo 3 punkte įtvirtinta, kad cigarų ir pypkių klubai gali būti įrengiami tik tose vietose, kuriose vadovaujantis Lietuvos Respublikos tabako, tabako gaminių ir su jais susijusių gaminių kontrolės įstatymo 19 straipsnio 1 dalimi nedraudžiama rūkyti (vartoti tabako gaminius ir elektronines cigaretes). Aprašo 5 punkte nustatyta, jog cigarų ir pypkių klubai </w:t>
      </w:r>
      <w:r w:rsidRPr="00973191">
        <w:rPr>
          <w:rFonts w:ascii="Calibri" w:hAnsi="Calibri" w:cs="Calibri"/>
          <w:sz w:val="22"/>
          <w:szCs w:val="22"/>
        </w:rPr>
        <w:lastRenderedPageBreak/>
        <w:t>gali būti įrengiami tik uždarose patalpose, turinčiose atskirą įėjimą (nesutampantį su įėjimu į &lt;...&gt; restoranų, kavinių, barų, kitų viešojo maitinimo įstaigų, klubų, diskotekų ir kitų įmonių, įstaigų ir organizacijų patalpas).</w:t>
      </w:r>
    </w:p>
    <w:p w14:paraId="67BAEDD6" w14:textId="77777777" w:rsidR="00973191" w:rsidRPr="00973191" w:rsidRDefault="00973191" w:rsidP="00973191">
      <w:pPr>
        <w:ind w:firstLine="567"/>
        <w:jc w:val="both"/>
        <w:rPr>
          <w:rFonts w:ascii="Calibri" w:hAnsi="Calibri" w:cs="Calibri"/>
          <w:sz w:val="22"/>
          <w:szCs w:val="22"/>
          <w:u w:val="single"/>
        </w:rPr>
      </w:pPr>
      <w:r w:rsidRPr="00973191">
        <w:rPr>
          <w:rFonts w:ascii="Calibri" w:hAnsi="Calibri" w:cs="Calibri"/>
          <w:sz w:val="22"/>
          <w:szCs w:val="22"/>
        </w:rPr>
        <w:t xml:space="preserve">Atsižvelgiant į nurodytą teisinį reglamentavimą padaryta išvada, kad </w:t>
      </w:r>
      <w:r w:rsidRPr="00973191">
        <w:rPr>
          <w:rFonts w:ascii="Calibri" w:hAnsi="Calibri" w:cs="Calibri"/>
          <w:sz w:val="22"/>
          <w:szCs w:val="22"/>
          <w:u w:val="single"/>
        </w:rPr>
        <w:t xml:space="preserve">atsižvelgiant į tai, jog Įstatymo 19 straipsnio 1 dalies 5 punktu draudžiama rūkyti (vartoti tabako gaminius) restoranuose, kavinėse, baruose, kitose viešojo maitinimo įstaigose, minėtose vietose cigarų ir pypkių klubai negali būti įrengiami. Be to, jie gali būti įrengiami tik uždarose patalpose, turinčiose atskirą įėjimą, nesutampantį su įėjimu į restoranų, kavinių, barų, kitų viešojo maitinimo įstaigų patalpas. </w:t>
      </w:r>
    </w:p>
    <w:p w14:paraId="0943210F" w14:textId="77777777" w:rsidR="00973191" w:rsidRPr="00973191" w:rsidRDefault="00973191" w:rsidP="00973191">
      <w:pPr>
        <w:ind w:firstLine="567"/>
        <w:jc w:val="both"/>
        <w:rPr>
          <w:rFonts w:ascii="Calibri" w:hAnsi="Calibri" w:cs="Calibri"/>
          <w:sz w:val="22"/>
          <w:szCs w:val="22"/>
          <w:u w:val="single"/>
        </w:rPr>
      </w:pPr>
      <w:r w:rsidRPr="00973191">
        <w:rPr>
          <w:rFonts w:ascii="Calibri" w:hAnsi="Calibri" w:cs="Calibri"/>
          <w:sz w:val="22"/>
          <w:szCs w:val="22"/>
        </w:rPr>
        <w:t xml:space="preserve">Byloje pateiktas faktų fiksavimo protokolas su priedais (nuotraukos, vaizdo įrašas) patvirtino, kad į ginčo baro patalpas patenkama per įėjimą, pažymėtą iškaba „Fumosumo Lab“. Įėjus iš gatvės, patenkama į koridorių, pasukus į dešinę patenkama į didžiausią baro patalpą, kurioje pastatyti staliukai, kėdės baro klientams, ant staliukų padėti vandens pypkių tabako meniu ir baro meniu, kuriame siūloma įsigyti gėrimų ir užkandžių, įrengtas prekystalis, prie kurio aptarnaujami baro klientai, pastatyta alaus pilstymo įranga, lentynoje – alkoholinių gėrimų buteliai, ruošiamos naudoti vandens pypkės (kaljanai), pastatyta muzikinė įranga, parduodamas tabakas baro klientams rūkyti vandens pypkes baro patalpose. Patikrinimo metu šioje baro patalpoje buvo rūkoma vandens pypkė. </w:t>
      </w:r>
    </w:p>
    <w:p w14:paraId="6F57E8A8" w14:textId="77777777" w:rsidR="00973191" w:rsidRPr="00973191" w:rsidRDefault="00973191" w:rsidP="00973191">
      <w:pPr>
        <w:ind w:firstLine="567"/>
        <w:jc w:val="both"/>
        <w:rPr>
          <w:rFonts w:ascii="Calibri" w:hAnsi="Calibri" w:cs="Calibri"/>
          <w:sz w:val="22"/>
          <w:szCs w:val="22"/>
          <w:u w:val="single"/>
        </w:rPr>
      </w:pPr>
      <w:r w:rsidRPr="00973191">
        <w:rPr>
          <w:rFonts w:ascii="Calibri" w:hAnsi="Calibri" w:cs="Calibri"/>
          <w:sz w:val="22"/>
          <w:szCs w:val="22"/>
        </w:rPr>
        <w:t>Be to, Bendrovė turi Vilniaus miesto savivaldybės administracijos išduotą licenciją verstis mažmenine prekyba alkoholiniais gėrimais, suteikiančią Bendrovei bare visą parą vykdyti viešojo maitinimo veiklą. Byloje esantys įrodymai patvirtino Departamento nustatytas aplinkybes, t. y., kad pareiškėjui priklausančiose patalpose, kuriose vykdomas viešasis maitinimas, buvo rūkoma. Kaip minėta, cigarų ir pypkių klubai negali būti įrengiami viešojo maitinimo vietose, jose rūkyti draudžiama (Įstatymo 19 str. 1 d. 5 p.). Byloje esantys įrodymai paneigė ir pareiškėjo teiginius, kad jo baras atitinka visus Aprašo reikalavimus – ankščiau nurodytos aplinkybės patvirtino, kad nėra tenkinami nei Aprašo 3 punkte, nei 5 punkte įtvirtinti reikalavimai, kadangi rūkoma buvo tose pačiose patalpose, kuriose taip pat buvo vykdomas viešasis maitinimas.</w:t>
      </w:r>
    </w:p>
    <w:p w14:paraId="1A855551" w14:textId="3A4DFDA1" w:rsidR="00973191" w:rsidRPr="00973191" w:rsidRDefault="00973191" w:rsidP="00973191">
      <w:pPr>
        <w:ind w:firstLine="567"/>
        <w:jc w:val="both"/>
        <w:rPr>
          <w:rFonts w:ascii="Calibri" w:hAnsi="Calibri" w:cs="Calibri"/>
          <w:sz w:val="22"/>
          <w:szCs w:val="22"/>
        </w:rPr>
      </w:pPr>
      <w:r w:rsidRPr="6A7DC4FF">
        <w:rPr>
          <w:rFonts w:ascii="Calibri" w:hAnsi="Calibri" w:cs="Calibri"/>
          <w:sz w:val="22"/>
          <w:szCs w:val="22"/>
        </w:rPr>
        <w:t xml:space="preserve">Pirmosios instancijos teismo </w:t>
      </w:r>
      <w:r w:rsidR="147BB785" w:rsidRPr="6A7DC4FF">
        <w:rPr>
          <w:rFonts w:ascii="Calibri" w:hAnsi="Calibri" w:cs="Calibri"/>
          <w:sz w:val="22"/>
          <w:szCs w:val="22"/>
        </w:rPr>
        <w:t xml:space="preserve">sprendimas </w:t>
      </w:r>
      <w:r w:rsidRPr="6A7DC4FF">
        <w:rPr>
          <w:rFonts w:ascii="Calibri" w:hAnsi="Calibri" w:cs="Calibri"/>
          <w:sz w:val="22"/>
          <w:szCs w:val="22"/>
        </w:rPr>
        <w:t xml:space="preserve">paliktas nepakeistas, o apeliacinis skundas atmestas. </w:t>
      </w:r>
    </w:p>
    <w:p w14:paraId="0826C7A4" w14:textId="77777777" w:rsidR="00973191" w:rsidRPr="00973191" w:rsidRDefault="00973191" w:rsidP="00973191">
      <w:pPr>
        <w:shd w:val="clear" w:color="auto" w:fill="FFFFFF"/>
        <w:tabs>
          <w:tab w:val="left" w:pos="3119"/>
        </w:tabs>
        <w:ind w:right="-1" w:firstLine="567"/>
        <w:jc w:val="both"/>
        <w:rPr>
          <w:rFonts w:ascii="Calibri" w:hAnsi="Calibri" w:cs="Calibri"/>
          <w:sz w:val="22"/>
          <w:szCs w:val="22"/>
        </w:rPr>
      </w:pPr>
    </w:p>
    <w:p w14:paraId="52C58F6E" w14:textId="77777777" w:rsidR="00973191" w:rsidRPr="00973191" w:rsidRDefault="00973191" w:rsidP="00973191">
      <w:pPr>
        <w:jc w:val="both"/>
        <w:rPr>
          <w:rFonts w:ascii="Calibri" w:hAnsi="Calibri" w:cs="Calibri"/>
          <w:sz w:val="22"/>
          <w:szCs w:val="22"/>
        </w:rPr>
      </w:pPr>
      <w:r w:rsidRPr="00973191">
        <w:rPr>
          <w:rFonts w:ascii="Calibri" w:hAnsi="Calibri" w:cs="Calibri"/>
          <w:sz w:val="22"/>
          <w:szCs w:val="22"/>
        </w:rPr>
        <w:t>2020 m. spalio 7 d. nutartis administracinėje byloje Nr. eA-1443-261/2020</w:t>
      </w:r>
    </w:p>
    <w:p w14:paraId="001C594A" w14:textId="77777777" w:rsidR="00973191" w:rsidRPr="00973191" w:rsidRDefault="00973191" w:rsidP="00973191">
      <w:pPr>
        <w:jc w:val="both"/>
        <w:rPr>
          <w:rFonts w:ascii="Calibri" w:hAnsi="Calibri" w:cs="Calibri"/>
          <w:sz w:val="22"/>
          <w:szCs w:val="22"/>
        </w:rPr>
      </w:pPr>
      <w:r w:rsidRPr="00973191">
        <w:rPr>
          <w:rFonts w:ascii="Calibri" w:hAnsi="Calibri" w:cs="Calibri"/>
          <w:sz w:val="22"/>
          <w:szCs w:val="22"/>
        </w:rPr>
        <w:t xml:space="preserve">Teisminio proceso Nr. </w:t>
      </w:r>
      <w:r w:rsidRPr="00973191">
        <w:rPr>
          <w:rFonts w:ascii="Calibri" w:hAnsi="Calibri" w:cs="Calibri"/>
          <w:bCs/>
          <w:sz w:val="22"/>
          <w:szCs w:val="22"/>
        </w:rPr>
        <w:t>3-61-3-04438-2018-3</w:t>
      </w:r>
    </w:p>
    <w:p w14:paraId="5A9A15B1" w14:textId="77777777" w:rsidR="00973191" w:rsidRPr="00973191" w:rsidRDefault="00973191" w:rsidP="00973191">
      <w:pPr>
        <w:jc w:val="both"/>
        <w:rPr>
          <w:rFonts w:ascii="Calibri" w:hAnsi="Calibri" w:cs="Calibri"/>
          <w:sz w:val="22"/>
          <w:szCs w:val="22"/>
        </w:rPr>
      </w:pPr>
      <w:r w:rsidRPr="00973191">
        <w:rPr>
          <w:rFonts w:ascii="Calibri" w:hAnsi="Calibri" w:cs="Calibri"/>
          <w:sz w:val="22"/>
          <w:szCs w:val="22"/>
        </w:rPr>
        <w:t>Procesinio sprendimo kategorija 34.1</w:t>
      </w:r>
    </w:p>
    <w:p w14:paraId="643F0EC7" w14:textId="77777777" w:rsidR="00973191" w:rsidRPr="00973191" w:rsidRDefault="000F189C" w:rsidP="00973191">
      <w:pPr>
        <w:jc w:val="both"/>
        <w:rPr>
          <w:rFonts w:ascii="Calibri" w:hAnsi="Calibri"/>
          <w:color w:val="0000FF"/>
          <w:sz w:val="22"/>
          <w:szCs w:val="22"/>
          <w:u w:val="single"/>
          <w:lang w:eastAsia="en-US"/>
        </w:rPr>
      </w:pPr>
      <w:hyperlink r:id="rId22" w:history="1">
        <w:r w:rsidR="00973191" w:rsidRPr="00973191">
          <w:rPr>
            <w:rFonts w:ascii="Calibri" w:hAnsi="Calibri" w:cs="Calibri"/>
            <w:color w:val="0000FF"/>
            <w:sz w:val="22"/>
            <w:szCs w:val="22"/>
            <w:u w:val="single"/>
          </w:rPr>
          <w:t>Prieiga internete</w:t>
        </w:r>
      </w:hyperlink>
    </w:p>
    <w:p w14:paraId="6226CA99" w14:textId="77777777" w:rsidR="00973191" w:rsidRPr="00973191" w:rsidRDefault="00973191" w:rsidP="00973191">
      <w:pPr>
        <w:shd w:val="clear" w:color="auto" w:fill="FFFFFF"/>
        <w:tabs>
          <w:tab w:val="left" w:pos="3119"/>
        </w:tabs>
        <w:ind w:right="-1" w:firstLine="567"/>
        <w:jc w:val="both"/>
        <w:rPr>
          <w:rFonts w:ascii="Calibri" w:hAnsi="Calibri" w:cs="Calibri"/>
          <w:sz w:val="22"/>
          <w:szCs w:val="22"/>
        </w:rPr>
      </w:pPr>
    </w:p>
    <w:p w14:paraId="11AF2AFC" w14:textId="77777777" w:rsidR="00147A06" w:rsidRPr="00147A06" w:rsidRDefault="00147A06" w:rsidP="00147A06">
      <w:pPr>
        <w:jc w:val="both"/>
        <w:outlineLvl w:val="0"/>
        <w:rPr>
          <w:rFonts w:ascii="Calibri" w:hAnsi="Calibri"/>
          <w:b/>
          <w:sz w:val="22"/>
          <w:szCs w:val="22"/>
          <w:u w:val="single"/>
        </w:rPr>
      </w:pPr>
      <w:bookmarkStart w:id="73" w:name="_Toc58851713"/>
      <w:r w:rsidRPr="00147A06">
        <w:rPr>
          <w:rFonts w:ascii="Calibri" w:hAnsi="Calibri"/>
          <w:b/>
          <w:sz w:val="22"/>
          <w:szCs w:val="22"/>
          <w:u w:val="single"/>
        </w:rPr>
        <w:t>37. Bausmių vykdymo ir suėmimo sąlygos</w:t>
      </w:r>
      <w:bookmarkEnd w:id="73"/>
    </w:p>
    <w:p w14:paraId="0810C47E" w14:textId="77777777" w:rsidR="00147A06" w:rsidRPr="00147A06" w:rsidRDefault="00147A06" w:rsidP="00147A06">
      <w:pPr>
        <w:ind w:firstLine="567"/>
        <w:rPr>
          <w:rFonts w:ascii="Calibri" w:hAnsi="Calibri"/>
          <w:b/>
          <w:sz w:val="22"/>
          <w:szCs w:val="22"/>
          <w:u w:val="single"/>
        </w:rPr>
      </w:pPr>
      <w:r w:rsidRPr="00147A06">
        <w:rPr>
          <w:rFonts w:ascii="Calibri" w:hAnsi="Calibri"/>
          <w:b/>
          <w:sz w:val="22"/>
          <w:szCs w:val="22"/>
          <w:u w:val="single"/>
        </w:rPr>
        <w:t>37.5. Nuobaudos ir paskatinimo priemonės</w:t>
      </w:r>
    </w:p>
    <w:p w14:paraId="064EB912" w14:textId="77777777" w:rsidR="00147A06" w:rsidRPr="00147A06" w:rsidRDefault="00147A06" w:rsidP="00147A06">
      <w:pPr>
        <w:ind w:firstLine="567"/>
        <w:jc w:val="both"/>
        <w:rPr>
          <w:rFonts w:ascii="Calibri" w:hAnsi="Calibri" w:cs="Calibri"/>
          <w:bCs/>
          <w:sz w:val="22"/>
          <w:szCs w:val="22"/>
        </w:rPr>
      </w:pPr>
    </w:p>
    <w:p w14:paraId="151E89DC" w14:textId="77777777" w:rsidR="00147A06" w:rsidRPr="00147A06" w:rsidRDefault="00147A06" w:rsidP="00147A06">
      <w:pPr>
        <w:pStyle w:val="Heading2"/>
      </w:pPr>
      <w:bookmarkStart w:id="74" w:name="_Toc58851714"/>
      <w:r w:rsidRPr="00147A06">
        <w:t>Dėl savarankiškai į darbą ar mokymosi įstaigą vykstančių nuteistųjų pareigos laikytis nustatyto maršruto apimties</w:t>
      </w:r>
      <w:bookmarkEnd w:id="74"/>
    </w:p>
    <w:p w14:paraId="4F9B77BD" w14:textId="77777777" w:rsidR="00147A06" w:rsidRPr="00147A06" w:rsidRDefault="00147A06" w:rsidP="00147A06">
      <w:pPr>
        <w:ind w:firstLine="567"/>
        <w:jc w:val="both"/>
        <w:rPr>
          <w:rFonts w:ascii="Calibri" w:hAnsi="Calibri" w:cs="Calibri"/>
          <w:bCs/>
          <w:sz w:val="22"/>
          <w:szCs w:val="22"/>
        </w:rPr>
      </w:pPr>
    </w:p>
    <w:p w14:paraId="1A4D7E0E" w14:textId="77777777" w:rsidR="00147A06" w:rsidRPr="00147A06" w:rsidRDefault="00147A06" w:rsidP="00147A06">
      <w:pPr>
        <w:ind w:firstLine="567"/>
        <w:jc w:val="both"/>
        <w:rPr>
          <w:rFonts w:ascii="Calibri" w:hAnsi="Calibri" w:cs="Calibri"/>
          <w:bCs/>
          <w:sz w:val="22"/>
          <w:szCs w:val="22"/>
        </w:rPr>
      </w:pPr>
      <w:r w:rsidRPr="00147A06">
        <w:rPr>
          <w:rFonts w:ascii="Calibri" w:hAnsi="Calibri" w:cs="Calibri"/>
          <w:bCs/>
          <w:sz w:val="22"/>
          <w:szCs w:val="22"/>
        </w:rPr>
        <w:t xml:space="preserve">Apžvelgiamoje byloje ginčas kilo dėl Vilniaus pataisos namų (toliau – Vilniaus PN) direktoriaus 2018 m. liepos 18 d. nutarimo Nr. 28-420 (toliau – Nutarimas), kuriuo pareiškėjui V. G. skirta nuobauda (papeikimas) už tai, jog jis 2018 m. liepos 16 d. 17.30–18.00 val. pažeidė Intensyvaus nuteistojo </w:t>
      </w:r>
      <w:bookmarkStart w:id="75" w:name="Buk_38"/>
      <w:r w:rsidRPr="00147A06">
        <w:rPr>
          <w:rFonts w:ascii="Calibri" w:hAnsi="Calibri" w:cs="Calibri"/>
          <w:bCs/>
          <w:sz w:val="22"/>
          <w:szCs w:val="22"/>
        </w:rPr>
        <w:t xml:space="preserve">V. G. </w:t>
      </w:r>
      <w:bookmarkEnd w:id="75"/>
      <w:r w:rsidRPr="00147A06">
        <w:rPr>
          <w:rFonts w:ascii="Calibri" w:hAnsi="Calibri" w:cs="Calibri"/>
          <w:bCs/>
          <w:sz w:val="22"/>
          <w:szCs w:val="22"/>
        </w:rPr>
        <w:t>rengimo paleidimui iš pataisos įstaigos plane Nr. 84-565 (toliau – Planas) nustatytą parvykimo į Pusiaukelės namus maršrutą, ir Kalėjimų departamento prie Lietuvos Respublikos teisingumo ministerijos (toliau – Departamentas) 2018 m. spalio 31 d. sprendimo Nr. 2S-3524 (toliau – Sprendimas), kuriuo netenkintas pareiškėjo skundas dėl nuobaudos panaikinimo, teisėtumo bei pagrįstumo.</w:t>
      </w:r>
    </w:p>
    <w:p w14:paraId="29E9A43F" w14:textId="77777777" w:rsidR="00147A06" w:rsidRPr="00147A06" w:rsidRDefault="00147A06" w:rsidP="00147A06">
      <w:pPr>
        <w:ind w:firstLine="567"/>
        <w:jc w:val="both"/>
        <w:rPr>
          <w:rFonts w:ascii="Calibri" w:hAnsi="Calibri" w:cs="Calibri"/>
          <w:bCs/>
          <w:sz w:val="22"/>
          <w:szCs w:val="22"/>
        </w:rPr>
      </w:pPr>
      <w:r w:rsidRPr="00147A06">
        <w:rPr>
          <w:rFonts w:ascii="Calibri" w:hAnsi="Calibri" w:cs="Calibri"/>
          <w:bCs/>
          <w:sz w:val="22"/>
          <w:szCs w:val="22"/>
        </w:rPr>
        <w:t xml:space="preserve">Pirmosios instancijos teismas </w:t>
      </w:r>
      <w:bookmarkStart w:id="76" w:name="Buk_43"/>
      <w:r w:rsidRPr="00147A06">
        <w:rPr>
          <w:rFonts w:ascii="Calibri" w:hAnsi="Calibri" w:cs="Calibri"/>
          <w:bCs/>
          <w:sz w:val="22"/>
          <w:szCs w:val="22"/>
        </w:rPr>
        <w:t xml:space="preserve">pareiškėjo </w:t>
      </w:r>
      <w:bookmarkEnd w:id="76"/>
      <w:r w:rsidRPr="00147A06">
        <w:rPr>
          <w:rFonts w:ascii="Calibri" w:hAnsi="Calibri" w:cs="Calibri"/>
          <w:bCs/>
          <w:sz w:val="22"/>
          <w:szCs w:val="22"/>
        </w:rPr>
        <w:t>skundą tenkino ir panaikino Nutarimą bei Sprendimą. Tačiau Vilniaus PN su tokiu teismo sprendimu nesutiko, todėl pateikė apeliacinį skundą.</w:t>
      </w:r>
    </w:p>
    <w:p w14:paraId="034ED178" w14:textId="0F39EC35" w:rsidR="00147A06" w:rsidRPr="00147A06" w:rsidRDefault="00147A06" w:rsidP="3E77553B">
      <w:pPr>
        <w:ind w:firstLine="567"/>
        <w:jc w:val="both"/>
        <w:rPr>
          <w:rFonts w:ascii="Calibri" w:hAnsi="Calibri" w:cs="Calibri"/>
          <w:sz w:val="22"/>
          <w:szCs w:val="22"/>
        </w:rPr>
      </w:pPr>
      <w:r w:rsidRPr="3E77553B">
        <w:rPr>
          <w:rFonts w:ascii="Calibri" w:hAnsi="Calibri" w:cs="Calibri"/>
          <w:sz w:val="22"/>
          <w:szCs w:val="22"/>
        </w:rPr>
        <w:t>Teisėjų kolegija,</w:t>
      </w:r>
      <w:r>
        <w:t xml:space="preserve"> </w:t>
      </w:r>
      <w:r w:rsidRPr="3E77553B">
        <w:rPr>
          <w:rFonts w:ascii="Calibri" w:hAnsi="Calibri" w:cs="Calibri"/>
          <w:sz w:val="22"/>
          <w:szCs w:val="22"/>
        </w:rPr>
        <w:t xml:space="preserve">tikrindama skundžiamo pirmosios instancijos teismo sprendimo pagrįstumą ir teisėtumą, pažymėjo, kad pagal </w:t>
      </w:r>
      <w:r w:rsidR="43286BA9" w:rsidRPr="3E77553B">
        <w:rPr>
          <w:rFonts w:ascii="Calibri" w:hAnsi="Calibri" w:cs="Calibri"/>
          <w:sz w:val="22"/>
          <w:szCs w:val="22"/>
        </w:rPr>
        <w:t>t</w:t>
      </w:r>
      <w:r w:rsidRPr="3E77553B">
        <w:rPr>
          <w:rFonts w:ascii="Calibri" w:hAnsi="Calibri" w:cs="Calibri"/>
          <w:sz w:val="22"/>
          <w:szCs w:val="22"/>
        </w:rPr>
        <w:t>eisingumo ministro 2003 m. liepos 2 d. įsakymu Nr. 194 patvirtintų Pataisos įstaigų vidaus tvarkos taisyklių 287.2 punktą nuteistasis, kuriam suteikta teisė išvykti be sargybos arba be palydos, privalo laikytis nustatyto maršruto ir viešosios tvarkos taisyklių. Vilniaus PN direktoriaus 2018 m. liepos 5 d. įsakymu Nr. 3-170 patvirtintų Nuteistųjų, perkeltų į Vilniaus pataisos namų Socialinės reabilitacijos skyriaus Pusiaukelės namų poskyrį, vidaus tvarkos taisyklių 13 punkte nustatyta, kad visi nuteistieji išvyksta į darbą ar mokymosi įstaigą ir grįžta iš darbo ar mokymosi įstaigos į Pusiaukelės namus Intensyvaus rengimo lygtiniam paleidimui iš pataisos įstaigos plane numatytu laiku ir maršrutu.</w:t>
      </w:r>
    </w:p>
    <w:p w14:paraId="01C68E23" w14:textId="77777777" w:rsidR="00147A06" w:rsidRPr="00147A06" w:rsidRDefault="00147A06" w:rsidP="00147A06">
      <w:pPr>
        <w:ind w:firstLine="567"/>
        <w:jc w:val="both"/>
        <w:rPr>
          <w:rFonts w:ascii="Calibri" w:hAnsi="Calibri" w:cs="Calibri"/>
          <w:bCs/>
          <w:sz w:val="22"/>
          <w:szCs w:val="22"/>
        </w:rPr>
      </w:pPr>
      <w:r w:rsidRPr="00147A06">
        <w:rPr>
          <w:rFonts w:ascii="Calibri" w:hAnsi="Calibri" w:cs="Calibri"/>
          <w:bCs/>
          <w:sz w:val="22"/>
          <w:szCs w:val="22"/>
        </w:rPr>
        <w:lastRenderedPageBreak/>
        <w:t>Nuteistųjų, atliekančių laisvės atėmimo bausmes, perkėlimo į Pusiaukelės namus toje pačioje ar kitoje pataisos įstaigoje tvarką ir Pusiaukelės namų darbo organizavimo tvarką nustato Departamento direktoriaus 2016 m. kovo 23 d. įsakymu Nr. V-97 patvirtintas Nuteistųjų perkėlimo į Pusiaukelės namus tvarkos aprašas, kurio 50 punkte įtvirtinta, kad intensyvaus rengimo lygtiniam paleidimui iš pataisos įstaigos plane nurodomi nuteistojo savaitės darbai ir užduotys, nuteistojo užimtumo veiklos (darbas, mokslas, studijos), planuojami pasimatymai, išvykos už Pusiaukelės namų teritorijos ribų ar į namus, kelionės į darbą ar mokymosi įstaigą maršrutai. To paties aprašo 63 punkte įtvirtinta, jog į darbą ar mokymosi įstaigą nuteistieji vyksta savarankiškai. Pagal minėto aprašo 64 punktą, nuteistųjų gyvenamąsias, darbo ar mokymosi vietas, sąlygas bei buvimo nustatytoje vietoje faktą ir nustatyto kelionės maršruto laikymąsi tikrina pataisos įstaigos, kurioje veikia Pusiaukelės namai, darbuotojai ir kiti Kalėjimų departamento ar jam pavaldžių įstaigų darbuotojai.</w:t>
      </w:r>
    </w:p>
    <w:p w14:paraId="39478845" w14:textId="4573B414" w:rsidR="00147A06" w:rsidRPr="00147A06" w:rsidRDefault="00147A06" w:rsidP="00147A06">
      <w:pPr>
        <w:ind w:firstLine="567"/>
        <w:jc w:val="both"/>
        <w:rPr>
          <w:rFonts w:ascii="Calibri" w:hAnsi="Calibri" w:cs="Calibri"/>
          <w:bCs/>
          <w:sz w:val="22"/>
          <w:szCs w:val="22"/>
        </w:rPr>
      </w:pPr>
      <w:r w:rsidRPr="00147A06">
        <w:rPr>
          <w:rFonts w:ascii="Calibri" w:hAnsi="Calibri" w:cs="Calibri"/>
          <w:bCs/>
          <w:sz w:val="22"/>
          <w:szCs w:val="22"/>
        </w:rPr>
        <w:t>Šiame kontekste teisėjų kolegija nurodė, kad byloje nustatyta, jog pagal Planą pareiškėjas 2018 m. liepos 16 d. 18.30 val. turėjo grįžti į Pusiaukelės namus maršrutu (duomenys neskelbtini)–Žaliųjų ežerų g.–Verkių g.–Žirmūnų g.–Olandų g.–Drujos g.–Pelesos g.–Tyzenhauzų g.–Sniego g. Pusiaukelės namų poskyrio specialistė D.</w:t>
      </w:r>
      <w:r w:rsidR="00623DF9">
        <w:rPr>
          <w:rFonts w:ascii="Calibri" w:hAnsi="Calibri" w:cs="Calibri"/>
          <w:bCs/>
          <w:sz w:val="22"/>
          <w:szCs w:val="22"/>
        </w:rPr>
        <w:t> </w:t>
      </w:r>
      <w:r w:rsidRPr="00147A06">
        <w:rPr>
          <w:rFonts w:ascii="Calibri" w:hAnsi="Calibri" w:cs="Calibri"/>
          <w:bCs/>
          <w:sz w:val="22"/>
          <w:szCs w:val="22"/>
        </w:rPr>
        <w:t xml:space="preserve">S. apie 17.30–18.00 val. pastebėjo V. G. „Lidl“ parduotuvėje, esančioje Rasų g. 9A, Vilniuje, perkantį maisto produktus. Pareiškėjas paaiškino, kad į „Lidl“ aikštelę nusuko iš Drujos gatvės. Teisėjų kolegija atkreipė dėmesį, kad Drujos gatvė buvo įtraukta į pareiškėjo grįžimo maršrutą, todėl iš Drujos gatvės nusukdamas į „Lidl“ aikštelę pareiškėjas nuo maršruto nenukrypo. Be to, </w:t>
      </w:r>
      <w:r w:rsidRPr="00147A06">
        <w:rPr>
          <w:rFonts w:ascii="Calibri" w:hAnsi="Calibri" w:cs="Calibri"/>
          <w:bCs/>
          <w:sz w:val="22"/>
          <w:szCs w:val="22"/>
          <w:u w:val="single"/>
        </w:rPr>
        <w:t>nei teisės aktuose reglamentuota, nei Plane nėra nurodyta jokių draudimų ar apribojimų, kad pareiškėjas vykdamas nustatytu maršrutu negali sustoti tam tikrose vietose ir turi vykti nustatytu maršrutu be sustojimų (nepertraukiamai)</w:t>
      </w:r>
      <w:r w:rsidRPr="00147A06">
        <w:rPr>
          <w:rFonts w:ascii="Calibri" w:hAnsi="Calibri" w:cs="Calibri"/>
          <w:bCs/>
          <w:sz w:val="22"/>
          <w:szCs w:val="22"/>
        </w:rPr>
        <w:t>.</w:t>
      </w:r>
    </w:p>
    <w:p w14:paraId="08438858" w14:textId="77777777" w:rsidR="00147A06" w:rsidRPr="00147A06" w:rsidRDefault="00147A06" w:rsidP="00147A06">
      <w:pPr>
        <w:ind w:firstLine="567"/>
        <w:jc w:val="both"/>
        <w:rPr>
          <w:rFonts w:ascii="Calibri" w:hAnsi="Calibri" w:cs="Calibri"/>
          <w:bCs/>
          <w:sz w:val="22"/>
          <w:szCs w:val="22"/>
        </w:rPr>
      </w:pPr>
      <w:r w:rsidRPr="00147A06">
        <w:rPr>
          <w:rFonts w:ascii="Calibri" w:hAnsi="Calibri" w:cs="Calibri"/>
          <w:bCs/>
          <w:sz w:val="22"/>
          <w:szCs w:val="22"/>
        </w:rPr>
        <w:t>Atsižvelgusi į tai, teisėjų kolegija sutiko su pirmosios instancijos teismo išvadomis, kad atsakovas neobjektyviai ir nevisapusiškai ištyrė pareiškėjo situacijos faktines aplinkybes, formaliai atsižvelgė tik į Plane nustatytus maršrutus (konkrečias gatves) ir nevertino pareiškėjo 2018 m. liepos 17 d. paaiškinime nurodyto fakto, kad jis į „Lidl“ parduotuvę įvažiavo iš Drujos gatvės, bei aplinkybės, kad nors šios parduotuvės oficialus adresas nurodytas Rasų g. 9A, Vilnius, į ją yra galimybė patekti ir iš Drujos gatvės, kad pareiškėjas, trumpam užsukęs į „Lidl“ parduotuvę, nepadarė pažeidimo, todėl nuobauda – papeikimas – jam skirta nepagrįstai. Teisėjų kolegija taip pat sprendė, kad panaikinus Nutarimą teisėtai bei pagrįstai buvo panaikintas ir Sprendimas.</w:t>
      </w:r>
    </w:p>
    <w:p w14:paraId="21D25C88" w14:textId="77777777" w:rsidR="00147A06" w:rsidRPr="00147A06" w:rsidRDefault="00147A06" w:rsidP="00147A06">
      <w:pPr>
        <w:ind w:firstLine="567"/>
        <w:jc w:val="both"/>
        <w:rPr>
          <w:rFonts w:ascii="Calibri" w:hAnsi="Calibri" w:cs="Calibri"/>
          <w:bCs/>
          <w:sz w:val="22"/>
          <w:szCs w:val="22"/>
        </w:rPr>
      </w:pPr>
      <w:r w:rsidRPr="00147A06">
        <w:rPr>
          <w:rFonts w:ascii="Calibri" w:hAnsi="Calibri" w:cs="Calibri"/>
          <w:bCs/>
          <w:sz w:val="22"/>
          <w:szCs w:val="22"/>
        </w:rPr>
        <w:t>Taigi, pirmosios instancijos teismo sprendimas paliktas nepakeistas.</w:t>
      </w:r>
    </w:p>
    <w:p w14:paraId="1E34889A" w14:textId="77777777" w:rsidR="00147A06" w:rsidRPr="00147A06" w:rsidRDefault="00147A06" w:rsidP="00147A06">
      <w:pPr>
        <w:ind w:firstLine="567"/>
        <w:jc w:val="both"/>
        <w:rPr>
          <w:rFonts w:ascii="Calibri" w:hAnsi="Calibri" w:cs="Calibri"/>
          <w:bCs/>
          <w:sz w:val="22"/>
          <w:szCs w:val="22"/>
        </w:rPr>
      </w:pPr>
    </w:p>
    <w:p w14:paraId="60694274" w14:textId="77777777" w:rsidR="00147A06" w:rsidRPr="00147A06" w:rsidRDefault="00147A06" w:rsidP="00147A06">
      <w:pPr>
        <w:rPr>
          <w:rFonts w:ascii="Calibri" w:hAnsi="Calibri" w:cs="Calibri"/>
          <w:sz w:val="22"/>
          <w:szCs w:val="22"/>
        </w:rPr>
      </w:pPr>
      <w:r w:rsidRPr="00147A06">
        <w:rPr>
          <w:rFonts w:ascii="Calibri" w:hAnsi="Calibri" w:cs="Calibri"/>
          <w:sz w:val="22"/>
          <w:szCs w:val="22"/>
        </w:rPr>
        <w:t xml:space="preserve">2020 m. spalio 21 d. nutartis administracinėje byloje Nr. </w:t>
      </w:r>
      <w:r w:rsidRPr="00147A06">
        <w:rPr>
          <w:rFonts w:ascii="Calibri" w:hAnsi="Calibri" w:cs="Calibri"/>
          <w:bCs/>
          <w:sz w:val="22"/>
          <w:szCs w:val="22"/>
          <w:lang w:eastAsia="en-US"/>
        </w:rPr>
        <w:t>eA-2896-662/2020</w:t>
      </w:r>
    </w:p>
    <w:p w14:paraId="4127330F" w14:textId="77777777" w:rsidR="00147A06" w:rsidRPr="00147A06" w:rsidRDefault="00147A06" w:rsidP="00147A06">
      <w:pPr>
        <w:rPr>
          <w:rFonts w:ascii="Calibri" w:hAnsi="Calibri" w:cs="Calibri"/>
          <w:bCs/>
          <w:sz w:val="22"/>
          <w:szCs w:val="22"/>
          <w:lang w:eastAsia="en-US"/>
        </w:rPr>
      </w:pPr>
      <w:r w:rsidRPr="00147A06">
        <w:rPr>
          <w:rFonts w:ascii="Calibri" w:hAnsi="Calibri" w:cs="Calibri"/>
          <w:sz w:val="22"/>
          <w:szCs w:val="22"/>
        </w:rPr>
        <w:t xml:space="preserve">Teisminio proceso Nr. </w:t>
      </w:r>
      <w:r w:rsidRPr="00147A06">
        <w:rPr>
          <w:rFonts w:ascii="Calibri" w:hAnsi="Calibri" w:cs="Calibri"/>
          <w:bCs/>
          <w:sz w:val="22"/>
          <w:szCs w:val="22"/>
          <w:lang w:eastAsia="en-US"/>
        </w:rPr>
        <w:t>3-61-3-03796-2018-9</w:t>
      </w:r>
    </w:p>
    <w:p w14:paraId="17DE94E7" w14:textId="77777777" w:rsidR="00147A06" w:rsidRPr="00147A06" w:rsidRDefault="00147A06" w:rsidP="00147A06">
      <w:pPr>
        <w:rPr>
          <w:rFonts w:ascii="Calibri" w:hAnsi="Calibri" w:cs="Calibri"/>
          <w:sz w:val="22"/>
          <w:szCs w:val="22"/>
          <w:lang w:eastAsia="en-US"/>
        </w:rPr>
      </w:pPr>
      <w:r w:rsidRPr="00147A06">
        <w:rPr>
          <w:rFonts w:ascii="Calibri" w:hAnsi="Calibri" w:cs="Calibri"/>
          <w:sz w:val="22"/>
          <w:szCs w:val="22"/>
        </w:rPr>
        <w:t xml:space="preserve">Procesinio sprendimo </w:t>
      </w:r>
      <w:r w:rsidRPr="00147A06">
        <w:rPr>
          <w:rFonts w:ascii="Calibri" w:hAnsi="Calibri" w:cs="Calibri"/>
          <w:sz w:val="22"/>
          <w:szCs w:val="22"/>
          <w:lang w:eastAsia="en-US"/>
        </w:rPr>
        <w:t>kategorija 37.5</w:t>
      </w:r>
    </w:p>
    <w:p w14:paraId="51031C36" w14:textId="5FCAC99B" w:rsidR="00147A06" w:rsidRPr="00147A06" w:rsidRDefault="000F189C" w:rsidP="00147A06">
      <w:pPr>
        <w:rPr>
          <w:rFonts w:ascii="Calibri" w:hAnsi="Calibri" w:cs="Calibri"/>
          <w:sz w:val="22"/>
          <w:szCs w:val="22"/>
          <w:u w:val="single"/>
        </w:rPr>
      </w:pPr>
      <w:hyperlink r:id="rId23" w:history="1">
        <w:r w:rsidR="00147A06" w:rsidRPr="00147A06">
          <w:rPr>
            <w:rStyle w:val="Hyperlink"/>
            <w:rFonts w:ascii="Calibri" w:hAnsi="Calibri" w:cs="Calibri"/>
            <w:sz w:val="22"/>
            <w:szCs w:val="22"/>
          </w:rPr>
          <w:t>Prieiga internete</w:t>
        </w:r>
      </w:hyperlink>
      <w:r w:rsidR="00147A06" w:rsidRPr="00147A06">
        <w:rPr>
          <w:rFonts w:ascii="Calibri" w:hAnsi="Calibri" w:cs="Calibri"/>
          <w:sz w:val="22"/>
          <w:szCs w:val="22"/>
        </w:rPr>
        <w:t xml:space="preserve"> </w:t>
      </w:r>
    </w:p>
    <w:p w14:paraId="38B3856A" w14:textId="77777777" w:rsidR="00147A06" w:rsidRPr="007412F7" w:rsidRDefault="00147A06" w:rsidP="007412F7">
      <w:pPr>
        <w:shd w:val="clear" w:color="auto" w:fill="FFFFFF"/>
        <w:tabs>
          <w:tab w:val="left" w:pos="3119"/>
        </w:tabs>
        <w:ind w:right="-1" w:firstLine="567"/>
        <w:jc w:val="both"/>
        <w:rPr>
          <w:rFonts w:ascii="Calibri" w:hAnsi="Calibri" w:cs="Calibri"/>
          <w:sz w:val="22"/>
          <w:szCs w:val="22"/>
        </w:rPr>
      </w:pPr>
    </w:p>
    <w:p w14:paraId="04F45EA3" w14:textId="77777777" w:rsidR="007412F7" w:rsidRPr="007412F7" w:rsidRDefault="007412F7" w:rsidP="007412F7">
      <w:pPr>
        <w:jc w:val="both"/>
        <w:outlineLvl w:val="0"/>
        <w:rPr>
          <w:rFonts w:ascii="Calibri" w:hAnsi="Calibri"/>
          <w:b/>
          <w:sz w:val="22"/>
          <w:szCs w:val="22"/>
          <w:u w:val="single"/>
        </w:rPr>
      </w:pPr>
      <w:bookmarkStart w:id="77" w:name="_Toc462150005"/>
      <w:bookmarkStart w:id="78" w:name="_Toc58851715"/>
      <w:r w:rsidRPr="007412F7">
        <w:rPr>
          <w:rFonts w:ascii="Calibri" w:hAnsi="Calibri"/>
          <w:b/>
          <w:sz w:val="22"/>
          <w:szCs w:val="22"/>
          <w:u w:val="single"/>
        </w:rPr>
        <w:t>41. Kiti ginčai viešojo administravimo srityje</w:t>
      </w:r>
      <w:bookmarkEnd w:id="77"/>
      <w:bookmarkEnd w:id="78"/>
    </w:p>
    <w:p w14:paraId="2DDF536E" w14:textId="77777777" w:rsidR="007412F7" w:rsidRPr="007412F7" w:rsidRDefault="007412F7" w:rsidP="007412F7">
      <w:pPr>
        <w:jc w:val="both"/>
        <w:rPr>
          <w:rFonts w:ascii="Calibri" w:eastAsia="Calibri" w:hAnsi="Calibri"/>
          <w:bCs/>
          <w:sz w:val="22"/>
          <w:szCs w:val="22"/>
          <w:lang w:eastAsia="en-US"/>
        </w:rPr>
      </w:pPr>
    </w:p>
    <w:p w14:paraId="0E4D172C" w14:textId="77777777" w:rsidR="00F10538" w:rsidRPr="00F10538" w:rsidRDefault="00F10538" w:rsidP="00997097">
      <w:pPr>
        <w:pStyle w:val="Heading2"/>
      </w:pPr>
      <w:bookmarkStart w:id="79" w:name="_Toc58851716"/>
      <w:r w:rsidRPr="00F10538">
        <w:t>Dėl darbo užmokesčio už 1 dieną neišmokėjimo vertinimo diskriminacijos aspektu</w:t>
      </w:r>
      <w:bookmarkEnd w:id="79"/>
      <w:r w:rsidRPr="00F10538">
        <w:t> </w:t>
      </w:r>
    </w:p>
    <w:p w14:paraId="3E7EA9D5" w14:textId="77777777" w:rsidR="00F10538" w:rsidRPr="00F10538" w:rsidRDefault="00F10538" w:rsidP="00F10538">
      <w:pPr>
        <w:jc w:val="both"/>
        <w:textAlignment w:val="baseline"/>
        <w:rPr>
          <w:rFonts w:ascii="Segoe UI" w:hAnsi="Segoe UI" w:cs="Segoe UI"/>
          <w:sz w:val="18"/>
          <w:szCs w:val="18"/>
          <w:lang w:val="en-029" w:eastAsia="en-029"/>
        </w:rPr>
      </w:pPr>
      <w:r w:rsidRPr="00F10538">
        <w:rPr>
          <w:rFonts w:ascii="Calibri" w:hAnsi="Calibri" w:cs="Segoe UI"/>
          <w:sz w:val="22"/>
          <w:szCs w:val="22"/>
          <w:lang w:val="en-029" w:eastAsia="en-029"/>
        </w:rPr>
        <w:t> </w:t>
      </w:r>
    </w:p>
    <w:p w14:paraId="1C4628B9" w14:textId="77777777" w:rsidR="00F10538" w:rsidRPr="00F10538" w:rsidRDefault="00F10538" w:rsidP="00F10538">
      <w:pPr>
        <w:shd w:val="clear" w:color="auto" w:fill="FFFFFF"/>
        <w:ind w:right="-15" w:firstLine="555"/>
        <w:jc w:val="both"/>
        <w:textAlignment w:val="baseline"/>
        <w:rPr>
          <w:lang w:eastAsia="en-029"/>
        </w:rPr>
      </w:pPr>
      <w:r w:rsidRPr="00F10538">
        <w:rPr>
          <w:rFonts w:ascii="Calibri" w:hAnsi="Calibri" w:cs="Segoe UI"/>
          <w:sz w:val="22"/>
          <w:szCs w:val="22"/>
          <w:lang w:eastAsia="en-029"/>
        </w:rPr>
        <w:t>Apžvelgiamoje byloje ginčas kilo dėl Lietuvos administracinių ginčų komisijos (toliau – Komisija) sprendimo, kuriuo panaikinta Lygių galimybių kontrolieriaus (toliau – Kontrolierius, atsakovas) rašto (toliau – Raštas) dalis, kuria atsisakyta ištirti pareiškėjo skundo dalį dėl darbo užmokesčio už vieną darbo dieną neišmokėjimo diskriminuojant pareiškėją dėl negalios, teisėtumo ir pagrįstumo.</w:t>
      </w:r>
      <w:r w:rsidRPr="00F10538">
        <w:rPr>
          <w:lang w:eastAsia="en-029"/>
        </w:rPr>
        <w:t> </w:t>
      </w:r>
    </w:p>
    <w:p w14:paraId="4A94FA9A" w14:textId="77777777" w:rsidR="00F10538" w:rsidRPr="00F10538" w:rsidRDefault="00F10538" w:rsidP="00F10538">
      <w:pPr>
        <w:shd w:val="clear" w:color="auto" w:fill="FFFFFF"/>
        <w:ind w:right="-15" w:firstLine="555"/>
        <w:jc w:val="both"/>
        <w:textAlignment w:val="baseline"/>
        <w:rPr>
          <w:rFonts w:ascii="Calibri" w:hAnsi="Calibri" w:cs="Segoe UI"/>
          <w:sz w:val="22"/>
          <w:szCs w:val="22"/>
          <w:lang w:val="en-029" w:eastAsia="en-029"/>
        </w:rPr>
      </w:pPr>
      <w:r w:rsidRPr="00F10538">
        <w:rPr>
          <w:rFonts w:ascii="Calibri" w:hAnsi="Calibri" w:cs="Segoe UI"/>
          <w:sz w:val="22"/>
          <w:szCs w:val="22"/>
          <w:lang w:eastAsia="en-029"/>
        </w:rPr>
        <w:t>Pirmosios instancijos teismas, konstatavęs, kad Kontrolierius nepagrįstai atsisakė nagrinėti pareiškėjo skundo dalį dėl galimos diskriminacijos, pasireiškusios atlyginimo už 1 darbo dieną neišmokėjimu, atsakovo prašymą atmetė, o Komisijos Sprendimą, kuriuo panaikinta Rašto dalis ir atsakovas įpareigotas iš naujo išnagrinėti pareiškėjo skundo dalį, pripažino pagrįstu ir teisėtu. Atsakovas, nesutikdamas su pirmosios instancijos teismo sprendimu, padavė apeliacinį skundą.</w:t>
      </w:r>
      <w:r w:rsidRPr="00F10538">
        <w:rPr>
          <w:rFonts w:ascii="Calibri" w:hAnsi="Calibri" w:cs="Segoe UI"/>
          <w:sz w:val="22"/>
          <w:szCs w:val="22"/>
          <w:lang w:val="en-029" w:eastAsia="en-029"/>
        </w:rPr>
        <w:t> </w:t>
      </w:r>
    </w:p>
    <w:p w14:paraId="505EC507" w14:textId="77777777" w:rsidR="00F10538" w:rsidRPr="00F10538" w:rsidRDefault="00F10538" w:rsidP="00F10538">
      <w:pPr>
        <w:shd w:val="clear" w:color="auto" w:fill="FFFFFF"/>
        <w:ind w:right="-15" w:firstLine="555"/>
        <w:jc w:val="both"/>
        <w:textAlignment w:val="baseline"/>
        <w:rPr>
          <w:rFonts w:ascii="Calibri" w:hAnsi="Calibri" w:cs="Segoe UI"/>
          <w:sz w:val="22"/>
          <w:szCs w:val="22"/>
          <w:lang w:eastAsia="en-029"/>
        </w:rPr>
      </w:pPr>
      <w:r w:rsidRPr="00F10538">
        <w:rPr>
          <w:rFonts w:ascii="Calibri" w:hAnsi="Calibri" w:cs="Segoe UI"/>
          <w:sz w:val="22"/>
          <w:szCs w:val="22"/>
          <w:lang w:eastAsia="en-029"/>
        </w:rPr>
        <w:t xml:space="preserve">Byloje nustatyta, kad pareiškėjas 2018 m. vasario 23 d. pateikė Lygių galimybių kontrolieriaus tarnybai (toliau – Tarnyba) skundą, kuriame </w:t>
      </w:r>
      <w:r w:rsidRPr="00F10538">
        <w:rPr>
          <w:rFonts w:ascii="Calibri" w:hAnsi="Calibri" w:cs="Segoe UI"/>
          <w:i/>
          <w:iCs/>
          <w:sz w:val="22"/>
          <w:szCs w:val="22"/>
          <w:lang w:eastAsia="en-029"/>
        </w:rPr>
        <w:t xml:space="preserve">inter alia </w:t>
      </w:r>
      <w:r w:rsidRPr="00F10538">
        <w:rPr>
          <w:rFonts w:ascii="Calibri" w:hAnsi="Calibri" w:cs="Segoe UI"/>
          <w:sz w:val="22"/>
          <w:szCs w:val="22"/>
          <w:lang w:eastAsia="en-029"/>
        </w:rPr>
        <w:t xml:space="preserve">nurodė, jog 2016 m. buvo nustatytas sumažintas darbingumo lygis. Dėl šios priežasties darbdavys bandė sudaryti bauginančią aplinką, siekdamas, kad pareiškėjas nutrauktų su juo darbo santykius. Skunde pareiškėjas pažymėjo, kad dėl ilgalaikio gydymo pablogėjo jo finansinė padėtis, tačiau darbdavys, žinodamas apie šią aplinkybę, iki skundo Tarnybai pateikimo dienos nebuvo apskaičiavęs ir išmokėjęs jam darbo užmokesčio už 2017 m. birželio 22 d. Pareiškėjas vertino, kad neišmokėjęs jam priklausančio darbo užmokesčio, darbdavys pažeidė lygių galimybių principą, ir prašė pradėti tyrimą dėl </w:t>
      </w:r>
      <w:r w:rsidRPr="00F10538">
        <w:rPr>
          <w:rFonts w:ascii="Calibri" w:hAnsi="Calibri" w:cs="Segoe UI"/>
          <w:sz w:val="22"/>
          <w:szCs w:val="22"/>
          <w:lang w:eastAsia="en-029"/>
        </w:rPr>
        <w:lastRenderedPageBreak/>
        <w:t>minėto principo pažeidimo Lietuvių kalbos institute dėl pareiškėjo negalios. Pareiškėjas paaiškino, kad darbo užmokestis už 2017 m. birželio 22 d. visiems Lietuvių kalbos instituto darbuotojams, atliekantiems tokį pat ar vienodos vertės darbą, kaip ir pareiškėjas, buvo išmokėtas dar 2017 m. liepos 4 d., todėl darbdavio veiksmai, nuo 2017 m. liepos 4 d. iki 2018 m. vasario 27 d. (kuomet buvo sumokėta atitinkama suma) nesumokant pareiškėjui jam priklausančio darbo užmokesčio, kai darbo užmokestis už analogiško pobūdžio darbą buvo išmokėtas kitiems darbuotojams, vertintini kaip trunkamasis teisės pažeidimas.</w:t>
      </w:r>
    </w:p>
    <w:p w14:paraId="5EB98AA3" w14:textId="77777777" w:rsidR="00F10538" w:rsidRPr="00F10538" w:rsidRDefault="00F10538" w:rsidP="00F10538">
      <w:pPr>
        <w:shd w:val="clear" w:color="auto" w:fill="FFFFFF"/>
        <w:ind w:right="-15" w:firstLine="555"/>
        <w:jc w:val="both"/>
        <w:textAlignment w:val="baseline"/>
        <w:rPr>
          <w:rFonts w:ascii="Segoe UI" w:hAnsi="Segoe UI" w:cs="Segoe UI"/>
          <w:sz w:val="18"/>
          <w:szCs w:val="18"/>
          <w:lang w:val="en-029" w:eastAsia="en-029"/>
        </w:rPr>
      </w:pPr>
      <w:r w:rsidRPr="00F10538">
        <w:rPr>
          <w:rFonts w:ascii="Calibri" w:hAnsi="Calibri" w:cs="Segoe UI"/>
          <w:sz w:val="22"/>
          <w:szCs w:val="22"/>
          <w:lang w:eastAsia="en-029"/>
        </w:rPr>
        <w:t>Pareiškėjui adresuotame Kontrolieriaus Rašte buvo nurodyta, jog pareiškėjo skundas Tarnyboje nenagrinėtinas, kadangi, be kita ko, pareiškėjo skunde išdėstytos aplinkybės dėl darbo užmokesčio neišmokėjimo nėra priskirtinos Kontrolieriaus kompetencijai – Kontrolieriui nėra suteikta teisė įpareigoti darbdavius vykdyti pareigą sumokėti darbuotojams jiems priklausantį darbo užmokestį, taip pat delspinigius už pradelstą mokėti darbo užmokestį laiką. Vadovaujantis DK ši funkcija yra priskirta Darbo ginčų komisijai, taip pat teismui.</w:t>
      </w:r>
      <w:r w:rsidRPr="00F10538">
        <w:rPr>
          <w:rFonts w:ascii="Calibri" w:hAnsi="Calibri" w:cs="Segoe UI"/>
          <w:sz w:val="22"/>
          <w:szCs w:val="22"/>
          <w:lang w:val="en-029" w:eastAsia="en-029"/>
        </w:rPr>
        <w:t> </w:t>
      </w:r>
    </w:p>
    <w:p w14:paraId="0F087B0A" w14:textId="77777777" w:rsidR="00F10538" w:rsidRPr="00F10538" w:rsidRDefault="00F10538" w:rsidP="00F10538">
      <w:pPr>
        <w:shd w:val="clear" w:color="auto" w:fill="FFFFFF"/>
        <w:ind w:right="-15" w:firstLine="555"/>
        <w:jc w:val="both"/>
        <w:textAlignment w:val="baseline"/>
        <w:rPr>
          <w:rFonts w:ascii="Segoe UI" w:hAnsi="Segoe UI" w:cs="Segoe UI"/>
          <w:sz w:val="18"/>
          <w:szCs w:val="18"/>
          <w:lang w:val="en-029" w:eastAsia="en-029"/>
        </w:rPr>
      </w:pPr>
      <w:r w:rsidRPr="00F10538">
        <w:rPr>
          <w:rFonts w:ascii="Calibri" w:hAnsi="Calibri" w:cs="Segoe UI"/>
          <w:sz w:val="22"/>
          <w:szCs w:val="22"/>
          <w:lang w:eastAsia="en-029"/>
        </w:rPr>
        <w:t>Bylą nagrinėjusi LVAT teisėjų kolegija pažymėjo, kad Lygių galimybių įstatymo 27 straipsnio 1 dalyje nustatytas baigtinis sąrašas pagrindų, kada atsisakoma nagrinėti skundą, be kita ko – kai skunde nurodytų aplinkybių tyrimas nepriklauso lygių galimybių kontrolieriaus kompetencijai (27 str. 1 d. 3 p.). Tačiau LVAT, įvertinęs ginčui aktualias Lygių galimybių įstatymo 14 straipsnio 1 dalies, 7 straipsnio bei 24 straipsnio 1 dalies nuostatas, pažymėjo, kad nors atsakovas akcentavo, jog Kontrolierius nenagrinėja darbo ginčų, tačiau iš nurodytų Lygių galimybių įstatymo nuostatų matyti, kad </w:t>
      </w:r>
      <w:r w:rsidRPr="00F10538">
        <w:rPr>
          <w:rFonts w:ascii="Calibri" w:hAnsi="Calibri" w:cs="Segoe UI"/>
          <w:sz w:val="22"/>
          <w:szCs w:val="22"/>
          <w:u w:val="single"/>
          <w:lang w:eastAsia="en-029"/>
        </w:rPr>
        <w:t>Kontrolierius nagrinėja skundus dėl lygių galimybių pažeidimų, be kita ko – padarytų darbdavio</w:t>
      </w:r>
      <w:r w:rsidRPr="00F10538">
        <w:rPr>
          <w:rFonts w:ascii="Calibri" w:hAnsi="Calibri" w:cs="Segoe UI"/>
          <w:sz w:val="22"/>
          <w:szCs w:val="22"/>
          <w:lang w:eastAsia="en-029"/>
        </w:rPr>
        <w:t>.</w:t>
      </w:r>
      <w:r w:rsidRPr="00F10538">
        <w:rPr>
          <w:rFonts w:ascii="Calibri" w:hAnsi="Calibri" w:cs="Segoe UI"/>
          <w:sz w:val="22"/>
          <w:szCs w:val="22"/>
          <w:lang w:val="en-029" w:eastAsia="en-029"/>
        </w:rPr>
        <w:t> </w:t>
      </w:r>
    </w:p>
    <w:p w14:paraId="5364F0B8" w14:textId="77777777" w:rsidR="00F10538" w:rsidRPr="00F10538" w:rsidRDefault="00F10538" w:rsidP="00F10538">
      <w:pPr>
        <w:shd w:val="clear" w:color="auto" w:fill="FFFFFF"/>
        <w:ind w:right="-15" w:firstLine="555"/>
        <w:jc w:val="both"/>
        <w:textAlignment w:val="baseline"/>
        <w:rPr>
          <w:rFonts w:ascii="Segoe UI" w:hAnsi="Segoe UI" w:cs="Segoe UI"/>
          <w:sz w:val="18"/>
          <w:szCs w:val="18"/>
          <w:lang w:val="en-029" w:eastAsia="en-029"/>
        </w:rPr>
      </w:pPr>
      <w:r w:rsidRPr="00F10538">
        <w:rPr>
          <w:rFonts w:ascii="Calibri" w:hAnsi="Calibri" w:cs="Segoe UI"/>
          <w:sz w:val="22"/>
          <w:szCs w:val="22"/>
          <w:lang w:eastAsia="en-029"/>
        </w:rPr>
        <w:t xml:space="preserve">Teisėjų kolegijos vertinimu, nebuvo pagrindo sutikti su atsakovo teiginiu, kad nagrinėtu atveju pareiškėjas savo skunde, į kurį atsakant buvo priimtas ginčijamas Raštas, iš esmės kėlė darbo ginčą. </w:t>
      </w:r>
      <w:r w:rsidRPr="00F10538">
        <w:rPr>
          <w:rFonts w:ascii="Calibri" w:hAnsi="Calibri" w:cs="Segoe UI"/>
          <w:sz w:val="22"/>
          <w:szCs w:val="22"/>
          <w:u w:val="single"/>
          <w:lang w:eastAsia="en-029"/>
        </w:rPr>
        <w:t>Pareiškėjas</w:t>
      </w:r>
      <w:r w:rsidRPr="00F10538">
        <w:rPr>
          <w:rFonts w:ascii="Calibri" w:hAnsi="Calibri" w:cs="Segoe UI"/>
          <w:sz w:val="22"/>
          <w:szCs w:val="22"/>
          <w:lang w:eastAsia="en-029"/>
        </w:rPr>
        <w:t xml:space="preserve"> skunde neprašė taikyti poveikio priemones dėl darbo teisės pažeidimų, tačiau </w:t>
      </w:r>
      <w:r w:rsidRPr="00F10538">
        <w:rPr>
          <w:rFonts w:ascii="Calibri" w:hAnsi="Calibri" w:cs="Segoe UI"/>
          <w:sz w:val="22"/>
          <w:szCs w:val="22"/>
          <w:u w:val="single"/>
          <w:lang w:eastAsia="en-029"/>
        </w:rPr>
        <w:t>prašė pradėti tyrimą būtent dėl lygių galimybių principo pažeidimo negalios pagrindu</w:t>
      </w:r>
      <w:r w:rsidRPr="00F10538">
        <w:rPr>
          <w:rFonts w:ascii="Calibri" w:hAnsi="Calibri" w:cs="Segoe UI"/>
          <w:sz w:val="22"/>
          <w:szCs w:val="22"/>
          <w:lang w:eastAsia="en-029"/>
        </w:rPr>
        <w:t>. Taigi pareiškėjas skundu iš esmės siekė, kad Kontrolierius išnagrinėtų, jo teigimu, buvusią diskriminaciją Lygių galimybių įstatymo prasme. Šiuo aspektu Kontrolierius pareiškėjo skundą galėjo ir turėjo išnagrinėti. Todėl atsakovas Rašte nepagrįstai nurodė, kad pareiškėjo skunde nurodytų aplinkybių tyrimas nepriklauso Kontrolieriaus kompetencijai. </w:t>
      </w:r>
      <w:r w:rsidRPr="00F10538">
        <w:rPr>
          <w:rFonts w:ascii="Calibri" w:hAnsi="Calibri" w:cs="Segoe UI"/>
          <w:sz w:val="22"/>
          <w:szCs w:val="22"/>
          <w:lang w:val="en-029" w:eastAsia="en-029"/>
        </w:rPr>
        <w:t> </w:t>
      </w:r>
    </w:p>
    <w:p w14:paraId="6273A4A0" w14:textId="77777777" w:rsidR="00F10538" w:rsidRPr="00F10538" w:rsidRDefault="00F10538" w:rsidP="00F10538">
      <w:pPr>
        <w:shd w:val="clear" w:color="auto" w:fill="FFFFFF"/>
        <w:ind w:right="-15" w:firstLine="555"/>
        <w:jc w:val="both"/>
        <w:textAlignment w:val="baseline"/>
        <w:rPr>
          <w:rFonts w:ascii="Segoe UI" w:hAnsi="Segoe UI" w:cs="Segoe UI"/>
          <w:sz w:val="18"/>
          <w:szCs w:val="18"/>
          <w:lang w:val="en-029" w:eastAsia="en-029"/>
        </w:rPr>
      </w:pPr>
      <w:r w:rsidRPr="00F10538">
        <w:rPr>
          <w:rFonts w:ascii="Calibri" w:hAnsi="Calibri" w:cs="Segoe UI"/>
          <w:sz w:val="22"/>
          <w:szCs w:val="22"/>
          <w:lang w:eastAsia="en-029"/>
        </w:rPr>
        <w:t>LVAT nutartimi pirmosios instancijos teismo sprendimas paliktas nepakeistas.</w:t>
      </w:r>
      <w:r w:rsidRPr="00F10538">
        <w:rPr>
          <w:rFonts w:ascii="Calibri" w:hAnsi="Calibri" w:cs="Segoe UI"/>
          <w:sz w:val="22"/>
          <w:szCs w:val="22"/>
          <w:lang w:val="en-029" w:eastAsia="en-029"/>
        </w:rPr>
        <w:t> </w:t>
      </w:r>
    </w:p>
    <w:p w14:paraId="097F698B" w14:textId="77777777" w:rsidR="00F10538" w:rsidRPr="00F10538" w:rsidRDefault="00F10538" w:rsidP="00F10538">
      <w:pPr>
        <w:shd w:val="clear" w:color="auto" w:fill="FFFFFF"/>
        <w:ind w:right="-15" w:firstLine="555"/>
        <w:jc w:val="both"/>
        <w:textAlignment w:val="baseline"/>
        <w:rPr>
          <w:rFonts w:ascii="Segoe UI" w:hAnsi="Segoe UI" w:cs="Segoe UI"/>
          <w:sz w:val="18"/>
          <w:szCs w:val="18"/>
          <w:lang w:val="en-029" w:eastAsia="en-029"/>
        </w:rPr>
      </w:pPr>
      <w:r w:rsidRPr="00F10538">
        <w:rPr>
          <w:rFonts w:ascii="Calibri" w:hAnsi="Calibri" w:cs="Segoe UI"/>
          <w:sz w:val="22"/>
          <w:szCs w:val="22"/>
          <w:lang w:val="en-029" w:eastAsia="en-029"/>
        </w:rPr>
        <w:t> </w:t>
      </w:r>
    </w:p>
    <w:p w14:paraId="78009DAF" w14:textId="77777777" w:rsidR="00F10538" w:rsidRPr="00F10538" w:rsidRDefault="00F10538" w:rsidP="00F10538">
      <w:pPr>
        <w:jc w:val="both"/>
        <w:textAlignment w:val="baseline"/>
        <w:rPr>
          <w:rFonts w:ascii="Segoe UI" w:hAnsi="Segoe UI" w:cs="Segoe UI"/>
          <w:sz w:val="18"/>
          <w:szCs w:val="18"/>
          <w:lang w:val="en-029" w:eastAsia="en-029"/>
        </w:rPr>
      </w:pPr>
      <w:r w:rsidRPr="00F10538">
        <w:rPr>
          <w:rFonts w:ascii="Calibri" w:hAnsi="Calibri" w:cs="Segoe UI"/>
          <w:sz w:val="22"/>
          <w:szCs w:val="22"/>
          <w:lang w:eastAsia="en-029"/>
        </w:rPr>
        <w:t>2020 m. spalio 21 d. nutartis administracinėje byloje Nr. A-804-525/2020</w:t>
      </w:r>
      <w:r w:rsidRPr="00F10538">
        <w:rPr>
          <w:rFonts w:ascii="Calibri" w:hAnsi="Calibri" w:cs="Segoe UI"/>
          <w:sz w:val="22"/>
          <w:szCs w:val="22"/>
          <w:lang w:val="en-029" w:eastAsia="en-029"/>
        </w:rPr>
        <w:t> </w:t>
      </w:r>
    </w:p>
    <w:p w14:paraId="4AAE3883" w14:textId="77777777" w:rsidR="00F10538" w:rsidRPr="00F10538" w:rsidRDefault="00F10538" w:rsidP="00F10538">
      <w:pPr>
        <w:jc w:val="both"/>
        <w:textAlignment w:val="baseline"/>
        <w:rPr>
          <w:rFonts w:ascii="Segoe UI" w:hAnsi="Segoe UI" w:cs="Segoe UI"/>
          <w:sz w:val="18"/>
          <w:szCs w:val="18"/>
          <w:lang w:val="en-029" w:eastAsia="en-029"/>
        </w:rPr>
      </w:pPr>
      <w:r w:rsidRPr="00F10538">
        <w:rPr>
          <w:rFonts w:ascii="Calibri" w:hAnsi="Calibri" w:cs="Segoe UI"/>
          <w:sz w:val="22"/>
          <w:szCs w:val="22"/>
          <w:lang w:eastAsia="en-029"/>
        </w:rPr>
        <w:t>Teisminio proceso Nr. 3-61-3-01591-2018-0</w:t>
      </w:r>
      <w:r w:rsidRPr="00F10538">
        <w:rPr>
          <w:rFonts w:ascii="Calibri" w:hAnsi="Calibri" w:cs="Segoe UI"/>
          <w:sz w:val="22"/>
          <w:szCs w:val="22"/>
          <w:lang w:val="en-029" w:eastAsia="en-029"/>
        </w:rPr>
        <w:t> </w:t>
      </w:r>
    </w:p>
    <w:p w14:paraId="18BACFD6" w14:textId="77777777" w:rsidR="00F10538" w:rsidRPr="00F10538" w:rsidRDefault="00F10538" w:rsidP="00F10538">
      <w:pPr>
        <w:jc w:val="both"/>
        <w:textAlignment w:val="baseline"/>
        <w:rPr>
          <w:rFonts w:ascii="Segoe UI" w:hAnsi="Segoe UI" w:cs="Segoe UI"/>
          <w:sz w:val="18"/>
          <w:szCs w:val="18"/>
          <w:lang w:val="en-029" w:eastAsia="en-029"/>
        </w:rPr>
      </w:pPr>
      <w:r w:rsidRPr="00F10538">
        <w:rPr>
          <w:rFonts w:ascii="Calibri" w:hAnsi="Calibri" w:cs="Segoe UI"/>
          <w:sz w:val="22"/>
          <w:szCs w:val="22"/>
          <w:lang w:eastAsia="en-029"/>
        </w:rPr>
        <w:t>Procesinio sprendimo kategorija 41 </w:t>
      </w:r>
      <w:r w:rsidRPr="00F10538">
        <w:rPr>
          <w:rFonts w:ascii="Calibri" w:hAnsi="Calibri" w:cs="Segoe UI"/>
          <w:sz w:val="22"/>
          <w:szCs w:val="22"/>
          <w:lang w:val="en-029" w:eastAsia="en-029"/>
        </w:rPr>
        <w:t> </w:t>
      </w:r>
    </w:p>
    <w:p w14:paraId="51C3FAD7" w14:textId="77777777" w:rsidR="00F10538" w:rsidRPr="00F10538" w:rsidRDefault="000F189C" w:rsidP="00F10538">
      <w:pPr>
        <w:jc w:val="both"/>
        <w:textAlignment w:val="baseline"/>
        <w:rPr>
          <w:rFonts w:ascii="Segoe UI" w:hAnsi="Segoe UI" w:cs="Segoe UI"/>
          <w:sz w:val="18"/>
          <w:szCs w:val="18"/>
          <w:lang w:val="en-029" w:eastAsia="en-029"/>
        </w:rPr>
      </w:pPr>
      <w:hyperlink r:id="rId24" w:tgtFrame="_blank" w:history="1">
        <w:r w:rsidR="00F10538" w:rsidRPr="00F10538">
          <w:rPr>
            <w:rFonts w:ascii="Calibri" w:hAnsi="Calibri" w:cs="Segoe UI"/>
            <w:color w:val="0000FF"/>
            <w:sz w:val="22"/>
            <w:szCs w:val="22"/>
            <w:u w:val="single"/>
            <w:lang w:eastAsia="en-029"/>
          </w:rPr>
          <w:t>Prieiga internete</w:t>
        </w:r>
      </w:hyperlink>
      <w:r w:rsidR="00F10538" w:rsidRPr="00F10538">
        <w:rPr>
          <w:rFonts w:ascii="Calibri" w:hAnsi="Calibri" w:cs="Segoe UI"/>
          <w:sz w:val="22"/>
          <w:szCs w:val="22"/>
          <w:lang w:eastAsia="en-029"/>
        </w:rPr>
        <w:t> </w:t>
      </w:r>
      <w:r w:rsidR="00F10538" w:rsidRPr="00F10538">
        <w:rPr>
          <w:rFonts w:ascii="Calibri" w:hAnsi="Calibri" w:cs="Segoe UI"/>
          <w:sz w:val="22"/>
          <w:szCs w:val="22"/>
          <w:lang w:val="en-029" w:eastAsia="en-029"/>
        </w:rPr>
        <w:t> </w:t>
      </w:r>
    </w:p>
    <w:p w14:paraId="165630E4" w14:textId="145C4305" w:rsidR="6B5B5E0C" w:rsidRPr="00F10538" w:rsidRDefault="00F10538" w:rsidP="00F10538">
      <w:pPr>
        <w:shd w:val="clear" w:color="auto" w:fill="FFFFFF"/>
        <w:ind w:right="-15" w:firstLine="555"/>
        <w:jc w:val="both"/>
        <w:textAlignment w:val="baseline"/>
        <w:rPr>
          <w:rFonts w:ascii="Segoe UI" w:hAnsi="Segoe UI" w:cs="Segoe UI"/>
          <w:sz w:val="18"/>
          <w:szCs w:val="18"/>
          <w:lang w:val="en-029" w:eastAsia="en-029"/>
        </w:rPr>
      </w:pPr>
      <w:r w:rsidRPr="00F10538">
        <w:rPr>
          <w:lang w:val="en-029" w:eastAsia="en-029"/>
        </w:rPr>
        <w:t> </w:t>
      </w:r>
    </w:p>
    <w:p w14:paraId="4A9BA621" w14:textId="77777777" w:rsidR="00417367" w:rsidRPr="00417367" w:rsidRDefault="00417367" w:rsidP="00417367">
      <w:pPr>
        <w:jc w:val="both"/>
        <w:outlineLvl w:val="0"/>
        <w:rPr>
          <w:rFonts w:ascii="Calibri" w:hAnsi="Calibri"/>
          <w:b/>
          <w:sz w:val="22"/>
          <w:szCs w:val="22"/>
          <w:u w:val="single"/>
        </w:rPr>
      </w:pPr>
      <w:bookmarkStart w:id="80" w:name="_Toc519600876"/>
      <w:bookmarkStart w:id="81" w:name="_Toc58851717"/>
      <w:r w:rsidRPr="00417367">
        <w:rPr>
          <w:rFonts w:ascii="Calibri" w:hAnsi="Calibri"/>
          <w:b/>
          <w:sz w:val="22"/>
          <w:szCs w:val="22"/>
          <w:u w:val="single"/>
        </w:rPr>
        <w:t>II. Administracinių bylų teisena</w:t>
      </w:r>
      <w:bookmarkEnd w:id="80"/>
      <w:bookmarkEnd w:id="81"/>
    </w:p>
    <w:p w14:paraId="542FCAFD" w14:textId="03E15EC7" w:rsidR="00417367" w:rsidRDefault="00417367" w:rsidP="007412F7">
      <w:pPr>
        <w:shd w:val="clear" w:color="auto" w:fill="FFFFFF"/>
        <w:tabs>
          <w:tab w:val="left" w:pos="3119"/>
        </w:tabs>
        <w:ind w:right="-1" w:firstLine="567"/>
        <w:jc w:val="both"/>
        <w:rPr>
          <w:rFonts w:ascii="Calibri" w:hAnsi="Calibri" w:cs="Calibri"/>
          <w:sz w:val="22"/>
          <w:szCs w:val="22"/>
        </w:rPr>
      </w:pPr>
    </w:p>
    <w:p w14:paraId="769AFC55" w14:textId="77777777" w:rsidR="00571AF0" w:rsidRPr="00571AF0" w:rsidRDefault="00571AF0" w:rsidP="00571AF0">
      <w:pPr>
        <w:jc w:val="both"/>
        <w:outlineLvl w:val="0"/>
        <w:rPr>
          <w:rFonts w:ascii="Calibri" w:hAnsi="Calibri"/>
          <w:b/>
          <w:sz w:val="22"/>
          <w:szCs w:val="22"/>
          <w:u w:val="single"/>
        </w:rPr>
      </w:pPr>
      <w:bookmarkStart w:id="82" w:name="_Toc462150008"/>
      <w:bookmarkStart w:id="83" w:name="_Toc58851718"/>
      <w:r w:rsidRPr="00571AF0">
        <w:rPr>
          <w:rFonts w:ascii="Calibri" w:hAnsi="Calibri"/>
          <w:b/>
          <w:sz w:val="22"/>
          <w:szCs w:val="22"/>
          <w:u w:val="single"/>
        </w:rPr>
        <w:t>43. Teisė kreiptis į teismą ir jos realizavimas</w:t>
      </w:r>
      <w:bookmarkEnd w:id="82"/>
      <w:bookmarkEnd w:id="83"/>
    </w:p>
    <w:p w14:paraId="2D23BAF0" w14:textId="2AF89CB0" w:rsidR="00417367" w:rsidRPr="00571AF0" w:rsidRDefault="00417367" w:rsidP="00571AF0">
      <w:pPr>
        <w:ind w:firstLine="567"/>
        <w:jc w:val="both"/>
        <w:rPr>
          <w:rFonts w:ascii="Calibri" w:eastAsia="Calibri" w:hAnsi="Calibri"/>
          <w:b/>
          <w:sz w:val="22"/>
          <w:szCs w:val="22"/>
          <w:u w:val="single"/>
          <w:lang w:eastAsia="en-US"/>
        </w:rPr>
      </w:pPr>
      <w:r w:rsidRPr="00571AF0">
        <w:rPr>
          <w:rFonts w:ascii="Calibri" w:eastAsia="Calibri" w:hAnsi="Calibri"/>
          <w:b/>
          <w:sz w:val="22"/>
          <w:szCs w:val="22"/>
          <w:u w:val="single"/>
          <w:lang w:eastAsia="en-US"/>
        </w:rPr>
        <w:t>43.5. Atsisakymas priimti skundą</w:t>
      </w:r>
    </w:p>
    <w:p w14:paraId="4EC759E2" w14:textId="77777777" w:rsidR="00417367" w:rsidRPr="00571AF0" w:rsidRDefault="00417367" w:rsidP="00571AF0">
      <w:pPr>
        <w:tabs>
          <w:tab w:val="left" w:pos="1350"/>
        </w:tabs>
        <w:ind w:left="567" w:firstLine="783"/>
        <w:rPr>
          <w:rFonts w:ascii="Calibri" w:hAnsi="Calibri" w:cs="Calibri"/>
          <w:b/>
          <w:sz w:val="22"/>
          <w:szCs w:val="22"/>
          <w:u w:val="single"/>
        </w:rPr>
      </w:pPr>
      <w:r w:rsidRPr="00571AF0">
        <w:rPr>
          <w:rFonts w:ascii="Calibri" w:hAnsi="Calibri" w:cs="Calibri"/>
          <w:b/>
          <w:sz w:val="22"/>
          <w:szCs w:val="22"/>
          <w:u w:val="single"/>
        </w:rPr>
        <w:t>43.5.1. Kai skundas nenagrinėtinas ABTĮ nustatyta tvarka</w:t>
      </w:r>
    </w:p>
    <w:p w14:paraId="50D024FE" w14:textId="695DFE67" w:rsidR="00417367" w:rsidRPr="00417367" w:rsidRDefault="00417367" w:rsidP="00571AF0">
      <w:pPr>
        <w:tabs>
          <w:tab w:val="left" w:pos="1350"/>
        </w:tabs>
        <w:ind w:left="567" w:firstLine="1323"/>
        <w:jc w:val="both"/>
        <w:rPr>
          <w:rFonts w:ascii="Calibri" w:hAnsi="Calibri" w:cs="Calibri"/>
          <w:b/>
          <w:sz w:val="22"/>
          <w:szCs w:val="22"/>
          <w:u w:val="single"/>
        </w:rPr>
      </w:pPr>
      <w:r w:rsidRPr="00417367">
        <w:rPr>
          <w:rFonts w:ascii="Calibri" w:hAnsi="Calibri" w:cs="Calibri"/>
          <w:b/>
          <w:sz w:val="22"/>
          <w:szCs w:val="22"/>
          <w:u w:val="single"/>
        </w:rPr>
        <w:t>43.5.1.1. Aktai ar veiksmai, dėl kurių negalima pateikti skundo administraciniam teismui</w:t>
      </w:r>
    </w:p>
    <w:p w14:paraId="0DAD5566" w14:textId="28757DE9" w:rsidR="00417367" w:rsidRPr="00417367" w:rsidRDefault="00417367" w:rsidP="00417367">
      <w:pPr>
        <w:shd w:val="clear" w:color="auto" w:fill="FFFFFF"/>
        <w:ind w:right="-619"/>
        <w:jc w:val="both"/>
        <w:textAlignment w:val="baseline"/>
        <w:rPr>
          <w:rFonts w:ascii="Calibri" w:eastAsia="Calibri" w:hAnsi="Calibri" w:cs="Calibri"/>
          <w:i/>
          <w:iCs/>
          <w:sz w:val="22"/>
          <w:szCs w:val="22"/>
          <w:shd w:val="clear" w:color="auto" w:fill="FFFFFF"/>
          <w:lang w:eastAsia="en-GB"/>
        </w:rPr>
      </w:pPr>
    </w:p>
    <w:p w14:paraId="4DB1E3E6" w14:textId="6B6E60CF" w:rsidR="00417367" w:rsidRPr="00417367" w:rsidRDefault="00417367" w:rsidP="00417367">
      <w:pPr>
        <w:pStyle w:val="Heading2"/>
      </w:pPr>
      <w:bookmarkStart w:id="84" w:name="_Toc58851719"/>
      <w:r w:rsidRPr="00417367">
        <w:t>Dėl Vyriausiosios tarnybinės etikos komisijos sprendimo nepradėti tyrimo pagal pranešimą apskundimo</w:t>
      </w:r>
      <w:bookmarkEnd w:id="84"/>
      <w:r w:rsidRPr="00417367">
        <w:t xml:space="preserve"> </w:t>
      </w:r>
    </w:p>
    <w:p w14:paraId="3C80D116" w14:textId="77777777" w:rsidR="00417367" w:rsidRPr="00417367" w:rsidRDefault="00417367" w:rsidP="00417367">
      <w:pPr>
        <w:shd w:val="clear" w:color="auto" w:fill="FFFFFF"/>
        <w:ind w:right="-619" w:firstLine="567"/>
        <w:jc w:val="both"/>
        <w:textAlignment w:val="baseline"/>
        <w:rPr>
          <w:rFonts w:ascii="Calibri" w:eastAsia="Calibri" w:hAnsi="Calibri" w:cs="Calibri"/>
          <w:i/>
          <w:iCs/>
          <w:sz w:val="22"/>
          <w:szCs w:val="22"/>
          <w:shd w:val="clear" w:color="auto" w:fill="FFFFFF"/>
          <w:lang w:eastAsia="en-GB"/>
        </w:rPr>
      </w:pPr>
    </w:p>
    <w:p w14:paraId="34E20D5D" w14:textId="2AD838A8" w:rsidR="00417367" w:rsidRPr="00417367" w:rsidRDefault="00417367" w:rsidP="00417367">
      <w:pPr>
        <w:shd w:val="clear" w:color="auto" w:fill="FFFFFF"/>
        <w:tabs>
          <w:tab w:val="left" w:pos="3119"/>
        </w:tabs>
        <w:ind w:right="-1" w:firstLine="567"/>
        <w:jc w:val="both"/>
        <w:rPr>
          <w:rFonts w:ascii="Calibri" w:hAnsi="Calibri" w:cs="Calibri"/>
          <w:sz w:val="22"/>
          <w:szCs w:val="22"/>
        </w:rPr>
      </w:pPr>
      <w:r w:rsidRPr="00417367">
        <w:rPr>
          <w:rFonts w:ascii="Calibri" w:hAnsi="Calibri" w:cs="Calibri"/>
          <w:sz w:val="22"/>
          <w:szCs w:val="22"/>
        </w:rPr>
        <w:t>Bylos dalykas – pirmosios instancijos teismo nutarties, kuria atsisakyta priimti pareiškėjo skundą dėl Vyriausiosios tarnybinės etikos komisijos (toliau – VTEK) 2020 m. rugpjūčio 26 d. raštu „Dėl Jūsų pranešimo“ priimto sprendimo panaikinimo, pagrįstumas ir teisėtumas.</w:t>
      </w:r>
    </w:p>
    <w:p w14:paraId="5F27707D" w14:textId="45A20270" w:rsidR="00417367" w:rsidRPr="00417367" w:rsidRDefault="00417367" w:rsidP="3E77553B">
      <w:pPr>
        <w:shd w:val="clear" w:color="auto" w:fill="FFFFFF" w:themeFill="background1"/>
        <w:tabs>
          <w:tab w:val="left" w:pos="3119"/>
        </w:tabs>
        <w:ind w:right="-1" w:firstLine="567"/>
        <w:jc w:val="both"/>
        <w:rPr>
          <w:rFonts w:ascii="Calibri" w:hAnsi="Calibri" w:cs="Calibri"/>
          <w:sz w:val="22"/>
          <w:szCs w:val="22"/>
        </w:rPr>
      </w:pPr>
      <w:r w:rsidRPr="3E77553B">
        <w:rPr>
          <w:rFonts w:ascii="Calibri" w:hAnsi="Calibri" w:cs="Calibri"/>
          <w:sz w:val="22"/>
          <w:szCs w:val="22"/>
        </w:rPr>
        <w:t xml:space="preserve">Pirmosios instancijos teismas, atsisakydamas priimti skundą kaip nenagrinėtiną teismų ABTĮ 33 straipsnio 2 dalies 1 punktu, skundžiamoje nutartyje nustatė, jog pareiškėjas kreipėsi į VTEK prašydamas įvertinti Seimo </w:t>
      </w:r>
      <w:r w:rsidR="13D40AEC" w:rsidRPr="3E77553B">
        <w:rPr>
          <w:rFonts w:ascii="Calibri" w:hAnsi="Calibri" w:cs="Calibri"/>
          <w:sz w:val="22"/>
          <w:szCs w:val="22"/>
        </w:rPr>
        <w:t>k</w:t>
      </w:r>
      <w:r w:rsidRPr="3E77553B">
        <w:rPr>
          <w:rFonts w:ascii="Calibri" w:hAnsi="Calibri" w:cs="Calibri"/>
          <w:sz w:val="22"/>
          <w:szCs w:val="22"/>
        </w:rPr>
        <w:t xml:space="preserve">ontrolierės M. V. veiksmus </w:t>
      </w:r>
      <w:hyperlink r:id="rId25">
        <w:r w:rsidRPr="3E77553B">
          <w:rPr>
            <w:rFonts w:ascii="Calibri" w:hAnsi="Calibri" w:cs="Calibri"/>
            <w:sz w:val="22"/>
            <w:szCs w:val="22"/>
          </w:rPr>
          <w:t>Viešųjų ir privačių interesų derinimo valstybinėje tarnyboje įstatymo</w:t>
        </w:r>
      </w:hyperlink>
      <w:bookmarkStart w:id="85" w:name="nb76be051-2ca7-4d77-80eb-30d9ff8253d3"/>
      <w:bookmarkStart w:id="86" w:name="pnb76be051-2ca7-4d77-80eb-30d9ff8253d3"/>
      <w:bookmarkEnd w:id="85"/>
      <w:bookmarkEnd w:id="86"/>
      <w:r w:rsidRPr="3E77553B">
        <w:rPr>
          <w:rFonts w:ascii="Calibri" w:hAnsi="Calibri" w:cs="Calibri"/>
          <w:sz w:val="22"/>
          <w:szCs w:val="22"/>
        </w:rPr>
        <w:t> nuostatų prasme, tačiau VTEK nusprendė tyrimo nepradėti. Teismas konstatavo, kad VTEK 2020 m. rugpjūčio 26 d. raštas, kuriuo pareiškėjas informuotas apie sprendimą nepradėti tyrimo, yra informacinio pobūdžio, jame pateikti tik atsisakymo nagrinėti pranešimą motyvai, jokie privalomojo pobūdžio patvarkymai nėra nurodyti.</w:t>
      </w:r>
      <w:r w:rsidR="00571AF0" w:rsidRPr="3E77553B">
        <w:rPr>
          <w:rFonts w:ascii="Calibri" w:hAnsi="Calibri" w:cs="Calibri"/>
          <w:sz w:val="22"/>
          <w:szCs w:val="22"/>
        </w:rPr>
        <w:t xml:space="preserve"> </w:t>
      </w:r>
      <w:r w:rsidRPr="3E77553B">
        <w:rPr>
          <w:rFonts w:ascii="Calibri" w:hAnsi="Calibri" w:cs="Calibri"/>
          <w:sz w:val="22"/>
          <w:szCs w:val="22"/>
        </w:rPr>
        <w:t>Atsižvelgiant į tai, teismas padarė išvadą, kad toks raštas negali būti administracinės bylos dalyku.</w:t>
      </w:r>
    </w:p>
    <w:p w14:paraId="07136519" w14:textId="021DB754" w:rsidR="00417367" w:rsidRPr="00417367" w:rsidRDefault="00417367" w:rsidP="00417367">
      <w:pPr>
        <w:shd w:val="clear" w:color="auto" w:fill="FFFFFF"/>
        <w:tabs>
          <w:tab w:val="left" w:pos="3119"/>
        </w:tabs>
        <w:ind w:right="-1" w:firstLine="567"/>
        <w:jc w:val="both"/>
        <w:rPr>
          <w:rFonts w:ascii="Calibri" w:eastAsia="SimSun" w:hAnsi="Calibri" w:cs="Calibri"/>
          <w:sz w:val="22"/>
          <w:szCs w:val="22"/>
          <w:lang w:eastAsia="en-GB"/>
        </w:rPr>
      </w:pPr>
      <w:r w:rsidRPr="00417367">
        <w:rPr>
          <w:rFonts w:ascii="Calibri" w:hAnsi="Calibri" w:cs="Calibri"/>
          <w:sz w:val="22"/>
          <w:szCs w:val="22"/>
        </w:rPr>
        <w:lastRenderedPageBreak/>
        <w:t xml:space="preserve">Teisėjų kolegija, nagrinėdama pareiškėjo atskirąjį skundą, nurodė, jog pagal </w:t>
      </w:r>
      <w:hyperlink r:id="rId26" w:tgtFrame="_blank" w:tooltip="Lietuvos Respublikos Vyriausiosios tarnybinės etikos komisijos įstatymas" w:history="1">
        <w:r w:rsidRPr="00417367">
          <w:rPr>
            <w:rFonts w:ascii="Calibri" w:hAnsi="Calibri" w:cs="Calibri"/>
            <w:sz w:val="22"/>
            <w:szCs w:val="22"/>
          </w:rPr>
          <w:t>Vyriausiosios tarnybinės etikos komisijos įstatymo</w:t>
        </w:r>
      </w:hyperlink>
      <w:bookmarkStart w:id="87" w:name="ne9476551-81b8-43ee-b3bc-ed33a2b06d31"/>
      <w:bookmarkStart w:id="88" w:name="pne9476551-81b8-43ee-b3bc-ed33a2b06d31"/>
      <w:bookmarkEnd w:id="87"/>
      <w:bookmarkEnd w:id="88"/>
      <w:r w:rsidRPr="00417367">
        <w:rPr>
          <w:rFonts w:ascii="Calibri" w:hAnsi="Calibri" w:cs="Calibri"/>
          <w:sz w:val="22"/>
          <w:szCs w:val="22"/>
        </w:rPr>
        <w:t> </w:t>
      </w:r>
      <w:hyperlink r:id="rId27" w:tgtFrame="_blank" w:tooltip="VTEK įgaliojimai" w:history="1">
        <w:r w:rsidRPr="00417367">
          <w:rPr>
            <w:rFonts w:ascii="Calibri" w:hAnsi="Calibri" w:cs="Calibri"/>
            <w:sz w:val="22"/>
            <w:szCs w:val="22"/>
          </w:rPr>
          <w:t>17</w:t>
        </w:r>
      </w:hyperlink>
      <w:bookmarkStart w:id="89" w:name="nd444bf44-1e80-4ae6-98bc-f41aa0619a73"/>
      <w:bookmarkStart w:id="90" w:name="pnd444bf44-1e80-4ae6-98bc-f41aa0619a73"/>
      <w:bookmarkEnd w:id="89"/>
      <w:bookmarkEnd w:id="90"/>
      <w:r w:rsidRPr="00417367">
        <w:rPr>
          <w:rFonts w:ascii="Calibri" w:hAnsi="Calibri" w:cs="Calibri"/>
          <w:sz w:val="22"/>
          <w:szCs w:val="22"/>
        </w:rPr>
        <w:t> straipsnio 2 dalį VTEK tiria asmenų pranešimus, skundus ir prašymus dėl deklaruojančių asmenų (išskyrus Seimo narius) veikos atitikties</w:t>
      </w:r>
      <w:r w:rsidR="00571AF0">
        <w:rPr>
          <w:rFonts w:ascii="Calibri" w:hAnsi="Calibri" w:cs="Calibri"/>
          <w:sz w:val="22"/>
          <w:szCs w:val="22"/>
        </w:rPr>
        <w:t xml:space="preserve"> </w:t>
      </w:r>
      <w:hyperlink r:id="rId28" w:tgtFrame="_blank" w:tooltip="Lietuvos Respublikos viešųjų ir privačių interesų derinimo įstatymas" w:history="1">
        <w:r w:rsidRPr="00417367">
          <w:rPr>
            <w:rFonts w:ascii="Calibri" w:hAnsi="Calibri" w:cs="Calibri"/>
            <w:sz w:val="22"/>
            <w:szCs w:val="22"/>
          </w:rPr>
          <w:t>Viešųjų ir privačių interesų derinimo valstybinėje tarnyboje įstatymo</w:t>
        </w:r>
      </w:hyperlink>
      <w:bookmarkStart w:id="91" w:name="n8a87a5d4-e9fe-41f8-9d40-fe638152772b"/>
      <w:bookmarkStart w:id="92" w:name="pn8a87a5d4-e9fe-41f8-9d40-fe638152772b"/>
      <w:bookmarkStart w:id="93" w:name="n996cd280-89b8-4c42-90eb-e6c7e0c4d5b0"/>
      <w:bookmarkEnd w:id="91"/>
      <w:bookmarkEnd w:id="92"/>
      <w:r w:rsidRPr="00417367">
        <w:rPr>
          <w:rFonts w:ascii="Calibri" w:hAnsi="Calibri" w:cs="Calibri"/>
          <w:sz w:val="22"/>
          <w:szCs w:val="22"/>
        </w:rPr>
        <w:t> nuostatoms.</w:t>
      </w:r>
      <w:r w:rsidR="00571AF0">
        <w:rPr>
          <w:rFonts w:ascii="Calibri" w:hAnsi="Calibri" w:cs="Calibri"/>
          <w:sz w:val="22"/>
          <w:szCs w:val="22"/>
        </w:rPr>
        <w:t xml:space="preserve"> </w:t>
      </w:r>
      <w:r w:rsidRPr="00417367">
        <w:rPr>
          <w:rFonts w:ascii="Calibri" w:hAnsi="Calibri" w:cs="Calibri"/>
          <w:sz w:val="22"/>
          <w:szCs w:val="22"/>
        </w:rPr>
        <w:t>To paties įstatymo 23 straipsnio 1 dalyje nustatytos aplinkybės, dėl kurių VTEK priima motyvuotą</w:t>
      </w:r>
      <w:r w:rsidRPr="00417367">
        <w:rPr>
          <w:rFonts w:ascii="Calibri" w:eastAsia="SimSun" w:hAnsi="Calibri" w:cs="Calibri"/>
          <w:sz w:val="22"/>
          <w:szCs w:val="22"/>
          <w:lang w:eastAsia="en-GB"/>
        </w:rPr>
        <w:t xml:space="preserve"> sprendimą nepradėti tyrimo, o </w:t>
      </w:r>
      <w:bookmarkEnd w:id="93"/>
      <w:r w:rsidRPr="00417367">
        <w:fldChar w:fldCharType="begin"/>
      </w:r>
      <w:r w:rsidRPr="00417367">
        <w:instrText xml:space="preserve"> HYPERLINK "http://www.infolex.lt/tp/1938232" \o "VTEK sprendimų apskundimas" \t "_blank" </w:instrText>
      </w:r>
      <w:r w:rsidRPr="00417367">
        <w:fldChar w:fldCharType="separate"/>
      </w:r>
      <w:r w:rsidRPr="00417367">
        <w:rPr>
          <w:rFonts w:ascii="Calibri" w:eastAsia="SimSun" w:hAnsi="Calibri" w:cs="Calibri"/>
          <w:sz w:val="22"/>
          <w:szCs w:val="22"/>
          <w:lang w:eastAsia="en-GB"/>
        </w:rPr>
        <w:t>32</w:t>
      </w:r>
      <w:r w:rsidRPr="00417367">
        <w:fldChar w:fldCharType="end"/>
      </w:r>
      <w:bookmarkStart w:id="94" w:name="n82e41b64-22a0-4a90-b060-4a6c39ebb21f"/>
      <w:bookmarkStart w:id="95" w:name="pn82e41b64-22a0-4a90-b060-4a6c39ebb21f"/>
      <w:bookmarkEnd w:id="94"/>
      <w:bookmarkEnd w:id="95"/>
      <w:r w:rsidRPr="00417367">
        <w:rPr>
          <w:rFonts w:ascii="Calibri" w:eastAsia="SimSun" w:hAnsi="Calibri" w:cs="Calibri"/>
          <w:sz w:val="22"/>
          <w:szCs w:val="22"/>
          <w:lang w:eastAsia="en-GB"/>
        </w:rPr>
        <w:t xml:space="preserve"> straipsnio 1 dalyje nustatyta, kad </w:t>
      </w:r>
      <w:r w:rsidRPr="00417367">
        <w:rPr>
          <w:rFonts w:ascii="Calibri" w:eastAsia="SimSun" w:hAnsi="Calibri" w:cs="Calibri"/>
          <w:sz w:val="22"/>
          <w:szCs w:val="22"/>
          <w:u w:val="single"/>
          <w:lang w:eastAsia="en-GB"/>
        </w:rPr>
        <w:t>VTEK sprendimai gali būti skundžiami Vilniaus apygardos administraciniam teismui per vieną mėnesį nuo sprendimo paskelbimo arba įteikimo suinteresuotam asmeniui dienos</w:t>
      </w:r>
      <w:r w:rsidRPr="00417367">
        <w:rPr>
          <w:rFonts w:ascii="Calibri" w:eastAsia="SimSun" w:hAnsi="Calibri" w:cs="Calibri"/>
          <w:sz w:val="22"/>
          <w:szCs w:val="22"/>
          <w:lang w:eastAsia="en-GB"/>
        </w:rPr>
        <w:t>. Atsižvelgiant į tai, teisėjų kolegija konstatavo, kad pirmosios instancijos teismas nepagrįstai atsisakė priimti pareiškėjo skundą kaip nenagrinėtiną teisme</w:t>
      </w:r>
      <w:r w:rsidR="00571AF0">
        <w:rPr>
          <w:rFonts w:ascii="Calibri" w:eastAsia="SimSun" w:hAnsi="Calibri" w:cs="Calibri"/>
          <w:sz w:val="22"/>
          <w:szCs w:val="22"/>
          <w:lang w:eastAsia="en-GB"/>
        </w:rPr>
        <w:t xml:space="preserve"> </w:t>
      </w:r>
      <w:hyperlink r:id="rId29" w:tgtFrame="_blank" w:tooltip="Lietuvos Respublikos administracinių bylų teisenos įstatymas" w:history="1">
        <w:r w:rsidRPr="00417367">
          <w:rPr>
            <w:rFonts w:ascii="Calibri" w:eastAsia="SimSun" w:hAnsi="Calibri" w:cs="Calibri"/>
            <w:sz w:val="22"/>
            <w:szCs w:val="22"/>
            <w:lang w:eastAsia="en-GB"/>
          </w:rPr>
          <w:t>ABTĮ</w:t>
        </w:r>
      </w:hyperlink>
      <w:bookmarkStart w:id="96" w:name="n03ae9aa5-fe5b-4a13-8d8d-4799def0065f"/>
      <w:bookmarkStart w:id="97" w:name="pn03ae9aa5-fe5b-4a13-8d8d-4799def0065f"/>
      <w:bookmarkEnd w:id="96"/>
      <w:bookmarkEnd w:id="97"/>
      <w:r w:rsidRPr="00417367">
        <w:rPr>
          <w:rFonts w:ascii="Calibri" w:eastAsia="SimSun" w:hAnsi="Calibri" w:cs="Calibri"/>
          <w:sz w:val="22"/>
          <w:szCs w:val="22"/>
          <w:lang w:eastAsia="en-GB"/>
        </w:rPr>
        <w:t> nustatyta tvarka.</w:t>
      </w:r>
    </w:p>
    <w:p w14:paraId="0E1A22F6" w14:textId="77777777" w:rsidR="00417367" w:rsidRPr="00417367" w:rsidRDefault="00417367" w:rsidP="00417367">
      <w:pPr>
        <w:shd w:val="clear" w:color="auto" w:fill="FFFFFF"/>
        <w:tabs>
          <w:tab w:val="left" w:pos="3119"/>
        </w:tabs>
        <w:ind w:right="-1" w:firstLine="567"/>
        <w:jc w:val="both"/>
        <w:rPr>
          <w:rFonts w:ascii="Calibri" w:hAnsi="Calibri" w:cs="Calibri"/>
          <w:sz w:val="22"/>
          <w:szCs w:val="22"/>
        </w:rPr>
      </w:pPr>
      <w:r w:rsidRPr="00417367">
        <w:rPr>
          <w:rFonts w:ascii="Calibri" w:hAnsi="Calibri" w:cs="Calibri"/>
          <w:sz w:val="22"/>
          <w:szCs w:val="22"/>
        </w:rPr>
        <w:t>Remdamasi tuo, kas išdėstyta, teisėjų kolegija atskirąjį skundą tenkino ir pirmosios instancijos teismo nutartį panaikino, o pareiškėjo skundo priėmimo klausimą perdavė pirmosios instancijos teismui nagrinėti iš naujo.</w:t>
      </w:r>
    </w:p>
    <w:p w14:paraId="1BBBF7A9" w14:textId="77777777" w:rsidR="00417367" w:rsidRPr="00417367" w:rsidRDefault="00417367" w:rsidP="00417367">
      <w:pPr>
        <w:shd w:val="clear" w:color="auto" w:fill="FFFFFF"/>
        <w:tabs>
          <w:tab w:val="left" w:pos="3119"/>
        </w:tabs>
        <w:ind w:right="-1" w:firstLine="567"/>
        <w:jc w:val="both"/>
        <w:rPr>
          <w:rFonts w:ascii="Calibri" w:hAnsi="Calibri" w:cs="Calibri"/>
          <w:sz w:val="22"/>
          <w:szCs w:val="22"/>
        </w:rPr>
      </w:pPr>
    </w:p>
    <w:p w14:paraId="1518BC07" w14:textId="77777777" w:rsidR="00417367" w:rsidRPr="00417367" w:rsidRDefault="00417367" w:rsidP="00417367">
      <w:pPr>
        <w:rPr>
          <w:rFonts w:ascii="Calibri" w:hAnsi="Calibri"/>
          <w:sz w:val="22"/>
          <w:szCs w:val="22"/>
          <w:lang w:val="en-GB" w:eastAsia="en-GB"/>
        </w:rPr>
      </w:pPr>
      <w:r w:rsidRPr="00417367">
        <w:rPr>
          <w:rFonts w:ascii="Calibri" w:eastAsia="SimSun" w:hAnsi="Calibri"/>
          <w:sz w:val="22"/>
          <w:szCs w:val="22"/>
          <w:lang w:eastAsia="en-GB"/>
        </w:rPr>
        <w:t xml:space="preserve">2020 m. spalio </w:t>
      </w:r>
      <w:r w:rsidRPr="00417367">
        <w:rPr>
          <w:rFonts w:ascii="Calibri" w:eastAsia="SimSun" w:hAnsi="Calibri"/>
          <w:sz w:val="22"/>
          <w:szCs w:val="22"/>
          <w:lang w:val="en-US" w:eastAsia="en-GB"/>
        </w:rPr>
        <w:t xml:space="preserve">28 </w:t>
      </w:r>
      <w:r w:rsidRPr="00417367">
        <w:rPr>
          <w:rFonts w:ascii="Calibri" w:eastAsia="SimSun" w:hAnsi="Calibri"/>
          <w:sz w:val="22"/>
          <w:szCs w:val="22"/>
          <w:lang w:eastAsia="en-GB"/>
        </w:rPr>
        <w:t>d. nutartis administracinėje byloje </w:t>
      </w:r>
      <w:r w:rsidRPr="00417367">
        <w:rPr>
          <w:rFonts w:ascii="Calibri" w:hAnsi="Calibri" w:cs="Arial"/>
          <w:color w:val="000000"/>
          <w:sz w:val="22"/>
          <w:szCs w:val="22"/>
          <w:shd w:val="clear" w:color="auto" w:fill="FFFFFF"/>
          <w:lang w:eastAsia="en-GB"/>
        </w:rPr>
        <w:t>Nr. eAS-697-442/2020</w:t>
      </w:r>
    </w:p>
    <w:p w14:paraId="70F223C5" w14:textId="77777777" w:rsidR="00417367" w:rsidRPr="00417367" w:rsidRDefault="00417367" w:rsidP="00417367">
      <w:pPr>
        <w:rPr>
          <w:rFonts w:ascii="Calibri" w:hAnsi="Calibri"/>
          <w:sz w:val="22"/>
          <w:szCs w:val="22"/>
          <w:lang w:val="en-GB" w:eastAsia="en-GB"/>
        </w:rPr>
      </w:pPr>
      <w:r w:rsidRPr="00417367">
        <w:rPr>
          <w:rFonts w:ascii="Calibri" w:eastAsia="SimSun" w:hAnsi="Calibri"/>
          <w:sz w:val="22"/>
          <w:szCs w:val="22"/>
          <w:lang w:eastAsia="en-GB"/>
        </w:rPr>
        <w:t xml:space="preserve">Teisminio proceso </w:t>
      </w:r>
      <w:r w:rsidRPr="00417367">
        <w:rPr>
          <w:rFonts w:ascii="Calibri" w:hAnsi="Calibri" w:cs="Arial"/>
          <w:color w:val="000000"/>
          <w:sz w:val="22"/>
          <w:szCs w:val="22"/>
          <w:shd w:val="clear" w:color="auto" w:fill="FFFFFF"/>
          <w:lang w:eastAsia="en-GB"/>
        </w:rPr>
        <w:t>Nr. 3-61-3-03107-2020-8</w:t>
      </w:r>
    </w:p>
    <w:p w14:paraId="1453247F" w14:textId="77777777" w:rsidR="00417367" w:rsidRPr="00417367" w:rsidRDefault="00417367" w:rsidP="00417367">
      <w:pPr>
        <w:rPr>
          <w:rFonts w:ascii="Calibri" w:eastAsia="SimSun" w:hAnsi="Calibri" w:cs="Calibri"/>
          <w:sz w:val="22"/>
          <w:szCs w:val="22"/>
          <w:lang w:val="en-US" w:eastAsia="en-GB"/>
        </w:rPr>
      </w:pPr>
      <w:r w:rsidRPr="00417367">
        <w:rPr>
          <w:rFonts w:ascii="Calibri" w:eastAsia="SimSun" w:hAnsi="Calibri"/>
          <w:sz w:val="22"/>
          <w:szCs w:val="22"/>
          <w:lang w:eastAsia="en-GB"/>
        </w:rPr>
        <w:t xml:space="preserve">Procesinio sprendimo kategorija </w:t>
      </w:r>
      <w:r w:rsidRPr="00417367">
        <w:rPr>
          <w:rFonts w:ascii="Calibri" w:eastAsia="SimSun" w:hAnsi="Calibri" w:cs="Calibri"/>
          <w:sz w:val="22"/>
          <w:szCs w:val="22"/>
          <w:lang w:eastAsia="en-GB"/>
        </w:rPr>
        <w:t>43.5.1.</w:t>
      </w:r>
      <w:r w:rsidRPr="00417367">
        <w:rPr>
          <w:rFonts w:ascii="Calibri" w:eastAsia="SimSun" w:hAnsi="Calibri" w:cs="Calibri"/>
          <w:sz w:val="22"/>
          <w:szCs w:val="22"/>
          <w:lang w:val="en-US" w:eastAsia="en-GB"/>
        </w:rPr>
        <w:t>1</w:t>
      </w:r>
    </w:p>
    <w:p w14:paraId="54ABCD37" w14:textId="77777777" w:rsidR="00417367" w:rsidRPr="00417367" w:rsidRDefault="000F189C" w:rsidP="00417367">
      <w:pPr>
        <w:ind w:right="-619"/>
        <w:jc w:val="both"/>
        <w:textAlignment w:val="baseline"/>
        <w:rPr>
          <w:rFonts w:eastAsia="Calibri" w:cs="Arial"/>
          <w:color w:val="000000"/>
          <w:lang w:eastAsia="en-GB"/>
        </w:rPr>
      </w:pPr>
      <w:hyperlink r:id="rId30" w:history="1">
        <w:r w:rsidR="00417367" w:rsidRPr="00417367">
          <w:rPr>
            <w:rFonts w:ascii="Calibri" w:eastAsia="Calibri" w:hAnsi="Calibri" w:cs="Arial"/>
            <w:color w:val="0000FF"/>
            <w:sz w:val="22"/>
            <w:szCs w:val="22"/>
            <w:u w:val="single"/>
            <w:lang w:eastAsia="en-GB"/>
          </w:rPr>
          <w:t>Prieiga internete</w:t>
        </w:r>
      </w:hyperlink>
    </w:p>
    <w:p w14:paraId="20EA748B" w14:textId="77777777" w:rsidR="00C931D3" w:rsidRPr="00997097" w:rsidRDefault="00C931D3" w:rsidP="00997097"/>
    <w:p w14:paraId="29CE9542" w14:textId="77777777" w:rsidR="00417367" w:rsidRPr="00571AF0" w:rsidRDefault="00417367" w:rsidP="00571AF0">
      <w:pPr>
        <w:pStyle w:val="Heading2"/>
      </w:pPr>
      <w:bookmarkStart w:id="98" w:name="_Toc58851720"/>
      <w:r w:rsidRPr="00571AF0">
        <w:t>Dėl Nemokumo administratorių rūmų organų sprendimų apskundimo</w:t>
      </w:r>
      <w:bookmarkEnd w:id="98"/>
    </w:p>
    <w:p w14:paraId="7540BFA4" w14:textId="77777777" w:rsidR="00417367" w:rsidRPr="00571AF0" w:rsidRDefault="00417367" w:rsidP="00571AF0">
      <w:pPr>
        <w:shd w:val="clear" w:color="auto" w:fill="FFFFFF"/>
        <w:tabs>
          <w:tab w:val="left" w:pos="3119"/>
        </w:tabs>
        <w:ind w:right="-1" w:firstLine="567"/>
        <w:jc w:val="both"/>
        <w:rPr>
          <w:rFonts w:ascii="Calibri" w:hAnsi="Calibri" w:cs="Calibri"/>
          <w:sz w:val="22"/>
          <w:szCs w:val="22"/>
        </w:rPr>
      </w:pPr>
    </w:p>
    <w:p w14:paraId="5004FF66" w14:textId="6D7C6ECB" w:rsidR="00417367" w:rsidRPr="00571AF0" w:rsidRDefault="00417367" w:rsidP="00571AF0">
      <w:pPr>
        <w:shd w:val="clear" w:color="auto" w:fill="FFFFFF"/>
        <w:tabs>
          <w:tab w:val="left" w:pos="3119"/>
        </w:tabs>
        <w:ind w:right="-1" w:firstLine="567"/>
        <w:jc w:val="both"/>
        <w:rPr>
          <w:rFonts w:ascii="Calibri" w:hAnsi="Calibri" w:cs="Calibri"/>
          <w:sz w:val="22"/>
          <w:szCs w:val="22"/>
        </w:rPr>
      </w:pPr>
      <w:r w:rsidRPr="00571AF0">
        <w:rPr>
          <w:rFonts w:ascii="Calibri" w:hAnsi="Calibri" w:cs="Calibri"/>
          <w:sz w:val="22"/>
          <w:szCs w:val="22"/>
        </w:rPr>
        <w:t>Bylos dalykas –</w:t>
      </w:r>
      <w:r w:rsidR="00F80275">
        <w:rPr>
          <w:rFonts w:ascii="Calibri" w:hAnsi="Calibri" w:cs="Calibri"/>
          <w:sz w:val="22"/>
          <w:szCs w:val="22"/>
        </w:rPr>
        <w:t xml:space="preserve"> </w:t>
      </w:r>
      <w:r w:rsidRPr="00571AF0">
        <w:rPr>
          <w:rFonts w:ascii="Calibri" w:hAnsi="Calibri" w:cs="Calibri"/>
          <w:sz w:val="22"/>
          <w:szCs w:val="22"/>
        </w:rPr>
        <w:t>pirmosios instancijos teismo nutarties, kuria atsisakyta priimti pareiškėjų skundą dėl Nemokumo administratorių rūmų visuotinio narių susirinkimo 2020 m. rugsėjo 4 d. nutarimų</w:t>
      </w:r>
      <w:r w:rsidR="00F80275">
        <w:rPr>
          <w:rFonts w:ascii="Calibri" w:hAnsi="Calibri" w:cs="Calibri"/>
          <w:sz w:val="22"/>
          <w:szCs w:val="22"/>
        </w:rPr>
        <w:t xml:space="preserve"> </w:t>
      </w:r>
      <w:r w:rsidRPr="00571AF0">
        <w:rPr>
          <w:rFonts w:ascii="Calibri" w:hAnsi="Calibri" w:cs="Calibri"/>
          <w:sz w:val="22"/>
          <w:szCs w:val="22"/>
        </w:rPr>
        <w:t>dėl prezidiumo narių atšaukimo ir naujo prezidiumo narių bei pirmininko išrinkimo panaikinimo, pagrįstumas ir teisėtumas.</w:t>
      </w:r>
    </w:p>
    <w:p w14:paraId="6AC6B99A" w14:textId="47F6150A" w:rsidR="00417367" w:rsidRPr="00571AF0" w:rsidRDefault="00417367" w:rsidP="3E77553B">
      <w:pPr>
        <w:shd w:val="clear" w:color="auto" w:fill="FFFFFF" w:themeFill="background1"/>
        <w:tabs>
          <w:tab w:val="left" w:pos="3119"/>
        </w:tabs>
        <w:ind w:right="-1" w:firstLine="567"/>
        <w:jc w:val="both"/>
        <w:rPr>
          <w:rFonts w:ascii="Calibri" w:hAnsi="Calibri" w:cs="Calibri"/>
          <w:sz w:val="22"/>
          <w:szCs w:val="22"/>
        </w:rPr>
      </w:pPr>
      <w:r w:rsidRPr="6A7DC4FF">
        <w:rPr>
          <w:rFonts w:ascii="Calibri" w:hAnsi="Calibri" w:cs="Calibri"/>
          <w:sz w:val="22"/>
          <w:szCs w:val="22"/>
        </w:rPr>
        <w:t>Pirmosios instancijos teismas, atsisakydamas priimti skundą kaip nenagrinėtiną teismų</w:t>
      </w:r>
      <w:r w:rsidR="00854EBB">
        <w:rPr>
          <w:rFonts w:ascii="Calibri" w:hAnsi="Calibri" w:cs="Calibri"/>
          <w:sz w:val="22"/>
          <w:szCs w:val="22"/>
        </w:rPr>
        <w:t xml:space="preserve"> ABTĮ nustatyta tvarka (ABTĮ 33 str.</w:t>
      </w:r>
      <w:r w:rsidR="00F80275" w:rsidRPr="6A7DC4FF">
        <w:rPr>
          <w:rFonts w:ascii="Calibri" w:hAnsi="Calibri" w:cs="Calibri"/>
          <w:sz w:val="22"/>
          <w:szCs w:val="22"/>
        </w:rPr>
        <w:t xml:space="preserve"> </w:t>
      </w:r>
      <w:r w:rsidR="00854EBB">
        <w:rPr>
          <w:rFonts w:ascii="Calibri" w:hAnsi="Calibri" w:cs="Calibri"/>
          <w:sz w:val="22"/>
          <w:szCs w:val="22"/>
        </w:rPr>
        <w:t>2 d.</w:t>
      </w:r>
      <w:r w:rsidR="00F80275" w:rsidRPr="6A7DC4FF">
        <w:rPr>
          <w:rFonts w:ascii="Calibri" w:hAnsi="Calibri" w:cs="Calibri"/>
          <w:sz w:val="22"/>
          <w:szCs w:val="22"/>
        </w:rPr>
        <w:t xml:space="preserve"> </w:t>
      </w:r>
      <w:r w:rsidRPr="6A7DC4FF">
        <w:rPr>
          <w:rFonts w:ascii="Calibri" w:hAnsi="Calibri" w:cs="Calibri"/>
          <w:sz w:val="22"/>
          <w:szCs w:val="22"/>
        </w:rPr>
        <w:t>1 p</w:t>
      </w:r>
      <w:r w:rsidR="00854EBB">
        <w:rPr>
          <w:rFonts w:ascii="Calibri" w:hAnsi="Calibri" w:cs="Calibri"/>
          <w:sz w:val="22"/>
          <w:szCs w:val="22"/>
        </w:rPr>
        <w:t>.)</w:t>
      </w:r>
      <w:r w:rsidRPr="6A7DC4FF">
        <w:rPr>
          <w:rFonts w:ascii="Calibri" w:hAnsi="Calibri" w:cs="Calibri"/>
          <w:sz w:val="22"/>
          <w:szCs w:val="22"/>
        </w:rPr>
        <w:t>, skundžiamoje nutartyje nurodė, jog Nemokumo administratorių rūmų valdymo organų narių skyrimą ir atšaukimą reglamentuoja</w:t>
      </w:r>
      <w:r w:rsidR="00F80275" w:rsidRPr="6A7DC4FF">
        <w:rPr>
          <w:rFonts w:ascii="Calibri" w:hAnsi="Calibri" w:cs="Calibri"/>
          <w:sz w:val="22"/>
          <w:szCs w:val="22"/>
        </w:rPr>
        <w:t xml:space="preserve"> </w:t>
      </w:r>
      <w:hyperlink r:id="rId31">
        <w:r w:rsidRPr="6A7DC4FF">
          <w:rPr>
            <w:rFonts w:ascii="Calibri" w:hAnsi="Calibri" w:cs="Calibri"/>
            <w:sz w:val="22"/>
            <w:szCs w:val="22"/>
          </w:rPr>
          <w:t>CK</w:t>
        </w:r>
      </w:hyperlink>
      <w:bookmarkStart w:id="99" w:name="n7bbfb672-2ef6-496d-8f5a-333b57cddc2f"/>
      <w:bookmarkStart w:id="100" w:name="pn7bbfb672-2ef6-496d-8f5a-333b57cddc2f"/>
      <w:bookmarkEnd w:id="99"/>
      <w:bookmarkEnd w:id="100"/>
      <w:r w:rsidRPr="6A7DC4FF">
        <w:rPr>
          <w:rFonts w:ascii="Calibri" w:hAnsi="Calibri" w:cs="Calibri"/>
          <w:sz w:val="22"/>
          <w:szCs w:val="22"/>
        </w:rPr>
        <w:t>,</w:t>
      </w:r>
      <w:r w:rsidR="00F80275" w:rsidRPr="6A7DC4FF">
        <w:rPr>
          <w:rFonts w:ascii="Calibri" w:hAnsi="Calibri" w:cs="Calibri"/>
          <w:sz w:val="22"/>
          <w:szCs w:val="22"/>
        </w:rPr>
        <w:t xml:space="preserve"> </w:t>
      </w:r>
      <w:hyperlink r:id="rId32">
        <w:r w:rsidRPr="6A7DC4FF">
          <w:rPr>
            <w:rFonts w:ascii="Calibri" w:hAnsi="Calibri" w:cs="Calibri"/>
            <w:sz w:val="22"/>
            <w:szCs w:val="22"/>
          </w:rPr>
          <w:t>Asociacijų įstatymo</w:t>
        </w:r>
      </w:hyperlink>
      <w:bookmarkStart w:id="101" w:name="nf63969b1-56c8-49f3-bcac-454c043ac9aa"/>
      <w:bookmarkStart w:id="102" w:name="pnf63969b1-56c8-49f3-bcac-454c043ac9aa"/>
      <w:bookmarkEnd w:id="101"/>
      <w:bookmarkEnd w:id="102"/>
      <w:r w:rsidR="00F80275" w:rsidRPr="6A7DC4FF">
        <w:rPr>
          <w:rFonts w:ascii="Calibri" w:hAnsi="Calibri" w:cs="Calibri"/>
          <w:sz w:val="22"/>
          <w:szCs w:val="22"/>
        </w:rPr>
        <w:t xml:space="preserve"> </w:t>
      </w:r>
      <w:r w:rsidRPr="6A7DC4FF">
        <w:rPr>
          <w:rFonts w:ascii="Calibri" w:hAnsi="Calibri" w:cs="Calibri"/>
          <w:sz w:val="22"/>
          <w:szCs w:val="22"/>
        </w:rPr>
        <w:t xml:space="preserve">normos bei juridinio asmens steigimo dokumentai, t. y. civilinio teisinio pobūdžio teisės normos, todėl ginčijamų nutarimų nėra pagrindo kvalifikuoti kitaip kaip civilinio pobūdžio teisės aktų. Teismas taip pat pabrėžė, jog </w:t>
      </w:r>
      <w:hyperlink r:id="rId33">
        <w:r w:rsidRPr="6A7DC4FF">
          <w:rPr>
            <w:rFonts w:ascii="Calibri" w:hAnsi="Calibri" w:cs="Calibri"/>
            <w:sz w:val="22"/>
            <w:szCs w:val="22"/>
          </w:rPr>
          <w:t>Juridinių asmenų nemokumo įstatymo</w:t>
        </w:r>
      </w:hyperlink>
      <w:bookmarkStart w:id="103" w:name="n3f7a4842-0cea-4e04-8d96-a520e74a9626"/>
      <w:bookmarkStart w:id="104" w:name="pn3f7a4842-0cea-4e04-8d96-a520e74a9626"/>
      <w:bookmarkEnd w:id="103"/>
      <w:bookmarkEnd w:id="104"/>
      <w:r w:rsidR="00F80275" w:rsidRPr="6A7DC4FF">
        <w:rPr>
          <w:rFonts w:ascii="Calibri" w:hAnsi="Calibri" w:cs="Calibri"/>
          <w:sz w:val="22"/>
          <w:szCs w:val="22"/>
        </w:rPr>
        <w:t xml:space="preserve"> </w:t>
      </w:r>
      <w:hyperlink r:id="rId34">
        <w:r w:rsidRPr="6A7DC4FF">
          <w:rPr>
            <w:rFonts w:ascii="Calibri" w:hAnsi="Calibri" w:cs="Calibri"/>
            <w:sz w:val="22"/>
            <w:szCs w:val="22"/>
          </w:rPr>
          <w:t>155</w:t>
        </w:r>
      </w:hyperlink>
      <w:bookmarkStart w:id="105" w:name="n49c48ab0-395b-4a71-ab04-405e77f73f8e"/>
      <w:bookmarkStart w:id="106" w:name="pn49c48ab0-395b-4a71-ab04-405e77f73f8e"/>
      <w:bookmarkEnd w:id="105"/>
      <w:bookmarkEnd w:id="106"/>
      <w:r w:rsidRPr="6A7DC4FF">
        <w:rPr>
          <w:rFonts w:ascii="Calibri" w:hAnsi="Calibri" w:cs="Calibri"/>
          <w:sz w:val="22"/>
          <w:szCs w:val="22"/>
        </w:rPr>
        <w:t> straipsnyje įtvirtinta teisė</w:t>
      </w:r>
      <w:r w:rsidR="00F80275" w:rsidRPr="6A7DC4FF">
        <w:rPr>
          <w:rFonts w:ascii="Calibri" w:hAnsi="Calibri" w:cs="Calibri"/>
          <w:sz w:val="22"/>
          <w:szCs w:val="22"/>
        </w:rPr>
        <w:t xml:space="preserve"> </w:t>
      </w:r>
      <w:hyperlink r:id="rId35">
        <w:r w:rsidRPr="6A7DC4FF">
          <w:rPr>
            <w:rFonts w:ascii="Calibri" w:hAnsi="Calibri" w:cs="Calibri"/>
            <w:sz w:val="22"/>
            <w:szCs w:val="22"/>
          </w:rPr>
          <w:t>ABTĮ</w:t>
        </w:r>
      </w:hyperlink>
      <w:bookmarkStart w:id="107" w:name="n44cdb5b6-e92f-4a4f-9092-6ae957c60484"/>
      <w:bookmarkStart w:id="108" w:name="pn44cdb5b6-e92f-4a4f-9092-6ae957c60484"/>
      <w:bookmarkEnd w:id="107"/>
      <w:bookmarkEnd w:id="108"/>
      <w:r w:rsidRPr="6A7DC4FF">
        <w:rPr>
          <w:rFonts w:ascii="Calibri" w:hAnsi="Calibri" w:cs="Calibri"/>
          <w:sz w:val="22"/>
          <w:szCs w:val="22"/>
        </w:rPr>
        <w:t> nustatyta tvarka skųsti tik tuos Nemokumo administratorių rūmų organų sprendimus, kurie susiję su Nemokumo administratorių rūmų veikla, kuriai vykdyti šis viešasis juridinis asmuo buvo įsteigtas, pvz.</w:t>
      </w:r>
      <w:r w:rsidR="3B0A863F" w:rsidRPr="6A7DC4FF">
        <w:rPr>
          <w:rFonts w:ascii="Calibri" w:hAnsi="Calibri" w:cs="Calibri"/>
          <w:sz w:val="22"/>
          <w:szCs w:val="22"/>
        </w:rPr>
        <w:t>,</w:t>
      </w:r>
      <w:r w:rsidRPr="6A7DC4FF">
        <w:rPr>
          <w:rFonts w:ascii="Calibri" w:hAnsi="Calibri" w:cs="Calibri"/>
          <w:sz w:val="22"/>
          <w:szCs w:val="22"/>
        </w:rPr>
        <w:t xml:space="preserve"> nemokumo administratorių veiklos priežiūra.</w:t>
      </w:r>
    </w:p>
    <w:p w14:paraId="64CB4912" w14:textId="754A2A47" w:rsidR="00417367" w:rsidRPr="00417367" w:rsidRDefault="00417367" w:rsidP="00571AF0">
      <w:pPr>
        <w:shd w:val="clear" w:color="auto" w:fill="FFFFFF"/>
        <w:tabs>
          <w:tab w:val="left" w:pos="3119"/>
        </w:tabs>
        <w:ind w:right="-1" w:firstLine="567"/>
        <w:jc w:val="both"/>
        <w:rPr>
          <w:rFonts w:ascii="Calibri" w:eastAsia="SimSun" w:hAnsi="Calibri" w:cs="Calibri"/>
          <w:sz w:val="22"/>
          <w:szCs w:val="22"/>
          <w:lang w:eastAsia="en-GB"/>
        </w:rPr>
      </w:pPr>
      <w:r w:rsidRPr="00571AF0">
        <w:rPr>
          <w:rFonts w:ascii="Calibri" w:hAnsi="Calibri" w:cs="Calibri"/>
          <w:sz w:val="22"/>
          <w:szCs w:val="22"/>
        </w:rPr>
        <w:t>Teisėjų kolegija, nagrinėdama pareiškėjų atskirąjį skundą, nurodė, jog pagal</w:t>
      </w:r>
      <w:r w:rsidR="00F80275">
        <w:rPr>
          <w:rFonts w:ascii="Calibri" w:hAnsi="Calibri" w:cs="Calibri"/>
          <w:sz w:val="22"/>
          <w:szCs w:val="22"/>
        </w:rPr>
        <w:t xml:space="preserve"> </w:t>
      </w:r>
      <w:hyperlink r:id="rId36" w:tgtFrame="_blank" w:tooltip="Lietuvos Respublikos juridinių asmenų nemokumo įstatymas" w:history="1">
        <w:r w:rsidRPr="00571AF0">
          <w:rPr>
            <w:rFonts w:ascii="Calibri" w:hAnsi="Calibri" w:cs="Calibri"/>
            <w:sz w:val="22"/>
            <w:szCs w:val="22"/>
          </w:rPr>
          <w:t>Juridinių asmenų nemokumo įstatymo</w:t>
        </w:r>
      </w:hyperlink>
      <w:bookmarkStart w:id="109" w:name="n768dae61-a6cf-460a-8972-379ade15795b"/>
      <w:bookmarkStart w:id="110" w:name="pn768dae61-a6cf-460a-8972-379ade15795b"/>
      <w:bookmarkEnd w:id="109"/>
      <w:bookmarkEnd w:id="110"/>
      <w:r w:rsidR="00F80275">
        <w:rPr>
          <w:rFonts w:ascii="Calibri" w:hAnsi="Calibri" w:cs="Calibri"/>
          <w:sz w:val="22"/>
          <w:szCs w:val="22"/>
        </w:rPr>
        <w:t xml:space="preserve"> </w:t>
      </w:r>
      <w:hyperlink r:id="rId37" w:tgtFrame="_blank" w:tooltip="Nemokumo administratorių rūmų organų sprendimų apskundimas" w:history="1">
        <w:r w:rsidRPr="00571AF0">
          <w:rPr>
            <w:rFonts w:ascii="Calibri" w:hAnsi="Calibri" w:cs="Calibri"/>
            <w:sz w:val="22"/>
            <w:szCs w:val="22"/>
          </w:rPr>
          <w:t>151</w:t>
        </w:r>
      </w:hyperlink>
      <w:bookmarkStart w:id="111" w:name="n16727e75-2f79-4051-ae24-bf2676458ea4"/>
      <w:bookmarkStart w:id="112" w:name="pn16727e75-2f79-4051-ae24-bf2676458ea4"/>
      <w:bookmarkEnd w:id="111"/>
      <w:bookmarkEnd w:id="112"/>
      <w:r w:rsidRPr="00571AF0">
        <w:rPr>
          <w:rFonts w:ascii="Calibri" w:hAnsi="Calibri" w:cs="Calibri"/>
          <w:sz w:val="22"/>
          <w:szCs w:val="22"/>
        </w:rPr>
        <w:t> straipsnį Nemokumo administratorių rūmų organų sprendimai gali būti skundžiami</w:t>
      </w:r>
      <w:r w:rsidR="00F80275">
        <w:rPr>
          <w:rFonts w:ascii="Calibri" w:hAnsi="Calibri" w:cs="Calibri"/>
          <w:sz w:val="22"/>
          <w:szCs w:val="22"/>
        </w:rPr>
        <w:t xml:space="preserve"> </w:t>
      </w:r>
      <w:r w:rsidRPr="00571AF0">
        <w:rPr>
          <w:rFonts w:ascii="Calibri" w:hAnsi="Calibri" w:cs="Calibri"/>
          <w:sz w:val="22"/>
          <w:szCs w:val="22"/>
        </w:rPr>
        <w:t>ABTĮ nustatyta</w:t>
      </w:r>
      <w:r w:rsidRPr="00417367">
        <w:rPr>
          <w:rFonts w:ascii="Calibri" w:eastAsia="SimSun" w:hAnsi="Calibri" w:cs="Calibri"/>
          <w:sz w:val="22"/>
          <w:szCs w:val="22"/>
          <w:lang w:eastAsia="en-GB"/>
        </w:rPr>
        <w:t xml:space="preserve"> tvarka. Tad </w:t>
      </w:r>
      <w:r w:rsidRPr="00417367">
        <w:rPr>
          <w:rFonts w:ascii="Calibri" w:eastAsia="SimSun" w:hAnsi="Calibri" w:cs="Calibri"/>
          <w:sz w:val="22"/>
          <w:szCs w:val="22"/>
          <w:u w:val="single"/>
          <w:lang w:eastAsia="en-GB"/>
        </w:rPr>
        <w:t>teisinis reglamentavimas tokių sprendimų apskundimą nustato neišskiriant jų nei pagal pobūdį, nei pagal turinį, nei pagal kitus kriterijus</w:t>
      </w:r>
      <w:r w:rsidRPr="00417367">
        <w:rPr>
          <w:rFonts w:ascii="Calibri" w:eastAsia="SimSun" w:hAnsi="Calibri" w:cs="Calibri"/>
          <w:sz w:val="22"/>
          <w:szCs w:val="22"/>
          <w:lang w:eastAsia="en-GB"/>
        </w:rPr>
        <w:t>. Be to, Specialioji teisėjų kolegija 2020 m. rugpjūčio 11 d. teismingumo byloje Nr. </w:t>
      </w:r>
      <w:hyperlink r:id="rId38" w:tgtFrame="_blank" w:tooltip="T-71/2020 Dėl Nemokumo administratorių rūmų prezidiumo nutarimų pripažinimo negaliojančiais" w:history="1">
        <w:r w:rsidRPr="00417367">
          <w:rPr>
            <w:rFonts w:ascii="Calibri" w:eastAsia="SimSun" w:hAnsi="Calibri" w:cs="Calibri"/>
            <w:sz w:val="22"/>
            <w:szCs w:val="22"/>
            <w:lang w:eastAsia="en-GB"/>
          </w:rPr>
          <w:t>T-71/2020</w:t>
        </w:r>
      </w:hyperlink>
      <w:bookmarkStart w:id="113" w:name="n510d8bd7-0636-4825-98aa-a855bd02bc1c"/>
      <w:bookmarkStart w:id="114" w:name="pn510d8bd7-0636-4825-98aa-a855bd02bc1c"/>
      <w:bookmarkEnd w:id="113"/>
      <w:bookmarkEnd w:id="114"/>
      <w:r w:rsidRPr="00417367">
        <w:rPr>
          <w:rFonts w:ascii="Calibri" w:eastAsia="SimSun" w:hAnsi="Calibri" w:cs="Calibri"/>
          <w:sz w:val="22"/>
          <w:szCs w:val="22"/>
          <w:lang w:eastAsia="en-GB"/>
        </w:rPr>
        <w:t>, kurioje buvo ginčijami Nemokumo administratorių rūmų prezidiumo (vieno iš Nemokumo administratorių rūmų organų) posėdžio atitinkami nutarimai, nusprendė, kad ginčas teismingas administraciniam teismui.</w:t>
      </w:r>
    </w:p>
    <w:p w14:paraId="65BF28C1" w14:textId="77777777" w:rsidR="00417367" w:rsidRPr="00571AF0" w:rsidRDefault="00417367" w:rsidP="00571AF0">
      <w:pPr>
        <w:shd w:val="clear" w:color="auto" w:fill="FFFFFF"/>
        <w:tabs>
          <w:tab w:val="left" w:pos="3119"/>
        </w:tabs>
        <w:ind w:right="-1" w:firstLine="567"/>
        <w:jc w:val="both"/>
        <w:rPr>
          <w:rFonts w:ascii="Calibri" w:hAnsi="Calibri" w:cs="Calibri"/>
          <w:sz w:val="22"/>
          <w:szCs w:val="22"/>
        </w:rPr>
      </w:pPr>
      <w:r w:rsidRPr="00571AF0">
        <w:rPr>
          <w:rFonts w:ascii="Calibri" w:hAnsi="Calibri" w:cs="Calibri"/>
          <w:sz w:val="22"/>
          <w:szCs w:val="22"/>
        </w:rPr>
        <w:t>Atsižvelgdama į tai, kas išdėstyta, teisėjų kolegija atskirąjį skundą tenkino ir pirmosios instancijos teismo nutartį panaikino, o pareiškėjų skundo priėmimo klausimą perdavė pirmosios instancijos teismui nagrinėti iš naujo.</w:t>
      </w:r>
    </w:p>
    <w:p w14:paraId="718B5F8F" w14:textId="77777777" w:rsidR="00417367" w:rsidRPr="00571AF0" w:rsidRDefault="00417367" w:rsidP="00571AF0">
      <w:pPr>
        <w:shd w:val="clear" w:color="auto" w:fill="FFFFFF"/>
        <w:tabs>
          <w:tab w:val="left" w:pos="3119"/>
        </w:tabs>
        <w:ind w:right="-1" w:firstLine="567"/>
        <w:jc w:val="both"/>
        <w:rPr>
          <w:rFonts w:ascii="Calibri" w:hAnsi="Calibri" w:cs="Calibri"/>
          <w:sz w:val="22"/>
          <w:szCs w:val="22"/>
        </w:rPr>
      </w:pPr>
    </w:p>
    <w:p w14:paraId="0ADDDCED" w14:textId="77777777" w:rsidR="00417367" w:rsidRPr="00417367" w:rsidRDefault="00417367" w:rsidP="00417367">
      <w:pPr>
        <w:rPr>
          <w:rFonts w:ascii="Calibri" w:hAnsi="Calibri"/>
          <w:sz w:val="22"/>
          <w:szCs w:val="22"/>
          <w:lang w:val="en-GB" w:eastAsia="en-GB"/>
        </w:rPr>
      </w:pPr>
      <w:r w:rsidRPr="00417367">
        <w:rPr>
          <w:rFonts w:ascii="Calibri" w:eastAsia="SimSun" w:hAnsi="Calibri"/>
          <w:sz w:val="22"/>
          <w:szCs w:val="22"/>
          <w:lang w:eastAsia="en-GB"/>
        </w:rPr>
        <w:t xml:space="preserve">2020 m. spalio </w:t>
      </w:r>
      <w:r w:rsidRPr="00417367">
        <w:rPr>
          <w:rFonts w:ascii="Calibri" w:eastAsia="SimSun" w:hAnsi="Calibri"/>
          <w:sz w:val="22"/>
          <w:szCs w:val="22"/>
          <w:lang w:val="en-US" w:eastAsia="en-GB"/>
        </w:rPr>
        <w:t xml:space="preserve">14 </w:t>
      </w:r>
      <w:r w:rsidRPr="00417367">
        <w:rPr>
          <w:rFonts w:ascii="Calibri" w:eastAsia="SimSun" w:hAnsi="Calibri"/>
          <w:sz w:val="22"/>
          <w:szCs w:val="22"/>
          <w:lang w:eastAsia="en-GB"/>
        </w:rPr>
        <w:t>d. nutartis administracinėje byloje </w:t>
      </w:r>
      <w:r w:rsidRPr="00417367">
        <w:rPr>
          <w:rFonts w:ascii="Calibri" w:hAnsi="Calibri" w:cs="Arial"/>
          <w:color w:val="000000"/>
          <w:sz w:val="22"/>
          <w:szCs w:val="22"/>
          <w:shd w:val="clear" w:color="auto" w:fill="FFFFFF"/>
          <w:lang w:eastAsia="en-GB"/>
        </w:rPr>
        <w:t>Nr. eAS-689-525/2020</w:t>
      </w:r>
    </w:p>
    <w:p w14:paraId="7C7119D4" w14:textId="77777777" w:rsidR="00417367" w:rsidRPr="00417367" w:rsidRDefault="00417367" w:rsidP="00417367">
      <w:pPr>
        <w:rPr>
          <w:rFonts w:ascii="Calibri" w:hAnsi="Calibri"/>
          <w:sz w:val="22"/>
          <w:szCs w:val="22"/>
          <w:lang w:val="en-GB" w:eastAsia="en-GB"/>
        </w:rPr>
      </w:pPr>
      <w:r w:rsidRPr="00417367">
        <w:rPr>
          <w:rFonts w:ascii="Calibri" w:eastAsia="SimSun" w:hAnsi="Calibri"/>
          <w:sz w:val="22"/>
          <w:szCs w:val="22"/>
          <w:lang w:eastAsia="en-GB"/>
        </w:rPr>
        <w:t xml:space="preserve">Teisminio proceso </w:t>
      </w:r>
      <w:r w:rsidRPr="00417367">
        <w:rPr>
          <w:rFonts w:ascii="Calibri" w:hAnsi="Calibri" w:cs="Arial"/>
          <w:color w:val="000000"/>
          <w:sz w:val="22"/>
          <w:szCs w:val="22"/>
          <w:shd w:val="clear" w:color="auto" w:fill="FFFFFF"/>
          <w:lang w:eastAsia="en-GB"/>
        </w:rPr>
        <w:t>Nr. 3-61-3-03117-2020-9</w:t>
      </w:r>
    </w:p>
    <w:p w14:paraId="19F8E0E4" w14:textId="77777777" w:rsidR="00417367" w:rsidRPr="00417367" w:rsidRDefault="00417367" w:rsidP="00417367">
      <w:pPr>
        <w:rPr>
          <w:rFonts w:ascii="Calibri" w:eastAsia="SimSun" w:hAnsi="Calibri" w:cs="Calibri"/>
          <w:sz w:val="22"/>
          <w:szCs w:val="22"/>
          <w:lang w:eastAsia="en-GB"/>
        </w:rPr>
      </w:pPr>
      <w:r w:rsidRPr="00417367">
        <w:rPr>
          <w:rFonts w:ascii="Calibri" w:eastAsia="SimSun" w:hAnsi="Calibri"/>
          <w:sz w:val="22"/>
          <w:szCs w:val="22"/>
          <w:lang w:eastAsia="en-GB"/>
        </w:rPr>
        <w:t xml:space="preserve">Procesinio sprendimo kategorija </w:t>
      </w:r>
      <w:r w:rsidRPr="00417367">
        <w:rPr>
          <w:rFonts w:ascii="Calibri" w:eastAsia="SimSun" w:hAnsi="Calibri" w:cs="Calibri"/>
          <w:sz w:val="22"/>
          <w:szCs w:val="22"/>
          <w:lang w:eastAsia="en-GB"/>
        </w:rPr>
        <w:t>43.5.1.2</w:t>
      </w:r>
    </w:p>
    <w:p w14:paraId="7BD83C81" w14:textId="77777777" w:rsidR="00417367" w:rsidRPr="00417367" w:rsidRDefault="000F189C" w:rsidP="00417367">
      <w:pPr>
        <w:ind w:right="-619"/>
        <w:jc w:val="both"/>
        <w:textAlignment w:val="baseline"/>
        <w:rPr>
          <w:rFonts w:eastAsia="Calibri" w:cs="Arial"/>
          <w:color w:val="000000"/>
          <w:lang w:eastAsia="en-GB"/>
        </w:rPr>
      </w:pPr>
      <w:hyperlink r:id="rId39" w:history="1">
        <w:r w:rsidR="00417367" w:rsidRPr="00417367">
          <w:rPr>
            <w:rFonts w:ascii="Calibri" w:eastAsia="Calibri" w:hAnsi="Calibri" w:cs="Arial"/>
            <w:color w:val="0000FF"/>
            <w:sz w:val="22"/>
            <w:szCs w:val="22"/>
            <w:u w:val="single"/>
            <w:lang w:eastAsia="en-GB"/>
          </w:rPr>
          <w:t>Prieiga internete</w:t>
        </w:r>
      </w:hyperlink>
    </w:p>
    <w:p w14:paraId="76C17297" w14:textId="77777777" w:rsidR="007412F7" w:rsidRPr="007412F7" w:rsidRDefault="007412F7" w:rsidP="00B94973">
      <w:pPr>
        <w:shd w:val="clear" w:color="auto" w:fill="FFFFFF"/>
        <w:tabs>
          <w:tab w:val="left" w:pos="3119"/>
        </w:tabs>
        <w:ind w:right="-1"/>
        <w:jc w:val="both"/>
        <w:rPr>
          <w:rFonts w:ascii="Calibri" w:hAnsi="Calibri" w:cs="Calibri"/>
          <w:sz w:val="22"/>
          <w:szCs w:val="22"/>
        </w:rPr>
      </w:pPr>
    </w:p>
    <w:p w14:paraId="6D6F83DE" w14:textId="77777777" w:rsidR="006975B9" w:rsidRPr="006975B9" w:rsidRDefault="006975B9" w:rsidP="006975B9">
      <w:pPr>
        <w:jc w:val="both"/>
        <w:outlineLvl w:val="0"/>
        <w:rPr>
          <w:rFonts w:ascii="Calibri" w:hAnsi="Calibri"/>
          <w:b/>
          <w:sz w:val="22"/>
          <w:szCs w:val="22"/>
          <w:u w:val="single"/>
        </w:rPr>
      </w:pPr>
      <w:bookmarkStart w:id="115" w:name="_Toc58851721"/>
      <w:r w:rsidRPr="006975B9">
        <w:rPr>
          <w:rFonts w:ascii="Calibri" w:hAnsi="Calibri"/>
          <w:b/>
          <w:sz w:val="22"/>
          <w:szCs w:val="22"/>
          <w:u w:val="single"/>
        </w:rPr>
        <w:t>59. Apeliacinis procesas</w:t>
      </w:r>
      <w:bookmarkEnd w:id="115"/>
    </w:p>
    <w:p w14:paraId="13F8A6D3" w14:textId="77777777" w:rsidR="006975B9" w:rsidRPr="006975B9" w:rsidRDefault="006975B9" w:rsidP="006975B9">
      <w:pPr>
        <w:ind w:firstLine="567"/>
        <w:jc w:val="both"/>
        <w:rPr>
          <w:rFonts w:ascii="Calibri" w:eastAsia="Calibri" w:hAnsi="Calibri"/>
          <w:b/>
          <w:sz w:val="22"/>
          <w:szCs w:val="22"/>
          <w:u w:val="single"/>
          <w:lang w:eastAsia="en-US"/>
        </w:rPr>
      </w:pPr>
      <w:r w:rsidRPr="006975B9">
        <w:rPr>
          <w:rFonts w:ascii="Calibri" w:eastAsia="Calibri" w:hAnsi="Calibri"/>
          <w:b/>
          <w:sz w:val="22"/>
          <w:szCs w:val="22"/>
          <w:u w:val="single"/>
          <w:lang w:eastAsia="en-US"/>
        </w:rPr>
        <w:t>59.1. Bylų pagal apeliacinius skundus procesas</w:t>
      </w:r>
    </w:p>
    <w:p w14:paraId="6A22D0D6" w14:textId="2DFFDD0F" w:rsidR="006975B9" w:rsidRPr="006975B9" w:rsidRDefault="006975B9" w:rsidP="006975B9">
      <w:pPr>
        <w:tabs>
          <w:tab w:val="left" w:pos="1350"/>
        </w:tabs>
        <w:ind w:left="567" w:firstLine="783"/>
        <w:rPr>
          <w:rFonts w:ascii="Calibri" w:hAnsi="Calibri" w:cs="Calibri"/>
          <w:b/>
          <w:sz w:val="22"/>
          <w:szCs w:val="22"/>
          <w:u w:val="single"/>
        </w:rPr>
      </w:pPr>
      <w:r w:rsidRPr="006975B9">
        <w:rPr>
          <w:rFonts w:ascii="Calibri" w:hAnsi="Calibri" w:cs="Calibri"/>
          <w:b/>
          <w:sz w:val="22"/>
          <w:szCs w:val="22"/>
          <w:u w:val="single"/>
        </w:rPr>
        <w:t>59.1.1. Apeliacinio skundo padavimas, priėmimas ir pasirengimas nagrinėti</w:t>
      </w:r>
    </w:p>
    <w:p w14:paraId="54B27EE1" w14:textId="77777777" w:rsidR="006975B9" w:rsidRPr="006975B9" w:rsidRDefault="006975B9" w:rsidP="006975B9">
      <w:pPr>
        <w:ind w:right="-619" w:firstLine="555"/>
        <w:jc w:val="both"/>
        <w:textAlignment w:val="baseline"/>
        <w:rPr>
          <w:rFonts w:ascii="Calibri" w:eastAsia="Calibri" w:hAnsi="Calibri" w:cs="Calibri"/>
          <w:sz w:val="22"/>
          <w:szCs w:val="22"/>
          <w:lang w:eastAsia="en-GB"/>
        </w:rPr>
      </w:pPr>
    </w:p>
    <w:p w14:paraId="5EBA4F1C" w14:textId="0187F89D" w:rsidR="006975B9" w:rsidRPr="006975B9" w:rsidRDefault="006975B9" w:rsidP="006975B9">
      <w:pPr>
        <w:pStyle w:val="Heading2"/>
      </w:pPr>
      <w:bookmarkStart w:id="116" w:name="_Toc58851722"/>
      <w:r w:rsidRPr="006975B9">
        <w:t xml:space="preserve">Dėl antrinės teisinės pagalbos </w:t>
      </w:r>
      <w:r w:rsidR="0059004B">
        <w:t>suteikimo</w:t>
      </w:r>
      <w:r w:rsidRPr="006975B9">
        <w:t xml:space="preserve"> </w:t>
      </w:r>
      <w:r w:rsidR="00D236A1">
        <w:t xml:space="preserve">momento </w:t>
      </w:r>
      <w:r w:rsidRPr="006975B9">
        <w:t>kaip svarbios aplinkybės praleistam terminui atnaujinti</w:t>
      </w:r>
      <w:bookmarkEnd w:id="116"/>
    </w:p>
    <w:p w14:paraId="2C79C90E" w14:textId="5B209ABF" w:rsidR="006975B9" w:rsidRPr="006975B9" w:rsidRDefault="006975B9" w:rsidP="006975B9">
      <w:pPr>
        <w:shd w:val="clear" w:color="auto" w:fill="FFFFFF"/>
        <w:ind w:right="-619" w:firstLine="555"/>
        <w:jc w:val="both"/>
        <w:textAlignment w:val="baseline"/>
        <w:rPr>
          <w:rFonts w:ascii="Calibri" w:eastAsia="Calibri" w:hAnsi="Calibri" w:cs="Calibri"/>
          <w:sz w:val="22"/>
          <w:szCs w:val="22"/>
          <w:lang w:eastAsia="en-GB"/>
        </w:rPr>
      </w:pPr>
    </w:p>
    <w:p w14:paraId="5722D66E" w14:textId="2963D3D5" w:rsidR="006975B9" w:rsidRPr="006975B9" w:rsidRDefault="006975B9" w:rsidP="006975B9">
      <w:pPr>
        <w:shd w:val="clear" w:color="auto" w:fill="FFFFFF"/>
        <w:tabs>
          <w:tab w:val="left" w:pos="3119"/>
        </w:tabs>
        <w:ind w:right="-1" w:firstLine="567"/>
        <w:jc w:val="both"/>
        <w:rPr>
          <w:rFonts w:ascii="Calibri" w:hAnsi="Calibri" w:cs="Calibri"/>
          <w:sz w:val="22"/>
          <w:szCs w:val="22"/>
        </w:rPr>
      </w:pPr>
      <w:r w:rsidRPr="006975B9">
        <w:rPr>
          <w:rFonts w:ascii="Calibri" w:hAnsi="Calibri" w:cs="Calibri"/>
          <w:sz w:val="22"/>
          <w:szCs w:val="22"/>
        </w:rPr>
        <w:lastRenderedPageBreak/>
        <w:t>Bylos dalykas – pirmosios instancijos teismo nutarties, kuria atsisakyta priimti pareiškėjo apeliacinį skundą dėl to, kad jis paduotas praleidus nustatytą apeliacinio skundo padavimo terminą ir šis terminas neatnaujintas (</w:t>
      </w:r>
      <w:hyperlink r:id="rId40" w:tgtFrame="_blank" w:tooltip="Lietuvos Respublikos administracinių bylų teisenos įstatymas" w:history="1">
        <w:r w:rsidRPr="006975B9">
          <w:rPr>
            <w:rFonts w:ascii="Calibri" w:hAnsi="Calibri" w:cs="Calibri"/>
            <w:sz w:val="22"/>
            <w:szCs w:val="22"/>
          </w:rPr>
          <w:t>ABTĮ</w:t>
        </w:r>
      </w:hyperlink>
      <w:r w:rsidRPr="006975B9">
        <w:rPr>
          <w:rFonts w:ascii="Calibri" w:hAnsi="Calibri" w:cs="Calibri"/>
          <w:sz w:val="22"/>
          <w:szCs w:val="22"/>
        </w:rPr>
        <w:t> </w:t>
      </w:r>
      <w:hyperlink r:id="rId41" w:tgtFrame="_blank" w:tooltip="Skundo (prašymo, pareiškimo) priėmimas" w:history="1">
        <w:r w:rsidRPr="006975B9">
          <w:rPr>
            <w:rFonts w:ascii="Calibri" w:hAnsi="Calibri" w:cs="Calibri"/>
            <w:sz w:val="22"/>
            <w:szCs w:val="22"/>
          </w:rPr>
          <w:t>33</w:t>
        </w:r>
      </w:hyperlink>
      <w:r w:rsidRPr="006975B9">
        <w:rPr>
          <w:rFonts w:ascii="Calibri" w:hAnsi="Calibri" w:cs="Calibri"/>
          <w:sz w:val="22"/>
          <w:szCs w:val="22"/>
        </w:rPr>
        <w:t> str. 2 d. 9 p.), teisėtumas ir pagrįstumas.</w:t>
      </w:r>
      <w:r>
        <w:rPr>
          <w:rFonts w:ascii="Calibri" w:hAnsi="Calibri" w:cs="Calibri"/>
          <w:sz w:val="22"/>
          <w:szCs w:val="22"/>
        </w:rPr>
        <w:t xml:space="preserve"> </w:t>
      </w:r>
    </w:p>
    <w:p w14:paraId="6E892A93" w14:textId="3DE6DBB7" w:rsidR="006975B9" w:rsidRPr="006975B9" w:rsidRDefault="006975B9" w:rsidP="006975B9">
      <w:pPr>
        <w:shd w:val="clear" w:color="auto" w:fill="FFFFFF"/>
        <w:tabs>
          <w:tab w:val="left" w:pos="3119"/>
        </w:tabs>
        <w:ind w:right="-1" w:firstLine="567"/>
        <w:jc w:val="both"/>
        <w:rPr>
          <w:rFonts w:ascii="Calibri" w:hAnsi="Calibri" w:cs="Calibri"/>
          <w:sz w:val="22"/>
          <w:szCs w:val="22"/>
        </w:rPr>
      </w:pPr>
      <w:r w:rsidRPr="006975B9">
        <w:rPr>
          <w:rFonts w:ascii="Calibri" w:hAnsi="Calibri" w:cs="Calibri"/>
          <w:sz w:val="22"/>
          <w:szCs w:val="22"/>
        </w:rPr>
        <w:t>Pirmosios instancijos teismas, vertindamas pareiškėjo nurodyt</w:t>
      </w:r>
      <w:r>
        <w:rPr>
          <w:rFonts w:ascii="Calibri" w:hAnsi="Calibri" w:cs="Calibri"/>
          <w:sz w:val="22"/>
          <w:szCs w:val="22"/>
        </w:rPr>
        <w:t>ą</w:t>
      </w:r>
      <w:r w:rsidRPr="006975B9">
        <w:rPr>
          <w:rFonts w:ascii="Calibri" w:hAnsi="Calibri" w:cs="Calibri"/>
          <w:sz w:val="22"/>
          <w:szCs w:val="22"/>
        </w:rPr>
        <w:t xml:space="preserve"> termino apeliaciniam skundui paduoti aplinkybę – pavėluotai suteikta antrinė teisinė pagalba – nurodė, jog skundžiamo teismo sprendimo nuorašas pareiškėjui įteiktas 2020 m. liepos 10 d., o prašymas dėl antrinės teisinės pagalbos teikimo Valstybės garantuojamos teisinės pagalbos tarnybai (toliau – Tarnyba) pateiktas tik 2020 m. liepos 16 d., todėl vertino, kad, siekdamas pasinaudoti teise į teisminę gynybą, pareiškėjas nesielgė pakankamai greitai, operatyviai ir rūpestingai. Teismas darė išvadą, kad apeliacinio skundo termino praleidimą nulėmė pareiškėjo nepakankamas operatyvumas ir rūpestingumas, o tai negali būti pripažinta svarbia priežastimi terminui atnaujinti.</w:t>
      </w:r>
    </w:p>
    <w:p w14:paraId="1F3349D5" w14:textId="77777777" w:rsidR="006975B9" w:rsidRPr="006975B9" w:rsidRDefault="006975B9" w:rsidP="006975B9">
      <w:pPr>
        <w:shd w:val="clear" w:color="auto" w:fill="FFFFFF"/>
        <w:tabs>
          <w:tab w:val="left" w:pos="3119"/>
        </w:tabs>
        <w:ind w:right="-1" w:firstLine="567"/>
        <w:jc w:val="both"/>
        <w:rPr>
          <w:rFonts w:ascii="Calibri" w:hAnsi="Calibri" w:cs="Calibri"/>
          <w:sz w:val="22"/>
          <w:szCs w:val="22"/>
        </w:rPr>
      </w:pPr>
      <w:r w:rsidRPr="006975B9">
        <w:rPr>
          <w:rFonts w:ascii="Calibri" w:hAnsi="Calibri" w:cs="Calibri"/>
          <w:sz w:val="22"/>
          <w:szCs w:val="22"/>
        </w:rPr>
        <w:t>Pareiškėjas atskirajame skunde nurodė, kad faktas, jog Tarnyba patenkino jo prašymą dėl antrinės teisinės pagalbos tik 2020 m. rugpjūčio 26 d. (praėjus daugiau nei mėnesiui po kreipimosi), nepriklausė nuo jo valios, todėl laikytina ekstraordinaria aplinkybe.</w:t>
      </w:r>
    </w:p>
    <w:p w14:paraId="0DA430BF" w14:textId="24B36AE4" w:rsidR="006975B9" w:rsidRPr="006975B9" w:rsidRDefault="006975B9" w:rsidP="6A7DC4FF">
      <w:pPr>
        <w:shd w:val="clear" w:color="auto" w:fill="FFFFFF" w:themeFill="background1"/>
        <w:tabs>
          <w:tab w:val="left" w:pos="3119"/>
        </w:tabs>
        <w:ind w:right="-1" w:firstLine="567"/>
        <w:jc w:val="both"/>
        <w:rPr>
          <w:rFonts w:ascii="Calibri" w:eastAsia="SimSun" w:hAnsi="Calibri" w:cs="Calibri"/>
          <w:sz w:val="22"/>
          <w:szCs w:val="22"/>
          <w:lang w:eastAsia="en-GB"/>
        </w:rPr>
      </w:pPr>
      <w:r w:rsidRPr="6A7DC4FF">
        <w:rPr>
          <w:rFonts w:ascii="Calibri" w:hAnsi="Calibri" w:cs="Calibri"/>
          <w:sz w:val="22"/>
          <w:szCs w:val="22"/>
        </w:rPr>
        <w:t>Teisėjų kolegija, nagrinėdama atskirąjį skundą, nustatė, jog pirmosios instancijos teismas sprendimą, kurį pareiškėjas siekia apskųsti apeliacinės instancijos teismui, paskelbė 2020 m. liepos 2 d., todėl apeliacinis skundas dėl šio sprendimo galėjo būti paduotas iki 2020 m. rugpjūčio 3 d., tačiau apeliacinis skundas pateiktas 2020 m. rugsėjo 4 d., t. y. praleidus įstatyme nustatytą terminą. Teisėjų kolegija nurodė, jog nagrinėjamu atveju termino atnaujinimui</w:t>
      </w:r>
      <w:r w:rsidRPr="6A7DC4FF">
        <w:rPr>
          <w:rFonts w:ascii="Calibri" w:eastAsia="SimSun" w:hAnsi="Calibri" w:cs="Calibri"/>
          <w:sz w:val="22"/>
          <w:szCs w:val="22"/>
          <w:lang w:eastAsia="en-GB"/>
        </w:rPr>
        <w:t xml:space="preserve"> </w:t>
      </w:r>
      <w:r w:rsidRPr="6A7DC4FF">
        <w:rPr>
          <w:rFonts w:ascii="Calibri" w:eastAsia="SimSun" w:hAnsi="Calibri" w:cs="Calibri"/>
          <w:sz w:val="22"/>
          <w:szCs w:val="22"/>
          <w:u w:val="single"/>
          <w:lang w:eastAsia="en-GB"/>
        </w:rPr>
        <w:t>reikšmingų aplinkybių visuma</w:t>
      </w:r>
      <w:r w:rsidRPr="6A7DC4FF">
        <w:rPr>
          <w:rFonts w:ascii="Calibri" w:eastAsia="SimSun" w:hAnsi="Calibri" w:cs="Calibri"/>
          <w:sz w:val="22"/>
          <w:szCs w:val="22"/>
          <w:lang w:eastAsia="en-GB"/>
        </w:rPr>
        <w:t xml:space="preserve"> – pareiškėjas, atliekantis laisvės atėmimo bausmę įkalinimo įstaigoje, 2020 m. liepos 10 d</w:t>
      </w:r>
      <w:r w:rsidR="2EB9E783" w:rsidRPr="6A7DC4FF">
        <w:rPr>
          <w:rFonts w:ascii="Calibri" w:eastAsia="SimSun" w:hAnsi="Calibri" w:cs="Calibri"/>
          <w:sz w:val="22"/>
          <w:szCs w:val="22"/>
          <w:lang w:eastAsia="en-GB"/>
        </w:rPr>
        <w:t>.</w:t>
      </w:r>
      <w:r w:rsidRPr="6A7DC4FF">
        <w:rPr>
          <w:rFonts w:ascii="Calibri" w:eastAsia="SimSun" w:hAnsi="Calibri" w:cs="Calibri"/>
          <w:sz w:val="22"/>
          <w:szCs w:val="22"/>
          <w:lang w:eastAsia="en-GB"/>
        </w:rPr>
        <w:t xml:space="preserve"> gavęs pirmos</w:t>
      </w:r>
      <w:r w:rsidR="268F5963" w:rsidRPr="6A7DC4FF">
        <w:rPr>
          <w:rFonts w:ascii="Calibri" w:eastAsia="SimSun" w:hAnsi="Calibri" w:cs="Calibri"/>
          <w:sz w:val="22"/>
          <w:szCs w:val="22"/>
          <w:lang w:eastAsia="en-GB"/>
        </w:rPr>
        <w:t>ios</w:t>
      </w:r>
      <w:r w:rsidRPr="6A7DC4FF">
        <w:rPr>
          <w:rFonts w:ascii="Calibri" w:eastAsia="SimSun" w:hAnsi="Calibri" w:cs="Calibri"/>
          <w:sz w:val="22"/>
          <w:szCs w:val="22"/>
          <w:lang w:eastAsia="en-GB"/>
        </w:rPr>
        <w:t xml:space="preserve"> instancijos teismo 2020 m. liepos 2 d. sprendimo nuorašą, 2020 m. liepos 16 d. pateikė prašymą dėl antrinės teisinės pagalbos suteikimo Tarnybai, kuri tik 2020 m. rugpjūčio 26 d. sprendimu suteikė pareiškėjui antrinę teisinę pagalbą dėl minėto pirmosios instancijos teismo sprendimo apskundimo – </w:t>
      </w:r>
      <w:r w:rsidRPr="6A7DC4FF">
        <w:rPr>
          <w:rFonts w:ascii="Calibri" w:eastAsia="SimSun" w:hAnsi="Calibri" w:cs="Calibri"/>
          <w:sz w:val="22"/>
          <w:szCs w:val="22"/>
          <w:u w:val="single"/>
          <w:lang w:eastAsia="en-GB"/>
        </w:rPr>
        <w:t xml:space="preserve">patvirtina, kad pareiškėjas, nuosekliai siekęs apskųsti jį netenkinantį pirmosios instancijos teismo sprendimą pasinaudodamas kvalifikuota pagalba, protingu </w:t>
      </w:r>
      <w:r w:rsidRPr="00D236A1">
        <w:rPr>
          <w:rFonts w:ascii="Calibri" w:eastAsia="SimSun" w:hAnsi="Calibri" w:cs="Calibri"/>
          <w:sz w:val="22"/>
          <w:szCs w:val="22"/>
          <w:u w:val="single"/>
          <w:lang w:eastAsia="en-GB"/>
        </w:rPr>
        <w:t>terminu kreipėsi dėl jos suteikimo, tačiau sprendimas dėl jos suteikimo buvo priimtas šiam terminui pasibaigus</w:t>
      </w:r>
      <w:r w:rsidRPr="6A7DC4FF">
        <w:rPr>
          <w:rFonts w:ascii="Calibri" w:eastAsia="SimSun" w:hAnsi="Calibri" w:cs="Calibri"/>
          <w:sz w:val="22"/>
          <w:szCs w:val="22"/>
          <w:lang w:eastAsia="en-GB"/>
        </w:rPr>
        <w:t>.</w:t>
      </w:r>
    </w:p>
    <w:p w14:paraId="6EEEC3FC" w14:textId="676D8A10" w:rsidR="006975B9" w:rsidRPr="006975B9" w:rsidRDefault="006975B9" w:rsidP="006975B9">
      <w:pPr>
        <w:shd w:val="clear" w:color="auto" w:fill="FFFFFF"/>
        <w:tabs>
          <w:tab w:val="left" w:pos="3119"/>
        </w:tabs>
        <w:ind w:right="-1" w:firstLine="567"/>
        <w:jc w:val="both"/>
        <w:rPr>
          <w:rFonts w:ascii="Calibri" w:hAnsi="Calibri" w:cs="Calibri"/>
          <w:sz w:val="22"/>
          <w:szCs w:val="22"/>
        </w:rPr>
      </w:pPr>
      <w:r w:rsidRPr="006975B9">
        <w:rPr>
          <w:rFonts w:ascii="Calibri" w:hAnsi="Calibri" w:cs="Calibri"/>
          <w:sz w:val="22"/>
          <w:szCs w:val="22"/>
        </w:rPr>
        <w:t>Atsižvelgusi į tai, kas išdėstyta, teisėjų kolegija konstatavo, kad nurodytos termino praleidimo priežastys gali būti vertinamos kaip svarbios priežastys, objektyviai lėmusios termino paduoti apeliacinį skundą praleidimą, todėl pirmosios instancijos teismo nutartis panaikinta, terminas atnaujin</w:t>
      </w:r>
      <w:r>
        <w:rPr>
          <w:rFonts w:ascii="Calibri" w:hAnsi="Calibri" w:cs="Calibri"/>
          <w:sz w:val="22"/>
          <w:szCs w:val="22"/>
        </w:rPr>
        <w:t>t</w:t>
      </w:r>
      <w:r w:rsidRPr="006975B9">
        <w:rPr>
          <w:rFonts w:ascii="Calibri" w:hAnsi="Calibri" w:cs="Calibri"/>
          <w:sz w:val="22"/>
          <w:szCs w:val="22"/>
        </w:rPr>
        <w:t>as ir apeliacinis skundas, kuris iš esmės atitik</w:t>
      </w:r>
      <w:r>
        <w:rPr>
          <w:rFonts w:ascii="Calibri" w:hAnsi="Calibri" w:cs="Calibri"/>
          <w:sz w:val="22"/>
          <w:szCs w:val="22"/>
        </w:rPr>
        <w:t xml:space="preserve">o </w:t>
      </w:r>
      <w:hyperlink r:id="rId42" w:tgtFrame="_blank" w:tooltip="Lietuvos Respublikos administracinių bylų teisenos įstatymas" w:history="1">
        <w:r w:rsidRPr="006975B9">
          <w:rPr>
            <w:rFonts w:ascii="Calibri" w:hAnsi="Calibri" w:cs="Calibri"/>
            <w:sz w:val="22"/>
            <w:szCs w:val="22"/>
          </w:rPr>
          <w:t>ABTĮ</w:t>
        </w:r>
      </w:hyperlink>
      <w:bookmarkStart w:id="117" w:name="n96f06b46-574a-4d8b-aacf-579a10e19c61"/>
      <w:bookmarkStart w:id="118" w:name="pn96f06b46-574a-4d8b-aacf-579a10e19c61"/>
      <w:bookmarkEnd w:id="117"/>
      <w:bookmarkEnd w:id="118"/>
      <w:r>
        <w:rPr>
          <w:rFonts w:ascii="Calibri" w:hAnsi="Calibri" w:cs="Calibri"/>
          <w:sz w:val="22"/>
          <w:szCs w:val="22"/>
        </w:rPr>
        <w:t xml:space="preserve"> </w:t>
      </w:r>
      <w:r w:rsidRPr="006975B9">
        <w:rPr>
          <w:rFonts w:ascii="Calibri" w:hAnsi="Calibri" w:cs="Calibri"/>
          <w:sz w:val="22"/>
          <w:szCs w:val="22"/>
        </w:rPr>
        <w:t>nustatytus reikalavimus, priimtas.</w:t>
      </w:r>
    </w:p>
    <w:p w14:paraId="58E18804" w14:textId="77777777" w:rsidR="006975B9" w:rsidRPr="006975B9" w:rsidRDefault="006975B9" w:rsidP="006975B9">
      <w:pPr>
        <w:rPr>
          <w:rFonts w:ascii="Calibri" w:eastAsia="SimSun" w:hAnsi="Calibri" w:cs="Calibri"/>
          <w:sz w:val="22"/>
          <w:szCs w:val="22"/>
          <w:lang w:eastAsia="en-GB"/>
        </w:rPr>
      </w:pPr>
    </w:p>
    <w:p w14:paraId="5F2BE9D4" w14:textId="77777777" w:rsidR="006975B9" w:rsidRPr="006975B9" w:rsidRDefault="006975B9" w:rsidP="006975B9">
      <w:pPr>
        <w:rPr>
          <w:rFonts w:ascii="Calibri" w:eastAsia="SimSun" w:hAnsi="Calibri" w:cs="Calibri"/>
          <w:sz w:val="22"/>
          <w:szCs w:val="22"/>
          <w:lang w:eastAsia="en-GB"/>
        </w:rPr>
      </w:pPr>
      <w:r w:rsidRPr="006975B9">
        <w:rPr>
          <w:rFonts w:ascii="Calibri" w:eastAsia="SimSun" w:hAnsi="Calibri" w:cs="Calibri"/>
          <w:sz w:val="22"/>
          <w:szCs w:val="22"/>
          <w:lang w:eastAsia="en-GB"/>
        </w:rPr>
        <w:t>2020 m. spalio 28 d. nutartis  administracinėje byloje Nr. AS-713-624/2020</w:t>
      </w:r>
    </w:p>
    <w:p w14:paraId="32B644D4" w14:textId="77777777" w:rsidR="006975B9" w:rsidRPr="006975B9" w:rsidRDefault="006975B9" w:rsidP="006975B9">
      <w:pPr>
        <w:rPr>
          <w:rFonts w:ascii="Calibri" w:eastAsia="SimSun" w:hAnsi="Calibri" w:cs="Calibri"/>
          <w:sz w:val="22"/>
          <w:szCs w:val="22"/>
          <w:lang w:eastAsia="en-GB"/>
        </w:rPr>
      </w:pPr>
      <w:r w:rsidRPr="006975B9">
        <w:rPr>
          <w:rFonts w:ascii="Calibri" w:eastAsia="SimSun" w:hAnsi="Calibri" w:cs="Calibri"/>
          <w:sz w:val="22"/>
          <w:szCs w:val="22"/>
          <w:lang w:eastAsia="en-GB"/>
        </w:rPr>
        <w:t>Teisminio proceso Nr. 3-62-3-02764-2019-5</w:t>
      </w:r>
    </w:p>
    <w:p w14:paraId="157B588D" w14:textId="77777777" w:rsidR="006975B9" w:rsidRPr="006975B9" w:rsidRDefault="006975B9" w:rsidP="006975B9">
      <w:pPr>
        <w:rPr>
          <w:rFonts w:eastAsia="Calibri"/>
          <w:lang w:eastAsia="en-GB"/>
        </w:rPr>
      </w:pPr>
      <w:r w:rsidRPr="006975B9">
        <w:rPr>
          <w:rFonts w:ascii="Calibri" w:eastAsia="SimSun" w:hAnsi="Calibri"/>
          <w:sz w:val="22"/>
          <w:szCs w:val="22"/>
          <w:lang w:eastAsia="en-GB"/>
        </w:rPr>
        <w:t xml:space="preserve">Procesinio sprendimo kategorijos: </w:t>
      </w:r>
      <w:r w:rsidRPr="006975B9">
        <w:rPr>
          <w:rFonts w:ascii="Calibri" w:eastAsia="SimSun" w:hAnsi="Calibri" w:cs="Calibri"/>
          <w:sz w:val="22"/>
          <w:szCs w:val="22"/>
          <w:lang w:eastAsia="en-GB"/>
        </w:rPr>
        <w:t>43.5.9; 59.1.1</w:t>
      </w:r>
    </w:p>
    <w:p w14:paraId="3800E367" w14:textId="77777777" w:rsidR="006975B9" w:rsidRPr="006975B9" w:rsidRDefault="000F189C" w:rsidP="006975B9">
      <w:pPr>
        <w:ind w:right="-619"/>
        <w:jc w:val="both"/>
        <w:textAlignment w:val="baseline"/>
        <w:rPr>
          <w:rFonts w:ascii="Calibri" w:eastAsia="Calibri" w:hAnsi="Calibri" w:cs="Calibri"/>
          <w:sz w:val="22"/>
          <w:szCs w:val="22"/>
          <w:lang w:eastAsia="en-GB"/>
        </w:rPr>
      </w:pPr>
      <w:hyperlink r:id="rId43" w:history="1">
        <w:r w:rsidR="006975B9" w:rsidRPr="006975B9">
          <w:rPr>
            <w:rFonts w:ascii="Calibri" w:eastAsia="Calibri" w:hAnsi="Calibri" w:cs="Calibri"/>
            <w:color w:val="0000FF"/>
            <w:sz w:val="22"/>
            <w:szCs w:val="22"/>
            <w:u w:val="single"/>
            <w:lang w:eastAsia="en-GB"/>
          </w:rPr>
          <w:t>Prieiga internete</w:t>
        </w:r>
      </w:hyperlink>
    </w:p>
    <w:p w14:paraId="1520B984" w14:textId="77777777" w:rsidR="006975B9" w:rsidRPr="006975B9" w:rsidRDefault="006975B9" w:rsidP="006975B9">
      <w:pPr>
        <w:ind w:right="-619" w:firstLine="555"/>
        <w:jc w:val="both"/>
        <w:textAlignment w:val="baseline"/>
        <w:rPr>
          <w:rFonts w:ascii="Calibri" w:eastAsia="Calibri" w:hAnsi="Calibri" w:cs="Calibri"/>
          <w:sz w:val="22"/>
          <w:szCs w:val="22"/>
          <w:lang w:eastAsia="en-GB"/>
        </w:rPr>
      </w:pPr>
    </w:p>
    <w:p w14:paraId="3C01E3BD" w14:textId="77777777" w:rsidR="006975B9" w:rsidRDefault="006975B9" w:rsidP="76180254">
      <w:pPr>
        <w:ind w:firstLine="567"/>
        <w:rPr>
          <w:rFonts w:ascii="Calibri" w:hAnsi="Calibri" w:cs="Calibri"/>
          <w:b/>
          <w:bCs/>
          <w:sz w:val="22"/>
          <w:szCs w:val="22"/>
          <w:u w:val="single"/>
        </w:rPr>
      </w:pPr>
    </w:p>
    <w:bookmarkEnd w:id="9"/>
    <w:bookmarkEnd w:id="10"/>
    <w:p w14:paraId="62CFBB68" w14:textId="7727E6C1" w:rsidR="000664DB" w:rsidRPr="005B56A3" w:rsidRDefault="000664DB" w:rsidP="765D7551">
      <w:pPr>
        <w:jc w:val="center"/>
        <w:rPr>
          <w:rFonts w:asciiTheme="minorHAnsi" w:hAnsiTheme="minorHAnsi" w:cstheme="minorBidi"/>
          <w:sz w:val="22"/>
          <w:szCs w:val="22"/>
        </w:rPr>
      </w:pPr>
      <w:r w:rsidRPr="765D7551">
        <w:rPr>
          <w:rFonts w:asciiTheme="minorHAnsi" w:hAnsiTheme="minorHAnsi" w:cstheme="minorBidi"/>
          <w:sz w:val="22"/>
          <w:szCs w:val="22"/>
        </w:rPr>
        <w:t>___________</w:t>
      </w:r>
    </w:p>
    <w:sectPr w:rsidR="000664DB" w:rsidRPr="005B56A3" w:rsidSect="007B10BF">
      <w:headerReference w:type="even" r:id="rId44"/>
      <w:headerReference w:type="default" r:id="rId45"/>
      <w:footerReference w:type="even" r:id="rId46"/>
      <w:footerReference w:type="default" r:id="rId47"/>
      <w:headerReference w:type="first" r:id="rId48"/>
      <w:footerReference w:type="first" r:id="rId49"/>
      <w:pgSz w:w="11906" w:h="16838"/>
      <w:pgMar w:top="1134" w:right="567" w:bottom="1134" w:left="1474"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745613" w14:textId="77777777" w:rsidR="00776A02" w:rsidRDefault="00776A02" w:rsidP="003D4C15">
      <w:r>
        <w:separator/>
      </w:r>
    </w:p>
  </w:endnote>
  <w:endnote w:type="continuationSeparator" w:id="0">
    <w:p w14:paraId="6D4D522C" w14:textId="77777777" w:rsidR="00776A02" w:rsidRDefault="00776A02"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00"/>
    <w:family w:val="auto"/>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Segoe UI">
    <w:altName w:val="Calibr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2730A6" w14:textId="77777777" w:rsidR="00651E4D" w:rsidRDefault="00651E4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9820B33" w14:textId="77777777" w:rsidR="00651E4D" w:rsidRDefault="00651E4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272015" w14:textId="77777777" w:rsidR="00651E4D" w:rsidRPr="00386C1C" w:rsidRDefault="00651E4D">
    <w:pPr>
      <w:pStyle w:val="Footer"/>
      <w:jc w:val="center"/>
      <w:rPr>
        <w:rFonts w:asciiTheme="minorHAnsi" w:hAnsiTheme="minorHAnsi"/>
        <w:sz w:val="20"/>
        <w:szCs w:val="20"/>
      </w:rPr>
    </w:pP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PAGE </w:instrText>
    </w:r>
    <w:r w:rsidRPr="00386C1C">
      <w:rPr>
        <w:rStyle w:val="PageNumber"/>
        <w:rFonts w:asciiTheme="minorHAnsi" w:hAnsiTheme="minorHAnsi"/>
        <w:sz w:val="20"/>
        <w:szCs w:val="20"/>
      </w:rPr>
      <w:fldChar w:fldCharType="separate"/>
    </w:r>
    <w:r w:rsidR="000F189C">
      <w:rPr>
        <w:rStyle w:val="PageNumber"/>
        <w:rFonts w:asciiTheme="minorHAnsi" w:hAnsiTheme="minorHAnsi"/>
        <w:noProof/>
        <w:sz w:val="20"/>
        <w:szCs w:val="20"/>
      </w:rPr>
      <w:t>2</w:t>
    </w:r>
    <w:r w:rsidRPr="00386C1C">
      <w:rPr>
        <w:rStyle w:val="PageNumber"/>
        <w:rFonts w:asciiTheme="minorHAnsi" w:hAnsiTheme="minorHAnsi"/>
        <w:sz w:val="20"/>
        <w:szCs w:val="20"/>
      </w:rPr>
      <w:fldChar w:fldCharType="end"/>
    </w:r>
    <w:r w:rsidRPr="00386C1C">
      <w:rPr>
        <w:rStyle w:val="PageNumber"/>
        <w:rFonts w:asciiTheme="minorHAnsi" w:hAnsiTheme="minorHAnsi"/>
        <w:sz w:val="20"/>
        <w:szCs w:val="20"/>
      </w:rPr>
      <w:t xml:space="preserve"> / </w:t>
    </w:r>
    <w:r w:rsidRPr="00386C1C">
      <w:rPr>
        <w:rStyle w:val="PageNumber"/>
        <w:rFonts w:asciiTheme="minorHAnsi" w:hAnsiTheme="minorHAnsi"/>
        <w:sz w:val="20"/>
        <w:szCs w:val="20"/>
      </w:rPr>
      <w:fldChar w:fldCharType="begin"/>
    </w:r>
    <w:r w:rsidRPr="00386C1C">
      <w:rPr>
        <w:rStyle w:val="PageNumber"/>
        <w:rFonts w:asciiTheme="minorHAnsi" w:hAnsiTheme="minorHAnsi"/>
        <w:sz w:val="20"/>
        <w:szCs w:val="20"/>
      </w:rPr>
      <w:instrText xml:space="preserve"> NUMPAGES </w:instrText>
    </w:r>
    <w:r w:rsidRPr="00386C1C">
      <w:rPr>
        <w:rStyle w:val="PageNumber"/>
        <w:rFonts w:asciiTheme="minorHAnsi" w:hAnsiTheme="minorHAnsi"/>
        <w:sz w:val="20"/>
        <w:szCs w:val="20"/>
      </w:rPr>
      <w:fldChar w:fldCharType="separate"/>
    </w:r>
    <w:r w:rsidR="000F189C">
      <w:rPr>
        <w:rStyle w:val="PageNumber"/>
        <w:rFonts w:asciiTheme="minorHAnsi" w:hAnsiTheme="minorHAnsi"/>
        <w:noProof/>
        <w:sz w:val="20"/>
        <w:szCs w:val="20"/>
      </w:rPr>
      <w:t>25</w:t>
    </w:r>
    <w:r w:rsidRPr="00386C1C">
      <w:rPr>
        <w:rStyle w:val="PageNumber"/>
        <w:rFonts w:asciiTheme="minorHAnsi" w:hAnsiTheme="minorHAnsi"/>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D92513" w14:textId="77777777" w:rsidR="000F189C" w:rsidRDefault="000F18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2D13CD" w14:textId="77777777" w:rsidR="00776A02" w:rsidRDefault="00776A02" w:rsidP="003D4C15">
      <w:r>
        <w:separator/>
      </w:r>
    </w:p>
  </w:footnote>
  <w:footnote w:type="continuationSeparator" w:id="0">
    <w:p w14:paraId="7E77C39E" w14:textId="77777777" w:rsidR="00776A02" w:rsidRDefault="00776A02" w:rsidP="003D4C15">
      <w:r>
        <w:continuationSeparator/>
      </w:r>
    </w:p>
  </w:footnote>
  <w:footnote w:id="1">
    <w:p w14:paraId="2EBD2677" w14:textId="6AE35DC4" w:rsidR="00781FCE" w:rsidRPr="00781FCE" w:rsidRDefault="00781FCE" w:rsidP="00D71E7C">
      <w:pPr>
        <w:pStyle w:val="FootnoteText"/>
        <w:jc w:val="both"/>
        <w:rPr>
          <w:rFonts w:asciiTheme="minorHAnsi" w:hAnsiTheme="minorHAnsi"/>
        </w:rPr>
      </w:pPr>
      <w:r w:rsidRPr="00781FCE">
        <w:rPr>
          <w:rStyle w:val="FootnoteReference"/>
          <w:rFonts w:asciiTheme="minorHAnsi" w:hAnsiTheme="minorHAnsi"/>
        </w:rPr>
        <w:footnoteRef/>
      </w:r>
      <w:r w:rsidRPr="00781FCE">
        <w:rPr>
          <w:rFonts w:asciiTheme="minorHAnsi" w:hAnsiTheme="minorHAnsi"/>
        </w:rPr>
        <w:t xml:space="preserve"> </w:t>
      </w:r>
      <w:r>
        <w:rPr>
          <w:rFonts w:asciiTheme="minorHAnsi" w:hAnsiTheme="minorHAnsi"/>
        </w:rPr>
        <w:t>Š</w:t>
      </w:r>
      <w:r w:rsidRPr="00781FCE">
        <w:rPr>
          <w:rFonts w:asciiTheme="minorHAnsi" w:hAnsiTheme="minorHAnsi"/>
        </w:rPr>
        <w:t>iuo metu galiojanti ĮUTP 44 str. 7 d. (2019 07 16 įstatymas Nr. XIII-2338 (nuo 2019 09 01) numato, jog jeigu užsienietis, kuriam leidimas laikinai gyventi išduotas pagal šio straipsnio 1 dalies 3 punktą, pageidauja pakeisti darbdavį arba darbo funkciją pas tą patį darbdavį, jis turi pateikti Migracijos departamentui prašymą leisti pakeisti darbdavį ar darbo funkciją. Patikrinęs, ar užsienietis atitinka šio straipsnio 1 dalies 3 punkte nustatytas sąlygas, Migracijos departamentas priima sprendimą dėl leidimo pakeisti darbdavį ar darbo funkciją ne vėliau kaip per vieną mėnesį nuo prašymo pateikimo dienos.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F89DDE" w14:textId="77777777" w:rsidR="000F189C" w:rsidRDefault="000F18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651E4D" w:rsidRPr="000967FF" w14:paraId="1A3B950A" w14:textId="77777777" w:rsidTr="00125BDC">
      <w:tc>
        <w:tcPr>
          <w:tcW w:w="7230" w:type="dxa"/>
        </w:tcPr>
        <w:p w14:paraId="2A61BEB6" w14:textId="77777777" w:rsidR="00651E4D" w:rsidRPr="0021377E" w:rsidRDefault="00651E4D"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02DE0391" w14:textId="75EDB4C8" w:rsidR="00651E4D" w:rsidRPr="0021377E" w:rsidRDefault="00651E4D" w:rsidP="002863FF">
          <w:pPr>
            <w:rPr>
              <w:rFonts w:ascii="Calibri" w:hAnsi="Calibri"/>
              <w:color w:val="323E4F" w:themeColor="text2" w:themeShade="BF"/>
              <w:sz w:val="20"/>
              <w:szCs w:val="20"/>
            </w:rPr>
          </w:pPr>
          <w:r>
            <w:rPr>
              <w:rFonts w:ascii="Calibri" w:hAnsi="Calibri"/>
              <w:color w:val="323E4F" w:themeColor="text2" w:themeShade="BF"/>
              <w:sz w:val="20"/>
              <w:szCs w:val="20"/>
            </w:rPr>
            <w:t xml:space="preserve">      2020 10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 xml:space="preserve">20 10 31 </w:t>
          </w:r>
        </w:p>
      </w:tc>
    </w:tr>
  </w:tbl>
  <w:p w14:paraId="7AD15F6C" w14:textId="77777777" w:rsidR="00651E4D" w:rsidRPr="008A0597" w:rsidRDefault="00651E4D">
    <w:pPr>
      <w:pStyle w:val="Header"/>
      <w:rPr>
        <w:sz w:val="20"/>
        <w:szCs w:val="20"/>
        <w:lang w:val="lt-LT"/>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A6A797" w14:textId="77777777" w:rsidR="000F189C" w:rsidRDefault="000F18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nsid w:val="0A5D48FF"/>
    <w:multiLevelType w:val="multilevel"/>
    <w:tmpl w:val="60AE85E0"/>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A83068C"/>
    <w:multiLevelType w:val="multilevel"/>
    <w:tmpl w:val="AE8A69AC"/>
    <w:numStyleLink w:val="ImportedStyle1"/>
  </w:abstractNum>
  <w:abstractNum w:abstractNumId="4">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5">
    <w:nsid w:val="0EE9356F"/>
    <w:multiLevelType w:val="multilevel"/>
    <w:tmpl w:val="6276B70A"/>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8">
    <w:nsid w:val="19FC1CFB"/>
    <w:multiLevelType w:val="multilevel"/>
    <w:tmpl w:val="0B647CDA"/>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D811F29"/>
    <w:multiLevelType w:val="multilevel"/>
    <w:tmpl w:val="0427001F"/>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1">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nsid w:val="2E5F3180"/>
    <w:multiLevelType w:val="multilevel"/>
    <w:tmpl w:val="B14A03AA"/>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3">
    <w:nsid w:val="2EB21AFB"/>
    <w:multiLevelType w:val="multilevel"/>
    <w:tmpl w:val="D8B2D182"/>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FC4595A"/>
    <w:multiLevelType w:val="multilevel"/>
    <w:tmpl w:val="10F84AC2"/>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2026ACC"/>
    <w:multiLevelType w:val="multilevel"/>
    <w:tmpl w:val="780E4F96"/>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1">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23">
    <w:nsid w:val="75772430"/>
    <w:multiLevelType w:val="multilevel"/>
    <w:tmpl w:val="8F3A1614"/>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4">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num w:numId="1">
    <w:abstractNumId w:val="22"/>
  </w:num>
  <w:num w:numId="2">
    <w:abstractNumId w:val="13"/>
  </w:num>
  <w:num w:numId="3">
    <w:abstractNumId w:val="4"/>
  </w:num>
  <w:num w:numId="4">
    <w:abstractNumId w:val="2"/>
  </w:num>
  <w:num w:numId="5">
    <w:abstractNumId w:val="16"/>
  </w:num>
  <w:num w:numId="6">
    <w:abstractNumId w:val="3"/>
    <w:lvlOverride w:ilvl="0">
      <w:lvl w:ilvl="0">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3"/>
  </w:num>
  <w:num w:numId="8">
    <w:abstractNumId w:val="1"/>
  </w:num>
  <w:num w:numId="9">
    <w:abstractNumId w:val="18"/>
  </w:num>
  <w:num w:numId="10">
    <w:abstractNumId w:val="17"/>
  </w:num>
  <w:num w:numId="11">
    <w:abstractNumId w:val="21"/>
  </w:num>
  <w:num w:numId="12">
    <w:abstractNumId w:val="10"/>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7"/>
  </w:num>
  <w:num w:numId="16">
    <w:abstractNumId w:val="15"/>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3"/>
  </w:num>
  <w:num w:numId="20">
    <w:abstractNumId w:val="6"/>
  </w:num>
  <w:num w:numId="21">
    <w:abstractNumId w:val="19"/>
  </w:num>
  <w:num w:numId="22">
    <w:abstractNumId w:val="14"/>
  </w:num>
  <w:num w:numId="23">
    <w:abstractNumId w:val="0"/>
  </w:num>
  <w:num w:numId="24">
    <w:abstractNumId w:val="24"/>
  </w:num>
  <w:num w:numId="25">
    <w:abstractNumId w:val="5"/>
  </w:num>
  <w:num w:numId="26">
    <w:abstractNumId w:val="2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1296"/>
  <w:hyphenationZone w:val="396"/>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4C15"/>
    <w:rsid w:val="00000CF1"/>
    <w:rsid w:val="0000181D"/>
    <w:rsid w:val="00001B52"/>
    <w:rsid w:val="00001F07"/>
    <w:rsid w:val="00002966"/>
    <w:rsid w:val="00002A22"/>
    <w:rsid w:val="00002CB5"/>
    <w:rsid w:val="00002F90"/>
    <w:rsid w:val="00003009"/>
    <w:rsid w:val="000046DE"/>
    <w:rsid w:val="00005391"/>
    <w:rsid w:val="00005618"/>
    <w:rsid w:val="00005A31"/>
    <w:rsid w:val="00005A32"/>
    <w:rsid w:val="00005A36"/>
    <w:rsid w:val="000064C2"/>
    <w:rsid w:val="000067FD"/>
    <w:rsid w:val="00006E86"/>
    <w:rsid w:val="000075AF"/>
    <w:rsid w:val="00007A79"/>
    <w:rsid w:val="00007AE0"/>
    <w:rsid w:val="00010516"/>
    <w:rsid w:val="0001086D"/>
    <w:rsid w:val="000112F0"/>
    <w:rsid w:val="000113E1"/>
    <w:rsid w:val="000130FA"/>
    <w:rsid w:val="0001338B"/>
    <w:rsid w:val="0001374D"/>
    <w:rsid w:val="00013D25"/>
    <w:rsid w:val="00014130"/>
    <w:rsid w:val="00014148"/>
    <w:rsid w:val="0001474E"/>
    <w:rsid w:val="00014C00"/>
    <w:rsid w:val="0001541F"/>
    <w:rsid w:val="00016022"/>
    <w:rsid w:val="00016129"/>
    <w:rsid w:val="00016443"/>
    <w:rsid w:val="00017230"/>
    <w:rsid w:val="0001760A"/>
    <w:rsid w:val="0001772A"/>
    <w:rsid w:val="00017C67"/>
    <w:rsid w:val="00017F45"/>
    <w:rsid w:val="00020A68"/>
    <w:rsid w:val="00020B66"/>
    <w:rsid w:val="00020BE8"/>
    <w:rsid w:val="00021869"/>
    <w:rsid w:val="00021C5E"/>
    <w:rsid w:val="000232BE"/>
    <w:rsid w:val="000238BA"/>
    <w:rsid w:val="00024FF5"/>
    <w:rsid w:val="00025504"/>
    <w:rsid w:val="000256A0"/>
    <w:rsid w:val="00025B99"/>
    <w:rsid w:val="00025BA1"/>
    <w:rsid w:val="000262CF"/>
    <w:rsid w:val="00026349"/>
    <w:rsid w:val="00027B00"/>
    <w:rsid w:val="00027D76"/>
    <w:rsid w:val="00027DF8"/>
    <w:rsid w:val="000300BD"/>
    <w:rsid w:val="00030179"/>
    <w:rsid w:val="00030614"/>
    <w:rsid w:val="0003198A"/>
    <w:rsid w:val="00031F67"/>
    <w:rsid w:val="00032160"/>
    <w:rsid w:val="00032657"/>
    <w:rsid w:val="00033126"/>
    <w:rsid w:val="00033C55"/>
    <w:rsid w:val="00034291"/>
    <w:rsid w:val="00034C6D"/>
    <w:rsid w:val="00034F46"/>
    <w:rsid w:val="00035916"/>
    <w:rsid w:val="00035BB7"/>
    <w:rsid w:val="00035E28"/>
    <w:rsid w:val="000361AE"/>
    <w:rsid w:val="00036B29"/>
    <w:rsid w:val="00037C27"/>
    <w:rsid w:val="00037D5F"/>
    <w:rsid w:val="00040EBD"/>
    <w:rsid w:val="0004105D"/>
    <w:rsid w:val="0004324F"/>
    <w:rsid w:val="000437A2"/>
    <w:rsid w:val="00043CD9"/>
    <w:rsid w:val="00043FA6"/>
    <w:rsid w:val="000446AC"/>
    <w:rsid w:val="00044F1B"/>
    <w:rsid w:val="00045020"/>
    <w:rsid w:val="00045822"/>
    <w:rsid w:val="000458C0"/>
    <w:rsid w:val="00045B8E"/>
    <w:rsid w:val="00045C20"/>
    <w:rsid w:val="00046189"/>
    <w:rsid w:val="00046B5B"/>
    <w:rsid w:val="00046E01"/>
    <w:rsid w:val="00047043"/>
    <w:rsid w:val="00047F10"/>
    <w:rsid w:val="00050321"/>
    <w:rsid w:val="00050657"/>
    <w:rsid w:val="00050891"/>
    <w:rsid w:val="00050B91"/>
    <w:rsid w:val="00050CE1"/>
    <w:rsid w:val="0005139C"/>
    <w:rsid w:val="00051F4C"/>
    <w:rsid w:val="00051FCA"/>
    <w:rsid w:val="00052995"/>
    <w:rsid w:val="00052FC4"/>
    <w:rsid w:val="000532AC"/>
    <w:rsid w:val="00053362"/>
    <w:rsid w:val="000536F6"/>
    <w:rsid w:val="000541A7"/>
    <w:rsid w:val="000545FE"/>
    <w:rsid w:val="000546B9"/>
    <w:rsid w:val="000546D1"/>
    <w:rsid w:val="0005480A"/>
    <w:rsid w:val="00055759"/>
    <w:rsid w:val="00055AFB"/>
    <w:rsid w:val="00055F3F"/>
    <w:rsid w:val="0005601D"/>
    <w:rsid w:val="0005610D"/>
    <w:rsid w:val="00057B3C"/>
    <w:rsid w:val="00057DF4"/>
    <w:rsid w:val="000608A3"/>
    <w:rsid w:val="000611FF"/>
    <w:rsid w:val="0006157E"/>
    <w:rsid w:val="0006163D"/>
    <w:rsid w:val="0006177A"/>
    <w:rsid w:val="00061B35"/>
    <w:rsid w:val="00061D97"/>
    <w:rsid w:val="000624EE"/>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FB8"/>
    <w:rsid w:val="0007050C"/>
    <w:rsid w:val="00070614"/>
    <w:rsid w:val="00070B4D"/>
    <w:rsid w:val="00070F1E"/>
    <w:rsid w:val="00071022"/>
    <w:rsid w:val="0007142F"/>
    <w:rsid w:val="000714F2"/>
    <w:rsid w:val="00071C23"/>
    <w:rsid w:val="00072C40"/>
    <w:rsid w:val="00073036"/>
    <w:rsid w:val="000738BB"/>
    <w:rsid w:val="00073A45"/>
    <w:rsid w:val="00073B21"/>
    <w:rsid w:val="00073B99"/>
    <w:rsid w:val="00073F44"/>
    <w:rsid w:val="000744E9"/>
    <w:rsid w:val="00074E76"/>
    <w:rsid w:val="00075230"/>
    <w:rsid w:val="00075247"/>
    <w:rsid w:val="000752AE"/>
    <w:rsid w:val="0007560C"/>
    <w:rsid w:val="00075877"/>
    <w:rsid w:val="000763FB"/>
    <w:rsid w:val="00076882"/>
    <w:rsid w:val="0007691E"/>
    <w:rsid w:val="00076920"/>
    <w:rsid w:val="00076972"/>
    <w:rsid w:val="00076BBD"/>
    <w:rsid w:val="00076D36"/>
    <w:rsid w:val="0007786B"/>
    <w:rsid w:val="000779F9"/>
    <w:rsid w:val="00080023"/>
    <w:rsid w:val="00080B12"/>
    <w:rsid w:val="00080C5A"/>
    <w:rsid w:val="00081450"/>
    <w:rsid w:val="00081734"/>
    <w:rsid w:val="00082131"/>
    <w:rsid w:val="00082913"/>
    <w:rsid w:val="00082A2D"/>
    <w:rsid w:val="0008302F"/>
    <w:rsid w:val="000838C6"/>
    <w:rsid w:val="00083E78"/>
    <w:rsid w:val="000840B3"/>
    <w:rsid w:val="00084172"/>
    <w:rsid w:val="00084279"/>
    <w:rsid w:val="00084D99"/>
    <w:rsid w:val="000853D2"/>
    <w:rsid w:val="0008597D"/>
    <w:rsid w:val="00085E0F"/>
    <w:rsid w:val="00085FBE"/>
    <w:rsid w:val="00086F37"/>
    <w:rsid w:val="00087DA3"/>
    <w:rsid w:val="00087F0A"/>
    <w:rsid w:val="0009023A"/>
    <w:rsid w:val="000903B8"/>
    <w:rsid w:val="000904B8"/>
    <w:rsid w:val="00091B33"/>
    <w:rsid w:val="00091EE2"/>
    <w:rsid w:val="00092011"/>
    <w:rsid w:val="00092976"/>
    <w:rsid w:val="00092E83"/>
    <w:rsid w:val="00094290"/>
    <w:rsid w:val="00094683"/>
    <w:rsid w:val="00094E8E"/>
    <w:rsid w:val="0009591E"/>
    <w:rsid w:val="00095E50"/>
    <w:rsid w:val="00095FE8"/>
    <w:rsid w:val="000962ED"/>
    <w:rsid w:val="00096A7B"/>
    <w:rsid w:val="000977FE"/>
    <w:rsid w:val="00097D04"/>
    <w:rsid w:val="000A0563"/>
    <w:rsid w:val="000A1143"/>
    <w:rsid w:val="000A1463"/>
    <w:rsid w:val="000A2786"/>
    <w:rsid w:val="000A2ACD"/>
    <w:rsid w:val="000A39F4"/>
    <w:rsid w:val="000A3A7B"/>
    <w:rsid w:val="000A48C7"/>
    <w:rsid w:val="000A4AAE"/>
    <w:rsid w:val="000A533A"/>
    <w:rsid w:val="000A5DF8"/>
    <w:rsid w:val="000A6981"/>
    <w:rsid w:val="000A7295"/>
    <w:rsid w:val="000A7A94"/>
    <w:rsid w:val="000A7F80"/>
    <w:rsid w:val="000B035F"/>
    <w:rsid w:val="000B07AF"/>
    <w:rsid w:val="000B0DB3"/>
    <w:rsid w:val="000B0F24"/>
    <w:rsid w:val="000B0F96"/>
    <w:rsid w:val="000B15D3"/>
    <w:rsid w:val="000B189F"/>
    <w:rsid w:val="000B1AF3"/>
    <w:rsid w:val="000B1B87"/>
    <w:rsid w:val="000B200F"/>
    <w:rsid w:val="000B29D3"/>
    <w:rsid w:val="000B2D36"/>
    <w:rsid w:val="000B2EF7"/>
    <w:rsid w:val="000B466D"/>
    <w:rsid w:val="000B4BA2"/>
    <w:rsid w:val="000B4F48"/>
    <w:rsid w:val="000B53F8"/>
    <w:rsid w:val="000B5CA5"/>
    <w:rsid w:val="000B5F7A"/>
    <w:rsid w:val="000B6099"/>
    <w:rsid w:val="000B630C"/>
    <w:rsid w:val="000B6917"/>
    <w:rsid w:val="000B6970"/>
    <w:rsid w:val="000B7172"/>
    <w:rsid w:val="000B7B87"/>
    <w:rsid w:val="000B7E29"/>
    <w:rsid w:val="000C05E3"/>
    <w:rsid w:val="000C0EFB"/>
    <w:rsid w:val="000C0FC4"/>
    <w:rsid w:val="000C3304"/>
    <w:rsid w:val="000C3364"/>
    <w:rsid w:val="000C338C"/>
    <w:rsid w:val="000C45A4"/>
    <w:rsid w:val="000C45FB"/>
    <w:rsid w:val="000C46F2"/>
    <w:rsid w:val="000C5021"/>
    <w:rsid w:val="000C523F"/>
    <w:rsid w:val="000C5D18"/>
    <w:rsid w:val="000C6090"/>
    <w:rsid w:val="000C6222"/>
    <w:rsid w:val="000C66E5"/>
    <w:rsid w:val="000C6BFD"/>
    <w:rsid w:val="000C7962"/>
    <w:rsid w:val="000C7D39"/>
    <w:rsid w:val="000C7EA9"/>
    <w:rsid w:val="000D0F76"/>
    <w:rsid w:val="000D1BD3"/>
    <w:rsid w:val="000D24DC"/>
    <w:rsid w:val="000D26FC"/>
    <w:rsid w:val="000D282A"/>
    <w:rsid w:val="000D2AD8"/>
    <w:rsid w:val="000D42DA"/>
    <w:rsid w:val="000D5B11"/>
    <w:rsid w:val="000D607E"/>
    <w:rsid w:val="000D613F"/>
    <w:rsid w:val="000D6259"/>
    <w:rsid w:val="000D641E"/>
    <w:rsid w:val="000D6B6F"/>
    <w:rsid w:val="000D6D2E"/>
    <w:rsid w:val="000D7545"/>
    <w:rsid w:val="000D75DC"/>
    <w:rsid w:val="000D7B2B"/>
    <w:rsid w:val="000D7E2A"/>
    <w:rsid w:val="000E00E4"/>
    <w:rsid w:val="000E05F1"/>
    <w:rsid w:val="000E06F6"/>
    <w:rsid w:val="000E0A69"/>
    <w:rsid w:val="000E0E17"/>
    <w:rsid w:val="000E1021"/>
    <w:rsid w:val="000E124F"/>
    <w:rsid w:val="000E171C"/>
    <w:rsid w:val="000E1BD9"/>
    <w:rsid w:val="000E1F23"/>
    <w:rsid w:val="000E1FB4"/>
    <w:rsid w:val="000E25B0"/>
    <w:rsid w:val="000E2D3D"/>
    <w:rsid w:val="000E3617"/>
    <w:rsid w:val="000E3BCE"/>
    <w:rsid w:val="000E3F0A"/>
    <w:rsid w:val="000E4080"/>
    <w:rsid w:val="000E43AC"/>
    <w:rsid w:val="000E4B13"/>
    <w:rsid w:val="000E4D96"/>
    <w:rsid w:val="000E52D8"/>
    <w:rsid w:val="000E5B1F"/>
    <w:rsid w:val="000E733A"/>
    <w:rsid w:val="000E7A91"/>
    <w:rsid w:val="000E7ECE"/>
    <w:rsid w:val="000F0900"/>
    <w:rsid w:val="000F0AC2"/>
    <w:rsid w:val="000F0DB2"/>
    <w:rsid w:val="000F10B9"/>
    <w:rsid w:val="000F12B8"/>
    <w:rsid w:val="000F1736"/>
    <w:rsid w:val="000F189C"/>
    <w:rsid w:val="000F1C77"/>
    <w:rsid w:val="000F222F"/>
    <w:rsid w:val="000F2745"/>
    <w:rsid w:val="000F27F0"/>
    <w:rsid w:val="000F2CE7"/>
    <w:rsid w:val="000F32EB"/>
    <w:rsid w:val="000F3F88"/>
    <w:rsid w:val="000F4990"/>
    <w:rsid w:val="000F51E8"/>
    <w:rsid w:val="000F5D10"/>
    <w:rsid w:val="000F6854"/>
    <w:rsid w:val="000F6C25"/>
    <w:rsid w:val="000F6C98"/>
    <w:rsid w:val="000F6E87"/>
    <w:rsid w:val="000F7F53"/>
    <w:rsid w:val="001002EB"/>
    <w:rsid w:val="00100755"/>
    <w:rsid w:val="001014A9"/>
    <w:rsid w:val="001018C5"/>
    <w:rsid w:val="00101B47"/>
    <w:rsid w:val="00101C1A"/>
    <w:rsid w:val="00101C75"/>
    <w:rsid w:val="001025CD"/>
    <w:rsid w:val="0010266D"/>
    <w:rsid w:val="001028C7"/>
    <w:rsid w:val="001029F4"/>
    <w:rsid w:val="00102FB6"/>
    <w:rsid w:val="001035B6"/>
    <w:rsid w:val="001044C5"/>
    <w:rsid w:val="001060AB"/>
    <w:rsid w:val="001063A0"/>
    <w:rsid w:val="00106A7D"/>
    <w:rsid w:val="0010733D"/>
    <w:rsid w:val="00110509"/>
    <w:rsid w:val="00110772"/>
    <w:rsid w:val="00110B80"/>
    <w:rsid w:val="00112122"/>
    <w:rsid w:val="001122B8"/>
    <w:rsid w:val="0011266F"/>
    <w:rsid w:val="00112D29"/>
    <w:rsid w:val="001132D8"/>
    <w:rsid w:val="00113435"/>
    <w:rsid w:val="001135A4"/>
    <w:rsid w:val="00113802"/>
    <w:rsid w:val="00114A19"/>
    <w:rsid w:val="00114CBE"/>
    <w:rsid w:val="00115A7B"/>
    <w:rsid w:val="0011613B"/>
    <w:rsid w:val="0011627C"/>
    <w:rsid w:val="00117BD5"/>
    <w:rsid w:val="00117D56"/>
    <w:rsid w:val="001200FC"/>
    <w:rsid w:val="001206C8"/>
    <w:rsid w:val="001206FB"/>
    <w:rsid w:val="00121181"/>
    <w:rsid w:val="0012141D"/>
    <w:rsid w:val="0012143E"/>
    <w:rsid w:val="001224BE"/>
    <w:rsid w:val="00122887"/>
    <w:rsid w:val="0012368B"/>
    <w:rsid w:val="001242A9"/>
    <w:rsid w:val="0012444E"/>
    <w:rsid w:val="0012446E"/>
    <w:rsid w:val="00125287"/>
    <w:rsid w:val="00125A02"/>
    <w:rsid w:val="00125BDC"/>
    <w:rsid w:val="00125FC8"/>
    <w:rsid w:val="00126AFD"/>
    <w:rsid w:val="00126DDF"/>
    <w:rsid w:val="001276F1"/>
    <w:rsid w:val="00127767"/>
    <w:rsid w:val="00127D7A"/>
    <w:rsid w:val="001302A3"/>
    <w:rsid w:val="001304C9"/>
    <w:rsid w:val="001305A8"/>
    <w:rsid w:val="00131194"/>
    <w:rsid w:val="00131290"/>
    <w:rsid w:val="001315C0"/>
    <w:rsid w:val="00132328"/>
    <w:rsid w:val="001324EF"/>
    <w:rsid w:val="00132B36"/>
    <w:rsid w:val="00132ED5"/>
    <w:rsid w:val="00134825"/>
    <w:rsid w:val="00134881"/>
    <w:rsid w:val="00134F11"/>
    <w:rsid w:val="0013541C"/>
    <w:rsid w:val="001364B3"/>
    <w:rsid w:val="00137D41"/>
    <w:rsid w:val="00137E2B"/>
    <w:rsid w:val="00137FBD"/>
    <w:rsid w:val="00140059"/>
    <w:rsid w:val="0014071C"/>
    <w:rsid w:val="00140D6D"/>
    <w:rsid w:val="00141524"/>
    <w:rsid w:val="00141536"/>
    <w:rsid w:val="00141DE3"/>
    <w:rsid w:val="00141E16"/>
    <w:rsid w:val="00141ED3"/>
    <w:rsid w:val="00142479"/>
    <w:rsid w:val="00142B27"/>
    <w:rsid w:val="00143256"/>
    <w:rsid w:val="0014360F"/>
    <w:rsid w:val="00144240"/>
    <w:rsid w:val="001448A8"/>
    <w:rsid w:val="00144C08"/>
    <w:rsid w:val="00144CAC"/>
    <w:rsid w:val="00144EAC"/>
    <w:rsid w:val="001450EC"/>
    <w:rsid w:val="001454BB"/>
    <w:rsid w:val="00145540"/>
    <w:rsid w:val="00145AF2"/>
    <w:rsid w:val="00145BCF"/>
    <w:rsid w:val="00145DB6"/>
    <w:rsid w:val="00147A06"/>
    <w:rsid w:val="00147DF2"/>
    <w:rsid w:val="001502B3"/>
    <w:rsid w:val="00150B38"/>
    <w:rsid w:val="00151D5D"/>
    <w:rsid w:val="001521A0"/>
    <w:rsid w:val="00152840"/>
    <w:rsid w:val="00152D73"/>
    <w:rsid w:val="00152FD9"/>
    <w:rsid w:val="00153593"/>
    <w:rsid w:val="0015377A"/>
    <w:rsid w:val="00154014"/>
    <w:rsid w:val="001544D2"/>
    <w:rsid w:val="001547FD"/>
    <w:rsid w:val="00154CBC"/>
    <w:rsid w:val="001556AC"/>
    <w:rsid w:val="00155EAA"/>
    <w:rsid w:val="001566B7"/>
    <w:rsid w:val="00156AFE"/>
    <w:rsid w:val="00157368"/>
    <w:rsid w:val="00157E05"/>
    <w:rsid w:val="00160700"/>
    <w:rsid w:val="00161759"/>
    <w:rsid w:val="00161F73"/>
    <w:rsid w:val="00162692"/>
    <w:rsid w:val="00162DD2"/>
    <w:rsid w:val="00162DE5"/>
    <w:rsid w:val="00163F5B"/>
    <w:rsid w:val="00165571"/>
    <w:rsid w:val="0016628D"/>
    <w:rsid w:val="00166EB9"/>
    <w:rsid w:val="00167007"/>
    <w:rsid w:val="001671AE"/>
    <w:rsid w:val="0016762E"/>
    <w:rsid w:val="0017058A"/>
    <w:rsid w:val="001707A2"/>
    <w:rsid w:val="00170ABD"/>
    <w:rsid w:val="00170CDB"/>
    <w:rsid w:val="00170D65"/>
    <w:rsid w:val="00171009"/>
    <w:rsid w:val="00171042"/>
    <w:rsid w:val="001719D0"/>
    <w:rsid w:val="00172A8F"/>
    <w:rsid w:val="00172D2B"/>
    <w:rsid w:val="001734EC"/>
    <w:rsid w:val="00173611"/>
    <w:rsid w:val="001738F3"/>
    <w:rsid w:val="0017480C"/>
    <w:rsid w:val="001752B0"/>
    <w:rsid w:val="001756EA"/>
    <w:rsid w:val="00175BDA"/>
    <w:rsid w:val="00177740"/>
    <w:rsid w:val="0018007F"/>
    <w:rsid w:val="00180278"/>
    <w:rsid w:val="00180348"/>
    <w:rsid w:val="0018071E"/>
    <w:rsid w:val="00181674"/>
    <w:rsid w:val="00181CED"/>
    <w:rsid w:val="00181DB4"/>
    <w:rsid w:val="00181E4B"/>
    <w:rsid w:val="00182145"/>
    <w:rsid w:val="00182789"/>
    <w:rsid w:val="001828DD"/>
    <w:rsid w:val="00182986"/>
    <w:rsid w:val="00182EC7"/>
    <w:rsid w:val="001839DE"/>
    <w:rsid w:val="0018451A"/>
    <w:rsid w:val="0018481C"/>
    <w:rsid w:val="00184EE7"/>
    <w:rsid w:val="001853A2"/>
    <w:rsid w:val="001853F7"/>
    <w:rsid w:val="001857DA"/>
    <w:rsid w:val="00185D79"/>
    <w:rsid w:val="001867B8"/>
    <w:rsid w:val="0018693C"/>
    <w:rsid w:val="0018716C"/>
    <w:rsid w:val="00187B29"/>
    <w:rsid w:val="00187E5E"/>
    <w:rsid w:val="00190668"/>
    <w:rsid w:val="00190D8E"/>
    <w:rsid w:val="0019118E"/>
    <w:rsid w:val="00191649"/>
    <w:rsid w:val="00191ADC"/>
    <w:rsid w:val="001921AE"/>
    <w:rsid w:val="00192542"/>
    <w:rsid w:val="001927BE"/>
    <w:rsid w:val="00193329"/>
    <w:rsid w:val="00193907"/>
    <w:rsid w:val="001942E9"/>
    <w:rsid w:val="001947F5"/>
    <w:rsid w:val="00195E5C"/>
    <w:rsid w:val="001964BA"/>
    <w:rsid w:val="00196BE4"/>
    <w:rsid w:val="001979F8"/>
    <w:rsid w:val="001A0189"/>
    <w:rsid w:val="001A01BD"/>
    <w:rsid w:val="001A036A"/>
    <w:rsid w:val="001A0565"/>
    <w:rsid w:val="001A0A78"/>
    <w:rsid w:val="001A0B5D"/>
    <w:rsid w:val="001A0CA7"/>
    <w:rsid w:val="001A1122"/>
    <w:rsid w:val="001A12C4"/>
    <w:rsid w:val="001A13F9"/>
    <w:rsid w:val="001A14C1"/>
    <w:rsid w:val="001A1FA5"/>
    <w:rsid w:val="001A2401"/>
    <w:rsid w:val="001A2AFB"/>
    <w:rsid w:val="001A4A43"/>
    <w:rsid w:val="001A4AFC"/>
    <w:rsid w:val="001A5310"/>
    <w:rsid w:val="001A59DF"/>
    <w:rsid w:val="001A6208"/>
    <w:rsid w:val="001A6277"/>
    <w:rsid w:val="001A68BC"/>
    <w:rsid w:val="001A6C29"/>
    <w:rsid w:val="001A7289"/>
    <w:rsid w:val="001A72D2"/>
    <w:rsid w:val="001B04D7"/>
    <w:rsid w:val="001B1824"/>
    <w:rsid w:val="001B1CF4"/>
    <w:rsid w:val="001B22F3"/>
    <w:rsid w:val="001B23D1"/>
    <w:rsid w:val="001B27E9"/>
    <w:rsid w:val="001B2CA1"/>
    <w:rsid w:val="001B2F3C"/>
    <w:rsid w:val="001B3153"/>
    <w:rsid w:val="001B35A1"/>
    <w:rsid w:val="001B3AE0"/>
    <w:rsid w:val="001B3DC8"/>
    <w:rsid w:val="001B4548"/>
    <w:rsid w:val="001B5075"/>
    <w:rsid w:val="001B5307"/>
    <w:rsid w:val="001B53C1"/>
    <w:rsid w:val="001B5FBA"/>
    <w:rsid w:val="001B6E68"/>
    <w:rsid w:val="001B7187"/>
    <w:rsid w:val="001B7319"/>
    <w:rsid w:val="001B7697"/>
    <w:rsid w:val="001C0AF1"/>
    <w:rsid w:val="001C120B"/>
    <w:rsid w:val="001C1E42"/>
    <w:rsid w:val="001C28DD"/>
    <w:rsid w:val="001C296B"/>
    <w:rsid w:val="001C2CF1"/>
    <w:rsid w:val="001C36A5"/>
    <w:rsid w:val="001C3944"/>
    <w:rsid w:val="001C3C00"/>
    <w:rsid w:val="001C3F98"/>
    <w:rsid w:val="001C40C6"/>
    <w:rsid w:val="001C41A3"/>
    <w:rsid w:val="001C482B"/>
    <w:rsid w:val="001C5364"/>
    <w:rsid w:val="001C55DF"/>
    <w:rsid w:val="001C597B"/>
    <w:rsid w:val="001C5A1C"/>
    <w:rsid w:val="001C5B3C"/>
    <w:rsid w:val="001C5B7F"/>
    <w:rsid w:val="001C656F"/>
    <w:rsid w:val="001C65C6"/>
    <w:rsid w:val="001C6C69"/>
    <w:rsid w:val="001C6DCE"/>
    <w:rsid w:val="001C6FA6"/>
    <w:rsid w:val="001C7EF0"/>
    <w:rsid w:val="001D0441"/>
    <w:rsid w:val="001D1087"/>
    <w:rsid w:val="001D12CB"/>
    <w:rsid w:val="001D134A"/>
    <w:rsid w:val="001D1734"/>
    <w:rsid w:val="001D19F6"/>
    <w:rsid w:val="001D1B05"/>
    <w:rsid w:val="001D1D4D"/>
    <w:rsid w:val="001D2019"/>
    <w:rsid w:val="001D2365"/>
    <w:rsid w:val="001D286F"/>
    <w:rsid w:val="001D2D45"/>
    <w:rsid w:val="001D30B4"/>
    <w:rsid w:val="001D32CA"/>
    <w:rsid w:val="001D3FB2"/>
    <w:rsid w:val="001D4040"/>
    <w:rsid w:val="001D540C"/>
    <w:rsid w:val="001D6103"/>
    <w:rsid w:val="001D636C"/>
    <w:rsid w:val="001D6386"/>
    <w:rsid w:val="001D64D2"/>
    <w:rsid w:val="001D7408"/>
    <w:rsid w:val="001D7992"/>
    <w:rsid w:val="001E01FF"/>
    <w:rsid w:val="001E0CA3"/>
    <w:rsid w:val="001E11D8"/>
    <w:rsid w:val="001E13E4"/>
    <w:rsid w:val="001E15E7"/>
    <w:rsid w:val="001E27E5"/>
    <w:rsid w:val="001E2A1F"/>
    <w:rsid w:val="001E310A"/>
    <w:rsid w:val="001E3F5A"/>
    <w:rsid w:val="001E4460"/>
    <w:rsid w:val="001E44D3"/>
    <w:rsid w:val="001E45B4"/>
    <w:rsid w:val="001E4D6E"/>
    <w:rsid w:val="001E549C"/>
    <w:rsid w:val="001E57E3"/>
    <w:rsid w:val="001E6108"/>
    <w:rsid w:val="001E64EE"/>
    <w:rsid w:val="001E6848"/>
    <w:rsid w:val="001E69FA"/>
    <w:rsid w:val="001E6B93"/>
    <w:rsid w:val="001F0A80"/>
    <w:rsid w:val="001F122F"/>
    <w:rsid w:val="001F12D6"/>
    <w:rsid w:val="001F14F6"/>
    <w:rsid w:val="001F1FA1"/>
    <w:rsid w:val="001F207C"/>
    <w:rsid w:val="001F2A6C"/>
    <w:rsid w:val="001F2C3C"/>
    <w:rsid w:val="001F2E5F"/>
    <w:rsid w:val="001F3487"/>
    <w:rsid w:val="001F35CD"/>
    <w:rsid w:val="001F376B"/>
    <w:rsid w:val="001F3775"/>
    <w:rsid w:val="001F382F"/>
    <w:rsid w:val="001F4C1C"/>
    <w:rsid w:val="001F4C87"/>
    <w:rsid w:val="001F5959"/>
    <w:rsid w:val="001F5990"/>
    <w:rsid w:val="001F5B62"/>
    <w:rsid w:val="001F6068"/>
    <w:rsid w:val="001F6EA2"/>
    <w:rsid w:val="001F7D80"/>
    <w:rsid w:val="0020035C"/>
    <w:rsid w:val="002003FC"/>
    <w:rsid w:val="0020061B"/>
    <w:rsid w:val="002009FF"/>
    <w:rsid w:val="00201ADE"/>
    <w:rsid w:val="002025A7"/>
    <w:rsid w:val="00203176"/>
    <w:rsid w:val="00203A1F"/>
    <w:rsid w:val="00203B59"/>
    <w:rsid w:val="0020434C"/>
    <w:rsid w:val="00205621"/>
    <w:rsid w:val="00207EE9"/>
    <w:rsid w:val="00210172"/>
    <w:rsid w:val="002114C4"/>
    <w:rsid w:val="00211A1D"/>
    <w:rsid w:val="00212775"/>
    <w:rsid w:val="00212E45"/>
    <w:rsid w:val="002134F3"/>
    <w:rsid w:val="002139E6"/>
    <w:rsid w:val="00213D20"/>
    <w:rsid w:val="00214621"/>
    <w:rsid w:val="0021479A"/>
    <w:rsid w:val="00214B03"/>
    <w:rsid w:val="00215358"/>
    <w:rsid w:val="00217251"/>
    <w:rsid w:val="00217AFE"/>
    <w:rsid w:val="00220323"/>
    <w:rsid w:val="002205E6"/>
    <w:rsid w:val="00220926"/>
    <w:rsid w:val="00220DE7"/>
    <w:rsid w:val="0022124C"/>
    <w:rsid w:val="002212C4"/>
    <w:rsid w:val="0022178B"/>
    <w:rsid w:val="002217CE"/>
    <w:rsid w:val="0022247A"/>
    <w:rsid w:val="00222F3F"/>
    <w:rsid w:val="002231BF"/>
    <w:rsid w:val="0022338C"/>
    <w:rsid w:val="00223858"/>
    <w:rsid w:val="00223EF4"/>
    <w:rsid w:val="00223FBB"/>
    <w:rsid w:val="002253D7"/>
    <w:rsid w:val="00225711"/>
    <w:rsid w:val="00225AF5"/>
    <w:rsid w:val="00225FA1"/>
    <w:rsid w:val="00226E38"/>
    <w:rsid w:val="0022758F"/>
    <w:rsid w:val="0022777A"/>
    <w:rsid w:val="00227AAC"/>
    <w:rsid w:val="00227C5E"/>
    <w:rsid w:val="00230824"/>
    <w:rsid w:val="00231026"/>
    <w:rsid w:val="00231487"/>
    <w:rsid w:val="00231E57"/>
    <w:rsid w:val="0023257B"/>
    <w:rsid w:val="00232754"/>
    <w:rsid w:val="002328D5"/>
    <w:rsid w:val="002328FF"/>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75C1"/>
    <w:rsid w:val="00237873"/>
    <w:rsid w:val="002378C2"/>
    <w:rsid w:val="00237FCA"/>
    <w:rsid w:val="00240307"/>
    <w:rsid w:val="00240690"/>
    <w:rsid w:val="0024110E"/>
    <w:rsid w:val="0024119E"/>
    <w:rsid w:val="002417A7"/>
    <w:rsid w:val="002425B8"/>
    <w:rsid w:val="002427B8"/>
    <w:rsid w:val="00242839"/>
    <w:rsid w:val="00242DA7"/>
    <w:rsid w:val="002433B6"/>
    <w:rsid w:val="00243C8E"/>
    <w:rsid w:val="00243EBD"/>
    <w:rsid w:val="00244840"/>
    <w:rsid w:val="002450A6"/>
    <w:rsid w:val="00245F2C"/>
    <w:rsid w:val="0024642C"/>
    <w:rsid w:val="00246AAC"/>
    <w:rsid w:val="002507A6"/>
    <w:rsid w:val="0025160A"/>
    <w:rsid w:val="00251841"/>
    <w:rsid w:val="00251873"/>
    <w:rsid w:val="00251889"/>
    <w:rsid w:val="002522BC"/>
    <w:rsid w:val="00252880"/>
    <w:rsid w:val="00252FE9"/>
    <w:rsid w:val="00253D0F"/>
    <w:rsid w:val="00254EF7"/>
    <w:rsid w:val="00255A8F"/>
    <w:rsid w:val="00255CED"/>
    <w:rsid w:val="002563FE"/>
    <w:rsid w:val="00256465"/>
    <w:rsid w:val="00256E93"/>
    <w:rsid w:val="00256EFF"/>
    <w:rsid w:val="00256F1C"/>
    <w:rsid w:val="002571EB"/>
    <w:rsid w:val="00257271"/>
    <w:rsid w:val="002574C5"/>
    <w:rsid w:val="00260C34"/>
    <w:rsid w:val="002617EB"/>
    <w:rsid w:val="002618A4"/>
    <w:rsid w:val="002620FA"/>
    <w:rsid w:val="00263369"/>
    <w:rsid w:val="00264394"/>
    <w:rsid w:val="002643FA"/>
    <w:rsid w:val="002645CF"/>
    <w:rsid w:val="002647B9"/>
    <w:rsid w:val="002649B3"/>
    <w:rsid w:val="00264D05"/>
    <w:rsid w:val="0026538B"/>
    <w:rsid w:val="00266B8C"/>
    <w:rsid w:val="00266BE3"/>
    <w:rsid w:val="002678BE"/>
    <w:rsid w:val="00267A2E"/>
    <w:rsid w:val="00267F26"/>
    <w:rsid w:val="0027063B"/>
    <w:rsid w:val="0027071A"/>
    <w:rsid w:val="00270E53"/>
    <w:rsid w:val="00270F50"/>
    <w:rsid w:val="002714CD"/>
    <w:rsid w:val="002719FB"/>
    <w:rsid w:val="00271EA9"/>
    <w:rsid w:val="002725C1"/>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E58"/>
    <w:rsid w:val="00277F81"/>
    <w:rsid w:val="0027AA4A"/>
    <w:rsid w:val="00280046"/>
    <w:rsid w:val="00280957"/>
    <w:rsid w:val="0028111D"/>
    <w:rsid w:val="0028146D"/>
    <w:rsid w:val="0028287C"/>
    <w:rsid w:val="00282A32"/>
    <w:rsid w:val="00283359"/>
    <w:rsid w:val="00283A96"/>
    <w:rsid w:val="00283B4B"/>
    <w:rsid w:val="00283C1E"/>
    <w:rsid w:val="00283F23"/>
    <w:rsid w:val="00284255"/>
    <w:rsid w:val="002844FB"/>
    <w:rsid w:val="00284B9B"/>
    <w:rsid w:val="00284C3B"/>
    <w:rsid w:val="00284E43"/>
    <w:rsid w:val="0028506A"/>
    <w:rsid w:val="00285459"/>
    <w:rsid w:val="0028546B"/>
    <w:rsid w:val="002855BC"/>
    <w:rsid w:val="00286051"/>
    <w:rsid w:val="00286052"/>
    <w:rsid w:val="00286145"/>
    <w:rsid w:val="002863FF"/>
    <w:rsid w:val="00287563"/>
    <w:rsid w:val="002878C3"/>
    <w:rsid w:val="00290408"/>
    <w:rsid w:val="00291483"/>
    <w:rsid w:val="00291B20"/>
    <w:rsid w:val="00291F5F"/>
    <w:rsid w:val="00292002"/>
    <w:rsid w:val="00292619"/>
    <w:rsid w:val="002926CC"/>
    <w:rsid w:val="00293CF6"/>
    <w:rsid w:val="002941F8"/>
    <w:rsid w:val="00294EF5"/>
    <w:rsid w:val="002950FA"/>
    <w:rsid w:val="0029551E"/>
    <w:rsid w:val="00295711"/>
    <w:rsid w:val="002961C0"/>
    <w:rsid w:val="00296428"/>
    <w:rsid w:val="00296792"/>
    <w:rsid w:val="00297968"/>
    <w:rsid w:val="002A042D"/>
    <w:rsid w:val="002A1172"/>
    <w:rsid w:val="002A17F8"/>
    <w:rsid w:val="002A18B0"/>
    <w:rsid w:val="002A3987"/>
    <w:rsid w:val="002A5132"/>
    <w:rsid w:val="002A5297"/>
    <w:rsid w:val="002A575A"/>
    <w:rsid w:val="002A62C6"/>
    <w:rsid w:val="002A7AD6"/>
    <w:rsid w:val="002A7B7C"/>
    <w:rsid w:val="002A7FDC"/>
    <w:rsid w:val="002B01D5"/>
    <w:rsid w:val="002B0665"/>
    <w:rsid w:val="002B07E2"/>
    <w:rsid w:val="002B0E53"/>
    <w:rsid w:val="002B11A7"/>
    <w:rsid w:val="002B1C54"/>
    <w:rsid w:val="002B2083"/>
    <w:rsid w:val="002B3FA3"/>
    <w:rsid w:val="002B4371"/>
    <w:rsid w:val="002B498D"/>
    <w:rsid w:val="002B49B9"/>
    <w:rsid w:val="002B4AE4"/>
    <w:rsid w:val="002B4BAE"/>
    <w:rsid w:val="002B4E18"/>
    <w:rsid w:val="002B52C9"/>
    <w:rsid w:val="002B52FE"/>
    <w:rsid w:val="002B57B3"/>
    <w:rsid w:val="002B57EB"/>
    <w:rsid w:val="002B5B05"/>
    <w:rsid w:val="002B62EC"/>
    <w:rsid w:val="002B6379"/>
    <w:rsid w:val="002B672A"/>
    <w:rsid w:val="002B67E6"/>
    <w:rsid w:val="002B6AEA"/>
    <w:rsid w:val="002B6D23"/>
    <w:rsid w:val="002B6DAA"/>
    <w:rsid w:val="002B75FF"/>
    <w:rsid w:val="002B76AD"/>
    <w:rsid w:val="002B777F"/>
    <w:rsid w:val="002C01C9"/>
    <w:rsid w:val="002C10EB"/>
    <w:rsid w:val="002C1E20"/>
    <w:rsid w:val="002C2502"/>
    <w:rsid w:val="002C2CAA"/>
    <w:rsid w:val="002C37D9"/>
    <w:rsid w:val="002C37E7"/>
    <w:rsid w:val="002C413A"/>
    <w:rsid w:val="002C44ED"/>
    <w:rsid w:val="002C556C"/>
    <w:rsid w:val="002C55C3"/>
    <w:rsid w:val="002C55D3"/>
    <w:rsid w:val="002C5898"/>
    <w:rsid w:val="002C6581"/>
    <w:rsid w:val="002C6696"/>
    <w:rsid w:val="002C6F4A"/>
    <w:rsid w:val="002C724F"/>
    <w:rsid w:val="002C78B1"/>
    <w:rsid w:val="002D027C"/>
    <w:rsid w:val="002D03ED"/>
    <w:rsid w:val="002D06D3"/>
    <w:rsid w:val="002D1129"/>
    <w:rsid w:val="002D14DB"/>
    <w:rsid w:val="002D1804"/>
    <w:rsid w:val="002D2319"/>
    <w:rsid w:val="002D2404"/>
    <w:rsid w:val="002D25E7"/>
    <w:rsid w:val="002D298C"/>
    <w:rsid w:val="002D31DA"/>
    <w:rsid w:val="002D3B15"/>
    <w:rsid w:val="002D3B9A"/>
    <w:rsid w:val="002D3D65"/>
    <w:rsid w:val="002D47DE"/>
    <w:rsid w:val="002D47EA"/>
    <w:rsid w:val="002D59B6"/>
    <w:rsid w:val="002D65CE"/>
    <w:rsid w:val="002D67E5"/>
    <w:rsid w:val="002D690D"/>
    <w:rsid w:val="002D6A59"/>
    <w:rsid w:val="002D7086"/>
    <w:rsid w:val="002E0E0E"/>
    <w:rsid w:val="002E180F"/>
    <w:rsid w:val="002E1CD9"/>
    <w:rsid w:val="002E1D17"/>
    <w:rsid w:val="002E2EB2"/>
    <w:rsid w:val="002E467D"/>
    <w:rsid w:val="002E55E3"/>
    <w:rsid w:val="002E67D9"/>
    <w:rsid w:val="002E688F"/>
    <w:rsid w:val="002E6A16"/>
    <w:rsid w:val="002E704F"/>
    <w:rsid w:val="002F0DB5"/>
    <w:rsid w:val="002F0EBF"/>
    <w:rsid w:val="002F14AC"/>
    <w:rsid w:val="002F1785"/>
    <w:rsid w:val="002F182D"/>
    <w:rsid w:val="002F1872"/>
    <w:rsid w:val="002F1C5B"/>
    <w:rsid w:val="002F1CF6"/>
    <w:rsid w:val="002F1FCF"/>
    <w:rsid w:val="002F28A2"/>
    <w:rsid w:val="002F353F"/>
    <w:rsid w:val="002F3CC8"/>
    <w:rsid w:val="002F4CE9"/>
    <w:rsid w:val="002F5053"/>
    <w:rsid w:val="002F56D1"/>
    <w:rsid w:val="002F5D43"/>
    <w:rsid w:val="002F64B9"/>
    <w:rsid w:val="002F7489"/>
    <w:rsid w:val="002F7E38"/>
    <w:rsid w:val="0030011E"/>
    <w:rsid w:val="00300253"/>
    <w:rsid w:val="003002D9"/>
    <w:rsid w:val="00301E35"/>
    <w:rsid w:val="003034A4"/>
    <w:rsid w:val="00303D8F"/>
    <w:rsid w:val="003041B4"/>
    <w:rsid w:val="0030435E"/>
    <w:rsid w:val="0030489B"/>
    <w:rsid w:val="00305323"/>
    <w:rsid w:val="00305485"/>
    <w:rsid w:val="003060ED"/>
    <w:rsid w:val="00306897"/>
    <w:rsid w:val="00306A83"/>
    <w:rsid w:val="00306B3B"/>
    <w:rsid w:val="00306E5E"/>
    <w:rsid w:val="0030703C"/>
    <w:rsid w:val="00307269"/>
    <w:rsid w:val="003072D1"/>
    <w:rsid w:val="00307874"/>
    <w:rsid w:val="00307B39"/>
    <w:rsid w:val="003106B5"/>
    <w:rsid w:val="003106C2"/>
    <w:rsid w:val="00310F4E"/>
    <w:rsid w:val="0031142B"/>
    <w:rsid w:val="003116B7"/>
    <w:rsid w:val="0031264E"/>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7609"/>
    <w:rsid w:val="00317842"/>
    <w:rsid w:val="00317AB4"/>
    <w:rsid w:val="00317E27"/>
    <w:rsid w:val="003203BE"/>
    <w:rsid w:val="00320907"/>
    <w:rsid w:val="003213C1"/>
    <w:rsid w:val="00321763"/>
    <w:rsid w:val="003228AD"/>
    <w:rsid w:val="003230E8"/>
    <w:rsid w:val="00323412"/>
    <w:rsid w:val="00323421"/>
    <w:rsid w:val="003234CC"/>
    <w:rsid w:val="0032355E"/>
    <w:rsid w:val="003235B6"/>
    <w:rsid w:val="00323CE7"/>
    <w:rsid w:val="00323DD6"/>
    <w:rsid w:val="00323FF6"/>
    <w:rsid w:val="00324135"/>
    <w:rsid w:val="003241B0"/>
    <w:rsid w:val="00324717"/>
    <w:rsid w:val="003247F9"/>
    <w:rsid w:val="003249BA"/>
    <w:rsid w:val="00326246"/>
    <w:rsid w:val="003263AE"/>
    <w:rsid w:val="00326706"/>
    <w:rsid w:val="00326CC4"/>
    <w:rsid w:val="0032755B"/>
    <w:rsid w:val="00327989"/>
    <w:rsid w:val="00327AE1"/>
    <w:rsid w:val="00330290"/>
    <w:rsid w:val="00330656"/>
    <w:rsid w:val="00330ACD"/>
    <w:rsid w:val="00331929"/>
    <w:rsid w:val="00331A54"/>
    <w:rsid w:val="00331E71"/>
    <w:rsid w:val="00333C7E"/>
    <w:rsid w:val="00333D04"/>
    <w:rsid w:val="003342E1"/>
    <w:rsid w:val="00334367"/>
    <w:rsid w:val="00334488"/>
    <w:rsid w:val="00334499"/>
    <w:rsid w:val="0033486B"/>
    <w:rsid w:val="00335240"/>
    <w:rsid w:val="00336149"/>
    <w:rsid w:val="003365EF"/>
    <w:rsid w:val="003375D7"/>
    <w:rsid w:val="00337EAA"/>
    <w:rsid w:val="003408B3"/>
    <w:rsid w:val="00341159"/>
    <w:rsid w:val="0034154C"/>
    <w:rsid w:val="00341604"/>
    <w:rsid w:val="00341709"/>
    <w:rsid w:val="00341A92"/>
    <w:rsid w:val="00341D6D"/>
    <w:rsid w:val="00342809"/>
    <w:rsid w:val="00342FB8"/>
    <w:rsid w:val="0034305E"/>
    <w:rsid w:val="003431AF"/>
    <w:rsid w:val="00344227"/>
    <w:rsid w:val="00345F63"/>
    <w:rsid w:val="00347E25"/>
    <w:rsid w:val="00347F37"/>
    <w:rsid w:val="00347FEC"/>
    <w:rsid w:val="003500F5"/>
    <w:rsid w:val="0035019E"/>
    <w:rsid w:val="00350D97"/>
    <w:rsid w:val="00351125"/>
    <w:rsid w:val="003517E0"/>
    <w:rsid w:val="00351BAB"/>
    <w:rsid w:val="00351C84"/>
    <w:rsid w:val="00352140"/>
    <w:rsid w:val="00352309"/>
    <w:rsid w:val="00352362"/>
    <w:rsid w:val="003531F4"/>
    <w:rsid w:val="003534DE"/>
    <w:rsid w:val="00353876"/>
    <w:rsid w:val="00353DA0"/>
    <w:rsid w:val="003542B1"/>
    <w:rsid w:val="00354FA7"/>
    <w:rsid w:val="003560F2"/>
    <w:rsid w:val="00356741"/>
    <w:rsid w:val="0035790E"/>
    <w:rsid w:val="00357B24"/>
    <w:rsid w:val="00360377"/>
    <w:rsid w:val="00360428"/>
    <w:rsid w:val="0036064D"/>
    <w:rsid w:val="00360CBB"/>
    <w:rsid w:val="00361B99"/>
    <w:rsid w:val="00361E20"/>
    <w:rsid w:val="003620A3"/>
    <w:rsid w:val="00362B25"/>
    <w:rsid w:val="00363C0B"/>
    <w:rsid w:val="00363DFB"/>
    <w:rsid w:val="0036486B"/>
    <w:rsid w:val="003648AD"/>
    <w:rsid w:val="00364B72"/>
    <w:rsid w:val="00365626"/>
    <w:rsid w:val="0036616A"/>
    <w:rsid w:val="00366978"/>
    <w:rsid w:val="00366B21"/>
    <w:rsid w:val="00367460"/>
    <w:rsid w:val="0036749C"/>
    <w:rsid w:val="0036752C"/>
    <w:rsid w:val="00367712"/>
    <w:rsid w:val="00367B9A"/>
    <w:rsid w:val="00367FE7"/>
    <w:rsid w:val="00371002"/>
    <w:rsid w:val="003716CB"/>
    <w:rsid w:val="00371890"/>
    <w:rsid w:val="003719D4"/>
    <w:rsid w:val="00371C07"/>
    <w:rsid w:val="00372164"/>
    <w:rsid w:val="0037284B"/>
    <w:rsid w:val="00374771"/>
    <w:rsid w:val="003747B8"/>
    <w:rsid w:val="00374FE2"/>
    <w:rsid w:val="00375DFD"/>
    <w:rsid w:val="003763C2"/>
    <w:rsid w:val="0037652F"/>
    <w:rsid w:val="0037703D"/>
    <w:rsid w:val="00377725"/>
    <w:rsid w:val="00377E40"/>
    <w:rsid w:val="003805A7"/>
    <w:rsid w:val="003808A3"/>
    <w:rsid w:val="003808A7"/>
    <w:rsid w:val="00381376"/>
    <w:rsid w:val="003813D4"/>
    <w:rsid w:val="00381934"/>
    <w:rsid w:val="00382AED"/>
    <w:rsid w:val="00383C62"/>
    <w:rsid w:val="00383C95"/>
    <w:rsid w:val="0038475E"/>
    <w:rsid w:val="003851CC"/>
    <w:rsid w:val="00385251"/>
    <w:rsid w:val="00385D9C"/>
    <w:rsid w:val="003864BE"/>
    <w:rsid w:val="00386896"/>
    <w:rsid w:val="00386EB6"/>
    <w:rsid w:val="00387033"/>
    <w:rsid w:val="003877F6"/>
    <w:rsid w:val="00387860"/>
    <w:rsid w:val="003904A9"/>
    <w:rsid w:val="00390826"/>
    <w:rsid w:val="00390AFC"/>
    <w:rsid w:val="00390FDB"/>
    <w:rsid w:val="00391519"/>
    <w:rsid w:val="0039197D"/>
    <w:rsid w:val="00391CE9"/>
    <w:rsid w:val="00391FFB"/>
    <w:rsid w:val="003923B3"/>
    <w:rsid w:val="0039476B"/>
    <w:rsid w:val="00394918"/>
    <w:rsid w:val="0039493F"/>
    <w:rsid w:val="00394B29"/>
    <w:rsid w:val="00394F07"/>
    <w:rsid w:val="0039508B"/>
    <w:rsid w:val="003955C7"/>
    <w:rsid w:val="00395CBF"/>
    <w:rsid w:val="00396123"/>
    <w:rsid w:val="00396D07"/>
    <w:rsid w:val="00397572"/>
    <w:rsid w:val="003975B3"/>
    <w:rsid w:val="003978C0"/>
    <w:rsid w:val="00397E7E"/>
    <w:rsid w:val="003A013A"/>
    <w:rsid w:val="003A037F"/>
    <w:rsid w:val="003A0965"/>
    <w:rsid w:val="003A1185"/>
    <w:rsid w:val="003A1300"/>
    <w:rsid w:val="003A1342"/>
    <w:rsid w:val="003A1351"/>
    <w:rsid w:val="003A15BC"/>
    <w:rsid w:val="003A1A4F"/>
    <w:rsid w:val="003A1CD4"/>
    <w:rsid w:val="003A31D9"/>
    <w:rsid w:val="003A4135"/>
    <w:rsid w:val="003A46DE"/>
    <w:rsid w:val="003A49A2"/>
    <w:rsid w:val="003A4C9C"/>
    <w:rsid w:val="003A5338"/>
    <w:rsid w:val="003A53BD"/>
    <w:rsid w:val="003A5401"/>
    <w:rsid w:val="003A5671"/>
    <w:rsid w:val="003A5FA5"/>
    <w:rsid w:val="003A7312"/>
    <w:rsid w:val="003B271B"/>
    <w:rsid w:val="003B2ADF"/>
    <w:rsid w:val="003B2D2E"/>
    <w:rsid w:val="003B2EED"/>
    <w:rsid w:val="003B2FB5"/>
    <w:rsid w:val="003B3040"/>
    <w:rsid w:val="003B3330"/>
    <w:rsid w:val="003B3516"/>
    <w:rsid w:val="003B38A2"/>
    <w:rsid w:val="003B4244"/>
    <w:rsid w:val="003B4855"/>
    <w:rsid w:val="003B4A3F"/>
    <w:rsid w:val="003B5269"/>
    <w:rsid w:val="003B542C"/>
    <w:rsid w:val="003B560D"/>
    <w:rsid w:val="003B5C0F"/>
    <w:rsid w:val="003B5D78"/>
    <w:rsid w:val="003B5E15"/>
    <w:rsid w:val="003B6690"/>
    <w:rsid w:val="003B6E9B"/>
    <w:rsid w:val="003B6F45"/>
    <w:rsid w:val="003B6F81"/>
    <w:rsid w:val="003B72D1"/>
    <w:rsid w:val="003B78D9"/>
    <w:rsid w:val="003C099F"/>
    <w:rsid w:val="003C0A06"/>
    <w:rsid w:val="003C0C16"/>
    <w:rsid w:val="003C0DAE"/>
    <w:rsid w:val="003C0DEF"/>
    <w:rsid w:val="003C0E70"/>
    <w:rsid w:val="003C12A9"/>
    <w:rsid w:val="003C1794"/>
    <w:rsid w:val="003C1C50"/>
    <w:rsid w:val="003C1CF6"/>
    <w:rsid w:val="003C27DA"/>
    <w:rsid w:val="003C2BBC"/>
    <w:rsid w:val="003C2FC8"/>
    <w:rsid w:val="003C3338"/>
    <w:rsid w:val="003C380C"/>
    <w:rsid w:val="003C3A92"/>
    <w:rsid w:val="003C3D55"/>
    <w:rsid w:val="003C3D64"/>
    <w:rsid w:val="003C42D3"/>
    <w:rsid w:val="003C434C"/>
    <w:rsid w:val="003C4F1D"/>
    <w:rsid w:val="003C519C"/>
    <w:rsid w:val="003C5B50"/>
    <w:rsid w:val="003C5DED"/>
    <w:rsid w:val="003C6914"/>
    <w:rsid w:val="003C7A86"/>
    <w:rsid w:val="003C7ABB"/>
    <w:rsid w:val="003C7B94"/>
    <w:rsid w:val="003D0906"/>
    <w:rsid w:val="003D0F12"/>
    <w:rsid w:val="003D1AFE"/>
    <w:rsid w:val="003D1BC1"/>
    <w:rsid w:val="003D1FFC"/>
    <w:rsid w:val="003D21D6"/>
    <w:rsid w:val="003D22DF"/>
    <w:rsid w:val="003D22F4"/>
    <w:rsid w:val="003D2333"/>
    <w:rsid w:val="003D3366"/>
    <w:rsid w:val="003D3997"/>
    <w:rsid w:val="003D3A0E"/>
    <w:rsid w:val="003D3C59"/>
    <w:rsid w:val="003D409B"/>
    <w:rsid w:val="003D42CE"/>
    <w:rsid w:val="003D4945"/>
    <w:rsid w:val="003D4C15"/>
    <w:rsid w:val="003D53FE"/>
    <w:rsid w:val="003D57E0"/>
    <w:rsid w:val="003D58F9"/>
    <w:rsid w:val="003D6170"/>
    <w:rsid w:val="003D751E"/>
    <w:rsid w:val="003D76F9"/>
    <w:rsid w:val="003D7F25"/>
    <w:rsid w:val="003D7FDE"/>
    <w:rsid w:val="003E0DC3"/>
    <w:rsid w:val="003E1649"/>
    <w:rsid w:val="003E16F4"/>
    <w:rsid w:val="003E18A8"/>
    <w:rsid w:val="003E2306"/>
    <w:rsid w:val="003E3220"/>
    <w:rsid w:val="003E3488"/>
    <w:rsid w:val="003E4159"/>
    <w:rsid w:val="003E42E1"/>
    <w:rsid w:val="003E462E"/>
    <w:rsid w:val="003E4B77"/>
    <w:rsid w:val="003E4F34"/>
    <w:rsid w:val="003E5ACE"/>
    <w:rsid w:val="003E5D16"/>
    <w:rsid w:val="003E5E95"/>
    <w:rsid w:val="003E5FE5"/>
    <w:rsid w:val="003E6372"/>
    <w:rsid w:val="003E65D0"/>
    <w:rsid w:val="003E67EE"/>
    <w:rsid w:val="003E6E36"/>
    <w:rsid w:val="003E6F34"/>
    <w:rsid w:val="003E7945"/>
    <w:rsid w:val="003F0005"/>
    <w:rsid w:val="003F07D0"/>
    <w:rsid w:val="003F177F"/>
    <w:rsid w:val="003F1D00"/>
    <w:rsid w:val="003F1E23"/>
    <w:rsid w:val="003F2776"/>
    <w:rsid w:val="003F2CE4"/>
    <w:rsid w:val="003F2D16"/>
    <w:rsid w:val="003F349F"/>
    <w:rsid w:val="003F34D4"/>
    <w:rsid w:val="003F386E"/>
    <w:rsid w:val="003F3BCE"/>
    <w:rsid w:val="003F3DDD"/>
    <w:rsid w:val="003F4E0C"/>
    <w:rsid w:val="003F567A"/>
    <w:rsid w:val="003F61A6"/>
    <w:rsid w:val="003F6A67"/>
    <w:rsid w:val="003F6B62"/>
    <w:rsid w:val="003F6CCE"/>
    <w:rsid w:val="003F6EF4"/>
    <w:rsid w:val="003F72E7"/>
    <w:rsid w:val="003F737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775"/>
    <w:rsid w:val="00403923"/>
    <w:rsid w:val="00403A62"/>
    <w:rsid w:val="0040441F"/>
    <w:rsid w:val="00404769"/>
    <w:rsid w:val="0040484E"/>
    <w:rsid w:val="00404995"/>
    <w:rsid w:val="0040499B"/>
    <w:rsid w:val="0040543F"/>
    <w:rsid w:val="0040586F"/>
    <w:rsid w:val="00405B3B"/>
    <w:rsid w:val="00406A4D"/>
    <w:rsid w:val="00407195"/>
    <w:rsid w:val="004072D6"/>
    <w:rsid w:val="00407451"/>
    <w:rsid w:val="0041054B"/>
    <w:rsid w:val="00410574"/>
    <w:rsid w:val="00410BC0"/>
    <w:rsid w:val="00410BEF"/>
    <w:rsid w:val="00411379"/>
    <w:rsid w:val="0041137C"/>
    <w:rsid w:val="004113A8"/>
    <w:rsid w:val="00411845"/>
    <w:rsid w:val="00411E38"/>
    <w:rsid w:val="00411EE2"/>
    <w:rsid w:val="00412280"/>
    <w:rsid w:val="0041249C"/>
    <w:rsid w:val="00412F8F"/>
    <w:rsid w:val="0041300A"/>
    <w:rsid w:val="004130E1"/>
    <w:rsid w:val="00413C16"/>
    <w:rsid w:val="00414C9A"/>
    <w:rsid w:val="00415054"/>
    <w:rsid w:val="004157F5"/>
    <w:rsid w:val="00415F2B"/>
    <w:rsid w:val="00417367"/>
    <w:rsid w:val="00417383"/>
    <w:rsid w:val="00417C69"/>
    <w:rsid w:val="004206A7"/>
    <w:rsid w:val="00420D11"/>
    <w:rsid w:val="00420FBE"/>
    <w:rsid w:val="00421A43"/>
    <w:rsid w:val="00421AC2"/>
    <w:rsid w:val="00422599"/>
    <w:rsid w:val="004228BF"/>
    <w:rsid w:val="0042294F"/>
    <w:rsid w:val="0042457A"/>
    <w:rsid w:val="0042457D"/>
    <w:rsid w:val="00424F97"/>
    <w:rsid w:val="004251BE"/>
    <w:rsid w:val="00425FD2"/>
    <w:rsid w:val="00427118"/>
    <w:rsid w:val="00427469"/>
    <w:rsid w:val="0042749A"/>
    <w:rsid w:val="00430459"/>
    <w:rsid w:val="00430A8A"/>
    <w:rsid w:val="00430E9D"/>
    <w:rsid w:val="00431037"/>
    <w:rsid w:val="004319CA"/>
    <w:rsid w:val="00432416"/>
    <w:rsid w:val="004329FC"/>
    <w:rsid w:val="00432B47"/>
    <w:rsid w:val="00432F65"/>
    <w:rsid w:val="004339FA"/>
    <w:rsid w:val="00433BD2"/>
    <w:rsid w:val="00433E7A"/>
    <w:rsid w:val="00434B6D"/>
    <w:rsid w:val="00434E04"/>
    <w:rsid w:val="00434FDF"/>
    <w:rsid w:val="00435516"/>
    <w:rsid w:val="004356E9"/>
    <w:rsid w:val="0043583D"/>
    <w:rsid w:val="00435E75"/>
    <w:rsid w:val="00435ECC"/>
    <w:rsid w:val="0043602E"/>
    <w:rsid w:val="00436C8F"/>
    <w:rsid w:val="0043755D"/>
    <w:rsid w:val="00437F89"/>
    <w:rsid w:val="00440BB0"/>
    <w:rsid w:val="0044110A"/>
    <w:rsid w:val="004413F3"/>
    <w:rsid w:val="0044153D"/>
    <w:rsid w:val="0044161E"/>
    <w:rsid w:val="00443675"/>
    <w:rsid w:val="00444182"/>
    <w:rsid w:val="004445E5"/>
    <w:rsid w:val="00444BF0"/>
    <w:rsid w:val="00444DF8"/>
    <w:rsid w:val="00444F37"/>
    <w:rsid w:val="0044508C"/>
    <w:rsid w:val="00445177"/>
    <w:rsid w:val="00445487"/>
    <w:rsid w:val="00445591"/>
    <w:rsid w:val="0044587B"/>
    <w:rsid w:val="004459C2"/>
    <w:rsid w:val="00445E84"/>
    <w:rsid w:val="00445FE3"/>
    <w:rsid w:val="00446B3B"/>
    <w:rsid w:val="00446FEF"/>
    <w:rsid w:val="00447437"/>
    <w:rsid w:val="00447A0A"/>
    <w:rsid w:val="00447E42"/>
    <w:rsid w:val="0045043D"/>
    <w:rsid w:val="0045045E"/>
    <w:rsid w:val="00450E9E"/>
    <w:rsid w:val="00450FD2"/>
    <w:rsid w:val="00450FF8"/>
    <w:rsid w:val="0045102F"/>
    <w:rsid w:val="00451D32"/>
    <w:rsid w:val="0045229B"/>
    <w:rsid w:val="00452BFB"/>
    <w:rsid w:val="00452BFE"/>
    <w:rsid w:val="0045327E"/>
    <w:rsid w:val="00453353"/>
    <w:rsid w:val="0045349D"/>
    <w:rsid w:val="004534B5"/>
    <w:rsid w:val="00453996"/>
    <w:rsid w:val="004539F6"/>
    <w:rsid w:val="00453BF7"/>
    <w:rsid w:val="0045437E"/>
    <w:rsid w:val="0045484A"/>
    <w:rsid w:val="00455127"/>
    <w:rsid w:val="00455EDE"/>
    <w:rsid w:val="00456C71"/>
    <w:rsid w:val="00456EA3"/>
    <w:rsid w:val="00457216"/>
    <w:rsid w:val="0046020B"/>
    <w:rsid w:val="004602FF"/>
    <w:rsid w:val="004605D0"/>
    <w:rsid w:val="00461365"/>
    <w:rsid w:val="00461B2C"/>
    <w:rsid w:val="00461C95"/>
    <w:rsid w:val="00462757"/>
    <w:rsid w:val="00463080"/>
    <w:rsid w:val="00463ABF"/>
    <w:rsid w:val="00463F44"/>
    <w:rsid w:val="00464585"/>
    <w:rsid w:val="0046473F"/>
    <w:rsid w:val="00464780"/>
    <w:rsid w:val="004658A0"/>
    <w:rsid w:val="00465FE2"/>
    <w:rsid w:val="00466CDA"/>
    <w:rsid w:val="004671D5"/>
    <w:rsid w:val="004676F9"/>
    <w:rsid w:val="00467BA9"/>
    <w:rsid w:val="004701DC"/>
    <w:rsid w:val="00470ACA"/>
    <w:rsid w:val="00470BA4"/>
    <w:rsid w:val="00470EAF"/>
    <w:rsid w:val="00470F10"/>
    <w:rsid w:val="0047110E"/>
    <w:rsid w:val="00471156"/>
    <w:rsid w:val="004712E6"/>
    <w:rsid w:val="00471673"/>
    <w:rsid w:val="00471B05"/>
    <w:rsid w:val="004722F0"/>
    <w:rsid w:val="004739B7"/>
    <w:rsid w:val="00473FCC"/>
    <w:rsid w:val="0047419C"/>
    <w:rsid w:val="00474B7C"/>
    <w:rsid w:val="00474FE7"/>
    <w:rsid w:val="004752AE"/>
    <w:rsid w:val="004758B6"/>
    <w:rsid w:val="00475ACF"/>
    <w:rsid w:val="00475DDF"/>
    <w:rsid w:val="00476323"/>
    <w:rsid w:val="0047662E"/>
    <w:rsid w:val="00476995"/>
    <w:rsid w:val="0047768F"/>
    <w:rsid w:val="00477D6B"/>
    <w:rsid w:val="004802FD"/>
    <w:rsid w:val="00480B1D"/>
    <w:rsid w:val="00481622"/>
    <w:rsid w:val="00481AF1"/>
    <w:rsid w:val="00481C2B"/>
    <w:rsid w:val="00481D41"/>
    <w:rsid w:val="0048200F"/>
    <w:rsid w:val="0048238C"/>
    <w:rsid w:val="00483875"/>
    <w:rsid w:val="004838FD"/>
    <w:rsid w:val="00483BE4"/>
    <w:rsid w:val="00484004"/>
    <w:rsid w:val="0048426B"/>
    <w:rsid w:val="00484568"/>
    <w:rsid w:val="00484A6A"/>
    <w:rsid w:val="00484A6D"/>
    <w:rsid w:val="0048517A"/>
    <w:rsid w:val="00485831"/>
    <w:rsid w:val="0048588F"/>
    <w:rsid w:val="004865DC"/>
    <w:rsid w:val="004866E0"/>
    <w:rsid w:val="00486A13"/>
    <w:rsid w:val="00486C3D"/>
    <w:rsid w:val="0048798F"/>
    <w:rsid w:val="00487F8E"/>
    <w:rsid w:val="004903E4"/>
    <w:rsid w:val="0049074B"/>
    <w:rsid w:val="00490E4C"/>
    <w:rsid w:val="00490F4A"/>
    <w:rsid w:val="00490FF4"/>
    <w:rsid w:val="004912CF"/>
    <w:rsid w:val="00491974"/>
    <w:rsid w:val="00492166"/>
    <w:rsid w:val="00492369"/>
    <w:rsid w:val="004926E5"/>
    <w:rsid w:val="00492DAB"/>
    <w:rsid w:val="00492F28"/>
    <w:rsid w:val="004933C1"/>
    <w:rsid w:val="00493777"/>
    <w:rsid w:val="00493CBB"/>
    <w:rsid w:val="00493D19"/>
    <w:rsid w:val="0049521F"/>
    <w:rsid w:val="0049523D"/>
    <w:rsid w:val="00495317"/>
    <w:rsid w:val="00495F18"/>
    <w:rsid w:val="00496C0B"/>
    <w:rsid w:val="00496C59"/>
    <w:rsid w:val="00496D59"/>
    <w:rsid w:val="00496E0E"/>
    <w:rsid w:val="004A01E0"/>
    <w:rsid w:val="004A0ABF"/>
    <w:rsid w:val="004A0D21"/>
    <w:rsid w:val="004A10F4"/>
    <w:rsid w:val="004A1ECC"/>
    <w:rsid w:val="004A2AC7"/>
    <w:rsid w:val="004A40C5"/>
    <w:rsid w:val="004A4731"/>
    <w:rsid w:val="004A4F5F"/>
    <w:rsid w:val="004A4FC9"/>
    <w:rsid w:val="004A52B7"/>
    <w:rsid w:val="004A57ED"/>
    <w:rsid w:val="004A5D53"/>
    <w:rsid w:val="004A63CE"/>
    <w:rsid w:val="004A6B77"/>
    <w:rsid w:val="004A6DB0"/>
    <w:rsid w:val="004A7AEF"/>
    <w:rsid w:val="004B0180"/>
    <w:rsid w:val="004B04DE"/>
    <w:rsid w:val="004B07F1"/>
    <w:rsid w:val="004B0ACF"/>
    <w:rsid w:val="004B1006"/>
    <w:rsid w:val="004B146A"/>
    <w:rsid w:val="004B17C7"/>
    <w:rsid w:val="004B1E83"/>
    <w:rsid w:val="004B219C"/>
    <w:rsid w:val="004B2D88"/>
    <w:rsid w:val="004B376E"/>
    <w:rsid w:val="004B3C37"/>
    <w:rsid w:val="004B4BEE"/>
    <w:rsid w:val="004B5190"/>
    <w:rsid w:val="004B591E"/>
    <w:rsid w:val="004B5E60"/>
    <w:rsid w:val="004B6273"/>
    <w:rsid w:val="004B76A5"/>
    <w:rsid w:val="004C00F2"/>
    <w:rsid w:val="004C0387"/>
    <w:rsid w:val="004C0A35"/>
    <w:rsid w:val="004C0B1F"/>
    <w:rsid w:val="004C0F1A"/>
    <w:rsid w:val="004C0F42"/>
    <w:rsid w:val="004C172C"/>
    <w:rsid w:val="004C1E57"/>
    <w:rsid w:val="004C2038"/>
    <w:rsid w:val="004C24BB"/>
    <w:rsid w:val="004C353A"/>
    <w:rsid w:val="004C3709"/>
    <w:rsid w:val="004C384F"/>
    <w:rsid w:val="004C3C90"/>
    <w:rsid w:val="004C429F"/>
    <w:rsid w:val="004C4CD4"/>
    <w:rsid w:val="004C554E"/>
    <w:rsid w:val="004C5570"/>
    <w:rsid w:val="004C55DC"/>
    <w:rsid w:val="004C67BA"/>
    <w:rsid w:val="004C6BFE"/>
    <w:rsid w:val="004C7840"/>
    <w:rsid w:val="004C7CC1"/>
    <w:rsid w:val="004D01A7"/>
    <w:rsid w:val="004D0362"/>
    <w:rsid w:val="004D0642"/>
    <w:rsid w:val="004D09C5"/>
    <w:rsid w:val="004D0D46"/>
    <w:rsid w:val="004D0F2D"/>
    <w:rsid w:val="004D1BBF"/>
    <w:rsid w:val="004D1CE4"/>
    <w:rsid w:val="004D1E09"/>
    <w:rsid w:val="004D23E0"/>
    <w:rsid w:val="004D31C5"/>
    <w:rsid w:val="004D34E3"/>
    <w:rsid w:val="004D3596"/>
    <w:rsid w:val="004D3AEE"/>
    <w:rsid w:val="004D3CE0"/>
    <w:rsid w:val="004D3D3A"/>
    <w:rsid w:val="004D425C"/>
    <w:rsid w:val="004D55E5"/>
    <w:rsid w:val="004D5E41"/>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F0"/>
    <w:rsid w:val="004E4993"/>
    <w:rsid w:val="004E65D3"/>
    <w:rsid w:val="004E6606"/>
    <w:rsid w:val="004E68E5"/>
    <w:rsid w:val="004E709D"/>
    <w:rsid w:val="004E764F"/>
    <w:rsid w:val="004E7998"/>
    <w:rsid w:val="004E7B84"/>
    <w:rsid w:val="004E7ED8"/>
    <w:rsid w:val="004F030C"/>
    <w:rsid w:val="004F166D"/>
    <w:rsid w:val="004F197F"/>
    <w:rsid w:val="004F1D78"/>
    <w:rsid w:val="004F1F20"/>
    <w:rsid w:val="004F26AA"/>
    <w:rsid w:val="004F2902"/>
    <w:rsid w:val="004F2950"/>
    <w:rsid w:val="004F2CEA"/>
    <w:rsid w:val="004F3D95"/>
    <w:rsid w:val="004F4A2E"/>
    <w:rsid w:val="004F56CB"/>
    <w:rsid w:val="004F5DE7"/>
    <w:rsid w:val="004F6EE4"/>
    <w:rsid w:val="004F7233"/>
    <w:rsid w:val="004F7D37"/>
    <w:rsid w:val="005008C6"/>
    <w:rsid w:val="00500916"/>
    <w:rsid w:val="00501257"/>
    <w:rsid w:val="0050189E"/>
    <w:rsid w:val="00501B2C"/>
    <w:rsid w:val="00501F18"/>
    <w:rsid w:val="00503093"/>
    <w:rsid w:val="0050498C"/>
    <w:rsid w:val="00504E8E"/>
    <w:rsid w:val="005067A5"/>
    <w:rsid w:val="005068C3"/>
    <w:rsid w:val="00506B5A"/>
    <w:rsid w:val="00506C20"/>
    <w:rsid w:val="00506E99"/>
    <w:rsid w:val="005076B4"/>
    <w:rsid w:val="005102A1"/>
    <w:rsid w:val="00510377"/>
    <w:rsid w:val="005107AE"/>
    <w:rsid w:val="00510A5D"/>
    <w:rsid w:val="00510AAC"/>
    <w:rsid w:val="0051130E"/>
    <w:rsid w:val="0051135B"/>
    <w:rsid w:val="00511755"/>
    <w:rsid w:val="00511ABE"/>
    <w:rsid w:val="00512C11"/>
    <w:rsid w:val="00512F77"/>
    <w:rsid w:val="00513529"/>
    <w:rsid w:val="00514605"/>
    <w:rsid w:val="005149FA"/>
    <w:rsid w:val="0051512E"/>
    <w:rsid w:val="0051527A"/>
    <w:rsid w:val="00516B1F"/>
    <w:rsid w:val="00517D30"/>
    <w:rsid w:val="00520005"/>
    <w:rsid w:val="00520245"/>
    <w:rsid w:val="005202B9"/>
    <w:rsid w:val="00520655"/>
    <w:rsid w:val="0052069E"/>
    <w:rsid w:val="00522C15"/>
    <w:rsid w:val="005230B1"/>
    <w:rsid w:val="00523691"/>
    <w:rsid w:val="005236C0"/>
    <w:rsid w:val="005248C4"/>
    <w:rsid w:val="00525772"/>
    <w:rsid w:val="005261D2"/>
    <w:rsid w:val="00526C8F"/>
    <w:rsid w:val="005273A6"/>
    <w:rsid w:val="005275CB"/>
    <w:rsid w:val="00527CAF"/>
    <w:rsid w:val="00527E81"/>
    <w:rsid w:val="00530A65"/>
    <w:rsid w:val="00530E00"/>
    <w:rsid w:val="00530F37"/>
    <w:rsid w:val="005312AA"/>
    <w:rsid w:val="0053170A"/>
    <w:rsid w:val="005317A2"/>
    <w:rsid w:val="00531A9A"/>
    <w:rsid w:val="00531FB4"/>
    <w:rsid w:val="005325F6"/>
    <w:rsid w:val="00532991"/>
    <w:rsid w:val="005330CB"/>
    <w:rsid w:val="005336CE"/>
    <w:rsid w:val="00533DEA"/>
    <w:rsid w:val="00534367"/>
    <w:rsid w:val="0053495B"/>
    <w:rsid w:val="00534BEF"/>
    <w:rsid w:val="00535F8B"/>
    <w:rsid w:val="00536427"/>
    <w:rsid w:val="00536C11"/>
    <w:rsid w:val="00536CB0"/>
    <w:rsid w:val="00536F9F"/>
    <w:rsid w:val="00537155"/>
    <w:rsid w:val="00537C96"/>
    <w:rsid w:val="005401AA"/>
    <w:rsid w:val="0054020C"/>
    <w:rsid w:val="005405F3"/>
    <w:rsid w:val="00540695"/>
    <w:rsid w:val="00540775"/>
    <w:rsid w:val="00540B88"/>
    <w:rsid w:val="00540D00"/>
    <w:rsid w:val="00540EB7"/>
    <w:rsid w:val="0054125B"/>
    <w:rsid w:val="00541934"/>
    <w:rsid w:val="00541BEC"/>
    <w:rsid w:val="00541C6A"/>
    <w:rsid w:val="00541D56"/>
    <w:rsid w:val="00542220"/>
    <w:rsid w:val="005427EA"/>
    <w:rsid w:val="00542D1B"/>
    <w:rsid w:val="005430ED"/>
    <w:rsid w:val="0054439E"/>
    <w:rsid w:val="00545753"/>
    <w:rsid w:val="00545936"/>
    <w:rsid w:val="00546207"/>
    <w:rsid w:val="00546D79"/>
    <w:rsid w:val="00547494"/>
    <w:rsid w:val="0054767E"/>
    <w:rsid w:val="005477D7"/>
    <w:rsid w:val="00547BEA"/>
    <w:rsid w:val="005505E4"/>
    <w:rsid w:val="00550FE3"/>
    <w:rsid w:val="005516CE"/>
    <w:rsid w:val="00551AB7"/>
    <w:rsid w:val="005522F1"/>
    <w:rsid w:val="00552CA9"/>
    <w:rsid w:val="00552D3B"/>
    <w:rsid w:val="005532C3"/>
    <w:rsid w:val="0055435B"/>
    <w:rsid w:val="0055483C"/>
    <w:rsid w:val="00554841"/>
    <w:rsid w:val="0055489D"/>
    <w:rsid w:val="0055576E"/>
    <w:rsid w:val="0055577D"/>
    <w:rsid w:val="00555D66"/>
    <w:rsid w:val="005560AA"/>
    <w:rsid w:val="00556774"/>
    <w:rsid w:val="005567C3"/>
    <w:rsid w:val="00556B14"/>
    <w:rsid w:val="005575B8"/>
    <w:rsid w:val="005578C6"/>
    <w:rsid w:val="00560AD2"/>
    <w:rsid w:val="00560F15"/>
    <w:rsid w:val="00561570"/>
    <w:rsid w:val="00561F60"/>
    <w:rsid w:val="005625B8"/>
    <w:rsid w:val="00562657"/>
    <w:rsid w:val="005627EB"/>
    <w:rsid w:val="00562927"/>
    <w:rsid w:val="005629F8"/>
    <w:rsid w:val="00562D1C"/>
    <w:rsid w:val="00562EE8"/>
    <w:rsid w:val="005634BE"/>
    <w:rsid w:val="0056396E"/>
    <w:rsid w:val="00563B50"/>
    <w:rsid w:val="00564490"/>
    <w:rsid w:val="005648CB"/>
    <w:rsid w:val="00564DB6"/>
    <w:rsid w:val="00564EE5"/>
    <w:rsid w:val="005656A9"/>
    <w:rsid w:val="005657D8"/>
    <w:rsid w:val="005660B3"/>
    <w:rsid w:val="00566828"/>
    <w:rsid w:val="00566D2D"/>
    <w:rsid w:val="00566FAB"/>
    <w:rsid w:val="00570196"/>
    <w:rsid w:val="0057099E"/>
    <w:rsid w:val="00570A01"/>
    <w:rsid w:val="0057108C"/>
    <w:rsid w:val="005717DE"/>
    <w:rsid w:val="00571AF0"/>
    <w:rsid w:val="00571CA9"/>
    <w:rsid w:val="005720C2"/>
    <w:rsid w:val="005722C1"/>
    <w:rsid w:val="00572687"/>
    <w:rsid w:val="00572974"/>
    <w:rsid w:val="00572CC6"/>
    <w:rsid w:val="005730E3"/>
    <w:rsid w:val="00573771"/>
    <w:rsid w:val="00573863"/>
    <w:rsid w:val="0057451B"/>
    <w:rsid w:val="005759A2"/>
    <w:rsid w:val="005769C7"/>
    <w:rsid w:val="00576AEE"/>
    <w:rsid w:val="00576C74"/>
    <w:rsid w:val="00576CE3"/>
    <w:rsid w:val="00576EC2"/>
    <w:rsid w:val="005775EF"/>
    <w:rsid w:val="00577D3D"/>
    <w:rsid w:val="005802C7"/>
    <w:rsid w:val="00581021"/>
    <w:rsid w:val="00582222"/>
    <w:rsid w:val="005825DF"/>
    <w:rsid w:val="00582E43"/>
    <w:rsid w:val="00583182"/>
    <w:rsid w:val="005831CC"/>
    <w:rsid w:val="005835CE"/>
    <w:rsid w:val="005839DC"/>
    <w:rsid w:val="005853AC"/>
    <w:rsid w:val="0058565E"/>
    <w:rsid w:val="00585749"/>
    <w:rsid w:val="00585963"/>
    <w:rsid w:val="00585D53"/>
    <w:rsid w:val="00585EAE"/>
    <w:rsid w:val="0058660A"/>
    <w:rsid w:val="0058699F"/>
    <w:rsid w:val="0058740D"/>
    <w:rsid w:val="00587617"/>
    <w:rsid w:val="00587725"/>
    <w:rsid w:val="00587897"/>
    <w:rsid w:val="00587A7D"/>
    <w:rsid w:val="0059004B"/>
    <w:rsid w:val="0059030E"/>
    <w:rsid w:val="005926E1"/>
    <w:rsid w:val="00592AF2"/>
    <w:rsid w:val="00592D6F"/>
    <w:rsid w:val="00593161"/>
    <w:rsid w:val="005937CA"/>
    <w:rsid w:val="00593A4A"/>
    <w:rsid w:val="00594017"/>
    <w:rsid w:val="00594302"/>
    <w:rsid w:val="00594BC7"/>
    <w:rsid w:val="00594DA1"/>
    <w:rsid w:val="00595C1F"/>
    <w:rsid w:val="0059624E"/>
    <w:rsid w:val="00596D9C"/>
    <w:rsid w:val="00597394"/>
    <w:rsid w:val="005976CC"/>
    <w:rsid w:val="0059787E"/>
    <w:rsid w:val="00597CF4"/>
    <w:rsid w:val="005A011D"/>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85D"/>
    <w:rsid w:val="005A7B9B"/>
    <w:rsid w:val="005B008D"/>
    <w:rsid w:val="005B0561"/>
    <w:rsid w:val="005B05D5"/>
    <w:rsid w:val="005B1796"/>
    <w:rsid w:val="005B327C"/>
    <w:rsid w:val="005B3785"/>
    <w:rsid w:val="005B3B07"/>
    <w:rsid w:val="005B466F"/>
    <w:rsid w:val="005B4CA6"/>
    <w:rsid w:val="005B539C"/>
    <w:rsid w:val="005B56A3"/>
    <w:rsid w:val="005B5CD9"/>
    <w:rsid w:val="005B6521"/>
    <w:rsid w:val="005B6DEA"/>
    <w:rsid w:val="005B77CC"/>
    <w:rsid w:val="005B7840"/>
    <w:rsid w:val="005B7AE8"/>
    <w:rsid w:val="005C0A8B"/>
    <w:rsid w:val="005C0F8E"/>
    <w:rsid w:val="005C2ED2"/>
    <w:rsid w:val="005C2FF9"/>
    <w:rsid w:val="005C4299"/>
    <w:rsid w:val="005C4442"/>
    <w:rsid w:val="005C50DA"/>
    <w:rsid w:val="005C50F1"/>
    <w:rsid w:val="005C58A5"/>
    <w:rsid w:val="005C5DEE"/>
    <w:rsid w:val="005C618A"/>
    <w:rsid w:val="005C632B"/>
    <w:rsid w:val="005C67E3"/>
    <w:rsid w:val="005C6816"/>
    <w:rsid w:val="005C6B95"/>
    <w:rsid w:val="005C6CDA"/>
    <w:rsid w:val="005C6E10"/>
    <w:rsid w:val="005C6F62"/>
    <w:rsid w:val="005C6FFB"/>
    <w:rsid w:val="005C7A09"/>
    <w:rsid w:val="005C7D9F"/>
    <w:rsid w:val="005C7E1E"/>
    <w:rsid w:val="005C7FA2"/>
    <w:rsid w:val="005D013B"/>
    <w:rsid w:val="005D01B3"/>
    <w:rsid w:val="005D045D"/>
    <w:rsid w:val="005D08D3"/>
    <w:rsid w:val="005D1203"/>
    <w:rsid w:val="005D166D"/>
    <w:rsid w:val="005D1675"/>
    <w:rsid w:val="005D230E"/>
    <w:rsid w:val="005D3205"/>
    <w:rsid w:val="005D337D"/>
    <w:rsid w:val="005D3C8D"/>
    <w:rsid w:val="005D4770"/>
    <w:rsid w:val="005D4807"/>
    <w:rsid w:val="005D53CE"/>
    <w:rsid w:val="005D5947"/>
    <w:rsid w:val="005D59A4"/>
    <w:rsid w:val="005D5EF9"/>
    <w:rsid w:val="005D6986"/>
    <w:rsid w:val="005D6F64"/>
    <w:rsid w:val="005D7148"/>
    <w:rsid w:val="005D75B7"/>
    <w:rsid w:val="005D75FE"/>
    <w:rsid w:val="005D76AF"/>
    <w:rsid w:val="005D76E1"/>
    <w:rsid w:val="005D7AAE"/>
    <w:rsid w:val="005D7AD9"/>
    <w:rsid w:val="005E043F"/>
    <w:rsid w:val="005E05ED"/>
    <w:rsid w:val="005E063D"/>
    <w:rsid w:val="005E1269"/>
    <w:rsid w:val="005E1A50"/>
    <w:rsid w:val="005E2549"/>
    <w:rsid w:val="005E2F2D"/>
    <w:rsid w:val="005E31F4"/>
    <w:rsid w:val="005E3315"/>
    <w:rsid w:val="005E3BDE"/>
    <w:rsid w:val="005E3EFB"/>
    <w:rsid w:val="005E4055"/>
    <w:rsid w:val="005E4471"/>
    <w:rsid w:val="005E4499"/>
    <w:rsid w:val="005E5326"/>
    <w:rsid w:val="005E5E42"/>
    <w:rsid w:val="005E6140"/>
    <w:rsid w:val="005E65A7"/>
    <w:rsid w:val="005E6E60"/>
    <w:rsid w:val="005E70ED"/>
    <w:rsid w:val="005E7647"/>
    <w:rsid w:val="005E7A49"/>
    <w:rsid w:val="005E7A8F"/>
    <w:rsid w:val="005E7EFC"/>
    <w:rsid w:val="005E7FEB"/>
    <w:rsid w:val="005F2673"/>
    <w:rsid w:val="005F2E3D"/>
    <w:rsid w:val="005F2F6A"/>
    <w:rsid w:val="005F310D"/>
    <w:rsid w:val="005F32CB"/>
    <w:rsid w:val="005F47C0"/>
    <w:rsid w:val="005F4BD8"/>
    <w:rsid w:val="005F4E01"/>
    <w:rsid w:val="005F52A0"/>
    <w:rsid w:val="005F5326"/>
    <w:rsid w:val="005F539A"/>
    <w:rsid w:val="005F5BBA"/>
    <w:rsid w:val="005F62EE"/>
    <w:rsid w:val="005F63E4"/>
    <w:rsid w:val="005F64C2"/>
    <w:rsid w:val="005F675D"/>
    <w:rsid w:val="005F6B6F"/>
    <w:rsid w:val="005F6B9A"/>
    <w:rsid w:val="005F6D3C"/>
    <w:rsid w:val="005F7412"/>
    <w:rsid w:val="005F74C7"/>
    <w:rsid w:val="006004F5"/>
    <w:rsid w:val="00600B6A"/>
    <w:rsid w:val="00601146"/>
    <w:rsid w:val="0060196B"/>
    <w:rsid w:val="0060279A"/>
    <w:rsid w:val="006028A1"/>
    <w:rsid w:val="006029D3"/>
    <w:rsid w:val="00602A7D"/>
    <w:rsid w:val="00603233"/>
    <w:rsid w:val="006035A8"/>
    <w:rsid w:val="00603E85"/>
    <w:rsid w:val="0060409F"/>
    <w:rsid w:val="0060460A"/>
    <w:rsid w:val="0060506E"/>
    <w:rsid w:val="00605186"/>
    <w:rsid w:val="006054C7"/>
    <w:rsid w:val="00605679"/>
    <w:rsid w:val="00606901"/>
    <w:rsid w:val="00606AC1"/>
    <w:rsid w:val="00606C38"/>
    <w:rsid w:val="006071FA"/>
    <w:rsid w:val="00607B01"/>
    <w:rsid w:val="00607CB5"/>
    <w:rsid w:val="0061062F"/>
    <w:rsid w:val="00610857"/>
    <w:rsid w:val="006109A4"/>
    <w:rsid w:val="00610A09"/>
    <w:rsid w:val="00610D74"/>
    <w:rsid w:val="00611A59"/>
    <w:rsid w:val="006121C6"/>
    <w:rsid w:val="00612749"/>
    <w:rsid w:val="00612FD4"/>
    <w:rsid w:val="006134AE"/>
    <w:rsid w:val="00614489"/>
    <w:rsid w:val="00614B0B"/>
    <w:rsid w:val="00615CF7"/>
    <w:rsid w:val="006161E3"/>
    <w:rsid w:val="0061681C"/>
    <w:rsid w:val="0061708C"/>
    <w:rsid w:val="00617685"/>
    <w:rsid w:val="006179A3"/>
    <w:rsid w:val="00617A2E"/>
    <w:rsid w:val="00617F13"/>
    <w:rsid w:val="006201D8"/>
    <w:rsid w:val="00620636"/>
    <w:rsid w:val="00620826"/>
    <w:rsid w:val="00620D58"/>
    <w:rsid w:val="0062190D"/>
    <w:rsid w:val="00621F73"/>
    <w:rsid w:val="006225A0"/>
    <w:rsid w:val="006228B1"/>
    <w:rsid w:val="00622BC8"/>
    <w:rsid w:val="0062311B"/>
    <w:rsid w:val="00623672"/>
    <w:rsid w:val="0062369B"/>
    <w:rsid w:val="00623DF9"/>
    <w:rsid w:val="00624D4B"/>
    <w:rsid w:val="00624DBA"/>
    <w:rsid w:val="00625B71"/>
    <w:rsid w:val="00625DDD"/>
    <w:rsid w:val="00625F57"/>
    <w:rsid w:val="00626313"/>
    <w:rsid w:val="00626D2F"/>
    <w:rsid w:val="0062709E"/>
    <w:rsid w:val="0062768A"/>
    <w:rsid w:val="00627953"/>
    <w:rsid w:val="00627D18"/>
    <w:rsid w:val="00630268"/>
    <w:rsid w:val="00630467"/>
    <w:rsid w:val="006310B1"/>
    <w:rsid w:val="00631657"/>
    <w:rsid w:val="00631C54"/>
    <w:rsid w:val="00631DF1"/>
    <w:rsid w:val="006324ED"/>
    <w:rsid w:val="006328BA"/>
    <w:rsid w:val="0063347C"/>
    <w:rsid w:val="00633EBE"/>
    <w:rsid w:val="00633F25"/>
    <w:rsid w:val="00635BF9"/>
    <w:rsid w:val="0063601D"/>
    <w:rsid w:val="006362EE"/>
    <w:rsid w:val="00636372"/>
    <w:rsid w:val="00636650"/>
    <w:rsid w:val="00636A8E"/>
    <w:rsid w:val="006376CD"/>
    <w:rsid w:val="0063791D"/>
    <w:rsid w:val="00640635"/>
    <w:rsid w:val="0064067E"/>
    <w:rsid w:val="00640DB0"/>
    <w:rsid w:val="00641620"/>
    <w:rsid w:val="0064186E"/>
    <w:rsid w:val="006419CF"/>
    <w:rsid w:val="00641C8C"/>
    <w:rsid w:val="006421FB"/>
    <w:rsid w:val="006426CA"/>
    <w:rsid w:val="00642D78"/>
    <w:rsid w:val="006438B0"/>
    <w:rsid w:val="00643F43"/>
    <w:rsid w:val="006448A6"/>
    <w:rsid w:val="00644B78"/>
    <w:rsid w:val="00644D0B"/>
    <w:rsid w:val="00646C8B"/>
    <w:rsid w:val="00647605"/>
    <w:rsid w:val="00650140"/>
    <w:rsid w:val="006507CC"/>
    <w:rsid w:val="00650AAB"/>
    <w:rsid w:val="00651196"/>
    <w:rsid w:val="0065155B"/>
    <w:rsid w:val="0065190B"/>
    <w:rsid w:val="00651E4D"/>
    <w:rsid w:val="006520CB"/>
    <w:rsid w:val="00652555"/>
    <w:rsid w:val="00652AF6"/>
    <w:rsid w:val="00652EF1"/>
    <w:rsid w:val="0065381F"/>
    <w:rsid w:val="006538B4"/>
    <w:rsid w:val="006540E2"/>
    <w:rsid w:val="00654BD4"/>
    <w:rsid w:val="00655886"/>
    <w:rsid w:val="0065671D"/>
    <w:rsid w:val="00657160"/>
    <w:rsid w:val="006579B5"/>
    <w:rsid w:val="00660292"/>
    <w:rsid w:val="0066032B"/>
    <w:rsid w:val="006609E4"/>
    <w:rsid w:val="00660B0B"/>
    <w:rsid w:val="00660E1D"/>
    <w:rsid w:val="00660E79"/>
    <w:rsid w:val="00661021"/>
    <w:rsid w:val="006610D6"/>
    <w:rsid w:val="00661189"/>
    <w:rsid w:val="00661B6C"/>
    <w:rsid w:val="0066248C"/>
    <w:rsid w:val="0066463D"/>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E4D"/>
    <w:rsid w:val="00672609"/>
    <w:rsid w:val="006734AC"/>
    <w:rsid w:val="00673C61"/>
    <w:rsid w:val="00673C7E"/>
    <w:rsid w:val="00674C50"/>
    <w:rsid w:val="0067530C"/>
    <w:rsid w:val="00676076"/>
    <w:rsid w:val="006762D4"/>
    <w:rsid w:val="00676716"/>
    <w:rsid w:val="006767D9"/>
    <w:rsid w:val="00676F65"/>
    <w:rsid w:val="006770E7"/>
    <w:rsid w:val="00677510"/>
    <w:rsid w:val="00677BEF"/>
    <w:rsid w:val="0068158A"/>
    <w:rsid w:val="006817AB"/>
    <w:rsid w:val="006826CC"/>
    <w:rsid w:val="00682D30"/>
    <w:rsid w:val="00682DE5"/>
    <w:rsid w:val="00684D91"/>
    <w:rsid w:val="00685897"/>
    <w:rsid w:val="00686C54"/>
    <w:rsid w:val="00687564"/>
    <w:rsid w:val="00690728"/>
    <w:rsid w:val="006909CF"/>
    <w:rsid w:val="00690A09"/>
    <w:rsid w:val="006915E9"/>
    <w:rsid w:val="0069190D"/>
    <w:rsid w:val="00691D9B"/>
    <w:rsid w:val="00693148"/>
    <w:rsid w:val="00694192"/>
    <w:rsid w:val="006944E7"/>
    <w:rsid w:val="0069463E"/>
    <w:rsid w:val="006953F8"/>
    <w:rsid w:val="0069541C"/>
    <w:rsid w:val="00696578"/>
    <w:rsid w:val="00696E78"/>
    <w:rsid w:val="006975B9"/>
    <w:rsid w:val="0069785F"/>
    <w:rsid w:val="006A09BC"/>
    <w:rsid w:val="006A0CF1"/>
    <w:rsid w:val="006A1069"/>
    <w:rsid w:val="006A1802"/>
    <w:rsid w:val="006A2576"/>
    <w:rsid w:val="006A4809"/>
    <w:rsid w:val="006A4C3B"/>
    <w:rsid w:val="006A4D40"/>
    <w:rsid w:val="006A648B"/>
    <w:rsid w:val="006A6949"/>
    <w:rsid w:val="006A7017"/>
    <w:rsid w:val="006B04C5"/>
    <w:rsid w:val="006B0A2A"/>
    <w:rsid w:val="006B11F1"/>
    <w:rsid w:val="006B1EAB"/>
    <w:rsid w:val="006B247E"/>
    <w:rsid w:val="006B2E4A"/>
    <w:rsid w:val="006B3F4C"/>
    <w:rsid w:val="006B423B"/>
    <w:rsid w:val="006B44B9"/>
    <w:rsid w:val="006B44EB"/>
    <w:rsid w:val="006B4E65"/>
    <w:rsid w:val="006B6FEA"/>
    <w:rsid w:val="006B74FC"/>
    <w:rsid w:val="006B772F"/>
    <w:rsid w:val="006B7D8C"/>
    <w:rsid w:val="006B7D97"/>
    <w:rsid w:val="006B7FBE"/>
    <w:rsid w:val="006C0EDA"/>
    <w:rsid w:val="006C1096"/>
    <w:rsid w:val="006C12A4"/>
    <w:rsid w:val="006C1C1A"/>
    <w:rsid w:val="006C1FC9"/>
    <w:rsid w:val="006C29E3"/>
    <w:rsid w:val="006C2ED4"/>
    <w:rsid w:val="006C3031"/>
    <w:rsid w:val="006C3C83"/>
    <w:rsid w:val="006C3D47"/>
    <w:rsid w:val="006C3DFF"/>
    <w:rsid w:val="006C3E63"/>
    <w:rsid w:val="006C46E6"/>
    <w:rsid w:val="006C4886"/>
    <w:rsid w:val="006C492D"/>
    <w:rsid w:val="006C5382"/>
    <w:rsid w:val="006C59C5"/>
    <w:rsid w:val="006C5FD1"/>
    <w:rsid w:val="006C7064"/>
    <w:rsid w:val="006C7ECD"/>
    <w:rsid w:val="006C7F26"/>
    <w:rsid w:val="006D0061"/>
    <w:rsid w:val="006D0697"/>
    <w:rsid w:val="006D0C77"/>
    <w:rsid w:val="006D1747"/>
    <w:rsid w:val="006D1B2A"/>
    <w:rsid w:val="006D1B8A"/>
    <w:rsid w:val="006D20C2"/>
    <w:rsid w:val="006D235E"/>
    <w:rsid w:val="006D24D4"/>
    <w:rsid w:val="006D2858"/>
    <w:rsid w:val="006D323D"/>
    <w:rsid w:val="006D36D2"/>
    <w:rsid w:val="006D3E5B"/>
    <w:rsid w:val="006D4687"/>
    <w:rsid w:val="006D5E0E"/>
    <w:rsid w:val="006D5E90"/>
    <w:rsid w:val="006D63B3"/>
    <w:rsid w:val="006D6E91"/>
    <w:rsid w:val="006D75D8"/>
    <w:rsid w:val="006E038A"/>
    <w:rsid w:val="006E0DFB"/>
    <w:rsid w:val="006E140D"/>
    <w:rsid w:val="006E15AD"/>
    <w:rsid w:val="006E1992"/>
    <w:rsid w:val="006E1E44"/>
    <w:rsid w:val="006E21B8"/>
    <w:rsid w:val="006E2475"/>
    <w:rsid w:val="006E274C"/>
    <w:rsid w:val="006E29A8"/>
    <w:rsid w:val="006E2CF0"/>
    <w:rsid w:val="006E2F4C"/>
    <w:rsid w:val="006E3339"/>
    <w:rsid w:val="006E3C94"/>
    <w:rsid w:val="006E3D19"/>
    <w:rsid w:val="006E4371"/>
    <w:rsid w:val="006E4563"/>
    <w:rsid w:val="006E4A43"/>
    <w:rsid w:val="006E5997"/>
    <w:rsid w:val="006E62E9"/>
    <w:rsid w:val="006E6F4A"/>
    <w:rsid w:val="006E74CA"/>
    <w:rsid w:val="006F005D"/>
    <w:rsid w:val="006F07B4"/>
    <w:rsid w:val="006F0AD2"/>
    <w:rsid w:val="006F0BF6"/>
    <w:rsid w:val="006F0DEB"/>
    <w:rsid w:val="006F0F54"/>
    <w:rsid w:val="006F100A"/>
    <w:rsid w:val="006F1327"/>
    <w:rsid w:val="006F1B4D"/>
    <w:rsid w:val="006F2E74"/>
    <w:rsid w:val="006F39C3"/>
    <w:rsid w:val="006F4129"/>
    <w:rsid w:val="006F4692"/>
    <w:rsid w:val="006F48DF"/>
    <w:rsid w:val="006F4A95"/>
    <w:rsid w:val="006F4E6C"/>
    <w:rsid w:val="006F4FB8"/>
    <w:rsid w:val="006F4FF9"/>
    <w:rsid w:val="006F5096"/>
    <w:rsid w:val="006F58AD"/>
    <w:rsid w:val="006F6629"/>
    <w:rsid w:val="006F694B"/>
    <w:rsid w:val="006F6F12"/>
    <w:rsid w:val="006F71CA"/>
    <w:rsid w:val="006F78A5"/>
    <w:rsid w:val="006F7B6D"/>
    <w:rsid w:val="006F7CA8"/>
    <w:rsid w:val="006F7F3A"/>
    <w:rsid w:val="00700E79"/>
    <w:rsid w:val="00702761"/>
    <w:rsid w:val="00702E87"/>
    <w:rsid w:val="00704596"/>
    <w:rsid w:val="007048B9"/>
    <w:rsid w:val="00704DE4"/>
    <w:rsid w:val="00704F48"/>
    <w:rsid w:val="007054B1"/>
    <w:rsid w:val="00705529"/>
    <w:rsid w:val="00705545"/>
    <w:rsid w:val="007056D6"/>
    <w:rsid w:val="00705711"/>
    <w:rsid w:val="00705AD1"/>
    <w:rsid w:val="00706CB1"/>
    <w:rsid w:val="007070B2"/>
    <w:rsid w:val="00707427"/>
    <w:rsid w:val="007078D0"/>
    <w:rsid w:val="00707C49"/>
    <w:rsid w:val="007110B4"/>
    <w:rsid w:val="0071124C"/>
    <w:rsid w:val="007118EF"/>
    <w:rsid w:val="0071195D"/>
    <w:rsid w:val="00711A2D"/>
    <w:rsid w:val="00712449"/>
    <w:rsid w:val="007129A3"/>
    <w:rsid w:val="00713110"/>
    <w:rsid w:val="00713111"/>
    <w:rsid w:val="0071336D"/>
    <w:rsid w:val="00713552"/>
    <w:rsid w:val="0071366B"/>
    <w:rsid w:val="007136DE"/>
    <w:rsid w:val="00714C73"/>
    <w:rsid w:val="0071533A"/>
    <w:rsid w:val="00715AA9"/>
    <w:rsid w:val="00715D91"/>
    <w:rsid w:val="00715E86"/>
    <w:rsid w:val="007164BA"/>
    <w:rsid w:val="00716975"/>
    <w:rsid w:val="00716F0A"/>
    <w:rsid w:val="007177DA"/>
    <w:rsid w:val="007178B2"/>
    <w:rsid w:val="00720086"/>
    <w:rsid w:val="00720C1F"/>
    <w:rsid w:val="00720E4D"/>
    <w:rsid w:val="007211AA"/>
    <w:rsid w:val="007214FF"/>
    <w:rsid w:val="00722089"/>
    <w:rsid w:val="0072219A"/>
    <w:rsid w:val="00722D86"/>
    <w:rsid w:val="0072316B"/>
    <w:rsid w:val="0072329A"/>
    <w:rsid w:val="00723A88"/>
    <w:rsid w:val="00723B4D"/>
    <w:rsid w:val="00723CC9"/>
    <w:rsid w:val="007240BC"/>
    <w:rsid w:val="00724A4E"/>
    <w:rsid w:val="00724D69"/>
    <w:rsid w:val="0072610B"/>
    <w:rsid w:val="00726E9A"/>
    <w:rsid w:val="00727F44"/>
    <w:rsid w:val="00730837"/>
    <w:rsid w:val="00730DF9"/>
    <w:rsid w:val="007310B1"/>
    <w:rsid w:val="00731905"/>
    <w:rsid w:val="0073242E"/>
    <w:rsid w:val="0073289D"/>
    <w:rsid w:val="00732958"/>
    <w:rsid w:val="0073317B"/>
    <w:rsid w:val="0073374A"/>
    <w:rsid w:val="00733FC4"/>
    <w:rsid w:val="00734107"/>
    <w:rsid w:val="00734323"/>
    <w:rsid w:val="00734C84"/>
    <w:rsid w:val="00734EDE"/>
    <w:rsid w:val="007350FE"/>
    <w:rsid w:val="0073514D"/>
    <w:rsid w:val="0073527E"/>
    <w:rsid w:val="0073556B"/>
    <w:rsid w:val="007357D8"/>
    <w:rsid w:val="00735B38"/>
    <w:rsid w:val="0073646B"/>
    <w:rsid w:val="00736726"/>
    <w:rsid w:val="00737455"/>
    <w:rsid w:val="00737964"/>
    <w:rsid w:val="00737BEC"/>
    <w:rsid w:val="00740B8D"/>
    <w:rsid w:val="007412F7"/>
    <w:rsid w:val="007413C3"/>
    <w:rsid w:val="00742D58"/>
    <w:rsid w:val="00742FC7"/>
    <w:rsid w:val="00743130"/>
    <w:rsid w:val="007434CB"/>
    <w:rsid w:val="00743911"/>
    <w:rsid w:val="00743A86"/>
    <w:rsid w:val="00743B19"/>
    <w:rsid w:val="007450AE"/>
    <w:rsid w:val="0074510A"/>
    <w:rsid w:val="00745112"/>
    <w:rsid w:val="007460A5"/>
    <w:rsid w:val="007463FF"/>
    <w:rsid w:val="00746FFB"/>
    <w:rsid w:val="007471EA"/>
    <w:rsid w:val="0074746E"/>
    <w:rsid w:val="007476CD"/>
    <w:rsid w:val="007477E3"/>
    <w:rsid w:val="00750110"/>
    <w:rsid w:val="007505EE"/>
    <w:rsid w:val="00750BEF"/>
    <w:rsid w:val="00750E90"/>
    <w:rsid w:val="007512D7"/>
    <w:rsid w:val="00751324"/>
    <w:rsid w:val="00751A55"/>
    <w:rsid w:val="00751D8C"/>
    <w:rsid w:val="007528D1"/>
    <w:rsid w:val="00752C0C"/>
    <w:rsid w:val="00752E09"/>
    <w:rsid w:val="007539DC"/>
    <w:rsid w:val="00753A9F"/>
    <w:rsid w:val="007545F0"/>
    <w:rsid w:val="00754DA7"/>
    <w:rsid w:val="00755366"/>
    <w:rsid w:val="007554B0"/>
    <w:rsid w:val="0075550B"/>
    <w:rsid w:val="00755582"/>
    <w:rsid w:val="007556B2"/>
    <w:rsid w:val="00756500"/>
    <w:rsid w:val="007568D1"/>
    <w:rsid w:val="00756EFA"/>
    <w:rsid w:val="00756F92"/>
    <w:rsid w:val="00757161"/>
    <w:rsid w:val="00757C14"/>
    <w:rsid w:val="00760314"/>
    <w:rsid w:val="00760523"/>
    <w:rsid w:val="007610C7"/>
    <w:rsid w:val="00762606"/>
    <w:rsid w:val="007632E1"/>
    <w:rsid w:val="00764A71"/>
    <w:rsid w:val="00764DF3"/>
    <w:rsid w:val="00764F58"/>
    <w:rsid w:val="00764FC9"/>
    <w:rsid w:val="007651ED"/>
    <w:rsid w:val="00765CDE"/>
    <w:rsid w:val="00765DB8"/>
    <w:rsid w:val="00766013"/>
    <w:rsid w:val="00766ECE"/>
    <w:rsid w:val="00766FF2"/>
    <w:rsid w:val="00767155"/>
    <w:rsid w:val="00767171"/>
    <w:rsid w:val="0077118A"/>
    <w:rsid w:val="00771D70"/>
    <w:rsid w:val="00771F81"/>
    <w:rsid w:val="00772561"/>
    <w:rsid w:val="007726B2"/>
    <w:rsid w:val="007728B6"/>
    <w:rsid w:val="0077300D"/>
    <w:rsid w:val="0077364E"/>
    <w:rsid w:val="00773B26"/>
    <w:rsid w:val="00773B4A"/>
    <w:rsid w:val="007740E5"/>
    <w:rsid w:val="00776134"/>
    <w:rsid w:val="00776542"/>
    <w:rsid w:val="00776752"/>
    <w:rsid w:val="0077677B"/>
    <w:rsid w:val="00776A02"/>
    <w:rsid w:val="00777349"/>
    <w:rsid w:val="0077757C"/>
    <w:rsid w:val="007775F9"/>
    <w:rsid w:val="00777FDE"/>
    <w:rsid w:val="00780481"/>
    <w:rsid w:val="00780792"/>
    <w:rsid w:val="00780F7C"/>
    <w:rsid w:val="00780FF2"/>
    <w:rsid w:val="00781FCE"/>
    <w:rsid w:val="0078219E"/>
    <w:rsid w:val="00782294"/>
    <w:rsid w:val="0078338D"/>
    <w:rsid w:val="00783C8F"/>
    <w:rsid w:val="00784427"/>
    <w:rsid w:val="00784780"/>
    <w:rsid w:val="00785131"/>
    <w:rsid w:val="0078578C"/>
    <w:rsid w:val="007858EB"/>
    <w:rsid w:val="0078594A"/>
    <w:rsid w:val="00785C7B"/>
    <w:rsid w:val="0078625E"/>
    <w:rsid w:val="00786A02"/>
    <w:rsid w:val="00787462"/>
    <w:rsid w:val="00787614"/>
    <w:rsid w:val="00787756"/>
    <w:rsid w:val="0078783D"/>
    <w:rsid w:val="00790DA3"/>
    <w:rsid w:val="00791116"/>
    <w:rsid w:val="00791B5D"/>
    <w:rsid w:val="0079287A"/>
    <w:rsid w:val="00793129"/>
    <w:rsid w:val="00793668"/>
    <w:rsid w:val="00793AAE"/>
    <w:rsid w:val="00794030"/>
    <w:rsid w:val="007944F5"/>
    <w:rsid w:val="00794D8F"/>
    <w:rsid w:val="00794FF5"/>
    <w:rsid w:val="0079503B"/>
    <w:rsid w:val="00795175"/>
    <w:rsid w:val="00795366"/>
    <w:rsid w:val="0079572E"/>
    <w:rsid w:val="007958FA"/>
    <w:rsid w:val="007964C4"/>
    <w:rsid w:val="00796B08"/>
    <w:rsid w:val="0079761E"/>
    <w:rsid w:val="00797651"/>
    <w:rsid w:val="007A01BA"/>
    <w:rsid w:val="007A0356"/>
    <w:rsid w:val="007A1688"/>
    <w:rsid w:val="007A234C"/>
    <w:rsid w:val="007A25C9"/>
    <w:rsid w:val="007A2631"/>
    <w:rsid w:val="007A2828"/>
    <w:rsid w:val="007A283A"/>
    <w:rsid w:val="007A2BA0"/>
    <w:rsid w:val="007A2C4A"/>
    <w:rsid w:val="007A317F"/>
    <w:rsid w:val="007A331D"/>
    <w:rsid w:val="007A35C3"/>
    <w:rsid w:val="007A3895"/>
    <w:rsid w:val="007A3C48"/>
    <w:rsid w:val="007A3F12"/>
    <w:rsid w:val="007A4063"/>
    <w:rsid w:val="007A46EF"/>
    <w:rsid w:val="007A4A55"/>
    <w:rsid w:val="007A5D5F"/>
    <w:rsid w:val="007A6022"/>
    <w:rsid w:val="007A6528"/>
    <w:rsid w:val="007A689D"/>
    <w:rsid w:val="007A68C3"/>
    <w:rsid w:val="007B0044"/>
    <w:rsid w:val="007B082A"/>
    <w:rsid w:val="007B0833"/>
    <w:rsid w:val="007B10BF"/>
    <w:rsid w:val="007B1789"/>
    <w:rsid w:val="007B1A08"/>
    <w:rsid w:val="007B1D07"/>
    <w:rsid w:val="007B268E"/>
    <w:rsid w:val="007B2720"/>
    <w:rsid w:val="007B30E4"/>
    <w:rsid w:val="007B339D"/>
    <w:rsid w:val="007B358C"/>
    <w:rsid w:val="007B3793"/>
    <w:rsid w:val="007B3BBC"/>
    <w:rsid w:val="007B3F67"/>
    <w:rsid w:val="007B4D12"/>
    <w:rsid w:val="007B5870"/>
    <w:rsid w:val="007B659E"/>
    <w:rsid w:val="007B667D"/>
    <w:rsid w:val="007B6731"/>
    <w:rsid w:val="007B6F7C"/>
    <w:rsid w:val="007B7031"/>
    <w:rsid w:val="007B72E5"/>
    <w:rsid w:val="007B7591"/>
    <w:rsid w:val="007B772C"/>
    <w:rsid w:val="007B7DBA"/>
    <w:rsid w:val="007C065A"/>
    <w:rsid w:val="007C07AC"/>
    <w:rsid w:val="007C0F67"/>
    <w:rsid w:val="007C1709"/>
    <w:rsid w:val="007C1FFB"/>
    <w:rsid w:val="007C2717"/>
    <w:rsid w:val="007C2F22"/>
    <w:rsid w:val="007C3224"/>
    <w:rsid w:val="007C3F4A"/>
    <w:rsid w:val="007C3F6E"/>
    <w:rsid w:val="007C4A7F"/>
    <w:rsid w:val="007C4AC7"/>
    <w:rsid w:val="007C4D8C"/>
    <w:rsid w:val="007C5699"/>
    <w:rsid w:val="007C6259"/>
    <w:rsid w:val="007C62E9"/>
    <w:rsid w:val="007C6DE8"/>
    <w:rsid w:val="007C70CA"/>
    <w:rsid w:val="007C77D8"/>
    <w:rsid w:val="007C7BF4"/>
    <w:rsid w:val="007D1025"/>
    <w:rsid w:val="007D1CA6"/>
    <w:rsid w:val="007D1CF5"/>
    <w:rsid w:val="007D350C"/>
    <w:rsid w:val="007D357B"/>
    <w:rsid w:val="007D3596"/>
    <w:rsid w:val="007D4816"/>
    <w:rsid w:val="007D52BE"/>
    <w:rsid w:val="007D5725"/>
    <w:rsid w:val="007D59DA"/>
    <w:rsid w:val="007D62BB"/>
    <w:rsid w:val="007D6493"/>
    <w:rsid w:val="007D6F58"/>
    <w:rsid w:val="007E04A1"/>
    <w:rsid w:val="007E0BAB"/>
    <w:rsid w:val="007E0EA9"/>
    <w:rsid w:val="007E1059"/>
    <w:rsid w:val="007E11B4"/>
    <w:rsid w:val="007E14BA"/>
    <w:rsid w:val="007E1C9B"/>
    <w:rsid w:val="007E1F71"/>
    <w:rsid w:val="007E26E1"/>
    <w:rsid w:val="007E2BEA"/>
    <w:rsid w:val="007E2C1B"/>
    <w:rsid w:val="007E3531"/>
    <w:rsid w:val="007E3D25"/>
    <w:rsid w:val="007E4613"/>
    <w:rsid w:val="007E4D69"/>
    <w:rsid w:val="007E55E3"/>
    <w:rsid w:val="007E6068"/>
    <w:rsid w:val="007E66A8"/>
    <w:rsid w:val="007E688F"/>
    <w:rsid w:val="007E6C35"/>
    <w:rsid w:val="007E71FD"/>
    <w:rsid w:val="007E7F1F"/>
    <w:rsid w:val="007E7F95"/>
    <w:rsid w:val="007F0351"/>
    <w:rsid w:val="007F0D5A"/>
    <w:rsid w:val="007F0FCD"/>
    <w:rsid w:val="007F212F"/>
    <w:rsid w:val="007F3058"/>
    <w:rsid w:val="007F3134"/>
    <w:rsid w:val="007F3163"/>
    <w:rsid w:val="007F3234"/>
    <w:rsid w:val="007F3C1E"/>
    <w:rsid w:val="007F4147"/>
    <w:rsid w:val="007F4230"/>
    <w:rsid w:val="007F5D34"/>
    <w:rsid w:val="007F6D13"/>
    <w:rsid w:val="00800B88"/>
    <w:rsid w:val="00800E30"/>
    <w:rsid w:val="008015F8"/>
    <w:rsid w:val="008017E8"/>
    <w:rsid w:val="008024B7"/>
    <w:rsid w:val="00802F26"/>
    <w:rsid w:val="0080304E"/>
    <w:rsid w:val="0080333D"/>
    <w:rsid w:val="0080345A"/>
    <w:rsid w:val="00803CC8"/>
    <w:rsid w:val="00804507"/>
    <w:rsid w:val="008058C0"/>
    <w:rsid w:val="00805EF4"/>
    <w:rsid w:val="00806202"/>
    <w:rsid w:val="008062F1"/>
    <w:rsid w:val="00806954"/>
    <w:rsid w:val="00806FCB"/>
    <w:rsid w:val="0080761B"/>
    <w:rsid w:val="00807E53"/>
    <w:rsid w:val="00810067"/>
    <w:rsid w:val="008101E6"/>
    <w:rsid w:val="00811541"/>
    <w:rsid w:val="008120BF"/>
    <w:rsid w:val="00812422"/>
    <w:rsid w:val="00812654"/>
    <w:rsid w:val="00812C7B"/>
    <w:rsid w:val="00813258"/>
    <w:rsid w:val="00813512"/>
    <w:rsid w:val="00813E7C"/>
    <w:rsid w:val="0081470A"/>
    <w:rsid w:val="00814EBD"/>
    <w:rsid w:val="008150BD"/>
    <w:rsid w:val="0081523C"/>
    <w:rsid w:val="00815672"/>
    <w:rsid w:val="00816216"/>
    <w:rsid w:val="00816C5A"/>
    <w:rsid w:val="00817611"/>
    <w:rsid w:val="00817645"/>
    <w:rsid w:val="00817DDC"/>
    <w:rsid w:val="00820A62"/>
    <w:rsid w:val="00821060"/>
    <w:rsid w:val="0082128F"/>
    <w:rsid w:val="0082193D"/>
    <w:rsid w:val="00822015"/>
    <w:rsid w:val="00822B4B"/>
    <w:rsid w:val="00822D2A"/>
    <w:rsid w:val="0082325B"/>
    <w:rsid w:val="00823F73"/>
    <w:rsid w:val="008241F7"/>
    <w:rsid w:val="00825A1D"/>
    <w:rsid w:val="00825A38"/>
    <w:rsid w:val="00825E39"/>
    <w:rsid w:val="008263C9"/>
    <w:rsid w:val="008266B5"/>
    <w:rsid w:val="00826BD9"/>
    <w:rsid w:val="0082782E"/>
    <w:rsid w:val="00827F72"/>
    <w:rsid w:val="0083042E"/>
    <w:rsid w:val="00830785"/>
    <w:rsid w:val="0083103A"/>
    <w:rsid w:val="00831288"/>
    <w:rsid w:val="00831B96"/>
    <w:rsid w:val="0083223A"/>
    <w:rsid w:val="008322C9"/>
    <w:rsid w:val="0083272A"/>
    <w:rsid w:val="00833160"/>
    <w:rsid w:val="00833983"/>
    <w:rsid w:val="00833E38"/>
    <w:rsid w:val="00833F78"/>
    <w:rsid w:val="00834E84"/>
    <w:rsid w:val="008355B3"/>
    <w:rsid w:val="00835612"/>
    <w:rsid w:val="00836407"/>
    <w:rsid w:val="008374FB"/>
    <w:rsid w:val="00837545"/>
    <w:rsid w:val="00837F7D"/>
    <w:rsid w:val="0084001D"/>
    <w:rsid w:val="0084078A"/>
    <w:rsid w:val="00840EEF"/>
    <w:rsid w:val="0084131F"/>
    <w:rsid w:val="00841505"/>
    <w:rsid w:val="008416FE"/>
    <w:rsid w:val="00841BF3"/>
    <w:rsid w:val="00841EE9"/>
    <w:rsid w:val="00842A91"/>
    <w:rsid w:val="0084316C"/>
    <w:rsid w:val="008432F7"/>
    <w:rsid w:val="00843D54"/>
    <w:rsid w:val="00844586"/>
    <w:rsid w:val="00844975"/>
    <w:rsid w:val="00844A42"/>
    <w:rsid w:val="00844B2F"/>
    <w:rsid w:val="00844BC8"/>
    <w:rsid w:val="0084503F"/>
    <w:rsid w:val="00845FF8"/>
    <w:rsid w:val="0084619F"/>
    <w:rsid w:val="008466E1"/>
    <w:rsid w:val="00846ABF"/>
    <w:rsid w:val="00846FDF"/>
    <w:rsid w:val="00847CEA"/>
    <w:rsid w:val="00850130"/>
    <w:rsid w:val="008502FD"/>
    <w:rsid w:val="00850367"/>
    <w:rsid w:val="008505EC"/>
    <w:rsid w:val="008508F4"/>
    <w:rsid w:val="00851655"/>
    <w:rsid w:val="00851BA1"/>
    <w:rsid w:val="00852700"/>
    <w:rsid w:val="008527CD"/>
    <w:rsid w:val="00852880"/>
    <w:rsid w:val="00852DE1"/>
    <w:rsid w:val="00853383"/>
    <w:rsid w:val="00853CE9"/>
    <w:rsid w:val="00854326"/>
    <w:rsid w:val="00854373"/>
    <w:rsid w:val="00854B62"/>
    <w:rsid w:val="00854BC9"/>
    <w:rsid w:val="00854EBB"/>
    <w:rsid w:val="00854FD3"/>
    <w:rsid w:val="008550C9"/>
    <w:rsid w:val="00855411"/>
    <w:rsid w:val="00855443"/>
    <w:rsid w:val="00855502"/>
    <w:rsid w:val="00855635"/>
    <w:rsid w:val="00855BC8"/>
    <w:rsid w:val="00860921"/>
    <w:rsid w:val="00861DA7"/>
    <w:rsid w:val="00862555"/>
    <w:rsid w:val="0086255B"/>
    <w:rsid w:val="008625E8"/>
    <w:rsid w:val="00862C9B"/>
    <w:rsid w:val="0086364E"/>
    <w:rsid w:val="008646D8"/>
    <w:rsid w:val="0086480D"/>
    <w:rsid w:val="008653C9"/>
    <w:rsid w:val="008653D7"/>
    <w:rsid w:val="00865513"/>
    <w:rsid w:val="00865997"/>
    <w:rsid w:val="00866061"/>
    <w:rsid w:val="0086625E"/>
    <w:rsid w:val="008662C6"/>
    <w:rsid w:val="008662DB"/>
    <w:rsid w:val="00866596"/>
    <w:rsid w:val="00866860"/>
    <w:rsid w:val="008669E3"/>
    <w:rsid w:val="008713AC"/>
    <w:rsid w:val="008714D9"/>
    <w:rsid w:val="00871E43"/>
    <w:rsid w:val="008722D9"/>
    <w:rsid w:val="0087242D"/>
    <w:rsid w:val="00872AEA"/>
    <w:rsid w:val="00872AED"/>
    <w:rsid w:val="00872C99"/>
    <w:rsid w:val="008730B0"/>
    <w:rsid w:val="008734AF"/>
    <w:rsid w:val="008745C7"/>
    <w:rsid w:val="0087490B"/>
    <w:rsid w:val="00874FD9"/>
    <w:rsid w:val="008751BC"/>
    <w:rsid w:val="00875992"/>
    <w:rsid w:val="00875F4E"/>
    <w:rsid w:val="008772AD"/>
    <w:rsid w:val="00877657"/>
    <w:rsid w:val="00877D02"/>
    <w:rsid w:val="00877E1C"/>
    <w:rsid w:val="008812DE"/>
    <w:rsid w:val="00881A27"/>
    <w:rsid w:val="00881E68"/>
    <w:rsid w:val="008826CF"/>
    <w:rsid w:val="008828CF"/>
    <w:rsid w:val="008831FC"/>
    <w:rsid w:val="00883A14"/>
    <w:rsid w:val="00884619"/>
    <w:rsid w:val="008849FF"/>
    <w:rsid w:val="00884DD2"/>
    <w:rsid w:val="008855AD"/>
    <w:rsid w:val="00886320"/>
    <w:rsid w:val="00886AA1"/>
    <w:rsid w:val="00887183"/>
    <w:rsid w:val="00887ACA"/>
    <w:rsid w:val="00887CCE"/>
    <w:rsid w:val="00887DE5"/>
    <w:rsid w:val="00890514"/>
    <w:rsid w:val="00890786"/>
    <w:rsid w:val="0089166D"/>
    <w:rsid w:val="008919D9"/>
    <w:rsid w:val="00891BAC"/>
    <w:rsid w:val="00892DFB"/>
    <w:rsid w:val="00892E2E"/>
    <w:rsid w:val="00893884"/>
    <w:rsid w:val="00893A9E"/>
    <w:rsid w:val="00893E6F"/>
    <w:rsid w:val="0089418C"/>
    <w:rsid w:val="00894903"/>
    <w:rsid w:val="00894B1D"/>
    <w:rsid w:val="00894BCC"/>
    <w:rsid w:val="00896642"/>
    <w:rsid w:val="00897035"/>
    <w:rsid w:val="00897A3C"/>
    <w:rsid w:val="00897B86"/>
    <w:rsid w:val="00897C7E"/>
    <w:rsid w:val="008A014F"/>
    <w:rsid w:val="008A0601"/>
    <w:rsid w:val="008A087E"/>
    <w:rsid w:val="008A1113"/>
    <w:rsid w:val="008A11C9"/>
    <w:rsid w:val="008A14FE"/>
    <w:rsid w:val="008A1597"/>
    <w:rsid w:val="008A1B44"/>
    <w:rsid w:val="008A1C02"/>
    <w:rsid w:val="008A28FA"/>
    <w:rsid w:val="008A2BA1"/>
    <w:rsid w:val="008A2FA6"/>
    <w:rsid w:val="008A3337"/>
    <w:rsid w:val="008A4348"/>
    <w:rsid w:val="008A4843"/>
    <w:rsid w:val="008A4D55"/>
    <w:rsid w:val="008A55DD"/>
    <w:rsid w:val="008A5947"/>
    <w:rsid w:val="008A5AC8"/>
    <w:rsid w:val="008A5B52"/>
    <w:rsid w:val="008A5B90"/>
    <w:rsid w:val="008A6458"/>
    <w:rsid w:val="008A657C"/>
    <w:rsid w:val="008A6752"/>
    <w:rsid w:val="008A6C85"/>
    <w:rsid w:val="008A6E97"/>
    <w:rsid w:val="008A7561"/>
    <w:rsid w:val="008B01F0"/>
    <w:rsid w:val="008B020D"/>
    <w:rsid w:val="008B0289"/>
    <w:rsid w:val="008B07CF"/>
    <w:rsid w:val="008B0B37"/>
    <w:rsid w:val="008B0E18"/>
    <w:rsid w:val="008B122E"/>
    <w:rsid w:val="008B1601"/>
    <w:rsid w:val="008B18A3"/>
    <w:rsid w:val="008B223F"/>
    <w:rsid w:val="008B2D4D"/>
    <w:rsid w:val="008B2FD0"/>
    <w:rsid w:val="008B3C63"/>
    <w:rsid w:val="008B410D"/>
    <w:rsid w:val="008B4335"/>
    <w:rsid w:val="008B469E"/>
    <w:rsid w:val="008B6221"/>
    <w:rsid w:val="008B65A5"/>
    <w:rsid w:val="008B6D0A"/>
    <w:rsid w:val="008B6D39"/>
    <w:rsid w:val="008B6D51"/>
    <w:rsid w:val="008B729D"/>
    <w:rsid w:val="008B76BA"/>
    <w:rsid w:val="008B7896"/>
    <w:rsid w:val="008C0A1A"/>
    <w:rsid w:val="008C111C"/>
    <w:rsid w:val="008C2E16"/>
    <w:rsid w:val="008C37F0"/>
    <w:rsid w:val="008C4EEC"/>
    <w:rsid w:val="008C556C"/>
    <w:rsid w:val="008C5E2F"/>
    <w:rsid w:val="008C6E48"/>
    <w:rsid w:val="008C6FE9"/>
    <w:rsid w:val="008D00EA"/>
    <w:rsid w:val="008D0379"/>
    <w:rsid w:val="008D0662"/>
    <w:rsid w:val="008D091B"/>
    <w:rsid w:val="008D1273"/>
    <w:rsid w:val="008D13E6"/>
    <w:rsid w:val="008D18F4"/>
    <w:rsid w:val="008D1E89"/>
    <w:rsid w:val="008D2A54"/>
    <w:rsid w:val="008D2A6C"/>
    <w:rsid w:val="008D2DD7"/>
    <w:rsid w:val="008D3A99"/>
    <w:rsid w:val="008D3C7D"/>
    <w:rsid w:val="008D4115"/>
    <w:rsid w:val="008D4923"/>
    <w:rsid w:val="008D53C9"/>
    <w:rsid w:val="008D5679"/>
    <w:rsid w:val="008D5725"/>
    <w:rsid w:val="008D58A3"/>
    <w:rsid w:val="008D5A54"/>
    <w:rsid w:val="008D5BD2"/>
    <w:rsid w:val="008D64E5"/>
    <w:rsid w:val="008D724C"/>
    <w:rsid w:val="008D7C97"/>
    <w:rsid w:val="008D7DA8"/>
    <w:rsid w:val="008E03B4"/>
    <w:rsid w:val="008E0DED"/>
    <w:rsid w:val="008E1397"/>
    <w:rsid w:val="008E24CC"/>
    <w:rsid w:val="008E263D"/>
    <w:rsid w:val="008E3062"/>
    <w:rsid w:val="008E344F"/>
    <w:rsid w:val="008E347E"/>
    <w:rsid w:val="008E372F"/>
    <w:rsid w:val="008E3815"/>
    <w:rsid w:val="008E3F3E"/>
    <w:rsid w:val="008E4BBE"/>
    <w:rsid w:val="008E4F26"/>
    <w:rsid w:val="008E503C"/>
    <w:rsid w:val="008E544D"/>
    <w:rsid w:val="008E5502"/>
    <w:rsid w:val="008E5F7B"/>
    <w:rsid w:val="008E7AD6"/>
    <w:rsid w:val="008F00AF"/>
    <w:rsid w:val="008F0744"/>
    <w:rsid w:val="008F13EB"/>
    <w:rsid w:val="008F1BE4"/>
    <w:rsid w:val="008F1F54"/>
    <w:rsid w:val="008F23BF"/>
    <w:rsid w:val="008F2C31"/>
    <w:rsid w:val="008F2CD5"/>
    <w:rsid w:val="008F32BE"/>
    <w:rsid w:val="008F345C"/>
    <w:rsid w:val="008F59F1"/>
    <w:rsid w:val="008F5ACD"/>
    <w:rsid w:val="008F5F0D"/>
    <w:rsid w:val="008F6262"/>
    <w:rsid w:val="008F7A6B"/>
    <w:rsid w:val="008F7F33"/>
    <w:rsid w:val="0090104F"/>
    <w:rsid w:val="00901142"/>
    <w:rsid w:val="009011D8"/>
    <w:rsid w:val="00901393"/>
    <w:rsid w:val="00901D29"/>
    <w:rsid w:val="00901E18"/>
    <w:rsid w:val="00902046"/>
    <w:rsid w:val="00902EE8"/>
    <w:rsid w:val="00903819"/>
    <w:rsid w:val="00903F2E"/>
    <w:rsid w:val="009040EC"/>
    <w:rsid w:val="0090420E"/>
    <w:rsid w:val="00904419"/>
    <w:rsid w:val="009045BF"/>
    <w:rsid w:val="0090486F"/>
    <w:rsid w:val="0090542A"/>
    <w:rsid w:val="00905525"/>
    <w:rsid w:val="00905616"/>
    <w:rsid w:val="00905F4D"/>
    <w:rsid w:val="009062D3"/>
    <w:rsid w:val="009067F7"/>
    <w:rsid w:val="0090683E"/>
    <w:rsid w:val="00906A56"/>
    <w:rsid w:val="009074F0"/>
    <w:rsid w:val="009108DD"/>
    <w:rsid w:val="00910DC3"/>
    <w:rsid w:val="0091199C"/>
    <w:rsid w:val="00911BC6"/>
    <w:rsid w:val="00912168"/>
    <w:rsid w:val="00912C14"/>
    <w:rsid w:val="00912F57"/>
    <w:rsid w:val="0091339B"/>
    <w:rsid w:val="0091385F"/>
    <w:rsid w:val="00913F3E"/>
    <w:rsid w:val="0091405D"/>
    <w:rsid w:val="00914CD9"/>
    <w:rsid w:val="009158BE"/>
    <w:rsid w:val="00915C00"/>
    <w:rsid w:val="0091614D"/>
    <w:rsid w:val="00916D1A"/>
    <w:rsid w:val="00916FB6"/>
    <w:rsid w:val="0091705E"/>
    <w:rsid w:val="009170D4"/>
    <w:rsid w:val="00917400"/>
    <w:rsid w:val="009177AD"/>
    <w:rsid w:val="00917AB2"/>
    <w:rsid w:val="009202C7"/>
    <w:rsid w:val="009212CD"/>
    <w:rsid w:val="00921DAD"/>
    <w:rsid w:val="00922A23"/>
    <w:rsid w:val="00922F25"/>
    <w:rsid w:val="00923FAE"/>
    <w:rsid w:val="009241B5"/>
    <w:rsid w:val="00924260"/>
    <w:rsid w:val="00924502"/>
    <w:rsid w:val="009245D3"/>
    <w:rsid w:val="009255CE"/>
    <w:rsid w:val="009267A6"/>
    <w:rsid w:val="00927037"/>
    <w:rsid w:val="00927230"/>
    <w:rsid w:val="00927300"/>
    <w:rsid w:val="00927673"/>
    <w:rsid w:val="00930430"/>
    <w:rsid w:val="00930748"/>
    <w:rsid w:val="00931E92"/>
    <w:rsid w:val="00932778"/>
    <w:rsid w:val="00933030"/>
    <w:rsid w:val="00933CFF"/>
    <w:rsid w:val="00934914"/>
    <w:rsid w:val="00935A38"/>
    <w:rsid w:val="00935B9F"/>
    <w:rsid w:val="0093657E"/>
    <w:rsid w:val="00937647"/>
    <w:rsid w:val="0093787B"/>
    <w:rsid w:val="00940631"/>
    <w:rsid w:val="00940788"/>
    <w:rsid w:val="00940FCA"/>
    <w:rsid w:val="0094180C"/>
    <w:rsid w:val="00942091"/>
    <w:rsid w:val="009425EE"/>
    <w:rsid w:val="00944928"/>
    <w:rsid w:val="00944A9B"/>
    <w:rsid w:val="0094516F"/>
    <w:rsid w:val="009451DE"/>
    <w:rsid w:val="00945315"/>
    <w:rsid w:val="00946009"/>
    <w:rsid w:val="00946506"/>
    <w:rsid w:val="0095060C"/>
    <w:rsid w:val="00950C74"/>
    <w:rsid w:val="00950E99"/>
    <w:rsid w:val="009511A9"/>
    <w:rsid w:val="009512A0"/>
    <w:rsid w:val="0095161C"/>
    <w:rsid w:val="00951E8F"/>
    <w:rsid w:val="00952D82"/>
    <w:rsid w:val="00952E84"/>
    <w:rsid w:val="00953036"/>
    <w:rsid w:val="00953268"/>
    <w:rsid w:val="00953460"/>
    <w:rsid w:val="00953D58"/>
    <w:rsid w:val="00955079"/>
    <w:rsid w:val="00955481"/>
    <w:rsid w:val="009554C7"/>
    <w:rsid w:val="009557EE"/>
    <w:rsid w:val="00955EC5"/>
    <w:rsid w:val="009561DC"/>
    <w:rsid w:val="009566DE"/>
    <w:rsid w:val="00957756"/>
    <w:rsid w:val="0095778B"/>
    <w:rsid w:val="009614DF"/>
    <w:rsid w:val="00961D41"/>
    <w:rsid w:val="009623D0"/>
    <w:rsid w:val="009626E1"/>
    <w:rsid w:val="00962AF9"/>
    <w:rsid w:val="00962D0A"/>
    <w:rsid w:val="009632A4"/>
    <w:rsid w:val="00963A33"/>
    <w:rsid w:val="009642AC"/>
    <w:rsid w:val="0096448F"/>
    <w:rsid w:val="00964782"/>
    <w:rsid w:val="00965993"/>
    <w:rsid w:val="0096669C"/>
    <w:rsid w:val="009667B5"/>
    <w:rsid w:val="00966905"/>
    <w:rsid w:val="00966BE3"/>
    <w:rsid w:val="0096707E"/>
    <w:rsid w:val="0096751F"/>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D0"/>
    <w:rsid w:val="00981821"/>
    <w:rsid w:val="009825C4"/>
    <w:rsid w:val="00983365"/>
    <w:rsid w:val="009833C9"/>
    <w:rsid w:val="00984230"/>
    <w:rsid w:val="00985925"/>
    <w:rsid w:val="009863C6"/>
    <w:rsid w:val="009865B4"/>
    <w:rsid w:val="00986C49"/>
    <w:rsid w:val="00986CD7"/>
    <w:rsid w:val="00986D77"/>
    <w:rsid w:val="009877FB"/>
    <w:rsid w:val="00990887"/>
    <w:rsid w:val="00991012"/>
    <w:rsid w:val="00991022"/>
    <w:rsid w:val="009913A2"/>
    <w:rsid w:val="00991597"/>
    <w:rsid w:val="00991B71"/>
    <w:rsid w:val="00992AC4"/>
    <w:rsid w:val="00992ED0"/>
    <w:rsid w:val="00993B8A"/>
    <w:rsid w:val="00993FE7"/>
    <w:rsid w:val="00994350"/>
    <w:rsid w:val="00994CF8"/>
    <w:rsid w:val="009950CE"/>
    <w:rsid w:val="00995485"/>
    <w:rsid w:val="00995B17"/>
    <w:rsid w:val="00995C6B"/>
    <w:rsid w:val="00995F45"/>
    <w:rsid w:val="009964F2"/>
    <w:rsid w:val="009968CF"/>
    <w:rsid w:val="00996A2A"/>
    <w:rsid w:val="00997097"/>
    <w:rsid w:val="009A0016"/>
    <w:rsid w:val="009A055F"/>
    <w:rsid w:val="009A17DF"/>
    <w:rsid w:val="009A1B1F"/>
    <w:rsid w:val="009A1FBA"/>
    <w:rsid w:val="009A1FCF"/>
    <w:rsid w:val="009A2DC7"/>
    <w:rsid w:val="009A3486"/>
    <w:rsid w:val="009A34F1"/>
    <w:rsid w:val="009A374E"/>
    <w:rsid w:val="009A486B"/>
    <w:rsid w:val="009A5ABF"/>
    <w:rsid w:val="009A5B39"/>
    <w:rsid w:val="009A5E8F"/>
    <w:rsid w:val="009A6362"/>
    <w:rsid w:val="009A6AF0"/>
    <w:rsid w:val="009A7664"/>
    <w:rsid w:val="009A77F4"/>
    <w:rsid w:val="009A7F41"/>
    <w:rsid w:val="009A7FC5"/>
    <w:rsid w:val="009B03E7"/>
    <w:rsid w:val="009B0627"/>
    <w:rsid w:val="009B09C2"/>
    <w:rsid w:val="009B156B"/>
    <w:rsid w:val="009B16CA"/>
    <w:rsid w:val="009B1B09"/>
    <w:rsid w:val="009B1F90"/>
    <w:rsid w:val="009B22C9"/>
    <w:rsid w:val="009B379A"/>
    <w:rsid w:val="009B4072"/>
    <w:rsid w:val="009B40C4"/>
    <w:rsid w:val="009B4173"/>
    <w:rsid w:val="009B4C40"/>
    <w:rsid w:val="009B4D84"/>
    <w:rsid w:val="009B5682"/>
    <w:rsid w:val="009B5E37"/>
    <w:rsid w:val="009B60B3"/>
    <w:rsid w:val="009B6192"/>
    <w:rsid w:val="009B6E8F"/>
    <w:rsid w:val="009B6E96"/>
    <w:rsid w:val="009B724B"/>
    <w:rsid w:val="009B779B"/>
    <w:rsid w:val="009C078B"/>
    <w:rsid w:val="009C0D58"/>
    <w:rsid w:val="009C115C"/>
    <w:rsid w:val="009C1A62"/>
    <w:rsid w:val="009C1DFA"/>
    <w:rsid w:val="009C23B7"/>
    <w:rsid w:val="009C3697"/>
    <w:rsid w:val="009C3FE7"/>
    <w:rsid w:val="009C51CF"/>
    <w:rsid w:val="009C5585"/>
    <w:rsid w:val="009C6ED6"/>
    <w:rsid w:val="009C6FEA"/>
    <w:rsid w:val="009C7312"/>
    <w:rsid w:val="009C78AD"/>
    <w:rsid w:val="009D14AA"/>
    <w:rsid w:val="009D16B9"/>
    <w:rsid w:val="009D1F1A"/>
    <w:rsid w:val="009D240E"/>
    <w:rsid w:val="009D2BAA"/>
    <w:rsid w:val="009D2D55"/>
    <w:rsid w:val="009D31F2"/>
    <w:rsid w:val="009D374E"/>
    <w:rsid w:val="009D456D"/>
    <w:rsid w:val="009D470B"/>
    <w:rsid w:val="009D48D3"/>
    <w:rsid w:val="009D4957"/>
    <w:rsid w:val="009D52E5"/>
    <w:rsid w:val="009D5583"/>
    <w:rsid w:val="009D5905"/>
    <w:rsid w:val="009D5F0D"/>
    <w:rsid w:val="009D5F32"/>
    <w:rsid w:val="009D63C1"/>
    <w:rsid w:val="009D648F"/>
    <w:rsid w:val="009D66B0"/>
    <w:rsid w:val="009D67FF"/>
    <w:rsid w:val="009D6BF3"/>
    <w:rsid w:val="009D7876"/>
    <w:rsid w:val="009D7BBA"/>
    <w:rsid w:val="009D7D11"/>
    <w:rsid w:val="009E068E"/>
    <w:rsid w:val="009E0BB8"/>
    <w:rsid w:val="009E0D53"/>
    <w:rsid w:val="009E1F7F"/>
    <w:rsid w:val="009E3164"/>
    <w:rsid w:val="009E33CD"/>
    <w:rsid w:val="009E3FA0"/>
    <w:rsid w:val="009E559A"/>
    <w:rsid w:val="009E5B2C"/>
    <w:rsid w:val="009E5F7E"/>
    <w:rsid w:val="009E6C8D"/>
    <w:rsid w:val="009E7097"/>
    <w:rsid w:val="009F010A"/>
    <w:rsid w:val="009F0309"/>
    <w:rsid w:val="009F0988"/>
    <w:rsid w:val="009F0A7F"/>
    <w:rsid w:val="009F10AC"/>
    <w:rsid w:val="009F192E"/>
    <w:rsid w:val="009F2191"/>
    <w:rsid w:val="009F2AC4"/>
    <w:rsid w:val="009F3012"/>
    <w:rsid w:val="009F32FF"/>
    <w:rsid w:val="009F3301"/>
    <w:rsid w:val="009F3765"/>
    <w:rsid w:val="009F48C5"/>
    <w:rsid w:val="009F535A"/>
    <w:rsid w:val="009F584F"/>
    <w:rsid w:val="009F70D0"/>
    <w:rsid w:val="009F7441"/>
    <w:rsid w:val="009F7475"/>
    <w:rsid w:val="009F7A29"/>
    <w:rsid w:val="009F7B35"/>
    <w:rsid w:val="00A0003F"/>
    <w:rsid w:val="00A005A5"/>
    <w:rsid w:val="00A00CE8"/>
    <w:rsid w:val="00A00FBF"/>
    <w:rsid w:val="00A0112F"/>
    <w:rsid w:val="00A013A2"/>
    <w:rsid w:val="00A01F93"/>
    <w:rsid w:val="00A01FE0"/>
    <w:rsid w:val="00A022DC"/>
    <w:rsid w:val="00A02537"/>
    <w:rsid w:val="00A0267E"/>
    <w:rsid w:val="00A02825"/>
    <w:rsid w:val="00A02C47"/>
    <w:rsid w:val="00A031FA"/>
    <w:rsid w:val="00A03923"/>
    <w:rsid w:val="00A040C4"/>
    <w:rsid w:val="00A04299"/>
    <w:rsid w:val="00A042E3"/>
    <w:rsid w:val="00A04812"/>
    <w:rsid w:val="00A05C28"/>
    <w:rsid w:val="00A05CE0"/>
    <w:rsid w:val="00A05D2B"/>
    <w:rsid w:val="00A05DAA"/>
    <w:rsid w:val="00A064C9"/>
    <w:rsid w:val="00A066F9"/>
    <w:rsid w:val="00A07044"/>
    <w:rsid w:val="00A101CE"/>
    <w:rsid w:val="00A102A0"/>
    <w:rsid w:val="00A1040F"/>
    <w:rsid w:val="00A10A36"/>
    <w:rsid w:val="00A10A5F"/>
    <w:rsid w:val="00A1111A"/>
    <w:rsid w:val="00A1141F"/>
    <w:rsid w:val="00A11463"/>
    <w:rsid w:val="00A11E24"/>
    <w:rsid w:val="00A12493"/>
    <w:rsid w:val="00A1362D"/>
    <w:rsid w:val="00A136F5"/>
    <w:rsid w:val="00A13A5A"/>
    <w:rsid w:val="00A13D37"/>
    <w:rsid w:val="00A1543D"/>
    <w:rsid w:val="00A154EE"/>
    <w:rsid w:val="00A155E8"/>
    <w:rsid w:val="00A1594F"/>
    <w:rsid w:val="00A15C59"/>
    <w:rsid w:val="00A15C6D"/>
    <w:rsid w:val="00A16894"/>
    <w:rsid w:val="00A171EC"/>
    <w:rsid w:val="00A172B7"/>
    <w:rsid w:val="00A17393"/>
    <w:rsid w:val="00A1762D"/>
    <w:rsid w:val="00A208D6"/>
    <w:rsid w:val="00A213E6"/>
    <w:rsid w:val="00A21992"/>
    <w:rsid w:val="00A21AE4"/>
    <w:rsid w:val="00A21C17"/>
    <w:rsid w:val="00A21CC6"/>
    <w:rsid w:val="00A227D1"/>
    <w:rsid w:val="00A22BCB"/>
    <w:rsid w:val="00A22CF7"/>
    <w:rsid w:val="00A22E6B"/>
    <w:rsid w:val="00A23FDC"/>
    <w:rsid w:val="00A2477C"/>
    <w:rsid w:val="00A24BAF"/>
    <w:rsid w:val="00A24F9A"/>
    <w:rsid w:val="00A256B2"/>
    <w:rsid w:val="00A26201"/>
    <w:rsid w:val="00A26CE2"/>
    <w:rsid w:val="00A26EB1"/>
    <w:rsid w:val="00A2717F"/>
    <w:rsid w:val="00A2720A"/>
    <w:rsid w:val="00A274A8"/>
    <w:rsid w:val="00A27A86"/>
    <w:rsid w:val="00A30126"/>
    <w:rsid w:val="00A302F9"/>
    <w:rsid w:val="00A304C0"/>
    <w:rsid w:val="00A30627"/>
    <w:rsid w:val="00A30F77"/>
    <w:rsid w:val="00A3119B"/>
    <w:rsid w:val="00A31966"/>
    <w:rsid w:val="00A31C04"/>
    <w:rsid w:val="00A3301E"/>
    <w:rsid w:val="00A3312A"/>
    <w:rsid w:val="00A331AA"/>
    <w:rsid w:val="00A334BF"/>
    <w:rsid w:val="00A336E2"/>
    <w:rsid w:val="00A33852"/>
    <w:rsid w:val="00A34114"/>
    <w:rsid w:val="00A3477B"/>
    <w:rsid w:val="00A34A59"/>
    <w:rsid w:val="00A35151"/>
    <w:rsid w:val="00A35E40"/>
    <w:rsid w:val="00A364C6"/>
    <w:rsid w:val="00A368A9"/>
    <w:rsid w:val="00A36E61"/>
    <w:rsid w:val="00A36E93"/>
    <w:rsid w:val="00A37551"/>
    <w:rsid w:val="00A40C78"/>
    <w:rsid w:val="00A40E5D"/>
    <w:rsid w:val="00A4107C"/>
    <w:rsid w:val="00A41945"/>
    <w:rsid w:val="00A41DB2"/>
    <w:rsid w:val="00A42119"/>
    <w:rsid w:val="00A43051"/>
    <w:rsid w:val="00A43EC3"/>
    <w:rsid w:val="00A448C8"/>
    <w:rsid w:val="00A45076"/>
    <w:rsid w:val="00A456B0"/>
    <w:rsid w:val="00A457FF"/>
    <w:rsid w:val="00A45854"/>
    <w:rsid w:val="00A45997"/>
    <w:rsid w:val="00A45E00"/>
    <w:rsid w:val="00A4650D"/>
    <w:rsid w:val="00A4671F"/>
    <w:rsid w:val="00A46B66"/>
    <w:rsid w:val="00A46F67"/>
    <w:rsid w:val="00A47A42"/>
    <w:rsid w:val="00A501D1"/>
    <w:rsid w:val="00A5082B"/>
    <w:rsid w:val="00A5163A"/>
    <w:rsid w:val="00A5186B"/>
    <w:rsid w:val="00A51E35"/>
    <w:rsid w:val="00A52170"/>
    <w:rsid w:val="00A53138"/>
    <w:rsid w:val="00A5327A"/>
    <w:rsid w:val="00A53B57"/>
    <w:rsid w:val="00A5434C"/>
    <w:rsid w:val="00A54F96"/>
    <w:rsid w:val="00A54FBF"/>
    <w:rsid w:val="00A55307"/>
    <w:rsid w:val="00A555D1"/>
    <w:rsid w:val="00A57B45"/>
    <w:rsid w:val="00A57CAD"/>
    <w:rsid w:val="00A60E22"/>
    <w:rsid w:val="00A616AA"/>
    <w:rsid w:val="00A617AA"/>
    <w:rsid w:val="00A624B5"/>
    <w:rsid w:val="00A62E16"/>
    <w:rsid w:val="00A630DB"/>
    <w:rsid w:val="00A63467"/>
    <w:rsid w:val="00A63693"/>
    <w:rsid w:val="00A636F2"/>
    <w:rsid w:val="00A639EC"/>
    <w:rsid w:val="00A643C1"/>
    <w:rsid w:val="00A645B2"/>
    <w:rsid w:val="00A6501C"/>
    <w:rsid w:val="00A65089"/>
    <w:rsid w:val="00A65138"/>
    <w:rsid w:val="00A652E8"/>
    <w:rsid w:val="00A65DD7"/>
    <w:rsid w:val="00A66184"/>
    <w:rsid w:val="00A67124"/>
    <w:rsid w:val="00A67CB1"/>
    <w:rsid w:val="00A67EAB"/>
    <w:rsid w:val="00A67EBF"/>
    <w:rsid w:val="00A7000C"/>
    <w:rsid w:val="00A70DFA"/>
    <w:rsid w:val="00A71B28"/>
    <w:rsid w:val="00A72307"/>
    <w:rsid w:val="00A72C40"/>
    <w:rsid w:val="00A7332D"/>
    <w:rsid w:val="00A73C68"/>
    <w:rsid w:val="00A74123"/>
    <w:rsid w:val="00A7412A"/>
    <w:rsid w:val="00A74218"/>
    <w:rsid w:val="00A746BE"/>
    <w:rsid w:val="00A74B97"/>
    <w:rsid w:val="00A74F89"/>
    <w:rsid w:val="00A76848"/>
    <w:rsid w:val="00A76A4F"/>
    <w:rsid w:val="00A76C01"/>
    <w:rsid w:val="00A77B15"/>
    <w:rsid w:val="00A77E0B"/>
    <w:rsid w:val="00A8057F"/>
    <w:rsid w:val="00A80936"/>
    <w:rsid w:val="00A80DB0"/>
    <w:rsid w:val="00A81244"/>
    <w:rsid w:val="00A81458"/>
    <w:rsid w:val="00A81501"/>
    <w:rsid w:val="00A8222D"/>
    <w:rsid w:val="00A82368"/>
    <w:rsid w:val="00A826F4"/>
    <w:rsid w:val="00A827BF"/>
    <w:rsid w:val="00A83114"/>
    <w:rsid w:val="00A83191"/>
    <w:rsid w:val="00A83A21"/>
    <w:rsid w:val="00A83A24"/>
    <w:rsid w:val="00A83A66"/>
    <w:rsid w:val="00A83B60"/>
    <w:rsid w:val="00A84273"/>
    <w:rsid w:val="00A84761"/>
    <w:rsid w:val="00A84D45"/>
    <w:rsid w:val="00A85A60"/>
    <w:rsid w:val="00A85AC7"/>
    <w:rsid w:val="00A85B7D"/>
    <w:rsid w:val="00A85DA0"/>
    <w:rsid w:val="00A861FF"/>
    <w:rsid w:val="00A86B0C"/>
    <w:rsid w:val="00A86C53"/>
    <w:rsid w:val="00A871A4"/>
    <w:rsid w:val="00A8767B"/>
    <w:rsid w:val="00A87E9C"/>
    <w:rsid w:val="00A903FB"/>
    <w:rsid w:val="00A90540"/>
    <w:rsid w:val="00A9156A"/>
    <w:rsid w:val="00A91A45"/>
    <w:rsid w:val="00A924D2"/>
    <w:rsid w:val="00A92BA0"/>
    <w:rsid w:val="00A93804"/>
    <w:rsid w:val="00A94378"/>
    <w:rsid w:val="00A947AD"/>
    <w:rsid w:val="00A94894"/>
    <w:rsid w:val="00A95072"/>
    <w:rsid w:val="00A95457"/>
    <w:rsid w:val="00A958C6"/>
    <w:rsid w:val="00A95BBE"/>
    <w:rsid w:val="00A95D50"/>
    <w:rsid w:val="00A96789"/>
    <w:rsid w:val="00A9685F"/>
    <w:rsid w:val="00A96883"/>
    <w:rsid w:val="00A9725F"/>
    <w:rsid w:val="00A974F8"/>
    <w:rsid w:val="00A9796C"/>
    <w:rsid w:val="00A97B5D"/>
    <w:rsid w:val="00A97BC1"/>
    <w:rsid w:val="00AA0B23"/>
    <w:rsid w:val="00AA189A"/>
    <w:rsid w:val="00AA2082"/>
    <w:rsid w:val="00AA21AA"/>
    <w:rsid w:val="00AA2310"/>
    <w:rsid w:val="00AA2AF9"/>
    <w:rsid w:val="00AA2F8E"/>
    <w:rsid w:val="00AA3874"/>
    <w:rsid w:val="00AA3C57"/>
    <w:rsid w:val="00AA4297"/>
    <w:rsid w:val="00AA4724"/>
    <w:rsid w:val="00AA4A36"/>
    <w:rsid w:val="00AA4BED"/>
    <w:rsid w:val="00AA510F"/>
    <w:rsid w:val="00AA5192"/>
    <w:rsid w:val="00AA52DD"/>
    <w:rsid w:val="00AA52FB"/>
    <w:rsid w:val="00AA5AC2"/>
    <w:rsid w:val="00AA5AF2"/>
    <w:rsid w:val="00AA6CF5"/>
    <w:rsid w:val="00AA7610"/>
    <w:rsid w:val="00AB0867"/>
    <w:rsid w:val="00AB10E8"/>
    <w:rsid w:val="00AB1D0C"/>
    <w:rsid w:val="00AB23E5"/>
    <w:rsid w:val="00AB2449"/>
    <w:rsid w:val="00AB2C01"/>
    <w:rsid w:val="00AB2DB1"/>
    <w:rsid w:val="00AB362A"/>
    <w:rsid w:val="00AB444C"/>
    <w:rsid w:val="00AB4B64"/>
    <w:rsid w:val="00AB5B26"/>
    <w:rsid w:val="00AB647E"/>
    <w:rsid w:val="00AB69F4"/>
    <w:rsid w:val="00AB6A10"/>
    <w:rsid w:val="00AB6AC5"/>
    <w:rsid w:val="00AB6C8A"/>
    <w:rsid w:val="00AB73D0"/>
    <w:rsid w:val="00AB7A45"/>
    <w:rsid w:val="00AC011D"/>
    <w:rsid w:val="00AC0408"/>
    <w:rsid w:val="00AC0F10"/>
    <w:rsid w:val="00AC112C"/>
    <w:rsid w:val="00AC1639"/>
    <w:rsid w:val="00AC27E2"/>
    <w:rsid w:val="00AC2BC0"/>
    <w:rsid w:val="00AC2E37"/>
    <w:rsid w:val="00AC314A"/>
    <w:rsid w:val="00AC3611"/>
    <w:rsid w:val="00AC3A8C"/>
    <w:rsid w:val="00AC3C18"/>
    <w:rsid w:val="00AC3F37"/>
    <w:rsid w:val="00AC4E40"/>
    <w:rsid w:val="00AC60A6"/>
    <w:rsid w:val="00AC6343"/>
    <w:rsid w:val="00AC65E7"/>
    <w:rsid w:val="00AC6710"/>
    <w:rsid w:val="00AC6CD5"/>
    <w:rsid w:val="00AC6D80"/>
    <w:rsid w:val="00AC73BF"/>
    <w:rsid w:val="00AC74D0"/>
    <w:rsid w:val="00AC7E2D"/>
    <w:rsid w:val="00AD0068"/>
    <w:rsid w:val="00AD01EE"/>
    <w:rsid w:val="00AD0374"/>
    <w:rsid w:val="00AD0483"/>
    <w:rsid w:val="00AD05D3"/>
    <w:rsid w:val="00AD0758"/>
    <w:rsid w:val="00AD0C32"/>
    <w:rsid w:val="00AD0EB1"/>
    <w:rsid w:val="00AD161A"/>
    <w:rsid w:val="00AD1EB2"/>
    <w:rsid w:val="00AD23EA"/>
    <w:rsid w:val="00AD2ABC"/>
    <w:rsid w:val="00AD358D"/>
    <w:rsid w:val="00AD382E"/>
    <w:rsid w:val="00AD3B4D"/>
    <w:rsid w:val="00AD3F6B"/>
    <w:rsid w:val="00AD406C"/>
    <w:rsid w:val="00AD44A7"/>
    <w:rsid w:val="00AD45A9"/>
    <w:rsid w:val="00AD4F42"/>
    <w:rsid w:val="00AD5746"/>
    <w:rsid w:val="00AD595E"/>
    <w:rsid w:val="00AD6CAB"/>
    <w:rsid w:val="00AD6CFC"/>
    <w:rsid w:val="00AD779D"/>
    <w:rsid w:val="00AD7FF1"/>
    <w:rsid w:val="00AE0793"/>
    <w:rsid w:val="00AE07A1"/>
    <w:rsid w:val="00AE0896"/>
    <w:rsid w:val="00AE12B2"/>
    <w:rsid w:val="00AE1676"/>
    <w:rsid w:val="00AE1712"/>
    <w:rsid w:val="00AE245D"/>
    <w:rsid w:val="00AE251D"/>
    <w:rsid w:val="00AE2B40"/>
    <w:rsid w:val="00AE3076"/>
    <w:rsid w:val="00AE3719"/>
    <w:rsid w:val="00AE38AA"/>
    <w:rsid w:val="00AE391A"/>
    <w:rsid w:val="00AE3F2E"/>
    <w:rsid w:val="00AE3F5C"/>
    <w:rsid w:val="00AE41C4"/>
    <w:rsid w:val="00AE4D0A"/>
    <w:rsid w:val="00AE4EF0"/>
    <w:rsid w:val="00AE519F"/>
    <w:rsid w:val="00AE551A"/>
    <w:rsid w:val="00AE56F6"/>
    <w:rsid w:val="00AE6124"/>
    <w:rsid w:val="00AE6B4D"/>
    <w:rsid w:val="00AE73FF"/>
    <w:rsid w:val="00AE7684"/>
    <w:rsid w:val="00AE7F93"/>
    <w:rsid w:val="00AF096E"/>
    <w:rsid w:val="00AF1033"/>
    <w:rsid w:val="00AF13E5"/>
    <w:rsid w:val="00AF1D2A"/>
    <w:rsid w:val="00AF1F76"/>
    <w:rsid w:val="00AF30A5"/>
    <w:rsid w:val="00AF3610"/>
    <w:rsid w:val="00AF4396"/>
    <w:rsid w:val="00AF50C1"/>
    <w:rsid w:val="00AF53E8"/>
    <w:rsid w:val="00AF5451"/>
    <w:rsid w:val="00AF54CE"/>
    <w:rsid w:val="00AF5EF2"/>
    <w:rsid w:val="00AF61E9"/>
    <w:rsid w:val="00AF659D"/>
    <w:rsid w:val="00AF6666"/>
    <w:rsid w:val="00B00D0F"/>
    <w:rsid w:val="00B01FF9"/>
    <w:rsid w:val="00B028AE"/>
    <w:rsid w:val="00B034C2"/>
    <w:rsid w:val="00B03B53"/>
    <w:rsid w:val="00B03C68"/>
    <w:rsid w:val="00B03D12"/>
    <w:rsid w:val="00B03F73"/>
    <w:rsid w:val="00B051BF"/>
    <w:rsid w:val="00B057CE"/>
    <w:rsid w:val="00B059CC"/>
    <w:rsid w:val="00B06D3A"/>
    <w:rsid w:val="00B07866"/>
    <w:rsid w:val="00B07D7E"/>
    <w:rsid w:val="00B07E5C"/>
    <w:rsid w:val="00B1030A"/>
    <w:rsid w:val="00B10924"/>
    <w:rsid w:val="00B10CCE"/>
    <w:rsid w:val="00B10EDE"/>
    <w:rsid w:val="00B11033"/>
    <w:rsid w:val="00B11253"/>
    <w:rsid w:val="00B11899"/>
    <w:rsid w:val="00B118BB"/>
    <w:rsid w:val="00B11BA0"/>
    <w:rsid w:val="00B11FE2"/>
    <w:rsid w:val="00B12700"/>
    <w:rsid w:val="00B12F1A"/>
    <w:rsid w:val="00B14010"/>
    <w:rsid w:val="00B140F7"/>
    <w:rsid w:val="00B143AF"/>
    <w:rsid w:val="00B14AE2"/>
    <w:rsid w:val="00B14E3C"/>
    <w:rsid w:val="00B15391"/>
    <w:rsid w:val="00B159DE"/>
    <w:rsid w:val="00B15A49"/>
    <w:rsid w:val="00B15DBA"/>
    <w:rsid w:val="00B15E9C"/>
    <w:rsid w:val="00B16455"/>
    <w:rsid w:val="00B1689F"/>
    <w:rsid w:val="00B16AB6"/>
    <w:rsid w:val="00B16FFA"/>
    <w:rsid w:val="00B1704B"/>
    <w:rsid w:val="00B22F87"/>
    <w:rsid w:val="00B234F5"/>
    <w:rsid w:val="00B23DEC"/>
    <w:rsid w:val="00B240C0"/>
    <w:rsid w:val="00B242A0"/>
    <w:rsid w:val="00B243FF"/>
    <w:rsid w:val="00B254C2"/>
    <w:rsid w:val="00B260E2"/>
    <w:rsid w:val="00B27BDF"/>
    <w:rsid w:val="00B30249"/>
    <w:rsid w:val="00B30355"/>
    <w:rsid w:val="00B30460"/>
    <w:rsid w:val="00B30A5A"/>
    <w:rsid w:val="00B31023"/>
    <w:rsid w:val="00B314B3"/>
    <w:rsid w:val="00B3231D"/>
    <w:rsid w:val="00B32ECC"/>
    <w:rsid w:val="00B3323B"/>
    <w:rsid w:val="00B33902"/>
    <w:rsid w:val="00B34102"/>
    <w:rsid w:val="00B344C5"/>
    <w:rsid w:val="00B348B8"/>
    <w:rsid w:val="00B3715A"/>
    <w:rsid w:val="00B377FF"/>
    <w:rsid w:val="00B37F49"/>
    <w:rsid w:val="00B407D7"/>
    <w:rsid w:val="00B40843"/>
    <w:rsid w:val="00B40ECE"/>
    <w:rsid w:val="00B41FC9"/>
    <w:rsid w:val="00B42053"/>
    <w:rsid w:val="00B420CC"/>
    <w:rsid w:val="00B42228"/>
    <w:rsid w:val="00B42721"/>
    <w:rsid w:val="00B4287A"/>
    <w:rsid w:val="00B42A6F"/>
    <w:rsid w:val="00B43164"/>
    <w:rsid w:val="00B4317A"/>
    <w:rsid w:val="00B433AD"/>
    <w:rsid w:val="00B434C1"/>
    <w:rsid w:val="00B43649"/>
    <w:rsid w:val="00B43CA5"/>
    <w:rsid w:val="00B43ED0"/>
    <w:rsid w:val="00B44563"/>
    <w:rsid w:val="00B449B7"/>
    <w:rsid w:val="00B461A1"/>
    <w:rsid w:val="00B46D95"/>
    <w:rsid w:val="00B475D5"/>
    <w:rsid w:val="00B47785"/>
    <w:rsid w:val="00B47A65"/>
    <w:rsid w:val="00B47ECB"/>
    <w:rsid w:val="00B5103A"/>
    <w:rsid w:val="00B51157"/>
    <w:rsid w:val="00B512D4"/>
    <w:rsid w:val="00B51BEF"/>
    <w:rsid w:val="00B52102"/>
    <w:rsid w:val="00B52481"/>
    <w:rsid w:val="00B52B38"/>
    <w:rsid w:val="00B52E28"/>
    <w:rsid w:val="00B534E1"/>
    <w:rsid w:val="00B53A5A"/>
    <w:rsid w:val="00B548AF"/>
    <w:rsid w:val="00B55123"/>
    <w:rsid w:val="00B5554F"/>
    <w:rsid w:val="00B55BB5"/>
    <w:rsid w:val="00B563D1"/>
    <w:rsid w:val="00B56611"/>
    <w:rsid w:val="00B56B3F"/>
    <w:rsid w:val="00B56D8A"/>
    <w:rsid w:val="00B57A81"/>
    <w:rsid w:val="00B60891"/>
    <w:rsid w:val="00B60F19"/>
    <w:rsid w:val="00B618E7"/>
    <w:rsid w:val="00B61A8A"/>
    <w:rsid w:val="00B62881"/>
    <w:rsid w:val="00B62B73"/>
    <w:rsid w:val="00B63368"/>
    <w:rsid w:val="00B64450"/>
    <w:rsid w:val="00B649F0"/>
    <w:rsid w:val="00B651D1"/>
    <w:rsid w:val="00B65277"/>
    <w:rsid w:val="00B65B0E"/>
    <w:rsid w:val="00B65F58"/>
    <w:rsid w:val="00B65FCB"/>
    <w:rsid w:val="00B6659A"/>
    <w:rsid w:val="00B66AB4"/>
    <w:rsid w:val="00B672BA"/>
    <w:rsid w:val="00B673D1"/>
    <w:rsid w:val="00B67E14"/>
    <w:rsid w:val="00B67E88"/>
    <w:rsid w:val="00B7000C"/>
    <w:rsid w:val="00B70A99"/>
    <w:rsid w:val="00B7127A"/>
    <w:rsid w:val="00B71781"/>
    <w:rsid w:val="00B718DE"/>
    <w:rsid w:val="00B7278F"/>
    <w:rsid w:val="00B72C63"/>
    <w:rsid w:val="00B7368F"/>
    <w:rsid w:val="00B73CBD"/>
    <w:rsid w:val="00B7432A"/>
    <w:rsid w:val="00B74584"/>
    <w:rsid w:val="00B7467E"/>
    <w:rsid w:val="00B755AC"/>
    <w:rsid w:val="00B75A1D"/>
    <w:rsid w:val="00B75B2A"/>
    <w:rsid w:val="00B75BCC"/>
    <w:rsid w:val="00B75F30"/>
    <w:rsid w:val="00B75F79"/>
    <w:rsid w:val="00B76ED1"/>
    <w:rsid w:val="00B7764F"/>
    <w:rsid w:val="00B77B13"/>
    <w:rsid w:val="00B80206"/>
    <w:rsid w:val="00B80328"/>
    <w:rsid w:val="00B8092C"/>
    <w:rsid w:val="00B81236"/>
    <w:rsid w:val="00B830BE"/>
    <w:rsid w:val="00B832D8"/>
    <w:rsid w:val="00B83533"/>
    <w:rsid w:val="00B8381C"/>
    <w:rsid w:val="00B83958"/>
    <w:rsid w:val="00B840AA"/>
    <w:rsid w:val="00B84558"/>
    <w:rsid w:val="00B84777"/>
    <w:rsid w:val="00B8498F"/>
    <w:rsid w:val="00B86858"/>
    <w:rsid w:val="00B875E7"/>
    <w:rsid w:val="00B90026"/>
    <w:rsid w:val="00B90269"/>
    <w:rsid w:val="00B91115"/>
    <w:rsid w:val="00B913B5"/>
    <w:rsid w:val="00B91508"/>
    <w:rsid w:val="00B9170D"/>
    <w:rsid w:val="00B91964"/>
    <w:rsid w:val="00B919A0"/>
    <w:rsid w:val="00B91DB9"/>
    <w:rsid w:val="00B921E2"/>
    <w:rsid w:val="00B922D4"/>
    <w:rsid w:val="00B92C67"/>
    <w:rsid w:val="00B92E12"/>
    <w:rsid w:val="00B93284"/>
    <w:rsid w:val="00B93601"/>
    <w:rsid w:val="00B93817"/>
    <w:rsid w:val="00B93EC9"/>
    <w:rsid w:val="00B940D4"/>
    <w:rsid w:val="00B942C7"/>
    <w:rsid w:val="00B942FC"/>
    <w:rsid w:val="00B94973"/>
    <w:rsid w:val="00B94A2C"/>
    <w:rsid w:val="00B956B4"/>
    <w:rsid w:val="00B95906"/>
    <w:rsid w:val="00B95A6A"/>
    <w:rsid w:val="00B95E37"/>
    <w:rsid w:val="00B96D01"/>
    <w:rsid w:val="00B96DEB"/>
    <w:rsid w:val="00B96F42"/>
    <w:rsid w:val="00B9755D"/>
    <w:rsid w:val="00B97D07"/>
    <w:rsid w:val="00B97DE6"/>
    <w:rsid w:val="00B97E85"/>
    <w:rsid w:val="00BA04BF"/>
    <w:rsid w:val="00BA0C07"/>
    <w:rsid w:val="00BA0EFB"/>
    <w:rsid w:val="00BA1614"/>
    <w:rsid w:val="00BA21D1"/>
    <w:rsid w:val="00BA354A"/>
    <w:rsid w:val="00BA370C"/>
    <w:rsid w:val="00BA3763"/>
    <w:rsid w:val="00BA3E9E"/>
    <w:rsid w:val="00BA4429"/>
    <w:rsid w:val="00BA45C1"/>
    <w:rsid w:val="00BA49AF"/>
    <w:rsid w:val="00BA4A6D"/>
    <w:rsid w:val="00BA5085"/>
    <w:rsid w:val="00BA5DFC"/>
    <w:rsid w:val="00BA6350"/>
    <w:rsid w:val="00BA63A1"/>
    <w:rsid w:val="00BA7254"/>
    <w:rsid w:val="00BA7560"/>
    <w:rsid w:val="00BA772A"/>
    <w:rsid w:val="00BA7EED"/>
    <w:rsid w:val="00BB0887"/>
    <w:rsid w:val="00BB1387"/>
    <w:rsid w:val="00BB153B"/>
    <w:rsid w:val="00BB1D0F"/>
    <w:rsid w:val="00BB1F2A"/>
    <w:rsid w:val="00BB20C7"/>
    <w:rsid w:val="00BB2972"/>
    <w:rsid w:val="00BB29D1"/>
    <w:rsid w:val="00BB314A"/>
    <w:rsid w:val="00BB3BBF"/>
    <w:rsid w:val="00BB3C87"/>
    <w:rsid w:val="00BB4B42"/>
    <w:rsid w:val="00BB5098"/>
    <w:rsid w:val="00BB64AC"/>
    <w:rsid w:val="00BB677B"/>
    <w:rsid w:val="00BB6D22"/>
    <w:rsid w:val="00BB79E2"/>
    <w:rsid w:val="00BC042A"/>
    <w:rsid w:val="00BC0598"/>
    <w:rsid w:val="00BC0C3E"/>
    <w:rsid w:val="00BC1012"/>
    <w:rsid w:val="00BC1BCD"/>
    <w:rsid w:val="00BC1FDE"/>
    <w:rsid w:val="00BC2021"/>
    <w:rsid w:val="00BC22F0"/>
    <w:rsid w:val="00BC2921"/>
    <w:rsid w:val="00BC29CD"/>
    <w:rsid w:val="00BC29EA"/>
    <w:rsid w:val="00BC34EB"/>
    <w:rsid w:val="00BC4323"/>
    <w:rsid w:val="00BC44C4"/>
    <w:rsid w:val="00BC4DF5"/>
    <w:rsid w:val="00BC5CFC"/>
    <w:rsid w:val="00BC5F59"/>
    <w:rsid w:val="00BC7953"/>
    <w:rsid w:val="00BD0B7D"/>
    <w:rsid w:val="00BD12E7"/>
    <w:rsid w:val="00BD1C50"/>
    <w:rsid w:val="00BD2078"/>
    <w:rsid w:val="00BD2EF2"/>
    <w:rsid w:val="00BD3925"/>
    <w:rsid w:val="00BD3A86"/>
    <w:rsid w:val="00BD4371"/>
    <w:rsid w:val="00BD4542"/>
    <w:rsid w:val="00BD466F"/>
    <w:rsid w:val="00BD5AD0"/>
    <w:rsid w:val="00BD5DA9"/>
    <w:rsid w:val="00BD6B2D"/>
    <w:rsid w:val="00BD6F78"/>
    <w:rsid w:val="00BD70BD"/>
    <w:rsid w:val="00BD719D"/>
    <w:rsid w:val="00BE00E9"/>
    <w:rsid w:val="00BE0172"/>
    <w:rsid w:val="00BE0258"/>
    <w:rsid w:val="00BE0271"/>
    <w:rsid w:val="00BE0B02"/>
    <w:rsid w:val="00BE0EA6"/>
    <w:rsid w:val="00BE1447"/>
    <w:rsid w:val="00BE2148"/>
    <w:rsid w:val="00BE215D"/>
    <w:rsid w:val="00BE27C1"/>
    <w:rsid w:val="00BE2DB1"/>
    <w:rsid w:val="00BE37E5"/>
    <w:rsid w:val="00BE3C1E"/>
    <w:rsid w:val="00BE3C71"/>
    <w:rsid w:val="00BE4DE1"/>
    <w:rsid w:val="00BE4E01"/>
    <w:rsid w:val="00BE51C4"/>
    <w:rsid w:val="00BE5587"/>
    <w:rsid w:val="00BE57DD"/>
    <w:rsid w:val="00BE611E"/>
    <w:rsid w:val="00BE748B"/>
    <w:rsid w:val="00BE76CB"/>
    <w:rsid w:val="00BE7A15"/>
    <w:rsid w:val="00BE7A59"/>
    <w:rsid w:val="00BF0A1F"/>
    <w:rsid w:val="00BF0AF1"/>
    <w:rsid w:val="00BF0D0D"/>
    <w:rsid w:val="00BF0FD7"/>
    <w:rsid w:val="00BF1209"/>
    <w:rsid w:val="00BF14A5"/>
    <w:rsid w:val="00BF1809"/>
    <w:rsid w:val="00BF182B"/>
    <w:rsid w:val="00BF1A41"/>
    <w:rsid w:val="00BF1CFC"/>
    <w:rsid w:val="00BF2190"/>
    <w:rsid w:val="00BF2598"/>
    <w:rsid w:val="00BF2F22"/>
    <w:rsid w:val="00BF3432"/>
    <w:rsid w:val="00BF37DC"/>
    <w:rsid w:val="00BF39F9"/>
    <w:rsid w:val="00BF3A58"/>
    <w:rsid w:val="00BF3C0D"/>
    <w:rsid w:val="00BF3FDF"/>
    <w:rsid w:val="00BF4F68"/>
    <w:rsid w:val="00BF50B5"/>
    <w:rsid w:val="00BF5F22"/>
    <w:rsid w:val="00BF685D"/>
    <w:rsid w:val="00BF71C6"/>
    <w:rsid w:val="00BF72CA"/>
    <w:rsid w:val="00BF7CD8"/>
    <w:rsid w:val="00BF7E2C"/>
    <w:rsid w:val="00BF7E96"/>
    <w:rsid w:val="00C00849"/>
    <w:rsid w:val="00C0119B"/>
    <w:rsid w:val="00C02A11"/>
    <w:rsid w:val="00C02BE9"/>
    <w:rsid w:val="00C02CE1"/>
    <w:rsid w:val="00C0309A"/>
    <w:rsid w:val="00C03141"/>
    <w:rsid w:val="00C035B9"/>
    <w:rsid w:val="00C036F3"/>
    <w:rsid w:val="00C03923"/>
    <w:rsid w:val="00C04497"/>
    <w:rsid w:val="00C04B21"/>
    <w:rsid w:val="00C04C7E"/>
    <w:rsid w:val="00C0563C"/>
    <w:rsid w:val="00C058DD"/>
    <w:rsid w:val="00C06136"/>
    <w:rsid w:val="00C069D8"/>
    <w:rsid w:val="00C06DC5"/>
    <w:rsid w:val="00C07BAE"/>
    <w:rsid w:val="00C07C15"/>
    <w:rsid w:val="00C07D28"/>
    <w:rsid w:val="00C1064A"/>
    <w:rsid w:val="00C122D5"/>
    <w:rsid w:val="00C12A44"/>
    <w:rsid w:val="00C13270"/>
    <w:rsid w:val="00C1346A"/>
    <w:rsid w:val="00C13818"/>
    <w:rsid w:val="00C1406F"/>
    <w:rsid w:val="00C14BA3"/>
    <w:rsid w:val="00C150AD"/>
    <w:rsid w:val="00C156BF"/>
    <w:rsid w:val="00C15F2A"/>
    <w:rsid w:val="00C166C1"/>
    <w:rsid w:val="00C16FFA"/>
    <w:rsid w:val="00C17602"/>
    <w:rsid w:val="00C17C27"/>
    <w:rsid w:val="00C20026"/>
    <w:rsid w:val="00C2023E"/>
    <w:rsid w:val="00C206C7"/>
    <w:rsid w:val="00C208C0"/>
    <w:rsid w:val="00C216C2"/>
    <w:rsid w:val="00C21A66"/>
    <w:rsid w:val="00C21B4F"/>
    <w:rsid w:val="00C21E41"/>
    <w:rsid w:val="00C22CCF"/>
    <w:rsid w:val="00C235EA"/>
    <w:rsid w:val="00C23670"/>
    <w:rsid w:val="00C2371B"/>
    <w:rsid w:val="00C23B52"/>
    <w:rsid w:val="00C2415E"/>
    <w:rsid w:val="00C2552B"/>
    <w:rsid w:val="00C25765"/>
    <w:rsid w:val="00C25DC1"/>
    <w:rsid w:val="00C25ECF"/>
    <w:rsid w:val="00C25FA6"/>
    <w:rsid w:val="00C2601D"/>
    <w:rsid w:val="00C2636C"/>
    <w:rsid w:val="00C265CB"/>
    <w:rsid w:val="00C2685E"/>
    <w:rsid w:val="00C2687B"/>
    <w:rsid w:val="00C26B59"/>
    <w:rsid w:val="00C26DA4"/>
    <w:rsid w:val="00C26F08"/>
    <w:rsid w:val="00C27CB3"/>
    <w:rsid w:val="00C27E89"/>
    <w:rsid w:val="00C309E1"/>
    <w:rsid w:val="00C30A95"/>
    <w:rsid w:val="00C30C59"/>
    <w:rsid w:val="00C31397"/>
    <w:rsid w:val="00C3180A"/>
    <w:rsid w:val="00C325C9"/>
    <w:rsid w:val="00C33493"/>
    <w:rsid w:val="00C34B06"/>
    <w:rsid w:val="00C34F77"/>
    <w:rsid w:val="00C3503E"/>
    <w:rsid w:val="00C35384"/>
    <w:rsid w:val="00C35CA3"/>
    <w:rsid w:val="00C35CA5"/>
    <w:rsid w:val="00C35DDE"/>
    <w:rsid w:val="00C36039"/>
    <w:rsid w:val="00C36163"/>
    <w:rsid w:val="00C36180"/>
    <w:rsid w:val="00C36798"/>
    <w:rsid w:val="00C37CAC"/>
    <w:rsid w:val="00C40212"/>
    <w:rsid w:val="00C40A17"/>
    <w:rsid w:val="00C40C55"/>
    <w:rsid w:val="00C41071"/>
    <w:rsid w:val="00C41B9B"/>
    <w:rsid w:val="00C42B20"/>
    <w:rsid w:val="00C42B7B"/>
    <w:rsid w:val="00C43145"/>
    <w:rsid w:val="00C43441"/>
    <w:rsid w:val="00C43A4B"/>
    <w:rsid w:val="00C44DD6"/>
    <w:rsid w:val="00C450C9"/>
    <w:rsid w:val="00C45DB2"/>
    <w:rsid w:val="00C46745"/>
    <w:rsid w:val="00C46A36"/>
    <w:rsid w:val="00C46F16"/>
    <w:rsid w:val="00C47127"/>
    <w:rsid w:val="00C47C07"/>
    <w:rsid w:val="00C47D1C"/>
    <w:rsid w:val="00C47E7A"/>
    <w:rsid w:val="00C501AA"/>
    <w:rsid w:val="00C50961"/>
    <w:rsid w:val="00C50979"/>
    <w:rsid w:val="00C512B1"/>
    <w:rsid w:val="00C517BE"/>
    <w:rsid w:val="00C51F98"/>
    <w:rsid w:val="00C51FE6"/>
    <w:rsid w:val="00C5294A"/>
    <w:rsid w:val="00C535AB"/>
    <w:rsid w:val="00C53CF7"/>
    <w:rsid w:val="00C53E92"/>
    <w:rsid w:val="00C53F04"/>
    <w:rsid w:val="00C54128"/>
    <w:rsid w:val="00C5419F"/>
    <w:rsid w:val="00C54EA5"/>
    <w:rsid w:val="00C55206"/>
    <w:rsid w:val="00C55F0D"/>
    <w:rsid w:val="00C56336"/>
    <w:rsid w:val="00C5688D"/>
    <w:rsid w:val="00C56914"/>
    <w:rsid w:val="00C569CE"/>
    <w:rsid w:val="00C56C93"/>
    <w:rsid w:val="00C56E87"/>
    <w:rsid w:val="00C5754E"/>
    <w:rsid w:val="00C57F83"/>
    <w:rsid w:val="00C60F5B"/>
    <w:rsid w:val="00C612D7"/>
    <w:rsid w:val="00C61C8C"/>
    <w:rsid w:val="00C622DB"/>
    <w:rsid w:val="00C627A6"/>
    <w:rsid w:val="00C6295C"/>
    <w:rsid w:val="00C62A1B"/>
    <w:rsid w:val="00C62C1D"/>
    <w:rsid w:val="00C63381"/>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70E"/>
    <w:rsid w:val="00C67A04"/>
    <w:rsid w:val="00C67D84"/>
    <w:rsid w:val="00C70710"/>
    <w:rsid w:val="00C716B0"/>
    <w:rsid w:val="00C71788"/>
    <w:rsid w:val="00C71ED9"/>
    <w:rsid w:val="00C71F7B"/>
    <w:rsid w:val="00C7255D"/>
    <w:rsid w:val="00C7322E"/>
    <w:rsid w:val="00C73777"/>
    <w:rsid w:val="00C73E3E"/>
    <w:rsid w:val="00C74D0B"/>
    <w:rsid w:val="00C74DE6"/>
    <w:rsid w:val="00C74EAD"/>
    <w:rsid w:val="00C75933"/>
    <w:rsid w:val="00C75CE4"/>
    <w:rsid w:val="00C75D0A"/>
    <w:rsid w:val="00C7653F"/>
    <w:rsid w:val="00C76680"/>
    <w:rsid w:val="00C7746D"/>
    <w:rsid w:val="00C77C8A"/>
    <w:rsid w:val="00C77D06"/>
    <w:rsid w:val="00C8067E"/>
    <w:rsid w:val="00C80FC3"/>
    <w:rsid w:val="00C81881"/>
    <w:rsid w:val="00C81927"/>
    <w:rsid w:val="00C8194F"/>
    <w:rsid w:val="00C81E36"/>
    <w:rsid w:val="00C821B9"/>
    <w:rsid w:val="00C82331"/>
    <w:rsid w:val="00C82C75"/>
    <w:rsid w:val="00C841DD"/>
    <w:rsid w:val="00C84711"/>
    <w:rsid w:val="00C84A03"/>
    <w:rsid w:val="00C85723"/>
    <w:rsid w:val="00C85E07"/>
    <w:rsid w:val="00C86604"/>
    <w:rsid w:val="00C867BB"/>
    <w:rsid w:val="00C8768A"/>
    <w:rsid w:val="00C90597"/>
    <w:rsid w:val="00C90AD6"/>
    <w:rsid w:val="00C90BF4"/>
    <w:rsid w:val="00C90E41"/>
    <w:rsid w:val="00C91632"/>
    <w:rsid w:val="00C920B6"/>
    <w:rsid w:val="00C9277D"/>
    <w:rsid w:val="00C92B09"/>
    <w:rsid w:val="00C92FAE"/>
    <w:rsid w:val="00C931D3"/>
    <w:rsid w:val="00C93381"/>
    <w:rsid w:val="00C93A35"/>
    <w:rsid w:val="00C9486A"/>
    <w:rsid w:val="00C95C27"/>
    <w:rsid w:val="00C95C58"/>
    <w:rsid w:val="00C963EA"/>
    <w:rsid w:val="00C969EE"/>
    <w:rsid w:val="00C96A1F"/>
    <w:rsid w:val="00C96E2E"/>
    <w:rsid w:val="00C970F6"/>
    <w:rsid w:val="00C975D8"/>
    <w:rsid w:val="00C977E1"/>
    <w:rsid w:val="00CA1649"/>
    <w:rsid w:val="00CA16C0"/>
    <w:rsid w:val="00CA2193"/>
    <w:rsid w:val="00CA38F0"/>
    <w:rsid w:val="00CA3D0A"/>
    <w:rsid w:val="00CA46C8"/>
    <w:rsid w:val="00CA4840"/>
    <w:rsid w:val="00CA52AB"/>
    <w:rsid w:val="00CA564E"/>
    <w:rsid w:val="00CA56A3"/>
    <w:rsid w:val="00CA5AD0"/>
    <w:rsid w:val="00CA64CD"/>
    <w:rsid w:val="00CA6571"/>
    <w:rsid w:val="00CA65D3"/>
    <w:rsid w:val="00CB02CD"/>
    <w:rsid w:val="00CB040A"/>
    <w:rsid w:val="00CB0E29"/>
    <w:rsid w:val="00CB17FA"/>
    <w:rsid w:val="00CB1902"/>
    <w:rsid w:val="00CB1AED"/>
    <w:rsid w:val="00CB2E57"/>
    <w:rsid w:val="00CB2F1E"/>
    <w:rsid w:val="00CB46BE"/>
    <w:rsid w:val="00CB5662"/>
    <w:rsid w:val="00CB67F0"/>
    <w:rsid w:val="00CC041D"/>
    <w:rsid w:val="00CC0C38"/>
    <w:rsid w:val="00CC1259"/>
    <w:rsid w:val="00CC153F"/>
    <w:rsid w:val="00CC197F"/>
    <w:rsid w:val="00CC210C"/>
    <w:rsid w:val="00CC2999"/>
    <w:rsid w:val="00CC2C5B"/>
    <w:rsid w:val="00CC39E2"/>
    <w:rsid w:val="00CC3E85"/>
    <w:rsid w:val="00CC5129"/>
    <w:rsid w:val="00CC577A"/>
    <w:rsid w:val="00CC5ADF"/>
    <w:rsid w:val="00CC5DE5"/>
    <w:rsid w:val="00CC5F29"/>
    <w:rsid w:val="00CC6707"/>
    <w:rsid w:val="00CC6D3B"/>
    <w:rsid w:val="00CC71EE"/>
    <w:rsid w:val="00CC729E"/>
    <w:rsid w:val="00CC7A44"/>
    <w:rsid w:val="00CC7E42"/>
    <w:rsid w:val="00CD0B56"/>
    <w:rsid w:val="00CD0D8B"/>
    <w:rsid w:val="00CD0E80"/>
    <w:rsid w:val="00CD1301"/>
    <w:rsid w:val="00CD1839"/>
    <w:rsid w:val="00CD1CFE"/>
    <w:rsid w:val="00CD1E63"/>
    <w:rsid w:val="00CD2007"/>
    <w:rsid w:val="00CD2BAD"/>
    <w:rsid w:val="00CD31FF"/>
    <w:rsid w:val="00CD368F"/>
    <w:rsid w:val="00CD3729"/>
    <w:rsid w:val="00CD3ABA"/>
    <w:rsid w:val="00CD3BF2"/>
    <w:rsid w:val="00CD3ED4"/>
    <w:rsid w:val="00CD403A"/>
    <w:rsid w:val="00CD4573"/>
    <w:rsid w:val="00CD508E"/>
    <w:rsid w:val="00CD5846"/>
    <w:rsid w:val="00CD59C8"/>
    <w:rsid w:val="00CD5E7B"/>
    <w:rsid w:val="00CD6A47"/>
    <w:rsid w:val="00CD6A87"/>
    <w:rsid w:val="00CD6F6F"/>
    <w:rsid w:val="00CD7749"/>
    <w:rsid w:val="00CD7B9A"/>
    <w:rsid w:val="00CE0340"/>
    <w:rsid w:val="00CE0C42"/>
    <w:rsid w:val="00CE0ED1"/>
    <w:rsid w:val="00CE1C25"/>
    <w:rsid w:val="00CE2293"/>
    <w:rsid w:val="00CE2DE3"/>
    <w:rsid w:val="00CE3448"/>
    <w:rsid w:val="00CE34D2"/>
    <w:rsid w:val="00CE35C0"/>
    <w:rsid w:val="00CE3D25"/>
    <w:rsid w:val="00CE4852"/>
    <w:rsid w:val="00CE5690"/>
    <w:rsid w:val="00CE61DC"/>
    <w:rsid w:val="00CE651A"/>
    <w:rsid w:val="00CE656C"/>
    <w:rsid w:val="00CE6DDD"/>
    <w:rsid w:val="00CE74F9"/>
    <w:rsid w:val="00CE7702"/>
    <w:rsid w:val="00CF063F"/>
    <w:rsid w:val="00CF1386"/>
    <w:rsid w:val="00CF1C54"/>
    <w:rsid w:val="00CF1F53"/>
    <w:rsid w:val="00CF2169"/>
    <w:rsid w:val="00CF28AE"/>
    <w:rsid w:val="00CF2A56"/>
    <w:rsid w:val="00CF2BD1"/>
    <w:rsid w:val="00CF31D9"/>
    <w:rsid w:val="00CF33D0"/>
    <w:rsid w:val="00CF34DA"/>
    <w:rsid w:val="00CF388F"/>
    <w:rsid w:val="00CF3D3C"/>
    <w:rsid w:val="00CF3D88"/>
    <w:rsid w:val="00CF468A"/>
    <w:rsid w:val="00CF4788"/>
    <w:rsid w:val="00CF4F89"/>
    <w:rsid w:val="00CF5BB1"/>
    <w:rsid w:val="00CF6239"/>
    <w:rsid w:val="00CF634E"/>
    <w:rsid w:val="00CF64EB"/>
    <w:rsid w:val="00CF67D9"/>
    <w:rsid w:val="00CF758B"/>
    <w:rsid w:val="00CF7D70"/>
    <w:rsid w:val="00D020F2"/>
    <w:rsid w:val="00D021A3"/>
    <w:rsid w:val="00D02863"/>
    <w:rsid w:val="00D028F2"/>
    <w:rsid w:val="00D03772"/>
    <w:rsid w:val="00D03AD3"/>
    <w:rsid w:val="00D03F6B"/>
    <w:rsid w:val="00D04F40"/>
    <w:rsid w:val="00D052CD"/>
    <w:rsid w:val="00D05A9F"/>
    <w:rsid w:val="00D05B72"/>
    <w:rsid w:val="00D05BF3"/>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53B8"/>
    <w:rsid w:val="00D15F40"/>
    <w:rsid w:val="00D16124"/>
    <w:rsid w:val="00D1709C"/>
    <w:rsid w:val="00D17AEB"/>
    <w:rsid w:val="00D2083A"/>
    <w:rsid w:val="00D21615"/>
    <w:rsid w:val="00D220D2"/>
    <w:rsid w:val="00D22142"/>
    <w:rsid w:val="00D226BA"/>
    <w:rsid w:val="00D22D42"/>
    <w:rsid w:val="00D236A1"/>
    <w:rsid w:val="00D23ABD"/>
    <w:rsid w:val="00D23CBA"/>
    <w:rsid w:val="00D24051"/>
    <w:rsid w:val="00D24B5E"/>
    <w:rsid w:val="00D25E98"/>
    <w:rsid w:val="00D27023"/>
    <w:rsid w:val="00D27330"/>
    <w:rsid w:val="00D311ED"/>
    <w:rsid w:val="00D31576"/>
    <w:rsid w:val="00D316C0"/>
    <w:rsid w:val="00D3187B"/>
    <w:rsid w:val="00D319C5"/>
    <w:rsid w:val="00D31AC9"/>
    <w:rsid w:val="00D328BD"/>
    <w:rsid w:val="00D33058"/>
    <w:rsid w:val="00D3309C"/>
    <w:rsid w:val="00D3378D"/>
    <w:rsid w:val="00D34414"/>
    <w:rsid w:val="00D34E98"/>
    <w:rsid w:val="00D35C5E"/>
    <w:rsid w:val="00D3685D"/>
    <w:rsid w:val="00D3763B"/>
    <w:rsid w:val="00D37ACD"/>
    <w:rsid w:val="00D37ECA"/>
    <w:rsid w:val="00D404CF"/>
    <w:rsid w:val="00D40A4C"/>
    <w:rsid w:val="00D41361"/>
    <w:rsid w:val="00D41511"/>
    <w:rsid w:val="00D41693"/>
    <w:rsid w:val="00D416F4"/>
    <w:rsid w:val="00D427CB"/>
    <w:rsid w:val="00D42BC1"/>
    <w:rsid w:val="00D44AD8"/>
    <w:rsid w:val="00D451B2"/>
    <w:rsid w:val="00D451FA"/>
    <w:rsid w:val="00D45229"/>
    <w:rsid w:val="00D4582D"/>
    <w:rsid w:val="00D458E2"/>
    <w:rsid w:val="00D464FD"/>
    <w:rsid w:val="00D4790F"/>
    <w:rsid w:val="00D47DB5"/>
    <w:rsid w:val="00D47DCF"/>
    <w:rsid w:val="00D50361"/>
    <w:rsid w:val="00D512CF"/>
    <w:rsid w:val="00D513B7"/>
    <w:rsid w:val="00D51A5C"/>
    <w:rsid w:val="00D51BFA"/>
    <w:rsid w:val="00D51EB4"/>
    <w:rsid w:val="00D52663"/>
    <w:rsid w:val="00D52DC7"/>
    <w:rsid w:val="00D52E26"/>
    <w:rsid w:val="00D5350F"/>
    <w:rsid w:val="00D539E3"/>
    <w:rsid w:val="00D53C40"/>
    <w:rsid w:val="00D53ED2"/>
    <w:rsid w:val="00D540A5"/>
    <w:rsid w:val="00D542B6"/>
    <w:rsid w:val="00D54673"/>
    <w:rsid w:val="00D5481B"/>
    <w:rsid w:val="00D54C7D"/>
    <w:rsid w:val="00D556AE"/>
    <w:rsid w:val="00D559F8"/>
    <w:rsid w:val="00D55ED8"/>
    <w:rsid w:val="00D55F63"/>
    <w:rsid w:val="00D5617F"/>
    <w:rsid w:val="00D567A8"/>
    <w:rsid w:val="00D567E2"/>
    <w:rsid w:val="00D56F2D"/>
    <w:rsid w:val="00D574A8"/>
    <w:rsid w:val="00D579A7"/>
    <w:rsid w:val="00D6054D"/>
    <w:rsid w:val="00D60993"/>
    <w:rsid w:val="00D60C79"/>
    <w:rsid w:val="00D60C9C"/>
    <w:rsid w:val="00D61192"/>
    <w:rsid w:val="00D61381"/>
    <w:rsid w:val="00D61BC0"/>
    <w:rsid w:val="00D62E2C"/>
    <w:rsid w:val="00D63174"/>
    <w:rsid w:val="00D631D5"/>
    <w:rsid w:val="00D637D5"/>
    <w:rsid w:val="00D63974"/>
    <w:rsid w:val="00D63D79"/>
    <w:rsid w:val="00D63E56"/>
    <w:rsid w:val="00D63F70"/>
    <w:rsid w:val="00D642D5"/>
    <w:rsid w:val="00D6443A"/>
    <w:rsid w:val="00D66AFC"/>
    <w:rsid w:val="00D66C52"/>
    <w:rsid w:val="00D6753D"/>
    <w:rsid w:val="00D6758D"/>
    <w:rsid w:val="00D67A83"/>
    <w:rsid w:val="00D703F9"/>
    <w:rsid w:val="00D70815"/>
    <w:rsid w:val="00D70848"/>
    <w:rsid w:val="00D70C5F"/>
    <w:rsid w:val="00D70D39"/>
    <w:rsid w:val="00D70DBA"/>
    <w:rsid w:val="00D71E7C"/>
    <w:rsid w:val="00D72EE4"/>
    <w:rsid w:val="00D738EE"/>
    <w:rsid w:val="00D73AB5"/>
    <w:rsid w:val="00D73D6D"/>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F83"/>
    <w:rsid w:val="00D812E2"/>
    <w:rsid w:val="00D81358"/>
    <w:rsid w:val="00D8184B"/>
    <w:rsid w:val="00D8236B"/>
    <w:rsid w:val="00D82D3E"/>
    <w:rsid w:val="00D834F1"/>
    <w:rsid w:val="00D83957"/>
    <w:rsid w:val="00D83EFE"/>
    <w:rsid w:val="00D847CF"/>
    <w:rsid w:val="00D84EB3"/>
    <w:rsid w:val="00D85A0F"/>
    <w:rsid w:val="00D85B89"/>
    <w:rsid w:val="00D86F4A"/>
    <w:rsid w:val="00D87081"/>
    <w:rsid w:val="00D871B9"/>
    <w:rsid w:val="00D8791F"/>
    <w:rsid w:val="00D90DC1"/>
    <w:rsid w:val="00D91044"/>
    <w:rsid w:val="00D913EE"/>
    <w:rsid w:val="00D913F3"/>
    <w:rsid w:val="00D917BB"/>
    <w:rsid w:val="00D92232"/>
    <w:rsid w:val="00D92E25"/>
    <w:rsid w:val="00D93252"/>
    <w:rsid w:val="00D9396A"/>
    <w:rsid w:val="00D94756"/>
    <w:rsid w:val="00D94DF5"/>
    <w:rsid w:val="00D96119"/>
    <w:rsid w:val="00D963BB"/>
    <w:rsid w:val="00D9695F"/>
    <w:rsid w:val="00D96D8A"/>
    <w:rsid w:val="00D97A83"/>
    <w:rsid w:val="00D97C27"/>
    <w:rsid w:val="00D97F80"/>
    <w:rsid w:val="00D97FAD"/>
    <w:rsid w:val="00DA01C5"/>
    <w:rsid w:val="00DA09DD"/>
    <w:rsid w:val="00DA10BB"/>
    <w:rsid w:val="00DA1670"/>
    <w:rsid w:val="00DA1F5B"/>
    <w:rsid w:val="00DA2462"/>
    <w:rsid w:val="00DA278E"/>
    <w:rsid w:val="00DA2B0B"/>
    <w:rsid w:val="00DA2E17"/>
    <w:rsid w:val="00DA390A"/>
    <w:rsid w:val="00DA3ED2"/>
    <w:rsid w:val="00DA57C5"/>
    <w:rsid w:val="00DA638C"/>
    <w:rsid w:val="00DA70D4"/>
    <w:rsid w:val="00DA7213"/>
    <w:rsid w:val="00DA7694"/>
    <w:rsid w:val="00DA78A6"/>
    <w:rsid w:val="00DA7B7C"/>
    <w:rsid w:val="00DA7FB3"/>
    <w:rsid w:val="00DB010F"/>
    <w:rsid w:val="00DB01DF"/>
    <w:rsid w:val="00DB0C69"/>
    <w:rsid w:val="00DB1089"/>
    <w:rsid w:val="00DB10DC"/>
    <w:rsid w:val="00DB2689"/>
    <w:rsid w:val="00DB2807"/>
    <w:rsid w:val="00DB2A1B"/>
    <w:rsid w:val="00DB2BE7"/>
    <w:rsid w:val="00DB2E4D"/>
    <w:rsid w:val="00DB438F"/>
    <w:rsid w:val="00DB4FC2"/>
    <w:rsid w:val="00DB5238"/>
    <w:rsid w:val="00DB55E9"/>
    <w:rsid w:val="00DB57DD"/>
    <w:rsid w:val="00DB5859"/>
    <w:rsid w:val="00DB5B21"/>
    <w:rsid w:val="00DB5FF2"/>
    <w:rsid w:val="00DB70E7"/>
    <w:rsid w:val="00DC0D99"/>
    <w:rsid w:val="00DC10DE"/>
    <w:rsid w:val="00DC15A3"/>
    <w:rsid w:val="00DC163C"/>
    <w:rsid w:val="00DC1ED0"/>
    <w:rsid w:val="00DC246C"/>
    <w:rsid w:val="00DC273C"/>
    <w:rsid w:val="00DC2E82"/>
    <w:rsid w:val="00DC2FEB"/>
    <w:rsid w:val="00DC3301"/>
    <w:rsid w:val="00DC37CA"/>
    <w:rsid w:val="00DC3C20"/>
    <w:rsid w:val="00DC3E44"/>
    <w:rsid w:val="00DC450B"/>
    <w:rsid w:val="00DC48F0"/>
    <w:rsid w:val="00DC49E4"/>
    <w:rsid w:val="00DC49ED"/>
    <w:rsid w:val="00DC4FAA"/>
    <w:rsid w:val="00DC59EB"/>
    <w:rsid w:val="00DC5F6A"/>
    <w:rsid w:val="00DC608A"/>
    <w:rsid w:val="00DC613E"/>
    <w:rsid w:val="00DC65F1"/>
    <w:rsid w:val="00DC6C88"/>
    <w:rsid w:val="00DC7172"/>
    <w:rsid w:val="00DC73A3"/>
    <w:rsid w:val="00DC757A"/>
    <w:rsid w:val="00DD0562"/>
    <w:rsid w:val="00DD0886"/>
    <w:rsid w:val="00DD1B1C"/>
    <w:rsid w:val="00DD2475"/>
    <w:rsid w:val="00DD2781"/>
    <w:rsid w:val="00DD2F75"/>
    <w:rsid w:val="00DD2F9E"/>
    <w:rsid w:val="00DD3B2F"/>
    <w:rsid w:val="00DD46BE"/>
    <w:rsid w:val="00DD46C7"/>
    <w:rsid w:val="00DD47A3"/>
    <w:rsid w:val="00DD499D"/>
    <w:rsid w:val="00DD4C66"/>
    <w:rsid w:val="00DD4F0A"/>
    <w:rsid w:val="00DD511E"/>
    <w:rsid w:val="00DD57D9"/>
    <w:rsid w:val="00DD6033"/>
    <w:rsid w:val="00DD6275"/>
    <w:rsid w:val="00DD64EF"/>
    <w:rsid w:val="00DD6D01"/>
    <w:rsid w:val="00DD7504"/>
    <w:rsid w:val="00DD7684"/>
    <w:rsid w:val="00DD7941"/>
    <w:rsid w:val="00DE011B"/>
    <w:rsid w:val="00DE03A8"/>
    <w:rsid w:val="00DE03FD"/>
    <w:rsid w:val="00DE10AC"/>
    <w:rsid w:val="00DE12C2"/>
    <w:rsid w:val="00DE2395"/>
    <w:rsid w:val="00DE24D9"/>
    <w:rsid w:val="00DE2BAA"/>
    <w:rsid w:val="00DE2BCD"/>
    <w:rsid w:val="00DE3996"/>
    <w:rsid w:val="00DE47DA"/>
    <w:rsid w:val="00DE4890"/>
    <w:rsid w:val="00DE4C4E"/>
    <w:rsid w:val="00DE4FAB"/>
    <w:rsid w:val="00DE50DD"/>
    <w:rsid w:val="00DE54DE"/>
    <w:rsid w:val="00DE5907"/>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D16"/>
    <w:rsid w:val="00DF3048"/>
    <w:rsid w:val="00DF3051"/>
    <w:rsid w:val="00DF343E"/>
    <w:rsid w:val="00DF36BF"/>
    <w:rsid w:val="00DF3B31"/>
    <w:rsid w:val="00DF3E28"/>
    <w:rsid w:val="00DF3FC2"/>
    <w:rsid w:val="00DF3FFA"/>
    <w:rsid w:val="00DF42A7"/>
    <w:rsid w:val="00DF4391"/>
    <w:rsid w:val="00DF4985"/>
    <w:rsid w:val="00DF4BD2"/>
    <w:rsid w:val="00DF5BB8"/>
    <w:rsid w:val="00DF6BD8"/>
    <w:rsid w:val="00DF6EA8"/>
    <w:rsid w:val="00DF7070"/>
    <w:rsid w:val="00DF7807"/>
    <w:rsid w:val="00DF7A97"/>
    <w:rsid w:val="00DF7B31"/>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7006"/>
    <w:rsid w:val="00E0734A"/>
    <w:rsid w:val="00E076E9"/>
    <w:rsid w:val="00E078AA"/>
    <w:rsid w:val="00E10CE7"/>
    <w:rsid w:val="00E11E0F"/>
    <w:rsid w:val="00E1216F"/>
    <w:rsid w:val="00E12921"/>
    <w:rsid w:val="00E134EE"/>
    <w:rsid w:val="00E13649"/>
    <w:rsid w:val="00E14714"/>
    <w:rsid w:val="00E150C0"/>
    <w:rsid w:val="00E150FD"/>
    <w:rsid w:val="00E158DB"/>
    <w:rsid w:val="00E1591F"/>
    <w:rsid w:val="00E16377"/>
    <w:rsid w:val="00E16A55"/>
    <w:rsid w:val="00E1700C"/>
    <w:rsid w:val="00E17217"/>
    <w:rsid w:val="00E17934"/>
    <w:rsid w:val="00E17AD2"/>
    <w:rsid w:val="00E17DF9"/>
    <w:rsid w:val="00E2075F"/>
    <w:rsid w:val="00E20A94"/>
    <w:rsid w:val="00E20D99"/>
    <w:rsid w:val="00E22755"/>
    <w:rsid w:val="00E227FE"/>
    <w:rsid w:val="00E2368D"/>
    <w:rsid w:val="00E238A7"/>
    <w:rsid w:val="00E23D8B"/>
    <w:rsid w:val="00E246A7"/>
    <w:rsid w:val="00E246AA"/>
    <w:rsid w:val="00E2509C"/>
    <w:rsid w:val="00E259FF"/>
    <w:rsid w:val="00E25B82"/>
    <w:rsid w:val="00E26014"/>
    <w:rsid w:val="00E26150"/>
    <w:rsid w:val="00E279A9"/>
    <w:rsid w:val="00E279D1"/>
    <w:rsid w:val="00E300B7"/>
    <w:rsid w:val="00E30339"/>
    <w:rsid w:val="00E32DE0"/>
    <w:rsid w:val="00E32E5D"/>
    <w:rsid w:val="00E32F37"/>
    <w:rsid w:val="00E33007"/>
    <w:rsid w:val="00E3377F"/>
    <w:rsid w:val="00E33990"/>
    <w:rsid w:val="00E34122"/>
    <w:rsid w:val="00E34AC0"/>
    <w:rsid w:val="00E34F2E"/>
    <w:rsid w:val="00E37096"/>
    <w:rsid w:val="00E37A7E"/>
    <w:rsid w:val="00E37CAE"/>
    <w:rsid w:val="00E37EEE"/>
    <w:rsid w:val="00E40323"/>
    <w:rsid w:val="00E4176B"/>
    <w:rsid w:val="00E4197C"/>
    <w:rsid w:val="00E43089"/>
    <w:rsid w:val="00E43DC5"/>
    <w:rsid w:val="00E4420E"/>
    <w:rsid w:val="00E443CE"/>
    <w:rsid w:val="00E44F10"/>
    <w:rsid w:val="00E45477"/>
    <w:rsid w:val="00E456B4"/>
    <w:rsid w:val="00E4582D"/>
    <w:rsid w:val="00E45A08"/>
    <w:rsid w:val="00E46A4F"/>
    <w:rsid w:val="00E471B8"/>
    <w:rsid w:val="00E50323"/>
    <w:rsid w:val="00E50882"/>
    <w:rsid w:val="00E50C75"/>
    <w:rsid w:val="00E50D5A"/>
    <w:rsid w:val="00E51895"/>
    <w:rsid w:val="00E51B4D"/>
    <w:rsid w:val="00E51D2C"/>
    <w:rsid w:val="00E51F04"/>
    <w:rsid w:val="00E52A25"/>
    <w:rsid w:val="00E52CB9"/>
    <w:rsid w:val="00E52F40"/>
    <w:rsid w:val="00E53088"/>
    <w:rsid w:val="00E548EA"/>
    <w:rsid w:val="00E55045"/>
    <w:rsid w:val="00E557A5"/>
    <w:rsid w:val="00E558E2"/>
    <w:rsid w:val="00E55966"/>
    <w:rsid w:val="00E55C07"/>
    <w:rsid w:val="00E55CD5"/>
    <w:rsid w:val="00E55FC8"/>
    <w:rsid w:val="00E56970"/>
    <w:rsid w:val="00E56FC4"/>
    <w:rsid w:val="00E577F5"/>
    <w:rsid w:val="00E57B51"/>
    <w:rsid w:val="00E57E79"/>
    <w:rsid w:val="00E600B9"/>
    <w:rsid w:val="00E604AE"/>
    <w:rsid w:val="00E60AD6"/>
    <w:rsid w:val="00E612ED"/>
    <w:rsid w:val="00E61B05"/>
    <w:rsid w:val="00E61F8E"/>
    <w:rsid w:val="00E620F2"/>
    <w:rsid w:val="00E630BE"/>
    <w:rsid w:val="00E6347B"/>
    <w:rsid w:val="00E63CA9"/>
    <w:rsid w:val="00E64075"/>
    <w:rsid w:val="00E6437E"/>
    <w:rsid w:val="00E644C9"/>
    <w:rsid w:val="00E654DC"/>
    <w:rsid w:val="00E65B8E"/>
    <w:rsid w:val="00E65C88"/>
    <w:rsid w:val="00E66022"/>
    <w:rsid w:val="00E66470"/>
    <w:rsid w:val="00E66B52"/>
    <w:rsid w:val="00E67128"/>
    <w:rsid w:val="00E679BB"/>
    <w:rsid w:val="00E70676"/>
    <w:rsid w:val="00E70863"/>
    <w:rsid w:val="00E70CE3"/>
    <w:rsid w:val="00E70FA5"/>
    <w:rsid w:val="00E72409"/>
    <w:rsid w:val="00E735DD"/>
    <w:rsid w:val="00E7393B"/>
    <w:rsid w:val="00E73A85"/>
    <w:rsid w:val="00E73EA5"/>
    <w:rsid w:val="00E74650"/>
    <w:rsid w:val="00E74A2F"/>
    <w:rsid w:val="00E74E8D"/>
    <w:rsid w:val="00E74EE3"/>
    <w:rsid w:val="00E751E5"/>
    <w:rsid w:val="00E7680C"/>
    <w:rsid w:val="00E768C5"/>
    <w:rsid w:val="00E77099"/>
    <w:rsid w:val="00E77259"/>
    <w:rsid w:val="00E77713"/>
    <w:rsid w:val="00E77801"/>
    <w:rsid w:val="00E77D6C"/>
    <w:rsid w:val="00E8082F"/>
    <w:rsid w:val="00E80DE4"/>
    <w:rsid w:val="00E80E8B"/>
    <w:rsid w:val="00E82BB6"/>
    <w:rsid w:val="00E8394A"/>
    <w:rsid w:val="00E83AC5"/>
    <w:rsid w:val="00E871C2"/>
    <w:rsid w:val="00E9000F"/>
    <w:rsid w:val="00E909E8"/>
    <w:rsid w:val="00E91A95"/>
    <w:rsid w:val="00E91D12"/>
    <w:rsid w:val="00E93001"/>
    <w:rsid w:val="00E931F6"/>
    <w:rsid w:val="00E9375C"/>
    <w:rsid w:val="00E93BFF"/>
    <w:rsid w:val="00E941C0"/>
    <w:rsid w:val="00E9429D"/>
    <w:rsid w:val="00E9466D"/>
    <w:rsid w:val="00E94829"/>
    <w:rsid w:val="00E94D17"/>
    <w:rsid w:val="00E94EE3"/>
    <w:rsid w:val="00E950C5"/>
    <w:rsid w:val="00E9535B"/>
    <w:rsid w:val="00E95406"/>
    <w:rsid w:val="00E9648B"/>
    <w:rsid w:val="00E96936"/>
    <w:rsid w:val="00E96B4D"/>
    <w:rsid w:val="00E970F6"/>
    <w:rsid w:val="00E975C6"/>
    <w:rsid w:val="00E97B5C"/>
    <w:rsid w:val="00EA0DC1"/>
    <w:rsid w:val="00EA11CA"/>
    <w:rsid w:val="00EA1878"/>
    <w:rsid w:val="00EA1DD3"/>
    <w:rsid w:val="00EA31F2"/>
    <w:rsid w:val="00EA34E7"/>
    <w:rsid w:val="00EA36B6"/>
    <w:rsid w:val="00EA388C"/>
    <w:rsid w:val="00EA4781"/>
    <w:rsid w:val="00EA58E4"/>
    <w:rsid w:val="00EA6080"/>
    <w:rsid w:val="00EA6760"/>
    <w:rsid w:val="00EA6CE0"/>
    <w:rsid w:val="00EB0434"/>
    <w:rsid w:val="00EB11F9"/>
    <w:rsid w:val="00EB19B5"/>
    <w:rsid w:val="00EB1D30"/>
    <w:rsid w:val="00EB1F2A"/>
    <w:rsid w:val="00EB26BA"/>
    <w:rsid w:val="00EB28BD"/>
    <w:rsid w:val="00EB2BFC"/>
    <w:rsid w:val="00EB2EE8"/>
    <w:rsid w:val="00EB3C7A"/>
    <w:rsid w:val="00EB4060"/>
    <w:rsid w:val="00EB4769"/>
    <w:rsid w:val="00EB4EC2"/>
    <w:rsid w:val="00EB51BA"/>
    <w:rsid w:val="00EB5578"/>
    <w:rsid w:val="00EB56F7"/>
    <w:rsid w:val="00EB60DF"/>
    <w:rsid w:val="00EB6EDD"/>
    <w:rsid w:val="00EB73CF"/>
    <w:rsid w:val="00EB76DB"/>
    <w:rsid w:val="00EB7706"/>
    <w:rsid w:val="00EB7759"/>
    <w:rsid w:val="00EC03AA"/>
    <w:rsid w:val="00EC063A"/>
    <w:rsid w:val="00EC0773"/>
    <w:rsid w:val="00EC0941"/>
    <w:rsid w:val="00EC0BA7"/>
    <w:rsid w:val="00EC0C40"/>
    <w:rsid w:val="00EC0D17"/>
    <w:rsid w:val="00EC0FA6"/>
    <w:rsid w:val="00EC0FDC"/>
    <w:rsid w:val="00EC1039"/>
    <w:rsid w:val="00EC2144"/>
    <w:rsid w:val="00EC21F3"/>
    <w:rsid w:val="00EC4063"/>
    <w:rsid w:val="00EC46F7"/>
    <w:rsid w:val="00EC4CB3"/>
    <w:rsid w:val="00EC4F87"/>
    <w:rsid w:val="00EC59F7"/>
    <w:rsid w:val="00EC7243"/>
    <w:rsid w:val="00EC7773"/>
    <w:rsid w:val="00EC794D"/>
    <w:rsid w:val="00ED2167"/>
    <w:rsid w:val="00ED3419"/>
    <w:rsid w:val="00ED381B"/>
    <w:rsid w:val="00ED3984"/>
    <w:rsid w:val="00ED5228"/>
    <w:rsid w:val="00ED5CB8"/>
    <w:rsid w:val="00ED688B"/>
    <w:rsid w:val="00ED6F19"/>
    <w:rsid w:val="00ED75A9"/>
    <w:rsid w:val="00ED75F1"/>
    <w:rsid w:val="00EE0351"/>
    <w:rsid w:val="00EE0E00"/>
    <w:rsid w:val="00EE1237"/>
    <w:rsid w:val="00EE1F10"/>
    <w:rsid w:val="00EE292E"/>
    <w:rsid w:val="00EE3234"/>
    <w:rsid w:val="00EE38C2"/>
    <w:rsid w:val="00EE4195"/>
    <w:rsid w:val="00EE4387"/>
    <w:rsid w:val="00EE4556"/>
    <w:rsid w:val="00EE47E6"/>
    <w:rsid w:val="00EE560E"/>
    <w:rsid w:val="00EE5C15"/>
    <w:rsid w:val="00EE5E1B"/>
    <w:rsid w:val="00EE5ED4"/>
    <w:rsid w:val="00EF000F"/>
    <w:rsid w:val="00EF0655"/>
    <w:rsid w:val="00EF105A"/>
    <w:rsid w:val="00EF10CD"/>
    <w:rsid w:val="00EF1271"/>
    <w:rsid w:val="00EF12C1"/>
    <w:rsid w:val="00EF13E6"/>
    <w:rsid w:val="00EF1E9D"/>
    <w:rsid w:val="00EF29E5"/>
    <w:rsid w:val="00EF37F5"/>
    <w:rsid w:val="00EF3BE8"/>
    <w:rsid w:val="00EF402E"/>
    <w:rsid w:val="00EF48A5"/>
    <w:rsid w:val="00EF4FA5"/>
    <w:rsid w:val="00EF5659"/>
    <w:rsid w:val="00EF56A5"/>
    <w:rsid w:val="00EF56C4"/>
    <w:rsid w:val="00EF5FA6"/>
    <w:rsid w:val="00EF63E3"/>
    <w:rsid w:val="00EF6ADC"/>
    <w:rsid w:val="00EF6C67"/>
    <w:rsid w:val="00EF79EE"/>
    <w:rsid w:val="00EF7A60"/>
    <w:rsid w:val="00EF7D4A"/>
    <w:rsid w:val="00F00AA5"/>
    <w:rsid w:val="00F01286"/>
    <w:rsid w:val="00F012C9"/>
    <w:rsid w:val="00F0142B"/>
    <w:rsid w:val="00F01700"/>
    <w:rsid w:val="00F03516"/>
    <w:rsid w:val="00F036EF"/>
    <w:rsid w:val="00F037E0"/>
    <w:rsid w:val="00F03DA0"/>
    <w:rsid w:val="00F0462D"/>
    <w:rsid w:val="00F048E8"/>
    <w:rsid w:val="00F049AA"/>
    <w:rsid w:val="00F06377"/>
    <w:rsid w:val="00F06EB8"/>
    <w:rsid w:val="00F07245"/>
    <w:rsid w:val="00F076D9"/>
    <w:rsid w:val="00F10015"/>
    <w:rsid w:val="00F100ED"/>
    <w:rsid w:val="00F10509"/>
    <w:rsid w:val="00F10538"/>
    <w:rsid w:val="00F110A5"/>
    <w:rsid w:val="00F1152B"/>
    <w:rsid w:val="00F118B4"/>
    <w:rsid w:val="00F11D6A"/>
    <w:rsid w:val="00F11F6C"/>
    <w:rsid w:val="00F124CB"/>
    <w:rsid w:val="00F124E5"/>
    <w:rsid w:val="00F12EEB"/>
    <w:rsid w:val="00F134C1"/>
    <w:rsid w:val="00F13586"/>
    <w:rsid w:val="00F13630"/>
    <w:rsid w:val="00F143CD"/>
    <w:rsid w:val="00F14D63"/>
    <w:rsid w:val="00F1524A"/>
    <w:rsid w:val="00F16342"/>
    <w:rsid w:val="00F16B34"/>
    <w:rsid w:val="00F173FA"/>
    <w:rsid w:val="00F17769"/>
    <w:rsid w:val="00F179DA"/>
    <w:rsid w:val="00F17C01"/>
    <w:rsid w:val="00F20464"/>
    <w:rsid w:val="00F207BE"/>
    <w:rsid w:val="00F20BF9"/>
    <w:rsid w:val="00F2130B"/>
    <w:rsid w:val="00F21D76"/>
    <w:rsid w:val="00F22641"/>
    <w:rsid w:val="00F2341C"/>
    <w:rsid w:val="00F2370E"/>
    <w:rsid w:val="00F239F8"/>
    <w:rsid w:val="00F23A3E"/>
    <w:rsid w:val="00F24296"/>
    <w:rsid w:val="00F24442"/>
    <w:rsid w:val="00F247B2"/>
    <w:rsid w:val="00F249B6"/>
    <w:rsid w:val="00F24D03"/>
    <w:rsid w:val="00F24F32"/>
    <w:rsid w:val="00F2523D"/>
    <w:rsid w:val="00F25B15"/>
    <w:rsid w:val="00F26326"/>
    <w:rsid w:val="00F2633B"/>
    <w:rsid w:val="00F26E25"/>
    <w:rsid w:val="00F27758"/>
    <w:rsid w:val="00F27B0E"/>
    <w:rsid w:val="00F27D63"/>
    <w:rsid w:val="00F30185"/>
    <w:rsid w:val="00F30C27"/>
    <w:rsid w:val="00F316B6"/>
    <w:rsid w:val="00F3180F"/>
    <w:rsid w:val="00F31A52"/>
    <w:rsid w:val="00F31DA2"/>
    <w:rsid w:val="00F32196"/>
    <w:rsid w:val="00F3260A"/>
    <w:rsid w:val="00F32816"/>
    <w:rsid w:val="00F33832"/>
    <w:rsid w:val="00F33882"/>
    <w:rsid w:val="00F33D1D"/>
    <w:rsid w:val="00F33F81"/>
    <w:rsid w:val="00F34212"/>
    <w:rsid w:val="00F3424A"/>
    <w:rsid w:val="00F34B60"/>
    <w:rsid w:val="00F35D89"/>
    <w:rsid w:val="00F35F8B"/>
    <w:rsid w:val="00F3676B"/>
    <w:rsid w:val="00F3676F"/>
    <w:rsid w:val="00F36ABF"/>
    <w:rsid w:val="00F36CE1"/>
    <w:rsid w:val="00F37455"/>
    <w:rsid w:val="00F37DA5"/>
    <w:rsid w:val="00F40974"/>
    <w:rsid w:val="00F40C34"/>
    <w:rsid w:val="00F4115B"/>
    <w:rsid w:val="00F415E9"/>
    <w:rsid w:val="00F41E76"/>
    <w:rsid w:val="00F41F49"/>
    <w:rsid w:val="00F4206B"/>
    <w:rsid w:val="00F4254B"/>
    <w:rsid w:val="00F4290E"/>
    <w:rsid w:val="00F43108"/>
    <w:rsid w:val="00F4547B"/>
    <w:rsid w:val="00F456CE"/>
    <w:rsid w:val="00F45B45"/>
    <w:rsid w:val="00F468EC"/>
    <w:rsid w:val="00F47242"/>
    <w:rsid w:val="00F47D3E"/>
    <w:rsid w:val="00F500DF"/>
    <w:rsid w:val="00F508F7"/>
    <w:rsid w:val="00F51852"/>
    <w:rsid w:val="00F518BE"/>
    <w:rsid w:val="00F51AAE"/>
    <w:rsid w:val="00F51FF4"/>
    <w:rsid w:val="00F520AC"/>
    <w:rsid w:val="00F5330C"/>
    <w:rsid w:val="00F533F0"/>
    <w:rsid w:val="00F5360E"/>
    <w:rsid w:val="00F541F6"/>
    <w:rsid w:val="00F54B42"/>
    <w:rsid w:val="00F54D75"/>
    <w:rsid w:val="00F5508A"/>
    <w:rsid w:val="00F551E8"/>
    <w:rsid w:val="00F56C76"/>
    <w:rsid w:val="00F56FEA"/>
    <w:rsid w:val="00F57624"/>
    <w:rsid w:val="00F60213"/>
    <w:rsid w:val="00F60F57"/>
    <w:rsid w:val="00F6150D"/>
    <w:rsid w:val="00F61692"/>
    <w:rsid w:val="00F616AB"/>
    <w:rsid w:val="00F61AFD"/>
    <w:rsid w:val="00F61B87"/>
    <w:rsid w:val="00F6208A"/>
    <w:rsid w:val="00F620E1"/>
    <w:rsid w:val="00F62A71"/>
    <w:rsid w:val="00F62B55"/>
    <w:rsid w:val="00F62EAE"/>
    <w:rsid w:val="00F6362D"/>
    <w:rsid w:val="00F637F1"/>
    <w:rsid w:val="00F63C51"/>
    <w:rsid w:val="00F63D64"/>
    <w:rsid w:val="00F64403"/>
    <w:rsid w:val="00F64759"/>
    <w:rsid w:val="00F64927"/>
    <w:rsid w:val="00F64F25"/>
    <w:rsid w:val="00F65246"/>
    <w:rsid w:val="00F6570B"/>
    <w:rsid w:val="00F65A6C"/>
    <w:rsid w:val="00F70297"/>
    <w:rsid w:val="00F702BE"/>
    <w:rsid w:val="00F70E08"/>
    <w:rsid w:val="00F7111A"/>
    <w:rsid w:val="00F718A9"/>
    <w:rsid w:val="00F71B75"/>
    <w:rsid w:val="00F71FC0"/>
    <w:rsid w:val="00F720BB"/>
    <w:rsid w:val="00F7222E"/>
    <w:rsid w:val="00F72E06"/>
    <w:rsid w:val="00F730C6"/>
    <w:rsid w:val="00F73391"/>
    <w:rsid w:val="00F73A4E"/>
    <w:rsid w:val="00F73B7F"/>
    <w:rsid w:val="00F73D6C"/>
    <w:rsid w:val="00F74210"/>
    <w:rsid w:val="00F74B75"/>
    <w:rsid w:val="00F750E0"/>
    <w:rsid w:val="00F7518E"/>
    <w:rsid w:val="00F75829"/>
    <w:rsid w:val="00F762E0"/>
    <w:rsid w:val="00F769DB"/>
    <w:rsid w:val="00F76B31"/>
    <w:rsid w:val="00F76CB6"/>
    <w:rsid w:val="00F777B5"/>
    <w:rsid w:val="00F77968"/>
    <w:rsid w:val="00F80139"/>
    <w:rsid w:val="00F80275"/>
    <w:rsid w:val="00F80372"/>
    <w:rsid w:val="00F824FE"/>
    <w:rsid w:val="00F83201"/>
    <w:rsid w:val="00F83467"/>
    <w:rsid w:val="00F842B8"/>
    <w:rsid w:val="00F844E5"/>
    <w:rsid w:val="00F846FD"/>
    <w:rsid w:val="00F8506D"/>
    <w:rsid w:val="00F850E5"/>
    <w:rsid w:val="00F85151"/>
    <w:rsid w:val="00F85159"/>
    <w:rsid w:val="00F855AC"/>
    <w:rsid w:val="00F858F5"/>
    <w:rsid w:val="00F85C89"/>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DF3"/>
    <w:rsid w:val="00F948CB"/>
    <w:rsid w:val="00F94FC9"/>
    <w:rsid w:val="00F94FD7"/>
    <w:rsid w:val="00F95170"/>
    <w:rsid w:val="00F95E16"/>
    <w:rsid w:val="00F963E6"/>
    <w:rsid w:val="00F96912"/>
    <w:rsid w:val="00F96CE3"/>
    <w:rsid w:val="00F97730"/>
    <w:rsid w:val="00F9790B"/>
    <w:rsid w:val="00FA00DC"/>
    <w:rsid w:val="00FA0393"/>
    <w:rsid w:val="00FA07DB"/>
    <w:rsid w:val="00FA0F03"/>
    <w:rsid w:val="00FA115C"/>
    <w:rsid w:val="00FA1392"/>
    <w:rsid w:val="00FA1A02"/>
    <w:rsid w:val="00FA1D37"/>
    <w:rsid w:val="00FA3839"/>
    <w:rsid w:val="00FA4A76"/>
    <w:rsid w:val="00FA4F3D"/>
    <w:rsid w:val="00FA51BF"/>
    <w:rsid w:val="00FA52DE"/>
    <w:rsid w:val="00FA5463"/>
    <w:rsid w:val="00FA5CB1"/>
    <w:rsid w:val="00FA6C0A"/>
    <w:rsid w:val="00FA73BF"/>
    <w:rsid w:val="00FA7897"/>
    <w:rsid w:val="00FA7B2D"/>
    <w:rsid w:val="00FB0593"/>
    <w:rsid w:val="00FB05DF"/>
    <w:rsid w:val="00FB0A21"/>
    <w:rsid w:val="00FB0BF3"/>
    <w:rsid w:val="00FB1DF6"/>
    <w:rsid w:val="00FB1EE0"/>
    <w:rsid w:val="00FB2144"/>
    <w:rsid w:val="00FB2CF2"/>
    <w:rsid w:val="00FB305C"/>
    <w:rsid w:val="00FB308C"/>
    <w:rsid w:val="00FB319A"/>
    <w:rsid w:val="00FB34E9"/>
    <w:rsid w:val="00FB4300"/>
    <w:rsid w:val="00FB4FB9"/>
    <w:rsid w:val="00FB51A4"/>
    <w:rsid w:val="00FB56C0"/>
    <w:rsid w:val="00FB57DD"/>
    <w:rsid w:val="00FB5836"/>
    <w:rsid w:val="00FB595F"/>
    <w:rsid w:val="00FB5B90"/>
    <w:rsid w:val="00FB5D08"/>
    <w:rsid w:val="00FB5F00"/>
    <w:rsid w:val="00FB6271"/>
    <w:rsid w:val="00FB6415"/>
    <w:rsid w:val="00FB68B7"/>
    <w:rsid w:val="00FB7462"/>
    <w:rsid w:val="00FB7FA2"/>
    <w:rsid w:val="00FC0125"/>
    <w:rsid w:val="00FC0FE2"/>
    <w:rsid w:val="00FC117D"/>
    <w:rsid w:val="00FC119F"/>
    <w:rsid w:val="00FC1F58"/>
    <w:rsid w:val="00FC2177"/>
    <w:rsid w:val="00FC231D"/>
    <w:rsid w:val="00FC2355"/>
    <w:rsid w:val="00FC2474"/>
    <w:rsid w:val="00FC2816"/>
    <w:rsid w:val="00FC2920"/>
    <w:rsid w:val="00FC3A54"/>
    <w:rsid w:val="00FC3A6D"/>
    <w:rsid w:val="00FC4303"/>
    <w:rsid w:val="00FC588D"/>
    <w:rsid w:val="00FC5E3A"/>
    <w:rsid w:val="00FC630D"/>
    <w:rsid w:val="00FC6564"/>
    <w:rsid w:val="00FC6E1C"/>
    <w:rsid w:val="00FD0166"/>
    <w:rsid w:val="00FD07AB"/>
    <w:rsid w:val="00FD0DB1"/>
    <w:rsid w:val="00FD196F"/>
    <w:rsid w:val="00FD1FF0"/>
    <w:rsid w:val="00FD30BE"/>
    <w:rsid w:val="00FD3BE0"/>
    <w:rsid w:val="00FD432F"/>
    <w:rsid w:val="00FD4395"/>
    <w:rsid w:val="00FD4AE4"/>
    <w:rsid w:val="00FD4CA0"/>
    <w:rsid w:val="00FD4DB5"/>
    <w:rsid w:val="00FD55FB"/>
    <w:rsid w:val="00FD5C04"/>
    <w:rsid w:val="00FD5D3C"/>
    <w:rsid w:val="00FD62EA"/>
    <w:rsid w:val="00FD6345"/>
    <w:rsid w:val="00FD6800"/>
    <w:rsid w:val="00FD694E"/>
    <w:rsid w:val="00FD6CB3"/>
    <w:rsid w:val="00FD6CE2"/>
    <w:rsid w:val="00FD6E3E"/>
    <w:rsid w:val="00FD7359"/>
    <w:rsid w:val="00FD7395"/>
    <w:rsid w:val="00FD7C6B"/>
    <w:rsid w:val="00FE088E"/>
    <w:rsid w:val="00FE0B81"/>
    <w:rsid w:val="00FE0D3E"/>
    <w:rsid w:val="00FE10A1"/>
    <w:rsid w:val="00FE10F6"/>
    <w:rsid w:val="00FE180F"/>
    <w:rsid w:val="00FE1DCD"/>
    <w:rsid w:val="00FE209B"/>
    <w:rsid w:val="00FE2667"/>
    <w:rsid w:val="00FE306F"/>
    <w:rsid w:val="00FE316C"/>
    <w:rsid w:val="00FE495D"/>
    <w:rsid w:val="00FE4C64"/>
    <w:rsid w:val="00FE5244"/>
    <w:rsid w:val="00FE5578"/>
    <w:rsid w:val="00FE5EF0"/>
    <w:rsid w:val="00FE5F5C"/>
    <w:rsid w:val="00FE5FD7"/>
    <w:rsid w:val="00FE5FED"/>
    <w:rsid w:val="00FE6B6C"/>
    <w:rsid w:val="00FE7FA5"/>
    <w:rsid w:val="00FF0AF2"/>
    <w:rsid w:val="00FF0B2E"/>
    <w:rsid w:val="00FF25F8"/>
    <w:rsid w:val="00FF35AF"/>
    <w:rsid w:val="00FF3AD8"/>
    <w:rsid w:val="00FF4B0D"/>
    <w:rsid w:val="00FF5DE5"/>
    <w:rsid w:val="00FF619B"/>
    <w:rsid w:val="00FF6E30"/>
    <w:rsid w:val="00FF7326"/>
    <w:rsid w:val="00FF7705"/>
    <w:rsid w:val="00FF7D63"/>
    <w:rsid w:val="01A5F762"/>
    <w:rsid w:val="01B0368A"/>
    <w:rsid w:val="0206420D"/>
    <w:rsid w:val="023A9138"/>
    <w:rsid w:val="02A7F3A8"/>
    <w:rsid w:val="02D74069"/>
    <w:rsid w:val="033C94FB"/>
    <w:rsid w:val="035CA3C3"/>
    <w:rsid w:val="037C773F"/>
    <w:rsid w:val="0384114A"/>
    <w:rsid w:val="040612F2"/>
    <w:rsid w:val="04374B80"/>
    <w:rsid w:val="04A1DD9E"/>
    <w:rsid w:val="056E6DAA"/>
    <w:rsid w:val="05D0469A"/>
    <w:rsid w:val="05DF65FC"/>
    <w:rsid w:val="067EE4B9"/>
    <w:rsid w:val="06876261"/>
    <w:rsid w:val="0748B4EA"/>
    <w:rsid w:val="078474A2"/>
    <w:rsid w:val="07AE10FB"/>
    <w:rsid w:val="07C54D7F"/>
    <w:rsid w:val="0803709A"/>
    <w:rsid w:val="083E3834"/>
    <w:rsid w:val="08E00FDA"/>
    <w:rsid w:val="090456CB"/>
    <w:rsid w:val="090C3844"/>
    <w:rsid w:val="0942FE98"/>
    <w:rsid w:val="09A59BAA"/>
    <w:rsid w:val="09FB0EBA"/>
    <w:rsid w:val="0A3D1557"/>
    <w:rsid w:val="0A444DE8"/>
    <w:rsid w:val="0AE0BDA8"/>
    <w:rsid w:val="0B102BDE"/>
    <w:rsid w:val="0B479F80"/>
    <w:rsid w:val="0B57E92B"/>
    <w:rsid w:val="0B75050B"/>
    <w:rsid w:val="0BF50C7D"/>
    <w:rsid w:val="0C512398"/>
    <w:rsid w:val="0C78B39F"/>
    <w:rsid w:val="0CB54ACF"/>
    <w:rsid w:val="0CCBEFE3"/>
    <w:rsid w:val="0CD71213"/>
    <w:rsid w:val="0D00EDBD"/>
    <w:rsid w:val="0EE6FE15"/>
    <w:rsid w:val="0F588C78"/>
    <w:rsid w:val="0F74688D"/>
    <w:rsid w:val="0F7A152D"/>
    <w:rsid w:val="0F972C04"/>
    <w:rsid w:val="10669648"/>
    <w:rsid w:val="11057250"/>
    <w:rsid w:val="111E0DC5"/>
    <w:rsid w:val="1137C198"/>
    <w:rsid w:val="11884E2C"/>
    <w:rsid w:val="11BE7EB2"/>
    <w:rsid w:val="124DF87A"/>
    <w:rsid w:val="1257D509"/>
    <w:rsid w:val="129DE41E"/>
    <w:rsid w:val="130A93E7"/>
    <w:rsid w:val="13241E8D"/>
    <w:rsid w:val="13265434"/>
    <w:rsid w:val="135DF23D"/>
    <w:rsid w:val="13869E30"/>
    <w:rsid w:val="13D40AEC"/>
    <w:rsid w:val="13DEFD66"/>
    <w:rsid w:val="1401C7C8"/>
    <w:rsid w:val="144DD8B5"/>
    <w:rsid w:val="146A9D27"/>
    <w:rsid w:val="1475B187"/>
    <w:rsid w:val="147BB785"/>
    <w:rsid w:val="14C564FB"/>
    <w:rsid w:val="150FF9AF"/>
    <w:rsid w:val="15153A4B"/>
    <w:rsid w:val="1588C00E"/>
    <w:rsid w:val="1592C35E"/>
    <w:rsid w:val="15E66446"/>
    <w:rsid w:val="1616726E"/>
    <w:rsid w:val="1622259B"/>
    <w:rsid w:val="16488423"/>
    <w:rsid w:val="16BC7A12"/>
    <w:rsid w:val="16CB1083"/>
    <w:rsid w:val="16CEC690"/>
    <w:rsid w:val="17304779"/>
    <w:rsid w:val="176C08B4"/>
    <w:rsid w:val="1861EDB2"/>
    <w:rsid w:val="18671F5F"/>
    <w:rsid w:val="18783541"/>
    <w:rsid w:val="18ABE3E4"/>
    <w:rsid w:val="18C87753"/>
    <w:rsid w:val="191E8589"/>
    <w:rsid w:val="19E9F697"/>
    <w:rsid w:val="1AA570EC"/>
    <w:rsid w:val="1B0BCDF9"/>
    <w:rsid w:val="1B0C1F37"/>
    <w:rsid w:val="1C5156B4"/>
    <w:rsid w:val="1CB61036"/>
    <w:rsid w:val="1CD6F1BE"/>
    <w:rsid w:val="1CE117B8"/>
    <w:rsid w:val="1CF47548"/>
    <w:rsid w:val="1D96C696"/>
    <w:rsid w:val="1E117777"/>
    <w:rsid w:val="1E149F3E"/>
    <w:rsid w:val="1EA4E24F"/>
    <w:rsid w:val="1EF39967"/>
    <w:rsid w:val="1F054260"/>
    <w:rsid w:val="1F5CA963"/>
    <w:rsid w:val="1FA859E8"/>
    <w:rsid w:val="206498D4"/>
    <w:rsid w:val="20A813D3"/>
    <w:rsid w:val="20B60944"/>
    <w:rsid w:val="20F88A55"/>
    <w:rsid w:val="20FAC6FD"/>
    <w:rsid w:val="211DC504"/>
    <w:rsid w:val="214666C6"/>
    <w:rsid w:val="215553C7"/>
    <w:rsid w:val="21D7EF8A"/>
    <w:rsid w:val="22B13478"/>
    <w:rsid w:val="22CC0899"/>
    <w:rsid w:val="22D9DE6C"/>
    <w:rsid w:val="2301D499"/>
    <w:rsid w:val="24154AB3"/>
    <w:rsid w:val="241AB21E"/>
    <w:rsid w:val="242E054A"/>
    <w:rsid w:val="24A144B9"/>
    <w:rsid w:val="24C5C1E3"/>
    <w:rsid w:val="24EBCF64"/>
    <w:rsid w:val="25040122"/>
    <w:rsid w:val="2506F201"/>
    <w:rsid w:val="2522F43A"/>
    <w:rsid w:val="25828528"/>
    <w:rsid w:val="25BD584E"/>
    <w:rsid w:val="25EA8332"/>
    <w:rsid w:val="26382EC1"/>
    <w:rsid w:val="268F5963"/>
    <w:rsid w:val="26902D12"/>
    <w:rsid w:val="26BD4033"/>
    <w:rsid w:val="272443CB"/>
    <w:rsid w:val="2747A42E"/>
    <w:rsid w:val="2784DE61"/>
    <w:rsid w:val="27A9085E"/>
    <w:rsid w:val="27B700AD"/>
    <w:rsid w:val="27C5FA04"/>
    <w:rsid w:val="27C86D9A"/>
    <w:rsid w:val="280564FD"/>
    <w:rsid w:val="281B7649"/>
    <w:rsid w:val="282D19B0"/>
    <w:rsid w:val="28CE92C1"/>
    <w:rsid w:val="293858D1"/>
    <w:rsid w:val="2A086FFC"/>
    <w:rsid w:val="2A1F398E"/>
    <w:rsid w:val="2A26C96E"/>
    <w:rsid w:val="2A666FB0"/>
    <w:rsid w:val="2A9A1B3F"/>
    <w:rsid w:val="2AA0B389"/>
    <w:rsid w:val="2AB399BB"/>
    <w:rsid w:val="2B0FB553"/>
    <w:rsid w:val="2BC9B642"/>
    <w:rsid w:val="2BE6172F"/>
    <w:rsid w:val="2BF82B39"/>
    <w:rsid w:val="2C7294C3"/>
    <w:rsid w:val="2D410EF6"/>
    <w:rsid w:val="2D417DAD"/>
    <w:rsid w:val="2D62E9A6"/>
    <w:rsid w:val="2D7D2315"/>
    <w:rsid w:val="2DBBBF33"/>
    <w:rsid w:val="2DF8DF4D"/>
    <w:rsid w:val="2E91B77B"/>
    <w:rsid w:val="2EB57F92"/>
    <w:rsid w:val="2EB9E783"/>
    <w:rsid w:val="2EE99732"/>
    <w:rsid w:val="2F081BB2"/>
    <w:rsid w:val="2F36DC5B"/>
    <w:rsid w:val="300619DF"/>
    <w:rsid w:val="3028DF3A"/>
    <w:rsid w:val="30357372"/>
    <w:rsid w:val="308A5BF2"/>
    <w:rsid w:val="30EF8426"/>
    <w:rsid w:val="30F35FF5"/>
    <w:rsid w:val="3107F87B"/>
    <w:rsid w:val="31350695"/>
    <w:rsid w:val="313D4F12"/>
    <w:rsid w:val="3142035C"/>
    <w:rsid w:val="314E9378"/>
    <w:rsid w:val="31AAF97E"/>
    <w:rsid w:val="31C55E5B"/>
    <w:rsid w:val="31F02243"/>
    <w:rsid w:val="3230786C"/>
    <w:rsid w:val="32382CCE"/>
    <w:rsid w:val="3296C3CD"/>
    <w:rsid w:val="32C8C6A6"/>
    <w:rsid w:val="331FF1F5"/>
    <w:rsid w:val="334A243E"/>
    <w:rsid w:val="336E355C"/>
    <w:rsid w:val="338253E6"/>
    <w:rsid w:val="3388AB0B"/>
    <w:rsid w:val="3414F7AA"/>
    <w:rsid w:val="34495576"/>
    <w:rsid w:val="34A4BA75"/>
    <w:rsid w:val="34EA3348"/>
    <w:rsid w:val="3524EAC8"/>
    <w:rsid w:val="3527C305"/>
    <w:rsid w:val="358E51A5"/>
    <w:rsid w:val="3625F55C"/>
    <w:rsid w:val="36BE9AB2"/>
    <w:rsid w:val="36C8E15A"/>
    <w:rsid w:val="36D005E6"/>
    <w:rsid w:val="376910E7"/>
    <w:rsid w:val="383D2D84"/>
    <w:rsid w:val="384FBC87"/>
    <w:rsid w:val="38510B8D"/>
    <w:rsid w:val="38718BAC"/>
    <w:rsid w:val="388ACCE3"/>
    <w:rsid w:val="38A0C324"/>
    <w:rsid w:val="3922F478"/>
    <w:rsid w:val="395236D2"/>
    <w:rsid w:val="398C77CE"/>
    <w:rsid w:val="399F215C"/>
    <w:rsid w:val="39FA774A"/>
    <w:rsid w:val="3A18F1DE"/>
    <w:rsid w:val="3A61D47D"/>
    <w:rsid w:val="3A79FB6D"/>
    <w:rsid w:val="3AC9248A"/>
    <w:rsid w:val="3B0A863F"/>
    <w:rsid w:val="3B25F7E4"/>
    <w:rsid w:val="3B3B920E"/>
    <w:rsid w:val="3B69ED48"/>
    <w:rsid w:val="3B8187D1"/>
    <w:rsid w:val="3BC23085"/>
    <w:rsid w:val="3BECA987"/>
    <w:rsid w:val="3BECF46D"/>
    <w:rsid w:val="3CB48478"/>
    <w:rsid w:val="3CD1AF4C"/>
    <w:rsid w:val="3CF60C02"/>
    <w:rsid w:val="3D293937"/>
    <w:rsid w:val="3DCD80E0"/>
    <w:rsid w:val="3E6FC560"/>
    <w:rsid w:val="3E77553B"/>
    <w:rsid w:val="3EB946D3"/>
    <w:rsid w:val="3ED93AA0"/>
    <w:rsid w:val="3F21364A"/>
    <w:rsid w:val="3F25F9E8"/>
    <w:rsid w:val="3F32C667"/>
    <w:rsid w:val="3FFF754C"/>
    <w:rsid w:val="40312C90"/>
    <w:rsid w:val="41BBA45D"/>
    <w:rsid w:val="41ED6A0D"/>
    <w:rsid w:val="41F280D6"/>
    <w:rsid w:val="424E5E65"/>
    <w:rsid w:val="42F93090"/>
    <w:rsid w:val="43286BA9"/>
    <w:rsid w:val="4338F74F"/>
    <w:rsid w:val="43B02971"/>
    <w:rsid w:val="43C67045"/>
    <w:rsid w:val="43F477F5"/>
    <w:rsid w:val="43F8CCAB"/>
    <w:rsid w:val="44457682"/>
    <w:rsid w:val="44A8C79F"/>
    <w:rsid w:val="44CE4F19"/>
    <w:rsid w:val="44E0E31B"/>
    <w:rsid w:val="44E5FB72"/>
    <w:rsid w:val="450EE22E"/>
    <w:rsid w:val="4547A1C2"/>
    <w:rsid w:val="456BC9D8"/>
    <w:rsid w:val="45BD41BB"/>
    <w:rsid w:val="460B187B"/>
    <w:rsid w:val="46CE2DF9"/>
    <w:rsid w:val="46FC21C0"/>
    <w:rsid w:val="4703D0FB"/>
    <w:rsid w:val="4712BDE5"/>
    <w:rsid w:val="47347064"/>
    <w:rsid w:val="48190649"/>
    <w:rsid w:val="4835AC61"/>
    <w:rsid w:val="48459DE7"/>
    <w:rsid w:val="484682F0"/>
    <w:rsid w:val="4873CCAF"/>
    <w:rsid w:val="48A565D5"/>
    <w:rsid w:val="48A65BE6"/>
    <w:rsid w:val="48AAD287"/>
    <w:rsid w:val="48C73163"/>
    <w:rsid w:val="48D27B61"/>
    <w:rsid w:val="48F80289"/>
    <w:rsid w:val="4980CD04"/>
    <w:rsid w:val="4987D1AF"/>
    <w:rsid w:val="4A7B5E37"/>
    <w:rsid w:val="4AF45AB5"/>
    <w:rsid w:val="4B78E869"/>
    <w:rsid w:val="4B9F9921"/>
    <w:rsid w:val="4BEAB633"/>
    <w:rsid w:val="4BFF1190"/>
    <w:rsid w:val="4C21C4A7"/>
    <w:rsid w:val="4C2D872E"/>
    <w:rsid w:val="4E503231"/>
    <w:rsid w:val="4ED4BCA8"/>
    <w:rsid w:val="4F8B5676"/>
    <w:rsid w:val="4FBDE52B"/>
    <w:rsid w:val="4FE62459"/>
    <w:rsid w:val="509D524D"/>
    <w:rsid w:val="50A771A8"/>
    <w:rsid w:val="50A921AC"/>
    <w:rsid w:val="51C1D461"/>
    <w:rsid w:val="51D9D61A"/>
    <w:rsid w:val="520FEB70"/>
    <w:rsid w:val="52279BEC"/>
    <w:rsid w:val="52576BC7"/>
    <w:rsid w:val="52FAB012"/>
    <w:rsid w:val="5317E8D0"/>
    <w:rsid w:val="53847D9A"/>
    <w:rsid w:val="53BE79AC"/>
    <w:rsid w:val="5421A4FC"/>
    <w:rsid w:val="547E0B3E"/>
    <w:rsid w:val="54A21DB8"/>
    <w:rsid w:val="558515B2"/>
    <w:rsid w:val="55D0BE30"/>
    <w:rsid w:val="564007E6"/>
    <w:rsid w:val="564BB682"/>
    <w:rsid w:val="56525DB3"/>
    <w:rsid w:val="5671E757"/>
    <w:rsid w:val="573CED56"/>
    <w:rsid w:val="578E8816"/>
    <w:rsid w:val="579F5BC7"/>
    <w:rsid w:val="58DE0A84"/>
    <w:rsid w:val="591958D8"/>
    <w:rsid w:val="596203FF"/>
    <w:rsid w:val="59AC3483"/>
    <w:rsid w:val="59D56D25"/>
    <w:rsid w:val="5A58E7B5"/>
    <w:rsid w:val="5A8A3888"/>
    <w:rsid w:val="5AB0A200"/>
    <w:rsid w:val="5AD9D196"/>
    <w:rsid w:val="5B32EAA7"/>
    <w:rsid w:val="5B362ED3"/>
    <w:rsid w:val="5B4EE5D5"/>
    <w:rsid w:val="5B765063"/>
    <w:rsid w:val="5CA972B9"/>
    <w:rsid w:val="5CB3AB27"/>
    <w:rsid w:val="5D2B17CE"/>
    <w:rsid w:val="5DE7998A"/>
    <w:rsid w:val="5E117258"/>
    <w:rsid w:val="5ED089AB"/>
    <w:rsid w:val="5EDD043E"/>
    <w:rsid w:val="5EDD8B7F"/>
    <w:rsid w:val="5F0BD3E7"/>
    <w:rsid w:val="5F2176D4"/>
    <w:rsid w:val="5F63915E"/>
    <w:rsid w:val="5FD55B20"/>
    <w:rsid w:val="5FFCC2E6"/>
    <w:rsid w:val="601408C9"/>
    <w:rsid w:val="60767123"/>
    <w:rsid w:val="613524F6"/>
    <w:rsid w:val="6169F6AA"/>
    <w:rsid w:val="61872EE3"/>
    <w:rsid w:val="619F3ADF"/>
    <w:rsid w:val="61B53FA5"/>
    <w:rsid w:val="61E38CAD"/>
    <w:rsid w:val="61FFF55B"/>
    <w:rsid w:val="6226136E"/>
    <w:rsid w:val="625E7A6E"/>
    <w:rsid w:val="62616838"/>
    <w:rsid w:val="62B2B1F4"/>
    <w:rsid w:val="62E93B12"/>
    <w:rsid w:val="63B8A1AF"/>
    <w:rsid w:val="63FAB10B"/>
    <w:rsid w:val="641DC49E"/>
    <w:rsid w:val="644F6AEA"/>
    <w:rsid w:val="64661DA7"/>
    <w:rsid w:val="65F0A3F5"/>
    <w:rsid w:val="66146C5A"/>
    <w:rsid w:val="6655EE07"/>
    <w:rsid w:val="6678A9F0"/>
    <w:rsid w:val="66C5BF4C"/>
    <w:rsid w:val="66D4B1C3"/>
    <w:rsid w:val="66DA3ACA"/>
    <w:rsid w:val="67308C3B"/>
    <w:rsid w:val="6754222F"/>
    <w:rsid w:val="67B1D66B"/>
    <w:rsid w:val="67DCB984"/>
    <w:rsid w:val="6805B97B"/>
    <w:rsid w:val="684262B6"/>
    <w:rsid w:val="6844E8ED"/>
    <w:rsid w:val="68AB8CB0"/>
    <w:rsid w:val="68B85BB3"/>
    <w:rsid w:val="68FD68A4"/>
    <w:rsid w:val="692B128A"/>
    <w:rsid w:val="6982DEE8"/>
    <w:rsid w:val="69A58767"/>
    <w:rsid w:val="69BF8DAB"/>
    <w:rsid w:val="6A5CA49D"/>
    <w:rsid w:val="6A7DC4FF"/>
    <w:rsid w:val="6AB3FE5D"/>
    <w:rsid w:val="6AE84AC3"/>
    <w:rsid w:val="6B5B5E0C"/>
    <w:rsid w:val="6B8794C2"/>
    <w:rsid w:val="6CA3B7D1"/>
    <w:rsid w:val="6D44365A"/>
    <w:rsid w:val="6DE677DB"/>
    <w:rsid w:val="6DF6D4CE"/>
    <w:rsid w:val="6E4C81DA"/>
    <w:rsid w:val="6F3594D9"/>
    <w:rsid w:val="70423D0A"/>
    <w:rsid w:val="704C43A9"/>
    <w:rsid w:val="705AEAC9"/>
    <w:rsid w:val="705C7CDD"/>
    <w:rsid w:val="70F4EFFB"/>
    <w:rsid w:val="71798430"/>
    <w:rsid w:val="7183FA08"/>
    <w:rsid w:val="72137B3E"/>
    <w:rsid w:val="72ACB012"/>
    <w:rsid w:val="72B3C008"/>
    <w:rsid w:val="72B7D1F2"/>
    <w:rsid w:val="73687958"/>
    <w:rsid w:val="738D7209"/>
    <w:rsid w:val="73E39DDA"/>
    <w:rsid w:val="745551B6"/>
    <w:rsid w:val="745B77A3"/>
    <w:rsid w:val="74D9DE35"/>
    <w:rsid w:val="74FC72C8"/>
    <w:rsid w:val="7517FC5C"/>
    <w:rsid w:val="75B39226"/>
    <w:rsid w:val="76180254"/>
    <w:rsid w:val="765D7551"/>
    <w:rsid w:val="769383E0"/>
    <w:rsid w:val="769CA88D"/>
    <w:rsid w:val="769FA1D0"/>
    <w:rsid w:val="76A2C35A"/>
    <w:rsid w:val="76CDD235"/>
    <w:rsid w:val="76F14B78"/>
    <w:rsid w:val="779F12A1"/>
    <w:rsid w:val="77BA0423"/>
    <w:rsid w:val="77C14650"/>
    <w:rsid w:val="77DBA8FB"/>
    <w:rsid w:val="77EC8282"/>
    <w:rsid w:val="781DF487"/>
    <w:rsid w:val="78255DF6"/>
    <w:rsid w:val="78457F0B"/>
    <w:rsid w:val="78594EA3"/>
    <w:rsid w:val="785AB84D"/>
    <w:rsid w:val="78B6A87A"/>
    <w:rsid w:val="78C0F32D"/>
    <w:rsid w:val="790B9AF4"/>
    <w:rsid w:val="79403A79"/>
    <w:rsid w:val="794282E0"/>
    <w:rsid w:val="79B22703"/>
    <w:rsid w:val="7A43FA28"/>
    <w:rsid w:val="7AE9228D"/>
    <w:rsid w:val="7B088794"/>
    <w:rsid w:val="7BAA91A4"/>
    <w:rsid w:val="7BAAE7C0"/>
    <w:rsid w:val="7BCA80BB"/>
    <w:rsid w:val="7CB0B6E8"/>
    <w:rsid w:val="7CE43D91"/>
    <w:rsid w:val="7DC7078F"/>
    <w:rsid w:val="7DF139F5"/>
    <w:rsid w:val="7E1663B4"/>
    <w:rsid w:val="7E839FBE"/>
    <w:rsid w:val="7EA512EF"/>
    <w:rsid w:val="7F252786"/>
    <w:rsid w:val="7F35931A"/>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863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D4C15"/>
    <w:pPr>
      <w:spacing w:after="0" w:line="240" w:lineRule="auto"/>
    </w:pPr>
    <w:rPr>
      <w:rFonts w:ascii="Times New Roman" w:eastAsia="Times New Roman" w:hAnsi="Times New Roman" w:cs="Times New Roman"/>
      <w:sz w:val="24"/>
      <w:szCs w:val="24"/>
      <w:lang w:eastAsia="lt-LT"/>
    </w:rPr>
  </w:style>
  <w:style w:type="paragraph" w:styleId="Heading1">
    <w:name w:val="heading 1"/>
    <w:basedOn w:val="Normal"/>
    <w:next w:val="Normal"/>
    <w:link w:val="Heading1Char2"/>
    <w:qFormat/>
    <w:rsid w:val="003D4C15"/>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236301"/>
    <w:pPr>
      <w:shd w:val="clear" w:color="auto" w:fill="FFFFFF"/>
      <w:tabs>
        <w:tab w:val="left" w:pos="567"/>
      </w:tabs>
      <w:jc w:val="both"/>
      <w:outlineLvl w:val="1"/>
    </w:pPr>
    <w:rPr>
      <w:rFonts w:ascii="Calibri" w:eastAsia="Calibri" w:hAnsi="Calibri" w:cs="Calibri"/>
      <w:bCs/>
      <w:i/>
      <w:iCs/>
      <w:sz w:val="22"/>
      <w:szCs w:val="22"/>
      <w:shd w:val="clear" w:color="auto" w:fill="FFFFFF"/>
      <w:lang w:eastAsia="en-US"/>
    </w:rPr>
  </w:style>
  <w:style w:type="paragraph" w:styleId="Heading3">
    <w:name w:val="heading 3"/>
    <w:basedOn w:val="Normal"/>
    <w:next w:val="Normal"/>
    <w:link w:val="Heading3Char"/>
    <w:uiPriority w:val="9"/>
    <w:unhideWhenUsed/>
    <w:rsid w:val="003D4C15"/>
    <w:pPr>
      <w:jc w:val="both"/>
      <w:outlineLvl w:val="2"/>
    </w:pPr>
    <w:rPr>
      <w:i/>
      <w:sz w:val="22"/>
      <w:szCs w:val="22"/>
    </w:rPr>
  </w:style>
  <w:style w:type="paragraph" w:styleId="Heading4">
    <w:name w:val="heading 4"/>
    <w:basedOn w:val="Normal"/>
    <w:next w:val="Normal"/>
    <w:link w:val="Heading4Char"/>
    <w:uiPriority w:val="9"/>
    <w:unhideWhenUsed/>
    <w:rsid w:val="003D4C15"/>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3D4C15"/>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qFormat/>
    <w:rsid w:val="003D4C15"/>
    <w:rPr>
      <w:rFonts w:ascii="Times New Roman" w:eastAsia="Times New Roman" w:hAnsi="Times New Roman" w:cs="Times New Roman"/>
      <w:b/>
      <w:u w:val="single"/>
      <w:lang w:eastAsia="lt-LT"/>
    </w:rPr>
  </w:style>
  <w:style w:type="character" w:customStyle="1" w:styleId="Heading2Char">
    <w:name w:val="Heading 2 Char"/>
    <w:basedOn w:val="DefaultParagraphFont"/>
    <w:link w:val="Heading2"/>
    <w:uiPriority w:val="9"/>
    <w:rsid w:val="00236301"/>
    <w:rPr>
      <w:rFonts w:ascii="Calibri" w:eastAsia="Calibri" w:hAnsi="Calibri" w:cs="Calibri"/>
      <w:bCs/>
      <w:i/>
      <w:iCs/>
      <w:shd w:val="clear" w:color="auto" w:fill="FFFFFF"/>
    </w:rPr>
  </w:style>
  <w:style w:type="character" w:customStyle="1" w:styleId="Heading3Char">
    <w:name w:val="Heading 3 Char"/>
    <w:basedOn w:val="DefaultParagraphFont"/>
    <w:link w:val="Heading3"/>
    <w:uiPriority w:val="9"/>
    <w:rsid w:val="003D4C15"/>
    <w:rPr>
      <w:rFonts w:ascii="Times New Roman" w:eastAsia="Times New Roman" w:hAnsi="Times New Roman" w:cs="Times New Roman"/>
      <w:i/>
      <w:lang w:eastAsia="lt-LT"/>
    </w:rPr>
  </w:style>
  <w:style w:type="character" w:customStyle="1" w:styleId="Heading4Char">
    <w:name w:val="Heading 4 Char"/>
    <w:basedOn w:val="DefaultParagraphFont"/>
    <w:link w:val="Heading4"/>
    <w:uiPriority w:val="9"/>
    <w:rsid w:val="003D4C15"/>
    <w:rPr>
      <w:rFonts w:ascii="Times New Roman" w:eastAsia="Times New Roman" w:hAnsi="Times New Roman" w:cs="Times New Roman"/>
      <w:b/>
      <w:bCs/>
      <w:szCs w:val="28"/>
      <w:u w:val="single"/>
      <w:lang w:eastAsia="lt-LT"/>
    </w:rPr>
  </w:style>
  <w:style w:type="character" w:customStyle="1" w:styleId="Heading5Char">
    <w:name w:val="Heading 5 Char"/>
    <w:basedOn w:val="DefaultParagraphFont"/>
    <w:link w:val="Heading5"/>
    <w:uiPriority w:val="9"/>
    <w:rsid w:val="003D4C15"/>
    <w:rPr>
      <w:rFonts w:ascii="Times New Roman" w:eastAsia="Times New Roman" w:hAnsi="Times New Roman" w:cs="Times New Roman"/>
      <w:bCs/>
      <w:i/>
      <w:iCs/>
      <w:szCs w:val="26"/>
      <w:lang w:eastAsia="lt-LT"/>
    </w:rPr>
  </w:style>
  <w:style w:type="paragraph" w:styleId="Header">
    <w:name w:val="header"/>
    <w:basedOn w:val="Normal"/>
    <w:link w:val="HeaderChar"/>
    <w:uiPriority w:val="99"/>
    <w:rsid w:val="003D4C15"/>
    <w:pPr>
      <w:tabs>
        <w:tab w:val="center" w:pos="4153"/>
        <w:tab w:val="right" w:pos="8306"/>
      </w:tabs>
    </w:pPr>
    <w:rPr>
      <w:lang w:val="en-GB" w:eastAsia="en-US"/>
    </w:rPr>
  </w:style>
  <w:style w:type="character" w:customStyle="1" w:styleId="HeaderChar">
    <w:name w:val="Header Char"/>
    <w:basedOn w:val="DefaultParagraphFont"/>
    <w:link w:val="Header"/>
    <w:uiPriority w:val="99"/>
    <w:rsid w:val="003D4C15"/>
    <w:rPr>
      <w:rFonts w:ascii="Times New Roman" w:eastAsia="Times New Roman" w:hAnsi="Times New Roman" w:cs="Times New Roman"/>
      <w:sz w:val="24"/>
      <w:szCs w:val="24"/>
      <w:lang w:val="en-GB"/>
    </w:rPr>
  </w:style>
  <w:style w:type="paragraph" w:styleId="Footer">
    <w:name w:val="footer"/>
    <w:basedOn w:val="Normal"/>
    <w:link w:val="FooterChar"/>
    <w:rsid w:val="003D4C15"/>
    <w:pPr>
      <w:tabs>
        <w:tab w:val="center" w:pos="4153"/>
        <w:tab w:val="right" w:pos="8306"/>
      </w:tabs>
    </w:pPr>
  </w:style>
  <w:style w:type="character" w:customStyle="1" w:styleId="FooterChar">
    <w:name w:val="Footer Char"/>
    <w:basedOn w:val="DefaultParagraphFont"/>
    <w:link w:val="Footer"/>
    <w:rsid w:val="003D4C15"/>
    <w:rPr>
      <w:rFonts w:ascii="Times New Roman" w:eastAsia="Times New Roman" w:hAnsi="Times New Roman" w:cs="Times New Roman"/>
      <w:sz w:val="24"/>
      <w:szCs w:val="24"/>
      <w:lang w:eastAsia="lt-LT"/>
    </w:rPr>
  </w:style>
  <w:style w:type="character" w:styleId="PageNumber">
    <w:name w:val="page number"/>
    <w:basedOn w:val="DefaultParagraphFont"/>
    <w:rsid w:val="003D4C15"/>
  </w:style>
  <w:style w:type="paragraph" w:styleId="NormalWeb">
    <w:name w:val="Normal (Web)"/>
    <w:basedOn w:val="Normal"/>
    <w:link w:val="NormalWebChar"/>
    <w:uiPriority w:val="99"/>
    <w:rsid w:val="003D4C15"/>
    <w:pPr>
      <w:spacing w:before="100" w:beforeAutospacing="1" w:after="100" w:afterAutospacing="1"/>
    </w:pPr>
    <w:rPr>
      <w:lang w:val="en-US" w:eastAsia="en-US"/>
    </w:rPr>
  </w:style>
  <w:style w:type="paragraph" w:customStyle="1" w:styleId="Style12">
    <w:name w:val="Style12"/>
    <w:basedOn w:val="Normal"/>
    <w:rsid w:val="003D4C15"/>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3D4C15"/>
    <w:rPr>
      <w:color w:val="0000FF"/>
      <w:u w:val="single"/>
    </w:rPr>
  </w:style>
  <w:style w:type="paragraph" w:styleId="BodyTextIndent2">
    <w:name w:val="Body Text Indent 2"/>
    <w:basedOn w:val="Normal"/>
    <w:link w:val="BodyTextIndent2Char"/>
    <w:rsid w:val="003D4C15"/>
    <w:pPr>
      <w:ind w:firstLine="540"/>
      <w:jc w:val="both"/>
    </w:pPr>
    <w:rPr>
      <w:bCs/>
      <w:lang w:eastAsia="en-US"/>
    </w:rPr>
  </w:style>
  <w:style w:type="character" w:customStyle="1" w:styleId="BodyTextIndent2Char">
    <w:name w:val="Body Text Indent 2 Char"/>
    <w:basedOn w:val="DefaultParagraphFont"/>
    <w:link w:val="BodyTextIndent2"/>
    <w:rsid w:val="003D4C15"/>
    <w:rPr>
      <w:rFonts w:ascii="Times New Roman" w:eastAsia="Times New Roman" w:hAnsi="Times New Roman" w:cs="Times New Roman"/>
      <w:bCs/>
      <w:sz w:val="24"/>
      <w:szCs w:val="24"/>
    </w:rPr>
  </w:style>
  <w:style w:type="paragraph" w:styleId="BodyText">
    <w:name w:val="Body Text"/>
    <w:basedOn w:val="Normal"/>
    <w:link w:val="BodyTextChar"/>
    <w:unhideWhenUsed/>
    <w:rsid w:val="003D4C15"/>
    <w:pPr>
      <w:spacing w:after="120"/>
    </w:pPr>
  </w:style>
  <w:style w:type="character" w:customStyle="1" w:styleId="BodyTextChar">
    <w:name w:val="Body Text Char"/>
    <w:basedOn w:val="DefaultParagraphFont"/>
    <w:link w:val="BodyText"/>
    <w:rsid w:val="003D4C15"/>
    <w:rPr>
      <w:rFonts w:ascii="Times New Roman" w:eastAsia="Times New Roman" w:hAnsi="Times New Roman" w:cs="Times New Roman"/>
      <w:sz w:val="24"/>
      <w:szCs w:val="24"/>
      <w:lang w:eastAsia="lt-LT"/>
    </w:rPr>
  </w:style>
  <w:style w:type="paragraph" w:styleId="HTMLPreformatted">
    <w:name w:val="HTML Preformatted"/>
    <w:basedOn w:val="Normal"/>
    <w:link w:val="HTMLPreformattedChar"/>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DefaultParagraphFont"/>
    <w:rsid w:val="003D4C15"/>
    <w:rPr>
      <w:rFonts w:ascii="Times New Roman" w:hAnsi="Times New Roman" w:cs="Times New Roman"/>
      <w:sz w:val="20"/>
      <w:szCs w:val="20"/>
    </w:rPr>
  </w:style>
  <w:style w:type="character" w:customStyle="1" w:styleId="FontStyle31">
    <w:name w:val="Font Style31"/>
    <w:basedOn w:val="DefaultParagraphFont"/>
    <w:rsid w:val="003D4C15"/>
    <w:rPr>
      <w:rFonts w:ascii="Times New Roman" w:hAnsi="Times New Roman" w:cs="Times New Roman"/>
      <w:sz w:val="22"/>
      <w:szCs w:val="22"/>
    </w:rPr>
  </w:style>
  <w:style w:type="character" w:customStyle="1" w:styleId="FontStyle21">
    <w:name w:val="Font Style21"/>
    <w:basedOn w:val="DefaultParagraphFont"/>
    <w:uiPriority w:val="99"/>
    <w:rsid w:val="003D4C15"/>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3D4C15"/>
    <w:rPr>
      <w:rFonts w:ascii="Tahoma" w:hAnsi="Tahoma" w:cs="Tahoma"/>
      <w:sz w:val="16"/>
      <w:szCs w:val="16"/>
    </w:rPr>
  </w:style>
  <w:style w:type="character" w:customStyle="1" w:styleId="DocumentMapChar">
    <w:name w:val="Document Map Char"/>
    <w:basedOn w:val="DefaultParagraphFont"/>
    <w:link w:val="DocumentMap"/>
    <w:uiPriority w:val="99"/>
    <w:semiHidden/>
    <w:rsid w:val="003D4C15"/>
    <w:rPr>
      <w:rFonts w:ascii="Tahoma" w:eastAsia="Times New Roman" w:hAnsi="Tahoma" w:cs="Tahoma"/>
      <w:sz w:val="16"/>
      <w:szCs w:val="16"/>
      <w:lang w:eastAsia="lt-LT"/>
    </w:rPr>
  </w:style>
  <w:style w:type="character" w:customStyle="1" w:styleId="FontStyle32">
    <w:name w:val="Font Style32"/>
    <w:basedOn w:val="DefaultParagraphFont"/>
    <w:rsid w:val="003D4C15"/>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3D4C15"/>
    <w:pPr>
      <w:spacing w:after="120"/>
      <w:ind w:left="283"/>
    </w:pPr>
  </w:style>
  <w:style w:type="character" w:customStyle="1" w:styleId="BodyTextIndentChar">
    <w:name w:val="Body Text Indent Char"/>
    <w:basedOn w:val="DefaultParagraphFont"/>
    <w:link w:val="BodyTextIndent"/>
    <w:uiPriority w:val="99"/>
    <w:rsid w:val="003D4C15"/>
    <w:rPr>
      <w:rFonts w:ascii="Times New Roman" w:eastAsia="Times New Roman" w:hAnsi="Times New Roman" w:cs="Times New Roman"/>
      <w:sz w:val="24"/>
      <w:szCs w:val="24"/>
      <w:lang w:eastAsia="lt-LT"/>
    </w:rPr>
  </w:style>
  <w:style w:type="paragraph" w:styleId="FootnoteText">
    <w:name w:val="footnote text"/>
    <w:basedOn w:val="Normal"/>
    <w:link w:val="FootnoteTextChar"/>
    <w:semiHidden/>
    <w:rsid w:val="003D4C15"/>
    <w:rPr>
      <w:sz w:val="20"/>
      <w:szCs w:val="20"/>
    </w:rPr>
  </w:style>
  <w:style w:type="character" w:customStyle="1" w:styleId="FootnoteTextChar">
    <w:name w:val="Footnote Text Char"/>
    <w:basedOn w:val="DefaultParagraphFont"/>
    <w:link w:val="FootnoteText"/>
    <w:uiPriority w:val="99"/>
    <w:semiHidden/>
    <w:rsid w:val="003D4C15"/>
    <w:rPr>
      <w:rFonts w:ascii="Times New Roman" w:eastAsia="Times New Roman" w:hAnsi="Times New Roman" w:cs="Times New Roman"/>
      <w:sz w:val="20"/>
      <w:szCs w:val="20"/>
      <w:lang w:eastAsia="lt-LT"/>
    </w:rPr>
  </w:style>
  <w:style w:type="character" w:styleId="FootnoteReference">
    <w:name w:val="footnote reference"/>
    <w:basedOn w:val="DefaultParagraphFont"/>
    <w:uiPriority w:val="99"/>
    <w:semiHidden/>
    <w:rsid w:val="003D4C15"/>
    <w:rPr>
      <w:vertAlign w:val="superscript"/>
    </w:rPr>
  </w:style>
  <w:style w:type="paragraph" w:styleId="TOC1">
    <w:name w:val="toc 1"/>
    <w:basedOn w:val="Normal"/>
    <w:next w:val="Normal"/>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3D4C15"/>
    <w:pPr>
      <w:ind w:left="720"/>
    </w:pPr>
    <w:rPr>
      <w:rFonts w:ascii="Calibri" w:hAnsi="Calibri"/>
      <w:sz w:val="18"/>
      <w:szCs w:val="18"/>
    </w:rPr>
  </w:style>
  <w:style w:type="paragraph" w:styleId="NoSpacing">
    <w:name w:val="No Spacing"/>
    <w:link w:val="NoSpacingChar"/>
    <w:uiPriority w:val="1"/>
    <w:qFormat/>
    <w:rsid w:val="003D4C15"/>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3D4C15"/>
    <w:rPr>
      <w:rFonts w:ascii="Calibri" w:eastAsia="Times New Roman" w:hAnsi="Calibri" w:cs="Times New Roman"/>
    </w:rPr>
  </w:style>
  <w:style w:type="paragraph" w:styleId="BalloonText">
    <w:name w:val="Balloon Text"/>
    <w:basedOn w:val="Normal"/>
    <w:link w:val="BalloonTextChar"/>
    <w:uiPriority w:val="99"/>
    <w:semiHidden/>
    <w:unhideWhenUsed/>
    <w:rsid w:val="003D4C15"/>
    <w:rPr>
      <w:rFonts w:ascii="Tahoma" w:hAnsi="Tahoma" w:cs="Tahoma"/>
      <w:sz w:val="16"/>
      <w:szCs w:val="16"/>
    </w:rPr>
  </w:style>
  <w:style w:type="character" w:customStyle="1" w:styleId="BalloonTextChar">
    <w:name w:val="Balloon Text Char"/>
    <w:basedOn w:val="DefaultParagraphFont"/>
    <w:link w:val="BalloonText"/>
    <w:uiPriority w:val="99"/>
    <w:semiHidden/>
    <w:rsid w:val="003D4C15"/>
    <w:rPr>
      <w:rFonts w:ascii="Tahoma" w:eastAsia="Times New Roman" w:hAnsi="Tahoma" w:cs="Tahoma"/>
      <w:sz w:val="16"/>
      <w:szCs w:val="16"/>
      <w:lang w:eastAsia="lt-LT"/>
    </w:rPr>
  </w:style>
  <w:style w:type="character" w:styleId="FollowedHyperlink">
    <w:name w:val="FollowedHyperlink"/>
    <w:basedOn w:val="DefaultParagraphFont"/>
    <w:uiPriority w:val="99"/>
    <w:semiHidden/>
    <w:unhideWhenUsed/>
    <w:rsid w:val="003D4C15"/>
    <w:rPr>
      <w:color w:val="800080"/>
      <w:u w:val="single"/>
    </w:rPr>
  </w:style>
  <w:style w:type="paragraph" w:styleId="TOC5">
    <w:name w:val="toc 5"/>
    <w:basedOn w:val="Normal"/>
    <w:next w:val="Normal"/>
    <w:autoRedefine/>
    <w:uiPriority w:val="39"/>
    <w:unhideWhenUsed/>
    <w:rsid w:val="003D4C15"/>
    <w:pPr>
      <w:ind w:left="960"/>
    </w:pPr>
    <w:rPr>
      <w:rFonts w:ascii="Calibri" w:hAnsi="Calibri"/>
      <w:sz w:val="18"/>
      <w:szCs w:val="18"/>
    </w:rPr>
  </w:style>
  <w:style w:type="character" w:styleId="Emphasis">
    <w:name w:val="Emphasis"/>
    <w:basedOn w:val="DefaultParagraphFont"/>
    <w:qFormat/>
    <w:rsid w:val="003D4C15"/>
    <w:rPr>
      <w:rFonts w:ascii="Times New Roman" w:hAnsi="Times New Roman"/>
      <w:i/>
      <w:iCs/>
      <w:sz w:val="22"/>
    </w:rPr>
  </w:style>
  <w:style w:type="character" w:customStyle="1" w:styleId="Pagrindinistekstas11">
    <w:name w:val="Pagrindinis tekstas (11)_"/>
    <w:basedOn w:val="DefaultParagraphFont"/>
    <w:link w:val="Pagrindinistekstas110"/>
    <w:rsid w:val="003D4C15"/>
    <w:rPr>
      <w:sz w:val="23"/>
      <w:szCs w:val="23"/>
      <w:shd w:val="clear" w:color="auto" w:fill="FFFFFF"/>
    </w:rPr>
  </w:style>
  <w:style w:type="paragraph" w:customStyle="1" w:styleId="Pagrindinistekstas110">
    <w:name w:val="Pagrindinis tekstas (11)"/>
    <w:basedOn w:val="Normal"/>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CommentText">
    <w:name w:val="annotation text"/>
    <w:basedOn w:val="Normal"/>
    <w:link w:val="CommentTextChar"/>
    <w:uiPriority w:val="99"/>
    <w:unhideWhenUsed/>
    <w:rsid w:val="003D4C15"/>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3D4C15"/>
    <w:rPr>
      <w:rFonts w:ascii="Calibri" w:eastAsia="Calibri" w:hAnsi="Calibri" w:cs="Times New Roman"/>
      <w:sz w:val="20"/>
      <w:szCs w:val="20"/>
    </w:rPr>
  </w:style>
  <w:style w:type="paragraph" w:styleId="BodyTextIndent3">
    <w:name w:val="Body Text Indent 3"/>
    <w:basedOn w:val="Normal"/>
    <w:link w:val="BodyTextIndent3Char"/>
    <w:unhideWhenUsed/>
    <w:rsid w:val="003D4C15"/>
    <w:pPr>
      <w:spacing w:after="120"/>
      <w:ind w:left="283"/>
    </w:pPr>
    <w:rPr>
      <w:sz w:val="16"/>
      <w:szCs w:val="16"/>
    </w:rPr>
  </w:style>
  <w:style w:type="character" w:customStyle="1" w:styleId="BodyTextIndent3Char">
    <w:name w:val="Body Text Indent 3 Char"/>
    <w:basedOn w:val="DefaultParagraphFont"/>
    <w:link w:val="BodyTextIndent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3D4C15"/>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3D4C15"/>
  </w:style>
  <w:style w:type="character" w:customStyle="1" w:styleId="typewriter">
    <w:name w:val="typewriter"/>
    <w:basedOn w:val="DefaultParagraphFont"/>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
    <w:basedOn w:val="Normal"/>
    <w:link w:val="ListParagraphChar"/>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3D4C15"/>
  </w:style>
  <w:style w:type="character" w:customStyle="1" w:styleId="FontStyle61">
    <w:name w:val="Font Style61"/>
    <w:basedOn w:val="DefaultParagraphFont"/>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DefaultParagraphFont"/>
    <w:rsid w:val="003D4C15"/>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3D4C15"/>
    <w:rPr>
      <w:rFonts w:ascii="Times New Roman" w:hAnsi="Times New Roman" w:cs="Times New Roman"/>
      <w:sz w:val="22"/>
      <w:szCs w:val="22"/>
    </w:rPr>
  </w:style>
  <w:style w:type="character" w:customStyle="1" w:styleId="FontStyle26">
    <w:name w:val="Font Style26"/>
    <w:basedOn w:val="DefaultParagraphFont"/>
    <w:rsid w:val="003D4C15"/>
    <w:rPr>
      <w:rFonts w:ascii="Times New Roman" w:hAnsi="Times New Roman" w:cs="Times New Roman"/>
      <w:i/>
      <w:iCs/>
      <w:sz w:val="22"/>
      <w:szCs w:val="22"/>
    </w:rPr>
  </w:style>
  <w:style w:type="character" w:customStyle="1" w:styleId="FontStyle22">
    <w:name w:val="Font Style22"/>
    <w:basedOn w:val="DefaultParagraphFont"/>
    <w:uiPriority w:val="99"/>
    <w:rsid w:val="003D4C15"/>
    <w:rPr>
      <w:rFonts w:ascii="Times New Roman" w:hAnsi="Times New Roman" w:cs="Times New Roman"/>
      <w:i/>
      <w:iCs/>
      <w:sz w:val="20"/>
      <w:szCs w:val="20"/>
    </w:rPr>
  </w:style>
  <w:style w:type="character" w:customStyle="1" w:styleId="FontStyle23">
    <w:name w:val="Font Style23"/>
    <w:basedOn w:val="DefaultParagraphFont"/>
    <w:uiPriority w:val="99"/>
    <w:rsid w:val="003D4C15"/>
    <w:rPr>
      <w:rFonts w:ascii="Times New Roman" w:hAnsi="Times New Roman" w:cs="Times New Roman"/>
      <w:b/>
      <w:bCs/>
      <w:sz w:val="22"/>
      <w:szCs w:val="22"/>
    </w:rPr>
  </w:style>
  <w:style w:type="paragraph" w:customStyle="1" w:styleId="tajtip">
    <w:name w:val="tajtip"/>
    <w:basedOn w:val="Normal"/>
    <w:rsid w:val="003D4C15"/>
    <w:pPr>
      <w:spacing w:before="100" w:beforeAutospacing="1" w:after="100" w:afterAutospacing="1"/>
    </w:pPr>
  </w:style>
  <w:style w:type="character" w:styleId="Strong">
    <w:name w:val="Strong"/>
    <w:uiPriority w:val="22"/>
    <w:qFormat/>
    <w:rsid w:val="003D4C15"/>
    <w:rPr>
      <w:b/>
      <w:bCs/>
    </w:rPr>
  </w:style>
  <w:style w:type="character" w:customStyle="1" w:styleId="dnr">
    <w:name w:val="dnr"/>
    <w:basedOn w:val="DefaultParagraphFont"/>
    <w:rsid w:val="003D4C15"/>
  </w:style>
  <w:style w:type="character" w:customStyle="1" w:styleId="apple-style-span">
    <w:name w:val="apple-style-span"/>
    <w:basedOn w:val="DefaultParagraphFont"/>
    <w:rsid w:val="003D4C15"/>
  </w:style>
  <w:style w:type="paragraph" w:customStyle="1" w:styleId="bodytext0">
    <w:name w:val="bodytext"/>
    <w:basedOn w:val="Normal"/>
    <w:uiPriority w:val="99"/>
    <w:rsid w:val="003D4C15"/>
    <w:pPr>
      <w:spacing w:before="100" w:beforeAutospacing="1" w:after="100" w:afterAutospacing="1"/>
    </w:pPr>
  </w:style>
  <w:style w:type="character" w:customStyle="1" w:styleId="quatationtext">
    <w:name w:val="quatation_text"/>
    <w:basedOn w:val="DefaultParagraphFont"/>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3D4C15"/>
    <w:rPr>
      <w:rFonts w:ascii="Times New Roman" w:hAnsi="Times New Roman" w:cs="Times New Roman"/>
      <w:sz w:val="20"/>
      <w:szCs w:val="20"/>
    </w:rPr>
  </w:style>
  <w:style w:type="character" w:customStyle="1" w:styleId="FontStyle11">
    <w:name w:val="Font Style11"/>
    <w:basedOn w:val="DefaultParagraphFont"/>
    <w:rsid w:val="003D4C15"/>
    <w:rPr>
      <w:rFonts w:ascii="Times New Roman" w:hAnsi="Times New Roman" w:cs="Times New Roman"/>
      <w:sz w:val="22"/>
      <w:szCs w:val="22"/>
    </w:rPr>
  </w:style>
  <w:style w:type="paragraph" w:customStyle="1" w:styleId="ListParagraph1">
    <w:name w:val="List Paragraph1"/>
    <w:basedOn w:val="Normal"/>
    <w:rsid w:val="003D4C15"/>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3D4C15"/>
    <w:rPr>
      <w:rFonts w:ascii="Times New Roman" w:hAnsi="Times New Roman" w:cs="Times New Roman"/>
      <w:b/>
      <w:bCs/>
      <w:sz w:val="20"/>
      <w:szCs w:val="20"/>
    </w:rPr>
  </w:style>
  <w:style w:type="character" w:customStyle="1" w:styleId="CharChar10">
    <w:name w:val="Char Char10"/>
    <w:basedOn w:val="DefaultParagraphFont"/>
    <w:rsid w:val="003D4C15"/>
    <w:rPr>
      <w:sz w:val="28"/>
      <w:lang w:eastAsia="en-US"/>
    </w:rPr>
  </w:style>
  <w:style w:type="character" w:customStyle="1" w:styleId="FontStyle12">
    <w:name w:val="Font Style12"/>
    <w:basedOn w:val="DefaultParagraphFont"/>
    <w:rsid w:val="003D4C15"/>
    <w:rPr>
      <w:rFonts w:ascii="Times New Roman" w:hAnsi="Times New Roman" w:cs="Times New Roman"/>
      <w:i/>
      <w:iCs/>
      <w:sz w:val="22"/>
      <w:szCs w:val="22"/>
    </w:rPr>
  </w:style>
  <w:style w:type="character" w:customStyle="1" w:styleId="FontStyle14">
    <w:name w:val="Font Style14"/>
    <w:basedOn w:val="DefaultParagraphFont"/>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3D4C15"/>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3D4C15"/>
    <w:pPr>
      <w:ind w:left="1200"/>
    </w:pPr>
    <w:rPr>
      <w:rFonts w:ascii="Calibri" w:hAnsi="Calibri"/>
      <w:sz w:val="18"/>
      <w:szCs w:val="18"/>
    </w:rPr>
  </w:style>
  <w:style w:type="paragraph" w:styleId="TOC7">
    <w:name w:val="toc 7"/>
    <w:basedOn w:val="Normal"/>
    <w:next w:val="Normal"/>
    <w:autoRedefine/>
    <w:uiPriority w:val="39"/>
    <w:unhideWhenUsed/>
    <w:rsid w:val="003D4C15"/>
    <w:pPr>
      <w:ind w:left="1440"/>
    </w:pPr>
    <w:rPr>
      <w:rFonts w:ascii="Calibri" w:hAnsi="Calibri"/>
      <w:sz w:val="18"/>
      <w:szCs w:val="18"/>
    </w:rPr>
  </w:style>
  <w:style w:type="paragraph" w:styleId="TOC8">
    <w:name w:val="toc 8"/>
    <w:basedOn w:val="Normal"/>
    <w:next w:val="Normal"/>
    <w:autoRedefine/>
    <w:uiPriority w:val="39"/>
    <w:unhideWhenUsed/>
    <w:rsid w:val="003D4C15"/>
    <w:pPr>
      <w:ind w:left="1680"/>
    </w:pPr>
    <w:rPr>
      <w:rFonts w:ascii="Calibri" w:hAnsi="Calibri"/>
      <w:sz w:val="18"/>
      <w:szCs w:val="18"/>
    </w:rPr>
  </w:style>
  <w:style w:type="paragraph" w:styleId="TOC9">
    <w:name w:val="toc 9"/>
    <w:basedOn w:val="Normal"/>
    <w:next w:val="Normal"/>
    <w:autoRedefine/>
    <w:uiPriority w:val="39"/>
    <w:unhideWhenUsed/>
    <w:rsid w:val="003D4C15"/>
    <w:pPr>
      <w:ind w:left="1920"/>
    </w:pPr>
    <w:rPr>
      <w:rFonts w:ascii="Calibri" w:hAnsi="Calibri"/>
      <w:sz w:val="18"/>
      <w:szCs w:val="18"/>
    </w:rPr>
  </w:style>
  <w:style w:type="character" w:customStyle="1" w:styleId="FontStyle54">
    <w:name w:val="Font Style54"/>
    <w:basedOn w:val="DefaultParagraphFont"/>
    <w:uiPriority w:val="99"/>
    <w:rsid w:val="003D4C15"/>
    <w:rPr>
      <w:rFonts w:ascii="Courier New" w:hAnsi="Courier New" w:cs="Courier New"/>
      <w:sz w:val="22"/>
      <w:szCs w:val="22"/>
    </w:rPr>
  </w:style>
  <w:style w:type="character" w:customStyle="1" w:styleId="Pagrindinistekstas24">
    <w:name w:val="Pagrindinis tekstas (2)4"/>
    <w:basedOn w:val="DefaultParagraphFont"/>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DefaultParagraphFont"/>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DefaultParagraphFont"/>
    <w:rsid w:val="003D4C15"/>
    <w:rPr>
      <w:rFonts w:ascii="Arial Narrow" w:hAnsi="Arial Narrow" w:cs="Arial Narrow"/>
      <w:i/>
      <w:iCs/>
      <w:sz w:val="18"/>
      <w:szCs w:val="18"/>
    </w:rPr>
  </w:style>
  <w:style w:type="character" w:customStyle="1" w:styleId="FontStyle49">
    <w:name w:val="Font Style49"/>
    <w:basedOn w:val="DefaultParagraphFont"/>
    <w:rsid w:val="003D4C15"/>
    <w:rPr>
      <w:rFonts w:ascii="Times New Roman" w:hAnsi="Times New Roman" w:cs="Times New Roman"/>
      <w:sz w:val="20"/>
      <w:szCs w:val="20"/>
    </w:rPr>
  </w:style>
  <w:style w:type="paragraph" w:styleId="Subtitle">
    <w:name w:val="Subtitle"/>
    <w:basedOn w:val="Normal"/>
    <w:next w:val="Normal"/>
    <w:link w:val="SubtitleChar"/>
    <w:uiPriority w:val="11"/>
    <w:qFormat/>
    <w:rsid w:val="003D4C15"/>
    <w:pPr>
      <w:spacing w:after="60"/>
      <w:jc w:val="center"/>
      <w:outlineLvl w:val="1"/>
    </w:pPr>
    <w:rPr>
      <w:rFonts w:ascii="Cambria" w:hAnsi="Cambria"/>
    </w:rPr>
  </w:style>
  <w:style w:type="character" w:customStyle="1" w:styleId="SubtitleChar">
    <w:name w:val="Subtitle Char"/>
    <w:basedOn w:val="DefaultParagraphFont"/>
    <w:link w:val="Subtitle"/>
    <w:uiPriority w:val="11"/>
    <w:rsid w:val="003D4C15"/>
    <w:rPr>
      <w:rFonts w:ascii="Cambria" w:eastAsia="Times New Roman" w:hAnsi="Cambria" w:cs="Times New Roman"/>
      <w:sz w:val="24"/>
      <w:szCs w:val="24"/>
      <w:lang w:eastAsia="lt-LT"/>
    </w:rPr>
  </w:style>
  <w:style w:type="paragraph" w:styleId="Index1">
    <w:name w:val="index 1"/>
    <w:basedOn w:val="Normal"/>
    <w:next w:val="Normal"/>
    <w:autoRedefine/>
    <w:uiPriority w:val="99"/>
    <w:semiHidden/>
    <w:unhideWhenUsed/>
    <w:rsid w:val="003D4C15"/>
    <w:pPr>
      <w:ind w:left="240" w:hanging="240"/>
    </w:pPr>
  </w:style>
  <w:style w:type="character" w:customStyle="1" w:styleId="normal-h">
    <w:name w:val="normal-h"/>
    <w:basedOn w:val="DefaultParagraphFont"/>
    <w:rsid w:val="003D4C15"/>
  </w:style>
  <w:style w:type="paragraph" w:customStyle="1" w:styleId="Sraopastraipa1">
    <w:name w:val="Sąrašo pastraipa1"/>
    <w:basedOn w:val="Normal"/>
    <w:rsid w:val="003D4C15"/>
    <w:pPr>
      <w:ind w:left="720"/>
    </w:pPr>
    <w:rPr>
      <w:rFonts w:eastAsia="Calibri"/>
      <w:sz w:val="20"/>
      <w:szCs w:val="20"/>
      <w:lang w:eastAsia="en-US"/>
    </w:rPr>
  </w:style>
  <w:style w:type="paragraph" w:customStyle="1" w:styleId="tactin">
    <w:name w:val="tactin"/>
    <w:basedOn w:val="Normal"/>
    <w:rsid w:val="003D4C15"/>
    <w:pPr>
      <w:spacing w:before="100" w:beforeAutospacing="1" w:after="100" w:afterAutospacing="1"/>
    </w:pPr>
  </w:style>
  <w:style w:type="character" w:customStyle="1" w:styleId="Pagrindinistekstas7">
    <w:name w:val="Pagrindinis tekstas (7)_"/>
    <w:basedOn w:val="DefaultParagraphFont"/>
    <w:link w:val="Pagrindinistekstas71"/>
    <w:rsid w:val="003D4C15"/>
    <w:rPr>
      <w:shd w:val="clear" w:color="auto" w:fill="FFFFFF"/>
    </w:rPr>
  </w:style>
  <w:style w:type="paragraph" w:customStyle="1" w:styleId="Pagrindinistekstas71">
    <w:name w:val="Pagrindinis tekstas (7)1"/>
    <w:basedOn w:val="Normal"/>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DefaultParagraphFont"/>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DefaultParagraphFont"/>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
    <w:name w:val="Pagrindinis tekstas_"/>
    <w:basedOn w:val="DefaultParagraphFont"/>
    <w:link w:val="Pagrindinistekstas1"/>
    <w:locked/>
    <w:rsid w:val="003D4C15"/>
    <w:rPr>
      <w:spacing w:val="4"/>
      <w:sz w:val="21"/>
      <w:szCs w:val="21"/>
      <w:shd w:val="clear" w:color="auto" w:fill="FFFFFF"/>
    </w:rPr>
  </w:style>
  <w:style w:type="paragraph" w:customStyle="1" w:styleId="Pagrindinistekstas1">
    <w:name w:val="Pagrindinis tekstas1"/>
    <w:basedOn w:val="Normal"/>
    <w:link w:val="Pagrindinistekstas"/>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DefaultParagraphFont"/>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basedOn w:val="DefaultParagraphFont"/>
    <w:uiPriority w:val="99"/>
    <w:semiHidden/>
    <w:unhideWhenUsed/>
    <w:rsid w:val="003D4C15"/>
    <w:rPr>
      <w:sz w:val="16"/>
      <w:szCs w:val="16"/>
    </w:rPr>
  </w:style>
  <w:style w:type="paragraph" w:customStyle="1" w:styleId="Sraopastraipa2">
    <w:name w:val="Sąrašo pastraipa2"/>
    <w:basedOn w:val="Normal"/>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Normal"/>
    <w:rsid w:val="003D4C15"/>
    <w:pPr>
      <w:spacing w:before="100" w:beforeAutospacing="1" w:after="100" w:afterAutospacing="1"/>
    </w:pPr>
  </w:style>
  <w:style w:type="character" w:customStyle="1" w:styleId="clear">
    <w:name w:val="clear"/>
    <w:basedOn w:val="DefaultParagraphFont"/>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SubtleEmphasis">
    <w:name w:val="Subtle Emphasis"/>
    <w:basedOn w:val="DefaultParagraphFont"/>
    <w:uiPriority w:val="19"/>
    <w:qFormat/>
    <w:rsid w:val="003D4C15"/>
    <w:rPr>
      <w:i/>
      <w:iCs/>
      <w:color w:val="808080" w:themeColor="text1" w:themeTint="7F"/>
    </w:rPr>
  </w:style>
  <w:style w:type="paragraph" w:customStyle="1" w:styleId="Apzvalgai1">
    <w:name w:val="Apzvalgai1"/>
    <w:basedOn w:val="Heading1"/>
    <w:link w:val="Apzvalgai1Char"/>
    <w:qFormat/>
    <w:rsid w:val="003D4C15"/>
  </w:style>
  <w:style w:type="paragraph" w:customStyle="1" w:styleId="ApzvalgaiItalikas">
    <w:name w:val="Apzvalgai_Italikas"/>
    <w:basedOn w:val="Heading2"/>
    <w:link w:val="ApzvalgaiItalikasChar"/>
    <w:rsid w:val="003D4C15"/>
  </w:style>
  <w:style w:type="character" w:customStyle="1" w:styleId="Apzvalgai1Char">
    <w:name w:val="Apzvalgai1 Char"/>
    <w:basedOn w:val="Heading1Char2"/>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Heading2Char"/>
    <w:link w:val="ApzvalgaiItalikas"/>
    <w:rsid w:val="003D4C15"/>
    <w:rPr>
      <w:rFonts w:ascii="Calibri" w:eastAsia="Arial Unicode MS" w:hAnsi="Calibri" w:cs="Times New Roman"/>
      <w:bCs/>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DefaultParagraphFont"/>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NormalWebChar">
    <w:name w:val="Normal (Web) Char"/>
    <w:link w:val="NormalWeb"/>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CommentSubject">
    <w:name w:val="annotation subject"/>
    <w:basedOn w:val="CommentText"/>
    <w:next w:val="CommentText"/>
    <w:link w:val="CommentSubjectChar"/>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Normal"/>
    <w:rsid w:val="003D4C15"/>
    <w:pPr>
      <w:spacing w:before="100" w:beforeAutospacing="1" w:after="100" w:afterAutospacing="1"/>
    </w:pPr>
  </w:style>
  <w:style w:type="character" w:customStyle="1" w:styleId="FontStyle19">
    <w:name w:val="Font Style19"/>
    <w:basedOn w:val="DefaultParagraphFont"/>
    <w:rsid w:val="003D4C15"/>
    <w:rPr>
      <w:rFonts w:ascii="Times New Roman" w:hAnsi="Times New Roman" w:cs="Times New Roman"/>
      <w:sz w:val="20"/>
      <w:szCs w:val="20"/>
    </w:rPr>
  </w:style>
  <w:style w:type="character" w:customStyle="1" w:styleId="FontStyle20">
    <w:name w:val="Font Style20"/>
    <w:basedOn w:val="DefaultParagraphFont"/>
    <w:rsid w:val="003D4C15"/>
    <w:rPr>
      <w:rFonts w:ascii="Times New Roman" w:hAnsi="Times New Roman" w:cs="Times New Roman"/>
      <w:sz w:val="22"/>
      <w:szCs w:val="22"/>
    </w:rPr>
  </w:style>
  <w:style w:type="character" w:customStyle="1" w:styleId="sfbbfee58">
    <w:name w:val="sfbbfee58"/>
    <w:basedOn w:val="DefaultParagraphFont"/>
    <w:rsid w:val="003D4C15"/>
  </w:style>
  <w:style w:type="paragraph" w:customStyle="1" w:styleId="Style3">
    <w:name w:val="Style3"/>
    <w:basedOn w:val="Normal"/>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Normal"/>
    <w:rsid w:val="00F24296"/>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C73BF"/>
    <w:rPr>
      <w:color w:val="808080"/>
      <w:shd w:val="clear" w:color="auto" w:fill="E6E6E6"/>
    </w:rPr>
  </w:style>
  <w:style w:type="paragraph" w:customStyle="1" w:styleId="Style9">
    <w:name w:val="Style9"/>
    <w:basedOn w:val="Normal"/>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715AA9"/>
    <w:rPr>
      <w:color w:val="808080"/>
      <w:shd w:val="clear" w:color="auto" w:fill="E6E6E6"/>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link w:val="ListParagraph"/>
    <w:uiPriority w:val="99"/>
    <w:locked/>
    <w:rsid w:val="00B42228"/>
    <w:rPr>
      <w:rFonts w:ascii="Times New Roman" w:eastAsia="Calibri" w:hAnsi="Times New Roman" w:cs="Times New Roman"/>
      <w:sz w:val="24"/>
    </w:rPr>
  </w:style>
  <w:style w:type="character" w:customStyle="1" w:styleId="Bodytext2">
    <w:name w:val="Body text (2)"/>
    <w:basedOn w:val="DefaultParagraphFont"/>
    <w:uiPriority w:val="99"/>
    <w:rsid w:val="00B42228"/>
    <w:rPr>
      <w:rFonts w:ascii="Times New Roman" w:hAnsi="Times New Roman" w:cs="Times New Roman" w:hint="default"/>
      <w:shd w:val="clear" w:color="auto" w:fill="FFFFFF"/>
    </w:rPr>
  </w:style>
  <w:style w:type="character" w:customStyle="1" w:styleId="Bodytext2Bold">
    <w:name w:val="Body text (2) + Bold"/>
    <w:basedOn w:val="DefaultParagraphFont"/>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DefaultParagraphFont"/>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DefaultParagraphFont"/>
    <w:rsid w:val="00DB1089"/>
  </w:style>
  <w:style w:type="numbering" w:customStyle="1" w:styleId="WWNum17">
    <w:name w:val="WWNum17"/>
    <w:basedOn w:val="NoList"/>
    <w:rsid w:val="00685897"/>
    <w:pPr>
      <w:numPr>
        <w:numId w:val="1"/>
      </w:numPr>
    </w:pPr>
  </w:style>
  <w:style w:type="character" w:customStyle="1" w:styleId="UnresolvedMention2">
    <w:name w:val="Unresolved Mention2"/>
    <w:basedOn w:val="DefaultParagraphFont"/>
    <w:uiPriority w:val="99"/>
    <w:semiHidden/>
    <w:unhideWhenUsed/>
    <w:rsid w:val="005E6140"/>
    <w:rPr>
      <w:color w:val="605E5C"/>
      <w:shd w:val="clear" w:color="auto" w:fill="E1DFDD"/>
    </w:rPr>
  </w:style>
  <w:style w:type="paragraph" w:customStyle="1" w:styleId="list-paragraph">
    <w:name w:val="list-paragraph"/>
    <w:basedOn w:val="Normal"/>
    <w:rsid w:val="00BE611E"/>
    <w:pPr>
      <w:spacing w:before="100" w:beforeAutospacing="1" w:after="100" w:afterAutospacing="1"/>
    </w:pPr>
    <w:rPr>
      <w:rFonts w:eastAsiaTheme="minorEastAsia"/>
    </w:rPr>
  </w:style>
  <w:style w:type="character" w:customStyle="1" w:styleId="UnresolvedMention3">
    <w:name w:val="Unresolved Mention3"/>
    <w:basedOn w:val="DefaultParagraphFont"/>
    <w:uiPriority w:val="99"/>
    <w:semiHidden/>
    <w:unhideWhenUsed/>
    <w:rsid w:val="00B234F5"/>
    <w:rPr>
      <w:color w:val="605E5C"/>
      <w:shd w:val="clear" w:color="auto" w:fill="E1DFDD"/>
    </w:rPr>
  </w:style>
  <w:style w:type="character" w:customStyle="1" w:styleId="UnresolvedMention4">
    <w:name w:val="Unresolved Mention4"/>
    <w:basedOn w:val="DefaultParagraphFont"/>
    <w:uiPriority w:val="99"/>
    <w:semiHidden/>
    <w:unhideWhenUsed/>
    <w:rsid w:val="008D7C97"/>
    <w:rPr>
      <w:color w:val="605E5C"/>
      <w:shd w:val="clear" w:color="auto" w:fill="E1DFDD"/>
    </w:rPr>
  </w:style>
  <w:style w:type="character" w:customStyle="1" w:styleId="UnresolvedMention5">
    <w:name w:val="Unresolved Mention5"/>
    <w:basedOn w:val="DefaultParagraphFont"/>
    <w:uiPriority w:val="99"/>
    <w:semiHidden/>
    <w:unhideWhenUsed/>
    <w:rsid w:val="00983365"/>
    <w:rPr>
      <w:color w:val="605E5C"/>
      <w:shd w:val="clear" w:color="auto" w:fill="E1DFDD"/>
    </w:rPr>
  </w:style>
  <w:style w:type="character" w:customStyle="1" w:styleId="UnresolvedMention6">
    <w:name w:val="Unresolved Mention6"/>
    <w:basedOn w:val="DefaultParagraphFont"/>
    <w:uiPriority w:val="99"/>
    <w:semiHidden/>
    <w:unhideWhenUsed/>
    <w:rsid w:val="00B07866"/>
    <w:rPr>
      <w:color w:val="605E5C"/>
      <w:shd w:val="clear" w:color="auto" w:fill="E1DFDD"/>
    </w:rPr>
  </w:style>
  <w:style w:type="character" w:customStyle="1" w:styleId="UnresolvedMention7">
    <w:name w:val="Unresolved Mention7"/>
    <w:basedOn w:val="DefaultParagraphFont"/>
    <w:uiPriority w:val="99"/>
    <w:semiHidden/>
    <w:unhideWhenUsed/>
    <w:rsid w:val="00AF1D2A"/>
    <w:rPr>
      <w:color w:val="605E5C"/>
      <w:shd w:val="clear" w:color="auto" w:fill="E1DFDD"/>
    </w:rPr>
  </w:style>
  <w:style w:type="character" w:customStyle="1" w:styleId="UnresolvedMention8">
    <w:name w:val="Unresolved Mention8"/>
    <w:basedOn w:val="DefaultParagraphFont"/>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DefaultParagraphFont"/>
    <w:uiPriority w:val="99"/>
    <w:semiHidden/>
    <w:unhideWhenUsed/>
    <w:rsid w:val="00C40C55"/>
    <w:rPr>
      <w:color w:val="605E5C"/>
      <w:shd w:val="clear" w:color="auto" w:fill="E1DFDD"/>
    </w:rPr>
  </w:style>
  <w:style w:type="character" w:customStyle="1" w:styleId="UnresolvedMention10">
    <w:name w:val="Unresolved Mention10"/>
    <w:basedOn w:val="DefaultParagraphFont"/>
    <w:uiPriority w:val="99"/>
    <w:semiHidden/>
    <w:unhideWhenUsed/>
    <w:rsid w:val="003060ED"/>
    <w:rPr>
      <w:color w:val="605E5C"/>
      <w:shd w:val="clear" w:color="auto" w:fill="E1DFDD"/>
    </w:rPr>
  </w:style>
  <w:style w:type="character" w:customStyle="1" w:styleId="UnresolvedMention11">
    <w:name w:val="Unresolved Mention11"/>
    <w:basedOn w:val="DefaultParagraphFont"/>
    <w:uiPriority w:val="99"/>
    <w:semiHidden/>
    <w:unhideWhenUsed/>
    <w:rsid w:val="00DE4C4E"/>
    <w:rPr>
      <w:color w:val="605E5C"/>
      <w:shd w:val="clear" w:color="auto" w:fill="E1DFDD"/>
    </w:rPr>
  </w:style>
  <w:style w:type="character" w:customStyle="1" w:styleId="UnresolvedMention12">
    <w:name w:val="Unresolved Mention12"/>
    <w:basedOn w:val="DefaultParagraphFont"/>
    <w:uiPriority w:val="99"/>
    <w:semiHidden/>
    <w:unhideWhenUsed/>
    <w:rsid w:val="00F6362D"/>
    <w:rPr>
      <w:color w:val="605E5C"/>
      <w:shd w:val="clear" w:color="auto" w:fill="E1DFDD"/>
    </w:rPr>
  </w:style>
  <w:style w:type="character" w:customStyle="1" w:styleId="UnresolvedMention13">
    <w:name w:val="Unresolved Mention13"/>
    <w:basedOn w:val="DefaultParagraphFont"/>
    <w:uiPriority w:val="99"/>
    <w:semiHidden/>
    <w:unhideWhenUsed/>
    <w:rsid w:val="00DE7BE8"/>
    <w:rPr>
      <w:color w:val="605E5C"/>
      <w:shd w:val="clear" w:color="auto" w:fill="E1DFDD"/>
    </w:rPr>
  </w:style>
  <w:style w:type="paragraph" w:customStyle="1" w:styleId="s30eec3f8">
    <w:name w:val="s30eec3f8"/>
    <w:basedOn w:val="Normal"/>
    <w:rsid w:val="00DE2BCD"/>
    <w:pPr>
      <w:spacing w:before="100" w:beforeAutospacing="1" w:after="100" w:afterAutospacing="1"/>
    </w:pPr>
    <w:rPr>
      <w:lang w:val="en-US" w:eastAsia="en-US"/>
    </w:rPr>
  </w:style>
  <w:style w:type="character" w:customStyle="1" w:styleId="sb8d990e2">
    <w:name w:val="sb8d990e2"/>
    <w:basedOn w:val="DefaultParagraphFont"/>
    <w:rsid w:val="00DE2BCD"/>
  </w:style>
  <w:style w:type="character" w:customStyle="1" w:styleId="UnresolvedMention14">
    <w:name w:val="Unresolved Mention14"/>
    <w:basedOn w:val="DefaultParagraphFont"/>
    <w:uiPriority w:val="99"/>
    <w:semiHidden/>
    <w:unhideWhenUsed/>
    <w:rsid w:val="006B247E"/>
    <w:rPr>
      <w:color w:val="605E5C"/>
      <w:shd w:val="clear" w:color="auto" w:fill="E1DFDD"/>
    </w:rPr>
  </w:style>
  <w:style w:type="character" w:customStyle="1" w:styleId="UnresolvedMention15">
    <w:name w:val="Unresolved Mention15"/>
    <w:basedOn w:val="DefaultParagraphFont"/>
    <w:uiPriority w:val="99"/>
    <w:semiHidden/>
    <w:unhideWhenUsed/>
    <w:rsid w:val="00AF5451"/>
    <w:rPr>
      <w:color w:val="605E5C"/>
      <w:shd w:val="clear" w:color="auto" w:fill="E1DFDD"/>
    </w:rPr>
  </w:style>
  <w:style w:type="character" w:customStyle="1" w:styleId="UnresolvedMention16">
    <w:name w:val="Unresolved Mention16"/>
    <w:basedOn w:val="DefaultParagraphFont"/>
    <w:uiPriority w:val="99"/>
    <w:semiHidden/>
    <w:unhideWhenUsed/>
    <w:rsid w:val="00071C23"/>
    <w:rPr>
      <w:color w:val="605E5C"/>
      <w:shd w:val="clear" w:color="auto" w:fill="E1DFDD"/>
    </w:rPr>
  </w:style>
  <w:style w:type="character" w:customStyle="1" w:styleId="UnresolvedMention17">
    <w:name w:val="Unresolved Mention17"/>
    <w:basedOn w:val="DefaultParagraphFont"/>
    <w:uiPriority w:val="99"/>
    <w:semiHidden/>
    <w:unhideWhenUsed/>
    <w:rsid w:val="00AF53E8"/>
    <w:rPr>
      <w:color w:val="605E5C"/>
      <w:shd w:val="clear" w:color="auto" w:fill="E1DFDD"/>
    </w:rPr>
  </w:style>
  <w:style w:type="character" w:customStyle="1" w:styleId="UnresolvedMention18">
    <w:name w:val="Unresolved Mention18"/>
    <w:basedOn w:val="DefaultParagraphFont"/>
    <w:uiPriority w:val="99"/>
    <w:semiHidden/>
    <w:unhideWhenUsed/>
    <w:rsid w:val="00EB60DF"/>
    <w:rPr>
      <w:color w:val="605E5C"/>
      <w:shd w:val="clear" w:color="auto" w:fill="E1DFDD"/>
    </w:rPr>
  </w:style>
  <w:style w:type="character" w:customStyle="1" w:styleId="Neapdorotaspaminjimas4">
    <w:name w:val="Neapdorotas paminėjimas4"/>
    <w:basedOn w:val="DefaultParagraphFont"/>
    <w:uiPriority w:val="99"/>
    <w:semiHidden/>
    <w:unhideWhenUsed/>
    <w:rsid w:val="00623DF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D4C15"/>
    <w:pPr>
      <w:spacing w:after="0" w:line="240" w:lineRule="auto"/>
    </w:pPr>
    <w:rPr>
      <w:rFonts w:ascii="Times New Roman" w:eastAsia="Times New Roman" w:hAnsi="Times New Roman" w:cs="Times New Roman"/>
      <w:sz w:val="24"/>
      <w:szCs w:val="24"/>
      <w:lang w:eastAsia="lt-LT"/>
    </w:rPr>
  </w:style>
  <w:style w:type="paragraph" w:styleId="Heading1">
    <w:name w:val="heading 1"/>
    <w:basedOn w:val="Normal"/>
    <w:next w:val="Normal"/>
    <w:link w:val="Heading1Char2"/>
    <w:qFormat/>
    <w:rsid w:val="003D4C15"/>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236301"/>
    <w:pPr>
      <w:shd w:val="clear" w:color="auto" w:fill="FFFFFF"/>
      <w:tabs>
        <w:tab w:val="left" w:pos="567"/>
      </w:tabs>
      <w:jc w:val="both"/>
      <w:outlineLvl w:val="1"/>
    </w:pPr>
    <w:rPr>
      <w:rFonts w:ascii="Calibri" w:eastAsia="Calibri" w:hAnsi="Calibri" w:cs="Calibri"/>
      <w:bCs/>
      <w:i/>
      <w:iCs/>
      <w:sz w:val="22"/>
      <w:szCs w:val="22"/>
      <w:shd w:val="clear" w:color="auto" w:fill="FFFFFF"/>
      <w:lang w:eastAsia="en-US"/>
    </w:rPr>
  </w:style>
  <w:style w:type="paragraph" w:styleId="Heading3">
    <w:name w:val="heading 3"/>
    <w:basedOn w:val="Normal"/>
    <w:next w:val="Normal"/>
    <w:link w:val="Heading3Char"/>
    <w:uiPriority w:val="9"/>
    <w:unhideWhenUsed/>
    <w:rsid w:val="003D4C15"/>
    <w:pPr>
      <w:jc w:val="both"/>
      <w:outlineLvl w:val="2"/>
    </w:pPr>
    <w:rPr>
      <w:i/>
      <w:sz w:val="22"/>
      <w:szCs w:val="22"/>
    </w:rPr>
  </w:style>
  <w:style w:type="paragraph" w:styleId="Heading4">
    <w:name w:val="heading 4"/>
    <w:basedOn w:val="Normal"/>
    <w:next w:val="Normal"/>
    <w:link w:val="Heading4Char"/>
    <w:uiPriority w:val="9"/>
    <w:unhideWhenUsed/>
    <w:rsid w:val="003D4C15"/>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3D4C15"/>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qFormat/>
    <w:rsid w:val="003D4C15"/>
    <w:rPr>
      <w:rFonts w:ascii="Times New Roman" w:eastAsia="Times New Roman" w:hAnsi="Times New Roman" w:cs="Times New Roman"/>
      <w:b/>
      <w:u w:val="single"/>
      <w:lang w:eastAsia="lt-LT"/>
    </w:rPr>
  </w:style>
  <w:style w:type="character" w:customStyle="1" w:styleId="Heading2Char">
    <w:name w:val="Heading 2 Char"/>
    <w:basedOn w:val="DefaultParagraphFont"/>
    <w:link w:val="Heading2"/>
    <w:uiPriority w:val="9"/>
    <w:rsid w:val="00236301"/>
    <w:rPr>
      <w:rFonts w:ascii="Calibri" w:eastAsia="Calibri" w:hAnsi="Calibri" w:cs="Calibri"/>
      <w:bCs/>
      <w:i/>
      <w:iCs/>
      <w:shd w:val="clear" w:color="auto" w:fill="FFFFFF"/>
    </w:rPr>
  </w:style>
  <w:style w:type="character" w:customStyle="1" w:styleId="Heading3Char">
    <w:name w:val="Heading 3 Char"/>
    <w:basedOn w:val="DefaultParagraphFont"/>
    <w:link w:val="Heading3"/>
    <w:uiPriority w:val="9"/>
    <w:rsid w:val="003D4C15"/>
    <w:rPr>
      <w:rFonts w:ascii="Times New Roman" w:eastAsia="Times New Roman" w:hAnsi="Times New Roman" w:cs="Times New Roman"/>
      <w:i/>
      <w:lang w:eastAsia="lt-LT"/>
    </w:rPr>
  </w:style>
  <w:style w:type="character" w:customStyle="1" w:styleId="Heading4Char">
    <w:name w:val="Heading 4 Char"/>
    <w:basedOn w:val="DefaultParagraphFont"/>
    <w:link w:val="Heading4"/>
    <w:uiPriority w:val="9"/>
    <w:rsid w:val="003D4C15"/>
    <w:rPr>
      <w:rFonts w:ascii="Times New Roman" w:eastAsia="Times New Roman" w:hAnsi="Times New Roman" w:cs="Times New Roman"/>
      <w:b/>
      <w:bCs/>
      <w:szCs w:val="28"/>
      <w:u w:val="single"/>
      <w:lang w:eastAsia="lt-LT"/>
    </w:rPr>
  </w:style>
  <w:style w:type="character" w:customStyle="1" w:styleId="Heading5Char">
    <w:name w:val="Heading 5 Char"/>
    <w:basedOn w:val="DefaultParagraphFont"/>
    <w:link w:val="Heading5"/>
    <w:uiPriority w:val="9"/>
    <w:rsid w:val="003D4C15"/>
    <w:rPr>
      <w:rFonts w:ascii="Times New Roman" w:eastAsia="Times New Roman" w:hAnsi="Times New Roman" w:cs="Times New Roman"/>
      <w:bCs/>
      <w:i/>
      <w:iCs/>
      <w:szCs w:val="26"/>
      <w:lang w:eastAsia="lt-LT"/>
    </w:rPr>
  </w:style>
  <w:style w:type="paragraph" w:styleId="Header">
    <w:name w:val="header"/>
    <w:basedOn w:val="Normal"/>
    <w:link w:val="HeaderChar"/>
    <w:uiPriority w:val="99"/>
    <w:rsid w:val="003D4C15"/>
    <w:pPr>
      <w:tabs>
        <w:tab w:val="center" w:pos="4153"/>
        <w:tab w:val="right" w:pos="8306"/>
      </w:tabs>
    </w:pPr>
    <w:rPr>
      <w:lang w:val="en-GB" w:eastAsia="en-US"/>
    </w:rPr>
  </w:style>
  <w:style w:type="character" w:customStyle="1" w:styleId="HeaderChar">
    <w:name w:val="Header Char"/>
    <w:basedOn w:val="DefaultParagraphFont"/>
    <w:link w:val="Header"/>
    <w:uiPriority w:val="99"/>
    <w:rsid w:val="003D4C15"/>
    <w:rPr>
      <w:rFonts w:ascii="Times New Roman" w:eastAsia="Times New Roman" w:hAnsi="Times New Roman" w:cs="Times New Roman"/>
      <w:sz w:val="24"/>
      <w:szCs w:val="24"/>
      <w:lang w:val="en-GB"/>
    </w:rPr>
  </w:style>
  <w:style w:type="paragraph" w:styleId="Footer">
    <w:name w:val="footer"/>
    <w:basedOn w:val="Normal"/>
    <w:link w:val="FooterChar"/>
    <w:rsid w:val="003D4C15"/>
    <w:pPr>
      <w:tabs>
        <w:tab w:val="center" w:pos="4153"/>
        <w:tab w:val="right" w:pos="8306"/>
      </w:tabs>
    </w:pPr>
  </w:style>
  <w:style w:type="character" w:customStyle="1" w:styleId="FooterChar">
    <w:name w:val="Footer Char"/>
    <w:basedOn w:val="DefaultParagraphFont"/>
    <w:link w:val="Footer"/>
    <w:rsid w:val="003D4C15"/>
    <w:rPr>
      <w:rFonts w:ascii="Times New Roman" w:eastAsia="Times New Roman" w:hAnsi="Times New Roman" w:cs="Times New Roman"/>
      <w:sz w:val="24"/>
      <w:szCs w:val="24"/>
      <w:lang w:eastAsia="lt-LT"/>
    </w:rPr>
  </w:style>
  <w:style w:type="character" w:styleId="PageNumber">
    <w:name w:val="page number"/>
    <w:basedOn w:val="DefaultParagraphFont"/>
    <w:rsid w:val="003D4C15"/>
  </w:style>
  <w:style w:type="paragraph" w:styleId="NormalWeb">
    <w:name w:val="Normal (Web)"/>
    <w:basedOn w:val="Normal"/>
    <w:link w:val="NormalWebChar"/>
    <w:uiPriority w:val="99"/>
    <w:rsid w:val="003D4C15"/>
    <w:pPr>
      <w:spacing w:before="100" w:beforeAutospacing="1" w:after="100" w:afterAutospacing="1"/>
    </w:pPr>
    <w:rPr>
      <w:lang w:val="en-US" w:eastAsia="en-US"/>
    </w:rPr>
  </w:style>
  <w:style w:type="paragraph" w:customStyle="1" w:styleId="Style12">
    <w:name w:val="Style12"/>
    <w:basedOn w:val="Normal"/>
    <w:rsid w:val="003D4C15"/>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3D4C15"/>
    <w:rPr>
      <w:color w:val="0000FF"/>
      <w:u w:val="single"/>
    </w:rPr>
  </w:style>
  <w:style w:type="paragraph" w:styleId="BodyTextIndent2">
    <w:name w:val="Body Text Indent 2"/>
    <w:basedOn w:val="Normal"/>
    <w:link w:val="BodyTextIndent2Char"/>
    <w:rsid w:val="003D4C15"/>
    <w:pPr>
      <w:ind w:firstLine="540"/>
      <w:jc w:val="both"/>
    </w:pPr>
    <w:rPr>
      <w:bCs/>
      <w:lang w:eastAsia="en-US"/>
    </w:rPr>
  </w:style>
  <w:style w:type="character" w:customStyle="1" w:styleId="BodyTextIndent2Char">
    <w:name w:val="Body Text Indent 2 Char"/>
    <w:basedOn w:val="DefaultParagraphFont"/>
    <w:link w:val="BodyTextIndent2"/>
    <w:rsid w:val="003D4C15"/>
    <w:rPr>
      <w:rFonts w:ascii="Times New Roman" w:eastAsia="Times New Roman" w:hAnsi="Times New Roman" w:cs="Times New Roman"/>
      <w:bCs/>
      <w:sz w:val="24"/>
      <w:szCs w:val="24"/>
    </w:rPr>
  </w:style>
  <w:style w:type="paragraph" w:styleId="BodyText">
    <w:name w:val="Body Text"/>
    <w:basedOn w:val="Normal"/>
    <w:link w:val="BodyTextChar"/>
    <w:unhideWhenUsed/>
    <w:rsid w:val="003D4C15"/>
    <w:pPr>
      <w:spacing w:after="120"/>
    </w:pPr>
  </w:style>
  <w:style w:type="character" w:customStyle="1" w:styleId="BodyTextChar">
    <w:name w:val="Body Text Char"/>
    <w:basedOn w:val="DefaultParagraphFont"/>
    <w:link w:val="BodyText"/>
    <w:rsid w:val="003D4C15"/>
    <w:rPr>
      <w:rFonts w:ascii="Times New Roman" w:eastAsia="Times New Roman" w:hAnsi="Times New Roman" w:cs="Times New Roman"/>
      <w:sz w:val="24"/>
      <w:szCs w:val="24"/>
      <w:lang w:eastAsia="lt-LT"/>
    </w:rPr>
  </w:style>
  <w:style w:type="paragraph" w:styleId="HTMLPreformatted">
    <w:name w:val="HTML Preformatted"/>
    <w:basedOn w:val="Normal"/>
    <w:link w:val="HTMLPreformattedChar"/>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DefaultParagraphFont"/>
    <w:rsid w:val="003D4C15"/>
    <w:rPr>
      <w:rFonts w:ascii="Times New Roman" w:hAnsi="Times New Roman" w:cs="Times New Roman"/>
      <w:sz w:val="20"/>
      <w:szCs w:val="20"/>
    </w:rPr>
  </w:style>
  <w:style w:type="character" w:customStyle="1" w:styleId="FontStyle31">
    <w:name w:val="Font Style31"/>
    <w:basedOn w:val="DefaultParagraphFont"/>
    <w:rsid w:val="003D4C15"/>
    <w:rPr>
      <w:rFonts w:ascii="Times New Roman" w:hAnsi="Times New Roman" w:cs="Times New Roman"/>
      <w:sz w:val="22"/>
      <w:szCs w:val="22"/>
    </w:rPr>
  </w:style>
  <w:style w:type="character" w:customStyle="1" w:styleId="FontStyle21">
    <w:name w:val="Font Style21"/>
    <w:basedOn w:val="DefaultParagraphFont"/>
    <w:uiPriority w:val="99"/>
    <w:rsid w:val="003D4C15"/>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3D4C15"/>
    <w:rPr>
      <w:rFonts w:ascii="Tahoma" w:hAnsi="Tahoma" w:cs="Tahoma"/>
      <w:sz w:val="16"/>
      <w:szCs w:val="16"/>
    </w:rPr>
  </w:style>
  <w:style w:type="character" w:customStyle="1" w:styleId="DocumentMapChar">
    <w:name w:val="Document Map Char"/>
    <w:basedOn w:val="DefaultParagraphFont"/>
    <w:link w:val="DocumentMap"/>
    <w:uiPriority w:val="99"/>
    <w:semiHidden/>
    <w:rsid w:val="003D4C15"/>
    <w:rPr>
      <w:rFonts w:ascii="Tahoma" w:eastAsia="Times New Roman" w:hAnsi="Tahoma" w:cs="Tahoma"/>
      <w:sz w:val="16"/>
      <w:szCs w:val="16"/>
      <w:lang w:eastAsia="lt-LT"/>
    </w:rPr>
  </w:style>
  <w:style w:type="character" w:customStyle="1" w:styleId="FontStyle32">
    <w:name w:val="Font Style32"/>
    <w:basedOn w:val="DefaultParagraphFont"/>
    <w:rsid w:val="003D4C15"/>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3D4C15"/>
    <w:pPr>
      <w:spacing w:after="120"/>
      <w:ind w:left="283"/>
    </w:pPr>
  </w:style>
  <w:style w:type="character" w:customStyle="1" w:styleId="BodyTextIndentChar">
    <w:name w:val="Body Text Indent Char"/>
    <w:basedOn w:val="DefaultParagraphFont"/>
    <w:link w:val="BodyTextIndent"/>
    <w:uiPriority w:val="99"/>
    <w:rsid w:val="003D4C15"/>
    <w:rPr>
      <w:rFonts w:ascii="Times New Roman" w:eastAsia="Times New Roman" w:hAnsi="Times New Roman" w:cs="Times New Roman"/>
      <w:sz w:val="24"/>
      <w:szCs w:val="24"/>
      <w:lang w:eastAsia="lt-LT"/>
    </w:rPr>
  </w:style>
  <w:style w:type="paragraph" w:styleId="FootnoteText">
    <w:name w:val="footnote text"/>
    <w:basedOn w:val="Normal"/>
    <w:link w:val="FootnoteTextChar"/>
    <w:semiHidden/>
    <w:rsid w:val="003D4C15"/>
    <w:rPr>
      <w:sz w:val="20"/>
      <w:szCs w:val="20"/>
    </w:rPr>
  </w:style>
  <w:style w:type="character" w:customStyle="1" w:styleId="FootnoteTextChar">
    <w:name w:val="Footnote Text Char"/>
    <w:basedOn w:val="DefaultParagraphFont"/>
    <w:link w:val="FootnoteText"/>
    <w:uiPriority w:val="99"/>
    <w:semiHidden/>
    <w:rsid w:val="003D4C15"/>
    <w:rPr>
      <w:rFonts w:ascii="Times New Roman" w:eastAsia="Times New Roman" w:hAnsi="Times New Roman" w:cs="Times New Roman"/>
      <w:sz w:val="20"/>
      <w:szCs w:val="20"/>
      <w:lang w:eastAsia="lt-LT"/>
    </w:rPr>
  </w:style>
  <w:style w:type="character" w:styleId="FootnoteReference">
    <w:name w:val="footnote reference"/>
    <w:basedOn w:val="DefaultParagraphFont"/>
    <w:uiPriority w:val="99"/>
    <w:semiHidden/>
    <w:rsid w:val="003D4C15"/>
    <w:rPr>
      <w:vertAlign w:val="superscript"/>
    </w:rPr>
  </w:style>
  <w:style w:type="paragraph" w:styleId="TOC1">
    <w:name w:val="toc 1"/>
    <w:basedOn w:val="Normal"/>
    <w:next w:val="Normal"/>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3D4C15"/>
    <w:pPr>
      <w:ind w:left="720"/>
    </w:pPr>
    <w:rPr>
      <w:rFonts w:ascii="Calibri" w:hAnsi="Calibri"/>
      <w:sz w:val="18"/>
      <w:szCs w:val="18"/>
    </w:rPr>
  </w:style>
  <w:style w:type="paragraph" w:styleId="NoSpacing">
    <w:name w:val="No Spacing"/>
    <w:link w:val="NoSpacingChar"/>
    <w:uiPriority w:val="1"/>
    <w:qFormat/>
    <w:rsid w:val="003D4C15"/>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3D4C15"/>
    <w:rPr>
      <w:rFonts w:ascii="Calibri" w:eastAsia="Times New Roman" w:hAnsi="Calibri" w:cs="Times New Roman"/>
    </w:rPr>
  </w:style>
  <w:style w:type="paragraph" w:styleId="BalloonText">
    <w:name w:val="Balloon Text"/>
    <w:basedOn w:val="Normal"/>
    <w:link w:val="BalloonTextChar"/>
    <w:uiPriority w:val="99"/>
    <w:semiHidden/>
    <w:unhideWhenUsed/>
    <w:rsid w:val="003D4C15"/>
    <w:rPr>
      <w:rFonts w:ascii="Tahoma" w:hAnsi="Tahoma" w:cs="Tahoma"/>
      <w:sz w:val="16"/>
      <w:szCs w:val="16"/>
    </w:rPr>
  </w:style>
  <w:style w:type="character" w:customStyle="1" w:styleId="BalloonTextChar">
    <w:name w:val="Balloon Text Char"/>
    <w:basedOn w:val="DefaultParagraphFont"/>
    <w:link w:val="BalloonText"/>
    <w:uiPriority w:val="99"/>
    <w:semiHidden/>
    <w:rsid w:val="003D4C15"/>
    <w:rPr>
      <w:rFonts w:ascii="Tahoma" w:eastAsia="Times New Roman" w:hAnsi="Tahoma" w:cs="Tahoma"/>
      <w:sz w:val="16"/>
      <w:szCs w:val="16"/>
      <w:lang w:eastAsia="lt-LT"/>
    </w:rPr>
  </w:style>
  <w:style w:type="character" w:styleId="FollowedHyperlink">
    <w:name w:val="FollowedHyperlink"/>
    <w:basedOn w:val="DefaultParagraphFont"/>
    <w:uiPriority w:val="99"/>
    <w:semiHidden/>
    <w:unhideWhenUsed/>
    <w:rsid w:val="003D4C15"/>
    <w:rPr>
      <w:color w:val="800080"/>
      <w:u w:val="single"/>
    </w:rPr>
  </w:style>
  <w:style w:type="paragraph" w:styleId="TOC5">
    <w:name w:val="toc 5"/>
    <w:basedOn w:val="Normal"/>
    <w:next w:val="Normal"/>
    <w:autoRedefine/>
    <w:uiPriority w:val="39"/>
    <w:unhideWhenUsed/>
    <w:rsid w:val="003D4C15"/>
    <w:pPr>
      <w:ind w:left="960"/>
    </w:pPr>
    <w:rPr>
      <w:rFonts w:ascii="Calibri" w:hAnsi="Calibri"/>
      <w:sz w:val="18"/>
      <w:szCs w:val="18"/>
    </w:rPr>
  </w:style>
  <w:style w:type="character" w:styleId="Emphasis">
    <w:name w:val="Emphasis"/>
    <w:basedOn w:val="DefaultParagraphFont"/>
    <w:qFormat/>
    <w:rsid w:val="003D4C15"/>
    <w:rPr>
      <w:rFonts w:ascii="Times New Roman" w:hAnsi="Times New Roman"/>
      <w:i/>
      <w:iCs/>
      <w:sz w:val="22"/>
    </w:rPr>
  </w:style>
  <w:style w:type="character" w:customStyle="1" w:styleId="Pagrindinistekstas11">
    <w:name w:val="Pagrindinis tekstas (11)_"/>
    <w:basedOn w:val="DefaultParagraphFont"/>
    <w:link w:val="Pagrindinistekstas110"/>
    <w:rsid w:val="003D4C15"/>
    <w:rPr>
      <w:sz w:val="23"/>
      <w:szCs w:val="23"/>
      <w:shd w:val="clear" w:color="auto" w:fill="FFFFFF"/>
    </w:rPr>
  </w:style>
  <w:style w:type="paragraph" w:customStyle="1" w:styleId="Pagrindinistekstas110">
    <w:name w:val="Pagrindinis tekstas (11)"/>
    <w:basedOn w:val="Normal"/>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CommentText">
    <w:name w:val="annotation text"/>
    <w:basedOn w:val="Normal"/>
    <w:link w:val="CommentTextChar"/>
    <w:uiPriority w:val="99"/>
    <w:unhideWhenUsed/>
    <w:rsid w:val="003D4C15"/>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3D4C15"/>
    <w:rPr>
      <w:rFonts w:ascii="Calibri" w:eastAsia="Calibri" w:hAnsi="Calibri" w:cs="Times New Roman"/>
      <w:sz w:val="20"/>
      <w:szCs w:val="20"/>
    </w:rPr>
  </w:style>
  <w:style w:type="paragraph" w:styleId="BodyTextIndent3">
    <w:name w:val="Body Text Indent 3"/>
    <w:basedOn w:val="Normal"/>
    <w:link w:val="BodyTextIndent3Char"/>
    <w:unhideWhenUsed/>
    <w:rsid w:val="003D4C15"/>
    <w:pPr>
      <w:spacing w:after="120"/>
      <w:ind w:left="283"/>
    </w:pPr>
    <w:rPr>
      <w:sz w:val="16"/>
      <w:szCs w:val="16"/>
    </w:rPr>
  </w:style>
  <w:style w:type="character" w:customStyle="1" w:styleId="BodyTextIndent3Char">
    <w:name w:val="Body Text Indent 3 Char"/>
    <w:basedOn w:val="DefaultParagraphFont"/>
    <w:link w:val="BodyTextIndent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3D4C15"/>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3D4C15"/>
  </w:style>
  <w:style w:type="character" w:customStyle="1" w:styleId="typewriter">
    <w:name w:val="typewriter"/>
    <w:basedOn w:val="DefaultParagraphFont"/>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
    <w:basedOn w:val="Normal"/>
    <w:link w:val="ListParagraphChar"/>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3D4C15"/>
  </w:style>
  <w:style w:type="character" w:customStyle="1" w:styleId="FontStyle61">
    <w:name w:val="Font Style61"/>
    <w:basedOn w:val="DefaultParagraphFont"/>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DefaultParagraphFont"/>
    <w:rsid w:val="003D4C15"/>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3D4C15"/>
    <w:rPr>
      <w:rFonts w:ascii="Times New Roman" w:hAnsi="Times New Roman" w:cs="Times New Roman"/>
      <w:sz w:val="22"/>
      <w:szCs w:val="22"/>
    </w:rPr>
  </w:style>
  <w:style w:type="character" w:customStyle="1" w:styleId="FontStyle26">
    <w:name w:val="Font Style26"/>
    <w:basedOn w:val="DefaultParagraphFont"/>
    <w:rsid w:val="003D4C15"/>
    <w:rPr>
      <w:rFonts w:ascii="Times New Roman" w:hAnsi="Times New Roman" w:cs="Times New Roman"/>
      <w:i/>
      <w:iCs/>
      <w:sz w:val="22"/>
      <w:szCs w:val="22"/>
    </w:rPr>
  </w:style>
  <w:style w:type="character" w:customStyle="1" w:styleId="FontStyle22">
    <w:name w:val="Font Style22"/>
    <w:basedOn w:val="DefaultParagraphFont"/>
    <w:uiPriority w:val="99"/>
    <w:rsid w:val="003D4C15"/>
    <w:rPr>
      <w:rFonts w:ascii="Times New Roman" w:hAnsi="Times New Roman" w:cs="Times New Roman"/>
      <w:i/>
      <w:iCs/>
      <w:sz w:val="20"/>
      <w:szCs w:val="20"/>
    </w:rPr>
  </w:style>
  <w:style w:type="character" w:customStyle="1" w:styleId="FontStyle23">
    <w:name w:val="Font Style23"/>
    <w:basedOn w:val="DefaultParagraphFont"/>
    <w:uiPriority w:val="99"/>
    <w:rsid w:val="003D4C15"/>
    <w:rPr>
      <w:rFonts w:ascii="Times New Roman" w:hAnsi="Times New Roman" w:cs="Times New Roman"/>
      <w:b/>
      <w:bCs/>
      <w:sz w:val="22"/>
      <w:szCs w:val="22"/>
    </w:rPr>
  </w:style>
  <w:style w:type="paragraph" w:customStyle="1" w:styleId="tajtip">
    <w:name w:val="tajtip"/>
    <w:basedOn w:val="Normal"/>
    <w:rsid w:val="003D4C15"/>
    <w:pPr>
      <w:spacing w:before="100" w:beforeAutospacing="1" w:after="100" w:afterAutospacing="1"/>
    </w:pPr>
  </w:style>
  <w:style w:type="character" w:styleId="Strong">
    <w:name w:val="Strong"/>
    <w:uiPriority w:val="22"/>
    <w:qFormat/>
    <w:rsid w:val="003D4C15"/>
    <w:rPr>
      <w:b/>
      <w:bCs/>
    </w:rPr>
  </w:style>
  <w:style w:type="character" w:customStyle="1" w:styleId="dnr">
    <w:name w:val="dnr"/>
    <w:basedOn w:val="DefaultParagraphFont"/>
    <w:rsid w:val="003D4C15"/>
  </w:style>
  <w:style w:type="character" w:customStyle="1" w:styleId="apple-style-span">
    <w:name w:val="apple-style-span"/>
    <w:basedOn w:val="DefaultParagraphFont"/>
    <w:rsid w:val="003D4C15"/>
  </w:style>
  <w:style w:type="paragraph" w:customStyle="1" w:styleId="bodytext0">
    <w:name w:val="bodytext"/>
    <w:basedOn w:val="Normal"/>
    <w:uiPriority w:val="99"/>
    <w:rsid w:val="003D4C15"/>
    <w:pPr>
      <w:spacing w:before="100" w:beforeAutospacing="1" w:after="100" w:afterAutospacing="1"/>
    </w:pPr>
  </w:style>
  <w:style w:type="character" w:customStyle="1" w:styleId="quatationtext">
    <w:name w:val="quatation_text"/>
    <w:basedOn w:val="DefaultParagraphFont"/>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3D4C15"/>
    <w:rPr>
      <w:rFonts w:ascii="Times New Roman" w:hAnsi="Times New Roman" w:cs="Times New Roman"/>
      <w:sz w:val="20"/>
      <w:szCs w:val="20"/>
    </w:rPr>
  </w:style>
  <w:style w:type="character" w:customStyle="1" w:styleId="FontStyle11">
    <w:name w:val="Font Style11"/>
    <w:basedOn w:val="DefaultParagraphFont"/>
    <w:rsid w:val="003D4C15"/>
    <w:rPr>
      <w:rFonts w:ascii="Times New Roman" w:hAnsi="Times New Roman" w:cs="Times New Roman"/>
      <w:sz w:val="22"/>
      <w:szCs w:val="22"/>
    </w:rPr>
  </w:style>
  <w:style w:type="paragraph" w:customStyle="1" w:styleId="ListParagraph1">
    <w:name w:val="List Paragraph1"/>
    <w:basedOn w:val="Normal"/>
    <w:rsid w:val="003D4C15"/>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3D4C15"/>
    <w:rPr>
      <w:rFonts w:ascii="Times New Roman" w:hAnsi="Times New Roman" w:cs="Times New Roman"/>
      <w:b/>
      <w:bCs/>
      <w:sz w:val="20"/>
      <w:szCs w:val="20"/>
    </w:rPr>
  </w:style>
  <w:style w:type="character" w:customStyle="1" w:styleId="CharChar10">
    <w:name w:val="Char Char10"/>
    <w:basedOn w:val="DefaultParagraphFont"/>
    <w:rsid w:val="003D4C15"/>
    <w:rPr>
      <w:sz w:val="28"/>
      <w:lang w:eastAsia="en-US"/>
    </w:rPr>
  </w:style>
  <w:style w:type="character" w:customStyle="1" w:styleId="FontStyle12">
    <w:name w:val="Font Style12"/>
    <w:basedOn w:val="DefaultParagraphFont"/>
    <w:rsid w:val="003D4C15"/>
    <w:rPr>
      <w:rFonts w:ascii="Times New Roman" w:hAnsi="Times New Roman" w:cs="Times New Roman"/>
      <w:i/>
      <w:iCs/>
      <w:sz w:val="22"/>
      <w:szCs w:val="22"/>
    </w:rPr>
  </w:style>
  <w:style w:type="character" w:customStyle="1" w:styleId="FontStyle14">
    <w:name w:val="Font Style14"/>
    <w:basedOn w:val="DefaultParagraphFont"/>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3D4C15"/>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3D4C15"/>
    <w:pPr>
      <w:ind w:left="1200"/>
    </w:pPr>
    <w:rPr>
      <w:rFonts w:ascii="Calibri" w:hAnsi="Calibri"/>
      <w:sz w:val="18"/>
      <w:szCs w:val="18"/>
    </w:rPr>
  </w:style>
  <w:style w:type="paragraph" w:styleId="TOC7">
    <w:name w:val="toc 7"/>
    <w:basedOn w:val="Normal"/>
    <w:next w:val="Normal"/>
    <w:autoRedefine/>
    <w:uiPriority w:val="39"/>
    <w:unhideWhenUsed/>
    <w:rsid w:val="003D4C15"/>
    <w:pPr>
      <w:ind w:left="1440"/>
    </w:pPr>
    <w:rPr>
      <w:rFonts w:ascii="Calibri" w:hAnsi="Calibri"/>
      <w:sz w:val="18"/>
      <w:szCs w:val="18"/>
    </w:rPr>
  </w:style>
  <w:style w:type="paragraph" w:styleId="TOC8">
    <w:name w:val="toc 8"/>
    <w:basedOn w:val="Normal"/>
    <w:next w:val="Normal"/>
    <w:autoRedefine/>
    <w:uiPriority w:val="39"/>
    <w:unhideWhenUsed/>
    <w:rsid w:val="003D4C15"/>
    <w:pPr>
      <w:ind w:left="1680"/>
    </w:pPr>
    <w:rPr>
      <w:rFonts w:ascii="Calibri" w:hAnsi="Calibri"/>
      <w:sz w:val="18"/>
      <w:szCs w:val="18"/>
    </w:rPr>
  </w:style>
  <w:style w:type="paragraph" w:styleId="TOC9">
    <w:name w:val="toc 9"/>
    <w:basedOn w:val="Normal"/>
    <w:next w:val="Normal"/>
    <w:autoRedefine/>
    <w:uiPriority w:val="39"/>
    <w:unhideWhenUsed/>
    <w:rsid w:val="003D4C15"/>
    <w:pPr>
      <w:ind w:left="1920"/>
    </w:pPr>
    <w:rPr>
      <w:rFonts w:ascii="Calibri" w:hAnsi="Calibri"/>
      <w:sz w:val="18"/>
      <w:szCs w:val="18"/>
    </w:rPr>
  </w:style>
  <w:style w:type="character" w:customStyle="1" w:styleId="FontStyle54">
    <w:name w:val="Font Style54"/>
    <w:basedOn w:val="DefaultParagraphFont"/>
    <w:uiPriority w:val="99"/>
    <w:rsid w:val="003D4C15"/>
    <w:rPr>
      <w:rFonts w:ascii="Courier New" w:hAnsi="Courier New" w:cs="Courier New"/>
      <w:sz w:val="22"/>
      <w:szCs w:val="22"/>
    </w:rPr>
  </w:style>
  <w:style w:type="character" w:customStyle="1" w:styleId="Pagrindinistekstas24">
    <w:name w:val="Pagrindinis tekstas (2)4"/>
    <w:basedOn w:val="DefaultParagraphFont"/>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DefaultParagraphFont"/>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DefaultParagraphFont"/>
    <w:rsid w:val="003D4C15"/>
    <w:rPr>
      <w:rFonts w:ascii="Arial Narrow" w:hAnsi="Arial Narrow" w:cs="Arial Narrow"/>
      <w:i/>
      <w:iCs/>
      <w:sz w:val="18"/>
      <w:szCs w:val="18"/>
    </w:rPr>
  </w:style>
  <w:style w:type="character" w:customStyle="1" w:styleId="FontStyle49">
    <w:name w:val="Font Style49"/>
    <w:basedOn w:val="DefaultParagraphFont"/>
    <w:rsid w:val="003D4C15"/>
    <w:rPr>
      <w:rFonts w:ascii="Times New Roman" w:hAnsi="Times New Roman" w:cs="Times New Roman"/>
      <w:sz w:val="20"/>
      <w:szCs w:val="20"/>
    </w:rPr>
  </w:style>
  <w:style w:type="paragraph" w:styleId="Subtitle">
    <w:name w:val="Subtitle"/>
    <w:basedOn w:val="Normal"/>
    <w:next w:val="Normal"/>
    <w:link w:val="SubtitleChar"/>
    <w:uiPriority w:val="11"/>
    <w:qFormat/>
    <w:rsid w:val="003D4C15"/>
    <w:pPr>
      <w:spacing w:after="60"/>
      <w:jc w:val="center"/>
      <w:outlineLvl w:val="1"/>
    </w:pPr>
    <w:rPr>
      <w:rFonts w:ascii="Cambria" w:hAnsi="Cambria"/>
    </w:rPr>
  </w:style>
  <w:style w:type="character" w:customStyle="1" w:styleId="SubtitleChar">
    <w:name w:val="Subtitle Char"/>
    <w:basedOn w:val="DefaultParagraphFont"/>
    <w:link w:val="Subtitle"/>
    <w:uiPriority w:val="11"/>
    <w:rsid w:val="003D4C15"/>
    <w:rPr>
      <w:rFonts w:ascii="Cambria" w:eastAsia="Times New Roman" w:hAnsi="Cambria" w:cs="Times New Roman"/>
      <w:sz w:val="24"/>
      <w:szCs w:val="24"/>
      <w:lang w:eastAsia="lt-LT"/>
    </w:rPr>
  </w:style>
  <w:style w:type="paragraph" w:styleId="Index1">
    <w:name w:val="index 1"/>
    <w:basedOn w:val="Normal"/>
    <w:next w:val="Normal"/>
    <w:autoRedefine/>
    <w:uiPriority w:val="99"/>
    <w:semiHidden/>
    <w:unhideWhenUsed/>
    <w:rsid w:val="003D4C15"/>
    <w:pPr>
      <w:ind w:left="240" w:hanging="240"/>
    </w:pPr>
  </w:style>
  <w:style w:type="character" w:customStyle="1" w:styleId="normal-h">
    <w:name w:val="normal-h"/>
    <w:basedOn w:val="DefaultParagraphFont"/>
    <w:rsid w:val="003D4C15"/>
  </w:style>
  <w:style w:type="paragraph" w:customStyle="1" w:styleId="Sraopastraipa1">
    <w:name w:val="Sąrašo pastraipa1"/>
    <w:basedOn w:val="Normal"/>
    <w:rsid w:val="003D4C15"/>
    <w:pPr>
      <w:ind w:left="720"/>
    </w:pPr>
    <w:rPr>
      <w:rFonts w:eastAsia="Calibri"/>
      <w:sz w:val="20"/>
      <w:szCs w:val="20"/>
      <w:lang w:eastAsia="en-US"/>
    </w:rPr>
  </w:style>
  <w:style w:type="paragraph" w:customStyle="1" w:styleId="tactin">
    <w:name w:val="tactin"/>
    <w:basedOn w:val="Normal"/>
    <w:rsid w:val="003D4C15"/>
    <w:pPr>
      <w:spacing w:before="100" w:beforeAutospacing="1" w:after="100" w:afterAutospacing="1"/>
    </w:pPr>
  </w:style>
  <w:style w:type="character" w:customStyle="1" w:styleId="Pagrindinistekstas7">
    <w:name w:val="Pagrindinis tekstas (7)_"/>
    <w:basedOn w:val="DefaultParagraphFont"/>
    <w:link w:val="Pagrindinistekstas71"/>
    <w:rsid w:val="003D4C15"/>
    <w:rPr>
      <w:shd w:val="clear" w:color="auto" w:fill="FFFFFF"/>
    </w:rPr>
  </w:style>
  <w:style w:type="paragraph" w:customStyle="1" w:styleId="Pagrindinistekstas71">
    <w:name w:val="Pagrindinis tekstas (7)1"/>
    <w:basedOn w:val="Normal"/>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DefaultParagraphFont"/>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DefaultParagraphFont"/>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
    <w:name w:val="Pagrindinis tekstas_"/>
    <w:basedOn w:val="DefaultParagraphFont"/>
    <w:link w:val="Pagrindinistekstas1"/>
    <w:locked/>
    <w:rsid w:val="003D4C15"/>
    <w:rPr>
      <w:spacing w:val="4"/>
      <w:sz w:val="21"/>
      <w:szCs w:val="21"/>
      <w:shd w:val="clear" w:color="auto" w:fill="FFFFFF"/>
    </w:rPr>
  </w:style>
  <w:style w:type="paragraph" w:customStyle="1" w:styleId="Pagrindinistekstas1">
    <w:name w:val="Pagrindinis tekstas1"/>
    <w:basedOn w:val="Normal"/>
    <w:link w:val="Pagrindinistekstas"/>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DefaultParagraphFont"/>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basedOn w:val="DefaultParagraphFont"/>
    <w:uiPriority w:val="99"/>
    <w:semiHidden/>
    <w:unhideWhenUsed/>
    <w:rsid w:val="003D4C15"/>
    <w:rPr>
      <w:sz w:val="16"/>
      <w:szCs w:val="16"/>
    </w:rPr>
  </w:style>
  <w:style w:type="paragraph" w:customStyle="1" w:styleId="Sraopastraipa2">
    <w:name w:val="Sąrašo pastraipa2"/>
    <w:basedOn w:val="Normal"/>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Normal"/>
    <w:rsid w:val="003D4C15"/>
    <w:pPr>
      <w:spacing w:before="100" w:beforeAutospacing="1" w:after="100" w:afterAutospacing="1"/>
    </w:pPr>
  </w:style>
  <w:style w:type="character" w:customStyle="1" w:styleId="clear">
    <w:name w:val="clear"/>
    <w:basedOn w:val="DefaultParagraphFont"/>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SubtleEmphasis">
    <w:name w:val="Subtle Emphasis"/>
    <w:basedOn w:val="DefaultParagraphFont"/>
    <w:uiPriority w:val="19"/>
    <w:qFormat/>
    <w:rsid w:val="003D4C15"/>
    <w:rPr>
      <w:i/>
      <w:iCs/>
      <w:color w:val="808080" w:themeColor="text1" w:themeTint="7F"/>
    </w:rPr>
  </w:style>
  <w:style w:type="paragraph" w:customStyle="1" w:styleId="Apzvalgai1">
    <w:name w:val="Apzvalgai1"/>
    <w:basedOn w:val="Heading1"/>
    <w:link w:val="Apzvalgai1Char"/>
    <w:qFormat/>
    <w:rsid w:val="003D4C15"/>
  </w:style>
  <w:style w:type="paragraph" w:customStyle="1" w:styleId="ApzvalgaiItalikas">
    <w:name w:val="Apzvalgai_Italikas"/>
    <w:basedOn w:val="Heading2"/>
    <w:link w:val="ApzvalgaiItalikasChar"/>
    <w:rsid w:val="003D4C15"/>
  </w:style>
  <w:style w:type="character" w:customStyle="1" w:styleId="Apzvalgai1Char">
    <w:name w:val="Apzvalgai1 Char"/>
    <w:basedOn w:val="Heading1Char2"/>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Heading2Char"/>
    <w:link w:val="ApzvalgaiItalikas"/>
    <w:rsid w:val="003D4C15"/>
    <w:rPr>
      <w:rFonts w:ascii="Calibri" w:eastAsia="Arial Unicode MS" w:hAnsi="Calibri" w:cs="Times New Roman"/>
      <w:bCs/>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DefaultParagraphFont"/>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NormalWebChar">
    <w:name w:val="Normal (Web) Char"/>
    <w:link w:val="NormalWeb"/>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CommentSubject">
    <w:name w:val="annotation subject"/>
    <w:basedOn w:val="CommentText"/>
    <w:next w:val="CommentText"/>
    <w:link w:val="CommentSubjectChar"/>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Normal"/>
    <w:rsid w:val="003D4C15"/>
    <w:pPr>
      <w:spacing w:before="100" w:beforeAutospacing="1" w:after="100" w:afterAutospacing="1"/>
    </w:pPr>
  </w:style>
  <w:style w:type="character" w:customStyle="1" w:styleId="FontStyle19">
    <w:name w:val="Font Style19"/>
    <w:basedOn w:val="DefaultParagraphFont"/>
    <w:rsid w:val="003D4C15"/>
    <w:rPr>
      <w:rFonts w:ascii="Times New Roman" w:hAnsi="Times New Roman" w:cs="Times New Roman"/>
      <w:sz w:val="20"/>
      <w:szCs w:val="20"/>
    </w:rPr>
  </w:style>
  <w:style w:type="character" w:customStyle="1" w:styleId="FontStyle20">
    <w:name w:val="Font Style20"/>
    <w:basedOn w:val="DefaultParagraphFont"/>
    <w:rsid w:val="003D4C15"/>
    <w:rPr>
      <w:rFonts w:ascii="Times New Roman" w:hAnsi="Times New Roman" w:cs="Times New Roman"/>
      <w:sz w:val="22"/>
      <w:szCs w:val="22"/>
    </w:rPr>
  </w:style>
  <w:style w:type="character" w:customStyle="1" w:styleId="sfbbfee58">
    <w:name w:val="sfbbfee58"/>
    <w:basedOn w:val="DefaultParagraphFont"/>
    <w:rsid w:val="003D4C15"/>
  </w:style>
  <w:style w:type="paragraph" w:customStyle="1" w:styleId="Style3">
    <w:name w:val="Style3"/>
    <w:basedOn w:val="Normal"/>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Normal"/>
    <w:rsid w:val="00F24296"/>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C73BF"/>
    <w:rPr>
      <w:color w:val="808080"/>
      <w:shd w:val="clear" w:color="auto" w:fill="E6E6E6"/>
    </w:rPr>
  </w:style>
  <w:style w:type="paragraph" w:customStyle="1" w:styleId="Style9">
    <w:name w:val="Style9"/>
    <w:basedOn w:val="Normal"/>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715AA9"/>
    <w:rPr>
      <w:color w:val="808080"/>
      <w:shd w:val="clear" w:color="auto" w:fill="E6E6E6"/>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link w:val="ListParagraph"/>
    <w:uiPriority w:val="99"/>
    <w:locked/>
    <w:rsid w:val="00B42228"/>
    <w:rPr>
      <w:rFonts w:ascii="Times New Roman" w:eastAsia="Calibri" w:hAnsi="Times New Roman" w:cs="Times New Roman"/>
      <w:sz w:val="24"/>
    </w:rPr>
  </w:style>
  <w:style w:type="character" w:customStyle="1" w:styleId="Bodytext2">
    <w:name w:val="Body text (2)"/>
    <w:basedOn w:val="DefaultParagraphFont"/>
    <w:uiPriority w:val="99"/>
    <w:rsid w:val="00B42228"/>
    <w:rPr>
      <w:rFonts w:ascii="Times New Roman" w:hAnsi="Times New Roman" w:cs="Times New Roman" w:hint="default"/>
      <w:shd w:val="clear" w:color="auto" w:fill="FFFFFF"/>
    </w:rPr>
  </w:style>
  <w:style w:type="character" w:customStyle="1" w:styleId="Bodytext2Bold">
    <w:name w:val="Body text (2) + Bold"/>
    <w:basedOn w:val="DefaultParagraphFont"/>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DefaultParagraphFont"/>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DefaultParagraphFont"/>
    <w:rsid w:val="00DB1089"/>
  </w:style>
  <w:style w:type="numbering" w:customStyle="1" w:styleId="WWNum17">
    <w:name w:val="WWNum17"/>
    <w:basedOn w:val="NoList"/>
    <w:rsid w:val="00685897"/>
    <w:pPr>
      <w:numPr>
        <w:numId w:val="1"/>
      </w:numPr>
    </w:pPr>
  </w:style>
  <w:style w:type="character" w:customStyle="1" w:styleId="UnresolvedMention2">
    <w:name w:val="Unresolved Mention2"/>
    <w:basedOn w:val="DefaultParagraphFont"/>
    <w:uiPriority w:val="99"/>
    <w:semiHidden/>
    <w:unhideWhenUsed/>
    <w:rsid w:val="005E6140"/>
    <w:rPr>
      <w:color w:val="605E5C"/>
      <w:shd w:val="clear" w:color="auto" w:fill="E1DFDD"/>
    </w:rPr>
  </w:style>
  <w:style w:type="paragraph" w:customStyle="1" w:styleId="list-paragraph">
    <w:name w:val="list-paragraph"/>
    <w:basedOn w:val="Normal"/>
    <w:rsid w:val="00BE611E"/>
    <w:pPr>
      <w:spacing w:before="100" w:beforeAutospacing="1" w:after="100" w:afterAutospacing="1"/>
    </w:pPr>
    <w:rPr>
      <w:rFonts w:eastAsiaTheme="minorEastAsia"/>
    </w:rPr>
  </w:style>
  <w:style w:type="character" w:customStyle="1" w:styleId="UnresolvedMention3">
    <w:name w:val="Unresolved Mention3"/>
    <w:basedOn w:val="DefaultParagraphFont"/>
    <w:uiPriority w:val="99"/>
    <w:semiHidden/>
    <w:unhideWhenUsed/>
    <w:rsid w:val="00B234F5"/>
    <w:rPr>
      <w:color w:val="605E5C"/>
      <w:shd w:val="clear" w:color="auto" w:fill="E1DFDD"/>
    </w:rPr>
  </w:style>
  <w:style w:type="character" w:customStyle="1" w:styleId="UnresolvedMention4">
    <w:name w:val="Unresolved Mention4"/>
    <w:basedOn w:val="DefaultParagraphFont"/>
    <w:uiPriority w:val="99"/>
    <w:semiHidden/>
    <w:unhideWhenUsed/>
    <w:rsid w:val="008D7C97"/>
    <w:rPr>
      <w:color w:val="605E5C"/>
      <w:shd w:val="clear" w:color="auto" w:fill="E1DFDD"/>
    </w:rPr>
  </w:style>
  <w:style w:type="character" w:customStyle="1" w:styleId="UnresolvedMention5">
    <w:name w:val="Unresolved Mention5"/>
    <w:basedOn w:val="DefaultParagraphFont"/>
    <w:uiPriority w:val="99"/>
    <w:semiHidden/>
    <w:unhideWhenUsed/>
    <w:rsid w:val="00983365"/>
    <w:rPr>
      <w:color w:val="605E5C"/>
      <w:shd w:val="clear" w:color="auto" w:fill="E1DFDD"/>
    </w:rPr>
  </w:style>
  <w:style w:type="character" w:customStyle="1" w:styleId="UnresolvedMention6">
    <w:name w:val="Unresolved Mention6"/>
    <w:basedOn w:val="DefaultParagraphFont"/>
    <w:uiPriority w:val="99"/>
    <w:semiHidden/>
    <w:unhideWhenUsed/>
    <w:rsid w:val="00B07866"/>
    <w:rPr>
      <w:color w:val="605E5C"/>
      <w:shd w:val="clear" w:color="auto" w:fill="E1DFDD"/>
    </w:rPr>
  </w:style>
  <w:style w:type="character" w:customStyle="1" w:styleId="UnresolvedMention7">
    <w:name w:val="Unresolved Mention7"/>
    <w:basedOn w:val="DefaultParagraphFont"/>
    <w:uiPriority w:val="99"/>
    <w:semiHidden/>
    <w:unhideWhenUsed/>
    <w:rsid w:val="00AF1D2A"/>
    <w:rPr>
      <w:color w:val="605E5C"/>
      <w:shd w:val="clear" w:color="auto" w:fill="E1DFDD"/>
    </w:rPr>
  </w:style>
  <w:style w:type="character" w:customStyle="1" w:styleId="UnresolvedMention8">
    <w:name w:val="Unresolved Mention8"/>
    <w:basedOn w:val="DefaultParagraphFont"/>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DefaultParagraphFont"/>
    <w:uiPriority w:val="99"/>
    <w:semiHidden/>
    <w:unhideWhenUsed/>
    <w:rsid w:val="00C40C55"/>
    <w:rPr>
      <w:color w:val="605E5C"/>
      <w:shd w:val="clear" w:color="auto" w:fill="E1DFDD"/>
    </w:rPr>
  </w:style>
  <w:style w:type="character" w:customStyle="1" w:styleId="UnresolvedMention10">
    <w:name w:val="Unresolved Mention10"/>
    <w:basedOn w:val="DefaultParagraphFont"/>
    <w:uiPriority w:val="99"/>
    <w:semiHidden/>
    <w:unhideWhenUsed/>
    <w:rsid w:val="003060ED"/>
    <w:rPr>
      <w:color w:val="605E5C"/>
      <w:shd w:val="clear" w:color="auto" w:fill="E1DFDD"/>
    </w:rPr>
  </w:style>
  <w:style w:type="character" w:customStyle="1" w:styleId="UnresolvedMention11">
    <w:name w:val="Unresolved Mention11"/>
    <w:basedOn w:val="DefaultParagraphFont"/>
    <w:uiPriority w:val="99"/>
    <w:semiHidden/>
    <w:unhideWhenUsed/>
    <w:rsid w:val="00DE4C4E"/>
    <w:rPr>
      <w:color w:val="605E5C"/>
      <w:shd w:val="clear" w:color="auto" w:fill="E1DFDD"/>
    </w:rPr>
  </w:style>
  <w:style w:type="character" w:customStyle="1" w:styleId="UnresolvedMention12">
    <w:name w:val="Unresolved Mention12"/>
    <w:basedOn w:val="DefaultParagraphFont"/>
    <w:uiPriority w:val="99"/>
    <w:semiHidden/>
    <w:unhideWhenUsed/>
    <w:rsid w:val="00F6362D"/>
    <w:rPr>
      <w:color w:val="605E5C"/>
      <w:shd w:val="clear" w:color="auto" w:fill="E1DFDD"/>
    </w:rPr>
  </w:style>
  <w:style w:type="character" w:customStyle="1" w:styleId="UnresolvedMention13">
    <w:name w:val="Unresolved Mention13"/>
    <w:basedOn w:val="DefaultParagraphFont"/>
    <w:uiPriority w:val="99"/>
    <w:semiHidden/>
    <w:unhideWhenUsed/>
    <w:rsid w:val="00DE7BE8"/>
    <w:rPr>
      <w:color w:val="605E5C"/>
      <w:shd w:val="clear" w:color="auto" w:fill="E1DFDD"/>
    </w:rPr>
  </w:style>
  <w:style w:type="paragraph" w:customStyle="1" w:styleId="s30eec3f8">
    <w:name w:val="s30eec3f8"/>
    <w:basedOn w:val="Normal"/>
    <w:rsid w:val="00DE2BCD"/>
    <w:pPr>
      <w:spacing w:before="100" w:beforeAutospacing="1" w:after="100" w:afterAutospacing="1"/>
    </w:pPr>
    <w:rPr>
      <w:lang w:val="en-US" w:eastAsia="en-US"/>
    </w:rPr>
  </w:style>
  <w:style w:type="character" w:customStyle="1" w:styleId="sb8d990e2">
    <w:name w:val="sb8d990e2"/>
    <w:basedOn w:val="DefaultParagraphFont"/>
    <w:rsid w:val="00DE2BCD"/>
  </w:style>
  <w:style w:type="character" w:customStyle="1" w:styleId="UnresolvedMention14">
    <w:name w:val="Unresolved Mention14"/>
    <w:basedOn w:val="DefaultParagraphFont"/>
    <w:uiPriority w:val="99"/>
    <w:semiHidden/>
    <w:unhideWhenUsed/>
    <w:rsid w:val="006B247E"/>
    <w:rPr>
      <w:color w:val="605E5C"/>
      <w:shd w:val="clear" w:color="auto" w:fill="E1DFDD"/>
    </w:rPr>
  </w:style>
  <w:style w:type="character" w:customStyle="1" w:styleId="UnresolvedMention15">
    <w:name w:val="Unresolved Mention15"/>
    <w:basedOn w:val="DefaultParagraphFont"/>
    <w:uiPriority w:val="99"/>
    <w:semiHidden/>
    <w:unhideWhenUsed/>
    <w:rsid w:val="00AF5451"/>
    <w:rPr>
      <w:color w:val="605E5C"/>
      <w:shd w:val="clear" w:color="auto" w:fill="E1DFDD"/>
    </w:rPr>
  </w:style>
  <w:style w:type="character" w:customStyle="1" w:styleId="UnresolvedMention16">
    <w:name w:val="Unresolved Mention16"/>
    <w:basedOn w:val="DefaultParagraphFont"/>
    <w:uiPriority w:val="99"/>
    <w:semiHidden/>
    <w:unhideWhenUsed/>
    <w:rsid w:val="00071C23"/>
    <w:rPr>
      <w:color w:val="605E5C"/>
      <w:shd w:val="clear" w:color="auto" w:fill="E1DFDD"/>
    </w:rPr>
  </w:style>
  <w:style w:type="character" w:customStyle="1" w:styleId="UnresolvedMention17">
    <w:name w:val="Unresolved Mention17"/>
    <w:basedOn w:val="DefaultParagraphFont"/>
    <w:uiPriority w:val="99"/>
    <w:semiHidden/>
    <w:unhideWhenUsed/>
    <w:rsid w:val="00AF53E8"/>
    <w:rPr>
      <w:color w:val="605E5C"/>
      <w:shd w:val="clear" w:color="auto" w:fill="E1DFDD"/>
    </w:rPr>
  </w:style>
  <w:style w:type="character" w:customStyle="1" w:styleId="UnresolvedMention18">
    <w:name w:val="Unresolved Mention18"/>
    <w:basedOn w:val="DefaultParagraphFont"/>
    <w:uiPriority w:val="99"/>
    <w:semiHidden/>
    <w:unhideWhenUsed/>
    <w:rsid w:val="00EB60DF"/>
    <w:rPr>
      <w:color w:val="605E5C"/>
      <w:shd w:val="clear" w:color="auto" w:fill="E1DFDD"/>
    </w:rPr>
  </w:style>
  <w:style w:type="character" w:customStyle="1" w:styleId="Neapdorotaspaminjimas4">
    <w:name w:val="Neapdorotas paminėjimas4"/>
    <w:basedOn w:val="DefaultParagraphFont"/>
    <w:uiPriority w:val="99"/>
    <w:semiHidden/>
    <w:unhideWhenUsed/>
    <w:rsid w:val="00623D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tar.lt/portal/lt/legalAct/6471f0b012ed11ebb74de75171d26d52" TargetMode="External"/><Relationship Id="rId18" Type="http://schemas.openxmlformats.org/officeDocument/2006/relationships/hyperlink" Target="https://www.e-tar.lt/portal/lt/legalAct/c6cea86013b611ebb0038a8cd8ff585f" TargetMode="External"/><Relationship Id="rId26" Type="http://schemas.openxmlformats.org/officeDocument/2006/relationships/hyperlink" Target="http://www.infolex.lt/ta/34709" TargetMode="External"/><Relationship Id="rId39" Type="http://schemas.openxmlformats.org/officeDocument/2006/relationships/hyperlink" Target="https://www.e-tar.lt/portal/lt/legalAct/bdca0e70147f11ebb0038a8cd8ff585f" TargetMode="External"/><Relationship Id="rId21" Type="http://schemas.openxmlformats.org/officeDocument/2006/relationships/hyperlink" Target="https://www.e-tar.lt/portal/lt/legalAct/c9c8b5c017ac11ebb0038a8cd8ff585f" TargetMode="External"/><Relationship Id="rId34" Type="http://schemas.openxmlformats.org/officeDocument/2006/relationships/hyperlink" Target="http://www.infolex.lt/tp/1934242" TargetMode="External"/><Relationship Id="rId42" Type="http://schemas.openxmlformats.org/officeDocument/2006/relationships/hyperlink" Target="http://www.infolex.lt/ta/23225" TargetMode="External"/><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e-tar.lt/portal/lt/legalAct/e15acc5017ac11ebb0038a8cd8ff585f" TargetMode="External"/><Relationship Id="rId29" Type="http://schemas.openxmlformats.org/officeDocument/2006/relationships/hyperlink" Target="http://www.infolex.lt/ta/23225" TargetMode="External"/><Relationship Id="rId11" Type="http://schemas.openxmlformats.org/officeDocument/2006/relationships/hyperlink" Target="https://www.e-tar.lt/portal/lt/legalAct/8b75fb400e3611ebb74de75171d26d52" TargetMode="External"/><Relationship Id="rId24" Type="http://schemas.openxmlformats.org/officeDocument/2006/relationships/hyperlink" Target="https://www.e-tar.lt/portal/lt/legalAct/83111160193f11ebb0038a8cd8ff585f" TargetMode="External"/><Relationship Id="rId32" Type="http://schemas.openxmlformats.org/officeDocument/2006/relationships/hyperlink" Target="http://www.infolex.lt/ta/103597" TargetMode="External"/><Relationship Id="rId37" Type="http://schemas.openxmlformats.org/officeDocument/2006/relationships/hyperlink" Target="http://www.infolex.lt/tp/1934242" TargetMode="External"/><Relationship Id="rId40" Type="http://schemas.openxmlformats.org/officeDocument/2006/relationships/hyperlink" Target="http://www.infolex.lt/ta/23225" TargetMode="External"/><Relationship Id="rId45"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www.e-tar.lt/portal/lt/legalAct/a7d97db00eff11ebb74de75171d26d52" TargetMode="External"/><Relationship Id="rId23" Type="http://schemas.openxmlformats.org/officeDocument/2006/relationships/hyperlink" Target="https://www.e-tar.lt/portal/lt/legalAct/28cca030300911eb932eb1ed7f923910" TargetMode="External"/><Relationship Id="rId28" Type="http://schemas.openxmlformats.org/officeDocument/2006/relationships/hyperlink" Target="http://www.infolex.lt/ta/74651" TargetMode="External"/><Relationship Id="rId36" Type="http://schemas.openxmlformats.org/officeDocument/2006/relationships/hyperlink" Target="http://www.infolex.lt/ta/541479" TargetMode="External"/><Relationship Id="rId49" Type="http://schemas.openxmlformats.org/officeDocument/2006/relationships/footer" Target="footer3.xml"/><Relationship Id="rId10" Type="http://schemas.openxmlformats.org/officeDocument/2006/relationships/hyperlink" Target="https://www.e-tar.lt/portal/lt/legalAct/23c9bdb0193f11ebb0038a8cd8ff585f" TargetMode="External"/><Relationship Id="rId19" Type="http://schemas.openxmlformats.org/officeDocument/2006/relationships/hyperlink" Target="https://www.e-tar.lt/portal/lt/legalAct/c893d80013b611ebb0038a8cd8ff585f" TargetMode="External"/><Relationship Id="rId31" Type="http://schemas.openxmlformats.org/officeDocument/2006/relationships/hyperlink" Target="http://www.infolex.lt/ta/100228" TargetMode="External"/><Relationship Id="rId44"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e-tar.lt/portal/lt/legalAct/6b1a60f01ad111ebb0038a8cd8ff585f" TargetMode="External"/><Relationship Id="rId22" Type="http://schemas.openxmlformats.org/officeDocument/2006/relationships/hyperlink" Target="https://www.e-tar.lt/portal/lt/legalAct/9d74f7f00eff11ebb74de75171d26d52" TargetMode="External"/><Relationship Id="rId27" Type="http://schemas.openxmlformats.org/officeDocument/2006/relationships/hyperlink" Target="http://www.infolex.lt/tp/1938232" TargetMode="External"/><Relationship Id="rId30" Type="http://schemas.openxmlformats.org/officeDocument/2006/relationships/hyperlink" Target="https://www.e-tar.lt/portal/lt/legalAct/4a68efb01ebf11ebb0038a8cd8ff585f" TargetMode="External"/><Relationship Id="rId35" Type="http://schemas.openxmlformats.org/officeDocument/2006/relationships/hyperlink" Target="http://www.infolex.lt/ta/23225" TargetMode="External"/><Relationship Id="rId43" Type="http://schemas.openxmlformats.org/officeDocument/2006/relationships/hyperlink" Target="https://www.e-tar.lt/portal/lt/legalAct/a3dd05901ebf11ebb0038a8cd8ff585f" TargetMode="External"/><Relationship Id="rId48" Type="http://schemas.openxmlformats.org/officeDocument/2006/relationships/header" Target="header3.xml"/><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e-tar.lt/portal/lt/legalAct/bf623aa0147f11ebb0038a8cd8ff585f" TargetMode="External"/><Relationship Id="rId17" Type="http://schemas.openxmlformats.org/officeDocument/2006/relationships/hyperlink" Target="https://www.e-tar.lt/portal/lt/legalAct/89e60c700e3611ebb74de75171d26d52" TargetMode="External"/><Relationship Id="rId25" Type="http://schemas.openxmlformats.org/officeDocument/2006/relationships/hyperlink" Target="http://www.infolex.lt/ta/74651" TargetMode="External"/><Relationship Id="rId33" Type="http://schemas.openxmlformats.org/officeDocument/2006/relationships/hyperlink" Target="http://www.infolex.lt/ta/541479" TargetMode="External"/><Relationship Id="rId38" Type="http://schemas.openxmlformats.org/officeDocument/2006/relationships/hyperlink" Target="http://www.infolex.lt/tp/1912857" TargetMode="External"/><Relationship Id="rId46" Type="http://schemas.openxmlformats.org/officeDocument/2006/relationships/footer" Target="footer1.xml"/><Relationship Id="rId20" Type="http://schemas.openxmlformats.org/officeDocument/2006/relationships/hyperlink" Target="https://www.e-tar.lt/portal/lt/legalAct/96c2fcc01ebf11ebb0038a8cd8ff585f" TargetMode="External"/><Relationship Id="rId41" Type="http://schemas.openxmlformats.org/officeDocument/2006/relationships/hyperlink" Target="http://www.infolex.lt/tp/1938226"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9CB11E-BC78-4DAE-A08E-0B1B4B8B6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70673</Words>
  <Characters>40285</Characters>
  <Application>Microsoft Office Word</Application>
  <DocSecurity>4</DocSecurity>
  <Lines>335</Lines>
  <Paragraphs>221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110737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2020-12-22T12:31:00Z</dcterms:created>
  <dcterms:modified xsi:type="dcterms:W3CDTF">2020-12-22T12:31:00Z</dcterms:modified>
</cp:coreProperties>
</file>