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DF5DB" w14:textId="77777777" w:rsidR="003D4C15" w:rsidRPr="0014011D" w:rsidRDefault="003D4C15" w:rsidP="007A35C3">
      <w:pPr>
        <w:pStyle w:val="Betarp"/>
        <w:spacing w:after="240"/>
        <w:jc w:val="both"/>
        <w:rPr>
          <w:rFonts w:asciiTheme="minorHAnsi" w:hAnsiTheme="minorHAnsi" w:cstheme="minorHAnsi"/>
        </w:rPr>
      </w:pPr>
    </w:p>
    <w:p w14:paraId="3B4DB132" w14:textId="77777777" w:rsidR="003D4C15" w:rsidRPr="0014011D" w:rsidRDefault="003D4C15" w:rsidP="007A35C3">
      <w:pPr>
        <w:pStyle w:val="Betarp"/>
        <w:spacing w:after="240"/>
        <w:jc w:val="both"/>
        <w:rPr>
          <w:rFonts w:asciiTheme="minorHAnsi" w:hAnsiTheme="minorHAnsi" w:cstheme="minorHAnsi"/>
        </w:rPr>
      </w:pPr>
    </w:p>
    <w:p w14:paraId="2E938E73" w14:textId="77777777" w:rsidR="00A4671F" w:rsidRPr="0014011D" w:rsidRDefault="00A4671F" w:rsidP="007A35C3">
      <w:pPr>
        <w:pStyle w:val="Betarp"/>
        <w:spacing w:after="1440"/>
        <w:ind w:left="1296" w:hanging="1296"/>
        <w:jc w:val="center"/>
        <w:rPr>
          <w:rFonts w:asciiTheme="minorHAnsi" w:hAnsiTheme="minorHAnsi" w:cstheme="minorHAnsi"/>
          <w:lang w:eastAsia="lt-LT"/>
        </w:rPr>
      </w:pPr>
    </w:p>
    <w:p w14:paraId="6DCCAFF6" w14:textId="77777777" w:rsidR="003D4C15" w:rsidRPr="0014011D" w:rsidRDefault="003D4C15" w:rsidP="007A35C3">
      <w:pPr>
        <w:pStyle w:val="Betarp"/>
        <w:spacing w:after="1440"/>
        <w:ind w:left="1296" w:hanging="1296"/>
        <w:jc w:val="center"/>
        <w:rPr>
          <w:rFonts w:asciiTheme="minorHAnsi" w:hAnsiTheme="minorHAnsi" w:cstheme="minorHAnsi"/>
        </w:rPr>
      </w:pPr>
      <w:r w:rsidRPr="0014011D">
        <w:rPr>
          <w:rFonts w:asciiTheme="minorHAnsi" w:hAnsiTheme="minorHAnsi" w:cstheme="minorHAnsi"/>
          <w:noProof/>
          <w:lang w:eastAsia="lt-LT"/>
        </w:rPr>
        <w:drawing>
          <wp:inline distT="0" distB="0" distL="0" distR="0" wp14:anchorId="7761C40D" wp14:editId="7CAB2007">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14011D">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4BF8AFBE" wp14:editId="1E7AE7F6">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62AE4F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14011D">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C219D55" wp14:editId="609DC555">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5A0FA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14011D">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FA826AC" wp14:editId="10E05154">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B7E34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14011D">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89CC9E1" wp14:editId="01F95F5C">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6257C8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60875691" w14:textId="77777777" w:rsidR="003D4C15" w:rsidRPr="0014011D" w:rsidRDefault="003D4C15" w:rsidP="007A35C3">
      <w:pPr>
        <w:pStyle w:val="Betarp"/>
        <w:jc w:val="center"/>
        <w:rPr>
          <w:rFonts w:asciiTheme="minorHAnsi" w:hAnsiTheme="minorHAnsi" w:cstheme="minorHAnsi"/>
          <w:smallCaps/>
          <w:sz w:val="56"/>
          <w:szCs w:val="56"/>
        </w:rPr>
      </w:pPr>
      <w:r w:rsidRPr="0014011D">
        <w:rPr>
          <w:rFonts w:asciiTheme="minorHAnsi" w:hAnsiTheme="minorHAnsi" w:cstheme="minorHAnsi"/>
          <w:smallCaps/>
          <w:sz w:val="56"/>
          <w:szCs w:val="56"/>
        </w:rPr>
        <w:t>Lietuvos vyriausiojo administracinio teismo praktikos apžvalga</w:t>
      </w:r>
    </w:p>
    <w:p w14:paraId="4310EF96" w14:textId="4EEC4E5D" w:rsidR="003D4C15" w:rsidRPr="0014011D" w:rsidRDefault="003D4C15" w:rsidP="007A35C3">
      <w:pPr>
        <w:pStyle w:val="Betarp"/>
        <w:jc w:val="center"/>
        <w:rPr>
          <w:rFonts w:asciiTheme="minorHAnsi" w:hAnsiTheme="minorHAnsi" w:cstheme="minorHAnsi"/>
          <w:b/>
          <w:smallCaps/>
          <w:sz w:val="36"/>
          <w:szCs w:val="36"/>
          <w:u w:val="double"/>
        </w:rPr>
      </w:pPr>
      <w:bookmarkStart w:id="0" w:name="_Toc328035733"/>
      <w:bookmarkStart w:id="1" w:name="_Toc329780677"/>
      <w:bookmarkStart w:id="2" w:name="_Toc329787755"/>
      <w:bookmarkStart w:id="3" w:name="_Toc329790165"/>
      <w:bookmarkStart w:id="4" w:name="_Toc330304784"/>
      <w:bookmarkStart w:id="5" w:name="_Toc331487542"/>
      <w:r w:rsidRPr="0014011D">
        <w:rPr>
          <w:rFonts w:asciiTheme="minorHAnsi" w:hAnsiTheme="minorHAnsi" w:cstheme="minorHAnsi"/>
          <w:b/>
          <w:smallCaps/>
          <w:sz w:val="36"/>
          <w:szCs w:val="36"/>
          <w:u w:val="double"/>
        </w:rPr>
        <w:t>20</w:t>
      </w:r>
      <w:r w:rsidR="007E55E3" w:rsidRPr="0014011D">
        <w:rPr>
          <w:rFonts w:asciiTheme="minorHAnsi" w:hAnsiTheme="minorHAnsi" w:cstheme="minorHAnsi"/>
          <w:b/>
          <w:smallCaps/>
          <w:sz w:val="36"/>
          <w:szCs w:val="36"/>
          <w:u w:val="double"/>
        </w:rPr>
        <w:t>2</w:t>
      </w:r>
      <w:r w:rsidR="00437FB4" w:rsidRPr="0014011D">
        <w:rPr>
          <w:rFonts w:asciiTheme="minorHAnsi" w:hAnsiTheme="minorHAnsi" w:cstheme="minorHAnsi"/>
          <w:b/>
          <w:smallCaps/>
          <w:sz w:val="36"/>
          <w:szCs w:val="36"/>
          <w:u w:val="double"/>
        </w:rPr>
        <w:t>1</w:t>
      </w:r>
      <w:r w:rsidRPr="0014011D">
        <w:rPr>
          <w:rFonts w:asciiTheme="minorHAnsi" w:hAnsiTheme="minorHAnsi" w:cstheme="minorHAnsi"/>
          <w:b/>
          <w:smallCaps/>
          <w:sz w:val="36"/>
          <w:szCs w:val="36"/>
          <w:u w:val="double"/>
        </w:rPr>
        <w:t xml:space="preserve"> m. </w:t>
      </w:r>
      <w:r w:rsidR="007F7CA4" w:rsidRPr="0014011D">
        <w:rPr>
          <w:rFonts w:asciiTheme="minorHAnsi" w:hAnsiTheme="minorHAnsi" w:cstheme="minorHAnsi"/>
          <w:b/>
          <w:smallCaps/>
          <w:sz w:val="36"/>
          <w:szCs w:val="36"/>
          <w:u w:val="double"/>
        </w:rPr>
        <w:t xml:space="preserve">vasario </w:t>
      </w:r>
      <w:r w:rsidRPr="0014011D">
        <w:rPr>
          <w:rFonts w:asciiTheme="minorHAnsi" w:hAnsiTheme="minorHAnsi" w:cstheme="minorHAnsi"/>
          <w:b/>
          <w:smallCaps/>
          <w:sz w:val="36"/>
          <w:szCs w:val="36"/>
          <w:u w:val="double"/>
        </w:rPr>
        <w:t>1 d. – 20</w:t>
      </w:r>
      <w:r w:rsidR="007E55E3" w:rsidRPr="0014011D">
        <w:rPr>
          <w:rFonts w:asciiTheme="minorHAnsi" w:hAnsiTheme="minorHAnsi" w:cstheme="minorHAnsi"/>
          <w:b/>
          <w:smallCaps/>
          <w:sz w:val="36"/>
          <w:szCs w:val="36"/>
          <w:u w:val="double"/>
        </w:rPr>
        <w:t>2</w:t>
      </w:r>
      <w:r w:rsidR="00437FB4" w:rsidRPr="0014011D">
        <w:rPr>
          <w:rFonts w:asciiTheme="minorHAnsi" w:hAnsiTheme="minorHAnsi" w:cstheme="minorHAnsi"/>
          <w:b/>
          <w:smallCaps/>
          <w:sz w:val="36"/>
          <w:szCs w:val="36"/>
          <w:u w:val="double"/>
        </w:rPr>
        <w:t>1</w:t>
      </w:r>
      <w:r w:rsidRPr="0014011D">
        <w:rPr>
          <w:rFonts w:asciiTheme="minorHAnsi" w:hAnsiTheme="minorHAnsi" w:cstheme="minorHAnsi"/>
          <w:b/>
          <w:smallCaps/>
          <w:sz w:val="36"/>
          <w:szCs w:val="36"/>
          <w:u w:val="double"/>
        </w:rPr>
        <w:t xml:space="preserve"> m.</w:t>
      </w:r>
      <w:r w:rsidR="000F1C77" w:rsidRPr="0014011D">
        <w:rPr>
          <w:rFonts w:asciiTheme="minorHAnsi" w:hAnsiTheme="minorHAnsi" w:cstheme="minorHAnsi"/>
          <w:b/>
          <w:smallCaps/>
          <w:sz w:val="36"/>
          <w:szCs w:val="36"/>
          <w:u w:val="double"/>
        </w:rPr>
        <w:t xml:space="preserve"> </w:t>
      </w:r>
      <w:r w:rsidR="007F7CA4" w:rsidRPr="0014011D">
        <w:rPr>
          <w:rFonts w:asciiTheme="minorHAnsi" w:hAnsiTheme="minorHAnsi" w:cstheme="minorHAnsi"/>
          <w:b/>
          <w:smallCaps/>
          <w:sz w:val="36"/>
          <w:szCs w:val="36"/>
          <w:u w:val="double"/>
        </w:rPr>
        <w:t xml:space="preserve">vasario 28  </w:t>
      </w:r>
      <w:r w:rsidRPr="0014011D">
        <w:rPr>
          <w:rFonts w:asciiTheme="minorHAnsi" w:hAnsiTheme="minorHAnsi" w:cstheme="minorHAnsi"/>
          <w:b/>
          <w:smallCaps/>
          <w:sz w:val="36"/>
          <w:szCs w:val="36"/>
          <w:u w:val="double"/>
        </w:rPr>
        <w:t>d.</w:t>
      </w:r>
      <w:bookmarkEnd w:id="0"/>
      <w:bookmarkEnd w:id="1"/>
      <w:bookmarkEnd w:id="2"/>
      <w:bookmarkEnd w:id="3"/>
      <w:bookmarkEnd w:id="4"/>
      <w:bookmarkEnd w:id="5"/>
    </w:p>
    <w:p w14:paraId="7BC43171" w14:textId="77777777" w:rsidR="003D4C15" w:rsidRPr="0014011D" w:rsidRDefault="003D4C15" w:rsidP="007A35C3">
      <w:pPr>
        <w:jc w:val="both"/>
        <w:rPr>
          <w:rFonts w:asciiTheme="minorHAnsi" w:hAnsiTheme="minorHAnsi" w:cstheme="minorHAnsi"/>
          <w:b/>
          <w:smallCaps/>
          <w:sz w:val="22"/>
          <w:szCs w:val="22"/>
        </w:rPr>
      </w:pPr>
    </w:p>
    <w:p w14:paraId="30A9C818" w14:textId="77777777" w:rsidR="003D4C15" w:rsidRPr="0014011D" w:rsidRDefault="003D4C15" w:rsidP="007A35C3">
      <w:pPr>
        <w:jc w:val="both"/>
        <w:rPr>
          <w:rFonts w:asciiTheme="minorHAnsi" w:hAnsiTheme="minorHAnsi" w:cstheme="minorHAnsi"/>
          <w:b/>
          <w:smallCaps/>
          <w:sz w:val="22"/>
          <w:szCs w:val="22"/>
        </w:rPr>
      </w:pPr>
    </w:p>
    <w:p w14:paraId="7C6E06EC" w14:textId="77777777" w:rsidR="003D4C15" w:rsidRPr="0014011D" w:rsidRDefault="003D4C15" w:rsidP="007A35C3">
      <w:pPr>
        <w:jc w:val="both"/>
        <w:rPr>
          <w:rFonts w:asciiTheme="minorHAnsi" w:hAnsiTheme="minorHAnsi" w:cstheme="minorHAnsi"/>
          <w:b/>
          <w:smallCaps/>
          <w:sz w:val="22"/>
          <w:szCs w:val="22"/>
        </w:rPr>
      </w:pPr>
    </w:p>
    <w:p w14:paraId="240C9382" w14:textId="77777777" w:rsidR="003D4C15" w:rsidRPr="0014011D" w:rsidRDefault="003D4C15" w:rsidP="007A35C3">
      <w:pPr>
        <w:jc w:val="both"/>
        <w:rPr>
          <w:rFonts w:asciiTheme="minorHAnsi" w:hAnsiTheme="minorHAnsi" w:cstheme="minorHAnsi"/>
          <w:b/>
          <w:smallCaps/>
          <w:sz w:val="22"/>
          <w:szCs w:val="22"/>
        </w:rPr>
      </w:pPr>
    </w:p>
    <w:p w14:paraId="11839ACD" w14:textId="77777777" w:rsidR="003D4C15" w:rsidRPr="0014011D" w:rsidRDefault="003D4C15" w:rsidP="007A35C3">
      <w:pPr>
        <w:jc w:val="both"/>
        <w:rPr>
          <w:rFonts w:asciiTheme="minorHAnsi" w:hAnsiTheme="minorHAnsi" w:cstheme="minorHAnsi"/>
          <w:b/>
          <w:smallCaps/>
          <w:sz w:val="22"/>
          <w:szCs w:val="22"/>
        </w:rPr>
      </w:pPr>
    </w:p>
    <w:p w14:paraId="00D66346" w14:textId="77777777" w:rsidR="003D4C15" w:rsidRPr="0014011D" w:rsidRDefault="003D4C15" w:rsidP="007A35C3">
      <w:pPr>
        <w:jc w:val="both"/>
        <w:rPr>
          <w:rFonts w:asciiTheme="minorHAnsi" w:hAnsiTheme="minorHAnsi" w:cstheme="minorHAnsi"/>
          <w:b/>
          <w:smallCaps/>
          <w:sz w:val="22"/>
          <w:szCs w:val="22"/>
        </w:rPr>
      </w:pPr>
    </w:p>
    <w:p w14:paraId="3BAB1BC5" w14:textId="77777777" w:rsidR="003D4C15" w:rsidRPr="0014011D" w:rsidRDefault="003D4C15" w:rsidP="007A35C3">
      <w:pPr>
        <w:jc w:val="both"/>
        <w:rPr>
          <w:rFonts w:asciiTheme="minorHAnsi" w:hAnsiTheme="minorHAnsi" w:cstheme="minorHAnsi"/>
          <w:b/>
          <w:smallCaps/>
          <w:sz w:val="22"/>
          <w:szCs w:val="22"/>
        </w:rPr>
      </w:pPr>
    </w:p>
    <w:p w14:paraId="2E5515E8" w14:textId="77777777" w:rsidR="003D4C15" w:rsidRPr="0014011D" w:rsidRDefault="003D4C15" w:rsidP="007A35C3">
      <w:pPr>
        <w:jc w:val="both"/>
        <w:rPr>
          <w:rFonts w:asciiTheme="minorHAnsi" w:hAnsiTheme="minorHAnsi" w:cstheme="minorHAnsi"/>
          <w:b/>
          <w:smallCaps/>
          <w:sz w:val="22"/>
          <w:szCs w:val="22"/>
        </w:rPr>
      </w:pPr>
    </w:p>
    <w:p w14:paraId="11363336" w14:textId="77777777" w:rsidR="003D4C15" w:rsidRPr="0014011D" w:rsidRDefault="003D4C15" w:rsidP="007A35C3">
      <w:pPr>
        <w:jc w:val="both"/>
        <w:rPr>
          <w:rFonts w:asciiTheme="minorHAnsi" w:hAnsiTheme="minorHAnsi" w:cstheme="minorHAnsi"/>
          <w:b/>
          <w:smallCaps/>
          <w:sz w:val="22"/>
          <w:szCs w:val="22"/>
        </w:rPr>
      </w:pPr>
    </w:p>
    <w:p w14:paraId="67574E7F" w14:textId="77777777" w:rsidR="003D4C15" w:rsidRPr="0014011D" w:rsidRDefault="003D4C15" w:rsidP="007A35C3">
      <w:pPr>
        <w:jc w:val="both"/>
        <w:rPr>
          <w:rFonts w:asciiTheme="minorHAnsi" w:hAnsiTheme="minorHAnsi" w:cstheme="minorHAnsi"/>
          <w:b/>
          <w:smallCaps/>
          <w:sz w:val="22"/>
          <w:szCs w:val="22"/>
        </w:rPr>
      </w:pPr>
    </w:p>
    <w:p w14:paraId="1B6B3A9A" w14:textId="77777777" w:rsidR="003D4C15" w:rsidRPr="0014011D" w:rsidRDefault="003D4C15" w:rsidP="007A35C3">
      <w:pPr>
        <w:jc w:val="both"/>
        <w:rPr>
          <w:rFonts w:asciiTheme="minorHAnsi" w:hAnsiTheme="minorHAnsi" w:cstheme="minorHAnsi"/>
          <w:b/>
          <w:smallCaps/>
          <w:sz w:val="22"/>
          <w:szCs w:val="22"/>
        </w:rPr>
      </w:pPr>
    </w:p>
    <w:p w14:paraId="7BB3DEF6" w14:textId="77777777" w:rsidR="003D4C15" w:rsidRPr="0014011D" w:rsidRDefault="003D4C15" w:rsidP="007A35C3">
      <w:pPr>
        <w:jc w:val="both"/>
        <w:rPr>
          <w:rFonts w:asciiTheme="minorHAnsi" w:hAnsiTheme="minorHAnsi" w:cstheme="minorHAnsi"/>
          <w:b/>
          <w:smallCaps/>
          <w:sz w:val="22"/>
          <w:szCs w:val="22"/>
        </w:rPr>
      </w:pPr>
    </w:p>
    <w:p w14:paraId="3E7D8C56" w14:textId="77777777" w:rsidR="003D4C15" w:rsidRPr="0014011D" w:rsidRDefault="003D4C15" w:rsidP="007A35C3">
      <w:pPr>
        <w:jc w:val="both"/>
        <w:rPr>
          <w:rFonts w:asciiTheme="minorHAnsi" w:hAnsiTheme="minorHAnsi" w:cstheme="minorHAnsi"/>
          <w:b/>
          <w:smallCaps/>
          <w:sz w:val="22"/>
          <w:szCs w:val="22"/>
        </w:rPr>
      </w:pPr>
    </w:p>
    <w:p w14:paraId="717D9A94" w14:textId="77777777" w:rsidR="003D4C15" w:rsidRPr="0014011D" w:rsidRDefault="003D4C15" w:rsidP="007A35C3">
      <w:pPr>
        <w:jc w:val="both"/>
        <w:rPr>
          <w:rFonts w:asciiTheme="minorHAnsi" w:hAnsiTheme="minorHAnsi" w:cstheme="minorHAnsi"/>
          <w:b/>
          <w:smallCaps/>
          <w:sz w:val="22"/>
          <w:szCs w:val="22"/>
        </w:rPr>
      </w:pPr>
    </w:p>
    <w:p w14:paraId="7AA009B6" w14:textId="77777777" w:rsidR="003D4C15" w:rsidRPr="0014011D" w:rsidRDefault="003D4C15" w:rsidP="007A35C3">
      <w:pPr>
        <w:jc w:val="both"/>
        <w:rPr>
          <w:rFonts w:asciiTheme="minorHAnsi" w:hAnsiTheme="minorHAnsi" w:cstheme="minorHAnsi"/>
          <w:b/>
          <w:smallCaps/>
          <w:sz w:val="22"/>
          <w:szCs w:val="22"/>
        </w:rPr>
      </w:pPr>
    </w:p>
    <w:p w14:paraId="68A18553" w14:textId="77777777" w:rsidR="003D4C15" w:rsidRPr="0014011D" w:rsidRDefault="003D4C15" w:rsidP="007A35C3">
      <w:pPr>
        <w:jc w:val="center"/>
        <w:rPr>
          <w:rFonts w:asciiTheme="minorHAnsi" w:hAnsiTheme="minorHAnsi" w:cstheme="minorHAnsi"/>
          <w:b/>
          <w:smallCaps/>
          <w:sz w:val="32"/>
          <w:szCs w:val="32"/>
        </w:rPr>
      </w:pPr>
      <w:r w:rsidRPr="0014011D">
        <w:rPr>
          <w:rFonts w:asciiTheme="minorHAnsi" w:hAnsiTheme="minorHAnsi" w:cstheme="minorHAnsi"/>
          <w:b/>
          <w:smallCaps/>
          <w:sz w:val="32"/>
          <w:szCs w:val="32"/>
        </w:rPr>
        <w:t>Apžvalgą parengė Lietuvos vyriausiojo administracinio teismo</w:t>
      </w:r>
    </w:p>
    <w:p w14:paraId="1784A4E2" w14:textId="77777777" w:rsidR="003D4C15" w:rsidRPr="0014011D" w:rsidRDefault="003D4C15" w:rsidP="007A35C3">
      <w:pPr>
        <w:jc w:val="center"/>
        <w:rPr>
          <w:rFonts w:asciiTheme="minorHAnsi" w:hAnsiTheme="minorHAnsi" w:cstheme="minorHAnsi"/>
          <w:sz w:val="22"/>
          <w:szCs w:val="22"/>
        </w:rPr>
      </w:pPr>
      <w:r w:rsidRPr="0014011D">
        <w:rPr>
          <w:rFonts w:asciiTheme="minorHAnsi" w:hAnsiTheme="minorHAnsi" w:cstheme="minorHAnsi"/>
          <w:b/>
          <w:smallCaps/>
          <w:sz w:val="32"/>
          <w:szCs w:val="32"/>
        </w:rPr>
        <w:t>T</w:t>
      </w:r>
      <w:r w:rsidR="0016762E" w:rsidRPr="0014011D">
        <w:rPr>
          <w:rFonts w:asciiTheme="minorHAnsi" w:hAnsiTheme="minorHAnsi" w:cstheme="minorHAnsi"/>
          <w:b/>
          <w:smallCaps/>
          <w:sz w:val="32"/>
          <w:szCs w:val="32"/>
        </w:rPr>
        <w:t xml:space="preserve">eismų praktikos </w:t>
      </w:r>
      <w:r w:rsidRPr="0014011D">
        <w:rPr>
          <w:rFonts w:asciiTheme="minorHAnsi" w:hAnsiTheme="minorHAnsi" w:cstheme="minorHAnsi"/>
          <w:b/>
          <w:smallCaps/>
          <w:sz w:val="32"/>
          <w:szCs w:val="32"/>
        </w:rPr>
        <w:t>departamentas</w:t>
      </w:r>
      <w:r w:rsidRPr="0014011D">
        <w:rPr>
          <w:rFonts w:asciiTheme="minorHAnsi" w:hAnsiTheme="minorHAnsi" w:cstheme="minorHAnsi"/>
          <w:smallCaps/>
          <w:sz w:val="22"/>
          <w:szCs w:val="22"/>
        </w:rPr>
        <w:br w:type="page"/>
      </w:r>
      <w:bookmarkStart w:id="6" w:name="_Hlk529270320"/>
      <w:bookmarkStart w:id="7" w:name="_Toc120597382"/>
      <w:r w:rsidRPr="0014011D">
        <w:rPr>
          <w:rFonts w:asciiTheme="minorHAnsi" w:hAnsiTheme="minorHAnsi" w:cstheme="minorHAnsi"/>
          <w:b/>
          <w:sz w:val="22"/>
          <w:szCs w:val="22"/>
        </w:rPr>
        <w:lastRenderedPageBreak/>
        <w:t>TURINY</w:t>
      </w:r>
      <w:r w:rsidR="00AA4BED" w:rsidRPr="0014011D">
        <w:rPr>
          <w:rFonts w:asciiTheme="minorHAnsi" w:hAnsiTheme="minorHAnsi" w:cstheme="minorHAnsi"/>
          <w:b/>
          <w:sz w:val="22"/>
          <w:szCs w:val="22"/>
        </w:rPr>
        <w:t>S</w:t>
      </w:r>
    </w:p>
    <w:bookmarkStart w:id="8" w:name="_Hlk70498689"/>
    <w:p w14:paraId="5A313B8C" w14:textId="02E18D3C" w:rsidR="002E2A14" w:rsidRDefault="00A364C6">
      <w:pPr>
        <w:pStyle w:val="Turinys1"/>
        <w:rPr>
          <w:rFonts w:eastAsiaTheme="minorEastAsia" w:cstheme="minorBidi"/>
          <w:b w:val="0"/>
          <w:bCs w:val="0"/>
          <w:caps w:val="0"/>
          <w:noProof/>
          <w:szCs w:val="22"/>
          <w:lang w:val="en-US" w:eastAsia="en-US"/>
        </w:rPr>
      </w:pPr>
      <w:r w:rsidRPr="0014011D">
        <w:rPr>
          <w:rFonts w:cstheme="minorHAnsi"/>
          <w:szCs w:val="22"/>
        </w:rPr>
        <w:fldChar w:fldCharType="begin"/>
      </w:r>
      <w:r w:rsidR="003D4C15" w:rsidRPr="0014011D">
        <w:rPr>
          <w:rFonts w:cstheme="minorHAnsi"/>
          <w:szCs w:val="22"/>
        </w:rPr>
        <w:instrText xml:space="preserve"> TOC \o "1-3" \h \z \u </w:instrText>
      </w:r>
      <w:r w:rsidRPr="0014011D">
        <w:rPr>
          <w:rFonts w:cstheme="minorHAnsi"/>
          <w:szCs w:val="22"/>
        </w:rPr>
        <w:fldChar w:fldCharType="separate"/>
      </w:r>
      <w:hyperlink w:anchor="_Toc70514785" w:history="1">
        <w:r w:rsidR="002E2A14" w:rsidRPr="004E300E">
          <w:rPr>
            <w:rStyle w:val="Hipersaitas"/>
            <w:rFonts w:cstheme="minorHAnsi"/>
            <w:noProof/>
          </w:rPr>
          <w:t>I. Administracinės bylos, kylančios iš ginčų dėl teisės viešojo administravimo srityje</w:t>
        </w:r>
        <w:r w:rsidR="002E2A14">
          <w:rPr>
            <w:noProof/>
            <w:webHidden/>
          </w:rPr>
          <w:tab/>
        </w:r>
        <w:r w:rsidR="002E2A14">
          <w:rPr>
            <w:noProof/>
            <w:webHidden/>
          </w:rPr>
          <w:fldChar w:fldCharType="begin"/>
        </w:r>
        <w:r w:rsidR="002E2A14">
          <w:rPr>
            <w:noProof/>
            <w:webHidden/>
          </w:rPr>
          <w:instrText xml:space="preserve"> PAGEREF _Toc70514785 \h </w:instrText>
        </w:r>
        <w:r w:rsidR="002E2A14">
          <w:rPr>
            <w:noProof/>
            <w:webHidden/>
          </w:rPr>
        </w:r>
        <w:r w:rsidR="002E2A14">
          <w:rPr>
            <w:noProof/>
            <w:webHidden/>
          </w:rPr>
          <w:fldChar w:fldCharType="separate"/>
        </w:r>
        <w:r w:rsidR="002E2A14">
          <w:rPr>
            <w:noProof/>
            <w:webHidden/>
          </w:rPr>
          <w:t>4</w:t>
        </w:r>
        <w:r w:rsidR="002E2A14">
          <w:rPr>
            <w:noProof/>
            <w:webHidden/>
          </w:rPr>
          <w:fldChar w:fldCharType="end"/>
        </w:r>
      </w:hyperlink>
    </w:p>
    <w:p w14:paraId="2DC65934" w14:textId="0A756F91" w:rsidR="002E2A14" w:rsidRDefault="00936F04">
      <w:pPr>
        <w:pStyle w:val="Turinys1"/>
        <w:rPr>
          <w:rFonts w:eastAsiaTheme="minorEastAsia" w:cstheme="minorBidi"/>
          <w:b w:val="0"/>
          <w:bCs w:val="0"/>
          <w:caps w:val="0"/>
          <w:noProof/>
          <w:szCs w:val="22"/>
          <w:lang w:val="en-US" w:eastAsia="en-US"/>
        </w:rPr>
      </w:pPr>
      <w:hyperlink w:anchor="_Toc70514786" w:history="1">
        <w:r w:rsidR="002E2A14" w:rsidRPr="004E300E">
          <w:rPr>
            <w:rStyle w:val="Hipersaitas"/>
            <w:rFonts w:cstheme="minorHAnsi"/>
            <w:noProof/>
          </w:rPr>
          <w:t>7. Socialinė apsauga</w:t>
        </w:r>
        <w:r w:rsidR="002E2A14">
          <w:rPr>
            <w:noProof/>
            <w:webHidden/>
          </w:rPr>
          <w:tab/>
        </w:r>
        <w:r w:rsidR="002E2A14">
          <w:rPr>
            <w:noProof/>
            <w:webHidden/>
          </w:rPr>
          <w:fldChar w:fldCharType="begin"/>
        </w:r>
        <w:r w:rsidR="002E2A14">
          <w:rPr>
            <w:noProof/>
            <w:webHidden/>
          </w:rPr>
          <w:instrText xml:space="preserve"> PAGEREF _Toc70514786 \h </w:instrText>
        </w:r>
        <w:r w:rsidR="002E2A14">
          <w:rPr>
            <w:noProof/>
            <w:webHidden/>
          </w:rPr>
        </w:r>
        <w:r w:rsidR="002E2A14">
          <w:rPr>
            <w:noProof/>
            <w:webHidden/>
          </w:rPr>
          <w:fldChar w:fldCharType="separate"/>
        </w:r>
        <w:r w:rsidR="002E2A14">
          <w:rPr>
            <w:noProof/>
            <w:webHidden/>
          </w:rPr>
          <w:t>4</w:t>
        </w:r>
        <w:r w:rsidR="002E2A14">
          <w:rPr>
            <w:noProof/>
            <w:webHidden/>
          </w:rPr>
          <w:fldChar w:fldCharType="end"/>
        </w:r>
      </w:hyperlink>
    </w:p>
    <w:p w14:paraId="2D58F696" w14:textId="584BCE04" w:rsidR="002E2A14" w:rsidRDefault="00936F04">
      <w:pPr>
        <w:pStyle w:val="Turinys2"/>
        <w:rPr>
          <w:rFonts w:eastAsiaTheme="minorEastAsia" w:cstheme="minorBidi"/>
          <w:i w:val="0"/>
          <w:noProof/>
          <w:szCs w:val="22"/>
          <w:lang w:val="en-US" w:eastAsia="en-US"/>
        </w:rPr>
      </w:pPr>
      <w:hyperlink w:anchor="_Toc70514787" w:history="1">
        <w:r w:rsidR="002E2A14" w:rsidRPr="004E300E">
          <w:rPr>
            <w:rStyle w:val="Hipersaitas"/>
            <w:rFonts w:cstheme="minorHAnsi"/>
            <w:noProof/>
          </w:rPr>
          <w:t>Dėl būsto šildymo, karšto ir geriamojo vandens išlaidų kompensacijos sumažinimo nustačius, jog asmuo nedalyvavo susirinkime svarstant ir priimant sprendimą dėl daugiabučio namo atnaujinimo (modernizavimo)</w:t>
        </w:r>
        <w:r w:rsidR="002E2A14">
          <w:rPr>
            <w:noProof/>
            <w:webHidden/>
          </w:rPr>
          <w:tab/>
        </w:r>
        <w:r w:rsidR="002E2A14">
          <w:rPr>
            <w:noProof/>
            <w:webHidden/>
          </w:rPr>
          <w:fldChar w:fldCharType="begin"/>
        </w:r>
        <w:r w:rsidR="002E2A14">
          <w:rPr>
            <w:noProof/>
            <w:webHidden/>
          </w:rPr>
          <w:instrText xml:space="preserve"> PAGEREF _Toc70514787 \h </w:instrText>
        </w:r>
        <w:r w:rsidR="002E2A14">
          <w:rPr>
            <w:noProof/>
            <w:webHidden/>
          </w:rPr>
        </w:r>
        <w:r w:rsidR="002E2A14">
          <w:rPr>
            <w:noProof/>
            <w:webHidden/>
          </w:rPr>
          <w:fldChar w:fldCharType="separate"/>
        </w:r>
        <w:r w:rsidR="002E2A14">
          <w:rPr>
            <w:noProof/>
            <w:webHidden/>
          </w:rPr>
          <w:t>4</w:t>
        </w:r>
        <w:r w:rsidR="002E2A14">
          <w:rPr>
            <w:noProof/>
            <w:webHidden/>
          </w:rPr>
          <w:fldChar w:fldCharType="end"/>
        </w:r>
      </w:hyperlink>
    </w:p>
    <w:p w14:paraId="48F89209" w14:textId="19D409DD" w:rsidR="002E2A14" w:rsidRDefault="00936F04">
      <w:pPr>
        <w:pStyle w:val="Turinys2"/>
        <w:rPr>
          <w:rFonts w:eastAsiaTheme="minorEastAsia" w:cstheme="minorBidi"/>
          <w:i w:val="0"/>
          <w:noProof/>
          <w:szCs w:val="22"/>
          <w:lang w:val="en-US" w:eastAsia="en-US"/>
        </w:rPr>
      </w:pPr>
      <w:hyperlink w:anchor="_Toc70514788" w:history="1">
        <w:r w:rsidR="002E2A14" w:rsidRPr="004E300E">
          <w:rPr>
            <w:rStyle w:val="Hipersaitas"/>
            <w:rFonts w:cstheme="minorHAnsi"/>
            <w:noProof/>
          </w:rPr>
          <w:t>Dėl palankesnio teisinio reguliavimo taikymo, sprendžiant dėl antrojo laipsnio valstybinės pensijos skyrimo</w:t>
        </w:r>
        <w:r w:rsidR="002E2A14">
          <w:rPr>
            <w:noProof/>
            <w:webHidden/>
          </w:rPr>
          <w:tab/>
        </w:r>
        <w:r w:rsidR="002E2A14">
          <w:rPr>
            <w:noProof/>
            <w:webHidden/>
          </w:rPr>
          <w:fldChar w:fldCharType="begin"/>
        </w:r>
        <w:r w:rsidR="002E2A14">
          <w:rPr>
            <w:noProof/>
            <w:webHidden/>
          </w:rPr>
          <w:instrText xml:space="preserve"> PAGEREF _Toc70514788 \h </w:instrText>
        </w:r>
        <w:r w:rsidR="002E2A14">
          <w:rPr>
            <w:noProof/>
            <w:webHidden/>
          </w:rPr>
        </w:r>
        <w:r w:rsidR="002E2A14">
          <w:rPr>
            <w:noProof/>
            <w:webHidden/>
          </w:rPr>
          <w:fldChar w:fldCharType="separate"/>
        </w:r>
        <w:r w:rsidR="002E2A14">
          <w:rPr>
            <w:noProof/>
            <w:webHidden/>
          </w:rPr>
          <w:t>5</w:t>
        </w:r>
        <w:r w:rsidR="002E2A14">
          <w:rPr>
            <w:noProof/>
            <w:webHidden/>
          </w:rPr>
          <w:fldChar w:fldCharType="end"/>
        </w:r>
      </w:hyperlink>
    </w:p>
    <w:p w14:paraId="0307504B" w14:textId="24D78700" w:rsidR="002E2A14" w:rsidRDefault="00936F04">
      <w:pPr>
        <w:pStyle w:val="Turinys1"/>
        <w:rPr>
          <w:rFonts w:eastAsiaTheme="minorEastAsia" w:cstheme="minorBidi"/>
          <w:b w:val="0"/>
          <w:bCs w:val="0"/>
          <w:caps w:val="0"/>
          <w:noProof/>
          <w:szCs w:val="22"/>
          <w:lang w:val="en-US" w:eastAsia="en-US"/>
        </w:rPr>
      </w:pPr>
      <w:hyperlink w:anchor="_Toc70514789" w:history="1">
        <w:r w:rsidR="002E2A14" w:rsidRPr="004E300E">
          <w:rPr>
            <w:rStyle w:val="Hipersaitas"/>
            <w:rFonts w:cstheme="minorHAnsi"/>
            <w:noProof/>
          </w:rPr>
          <w:t>8. Užsieniečių teisinė padėtis</w:t>
        </w:r>
        <w:r w:rsidR="002E2A14">
          <w:rPr>
            <w:noProof/>
            <w:webHidden/>
          </w:rPr>
          <w:tab/>
        </w:r>
        <w:r w:rsidR="002E2A14">
          <w:rPr>
            <w:noProof/>
            <w:webHidden/>
          </w:rPr>
          <w:fldChar w:fldCharType="begin"/>
        </w:r>
        <w:r w:rsidR="002E2A14">
          <w:rPr>
            <w:noProof/>
            <w:webHidden/>
          </w:rPr>
          <w:instrText xml:space="preserve"> PAGEREF _Toc70514789 \h </w:instrText>
        </w:r>
        <w:r w:rsidR="002E2A14">
          <w:rPr>
            <w:noProof/>
            <w:webHidden/>
          </w:rPr>
        </w:r>
        <w:r w:rsidR="002E2A14">
          <w:rPr>
            <w:noProof/>
            <w:webHidden/>
          </w:rPr>
          <w:fldChar w:fldCharType="separate"/>
        </w:r>
        <w:r w:rsidR="002E2A14">
          <w:rPr>
            <w:noProof/>
            <w:webHidden/>
          </w:rPr>
          <w:t>6</w:t>
        </w:r>
        <w:r w:rsidR="002E2A14">
          <w:rPr>
            <w:noProof/>
            <w:webHidden/>
          </w:rPr>
          <w:fldChar w:fldCharType="end"/>
        </w:r>
      </w:hyperlink>
    </w:p>
    <w:p w14:paraId="4AA00BBC" w14:textId="30D395FB" w:rsidR="002E2A14" w:rsidRDefault="00936F04">
      <w:pPr>
        <w:pStyle w:val="Turinys2"/>
        <w:rPr>
          <w:rFonts w:eastAsiaTheme="minorEastAsia" w:cstheme="minorBidi"/>
          <w:i w:val="0"/>
          <w:noProof/>
          <w:szCs w:val="22"/>
          <w:lang w:val="en-US" w:eastAsia="en-US"/>
        </w:rPr>
      </w:pPr>
      <w:hyperlink w:anchor="_Toc70514790" w:history="1">
        <w:r w:rsidR="002E2A14" w:rsidRPr="004E300E">
          <w:rPr>
            <w:rStyle w:val="Hipersaitas"/>
            <w:rFonts w:cstheme="minorHAnsi"/>
            <w:noProof/>
          </w:rPr>
          <w:t>Dėl sprendimo panaikinti leidimą laikinai gyventi dėl darbdaviui taikytos administracinės atsakomybės už nelegalų įdarbinimą ir non bis in idem principo taikymo</w:t>
        </w:r>
        <w:r w:rsidR="002E2A14">
          <w:rPr>
            <w:noProof/>
            <w:webHidden/>
          </w:rPr>
          <w:tab/>
        </w:r>
        <w:r w:rsidR="002E2A14">
          <w:rPr>
            <w:noProof/>
            <w:webHidden/>
          </w:rPr>
          <w:fldChar w:fldCharType="begin"/>
        </w:r>
        <w:r w:rsidR="002E2A14">
          <w:rPr>
            <w:noProof/>
            <w:webHidden/>
          </w:rPr>
          <w:instrText xml:space="preserve"> PAGEREF _Toc70514790 \h </w:instrText>
        </w:r>
        <w:r w:rsidR="002E2A14">
          <w:rPr>
            <w:noProof/>
            <w:webHidden/>
          </w:rPr>
        </w:r>
        <w:r w:rsidR="002E2A14">
          <w:rPr>
            <w:noProof/>
            <w:webHidden/>
          </w:rPr>
          <w:fldChar w:fldCharType="separate"/>
        </w:r>
        <w:r w:rsidR="002E2A14">
          <w:rPr>
            <w:noProof/>
            <w:webHidden/>
          </w:rPr>
          <w:t>6</w:t>
        </w:r>
        <w:r w:rsidR="002E2A14">
          <w:rPr>
            <w:noProof/>
            <w:webHidden/>
          </w:rPr>
          <w:fldChar w:fldCharType="end"/>
        </w:r>
      </w:hyperlink>
    </w:p>
    <w:p w14:paraId="78EF17DE" w14:textId="6F43DC96" w:rsidR="002E2A14" w:rsidRDefault="00936F04">
      <w:pPr>
        <w:pStyle w:val="Turinys1"/>
        <w:rPr>
          <w:rFonts w:eastAsiaTheme="minorEastAsia" w:cstheme="minorBidi"/>
          <w:b w:val="0"/>
          <w:bCs w:val="0"/>
          <w:caps w:val="0"/>
          <w:noProof/>
          <w:szCs w:val="22"/>
          <w:lang w:val="en-US" w:eastAsia="en-US"/>
        </w:rPr>
      </w:pPr>
      <w:hyperlink w:anchor="_Toc70514791" w:history="1">
        <w:r w:rsidR="002E2A14" w:rsidRPr="004E300E">
          <w:rPr>
            <w:rStyle w:val="Hipersaitas"/>
            <w:rFonts w:cstheme="minorHAnsi"/>
            <w:noProof/>
          </w:rPr>
          <w:t>9. Prieglobstis</w:t>
        </w:r>
        <w:r w:rsidR="002E2A14">
          <w:rPr>
            <w:noProof/>
            <w:webHidden/>
          </w:rPr>
          <w:tab/>
        </w:r>
        <w:r w:rsidR="002E2A14">
          <w:rPr>
            <w:noProof/>
            <w:webHidden/>
          </w:rPr>
          <w:fldChar w:fldCharType="begin"/>
        </w:r>
        <w:r w:rsidR="002E2A14">
          <w:rPr>
            <w:noProof/>
            <w:webHidden/>
          </w:rPr>
          <w:instrText xml:space="preserve"> PAGEREF _Toc70514791 \h </w:instrText>
        </w:r>
        <w:r w:rsidR="002E2A14">
          <w:rPr>
            <w:noProof/>
            <w:webHidden/>
          </w:rPr>
        </w:r>
        <w:r w:rsidR="002E2A14">
          <w:rPr>
            <w:noProof/>
            <w:webHidden/>
          </w:rPr>
          <w:fldChar w:fldCharType="separate"/>
        </w:r>
        <w:r w:rsidR="002E2A14">
          <w:rPr>
            <w:noProof/>
            <w:webHidden/>
          </w:rPr>
          <w:t>7</w:t>
        </w:r>
        <w:r w:rsidR="002E2A14">
          <w:rPr>
            <w:noProof/>
            <w:webHidden/>
          </w:rPr>
          <w:fldChar w:fldCharType="end"/>
        </w:r>
      </w:hyperlink>
    </w:p>
    <w:p w14:paraId="07739810" w14:textId="1580C8FB" w:rsidR="002E2A14" w:rsidRDefault="00936F04">
      <w:pPr>
        <w:pStyle w:val="Turinys2"/>
        <w:rPr>
          <w:rFonts w:eastAsiaTheme="minorEastAsia" w:cstheme="minorBidi"/>
          <w:i w:val="0"/>
          <w:noProof/>
          <w:szCs w:val="22"/>
          <w:lang w:val="en-US" w:eastAsia="en-US"/>
        </w:rPr>
      </w:pPr>
      <w:hyperlink w:anchor="_Toc70514792" w:history="1">
        <w:r w:rsidR="002E2A14" w:rsidRPr="004E300E">
          <w:rPr>
            <w:rStyle w:val="Hipersaitas"/>
            <w:rFonts w:cstheme="minorHAnsi"/>
            <w:noProof/>
          </w:rPr>
          <w:t>Dėl reikšmingų aplinkybių, susijusių su pareiškėjo individualia situacija, nustatymo, kai sprendžiama, kurioje valstybėje turėtų būti nagrinėjamas prašymas dėl prieglobsčio suteikimo</w:t>
        </w:r>
        <w:r w:rsidR="002E2A14">
          <w:rPr>
            <w:noProof/>
            <w:webHidden/>
          </w:rPr>
          <w:tab/>
        </w:r>
        <w:r w:rsidR="002E2A14">
          <w:rPr>
            <w:noProof/>
            <w:webHidden/>
          </w:rPr>
          <w:fldChar w:fldCharType="begin"/>
        </w:r>
        <w:r w:rsidR="002E2A14">
          <w:rPr>
            <w:noProof/>
            <w:webHidden/>
          </w:rPr>
          <w:instrText xml:space="preserve"> PAGEREF _Toc70514792 \h </w:instrText>
        </w:r>
        <w:r w:rsidR="002E2A14">
          <w:rPr>
            <w:noProof/>
            <w:webHidden/>
          </w:rPr>
        </w:r>
        <w:r w:rsidR="002E2A14">
          <w:rPr>
            <w:noProof/>
            <w:webHidden/>
          </w:rPr>
          <w:fldChar w:fldCharType="separate"/>
        </w:r>
        <w:r w:rsidR="002E2A14">
          <w:rPr>
            <w:noProof/>
            <w:webHidden/>
          </w:rPr>
          <w:t>7</w:t>
        </w:r>
        <w:r w:rsidR="002E2A14">
          <w:rPr>
            <w:noProof/>
            <w:webHidden/>
          </w:rPr>
          <w:fldChar w:fldCharType="end"/>
        </w:r>
      </w:hyperlink>
    </w:p>
    <w:p w14:paraId="789D4D64" w14:textId="64FD8183" w:rsidR="002E2A14" w:rsidRDefault="00936F04">
      <w:pPr>
        <w:pStyle w:val="Turinys1"/>
        <w:rPr>
          <w:rFonts w:eastAsiaTheme="minorEastAsia" w:cstheme="minorBidi"/>
          <w:b w:val="0"/>
          <w:bCs w:val="0"/>
          <w:caps w:val="0"/>
          <w:noProof/>
          <w:szCs w:val="22"/>
          <w:lang w:val="en-US" w:eastAsia="en-US"/>
        </w:rPr>
      </w:pPr>
      <w:hyperlink w:anchor="_Toc70514793" w:history="1">
        <w:r w:rsidR="002E2A14" w:rsidRPr="004E300E">
          <w:rPr>
            <w:rStyle w:val="Hipersaitas"/>
            <w:rFonts w:cstheme="minorHAnsi"/>
            <w:noProof/>
          </w:rPr>
          <w:t>12. Mokesčiai, įmokos ir kiti privalomieji mokėjimai</w:t>
        </w:r>
        <w:r w:rsidR="002E2A14">
          <w:rPr>
            <w:noProof/>
            <w:webHidden/>
          </w:rPr>
          <w:tab/>
        </w:r>
        <w:r w:rsidR="002E2A14">
          <w:rPr>
            <w:noProof/>
            <w:webHidden/>
          </w:rPr>
          <w:fldChar w:fldCharType="begin"/>
        </w:r>
        <w:r w:rsidR="002E2A14">
          <w:rPr>
            <w:noProof/>
            <w:webHidden/>
          </w:rPr>
          <w:instrText xml:space="preserve"> PAGEREF _Toc70514793 \h </w:instrText>
        </w:r>
        <w:r w:rsidR="002E2A14">
          <w:rPr>
            <w:noProof/>
            <w:webHidden/>
          </w:rPr>
        </w:r>
        <w:r w:rsidR="002E2A14">
          <w:rPr>
            <w:noProof/>
            <w:webHidden/>
          </w:rPr>
          <w:fldChar w:fldCharType="separate"/>
        </w:r>
        <w:r w:rsidR="002E2A14">
          <w:rPr>
            <w:noProof/>
            <w:webHidden/>
          </w:rPr>
          <w:t>8</w:t>
        </w:r>
        <w:r w:rsidR="002E2A14">
          <w:rPr>
            <w:noProof/>
            <w:webHidden/>
          </w:rPr>
          <w:fldChar w:fldCharType="end"/>
        </w:r>
      </w:hyperlink>
    </w:p>
    <w:p w14:paraId="45AEDC48" w14:textId="3A652D16" w:rsidR="002E2A14" w:rsidRDefault="00936F04">
      <w:pPr>
        <w:pStyle w:val="Turinys2"/>
        <w:rPr>
          <w:rFonts w:eastAsiaTheme="minorEastAsia" w:cstheme="minorBidi"/>
          <w:i w:val="0"/>
          <w:noProof/>
          <w:szCs w:val="22"/>
          <w:lang w:val="en-US" w:eastAsia="en-US"/>
        </w:rPr>
      </w:pPr>
      <w:hyperlink w:anchor="_Toc70514794" w:history="1">
        <w:r w:rsidR="002E2A14" w:rsidRPr="004E300E">
          <w:rPr>
            <w:rStyle w:val="Hipersaitas"/>
            <w:noProof/>
          </w:rPr>
          <w:t>Dėl mokesčių administratoriaus diskrecijos priimant sprendimą dėl išankstinio įsipareigojimo dėl mokesčių teisės aktų nuostatų taikymo (Mokesčių administravimo įstatymo 37</w:t>
        </w:r>
        <w:r w:rsidR="002E2A14" w:rsidRPr="004E300E">
          <w:rPr>
            <w:rStyle w:val="Hipersaitas"/>
            <w:noProof/>
            <w:vertAlign w:val="superscript"/>
          </w:rPr>
          <w:t>1</w:t>
        </w:r>
        <w:r w:rsidR="002E2A14" w:rsidRPr="004E300E">
          <w:rPr>
            <w:rStyle w:val="Hipersaitas"/>
            <w:noProof/>
          </w:rPr>
          <w:t xml:space="preserve"> str.)</w:t>
        </w:r>
        <w:r w:rsidR="002E2A14">
          <w:rPr>
            <w:noProof/>
            <w:webHidden/>
          </w:rPr>
          <w:tab/>
        </w:r>
        <w:r w:rsidR="002E2A14">
          <w:rPr>
            <w:noProof/>
            <w:webHidden/>
          </w:rPr>
          <w:fldChar w:fldCharType="begin"/>
        </w:r>
        <w:r w:rsidR="002E2A14">
          <w:rPr>
            <w:noProof/>
            <w:webHidden/>
          </w:rPr>
          <w:instrText xml:space="preserve"> PAGEREF _Toc70514794 \h </w:instrText>
        </w:r>
        <w:r w:rsidR="002E2A14">
          <w:rPr>
            <w:noProof/>
            <w:webHidden/>
          </w:rPr>
        </w:r>
        <w:r w:rsidR="002E2A14">
          <w:rPr>
            <w:noProof/>
            <w:webHidden/>
          </w:rPr>
          <w:fldChar w:fldCharType="separate"/>
        </w:r>
        <w:r w:rsidR="002E2A14">
          <w:rPr>
            <w:noProof/>
            <w:webHidden/>
          </w:rPr>
          <w:t>8</w:t>
        </w:r>
        <w:r w:rsidR="002E2A14">
          <w:rPr>
            <w:noProof/>
            <w:webHidden/>
          </w:rPr>
          <w:fldChar w:fldCharType="end"/>
        </w:r>
      </w:hyperlink>
    </w:p>
    <w:p w14:paraId="60457FCF" w14:textId="49F247D5" w:rsidR="002E2A14" w:rsidRDefault="00936F04">
      <w:pPr>
        <w:pStyle w:val="Turinys1"/>
        <w:rPr>
          <w:rFonts w:eastAsiaTheme="minorEastAsia" w:cstheme="minorBidi"/>
          <w:b w:val="0"/>
          <w:bCs w:val="0"/>
          <w:caps w:val="0"/>
          <w:noProof/>
          <w:szCs w:val="22"/>
          <w:lang w:val="en-US" w:eastAsia="en-US"/>
        </w:rPr>
      </w:pPr>
      <w:hyperlink w:anchor="_Toc70514795" w:history="1">
        <w:r w:rsidR="002E2A14" w:rsidRPr="004E300E">
          <w:rPr>
            <w:rStyle w:val="Hipersaitas"/>
            <w:rFonts w:cstheme="minorHAnsi"/>
            <w:noProof/>
          </w:rPr>
          <w:t>15. Žemės teisiniai santykiai</w:t>
        </w:r>
        <w:r w:rsidR="002E2A14">
          <w:rPr>
            <w:noProof/>
            <w:webHidden/>
          </w:rPr>
          <w:tab/>
        </w:r>
        <w:r w:rsidR="002E2A14">
          <w:rPr>
            <w:noProof/>
            <w:webHidden/>
          </w:rPr>
          <w:fldChar w:fldCharType="begin"/>
        </w:r>
        <w:r w:rsidR="002E2A14">
          <w:rPr>
            <w:noProof/>
            <w:webHidden/>
          </w:rPr>
          <w:instrText xml:space="preserve"> PAGEREF _Toc70514795 \h </w:instrText>
        </w:r>
        <w:r w:rsidR="002E2A14">
          <w:rPr>
            <w:noProof/>
            <w:webHidden/>
          </w:rPr>
        </w:r>
        <w:r w:rsidR="002E2A14">
          <w:rPr>
            <w:noProof/>
            <w:webHidden/>
          </w:rPr>
          <w:fldChar w:fldCharType="separate"/>
        </w:r>
        <w:r w:rsidR="002E2A14">
          <w:rPr>
            <w:noProof/>
            <w:webHidden/>
          </w:rPr>
          <w:t>11</w:t>
        </w:r>
        <w:r w:rsidR="002E2A14">
          <w:rPr>
            <w:noProof/>
            <w:webHidden/>
          </w:rPr>
          <w:fldChar w:fldCharType="end"/>
        </w:r>
      </w:hyperlink>
    </w:p>
    <w:p w14:paraId="6545173E" w14:textId="46D7D279" w:rsidR="002E2A14" w:rsidRDefault="00936F04">
      <w:pPr>
        <w:pStyle w:val="Turinys2"/>
        <w:rPr>
          <w:rFonts w:eastAsiaTheme="minorEastAsia" w:cstheme="minorBidi"/>
          <w:i w:val="0"/>
          <w:noProof/>
          <w:szCs w:val="22"/>
          <w:lang w:val="en-US" w:eastAsia="en-US"/>
        </w:rPr>
      </w:pPr>
      <w:hyperlink w:anchor="_Toc70514796" w:history="1">
        <w:r w:rsidR="002E2A14" w:rsidRPr="004E300E">
          <w:rPr>
            <w:rStyle w:val="Hipersaitas"/>
            <w:rFonts w:cstheme="minorHAnsi"/>
            <w:noProof/>
          </w:rPr>
          <w:t>Dėl žemės sklypo, kurio reikia nekilnojamajam turtui (pastatui) eksploatuoti, formavimo ketinant parduoti šį valstybės nekilnojamąjį turtą viešame aukcione</w:t>
        </w:r>
        <w:r w:rsidR="002E2A14">
          <w:rPr>
            <w:noProof/>
            <w:webHidden/>
          </w:rPr>
          <w:tab/>
        </w:r>
        <w:r w:rsidR="002E2A14">
          <w:rPr>
            <w:noProof/>
            <w:webHidden/>
          </w:rPr>
          <w:fldChar w:fldCharType="begin"/>
        </w:r>
        <w:r w:rsidR="002E2A14">
          <w:rPr>
            <w:noProof/>
            <w:webHidden/>
          </w:rPr>
          <w:instrText xml:space="preserve"> PAGEREF _Toc70514796 \h </w:instrText>
        </w:r>
        <w:r w:rsidR="002E2A14">
          <w:rPr>
            <w:noProof/>
            <w:webHidden/>
          </w:rPr>
        </w:r>
        <w:r w:rsidR="002E2A14">
          <w:rPr>
            <w:noProof/>
            <w:webHidden/>
          </w:rPr>
          <w:fldChar w:fldCharType="separate"/>
        </w:r>
        <w:r w:rsidR="002E2A14">
          <w:rPr>
            <w:noProof/>
            <w:webHidden/>
          </w:rPr>
          <w:t>11</w:t>
        </w:r>
        <w:r w:rsidR="002E2A14">
          <w:rPr>
            <w:noProof/>
            <w:webHidden/>
          </w:rPr>
          <w:fldChar w:fldCharType="end"/>
        </w:r>
      </w:hyperlink>
    </w:p>
    <w:p w14:paraId="269986B5" w14:textId="595F3E16" w:rsidR="002E2A14" w:rsidRDefault="00936F04">
      <w:pPr>
        <w:pStyle w:val="Turinys1"/>
        <w:rPr>
          <w:rFonts w:eastAsiaTheme="minorEastAsia" w:cstheme="minorBidi"/>
          <w:b w:val="0"/>
          <w:bCs w:val="0"/>
          <w:caps w:val="0"/>
          <w:noProof/>
          <w:szCs w:val="22"/>
          <w:lang w:val="en-US" w:eastAsia="en-US"/>
        </w:rPr>
      </w:pPr>
      <w:hyperlink w:anchor="_Toc70514797" w:history="1">
        <w:r w:rsidR="002E2A14" w:rsidRPr="004E300E">
          <w:rPr>
            <w:rStyle w:val="Hipersaitas"/>
            <w:rFonts w:cstheme="minorHAnsi"/>
            <w:noProof/>
          </w:rPr>
          <w:t>21. Valstybės tarnautojo statuso įgijimas, pasikeitimas, praradimas ir atsakomybė</w:t>
        </w:r>
        <w:r w:rsidR="002E2A14">
          <w:rPr>
            <w:noProof/>
            <w:webHidden/>
          </w:rPr>
          <w:tab/>
        </w:r>
        <w:r w:rsidR="002E2A14">
          <w:rPr>
            <w:noProof/>
            <w:webHidden/>
          </w:rPr>
          <w:fldChar w:fldCharType="begin"/>
        </w:r>
        <w:r w:rsidR="002E2A14">
          <w:rPr>
            <w:noProof/>
            <w:webHidden/>
          </w:rPr>
          <w:instrText xml:space="preserve"> PAGEREF _Toc70514797 \h </w:instrText>
        </w:r>
        <w:r w:rsidR="002E2A14">
          <w:rPr>
            <w:noProof/>
            <w:webHidden/>
          </w:rPr>
        </w:r>
        <w:r w:rsidR="002E2A14">
          <w:rPr>
            <w:noProof/>
            <w:webHidden/>
          </w:rPr>
          <w:fldChar w:fldCharType="separate"/>
        </w:r>
        <w:r w:rsidR="002E2A14">
          <w:rPr>
            <w:noProof/>
            <w:webHidden/>
          </w:rPr>
          <w:t>12</w:t>
        </w:r>
        <w:r w:rsidR="002E2A14">
          <w:rPr>
            <w:noProof/>
            <w:webHidden/>
          </w:rPr>
          <w:fldChar w:fldCharType="end"/>
        </w:r>
      </w:hyperlink>
    </w:p>
    <w:p w14:paraId="6AD197C8" w14:textId="7AC99F98" w:rsidR="002E2A14" w:rsidRDefault="00936F04">
      <w:pPr>
        <w:pStyle w:val="Turinys2"/>
        <w:rPr>
          <w:rFonts w:eastAsiaTheme="minorEastAsia" w:cstheme="minorBidi"/>
          <w:i w:val="0"/>
          <w:noProof/>
          <w:szCs w:val="22"/>
          <w:lang w:val="en-US" w:eastAsia="en-US"/>
        </w:rPr>
      </w:pPr>
      <w:hyperlink w:anchor="_Toc70514798" w:history="1">
        <w:r w:rsidR="002E2A14" w:rsidRPr="004E300E">
          <w:rPr>
            <w:rStyle w:val="Hipersaitas"/>
            <w:rFonts w:cstheme="minorHAnsi"/>
            <w:noProof/>
          </w:rPr>
          <w:t>Dėl Valstybinės maisto ir veterinarijos tarnybos direktoriaus atleidimo</w:t>
        </w:r>
        <w:r w:rsidR="002E2A14">
          <w:rPr>
            <w:noProof/>
            <w:webHidden/>
          </w:rPr>
          <w:tab/>
        </w:r>
        <w:r w:rsidR="002E2A14">
          <w:rPr>
            <w:noProof/>
            <w:webHidden/>
          </w:rPr>
          <w:fldChar w:fldCharType="begin"/>
        </w:r>
        <w:r w:rsidR="002E2A14">
          <w:rPr>
            <w:noProof/>
            <w:webHidden/>
          </w:rPr>
          <w:instrText xml:space="preserve"> PAGEREF _Toc70514798 \h </w:instrText>
        </w:r>
        <w:r w:rsidR="002E2A14">
          <w:rPr>
            <w:noProof/>
            <w:webHidden/>
          </w:rPr>
        </w:r>
        <w:r w:rsidR="002E2A14">
          <w:rPr>
            <w:noProof/>
            <w:webHidden/>
          </w:rPr>
          <w:fldChar w:fldCharType="separate"/>
        </w:r>
        <w:r w:rsidR="002E2A14">
          <w:rPr>
            <w:noProof/>
            <w:webHidden/>
          </w:rPr>
          <w:t>12</w:t>
        </w:r>
        <w:r w:rsidR="002E2A14">
          <w:rPr>
            <w:noProof/>
            <w:webHidden/>
          </w:rPr>
          <w:fldChar w:fldCharType="end"/>
        </w:r>
      </w:hyperlink>
    </w:p>
    <w:p w14:paraId="05B8BF2F" w14:textId="0AC23C28" w:rsidR="002E2A14" w:rsidRDefault="00936F04">
      <w:pPr>
        <w:pStyle w:val="Turinys1"/>
        <w:rPr>
          <w:rFonts w:eastAsiaTheme="minorEastAsia" w:cstheme="minorBidi"/>
          <w:b w:val="0"/>
          <w:bCs w:val="0"/>
          <w:caps w:val="0"/>
          <w:noProof/>
          <w:szCs w:val="22"/>
          <w:lang w:val="en-US" w:eastAsia="en-US"/>
        </w:rPr>
      </w:pPr>
      <w:hyperlink w:anchor="_Toc70514799" w:history="1">
        <w:r w:rsidR="002E2A14" w:rsidRPr="004E300E">
          <w:rPr>
            <w:rStyle w:val="Hipersaitas"/>
            <w:rFonts w:cstheme="minorHAnsi"/>
            <w:noProof/>
          </w:rPr>
          <w:t>23. Vyriausiosios tarnybinės etikos komisijos sprendimai</w:t>
        </w:r>
        <w:r w:rsidR="002E2A14">
          <w:rPr>
            <w:noProof/>
            <w:webHidden/>
          </w:rPr>
          <w:tab/>
        </w:r>
        <w:r w:rsidR="002E2A14">
          <w:rPr>
            <w:noProof/>
            <w:webHidden/>
          </w:rPr>
          <w:fldChar w:fldCharType="begin"/>
        </w:r>
        <w:r w:rsidR="002E2A14">
          <w:rPr>
            <w:noProof/>
            <w:webHidden/>
          </w:rPr>
          <w:instrText xml:space="preserve"> PAGEREF _Toc70514799 \h </w:instrText>
        </w:r>
        <w:r w:rsidR="002E2A14">
          <w:rPr>
            <w:noProof/>
            <w:webHidden/>
          </w:rPr>
        </w:r>
        <w:r w:rsidR="002E2A14">
          <w:rPr>
            <w:noProof/>
            <w:webHidden/>
          </w:rPr>
          <w:fldChar w:fldCharType="separate"/>
        </w:r>
        <w:r w:rsidR="002E2A14">
          <w:rPr>
            <w:noProof/>
            <w:webHidden/>
          </w:rPr>
          <w:t>13</w:t>
        </w:r>
        <w:r w:rsidR="002E2A14">
          <w:rPr>
            <w:noProof/>
            <w:webHidden/>
          </w:rPr>
          <w:fldChar w:fldCharType="end"/>
        </w:r>
      </w:hyperlink>
    </w:p>
    <w:p w14:paraId="1B8B145D" w14:textId="30A8FF95" w:rsidR="002E2A14" w:rsidRDefault="00936F04">
      <w:pPr>
        <w:pStyle w:val="Turinys2"/>
        <w:rPr>
          <w:rFonts w:eastAsiaTheme="minorEastAsia" w:cstheme="minorBidi"/>
          <w:i w:val="0"/>
          <w:noProof/>
          <w:szCs w:val="22"/>
          <w:lang w:val="en-US" w:eastAsia="en-US"/>
        </w:rPr>
      </w:pPr>
      <w:hyperlink w:anchor="_Toc70514800" w:history="1">
        <w:r w:rsidR="002E2A14" w:rsidRPr="004E300E">
          <w:rPr>
            <w:rStyle w:val="Hipersaitas"/>
            <w:noProof/>
          </w:rPr>
          <w:t>Dėl publikacijų, skirtų asmenybių (o ne institucijų) pristatymui, vertinimo Viešųjų ir privačių interesų derinimo valstybinėje tarnyboje įstatymo kontekste</w:t>
        </w:r>
        <w:r w:rsidR="002E2A14">
          <w:rPr>
            <w:noProof/>
            <w:webHidden/>
          </w:rPr>
          <w:tab/>
        </w:r>
        <w:r w:rsidR="002E2A14">
          <w:rPr>
            <w:noProof/>
            <w:webHidden/>
          </w:rPr>
          <w:fldChar w:fldCharType="begin"/>
        </w:r>
        <w:r w:rsidR="002E2A14">
          <w:rPr>
            <w:noProof/>
            <w:webHidden/>
          </w:rPr>
          <w:instrText xml:space="preserve"> PAGEREF _Toc70514800 \h </w:instrText>
        </w:r>
        <w:r w:rsidR="002E2A14">
          <w:rPr>
            <w:noProof/>
            <w:webHidden/>
          </w:rPr>
        </w:r>
        <w:r w:rsidR="002E2A14">
          <w:rPr>
            <w:noProof/>
            <w:webHidden/>
          </w:rPr>
          <w:fldChar w:fldCharType="separate"/>
        </w:r>
        <w:r w:rsidR="002E2A14">
          <w:rPr>
            <w:noProof/>
            <w:webHidden/>
          </w:rPr>
          <w:t>13</w:t>
        </w:r>
        <w:r w:rsidR="002E2A14">
          <w:rPr>
            <w:noProof/>
            <w:webHidden/>
          </w:rPr>
          <w:fldChar w:fldCharType="end"/>
        </w:r>
      </w:hyperlink>
    </w:p>
    <w:p w14:paraId="419906A8" w14:textId="5F8EE8C4" w:rsidR="002E2A14" w:rsidRDefault="00936F04">
      <w:pPr>
        <w:pStyle w:val="Turinys1"/>
        <w:rPr>
          <w:rFonts w:eastAsiaTheme="minorEastAsia" w:cstheme="minorBidi"/>
          <w:b w:val="0"/>
          <w:bCs w:val="0"/>
          <w:caps w:val="0"/>
          <w:noProof/>
          <w:szCs w:val="22"/>
          <w:lang w:val="en-US" w:eastAsia="en-US"/>
        </w:rPr>
      </w:pPr>
      <w:hyperlink w:anchor="_Toc70514801" w:history="1">
        <w:r w:rsidR="002E2A14" w:rsidRPr="004E300E">
          <w:rPr>
            <w:rStyle w:val="Hipersaitas"/>
            <w:rFonts w:cstheme="minorHAnsi"/>
            <w:noProof/>
          </w:rPr>
          <w:t>24. Vietos savivalda</w:t>
        </w:r>
        <w:r w:rsidR="002E2A14">
          <w:rPr>
            <w:noProof/>
            <w:webHidden/>
          </w:rPr>
          <w:tab/>
        </w:r>
        <w:r w:rsidR="002E2A14">
          <w:rPr>
            <w:noProof/>
            <w:webHidden/>
          </w:rPr>
          <w:fldChar w:fldCharType="begin"/>
        </w:r>
        <w:r w:rsidR="002E2A14">
          <w:rPr>
            <w:noProof/>
            <w:webHidden/>
          </w:rPr>
          <w:instrText xml:space="preserve"> PAGEREF _Toc70514801 \h </w:instrText>
        </w:r>
        <w:r w:rsidR="002E2A14">
          <w:rPr>
            <w:noProof/>
            <w:webHidden/>
          </w:rPr>
        </w:r>
        <w:r w:rsidR="002E2A14">
          <w:rPr>
            <w:noProof/>
            <w:webHidden/>
          </w:rPr>
          <w:fldChar w:fldCharType="separate"/>
        </w:r>
        <w:r w:rsidR="002E2A14">
          <w:rPr>
            <w:noProof/>
            <w:webHidden/>
          </w:rPr>
          <w:t>14</w:t>
        </w:r>
        <w:r w:rsidR="002E2A14">
          <w:rPr>
            <w:noProof/>
            <w:webHidden/>
          </w:rPr>
          <w:fldChar w:fldCharType="end"/>
        </w:r>
      </w:hyperlink>
    </w:p>
    <w:p w14:paraId="26A130D3" w14:textId="2F22D55C" w:rsidR="002E2A14" w:rsidRDefault="00936F04">
      <w:pPr>
        <w:pStyle w:val="Turinys2"/>
        <w:rPr>
          <w:rFonts w:eastAsiaTheme="minorEastAsia" w:cstheme="minorBidi"/>
          <w:i w:val="0"/>
          <w:noProof/>
          <w:szCs w:val="22"/>
          <w:lang w:val="en-US" w:eastAsia="en-US"/>
        </w:rPr>
      </w:pPr>
      <w:hyperlink w:anchor="_Toc70514802" w:history="1">
        <w:r w:rsidR="002E2A14" w:rsidRPr="004E300E">
          <w:rPr>
            <w:rStyle w:val="Hipersaitas"/>
            <w:rFonts w:cstheme="minorHAnsi"/>
            <w:noProof/>
          </w:rPr>
          <w:t>Dėl mero pareigos bendradarbiauti su savivaldybės tarybos narių grupe, siekiančia inicijuoti savivaldybės gyventojų apklausą</w:t>
        </w:r>
        <w:r w:rsidR="002E2A14">
          <w:rPr>
            <w:noProof/>
            <w:webHidden/>
          </w:rPr>
          <w:tab/>
        </w:r>
        <w:r w:rsidR="002E2A14">
          <w:rPr>
            <w:noProof/>
            <w:webHidden/>
          </w:rPr>
          <w:fldChar w:fldCharType="begin"/>
        </w:r>
        <w:r w:rsidR="002E2A14">
          <w:rPr>
            <w:noProof/>
            <w:webHidden/>
          </w:rPr>
          <w:instrText xml:space="preserve"> PAGEREF _Toc70514802 \h </w:instrText>
        </w:r>
        <w:r w:rsidR="002E2A14">
          <w:rPr>
            <w:noProof/>
            <w:webHidden/>
          </w:rPr>
        </w:r>
        <w:r w:rsidR="002E2A14">
          <w:rPr>
            <w:noProof/>
            <w:webHidden/>
          </w:rPr>
          <w:fldChar w:fldCharType="separate"/>
        </w:r>
        <w:r w:rsidR="002E2A14">
          <w:rPr>
            <w:noProof/>
            <w:webHidden/>
          </w:rPr>
          <w:t>14</w:t>
        </w:r>
        <w:r w:rsidR="002E2A14">
          <w:rPr>
            <w:noProof/>
            <w:webHidden/>
          </w:rPr>
          <w:fldChar w:fldCharType="end"/>
        </w:r>
      </w:hyperlink>
    </w:p>
    <w:p w14:paraId="10DAE7AC" w14:textId="38FD0BAC" w:rsidR="002E2A14" w:rsidRDefault="00936F04">
      <w:pPr>
        <w:pStyle w:val="Turinys1"/>
        <w:rPr>
          <w:rFonts w:eastAsiaTheme="minorEastAsia" w:cstheme="minorBidi"/>
          <w:b w:val="0"/>
          <w:bCs w:val="0"/>
          <w:caps w:val="0"/>
          <w:noProof/>
          <w:szCs w:val="22"/>
          <w:lang w:val="en-US" w:eastAsia="en-US"/>
        </w:rPr>
      </w:pPr>
      <w:hyperlink w:anchor="_Toc70514803" w:history="1">
        <w:r w:rsidR="002E2A14" w:rsidRPr="004E300E">
          <w:rPr>
            <w:rStyle w:val="Hipersaitas"/>
            <w:rFonts w:cstheme="minorHAnsi"/>
            <w:noProof/>
          </w:rPr>
          <w:t>25.  Mokslas ir švietimas</w:t>
        </w:r>
        <w:r w:rsidR="002E2A14">
          <w:rPr>
            <w:noProof/>
            <w:webHidden/>
          </w:rPr>
          <w:tab/>
        </w:r>
        <w:r w:rsidR="002E2A14">
          <w:rPr>
            <w:noProof/>
            <w:webHidden/>
          </w:rPr>
          <w:fldChar w:fldCharType="begin"/>
        </w:r>
        <w:r w:rsidR="002E2A14">
          <w:rPr>
            <w:noProof/>
            <w:webHidden/>
          </w:rPr>
          <w:instrText xml:space="preserve"> PAGEREF _Toc70514803 \h </w:instrText>
        </w:r>
        <w:r w:rsidR="002E2A14">
          <w:rPr>
            <w:noProof/>
            <w:webHidden/>
          </w:rPr>
        </w:r>
        <w:r w:rsidR="002E2A14">
          <w:rPr>
            <w:noProof/>
            <w:webHidden/>
          </w:rPr>
          <w:fldChar w:fldCharType="separate"/>
        </w:r>
        <w:r w:rsidR="002E2A14">
          <w:rPr>
            <w:noProof/>
            <w:webHidden/>
          </w:rPr>
          <w:t>15</w:t>
        </w:r>
        <w:r w:rsidR="002E2A14">
          <w:rPr>
            <w:noProof/>
            <w:webHidden/>
          </w:rPr>
          <w:fldChar w:fldCharType="end"/>
        </w:r>
      </w:hyperlink>
    </w:p>
    <w:p w14:paraId="38F65CDE" w14:textId="5B44A558" w:rsidR="002E2A14" w:rsidRDefault="00936F04">
      <w:pPr>
        <w:pStyle w:val="Turinys2"/>
        <w:rPr>
          <w:rFonts w:eastAsiaTheme="minorEastAsia" w:cstheme="minorBidi"/>
          <w:i w:val="0"/>
          <w:noProof/>
          <w:szCs w:val="22"/>
          <w:lang w:val="en-US" w:eastAsia="en-US"/>
        </w:rPr>
      </w:pPr>
      <w:hyperlink w:anchor="_Toc70514804" w:history="1">
        <w:r w:rsidR="002E2A14" w:rsidRPr="004E300E">
          <w:rPr>
            <w:rStyle w:val="Hipersaitas"/>
            <w:noProof/>
          </w:rPr>
          <w:t>Dėl įstatymo taikymo akademinės etikos pažeidimams, kurie įvykdyti prieš šio įstatymo įsigaliojimą</w:t>
        </w:r>
        <w:r w:rsidR="002E2A14">
          <w:rPr>
            <w:noProof/>
            <w:webHidden/>
          </w:rPr>
          <w:tab/>
        </w:r>
        <w:r w:rsidR="002E2A14">
          <w:rPr>
            <w:noProof/>
            <w:webHidden/>
          </w:rPr>
          <w:fldChar w:fldCharType="begin"/>
        </w:r>
        <w:r w:rsidR="002E2A14">
          <w:rPr>
            <w:noProof/>
            <w:webHidden/>
          </w:rPr>
          <w:instrText xml:space="preserve"> PAGEREF _Toc70514804 \h </w:instrText>
        </w:r>
        <w:r w:rsidR="002E2A14">
          <w:rPr>
            <w:noProof/>
            <w:webHidden/>
          </w:rPr>
        </w:r>
        <w:r w:rsidR="002E2A14">
          <w:rPr>
            <w:noProof/>
            <w:webHidden/>
          </w:rPr>
          <w:fldChar w:fldCharType="separate"/>
        </w:r>
        <w:r w:rsidR="002E2A14">
          <w:rPr>
            <w:noProof/>
            <w:webHidden/>
          </w:rPr>
          <w:t>15</w:t>
        </w:r>
        <w:r w:rsidR="002E2A14">
          <w:rPr>
            <w:noProof/>
            <w:webHidden/>
          </w:rPr>
          <w:fldChar w:fldCharType="end"/>
        </w:r>
      </w:hyperlink>
    </w:p>
    <w:p w14:paraId="5E559101" w14:textId="207BB456" w:rsidR="002E2A14" w:rsidRDefault="00936F04">
      <w:pPr>
        <w:pStyle w:val="Turinys1"/>
        <w:rPr>
          <w:rFonts w:eastAsiaTheme="minorEastAsia" w:cstheme="minorBidi"/>
          <w:b w:val="0"/>
          <w:bCs w:val="0"/>
          <w:caps w:val="0"/>
          <w:noProof/>
          <w:szCs w:val="22"/>
          <w:lang w:val="en-US" w:eastAsia="en-US"/>
        </w:rPr>
      </w:pPr>
      <w:hyperlink w:anchor="_Toc70514805" w:history="1">
        <w:r w:rsidR="002E2A14" w:rsidRPr="004E300E">
          <w:rPr>
            <w:rStyle w:val="Hipersaitas"/>
            <w:rFonts w:eastAsia="Calibri" w:cstheme="minorHAnsi"/>
            <w:noProof/>
            <w:lang w:eastAsia="en-US"/>
          </w:rPr>
          <w:t>34. Tabako ir alkoholio kontrolė</w:t>
        </w:r>
        <w:r w:rsidR="002E2A14">
          <w:rPr>
            <w:noProof/>
            <w:webHidden/>
          </w:rPr>
          <w:tab/>
        </w:r>
        <w:r w:rsidR="002E2A14">
          <w:rPr>
            <w:noProof/>
            <w:webHidden/>
          </w:rPr>
          <w:fldChar w:fldCharType="begin"/>
        </w:r>
        <w:r w:rsidR="002E2A14">
          <w:rPr>
            <w:noProof/>
            <w:webHidden/>
          </w:rPr>
          <w:instrText xml:space="preserve"> PAGEREF _Toc70514805 \h </w:instrText>
        </w:r>
        <w:r w:rsidR="002E2A14">
          <w:rPr>
            <w:noProof/>
            <w:webHidden/>
          </w:rPr>
        </w:r>
        <w:r w:rsidR="002E2A14">
          <w:rPr>
            <w:noProof/>
            <w:webHidden/>
          </w:rPr>
          <w:fldChar w:fldCharType="separate"/>
        </w:r>
        <w:r w:rsidR="002E2A14">
          <w:rPr>
            <w:noProof/>
            <w:webHidden/>
          </w:rPr>
          <w:t>17</w:t>
        </w:r>
        <w:r w:rsidR="002E2A14">
          <w:rPr>
            <w:noProof/>
            <w:webHidden/>
          </w:rPr>
          <w:fldChar w:fldCharType="end"/>
        </w:r>
      </w:hyperlink>
    </w:p>
    <w:p w14:paraId="13A8C3D5" w14:textId="02CFF872" w:rsidR="002E2A14" w:rsidRDefault="00936F04">
      <w:pPr>
        <w:pStyle w:val="Turinys2"/>
        <w:rPr>
          <w:rFonts w:eastAsiaTheme="minorEastAsia" w:cstheme="minorBidi"/>
          <w:i w:val="0"/>
          <w:noProof/>
          <w:szCs w:val="22"/>
          <w:lang w:val="en-US" w:eastAsia="en-US"/>
        </w:rPr>
      </w:pPr>
      <w:hyperlink w:anchor="_Toc70514806" w:history="1">
        <w:r w:rsidR="002E2A14" w:rsidRPr="004E300E">
          <w:rPr>
            <w:rStyle w:val="Hipersaitas"/>
            <w:rFonts w:cstheme="minorHAnsi"/>
            <w:noProof/>
          </w:rPr>
          <w:t>Dėl stendo su alkoholinio gėrimo prekės ženklu, prie kurio galima nusifotografuoti ir pasiimti nuotrauką, vertinimo kaip Alkoholio kontrolės įstatymo draudžiamos akcijos</w:t>
        </w:r>
        <w:r w:rsidR="002E2A14">
          <w:rPr>
            <w:noProof/>
            <w:webHidden/>
          </w:rPr>
          <w:tab/>
        </w:r>
        <w:r w:rsidR="002E2A14">
          <w:rPr>
            <w:noProof/>
            <w:webHidden/>
          </w:rPr>
          <w:fldChar w:fldCharType="begin"/>
        </w:r>
        <w:r w:rsidR="002E2A14">
          <w:rPr>
            <w:noProof/>
            <w:webHidden/>
          </w:rPr>
          <w:instrText xml:space="preserve"> PAGEREF _Toc70514806 \h </w:instrText>
        </w:r>
        <w:r w:rsidR="002E2A14">
          <w:rPr>
            <w:noProof/>
            <w:webHidden/>
          </w:rPr>
        </w:r>
        <w:r w:rsidR="002E2A14">
          <w:rPr>
            <w:noProof/>
            <w:webHidden/>
          </w:rPr>
          <w:fldChar w:fldCharType="separate"/>
        </w:r>
        <w:r w:rsidR="002E2A14">
          <w:rPr>
            <w:noProof/>
            <w:webHidden/>
          </w:rPr>
          <w:t>17</w:t>
        </w:r>
        <w:r w:rsidR="002E2A14">
          <w:rPr>
            <w:noProof/>
            <w:webHidden/>
          </w:rPr>
          <w:fldChar w:fldCharType="end"/>
        </w:r>
      </w:hyperlink>
    </w:p>
    <w:p w14:paraId="4C6D8E81" w14:textId="0BD89CCB" w:rsidR="002E2A14" w:rsidRDefault="00936F04">
      <w:pPr>
        <w:pStyle w:val="Turinys1"/>
        <w:rPr>
          <w:rFonts w:eastAsiaTheme="minorEastAsia" w:cstheme="minorBidi"/>
          <w:b w:val="0"/>
          <w:bCs w:val="0"/>
          <w:caps w:val="0"/>
          <w:noProof/>
          <w:szCs w:val="22"/>
          <w:lang w:val="en-US" w:eastAsia="en-US"/>
        </w:rPr>
      </w:pPr>
      <w:hyperlink w:anchor="_Toc70514807" w:history="1">
        <w:r w:rsidR="002E2A14" w:rsidRPr="004E300E">
          <w:rPr>
            <w:rStyle w:val="Hipersaitas"/>
            <w:rFonts w:cstheme="minorHAnsi"/>
            <w:noProof/>
          </w:rPr>
          <w:t>36. Ginklų ir šaudmenų kontrolė</w:t>
        </w:r>
        <w:r w:rsidR="002E2A14">
          <w:rPr>
            <w:noProof/>
            <w:webHidden/>
          </w:rPr>
          <w:tab/>
        </w:r>
        <w:r w:rsidR="002E2A14">
          <w:rPr>
            <w:noProof/>
            <w:webHidden/>
          </w:rPr>
          <w:fldChar w:fldCharType="begin"/>
        </w:r>
        <w:r w:rsidR="002E2A14">
          <w:rPr>
            <w:noProof/>
            <w:webHidden/>
          </w:rPr>
          <w:instrText xml:space="preserve"> PAGEREF _Toc70514807 \h </w:instrText>
        </w:r>
        <w:r w:rsidR="002E2A14">
          <w:rPr>
            <w:noProof/>
            <w:webHidden/>
          </w:rPr>
        </w:r>
        <w:r w:rsidR="002E2A14">
          <w:rPr>
            <w:noProof/>
            <w:webHidden/>
          </w:rPr>
          <w:fldChar w:fldCharType="separate"/>
        </w:r>
        <w:r w:rsidR="002E2A14">
          <w:rPr>
            <w:noProof/>
            <w:webHidden/>
          </w:rPr>
          <w:t>17</w:t>
        </w:r>
        <w:r w:rsidR="002E2A14">
          <w:rPr>
            <w:noProof/>
            <w:webHidden/>
          </w:rPr>
          <w:fldChar w:fldCharType="end"/>
        </w:r>
      </w:hyperlink>
    </w:p>
    <w:p w14:paraId="2200D9AF" w14:textId="34444DED" w:rsidR="002E2A14" w:rsidRDefault="00936F04">
      <w:pPr>
        <w:pStyle w:val="Turinys2"/>
        <w:rPr>
          <w:rFonts w:eastAsiaTheme="minorEastAsia" w:cstheme="minorBidi"/>
          <w:i w:val="0"/>
          <w:noProof/>
          <w:szCs w:val="22"/>
          <w:lang w:val="en-US" w:eastAsia="en-US"/>
        </w:rPr>
      </w:pPr>
      <w:hyperlink w:anchor="_Toc70514808" w:history="1">
        <w:r w:rsidR="002E2A14" w:rsidRPr="004E300E">
          <w:rPr>
            <w:rStyle w:val="Hipersaitas"/>
            <w:rFonts w:cstheme="minorHAnsi"/>
            <w:noProof/>
          </w:rPr>
          <w:t>Dėl nepriekaištingos reputacijos vertinimo asmeniui siekiant gauti leidimą įsigyti ir turėti ginklą, kai nepakeistas ginčui aktualus teisinis reguliavimas, Konstituciniam Teismui pripažinus jį prieštaraujančiu Konstitucijai</w:t>
        </w:r>
        <w:r w:rsidR="002E2A14">
          <w:rPr>
            <w:noProof/>
            <w:webHidden/>
          </w:rPr>
          <w:tab/>
        </w:r>
        <w:r w:rsidR="002E2A14">
          <w:rPr>
            <w:noProof/>
            <w:webHidden/>
          </w:rPr>
          <w:fldChar w:fldCharType="begin"/>
        </w:r>
        <w:r w:rsidR="002E2A14">
          <w:rPr>
            <w:noProof/>
            <w:webHidden/>
          </w:rPr>
          <w:instrText xml:space="preserve"> PAGEREF _Toc70514808 \h </w:instrText>
        </w:r>
        <w:r w:rsidR="002E2A14">
          <w:rPr>
            <w:noProof/>
            <w:webHidden/>
          </w:rPr>
        </w:r>
        <w:r w:rsidR="002E2A14">
          <w:rPr>
            <w:noProof/>
            <w:webHidden/>
          </w:rPr>
          <w:fldChar w:fldCharType="separate"/>
        </w:r>
        <w:r w:rsidR="002E2A14">
          <w:rPr>
            <w:noProof/>
            <w:webHidden/>
          </w:rPr>
          <w:t>18</w:t>
        </w:r>
        <w:r w:rsidR="002E2A14">
          <w:rPr>
            <w:noProof/>
            <w:webHidden/>
          </w:rPr>
          <w:fldChar w:fldCharType="end"/>
        </w:r>
      </w:hyperlink>
    </w:p>
    <w:p w14:paraId="15ABDADB" w14:textId="1756A28F" w:rsidR="002E2A14" w:rsidRDefault="00936F04">
      <w:pPr>
        <w:pStyle w:val="Turinys1"/>
        <w:rPr>
          <w:rFonts w:eastAsiaTheme="minorEastAsia" w:cstheme="minorBidi"/>
          <w:b w:val="0"/>
          <w:bCs w:val="0"/>
          <w:caps w:val="0"/>
          <w:noProof/>
          <w:szCs w:val="22"/>
          <w:lang w:val="en-US" w:eastAsia="en-US"/>
        </w:rPr>
      </w:pPr>
      <w:hyperlink w:anchor="_Toc70514809" w:history="1">
        <w:r w:rsidR="002E2A14" w:rsidRPr="004E300E">
          <w:rPr>
            <w:rStyle w:val="Hipersaitas"/>
            <w:rFonts w:cstheme="minorHAnsi"/>
            <w:noProof/>
          </w:rPr>
          <w:t>37. Bausmių vykdymo ir suėmimo sąlygos</w:t>
        </w:r>
        <w:r w:rsidR="002E2A14">
          <w:rPr>
            <w:noProof/>
            <w:webHidden/>
          </w:rPr>
          <w:tab/>
        </w:r>
        <w:r w:rsidR="002E2A14">
          <w:rPr>
            <w:noProof/>
            <w:webHidden/>
          </w:rPr>
          <w:fldChar w:fldCharType="begin"/>
        </w:r>
        <w:r w:rsidR="002E2A14">
          <w:rPr>
            <w:noProof/>
            <w:webHidden/>
          </w:rPr>
          <w:instrText xml:space="preserve"> PAGEREF _Toc70514809 \h </w:instrText>
        </w:r>
        <w:r w:rsidR="002E2A14">
          <w:rPr>
            <w:noProof/>
            <w:webHidden/>
          </w:rPr>
        </w:r>
        <w:r w:rsidR="002E2A14">
          <w:rPr>
            <w:noProof/>
            <w:webHidden/>
          </w:rPr>
          <w:fldChar w:fldCharType="separate"/>
        </w:r>
        <w:r w:rsidR="002E2A14">
          <w:rPr>
            <w:noProof/>
            <w:webHidden/>
          </w:rPr>
          <w:t>19</w:t>
        </w:r>
        <w:r w:rsidR="002E2A14">
          <w:rPr>
            <w:noProof/>
            <w:webHidden/>
          </w:rPr>
          <w:fldChar w:fldCharType="end"/>
        </w:r>
      </w:hyperlink>
    </w:p>
    <w:p w14:paraId="7CF7B396" w14:textId="275B5AE2" w:rsidR="002E2A14" w:rsidRDefault="00936F04">
      <w:pPr>
        <w:pStyle w:val="Turinys2"/>
        <w:rPr>
          <w:rFonts w:eastAsiaTheme="minorEastAsia" w:cstheme="minorBidi"/>
          <w:i w:val="0"/>
          <w:noProof/>
          <w:szCs w:val="22"/>
          <w:lang w:val="en-US" w:eastAsia="en-US"/>
        </w:rPr>
      </w:pPr>
      <w:hyperlink w:anchor="_Toc70514810" w:history="1">
        <w:r w:rsidR="002E2A14" w:rsidRPr="004E300E">
          <w:rPr>
            <w:rStyle w:val="Hipersaitas"/>
            <w:rFonts w:cstheme="minorHAnsi"/>
            <w:noProof/>
          </w:rPr>
          <w:t>Dėl nuteistojo perkėlimo atlikti bausmę į kardomojo kalinimo (ne pataisos) įstaigą</w:t>
        </w:r>
        <w:r w:rsidR="002E2A14">
          <w:rPr>
            <w:noProof/>
            <w:webHidden/>
          </w:rPr>
          <w:tab/>
        </w:r>
        <w:r w:rsidR="002E2A14">
          <w:rPr>
            <w:noProof/>
            <w:webHidden/>
          </w:rPr>
          <w:fldChar w:fldCharType="begin"/>
        </w:r>
        <w:r w:rsidR="002E2A14">
          <w:rPr>
            <w:noProof/>
            <w:webHidden/>
          </w:rPr>
          <w:instrText xml:space="preserve"> PAGEREF _Toc70514810 \h </w:instrText>
        </w:r>
        <w:r w:rsidR="002E2A14">
          <w:rPr>
            <w:noProof/>
            <w:webHidden/>
          </w:rPr>
        </w:r>
        <w:r w:rsidR="002E2A14">
          <w:rPr>
            <w:noProof/>
            <w:webHidden/>
          </w:rPr>
          <w:fldChar w:fldCharType="separate"/>
        </w:r>
        <w:r w:rsidR="002E2A14">
          <w:rPr>
            <w:noProof/>
            <w:webHidden/>
          </w:rPr>
          <w:t>19</w:t>
        </w:r>
        <w:r w:rsidR="002E2A14">
          <w:rPr>
            <w:noProof/>
            <w:webHidden/>
          </w:rPr>
          <w:fldChar w:fldCharType="end"/>
        </w:r>
      </w:hyperlink>
    </w:p>
    <w:p w14:paraId="45B16BE4" w14:textId="756F7224" w:rsidR="002E2A14" w:rsidRDefault="00936F04">
      <w:pPr>
        <w:pStyle w:val="Turinys1"/>
        <w:rPr>
          <w:rFonts w:eastAsiaTheme="minorEastAsia" w:cstheme="minorBidi"/>
          <w:b w:val="0"/>
          <w:bCs w:val="0"/>
          <w:caps w:val="0"/>
          <w:noProof/>
          <w:szCs w:val="22"/>
          <w:lang w:val="en-US" w:eastAsia="en-US"/>
        </w:rPr>
      </w:pPr>
      <w:hyperlink w:anchor="_Toc70514811" w:history="1">
        <w:r w:rsidR="002E2A14" w:rsidRPr="004E300E">
          <w:rPr>
            <w:rStyle w:val="Hipersaitas"/>
            <w:rFonts w:cstheme="minorHAnsi"/>
            <w:noProof/>
          </w:rPr>
          <w:t>41. Kiti ginčai viešojo administravimo srityje</w:t>
        </w:r>
        <w:r w:rsidR="002E2A14">
          <w:rPr>
            <w:noProof/>
            <w:webHidden/>
          </w:rPr>
          <w:tab/>
        </w:r>
        <w:r w:rsidR="002E2A14">
          <w:rPr>
            <w:noProof/>
            <w:webHidden/>
          </w:rPr>
          <w:fldChar w:fldCharType="begin"/>
        </w:r>
        <w:r w:rsidR="002E2A14">
          <w:rPr>
            <w:noProof/>
            <w:webHidden/>
          </w:rPr>
          <w:instrText xml:space="preserve"> PAGEREF _Toc70514811 \h </w:instrText>
        </w:r>
        <w:r w:rsidR="002E2A14">
          <w:rPr>
            <w:noProof/>
            <w:webHidden/>
          </w:rPr>
        </w:r>
        <w:r w:rsidR="002E2A14">
          <w:rPr>
            <w:noProof/>
            <w:webHidden/>
          </w:rPr>
          <w:fldChar w:fldCharType="separate"/>
        </w:r>
        <w:r w:rsidR="002E2A14">
          <w:rPr>
            <w:noProof/>
            <w:webHidden/>
          </w:rPr>
          <w:t>20</w:t>
        </w:r>
        <w:r w:rsidR="002E2A14">
          <w:rPr>
            <w:noProof/>
            <w:webHidden/>
          </w:rPr>
          <w:fldChar w:fldCharType="end"/>
        </w:r>
      </w:hyperlink>
    </w:p>
    <w:p w14:paraId="4284E0F8" w14:textId="642D4617" w:rsidR="002E2A14" w:rsidRDefault="00936F04">
      <w:pPr>
        <w:pStyle w:val="Turinys2"/>
        <w:rPr>
          <w:rFonts w:eastAsiaTheme="minorEastAsia" w:cstheme="minorBidi"/>
          <w:i w:val="0"/>
          <w:noProof/>
          <w:szCs w:val="22"/>
          <w:lang w:val="en-US" w:eastAsia="en-US"/>
        </w:rPr>
      </w:pPr>
      <w:hyperlink w:anchor="_Toc70514812" w:history="1">
        <w:r w:rsidR="002E2A14" w:rsidRPr="004E300E">
          <w:rPr>
            <w:rStyle w:val="Hipersaitas"/>
            <w:rFonts w:cstheme="minorHAnsi"/>
            <w:noProof/>
          </w:rPr>
          <w:t>Dėl sprendimo atlikti neplaninį patikrinimą pagal gautą anoniminį skundą motyvavimo</w:t>
        </w:r>
        <w:r w:rsidR="002E2A14">
          <w:rPr>
            <w:noProof/>
            <w:webHidden/>
          </w:rPr>
          <w:tab/>
        </w:r>
        <w:r w:rsidR="002E2A14">
          <w:rPr>
            <w:noProof/>
            <w:webHidden/>
          </w:rPr>
          <w:fldChar w:fldCharType="begin"/>
        </w:r>
        <w:r w:rsidR="002E2A14">
          <w:rPr>
            <w:noProof/>
            <w:webHidden/>
          </w:rPr>
          <w:instrText xml:space="preserve"> PAGEREF _Toc70514812 \h </w:instrText>
        </w:r>
        <w:r w:rsidR="002E2A14">
          <w:rPr>
            <w:noProof/>
            <w:webHidden/>
          </w:rPr>
        </w:r>
        <w:r w:rsidR="002E2A14">
          <w:rPr>
            <w:noProof/>
            <w:webHidden/>
          </w:rPr>
          <w:fldChar w:fldCharType="separate"/>
        </w:r>
        <w:r w:rsidR="002E2A14">
          <w:rPr>
            <w:noProof/>
            <w:webHidden/>
          </w:rPr>
          <w:t>20</w:t>
        </w:r>
        <w:r w:rsidR="002E2A14">
          <w:rPr>
            <w:noProof/>
            <w:webHidden/>
          </w:rPr>
          <w:fldChar w:fldCharType="end"/>
        </w:r>
      </w:hyperlink>
    </w:p>
    <w:p w14:paraId="7EB76D72" w14:textId="7E2B5455" w:rsidR="002E2A14" w:rsidRDefault="00936F04">
      <w:pPr>
        <w:pStyle w:val="Turinys1"/>
        <w:rPr>
          <w:rFonts w:eastAsiaTheme="minorEastAsia" w:cstheme="minorBidi"/>
          <w:b w:val="0"/>
          <w:bCs w:val="0"/>
          <w:caps w:val="0"/>
          <w:noProof/>
          <w:szCs w:val="22"/>
          <w:lang w:val="en-US" w:eastAsia="en-US"/>
        </w:rPr>
      </w:pPr>
      <w:hyperlink w:anchor="_Toc70514813" w:history="1">
        <w:r w:rsidR="002E2A14" w:rsidRPr="004E300E">
          <w:rPr>
            <w:rStyle w:val="Hipersaitas"/>
            <w:rFonts w:cstheme="minorHAnsi"/>
            <w:noProof/>
          </w:rPr>
          <w:t>II. Administracinių bylų teisena</w:t>
        </w:r>
        <w:r w:rsidR="002E2A14">
          <w:rPr>
            <w:noProof/>
            <w:webHidden/>
          </w:rPr>
          <w:tab/>
        </w:r>
        <w:r w:rsidR="002E2A14">
          <w:rPr>
            <w:noProof/>
            <w:webHidden/>
          </w:rPr>
          <w:fldChar w:fldCharType="begin"/>
        </w:r>
        <w:r w:rsidR="002E2A14">
          <w:rPr>
            <w:noProof/>
            <w:webHidden/>
          </w:rPr>
          <w:instrText xml:space="preserve"> PAGEREF _Toc70514813 \h </w:instrText>
        </w:r>
        <w:r w:rsidR="002E2A14">
          <w:rPr>
            <w:noProof/>
            <w:webHidden/>
          </w:rPr>
        </w:r>
        <w:r w:rsidR="002E2A14">
          <w:rPr>
            <w:noProof/>
            <w:webHidden/>
          </w:rPr>
          <w:fldChar w:fldCharType="separate"/>
        </w:r>
        <w:r w:rsidR="002E2A14">
          <w:rPr>
            <w:noProof/>
            <w:webHidden/>
          </w:rPr>
          <w:t>21</w:t>
        </w:r>
        <w:r w:rsidR="002E2A14">
          <w:rPr>
            <w:noProof/>
            <w:webHidden/>
          </w:rPr>
          <w:fldChar w:fldCharType="end"/>
        </w:r>
      </w:hyperlink>
    </w:p>
    <w:p w14:paraId="5DEEA912" w14:textId="5A77DFE9" w:rsidR="002E2A14" w:rsidRDefault="00936F04">
      <w:pPr>
        <w:pStyle w:val="Turinys1"/>
        <w:rPr>
          <w:rFonts w:eastAsiaTheme="minorEastAsia" w:cstheme="minorBidi"/>
          <w:b w:val="0"/>
          <w:bCs w:val="0"/>
          <w:caps w:val="0"/>
          <w:noProof/>
          <w:szCs w:val="22"/>
          <w:lang w:val="en-US" w:eastAsia="en-US"/>
        </w:rPr>
      </w:pPr>
      <w:hyperlink w:anchor="_Toc70514814" w:history="1">
        <w:r w:rsidR="002E2A14" w:rsidRPr="004E300E">
          <w:rPr>
            <w:rStyle w:val="Hipersaitas"/>
            <w:rFonts w:cstheme="minorHAnsi"/>
            <w:noProof/>
          </w:rPr>
          <w:t>43. Teisė kreiptis į teismą ir jos realizavimas</w:t>
        </w:r>
        <w:r w:rsidR="002E2A14">
          <w:rPr>
            <w:noProof/>
            <w:webHidden/>
          </w:rPr>
          <w:tab/>
        </w:r>
        <w:r w:rsidR="002E2A14">
          <w:rPr>
            <w:noProof/>
            <w:webHidden/>
          </w:rPr>
          <w:fldChar w:fldCharType="begin"/>
        </w:r>
        <w:r w:rsidR="002E2A14">
          <w:rPr>
            <w:noProof/>
            <w:webHidden/>
          </w:rPr>
          <w:instrText xml:space="preserve"> PAGEREF _Toc70514814 \h </w:instrText>
        </w:r>
        <w:r w:rsidR="002E2A14">
          <w:rPr>
            <w:noProof/>
            <w:webHidden/>
          </w:rPr>
        </w:r>
        <w:r w:rsidR="002E2A14">
          <w:rPr>
            <w:noProof/>
            <w:webHidden/>
          </w:rPr>
          <w:fldChar w:fldCharType="separate"/>
        </w:r>
        <w:r w:rsidR="002E2A14">
          <w:rPr>
            <w:noProof/>
            <w:webHidden/>
          </w:rPr>
          <w:t>21</w:t>
        </w:r>
        <w:r w:rsidR="002E2A14">
          <w:rPr>
            <w:noProof/>
            <w:webHidden/>
          </w:rPr>
          <w:fldChar w:fldCharType="end"/>
        </w:r>
      </w:hyperlink>
    </w:p>
    <w:p w14:paraId="27D8FEB8" w14:textId="3FC2226F" w:rsidR="002E2A14" w:rsidRDefault="00936F04">
      <w:pPr>
        <w:pStyle w:val="Turinys2"/>
        <w:rPr>
          <w:rFonts w:eastAsiaTheme="minorEastAsia" w:cstheme="minorBidi"/>
          <w:i w:val="0"/>
          <w:noProof/>
          <w:szCs w:val="22"/>
          <w:lang w:val="en-US" w:eastAsia="en-US"/>
        </w:rPr>
      </w:pPr>
      <w:hyperlink w:anchor="_Toc70514815" w:history="1">
        <w:r w:rsidR="002E2A14" w:rsidRPr="004E300E">
          <w:rPr>
            <w:rStyle w:val="Hipersaitas"/>
            <w:noProof/>
          </w:rPr>
          <w:t>Dėl suinteresuotumo ginčyti pareiškėjui tiesiogiai neadresuotą sprendimą, suteikiantį teisę tam tikram ūkio subjektui naudoti radijo dažnius</w:t>
        </w:r>
        <w:r w:rsidR="002E2A14">
          <w:rPr>
            <w:noProof/>
            <w:webHidden/>
          </w:rPr>
          <w:tab/>
        </w:r>
        <w:r w:rsidR="002E2A14">
          <w:rPr>
            <w:noProof/>
            <w:webHidden/>
          </w:rPr>
          <w:fldChar w:fldCharType="begin"/>
        </w:r>
        <w:r w:rsidR="002E2A14">
          <w:rPr>
            <w:noProof/>
            <w:webHidden/>
          </w:rPr>
          <w:instrText xml:space="preserve"> PAGEREF _Toc70514815 \h </w:instrText>
        </w:r>
        <w:r w:rsidR="002E2A14">
          <w:rPr>
            <w:noProof/>
            <w:webHidden/>
          </w:rPr>
        </w:r>
        <w:r w:rsidR="002E2A14">
          <w:rPr>
            <w:noProof/>
            <w:webHidden/>
          </w:rPr>
          <w:fldChar w:fldCharType="separate"/>
        </w:r>
        <w:r w:rsidR="002E2A14">
          <w:rPr>
            <w:noProof/>
            <w:webHidden/>
          </w:rPr>
          <w:t>21</w:t>
        </w:r>
        <w:r w:rsidR="002E2A14">
          <w:rPr>
            <w:noProof/>
            <w:webHidden/>
          </w:rPr>
          <w:fldChar w:fldCharType="end"/>
        </w:r>
      </w:hyperlink>
    </w:p>
    <w:p w14:paraId="4AB090E4" w14:textId="2D1983A2" w:rsidR="002E2A14" w:rsidRDefault="00936F04">
      <w:pPr>
        <w:pStyle w:val="Turinys2"/>
        <w:rPr>
          <w:rFonts w:eastAsiaTheme="minorEastAsia" w:cstheme="minorBidi"/>
          <w:i w:val="0"/>
          <w:noProof/>
          <w:szCs w:val="22"/>
          <w:lang w:val="en-US" w:eastAsia="en-US"/>
        </w:rPr>
      </w:pPr>
      <w:hyperlink w:anchor="_Toc70514816" w:history="1">
        <w:r w:rsidR="002E2A14" w:rsidRPr="004E300E">
          <w:rPr>
            <w:rStyle w:val="Hipersaitas"/>
            <w:noProof/>
          </w:rPr>
          <w:t>Dėl informacinėje sistemoje „Infostatyba“ pateiktų pastabų nepritarti projektui ginčijimo</w:t>
        </w:r>
        <w:r w:rsidR="002E2A14">
          <w:rPr>
            <w:noProof/>
            <w:webHidden/>
          </w:rPr>
          <w:tab/>
        </w:r>
        <w:r w:rsidR="002E2A14">
          <w:rPr>
            <w:noProof/>
            <w:webHidden/>
          </w:rPr>
          <w:fldChar w:fldCharType="begin"/>
        </w:r>
        <w:r w:rsidR="002E2A14">
          <w:rPr>
            <w:noProof/>
            <w:webHidden/>
          </w:rPr>
          <w:instrText xml:space="preserve"> PAGEREF _Toc70514816 \h </w:instrText>
        </w:r>
        <w:r w:rsidR="002E2A14">
          <w:rPr>
            <w:noProof/>
            <w:webHidden/>
          </w:rPr>
        </w:r>
        <w:r w:rsidR="002E2A14">
          <w:rPr>
            <w:noProof/>
            <w:webHidden/>
          </w:rPr>
          <w:fldChar w:fldCharType="separate"/>
        </w:r>
        <w:r w:rsidR="002E2A14">
          <w:rPr>
            <w:noProof/>
            <w:webHidden/>
          </w:rPr>
          <w:t>21</w:t>
        </w:r>
        <w:r w:rsidR="002E2A14">
          <w:rPr>
            <w:noProof/>
            <w:webHidden/>
          </w:rPr>
          <w:fldChar w:fldCharType="end"/>
        </w:r>
      </w:hyperlink>
    </w:p>
    <w:p w14:paraId="72B34F92" w14:textId="10767484" w:rsidR="002E2A14" w:rsidRDefault="00936F04">
      <w:pPr>
        <w:pStyle w:val="Turinys2"/>
        <w:rPr>
          <w:rFonts w:eastAsiaTheme="minorEastAsia" w:cstheme="minorBidi"/>
          <w:i w:val="0"/>
          <w:noProof/>
          <w:szCs w:val="22"/>
          <w:lang w:val="en-US" w:eastAsia="en-US"/>
        </w:rPr>
      </w:pPr>
      <w:hyperlink w:anchor="_Toc70514817" w:history="1">
        <w:r w:rsidR="002E2A14" w:rsidRPr="004E300E">
          <w:rPr>
            <w:rStyle w:val="Hipersaitas"/>
            <w:noProof/>
          </w:rPr>
          <w:t>Dėl VMI pranešimų apie nesuvestus deklaracijų duomenis ginčijimo</w:t>
        </w:r>
        <w:r w:rsidR="002E2A14">
          <w:rPr>
            <w:noProof/>
            <w:webHidden/>
          </w:rPr>
          <w:tab/>
        </w:r>
        <w:r w:rsidR="002E2A14">
          <w:rPr>
            <w:noProof/>
            <w:webHidden/>
          </w:rPr>
          <w:fldChar w:fldCharType="begin"/>
        </w:r>
        <w:r w:rsidR="002E2A14">
          <w:rPr>
            <w:noProof/>
            <w:webHidden/>
          </w:rPr>
          <w:instrText xml:space="preserve"> PAGEREF _Toc70514817 \h </w:instrText>
        </w:r>
        <w:r w:rsidR="002E2A14">
          <w:rPr>
            <w:noProof/>
            <w:webHidden/>
          </w:rPr>
        </w:r>
        <w:r w:rsidR="002E2A14">
          <w:rPr>
            <w:noProof/>
            <w:webHidden/>
          </w:rPr>
          <w:fldChar w:fldCharType="separate"/>
        </w:r>
        <w:r w:rsidR="002E2A14">
          <w:rPr>
            <w:noProof/>
            <w:webHidden/>
          </w:rPr>
          <w:t>23</w:t>
        </w:r>
        <w:r w:rsidR="002E2A14">
          <w:rPr>
            <w:noProof/>
            <w:webHidden/>
          </w:rPr>
          <w:fldChar w:fldCharType="end"/>
        </w:r>
      </w:hyperlink>
    </w:p>
    <w:p w14:paraId="64007E96" w14:textId="2BD82C29" w:rsidR="002E2A14" w:rsidRDefault="00936F04">
      <w:pPr>
        <w:pStyle w:val="Turinys2"/>
        <w:rPr>
          <w:rFonts w:eastAsiaTheme="minorEastAsia" w:cstheme="minorBidi"/>
          <w:i w:val="0"/>
          <w:noProof/>
          <w:szCs w:val="22"/>
          <w:lang w:val="en-US" w:eastAsia="en-US"/>
        </w:rPr>
      </w:pPr>
      <w:hyperlink w:anchor="_Toc70514818" w:history="1">
        <w:r w:rsidR="002E2A14" w:rsidRPr="004E300E">
          <w:rPr>
            <w:rStyle w:val="Hipersaitas"/>
            <w:noProof/>
          </w:rPr>
          <w:t>Dėl pandemijos įtakos apskundimo terminui</w:t>
        </w:r>
        <w:r w:rsidR="002E2A14">
          <w:rPr>
            <w:noProof/>
            <w:webHidden/>
          </w:rPr>
          <w:tab/>
        </w:r>
        <w:r w:rsidR="002E2A14">
          <w:rPr>
            <w:noProof/>
            <w:webHidden/>
          </w:rPr>
          <w:fldChar w:fldCharType="begin"/>
        </w:r>
        <w:r w:rsidR="002E2A14">
          <w:rPr>
            <w:noProof/>
            <w:webHidden/>
          </w:rPr>
          <w:instrText xml:space="preserve"> PAGEREF _Toc70514818 \h </w:instrText>
        </w:r>
        <w:r w:rsidR="002E2A14">
          <w:rPr>
            <w:noProof/>
            <w:webHidden/>
          </w:rPr>
        </w:r>
        <w:r w:rsidR="002E2A14">
          <w:rPr>
            <w:noProof/>
            <w:webHidden/>
          </w:rPr>
          <w:fldChar w:fldCharType="separate"/>
        </w:r>
        <w:r w:rsidR="002E2A14">
          <w:rPr>
            <w:noProof/>
            <w:webHidden/>
          </w:rPr>
          <w:t>23</w:t>
        </w:r>
        <w:r w:rsidR="002E2A14">
          <w:rPr>
            <w:noProof/>
            <w:webHidden/>
          </w:rPr>
          <w:fldChar w:fldCharType="end"/>
        </w:r>
      </w:hyperlink>
    </w:p>
    <w:p w14:paraId="020525B9" w14:textId="058267E2" w:rsidR="002E2A14" w:rsidRDefault="00936F04">
      <w:pPr>
        <w:pStyle w:val="Turinys2"/>
        <w:rPr>
          <w:rFonts w:eastAsiaTheme="minorEastAsia" w:cstheme="minorBidi"/>
          <w:i w:val="0"/>
          <w:noProof/>
          <w:szCs w:val="22"/>
          <w:lang w:val="en-US" w:eastAsia="en-US"/>
        </w:rPr>
      </w:pPr>
      <w:hyperlink w:anchor="_Toc70514819" w:history="1">
        <w:r w:rsidR="002E2A14" w:rsidRPr="004E300E">
          <w:rPr>
            <w:rStyle w:val="Hipersaitas"/>
            <w:noProof/>
          </w:rPr>
          <w:t>Dėl pareiškimo dėl teismo įsakymo išdavimo nagrinėjimo, kai yra pasibaigęs įstatymuose nustatytas terminas tik dėl dalies reikalavimų</w:t>
        </w:r>
        <w:r w:rsidR="002E2A14">
          <w:rPr>
            <w:noProof/>
            <w:webHidden/>
          </w:rPr>
          <w:tab/>
        </w:r>
        <w:r w:rsidR="002E2A14">
          <w:rPr>
            <w:noProof/>
            <w:webHidden/>
          </w:rPr>
          <w:fldChar w:fldCharType="begin"/>
        </w:r>
        <w:r w:rsidR="002E2A14">
          <w:rPr>
            <w:noProof/>
            <w:webHidden/>
          </w:rPr>
          <w:instrText xml:space="preserve"> PAGEREF _Toc70514819 \h </w:instrText>
        </w:r>
        <w:r w:rsidR="002E2A14">
          <w:rPr>
            <w:noProof/>
            <w:webHidden/>
          </w:rPr>
        </w:r>
        <w:r w:rsidR="002E2A14">
          <w:rPr>
            <w:noProof/>
            <w:webHidden/>
          </w:rPr>
          <w:fldChar w:fldCharType="separate"/>
        </w:r>
        <w:r w:rsidR="002E2A14">
          <w:rPr>
            <w:noProof/>
            <w:webHidden/>
          </w:rPr>
          <w:t>24</w:t>
        </w:r>
        <w:r w:rsidR="002E2A14">
          <w:rPr>
            <w:noProof/>
            <w:webHidden/>
          </w:rPr>
          <w:fldChar w:fldCharType="end"/>
        </w:r>
      </w:hyperlink>
    </w:p>
    <w:p w14:paraId="1A84ECE5" w14:textId="02EFD276" w:rsidR="002E2A14" w:rsidRDefault="00936F04">
      <w:pPr>
        <w:pStyle w:val="Turinys1"/>
        <w:rPr>
          <w:rFonts w:eastAsiaTheme="minorEastAsia" w:cstheme="minorBidi"/>
          <w:b w:val="0"/>
          <w:bCs w:val="0"/>
          <w:caps w:val="0"/>
          <w:noProof/>
          <w:szCs w:val="22"/>
          <w:lang w:val="en-US" w:eastAsia="en-US"/>
        </w:rPr>
      </w:pPr>
      <w:hyperlink w:anchor="_Toc70514820" w:history="1">
        <w:r w:rsidR="002E2A14" w:rsidRPr="004E300E">
          <w:rPr>
            <w:rStyle w:val="Hipersaitas"/>
            <w:rFonts w:cstheme="minorHAnsi"/>
            <w:noProof/>
          </w:rPr>
          <w:t>56. Teismo sprendimo vykdymas</w:t>
        </w:r>
        <w:r w:rsidR="002E2A14">
          <w:rPr>
            <w:noProof/>
            <w:webHidden/>
          </w:rPr>
          <w:tab/>
        </w:r>
        <w:r w:rsidR="002E2A14">
          <w:rPr>
            <w:noProof/>
            <w:webHidden/>
          </w:rPr>
          <w:fldChar w:fldCharType="begin"/>
        </w:r>
        <w:r w:rsidR="002E2A14">
          <w:rPr>
            <w:noProof/>
            <w:webHidden/>
          </w:rPr>
          <w:instrText xml:space="preserve"> PAGEREF _Toc70514820 \h </w:instrText>
        </w:r>
        <w:r w:rsidR="002E2A14">
          <w:rPr>
            <w:noProof/>
            <w:webHidden/>
          </w:rPr>
        </w:r>
        <w:r w:rsidR="002E2A14">
          <w:rPr>
            <w:noProof/>
            <w:webHidden/>
          </w:rPr>
          <w:fldChar w:fldCharType="separate"/>
        </w:r>
        <w:r w:rsidR="002E2A14">
          <w:rPr>
            <w:noProof/>
            <w:webHidden/>
          </w:rPr>
          <w:t>24</w:t>
        </w:r>
        <w:r w:rsidR="002E2A14">
          <w:rPr>
            <w:noProof/>
            <w:webHidden/>
          </w:rPr>
          <w:fldChar w:fldCharType="end"/>
        </w:r>
      </w:hyperlink>
    </w:p>
    <w:p w14:paraId="7880D9FE" w14:textId="3B979AA7" w:rsidR="002E2A14" w:rsidRDefault="00936F04">
      <w:pPr>
        <w:pStyle w:val="Turinys2"/>
        <w:rPr>
          <w:rFonts w:eastAsiaTheme="minorEastAsia" w:cstheme="minorBidi"/>
          <w:i w:val="0"/>
          <w:noProof/>
          <w:szCs w:val="22"/>
          <w:lang w:val="en-US" w:eastAsia="en-US"/>
        </w:rPr>
      </w:pPr>
      <w:hyperlink w:anchor="_Toc70514821" w:history="1">
        <w:r w:rsidR="002E2A14" w:rsidRPr="004E300E">
          <w:rPr>
            <w:rStyle w:val="Hipersaitas"/>
            <w:rFonts w:cstheme="minorHAnsi"/>
            <w:noProof/>
          </w:rPr>
          <w:t>Dėl Covid-19 neigiamos įtakos ekonominei padėčiai vertinimo, sprendžiant dėl teismo sprendimo vykdymo atidėjimo ar išdėstymo</w:t>
        </w:r>
        <w:r w:rsidR="002E2A14">
          <w:rPr>
            <w:noProof/>
            <w:webHidden/>
          </w:rPr>
          <w:tab/>
        </w:r>
        <w:r w:rsidR="002E2A14">
          <w:rPr>
            <w:noProof/>
            <w:webHidden/>
          </w:rPr>
          <w:fldChar w:fldCharType="begin"/>
        </w:r>
        <w:r w:rsidR="002E2A14">
          <w:rPr>
            <w:noProof/>
            <w:webHidden/>
          </w:rPr>
          <w:instrText xml:space="preserve"> PAGEREF _Toc70514821 \h </w:instrText>
        </w:r>
        <w:r w:rsidR="002E2A14">
          <w:rPr>
            <w:noProof/>
            <w:webHidden/>
          </w:rPr>
        </w:r>
        <w:r w:rsidR="002E2A14">
          <w:rPr>
            <w:noProof/>
            <w:webHidden/>
          </w:rPr>
          <w:fldChar w:fldCharType="separate"/>
        </w:r>
        <w:r w:rsidR="002E2A14">
          <w:rPr>
            <w:noProof/>
            <w:webHidden/>
          </w:rPr>
          <w:t>24</w:t>
        </w:r>
        <w:r w:rsidR="002E2A14">
          <w:rPr>
            <w:noProof/>
            <w:webHidden/>
          </w:rPr>
          <w:fldChar w:fldCharType="end"/>
        </w:r>
      </w:hyperlink>
    </w:p>
    <w:p w14:paraId="030DD71E" w14:textId="0237DD16" w:rsidR="00BF0C24" w:rsidRPr="0014011D" w:rsidRDefault="00A364C6" w:rsidP="007A35C3">
      <w:pPr>
        <w:spacing w:before="240" w:after="240"/>
        <w:jc w:val="both"/>
        <w:rPr>
          <w:rFonts w:asciiTheme="minorHAnsi" w:hAnsiTheme="minorHAnsi" w:cstheme="minorHAnsi"/>
          <w:sz w:val="22"/>
          <w:szCs w:val="22"/>
        </w:rPr>
      </w:pPr>
      <w:r w:rsidRPr="0014011D">
        <w:rPr>
          <w:rFonts w:asciiTheme="minorHAnsi" w:hAnsiTheme="minorHAnsi" w:cstheme="minorHAnsi"/>
          <w:sz w:val="22"/>
          <w:szCs w:val="22"/>
        </w:rPr>
        <w:fldChar w:fldCharType="end"/>
      </w:r>
      <w:bookmarkEnd w:id="6"/>
      <w:bookmarkEnd w:id="8"/>
    </w:p>
    <w:p w14:paraId="49EDAC9C" w14:textId="77777777" w:rsidR="002505CB" w:rsidRPr="0014011D" w:rsidRDefault="002505CB" w:rsidP="007A35C3">
      <w:pPr>
        <w:spacing w:before="240" w:after="240"/>
        <w:jc w:val="both"/>
        <w:rPr>
          <w:rFonts w:asciiTheme="minorHAnsi" w:hAnsiTheme="minorHAnsi" w:cstheme="minorHAnsi"/>
          <w:sz w:val="22"/>
          <w:szCs w:val="22"/>
        </w:rPr>
      </w:pPr>
    </w:p>
    <w:p w14:paraId="450244D5" w14:textId="77777777" w:rsidR="00293CF6" w:rsidRPr="0014011D" w:rsidRDefault="00293CF6" w:rsidP="007A35C3">
      <w:pPr>
        <w:spacing w:before="240" w:after="240"/>
        <w:jc w:val="both"/>
        <w:rPr>
          <w:rFonts w:asciiTheme="minorHAnsi" w:hAnsiTheme="minorHAnsi" w:cstheme="minorHAnsi"/>
          <w:sz w:val="22"/>
          <w:szCs w:val="22"/>
        </w:rPr>
      </w:pPr>
      <w:r w:rsidRPr="0014011D">
        <w:rPr>
          <w:rFonts w:asciiTheme="minorHAnsi" w:hAnsiTheme="minorHAnsi" w:cstheme="minorHAnsi"/>
          <w:sz w:val="22"/>
          <w:szCs w:val="22"/>
        </w:rPr>
        <w:t>Šioje apžvalgoje vartojam</w:t>
      </w:r>
      <w:r w:rsidR="00BF0C24" w:rsidRPr="0014011D">
        <w:rPr>
          <w:rFonts w:asciiTheme="minorHAnsi" w:hAnsiTheme="minorHAnsi" w:cstheme="minorHAnsi"/>
          <w:sz w:val="22"/>
          <w:szCs w:val="22"/>
        </w:rPr>
        <w:t>os</w:t>
      </w:r>
      <w:r w:rsidRPr="0014011D">
        <w:rPr>
          <w:rFonts w:asciiTheme="minorHAnsi" w:hAnsiTheme="minorHAnsi" w:cstheme="minorHAnsi"/>
          <w:sz w:val="22"/>
          <w:szCs w:val="22"/>
        </w:rPr>
        <w:t xml:space="preserve"> </w:t>
      </w:r>
      <w:r w:rsidRPr="0014011D">
        <w:rPr>
          <w:rFonts w:asciiTheme="minorHAnsi" w:hAnsiTheme="minorHAnsi" w:cstheme="minorHAnsi"/>
          <w:b/>
          <w:sz w:val="22"/>
          <w:szCs w:val="22"/>
        </w:rPr>
        <w:t>s</w:t>
      </w:r>
      <w:r w:rsidR="00BF0C24" w:rsidRPr="0014011D">
        <w:rPr>
          <w:rFonts w:asciiTheme="minorHAnsi" w:hAnsiTheme="minorHAnsi" w:cstheme="minorHAnsi"/>
          <w:b/>
          <w:sz w:val="22"/>
          <w:szCs w:val="22"/>
        </w:rPr>
        <w:t>antrumpos</w:t>
      </w:r>
      <w:r w:rsidRPr="0014011D">
        <w:rPr>
          <w:rFonts w:asciiTheme="minorHAnsi" w:hAnsiTheme="minorHAnsi" w:cstheme="minorHAnsi"/>
          <w:sz w:val="22"/>
          <w:szCs w:val="22"/>
        </w:rPr>
        <w:t>:</w:t>
      </w:r>
    </w:p>
    <w:p w14:paraId="03178AAB" w14:textId="77777777" w:rsidR="002F1CF6" w:rsidRPr="0014011D" w:rsidRDefault="002F1CF6" w:rsidP="007A35C3">
      <w:pPr>
        <w:jc w:val="both"/>
        <w:rPr>
          <w:rFonts w:asciiTheme="minorHAnsi" w:hAnsiTheme="minorHAnsi" w:cstheme="minorHAnsi"/>
          <w:sz w:val="22"/>
          <w:szCs w:val="22"/>
        </w:rPr>
      </w:pPr>
      <w:r w:rsidRPr="0014011D">
        <w:rPr>
          <w:rFonts w:asciiTheme="minorHAnsi" w:hAnsiTheme="minorHAnsi" w:cstheme="minorHAnsi"/>
          <w:sz w:val="22"/>
          <w:szCs w:val="22"/>
        </w:rPr>
        <w:t xml:space="preserve">Lietuvos Respublikos administracinių bylų teisenos įstatymas – </w:t>
      </w:r>
      <w:r w:rsidRPr="0014011D">
        <w:rPr>
          <w:rFonts w:asciiTheme="minorHAnsi" w:hAnsiTheme="minorHAnsi" w:cstheme="minorHAnsi"/>
          <w:b/>
          <w:sz w:val="22"/>
          <w:szCs w:val="22"/>
        </w:rPr>
        <w:t>ABTĮ</w:t>
      </w:r>
      <w:r w:rsidRPr="0014011D">
        <w:rPr>
          <w:rFonts w:asciiTheme="minorHAnsi" w:hAnsiTheme="minorHAnsi" w:cstheme="minorHAnsi"/>
          <w:sz w:val="22"/>
          <w:szCs w:val="22"/>
        </w:rPr>
        <w:t xml:space="preserve"> </w:t>
      </w:r>
    </w:p>
    <w:p w14:paraId="7847AFF1" w14:textId="1448C05D" w:rsidR="007412F7" w:rsidRDefault="007412F7" w:rsidP="007412F7">
      <w:pPr>
        <w:jc w:val="both"/>
        <w:rPr>
          <w:rFonts w:asciiTheme="minorHAnsi" w:hAnsiTheme="minorHAnsi" w:cstheme="minorHAnsi"/>
          <w:b/>
          <w:sz w:val="22"/>
          <w:szCs w:val="22"/>
        </w:rPr>
      </w:pPr>
      <w:r w:rsidRPr="0014011D">
        <w:rPr>
          <w:rFonts w:asciiTheme="minorHAnsi" w:hAnsiTheme="minorHAnsi" w:cstheme="minorHAnsi"/>
          <w:sz w:val="22"/>
          <w:szCs w:val="22"/>
        </w:rPr>
        <w:t xml:space="preserve">Lietuvos vyriausiasis administracinis teismas – </w:t>
      </w:r>
      <w:r w:rsidRPr="0014011D">
        <w:rPr>
          <w:rFonts w:asciiTheme="minorHAnsi" w:hAnsiTheme="minorHAnsi" w:cstheme="minorHAnsi"/>
          <w:b/>
          <w:sz w:val="22"/>
          <w:szCs w:val="22"/>
        </w:rPr>
        <w:t>LVAT</w:t>
      </w:r>
    </w:p>
    <w:p w14:paraId="46087698" w14:textId="0DF078A8" w:rsidR="002E2A14" w:rsidRPr="0014011D" w:rsidRDefault="002E2A14" w:rsidP="007412F7">
      <w:pPr>
        <w:jc w:val="both"/>
        <w:rPr>
          <w:rFonts w:asciiTheme="minorHAnsi" w:hAnsiTheme="minorHAnsi" w:cstheme="minorHAnsi"/>
          <w:sz w:val="22"/>
          <w:szCs w:val="22"/>
        </w:rPr>
      </w:pPr>
      <w:r w:rsidRPr="002E2A14">
        <w:rPr>
          <w:rFonts w:asciiTheme="minorHAnsi" w:hAnsiTheme="minorHAnsi" w:cstheme="minorHAnsi"/>
          <w:bCs/>
          <w:sz w:val="22"/>
          <w:szCs w:val="22"/>
        </w:rPr>
        <w:t xml:space="preserve">Akcinė bendrovė – </w:t>
      </w:r>
      <w:r>
        <w:rPr>
          <w:rFonts w:asciiTheme="minorHAnsi" w:hAnsiTheme="minorHAnsi" w:cstheme="minorHAnsi"/>
          <w:b/>
          <w:sz w:val="22"/>
          <w:szCs w:val="22"/>
        </w:rPr>
        <w:t xml:space="preserve">AB </w:t>
      </w:r>
    </w:p>
    <w:p w14:paraId="7135AD74" w14:textId="77777777" w:rsidR="003500F5" w:rsidRPr="0014011D" w:rsidRDefault="002F1CF6" w:rsidP="007A35C3">
      <w:pPr>
        <w:jc w:val="both"/>
        <w:rPr>
          <w:rFonts w:asciiTheme="minorHAnsi" w:hAnsiTheme="minorHAnsi" w:cstheme="minorHAnsi"/>
          <w:b/>
          <w:sz w:val="22"/>
          <w:szCs w:val="22"/>
        </w:rPr>
      </w:pPr>
      <w:r w:rsidRPr="0014011D">
        <w:rPr>
          <w:rFonts w:asciiTheme="minorHAnsi" w:hAnsiTheme="minorHAnsi" w:cstheme="minorHAnsi"/>
          <w:sz w:val="22"/>
          <w:szCs w:val="22"/>
        </w:rPr>
        <w:t xml:space="preserve">Uždaroji akcinė bendrovė – </w:t>
      </w:r>
      <w:r w:rsidRPr="0014011D">
        <w:rPr>
          <w:rFonts w:asciiTheme="minorHAnsi" w:hAnsiTheme="minorHAnsi" w:cstheme="minorHAnsi"/>
          <w:b/>
          <w:sz w:val="22"/>
          <w:szCs w:val="22"/>
        </w:rPr>
        <w:t>UAB</w:t>
      </w:r>
    </w:p>
    <w:p w14:paraId="334C338D" w14:textId="77777777" w:rsidR="004B5E60" w:rsidRPr="0014011D" w:rsidRDefault="00E227FE" w:rsidP="007A35C3">
      <w:pPr>
        <w:spacing w:before="240" w:after="240"/>
        <w:jc w:val="both"/>
        <w:rPr>
          <w:rFonts w:asciiTheme="minorHAnsi" w:hAnsiTheme="minorHAnsi" w:cstheme="minorHAnsi"/>
          <w:sz w:val="22"/>
          <w:szCs w:val="22"/>
        </w:rPr>
      </w:pPr>
      <w:r w:rsidRPr="0014011D">
        <w:rPr>
          <w:rFonts w:asciiTheme="minorHAnsi" w:hAnsiTheme="minorHAnsi" w:cstheme="minorHAnsi"/>
          <w:b/>
          <w:sz w:val="22"/>
          <w:szCs w:val="22"/>
        </w:rPr>
        <w:t>P</w:t>
      </w:r>
      <w:r w:rsidR="003D4C15" w:rsidRPr="0014011D">
        <w:rPr>
          <w:rFonts w:asciiTheme="minorHAnsi" w:hAnsiTheme="minorHAnsi" w:cstheme="minorHAnsi"/>
          <w:b/>
          <w:sz w:val="22"/>
          <w:szCs w:val="22"/>
        </w:rPr>
        <w:t>astaba.</w:t>
      </w:r>
      <w:r w:rsidR="003D4C15" w:rsidRPr="0014011D">
        <w:rPr>
          <w:rFonts w:asciiTheme="minorHAnsi" w:hAnsiTheme="minorHAnsi" w:cstheme="minorHAnsi"/>
          <w:sz w:val="22"/>
          <w:szCs w:val="22"/>
        </w:rPr>
        <w:t xml:space="preserve"> Šioje apžvalgoje pateikiamos neoficialios </w:t>
      </w:r>
      <w:r w:rsidR="0028287C" w:rsidRPr="0014011D">
        <w:rPr>
          <w:rFonts w:asciiTheme="minorHAnsi" w:hAnsiTheme="minorHAnsi" w:cstheme="minorHAnsi"/>
          <w:sz w:val="22"/>
          <w:szCs w:val="22"/>
        </w:rPr>
        <w:t>LVAT</w:t>
      </w:r>
      <w:r w:rsidR="003D4C15" w:rsidRPr="0014011D">
        <w:rPr>
          <w:rFonts w:asciiTheme="minorHAnsi" w:hAnsiTheme="minorHAnsi" w:cstheme="minorHAnsi"/>
          <w:sz w:val="22"/>
          <w:szCs w:val="22"/>
        </w:rPr>
        <w:t xml:space="preserve"> procesinių sprendimų santraukos, kurios LVAT nesaisto. Šis dokumentas yra skirtas tik info</w:t>
      </w:r>
      <w:r w:rsidR="009E6C8D" w:rsidRPr="0014011D">
        <w:rPr>
          <w:rFonts w:asciiTheme="minorHAnsi" w:hAnsiTheme="minorHAnsi" w:cstheme="minorHAnsi"/>
          <w:sz w:val="22"/>
          <w:szCs w:val="22"/>
        </w:rPr>
        <w:t>rm</w:t>
      </w:r>
      <w:r w:rsidR="0001474E" w:rsidRPr="0014011D">
        <w:rPr>
          <w:rFonts w:asciiTheme="minorHAnsi" w:hAnsiTheme="minorHAnsi" w:cstheme="minorHAnsi"/>
          <w:sz w:val="22"/>
          <w:szCs w:val="22"/>
        </w:rPr>
        <w:t>uoti</w:t>
      </w:r>
      <w:r w:rsidR="003D4C15" w:rsidRPr="0014011D">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14011D">
        <w:rPr>
          <w:rFonts w:asciiTheme="minorHAnsi" w:hAnsiTheme="minorHAnsi" w:cstheme="minorHAnsi"/>
          <w:sz w:val="22"/>
          <w:szCs w:val="22"/>
        </w:rPr>
        <w:t>16</w:t>
      </w:r>
      <w:r w:rsidR="003D4C15" w:rsidRPr="0014011D">
        <w:rPr>
          <w:rFonts w:asciiTheme="minorHAnsi" w:hAnsiTheme="minorHAnsi" w:cstheme="minorHAnsi"/>
          <w:sz w:val="22"/>
          <w:szCs w:val="22"/>
        </w:rPr>
        <w:t xml:space="preserve"> m. </w:t>
      </w:r>
      <w:r w:rsidR="0045102F" w:rsidRPr="0014011D">
        <w:rPr>
          <w:rFonts w:asciiTheme="minorHAnsi" w:hAnsiTheme="minorHAnsi" w:cstheme="minorHAnsi"/>
          <w:sz w:val="22"/>
          <w:szCs w:val="22"/>
        </w:rPr>
        <w:t>rugsėjo 30</w:t>
      </w:r>
      <w:r w:rsidR="009E6C8D" w:rsidRPr="0014011D">
        <w:rPr>
          <w:rFonts w:asciiTheme="minorHAnsi" w:hAnsiTheme="minorHAnsi" w:cstheme="minorHAnsi"/>
          <w:sz w:val="22"/>
          <w:szCs w:val="22"/>
        </w:rPr>
        <w:t> </w:t>
      </w:r>
      <w:r w:rsidR="00291483" w:rsidRPr="0014011D">
        <w:rPr>
          <w:rFonts w:asciiTheme="minorHAnsi" w:hAnsiTheme="minorHAnsi" w:cstheme="minorHAnsi"/>
          <w:sz w:val="22"/>
          <w:szCs w:val="22"/>
        </w:rPr>
        <w:t>d. nutarimu Nr. </w:t>
      </w:r>
      <w:r w:rsidR="003D4C15" w:rsidRPr="0014011D">
        <w:rPr>
          <w:rFonts w:asciiTheme="minorHAnsi" w:hAnsiTheme="minorHAnsi" w:cstheme="minorHAnsi"/>
          <w:sz w:val="22"/>
          <w:szCs w:val="22"/>
        </w:rPr>
        <w:t>13P-</w:t>
      </w:r>
      <w:r w:rsidR="0045102F" w:rsidRPr="0014011D">
        <w:rPr>
          <w:rFonts w:asciiTheme="minorHAnsi" w:hAnsiTheme="minorHAnsi" w:cstheme="minorHAnsi"/>
          <w:sz w:val="22"/>
          <w:szCs w:val="22"/>
        </w:rPr>
        <w:t>102</w:t>
      </w:r>
      <w:r w:rsidR="003D4C15" w:rsidRPr="0014011D">
        <w:rPr>
          <w:rFonts w:asciiTheme="minorHAnsi" w:hAnsiTheme="minorHAnsi" w:cstheme="minorHAnsi"/>
          <w:sz w:val="22"/>
          <w:szCs w:val="22"/>
        </w:rPr>
        <w:t>-(7.1.2) patvirtintu Teismų procesinių sprendimų administracinėse bylose kategorijų klasifikatoriumi</w:t>
      </w:r>
      <w:r w:rsidR="0038475E" w:rsidRPr="0014011D">
        <w:rPr>
          <w:rFonts w:asciiTheme="minorHAnsi" w:hAnsiTheme="minorHAnsi" w:cstheme="minorHAnsi"/>
          <w:sz w:val="22"/>
          <w:szCs w:val="22"/>
        </w:rPr>
        <w:t xml:space="preserve"> (nuo 2019 m. vasario 1 d. galiojanti redakcija)</w:t>
      </w:r>
      <w:r w:rsidR="003D4C15" w:rsidRPr="0014011D">
        <w:rPr>
          <w:rFonts w:asciiTheme="minorHAnsi" w:hAnsiTheme="minorHAnsi" w:cstheme="minorHAnsi"/>
          <w:sz w:val="22"/>
          <w:szCs w:val="22"/>
        </w:rPr>
        <w:t>.</w:t>
      </w:r>
      <w:bookmarkStart w:id="9" w:name="_Toc410389752"/>
      <w:bookmarkStart w:id="10" w:name="_Toc361146890"/>
      <w:bookmarkEnd w:id="7"/>
      <w:r w:rsidR="00CA65D3" w:rsidRPr="0014011D">
        <w:rPr>
          <w:rFonts w:asciiTheme="minorHAnsi" w:hAnsiTheme="minorHAnsi" w:cstheme="minorHAnsi"/>
          <w:sz w:val="22"/>
          <w:szCs w:val="22"/>
        </w:rPr>
        <w:t xml:space="preserve"> </w:t>
      </w:r>
    </w:p>
    <w:p w14:paraId="0D627E2B" w14:textId="77777777" w:rsidR="0007050C" w:rsidRPr="0014011D" w:rsidRDefault="0007050C" w:rsidP="007A35C3">
      <w:pPr>
        <w:spacing w:before="240" w:after="240"/>
        <w:jc w:val="both"/>
        <w:rPr>
          <w:rFonts w:asciiTheme="minorHAnsi" w:hAnsiTheme="minorHAnsi" w:cstheme="minorHAnsi"/>
          <w:sz w:val="22"/>
          <w:szCs w:val="22"/>
        </w:rPr>
      </w:pPr>
      <w:r w:rsidRPr="0014011D">
        <w:rPr>
          <w:rFonts w:asciiTheme="minorHAnsi" w:hAnsiTheme="minorHAnsi" w:cstheme="minorHAnsi"/>
          <w:sz w:val="22"/>
          <w:szCs w:val="22"/>
        </w:rPr>
        <w:br w:type="page"/>
      </w:r>
    </w:p>
    <w:p w14:paraId="168EF836" w14:textId="77777777" w:rsidR="00284990" w:rsidRPr="0014011D" w:rsidRDefault="00A84D45" w:rsidP="003C7F18">
      <w:pPr>
        <w:pStyle w:val="Apzvalgai1"/>
        <w:rPr>
          <w:rFonts w:asciiTheme="minorHAnsi" w:eastAsiaTheme="minorHAnsi" w:hAnsiTheme="minorHAnsi" w:cstheme="minorHAnsi"/>
        </w:rPr>
      </w:pPr>
      <w:bookmarkStart w:id="11" w:name="_Toc519600852"/>
      <w:bookmarkStart w:id="12" w:name="_Toc70514785"/>
      <w:r w:rsidRPr="0014011D">
        <w:rPr>
          <w:rFonts w:asciiTheme="minorHAnsi" w:hAnsiTheme="minorHAnsi" w:cstheme="minorHAnsi"/>
        </w:rPr>
        <w:lastRenderedPageBreak/>
        <w:t>I. Administracinės bylos, kylančios iš ginčų dėl teisės viešojo administravimo srityje</w:t>
      </w:r>
      <w:bookmarkEnd w:id="11"/>
      <w:bookmarkEnd w:id="12"/>
    </w:p>
    <w:p w14:paraId="45B1A6DF" w14:textId="77777777" w:rsidR="00A65D80" w:rsidRDefault="00A65D80" w:rsidP="00B62DE8">
      <w:pPr>
        <w:pStyle w:val="Apzvalgai1"/>
        <w:rPr>
          <w:rFonts w:asciiTheme="minorHAnsi" w:hAnsiTheme="minorHAnsi" w:cstheme="minorHAnsi"/>
        </w:rPr>
      </w:pPr>
      <w:bookmarkStart w:id="13" w:name="_Toc462149971"/>
    </w:p>
    <w:p w14:paraId="082CA697" w14:textId="45E6E37A" w:rsidR="00C25198" w:rsidRPr="0014011D" w:rsidRDefault="00C25198" w:rsidP="00B62DE8">
      <w:pPr>
        <w:pStyle w:val="Apzvalgai1"/>
        <w:rPr>
          <w:rFonts w:asciiTheme="minorHAnsi" w:hAnsiTheme="minorHAnsi" w:cstheme="minorHAnsi"/>
        </w:rPr>
      </w:pPr>
      <w:bookmarkStart w:id="14" w:name="_Toc70514786"/>
      <w:r w:rsidRPr="0014011D">
        <w:rPr>
          <w:rFonts w:asciiTheme="minorHAnsi" w:hAnsiTheme="minorHAnsi" w:cstheme="minorHAnsi"/>
        </w:rPr>
        <w:t>7. Socialinė apsauga</w:t>
      </w:r>
      <w:bookmarkEnd w:id="13"/>
      <w:bookmarkEnd w:id="14"/>
    </w:p>
    <w:p w14:paraId="33FFA674" w14:textId="77777777" w:rsidR="00C25198" w:rsidRPr="0014011D" w:rsidRDefault="00C25198" w:rsidP="00C25198">
      <w:pPr>
        <w:ind w:firstLine="567"/>
        <w:jc w:val="both"/>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7.3. Valstybinės socialinio draudimo pensijos ir kompensacijos</w:t>
      </w:r>
    </w:p>
    <w:p w14:paraId="71A1816F" w14:textId="77777777" w:rsidR="00C25198" w:rsidRPr="0014011D" w:rsidRDefault="00C25198" w:rsidP="00C25198">
      <w:pPr>
        <w:ind w:firstLine="1134"/>
        <w:jc w:val="both"/>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7.3.6. Kitos pensijos ir kompensacijos</w:t>
      </w:r>
    </w:p>
    <w:p w14:paraId="5BEF8299" w14:textId="77777777" w:rsidR="00C25198" w:rsidRPr="0014011D" w:rsidRDefault="00C25198" w:rsidP="00C25198">
      <w:pPr>
        <w:ind w:firstLine="567"/>
        <w:jc w:val="both"/>
        <w:rPr>
          <w:rFonts w:asciiTheme="minorHAnsi" w:eastAsia="Calibri" w:hAnsiTheme="minorHAnsi" w:cstheme="minorHAnsi"/>
          <w:b/>
          <w:sz w:val="22"/>
          <w:szCs w:val="22"/>
          <w:u w:val="single"/>
          <w:lang w:eastAsia="en-US"/>
        </w:rPr>
      </w:pPr>
    </w:p>
    <w:p w14:paraId="0E720A6A" w14:textId="77777777" w:rsidR="00C25198" w:rsidRPr="0014011D" w:rsidRDefault="00C25198" w:rsidP="00B62DE8">
      <w:pPr>
        <w:pStyle w:val="Antrat2"/>
        <w:rPr>
          <w:rFonts w:asciiTheme="minorHAnsi" w:hAnsiTheme="minorHAnsi" w:cstheme="minorHAnsi"/>
        </w:rPr>
      </w:pPr>
      <w:bookmarkStart w:id="15" w:name="_Toc70514787"/>
      <w:r w:rsidRPr="0014011D">
        <w:rPr>
          <w:rFonts w:asciiTheme="minorHAnsi" w:hAnsiTheme="minorHAnsi" w:cstheme="minorHAnsi"/>
        </w:rPr>
        <w:t>Dėl būsto šildymo, karšto ir geriamojo vandens išlaidų kompensacijos sumažinimo nustačius, jog asmuo nedalyvavo susirinkime svarstant ir priimant sprendimą dėl daugiabučio namo atnaujinimo (modernizavimo)</w:t>
      </w:r>
      <w:bookmarkEnd w:id="15"/>
    </w:p>
    <w:p w14:paraId="48064E63" w14:textId="77777777" w:rsidR="00C25198" w:rsidRPr="0014011D" w:rsidRDefault="00C25198" w:rsidP="00C25198">
      <w:pPr>
        <w:jc w:val="both"/>
        <w:rPr>
          <w:rFonts w:asciiTheme="minorHAnsi" w:hAnsiTheme="minorHAnsi" w:cstheme="minorHAnsi"/>
          <w:b/>
          <w:color w:val="000000"/>
          <w:sz w:val="22"/>
          <w:szCs w:val="22"/>
        </w:rPr>
      </w:pPr>
    </w:p>
    <w:p w14:paraId="34FA098D"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Nagrinėtu atveju ginčas kilo dėl</w:t>
      </w:r>
      <w:r w:rsidRPr="0014011D">
        <w:rPr>
          <w:rFonts w:asciiTheme="minorHAnsi" w:eastAsiaTheme="minorEastAsia" w:hAnsiTheme="minorHAnsi" w:cstheme="minorHAnsi"/>
          <w:sz w:val="22"/>
          <w:szCs w:val="22"/>
        </w:rPr>
        <w:t xml:space="preserve"> </w:t>
      </w:r>
      <w:r w:rsidRPr="0014011D">
        <w:rPr>
          <w:rFonts w:asciiTheme="minorHAnsi" w:hAnsiTheme="minorHAnsi" w:cstheme="minorHAnsi"/>
          <w:color w:val="000000"/>
          <w:sz w:val="22"/>
          <w:szCs w:val="22"/>
        </w:rPr>
        <w:t>savivaldybės administracijos sprendimų, kuriais pareiškėjui buvo sumažintos būsto šildymo, karšto ir geriamojo vandens išlaidų kompensacijos arba atsisakyta jas teikti Piniginės socialinės paramos nepasiturintiems gyventojams įstatymo (toliau – Įstatymas) 21 straipsnio 12 dalies pagrindu.</w:t>
      </w:r>
    </w:p>
    <w:p w14:paraId="774D3B0A"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Pirmosios instancijos teismas tenkino pareiškėjo skundą, pripažinęs, jog atsakovas netinkamai taikė Įstatymo 21 straipsnio 12 dalį, o vien pareiškėjo nedalyvavimas 2014 m. gruodžio 8 d. vykusiame būsto savininkų susirinkime, vėliau neatsisakius dalyvauti daugiabučio namo atnaujinimo projekte, nėra pakankamas tokiems sprendimams pagrįsti. Atsakovas Prienų rajono savivaldybės administracija su tokiu teismo sprendimu nesutiko.</w:t>
      </w:r>
    </w:p>
    <w:p w14:paraId="68DEE026" w14:textId="71F61ACB" w:rsidR="00C25198" w:rsidRPr="0014011D" w:rsidRDefault="00C25198" w:rsidP="50018204">
      <w:pPr>
        <w:ind w:firstLine="567"/>
        <w:jc w:val="both"/>
        <w:rPr>
          <w:rFonts w:asciiTheme="minorHAnsi" w:hAnsiTheme="minorHAnsi" w:cstheme="minorBidi"/>
          <w:color w:val="000000"/>
          <w:sz w:val="22"/>
          <w:szCs w:val="22"/>
        </w:rPr>
      </w:pPr>
      <w:r w:rsidRPr="50018204">
        <w:rPr>
          <w:rFonts w:asciiTheme="minorHAnsi" w:hAnsiTheme="minorHAnsi" w:cstheme="minorBidi"/>
          <w:color w:val="000000" w:themeColor="text1"/>
          <w:sz w:val="22"/>
          <w:szCs w:val="22"/>
        </w:rPr>
        <w:t>Įstatymo 21 straipsnio 12 dalis numato, kad jeigu bendrojo naudojimo objekto valdytojas arba savivaldybės programos įgyvendinimo administratorius savivaldybės administracijai pateikia dokumentus, patvirtinančius, kad daugiabučio namo buto savininkas</w:t>
      </w:r>
      <w:r w:rsidRPr="00A65D80">
        <w:rPr>
          <w:rFonts w:asciiTheme="minorHAnsi" w:hAnsiTheme="minorHAnsi" w:cstheme="minorBidi"/>
          <w:color w:val="000000" w:themeColor="text1"/>
          <w:sz w:val="22"/>
          <w:szCs w:val="22"/>
        </w:rPr>
        <w:t>, kuris turi teisę į būsto šildymo išlaidų kompensaciją arba ją gauna, nedalyvavo susirinkime svarstant ir priimant sprendimą dėl daugiabučio namo atnaujinimo (modernizavimo) projekto įgyvendinimo ir atsisakė dalyvauti įgyvendinant šį projektą, ir dėl šių asmenų veiksmų (neveikimo) daugiabučio namo atnaujinimo (modernizavimo) projektas nebuvo pradėtas įgyvendinti, nuo kito mėnesio, už kurį skiriama būsto šildymo kompensacija, jo bendrai gyvenantiems asmenims arba vienam gyvenančiam daugiabučio namo buto savininkui skiriama kompensuojama būsto šildymo išlaidų dalis mažinama 50 procentų, o nuo kito šildymo sezono būsto šildymo išlaidų kompensacija neskiriama, bet ne ilgiau kaip 3 metų šildymo sezonus nuo šių aplinkybių atsiradimo. Ši teisės norma</w:t>
      </w:r>
      <w:r w:rsidRPr="50018204">
        <w:rPr>
          <w:rFonts w:asciiTheme="minorHAnsi" w:hAnsiTheme="minorHAnsi" w:cstheme="minorBidi"/>
          <w:color w:val="000000" w:themeColor="text1"/>
          <w:sz w:val="22"/>
          <w:szCs w:val="22"/>
        </w:rPr>
        <w:t xml:space="preserve"> pažodžiui perkelta ir į Prienų rajono savivaldybės tarybos 2015 m. vasario 23 d. sprendimu Nr. T3-32 patvirtintos Piniginės socialinės paramos teikimo tvarkos apraš</w:t>
      </w:r>
      <w:r w:rsidR="6D4D28FB" w:rsidRPr="50018204">
        <w:rPr>
          <w:rFonts w:asciiTheme="minorHAnsi" w:hAnsiTheme="minorHAnsi" w:cstheme="minorBidi"/>
          <w:color w:val="000000" w:themeColor="text1"/>
          <w:sz w:val="22"/>
          <w:szCs w:val="22"/>
        </w:rPr>
        <w:t>o</w:t>
      </w:r>
      <w:r w:rsidRPr="50018204">
        <w:rPr>
          <w:rFonts w:asciiTheme="minorHAnsi" w:hAnsiTheme="minorHAnsi" w:cstheme="minorBidi"/>
          <w:color w:val="000000" w:themeColor="text1"/>
          <w:sz w:val="22"/>
          <w:szCs w:val="22"/>
        </w:rPr>
        <w:t xml:space="preserve"> ir lėšų piniginei socialinei paramai nustatymo metodikos 26 punktą.</w:t>
      </w:r>
    </w:p>
    <w:p w14:paraId="4949F2D6"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Taigi minėtas </w:t>
      </w:r>
      <w:r w:rsidRPr="0014011D">
        <w:rPr>
          <w:rFonts w:asciiTheme="minorHAnsi" w:hAnsiTheme="minorHAnsi" w:cstheme="minorHAnsi"/>
          <w:color w:val="000000"/>
          <w:sz w:val="22"/>
          <w:szCs w:val="22"/>
          <w:u w:val="single"/>
        </w:rPr>
        <w:t>teisinis reguliavimas daugiabučio namo butų savininkams, kurie kreipiasi dėl būsto šildymo išlaidų kompensacijų, numato ne tik pareigą dalyvauti svarstant ir priimant sprendimą susirinkime dėl daugiabučio namo atnaujinimo (modernizavimo) projekto įgyvendinimo, bet tuo pačiu, siekiant paskatinti daugiabučio namo butų savininkus dalyvauti daugiabučio namo atnaujinimo programoje, ir teisines pasekmes, kurios kyla, jeigu toks asmuo nedalyvavo susirinkime svarstant ir priimant sprendimą dėl daugiabučio namo atnaujinimo (modernizavimo) projekto įgyvendinimo ir atsisakė dalyvauti įgyvendinant šį projektą</w:t>
      </w:r>
      <w:r w:rsidRPr="0014011D">
        <w:rPr>
          <w:rFonts w:asciiTheme="minorHAnsi" w:hAnsiTheme="minorHAnsi" w:cstheme="minorHAnsi"/>
          <w:color w:val="000000"/>
          <w:sz w:val="22"/>
          <w:szCs w:val="22"/>
        </w:rPr>
        <w:t>.</w:t>
      </w:r>
    </w:p>
    <w:p w14:paraId="34F5DE33" w14:textId="548CDF28" w:rsidR="00C25198" w:rsidRPr="0014011D" w:rsidRDefault="00C25198" w:rsidP="50018204">
      <w:pPr>
        <w:ind w:firstLine="567"/>
        <w:jc w:val="both"/>
        <w:rPr>
          <w:rFonts w:asciiTheme="minorHAnsi" w:hAnsiTheme="minorHAnsi" w:cstheme="minorBidi"/>
          <w:color w:val="000000"/>
          <w:sz w:val="22"/>
          <w:szCs w:val="22"/>
          <w:u w:val="single"/>
        </w:rPr>
      </w:pPr>
      <w:r w:rsidRPr="50018204">
        <w:rPr>
          <w:rFonts w:asciiTheme="minorHAnsi" w:hAnsiTheme="minorHAnsi" w:cstheme="minorBidi"/>
          <w:color w:val="000000" w:themeColor="text1"/>
          <w:sz w:val="22"/>
          <w:szCs w:val="22"/>
        </w:rPr>
        <w:t>Teisėjų kolegija pripažino, kad</w:t>
      </w:r>
      <w:r w:rsidR="49E51F65" w:rsidRPr="50018204">
        <w:rPr>
          <w:rFonts w:asciiTheme="minorHAnsi" w:hAnsiTheme="minorHAnsi" w:cstheme="minorBidi"/>
          <w:color w:val="000000" w:themeColor="text1"/>
          <w:sz w:val="22"/>
          <w:szCs w:val="22"/>
        </w:rPr>
        <w:t>,</w:t>
      </w:r>
      <w:r w:rsidRPr="50018204">
        <w:rPr>
          <w:rFonts w:asciiTheme="minorHAnsi" w:hAnsiTheme="minorHAnsi" w:cstheme="minorBidi"/>
          <w:color w:val="000000" w:themeColor="text1"/>
          <w:sz w:val="22"/>
          <w:szCs w:val="22"/>
        </w:rPr>
        <w:t xml:space="preserve"> </w:t>
      </w:r>
      <w:r w:rsidRPr="50018204">
        <w:rPr>
          <w:rFonts w:asciiTheme="minorHAnsi" w:hAnsiTheme="minorHAnsi" w:cstheme="minorBidi"/>
          <w:color w:val="000000" w:themeColor="text1"/>
          <w:sz w:val="22"/>
          <w:szCs w:val="22"/>
          <w:u w:val="single"/>
        </w:rPr>
        <w:t>vertinant Įstatymo nuostatas bendrame kontekste, būsto savininko nedalyvavimas svarstant ir priimant sprendimą susirinkime dėl daugiabučio namo atnaujinimo (modernizavimo) projekto įgyvendinimo atskirais atvejais gali būti vertinamas ir kaip atsisakymas dalyvauti įgyvendinant tokį projektą, ir kaip veiksmai (neveikimas), dėl kurių toks projektas nebuvo pradėtas įgyvendinti. Tačiau tam būtina nustatyti, kad būtent būsto savininko veiksmai buvo pagrindinė priežastis, dėl ko susirinkime nebuvo priimtas sprendimas ir projektas nebuvo pradėtas įgyvendinti. Be to, kilus ginčui, būtent atsakovui tenka pareiga įrodyti, kad būsto savininkas atsisakė dalyvauti įgyvendinant sprendimą dėl daugiabučio namo atnaujinimo (modernizavimo).</w:t>
      </w:r>
    </w:p>
    <w:p w14:paraId="575A17ED"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Nagrinėtoje byloje tokių aplinkybių, kurios leistų neginčytinai nustatyti, jog būtent pareiškėjo nedalyvavimas 2014 m. gruodžio 8 d. susirinkime lėmė, kad sprendimas nebuvo priimtas ir tuo jis atsisakė dalyvauti projekto įgyvendinime, nėra. Priešingai, tolesni įvykiai rodė, kad pareiškėjas dalyvavo vėlesniuose būstų savininkų susirinkimuose, neatsisakė dalyvauti įgyvendinant daugiabučio namo atnaujinimo (modernizavimo) projektą, o namas, kuriame pareiškėjas gyvena, šiuo metu yra atnaujinamas. Taigi sutikta su pirmosios instancijos teismo išvada, jog pareiškėjui negalėjo kilti pasekmės, numatytos Įstatymo 21 straipsnio 12 dalyje.</w:t>
      </w:r>
    </w:p>
    <w:p w14:paraId="3654D14A" w14:textId="77777777" w:rsidR="00C25198" w:rsidRPr="0014011D" w:rsidRDefault="00C25198" w:rsidP="00C25198">
      <w:pPr>
        <w:ind w:firstLine="567"/>
        <w:jc w:val="both"/>
        <w:rPr>
          <w:rFonts w:asciiTheme="minorHAnsi" w:hAnsiTheme="minorHAnsi" w:cstheme="minorHAnsi"/>
          <w:color w:val="000000"/>
          <w:sz w:val="22"/>
          <w:szCs w:val="22"/>
          <w:u w:val="single"/>
        </w:rPr>
      </w:pPr>
      <w:r w:rsidRPr="0014011D">
        <w:rPr>
          <w:rFonts w:asciiTheme="minorHAnsi" w:hAnsiTheme="minorHAnsi" w:cstheme="minorHAnsi"/>
          <w:color w:val="000000"/>
          <w:sz w:val="22"/>
          <w:szCs w:val="22"/>
        </w:rPr>
        <w:t>Pirmosios instancijos teismas įrodymų vertinimo taisyklių nepažeidė ir byloje esančius įrodymus įvertino tinkamai, todėl pagrįstai sprendė, kad skundžiami atsakovo sprendimai nėra teisėti ir pagrįsti, todėl naikintini.</w:t>
      </w:r>
    </w:p>
    <w:p w14:paraId="6EEDD6D3" w14:textId="77777777" w:rsidR="00C25198" w:rsidRPr="0014011D" w:rsidRDefault="00C25198" w:rsidP="00C25198">
      <w:pPr>
        <w:ind w:firstLine="567"/>
        <w:jc w:val="both"/>
        <w:rPr>
          <w:rFonts w:asciiTheme="minorHAnsi" w:hAnsiTheme="minorHAnsi" w:cstheme="minorHAnsi"/>
          <w:color w:val="000000"/>
          <w:sz w:val="22"/>
          <w:szCs w:val="22"/>
        </w:rPr>
      </w:pPr>
    </w:p>
    <w:p w14:paraId="35575FC7"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2021 m. vasario 3 d. nutartis administracinėje byloje Nr. A-2428-552/2021</w:t>
      </w:r>
    </w:p>
    <w:p w14:paraId="74022A55"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Teisminio proceso Nr. </w:t>
      </w:r>
      <w:r w:rsidRPr="0014011D">
        <w:rPr>
          <w:rFonts w:asciiTheme="minorHAnsi" w:hAnsiTheme="minorHAnsi" w:cstheme="minorHAnsi"/>
          <w:bCs/>
          <w:color w:val="000000"/>
          <w:sz w:val="22"/>
          <w:szCs w:val="22"/>
        </w:rPr>
        <w:t>3-62-3-00838-2017-3</w:t>
      </w:r>
    </w:p>
    <w:p w14:paraId="121F054E"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lastRenderedPageBreak/>
        <w:t>Procesinio sprendimo kategorijos: 7.3.6; 7.8</w:t>
      </w:r>
    </w:p>
    <w:p w14:paraId="4B1B2FB7" w14:textId="77777777" w:rsidR="00C25198" w:rsidRPr="0014011D" w:rsidRDefault="00936F04" w:rsidP="00C25198">
      <w:pPr>
        <w:jc w:val="both"/>
        <w:rPr>
          <w:rFonts w:asciiTheme="minorHAnsi" w:eastAsiaTheme="minorHAnsi" w:hAnsiTheme="minorHAnsi" w:cstheme="minorHAnsi"/>
          <w:color w:val="0000FF"/>
          <w:sz w:val="22"/>
          <w:szCs w:val="22"/>
          <w:u w:val="single"/>
          <w:lang w:eastAsia="en-US"/>
        </w:rPr>
      </w:pPr>
      <w:hyperlink r:id="rId12" w:history="1">
        <w:r w:rsidR="00C25198" w:rsidRPr="0014011D">
          <w:rPr>
            <w:rStyle w:val="Hipersaitas"/>
            <w:rFonts w:asciiTheme="minorHAnsi" w:eastAsiaTheme="minorHAnsi" w:hAnsiTheme="minorHAnsi" w:cstheme="minorHAnsi"/>
            <w:sz w:val="22"/>
            <w:szCs w:val="22"/>
            <w:lang w:eastAsia="en-US"/>
          </w:rPr>
          <w:t>Prieiga internete</w:t>
        </w:r>
      </w:hyperlink>
    </w:p>
    <w:p w14:paraId="6D026A07" w14:textId="77777777" w:rsidR="00C25198" w:rsidRPr="0014011D" w:rsidRDefault="00C25198" w:rsidP="00C25198">
      <w:pPr>
        <w:ind w:firstLine="567"/>
        <w:jc w:val="both"/>
        <w:rPr>
          <w:rFonts w:asciiTheme="minorHAnsi" w:eastAsia="Calibri" w:hAnsiTheme="minorHAnsi" w:cstheme="minorHAnsi"/>
          <w:b/>
          <w:sz w:val="22"/>
          <w:szCs w:val="22"/>
          <w:u w:val="single"/>
          <w:lang w:eastAsia="en-US"/>
        </w:rPr>
      </w:pPr>
    </w:p>
    <w:p w14:paraId="10AA73A0" w14:textId="77777777" w:rsidR="00C25198" w:rsidRPr="0014011D" w:rsidRDefault="00C25198" w:rsidP="00C25198">
      <w:pPr>
        <w:ind w:firstLine="567"/>
        <w:jc w:val="both"/>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7.5. Valstybinės pensijos</w:t>
      </w:r>
    </w:p>
    <w:p w14:paraId="762275F2" w14:textId="77777777" w:rsidR="00C25198" w:rsidRPr="0014011D" w:rsidRDefault="00C25198" w:rsidP="00C25198">
      <w:pPr>
        <w:ind w:firstLine="1134"/>
        <w:jc w:val="both"/>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7.5.1. Lietuvos Respublikos pirmojo ir antrojo laipsnių valstybinės pensijos</w:t>
      </w:r>
    </w:p>
    <w:p w14:paraId="2313C74B" w14:textId="77777777" w:rsidR="00C25198" w:rsidRPr="0014011D" w:rsidRDefault="00C25198" w:rsidP="00C25198">
      <w:pPr>
        <w:jc w:val="both"/>
        <w:rPr>
          <w:rFonts w:asciiTheme="minorHAnsi" w:hAnsiTheme="minorHAnsi" w:cstheme="minorHAnsi"/>
          <w:color w:val="000000"/>
          <w:sz w:val="22"/>
          <w:szCs w:val="22"/>
        </w:rPr>
      </w:pPr>
    </w:p>
    <w:p w14:paraId="1522402B" w14:textId="3E8C2A88" w:rsidR="00B54253" w:rsidRPr="00B54253" w:rsidRDefault="00B54253" w:rsidP="00B54253">
      <w:pPr>
        <w:pStyle w:val="Antrat2"/>
        <w:rPr>
          <w:rFonts w:asciiTheme="minorHAnsi" w:hAnsiTheme="minorHAnsi" w:cstheme="minorHAnsi"/>
        </w:rPr>
      </w:pPr>
      <w:bookmarkStart w:id="16" w:name="_Toc70514788"/>
      <w:r w:rsidRPr="00B54253">
        <w:rPr>
          <w:rFonts w:asciiTheme="minorHAnsi" w:hAnsiTheme="minorHAnsi" w:cstheme="minorHAnsi"/>
        </w:rPr>
        <w:t>Dėl palankesnio teisinio reguliavimo taikymo, sprendžiant dėl antrojo laipsnio valstybinės pensijos skyrimo</w:t>
      </w:r>
      <w:bookmarkEnd w:id="16"/>
    </w:p>
    <w:p w14:paraId="1E3D7643" w14:textId="77777777" w:rsidR="00C25198" w:rsidRPr="0014011D" w:rsidRDefault="00C25198" w:rsidP="00C25198">
      <w:pPr>
        <w:jc w:val="both"/>
        <w:rPr>
          <w:rFonts w:asciiTheme="minorHAnsi" w:hAnsiTheme="minorHAnsi" w:cstheme="minorHAnsi"/>
          <w:b/>
          <w:color w:val="000000"/>
          <w:sz w:val="22"/>
          <w:szCs w:val="22"/>
        </w:rPr>
      </w:pPr>
    </w:p>
    <w:p w14:paraId="36EE9B11"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Nagrinėtu atveju ginčas kilo dėl</w:t>
      </w:r>
      <w:r w:rsidRPr="0014011D">
        <w:rPr>
          <w:rFonts w:asciiTheme="minorHAnsi" w:eastAsiaTheme="minorEastAsia" w:hAnsiTheme="minorHAnsi" w:cstheme="minorHAnsi"/>
          <w:sz w:val="22"/>
          <w:szCs w:val="22"/>
        </w:rPr>
        <w:t xml:space="preserve"> </w:t>
      </w:r>
      <w:r w:rsidRPr="0014011D">
        <w:rPr>
          <w:rFonts w:asciiTheme="minorHAnsi" w:hAnsiTheme="minorHAnsi" w:cstheme="minorHAnsi"/>
          <w:color w:val="000000"/>
          <w:sz w:val="22"/>
          <w:szCs w:val="22"/>
        </w:rPr>
        <w:t>Tauragės rajono savivaldybės administracijos (toliau – Administracija) Socialinės paramos skyriaus atsisakymo kreiptis į Lietuvos Respublikos pirmojo ir antrojo laipsnio valstybinių pensijų skyrimo komisiją prie Socialinės apsaugos ir darbo ministerijos (toliau – Komisija) dėl antrojo laipsnio valstybinės pensijos skyrimo pareiškėjai pagrįstumo.</w:t>
      </w:r>
    </w:p>
    <w:p w14:paraId="7ABFB3E3" w14:textId="6D124A3A" w:rsidR="00C25198" w:rsidRPr="0014011D" w:rsidRDefault="00C25198" w:rsidP="50018204">
      <w:pPr>
        <w:ind w:firstLine="567"/>
        <w:jc w:val="both"/>
        <w:rPr>
          <w:rFonts w:asciiTheme="minorHAnsi" w:hAnsiTheme="minorHAnsi" w:cstheme="minorBidi"/>
          <w:color w:val="000000"/>
          <w:sz w:val="22"/>
          <w:szCs w:val="22"/>
        </w:rPr>
      </w:pPr>
      <w:r w:rsidRPr="50018204">
        <w:rPr>
          <w:rFonts w:asciiTheme="minorHAnsi" w:hAnsiTheme="minorHAnsi" w:cstheme="minorBidi"/>
          <w:color w:val="000000" w:themeColor="text1"/>
          <w:sz w:val="22"/>
          <w:szCs w:val="22"/>
        </w:rPr>
        <w:t>Pirmosios instancijos teismas pareiškėjos skundą atmetė sprendime konstatavęs, kad Administracija turi imperatyvią prievolę neteikti Komisijai teikimo skirti antrojo laipsnio valstybinę pensiją daugiavaikei motinai, jeigu yra nustatoma aplinkybė, jog daugiavaikė motina arba bent vienas iš jos vaikų yra nuteistas už sunkaus ar labai sunkaus nusikaltimo padarymą, neatsižvelgiant į aplinkybę, ar teistumas yra išnykęs arba panaikintas</w:t>
      </w:r>
      <w:r w:rsidR="34E2F727" w:rsidRPr="50018204">
        <w:rPr>
          <w:rFonts w:asciiTheme="minorHAnsi" w:hAnsiTheme="minorHAnsi" w:cstheme="minorBidi"/>
          <w:color w:val="000000" w:themeColor="text1"/>
          <w:sz w:val="22"/>
          <w:szCs w:val="22"/>
        </w:rPr>
        <w:t>,</w:t>
      </w:r>
      <w:r w:rsidRPr="50018204">
        <w:rPr>
          <w:rFonts w:asciiTheme="minorHAnsi" w:hAnsiTheme="minorHAnsi" w:cstheme="minorBidi"/>
          <w:color w:val="000000" w:themeColor="text1"/>
          <w:sz w:val="22"/>
          <w:szCs w:val="22"/>
        </w:rPr>
        <w:t xml:space="preserve"> ir ar už sunkaus nusikaltimo padarymą yra nuteisiamas nepilnametis asmuo.</w:t>
      </w:r>
    </w:p>
    <w:p w14:paraId="27650E11"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Nesutikdama su pirmosios instancijos teismo sprendimu, pareiškėja pateikė apeliacinį skundą, iš esmės argumentuodama tuo, kad teismas visiškai neanalizavo pareiškėjos argumentų, kodėl ji turėtų prarasti valstybinę pensiją vien dėl to, jog jos suaugęs sūnus padarė nusikalstamą veiką.</w:t>
      </w:r>
      <w:bookmarkStart w:id="17" w:name="_Hlk57202206"/>
    </w:p>
    <w:p w14:paraId="6AD96CBA" w14:textId="77777777" w:rsidR="00C25198" w:rsidRPr="00A65D80"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Teisinius santykius, susijusius su antrojo laipsnio pensijos skyrimu motinai, pagimdžiusiai (įvaikinusiai) 5 ir daugiau vaikų, išauginusiai juos iki 8 metų ir gerai išauklėjusiai, reglamentuoja Valstybinių pensijų įstatymas (toliau – Įstatymas) ir Lietuvos Respublikos Vyriausybės 2007 m. kovo 14 d. nutarimu Nr. 255 patvirtintų Lietuvos Respublikos pirmojo ir antrojo laipsnių valstybinių pensijų skyrimo ir mokėjimo nuostatai (toliau – Nuostatai), kuriuose nustatyti savivaldybių administracijų veiksmai priimant asmenų prašymus tokiai valstybinei pensijai gauti, rengiant ir teikiant būtinus </w:t>
      </w:r>
      <w:r w:rsidRPr="00A65D80">
        <w:rPr>
          <w:rFonts w:asciiTheme="minorHAnsi" w:hAnsiTheme="minorHAnsi" w:cstheme="minorHAnsi"/>
          <w:color w:val="000000"/>
          <w:sz w:val="22"/>
          <w:szCs w:val="22"/>
        </w:rPr>
        <w:t>dokumentus Valstybinei komisijai, skiriančiai antrojo laipsnio valstybinę pensiją (Valstybinių pensijų įstatymo 5 str. 2 d.). </w:t>
      </w:r>
    </w:p>
    <w:p w14:paraId="322D1182" w14:textId="4FE23C6C" w:rsidR="00C25198" w:rsidRPr="00A65D80" w:rsidRDefault="00C25198" w:rsidP="50018204">
      <w:pPr>
        <w:ind w:firstLine="567"/>
        <w:jc w:val="both"/>
        <w:rPr>
          <w:rFonts w:asciiTheme="minorHAnsi" w:hAnsiTheme="minorHAnsi" w:cstheme="minorBidi"/>
          <w:color w:val="000000"/>
          <w:sz w:val="22"/>
          <w:szCs w:val="22"/>
        </w:rPr>
      </w:pPr>
      <w:r w:rsidRPr="00A65D80">
        <w:rPr>
          <w:rFonts w:asciiTheme="minorHAnsi" w:hAnsiTheme="minorHAnsi" w:cstheme="minorBidi"/>
          <w:color w:val="000000" w:themeColor="text1"/>
          <w:sz w:val="22"/>
          <w:szCs w:val="22"/>
        </w:rPr>
        <w:t>Administracijos Socialinės paramos skyrius, išnagrinėjęs pareiškėjos prašymus</w:t>
      </w:r>
      <w:r w:rsidR="4A24D3C1" w:rsidRPr="00A65D80">
        <w:rPr>
          <w:rFonts w:asciiTheme="minorHAnsi" w:hAnsiTheme="minorHAnsi" w:cstheme="minorBidi"/>
          <w:color w:val="000000" w:themeColor="text1"/>
          <w:sz w:val="22"/>
          <w:szCs w:val="22"/>
        </w:rPr>
        <w:t>,</w:t>
      </w:r>
      <w:r w:rsidRPr="00A65D80">
        <w:rPr>
          <w:rFonts w:asciiTheme="minorHAnsi" w:hAnsiTheme="minorHAnsi" w:cstheme="minorBidi"/>
          <w:color w:val="000000" w:themeColor="text1"/>
          <w:sz w:val="22"/>
          <w:szCs w:val="22"/>
        </w:rPr>
        <w:t xml:space="preserve"> nurodė, jog negali teikti Komisijai teikimo skirti antrojo laipsnio valstybines pensijas daugiavaikei motinai arba tėvui, esant bent vienai Valstybinių pensijų įstatymo 4 straipsnio 6 dalyje nurodytai aplinkybei: </w:t>
      </w:r>
      <w:r w:rsidR="101D70AD" w:rsidRPr="00A65D80">
        <w:rPr>
          <w:rFonts w:ascii="Calibri" w:eastAsia="Calibri" w:hAnsi="Calibri" w:cs="Calibri"/>
          <w:sz w:val="22"/>
          <w:szCs w:val="22"/>
          <w:lang w:val="lt"/>
        </w:rPr>
        <w:t>„</w:t>
      </w:r>
      <w:r w:rsidRPr="00A65D80">
        <w:rPr>
          <w:rFonts w:asciiTheme="minorHAnsi" w:hAnsiTheme="minorHAnsi" w:cstheme="minorBidi"/>
          <w:color w:val="000000" w:themeColor="text1"/>
          <w:sz w:val="22"/>
          <w:szCs w:val="22"/>
        </w:rPr>
        <w:t>ji (jis) ar bent vienas jos (jo) išaugintas vaikas (įvaikis) nuteistas už sunkaus ar labai sunkaus nusikaltimo padarymą, nesvarbu, ar teistumas išnykęs, ar ne (išskyrus atvejus, kai įvaikis už labai sunkaus ar sunkaus nusikaltimo padarymą buvo nuteistas iki įvaikinimo) &lt;...&gt;</w:t>
      </w:r>
      <w:r w:rsidR="291E2EA3" w:rsidRPr="00A65D80">
        <w:rPr>
          <w:rFonts w:ascii="Calibri" w:eastAsia="Calibri" w:hAnsi="Calibri" w:cs="Calibri"/>
          <w:sz w:val="22"/>
          <w:szCs w:val="22"/>
          <w:lang w:val="lt"/>
        </w:rPr>
        <w:t>“</w:t>
      </w:r>
      <w:r w:rsidRPr="00A65D80">
        <w:rPr>
          <w:rFonts w:asciiTheme="minorHAnsi" w:hAnsiTheme="minorHAnsi" w:cstheme="minorBidi"/>
          <w:color w:val="000000" w:themeColor="text1"/>
          <w:sz w:val="22"/>
          <w:szCs w:val="22"/>
        </w:rPr>
        <w:t>. Pareiškėjos jauniausias sūnus Vilniaus apygardos teismo 2014 m. sausio 27 d. nuosprendžiu buvo nuteistas už nusikaltimų padarymą, tarp kurių yra ir nusikaltimas, priskiriamas sunkiems.</w:t>
      </w:r>
    </w:p>
    <w:bookmarkEnd w:id="17"/>
    <w:p w14:paraId="06057E79" w14:textId="77777777" w:rsidR="00C25198" w:rsidRPr="00A65D80" w:rsidRDefault="00C25198" w:rsidP="1AC8F8E7">
      <w:pPr>
        <w:ind w:firstLine="567"/>
        <w:jc w:val="both"/>
        <w:rPr>
          <w:rFonts w:asciiTheme="minorHAnsi" w:hAnsiTheme="minorHAnsi" w:cstheme="minorBidi"/>
          <w:color w:val="000000"/>
          <w:sz w:val="22"/>
          <w:szCs w:val="22"/>
        </w:rPr>
      </w:pPr>
      <w:r w:rsidRPr="00A65D80">
        <w:rPr>
          <w:rFonts w:asciiTheme="minorHAnsi" w:hAnsiTheme="minorHAnsi" w:cstheme="minorBidi"/>
          <w:color w:val="000000" w:themeColor="text1"/>
          <w:sz w:val="22"/>
          <w:szCs w:val="22"/>
        </w:rPr>
        <w:t>Teisėjų kolegija pažymėjo, kad Įstatymo 4 straipsnio 6 dalies 4 punkto nuostata 2020 m. birželio 30 d. įstatymu Nr. XIII-3212 (Teisės aktų registre paskelbtas 2020 m. liepos 9 d., įsigaliojo 2021 m. sausio 1 d.) buvo pakeista ir nustatyta, kad daugiavaikiams motinai arba tėvui antrojo laipsnio valstybinė pensija neskiriama, jeigu ji (jis) ar bent vienas jos (jo) vaikas (įvaikis) iki pilnametystės arba emancipacijos nuteistas už sunkaus ar labai sunkaus nusikaltimo padarymą, nesvarbu, ar teistumas išnykęs, ar ne &lt;...&gt;. Tokiu būdu įstatymų leidėjo valia kliūtis, trukdžiusi pareiškėjai galimai gauti, o atsakovui dėl jo raštuose nurodytos priežasties kreiptis į Komisiją dėl antrojo laipsnio valstybinės pensijos pareiškėjai skyrimo, pašalinta.</w:t>
      </w:r>
    </w:p>
    <w:p w14:paraId="1BD19E0F" w14:textId="77777777" w:rsidR="00C25198" w:rsidRPr="0014011D" w:rsidRDefault="00C25198" w:rsidP="00C25198">
      <w:pPr>
        <w:ind w:firstLine="567"/>
        <w:jc w:val="both"/>
        <w:rPr>
          <w:rFonts w:asciiTheme="minorHAnsi" w:hAnsiTheme="minorHAnsi" w:cstheme="minorHAnsi"/>
          <w:color w:val="000000"/>
          <w:sz w:val="22"/>
          <w:szCs w:val="22"/>
        </w:rPr>
      </w:pPr>
      <w:r w:rsidRPr="00A65D80">
        <w:rPr>
          <w:rFonts w:asciiTheme="minorHAnsi" w:hAnsiTheme="minorHAnsi" w:cstheme="minorHAnsi"/>
          <w:color w:val="000000"/>
          <w:sz w:val="22"/>
          <w:szCs w:val="22"/>
        </w:rPr>
        <w:t>Valstybinių pensijų įstatymo 4 straipsnio pakeitimo įstatymo projekto aiškinamajame rašte nurodyta, kad Valstybinių pensijų įstatymo 4 straipsnio 6 dalies 4 ir 5</w:t>
      </w:r>
      <w:r w:rsidRPr="0014011D">
        <w:rPr>
          <w:rFonts w:asciiTheme="minorHAnsi" w:hAnsiTheme="minorHAnsi" w:cstheme="minorHAnsi"/>
          <w:color w:val="000000"/>
          <w:sz w:val="22"/>
          <w:szCs w:val="22"/>
        </w:rPr>
        <w:t xml:space="preserve"> punktuose nustatytas daugiavaikių motinos arba tėvo teisės į antrojo laipsnio valstybinę pensiją ribojimas galimai yra teisingumo principo pažeidimas. Taikant minėtas nuostatas </w:t>
      </w:r>
      <w:r w:rsidRPr="0014011D">
        <w:rPr>
          <w:rFonts w:asciiTheme="minorHAnsi" w:hAnsiTheme="minorHAnsi" w:cstheme="minorHAnsi"/>
          <w:i/>
          <w:color w:val="000000"/>
          <w:sz w:val="22"/>
          <w:szCs w:val="22"/>
        </w:rPr>
        <w:t xml:space="preserve">de facto </w:t>
      </w:r>
      <w:r w:rsidRPr="0014011D">
        <w:rPr>
          <w:rFonts w:asciiTheme="minorHAnsi" w:hAnsiTheme="minorHAnsi" w:cstheme="minorHAnsi"/>
          <w:iCs/>
          <w:color w:val="000000"/>
          <w:sz w:val="22"/>
          <w:szCs w:val="22"/>
        </w:rPr>
        <w:t xml:space="preserve">(faktiškai) </w:t>
      </w:r>
      <w:r w:rsidRPr="0014011D">
        <w:rPr>
          <w:rFonts w:asciiTheme="minorHAnsi" w:hAnsiTheme="minorHAnsi" w:cstheme="minorHAnsi"/>
          <w:color w:val="000000"/>
          <w:sz w:val="22"/>
          <w:szCs w:val="22"/>
        </w:rPr>
        <w:t xml:space="preserve">įgyvendinamas atsakomybės perkėlimas – tėvai yra netiesiogiai baudžiami už jų vaikų (įvaikių) padarytus nusikaltimus ar baudžiamuosius nusižengimus. Tai prieštarauja tiek BK, tiek ANK įteisintai nuostatai, kad asmuo atsako tik tuo atveju, jeigu jis yra kaltas. Minėtas daugiavaikių motinų ir tėvų teisės į antrojo laipsnio valstybinę pensiją ribojimas nustatomas nesant pagrįsto būtinumo. Be to, yra klaidinga manyti, kad suaugusio žmogaus elgesys, sprendimai, nustatytų elgesio normų nesilaikymas, galimos nusikalstamos veikos turi tiesioginį neginčijamą priežastinį ryšį su jo auklėjimu vaikystėje ir todėl turi būti vertinamos kaip jo tėvų atsakomybė – pagrindas riboti antrojo laipsnio valstybinės pensijos skyrimą daugiavaikėms motinai arba tėvui. Todėl nėra teisinga riboti teisę į antrojo laipsnio valstybinę pensiją daugiavaikiams motinai arba tėvui dėl nuo jų nepriklausančių aplinkybių. Minėtas teisių ribojimas galimai prieštarauja konstituciniam asmenų lygiateisiškumo principui. Asmens teisės ar laisvės ribojimo pagrįstumą </w:t>
      </w:r>
      <w:r w:rsidRPr="0014011D">
        <w:rPr>
          <w:rFonts w:asciiTheme="minorHAnsi" w:hAnsiTheme="minorHAnsi" w:cstheme="minorHAnsi"/>
          <w:color w:val="000000"/>
          <w:sz w:val="22"/>
          <w:szCs w:val="22"/>
        </w:rPr>
        <w:lastRenderedPageBreak/>
        <w:t xml:space="preserve">demokratinėje visuomenėje galima vertinti vadovaujantis protingumo ir akivaizdžios būtinybės kriterijais, jis turi atitikti </w:t>
      </w:r>
      <w:r w:rsidRPr="0014011D">
        <w:rPr>
          <w:rFonts w:asciiTheme="minorHAnsi" w:hAnsiTheme="minorHAnsi" w:cstheme="minorHAnsi"/>
          <w:i/>
          <w:color w:val="000000"/>
          <w:sz w:val="22"/>
          <w:szCs w:val="22"/>
        </w:rPr>
        <w:t>inter alia</w:t>
      </w:r>
      <w:r w:rsidRPr="0014011D">
        <w:rPr>
          <w:rFonts w:asciiTheme="minorHAnsi" w:hAnsiTheme="minorHAnsi" w:cstheme="minorHAnsi"/>
          <w:color w:val="000000"/>
          <w:sz w:val="22"/>
          <w:szCs w:val="22"/>
        </w:rPr>
        <w:t xml:space="preserve"> (be kita ko) teisingumo sampratą.</w:t>
      </w:r>
    </w:p>
    <w:p w14:paraId="53A95E78" w14:textId="77777777" w:rsidR="00C25198" w:rsidRPr="0014011D" w:rsidRDefault="00C25198" w:rsidP="00C25198">
      <w:pPr>
        <w:ind w:firstLine="567"/>
        <w:jc w:val="both"/>
        <w:rPr>
          <w:rFonts w:asciiTheme="minorHAnsi" w:hAnsiTheme="minorHAnsi" w:cstheme="minorHAnsi"/>
          <w:color w:val="000000"/>
          <w:sz w:val="22"/>
          <w:szCs w:val="22"/>
          <w:u w:val="single"/>
        </w:rPr>
      </w:pPr>
      <w:r w:rsidRPr="0014011D">
        <w:rPr>
          <w:rFonts w:asciiTheme="minorHAnsi" w:hAnsiTheme="minorHAnsi" w:cstheme="minorHAnsi"/>
          <w:color w:val="000000"/>
          <w:sz w:val="22"/>
          <w:szCs w:val="22"/>
        </w:rPr>
        <w:t xml:space="preserve">Taigi </w:t>
      </w:r>
      <w:r w:rsidRPr="0014011D">
        <w:rPr>
          <w:rFonts w:asciiTheme="minorHAnsi" w:hAnsiTheme="minorHAnsi" w:cstheme="minorHAnsi"/>
          <w:color w:val="000000"/>
          <w:sz w:val="22"/>
          <w:szCs w:val="22"/>
          <w:u w:val="single"/>
        </w:rPr>
        <w:t xml:space="preserve">naujasis antrojo laipsnio valstybinės pensijos daugiavaikiams motinai ar tėvui teisinis reguliavimas sušvelnino šiuose santykiuose dalyvaujančių subjektų padėtį (normos adresato atžvilgiu nustatė palankesnį teisinį reguliavimą). Atsižvelgiant į bylos faktines aplinkybes ir ginčui spręsti aktualaus teisinio reguliavimo pakeitimą pareiškėjai palankia linkme, teisėjų kolegijos vertinimu, turėtų būti taikomos normos, švelninančios pareiškėjos padėtį ir sudarančios jai galimybę gauti antrojo laipsnio valstybinę pensiją. </w:t>
      </w:r>
    </w:p>
    <w:p w14:paraId="239A0434" w14:textId="77777777" w:rsidR="00C25198" w:rsidRPr="0014011D" w:rsidRDefault="00C25198" w:rsidP="00C25198">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Dėl išdėstytų aplinkybių pirmosios instancijos teismo sprendimas panaikintas priimant naują sprendimą, iš dalies tenkinant pareiškėjos skundą. Atsakovas įpareigotas iš naujo išnagrinėti pareiškėjos prašymą kreiptis į Komisiją Nuostatų nustatyta tvarka dėl valstybinės antrojo laipsnio pensijos pareiškėjai skyrimo.</w:t>
      </w:r>
    </w:p>
    <w:p w14:paraId="669FF3DD" w14:textId="77777777" w:rsidR="00C25198" w:rsidRPr="0014011D" w:rsidRDefault="00C25198" w:rsidP="00C25198">
      <w:pPr>
        <w:ind w:firstLine="851"/>
        <w:jc w:val="both"/>
        <w:rPr>
          <w:rFonts w:asciiTheme="minorHAnsi" w:hAnsiTheme="minorHAnsi" w:cstheme="minorHAnsi"/>
          <w:color w:val="000000"/>
          <w:sz w:val="22"/>
          <w:szCs w:val="22"/>
        </w:rPr>
      </w:pPr>
    </w:p>
    <w:p w14:paraId="215B4F3C"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2021 m. vasario 17 d. sprendimas administracinėje byloje Nr. A-659-756/2021</w:t>
      </w:r>
    </w:p>
    <w:p w14:paraId="46FB847E"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Teisminio proceso Nr. 3-63-3-00389-2019-7</w:t>
      </w:r>
    </w:p>
    <w:p w14:paraId="3A16AB7E" w14:textId="77777777" w:rsidR="00C25198" w:rsidRPr="0014011D" w:rsidRDefault="00C25198" w:rsidP="00C25198">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Procesinio sprendimo kategorija 7.5.1</w:t>
      </w:r>
    </w:p>
    <w:p w14:paraId="12BDD2D3" w14:textId="77777777" w:rsidR="00C25198" w:rsidRPr="0014011D" w:rsidRDefault="00936F04" w:rsidP="0489E5C9">
      <w:pPr>
        <w:jc w:val="both"/>
        <w:rPr>
          <w:rFonts w:asciiTheme="minorHAnsi" w:eastAsiaTheme="minorEastAsia" w:hAnsiTheme="minorHAnsi" w:cstheme="minorBidi"/>
          <w:color w:val="0000FF"/>
          <w:sz w:val="22"/>
          <w:szCs w:val="22"/>
          <w:u w:val="single"/>
          <w:lang w:eastAsia="en-US"/>
        </w:rPr>
      </w:pPr>
      <w:hyperlink r:id="rId13">
        <w:r w:rsidR="00C25198" w:rsidRPr="0489E5C9">
          <w:rPr>
            <w:rStyle w:val="Hipersaitas"/>
            <w:rFonts w:asciiTheme="minorHAnsi" w:eastAsiaTheme="minorEastAsia" w:hAnsiTheme="minorHAnsi" w:cstheme="minorBidi"/>
            <w:sz w:val="22"/>
            <w:szCs w:val="22"/>
            <w:lang w:eastAsia="en-US"/>
          </w:rPr>
          <w:t>Prieiga internete</w:t>
        </w:r>
      </w:hyperlink>
    </w:p>
    <w:p w14:paraId="443682DA" w14:textId="59CC99D3" w:rsidR="00284990" w:rsidRPr="0014011D" w:rsidRDefault="00284990" w:rsidP="00284990">
      <w:pPr>
        <w:jc w:val="both"/>
        <w:rPr>
          <w:rFonts w:asciiTheme="minorHAnsi" w:hAnsiTheme="minorHAnsi" w:cstheme="minorHAnsi"/>
          <w:sz w:val="22"/>
          <w:szCs w:val="22"/>
        </w:rPr>
      </w:pPr>
    </w:p>
    <w:p w14:paraId="4B11FC8A" w14:textId="77777777" w:rsidR="00DC3B77" w:rsidRPr="0014011D" w:rsidRDefault="00DC3B77" w:rsidP="00B62DE8">
      <w:pPr>
        <w:pStyle w:val="Apzvalgai1"/>
        <w:rPr>
          <w:rFonts w:asciiTheme="minorHAnsi" w:hAnsiTheme="minorHAnsi" w:cstheme="minorHAnsi"/>
        </w:rPr>
      </w:pPr>
      <w:bookmarkStart w:id="18" w:name="_Toc70514789"/>
      <w:r w:rsidRPr="0014011D">
        <w:rPr>
          <w:rFonts w:asciiTheme="minorHAnsi" w:hAnsiTheme="minorHAnsi" w:cstheme="minorHAnsi"/>
        </w:rPr>
        <w:t>8. Užsieniečių teisinė padėtis</w:t>
      </w:r>
      <w:bookmarkEnd w:id="18"/>
    </w:p>
    <w:p w14:paraId="0C120B5C" w14:textId="77777777" w:rsidR="00DC3B77" w:rsidRPr="0014011D" w:rsidRDefault="00DC3B77" w:rsidP="00DC3B77">
      <w:pPr>
        <w:ind w:firstLine="567"/>
        <w:jc w:val="both"/>
        <w:rPr>
          <w:rFonts w:asciiTheme="minorHAnsi" w:hAnsiTheme="minorHAnsi" w:cstheme="minorHAnsi"/>
          <w:b/>
          <w:bCs/>
          <w:iCs/>
          <w:color w:val="000000"/>
          <w:sz w:val="22"/>
          <w:szCs w:val="22"/>
          <w:u w:val="single"/>
        </w:rPr>
      </w:pPr>
      <w:r w:rsidRPr="0014011D">
        <w:rPr>
          <w:rFonts w:asciiTheme="minorHAnsi" w:hAnsiTheme="minorHAnsi" w:cstheme="minorHAnsi"/>
          <w:b/>
          <w:bCs/>
          <w:iCs/>
          <w:color w:val="000000"/>
          <w:sz w:val="22"/>
          <w:szCs w:val="22"/>
          <w:u w:val="single"/>
        </w:rPr>
        <w:t>8.4. Užsieniečių darbas Lietuvos Respublikoje</w:t>
      </w:r>
    </w:p>
    <w:p w14:paraId="2B4A7801" w14:textId="77777777" w:rsidR="00DC3B77" w:rsidRPr="0014011D" w:rsidRDefault="00DC3B77" w:rsidP="00DC3B77">
      <w:pPr>
        <w:ind w:firstLine="851"/>
        <w:jc w:val="both"/>
        <w:rPr>
          <w:rFonts w:asciiTheme="minorHAnsi" w:hAnsiTheme="minorHAnsi" w:cstheme="minorHAnsi"/>
          <w:i/>
          <w:color w:val="000000"/>
          <w:sz w:val="22"/>
          <w:szCs w:val="22"/>
        </w:rPr>
      </w:pPr>
    </w:p>
    <w:p w14:paraId="62EA7EF3" w14:textId="5D83891A" w:rsidR="00DC3B77" w:rsidRPr="0014011D" w:rsidRDefault="00DC3B77" w:rsidP="00B62DE8">
      <w:pPr>
        <w:pStyle w:val="Antrat2"/>
        <w:rPr>
          <w:rFonts w:asciiTheme="minorHAnsi" w:hAnsiTheme="minorHAnsi" w:cstheme="minorHAnsi"/>
          <w:b/>
        </w:rPr>
      </w:pPr>
      <w:bookmarkStart w:id="19" w:name="_Toc70514790"/>
      <w:bookmarkStart w:id="20" w:name="_Hlk70500870"/>
      <w:r w:rsidRPr="0014011D">
        <w:rPr>
          <w:rFonts w:asciiTheme="minorHAnsi" w:hAnsiTheme="minorHAnsi" w:cstheme="minorHAnsi"/>
        </w:rPr>
        <w:t xml:space="preserve">Dėl sprendimo panaikinti leidimą laikinai gyventi dėl darbdaviui taikytos administracinės atsakomybės už nelegalų įdarbinimą </w:t>
      </w:r>
      <w:r w:rsidR="00B54253">
        <w:rPr>
          <w:rFonts w:asciiTheme="minorHAnsi" w:hAnsiTheme="minorHAnsi" w:cstheme="minorHAnsi"/>
        </w:rPr>
        <w:t xml:space="preserve">ir </w:t>
      </w:r>
      <w:r w:rsidRPr="00A65D80">
        <w:rPr>
          <w:rFonts w:asciiTheme="minorHAnsi" w:hAnsiTheme="minorHAnsi" w:cstheme="minorHAnsi"/>
        </w:rPr>
        <w:t>non</w:t>
      </w:r>
      <w:r w:rsidRPr="0014011D">
        <w:rPr>
          <w:rFonts w:asciiTheme="minorHAnsi" w:hAnsiTheme="minorHAnsi" w:cstheme="minorHAnsi"/>
        </w:rPr>
        <w:t xml:space="preserve"> bis in idem princip</w:t>
      </w:r>
      <w:r w:rsidR="00B54253">
        <w:rPr>
          <w:rFonts w:asciiTheme="minorHAnsi" w:hAnsiTheme="minorHAnsi" w:cstheme="minorHAnsi"/>
        </w:rPr>
        <w:t>o taikymo</w:t>
      </w:r>
      <w:bookmarkEnd w:id="19"/>
    </w:p>
    <w:bookmarkEnd w:id="20"/>
    <w:p w14:paraId="59152025" w14:textId="77777777" w:rsidR="00DC3B77" w:rsidRPr="0014011D" w:rsidRDefault="00DC3B77" w:rsidP="00DC3B77">
      <w:pPr>
        <w:ind w:firstLine="851"/>
        <w:jc w:val="both"/>
        <w:rPr>
          <w:rFonts w:asciiTheme="minorHAnsi" w:hAnsiTheme="minorHAnsi" w:cstheme="minorHAnsi"/>
          <w:b/>
          <w:color w:val="000000"/>
          <w:sz w:val="22"/>
          <w:szCs w:val="22"/>
        </w:rPr>
      </w:pPr>
    </w:p>
    <w:p w14:paraId="1A7F0C8D" w14:textId="77777777" w:rsidR="00DC3B77" w:rsidRPr="0014011D" w:rsidRDefault="00DC3B77" w:rsidP="00DC3B77">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Nagrinėjamoje byloje ginčas kilo dėl Migracijos departamento prie Vidaus reikalų ministerijos (toliau – Migracijos departamentas) sprendimų, kuriais buvo panaikinti leidimai laikinai gyventi Lietuvos Respublikoje, pagrįstumo ir teisėtumo (toliau – Sprendimai). </w:t>
      </w:r>
    </w:p>
    <w:p w14:paraId="17114049" w14:textId="77777777" w:rsidR="00DC3B77" w:rsidRPr="0014011D" w:rsidRDefault="00DC3B77" w:rsidP="00DC3B77">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Minėta nuostata nustato, kad  „Leidimas laikinai gyventi užsieniečiui panaikinamas, jeigu &lt;...&gt; darbdavys, kuris įsipareigojo įdarbinti užsienietį pagal darbo sutartį, kai leidimas laikinai gyventi išduotas pagal šio Įstatymo 40 straipsnio 1 dalies 4 ar 41 punktą, &lt;...&gt;, yra bausti už leidimą dirbti nelegalų darbą ar už leidimą dirbti nelegaliai trečiųjų šalių piliečiams &lt;...&gt;“. Pareiškėjai apeliaciniame skunde teigė, kad pirmosios instancijos teismas, atmesdamas jų skundus, pernelyg plačiai aiškino šią normą, neįvertino ginčijamų Sprendimų prieštaringumo teisėtiems lūkesčiams, teisingumo, proporcingumo principams, neatsižvelgė į dvigubos teisinės atsakomybės taikymą pareiškėjų darbdavio atžvilgiu.</w:t>
      </w:r>
    </w:p>
    <w:p w14:paraId="0BDBF9CE" w14:textId="1B6C6C50" w:rsidR="00DC3B77" w:rsidRPr="0014011D" w:rsidRDefault="00DC3B77" w:rsidP="50018204">
      <w:pPr>
        <w:ind w:firstLine="567"/>
        <w:jc w:val="both"/>
        <w:rPr>
          <w:rFonts w:asciiTheme="minorHAnsi" w:hAnsiTheme="minorHAnsi" w:cstheme="minorBidi"/>
          <w:color w:val="000000"/>
          <w:sz w:val="22"/>
          <w:szCs w:val="22"/>
        </w:rPr>
      </w:pPr>
      <w:r w:rsidRPr="50018204">
        <w:rPr>
          <w:rFonts w:asciiTheme="minorHAnsi" w:hAnsiTheme="minorHAnsi" w:cstheme="minorBidi"/>
          <w:color w:val="000000" w:themeColor="text1"/>
          <w:sz w:val="22"/>
          <w:szCs w:val="22"/>
        </w:rPr>
        <w:t>LVAT sprendė, kad Įstatymo 50 straipsnio 1 dalies 19 punkto a papunktyje įtvirtinta teisės norma yra imperatyvi, t. y. pagal joje nustatytą teisinį reguliavimą Migracijos departamentui nesuteikta diskrecijos teisė vertinti šios normos taikymo sąlygų priklausomai nuo kitų, joje neįtvirtintų aplinkybių ir, esant Įstatymo 50 straipsnyje 1 dalies 19 punkt</w:t>
      </w:r>
      <w:r w:rsidR="7C988E19" w:rsidRPr="50018204">
        <w:rPr>
          <w:rFonts w:asciiTheme="minorHAnsi" w:hAnsiTheme="minorHAnsi" w:cstheme="minorBidi"/>
          <w:color w:val="000000" w:themeColor="text1"/>
          <w:sz w:val="22"/>
          <w:szCs w:val="22"/>
        </w:rPr>
        <w:t>o</w:t>
      </w:r>
      <w:r w:rsidRPr="50018204">
        <w:rPr>
          <w:rFonts w:asciiTheme="minorHAnsi" w:hAnsiTheme="minorHAnsi" w:cstheme="minorBidi"/>
          <w:color w:val="000000" w:themeColor="text1"/>
          <w:sz w:val="22"/>
          <w:szCs w:val="22"/>
        </w:rPr>
        <w:t xml:space="preserve"> a papunktyje nurodytam leidimo laikinai gyventi panaikinimo pagrindui, spręsti, ar toks leidimas gali būti panaikintas, ar ne. Įstatyme nėra nustatyta jokių išimčių dėl šių reikalavimų netaikymo, todėl Migracijos departamentas turi ne tik teisę, bet ir pareigą panaikinti užsieniečiui išduotą leidimą laikinai gyventi Lietuvos Respublikoje. </w:t>
      </w:r>
    </w:p>
    <w:p w14:paraId="110AF9AE" w14:textId="77777777" w:rsidR="00DC3B77" w:rsidRPr="0014011D" w:rsidRDefault="00DC3B77" w:rsidP="00DC3B77">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Be to, LVAT vertinimu, nėra pagrindo išvadai, kad priėmus ginčijamus Sprendimus pareiškėjų darbdavys yra baudžiamas du kartus už tą patį, t. y. pripažinus jį pažeidus Administracinių nusižengimų kodekso 95 straipsnio nuostatas ir panaikinus leidimus laikinai gyventi jo darbuotojams (pareiškėjams), kas, pareiškėjų teigimu, turi tiesioginės įtakos tolimesnei tos įmonės komercinei veiklai. </w:t>
      </w:r>
      <w:r w:rsidRPr="00B54253">
        <w:rPr>
          <w:rFonts w:asciiTheme="minorHAnsi" w:hAnsiTheme="minorHAnsi" w:cstheme="minorHAnsi"/>
          <w:color w:val="000000"/>
          <w:sz w:val="22"/>
          <w:szCs w:val="22"/>
          <w:u w:val="single"/>
        </w:rPr>
        <w:t xml:space="preserve">Administraciniai nusižengimai ir migracijos teisės klausimai nėra tapatūs, tai yra skirtingi teisiniai santykiai ir jie reguliuojami skirtingų teisės normų. Konstitucinis principas </w:t>
      </w:r>
      <w:r w:rsidRPr="00B54253">
        <w:rPr>
          <w:rFonts w:asciiTheme="minorHAnsi" w:hAnsiTheme="minorHAnsi" w:cstheme="minorHAnsi"/>
          <w:i/>
          <w:iCs/>
          <w:color w:val="000000"/>
          <w:sz w:val="22"/>
          <w:szCs w:val="22"/>
          <w:u w:val="single"/>
        </w:rPr>
        <w:t>non bis in idem</w:t>
      </w:r>
      <w:r w:rsidRPr="00B54253">
        <w:rPr>
          <w:rFonts w:asciiTheme="minorHAnsi" w:hAnsiTheme="minorHAnsi" w:cstheme="minorHAnsi"/>
          <w:color w:val="000000"/>
          <w:sz w:val="22"/>
          <w:szCs w:val="22"/>
          <w:u w:val="single"/>
        </w:rPr>
        <w:t xml:space="preserve"> nereiškia, kad už teisės pažeidimą asmuo apskritai negali būti traukiamas skirtingų rūšių teisinėn atsakomybėn. Migracijos departamento Sprendimai nėra atsakomybės taikymo aktai, tai individualūs administraciniai aktai, priimti pagal Įstatymo ir Lietuvos Respublikos viešojo administravimo įstatymo nuostatas</w:t>
      </w:r>
      <w:r w:rsidRPr="0014011D">
        <w:rPr>
          <w:rFonts w:asciiTheme="minorHAnsi" w:hAnsiTheme="minorHAnsi" w:cstheme="minorHAnsi"/>
          <w:color w:val="000000"/>
          <w:sz w:val="22"/>
          <w:szCs w:val="22"/>
        </w:rPr>
        <w:t>.</w:t>
      </w:r>
    </w:p>
    <w:p w14:paraId="6D193145" w14:textId="60DA4D08" w:rsidR="00DC3B77" w:rsidRPr="0014011D" w:rsidRDefault="00DC3B77" w:rsidP="00DC3B77">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Dėl pareiškėjų teiginių, kad Sprendimai prieštarauja teisėtiems lūkesčiams, teisingumo, proporcingumo principams, LVAT pažymėjo, kad teisė atvykti į Lietuvos Respubliką ir joje gyventi nėra prigimtinė teisė, trečiųjų šalių piliečiams ji nėra suteikiama automatiškai ir įgyjama tik tada, jeigu šie asmenys atitinka Įstatymo reikalavimus. Aplinkybė, kad leidimai laikinai gyventi pareiškėjams buvo išduoti teisėtai, nereiškia, kad jie turėjo teisėtą pagrindą (teisėtą lūkestį) tikėtis, jog jiems išduoti leidimai laikinai gyventi Įstatyme įtvirtintais pagrindais </w:t>
      </w:r>
      <w:r w:rsidRPr="0014011D">
        <w:rPr>
          <w:rFonts w:asciiTheme="minorHAnsi" w:hAnsiTheme="minorHAnsi" w:cstheme="minorHAnsi"/>
          <w:color w:val="000000"/>
          <w:sz w:val="22"/>
          <w:szCs w:val="22"/>
        </w:rPr>
        <w:lastRenderedPageBreak/>
        <w:t xml:space="preserve">negali būti panaikinti iki jų galiojimo pabaigos. Sąlygos, kurios yra būtinos, kad leidimas laikinai gyventi galėtų būti išduodamas, privalo išlikti visą laikotarpį, kuriam leidimas laikinai gyventi išduodamas. </w:t>
      </w:r>
    </w:p>
    <w:p w14:paraId="7A841295" w14:textId="77777777" w:rsidR="00DC3B77" w:rsidRPr="0014011D" w:rsidRDefault="00DC3B77" w:rsidP="00DC3B77">
      <w:pPr>
        <w:ind w:firstLine="567"/>
        <w:jc w:val="both"/>
        <w:rPr>
          <w:rStyle w:val="Hipersaitas"/>
          <w:rFonts w:asciiTheme="minorHAnsi" w:hAnsiTheme="minorHAnsi" w:cstheme="minorHAnsi"/>
          <w:sz w:val="22"/>
          <w:szCs w:val="22"/>
        </w:rPr>
      </w:pPr>
      <w:r w:rsidRPr="0014011D">
        <w:rPr>
          <w:rFonts w:asciiTheme="minorHAnsi" w:hAnsiTheme="minorHAnsi" w:cstheme="minorHAnsi"/>
          <w:color w:val="000000"/>
          <w:sz w:val="22"/>
          <w:szCs w:val="22"/>
        </w:rPr>
        <w:t>Apeliacinis skundas atmestas, pirmosios instancijos teismo sprendimas paliktas nepakeistas.</w:t>
      </w:r>
    </w:p>
    <w:p w14:paraId="37C9DB56" w14:textId="77777777" w:rsidR="00DC3B77" w:rsidRPr="0014011D" w:rsidRDefault="00DC3B77" w:rsidP="00DC3B77">
      <w:pPr>
        <w:jc w:val="both"/>
        <w:rPr>
          <w:rStyle w:val="Hipersaitas"/>
          <w:rFonts w:asciiTheme="minorHAnsi" w:hAnsiTheme="minorHAnsi" w:cstheme="minorHAnsi"/>
          <w:sz w:val="22"/>
          <w:szCs w:val="22"/>
        </w:rPr>
      </w:pPr>
    </w:p>
    <w:p w14:paraId="55F039CC" w14:textId="77777777" w:rsidR="00DC3B77" w:rsidRPr="0014011D" w:rsidRDefault="00DC3B77" w:rsidP="00DC3B77">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2021 m. vasario 17 d. nutartis administracinėje byloje Nr. eA-2450-624/2021</w:t>
      </w:r>
    </w:p>
    <w:p w14:paraId="7BE632DA" w14:textId="77777777" w:rsidR="00DC3B77" w:rsidRPr="0014011D" w:rsidRDefault="00DC3B77" w:rsidP="00DC3B77">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Teisminio proceso Nr. 3-61-3-03264-2020-2</w:t>
      </w:r>
    </w:p>
    <w:p w14:paraId="4939DD0A" w14:textId="77777777" w:rsidR="00DC3B77" w:rsidRPr="0014011D" w:rsidRDefault="00DC3B77" w:rsidP="00DC3B77">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Procesinio sprendimo kategorija 8.4</w:t>
      </w:r>
    </w:p>
    <w:p w14:paraId="4BE1AE9C" w14:textId="77777777" w:rsidR="00DC3B77" w:rsidRPr="0014011D" w:rsidRDefault="00936F04" w:rsidP="00DC3B77">
      <w:pPr>
        <w:jc w:val="both"/>
        <w:rPr>
          <w:rFonts w:asciiTheme="minorHAnsi" w:hAnsiTheme="minorHAnsi" w:cstheme="minorHAnsi"/>
          <w:sz w:val="22"/>
          <w:szCs w:val="22"/>
        </w:rPr>
      </w:pPr>
      <w:hyperlink r:id="rId14" w:history="1">
        <w:r w:rsidR="00DC3B77" w:rsidRPr="0014011D">
          <w:rPr>
            <w:rStyle w:val="Hipersaitas"/>
            <w:rFonts w:asciiTheme="minorHAnsi" w:hAnsiTheme="minorHAnsi" w:cstheme="minorHAnsi"/>
            <w:sz w:val="22"/>
            <w:szCs w:val="22"/>
          </w:rPr>
          <w:t>Prieiga internete</w:t>
        </w:r>
      </w:hyperlink>
    </w:p>
    <w:p w14:paraId="3AD894EC" w14:textId="21D5F788" w:rsidR="0021226D" w:rsidRPr="0014011D" w:rsidRDefault="0021226D" w:rsidP="00DC3B77">
      <w:pPr>
        <w:jc w:val="both"/>
        <w:rPr>
          <w:rFonts w:asciiTheme="minorHAnsi" w:hAnsiTheme="minorHAnsi" w:cstheme="minorHAnsi"/>
          <w:b/>
          <w:bCs/>
          <w:sz w:val="22"/>
          <w:szCs w:val="22"/>
        </w:rPr>
      </w:pPr>
    </w:p>
    <w:p w14:paraId="30654432" w14:textId="77777777" w:rsidR="0021226D" w:rsidRPr="0014011D" w:rsidRDefault="0021226D" w:rsidP="00B62DE8">
      <w:pPr>
        <w:pStyle w:val="Apzvalgai1"/>
        <w:rPr>
          <w:rFonts w:asciiTheme="minorHAnsi" w:hAnsiTheme="minorHAnsi" w:cstheme="minorHAnsi"/>
        </w:rPr>
      </w:pPr>
      <w:bookmarkStart w:id="21" w:name="_Toc70514791"/>
      <w:r w:rsidRPr="0014011D">
        <w:rPr>
          <w:rFonts w:asciiTheme="minorHAnsi" w:hAnsiTheme="minorHAnsi" w:cstheme="minorHAnsi"/>
        </w:rPr>
        <w:t>9. Prieglobstis</w:t>
      </w:r>
      <w:bookmarkEnd w:id="21"/>
      <w:r w:rsidRPr="0014011D">
        <w:rPr>
          <w:rFonts w:asciiTheme="minorHAnsi" w:hAnsiTheme="minorHAnsi" w:cstheme="minorHAnsi"/>
        </w:rPr>
        <w:t xml:space="preserve"> </w:t>
      </w:r>
    </w:p>
    <w:p w14:paraId="37F61286" w14:textId="77777777" w:rsidR="0021226D" w:rsidRPr="0014011D" w:rsidRDefault="0021226D" w:rsidP="0021226D">
      <w:pPr>
        <w:ind w:firstLine="567"/>
        <w:jc w:val="both"/>
        <w:rPr>
          <w:rFonts w:asciiTheme="minorHAnsi" w:hAnsiTheme="minorHAnsi" w:cstheme="minorHAnsi"/>
          <w:b/>
          <w:color w:val="000000"/>
          <w:sz w:val="22"/>
          <w:szCs w:val="22"/>
          <w:u w:val="single"/>
        </w:rPr>
      </w:pPr>
      <w:r w:rsidRPr="0014011D">
        <w:rPr>
          <w:rFonts w:asciiTheme="minorHAnsi" w:hAnsiTheme="minorHAnsi" w:cstheme="minorHAnsi"/>
          <w:b/>
          <w:color w:val="000000"/>
          <w:sz w:val="22"/>
          <w:szCs w:val="22"/>
          <w:u w:val="single"/>
        </w:rPr>
        <w:t>9.1. Prieglobsčio prašymo pateikimas ir jo nagrinėjimas</w:t>
      </w:r>
    </w:p>
    <w:p w14:paraId="763168C8" w14:textId="77777777" w:rsidR="0021226D" w:rsidRPr="0014011D" w:rsidRDefault="0021226D" w:rsidP="0021226D">
      <w:pPr>
        <w:jc w:val="both"/>
        <w:rPr>
          <w:rFonts w:asciiTheme="minorHAnsi" w:hAnsiTheme="minorHAnsi" w:cstheme="minorHAnsi"/>
          <w:i/>
          <w:color w:val="000000"/>
          <w:sz w:val="22"/>
          <w:szCs w:val="22"/>
        </w:rPr>
      </w:pPr>
    </w:p>
    <w:p w14:paraId="608DB325" w14:textId="35D42E4F" w:rsidR="0021226D" w:rsidRPr="0014011D" w:rsidRDefault="0021226D" w:rsidP="00B62DE8">
      <w:pPr>
        <w:pStyle w:val="Antrat2"/>
        <w:rPr>
          <w:rFonts w:asciiTheme="minorHAnsi" w:hAnsiTheme="minorHAnsi" w:cstheme="minorHAnsi"/>
        </w:rPr>
      </w:pPr>
      <w:bookmarkStart w:id="22" w:name="_Toc70514792"/>
      <w:r w:rsidRPr="0014011D">
        <w:rPr>
          <w:rFonts w:asciiTheme="minorHAnsi" w:hAnsiTheme="minorHAnsi" w:cstheme="minorHAnsi"/>
        </w:rPr>
        <w:t xml:space="preserve">Dėl </w:t>
      </w:r>
      <w:r w:rsidR="00A65D80">
        <w:rPr>
          <w:rFonts w:asciiTheme="minorHAnsi" w:hAnsiTheme="minorHAnsi" w:cstheme="minorHAnsi"/>
        </w:rPr>
        <w:t xml:space="preserve">reikšmingų aplinkybių, susijusių su pareiškėjo individualia situacija, nustatymo, </w:t>
      </w:r>
      <w:r w:rsidRPr="0014011D">
        <w:rPr>
          <w:rFonts w:asciiTheme="minorHAnsi" w:hAnsiTheme="minorHAnsi" w:cstheme="minorHAnsi"/>
        </w:rPr>
        <w:t>kai sprendžiama, kurioje valstybėje turėtų būti nagrinėjamas prašymas dėl prieglobsčio suteikimo</w:t>
      </w:r>
      <w:bookmarkEnd w:id="22"/>
      <w:r w:rsidRPr="0014011D">
        <w:rPr>
          <w:rFonts w:asciiTheme="minorHAnsi" w:hAnsiTheme="minorHAnsi" w:cstheme="minorHAnsi"/>
        </w:rPr>
        <w:t xml:space="preserve"> </w:t>
      </w:r>
    </w:p>
    <w:p w14:paraId="371E8143" w14:textId="77777777" w:rsidR="0021226D" w:rsidRPr="0014011D" w:rsidRDefault="0021226D" w:rsidP="0021226D">
      <w:pPr>
        <w:jc w:val="both"/>
        <w:rPr>
          <w:rFonts w:asciiTheme="minorHAnsi" w:hAnsiTheme="minorHAnsi" w:cstheme="minorHAnsi"/>
          <w:i/>
          <w:color w:val="000000"/>
          <w:sz w:val="22"/>
          <w:szCs w:val="22"/>
        </w:rPr>
      </w:pPr>
    </w:p>
    <w:p w14:paraId="2851B39E" w14:textId="5610381D" w:rsidR="0021226D" w:rsidRPr="0014011D" w:rsidRDefault="0021226D" w:rsidP="50018204">
      <w:pPr>
        <w:ind w:firstLine="567"/>
        <w:jc w:val="both"/>
        <w:rPr>
          <w:rFonts w:asciiTheme="minorHAnsi" w:hAnsiTheme="minorHAnsi" w:cstheme="minorBidi"/>
          <w:color w:val="000000"/>
          <w:sz w:val="22"/>
          <w:szCs w:val="22"/>
        </w:rPr>
      </w:pPr>
      <w:r w:rsidRPr="50018204">
        <w:rPr>
          <w:rFonts w:asciiTheme="minorHAnsi" w:hAnsiTheme="minorHAnsi" w:cstheme="minorBidi"/>
          <w:color w:val="000000" w:themeColor="text1"/>
          <w:sz w:val="22"/>
          <w:szCs w:val="22"/>
        </w:rPr>
        <w:t xml:space="preserve">Byloje nagrinėjamas ginčas kilo dėl Migracijos departamento prie Vidaus reikalų ministerijos (toliau – Migracijos departamentas) sprendimo, kuriuo nuspręsta prieglobsčio prašytoją perduoti Lenkijos Respublikai (toliau – Sprendimas) teisėtumo ir pagrįstumo bei įpareigojimo Migracijos departamentą pakartotinai atlikti tyrimą, siekiant nustatyti valstybę, atsakingą už pareiškėjo prašymo suteikti prieglobstį nagrinėjimą, ir priimti teisės aktų reikalavimus atitinkantį sprendimą. </w:t>
      </w:r>
    </w:p>
    <w:p w14:paraId="61648ACA" w14:textId="41F8D0AB" w:rsidR="0021226D" w:rsidRPr="0014011D" w:rsidRDefault="0021226D" w:rsidP="50018204">
      <w:pPr>
        <w:ind w:firstLine="567"/>
        <w:jc w:val="both"/>
        <w:rPr>
          <w:rFonts w:asciiTheme="minorHAnsi" w:hAnsiTheme="minorHAnsi" w:cstheme="minorBidi"/>
          <w:color w:val="000000"/>
          <w:sz w:val="22"/>
          <w:szCs w:val="22"/>
        </w:rPr>
      </w:pPr>
      <w:r w:rsidRPr="50018204">
        <w:rPr>
          <w:rFonts w:asciiTheme="minorHAnsi" w:hAnsiTheme="minorHAnsi" w:cstheme="minorBidi"/>
          <w:color w:val="000000" w:themeColor="text1"/>
          <w:sz w:val="22"/>
          <w:szCs w:val="22"/>
        </w:rPr>
        <w:t>Šioje byloje n</w:t>
      </w:r>
      <w:r w:rsidR="7D0A2E95" w:rsidRPr="50018204">
        <w:rPr>
          <w:rFonts w:asciiTheme="minorHAnsi" w:hAnsiTheme="minorHAnsi" w:cstheme="minorBidi"/>
          <w:color w:val="000000" w:themeColor="text1"/>
          <w:sz w:val="22"/>
          <w:szCs w:val="22"/>
        </w:rPr>
        <w:t>ebuvo</w:t>
      </w:r>
      <w:r w:rsidRPr="50018204">
        <w:rPr>
          <w:rFonts w:asciiTheme="minorHAnsi" w:hAnsiTheme="minorHAnsi" w:cstheme="minorBidi"/>
          <w:color w:val="000000" w:themeColor="text1"/>
          <w:sz w:val="22"/>
          <w:szCs w:val="22"/>
        </w:rPr>
        <w:t xml:space="preserve"> ginčo, kad būtent Lenkijos Respublika yra kompetentinga nagrinėti pareiškėjo prašymą dėl prieglobsčio suteikimo. Nagrinėjamoje byloje ginčas kilo dėl to, kad, pareiškėjo nuomone, nepaistant to, </w:t>
      </w:r>
      <w:r w:rsidR="2F39512B" w:rsidRPr="50018204">
        <w:rPr>
          <w:rFonts w:asciiTheme="minorHAnsi" w:hAnsiTheme="minorHAnsi" w:cstheme="minorBidi"/>
          <w:color w:val="000000" w:themeColor="text1"/>
          <w:sz w:val="22"/>
          <w:szCs w:val="22"/>
        </w:rPr>
        <w:t xml:space="preserve">jog </w:t>
      </w:r>
      <w:r w:rsidRPr="50018204">
        <w:rPr>
          <w:rFonts w:asciiTheme="minorHAnsi" w:hAnsiTheme="minorHAnsi" w:cstheme="minorBidi"/>
          <w:color w:val="000000" w:themeColor="text1"/>
          <w:sz w:val="22"/>
          <w:szCs w:val="22"/>
        </w:rPr>
        <w:t>jo prašymą dėl prieglobsčio suteikimo yra kompetentinga nagrinėti Lenkijos Respublika, Lietuvos Respublika šiuo atveju turėjo pagrindą pasinaudoti diskrecine išlyga ir nagrinėti jo prašymą. Pareiškėjas apeliaciniame skunde nurodė, kad jis yra glaudžiai susijęs su Lietuvos Respublika, t. y. turi Lietuvoje nekilnojamojo turto, gyvenamąją vietą, socialinių ryšių, o tai reiškia, kad gali oriai gyventi.</w:t>
      </w:r>
    </w:p>
    <w:p w14:paraId="692D51C7" w14:textId="77777777" w:rsidR="0021226D" w:rsidRPr="0014011D" w:rsidRDefault="0021226D" w:rsidP="0021226D">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LVAT įvertinęs 2013 m. birželio 26 d. Europos Parlamento ir Tarybos reglamente (ES) Nr. 604/2013, kuriuo išdėstomi valstybės narės, atsakingos už trečiosios šalies piliečio arba asmens be pilietybės vienoje iš valstybių narių pateikto tarptautinės apsaugos prašymo nagrinėjimą, nustatymo kriterijai ir mechanizmai (toliau – Reglamentas) ir Lietuvos Respublikos vidaus reikalų ministro 2016 m. vasario 24 d. įsakymu Nr. 1V-131 patvirtintame Prieglobsčio Lietuvos Respublikoje suteikimo ir panaikinimo tvarkos apraše nustatytą teisinį reguliavimą darė išvadą, kad Europos Sąjungos valstybės narės turi teisę, bet ne pareigą nuspręsti nagrinėti prieglobsčio prašymą tuo atveju, jei Reglamente įtvirtintų kriterijų pagrindu nustatoma, kad už prieglobsčio prašymo nagrinėjimą yra atsakinga kita Europos Sąjungos valstybė narė. Tačiau teisės aktuose nėra nustatyta detalesnių taisyklių ar kriterijų tokio pobūdžio sprendimui priimti. </w:t>
      </w:r>
    </w:p>
    <w:p w14:paraId="0AA73CCD" w14:textId="794140E0" w:rsidR="0021226D" w:rsidRPr="0014011D" w:rsidRDefault="0021226D" w:rsidP="50018204">
      <w:pPr>
        <w:ind w:firstLine="567"/>
        <w:jc w:val="both"/>
        <w:rPr>
          <w:rFonts w:asciiTheme="minorHAnsi" w:hAnsiTheme="minorHAnsi" w:cstheme="minorBidi"/>
          <w:sz w:val="22"/>
          <w:szCs w:val="22"/>
        </w:rPr>
      </w:pPr>
      <w:r w:rsidRPr="50018204">
        <w:rPr>
          <w:rFonts w:asciiTheme="minorHAnsi" w:hAnsiTheme="minorHAnsi" w:cstheme="minorBidi"/>
          <w:color w:val="000000" w:themeColor="text1"/>
          <w:sz w:val="22"/>
          <w:szCs w:val="22"/>
        </w:rPr>
        <w:t>Vertindamas ginčijamą Sprendimą Viešojo administravimo įstatymo 8 straipsnio prasme, LVAT pažymėjo, kad nagrinėjamu atveju Migracijos departamentas, turintis teisę, o ne pareigą pasinaudoti Reglamente įtvirtinta diskrecine išlyga, gavęs pareiškėjo prašymą dėl prieglobsčio suteikimo, vis dėlto nepakankamai įvertino pareiškėjo situaciją, atsižvelgiant į tai, kad jis turi nuosavybės teise būstą Lietuvoje, kuriame, kaip patvirtina pats pareiškėjas, gyvenimas atitiktų jo interesus. Byloje nėra duomenų, kad pareiškėjas turėtų nuosavybės teise būstą ir Lenkijos Respublikoje, kuriame, minėtoje valstybėje nagrinėjant jo prieglobsčio prašymą, jis galėtų gyventi. Tinkamai įrengtas (pritaikytas gyvenimui) nuosavas būstas, kuriame asmuo turi teisę ir gali gyventi, nagrinėjamu atveju yra aplinkybė, kuri turėjo būti įvertinta diskrecinės išlygos taikymo kontekste, kad ginčijamą Sprendimą būtų galima pripažinti tinkamai motyvuot</w:t>
      </w:r>
      <w:r w:rsidR="17D27FE9" w:rsidRPr="50018204">
        <w:rPr>
          <w:rFonts w:asciiTheme="minorHAnsi" w:hAnsiTheme="minorHAnsi" w:cstheme="minorBidi"/>
          <w:color w:val="000000" w:themeColor="text1"/>
          <w:sz w:val="22"/>
          <w:szCs w:val="22"/>
        </w:rPr>
        <w:t>u</w:t>
      </w:r>
      <w:r w:rsidRPr="50018204">
        <w:rPr>
          <w:rFonts w:asciiTheme="minorHAnsi" w:hAnsiTheme="minorHAnsi" w:cstheme="minorBidi"/>
          <w:color w:val="000000" w:themeColor="text1"/>
          <w:sz w:val="22"/>
          <w:szCs w:val="22"/>
        </w:rPr>
        <w:t xml:space="preserve"> VAĮ 8 straipsnio 1 dalies prasme. Be to, tam, kad būtų </w:t>
      </w:r>
      <w:bookmarkStart w:id="23" w:name="_Hlk68173493"/>
      <w:r w:rsidRPr="50018204">
        <w:rPr>
          <w:rFonts w:asciiTheme="minorHAnsi" w:hAnsiTheme="minorHAnsi" w:cstheme="minorBidi"/>
          <w:color w:val="000000" w:themeColor="text1"/>
          <w:sz w:val="22"/>
          <w:szCs w:val="22"/>
        </w:rPr>
        <w:t>tinkamai įvertinta, kurioje valstybėje pareiškėjo prašymas dėl prieglobsčio suteikimo turėtų būti nagrinėjamas</w:t>
      </w:r>
      <w:bookmarkEnd w:id="23"/>
      <w:r w:rsidRPr="50018204">
        <w:rPr>
          <w:rFonts w:asciiTheme="minorHAnsi" w:hAnsiTheme="minorHAnsi" w:cstheme="minorBidi"/>
          <w:color w:val="000000" w:themeColor="text1"/>
          <w:sz w:val="22"/>
          <w:szCs w:val="22"/>
        </w:rPr>
        <w:t>, Migracijos departamentui yra pagrindas Reglamento nuostatų nustatyta tvarka surengti pokalbį su pareiškėju, kuriame jis galėtų tinkamai išdėstyti visas aplinkybes, jo nuomone, pagrindžiančias diskrecinės išlygos taikymą.</w:t>
      </w:r>
    </w:p>
    <w:p w14:paraId="4CD44177" w14:textId="77777777" w:rsidR="0021226D" w:rsidRPr="0014011D" w:rsidRDefault="0021226D" w:rsidP="0021226D">
      <w:pPr>
        <w:ind w:firstLine="567"/>
        <w:jc w:val="both"/>
        <w:rPr>
          <w:rFonts w:asciiTheme="minorHAnsi" w:hAnsiTheme="minorHAnsi" w:cstheme="minorHAnsi"/>
          <w:sz w:val="22"/>
          <w:szCs w:val="22"/>
        </w:rPr>
      </w:pPr>
      <w:r w:rsidRPr="0014011D">
        <w:rPr>
          <w:rFonts w:asciiTheme="minorHAnsi" w:hAnsiTheme="minorHAnsi" w:cstheme="minorHAnsi"/>
          <w:sz w:val="22"/>
          <w:szCs w:val="22"/>
        </w:rPr>
        <w:t>Apeliacinis skundas patenkintas, pirmosios instancijos teismo sprendimas panaikintas ir priimtas naujas sprendimas. Pareiškėjo skundas patenkintas – Sprendimas panaikintas ir Migracijos departamentas įpareigotas iš naujo nustatyti valstybę, atsakingą už pareiškėjo prašymo dėl prieglobsčio suteikimo nagrinėjimą, dėl to priimant naują sprendimą.</w:t>
      </w:r>
    </w:p>
    <w:p w14:paraId="05E04687" w14:textId="77777777" w:rsidR="0021226D" w:rsidRPr="0014011D" w:rsidRDefault="0021226D" w:rsidP="0021226D">
      <w:pPr>
        <w:ind w:firstLine="567"/>
        <w:jc w:val="both"/>
        <w:rPr>
          <w:rStyle w:val="Hipersaitas"/>
          <w:rFonts w:asciiTheme="minorHAnsi" w:hAnsiTheme="minorHAnsi" w:cstheme="minorHAnsi"/>
          <w:sz w:val="22"/>
          <w:szCs w:val="22"/>
        </w:rPr>
      </w:pPr>
    </w:p>
    <w:p w14:paraId="07FE69C9" w14:textId="77777777" w:rsidR="0021226D" w:rsidRPr="0014011D" w:rsidRDefault="0021226D" w:rsidP="0021226D">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2021 m. vasario 3 d. nutartis administracinėje byloje Nr. eA-200-492/2021</w:t>
      </w:r>
    </w:p>
    <w:p w14:paraId="462CF519" w14:textId="77777777" w:rsidR="0021226D" w:rsidRPr="0014011D" w:rsidRDefault="0021226D" w:rsidP="0021226D">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Teisminio proceso Nr. 3-61-3-03141-2020-6</w:t>
      </w:r>
    </w:p>
    <w:p w14:paraId="45C398F2" w14:textId="77777777" w:rsidR="0021226D" w:rsidRPr="0014011D" w:rsidRDefault="0021226D" w:rsidP="0021226D">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lastRenderedPageBreak/>
        <w:t>Procesinio sprendimo kategorijos: 9.1; 9.5</w:t>
      </w:r>
    </w:p>
    <w:p w14:paraId="5E8C4297" w14:textId="46F7513A" w:rsidR="0021226D" w:rsidRPr="0014011D" w:rsidRDefault="00936F04" w:rsidP="0021226D">
      <w:pPr>
        <w:jc w:val="both"/>
        <w:rPr>
          <w:rFonts w:asciiTheme="minorHAnsi" w:hAnsiTheme="minorHAnsi" w:cstheme="minorHAnsi"/>
          <w:sz w:val="22"/>
          <w:szCs w:val="22"/>
        </w:rPr>
      </w:pPr>
      <w:hyperlink r:id="rId15" w:history="1">
        <w:r w:rsidR="0021226D" w:rsidRPr="0014011D">
          <w:rPr>
            <w:rStyle w:val="Hipersaitas"/>
            <w:rFonts w:asciiTheme="minorHAnsi" w:hAnsiTheme="minorHAnsi" w:cstheme="minorHAnsi"/>
            <w:sz w:val="22"/>
            <w:szCs w:val="22"/>
          </w:rPr>
          <w:t>Prieiga internete</w:t>
        </w:r>
      </w:hyperlink>
    </w:p>
    <w:p w14:paraId="633147A4" w14:textId="77777777" w:rsidR="00177CBE" w:rsidRPr="0014011D" w:rsidRDefault="00177CBE" w:rsidP="00C5781A">
      <w:pPr>
        <w:jc w:val="both"/>
        <w:rPr>
          <w:rFonts w:asciiTheme="minorHAnsi" w:hAnsiTheme="minorHAnsi" w:cstheme="minorHAnsi"/>
          <w:sz w:val="22"/>
          <w:szCs w:val="22"/>
        </w:rPr>
      </w:pPr>
      <w:bookmarkStart w:id="24" w:name="_Toc462149976"/>
      <w:bookmarkStart w:id="25" w:name="_Toc462149978"/>
      <w:bookmarkStart w:id="26" w:name="_Toc63710308"/>
    </w:p>
    <w:p w14:paraId="496EE622" w14:textId="36D55872" w:rsidR="007B72C9" w:rsidRPr="0014011D" w:rsidRDefault="007B72C9" w:rsidP="00B62DE8">
      <w:pPr>
        <w:pStyle w:val="Apzvalgai1"/>
        <w:rPr>
          <w:rFonts w:asciiTheme="minorHAnsi" w:hAnsiTheme="minorHAnsi" w:cstheme="minorHAnsi"/>
        </w:rPr>
      </w:pPr>
      <w:bookmarkStart w:id="27" w:name="_Toc70514793"/>
      <w:r w:rsidRPr="0014011D">
        <w:rPr>
          <w:rFonts w:asciiTheme="minorHAnsi" w:hAnsiTheme="minorHAnsi" w:cstheme="minorHAnsi"/>
        </w:rPr>
        <w:t>12. Mokesčiai, įmokos ir kiti privalomieji mokėjimai</w:t>
      </w:r>
      <w:bookmarkEnd w:id="27"/>
    </w:p>
    <w:p w14:paraId="3E7F8E81" w14:textId="77777777" w:rsidR="007B72C9" w:rsidRPr="0014011D" w:rsidRDefault="007B72C9" w:rsidP="007B72C9">
      <w:pPr>
        <w:ind w:firstLine="567"/>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12.12. Kiti bendrieji mokesčių administravimo klausimai</w:t>
      </w:r>
    </w:p>
    <w:p w14:paraId="3E8AB0C6" w14:textId="77777777" w:rsidR="007B72C9" w:rsidRPr="0014011D" w:rsidRDefault="007B72C9" w:rsidP="007B72C9">
      <w:pPr>
        <w:ind w:firstLine="567"/>
        <w:jc w:val="both"/>
        <w:rPr>
          <w:rFonts w:asciiTheme="minorHAnsi" w:hAnsiTheme="minorHAnsi" w:cstheme="minorHAnsi"/>
          <w:sz w:val="22"/>
          <w:szCs w:val="22"/>
        </w:rPr>
      </w:pPr>
    </w:p>
    <w:p w14:paraId="69AC6176" w14:textId="1CF2DBBB" w:rsidR="007B72C9" w:rsidRPr="0014011D" w:rsidRDefault="007B72C9" w:rsidP="50018204">
      <w:pPr>
        <w:pStyle w:val="Antrat2"/>
        <w:rPr>
          <w:rFonts w:asciiTheme="minorHAnsi" w:hAnsiTheme="minorHAnsi" w:cstheme="minorBidi"/>
        </w:rPr>
      </w:pPr>
      <w:bookmarkStart w:id="28" w:name="_Toc70514794"/>
      <w:r w:rsidRPr="50018204">
        <w:rPr>
          <w:rFonts w:asciiTheme="minorHAnsi" w:hAnsiTheme="minorHAnsi" w:cstheme="minorBidi"/>
        </w:rPr>
        <w:t>Dėl mokesčių administratoriaus diskrecijos priimant sprendimą dėl išankstini</w:t>
      </w:r>
      <w:r w:rsidR="00C2023C" w:rsidRPr="50018204">
        <w:rPr>
          <w:rFonts w:asciiTheme="minorHAnsi" w:hAnsiTheme="minorHAnsi" w:cstheme="minorBidi"/>
        </w:rPr>
        <w:t>o</w:t>
      </w:r>
      <w:r w:rsidRPr="50018204">
        <w:rPr>
          <w:rFonts w:asciiTheme="minorHAnsi" w:hAnsiTheme="minorHAnsi" w:cstheme="minorBidi"/>
        </w:rPr>
        <w:t xml:space="preserve"> įsipareigojim</w:t>
      </w:r>
      <w:r w:rsidR="00C2023C" w:rsidRPr="50018204">
        <w:rPr>
          <w:rFonts w:asciiTheme="minorHAnsi" w:hAnsiTheme="minorHAnsi" w:cstheme="minorBidi"/>
        </w:rPr>
        <w:t>o</w:t>
      </w:r>
      <w:r w:rsidRPr="50018204">
        <w:rPr>
          <w:rFonts w:asciiTheme="minorHAnsi" w:hAnsiTheme="minorHAnsi" w:cstheme="minorBidi"/>
        </w:rPr>
        <w:t xml:space="preserve"> dėl mokesčių</w:t>
      </w:r>
      <w:r w:rsidR="68A04F11" w:rsidRPr="50018204">
        <w:rPr>
          <w:rFonts w:asciiTheme="minorHAnsi" w:hAnsiTheme="minorHAnsi" w:cstheme="minorBidi"/>
        </w:rPr>
        <w:t xml:space="preserve"> </w:t>
      </w:r>
      <w:r w:rsidRPr="50018204">
        <w:rPr>
          <w:rFonts w:asciiTheme="minorHAnsi" w:hAnsiTheme="minorHAnsi" w:cstheme="minorBidi"/>
        </w:rPr>
        <w:t>teisės aktų nuostatų taikymo (Mokesčių administravimo įstatymo 37</w:t>
      </w:r>
      <w:r w:rsidRPr="50018204">
        <w:rPr>
          <w:rFonts w:asciiTheme="minorHAnsi" w:hAnsiTheme="minorHAnsi" w:cstheme="minorBidi"/>
          <w:vertAlign w:val="superscript"/>
        </w:rPr>
        <w:t>1</w:t>
      </w:r>
      <w:r w:rsidRPr="50018204">
        <w:rPr>
          <w:rFonts w:asciiTheme="minorHAnsi" w:hAnsiTheme="minorHAnsi" w:cstheme="minorBidi"/>
        </w:rPr>
        <w:t xml:space="preserve"> str.)</w:t>
      </w:r>
      <w:bookmarkEnd w:id="28"/>
    </w:p>
    <w:p w14:paraId="1523DB4A" w14:textId="6A497607" w:rsidR="007B72C9" w:rsidRPr="0014011D" w:rsidRDefault="007B72C9" w:rsidP="007B72C9">
      <w:pPr>
        <w:jc w:val="both"/>
        <w:rPr>
          <w:rFonts w:asciiTheme="minorHAnsi" w:hAnsiTheme="minorHAnsi" w:cstheme="minorHAnsi"/>
          <w:i/>
          <w:iCs/>
          <w:sz w:val="22"/>
          <w:szCs w:val="22"/>
        </w:rPr>
      </w:pPr>
      <w:r w:rsidRPr="0014011D">
        <w:rPr>
          <w:rFonts w:asciiTheme="minorHAnsi" w:hAnsiTheme="minorHAnsi" w:cstheme="minorHAnsi"/>
          <w:i/>
          <w:iCs/>
          <w:sz w:val="22"/>
          <w:szCs w:val="22"/>
        </w:rPr>
        <w:t>Dėl mokesčių administratoriaus sprendimo nepritarti prašyme nurodytam mokesčių teisės aktų nuostatų taikymui būsimajam sandoriui kaip administracinės bylos nagrinėjimo dalyko</w:t>
      </w:r>
    </w:p>
    <w:p w14:paraId="1BA05D2F" w14:textId="77777777" w:rsidR="007B72C9" w:rsidRPr="0014011D" w:rsidRDefault="007B72C9" w:rsidP="007B72C9">
      <w:pPr>
        <w:ind w:firstLine="567"/>
        <w:jc w:val="both"/>
        <w:rPr>
          <w:rFonts w:asciiTheme="minorHAnsi" w:hAnsiTheme="minorHAnsi" w:cstheme="minorHAnsi"/>
          <w:sz w:val="22"/>
          <w:szCs w:val="22"/>
        </w:rPr>
      </w:pPr>
    </w:p>
    <w:p w14:paraId="7223897F" w14:textId="77777777"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Apžvelgiamoje byloje ginčas kilo dėl centrinio mokesčių administratoriaus sprendimo, kuriuo nuspręsta nepritarti pareiškėjo pagal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1 dalį</w:t>
      </w:r>
      <w:r w:rsidRPr="50018204">
        <w:rPr>
          <w:rStyle w:val="Puslapioinaosnuoroda"/>
          <w:rFonts w:asciiTheme="minorHAnsi" w:hAnsiTheme="minorHAnsi" w:cstheme="minorBidi"/>
          <w:sz w:val="22"/>
          <w:szCs w:val="22"/>
        </w:rPr>
        <w:footnoteReference w:id="1"/>
      </w:r>
      <w:r w:rsidRPr="50018204">
        <w:rPr>
          <w:rFonts w:asciiTheme="minorHAnsi" w:hAnsiTheme="minorHAnsi" w:cstheme="minorBidi"/>
          <w:sz w:val="22"/>
          <w:szCs w:val="22"/>
        </w:rPr>
        <w:t xml:space="preserve"> pateiktame prašyme nurodytam mokesčio įstatymo nuostatų taikymui būsimajam sandoriui (ūkinėms operacijoms). Atmesdamas pareiškėjo skundą, pirmosios instancijos teismas, be kita ko, nurodė, kad pareiškėjas teismui ginčijo sprendime išdėstytą mokesčių administratoriaus poziciją, t. y. ginčija sprendimą ta apimtimi, kuri negali būti ginčo administracinėje byloje dalyku (teismas atsisakė vertinti atsakovo pozicijos dėl PVM įstatymo nuostatų taikymo pagrįstumą).</w:t>
      </w:r>
    </w:p>
    <w:p w14:paraId="585EBA88" w14:textId="1D04B139"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Nesutikdama su tokia pirmosios instancijos teismo pozicija LVAT išplėstinė teisėjų pirmiausia pažymėjo, kad </w:t>
      </w:r>
      <w:r w:rsidRPr="50018204">
        <w:rPr>
          <w:rFonts w:asciiTheme="minorHAnsi" w:hAnsiTheme="minorHAnsi" w:cstheme="minorBidi"/>
          <w:sz w:val="22"/>
          <w:szCs w:val="22"/>
          <w:u w:val="single"/>
        </w:rPr>
        <w:t>Mokesčių administravimo įstatymo 37</w:t>
      </w:r>
      <w:r w:rsidRPr="50018204">
        <w:rPr>
          <w:rFonts w:asciiTheme="minorHAnsi" w:hAnsiTheme="minorHAnsi" w:cstheme="minorBidi"/>
          <w:sz w:val="22"/>
          <w:szCs w:val="22"/>
          <w:u w:val="single"/>
          <w:vertAlign w:val="superscript"/>
        </w:rPr>
        <w:t>1</w:t>
      </w:r>
      <w:r w:rsidRPr="50018204">
        <w:rPr>
          <w:rFonts w:asciiTheme="minorHAnsi" w:hAnsiTheme="minorHAnsi" w:cstheme="minorBidi"/>
          <w:sz w:val="22"/>
          <w:szCs w:val="22"/>
          <w:u w:val="single"/>
        </w:rPr>
        <w:t xml:space="preserve"> straipsniu reglamentuojama atskira mokesčių administravimo procedūra, kuri inicijuojama mokesčių mokėtojui pateikus šio straipsnio 1 dalyje nurodytą prašymą pritarti jo siūlomam mokesčių teisės aktų nuostatų taikymui būsimajam sandoriui, ir užbaigiama vienu iš šio straipsnio 3 dalyje nurodytų sprendimų – pritarti (1 p.) arba nepritarti (2 p.) šiame prašyme nurodytam mokesčių teisės aktų nuostatų taikymui</w:t>
      </w:r>
      <w:r w:rsidRPr="50018204">
        <w:rPr>
          <w:rFonts w:asciiTheme="minorHAnsi" w:hAnsiTheme="minorHAnsi" w:cstheme="minorBidi"/>
          <w:sz w:val="22"/>
          <w:szCs w:val="22"/>
        </w:rPr>
        <w:t>.</w:t>
      </w:r>
    </w:p>
    <w:p w14:paraId="4526D4BD" w14:textId="77777777"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Priėmęs sprendimą pritarti šiam nuostatų taikymui, mokesčių administratorius įsipareigoja, kontroliuodamas, ar šis mokesčių mokėtojas teisingai apskaičiavo, deklaravo ir mokėjo mokesčius, taikyti mokesčių teisės aktų nuostatas būsimajam sandoriui taip, kaip nurodyta sprendime, išskyrus įstatyme nurodytus atvejus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 3 d. 1 p.). </w:t>
      </w:r>
      <w:r w:rsidRPr="50018204">
        <w:rPr>
          <w:rFonts w:asciiTheme="minorHAnsi" w:hAnsiTheme="minorHAnsi" w:cstheme="minorBidi"/>
          <w:sz w:val="22"/>
          <w:szCs w:val="22"/>
          <w:u w:val="single"/>
        </w:rPr>
        <w:t>Toks sprendimas panaikina mokesčių administratoriaus diskreciją teisės aktų nuostatų taikymo srityje ir įpareigoja jį vadovautis sprendime suformuota teisės aiškinimo taisykle, išskyrus teisės aktų numatytas išimtis</w:t>
      </w:r>
      <w:r w:rsidRPr="50018204">
        <w:rPr>
          <w:rFonts w:asciiTheme="minorHAnsi" w:hAnsiTheme="minorHAnsi" w:cstheme="minorBidi"/>
          <w:sz w:val="22"/>
          <w:szCs w:val="22"/>
        </w:rPr>
        <w:t xml:space="preserve">. </w:t>
      </w:r>
    </w:p>
    <w:p w14:paraId="7DBC2E9F" w14:textId="706B91F7"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Kaip pažymėjo LVAT išplėstinė teisėjų kolegija, naudodamasis jam įstatymų leidėjo suteikta teis</w:t>
      </w:r>
      <w:r w:rsidR="5023C33D" w:rsidRPr="50018204">
        <w:rPr>
          <w:rFonts w:asciiTheme="minorHAnsi" w:hAnsiTheme="minorHAnsi" w:cstheme="minorBidi"/>
          <w:sz w:val="22"/>
          <w:szCs w:val="22"/>
        </w:rPr>
        <w:t>e</w:t>
      </w:r>
      <w:r w:rsidRPr="50018204">
        <w:rPr>
          <w:rFonts w:asciiTheme="minorHAnsi" w:hAnsiTheme="minorHAnsi" w:cstheme="minorBidi"/>
          <w:sz w:val="22"/>
          <w:szCs w:val="22"/>
        </w:rPr>
        <w:t xml:space="preserve"> pateikti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1 dalyje nurodytą prašymą, mokesčių mokėtojas iš esmės siekia, kad mokesčių administratorius vienašališkai prisiimtų įsipareigojimą dėl atitinkamų mokesčių teisės aktų nuostatų taikymo būsimajam sandoriui. Kitaip tariant, </w:t>
      </w:r>
      <w:r w:rsidRPr="50018204">
        <w:rPr>
          <w:rFonts w:asciiTheme="minorHAnsi" w:hAnsiTheme="minorHAnsi" w:cstheme="minorBidi"/>
          <w:sz w:val="22"/>
          <w:szCs w:val="22"/>
          <w:u w:val="single"/>
        </w:rPr>
        <w:t>tokiu prašymu mokesčių mokėtojas siekia gauti ne atsakymą (išaiškinimą, nuomonę) dėl atitinkamų mokesčių teisės aktų nuostatų taikymo, bet mokesčių administratoriaus sprendimą, kuriuo šis viešojo administravimo subjektas formaliai (t. y. priimtu teisės taikymo aktu) įsipareigotų dėl šių nuostatų taikymo.</w:t>
      </w:r>
      <w:r w:rsidRPr="50018204">
        <w:rPr>
          <w:rFonts w:asciiTheme="minorHAnsi" w:hAnsiTheme="minorHAnsi" w:cstheme="minorBidi"/>
          <w:sz w:val="22"/>
          <w:szCs w:val="22"/>
        </w:rPr>
        <w:t xml:space="preserve"> </w:t>
      </w:r>
    </w:p>
    <w:p w14:paraId="37559368"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Dėl mokesčių administratoriaus diskrecijos vienašališkai įsipareigojant dėl aptariamo mokesčių teisės aktų nuostatų taikymo LVAT pažymėjo, kad </w:t>
      </w:r>
      <w:r w:rsidRPr="0014011D">
        <w:rPr>
          <w:rFonts w:asciiTheme="minorHAnsi" w:hAnsiTheme="minorHAnsi" w:cstheme="minorHAnsi"/>
          <w:sz w:val="22"/>
          <w:szCs w:val="22"/>
          <w:u w:val="single"/>
        </w:rPr>
        <w:t>atsisakymas tenkinti mokesčių mokėtojo prašymą gali būti priimtas tik jei objektyviai egzistuoja pagrindai, neleidžiantys priimti Mokesčių administravimo įstatymo 37</w:t>
      </w:r>
      <w:r w:rsidRPr="0014011D">
        <w:rPr>
          <w:rFonts w:asciiTheme="minorHAnsi" w:hAnsiTheme="minorHAnsi" w:cstheme="minorHAnsi"/>
          <w:sz w:val="22"/>
          <w:szCs w:val="22"/>
          <w:u w:val="single"/>
          <w:vertAlign w:val="superscript"/>
        </w:rPr>
        <w:t>1</w:t>
      </w:r>
      <w:r w:rsidRPr="0014011D">
        <w:rPr>
          <w:rFonts w:asciiTheme="minorHAnsi" w:hAnsiTheme="minorHAnsi" w:cstheme="minorHAnsi"/>
          <w:sz w:val="22"/>
          <w:szCs w:val="22"/>
          <w:u w:val="single"/>
        </w:rPr>
        <w:t xml:space="preserve"> straipsnio 3 dalies 1 punkte nurodyto sprendimo, t. y. įstatymų leidėjas įpareigoja mokesčių administratorių pritarti mokesčių mokėtojo prašyme nurodytam mokesčių teisės aktų nuostatų taikymui būsimam sandoriui, nebent nustatomos ir nurodomos aplinkybės, dėl kurių toks sprendimas negali būti priimtas</w:t>
      </w:r>
      <w:r w:rsidRPr="0014011D">
        <w:rPr>
          <w:rFonts w:asciiTheme="minorHAnsi" w:hAnsiTheme="minorHAnsi" w:cstheme="minorHAnsi"/>
          <w:sz w:val="22"/>
          <w:szCs w:val="22"/>
        </w:rPr>
        <w:t>.</w:t>
      </w:r>
    </w:p>
    <w:p w14:paraId="6904CA2E" w14:textId="77777777"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Priimdamas vieną iš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3 dalyje nurodytų sprendimų, mokesčių administratorius sprendžia dėl konkrečių mokesčių teisės aktų nuostatų taikymo pagal aiškiai ir vienareikšmiškai prašyme nurodytas (tyrimo, prašymo nagrinėjimo metu nustatytas) faktines sandorio vykdymo aplinkybes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 1, 2 ir 6 d.), t. y. </w:t>
      </w:r>
      <w:r w:rsidRPr="50018204">
        <w:rPr>
          <w:rFonts w:asciiTheme="minorHAnsi" w:hAnsiTheme="minorHAnsi" w:cstheme="minorBidi"/>
          <w:sz w:val="22"/>
          <w:szCs w:val="22"/>
          <w:u w:val="single"/>
        </w:rPr>
        <w:t xml:space="preserve">sprendimas pritarti prašyme nurodytam mokesčių teisės aktų nuostatų taikymui būsimajam sandoriui gali būti priimtas tik jei šio sandorio kvalifikavimui </w:t>
      </w:r>
      <w:r w:rsidRPr="50018204">
        <w:rPr>
          <w:rFonts w:asciiTheme="minorHAnsi" w:hAnsiTheme="minorHAnsi" w:cstheme="minorBidi"/>
          <w:sz w:val="22"/>
          <w:szCs w:val="22"/>
          <w:u w:val="single"/>
        </w:rPr>
        <w:lastRenderedPageBreak/>
        <w:t>apmokestinimo tikslais nurodytų (nustatytų) faktinių aplinkybių turinys yra aiškiai ir vienareikšmiškai apibrėžtas</w:t>
      </w:r>
      <w:r w:rsidRPr="50018204">
        <w:rPr>
          <w:rFonts w:asciiTheme="minorHAnsi" w:hAnsiTheme="minorHAnsi" w:cstheme="minorBidi"/>
          <w:sz w:val="22"/>
          <w:szCs w:val="22"/>
        </w:rPr>
        <w:t>. Tai reiškia, kad priimant aptariamą sprendimą nėra ir negali būti atsižvelgiama į aplinkybes (būsimasis sandoris negali būti kvalifikuojamas apmokestinimo tikslais pagal faktines aplinkybes), kurios dėl savo turinio neapibrėžtumo implikuotų tam tikrą mokesčių administratoriaus diskreciją jas vertinant.</w:t>
      </w:r>
    </w:p>
    <w:p w14:paraId="77CD38E6" w14:textId="5CC2DB15"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3 dalies 2 punkte nurodytu </w:t>
      </w:r>
      <w:r w:rsidRPr="50018204">
        <w:rPr>
          <w:rFonts w:asciiTheme="minorHAnsi" w:hAnsiTheme="minorHAnsi" w:cstheme="minorBidi"/>
          <w:sz w:val="22"/>
          <w:szCs w:val="22"/>
          <w:u w:val="single"/>
        </w:rPr>
        <w:t>sprendimu „nepritarti“ viešojo administravimo subjektas atsisako atlikti mokesčių mokėtojo prašomus veiksmus – pritarti nurodytam mokesčių teisės aktų nuostatų taikymui būsimajam sandoriui (atsisakoma tenkinti pareiškėjo prašymą)</w:t>
      </w:r>
      <w:r w:rsidRPr="50018204">
        <w:rPr>
          <w:rFonts w:asciiTheme="minorHAnsi" w:hAnsiTheme="minorHAnsi" w:cstheme="minorBidi"/>
          <w:sz w:val="22"/>
          <w:szCs w:val="22"/>
        </w:rPr>
        <w:t>. Šis atsisakymas atlikti veiksmus yra vienas iš viešojo administravimo subjektui leistinų priimti administracinių sprendimų, tačiau jam taip pat taikomi ir tam tikri turinio reikalavimai, įskaitant pareigą nurodyti teisinį ir faktinį pagrindus ar kitas administraciniam sprendimui įtakos turėjusias aplinkybes, taip pat šio sprendimo motyvus</w:t>
      </w:r>
      <w:r w:rsidR="3F2892A9" w:rsidRPr="50018204">
        <w:rPr>
          <w:rFonts w:asciiTheme="minorHAnsi" w:hAnsiTheme="minorHAnsi" w:cstheme="minorBidi"/>
          <w:sz w:val="22"/>
          <w:szCs w:val="22"/>
        </w:rPr>
        <w:t>.</w:t>
      </w:r>
    </w:p>
    <w:p w14:paraId="170CC8DE"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Kaip pažymėjo išplėstinė teisėjų kolegija, </w:t>
      </w:r>
      <w:r w:rsidRPr="0014011D">
        <w:rPr>
          <w:rFonts w:asciiTheme="minorHAnsi" w:hAnsiTheme="minorHAnsi" w:cstheme="minorHAnsi"/>
          <w:sz w:val="22"/>
          <w:szCs w:val="22"/>
          <w:u w:val="single"/>
        </w:rPr>
        <w:t>sprendimas nepritarti mokesčių mokėtojo prašyme nurodytam mokesčių teisės aktų nuostatų taikymui priimamas, jei, pavyzdžiui:</w:t>
      </w:r>
      <w:r w:rsidRPr="0014011D">
        <w:rPr>
          <w:rFonts w:asciiTheme="minorHAnsi" w:hAnsiTheme="minorHAnsi" w:cstheme="minorHAnsi"/>
          <w:sz w:val="22"/>
          <w:szCs w:val="22"/>
        </w:rPr>
        <w:t xml:space="preserve"> </w:t>
      </w:r>
    </w:p>
    <w:p w14:paraId="6082A31F"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 prašyme nurodytos ir (ar) tyrimo (prašymo nagrinėjimo) metu nustatytos reikšmingos faktinės aplinkybės nėra išsamios (pakankamos), aiškios ir (ar) vienareikšmės spręsti dėl prašyme nurodytų mokesčių teisės aktų nuostatų taikymo būsimajam sandoriui. Iš tiesų </w:t>
      </w:r>
      <w:r w:rsidRPr="0014011D">
        <w:rPr>
          <w:rFonts w:asciiTheme="minorHAnsi" w:hAnsiTheme="minorHAnsi" w:cstheme="minorHAnsi"/>
          <w:sz w:val="22"/>
          <w:szCs w:val="22"/>
          <w:u w:val="single"/>
        </w:rPr>
        <w:t>sprendimas pritarti prašyme nurodytam mokesčių teisės aktų nuostatų taikymui negali būti priimtas, jei tiek būsimojo sandorio, tiek su juo susijusių ir kvalifikavimui reikšmingų aplinkybių turinys nėra aiškus ir vienareikšmis, priklausantis nuo (subjektyvaus) teisinių santykių dalyvių interpretavimo, taip pat jei nenurodytos visos (yra nutylėtos, nuslėptos) sandorio kvalifikavimui apmokestinimo tikslais reikšmingos aplinkybės</w:t>
      </w:r>
      <w:r w:rsidRPr="0014011D">
        <w:rPr>
          <w:rFonts w:asciiTheme="minorHAnsi" w:hAnsiTheme="minorHAnsi" w:cstheme="minorHAnsi"/>
          <w:sz w:val="22"/>
          <w:szCs w:val="22"/>
        </w:rPr>
        <w:t>;</w:t>
      </w:r>
    </w:p>
    <w:p w14:paraId="0EB8B821"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 prašoma atlikti vertinimą dėl santykių, kurie nėra susiję su būsimuoju sandoriu, kaip šis apibrėžtas Mokesčių administravimo įstatymo 37</w:t>
      </w:r>
      <w:r w:rsidRPr="0014011D">
        <w:rPr>
          <w:rFonts w:asciiTheme="minorHAnsi" w:hAnsiTheme="minorHAnsi" w:cstheme="minorHAnsi"/>
          <w:sz w:val="22"/>
          <w:szCs w:val="22"/>
          <w:vertAlign w:val="superscript"/>
        </w:rPr>
        <w:t>1</w:t>
      </w:r>
      <w:r w:rsidRPr="0014011D">
        <w:rPr>
          <w:rFonts w:asciiTheme="minorHAnsi" w:hAnsiTheme="minorHAnsi" w:cstheme="minorHAnsi"/>
          <w:sz w:val="22"/>
          <w:szCs w:val="22"/>
        </w:rPr>
        <w:t xml:space="preserve"> straipsnio 1 dalyje, arba prašyme nurodytos mokesčių teisės aktų nuostatos nėra taikomos būsimajam sandoriui (nereguliuoja su šiuo sandoriu susijusių mokestinių teisinių santykių); taip pat jei nurodomas būsimasis sandoris nėra konkretus. Iš tiesų, </w:t>
      </w:r>
      <w:r w:rsidRPr="0014011D">
        <w:rPr>
          <w:rFonts w:asciiTheme="minorHAnsi" w:hAnsiTheme="minorHAnsi" w:cstheme="minorHAnsi"/>
          <w:sz w:val="22"/>
          <w:szCs w:val="22"/>
          <w:u w:val="single"/>
        </w:rPr>
        <w:t xml:space="preserve">mokesčių administratorius priima sprendimą „pritarti“ arba „nepritarti“ </w:t>
      </w:r>
      <w:r w:rsidRPr="0014011D">
        <w:rPr>
          <w:rFonts w:asciiTheme="minorHAnsi" w:hAnsiTheme="minorHAnsi" w:cstheme="minorHAnsi"/>
          <w:i/>
          <w:iCs/>
          <w:sz w:val="22"/>
          <w:szCs w:val="22"/>
          <w:u w:val="single"/>
        </w:rPr>
        <w:t>prašyme nurodytam</w:t>
      </w:r>
      <w:r w:rsidRPr="0014011D">
        <w:rPr>
          <w:rFonts w:asciiTheme="minorHAnsi" w:hAnsiTheme="minorHAnsi" w:cstheme="minorHAnsi"/>
          <w:sz w:val="22"/>
          <w:szCs w:val="22"/>
          <w:u w:val="single"/>
        </w:rPr>
        <w:t xml:space="preserve"> mokesčių teisės aktų nuostatų taikymui būsimajam sandoriui, todėl Mokesčių administravimo įstatymo 37</w:t>
      </w:r>
      <w:r w:rsidRPr="0014011D">
        <w:rPr>
          <w:rFonts w:asciiTheme="minorHAnsi" w:hAnsiTheme="minorHAnsi" w:cstheme="minorHAnsi"/>
          <w:sz w:val="22"/>
          <w:szCs w:val="22"/>
          <w:u w:val="single"/>
          <w:vertAlign w:val="superscript"/>
        </w:rPr>
        <w:t>1</w:t>
      </w:r>
      <w:r w:rsidRPr="0014011D">
        <w:rPr>
          <w:rFonts w:asciiTheme="minorHAnsi" w:hAnsiTheme="minorHAnsi" w:cstheme="minorHAnsi"/>
          <w:sz w:val="22"/>
          <w:szCs w:val="22"/>
          <w:u w:val="single"/>
        </w:rPr>
        <w:t xml:space="preserve"> straipsnio 3 dalies 1 punkte nurodytu sprendimu šis viešojo administravimo subjektas negali savo nuožiūra (savo iniciatyva) jame (sprendime „pritarti“) kitaip apibrėžti (tikslinti, keisti) ir (ar) kvalifikuoti būsimąjį sandorį, nei nurodė pats mokesčių mokėtojas pateikdamas prašymą</w:t>
      </w:r>
      <w:r w:rsidRPr="0014011D">
        <w:rPr>
          <w:rFonts w:asciiTheme="minorHAnsi" w:hAnsiTheme="minorHAnsi" w:cstheme="minorHAnsi"/>
          <w:sz w:val="22"/>
          <w:szCs w:val="22"/>
        </w:rPr>
        <w:t>;</w:t>
      </w:r>
    </w:p>
    <w:p w14:paraId="5F7C71A0" w14:textId="27657802" w:rsidR="007B72C9" w:rsidRPr="0014011D" w:rsidRDefault="007B72C9"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 bendrasis </w:t>
      </w:r>
      <w:r w:rsidRPr="50018204">
        <w:rPr>
          <w:rFonts w:asciiTheme="minorHAnsi" w:hAnsiTheme="minorHAnsi" w:cstheme="minorBidi"/>
          <w:sz w:val="22"/>
          <w:szCs w:val="22"/>
          <w:u w:val="single"/>
        </w:rPr>
        <w:t>draudimo piktnaudžiauti teise principas taip pat sudaro prielaidas mokesčių administratoriui atsisakyti tenkinti mokesčių mokėtojo prašymą, kai objektyvūs duomenys patvirtina, kad prašomas įvertinti būsimasis sandoris (nurodomos faktinės aplinkybės) akivaizdžiai yra hipotetinis ir (ar) šiuo prašymu nėra realiai siekiama sukurti to paties straipsnio 3 dalies 1 punkte nurodytų pasekmių, taip pat jei mokesčių mokėtojas siekia kitų, su aptariamu reglamentavimu nesuderinamų, tikslų (pvz., įgyti mokesčių įstatymams prieštaraujančią mokestin</w:t>
      </w:r>
      <w:r w:rsidR="307379EB" w:rsidRPr="50018204">
        <w:rPr>
          <w:rFonts w:asciiTheme="minorHAnsi" w:hAnsiTheme="minorHAnsi" w:cstheme="minorBidi"/>
          <w:sz w:val="22"/>
          <w:szCs w:val="22"/>
          <w:u w:val="single"/>
        </w:rPr>
        <w:t>ę</w:t>
      </w:r>
      <w:r w:rsidRPr="50018204">
        <w:rPr>
          <w:rFonts w:asciiTheme="minorHAnsi" w:hAnsiTheme="minorHAnsi" w:cstheme="minorBidi"/>
          <w:sz w:val="22"/>
          <w:szCs w:val="22"/>
          <w:u w:val="single"/>
        </w:rPr>
        <w:t xml:space="preserve"> naudą, išvengti mokėtinų mokesčių ar kitų mokestinių prievolių (jų dalies) vykdymo ir kt.)</w:t>
      </w:r>
      <w:r w:rsidRPr="50018204">
        <w:rPr>
          <w:rFonts w:asciiTheme="minorHAnsi" w:hAnsiTheme="minorHAnsi" w:cstheme="minorBidi"/>
          <w:sz w:val="22"/>
          <w:szCs w:val="22"/>
        </w:rPr>
        <w:t>.</w:t>
      </w:r>
    </w:p>
    <w:p w14:paraId="441FE456"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Galiausiai LVAT akcentavo, kad </w:t>
      </w:r>
      <w:r w:rsidRPr="0014011D">
        <w:rPr>
          <w:rFonts w:asciiTheme="minorHAnsi" w:hAnsiTheme="minorHAnsi" w:cstheme="minorHAnsi"/>
          <w:sz w:val="22"/>
          <w:szCs w:val="22"/>
          <w:u w:val="single"/>
        </w:rPr>
        <w:t>nesant aplinkybių, dėl kurių mokesčių administratorius objektyviai negalėtų atlikti mokesčių mokėtojo prašyme nurodyto mokesčių teisės aktų nuostatų taikymo vertinimo, šis viešojo administravimo subjektas Mokesčių administravimo įstatymo 37</w:t>
      </w:r>
      <w:r w:rsidRPr="0014011D">
        <w:rPr>
          <w:rFonts w:asciiTheme="minorHAnsi" w:hAnsiTheme="minorHAnsi" w:cstheme="minorHAnsi"/>
          <w:sz w:val="22"/>
          <w:szCs w:val="22"/>
          <w:u w:val="single"/>
          <w:vertAlign w:val="superscript"/>
        </w:rPr>
        <w:t>1</w:t>
      </w:r>
      <w:r w:rsidRPr="0014011D">
        <w:rPr>
          <w:rFonts w:asciiTheme="minorHAnsi" w:hAnsiTheme="minorHAnsi" w:cstheme="minorHAnsi"/>
          <w:sz w:val="22"/>
          <w:szCs w:val="22"/>
          <w:u w:val="single"/>
        </w:rPr>
        <w:t xml:space="preserve"> straipsnio 3 dalies 2 punkte numatytą sprendimą nepritarti turi priimti tik tuo atveju, jei prašyme nurodytas nuostatų interpretavimas prieštarauja (neatitinka) įstatymų ir kitų norminių teisės aktų, įskaitant Europos Sąjungos ir tarptautinius teisės aktus, nuostatoms ir (ar) nacionalinių teismų bei Sąjungos teisminių institucijų praktikai aiškinant ir taikant šias bei susijusias nuostatas</w:t>
      </w:r>
      <w:r w:rsidRPr="0014011D">
        <w:rPr>
          <w:rFonts w:asciiTheme="minorHAnsi" w:hAnsiTheme="minorHAnsi" w:cstheme="minorHAnsi"/>
          <w:sz w:val="22"/>
          <w:szCs w:val="22"/>
        </w:rPr>
        <w:t>.</w:t>
      </w:r>
    </w:p>
    <w:p w14:paraId="16878F96" w14:textId="37CB02A9" w:rsidR="007B72C9" w:rsidRPr="0014011D" w:rsidRDefault="007B72C9" w:rsidP="50018204">
      <w:pPr>
        <w:ind w:firstLine="567"/>
        <w:jc w:val="both"/>
        <w:rPr>
          <w:rFonts w:asciiTheme="minorHAnsi" w:hAnsiTheme="minorHAnsi" w:cstheme="minorBidi"/>
          <w:sz w:val="22"/>
          <w:szCs w:val="22"/>
          <w:u w:val="single"/>
        </w:rPr>
      </w:pPr>
      <w:r w:rsidRPr="50018204">
        <w:rPr>
          <w:rFonts w:asciiTheme="minorHAnsi" w:hAnsiTheme="minorHAnsi" w:cstheme="minorBidi"/>
          <w:sz w:val="22"/>
          <w:szCs w:val="22"/>
        </w:rPr>
        <w:t xml:space="preserve">Šiuo aspektu pažymėta, kad </w:t>
      </w:r>
      <w:r w:rsidRPr="50018204">
        <w:rPr>
          <w:rFonts w:asciiTheme="minorHAnsi" w:hAnsiTheme="minorHAnsi" w:cstheme="minorBidi"/>
          <w:sz w:val="22"/>
          <w:szCs w:val="22"/>
          <w:u w:val="single"/>
        </w:rPr>
        <w:t>Mokesčių administravimo įstatymo 37</w:t>
      </w:r>
      <w:r w:rsidRPr="50018204">
        <w:rPr>
          <w:rFonts w:asciiTheme="minorHAnsi" w:hAnsiTheme="minorHAnsi" w:cstheme="minorBidi"/>
          <w:sz w:val="22"/>
          <w:szCs w:val="22"/>
          <w:u w:val="single"/>
          <w:vertAlign w:val="superscript"/>
        </w:rPr>
        <w:t>1</w:t>
      </w:r>
      <w:r w:rsidRPr="50018204">
        <w:rPr>
          <w:rFonts w:asciiTheme="minorHAnsi" w:hAnsiTheme="minorHAnsi" w:cstheme="minorBidi"/>
          <w:sz w:val="22"/>
          <w:szCs w:val="22"/>
          <w:u w:val="single"/>
        </w:rPr>
        <w:t xml:space="preserve"> straipsnio 3 dalies 2 punkte nurodytam sprendimui pakanka, jog mokesčių administratorius paneigtų mokesčių mokėtojo prašyme nurodyto mokesčių teisės aktų nuostatų taikymo būsimajam sandoriui teisingumą ar (ir) pagrįstumą, t. y. pakanka motyvuotai nurodyti, kad </w:t>
      </w:r>
      <w:r w:rsidRPr="50018204">
        <w:rPr>
          <w:rFonts w:asciiTheme="minorHAnsi" w:hAnsiTheme="minorHAnsi" w:cstheme="minorBidi"/>
          <w:i/>
          <w:iCs/>
          <w:sz w:val="22"/>
          <w:szCs w:val="22"/>
          <w:u w:val="single"/>
        </w:rPr>
        <w:t>mokesčių mokėtojo siūlomas</w:t>
      </w:r>
      <w:r w:rsidRPr="50018204">
        <w:rPr>
          <w:rFonts w:asciiTheme="minorHAnsi" w:hAnsiTheme="minorHAnsi" w:cstheme="minorBidi"/>
          <w:sz w:val="22"/>
          <w:szCs w:val="22"/>
          <w:u w:val="single"/>
        </w:rPr>
        <w:t xml:space="preserve"> mokesčių teisės aktų nuostatų taikymas (jo dalis) neatitinka įstatymų, kitų norminių aktų nuostatų ar (ir) teismų praktikos. Mokesčių administratorius atlieka tik mokesčių mokėtojo siūlomo mokesčių teisės aktų nuostatų taikymo būsimajam sandoriui patikrinimą, o nustatęs, kad šis taikymas nėra teisingas ir (ar) pagrįstas, neprivalo pateikti išaiškinimo dėl to, kaip turėtų būti kvalifikuojamas būsimasis sandoris apmokestinimo tikslais, jei tai nėra būtina mokesčių mokėtojo prašyme išdėstytam vertinimui paneigti</w:t>
      </w:r>
      <w:r w:rsidRPr="50018204">
        <w:rPr>
          <w:rFonts w:asciiTheme="minorHAnsi" w:hAnsiTheme="minorHAnsi" w:cstheme="minorBidi"/>
          <w:sz w:val="22"/>
          <w:szCs w:val="22"/>
        </w:rPr>
        <w:t xml:space="preserve"> (įstatymų leidėjas Mokesčių administravimo įstatymo 37</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3 dalies 2 punkte nurodytu sprendimu nesiekė, jog mokesčių administratorius pateiktų išaiškinimą dėl sandoriui taikytinos teisės).</w:t>
      </w:r>
    </w:p>
    <w:p w14:paraId="699C26E3"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Dėl bylos nagrinėjimo administraciniame teisme ribų išplėstinė teisėjų kolegija akcentavo, kad tokiame Mokesčių administravimo įstatymo 37</w:t>
      </w:r>
      <w:r w:rsidRPr="0014011D">
        <w:rPr>
          <w:rFonts w:asciiTheme="minorHAnsi" w:hAnsiTheme="minorHAnsi" w:cstheme="minorHAnsi"/>
          <w:sz w:val="22"/>
          <w:szCs w:val="22"/>
          <w:vertAlign w:val="superscript"/>
        </w:rPr>
        <w:t>1</w:t>
      </w:r>
      <w:r w:rsidRPr="0014011D">
        <w:rPr>
          <w:rFonts w:asciiTheme="minorHAnsi" w:hAnsiTheme="minorHAnsi" w:cstheme="minorHAnsi"/>
          <w:sz w:val="22"/>
          <w:szCs w:val="22"/>
        </w:rPr>
        <w:t xml:space="preserve"> straipsnio 3 dalies 2 punkte minimame sprendime, koks buvo ginčijamas </w:t>
      </w:r>
      <w:r w:rsidRPr="0014011D">
        <w:rPr>
          <w:rFonts w:asciiTheme="minorHAnsi" w:hAnsiTheme="minorHAnsi" w:cstheme="minorHAnsi"/>
          <w:sz w:val="22"/>
          <w:szCs w:val="22"/>
        </w:rPr>
        <w:lastRenderedPageBreak/>
        <w:t xml:space="preserve">apžvelgiamoje byloje, pateiktu mokesčių administratoriaus vertinimu dėl mokesčių mokėtojo prašyme nurodyto mokesčių teisės aktų nuostatų taikymo yra grindžiamas šio viešojo administravimo subjekto atsisakymas atlikti šiame prašyme nurodytus veiksmus. </w:t>
      </w:r>
      <w:r w:rsidRPr="0014011D">
        <w:rPr>
          <w:rFonts w:asciiTheme="minorHAnsi" w:hAnsiTheme="minorHAnsi" w:cstheme="minorHAnsi"/>
          <w:sz w:val="22"/>
          <w:szCs w:val="22"/>
          <w:u w:val="single"/>
        </w:rPr>
        <w:t>Todėl šis mokesčių administratoriaus vertinimas (argumentai, kuriais grindžiamas atsisakymas priimti Mokesčių administravimo įstatymo 37</w:t>
      </w:r>
      <w:r w:rsidRPr="0014011D">
        <w:rPr>
          <w:rFonts w:asciiTheme="minorHAnsi" w:hAnsiTheme="minorHAnsi" w:cstheme="minorHAnsi"/>
          <w:sz w:val="22"/>
          <w:szCs w:val="22"/>
          <w:u w:val="single"/>
          <w:vertAlign w:val="superscript"/>
        </w:rPr>
        <w:t>1</w:t>
      </w:r>
      <w:r w:rsidRPr="0014011D">
        <w:rPr>
          <w:rFonts w:asciiTheme="minorHAnsi" w:hAnsiTheme="minorHAnsi" w:cstheme="minorHAnsi"/>
          <w:sz w:val="22"/>
          <w:szCs w:val="22"/>
          <w:u w:val="single"/>
        </w:rPr>
        <w:t xml:space="preserve"> str. 3 d. 1 p. nurodytą sprendimą) negali būti pripažintas šio viešojo administravimo subjekto nuomone, nedarančia įtakos pareiškėjo teisėms ir teisėtiems interesams</w:t>
      </w:r>
      <w:r w:rsidRPr="0014011D">
        <w:rPr>
          <w:rFonts w:asciiTheme="minorHAnsi" w:hAnsiTheme="minorHAnsi" w:cstheme="minorHAnsi"/>
          <w:sz w:val="22"/>
          <w:szCs w:val="22"/>
        </w:rPr>
        <w:t xml:space="preserve">. Be to, </w:t>
      </w:r>
      <w:r w:rsidRPr="0014011D">
        <w:rPr>
          <w:rFonts w:asciiTheme="minorHAnsi" w:hAnsiTheme="minorHAnsi" w:cstheme="minorHAnsi"/>
          <w:sz w:val="22"/>
          <w:szCs w:val="22"/>
          <w:u w:val="single"/>
        </w:rPr>
        <w:t>Mokesčių administravimo įstatymo 37</w:t>
      </w:r>
      <w:r w:rsidRPr="0014011D">
        <w:rPr>
          <w:rFonts w:asciiTheme="minorHAnsi" w:hAnsiTheme="minorHAnsi" w:cstheme="minorHAnsi"/>
          <w:sz w:val="22"/>
          <w:szCs w:val="22"/>
          <w:u w:val="single"/>
          <w:vertAlign w:val="superscript"/>
        </w:rPr>
        <w:t>1</w:t>
      </w:r>
      <w:r w:rsidRPr="0014011D">
        <w:rPr>
          <w:rFonts w:asciiTheme="minorHAnsi" w:hAnsiTheme="minorHAnsi" w:cstheme="minorHAnsi"/>
          <w:sz w:val="22"/>
          <w:szCs w:val="22"/>
          <w:u w:val="single"/>
        </w:rPr>
        <w:t xml:space="preserve"> straipsnio 3 dalyje nurodyti sprendimai negali būti tapatinami su konsultacija mokesčių mokėjimo klausimais</w:t>
      </w:r>
      <w:r w:rsidRPr="0014011D">
        <w:rPr>
          <w:rFonts w:asciiTheme="minorHAnsi" w:hAnsiTheme="minorHAnsi" w:cstheme="minorHAnsi"/>
          <w:sz w:val="22"/>
          <w:szCs w:val="22"/>
        </w:rPr>
        <w:t>.</w:t>
      </w:r>
    </w:p>
    <w:p w14:paraId="268CB18D"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u w:val="single"/>
        </w:rPr>
        <w:t>Siekiant įvertinti, ar mokesčių administratoriaus sprendimas yra teisėtas ir pagrįstas, administracinis teismas privalo įvertinti jame nurodytus atsisakymo atlikti veiksmus motyvus (argumentus), įskaitant ir tuos, kuriais nepritariama konkrečiam mokesčių mokėtojo prašyme nurodytam mokesčių teisės aktų nuostatų taikymui būsimajam sandoriui.</w:t>
      </w:r>
      <w:r w:rsidRPr="0014011D">
        <w:rPr>
          <w:rFonts w:asciiTheme="minorHAnsi" w:hAnsiTheme="minorHAnsi" w:cstheme="minorHAnsi"/>
          <w:sz w:val="22"/>
          <w:szCs w:val="22"/>
        </w:rPr>
        <w:t xml:space="preserve"> Be to, </w:t>
      </w:r>
      <w:r w:rsidRPr="0014011D">
        <w:rPr>
          <w:rFonts w:asciiTheme="minorHAnsi" w:hAnsiTheme="minorHAnsi" w:cstheme="minorHAnsi"/>
          <w:sz w:val="22"/>
          <w:szCs w:val="22"/>
          <w:u w:val="single"/>
        </w:rPr>
        <w:t>teismas gali vertinti mokesčių administratoriaus argumentų dėl būsimojo sandorio kvalifikavimo apmokestinimo tikslais (ne)pagrįstumą tik tuomet, kai visos šiam kvalifikavimui reikšmingos faktinės aplinkybės yra nurodytos (nustatytos), aiškios ir vienareikšmės – tokiu atveju teisme ginčas kyla tik dėl teisės (būsimojo sandorio kvalifikavimo), o ne dėl fakto</w:t>
      </w:r>
      <w:r w:rsidRPr="0014011D">
        <w:rPr>
          <w:rFonts w:asciiTheme="minorHAnsi" w:hAnsiTheme="minorHAnsi" w:cstheme="minorHAnsi"/>
          <w:sz w:val="22"/>
          <w:szCs w:val="22"/>
        </w:rPr>
        <w:t>.</w:t>
      </w:r>
    </w:p>
    <w:p w14:paraId="7E8434F4" w14:textId="77777777" w:rsidR="007B72C9" w:rsidRPr="0014011D" w:rsidRDefault="007B72C9" w:rsidP="007B72C9">
      <w:pPr>
        <w:ind w:firstLine="567"/>
        <w:jc w:val="both"/>
        <w:rPr>
          <w:rFonts w:asciiTheme="minorHAnsi" w:hAnsiTheme="minorHAnsi" w:cstheme="minorHAnsi"/>
          <w:sz w:val="22"/>
          <w:szCs w:val="22"/>
        </w:rPr>
      </w:pPr>
      <w:r w:rsidRPr="0014011D">
        <w:rPr>
          <w:rFonts w:asciiTheme="minorHAnsi" w:hAnsiTheme="minorHAnsi" w:cstheme="minorHAnsi"/>
          <w:sz w:val="22"/>
          <w:szCs w:val="22"/>
        </w:rPr>
        <w:t>LVAT išplėstinė teisėjų kolegija panaikino pirmosios instancijos teismo sprendimą ir grąžino bylą šiam teismui nagrinėti iš naujo.</w:t>
      </w:r>
    </w:p>
    <w:p w14:paraId="30F06077" w14:textId="77777777" w:rsidR="007B72C9" w:rsidRPr="0014011D" w:rsidRDefault="007B72C9" w:rsidP="007B72C9">
      <w:pPr>
        <w:ind w:firstLine="567"/>
        <w:jc w:val="both"/>
        <w:rPr>
          <w:rFonts w:asciiTheme="minorHAnsi" w:hAnsiTheme="minorHAnsi" w:cstheme="minorHAnsi"/>
          <w:sz w:val="22"/>
          <w:szCs w:val="22"/>
        </w:rPr>
      </w:pPr>
    </w:p>
    <w:p w14:paraId="10B17765" w14:textId="6FCB144B" w:rsidR="007B72C9" w:rsidRPr="0014011D" w:rsidRDefault="0057356B" w:rsidP="007B72C9">
      <w:pPr>
        <w:jc w:val="both"/>
        <w:rPr>
          <w:rFonts w:asciiTheme="minorHAnsi" w:hAnsiTheme="minorHAnsi" w:cstheme="minorHAnsi"/>
          <w:sz w:val="22"/>
          <w:szCs w:val="22"/>
        </w:rPr>
      </w:pPr>
      <w:r w:rsidRPr="0014011D">
        <w:rPr>
          <w:rFonts w:asciiTheme="minorHAnsi" w:hAnsiTheme="minorHAnsi" w:cstheme="minorHAnsi"/>
          <w:sz w:val="22"/>
          <w:szCs w:val="22"/>
        </w:rPr>
        <w:t xml:space="preserve">Išplėstinės teisėjų kolegijos </w:t>
      </w:r>
      <w:r w:rsidR="007B72C9" w:rsidRPr="0014011D">
        <w:rPr>
          <w:rFonts w:asciiTheme="minorHAnsi" w:hAnsiTheme="minorHAnsi" w:cstheme="minorHAnsi"/>
          <w:sz w:val="22"/>
          <w:szCs w:val="22"/>
        </w:rPr>
        <w:t>2021 m. vasario 24 d. nutartis administracinėje byloje Nr. eA-665-575/2021</w:t>
      </w:r>
    </w:p>
    <w:p w14:paraId="033E2015" w14:textId="77777777" w:rsidR="007B72C9" w:rsidRPr="0014011D" w:rsidRDefault="007B72C9" w:rsidP="007B72C9">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3-61-3-03033-2018-3</w:t>
      </w:r>
    </w:p>
    <w:p w14:paraId="01617690" w14:textId="77777777" w:rsidR="007B72C9" w:rsidRPr="0014011D" w:rsidRDefault="007B72C9" w:rsidP="007B72C9">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kategorijos: 12.14.3; 12.19</w:t>
      </w:r>
    </w:p>
    <w:p w14:paraId="130E16E2" w14:textId="44CB6E48" w:rsidR="007B72C9" w:rsidRPr="0014011D" w:rsidRDefault="00936F04" w:rsidP="007B72C9">
      <w:pPr>
        <w:jc w:val="both"/>
        <w:rPr>
          <w:rStyle w:val="Hipersaitas"/>
          <w:rFonts w:asciiTheme="minorHAnsi" w:hAnsiTheme="minorHAnsi" w:cstheme="minorHAnsi"/>
          <w:sz w:val="22"/>
          <w:szCs w:val="22"/>
        </w:rPr>
      </w:pPr>
      <w:hyperlink r:id="rId16" w:history="1">
        <w:r w:rsidR="007B72C9" w:rsidRPr="0014011D">
          <w:rPr>
            <w:rStyle w:val="Hipersaitas"/>
            <w:rFonts w:asciiTheme="minorHAnsi" w:hAnsiTheme="minorHAnsi" w:cstheme="minorHAnsi"/>
            <w:sz w:val="22"/>
            <w:szCs w:val="22"/>
          </w:rPr>
          <w:t>Prieiga internete</w:t>
        </w:r>
      </w:hyperlink>
    </w:p>
    <w:p w14:paraId="4B5294E6" w14:textId="3A27261A" w:rsidR="00C2023C" w:rsidRPr="0014011D" w:rsidRDefault="00C2023C" w:rsidP="007B72C9">
      <w:pPr>
        <w:jc w:val="both"/>
        <w:rPr>
          <w:rStyle w:val="Hipersaitas"/>
          <w:rFonts w:asciiTheme="minorHAnsi" w:hAnsiTheme="minorHAnsi" w:cstheme="minorHAnsi"/>
          <w:sz w:val="22"/>
          <w:szCs w:val="22"/>
        </w:rPr>
      </w:pPr>
    </w:p>
    <w:p w14:paraId="580127CB" w14:textId="77777777" w:rsidR="00C2023C" w:rsidRPr="0014011D" w:rsidRDefault="00C2023C" w:rsidP="00C2023C">
      <w:pPr>
        <w:ind w:firstLine="567"/>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12.15. Pridėtinės vertės mokestis</w:t>
      </w:r>
    </w:p>
    <w:p w14:paraId="3F606BCA" w14:textId="77777777" w:rsidR="00C2023C" w:rsidRPr="0014011D" w:rsidRDefault="00C2023C" w:rsidP="00C2023C">
      <w:pPr>
        <w:ind w:left="567" w:firstLine="567"/>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12.15.1. Pridėtinės vertės mokesčio objektas</w:t>
      </w:r>
    </w:p>
    <w:p w14:paraId="71140470" w14:textId="77777777" w:rsidR="00C2023C" w:rsidRPr="0014011D" w:rsidRDefault="00C2023C" w:rsidP="00C2023C">
      <w:pPr>
        <w:ind w:firstLine="567"/>
        <w:jc w:val="both"/>
        <w:rPr>
          <w:rFonts w:asciiTheme="minorHAnsi" w:hAnsiTheme="minorHAnsi" w:cstheme="minorHAnsi"/>
          <w:sz w:val="22"/>
          <w:szCs w:val="22"/>
        </w:rPr>
      </w:pPr>
    </w:p>
    <w:p w14:paraId="27FB37A6" w14:textId="361FE1D2" w:rsidR="00C2023C" w:rsidRPr="0014011D" w:rsidRDefault="00C2023C" w:rsidP="00C2023C">
      <w:pPr>
        <w:jc w:val="both"/>
        <w:rPr>
          <w:rFonts w:asciiTheme="minorHAnsi" w:hAnsiTheme="minorHAnsi" w:cstheme="minorHAnsi"/>
          <w:i/>
          <w:iCs/>
          <w:sz w:val="22"/>
          <w:szCs w:val="22"/>
        </w:rPr>
      </w:pPr>
      <w:r w:rsidRPr="0014011D">
        <w:rPr>
          <w:rFonts w:asciiTheme="minorHAnsi" w:hAnsiTheme="minorHAnsi" w:cstheme="minorHAnsi"/>
          <w:i/>
          <w:iCs/>
          <w:sz w:val="22"/>
          <w:szCs w:val="22"/>
        </w:rPr>
        <w:t>Dėl mokesčių administratoriaus pareigos vertinti, ar už Europos Sąjungos valstybėje narėje įsigytą naują transporto priemonę PVM buvo sumokėtas šioje valstybėje narėje, siekiant šį įsigijimą šiuo mokesčiu apmokestinti Lietuvoje</w:t>
      </w:r>
    </w:p>
    <w:p w14:paraId="6B9291A0" w14:textId="77777777" w:rsidR="00C2023C" w:rsidRPr="0014011D" w:rsidRDefault="00C2023C" w:rsidP="00C2023C">
      <w:pPr>
        <w:ind w:firstLine="567"/>
        <w:jc w:val="both"/>
        <w:rPr>
          <w:rFonts w:asciiTheme="minorHAnsi" w:hAnsiTheme="minorHAnsi" w:cstheme="minorHAnsi"/>
          <w:sz w:val="22"/>
          <w:szCs w:val="22"/>
        </w:rPr>
      </w:pPr>
    </w:p>
    <w:p w14:paraId="70E99B69" w14:textId="77777777" w:rsidR="00C2023C" w:rsidRPr="0014011D" w:rsidRDefault="00C2023C" w:rsidP="00C2023C">
      <w:pPr>
        <w:ind w:firstLine="567"/>
        <w:jc w:val="both"/>
        <w:rPr>
          <w:rFonts w:asciiTheme="minorHAnsi" w:hAnsiTheme="minorHAnsi" w:cstheme="minorHAnsi"/>
          <w:sz w:val="22"/>
          <w:szCs w:val="22"/>
        </w:rPr>
      </w:pPr>
      <w:r w:rsidRPr="50018204">
        <w:rPr>
          <w:rFonts w:asciiTheme="minorHAnsi" w:hAnsiTheme="minorHAnsi" w:cstheme="minorBidi"/>
          <w:sz w:val="22"/>
          <w:szCs w:val="22"/>
        </w:rPr>
        <w:t>Apžvelgiamoje byloje ginčas kilo dėl mokesčių administratoriaus sprendimo, kuriuo pareiškėjui apskaičiuotas ir nurodytas sumokėti PVM už iš Sąjungos valstybės narės (Prancūzijos) įsigytą naują transporto priemonę – 12 000 Eur vertės automobilį</w:t>
      </w:r>
      <w:r w:rsidRPr="50018204">
        <w:rPr>
          <w:rStyle w:val="Puslapioinaosnuoroda"/>
          <w:rFonts w:asciiTheme="minorHAnsi" w:hAnsiTheme="minorHAnsi" w:cstheme="minorBidi"/>
          <w:sz w:val="22"/>
          <w:szCs w:val="22"/>
        </w:rPr>
        <w:footnoteReference w:id="2"/>
      </w:r>
      <w:r w:rsidRPr="50018204">
        <w:rPr>
          <w:rFonts w:asciiTheme="minorHAnsi" w:hAnsiTheme="minorHAnsi" w:cstheme="minorBidi"/>
          <w:sz w:val="22"/>
          <w:szCs w:val="22"/>
        </w:rPr>
        <w:t>.</w:t>
      </w:r>
    </w:p>
    <w:p w14:paraId="4CFC07C0" w14:textId="7DDF844A" w:rsidR="00C2023C" w:rsidRPr="0014011D" w:rsidRDefault="00C2023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Savo nesutikimą su tokiu sprendimu pareiškėjas, be kita ko, grindė argumentais, jog mokesčių administratorius privalėjo išsiaiškinti aplinkybes dėl PVM sumokėjimo Prancūzijoje, nes neišsiaiškinus šių aplinkybių, galimas dvigubas apmokestinimas (byloje nebuvo ginčo dėl to, kad įvyko prekės įsigijimas Bendrijos viduje už atlygį</w:t>
      </w:r>
      <w:r w:rsidR="4BBFA6EB" w:rsidRPr="50018204">
        <w:rPr>
          <w:rFonts w:asciiTheme="minorHAnsi" w:hAnsiTheme="minorHAnsi" w:cstheme="minorBidi"/>
          <w:sz w:val="22"/>
          <w:szCs w:val="22"/>
        </w:rPr>
        <w:t>,</w:t>
      </w:r>
      <w:r w:rsidRPr="50018204">
        <w:rPr>
          <w:rFonts w:asciiTheme="minorHAnsi" w:hAnsiTheme="minorHAnsi" w:cstheme="minorBidi"/>
          <w:sz w:val="22"/>
          <w:szCs w:val="22"/>
        </w:rPr>
        <w:t xml:space="preserve"> ir dėl to, kad pareiškėjas įsigijo transporto priemonę, kuri laikytina nauja, kaip tai suprantama pagal teisės aktus).</w:t>
      </w:r>
    </w:p>
    <w:p w14:paraId="7BC22D48" w14:textId="77777777"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Šiuo klausimu, be kita ko, remdamasi Sąjungos teisminių institucijų praktika, LVAT teisėjų kolegija sprendė, kad šie pareiškėjo argumentai nepagrįsti – į</w:t>
      </w:r>
      <w:r w:rsidRPr="0014011D">
        <w:rPr>
          <w:rFonts w:asciiTheme="minorHAnsi" w:hAnsiTheme="minorHAnsi" w:cstheme="minorHAnsi"/>
          <w:sz w:val="22"/>
          <w:szCs w:val="22"/>
          <w:u w:val="single"/>
        </w:rPr>
        <w:t>sigijus prekes Bendrijoje, valstybė narė, į kurią buvo išsiųstos arba nugabentos prekės, naudojasi apmokestinimo teise neatsižvelgdama į apmokestinimo PVM tvarką, kuri sandoriui buvo taikoma valstybėje narėje, kurioje prasidėjo prekių išsiuntimas ar gabenimas</w:t>
      </w:r>
      <w:r w:rsidRPr="0014011D">
        <w:rPr>
          <w:rFonts w:asciiTheme="minorHAnsi" w:hAnsiTheme="minorHAnsi" w:cstheme="minorHAnsi"/>
          <w:sz w:val="22"/>
          <w:szCs w:val="22"/>
        </w:rPr>
        <w:t xml:space="preserve"> (2011 m. kovo 15 d. Tarybos įgyvendinimo reglamento (ES) Nr. 282/2011, kuriuo nustatomos Direktyvos 2006/112/EB dėl pridėtinės vertės mokesčio bendros sistemos įgyvendinimo priemonės 16 str.). </w:t>
      </w:r>
      <w:r w:rsidRPr="0014011D">
        <w:rPr>
          <w:rFonts w:asciiTheme="minorHAnsi" w:hAnsiTheme="minorHAnsi" w:cstheme="minorHAnsi"/>
          <w:sz w:val="22"/>
          <w:szCs w:val="22"/>
          <w:u w:val="single"/>
        </w:rPr>
        <w:t xml:space="preserve">Todėl mokesčių administratorius vertindamas sandorį dėl naujos transporto priemonės ir spręsdamas dėl jo kvalifikavimo kaip įsigijimo Bendrijos viduje, privalo visapusiškai įvertinti visas objektyvias faktines aplinkybes, kurios yra reikšmingos nustatant, ar įgyta prekė iš tikrųjų paliko tiekimo valstybės narės teritoriją, ir, jei taip, kokioje </w:t>
      </w:r>
      <w:r w:rsidRPr="0014011D">
        <w:rPr>
          <w:rFonts w:asciiTheme="minorHAnsi" w:hAnsiTheme="minorHAnsi" w:cstheme="minorHAnsi"/>
          <w:sz w:val="22"/>
          <w:szCs w:val="22"/>
          <w:u w:val="single"/>
        </w:rPr>
        <w:lastRenderedPageBreak/>
        <w:t>valstybėje narėje ji bus galutinai vartojama</w:t>
      </w:r>
      <w:r w:rsidRPr="0014011D">
        <w:rPr>
          <w:rFonts w:asciiTheme="minorHAnsi" w:hAnsiTheme="minorHAnsi" w:cstheme="minorHAnsi"/>
          <w:sz w:val="22"/>
          <w:szCs w:val="22"/>
        </w:rPr>
        <w:t xml:space="preserve">. Mokesčių administratorius įvertinęs visas reikšmingas aplinkybes ir padaręs pagrįstą išvadą, kad yra sudarytas sandoris – naujos transporto priemonės įsigijimas Bendrijos viduje už atlygį, kuris yra PVM objektas pagal įstatymą, priima sprendimą dėl asmens apmokestinimo PVM, </w:t>
      </w:r>
      <w:r w:rsidRPr="0014011D">
        <w:rPr>
          <w:rFonts w:asciiTheme="minorHAnsi" w:hAnsiTheme="minorHAnsi" w:cstheme="minorHAnsi"/>
          <w:sz w:val="22"/>
          <w:szCs w:val="22"/>
          <w:u w:val="single"/>
        </w:rPr>
        <w:t>neatsižvelgiant į apmokestinimo PVM tvarką, kuri sandoriui buvo taikoma tiekimo valstybėje narėje.</w:t>
      </w:r>
    </w:p>
    <w:p w14:paraId="63502FDF" w14:textId="77777777"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LVAT pareiškėjo apeliacinį skundą atmetė.</w:t>
      </w:r>
    </w:p>
    <w:p w14:paraId="16495CA6" w14:textId="77777777"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 </w:t>
      </w:r>
    </w:p>
    <w:p w14:paraId="17740F98" w14:textId="0B9482A5"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2021 m. vasario 3 d. nutartis administracinėje byloje Nr. A-102-602/2021</w:t>
      </w:r>
    </w:p>
    <w:p w14:paraId="5A86F20A" w14:textId="77777777"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3-61-3-03816-2018-2</w:t>
      </w:r>
    </w:p>
    <w:p w14:paraId="06004FD7" w14:textId="688396A4"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kategorijos: 12.15; 12.5.1</w:t>
      </w:r>
    </w:p>
    <w:p w14:paraId="5503954A" w14:textId="77777777" w:rsidR="00C2023C" w:rsidRPr="0014011D" w:rsidRDefault="00936F04" w:rsidP="00C2023C">
      <w:pPr>
        <w:jc w:val="both"/>
        <w:rPr>
          <w:rFonts w:asciiTheme="minorHAnsi" w:hAnsiTheme="minorHAnsi" w:cstheme="minorHAnsi"/>
          <w:sz w:val="22"/>
          <w:szCs w:val="22"/>
        </w:rPr>
      </w:pPr>
      <w:hyperlink r:id="rId17" w:history="1">
        <w:r w:rsidR="00C2023C" w:rsidRPr="0014011D">
          <w:rPr>
            <w:rStyle w:val="Hipersaitas"/>
            <w:rFonts w:asciiTheme="minorHAnsi" w:hAnsiTheme="minorHAnsi" w:cstheme="minorHAnsi"/>
            <w:sz w:val="22"/>
            <w:szCs w:val="22"/>
          </w:rPr>
          <w:t>Prieiga internete</w:t>
        </w:r>
      </w:hyperlink>
    </w:p>
    <w:bookmarkEnd w:id="24"/>
    <w:bookmarkEnd w:id="25"/>
    <w:p w14:paraId="007BC651" w14:textId="77777777" w:rsidR="00C5781A" w:rsidRDefault="00C5781A" w:rsidP="00B62DE8">
      <w:pPr>
        <w:pStyle w:val="Apzvalgai1"/>
        <w:rPr>
          <w:rFonts w:asciiTheme="minorHAnsi" w:hAnsiTheme="minorHAnsi" w:cstheme="minorHAnsi"/>
        </w:rPr>
      </w:pPr>
    </w:p>
    <w:p w14:paraId="6A53C40E" w14:textId="2603F286" w:rsidR="0098369D" w:rsidRPr="0014011D" w:rsidRDefault="0098369D" w:rsidP="00B62DE8">
      <w:pPr>
        <w:pStyle w:val="Apzvalgai1"/>
        <w:rPr>
          <w:rFonts w:asciiTheme="minorHAnsi" w:hAnsiTheme="minorHAnsi" w:cstheme="minorHAnsi"/>
        </w:rPr>
      </w:pPr>
      <w:bookmarkStart w:id="29" w:name="_Toc70514795"/>
      <w:r w:rsidRPr="0014011D">
        <w:rPr>
          <w:rFonts w:asciiTheme="minorHAnsi" w:hAnsiTheme="minorHAnsi" w:cstheme="minorHAnsi"/>
        </w:rPr>
        <w:t>15. Žemės teisiniai santykiai</w:t>
      </w:r>
      <w:bookmarkEnd w:id="29"/>
    </w:p>
    <w:p w14:paraId="2A9548F2" w14:textId="77777777" w:rsidR="0098369D" w:rsidRPr="0014011D" w:rsidRDefault="0098369D" w:rsidP="0098369D">
      <w:pPr>
        <w:ind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15.6. Žemėtvarka ir jos planavimo dokumentai</w:t>
      </w:r>
    </w:p>
    <w:p w14:paraId="3C1C290E" w14:textId="77777777" w:rsidR="0098369D" w:rsidRPr="0014011D" w:rsidRDefault="0098369D" w:rsidP="0098369D">
      <w:pPr>
        <w:rPr>
          <w:rFonts w:asciiTheme="minorHAnsi" w:hAnsiTheme="minorHAnsi" w:cstheme="minorHAnsi"/>
          <w:bCs/>
          <w:sz w:val="22"/>
          <w:szCs w:val="22"/>
        </w:rPr>
      </w:pPr>
    </w:p>
    <w:p w14:paraId="1F5FE052" w14:textId="77777777" w:rsidR="0098369D" w:rsidRPr="0014011D" w:rsidRDefault="0098369D" w:rsidP="00B62DE8">
      <w:pPr>
        <w:pStyle w:val="Antrat2"/>
        <w:rPr>
          <w:rFonts w:asciiTheme="minorHAnsi" w:hAnsiTheme="minorHAnsi" w:cstheme="minorHAnsi"/>
        </w:rPr>
      </w:pPr>
      <w:bookmarkStart w:id="30" w:name="_Toc70514796"/>
      <w:r w:rsidRPr="0014011D">
        <w:rPr>
          <w:rFonts w:asciiTheme="minorHAnsi" w:hAnsiTheme="minorHAnsi" w:cstheme="minorHAnsi"/>
        </w:rPr>
        <w:t>Dėl žemės sklypo, kurio reikia nekilnojamajam turtui (pastatui) eksploatuoti, formavimo ketinant parduoti šį valstybės nekilnojamąjį turtą viešame aukcione</w:t>
      </w:r>
      <w:bookmarkEnd w:id="30"/>
    </w:p>
    <w:p w14:paraId="3C2D6249" w14:textId="77777777" w:rsidR="0098369D" w:rsidRPr="0014011D" w:rsidRDefault="0098369D" w:rsidP="0098369D">
      <w:pPr>
        <w:rPr>
          <w:rFonts w:asciiTheme="minorHAnsi" w:hAnsiTheme="minorHAnsi" w:cstheme="minorHAnsi"/>
          <w:bCs/>
          <w:sz w:val="22"/>
          <w:szCs w:val="22"/>
        </w:rPr>
      </w:pPr>
    </w:p>
    <w:p w14:paraId="342062B6" w14:textId="2773B76B" w:rsidR="0098369D" w:rsidRPr="0014011D" w:rsidRDefault="0098369D"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Nagrinėtu atveju pareiškėjas VĮ Turto bankas (toliau – pareiškėjas) Druskininkų savivaldybės teritorijoje turto patikėjimo teise valdė ½ pastato – gyvenamojo namo (baigtumas 10 proc.) (toliau – Pastatas), kuris Vyriausybės 2015 m. vasario 11 d. nutarimu Nr. 163 „Dėl Viešame aukcione parduodamo valstybės nekilnojamojo turto ir kitų nekilnojamųjų daiktų sąrašo patvirtinimo“ buvo įrašytas į Viešame aukcione parduodamo valstybės nekilnojamojo turto ir kitų nekilnojamųjų daiktų sąrašą. </w:t>
      </w:r>
      <w:r w:rsidRPr="00C5781A">
        <w:rPr>
          <w:rFonts w:asciiTheme="minorHAnsi" w:hAnsiTheme="minorHAnsi" w:cstheme="minorBidi"/>
          <w:sz w:val="22"/>
          <w:szCs w:val="22"/>
        </w:rPr>
        <w:t>Pareiškėjas inici</w:t>
      </w:r>
      <w:r w:rsidR="00C5781A" w:rsidRPr="00C5781A">
        <w:rPr>
          <w:rFonts w:asciiTheme="minorHAnsi" w:hAnsiTheme="minorHAnsi" w:cstheme="minorBidi"/>
          <w:sz w:val="22"/>
          <w:szCs w:val="22"/>
        </w:rPr>
        <w:t>j</w:t>
      </w:r>
      <w:r w:rsidRPr="00C5781A">
        <w:rPr>
          <w:rFonts w:asciiTheme="minorHAnsi" w:hAnsiTheme="minorHAnsi" w:cstheme="minorBidi"/>
          <w:sz w:val="22"/>
          <w:szCs w:val="22"/>
        </w:rPr>
        <w:t>avo žemės</w:t>
      </w:r>
      <w:r w:rsidRPr="50018204">
        <w:rPr>
          <w:rFonts w:asciiTheme="minorHAnsi" w:hAnsiTheme="minorHAnsi" w:cstheme="minorBidi"/>
          <w:sz w:val="22"/>
          <w:szCs w:val="22"/>
        </w:rPr>
        <w:t xml:space="preserve"> sklypo, kurio reikia nurodytam nekilnojamajam turtui (Pastatui) eksploatuoti, formavimo ir pertvarkymo projekto rengimą. Tačiau Nacionalinės žemės tarnybos prie Žemės ūkio ministerijos (toliau – NŽT) Druskininkų skyrius priėmė sprendimą (toliau – Sprendimas) atsisakyti pritarti sklypo formavimo ir pertvarkymo projekto sprendiniams, nurodydamas, kad asmenims, kuriems priklauso minėtas Pastatas, nėra teisinio pagrindo parduoti ar nuomoti tokį žemės sklypą, kadangi jis nėra naudojamas Pastatui eksploatuoti (sklype yra įrengti pamatai, sumontuoti betoniniai blokai, kurie apaugę savaiminiais medžiais ir krūmais), todėl sklypas nebus formuojamas. Pareiškėjas šį Sprendimą apskundė išankstinio ginčų nagrinėjimo tvarka, tačiau NŽT jo skundą atmetė.</w:t>
      </w:r>
    </w:p>
    <w:p w14:paraId="5977B1F0" w14:textId="77777777" w:rsidR="0098369D" w:rsidRPr="0014011D" w:rsidRDefault="0098369D" w:rsidP="0098369D">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Pirmosios instancijos teismas pareiškėjo skundo dėl minėtų sprendimų panaikinimo netenkino, konstatavęs, kad ginčo Pastatas (pamatai) negali būti naudojamas pareiškėjo poreikiams tenkinti pagal Nekilnojamojo turto registre įregistruotą paskirtį, o aplinkybė, kad VĮ Turto bankas siekia parduoti Pastatą su jam priskirtu žemės sklypu, neturi teisinės reikšmės.</w:t>
      </w:r>
    </w:p>
    <w:p w14:paraId="5FF22B83" w14:textId="77777777" w:rsidR="0098369D" w:rsidRPr="0014011D" w:rsidRDefault="0098369D" w:rsidP="0098369D">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Tačiau teisėjų kolegija su tokiu pirmosios instancijos teismo vertinimu nesutiko ir atkreipė dėmesį, kad Žemės įstatymo 40 straipsnio 1 dalies 3 punkte nustatyta, jog žemės sklypų formavimo ir pertvarkymo projektai rengiami, kai formuojami žemės sklypai esamiems statiniams ir įrenginiams eksploatuoti pagal Nekilnojamojo turto kadastre įrašytą jų tiesioginę paskirtį. Tuo tarpu, vadovaujantis Vyriausybės 2014 m. spalio 28 d. nutarimo Nr. 1178, kuriuo patvirtintas Valstybės ir savivaldybių nekilnojamųjų daiktų pardavimo viešame aukcione tvarkos aprašas, 2.1 punktu, valstybei ar savivaldybėms nuosavybės teise priklausantis nekilnojamasis turtas viešame aukcione parduodamas kartu su jam priskirtu valstybei (savivaldybei) nuosavybės teise priklausančiu žemės sklypu ar jo dalimi (toliau – žemės sklypas), kurio reikia nekilnojamajam turtui eksploatuoti, jeigu pagal valstybinės žemės sandorių sudarymą reglamentuojančius įstatymus žemės sklypas gali būti perduodamas privačion nuosavybėn.</w:t>
      </w:r>
    </w:p>
    <w:p w14:paraId="687C2CEF" w14:textId="77777777" w:rsidR="0098369D" w:rsidRPr="0014011D" w:rsidRDefault="0098369D" w:rsidP="0098369D">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Šiame kontekste teisėjų kolegija pažymėjo, kad Vyriausybės 2014 m. spalio 28 d. nutarimo Nr. 1178 2.1 punkte naudojama teisinė formuluotė – žemės sklypas (jo dalis), kurio reikia nekilnojamajam turtui eksploatuoti, o ne tokia, kaip įtvirtinta Žemės įstatymo 40 straipsnio 1 dalies 3 punkte – žemės sklypai esamiems statiniams ir įrenginiams eksploatuoti pagal Nekilnojamojo turto kadastre įrašytą jų tiesioginę paskirt</w:t>
      </w:r>
      <w:r w:rsidRPr="0014011D">
        <w:rPr>
          <w:rFonts w:asciiTheme="minorHAnsi" w:hAnsiTheme="minorHAnsi" w:cstheme="minorHAnsi"/>
          <w:bCs/>
          <w:sz w:val="22"/>
          <w:szCs w:val="22"/>
          <w:u w:val="single"/>
        </w:rPr>
        <w:t>į</w:t>
      </w:r>
      <w:r w:rsidRPr="0014011D">
        <w:rPr>
          <w:rFonts w:asciiTheme="minorHAnsi" w:hAnsiTheme="minorHAnsi" w:cstheme="minorHAnsi"/>
          <w:bCs/>
          <w:sz w:val="22"/>
          <w:szCs w:val="22"/>
        </w:rPr>
        <w:t xml:space="preserve">. Teisėjų kolegija pabrėžė, kad </w:t>
      </w:r>
      <w:r w:rsidRPr="0014011D">
        <w:rPr>
          <w:rFonts w:asciiTheme="minorHAnsi" w:hAnsiTheme="minorHAnsi" w:cstheme="minorHAnsi"/>
          <w:bCs/>
          <w:sz w:val="22"/>
          <w:szCs w:val="22"/>
          <w:u w:val="single"/>
        </w:rPr>
        <w:t>Vyriausybės 2014 m. spalio 28 d. nutarime Nr. 1178 nustatytas teisinis reguliavimas, taikytinas ginčo teisiniams santykiams, sukuria prielaidas valstybinės žemės sklypų formavimo ypatumus pripažinti ne tik dėl paminėto esminio šio nutarimo ir Žemės įstatymo nuostatų skirtumo, kurį lemia nekilnojamojo turto teisinė padėtis, bet ir tikslų, kurių siekiama aukcione parduodant valstybės turtą – gauti maksimalią naudą</w:t>
      </w:r>
      <w:r w:rsidRPr="0014011D">
        <w:rPr>
          <w:rFonts w:asciiTheme="minorHAnsi" w:hAnsiTheme="minorHAnsi" w:cstheme="minorHAnsi"/>
          <w:bCs/>
          <w:sz w:val="22"/>
          <w:szCs w:val="22"/>
        </w:rPr>
        <w:t xml:space="preserve"> (Valstybės ir savivaldybių turto valdymo, naudojimo ir disponavimo juo įstatymo 9 str.). Teisėjų kolegijos vertinimu, nagrinėtu atveju neatsižvelgus į turto teisinės padėties specifiką ir taikant </w:t>
      </w:r>
      <w:r w:rsidRPr="0014011D">
        <w:rPr>
          <w:rFonts w:asciiTheme="minorHAnsi" w:hAnsiTheme="minorHAnsi" w:cstheme="minorHAnsi"/>
          <w:bCs/>
          <w:sz w:val="22"/>
          <w:szCs w:val="22"/>
        </w:rPr>
        <w:lastRenderedPageBreak/>
        <w:t>bendrąsias taisykles, pagal kurias formuojami žemės sklypai, reikalingi statiniams eksploatuoti pagal Nekilnojamojo turto kadastre įrašytą jų tiesioginę paskirtį, būtų nepaisoma viešojo intereso imperatyvų, taikytinų disponuojant valstybės turtu.</w:t>
      </w:r>
    </w:p>
    <w:p w14:paraId="7ED4BFB0" w14:textId="77777777" w:rsidR="0098369D" w:rsidRPr="0014011D" w:rsidRDefault="0098369D" w:rsidP="0098369D">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Atsižvelgusi į tai, kad Druskininkų miesto valdyba 1991 m. gruodžio 21 d. potvarkiu yra skyrusi 0,12 ha žemės sklypą gyvenamojo namo statybai, o valstybei priklausantis nekilnojamasis turtas parduodamas viešame aukcione, teisėjų kolegija sprendė, jog turi būti formuojamas žemės sklypas, kurio reikia parduodamo nekilnojamojo turto eksploatavimui, kad būtų įgyvendintos Vyriausybės 2014 m. spalio 28 d. nutarimo Nr. 1178 2.1 punkte nustatytos pardavimo viešame aukcione sąlygos. Teisėjų kolegija pažymėjo, kad tai atitinka ir Žemės įstatymo 7 straipsnio 1 dalies 3 punkto nuostatas, kuriomis remiantis tokioje teisinėje situacijoje būtent VĮ Turto bankui turi būti perduotas žemės sklypo valdymas patikėjimo teise.</w:t>
      </w:r>
    </w:p>
    <w:p w14:paraId="42CAAE3C" w14:textId="77777777" w:rsidR="0098369D" w:rsidRPr="0014011D" w:rsidRDefault="0098369D" w:rsidP="0098369D">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 xml:space="preserve">Remiantis nurodytomis aplinkybėmis, pareiškėjo apeliacinis skundas iš dalies tenkintas – </w:t>
      </w:r>
      <w:bookmarkStart w:id="31" w:name="_Hlk64555947"/>
      <w:r w:rsidRPr="0014011D">
        <w:rPr>
          <w:rFonts w:asciiTheme="minorHAnsi" w:hAnsiTheme="minorHAnsi" w:cstheme="minorHAnsi"/>
          <w:bCs/>
          <w:sz w:val="22"/>
          <w:szCs w:val="22"/>
        </w:rPr>
        <w:t>panaikinti ginčijami NŽT Druskininkų skyriaus ir NŽT sprendimai bei NŽT įpareigota iš naujo spręsti ginčo žemės sklypo formavimo ir pertvarkymo projekto derinimo klausimą</w:t>
      </w:r>
      <w:bookmarkEnd w:id="31"/>
      <w:r w:rsidRPr="0014011D">
        <w:rPr>
          <w:rFonts w:asciiTheme="minorHAnsi" w:hAnsiTheme="minorHAnsi" w:cstheme="minorHAnsi"/>
          <w:bCs/>
          <w:sz w:val="22"/>
          <w:szCs w:val="22"/>
        </w:rPr>
        <w:t>.</w:t>
      </w:r>
    </w:p>
    <w:p w14:paraId="748B11D4" w14:textId="77777777" w:rsidR="0098369D" w:rsidRPr="0014011D" w:rsidRDefault="0098369D" w:rsidP="0098369D">
      <w:pPr>
        <w:ind w:firstLine="567"/>
        <w:jc w:val="both"/>
        <w:rPr>
          <w:rFonts w:asciiTheme="minorHAnsi" w:hAnsiTheme="minorHAnsi" w:cstheme="minorHAnsi"/>
          <w:bCs/>
          <w:sz w:val="22"/>
          <w:szCs w:val="22"/>
        </w:rPr>
      </w:pPr>
    </w:p>
    <w:p w14:paraId="1637F0A6" w14:textId="77777777" w:rsidR="0098369D" w:rsidRPr="0014011D" w:rsidRDefault="0098369D" w:rsidP="0098369D">
      <w:pPr>
        <w:rPr>
          <w:rFonts w:asciiTheme="minorHAnsi" w:hAnsiTheme="minorHAnsi" w:cstheme="minorHAnsi"/>
          <w:sz w:val="22"/>
          <w:szCs w:val="22"/>
        </w:rPr>
      </w:pPr>
      <w:r w:rsidRPr="0014011D">
        <w:rPr>
          <w:rFonts w:asciiTheme="minorHAnsi" w:hAnsiTheme="minorHAnsi" w:cstheme="minorHAnsi"/>
          <w:sz w:val="22"/>
          <w:szCs w:val="22"/>
        </w:rPr>
        <w:t xml:space="preserve">2021 m. vasario 24 d. sprendimas administracinėje byloje Nr. </w:t>
      </w:r>
      <w:r w:rsidRPr="0014011D">
        <w:rPr>
          <w:rFonts w:asciiTheme="minorHAnsi" w:hAnsiTheme="minorHAnsi" w:cstheme="minorHAnsi"/>
          <w:bCs/>
          <w:sz w:val="22"/>
          <w:szCs w:val="22"/>
        </w:rPr>
        <w:t>eA-831-415/2021</w:t>
      </w:r>
    </w:p>
    <w:p w14:paraId="7B17C2E1" w14:textId="77777777" w:rsidR="0098369D" w:rsidRPr="0014011D" w:rsidRDefault="0098369D" w:rsidP="0098369D">
      <w:pPr>
        <w:rPr>
          <w:rFonts w:asciiTheme="minorHAnsi" w:hAnsiTheme="minorHAnsi" w:cstheme="minorHAnsi"/>
          <w:bCs/>
          <w:sz w:val="22"/>
          <w:szCs w:val="22"/>
          <w:lang w:eastAsia="en-US"/>
        </w:rPr>
      </w:pPr>
      <w:r w:rsidRPr="0014011D">
        <w:rPr>
          <w:rFonts w:asciiTheme="minorHAnsi" w:hAnsiTheme="minorHAnsi" w:cstheme="minorHAnsi"/>
          <w:sz w:val="22"/>
          <w:szCs w:val="22"/>
        </w:rPr>
        <w:t xml:space="preserve">Teisminio proceso Nr. </w:t>
      </w:r>
      <w:r w:rsidRPr="0014011D">
        <w:rPr>
          <w:rFonts w:asciiTheme="minorHAnsi" w:hAnsiTheme="minorHAnsi" w:cstheme="minorHAnsi"/>
          <w:bCs/>
          <w:sz w:val="22"/>
          <w:szCs w:val="22"/>
          <w:lang w:eastAsia="en-US"/>
        </w:rPr>
        <w:t>3-62-3-01070-2019-4</w:t>
      </w:r>
    </w:p>
    <w:p w14:paraId="599C22E1" w14:textId="77777777" w:rsidR="0098369D" w:rsidRPr="0014011D" w:rsidRDefault="0098369D" w:rsidP="0098369D">
      <w:pPr>
        <w:rPr>
          <w:rFonts w:asciiTheme="minorHAnsi" w:hAnsiTheme="minorHAnsi" w:cstheme="minorHAnsi"/>
          <w:sz w:val="22"/>
          <w:szCs w:val="22"/>
          <w:lang w:eastAsia="en-US"/>
        </w:rPr>
      </w:pPr>
      <w:r w:rsidRPr="0014011D">
        <w:rPr>
          <w:rFonts w:asciiTheme="minorHAnsi" w:hAnsiTheme="minorHAnsi" w:cstheme="minorHAnsi"/>
          <w:sz w:val="22"/>
          <w:szCs w:val="22"/>
        </w:rPr>
        <w:t xml:space="preserve">Procesinio sprendimo </w:t>
      </w:r>
      <w:r w:rsidRPr="0014011D">
        <w:rPr>
          <w:rFonts w:asciiTheme="minorHAnsi" w:hAnsiTheme="minorHAnsi" w:cstheme="minorHAnsi"/>
          <w:sz w:val="22"/>
          <w:szCs w:val="22"/>
          <w:lang w:eastAsia="en-US"/>
        </w:rPr>
        <w:t>kategorija</w:t>
      </w:r>
      <w:r w:rsidRPr="0014011D">
        <w:rPr>
          <w:rFonts w:asciiTheme="minorHAnsi" w:hAnsiTheme="minorHAnsi" w:cstheme="minorHAnsi"/>
          <w:bCs/>
          <w:sz w:val="22"/>
          <w:szCs w:val="22"/>
          <w:lang w:eastAsia="en-US"/>
        </w:rPr>
        <w:t xml:space="preserve"> 15.8</w:t>
      </w:r>
    </w:p>
    <w:p w14:paraId="55F2F65E" w14:textId="77777777" w:rsidR="0098369D" w:rsidRPr="0014011D" w:rsidRDefault="00936F04" w:rsidP="0098369D">
      <w:pPr>
        <w:rPr>
          <w:rFonts w:asciiTheme="minorHAnsi" w:hAnsiTheme="minorHAnsi" w:cstheme="minorHAnsi"/>
          <w:sz w:val="22"/>
          <w:szCs w:val="22"/>
          <w:u w:val="single"/>
        </w:rPr>
      </w:pPr>
      <w:hyperlink r:id="rId18" w:history="1">
        <w:r w:rsidR="0098369D" w:rsidRPr="0014011D">
          <w:rPr>
            <w:rStyle w:val="Hipersaitas"/>
            <w:rFonts w:asciiTheme="minorHAnsi" w:hAnsiTheme="minorHAnsi" w:cstheme="minorHAnsi"/>
            <w:sz w:val="22"/>
            <w:szCs w:val="22"/>
          </w:rPr>
          <w:t>Prieiga internete</w:t>
        </w:r>
      </w:hyperlink>
    </w:p>
    <w:p w14:paraId="3A2048E3" w14:textId="5B18A3E1" w:rsidR="003A249D" w:rsidRPr="0014011D" w:rsidRDefault="003A249D" w:rsidP="00983072">
      <w:pPr>
        <w:rPr>
          <w:rFonts w:asciiTheme="minorHAnsi" w:hAnsiTheme="minorHAnsi" w:cstheme="minorHAnsi"/>
          <w:sz w:val="22"/>
          <w:szCs w:val="22"/>
          <w:u w:val="single"/>
        </w:rPr>
      </w:pPr>
    </w:p>
    <w:p w14:paraId="2F0773BA" w14:textId="77777777" w:rsidR="00FF571B" w:rsidRPr="0014011D" w:rsidRDefault="00FF571B" w:rsidP="00B62DE8">
      <w:pPr>
        <w:pStyle w:val="Apzvalgai1"/>
        <w:rPr>
          <w:rFonts w:asciiTheme="minorHAnsi" w:hAnsiTheme="minorHAnsi" w:cstheme="minorHAnsi"/>
        </w:rPr>
      </w:pPr>
      <w:bookmarkStart w:id="32" w:name="_Toc70514797"/>
      <w:r w:rsidRPr="0014011D">
        <w:rPr>
          <w:rFonts w:asciiTheme="minorHAnsi" w:hAnsiTheme="minorHAnsi" w:cstheme="minorHAnsi"/>
        </w:rPr>
        <w:t>21. Valstybės tarnautojo statuso įgijimas, pasikeitimas, praradimas ir atsakomybė</w:t>
      </w:r>
      <w:bookmarkEnd w:id="32"/>
    </w:p>
    <w:p w14:paraId="78E949F0" w14:textId="4A2AB561" w:rsidR="00373AAC" w:rsidRPr="0014011D" w:rsidRDefault="00373AAC" w:rsidP="00373AAC">
      <w:pPr>
        <w:ind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21.3. Valstybės tarnautojų atleidimas iš pareigų</w:t>
      </w:r>
    </w:p>
    <w:p w14:paraId="28C66D42" w14:textId="77777777" w:rsidR="00373AAC" w:rsidRPr="0014011D" w:rsidRDefault="00373AAC" w:rsidP="00373AAC">
      <w:pPr>
        <w:ind w:firstLine="1134"/>
        <w:rPr>
          <w:rFonts w:asciiTheme="minorHAnsi" w:hAnsiTheme="minorHAnsi" w:cstheme="minorHAnsi"/>
          <w:b/>
          <w:sz w:val="22"/>
          <w:szCs w:val="22"/>
          <w:u w:val="single"/>
        </w:rPr>
      </w:pPr>
      <w:r w:rsidRPr="0014011D">
        <w:rPr>
          <w:rFonts w:asciiTheme="minorHAnsi" w:hAnsiTheme="minorHAnsi" w:cstheme="minorHAnsi"/>
          <w:b/>
          <w:sz w:val="22"/>
          <w:szCs w:val="22"/>
          <w:u w:val="single"/>
        </w:rPr>
        <w:t>21.3.12. Kiti valstybės tarnautojų atleidimo pagrindai</w:t>
      </w:r>
    </w:p>
    <w:p w14:paraId="5F5A3432" w14:textId="511A5F62" w:rsidR="00373AAC" w:rsidRPr="0014011D" w:rsidRDefault="00373AAC" w:rsidP="00373AAC">
      <w:pPr>
        <w:ind w:firstLine="567"/>
        <w:rPr>
          <w:rFonts w:asciiTheme="minorHAnsi" w:hAnsiTheme="minorHAnsi" w:cstheme="minorHAnsi"/>
          <w:sz w:val="22"/>
          <w:szCs w:val="22"/>
        </w:rPr>
      </w:pPr>
    </w:p>
    <w:p w14:paraId="22915D59" w14:textId="77777777" w:rsidR="00373AAC" w:rsidRPr="0014011D" w:rsidRDefault="00373AAC" w:rsidP="00B62DE8">
      <w:pPr>
        <w:pStyle w:val="Antrat2"/>
        <w:rPr>
          <w:rFonts w:asciiTheme="minorHAnsi" w:hAnsiTheme="minorHAnsi" w:cstheme="minorHAnsi"/>
        </w:rPr>
      </w:pPr>
      <w:bookmarkStart w:id="33" w:name="_Toc70514798"/>
      <w:r w:rsidRPr="0014011D">
        <w:rPr>
          <w:rFonts w:asciiTheme="minorHAnsi" w:hAnsiTheme="minorHAnsi" w:cstheme="minorHAnsi"/>
        </w:rPr>
        <w:t>Dėl Valstybinės maisto ir veterinarijos tarnybos direktoriaus atleidimo</w:t>
      </w:r>
      <w:bookmarkEnd w:id="33"/>
    </w:p>
    <w:p w14:paraId="3DB6EA7C" w14:textId="77777777" w:rsidR="00373AAC" w:rsidRPr="0014011D" w:rsidRDefault="00373AAC" w:rsidP="00373AAC">
      <w:pPr>
        <w:ind w:firstLine="567"/>
        <w:jc w:val="both"/>
        <w:rPr>
          <w:rFonts w:asciiTheme="minorHAnsi" w:hAnsiTheme="minorHAnsi" w:cstheme="minorHAnsi"/>
          <w:sz w:val="22"/>
          <w:szCs w:val="22"/>
        </w:rPr>
      </w:pPr>
    </w:p>
    <w:p w14:paraId="2D4E7801" w14:textId="106E6224"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Apžvelgiamoje byloje kilo ginčas dėl Lietuvos Respublikos Vyriausybės 2016 m. rugsėjo 28 d. nutarimo Nr. 960, kuriuo pareiškėjas J. M. atleistas iš Valstybinės maisto ir veterinarijos tarnybos direktoriaus pareigų Vyriausybei nepritarus jo pateiktai veiklos ataskaitai. Pareiškėjas skunde prašė grąžinti jį į Valstybinės maisto ir veterinarijos tarnybos (toliau – VMVT) direktoriaus pareigas ir priteisti vidutinį darbo užmokestį už priverstinės pravaikštos laiką.</w:t>
      </w:r>
    </w:p>
    <w:p w14:paraId="365E99DA" w14:textId="17A15B72"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Pareiškėjas buvo atleistas iš pareigų vadovaujantis Lietuvos Respublikos Vyriausybės įstatymo (toliau – Vyriausybės įstatymas) 29</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9 dalies 7 punktu, pagal kurį Lietuvos Respublikos Vyriausybės (toliau – Vyriausybė) įstaigos vadovas atleidžiamas iš pareigų, jeigu Vyriausybė nepritarė įstaigos vadovo ataskaitai.</w:t>
      </w:r>
    </w:p>
    <w:p w14:paraId="664111B7" w14:textId="5B8B31AB"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Išplėstinė teisėjų kolegija pažymėjo, kad administraciniams teismams nėra suteikti įgaliojimai pripažinti Lietuvos Respublikos Vyriausybės aktus neteisėtais – vadovaujantis Konstitucijos 102 straipsniu tokius įgaliojimus turi Lietuvos Respublikos Konstitucinis Teismas (toliau – Konstitucinis Teismas). Pareiškėjo skundą nagrinėjusiems administraciniams teismams buvo kilę abejonių dėl byloje taikytino teisinio reguliavimo atitikties Konstitucijai, be kita ko, ir Vyriausybės 2016 m. rugsėjo 28 d. nutarimo, todėl, vadovaujantis Konstitucijos 110 straipsniu ir Administracinių bylų teisenos įstatymo 4 straipsnio 2 dalimi, byla buvo sustabdyta ir kreiptasi į Konstitucinį Teismą. Išnagrinėjęs prašymus Konstitucinis Teismas Vyriausybės 2016 m. rugsėjo 28 d. nutarimą įvertino kaip išreiškiantį Vyriausybės valią nepritarti VMVT direktoriaus J. M. veiklos ataskaitai ir dėl šios priežasties atleisti jį iš pareigų pagal minėtą Vyriausybės įstatymo 29</w:t>
      </w:r>
      <w:r w:rsidRPr="50018204">
        <w:rPr>
          <w:rFonts w:asciiTheme="minorHAnsi" w:hAnsiTheme="minorHAnsi" w:cstheme="minorBidi"/>
          <w:sz w:val="22"/>
          <w:szCs w:val="22"/>
          <w:vertAlign w:val="superscript"/>
        </w:rPr>
        <w:t>1</w:t>
      </w:r>
      <w:r w:rsidRPr="50018204">
        <w:rPr>
          <w:rFonts w:asciiTheme="minorHAnsi" w:hAnsiTheme="minorHAnsi" w:cstheme="minorBidi"/>
          <w:sz w:val="22"/>
          <w:szCs w:val="22"/>
        </w:rPr>
        <w:t xml:space="preserve"> straipsnio (2010 m. birželio 3 d. redakcija) 9 dalies 7 punktą. Pasak Konstitucinio Teismo, VMVT direktoriaus, kaip šiai tarnybai vadovaujančio valstybės pareigūno, veiklos ataskaita buvo laikoma atsiskaitymu Vyriausybei,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kaip jo vadovaujama Vyriausybės įstaiga dalyvauja formuojant valstybės politiką veterinarijos srityje ir ją įgyvendina, o šios ataskaitos vertinimas valstybės politikos veterinarijos srityje formavimo ir jos įgyvendinimo aspektu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buvo tiesiogiai siejamas su šio valstybės pareigūno – Vyriausybės įstaigos vadovo</w:t>
      </w:r>
      <w:r w:rsidR="214F7D2F" w:rsidRPr="50018204">
        <w:rPr>
          <w:rFonts w:asciiTheme="minorHAnsi" w:hAnsiTheme="minorHAnsi" w:cstheme="minorBidi"/>
          <w:sz w:val="22"/>
          <w:szCs w:val="22"/>
        </w:rPr>
        <w:t xml:space="preserve"> –</w:t>
      </w:r>
      <w:r w:rsidRPr="50018204">
        <w:rPr>
          <w:rFonts w:asciiTheme="minorHAnsi" w:hAnsiTheme="minorHAnsi" w:cstheme="minorBidi"/>
          <w:sz w:val="22"/>
          <w:szCs w:val="22"/>
        </w:rPr>
        <w:t xml:space="preserve"> galėjimu eiti savo pareigas. Konstitucinis Teismas nurodė, kad „priimdama ginčijamą Vyriausybės nutarimą, Vyriausybė įgyvendino Vyriausybės įstatyme nustatytus įgaliojimus ir laikėsi jame nustatytų reikalavimų,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spręsti valstybės valdymo reikalus Vyriausybės posėdyje visų Vyriausybės narių balsų dauguma priimant nutarimus“. Ištirti, ar pagrįstai Vyriausybė VMVT direktoriaus J. M. veiklos ataskaitą įvertino neigiamai, pirmiausia yra administracinę bylą nagrinėjančio teismo kompetencijos dalykas ir kad administracinis teismas, nagrinėdamas administracinę bylą, netyrė ir nenustatė faktinių aplinkybių, kurios leistų spręsti, ar pagrįstai Vyriausybė VMVT direktoriaus J. M. veiklos ataskaitą įvertino neigiamai; </w:t>
      </w:r>
      <w:r w:rsidRPr="50018204">
        <w:rPr>
          <w:rFonts w:asciiTheme="minorHAnsi" w:hAnsiTheme="minorHAnsi" w:cstheme="minorBidi"/>
          <w:i/>
          <w:iCs/>
          <w:sz w:val="22"/>
          <w:szCs w:val="22"/>
        </w:rPr>
        <w:t>expressis verbis</w:t>
      </w:r>
      <w:r w:rsidRPr="50018204">
        <w:rPr>
          <w:rFonts w:asciiTheme="minorHAnsi" w:hAnsiTheme="minorHAnsi" w:cstheme="minorBidi"/>
          <w:sz w:val="22"/>
          <w:szCs w:val="22"/>
        </w:rPr>
        <w:t xml:space="preserve"> nei paneigė, nei patvirtino su VMVT direktoriaus J. M. </w:t>
      </w:r>
      <w:r w:rsidRPr="50018204">
        <w:rPr>
          <w:rFonts w:asciiTheme="minorHAnsi" w:hAnsiTheme="minorHAnsi" w:cstheme="minorBidi"/>
          <w:sz w:val="22"/>
          <w:szCs w:val="22"/>
        </w:rPr>
        <w:lastRenderedPageBreak/>
        <w:t>veikla ir jos vertinimu Vyriausybėje susijusių faktinių aplinkybių ir nesuformulavo jokios savo pozicijos šiuo klausimu. Taigi, konstitucinėje doktrinoje Vyriausybės 2016 m. rugsėjo 28 d. nutarimas pripažintas kaip išreiškiantis Vyriausybės valią nepritarti VMVT direktoriaus J. M. veiklos ataskaitai ir dėl šios priežasties atleisti jį iš pareigų; taip pat pripažinta, kad Vyriausybė 2016 m. rugsėjo 28 d. nutarimu pagrįstai nepritarė VMVT direktoriaus J. M. veiklos ataskaitai ir šis nutarimas, kuriuo nepritarus VMVT direktoriaus J. M. veiklos ataskaitai J. M. atleistas iš VMVT direktoriaus pareigų, yra racionaliai motyvuotas ir pagrįstas.</w:t>
      </w:r>
    </w:p>
    <w:p w14:paraId="69518B4B" w14:textId="77777777" w:rsidR="00373AAC" w:rsidRPr="0014011D" w:rsidRDefault="00373AAC" w:rsidP="00373AAC">
      <w:pPr>
        <w:ind w:firstLine="567"/>
        <w:jc w:val="both"/>
        <w:rPr>
          <w:rFonts w:asciiTheme="minorHAnsi" w:hAnsiTheme="minorHAnsi" w:cstheme="minorHAnsi"/>
          <w:sz w:val="22"/>
          <w:szCs w:val="22"/>
        </w:rPr>
      </w:pPr>
      <w:r w:rsidRPr="0014011D">
        <w:rPr>
          <w:rFonts w:asciiTheme="minorHAnsi" w:hAnsiTheme="minorHAnsi" w:cstheme="minorHAnsi"/>
          <w:sz w:val="22"/>
          <w:szCs w:val="22"/>
        </w:rPr>
        <w:t>Konstituciniam Teismui įvertinus Vyriausybės 2016 m. rugsėjo 28 d. nutarimo teisėtumą ir pripažinus, kad jis yra teisėtas, Lietuvos vyriausiasis administracinis teismas neturi pagrindo daryti kitokią išvadą. Su skundžiamo nutarimo teisėtumu susijusių aplinkybių tyrimas ir vertinimas administraciniuose teismuose atliekamas tiek, kiek tai būtina, kad būtų užtikrinta asmens teisė į efektyvią teisminę gynybą ir suformuluotas motyvuotas prašymas Konstituciniam Teismui, atsižvelgiant į Konstitucinio Teismo 2018 m. kovo 2 d. nutarime suformuluotą išaiškinimą, kad ištirti, ar pagrįstai Vyriausybė VMVT direktoriaus J. M. veiklos ataskaitą įvertino neigiamai, pirmiausia yra administracinę bylą nagrinėjančio teismo kompetencijos dalykas. Lietuvos vyriausiajam administraciniam teismui įgyvendinus šiuos savo įgaliojimus buvo ištirtos teisiškai reikšmingos pareiškėjo skunde nurodytos aplinkybės. Konstituciniam Teismui įvertinus administracinių teismų nustatytas aplinkybes ir pripažinus, kad Vyriausybės 2016 m. rugsėjo 28 d. nutarimas yra teisėtas, Lietuvos vyriausiasis administracinis teismas neturi pagrindo tenkinti ir kitų pareiškėjo reikalavimų dėl Vyriausybės 2016 m. rugsėjo 15 d. pasitarimo protokole Nr. 52 įrašyto sprendimo panaikinimo bei pareiškėjo grąžinimo į VMVT direktoriaus pareigas ir darbo užmokesčio priteisimo, kadangi jie yra išvestiniai iš esminio ginčo klausimo dėl pareiškėjo atleidimo iš VMVT direktoriaus pareigų teisėtumo.</w:t>
      </w:r>
    </w:p>
    <w:p w14:paraId="7859B913" w14:textId="634C33E4"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Pirmosios instancijos teismo sprendimas palik</w:t>
      </w:r>
      <w:r w:rsidR="4B0B9D7D" w:rsidRPr="50018204">
        <w:rPr>
          <w:rFonts w:asciiTheme="minorHAnsi" w:hAnsiTheme="minorHAnsi" w:cstheme="minorBidi"/>
          <w:sz w:val="22"/>
          <w:szCs w:val="22"/>
        </w:rPr>
        <w:t>t</w:t>
      </w:r>
      <w:r w:rsidRPr="50018204">
        <w:rPr>
          <w:rFonts w:asciiTheme="minorHAnsi" w:hAnsiTheme="minorHAnsi" w:cstheme="minorBidi"/>
          <w:sz w:val="22"/>
          <w:szCs w:val="22"/>
        </w:rPr>
        <w:t>as nepakeistas ir pareiškėjo apeliacinis skundas atmestas.</w:t>
      </w:r>
    </w:p>
    <w:p w14:paraId="251DFF45" w14:textId="77777777" w:rsidR="00373AAC" w:rsidRPr="0014011D" w:rsidRDefault="00373AAC" w:rsidP="00373AAC">
      <w:pPr>
        <w:jc w:val="both"/>
        <w:rPr>
          <w:rFonts w:asciiTheme="minorHAnsi" w:hAnsiTheme="minorHAnsi" w:cstheme="minorHAnsi"/>
          <w:sz w:val="22"/>
          <w:szCs w:val="22"/>
        </w:rPr>
      </w:pPr>
    </w:p>
    <w:p w14:paraId="0AD6CD2A"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t>Išplėstinės teisėjų kolegijos 2021 m. vasario 25 d. nutartis administracinėje byloje Nr. eA-757-556/2021</w:t>
      </w:r>
    </w:p>
    <w:p w14:paraId="6D898897"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3-61-3-04124-2016-3</w:t>
      </w:r>
    </w:p>
    <w:p w14:paraId="5049FBDF"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kategorijos: 21.3.12; 22.7</w:t>
      </w:r>
    </w:p>
    <w:p w14:paraId="41506CF5" w14:textId="77777777" w:rsidR="00373AAC" w:rsidRPr="0014011D" w:rsidRDefault="00936F04" w:rsidP="00373AAC">
      <w:pPr>
        <w:jc w:val="both"/>
        <w:rPr>
          <w:rFonts w:asciiTheme="minorHAnsi" w:hAnsiTheme="minorHAnsi" w:cstheme="minorHAnsi"/>
          <w:color w:val="0000FF"/>
          <w:sz w:val="22"/>
          <w:szCs w:val="22"/>
          <w:u w:val="single"/>
        </w:rPr>
      </w:pPr>
      <w:hyperlink r:id="rId19">
        <w:r w:rsidR="00373AAC" w:rsidRPr="0014011D">
          <w:rPr>
            <w:rFonts w:asciiTheme="minorHAnsi" w:hAnsiTheme="minorHAnsi" w:cstheme="minorHAnsi"/>
            <w:color w:val="0000FF"/>
            <w:sz w:val="22"/>
            <w:szCs w:val="22"/>
            <w:u w:val="single"/>
          </w:rPr>
          <w:t>Prieiga internete</w:t>
        </w:r>
      </w:hyperlink>
    </w:p>
    <w:p w14:paraId="5B53CE45" w14:textId="589683E8" w:rsidR="00373AAC" w:rsidRPr="0014011D" w:rsidRDefault="00373AAC" w:rsidP="00983072">
      <w:pPr>
        <w:rPr>
          <w:rFonts w:asciiTheme="minorHAnsi" w:hAnsiTheme="minorHAnsi" w:cstheme="minorHAnsi"/>
          <w:sz w:val="22"/>
          <w:szCs w:val="22"/>
          <w:u w:val="single"/>
        </w:rPr>
      </w:pPr>
    </w:p>
    <w:p w14:paraId="79833575" w14:textId="77777777" w:rsidR="007346A8" w:rsidRPr="0014011D" w:rsidRDefault="007346A8" w:rsidP="00B62DE8">
      <w:pPr>
        <w:pStyle w:val="Apzvalgai1"/>
        <w:rPr>
          <w:rFonts w:asciiTheme="minorHAnsi" w:hAnsiTheme="minorHAnsi" w:cstheme="minorHAnsi"/>
        </w:rPr>
      </w:pPr>
      <w:bookmarkStart w:id="34" w:name="_Toc462149987"/>
      <w:bookmarkStart w:id="35" w:name="_Toc70514799"/>
      <w:bookmarkEnd w:id="26"/>
      <w:r w:rsidRPr="0014011D">
        <w:rPr>
          <w:rFonts w:asciiTheme="minorHAnsi" w:hAnsiTheme="minorHAnsi" w:cstheme="minorHAnsi"/>
        </w:rPr>
        <w:t>23. Vyriausiosios tarnybinės etikos komisijos sprendimai</w:t>
      </w:r>
      <w:bookmarkEnd w:id="34"/>
      <w:bookmarkEnd w:id="35"/>
    </w:p>
    <w:p w14:paraId="39A6CCDB" w14:textId="77777777" w:rsidR="007346A8" w:rsidRPr="0014011D" w:rsidRDefault="007346A8" w:rsidP="007346A8">
      <w:pPr>
        <w:ind w:firstLine="567"/>
        <w:jc w:val="both"/>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 xml:space="preserve">23.4. Kiti su Vyriausiosios tarnybinės etikos komisijos sprendimais susiję klausimai </w:t>
      </w:r>
    </w:p>
    <w:p w14:paraId="4F0DB112" w14:textId="77777777" w:rsidR="007346A8" w:rsidRPr="0014011D" w:rsidRDefault="007346A8" w:rsidP="007346A8">
      <w:pPr>
        <w:ind w:firstLine="567"/>
        <w:jc w:val="both"/>
        <w:rPr>
          <w:rFonts w:asciiTheme="minorHAnsi" w:eastAsiaTheme="minorHAnsi" w:hAnsiTheme="minorHAnsi" w:cstheme="minorHAnsi"/>
          <w:sz w:val="22"/>
          <w:szCs w:val="22"/>
        </w:rPr>
      </w:pPr>
    </w:p>
    <w:p w14:paraId="5B4ECC44" w14:textId="40E9E22F" w:rsidR="007346A8" w:rsidRPr="0014011D" w:rsidRDefault="007346A8" w:rsidP="50018204">
      <w:pPr>
        <w:pStyle w:val="Antrat2"/>
        <w:rPr>
          <w:rFonts w:asciiTheme="minorHAnsi" w:hAnsiTheme="minorHAnsi" w:cstheme="minorBidi"/>
        </w:rPr>
      </w:pPr>
      <w:bookmarkStart w:id="36" w:name="_Toc70514800"/>
      <w:r w:rsidRPr="50018204">
        <w:rPr>
          <w:rFonts w:asciiTheme="minorHAnsi" w:hAnsiTheme="minorHAnsi" w:cstheme="minorBidi"/>
        </w:rPr>
        <w:t>Dėl publikacijų, skirtų asmenybių (o ne institucijų) pristatymui, vertinimo Viešųjų ir privačių interesų derinimo valstybinėje tarnyboje įstatymo kontekste</w:t>
      </w:r>
      <w:bookmarkEnd w:id="36"/>
    </w:p>
    <w:p w14:paraId="78FF268A" w14:textId="77777777" w:rsidR="007346A8" w:rsidRPr="0014011D" w:rsidRDefault="007346A8" w:rsidP="007346A8">
      <w:pPr>
        <w:ind w:firstLine="567"/>
        <w:jc w:val="both"/>
        <w:rPr>
          <w:rFonts w:asciiTheme="minorHAnsi" w:eastAsiaTheme="minorHAnsi" w:hAnsiTheme="minorHAnsi" w:cstheme="minorHAnsi"/>
          <w:sz w:val="22"/>
          <w:szCs w:val="22"/>
        </w:rPr>
      </w:pPr>
    </w:p>
    <w:p w14:paraId="6F76742A" w14:textId="171AB981" w:rsidR="007346A8" w:rsidRPr="0014011D" w:rsidRDefault="007346A8" w:rsidP="50018204">
      <w:pPr>
        <w:ind w:firstLine="567"/>
        <w:jc w:val="both"/>
        <w:rPr>
          <w:rFonts w:asciiTheme="minorHAnsi" w:eastAsiaTheme="minorEastAsia" w:hAnsiTheme="minorHAnsi" w:cstheme="minorBidi"/>
          <w:sz w:val="22"/>
          <w:szCs w:val="22"/>
        </w:rPr>
      </w:pPr>
      <w:r w:rsidRPr="50018204">
        <w:rPr>
          <w:rFonts w:asciiTheme="minorHAnsi" w:eastAsiaTheme="minorEastAsia" w:hAnsiTheme="minorHAnsi" w:cstheme="minorBidi"/>
          <w:sz w:val="22"/>
          <w:szCs w:val="22"/>
        </w:rPr>
        <w:t>Apžvelgiamoje byloje ginčas kilo dėl Vyriausiosios tarnybinės etikos komisijos (toliau – Komisija, VTEK) sprendimo dalies, kuria pripažinta, kad pareiškėja, eidama VšĮ Alytaus kolegijos (toliau – Kolegija) direktorės pareigas, nesiėmusi veiksmų, kad šios įstaigos lėšomis nebūtų apmokėtos asmeninio pobūdžio publikacijos rengimo ir leidybos išlaidos, pasinaudojo pareigomis asmeninei naudai gauti bei įstaigos finansiniais ištekliais ne tarnybos tikslams ir tokiais veiksmais pažeidė Viešųjų ir privačių interesų derinimo valstybinėje tarnyboje įstatymo (toliau – Įstatymas) 3 straipsnio 1 dalies 3 ir 6 punktų nuostatas.</w:t>
      </w:r>
    </w:p>
    <w:p w14:paraId="2E536F29" w14:textId="77777777"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 xml:space="preserve">Byloje nustatyta, kad Kolegija, atstovaujama pareiškėjos, 2016 m. su VšĮ Visuomeninių iniciatyvų paramos fondu (toliau – Fondas) sudarė Viešinimo sutartį, kurios pagrindu Fondas įsipareigojo parengti ir išspausdinti straipsnį apie Kolegijos veiklą ir jos vadovą, pristatant leidinyje ir Kolegijos logotipą. 2018 m. pasirašytas paslaugų perdavimo ir priėmimo aktas, kuriame pažymėta, kad Fondas parengė ir publikavo Straipsnį, skirtą Kolegijos garsinimui ir veiklos viešinimui, panaudojant ir Kolegijos logotipą, spausdintame leidinyje „Lietuvos 100-mečio vadovai“, skirto profesijų mokslo įstaigose, verslo struktūrose ir valstybės institucijose populiarinimui. </w:t>
      </w:r>
    </w:p>
    <w:p w14:paraId="51DC5421" w14:textId="77777777"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 xml:space="preserve">Bylą nagrinėjusi LVAT teisėjų kolegija priminė, kad Įstatymo 3 straipsnyje, nustatančiame deklaruojančių asmenų pareigas, reglamentuojama, kad viešųjų interesų viršenybei užtikrinti deklaruojantys asmenys </w:t>
      </w:r>
      <w:r w:rsidRPr="0014011D">
        <w:rPr>
          <w:rFonts w:asciiTheme="minorHAnsi" w:eastAsiaTheme="minorHAnsi" w:hAnsiTheme="minorHAnsi" w:cstheme="minorHAnsi"/>
          <w:i/>
          <w:iCs/>
          <w:sz w:val="22"/>
          <w:szCs w:val="22"/>
        </w:rPr>
        <w:t>inter alia</w:t>
      </w:r>
      <w:r w:rsidRPr="0014011D">
        <w:rPr>
          <w:rFonts w:asciiTheme="minorHAnsi" w:eastAsiaTheme="minorHAnsi" w:hAnsiTheme="minorHAnsi" w:cstheme="minorHAnsi"/>
          <w:sz w:val="22"/>
          <w:szCs w:val="22"/>
        </w:rPr>
        <w:t xml:space="preserve"> privalo nesinaudoti tarnybinėmis pareigomis ar tarnybiniu statusu asmeninei naudai gauti (Įstatymo 3 str. 1 d. 3 p.), taip pat nesinaudoti ir neleisti kitiems naudotis valstybės ar savivaldybių valdomu turtu ne tarnybinei veiklai, išskyrus įstatymuose ar Lietuvos Respublikos Vyriausybės nutarimuose nustatytas išimtis (Įstatymo 3 str. 1 d. 6 p.). Teisėjų kolegija, įvertinusi ginčui aktualias Alytaus kolegijos statuto, patvirtinto Lietuvos Respublikos Vyriausybės 2011 m. lapkričio 2 d. nutarimu Nr. 1298 „Dėl Alytaus kolegijos pertvarkymo ir Lietuvos Respublikos </w:t>
      </w:r>
      <w:r w:rsidRPr="0014011D">
        <w:rPr>
          <w:rFonts w:asciiTheme="minorHAnsi" w:eastAsiaTheme="minorHAnsi" w:hAnsiTheme="minorHAnsi" w:cstheme="minorHAnsi"/>
          <w:sz w:val="22"/>
          <w:szCs w:val="22"/>
        </w:rPr>
        <w:lastRenderedPageBreak/>
        <w:t xml:space="preserve">Vyriausybės 2007 m. gegužės 16 d. nutarimo Nr. 511 „Dėl Alytaus ir Utenos kolegijų statutų patvirtinimo“ pripažinimo netekusiu galios“, nuostatas, ginčijamo Sprendimo argumentus, pripažino, jog sprendimas teisėtas. </w:t>
      </w:r>
    </w:p>
    <w:p w14:paraId="0C9466D5" w14:textId="77777777"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 xml:space="preserve">Teisėjų kolegija pažymėjo, kad </w:t>
      </w:r>
      <w:r w:rsidRPr="0014011D">
        <w:rPr>
          <w:rFonts w:asciiTheme="minorHAnsi" w:eastAsiaTheme="minorHAnsi" w:hAnsiTheme="minorHAnsi" w:cstheme="minorHAnsi"/>
          <w:sz w:val="22"/>
          <w:szCs w:val="22"/>
          <w:u w:val="single"/>
        </w:rPr>
        <w:t>leidinys, kuriame paskelbta publikacija, adresuojamas asmenybių, o ne institucijų pristatymui, publikacijos turinio vertinimas suponuoja, kad dominuoja asmeninio pobūdžio informacija apie pareiškėją, o ne Kolegiją</w:t>
      </w:r>
      <w:r w:rsidRPr="0014011D">
        <w:rPr>
          <w:rFonts w:asciiTheme="minorHAnsi" w:eastAsiaTheme="minorHAnsi" w:hAnsiTheme="minorHAnsi" w:cstheme="minorHAnsi"/>
          <w:sz w:val="22"/>
          <w:szCs w:val="22"/>
        </w:rPr>
        <w:t xml:space="preserve">, kaip Lietuvos Respublikos valstybinę aukštąją mokyklą, kurios pasiekimai tiesiogiai siejami su ypatingu pareiškėjos vaidmeniu. Tai matyti iš nuolat akcentuojamo jos asmeninio indėlio. </w:t>
      </w:r>
      <w:r w:rsidRPr="0014011D">
        <w:rPr>
          <w:rFonts w:asciiTheme="minorHAnsi" w:eastAsiaTheme="minorHAnsi" w:hAnsiTheme="minorHAnsi" w:cstheme="minorHAnsi"/>
          <w:sz w:val="22"/>
          <w:szCs w:val="22"/>
          <w:u w:val="single"/>
        </w:rPr>
        <w:t>Nurodyto turinio publikacija, paskelbta pareiškėjos iniciatyva ir finansuota Kolegijos lėšomis, niekaip nedera su Kolegijos tikslais, uždaviniais, direktoriaus funkcijų valdant, naudojant ir disponuojant Kolegijos turtu tinkamu vykdymu, pažeidžia Statute įtvirtintus turto valdymui, naudojimui ir disponavimui juo keliamus imperatyvius reikalavimus, ypač visuomeninės naudos imperatyvus</w:t>
      </w:r>
      <w:r w:rsidRPr="0014011D">
        <w:rPr>
          <w:rFonts w:asciiTheme="minorHAnsi" w:eastAsiaTheme="minorHAnsi" w:hAnsiTheme="minorHAnsi" w:cstheme="minorHAnsi"/>
          <w:sz w:val="22"/>
          <w:szCs w:val="22"/>
        </w:rPr>
        <w:t>. Teisėjų kolegijos vertinimu, tokiais veiksmais pareiškėja pažeidė Įstatymo 3 straipsnio 1 dalies 3 ir 6 punktų nuostatas.</w:t>
      </w:r>
    </w:p>
    <w:p w14:paraId="3439C1FC" w14:textId="77777777"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Taip pat LVAT pažymėjo, jog ginčo teisinių santykių kontekste viešinimo paslaugos teikimo aspektai yra svarbūs tiek, kiek tokios paslaugos atitinka Kolegijos statuto reikalavimus. Publikacija, kuri tų reikalavimų neatitinka, gali būti vertinama ir kaip finansinės drausmės pažeidimas, dėl kurio vertinimus pateikia tam įgalioti kontrolę atliekantys subjektai, ir kaip viešuosius ir privačius interesus deklaruojančių asmenų pareigų, kylančių iš Įstatymo 3 straipsnio nuostatų, pažeidimas. Šiuo atveju, įvertinus publikacijos turinį, yra pagrindas pripažinti, kad paslaugos Kolegijos sąskaita teiktos ne Kolegijos interesais, o pareiškėjos asmeniniams interesams tenkinti. Tokia teisinė situacija suponavo pareiškėjai pareigą imtis visų priemonių, kad būtų užkirstas kelias neteisėtiems veiksmams, o to nepadarius – yra Įstatymo 3 straipsnio 1 dalies 3 ir 6 punktuose įtvirtintų draudimų pažeidimas.</w:t>
      </w:r>
    </w:p>
    <w:p w14:paraId="26D3BAC3" w14:textId="3C93F1CE"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Atsakydama į pareiškėjos argumentus dėl asmeninės naudos, teisėjų kolegija pažymėjo, kad nei ginčijamame atsakovo sprendime, nei pirmosios instancijos teismo sprendime neturėjo būti įvardinta konkreti turtinė ar neturtinė nauda, kuri gauta dėl pareiškėjos veiksmų. Tokiu, kaip šiuo atveju, nauda, kuri paprastai apibūdinama, kaip materiali ar nemateriali, turinti ekonominę vertę rinkoje ar tokios vertės neturinti, nauda, kai paskleidžiama informacija apie asmenį, jos savybes ir ypatingą vaidmenį valstybinės aukštosios mokyklos veikloje, bet kuriuo atveju, net ir tolimoje perspektyvoje, kuria (tiesiogiai ar netiesiogiai) pridėtinę vertę asmeniui (pvz., darbo rinkoje, asmeninio įvaizdžio formavimo aspektu). Pažymėta ir tai, kad Įstatymo 3 straipsnio 1 dalies 3 ir 6 punktų nuostatų pažeidimui pakanka formaliosios pažeidimo sudėties konstatavimo.</w:t>
      </w:r>
    </w:p>
    <w:p w14:paraId="23B098FE" w14:textId="77777777" w:rsidR="007346A8" w:rsidRPr="0014011D" w:rsidRDefault="007346A8" w:rsidP="007346A8">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LVAT nutartimi pareiškėjos apeliacinis skundas atmestas, o pirmosios instancijos teismo sprendimas paliktas nepakeistas.</w:t>
      </w:r>
    </w:p>
    <w:p w14:paraId="48EA0D0F" w14:textId="77777777" w:rsidR="007346A8" w:rsidRPr="0014011D" w:rsidRDefault="007346A8" w:rsidP="007346A8">
      <w:pPr>
        <w:ind w:firstLine="567"/>
        <w:jc w:val="both"/>
        <w:rPr>
          <w:rFonts w:asciiTheme="minorHAnsi" w:eastAsiaTheme="minorHAnsi" w:hAnsiTheme="minorHAnsi" w:cstheme="minorHAnsi"/>
          <w:sz w:val="22"/>
          <w:szCs w:val="22"/>
        </w:rPr>
      </w:pPr>
    </w:p>
    <w:p w14:paraId="5603C88C" w14:textId="77777777" w:rsidR="007346A8" w:rsidRPr="0014011D" w:rsidRDefault="007346A8" w:rsidP="007346A8">
      <w:pPr>
        <w:jc w:val="both"/>
        <w:rPr>
          <w:rFonts w:asciiTheme="minorHAnsi" w:hAnsiTheme="minorHAnsi" w:cstheme="minorHAnsi"/>
          <w:sz w:val="22"/>
          <w:szCs w:val="22"/>
        </w:rPr>
      </w:pPr>
      <w:r w:rsidRPr="0014011D">
        <w:rPr>
          <w:rFonts w:asciiTheme="minorHAnsi" w:hAnsiTheme="minorHAnsi" w:cstheme="minorHAnsi"/>
          <w:sz w:val="22"/>
          <w:szCs w:val="22"/>
        </w:rPr>
        <w:t>2021 m. vasario 17 d. nutartis administracinėje byloje Nr. eA-747-415/2021</w:t>
      </w:r>
    </w:p>
    <w:p w14:paraId="6A31835D" w14:textId="77777777" w:rsidR="007346A8" w:rsidRPr="0014011D" w:rsidRDefault="007346A8" w:rsidP="007346A8">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3-61-3-02224-2019-5</w:t>
      </w:r>
    </w:p>
    <w:p w14:paraId="08898531" w14:textId="77777777" w:rsidR="007346A8" w:rsidRPr="0014011D" w:rsidRDefault="007346A8" w:rsidP="007346A8">
      <w:pPr>
        <w:jc w:val="both"/>
        <w:rPr>
          <w:rFonts w:asciiTheme="minorHAnsi" w:hAnsiTheme="minorHAnsi" w:cstheme="minorHAnsi"/>
          <w:sz w:val="22"/>
          <w:szCs w:val="22"/>
        </w:rPr>
      </w:pPr>
      <w:r w:rsidRPr="0014011D">
        <w:rPr>
          <w:rFonts w:asciiTheme="minorHAnsi" w:hAnsiTheme="minorHAnsi" w:cstheme="minorHAnsi"/>
          <w:sz w:val="22"/>
          <w:szCs w:val="22"/>
        </w:rPr>
        <w:t xml:space="preserve">Procesinio sprendimo kategorija 23.4 </w:t>
      </w:r>
    </w:p>
    <w:p w14:paraId="63A16524" w14:textId="772F7378" w:rsidR="007346A8" w:rsidRPr="0014011D" w:rsidRDefault="00936F04" w:rsidP="007346A8">
      <w:pPr>
        <w:jc w:val="both"/>
        <w:rPr>
          <w:rFonts w:asciiTheme="minorHAnsi" w:hAnsiTheme="minorHAnsi" w:cstheme="minorHAnsi"/>
          <w:sz w:val="22"/>
          <w:szCs w:val="22"/>
        </w:rPr>
      </w:pPr>
      <w:hyperlink r:id="rId20" w:history="1">
        <w:r w:rsidR="007346A8" w:rsidRPr="0014011D">
          <w:rPr>
            <w:rStyle w:val="Hipersaitas"/>
            <w:rFonts w:asciiTheme="minorHAnsi" w:hAnsiTheme="minorHAnsi" w:cstheme="minorHAnsi"/>
            <w:sz w:val="22"/>
            <w:szCs w:val="22"/>
          </w:rPr>
          <w:t>Prieiga internete</w:t>
        </w:r>
      </w:hyperlink>
      <w:r w:rsidR="007346A8" w:rsidRPr="0014011D">
        <w:rPr>
          <w:rFonts w:asciiTheme="minorHAnsi" w:hAnsiTheme="minorHAnsi" w:cstheme="minorHAnsi"/>
          <w:sz w:val="22"/>
          <w:szCs w:val="22"/>
        </w:rPr>
        <w:t xml:space="preserve"> </w:t>
      </w:r>
    </w:p>
    <w:p w14:paraId="65DA0F20" w14:textId="77777777" w:rsidR="007346A8" w:rsidRPr="0014011D" w:rsidRDefault="007346A8" w:rsidP="00137A55">
      <w:pPr>
        <w:ind w:firstLine="567"/>
        <w:jc w:val="both"/>
        <w:rPr>
          <w:rFonts w:asciiTheme="minorHAnsi" w:eastAsiaTheme="minorHAnsi" w:hAnsiTheme="minorHAnsi" w:cstheme="minorHAnsi"/>
          <w:sz w:val="22"/>
          <w:szCs w:val="22"/>
        </w:rPr>
      </w:pPr>
    </w:p>
    <w:p w14:paraId="03CDAD47" w14:textId="77777777" w:rsidR="00C2023C" w:rsidRPr="0014011D" w:rsidRDefault="00C2023C" w:rsidP="00B62DE8">
      <w:pPr>
        <w:pStyle w:val="Apzvalgai1"/>
        <w:rPr>
          <w:rFonts w:asciiTheme="minorHAnsi" w:hAnsiTheme="minorHAnsi" w:cstheme="minorHAnsi"/>
        </w:rPr>
      </w:pPr>
      <w:bookmarkStart w:id="37" w:name="_Toc462149988"/>
      <w:bookmarkStart w:id="38" w:name="_Toc70514801"/>
      <w:r w:rsidRPr="0014011D">
        <w:rPr>
          <w:rFonts w:asciiTheme="minorHAnsi" w:hAnsiTheme="minorHAnsi" w:cstheme="minorHAnsi"/>
        </w:rPr>
        <w:t>24. Vietos savivalda</w:t>
      </w:r>
      <w:bookmarkEnd w:id="37"/>
      <w:bookmarkEnd w:id="38"/>
    </w:p>
    <w:p w14:paraId="047D2003" w14:textId="77777777" w:rsidR="00C2023C" w:rsidRPr="0014011D" w:rsidRDefault="00C2023C" w:rsidP="00DC3B77">
      <w:pPr>
        <w:ind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24.1. Vietos savivaldos principai</w:t>
      </w:r>
    </w:p>
    <w:p w14:paraId="4F41D4CD" w14:textId="77777777" w:rsidR="00C2023C" w:rsidRPr="0014011D" w:rsidRDefault="00C2023C" w:rsidP="00C2023C">
      <w:pPr>
        <w:ind w:firstLine="567"/>
        <w:jc w:val="both"/>
        <w:rPr>
          <w:rFonts w:asciiTheme="minorHAnsi" w:hAnsiTheme="minorHAnsi" w:cstheme="minorHAnsi"/>
          <w:sz w:val="22"/>
          <w:szCs w:val="22"/>
        </w:rPr>
      </w:pPr>
    </w:p>
    <w:p w14:paraId="2B8DA1C7" w14:textId="77777777" w:rsidR="00C2023C" w:rsidRPr="0014011D" w:rsidRDefault="00C2023C" w:rsidP="00B62DE8">
      <w:pPr>
        <w:pStyle w:val="Antrat2"/>
        <w:rPr>
          <w:rFonts w:asciiTheme="minorHAnsi" w:hAnsiTheme="minorHAnsi" w:cstheme="minorHAnsi"/>
        </w:rPr>
      </w:pPr>
      <w:bookmarkStart w:id="39" w:name="_Toc70514802"/>
      <w:r w:rsidRPr="0014011D">
        <w:rPr>
          <w:rFonts w:asciiTheme="minorHAnsi" w:hAnsiTheme="minorHAnsi" w:cstheme="minorHAnsi"/>
        </w:rPr>
        <w:t>Dėl mero pareigos bendradarbiauti su savivaldybės tarybos narių grupe, siekiančia inicijuoti savivaldybės gyventojų apklausą</w:t>
      </w:r>
      <w:bookmarkEnd w:id="39"/>
    </w:p>
    <w:p w14:paraId="738418F2" w14:textId="77777777" w:rsidR="00C2023C" w:rsidRPr="0014011D" w:rsidRDefault="00C2023C" w:rsidP="00C2023C">
      <w:pPr>
        <w:ind w:firstLine="567"/>
        <w:jc w:val="both"/>
        <w:rPr>
          <w:rFonts w:asciiTheme="minorHAnsi" w:hAnsiTheme="minorHAnsi" w:cstheme="minorHAnsi"/>
          <w:sz w:val="22"/>
          <w:szCs w:val="22"/>
        </w:rPr>
      </w:pPr>
    </w:p>
    <w:p w14:paraId="2DBDEAF6" w14:textId="4399A6FA" w:rsidR="00C2023C" w:rsidRPr="0014011D" w:rsidRDefault="00C2023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Apžvelgiamoje byloje ginčas kilo dėl Vilniaus rajono savivaldyb</w:t>
      </w:r>
      <w:r w:rsidR="21F89353" w:rsidRPr="50018204">
        <w:rPr>
          <w:rFonts w:asciiTheme="minorHAnsi" w:hAnsiTheme="minorHAnsi" w:cstheme="minorBidi"/>
          <w:sz w:val="22"/>
          <w:szCs w:val="22"/>
        </w:rPr>
        <w:t>ė</w:t>
      </w:r>
      <w:r w:rsidRPr="50018204">
        <w:rPr>
          <w:rFonts w:asciiTheme="minorHAnsi" w:hAnsiTheme="minorHAnsi" w:cstheme="minorBidi"/>
          <w:sz w:val="22"/>
          <w:szCs w:val="22"/>
        </w:rPr>
        <w:t>s mero sprendimo, kuriuo atsisakyta tenkinti aštuonių šios savivaldybės tarybos narių prašymą įtraukti į tarybos darbotvarkę ir svarstyti jų pateiktą savivaldybės tarybos sprendimo projektą, kuriuo buvo siūloma paskelbti apklausą seniūnijose. Savo atsisakyme meras nurodė, kad tarybos narių prašymas negali būti tenkinamas, nes pateiktas netinkamam subjektui.</w:t>
      </w:r>
    </w:p>
    <w:p w14:paraId="69EB9A55" w14:textId="77777777"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Skundą dėl tokio mero sprendimo nagrinėjusi Lietuvos administracinių ginčų komisija įpareigojo pakartotinai nagrinėti prašymą ir priimti sprendimą dėl apklausos pagal šį prašymą paskelbimo. Pirmosios instancijos teismas šį ikiteisminės institucijos sprendimą paliko nepakeistą.</w:t>
      </w:r>
    </w:p>
    <w:p w14:paraId="0E8CAD36" w14:textId="2B6E9D06" w:rsidR="00C2023C" w:rsidRPr="0014011D" w:rsidRDefault="00C2023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Mero apeliacinį skundą nagrinėjęs LVAT pirmiausia atkreipė dėmesį į tai, kad vadovaujantis Vietos savivaldos įstatymo 42 straipsnio 2 dalimi, kai apklausos paskelbimo iniciatyvos teisė įgyvendinama ne mažesnės kaip 1/4 savivaldybės tarybos narių grupės reikalavimu, meras privalo paskelbti apklausą ne vėliau kaip per vieną mėnesį nuo šios grupės reikalavimo gavimo. Toks teisinis reglamentavimas, kaip pažymėjo teisėjų kolegija, suponuoja, kad </w:t>
      </w:r>
      <w:r w:rsidRPr="50018204">
        <w:rPr>
          <w:rFonts w:asciiTheme="minorHAnsi" w:hAnsiTheme="minorHAnsi" w:cstheme="minorBidi"/>
          <w:sz w:val="22"/>
          <w:szCs w:val="22"/>
          <w:u w:val="single"/>
        </w:rPr>
        <w:t>apklausos paskelbimas, kai ją inicijuoja 1/4 savivaldybės tarybos narių grupė, yra išimtinė mero kompetencija</w:t>
      </w:r>
      <w:r w:rsidRPr="50018204">
        <w:rPr>
          <w:rFonts w:asciiTheme="minorHAnsi" w:hAnsiTheme="minorHAnsi" w:cstheme="minorBidi"/>
          <w:sz w:val="22"/>
          <w:szCs w:val="22"/>
        </w:rPr>
        <w:t xml:space="preserve">. Tačiau vien tai, kad savivaldybės tarybos narių prašymas teiktas tarybai sprendimui </w:t>
      </w:r>
      <w:r w:rsidRPr="50018204">
        <w:rPr>
          <w:rFonts w:asciiTheme="minorHAnsi" w:hAnsiTheme="minorHAnsi" w:cstheme="minorBidi"/>
          <w:sz w:val="22"/>
          <w:szCs w:val="22"/>
        </w:rPr>
        <w:lastRenderedPageBreak/>
        <w:t xml:space="preserve">priimti, o ne merui, nors iš pateiktų dokumentų turinio, juose nurodytų teisės aktų nuostatų (Vietos savivaldos įstatymo devinto skirsnio) buvo visiškai aiškus šių narių kreipimosi tikslas, prašymo turinys ir teisinė situacija, </w:t>
      </w:r>
      <w:r w:rsidR="0F92E6F1" w:rsidRPr="50018204">
        <w:rPr>
          <w:rFonts w:asciiTheme="minorHAnsi" w:hAnsiTheme="minorHAnsi" w:cstheme="minorBidi"/>
          <w:sz w:val="22"/>
          <w:szCs w:val="22"/>
        </w:rPr>
        <w:t>m</w:t>
      </w:r>
      <w:r w:rsidRPr="50018204">
        <w:rPr>
          <w:rFonts w:asciiTheme="minorHAnsi" w:hAnsiTheme="minorHAnsi" w:cstheme="minorBidi"/>
          <w:sz w:val="22"/>
          <w:szCs w:val="22"/>
        </w:rPr>
        <w:t xml:space="preserve">eras neturėjo teisinio pagrindo priimti ginčijamą teisės aktą. </w:t>
      </w:r>
    </w:p>
    <w:p w14:paraId="45DDAD89" w14:textId="61C9036A"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Teisėjų kolegija pažymėjo, kad savivaldybės institucijų veikla turi būti pagrįsta gero, atsakingo valdymo principais, be kita ko, užtikrinant racionalų institucijų bei jų narių bendradarbiavimą ir netoleranciją biurokratizmui, siekiant įstatyme įtvirtinto tikslo. Byloje nustatytų faktinių aplinkybių kontekste, </w:t>
      </w:r>
      <w:r w:rsidRPr="0014011D">
        <w:rPr>
          <w:rFonts w:asciiTheme="minorHAnsi" w:hAnsiTheme="minorHAnsi" w:cstheme="minorHAnsi"/>
          <w:sz w:val="22"/>
          <w:szCs w:val="22"/>
          <w:u w:val="single"/>
        </w:rPr>
        <w:t>kai savivaldybės atstovaujamosios institucijos atstovai imasi iniciatyvos tiesiogiai įtraukti savivaldybės gyventojus į savivaldybės reikalų tvarkymą, siekdami išgirsti jų nuomonę, glaudus savivaldybės institucijų bendradarbiavimas yra itin svarbus</w:t>
      </w:r>
      <w:r w:rsidR="00202E41">
        <w:rPr>
          <w:rFonts w:asciiTheme="minorHAnsi" w:hAnsiTheme="minorHAnsi" w:cstheme="minorHAnsi"/>
          <w:sz w:val="22"/>
          <w:szCs w:val="22"/>
          <w:u w:val="single"/>
        </w:rPr>
        <w:t>,</w:t>
      </w:r>
      <w:r w:rsidRPr="0014011D">
        <w:rPr>
          <w:rFonts w:asciiTheme="minorHAnsi" w:hAnsiTheme="minorHAnsi" w:cstheme="minorHAnsi"/>
          <w:sz w:val="22"/>
          <w:szCs w:val="22"/>
          <w:u w:val="single"/>
        </w:rPr>
        <w:t xml:space="preserve"> turint </w:t>
      </w:r>
      <w:r w:rsidR="00202E41">
        <w:rPr>
          <w:rFonts w:asciiTheme="minorHAnsi" w:hAnsiTheme="minorHAnsi" w:cstheme="minorHAnsi"/>
          <w:sz w:val="22"/>
          <w:szCs w:val="22"/>
          <w:u w:val="single"/>
        </w:rPr>
        <w:t>omenyje</w:t>
      </w:r>
      <w:r w:rsidRPr="0014011D">
        <w:rPr>
          <w:rFonts w:asciiTheme="minorHAnsi" w:hAnsiTheme="minorHAnsi" w:cstheme="minorHAnsi"/>
          <w:sz w:val="22"/>
          <w:szCs w:val="22"/>
          <w:u w:val="single"/>
        </w:rPr>
        <w:t xml:space="preserve"> jų atsakomybę už savivaldos teisės įgyvendinimą savivaldybės bendruomenės interesais</w:t>
      </w:r>
      <w:r w:rsidRPr="0014011D">
        <w:rPr>
          <w:rFonts w:asciiTheme="minorHAnsi" w:hAnsiTheme="minorHAnsi" w:cstheme="minorHAnsi"/>
          <w:sz w:val="22"/>
          <w:szCs w:val="22"/>
        </w:rPr>
        <w:t xml:space="preserve">. </w:t>
      </w:r>
    </w:p>
    <w:p w14:paraId="64572E18" w14:textId="77777777" w:rsidR="00C2023C" w:rsidRPr="0014011D" w:rsidRDefault="00C2023C" w:rsidP="00C2023C">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LVAT pažymėjo, kad nebuvo nustatyta, jog </w:t>
      </w:r>
      <w:r w:rsidRPr="0014011D">
        <w:rPr>
          <w:rFonts w:asciiTheme="minorHAnsi" w:hAnsiTheme="minorHAnsi" w:cstheme="minorHAnsi"/>
          <w:sz w:val="22"/>
          <w:szCs w:val="22"/>
          <w:u w:val="single"/>
        </w:rPr>
        <w:t>meras būtų ėmęsis priemonių siekdamas bendradarbiauti su 1/4 savivaldybės tarybos narių grupe, įgyvendinusia iniciatyvos teisę, ir būtų sudarytos sąlygos per įmanomai trumpiausią terminą pateikti visą reikiamą informaciją</w:t>
      </w:r>
      <w:r w:rsidRPr="0014011D">
        <w:rPr>
          <w:rFonts w:asciiTheme="minorHAnsi" w:hAnsiTheme="minorHAnsi" w:cstheme="minorHAnsi"/>
          <w:sz w:val="22"/>
          <w:szCs w:val="22"/>
        </w:rPr>
        <w:t>. Kadangi Vietos savivaldos įstatymo nuostatos įtvirtina mero pareigą paskelbti apklausą ne vėliau kaip per vieną mėnesį nuo savivaldybės tarybos narių grupės reikalavimo gavimo, LVAT teisėjų kolegija patikslino Lietuvos administracinių ginčų komisijos ir pirmosios instancijos teismo sprendimus – įpareigojo Vilniaus rajono savivaldybės merą iš naujo nagrinėti 1/4 savivaldybės tarybos narių pateiktą prašymą ir priimti sprendimą dėl apklausos pagal šį prašymą paskelbimo.</w:t>
      </w:r>
    </w:p>
    <w:p w14:paraId="7F9039F0" w14:textId="77777777" w:rsidR="00C2023C" w:rsidRPr="0014011D" w:rsidRDefault="00C2023C" w:rsidP="00C2023C">
      <w:pPr>
        <w:ind w:firstLine="567"/>
        <w:jc w:val="both"/>
        <w:rPr>
          <w:rFonts w:asciiTheme="minorHAnsi" w:hAnsiTheme="minorHAnsi" w:cstheme="minorHAnsi"/>
          <w:sz w:val="22"/>
          <w:szCs w:val="22"/>
        </w:rPr>
      </w:pPr>
    </w:p>
    <w:p w14:paraId="5B0BA99E" w14:textId="77777777"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2021 m. vasario 10 d. nutartis administracinėje byloje Nr. A-641-415/2021</w:t>
      </w:r>
    </w:p>
    <w:p w14:paraId="6976EEEF" w14:textId="77777777"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3-61-3-01373-2019-9</w:t>
      </w:r>
    </w:p>
    <w:p w14:paraId="12B92D2E" w14:textId="77777777" w:rsidR="00C2023C" w:rsidRPr="0014011D" w:rsidRDefault="00C2023C" w:rsidP="00C2023C">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kategorija 41</w:t>
      </w:r>
    </w:p>
    <w:p w14:paraId="6506F5D5" w14:textId="77777777" w:rsidR="00C2023C" w:rsidRPr="0014011D" w:rsidRDefault="00936F04" w:rsidP="00C2023C">
      <w:pPr>
        <w:jc w:val="both"/>
        <w:rPr>
          <w:rFonts w:asciiTheme="minorHAnsi" w:hAnsiTheme="minorHAnsi" w:cstheme="minorHAnsi"/>
          <w:sz w:val="22"/>
          <w:szCs w:val="22"/>
        </w:rPr>
      </w:pPr>
      <w:hyperlink r:id="rId21" w:history="1">
        <w:r w:rsidR="00C2023C" w:rsidRPr="0014011D">
          <w:rPr>
            <w:rStyle w:val="Hipersaitas"/>
            <w:rFonts w:asciiTheme="minorHAnsi" w:hAnsiTheme="minorHAnsi" w:cstheme="minorHAnsi"/>
            <w:sz w:val="22"/>
            <w:szCs w:val="22"/>
          </w:rPr>
          <w:t>Prieiga internete</w:t>
        </w:r>
      </w:hyperlink>
    </w:p>
    <w:p w14:paraId="32EE876A" w14:textId="38A55B31" w:rsidR="00C2023C" w:rsidRPr="0014011D" w:rsidRDefault="00C2023C" w:rsidP="00137A55">
      <w:pPr>
        <w:ind w:firstLine="567"/>
        <w:jc w:val="both"/>
        <w:rPr>
          <w:rFonts w:asciiTheme="minorHAnsi" w:eastAsiaTheme="minorHAnsi" w:hAnsiTheme="minorHAnsi" w:cstheme="minorHAnsi"/>
          <w:sz w:val="22"/>
          <w:szCs w:val="22"/>
        </w:rPr>
      </w:pPr>
    </w:p>
    <w:p w14:paraId="3B2C128E" w14:textId="77777777" w:rsidR="00373AAC" w:rsidRPr="0014011D" w:rsidRDefault="00373AAC" w:rsidP="00B62DE8">
      <w:pPr>
        <w:pStyle w:val="Apzvalgai1"/>
        <w:rPr>
          <w:rFonts w:asciiTheme="minorHAnsi" w:hAnsiTheme="minorHAnsi" w:cstheme="minorHAnsi"/>
        </w:rPr>
      </w:pPr>
      <w:bookmarkStart w:id="40" w:name="_Toc70514803"/>
      <w:r w:rsidRPr="0014011D">
        <w:rPr>
          <w:rFonts w:asciiTheme="minorHAnsi" w:hAnsiTheme="minorHAnsi" w:cstheme="minorHAnsi"/>
        </w:rPr>
        <w:t>25.  Mokslas ir švietimas</w:t>
      </w:r>
      <w:bookmarkEnd w:id="40"/>
    </w:p>
    <w:p w14:paraId="24D0A6A2" w14:textId="77777777" w:rsidR="00373AAC" w:rsidRPr="0014011D" w:rsidRDefault="00373AAC" w:rsidP="00373AAC">
      <w:pPr>
        <w:ind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25.8. Kiti su mokslu ir švietimu susiję klausimai</w:t>
      </w:r>
    </w:p>
    <w:p w14:paraId="73954E8B" w14:textId="77777777" w:rsidR="00373AAC" w:rsidRPr="0014011D" w:rsidRDefault="00373AAC" w:rsidP="00373AAC">
      <w:pPr>
        <w:ind w:firstLine="567"/>
        <w:jc w:val="both"/>
        <w:rPr>
          <w:rFonts w:asciiTheme="minorHAnsi" w:hAnsiTheme="minorHAnsi" w:cstheme="minorHAnsi"/>
          <w:sz w:val="22"/>
          <w:szCs w:val="22"/>
        </w:rPr>
      </w:pPr>
    </w:p>
    <w:p w14:paraId="41C8A29F" w14:textId="0490FCA7" w:rsidR="00127D86" w:rsidRPr="00127D86" w:rsidRDefault="00127D86" w:rsidP="00127D86">
      <w:pPr>
        <w:pStyle w:val="Antrat2"/>
      </w:pPr>
      <w:bookmarkStart w:id="41" w:name="_Toc70514804"/>
      <w:r w:rsidRPr="00127D86">
        <w:rPr>
          <w:rFonts w:asciiTheme="minorHAnsi" w:hAnsiTheme="minorHAnsi" w:cstheme="minorBidi"/>
        </w:rPr>
        <w:t>Dėl įstatymo taikymo akademinės etikos pažeidimams, kurie įvykdyti prieš šio įstatymo įsigaliojimą</w:t>
      </w:r>
      <w:bookmarkEnd w:id="41"/>
    </w:p>
    <w:p w14:paraId="27F0AFD4" w14:textId="77777777" w:rsidR="00373AAC" w:rsidRPr="0014011D" w:rsidRDefault="00373AAC" w:rsidP="00373AAC">
      <w:pPr>
        <w:ind w:firstLine="567"/>
        <w:jc w:val="both"/>
        <w:rPr>
          <w:rFonts w:asciiTheme="minorHAnsi" w:hAnsiTheme="minorHAnsi" w:cstheme="minorHAnsi"/>
          <w:sz w:val="22"/>
          <w:szCs w:val="22"/>
        </w:rPr>
      </w:pPr>
    </w:p>
    <w:p w14:paraId="579625F1" w14:textId="6F55AA82"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Apžvelgiamoje byloje kilo ginčas dėl Lietuvos Respublikos akademinės etikos ir procedūrų kontrolieriaus (toliau – Kontrolierius) 2017 m. spalio 17 d. sprendimo (toliau – Sprendimas) teisėtumo. Ginčytu sprendimu Kontrolierius nusprendė: informuoti pareiškėją (A. A.), P. B., KTU steigėją, VGTU, VU, KTU, Švietimo ir mokslo ministeriją apie nustatytus P. B. akademinės etikos pažeidimus; įpareigoti VGTU atšaukti sprendimą dėl aukštojo mokslo kvalifikacijos P. B. suteikimo; informuoti Kultūros ministeriją, Švietimo ir mokslo ministeriją, Teisingumo ministeriją ir Lietuvos mokslo tarybą apie nukentėjusius asmenis dėl P. B. akademinės etikos pažeidimų; informuoti Generalinę prokuratūrą apie nustatytą P. B. veiką, turinčią nusikalstamos veikos požymių.</w:t>
      </w:r>
    </w:p>
    <w:p w14:paraId="363A64CB" w14:textId="6562360E"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Byloje nustatyta, kad pareiškėjui 2002 m. spalio 11 d. VGTU mokslo monografijos (toliau – </w:t>
      </w:r>
      <w:r w:rsidR="51980FFC" w:rsidRPr="50018204">
        <w:rPr>
          <w:rFonts w:asciiTheme="minorHAnsi" w:hAnsiTheme="minorHAnsi" w:cstheme="minorBidi"/>
          <w:sz w:val="22"/>
          <w:szCs w:val="22"/>
        </w:rPr>
        <w:t>M</w:t>
      </w:r>
      <w:r w:rsidRPr="50018204">
        <w:rPr>
          <w:rFonts w:asciiTheme="minorHAnsi" w:hAnsiTheme="minorHAnsi" w:cstheme="minorBidi"/>
          <w:sz w:val="22"/>
          <w:szCs w:val="22"/>
        </w:rPr>
        <w:t>onografija) pagrindu suteiktas habilituoto mokslų daktaro laipsnis. Kontrolierius 2017 m. spalio 17 d. sprendimu nustatė, kad pareiškėjo vardu publikuotoje Monografijoje dalis teksto sutampa su kitais šaltiniais, į kuriuos nėra pateiktos nuorodos.</w:t>
      </w:r>
    </w:p>
    <w:p w14:paraId="79399C34" w14:textId="77777777" w:rsidR="00373AAC" w:rsidRPr="0014011D" w:rsidRDefault="00373AAC" w:rsidP="00373AAC">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Vadovaujantis ginčui aktualiu teisiniu reguliavimu, nustatyta, kad pareiškėjo habilitacijos procedūros metu plagijavimas mokslo kūriniuose buvo visuotinai laikomas kaip neteisėtas ir nebuvo pagrindo jį laikyti suderinamu su akademine etika. Plagijavimą draudžiantis akademinio sąžiningumo principas yra vienas esminių akademinės etikos principų ir </w:t>
      </w:r>
      <w:r w:rsidRPr="0014011D">
        <w:rPr>
          <w:rFonts w:asciiTheme="minorHAnsi" w:hAnsiTheme="minorHAnsi" w:cstheme="minorHAnsi"/>
          <w:sz w:val="22"/>
          <w:szCs w:val="22"/>
          <w:u w:val="single"/>
        </w:rPr>
        <w:t>Mokslo ir studijų įstatymo 17 straipsnio 11 dalis (nukreipianti į akademinės etikos šaltinį – akademinės etikos kodeksus) negali būti suprantama siaurinamai, kaip užkertanti galimybę Kontrolieriui konstatuoti, kad moksliniame leidinyje aptikus plagiato požymių akademinė etika buvo pažeista</w:t>
      </w:r>
      <w:r w:rsidRPr="0014011D">
        <w:rPr>
          <w:rFonts w:asciiTheme="minorHAnsi" w:hAnsiTheme="minorHAnsi" w:cstheme="minorHAnsi"/>
          <w:sz w:val="22"/>
          <w:szCs w:val="22"/>
        </w:rPr>
        <w:t>.</w:t>
      </w:r>
    </w:p>
    <w:p w14:paraId="322A7CA4" w14:textId="3DCD1BB7"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Įvertinusi byloje surinktus įrodymus, teisėjų kolegija konstatavo, kad nėra pagrindo abejoti Kontrolieriaus išvada, kad Monografijoje yra plagiato požymių: nors kai kuriose vietose kartu su nuplagijuotu tekstu pateiktos nuorodos į kitus šaltinius sudaro įspūdį, kad kitas šaltinis buvo apžvelgtas ir perfrazuotas, tačiau iš tikrųjų Monografijoje didelės apimties kitų šaltinių tekstas buvo perkeltas mechaniškai, iš esmės pažodžiui, taip klaidinant ir nuslepiant tikrąjį citatos autorių; aptartos Monografijos bei Monografijos santraukos sutaptys su kitais šaltiniais yra didelės apimties, iš esmės pažodinės, sudaro apie 12 proc. Monografijos turinio, dėl ko tokios apimties sutaptys pagrįstai nelaikytos atsitiktiniu apsirikimu ar technine citavimo klaida. Kontrolierius, vykdydamas tyrimą, neviršijo savo įgaliojimų, o 2017 m. spalio 17 d. sprendimo išvada, kad Monografijoje yra plagiato požymių ir P. B. pažeidė akademinę etiką, pagrįsta objektyviais duomenimis ir teisės aktų normomis.</w:t>
      </w:r>
    </w:p>
    <w:p w14:paraId="22FC5BE6" w14:textId="77777777" w:rsidR="00373AAC" w:rsidRPr="0014011D" w:rsidRDefault="00373AAC" w:rsidP="00373AAC">
      <w:pPr>
        <w:ind w:firstLine="567"/>
        <w:jc w:val="both"/>
        <w:rPr>
          <w:rFonts w:asciiTheme="minorHAnsi" w:hAnsiTheme="minorHAnsi" w:cstheme="minorHAnsi"/>
          <w:sz w:val="22"/>
          <w:szCs w:val="22"/>
        </w:rPr>
      </w:pPr>
      <w:r w:rsidRPr="0014011D">
        <w:rPr>
          <w:rFonts w:asciiTheme="minorHAnsi" w:hAnsiTheme="minorHAnsi" w:cstheme="minorHAnsi"/>
          <w:sz w:val="22"/>
          <w:szCs w:val="22"/>
        </w:rPr>
        <w:lastRenderedPageBreak/>
        <w:t>Nagrinėjamoje byloje ginčytu Kontrolieriaus 2017 m. spalio 17 d. sprendimu, be kita ko, nuspręsta įpareigoti VGTU atšaukti sprendimą dėl aukštojo mokslo kvalifikacijos P. B. suteikimo. Šis sprendimas buvo priimtas vadovaujantis Mokslo ir studijų įstatymo (2016 m. birželio 29 d. įstatymo Nr. XII-2534 redakcija) 17 straipsnio 11 dalies 2 punktu, pagal kurį išnagrinėjęs skundą (pranešimą) arba atlikęs tyrimą, kontrolierius priima sprendimą: įpareigoti aukštojo mokslo kvalifikaciją suteikusią ir (arba) konkursą pareigoms eiti vykdžiusią instituciją atšaukti sprendimą dėl aukštojo mokslo kvalifikacijos suteikimo ir (arba) konkurso laimėtojo. Ši Mokslo ir studijų įstatymo nuostata įsigaliojo 2009 m. gegužės 12 d., priėmus ir paskelbus 2009 m. balandžio 30 d. Lietuvos Respublikos mokslo ir studijų įstatymą Nr. XI-242 (šios įstatymo redakcijos 18 str.). Iki šio įstatymo priėmimo galiojusiame 1991 m. vasario 12 d. Lietuvos Respublikos mokslo ir studijų įstatyme Nr. I-1052 nebuvo akademinės etikos ir procedūrų kontrolieriaus instituto su aptarta poveikio priemone, kuri savo esme yra teisinę atsakomybę nustatanti priemonė.</w:t>
      </w:r>
    </w:p>
    <w:p w14:paraId="465E427F" w14:textId="00FCE1EB"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Teisinę atsakomybę nustatančio įstatymo taikymas praeityje susiklosčiusiems santykiams nėra galimas, todėl </w:t>
      </w:r>
      <w:r w:rsidRPr="50018204">
        <w:rPr>
          <w:rFonts w:asciiTheme="minorHAnsi" w:hAnsiTheme="minorHAnsi" w:cstheme="minorBidi"/>
          <w:sz w:val="22"/>
          <w:szCs w:val="22"/>
          <w:u w:val="single"/>
        </w:rPr>
        <w:t>Mokslo ir studijų įstatymo (2016 m. birželio 29 d. įstatymo Nr. XII-2534 redakcija) 17 straipsnio 11 dalies 2 punkte įtvirtintos nuostatos gali būti taikomos tik dėl akademinės etikos ir procedūrų pažeidimų, kurie buvo įvykdyti po 2009 m. gegužės 12 d. (t. y. po 2009 m. balandžio 30 d. Mokslo ir studijų įstatymo Nr. XI-242 įsigaliojimo).</w:t>
      </w:r>
      <w:r w:rsidRPr="50018204">
        <w:rPr>
          <w:rFonts w:asciiTheme="minorHAnsi" w:hAnsiTheme="minorHAnsi" w:cstheme="minorBidi"/>
          <w:sz w:val="22"/>
          <w:szCs w:val="22"/>
        </w:rPr>
        <w:t xml:space="preserve"> Kadangi pareiškėjas pateikė savo Monografiją habilitacijos procedūrai 2002 m. rugpjūčio 10 d. ir habilitacijos procedūra buvo baigta 2002 m. spalio 11 d. VGTU Monografijos pagrindu jam suteikus habilitaciją, t. y. iki 2009 m. gegužės 12 d., Kontrolieriaus 2017 m. spalio 17 d. sprendimo dalis, kuria, vadovaujantis Mokslo ir studijų įstatymo (2016 m. birželio 29 d. įstatymo Nr. XII-2534 redakcija) 17 straipsnio 11 dalies 2 punkto nuostatomis, VGTU įpareigotas atšaukti sprendimą dėl pareiškėjui suteikto kvalifikacinio laipsnio, negali būti laikoma teisėta dėl</w:t>
      </w:r>
      <w:r w:rsidR="647B241D" w:rsidRPr="50018204">
        <w:rPr>
          <w:rFonts w:asciiTheme="minorHAnsi" w:hAnsiTheme="minorHAnsi" w:cstheme="minorBidi"/>
          <w:sz w:val="22"/>
          <w:szCs w:val="22"/>
        </w:rPr>
        <w:t xml:space="preserve"> iš</w:t>
      </w:r>
      <w:r w:rsidRPr="50018204">
        <w:rPr>
          <w:rFonts w:asciiTheme="minorHAnsi" w:hAnsiTheme="minorHAnsi" w:cstheme="minorBidi"/>
          <w:sz w:val="22"/>
          <w:szCs w:val="22"/>
        </w:rPr>
        <w:t xml:space="preserve"> </w:t>
      </w:r>
      <w:r w:rsidRPr="50018204">
        <w:rPr>
          <w:rFonts w:asciiTheme="minorHAnsi" w:hAnsiTheme="minorHAnsi" w:cstheme="minorBidi"/>
          <w:i/>
          <w:iCs/>
          <w:sz w:val="22"/>
          <w:szCs w:val="22"/>
        </w:rPr>
        <w:t>lex retro non agit</w:t>
      </w:r>
      <w:r w:rsidRPr="50018204">
        <w:rPr>
          <w:rFonts w:asciiTheme="minorHAnsi" w:hAnsiTheme="minorHAnsi" w:cstheme="minorBidi"/>
          <w:sz w:val="22"/>
          <w:szCs w:val="22"/>
        </w:rPr>
        <w:t xml:space="preserve"> principo kylančio draudimo įstatymą taikyti praeityje susiklosčiusiems santykiams, ir naikintina kaip savo turiniu prieštaraujanti aukštesnės galios teisės aktams.</w:t>
      </w:r>
    </w:p>
    <w:p w14:paraId="2929E7F7" w14:textId="205007FF" w:rsidR="00373AAC" w:rsidRPr="0014011D" w:rsidRDefault="00373AAC"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Teisėjų kolegija taip pat pažymėjo, kad tai nesuponuoja draudimo aukštajai mokyklai imtis veiksmų reaguojant į akademinės etikos pažeidimą, kuris buvo padarytas iki 2009 m. gegužės 12 d.: Lietuvos Aukščiausiasis Teismas, vadovaudamasis Konstitucinio Teismo jurisprudencija, yra konstatavęs, kad universiteto teisė atšaukti suteiktą mokslinį laipsnį kyla iš konstitucinio universiteto autonomiškumo ir akademinės laisvės principo, kurie suponuoja atitinkamas universiteto pareigas užtikrinti suteiktų mokslinių laipsnių pagrįstumą. Dėl šios priežasties nėra pagrindo spręsti, kad universitetas šią teisę įgyja tik įsigaliojus tai numatančiam poįstatyminiam teisės aktui, kurioje ji buvo tiesiogiai įvardyta. Šios teisės </w:t>
      </w:r>
      <w:r w:rsidRPr="50018204">
        <w:rPr>
          <w:rFonts w:asciiTheme="minorHAnsi" w:hAnsiTheme="minorHAnsi" w:cstheme="minorBidi"/>
          <w:i/>
          <w:iCs/>
          <w:sz w:val="22"/>
          <w:szCs w:val="22"/>
        </w:rPr>
        <w:t>expressis verbis</w:t>
      </w:r>
      <w:r w:rsidRPr="50018204">
        <w:rPr>
          <w:rFonts w:asciiTheme="minorHAnsi" w:hAnsiTheme="minorHAnsi" w:cstheme="minorBidi"/>
          <w:sz w:val="22"/>
          <w:szCs w:val="22"/>
        </w:rPr>
        <w:t xml:space="preserve"> paminėjimas įstatymo įgyvendinamajame akte ir (ar) (ne)paminėjimas ieškovo nurodomame Mokslo ir studijų įstatyme negali lemti šios teisės egzistavimo ar neegzistavimo, nes ji kyla iš Konstitucijos nuostatų. Kitaip tariant, tai, kad Mokslo ir studijų įstatyme </w:t>
      </w:r>
      <w:r w:rsidRPr="50018204">
        <w:rPr>
          <w:rFonts w:asciiTheme="minorHAnsi" w:hAnsiTheme="minorHAnsi" w:cstheme="minorBidi"/>
          <w:i/>
          <w:iCs/>
          <w:sz w:val="22"/>
          <w:szCs w:val="22"/>
        </w:rPr>
        <w:t>expressis verbis</w:t>
      </w:r>
      <w:r w:rsidRPr="50018204">
        <w:rPr>
          <w:rFonts w:asciiTheme="minorHAnsi" w:hAnsiTheme="minorHAnsi" w:cstheme="minorBidi"/>
          <w:sz w:val="22"/>
          <w:szCs w:val="22"/>
        </w:rPr>
        <w:t xml:space="preserve"> nėra įtvirtinta aukštosios mokyklos teisė atšaukti suteiktą mokslo laipsnį, nereiškia, kad aukštoji mokykla šios teisės neturi (neturėjo). Priešingas aiškinimas suponuotų prielaidas situacijai, kai Konstitucijos nuostatų įgyvendinimas tampa priklausomas nuo įstatymų ar įstatymo įgyvendinamųjų aktų turinio, o tai būtų nesuderinama su Konstitucijos viršenybės principu (Lietuvos Aukščiausiojo Teismo Civilinių bylų skyriaus 2015 m. lapkričio 6 d. nutartis civilinėje byloje Nr. 3K-3-551-611/2015. Teismų praktika. 2015, 44, p. 18</w:t>
      </w:r>
      <w:r w:rsidR="0B3B5052" w:rsidRPr="50018204">
        <w:rPr>
          <w:rFonts w:asciiTheme="minorHAnsi" w:hAnsiTheme="minorHAnsi" w:cstheme="minorBidi"/>
          <w:sz w:val="22"/>
          <w:szCs w:val="22"/>
        </w:rPr>
        <w:t>–</w:t>
      </w:r>
      <w:r w:rsidRPr="50018204">
        <w:rPr>
          <w:rFonts w:asciiTheme="minorHAnsi" w:hAnsiTheme="minorHAnsi" w:cstheme="minorBidi"/>
          <w:sz w:val="22"/>
          <w:szCs w:val="22"/>
        </w:rPr>
        <w:t xml:space="preserve">35). Šiuo aspektu Konstitucinis Teismas taip pat yra pažymėjęs, kad pagal Konstituciją,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jos 40 straipsnio 3 dalį, 42 straipsnio 1 dalį, konstitucinį teisinės valstybės principą, netoleruotina, kad aukštojo išsilavinimo ir mokslo kvalifikaciją žymintys kvalifikaciniai laipsniai būtų suteikiami (ar į pareigas mokslo ir studijų institucijose asmenys būtų skiriami) nepaisant akademinės etikos ir procedūrų standartų,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akademinio sąžiningumo principo; kvalifikacinių laipsnių suteikimas asmenims, šiurkščiai pažeidusiems akademinę etiką, </w:t>
      </w:r>
      <w:r w:rsidRPr="50018204">
        <w:rPr>
          <w:rFonts w:asciiTheme="minorHAnsi" w:hAnsiTheme="minorHAnsi" w:cstheme="minorBidi"/>
          <w:i/>
          <w:iCs/>
          <w:sz w:val="22"/>
          <w:szCs w:val="22"/>
        </w:rPr>
        <w:t>inter alia</w:t>
      </w:r>
      <w:r w:rsidRPr="50018204">
        <w:rPr>
          <w:rFonts w:asciiTheme="minorHAnsi" w:hAnsiTheme="minorHAnsi" w:cstheme="minorBidi"/>
          <w:sz w:val="22"/>
          <w:szCs w:val="22"/>
        </w:rPr>
        <w:t xml:space="preserve"> akademinio sąžiningumo principą (be kita ko, plagijavimo draudimą) (ar tokių asmenų paskyrimas į pareigas mokslo ir studijų institucijose), diskredituotų mokslą ir studijas ir būtų nesuderinamas su bendraisiais teisės principais </w:t>
      </w:r>
      <w:r w:rsidRPr="50018204">
        <w:rPr>
          <w:rFonts w:asciiTheme="minorHAnsi" w:hAnsiTheme="minorHAnsi" w:cstheme="minorBidi"/>
          <w:i/>
          <w:iCs/>
          <w:sz w:val="22"/>
          <w:szCs w:val="22"/>
        </w:rPr>
        <w:t>ex injuria jus non oritur</w:t>
      </w:r>
      <w:r w:rsidRPr="50018204">
        <w:rPr>
          <w:rFonts w:asciiTheme="minorHAnsi" w:hAnsiTheme="minorHAnsi" w:cstheme="minorBidi"/>
          <w:sz w:val="22"/>
          <w:szCs w:val="22"/>
        </w:rPr>
        <w:t xml:space="preserve"> (iš neteisės teisė neatsiranda) ir </w:t>
      </w:r>
      <w:r w:rsidRPr="50018204">
        <w:rPr>
          <w:rFonts w:asciiTheme="minorHAnsi" w:hAnsiTheme="minorHAnsi" w:cstheme="minorBidi"/>
          <w:i/>
          <w:iCs/>
          <w:sz w:val="22"/>
          <w:szCs w:val="22"/>
        </w:rPr>
        <w:t>nullus commodum capere de sua injuria propria</w:t>
      </w:r>
      <w:r w:rsidRPr="50018204">
        <w:rPr>
          <w:rFonts w:asciiTheme="minorHAnsi" w:hAnsiTheme="minorHAnsi" w:cstheme="minorBidi"/>
          <w:sz w:val="22"/>
          <w:szCs w:val="22"/>
        </w:rPr>
        <w:t xml:space="preserve"> (niekas negali turėti naudos iš teisės pažeidimo) (Konstitucinio Teismo 2020 m. gruodžio 3 d. nutarimas).</w:t>
      </w:r>
    </w:p>
    <w:p w14:paraId="47B4C2CD" w14:textId="446E8778" w:rsidR="00373AAC" w:rsidRPr="0014011D" w:rsidRDefault="00373AAC" w:rsidP="00373AAC">
      <w:pPr>
        <w:ind w:firstLine="567"/>
        <w:jc w:val="both"/>
        <w:rPr>
          <w:rFonts w:asciiTheme="minorHAnsi" w:hAnsiTheme="minorHAnsi" w:cstheme="minorHAnsi"/>
          <w:sz w:val="22"/>
          <w:szCs w:val="22"/>
        </w:rPr>
      </w:pPr>
      <w:r w:rsidRPr="0014011D">
        <w:rPr>
          <w:rFonts w:asciiTheme="minorHAnsi" w:hAnsiTheme="minorHAnsi" w:cstheme="minorHAnsi"/>
          <w:sz w:val="22"/>
          <w:szCs w:val="22"/>
        </w:rPr>
        <w:t>Atsižvelgus į tai, kas išdėstyta, pirmosios instancijos teismo sprendimas, kuriuo teismas pareiškėjo skundą atmetė, pakeistas ir pareiškėjo skundas patenkintas iš dalies – Kontrolieriaus 2017 m. spalio 17 d. sprendimo dalis, kuria nuspręsta įpareigoti Vilniaus Gedimino technikos universitetą atšaukti sprendimą dėl aukštojo mokslo kvalifikacijos P. B. suteikimo, panaikinta; likusi pirmosios instancijos teismo sprendimo dalis palikta nepakeista.</w:t>
      </w:r>
    </w:p>
    <w:p w14:paraId="7CA204AA" w14:textId="77777777" w:rsidR="00373AAC" w:rsidRPr="0014011D" w:rsidRDefault="00373AAC" w:rsidP="00373AAC">
      <w:pPr>
        <w:jc w:val="both"/>
        <w:rPr>
          <w:rFonts w:asciiTheme="minorHAnsi" w:hAnsiTheme="minorHAnsi" w:cstheme="minorHAnsi"/>
          <w:sz w:val="22"/>
          <w:szCs w:val="22"/>
        </w:rPr>
      </w:pPr>
    </w:p>
    <w:p w14:paraId="6E99F7EC"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t>2021 m. vasario 24 d. nutartis administracinėje byloje Nr. eA-756-624/2021</w:t>
      </w:r>
    </w:p>
    <w:p w14:paraId="23C916D7"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t>Teisminio proceso Nr. 3-61-3-038600-2017-0</w:t>
      </w:r>
    </w:p>
    <w:p w14:paraId="747E048D" w14:textId="77777777" w:rsidR="00373AAC" w:rsidRPr="0014011D" w:rsidRDefault="00373AAC" w:rsidP="00373AAC">
      <w:pPr>
        <w:jc w:val="both"/>
        <w:rPr>
          <w:rFonts w:asciiTheme="minorHAnsi" w:hAnsiTheme="minorHAnsi" w:cstheme="minorHAnsi"/>
          <w:sz w:val="22"/>
          <w:szCs w:val="22"/>
        </w:rPr>
      </w:pPr>
      <w:r w:rsidRPr="0014011D">
        <w:rPr>
          <w:rFonts w:asciiTheme="minorHAnsi" w:hAnsiTheme="minorHAnsi" w:cstheme="minorHAnsi"/>
          <w:sz w:val="22"/>
          <w:szCs w:val="22"/>
        </w:rPr>
        <w:lastRenderedPageBreak/>
        <w:t>Procesinio sprendimo kategorija 25.8</w:t>
      </w:r>
    </w:p>
    <w:p w14:paraId="21819C3F" w14:textId="77777777" w:rsidR="00373AAC" w:rsidRPr="0014011D" w:rsidRDefault="00936F04" w:rsidP="00373AAC">
      <w:pPr>
        <w:jc w:val="both"/>
        <w:rPr>
          <w:rFonts w:asciiTheme="minorHAnsi" w:hAnsiTheme="minorHAnsi" w:cstheme="minorHAnsi"/>
          <w:color w:val="0000FF"/>
          <w:sz w:val="22"/>
          <w:szCs w:val="22"/>
          <w:u w:val="single"/>
        </w:rPr>
      </w:pPr>
      <w:hyperlink r:id="rId22">
        <w:r w:rsidR="00373AAC" w:rsidRPr="0014011D">
          <w:rPr>
            <w:rFonts w:asciiTheme="minorHAnsi" w:hAnsiTheme="minorHAnsi" w:cstheme="minorHAnsi"/>
            <w:color w:val="0000FF"/>
            <w:sz w:val="22"/>
            <w:szCs w:val="22"/>
            <w:u w:val="single"/>
          </w:rPr>
          <w:t>Prieiga internete</w:t>
        </w:r>
      </w:hyperlink>
    </w:p>
    <w:p w14:paraId="76DDCF7A" w14:textId="77777777" w:rsidR="00DA2D48" w:rsidRPr="0014011D" w:rsidRDefault="00DA2D48" w:rsidP="00564D15">
      <w:pPr>
        <w:jc w:val="both"/>
        <w:rPr>
          <w:rFonts w:asciiTheme="minorHAnsi" w:eastAsiaTheme="minorHAnsi" w:hAnsiTheme="minorHAnsi" w:cstheme="minorHAnsi"/>
          <w:sz w:val="22"/>
          <w:szCs w:val="22"/>
        </w:rPr>
      </w:pPr>
    </w:p>
    <w:p w14:paraId="1DF1BA3A" w14:textId="2020FE55" w:rsidR="00C42041" w:rsidRPr="0014011D" w:rsidRDefault="00C42041" w:rsidP="00B62DE8">
      <w:pPr>
        <w:pStyle w:val="Apzvalgai1"/>
        <w:rPr>
          <w:rFonts w:asciiTheme="minorHAnsi" w:eastAsia="Calibri" w:hAnsiTheme="minorHAnsi" w:cstheme="minorHAnsi"/>
          <w:lang w:eastAsia="en-US"/>
        </w:rPr>
      </w:pPr>
      <w:bookmarkStart w:id="42" w:name="_Toc462149998"/>
      <w:bookmarkStart w:id="43" w:name="_Toc70514805"/>
      <w:r w:rsidRPr="0014011D">
        <w:rPr>
          <w:rFonts w:asciiTheme="minorHAnsi" w:eastAsia="Calibri" w:hAnsiTheme="minorHAnsi" w:cstheme="minorHAnsi"/>
          <w:lang w:eastAsia="en-US"/>
        </w:rPr>
        <w:t>34. Tabako ir alkoholio kontrolė</w:t>
      </w:r>
      <w:bookmarkEnd w:id="42"/>
      <w:bookmarkEnd w:id="43"/>
    </w:p>
    <w:p w14:paraId="5D820A1A" w14:textId="77777777" w:rsidR="00C42041" w:rsidRPr="0014011D" w:rsidRDefault="00C42041" w:rsidP="00C42041">
      <w:pPr>
        <w:ind w:left="567"/>
        <w:rPr>
          <w:rFonts w:asciiTheme="minorHAnsi" w:eastAsia="Calibri" w:hAnsiTheme="minorHAnsi" w:cstheme="minorHAnsi"/>
          <w:b/>
          <w:sz w:val="22"/>
          <w:szCs w:val="22"/>
          <w:u w:val="single"/>
          <w:lang w:eastAsia="en-US"/>
        </w:rPr>
      </w:pPr>
      <w:r w:rsidRPr="0014011D">
        <w:rPr>
          <w:rFonts w:asciiTheme="minorHAnsi" w:eastAsia="Calibri" w:hAnsiTheme="minorHAnsi" w:cstheme="minorHAnsi"/>
          <w:b/>
          <w:sz w:val="22"/>
          <w:szCs w:val="22"/>
          <w:u w:val="single"/>
          <w:lang w:eastAsia="en-US"/>
        </w:rPr>
        <w:t>34.2. Alkoholio kontrolė</w:t>
      </w:r>
    </w:p>
    <w:p w14:paraId="60CA68C7" w14:textId="77777777" w:rsidR="00C42041" w:rsidRPr="0014011D" w:rsidRDefault="00C42041" w:rsidP="00C42041">
      <w:pPr>
        <w:ind w:left="851" w:hanging="284"/>
        <w:rPr>
          <w:rFonts w:asciiTheme="minorHAnsi" w:eastAsia="Calibri" w:hAnsiTheme="minorHAnsi" w:cstheme="minorHAnsi"/>
          <w:b/>
          <w:sz w:val="22"/>
          <w:szCs w:val="22"/>
          <w:u w:val="single"/>
          <w:lang w:eastAsia="en-US"/>
        </w:rPr>
      </w:pPr>
    </w:p>
    <w:p w14:paraId="3F483C1B" w14:textId="77777777" w:rsidR="00127D86" w:rsidRPr="00127D86" w:rsidRDefault="00127D86" w:rsidP="00127D86">
      <w:pPr>
        <w:pStyle w:val="Antrat2"/>
        <w:rPr>
          <w:rFonts w:asciiTheme="minorHAnsi" w:hAnsiTheme="minorHAnsi" w:cstheme="minorHAnsi"/>
        </w:rPr>
      </w:pPr>
      <w:bookmarkStart w:id="44" w:name="_Toc70514806"/>
      <w:r w:rsidRPr="00127D86">
        <w:rPr>
          <w:rFonts w:asciiTheme="minorHAnsi" w:hAnsiTheme="minorHAnsi" w:cstheme="minorHAnsi"/>
        </w:rPr>
        <w:t>Dėl stendo su alkoholinio gėrimo prekės ženklu, prie kurio galima nusifotografuoti ir pasiimti nuotrauką, vertinimo kaip Alkoholio kontrolės įstatymo draudžiamos akcijos</w:t>
      </w:r>
      <w:bookmarkEnd w:id="44"/>
    </w:p>
    <w:p w14:paraId="54863141" w14:textId="77777777" w:rsidR="00C42041" w:rsidRPr="0014011D" w:rsidRDefault="00C42041" w:rsidP="00127D86">
      <w:pPr>
        <w:rPr>
          <w:rFonts w:asciiTheme="minorHAnsi" w:eastAsia="Calibri" w:hAnsiTheme="minorHAnsi" w:cstheme="minorHAnsi"/>
          <w:b/>
          <w:sz w:val="22"/>
          <w:szCs w:val="22"/>
          <w:u w:val="single"/>
          <w:lang w:eastAsia="en-US"/>
        </w:rPr>
      </w:pPr>
    </w:p>
    <w:p w14:paraId="3B1C7E4E"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Nagrinėtu atveju ginčas kilo dėl Narkotikų, tabako ir alkoholio kontrolės departamento (toliau – Departamentas) nutarimo, kuriuo bendrovei buvo skirta 3 500 Eur bauda už Alkoholio kontrolės įstatymo (toliau – AKĮ) 28 straipsnio 1 dalies 4 punkto, 29 straipsnio 1 dalies pažeidimus, teisėtumo ir pagrįstumo. Bauda skirta dėl to, kad bendrovė nutarime išvardintais veiksmais organizavo akciją, kuri skatina įsigyti ir (ar) vartoti alkoholinius gėrimus, bei pateikė alkoholio reklamą, tuo pažeisdama AKĮ reikalavimus.</w:t>
      </w:r>
    </w:p>
    <w:p w14:paraId="4F263B32"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Pirmosios instancijos teismas, įvertinęs byloje nustatytas faktines aplinkybes ir joms taikytiną teisinį reguliavimą, pareiškėjo skundą atmetė. Pareiškėjas su pirmosios instancijos teismo sprendimu nesutiko. </w:t>
      </w:r>
    </w:p>
    <w:p w14:paraId="08B9C43C"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Teisėjų kolegija įvertino, jog pirmosios instancijos teismas priėjo prie pagrįstos išvados, kad </w:t>
      </w:r>
      <w:r w:rsidRPr="0014011D">
        <w:rPr>
          <w:rFonts w:asciiTheme="minorHAnsi" w:hAnsiTheme="minorHAnsi" w:cstheme="minorHAnsi"/>
          <w:color w:val="000000"/>
          <w:sz w:val="22"/>
          <w:szCs w:val="22"/>
          <w:u w:val="single"/>
        </w:rPr>
        <w:t xml:space="preserve">pareiškėjo atlikti veiksmai – pastatytas </w:t>
      </w:r>
      <w:bookmarkStart w:id="45" w:name="_Hlk67317164"/>
      <w:r w:rsidRPr="0014011D">
        <w:rPr>
          <w:rFonts w:asciiTheme="minorHAnsi" w:hAnsiTheme="minorHAnsi" w:cstheme="minorHAnsi"/>
          <w:color w:val="000000"/>
          <w:sz w:val="22"/>
          <w:szCs w:val="22"/>
          <w:u w:val="single"/>
        </w:rPr>
        <w:t>stendas su alkoholinio gėrimo prekės ženklu, prie kurio festivalio lankytojai galėjo nusifotografuoti ir pasiimti nuotrauką, laikytini akcija AKĮ 28 straipsnio 1 dalies 4 punkto prasme</w:t>
      </w:r>
      <w:bookmarkEnd w:id="45"/>
      <w:r w:rsidRPr="0014011D">
        <w:rPr>
          <w:rFonts w:asciiTheme="minorHAnsi" w:hAnsiTheme="minorHAnsi" w:cstheme="minorHAnsi"/>
          <w:color w:val="000000"/>
          <w:sz w:val="22"/>
          <w:szCs w:val="22"/>
          <w:u w:val="single"/>
        </w:rPr>
        <w:t>, kuria buvo siekiama daryti poveikį vartotojų pasirinkimui įsigyti ir (ar) vartoti alkoholinius gėrimus, ir tokie veiksmai yra draudžiami pagal AKĮ 28 straipsnio 1 dalies 4 dalį</w:t>
      </w:r>
      <w:r w:rsidRPr="0014011D">
        <w:rPr>
          <w:rFonts w:asciiTheme="minorHAnsi" w:hAnsiTheme="minorHAnsi" w:cstheme="minorHAnsi"/>
          <w:color w:val="000000"/>
          <w:sz w:val="22"/>
          <w:szCs w:val="22"/>
        </w:rPr>
        <w:t xml:space="preserve">. Pareiškėjas tokiais kryptingais marketingo veiksmais siekė atkreipti vartotojų dėmesį į alkoholinio gėrimo prekės ženklą. Vidutinis vartotojas, atkreipęs dėmesį į organizuojamą akciją, į galimybę pasidaryti nuotrauką su konkretaus alkoholinio gėrimo prekės ženklu, sudalyvavęs tokio pobūdžio pramoginėje veikloje, šį alkoholinio gėrimo prekės ženklą ir tokiu alkoholinio gėrimo prekės ženklu pažymėtą alkoholinių gėrimų produkciją gali sieti su pozityviais jausmais, pramoga. Tikrintu atveju AKĮ 28 straipsnio 1 dalies 4 punkto pažeidimas konstatuotas įvertinus visų akcijos veiksmų visumą, t. y. pastatytą stendą, foto būdelę, suteiktą galimybę pasidaryti nuotrauką prie stendo ir pasiimti šią nuotrauką su savimi. Todėl pareiškėjo nurodyta aplinkybė, kad alkoholinio gėrimo prekės ženklas buvo pateikiamas mažmeninės prekybos ar viešojo maitinimo vietoje, kurioje alkoholiniai gėrimai parduodami vartotojui, taip pat, kad alkoholinio gėrimo prekės ženklas buvo pavaizduotas ir ant kitų daiktų, nepaneigia padaryto pažeidimo. Vaizduojamas alkoholinio gėrimo prekės ženklas ant stendo buvo tik vienas iš akcijos elementų, tačiau šiuo atveju svarbus pats akcijos pramoginis pobūdis, vartotojams sukeliamos teigiamos emocijos, o alkoholinio gėrimo prekės ženklo vaizdavimas siejamas su konkretaus alkoholinio gėrimo skatinimu įsigyti jį ar vartoti. </w:t>
      </w:r>
    </w:p>
    <w:p w14:paraId="59A9E7D2"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Įvertinta, jog pirmosios instancijos teismas padarė pagrįstą išvadą, kad bendrovė, dalindama (platindama) stendo nuotraukas, kuriose pateiktas alkoholinio gėrimo prekės ženklas, su rėmeliais festivalio lankytojams, skleidė alkoholio reklamą, draudžiamą AKĮ 29 straipsnio 1 dalimi. Bendrovė iš esmės užsakė ir organizavo reklaminę kampaniją, siekdama didinti alkoholinio gėrimo ir jo prekės ženklo žinomumą, tokiais veiksmais skatindama įsigyti ir vartoti šį alkoholinį gėrimą, ir tokie bendrovės veiksmai yra tiesiogiai susiję su bendrovės komercine ir finansine veikla. </w:t>
      </w:r>
    </w:p>
    <w:p w14:paraId="662F3BB4"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Teisėjų kolegijos vertinimu, ginčijamame nutarime taip pat pagrįstai konstatuota, kad bendrovė interneto svetainėje pateikdama nuorodą į interneto svetainę, kurioje pateikta AKĮ 29 straipsnio 2 dalyje nenumatyta informacija, tuo pačiu pateikė alkoholio reklamą, tuo pažeisdama AKĮ 29 straipsnio 1 dalį. Besišypsančių ir tarpusavyje bendraujančių asmenų atvaizdai kartu su alkoholiniais gėrimais vidutiniam vartotojui, matančiam tokią informaciją, sukelia pozityvius jausmus, kelia asociacijas, kad vartodamas alkoholį gali būti laimingas, turėti draugų, užmegzti santykius ir pan. Tokių teigiamų asociacijų sukėlimas vidutinį vartotoją skatins įsigyti ir vartoti alkoholinius gėrimus. </w:t>
      </w:r>
    </w:p>
    <w:p w14:paraId="3D124F1E" w14:textId="77777777" w:rsidR="00C42041" w:rsidRPr="0014011D" w:rsidRDefault="00C42041" w:rsidP="00C42041">
      <w:pPr>
        <w:ind w:firstLine="567"/>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 xml:space="preserve">Pirmosios instancijos teismo sprendimas paliktas nepakeistas, o pareiškėjo apeliacinis skundas atmestas. </w:t>
      </w:r>
    </w:p>
    <w:p w14:paraId="02720CDE" w14:textId="77777777" w:rsidR="00C42041" w:rsidRPr="0014011D" w:rsidRDefault="00C42041" w:rsidP="00C42041">
      <w:pPr>
        <w:ind w:firstLine="567"/>
        <w:jc w:val="both"/>
        <w:rPr>
          <w:rFonts w:asciiTheme="minorHAnsi" w:eastAsia="Calibri" w:hAnsiTheme="minorHAnsi" w:cstheme="minorHAnsi"/>
          <w:b/>
          <w:sz w:val="22"/>
          <w:szCs w:val="22"/>
          <w:u w:val="single"/>
          <w:lang w:eastAsia="en-US"/>
        </w:rPr>
      </w:pPr>
    </w:p>
    <w:p w14:paraId="6C644164" w14:textId="77777777" w:rsidR="00C42041" w:rsidRPr="0014011D" w:rsidRDefault="00C42041" w:rsidP="00C42041">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2021 m. vasario 10 d. nutartis administracinėje byloje Nr. eA-216-968/2021</w:t>
      </w:r>
    </w:p>
    <w:p w14:paraId="5D2D81A1" w14:textId="77777777" w:rsidR="00C42041" w:rsidRPr="0014011D" w:rsidRDefault="00C42041" w:rsidP="00C42041">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Teisminio proceso Nr. 3-61-3-00548-2020-4</w:t>
      </w:r>
    </w:p>
    <w:p w14:paraId="35D2E869" w14:textId="77777777" w:rsidR="00C42041" w:rsidRPr="0014011D" w:rsidRDefault="00C42041" w:rsidP="00C42041">
      <w:pPr>
        <w:jc w:val="both"/>
        <w:rPr>
          <w:rFonts w:asciiTheme="minorHAnsi" w:hAnsiTheme="minorHAnsi" w:cstheme="minorHAnsi"/>
          <w:color w:val="000000"/>
          <w:sz w:val="22"/>
          <w:szCs w:val="22"/>
        </w:rPr>
      </w:pPr>
      <w:r w:rsidRPr="0014011D">
        <w:rPr>
          <w:rFonts w:asciiTheme="minorHAnsi" w:hAnsiTheme="minorHAnsi" w:cstheme="minorHAnsi"/>
          <w:color w:val="000000"/>
          <w:sz w:val="22"/>
          <w:szCs w:val="22"/>
        </w:rPr>
        <w:t>Procesinio sprendimo kategorija 34.2</w:t>
      </w:r>
    </w:p>
    <w:p w14:paraId="772AE5B3" w14:textId="77777777" w:rsidR="00C42041" w:rsidRPr="0014011D" w:rsidRDefault="00936F04" w:rsidP="00C42041">
      <w:pPr>
        <w:jc w:val="both"/>
        <w:rPr>
          <w:rFonts w:asciiTheme="minorHAnsi" w:eastAsiaTheme="minorHAnsi" w:hAnsiTheme="minorHAnsi" w:cstheme="minorHAnsi"/>
          <w:color w:val="0000FF"/>
          <w:sz w:val="22"/>
          <w:szCs w:val="22"/>
          <w:u w:val="single"/>
          <w:lang w:eastAsia="en-US"/>
        </w:rPr>
      </w:pPr>
      <w:hyperlink r:id="rId23" w:history="1">
        <w:r w:rsidR="00C42041" w:rsidRPr="0014011D">
          <w:rPr>
            <w:rStyle w:val="Hipersaitas"/>
            <w:rFonts w:asciiTheme="minorHAnsi" w:eastAsiaTheme="minorHAnsi" w:hAnsiTheme="minorHAnsi" w:cstheme="minorHAnsi"/>
            <w:sz w:val="22"/>
            <w:szCs w:val="22"/>
            <w:lang w:eastAsia="en-US"/>
          </w:rPr>
          <w:t>Prieiga internete</w:t>
        </w:r>
      </w:hyperlink>
    </w:p>
    <w:p w14:paraId="3C43812B" w14:textId="1DF88419" w:rsidR="00564D15" w:rsidRPr="0014011D" w:rsidRDefault="00564D15" w:rsidP="00564D15">
      <w:pPr>
        <w:jc w:val="both"/>
        <w:rPr>
          <w:rFonts w:asciiTheme="minorHAnsi" w:eastAsiaTheme="minorHAnsi" w:hAnsiTheme="minorHAnsi" w:cstheme="minorHAnsi"/>
          <w:i/>
          <w:iCs/>
          <w:sz w:val="22"/>
          <w:szCs w:val="22"/>
        </w:rPr>
      </w:pPr>
    </w:p>
    <w:p w14:paraId="5FFCDDB6" w14:textId="77777777" w:rsidR="00342DC1" w:rsidRPr="0014011D" w:rsidRDefault="00342DC1" w:rsidP="00B62DE8">
      <w:pPr>
        <w:pStyle w:val="Apzvalgai1"/>
        <w:rPr>
          <w:rFonts w:asciiTheme="minorHAnsi" w:hAnsiTheme="minorHAnsi" w:cstheme="minorHAnsi"/>
        </w:rPr>
      </w:pPr>
      <w:bookmarkStart w:id="46" w:name="_Toc70514807"/>
      <w:r w:rsidRPr="0014011D">
        <w:rPr>
          <w:rFonts w:asciiTheme="minorHAnsi" w:hAnsiTheme="minorHAnsi" w:cstheme="minorHAnsi"/>
        </w:rPr>
        <w:t>36. Ginklų ir šaudmenų kontrolė</w:t>
      </w:r>
      <w:bookmarkEnd w:id="46"/>
    </w:p>
    <w:p w14:paraId="02D286B5" w14:textId="77777777" w:rsidR="00342DC1" w:rsidRPr="0014011D" w:rsidRDefault="00342DC1" w:rsidP="00342DC1">
      <w:pPr>
        <w:ind w:firstLine="567"/>
        <w:jc w:val="both"/>
        <w:rPr>
          <w:rFonts w:asciiTheme="minorHAnsi" w:hAnsiTheme="minorHAnsi" w:cstheme="minorHAnsi"/>
          <w:sz w:val="22"/>
          <w:szCs w:val="22"/>
        </w:rPr>
      </w:pPr>
    </w:p>
    <w:p w14:paraId="73E212A9" w14:textId="13B167EC" w:rsidR="00A01133" w:rsidRPr="00A01133" w:rsidRDefault="00A01133" w:rsidP="00A01133">
      <w:pPr>
        <w:pStyle w:val="Antrat2"/>
        <w:rPr>
          <w:rFonts w:asciiTheme="minorHAnsi" w:hAnsiTheme="minorHAnsi" w:cstheme="minorHAnsi"/>
        </w:rPr>
      </w:pPr>
      <w:bookmarkStart w:id="47" w:name="_Toc70514808"/>
      <w:r w:rsidRPr="00A01133">
        <w:rPr>
          <w:rFonts w:asciiTheme="minorHAnsi" w:hAnsiTheme="minorHAnsi" w:cstheme="minorHAnsi"/>
        </w:rPr>
        <w:t>Dėl nepriekaištingos reputacijos vertinimo asmeniui siekiant gauti leidimą įsigyti ir turėti ginklą, kai nepakeistas ginčui aktualus teisinis reguliavimas, Konstituciniam Teismui pripažinus jį prieštaraujančiu Konstitucijai</w:t>
      </w:r>
      <w:bookmarkEnd w:id="47"/>
    </w:p>
    <w:p w14:paraId="7F830CD4" w14:textId="77777777" w:rsidR="00342DC1" w:rsidRPr="0014011D" w:rsidRDefault="00342DC1" w:rsidP="00342DC1">
      <w:pPr>
        <w:ind w:firstLine="567"/>
        <w:jc w:val="both"/>
        <w:rPr>
          <w:rFonts w:asciiTheme="minorHAnsi" w:hAnsiTheme="minorHAnsi" w:cstheme="minorHAnsi"/>
          <w:sz w:val="22"/>
          <w:szCs w:val="22"/>
        </w:rPr>
      </w:pPr>
    </w:p>
    <w:p w14:paraId="619027E3" w14:textId="6DD0B4C9" w:rsidR="00342DC1" w:rsidRPr="0014011D" w:rsidRDefault="00342DC1"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Apžvelgiamoje byloje kilo ginčas dėl Panevėžio AVPK Viešosios tvarkos tarnybos Licencijavimo skyriaus sprendimo, kuriuo atsisakyta pareiškėjui išduoti leidimą įsigyti, laikyti (nešiotis) ginklus. Pareiškėjui D. S. neišduotas leidimas įsigyti ir laikyti (nešioti) ginklus atsižvelgiant į tai, kad patikrinimo metu nustatyta, jog pareiškėjas neatitinka Lietuvos Respublikos ginklų ir šaudmenų kontrolės įstatymo (Žin., 2010, Nr. 142-7261) (toliau – Įstatymas (2010 m. lapkričio 18 d. redakcija)) reikalavimų.</w:t>
      </w:r>
    </w:p>
    <w:p w14:paraId="72570781" w14:textId="0D7CC293" w:rsidR="00342DC1" w:rsidRPr="0014011D" w:rsidRDefault="00342DC1"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 xml:space="preserve">Lietuvos Respublikos Konstitucinis Teismas 2020 m. birželio 5 d. priėmė nutarimą Nr. KT103-N7/2020 </w:t>
      </w:r>
      <w:r w:rsidR="48AB7E51" w:rsidRPr="50018204">
        <w:rPr>
          <w:rFonts w:ascii="Calibri" w:eastAsia="Calibri" w:hAnsi="Calibri" w:cs="Calibri"/>
          <w:sz w:val="22"/>
          <w:szCs w:val="22"/>
          <w:lang w:val="lt"/>
        </w:rPr>
        <w:t>„</w:t>
      </w:r>
      <w:r w:rsidRPr="50018204">
        <w:rPr>
          <w:rFonts w:asciiTheme="minorHAnsi" w:hAnsiTheme="minorHAnsi" w:cstheme="minorBidi"/>
          <w:sz w:val="22"/>
          <w:szCs w:val="22"/>
        </w:rPr>
        <w:t>Dėl Lietuvos Respublikos ginklų ir šaudmenų kontrolės įstatymo 18 straipsnio 2 dalies 1–4 punktų atitikties Lietuvos Respublikos Konstitucijai“, kuriuo nutarta: 1) pripažinti, kad Lietuvos Respublikos ginklų ir šaudmenų kontrolės įstatymo (2010 m. lapkričio 18 d. redakcija; Žin., 2010, Nr. 142-7261) 18 straipsnio 2 dalies 1–4 punktai tiek, kiek juose nurodyti asmenys neterminuotai nėra laikomi nepriekaištingos reputacijos asmenimis ir pagal šio įstatymo 17 straipsnio 1 dalies 2 punktą visam laikui netenka teisės įsigyti ir turėti B ir C kategorijų ginklų, jų šaudmenų, prieštaravo konstituciniam teisinės valstybės principui; 2) pripažinti, kad Lietuvos Respublikos ginklų ir šaudmenų kontrolės įstatymo (2019 m. birželio 27 d. redakcija; TAR, 2019-06-28, Nr. 10570) 18 straipsnio 2 dalies 1–4 punktai tiek, kiek juose nurodyti asmenys neterminuotai nėra laikomi nepriekaištingos reputacijos asmenimis ir pagal šio įstatymo 17 straipsnio 1 dalies 2 punktą visam laikui netenka teisės įsigyti ir turėti šio įstatymo 3 straipsnio 6–10 punktuose nurodytų ginklų, B ir C kategorijų ginklų, jų šaudmenų, prieštarauja konstituciniam teisinės valstybės principui.</w:t>
      </w:r>
    </w:p>
    <w:p w14:paraId="0FC7CA1D" w14:textId="77777777" w:rsidR="00342DC1" w:rsidRPr="0014011D" w:rsidRDefault="00342DC1" w:rsidP="00342DC1">
      <w:pPr>
        <w:ind w:firstLine="567"/>
        <w:jc w:val="both"/>
        <w:rPr>
          <w:rFonts w:asciiTheme="minorHAnsi" w:hAnsiTheme="minorHAnsi" w:cstheme="minorHAnsi"/>
          <w:sz w:val="22"/>
          <w:szCs w:val="22"/>
        </w:rPr>
      </w:pPr>
      <w:r w:rsidRPr="0014011D">
        <w:rPr>
          <w:rFonts w:asciiTheme="minorHAnsi" w:hAnsiTheme="minorHAnsi" w:cstheme="minorHAnsi"/>
          <w:sz w:val="22"/>
          <w:szCs w:val="22"/>
        </w:rPr>
        <w:t>Lietuvos Respublikos Konstitucinis Teismas taip pat pažymėjo, kad jeigu įstatymų leidėjas iki tol, kol įsigalios šis Konstitucinio Teismo nutarimas, nenustatys kitokio, Lietuvos Respublikos Konstituciją atitinkančio, teisinio reguliavimo, susijusio su leidimų įsigyti, laikyti ar nešiotis Įstatymo (2019 m. birželio 27 d. redakcija) 3 straipsnio 6–10 punktuose nurodytus ginklus, B ir C kategorijų ginklus, jų šaudmenis išdavimu asmenims, teistiems už šio įstatymo 18 straipsnio 2 dalies 1–4 punktuose nurodytus nusikaltimus, spręsdamos dėl tokių leidimų išdavimo šiems asmenims policijos įstaigos turės vadovautis, be kita ko, Įstatymo (2019 m. birželio 27 d. redakcija) 18 straipsnio 2 dalies 5 punktu, pagal kurį tokie leidimai neišduodami turintiems teistumą asmenims, 17 straipsnio 1 dalies 10 punktu, kuriame numatyta galimybė įvertinti individualią kiekvieno asmens situaciją, t. y. priimti sprendimą dėl leidimo įsigyti, laikyti ar nešiotis minėtus ginklus, jų šaudmenis išdavimo (ar jo neišdavimo), atsižvelgdamos į, be kita ko, nusikaltimą padariusio asmens asmenybę, kitas svarbias aplinkybes, turės įvertinti jo keliamą grėsmę visuomenės saugumui ir viešajai tvarkai, žmogaus teisėms ir laisvėms. Pažymėtina, kad iki 2020 m. gruodžio 31 d. įstatymų leidėjas nepriėmė ir nepakeitė teisinio reguliavimo, įtvirtinto Lietuvos Respublikos ginklų ir šaudmenų kontrolės įstatymo 18 straipsnio 2 dalies 1–4 punktuose.</w:t>
      </w:r>
    </w:p>
    <w:p w14:paraId="7EA183E3" w14:textId="77777777" w:rsidR="00342DC1" w:rsidRPr="0014011D" w:rsidRDefault="00342DC1" w:rsidP="00342DC1">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Atsakovas atsisakė išduoti pareiškėjui leidimą įsigyti, laikyti (nešiotis) ginklus vadovaudamasis Konstitucijai prieštaraujančiu pripažinto Įstatymo (2010 m. lapkričio 18 d. redakcija) 17 straipsnio 1 dalies 2 punkto (B ir C kategorijų ginklų, jų šaudmenų negali įsigyti ir turėti fizinis asmuo, nesantis nepriekaištingos reputacijos), 18 straipsnio 2 dalies 1 punkto (nepriekaištingos reputacijos asmeniu nelaikomas asmuo, įsiteisėjusiu teismo nuosprendžiu pripažintas padaręs tyčinį smurtinį nusikaltimą, už kurį Lietuvos Respublikos baudžiamajame kodekse numatyta didžiausia bausmė viršija 3 metus laisvės atėmimo) ir 12 straipsnio 2 dalies 12 punkto (leidimas įsigyti, leidimas laikyti ir leidimas nešiotis B, C </w:t>
      </w:r>
      <w:r w:rsidRPr="0014011D">
        <w:rPr>
          <w:rFonts w:asciiTheme="minorHAnsi" w:hAnsiTheme="minorHAnsi" w:cstheme="minorHAnsi"/>
          <w:noProof/>
          <w:sz w:val="22"/>
          <w:szCs w:val="22"/>
        </w:rPr>
        <w:t>kategorijų ginklus neišduodamas</w:t>
      </w:r>
      <w:r w:rsidRPr="0014011D">
        <w:rPr>
          <w:rFonts w:asciiTheme="minorHAnsi" w:hAnsiTheme="minorHAnsi" w:cstheme="minorHAnsi"/>
          <w:sz w:val="22"/>
          <w:szCs w:val="22"/>
        </w:rPr>
        <w:t xml:space="preserve"> fiziniam asmeniui, dėl kurio mokestinės nepriemokos ar baudos už administracinį nusižengimą priimtas sprendimas dėl priverstinio išieškojimo) pagrindais. </w:t>
      </w:r>
    </w:p>
    <w:p w14:paraId="154D9500" w14:textId="6722339D" w:rsidR="00342DC1" w:rsidRPr="0014011D" w:rsidRDefault="00342DC1"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Teisėjų kolegija pripažino, kad atsakovo sprendimas neišduoti pareiškėjui leidimo įsigyti ir laikyti (nešiotis) ginklus, remiantis Įstatymo 17 straipsnio 1 dalies 2 punktu ir 18 straipsnio 2 dalies 1 punktu, negali būti pripažintas teisėtu ir pagrįstu, todėl pirmosios instancijos teismo sprendimas panaikintas ir priimtas naujas sprendimas, tenkinant pareiškėjo skundą iš dalies – Panevėžio apskrities vyriausiojo policijos komisariato sprendimą panaikinant ir įpareigojant Panevėžio apskrities vyriausiąjį policijos komisariatą iš naujo išnagrinėti pareiškėjo prašymą dėl leidimo laikyti (nešiotis) ginklus, atsižvelgiant į galimai pasikeitusias aplinkybes.</w:t>
      </w:r>
    </w:p>
    <w:p w14:paraId="5C59EC74" w14:textId="77777777" w:rsidR="00342DC1" w:rsidRPr="0014011D" w:rsidRDefault="00342DC1" w:rsidP="00342DC1">
      <w:pPr>
        <w:jc w:val="both"/>
        <w:rPr>
          <w:rFonts w:asciiTheme="minorHAnsi" w:hAnsiTheme="minorHAnsi" w:cstheme="minorHAnsi"/>
          <w:sz w:val="22"/>
          <w:szCs w:val="22"/>
        </w:rPr>
      </w:pPr>
    </w:p>
    <w:p w14:paraId="00D0F49D" w14:textId="77777777" w:rsidR="00342DC1" w:rsidRPr="0014011D" w:rsidRDefault="00342DC1" w:rsidP="00342DC1">
      <w:pPr>
        <w:jc w:val="both"/>
        <w:rPr>
          <w:rFonts w:asciiTheme="minorHAnsi" w:hAnsiTheme="minorHAnsi" w:cstheme="minorHAnsi"/>
          <w:sz w:val="22"/>
          <w:szCs w:val="22"/>
        </w:rPr>
      </w:pPr>
      <w:r w:rsidRPr="0014011D">
        <w:rPr>
          <w:rFonts w:asciiTheme="minorHAnsi" w:hAnsiTheme="minorHAnsi" w:cstheme="minorHAnsi"/>
          <w:sz w:val="22"/>
          <w:szCs w:val="22"/>
        </w:rPr>
        <w:t>2021 m. vasario 3 d. sprendimas administracinėje byloje Nr. A-674-602/2021</w:t>
      </w:r>
    </w:p>
    <w:p w14:paraId="6B44CFAC" w14:textId="77777777" w:rsidR="00342DC1" w:rsidRPr="0014011D" w:rsidRDefault="00342DC1" w:rsidP="00342DC1">
      <w:pPr>
        <w:jc w:val="both"/>
        <w:rPr>
          <w:rFonts w:asciiTheme="minorHAnsi" w:hAnsiTheme="minorHAnsi" w:cstheme="minorHAnsi"/>
          <w:sz w:val="22"/>
          <w:szCs w:val="22"/>
        </w:rPr>
      </w:pPr>
      <w:r w:rsidRPr="0014011D">
        <w:rPr>
          <w:rFonts w:asciiTheme="minorHAnsi" w:hAnsiTheme="minorHAnsi" w:cstheme="minorHAnsi"/>
          <w:sz w:val="22"/>
          <w:szCs w:val="22"/>
        </w:rPr>
        <w:t>Teisminio proceso Nr. 3-65-3-00194-2017-1</w:t>
      </w:r>
    </w:p>
    <w:p w14:paraId="49DFF2DE" w14:textId="77777777" w:rsidR="00342DC1" w:rsidRPr="0014011D" w:rsidRDefault="00342DC1" w:rsidP="00342DC1">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kategorija 36</w:t>
      </w:r>
    </w:p>
    <w:p w14:paraId="3B099018" w14:textId="09EA995F" w:rsidR="00342DC1" w:rsidRPr="0014011D" w:rsidRDefault="00936F04" w:rsidP="00342DC1">
      <w:pPr>
        <w:jc w:val="both"/>
        <w:rPr>
          <w:rFonts w:asciiTheme="minorHAnsi" w:hAnsiTheme="minorHAnsi" w:cstheme="minorHAnsi"/>
          <w:sz w:val="22"/>
          <w:szCs w:val="22"/>
        </w:rPr>
      </w:pPr>
      <w:hyperlink r:id="rId24">
        <w:r w:rsidR="00342DC1" w:rsidRPr="0014011D">
          <w:rPr>
            <w:rFonts w:asciiTheme="minorHAnsi" w:hAnsiTheme="minorHAnsi" w:cstheme="minorHAnsi"/>
            <w:color w:val="0000FF"/>
            <w:sz w:val="22"/>
            <w:szCs w:val="22"/>
            <w:u w:val="single"/>
          </w:rPr>
          <w:t>Prieiga internete</w:t>
        </w:r>
      </w:hyperlink>
    </w:p>
    <w:p w14:paraId="61F06FC6" w14:textId="77777777" w:rsidR="00342DC1" w:rsidRPr="0014011D" w:rsidRDefault="00342DC1" w:rsidP="00564D15">
      <w:pPr>
        <w:jc w:val="both"/>
        <w:rPr>
          <w:rFonts w:asciiTheme="minorHAnsi" w:eastAsiaTheme="minorHAnsi" w:hAnsiTheme="minorHAnsi" w:cstheme="minorHAnsi"/>
          <w:i/>
          <w:iCs/>
          <w:sz w:val="22"/>
          <w:szCs w:val="22"/>
        </w:rPr>
      </w:pPr>
    </w:p>
    <w:p w14:paraId="2D1D4943" w14:textId="77777777" w:rsidR="00C25198" w:rsidRPr="0014011D" w:rsidRDefault="00C25198" w:rsidP="00B62DE8">
      <w:pPr>
        <w:pStyle w:val="Apzvalgai1"/>
        <w:rPr>
          <w:rFonts w:asciiTheme="minorHAnsi" w:hAnsiTheme="minorHAnsi" w:cstheme="minorHAnsi"/>
        </w:rPr>
      </w:pPr>
      <w:bookmarkStart w:id="48" w:name="_Toc70514809"/>
      <w:r w:rsidRPr="0014011D">
        <w:rPr>
          <w:rFonts w:asciiTheme="minorHAnsi" w:hAnsiTheme="minorHAnsi" w:cstheme="minorHAnsi"/>
        </w:rPr>
        <w:t>37. Bausmių vykdymo ir suėmimo sąlygos</w:t>
      </w:r>
      <w:bookmarkEnd w:id="48"/>
    </w:p>
    <w:p w14:paraId="579068E1" w14:textId="77777777" w:rsidR="00C25198" w:rsidRPr="0014011D" w:rsidRDefault="00C25198" w:rsidP="00C25198">
      <w:pPr>
        <w:ind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37.6.</w:t>
      </w:r>
      <w:r w:rsidRPr="0014011D">
        <w:rPr>
          <w:rFonts w:asciiTheme="minorHAnsi" w:hAnsiTheme="minorHAnsi" w:cstheme="minorHAnsi"/>
          <w:b/>
          <w:sz w:val="22"/>
          <w:szCs w:val="22"/>
          <w:u w:val="single"/>
          <w:lang w:eastAsia="en-US"/>
        </w:rPr>
        <w:t xml:space="preserve"> </w:t>
      </w:r>
      <w:r w:rsidRPr="0014011D">
        <w:rPr>
          <w:rFonts w:asciiTheme="minorHAnsi" w:hAnsiTheme="minorHAnsi" w:cstheme="minorHAnsi"/>
          <w:b/>
          <w:sz w:val="22"/>
          <w:szCs w:val="22"/>
          <w:u w:val="single"/>
        </w:rPr>
        <w:t>Kiti su bausmių vykdymo ir suėmimo sąlygomis susiję klausimai</w:t>
      </w:r>
    </w:p>
    <w:p w14:paraId="5A145BE6" w14:textId="77777777" w:rsidR="00C25198" w:rsidRPr="0014011D" w:rsidRDefault="00C25198" w:rsidP="00C25198">
      <w:pPr>
        <w:ind w:firstLine="567"/>
        <w:jc w:val="both"/>
        <w:rPr>
          <w:rFonts w:asciiTheme="minorHAnsi" w:hAnsiTheme="minorHAnsi" w:cstheme="minorHAnsi"/>
          <w:bCs/>
          <w:sz w:val="22"/>
          <w:szCs w:val="22"/>
        </w:rPr>
      </w:pPr>
    </w:p>
    <w:p w14:paraId="5A16706D" w14:textId="77777777" w:rsidR="00C25198" w:rsidRPr="0014011D" w:rsidRDefault="00C25198" w:rsidP="00B62DE8">
      <w:pPr>
        <w:pStyle w:val="Antrat2"/>
        <w:rPr>
          <w:rFonts w:asciiTheme="minorHAnsi" w:hAnsiTheme="minorHAnsi" w:cstheme="minorHAnsi"/>
        </w:rPr>
      </w:pPr>
      <w:bookmarkStart w:id="49" w:name="_Toc70514810"/>
      <w:r w:rsidRPr="0014011D">
        <w:rPr>
          <w:rFonts w:asciiTheme="minorHAnsi" w:hAnsiTheme="minorHAnsi" w:cstheme="minorHAnsi"/>
        </w:rPr>
        <w:t>Dėl nuteistojo perkėlimo atlikti bausmę į kardomojo kalinimo (ne pataisos) įstaigą</w:t>
      </w:r>
      <w:bookmarkEnd w:id="49"/>
    </w:p>
    <w:p w14:paraId="29E3F8B0" w14:textId="77777777" w:rsidR="00C25198" w:rsidRPr="0014011D" w:rsidRDefault="00C25198" w:rsidP="00C25198">
      <w:pPr>
        <w:ind w:firstLine="567"/>
        <w:jc w:val="both"/>
        <w:rPr>
          <w:rFonts w:asciiTheme="minorHAnsi" w:hAnsiTheme="minorHAnsi" w:cstheme="minorHAnsi"/>
          <w:bCs/>
          <w:sz w:val="22"/>
          <w:szCs w:val="22"/>
        </w:rPr>
      </w:pPr>
    </w:p>
    <w:p w14:paraId="29C851C7"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Šioje byloje ginčas kilo dėl Kalėjimų departamento prie Lietuvos Respublikos teisingumo ministerijos (toliau – Departamentas) 2019 m. kovo 25 d. nutarimo „Dėl nuteistojo perkėlimo į kitą pataisos įstaigą“ (toliau – Nutarimas), kuriuo nuspręsta pareiškėją iš Pravieniškių pataisos namų-atvirosios kolonijos (toliau – Pravieniškių PN-AK) perkelti į Šiaulių tardymo izoliatorių (toliau – Šiaulių TI), pagrįstumo ir teisėtumo.</w:t>
      </w:r>
    </w:p>
    <w:p w14:paraId="04F610F8"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Pirmosios instancijos teismas pareiškėjo skundą tenkino ir panaikino Nutarimą, nustatęs, kad jo priėmimo metu Šiaulių TI nebuvo terminuoto laisvės atėmimo bausmės vykdymo vieta Bausmių vykdymo kodekso (toliau – BVK) prasme ir tuo metu galiojusi Suėmimo vykdymo įstatymo (toliau – SVĮ) 2 straipsnio 1 dalies redakcija nenumatė, jog tardymo izoliatoriai gali vykdyti BVK 62 straipsnio 1 dalyje nurodytų rūšių pataisos įstaigų funkcijas, todėl Departamentas Nutarimu neteisėtai perkėlė pareiškėją, nuteistąjį iki gyvos galvos, iš Pravieniškių PN-AK į Šiaulių TI.</w:t>
      </w:r>
    </w:p>
    <w:p w14:paraId="6EF5AD1E"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Tačiau Departamentas su tokiu pirmosios instancijos teismo sprendimu nesutiko, todėl padavė apeliacinį skundą, kurį iš esmės grindė aplinkybe, kad Nutarimo priėmimo metu galiojusių Šiaulių TI nuostatų 7 punkte buvo įtvirtinta, jog Šiaulių TI tikslas – vykdyti suėmimą, arešto bausmę ir laisvės atėmimo bausmes asmenims, kuriems bausmę paskirta atlikti kalėjime, pataisos namuose arba atvirojoje kolonijoje, t. y. Nutarimo priėmimo metu Šiaulių TI buvo priskirtas pataisos įstaigoms.</w:t>
      </w:r>
    </w:p>
    <w:p w14:paraId="61FF4C7C"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 xml:space="preserve">Teisėjų kolegija, įvertinusi ginčui aktualų teisinį reguliavimą, su tokiu Departamento vertinimu nesutiko ir pritarė pirmosios instancijos teismo išvadai, kad Nutarimo priėmimo metu įstatymai tardymo izoliatorių nepriskyrė pataisos įstaigoms BVK 62 straipsnio 1 dalies prasme (išskyrus atvejus, kai BVK 62 straipsnio 1 dalyje nurodyta pataisos įstaiga vykdo ir kardomąjį kalinimą vykdančios įstaigos funkcijas, tačiau Šiaulių TI tokioms įstaigoms nebuvo priskirtas). Teisėjų kolegija atkreipė dėmesį, kad </w:t>
      </w:r>
      <w:r w:rsidRPr="0014011D">
        <w:rPr>
          <w:rFonts w:asciiTheme="minorHAnsi" w:hAnsiTheme="minorHAnsi" w:cstheme="minorHAnsi"/>
          <w:bCs/>
          <w:sz w:val="22"/>
          <w:szCs w:val="22"/>
          <w:u w:val="single"/>
        </w:rPr>
        <w:t>aukštesnės galios teisės aktams – įstatymams, būtent kuriuose ir turėtų būti nustatytas konkretus su pataisos ir kardomojo kalinimo įstaigose laikomų asmenų teisiniu statusu, jų teisėmis ir pareigomis susijęs teisinis reguliavimas, nenustatant atvejų, kai nuteistieji, atliekantys terminuoto laisvės atėmimo arba laisvės atėmimo iki gyvos galvos bausmę, tęsti tokią bausmę gali būti perkeliami į kardomojo kalinimo įstaigą (tardymo izoliatorių), toks teisinis reguliavimas negali būti nustatytas žemesnės juridinės galios poįstatyminiame teisės akte</w:t>
      </w:r>
      <w:r w:rsidRPr="0014011D">
        <w:rPr>
          <w:rFonts w:asciiTheme="minorHAnsi" w:hAnsiTheme="minorHAnsi" w:cstheme="minorHAnsi"/>
          <w:bCs/>
          <w:sz w:val="22"/>
          <w:szCs w:val="22"/>
        </w:rPr>
        <w:t>. Todėl teisėjų kolegija nepagrįstais laikė Departamento apeliacinio skundo argumentus, esą Šiaulių TI pataisos įstaigoms yra priskirtas teisingumo ministro 2014 m. kovo 14 d. įsakymu Nr. 1R-65 patvirtintų Šiaulių TI nuostatų 7 punktu, kadangi šie nuostatai patvirtinti poįstatyminiu teisės aktu, kuriame nustatytas teisinis reguliavimas negali konkuruoti su nustatytuoju įstatyme.</w:t>
      </w:r>
    </w:p>
    <w:p w14:paraId="1A26232A"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Nors nuo 2019 m. liepos 6 d. įsigaliojusios redakcijos SVĮ įtvirtinta, kad tardymo izoliatoriai taip pat gali vykdyti BVK 62 straipsnio 1 dalyje nurodytų rūšių pataisos įstaigų funkcijas (SVĮ 2 str. 1 d.), o nuo 2019 m. liepos 6 d. iki 2020 m. birželio 20 d. galiojusios redakcijos SVĮ 7 straipsnio 1 dalies 11 punkte taip pat buvo nustatyta, jog tardymo izoliatoriuose laikomi nuteistieji, tardymo izoliatoriuje atliekantys arešto, terminuoto laisvės atėmimo arba laisvės atėmimo iki gyvos galvos bausmę, kai tardymo izoliatorius atlieka pataisos įstaigos funkcijas (SVĮ 7 str. 1 d. 11 p.), teisėjų kolegija pabrėžė, kad sprendžiant dėl Nutarimo teisėtumo ir pagrįstumo turi būti vadovaujamasi jo priėmimo metu galiojusiomis įstatymų – BVK ir SVĮ – nuostatomis, pagal kurias Šiaulių TI nebuvo priskirtas pataisos įstaigoms. Taigi teisėjų kolegija priėjo prie išvados, kad nustatęs šias aplinkybes, taip pat byloje nesant duomenų, jog pareiškėjas atitiko kuriuos nors iš Nutarimo priėmimo metu galiojusios SVĮ redakcijos 7 straipsnio („Tardymo izoliatoriuose laikomi asmenys“) 1 dalyje įtvirtintų kriterijų, pirmosios instancijos teismas pagrįstai konstatavo, kad Departamentas Nutarimu neteisėtai perkėlė pareiškėją, kuris yra nuteistas laisvės atėmimu iki gyvos galvos, į Šiaulių TI, ir šiuo pagrindu panaikino skundžiamą Nutarimą.</w:t>
      </w:r>
    </w:p>
    <w:p w14:paraId="441FCE3C" w14:textId="77777777" w:rsidR="00C25198" w:rsidRPr="0014011D" w:rsidRDefault="00C25198" w:rsidP="00C25198">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Atsižvelgiant į tai, Departamento apeliacinis skundas atmestas ir pirmosios instancijos teismo sprendimas paliktas nepakeistas.</w:t>
      </w:r>
    </w:p>
    <w:p w14:paraId="1337B4AF" w14:textId="77777777" w:rsidR="00C25198" w:rsidRPr="0014011D" w:rsidRDefault="00C25198" w:rsidP="00C25198">
      <w:pPr>
        <w:ind w:firstLine="567"/>
        <w:jc w:val="both"/>
        <w:rPr>
          <w:rFonts w:asciiTheme="minorHAnsi" w:hAnsiTheme="minorHAnsi" w:cstheme="minorHAnsi"/>
          <w:bCs/>
          <w:sz w:val="22"/>
          <w:szCs w:val="22"/>
        </w:rPr>
      </w:pPr>
    </w:p>
    <w:p w14:paraId="5B1B4BBB" w14:textId="77777777" w:rsidR="00C25198" w:rsidRPr="0014011D" w:rsidRDefault="00C25198" w:rsidP="00C25198">
      <w:pPr>
        <w:rPr>
          <w:rFonts w:asciiTheme="minorHAnsi" w:hAnsiTheme="minorHAnsi" w:cstheme="minorHAnsi"/>
          <w:sz w:val="22"/>
          <w:szCs w:val="22"/>
        </w:rPr>
      </w:pPr>
      <w:r w:rsidRPr="0014011D">
        <w:rPr>
          <w:rFonts w:asciiTheme="minorHAnsi" w:hAnsiTheme="minorHAnsi" w:cstheme="minorHAnsi"/>
          <w:sz w:val="22"/>
          <w:szCs w:val="22"/>
        </w:rPr>
        <w:t xml:space="preserve">2021 m. vasario 10 d. nutartis administracinėje byloje Nr. </w:t>
      </w:r>
      <w:r w:rsidRPr="0014011D">
        <w:rPr>
          <w:rFonts w:asciiTheme="minorHAnsi" w:hAnsiTheme="minorHAnsi" w:cstheme="minorHAnsi"/>
          <w:bCs/>
          <w:sz w:val="22"/>
          <w:szCs w:val="22"/>
        </w:rPr>
        <w:t>TA-85-756/2021</w:t>
      </w:r>
    </w:p>
    <w:p w14:paraId="41351A94" w14:textId="77777777" w:rsidR="00C25198" w:rsidRPr="0014011D" w:rsidRDefault="00C25198" w:rsidP="00C25198">
      <w:pPr>
        <w:rPr>
          <w:rFonts w:asciiTheme="minorHAnsi" w:hAnsiTheme="minorHAnsi" w:cstheme="minorHAnsi"/>
          <w:bCs/>
          <w:sz w:val="22"/>
          <w:szCs w:val="22"/>
          <w:lang w:eastAsia="en-US"/>
        </w:rPr>
      </w:pPr>
      <w:r w:rsidRPr="0014011D">
        <w:rPr>
          <w:rFonts w:asciiTheme="minorHAnsi" w:hAnsiTheme="minorHAnsi" w:cstheme="minorHAnsi"/>
          <w:sz w:val="22"/>
          <w:szCs w:val="22"/>
        </w:rPr>
        <w:t xml:space="preserve">Teisminio proceso Nr. </w:t>
      </w:r>
      <w:r w:rsidRPr="0014011D">
        <w:rPr>
          <w:rFonts w:asciiTheme="minorHAnsi" w:hAnsiTheme="minorHAnsi" w:cstheme="minorHAnsi"/>
          <w:bCs/>
          <w:sz w:val="22"/>
          <w:szCs w:val="22"/>
          <w:lang w:eastAsia="en-US"/>
        </w:rPr>
        <w:t>3-61-3-01486-2019-4</w:t>
      </w:r>
    </w:p>
    <w:p w14:paraId="2D496AD8" w14:textId="77777777" w:rsidR="00C25198" w:rsidRPr="0014011D" w:rsidRDefault="00C25198" w:rsidP="00C25198">
      <w:pPr>
        <w:rPr>
          <w:rFonts w:asciiTheme="minorHAnsi" w:hAnsiTheme="minorHAnsi" w:cstheme="minorHAnsi"/>
          <w:sz w:val="22"/>
          <w:szCs w:val="22"/>
          <w:lang w:eastAsia="en-US"/>
        </w:rPr>
      </w:pPr>
      <w:r w:rsidRPr="0014011D">
        <w:rPr>
          <w:rFonts w:asciiTheme="minorHAnsi" w:hAnsiTheme="minorHAnsi" w:cstheme="minorHAnsi"/>
          <w:sz w:val="22"/>
          <w:szCs w:val="22"/>
        </w:rPr>
        <w:t xml:space="preserve">Procesinio sprendimo </w:t>
      </w:r>
      <w:r w:rsidRPr="0014011D">
        <w:rPr>
          <w:rFonts w:asciiTheme="minorHAnsi" w:hAnsiTheme="minorHAnsi" w:cstheme="minorHAnsi"/>
          <w:sz w:val="22"/>
          <w:szCs w:val="22"/>
          <w:lang w:eastAsia="en-US"/>
        </w:rPr>
        <w:t>kategorija</w:t>
      </w:r>
      <w:r w:rsidRPr="0014011D">
        <w:rPr>
          <w:rFonts w:asciiTheme="minorHAnsi" w:hAnsiTheme="minorHAnsi" w:cstheme="minorHAnsi"/>
          <w:bCs/>
          <w:sz w:val="22"/>
          <w:szCs w:val="22"/>
          <w:lang w:eastAsia="en-US"/>
        </w:rPr>
        <w:t xml:space="preserve"> 37.6</w:t>
      </w:r>
    </w:p>
    <w:p w14:paraId="7494BA74" w14:textId="77777777" w:rsidR="00C25198" w:rsidRPr="0014011D" w:rsidRDefault="00936F04" w:rsidP="00C25198">
      <w:pPr>
        <w:rPr>
          <w:rFonts w:asciiTheme="minorHAnsi" w:hAnsiTheme="minorHAnsi" w:cstheme="minorHAnsi"/>
          <w:sz w:val="22"/>
          <w:szCs w:val="22"/>
          <w:u w:val="single"/>
        </w:rPr>
      </w:pPr>
      <w:hyperlink r:id="rId25" w:history="1">
        <w:r w:rsidR="00C25198" w:rsidRPr="0014011D">
          <w:rPr>
            <w:rStyle w:val="Hipersaitas"/>
            <w:rFonts w:asciiTheme="minorHAnsi" w:hAnsiTheme="minorHAnsi" w:cstheme="minorHAnsi"/>
            <w:sz w:val="22"/>
            <w:szCs w:val="22"/>
          </w:rPr>
          <w:t>Prieiga internete</w:t>
        </w:r>
      </w:hyperlink>
    </w:p>
    <w:p w14:paraId="08C1FA1E" w14:textId="05A1D46D" w:rsidR="00C25198" w:rsidRPr="0014011D" w:rsidRDefault="00C25198" w:rsidP="00391131">
      <w:pPr>
        <w:jc w:val="both"/>
        <w:rPr>
          <w:rFonts w:asciiTheme="minorHAnsi" w:hAnsiTheme="minorHAnsi" w:cstheme="minorHAnsi"/>
          <w:bCs/>
          <w:sz w:val="22"/>
          <w:szCs w:val="22"/>
        </w:rPr>
      </w:pPr>
    </w:p>
    <w:p w14:paraId="580F0658" w14:textId="1A9D8D78" w:rsidR="00391131" w:rsidRDefault="00391131" w:rsidP="00B62DE8">
      <w:pPr>
        <w:pStyle w:val="Apzvalgai1"/>
        <w:rPr>
          <w:rFonts w:asciiTheme="minorHAnsi" w:hAnsiTheme="minorHAnsi" w:cstheme="minorHAnsi"/>
        </w:rPr>
      </w:pPr>
      <w:bookmarkStart w:id="50" w:name="_Toc774949"/>
      <w:bookmarkStart w:id="51" w:name="_Toc70514811"/>
      <w:r w:rsidRPr="0014011D">
        <w:rPr>
          <w:rFonts w:asciiTheme="minorHAnsi" w:hAnsiTheme="minorHAnsi" w:cstheme="minorHAnsi"/>
        </w:rPr>
        <w:t>41. Kiti ginčai viešojo administravimo srityje</w:t>
      </w:r>
      <w:bookmarkEnd w:id="50"/>
      <w:bookmarkEnd w:id="51"/>
    </w:p>
    <w:p w14:paraId="2948F8A1" w14:textId="6F770FA1" w:rsidR="00C5781A" w:rsidRDefault="00C5781A" w:rsidP="00B62DE8">
      <w:pPr>
        <w:pStyle w:val="Apzvalgai1"/>
        <w:rPr>
          <w:rFonts w:asciiTheme="minorHAnsi" w:hAnsiTheme="minorHAnsi" w:cstheme="minorHAnsi"/>
        </w:rPr>
      </w:pPr>
    </w:p>
    <w:p w14:paraId="119F10EB" w14:textId="77777777" w:rsidR="00C5781A" w:rsidRPr="0014011D" w:rsidRDefault="00C5781A" w:rsidP="00C5781A">
      <w:pPr>
        <w:pStyle w:val="Antrat2"/>
        <w:rPr>
          <w:rFonts w:asciiTheme="minorHAnsi" w:hAnsiTheme="minorHAnsi" w:cstheme="minorHAnsi"/>
        </w:rPr>
      </w:pPr>
      <w:bookmarkStart w:id="52" w:name="_Toc70514812"/>
      <w:r w:rsidRPr="0014011D">
        <w:rPr>
          <w:rFonts w:asciiTheme="minorHAnsi" w:hAnsiTheme="minorHAnsi" w:cstheme="minorHAnsi"/>
        </w:rPr>
        <w:t>Dėl sprendimo atlikti neplaninį patikrinimą pagal gautą anoniminį skundą motyvavimo</w:t>
      </w:r>
      <w:bookmarkEnd w:id="52"/>
    </w:p>
    <w:p w14:paraId="1E58AFAF" w14:textId="77777777" w:rsidR="00C5781A" w:rsidRPr="0014011D" w:rsidRDefault="00C5781A" w:rsidP="00C5781A">
      <w:pPr>
        <w:ind w:firstLine="567"/>
        <w:jc w:val="both"/>
        <w:rPr>
          <w:rFonts w:asciiTheme="minorHAnsi" w:hAnsiTheme="minorHAnsi" w:cstheme="minorHAnsi"/>
          <w:bCs/>
          <w:sz w:val="22"/>
          <w:szCs w:val="22"/>
        </w:rPr>
      </w:pPr>
    </w:p>
    <w:p w14:paraId="4B589BC6"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Šioje byloje ginčas kilo dėl turtinės ir neturtinės žalos atlyginimo, kurią pareiškėjas kildino iš, jo manymu, neteisėtų Valstybinės darbo inspekcijos prie Socialinės apsaugos ir darbo ministerijos (toliau – Inspekcija) pareigūnų veiksmų pagal gautą anoniminį skundą atliekant pareiškėjo ūkio neplaninį patikrinimą be viešojo administravimo subjekto motyvuoto sprendimo. Pirmosios instancijos teismas, šiuo aspektu nenustatęs neteisėtų Inspekcijos veiksmų, pareiškėjo skundą atmetė.</w:t>
      </w:r>
    </w:p>
    <w:p w14:paraId="215CD48C"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Teisėjų kolegija sutiko su pareiškėjo teiginiu, kad pagal ginčui aktualios redakcijos Viešojo administravimo įstatymo 36</w:t>
      </w:r>
      <w:r w:rsidRPr="0014011D">
        <w:rPr>
          <w:rFonts w:asciiTheme="minorHAnsi" w:hAnsiTheme="minorHAnsi" w:cstheme="minorHAnsi"/>
          <w:bCs/>
          <w:sz w:val="22"/>
          <w:szCs w:val="22"/>
          <w:vertAlign w:val="superscript"/>
        </w:rPr>
        <w:t>4</w:t>
      </w:r>
      <w:r w:rsidRPr="0014011D">
        <w:rPr>
          <w:rFonts w:asciiTheme="minorHAnsi" w:hAnsiTheme="minorHAnsi" w:cstheme="minorHAnsi"/>
          <w:bCs/>
          <w:sz w:val="22"/>
          <w:szCs w:val="22"/>
        </w:rPr>
        <w:t xml:space="preserve"> straipsnio 13 dalį ūkio subjekto veiklos neplaninis patikrinimas pagal gautą anoniminį skundą dėl konkretaus ūkio subjekto veiksmų ar neveikimo atliekamas tik tuo atveju, kai yra motyvuotas priežiūrą atliekančio subjekto vadovo ar jo įgalioto asmens arba reikiamus įgaliojimus turinčios priežiūrą atliekančio subjekto kolegialios institucijos sprendimas dėl konkretaus anoniminio skundo tyrimo. Tačiau nurodė, kad asmenų prašymų, pranešimų, skundų, gautos informacijos ir individualių paklausimų nagrinėjimą bei asmenų aptarnavimą Inspekcijoje reglamentuoja Vyriausiojo valstybinio darbo inspektoriaus 2016 m. sausio 11 d. įsakymu patvirtintos Prašymų ir skundų nagrinėjimo bei asmenų aptarnavimo Lietuvos Respublikos valstybinėje darbo inspekcijoje taisyklės (2018 m. sausio 11 d. įsakymo Nr. EV-10 redakcija) (toliau – Taisyklės), kurių 24 punktas nustato, jog sprendimą dėl anoniminių pranešimų nagrinėjimo tikslingumo priima Vyriausiasis valstybinis darbo inspektorius arba jo įgaliotas asmuo. Atsižvelgiant į Inspekcijos veiklos prioritetus, nagrinėjami anoniminiai pranešimai (rašytiniai ir žodiniai, taip pat ir informacija dėl viešojo intereso, paskelbta žiniasklaidos priemonėse), susiję su galimo nelegalaus darbo (neteisėtos veiklos), įskaitant ir darbo bei poilsio laiko režimų pažeidimus, apraiškomis (Taisyklių 24.1 p.), bei susiję su pavojais darbuotojų saugai ir sveikatai (Taisyklių 24.2 p.). Teisėjų kolegija taip pat nustatė, kad Inspekcijos 2018 metų veiklos plane, patvirtintame socialinės apsaugos ir darbo ministro įsakymu, nurodyta, jog taikant priemonę – organizuoti nelegalaus ir nedeklaruoto darbo, nedeklaruotos savarankiškos veikos bei užsieniečių įdarbinimo tvarkos pažeidimų kontrolę bei koordinavimą su kitomis kontrolės ir teisėsaugos institucijomis, nelegalaus darbo kontrolės efektyvumas turi būti ne mažiau nei 85 procentai.</w:t>
      </w:r>
    </w:p>
    <w:p w14:paraId="0152BBA1"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 xml:space="preserve">Atsižvelgusi į nurodytas aplinkybes, teisėjų kolegija pabrėžė, kad </w:t>
      </w:r>
      <w:r w:rsidRPr="0014011D">
        <w:rPr>
          <w:rFonts w:asciiTheme="minorHAnsi" w:hAnsiTheme="minorHAnsi" w:cstheme="minorHAnsi"/>
          <w:bCs/>
          <w:sz w:val="22"/>
          <w:szCs w:val="22"/>
          <w:u w:val="single"/>
        </w:rPr>
        <w:t>sprendžiant, ar Inspekcijoje nagrinėjami anoniminiai pranešimai, turi būti vertinamos ne tik Viešojo administravimo įstatymo 36</w:t>
      </w:r>
      <w:r w:rsidRPr="0014011D">
        <w:rPr>
          <w:rFonts w:asciiTheme="minorHAnsi" w:hAnsiTheme="minorHAnsi" w:cstheme="minorHAnsi"/>
          <w:bCs/>
          <w:sz w:val="22"/>
          <w:szCs w:val="22"/>
          <w:u w:val="single"/>
          <w:vertAlign w:val="superscript"/>
        </w:rPr>
        <w:t>4</w:t>
      </w:r>
      <w:r w:rsidRPr="0014011D">
        <w:rPr>
          <w:rFonts w:asciiTheme="minorHAnsi" w:hAnsiTheme="minorHAnsi" w:cstheme="minorHAnsi"/>
          <w:bCs/>
          <w:sz w:val="22"/>
          <w:szCs w:val="22"/>
          <w:u w:val="single"/>
        </w:rPr>
        <w:t> straipsnio 13 dalies nuostatos, reglamentuojančios išimtinai anoniminio skundo tyrimo procedūras, tačiau turi būti vadovaujamasi ir Taisyklių 24 punkto nuostatomis bei įvertinamos Inspekcijos prioritetinės sritys</w:t>
      </w:r>
      <w:r w:rsidRPr="0014011D">
        <w:rPr>
          <w:rFonts w:asciiTheme="minorHAnsi" w:hAnsiTheme="minorHAnsi" w:cstheme="minorHAnsi"/>
          <w:bCs/>
          <w:sz w:val="22"/>
          <w:szCs w:val="22"/>
        </w:rPr>
        <w:t>. Atitinkamai įvertinusi minėtas nuostatas, teisėjų kolegija padarė išvadą, kad Inspekcijos, įgyvendinant jai iškeltus uždavinius, prioritetinė veiklos sritis yra ir nelegalaus darbo kontrolė (ypač žemės ūkio, prekybos srityse), todėl visai gaunamai su tuo susijusiai informacijai (įskaitant anoniminius pranešimus) nagrinėti taikomos Taisyklių nuostatos.</w:t>
      </w:r>
    </w:p>
    <w:p w14:paraId="5DF4CEE0"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Teisėjų kolegija nurodė, kad Lietuvos Respublikos vyriausiojo valstybinio darbo inspektoriaus 2006 m. vasario 7 d. įsakymu Nr. 1-33 (2018 m. kovo 28 d. įsakymo Nr. EV-84 redakcija) patvirtintos Nelegalaus, nedeklaruoto darbo ir užsieniečių įdarbinimo tvarkos pažeidimų tyrimo ir apskaitos taisyklės nustato Inspekcijos inspektorių vykdomų nelegalaus, nedeklaruoto darbo ir užsieniečių darbo įdarbinimo tvarkos pažeidimų atlikimo ir įforminimo procedūras. Šių taisyklių 6.1 punktas reglamentuoja atvejus, kada yra atliekami nelegalaus darbo patikrinimai. Vienas iš jų – gauta anoniminė informacija (raštu arba žodžiu). Pagal šių taisyklių 8 punktą visi nelegalaus darbo patikrinimai pradedami, kai Inspekcijos inspektorius nustatyta tvarka gauna užduotį su pavedimu atlikti nelegalaus darbo patikrinimą arba kito patikrinimo metu nustatomas nelegalaus darbo atvejis.</w:t>
      </w:r>
    </w:p>
    <w:p w14:paraId="13B15AD8"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 xml:space="preserve">Šiame kontekste teisėjų kolegija pažymėjo, kad viešojo administravimo subjekto sprendimo atlikti neplaninį ūkio subjekto veiklos patikrinimą forma ir turinys gali skirtis priklausomai nuo tokio viešojo administravimo subjekto veiklos srities bei šią sritį reglamentuojančių įstatymų, poįstatyminių bei vidaus administravimo aktų. Tai savo ruožtu lemia ir tokio sprendimo motyvų pobūdį bei apimtį. Teisėjų kolegijos vertinimu, nagrinėtu atveju iš Inspekcijoje gauto skundo turinio akivaizdu, kad jis susijęs būtent su galimais nelegalaus darbo atvejais pareiškėjo ūkyje. Todėl Inspekcijos direktoriaus pavaduotojo rezoliucija ,,Nagrinėti“ Užduoties kortelėje buvo pagrindas Inspekcijos Kauno skyriaus vedėjo Pavedimui atlikti neplaninį patikrinimą priimti. Pastarieji </w:t>
      </w:r>
      <w:r w:rsidRPr="0014011D">
        <w:rPr>
          <w:rFonts w:asciiTheme="minorHAnsi" w:hAnsiTheme="minorHAnsi" w:cstheme="minorHAnsi"/>
          <w:bCs/>
          <w:sz w:val="22"/>
          <w:szCs w:val="22"/>
          <w:u w:val="single"/>
        </w:rPr>
        <w:t>Inspekcijos veiklą reglamentuojančiuose teisės aktuose nustatyta tvarka parengti dokumentai (Užduoties kortelė ir Pavedimas), vertinant juos kartu, ir laikytini motyvuotu sprendimu VAĮ 36</w:t>
      </w:r>
      <w:r w:rsidRPr="0014011D">
        <w:rPr>
          <w:rFonts w:asciiTheme="minorHAnsi" w:hAnsiTheme="minorHAnsi" w:cstheme="minorHAnsi"/>
          <w:bCs/>
          <w:sz w:val="22"/>
          <w:szCs w:val="22"/>
          <w:u w:val="single"/>
          <w:vertAlign w:val="superscript"/>
        </w:rPr>
        <w:t>4</w:t>
      </w:r>
      <w:r w:rsidRPr="0014011D">
        <w:rPr>
          <w:rFonts w:asciiTheme="minorHAnsi" w:hAnsiTheme="minorHAnsi" w:cstheme="minorHAnsi"/>
          <w:bCs/>
          <w:sz w:val="22"/>
          <w:szCs w:val="22"/>
          <w:u w:val="single"/>
        </w:rPr>
        <w:t xml:space="preserve"> straipsnio 13 </w:t>
      </w:r>
      <w:r w:rsidRPr="0014011D">
        <w:rPr>
          <w:rFonts w:asciiTheme="minorHAnsi" w:hAnsiTheme="minorHAnsi" w:cstheme="minorHAnsi"/>
          <w:bCs/>
          <w:sz w:val="22"/>
          <w:szCs w:val="22"/>
          <w:u w:val="single"/>
        </w:rPr>
        <w:lastRenderedPageBreak/>
        <w:t>dalies prasme</w:t>
      </w:r>
      <w:r w:rsidRPr="0014011D">
        <w:rPr>
          <w:rFonts w:asciiTheme="minorHAnsi" w:hAnsiTheme="minorHAnsi" w:cstheme="minorHAnsi"/>
          <w:bCs/>
          <w:sz w:val="22"/>
          <w:szCs w:val="22"/>
        </w:rPr>
        <w:t xml:space="preserve"> – juose nurodyta, kokio ūkio subjekto neplaninį patikrinimą, kam, kada ir kokiu pagrindu pavedama atlikti, pažymėta, kad pavedimas priimtas remiantis Valstybinės darbo inspekcijos įstatymu.</w:t>
      </w:r>
    </w:p>
    <w:p w14:paraId="15F6CBE4" w14:textId="77777777" w:rsidR="00C5781A" w:rsidRPr="0014011D" w:rsidRDefault="00C5781A" w:rsidP="00C5781A">
      <w:pPr>
        <w:ind w:firstLine="567"/>
        <w:jc w:val="both"/>
        <w:rPr>
          <w:rFonts w:asciiTheme="minorHAnsi" w:hAnsiTheme="minorHAnsi" w:cstheme="minorHAnsi"/>
          <w:bCs/>
          <w:sz w:val="22"/>
          <w:szCs w:val="22"/>
        </w:rPr>
      </w:pPr>
      <w:r w:rsidRPr="0014011D">
        <w:rPr>
          <w:rFonts w:asciiTheme="minorHAnsi" w:hAnsiTheme="minorHAnsi" w:cstheme="minorHAnsi"/>
          <w:bCs/>
          <w:sz w:val="22"/>
          <w:szCs w:val="22"/>
        </w:rPr>
        <w:t>Remdamasi šiomis aplinkybėmis, teisėjų kolegija sutiko su pirmosios instancijos teismo išvada, kad Inspekcija, elektroniniu paštu gavusi ir išnagrinėjusi anoniminį skundą dėl nelegalaus darbo pareiškėjo ūkyje, priimdama sprendimą atlikti neplaninį patikrinimą, neperžengė savo kompetencijos ribų ir vykdė jai teisės aktais nustatytas funkcijas. Taigi konstatavus, kad Inspekcija, vykdydama neplaninį pareiškėjo ūkio patikrinimą, jokios neteisėtos veikos neatliko, pareiškėjo apeliacinis skundas atmestas ir pirmosios instancijos teismo sprendimas paliktas nepakeistas.</w:t>
      </w:r>
    </w:p>
    <w:p w14:paraId="37F89EE1" w14:textId="77777777" w:rsidR="00C5781A" w:rsidRPr="0014011D" w:rsidRDefault="00C5781A" w:rsidP="00C5781A">
      <w:pPr>
        <w:rPr>
          <w:rFonts w:asciiTheme="minorHAnsi" w:hAnsiTheme="minorHAnsi" w:cstheme="minorHAnsi"/>
          <w:b/>
          <w:sz w:val="22"/>
          <w:szCs w:val="22"/>
          <w:u w:val="single"/>
        </w:rPr>
      </w:pPr>
    </w:p>
    <w:p w14:paraId="57F3E84A" w14:textId="77777777" w:rsidR="00C5781A" w:rsidRPr="0014011D" w:rsidRDefault="00C5781A" w:rsidP="00C5781A">
      <w:pPr>
        <w:rPr>
          <w:rFonts w:asciiTheme="minorHAnsi" w:hAnsiTheme="minorHAnsi" w:cstheme="minorHAnsi"/>
          <w:sz w:val="22"/>
          <w:szCs w:val="22"/>
        </w:rPr>
      </w:pPr>
      <w:r w:rsidRPr="0014011D">
        <w:rPr>
          <w:rFonts w:asciiTheme="minorHAnsi" w:hAnsiTheme="minorHAnsi" w:cstheme="minorHAnsi"/>
          <w:sz w:val="22"/>
          <w:szCs w:val="22"/>
        </w:rPr>
        <w:t xml:space="preserve">2021 m. vasario 10 d. nutartis administracinėje byloje Nr. </w:t>
      </w:r>
      <w:r w:rsidRPr="0014011D">
        <w:rPr>
          <w:rFonts w:asciiTheme="minorHAnsi" w:hAnsiTheme="minorHAnsi" w:cstheme="minorHAnsi"/>
          <w:bCs/>
          <w:sz w:val="22"/>
          <w:szCs w:val="22"/>
        </w:rPr>
        <w:t>eA-220-756/2021</w:t>
      </w:r>
    </w:p>
    <w:p w14:paraId="432354D2" w14:textId="77777777" w:rsidR="00C5781A" w:rsidRPr="0014011D" w:rsidRDefault="00C5781A" w:rsidP="00C5781A">
      <w:pPr>
        <w:rPr>
          <w:rFonts w:asciiTheme="minorHAnsi" w:hAnsiTheme="minorHAnsi" w:cstheme="minorHAnsi"/>
          <w:bCs/>
          <w:sz w:val="22"/>
          <w:szCs w:val="22"/>
          <w:lang w:eastAsia="en-US"/>
        </w:rPr>
      </w:pPr>
      <w:r w:rsidRPr="0014011D">
        <w:rPr>
          <w:rFonts w:asciiTheme="minorHAnsi" w:hAnsiTheme="minorHAnsi" w:cstheme="minorHAnsi"/>
          <w:sz w:val="22"/>
          <w:szCs w:val="22"/>
        </w:rPr>
        <w:t xml:space="preserve">Teisminio proceso Nr. </w:t>
      </w:r>
      <w:r w:rsidRPr="0014011D">
        <w:rPr>
          <w:rFonts w:asciiTheme="minorHAnsi" w:hAnsiTheme="minorHAnsi" w:cstheme="minorHAnsi"/>
          <w:bCs/>
          <w:sz w:val="22"/>
          <w:szCs w:val="22"/>
          <w:lang w:eastAsia="en-US"/>
        </w:rPr>
        <w:t>3-62-3-00668-2019-6</w:t>
      </w:r>
    </w:p>
    <w:p w14:paraId="3D79D262" w14:textId="77777777" w:rsidR="00C5781A" w:rsidRPr="0014011D" w:rsidRDefault="00C5781A" w:rsidP="00C5781A">
      <w:pPr>
        <w:rPr>
          <w:rFonts w:asciiTheme="minorHAnsi" w:hAnsiTheme="minorHAnsi" w:cstheme="minorHAnsi"/>
          <w:sz w:val="22"/>
          <w:szCs w:val="22"/>
          <w:lang w:eastAsia="en-US"/>
        </w:rPr>
      </w:pPr>
      <w:r w:rsidRPr="0014011D">
        <w:rPr>
          <w:rFonts w:asciiTheme="minorHAnsi" w:hAnsiTheme="minorHAnsi" w:cstheme="minorHAnsi"/>
          <w:sz w:val="22"/>
          <w:szCs w:val="22"/>
        </w:rPr>
        <w:t xml:space="preserve">Procesinio sprendimo </w:t>
      </w:r>
      <w:r w:rsidRPr="0014011D">
        <w:rPr>
          <w:rFonts w:asciiTheme="minorHAnsi" w:hAnsiTheme="minorHAnsi" w:cstheme="minorHAnsi"/>
          <w:sz w:val="22"/>
          <w:szCs w:val="22"/>
          <w:lang w:eastAsia="en-US"/>
        </w:rPr>
        <w:t xml:space="preserve">kategorijos: </w:t>
      </w:r>
      <w:r w:rsidRPr="0014011D">
        <w:rPr>
          <w:rFonts w:asciiTheme="minorHAnsi" w:hAnsiTheme="minorHAnsi" w:cstheme="minorHAnsi"/>
          <w:bCs/>
          <w:sz w:val="22"/>
          <w:szCs w:val="22"/>
          <w:lang w:eastAsia="en-US"/>
        </w:rPr>
        <w:t>20.2.3.1; 20.2.3.2</w:t>
      </w:r>
    </w:p>
    <w:p w14:paraId="459F76D8" w14:textId="6B725B40" w:rsidR="00C5781A" w:rsidRPr="00C5781A" w:rsidRDefault="00936F04" w:rsidP="00C5781A">
      <w:pPr>
        <w:rPr>
          <w:rFonts w:asciiTheme="minorHAnsi" w:hAnsiTheme="minorHAnsi" w:cstheme="minorHAnsi"/>
          <w:sz w:val="22"/>
          <w:szCs w:val="22"/>
          <w:u w:val="single"/>
        </w:rPr>
      </w:pPr>
      <w:hyperlink r:id="rId26" w:history="1">
        <w:r w:rsidR="00C5781A" w:rsidRPr="0014011D">
          <w:rPr>
            <w:rStyle w:val="Hipersaitas"/>
            <w:rFonts w:asciiTheme="minorHAnsi" w:hAnsiTheme="minorHAnsi" w:cstheme="minorHAnsi"/>
            <w:sz w:val="22"/>
            <w:szCs w:val="22"/>
          </w:rPr>
          <w:t>Prieiga internete</w:t>
        </w:r>
      </w:hyperlink>
    </w:p>
    <w:p w14:paraId="1FC0F70F" w14:textId="77777777" w:rsidR="00C25198" w:rsidRPr="0014011D" w:rsidRDefault="00C25198" w:rsidP="00564D15">
      <w:pPr>
        <w:jc w:val="both"/>
        <w:rPr>
          <w:rFonts w:asciiTheme="minorHAnsi" w:eastAsiaTheme="minorHAnsi" w:hAnsiTheme="minorHAnsi" w:cstheme="minorHAnsi"/>
          <w:i/>
          <w:iCs/>
          <w:sz w:val="22"/>
          <w:szCs w:val="22"/>
        </w:rPr>
      </w:pPr>
    </w:p>
    <w:p w14:paraId="0B4191C9" w14:textId="77777777" w:rsidR="00437FB4" w:rsidRPr="0014011D" w:rsidRDefault="00437FB4" w:rsidP="00B62DE8">
      <w:pPr>
        <w:pStyle w:val="Apzvalgai1"/>
        <w:rPr>
          <w:rFonts w:asciiTheme="minorHAnsi" w:hAnsiTheme="minorHAnsi" w:cstheme="minorHAnsi"/>
        </w:rPr>
      </w:pPr>
      <w:bookmarkStart w:id="53" w:name="_Toc63710315"/>
      <w:bookmarkStart w:id="54" w:name="_Toc70514813"/>
      <w:r w:rsidRPr="0014011D">
        <w:rPr>
          <w:rFonts w:asciiTheme="minorHAnsi" w:hAnsiTheme="minorHAnsi" w:cstheme="minorHAnsi"/>
        </w:rPr>
        <w:t>II. Administracinių bylų teisena</w:t>
      </w:r>
      <w:bookmarkEnd w:id="53"/>
      <w:bookmarkEnd w:id="54"/>
    </w:p>
    <w:p w14:paraId="6D828A82" w14:textId="77777777" w:rsidR="00437FB4" w:rsidRPr="0014011D" w:rsidRDefault="00437FB4" w:rsidP="00437FB4">
      <w:pPr>
        <w:shd w:val="clear" w:color="auto" w:fill="FFFFFF"/>
        <w:tabs>
          <w:tab w:val="left" w:pos="3119"/>
        </w:tabs>
        <w:ind w:right="-1" w:firstLine="567"/>
        <w:jc w:val="both"/>
        <w:rPr>
          <w:rFonts w:asciiTheme="minorHAnsi" w:hAnsiTheme="minorHAnsi" w:cstheme="minorHAnsi"/>
          <w:sz w:val="22"/>
          <w:szCs w:val="22"/>
        </w:rPr>
      </w:pPr>
    </w:p>
    <w:p w14:paraId="440889CC" w14:textId="77777777" w:rsidR="00437FB4" w:rsidRPr="0014011D" w:rsidRDefault="00437FB4" w:rsidP="002A0568">
      <w:pPr>
        <w:pStyle w:val="Antrat1"/>
        <w:rPr>
          <w:rFonts w:asciiTheme="minorHAnsi" w:hAnsiTheme="minorHAnsi" w:cstheme="minorHAnsi"/>
        </w:rPr>
      </w:pPr>
      <w:bookmarkStart w:id="55" w:name="_Toc63710316"/>
      <w:bookmarkStart w:id="56" w:name="_Toc70514814"/>
      <w:r w:rsidRPr="0014011D">
        <w:rPr>
          <w:rFonts w:asciiTheme="minorHAnsi" w:hAnsiTheme="minorHAnsi" w:cstheme="minorHAnsi"/>
        </w:rPr>
        <w:t>43. Teisė kreiptis į teismą ir jos realizavimas</w:t>
      </w:r>
      <w:bookmarkEnd w:id="55"/>
      <w:bookmarkEnd w:id="56"/>
    </w:p>
    <w:p w14:paraId="279EB7E4" w14:textId="3FF0F291" w:rsidR="00756B09" w:rsidRPr="0014011D" w:rsidRDefault="00756B09" w:rsidP="00756B09">
      <w:pPr>
        <w:tabs>
          <w:tab w:val="left" w:pos="1350"/>
        </w:tabs>
        <w:ind w:left="567"/>
        <w:rPr>
          <w:rFonts w:asciiTheme="minorHAnsi" w:hAnsiTheme="minorHAnsi" w:cstheme="minorHAnsi"/>
          <w:b/>
          <w:sz w:val="22"/>
          <w:szCs w:val="22"/>
          <w:u w:val="single"/>
        </w:rPr>
      </w:pPr>
      <w:r w:rsidRPr="0014011D">
        <w:rPr>
          <w:rFonts w:asciiTheme="minorHAnsi" w:hAnsiTheme="minorHAnsi" w:cstheme="minorHAnsi"/>
          <w:b/>
          <w:sz w:val="22"/>
          <w:szCs w:val="22"/>
          <w:u w:val="single"/>
        </w:rPr>
        <w:t>43.5. Atsisakymas priimti skundą</w:t>
      </w:r>
    </w:p>
    <w:p w14:paraId="19967A65" w14:textId="273B817F" w:rsidR="00756B09" w:rsidRPr="0014011D" w:rsidRDefault="00756B09" w:rsidP="00756B09">
      <w:pPr>
        <w:tabs>
          <w:tab w:val="left" w:pos="1350"/>
        </w:tabs>
        <w:ind w:left="567" w:firstLine="567"/>
        <w:rPr>
          <w:rFonts w:asciiTheme="minorHAnsi" w:hAnsiTheme="minorHAnsi" w:cstheme="minorHAnsi"/>
          <w:b/>
          <w:sz w:val="22"/>
          <w:szCs w:val="22"/>
          <w:u w:val="single"/>
        </w:rPr>
      </w:pPr>
      <w:r w:rsidRPr="0014011D">
        <w:rPr>
          <w:rFonts w:asciiTheme="minorHAnsi" w:hAnsiTheme="minorHAnsi" w:cstheme="minorHAnsi"/>
          <w:b/>
          <w:sz w:val="22"/>
          <w:szCs w:val="22"/>
          <w:u w:val="single"/>
        </w:rPr>
        <w:t>43.5.1. Kai skundas nenagrinėtinas ABTĮ nustatyta tvarka</w:t>
      </w:r>
    </w:p>
    <w:p w14:paraId="5D2C9383" w14:textId="77777777" w:rsidR="00437FB4" w:rsidRPr="0014011D" w:rsidRDefault="00437FB4" w:rsidP="00437FB4">
      <w:pPr>
        <w:shd w:val="clear" w:color="auto" w:fill="FFFFFF"/>
        <w:tabs>
          <w:tab w:val="left" w:pos="3119"/>
        </w:tabs>
        <w:ind w:right="-1" w:firstLine="567"/>
        <w:jc w:val="both"/>
        <w:rPr>
          <w:rFonts w:asciiTheme="minorHAnsi" w:hAnsiTheme="minorHAnsi" w:cstheme="minorHAnsi"/>
          <w:sz w:val="22"/>
          <w:szCs w:val="22"/>
        </w:rPr>
      </w:pPr>
    </w:p>
    <w:p w14:paraId="7D1EA8A2" w14:textId="65CC832E" w:rsidR="00902CDB" w:rsidRPr="0014011D" w:rsidRDefault="00902CDB" w:rsidP="002A0568">
      <w:pPr>
        <w:pStyle w:val="Antrat2"/>
      </w:pPr>
      <w:bookmarkStart w:id="57" w:name="_Toc70514815"/>
      <w:bookmarkStart w:id="58" w:name="_Hlk70513679"/>
      <w:r w:rsidRPr="0014011D">
        <w:t>Dėl</w:t>
      </w:r>
      <w:r w:rsidR="00F02F93" w:rsidRPr="0014011D">
        <w:t xml:space="preserve"> suinteresuotumo ginčyti</w:t>
      </w:r>
      <w:r w:rsidR="00587754">
        <w:t xml:space="preserve"> pareiškėjui</w:t>
      </w:r>
      <w:r w:rsidR="00E36CA1">
        <w:t xml:space="preserve"> tiesiogiai</w:t>
      </w:r>
      <w:r w:rsidR="00587754">
        <w:t xml:space="preserve"> neadresuotą</w:t>
      </w:r>
      <w:r w:rsidR="00F02F93" w:rsidRPr="0014011D">
        <w:t xml:space="preserve"> sprendimą, suteikiantį teisę tam tikram ūkio subjektui naudoti radijo dažnius</w:t>
      </w:r>
      <w:bookmarkEnd w:id="57"/>
      <w:r w:rsidR="00F02F93" w:rsidRPr="0014011D">
        <w:t xml:space="preserve">  </w:t>
      </w:r>
    </w:p>
    <w:bookmarkEnd w:id="58"/>
    <w:p w14:paraId="7A526180" w14:textId="77777777" w:rsidR="00902CDB" w:rsidRPr="0014011D" w:rsidRDefault="00902CDB" w:rsidP="00756B09">
      <w:pPr>
        <w:jc w:val="both"/>
        <w:rPr>
          <w:rFonts w:asciiTheme="minorHAnsi" w:eastAsiaTheme="minorHAnsi" w:hAnsiTheme="minorHAnsi" w:cstheme="minorHAnsi"/>
          <w:sz w:val="22"/>
          <w:szCs w:val="22"/>
        </w:rPr>
      </w:pPr>
    </w:p>
    <w:p w14:paraId="6D623693" w14:textId="41445E28" w:rsidR="00902CDB" w:rsidRPr="0014011D" w:rsidRDefault="00902CDB" w:rsidP="50018204">
      <w:pPr>
        <w:ind w:firstLine="567"/>
        <w:jc w:val="both"/>
        <w:rPr>
          <w:rFonts w:asciiTheme="minorHAnsi" w:eastAsiaTheme="minorEastAsia" w:hAnsiTheme="minorHAnsi" w:cstheme="minorBidi"/>
          <w:sz w:val="22"/>
          <w:szCs w:val="22"/>
        </w:rPr>
      </w:pPr>
      <w:r w:rsidRPr="50018204">
        <w:rPr>
          <w:rFonts w:asciiTheme="minorHAnsi" w:eastAsiaTheme="minorEastAsia" w:hAnsiTheme="minorHAnsi" w:cstheme="minorBidi"/>
          <w:sz w:val="22"/>
          <w:szCs w:val="22"/>
        </w:rPr>
        <w:t>Pareiškėjas AB „Telia Lietuva“ kreipėsi į teismą, prašydamas panaikinti Lietuvos Respublikos ryšių reguliavimo tarnybos (toliau – Tarnyba) direktoriaus įsakymo „Dėl teisės naudoti radijo dažnius (kanalus), skirtus AB Lietuvos radijo ir televizijos centrui, perleidimo UAB „Mezon“ dalį, kurioje leista perleisti UAB „Mezon“ teisę naudoti radijo dažnius (kanalus</w:t>
      </w:r>
      <w:r w:rsidR="00911B10">
        <w:rPr>
          <w:rFonts w:asciiTheme="minorHAnsi" w:eastAsiaTheme="minorEastAsia" w:hAnsiTheme="minorHAnsi" w:cstheme="minorBidi"/>
          <w:sz w:val="22"/>
          <w:szCs w:val="22"/>
        </w:rPr>
        <w:t>)</w:t>
      </w:r>
      <w:r w:rsidRPr="50018204">
        <w:rPr>
          <w:rFonts w:asciiTheme="minorHAnsi" w:eastAsiaTheme="minorEastAsia" w:hAnsiTheme="minorHAnsi" w:cstheme="minorBidi"/>
          <w:sz w:val="22"/>
          <w:szCs w:val="22"/>
        </w:rPr>
        <w:t>.</w:t>
      </w:r>
    </w:p>
    <w:p w14:paraId="4A60600A" w14:textId="17B09998" w:rsidR="00902CDB" w:rsidRPr="0014011D" w:rsidRDefault="00902CDB" w:rsidP="00902CDB">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Teisėjų kolegijos vertinimu, pirmosios instancijos teismas, nepriimdamas skundo, pareiškėjo teisinį suinteresuotumą susidariusioje situacijoje įvertino formaliai. Pirmosios instancijos teismas atsižvelgė tik į tai, jog pareiškėjas nėra minimas įsakyme, Tarnyba jo atžvilgiu nėra suformulavusi jokių privalomų nurodymų (įpareigojimų), tačiau nepasisakė dėl pareiškėjo skundo argumentų, kuriais jis siekė pagrįsti tikėtiną savo teisių ir teisėtų interesų pažeidimą, t. y. kodėl net tuo atveju, jei minėti skundo argumentai būtų pripažinti pagrįstais ir ginčijama įsakymo dalis panaikinta, pareiškėjo teisės ir teisėti interesai nebūtų apginti. Be to, skundžiamoje nutartyje painiai nurodoma, kad pareiškėjas galbūt galėtų ginčyti įsakymą, jei būtų dalyvavęs ginčo dažnių konkurse (aukcione), tačiau jis tokio pobūdžio konkurse (iki galutinio etapo) nedalyvavo, nors tokią teisę turėjo. Iš minėtos formuluotės neaišku, kokį konkursą (aukcioną), kuriame pareiškėjas nedalyvavo ar dalyvavo ne iki galutinio etapo, teismas turėjo omenyje. Tokie pirmosios instancijos teismo teiginiai galėjo sudaryti ir, kaip matyti iš atskirojo skundo, sudarė kliūtis pareiškėjui veiksmingai kvestionuoti teismo procesinio sprendimo, su kuriuo jis nesutinka, teisėtumą ir pagrįstumą (t. y. atskirajame skunde pareiškėjas bando atspėti, kurį konkursą (aukcioną) teismas turėjo omenyje, ir pateikti su tuo susijusius duomenis, argumentus). Tokia teismo nutartis negali būti pripažinta tinkamu pareigos motyvuoti priimtą sprendimą įvykdymu.</w:t>
      </w:r>
    </w:p>
    <w:p w14:paraId="6D011982" w14:textId="67AD7B2C" w:rsidR="00902CDB" w:rsidRPr="0014011D" w:rsidRDefault="00902CDB" w:rsidP="00902CDB">
      <w:pPr>
        <w:ind w:firstLine="567"/>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Klausimas dėl skundo priėmimo perduotas pirmosios instancijos teismui nagrinėti iš naujo.</w:t>
      </w:r>
    </w:p>
    <w:p w14:paraId="055B2459" w14:textId="148E2A40" w:rsidR="00902CDB" w:rsidRPr="0014011D" w:rsidRDefault="00902CDB" w:rsidP="00902CDB">
      <w:pPr>
        <w:jc w:val="both"/>
        <w:rPr>
          <w:rFonts w:asciiTheme="minorHAnsi" w:eastAsiaTheme="minorHAnsi" w:hAnsiTheme="minorHAnsi" w:cstheme="minorHAnsi"/>
          <w:sz w:val="22"/>
          <w:szCs w:val="22"/>
        </w:rPr>
      </w:pPr>
    </w:p>
    <w:p w14:paraId="338F4BC5" w14:textId="557866A3" w:rsidR="00902CDB" w:rsidRPr="0014011D" w:rsidRDefault="00902CDB" w:rsidP="00902CDB">
      <w:pPr>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2021 m. vasario 3 d. nutartis administracinėje byloje Nr. eAS-67-415/2021</w:t>
      </w:r>
    </w:p>
    <w:p w14:paraId="7D4DFB07" w14:textId="070660AC" w:rsidR="00902CDB" w:rsidRPr="0014011D" w:rsidRDefault="00902CDB" w:rsidP="00902CDB">
      <w:pPr>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Teisminio proceso Nr. 3-61-3-03904-2020-3</w:t>
      </w:r>
    </w:p>
    <w:p w14:paraId="33A44603" w14:textId="1AB757B7" w:rsidR="00902CDB" w:rsidRPr="0014011D" w:rsidRDefault="00902CDB" w:rsidP="00902CDB">
      <w:pPr>
        <w:jc w:val="both"/>
        <w:rPr>
          <w:rFonts w:asciiTheme="minorHAnsi" w:eastAsiaTheme="minorHAnsi" w:hAnsiTheme="minorHAnsi" w:cstheme="minorHAnsi"/>
          <w:sz w:val="22"/>
          <w:szCs w:val="22"/>
        </w:rPr>
      </w:pPr>
      <w:r w:rsidRPr="0014011D">
        <w:rPr>
          <w:rFonts w:asciiTheme="minorHAnsi" w:eastAsiaTheme="minorHAnsi" w:hAnsiTheme="minorHAnsi" w:cstheme="minorHAnsi"/>
          <w:sz w:val="22"/>
          <w:szCs w:val="22"/>
        </w:rPr>
        <w:t>Procesinio sprendimo kategorija 43.6</w:t>
      </w:r>
    </w:p>
    <w:p w14:paraId="645122CA" w14:textId="33F6E377" w:rsidR="00902CDB" w:rsidRPr="0014011D" w:rsidRDefault="00936F04" w:rsidP="00902CDB">
      <w:pPr>
        <w:jc w:val="both"/>
        <w:rPr>
          <w:rFonts w:asciiTheme="minorHAnsi" w:eastAsiaTheme="minorHAnsi" w:hAnsiTheme="minorHAnsi" w:cstheme="minorHAnsi"/>
          <w:sz w:val="22"/>
          <w:szCs w:val="22"/>
        </w:rPr>
      </w:pPr>
      <w:hyperlink r:id="rId27" w:history="1">
        <w:r w:rsidR="00902CDB" w:rsidRPr="0014011D">
          <w:rPr>
            <w:rStyle w:val="Hipersaitas"/>
            <w:rFonts w:asciiTheme="minorHAnsi" w:eastAsiaTheme="minorHAnsi" w:hAnsiTheme="minorHAnsi" w:cstheme="minorHAnsi"/>
            <w:sz w:val="22"/>
            <w:szCs w:val="22"/>
          </w:rPr>
          <w:t>Prieiga internete</w:t>
        </w:r>
      </w:hyperlink>
    </w:p>
    <w:p w14:paraId="34884949" w14:textId="6B7044A4" w:rsidR="00E331B8" w:rsidRPr="0014011D" w:rsidRDefault="00E331B8" w:rsidP="00756B09">
      <w:pPr>
        <w:jc w:val="both"/>
        <w:rPr>
          <w:rFonts w:asciiTheme="minorHAnsi" w:hAnsiTheme="minorHAnsi" w:cstheme="minorHAnsi"/>
          <w:sz w:val="22"/>
          <w:szCs w:val="22"/>
        </w:rPr>
      </w:pPr>
    </w:p>
    <w:p w14:paraId="4D064096" w14:textId="71BA2912" w:rsidR="00E331B8" w:rsidRPr="0014011D" w:rsidRDefault="00E331B8" w:rsidP="002A0568">
      <w:pPr>
        <w:pStyle w:val="Antrat2"/>
      </w:pPr>
      <w:bookmarkStart w:id="59" w:name="_Toc70514816"/>
      <w:r w:rsidRPr="0014011D">
        <w:t xml:space="preserve">Dėl </w:t>
      </w:r>
      <w:r w:rsidR="0027767C" w:rsidRPr="0014011D">
        <w:t>informacinėje sistemoje „Infostatyba“ pateiktų pastabų nepritarti projektui ginčijimo</w:t>
      </w:r>
      <w:bookmarkEnd w:id="59"/>
    </w:p>
    <w:p w14:paraId="1748BEDC" w14:textId="5CCEB059" w:rsidR="00E331B8" w:rsidRPr="0014011D" w:rsidRDefault="00E331B8" w:rsidP="00756B09">
      <w:pPr>
        <w:jc w:val="both"/>
        <w:rPr>
          <w:rFonts w:asciiTheme="minorHAnsi" w:hAnsiTheme="minorHAnsi" w:cstheme="minorHAnsi"/>
          <w:sz w:val="22"/>
          <w:szCs w:val="22"/>
        </w:rPr>
      </w:pPr>
    </w:p>
    <w:p w14:paraId="6D0B06AF" w14:textId="1B4EEBAC" w:rsidR="00911B10" w:rsidRPr="00911B10" w:rsidRDefault="00911B10" w:rsidP="004133D5">
      <w:pPr>
        <w:ind w:firstLine="567"/>
        <w:jc w:val="both"/>
        <w:rPr>
          <w:rFonts w:asciiTheme="minorHAnsi" w:hAnsiTheme="minorHAnsi" w:cstheme="minorHAnsi"/>
          <w:sz w:val="22"/>
          <w:szCs w:val="22"/>
        </w:rPr>
      </w:pPr>
      <w:r w:rsidRPr="00911B10">
        <w:rPr>
          <w:rFonts w:asciiTheme="minorHAnsi" w:hAnsiTheme="minorHAnsi" w:cstheme="minorHAnsi"/>
          <w:sz w:val="22"/>
          <w:szCs w:val="22"/>
        </w:rPr>
        <w:t>Pareiškėjas</w:t>
      </w:r>
      <w:r w:rsidR="004133D5">
        <w:rPr>
          <w:rFonts w:asciiTheme="minorHAnsi" w:hAnsiTheme="minorHAnsi" w:cstheme="minorHAnsi"/>
          <w:sz w:val="22"/>
          <w:szCs w:val="22"/>
        </w:rPr>
        <w:t xml:space="preserve"> kreipėsi į teismą, </w:t>
      </w:r>
      <w:r w:rsidR="004133D5" w:rsidRPr="004133D5">
        <w:rPr>
          <w:rFonts w:asciiTheme="minorHAnsi" w:hAnsiTheme="minorHAnsi" w:cstheme="minorHAnsi"/>
          <w:sz w:val="22"/>
          <w:szCs w:val="22"/>
        </w:rPr>
        <w:t>prašydamas pripažinti nepagrįsta Alytaus miesto savivaldybės administracijos</w:t>
      </w:r>
      <w:r w:rsidR="004133D5">
        <w:rPr>
          <w:rFonts w:asciiTheme="minorHAnsi" w:hAnsiTheme="minorHAnsi" w:cstheme="minorHAnsi"/>
          <w:sz w:val="22"/>
          <w:szCs w:val="22"/>
        </w:rPr>
        <w:t xml:space="preserve"> (toliau – ir Administracija)</w:t>
      </w:r>
      <w:r w:rsidR="004133D5" w:rsidRPr="004133D5">
        <w:rPr>
          <w:rFonts w:asciiTheme="minorHAnsi" w:hAnsiTheme="minorHAnsi" w:cstheme="minorHAnsi"/>
          <w:sz w:val="22"/>
          <w:szCs w:val="22"/>
        </w:rPr>
        <w:t xml:space="preserve"> 2020 m. lapkričio 12 d. išvadą (toliau – ir Išvada) dėl nuosavybės teise valdomų patalpų</w:t>
      </w:r>
      <w:r w:rsidR="004133D5">
        <w:rPr>
          <w:rFonts w:asciiTheme="minorHAnsi" w:hAnsiTheme="minorHAnsi" w:cstheme="minorHAnsi"/>
          <w:sz w:val="22"/>
          <w:szCs w:val="22"/>
        </w:rPr>
        <w:t xml:space="preserve"> </w:t>
      </w:r>
      <w:r w:rsidR="004133D5" w:rsidRPr="004133D5">
        <w:rPr>
          <w:rFonts w:asciiTheme="minorHAnsi" w:hAnsiTheme="minorHAnsi" w:cstheme="minorHAnsi"/>
          <w:sz w:val="22"/>
          <w:szCs w:val="22"/>
        </w:rPr>
        <w:t>paskirties pakeitimo iš paslaugų į gydymo bei įpareigoti Administraciją išduoti leidimą</w:t>
      </w:r>
      <w:r w:rsidR="004133D5">
        <w:rPr>
          <w:rFonts w:asciiTheme="minorHAnsi" w:hAnsiTheme="minorHAnsi" w:cstheme="minorHAnsi"/>
          <w:sz w:val="22"/>
          <w:szCs w:val="22"/>
        </w:rPr>
        <w:t>.</w:t>
      </w:r>
      <w:r w:rsidR="004133D5" w:rsidRPr="004133D5">
        <w:rPr>
          <w:rFonts w:asciiTheme="minorHAnsi" w:hAnsiTheme="minorHAnsi" w:cstheme="minorHAnsi"/>
          <w:sz w:val="22"/>
          <w:szCs w:val="22"/>
        </w:rPr>
        <w:t xml:space="preserve"> </w:t>
      </w:r>
      <w:r w:rsidR="004133D5" w:rsidRPr="00911B10">
        <w:rPr>
          <w:rFonts w:asciiTheme="minorHAnsi" w:hAnsiTheme="minorHAnsi" w:cstheme="minorHAnsi"/>
          <w:sz w:val="22"/>
          <w:szCs w:val="22"/>
        </w:rPr>
        <w:t xml:space="preserve">Pirmosios instancijos teismo vertinimu, pareiškėjo nurodytos atsakovo padarytos pastabos informacinėje </w:t>
      </w:r>
      <w:r w:rsidR="004133D5" w:rsidRPr="00911B10">
        <w:rPr>
          <w:rFonts w:asciiTheme="minorHAnsi" w:hAnsiTheme="minorHAnsi" w:cstheme="minorHAnsi"/>
          <w:sz w:val="22"/>
          <w:szCs w:val="22"/>
        </w:rPr>
        <w:lastRenderedPageBreak/>
        <w:t>sistemoje „Infostatyba“ negali būti laikomos individualiu administraciniu aktu, sukeliančiu pareiškėjui tiesiogines teisines pasekmes, kadangi tokių pastabų pateikimas tėra tik vienas iš etapų, būtinų galutiniam sprendimui – išduoti statybą leidžiantį dokumentą (leidimą pakeisti statinio ar jo dalies paskirtį) – priimti. Teismas darė išvadą, kad teismui gali būti skundžiamas būtent administracinis sprendimas, užbaigiantis administracinę procedūrą ir išsprendžiantis klausimą iš esmės.</w:t>
      </w:r>
      <w:r w:rsidR="004133D5">
        <w:rPr>
          <w:rFonts w:asciiTheme="minorHAnsi" w:hAnsiTheme="minorHAnsi" w:cstheme="minorHAnsi"/>
          <w:sz w:val="22"/>
          <w:szCs w:val="22"/>
        </w:rPr>
        <w:t xml:space="preserve"> Nesutikdamas su tokia pirmosios instancijos teismo pozicija, pareiškėjas pateikė atskirąjį skundą.</w:t>
      </w:r>
    </w:p>
    <w:p w14:paraId="28C5E369" w14:textId="0B915F64" w:rsidR="00CB3163" w:rsidRPr="0014011D" w:rsidRDefault="004133D5" w:rsidP="00CB3163">
      <w:pPr>
        <w:ind w:firstLine="567"/>
        <w:jc w:val="both"/>
        <w:rPr>
          <w:rFonts w:asciiTheme="minorHAnsi" w:hAnsiTheme="minorHAnsi" w:cstheme="minorHAnsi"/>
          <w:sz w:val="22"/>
          <w:szCs w:val="22"/>
        </w:rPr>
      </w:pPr>
      <w:r>
        <w:rPr>
          <w:rFonts w:asciiTheme="minorHAnsi" w:hAnsiTheme="minorHAnsi" w:cstheme="minorHAnsi"/>
          <w:sz w:val="22"/>
          <w:szCs w:val="22"/>
        </w:rPr>
        <w:t xml:space="preserve">Šiomis aplinkybėmis teisėjų kolegija pažymėjo, kad pagal </w:t>
      </w:r>
      <w:r w:rsidR="00E331B8" w:rsidRPr="0014011D">
        <w:rPr>
          <w:rFonts w:asciiTheme="minorHAnsi" w:hAnsiTheme="minorHAnsi" w:cstheme="minorHAnsi"/>
          <w:sz w:val="22"/>
          <w:szCs w:val="22"/>
        </w:rPr>
        <w:t xml:space="preserve">Statybos įstatymo 27 straipsnio 27 </w:t>
      </w:r>
      <w:r w:rsidR="00CB3163" w:rsidRPr="0014011D">
        <w:rPr>
          <w:rFonts w:asciiTheme="minorHAnsi" w:hAnsiTheme="minorHAnsi" w:cstheme="minorHAnsi"/>
          <w:sz w:val="22"/>
          <w:szCs w:val="22"/>
        </w:rPr>
        <w:t>dal</w:t>
      </w:r>
      <w:r>
        <w:rPr>
          <w:rFonts w:asciiTheme="minorHAnsi" w:hAnsiTheme="minorHAnsi" w:cstheme="minorHAnsi"/>
          <w:sz w:val="22"/>
          <w:szCs w:val="22"/>
        </w:rPr>
        <w:t xml:space="preserve">į, </w:t>
      </w:r>
      <w:r w:rsidR="00E331B8" w:rsidRPr="0014011D">
        <w:rPr>
          <w:rFonts w:asciiTheme="minorHAnsi" w:hAnsiTheme="minorHAnsi" w:cstheme="minorHAnsi"/>
          <w:sz w:val="22"/>
          <w:szCs w:val="22"/>
        </w:rPr>
        <w:t>sprendimą neišduoti statybą leidžiantį dokumentą statytojas (užsakovas) turi teisę apskųsti teismui. Statybą leidžiančio dokumento išdavimo proceso metu iki statybą leidžiančio dokumento išdavimo neteisėtai priimtus administracinius sprendimus administracine tvarka panaikina šiuos sprendimus priėmę subjektai arba teismas (Statybos įstatymo 27 str. 28</w:t>
      </w:r>
      <w:r w:rsidR="00CB3163" w:rsidRPr="0014011D">
        <w:rPr>
          <w:rFonts w:asciiTheme="minorHAnsi" w:hAnsiTheme="minorHAnsi" w:cstheme="minorHAnsi"/>
          <w:sz w:val="22"/>
          <w:szCs w:val="22"/>
        </w:rPr>
        <w:t> d</w:t>
      </w:r>
      <w:r w:rsidR="00E331B8" w:rsidRPr="0014011D">
        <w:rPr>
          <w:rFonts w:asciiTheme="minorHAnsi" w:hAnsiTheme="minorHAnsi" w:cstheme="minorHAnsi"/>
          <w:sz w:val="22"/>
          <w:szCs w:val="22"/>
        </w:rPr>
        <w:t>.).</w:t>
      </w:r>
      <w:r w:rsidR="00CB3163" w:rsidRPr="0014011D">
        <w:rPr>
          <w:rFonts w:asciiTheme="minorHAnsi" w:hAnsiTheme="minorHAnsi" w:cstheme="minorHAnsi"/>
          <w:sz w:val="22"/>
          <w:szCs w:val="22"/>
        </w:rPr>
        <w:t xml:space="preserve"> G</w:t>
      </w:r>
      <w:r w:rsidR="00E331B8" w:rsidRPr="0014011D">
        <w:rPr>
          <w:rFonts w:asciiTheme="minorHAnsi" w:hAnsiTheme="minorHAnsi" w:cstheme="minorHAnsi"/>
          <w:sz w:val="22"/>
          <w:szCs w:val="22"/>
        </w:rPr>
        <w:t>avus nepritarimą (nepritarimų), statybą leidžiantis dokumentas neišduodamas ir statytojas apie tai per 3 darbo dienas praėjus statinio projekto patikrinimo terminui per Lietuvos Respublikos statybos leidimų ir statybos valstybinės priežiūros informacinę sistemą „Infostatyba“ informuojamas nurodant neišdavimo priežastis ir pateikiant nepritarimo (nepritarimų) kopiją (kopijas)</w:t>
      </w:r>
      <w:r w:rsidR="00CB3163" w:rsidRPr="0014011D">
        <w:rPr>
          <w:rFonts w:asciiTheme="minorHAnsi" w:hAnsiTheme="minorHAnsi" w:cstheme="minorHAnsi"/>
          <w:sz w:val="22"/>
          <w:szCs w:val="22"/>
        </w:rPr>
        <w:t xml:space="preserve"> (Statybos įstatymo 27 str. 13 d.).</w:t>
      </w:r>
    </w:p>
    <w:p w14:paraId="35098D85" w14:textId="77777777" w:rsidR="00CB3163" w:rsidRPr="0014011D" w:rsidRDefault="00E331B8" w:rsidP="00CB3163">
      <w:pPr>
        <w:ind w:firstLine="567"/>
        <w:jc w:val="both"/>
        <w:rPr>
          <w:rFonts w:asciiTheme="minorHAnsi" w:hAnsiTheme="minorHAnsi" w:cstheme="minorHAnsi"/>
          <w:sz w:val="22"/>
          <w:szCs w:val="22"/>
        </w:rPr>
      </w:pPr>
      <w:r w:rsidRPr="0014011D">
        <w:rPr>
          <w:rFonts w:asciiTheme="minorHAnsi" w:hAnsiTheme="minorHAnsi" w:cstheme="minorHAnsi"/>
          <w:sz w:val="22"/>
          <w:szCs w:val="22"/>
        </w:rPr>
        <w:t>Aplinkos ministro 2016 m. gruodžio 12 d. įsakymu Nr. D1-878 patvirtinto statybos techninio reglamento STR 1.05.01:2017 „Statybą leidžiantys dokumentai. Statybos užbaigimas. Statybos sustabdymas. Savavališkos statybos padarinių šalinimas. Statybos pagal neteisėtai išduotą statybą leidžiantį dokumentą padarinių šalinimas“ (toliau – ir Reglamentas) 16 punkte nustatyta, kad statinio projektą tikrinantis asmuo ne vėliau kaip iki Statybos įstatymo 27 straipsnio 12 dalyje nurodyto statinio projekto patikrinimo termino pabaigos informacinėje sistemoje „Infostatyba“ paskelbia pritarimą ar nepritarimą statinio projektui. Nepritarus statinio projektui, informacinėje sistemoje „Infostatyba“ paskelbiami motyvai nurodant konkrečius Statybos įstatymo 24 straipsnio 3 dalyje nustatytų reikalavimų pažeidimus. Prašymo pateikėjas informaciją apie kiekvieną nepritarimą statinio projektui ir jo motyvus gauna per informacinę sistemą „Infostatyba“ iškart po jo paskelbimo informacinėje sistemoje „Infostatyba“.</w:t>
      </w:r>
    </w:p>
    <w:p w14:paraId="4FB046BF" w14:textId="77777777" w:rsidR="00CB3163" w:rsidRPr="0014011D" w:rsidRDefault="00E331B8" w:rsidP="00CB3163">
      <w:pPr>
        <w:ind w:firstLine="567"/>
        <w:jc w:val="both"/>
        <w:rPr>
          <w:rFonts w:asciiTheme="minorHAnsi" w:hAnsiTheme="minorHAnsi" w:cstheme="minorHAnsi"/>
          <w:sz w:val="22"/>
          <w:szCs w:val="22"/>
        </w:rPr>
      </w:pPr>
      <w:r w:rsidRPr="0014011D">
        <w:rPr>
          <w:rFonts w:asciiTheme="minorHAnsi" w:hAnsiTheme="minorHAnsi" w:cstheme="minorHAnsi"/>
          <w:sz w:val="22"/>
          <w:szCs w:val="22"/>
        </w:rPr>
        <w:t>Jei per statinio projekto patikrinimo terminą statinio projektui nepritarė nors vienas iš privalėjusių jį patikrinti subjektų, savivaldybės administracijos įgaliotas valstybės tarnautojas ar darbuotojas, dirbantis pagal darbo sutartį, apie tai, kad statybą leidžiantis dokumentas neišduodamas, pažymi IS „Infostatyba“ tik tuo atveju, jei nepritaręs statinio projektui subjektas IS „Infostatyba“ nurodė savo nepritarimo motyvus (Reglamento 19</w:t>
      </w:r>
      <w:r w:rsidR="00CB3163" w:rsidRPr="0014011D">
        <w:rPr>
          <w:rFonts w:asciiTheme="minorHAnsi" w:hAnsiTheme="minorHAnsi" w:cstheme="minorHAnsi"/>
          <w:sz w:val="22"/>
          <w:szCs w:val="22"/>
        </w:rPr>
        <w:t> </w:t>
      </w:r>
      <w:r w:rsidRPr="0014011D">
        <w:rPr>
          <w:rFonts w:asciiTheme="minorHAnsi" w:hAnsiTheme="minorHAnsi" w:cstheme="minorHAnsi"/>
          <w:sz w:val="22"/>
          <w:szCs w:val="22"/>
        </w:rPr>
        <w:t>p.). Jei statinio projektui nepritariama, apie tai, pridėdamas visus nepritarimo motyvus, savivaldybės administracijos įgaliotas valstybės tarnautojas paskelbia IS „Infostatyba“ ne vėliau kaip per 3 darbo dienas po statinio projekto patikrinimo termino pabaigos, arba iki šio termino pabaigos, jei gauti visų statinio projektą privalėjusių patikrinti subjektų pritarimai/nepritarimai statinio projektui (Reglamento 20 p.).</w:t>
      </w:r>
    </w:p>
    <w:p w14:paraId="46DE1858" w14:textId="1238D719" w:rsidR="004A6082" w:rsidRPr="0014011D" w:rsidRDefault="00CB3163" w:rsidP="50018204">
      <w:pPr>
        <w:ind w:firstLine="567"/>
        <w:jc w:val="both"/>
        <w:rPr>
          <w:rFonts w:asciiTheme="minorHAnsi" w:hAnsiTheme="minorHAnsi" w:cstheme="minorBidi"/>
          <w:sz w:val="22"/>
          <w:szCs w:val="22"/>
        </w:rPr>
      </w:pPr>
      <w:r w:rsidRPr="50018204">
        <w:rPr>
          <w:rFonts w:asciiTheme="minorHAnsi" w:hAnsiTheme="minorHAnsi" w:cstheme="minorBidi"/>
          <w:sz w:val="22"/>
          <w:szCs w:val="22"/>
        </w:rPr>
        <w:t>Nagrinėtu atveju savivaldybės a</w:t>
      </w:r>
      <w:r w:rsidR="00E331B8" w:rsidRPr="50018204">
        <w:rPr>
          <w:rFonts w:asciiTheme="minorHAnsi" w:hAnsiTheme="minorHAnsi" w:cstheme="minorBidi"/>
          <w:sz w:val="22"/>
          <w:szCs w:val="22"/>
        </w:rPr>
        <w:t xml:space="preserve">dministracijos Architektūros, urbanistikos ir žemėtvarkos skyriaus nepritarimas buvo paskelbtas informacinėje sistemoje „Infostatyba“ 2020 m. rugpjūčio 25 d. Į pareiškėjų raštą dėl tokio nepritarimo motyvų </w:t>
      </w:r>
      <w:r w:rsidRPr="50018204">
        <w:rPr>
          <w:rFonts w:asciiTheme="minorHAnsi" w:hAnsiTheme="minorHAnsi" w:cstheme="minorBidi"/>
          <w:sz w:val="22"/>
          <w:szCs w:val="22"/>
        </w:rPr>
        <w:t>savivaldybės a</w:t>
      </w:r>
      <w:r w:rsidR="00E331B8" w:rsidRPr="50018204">
        <w:rPr>
          <w:rFonts w:asciiTheme="minorHAnsi" w:hAnsiTheme="minorHAnsi" w:cstheme="minorBidi"/>
          <w:sz w:val="22"/>
          <w:szCs w:val="22"/>
        </w:rPr>
        <w:t>dministracija atsakė 2020 m. spalio 5 d.</w:t>
      </w:r>
      <w:r w:rsidRPr="50018204">
        <w:rPr>
          <w:rFonts w:asciiTheme="minorHAnsi" w:hAnsiTheme="minorHAnsi" w:cstheme="minorBidi"/>
          <w:sz w:val="22"/>
          <w:szCs w:val="22"/>
        </w:rPr>
        <w:t xml:space="preserve"> </w:t>
      </w:r>
      <w:r w:rsidR="00E331B8" w:rsidRPr="50018204">
        <w:rPr>
          <w:rFonts w:asciiTheme="minorHAnsi" w:hAnsiTheme="minorHAnsi" w:cstheme="minorBidi"/>
          <w:sz w:val="22"/>
          <w:szCs w:val="22"/>
        </w:rPr>
        <w:t xml:space="preserve">2020 m. spalio 25 d. pareiškėjai pakartotinai kreipėsi į </w:t>
      </w:r>
      <w:r w:rsidRPr="50018204">
        <w:rPr>
          <w:rFonts w:asciiTheme="minorHAnsi" w:hAnsiTheme="minorHAnsi" w:cstheme="minorBidi"/>
          <w:sz w:val="22"/>
          <w:szCs w:val="22"/>
        </w:rPr>
        <w:t>savivaldybės a</w:t>
      </w:r>
      <w:r w:rsidR="00E331B8" w:rsidRPr="50018204">
        <w:rPr>
          <w:rFonts w:asciiTheme="minorHAnsi" w:hAnsiTheme="minorHAnsi" w:cstheme="minorBidi"/>
          <w:sz w:val="22"/>
          <w:szCs w:val="22"/>
        </w:rPr>
        <w:t xml:space="preserve">dministraciją, prašydami išduoti leidimą, tačiau informacinėje sistemoje „Infostatyba“ </w:t>
      </w:r>
      <w:r w:rsidRPr="50018204">
        <w:rPr>
          <w:rFonts w:asciiTheme="minorHAnsi" w:hAnsiTheme="minorHAnsi" w:cstheme="minorBidi"/>
          <w:sz w:val="22"/>
          <w:szCs w:val="22"/>
        </w:rPr>
        <w:t>savivaldybės a</w:t>
      </w:r>
      <w:r w:rsidR="00E331B8" w:rsidRPr="50018204">
        <w:rPr>
          <w:rFonts w:asciiTheme="minorHAnsi" w:hAnsiTheme="minorHAnsi" w:cstheme="minorBidi"/>
          <w:sz w:val="22"/>
          <w:szCs w:val="22"/>
        </w:rPr>
        <w:t>dministracijos Architektūros, urbanistikos ir žemėtvarkos skyrius 2020</w:t>
      </w:r>
      <w:r w:rsidRPr="50018204">
        <w:rPr>
          <w:rFonts w:asciiTheme="minorHAnsi" w:hAnsiTheme="minorHAnsi" w:cstheme="minorBidi"/>
          <w:sz w:val="22"/>
          <w:szCs w:val="22"/>
        </w:rPr>
        <w:t> </w:t>
      </w:r>
      <w:r w:rsidR="00E331B8" w:rsidRPr="50018204">
        <w:rPr>
          <w:rFonts w:asciiTheme="minorHAnsi" w:hAnsiTheme="minorHAnsi" w:cstheme="minorBidi"/>
          <w:sz w:val="22"/>
          <w:szCs w:val="22"/>
        </w:rPr>
        <w:t>m.</w:t>
      </w:r>
      <w:r w:rsidRPr="50018204">
        <w:rPr>
          <w:rFonts w:asciiTheme="minorHAnsi" w:hAnsiTheme="minorHAnsi" w:cstheme="minorBidi"/>
          <w:sz w:val="22"/>
          <w:szCs w:val="22"/>
        </w:rPr>
        <w:t> </w:t>
      </w:r>
      <w:r w:rsidR="00E331B8" w:rsidRPr="50018204">
        <w:rPr>
          <w:rFonts w:asciiTheme="minorHAnsi" w:hAnsiTheme="minorHAnsi" w:cstheme="minorBidi"/>
          <w:sz w:val="22"/>
          <w:szCs w:val="22"/>
        </w:rPr>
        <w:t>lapkričio</w:t>
      </w:r>
      <w:r w:rsidRPr="50018204">
        <w:rPr>
          <w:rFonts w:asciiTheme="minorHAnsi" w:hAnsiTheme="minorHAnsi" w:cstheme="minorBidi"/>
          <w:sz w:val="22"/>
          <w:szCs w:val="22"/>
        </w:rPr>
        <w:t> </w:t>
      </w:r>
      <w:r w:rsidR="00E331B8" w:rsidRPr="50018204">
        <w:rPr>
          <w:rFonts w:asciiTheme="minorHAnsi" w:hAnsiTheme="minorHAnsi" w:cstheme="minorBidi"/>
          <w:sz w:val="22"/>
          <w:szCs w:val="22"/>
        </w:rPr>
        <w:t>12</w:t>
      </w:r>
      <w:r w:rsidRPr="50018204">
        <w:rPr>
          <w:rFonts w:asciiTheme="minorHAnsi" w:hAnsiTheme="minorHAnsi" w:cstheme="minorBidi"/>
          <w:sz w:val="22"/>
          <w:szCs w:val="22"/>
        </w:rPr>
        <w:t> </w:t>
      </w:r>
      <w:r w:rsidR="00E331B8" w:rsidRPr="50018204">
        <w:rPr>
          <w:rFonts w:asciiTheme="minorHAnsi" w:hAnsiTheme="minorHAnsi" w:cstheme="minorBidi"/>
          <w:sz w:val="22"/>
          <w:szCs w:val="22"/>
        </w:rPr>
        <w:t xml:space="preserve">d. paskelbė pareiškėjų </w:t>
      </w:r>
      <w:r w:rsidR="004A6082" w:rsidRPr="50018204">
        <w:rPr>
          <w:rFonts w:asciiTheme="minorHAnsi" w:hAnsiTheme="minorHAnsi" w:cstheme="minorBidi"/>
          <w:sz w:val="22"/>
          <w:szCs w:val="22"/>
        </w:rPr>
        <w:t xml:space="preserve">aptariamoje </w:t>
      </w:r>
      <w:r w:rsidR="00E331B8" w:rsidRPr="50018204">
        <w:rPr>
          <w:rFonts w:asciiTheme="minorHAnsi" w:hAnsiTheme="minorHAnsi" w:cstheme="minorBidi"/>
          <w:sz w:val="22"/>
          <w:szCs w:val="22"/>
        </w:rPr>
        <w:t xml:space="preserve">administracinėje byloje siekiamą panaikinti </w:t>
      </w:r>
      <w:r w:rsidR="004A6082" w:rsidRPr="50018204">
        <w:rPr>
          <w:rFonts w:asciiTheme="minorHAnsi" w:hAnsiTheme="minorHAnsi" w:cstheme="minorBidi"/>
          <w:sz w:val="22"/>
          <w:szCs w:val="22"/>
        </w:rPr>
        <w:t>i</w:t>
      </w:r>
      <w:r w:rsidR="00E331B8" w:rsidRPr="50018204">
        <w:rPr>
          <w:rFonts w:asciiTheme="minorHAnsi" w:hAnsiTheme="minorHAnsi" w:cstheme="minorBidi"/>
          <w:sz w:val="22"/>
          <w:szCs w:val="22"/>
        </w:rPr>
        <w:t>švadą – nepritarti pareiškėjui išduoti leidimą pakeisti patalpų paskirtį iš paslaugų į gydymo. Kitos institucijos – Nacionalinio visuomenės sveikatos centro prie Sveikatos apsaugos ministerijos Alytaus departamento 2020</w:t>
      </w:r>
      <w:r w:rsidR="004A6082" w:rsidRPr="50018204">
        <w:rPr>
          <w:rFonts w:asciiTheme="minorHAnsi" w:hAnsiTheme="minorHAnsi" w:cstheme="minorBidi"/>
          <w:sz w:val="22"/>
          <w:szCs w:val="22"/>
        </w:rPr>
        <w:t> </w:t>
      </w:r>
      <w:r w:rsidR="00E331B8" w:rsidRPr="50018204">
        <w:rPr>
          <w:rFonts w:asciiTheme="minorHAnsi" w:hAnsiTheme="minorHAnsi" w:cstheme="minorBidi"/>
          <w:sz w:val="22"/>
          <w:szCs w:val="22"/>
        </w:rPr>
        <w:t>m.</w:t>
      </w:r>
      <w:r w:rsidR="004A6082" w:rsidRPr="50018204">
        <w:rPr>
          <w:rFonts w:asciiTheme="minorHAnsi" w:hAnsiTheme="minorHAnsi" w:cstheme="minorBidi"/>
          <w:sz w:val="22"/>
          <w:szCs w:val="22"/>
        </w:rPr>
        <w:t> </w:t>
      </w:r>
      <w:r w:rsidR="00E331B8" w:rsidRPr="50018204">
        <w:rPr>
          <w:rFonts w:asciiTheme="minorHAnsi" w:hAnsiTheme="minorHAnsi" w:cstheme="minorBidi"/>
          <w:sz w:val="22"/>
          <w:szCs w:val="22"/>
        </w:rPr>
        <w:t>lapkričio</w:t>
      </w:r>
      <w:r w:rsidR="004A6082" w:rsidRPr="50018204">
        <w:rPr>
          <w:rFonts w:asciiTheme="minorHAnsi" w:hAnsiTheme="minorHAnsi" w:cstheme="minorBidi"/>
          <w:sz w:val="22"/>
          <w:szCs w:val="22"/>
        </w:rPr>
        <w:t> </w:t>
      </w:r>
      <w:r w:rsidR="00E331B8" w:rsidRPr="50018204">
        <w:rPr>
          <w:rFonts w:asciiTheme="minorHAnsi" w:hAnsiTheme="minorHAnsi" w:cstheme="minorBidi"/>
          <w:sz w:val="22"/>
          <w:szCs w:val="22"/>
        </w:rPr>
        <w:t>12</w:t>
      </w:r>
      <w:r w:rsidR="004A6082" w:rsidRPr="50018204">
        <w:rPr>
          <w:rFonts w:asciiTheme="minorHAnsi" w:hAnsiTheme="minorHAnsi" w:cstheme="minorBidi"/>
          <w:sz w:val="22"/>
          <w:szCs w:val="22"/>
        </w:rPr>
        <w:t> </w:t>
      </w:r>
      <w:r w:rsidR="00E331B8" w:rsidRPr="50018204">
        <w:rPr>
          <w:rFonts w:asciiTheme="minorHAnsi" w:hAnsiTheme="minorHAnsi" w:cstheme="minorBidi"/>
          <w:sz w:val="22"/>
          <w:szCs w:val="22"/>
        </w:rPr>
        <w:t>d. paskelbta išvada – pritarti.</w:t>
      </w:r>
    </w:p>
    <w:p w14:paraId="6C31D16B" w14:textId="4F0229BF" w:rsidR="00E331B8" w:rsidRPr="0014011D" w:rsidRDefault="004A6082" w:rsidP="44DCA071">
      <w:pPr>
        <w:ind w:firstLine="567"/>
        <w:jc w:val="both"/>
        <w:rPr>
          <w:rFonts w:asciiTheme="minorHAnsi" w:hAnsiTheme="minorHAnsi" w:cstheme="minorBidi"/>
          <w:sz w:val="22"/>
          <w:szCs w:val="22"/>
        </w:rPr>
      </w:pPr>
      <w:r w:rsidRPr="44DCA071">
        <w:rPr>
          <w:rFonts w:asciiTheme="minorHAnsi" w:hAnsiTheme="minorHAnsi" w:cstheme="minorBidi"/>
          <w:sz w:val="22"/>
          <w:szCs w:val="22"/>
        </w:rPr>
        <w:t xml:space="preserve">Atsižvelgusi į tai, </w:t>
      </w:r>
      <w:r w:rsidR="00E331B8" w:rsidRPr="00911B10">
        <w:rPr>
          <w:rFonts w:asciiTheme="minorHAnsi" w:hAnsiTheme="minorHAnsi" w:cstheme="minorBidi"/>
          <w:sz w:val="22"/>
          <w:szCs w:val="22"/>
          <w:u w:val="single"/>
        </w:rPr>
        <w:t>teisėjų kolegija</w:t>
      </w:r>
      <w:r w:rsidRPr="00911B10">
        <w:rPr>
          <w:rFonts w:asciiTheme="minorHAnsi" w:hAnsiTheme="minorHAnsi" w:cstheme="minorBidi"/>
          <w:sz w:val="22"/>
          <w:szCs w:val="22"/>
          <w:u w:val="single"/>
        </w:rPr>
        <w:t xml:space="preserve"> </w:t>
      </w:r>
      <w:r w:rsidR="00E331B8" w:rsidRPr="00911B10">
        <w:rPr>
          <w:rFonts w:asciiTheme="minorHAnsi" w:hAnsiTheme="minorHAnsi" w:cstheme="minorBidi"/>
          <w:b/>
          <w:bCs/>
          <w:sz w:val="22"/>
          <w:szCs w:val="22"/>
          <w:u w:val="single"/>
        </w:rPr>
        <w:t>nep</w:t>
      </w:r>
      <w:r w:rsidRPr="00911B10">
        <w:rPr>
          <w:rFonts w:asciiTheme="minorHAnsi" w:hAnsiTheme="minorHAnsi" w:cstheme="minorBidi"/>
          <w:b/>
          <w:bCs/>
          <w:sz w:val="22"/>
          <w:szCs w:val="22"/>
          <w:u w:val="single"/>
        </w:rPr>
        <w:t>ritarė</w:t>
      </w:r>
      <w:r w:rsidRPr="00911B10">
        <w:rPr>
          <w:rFonts w:asciiTheme="minorHAnsi" w:hAnsiTheme="minorHAnsi" w:cstheme="minorBidi"/>
          <w:sz w:val="22"/>
          <w:szCs w:val="22"/>
          <w:u w:val="single"/>
        </w:rPr>
        <w:t xml:space="preserve"> </w:t>
      </w:r>
      <w:r w:rsidR="00E331B8" w:rsidRPr="00911B10">
        <w:rPr>
          <w:rFonts w:asciiTheme="minorHAnsi" w:hAnsiTheme="minorHAnsi" w:cstheme="minorBidi"/>
          <w:sz w:val="22"/>
          <w:szCs w:val="22"/>
          <w:u w:val="single"/>
        </w:rPr>
        <w:t>pirmosios instancijos teismo išvad</w:t>
      </w:r>
      <w:r w:rsidRPr="00911B10">
        <w:rPr>
          <w:rFonts w:asciiTheme="minorHAnsi" w:hAnsiTheme="minorHAnsi" w:cstheme="minorBidi"/>
          <w:sz w:val="22"/>
          <w:szCs w:val="22"/>
          <w:u w:val="single"/>
        </w:rPr>
        <w:t xml:space="preserve">ai, </w:t>
      </w:r>
      <w:r w:rsidR="00E331B8" w:rsidRPr="00911B10">
        <w:rPr>
          <w:rFonts w:asciiTheme="minorHAnsi" w:hAnsiTheme="minorHAnsi" w:cstheme="minorBidi"/>
          <w:sz w:val="22"/>
          <w:szCs w:val="22"/>
          <w:u w:val="single"/>
        </w:rPr>
        <w:t>kad informacinėje</w:t>
      </w:r>
      <w:r w:rsidR="00E331B8" w:rsidRPr="44DCA071">
        <w:rPr>
          <w:rFonts w:asciiTheme="minorHAnsi" w:hAnsiTheme="minorHAnsi" w:cstheme="minorBidi"/>
          <w:sz w:val="22"/>
          <w:szCs w:val="22"/>
          <w:u w:val="single"/>
        </w:rPr>
        <w:t xml:space="preserve"> sistemoje „Infostatyba“ nurodytos pastabos negali būti laikomos administraciniu sprendimu ABTĮ požiūriu ir vien jų nuginčijimas teisme pareiškėjui jokių teisinių pasekmių nesukeltų. </w:t>
      </w:r>
      <w:r w:rsidRPr="44DCA071">
        <w:rPr>
          <w:rFonts w:asciiTheme="minorHAnsi" w:hAnsiTheme="minorHAnsi" w:cstheme="minorBidi"/>
          <w:sz w:val="22"/>
          <w:szCs w:val="22"/>
          <w:u w:val="single"/>
        </w:rPr>
        <w:t>Savivaldybės a</w:t>
      </w:r>
      <w:r w:rsidR="00E331B8" w:rsidRPr="44DCA071">
        <w:rPr>
          <w:rFonts w:asciiTheme="minorHAnsi" w:hAnsiTheme="minorHAnsi" w:cstheme="minorBidi"/>
          <w:sz w:val="22"/>
          <w:szCs w:val="22"/>
          <w:u w:val="single"/>
        </w:rPr>
        <w:t>dministracijos nepritarimas su pastabomis, nepaisant tokio nepritarimo formos (įrašo „Nepritarti“ ir pastabų paskelbimo informacinėje sistemoje „Infostatyba“), yra šios institucijos sprendimas netenkinti pareiškėjo pateiktų prašymų išduoti leidimą.</w:t>
      </w:r>
      <w:r w:rsidR="00E331B8" w:rsidRPr="44DCA071">
        <w:rPr>
          <w:rFonts w:asciiTheme="minorHAnsi" w:hAnsiTheme="minorHAnsi" w:cstheme="minorBidi"/>
          <w:sz w:val="22"/>
          <w:szCs w:val="22"/>
        </w:rPr>
        <w:t xml:space="preserve"> Tai patvirtina ir byloje esantis</w:t>
      </w:r>
      <w:r w:rsidRPr="44DCA071">
        <w:rPr>
          <w:rFonts w:asciiTheme="minorHAnsi" w:hAnsiTheme="minorHAnsi" w:cstheme="minorBidi"/>
          <w:sz w:val="22"/>
          <w:szCs w:val="22"/>
        </w:rPr>
        <w:t xml:space="preserve"> savivaldybės a</w:t>
      </w:r>
      <w:r w:rsidR="00E331B8" w:rsidRPr="44DCA071">
        <w:rPr>
          <w:rFonts w:asciiTheme="minorHAnsi" w:hAnsiTheme="minorHAnsi" w:cstheme="minorBidi"/>
          <w:sz w:val="22"/>
          <w:szCs w:val="22"/>
        </w:rPr>
        <w:t xml:space="preserve">dministracijos 2020 m. spalio 5 d. raštas, kuriame iš esmės analogiško pobūdžio įrašą informacinėje sistemoje atsakovas vertina kaip pareiškėjo prašymų atmetimą. Iš pareiškėjo skundo matyti, kad pareiškėjas nesutinka su </w:t>
      </w:r>
      <w:r w:rsidRPr="44DCA071">
        <w:rPr>
          <w:rFonts w:asciiTheme="minorHAnsi" w:hAnsiTheme="minorHAnsi" w:cstheme="minorBidi"/>
          <w:sz w:val="22"/>
          <w:szCs w:val="22"/>
        </w:rPr>
        <w:t>i</w:t>
      </w:r>
      <w:r w:rsidR="00E331B8" w:rsidRPr="44DCA071">
        <w:rPr>
          <w:rFonts w:asciiTheme="minorHAnsi" w:hAnsiTheme="minorHAnsi" w:cstheme="minorBidi"/>
          <w:sz w:val="22"/>
          <w:szCs w:val="22"/>
        </w:rPr>
        <w:t xml:space="preserve">švados pastabomis, pateikia tokio nesutikimo argumentus, be to, </w:t>
      </w:r>
      <w:r w:rsidRPr="44DCA071">
        <w:rPr>
          <w:rFonts w:asciiTheme="minorHAnsi" w:hAnsiTheme="minorHAnsi" w:cstheme="minorBidi"/>
          <w:sz w:val="22"/>
          <w:szCs w:val="22"/>
        </w:rPr>
        <w:t>i</w:t>
      </w:r>
      <w:r w:rsidR="00E331B8" w:rsidRPr="44DCA071">
        <w:rPr>
          <w:rFonts w:asciiTheme="minorHAnsi" w:hAnsiTheme="minorHAnsi" w:cstheme="minorBidi"/>
          <w:sz w:val="22"/>
          <w:szCs w:val="22"/>
        </w:rPr>
        <w:t xml:space="preserve">švada – nepritarti, yra </w:t>
      </w:r>
      <w:r w:rsidRPr="44DCA071">
        <w:rPr>
          <w:rFonts w:asciiTheme="minorHAnsi" w:hAnsiTheme="minorHAnsi" w:cstheme="minorBidi"/>
          <w:sz w:val="22"/>
          <w:szCs w:val="22"/>
        </w:rPr>
        <w:t>savivaldybės a</w:t>
      </w:r>
      <w:r w:rsidR="00E331B8" w:rsidRPr="44DCA071">
        <w:rPr>
          <w:rFonts w:asciiTheme="minorHAnsi" w:hAnsiTheme="minorHAnsi" w:cstheme="minorBidi"/>
          <w:sz w:val="22"/>
          <w:szCs w:val="22"/>
        </w:rPr>
        <w:t xml:space="preserve">dministracijos sprendimas </w:t>
      </w:r>
      <w:r w:rsidRPr="44DCA071">
        <w:rPr>
          <w:rFonts w:asciiTheme="minorHAnsi" w:hAnsiTheme="minorHAnsi" w:cstheme="minorBidi"/>
          <w:sz w:val="22"/>
          <w:szCs w:val="22"/>
        </w:rPr>
        <w:t xml:space="preserve">dėl </w:t>
      </w:r>
      <w:r w:rsidR="00E331B8" w:rsidRPr="44DCA071">
        <w:rPr>
          <w:rFonts w:asciiTheme="minorHAnsi" w:hAnsiTheme="minorHAnsi" w:cstheme="minorBidi"/>
          <w:sz w:val="22"/>
          <w:szCs w:val="22"/>
        </w:rPr>
        <w:t>pareiškėjo pakartotinių prašymų. Akivaizdu, kad</w:t>
      </w:r>
      <w:r w:rsidRPr="44DCA071">
        <w:rPr>
          <w:rFonts w:asciiTheme="minorHAnsi" w:hAnsiTheme="minorHAnsi" w:cstheme="minorBidi"/>
          <w:sz w:val="22"/>
          <w:szCs w:val="22"/>
        </w:rPr>
        <w:t xml:space="preserve"> </w:t>
      </w:r>
      <w:r w:rsidR="00E331B8" w:rsidRPr="44DCA071">
        <w:rPr>
          <w:rFonts w:asciiTheme="minorHAnsi" w:hAnsiTheme="minorHAnsi" w:cstheme="minorBidi"/>
          <w:sz w:val="22"/>
          <w:szCs w:val="22"/>
        </w:rPr>
        <w:t>yra sukeliamos teisinės pasekmės, kadangi</w:t>
      </w:r>
      <w:r w:rsidRPr="44DCA071">
        <w:rPr>
          <w:rFonts w:asciiTheme="minorHAnsi" w:hAnsiTheme="minorHAnsi" w:cstheme="minorBidi"/>
          <w:sz w:val="22"/>
          <w:szCs w:val="22"/>
        </w:rPr>
        <w:t xml:space="preserve"> savivaldybės a</w:t>
      </w:r>
      <w:r w:rsidR="00E331B8" w:rsidRPr="44DCA071">
        <w:rPr>
          <w:rFonts w:asciiTheme="minorHAnsi" w:hAnsiTheme="minorHAnsi" w:cstheme="minorBidi"/>
          <w:sz w:val="22"/>
          <w:szCs w:val="22"/>
        </w:rPr>
        <w:t xml:space="preserve">dministracija, paskelbdama įrašą „Nepritarti“, netenkina pareiškėjo prašymų išduoti leidimą </w:t>
      </w:r>
      <w:r w:rsidRPr="44DCA071">
        <w:rPr>
          <w:rFonts w:asciiTheme="minorHAnsi" w:hAnsiTheme="minorHAnsi" w:cstheme="minorBidi"/>
          <w:sz w:val="22"/>
          <w:szCs w:val="22"/>
        </w:rPr>
        <w:t>p</w:t>
      </w:r>
      <w:r w:rsidR="00E331B8" w:rsidRPr="44DCA071">
        <w:rPr>
          <w:rFonts w:asciiTheme="minorHAnsi" w:hAnsiTheme="minorHAnsi" w:cstheme="minorBidi"/>
          <w:sz w:val="22"/>
          <w:szCs w:val="22"/>
        </w:rPr>
        <w:t>atalpų paskirties pakeitimui iš paslaugų į gydymo. Tokiu būdu pareiškėjui yra užkertamas kelias gauti statybą leidžiantį dokumentą.</w:t>
      </w:r>
    </w:p>
    <w:p w14:paraId="103D381E" w14:textId="77777777" w:rsidR="0027767C" w:rsidRPr="0014011D" w:rsidRDefault="0027767C" w:rsidP="0027767C">
      <w:pPr>
        <w:jc w:val="both"/>
        <w:rPr>
          <w:rFonts w:asciiTheme="minorHAnsi" w:hAnsiTheme="minorHAnsi" w:cstheme="minorHAnsi"/>
          <w:sz w:val="22"/>
          <w:szCs w:val="22"/>
        </w:rPr>
      </w:pPr>
    </w:p>
    <w:p w14:paraId="5F21E81E" w14:textId="695C2D28" w:rsidR="004A6082" w:rsidRPr="0014011D" w:rsidRDefault="004A6082" w:rsidP="0027767C">
      <w:pPr>
        <w:jc w:val="both"/>
        <w:rPr>
          <w:rFonts w:asciiTheme="minorHAnsi" w:hAnsiTheme="minorHAnsi" w:cstheme="minorHAnsi"/>
          <w:sz w:val="22"/>
          <w:szCs w:val="22"/>
        </w:rPr>
      </w:pPr>
      <w:r w:rsidRPr="0014011D">
        <w:rPr>
          <w:rFonts w:asciiTheme="minorHAnsi" w:hAnsiTheme="minorHAnsi" w:cstheme="minorHAnsi"/>
          <w:sz w:val="22"/>
          <w:szCs w:val="22"/>
        </w:rPr>
        <w:t>2021 m. vasario 17 d. nutartis administracinėje byloje Nr. eAS-129-415/2021</w:t>
      </w:r>
    </w:p>
    <w:p w14:paraId="54DD9643" w14:textId="31F2146D" w:rsidR="004A6082" w:rsidRPr="0014011D" w:rsidRDefault="004A6082" w:rsidP="0027767C">
      <w:pPr>
        <w:jc w:val="both"/>
        <w:rPr>
          <w:rFonts w:asciiTheme="minorHAnsi" w:hAnsiTheme="minorHAnsi" w:cstheme="minorHAnsi"/>
          <w:sz w:val="22"/>
          <w:szCs w:val="22"/>
        </w:rPr>
      </w:pPr>
      <w:r w:rsidRPr="0014011D">
        <w:rPr>
          <w:rFonts w:asciiTheme="minorHAnsi" w:hAnsiTheme="minorHAnsi" w:cstheme="minorHAnsi"/>
          <w:sz w:val="22"/>
          <w:szCs w:val="22"/>
        </w:rPr>
        <w:t>Teisminio proceso Nr. 3-62-3-03231-2020-7</w:t>
      </w:r>
    </w:p>
    <w:p w14:paraId="1E457F69" w14:textId="5F623B95" w:rsidR="004A6082" w:rsidRPr="0014011D" w:rsidRDefault="004A6082" w:rsidP="0027767C">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kategorija 43.5.1.1</w:t>
      </w:r>
    </w:p>
    <w:p w14:paraId="5694BDA3" w14:textId="5F2D35D9" w:rsidR="0027767C" w:rsidRPr="0014011D" w:rsidRDefault="00936F04" w:rsidP="0027767C">
      <w:pPr>
        <w:jc w:val="both"/>
        <w:rPr>
          <w:rFonts w:asciiTheme="minorHAnsi" w:hAnsiTheme="minorHAnsi" w:cstheme="minorHAnsi"/>
          <w:sz w:val="22"/>
          <w:szCs w:val="22"/>
        </w:rPr>
      </w:pPr>
      <w:hyperlink r:id="rId28" w:history="1">
        <w:r w:rsidR="0027767C" w:rsidRPr="0014011D">
          <w:rPr>
            <w:rStyle w:val="Hipersaitas"/>
            <w:rFonts w:asciiTheme="minorHAnsi" w:hAnsiTheme="minorHAnsi" w:cstheme="minorHAnsi"/>
            <w:sz w:val="22"/>
            <w:szCs w:val="22"/>
          </w:rPr>
          <w:t>Prieiga internete</w:t>
        </w:r>
      </w:hyperlink>
    </w:p>
    <w:p w14:paraId="67ACCFE5" w14:textId="4FB2CE7B" w:rsidR="00540D98" w:rsidRPr="0014011D" w:rsidRDefault="00540D98" w:rsidP="00540D98">
      <w:pPr>
        <w:jc w:val="both"/>
        <w:rPr>
          <w:rFonts w:asciiTheme="minorHAnsi" w:hAnsiTheme="minorHAnsi" w:cstheme="minorHAnsi"/>
          <w:sz w:val="22"/>
          <w:szCs w:val="22"/>
        </w:rPr>
      </w:pPr>
    </w:p>
    <w:p w14:paraId="34686468" w14:textId="1DC79476" w:rsidR="002F108F" w:rsidRPr="0014011D" w:rsidRDefault="002F108F" w:rsidP="002A0568">
      <w:pPr>
        <w:pStyle w:val="Antrat2"/>
      </w:pPr>
      <w:bookmarkStart w:id="60" w:name="_Toc70514817"/>
      <w:r w:rsidRPr="0014011D">
        <w:t>Dėl VMI pranešimų apie nesuvestus deklaracijų duomenis</w:t>
      </w:r>
      <w:r w:rsidR="002E2A14">
        <w:t xml:space="preserve"> ginčijimo</w:t>
      </w:r>
      <w:bookmarkEnd w:id="60"/>
    </w:p>
    <w:p w14:paraId="7FC367AE" w14:textId="77777777" w:rsidR="002F108F" w:rsidRPr="0014011D" w:rsidRDefault="002F108F" w:rsidP="0027292D">
      <w:pPr>
        <w:ind w:firstLine="567"/>
        <w:jc w:val="both"/>
        <w:rPr>
          <w:rFonts w:asciiTheme="minorHAnsi" w:hAnsiTheme="minorHAnsi" w:cstheme="minorHAnsi"/>
          <w:sz w:val="22"/>
          <w:szCs w:val="22"/>
        </w:rPr>
      </w:pPr>
    </w:p>
    <w:p w14:paraId="5F3C56ED" w14:textId="6DED8CC7" w:rsidR="0027292D" w:rsidRPr="0014011D" w:rsidRDefault="00BD5E81" w:rsidP="0027292D">
      <w:pPr>
        <w:ind w:firstLine="567"/>
        <w:jc w:val="both"/>
        <w:rPr>
          <w:rFonts w:asciiTheme="minorHAnsi" w:hAnsiTheme="minorHAnsi" w:cstheme="minorHAnsi"/>
          <w:sz w:val="22"/>
          <w:szCs w:val="22"/>
        </w:rPr>
      </w:pPr>
      <w:r w:rsidRPr="0014011D">
        <w:rPr>
          <w:rFonts w:asciiTheme="minorHAnsi" w:hAnsiTheme="minorHAnsi" w:cstheme="minorHAnsi"/>
          <w:sz w:val="22"/>
          <w:szCs w:val="22"/>
        </w:rPr>
        <w:t>Pareiškėjas su skundu kreipėsi į teismą, prašydamas panaikinti K</w:t>
      </w:r>
      <w:r w:rsidR="0027292D" w:rsidRPr="0014011D">
        <w:rPr>
          <w:rFonts w:asciiTheme="minorHAnsi" w:hAnsiTheme="minorHAnsi" w:cstheme="minorHAnsi"/>
          <w:sz w:val="22"/>
          <w:szCs w:val="22"/>
        </w:rPr>
        <w:t xml:space="preserve">laipėdos </w:t>
      </w:r>
      <w:r w:rsidR="002E2A14" w:rsidRPr="002E2A14">
        <w:rPr>
          <w:rFonts w:asciiTheme="minorHAnsi" w:hAnsiTheme="minorHAnsi" w:cstheme="minorHAnsi"/>
          <w:sz w:val="22"/>
          <w:szCs w:val="22"/>
        </w:rPr>
        <w:t xml:space="preserve">apskrities valstybinės mokesčių inspekcijos (toliau – </w:t>
      </w:r>
      <w:r w:rsidRPr="0014011D">
        <w:rPr>
          <w:rFonts w:asciiTheme="minorHAnsi" w:hAnsiTheme="minorHAnsi" w:cstheme="minorHAnsi"/>
          <w:sz w:val="22"/>
          <w:szCs w:val="22"/>
        </w:rPr>
        <w:t>AVMI</w:t>
      </w:r>
      <w:r w:rsidR="002E2A14">
        <w:rPr>
          <w:rFonts w:asciiTheme="minorHAnsi" w:hAnsiTheme="minorHAnsi" w:cstheme="minorHAnsi"/>
          <w:sz w:val="22"/>
          <w:szCs w:val="22"/>
        </w:rPr>
        <w:t>)</w:t>
      </w:r>
      <w:r w:rsidRPr="0014011D">
        <w:rPr>
          <w:rFonts w:asciiTheme="minorHAnsi" w:hAnsiTheme="minorHAnsi" w:cstheme="minorHAnsi"/>
          <w:sz w:val="22"/>
          <w:szCs w:val="22"/>
        </w:rPr>
        <w:t xml:space="preserve"> pranešimus apie nesuvestas deklaracijas į V</w:t>
      </w:r>
      <w:r w:rsidR="002E2A14">
        <w:rPr>
          <w:rFonts w:asciiTheme="minorHAnsi" w:hAnsiTheme="minorHAnsi" w:cstheme="minorHAnsi"/>
          <w:sz w:val="22"/>
          <w:szCs w:val="22"/>
        </w:rPr>
        <w:t>alstybinės mokesčių inspekcijos (toliau – V</w:t>
      </w:r>
      <w:r w:rsidRPr="0014011D">
        <w:rPr>
          <w:rFonts w:asciiTheme="minorHAnsi" w:hAnsiTheme="minorHAnsi" w:cstheme="minorHAnsi"/>
          <w:sz w:val="22"/>
          <w:szCs w:val="22"/>
        </w:rPr>
        <w:t>MI</w:t>
      </w:r>
      <w:r w:rsidR="002E2A14">
        <w:rPr>
          <w:rFonts w:asciiTheme="minorHAnsi" w:hAnsiTheme="minorHAnsi" w:cstheme="minorHAnsi"/>
          <w:sz w:val="22"/>
          <w:szCs w:val="22"/>
        </w:rPr>
        <w:t>)</w:t>
      </w:r>
      <w:r w:rsidRPr="0014011D">
        <w:rPr>
          <w:rFonts w:asciiTheme="minorHAnsi" w:hAnsiTheme="minorHAnsi" w:cstheme="minorHAnsi"/>
          <w:sz w:val="22"/>
          <w:szCs w:val="22"/>
        </w:rPr>
        <w:t xml:space="preserve"> duomenų bazę, kuriuose nurodyta, kad nesuvestos pridėtinės vertės mokesčių deklaracijos į VMI duomenų bazę, kadangi dokumentuose neteisingai nurodyti mokestiniai laikotarpiai. Pareiškėjas taip pat prašė įpareigoti Klaipėdos AVMI teisės aktų nustatyta tvarka suvesti pareiškėjo pridėtinės vertės mokesčių deklaracijų duomenis į VMI duomenų bazę.</w:t>
      </w:r>
    </w:p>
    <w:p w14:paraId="1BB27E3D" w14:textId="77777777" w:rsidR="0027292D" w:rsidRPr="0014011D" w:rsidRDefault="0027292D" w:rsidP="0027292D">
      <w:pPr>
        <w:ind w:firstLine="567"/>
        <w:jc w:val="both"/>
        <w:rPr>
          <w:rFonts w:asciiTheme="minorHAnsi" w:hAnsiTheme="minorHAnsi" w:cstheme="minorHAnsi"/>
          <w:sz w:val="22"/>
          <w:szCs w:val="22"/>
        </w:rPr>
      </w:pPr>
      <w:r w:rsidRPr="0014011D">
        <w:rPr>
          <w:rFonts w:asciiTheme="minorHAnsi" w:hAnsiTheme="minorHAnsi" w:cstheme="minorHAnsi"/>
          <w:sz w:val="22"/>
          <w:szCs w:val="22"/>
        </w:rPr>
        <w:t>Teisėjų kolegija nesutiko su pirmosios instancijos teismo vertinimu, kad tokio pobūdžio dokumentai yra laikytini tarpinio pobūdžio ir todėl pranešimai pagal savo pobūdį nepriskirtini prie individualių teisės aktų, skųstinų administraciniam teismui, ir negali būti savarankišku administracinės bylos dalyku.</w:t>
      </w:r>
    </w:p>
    <w:p w14:paraId="75361CDE" w14:textId="1B490F12" w:rsidR="00BD5E81" w:rsidRPr="0014011D" w:rsidRDefault="0027292D" w:rsidP="0027292D">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Iš Klaipėdos AVMI pranešimų matyti, kad pranešimais nebuvo nustatyti pateiktų dokumentų trūkumai, tačiau Klaipėdos AVMI priėmė sprendimus nesuvesti pareiškėjo pateiktų pridėtinės vertės mokesčių deklaracijų į VMI duomenų bazę, su kuriais pareiškėjas nesutinka. </w:t>
      </w:r>
      <w:r w:rsidRPr="002E2A14">
        <w:rPr>
          <w:rFonts w:asciiTheme="minorHAnsi" w:hAnsiTheme="minorHAnsi" w:cstheme="minorHAnsi"/>
          <w:sz w:val="22"/>
          <w:szCs w:val="22"/>
          <w:u w:val="single"/>
        </w:rPr>
        <w:t>Tokie Klaipėdos AVMI sprendimai sukelia pareiškėjui teisines pasekmes ir gali būti savarankišku ginčo administraciniame teisme objektu</w:t>
      </w:r>
      <w:r w:rsidRPr="0014011D">
        <w:rPr>
          <w:rFonts w:asciiTheme="minorHAnsi" w:hAnsiTheme="minorHAnsi" w:cstheme="minorHAnsi"/>
          <w:sz w:val="22"/>
          <w:szCs w:val="22"/>
        </w:rPr>
        <w:t>. Analogiškai vertintinas ir išvestinis pareiškėjo skundo reikalavimas įpareigoti Klaipėdos AVMI teisės aktų nustatyta tvarka suvesti pareiškėjo pridėtinės vertės mokesčių deklaracijų duomenis į VMI duomenų bazę, kaip susijęs su pagrindiniu reikalavimu.</w:t>
      </w:r>
    </w:p>
    <w:p w14:paraId="291292F7" w14:textId="77777777" w:rsidR="002F108F" w:rsidRPr="0014011D" w:rsidRDefault="002F108F" w:rsidP="002F108F">
      <w:pPr>
        <w:jc w:val="both"/>
        <w:rPr>
          <w:rFonts w:asciiTheme="minorHAnsi" w:hAnsiTheme="minorHAnsi" w:cstheme="minorHAnsi"/>
          <w:sz w:val="22"/>
          <w:szCs w:val="22"/>
        </w:rPr>
      </w:pPr>
    </w:p>
    <w:p w14:paraId="51B70EF2" w14:textId="77777777" w:rsidR="002F108F" w:rsidRPr="0014011D" w:rsidRDefault="002F108F" w:rsidP="002F108F">
      <w:pPr>
        <w:jc w:val="both"/>
        <w:rPr>
          <w:rFonts w:asciiTheme="minorHAnsi" w:hAnsiTheme="minorHAnsi" w:cstheme="minorHAnsi"/>
          <w:sz w:val="22"/>
          <w:szCs w:val="22"/>
        </w:rPr>
      </w:pPr>
      <w:r w:rsidRPr="0014011D">
        <w:rPr>
          <w:rFonts w:asciiTheme="minorHAnsi" w:hAnsiTheme="minorHAnsi" w:cstheme="minorHAnsi"/>
          <w:sz w:val="22"/>
          <w:szCs w:val="22"/>
        </w:rPr>
        <w:t>2021 m. vasario 24 d. nutartis administracinėje byloje Nr. AS-160-968/2021</w:t>
      </w:r>
    </w:p>
    <w:p w14:paraId="39356B59" w14:textId="77777777" w:rsidR="002F108F" w:rsidRPr="0014011D" w:rsidRDefault="002F108F" w:rsidP="002F108F">
      <w:pPr>
        <w:jc w:val="both"/>
        <w:rPr>
          <w:rFonts w:asciiTheme="minorHAnsi" w:hAnsiTheme="minorHAnsi" w:cstheme="minorHAnsi"/>
          <w:sz w:val="22"/>
          <w:szCs w:val="22"/>
        </w:rPr>
      </w:pPr>
      <w:r w:rsidRPr="0014011D">
        <w:rPr>
          <w:rFonts w:asciiTheme="minorHAnsi" w:hAnsiTheme="minorHAnsi" w:cstheme="minorHAnsi"/>
          <w:sz w:val="22"/>
          <w:szCs w:val="22"/>
        </w:rPr>
        <w:t>Teisminio proceso Nr. 3-63-3-00070-2021-7</w:t>
      </w:r>
    </w:p>
    <w:p w14:paraId="69FB43FB" w14:textId="5163FD56" w:rsidR="002F108F" w:rsidRPr="0014011D" w:rsidRDefault="002F108F" w:rsidP="002F108F">
      <w:pPr>
        <w:jc w:val="both"/>
        <w:rPr>
          <w:rFonts w:asciiTheme="minorHAnsi" w:hAnsiTheme="minorHAnsi" w:cstheme="minorHAnsi"/>
          <w:sz w:val="22"/>
          <w:szCs w:val="22"/>
        </w:rPr>
      </w:pPr>
      <w:r w:rsidRPr="0014011D">
        <w:rPr>
          <w:rFonts w:asciiTheme="minorHAnsi" w:hAnsiTheme="minorHAnsi" w:cstheme="minorHAnsi"/>
          <w:sz w:val="22"/>
          <w:szCs w:val="22"/>
        </w:rPr>
        <w:t>Procesinio sprendimo kategorija 43.5.1.1</w:t>
      </w:r>
    </w:p>
    <w:p w14:paraId="03FABB71" w14:textId="08E2E02C" w:rsidR="002F108F" w:rsidRPr="0014011D" w:rsidRDefault="00936F04" w:rsidP="002F108F">
      <w:pPr>
        <w:jc w:val="both"/>
        <w:rPr>
          <w:rFonts w:asciiTheme="minorHAnsi" w:hAnsiTheme="minorHAnsi" w:cstheme="minorHAnsi"/>
          <w:sz w:val="22"/>
          <w:szCs w:val="22"/>
        </w:rPr>
      </w:pPr>
      <w:hyperlink r:id="rId29" w:history="1">
        <w:r w:rsidR="002F108F" w:rsidRPr="0014011D">
          <w:rPr>
            <w:rStyle w:val="Hipersaitas"/>
            <w:rFonts w:asciiTheme="minorHAnsi" w:hAnsiTheme="minorHAnsi" w:cstheme="minorHAnsi"/>
            <w:sz w:val="22"/>
            <w:szCs w:val="22"/>
          </w:rPr>
          <w:t>Prieiga internete</w:t>
        </w:r>
      </w:hyperlink>
    </w:p>
    <w:p w14:paraId="6487FA07" w14:textId="00081AB1" w:rsidR="00FD27DC" w:rsidRPr="0014011D" w:rsidRDefault="00FD27DC" w:rsidP="00F44233">
      <w:pPr>
        <w:jc w:val="both"/>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 xml:space="preserve"> </w:t>
      </w:r>
    </w:p>
    <w:p w14:paraId="57BA9F2A" w14:textId="6B084E1E" w:rsidR="004E7C5C" w:rsidRPr="0014011D" w:rsidRDefault="004E7C5C" w:rsidP="001C1D5B">
      <w:pPr>
        <w:ind w:firstLine="1134"/>
        <w:jc w:val="both"/>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43.5.9. Kai skundas paduotas praleidus nustatytą skundo padavimo terminą ir šis terminas neatnaujinamas</w:t>
      </w:r>
    </w:p>
    <w:p w14:paraId="70A5E2CC" w14:textId="26FA972F" w:rsidR="004E7C5C" w:rsidRPr="0014011D" w:rsidRDefault="004E7C5C" w:rsidP="004E7C5C">
      <w:pPr>
        <w:rPr>
          <w:rFonts w:asciiTheme="minorHAnsi" w:hAnsiTheme="minorHAnsi" w:cstheme="minorHAnsi"/>
          <w:b/>
          <w:bCs/>
          <w:sz w:val="22"/>
          <w:szCs w:val="22"/>
          <w:u w:val="single"/>
        </w:rPr>
      </w:pPr>
    </w:p>
    <w:p w14:paraId="7686AF47" w14:textId="45CB28D0" w:rsidR="004E7C5C" w:rsidRPr="0014011D" w:rsidRDefault="004E7C5C" w:rsidP="002A0568">
      <w:pPr>
        <w:pStyle w:val="Antrat2"/>
      </w:pPr>
      <w:bookmarkStart w:id="61" w:name="_Toc70514818"/>
      <w:r w:rsidRPr="0014011D">
        <w:t xml:space="preserve">Dėl </w:t>
      </w:r>
      <w:r w:rsidR="00247C38" w:rsidRPr="0014011D">
        <w:t>pandemijos įtakos apskundimo terminui</w:t>
      </w:r>
      <w:bookmarkEnd w:id="61"/>
    </w:p>
    <w:p w14:paraId="1DE97FFE" w14:textId="73BE6250" w:rsidR="00247C38" w:rsidRPr="0014011D" w:rsidRDefault="00247C38" w:rsidP="004E7C5C">
      <w:pPr>
        <w:rPr>
          <w:rFonts w:asciiTheme="minorHAnsi" w:eastAsia="Calibri" w:hAnsiTheme="minorHAnsi" w:cstheme="minorHAnsi"/>
          <w:sz w:val="22"/>
          <w:szCs w:val="22"/>
        </w:rPr>
      </w:pPr>
    </w:p>
    <w:p w14:paraId="49553526" w14:textId="77777777" w:rsidR="00247C38" w:rsidRPr="0014011D" w:rsidRDefault="00247C38" w:rsidP="00247C38">
      <w:pPr>
        <w:ind w:firstLine="567"/>
        <w:jc w:val="both"/>
        <w:rPr>
          <w:rFonts w:asciiTheme="minorHAnsi" w:hAnsiTheme="minorHAnsi" w:cstheme="minorHAnsi"/>
          <w:sz w:val="22"/>
          <w:szCs w:val="22"/>
        </w:rPr>
      </w:pPr>
      <w:r w:rsidRPr="0014011D">
        <w:rPr>
          <w:rFonts w:asciiTheme="minorHAnsi" w:eastAsia="Calibri" w:hAnsiTheme="minorHAnsi" w:cstheme="minorHAnsi"/>
          <w:sz w:val="22"/>
          <w:szCs w:val="22"/>
        </w:rPr>
        <w:t xml:space="preserve">Teisėjų kolegija nesutiko </w:t>
      </w:r>
      <w:r w:rsidRPr="0014011D">
        <w:rPr>
          <w:rFonts w:asciiTheme="minorHAnsi" w:hAnsiTheme="minorHAnsi" w:cstheme="minorHAnsi"/>
          <w:sz w:val="22"/>
          <w:szCs w:val="22"/>
        </w:rPr>
        <w:t>su pirmosios instancijos teismo išvada, kad pareiškėjo nurodytos termino, kuris suėjo po 30 dienų, kai pareiškėjas 2020 m. rugpjūčio 5 d. sužinojo apie ginčo aktą, praleidimo priežastys yra subjektyvaus pobūdžio, t. y. priklausiusios nuo paties pareiškėjo pasirinkto veikimo būdo.</w:t>
      </w:r>
    </w:p>
    <w:p w14:paraId="79FF31C9" w14:textId="6C93DF07" w:rsidR="00247C38" w:rsidRPr="0014011D" w:rsidRDefault="00247C38" w:rsidP="00247C38">
      <w:pPr>
        <w:ind w:firstLine="567"/>
        <w:jc w:val="both"/>
        <w:rPr>
          <w:rFonts w:asciiTheme="minorHAnsi" w:hAnsiTheme="minorHAnsi" w:cstheme="minorHAnsi"/>
          <w:sz w:val="22"/>
          <w:szCs w:val="22"/>
          <w:lang w:bidi="lt-LT"/>
        </w:rPr>
      </w:pPr>
      <w:r w:rsidRPr="0014011D">
        <w:rPr>
          <w:rFonts w:asciiTheme="minorHAnsi" w:hAnsiTheme="minorHAnsi" w:cstheme="minorHAnsi"/>
          <w:sz w:val="22"/>
          <w:szCs w:val="22"/>
          <w:lang w:bidi="lt-LT"/>
        </w:rPr>
        <w:t xml:space="preserve">2020 m. rugsėjo 30 d. buvo priimtas </w:t>
      </w:r>
      <w:bookmarkStart w:id="62" w:name="_Hlk62564882"/>
      <w:r w:rsidRPr="0014011D">
        <w:rPr>
          <w:rFonts w:asciiTheme="minorHAnsi" w:hAnsiTheme="minorHAnsi" w:cstheme="minorHAnsi"/>
          <w:sz w:val="22"/>
          <w:szCs w:val="22"/>
          <w:lang w:bidi="lt-LT"/>
        </w:rPr>
        <w:t>Valstybės garantuojamos teisinės pagalbos tarnybos</w:t>
      </w:r>
      <w:bookmarkEnd w:id="62"/>
      <w:r w:rsidRPr="0014011D">
        <w:rPr>
          <w:rFonts w:asciiTheme="minorHAnsi" w:hAnsiTheme="minorHAnsi" w:cstheme="minorHAnsi"/>
          <w:sz w:val="22"/>
          <w:szCs w:val="22"/>
          <w:lang w:bidi="lt-LT"/>
        </w:rPr>
        <w:t xml:space="preserve"> Kauno skyriaus sprendimas dėl antrinės teisinės pagalbos teikimo pareiškėjui, tačiau pareiškėjas (jo atstovė) į teismą su skundu kreipėsi tik daugiau nei po mėnesio, t. y. 2020 m. lapkričio 10 d. </w:t>
      </w:r>
    </w:p>
    <w:p w14:paraId="39BED540" w14:textId="77777777" w:rsidR="00247C38" w:rsidRPr="0014011D" w:rsidRDefault="00247C38" w:rsidP="00247C38">
      <w:pPr>
        <w:ind w:firstLine="567"/>
        <w:jc w:val="both"/>
        <w:rPr>
          <w:rFonts w:asciiTheme="minorHAnsi" w:hAnsiTheme="minorHAnsi" w:cstheme="minorHAnsi"/>
          <w:sz w:val="22"/>
          <w:szCs w:val="22"/>
          <w:lang w:bidi="lt-LT"/>
        </w:rPr>
      </w:pPr>
      <w:r w:rsidRPr="0014011D">
        <w:rPr>
          <w:rFonts w:asciiTheme="minorHAnsi" w:hAnsiTheme="minorHAnsi" w:cstheme="minorHAnsi"/>
          <w:sz w:val="22"/>
          <w:szCs w:val="22"/>
          <w:lang w:bidi="lt-LT"/>
        </w:rPr>
        <w:t xml:space="preserve">Iš bylos medžiagos spręsta, kad pareiškėjas elgėsi pakankamai rūpestingai ir aktyviai, siekdamas ginti savo teises, tačiau vien aplinkybė, jog būtent valstybės įstaiga – Valstybės garantuojamos teisinės pagalbos tarnyba – uždelsė surašyti pareiškėjui skundą ir kreiptis į teismą, negali būti pagrįstu pagrindu neatnaujinti pareiškėjui praleisto skundo padavimo termino. </w:t>
      </w:r>
    </w:p>
    <w:p w14:paraId="317CE4A7" w14:textId="77777777" w:rsidR="00247C38" w:rsidRPr="0014011D" w:rsidRDefault="00247C38" w:rsidP="00247C38">
      <w:pPr>
        <w:ind w:firstLine="567"/>
        <w:jc w:val="both"/>
        <w:rPr>
          <w:rFonts w:asciiTheme="minorHAnsi" w:hAnsiTheme="minorHAnsi" w:cstheme="minorHAnsi"/>
          <w:sz w:val="22"/>
          <w:szCs w:val="22"/>
          <w:lang w:bidi="lt-LT"/>
        </w:rPr>
      </w:pPr>
      <w:r w:rsidRPr="0014011D">
        <w:rPr>
          <w:rFonts w:asciiTheme="minorHAnsi" w:hAnsiTheme="minorHAnsi" w:cstheme="minorHAnsi"/>
          <w:sz w:val="22"/>
          <w:szCs w:val="22"/>
          <w:lang w:bidi="lt-LT"/>
        </w:rPr>
        <w:t>Pareiškėjas taip pat teigė, kad dėl žmonių saugumo dėl Covid-19 pandemijos, į įstaigas (pvz., į savivaldybę), jis negalėjo patekti iš anksto neužsiregistravęs, reikalingos pažymos teikti teisinę pagalbą buvo išduodamos pavėluotai arba jų reikėjo laukti ilgą laiką (pvz., pažymos apie gaunamas pajamas), nes visų valstybinių įstaigų, savivaldybių institucijų darbas vyko sulėtintu tempu.</w:t>
      </w:r>
    </w:p>
    <w:p w14:paraId="488438BC" w14:textId="1F5CB436" w:rsidR="00247C38" w:rsidRPr="0014011D" w:rsidRDefault="00247C38" w:rsidP="00247C38">
      <w:pPr>
        <w:ind w:firstLine="567"/>
        <w:jc w:val="both"/>
        <w:rPr>
          <w:rFonts w:asciiTheme="minorHAnsi" w:hAnsiTheme="minorHAnsi" w:cstheme="minorHAnsi"/>
          <w:sz w:val="22"/>
          <w:szCs w:val="22"/>
        </w:rPr>
      </w:pPr>
      <w:r w:rsidRPr="0014011D">
        <w:rPr>
          <w:rFonts w:asciiTheme="minorHAnsi" w:hAnsiTheme="minorHAnsi" w:cstheme="minorHAnsi"/>
          <w:sz w:val="22"/>
          <w:szCs w:val="22"/>
          <w:lang w:bidi="lt-LT"/>
        </w:rPr>
        <w:t>T</w:t>
      </w:r>
      <w:r w:rsidRPr="0014011D">
        <w:rPr>
          <w:rFonts w:asciiTheme="minorHAnsi" w:hAnsiTheme="minorHAnsi" w:cstheme="minorHAnsi"/>
          <w:sz w:val="22"/>
          <w:szCs w:val="22"/>
        </w:rPr>
        <w:t xml:space="preserve">eisėjų kolegija vertino, kad šie </w:t>
      </w:r>
      <w:r w:rsidRPr="002E2A14">
        <w:rPr>
          <w:rFonts w:asciiTheme="minorHAnsi" w:hAnsiTheme="minorHAnsi" w:cstheme="minorHAnsi"/>
          <w:sz w:val="22"/>
          <w:szCs w:val="22"/>
          <w:u w:val="single"/>
        </w:rPr>
        <w:t>pareiškėjo nurodyti argumentai dėl apribotų galimybių laiku kreiptis į teismą dėl šalyje susiklosčiusios sudėtingos padėties dėl Covid-19 pandemijos taip pat pagrįsti, individualizuoti</w:t>
      </w:r>
      <w:r w:rsidRPr="0014011D">
        <w:rPr>
          <w:rFonts w:asciiTheme="minorHAnsi" w:hAnsiTheme="minorHAnsi" w:cstheme="minorHAnsi"/>
          <w:sz w:val="22"/>
          <w:szCs w:val="22"/>
        </w:rPr>
        <w:t xml:space="preserve"> ir sudarantys objektyvų pagrindą daryti išvadą, jog terminas skundui paduoti nagrinėtu atveju buvo praleistas dėl objektyvių, nuo pareiškėjo valios nepriklausiusių priežasčių, kurios sutrukdė laiku paduoti skundą teismui.</w:t>
      </w:r>
      <w:bookmarkStart w:id="63" w:name="pn11531b35-906d-4da5-84ba-3d33afb9f9fa"/>
      <w:bookmarkStart w:id="64" w:name="pnc4fab801-7364-4ff8-beb0-b83465d95b1a"/>
      <w:bookmarkEnd w:id="63"/>
      <w:bookmarkEnd w:id="64"/>
    </w:p>
    <w:p w14:paraId="427A316A" w14:textId="64C69961" w:rsidR="00247C38" w:rsidRPr="0014011D" w:rsidRDefault="00247C38" w:rsidP="00247C38">
      <w:pPr>
        <w:ind w:firstLine="567"/>
        <w:jc w:val="both"/>
        <w:rPr>
          <w:rFonts w:asciiTheme="minorHAnsi" w:hAnsiTheme="minorHAnsi" w:cstheme="minorHAnsi"/>
          <w:sz w:val="22"/>
          <w:szCs w:val="22"/>
        </w:rPr>
      </w:pPr>
    </w:p>
    <w:p w14:paraId="7ED7D5DF" w14:textId="77777777" w:rsidR="00247C38" w:rsidRPr="0014011D" w:rsidRDefault="00247C38" w:rsidP="00247C38">
      <w:pPr>
        <w:rPr>
          <w:rFonts w:asciiTheme="minorHAnsi" w:hAnsiTheme="minorHAnsi" w:cstheme="minorHAnsi"/>
          <w:sz w:val="22"/>
          <w:szCs w:val="22"/>
        </w:rPr>
      </w:pPr>
      <w:r w:rsidRPr="0014011D">
        <w:rPr>
          <w:rFonts w:asciiTheme="minorHAnsi" w:hAnsiTheme="minorHAnsi" w:cstheme="minorHAnsi"/>
          <w:sz w:val="22"/>
          <w:szCs w:val="22"/>
        </w:rPr>
        <w:lastRenderedPageBreak/>
        <w:t>2021 m. vasario 3 d. nutartis administracinėje byloje Nr. AS-26-552/2021</w:t>
      </w:r>
    </w:p>
    <w:p w14:paraId="6E0FF242" w14:textId="77777777" w:rsidR="00247C38" w:rsidRPr="0014011D" w:rsidRDefault="00247C38" w:rsidP="00247C38">
      <w:pPr>
        <w:rPr>
          <w:rFonts w:asciiTheme="minorHAnsi" w:hAnsiTheme="minorHAnsi" w:cstheme="minorHAnsi"/>
          <w:sz w:val="22"/>
          <w:szCs w:val="22"/>
        </w:rPr>
      </w:pPr>
      <w:r w:rsidRPr="0014011D">
        <w:rPr>
          <w:rFonts w:asciiTheme="minorHAnsi" w:hAnsiTheme="minorHAnsi" w:cstheme="minorHAnsi"/>
          <w:sz w:val="22"/>
          <w:szCs w:val="22"/>
        </w:rPr>
        <w:t>Teisminio proceso Nr. 3-62-3-02894-2020-1</w:t>
      </w:r>
    </w:p>
    <w:p w14:paraId="48177D2B" w14:textId="74CDBE71" w:rsidR="00247C38" w:rsidRPr="0014011D" w:rsidRDefault="00247C38" w:rsidP="00247C38">
      <w:pPr>
        <w:rPr>
          <w:rFonts w:asciiTheme="minorHAnsi" w:hAnsiTheme="minorHAnsi" w:cstheme="minorHAnsi"/>
          <w:sz w:val="22"/>
          <w:szCs w:val="22"/>
        </w:rPr>
      </w:pPr>
      <w:r w:rsidRPr="0014011D">
        <w:rPr>
          <w:rFonts w:asciiTheme="minorHAnsi" w:hAnsiTheme="minorHAnsi" w:cstheme="minorHAnsi"/>
          <w:sz w:val="22"/>
          <w:szCs w:val="22"/>
        </w:rPr>
        <w:t>Procesinio sprendimo kategorija 43.5.9</w:t>
      </w:r>
    </w:p>
    <w:p w14:paraId="140FE79F" w14:textId="7759BFE6" w:rsidR="00247C38" w:rsidRPr="0014011D" w:rsidRDefault="00936F04" w:rsidP="00247C38">
      <w:pPr>
        <w:rPr>
          <w:rFonts w:asciiTheme="minorHAnsi" w:hAnsiTheme="minorHAnsi" w:cstheme="minorHAnsi"/>
          <w:sz w:val="22"/>
          <w:szCs w:val="22"/>
        </w:rPr>
      </w:pPr>
      <w:hyperlink r:id="rId30" w:history="1">
        <w:r w:rsidR="00247C38" w:rsidRPr="0014011D">
          <w:rPr>
            <w:rStyle w:val="Hipersaitas"/>
            <w:rFonts w:asciiTheme="minorHAnsi" w:hAnsiTheme="minorHAnsi" w:cstheme="minorHAnsi"/>
            <w:sz w:val="22"/>
            <w:szCs w:val="22"/>
          </w:rPr>
          <w:t>Prieiga internete</w:t>
        </w:r>
      </w:hyperlink>
    </w:p>
    <w:p w14:paraId="31F71154" w14:textId="621A71CF" w:rsidR="00247C38" w:rsidRPr="0014011D" w:rsidRDefault="00247C38" w:rsidP="007B6A8D">
      <w:pPr>
        <w:jc w:val="both"/>
        <w:rPr>
          <w:rFonts w:asciiTheme="minorHAnsi" w:hAnsiTheme="minorHAnsi" w:cstheme="minorHAnsi"/>
          <w:sz w:val="22"/>
          <w:szCs w:val="22"/>
        </w:rPr>
      </w:pPr>
    </w:p>
    <w:p w14:paraId="2C343A0C" w14:textId="6F70D5C3" w:rsidR="007B6A8D" w:rsidRPr="0014011D" w:rsidRDefault="007B6A8D" w:rsidP="007B6A8D">
      <w:pPr>
        <w:ind w:firstLine="567"/>
        <w:jc w:val="both"/>
        <w:rPr>
          <w:rFonts w:asciiTheme="minorHAnsi" w:hAnsiTheme="minorHAnsi" w:cstheme="minorHAnsi"/>
          <w:b/>
          <w:bCs/>
          <w:sz w:val="22"/>
          <w:szCs w:val="22"/>
          <w:u w:val="single"/>
        </w:rPr>
      </w:pPr>
      <w:r w:rsidRPr="0014011D">
        <w:rPr>
          <w:rFonts w:asciiTheme="minorHAnsi" w:hAnsiTheme="minorHAnsi" w:cstheme="minorHAnsi"/>
          <w:b/>
          <w:bCs/>
          <w:sz w:val="22"/>
          <w:szCs w:val="22"/>
          <w:u w:val="single"/>
        </w:rPr>
        <w:t>43.10. Kiti su teise kreiptis į teismą ir jos realizavimu susiję klausimai</w:t>
      </w:r>
    </w:p>
    <w:p w14:paraId="56C59A7E" w14:textId="75C4A8F7" w:rsidR="007B6A8D" w:rsidRPr="0014011D" w:rsidRDefault="007B6A8D" w:rsidP="007B6A8D">
      <w:pPr>
        <w:jc w:val="both"/>
        <w:rPr>
          <w:rFonts w:asciiTheme="minorHAnsi" w:hAnsiTheme="minorHAnsi" w:cstheme="minorHAnsi"/>
          <w:b/>
          <w:bCs/>
          <w:sz w:val="22"/>
          <w:szCs w:val="22"/>
          <w:u w:val="single"/>
        </w:rPr>
      </w:pPr>
    </w:p>
    <w:p w14:paraId="404ED752" w14:textId="6514D926" w:rsidR="00773BC2" w:rsidRPr="0014011D" w:rsidRDefault="00773BC2" w:rsidP="002A0568">
      <w:pPr>
        <w:pStyle w:val="Antrat2"/>
      </w:pPr>
      <w:bookmarkStart w:id="65" w:name="_Toc70514819"/>
      <w:bookmarkStart w:id="66" w:name="_Hlk70514382"/>
      <w:r w:rsidRPr="0014011D">
        <w:t xml:space="preserve">Dėl pareiškimo dėl teismo įsakymo išdavimo </w:t>
      </w:r>
      <w:r w:rsidR="002E2A14">
        <w:t>nagrinėjimo, kai yra pasibaigęs įstatymuose nustatytas terminas tik dėl dalies reikalavimų</w:t>
      </w:r>
      <w:bookmarkEnd w:id="65"/>
    </w:p>
    <w:bookmarkEnd w:id="66"/>
    <w:p w14:paraId="48402D80" w14:textId="77777777" w:rsidR="00773BC2" w:rsidRPr="0014011D" w:rsidRDefault="00773BC2" w:rsidP="007B6A8D">
      <w:pPr>
        <w:ind w:right="57" w:firstLine="567"/>
        <w:jc w:val="both"/>
        <w:rPr>
          <w:rFonts w:asciiTheme="minorHAnsi" w:hAnsiTheme="minorHAnsi" w:cstheme="minorHAnsi"/>
          <w:sz w:val="22"/>
          <w:szCs w:val="22"/>
        </w:rPr>
      </w:pPr>
    </w:p>
    <w:p w14:paraId="4AEB222E" w14:textId="2BA73244" w:rsidR="007B6A8D" w:rsidRPr="0014011D" w:rsidRDefault="007B6A8D" w:rsidP="007B6A8D">
      <w:pPr>
        <w:ind w:right="57" w:firstLine="567"/>
        <w:jc w:val="both"/>
        <w:rPr>
          <w:rFonts w:asciiTheme="minorHAnsi" w:hAnsiTheme="minorHAnsi" w:cstheme="minorHAnsi"/>
          <w:sz w:val="22"/>
          <w:szCs w:val="22"/>
        </w:rPr>
      </w:pPr>
      <w:r w:rsidRPr="0014011D">
        <w:rPr>
          <w:rFonts w:asciiTheme="minorHAnsi" w:hAnsiTheme="minorHAnsi" w:cstheme="minorHAnsi"/>
          <w:sz w:val="22"/>
          <w:szCs w:val="22"/>
        </w:rPr>
        <w:t>Pirmosios instancijos teismas paliko nenagrinėtą pareiškėjo Vilniaus rajono savivaldybės administracijos pareiškimą dėl teismo įsakymo išdavimo išieškoti nesumokėtą vietinę rinkliavą, atsižvelgęs į ABTĮ 131</w:t>
      </w:r>
      <w:r w:rsidRPr="0014011D">
        <w:rPr>
          <w:rFonts w:asciiTheme="minorHAnsi" w:hAnsiTheme="minorHAnsi" w:cstheme="minorHAnsi"/>
          <w:sz w:val="22"/>
          <w:szCs w:val="22"/>
          <w:vertAlign w:val="superscript"/>
        </w:rPr>
        <w:t xml:space="preserve">1 </w:t>
      </w:r>
      <w:r w:rsidRPr="0014011D">
        <w:rPr>
          <w:rFonts w:asciiTheme="minorHAnsi" w:hAnsiTheme="minorHAnsi" w:cstheme="minorHAnsi"/>
          <w:sz w:val="22"/>
          <w:szCs w:val="22"/>
        </w:rPr>
        <w:t xml:space="preserve">straipsnio 2 dalies 4 punktą, kad pareiškimas dėl teismo įsakymo išdavimo nenagrinėjamas, jeigu yra pasibaigęs įstatymuose nustatytas terminas reikalavimui pareikšti. Jeigu šis terminas yra pasibaigęs tik dėl dalies reikalavimų ir šią konkrečių reikalavimų dalį galima išskirti, pareiškimas nenagrinėjamas tik dėl šios reikalavimų dalies. </w:t>
      </w:r>
    </w:p>
    <w:p w14:paraId="5DEC82C9" w14:textId="5F59D4E2" w:rsidR="002505CB" w:rsidRPr="0014011D" w:rsidRDefault="007B6A8D" w:rsidP="002505CB">
      <w:pPr>
        <w:ind w:right="57" w:firstLine="567"/>
        <w:jc w:val="both"/>
        <w:rPr>
          <w:rFonts w:asciiTheme="minorHAnsi" w:hAnsiTheme="minorHAnsi" w:cstheme="minorHAnsi"/>
          <w:sz w:val="22"/>
          <w:szCs w:val="22"/>
        </w:rPr>
      </w:pPr>
      <w:r w:rsidRPr="0014011D">
        <w:rPr>
          <w:rFonts w:asciiTheme="minorHAnsi" w:hAnsiTheme="minorHAnsi" w:cstheme="minorHAnsi"/>
          <w:sz w:val="22"/>
          <w:szCs w:val="22"/>
        </w:rPr>
        <w:t>Teisėjų kolegija nurodė, kad pagal ABTĮ 131</w:t>
      </w:r>
      <w:r w:rsidRPr="0014011D">
        <w:rPr>
          <w:rFonts w:asciiTheme="minorHAnsi" w:hAnsiTheme="minorHAnsi" w:cstheme="minorHAnsi"/>
          <w:sz w:val="22"/>
          <w:szCs w:val="22"/>
          <w:vertAlign w:val="superscript"/>
        </w:rPr>
        <w:t>3</w:t>
      </w:r>
      <w:r w:rsidRPr="0014011D">
        <w:rPr>
          <w:rFonts w:asciiTheme="minorHAnsi" w:hAnsiTheme="minorHAnsi" w:cstheme="minorHAnsi"/>
          <w:sz w:val="22"/>
          <w:szCs w:val="22"/>
        </w:rPr>
        <w:t xml:space="preserve"> straipsnio 1 dalį pareiškimo dėl teismo įsakymo išdavimo priėmimo klausimas išsprendžiamas per vieną darbo dieną nuo jo padavimo teismui dienos. Jeigu pareiškimas dėl teismo įsakymo išdavimo atitinka šiame skirsnyje nustatytus reikalavimus, gali būti išduodamas teismo įsakymas ir nesurašoma teismo nutartis ar teisėjo rezoliucija dėl šio pareiškimo priėmimo.</w:t>
      </w:r>
    </w:p>
    <w:p w14:paraId="4C1E14E4" w14:textId="77777777" w:rsidR="002505CB" w:rsidRPr="0014011D" w:rsidRDefault="007B6A8D" w:rsidP="002505CB">
      <w:pPr>
        <w:ind w:right="57" w:firstLine="567"/>
        <w:jc w:val="both"/>
        <w:rPr>
          <w:rFonts w:asciiTheme="minorHAnsi" w:hAnsiTheme="minorHAnsi" w:cstheme="minorHAnsi"/>
          <w:sz w:val="22"/>
          <w:szCs w:val="22"/>
        </w:rPr>
      </w:pPr>
      <w:r w:rsidRPr="0014011D">
        <w:rPr>
          <w:rFonts w:asciiTheme="minorHAnsi" w:hAnsiTheme="minorHAnsi" w:cstheme="minorHAnsi"/>
          <w:sz w:val="22"/>
          <w:szCs w:val="22"/>
        </w:rPr>
        <w:t>Pagal ABTĮ 131</w:t>
      </w:r>
      <w:r w:rsidRPr="0014011D">
        <w:rPr>
          <w:rFonts w:asciiTheme="minorHAnsi" w:hAnsiTheme="minorHAnsi" w:cstheme="minorHAnsi"/>
          <w:sz w:val="22"/>
          <w:szCs w:val="22"/>
          <w:vertAlign w:val="superscript"/>
        </w:rPr>
        <w:t>3</w:t>
      </w:r>
      <w:r w:rsidRPr="0014011D">
        <w:rPr>
          <w:rFonts w:asciiTheme="minorHAnsi" w:hAnsiTheme="minorHAnsi" w:cstheme="minorHAnsi"/>
          <w:sz w:val="22"/>
          <w:szCs w:val="22"/>
        </w:rPr>
        <w:t xml:space="preserve"> straipsnio 2 dalį teismas nutartimi atsisako priimti pareiškimą dėl teismo įsakymo išdavimo, jeigu, be kita ko, yra šio įstatymo 131</w:t>
      </w:r>
      <w:r w:rsidRPr="0014011D">
        <w:rPr>
          <w:rFonts w:asciiTheme="minorHAnsi" w:hAnsiTheme="minorHAnsi" w:cstheme="minorHAnsi"/>
          <w:sz w:val="22"/>
          <w:szCs w:val="22"/>
          <w:vertAlign w:val="superscript"/>
        </w:rPr>
        <w:t>1</w:t>
      </w:r>
      <w:r w:rsidRPr="0014011D">
        <w:rPr>
          <w:rFonts w:asciiTheme="minorHAnsi" w:hAnsiTheme="minorHAnsi" w:cstheme="minorHAnsi"/>
          <w:sz w:val="22"/>
          <w:szCs w:val="22"/>
        </w:rPr>
        <w:t> straipsnio 2 dalyje nurodytos aplinkybės. Nutartis atsisakyti priimti pareiškimą dėl teismo įsakymo išdavimo atskiruoju skundu neskundžiama.</w:t>
      </w:r>
    </w:p>
    <w:p w14:paraId="1F877F6A" w14:textId="77777777" w:rsidR="002505CB" w:rsidRPr="0014011D" w:rsidRDefault="00B65F00" w:rsidP="002505CB">
      <w:pPr>
        <w:ind w:right="57" w:firstLine="567"/>
        <w:jc w:val="both"/>
        <w:rPr>
          <w:rFonts w:asciiTheme="minorHAnsi" w:hAnsiTheme="minorHAnsi" w:cstheme="minorHAnsi"/>
          <w:sz w:val="22"/>
          <w:szCs w:val="22"/>
        </w:rPr>
      </w:pPr>
      <w:r w:rsidRPr="0014011D">
        <w:rPr>
          <w:rFonts w:asciiTheme="minorHAnsi" w:hAnsiTheme="minorHAnsi" w:cstheme="minorHAnsi"/>
          <w:sz w:val="22"/>
          <w:szCs w:val="22"/>
        </w:rPr>
        <w:t>Teisėjų kolegija nesutiko su pirmosios instancijos teismo sprendimu pareiškimą dėl teismo įsakymo išdavimo palikti nenagrinėtą, nes vadovaujantis aptarta ABTĮ 131</w:t>
      </w:r>
      <w:r w:rsidRPr="0014011D">
        <w:rPr>
          <w:rFonts w:asciiTheme="minorHAnsi" w:hAnsiTheme="minorHAnsi" w:cstheme="minorHAnsi"/>
          <w:sz w:val="22"/>
          <w:szCs w:val="22"/>
          <w:vertAlign w:val="superscript"/>
        </w:rPr>
        <w:t>3</w:t>
      </w:r>
      <w:r w:rsidRPr="0014011D">
        <w:rPr>
          <w:rFonts w:asciiTheme="minorHAnsi" w:hAnsiTheme="minorHAnsi" w:cstheme="minorHAnsi"/>
          <w:sz w:val="22"/>
          <w:szCs w:val="22"/>
        </w:rPr>
        <w:t xml:space="preserve"> straipsnio 2 dalimi, </w:t>
      </w:r>
      <w:r w:rsidRPr="002E2A14">
        <w:rPr>
          <w:rFonts w:asciiTheme="minorHAnsi" w:hAnsiTheme="minorHAnsi" w:cstheme="minorHAnsi"/>
          <w:sz w:val="22"/>
          <w:szCs w:val="22"/>
          <w:u w:val="single"/>
        </w:rPr>
        <w:t>esant atvejui, kai nustatoma, kad yra ABTĮ 131</w:t>
      </w:r>
      <w:r w:rsidRPr="002E2A14">
        <w:rPr>
          <w:rFonts w:asciiTheme="minorHAnsi" w:hAnsiTheme="minorHAnsi" w:cstheme="minorHAnsi"/>
          <w:sz w:val="22"/>
          <w:szCs w:val="22"/>
          <w:u w:val="single"/>
          <w:vertAlign w:val="superscript"/>
        </w:rPr>
        <w:t>1</w:t>
      </w:r>
      <w:r w:rsidRPr="002E2A14">
        <w:rPr>
          <w:rFonts w:asciiTheme="minorHAnsi" w:hAnsiTheme="minorHAnsi" w:cstheme="minorHAnsi"/>
          <w:sz w:val="22"/>
          <w:szCs w:val="22"/>
          <w:u w:val="single"/>
        </w:rPr>
        <w:t xml:space="preserve"> straipsnio 2 dalyje nustatytos aplinkybės, pirmosios instancijos teismas turėtų atsisakyti priimti pareiškimą dėl teismo įsakymo išdavimo, o ne palikti jį nenagrinėtą</w:t>
      </w:r>
      <w:r w:rsidRPr="0014011D">
        <w:rPr>
          <w:rFonts w:asciiTheme="minorHAnsi" w:hAnsiTheme="minorHAnsi" w:cstheme="minorHAnsi"/>
          <w:sz w:val="22"/>
          <w:szCs w:val="22"/>
        </w:rPr>
        <w:t xml:space="preserve">. </w:t>
      </w:r>
    </w:p>
    <w:p w14:paraId="3A9D8419" w14:textId="6DA419B8" w:rsidR="002505CB" w:rsidRPr="0014011D" w:rsidRDefault="00B65F00" w:rsidP="002505CB">
      <w:pPr>
        <w:ind w:right="57"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Teisėjų kolegijos vertinimu, pareiškėjas pareiškime dėl teismo įsakymo išdavimo nurodė aiškias reikalavimo dalis priteisti vietinės rinkliavos skolą pagal konkrečius terminus: nurodė bendrą prašomą priteisti sumą už </w:t>
      </w:r>
      <w:r w:rsidR="00544D5F" w:rsidRPr="0014011D">
        <w:rPr>
          <w:rFonts w:asciiTheme="minorHAnsi" w:hAnsiTheme="minorHAnsi" w:cstheme="minorHAnsi"/>
          <w:sz w:val="22"/>
          <w:szCs w:val="22"/>
        </w:rPr>
        <w:t xml:space="preserve">tam </w:t>
      </w:r>
      <w:r w:rsidR="002505CB" w:rsidRPr="0014011D">
        <w:rPr>
          <w:rFonts w:asciiTheme="minorHAnsi" w:hAnsiTheme="minorHAnsi" w:cstheme="minorHAnsi"/>
          <w:sz w:val="22"/>
          <w:szCs w:val="22"/>
        </w:rPr>
        <w:t xml:space="preserve">tikrą </w:t>
      </w:r>
      <w:r w:rsidRPr="0014011D">
        <w:rPr>
          <w:rFonts w:asciiTheme="minorHAnsi" w:hAnsiTheme="minorHAnsi" w:cstheme="minorHAnsi"/>
          <w:sz w:val="22"/>
          <w:szCs w:val="22"/>
        </w:rPr>
        <w:t>laikotarpį</w:t>
      </w:r>
      <w:r w:rsidR="00544D5F" w:rsidRPr="0014011D">
        <w:rPr>
          <w:rFonts w:asciiTheme="minorHAnsi" w:hAnsiTheme="minorHAnsi" w:cstheme="minorHAnsi"/>
          <w:sz w:val="22"/>
          <w:szCs w:val="22"/>
        </w:rPr>
        <w:t xml:space="preserve"> ir </w:t>
      </w:r>
      <w:r w:rsidRPr="0014011D">
        <w:rPr>
          <w:rFonts w:asciiTheme="minorHAnsi" w:hAnsiTheme="minorHAnsi" w:cstheme="minorHAnsi"/>
          <w:sz w:val="22"/>
          <w:szCs w:val="22"/>
        </w:rPr>
        <w:t xml:space="preserve">ją detalizavo pagal </w:t>
      </w:r>
      <w:r w:rsidR="00544D5F" w:rsidRPr="0014011D">
        <w:rPr>
          <w:rFonts w:asciiTheme="minorHAnsi" w:hAnsiTheme="minorHAnsi" w:cstheme="minorHAnsi"/>
          <w:sz w:val="22"/>
          <w:szCs w:val="22"/>
        </w:rPr>
        <w:t xml:space="preserve">atskirus </w:t>
      </w:r>
      <w:r w:rsidRPr="0014011D">
        <w:rPr>
          <w:rFonts w:asciiTheme="minorHAnsi" w:hAnsiTheme="minorHAnsi" w:cstheme="minorHAnsi"/>
          <w:sz w:val="22"/>
          <w:szCs w:val="22"/>
        </w:rPr>
        <w:t>laikotarpius</w:t>
      </w:r>
      <w:r w:rsidR="00544D5F" w:rsidRPr="0014011D">
        <w:rPr>
          <w:rFonts w:asciiTheme="minorHAnsi" w:hAnsiTheme="minorHAnsi" w:cstheme="minorHAnsi"/>
          <w:sz w:val="22"/>
          <w:szCs w:val="22"/>
        </w:rPr>
        <w:t xml:space="preserve">. Dėl to </w:t>
      </w:r>
      <w:r w:rsidRPr="0014011D">
        <w:rPr>
          <w:rFonts w:asciiTheme="minorHAnsi" w:hAnsiTheme="minorHAnsi" w:cstheme="minorHAnsi"/>
          <w:sz w:val="22"/>
          <w:szCs w:val="22"/>
        </w:rPr>
        <w:t>pirmosios instancijos teismas, vadovaudamasis ABTĮ 131</w:t>
      </w:r>
      <w:r w:rsidRPr="0014011D">
        <w:rPr>
          <w:rFonts w:asciiTheme="minorHAnsi" w:hAnsiTheme="minorHAnsi" w:cstheme="minorHAnsi"/>
          <w:sz w:val="22"/>
          <w:szCs w:val="22"/>
          <w:vertAlign w:val="superscript"/>
        </w:rPr>
        <w:t xml:space="preserve">1 </w:t>
      </w:r>
      <w:r w:rsidRPr="0014011D">
        <w:rPr>
          <w:rFonts w:asciiTheme="minorHAnsi" w:hAnsiTheme="minorHAnsi" w:cstheme="minorHAnsi"/>
          <w:sz w:val="22"/>
          <w:szCs w:val="22"/>
        </w:rPr>
        <w:t xml:space="preserve">straipsnio 2 dalies 4 </w:t>
      </w:r>
      <w:r w:rsidRPr="00911B10">
        <w:rPr>
          <w:rFonts w:asciiTheme="minorHAnsi" w:hAnsiTheme="minorHAnsi" w:cstheme="minorHAnsi"/>
          <w:sz w:val="22"/>
          <w:szCs w:val="22"/>
        </w:rPr>
        <w:t>punktu, turėjo išskirti reikalavimų dalį, dėl kurios yra pasibaigęs įstatymuose nustatytas terminas reikalavimui pareikšti ir pareiškimo nenagrinėti</w:t>
      </w:r>
      <w:r w:rsidRPr="0014011D">
        <w:rPr>
          <w:rFonts w:asciiTheme="minorHAnsi" w:hAnsiTheme="minorHAnsi" w:cstheme="minorHAnsi"/>
          <w:sz w:val="22"/>
          <w:szCs w:val="22"/>
        </w:rPr>
        <w:t xml:space="preserve"> tik dėl šios reikalavimų dalies. </w:t>
      </w:r>
    </w:p>
    <w:p w14:paraId="0B2CBE8F" w14:textId="3EBB8301" w:rsidR="00B908EB" w:rsidRPr="0014011D" w:rsidRDefault="00B908EB" w:rsidP="002505CB">
      <w:pPr>
        <w:ind w:right="57" w:firstLine="567"/>
        <w:jc w:val="both"/>
        <w:rPr>
          <w:rFonts w:asciiTheme="minorHAnsi" w:hAnsiTheme="minorHAnsi" w:cstheme="minorHAnsi"/>
          <w:sz w:val="22"/>
          <w:szCs w:val="22"/>
        </w:rPr>
      </w:pPr>
      <w:r w:rsidRPr="0014011D">
        <w:rPr>
          <w:rFonts w:asciiTheme="minorHAnsi" w:eastAsia="Arial Unicode MS" w:hAnsiTheme="minorHAnsi" w:cstheme="minorHAnsi"/>
          <w:sz w:val="22"/>
          <w:szCs w:val="22"/>
        </w:rPr>
        <w:t>Klausimas perduotas pirmosios instancijos teismui nagrinėti iš naujo.</w:t>
      </w:r>
    </w:p>
    <w:p w14:paraId="69ED3768" w14:textId="4C738E36" w:rsidR="00B908EB" w:rsidRPr="0014011D" w:rsidRDefault="00B908EB" w:rsidP="00B908EB">
      <w:pPr>
        <w:pStyle w:val="prastasiniatinklio1"/>
        <w:spacing w:before="0" w:beforeAutospacing="0" w:after="0" w:afterAutospacing="0"/>
        <w:jc w:val="both"/>
        <w:rPr>
          <w:rFonts w:asciiTheme="minorHAnsi" w:eastAsia="Arial Unicode MS" w:hAnsiTheme="minorHAnsi" w:cstheme="minorHAnsi"/>
          <w:sz w:val="22"/>
          <w:szCs w:val="22"/>
        </w:rPr>
      </w:pPr>
    </w:p>
    <w:p w14:paraId="0638FA0B" w14:textId="3000E419" w:rsidR="00B908EB" w:rsidRPr="0014011D" w:rsidRDefault="00B908EB" w:rsidP="00B908EB">
      <w:pPr>
        <w:rPr>
          <w:rFonts w:asciiTheme="minorHAnsi" w:hAnsiTheme="minorHAnsi" w:cstheme="minorHAnsi"/>
          <w:sz w:val="22"/>
          <w:szCs w:val="22"/>
        </w:rPr>
      </w:pPr>
      <w:r w:rsidRPr="0014011D">
        <w:rPr>
          <w:rFonts w:asciiTheme="minorHAnsi" w:hAnsiTheme="minorHAnsi" w:cstheme="minorHAnsi"/>
          <w:sz w:val="22"/>
          <w:szCs w:val="22"/>
        </w:rPr>
        <w:t xml:space="preserve">2021 m. vasario 10 d. </w:t>
      </w:r>
      <w:r w:rsidR="004113D9" w:rsidRPr="0014011D">
        <w:rPr>
          <w:rFonts w:asciiTheme="minorHAnsi" w:hAnsiTheme="minorHAnsi" w:cstheme="minorHAnsi"/>
          <w:sz w:val="22"/>
          <w:szCs w:val="22"/>
        </w:rPr>
        <w:t xml:space="preserve">nutartis </w:t>
      </w:r>
      <w:r w:rsidRPr="0014011D">
        <w:rPr>
          <w:rFonts w:asciiTheme="minorHAnsi" w:hAnsiTheme="minorHAnsi" w:cstheme="minorHAnsi"/>
          <w:sz w:val="22"/>
          <w:szCs w:val="22"/>
        </w:rPr>
        <w:t>administracinėje byloje Nr. eAS-29-1062/2021</w:t>
      </w:r>
    </w:p>
    <w:p w14:paraId="4F1198C3" w14:textId="77777777" w:rsidR="00B908EB" w:rsidRPr="0014011D" w:rsidRDefault="00B908EB" w:rsidP="00B908EB">
      <w:pPr>
        <w:rPr>
          <w:rFonts w:asciiTheme="minorHAnsi" w:hAnsiTheme="minorHAnsi" w:cstheme="minorHAnsi"/>
          <w:bCs/>
          <w:sz w:val="22"/>
          <w:szCs w:val="22"/>
        </w:rPr>
      </w:pPr>
      <w:r w:rsidRPr="0014011D">
        <w:rPr>
          <w:rFonts w:asciiTheme="minorHAnsi" w:hAnsiTheme="minorHAnsi" w:cstheme="minorHAnsi"/>
          <w:sz w:val="22"/>
          <w:szCs w:val="22"/>
        </w:rPr>
        <w:t xml:space="preserve">Teisminio proceso Nr. </w:t>
      </w:r>
      <w:r w:rsidRPr="0014011D">
        <w:rPr>
          <w:rFonts w:asciiTheme="minorHAnsi" w:hAnsiTheme="minorHAnsi" w:cstheme="minorHAnsi"/>
          <w:bCs/>
          <w:sz w:val="22"/>
          <w:szCs w:val="22"/>
        </w:rPr>
        <w:t>3-61-3-03828-2020-8</w:t>
      </w:r>
    </w:p>
    <w:p w14:paraId="12F2E0E0" w14:textId="6858E0E5" w:rsidR="00B908EB" w:rsidRPr="0014011D" w:rsidRDefault="00B908EB" w:rsidP="00B908EB">
      <w:pPr>
        <w:rPr>
          <w:rFonts w:asciiTheme="minorHAnsi" w:hAnsiTheme="minorHAnsi" w:cstheme="minorHAnsi"/>
          <w:spacing w:val="4"/>
          <w:sz w:val="22"/>
          <w:szCs w:val="22"/>
        </w:rPr>
      </w:pPr>
      <w:r w:rsidRPr="0014011D">
        <w:rPr>
          <w:rFonts w:asciiTheme="minorHAnsi" w:hAnsiTheme="minorHAnsi" w:cstheme="minorHAnsi"/>
          <w:spacing w:val="4"/>
          <w:sz w:val="22"/>
          <w:szCs w:val="22"/>
        </w:rPr>
        <w:t>Procesinio sprendimo kategorija 43.10</w:t>
      </w:r>
    </w:p>
    <w:p w14:paraId="69AA722D" w14:textId="4070DD64" w:rsidR="007B6A8D" w:rsidRPr="0014011D" w:rsidRDefault="00936F04" w:rsidP="004113D9">
      <w:pPr>
        <w:rPr>
          <w:rStyle w:val="Hipersaitas"/>
          <w:rFonts w:asciiTheme="minorHAnsi" w:hAnsiTheme="minorHAnsi" w:cstheme="minorHAnsi"/>
          <w:spacing w:val="4"/>
          <w:sz w:val="22"/>
          <w:szCs w:val="22"/>
        </w:rPr>
      </w:pPr>
      <w:hyperlink r:id="rId31" w:history="1">
        <w:r w:rsidR="00B908EB" w:rsidRPr="0014011D">
          <w:rPr>
            <w:rStyle w:val="Hipersaitas"/>
            <w:rFonts w:asciiTheme="minorHAnsi" w:hAnsiTheme="minorHAnsi" w:cstheme="minorHAnsi"/>
            <w:spacing w:val="4"/>
            <w:sz w:val="22"/>
            <w:szCs w:val="22"/>
          </w:rPr>
          <w:t>Prieiga internete</w:t>
        </w:r>
      </w:hyperlink>
    </w:p>
    <w:p w14:paraId="44EA25B0" w14:textId="77777777" w:rsidR="004113D9" w:rsidRPr="0014011D" w:rsidRDefault="004113D9" w:rsidP="004113D9">
      <w:pPr>
        <w:rPr>
          <w:rFonts w:asciiTheme="minorHAnsi" w:hAnsiTheme="minorHAnsi" w:cstheme="minorHAnsi"/>
          <w:sz w:val="22"/>
          <w:szCs w:val="22"/>
        </w:rPr>
      </w:pPr>
    </w:p>
    <w:p w14:paraId="56CA4B95" w14:textId="77777777" w:rsidR="00C25198" w:rsidRPr="0014011D" w:rsidRDefault="00C25198" w:rsidP="00B62DE8">
      <w:pPr>
        <w:pStyle w:val="Apzvalgai1"/>
        <w:rPr>
          <w:rFonts w:asciiTheme="minorHAnsi" w:hAnsiTheme="minorHAnsi" w:cstheme="minorHAnsi"/>
        </w:rPr>
      </w:pPr>
      <w:bookmarkStart w:id="67" w:name="_Toc70514820"/>
      <w:r w:rsidRPr="0014011D">
        <w:rPr>
          <w:rFonts w:asciiTheme="minorHAnsi" w:hAnsiTheme="minorHAnsi" w:cstheme="minorHAnsi"/>
        </w:rPr>
        <w:t>56. Teismo sprendimo vykdymas</w:t>
      </w:r>
      <w:bookmarkEnd w:id="67"/>
    </w:p>
    <w:p w14:paraId="29C270CA" w14:textId="77777777" w:rsidR="00C25198" w:rsidRPr="0014011D" w:rsidRDefault="00C25198" w:rsidP="00C25198">
      <w:pPr>
        <w:rPr>
          <w:rStyle w:val="Hipersaitas"/>
          <w:rFonts w:asciiTheme="minorHAnsi" w:hAnsiTheme="minorHAnsi" w:cstheme="minorHAnsi"/>
          <w:sz w:val="22"/>
          <w:szCs w:val="22"/>
          <w:u w:val="none"/>
        </w:rPr>
      </w:pPr>
    </w:p>
    <w:p w14:paraId="236DD12C" w14:textId="77777777" w:rsidR="00C25198" w:rsidRPr="0014011D" w:rsidRDefault="00C25198" w:rsidP="00B62DE8">
      <w:pPr>
        <w:pStyle w:val="Antrat2"/>
        <w:rPr>
          <w:rFonts w:asciiTheme="minorHAnsi" w:hAnsiTheme="minorHAnsi" w:cstheme="minorHAnsi"/>
        </w:rPr>
      </w:pPr>
      <w:bookmarkStart w:id="68" w:name="_Toc70514821"/>
      <w:r w:rsidRPr="0014011D">
        <w:rPr>
          <w:rFonts w:asciiTheme="minorHAnsi" w:hAnsiTheme="minorHAnsi" w:cstheme="minorHAnsi"/>
        </w:rPr>
        <w:t>Dėl Covid-19 neigiamos įtakos ekonominei padėčiai vertinimo, sprendžiant dėl teismo sprendimo vykdymo atidėjimo ar išdėstymo</w:t>
      </w:r>
      <w:bookmarkEnd w:id="68"/>
    </w:p>
    <w:p w14:paraId="46FE4C04" w14:textId="77777777" w:rsidR="00C25198" w:rsidRPr="0014011D" w:rsidRDefault="00C25198" w:rsidP="00C25198">
      <w:pPr>
        <w:rPr>
          <w:rStyle w:val="Hipersaitas"/>
          <w:rFonts w:asciiTheme="minorHAnsi" w:hAnsiTheme="minorHAnsi" w:cstheme="minorHAnsi"/>
          <w:sz w:val="22"/>
          <w:szCs w:val="22"/>
          <w:u w:val="none"/>
        </w:rPr>
      </w:pPr>
    </w:p>
    <w:p w14:paraId="24B716C9" w14:textId="77777777" w:rsidR="00C25198" w:rsidRPr="0014011D" w:rsidRDefault="00C25198" w:rsidP="00C25198">
      <w:pPr>
        <w:ind w:firstLine="567"/>
        <w:jc w:val="both"/>
        <w:rPr>
          <w:rFonts w:asciiTheme="minorHAnsi" w:hAnsiTheme="minorHAnsi" w:cstheme="minorHAnsi"/>
          <w:sz w:val="22"/>
          <w:szCs w:val="22"/>
        </w:rPr>
      </w:pPr>
      <w:r w:rsidRPr="0014011D">
        <w:rPr>
          <w:rStyle w:val="Hipersaitas"/>
          <w:rFonts w:asciiTheme="minorHAnsi" w:hAnsiTheme="minorHAnsi" w:cstheme="minorHAnsi"/>
          <w:color w:val="auto"/>
          <w:sz w:val="22"/>
          <w:szCs w:val="22"/>
          <w:u w:val="none"/>
        </w:rPr>
        <w:t xml:space="preserve">Apžvelgiamu atveju ginčas kilo dėl pirmosios instancijos teismo nutarties, kuria buvo tenkintas atsakovų (trijų bendrovių) prašymas dėl teismo sprendimo vykdymo išdėstymo, be kita ko, grindžiamas, atsakovų teigimu, </w:t>
      </w:r>
      <w:r w:rsidRPr="0014011D">
        <w:rPr>
          <w:rFonts w:asciiTheme="minorHAnsi" w:hAnsiTheme="minorHAnsi" w:cstheme="minorHAnsi"/>
          <w:sz w:val="22"/>
          <w:szCs w:val="22"/>
        </w:rPr>
        <w:t>visiems žinoma ir neįrodinėtina Covid-19 plitimo neigiama įtaka verslo subjektų, įskaitant atsakovų, finansinei situacijai</w:t>
      </w:r>
      <w:r w:rsidRPr="0014011D">
        <w:rPr>
          <w:rStyle w:val="Hipersaitas"/>
          <w:rFonts w:asciiTheme="minorHAnsi" w:hAnsiTheme="minorHAnsi" w:cstheme="minorHAnsi"/>
          <w:color w:val="auto"/>
          <w:sz w:val="22"/>
          <w:szCs w:val="22"/>
          <w:u w:val="none"/>
        </w:rPr>
        <w:t xml:space="preserve">, </w:t>
      </w:r>
      <w:r w:rsidRPr="0014011D">
        <w:rPr>
          <w:rFonts w:asciiTheme="minorHAnsi" w:hAnsiTheme="minorHAnsi" w:cstheme="minorHAnsi"/>
          <w:sz w:val="22"/>
          <w:szCs w:val="22"/>
        </w:rPr>
        <w:t>teisėtumo ir pagrįstumo.</w:t>
      </w:r>
    </w:p>
    <w:p w14:paraId="1EF1F4FD" w14:textId="77777777" w:rsidR="00C25198" w:rsidRPr="0014011D" w:rsidRDefault="00C25198" w:rsidP="00C25198">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Teisėjų kolegija, remdamasi ankstesne LVAT praktika, priminė, kad sprendimo vykdymo atidėjimo ar išdėstymo institutai turi būti taikomi tik išimtiniais atvejais, todėl sprendžiant sprendimo vykdymo atidėjimo ar išdėstymo klausimą, svarbu nustatyti, ar atidėjus, išdėsčius sprendimo vykdymą tam tikram laikotarpiui, bus užtikrintas jo įvykdymas ateityje, ar nebus sumenkintas pats sprendimas, ar nebus pažeisti teisėti išieškotojo interesai. Sunki turtinė padėtis ar labai sprendimo vykdymą apsunkinančios aplinkybės yra vertinamojo pobūdžio sąvokos, nustatomos nagrinėjant konkrečią situaciją. Atsižvelgiant į tai, prašymo atidėti teismo </w:t>
      </w:r>
      <w:r w:rsidRPr="0014011D">
        <w:rPr>
          <w:rFonts w:asciiTheme="minorHAnsi" w:hAnsiTheme="minorHAnsi" w:cstheme="minorHAnsi"/>
          <w:sz w:val="22"/>
          <w:szCs w:val="22"/>
        </w:rPr>
        <w:lastRenderedPageBreak/>
        <w:t>sprendimo vykdymą atidėjimo būtinumas kiekvienu konkrečiu atveju turi būti pagrįstas konkrečiais duomenimis. Sprendžiant klausimą dėl sprendimo dalies vykdymo, negali būti pažeisti lygiateisiškumo ir teisėtų lūkesčių principai bei išieškotojo interesai.</w:t>
      </w:r>
    </w:p>
    <w:p w14:paraId="43504AD4" w14:textId="77777777" w:rsidR="00C25198" w:rsidRPr="0014011D" w:rsidRDefault="00C25198" w:rsidP="00C25198">
      <w:pPr>
        <w:ind w:firstLine="567"/>
        <w:jc w:val="both"/>
        <w:rPr>
          <w:rFonts w:asciiTheme="minorHAnsi" w:hAnsiTheme="minorHAnsi" w:cstheme="minorHAnsi"/>
          <w:sz w:val="22"/>
          <w:szCs w:val="22"/>
        </w:rPr>
      </w:pPr>
      <w:r w:rsidRPr="0014011D">
        <w:rPr>
          <w:rFonts w:asciiTheme="minorHAnsi" w:hAnsiTheme="minorHAnsi" w:cstheme="minorHAnsi"/>
          <w:sz w:val="22"/>
          <w:szCs w:val="22"/>
        </w:rPr>
        <w:t xml:space="preserve">Teisėjų kolegija pažymėjo, kad tokios atsakovų nurodytos aplinkybės kaip virusinės infekcijos Covid-19 plitimas ir visoje šalyje paskelbtas karantino režimas, kuris neigiamai paveikė ir atsakovų finansinę padėtį, kurios yra visuotinai pripažintos ir neįrodinėtinos ir kurios vertintinos kaip itin nepalankios aplinkybės teismo sprendimo įvykdymui, negali būti savaime vertinamos kaip išimtinės aplinkybės aptartos teismų praktikos dėl sprendimo vykdymo išdėstymo ir atidėjimo kontekste. </w:t>
      </w:r>
      <w:r w:rsidRPr="0014011D">
        <w:rPr>
          <w:rFonts w:asciiTheme="minorHAnsi" w:hAnsiTheme="minorHAnsi" w:cstheme="minorHAnsi"/>
          <w:sz w:val="22"/>
          <w:szCs w:val="22"/>
          <w:u w:val="single"/>
        </w:rPr>
        <w:t>Nors Covid-19 pandemija ir dėl jos visoje šalies teritorijoje įvestas karantino režimas bei jo sąlygoti įvairūs draudimai ir apribojimai neabejotinai daugiau ar mažiau palietė daugumą ūkio subjektų, tačiau vien šios aplinkybės pačios savaime nesudaro pagrindo išdėstyti teismo sprendimo vykdymą</w:t>
      </w:r>
      <w:r w:rsidRPr="0014011D">
        <w:rPr>
          <w:rFonts w:asciiTheme="minorHAnsi" w:hAnsiTheme="minorHAnsi" w:cstheme="minorHAnsi"/>
          <w:sz w:val="22"/>
          <w:szCs w:val="22"/>
        </w:rPr>
        <w:t>. Teisėjų kolegija atkreipė dėmesį, kad karantinas ne visas verslo sritis, fizinių bei juridinių asmenų turtinę padėtį paveikė neigiamai ir tai, jog dėl šalyje paskelbto karantino valstybinės institucijos taiko mokestines lengvatas bei mokėjimo atidėjimus, nepatvirtina sunkios turtinės padėties. Be to, karantino režimas paveikė visas proceso šalis, todėl vadovaujantis vien šiuo motyvu suteikti prioritetą tik vienos šalies interesams nukrypstant nuo nustatytos sprendimų vykdymo tvarkos būtų nepagrįsta ir neteisinga.</w:t>
      </w:r>
    </w:p>
    <w:p w14:paraId="7A537457" w14:textId="77777777" w:rsidR="00C25198" w:rsidRPr="0014011D" w:rsidRDefault="00C25198" w:rsidP="00C25198">
      <w:pPr>
        <w:ind w:firstLine="567"/>
        <w:jc w:val="both"/>
        <w:rPr>
          <w:rFonts w:asciiTheme="minorHAnsi" w:hAnsiTheme="minorHAnsi" w:cstheme="minorHAnsi"/>
          <w:sz w:val="22"/>
          <w:szCs w:val="22"/>
        </w:rPr>
      </w:pPr>
      <w:r w:rsidRPr="0014011D">
        <w:rPr>
          <w:rFonts w:asciiTheme="minorHAnsi" w:hAnsiTheme="minorHAnsi" w:cstheme="minorHAnsi"/>
          <w:sz w:val="22"/>
          <w:szCs w:val="22"/>
        </w:rPr>
        <w:t>Kadangi nagrinėtu atveju pirmosios instancijos teismas nepasisakė dėl atsiliepimuose į atsakovų prašymą dėl sprendimo vykdymo išdėstymo nurodytų kitų proceso šalių nesutikimo argumentų ir skundžiamą nutartį priėmė iš esmės vadovaudamasis tik atsakovų argumentais dėl Covid-19 plitimo sukeltos sunkios ekonominės padėties, pirmosios instancijos teismo nutartis panaikinta ir prašymas dėl teismo sprendimo vykdymo išdėstymo dviejų bendrovių atžvilgiu grąžinta pirmosios instancijos teismui nagrinėti iš naujo, o likusi bylos dalis, nustačius, jog trečioji bendrovė jau įvykdė teismo sprendimą, nutraukta.</w:t>
      </w:r>
    </w:p>
    <w:p w14:paraId="6EA318D3" w14:textId="77777777" w:rsidR="00C25198" w:rsidRPr="0014011D" w:rsidRDefault="00C25198" w:rsidP="00C25198">
      <w:pPr>
        <w:rPr>
          <w:rStyle w:val="Hipersaitas"/>
          <w:rFonts w:asciiTheme="minorHAnsi" w:hAnsiTheme="minorHAnsi" w:cstheme="minorHAnsi"/>
          <w:sz w:val="22"/>
          <w:szCs w:val="22"/>
          <w:u w:val="none"/>
        </w:rPr>
      </w:pPr>
    </w:p>
    <w:p w14:paraId="01FC5429" w14:textId="77777777" w:rsidR="00C25198" w:rsidRPr="0014011D" w:rsidRDefault="00C25198" w:rsidP="00C25198">
      <w:pPr>
        <w:rPr>
          <w:rFonts w:asciiTheme="minorHAnsi" w:hAnsiTheme="minorHAnsi" w:cstheme="minorHAnsi"/>
          <w:sz w:val="22"/>
          <w:szCs w:val="22"/>
        </w:rPr>
      </w:pPr>
      <w:r w:rsidRPr="0014011D">
        <w:rPr>
          <w:rFonts w:asciiTheme="minorHAnsi" w:hAnsiTheme="minorHAnsi" w:cstheme="minorHAnsi"/>
          <w:sz w:val="22"/>
          <w:szCs w:val="22"/>
        </w:rPr>
        <w:t xml:space="preserve">2021 m. vasario 10 d. nutartis administracinėje byloje Nr. </w:t>
      </w:r>
      <w:r w:rsidRPr="0014011D">
        <w:rPr>
          <w:rFonts w:asciiTheme="minorHAnsi" w:hAnsiTheme="minorHAnsi" w:cstheme="minorHAnsi"/>
          <w:bCs/>
          <w:sz w:val="22"/>
          <w:szCs w:val="22"/>
        </w:rPr>
        <w:t>eAS-48-261/2021</w:t>
      </w:r>
    </w:p>
    <w:p w14:paraId="483565F6" w14:textId="77777777" w:rsidR="00C25198" w:rsidRPr="0014011D" w:rsidRDefault="00C25198" w:rsidP="00C25198">
      <w:pPr>
        <w:rPr>
          <w:rFonts w:asciiTheme="minorHAnsi" w:hAnsiTheme="minorHAnsi" w:cstheme="minorHAnsi"/>
          <w:bCs/>
          <w:sz w:val="22"/>
          <w:szCs w:val="22"/>
          <w:lang w:eastAsia="en-US"/>
        </w:rPr>
      </w:pPr>
      <w:r w:rsidRPr="0014011D">
        <w:rPr>
          <w:rFonts w:asciiTheme="minorHAnsi" w:hAnsiTheme="minorHAnsi" w:cstheme="minorHAnsi"/>
          <w:sz w:val="22"/>
          <w:szCs w:val="22"/>
        </w:rPr>
        <w:t xml:space="preserve">Teisminio proceso Nr. </w:t>
      </w:r>
      <w:r w:rsidRPr="0014011D">
        <w:rPr>
          <w:rFonts w:asciiTheme="minorHAnsi" w:hAnsiTheme="minorHAnsi" w:cstheme="minorHAnsi"/>
          <w:bCs/>
          <w:sz w:val="22"/>
          <w:szCs w:val="22"/>
          <w:lang w:eastAsia="en-US"/>
        </w:rPr>
        <w:t>3-61-3-02855-2018-4</w:t>
      </w:r>
    </w:p>
    <w:p w14:paraId="439569A2" w14:textId="77777777" w:rsidR="00C25198" w:rsidRPr="0014011D" w:rsidRDefault="00C25198" w:rsidP="00C25198">
      <w:pPr>
        <w:rPr>
          <w:rFonts w:asciiTheme="minorHAnsi" w:hAnsiTheme="minorHAnsi" w:cstheme="minorHAnsi"/>
          <w:sz w:val="22"/>
          <w:szCs w:val="22"/>
          <w:lang w:eastAsia="en-US"/>
        </w:rPr>
      </w:pPr>
      <w:r w:rsidRPr="0014011D">
        <w:rPr>
          <w:rFonts w:asciiTheme="minorHAnsi" w:hAnsiTheme="minorHAnsi" w:cstheme="minorHAnsi"/>
          <w:sz w:val="22"/>
          <w:szCs w:val="22"/>
        </w:rPr>
        <w:t xml:space="preserve">Procesinio sprendimo </w:t>
      </w:r>
      <w:r w:rsidRPr="0014011D">
        <w:rPr>
          <w:rFonts w:asciiTheme="minorHAnsi" w:hAnsiTheme="minorHAnsi" w:cstheme="minorHAnsi"/>
          <w:sz w:val="22"/>
          <w:szCs w:val="22"/>
          <w:lang w:eastAsia="en-US"/>
        </w:rPr>
        <w:t>kategorijos: 55.1.8; 56</w:t>
      </w:r>
    </w:p>
    <w:p w14:paraId="56023F78" w14:textId="77777777" w:rsidR="00C25198" w:rsidRPr="0014011D" w:rsidRDefault="00936F04" w:rsidP="00C25198">
      <w:pPr>
        <w:rPr>
          <w:rStyle w:val="Hipersaitas"/>
          <w:rFonts w:asciiTheme="minorHAnsi" w:hAnsiTheme="minorHAnsi" w:cstheme="minorHAnsi"/>
          <w:sz w:val="22"/>
          <w:szCs w:val="22"/>
        </w:rPr>
      </w:pPr>
      <w:hyperlink r:id="rId32" w:history="1">
        <w:r w:rsidR="00C25198" w:rsidRPr="0014011D">
          <w:rPr>
            <w:rStyle w:val="Hipersaitas"/>
            <w:rFonts w:asciiTheme="minorHAnsi" w:hAnsiTheme="minorHAnsi" w:cstheme="minorHAnsi"/>
            <w:sz w:val="22"/>
            <w:szCs w:val="22"/>
          </w:rPr>
          <w:t>Prieiga internete</w:t>
        </w:r>
      </w:hyperlink>
    </w:p>
    <w:p w14:paraId="2F49D3B5" w14:textId="77777777" w:rsidR="00C25198" w:rsidRPr="0014011D" w:rsidRDefault="00C25198" w:rsidP="00C25198">
      <w:pPr>
        <w:rPr>
          <w:rStyle w:val="Hipersaitas"/>
          <w:rFonts w:asciiTheme="minorHAnsi" w:hAnsiTheme="minorHAnsi" w:cstheme="minorHAnsi"/>
          <w:sz w:val="22"/>
          <w:szCs w:val="22"/>
          <w:u w:val="none"/>
        </w:rPr>
      </w:pPr>
    </w:p>
    <w:p w14:paraId="5E4A69CA" w14:textId="77777777" w:rsidR="00CC79F7" w:rsidRPr="0014011D" w:rsidRDefault="00CC79F7" w:rsidP="00CC79F7">
      <w:pPr>
        <w:rPr>
          <w:rStyle w:val="Hipersaitas"/>
          <w:rFonts w:asciiTheme="minorHAnsi" w:hAnsiTheme="minorHAnsi" w:cstheme="minorHAnsi"/>
          <w:sz w:val="22"/>
          <w:szCs w:val="22"/>
          <w:u w:val="none"/>
        </w:rPr>
      </w:pPr>
    </w:p>
    <w:bookmarkEnd w:id="9"/>
    <w:bookmarkEnd w:id="10"/>
    <w:p w14:paraId="67C94CD6" w14:textId="77777777" w:rsidR="000664DB" w:rsidRPr="0014011D" w:rsidRDefault="000664DB" w:rsidP="007A35C3">
      <w:pPr>
        <w:jc w:val="center"/>
        <w:rPr>
          <w:rFonts w:asciiTheme="minorHAnsi" w:hAnsiTheme="minorHAnsi" w:cstheme="minorHAnsi"/>
          <w:sz w:val="22"/>
          <w:szCs w:val="22"/>
        </w:rPr>
      </w:pPr>
      <w:r w:rsidRPr="0014011D">
        <w:rPr>
          <w:rFonts w:asciiTheme="minorHAnsi" w:hAnsiTheme="minorHAnsi" w:cstheme="minorHAnsi"/>
          <w:sz w:val="22"/>
          <w:szCs w:val="22"/>
        </w:rPr>
        <w:t>____________</w:t>
      </w:r>
    </w:p>
    <w:p w14:paraId="3095A182" w14:textId="77777777" w:rsidR="000664DB" w:rsidRPr="0014011D" w:rsidRDefault="000664DB" w:rsidP="007A35C3">
      <w:pPr>
        <w:ind w:left="851" w:firstLine="283"/>
        <w:jc w:val="both"/>
        <w:rPr>
          <w:rFonts w:asciiTheme="minorHAnsi" w:hAnsiTheme="minorHAnsi" w:cstheme="minorHAnsi"/>
          <w:b/>
          <w:sz w:val="22"/>
          <w:szCs w:val="22"/>
          <w:u w:val="single"/>
        </w:rPr>
      </w:pPr>
    </w:p>
    <w:sectPr w:rsidR="000664DB" w:rsidRPr="0014011D" w:rsidSect="007B10BF">
      <w:headerReference w:type="default" r:id="rId33"/>
      <w:footerReference w:type="even" r:id="rId34"/>
      <w:footerReference w:type="default" r:id="rId35"/>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EEE09" w14:textId="77777777" w:rsidR="00936F04" w:rsidRDefault="00936F04" w:rsidP="003D4C15">
      <w:r>
        <w:separator/>
      </w:r>
    </w:p>
  </w:endnote>
  <w:endnote w:type="continuationSeparator" w:id="0">
    <w:p w14:paraId="52D4CE89" w14:textId="77777777" w:rsidR="00936F04" w:rsidRDefault="00936F04"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731D5" w14:textId="77777777" w:rsidR="00A65D80" w:rsidRDefault="00A65D8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41F9CC8" w14:textId="77777777" w:rsidR="00A65D80" w:rsidRDefault="00A65D8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0580" w14:textId="77777777" w:rsidR="00A65D80" w:rsidRPr="00386C1C" w:rsidRDefault="00A65D80">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BAA6" w14:textId="77777777" w:rsidR="00936F04" w:rsidRDefault="00936F04" w:rsidP="003D4C15">
      <w:r>
        <w:separator/>
      </w:r>
    </w:p>
  </w:footnote>
  <w:footnote w:type="continuationSeparator" w:id="0">
    <w:p w14:paraId="193F1930" w14:textId="77777777" w:rsidR="00936F04" w:rsidRDefault="00936F04" w:rsidP="003D4C15">
      <w:r>
        <w:continuationSeparator/>
      </w:r>
    </w:p>
  </w:footnote>
  <w:footnote w:id="1">
    <w:p w14:paraId="1E9098CA" w14:textId="77777777" w:rsidR="00A65D80" w:rsidRPr="00EB15D4" w:rsidRDefault="00A65D80" w:rsidP="007B72C9">
      <w:pPr>
        <w:pStyle w:val="Puslapioinaostekstas"/>
        <w:rPr>
          <w:rFonts w:asciiTheme="minorHAnsi" w:hAnsiTheme="minorHAnsi" w:cstheme="minorHAnsi"/>
        </w:rPr>
      </w:pPr>
      <w:r w:rsidRPr="00EB15D4">
        <w:rPr>
          <w:rStyle w:val="Puslapioinaosnuoroda"/>
          <w:rFonts w:asciiTheme="minorHAnsi" w:hAnsiTheme="minorHAnsi" w:cstheme="minorHAnsi"/>
        </w:rPr>
        <w:footnoteRef/>
      </w:r>
      <w:r w:rsidRPr="00EB15D4">
        <w:rPr>
          <w:rFonts w:asciiTheme="minorHAnsi" w:hAnsiTheme="minorHAnsi" w:cstheme="minorHAnsi"/>
        </w:rPr>
        <w:t xml:space="preserve"> „Mokesčių mokėtojas turi teisę kreiptis į mokesčių administratorių su prašymu pritarti jo siūlomam mokesčių teisės aktų nuostatų taikymui būsimajam sandoriui. Šiame prašyme mokesčių mokėtojas turi tiksliai ir vienareikšmiškai apibūdinti būsimąjį sandorį, aplinkybes, su kuriomis pagal mokesčių įstatymus sietinas apmokestinimas, taikytinas mokesčių teisės aktų nuostatas ir pateikti kitą informaciją ir įrodymus, kuriais grindžia siūlomą mokesčių teisės aktų nuostatų taikymą &lt;...&gt;.“</w:t>
      </w:r>
    </w:p>
  </w:footnote>
  <w:footnote w:id="2">
    <w:p w14:paraId="05831BD7" w14:textId="0051A9CE" w:rsidR="00A65D80" w:rsidRPr="00EB15D4" w:rsidRDefault="00A65D80" w:rsidP="50018204">
      <w:pPr>
        <w:pStyle w:val="Puslapioinaostekstas"/>
        <w:jc w:val="both"/>
        <w:rPr>
          <w:rFonts w:asciiTheme="minorHAnsi" w:hAnsiTheme="minorHAnsi" w:cstheme="minorBidi"/>
        </w:rPr>
      </w:pPr>
      <w:r w:rsidRPr="50018204">
        <w:rPr>
          <w:rStyle w:val="Puslapioinaosnuoroda"/>
          <w:rFonts w:asciiTheme="minorHAnsi" w:hAnsiTheme="minorHAnsi" w:cstheme="minorBidi"/>
        </w:rPr>
        <w:footnoteRef/>
      </w:r>
      <w:r w:rsidRPr="50018204">
        <w:rPr>
          <w:rFonts w:asciiTheme="minorHAnsi" w:hAnsiTheme="minorHAnsi" w:cstheme="minorBidi"/>
        </w:rPr>
        <w:t xml:space="preserve"> Pridėtinės vertės mokesčio įstatymo 92 straipsnio 8 dalyje nustatyta, kad kai naują transporto priemonę iš kitos valstybės narės įsigyja fizinis asmuo, kuris nėra ir pagal šį Įstatymą neprivalo būti PVM mokėtoju, jis privalo ne vėliau kaip iki kito mėnesio, einančio po naujos transporto priemonės įsigijimo, 25 dienos pateikti centrinio mokesčio administratoriaus nustatytus dokumentus, susijusius su šiuo sandoriu. Šių dokumentų pateikimo tvarką nustato centrinis mokesčio administratorius. Mokestį už įsigytą iš kitos valstybės narės naują transporto priemonę apskaičiuoja mokesčio administratorius. Mokestis turi būti sumokėtas ne vėliau kaip per 5 darbo dienas nuo dienos, kurią fizinis asmuo buvo informuotas apie apskaičiuotą mokesčio sumą.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65D80" w:rsidRPr="000967FF" w14:paraId="3C229C35" w14:textId="77777777" w:rsidTr="00125BDC">
      <w:tc>
        <w:tcPr>
          <w:tcW w:w="7230" w:type="dxa"/>
        </w:tcPr>
        <w:p w14:paraId="167F373A" w14:textId="77777777" w:rsidR="00A65D80" w:rsidRPr="0021377E" w:rsidRDefault="00A65D8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29765834" w14:textId="4FA96EC3" w:rsidR="00A65D80" w:rsidRPr="0021377E" w:rsidRDefault="00A65D80"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21 02 28 </w:t>
          </w:r>
        </w:p>
      </w:tc>
    </w:tr>
  </w:tbl>
  <w:p w14:paraId="16CF6483" w14:textId="77777777" w:rsidR="00A65D80" w:rsidRPr="008A0597" w:rsidRDefault="00A65D80">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hybridMultilevel"/>
    <w:tmpl w:val="0427001F"/>
    <w:lvl w:ilvl="0" w:tplc="D6842D7E">
      <w:start w:val="1"/>
      <w:numFmt w:val="decimal"/>
      <w:lvlText w:val="%1."/>
      <w:lvlJc w:val="left"/>
      <w:pPr>
        <w:ind w:left="5322" w:hanging="360"/>
      </w:pPr>
      <w:rPr>
        <w:rFonts w:hint="default"/>
        <w:sz w:val="24"/>
        <w:szCs w:val="24"/>
      </w:rPr>
    </w:lvl>
    <w:lvl w:ilvl="1" w:tplc="BB02E464">
      <w:start w:val="1"/>
      <w:numFmt w:val="decimal"/>
      <w:lvlText w:val="%1.%2."/>
      <w:lvlJc w:val="left"/>
      <w:pPr>
        <w:ind w:left="3268" w:hanging="432"/>
      </w:pPr>
      <w:rPr>
        <w:rFonts w:hint="default"/>
        <w:sz w:val="24"/>
        <w:szCs w:val="24"/>
      </w:rPr>
    </w:lvl>
    <w:lvl w:ilvl="2" w:tplc="7E922CEA">
      <w:start w:val="1"/>
      <w:numFmt w:val="decimal"/>
      <w:lvlText w:val="%1.%2.%3."/>
      <w:lvlJc w:val="left"/>
      <w:pPr>
        <w:ind w:left="1224" w:hanging="504"/>
      </w:pPr>
      <w:rPr>
        <w:rFonts w:hint="default"/>
      </w:rPr>
    </w:lvl>
    <w:lvl w:ilvl="3" w:tplc="79C6235C">
      <w:start w:val="1"/>
      <w:numFmt w:val="decimal"/>
      <w:lvlText w:val="%1.%2.%3.%4."/>
      <w:lvlJc w:val="left"/>
      <w:pPr>
        <w:ind w:left="1728" w:hanging="648"/>
      </w:pPr>
      <w:rPr>
        <w:rFonts w:hint="default"/>
      </w:rPr>
    </w:lvl>
    <w:lvl w:ilvl="4" w:tplc="DB76D848">
      <w:start w:val="1"/>
      <w:numFmt w:val="decimal"/>
      <w:lvlText w:val="%1.%2.%3.%4.%5."/>
      <w:lvlJc w:val="left"/>
      <w:pPr>
        <w:ind w:left="2232" w:hanging="792"/>
      </w:pPr>
      <w:rPr>
        <w:rFonts w:hint="default"/>
      </w:rPr>
    </w:lvl>
    <w:lvl w:ilvl="5" w:tplc="C31477C6">
      <w:start w:val="1"/>
      <w:numFmt w:val="decimal"/>
      <w:lvlText w:val="%1.%2.%3.%4.%5.%6."/>
      <w:lvlJc w:val="left"/>
      <w:pPr>
        <w:ind w:left="2736" w:hanging="936"/>
      </w:pPr>
      <w:rPr>
        <w:rFonts w:hint="default"/>
      </w:rPr>
    </w:lvl>
    <w:lvl w:ilvl="6" w:tplc="70A2798E">
      <w:start w:val="1"/>
      <w:numFmt w:val="decimal"/>
      <w:lvlText w:val="%1.%2.%3.%4.%5.%6.%7."/>
      <w:lvlJc w:val="left"/>
      <w:pPr>
        <w:ind w:left="3240" w:hanging="1080"/>
      </w:pPr>
      <w:rPr>
        <w:rFonts w:hint="default"/>
      </w:rPr>
    </w:lvl>
    <w:lvl w:ilvl="7" w:tplc="B6DCCE10">
      <w:start w:val="1"/>
      <w:numFmt w:val="decimal"/>
      <w:lvlText w:val="%1.%2.%3.%4.%5.%6.%7.%8."/>
      <w:lvlJc w:val="left"/>
      <w:pPr>
        <w:ind w:left="3744" w:hanging="1224"/>
      </w:pPr>
      <w:rPr>
        <w:rFonts w:hint="default"/>
      </w:rPr>
    </w:lvl>
    <w:lvl w:ilvl="8" w:tplc="D3E8EB84">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hybridMultilevel"/>
    <w:tmpl w:val="0B647CDA"/>
    <w:lvl w:ilvl="0" w:tplc="90AC8578">
      <w:start w:val="1"/>
      <w:numFmt w:val="decimal"/>
      <w:lvlText w:val="%1."/>
      <w:lvlJc w:val="left"/>
      <w:pPr>
        <w:ind w:left="360" w:hanging="360"/>
      </w:pPr>
      <w:rPr>
        <w:rFonts w:hint="default"/>
        <w:sz w:val="24"/>
        <w:szCs w:val="24"/>
      </w:rPr>
    </w:lvl>
    <w:lvl w:ilvl="1" w:tplc="C9540F24">
      <w:start w:val="1"/>
      <w:numFmt w:val="decimal"/>
      <w:lvlText w:val="%1.%2."/>
      <w:lvlJc w:val="left"/>
      <w:pPr>
        <w:ind w:left="1283" w:hanging="432"/>
      </w:pPr>
      <w:rPr>
        <w:rFonts w:hint="default"/>
        <w:b w:val="0"/>
        <w:bCs w:val="0"/>
        <w:sz w:val="24"/>
        <w:szCs w:val="24"/>
      </w:rPr>
    </w:lvl>
    <w:lvl w:ilvl="2" w:tplc="51B4B9B2">
      <w:start w:val="1"/>
      <w:numFmt w:val="decimal"/>
      <w:lvlText w:val="%1.%2.%3."/>
      <w:lvlJc w:val="left"/>
      <w:pPr>
        <w:ind w:left="1224" w:hanging="504"/>
      </w:pPr>
      <w:rPr>
        <w:rFonts w:hint="default"/>
      </w:rPr>
    </w:lvl>
    <w:lvl w:ilvl="3" w:tplc="7BC0EB86">
      <w:start w:val="1"/>
      <w:numFmt w:val="decimal"/>
      <w:lvlText w:val="%1.%2.%3.%4."/>
      <w:lvlJc w:val="left"/>
      <w:pPr>
        <w:ind w:left="1728" w:hanging="648"/>
      </w:pPr>
      <w:rPr>
        <w:rFonts w:hint="default"/>
      </w:rPr>
    </w:lvl>
    <w:lvl w:ilvl="4" w:tplc="2FA41B00">
      <w:start w:val="1"/>
      <w:numFmt w:val="decimal"/>
      <w:lvlText w:val="%1.%2.%3.%4.%5."/>
      <w:lvlJc w:val="left"/>
      <w:pPr>
        <w:ind w:left="2232" w:hanging="792"/>
      </w:pPr>
      <w:rPr>
        <w:rFonts w:hint="default"/>
      </w:rPr>
    </w:lvl>
    <w:lvl w:ilvl="5" w:tplc="35A444B2">
      <w:start w:val="1"/>
      <w:numFmt w:val="decimal"/>
      <w:lvlText w:val="%1.%2.%3.%4.%5.%6."/>
      <w:lvlJc w:val="left"/>
      <w:pPr>
        <w:ind w:left="2736" w:hanging="936"/>
      </w:pPr>
      <w:rPr>
        <w:rFonts w:hint="default"/>
      </w:rPr>
    </w:lvl>
    <w:lvl w:ilvl="6" w:tplc="D5F6D086">
      <w:start w:val="1"/>
      <w:numFmt w:val="decimal"/>
      <w:lvlText w:val="%1.%2.%3.%4.%5.%6.%7."/>
      <w:lvlJc w:val="left"/>
      <w:pPr>
        <w:ind w:left="3240" w:hanging="1080"/>
      </w:pPr>
      <w:rPr>
        <w:rFonts w:hint="default"/>
      </w:rPr>
    </w:lvl>
    <w:lvl w:ilvl="7" w:tplc="1B4A5638">
      <w:start w:val="1"/>
      <w:numFmt w:val="decimal"/>
      <w:lvlText w:val="%1.%2.%3.%4.%5.%6.%7.%8."/>
      <w:lvlJc w:val="left"/>
      <w:pPr>
        <w:ind w:left="3744" w:hanging="1224"/>
      </w:pPr>
      <w:rPr>
        <w:rFonts w:hint="default"/>
      </w:rPr>
    </w:lvl>
    <w:lvl w:ilvl="8" w:tplc="39109D44">
      <w:start w:val="1"/>
      <w:numFmt w:val="decimal"/>
      <w:lvlText w:val="%1.%2.%3.%4.%5.%6.%7.%8.%9."/>
      <w:lvlJc w:val="left"/>
      <w:pPr>
        <w:ind w:left="4320" w:hanging="1440"/>
      </w:pPr>
      <w:rPr>
        <w:rFonts w:hint="default"/>
      </w:rPr>
    </w:lvl>
  </w:abstractNum>
  <w:abstractNum w:abstractNumId="10" w15:restartNumberingAfterBreak="0">
    <w:nsid w:val="1D811F29"/>
    <w:multiLevelType w:val="hybridMultilevel"/>
    <w:tmpl w:val="0427001F"/>
    <w:lvl w:ilvl="0" w:tplc="6AE42328">
      <w:start w:val="1"/>
      <w:numFmt w:val="decimal"/>
      <w:lvlText w:val="%1."/>
      <w:lvlJc w:val="left"/>
      <w:pPr>
        <w:ind w:left="1778" w:hanging="360"/>
      </w:pPr>
      <w:rPr>
        <w:rFonts w:hint="default"/>
        <w:sz w:val="24"/>
        <w:szCs w:val="24"/>
      </w:rPr>
    </w:lvl>
    <w:lvl w:ilvl="1" w:tplc="2A2883F8">
      <w:start w:val="1"/>
      <w:numFmt w:val="decimal"/>
      <w:lvlText w:val="%1.%2."/>
      <w:lvlJc w:val="left"/>
      <w:pPr>
        <w:ind w:left="2417" w:hanging="432"/>
      </w:pPr>
    </w:lvl>
    <w:lvl w:ilvl="2" w:tplc="2AC63B52">
      <w:start w:val="1"/>
      <w:numFmt w:val="decimal"/>
      <w:lvlText w:val="%1.%2.%3."/>
      <w:lvlJc w:val="left"/>
      <w:pPr>
        <w:ind w:left="1224" w:hanging="504"/>
      </w:pPr>
    </w:lvl>
    <w:lvl w:ilvl="3" w:tplc="074677DC">
      <w:start w:val="1"/>
      <w:numFmt w:val="decimal"/>
      <w:lvlText w:val="%1.%2.%3.%4."/>
      <w:lvlJc w:val="left"/>
      <w:pPr>
        <w:ind w:left="1728" w:hanging="648"/>
      </w:pPr>
    </w:lvl>
    <w:lvl w:ilvl="4" w:tplc="8EC0E148">
      <w:start w:val="1"/>
      <w:numFmt w:val="decimal"/>
      <w:lvlText w:val="%1.%2.%3.%4.%5."/>
      <w:lvlJc w:val="left"/>
      <w:pPr>
        <w:ind w:left="2232" w:hanging="792"/>
      </w:pPr>
    </w:lvl>
    <w:lvl w:ilvl="5" w:tplc="431861DE">
      <w:start w:val="1"/>
      <w:numFmt w:val="decimal"/>
      <w:lvlText w:val="%1.%2.%3.%4.%5.%6."/>
      <w:lvlJc w:val="left"/>
      <w:pPr>
        <w:ind w:left="2736" w:hanging="936"/>
      </w:pPr>
    </w:lvl>
    <w:lvl w:ilvl="6" w:tplc="F040644A">
      <w:start w:val="1"/>
      <w:numFmt w:val="decimal"/>
      <w:lvlText w:val="%1.%2.%3.%4.%5.%6.%7."/>
      <w:lvlJc w:val="left"/>
      <w:pPr>
        <w:ind w:left="3240" w:hanging="1080"/>
      </w:pPr>
    </w:lvl>
    <w:lvl w:ilvl="7" w:tplc="C92EA5A4">
      <w:start w:val="1"/>
      <w:numFmt w:val="decimal"/>
      <w:lvlText w:val="%1.%2.%3.%4.%5.%6.%7.%8."/>
      <w:lvlJc w:val="left"/>
      <w:pPr>
        <w:ind w:left="3744" w:hanging="1224"/>
      </w:pPr>
    </w:lvl>
    <w:lvl w:ilvl="8" w:tplc="35EAA802">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hybridMultilevel"/>
    <w:tmpl w:val="0427001F"/>
    <w:lvl w:ilvl="0" w:tplc="2458A98A">
      <w:start w:val="1"/>
      <w:numFmt w:val="decimal"/>
      <w:lvlText w:val="%1."/>
      <w:lvlJc w:val="left"/>
      <w:pPr>
        <w:ind w:left="6598" w:hanging="360"/>
      </w:pPr>
      <w:rPr>
        <w:rFonts w:hint="default"/>
      </w:rPr>
    </w:lvl>
    <w:lvl w:ilvl="1" w:tplc="AB7EB3E8">
      <w:start w:val="1"/>
      <w:numFmt w:val="decimal"/>
      <w:lvlText w:val="%1.%2."/>
      <w:lvlJc w:val="left"/>
      <w:pPr>
        <w:ind w:left="792" w:hanging="432"/>
      </w:pPr>
    </w:lvl>
    <w:lvl w:ilvl="2" w:tplc="7128AC98">
      <w:start w:val="1"/>
      <w:numFmt w:val="decimal"/>
      <w:lvlText w:val="%1.%2.%3."/>
      <w:lvlJc w:val="left"/>
      <w:pPr>
        <w:ind w:left="1224" w:hanging="504"/>
      </w:pPr>
    </w:lvl>
    <w:lvl w:ilvl="3" w:tplc="F74225DA">
      <w:start w:val="1"/>
      <w:numFmt w:val="decimal"/>
      <w:lvlText w:val="%1.%2.%3.%4."/>
      <w:lvlJc w:val="left"/>
      <w:pPr>
        <w:ind w:left="1728" w:hanging="648"/>
      </w:pPr>
    </w:lvl>
    <w:lvl w:ilvl="4" w:tplc="8BEEA2CA">
      <w:start w:val="1"/>
      <w:numFmt w:val="decimal"/>
      <w:lvlText w:val="%1.%2.%3.%4.%5."/>
      <w:lvlJc w:val="left"/>
      <w:pPr>
        <w:ind w:left="2232" w:hanging="792"/>
      </w:pPr>
    </w:lvl>
    <w:lvl w:ilvl="5" w:tplc="9D10ECDC">
      <w:start w:val="1"/>
      <w:numFmt w:val="decimal"/>
      <w:lvlText w:val="%1.%2.%3.%4.%5.%6."/>
      <w:lvlJc w:val="left"/>
      <w:pPr>
        <w:ind w:left="2736" w:hanging="936"/>
      </w:pPr>
    </w:lvl>
    <w:lvl w:ilvl="6" w:tplc="6A8AABBA">
      <w:start w:val="1"/>
      <w:numFmt w:val="decimal"/>
      <w:lvlText w:val="%1.%2.%3.%4.%5.%6.%7."/>
      <w:lvlJc w:val="left"/>
      <w:pPr>
        <w:ind w:left="3240" w:hanging="1080"/>
      </w:pPr>
    </w:lvl>
    <w:lvl w:ilvl="7" w:tplc="A2226F30">
      <w:start w:val="1"/>
      <w:numFmt w:val="decimal"/>
      <w:lvlText w:val="%1.%2.%3.%4.%5.%6.%7.%8."/>
      <w:lvlJc w:val="left"/>
      <w:pPr>
        <w:ind w:left="3744" w:hanging="1224"/>
      </w:pPr>
    </w:lvl>
    <w:lvl w:ilvl="8" w:tplc="189C7BA8">
      <w:start w:val="1"/>
      <w:numFmt w:val="decimal"/>
      <w:lvlText w:val="%1.%2.%3.%4.%5.%6.%7.%8.%9."/>
      <w:lvlJc w:val="left"/>
      <w:pPr>
        <w:ind w:left="4320" w:hanging="1440"/>
      </w:pPr>
    </w:lvl>
  </w:abstractNum>
  <w:abstractNum w:abstractNumId="15" w15:restartNumberingAfterBreak="0">
    <w:nsid w:val="41482C5F"/>
    <w:multiLevelType w:val="hybridMultilevel"/>
    <w:tmpl w:val="FC2E35DE"/>
    <w:lvl w:ilvl="0" w:tplc="0A7470F2">
      <w:start w:val="1"/>
      <w:numFmt w:val="decimal"/>
      <w:lvlText w:val="%1."/>
      <w:lvlJc w:val="left"/>
      <w:pPr>
        <w:ind w:left="7470" w:hanging="360"/>
      </w:pPr>
      <w:rPr>
        <w:i w:val="0"/>
        <w:sz w:val="24"/>
        <w:szCs w:val="24"/>
      </w:rPr>
    </w:lvl>
    <w:lvl w:ilvl="1" w:tplc="88C2DBB6">
      <w:start w:val="1"/>
      <w:numFmt w:val="decimal"/>
      <w:isLgl/>
      <w:lvlText w:val="%1.%2."/>
      <w:lvlJc w:val="left"/>
      <w:pPr>
        <w:ind w:left="1331" w:hanging="480"/>
      </w:pPr>
      <w:rPr>
        <w:b w:val="0"/>
        <w:i w:val="0"/>
        <w:iCs w:val="0"/>
      </w:rPr>
    </w:lvl>
    <w:lvl w:ilvl="2" w:tplc="87AC4842">
      <w:start w:val="1"/>
      <w:numFmt w:val="decimal"/>
      <w:isLgl/>
      <w:lvlText w:val="%1.%2.%3."/>
      <w:lvlJc w:val="left"/>
      <w:pPr>
        <w:ind w:left="1571" w:hanging="720"/>
      </w:pPr>
    </w:lvl>
    <w:lvl w:ilvl="3" w:tplc="893C56B6">
      <w:start w:val="1"/>
      <w:numFmt w:val="decimal"/>
      <w:isLgl/>
      <w:lvlText w:val="%1.%2.%3.%4."/>
      <w:lvlJc w:val="left"/>
      <w:pPr>
        <w:ind w:left="1571" w:hanging="720"/>
      </w:pPr>
    </w:lvl>
    <w:lvl w:ilvl="4" w:tplc="F4AE50BA">
      <w:start w:val="1"/>
      <w:numFmt w:val="decimal"/>
      <w:isLgl/>
      <w:lvlText w:val="%1.%2.%3.%4.%5."/>
      <w:lvlJc w:val="left"/>
      <w:pPr>
        <w:ind w:left="1931" w:hanging="1080"/>
      </w:pPr>
    </w:lvl>
    <w:lvl w:ilvl="5" w:tplc="7C3ECFC4">
      <w:start w:val="1"/>
      <w:numFmt w:val="decimal"/>
      <w:isLgl/>
      <w:lvlText w:val="%1.%2.%3.%4.%5.%6."/>
      <w:lvlJc w:val="left"/>
      <w:pPr>
        <w:ind w:left="1931" w:hanging="1080"/>
      </w:pPr>
    </w:lvl>
    <w:lvl w:ilvl="6" w:tplc="2FBEF85E">
      <w:start w:val="1"/>
      <w:numFmt w:val="decimal"/>
      <w:isLgl/>
      <w:lvlText w:val="%1.%2.%3.%4.%5.%6.%7."/>
      <w:lvlJc w:val="left"/>
      <w:pPr>
        <w:ind w:left="2291" w:hanging="1440"/>
      </w:pPr>
    </w:lvl>
    <w:lvl w:ilvl="7" w:tplc="FAF6331A">
      <w:start w:val="1"/>
      <w:numFmt w:val="decimal"/>
      <w:isLgl/>
      <w:lvlText w:val="%1.%2.%3.%4.%5.%6.%7.%8."/>
      <w:lvlJc w:val="left"/>
      <w:pPr>
        <w:ind w:left="2291" w:hanging="1440"/>
      </w:pPr>
    </w:lvl>
    <w:lvl w:ilvl="8" w:tplc="FDEA9714">
      <w:start w:val="1"/>
      <w:numFmt w:val="decimal"/>
      <w:isLgl/>
      <w:lvlText w:val="%1.%2.%3.%4.%5.%6.%7.%8.%9."/>
      <w:lvlJc w:val="left"/>
      <w:pPr>
        <w:ind w:left="2651" w:hanging="1800"/>
      </w:pPr>
    </w:lvl>
  </w:abstractNum>
  <w:abstractNum w:abstractNumId="16" w15:restartNumberingAfterBreak="0">
    <w:nsid w:val="4AB67B8E"/>
    <w:multiLevelType w:val="hybridMultilevel"/>
    <w:tmpl w:val="BE8808BC"/>
    <w:lvl w:ilvl="0" w:tplc="6840D00E">
      <w:start w:val="1"/>
      <w:numFmt w:val="decimal"/>
      <w:lvlText w:val="%1."/>
      <w:lvlJc w:val="left"/>
      <w:pPr>
        <w:ind w:left="1070" w:hanging="360"/>
      </w:pPr>
      <w:rPr>
        <w:sz w:val="24"/>
        <w:szCs w:val="24"/>
      </w:rPr>
    </w:lvl>
    <w:lvl w:ilvl="1" w:tplc="66A8AF64">
      <w:start w:val="1"/>
      <w:numFmt w:val="decimal"/>
      <w:isLgl/>
      <w:lvlText w:val="%1.%2."/>
      <w:lvlJc w:val="left"/>
      <w:pPr>
        <w:ind w:left="1200" w:hanging="480"/>
      </w:pPr>
      <w:rPr>
        <w:sz w:val="24"/>
        <w:szCs w:val="24"/>
      </w:rPr>
    </w:lvl>
    <w:lvl w:ilvl="2" w:tplc="0E94AAA0">
      <w:start w:val="1"/>
      <w:numFmt w:val="decimal"/>
      <w:isLgl/>
      <w:lvlText w:val="%1.%2.%3."/>
      <w:lvlJc w:val="left"/>
      <w:pPr>
        <w:ind w:left="1450" w:hanging="720"/>
      </w:pPr>
    </w:lvl>
    <w:lvl w:ilvl="3" w:tplc="53CC0A8A">
      <w:start w:val="1"/>
      <w:numFmt w:val="decimal"/>
      <w:isLgl/>
      <w:lvlText w:val="%1.%2.%3.%4."/>
      <w:lvlJc w:val="left"/>
      <w:pPr>
        <w:ind w:left="1460" w:hanging="720"/>
      </w:pPr>
    </w:lvl>
    <w:lvl w:ilvl="4" w:tplc="89805A24">
      <w:start w:val="1"/>
      <w:numFmt w:val="decimal"/>
      <w:isLgl/>
      <w:lvlText w:val="%1.%2.%3.%4.%5."/>
      <w:lvlJc w:val="left"/>
      <w:pPr>
        <w:ind w:left="1830" w:hanging="1080"/>
      </w:pPr>
    </w:lvl>
    <w:lvl w:ilvl="5" w:tplc="8AEC01C8">
      <w:start w:val="1"/>
      <w:numFmt w:val="decimal"/>
      <w:isLgl/>
      <w:lvlText w:val="%1.%2.%3.%4.%5.%6."/>
      <w:lvlJc w:val="left"/>
      <w:pPr>
        <w:ind w:left="1840" w:hanging="1080"/>
      </w:pPr>
    </w:lvl>
    <w:lvl w:ilvl="6" w:tplc="CDFE0062">
      <w:start w:val="1"/>
      <w:numFmt w:val="decimal"/>
      <w:isLgl/>
      <w:lvlText w:val="%1.%2.%3.%4.%5.%6.%7."/>
      <w:lvlJc w:val="left"/>
      <w:pPr>
        <w:ind w:left="2210" w:hanging="1440"/>
      </w:pPr>
    </w:lvl>
    <w:lvl w:ilvl="7" w:tplc="05528F5C">
      <w:start w:val="1"/>
      <w:numFmt w:val="decimal"/>
      <w:isLgl/>
      <w:lvlText w:val="%1.%2.%3.%4.%5.%6.%7.%8."/>
      <w:lvlJc w:val="left"/>
      <w:pPr>
        <w:ind w:left="2220" w:hanging="1440"/>
      </w:pPr>
    </w:lvl>
    <w:lvl w:ilvl="8" w:tplc="3DAA1F72">
      <w:start w:val="1"/>
      <w:numFmt w:val="decimal"/>
      <w:isLgl/>
      <w:lvlText w:val="%1.%2.%3.%4.%5.%6.%7.%8.%9."/>
      <w:lvlJc w:val="left"/>
      <w:pPr>
        <w:ind w:left="2590" w:hanging="1800"/>
      </w:pPr>
    </w:lvl>
  </w:abstractNum>
  <w:abstractNum w:abstractNumId="17"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026ACC"/>
    <w:multiLevelType w:val="hybridMultilevel"/>
    <w:tmpl w:val="0427001F"/>
    <w:lvl w:ilvl="0" w:tplc="0AA6F638">
      <w:start w:val="1"/>
      <w:numFmt w:val="decimal"/>
      <w:lvlText w:val="%1."/>
      <w:lvlJc w:val="left"/>
      <w:pPr>
        <w:ind w:left="5606" w:hanging="360"/>
      </w:pPr>
      <w:rPr>
        <w:i w:val="0"/>
      </w:rPr>
    </w:lvl>
    <w:lvl w:ilvl="1" w:tplc="6A1C2BF0">
      <w:start w:val="1"/>
      <w:numFmt w:val="decimal"/>
      <w:lvlText w:val="%1.%2."/>
      <w:lvlJc w:val="left"/>
      <w:pPr>
        <w:ind w:left="792" w:hanging="432"/>
      </w:pPr>
    </w:lvl>
    <w:lvl w:ilvl="2" w:tplc="FCA00B9E">
      <w:start w:val="1"/>
      <w:numFmt w:val="decimal"/>
      <w:lvlText w:val="%1.%2.%3."/>
      <w:lvlJc w:val="left"/>
      <w:pPr>
        <w:ind w:left="1224" w:hanging="504"/>
      </w:pPr>
    </w:lvl>
    <w:lvl w:ilvl="3" w:tplc="F348DAA2">
      <w:start w:val="1"/>
      <w:numFmt w:val="decimal"/>
      <w:lvlText w:val="%1.%2.%3.%4."/>
      <w:lvlJc w:val="left"/>
      <w:pPr>
        <w:ind w:left="1728" w:hanging="648"/>
      </w:pPr>
    </w:lvl>
    <w:lvl w:ilvl="4" w:tplc="2A6E436C">
      <w:start w:val="1"/>
      <w:numFmt w:val="decimal"/>
      <w:lvlText w:val="%1.%2.%3.%4.%5."/>
      <w:lvlJc w:val="left"/>
      <w:pPr>
        <w:ind w:left="2232" w:hanging="792"/>
      </w:pPr>
    </w:lvl>
    <w:lvl w:ilvl="5" w:tplc="06E6F0C0">
      <w:start w:val="1"/>
      <w:numFmt w:val="decimal"/>
      <w:lvlText w:val="%1.%2.%3.%4.%5.%6."/>
      <w:lvlJc w:val="left"/>
      <w:pPr>
        <w:ind w:left="2736" w:hanging="936"/>
      </w:pPr>
    </w:lvl>
    <w:lvl w:ilvl="6" w:tplc="BAD87020">
      <w:start w:val="1"/>
      <w:numFmt w:val="decimal"/>
      <w:lvlText w:val="%1.%2.%3.%4.%5.%6.%7."/>
      <w:lvlJc w:val="left"/>
      <w:pPr>
        <w:ind w:left="3240" w:hanging="1080"/>
      </w:pPr>
    </w:lvl>
    <w:lvl w:ilvl="7" w:tplc="D38C2CD0">
      <w:start w:val="1"/>
      <w:numFmt w:val="decimal"/>
      <w:lvlText w:val="%1.%2.%3.%4.%5.%6.%7.%8."/>
      <w:lvlJc w:val="left"/>
      <w:pPr>
        <w:ind w:left="3744" w:hanging="1224"/>
      </w:pPr>
    </w:lvl>
    <w:lvl w:ilvl="8" w:tplc="AA04E6B6">
      <w:start w:val="1"/>
      <w:numFmt w:val="decimal"/>
      <w:lvlText w:val="%1.%2.%3.%4.%5.%6.%7.%8.%9."/>
      <w:lvlJc w:val="left"/>
      <w:pPr>
        <w:ind w:left="4320" w:hanging="1440"/>
      </w:pPr>
    </w:lvl>
  </w:abstractNum>
  <w:abstractNum w:abstractNumId="19"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6" w15:restartNumberingAfterBreak="0">
    <w:nsid w:val="75772430"/>
    <w:multiLevelType w:val="hybridMultilevel"/>
    <w:tmpl w:val="1F623786"/>
    <w:lvl w:ilvl="0" w:tplc="A232E918">
      <w:start w:val="2"/>
      <w:numFmt w:val="decimal"/>
      <w:lvlText w:val="%1."/>
      <w:lvlJc w:val="left"/>
      <w:pPr>
        <w:ind w:left="360" w:hanging="360"/>
      </w:pPr>
      <w:rPr>
        <w:rFonts w:hint="default"/>
      </w:rPr>
    </w:lvl>
    <w:lvl w:ilvl="1" w:tplc="CE3ED5C0">
      <w:start w:val="1"/>
      <w:numFmt w:val="decimal"/>
      <w:lvlText w:val="%1.%2."/>
      <w:lvlJc w:val="left"/>
      <w:pPr>
        <w:ind w:left="2214" w:hanging="360"/>
      </w:pPr>
      <w:rPr>
        <w:rFonts w:hint="default"/>
      </w:rPr>
    </w:lvl>
    <w:lvl w:ilvl="2" w:tplc="B9963C5A">
      <w:start w:val="1"/>
      <w:numFmt w:val="decimal"/>
      <w:lvlText w:val="%1.%2.%3."/>
      <w:lvlJc w:val="left"/>
      <w:pPr>
        <w:ind w:left="4428" w:hanging="720"/>
      </w:pPr>
      <w:rPr>
        <w:rFonts w:hint="default"/>
      </w:rPr>
    </w:lvl>
    <w:lvl w:ilvl="3" w:tplc="B634A084">
      <w:start w:val="1"/>
      <w:numFmt w:val="decimal"/>
      <w:lvlText w:val="%1.%2.%3.%4."/>
      <w:lvlJc w:val="left"/>
      <w:pPr>
        <w:ind w:left="6282" w:hanging="720"/>
      </w:pPr>
      <w:rPr>
        <w:rFonts w:hint="default"/>
      </w:rPr>
    </w:lvl>
    <w:lvl w:ilvl="4" w:tplc="6FC8BB22">
      <w:start w:val="1"/>
      <w:numFmt w:val="decimal"/>
      <w:lvlText w:val="%1.%2.%3.%4.%5."/>
      <w:lvlJc w:val="left"/>
      <w:pPr>
        <w:ind w:left="8496" w:hanging="1080"/>
      </w:pPr>
      <w:rPr>
        <w:rFonts w:hint="default"/>
      </w:rPr>
    </w:lvl>
    <w:lvl w:ilvl="5" w:tplc="B5226C5A">
      <w:start w:val="1"/>
      <w:numFmt w:val="decimal"/>
      <w:lvlText w:val="%1.%2.%3.%4.%5.%6."/>
      <w:lvlJc w:val="left"/>
      <w:pPr>
        <w:ind w:left="10350" w:hanging="1080"/>
      </w:pPr>
      <w:rPr>
        <w:rFonts w:hint="default"/>
      </w:rPr>
    </w:lvl>
    <w:lvl w:ilvl="6" w:tplc="1ECE1F30">
      <w:start w:val="1"/>
      <w:numFmt w:val="decimal"/>
      <w:lvlText w:val="%1.%2.%3.%4.%5.%6.%7."/>
      <w:lvlJc w:val="left"/>
      <w:pPr>
        <w:ind w:left="12564" w:hanging="1440"/>
      </w:pPr>
      <w:rPr>
        <w:rFonts w:hint="default"/>
      </w:rPr>
    </w:lvl>
    <w:lvl w:ilvl="7" w:tplc="F1F6314C">
      <w:start w:val="1"/>
      <w:numFmt w:val="decimal"/>
      <w:lvlText w:val="%1.%2.%3.%4.%5.%6.%7.%8."/>
      <w:lvlJc w:val="left"/>
      <w:pPr>
        <w:ind w:left="14418" w:hanging="1440"/>
      </w:pPr>
      <w:rPr>
        <w:rFonts w:hint="default"/>
      </w:rPr>
    </w:lvl>
    <w:lvl w:ilvl="8" w:tplc="87C03650">
      <w:start w:val="1"/>
      <w:numFmt w:val="decimal"/>
      <w:lvlText w:val="%1.%2.%3.%4.%5.%6.%7.%8.%9."/>
      <w:lvlJc w:val="left"/>
      <w:pPr>
        <w:ind w:left="16632" w:hanging="1800"/>
      </w:pPr>
      <w:rPr>
        <w:rFonts w:hint="default"/>
      </w:rPr>
    </w:lvl>
  </w:abstractNum>
  <w:abstractNum w:abstractNumId="27"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8"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5"/>
  </w:num>
  <w:num w:numId="2">
    <w:abstractNumId w:val="14"/>
  </w:num>
  <w:num w:numId="3">
    <w:abstractNumId w:val="5"/>
  </w:num>
  <w:num w:numId="4">
    <w:abstractNumId w:val="2"/>
  </w:num>
  <w:num w:numId="5">
    <w:abstractNumId w:val="19"/>
  </w:num>
  <w:num w:numId="6">
    <w:abstractNumId w:val="3"/>
    <w:lvlOverride w:ilvl="0">
      <w:lvl w:ilvl="0" w:tplc="F26838F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FF0739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462EC3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BFE9B5A">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4CC9EF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E90E2C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BA23E70">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904AD9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C0C58F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1"/>
  </w:num>
  <w:num w:numId="10">
    <w:abstractNumId w:val="20"/>
  </w:num>
  <w:num w:numId="11">
    <w:abstractNumId w:val="24"/>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7"/>
  </w:num>
  <w:num w:numId="21">
    <w:abstractNumId w:val="22"/>
  </w:num>
  <w:num w:numId="22">
    <w:abstractNumId w:val="17"/>
  </w:num>
  <w:num w:numId="23">
    <w:abstractNumId w:val="0"/>
  </w:num>
  <w:num w:numId="24">
    <w:abstractNumId w:val="27"/>
  </w:num>
  <w:num w:numId="25">
    <w:abstractNumId w:val="6"/>
  </w:num>
  <w:num w:numId="26">
    <w:abstractNumId w:val="2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41F"/>
    <w:rsid w:val="00015DA3"/>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FF5"/>
    <w:rsid w:val="00025504"/>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2A4"/>
    <w:rsid w:val="000368F0"/>
    <w:rsid w:val="00036B29"/>
    <w:rsid w:val="00037C27"/>
    <w:rsid w:val="00037D5F"/>
    <w:rsid w:val="00040EBD"/>
    <w:rsid w:val="0004105D"/>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F4C"/>
    <w:rsid w:val="00051FCA"/>
    <w:rsid w:val="00052441"/>
    <w:rsid w:val="0005299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736"/>
    <w:rsid w:val="000F1C77"/>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6D83"/>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529"/>
    <w:rsid w:val="00117BD5"/>
    <w:rsid w:val="00117D5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27D86"/>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A8"/>
    <w:rsid w:val="00144C08"/>
    <w:rsid w:val="00144CAC"/>
    <w:rsid w:val="00144EAC"/>
    <w:rsid w:val="001450EC"/>
    <w:rsid w:val="001454BB"/>
    <w:rsid w:val="00145540"/>
    <w:rsid w:val="00145AF2"/>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992"/>
    <w:rsid w:val="001E01FF"/>
    <w:rsid w:val="001E0CA3"/>
    <w:rsid w:val="001E11D8"/>
    <w:rsid w:val="001E13E4"/>
    <w:rsid w:val="001E15E7"/>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2E41"/>
    <w:rsid w:val="00203176"/>
    <w:rsid w:val="00203A1F"/>
    <w:rsid w:val="00203B59"/>
    <w:rsid w:val="0020434C"/>
    <w:rsid w:val="00204FDF"/>
    <w:rsid w:val="00205621"/>
    <w:rsid w:val="00207EE9"/>
    <w:rsid w:val="00210172"/>
    <w:rsid w:val="002114C4"/>
    <w:rsid w:val="00211A1D"/>
    <w:rsid w:val="0021226D"/>
    <w:rsid w:val="00212775"/>
    <w:rsid w:val="00212E45"/>
    <w:rsid w:val="002134F3"/>
    <w:rsid w:val="002139E6"/>
    <w:rsid w:val="00213D20"/>
    <w:rsid w:val="00214621"/>
    <w:rsid w:val="0021479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5C1"/>
    <w:rsid w:val="0027292D"/>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C64"/>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0568"/>
    <w:rsid w:val="002A0F65"/>
    <w:rsid w:val="002A1172"/>
    <w:rsid w:val="002A17F8"/>
    <w:rsid w:val="002A18B0"/>
    <w:rsid w:val="002A23E7"/>
    <w:rsid w:val="002A3987"/>
    <w:rsid w:val="002A5132"/>
    <w:rsid w:val="002A5297"/>
    <w:rsid w:val="002A575A"/>
    <w:rsid w:val="002A62C6"/>
    <w:rsid w:val="002A7AD6"/>
    <w:rsid w:val="002A7B7C"/>
    <w:rsid w:val="002A7F25"/>
    <w:rsid w:val="002A7FDC"/>
    <w:rsid w:val="002B01D5"/>
    <w:rsid w:val="002B0665"/>
    <w:rsid w:val="002B07E2"/>
    <w:rsid w:val="002B0E53"/>
    <w:rsid w:val="002B11A7"/>
    <w:rsid w:val="002B1C54"/>
    <w:rsid w:val="002B2083"/>
    <w:rsid w:val="002B2FF5"/>
    <w:rsid w:val="002B3FA3"/>
    <w:rsid w:val="002B4371"/>
    <w:rsid w:val="002B498D"/>
    <w:rsid w:val="002B49B9"/>
    <w:rsid w:val="002B4AE4"/>
    <w:rsid w:val="002B4BAE"/>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A14"/>
    <w:rsid w:val="002E2EB2"/>
    <w:rsid w:val="002E467D"/>
    <w:rsid w:val="002E4E93"/>
    <w:rsid w:val="002E55E3"/>
    <w:rsid w:val="002E67D9"/>
    <w:rsid w:val="002E688F"/>
    <w:rsid w:val="002E6A16"/>
    <w:rsid w:val="002E704F"/>
    <w:rsid w:val="002E79EA"/>
    <w:rsid w:val="002F0DB5"/>
    <w:rsid w:val="002F0EBF"/>
    <w:rsid w:val="002F108F"/>
    <w:rsid w:val="002F14AC"/>
    <w:rsid w:val="002F1785"/>
    <w:rsid w:val="002F182D"/>
    <w:rsid w:val="002F1872"/>
    <w:rsid w:val="002F1C5B"/>
    <w:rsid w:val="002F1CF6"/>
    <w:rsid w:val="002F1FCF"/>
    <w:rsid w:val="002F28A2"/>
    <w:rsid w:val="002F353F"/>
    <w:rsid w:val="002F3CC8"/>
    <w:rsid w:val="002F48AD"/>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703C"/>
    <w:rsid w:val="00307269"/>
    <w:rsid w:val="003072D1"/>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4227"/>
    <w:rsid w:val="00345F63"/>
    <w:rsid w:val="0034713B"/>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31D9"/>
    <w:rsid w:val="003A4135"/>
    <w:rsid w:val="003A46DE"/>
    <w:rsid w:val="003A49A2"/>
    <w:rsid w:val="003A4C9C"/>
    <w:rsid w:val="003A5338"/>
    <w:rsid w:val="003A53BD"/>
    <w:rsid w:val="003A5401"/>
    <w:rsid w:val="003A5671"/>
    <w:rsid w:val="003A5681"/>
    <w:rsid w:val="003A5FA5"/>
    <w:rsid w:val="003A7312"/>
    <w:rsid w:val="003B1850"/>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C7F18"/>
    <w:rsid w:val="003D0906"/>
    <w:rsid w:val="003D0F12"/>
    <w:rsid w:val="003D1A0A"/>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A69"/>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2306"/>
    <w:rsid w:val="003E3220"/>
    <w:rsid w:val="003E3488"/>
    <w:rsid w:val="003E3F20"/>
    <w:rsid w:val="003E4159"/>
    <w:rsid w:val="003E42E1"/>
    <w:rsid w:val="003E462E"/>
    <w:rsid w:val="003E4B77"/>
    <w:rsid w:val="003E4F34"/>
    <w:rsid w:val="003E5ACE"/>
    <w:rsid w:val="003E5D16"/>
    <w:rsid w:val="003E5E95"/>
    <w:rsid w:val="003E5FE5"/>
    <w:rsid w:val="003E604E"/>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3D9"/>
    <w:rsid w:val="00411845"/>
    <w:rsid w:val="00411E38"/>
    <w:rsid w:val="00411EE2"/>
    <w:rsid w:val="00412280"/>
    <w:rsid w:val="0041249C"/>
    <w:rsid w:val="00412F8F"/>
    <w:rsid w:val="0041300A"/>
    <w:rsid w:val="004130E1"/>
    <w:rsid w:val="004133D5"/>
    <w:rsid w:val="00413C16"/>
    <w:rsid w:val="00414C9A"/>
    <w:rsid w:val="00415054"/>
    <w:rsid w:val="004157F5"/>
    <w:rsid w:val="00415F2B"/>
    <w:rsid w:val="00417367"/>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58A0"/>
    <w:rsid w:val="00465FE2"/>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082"/>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EDD"/>
    <w:rsid w:val="00512F77"/>
    <w:rsid w:val="00513529"/>
    <w:rsid w:val="00514605"/>
    <w:rsid w:val="005149FA"/>
    <w:rsid w:val="0051512E"/>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439E"/>
    <w:rsid w:val="00544D5F"/>
    <w:rsid w:val="00545753"/>
    <w:rsid w:val="00545936"/>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D1C"/>
    <w:rsid w:val="00562EE8"/>
    <w:rsid w:val="005634BE"/>
    <w:rsid w:val="0056396E"/>
    <w:rsid w:val="00563B50"/>
    <w:rsid w:val="00564490"/>
    <w:rsid w:val="005648CB"/>
    <w:rsid w:val="00564D15"/>
    <w:rsid w:val="00564DB6"/>
    <w:rsid w:val="00564EE5"/>
    <w:rsid w:val="005656A9"/>
    <w:rsid w:val="005657D8"/>
    <w:rsid w:val="005660B3"/>
    <w:rsid w:val="00566828"/>
    <w:rsid w:val="00566D2D"/>
    <w:rsid w:val="00566FAB"/>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30E3"/>
    <w:rsid w:val="0057356B"/>
    <w:rsid w:val="00573771"/>
    <w:rsid w:val="0057386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754"/>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2F8C"/>
    <w:rsid w:val="005B327C"/>
    <w:rsid w:val="005B3785"/>
    <w:rsid w:val="005B3B07"/>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4F09"/>
    <w:rsid w:val="00646C8B"/>
    <w:rsid w:val="00647605"/>
    <w:rsid w:val="0064EECF"/>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897"/>
    <w:rsid w:val="00686C54"/>
    <w:rsid w:val="00687564"/>
    <w:rsid w:val="00690728"/>
    <w:rsid w:val="006909CF"/>
    <w:rsid w:val="00690A09"/>
    <w:rsid w:val="006912AE"/>
    <w:rsid w:val="006915E9"/>
    <w:rsid w:val="0069190D"/>
    <w:rsid w:val="00691D9B"/>
    <w:rsid w:val="00693148"/>
    <w:rsid w:val="00694192"/>
    <w:rsid w:val="006944E7"/>
    <w:rsid w:val="0069463E"/>
    <w:rsid w:val="006953F8"/>
    <w:rsid w:val="0069541C"/>
    <w:rsid w:val="00696578"/>
    <w:rsid w:val="00696E78"/>
    <w:rsid w:val="00696FD2"/>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8EA"/>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1F3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3B69"/>
    <w:rsid w:val="00773BC2"/>
    <w:rsid w:val="007740E5"/>
    <w:rsid w:val="007748A9"/>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23EE"/>
    <w:rsid w:val="0078338D"/>
    <w:rsid w:val="0078380C"/>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F67"/>
    <w:rsid w:val="007C1709"/>
    <w:rsid w:val="007C1FFB"/>
    <w:rsid w:val="007C2717"/>
    <w:rsid w:val="007C2F22"/>
    <w:rsid w:val="007C3224"/>
    <w:rsid w:val="007C3F4A"/>
    <w:rsid w:val="007C3F6E"/>
    <w:rsid w:val="007C4A7F"/>
    <w:rsid w:val="007C4AC7"/>
    <w:rsid w:val="007C4D8C"/>
    <w:rsid w:val="007C5699"/>
    <w:rsid w:val="007C61EC"/>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A62"/>
    <w:rsid w:val="0082128F"/>
    <w:rsid w:val="0082193D"/>
    <w:rsid w:val="00822015"/>
    <w:rsid w:val="00822B4B"/>
    <w:rsid w:val="00822D2A"/>
    <w:rsid w:val="0082325B"/>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410D"/>
    <w:rsid w:val="008B4335"/>
    <w:rsid w:val="008B469E"/>
    <w:rsid w:val="008B495E"/>
    <w:rsid w:val="008B6221"/>
    <w:rsid w:val="008B65A5"/>
    <w:rsid w:val="008B6D0A"/>
    <w:rsid w:val="008B6D39"/>
    <w:rsid w:val="008B6D51"/>
    <w:rsid w:val="008B718B"/>
    <w:rsid w:val="008B729D"/>
    <w:rsid w:val="008B76BA"/>
    <w:rsid w:val="008B7896"/>
    <w:rsid w:val="008C0651"/>
    <w:rsid w:val="008C0A1A"/>
    <w:rsid w:val="008C111C"/>
    <w:rsid w:val="008C2E16"/>
    <w:rsid w:val="008C37F0"/>
    <w:rsid w:val="008C4EEC"/>
    <w:rsid w:val="008C556C"/>
    <w:rsid w:val="008C570F"/>
    <w:rsid w:val="008C5E2F"/>
    <w:rsid w:val="008C6E48"/>
    <w:rsid w:val="008C6FE9"/>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F33"/>
    <w:rsid w:val="0090104F"/>
    <w:rsid w:val="00901142"/>
    <w:rsid w:val="009011D8"/>
    <w:rsid w:val="00901393"/>
    <w:rsid w:val="00901D29"/>
    <w:rsid w:val="00901E18"/>
    <w:rsid w:val="00902046"/>
    <w:rsid w:val="00902CDB"/>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99C"/>
    <w:rsid w:val="00911B10"/>
    <w:rsid w:val="00911BC6"/>
    <w:rsid w:val="00912168"/>
    <w:rsid w:val="00912C14"/>
    <w:rsid w:val="00912F57"/>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6F04"/>
    <w:rsid w:val="00937358"/>
    <w:rsid w:val="00937647"/>
    <w:rsid w:val="0093787B"/>
    <w:rsid w:val="00940631"/>
    <w:rsid w:val="00940788"/>
    <w:rsid w:val="00940FCA"/>
    <w:rsid w:val="0094180C"/>
    <w:rsid w:val="00942091"/>
    <w:rsid w:val="009425EE"/>
    <w:rsid w:val="00944928"/>
    <w:rsid w:val="00944A9B"/>
    <w:rsid w:val="0094516F"/>
    <w:rsid w:val="009451DE"/>
    <w:rsid w:val="00945315"/>
    <w:rsid w:val="00945FE7"/>
    <w:rsid w:val="00946009"/>
    <w:rsid w:val="00946506"/>
    <w:rsid w:val="0095060C"/>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369D"/>
    <w:rsid w:val="00984230"/>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4FF0"/>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133"/>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5E2"/>
    <w:rsid w:val="00A47A42"/>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80"/>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2B24"/>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E40"/>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DB4"/>
    <w:rsid w:val="00AF1F76"/>
    <w:rsid w:val="00AF30A5"/>
    <w:rsid w:val="00AF3610"/>
    <w:rsid w:val="00AF4396"/>
    <w:rsid w:val="00AF50C1"/>
    <w:rsid w:val="00AF53E8"/>
    <w:rsid w:val="00AF5451"/>
    <w:rsid w:val="00AF54CE"/>
    <w:rsid w:val="00AF5EF2"/>
    <w:rsid w:val="00AF61E9"/>
    <w:rsid w:val="00AF627A"/>
    <w:rsid w:val="00AF659D"/>
    <w:rsid w:val="00AF6666"/>
    <w:rsid w:val="00B00D0F"/>
    <w:rsid w:val="00B011E8"/>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2E1"/>
    <w:rsid w:val="00B234F5"/>
    <w:rsid w:val="00B23DEC"/>
    <w:rsid w:val="00B240C0"/>
    <w:rsid w:val="00B242A0"/>
    <w:rsid w:val="00B243FF"/>
    <w:rsid w:val="00B254C2"/>
    <w:rsid w:val="00B260E2"/>
    <w:rsid w:val="00B27130"/>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253"/>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BDB"/>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C"/>
    <w:rsid w:val="00C2023E"/>
    <w:rsid w:val="00C206C7"/>
    <w:rsid w:val="00C208C0"/>
    <w:rsid w:val="00C216C2"/>
    <w:rsid w:val="00C21A66"/>
    <w:rsid w:val="00C21B4F"/>
    <w:rsid w:val="00C21E41"/>
    <w:rsid w:val="00C22CCF"/>
    <w:rsid w:val="00C235EA"/>
    <w:rsid w:val="00C23670"/>
    <w:rsid w:val="00C2371B"/>
    <w:rsid w:val="00C23B52"/>
    <w:rsid w:val="00C2415E"/>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9E1"/>
    <w:rsid w:val="00C30A95"/>
    <w:rsid w:val="00C30C59"/>
    <w:rsid w:val="00C31397"/>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CAC"/>
    <w:rsid w:val="00C40212"/>
    <w:rsid w:val="00C40A17"/>
    <w:rsid w:val="00C40C55"/>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81A"/>
    <w:rsid w:val="00C57F83"/>
    <w:rsid w:val="00C60F5B"/>
    <w:rsid w:val="00C612D7"/>
    <w:rsid w:val="00C61392"/>
    <w:rsid w:val="00C61C8C"/>
    <w:rsid w:val="00C622DB"/>
    <w:rsid w:val="00C627A6"/>
    <w:rsid w:val="00C6283D"/>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3163"/>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9F7"/>
    <w:rsid w:val="00CC7A44"/>
    <w:rsid w:val="00CC7E42"/>
    <w:rsid w:val="00CD0B56"/>
    <w:rsid w:val="00CD0D8B"/>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0F4B"/>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493"/>
    <w:rsid w:val="00D917BB"/>
    <w:rsid w:val="00D92232"/>
    <w:rsid w:val="00D92E25"/>
    <w:rsid w:val="00D93252"/>
    <w:rsid w:val="00D9396A"/>
    <w:rsid w:val="00D94756"/>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C69"/>
    <w:rsid w:val="00DB1089"/>
    <w:rsid w:val="00DB10DC"/>
    <w:rsid w:val="00DB1515"/>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8DB"/>
    <w:rsid w:val="00E1591F"/>
    <w:rsid w:val="00E16377"/>
    <w:rsid w:val="00E16A55"/>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B8"/>
    <w:rsid w:val="00E3377F"/>
    <w:rsid w:val="00E33990"/>
    <w:rsid w:val="00E34122"/>
    <w:rsid w:val="00E34AC0"/>
    <w:rsid w:val="00E34F2E"/>
    <w:rsid w:val="00E36CA1"/>
    <w:rsid w:val="00E37096"/>
    <w:rsid w:val="00E37A7E"/>
    <w:rsid w:val="00E37CAE"/>
    <w:rsid w:val="00E37EEE"/>
    <w:rsid w:val="00E40323"/>
    <w:rsid w:val="00E41196"/>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149"/>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D57"/>
    <w:rsid w:val="00E9000F"/>
    <w:rsid w:val="00E909E8"/>
    <w:rsid w:val="00E914F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C7179"/>
    <w:rsid w:val="00FD0166"/>
    <w:rsid w:val="00FD07AB"/>
    <w:rsid w:val="00FD0DB1"/>
    <w:rsid w:val="00FD196F"/>
    <w:rsid w:val="00FD1FF0"/>
    <w:rsid w:val="00FD27DC"/>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578"/>
    <w:rsid w:val="00FE55CC"/>
    <w:rsid w:val="00FE5EF0"/>
    <w:rsid w:val="00FE5F5C"/>
    <w:rsid w:val="00FE5FD7"/>
    <w:rsid w:val="00FE5FED"/>
    <w:rsid w:val="00FE6B6C"/>
    <w:rsid w:val="00FE7FA5"/>
    <w:rsid w:val="00FF0AF2"/>
    <w:rsid w:val="00FF0B2E"/>
    <w:rsid w:val="00FF25F8"/>
    <w:rsid w:val="00FF35AF"/>
    <w:rsid w:val="00FF3AD8"/>
    <w:rsid w:val="00FF4B0D"/>
    <w:rsid w:val="00FF571B"/>
    <w:rsid w:val="00FF5DE5"/>
    <w:rsid w:val="00FF619B"/>
    <w:rsid w:val="00FF69A6"/>
    <w:rsid w:val="00FF6E30"/>
    <w:rsid w:val="00FF7326"/>
    <w:rsid w:val="00FF7705"/>
    <w:rsid w:val="00FF7D63"/>
    <w:rsid w:val="0112B36B"/>
    <w:rsid w:val="018DE506"/>
    <w:rsid w:val="01B0368A"/>
    <w:rsid w:val="01CE10F4"/>
    <w:rsid w:val="0227C7AA"/>
    <w:rsid w:val="023A9138"/>
    <w:rsid w:val="02A7F3A8"/>
    <w:rsid w:val="035F2166"/>
    <w:rsid w:val="036B6A43"/>
    <w:rsid w:val="0384114A"/>
    <w:rsid w:val="0394FF1A"/>
    <w:rsid w:val="03EB090B"/>
    <w:rsid w:val="040E9C0C"/>
    <w:rsid w:val="043487DE"/>
    <w:rsid w:val="04374B80"/>
    <w:rsid w:val="0439EE85"/>
    <w:rsid w:val="04606D07"/>
    <w:rsid w:val="0489E5C9"/>
    <w:rsid w:val="04EF5FBA"/>
    <w:rsid w:val="056C3CA8"/>
    <w:rsid w:val="059FB1B3"/>
    <w:rsid w:val="05CB38E3"/>
    <w:rsid w:val="05D0469A"/>
    <w:rsid w:val="0655370B"/>
    <w:rsid w:val="0668A693"/>
    <w:rsid w:val="06876261"/>
    <w:rsid w:val="06AA6CB2"/>
    <w:rsid w:val="07333542"/>
    <w:rsid w:val="0748B4EA"/>
    <w:rsid w:val="0762E9B8"/>
    <w:rsid w:val="07AE10FB"/>
    <w:rsid w:val="07BA7D3F"/>
    <w:rsid w:val="07C54D7F"/>
    <w:rsid w:val="090456CB"/>
    <w:rsid w:val="0922A8A9"/>
    <w:rsid w:val="0942FE98"/>
    <w:rsid w:val="09A59BAA"/>
    <w:rsid w:val="09DBD5F3"/>
    <w:rsid w:val="09FB0EBA"/>
    <w:rsid w:val="0A444DE8"/>
    <w:rsid w:val="0AE0BDA8"/>
    <w:rsid w:val="0B3B5052"/>
    <w:rsid w:val="0B479F80"/>
    <w:rsid w:val="0B48F80F"/>
    <w:rsid w:val="0B56F613"/>
    <w:rsid w:val="0B57E92B"/>
    <w:rsid w:val="0B5A502B"/>
    <w:rsid w:val="0BF50C7D"/>
    <w:rsid w:val="0C1D39B1"/>
    <w:rsid w:val="0C330593"/>
    <w:rsid w:val="0C4E7D9C"/>
    <w:rsid w:val="0CC9E552"/>
    <w:rsid w:val="0CCBEFE3"/>
    <w:rsid w:val="0D00EDBD"/>
    <w:rsid w:val="0EE6FE15"/>
    <w:rsid w:val="0EF95F52"/>
    <w:rsid w:val="0EFBFBE5"/>
    <w:rsid w:val="0F02B581"/>
    <w:rsid w:val="0F0AB43E"/>
    <w:rsid w:val="0F26283B"/>
    <w:rsid w:val="0F5CF672"/>
    <w:rsid w:val="0F74688D"/>
    <w:rsid w:val="0F92E6F1"/>
    <w:rsid w:val="0FE9B7A3"/>
    <w:rsid w:val="101D70AD"/>
    <w:rsid w:val="103A56EC"/>
    <w:rsid w:val="10669648"/>
    <w:rsid w:val="1085AD20"/>
    <w:rsid w:val="10C16CB7"/>
    <w:rsid w:val="1137C198"/>
    <w:rsid w:val="11A7BE5D"/>
    <w:rsid w:val="11BE7EB2"/>
    <w:rsid w:val="122B4C16"/>
    <w:rsid w:val="124DF87A"/>
    <w:rsid w:val="129DE41E"/>
    <w:rsid w:val="130A93E7"/>
    <w:rsid w:val="1339DF40"/>
    <w:rsid w:val="13869E30"/>
    <w:rsid w:val="13A45760"/>
    <w:rsid w:val="13A8C2AE"/>
    <w:rsid w:val="13DEFD66"/>
    <w:rsid w:val="1401C7C8"/>
    <w:rsid w:val="144DD8B5"/>
    <w:rsid w:val="148BE8BD"/>
    <w:rsid w:val="148E7D87"/>
    <w:rsid w:val="14C564FB"/>
    <w:rsid w:val="15665D0B"/>
    <w:rsid w:val="1588C00E"/>
    <w:rsid w:val="15E23284"/>
    <w:rsid w:val="15F32049"/>
    <w:rsid w:val="1616726E"/>
    <w:rsid w:val="16523278"/>
    <w:rsid w:val="16ABD122"/>
    <w:rsid w:val="16BC7A12"/>
    <w:rsid w:val="17352ACE"/>
    <w:rsid w:val="1743EE2E"/>
    <w:rsid w:val="1793C976"/>
    <w:rsid w:val="17A713AC"/>
    <w:rsid w:val="17CA9C6D"/>
    <w:rsid w:val="17CBFE2E"/>
    <w:rsid w:val="17CEFD7F"/>
    <w:rsid w:val="17D27FE9"/>
    <w:rsid w:val="1833904A"/>
    <w:rsid w:val="184ACBF7"/>
    <w:rsid w:val="18526C23"/>
    <w:rsid w:val="18783541"/>
    <w:rsid w:val="18A928D2"/>
    <w:rsid w:val="18ABE3E4"/>
    <w:rsid w:val="192CBD64"/>
    <w:rsid w:val="19500E43"/>
    <w:rsid w:val="1A249C8A"/>
    <w:rsid w:val="1A3823E4"/>
    <w:rsid w:val="1A73D3CA"/>
    <w:rsid w:val="1AA570EC"/>
    <w:rsid w:val="1AB50EFA"/>
    <w:rsid w:val="1AC8F8E7"/>
    <w:rsid w:val="1ACD2BCB"/>
    <w:rsid w:val="1ADD4B27"/>
    <w:rsid w:val="1B0BCDF9"/>
    <w:rsid w:val="1B10F3CA"/>
    <w:rsid w:val="1B1812D4"/>
    <w:rsid w:val="1B25A39B"/>
    <w:rsid w:val="1B6CE490"/>
    <w:rsid w:val="1B809BB9"/>
    <w:rsid w:val="1BF5EE70"/>
    <w:rsid w:val="1C094962"/>
    <w:rsid w:val="1C0B5D7D"/>
    <w:rsid w:val="1CD6F1BE"/>
    <w:rsid w:val="1CDAC2A1"/>
    <w:rsid w:val="1D113077"/>
    <w:rsid w:val="1D6BE48C"/>
    <w:rsid w:val="1D718EC6"/>
    <w:rsid w:val="1DC14CA8"/>
    <w:rsid w:val="1E117777"/>
    <w:rsid w:val="1E149F3E"/>
    <w:rsid w:val="1E5D3413"/>
    <w:rsid w:val="1EC7E3BB"/>
    <w:rsid w:val="1ED590CC"/>
    <w:rsid w:val="1EF39967"/>
    <w:rsid w:val="1F301B9F"/>
    <w:rsid w:val="1F3D636A"/>
    <w:rsid w:val="1FA859E8"/>
    <w:rsid w:val="206498D4"/>
    <w:rsid w:val="2064F0A3"/>
    <w:rsid w:val="206ADA0A"/>
    <w:rsid w:val="20ECD7B1"/>
    <w:rsid w:val="20ED78CB"/>
    <w:rsid w:val="20F88A55"/>
    <w:rsid w:val="20FAC6FD"/>
    <w:rsid w:val="211DC504"/>
    <w:rsid w:val="21420D58"/>
    <w:rsid w:val="214666C6"/>
    <w:rsid w:val="214F7D2F"/>
    <w:rsid w:val="21BA26A0"/>
    <w:rsid w:val="21F89353"/>
    <w:rsid w:val="21FB3756"/>
    <w:rsid w:val="22D9DE6C"/>
    <w:rsid w:val="2303C1A0"/>
    <w:rsid w:val="23C3BB18"/>
    <w:rsid w:val="23E4B8C1"/>
    <w:rsid w:val="23ECCAE9"/>
    <w:rsid w:val="2448444F"/>
    <w:rsid w:val="244CD6E0"/>
    <w:rsid w:val="25040122"/>
    <w:rsid w:val="2506F201"/>
    <w:rsid w:val="251DA296"/>
    <w:rsid w:val="2522F43A"/>
    <w:rsid w:val="256CF014"/>
    <w:rsid w:val="2579E496"/>
    <w:rsid w:val="259141CF"/>
    <w:rsid w:val="259B69B8"/>
    <w:rsid w:val="25C10B29"/>
    <w:rsid w:val="25D1299C"/>
    <w:rsid w:val="25EA8332"/>
    <w:rsid w:val="261985EB"/>
    <w:rsid w:val="272443CB"/>
    <w:rsid w:val="272B5275"/>
    <w:rsid w:val="27458A5A"/>
    <w:rsid w:val="2747A42E"/>
    <w:rsid w:val="2784DE61"/>
    <w:rsid w:val="279FDC45"/>
    <w:rsid w:val="27A9085E"/>
    <w:rsid w:val="280549D5"/>
    <w:rsid w:val="281B7649"/>
    <w:rsid w:val="282D19B0"/>
    <w:rsid w:val="283D37B4"/>
    <w:rsid w:val="285BBD30"/>
    <w:rsid w:val="28A42AE0"/>
    <w:rsid w:val="28CE92C1"/>
    <w:rsid w:val="291E2EA3"/>
    <w:rsid w:val="2A01C40D"/>
    <w:rsid w:val="2A0B7E03"/>
    <w:rsid w:val="2A19A258"/>
    <w:rsid w:val="2A65EA78"/>
    <w:rsid w:val="2A666FB0"/>
    <w:rsid w:val="2AB399BB"/>
    <w:rsid w:val="2B0FB553"/>
    <w:rsid w:val="2B7B2AED"/>
    <w:rsid w:val="2BA66207"/>
    <w:rsid w:val="2BC9B642"/>
    <w:rsid w:val="2BE6172F"/>
    <w:rsid w:val="2BF82B39"/>
    <w:rsid w:val="2C27A18D"/>
    <w:rsid w:val="2C2B28AC"/>
    <w:rsid w:val="2D0300BB"/>
    <w:rsid w:val="2D0F7CB0"/>
    <w:rsid w:val="2D417DAD"/>
    <w:rsid w:val="2D62E9A6"/>
    <w:rsid w:val="2D7D2315"/>
    <w:rsid w:val="2DD7752E"/>
    <w:rsid w:val="2DE118CD"/>
    <w:rsid w:val="2DE8EB0E"/>
    <w:rsid w:val="2E1F934B"/>
    <w:rsid w:val="2E91B77B"/>
    <w:rsid w:val="2F39512B"/>
    <w:rsid w:val="307379EB"/>
    <w:rsid w:val="3079D32A"/>
    <w:rsid w:val="30834C7A"/>
    <w:rsid w:val="308FCC8C"/>
    <w:rsid w:val="30EF8426"/>
    <w:rsid w:val="31350695"/>
    <w:rsid w:val="3142035C"/>
    <w:rsid w:val="314E9378"/>
    <w:rsid w:val="315E12C6"/>
    <w:rsid w:val="31B536AE"/>
    <w:rsid w:val="31C55E5B"/>
    <w:rsid w:val="31EADB40"/>
    <w:rsid w:val="3221238B"/>
    <w:rsid w:val="32227CB6"/>
    <w:rsid w:val="322AB9AE"/>
    <w:rsid w:val="32382CCE"/>
    <w:rsid w:val="3296C3CD"/>
    <w:rsid w:val="3297A7A9"/>
    <w:rsid w:val="3298B051"/>
    <w:rsid w:val="32CC1DBB"/>
    <w:rsid w:val="330B2519"/>
    <w:rsid w:val="33265BDA"/>
    <w:rsid w:val="3344E016"/>
    <w:rsid w:val="334EC6D0"/>
    <w:rsid w:val="336443C4"/>
    <w:rsid w:val="338253E6"/>
    <w:rsid w:val="3386ABA1"/>
    <w:rsid w:val="33A6554D"/>
    <w:rsid w:val="33E09D2D"/>
    <w:rsid w:val="33FC718D"/>
    <w:rsid w:val="3414F7AA"/>
    <w:rsid w:val="34495576"/>
    <w:rsid w:val="348BB6D7"/>
    <w:rsid w:val="349AE4A7"/>
    <w:rsid w:val="34A4BA75"/>
    <w:rsid w:val="34CCD59B"/>
    <w:rsid w:val="34D5E760"/>
    <w:rsid w:val="34E2F727"/>
    <w:rsid w:val="34EA3348"/>
    <w:rsid w:val="3528A65B"/>
    <w:rsid w:val="3530BC15"/>
    <w:rsid w:val="358E51A5"/>
    <w:rsid w:val="3625F55C"/>
    <w:rsid w:val="36AED097"/>
    <w:rsid w:val="36B42D6C"/>
    <w:rsid w:val="36BE9AB2"/>
    <w:rsid w:val="36D135A9"/>
    <w:rsid w:val="376910E7"/>
    <w:rsid w:val="377A2A85"/>
    <w:rsid w:val="3799A043"/>
    <w:rsid w:val="37AE25C5"/>
    <w:rsid w:val="384C5955"/>
    <w:rsid w:val="384D09AB"/>
    <w:rsid w:val="38A0C324"/>
    <w:rsid w:val="38A9C91D"/>
    <w:rsid w:val="38C1296D"/>
    <w:rsid w:val="38CE62FC"/>
    <w:rsid w:val="391349A4"/>
    <w:rsid w:val="3938161D"/>
    <w:rsid w:val="395236D2"/>
    <w:rsid w:val="398C77CE"/>
    <w:rsid w:val="398EDDD2"/>
    <w:rsid w:val="399C8809"/>
    <w:rsid w:val="399F215C"/>
    <w:rsid w:val="39CD04D5"/>
    <w:rsid w:val="39FA774A"/>
    <w:rsid w:val="3A449F81"/>
    <w:rsid w:val="3A9B216C"/>
    <w:rsid w:val="3AC9248A"/>
    <w:rsid w:val="3B0AA95D"/>
    <w:rsid w:val="3B25F7E4"/>
    <w:rsid w:val="3B2B7EB4"/>
    <w:rsid w:val="3B69ED48"/>
    <w:rsid w:val="3BB7B297"/>
    <w:rsid w:val="3BC23085"/>
    <w:rsid w:val="3BECA987"/>
    <w:rsid w:val="3C32BA11"/>
    <w:rsid w:val="3C4C64F0"/>
    <w:rsid w:val="3C4DD474"/>
    <w:rsid w:val="3C66F0BF"/>
    <w:rsid w:val="3C6BEC18"/>
    <w:rsid w:val="3CB48478"/>
    <w:rsid w:val="3CD1AF4C"/>
    <w:rsid w:val="3D22DB4A"/>
    <w:rsid w:val="3D7F9732"/>
    <w:rsid w:val="3DCD80E0"/>
    <w:rsid w:val="3E07953B"/>
    <w:rsid w:val="3E6FC560"/>
    <w:rsid w:val="3E760B29"/>
    <w:rsid w:val="3ED93AA0"/>
    <w:rsid w:val="3F21364A"/>
    <w:rsid w:val="3F2892A9"/>
    <w:rsid w:val="3F63A4A7"/>
    <w:rsid w:val="3F6B1DD1"/>
    <w:rsid w:val="3F931F64"/>
    <w:rsid w:val="3FA38CDA"/>
    <w:rsid w:val="3FA7DE3C"/>
    <w:rsid w:val="3FA971D3"/>
    <w:rsid w:val="3FC34B94"/>
    <w:rsid w:val="4022E3EC"/>
    <w:rsid w:val="40262255"/>
    <w:rsid w:val="40312C90"/>
    <w:rsid w:val="40D51FD2"/>
    <w:rsid w:val="413B7948"/>
    <w:rsid w:val="414ED2A5"/>
    <w:rsid w:val="4173BB63"/>
    <w:rsid w:val="418A8FC8"/>
    <w:rsid w:val="41BBA45D"/>
    <w:rsid w:val="41ED6A0D"/>
    <w:rsid w:val="41F280D6"/>
    <w:rsid w:val="424E5E65"/>
    <w:rsid w:val="42F93090"/>
    <w:rsid w:val="432E5B98"/>
    <w:rsid w:val="4335299B"/>
    <w:rsid w:val="4338F74F"/>
    <w:rsid w:val="43B02971"/>
    <w:rsid w:val="43D5560C"/>
    <w:rsid w:val="43F477F5"/>
    <w:rsid w:val="443FE9D7"/>
    <w:rsid w:val="44457682"/>
    <w:rsid w:val="44BEFF74"/>
    <w:rsid w:val="44DCA071"/>
    <w:rsid w:val="44E0E31B"/>
    <w:rsid w:val="44E2997A"/>
    <w:rsid w:val="44E5FB72"/>
    <w:rsid w:val="450FFBA3"/>
    <w:rsid w:val="4529625F"/>
    <w:rsid w:val="45988485"/>
    <w:rsid w:val="45A1D7FD"/>
    <w:rsid w:val="460B187B"/>
    <w:rsid w:val="46212161"/>
    <w:rsid w:val="46636CBD"/>
    <w:rsid w:val="4684818C"/>
    <w:rsid w:val="46B57085"/>
    <w:rsid w:val="46B6FBDD"/>
    <w:rsid w:val="46BD65BF"/>
    <w:rsid w:val="46E7AF04"/>
    <w:rsid w:val="46EA2C96"/>
    <w:rsid w:val="47069151"/>
    <w:rsid w:val="4712BDE5"/>
    <w:rsid w:val="472C60FE"/>
    <w:rsid w:val="47582098"/>
    <w:rsid w:val="4771A7A2"/>
    <w:rsid w:val="479244CD"/>
    <w:rsid w:val="47B055D3"/>
    <w:rsid w:val="480C867E"/>
    <w:rsid w:val="481691C1"/>
    <w:rsid w:val="4835AC61"/>
    <w:rsid w:val="483C7958"/>
    <w:rsid w:val="48459DE7"/>
    <w:rsid w:val="488FF15A"/>
    <w:rsid w:val="48A565D5"/>
    <w:rsid w:val="48AB7E51"/>
    <w:rsid w:val="48BBFE65"/>
    <w:rsid w:val="48D27B61"/>
    <w:rsid w:val="490994C0"/>
    <w:rsid w:val="4942F529"/>
    <w:rsid w:val="4980CD04"/>
    <w:rsid w:val="49E51F65"/>
    <w:rsid w:val="4A24D3C1"/>
    <w:rsid w:val="4A2C1D9F"/>
    <w:rsid w:val="4A6983D4"/>
    <w:rsid w:val="4A756A0D"/>
    <w:rsid w:val="4A7B5E37"/>
    <w:rsid w:val="4AE5C6A6"/>
    <w:rsid w:val="4B036F7B"/>
    <w:rsid w:val="4B0B9D7D"/>
    <w:rsid w:val="4B385A83"/>
    <w:rsid w:val="4B42D6C4"/>
    <w:rsid w:val="4B611D97"/>
    <w:rsid w:val="4B6D3BFC"/>
    <w:rsid w:val="4B78E869"/>
    <w:rsid w:val="4BB75FCF"/>
    <w:rsid w:val="4BBFA6EB"/>
    <w:rsid w:val="4C70D04F"/>
    <w:rsid w:val="4CBCD387"/>
    <w:rsid w:val="4CDE8C43"/>
    <w:rsid w:val="4D4563F5"/>
    <w:rsid w:val="4D95F636"/>
    <w:rsid w:val="4E37C7FB"/>
    <w:rsid w:val="4E6A1F12"/>
    <w:rsid w:val="4E7A5CA4"/>
    <w:rsid w:val="4EBFDC5D"/>
    <w:rsid w:val="4EC95E24"/>
    <w:rsid w:val="4ED4BCA8"/>
    <w:rsid w:val="4F556A90"/>
    <w:rsid w:val="4F8B5676"/>
    <w:rsid w:val="4F8F5490"/>
    <w:rsid w:val="4F98CA57"/>
    <w:rsid w:val="4F9F6979"/>
    <w:rsid w:val="4FE4581A"/>
    <w:rsid w:val="50018204"/>
    <w:rsid w:val="50190A6E"/>
    <w:rsid w:val="501E8AAF"/>
    <w:rsid w:val="5023C33D"/>
    <w:rsid w:val="50A921AC"/>
    <w:rsid w:val="5118A561"/>
    <w:rsid w:val="51980FFC"/>
    <w:rsid w:val="519F9F2D"/>
    <w:rsid w:val="52576BC7"/>
    <w:rsid w:val="536E66C1"/>
    <w:rsid w:val="53847D9A"/>
    <w:rsid w:val="53B3B621"/>
    <w:rsid w:val="53BD8B96"/>
    <w:rsid w:val="53BE79AC"/>
    <w:rsid w:val="53DD2F6B"/>
    <w:rsid w:val="5421A4FC"/>
    <w:rsid w:val="547E0B3E"/>
    <w:rsid w:val="54A21DB8"/>
    <w:rsid w:val="553C6B57"/>
    <w:rsid w:val="558515B2"/>
    <w:rsid w:val="55BCF204"/>
    <w:rsid w:val="55D0BE30"/>
    <w:rsid w:val="564007E6"/>
    <w:rsid w:val="564BB682"/>
    <w:rsid w:val="56525DB3"/>
    <w:rsid w:val="56A7F546"/>
    <w:rsid w:val="57240B29"/>
    <w:rsid w:val="573BEBE4"/>
    <w:rsid w:val="573CED56"/>
    <w:rsid w:val="575AAC4A"/>
    <w:rsid w:val="57CAD8CA"/>
    <w:rsid w:val="57F5312B"/>
    <w:rsid w:val="5863ED85"/>
    <w:rsid w:val="5868856C"/>
    <w:rsid w:val="58810CAF"/>
    <w:rsid w:val="58A127D6"/>
    <w:rsid w:val="58D94CDE"/>
    <w:rsid w:val="58DE0A84"/>
    <w:rsid w:val="591958D8"/>
    <w:rsid w:val="5A58E7B5"/>
    <w:rsid w:val="5A8A3888"/>
    <w:rsid w:val="5A9D3150"/>
    <w:rsid w:val="5AB0E69A"/>
    <w:rsid w:val="5B4EE5D5"/>
    <w:rsid w:val="5B72C8AA"/>
    <w:rsid w:val="5B757D9C"/>
    <w:rsid w:val="5B7F52F3"/>
    <w:rsid w:val="5BB63F47"/>
    <w:rsid w:val="5BD6EE24"/>
    <w:rsid w:val="5C03F0CB"/>
    <w:rsid w:val="5CA972B9"/>
    <w:rsid w:val="5D2B17CE"/>
    <w:rsid w:val="5DAF9E4F"/>
    <w:rsid w:val="5DF33540"/>
    <w:rsid w:val="5DF33742"/>
    <w:rsid w:val="5E100E1D"/>
    <w:rsid w:val="5EA723C5"/>
    <w:rsid w:val="5EDD043E"/>
    <w:rsid w:val="5F54833F"/>
    <w:rsid w:val="5F7E87E5"/>
    <w:rsid w:val="6072F637"/>
    <w:rsid w:val="60F9985D"/>
    <w:rsid w:val="614D112B"/>
    <w:rsid w:val="61872EE3"/>
    <w:rsid w:val="6187BFFD"/>
    <w:rsid w:val="61B4D229"/>
    <w:rsid w:val="61F2C0D2"/>
    <w:rsid w:val="620BF21F"/>
    <w:rsid w:val="625E7A6E"/>
    <w:rsid w:val="62689A5E"/>
    <w:rsid w:val="62DBA1E2"/>
    <w:rsid w:val="62E93AB9"/>
    <w:rsid w:val="634ED497"/>
    <w:rsid w:val="641DC49E"/>
    <w:rsid w:val="642407C0"/>
    <w:rsid w:val="643B8C93"/>
    <w:rsid w:val="644F6AEA"/>
    <w:rsid w:val="647B241D"/>
    <w:rsid w:val="64D7EF56"/>
    <w:rsid w:val="657874E0"/>
    <w:rsid w:val="65E130AA"/>
    <w:rsid w:val="65E40EDC"/>
    <w:rsid w:val="65F0A3F5"/>
    <w:rsid w:val="664F688C"/>
    <w:rsid w:val="6655EE07"/>
    <w:rsid w:val="66A0CD9C"/>
    <w:rsid w:val="66AC731B"/>
    <w:rsid w:val="66D4B1C3"/>
    <w:rsid w:val="67308C3B"/>
    <w:rsid w:val="675A38A0"/>
    <w:rsid w:val="679AEE69"/>
    <w:rsid w:val="6805B97B"/>
    <w:rsid w:val="6824F8D4"/>
    <w:rsid w:val="684262B6"/>
    <w:rsid w:val="6844E8ED"/>
    <w:rsid w:val="6886721F"/>
    <w:rsid w:val="68A04F11"/>
    <w:rsid w:val="68FD68A4"/>
    <w:rsid w:val="69084A57"/>
    <w:rsid w:val="6ABBE3AA"/>
    <w:rsid w:val="6AE84AC3"/>
    <w:rsid w:val="6B9F103C"/>
    <w:rsid w:val="6C2A115A"/>
    <w:rsid w:val="6C77C7C4"/>
    <w:rsid w:val="6CA3B7D1"/>
    <w:rsid w:val="6D1F7DDD"/>
    <w:rsid w:val="6D4D28FB"/>
    <w:rsid w:val="6DC6EA1D"/>
    <w:rsid w:val="6DE677DB"/>
    <w:rsid w:val="6DF6D4CE"/>
    <w:rsid w:val="6E21FC3B"/>
    <w:rsid w:val="6EB1629E"/>
    <w:rsid w:val="6F3594D9"/>
    <w:rsid w:val="6F3D3111"/>
    <w:rsid w:val="6F3EEE70"/>
    <w:rsid w:val="6F948C37"/>
    <w:rsid w:val="700486BD"/>
    <w:rsid w:val="705C7CDD"/>
    <w:rsid w:val="70860E83"/>
    <w:rsid w:val="708ACCF8"/>
    <w:rsid w:val="70F4EFFB"/>
    <w:rsid w:val="71955EB9"/>
    <w:rsid w:val="71EE8E4A"/>
    <w:rsid w:val="72ACB012"/>
    <w:rsid w:val="730DE549"/>
    <w:rsid w:val="730E2934"/>
    <w:rsid w:val="7360EFA4"/>
    <w:rsid w:val="73687958"/>
    <w:rsid w:val="738D7209"/>
    <w:rsid w:val="745551B6"/>
    <w:rsid w:val="745B77A3"/>
    <w:rsid w:val="748623B5"/>
    <w:rsid w:val="74AD6280"/>
    <w:rsid w:val="74B96B4C"/>
    <w:rsid w:val="74BBD1D3"/>
    <w:rsid w:val="74C93EB0"/>
    <w:rsid w:val="74CFCC90"/>
    <w:rsid w:val="7517FC5C"/>
    <w:rsid w:val="75ED6FD1"/>
    <w:rsid w:val="760DA87F"/>
    <w:rsid w:val="76180254"/>
    <w:rsid w:val="76212208"/>
    <w:rsid w:val="76212490"/>
    <w:rsid w:val="769CA88D"/>
    <w:rsid w:val="76A2C35A"/>
    <w:rsid w:val="76F14B78"/>
    <w:rsid w:val="77965A77"/>
    <w:rsid w:val="77C14650"/>
    <w:rsid w:val="77EC8282"/>
    <w:rsid w:val="7819E452"/>
    <w:rsid w:val="781DF487"/>
    <w:rsid w:val="78457F0B"/>
    <w:rsid w:val="785AB84D"/>
    <w:rsid w:val="786AC01A"/>
    <w:rsid w:val="786B3100"/>
    <w:rsid w:val="78874C6F"/>
    <w:rsid w:val="78B6A87A"/>
    <w:rsid w:val="78B6EC4F"/>
    <w:rsid w:val="78C84127"/>
    <w:rsid w:val="790B8A47"/>
    <w:rsid w:val="790B9AF4"/>
    <w:rsid w:val="79403A79"/>
    <w:rsid w:val="794282E0"/>
    <w:rsid w:val="796608C5"/>
    <w:rsid w:val="796AC941"/>
    <w:rsid w:val="7974BF98"/>
    <w:rsid w:val="79B4924C"/>
    <w:rsid w:val="79F11C2C"/>
    <w:rsid w:val="7A0985CE"/>
    <w:rsid w:val="7A43FA28"/>
    <w:rsid w:val="7A52BCB0"/>
    <w:rsid w:val="7AB41846"/>
    <w:rsid w:val="7AE9228D"/>
    <w:rsid w:val="7B088794"/>
    <w:rsid w:val="7B382CD2"/>
    <w:rsid w:val="7B4A91DD"/>
    <w:rsid w:val="7C025089"/>
    <w:rsid w:val="7C0FC778"/>
    <w:rsid w:val="7C216144"/>
    <w:rsid w:val="7C988E19"/>
    <w:rsid w:val="7CB0B6E8"/>
    <w:rsid w:val="7CE43D91"/>
    <w:rsid w:val="7D0A2E95"/>
    <w:rsid w:val="7DF139F5"/>
    <w:rsid w:val="7E1663B4"/>
    <w:rsid w:val="7E839FBE"/>
    <w:rsid w:val="7E914B6A"/>
    <w:rsid w:val="7EF3BB2F"/>
    <w:rsid w:val="7F20766B"/>
    <w:rsid w:val="7F252786"/>
    <w:rsid w:val="7F3259A4"/>
    <w:rsid w:val="7F89D865"/>
    <w:rsid w:val="7FBD4CA2"/>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28E3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36301"/>
    <w:rPr>
      <w:rFonts w:ascii="Calibri" w:eastAsia="Calibri" w:hAnsi="Calibri" w:cs="Calibr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styleId="Neapdorotaspaminjimas">
    <w:name w:val="Unresolved Mention"/>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35559250">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2619a54076c211eb9601893677bfd7d8" TargetMode="External"/><Relationship Id="rId18" Type="http://schemas.openxmlformats.org/officeDocument/2006/relationships/hyperlink" Target="https://www.e-tar.lt/portal/lt/legalAct/320adab07c4211eb9601893677bfd7d8" TargetMode="External"/><Relationship Id="rId26" Type="http://schemas.openxmlformats.org/officeDocument/2006/relationships/hyperlink" Target="https://www.e-tar.lt/portal/lt/legalAct/1dec71e076c211eb9601893677bfd7d8" TargetMode="External"/><Relationship Id="rId3" Type="http://schemas.openxmlformats.org/officeDocument/2006/relationships/customXml" Target="../customXml/item3.xml"/><Relationship Id="rId21" Type="http://schemas.openxmlformats.org/officeDocument/2006/relationships/hyperlink" Target="https://www.e-tar.lt/portal/lt/legalAct/0fccaa50720b11eb9601893677bfd7d8"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tar.lt/portal/lt/legalAct/e0936bb06bc111eb9dc7b575f08e8bea" TargetMode="External"/><Relationship Id="rId17" Type="http://schemas.openxmlformats.org/officeDocument/2006/relationships/hyperlink" Target="https://www.e-tar.lt/portal/lt/legalAct/7ee86d00707811eb9601893677bfd7d8" TargetMode="External"/><Relationship Id="rId25" Type="http://schemas.openxmlformats.org/officeDocument/2006/relationships/hyperlink" Target="https://www.e-tar.lt/portal/lt/legalAct/37b146f076c211eb9601893677bfd7d8"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28547cf07d0b11eb9601893677bfd7d8" TargetMode="External"/><Relationship Id="rId20" Type="http://schemas.openxmlformats.org/officeDocument/2006/relationships/hyperlink" Target="https://www.e-tar.lt/portal/lt/legalAct/29fbf630778b11eb9601893677bfd7d8" TargetMode="External"/><Relationship Id="rId29" Type="http://schemas.openxmlformats.org/officeDocument/2006/relationships/hyperlink" Target="https://www.e-tar.lt/portal/lt/legalAct/1600a9807c4211eb9601893677bfd7d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8a0fcd90707811eb9601893677bfd7d8" TargetMode="External"/><Relationship Id="rId32" Type="http://schemas.openxmlformats.org/officeDocument/2006/relationships/hyperlink" Target="https://www.e-tar.lt/portal/lt/legalAct/c7f77b70714111eb9601893677bfd7d8"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tar.lt/portal/lt/legalAct/9b7059b0707811eb9601893677bfd7d8" TargetMode="External"/><Relationship Id="rId23" Type="http://schemas.openxmlformats.org/officeDocument/2006/relationships/hyperlink" Target="https://www.e-tar.lt/portal/lt/legalAct/df4b1ea076c111eb9601893677bfd7d8" TargetMode="External"/><Relationship Id="rId28" Type="http://schemas.openxmlformats.org/officeDocument/2006/relationships/hyperlink" Target="https://www.e-tar.lt/portal/lt/legalAct/fbe0d4a0778a11eb9601893677bfd7d8"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tar.lt/portal/lt/legalAct/2176acf07d0b11eb9601893677bfd7d8" TargetMode="External"/><Relationship Id="rId31" Type="http://schemas.openxmlformats.org/officeDocument/2006/relationships/hyperlink" Target="https://www.e-tar.lt/portal/lt/legalAct/2ba33ab0714211eb9601893677bfd7d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26b31a70785411eb9601893677bfd7d8" TargetMode="External"/><Relationship Id="rId22" Type="http://schemas.openxmlformats.org/officeDocument/2006/relationships/hyperlink" Target="https://www.e-tar.lt/portal/lt/legalAct/75e4b2607c4211eb9601893677bfd7d8" TargetMode="External"/><Relationship Id="rId27" Type="http://schemas.openxmlformats.org/officeDocument/2006/relationships/hyperlink" Target="https://www.e-tar.lt/portal/lt/legalAct/a670e9d06bc111eb9dc7b575f08e8bea" TargetMode="External"/><Relationship Id="rId30" Type="http://schemas.openxmlformats.org/officeDocument/2006/relationships/hyperlink" Target="https://www.e-tar.lt/portal/lt/legalAct/fadab7306bc111eb9dc7b575f08e8bea" TargetMode="External"/><Relationship Id="rId35"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327332-3978-4D95-BE48-53C08853E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3.xml><?xml version="1.0" encoding="utf-8"?>
<ds:datastoreItem xmlns:ds="http://schemas.openxmlformats.org/officeDocument/2006/customXml" ds:itemID="{364A64CA-7691-4B9B-8115-74550DF414D3}">
  <ds:schemaRefs>
    <ds:schemaRef ds:uri="http://schemas.openxmlformats.org/officeDocument/2006/bibliography"/>
  </ds:schemaRefs>
</ds:datastoreItem>
</file>

<file path=customXml/itemProps4.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16253</Words>
  <Characters>92643</Characters>
  <Application>Microsoft Office Word</Application>
  <DocSecurity>0</DocSecurity>
  <Lines>772</Lines>
  <Paragraphs>217</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108679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3</cp:revision>
  <cp:lastPrinted>2018-07-19T07:34:00Z</cp:lastPrinted>
  <dcterms:created xsi:type="dcterms:W3CDTF">2021-04-30T05:05:00Z</dcterms:created>
  <dcterms:modified xsi:type="dcterms:W3CDTF">2021-04-30T08:27:00Z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