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187E2" w14:textId="77777777" w:rsidR="003D4C15" w:rsidRPr="00B240C0" w:rsidRDefault="003D4C15" w:rsidP="00025BA1">
      <w:pPr>
        <w:pStyle w:val="Betarp"/>
        <w:spacing w:after="240"/>
        <w:jc w:val="both"/>
        <w:rPr>
          <w:rFonts w:asciiTheme="minorHAnsi" w:hAnsiTheme="minorHAnsi" w:cstheme="minorHAnsi"/>
        </w:rPr>
      </w:pPr>
    </w:p>
    <w:p w14:paraId="17569D08" w14:textId="77777777" w:rsidR="003D4C15" w:rsidRPr="00B240C0" w:rsidRDefault="003D4C15" w:rsidP="00025BA1">
      <w:pPr>
        <w:pStyle w:val="Betarp"/>
        <w:spacing w:after="240"/>
        <w:jc w:val="both"/>
        <w:rPr>
          <w:rFonts w:asciiTheme="minorHAnsi" w:hAnsiTheme="minorHAnsi" w:cstheme="minorHAnsi"/>
        </w:rPr>
      </w:pPr>
    </w:p>
    <w:p w14:paraId="70D2EAA9" w14:textId="77777777" w:rsidR="00A4671F" w:rsidRPr="00B240C0" w:rsidRDefault="00A4671F" w:rsidP="00025BA1">
      <w:pPr>
        <w:pStyle w:val="Betarp"/>
        <w:spacing w:after="1440"/>
        <w:ind w:left="1296" w:hanging="1296"/>
        <w:jc w:val="center"/>
        <w:rPr>
          <w:rFonts w:asciiTheme="minorHAnsi" w:hAnsiTheme="minorHAnsi" w:cstheme="minorHAnsi"/>
          <w:lang w:eastAsia="lt-LT"/>
        </w:rPr>
      </w:pPr>
    </w:p>
    <w:p w14:paraId="66813C6B" w14:textId="77777777" w:rsidR="003D4C15" w:rsidRPr="00B240C0" w:rsidRDefault="003D4C15" w:rsidP="00025BA1">
      <w:pPr>
        <w:pStyle w:val="Betarp"/>
        <w:spacing w:after="1440"/>
        <w:ind w:left="1296" w:hanging="1296"/>
        <w:jc w:val="center"/>
        <w:rPr>
          <w:rFonts w:asciiTheme="minorHAnsi" w:hAnsiTheme="minorHAnsi" w:cstheme="minorHAnsi"/>
        </w:rPr>
      </w:pPr>
      <w:r w:rsidRPr="00B240C0">
        <w:rPr>
          <w:rFonts w:asciiTheme="minorHAnsi" w:hAnsiTheme="minorHAnsi" w:cstheme="minorHAnsi"/>
          <w:noProof/>
          <w:lang w:eastAsia="lt-LT"/>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B240C0">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F0ED16A" id="Rectangle 7" o:spid="_x0000_s1026"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o:allowincell="f" fillcolor="#365f91" strokecolor="#31849b">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BB0D123" id="Rectangle 6" o:spid="_x0000_s102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o:allowincell="f" fillcolor="#365f91" strokecolor="#17365d">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3502C55"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o:allowincell="f" strokecolor="#17365d">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DE6C875"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o:allowincell="f" strokecolor="#17365d">
                <w10:wrap anchorx="page" anchory="page"/>
              </v:rect>
            </w:pict>
          </mc:Fallback>
        </mc:AlternateContent>
      </w:r>
    </w:p>
    <w:p w14:paraId="06F7CBC9" w14:textId="77777777" w:rsidR="003D4C15" w:rsidRPr="00EF63E3" w:rsidRDefault="003D4C15" w:rsidP="00025BA1">
      <w:pPr>
        <w:pStyle w:val="Betarp"/>
        <w:jc w:val="center"/>
        <w:rPr>
          <w:rFonts w:asciiTheme="minorHAnsi" w:hAnsiTheme="minorHAnsi" w:cstheme="minorHAnsi"/>
          <w:smallCaps/>
          <w:sz w:val="52"/>
          <w:szCs w:val="52"/>
        </w:rPr>
      </w:pPr>
      <w:r w:rsidRPr="00EF63E3">
        <w:rPr>
          <w:rFonts w:asciiTheme="minorHAnsi" w:hAnsiTheme="minorHAnsi" w:cstheme="minorHAnsi"/>
          <w:smallCaps/>
          <w:sz w:val="52"/>
          <w:szCs w:val="52"/>
        </w:rPr>
        <w:t>Lietuvos vyriausiojo administracinio teismo praktikos apžvalga</w:t>
      </w:r>
    </w:p>
    <w:p w14:paraId="6B519B9C" w14:textId="77777777" w:rsidR="003D4C15" w:rsidRPr="00EF63E3" w:rsidRDefault="003D4C15" w:rsidP="00025BA1">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EF63E3">
        <w:rPr>
          <w:rFonts w:asciiTheme="minorHAnsi" w:hAnsiTheme="minorHAnsi" w:cstheme="minorHAnsi"/>
          <w:b/>
          <w:smallCaps/>
          <w:sz w:val="32"/>
          <w:szCs w:val="32"/>
          <w:u w:val="double"/>
        </w:rPr>
        <w:t>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 </w:t>
      </w:r>
      <w:r w:rsidR="00B14AE2">
        <w:rPr>
          <w:rFonts w:asciiTheme="minorHAnsi" w:hAnsiTheme="minorHAnsi" w:cstheme="minorHAnsi"/>
          <w:b/>
          <w:smallCaps/>
          <w:sz w:val="32"/>
          <w:szCs w:val="32"/>
          <w:u w:val="double"/>
        </w:rPr>
        <w:t>kovo</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1 d. – 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w:t>
      </w:r>
      <w:r w:rsidR="000F1C77" w:rsidRPr="00EF63E3">
        <w:rPr>
          <w:rFonts w:asciiTheme="minorHAnsi" w:hAnsiTheme="minorHAnsi" w:cstheme="minorHAnsi"/>
          <w:b/>
          <w:smallCaps/>
          <w:sz w:val="32"/>
          <w:szCs w:val="32"/>
          <w:u w:val="double"/>
        </w:rPr>
        <w:t xml:space="preserve"> </w:t>
      </w:r>
      <w:r w:rsidR="00B14AE2">
        <w:rPr>
          <w:rFonts w:asciiTheme="minorHAnsi" w:hAnsiTheme="minorHAnsi" w:cstheme="minorHAnsi"/>
          <w:b/>
          <w:smallCaps/>
          <w:sz w:val="32"/>
          <w:szCs w:val="32"/>
          <w:u w:val="double"/>
        </w:rPr>
        <w:t>kovo</w:t>
      </w:r>
      <w:r w:rsidR="009623D0">
        <w:rPr>
          <w:rFonts w:asciiTheme="minorHAnsi" w:hAnsiTheme="minorHAnsi" w:cstheme="minorHAnsi"/>
          <w:b/>
          <w:smallCaps/>
          <w:sz w:val="32"/>
          <w:szCs w:val="32"/>
          <w:u w:val="double"/>
        </w:rPr>
        <w:t xml:space="preserve"> </w:t>
      </w:r>
      <w:r w:rsidR="00B14AE2">
        <w:rPr>
          <w:rFonts w:asciiTheme="minorHAnsi" w:hAnsiTheme="minorHAnsi" w:cstheme="minorHAnsi"/>
          <w:b/>
          <w:smallCaps/>
          <w:sz w:val="32"/>
          <w:szCs w:val="32"/>
          <w:u w:val="double"/>
        </w:rPr>
        <w:t>31</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d.</w:t>
      </w:r>
      <w:bookmarkEnd w:id="0"/>
      <w:bookmarkEnd w:id="1"/>
      <w:bookmarkEnd w:id="2"/>
      <w:bookmarkEnd w:id="3"/>
      <w:bookmarkEnd w:id="4"/>
      <w:bookmarkEnd w:id="5"/>
    </w:p>
    <w:p w14:paraId="34CB955A" w14:textId="77777777" w:rsidR="003D4C15" w:rsidRPr="00EF63E3" w:rsidRDefault="003D4C15" w:rsidP="00025BA1">
      <w:pPr>
        <w:jc w:val="both"/>
        <w:rPr>
          <w:rFonts w:asciiTheme="minorHAnsi" w:hAnsiTheme="minorHAnsi" w:cstheme="minorHAnsi"/>
          <w:b/>
          <w:smallCaps/>
          <w:sz w:val="32"/>
          <w:szCs w:val="32"/>
        </w:rPr>
      </w:pPr>
    </w:p>
    <w:p w14:paraId="012D63E8" w14:textId="77777777" w:rsidR="003D4C15" w:rsidRPr="00B240C0" w:rsidRDefault="003D4C15" w:rsidP="00025BA1">
      <w:pPr>
        <w:jc w:val="both"/>
        <w:rPr>
          <w:rFonts w:asciiTheme="minorHAnsi" w:hAnsiTheme="minorHAnsi" w:cstheme="minorHAnsi"/>
          <w:b/>
          <w:smallCaps/>
          <w:sz w:val="22"/>
          <w:szCs w:val="22"/>
        </w:rPr>
      </w:pPr>
    </w:p>
    <w:p w14:paraId="455E7653" w14:textId="77777777" w:rsidR="003D4C15" w:rsidRPr="00B240C0" w:rsidRDefault="003D4C15" w:rsidP="00025BA1">
      <w:pPr>
        <w:jc w:val="both"/>
        <w:rPr>
          <w:rFonts w:asciiTheme="minorHAnsi" w:hAnsiTheme="minorHAnsi" w:cstheme="minorHAnsi"/>
          <w:b/>
          <w:smallCaps/>
          <w:sz w:val="22"/>
          <w:szCs w:val="22"/>
        </w:rPr>
      </w:pPr>
    </w:p>
    <w:p w14:paraId="53EE2D16" w14:textId="77777777" w:rsidR="003D4C15" w:rsidRPr="00B240C0" w:rsidRDefault="003D4C15" w:rsidP="00025BA1">
      <w:pPr>
        <w:jc w:val="both"/>
        <w:rPr>
          <w:rFonts w:asciiTheme="minorHAnsi" w:hAnsiTheme="minorHAnsi" w:cstheme="minorHAnsi"/>
          <w:b/>
          <w:smallCaps/>
          <w:sz w:val="22"/>
          <w:szCs w:val="22"/>
        </w:rPr>
      </w:pPr>
    </w:p>
    <w:p w14:paraId="73448F9D" w14:textId="77777777" w:rsidR="003D4C15" w:rsidRPr="00B240C0" w:rsidRDefault="003D4C15" w:rsidP="00025BA1">
      <w:pPr>
        <w:jc w:val="both"/>
        <w:rPr>
          <w:rFonts w:asciiTheme="minorHAnsi" w:hAnsiTheme="minorHAnsi" w:cstheme="minorHAnsi"/>
          <w:b/>
          <w:smallCaps/>
          <w:sz w:val="22"/>
          <w:szCs w:val="22"/>
        </w:rPr>
      </w:pPr>
    </w:p>
    <w:p w14:paraId="28466615" w14:textId="77777777" w:rsidR="003D4C15" w:rsidRPr="00B240C0" w:rsidRDefault="003D4C15" w:rsidP="00025BA1">
      <w:pPr>
        <w:jc w:val="both"/>
        <w:rPr>
          <w:rFonts w:asciiTheme="minorHAnsi" w:hAnsiTheme="minorHAnsi" w:cstheme="minorHAnsi"/>
          <w:b/>
          <w:smallCaps/>
          <w:sz w:val="22"/>
          <w:szCs w:val="22"/>
        </w:rPr>
      </w:pPr>
    </w:p>
    <w:p w14:paraId="2FC70AC6" w14:textId="77777777" w:rsidR="003D4C15" w:rsidRPr="00B240C0" w:rsidRDefault="003D4C15" w:rsidP="00025BA1">
      <w:pPr>
        <w:jc w:val="both"/>
        <w:rPr>
          <w:rFonts w:asciiTheme="minorHAnsi" w:hAnsiTheme="minorHAnsi" w:cstheme="minorHAnsi"/>
          <w:b/>
          <w:smallCaps/>
          <w:sz w:val="22"/>
          <w:szCs w:val="22"/>
        </w:rPr>
      </w:pPr>
    </w:p>
    <w:p w14:paraId="01F50AED" w14:textId="77777777" w:rsidR="003D4C15" w:rsidRPr="00B240C0" w:rsidRDefault="003D4C15" w:rsidP="00025BA1">
      <w:pPr>
        <w:jc w:val="both"/>
        <w:rPr>
          <w:rFonts w:asciiTheme="minorHAnsi" w:hAnsiTheme="minorHAnsi" w:cstheme="minorHAnsi"/>
          <w:b/>
          <w:smallCaps/>
          <w:sz w:val="22"/>
          <w:szCs w:val="22"/>
        </w:rPr>
      </w:pPr>
    </w:p>
    <w:p w14:paraId="30B0D408" w14:textId="77777777" w:rsidR="003D4C15" w:rsidRPr="00B240C0" w:rsidRDefault="003D4C15" w:rsidP="00025BA1">
      <w:pPr>
        <w:jc w:val="both"/>
        <w:rPr>
          <w:rFonts w:asciiTheme="minorHAnsi" w:hAnsiTheme="minorHAnsi" w:cstheme="minorHAnsi"/>
          <w:b/>
          <w:smallCaps/>
          <w:sz w:val="22"/>
          <w:szCs w:val="22"/>
        </w:rPr>
      </w:pPr>
    </w:p>
    <w:p w14:paraId="0AC2F7A6" w14:textId="77777777" w:rsidR="003D4C15" w:rsidRPr="00B240C0" w:rsidRDefault="003D4C15" w:rsidP="00025BA1">
      <w:pPr>
        <w:jc w:val="both"/>
        <w:rPr>
          <w:rFonts w:asciiTheme="minorHAnsi" w:hAnsiTheme="minorHAnsi" w:cstheme="minorHAnsi"/>
          <w:b/>
          <w:smallCaps/>
          <w:sz w:val="22"/>
          <w:szCs w:val="22"/>
        </w:rPr>
      </w:pPr>
    </w:p>
    <w:p w14:paraId="74A36362" w14:textId="77777777" w:rsidR="003D4C15" w:rsidRPr="00B240C0" w:rsidRDefault="003D4C15" w:rsidP="00025BA1">
      <w:pPr>
        <w:jc w:val="both"/>
        <w:rPr>
          <w:rFonts w:asciiTheme="minorHAnsi" w:hAnsiTheme="minorHAnsi" w:cstheme="minorHAnsi"/>
          <w:b/>
          <w:smallCaps/>
          <w:sz w:val="22"/>
          <w:szCs w:val="22"/>
        </w:rPr>
      </w:pPr>
    </w:p>
    <w:p w14:paraId="3B289CC4" w14:textId="77777777" w:rsidR="003D4C15" w:rsidRPr="00B240C0" w:rsidRDefault="003D4C15" w:rsidP="00025BA1">
      <w:pPr>
        <w:jc w:val="both"/>
        <w:rPr>
          <w:rFonts w:asciiTheme="minorHAnsi" w:hAnsiTheme="minorHAnsi" w:cstheme="minorHAnsi"/>
          <w:b/>
          <w:smallCaps/>
          <w:sz w:val="22"/>
          <w:szCs w:val="22"/>
        </w:rPr>
      </w:pPr>
    </w:p>
    <w:p w14:paraId="2012CFEA" w14:textId="77777777" w:rsidR="003D4C15" w:rsidRPr="00B240C0" w:rsidRDefault="003D4C15" w:rsidP="00025BA1">
      <w:pPr>
        <w:jc w:val="both"/>
        <w:rPr>
          <w:rFonts w:asciiTheme="minorHAnsi" w:hAnsiTheme="minorHAnsi" w:cstheme="minorHAnsi"/>
          <w:b/>
          <w:smallCaps/>
          <w:sz w:val="22"/>
          <w:szCs w:val="22"/>
        </w:rPr>
      </w:pPr>
    </w:p>
    <w:p w14:paraId="0CBF0D24" w14:textId="77777777" w:rsidR="003D4C15" w:rsidRPr="00B240C0" w:rsidRDefault="003D4C15" w:rsidP="00025BA1">
      <w:pPr>
        <w:jc w:val="both"/>
        <w:rPr>
          <w:rFonts w:asciiTheme="minorHAnsi" w:hAnsiTheme="minorHAnsi" w:cstheme="minorHAnsi"/>
          <w:b/>
          <w:smallCaps/>
          <w:sz w:val="22"/>
          <w:szCs w:val="22"/>
        </w:rPr>
      </w:pPr>
    </w:p>
    <w:p w14:paraId="1867DC59" w14:textId="77777777" w:rsidR="003D4C15" w:rsidRPr="00B240C0" w:rsidRDefault="003D4C15" w:rsidP="00025BA1">
      <w:pPr>
        <w:jc w:val="both"/>
        <w:rPr>
          <w:rFonts w:asciiTheme="minorHAnsi" w:hAnsiTheme="minorHAnsi" w:cstheme="minorHAnsi"/>
          <w:b/>
          <w:smallCaps/>
          <w:sz w:val="22"/>
          <w:szCs w:val="22"/>
        </w:rPr>
      </w:pPr>
    </w:p>
    <w:p w14:paraId="637CF3A2" w14:textId="77777777" w:rsidR="003D4C15" w:rsidRPr="00EF63E3" w:rsidRDefault="003D4C15" w:rsidP="00025BA1">
      <w:pPr>
        <w:jc w:val="center"/>
        <w:rPr>
          <w:rFonts w:asciiTheme="minorHAnsi" w:hAnsiTheme="minorHAnsi" w:cstheme="minorHAnsi"/>
          <w:b/>
          <w:smallCaps/>
          <w:sz w:val="28"/>
          <w:szCs w:val="28"/>
        </w:rPr>
      </w:pPr>
      <w:r w:rsidRPr="00EF63E3">
        <w:rPr>
          <w:rFonts w:asciiTheme="minorHAnsi" w:hAnsiTheme="minorHAnsi" w:cstheme="minorHAnsi"/>
          <w:b/>
          <w:smallCaps/>
          <w:sz w:val="28"/>
          <w:szCs w:val="28"/>
        </w:rPr>
        <w:t>Apžvalgą parengė Lietuvos vyriausiojo administracinio teismo</w:t>
      </w:r>
    </w:p>
    <w:p w14:paraId="4B9B7B9F" w14:textId="77777777" w:rsidR="003D4C15" w:rsidRPr="00B240C0" w:rsidRDefault="003D4C15" w:rsidP="00025BA1">
      <w:pPr>
        <w:jc w:val="center"/>
        <w:rPr>
          <w:rFonts w:asciiTheme="minorHAnsi" w:hAnsiTheme="minorHAnsi" w:cstheme="minorHAnsi"/>
          <w:sz w:val="22"/>
          <w:szCs w:val="22"/>
        </w:rPr>
      </w:pPr>
      <w:r w:rsidRPr="00EF63E3">
        <w:rPr>
          <w:rFonts w:asciiTheme="minorHAnsi" w:hAnsiTheme="minorHAnsi" w:cstheme="minorHAnsi"/>
          <w:b/>
          <w:smallCaps/>
          <w:sz w:val="28"/>
          <w:szCs w:val="28"/>
        </w:rPr>
        <w:t>T</w:t>
      </w:r>
      <w:r w:rsidR="0016762E" w:rsidRPr="00EF63E3">
        <w:rPr>
          <w:rFonts w:asciiTheme="minorHAnsi" w:hAnsiTheme="minorHAnsi" w:cstheme="minorHAnsi"/>
          <w:b/>
          <w:smallCaps/>
          <w:sz w:val="28"/>
          <w:szCs w:val="28"/>
        </w:rPr>
        <w:t xml:space="preserve">eismų praktikos </w:t>
      </w:r>
      <w:r w:rsidRPr="00EF63E3">
        <w:rPr>
          <w:rFonts w:asciiTheme="minorHAnsi" w:hAnsiTheme="minorHAnsi" w:cstheme="minorHAnsi"/>
          <w:b/>
          <w:smallCaps/>
          <w:sz w:val="28"/>
          <w:szCs w:val="28"/>
        </w:rPr>
        <w:t>departamentas</w:t>
      </w:r>
      <w:r w:rsidRPr="00B240C0">
        <w:rPr>
          <w:rFonts w:asciiTheme="minorHAnsi" w:hAnsiTheme="minorHAnsi" w:cstheme="minorHAnsi"/>
          <w:smallCaps/>
          <w:sz w:val="22"/>
          <w:szCs w:val="22"/>
        </w:rPr>
        <w:br w:type="page"/>
      </w:r>
      <w:bookmarkStart w:id="6" w:name="_Hlk529270320"/>
      <w:bookmarkStart w:id="7" w:name="_Toc120597382"/>
      <w:r w:rsidRPr="00B240C0">
        <w:rPr>
          <w:rFonts w:asciiTheme="minorHAnsi" w:hAnsiTheme="minorHAnsi" w:cstheme="minorHAnsi"/>
          <w:b/>
          <w:sz w:val="22"/>
          <w:szCs w:val="22"/>
        </w:rPr>
        <w:lastRenderedPageBreak/>
        <w:t>TURINYS</w:t>
      </w:r>
    </w:p>
    <w:p w14:paraId="4B392490" w14:textId="6C997022" w:rsidR="00606AA4" w:rsidRDefault="00A364C6">
      <w:pPr>
        <w:pStyle w:val="Turinys1"/>
        <w:rPr>
          <w:rFonts w:eastAsiaTheme="minorEastAsia" w:cstheme="minorBidi"/>
          <w:b w:val="0"/>
          <w:bCs w:val="0"/>
          <w:caps w:val="0"/>
          <w:noProof/>
          <w:szCs w:val="22"/>
        </w:rPr>
      </w:pPr>
      <w:r w:rsidRPr="00B240C0">
        <w:rPr>
          <w:rFonts w:cstheme="minorHAnsi"/>
          <w:szCs w:val="22"/>
        </w:rPr>
        <w:fldChar w:fldCharType="begin"/>
      </w:r>
      <w:r w:rsidR="003D4C15" w:rsidRPr="00B240C0">
        <w:rPr>
          <w:rFonts w:cstheme="minorHAnsi"/>
          <w:szCs w:val="22"/>
        </w:rPr>
        <w:instrText xml:space="preserve"> TOC \o "1-3" \h \z \u </w:instrText>
      </w:r>
      <w:r w:rsidRPr="00B240C0">
        <w:rPr>
          <w:rFonts w:cstheme="minorHAnsi"/>
          <w:szCs w:val="22"/>
        </w:rPr>
        <w:fldChar w:fldCharType="separate"/>
      </w:r>
      <w:hyperlink w:anchor="_Toc9845470" w:history="1">
        <w:r w:rsidR="00606AA4" w:rsidRPr="00FA694F">
          <w:rPr>
            <w:rStyle w:val="Hipersaitas"/>
            <w:rFonts w:cstheme="minorHAnsi"/>
            <w:noProof/>
          </w:rPr>
          <w:t>I. Administracinės bylos, kylančios iš ginčų dėl teisės viešojo administravimo srityje</w:t>
        </w:r>
        <w:r w:rsidR="00606AA4">
          <w:rPr>
            <w:noProof/>
            <w:webHidden/>
          </w:rPr>
          <w:tab/>
        </w:r>
        <w:r w:rsidR="00606AA4">
          <w:rPr>
            <w:noProof/>
            <w:webHidden/>
          </w:rPr>
          <w:fldChar w:fldCharType="begin"/>
        </w:r>
        <w:r w:rsidR="00606AA4">
          <w:rPr>
            <w:noProof/>
            <w:webHidden/>
          </w:rPr>
          <w:instrText xml:space="preserve"> PAGEREF _Toc9845470 \h </w:instrText>
        </w:r>
        <w:r w:rsidR="00606AA4">
          <w:rPr>
            <w:noProof/>
            <w:webHidden/>
          </w:rPr>
        </w:r>
        <w:r w:rsidR="00606AA4">
          <w:rPr>
            <w:noProof/>
            <w:webHidden/>
          </w:rPr>
          <w:fldChar w:fldCharType="separate"/>
        </w:r>
        <w:r w:rsidR="00606AA4">
          <w:rPr>
            <w:noProof/>
            <w:webHidden/>
          </w:rPr>
          <w:t>4</w:t>
        </w:r>
        <w:r w:rsidR="00606AA4">
          <w:rPr>
            <w:noProof/>
            <w:webHidden/>
          </w:rPr>
          <w:fldChar w:fldCharType="end"/>
        </w:r>
      </w:hyperlink>
    </w:p>
    <w:p w14:paraId="6A3C8B5E" w14:textId="7B14F320" w:rsidR="00606AA4" w:rsidRDefault="00DC0A59">
      <w:pPr>
        <w:pStyle w:val="Turinys1"/>
        <w:rPr>
          <w:rFonts w:eastAsiaTheme="minorEastAsia" w:cstheme="minorBidi"/>
          <w:b w:val="0"/>
          <w:bCs w:val="0"/>
          <w:caps w:val="0"/>
          <w:noProof/>
          <w:szCs w:val="22"/>
        </w:rPr>
      </w:pPr>
      <w:hyperlink w:anchor="_Toc9845471" w:history="1">
        <w:r w:rsidR="00606AA4" w:rsidRPr="00FA694F">
          <w:rPr>
            <w:rStyle w:val="Hipersaitas"/>
            <w:rFonts w:cstheme="minorHAnsi"/>
            <w:noProof/>
          </w:rPr>
          <w:t>5. Rinkimai, referendumai ir politinių partijų veikla</w:t>
        </w:r>
        <w:r w:rsidR="00606AA4">
          <w:rPr>
            <w:noProof/>
            <w:webHidden/>
          </w:rPr>
          <w:tab/>
        </w:r>
        <w:r w:rsidR="00606AA4">
          <w:rPr>
            <w:noProof/>
            <w:webHidden/>
          </w:rPr>
          <w:fldChar w:fldCharType="begin"/>
        </w:r>
        <w:r w:rsidR="00606AA4">
          <w:rPr>
            <w:noProof/>
            <w:webHidden/>
          </w:rPr>
          <w:instrText xml:space="preserve"> PAGEREF _Toc9845471 \h </w:instrText>
        </w:r>
        <w:r w:rsidR="00606AA4">
          <w:rPr>
            <w:noProof/>
            <w:webHidden/>
          </w:rPr>
        </w:r>
        <w:r w:rsidR="00606AA4">
          <w:rPr>
            <w:noProof/>
            <w:webHidden/>
          </w:rPr>
          <w:fldChar w:fldCharType="separate"/>
        </w:r>
        <w:r w:rsidR="00606AA4">
          <w:rPr>
            <w:noProof/>
            <w:webHidden/>
          </w:rPr>
          <w:t>4</w:t>
        </w:r>
        <w:r w:rsidR="00606AA4">
          <w:rPr>
            <w:noProof/>
            <w:webHidden/>
          </w:rPr>
          <w:fldChar w:fldCharType="end"/>
        </w:r>
      </w:hyperlink>
    </w:p>
    <w:p w14:paraId="2FBB73EF" w14:textId="1ED0577C" w:rsidR="00606AA4" w:rsidRDefault="00DC0A59">
      <w:pPr>
        <w:pStyle w:val="Turinys2"/>
        <w:rPr>
          <w:rFonts w:eastAsiaTheme="minorEastAsia" w:cstheme="minorBidi"/>
          <w:i w:val="0"/>
          <w:noProof/>
          <w:szCs w:val="22"/>
        </w:rPr>
      </w:pPr>
      <w:hyperlink w:anchor="_Toc9845472" w:history="1">
        <w:r w:rsidR="00606AA4" w:rsidRPr="00FA694F">
          <w:rPr>
            <w:rStyle w:val="Hipersaitas"/>
            <w:noProof/>
          </w:rPr>
          <w:t>Dėl šiurkštaus rinkimų įstatymų pažeidimo – saugotinų dokumentų praradimo ar kitos veiklos, dėl kurios negalima nustatyti, ar kampanijos finansavimo ataskaita atitinka tikrovę</w:t>
        </w:r>
        <w:r w:rsidR="00606AA4">
          <w:rPr>
            <w:noProof/>
            <w:webHidden/>
          </w:rPr>
          <w:tab/>
        </w:r>
        <w:r w:rsidR="00606AA4">
          <w:rPr>
            <w:noProof/>
            <w:webHidden/>
          </w:rPr>
          <w:fldChar w:fldCharType="begin"/>
        </w:r>
        <w:r w:rsidR="00606AA4">
          <w:rPr>
            <w:noProof/>
            <w:webHidden/>
          </w:rPr>
          <w:instrText xml:space="preserve"> PAGEREF _Toc9845472 \h </w:instrText>
        </w:r>
        <w:r w:rsidR="00606AA4">
          <w:rPr>
            <w:noProof/>
            <w:webHidden/>
          </w:rPr>
        </w:r>
        <w:r w:rsidR="00606AA4">
          <w:rPr>
            <w:noProof/>
            <w:webHidden/>
          </w:rPr>
          <w:fldChar w:fldCharType="separate"/>
        </w:r>
        <w:r w:rsidR="00606AA4">
          <w:rPr>
            <w:noProof/>
            <w:webHidden/>
          </w:rPr>
          <w:t>4</w:t>
        </w:r>
        <w:r w:rsidR="00606AA4">
          <w:rPr>
            <w:noProof/>
            <w:webHidden/>
          </w:rPr>
          <w:fldChar w:fldCharType="end"/>
        </w:r>
      </w:hyperlink>
    </w:p>
    <w:p w14:paraId="455B690C" w14:textId="69C4F241" w:rsidR="00606AA4" w:rsidRDefault="00DC0A59">
      <w:pPr>
        <w:pStyle w:val="Turinys1"/>
        <w:rPr>
          <w:rFonts w:eastAsiaTheme="minorEastAsia" w:cstheme="minorBidi"/>
          <w:b w:val="0"/>
          <w:bCs w:val="0"/>
          <w:caps w:val="0"/>
          <w:noProof/>
          <w:szCs w:val="22"/>
        </w:rPr>
      </w:pPr>
      <w:hyperlink w:anchor="_Toc9845473" w:history="1">
        <w:r w:rsidR="00606AA4" w:rsidRPr="00FA694F">
          <w:rPr>
            <w:rStyle w:val="Hipersaitas"/>
            <w:rFonts w:cstheme="minorHAnsi"/>
            <w:noProof/>
          </w:rPr>
          <w:t>7. Socialinė apsauga</w:t>
        </w:r>
        <w:r w:rsidR="00606AA4">
          <w:rPr>
            <w:noProof/>
            <w:webHidden/>
          </w:rPr>
          <w:tab/>
        </w:r>
        <w:r w:rsidR="00606AA4">
          <w:rPr>
            <w:noProof/>
            <w:webHidden/>
          </w:rPr>
          <w:fldChar w:fldCharType="begin"/>
        </w:r>
        <w:r w:rsidR="00606AA4">
          <w:rPr>
            <w:noProof/>
            <w:webHidden/>
          </w:rPr>
          <w:instrText xml:space="preserve"> PAGEREF _Toc9845473 \h </w:instrText>
        </w:r>
        <w:r w:rsidR="00606AA4">
          <w:rPr>
            <w:noProof/>
            <w:webHidden/>
          </w:rPr>
        </w:r>
        <w:r w:rsidR="00606AA4">
          <w:rPr>
            <w:noProof/>
            <w:webHidden/>
          </w:rPr>
          <w:fldChar w:fldCharType="separate"/>
        </w:r>
        <w:r w:rsidR="00606AA4">
          <w:rPr>
            <w:noProof/>
            <w:webHidden/>
          </w:rPr>
          <w:t>4</w:t>
        </w:r>
        <w:r w:rsidR="00606AA4">
          <w:rPr>
            <w:noProof/>
            <w:webHidden/>
          </w:rPr>
          <w:fldChar w:fldCharType="end"/>
        </w:r>
      </w:hyperlink>
    </w:p>
    <w:p w14:paraId="5ED9C74D" w14:textId="1C29FC29" w:rsidR="00606AA4" w:rsidRDefault="00DC0A59">
      <w:pPr>
        <w:pStyle w:val="Turinys2"/>
        <w:rPr>
          <w:rFonts w:eastAsiaTheme="minorEastAsia" w:cstheme="minorBidi"/>
          <w:i w:val="0"/>
          <w:noProof/>
          <w:szCs w:val="22"/>
        </w:rPr>
      </w:pPr>
      <w:hyperlink w:anchor="_Toc9845474" w:history="1">
        <w:r w:rsidR="00606AA4" w:rsidRPr="00FA694F">
          <w:rPr>
            <w:rStyle w:val="Hipersaitas"/>
            <w:noProof/>
          </w:rPr>
          <w:t>Dėl kompensacijos skyrimo dėl darbo kenksmingomis (ypatingomis) sąlygomis</w:t>
        </w:r>
        <w:r w:rsidR="00606AA4">
          <w:rPr>
            <w:noProof/>
            <w:webHidden/>
          </w:rPr>
          <w:tab/>
        </w:r>
        <w:r w:rsidR="00606AA4">
          <w:rPr>
            <w:noProof/>
            <w:webHidden/>
          </w:rPr>
          <w:fldChar w:fldCharType="begin"/>
        </w:r>
        <w:r w:rsidR="00606AA4">
          <w:rPr>
            <w:noProof/>
            <w:webHidden/>
          </w:rPr>
          <w:instrText xml:space="preserve"> PAGEREF _Toc9845474 \h </w:instrText>
        </w:r>
        <w:r w:rsidR="00606AA4">
          <w:rPr>
            <w:noProof/>
            <w:webHidden/>
          </w:rPr>
        </w:r>
        <w:r w:rsidR="00606AA4">
          <w:rPr>
            <w:noProof/>
            <w:webHidden/>
          </w:rPr>
          <w:fldChar w:fldCharType="separate"/>
        </w:r>
        <w:r w:rsidR="00606AA4">
          <w:rPr>
            <w:noProof/>
            <w:webHidden/>
          </w:rPr>
          <w:t>5</w:t>
        </w:r>
        <w:r w:rsidR="00606AA4">
          <w:rPr>
            <w:noProof/>
            <w:webHidden/>
          </w:rPr>
          <w:fldChar w:fldCharType="end"/>
        </w:r>
      </w:hyperlink>
    </w:p>
    <w:p w14:paraId="63BFBBEC" w14:textId="21037545" w:rsidR="00606AA4" w:rsidRDefault="00DC0A59">
      <w:pPr>
        <w:pStyle w:val="Turinys2"/>
        <w:rPr>
          <w:rFonts w:eastAsiaTheme="minorEastAsia" w:cstheme="minorBidi"/>
          <w:i w:val="0"/>
          <w:noProof/>
          <w:szCs w:val="22"/>
        </w:rPr>
      </w:pPr>
      <w:hyperlink w:anchor="_Toc9845475" w:history="1">
        <w:r w:rsidR="00606AA4" w:rsidRPr="00FA694F">
          <w:rPr>
            <w:rStyle w:val="Hipersaitas"/>
            <w:noProof/>
          </w:rPr>
          <w:t>Dėl pareigūnų ir karių valstybinės pensijos neskyrimo asmeniui, iki 2016 m. sausio 1 d. neištarnavusiam atitinkamose tarnybose 20 ir daugiau metų</w:t>
        </w:r>
        <w:r w:rsidR="00606AA4">
          <w:rPr>
            <w:noProof/>
            <w:webHidden/>
          </w:rPr>
          <w:tab/>
        </w:r>
        <w:r w:rsidR="00606AA4">
          <w:rPr>
            <w:noProof/>
            <w:webHidden/>
          </w:rPr>
          <w:fldChar w:fldCharType="begin"/>
        </w:r>
        <w:r w:rsidR="00606AA4">
          <w:rPr>
            <w:noProof/>
            <w:webHidden/>
          </w:rPr>
          <w:instrText xml:space="preserve"> PAGEREF _Toc9845475 \h </w:instrText>
        </w:r>
        <w:r w:rsidR="00606AA4">
          <w:rPr>
            <w:noProof/>
            <w:webHidden/>
          </w:rPr>
        </w:r>
        <w:r w:rsidR="00606AA4">
          <w:rPr>
            <w:noProof/>
            <w:webHidden/>
          </w:rPr>
          <w:fldChar w:fldCharType="separate"/>
        </w:r>
        <w:r w:rsidR="00606AA4">
          <w:rPr>
            <w:noProof/>
            <w:webHidden/>
          </w:rPr>
          <w:t>6</w:t>
        </w:r>
        <w:r w:rsidR="00606AA4">
          <w:rPr>
            <w:noProof/>
            <w:webHidden/>
          </w:rPr>
          <w:fldChar w:fldCharType="end"/>
        </w:r>
      </w:hyperlink>
    </w:p>
    <w:p w14:paraId="4D993C9A" w14:textId="76601A57" w:rsidR="00606AA4" w:rsidRDefault="00DC0A59">
      <w:pPr>
        <w:pStyle w:val="Turinys1"/>
        <w:rPr>
          <w:rFonts w:eastAsiaTheme="minorEastAsia" w:cstheme="minorBidi"/>
          <w:b w:val="0"/>
          <w:bCs w:val="0"/>
          <w:caps w:val="0"/>
          <w:noProof/>
          <w:szCs w:val="22"/>
        </w:rPr>
      </w:pPr>
      <w:hyperlink w:anchor="_Toc9845476" w:history="1">
        <w:r w:rsidR="00606AA4" w:rsidRPr="00FA694F">
          <w:rPr>
            <w:rStyle w:val="Hipersaitas"/>
            <w:rFonts w:ascii="Calibri" w:hAnsi="Calibri"/>
            <w:noProof/>
          </w:rPr>
          <w:t>8. Užsieniečių teisinė padėtis</w:t>
        </w:r>
        <w:r w:rsidR="00606AA4">
          <w:rPr>
            <w:noProof/>
            <w:webHidden/>
          </w:rPr>
          <w:tab/>
        </w:r>
        <w:r w:rsidR="00606AA4">
          <w:rPr>
            <w:noProof/>
            <w:webHidden/>
          </w:rPr>
          <w:fldChar w:fldCharType="begin"/>
        </w:r>
        <w:r w:rsidR="00606AA4">
          <w:rPr>
            <w:noProof/>
            <w:webHidden/>
          </w:rPr>
          <w:instrText xml:space="preserve"> PAGEREF _Toc9845476 \h </w:instrText>
        </w:r>
        <w:r w:rsidR="00606AA4">
          <w:rPr>
            <w:noProof/>
            <w:webHidden/>
          </w:rPr>
        </w:r>
        <w:r w:rsidR="00606AA4">
          <w:rPr>
            <w:noProof/>
            <w:webHidden/>
          </w:rPr>
          <w:fldChar w:fldCharType="separate"/>
        </w:r>
        <w:r w:rsidR="00606AA4">
          <w:rPr>
            <w:noProof/>
            <w:webHidden/>
          </w:rPr>
          <w:t>6</w:t>
        </w:r>
        <w:r w:rsidR="00606AA4">
          <w:rPr>
            <w:noProof/>
            <w:webHidden/>
          </w:rPr>
          <w:fldChar w:fldCharType="end"/>
        </w:r>
      </w:hyperlink>
    </w:p>
    <w:p w14:paraId="0AB6C10E" w14:textId="03A3353A" w:rsidR="00606AA4" w:rsidRDefault="00DC0A59">
      <w:pPr>
        <w:pStyle w:val="Turinys2"/>
        <w:rPr>
          <w:rFonts w:eastAsiaTheme="minorEastAsia" w:cstheme="minorBidi"/>
          <w:i w:val="0"/>
          <w:noProof/>
          <w:szCs w:val="22"/>
        </w:rPr>
      </w:pPr>
      <w:hyperlink w:anchor="_Toc9845477" w:history="1">
        <w:r w:rsidR="00606AA4" w:rsidRPr="00FA694F">
          <w:rPr>
            <w:rStyle w:val="Hipersaitas"/>
            <w:noProof/>
          </w:rPr>
          <w:t>Dėl vizos išdavimo pagrindo pakeitimo viešojo administravimo subjekto iniciatyva</w:t>
        </w:r>
        <w:r w:rsidR="00606AA4">
          <w:rPr>
            <w:noProof/>
            <w:webHidden/>
          </w:rPr>
          <w:tab/>
        </w:r>
        <w:r w:rsidR="00606AA4">
          <w:rPr>
            <w:noProof/>
            <w:webHidden/>
          </w:rPr>
          <w:fldChar w:fldCharType="begin"/>
        </w:r>
        <w:r w:rsidR="00606AA4">
          <w:rPr>
            <w:noProof/>
            <w:webHidden/>
          </w:rPr>
          <w:instrText xml:space="preserve"> PAGEREF _Toc9845477 \h </w:instrText>
        </w:r>
        <w:r w:rsidR="00606AA4">
          <w:rPr>
            <w:noProof/>
            <w:webHidden/>
          </w:rPr>
        </w:r>
        <w:r w:rsidR="00606AA4">
          <w:rPr>
            <w:noProof/>
            <w:webHidden/>
          </w:rPr>
          <w:fldChar w:fldCharType="separate"/>
        </w:r>
        <w:r w:rsidR="00606AA4">
          <w:rPr>
            <w:noProof/>
            <w:webHidden/>
          </w:rPr>
          <w:t>7</w:t>
        </w:r>
        <w:r w:rsidR="00606AA4">
          <w:rPr>
            <w:noProof/>
            <w:webHidden/>
          </w:rPr>
          <w:fldChar w:fldCharType="end"/>
        </w:r>
      </w:hyperlink>
    </w:p>
    <w:p w14:paraId="2018F926" w14:textId="3C6C0BCB" w:rsidR="00606AA4" w:rsidRDefault="00DC0A59">
      <w:pPr>
        <w:pStyle w:val="Turinys2"/>
        <w:rPr>
          <w:rFonts w:eastAsiaTheme="minorEastAsia" w:cstheme="minorBidi"/>
          <w:i w:val="0"/>
          <w:noProof/>
          <w:szCs w:val="22"/>
        </w:rPr>
      </w:pPr>
      <w:hyperlink w:anchor="_Toc9845478" w:history="1">
        <w:r w:rsidR="00606AA4" w:rsidRPr="00FA694F">
          <w:rPr>
            <w:rStyle w:val="Hipersaitas"/>
            <w:rFonts w:eastAsia="Calibri"/>
            <w:noProof/>
            <w:lang w:eastAsia="en-US"/>
          </w:rPr>
          <w:t>Dėl reikalavimo nurodyti įmonės vidaus valdyme naudojamą informaciją įmonės valdyme nedalyvavusiam investuotojui</w:t>
        </w:r>
        <w:r w:rsidR="00606AA4">
          <w:rPr>
            <w:noProof/>
            <w:webHidden/>
          </w:rPr>
          <w:tab/>
        </w:r>
        <w:r w:rsidR="00606AA4">
          <w:rPr>
            <w:noProof/>
            <w:webHidden/>
          </w:rPr>
          <w:fldChar w:fldCharType="begin"/>
        </w:r>
        <w:r w:rsidR="00606AA4">
          <w:rPr>
            <w:noProof/>
            <w:webHidden/>
          </w:rPr>
          <w:instrText xml:space="preserve"> PAGEREF _Toc9845478 \h </w:instrText>
        </w:r>
        <w:r w:rsidR="00606AA4">
          <w:rPr>
            <w:noProof/>
            <w:webHidden/>
          </w:rPr>
        </w:r>
        <w:r w:rsidR="00606AA4">
          <w:rPr>
            <w:noProof/>
            <w:webHidden/>
          </w:rPr>
          <w:fldChar w:fldCharType="separate"/>
        </w:r>
        <w:r w:rsidR="00606AA4">
          <w:rPr>
            <w:noProof/>
            <w:webHidden/>
          </w:rPr>
          <w:t>8</w:t>
        </w:r>
        <w:r w:rsidR="00606AA4">
          <w:rPr>
            <w:noProof/>
            <w:webHidden/>
          </w:rPr>
          <w:fldChar w:fldCharType="end"/>
        </w:r>
      </w:hyperlink>
    </w:p>
    <w:p w14:paraId="791AF015" w14:textId="673F0931" w:rsidR="00606AA4" w:rsidRDefault="00DC0A59">
      <w:pPr>
        <w:pStyle w:val="Turinys2"/>
        <w:rPr>
          <w:rFonts w:eastAsiaTheme="minorEastAsia" w:cstheme="minorBidi"/>
          <w:i w:val="0"/>
          <w:noProof/>
          <w:szCs w:val="22"/>
        </w:rPr>
      </w:pPr>
      <w:hyperlink w:anchor="_Toc9845479" w:history="1">
        <w:r w:rsidR="00606AA4" w:rsidRPr="00FA694F">
          <w:rPr>
            <w:rStyle w:val="Hipersaitas"/>
            <w:noProof/>
          </w:rPr>
          <w:t>Dėl leidimo gyventi Lietuvoje išdavimo sutuoktiniui – tos pačios lyties asmeniui</w:t>
        </w:r>
        <w:r w:rsidR="00606AA4">
          <w:rPr>
            <w:noProof/>
            <w:webHidden/>
          </w:rPr>
          <w:tab/>
        </w:r>
        <w:r w:rsidR="00606AA4">
          <w:rPr>
            <w:noProof/>
            <w:webHidden/>
          </w:rPr>
          <w:fldChar w:fldCharType="begin"/>
        </w:r>
        <w:r w:rsidR="00606AA4">
          <w:rPr>
            <w:noProof/>
            <w:webHidden/>
          </w:rPr>
          <w:instrText xml:space="preserve"> PAGEREF _Toc9845479 \h </w:instrText>
        </w:r>
        <w:r w:rsidR="00606AA4">
          <w:rPr>
            <w:noProof/>
            <w:webHidden/>
          </w:rPr>
        </w:r>
        <w:r w:rsidR="00606AA4">
          <w:rPr>
            <w:noProof/>
            <w:webHidden/>
          </w:rPr>
          <w:fldChar w:fldCharType="separate"/>
        </w:r>
        <w:r w:rsidR="00606AA4">
          <w:rPr>
            <w:noProof/>
            <w:webHidden/>
          </w:rPr>
          <w:t>9</w:t>
        </w:r>
        <w:r w:rsidR="00606AA4">
          <w:rPr>
            <w:noProof/>
            <w:webHidden/>
          </w:rPr>
          <w:fldChar w:fldCharType="end"/>
        </w:r>
      </w:hyperlink>
    </w:p>
    <w:p w14:paraId="19794832" w14:textId="593E377C" w:rsidR="00606AA4" w:rsidRDefault="00DC0A59">
      <w:pPr>
        <w:pStyle w:val="Turinys2"/>
        <w:rPr>
          <w:rFonts w:eastAsiaTheme="minorEastAsia" w:cstheme="minorBidi"/>
          <w:i w:val="0"/>
          <w:noProof/>
          <w:szCs w:val="22"/>
        </w:rPr>
      </w:pPr>
      <w:hyperlink w:anchor="_Toc9845480" w:history="1">
        <w:r w:rsidR="00606AA4" w:rsidRPr="00FA694F">
          <w:rPr>
            <w:rStyle w:val="Hipersaitas"/>
            <w:rFonts w:eastAsia="Calibri"/>
            <w:noProof/>
            <w:lang w:eastAsia="en-US"/>
          </w:rPr>
          <w:t>Dėl aplinkybių, atsiradusių po pirmosios instancijos teismo sprendimo priėmimo, vertinimo</w:t>
        </w:r>
        <w:r w:rsidR="00606AA4">
          <w:rPr>
            <w:noProof/>
            <w:webHidden/>
          </w:rPr>
          <w:tab/>
        </w:r>
        <w:r w:rsidR="00606AA4">
          <w:rPr>
            <w:noProof/>
            <w:webHidden/>
          </w:rPr>
          <w:fldChar w:fldCharType="begin"/>
        </w:r>
        <w:r w:rsidR="00606AA4">
          <w:rPr>
            <w:noProof/>
            <w:webHidden/>
          </w:rPr>
          <w:instrText xml:space="preserve"> PAGEREF _Toc9845480 \h </w:instrText>
        </w:r>
        <w:r w:rsidR="00606AA4">
          <w:rPr>
            <w:noProof/>
            <w:webHidden/>
          </w:rPr>
        </w:r>
        <w:r w:rsidR="00606AA4">
          <w:rPr>
            <w:noProof/>
            <w:webHidden/>
          </w:rPr>
          <w:fldChar w:fldCharType="separate"/>
        </w:r>
        <w:r w:rsidR="00606AA4">
          <w:rPr>
            <w:noProof/>
            <w:webHidden/>
          </w:rPr>
          <w:t>10</w:t>
        </w:r>
        <w:r w:rsidR="00606AA4">
          <w:rPr>
            <w:noProof/>
            <w:webHidden/>
          </w:rPr>
          <w:fldChar w:fldCharType="end"/>
        </w:r>
      </w:hyperlink>
    </w:p>
    <w:p w14:paraId="5CD375A9" w14:textId="046494A6" w:rsidR="00606AA4" w:rsidRDefault="00DC0A59">
      <w:pPr>
        <w:pStyle w:val="Turinys1"/>
        <w:rPr>
          <w:rFonts w:eastAsiaTheme="minorEastAsia" w:cstheme="minorBidi"/>
          <w:b w:val="0"/>
          <w:bCs w:val="0"/>
          <w:caps w:val="0"/>
          <w:noProof/>
          <w:szCs w:val="22"/>
        </w:rPr>
      </w:pPr>
      <w:hyperlink w:anchor="_Toc9845481" w:history="1">
        <w:r w:rsidR="00606AA4" w:rsidRPr="00FA694F">
          <w:rPr>
            <w:rStyle w:val="Hipersaitas"/>
            <w:rFonts w:ascii="Calibri" w:hAnsi="Calibri"/>
            <w:noProof/>
          </w:rPr>
          <w:t>21. Valstybės tarnautojo statuso įgijimas, pasikeitimas, praradimas ir atsakomybė</w:t>
        </w:r>
        <w:r w:rsidR="00606AA4">
          <w:rPr>
            <w:noProof/>
            <w:webHidden/>
          </w:rPr>
          <w:tab/>
        </w:r>
        <w:r w:rsidR="00606AA4">
          <w:rPr>
            <w:noProof/>
            <w:webHidden/>
          </w:rPr>
          <w:fldChar w:fldCharType="begin"/>
        </w:r>
        <w:r w:rsidR="00606AA4">
          <w:rPr>
            <w:noProof/>
            <w:webHidden/>
          </w:rPr>
          <w:instrText xml:space="preserve"> PAGEREF _Toc9845481 \h </w:instrText>
        </w:r>
        <w:r w:rsidR="00606AA4">
          <w:rPr>
            <w:noProof/>
            <w:webHidden/>
          </w:rPr>
        </w:r>
        <w:r w:rsidR="00606AA4">
          <w:rPr>
            <w:noProof/>
            <w:webHidden/>
          </w:rPr>
          <w:fldChar w:fldCharType="separate"/>
        </w:r>
        <w:r w:rsidR="00606AA4">
          <w:rPr>
            <w:noProof/>
            <w:webHidden/>
          </w:rPr>
          <w:t>11</w:t>
        </w:r>
        <w:r w:rsidR="00606AA4">
          <w:rPr>
            <w:noProof/>
            <w:webHidden/>
          </w:rPr>
          <w:fldChar w:fldCharType="end"/>
        </w:r>
      </w:hyperlink>
    </w:p>
    <w:p w14:paraId="3755C9E2" w14:textId="446B33E9" w:rsidR="00606AA4" w:rsidRDefault="00DC0A59">
      <w:pPr>
        <w:pStyle w:val="Turinys2"/>
        <w:rPr>
          <w:rFonts w:eastAsiaTheme="minorEastAsia" w:cstheme="minorBidi"/>
          <w:i w:val="0"/>
          <w:noProof/>
          <w:szCs w:val="22"/>
        </w:rPr>
      </w:pPr>
      <w:hyperlink w:anchor="_Toc9845482" w:history="1">
        <w:r w:rsidR="00606AA4" w:rsidRPr="00FA694F">
          <w:rPr>
            <w:rStyle w:val="Hipersaitas"/>
            <w:rFonts w:eastAsia="Calibri"/>
            <w:noProof/>
            <w:lang w:eastAsia="en-US"/>
          </w:rPr>
          <w:t>Dėl konstitucinių nuostatų, skirtų teisėjams, taikymo, sprendžiant prokuroro tarnybinės atsakomybės klausimą</w:t>
        </w:r>
        <w:r w:rsidR="00606AA4">
          <w:rPr>
            <w:noProof/>
            <w:webHidden/>
          </w:rPr>
          <w:tab/>
        </w:r>
        <w:r w:rsidR="00606AA4">
          <w:rPr>
            <w:noProof/>
            <w:webHidden/>
          </w:rPr>
          <w:fldChar w:fldCharType="begin"/>
        </w:r>
        <w:r w:rsidR="00606AA4">
          <w:rPr>
            <w:noProof/>
            <w:webHidden/>
          </w:rPr>
          <w:instrText xml:space="preserve"> PAGEREF _Toc9845482 \h </w:instrText>
        </w:r>
        <w:r w:rsidR="00606AA4">
          <w:rPr>
            <w:noProof/>
            <w:webHidden/>
          </w:rPr>
        </w:r>
        <w:r w:rsidR="00606AA4">
          <w:rPr>
            <w:noProof/>
            <w:webHidden/>
          </w:rPr>
          <w:fldChar w:fldCharType="separate"/>
        </w:r>
        <w:r w:rsidR="00606AA4">
          <w:rPr>
            <w:noProof/>
            <w:webHidden/>
          </w:rPr>
          <w:t>11</w:t>
        </w:r>
        <w:r w:rsidR="00606AA4">
          <w:rPr>
            <w:noProof/>
            <w:webHidden/>
          </w:rPr>
          <w:fldChar w:fldCharType="end"/>
        </w:r>
      </w:hyperlink>
    </w:p>
    <w:p w14:paraId="712EB5BF" w14:textId="68CEBACF" w:rsidR="00606AA4" w:rsidRDefault="00DC0A59">
      <w:pPr>
        <w:pStyle w:val="Turinys2"/>
        <w:rPr>
          <w:rFonts w:eastAsiaTheme="minorEastAsia" w:cstheme="minorBidi"/>
          <w:i w:val="0"/>
          <w:noProof/>
          <w:szCs w:val="22"/>
        </w:rPr>
      </w:pPr>
      <w:hyperlink w:anchor="_Toc9845483" w:history="1">
        <w:r w:rsidR="00606AA4" w:rsidRPr="00FA694F">
          <w:rPr>
            <w:rStyle w:val="Hipersaitas"/>
            <w:rFonts w:eastAsia="Calibri"/>
            <w:noProof/>
            <w:lang w:eastAsia="en-US"/>
          </w:rPr>
          <w:t>Dėl profesinės sąjungos sutikimo atleisti darbuotoją negavimo reikšmės</w:t>
        </w:r>
        <w:r w:rsidR="00606AA4">
          <w:rPr>
            <w:noProof/>
            <w:webHidden/>
          </w:rPr>
          <w:tab/>
        </w:r>
        <w:r w:rsidR="00606AA4">
          <w:rPr>
            <w:noProof/>
            <w:webHidden/>
          </w:rPr>
          <w:fldChar w:fldCharType="begin"/>
        </w:r>
        <w:r w:rsidR="00606AA4">
          <w:rPr>
            <w:noProof/>
            <w:webHidden/>
          </w:rPr>
          <w:instrText xml:space="preserve"> PAGEREF _Toc9845483 \h </w:instrText>
        </w:r>
        <w:r w:rsidR="00606AA4">
          <w:rPr>
            <w:noProof/>
            <w:webHidden/>
          </w:rPr>
        </w:r>
        <w:r w:rsidR="00606AA4">
          <w:rPr>
            <w:noProof/>
            <w:webHidden/>
          </w:rPr>
          <w:fldChar w:fldCharType="separate"/>
        </w:r>
        <w:r w:rsidR="00606AA4">
          <w:rPr>
            <w:noProof/>
            <w:webHidden/>
          </w:rPr>
          <w:t>12</w:t>
        </w:r>
        <w:r w:rsidR="00606AA4">
          <w:rPr>
            <w:noProof/>
            <w:webHidden/>
          </w:rPr>
          <w:fldChar w:fldCharType="end"/>
        </w:r>
      </w:hyperlink>
    </w:p>
    <w:p w14:paraId="27FF47A4" w14:textId="00EEE04F" w:rsidR="00606AA4" w:rsidRDefault="00DC0A59">
      <w:pPr>
        <w:pStyle w:val="Turinys1"/>
        <w:rPr>
          <w:rFonts w:eastAsiaTheme="minorEastAsia" w:cstheme="minorBidi"/>
          <w:b w:val="0"/>
          <w:bCs w:val="0"/>
          <w:caps w:val="0"/>
          <w:noProof/>
          <w:szCs w:val="22"/>
        </w:rPr>
      </w:pPr>
      <w:hyperlink w:anchor="_Toc9845484" w:history="1">
        <w:r w:rsidR="00606AA4" w:rsidRPr="00FA694F">
          <w:rPr>
            <w:rStyle w:val="Hipersaitas"/>
            <w:rFonts w:cstheme="minorHAnsi"/>
            <w:noProof/>
          </w:rPr>
          <w:t>22. Kiti su valstybės tarnyba susiję klausimai</w:t>
        </w:r>
        <w:r w:rsidR="00606AA4">
          <w:rPr>
            <w:noProof/>
            <w:webHidden/>
          </w:rPr>
          <w:tab/>
        </w:r>
        <w:r w:rsidR="00606AA4">
          <w:rPr>
            <w:noProof/>
            <w:webHidden/>
          </w:rPr>
          <w:fldChar w:fldCharType="begin"/>
        </w:r>
        <w:r w:rsidR="00606AA4">
          <w:rPr>
            <w:noProof/>
            <w:webHidden/>
          </w:rPr>
          <w:instrText xml:space="preserve"> PAGEREF _Toc9845484 \h </w:instrText>
        </w:r>
        <w:r w:rsidR="00606AA4">
          <w:rPr>
            <w:noProof/>
            <w:webHidden/>
          </w:rPr>
        </w:r>
        <w:r w:rsidR="00606AA4">
          <w:rPr>
            <w:noProof/>
            <w:webHidden/>
          </w:rPr>
          <w:fldChar w:fldCharType="separate"/>
        </w:r>
        <w:r w:rsidR="00606AA4">
          <w:rPr>
            <w:noProof/>
            <w:webHidden/>
          </w:rPr>
          <w:t>13</w:t>
        </w:r>
        <w:r w:rsidR="00606AA4">
          <w:rPr>
            <w:noProof/>
            <w:webHidden/>
          </w:rPr>
          <w:fldChar w:fldCharType="end"/>
        </w:r>
      </w:hyperlink>
    </w:p>
    <w:p w14:paraId="076C1DBF" w14:textId="6006A8A0" w:rsidR="00606AA4" w:rsidRDefault="00DC0A59">
      <w:pPr>
        <w:pStyle w:val="Turinys2"/>
        <w:rPr>
          <w:rFonts w:eastAsiaTheme="minorEastAsia" w:cstheme="minorBidi"/>
          <w:i w:val="0"/>
          <w:noProof/>
          <w:szCs w:val="22"/>
        </w:rPr>
      </w:pPr>
      <w:hyperlink w:anchor="_Toc9845485" w:history="1">
        <w:r w:rsidR="00606AA4" w:rsidRPr="00FA694F">
          <w:rPr>
            <w:rStyle w:val="Hipersaitas"/>
            <w:noProof/>
          </w:rPr>
          <w:t>Dėl tarnybinės atsakomybės terminų skaičiavimo, pažeidus Viešųjų ir privačių interesų derinimo valstybinėje tarnyboje įstatymo normas</w:t>
        </w:r>
        <w:r w:rsidR="00606AA4">
          <w:rPr>
            <w:noProof/>
            <w:webHidden/>
          </w:rPr>
          <w:tab/>
        </w:r>
        <w:r w:rsidR="00606AA4">
          <w:rPr>
            <w:noProof/>
            <w:webHidden/>
          </w:rPr>
          <w:fldChar w:fldCharType="begin"/>
        </w:r>
        <w:r w:rsidR="00606AA4">
          <w:rPr>
            <w:noProof/>
            <w:webHidden/>
          </w:rPr>
          <w:instrText xml:space="preserve"> PAGEREF _Toc9845485 \h </w:instrText>
        </w:r>
        <w:r w:rsidR="00606AA4">
          <w:rPr>
            <w:noProof/>
            <w:webHidden/>
          </w:rPr>
        </w:r>
        <w:r w:rsidR="00606AA4">
          <w:rPr>
            <w:noProof/>
            <w:webHidden/>
          </w:rPr>
          <w:fldChar w:fldCharType="separate"/>
        </w:r>
        <w:r w:rsidR="00606AA4">
          <w:rPr>
            <w:noProof/>
            <w:webHidden/>
          </w:rPr>
          <w:t>13</w:t>
        </w:r>
        <w:r w:rsidR="00606AA4">
          <w:rPr>
            <w:noProof/>
            <w:webHidden/>
          </w:rPr>
          <w:fldChar w:fldCharType="end"/>
        </w:r>
      </w:hyperlink>
    </w:p>
    <w:p w14:paraId="59BDE095" w14:textId="2000047B" w:rsidR="00606AA4" w:rsidRDefault="00DC0A59">
      <w:pPr>
        <w:pStyle w:val="Turinys2"/>
        <w:rPr>
          <w:rFonts w:eastAsiaTheme="minorEastAsia" w:cstheme="minorBidi"/>
          <w:i w:val="0"/>
          <w:noProof/>
          <w:szCs w:val="22"/>
        </w:rPr>
      </w:pPr>
      <w:hyperlink w:anchor="_Toc9845486" w:history="1">
        <w:r w:rsidR="00606AA4" w:rsidRPr="00FA694F">
          <w:rPr>
            <w:rStyle w:val="Hipersaitas"/>
            <w:rFonts w:eastAsia="Calibri"/>
            <w:noProof/>
            <w:lang w:eastAsia="en-US"/>
          </w:rPr>
          <w:t>Dėl Policijos departamento parengtos reformos</w:t>
        </w:r>
        <w:r w:rsidR="00606AA4">
          <w:rPr>
            <w:noProof/>
            <w:webHidden/>
          </w:rPr>
          <w:tab/>
        </w:r>
        <w:r w:rsidR="00606AA4">
          <w:rPr>
            <w:noProof/>
            <w:webHidden/>
          </w:rPr>
          <w:fldChar w:fldCharType="begin"/>
        </w:r>
        <w:r w:rsidR="00606AA4">
          <w:rPr>
            <w:noProof/>
            <w:webHidden/>
          </w:rPr>
          <w:instrText xml:space="preserve"> PAGEREF _Toc9845486 \h </w:instrText>
        </w:r>
        <w:r w:rsidR="00606AA4">
          <w:rPr>
            <w:noProof/>
            <w:webHidden/>
          </w:rPr>
        </w:r>
        <w:r w:rsidR="00606AA4">
          <w:rPr>
            <w:noProof/>
            <w:webHidden/>
          </w:rPr>
          <w:fldChar w:fldCharType="separate"/>
        </w:r>
        <w:r w:rsidR="00606AA4">
          <w:rPr>
            <w:noProof/>
            <w:webHidden/>
          </w:rPr>
          <w:t>14</w:t>
        </w:r>
        <w:r w:rsidR="00606AA4">
          <w:rPr>
            <w:noProof/>
            <w:webHidden/>
          </w:rPr>
          <w:fldChar w:fldCharType="end"/>
        </w:r>
      </w:hyperlink>
    </w:p>
    <w:p w14:paraId="645D96CF" w14:textId="020A6A66" w:rsidR="00606AA4" w:rsidRDefault="00DC0A59">
      <w:pPr>
        <w:pStyle w:val="Turinys1"/>
        <w:rPr>
          <w:rFonts w:eastAsiaTheme="minorEastAsia" w:cstheme="minorBidi"/>
          <w:b w:val="0"/>
          <w:bCs w:val="0"/>
          <w:caps w:val="0"/>
          <w:noProof/>
          <w:szCs w:val="22"/>
        </w:rPr>
      </w:pPr>
      <w:hyperlink w:anchor="_Toc9845487" w:history="1">
        <w:r w:rsidR="00606AA4" w:rsidRPr="00FA694F">
          <w:rPr>
            <w:rStyle w:val="Hipersaitas"/>
            <w:rFonts w:ascii="Calibri" w:hAnsi="Calibri"/>
            <w:noProof/>
          </w:rPr>
          <w:t>23. Vyriausiosios tarnybinės etikos komisijos sprendimai</w:t>
        </w:r>
        <w:r w:rsidR="00606AA4">
          <w:rPr>
            <w:noProof/>
            <w:webHidden/>
          </w:rPr>
          <w:tab/>
        </w:r>
        <w:r w:rsidR="00606AA4">
          <w:rPr>
            <w:noProof/>
            <w:webHidden/>
          </w:rPr>
          <w:fldChar w:fldCharType="begin"/>
        </w:r>
        <w:r w:rsidR="00606AA4">
          <w:rPr>
            <w:noProof/>
            <w:webHidden/>
          </w:rPr>
          <w:instrText xml:space="preserve"> PAGEREF _Toc9845487 \h </w:instrText>
        </w:r>
        <w:r w:rsidR="00606AA4">
          <w:rPr>
            <w:noProof/>
            <w:webHidden/>
          </w:rPr>
        </w:r>
        <w:r w:rsidR="00606AA4">
          <w:rPr>
            <w:noProof/>
            <w:webHidden/>
          </w:rPr>
          <w:fldChar w:fldCharType="separate"/>
        </w:r>
        <w:r w:rsidR="00606AA4">
          <w:rPr>
            <w:noProof/>
            <w:webHidden/>
          </w:rPr>
          <w:t>16</w:t>
        </w:r>
        <w:r w:rsidR="00606AA4">
          <w:rPr>
            <w:noProof/>
            <w:webHidden/>
          </w:rPr>
          <w:fldChar w:fldCharType="end"/>
        </w:r>
      </w:hyperlink>
    </w:p>
    <w:p w14:paraId="756F6581" w14:textId="588347B8" w:rsidR="00606AA4" w:rsidRDefault="00DC0A59">
      <w:pPr>
        <w:pStyle w:val="Turinys2"/>
        <w:rPr>
          <w:rFonts w:eastAsiaTheme="minorEastAsia" w:cstheme="minorBidi"/>
          <w:i w:val="0"/>
          <w:noProof/>
          <w:szCs w:val="22"/>
        </w:rPr>
      </w:pPr>
      <w:hyperlink w:anchor="_Toc9845488" w:history="1">
        <w:r w:rsidR="00606AA4" w:rsidRPr="00FA694F">
          <w:rPr>
            <w:rStyle w:val="Hipersaitas"/>
            <w:rFonts w:eastAsia="Calibri"/>
            <w:noProof/>
            <w:lang w:eastAsia="en-US"/>
          </w:rPr>
          <w:t>Dėl pareigos deklaruoti privačius interesus (buvimą juridinio asmens dalyviu)</w:t>
        </w:r>
        <w:r w:rsidR="00606AA4">
          <w:rPr>
            <w:noProof/>
            <w:webHidden/>
          </w:rPr>
          <w:tab/>
        </w:r>
        <w:r w:rsidR="00606AA4">
          <w:rPr>
            <w:noProof/>
            <w:webHidden/>
          </w:rPr>
          <w:fldChar w:fldCharType="begin"/>
        </w:r>
        <w:r w:rsidR="00606AA4">
          <w:rPr>
            <w:noProof/>
            <w:webHidden/>
          </w:rPr>
          <w:instrText xml:space="preserve"> PAGEREF _Toc9845488 \h </w:instrText>
        </w:r>
        <w:r w:rsidR="00606AA4">
          <w:rPr>
            <w:noProof/>
            <w:webHidden/>
          </w:rPr>
        </w:r>
        <w:r w:rsidR="00606AA4">
          <w:rPr>
            <w:noProof/>
            <w:webHidden/>
          </w:rPr>
          <w:fldChar w:fldCharType="separate"/>
        </w:r>
        <w:r w:rsidR="00606AA4">
          <w:rPr>
            <w:noProof/>
            <w:webHidden/>
          </w:rPr>
          <w:t>16</w:t>
        </w:r>
        <w:r w:rsidR="00606AA4">
          <w:rPr>
            <w:noProof/>
            <w:webHidden/>
          </w:rPr>
          <w:fldChar w:fldCharType="end"/>
        </w:r>
      </w:hyperlink>
    </w:p>
    <w:p w14:paraId="4D95EBB1" w14:textId="6D5D9C7B" w:rsidR="00606AA4" w:rsidRDefault="00DC0A59">
      <w:pPr>
        <w:pStyle w:val="Turinys1"/>
        <w:rPr>
          <w:rFonts w:eastAsiaTheme="minorEastAsia" w:cstheme="minorBidi"/>
          <w:b w:val="0"/>
          <w:bCs w:val="0"/>
          <w:caps w:val="0"/>
          <w:noProof/>
          <w:szCs w:val="22"/>
        </w:rPr>
      </w:pPr>
      <w:hyperlink w:anchor="_Toc9845489" w:history="1">
        <w:r w:rsidR="00606AA4" w:rsidRPr="00FA694F">
          <w:rPr>
            <w:rStyle w:val="Hipersaitas"/>
            <w:rFonts w:cstheme="minorHAnsi"/>
            <w:noProof/>
          </w:rPr>
          <w:t>33. Finansų rinkų priežiūra</w:t>
        </w:r>
        <w:r w:rsidR="00606AA4">
          <w:rPr>
            <w:noProof/>
            <w:webHidden/>
          </w:rPr>
          <w:tab/>
        </w:r>
        <w:r w:rsidR="00606AA4">
          <w:rPr>
            <w:noProof/>
            <w:webHidden/>
          </w:rPr>
          <w:fldChar w:fldCharType="begin"/>
        </w:r>
        <w:r w:rsidR="00606AA4">
          <w:rPr>
            <w:noProof/>
            <w:webHidden/>
          </w:rPr>
          <w:instrText xml:space="preserve"> PAGEREF _Toc9845489 \h </w:instrText>
        </w:r>
        <w:r w:rsidR="00606AA4">
          <w:rPr>
            <w:noProof/>
            <w:webHidden/>
          </w:rPr>
        </w:r>
        <w:r w:rsidR="00606AA4">
          <w:rPr>
            <w:noProof/>
            <w:webHidden/>
          </w:rPr>
          <w:fldChar w:fldCharType="separate"/>
        </w:r>
        <w:r w:rsidR="00606AA4">
          <w:rPr>
            <w:noProof/>
            <w:webHidden/>
          </w:rPr>
          <w:t>17</w:t>
        </w:r>
        <w:r w:rsidR="00606AA4">
          <w:rPr>
            <w:noProof/>
            <w:webHidden/>
          </w:rPr>
          <w:fldChar w:fldCharType="end"/>
        </w:r>
      </w:hyperlink>
    </w:p>
    <w:p w14:paraId="0B7FB973" w14:textId="06259659" w:rsidR="00606AA4" w:rsidRDefault="00DC0A59">
      <w:pPr>
        <w:pStyle w:val="Turinys2"/>
        <w:rPr>
          <w:rFonts w:eastAsiaTheme="minorEastAsia" w:cstheme="minorBidi"/>
          <w:i w:val="0"/>
          <w:noProof/>
          <w:szCs w:val="22"/>
        </w:rPr>
      </w:pPr>
      <w:hyperlink w:anchor="_Toc9845490" w:history="1">
        <w:r w:rsidR="00606AA4" w:rsidRPr="00FA694F">
          <w:rPr>
            <w:rStyle w:val="Hipersaitas"/>
            <w:noProof/>
          </w:rPr>
          <w:t>Dėl mokėjimo paslaugų pripažinimo susijusiomis su elektroninių pinigų leidimu</w:t>
        </w:r>
        <w:r w:rsidR="00606AA4">
          <w:rPr>
            <w:noProof/>
            <w:webHidden/>
          </w:rPr>
          <w:tab/>
        </w:r>
        <w:r w:rsidR="00606AA4">
          <w:rPr>
            <w:noProof/>
            <w:webHidden/>
          </w:rPr>
          <w:fldChar w:fldCharType="begin"/>
        </w:r>
        <w:r w:rsidR="00606AA4">
          <w:rPr>
            <w:noProof/>
            <w:webHidden/>
          </w:rPr>
          <w:instrText xml:space="preserve"> PAGEREF _Toc9845490 \h </w:instrText>
        </w:r>
        <w:r w:rsidR="00606AA4">
          <w:rPr>
            <w:noProof/>
            <w:webHidden/>
          </w:rPr>
        </w:r>
        <w:r w:rsidR="00606AA4">
          <w:rPr>
            <w:noProof/>
            <w:webHidden/>
          </w:rPr>
          <w:fldChar w:fldCharType="separate"/>
        </w:r>
        <w:r w:rsidR="00606AA4">
          <w:rPr>
            <w:noProof/>
            <w:webHidden/>
          </w:rPr>
          <w:t>17</w:t>
        </w:r>
        <w:r w:rsidR="00606AA4">
          <w:rPr>
            <w:noProof/>
            <w:webHidden/>
          </w:rPr>
          <w:fldChar w:fldCharType="end"/>
        </w:r>
      </w:hyperlink>
    </w:p>
    <w:p w14:paraId="3DFA2394" w14:textId="73D79B59" w:rsidR="00606AA4" w:rsidRDefault="00DC0A59">
      <w:pPr>
        <w:pStyle w:val="Turinys1"/>
        <w:rPr>
          <w:rFonts w:eastAsiaTheme="minorEastAsia" w:cstheme="minorBidi"/>
          <w:b w:val="0"/>
          <w:bCs w:val="0"/>
          <w:caps w:val="0"/>
          <w:noProof/>
          <w:szCs w:val="22"/>
        </w:rPr>
      </w:pPr>
      <w:hyperlink w:anchor="_Toc9845491" w:history="1">
        <w:r w:rsidR="00606AA4" w:rsidRPr="00FA694F">
          <w:rPr>
            <w:rStyle w:val="Hipersaitas"/>
            <w:rFonts w:cstheme="minorHAnsi"/>
            <w:noProof/>
          </w:rPr>
          <w:t>41. Kiti ginčai viešojo administravimo srityje</w:t>
        </w:r>
        <w:r w:rsidR="00606AA4">
          <w:rPr>
            <w:noProof/>
            <w:webHidden/>
          </w:rPr>
          <w:tab/>
        </w:r>
        <w:r w:rsidR="00606AA4">
          <w:rPr>
            <w:noProof/>
            <w:webHidden/>
          </w:rPr>
          <w:fldChar w:fldCharType="begin"/>
        </w:r>
        <w:r w:rsidR="00606AA4">
          <w:rPr>
            <w:noProof/>
            <w:webHidden/>
          </w:rPr>
          <w:instrText xml:space="preserve"> PAGEREF _Toc9845491 \h </w:instrText>
        </w:r>
        <w:r w:rsidR="00606AA4">
          <w:rPr>
            <w:noProof/>
            <w:webHidden/>
          </w:rPr>
        </w:r>
        <w:r w:rsidR="00606AA4">
          <w:rPr>
            <w:noProof/>
            <w:webHidden/>
          </w:rPr>
          <w:fldChar w:fldCharType="separate"/>
        </w:r>
        <w:r w:rsidR="00606AA4">
          <w:rPr>
            <w:noProof/>
            <w:webHidden/>
          </w:rPr>
          <w:t>18</w:t>
        </w:r>
        <w:r w:rsidR="00606AA4">
          <w:rPr>
            <w:noProof/>
            <w:webHidden/>
          </w:rPr>
          <w:fldChar w:fldCharType="end"/>
        </w:r>
      </w:hyperlink>
    </w:p>
    <w:p w14:paraId="4033C473" w14:textId="39B0A581" w:rsidR="00606AA4" w:rsidRDefault="00DC0A59">
      <w:pPr>
        <w:pStyle w:val="Turinys2"/>
        <w:rPr>
          <w:rFonts w:eastAsiaTheme="minorEastAsia" w:cstheme="minorBidi"/>
          <w:i w:val="0"/>
          <w:noProof/>
          <w:szCs w:val="22"/>
        </w:rPr>
      </w:pPr>
      <w:hyperlink w:anchor="_Toc9845492" w:history="1">
        <w:r w:rsidR="00606AA4" w:rsidRPr="00FA694F">
          <w:rPr>
            <w:rStyle w:val="Hipersaitas"/>
            <w:noProof/>
          </w:rPr>
          <w:t>Dėl eismo reguliavimo priemonių taikymo pagrįstumo vertinimo</w:t>
        </w:r>
        <w:r w:rsidR="00606AA4">
          <w:rPr>
            <w:noProof/>
            <w:webHidden/>
          </w:rPr>
          <w:tab/>
        </w:r>
        <w:r w:rsidR="00606AA4">
          <w:rPr>
            <w:noProof/>
            <w:webHidden/>
          </w:rPr>
          <w:fldChar w:fldCharType="begin"/>
        </w:r>
        <w:r w:rsidR="00606AA4">
          <w:rPr>
            <w:noProof/>
            <w:webHidden/>
          </w:rPr>
          <w:instrText xml:space="preserve"> PAGEREF _Toc9845492 \h </w:instrText>
        </w:r>
        <w:r w:rsidR="00606AA4">
          <w:rPr>
            <w:noProof/>
            <w:webHidden/>
          </w:rPr>
        </w:r>
        <w:r w:rsidR="00606AA4">
          <w:rPr>
            <w:noProof/>
            <w:webHidden/>
          </w:rPr>
          <w:fldChar w:fldCharType="separate"/>
        </w:r>
        <w:r w:rsidR="00606AA4">
          <w:rPr>
            <w:noProof/>
            <w:webHidden/>
          </w:rPr>
          <w:t>18</w:t>
        </w:r>
        <w:r w:rsidR="00606AA4">
          <w:rPr>
            <w:noProof/>
            <w:webHidden/>
          </w:rPr>
          <w:fldChar w:fldCharType="end"/>
        </w:r>
      </w:hyperlink>
    </w:p>
    <w:p w14:paraId="1D0447E5" w14:textId="45A0579A" w:rsidR="00606AA4" w:rsidRDefault="00DC0A59">
      <w:pPr>
        <w:pStyle w:val="Turinys1"/>
        <w:rPr>
          <w:rFonts w:eastAsiaTheme="minorEastAsia" w:cstheme="minorBidi"/>
          <w:b w:val="0"/>
          <w:bCs w:val="0"/>
          <w:caps w:val="0"/>
          <w:noProof/>
          <w:szCs w:val="22"/>
        </w:rPr>
      </w:pPr>
      <w:hyperlink w:anchor="_Toc9845493" w:history="1">
        <w:r w:rsidR="00606AA4" w:rsidRPr="00FA694F">
          <w:rPr>
            <w:rStyle w:val="Hipersaitas"/>
            <w:rFonts w:cstheme="minorHAnsi"/>
            <w:noProof/>
          </w:rPr>
          <w:t>II. Administracinių bylų teisena</w:t>
        </w:r>
        <w:r w:rsidR="00606AA4">
          <w:rPr>
            <w:noProof/>
            <w:webHidden/>
          </w:rPr>
          <w:tab/>
        </w:r>
        <w:r w:rsidR="00606AA4">
          <w:rPr>
            <w:noProof/>
            <w:webHidden/>
          </w:rPr>
          <w:fldChar w:fldCharType="begin"/>
        </w:r>
        <w:r w:rsidR="00606AA4">
          <w:rPr>
            <w:noProof/>
            <w:webHidden/>
          </w:rPr>
          <w:instrText xml:space="preserve"> PAGEREF _Toc9845493 \h </w:instrText>
        </w:r>
        <w:r w:rsidR="00606AA4">
          <w:rPr>
            <w:noProof/>
            <w:webHidden/>
          </w:rPr>
        </w:r>
        <w:r w:rsidR="00606AA4">
          <w:rPr>
            <w:noProof/>
            <w:webHidden/>
          </w:rPr>
          <w:fldChar w:fldCharType="separate"/>
        </w:r>
        <w:r w:rsidR="00606AA4">
          <w:rPr>
            <w:noProof/>
            <w:webHidden/>
          </w:rPr>
          <w:t>19</w:t>
        </w:r>
        <w:r w:rsidR="00606AA4">
          <w:rPr>
            <w:noProof/>
            <w:webHidden/>
          </w:rPr>
          <w:fldChar w:fldCharType="end"/>
        </w:r>
      </w:hyperlink>
    </w:p>
    <w:p w14:paraId="4846E70B" w14:textId="123D135F" w:rsidR="00606AA4" w:rsidRDefault="00DC0A59">
      <w:pPr>
        <w:pStyle w:val="Turinys1"/>
        <w:rPr>
          <w:rFonts w:eastAsiaTheme="minorEastAsia" w:cstheme="minorBidi"/>
          <w:b w:val="0"/>
          <w:bCs w:val="0"/>
          <w:caps w:val="0"/>
          <w:noProof/>
          <w:szCs w:val="22"/>
        </w:rPr>
      </w:pPr>
      <w:hyperlink w:anchor="_Toc9845494" w:history="1">
        <w:r w:rsidR="00606AA4" w:rsidRPr="00FA694F">
          <w:rPr>
            <w:rStyle w:val="Hipersaitas"/>
            <w:rFonts w:cstheme="minorHAnsi"/>
            <w:noProof/>
          </w:rPr>
          <w:t>43. Teisė kreiptis į teismą ir jos realizavimas</w:t>
        </w:r>
        <w:r w:rsidR="00606AA4">
          <w:rPr>
            <w:noProof/>
            <w:webHidden/>
          </w:rPr>
          <w:tab/>
        </w:r>
        <w:r w:rsidR="00606AA4">
          <w:rPr>
            <w:noProof/>
            <w:webHidden/>
          </w:rPr>
          <w:fldChar w:fldCharType="begin"/>
        </w:r>
        <w:r w:rsidR="00606AA4">
          <w:rPr>
            <w:noProof/>
            <w:webHidden/>
          </w:rPr>
          <w:instrText xml:space="preserve"> PAGEREF _Toc9845494 \h </w:instrText>
        </w:r>
        <w:r w:rsidR="00606AA4">
          <w:rPr>
            <w:noProof/>
            <w:webHidden/>
          </w:rPr>
        </w:r>
        <w:r w:rsidR="00606AA4">
          <w:rPr>
            <w:noProof/>
            <w:webHidden/>
          </w:rPr>
          <w:fldChar w:fldCharType="separate"/>
        </w:r>
        <w:r w:rsidR="00606AA4">
          <w:rPr>
            <w:noProof/>
            <w:webHidden/>
          </w:rPr>
          <w:t>19</w:t>
        </w:r>
        <w:r w:rsidR="00606AA4">
          <w:rPr>
            <w:noProof/>
            <w:webHidden/>
          </w:rPr>
          <w:fldChar w:fldCharType="end"/>
        </w:r>
      </w:hyperlink>
    </w:p>
    <w:p w14:paraId="631A7C71" w14:textId="7FD53E03" w:rsidR="00606AA4" w:rsidRDefault="00DC0A59">
      <w:pPr>
        <w:pStyle w:val="Turinys2"/>
        <w:rPr>
          <w:rFonts w:eastAsiaTheme="minorEastAsia" w:cstheme="minorBidi"/>
          <w:i w:val="0"/>
          <w:noProof/>
          <w:szCs w:val="22"/>
        </w:rPr>
      </w:pPr>
      <w:hyperlink w:anchor="_Toc9845495" w:history="1">
        <w:r w:rsidR="00606AA4" w:rsidRPr="00FA694F">
          <w:rPr>
            <w:rStyle w:val="Hipersaitas"/>
            <w:noProof/>
          </w:rPr>
          <w:t>Dėl žalos iš savivaldybės priteisimo dėl netinkamo viešųjų paslaugų teikimo administravimo</w:t>
        </w:r>
        <w:r w:rsidR="00606AA4">
          <w:rPr>
            <w:noProof/>
            <w:webHidden/>
          </w:rPr>
          <w:tab/>
        </w:r>
        <w:r w:rsidR="00606AA4">
          <w:rPr>
            <w:noProof/>
            <w:webHidden/>
          </w:rPr>
          <w:fldChar w:fldCharType="begin"/>
        </w:r>
        <w:r w:rsidR="00606AA4">
          <w:rPr>
            <w:noProof/>
            <w:webHidden/>
          </w:rPr>
          <w:instrText xml:space="preserve"> PAGEREF _Toc9845495 \h </w:instrText>
        </w:r>
        <w:r w:rsidR="00606AA4">
          <w:rPr>
            <w:noProof/>
            <w:webHidden/>
          </w:rPr>
        </w:r>
        <w:r w:rsidR="00606AA4">
          <w:rPr>
            <w:noProof/>
            <w:webHidden/>
          </w:rPr>
          <w:fldChar w:fldCharType="separate"/>
        </w:r>
        <w:r w:rsidR="00606AA4">
          <w:rPr>
            <w:noProof/>
            <w:webHidden/>
          </w:rPr>
          <w:t>19</w:t>
        </w:r>
        <w:r w:rsidR="00606AA4">
          <w:rPr>
            <w:noProof/>
            <w:webHidden/>
          </w:rPr>
          <w:fldChar w:fldCharType="end"/>
        </w:r>
      </w:hyperlink>
    </w:p>
    <w:p w14:paraId="2FBFB00E" w14:textId="5C8090A0" w:rsidR="0028287C" w:rsidRDefault="00A364C6" w:rsidP="00025BA1">
      <w:pPr>
        <w:spacing w:before="240" w:after="240"/>
        <w:jc w:val="both"/>
        <w:rPr>
          <w:rFonts w:asciiTheme="minorHAnsi" w:hAnsiTheme="minorHAnsi" w:cstheme="minorHAnsi"/>
          <w:sz w:val="22"/>
          <w:szCs w:val="22"/>
        </w:rPr>
      </w:pPr>
      <w:r w:rsidRPr="00B240C0">
        <w:rPr>
          <w:rFonts w:asciiTheme="minorHAnsi" w:hAnsiTheme="minorHAnsi" w:cstheme="minorHAnsi"/>
          <w:sz w:val="22"/>
          <w:szCs w:val="22"/>
        </w:rPr>
        <w:fldChar w:fldCharType="end"/>
      </w:r>
      <w:bookmarkEnd w:id="6"/>
    </w:p>
    <w:p w14:paraId="67D1DD9A" w14:textId="77777777" w:rsidR="00263369" w:rsidRDefault="00263369" w:rsidP="00025BA1">
      <w:pPr>
        <w:spacing w:before="240" w:after="240"/>
        <w:jc w:val="both"/>
        <w:rPr>
          <w:rFonts w:asciiTheme="minorHAnsi" w:hAnsiTheme="minorHAnsi" w:cstheme="minorHAnsi"/>
          <w:sz w:val="22"/>
          <w:szCs w:val="22"/>
        </w:rPr>
      </w:pPr>
    </w:p>
    <w:p w14:paraId="792F58F3" w14:textId="77777777" w:rsidR="00263369" w:rsidRDefault="00263369" w:rsidP="00025BA1">
      <w:pPr>
        <w:spacing w:before="240" w:after="240"/>
        <w:jc w:val="both"/>
        <w:rPr>
          <w:rFonts w:asciiTheme="minorHAnsi" w:hAnsiTheme="minorHAnsi" w:cstheme="minorHAnsi"/>
          <w:sz w:val="22"/>
          <w:szCs w:val="22"/>
        </w:rPr>
      </w:pPr>
    </w:p>
    <w:p w14:paraId="287453B8" w14:textId="77777777" w:rsidR="00293CF6" w:rsidRDefault="00293CF6" w:rsidP="00025BA1">
      <w:pPr>
        <w:jc w:val="both"/>
        <w:rPr>
          <w:rFonts w:asciiTheme="minorHAnsi" w:hAnsiTheme="minorHAnsi" w:cstheme="minorHAnsi"/>
          <w:sz w:val="22"/>
          <w:szCs w:val="22"/>
        </w:rPr>
      </w:pPr>
      <w:r>
        <w:rPr>
          <w:rFonts w:asciiTheme="minorHAnsi" w:hAnsiTheme="minorHAnsi" w:cstheme="minorHAnsi"/>
          <w:sz w:val="22"/>
          <w:szCs w:val="22"/>
        </w:rPr>
        <w:t xml:space="preserve">Šioje apžvalgoje vartojami </w:t>
      </w:r>
      <w:r w:rsidRPr="006D2858">
        <w:rPr>
          <w:rFonts w:asciiTheme="minorHAnsi" w:hAnsiTheme="minorHAnsi" w:cstheme="minorHAnsi"/>
          <w:b/>
          <w:sz w:val="22"/>
          <w:szCs w:val="22"/>
        </w:rPr>
        <w:t>sutrumpinimai</w:t>
      </w:r>
      <w:r>
        <w:rPr>
          <w:rFonts w:asciiTheme="minorHAnsi" w:hAnsiTheme="minorHAnsi" w:cstheme="minorHAnsi"/>
          <w:sz w:val="22"/>
          <w:szCs w:val="22"/>
        </w:rPr>
        <w:t>:</w:t>
      </w:r>
    </w:p>
    <w:p w14:paraId="11BC93FC" w14:textId="77777777" w:rsidR="00293CF6" w:rsidRDefault="00293CF6" w:rsidP="00025BA1">
      <w:pPr>
        <w:jc w:val="both"/>
        <w:rPr>
          <w:rFonts w:asciiTheme="minorHAnsi" w:hAnsiTheme="minorHAnsi" w:cstheme="minorHAnsi"/>
          <w:sz w:val="22"/>
          <w:szCs w:val="22"/>
        </w:rPr>
      </w:pPr>
    </w:p>
    <w:p w14:paraId="0A85F1BB" w14:textId="77777777" w:rsidR="00293CF6" w:rsidRPr="004C384F" w:rsidRDefault="00293CF6" w:rsidP="00025BA1">
      <w:pPr>
        <w:jc w:val="both"/>
        <w:rPr>
          <w:rFonts w:asciiTheme="minorHAnsi" w:hAnsiTheme="minorHAnsi" w:cstheme="minorHAnsi"/>
          <w:sz w:val="22"/>
          <w:szCs w:val="22"/>
        </w:rPr>
      </w:pPr>
      <w:r w:rsidRPr="004C384F">
        <w:rPr>
          <w:rFonts w:asciiTheme="minorHAnsi" w:hAnsiTheme="minorHAnsi" w:cstheme="minorHAnsi"/>
          <w:sz w:val="22"/>
          <w:szCs w:val="22"/>
        </w:rPr>
        <w:t xml:space="preserve">Lietuvos vyriausiasis administracinis teismas – </w:t>
      </w:r>
      <w:r w:rsidRPr="004C384F">
        <w:rPr>
          <w:rFonts w:asciiTheme="minorHAnsi" w:hAnsiTheme="minorHAnsi" w:cstheme="minorHAnsi"/>
          <w:b/>
          <w:sz w:val="22"/>
          <w:szCs w:val="22"/>
        </w:rPr>
        <w:t>LVAT</w:t>
      </w:r>
    </w:p>
    <w:p w14:paraId="4F975BD7" w14:textId="77777777" w:rsidR="00293CF6" w:rsidRPr="004C384F" w:rsidRDefault="00293CF6" w:rsidP="00025BA1">
      <w:pPr>
        <w:jc w:val="both"/>
        <w:rPr>
          <w:rFonts w:asciiTheme="minorHAnsi" w:hAnsiTheme="minorHAnsi" w:cstheme="minorHAnsi"/>
          <w:sz w:val="22"/>
          <w:szCs w:val="22"/>
        </w:rPr>
      </w:pPr>
      <w:r w:rsidRPr="004C384F">
        <w:rPr>
          <w:rFonts w:asciiTheme="minorHAnsi" w:hAnsiTheme="minorHAnsi" w:cstheme="minorHAnsi"/>
          <w:sz w:val="22"/>
          <w:szCs w:val="22"/>
        </w:rPr>
        <w:t xml:space="preserve">Lietuvos Respublikos administracinių bylų teisenos įstatymas – </w:t>
      </w:r>
      <w:r w:rsidRPr="004C384F">
        <w:rPr>
          <w:rFonts w:asciiTheme="minorHAnsi" w:hAnsiTheme="minorHAnsi" w:cstheme="minorHAnsi"/>
          <w:b/>
          <w:sz w:val="22"/>
          <w:szCs w:val="22"/>
        </w:rPr>
        <w:t>ABTĮ</w:t>
      </w:r>
      <w:r w:rsidRPr="004C384F">
        <w:rPr>
          <w:rFonts w:asciiTheme="minorHAnsi" w:hAnsiTheme="minorHAnsi" w:cstheme="minorHAnsi"/>
          <w:sz w:val="22"/>
          <w:szCs w:val="22"/>
        </w:rPr>
        <w:t xml:space="preserve"> </w:t>
      </w:r>
    </w:p>
    <w:p w14:paraId="7CAB16D3" w14:textId="77777777" w:rsidR="00293CF6" w:rsidRPr="00841BF3" w:rsidRDefault="00293CF6" w:rsidP="00025BA1">
      <w:pPr>
        <w:jc w:val="both"/>
        <w:rPr>
          <w:rFonts w:asciiTheme="minorHAnsi" w:hAnsiTheme="minorHAnsi" w:cstheme="minorHAnsi"/>
          <w:sz w:val="22"/>
          <w:szCs w:val="22"/>
        </w:rPr>
      </w:pPr>
      <w:r w:rsidRPr="00841BF3">
        <w:rPr>
          <w:rFonts w:asciiTheme="minorHAnsi" w:hAnsiTheme="minorHAnsi" w:cstheme="minorHAnsi"/>
          <w:sz w:val="22"/>
          <w:szCs w:val="22"/>
        </w:rPr>
        <w:t xml:space="preserve">Lietuvos Respublikos civilinis kodeksas – </w:t>
      </w:r>
      <w:r w:rsidRPr="00841BF3">
        <w:rPr>
          <w:rFonts w:asciiTheme="minorHAnsi" w:hAnsiTheme="minorHAnsi" w:cstheme="minorHAnsi"/>
          <w:b/>
          <w:sz w:val="22"/>
          <w:szCs w:val="22"/>
        </w:rPr>
        <w:t>CK</w:t>
      </w:r>
      <w:r w:rsidRPr="00841BF3">
        <w:rPr>
          <w:rFonts w:asciiTheme="minorHAnsi" w:hAnsiTheme="minorHAnsi" w:cstheme="minorHAnsi"/>
          <w:sz w:val="22"/>
          <w:szCs w:val="22"/>
        </w:rPr>
        <w:t xml:space="preserve"> </w:t>
      </w:r>
    </w:p>
    <w:p w14:paraId="79006957" w14:textId="19BF042A" w:rsidR="00FE10A1" w:rsidRDefault="00FE10A1" w:rsidP="00025BA1">
      <w:pPr>
        <w:jc w:val="both"/>
        <w:rPr>
          <w:rFonts w:asciiTheme="minorHAnsi" w:hAnsiTheme="minorHAnsi" w:cstheme="minorHAnsi"/>
          <w:b/>
          <w:sz w:val="22"/>
          <w:szCs w:val="22"/>
        </w:rPr>
      </w:pPr>
      <w:r w:rsidRPr="00FB305C">
        <w:rPr>
          <w:rFonts w:asciiTheme="minorHAnsi" w:hAnsiTheme="minorHAnsi" w:cstheme="minorHAnsi"/>
          <w:sz w:val="22"/>
          <w:szCs w:val="22"/>
        </w:rPr>
        <w:t xml:space="preserve">Lietuvos Respublikos bausmių vykdymo kodeksas – </w:t>
      </w:r>
      <w:r w:rsidRPr="00FB305C">
        <w:rPr>
          <w:rFonts w:asciiTheme="minorHAnsi" w:hAnsiTheme="minorHAnsi" w:cstheme="minorHAnsi"/>
          <w:b/>
          <w:sz w:val="22"/>
          <w:szCs w:val="22"/>
        </w:rPr>
        <w:t>BVK</w:t>
      </w:r>
    </w:p>
    <w:p w14:paraId="500F8C35" w14:textId="30E8B83C" w:rsidR="00E83AC5" w:rsidRDefault="00E83AC5" w:rsidP="00025BA1">
      <w:pPr>
        <w:jc w:val="both"/>
        <w:rPr>
          <w:rFonts w:asciiTheme="minorHAnsi" w:hAnsiTheme="minorHAnsi" w:cstheme="minorHAnsi"/>
          <w:b/>
          <w:sz w:val="22"/>
          <w:szCs w:val="22"/>
        </w:rPr>
      </w:pPr>
      <w:r w:rsidRPr="00E83AC5">
        <w:rPr>
          <w:rFonts w:asciiTheme="minorHAnsi" w:hAnsiTheme="minorHAnsi" w:cstheme="minorHAnsi"/>
          <w:sz w:val="22"/>
          <w:szCs w:val="22"/>
        </w:rPr>
        <w:lastRenderedPageBreak/>
        <w:t>Lietuvos Respublikos baudžiamojo proceso kodekso –</w:t>
      </w:r>
      <w:r>
        <w:rPr>
          <w:rFonts w:asciiTheme="minorHAnsi" w:hAnsiTheme="minorHAnsi" w:cstheme="minorHAnsi"/>
          <w:b/>
          <w:sz w:val="22"/>
          <w:szCs w:val="22"/>
        </w:rPr>
        <w:t xml:space="preserve"> BPK</w:t>
      </w:r>
    </w:p>
    <w:p w14:paraId="1FD634E1" w14:textId="77777777" w:rsidR="005076B4" w:rsidRPr="00FB305C" w:rsidRDefault="005076B4" w:rsidP="00025BA1">
      <w:pPr>
        <w:jc w:val="both"/>
        <w:rPr>
          <w:rFonts w:asciiTheme="minorHAnsi" w:hAnsiTheme="minorHAnsi" w:cstheme="minorHAnsi"/>
          <w:b/>
          <w:sz w:val="22"/>
          <w:szCs w:val="22"/>
        </w:rPr>
      </w:pPr>
      <w:r w:rsidRPr="005076B4">
        <w:rPr>
          <w:rFonts w:asciiTheme="minorHAnsi" w:hAnsiTheme="minorHAnsi" w:cstheme="minorHAnsi"/>
          <w:sz w:val="22"/>
          <w:szCs w:val="22"/>
        </w:rPr>
        <w:t>Lietuvos Respublikos darbo kodeksas –</w:t>
      </w:r>
      <w:r>
        <w:rPr>
          <w:rFonts w:asciiTheme="minorHAnsi" w:hAnsiTheme="minorHAnsi" w:cstheme="minorHAnsi"/>
          <w:b/>
          <w:sz w:val="22"/>
          <w:szCs w:val="22"/>
        </w:rPr>
        <w:t xml:space="preserve"> DK </w:t>
      </w:r>
    </w:p>
    <w:p w14:paraId="77B76265" w14:textId="77777777" w:rsidR="00293CF6" w:rsidRPr="00FB305C" w:rsidRDefault="00293CF6" w:rsidP="00025BA1">
      <w:pPr>
        <w:jc w:val="both"/>
        <w:rPr>
          <w:rFonts w:asciiTheme="minorHAnsi" w:hAnsiTheme="minorHAnsi" w:cstheme="minorHAnsi"/>
          <w:b/>
          <w:sz w:val="22"/>
          <w:szCs w:val="22"/>
        </w:rPr>
      </w:pPr>
      <w:r w:rsidRPr="00FB305C">
        <w:rPr>
          <w:rFonts w:asciiTheme="minorHAnsi" w:hAnsiTheme="minorHAnsi" w:cstheme="minorHAnsi"/>
          <w:sz w:val="22"/>
          <w:szCs w:val="22"/>
        </w:rPr>
        <w:t xml:space="preserve">Uždaroji akcinė bendrovė – </w:t>
      </w:r>
      <w:r w:rsidRPr="00FB305C">
        <w:rPr>
          <w:rFonts w:asciiTheme="minorHAnsi" w:hAnsiTheme="minorHAnsi" w:cstheme="minorHAnsi"/>
          <w:b/>
          <w:sz w:val="22"/>
          <w:szCs w:val="22"/>
        </w:rPr>
        <w:t>UAB</w:t>
      </w:r>
    </w:p>
    <w:p w14:paraId="5146A18B" w14:textId="77777777" w:rsidR="00841BF3" w:rsidRDefault="00841BF3" w:rsidP="00025BA1">
      <w:pPr>
        <w:jc w:val="both"/>
        <w:rPr>
          <w:rFonts w:asciiTheme="minorHAnsi" w:hAnsiTheme="minorHAnsi" w:cstheme="minorHAnsi"/>
          <w:sz w:val="22"/>
          <w:szCs w:val="22"/>
        </w:rPr>
      </w:pPr>
      <w:r w:rsidRPr="00841BF3">
        <w:rPr>
          <w:rFonts w:asciiTheme="minorHAnsi" w:hAnsiTheme="minorHAnsi" w:cstheme="minorHAnsi"/>
          <w:sz w:val="22"/>
          <w:szCs w:val="22"/>
        </w:rPr>
        <w:t>Lietuvos Aukščiausiasis Teismas –</w:t>
      </w:r>
      <w:r>
        <w:rPr>
          <w:rFonts w:asciiTheme="minorHAnsi" w:hAnsiTheme="minorHAnsi" w:cstheme="minorHAnsi"/>
          <w:b/>
          <w:sz w:val="22"/>
          <w:szCs w:val="22"/>
        </w:rPr>
        <w:t xml:space="preserve"> LAT</w:t>
      </w:r>
    </w:p>
    <w:p w14:paraId="1DB03E38" w14:textId="373AB829" w:rsidR="006D2858" w:rsidRDefault="006D2858" w:rsidP="00025BA1">
      <w:pPr>
        <w:spacing w:before="240" w:after="240"/>
        <w:jc w:val="both"/>
        <w:rPr>
          <w:rFonts w:asciiTheme="minorHAnsi" w:hAnsiTheme="minorHAnsi" w:cstheme="minorHAnsi"/>
          <w:b/>
          <w:sz w:val="22"/>
          <w:szCs w:val="22"/>
        </w:rPr>
      </w:pPr>
    </w:p>
    <w:p w14:paraId="62B7CE7D" w14:textId="45B0D6F8" w:rsidR="009950CE" w:rsidRDefault="009950CE" w:rsidP="00025BA1">
      <w:pPr>
        <w:spacing w:before="240" w:after="240"/>
        <w:jc w:val="both"/>
        <w:rPr>
          <w:rFonts w:asciiTheme="minorHAnsi" w:hAnsiTheme="minorHAnsi" w:cstheme="minorHAnsi"/>
          <w:b/>
          <w:sz w:val="22"/>
          <w:szCs w:val="22"/>
        </w:rPr>
      </w:pPr>
    </w:p>
    <w:p w14:paraId="666E9345" w14:textId="77777777" w:rsidR="009950CE" w:rsidRDefault="009950CE" w:rsidP="00025BA1">
      <w:pPr>
        <w:spacing w:before="240" w:after="240"/>
        <w:jc w:val="both"/>
        <w:rPr>
          <w:rFonts w:asciiTheme="minorHAnsi" w:hAnsiTheme="minorHAnsi" w:cstheme="minorHAnsi"/>
          <w:b/>
          <w:sz w:val="22"/>
          <w:szCs w:val="22"/>
        </w:rPr>
      </w:pPr>
    </w:p>
    <w:p w14:paraId="0D4FB354" w14:textId="77777777" w:rsidR="00263369" w:rsidRPr="00B240C0" w:rsidRDefault="00263369" w:rsidP="00025BA1">
      <w:pPr>
        <w:spacing w:before="240" w:after="240"/>
        <w:jc w:val="both"/>
        <w:rPr>
          <w:rFonts w:asciiTheme="minorHAnsi" w:hAnsiTheme="minorHAnsi" w:cstheme="minorHAnsi"/>
          <w:b/>
          <w:sz w:val="22"/>
          <w:szCs w:val="22"/>
        </w:rPr>
      </w:pPr>
    </w:p>
    <w:p w14:paraId="459F4DD8" w14:textId="542C27AD" w:rsidR="004B5E60" w:rsidRDefault="00E227FE" w:rsidP="00025BA1">
      <w:pPr>
        <w:spacing w:before="240" w:after="240"/>
        <w:jc w:val="both"/>
        <w:rPr>
          <w:rFonts w:asciiTheme="minorHAnsi" w:hAnsiTheme="minorHAnsi" w:cstheme="minorHAnsi"/>
          <w:sz w:val="22"/>
          <w:szCs w:val="22"/>
        </w:rPr>
      </w:pPr>
      <w:r w:rsidRPr="00B240C0">
        <w:rPr>
          <w:rFonts w:asciiTheme="minorHAnsi" w:hAnsiTheme="minorHAnsi" w:cstheme="minorHAnsi"/>
          <w:b/>
          <w:sz w:val="22"/>
          <w:szCs w:val="22"/>
        </w:rPr>
        <w:t>P</w:t>
      </w:r>
      <w:r w:rsidR="003D4C15" w:rsidRPr="00B240C0">
        <w:rPr>
          <w:rFonts w:asciiTheme="minorHAnsi" w:hAnsiTheme="minorHAnsi" w:cstheme="minorHAnsi"/>
          <w:b/>
          <w:sz w:val="22"/>
          <w:szCs w:val="22"/>
        </w:rPr>
        <w:t>astaba.</w:t>
      </w:r>
      <w:r w:rsidR="003D4C15" w:rsidRPr="00B240C0">
        <w:rPr>
          <w:rFonts w:asciiTheme="minorHAnsi" w:hAnsiTheme="minorHAnsi" w:cstheme="minorHAnsi"/>
          <w:sz w:val="22"/>
          <w:szCs w:val="22"/>
        </w:rPr>
        <w:t xml:space="preserve"> Šioje apžvalgoje pateikiamos neoficialios </w:t>
      </w:r>
      <w:r w:rsidR="0028287C" w:rsidRPr="0028287C">
        <w:rPr>
          <w:rFonts w:asciiTheme="minorHAnsi" w:hAnsiTheme="minorHAnsi" w:cstheme="minorHAnsi"/>
          <w:sz w:val="22"/>
          <w:szCs w:val="22"/>
        </w:rPr>
        <w:t>LVAT</w:t>
      </w:r>
      <w:r w:rsidR="003D4C15" w:rsidRPr="00B240C0">
        <w:rPr>
          <w:rFonts w:asciiTheme="minorHAnsi" w:hAnsiTheme="minorHAnsi" w:cstheme="minorHAnsi"/>
          <w:sz w:val="22"/>
          <w:szCs w:val="22"/>
        </w:rPr>
        <w:t xml:space="preserve"> procesinių sprendimų santraukos, kurios LVAT nesaisto. Šis dokumentas yra skirtas tik info</w:t>
      </w:r>
      <w:r w:rsidR="009E6C8D" w:rsidRPr="00B240C0">
        <w:rPr>
          <w:rFonts w:asciiTheme="minorHAnsi" w:hAnsiTheme="minorHAnsi" w:cstheme="minorHAnsi"/>
          <w:sz w:val="22"/>
          <w:szCs w:val="22"/>
        </w:rPr>
        <w:t>r</w:t>
      </w:r>
      <w:r w:rsidR="00023114">
        <w:rPr>
          <w:rFonts w:asciiTheme="minorHAnsi" w:hAnsiTheme="minorHAnsi" w:cstheme="minorHAnsi"/>
          <w:sz w:val="22"/>
          <w:szCs w:val="22"/>
        </w:rPr>
        <w:t>muoti</w:t>
      </w:r>
      <w:r w:rsidR="003D4C15" w:rsidRPr="00B240C0">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B240C0">
        <w:rPr>
          <w:rFonts w:asciiTheme="minorHAnsi" w:hAnsiTheme="minorHAnsi" w:cstheme="minorHAnsi"/>
          <w:sz w:val="22"/>
          <w:szCs w:val="22"/>
        </w:rPr>
        <w:t>16</w:t>
      </w:r>
      <w:r w:rsidR="003D4C15" w:rsidRPr="00B240C0">
        <w:rPr>
          <w:rFonts w:asciiTheme="minorHAnsi" w:hAnsiTheme="minorHAnsi" w:cstheme="minorHAnsi"/>
          <w:sz w:val="22"/>
          <w:szCs w:val="22"/>
        </w:rPr>
        <w:t xml:space="preserve"> m. </w:t>
      </w:r>
      <w:r w:rsidR="0045102F" w:rsidRPr="00B240C0">
        <w:rPr>
          <w:rFonts w:asciiTheme="minorHAnsi" w:hAnsiTheme="minorHAnsi" w:cstheme="minorHAnsi"/>
          <w:sz w:val="22"/>
          <w:szCs w:val="22"/>
        </w:rPr>
        <w:t>rugsėjo 30</w:t>
      </w:r>
      <w:r w:rsidR="009E6C8D" w:rsidRPr="00B240C0">
        <w:rPr>
          <w:rFonts w:asciiTheme="minorHAnsi" w:hAnsiTheme="minorHAnsi" w:cstheme="minorHAnsi"/>
          <w:sz w:val="22"/>
          <w:szCs w:val="22"/>
        </w:rPr>
        <w:t> </w:t>
      </w:r>
      <w:r w:rsidR="00291483">
        <w:rPr>
          <w:rFonts w:asciiTheme="minorHAnsi" w:hAnsiTheme="minorHAnsi" w:cstheme="minorHAnsi"/>
          <w:sz w:val="22"/>
          <w:szCs w:val="22"/>
        </w:rPr>
        <w:t>d. nutarimu Nr. </w:t>
      </w:r>
      <w:r w:rsidR="003D4C15" w:rsidRPr="00B240C0">
        <w:rPr>
          <w:rFonts w:asciiTheme="minorHAnsi" w:hAnsiTheme="minorHAnsi" w:cstheme="minorHAnsi"/>
          <w:sz w:val="22"/>
          <w:szCs w:val="22"/>
        </w:rPr>
        <w:t>13P-</w:t>
      </w:r>
      <w:r w:rsidR="0045102F" w:rsidRPr="00B240C0">
        <w:rPr>
          <w:rFonts w:asciiTheme="minorHAnsi" w:hAnsiTheme="minorHAnsi" w:cstheme="minorHAnsi"/>
          <w:sz w:val="22"/>
          <w:szCs w:val="22"/>
        </w:rPr>
        <w:t>102</w:t>
      </w:r>
      <w:r w:rsidR="003D4C15" w:rsidRPr="00B240C0">
        <w:rPr>
          <w:rFonts w:asciiTheme="minorHAnsi" w:hAnsiTheme="minorHAnsi" w:cstheme="minorHAnsi"/>
          <w:sz w:val="22"/>
          <w:szCs w:val="22"/>
        </w:rPr>
        <w:t>-(7.1.2) patvirtintu Teismų procesinių sprendimų administracinėse bylose kategorijų klasifikatoriumi</w:t>
      </w:r>
      <w:r w:rsidR="0038475E">
        <w:rPr>
          <w:rFonts w:asciiTheme="minorHAnsi" w:hAnsiTheme="minorHAnsi" w:cstheme="minorHAnsi"/>
          <w:sz w:val="22"/>
          <w:szCs w:val="22"/>
        </w:rPr>
        <w:t xml:space="preserve"> (nuo 2019 m. vasario 1 d. galiojanti redakcija)</w:t>
      </w:r>
      <w:r w:rsidR="003D4C15" w:rsidRPr="00B240C0">
        <w:rPr>
          <w:rFonts w:asciiTheme="minorHAnsi" w:hAnsiTheme="minorHAnsi" w:cstheme="minorHAnsi"/>
          <w:sz w:val="22"/>
          <w:szCs w:val="22"/>
        </w:rPr>
        <w:t>.</w:t>
      </w:r>
      <w:bookmarkStart w:id="8" w:name="_Toc410389752"/>
      <w:bookmarkStart w:id="9" w:name="_Toc361146890"/>
      <w:bookmarkEnd w:id="7"/>
      <w:r w:rsidR="00CA65D3">
        <w:rPr>
          <w:rFonts w:asciiTheme="minorHAnsi" w:hAnsiTheme="minorHAnsi" w:cstheme="minorHAnsi"/>
          <w:sz w:val="22"/>
          <w:szCs w:val="22"/>
        </w:rPr>
        <w:t xml:space="preserve"> </w:t>
      </w:r>
    </w:p>
    <w:p w14:paraId="0B7A3761" w14:textId="77777777" w:rsidR="00716975" w:rsidRDefault="00716975" w:rsidP="00025BA1">
      <w:pPr>
        <w:jc w:val="both"/>
        <w:rPr>
          <w:rFonts w:asciiTheme="minorHAnsi" w:hAnsiTheme="minorHAnsi" w:cstheme="minorHAnsi"/>
          <w:sz w:val="22"/>
          <w:szCs w:val="22"/>
        </w:rPr>
      </w:pPr>
    </w:p>
    <w:p w14:paraId="6AAB4AE5" w14:textId="77777777" w:rsidR="0007050C" w:rsidRDefault="0007050C" w:rsidP="00025BA1">
      <w:pPr>
        <w:spacing w:before="240" w:after="240"/>
        <w:jc w:val="both"/>
        <w:rPr>
          <w:rFonts w:asciiTheme="minorHAnsi" w:hAnsiTheme="minorHAnsi" w:cstheme="minorHAnsi"/>
          <w:sz w:val="22"/>
          <w:szCs w:val="22"/>
        </w:rPr>
      </w:pPr>
      <w:r>
        <w:rPr>
          <w:rFonts w:asciiTheme="minorHAnsi" w:hAnsiTheme="minorHAnsi" w:cstheme="minorHAnsi"/>
          <w:sz w:val="22"/>
          <w:szCs w:val="22"/>
        </w:rPr>
        <w:br w:type="page"/>
      </w:r>
    </w:p>
    <w:p w14:paraId="4865180B" w14:textId="77777777" w:rsidR="00A84D45" w:rsidRPr="00B240C0" w:rsidRDefault="00A84D45" w:rsidP="00025BA1">
      <w:pPr>
        <w:pStyle w:val="Apzvalgai1"/>
        <w:rPr>
          <w:rFonts w:asciiTheme="minorHAnsi" w:hAnsiTheme="minorHAnsi" w:cstheme="minorHAnsi"/>
        </w:rPr>
      </w:pPr>
      <w:bookmarkStart w:id="10" w:name="_Toc519600852"/>
      <w:bookmarkStart w:id="11" w:name="_Toc9845470"/>
      <w:r w:rsidRPr="00B240C0">
        <w:rPr>
          <w:rFonts w:asciiTheme="minorHAnsi" w:hAnsiTheme="minorHAnsi" w:cstheme="minorHAnsi"/>
        </w:rPr>
        <w:lastRenderedPageBreak/>
        <w:t>I. Administracinės bylos, kylančios iš ginčų dėl teisės viešojo administravimo srityje</w:t>
      </w:r>
      <w:bookmarkEnd w:id="10"/>
      <w:bookmarkEnd w:id="11"/>
    </w:p>
    <w:p w14:paraId="69584A91" w14:textId="77777777" w:rsidR="00D70C5F" w:rsidRDefault="00D70C5F" w:rsidP="00025BA1">
      <w:pPr>
        <w:rPr>
          <w:rFonts w:asciiTheme="minorHAnsi" w:hAnsiTheme="minorHAnsi" w:cstheme="minorHAnsi"/>
          <w:b/>
          <w:bCs/>
          <w:sz w:val="22"/>
          <w:szCs w:val="22"/>
          <w:u w:val="single"/>
        </w:rPr>
      </w:pPr>
      <w:bookmarkStart w:id="12" w:name="_Toc462149990"/>
      <w:bookmarkStart w:id="13" w:name="_Toc462150004"/>
      <w:bookmarkStart w:id="14" w:name="_Toc462149971"/>
      <w:bookmarkStart w:id="15" w:name="_Toc462149972"/>
    </w:p>
    <w:p w14:paraId="7B317E14" w14:textId="77777777" w:rsidR="006E15AD" w:rsidRPr="00EC0D17" w:rsidRDefault="006E15AD" w:rsidP="00025BA1">
      <w:pPr>
        <w:pStyle w:val="Antrat1"/>
        <w:rPr>
          <w:rFonts w:asciiTheme="minorHAnsi" w:hAnsiTheme="minorHAnsi" w:cstheme="minorHAnsi"/>
        </w:rPr>
      </w:pPr>
      <w:bookmarkStart w:id="16" w:name="_Toc9845471"/>
      <w:bookmarkEnd w:id="12"/>
      <w:bookmarkEnd w:id="13"/>
      <w:bookmarkEnd w:id="14"/>
      <w:bookmarkEnd w:id="15"/>
      <w:r w:rsidRPr="00EC0D17">
        <w:rPr>
          <w:rFonts w:asciiTheme="minorHAnsi" w:hAnsiTheme="minorHAnsi" w:cstheme="minorHAnsi"/>
        </w:rPr>
        <w:t>5. Rinkimai, referendumai ir politinių partijų veikla</w:t>
      </w:r>
      <w:bookmarkStart w:id="17" w:name="_GoBack"/>
      <w:bookmarkEnd w:id="16"/>
      <w:bookmarkEnd w:id="17"/>
    </w:p>
    <w:p w14:paraId="1834ED6D" w14:textId="77777777" w:rsidR="008F345C" w:rsidRPr="008F345C" w:rsidRDefault="008F345C" w:rsidP="008F345C">
      <w:pPr>
        <w:ind w:firstLine="720"/>
        <w:rPr>
          <w:rFonts w:asciiTheme="minorHAnsi" w:hAnsiTheme="minorHAnsi" w:cstheme="minorHAnsi"/>
          <w:b/>
          <w:sz w:val="22"/>
          <w:szCs w:val="22"/>
          <w:u w:val="single"/>
        </w:rPr>
      </w:pPr>
      <w:r w:rsidRPr="008F345C">
        <w:rPr>
          <w:rFonts w:asciiTheme="minorHAnsi" w:hAnsiTheme="minorHAnsi" w:cstheme="minorHAnsi"/>
          <w:b/>
          <w:sz w:val="22"/>
          <w:szCs w:val="22"/>
          <w:u w:val="single"/>
        </w:rPr>
        <w:t>5.1. Seimo rinkimai</w:t>
      </w:r>
    </w:p>
    <w:p w14:paraId="418526DE" w14:textId="77777777" w:rsidR="008F345C" w:rsidRPr="008F345C" w:rsidRDefault="008F345C" w:rsidP="008F345C">
      <w:pPr>
        <w:ind w:firstLine="567"/>
        <w:jc w:val="both"/>
        <w:rPr>
          <w:rFonts w:asciiTheme="minorHAnsi" w:hAnsiTheme="minorHAnsi" w:cstheme="minorHAnsi"/>
          <w:sz w:val="22"/>
          <w:szCs w:val="22"/>
        </w:rPr>
      </w:pPr>
    </w:p>
    <w:p w14:paraId="2C30FC4D" w14:textId="77777777" w:rsidR="008F345C" w:rsidRPr="008F345C" w:rsidRDefault="008F345C" w:rsidP="004445E5">
      <w:pPr>
        <w:pStyle w:val="Antrat2"/>
      </w:pPr>
      <w:bookmarkStart w:id="18" w:name="_Toc9845472"/>
      <w:r w:rsidRPr="008F345C">
        <w:t>Dėl šiurkštaus rinkimų įstatymų pažeidimo – saugotinų dokumentų praradimo ar kitos veiklos, dėl kurios negalima nustatyti, ar kampanijos finansavimo ataskaita atitinka tikrovę</w:t>
      </w:r>
      <w:bookmarkEnd w:id="18"/>
      <w:r w:rsidRPr="008F345C">
        <w:t xml:space="preserve"> </w:t>
      </w:r>
    </w:p>
    <w:p w14:paraId="6E4BCDCB" w14:textId="77777777" w:rsidR="008F345C" w:rsidRPr="008F345C" w:rsidRDefault="008F345C" w:rsidP="008F345C">
      <w:pPr>
        <w:pStyle w:val="prastasiniatinklio"/>
        <w:spacing w:before="0" w:beforeAutospacing="0" w:after="0" w:afterAutospacing="0"/>
        <w:ind w:firstLine="567"/>
        <w:jc w:val="both"/>
        <w:rPr>
          <w:rFonts w:asciiTheme="minorHAnsi" w:hAnsiTheme="minorHAnsi" w:cstheme="minorHAnsi"/>
          <w:sz w:val="22"/>
          <w:szCs w:val="22"/>
          <w:lang w:val="lt-LT" w:eastAsia="lt-LT"/>
        </w:rPr>
      </w:pPr>
    </w:p>
    <w:p w14:paraId="6D22CAF2" w14:textId="12528077" w:rsidR="008F345C" w:rsidRPr="008F345C" w:rsidRDefault="008F345C" w:rsidP="008F345C">
      <w:pPr>
        <w:ind w:firstLine="567"/>
        <w:jc w:val="both"/>
        <w:rPr>
          <w:rFonts w:asciiTheme="minorHAnsi" w:hAnsiTheme="minorHAnsi" w:cstheme="minorHAnsi"/>
          <w:sz w:val="22"/>
          <w:szCs w:val="22"/>
        </w:rPr>
      </w:pPr>
      <w:r w:rsidRPr="008F345C">
        <w:rPr>
          <w:rFonts w:asciiTheme="minorHAnsi" w:hAnsiTheme="minorHAnsi" w:cstheme="minorHAnsi"/>
          <w:sz w:val="22"/>
          <w:szCs w:val="22"/>
        </w:rPr>
        <w:t xml:space="preserve">Apžvelgiamoje byloje kilo ginčas dėl Vyriausiosios rinkimų komisijos (toliau – Komisija) sprendimo, kuriuo Komisija neskyrė Lietuvos socialdemokratų partijai (toliau – ir Partija) </w:t>
      </w:r>
      <w:r w:rsidRPr="008F345C">
        <w:rPr>
          <w:rFonts w:asciiTheme="minorHAnsi" w:hAnsiTheme="minorHAnsi" w:cstheme="minorHAnsi"/>
          <w:color w:val="000000"/>
          <w:sz w:val="22"/>
          <w:szCs w:val="22"/>
          <w:lang w:bidi="lt-LT"/>
        </w:rPr>
        <w:t xml:space="preserve">valstybės biudžeto asignavimų vieną pusmetį </w:t>
      </w:r>
      <w:r w:rsidR="002316F2">
        <w:rPr>
          <w:rFonts w:asciiTheme="minorHAnsi" w:hAnsiTheme="minorHAnsi" w:cstheme="minorHAnsi"/>
          <w:color w:val="000000"/>
          <w:sz w:val="22"/>
          <w:szCs w:val="22"/>
          <w:lang w:bidi="lt-LT"/>
        </w:rPr>
        <w:t xml:space="preserve">ir </w:t>
      </w:r>
      <w:r w:rsidRPr="008F345C">
        <w:rPr>
          <w:rFonts w:asciiTheme="minorHAnsi" w:hAnsiTheme="minorHAnsi" w:cstheme="minorHAnsi"/>
          <w:color w:val="000000"/>
          <w:sz w:val="22"/>
          <w:szCs w:val="22"/>
          <w:lang w:bidi="lt-LT"/>
        </w:rPr>
        <w:t>grąži</w:t>
      </w:r>
      <w:r w:rsidR="002316F2">
        <w:rPr>
          <w:rFonts w:asciiTheme="minorHAnsi" w:hAnsiTheme="minorHAnsi" w:cstheme="minorHAnsi"/>
          <w:color w:val="000000"/>
          <w:sz w:val="22"/>
          <w:szCs w:val="22"/>
          <w:lang w:bidi="lt-LT"/>
        </w:rPr>
        <w:t>no</w:t>
      </w:r>
      <w:r w:rsidRPr="008F345C">
        <w:rPr>
          <w:rFonts w:asciiTheme="minorHAnsi" w:hAnsiTheme="minorHAnsi" w:cstheme="minorHAnsi"/>
          <w:color w:val="000000"/>
          <w:sz w:val="22"/>
          <w:szCs w:val="22"/>
          <w:lang w:bidi="lt-LT"/>
        </w:rPr>
        <w:t xml:space="preserve"> į valstybės biudžetą dalį asignavimų dėl šiurkštaus </w:t>
      </w:r>
      <w:r w:rsidRPr="008F345C">
        <w:rPr>
          <w:rFonts w:asciiTheme="minorHAnsi" w:hAnsiTheme="minorHAnsi" w:cstheme="minorHAnsi"/>
          <w:sz w:val="22"/>
          <w:szCs w:val="22"/>
        </w:rPr>
        <w:t xml:space="preserve">Politinių kampanijų finansavimo ir finansavimo kontrolės įstatymo (toliau </w:t>
      </w:r>
      <w:r w:rsidR="009950CE">
        <w:rPr>
          <w:rFonts w:asciiTheme="minorHAnsi" w:hAnsiTheme="minorHAnsi" w:cstheme="minorHAnsi"/>
          <w:sz w:val="22"/>
          <w:szCs w:val="22"/>
        </w:rPr>
        <w:t>–</w:t>
      </w:r>
      <w:r w:rsidRPr="008F345C">
        <w:rPr>
          <w:rFonts w:asciiTheme="minorHAnsi" w:hAnsiTheme="minorHAnsi" w:cstheme="minorHAnsi"/>
          <w:sz w:val="22"/>
          <w:szCs w:val="22"/>
        </w:rPr>
        <w:t xml:space="preserve"> Finansavimo įstatymas) pažeidimo. Komisija pripažino, kad Partija įvykdė šiurkštų Finansavimo įstatym</w:t>
      </w:r>
      <w:r w:rsidR="002316F2">
        <w:rPr>
          <w:rFonts w:asciiTheme="minorHAnsi" w:hAnsiTheme="minorHAnsi" w:cstheme="minorHAnsi"/>
          <w:sz w:val="22"/>
          <w:szCs w:val="22"/>
        </w:rPr>
        <w:t>o</w:t>
      </w:r>
      <w:r w:rsidRPr="008F345C">
        <w:rPr>
          <w:rFonts w:asciiTheme="minorHAnsi" w:hAnsiTheme="minorHAnsi" w:cstheme="minorHAnsi"/>
          <w:sz w:val="22"/>
          <w:szCs w:val="22"/>
        </w:rPr>
        <w:t xml:space="preserve"> pažeidimą šiais veiksmais: a) viršijusi 2016 m. Seimo rinkimų politinės kampanijos išlaidų limitą 20,59 proc. (6.1 p.) (toliau – ir 1 pažeidimas); b) nedeklaravusi 13,51 proc. limito politinės kampanijos išlaidų (6.2 p.) (toliau – ir 2 pažeidimas); c) politinės kampanijos finansavimo ataskaitoje nenurodydama 100 005,30 Eur išlaidų ir pateikusi žinomai klaidingus duomenis (6.3 p.) (toliau – ir 3 pažeidimas); d) pervedus lėšas kandidatams, kad išlaidos būtų apmokėtos iš jų sąskaitų ir, tikėtina, perrašius sutartis su tiekėjais, buvo atlikta veikla, dėl kurios negalima nustatyti, ar politinės kampanijos dalyvio politinės kampanijos finansavimo ataskaita atitinka tikrovę (6.4 p.) (toliau – ir 4 pažeidimas).</w:t>
      </w:r>
    </w:p>
    <w:p w14:paraId="6AD09CD3" w14:textId="6A58D825" w:rsidR="008F345C" w:rsidRPr="008F345C" w:rsidRDefault="008F345C" w:rsidP="008F345C">
      <w:pPr>
        <w:ind w:firstLine="567"/>
        <w:jc w:val="both"/>
        <w:rPr>
          <w:rFonts w:asciiTheme="minorHAnsi" w:hAnsiTheme="minorHAnsi" w:cstheme="minorHAnsi"/>
          <w:sz w:val="22"/>
          <w:szCs w:val="22"/>
        </w:rPr>
      </w:pPr>
      <w:r w:rsidRPr="008F345C">
        <w:rPr>
          <w:rFonts w:asciiTheme="minorHAnsi" w:hAnsiTheme="minorHAnsi" w:cstheme="minorHAnsi"/>
          <w:sz w:val="22"/>
          <w:szCs w:val="22"/>
        </w:rPr>
        <w:t xml:space="preserve">Išnagrinėjusi bylą teisėjų kolegija nustatė, kad </w:t>
      </w:r>
      <w:r w:rsidRPr="008F345C">
        <w:rPr>
          <w:rFonts w:asciiTheme="minorHAnsi" w:hAnsiTheme="minorHAnsi" w:cstheme="minorHAnsi"/>
          <w:color w:val="000000"/>
          <w:sz w:val="22"/>
          <w:szCs w:val="22"/>
        </w:rPr>
        <w:t xml:space="preserve">Komisija Sprendimo 6.4 punkte neturėjo pagrindo konstatuoti, kad Partija, finansuodama 2016 m. Seimo rinkimų politinę kampaniją, padarė šiurkštų Finansavimo įstatymo pažeidimą, numatytą šio įstatymo 23 straipsnio 1 dalies 8 punkte. Šį pažeidimą Komisija nustatė nurodžiusi, kad Partija pervedė lėšas </w:t>
      </w:r>
      <w:r w:rsidRPr="008F345C">
        <w:rPr>
          <w:rFonts w:asciiTheme="minorHAnsi" w:hAnsiTheme="minorHAnsi" w:cstheme="minorHAnsi"/>
          <w:sz w:val="22"/>
          <w:szCs w:val="22"/>
        </w:rPr>
        <w:t xml:space="preserve">kandidatams, kad išlaidos būtų apmokėtos iš jų sąskaitų ir galbūt perrašė sutartis su tiekėjais, buvo atlikta veikla, dėl kurios negalima nustatyti, ar politinės kampanijos dalyvio politinės kampanijos finansavimo ataskaita atitinka tikrovę. Komisija tai </w:t>
      </w:r>
      <w:r w:rsidR="002316F2">
        <w:rPr>
          <w:rFonts w:asciiTheme="minorHAnsi" w:hAnsiTheme="minorHAnsi" w:cstheme="minorHAnsi"/>
          <w:sz w:val="22"/>
          <w:szCs w:val="22"/>
        </w:rPr>
        <w:t xml:space="preserve">vertino </w:t>
      </w:r>
      <w:r w:rsidRPr="008F345C">
        <w:rPr>
          <w:rFonts w:asciiTheme="minorHAnsi" w:hAnsiTheme="minorHAnsi" w:cstheme="minorHAnsi"/>
          <w:sz w:val="22"/>
          <w:szCs w:val="22"/>
        </w:rPr>
        <w:t xml:space="preserve">kaip Partijos veiklą, dėl kurios negalima nustatyti, ar </w:t>
      </w:r>
      <w:bookmarkStart w:id="19" w:name="Buk_154"/>
      <w:r w:rsidRPr="008F345C">
        <w:rPr>
          <w:rFonts w:asciiTheme="minorHAnsi" w:hAnsiTheme="minorHAnsi" w:cstheme="minorHAnsi"/>
          <w:sz w:val="22"/>
          <w:szCs w:val="22"/>
        </w:rPr>
        <w:t xml:space="preserve">Partijos Komisijai </w:t>
      </w:r>
      <w:bookmarkEnd w:id="19"/>
      <w:r w:rsidRPr="008F345C">
        <w:rPr>
          <w:rFonts w:asciiTheme="minorHAnsi" w:hAnsiTheme="minorHAnsi" w:cstheme="minorHAnsi"/>
          <w:color w:val="000000"/>
          <w:sz w:val="22"/>
          <w:szCs w:val="22"/>
        </w:rPr>
        <w:t>pateikta 2016 m. Seimo rinkimų politinės kampanijos finansavimo ataskaita</w:t>
      </w:r>
      <w:r w:rsidRPr="008F345C">
        <w:rPr>
          <w:rFonts w:asciiTheme="minorHAnsi" w:hAnsiTheme="minorHAnsi" w:cstheme="minorHAnsi"/>
          <w:sz w:val="22"/>
          <w:szCs w:val="22"/>
        </w:rPr>
        <w:t xml:space="preserve"> atitinka tikrovę.</w:t>
      </w:r>
    </w:p>
    <w:p w14:paraId="601D2EAE" w14:textId="2AEEFEF0" w:rsidR="008F345C" w:rsidRPr="008F345C" w:rsidRDefault="008F345C" w:rsidP="008F345C">
      <w:pPr>
        <w:ind w:firstLine="567"/>
        <w:jc w:val="both"/>
        <w:rPr>
          <w:rFonts w:asciiTheme="minorHAnsi" w:hAnsiTheme="minorHAnsi" w:cstheme="minorHAnsi"/>
          <w:color w:val="000000"/>
          <w:sz w:val="22"/>
          <w:szCs w:val="22"/>
        </w:rPr>
      </w:pPr>
      <w:r w:rsidRPr="008F345C">
        <w:rPr>
          <w:rFonts w:asciiTheme="minorHAnsi" w:hAnsiTheme="minorHAnsi" w:cstheme="minorHAnsi"/>
          <w:color w:val="000000"/>
          <w:sz w:val="22"/>
          <w:szCs w:val="22"/>
        </w:rPr>
        <w:t>Pagal Finansavimo įstatymo 23 straipsnio 1 dalies 8 punktą šiurkščiu šio įstatymo pažeidimu laikoma „saugotinų dokumentų praradimas, kita veikla, dėl kurios negalima nustatyti, ar politinės kampanijos dalyvio politinės kampanijos finansavimo ataskaita atitinka tikrovę“. Teisėjų kolegija pažymėjo, kad šiuo šiurkščiu Finansavimo įstatymo pažeidimu laikoma ne bet kokia politinės kampanijos dalyvio veikla, tačiau tokia, dėl kurios Komisija negali nustatyti, ar politinės kampanijos dalyvio politinės kampanijos finansavimo ataskaita atitinka tikrovę. Taigi nagrinėjamu atveju, siekdama konstatuoti, kad Partija padarė Finansavimo įstatymo 23</w:t>
      </w:r>
      <w:r w:rsidR="009950CE">
        <w:rPr>
          <w:rFonts w:asciiTheme="minorHAnsi" w:hAnsiTheme="minorHAnsi" w:cstheme="minorHAnsi"/>
          <w:color w:val="000000"/>
          <w:sz w:val="22"/>
          <w:szCs w:val="22"/>
        </w:rPr>
        <w:t> </w:t>
      </w:r>
      <w:r w:rsidRPr="008F345C">
        <w:rPr>
          <w:rFonts w:asciiTheme="minorHAnsi" w:hAnsiTheme="minorHAnsi" w:cstheme="minorHAnsi"/>
          <w:color w:val="000000"/>
          <w:sz w:val="22"/>
          <w:szCs w:val="22"/>
        </w:rPr>
        <w:t xml:space="preserve">straipsnio 1 dalies 8 punkte numatytą šiurkštų šio įstatymo pažeidimą, </w:t>
      </w:r>
      <w:r w:rsidRPr="008F345C">
        <w:rPr>
          <w:rFonts w:asciiTheme="minorHAnsi" w:hAnsiTheme="minorHAnsi" w:cstheme="minorHAnsi"/>
          <w:color w:val="000000"/>
          <w:sz w:val="22"/>
          <w:szCs w:val="22"/>
          <w:u w:val="single"/>
        </w:rPr>
        <w:t xml:space="preserve">Komisija privalėjo, be kita ko, nustatyti, kad dėl konkrečių Partijos veiksmų nėra galimybės nustatyti, ar </w:t>
      </w:r>
      <w:r w:rsidRPr="008F345C">
        <w:rPr>
          <w:rFonts w:asciiTheme="minorHAnsi" w:hAnsiTheme="minorHAnsi" w:cstheme="minorHAnsi"/>
          <w:sz w:val="22"/>
          <w:szCs w:val="22"/>
          <w:u w:val="single"/>
        </w:rPr>
        <w:t xml:space="preserve">Partijos Komisijai </w:t>
      </w:r>
      <w:r w:rsidRPr="008F345C">
        <w:rPr>
          <w:rFonts w:asciiTheme="minorHAnsi" w:hAnsiTheme="minorHAnsi" w:cstheme="minorHAnsi"/>
          <w:color w:val="000000"/>
          <w:sz w:val="22"/>
          <w:szCs w:val="22"/>
          <w:u w:val="single"/>
        </w:rPr>
        <w:t>pateikta 2016 m. Seimo rinkimų politinės kampanijos finansavimo ataskaita atitinka tikrovę</w:t>
      </w:r>
      <w:r w:rsidRPr="008F345C">
        <w:rPr>
          <w:rFonts w:asciiTheme="minorHAnsi" w:hAnsiTheme="minorHAnsi" w:cstheme="minorHAnsi"/>
          <w:color w:val="000000"/>
          <w:sz w:val="22"/>
          <w:szCs w:val="22"/>
        </w:rPr>
        <w:t>. Komisija to nenustatė ir dėl to nepagrįstai pripažino Partiją šiurkščiai pažeidus Finansavimo įstatymo 23 straipsnio 1 dalies 8 punktą, todėl šią Komisijos sprendimo dalį teisėjų kolegija pripažino neteisėta.</w:t>
      </w:r>
    </w:p>
    <w:p w14:paraId="5A94B5EE" w14:textId="16BEF8A5" w:rsidR="008F345C" w:rsidRPr="008F345C" w:rsidRDefault="008F345C" w:rsidP="008F345C">
      <w:pPr>
        <w:ind w:firstLine="567"/>
        <w:jc w:val="both"/>
        <w:rPr>
          <w:rFonts w:asciiTheme="minorHAnsi" w:hAnsiTheme="minorHAnsi" w:cstheme="minorHAnsi"/>
          <w:sz w:val="22"/>
          <w:szCs w:val="22"/>
        </w:rPr>
      </w:pPr>
      <w:r w:rsidRPr="008F345C">
        <w:rPr>
          <w:rFonts w:asciiTheme="minorHAnsi" w:hAnsiTheme="minorHAnsi" w:cstheme="minorHAnsi"/>
          <w:color w:val="000000"/>
          <w:sz w:val="22"/>
          <w:szCs w:val="22"/>
        </w:rPr>
        <w:t xml:space="preserve">Atsižvelgusi į tai, kad </w:t>
      </w:r>
      <w:r w:rsidRPr="008F345C">
        <w:rPr>
          <w:rFonts w:asciiTheme="minorHAnsi" w:hAnsiTheme="minorHAnsi" w:cstheme="minorHAnsi"/>
          <w:sz w:val="22"/>
          <w:szCs w:val="22"/>
        </w:rPr>
        <w:t xml:space="preserve">Komisija skundžiamame </w:t>
      </w:r>
      <w:r w:rsidR="009950CE">
        <w:rPr>
          <w:rFonts w:asciiTheme="minorHAnsi" w:hAnsiTheme="minorHAnsi" w:cstheme="minorHAnsi"/>
          <w:sz w:val="22"/>
          <w:szCs w:val="22"/>
        </w:rPr>
        <w:t>s</w:t>
      </w:r>
      <w:r w:rsidRPr="008F345C">
        <w:rPr>
          <w:rFonts w:asciiTheme="minorHAnsi" w:hAnsiTheme="minorHAnsi" w:cstheme="minorHAnsi"/>
          <w:sz w:val="22"/>
          <w:szCs w:val="22"/>
        </w:rPr>
        <w:t xml:space="preserve">prendime vieną iš keturių pažeidimų nepagrįstai pripažino šiurkščiu Finansavimo įstatymo pažeidimu ir kad ši aplinkybė turėjo įtakos Komisijai parenkant Sprendimu dėl dotacijų Partijai skirtą sankciją, ir nustatytų pažeidimų pobūdį bei mastą, vadovaudamasi teisingumo, protingumo kriterijais, teisėjų kolegija nusprendė, kad šiuo atveju buvo pagrindas sumažinti pareiškėjui skirtą sankciją nuo 504 853 Eur iki 400 000 Eur. Sprendimas dėl dotacijų pakeistas jo 1 ir 2 punktus išdėstant taip: „1. Neskirti Lietuvos socialdemokratų partijai dalies </w:t>
      </w:r>
      <w:r w:rsidRPr="008F345C">
        <w:rPr>
          <w:rFonts w:asciiTheme="minorHAnsi" w:hAnsiTheme="minorHAnsi" w:cstheme="minorHAnsi"/>
          <w:color w:val="000000"/>
          <w:sz w:val="22"/>
          <w:szCs w:val="22"/>
          <w:lang w:bidi="lt-LT"/>
        </w:rPr>
        <w:t>pagal Lietuvos socialdemokratų partijos gautus balsus (890 219) nustatyto 2018 m. antrojo pusmečio valstybės biudžeto asignavimų (t. y. 400 000 Eur)</w:t>
      </w:r>
      <w:r w:rsidRPr="008F345C">
        <w:rPr>
          <w:rFonts w:asciiTheme="minorHAnsi" w:hAnsiTheme="minorHAnsi" w:cstheme="minorHAnsi"/>
          <w:sz w:val="22"/>
          <w:szCs w:val="22"/>
        </w:rPr>
        <w:t>. 2. Grąžinti į valstybės biudžetą pagal Lietuvos socialdemokratų partijos gautus balsus (890 219) nustatytą 2018 m. antrojo pusmečio valstybės biudžeto asignavimų dalį (</w:t>
      </w:r>
      <w:r w:rsidRPr="008F345C">
        <w:rPr>
          <w:rFonts w:asciiTheme="minorHAnsi" w:hAnsiTheme="minorHAnsi" w:cstheme="minorHAnsi"/>
          <w:color w:val="000000"/>
          <w:sz w:val="22"/>
          <w:szCs w:val="22"/>
          <w:lang w:bidi="lt-LT"/>
        </w:rPr>
        <w:t>t. y. 400 000 Eur</w:t>
      </w:r>
      <w:r w:rsidRPr="008F345C">
        <w:rPr>
          <w:rFonts w:asciiTheme="minorHAnsi" w:hAnsiTheme="minorHAnsi" w:cstheme="minorHAnsi"/>
          <w:sz w:val="22"/>
          <w:szCs w:val="22"/>
        </w:rPr>
        <w:t>)“.</w:t>
      </w:r>
    </w:p>
    <w:p w14:paraId="16145ACF" w14:textId="77777777" w:rsidR="008F345C" w:rsidRPr="008F345C" w:rsidRDefault="008F345C" w:rsidP="008F345C">
      <w:pPr>
        <w:ind w:firstLine="567"/>
        <w:jc w:val="both"/>
        <w:rPr>
          <w:rFonts w:asciiTheme="minorHAnsi" w:hAnsiTheme="minorHAnsi" w:cstheme="minorHAnsi"/>
          <w:sz w:val="22"/>
          <w:szCs w:val="22"/>
        </w:rPr>
      </w:pPr>
    </w:p>
    <w:p w14:paraId="25EC6788" w14:textId="37A68200" w:rsidR="008F345C" w:rsidRPr="008F345C" w:rsidRDefault="008F345C" w:rsidP="008F345C">
      <w:pPr>
        <w:tabs>
          <w:tab w:val="left" w:pos="142"/>
        </w:tabs>
        <w:ind w:right="38"/>
        <w:jc w:val="both"/>
        <w:rPr>
          <w:rFonts w:asciiTheme="minorHAnsi" w:hAnsiTheme="minorHAnsi" w:cstheme="minorHAnsi"/>
          <w:sz w:val="22"/>
          <w:szCs w:val="22"/>
        </w:rPr>
      </w:pPr>
      <w:r w:rsidRPr="008F345C">
        <w:rPr>
          <w:rFonts w:asciiTheme="minorHAnsi" w:hAnsiTheme="minorHAnsi" w:cstheme="minorHAnsi"/>
          <w:bCs/>
          <w:sz w:val="22"/>
          <w:szCs w:val="22"/>
        </w:rPr>
        <w:t xml:space="preserve">2019 m. </w:t>
      </w:r>
      <w:r w:rsidRPr="008F345C">
        <w:rPr>
          <w:rFonts w:asciiTheme="minorHAnsi" w:hAnsiTheme="minorHAnsi" w:cstheme="minorHAnsi"/>
          <w:sz w:val="22"/>
          <w:szCs w:val="22"/>
        </w:rPr>
        <w:t xml:space="preserve">kovo 6 </w:t>
      </w:r>
      <w:r w:rsidRPr="008F345C">
        <w:rPr>
          <w:rFonts w:asciiTheme="minorHAnsi" w:hAnsiTheme="minorHAnsi" w:cstheme="minorHAnsi"/>
          <w:bCs/>
          <w:sz w:val="22"/>
          <w:szCs w:val="22"/>
        </w:rPr>
        <w:t xml:space="preserve">d. </w:t>
      </w:r>
      <w:r w:rsidR="009950CE">
        <w:rPr>
          <w:rFonts w:asciiTheme="minorHAnsi" w:hAnsiTheme="minorHAnsi" w:cstheme="minorHAnsi"/>
          <w:bCs/>
          <w:sz w:val="22"/>
          <w:szCs w:val="22"/>
        </w:rPr>
        <w:t>sprendimas</w:t>
      </w:r>
      <w:r w:rsidRPr="008F345C">
        <w:rPr>
          <w:rFonts w:asciiTheme="minorHAnsi" w:hAnsiTheme="minorHAnsi" w:cstheme="minorHAnsi"/>
          <w:bCs/>
          <w:sz w:val="22"/>
          <w:szCs w:val="22"/>
        </w:rPr>
        <w:t xml:space="preserve"> administracinėje byloje Nr. eR-1-968</w:t>
      </w:r>
      <w:r w:rsidRPr="008F345C">
        <w:rPr>
          <w:rFonts w:asciiTheme="minorHAnsi" w:hAnsiTheme="minorHAnsi" w:cstheme="minorHAnsi"/>
          <w:sz w:val="22"/>
          <w:szCs w:val="22"/>
        </w:rPr>
        <w:t>/2019</w:t>
      </w:r>
    </w:p>
    <w:p w14:paraId="794C85F3" w14:textId="77777777" w:rsidR="008F345C" w:rsidRPr="008F345C" w:rsidRDefault="008F345C" w:rsidP="008F345C">
      <w:pPr>
        <w:tabs>
          <w:tab w:val="left" w:pos="142"/>
        </w:tabs>
        <w:ind w:right="38"/>
        <w:jc w:val="both"/>
        <w:rPr>
          <w:rFonts w:asciiTheme="minorHAnsi" w:hAnsiTheme="minorHAnsi" w:cstheme="minorHAnsi"/>
          <w:sz w:val="22"/>
          <w:szCs w:val="22"/>
        </w:rPr>
      </w:pPr>
      <w:r w:rsidRPr="008F345C">
        <w:rPr>
          <w:rFonts w:asciiTheme="minorHAnsi" w:hAnsiTheme="minorHAnsi" w:cstheme="minorHAnsi"/>
          <w:sz w:val="22"/>
          <w:szCs w:val="22"/>
        </w:rPr>
        <w:t>Teisminio proceso Nr. 3-66-3-00047-2019-0</w:t>
      </w:r>
    </w:p>
    <w:p w14:paraId="07BBA84D" w14:textId="375599B9" w:rsidR="008F345C" w:rsidRPr="008F345C" w:rsidRDefault="008F345C" w:rsidP="008F345C">
      <w:pPr>
        <w:tabs>
          <w:tab w:val="left" w:pos="142"/>
        </w:tabs>
        <w:ind w:right="38"/>
        <w:jc w:val="both"/>
        <w:rPr>
          <w:rFonts w:asciiTheme="minorHAnsi" w:hAnsiTheme="minorHAnsi" w:cstheme="minorHAnsi"/>
          <w:bCs/>
          <w:sz w:val="22"/>
          <w:szCs w:val="22"/>
        </w:rPr>
      </w:pPr>
      <w:r w:rsidRPr="008F345C">
        <w:rPr>
          <w:rFonts w:asciiTheme="minorHAnsi" w:hAnsiTheme="minorHAnsi" w:cstheme="minorHAnsi"/>
          <w:bCs/>
          <w:sz w:val="22"/>
          <w:szCs w:val="22"/>
        </w:rPr>
        <w:t>Procesinio sprendimo kategorijos</w:t>
      </w:r>
      <w:r w:rsidR="009950CE">
        <w:rPr>
          <w:rFonts w:asciiTheme="minorHAnsi" w:hAnsiTheme="minorHAnsi" w:cstheme="minorHAnsi"/>
          <w:bCs/>
          <w:sz w:val="22"/>
          <w:szCs w:val="22"/>
        </w:rPr>
        <w:t>:</w:t>
      </w:r>
      <w:r w:rsidRPr="008F345C">
        <w:rPr>
          <w:rFonts w:asciiTheme="minorHAnsi" w:hAnsiTheme="minorHAnsi" w:cstheme="minorHAnsi"/>
          <w:bCs/>
          <w:sz w:val="22"/>
          <w:szCs w:val="22"/>
        </w:rPr>
        <w:t xml:space="preserve"> 5.1; 5.6; 5.7</w:t>
      </w:r>
    </w:p>
    <w:p w14:paraId="4534508A" w14:textId="77777777" w:rsidR="008F345C" w:rsidRPr="008F345C" w:rsidRDefault="00DC0A59" w:rsidP="008F345C">
      <w:pPr>
        <w:tabs>
          <w:tab w:val="left" w:pos="142"/>
        </w:tabs>
        <w:ind w:right="38"/>
        <w:jc w:val="both"/>
        <w:rPr>
          <w:rFonts w:asciiTheme="minorHAnsi" w:hAnsiTheme="minorHAnsi" w:cstheme="minorHAnsi"/>
          <w:sz w:val="22"/>
          <w:szCs w:val="22"/>
        </w:rPr>
      </w:pPr>
      <w:hyperlink r:id="rId9" w:history="1">
        <w:r w:rsidR="008F345C" w:rsidRPr="008F345C">
          <w:rPr>
            <w:rStyle w:val="Hipersaitas"/>
            <w:rFonts w:asciiTheme="minorHAnsi" w:hAnsiTheme="minorHAnsi" w:cstheme="minorHAnsi"/>
            <w:sz w:val="22"/>
            <w:szCs w:val="22"/>
          </w:rPr>
          <w:t>Prieiga internete</w:t>
        </w:r>
      </w:hyperlink>
    </w:p>
    <w:p w14:paraId="03028B50" w14:textId="77777777" w:rsidR="008F345C" w:rsidRPr="008F345C" w:rsidRDefault="008F345C" w:rsidP="008F345C">
      <w:pPr>
        <w:rPr>
          <w:rFonts w:asciiTheme="minorHAnsi" w:hAnsiTheme="minorHAnsi" w:cstheme="minorHAnsi"/>
          <w:sz w:val="22"/>
          <w:szCs w:val="22"/>
        </w:rPr>
      </w:pPr>
    </w:p>
    <w:p w14:paraId="628C52F6" w14:textId="77777777" w:rsidR="00B672BA" w:rsidRPr="00730837" w:rsidRDefault="00B672BA" w:rsidP="00025BA1">
      <w:pPr>
        <w:pStyle w:val="Antrat1"/>
        <w:rPr>
          <w:rFonts w:asciiTheme="minorHAnsi" w:eastAsiaTheme="minorEastAsia" w:hAnsiTheme="minorHAnsi" w:cstheme="minorHAnsi"/>
        </w:rPr>
      </w:pPr>
      <w:bookmarkStart w:id="20" w:name="_Toc774915"/>
      <w:bookmarkStart w:id="21" w:name="_Toc9845473"/>
      <w:r w:rsidRPr="00730837">
        <w:rPr>
          <w:rFonts w:asciiTheme="minorHAnsi" w:eastAsiaTheme="minorEastAsia" w:hAnsiTheme="minorHAnsi" w:cstheme="minorHAnsi"/>
        </w:rPr>
        <w:t>7. Socialinė apsauga</w:t>
      </w:r>
      <w:bookmarkEnd w:id="20"/>
      <w:bookmarkEnd w:id="21"/>
    </w:p>
    <w:p w14:paraId="3C57821B" w14:textId="77777777" w:rsidR="00013D25" w:rsidRPr="00013D25" w:rsidRDefault="00013D25" w:rsidP="00AB2C01">
      <w:pPr>
        <w:ind w:left="709" w:hanging="142"/>
        <w:rPr>
          <w:rFonts w:asciiTheme="minorHAnsi" w:eastAsiaTheme="minorEastAsia" w:hAnsiTheme="minorHAnsi" w:cstheme="minorHAnsi"/>
          <w:b/>
          <w:sz w:val="22"/>
          <w:szCs w:val="22"/>
          <w:u w:val="single"/>
        </w:rPr>
      </w:pPr>
      <w:r w:rsidRPr="00013D25">
        <w:rPr>
          <w:rFonts w:asciiTheme="minorHAnsi" w:eastAsiaTheme="minorEastAsia" w:hAnsiTheme="minorHAnsi" w:cstheme="minorHAnsi"/>
          <w:b/>
          <w:sz w:val="22"/>
          <w:szCs w:val="22"/>
          <w:u w:val="single"/>
        </w:rPr>
        <w:lastRenderedPageBreak/>
        <w:t>7.5. Valstybinės pensijos</w:t>
      </w:r>
    </w:p>
    <w:p w14:paraId="04271E61" w14:textId="77777777" w:rsidR="00013D25" w:rsidRPr="00013D25" w:rsidRDefault="00013D25" w:rsidP="00AB2C01">
      <w:pPr>
        <w:ind w:firstLine="1134"/>
        <w:rPr>
          <w:rFonts w:asciiTheme="minorHAnsi" w:eastAsiaTheme="minorEastAsia" w:hAnsiTheme="minorHAnsi" w:cstheme="minorHAnsi"/>
          <w:b/>
          <w:sz w:val="22"/>
          <w:szCs w:val="22"/>
          <w:u w:val="single"/>
        </w:rPr>
      </w:pPr>
      <w:r w:rsidRPr="00013D25">
        <w:rPr>
          <w:rFonts w:asciiTheme="minorHAnsi" w:eastAsiaTheme="minorEastAsia" w:hAnsiTheme="minorHAnsi" w:cstheme="minorHAnsi"/>
          <w:b/>
          <w:sz w:val="22"/>
          <w:szCs w:val="22"/>
          <w:u w:val="single"/>
        </w:rPr>
        <w:t>7.5.3. Pareigūnų ir karių valstybinės pensijos</w:t>
      </w:r>
    </w:p>
    <w:p w14:paraId="6BC5172C" w14:textId="77777777" w:rsidR="00013D25" w:rsidRDefault="00013D25" w:rsidP="00013D25"/>
    <w:p w14:paraId="0316EC13" w14:textId="77777777" w:rsidR="00CE35C0" w:rsidRPr="005F47C0" w:rsidRDefault="00CE35C0" w:rsidP="004445E5">
      <w:pPr>
        <w:pStyle w:val="Antrat2"/>
      </w:pPr>
      <w:bookmarkStart w:id="22" w:name="_Toc9845474"/>
      <w:r w:rsidRPr="005F47C0">
        <w:t xml:space="preserve">Dėl </w:t>
      </w:r>
      <w:r w:rsidR="00A81244">
        <w:t xml:space="preserve">kompensacijos </w:t>
      </w:r>
      <w:r w:rsidR="00050891">
        <w:t xml:space="preserve">skyrimo </w:t>
      </w:r>
      <w:r w:rsidR="00A81244">
        <w:t>dėl darbo kenksmingomis (ypatingomis) sąlygomis</w:t>
      </w:r>
      <w:bookmarkEnd w:id="22"/>
      <w:r w:rsidR="00A81244">
        <w:t xml:space="preserve"> </w:t>
      </w:r>
    </w:p>
    <w:p w14:paraId="216B3666" w14:textId="77777777" w:rsidR="00CE35C0" w:rsidRDefault="00CE35C0" w:rsidP="00CE35C0"/>
    <w:p w14:paraId="2912A1F4" w14:textId="77777777" w:rsidR="00AA189A" w:rsidRDefault="00CE35C0" w:rsidP="00AA189A">
      <w:pPr>
        <w:ind w:firstLine="567"/>
        <w:jc w:val="both"/>
        <w:rPr>
          <w:rFonts w:asciiTheme="minorHAnsi" w:eastAsiaTheme="minorEastAsia" w:hAnsiTheme="minorHAnsi" w:cstheme="minorHAnsi"/>
          <w:sz w:val="22"/>
        </w:rPr>
      </w:pPr>
      <w:r>
        <w:rPr>
          <w:rFonts w:asciiTheme="minorHAnsi" w:eastAsiaTheme="minorEastAsia" w:hAnsiTheme="minorHAnsi" w:cstheme="minorHAnsi"/>
          <w:sz w:val="22"/>
          <w:szCs w:val="22"/>
        </w:rPr>
        <w:t>Aptariamu atveju</w:t>
      </w:r>
      <w:r w:rsidRPr="00284E43">
        <w:rPr>
          <w:rFonts w:eastAsiaTheme="minorHAnsi"/>
          <w:lang w:eastAsia="en-US"/>
        </w:rPr>
        <w:t xml:space="preserve"> </w:t>
      </w:r>
      <w:r w:rsidRPr="00284E43">
        <w:rPr>
          <w:rFonts w:asciiTheme="minorHAnsi" w:eastAsiaTheme="minorEastAsia" w:hAnsiTheme="minorHAnsi" w:cstheme="minorHAnsi"/>
          <w:sz w:val="22"/>
        </w:rPr>
        <w:t>ginčas</w:t>
      </w:r>
      <w:r w:rsidR="00685897" w:rsidRPr="00685897">
        <w:rPr>
          <w:kern w:val="3"/>
          <w:lang w:eastAsia="en-US"/>
        </w:rPr>
        <w:t xml:space="preserve"> </w:t>
      </w:r>
      <w:r w:rsidR="00685897" w:rsidRPr="00685897">
        <w:rPr>
          <w:rFonts w:asciiTheme="minorHAnsi" w:eastAsiaTheme="minorEastAsia" w:hAnsiTheme="minorHAnsi" w:cstheme="minorHAnsi"/>
          <w:sz w:val="22"/>
        </w:rPr>
        <w:t xml:space="preserve">kilo dėl atsakovo Valstybinio socialinio draudimo fondo valdybos Panevėžio skyriaus sprendimo, kuriuo atsisakyta </w:t>
      </w:r>
      <w:bookmarkStart w:id="23" w:name="Buk_35"/>
      <w:r w:rsidR="00B11BA0">
        <w:rPr>
          <w:rFonts w:asciiTheme="minorHAnsi" w:eastAsiaTheme="minorEastAsia" w:hAnsiTheme="minorHAnsi" w:cstheme="minorHAnsi"/>
          <w:sz w:val="22"/>
        </w:rPr>
        <w:t>pareiškėjai</w:t>
      </w:r>
      <w:r w:rsidR="00685897" w:rsidRPr="00685897">
        <w:rPr>
          <w:rFonts w:asciiTheme="minorHAnsi" w:eastAsiaTheme="minorEastAsia" w:hAnsiTheme="minorHAnsi" w:cstheme="minorHAnsi"/>
          <w:sz w:val="22"/>
        </w:rPr>
        <w:t xml:space="preserve"> </w:t>
      </w:r>
      <w:bookmarkEnd w:id="23"/>
      <w:r w:rsidR="00685897" w:rsidRPr="00685897">
        <w:rPr>
          <w:rFonts w:asciiTheme="minorHAnsi" w:eastAsiaTheme="minorEastAsia" w:hAnsiTheme="minorHAnsi" w:cstheme="minorHAnsi"/>
          <w:sz w:val="22"/>
        </w:rPr>
        <w:t>skirti kompensaciją dėl darbo kenksmingomis (ypatingomis) sąlygomis, teisėtumo ir pagrįstumo.</w:t>
      </w:r>
    </w:p>
    <w:p w14:paraId="4ADBCF47" w14:textId="77777777" w:rsidR="00AA189A" w:rsidRDefault="00AA189A" w:rsidP="00AA189A">
      <w:pPr>
        <w:ind w:firstLine="567"/>
        <w:jc w:val="both"/>
        <w:rPr>
          <w:rFonts w:asciiTheme="minorHAnsi" w:eastAsiaTheme="minorEastAsia" w:hAnsiTheme="minorHAnsi" w:cstheme="minorHAnsi"/>
          <w:sz w:val="22"/>
        </w:rPr>
      </w:pPr>
      <w:r w:rsidRPr="00AA189A">
        <w:rPr>
          <w:rFonts w:asciiTheme="minorHAnsi" w:eastAsiaTheme="minorEastAsia" w:hAnsiTheme="minorHAnsi" w:cstheme="minorHAnsi"/>
          <w:sz w:val="22"/>
        </w:rPr>
        <w:t>Pirmosios instancijos teismas pareiškėjos skundą atmetė konstatavęs, kad pareiškėja neturėjo teisės į kompensaciją, numatytą Socialinio draudimo pensijų įstatymo (toliau – ir Pensijų įstatymas)</w:t>
      </w:r>
      <w:r w:rsidRPr="00023114">
        <w:rPr>
          <w:rFonts w:asciiTheme="minorHAnsi" w:eastAsiaTheme="minorEastAsia" w:hAnsiTheme="minorHAnsi" w:cstheme="minorHAnsi"/>
          <w:sz w:val="22"/>
        </w:rPr>
        <w:t xml:space="preserve"> </w:t>
      </w:r>
      <w:r w:rsidRPr="00AA189A">
        <w:rPr>
          <w:rFonts w:asciiTheme="minorHAnsi" w:eastAsiaTheme="minorEastAsia" w:hAnsiTheme="minorHAnsi" w:cstheme="minorHAnsi"/>
          <w:sz w:val="22"/>
        </w:rPr>
        <w:t>67 straipsnyje, nes nebuvo išdirbusi pakankamai laiko kenksmingomis sąlygomis.</w:t>
      </w:r>
    </w:p>
    <w:p w14:paraId="6DABB520" w14:textId="77777777" w:rsidR="00AA189A" w:rsidRDefault="00AA189A" w:rsidP="00AA189A">
      <w:pPr>
        <w:ind w:firstLine="567"/>
        <w:jc w:val="both"/>
        <w:rPr>
          <w:rFonts w:asciiTheme="minorHAnsi" w:eastAsiaTheme="minorEastAsia" w:hAnsiTheme="minorHAnsi" w:cstheme="minorHAnsi"/>
          <w:sz w:val="22"/>
        </w:rPr>
      </w:pPr>
      <w:r w:rsidRPr="00AA189A">
        <w:rPr>
          <w:rFonts w:asciiTheme="minorHAnsi" w:eastAsiaTheme="minorEastAsia" w:hAnsiTheme="minorHAnsi" w:cstheme="minorHAnsi"/>
          <w:sz w:val="22"/>
        </w:rPr>
        <w:t xml:space="preserve">Pareiškėja apeliaciniame </w:t>
      </w:r>
      <w:r>
        <w:rPr>
          <w:rFonts w:asciiTheme="minorHAnsi" w:eastAsiaTheme="minorEastAsia" w:hAnsiTheme="minorHAnsi" w:cstheme="minorHAnsi"/>
          <w:sz w:val="22"/>
        </w:rPr>
        <w:t>skunde laikė</w:t>
      </w:r>
      <w:r w:rsidRPr="00AA189A">
        <w:rPr>
          <w:rFonts w:asciiTheme="minorHAnsi" w:eastAsiaTheme="minorEastAsia" w:hAnsiTheme="minorHAnsi" w:cstheme="minorHAnsi"/>
          <w:sz w:val="22"/>
        </w:rPr>
        <w:t>si pozicijos, kad atsakovas priimdamas sprendimą nevertino, koks realiai buvo pareiškėjos atliekamo darbo pobūdis, sąlygos ir trukmė, o pirmosios instancijos teismas formaliai vertino pateiktus įrodymus, nepagrįstai neatsižvelgė į liudytojų parodymus dėl pareiškėjos darbo kenksmingo pobūdžio.</w:t>
      </w:r>
    </w:p>
    <w:p w14:paraId="6F5080C3" w14:textId="77777777" w:rsidR="00BE2148" w:rsidRDefault="00AA189A" w:rsidP="00BE2148">
      <w:pPr>
        <w:ind w:firstLine="567"/>
        <w:jc w:val="both"/>
        <w:rPr>
          <w:rFonts w:asciiTheme="minorHAnsi" w:eastAsiaTheme="minorEastAsia" w:hAnsiTheme="minorHAnsi" w:cstheme="minorHAnsi"/>
          <w:sz w:val="22"/>
        </w:rPr>
      </w:pPr>
      <w:r>
        <w:rPr>
          <w:rFonts w:asciiTheme="minorHAnsi" w:eastAsiaTheme="minorEastAsia" w:hAnsiTheme="minorHAnsi" w:cstheme="minorHAnsi"/>
          <w:sz w:val="22"/>
        </w:rPr>
        <w:t xml:space="preserve">Teisėjų kolegija </w:t>
      </w:r>
      <w:r w:rsidR="00816216">
        <w:rPr>
          <w:rFonts w:asciiTheme="minorHAnsi" w:eastAsiaTheme="minorEastAsia" w:hAnsiTheme="minorHAnsi" w:cstheme="minorHAnsi"/>
          <w:sz w:val="22"/>
        </w:rPr>
        <w:t>nurodė</w:t>
      </w:r>
      <w:r>
        <w:rPr>
          <w:rFonts w:asciiTheme="minorHAnsi" w:eastAsiaTheme="minorEastAsia" w:hAnsiTheme="minorHAnsi" w:cstheme="minorHAnsi"/>
          <w:sz w:val="22"/>
        </w:rPr>
        <w:t>, kad g</w:t>
      </w:r>
      <w:r w:rsidRPr="00AA189A">
        <w:rPr>
          <w:rFonts w:asciiTheme="minorHAnsi" w:eastAsiaTheme="minorEastAsia" w:hAnsiTheme="minorHAnsi" w:cstheme="minorHAnsi"/>
          <w:sz w:val="22"/>
        </w:rPr>
        <w:t xml:space="preserve">inčo teisinius santykius reglamentuoja Pensijų įstatymo </w:t>
      </w:r>
      <w:bookmarkStart w:id="24" w:name="idTP1_9000028"/>
      <w:bookmarkEnd w:id="24"/>
      <w:r w:rsidRPr="00AA189A">
        <w:rPr>
          <w:rFonts w:asciiTheme="minorHAnsi" w:eastAsiaTheme="minorEastAsia" w:hAnsiTheme="minorHAnsi" w:cstheme="minorHAnsi"/>
          <w:sz w:val="22"/>
        </w:rPr>
        <w:t>67</w:t>
      </w:r>
      <w:bookmarkStart w:id="25" w:name="pidTP1_9000028"/>
      <w:bookmarkStart w:id="26" w:name="pnTP1_9000028"/>
      <w:bookmarkEnd w:id="25"/>
      <w:bookmarkEnd w:id="26"/>
      <w:r>
        <w:rPr>
          <w:rFonts w:asciiTheme="minorHAnsi" w:eastAsiaTheme="minorEastAsia" w:hAnsiTheme="minorHAnsi" w:cstheme="minorHAnsi"/>
          <w:sz w:val="22"/>
        </w:rPr>
        <w:t xml:space="preserve"> straipsnio 2 </w:t>
      </w:r>
      <w:r w:rsidRPr="00AA189A">
        <w:rPr>
          <w:rFonts w:asciiTheme="minorHAnsi" w:eastAsiaTheme="minorEastAsia" w:hAnsiTheme="minorHAnsi" w:cstheme="minorHAnsi"/>
          <w:sz w:val="22"/>
        </w:rPr>
        <w:t xml:space="preserve">dalyje, Lietuvos Respublikos Vyriausybės 1995 m. vasario 20 d. nutarimu Nr. </w:t>
      </w:r>
      <w:bookmarkStart w:id="27" w:name="idTP1_9000030"/>
      <w:bookmarkEnd w:id="27"/>
      <w:r w:rsidRPr="00AA189A">
        <w:rPr>
          <w:rFonts w:asciiTheme="minorHAnsi" w:eastAsiaTheme="minorEastAsia" w:hAnsiTheme="minorHAnsi" w:cstheme="minorHAnsi"/>
          <w:sz w:val="22"/>
        </w:rPr>
        <w:t>267</w:t>
      </w:r>
      <w:bookmarkStart w:id="28" w:name="pidTP1_9000030"/>
      <w:bookmarkStart w:id="29" w:name="pnTP1_9000030"/>
      <w:bookmarkEnd w:id="28"/>
      <w:bookmarkEnd w:id="29"/>
      <w:r w:rsidRPr="00AA189A">
        <w:rPr>
          <w:rFonts w:asciiTheme="minorHAnsi" w:eastAsiaTheme="minorEastAsia" w:hAnsiTheme="minorHAnsi" w:cstheme="minorHAnsi"/>
          <w:sz w:val="22"/>
        </w:rPr>
        <w:t xml:space="preserve"> patvirtintame Kompensacijų už ypatingas darbo sąlygas apskaičiavimo ir išmokėjimo tvarkos aprašo </w:t>
      </w:r>
      <w:r>
        <w:rPr>
          <w:rFonts w:asciiTheme="minorHAnsi" w:eastAsiaTheme="minorEastAsia" w:hAnsiTheme="minorHAnsi" w:cstheme="minorHAnsi"/>
          <w:sz w:val="22"/>
        </w:rPr>
        <w:t>(toliau –</w:t>
      </w:r>
      <w:r w:rsidRPr="00AA189A">
        <w:rPr>
          <w:rFonts w:asciiTheme="minorHAnsi" w:eastAsiaTheme="minorEastAsia" w:hAnsiTheme="minorHAnsi" w:cstheme="minorHAnsi"/>
          <w:sz w:val="22"/>
        </w:rPr>
        <w:t xml:space="preserve"> Tvarkos aprašas) </w:t>
      </w:r>
      <w:r>
        <w:rPr>
          <w:rFonts w:asciiTheme="minorHAnsi" w:eastAsiaTheme="minorEastAsia" w:hAnsiTheme="minorHAnsi" w:cstheme="minorHAnsi"/>
          <w:sz w:val="22"/>
        </w:rPr>
        <w:t>6.1 ir 6.2 </w:t>
      </w:r>
      <w:r w:rsidRPr="00AA189A">
        <w:rPr>
          <w:rFonts w:asciiTheme="minorHAnsi" w:eastAsiaTheme="minorEastAsia" w:hAnsiTheme="minorHAnsi" w:cstheme="minorHAnsi"/>
          <w:sz w:val="22"/>
        </w:rPr>
        <w:t>punktuose įtvirtintos specialiosios teisės normos bei šiose normose blanketiniu būdu nurodyto</w:t>
      </w:r>
      <w:r w:rsidR="00256F1C">
        <w:rPr>
          <w:rFonts w:asciiTheme="minorHAnsi" w:eastAsiaTheme="minorEastAsia" w:hAnsiTheme="minorHAnsi" w:cstheme="minorHAnsi"/>
          <w:sz w:val="22"/>
        </w:rPr>
        <w:t>s</w:t>
      </w:r>
      <w:r w:rsidRPr="00AA189A">
        <w:rPr>
          <w:rFonts w:asciiTheme="minorHAnsi" w:eastAsiaTheme="minorEastAsia" w:hAnsiTheme="minorHAnsi" w:cstheme="minorHAnsi"/>
          <w:sz w:val="22"/>
        </w:rPr>
        <w:t xml:space="preserve"> buvusios TSRS Ministrų Tarybos 1956 m. rugpjūčio 22 d. nutarimu Nr. 1173 patvirtinto Gamybų, cechų, profesijų ir pareigų sąrašų Nr. 1 ir Nr. 2 nuostatos.</w:t>
      </w:r>
    </w:p>
    <w:p w14:paraId="7E68A7A8" w14:textId="77777777" w:rsidR="00816216" w:rsidRDefault="00AA189A" w:rsidP="00816216">
      <w:pPr>
        <w:ind w:firstLine="567"/>
        <w:jc w:val="both"/>
        <w:rPr>
          <w:rFonts w:asciiTheme="minorHAnsi" w:eastAsiaTheme="minorEastAsia" w:hAnsiTheme="minorHAnsi" w:cstheme="minorHAnsi"/>
          <w:sz w:val="22"/>
        </w:rPr>
      </w:pPr>
      <w:r w:rsidRPr="00AA189A">
        <w:rPr>
          <w:rFonts w:asciiTheme="minorHAnsi" w:eastAsiaTheme="minorEastAsia" w:hAnsiTheme="minorHAnsi" w:cstheme="minorHAnsi"/>
          <w:sz w:val="22"/>
        </w:rPr>
        <w:t xml:space="preserve">Teisėjų kolegija </w:t>
      </w:r>
      <w:r w:rsidR="00816216">
        <w:rPr>
          <w:rFonts w:asciiTheme="minorHAnsi" w:eastAsiaTheme="minorEastAsia" w:hAnsiTheme="minorHAnsi" w:cstheme="minorHAnsi"/>
          <w:sz w:val="22"/>
        </w:rPr>
        <w:t>padarė išvadą</w:t>
      </w:r>
      <w:r w:rsidRPr="00AA189A">
        <w:rPr>
          <w:rFonts w:asciiTheme="minorHAnsi" w:eastAsiaTheme="minorEastAsia" w:hAnsiTheme="minorHAnsi" w:cstheme="minorHAnsi"/>
          <w:sz w:val="22"/>
        </w:rPr>
        <w:t xml:space="preserve">, kad pirmosios instancijos teismas pernelyg formaliai vertino byloje esančius įrodymus dėl pareiškėjos atlikto darbo 1979 m. rugsėjo 21 d. </w:t>
      </w:r>
      <w:r w:rsidR="00816216">
        <w:rPr>
          <w:rFonts w:asciiTheme="minorHAnsi" w:eastAsiaTheme="minorEastAsia" w:hAnsiTheme="minorHAnsi" w:cstheme="minorHAnsi"/>
          <w:sz w:val="22"/>
        </w:rPr>
        <w:t>–</w:t>
      </w:r>
      <w:r w:rsidRPr="00AA189A">
        <w:rPr>
          <w:rFonts w:asciiTheme="minorHAnsi" w:eastAsiaTheme="minorEastAsia" w:hAnsiTheme="minorHAnsi" w:cstheme="minorHAnsi"/>
          <w:sz w:val="22"/>
        </w:rPr>
        <w:t xml:space="preserve"> 1986 m. rugpjūčio 16 d. laikotarpiu tiek, kiek neįvertino, kad pareiškėjos faktiškai dirbtas darbas pagal savo pobūdį ir sąlygas atitinka Sąraše Nr. 1 įvardintas pareigas. LVAT nuosekliai laikosi pozicijos, kad socialinės apsaugos srityje negali būti teik</w:t>
      </w:r>
      <w:r w:rsidR="00816216">
        <w:rPr>
          <w:rFonts w:asciiTheme="minorHAnsi" w:eastAsiaTheme="minorEastAsia" w:hAnsiTheme="minorHAnsi" w:cstheme="minorHAnsi"/>
          <w:sz w:val="22"/>
        </w:rPr>
        <w:t>iamas prioritetas teisės formai</w:t>
      </w:r>
      <w:r w:rsidRPr="00AA189A">
        <w:rPr>
          <w:rFonts w:asciiTheme="minorHAnsi" w:eastAsiaTheme="minorEastAsia" w:hAnsiTheme="minorHAnsi" w:cstheme="minorHAnsi"/>
          <w:sz w:val="22"/>
        </w:rPr>
        <w:t xml:space="preserve"> (pareigų pavadinimas Sąraše Nr. 1) neatsižvelgiant į teisės normos turinį, jos tikslą (faktiškai atlikto darbo pobūdį, sąlygas, kenksmingumą nusakančius požymius ir trukmę) ir tokiu būdu negali sutrukdyti asmeniui gauti kompensaciją už ypatingas darbo sąlygas (žr.</w:t>
      </w:r>
      <w:r w:rsidR="00816216">
        <w:rPr>
          <w:rFonts w:asciiTheme="minorHAnsi" w:eastAsiaTheme="minorEastAsia" w:hAnsiTheme="minorHAnsi" w:cstheme="minorHAnsi"/>
          <w:sz w:val="22"/>
        </w:rPr>
        <w:t>,</w:t>
      </w:r>
      <w:r w:rsidRPr="00AA189A">
        <w:rPr>
          <w:rFonts w:asciiTheme="minorHAnsi" w:eastAsiaTheme="minorEastAsia" w:hAnsiTheme="minorHAnsi" w:cstheme="minorHAnsi"/>
          <w:sz w:val="22"/>
        </w:rPr>
        <w:t xml:space="preserve"> pvz.</w:t>
      </w:r>
      <w:r w:rsidR="00816216">
        <w:rPr>
          <w:rFonts w:asciiTheme="minorHAnsi" w:eastAsiaTheme="minorEastAsia" w:hAnsiTheme="minorHAnsi" w:cstheme="minorHAnsi"/>
          <w:sz w:val="22"/>
        </w:rPr>
        <w:t>,</w:t>
      </w:r>
      <w:r w:rsidRPr="00AA189A">
        <w:rPr>
          <w:rFonts w:asciiTheme="minorHAnsi" w:eastAsiaTheme="minorEastAsia" w:hAnsiTheme="minorHAnsi" w:cstheme="minorHAnsi"/>
          <w:sz w:val="22"/>
        </w:rPr>
        <w:t xml:space="preserve"> </w:t>
      </w:r>
      <w:r w:rsidR="00816216">
        <w:rPr>
          <w:rFonts w:asciiTheme="minorHAnsi" w:eastAsiaTheme="minorEastAsia" w:hAnsiTheme="minorHAnsi" w:cstheme="minorHAnsi"/>
          <w:sz w:val="22"/>
        </w:rPr>
        <w:t xml:space="preserve">LVAT </w:t>
      </w:r>
      <w:r w:rsidRPr="00AA189A">
        <w:rPr>
          <w:rFonts w:asciiTheme="minorHAnsi" w:eastAsiaTheme="minorEastAsia" w:hAnsiTheme="minorHAnsi" w:cstheme="minorHAnsi"/>
          <w:sz w:val="22"/>
        </w:rPr>
        <w:t xml:space="preserve">2015 m. balandžio 21 d. nutartį administracinėje byloje </w:t>
      </w:r>
      <w:bookmarkStart w:id="30" w:name="idTP1_90000022"/>
      <w:bookmarkEnd w:id="30"/>
      <w:r w:rsidRPr="00816216">
        <w:rPr>
          <w:rFonts w:asciiTheme="minorHAnsi" w:eastAsiaTheme="minorEastAsia" w:hAnsiTheme="minorHAnsi" w:cstheme="minorHAnsi"/>
          <w:sz w:val="22"/>
        </w:rPr>
        <w:t>A-1062-756/2015</w:t>
      </w:r>
      <w:bookmarkStart w:id="31" w:name="pidTP1_90000021"/>
      <w:bookmarkStart w:id="32" w:name="pnTP1_90000021"/>
      <w:bookmarkEnd w:id="31"/>
      <w:bookmarkEnd w:id="32"/>
      <w:r w:rsidR="00816216">
        <w:rPr>
          <w:rFonts w:asciiTheme="minorHAnsi" w:eastAsiaTheme="minorEastAsia" w:hAnsiTheme="minorHAnsi" w:cstheme="minorHAnsi"/>
          <w:sz w:val="22"/>
        </w:rPr>
        <w:t>)</w:t>
      </w:r>
      <w:r w:rsidRPr="00AA189A">
        <w:rPr>
          <w:rFonts w:asciiTheme="minorHAnsi" w:eastAsiaTheme="minorEastAsia" w:hAnsiTheme="minorHAnsi" w:cstheme="minorHAnsi"/>
          <w:sz w:val="22"/>
        </w:rPr>
        <w:t xml:space="preserve">. Taigi pirmosios instancijos teismas nepagrįstai nevertino visų byloje esančių įrodymų, nepakankamai motyvavo atsisakymą vertinti bankroto administratoriaus pateiktą pažymą ir neatsižvelgė į liudytojų parodymus dėl pareiškėjos darbo pobūdžio ir sąlygų minėtu laikotarpiu. </w:t>
      </w:r>
      <w:r w:rsidR="00816216">
        <w:rPr>
          <w:rFonts w:asciiTheme="minorHAnsi" w:eastAsiaTheme="minorEastAsia" w:hAnsiTheme="minorHAnsi" w:cstheme="minorHAnsi"/>
          <w:sz w:val="22"/>
        </w:rPr>
        <w:t>P</w:t>
      </w:r>
      <w:r w:rsidR="00816216" w:rsidRPr="00AA189A">
        <w:rPr>
          <w:rFonts w:asciiTheme="minorHAnsi" w:eastAsiaTheme="minorEastAsia" w:hAnsiTheme="minorHAnsi" w:cstheme="minorHAnsi"/>
          <w:sz w:val="22"/>
        </w:rPr>
        <w:t xml:space="preserve">areiškėjos darbas stiklo gaminių šlifuotoja ir graviruotoja </w:t>
      </w:r>
      <w:r w:rsidRPr="00AA189A">
        <w:rPr>
          <w:rFonts w:asciiTheme="minorHAnsi" w:eastAsiaTheme="minorEastAsia" w:hAnsiTheme="minorHAnsi" w:cstheme="minorHAnsi"/>
          <w:sz w:val="22"/>
        </w:rPr>
        <w:t>1</w:t>
      </w:r>
      <w:r w:rsidR="00816216">
        <w:rPr>
          <w:rFonts w:asciiTheme="minorHAnsi" w:eastAsiaTheme="minorEastAsia" w:hAnsiTheme="minorHAnsi" w:cstheme="minorHAnsi"/>
          <w:sz w:val="22"/>
        </w:rPr>
        <w:t>979 m. rugsėjo 21 d. –</w:t>
      </w:r>
      <w:r w:rsidRPr="00AA189A">
        <w:rPr>
          <w:rFonts w:asciiTheme="minorHAnsi" w:eastAsiaTheme="minorEastAsia" w:hAnsiTheme="minorHAnsi" w:cstheme="minorHAnsi"/>
          <w:sz w:val="22"/>
        </w:rPr>
        <w:t xml:space="preserve"> 1986 m. rugpjūčio 16 d. iš esmės atitiko Sąrašo Nr.</w:t>
      </w:r>
      <w:r w:rsidR="00AB2C01">
        <w:rPr>
          <w:rFonts w:asciiTheme="minorHAnsi" w:eastAsiaTheme="minorEastAsia" w:hAnsiTheme="minorHAnsi" w:cstheme="minorHAnsi"/>
          <w:sz w:val="22"/>
        </w:rPr>
        <w:t xml:space="preserve"> </w:t>
      </w:r>
      <w:r w:rsidRPr="00AA189A">
        <w:rPr>
          <w:rFonts w:asciiTheme="minorHAnsi" w:eastAsiaTheme="minorEastAsia" w:hAnsiTheme="minorHAnsi" w:cstheme="minorHAnsi"/>
          <w:sz w:val="22"/>
        </w:rPr>
        <w:t xml:space="preserve">1 XV skyriaus 1 punkte nurodytas išpūstų gaminių apdailininko pareigas, todėl šio darbo laikotarpis turėtų būti pripažintas suteikiančiu teisę į kompensaciją už ypatingas darbo sąlygas. </w:t>
      </w:r>
    </w:p>
    <w:p w14:paraId="0FF4CAC0" w14:textId="77777777" w:rsidR="00EB73CF" w:rsidRDefault="00816216" w:rsidP="00EB73CF">
      <w:pPr>
        <w:ind w:firstLine="567"/>
        <w:jc w:val="both"/>
        <w:rPr>
          <w:rFonts w:asciiTheme="minorHAnsi" w:eastAsiaTheme="minorEastAsia" w:hAnsiTheme="minorHAnsi" w:cstheme="minorHAnsi"/>
          <w:sz w:val="22"/>
        </w:rPr>
      </w:pPr>
      <w:r>
        <w:rPr>
          <w:rFonts w:asciiTheme="minorHAnsi" w:eastAsiaTheme="minorEastAsia" w:hAnsiTheme="minorHAnsi" w:cstheme="minorHAnsi"/>
          <w:sz w:val="22"/>
        </w:rPr>
        <w:t>P</w:t>
      </w:r>
      <w:r w:rsidR="00AA189A" w:rsidRPr="00AA189A">
        <w:rPr>
          <w:rFonts w:asciiTheme="minorHAnsi" w:eastAsiaTheme="minorEastAsia" w:hAnsiTheme="minorHAnsi" w:cstheme="minorHAnsi"/>
          <w:sz w:val="22"/>
        </w:rPr>
        <w:t>areiškėja taip pat tei</w:t>
      </w:r>
      <w:r>
        <w:rPr>
          <w:rFonts w:asciiTheme="minorHAnsi" w:eastAsiaTheme="minorEastAsia" w:hAnsiTheme="minorHAnsi" w:cstheme="minorHAnsi"/>
          <w:sz w:val="22"/>
        </w:rPr>
        <w:t>gė</w:t>
      </w:r>
      <w:r w:rsidR="00AA189A" w:rsidRPr="00AA189A">
        <w:rPr>
          <w:rFonts w:asciiTheme="minorHAnsi" w:eastAsiaTheme="minorEastAsia" w:hAnsiTheme="minorHAnsi" w:cstheme="minorHAnsi"/>
          <w:sz w:val="22"/>
        </w:rPr>
        <w:t xml:space="preserve">, kad jos bendrovėje užimtos elektroninės technikos detalių ir prietaisų kontrolierės pareigos 1986 m. rugsėjo 8 d. </w:t>
      </w:r>
      <w:r>
        <w:rPr>
          <w:rFonts w:asciiTheme="minorHAnsi" w:eastAsiaTheme="minorEastAsia" w:hAnsiTheme="minorHAnsi" w:cstheme="minorHAnsi"/>
          <w:sz w:val="22"/>
        </w:rPr>
        <w:t>–</w:t>
      </w:r>
      <w:r w:rsidR="00AA189A" w:rsidRPr="00AA189A">
        <w:rPr>
          <w:rFonts w:asciiTheme="minorHAnsi" w:eastAsiaTheme="minorEastAsia" w:hAnsiTheme="minorHAnsi" w:cstheme="minorHAnsi"/>
          <w:sz w:val="22"/>
        </w:rPr>
        <w:t xml:space="preserve"> 1987 m. spalio 1 d. ir 1992 m. spalio 1 d. </w:t>
      </w:r>
      <w:r>
        <w:rPr>
          <w:rFonts w:asciiTheme="minorHAnsi" w:eastAsiaTheme="minorEastAsia" w:hAnsiTheme="minorHAnsi" w:cstheme="minorHAnsi"/>
          <w:sz w:val="22"/>
        </w:rPr>
        <w:t>–</w:t>
      </w:r>
      <w:r w:rsidR="00AA189A" w:rsidRPr="00AA189A">
        <w:rPr>
          <w:rFonts w:asciiTheme="minorHAnsi" w:eastAsiaTheme="minorEastAsia" w:hAnsiTheme="minorHAnsi" w:cstheme="minorHAnsi"/>
          <w:sz w:val="22"/>
        </w:rPr>
        <w:t xml:space="preserve"> spalio 16 d. laikotarpiais iš esmės atitinka sąrašo Nr. 1 XIII skyriaus 2 punkto nuostatas, nes pareiškėja dirbo su švino raude ir atliko kontrolierės (brokuotojos) pareigas kineskopų surinkimo cechuose. </w:t>
      </w:r>
    </w:p>
    <w:p w14:paraId="3D12DED3" w14:textId="2542F903" w:rsidR="00AA189A" w:rsidRDefault="00EB73CF" w:rsidP="00BC2921">
      <w:pPr>
        <w:ind w:firstLine="567"/>
        <w:jc w:val="both"/>
        <w:rPr>
          <w:rFonts w:asciiTheme="minorHAnsi" w:eastAsiaTheme="minorEastAsia" w:hAnsiTheme="minorHAnsi" w:cstheme="minorHAnsi"/>
          <w:sz w:val="22"/>
        </w:rPr>
      </w:pPr>
      <w:r>
        <w:rPr>
          <w:rFonts w:asciiTheme="minorHAnsi" w:eastAsiaTheme="minorEastAsia" w:hAnsiTheme="minorHAnsi" w:cstheme="minorHAnsi"/>
          <w:sz w:val="22"/>
        </w:rPr>
        <w:t>Teisėjų kolegija pažymėjo</w:t>
      </w:r>
      <w:r w:rsidR="00AA189A" w:rsidRPr="00AA189A">
        <w:rPr>
          <w:rFonts w:asciiTheme="minorHAnsi" w:eastAsiaTheme="minorEastAsia" w:hAnsiTheme="minorHAnsi" w:cstheme="minorHAnsi"/>
          <w:sz w:val="22"/>
        </w:rPr>
        <w:t xml:space="preserve">, kad </w:t>
      </w:r>
      <w:r w:rsidR="00AA189A" w:rsidRPr="007C4AC7">
        <w:rPr>
          <w:rFonts w:asciiTheme="minorHAnsi" w:eastAsiaTheme="minorEastAsia" w:hAnsiTheme="minorHAnsi" w:cstheme="minorHAnsi"/>
          <w:sz w:val="22"/>
          <w:u w:val="single"/>
        </w:rPr>
        <w:t>dokumentų, kuriais teisme gali būti įrodinėjamas darbo ypatingomis sąlygomis pobūdis ir trukmė, sąrašas yra platus ir nebaigtinis</w:t>
      </w:r>
      <w:r w:rsidR="00AA189A" w:rsidRPr="00AA189A">
        <w:rPr>
          <w:rFonts w:asciiTheme="minorHAnsi" w:eastAsiaTheme="minorEastAsia" w:hAnsiTheme="minorHAnsi" w:cstheme="minorHAnsi"/>
          <w:sz w:val="22"/>
        </w:rPr>
        <w:t xml:space="preserve">, todėl pirmosios instancijos teismas turėjo atsižvelgti ir įvertinti visus šiose nuostatose įvardintus (ir pareiškėjos pateiktus) dokumentus bei liudytojų parodymus. Be to, turėjo būti atsižvelgta ir į pareiškėjos asmens byloje buvusius įrašus ir dokumentus dėl ilgesnės atostogų trukmės, periodinius sveikatos tikrinimus bei į tai, kad ginčui aktualiu laikotarpiu pareiškėja gaudavo pieno produktus. </w:t>
      </w:r>
      <w:r>
        <w:rPr>
          <w:rFonts w:asciiTheme="minorHAnsi" w:eastAsiaTheme="minorEastAsia" w:hAnsiTheme="minorHAnsi" w:cstheme="minorHAnsi"/>
          <w:sz w:val="22"/>
        </w:rPr>
        <w:t>A</w:t>
      </w:r>
      <w:r w:rsidR="00AA189A" w:rsidRPr="00AA189A">
        <w:rPr>
          <w:rFonts w:asciiTheme="minorHAnsi" w:eastAsiaTheme="minorEastAsia" w:hAnsiTheme="minorHAnsi" w:cstheme="minorHAnsi"/>
          <w:sz w:val="22"/>
        </w:rPr>
        <w:t xml:space="preserve">dministracinių teismų praktikoje šios aplinkybės taip pat vertinamos kaip vienas iš įrodymų, patvirtinančių, jog asmuo dirbo kenksmingomis sąlygomis (žr., pvz., LVAT 2012 m. birželio 21 d. nutartį administracinėje byloje Nr. </w:t>
      </w:r>
      <w:bookmarkStart w:id="33" w:name="idTP1_9000033"/>
      <w:bookmarkEnd w:id="33"/>
      <w:r w:rsidR="00AA189A" w:rsidRPr="00EB73CF">
        <w:rPr>
          <w:rFonts w:asciiTheme="minorHAnsi" w:eastAsiaTheme="minorEastAsia" w:hAnsiTheme="minorHAnsi" w:cstheme="minorHAnsi"/>
          <w:sz w:val="22"/>
        </w:rPr>
        <w:t>A</w:t>
      </w:r>
      <w:r w:rsidR="00AA189A" w:rsidRPr="00EB73CF">
        <w:rPr>
          <w:rFonts w:asciiTheme="minorHAnsi" w:eastAsiaTheme="minorEastAsia" w:hAnsiTheme="minorHAnsi" w:cstheme="minorHAnsi"/>
          <w:sz w:val="22"/>
          <w:vertAlign w:val="superscript"/>
        </w:rPr>
        <w:t>552</w:t>
      </w:r>
      <w:r w:rsidR="00AA189A" w:rsidRPr="00EB73CF">
        <w:rPr>
          <w:rFonts w:asciiTheme="minorHAnsi" w:eastAsiaTheme="minorEastAsia" w:hAnsiTheme="minorHAnsi" w:cstheme="minorHAnsi"/>
          <w:sz w:val="22"/>
        </w:rPr>
        <w:t>-1996/2012</w:t>
      </w:r>
      <w:bookmarkStart w:id="34" w:name="pidTP1_9000033"/>
      <w:bookmarkStart w:id="35" w:name="pnTP1_9000033"/>
      <w:bookmarkEnd w:id="34"/>
      <w:bookmarkEnd w:id="35"/>
      <w:r>
        <w:rPr>
          <w:rFonts w:asciiTheme="minorHAnsi" w:eastAsiaTheme="minorEastAsia" w:hAnsiTheme="minorHAnsi" w:cstheme="minorHAnsi"/>
          <w:sz w:val="22"/>
        </w:rPr>
        <w:t>). Pažymėt</w:t>
      </w:r>
      <w:r w:rsidR="00AA189A" w:rsidRPr="00AA189A">
        <w:rPr>
          <w:rFonts w:asciiTheme="minorHAnsi" w:eastAsiaTheme="minorEastAsia" w:hAnsiTheme="minorHAnsi" w:cstheme="minorHAnsi"/>
          <w:sz w:val="22"/>
        </w:rPr>
        <w:t>a, kad Lietuvos Ta</w:t>
      </w:r>
      <w:r>
        <w:rPr>
          <w:rFonts w:asciiTheme="minorHAnsi" w:eastAsiaTheme="minorEastAsia" w:hAnsiTheme="minorHAnsi" w:cstheme="minorHAnsi"/>
          <w:sz w:val="22"/>
        </w:rPr>
        <w:t>rybų Socialistinės Respublikos d</w:t>
      </w:r>
      <w:r w:rsidR="00AA189A" w:rsidRPr="00AA189A">
        <w:rPr>
          <w:rFonts w:asciiTheme="minorHAnsi" w:eastAsiaTheme="minorEastAsia" w:hAnsiTheme="minorHAnsi" w:cstheme="minorHAnsi"/>
          <w:sz w:val="22"/>
        </w:rPr>
        <w:t>arbo įstatymų</w:t>
      </w:r>
      <w:r>
        <w:rPr>
          <w:rFonts w:asciiTheme="minorHAnsi" w:eastAsiaTheme="minorEastAsia" w:hAnsiTheme="minorHAnsi" w:cstheme="minorHAnsi"/>
          <w:sz w:val="22"/>
        </w:rPr>
        <w:t xml:space="preserve"> kodekso (Lietuvos Respublikos d</w:t>
      </w:r>
      <w:r w:rsidR="00AA189A" w:rsidRPr="00AA189A">
        <w:rPr>
          <w:rFonts w:asciiTheme="minorHAnsi" w:eastAsiaTheme="minorEastAsia" w:hAnsiTheme="minorHAnsi" w:cstheme="minorHAnsi"/>
          <w:sz w:val="22"/>
        </w:rPr>
        <w:t xml:space="preserve">arbo įstatymų kodekso), galiojusio 1973 m. sausio 1 d. </w:t>
      </w:r>
      <w:r>
        <w:rPr>
          <w:rFonts w:asciiTheme="minorHAnsi" w:eastAsiaTheme="minorEastAsia" w:hAnsiTheme="minorHAnsi" w:cstheme="minorHAnsi"/>
          <w:sz w:val="22"/>
        </w:rPr>
        <w:t>–</w:t>
      </w:r>
      <w:r w:rsidR="00AA189A" w:rsidRPr="00AA189A">
        <w:rPr>
          <w:rFonts w:asciiTheme="minorHAnsi" w:eastAsiaTheme="minorEastAsia" w:hAnsiTheme="minorHAnsi" w:cstheme="minorHAnsi"/>
          <w:sz w:val="22"/>
        </w:rPr>
        <w:t xml:space="preserve"> 2002 m. gruodžio 31 d. 181 straipsnyje numatytos priemonės kenksmingomis sąlygomis dirbantiems asmenims (pieno ir kito gydomojo maisto davimas), papildomos atostogos (78 st</w:t>
      </w:r>
      <w:r>
        <w:rPr>
          <w:rFonts w:asciiTheme="minorHAnsi" w:eastAsiaTheme="minorEastAsia" w:hAnsiTheme="minorHAnsi" w:cstheme="minorHAnsi"/>
          <w:sz w:val="22"/>
        </w:rPr>
        <w:t>r.</w:t>
      </w:r>
      <w:r w:rsidR="00AA189A" w:rsidRPr="00AA189A">
        <w:rPr>
          <w:rFonts w:asciiTheme="minorHAnsi" w:eastAsiaTheme="minorEastAsia" w:hAnsiTheme="minorHAnsi" w:cstheme="minorHAnsi"/>
          <w:sz w:val="22"/>
        </w:rPr>
        <w:t>), didesnis darbo apmokėjimas (94 str</w:t>
      </w:r>
      <w:r>
        <w:rPr>
          <w:rFonts w:asciiTheme="minorHAnsi" w:eastAsiaTheme="minorEastAsia" w:hAnsiTheme="minorHAnsi" w:cstheme="minorHAnsi"/>
          <w:sz w:val="22"/>
        </w:rPr>
        <w:t>.</w:t>
      </w:r>
      <w:r w:rsidR="00AA189A" w:rsidRPr="00AA189A">
        <w:rPr>
          <w:rFonts w:asciiTheme="minorHAnsi" w:eastAsiaTheme="minorEastAsia" w:hAnsiTheme="minorHAnsi" w:cstheme="minorHAnsi"/>
          <w:sz w:val="22"/>
        </w:rPr>
        <w:t xml:space="preserve">). Taigi, </w:t>
      </w:r>
      <w:r w:rsidR="00AA189A" w:rsidRPr="007C4AC7">
        <w:rPr>
          <w:rFonts w:asciiTheme="minorHAnsi" w:eastAsiaTheme="minorEastAsia" w:hAnsiTheme="minorHAnsi" w:cstheme="minorHAnsi"/>
          <w:sz w:val="22"/>
          <w:u w:val="single"/>
        </w:rPr>
        <w:t>nors teismas ir konstatavo, kad pareiškėja atliko darbą kenksmingomis sąlygomis, tačiau tai, kad jos pareigos neatitiko Sąrašo Nr. 1</w:t>
      </w:r>
      <w:r w:rsidR="00BC2921" w:rsidRPr="007C4AC7">
        <w:rPr>
          <w:rFonts w:asciiTheme="minorHAnsi" w:eastAsiaTheme="minorEastAsia" w:hAnsiTheme="minorHAnsi" w:cstheme="minorHAnsi"/>
          <w:sz w:val="22"/>
          <w:u w:val="single"/>
        </w:rPr>
        <w:t>,</w:t>
      </w:r>
      <w:r w:rsidR="00AA189A" w:rsidRPr="007C4AC7">
        <w:rPr>
          <w:rFonts w:asciiTheme="minorHAnsi" w:eastAsiaTheme="minorEastAsia" w:hAnsiTheme="minorHAnsi" w:cstheme="minorHAnsi"/>
          <w:sz w:val="22"/>
          <w:u w:val="single"/>
        </w:rPr>
        <w:t xml:space="preserve"> nepagrįstai konstatavo remdamasis gramatiniu pareigybės pavadinimu darbo knygelės įrašo pagrindu</w:t>
      </w:r>
      <w:r w:rsidR="00AA189A" w:rsidRPr="00AA189A">
        <w:rPr>
          <w:rFonts w:asciiTheme="minorHAnsi" w:eastAsiaTheme="minorEastAsia" w:hAnsiTheme="minorHAnsi" w:cstheme="minorHAnsi"/>
          <w:sz w:val="22"/>
        </w:rPr>
        <w:t>. Toks pirmosios instancijos teismo vertinimas pažeidžia asmenų lygiateisiškumo principą ta prasme, kad nevertinamas visų asmenų</w:t>
      </w:r>
      <w:r w:rsidR="00256F1C">
        <w:rPr>
          <w:rFonts w:asciiTheme="minorHAnsi" w:eastAsiaTheme="minorEastAsia" w:hAnsiTheme="minorHAnsi" w:cstheme="minorHAnsi"/>
          <w:sz w:val="22"/>
        </w:rPr>
        <w:t>,</w:t>
      </w:r>
      <w:r w:rsidR="00AA189A" w:rsidRPr="00AA189A">
        <w:rPr>
          <w:rFonts w:asciiTheme="minorHAnsi" w:eastAsiaTheme="minorEastAsia" w:hAnsiTheme="minorHAnsi" w:cstheme="minorHAnsi"/>
          <w:sz w:val="22"/>
        </w:rPr>
        <w:t xml:space="preserve"> dirbusių kenksmingomis sąlygomis su elektrotechnikos srityje su švino raude</w:t>
      </w:r>
      <w:r w:rsidR="00256F1C">
        <w:rPr>
          <w:rFonts w:asciiTheme="minorHAnsi" w:eastAsiaTheme="minorEastAsia" w:hAnsiTheme="minorHAnsi" w:cstheme="minorHAnsi"/>
          <w:sz w:val="22"/>
        </w:rPr>
        <w:t>,</w:t>
      </w:r>
      <w:r w:rsidR="00AA189A" w:rsidRPr="00AA189A">
        <w:rPr>
          <w:rFonts w:asciiTheme="minorHAnsi" w:eastAsiaTheme="minorEastAsia" w:hAnsiTheme="minorHAnsi" w:cstheme="minorHAnsi"/>
          <w:sz w:val="22"/>
        </w:rPr>
        <w:t xml:space="preserve"> darbo pobūdis, intensyvumas ir trukmė nepriklausomai nuo pareigybės įrašo asmens darbo knygelėje. </w:t>
      </w:r>
      <w:r w:rsidR="00BC2921">
        <w:rPr>
          <w:rFonts w:asciiTheme="minorHAnsi" w:eastAsiaTheme="minorEastAsia" w:hAnsiTheme="minorHAnsi" w:cstheme="minorHAnsi"/>
          <w:sz w:val="22"/>
        </w:rPr>
        <w:lastRenderedPageBreak/>
        <w:t>Atkreipt</w:t>
      </w:r>
      <w:r w:rsidR="00AA189A" w:rsidRPr="00AA189A">
        <w:rPr>
          <w:rFonts w:asciiTheme="minorHAnsi" w:eastAsiaTheme="minorEastAsia" w:hAnsiTheme="minorHAnsi" w:cstheme="minorHAnsi"/>
          <w:sz w:val="22"/>
        </w:rPr>
        <w:t>as dėmesys, kad pagal ginčo laikotarpiu galiojusio D</w:t>
      </w:r>
      <w:r w:rsidR="0026538B">
        <w:rPr>
          <w:rFonts w:asciiTheme="minorHAnsi" w:eastAsiaTheme="minorEastAsia" w:hAnsiTheme="minorHAnsi" w:cstheme="minorHAnsi"/>
          <w:sz w:val="22"/>
        </w:rPr>
        <w:t>K</w:t>
      </w:r>
      <w:r w:rsidR="00AA189A" w:rsidRPr="00AA189A">
        <w:rPr>
          <w:rFonts w:asciiTheme="minorHAnsi" w:eastAsiaTheme="minorEastAsia" w:hAnsiTheme="minorHAnsi" w:cstheme="minorHAnsi"/>
          <w:sz w:val="22"/>
        </w:rPr>
        <w:t xml:space="preserve"> 191 straipsnį moterims oficialiai buvo draudžiama dirbti kenksmingomis sąlygomis, todėl tikėtina, kad moterų, faktiškai dirbančių kenksmingomis sąlygomis darbo knygelėse įrašai neatspindėjo realios padėties.</w:t>
      </w:r>
      <w:r w:rsidR="00256F1C">
        <w:rPr>
          <w:rFonts w:asciiTheme="minorHAnsi" w:eastAsiaTheme="minorEastAsia" w:hAnsiTheme="minorHAnsi" w:cstheme="minorHAnsi"/>
          <w:sz w:val="22"/>
        </w:rPr>
        <w:t xml:space="preserve"> T</w:t>
      </w:r>
      <w:r w:rsidR="00AA189A" w:rsidRPr="00AA189A">
        <w:rPr>
          <w:rFonts w:asciiTheme="minorHAnsi" w:eastAsiaTheme="minorEastAsia" w:hAnsiTheme="minorHAnsi" w:cstheme="minorHAnsi"/>
          <w:sz w:val="22"/>
        </w:rPr>
        <w:t>eisėjų kolegija visas abejones vertin</w:t>
      </w:r>
      <w:r w:rsidR="00BC2921">
        <w:rPr>
          <w:rFonts w:asciiTheme="minorHAnsi" w:eastAsiaTheme="minorEastAsia" w:hAnsiTheme="minorHAnsi" w:cstheme="minorHAnsi"/>
          <w:sz w:val="22"/>
        </w:rPr>
        <w:t>o</w:t>
      </w:r>
      <w:r w:rsidR="00AA189A" w:rsidRPr="00AA189A">
        <w:rPr>
          <w:rFonts w:asciiTheme="minorHAnsi" w:eastAsiaTheme="minorEastAsia" w:hAnsiTheme="minorHAnsi" w:cstheme="minorHAnsi"/>
          <w:sz w:val="22"/>
        </w:rPr>
        <w:t xml:space="preserve"> pareiškėjos naudai ir pripaž</w:t>
      </w:r>
      <w:r w:rsidR="00BC2921">
        <w:rPr>
          <w:rFonts w:asciiTheme="minorHAnsi" w:eastAsiaTheme="minorEastAsia" w:hAnsiTheme="minorHAnsi" w:cstheme="minorHAnsi"/>
          <w:sz w:val="22"/>
        </w:rPr>
        <w:t>ino</w:t>
      </w:r>
      <w:r w:rsidR="00AA189A" w:rsidRPr="00AA189A">
        <w:rPr>
          <w:rFonts w:asciiTheme="minorHAnsi" w:eastAsiaTheme="minorEastAsia" w:hAnsiTheme="minorHAnsi" w:cstheme="minorHAnsi"/>
          <w:sz w:val="22"/>
        </w:rPr>
        <w:t>, kad 1986 m. spalio 20 d. – 1992 m. spalio 16 d. laikotarpiu ji dirbo darbą ypatingomis sąlygomis, atitinkantį S</w:t>
      </w:r>
      <w:r w:rsidR="0084316C">
        <w:rPr>
          <w:rFonts w:asciiTheme="minorHAnsi" w:eastAsiaTheme="minorEastAsia" w:hAnsiTheme="minorHAnsi" w:cstheme="minorHAnsi"/>
          <w:sz w:val="22"/>
        </w:rPr>
        <w:t>ą</w:t>
      </w:r>
      <w:r w:rsidR="00AA189A" w:rsidRPr="00AA189A">
        <w:rPr>
          <w:rFonts w:asciiTheme="minorHAnsi" w:eastAsiaTheme="minorEastAsia" w:hAnsiTheme="minorHAnsi" w:cstheme="minorHAnsi"/>
          <w:sz w:val="22"/>
        </w:rPr>
        <w:t>rašo Nr.</w:t>
      </w:r>
      <w:r w:rsidR="00AB2C01">
        <w:rPr>
          <w:rFonts w:asciiTheme="minorHAnsi" w:eastAsiaTheme="minorEastAsia" w:hAnsiTheme="minorHAnsi" w:cstheme="minorHAnsi"/>
          <w:sz w:val="22"/>
        </w:rPr>
        <w:t xml:space="preserve"> </w:t>
      </w:r>
      <w:r w:rsidR="00AA189A" w:rsidRPr="00AA189A">
        <w:rPr>
          <w:rFonts w:asciiTheme="minorHAnsi" w:eastAsiaTheme="minorEastAsia" w:hAnsiTheme="minorHAnsi" w:cstheme="minorHAnsi"/>
          <w:sz w:val="22"/>
        </w:rPr>
        <w:t>1 XIII skyriaus 2 punkte nurodytas pareigas.</w:t>
      </w:r>
    </w:p>
    <w:p w14:paraId="17FB0B8A" w14:textId="77777777" w:rsidR="00BC2921" w:rsidRPr="00AA189A" w:rsidRDefault="00BC2921" w:rsidP="00BC2921">
      <w:pPr>
        <w:ind w:firstLine="567"/>
        <w:jc w:val="both"/>
        <w:rPr>
          <w:rFonts w:asciiTheme="minorHAnsi" w:eastAsiaTheme="minorEastAsia" w:hAnsiTheme="minorHAnsi" w:cstheme="minorHAnsi"/>
          <w:sz w:val="22"/>
        </w:rPr>
      </w:pPr>
      <w:r>
        <w:rPr>
          <w:rFonts w:asciiTheme="minorHAnsi" w:eastAsiaTheme="minorEastAsia" w:hAnsiTheme="minorHAnsi" w:cstheme="minorHAnsi"/>
          <w:sz w:val="22"/>
        </w:rPr>
        <w:t>Pirmosios instancijos teismo sprendimas pakeistas ir pareiškėjos skundas tenkintas iš dalies.</w:t>
      </w:r>
    </w:p>
    <w:p w14:paraId="14F65A2B" w14:textId="77777777" w:rsidR="00CE35C0" w:rsidRDefault="00CE35C0" w:rsidP="00CE35C0">
      <w:pPr>
        <w:rPr>
          <w:rFonts w:asciiTheme="minorHAnsi" w:eastAsiaTheme="minorEastAsia" w:hAnsiTheme="minorHAnsi" w:cstheme="minorHAnsi"/>
          <w:sz w:val="22"/>
        </w:rPr>
      </w:pPr>
    </w:p>
    <w:p w14:paraId="49EDDD77" w14:textId="77777777" w:rsidR="00CE35C0" w:rsidRPr="005F47C0" w:rsidRDefault="00CE35C0" w:rsidP="00CE35C0">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2019 m. </w:t>
      </w:r>
      <w:r>
        <w:rPr>
          <w:rFonts w:asciiTheme="minorHAnsi" w:eastAsiaTheme="minorEastAsia" w:hAnsiTheme="minorHAnsi" w:cstheme="minorHAnsi"/>
          <w:sz w:val="22"/>
          <w:szCs w:val="22"/>
        </w:rPr>
        <w:t>kovo 6</w:t>
      </w:r>
      <w:r w:rsidRPr="005F47C0">
        <w:rPr>
          <w:rFonts w:asciiTheme="minorHAnsi" w:eastAsiaTheme="minorEastAsia" w:hAnsiTheme="minorHAnsi" w:cstheme="minorHAnsi"/>
          <w:sz w:val="22"/>
          <w:szCs w:val="22"/>
        </w:rPr>
        <w:t xml:space="preserve"> d. nutartis administracinėje byloje </w:t>
      </w:r>
      <w:r w:rsidRPr="00CE35C0">
        <w:rPr>
          <w:rFonts w:asciiTheme="minorHAnsi" w:eastAsiaTheme="minorEastAsia" w:hAnsiTheme="minorHAnsi" w:cstheme="minorHAnsi"/>
          <w:sz w:val="22"/>
          <w:szCs w:val="22"/>
        </w:rPr>
        <w:t>Nr. A-101-552/2019</w:t>
      </w:r>
    </w:p>
    <w:p w14:paraId="455600C3" w14:textId="77777777" w:rsidR="00CE35C0" w:rsidRPr="005F47C0" w:rsidRDefault="00CE35C0" w:rsidP="00CE35C0">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Teisminio proceso </w:t>
      </w:r>
      <w:r w:rsidRPr="00CE35C0">
        <w:rPr>
          <w:rFonts w:asciiTheme="minorHAnsi" w:eastAsiaTheme="minorEastAsia" w:hAnsiTheme="minorHAnsi" w:cstheme="minorHAnsi"/>
          <w:sz w:val="22"/>
          <w:szCs w:val="22"/>
        </w:rPr>
        <w:t xml:space="preserve">Nr. </w:t>
      </w:r>
      <w:r w:rsidRPr="00CE35C0">
        <w:rPr>
          <w:rFonts w:asciiTheme="minorHAnsi" w:eastAsiaTheme="minorEastAsia" w:hAnsiTheme="minorHAnsi" w:cstheme="minorHAnsi"/>
          <w:sz w:val="22"/>
          <w:szCs w:val="22"/>
          <w:lang w:bidi="lt-LT"/>
        </w:rPr>
        <w:t>3-65-3-00307-2016-6</w:t>
      </w:r>
    </w:p>
    <w:p w14:paraId="0F680D36" w14:textId="77777777" w:rsidR="00CE35C0" w:rsidRPr="005F47C0" w:rsidRDefault="00CE35C0" w:rsidP="00CE35C0">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Procesinio sprendimo </w:t>
      </w:r>
      <w:r w:rsidRPr="00B672BA">
        <w:rPr>
          <w:rFonts w:asciiTheme="minorHAnsi" w:eastAsiaTheme="minorEastAsia" w:hAnsiTheme="minorHAnsi" w:cstheme="minorHAnsi"/>
          <w:sz w:val="22"/>
          <w:szCs w:val="22"/>
        </w:rPr>
        <w:t xml:space="preserve">kategorija </w:t>
      </w:r>
      <w:r w:rsidRPr="00013D25">
        <w:rPr>
          <w:rFonts w:asciiTheme="minorHAnsi" w:eastAsiaTheme="minorEastAsia" w:hAnsiTheme="minorHAnsi" w:cstheme="minorHAnsi"/>
          <w:sz w:val="22"/>
          <w:szCs w:val="22"/>
        </w:rPr>
        <w:t>7.5.3</w:t>
      </w:r>
    </w:p>
    <w:p w14:paraId="25CF9853" w14:textId="77777777" w:rsidR="00CE35C0" w:rsidRDefault="00DC0A59" w:rsidP="00CE35C0">
      <w:pPr>
        <w:jc w:val="both"/>
        <w:rPr>
          <w:rFonts w:asciiTheme="minorHAnsi" w:eastAsiaTheme="minorEastAsia" w:hAnsiTheme="minorHAnsi" w:cstheme="minorHAnsi"/>
          <w:sz w:val="22"/>
          <w:szCs w:val="22"/>
        </w:rPr>
      </w:pPr>
      <w:hyperlink r:id="rId10" w:history="1">
        <w:r w:rsidR="00CE35C0" w:rsidRPr="00CE35C0">
          <w:rPr>
            <w:rStyle w:val="Hipersaitas"/>
            <w:rFonts w:asciiTheme="minorHAnsi" w:eastAsiaTheme="minorEastAsia" w:hAnsiTheme="minorHAnsi" w:cstheme="minorHAnsi"/>
            <w:sz w:val="22"/>
            <w:szCs w:val="22"/>
          </w:rPr>
          <w:t>Prieiga internete</w:t>
        </w:r>
      </w:hyperlink>
      <w:r w:rsidR="00CE35C0" w:rsidRPr="005F47C0">
        <w:rPr>
          <w:rFonts w:asciiTheme="minorHAnsi" w:eastAsiaTheme="minorEastAsia" w:hAnsiTheme="minorHAnsi" w:cstheme="minorHAnsi"/>
          <w:sz w:val="22"/>
          <w:szCs w:val="22"/>
        </w:rPr>
        <w:t xml:space="preserve"> </w:t>
      </w:r>
    </w:p>
    <w:p w14:paraId="28137B79" w14:textId="77777777" w:rsidR="00CE35C0" w:rsidRDefault="00CE35C0" w:rsidP="00CE35C0"/>
    <w:p w14:paraId="0E74AA33" w14:textId="77777777" w:rsidR="00013D25" w:rsidRPr="005F47C0" w:rsidRDefault="00013D25" w:rsidP="004445E5">
      <w:pPr>
        <w:pStyle w:val="Antrat2"/>
      </w:pPr>
      <w:bookmarkStart w:id="36" w:name="_Toc9845475"/>
      <w:r w:rsidRPr="005F47C0">
        <w:t xml:space="preserve">Dėl </w:t>
      </w:r>
      <w:r w:rsidR="000F32EB">
        <w:t>pareigūnų ir karių valstybinės</w:t>
      </w:r>
      <w:r>
        <w:t xml:space="preserve"> pensijos neskyrimo</w:t>
      </w:r>
      <w:r w:rsidR="0051527A">
        <w:t xml:space="preserve"> asmeniui,</w:t>
      </w:r>
      <w:r>
        <w:t xml:space="preserve"> </w:t>
      </w:r>
      <w:r w:rsidR="000F32EB">
        <w:t xml:space="preserve">iki 2016 m. sausio 1 d. </w:t>
      </w:r>
      <w:r>
        <w:t>neištarnavus</w:t>
      </w:r>
      <w:r w:rsidR="0051527A">
        <w:t>iam</w:t>
      </w:r>
      <w:r w:rsidR="000F32EB">
        <w:t xml:space="preserve"> atitinkamose tarnybose</w:t>
      </w:r>
      <w:r>
        <w:t xml:space="preserve"> 20 </w:t>
      </w:r>
      <w:r w:rsidR="000F32EB">
        <w:t xml:space="preserve">ir daugiau </w:t>
      </w:r>
      <w:r>
        <w:t>metų</w:t>
      </w:r>
      <w:bookmarkEnd w:id="36"/>
    </w:p>
    <w:p w14:paraId="2CB226D1" w14:textId="77777777" w:rsidR="00013D25" w:rsidRDefault="00013D25" w:rsidP="00013D25"/>
    <w:p w14:paraId="4987F3EC" w14:textId="77777777" w:rsidR="00284E43" w:rsidRPr="00284E43" w:rsidRDefault="00013D25" w:rsidP="00284E43">
      <w:pPr>
        <w:ind w:firstLine="567"/>
        <w:jc w:val="both"/>
        <w:rPr>
          <w:rFonts w:asciiTheme="minorHAnsi" w:eastAsiaTheme="minorEastAsia" w:hAnsiTheme="minorHAnsi" w:cstheme="minorHAnsi"/>
          <w:sz w:val="22"/>
        </w:rPr>
      </w:pPr>
      <w:r>
        <w:rPr>
          <w:rFonts w:asciiTheme="minorHAnsi" w:eastAsiaTheme="minorEastAsia" w:hAnsiTheme="minorHAnsi" w:cstheme="minorHAnsi"/>
          <w:sz w:val="22"/>
          <w:szCs w:val="22"/>
        </w:rPr>
        <w:t>Aptariamu atveju</w:t>
      </w:r>
      <w:r w:rsidR="00284E43" w:rsidRPr="00284E43">
        <w:rPr>
          <w:rFonts w:eastAsiaTheme="minorHAnsi"/>
          <w:lang w:eastAsia="en-US"/>
        </w:rPr>
        <w:t xml:space="preserve"> </w:t>
      </w:r>
      <w:r w:rsidR="00284E43" w:rsidRPr="00284E43">
        <w:rPr>
          <w:rFonts w:asciiTheme="minorHAnsi" w:eastAsiaTheme="minorEastAsia" w:hAnsiTheme="minorHAnsi" w:cstheme="minorHAnsi"/>
          <w:sz w:val="22"/>
        </w:rPr>
        <w:t>ginčas</w:t>
      </w:r>
      <w:r w:rsidR="00284E43">
        <w:rPr>
          <w:rFonts w:asciiTheme="minorHAnsi" w:eastAsiaTheme="minorEastAsia" w:hAnsiTheme="minorHAnsi" w:cstheme="minorHAnsi"/>
          <w:sz w:val="22"/>
        </w:rPr>
        <w:t>, be kita ko,</w:t>
      </w:r>
      <w:r w:rsidR="00284E43" w:rsidRPr="00284E43">
        <w:rPr>
          <w:rFonts w:asciiTheme="minorHAnsi" w:eastAsiaTheme="minorEastAsia" w:hAnsiTheme="minorHAnsi" w:cstheme="minorHAnsi"/>
          <w:sz w:val="22"/>
        </w:rPr>
        <w:t xml:space="preserve"> kilo dėl </w:t>
      </w:r>
      <w:bookmarkStart w:id="37" w:name="_Hlk1476770"/>
      <w:r w:rsidR="00284E43" w:rsidRPr="00284E43">
        <w:rPr>
          <w:rFonts w:asciiTheme="minorHAnsi" w:eastAsiaTheme="minorEastAsia" w:hAnsiTheme="minorHAnsi" w:cstheme="minorHAnsi"/>
          <w:sz w:val="22"/>
        </w:rPr>
        <w:t>Valstybinio socialinio draudimo fono valdybos Utenos skyriaus</w:t>
      </w:r>
      <w:r w:rsidR="003E16F4" w:rsidRPr="003E16F4">
        <w:rPr>
          <w:rFonts w:asciiTheme="minorHAnsi" w:eastAsiaTheme="minorEastAsia" w:hAnsiTheme="minorHAnsi" w:cstheme="minorHAnsi"/>
          <w:sz w:val="22"/>
          <w:szCs w:val="22"/>
        </w:rPr>
        <w:t xml:space="preserve"> </w:t>
      </w:r>
      <w:r w:rsidR="003E16F4">
        <w:rPr>
          <w:rFonts w:asciiTheme="minorHAnsi" w:eastAsiaTheme="minorEastAsia" w:hAnsiTheme="minorHAnsi" w:cstheme="minorHAnsi"/>
          <w:sz w:val="22"/>
        </w:rPr>
        <w:t>sprendimo, kuriuo</w:t>
      </w:r>
      <w:r w:rsidR="003E16F4" w:rsidRPr="003E16F4">
        <w:rPr>
          <w:rFonts w:asciiTheme="minorHAnsi" w:eastAsiaTheme="minorEastAsia" w:hAnsiTheme="minorHAnsi" w:cstheme="minorHAnsi"/>
          <w:sz w:val="22"/>
        </w:rPr>
        <w:t xml:space="preserve"> atsisak</w:t>
      </w:r>
      <w:r w:rsidR="003E16F4">
        <w:rPr>
          <w:rFonts w:asciiTheme="minorHAnsi" w:eastAsiaTheme="minorEastAsia" w:hAnsiTheme="minorHAnsi" w:cstheme="minorHAnsi"/>
          <w:sz w:val="22"/>
        </w:rPr>
        <w:t>yta</w:t>
      </w:r>
      <w:r w:rsidR="003E16F4" w:rsidRPr="003E16F4">
        <w:rPr>
          <w:rFonts w:asciiTheme="minorHAnsi" w:eastAsiaTheme="minorEastAsia" w:hAnsiTheme="minorHAnsi" w:cstheme="minorHAnsi"/>
          <w:sz w:val="22"/>
        </w:rPr>
        <w:t xml:space="preserve"> pareiškėjai skirti pareigūnų ir karių valstybinę pensiją už tarnybą</w:t>
      </w:r>
      <w:bookmarkEnd w:id="37"/>
      <w:r w:rsidR="00284E43" w:rsidRPr="00284E43">
        <w:rPr>
          <w:rFonts w:asciiTheme="minorHAnsi" w:eastAsiaTheme="minorEastAsia" w:hAnsiTheme="minorHAnsi" w:cstheme="minorHAnsi"/>
          <w:sz w:val="22"/>
        </w:rPr>
        <w:t>.</w:t>
      </w:r>
    </w:p>
    <w:p w14:paraId="7FA56FF5" w14:textId="77777777" w:rsidR="003E16F4" w:rsidRDefault="003E16F4" w:rsidP="003E16F4">
      <w:pPr>
        <w:ind w:firstLine="567"/>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Teisėjų kolegija nurodė, kad P</w:t>
      </w:r>
      <w:r w:rsidRPr="003E16F4">
        <w:rPr>
          <w:rFonts w:asciiTheme="minorHAnsi" w:eastAsiaTheme="minorEastAsia" w:hAnsiTheme="minorHAnsi" w:cstheme="minorHAnsi"/>
          <w:sz w:val="22"/>
          <w:szCs w:val="22"/>
        </w:rPr>
        <w:t>areigūnų ir karių valstybinių pensijų įstatymo (toliau – Pareigūnų pensijų įstatymas)</w:t>
      </w:r>
      <w:r>
        <w:rPr>
          <w:rFonts w:asciiTheme="minorHAnsi" w:eastAsiaTheme="minorEastAsia" w:hAnsiTheme="minorHAnsi" w:cstheme="minorHAnsi"/>
          <w:sz w:val="22"/>
          <w:szCs w:val="22"/>
        </w:rPr>
        <w:t xml:space="preserve"> </w:t>
      </w:r>
      <w:r w:rsidRPr="003E16F4">
        <w:rPr>
          <w:rFonts w:asciiTheme="minorHAnsi" w:eastAsiaTheme="minorEastAsia" w:hAnsiTheme="minorHAnsi" w:cstheme="minorHAnsi"/>
          <w:sz w:val="22"/>
          <w:szCs w:val="22"/>
        </w:rPr>
        <w:t>3 straipsnis nustato skirtingas valstybinių pensijų pareigūnams skyrimo sąlygas, priklausomai nuo pareigūnų tarnybos santykių pasibaigimo pagrindų.</w:t>
      </w:r>
      <w:r>
        <w:rPr>
          <w:rFonts w:asciiTheme="minorHAnsi" w:eastAsiaTheme="minorEastAsia" w:hAnsiTheme="minorHAnsi" w:cstheme="minorHAnsi"/>
          <w:sz w:val="22"/>
          <w:szCs w:val="22"/>
        </w:rPr>
        <w:t xml:space="preserve"> Nagrinėt</w:t>
      </w:r>
      <w:r w:rsidRPr="003E16F4">
        <w:rPr>
          <w:rFonts w:asciiTheme="minorHAnsi" w:eastAsiaTheme="minorEastAsia" w:hAnsiTheme="minorHAnsi" w:cstheme="minorHAnsi"/>
          <w:sz w:val="22"/>
          <w:szCs w:val="22"/>
        </w:rPr>
        <w:t>oje byloje nustatyta, kad pareiškėja iš tarnybos vidaus reikalų sistemoje buvo atleista dėl savo pačios kaltės.</w:t>
      </w:r>
    </w:p>
    <w:p w14:paraId="08C5184C" w14:textId="77777777" w:rsidR="003E16F4" w:rsidRDefault="003E16F4" w:rsidP="003E16F4">
      <w:pPr>
        <w:ind w:firstLine="567"/>
        <w:jc w:val="both"/>
        <w:rPr>
          <w:rFonts w:asciiTheme="minorHAnsi" w:eastAsiaTheme="minorEastAsia" w:hAnsiTheme="minorHAnsi" w:cstheme="minorHAnsi"/>
          <w:sz w:val="22"/>
          <w:szCs w:val="22"/>
        </w:rPr>
      </w:pPr>
      <w:r w:rsidRPr="003E16F4">
        <w:rPr>
          <w:rFonts w:asciiTheme="minorHAnsi" w:eastAsiaTheme="minorEastAsia" w:hAnsiTheme="minorHAnsi" w:cstheme="minorHAnsi"/>
          <w:sz w:val="22"/>
          <w:szCs w:val="22"/>
        </w:rPr>
        <w:t>Pareigūnų pensijų įstatymo 3 straipsnio 4 dalis nustato, kad pareigūnams ir kariams, kurie iki 2016 m. sausio 1 d. dėl pačių kaltės buvo pašalinti iš vidaus reikalų, valstybės saugumo, krašto apsaugos sistemų, Specialiųjų tyrimų tarnybos, Kalėjimų departamento ar jam pavaldžių įstaigų ir valstybės įmonių, muitinės sistemos (dirbusiems muitinės mobiliosiose grupėse ar muitinės postuose arba atlikusiems kriminalinę žvalgybą ir (arba) ikiteisminį tyrimą) ir kurie 2016 m. sausio 1 d. buvo ištarnavę vidaus reikalų, valstybės saugumo, krašto apsaugos sistemose, Specialiųjų tyrimų tarnyboje, Kalėjimų departamente ar jam pavaldžiose įstaigose ir valstybės įmonėse, muitinės sistemoje (dirbę muitinės mobiliosiose grupėse ar muitinės postuose arba atlikę kriminalinę žvalgybą ir (arba) ikiteisminį tyrimą) 20 ir daugiau metų, valstybinė pensija skiriama, kai po atleidimo iš tarnybos dienos yra praėję 3 metai arba kai jie yra sukakę įstatymų nustatytą išleidimo į atsargą amžių (jeigu toks amžius nenustatytas, – senatvės pensijos amžių).</w:t>
      </w:r>
    </w:p>
    <w:p w14:paraId="0C41CCB1" w14:textId="77777777" w:rsidR="003E16F4" w:rsidRDefault="003E16F4" w:rsidP="003E16F4">
      <w:pPr>
        <w:ind w:firstLine="567"/>
        <w:jc w:val="both"/>
        <w:rPr>
          <w:rFonts w:asciiTheme="minorHAnsi" w:eastAsiaTheme="minorEastAsia" w:hAnsiTheme="minorHAnsi" w:cstheme="minorHAnsi"/>
          <w:sz w:val="22"/>
          <w:szCs w:val="22"/>
        </w:rPr>
      </w:pPr>
      <w:r w:rsidRPr="003E16F4">
        <w:rPr>
          <w:rFonts w:asciiTheme="minorHAnsi" w:eastAsiaTheme="minorEastAsia" w:hAnsiTheme="minorHAnsi" w:cstheme="minorHAnsi"/>
          <w:sz w:val="22"/>
          <w:szCs w:val="22"/>
        </w:rPr>
        <w:t xml:space="preserve">Nurodytoje teisės normoje įtvirtinta eilė sąlygų, kurioms esant asmeniui paskiriama valstybinė pensija: 1) pareigūnas dėl savo paties kaltės </w:t>
      </w:r>
      <w:bookmarkStart w:id="38" w:name="_Hlk1641854"/>
      <w:r w:rsidRPr="003E16F4">
        <w:rPr>
          <w:rFonts w:asciiTheme="minorHAnsi" w:eastAsiaTheme="minorEastAsia" w:hAnsiTheme="minorHAnsi" w:cstheme="minorHAnsi"/>
          <w:sz w:val="22"/>
          <w:szCs w:val="22"/>
        </w:rPr>
        <w:t>pašalintas iš vidaus reikalų tarnybos iki 2016</w:t>
      </w:r>
      <w:r>
        <w:rPr>
          <w:rFonts w:asciiTheme="minorHAnsi" w:eastAsiaTheme="minorEastAsia" w:hAnsiTheme="minorHAnsi" w:cstheme="minorHAnsi"/>
          <w:sz w:val="22"/>
          <w:szCs w:val="22"/>
        </w:rPr>
        <w:t xml:space="preserve"> </w:t>
      </w:r>
      <w:r w:rsidRPr="003E16F4">
        <w:rPr>
          <w:rFonts w:asciiTheme="minorHAnsi" w:eastAsiaTheme="minorEastAsia" w:hAnsiTheme="minorHAnsi" w:cstheme="minorHAnsi"/>
          <w:sz w:val="22"/>
          <w:szCs w:val="22"/>
        </w:rPr>
        <w:t>m. sausio 1</w:t>
      </w:r>
      <w:r>
        <w:rPr>
          <w:rFonts w:asciiTheme="minorHAnsi" w:eastAsiaTheme="minorEastAsia" w:hAnsiTheme="minorHAnsi" w:cstheme="minorHAnsi"/>
          <w:sz w:val="22"/>
          <w:szCs w:val="22"/>
        </w:rPr>
        <w:t xml:space="preserve"> </w:t>
      </w:r>
      <w:r w:rsidRPr="003E16F4">
        <w:rPr>
          <w:rFonts w:asciiTheme="minorHAnsi" w:eastAsiaTheme="minorEastAsia" w:hAnsiTheme="minorHAnsi" w:cstheme="minorHAnsi"/>
          <w:sz w:val="22"/>
          <w:szCs w:val="22"/>
        </w:rPr>
        <w:t xml:space="preserve">d., </w:t>
      </w:r>
      <w:bookmarkEnd w:id="38"/>
      <w:r w:rsidRPr="003E16F4">
        <w:rPr>
          <w:rFonts w:asciiTheme="minorHAnsi" w:eastAsiaTheme="minorEastAsia" w:hAnsiTheme="minorHAnsi" w:cstheme="minorHAnsi"/>
          <w:sz w:val="22"/>
          <w:szCs w:val="22"/>
        </w:rPr>
        <w:t>2) pareigūnas iki 2016</w:t>
      </w:r>
      <w:r>
        <w:rPr>
          <w:rFonts w:asciiTheme="minorHAnsi" w:eastAsiaTheme="minorEastAsia" w:hAnsiTheme="minorHAnsi" w:cstheme="minorHAnsi"/>
          <w:sz w:val="22"/>
          <w:szCs w:val="22"/>
        </w:rPr>
        <w:t xml:space="preserve"> </w:t>
      </w:r>
      <w:r w:rsidRPr="003E16F4">
        <w:rPr>
          <w:rFonts w:asciiTheme="minorHAnsi" w:eastAsiaTheme="minorEastAsia" w:hAnsiTheme="minorHAnsi" w:cstheme="minorHAnsi"/>
          <w:sz w:val="22"/>
          <w:szCs w:val="22"/>
        </w:rPr>
        <w:t>m. sausio 1</w:t>
      </w:r>
      <w:r>
        <w:rPr>
          <w:rFonts w:asciiTheme="minorHAnsi" w:eastAsiaTheme="minorEastAsia" w:hAnsiTheme="minorHAnsi" w:cstheme="minorHAnsi"/>
          <w:sz w:val="22"/>
          <w:szCs w:val="22"/>
        </w:rPr>
        <w:t xml:space="preserve"> </w:t>
      </w:r>
      <w:r w:rsidRPr="003E16F4">
        <w:rPr>
          <w:rFonts w:asciiTheme="minorHAnsi" w:eastAsiaTheme="minorEastAsia" w:hAnsiTheme="minorHAnsi" w:cstheme="minorHAnsi"/>
          <w:sz w:val="22"/>
          <w:szCs w:val="22"/>
        </w:rPr>
        <w:t>d. turi būti ištarnavęs atitinkamose tarnybose 20 ir daugiau metų, 3) nuo atleidimo iš tarnybos turi būti praėję 3 metai arba asmuo yra sukakęs įstatymų nustatytą išleidimo į atsargą amžių (jeigu toks amžius nenustatytas, – senatvės pensijos amžių).</w:t>
      </w:r>
    </w:p>
    <w:p w14:paraId="535654CD" w14:textId="77777777" w:rsidR="003E16F4" w:rsidRDefault="003E16F4" w:rsidP="003E16F4">
      <w:pPr>
        <w:ind w:firstLine="567"/>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Įvertinus nagrinėt</w:t>
      </w:r>
      <w:r w:rsidRPr="003E16F4">
        <w:rPr>
          <w:rFonts w:asciiTheme="minorHAnsi" w:eastAsiaTheme="minorEastAsia" w:hAnsiTheme="minorHAnsi" w:cstheme="minorHAnsi"/>
          <w:sz w:val="22"/>
          <w:szCs w:val="22"/>
        </w:rPr>
        <w:t>oje byloje nustatytas</w:t>
      </w:r>
      <w:r>
        <w:rPr>
          <w:rFonts w:asciiTheme="minorHAnsi" w:eastAsiaTheme="minorEastAsia" w:hAnsiTheme="minorHAnsi" w:cstheme="minorHAnsi"/>
          <w:sz w:val="22"/>
          <w:szCs w:val="22"/>
        </w:rPr>
        <w:t xml:space="preserve"> faktines aplinkybes konstatuot</w:t>
      </w:r>
      <w:r w:rsidRPr="003E16F4">
        <w:rPr>
          <w:rFonts w:asciiTheme="minorHAnsi" w:eastAsiaTheme="minorEastAsia" w:hAnsiTheme="minorHAnsi" w:cstheme="minorHAnsi"/>
          <w:sz w:val="22"/>
          <w:szCs w:val="22"/>
        </w:rPr>
        <w:t>a, kad pareiškėja atitinka Pareigūnų pensijų įstatymo 3 straipsnio 4 dalyje numatytas pirmąją ir trečiąją sąlygas, t.</w:t>
      </w:r>
      <w:r>
        <w:rPr>
          <w:rFonts w:asciiTheme="minorHAnsi" w:eastAsiaTheme="minorEastAsia" w:hAnsiTheme="minorHAnsi" w:cstheme="minorHAnsi"/>
          <w:sz w:val="22"/>
          <w:szCs w:val="22"/>
        </w:rPr>
        <w:t xml:space="preserve"> </w:t>
      </w:r>
      <w:r w:rsidRPr="003E16F4">
        <w:rPr>
          <w:rFonts w:asciiTheme="minorHAnsi" w:eastAsiaTheme="minorEastAsia" w:hAnsiTheme="minorHAnsi" w:cstheme="minorHAnsi"/>
          <w:sz w:val="22"/>
          <w:szCs w:val="22"/>
        </w:rPr>
        <w:t>y. ji dėl savo pačios kaltės pašalinta iš vidaus reikalų tarnybos iki 2016</w:t>
      </w:r>
      <w:r>
        <w:rPr>
          <w:rFonts w:asciiTheme="minorHAnsi" w:eastAsiaTheme="minorEastAsia" w:hAnsiTheme="minorHAnsi" w:cstheme="minorHAnsi"/>
          <w:sz w:val="22"/>
          <w:szCs w:val="22"/>
        </w:rPr>
        <w:t xml:space="preserve"> </w:t>
      </w:r>
      <w:r w:rsidRPr="003E16F4">
        <w:rPr>
          <w:rFonts w:asciiTheme="minorHAnsi" w:eastAsiaTheme="minorEastAsia" w:hAnsiTheme="minorHAnsi" w:cstheme="minorHAnsi"/>
          <w:sz w:val="22"/>
          <w:szCs w:val="22"/>
        </w:rPr>
        <w:t>m. sausio 1</w:t>
      </w:r>
      <w:r>
        <w:rPr>
          <w:rFonts w:asciiTheme="minorHAnsi" w:eastAsiaTheme="minorEastAsia" w:hAnsiTheme="minorHAnsi" w:cstheme="minorHAnsi"/>
          <w:sz w:val="22"/>
          <w:szCs w:val="22"/>
        </w:rPr>
        <w:t xml:space="preserve"> </w:t>
      </w:r>
      <w:r w:rsidRPr="003E16F4">
        <w:rPr>
          <w:rFonts w:asciiTheme="minorHAnsi" w:eastAsiaTheme="minorEastAsia" w:hAnsiTheme="minorHAnsi" w:cstheme="minorHAnsi"/>
          <w:sz w:val="22"/>
          <w:szCs w:val="22"/>
        </w:rPr>
        <w:t>d., taip pat po pareiškėjos atleidimo iš tarnybos dienos yra praėję 3 metai. Tačiau nustaty</w:t>
      </w:r>
      <w:r>
        <w:rPr>
          <w:rFonts w:asciiTheme="minorHAnsi" w:eastAsiaTheme="minorEastAsia" w:hAnsiTheme="minorHAnsi" w:cstheme="minorHAnsi"/>
          <w:sz w:val="22"/>
          <w:szCs w:val="22"/>
        </w:rPr>
        <w:t>tos faktinės aplinkybės patvirtino</w:t>
      </w:r>
      <w:r w:rsidRPr="003E16F4">
        <w:rPr>
          <w:rFonts w:asciiTheme="minorHAnsi" w:eastAsiaTheme="minorEastAsia" w:hAnsiTheme="minorHAnsi" w:cstheme="minorHAnsi"/>
          <w:sz w:val="22"/>
          <w:szCs w:val="22"/>
        </w:rPr>
        <w:t xml:space="preserve">, kad </w:t>
      </w:r>
      <w:r w:rsidRPr="003E16F4">
        <w:rPr>
          <w:rFonts w:asciiTheme="minorHAnsi" w:eastAsiaTheme="minorEastAsia" w:hAnsiTheme="minorHAnsi" w:cstheme="minorHAnsi"/>
          <w:sz w:val="22"/>
          <w:szCs w:val="22"/>
          <w:u w:val="single"/>
        </w:rPr>
        <w:t>pareiškėja neatitinka Pareigūnų pensijų įstatymo 3 straipsnio 4 dalyje numatytos antrosios sąlygos, t. y. ji nėra iki 2016 m. sausio 1 d. ištarnavusi atitinkamose tarnybose 20 ir daugiau metų.</w:t>
      </w:r>
    </w:p>
    <w:p w14:paraId="320026A6" w14:textId="77777777" w:rsidR="003E16F4" w:rsidRPr="003E16F4" w:rsidRDefault="003E16F4" w:rsidP="003E16F4">
      <w:pPr>
        <w:ind w:firstLine="567"/>
        <w:jc w:val="both"/>
        <w:rPr>
          <w:rFonts w:asciiTheme="minorHAnsi" w:eastAsiaTheme="minorEastAsia" w:hAnsiTheme="minorHAnsi" w:cstheme="minorHAnsi"/>
          <w:sz w:val="22"/>
          <w:szCs w:val="22"/>
        </w:rPr>
      </w:pPr>
      <w:r w:rsidRPr="003E16F4">
        <w:rPr>
          <w:rFonts w:asciiTheme="minorHAnsi" w:eastAsiaTheme="minorEastAsia" w:hAnsiTheme="minorHAnsi" w:cstheme="minorHAnsi"/>
          <w:sz w:val="22"/>
          <w:szCs w:val="22"/>
        </w:rPr>
        <w:t>Kadangi pareiškėja neatiti</w:t>
      </w:r>
      <w:r>
        <w:rPr>
          <w:rFonts w:asciiTheme="minorHAnsi" w:eastAsiaTheme="minorEastAsia" w:hAnsiTheme="minorHAnsi" w:cstheme="minorHAnsi"/>
          <w:sz w:val="22"/>
          <w:szCs w:val="22"/>
        </w:rPr>
        <w:t xml:space="preserve">ko </w:t>
      </w:r>
      <w:r w:rsidRPr="003E16F4">
        <w:rPr>
          <w:rFonts w:asciiTheme="minorHAnsi" w:eastAsiaTheme="minorEastAsia" w:hAnsiTheme="minorHAnsi" w:cstheme="minorHAnsi"/>
          <w:sz w:val="22"/>
          <w:szCs w:val="22"/>
        </w:rPr>
        <w:t xml:space="preserve">Pareigūnų pensijų įstatymo 3 straipsnio 4 dalyje numatytų visų valstybinės pensijos skyrimo sąlygų, </w:t>
      </w:r>
      <w:r>
        <w:rPr>
          <w:rFonts w:asciiTheme="minorHAnsi" w:eastAsiaTheme="minorEastAsia" w:hAnsiTheme="minorHAnsi" w:cstheme="minorHAnsi"/>
          <w:sz w:val="22"/>
          <w:szCs w:val="22"/>
        </w:rPr>
        <w:t>konstatuot</w:t>
      </w:r>
      <w:r w:rsidRPr="003E16F4">
        <w:rPr>
          <w:rFonts w:asciiTheme="minorHAnsi" w:eastAsiaTheme="minorEastAsia" w:hAnsiTheme="minorHAnsi" w:cstheme="minorHAnsi"/>
          <w:sz w:val="22"/>
          <w:szCs w:val="22"/>
        </w:rPr>
        <w:t xml:space="preserve">a, kad atsakovas teisėtai ir pagrįstai </w:t>
      </w:r>
      <w:r>
        <w:rPr>
          <w:rFonts w:asciiTheme="minorHAnsi" w:eastAsiaTheme="minorEastAsia" w:hAnsiTheme="minorHAnsi" w:cstheme="minorHAnsi"/>
          <w:sz w:val="22"/>
          <w:szCs w:val="22"/>
        </w:rPr>
        <w:t>skundžiamu</w:t>
      </w:r>
      <w:r w:rsidRPr="003E16F4">
        <w:rPr>
          <w:rFonts w:asciiTheme="minorHAnsi" w:eastAsiaTheme="minorEastAsia" w:hAnsiTheme="minorHAnsi" w:cstheme="minorHAnsi"/>
          <w:sz w:val="22"/>
          <w:szCs w:val="22"/>
        </w:rPr>
        <w:t xml:space="preserve"> sprendimu atsisakė pareiškėjai skirti pareigūnų ir karių valstybinę pensiją už tarnybą.</w:t>
      </w:r>
    </w:p>
    <w:p w14:paraId="4AD7708A" w14:textId="77777777" w:rsidR="00013D25" w:rsidRDefault="00013D25" w:rsidP="00013D25">
      <w:pPr>
        <w:ind w:firstLine="567"/>
        <w:rPr>
          <w:rFonts w:asciiTheme="minorHAnsi" w:eastAsiaTheme="minorEastAsia" w:hAnsiTheme="minorHAnsi" w:cstheme="minorHAnsi"/>
          <w:sz w:val="22"/>
          <w:szCs w:val="22"/>
        </w:rPr>
      </w:pPr>
    </w:p>
    <w:p w14:paraId="46054DDA" w14:textId="77777777" w:rsidR="00013D25" w:rsidRPr="005F47C0" w:rsidRDefault="00013D25" w:rsidP="00013D25">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2019 m. </w:t>
      </w:r>
      <w:r>
        <w:rPr>
          <w:rFonts w:asciiTheme="minorHAnsi" w:eastAsiaTheme="minorEastAsia" w:hAnsiTheme="minorHAnsi" w:cstheme="minorHAnsi"/>
          <w:sz w:val="22"/>
          <w:szCs w:val="22"/>
        </w:rPr>
        <w:t>kovo 19</w:t>
      </w:r>
      <w:r w:rsidRPr="005F47C0">
        <w:rPr>
          <w:rFonts w:asciiTheme="minorHAnsi" w:eastAsiaTheme="minorEastAsia" w:hAnsiTheme="minorHAnsi" w:cstheme="minorHAnsi"/>
          <w:sz w:val="22"/>
          <w:szCs w:val="22"/>
        </w:rPr>
        <w:t xml:space="preserve"> d. nutartis administracinėje byloje </w:t>
      </w:r>
      <w:r w:rsidRPr="00013D25">
        <w:rPr>
          <w:rFonts w:asciiTheme="minorHAnsi" w:eastAsiaTheme="minorEastAsia" w:hAnsiTheme="minorHAnsi" w:cstheme="minorHAnsi"/>
          <w:sz w:val="22"/>
          <w:szCs w:val="22"/>
        </w:rPr>
        <w:t>Nr. A-210-525/2019</w:t>
      </w:r>
    </w:p>
    <w:p w14:paraId="5488775D" w14:textId="77777777" w:rsidR="00013D25" w:rsidRPr="005F47C0" w:rsidRDefault="00013D25" w:rsidP="00013D25">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Teisminio proceso </w:t>
      </w:r>
      <w:r w:rsidRPr="00013D25">
        <w:rPr>
          <w:rFonts w:asciiTheme="minorHAnsi" w:eastAsiaTheme="minorEastAsia" w:hAnsiTheme="minorHAnsi" w:cstheme="minorHAnsi"/>
          <w:sz w:val="22"/>
          <w:szCs w:val="22"/>
        </w:rPr>
        <w:t>Nr. 3-61-3-04804-2016-8</w:t>
      </w:r>
    </w:p>
    <w:p w14:paraId="12581C74" w14:textId="77777777" w:rsidR="00013D25" w:rsidRPr="005F47C0" w:rsidRDefault="00013D25" w:rsidP="00013D25">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Procesinio sprendimo </w:t>
      </w:r>
      <w:r w:rsidRPr="00B672BA">
        <w:rPr>
          <w:rFonts w:asciiTheme="minorHAnsi" w:eastAsiaTheme="minorEastAsia" w:hAnsiTheme="minorHAnsi" w:cstheme="minorHAnsi"/>
          <w:sz w:val="22"/>
          <w:szCs w:val="22"/>
        </w:rPr>
        <w:t xml:space="preserve">kategorija </w:t>
      </w:r>
      <w:r w:rsidRPr="00013D25">
        <w:rPr>
          <w:rFonts w:asciiTheme="minorHAnsi" w:eastAsiaTheme="minorEastAsia" w:hAnsiTheme="minorHAnsi" w:cstheme="minorHAnsi"/>
          <w:sz w:val="22"/>
          <w:szCs w:val="22"/>
        </w:rPr>
        <w:t>7.5.3</w:t>
      </w:r>
    </w:p>
    <w:p w14:paraId="594856AC" w14:textId="77777777" w:rsidR="00013D25" w:rsidRDefault="00DC0A59" w:rsidP="00013D25">
      <w:pPr>
        <w:jc w:val="both"/>
        <w:rPr>
          <w:rFonts w:asciiTheme="minorHAnsi" w:eastAsiaTheme="minorEastAsia" w:hAnsiTheme="minorHAnsi" w:cstheme="minorHAnsi"/>
          <w:sz w:val="22"/>
          <w:szCs w:val="22"/>
        </w:rPr>
      </w:pPr>
      <w:hyperlink r:id="rId11" w:history="1">
        <w:r w:rsidR="00013D25" w:rsidRPr="00013D25">
          <w:rPr>
            <w:rStyle w:val="Hipersaitas"/>
            <w:rFonts w:asciiTheme="minorHAnsi" w:eastAsiaTheme="minorEastAsia" w:hAnsiTheme="minorHAnsi" w:cstheme="minorHAnsi"/>
            <w:sz w:val="22"/>
            <w:szCs w:val="22"/>
          </w:rPr>
          <w:t>Prieiga internete</w:t>
        </w:r>
      </w:hyperlink>
      <w:r w:rsidR="00013D25" w:rsidRPr="005F47C0">
        <w:rPr>
          <w:rFonts w:asciiTheme="minorHAnsi" w:eastAsiaTheme="minorEastAsia" w:hAnsiTheme="minorHAnsi" w:cstheme="minorHAnsi"/>
          <w:sz w:val="22"/>
          <w:szCs w:val="22"/>
        </w:rPr>
        <w:t xml:space="preserve"> </w:t>
      </w:r>
    </w:p>
    <w:p w14:paraId="4731D7BB" w14:textId="77777777" w:rsidR="00013D25" w:rsidRDefault="00013D25" w:rsidP="00013D25">
      <w:pPr>
        <w:ind w:firstLine="567"/>
        <w:rPr>
          <w:rFonts w:asciiTheme="minorHAnsi" w:eastAsiaTheme="minorEastAsia" w:hAnsiTheme="minorHAnsi" w:cstheme="minorHAnsi"/>
          <w:b/>
          <w:sz w:val="22"/>
          <w:szCs w:val="22"/>
          <w:u w:val="single"/>
        </w:rPr>
      </w:pPr>
    </w:p>
    <w:p w14:paraId="45ADDDE9" w14:textId="77777777" w:rsidR="0042457A" w:rsidRPr="0042457A" w:rsidRDefault="0042457A" w:rsidP="0042457A">
      <w:pPr>
        <w:pStyle w:val="Antrat1"/>
        <w:rPr>
          <w:rFonts w:ascii="Calibri" w:hAnsi="Calibri"/>
        </w:rPr>
      </w:pPr>
      <w:bookmarkStart w:id="39" w:name="_Toc9845476"/>
      <w:bookmarkStart w:id="40" w:name="_Toc774916"/>
      <w:bookmarkStart w:id="41" w:name="_Hlk8029486"/>
      <w:r w:rsidRPr="0042457A">
        <w:rPr>
          <w:rFonts w:ascii="Calibri" w:hAnsi="Calibri"/>
        </w:rPr>
        <w:t>8. Užsieniečių teisinė padėtis</w:t>
      </w:r>
      <w:bookmarkEnd w:id="39"/>
    </w:p>
    <w:p w14:paraId="3A2705B1" w14:textId="77777777" w:rsidR="0042457A" w:rsidRPr="0042457A" w:rsidRDefault="0042457A" w:rsidP="0042457A">
      <w:pPr>
        <w:ind w:firstLine="720"/>
        <w:jc w:val="both"/>
        <w:rPr>
          <w:rFonts w:ascii="Calibri" w:hAnsi="Calibri"/>
          <w:b/>
          <w:sz w:val="22"/>
          <w:szCs w:val="22"/>
          <w:u w:val="single"/>
        </w:rPr>
      </w:pPr>
      <w:r w:rsidRPr="0042457A">
        <w:rPr>
          <w:rFonts w:ascii="Calibri" w:hAnsi="Calibri"/>
          <w:b/>
          <w:sz w:val="22"/>
          <w:szCs w:val="22"/>
          <w:u w:val="single"/>
        </w:rPr>
        <w:t>8.1. Užsieniečių atvykimas į Lietuvos Respubliką</w:t>
      </w:r>
    </w:p>
    <w:p w14:paraId="06122D2C" w14:textId="77777777" w:rsidR="0042457A" w:rsidRPr="0042457A" w:rsidRDefault="0042457A" w:rsidP="0042457A">
      <w:pPr>
        <w:ind w:firstLine="1440"/>
        <w:jc w:val="both"/>
        <w:rPr>
          <w:rFonts w:ascii="Calibri" w:hAnsi="Calibri"/>
          <w:b/>
          <w:sz w:val="22"/>
          <w:szCs w:val="22"/>
          <w:u w:val="single"/>
        </w:rPr>
      </w:pPr>
      <w:r w:rsidRPr="0042457A">
        <w:rPr>
          <w:rFonts w:ascii="Calibri" w:hAnsi="Calibri"/>
          <w:b/>
          <w:sz w:val="22"/>
          <w:szCs w:val="22"/>
          <w:u w:val="single"/>
        </w:rPr>
        <w:t>8.1.2. Vizos</w:t>
      </w:r>
    </w:p>
    <w:p w14:paraId="025BAA9C" w14:textId="77777777" w:rsidR="0042457A" w:rsidRPr="0042457A" w:rsidRDefault="0042457A" w:rsidP="0042457A">
      <w:pPr>
        <w:ind w:firstLine="567"/>
        <w:jc w:val="both"/>
        <w:rPr>
          <w:rFonts w:ascii="Calibri" w:hAnsi="Calibri"/>
          <w:sz w:val="22"/>
          <w:szCs w:val="22"/>
        </w:rPr>
      </w:pPr>
    </w:p>
    <w:p w14:paraId="11ACC9F0" w14:textId="77777777" w:rsidR="0042457A" w:rsidRPr="0042457A" w:rsidRDefault="0042457A" w:rsidP="004445E5">
      <w:pPr>
        <w:pStyle w:val="Antrat2"/>
        <w:rPr>
          <w:rFonts w:eastAsia="Times New Roman"/>
        </w:rPr>
      </w:pPr>
      <w:bookmarkStart w:id="42" w:name="_Toc9845477"/>
      <w:r w:rsidRPr="0042457A">
        <w:rPr>
          <w:rFonts w:eastAsia="Times New Roman"/>
        </w:rPr>
        <w:t>Dėl vizos išdavimo pagrindo pakeitimo viešojo administravimo subjekto iniciatyva</w:t>
      </w:r>
      <w:bookmarkEnd w:id="42"/>
      <w:r w:rsidRPr="0042457A">
        <w:rPr>
          <w:rFonts w:eastAsia="Times New Roman"/>
        </w:rPr>
        <w:t xml:space="preserve"> </w:t>
      </w:r>
    </w:p>
    <w:p w14:paraId="2CCBB68F" w14:textId="77777777" w:rsidR="0042457A" w:rsidRPr="0042457A" w:rsidRDefault="0042457A" w:rsidP="0042457A">
      <w:pPr>
        <w:ind w:firstLine="567"/>
        <w:jc w:val="both"/>
        <w:rPr>
          <w:rFonts w:ascii="Calibri" w:hAnsi="Calibri"/>
          <w:sz w:val="22"/>
          <w:szCs w:val="22"/>
        </w:rPr>
      </w:pPr>
    </w:p>
    <w:p w14:paraId="1E276989"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Byloje buvo vertinamas pirmosios instancijos teismo sprendimo, kuriuo pareiškėjų skundas tenkintas ir Migracijos departamento prie Lietuvos Respublikos vidaus reikalų ministerijos (toliau – Departamentas) sprendimas „Dėl nacionalinių vizų išdavimo“ panaikintas bei Departamentas įpareigotas iš naujo išnagrinėti pareiškėjų prašymą bei priimti naują sprendimą, teisėtumas ir pagrįstumas.</w:t>
      </w:r>
    </w:p>
    <w:p w14:paraId="69088196"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Byloje nustatyta, kad pareiškėjas pateikė Departamentui prašymą, kuriame prašė išduoti vizą D jo žmonai ir dukrai, kadangi jis laukia sprendimo, ir jo šeima turi būti šalia; žmona turi jį slaugyti, nes jis yra ligoninėje ir susitraumavo kojas bei negali judėti ir slaugyti savęs savarankiškai, be to, žmona laukiasi antro vaiko. Departamentas sprendimu nusprendė pareiškėjo prašymą atmesti, atsižvelgęs į tai, kad Lietuvos Respublikos teisės aktai nenustato galimybės išduoti naujas daugkartines nacionalines vizas – pareiškėjo sutuoktinei ir dukrai jau buvo išduotos daugkartinės nacionalinės vizos, o bendras vizų galiojimo laikas yra vieni metai; dėl galimybės išduoti naujas daugkartines nacionalines vizas pareiškėjo sutuoktinei ir dukrai galėtų būtų sprendžiama tik praėjus daugiau kaip 90 dienų nuo jų turimų galiojančių daugkartinių nacionalinių vizų galiojimo pabaigos.</w:t>
      </w:r>
    </w:p>
    <w:p w14:paraId="36DDB2AF"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LVAT nustatė, kad Departamentas paaiškino pareiškėjams, jog teisės aktuose nėra nustatyta galimybė kreiptis dėl nacionalinės vizos išdavimo praėjus mažiau kaip 90 dienų nuo turėtos vizos galiojimo laiko pabaigos, o </w:t>
      </w:r>
      <w:bookmarkStart w:id="43" w:name="Buk_12"/>
      <w:r w:rsidRPr="0042457A">
        <w:rPr>
          <w:rFonts w:ascii="Calibri" w:hAnsi="Calibri"/>
          <w:sz w:val="22"/>
          <w:szCs w:val="22"/>
        </w:rPr>
        <w:t xml:space="preserve">pareiškėjas </w:t>
      </w:r>
      <w:bookmarkEnd w:id="43"/>
      <w:r w:rsidRPr="0042457A">
        <w:rPr>
          <w:rFonts w:ascii="Calibri" w:hAnsi="Calibri"/>
          <w:sz w:val="22"/>
          <w:szCs w:val="22"/>
        </w:rPr>
        <w:t xml:space="preserve">pateikė laisvos formos prašymą, nepateikė jokių dokumentų, nustatytų Vizų apraše, todėl Departamentas neturėjo teisinio pagrindo nagrinėti pareiškėjo prašymo pagal Vizų aprašo nuostatas. Atsakovas paaiškino, kad pareiškėjai, manydami, kad </w:t>
      </w:r>
      <w:bookmarkStart w:id="44" w:name="Buk_46"/>
      <w:r w:rsidRPr="0042457A">
        <w:rPr>
          <w:rFonts w:ascii="Calibri" w:hAnsi="Calibri"/>
          <w:sz w:val="22"/>
          <w:szCs w:val="22"/>
        </w:rPr>
        <w:t xml:space="preserve">žmonai ir dukrai </w:t>
      </w:r>
      <w:bookmarkEnd w:id="44"/>
      <w:r w:rsidRPr="0042457A">
        <w:rPr>
          <w:rFonts w:ascii="Calibri" w:hAnsi="Calibri"/>
          <w:sz w:val="22"/>
          <w:szCs w:val="22"/>
        </w:rPr>
        <w:t xml:space="preserve">galėtų būti išduota daugkartinė nacionalinė viza pagal Vizų aprašo 66.11.2 punktą, galėjo pateikti Departamentui nustatytos formos prašymą ir dokumentus, pagrindžiančius vizos išdavimą nurodytu pagrindu, tačiau nei prašymų dėl daugkartinės nacionalinės vizos išdavimo, nei Vizų apraše nurodytų dokumentų pareiškėjai Departamentui nepateikė. Pareiškėjo prašymas neatitiko Vizų aprašo reikalavimų, todėl buvo nagrinėjamas, vadovaujantis Lietuvos Respublikos Vyriausybės 2007 m. rugpjūčio 22 d. nutarime Nr. 875 patvirtintose Asmenų prašymų nagrinėjimo ir jų aptarnavimo viešojo administravimo institucijose, įstaigose ir kituose viešojo administravimo subjektuose taisyklėse įtvirtintomis bendromis prašymų nagrinėjimo nuostatomis, ginčijamame rašte nurodant, dėl kokių priežasčių </w:t>
      </w:r>
      <w:bookmarkStart w:id="45" w:name="Buk_107"/>
      <w:r w:rsidRPr="0042457A">
        <w:rPr>
          <w:rFonts w:ascii="Calibri" w:hAnsi="Calibri"/>
          <w:sz w:val="22"/>
          <w:szCs w:val="22"/>
        </w:rPr>
        <w:t xml:space="preserve">O. S. </w:t>
      </w:r>
      <w:bookmarkEnd w:id="45"/>
      <w:r w:rsidRPr="0042457A">
        <w:rPr>
          <w:rFonts w:ascii="Calibri" w:hAnsi="Calibri"/>
          <w:sz w:val="22"/>
          <w:szCs w:val="22"/>
        </w:rPr>
        <w:t xml:space="preserve">ir </w:t>
      </w:r>
      <w:bookmarkStart w:id="46" w:name="Buk_48"/>
      <w:r w:rsidRPr="0042457A">
        <w:rPr>
          <w:rFonts w:ascii="Calibri" w:hAnsi="Calibri"/>
          <w:sz w:val="22"/>
          <w:szCs w:val="22"/>
        </w:rPr>
        <w:t xml:space="preserve">E. S. </w:t>
      </w:r>
      <w:bookmarkEnd w:id="46"/>
      <w:r w:rsidRPr="0042457A">
        <w:rPr>
          <w:rFonts w:ascii="Calibri" w:hAnsi="Calibri"/>
          <w:sz w:val="22"/>
          <w:szCs w:val="22"/>
        </w:rPr>
        <w:t>negali būti išduodamos daugkartinės nacionalinės vizos.</w:t>
      </w:r>
    </w:p>
    <w:p w14:paraId="721CBF0F"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Lietuvos Respublikos įstatymo „Dėl užsieniečių teisinės padėties“ (toliau – Įstatymas) 19 straipsnyje yra nustatyti atsisakymo išduoti nacionalinę vizą ir vizos panaikinimo pagrindai. Vizų aprašo 67</w:t>
      </w:r>
      <w:r w:rsidRPr="0042457A">
        <w:rPr>
          <w:rFonts w:ascii="Calibri" w:hAnsi="Calibri"/>
          <w:sz w:val="22"/>
          <w:szCs w:val="22"/>
          <w:vertAlign w:val="superscript"/>
        </w:rPr>
        <w:t>1</w:t>
      </w:r>
      <w:r w:rsidRPr="0042457A">
        <w:rPr>
          <w:rFonts w:ascii="Calibri" w:hAnsi="Calibri"/>
          <w:sz w:val="22"/>
          <w:szCs w:val="22"/>
        </w:rPr>
        <w:t xml:space="preserve"> punkte reglamentuotas atvejis, kai užsienietis pasinaudojo daugkartine nacionaline viza, galiojančia 1 metus ir kai nuo šios vizos galiojimo laiko pabaigos yra praėjęs tam tikras laiko tarpas. Vizų aprašo 80 punkte nustatyta, kad nustatęs kurį nors iš atsisakymo išduoti nacionalinę vizą pagrindų, išvardytų Įstatymo 19 straipsnyje, įgaliotas vizų tarnybos valstybės tarnautojas priima sprendimą dėl atsisakymo išduoti nacionalinę vizą (9 priedas). Teisėjų kolegija atkreipė dėmesį į tai, kad Vizų aprašo 66.11.2 punkte nustatyta, kad </w:t>
      </w:r>
      <w:r w:rsidRPr="0042457A">
        <w:rPr>
          <w:rFonts w:ascii="Calibri" w:hAnsi="Calibri"/>
          <w:sz w:val="22"/>
          <w:szCs w:val="22"/>
          <w:u w:val="single"/>
        </w:rPr>
        <w:t>daugkartinė nacionalinė viza gali būti išduodama užsieniečiui, kuris negali išvykti iš Lietuvos Respublikos dėl asmeninių priežasčių, kurių užsienietis negalėjo numatyti, tačiau ja atsakovas nesirėmė priimdamas ginčijamą sprendimą</w:t>
      </w:r>
      <w:r w:rsidRPr="0042457A">
        <w:rPr>
          <w:rFonts w:ascii="Calibri" w:hAnsi="Calibri"/>
          <w:sz w:val="22"/>
          <w:szCs w:val="22"/>
        </w:rPr>
        <w:t>.</w:t>
      </w:r>
    </w:p>
    <w:p w14:paraId="53DA9A55" w14:textId="242B8AB2"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Teisėjų kolegija sprendė, kad ginčijamas </w:t>
      </w:r>
      <w:r w:rsidR="007E66A8">
        <w:rPr>
          <w:rFonts w:ascii="Calibri" w:hAnsi="Calibri"/>
          <w:sz w:val="22"/>
          <w:szCs w:val="22"/>
        </w:rPr>
        <w:t>s</w:t>
      </w:r>
      <w:r w:rsidRPr="0042457A">
        <w:rPr>
          <w:rFonts w:ascii="Calibri" w:hAnsi="Calibri"/>
          <w:sz w:val="22"/>
          <w:szCs w:val="22"/>
        </w:rPr>
        <w:t>prendimas laikytinas atsisakymu išduoti nacionalines vizas ir jis nebuvo grindžiamas nei vienu iš Įstatymo 19 straipsnyje nurodytų atsisakymo išduoti nacionalinę vizą pagrindų.</w:t>
      </w:r>
    </w:p>
    <w:p w14:paraId="63A4A321" w14:textId="6C290202" w:rsidR="0042457A" w:rsidRPr="0042457A" w:rsidRDefault="0042457A" w:rsidP="0042457A">
      <w:pPr>
        <w:ind w:firstLine="567"/>
        <w:jc w:val="both"/>
        <w:rPr>
          <w:rFonts w:ascii="Calibri" w:hAnsi="Calibri"/>
          <w:sz w:val="22"/>
          <w:szCs w:val="22"/>
        </w:rPr>
      </w:pPr>
      <w:r w:rsidRPr="0042457A">
        <w:rPr>
          <w:rFonts w:ascii="Calibri" w:hAnsi="Calibri"/>
          <w:sz w:val="22"/>
          <w:szCs w:val="22"/>
        </w:rPr>
        <w:t>Pirmosios instancijos teismas pagrįstai nustatė, kad atsakovas pats atsiliepime pripažino, kad iš esmės galėjo būti svarstomas vizų išdavimo klausimas pagal Vizų aprašo 66.11.2 punktą, tačiau to ginčijamame sprendime pareiškėjams nepaaiškino, vadovavosi išimtinai tik Vizų aprašo 67</w:t>
      </w:r>
      <w:r w:rsidRPr="0042457A">
        <w:rPr>
          <w:rFonts w:ascii="Calibri" w:hAnsi="Calibri"/>
          <w:sz w:val="22"/>
          <w:szCs w:val="22"/>
          <w:vertAlign w:val="superscript"/>
        </w:rPr>
        <w:t>1</w:t>
      </w:r>
      <w:r w:rsidRPr="0042457A">
        <w:rPr>
          <w:rFonts w:ascii="Calibri" w:hAnsi="Calibri"/>
          <w:sz w:val="22"/>
          <w:szCs w:val="22"/>
        </w:rPr>
        <w:t xml:space="preserve"> punktu, t. y. nesistemiškai taikė Vizų aprašo nuostatas, neatsižvelgė į visas svarbias faktines aplinkybes. Teisėjų kolegijos vertinimu, ginčijamas </w:t>
      </w:r>
      <w:r w:rsidR="007E66A8">
        <w:rPr>
          <w:rFonts w:ascii="Calibri" w:hAnsi="Calibri"/>
          <w:sz w:val="22"/>
          <w:szCs w:val="22"/>
        </w:rPr>
        <w:t>s</w:t>
      </w:r>
      <w:r w:rsidRPr="0042457A">
        <w:rPr>
          <w:rFonts w:ascii="Calibri" w:hAnsi="Calibri"/>
          <w:sz w:val="22"/>
          <w:szCs w:val="22"/>
        </w:rPr>
        <w:t>prendimas, išreiškiantis atsisakymą išduoti nacionalines vizas, nėra grindžiamas nei vienu iš Įstatymo 19</w:t>
      </w:r>
      <w:r w:rsidR="007E66A8">
        <w:rPr>
          <w:rFonts w:ascii="Calibri" w:hAnsi="Calibri"/>
          <w:sz w:val="22"/>
          <w:szCs w:val="22"/>
        </w:rPr>
        <w:t> </w:t>
      </w:r>
      <w:r w:rsidRPr="0042457A">
        <w:rPr>
          <w:rFonts w:ascii="Calibri" w:hAnsi="Calibri"/>
          <w:sz w:val="22"/>
          <w:szCs w:val="22"/>
        </w:rPr>
        <w:t xml:space="preserve">straipsnyje nurodytu atsisakymo išduoti nacionalinę vizą pagrindų, tai reiškia, kad ginčijamas </w:t>
      </w:r>
      <w:r w:rsidR="007E66A8">
        <w:rPr>
          <w:rFonts w:ascii="Calibri" w:hAnsi="Calibri"/>
          <w:sz w:val="22"/>
          <w:szCs w:val="22"/>
        </w:rPr>
        <w:t>s</w:t>
      </w:r>
      <w:r w:rsidRPr="0042457A">
        <w:rPr>
          <w:rFonts w:ascii="Calibri" w:hAnsi="Calibri"/>
          <w:sz w:val="22"/>
          <w:szCs w:val="22"/>
        </w:rPr>
        <w:t xml:space="preserve">prendimas nėra tinkamai pagrįstas teisės aktų nuostatomis. Teisėjų kolegija sutiko su pirmosios instancijos teismo padarytomis išvadomis, kad atsakovas priėmė skundžiamą sprendimą pažeisdamas Viešojo administravimo įstatymo 8 straipsnio 1 dalies nuostatas, konstitucinį gero administravimo principą. Ginčijamas </w:t>
      </w:r>
      <w:r w:rsidR="007E66A8">
        <w:rPr>
          <w:rFonts w:ascii="Calibri" w:hAnsi="Calibri"/>
          <w:sz w:val="22"/>
          <w:szCs w:val="22"/>
        </w:rPr>
        <w:t>s</w:t>
      </w:r>
      <w:r w:rsidRPr="0042457A">
        <w:rPr>
          <w:rFonts w:ascii="Calibri" w:hAnsi="Calibri"/>
          <w:sz w:val="22"/>
          <w:szCs w:val="22"/>
        </w:rPr>
        <w:t>prendimas taip pat nesuderinamas su teise į gerą administravimą, įtvirtinta Europos Sąjungos pagrindinių teisių chartijos 41</w:t>
      </w:r>
      <w:r w:rsidR="007E66A8">
        <w:rPr>
          <w:rFonts w:ascii="Calibri" w:hAnsi="Calibri"/>
          <w:sz w:val="22"/>
          <w:szCs w:val="22"/>
        </w:rPr>
        <w:t> </w:t>
      </w:r>
      <w:r w:rsidRPr="0042457A">
        <w:rPr>
          <w:rFonts w:ascii="Calibri" w:hAnsi="Calibri"/>
          <w:sz w:val="22"/>
          <w:szCs w:val="22"/>
        </w:rPr>
        <w:t>straipsnyje.</w:t>
      </w:r>
    </w:p>
    <w:p w14:paraId="3E131A5B"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LVAT nutartimi atsakovo apeliacinis skundas atmestas, pirmosios instancijos teismo sprendimas paliktas nepakeistas.</w:t>
      </w:r>
    </w:p>
    <w:p w14:paraId="7DE6E813" w14:textId="77777777" w:rsidR="0042457A" w:rsidRPr="0042457A" w:rsidRDefault="0042457A" w:rsidP="0042457A">
      <w:pPr>
        <w:ind w:firstLine="567"/>
        <w:jc w:val="both"/>
        <w:rPr>
          <w:rFonts w:ascii="Calibri" w:hAnsi="Calibri"/>
          <w:sz w:val="22"/>
          <w:szCs w:val="22"/>
        </w:rPr>
      </w:pPr>
    </w:p>
    <w:p w14:paraId="1E622AFF" w14:textId="77777777" w:rsidR="0042457A" w:rsidRPr="0042457A" w:rsidRDefault="0042457A" w:rsidP="0042457A">
      <w:pPr>
        <w:jc w:val="both"/>
        <w:rPr>
          <w:rFonts w:ascii="Calibri" w:hAnsi="Calibri"/>
          <w:sz w:val="22"/>
          <w:szCs w:val="22"/>
        </w:rPr>
      </w:pPr>
      <w:r w:rsidRPr="0042457A">
        <w:rPr>
          <w:rFonts w:ascii="Calibri" w:hAnsi="Calibri"/>
          <w:sz w:val="22"/>
          <w:szCs w:val="22"/>
        </w:rPr>
        <w:t>2019 m. kovo 21 d. nutartis administracinėje byloje Nr. eA-241-822/2019</w:t>
      </w:r>
    </w:p>
    <w:p w14:paraId="3718497C" w14:textId="77777777" w:rsidR="0042457A" w:rsidRPr="0042457A" w:rsidRDefault="0042457A" w:rsidP="0042457A">
      <w:pPr>
        <w:jc w:val="both"/>
        <w:rPr>
          <w:rFonts w:ascii="Calibri" w:hAnsi="Calibri"/>
          <w:sz w:val="22"/>
          <w:szCs w:val="22"/>
        </w:rPr>
      </w:pPr>
      <w:r w:rsidRPr="0042457A">
        <w:rPr>
          <w:rFonts w:ascii="Calibri" w:hAnsi="Calibri"/>
          <w:sz w:val="22"/>
          <w:szCs w:val="22"/>
        </w:rPr>
        <w:lastRenderedPageBreak/>
        <w:t>Teisminio proceso Nr. 3-61-3-00854-2017-0</w:t>
      </w:r>
    </w:p>
    <w:p w14:paraId="39C7F383" w14:textId="77777777" w:rsidR="0042457A" w:rsidRPr="0042457A" w:rsidRDefault="0042457A" w:rsidP="0042457A">
      <w:pPr>
        <w:jc w:val="both"/>
        <w:rPr>
          <w:rFonts w:ascii="Calibri" w:hAnsi="Calibri"/>
          <w:sz w:val="22"/>
          <w:szCs w:val="22"/>
        </w:rPr>
      </w:pPr>
      <w:r w:rsidRPr="0042457A">
        <w:rPr>
          <w:rFonts w:ascii="Calibri" w:hAnsi="Calibri"/>
          <w:sz w:val="22"/>
          <w:szCs w:val="22"/>
        </w:rPr>
        <w:t xml:space="preserve">Procesinio sprendimo kategorija 8.1.2 </w:t>
      </w:r>
    </w:p>
    <w:p w14:paraId="46D5BDC9" w14:textId="77777777" w:rsidR="0042457A" w:rsidRPr="0042457A" w:rsidRDefault="00DC0A59" w:rsidP="0042457A">
      <w:pPr>
        <w:jc w:val="both"/>
        <w:rPr>
          <w:rFonts w:ascii="Calibri" w:hAnsi="Calibri"/>
          <w:sz w:val="22"/>
          <w:szCs w:val="22"/>
        </w:rPr>
      </w:pPr>
      <w:hyperlink r:id="rId12" w:history="1">
        <w:r w:rsidR="0042457A" w:rsidRPr="0042457A">
          <w:rPr>
            <w:rFonts w:ascii="Calibri" w:hAnsi="Calibri"/>
            <w:color w:val="0000FF"/>
            <w:sz w:val="22"/>
            <w:szCs w:val="22"/>
            <w:u w:val="single"/>
          </w:rPr>
          <w:t>Prieiga internete</w:t>
        </w:r>
      </w:hyperlink>
      <w:r w:rsidR="0042457A" w:rsidRPr="0042457A">
        <w:rPr>
          <w:rFonts w:ascii="Calibri" w:hAnsi="Calibri"/>
          <w:sz w:val="22"/>
          <w:szCs w:val="22"/>
        </w:rPr>
        <w:t xml:space="preserve"> </w:t>
      </w:r>
    </w:p>
    <w:p w14:paraId="10DE8FA7" w14:textId="77777777" w:rsidR="0042457A" w:rsidRPr="0042457A" w:rsidRDefault="0042457A" w:rsidP="0042457A">
      <w:pPr>
        <w:ind w:firstLine="567"/>
        <w:jc w:val="both"/>
        <w:rPr>
          <w:rFonts w:ascii="Calibri" w:hAnsi="Calibri"/>
          <w:sz w:val="22"/>
          <w:szCs w:val="22"/>
        </w:rPr>
      </w:pPr>
    </w:p>
    <w:bookmarkEnd w:id="40"/>
    <w:p w14:paraId="4539C605" w14:textId="77777777" w:rsidR="0042457A" w:rsidRPr="0042457A" w:rsidRDefault="0042457A" w:rsidP="0042457A">
      <w:pPr>
        <w:ind w:firstLine="720"/>
        <w:jc w:val="both"/>
        <w:rPr>
          <w:rFonts w:ascii="Calibri" w:hAnsi="Calibri"/>
          <w:b/>
          <w:sz w:val="22"/>
          <w:szCs w:val="22"/>
          <w:u w:val="single"/>
        </w:rPr>
      </w:pPr>
      <w:r w:rsidRPr="0042457A">
        <w:rPr>
          <w:rFonts w:ascii="Calibri" w:hAnsi="Calibri"/>
          <w:b/>
          <w:sz w:val="22"/>
          <w:szCs w:val="22"/>
          <w:u w:val="single"/>
        </w:rPr>
        <w:t>8.3. Trečiųjų šalių piliečių ir jų šeimos narių teisė apsigyventi Lietuvoje</w:t>
      </w:r>
    </w:p>
    <w:p w14:paraId="546E8B2D" w14:textId="77777777" w:rsidR="0042457A" w:rsidRPr="0042457A" w:rsidRDefault="0042457A" w:rsidP="0042457A">
      <w:pPr>
        <w:ind w:firstLine="1440"/>
        <w:jc w:val="both"/>
        <w:rPr>
          <w:rFonts w:ascii="Calibri" w:hAnsi="Calibri"/>
          <w:b/>
          <w:sz w:val="22"/>
          <w:szCs w:val="22"/>
          <w:u w:val="single"/>
        </w:rPr>
      </w:pPr>
      <w:r w:rsidRPr="0042457A">
        <w:rPr>
          <w:rFonts w:ascii="Calibri" w:hAnsi="Calibri"/>
          <w:b/>
          <w:sz w:val="22"/>
          <w:szCs w:val="22"/>
          <w:u w:val="single"/>
        </w:rPr>
        <w:t xml:space="preserve">8.3.1. Trečiųjų šalių piliečių ir jų šeimos narių teisė laikinai gyventi Lietuvoje </w:t>
      </w:r>
    </w:p>
    <w:p w14:paraId="2FDE23A0" w14:textId="77777777" w:rsidR="0042457A" w:rsidRPr="0042457A" w:rsidRDefault="0042457A" w:rsidP="0042457A">
      <w:pPr>
        <w:jc w:val="both"/>
        <w:rPr>
          <w:rFonts w:ascii="Calibri" w:eastAsia="Calibri" w:hAnsi="Calibri"/>
          <w:i/>
          <w:sz w:val="22"/>
          <w:szCs w:val="22"/>
          <w:lang w:eastAsia="en-US"/>
        </w:rPr>
      </w:pPr>
    </w:p>
    <w:p w14:paraId="780988A3" w14:textId="77777777" w:rsidR="0042457A" w:rsidRPr="0042457A" w:rsidRDefault="0042457A" w:rsidP="004445E5">
      <w:pPr>
        <w:pStyle w:val="Antrat2"/>
        <w:rPr>
          <w:rFonts w:eastAsia="Calibri"/>
          <w:lang w:eastAsia="en-US"/>
        </w:rPr>
      </w:pPr>
      <w:bookmarkStart w:id="47" w:name="_Toc9845478"/>
      <w:r w:rsidRPr="0042457A">
        <w:rPr>
          <w:rFonts w:eastAsia="Calibri"/>
          <w:lang w:eastAsia="en-US"/>
        </w:rPr>
        <w:t>Dėl reikalavimo nurodyti įmonės vidaus valdyme naudojamą informaciją įmonės valdyme nedalyvavusiam investuotojui</w:t>
      </w:r>
      <w:bookmarkEnd w:id="47"/>
      <w:r w:rsidRPr="0042457A">
        <w:rPr>
          <w:rFonts w:eastAsia="Calibri"/>
          <w:lang w:eastAsia="en-US"/>
        </w:rPr>
        <w:t xml:space="preserve"> </w:t>
      </w:r>
    </w:p>
    <w:p w14:paraId="20CBDB6A" w14:textId="77777777" w:rsidR="0042457A" w:rsidRPr="0042457A" w:rsidRDefault="0042457A" w:rsidP="0042457A">
      <w:pPr>
        <w:ind w:firstLine="567"/>
        <w:jc w:val="both"/>
        <w:rPr>
          <w:rFonts w:ascii="Calibri" w:eastAsia="Calibri" w:hAnsi="Calibri"/>
          <w:sz w:val="22"/>
          <w:szCs w:val="22"/>
          <w:lang w:eastAsia="en-US"/>
        </w:rPr>
      </w:pPr>
    </w:p>
    <w:p w14:paraId="47AD3146" w14:textId="406AC887"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Nagrinėtoje byloje ginčas kilo dėl Migracijos departamento sprendimo teisėtumo ir atsakovo įpareigojimo iš naujo išnagrinėti pareiškėjų prašymus dėl leidimų laikinai gyventi Lietuvos Respublikoje bei daugkartinių nacionalinių vizų. Pirmosios instancijos teismas pareiškėjų skundą tenkino ir panaikino ginčijamą </w:t>
      </w:r>
      <w:r w:rsidR="007E66A8">
        <w:rPr>
          <w:rFonts w:ascii="Calibri" w:hAnsi="Calibri"/>
          <w:sz w:val="22"/>
          <w:szCs w:val="22"/>
        </w:rPr>
        <w:t>s</w:t>
      </w:r>
      <w:r w:rsidRPr="0042457A">
        <w:rPr>
          <w:rFonts w:ascii="Calibri" w:hAnsi="Calibri"/>
          <w:sz w:val="22"/>
          <w:szCs w:val="22"/>
        </w:rPr>
        <w:t>prendimą bei įpareigojo atsakovą iš naujo išnagrinėti pareiškėjų prašymus dėl leidimų laikinai gyventi Lietuvos Respublikoje bei daugkartinių nacionalinių.</w:t>
      </w:r>
    </w:p>
    <w:p w14:paraId="5A481402" w14:textId="7DE6DB96" w:rsidR="0042457A" w:rsidRPr="0042457A" w:rsidRDefault="0042457A" w:rsidP="0042457A">
      <w:pPr>
        <w:ind w:firstLine="567"/>
        <w:jc w:val="both"/>
        <w:rPr>
          <w:rFonts w:ascii="Calibri" w:hAnsi="Calibri"/>
          <w:sz w:val="22"/>
          <w:szCs w:val="22"/>
        </w:rPr>
      </w:pPr>
      <w:r w:rsidRPr="0042457A">
        <w:rPr>
          <w:rFonts w:ascii="Calibri" w:hAnsi="Calibri"/>
          <w:sz w:val="22"/>
          <w:szCs w:val="22"/>
        </w:rPr>
        <w:t>Atsakovas, vadovaudamasis Įstatymo dėl užsieniečių teisinės padėties (toliau – Įstatymas) 19 straipsnio 1</w:t>
      </w:r>
      <w:r w:rsidR="007E66A8">
        <w:rPr>
          <w:rFonts w:ascii="Calibri" w:hAnsi="Calibri"/>
          <w:sz w:val="22"/>
          <w:szCs w:val="22"/>
        </w:rPr>
        <w:t> </w:t>
      </w:r>
      <w:r w:rsidRPr="0042457A">
        <w:rPr>
          <w:rFonts w:ascii="Calibri" w:hAnsi="Calibri"/>
          <w:sz w:val="22"/>
          <w:szCs w:val="22"/>
        </w:rPr>
        <w:t>ir 10 punktais, 35 straipsnio 1 dalies 2 ir 12 punktais, ginčijamu sprendimu atsisakė išduoti pareiškėjams leidimus laikinai gyventi Lietuvos Respublikoje bei panaikino pareiškėjams išduotas daugkartines nacionalines vizas. Atsakovas sprendime konstatavo, kad pareiškėja, kreipdamasi dėl leidimo laikinai gyventi išdavimo, siekė tik formaliai atitikti Įstatymo 45 straipsnio 1 dalies 1 punkte nustatytas leidimo laikinai gyventi išdavimo sąlygas ir teikė tikrovės (faktinės situacijos) neatitinkančius bei prieštaringus duomenis apie bendrovės darbuotojus ir tikrąjį atvykimo į Lietuvos Respubliką tikslą, kas rodo užsienietės nesąžiningumą, piktnaudžiavimą leidimų laikinai gyventi išdavimo procedūra ir leidžia daryti išvadą, kad yra rimtas pagrindas manyti, kad gali kilti užsienietės nelegalios migracijos grėsmė, pareiškėja neatitinka Įstatymo 45 straipsnio 1 dalies 1 punkte nurodytų reikalavimų. Atsakovas, priimdamas ginčijamą sprendimą, padarė išvadą, kad pareiškėja nėra įsitraukusi į įmonės valdymą ir kontrolę, neturi informacijos apie įmonės vykdomą veiklą ir vidinius procesus, o pareiškėjos tikrieji ketinimai yra ne atvykti į Lietuvos Respubliką su tikslu vykdyti teisėtą veiklą UAB „D Legals“, o legalizuoti savo buvimą Lietuvos Respublikoje ir visoje Šengeno erdvėje. Migracijos departamento vertinimu, vien formalūs įmonės veiklos požymiai (darbuotojams mokamas atlyginimas, mokami mokesčiai į valstybės biudžetą, sudarytos sutartys su susijusiomis bendrovėmis) savaime nesudaro pagrindo teigti, kad įmonė realiai vykdo veiklą Lietuvos Respublikoje.</w:t>
      </w:r>
    </w:p>
    <w:p w14:paraId="1A3478CE" w14:textId="66B96A35" w:rsidR="0042457A" w:rsidRPr="0042457A" w:rsidRDefault="0042457A" w:rsidP="0042457A">
      <w:pPr>
        <w:ind w:firstLine="567"/>
        <w:jc w:val="both"/>
        <w:rPr>
          <w:rFonts w:ascii="Calibri" w:hAnsi="Calibri"/>
          <w:sz w:val="22"/>
          <w:szCs w:val="22"/>
        </w:rPr>
      </w:pPr>
      <w:r w:rsidRPr="0042457A">
        <w:rPr>
          <w:rFonts w:ascii="Calibri" w:hAnsi="Calibri"/>
          <w:sz w:val="22"/>
          <w:szCs w:val="22"/>
        </w:rPr>
        <w:t>LVAT, remdamasis Įstatymo 45 straipsnio 1 dalies 1 punktu, detalizuojančiu Įstatymo 40 straipsnio 1</w:t>
      </w:r>
      <w:r w:rsidR="007E66A8">
        <w:rPr>
          <w:rFonts w:ascii="Calibri" w:hAnsi="Calibri"/>
          <w:sz w:val="22"/>
          <w:szCs w:val="22"/>
        </w:rPr>
        <w:t> </w:t>
      </w:r>
      <w:r w:rsidRPr="0042457A">
        <w:rPr>
          <w:rFonts w:ascii="Calibri" w:hAnsi="Calibri"/>
          <w:sz w:val="22"/>
          <w:szCs w:val="22"/>
        </w:rPr>
        <w:t xml:space="preserve">dalies 5 punkte numatytą leidimo laikinai gyventi išdavimo pagrindą, bei įvertinęs bylos duomenis, nustatė, kad UAB „D Legals“ teikia jos veiklos dokumentuose (įstatuose) numatytas paslaugas; Įmonė veikia daugiau nei dešimt metų; kasmet juridinių asmenų registrui teikia finansinės atskaitomybės dokumentus. Įmonėje per visą laikotarpį buvo įdarbinta apie dvidešimt darbuotojų; Įmonė veikia su minimaliu pelnu, duomenų, kad būtų skolinga valstybės ar savivaldybių biudžetams, nėra; įmonės pajamos gaunamos iš dalies susijusių įmonių konsultacijų, apskaitos tvarkymo. </w:t>
      </w:r>
    </w:p>
    <w:p w14:paraId="6A0B35C6" w14:textId="7593F619"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LVAT teisėjų kolegija, įvertinusi pareiškėjos atsakymus apklausoje, sutiko su atsakovo išvada, kad pareiškėjos žinios apie bendrovę, jos valdymą ir darbuotojus yra paviršutiniškos, į daugelį klausimų ji atsakė abstrakčiai ir neinformatyviai. Visgi teisėjų kolegija laikėsi nuostatos, kad pirmosios instancijos teismas pagrįstai nustatė, kad nepakanka faktinių duomenų išvadai apie tai, kad duomenys, kuriuos pareiškėja pateikė norėdama gauti leidimą gyventi, neatitinka tikrovės (Įstatymo 35 str. 1 d. 2 p.), taip pat kad yra nelegalios migracijos grėsmė (Įstatymo 35 str. 1 d. 12 p.), taip pat yra pagrįsta pirmosios instancijos teismo išvada, kad atsakovas surinko pakankamai duomenų, iš kurių matyti, kad įmonė vykdo realią veiklą, numatytą jos steigimo dokumentuose ir pateiktame atsakovui verslo plane ir ši veikla vykdoma žymiai ilgesnį laikotarpį, nei minimaliai reikalaujama pagal įstatymą kreipiantis dėl leidimo gyventi Lietuvos Respublikoje išdavimo teisėtos veiklos vykdymo pagrindu. Taip pat teisėjų kolegija sutiko su pirmosios instancijos teismo išvada, kad </w:t>
      </w:r>
      <w:r w:rsidRPr="0042457A">
        <w:rPr>
          <w:rFonts w:ascii="Calibri" w:hAnsi="Calibri"/>
          <w:sz w:val="22"/>
          <w:szCs w:val="22"/>
          <w:u w:val="single"/>
        </w:rPr>
        <w:t xml:space="preserve">pareiškėja įsigijo įmonės akcijų savaitė iki kreipimosi į Migracijos departamentą dėl leidimo išdavimo ir nepagrįsta reikalauti iš investuotojo, nedalyvavusio įmonės valdyme, nedirbusio įmonėje, nurodyti įmonės vidaus valdyme naudojamą informaciją, o išsamiai ir konkrečiai šiam nepateikus šių duomenų, - pripažinti įmonės veiklą fiktyvia, o jį patį </w:t>
      </w:r>
      <w:r w:rsidR="007E66A8">
        <w:rPr>
          <w:rFonts w:ascii="Calibri" w:hAnsi="Calibri"/>
          <w:sz w:val="22"/>
          <w:szCs w:val="22"/>
          <w:u w:val="single"/>
        </w:rPr>
        <w:t>–</w:t>
      </w:r>
      <w:r w:rsidRPr="0042457A">
        <w:rPr>
          <w:rFonts w:ascii="Calibri" w:hAnsi="Calibri"/>
          <w:sz w:val="22"/>
          <w:szCs w:val="22"/>
          <w:u w:val="single"/>
        </w:rPr>
        <w:t xml:space="preserve"> pateikus tikrovės neatitinkančią informaciją</w:t>
      </w:r>
      <w:r w:rsidRPr="0042457A">
        <w:rPr>
          <w:rFonts w:ascii="Calibri" w:hAnsi="Calibri"/>
          <w:sz w:val="22"/>
          <w:szCs w:val="22"/>
        </w:rPr>
        <w:t xml:space="preserve">. </w:t>
      </w:r>
    </w:p>
    <w:p w14:paraId="4B1ADCF2"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LVAT nutartimi atsakovo apeliacinis skundas atmestas, o pirmosios instancijos teismo sprendimas paliktas nepakeistas.</w:t>
      </w:r>
    </w:p>
    <w:p w14:paraId="609B1EF5" w14:textId="77777777" w:rsidR="0042457A" w:rsidRPr="0042457A" w:rsidRDefault="0042457A" w:rsidP="0042457A">
      <w:pPr>
        <w:ind w:firstLine="567"/>
        <w:jc w:val="both"/>
        <w:rPr>
          <w:rFonts w:ascii="Calibri" w:eastAsia="Calibri" w:hAnsi="Calibri"/>
          <w:sz w:val="22"/>
          <w:szCs w:val="22"/>
          <w:lang w:eastAsia="en-US"/>
        </w:rPr>
      </w:pPr>
    </w:p>
    <w:p w14:paraId="39FF7E30" w14:textId="77777777" w:rsidR="0042457A" w:rsidRPr="0042457A" w:rsidRDefault="0042457A" w:rsidP="0042457A">
      <w:pPr>
        <w:jc w:val="both"/>
        <w:rPr>
          <w:rFonts w:ascii="Calibri" w:hAnsi="Calibri"/>
          <w:sz w:val="22"/>
          <w:szCs w:val="22"/>
        </w:rPr>
      </w:pPr>
      <w:r w:rsidRPr="0042457A">
        <w:rPr>
          <w:rFonts w:ascii="Calibri" w:hAnsi="Calibri"/>
          <w:sz w:val="22"/>
          <w:szCs w:val="22"/>
        </w:rPr>
        <w:t>2019 m. kovo 1 d. nutartis administracinėje byloje Nr. eA-3385-822/2019</w:t>
      </w:r>
    </w:p>
    <w:p w14:paraId="1998C178" w14:textId="77777777" w:rsidR="0042457A" w:rsidRPr="0042457A" w:rsidRDefault="0042457A" w:rsidP="0042457A">
      <w:pPr>
        <w:jc w:val="both"/>
        <w:rPr>
          <w:rFonts w:ascii="Calibri" w:hAnsi="Calibri"/>
          <w:sz w:val="22"/>
          <w:szCs w:val="22"/>
        </w:rPr>
      </w:pPr>
      <w:r w:rsidRPr="0042457A">
        <w:rPr>
          <w:rFonts w:ascii="Calibri" w:hAnsi="Calibri"/>
          <w:sz w:val="22"/>
          <w:szCs w:val="22"/>
        </w:rPr>
        <w:t>Teisminio proceso Nr. 3-61-3-03514-2018-7</w:t>
      </w:r>
    </w:p>
    <w:p w14:paraId="1442DDC1" w14:textId="77777777" w:rsidR="0042457A" w:rsidRPr="0042457A" w:rsidRDefault="0042457A" w:rsidP="0042457A">
      <w:pPr>
        <w:jc w:val="both"/>
        <w:rPr>
          <w:rFonts w:ascii="Calibri" w:hAnsi="Calibri"/>
          <w:sz w:val="22"/>
          <w:szCs w:val="22"/>
        </w:rPr>
      </w:pPr>
      <w:r w:rsidRPr="0042457A">
        <w:rPr>
          <w:rFonts w:ascii="Calibri" w:hAnsi="Calibri"/>
          <w:sz w:val="22"/>
          <w:szCs w:val="22"/>
        </w:rPr>
        <w:t xml:space="preserve">Procesinio sprendimo kategorija 8.3.1 </w:t>
      </w:r>
    </w:p>
    <w:p w14:paraId="644201B0" w14:textId="77777777" w:rsidR="0042457A" w:rsidRPr="0042457A" w:rsidRDefault="00DC0A59" w:rsidP="0042457A">
      <w:pPr>
        <w:jc w:val="both"/>
        <w:rPr>
          <w:rFonts w:ascii="Calibri" w:hAnsi="Calibri"/>
          <w:sz w:val="22"/>
          <w:szCs w:val="22"/>
        </w:rPr>
      </w:pPr>
      <w:hyperlink r:id="rId13" w:history="1">
        <w:r w:rsidR="0042457A" w:rsidRPr="0042457A">
          <w:rPr>
            <w:rFonts w:ascii="Calibri" w:hAnsi="Calibri"/>
            <w:color w:val="0000FF"/>
            <w:sz w:val="22"/>
            <w:szCs w:val="22"/>
            <w:u w:val="single"/>
          </w:rPr>
          <w:t>Prieiga internete</w:t>
        </w:r>
      </w:hyperlink>
      <w:r w:rsidR="0042457A" w:rsidRPr="0042457A">
        <w:rPr>
          <w:rFonts w:ascii="Calibri" w:hAnsi="Calibri"/>
          <w:sz w:val="22"/>
          <w:szCs w:val="22"/>
        </w:rPr>
        <w:t xml:space="preserve"> </w:t>
      </w:r>
    </w:p>
    <w:p w14:paraId="5347AF34" w14:textId="77777777" w:rsidR="0042457A" w:rsidRPr="0042457A" w:rsidRDefault="0042457A" w:rsidP="0042457A">
      <w:pPr>
        <w:jc w:val="both"/>
        <w:rPr>
          <w:rFonts w:ascii="Calibri" w:hAnsi="Calibri"/>
          <w:b/>
          <w:sz w:val="22"/>
          <w:szCs w:val="22"/>
          <w:u w:val="single"/>
        </w:rPr>
      </w:pPr>
    </w:p>
    <w:p w14:paraId="36309151" w14:textId="77777777" w:rsidR="0042457A" w:rsidRPr="0042457A" w:rsidRDefault="0042457A" w:rsidP="004445E5">
      <w:pPr>
        <w:pStyle w:val="Antrat2"/>
        <w:rPr>
          <w:rFonts w:eastAsia="Times New Roman"/>
        </w:rPr>
      </w:pPr>
      <w:bookmarkStart w:id="48" w:name="_Toc9845479"/>
      <w:r w:rsidRPr="0042457A">
        <w:rPr>
          <w:rFonts w:eastAsia="Times New Roman"/>
        </w:rPr>
        <w:t>Dėl leidimo gyventi Lietuvoje išdavimo sutuoktiniui – tos pačios lyties asmeniui</w:t>
      </w:r>
      <w:bookmarkEnd w:id="48"/>
    </w:p>
    <w:p w14:paraId="0043A94C" w14:textId="77777777" w:rsidR="0042457A" w:rsidRPr="0042457A" w:rsidRDefault="0042457A" w:rsidP="0042457A">
      <w:pPr>
        <w:ind w:firstLine="567"/>
        <w:jc w:val="both"/>
        <w:rPr>
          <w:rFonts w:ascii="Calibri" w:hAnsi="Calibri"/>
          <w:sz w:val="22"/>
          <w:szCs w:val="22"/>
        </w:rPr>
      </w:pPr>
      <w:bookmarkStart w:id="49" w:name="part_e25a42bf89274262a8ffd6f126f3303a"/>
      <w:bookmarkEnd w:id="49"/>
    </w:p>
    <w:p w14:paraId="3EC2660E" w14:textId="19D133B4" w:rsidR="0042457A" w:rsidRPr="0042457A" w:rsidRDefault="0042457A" w:rsidP="0042457A">
      <w:pPr>
        <w:ind w:firstLine="567"/>
        <w:jc w:val="both"/>
        <w:rPr>
          <w:rFonts w:ascii="Calibri" w:hAnsi="Calibri"/>
          <w:sz w:val="22"/>
          <w:szCs w:val="22"/>
        </w:rPr>
      </w:pPr>
      <w:r w:rsidRPr="0042457A">
        <w:rPr>
          <w:rFonts w:ascii="Calibri" w:hAnsi="Calibri"/>
          <w:sz w:val="22"/>
          <w:szCs w:val="22"/>
        </w:rPr>
        <w:t>Nagrinė</w:t>
      </w:r>
      <w:r w:rsidR="007E66A8">
        <w:rPr>
          <w:rFonts w:ascii="Calibri" w:hAnsi="Calibri"/>
          <w:sz w:val="22"/>
          <w:szCs w:val="22"/>
        </w:rPr>
        <w:t>toj</w:t>
      </w:r>
      <w:r w:rsidRPr="0042457A">
        <w:rPr>
          <w:rFonts w:ascii="Calibri" w:hAnsi="Calibri"/>
          <w:sz w:val="22"/>
          <w:szCs w:val="22"/>
        </w:rPr>
        <w:t xml:space="preserve">e byloje ginčas kilo dėl Migracijos departamento (toliau – Departamentas) sprendimo teisėtumo ir pagrįstumo bei pareiškėjo reikalavimo įpareigoti Departamentą išduoti jam leidimą laikinai gyventi Lietuvos Respublikoje.  </w:t>
      </w:r>
    </w:p>
    <w:p w14:paraId="42D20FB0"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Bylos duomenimis, pareiškėjas, Baltarusijos Respublikos pilietis, kreipėsi į Departamentą, prašydamas išduoti jam leidimą laikinai gyventi Lietuvos Respublikoje šeimos susijungimo pagrindu, nurodydamas, kad Lietuvoje gyvena jo sutuoktinis. Pareiškėjas pateikė santuokos liudijimą, iš kurio matyti, kad pareiškėjas sudarė santuoką su tos pačios lyties asmeniu. Remdamasis šios santuokos sudarymo faktu, pareiškėjas prašė išduoti jam leidimą laikinai gyventi Lietuvos Respublikoje.</w:t>
      </w:r>
    </w:p>
    <w:p w14:paraId="0FB0AAAF"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Departamentas ginčijamame Sprendime pažymėjo, kad pareiškėjas formaliai atitinka Įstatymo „Dėl užsieniečių teisinės padėties“ (toliau – Įstatymas) 26 straipsnio 1 dalies, 40 straipsnio 1 dalies 3 punkto ir 43 straipsnio 1 dalies 5 punkto reikalavimus, tačiau ,įvertinęs aplinkybę, kad santuoka sudaryta su tos pačios lyties asmeniu, Departamentas sprendė, kad pareiškėjas neatitinka Įstatyme nustatytų sąlygų, kadangi pareiškėjo sudaryta santuoka negali būti pripažįstama Lietuvos Respublikoje, todėl jam negali būti išduotas leidimas laikinai gyventi Lietuvos Respublikoje šeimos susijungimo pagrindu. Vilniaus apygardos administracinis teismas pareiškėjo skundą atmetė. </w:t>
      </w:r>
    </w:p>
    <w:p w14:paraId="0790A397" w14:textId="26A34AF2" w:rsidR="0042457A" w:rsidRPr="0042457A" w:rsidRDefault="007E66A8" w:rsidP="0042457A">
      <w:pPr>
        <w:ind w:firstLine="567"/>
        <w:jc w:val="both"/>
        <w:rPr>
          <w:rFonts w:ascii="Calibri" w:hAnsi="Calibri"/>
          <w:sz w:val="22"/>
          <w:szCs w:val="22"/>
        </w:rPr>
      </w:pPr>
      <w:r>
        <w:rPr>
          <w:rFonts w:ascii="Calibri" w:hAnsi="Calibri"/>
          <w:sz w:val="22"/>
          <w:szCs w:val="22"/>
        </w:rPr>
        <w:t>LVAT</w:t>
      </w:r>
      <w:r w:rsidR="0042457A" w:rsidRPr="0042457A">
        <w:rPr>
          <w:rFonts w:ascii="Calibri" w:hAnsi="Calibri"/>
          <w:sz w:val="22"/>
          <w:szCs w:val="22"/>
        </w:rPr>
        <w:t xml:space="preserve">, kilus abejonei, ar Įstatymo 43 straipsnio 1 dalies 5 punktas ta apimtimi, kuria jame nėra nustatyta, jog leidimas laikinai gyventi gali būti išduodamas užsieniečiui šeimos susijungimo atveju ir tada, kai Lietuvos Respublikoje gyvena asmuo, esantis Lietuvos Respublikos piliečiu, su kuriuo užsieniečio sudaryta santuoka nėra pripažįstama Lietuvos Respublikoje dėl imperatyvaus draudimo tuoktis tos pačios lyties asmenimis, tačiau su kuriuo jis yra sukūręs santykius, savo turiniu atitinkančius šeimos sampratą, neprieštarauja Konstitucijos 22 straipsnio 1 ir 4 dalims, 29 straipsniui, 38 straipsnio 1 ir 2 dalims ir konstituciniam teisinės valstybės principui, 2016 m. gruodžio 7 d. nutartimi kreipėsi į Lietuvos Respublikos Konstitucinį Teismą (toliau – ir Konstitucinis Teismas). </w:t>
      </w:r>
    </w:p>
    <w:p w14:paraId="52E08B2E" w14:textId="5B8BD5CF"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Konstitucinis Teismas, išnagrinėjęs konstitucinės justicijos bylą Nr. 16/2016, 2019 m. sausio 11 d. nutarimu pripažino, kad </w:t>
      </w:r>
      <w:r w:rsidRPr="0042457A">
        <w:rPr>
          <w:rFonts w:ascii="Calibri" w:hAnsi="Calibri"/>
          <w:sz w:val="22"/>
          <w:szCs w:val="22"/>
          <w:u w:val="single"/>
        </w:rPr>
        <w:t>Lietuvos Respublikos įstatymo „Dėl užsieniečių teisinės padėties“ 43 straipsnio (2006</w:t>
      </w:r>
      <w:r w:rsidR="007E66A8">
        <w:rPr>
          <w:rFonts w:ascii="Calibri" w:hAnsi="Calibri"/>
          <w:sz w:val="22"/>
          <w:szCs w:val="22"/>
          <w:u w:val="single"/>
        </w:rPr>
        <w:t> </w:t>
      </w:r>
      <w:r w:rsidRPr="0042457A">
        <w:rPr>
          <w:rFonts w:ascii="Calibri" w:hAnsi="Calibri"/>
          <w:sz w:val="22"/>
          <w:szCs w:val="22"/>
          <w:u w:val="single"/>
        </w:rPr>
        <w:t>m. lapkričio 28 d. redakcija) 1 dalies 5 punktas</w:t>
      </w:r>
      <w:r w:rsidRPr="0042457A">
        <w:rPr>
          <w:rFonts w:ascii="Calibri" w:hAnsi="Calibri"/>
          <w:sz w:val="22"/>
          <w:szCs w:val="22"/>
        </w:rPr>
        <w:t xml:space="preserve"> </w:t>
      </w:r>
      <w:r w:rsidRPr="0042457A">
        <w:rPr>
          <w:rFonts w:ascii="Calibri" w:hAnsi="Calibri"/>
          <w:sz w:val="22"/>
          <w:szCs w:val="22"/>
          <w:u w:val="single"/>
        </w:rPr>
        <w:t>neprieštarauja Lietuvos Respublikos Konstitucijai</w:t>
      </w:r>
      <w:r w:rsidRPr="0042457A">
        <w:rPr>
          <w:rFonts w:ascii="Calibri" w:hAnsi="Calibri"/>
          <w:sz w:val="22"/>
          <w:szCs w:val="22"/>
        </w:rPr>
        <w:t xml:space="preserve">. </w:t>
      </w:r>
    </w:p>
    <w:p w14:paraId="0B484DD0" w14:textId="4024164C"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2019 m. sausio 11 d. nutarime Konstitucinis Teismas </w:t>
      </w:r>
      <w:r w:rsidRPr="0042457A">
        <w:rPr>
          <w:rFonts w:ascii="Calibri" w:hAnsi="Calibri"/>
          <w:i/>
          <w:sz w:val="22"/>
          <w:szCs w:val="22"/>
        </w:rPr>
        <w:t>inter alia</w:t>
      </w:r>
      <w:r w:rsidRPr="0042457A">
        <w:rPr>
          <w:rFonts w:ascii="Calibri" w:hAnsi="Calibri"/>
          <w:sz w:val="22"/>
          <w:szCs w:val="22"/>
        </w:rPr>
        <w:t xml:space="preserve"> konstatavo: </w:t>
      </w:r>
    </w:p>
    <w:p w14:paraId="6FDDDFD4"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Pagal Europos Sąjungos teisę </w:t>
      </w:r>
      <w:r w:rsidRPr="0042457A">
        <w:rPr>
          <w:rFonts w:ascii="Calibri" w:hAnsi="Calibri"/>
          <w:sz w:val="22"/>
          <w:szCs w:val="22"/>
          <w:u w:val="single"/>
        </w:rPr>
        <w:t xml:space="preserve">valstybė narė negali remtis viešosios tvarkos išlyga, </w:t>
      </w:r>
      <w:r w:rsidRPr="0042457A">
        <w:rPr>
          <w:rFonts w:ascii="Calibri" w:hAnsi="Calibri"/>
          <w:i/>
          <w:sz w:val="22"/>
          <w:szCs w:val="22"/>
          <w:u w:val="single"/>
        </w:rPr>
        <w:t>inter alia</w:t>
      </w:r>
      <w:r w:rsidRPr="0042457A">
        <w:rPr>
          <w:rFonts w:ascii="Calibri" w:hAnsi="Calibri"/>
          <w:sz w:val="22"/>
          <w:szCs w:val="22"/>
          <w:u w:val="single"/>
        </w:rPr>
        <w:t xml:space="preserve"> tuo, kad jos teisėje nėra numatyta tos pačios lyties asmenų santuoka </w:t>
      </w:r>
      <w:r w:rsidRPr="0042457A">
        <w:rPr>
          <w:rFonts w:ascii="Calibri" w:hAnsi="Calibri"/>
          <w:sz w:val="22"/>
          <w:szCs w:val="22"/>
        </w:rPr>
        <w:t>(registruota partnerystė, jei pagal jos teisę registruota partnerystė traktuojama kaip lygiavertė santuokai)</w:t>
      </w:r>
      <w:r w:rsidRPr="0042457A">
        <w:rPr>
          <w:rFonts w:ascii="Calibri" w:hAnsi="Calibri"/>
          <w:sz w:val="22"/>
          <w:szCs w:val="22"/>
          <w:u w:val="single"/>
        </w:rPr>
        <w:t>, siekdama neleisti susijungti Europos Sąjungos piliečio (</w:t>
      </w:r>
      <w:r w:rsidRPr="0042457A">
        <w:rPr>
          <w:rFonts w:ascii="Calibri" w:hAnsi="Calibri"/>
          <w:i/>
          <w:sz w:val="22"/>
          <w:szCs w:val="22"/>
          <w:u w:val="single"/>
        </w:rPr>
        <w:t>inter alia</w:t>
      </w:r>
      <w:r w:rsidRPr="0042457A">
        <w:rPr>
          <w:rFonts w:ascii="Calibri" w:hAnsi="Calibri"/>
          <w:sz w:val="22"/>
          <w:szCs w:val="22"/>
          <w:u w:val="single"/>
        </w:rPr>
        <w:t xml:space="preserve"> savo piliečio), pasinaudojusio savo judėjimo laisve, ir tos pačios lyties trečiosios šalies piliečio, kitoje valstybėje narėje teisėtai sudariusių santuoką (ar įregistravusių partnerystę), šeimai</w:t>
      </w:r>
      <w:r w:rsidRPr="0042457A">
        <w:rPr>
          <w:rFonts w:ascii="Calibri" w:hAnsi="Calibri"/>
          <w:sz w:val="22"/>
          <w:szCs w:val="22"/>
        </w:rPr>
        <w:t>.</w:t>
      </w:r>
    </w:p>
    <w:p w14:paraId="2DE0BBDB"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Aiškindamas Įstatymo 43 straipsnio (2006 m. lapkričio 28 d. redakcija) 1 dalies 5 punktą ir su juo susijusį Įstatyme nustatytą teisinį reguliavimą, Konstitucinis Teismas konstatavo:</w:t>
      </w:r>
    </w:p>
    <w:p w14:paraId="21939382"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 šiame punkte yra nustatytas vienas iš leidimo laikinai gyventi išdavimo užsieniečiui, kuris nėra Europos Sąjungos ar Europos laisvosios prekybos asociacijos valstybės narės pilietis, šeimos susijungimo pagrindų;</w:t>
      </w:r>
    </w:p>
    <w:p w14:paraId="358E98A0"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 nei Įstatymo 43 straipsnio 1 dalies 5 punkte, nei 2 straipsnio 26 dalyje (2014 m. gruodžio 9 d. redakcija), nei kitose Įstatymo nuostatose </w:t>
      </w:r>
      <w:r w:rsidRPr="0042457A">
        <w:rPr>
          <w:rFonts w:ascii="Calibri" w:hAnsi="Calibri"/>
          <w:sz w:val="22"/>
          <w:szCs w:val="22"/>
          <w:u w:val="single"/>
        </w:rPr>
        <w:t>nėra eksplicitiškai įtvirtinta, kad užsienietis ir jo sutuoktinis arba asmuo, su kuriuo sudaryta registruotos partnerystės sutartis ir kuris yra Lietuvos Respublikos pilietis arba užsienietis, turintis leidimą gyventi, turi būti skirtingų lyčių asmenys</w:t>
      </w:r>
      <w:r w:rsidRPr="0042457A">
        <w:rPr>
          <w:rFonts w:ascii="Calibri" w:hAnsi="Calibri"/>
          <w:sz w:val="22"/>
          <w:szCs w:val="22"/>
        </w:rPr>
        <w:t>;</w:t>
      </w:r>
    </w:p>
    <w:p w14:paraId="3A820705"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 nei Įstatymo 43 straipsnio 1 dalies 5 punkte, nei 2 straipsnio 26 dalyje (2014 m. gruodžio 9 d. redakcija), nei kitose Įstatymo nuostatose </w:t>
      </w:r>
      <w:r w:rsidRPr="0042457A">
        <w:rPr>
          <w:rFonts w:ascii="Calibri" w:hAnsi="Calibri"/>
          <w:sz w:val="22"/>
          <w:szCs w:val="22"/>
          <w:u w:val="single"/>
        </w:rPr>
        <w:t>nėra eksplicitiškai įtvirtinta, kad užsieniečio ir Lietuvos Respublikos piliečio arba užsieniečio, turinčio leidimą gyventi, santuoka arba registruota partnerystė turi būti įtraukta į apskaitą Lietuvos Respublikos civilinės metrikacijos įstaigoje</w:t>
      </w:r>
      <w:r w:rsidRPr="0042457A">
        <w:rPr>
          <w:rFonts w:ascii="Calibri" w:hAnsi="Calibri"/>
          <w:sz w:val="22"/>
          <w:szCs w:val="22"/>
        </w:rPr>
        <w:t>;</w:t>
      </w:r>
    </w:p>
    <w:p w14:paraId="29541CF1"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 pagal Įstatymo 43 straipsnio 1 dalies 5 punktą </w:t>
      </w:r>
      <w:r w:rsidRPr="0042457A">
        <w:rPr>
          <w:rFonts w:ascii="Calibri" w:hAnsi="Calibri"/>
          <w:sz w:val="22"/>
          <w:szCs w:val="22"/>
          <w:u w:val="single"/>
        </w:rPr>
        <w:t>leidimas laikinai gyventi užsieniečiui šeimos susijungimo atveju gali būti išduodamas, jeigu jis</w:t>
      </w:r>
      <w:r w:rsidRPr="0042457A">
        <w:rPr>
          <w:rFonts w:ascii="Calibri" w:hAnsi="Calibri"/>
          <w:sz w:val="22"/>
          <w:szCs w:val="22"/>
        </w:rPr>
        <w:t xml:space="preserve"> (išskyrus Įstatymo 26 straipsnio 3 dalyje (2014 m. gruodžio 9 d. redakcija) </w:t>
      </w:r>
      <w:r w:rsidRPr="0042457A">
        <w:rPr>
          <w:rFonts w:ascii="Calibri" w:hAnsi="Calibri"/>
          <w:sz w:val="22"/>
          <w:szCs w:val="22"/>
        </w:rPr>
        <w:lastRenderedPageBreak/>
        <w:t xml:space="preserve">nustatytą išimtį) </w:t>
      </w:r>
      <w:r w:rsidRPr="0042457A">
        <w:rPr>
          <w:rFonts w:ascii="Calibri" w:hAnsi="Calibri"/>
          <w:sz w:val="22"/>
          <w:szCs w:val="22"/>
          <w:u w:val="single"/>
        </w:rPr>
        <w:t>atitinka bendrąsias leidimo laikinai gyventi išdavimo sąlygas</w:t>
      </w:r>
      <w:r w:rsidRPr="0042457A">
        <w:rPr>
          <w:rFonts w:ascii="Calibri" w:hAnsi="Calibri"/>
          <w:sz w:val="22"/>
          <w:szCs w:val="22"/>
        </w:rPr>
        <w:t xml:space="preserve">, nustatytas Įstatymo 26 straipsnio (2006 m. lapkričio 28 d. redakcija) 1 dalies 2–4 punktuose; leidimas laikinai gyventi užsieniečiui šeimos susijungimo atveju </w:t>
      </w:r>
      <w:r w:rsidRPr="0042457A">
        <w:rPr>
          <w:rFonts w:ascii="Calibri" w:hAnsi="Calibri"/>
          <w:sz w:val="22"/>
          <w:szCs w:val="22"/>
          <w:u w:val="single"/>
        </w:rPr>
        <w:t>negali būti išduodamas bendrais atsisakymo išduoti užsieniečiui leidimą gyventi pagrindais</w:t>
      </w:r>
      <w:r w:rsidRPr="0042457A">
        <w:rPr>
          <w:rFonts w:ascii="Calibri" w:hAnsi="Calibri"/>
          <w:sz w:val="22"/>
          <w:szCs w:val="22"/>
        </w:rPr>
        <w:t xml:space="preserve">, nustatytais Įstatymo 35 straipsnio 1 dalyje (2015 m. lapkričio 26 d. redakcija), </w:t>
      </w:r>
      <w:r w:rsidRPr="0042457A">
        <w:rPr>
          <w:rFonts w:ascii="Calibri" w:hAnsi="Calibri"/>
          <w:i/>
          <w:sz w:val="22"/>
          <w:szCs w:val="22"/>
        </w:rPr>
        <w:t>inter alia</w:t>
      </w:r>
      <w:r w:rsidRPr="0042457A">
        <w:rPr>
          <w:rFonts w:ascii="Calibri" w:hAnsi="Calibri"/>
          <w:sz w:val="22"/>
          <w:szCs w:val="22"/>
        </w:rPr>
        <w:t xml:space="preserve"> susijusiais su galima grėsme valstybės saugumui, viešajai tvarkai ar žmonių sveikatai, neatitiktimi minėtoms bendrosioms leidimo laikinai gyventi išdavimo sąlygoms, sudarytos santuokos ar registruotos partnerystės fiktyvumu.</w:t>
      </w:r>
    </w:p>
    <w:p w14:paraId="1AE70007"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Įstatymu, </w:t>
      </w:r>
      <w:r w:rsidRPr="0042457A">
        <w:rPr>
          <w:rFonts w:ascii="Calibri" w:hAnsi="Calibri"/>
          <w:i/>
          <w:sz w:val="22"/>
          <w:szCs w:val="22"/>
        </w:rPr>
        <w:t>inter alia</w:t>
      </w:r>
      <w:r w:rsidRPr="0042457A">
        <w:rPr>
          <w:rFonts w:ascii="Calibri" w:hAnsi="Calibri"/>
          <w:sz w:val="22"/>
          <w:szCs w:val="22"/>
        </w:rPr>
        <w:t xml:space="preserve"> Įstatymo 43 straipsnio 1 dalies 5 punktu, nėra reguliuojami teisiniai santykiai, kuriuos reguliuoja kiti įstatymai, kaip antai Civilinis kodeksas, Civilinės būklės aktų registravimo įstatymas; vadinasi, </w:t>
      </w:r>
      <w:r w:rsidRPr="0042457A">
        <w:rPr>
          <w:rFonts w:ascii="Calibri" w:hAnsi="Calibri"/>
          <w:sz w:val="22"/>
          <w:szCs w:val="22"/>
          <w:u w:val="single"/>
        </w:rPr>
        <w:t>nėra pagrindo teigti, kad Įstatymo 43 straipsnio 1 dalies 5 punktas aiškintinas atsižvelgiant į Civiliniame kodekse, Civilinės būklės aktų registravimo įstatyme nustatytą teisinį reguliavimą</w:t>
      </w:r>
      <w:r w:rsidRPr="0042457A">
        <w:rPr>
          <w:rFonts w:ascii="Calibri" w:hAnsi="Calibri"/>
          <w:sz w:val="22"/>
          <w:szCs w:val="22"/>
        </w:rPr>
        <w:t>.</w:t>
      </w:r>
    </w:p>
    <w:p w14:paraId="2AF8C20B"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Įstatymo 43 straipsnio 1 dalies 5 punktas aiškintinas atsižvelgiant į Įstatymu įgyvendinamų Europos Sąjungos teisės aktų, </w:t>
      </w:r>
      <w:r w:rsidRPr="0042457A">
        <w:rPr>
          <w:rFonts w:ascii="Calibri" w:hAnsi="Calibri"/>
          <w:i/>
          <w:sz w:val="22"/>
          <w:szCs w:val="22"/>
        </w:rPr>
        <w:t>inter alia</w:t>
      </w:r>
      <w:r w:rsidRPr="0042457A">
        <w:rPr>
          <w:rFonts w:ascii="Calibri" w:hAnsi="Calibri"/>
          <w:sz w:val="22"/>
          <w:szCs w:val="22"/>
        </w:rPr>
        <w:t xml:space="preserve"> Direktyvos 2004/38/EB, nuostatas, pagal kurias </w:t>
      </w:r>
      <w:r w:rsidRPr="0042457A">
        <w:rPr>
          <w:rFonts w:ascii="Calibri" w:hAnsi="Calibri"/>
          <w:sz w:val="22"/>
          <w:szCs w:val="22"/>
          <w:u w:val="single"/>
        </w:rPr>
        <w:t xml:space="preserve">valstybė narė negali remtis viešosios tvarkos išlyga, </w:t>
      </w:r>
      <w:r w:rsidRPr="0042457A">
        <w:rPr>
          <w:rFonts w:ascii="Calibri" w:hAnsi="Calibri"/>
          <w:i/>
          <w:sz w:val="22"/>
          <w:szCs w:val="22"/>
          <w:u w:val="single"/>
        </w:rPr>
        <w:t>inter alia</w:t>
      </w:r>
      <w:r w:rsidRPr="0042457A">
        <w:rPr>
          <w:rFonts w:ascii="Calibri" w:hAnsi="Calibri"/>
          <w:sz w:val="22"/>
          <w:szCs w:val="22"/>
          <w:u w:val="single"/>
        </w:rPr>
        <w:t xml:space="preserve"> tuo, kad jos teisėje nėra numatyta tos pačios lyties asmenų santuoka</w:t>
      </w:r>
      <w:r w:rsidRPr="0042457A">
        <w:rPr>
          <w:rFonts w:ascii="Calibri" w:hAnsi="Calibri"/>
          <w:sz w:val="22"/>
          <w:szCs w:val="22"/>
        </w:rPr>
        <w:t xml:space="preserve"> (registruota partnerystė, jei pagal jos teisę registruota partnerystė traktuojama kaip lygiavertė santuokai), </w:t>
      </w:r>
      <w:r w:rsidRPr="0042457A">
        <w:rPr>
          <w:rFonts w:ascii="Calibri" w:hAnsi="Calibri"/>
          <w:sz w:val="22"/>
          <w:szCs w:val="22"/>
          <w:u w:val="single"/>
        </w:rPr>
        <w:t>siekdama neleisti susijungti Europos Sąjungos piliečio (</w:t>
      </w:r>
      <w:r w:rsidRPr="0042457A">
        <w:rPr>
          <w:rFonts w:ascii="Calibri" w:hAnsi="Calibri"/>
          <w:i/>
          <w:sz w:val="22"/>
          <w:szCs w:val="22"/>
          <w:u w:val="single"/>
        </w:rPr>
        <w:t>inter alia</w:t>
      </w:r>
      <w:r w:rsidRPr="0042457A">
        <w:rPr>
          <w:rFonts w:ascii="Calibri" w:hAnsi="Calibri"/>
          <w:sz w:val="22"/>
          <w:szCs w:val="22"/>
          <w:u w:val="single"/>
        </w:rPr>
        <w:t xml:space="preserve"> savo piliečio), pasinaudojusio savo judėjimo laisve, ir tos pačios lyties trečiosios šalies piliečio, kitoje valstybėje narėje teisėtai sudariusių santuoką (ar įregistravusių partnerystę), šeimai</w:t>
      </w:r>
      <w:r w:rsidRPr="0042457A">
        <w:rPr>
          <w:rFonts w:ascii="Calibri" w:hAnsi="Calibri"/>
          <w:sz w:val="22"/>
          <w:szCs w:val="22"/>
        </w:rPr>
        <w:t>.</w:t>
      </w:r>
    </w:p>
    <w:p w14:paraId="2438EE00" w14:textId="05518F3D" w:rsidR="0042457A" w:rsidRPr="0042457A" w:rsidRDefault="0042457A" w:rsidP="0042457A">
      <w:pPr>
        <w:ind w:firstLine="567"/>
        <w:jc w:val="both"/>
        <w:rPr>
          <w:rFonts w:ascii="Calibri" w:hAnsi="Calibri"/>
          <w:sz w:val="22"/>
          <w:szCs w:val="22"/>
        </w:rPr>
      </w:pPr>
      <w:r w:rsidRPr="0042457A">
        <w:rPr>
          <w:rFonts w:ascii="Calibri" w:hAnsi="Calibri"/>
          <w:sz w:val="22"/>
          <w:szCs w:val="22"/>
          <w:u w:val="single"/>
        </w:rPr>
        <w:t>Pagal Įstatymo 43 straipsnio 1 dalies 5 punktą leidimas laikinai gyventi užsieniečiui</w:t>
      </w:r>
      <w:r w:rsidRPr="0042457A">
        <w:rPr>
          <w:rFonts w:ascii="Calibri" w:hAnsi="Calibri"/>
          <w:sz w:val="22"/>
          <w:szCs w:val="22"/>
        </w:rPr>
        <w:t xml:space="preserve">, kuris nėra Europos Sąjungos ar Europos laisvosios prekybos asociacijos valstybės narės pilietis, </w:t>
      </w:r>
      <w:r w:rsidRPr="0042457A">
        <w:rPr>
          <w:rFonts w:ascii="Calibri" w:hAnsi="Calibri"/>
          <w:sz w:val="22"/>
          <w:szCs w:val="22"/>
          <w:u w:val="single"/>
        </w:rPr>
        <w:t>šeimos susijungimo Įstatymo 43</w:t>
      </w:r>
      <w:r w:rsidR="007E66A8">
        <w:rPr>
          <w:rFonts w:ascii="Calibri" w:hAnsi="Calibri"/>
          <w:sz w:val="22"/>
          <w:szCs w:val="22"/>
          <w:u w:val="single"/>
        </w:rPr>
        <w:t> </w:t>
      </w:r>
      <w:r w:rsidRPr="0042457A">
        <w:rPr>
          <w:rFonts w:ascii="Calibri" w:hAnsi="Calibri"/>
          <w:sz w:val="22"/>
          <w:szCs w:val="22"/>
          <w:u w:val="single"/>
        </w:rPr>
        <w:t>straipsnio 1 dalies prasme atveju gali būti išduodamas ne tik tada, kai Lietuvos Respublikoje gyvena tokio užsieniečio kitos lyties šeimos narys</w:t>
      </w:r>
      <w:r w:rsidRPr="0042457A">
        <w:rPr>
          <w:rFonts w:ascii="Calibri" w:hAnsi="Calibri"/>
          <w:sz w:val="22"/>
          <w:szCs w:val="22"/>
        </w:rPr>
        <w:t xml:space="preserve"> – asmuo, su kuriuo kitoje valstybėje teisėtai sudaryta santuoka ar registruotos partnerystės sutartis ir kuris yra Lietuvos Respublikos pilietis arba užsienietis (kuris nėra Europos Sąjungos ar Europos laisvosios prekybos asociacijos valstybės narės pilietis), turintis leidimą gyventi, </w:t>
      </w:r>
      <w:r w:rsidRPr="0042457A">
        <w:rPr>
          <w:rFonts w:ascii="Calibri" w:hAnsi="Calibri"/>
          <w:sz w:val="22"/>
          <w:szCs w:val="22"/>
          <w:u w:val="single"/>
        </w:rPr>
        <w:t>bet ir tada, kai Lietuvos Respublikoje gyvena tokio užsieniečio tos pačios lyties šeimos narys</w:t>
      </w:r>
      <w:r w:rsidRPr="0042457A">
        <w:rPr>
          <w:rFonts w:ascii="Calibri" w:hAnsi="Calibri"/>
          <w:sz w:val="22"/>
          <w:szCs w:val="22"/>
        </w:rPr>
        <w:t xml:space="preserve"> – asmuo, su kuriuo kitoje valstybėje teisėtai sudaryta santuoka ar registruotos partnerystės sutartis ir kuris yra Lietuvos Respublikos pilietis arba užsienietis (kuris nėra Europos Sąjungos ar Europos laisvosios prekybos asociacijos valstybės narės pilietis), turintis leidimą gyventi. </w:t>
      </w:r>
      <w:r w:rsidRPr="0042457A">
        <w:rPr>
          <w:rFonts w:ascii="Calibri" w:hAnsi="Calibri"/>
          <w:sz w:val="22"/>
          <w:szCs w:val="22"/>
          <w:u w:val="single"/>
        </w:rPr>
        <w:t>Atsisakymas išduoti tokį leidimą negali būti grindžiamas vien užsieniečio lytine tapatybe ir (ar) seksualine orientacija</w:t>
      </w:r>
      <w:r w:rsidRPr="0042457A">
        <w:rPr>
          <w:rFonts w:ascii="Calibri" w:hAnsi="Calibri"/>
          <w:sz w:val="22"/>
          <w:szCs w:val="22"/>
        </w:rPr>
        <w:t>.</w:t>
      </w:r>
    </w:p>
    <w:p w14:paraId="370F2CD9" w14:textId="46274F0A" w:rsidR="0042457A" w:rsidRPr="0042457A" w:rsidRDefault="0042457A" w:rsidP="0042457A">
      <w:pPr>
        <w:ind w:firstLine="567"/>
        <w:jc w:val="both"/>
        <w:rPr>
          <w:rFonts w:ascii="Calibri" w:hAnsi="Calibri"/>
          <w:sz w:val="22"/>
          <w:szCs w:val="22"/>
        </w:rPr>
      </w:pPr>
      <w:r w:rsidRPr="0042457A">
        <w:rPr>
          <w:rFonts w:ascii="Calibri" w:hAnsi="Calibri"/>
          <w:sz w:val="22"/>
          <w:szCs w:val="22"/>
        </w:rPr>
        <w:t>LVAT išplėstinė teisėjų kolegija, atsižvelgdama į Konstitucinio Teismo 2019 m. sausio 11 d. nutarime pateiktą Įstatymo 43 straipsnio (2006 m. lapkričio 28 d. redakcija) 1 dalies 5 punkto nuostatų aiškinimą, konstatavo, jog Departamento sprendimas, kuriuo, motyvuojant tuo, kad pareiškėjo su tos pačios lyties Lietuvos Respublikos piliečiu sudaryta santuoka negali būti pripažįstama Lietuvos Respublikoje, dėl ko jam negali būti išduotas leidimas laikinai gyventi Lietuvos Respublikoje šeimos susijungimo pagrindu, prieštarauja Įstatymo 43</w:t>
      </w:r>
      <w:r w:rsidR="007E66A8">
        <w:rPr>
          <w:rFonts w:ascii="Calibri" w:hAnsi="Calibri"/>
          <w:sz w:val="22"/>
          <w:szCs w:val="22"/>
        </w:rPr>
        <w:t> </w:t>
      </w:r>
      <w:r w:rsidRPr="0042457A">
        <w:rPr>
          <w:rFonts w:ascii="Calibri" w:hAnsi="Calibri"/>
          <w:sz w:val="22"/>
          <w:szCs w:val="22"/>
        </w:rPr>
        <w:t xml:space="preserve">straipsnio 1 dalies 5 punktui, dėl ko negali būti pripažintas teisėtu ir yra naikintinas. </w:t>
      </w:r>
    </w:p>
    <w:p w14:paraId="5C38592C"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LVAT nutartimi pareiškėjo apeliacinis skundas tenkintas iš dalies, pirmosios instancijos teismo sprendimas pakeistas: Departamento sprendimas panaikintas, o atsakovas įpareigotas iš naujo išnagrinėti pareiškėjo prašymą dėl leidimo laikinai gyventi Lietuvos Respublikoje išdavimo.  </w:t>
      </w:r>
    </w:p>
    <w:p w14:paraId="78C1CCBD" w14:textId="77777777" w:rsidR="0042457A" w:rsidRPr="0042457A" w:rsidRDefault="0042457A" w:rsidP="0042457A">
      <w:pPr>
        <w:ind w:firstLine="567"/>
        <w:jc w:val="both"/>
        <w:rPr>
          <w:rFonts w:ascii="Calibri" w:hAnsi="Calibri"/>
          <w:sz w:val="22"/>
          <w:szCs w:val="22"/>
        </w:rPr>
      </w:pPr>
    </w:p>
    <w:p w14:paraId="3DD8741C" w14:textId="77777777" w:rsidR="0042457A" w:rsidRPr="0042457A" w:rsidRDefault="0042457A" w:rsidP="0042457A">
      <w:pPr>
        <w:jc w:val="both"/>
        <w:rPr>
          <w:rFonts w:ascii="Calibri" w:hAnsi="Calibri"/>
          <w:sz w:val="22"/>
          <w:szCs w:val="22"/>
        </w:rPr>
      </w:pPr>
      <w:bookmarkStart w:id="50" w:name="part_27ed6d5a1bd344b98f2404079ae43d7d"/>
      <w:bookmarkEnd w:id="50"/>
      <w:r w:rsidRPr="0042457A">
        <w:rPr>
          <w:rFonts w:ascii="Calibri" w:hAnsi="Calibri"/>
          <w:sz w:val="22"/>
          <w:szCs w:val="22"/>
        </w:rPr>
        <w:t>Išplėstinės teisėjų kolegijos 2019 m. kovo 20 d. nutartis administracinėje byloje Nr. eA-3227-624/2019</w:t>
      </w:r>
    </w:p>
    <w:p w14:paraId="33EB1CFB" w14:textId="77777777" w:rsidR="0042457A" w:rsidRPr="0042457A" w:rsidRDefault="0042457A" w:rsidP="0042457A">
      <w:pPr>
        <w:jc w:val="both"/>
        <w:rPr>
          <w:rFonts w:ascii="Calibri" w:hAnsi="Calibri"/>
          <w:sz w:val="22"/>
          <w:szCs w:val="22"/>
        </w:rPr>
      </w:pPr>
      <w:r w:rsidRPr="0042457A">
        <w:rPr>
          <w:rFonts w:ascii="Calibri" w:hAnsi="Calibri"/>
          <w:sz w:val="22"/>
          <w:szCs w:val="22"/>
        </w:rPr>
        <w:t xml:space="preserve">Teisminio proceso Nr. </w:t>
      </w:r>
      <w:r w:rsidRPr="0042457A">
        <w:rPr>
          <w:rFonts w:ascii="Calibri" w:eastAsia="Calibri" w:hAnsi="Calibri"/>
          <w:bCs/>
          <w:sz w:val="22"/>
          <w:szCs w:val="22"/>
          <w:lang w:eastAsia="en-US"/>
        </w:rPr>
        <w:t>3-61-3-00530-2016-0</w:t>
      </w:r>
    </w:p>
    <w:p w14:paraId="5DC3959C" w14:textId="77777777" w:rsidR="0042457A" w:rsidRPr="0042457A" w:rsidRDefault="0042457A" w:rsidP="0042457A">
      <w:pPr>
        <w:jc w:val="both"/>
        <w:rPr>
          <w:rFonts w:ascii="Calibri" w:hAnsi="Calibri"/>
          <w:sz w:val="22"/>
          <w:szCs w:val="22"/>
        </w:rPr>
      </w:pPr>
      <w:r w:rsidRPr="0042457A">
        <w:rPr>
          <w:rFonts w:ascii="Calibri" w:hAnsi="Calibri"/>
          <w:sz w:val="22"/>
          <w:szCs w:val="22"/>
        </w:rPr>
        <w:t xml:space="preserve">Procesinio sprendimo kategorija 8.3.1 </w:t>
      </w:r>
    </w:p>
    <w:p w14:paraId="334F6601" w14:textId="77777777" w:rsidR="0042457A" w:rsidRPr="0042457A" w:rsidRDefault="00DC0A59" w:rsidP="0042457A">
      <w:pPr>
        <w:jc w:val="both"/>
        <w:rPr>
          <w:rFonts w:ascii="Calibri" w:hAnsi="Calibri"/>
          <w:sz w:val="22"/>
          <w:szCs w:val="22"/>
        </w:rPr>
      </w:pPr>
      <w:hyperlink r:id="rId14" w:history="1">
        <w:r w:rsidR="0042457A" w:rsidRPr="0042457A">
          <w:rPr>
            <w:rFonts w:ascii="Calibri" w:hAnsi="Calibri"/>
            <w:color w:val="0000FF"/>
            <w:sz w:val="22"/>
            <w:szCs w:val="22"/>
            <w:u w:val="single"/>
          </w:rPr>
          <w:t>Prieiga internete</w:t>
        </w:r>
      </w:hyperlink>
      <w:r w:rsidR="0042457A" w:rsidRPr="0042457A">
        <w:rPr>
          <w:rFonts w:ascii="Calibri" w:hAnsi="Calibri"/>
          <w:sz w:val="22"/>
          <w:szCs w:val="22"/>
        </w:rPr>
        <w:t xml:space="preserve"> </w:t>
      </w:r>
    </w:p>
    <w:bookmarkEnd w:id="41"/>
    <w:p w14:paraId="0808F029" w14:textId="77777777" w:rsidR="0042457A" w:rsidRPr="0042457A" w:rsidRDefault="0042457A" w:rsidP="0042457A">
      <w:pPr>
        <w:jc w:val="both"/>
        <w:rPr>
          <w:rFonts w:ascii="Calibri" w:eastAsia="Calibri" w:hAnsi="Calibri"/>
          <w:sz w:val="22"/>
          <w:szCs w:val="22"/>
          <w:lang w:eastAsia="en-US"/>
        </w:rPr>
      </w:pPr>
    </w:p>
    <w:p w14:paraId="2483A381" w14:textId="77777777" w:rsidR="0042457A" w:rsidRPr="0042457A" w:rsidRDefault="0042457A" w:rsidP="0042457A">
      <w:pPr>
        <w:ind w:firstLine="720"/>
        <w:jc w:val="both"/>
        <w:rPr>
          <w:rFonts w:ascii="Calibri" w:hAnsi="Calibri"/>
          <w:b/>
          <w:sz w:val="22"/>
          <w:szCs w:val="22"/>
          <w:u w:val="single"/>
        </w:rPr>
      </w:pPr>
      <w:r w:rsidRPr="0042457A">
        <w:rPr>
          <w:rFonts w:ascii="Calibri" w:hAnsi="Calibri"/>
          <w:b/>
          <w:sz w:val="22"/>
          <w:szCs w:val="22"/>
          <w:u w:val="single"/>
        </w:rPr>
        <w:t>8.5. Užsieniečių sulaikymas</w:t>
      </w:r>
    </w:p>
    <w:p w14:paraId="69245DE8" w14:textId="77777777" w:rsidR="0042457A" w:rsidRPr="0042457A" w:rsidRDefault="0042457A" w:rsidP="0042457A">
      <w:pPr>
        <w:ind w:firstLine="567"/>
        <w:jc w:val="both"/>
        <w:rPr>
          <w:rFonts w:ascii="Calibri" w:hAnsi="Calibri"/>
          <w:sz w:val="22"/>
          <w:szCs w:val="22"/>
        </w:rPr>
      </w:pPr>
    </w:p>
    <w:p w14:paraId="33338983" w14:textId="77777777" w:rsidR="0042457A" w:rsidRPr="0042457A" w:rsidRDefault="0042457A" w:rsidP="004445E5">
      <w:pPr>
        <w:pStyle w:val="Antrat2"/>
        <w:rPr>
          <w:rFonts w:eastAsia="Calibri"/>
          <w:lang w:eastAsia="en-US"/>
        </w:rPr>
      </w:pPr>
      <w:bookmarkStart w:id="51" w:name="_Toc9845480"/>
      <w:r w:rsidRPr="0042457A">
        <w:rPr>
          <w:rFonts w:eastAsia="Calibri"/>
          <w:lang w:eastAsia="en-US"/>
        </w:rPr>
        <w:t>Dėl aplinkybių, atsiradusių po pirmosios instancijos teismo sprendimo priėmimo, vertinimo</w:t>
      </w:r>
      <w:bookmarkEnd w:id="51"/>
      <w:r w:rsidRPr="0042457A">
        <w:rPr>
          <w:rFonts w:eastAsia="Calibri"/>
          <w:lang w:eastAsia="en-US"/>
        </w:rPr>
        <w:t xml:space="preserve"> </w:t>
      </w:r>
    </w:p>
    <w:p w14:paraId="5B2F4692" w14:textId="77777777" w:rsidR="0042457A" w:rsidRPr="0042457A" w:rsidRDefault="0042457A" w:rsidP="0042457A">
      <w:pPr>
        <w:ind w:firstLine="567"/>
        <w:jc w:val="both"/>
        <w:rPr>
          <w:rFonts w:ascii="Calibri" w:hAnsi="Calibri"/>
          <w:sz w:val="22"/>
          <w:szCs w:val="22"/>
        </w:rPr>
      </w:pPr>
    </w:p>
    <w:p w14:paraId="3FB34307"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Nagrinėtoje byloje ginčas kilo dėl Kazachstano Respublikos piliečio sulaikymo teisėtumo ir pagrįstumo.</w:t>
      </w:r>
    </w:p>
    <w:p w14:paraId="5B1F4446"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Pirmosios instancijos teismas tenkino Migracijos skyriaus teikimą ir sulaikė užsienietį, apgyvendinant jį Užsieniečių registracijos centre.</w:t>
      </w:r>
    </w:p>
    <w:p w14:paraId="598B1E60"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Byloje nustatyta, kad užsienietis Lietuvos Respublikoje yra nuo 2009 m., t. y. 10 metų. Per šį laiką atsakingos institucijos vis dar neišsprendė užsieniečio teisinės padėties Lietuvos Respublikoje klausimo. Pareiškėjas nurodė, kad visus šiuos 10 metų jis gyveno Lietuvoje su Lietuvos Respublikos piliete bei trimis nepilnamečiais vaikais. LVAT pažymėjo, jog iš Lietuvos teismų informacinės sistemos Liteko duomenų matyti, </w:t>
      </w:r>
      <w:r w:rsidRPr="0042457A">
        <w:rPr>
          <w:rFonts w:ascii="Calibri" w:hAnsi="Calibri"/>
          <w:sz w:val="22"/>
          <w:szCs w:val="22"/>
        </w:rPr>
        <w:lastRenderedPageBreak/>
        <w:t xml:space="preserve">kad Kauno apylinkės teismas nutartimi </w:t>
      </w:r>
      <w:r w:rsidRPr="00E342BC">
        <w:rPr>
          <w:rFonts w:ascii="Calibri" w:hAnsi="Calibri"/>
          <w:sz w:val="22"/>
          <w:szCs w:val="22"/>
        </w:rPr>
        <w:t>[vėlesne, nei pirmosios instancijos teismo sprendimas] patvirtino</w:t>
      </w:r>
      <w:r w:rsidRPr="0042457A">
        <w:rPr>
          <w:rFonts w:ascii="Calibri" w:hAnsi="Calibri"/>
          <w:sz w:val="22"/>
          <w:szCs w:val="22"/>
        </w:rPr>
        <w:t xml:space="preserve"> </w:t>
      </w:r>
      <w:bookmarkStart w:id="52" w:name="Buk_59"/>
      <w:r w:rsidRPr="0042457A">
        <w:rPr>
          <w:rFonts w:ascii="Calibri" w:hAnsi="Calibri"/>
          <w:sz w:val="22"/>
          <w:szCs w:val="22"/>
        </w:rPr>
        <w:t xml:space="preserve">užsieniečio </w:t>
      </w:r>
      <w:bookmarkEnd w:id="52"/>
      <w:r w:rsidRPr="0042457A">
        <w:rPr>
          <w:rFonts w:ascii="Calibri" w:hAnsi="Calibri"/>
          <w:sz w:val="22"/>
          <w:szCs w:val="22"/>
        </w:rPr>
        <w:t xml:space="preserve">ir </w:t>
      </w:r>
      <w:bookmarkStart w:id="53" w:name="Buk_42"/>
      <w:r w:rsidRPr="0042457A">
        <w:rPr>
          <w:rFonts w:ascii="Calibri" w:hAnsi="Calibri"/>
          <w:sz w:val="22"/>
          <w:szCs w:val="22"/>
        </w:rPr>
        <w:t xml:space="preserve">Ž. M. </w:t>
      </w:r>
      <w:bookmarkEnd w:id="53"/>
      <w:r w:rsidRPr="0042457A">
        <w:rPr>
          <w:rFonts w:ascii="Calibri" w:hAnsi="Calibri"/>
          <w:sz w:val="22"/>
          <w:szCs w:val="22"/>
        </w:rPr>
        <w:t xml:space="preserve">bendrą pareiškimą dėl tėvystės pripažinimo, kad </w:t>
      </w:r>
      <w:bookmarkStart w:id="54" w:name="Buk_60"/>
      <w:r w:rsidRPr="0042457A">
        <w:rPr>
          <w:rFonts w:ascii="Calibri" w:hAnsi="Calibri"/>
          <w:sz w:val="22"/>
          <w:szCs w:val="22"/>
        </w:rPr>
        <w:t xml:space="preserve">Ž. M. </w:t>
      </w:r>
      <w:bookmarkEnd w:id="54"/>
      <w:r w:rsidRPr="0042457A">
        <w:rPr>
          <w:rFonts w:ascii="Calibri" w:hAnsi="Calibri"/>
          <w:sz w:val="22"/>
          <w:szCs w:val="22"/>
        </w:rPr>
        <w:t xml:space="preserve">vaikų O. M., K. M. ir </w:t>
      </w:r>
      <w:bookmarkStart w:id="55" w:name="Buk_18"/>
      <w:r w:rsidRPr="0042457A">
        <w:rPr>
          <w:rFonts w:ascii="Calibri" w:hAnsi="Calibri"/>
          <w:sz w:val="22"/>
          <w:szCs w:val="22"/>
        </w:rPr>
        <w:t xml:space="preserve">K. M. </w:t>
      </w:r>
      <w:bookmarkEnd w:id="55"/>
      <w:r w:rsidRPr="0042457A">
        <w:rPr>
          <w:rFonts w:ascii="Calibri" w:hAnsi="Calibri"/>
          <w:sz w:val="22"/>
          <w:szCs w:val="22"/>
        </w:rPr>
        <w:t xml:space="preserve">tėvu būtų įrašytas </w:t>
      </w:r>
      <w:bookmarkStart w:id="56" w:name="Buk_36"/>
      <w:r w:rsidRPr="0042457A">
        <w:rPr>
          <w:rFonts w:ascii="Calibri" w:hAnsi="Calibri"/>
          <w:sz w:val="22"/>
          <w:szCs w:val="22"/>
        </w:rPr>
        <w:t>užsienietis</w:t>
      </w:r>
      <w:bookmarkEnd w:id="56"/>
      <w:r w:rsidRPr="0042457A">
        <w:rPr>
          <w:rFonts w:ascii="Calibri" w:hAnsi="Calibri"/>
          <w:sz w:val="22"/>
          <w:szCs w:val="22"/>
        </w:rPr>
        <w:t xml:space="preserve">. Be to, šia nutartimi patvirtinta taikos sutartimi šalys susitarė, kad </w:t>
      </w:r>
      <w:bookmarkStart w:id="57" w:name="Buk_37"/>
      <w:r w:rsidRPr="0042457A">
        <w:rPr>
          <w:rFonts w:ascii="Calibri" w:hAnsi="Calibri"/>
          <w:sz w:val="22"/>
          <w:szCs w:val="22"/>
        </w:rPr>
        <w:t xml:space="preserve">užsienietis </w:t>
      </w:r>
      <w:bookmarkEnd w:id="57"/>
      <w:r w:rsidRPr="0042457A">
        <w:rPr>
          <w:rFonts w:ascii="Calibri" w:hAnsi="Calibri"/>
          <w:sz w:val="22"/>
          <w:szCs w:val="22"/>
        </w:rPr>
        <w:t>visų vaikų išlaikymui moka po 150 Eur kiekvienam kas mėnesį mokamomis periodinėmis išmokomis iki jų pilnametystės, taip pat šalys susitarė, kad ir toliau dalyvaus savo dukrų ir sūnaus auklėjime, kad visi veiksmai ir sprendimai, susiję su jų nepilnamečių vaikų auklėjimu turi būti planuojami ir vykdomi abipusiu šalių susitarimu, atsižvelgiant į dukrų ir sūnaus interesus ir poreikius.</w:t>
      </w:r>
    </w:p>
    <w:p w14:paraId="491926C3"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Atsižvelgus į nustatytas aplinkybes dėl </w:t>
      </w:r>
      <w:bookmarkStart w:id="58" w:name="Buk_43"/>
      <w:r w:rsidRPr="0042457A">
        <w:rPr>
          <w:rFonts w:ascii="Calibri" w:hAnsi="Calibri"/>
          <w:sz w:val="22"/>
          <w:szCs w:val="22"/>
        </w:rPr>
        <w:t xml:space="preserve">užsieniečio </w:t>
      </w:r>
      <w:bookmarkEnd w:id="58"/>
      <w:r w:rsidRPr="0042457A">
        <w:rPr>
          <w:rFonts w:ascii="Calibri" w:hAnsi="Calibri"/>
          <w:sz w:val="22"/>
          <w:szCs w:val="22"/>
        </w:rPr>
        <w:t>šeiminių ryšių ir jo pareigos auklėti bei išlaikyti tris nepilnamečius vaikus, padaryta išvada, jog užsieniečio sulaikymas šiuo atveju būtų neproporcinga jo judėjimo laisvės apribojimo priemonė.</w:t>
      </w:r>
    </w:p>
    <w:p w14:paraId="64F0D12B"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Remdamasis Įstatymo „Dėl užsieniečio teisinės padėties“ 115 straipsnio 1 dalimi, bei įvertinęs tai, jog iš bylos duomenų nenustatyta, kad užsienietis keltų grėsmę valstybės saugumui ir viešajai tvarkai, kad užsienietis šiuo metu nebendradarbiautų su valstybės institucijomis, sprendžiančiomis jo teisinės padėties (statuso) Lietuvoje klausimą, įvertinęs nustatytų aplinkybių visumą ir atsižvelgęs į užsieniečio šeiminius ryšius Lietuvos Respublikoje, LVAT konstatavo, kad yra pagrindas skirti užsieniečiui sulaikymui alternatyvią ir jo prašomą priemonę – įpareigoti ryšio priemonėmis nustatytu laiku pranešti atitinkamai teritorinės policijos įstaigai apie savo buvimo vietą (Įstatymo 115 str. 2 d. 2 p.).</w:t>
      </w:r>
    </w:p>
    <w:p w14:paraId="05953FA8" w14:textId="77777777" w:rsidR="0042457A" w:rsidRPr="0042457A" w:rsidRDefault="0042457A" w:rsidP="0042457A">
      <w:pPr>
        <w:ind w:firstLine="567"/>
        <w:jc w:val="both"/>
        <w:rPr>
          <w:rFonts w:ascii="Calibri" w:hAnsi="Calibri"/>
          <w:sz w:val="22"/>
          <w:szCs w:val="22"/>
        </w:rPr>
      </w:pPr>
    </w:p>
    <w:p w14:paraId="49B7CC20" w14:textId="77777777" w:rsidR="0042457A" w:rsidRPr="0042457A" w:rsidRDefault="0042457A" w:rsidP="0042457A">
      <w:pPr>
        <w:jc w:val="both"/>
        <w:rPr>
          <w:rFonts w:ascii="Calibri" w:hAnsi="Calibri"/>
          <w:sz w:val="22"/>
          <w:szCs w:val="22"/>
        </w:rPr>
      </w:pPr>
      <w:r w:rsidRPr="0042457A">
        <w:rPr>
          <w:rFonts w:ascii="Calibri" w:hAnsi="Calibri"/>
          <w:sz w:val="22"/>
          <w:szCs w:val="22"/>
        </w:rPr>
        <w:t>2019 m. kovo 6 d. nutartis administracinėje byloje Nr. A-3854-662/2019</w:t>
      </w:r>
    </w:p>
    <w:p w14:paraId="2B1EB507" w14:textId="77777777" w:rsidR="0042457A" w:rsidRPr="0042457A" w:rsidRDefault="0042457A" w:rsidP="0042457A">
      <w:pPr>
        <w:jc w:val="both"/>
        <w:rPr>
          <w:rFonts w:ascii="Calibri" w:hAnsi="Calibri"/>
          <w:sz w:val="22"/>
          <w:szCs w:val="22"/>
        </w:rPr>
      </w:pPr>
      <w:r w:rsidRPr="0042457A">
        <w:rPr>
          <w:rFonts w:ascii="Calibri" w:hAnsi="Calibri"/>
          <w:sz w:val="22"/>
          <w:szCs w:val="22"/>
        </w:rPr>
        <w:t>Teisminio proceso Nr. 4-69-3-00064-2019-4</w:t>
      </w:r>
    </w:p>
    <w:p w14:paraId="5413995F" w14:textId="77777777" w:rsidR="0042457A" w:rsidRPr="0042457A" w:rsidRDefault="0042457A" w:rsidP="0042457A">
      <w:pPr>
        <w:jc w:val="both"/>
        <w:rPr>
          <w:rFonts w:ascii="Calibri" w:hAnsi="Calibri"/>
          <w:sz w:val="22"/>
          <w:szCs w:val="22"/>
        </w:rPr>
      </w:pPr>
      <w:r w:rsidRPr="0042457A">
        <w:rPr>
          <w:rFonts w:ascii="Calibri" w:hAnsi="Calibri"/>
          <w:sz w:val="22"/>
          <w:szCs w:val="22"/>
        </w:rPr>
        <w:t>Procesinio sprendimo kategorija 8.5</w:t>
      </w:r>
    </w:p>
    <w:p w14:paraId="0EEFA476" w14:textId="77777777" w:rsidR="0042457A" w:rsidRPr="0042457A" w:rsidRDefault="00DC0A59" w:rsidP="0042457A">
      <w:pPr>
        <w:jc w:val="both"/>
        <w:rPr>
          <w:rFonts w:ascii="Calibri" w:hAnsi="Calibri"/>
          <w:sz w:val="22"/>
          <w:szCs w:val="22"/>
        </w:rPr>
      </w:pPr>
      <w:hyperlink r:id="rId15" w:history="1">
        <w:r w:rsidR="0042457A" w:rsidRPr="0042457A">
          <w:rPr>
            <w:rFonts w:ascii="Calibri" w:hAnsi="Calibri"/>
            <w:color w:val="0000FF"/>
            <w:sz w:val="22"/>
            <w:szCs w:val="22"/>
            <w:u w:val="single"/>
          </w:rPr>
          <w:t xml:space="preserve">Prieiga internete </w:t>
        </w:r>
      </w:hyperlink>
      <w:r w:rsidR="0042457A" w:rsidRPr="0042457A">
        <w:rPr>
          <w:rFonts w:ascii="Calibri" w:hAnsi="Calibri"/>
          <w:sz w:val="22"/>
          <w:szCs w:val="22"/>
        </w:rPr>
        <w:t xml:space="preserve"> </w:t>
      </w:r>
    </w:p>
    <w:p w14:paraId="67415981" w14:textId="77777777" w:rsidR="00E342BC" w:rsidRDefault="00E342BC" w:rsidP="00C03141">
      <w:pPr>
        <w:pStyle w:val="Antrat1"/>
        <w:rPr>
          <w:rFonts w:asciiTheme="minorHAnsi" w:hAnsiTheme="minorHAnsi" w:cstheme="minorHAnsi"/>
        </w:rPr>
      </w:pPr>
      <w:bookmarkStart w:id="59" w:name="_Toc462149976"/>
    </w:p>
    <w:p w14:paraId="61DB1EC8" w14:textId="77777777" w:rsidR="0042457A" w:rsidRPr="0042457A" w:rsidRDefault="0042457A" w:rsidP="0042457A">
      <w:pPr>
        <w:pStyle w:val="Antrat1"/>
        <w:rPr>
          <w:rFonts w:ascii="Calibri" w:hAnsi="Calibri"/>
        </w:rPr>
      </w:pPr>
      <w:bookmarkStart w:id="60" w:name="_Toc9845481"/>
      <w:bookmarkEnd w:id="59"/>
      <w:r w:rsidRPr="0042457A">
        <w:rPr>
          <w:rFonts w:ascii="Calibri" w:hAnsi="Calibri"/>
        </w:rPr>
        <w:t>21. Valstybės tarnautojo statuso įgijimas, pasikeitimas, praradimas ir atsakomybė</w:t>
      </w:r>
      <w:bookmarkEnd w:id="60"/>
    </w:p>
    <w:p w14:paraId="2E38C516" w14:textId="77777777" w:rsidR="0042457A" w:rsidRPr="0042457A" w:rsidRDefault="0042457A" w:rsidP="0042457A">
      <w:pPr>
        <w:ind w:firstLine="720"/>
        <w:jc w:val="both"/>
        <w:rPr>
          <w:rFonts w:ascii="Calibri" w:hAnsi="Calibri"/>
          <w:b/>
          <w:sz w:val="22"/>
          <w:szCs w:val="22"/>
          <w:u w:val="single"/>
        </w:rPr>
      </w:pPr>
      <w:r w:rsidRPr="0042457A">
        <w:rPr>
          <w:rFonts w:ascii="Calibri" w:hAnsi="Calibri"/>
          <w:b/>
          <w:sz w:val="22"/>
          <w:szCs w:val="22"/>
          <w:u w:val="single"/>
        </w:rPr>
        <w:t>21.2. Tarnybinės nuobaudos</w:t>
      </w:r>
    </w:p>
    <w:p w14:paraId="52ED9C15" w14:textId="77777777" w:rsidR="0042457A" w:rsidRPr="0042457A" w:rsidRDefault="0042457A" w:rsidP="0042457A">
      <w:pPr>
        <w:ind w:firstLine="567"/>
        <w:jc w:val="both"/>
        <w:rPr>
          <w:rFonts w:ascii="Calibri" w:hAnsi="Calibri"/>
          <w:sz w:val="22"/>
          <w:szCs w:val="22"/>
        </w:rPr>
      </w:pPr>
    </w:p>
    <w:p w14:paraId="0089A939" w14:textId="77777777" w:rsidR="0042457A" w:rsidRPr="0042457A" w:rsidRDefault="0042457A" w:rsidP="004445E5">
      <w:pPr>
        <w:pStyle w:val="Antrat2"/>
        <w:rPr>
          <w:rFonts w:eastAsia="Calibri"/>
          <w:lang w:eastAsia="en-US"/>
        </w:rPr>
      </w:pPr>
      <w:bookmarkStart w:id="61" w:name="_Toc9845482"/>
      <w:r w:rsidRPr="0042457A">
        <w:rPr>
          <w:rFonts w:eastAsia="Calibri"/>
          <w:lang w:eastAsia="en-US"/>
        </w:rPr>
        <w:t>Dėl konstitucinių nuostatų, skirtų teisėjams, taikymo, sprendžiant prokuroro tarnybinės atsakomybės klausimą</w:t>
      </w:r>
      <w:bookmarkEnd w:id="61"/>
    </w:p>
    <w:p w14:paraId="3C2DB025" w14:textId="77777777" w:rsidR="0042457A" w:rsidRPr="0042457A" w:rsidRDefault="0042457A" w:rsidP="0042457A">
      <w:pPr>
        <w:ind w:firstLine="567"/>
        <w:jc w:val="both"/>
        <w:rPr>
          <w:rFonts w:ascii="Calibri" w:hAnsi="Calibri"/>
          <w:sz w:val="22"/>
          <w:szCs w:val="22"/>
        </w:rPr>
      </w:pPr>
    </w:p>
    <w:p w14:paraId="3FCB5D60"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Nagrinėtos administracinės bylos ginčo dalykas – ar teisėtai ir pagrįstai Lietuvos Respublikos generalinis prokuroras rezoliucija pripažino, kad prokuroras padarė tarnybinį pažeidimą.</w:t>
      </w:r>
    </w:p>
    <w:p w14:paraId="77C9FA52" w14:textId="03ACDDA0"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LVAT pritarė pirmosios instancijos teismo vertinimui, kad bendrosios kompetencijos teismo nutartis iš esmės reiškia, jog pareiškėjas pažeidė </w:t>
      </w:r>
      <w:r w:rsidR="00E83AC5">
        <w:rPr>
          <w:rFonts w:ascii="Calibri" w:hAnsi="Calibri"/>
          <w:sz w:val="22"/>
          <w:szCs w:val="22"/>
        </w:rPr>
        <w:t>BPK</w:t>
      </w:r>
      <w:r w:rsidRPr="0042457A">
        <w:rPr>
          <w:rFonts w:ascii="Calibri" w:hAnsi="Calibri"/>
          <w:sz w:val="22"/>
          <w:szCs w:val="22"/>
        </w:rPr>
        <w:t xml:space="preserve"> nuostatas ir, kad laikinas nuosavybės teisių apribojimas prokuroro nutarimu buvo paskirtas neteisėtai. Remiantis Teismų įstatymo 9 straipsnio 1 dalimi, šios nutarties nuostatos negali būti diskutuojamos ar pakeistos administracinėje byloje. </w:t>
      </w:r>
    </w:p>
    <w:p w14:paraId="1A9522D0"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Teisėjų kolegija nurodė, kad Lietuvos Respublikos Konstitucinis Teismas 2014 m. kovo 10 d. sprendime Nr. KT9</w:t>
      </w:r>
      <w:r w:rsidRPr="0042457A">
        <w:rPr>
          <w:rFonts w:ascii="Calibri" w:hAnsi="Calibri"/>
          <w:sz w:val="22"/>
          <w:szCs w:val="22"/>
        </w:rPr>
        <w:noBreakHyphen/>
        <w:t xml:space="preserve">S6/2014 išaiškino, kad konstitucinis teisėjo ir teismų nepriklausomumo principas nepaneigia galimybės taikyti teisėjams drausminę atsakomybę už vengimą atlikti pareigas be pateisinamos priežasties, netinkamą pareigų atlikimą, tačiau </w:t>
      </w:r>
      <w:r w:rsidRPr="0042457A">
        <w:rPr>
          <w:rFonts w:ascii="Calibri" w:hAnsi="Calibri"/>
          <w:sz w:val="22"/>
          <w:szCs w:val="22"/>
          <w:u w:val="single"/>
        </w:rPr>
        <w:t>vien tai, kad aukštesnės instancijos teismas, proceso įstatymų nustatyta tvarka peržiūrėjęs teisėjo priimtą sprendimą, jį pakeitė arba panaikino dėl jį priimant padarytų teisės aiškinimo ir (arba) taikymo klaidų, proceso įstatymų pažeidimų, nereiškia, kad yra pagrindas taikyti teisėjui drausminę atsakomybę. Nuolat pasikartojančios šiurkščios, akivaizdžios teisės aiškinimo ir (arba) taikymo klaidos, nuolat pasikartojantys šiurkštūs, akivaizdūs proceso įstatymų pažeidimai, padaryti teisėjui priimant sprendimus, yra pagrindas teismų savivaldos institucijai (-oms), turinčiai (-ioms) atitinkamus įgaliojimus, teisėjo elgesį vertinti kaip netinkamą pareigų atlikimą, reikiamos profesinės kvalifikacijos stoką, taikyti teisėjui drausminę atsakomybę</w:t>
      </w:r>
      <w:r w:rsidRPr="0042457A">
        <w:rPr>
          <w:rFonts w:ascii="Calibri" w:hAnsi="Calibri"/>
          <w:sz w:val="22"/>
          <w:szCs w:val="22"/>
        </w:rPr>
        <w:t>.</w:t>
      </w:r>
    </w:p>
    <w:p w14:paraId="66654553"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Konstitucinis Teismas tame pat sprendime taip pat išaiškino, jog tai, kad žemesnės instancijos teismo teisėjo, nepriklausomai ir nešališkai išnagrinėjusio bylą, priimant sprendimą padarytos teisės aiškinimo ir (arba) taikymo klaidos, proceso įstatymų pažeidimai ištaisomi aukštesnės instancijos teismo, pirmiausia rodo, kad teismų instancinė sistema veikia pagal savo paskirtį, o ne tai, kad pakeistą ar panaikintą sprendimą priėmęs teisėjas aplaidžiai atliko savo pareigas ar stokojo reikiamos profesinės kvalifikacijos. Aukštesnės instancijos teismui peržiūrint ir keičiant ar naikinant žemesnės instancijos teismo priimtą sprendimą nėra vertinama jį priėmusio teisėjo kvalifikacija ar veikla (darbas) nagrinėjant bylas. Galimybė teisėjams taikyti kokias nors neigiamus padarinius turinčias priemones už jų priimtus konkrečius sprendimus (juose išdėstytą faktų vertinimą ir teisės aiškinimą) paneigtų teismų instancinės sistemos esmę, sudarytų prielaidas pažeisti teisėjo procesinį </w:t>
      </w:r>
      <w:r w:rsidRPr="0042457A">
        <w:rPr>
          <w:rFonts w:ascii="Calibri" w:hAnsi="Calibri"/>
          <w:sz w:val="22"/>
          <w:szCs w:val="22"/>
        </w:rPr>
        <w:lastRenderedPageBreak/>
        <w:t>savarankiškumą sprendžiant visus su nagrinėjama byla susijusius klausimus, kištis į teisėjo ar teismo veiksmus vykdant teisingumą, taigi pažeistų konstitucinį teisėjo ir teismų nepriklausomumo principą.</w:t>
      </w:r>
    </w:p>
    <w:p w14:paraId="56217118" w14:textId="4378262B"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LVAT pažymėjo, kad </w:t>
      </w:r>
      <w:r w:rsidRPr="0042457A">
        <w:rPr>
          <w:rFonts w:ascii="Calibri" w:hAnsi="Calibri"/>
          <w:sz w:val="22"/>
          <w:szCs w:val="22"/>
          <w:u w:val="single"/>
        </w:rPr>
        <w:t>nors nurodytos konstitucinės nuostatos skirtos teisėjams, bet, atsižvelgiant į prokuroro statusą ir jo nepriklausomumo principą (Prokuratūros įstatymo 11–12 str.), prokuroro veiksmų ir sprendimų apskundimo pakopinę (instancinę) tvarką (Prokuratūros įstatymo 3 str. 4 d.), prokuratūros statusą ir funkcijas (Prokuratūros įstatymo 2 str.), paminėti principai taikytini ir prokurorų atžvilgiu</w:t>
      </w:r>
      <w:r w:rsidRPr="0042457A">
        <w:rPr>
          <w:rFonts w:ascii="Calibri" w:hAnsi="Calibri"/>
          <w:sz w:val="22"/>
          <w:szCs w:val="22"/>
        </w:rPr>
        <w:t>. T. y. jeigu prokuroro sprendimas pakeistas arba panaikintas dėl jį priimant padarytų teisės aiškinimo ir (arba) taikymo klaidų, proceso įstatymų pažeidimų, tai dar nereiškia, kad yra pagrindas taikyti prokurorui tarnybinę atsakomybę. Šiurkščios, akivaizdžios teisės aiškinimo ir (arba) taikymo klaidos, šiurkštūs, akivaizdūs proceso įstatymų pažeidimai, padaryti prokurorui priimant sprendimus, yra pagrindas prokuroro elgesį vertinti kaip netinkamą pareigų atlikimą, reikiamos profesinės kvalifikacijos stoką, taikyti prokurorui tarnybinę atsakomybę.</w:t>
      </w:r>
    </w:p>
    <w:p w14:paraId="5BFC8DCB"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Įvertinęs pareiškėjo ir atsakovo paaiškinimus, bendrosios kompetencijos teismo nutarties motyvus, LVAT konstatavo, kad ir teismų (apylinkės ir apygardos) teisėjų nuomonės nesutapo ginčo klausimais. Šios aplinkybės įrodo, kad pareiškėjas veikė nepakankamai teisiškai apibrėžtoje ir aiškioje srityje. Jo padarytas procesinis pažeidimas nėra akivaizdus ar šiurkštus. Taip pat byloje nėra duomenų, kad jis nuolat, pakartotinai pažeidė baudžiamojo proceso nuostatas dėl laikino nuosavybės teisių apribojimo taikymo. Iš bylos medžiagos matyti, kad prokuroras rėmėsi savo žiniomis ir vidiniu įsitikinimu, sąžiningai siekė geriausio rezultato valstybei ir visuomenei, veikdamas savo kompetencijos ribose. </w:t>
      </w:r>
    </w:p>
    <w:p w14:paraId="02D88A0E" w14:textId="6AF0AD9C" w:rsidR="0042457A" w:rsidRPr="0042457A" w:rsidRDefault="0042457A" w:rsidP="0042457A">
      <w:pPr>
        <w:ind w:firstLine="567"/>
        <w:jc w:val="both"/>
        <w:rPr>
          <w:rFonts w:ascii="Calibri" w:hAnsi="Calibri"/>
          <w:sz w:val="22"/>
          <w:szCs w:val="22"/>
        </w:rPr>
      </w:pPr>
      <w:r w:rsidRPr="0042457A">
        <w:rPr>
          <w:rFonts w:ascii="Calibri" w:hAnsi="Calibri"/>
          <w:sz w:val="22"/>
          <w:szCs w:val="22"/>
        </w:rPr>
        <w:t>LVAT nutartimi pirmosios instancijos teismo sprendimas paliktas nepakeistas, o apeliacinis skundas atmestas.</w:t>
      </w:r>
    </w:p>
    <w:p w14:paraId="4834DE61" w14:textId="77777777" w:rsidR="0042457A" w:rsidRPr="0042457A" w:rsidRDefault="0042457A" w:rsidP="0042457A">
      <w:pPr>
        <w:ind w:firstLine="567"/>
        <w:jc w:val="both"/>
        <w:rPr>
          <w:rFonts w:ascii="Calibri" w:hAnsi="Calibri"/>
          <w:sz w:val="22"/>
          <w:szCs w:val="22"/>
        </w:rPr>
      </w:pPr>
    </w:p>
    <w:p w14:paraId="2F43F7EC" w14:textId="77777777" w:rsidR="0042457A" w:rsidRPr="0042457A" w:rsidRDefault="0042457A" w:rsidP="0042457A">
      <w:pPr>
        <w:jc w:val="both"/>
        <w:rPr>
          <w:rFonts w:ascii="Calibri" w:hAnsi="Calibri"/>
          <w:sz w:val="22"/>
          <w:szCs w:val="22"/>
        </w:rPr>
      </w:pPr>
      <w:r w:rsidRPr="0042457A">
        <w:rPr>
          <w:rFonts w:ascii="Calibri" w:hAnsi="Calibri"/>
          <w:sz w:val="22"/>
          <w:szCs w:val="22"/>
        </w:rPr>
        <w:t>2019 m. kovo 13 d. nutartis administracinėje byloje Nr. A-733-575/2019</w:t>
      </w:r>
    </w:p>
    <w:p w14:paraId="5D8AEA8E" w14:textId="77777777" w:rsidR="0042457A" w:rsidRPr="0042457A" w:rsidRDefault="0042457A" w:rsidP="0042457A">
      <w:pPr>
        <w:jc w:val="both"/>
        <w:rPr>
          <w:rFonts w:ascii="Calibri" w:hAnsi="Calibri"/>
          <w:sz w:val="22"/>
          <w:szCs w:val="22"/>
        </w:rPr>
      </w:pPr>
      <w:r w:rsidRPr="0042457A">
        <w:rPr>
          <w:rFonts w:ascii="Calibri" w:hAnsi="Calibri"/>
          <w:sz w:val="22"/>
          <w:szCs w:val="22"/>
        </w:rPr>
        <w:t>Teisminio proceso Nr. 3-61-3-00078-2017-8</w:t>
      </w:r>
    </w:p>
    <w:p w14:paraId="355530EA" w14:textId="77777777" w:rsidR="0042457A" w:rsidRPr="0042457A" w:rsidRDefault="0042457A" w:rsidP="0042457A">
      <w:pPr>
        <w:jc w:val="both"/>
        <w:rPr>
          <w:rFonts w:ascii="Calibri" w:hAnsi="Calibri"/>
          <w:sz w:val="22"/>
          <w:szCs w:val="22"/>
        </w:rPr>
      </w:pPr>
      <w:r w:rsidRPr="0042457A">
        <w:rPr>
          <w:rFonts w:ascii="Calibri" w:hAnsi="Calibri"/>
          <w:sz w:val="22"/>
          <w:szCs w:val="22"/>
        </w:rPr>
        <w:t>Procesinio sprendimo kategorija 21.2</w:t>
      </w:r>
    </w:p>
    <w:p w14:paraId="204246FE" w14:textId="77777777" w:rsidR="0042457A" w:rsidRPr="0042457A" w:rsidRDefault="00DC0A59" w:rsidP="0042457A">
      <w:pPr>
        <w:jc w:val="both"/>
        <w:rPr>
          <w:rFonts w:ascii="Calibri" w:hAnsi="Calibri"/>
          <w:sz w:val="22"/>
          <w:szCs w:val="22"/>
        </w:rPr>
      </w:pPr>
      <w:hyperlink r:id="rId16" w:history="1">
        <w:r w:rsidR="0042457A" w:rsidRPr="0042457A">
          <w:rPr>
            <w:rFonts w:ascii="Calibri" w:hAnsi="Calibri"/>
            <w:color w:val="0000FF"/>
            <w:sz w:val="22"/>
            <w:szCs w:val="22"/>
            <w:u w:val="single"/>
          </w:rPr>
          <w:t>Prieiga internete</w:t>
        </w:r>
      </w:hyperlink>
      <w:r w:rsidR="0042457A" w:rsidRPr="0042457A">
        <w:rPr>
          <w:rFonts w:ascii="Calibri" w:hAnsi="Calibri"/>
          <w:sz w:val="22"/>
          <w:szCs w:val="22"/>
        </w:rPr>
        <w:t xml:space="preserve"> </w:t>
      </w:r>
    </w:p>
    <w:p w14:paraId="29AA4AC7" w14:textId="77777777" w:rsidR="0042457A" w:rsidRPr="0042457A" w:rsidRDefault="0042457A" w:rsidP="0042457A">
      <w:pPr>
        <w:ind w:firstLine="567"/>
        <w:jc w:val="both"/>
        <w:rPr>
          <w:rFonts w:ascii="Calibri" w:hAnsi="Calibri"/>
          <w:sz w:val="22"/>
          <w:szCs w:val="22"/>
        </w:rPr>
      </w:pPr>
    </w:p>
    <w:p w14:paraId="714E841A" w14:textId="77777777" w:rsidR="0042457A" w:rsidRPr="0042457A" w:rsidRDefault="0042457A" w:rsidP="0042457A">
      <w:pPr>
        <w:ind w:firstLine="720"/>
        <w:jc w:val="both"/>
        <w:rPr>
          <w:rFonts w:ascii="Calibri" w:hAnsi="Calibri"/>
          <w:b/>
          <w:sz w:val="22"/>
          <w:szCs w:val="22"/>
          <w:u w:val="single"/>
        </w:rPr>
      </w:pPr>
      <w:r w:rsidRPr="0042457A">
        <w:rPr>
          <w:rFonts w:ascii="Calibri" w:hAnsi="Calibri"/>
          <w:b/>
          <w:sz w:val="22"/>
          <w:szCs w:val="22"/>
          <w:u w:val="single"/>
        </w:rPr>
        <w:t>21.3. Valstybės tarnautojų atleidimas iš pareigų</w:t>
      </w:r>
    </w:p>
    <w:p w14:paraId="6C2ED812" w14:textId="77777777" w:rsidR="0042457A" w:rsidRPr="0042457A" w:rsidRDefault="0042457A" w:rsidP="0042457A">
      <w:pPr>
        <w:ind w:firstLine="1440"/>
        <w:jc w:val="both"/>
        <w:rPr>
          <w:rFonts w:ascii="Calibri" w:hAnsi="Calibri"/>
          <w:b/>
          <w:sz w:val="22"/>
          <w:szCs w:val="22"/>
          <w:u w:val="single"/>
        </w:rPr>
      </w:pPr>
      <w:r w:rsidRPr="0042457A">
        <w:rPr>
          <w:rFonts w:ascii="Calibri" w:hAnsi="Calibri"/>
          <w:b/>
          <w:sz w:val="22"/>
          <w:szCs w:val="22"/>
          <w:u w:val="single"/>
        </w:rPr>
        <w:t>21.3.7. Pareigybės panaikinimas</w:t>
      </w:r>
    </w:p>
    <w:p w14:paraId="5C2429D7" w14:textId="77777777" w:rsidR="0042457A" w:rsidRPr="0042457A" w:rsidRDefault="0042457A" w:rsidP="0042457A">
      <w:pPr>
        <w:ind w:firstLine="567"/>
        <w:jc w:val="both"/>
        <w:rPr>
          <w:rFonts w:ascii="Calibri" w:hAnsi="Calibri"/>
          <w:sz w:val="22"/>
          <w:szCs w:val="22"/>
        </w:rPr>
      </w:pPr>
    </w:p>
    <w:p w14:paraId="72660E52" w14:textId="77777777" w:rsidR="0042457A" w:rsidRPr="0042457A" w:rsidRDefault="0042457A" w:rsidP="004445E5">
      <w:pPr>
        <w:pStyle w:val="Antrat2"/>
        <w:rPr>
          <w:rFonts w:eastAsia="Calibri"/>
          <w:lang w:eastAsia="en-US"/>
        </w:rPr>
      </w:pPr>
      <w:bookmarkStart w:id="62" w:name="_Toc9845483"/>
      <w:r w:rsidRPr="0042457A">
        <w:rPr>
          <w:rFonts w:eastAsia="Calibri"/>
          <w:lang w:eastAsia="en-US"/>
        </w:rPr>
        <w:t>Dėl profesinės sąjungos sutikimo atleisti darbuotoją negavimo reikšmės</w:t>
      </w:r>
      <w:bookmarkEnd w:id="62"/>
      <w:r w:rsidRPr="0042457A">
        <w:rPr>
          <w:rFonts w:eastAsia="Calibri"/>
          <w:lang w:eastAsia="en-US"/>
        </w:rPr>
        <w:t xml:space="preserve"> </w:t>
      </w:r>
    </w:p>
    <w:p w14:paraId="50404B3C" w14:textId="77777777" w:rsidR="0042457A" w:rsidRPr="0042457A" w:rsidRDefault="0042457A" w:rsidP="0042457A">
      <w:pPr>
        <w:ind w:firstLine="567"/>
        <w:jc w:val="both"/>
        <w:rPr>
          <w:rFonts w:ascii="Calibri" w:hAnsi="Calibri"/>
          <w:sz w:val="22"/>
          <w:szCs w:val="22"/>
        </w:rPr>
      </w:pPr>
    </w:p>
    <w:p w14:paraId="4D9328EB" w14:textId="16A99FE2" w:rsidR="0042457A" w:rsidRPr="0042457A" w:rsidRDefault="0042457A" w:rsidP="0042457A">
      <w:pPr>
        <w:ind w:firstLine="567"/>
        <w:jc w:val="both"/>
        <w:rPr>
          <w:rFonts w:ascii="Calibri" w:hAnsi="Calibri"/>
          <w:sz w:val="22"/>
          <w:szCs w:val="22"/>
        </w:rPr>
      </w:pPr>
      <w:r w:rsidRPr="0042457A">
        <w:rPr>
          <w:rFonts w:ascii="Calibri" w:hAnsi="Calibri"/>
          <w:sz w:val="22"/>
          <w:szCs w:val="22"/>
        </w:rPr>
        <w:t>Byloje ginčas kilos dėl pareiškėjo atleidimo, vadovaujantis Valstybės tarnybos įstatymo (toliau – ir VTĮ) 44</w:t>
      </w:r>
      <w:r w:rsidR="00E83AC5">
        <w:rPr>
          <w:rFonts w:ascii="Calibri" w:hAnsi="Calibri"/>
          <w:sz w:val="22"/>
          <w:szCs w:val="22"/>
        </w:rPr>
        <w:t> </w:t>
      </w:r>
      <w:r w:rsidRPr="0042457A">
        <w:rPr>
          <w:rFonts w:ascii="Calibri" w:hAnsi="Calibri"/>
          <w:sz w:val="22"/>
          <w:szCs w:val="22"/>
        </w:rPr>
        <w:t xml:space="preserve">straipsnio 1 dalies 9 punkto pagrindu (kai panaikinama valstybės tarnautojo pareigybė). Pareiškėjo manymu, iš tarnybos jis atleistas pažeidžiant atleidimo iš valstybės tarnybos procedūras, t. y. nebuvo gautas privalomas VMI profesinės sąjungos (toliau – ir Profesinė sąjunga) išankstinis sutikimas ir nebuvo siūlomos jokios pareigybės. </w:t>
      </w:r>
    </w:p>
    <w:p w14:paraId="03C1972E"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Akcentuota, jog pareiškėjas iš pareigų buvo atleistas tik gavus VDI sutikimą. Prieš VDI sutinkant dėl pareiškėjo atleidimo iš pareigų, pastaroji institucija kreipėsi ir į Profesinę sąjungą, kuri VDI pateikė poziciją dėl jo atleidimo iš pareigų. Profesinė sąjunga atsakyme VDI pažymėjo, kad VTĮ nenumato kitokio darbdavio elgesio modelio po to, kai pareigybė panaikinama, kaip tik atleisti šios pareigybės panaikinimo momentu atitinkamas pareigas užėmusį valstybės tarnautoją. Be kita ko Profesinės sąjungos atsakyme VDI neužsimenama, kad atleidimas sietinas su asmens veikla profesinėje sąjungoje.</w:t>
      </w:r>
    </w:p>
    <w:p w14:paraId="34D17642" w14:textId="59A91A08" w:rsidR="0042457A" w:rsidRPr="0042457A" w:rsidRDefault="0042457A" w:rsidP="0042457A">
      <w:pPr>
        <w:ind w:firstLine="567"/>
        <w:jc w:val="both"/>
        <w:rPr>
          <w:rFonts w:ascii="Calibri" w:hAnsi="Calibri"/>
          <w:sz w:val="22"/>
          <w:szCs w:val="22"/>
        </w:rPr>
      </w:pPr>
      <w:r w:rsidRPr="0042457A">
        <w:rPr>
          <w:rFonts w:ascii="Calibri" w:hAnsi="Calibri"/>
          <w:sz w:val="22"/>
          <w:szCs w:val="22"/>
        </w:rPr>
        <w:t xml:space="preserve">Taigi nors ir </w:t>
      </w:r>
      <w:r w:rsidRPr="0042457A">
        <w:rPr>
          <w:rFonts w:ascii="Calibri" w:hAnsi="Calibri"/>
          <w:sz w:val="22"/>
          <w:szCs w:val="22"/>
          <w:u w:val="single"/>
        </w:rPr>
        <w:t xml:space="preserve">netiesiogiai, Profesinės sąjungos sutikimas atleisti pareiškėją buvo išreikštas bei, šiuo konkrečiu atveju, buvo pakankamas priimti </w:t>
      </w:r>
      <w:r w:rsidR="00E342BC" w:rsidRPr="00E342BC">
        <w:rPr>
          <w:rFonts w:ascii="Calibri" w:hAnsi="Calibri"/>
          <w:sz w:val="22"/>
          <w:szCs w:val="22"/>
          <w:u w:val="single"/>
        </w:rPr>
        <w:t>ginčijamą į</w:t>
      </w:r>
      <w:r w:rsidRPr="00E342BC">
        <w:rPr>
          <w:rFonts w:ascii="Calibri" w:hAnsi="Calibri"/>
          <w:sz w:val="22"/>
          <w:szCs w:val="22"/>
          <w:u w:val="single"/>
        </w:rPr>
        <w:t>sakymą</w:t>
      </w:r>
      <w:r w:rsidRPr="00E342BC">
        <w:rPr>
          <w:rFonts w:ascii="Calibri" w:hAnsi="Calibri"/>
          <w:sz w:val="22"/>
          <w:szCs w:val="22"/>
        </w:rPr>
        <w:t>.</w:t>
      </w:r>
    </w:p>
    <w:p w14:paraId="62B2A4CE"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LVAT pastebėjo ir tai, kad Profesinei sąjungai buvo žinoma apie VMI prašymą ir, vadovaujantis tarpusavio bendradarbiavimo principu, nebuvo jokių kliūčių išdėstyti savo poziciją tiesiogiai ir VMI, bet tai, dėl nežinomų priežasčių, nepadaryta.</w:t>
      </w:r>
    </w:p>
    <w:p w14:paraId="7A696313"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t>Kitas apeliacinio skundo argumentas – VMI pareiškėjui nesiūlė užimti kitų laisvų pareigų – apeliacinės instancijos teismo vertinimu, nepagrįstas. LVAT įvertino tai, kad pareiškėjui buvo siūlytos užimti laisvos pareigybės, tačiau siūlytų pareigybių paties pareiškėjo pareiškimu buvo atsisakyta. Kitų laisvų pareigybių, kurių reikalavimus atitiko pareiškėjas, VMI nebuvo. Teismo vertinimu, VTĮ 43 straipsnio 1 dalyje numatytos garantijos realizavimas buvo realus, pareiškėjas išreiškė valią, atsisakydamas tęsti valstybės tarnybą ir jos (valios) iki pat Įsakymo priėmimo nepakeitė, aktualiu laikotarpiu laisvų pareigybių, kurių reikalavimus atitiktų pareiškėjas, VMI nebuvo.</w:t>
      </w:r>
    </w:p>
    <w:p w14:paraId="380AD3DA" w14:textId="77777777" w:rsidR="0042457A" w:rsidRPr="0042457A" w:rsidRDefault="0042457A" w:rsidP="0042457A">
      <w:pPr>
        <w:ind w:firstLine="567"/>
        <w:jc w:val="both"/>
        <w:rPr>
          <w:rFonts w:ascii="Calibri" w:hAnsi="Calibri"/>
          <w:sz w:val="22"/>
          <w:szCs w:val="22"/>
        </w:rPr>
      </w:pPr>
      <w:r w:rsidRPr="0042457A">
        <w:rPr>
          <w:rFonts w:ascii="Calibri" w:hAnsi="Calibri"/>
          <w:sz w:val="22"/>
          <w:szCs w:val="22"/>
        </w:rPr>
        <w:lastRenderedPageBreak/>
        <w:t xml:space="preserve">Pirmosios instancijos teismo sprendimas paliktas nepakeistas, pareiškėjo apeliacinis skundas atmestas.  </w:t>
      </w:r>
    </w:p>
    <w:p w14:paraId="126E2718" w14:textId="77777777" w:rsidR="0042457A" w:rsidRPr="0042457A" w:rsidRDefault="0042457A" w:rsidP="0042457A">
      <w:pPr>
        <w:ind w:firstLine="567"/>
        <w:jc w:val="both"/>
        <w:rPr>
          <w:rFonts w:ascii="Calibri" w:hAnsi="Calibri"/>
          <w:sz w:val="22"/>
          <w:szCs w:val="22"/>
        </w:rPr>
      </w:pPr>
    </w:p>
    <w:p w14:paraId="26DE6F7B" w14:textId="77777777" w:rsidR="0042457A" w:rsidRPr="0042457A" w:rsidRDefault="0042457A" w:rsidP="0042457A">
      <w:pPr>
        <w:jc w:val="both"/>
        <w:rPr>
          <w:rFonts w:ascii="Calibri" w:hAnsi="Calibri"/>
          <w:sz w:val="22"/>
          <w:szCs w:val="22"/>
        </w:rPr>
      </w:pPr>
      <w:r w:rsidRPr="0042457A">
        <w:rPr>
          <w:rFonts w:ascii="Calibri" w:hAnsi="Calibri"/>
          <w:sz w:val="22"/>
          <w:szCs w:val="22"/>
        </w:rPr>
        <w:t>2019 m. kovo 13 d. nutartis administracinėje byloje Nr. eA-3636-556/2019</w:t>
      </w:r>
    </w:p>
    <w:p w14:paraId="3E677828" w14:textId="77777777" w:rsidR="0042457A" w:rsidRPr="0042457A" w:rsidRDefault="0042457A" w:rsidP="0042457A">
      <w:pPr>
        <w:jc w:val="both"/>
        <w:rPr>
          <w:rFonts w:ascii="Calibri" w:hAnsi="Calibri"/>
          <w:sz w:val="22"/>
          <w:szCs w:val="22"/>
        </w:rPr>
      </w:pPr>
      <w:r w:rsidRPr="0042457A">
        <w:rPr>
          <w:rFonts w:ascii="Calibri" w:hAnsi="Calibri"/>
          <w:sz w:val="22"/>
          <w:szCs w:val="22"/>
        </w:rPr>
        <w:t>Teisminio proceso Nr. 3-61-3-01800-2018-3</w:t>
      </w:r>
    </w:p>
    <w:p w14:paraId="22797265" w14:textId="77777777" w:rsidR="0042457A" w:rsidRPr="0042457A" w:rsidRDefault="0042457A" w:rsidP="0042457A">
      <w:pPr>
        <w:jc w:val="both"/>
        <w:rPr>
          <w:rFonts w:ascii="Calibri" w:hAnsi="Calibri"/>
          <w:sz w:val="22"/>
          <w:szCs w:val="22"/>
        </w:rPr>
      </w:pPr>
      <w:r w:rsidRPr="0042457A">
        <w:rPr>
          <w:rFonts w:ascii="Calibri" w:hAnsi="Calibri"/>
          <w:sz w:val="22"/>
          <w:szCs w:val="22"/>
        </w:rPr>
        <w:t>Procesinio sprendimo kategorija 21.3.7</w:t>
      </w:r>
    </w:p>
    <w:p w14:paraId="28265AB2" w14:textId="77777777" w:rsidR="0042457A" w:rsidRPr="0042457A" w:rsidRDefault="00DC0A59" w:rsidP="0042457A">
      <w:pPr>
        <w:jc w:val="both"/>
        <w:rPr>
          <w:rFonts w:ascii="Calibri" w:hAnsi="Calibri"/>
          <w:sz w:val="22"/>
          <w:szCs w:val="22"/>
        </w:rPr>
      </w:pPr>
      <w:hyperlink r:id="rId17" w:history="1">
        <w:r w:rsidR="0042457A" w:rsidRPr="0042457A">
          <w:rPr>
            <w:rFonts w:ascii="Calibri" w:hAnsi="Calibri"/>
            <w:color w:val="0000FF"/>
            <w:sz w:val="22"/>
            <w:szCs w:val="22"/>
            <w:u w:val="single"/>
          </w:rPr>
          <w:t>Prieiga internete</w:t>
        </w:r>
      </w:hyperlink>
      <w:r w:rsidR="0042457A" w:rsidRPr="0042457A">
        <w:rPr>
          <w:rFonts w:ascii="Calibri" w:hAnsi="Calibri"/>
          <w:sz w:val="22"/>
          <w:szCs w:val="22"/>
        </w:rPr>
        <w:t xml:space="preserve"> </w:t>
      </w:r>
    </w:p>
    <w:p w14:paraId="716FBB45" w14:textId="77777777" w:rsidR="00CB00C2" w:rsidRDefault="00CB00C2" w:rsidP="00892E2E">
      <w:pPr>
        <w:pStyle w:val="Apzvalgai1"/>
        <w:rPr>
          <w:rFonts w:asciiTheme="minorHAnsi" w:hAnsiTheme="minorHAnsi" w:cstheme="minorHAnsi"/>
          <w:bCs/>
        </w:rPr>
      </w:pPr>
      <w:bookmarkStart w:id="63" w:name="_Toc774930"/>
    </w:p>
    <w:p w14:paraId="631BC025" w14:textId="51EFA3E7" w:rsidR="00892E2E" w:rsidRPr="00892E2E" w:rsidRDefault="00892E2E" w:rsidP="00892E2E">
      <w:pPr>
        <w:pStyle w:val="Apzvalgai1"/>
        <w:rPr>
          <w:rFonts w:asciiTheme="minorHAnsi" w:hAnsiTheme="minorHAnsi" w:cstheme="minorHAnsi"/>
          <w:bCs/>
        </w:rPr>
      </w:pPr>
      <w:bookmarkStart w:id="64" w:name="_Toc9845484"/>
      <w:r w:rsidRPr="00892E2E">
        <w:rPr>
          <w:rFonts w:asciiTheme="minorHAnsi" w:hAnsiTheme="minorHAnsi" w:cstheme="minorHAnsi"/>
          <w:bCs/>
        </w:rPr>
        <w:t>22. Kiti su valstybės tarnyba</w:t>
      </w:r>
      <w:r w:rsidRPr="00892E2E" w:rsidDel="00E3531F">
        <w:rPr>
          <w:rFonts w:asciiTheme="minorHAnsi" w:hAnsiTheme="minorHAnsi" w:cstheme="minorHAnsi"/>
          <w:bCs/>
        </w:rPr>
        <w:t xml:space="preserve"> </w:t>
      </w:r>
      <w:r w:rsidRPr="00892E2E">
        <w:rPr>
          <w:rFonts w:asciiTheme="minorHAnsi" w:hAnsiTheme="minorHAnsi" w:cstheme="minorHAnsi"/>
          <w:bCs/>
        </w:rPr>
        <w:t>susiję klausimai</w:t>
      </w:r>
      <w:bookmarkEnd w:id="63"/>
      <w:bookmarkEnd w:id="64"/>
    </w:p>
    <w:p w14:paraId="3AA736BE" w14:textId="6B370534" w:rsidR="00892E2E" w:rsidRPr="00892E2E" w:rsidRDefault="00892E2E" w:rsidP="00892E2E">
      <w:pPr>
        <w:pStyle w:val="Apzvalgai1"/>
        <w:ind w:firstLine="567"/>
        <w:outlineLvl w:val="9"/>
        <w:rPr>
          <w:rFonts w:asciiTheme="minorHAnsi" w:hAnsiTheme="minorHAnsi" w:cstheme="minorHAnsi"/>
        </w:rPr>
      </w:pPr>
      <w:r w:rsidRPr="00892E2E">
        <w:rPr>
          <w:rFonts w:asciiTheme="minorHAnsi" w:hAnsiTheme="minorHAnsi" w:cstheme="minorHAnsi"/>
        </w:rPr>
        <w:t xml:space="preserve">22.5. Viešųjų ir privačių interesų derinimas valstybės tarnyboje </w:t>
      </w:r>
    </w:p>
    <w:p w14:paraId="3BEBDA29" w14:textId="77777777" w:rsidR="00892E2E" w:rsidRDefault="00892E2E" w:rsidP="00892E2E">
      <w:pPr>
        <w:pStyle w:val="Apzvalgai1"/>
        <w:outlineLvl w:val="9"/>
        <w:rPr>
          <w:rFonts w:asciiTheme="minorHAnsi" w:hAnsiTheme="minorHAnsi" w:cstheme="minorHAnsi"/>
        </w:rPr>
      </w:pPr>
    </w:p>
    <w:p w14:paraId="621D2724" w14:textId="77777777" w:rsidR="00892E2E" w:rsidRPr="00F9130B" w:rsidRDefault="00892E2E" w:rsidP="004445E5">
      <w:pPr>
        <w:pStyle w:val="Antrat2"/>
        <w:rPr>
          <w:b/>
        </w:rPr>
      </w:pPr>
      <w:bookmarkStart w:id="65" w:name="_Toc9845485"/>
      <w:r w:rsidRPr="005F47C0">
        <w:t xml:space="preserve">Dėl </w:t>
      </w:r>
      <w:r w:rsidR="00F9130B" w:rsidRPr="00F9130B">
        <w:t>tarnybinės atsakomybės terminų skaičiavimo, pažeidus Viešųjų ir privačių interesų derinimo valstybinėje tarnyboje įs</w:t>
      </w:r>
      <w:r w:rsidR="00F9130B">
        <w:t xml:space="preserve">tatymo </w:t>
      </w:r>
      <w:r w:rsidR="00F9130B" w:rsidRPr="00F9130B">
        <w:t>normas</w:t>
      </w:r>
      <w:bookmarkEnd w:id="65"/>
    </w:p>
    <w:p w14:paraId="13737E87" w14:textId="77777777" w:rsidR="00892E2E" w:rsidRDefault="00892E2E" w:rsidP="00892E2E"/>
    <w:p w14:paraId="50C9AA7A" w14:textId="77777777" w:rsidR="00892E2E" w:rsidRDefault="00892E2E" w:rsidP="00892E2E">
      <w:pPr>
        <w:ind w:firstLine="567"/>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 xml:space="preserve">Aptariamu atveju </w:t>
      </w:r>
      <w:r w:rsidR="00344227">
        <w:rPr>
          <w:rFonts w:asciiTheme="minorHAnsi" w:eastAsiaTheme="minorEastAsia" w:hAnsiTheme="minorHAnsi" w:cstheme="minorHAnsi"/>
          <w:sz w:val="22"/>
          <w:szCs w:val="22"/>
        </w:rPr>
        <w:t>gin</w:t>
      </w:r>
      <w:r w:rsidR="00344227" w:rsidRPr="00344227">
        <w:rPr>
          <w:rFonts w:asciiTheme="minorHAnsi" w:eastAsiaTheme="minorEastAsia" w:hAnsiTheme="minorHAnsi" w:cstheme="minorHAnsi"/>
          <w:sz w:val="22"/>
          <w:szCs w:val="22"/>
        </w:rPr>
        <w:t>čas kilo dėl atsakovo Švenčionių rajono savivaldybės administracijos</w:t>
      </w:r>
      <w:r w:rsidR="008F6262">
        <w:rPr>
          <w:rFonts w:asciiTheme="minorHAnsi" w:eastAsiaTheme="minorEastAsia" w:hAnsiTheme="minorHAnsi" w:cstheme="minorHAnsi"/>
          <w:sz w:val="22"/>
          <w:szCs w:val="22"/>
        </w:rPr>
        <w:t xml:space="preserve"> (toliau – ir Administracija)</w:t>
      </w:r>
      <w:r w:rsidR="00344227" w:rsidRPr="00344227">
        <w:rPr>
          <w:rFonts w:asciiTheme="minorHAnsi" w:eastAsiaTheme="minorEastAsia" w:hAnsiTheme="minorHAnsi" w:cstheme="minorHAnsi"/>
          <w:sz w:val="22"/>
          <w:szCs w:val="22"/>
        </w:rPr>
        <w:t xml:space="preserve"> direktoriaus įsakymo, kuriuo pareiškėjui paskirta tarnybinė nuobauda – griežtas papeikimas, teisėtumo ir pagrįstumo.</w:t>
      </w:r>
    </w:p>
    <w:p w14:paraId="639DF551" w14:textId="77777777" w:rsidR="00344227" w:rsidRDefault="00344227" w:rsidP="00892E2E">
      <w:pPr>
        <w:ind w:firstLine="567"/>
        <w:jc w:val="both"/>
        <w:rPr>
          <w:rFonts w:asciiTheme="minorHAnsi" w:eastAsiaTheme="minorEastAsia" w:hAnsiTheme="minorHAnsi" w:cstheme="minorHAnsi"/>
          <w:sz w:val="22"/>
          <w:szCs w:val="22"/>
        </w:rPr>
      </w:pPr>
      <w:r w:rsidRPr="00344227">
        <w:rPr>
          <w:rFonts w:asciiTheme="minorHAnsi" w:eastAsiaTheme="minorEastAsia" w:hAnsiTheme="minorHAnsi" w:cstheme="minorHAnsi"/>
          <w:sz w:val="22"/>
          <w:szCs w:val="22"/>
        </w:rPr>
        <w:t>Išplėstinė teisėjų kolegija pažym</w:t>
      </w:r>
      <w:r>
        <w:rPr>
          <w:rFonts w:asciiTheme="minorHAnsi" w:eastAsiaTheme="minorEastAsia" w:hAnsiTheme="minorHAnsi" w:cstheme="minorHAnsi"/>
          <w:sz w:val="22"/>
          <w:szCs w:val="22"/>
        </w:rPr>
        <w:t>ėjo</w:t>
      </w:r>
      <w:r w:rsidRPr="00344227">
        <w:rPr>
          <w:rFonts w:asciiTheme="minorHAnsi" w:eastAsiaTheme="minorEastAsia" w:hAnsiTheme="minorHAnsi" w:cstheme="minorHAnsi"/>
          <w:sz w:val="22"/>
          <w:szCs w:val="22"/>
        </w:rPr>
        <w:t>, kad pareiškėjo padarytas pažeidimas (pareiškėjas, Adutiškio seniūnijos seniūnas, neinformavo Administracijos direktoriaus apie esamą interesų konfliktą – savo sutuoktinės priėmimą į darbą – ir nepareiškė nusišalinimo nuo darbo sutarties su ja pasirašymo, kuris sukėlė interesų konfliktą) iš esmės yra susijęs su reikalavimų, susijusių su viešųjų ir privačių interesų derinimu va</w:t>
      </w:r>
      <w:r w:rsidR="0051512E">
        <w:rPr>
          <w:rFonts w:asciiTheme="minorHAnsi" w:eastAsiaTheme="minorEastAsia" w:hAnsiTheme="minorHAnsi" w:cstheme="minorHAnsi"/>
          <w:sz w:val="22"/>
          <w:szCs w:val="22"/>
        </w:rPr>
        <w:t>lstybinėje taryboje, pažeidimu.</w:t>
      </w:r>
    </w:p>
    <w:p w14:paraId="3DD90CF4" w14:textId="77777777" w:rsidR="008F6262" w:rsidRPr="008F6262" w:rsidRDefault="008F6262" w:rsidP="008F6262">
      <w:pPr>
        <w:ind w:firstLine="567"/>
        <w:jc w:val="both"/>
        <w:rPr>
          <w:rFonts w:asciiTheme="minorHAnsi" w:eastAsiaTheme="minorEastAsia" w:hAnsiTheme="minorHAnsi" w:cstheme="minorHAnsi"/>
          <w:sz w:val="22"/>
          <w:szCs w:val="22"/>
        </w:rPr>
      </w:pPr>
      <w:bookmarkStart w:id="66" w:name="part_f6e01cc97aff4417a69b74f8d3f14ec1"/>
      <w:bookmarkEnd w:id="66"/>
      <w:r w:rsidRPr="008F6262">
        <w:rPr>
          <w:rFonts w:asciiTheme="minorHAnsi" w:eastAsiaTheme="minorEastAsia" w:hAnsiTheme="minorHAnsi" w:cstheme="minorHAnsi"/>
          <w:sz w:val="22"/>
          <w:szCs w:val="22"/>
        </w:rPr>
        <w:t>Išp</w:t>
      </w:r>
      <w:r>
        <w:rPr>
          <w:rFonts w:asciiTheme="minorHAnsi" w:eastAsiaTheme="minorEastAsia" w:hAnsiTheme="minorHAnsi" w:cstheme="minorHAnsi"/>
          <w:sz w:val="22"/>
          <w:szCs w:val="22"/>
        </w:rPr>
        <w:t>lėstinė teisėjų kolegija pastebėjo</w:t>
      </w:r>
      <w:r w:rsidRPr="008F6262">
        <w:rPr>
          <w:rFonts w:asciiTheme="minorHAnsi" w:eastAsiaTheme="minorEastAsia" w:hAnsiTheme="minorHAnsi" w:cstheme="minorHAnsi"/>
          <w:sz w:val="22"/>
          <w:szCs w:val="22"/>
        </w:rPr>
        <w:t>, jog VTĮ 30 straipsnio 1 dalyje</w:t>
      </w:r>
      <w:r>
        <w:rPr>
          <w:rFonts w:asciiTheme="minorHAnsi" w:eastAsiaTheme="minorEastAsia" w:hAnsiTheme="minorHAnsi" w:cstheme="minorHAnsi"/>
          <w:sz w:val="22"/>
          <w:szCs w:val="22"/>
        </w:rPr>
        <w:t xml:space="preserve">, </w:t>
      </w:r>
      <w:r w:rsidRPr="008F6262">
        <w:rPr>
          <w:rFonts w:asciiTheme="minorHAnsi" w:eastAsiaTheme="minorEastAsia" w:hAnsiTheme="minorHAnsi" w:cstheme="minorHAnsi"/>
          <w:sz w:val="22"/>
          <w:szCs w:val="22"/>
        </w:rPr>
        <w:t>reglament</w:t>
      </w:r>
      <w:r>
        <w:rPr>
          <w:rFonts w:asciiTheme="minorHAnsi" w:eastAsiaTheme="minorEastAsia" w:hAnsiTheme="minorHAnsi" w:cstheme="minorHAnsi"/>
          <w:sz w:val="22"/>
          <w:szCs w:val="22"/>
        </w:rPr>
        <w:t>uojančioje</w:t>
      </w:r>
      <w:r w:rsidRPr="008F6262">
        <w:rPr>
          <w:rFonts w:asciiTheme="minorHAnsi" w:eastAsiaTheme="minorEastAsia" w:hAnsiTheme="minorHAnsi" w:cstheme="minorHAnsi"/>
          <w:sz w:val="22"/>
          <w:szCs w:val="22"/>
        </w:rPr>
        <w:t xml:space="preserve"> tarnybinės nuobaudos skyrimo valstybės tarnautojams tvarką</w:t>
      </w:r>
      <w:r>
        <w:rPr>
          <w:rFonts w:asciiTheme="minorHAnsi" w:eastAsiaTheme="minorEastAsia" w:hAnsiTheme="minorHAnsi" w:cstheme="minorHAnsi"/>
          <w:sz w:val="22"/>
          <w:szCs w:val="22"/>
        </w:rPr>
        <w:t>,</w:t>
      </w:r>
      <w:r w:rsidRPr="008F6262">
        <w:rPr>
          <w:rFonts w:asciiTheme="minorHAnsi" w:eastAsiaTheme="minorEastAsia" w:hAnsiTheme="minorHAnsi" w:cstheme="minorHAnsi"/>
          <w:sz w:val="22"/>
          <w:szCs w:val="22"/>
        </w:rPr>
        <w:t xml:space="preserve"> nėra aptariama, koks tarnybinės nuobaudos paskyrimo terminas yra taikomas, kai nustatomas VPIDVTĮ reikalavimų, susijusių su viešųjų ir privačių interesų derinimu valstybinėje taryboje, pažeidimas. Tačiau </w:t>
      </w:r>
      <w:r>
        <w:rPr>
          <w:rFonts w:asciiTheme="minorHAnsi" w:eastAsiaTheme="minorEastAsia" w:hAnsiTheme="minorHAnsi" w:cstheme="minorHAnsi"/>
          <w:sz w:val="22"/>
          <w:szCs w:val="22"/>
        </w:rPr>
        <w:t>LVAT</w:t>
      </w:r>
      <w:r w:rsidRPr="008F6262">
        <w:rPr>
          <w:rFonts w:asciiTheme="minorHAnsi" w:eastAsiaTheme="minorEastAsia" w:hAnsiTheme="minorHAnsi" w:cstheme="minorHAnsi"/>
          <w:sz w:val="22"/>
          <w:szCs w:val="22"/>
        </w:rPr>
        <w:t xml:space="preserve"> savo praktikoje yra konstatavęs, jog VPIDVTĮ 22 straipsnio 4 dalyje yra reglamentuojamas patraukimo atsakomybėn už VPIDVTĮ pažeidi</w:t>
      </w:r>
      <w:r>
        <w:rPr>
          <w:rFonts w:asciiTheme="minorHAnsi" w:eastAsiaTheme="minorEastAsia" w:hAnsiTheme="minorHAnsi" w:cstheme="minorHAnsi"/>
          <w:sz w:val="22"/>
          <w:szCs w:val="22"/>
        </w:rPr>
        <w:t>mus terminų klausimas (žr. 2014 </w:t>
      </w:r>
      <w:r w:rsidRPr="008F6262">
        <w:rPr>
          <w:rFonts w:asciiTheme="minorHAnsi" w:eastAsiaTheme="minorEastAsia" w:hAnsiTheme="minorHAnsi" w:cstheme="minorHAnsi"/>
          <w:sz w:val="22"/>
          <w:szCs w:val="22"/>
        </w:rPr>
        <w:t>m. lapkričio 24 d. nutartį administracinėje byloje Nr. A</w:t>
      </w:r>
      <w:r w:rsidRPr="008F6262">
        <w:rPr>
          <w:rFonts w:asciiTheme="minorHAnsi" w:eastAsiaTheme="minorEastAsia" w:hAnsiTheme="minorHAnsi" w:cstheme="minorHAnsi"/>
          <w:sz w:val="22"/>
          <w:szCs w:val="22"/>
          <w:vertAlign w:val="superscript"/>
        </w:rPr>
        <w:t>438</w:t>
      </w:r>
      <w:r w:rsidRPr="008F6262">
        <w:rPr>
          <w:rFonts w:asciiTheme="minorHAnsi" w:eastAsiaTheme="minorEastAsia" w:hAnsiTheme="minorHAnsi" w:cstheme="minorHAnsi"/>
          <w:sz w:val="22"/>
          <w:szCs w:val="22"/>
        </w:rPr>
        <w:t>-1339/2014). VPIDVTĮ 22 straipsnio 4 dalyje (2012 m. birželio 12 d. įstatymo Nr. XI-2063 redakcija) numatyta, jog asmens, dirbančio valstybinėje tarnyboje, veiklos tyrimui šio straipsnio 1 dalyje nurodytose institucijose dėl šio įstatymo pažeidimo nustatomas trejų metų terminas, skaičiuojamas nuo šio įstatymo nuostatas pažeidžiančios veikos galimo padarymo. Taigi pagal VPIDVTĮ įtvirtintas nuostatas, minėto įstatymo 22 straipsnio 1 dalyje nurodytos kontrolės institucijos ir pareigūnai asmens, dirbančio valstybės tarnyboje, veiklos tyrimą gali atlikti per trejus metus nuo VPIDVTĮ pažeidžiančios veikos galimo padarymo.</w:t>
      </w:r>
    </w:p>
    <w:p w14:paraId="4AD2AF07" w14:textId="77777777" w:rsidR="008F6262" w:rsidRPr="008F6262" w:rsidRDefault="008F6262" w:rsidP="008F6262">
      <w:pPr>
        <w:ind w:firstLine="567"/>
        <w:jc w:val="both"/>
        <w:rPr>
          <w:rFonts w:asciiTheme="minorHAnsi" w:eastAsiaTheme="minorEastAsia" w:hAnsiTheme="minorHAnsi" w:cstheme="minorHAnsi"/>
          <w:sz w:val="22"/>
          <w:szCs w:val="22"/>
        </w:rPr>
      </w:pPr>
      <w:bookmarkStart w:id="67" w:name="part_63189a23110e4fae880eed7ec61ab8c2"/>
      <w:bookmarkEnd w:id="67"/>
      <w:r w:rsidRPr="008F6262">
        <w:rPr>
          <w:rFonts w:asciiTheme="minorHAnsi" w:eastAsiaTheme="minorEastAsia" w:hAnsiTheme="minorHAnsi" w:cstheme="minorHAnsi"/>
          <w:sz w:val="22"/>
          <w:szCs w:val="22"/>
        </w:rPr>
        <w:t>Išplėstinės teisėjų kolegijos vertinimu, tokiu at</w:t>
      </w:r>
      <w:r w:rsidR="0051512E">
        <w:rPr>
          <w:rFonts w:asciiTheme="minorHAnsi" w:eastAsiaTheme="minorEastAsia" w:hAnsiTheme="minorHAnsi" w:cstheme="minorHAnsi"/>
          <w:sz w:val="22"/>
          <w:szCs w:val="22"/>
        </w:rPr>
        <w:t>veju, koks susiklostė nagrinėt</w:t>
      </w:r>
      <w:r w:rsidRPr="008F6262">
        <w:rPr>
          <w:rFonts w:asciiTheme="minorHAnsi" w:eastAsiaTheme="minorEastAsia" w:hAnsiTheme="minorHAnsi" w:cstheme="minorHAnsi"/>
          <w:sz w:val="22"/>
          <w:szCs w:val="22"/>
        </w:rPr>
        <w:t xml:space="preserve">oje byloje, </w:t>
      </w:r>
      <w:r w:rsidRPr="00B11253">
        <w:rPr>
          <w:rFonts w:asciiTheme="minorHAnsi" w:eastAsiaTheme="minorEastAsia" w:hAnsiTheme="minorHAnsi" w:cstheme="minorHAnsi"/>
          <w:sz w:val="22"/>
          <w:szCs w:val="22"/>
          <w:u w:val="single"/>
        </w:rPr>
        <w:t>taikant principą </w:t>
      </w:r>
      <w:r w:rsidRPr="00B11253">
        <w:rPr>
          <w:rFonts w:asciiTheme="minorHAnsi" w:eastAsiaTheme="minorEastAsia" w:hAnsiTheme="minorHAnsi" w:cstheme="minorHAnsi"/>
          <w:i/>
          <w:iCs/>
          <w:sz w:val="22"/>
          <w:szCs w:val="22"/>
          <w:u w:val="single"/>
        </w:rPr>
        <w:t>lex specialis derogat legi generali</w:t>
      </w:r>
      <w:r w:rsidRPr="00B11253">
        <w:rPr>
          <w:rFonts w:asciiTheme="minorHAnsi" w:eastAsiaTheme="minorEastAsia" w:hAnsiTheme="minorHAnsi" w:cstheme="minorHAnsi"/>
          <w:sz w:val="22"/>
          <w:szCs w:val="22"/>
          <w:u w:val="single"/>
        </w:rPr>
        <w:t>, tarnybinės atsakomybės taikymo, </w:t>
      </w:r>
      <w:r w:rsidRPr="00B11253">
        <w:rPr>
          <w:rFonts w:asciiTheme="minorHAnsi" w:eastAsiaTheme="minorEastAsia" w:hAnsiTheme="minorHAnsi" w:cstheme="minorHAnsi"/>
          <w:i/>
          <w:iCs/>
          <w:sz w:val="22"/>
          <w:szCs w:val="22"/>
          <w:u w:val="single"/>
        </w:rPr>
        <w:t>inter alia</w:t>
      </w:r>
      <w:r w:rsidRPr="00B11253">
        <w:rPr>
          <w:rFonts w:asciiTheme="minorHAnsi" w:eastAsiaTheme="minorEastAsia" w:hAnsiTheme="minorHAnsi" w:cstheme="minorHAnsi"/>
          <w:sz w:val="22"/>
          <w:szCs w:val="22"/>
          <w:u w:val="single"/>
        </w:rPr>
        <w:t> tarnybinės nuobaudos už VPIDVTĮ nuostatų pažeidimą skyrimo terminai turi būti skaičiuojami pagal specialųjį įstatymą, t. y. pagal VPIDVTĮ, o VPIDVTĮ 22 straipsnio 4 dalies nuostata iš esmės turi būti suprantama kai</w:t>
      </w:r>
      <w:r w:rsidR="0051512E">
        <w:rPr>
          <w:rFonts w:asciiTheme="minorHAnsi" w:eastAsiaTheme="minorEastAsia" w:hAnsiTheme="minorHAnsi" w:cstheme="minorHAnsi"/>
          <w:sz w:val="22"/>
          <w:szCs w:val="22"/>
          <w:u w:val="single"/>
        </w:rPr>
        <w:t>p įgalinanti minėto įstatymo 22 </w:t>
      </w:r>
      <w:r w:rsidRPr="00B11253">
        <w:rPr>
          <w:rFonts w:asciiTheme="minorHAnsi" w:eastAsiaTheme="minorEastAsia" w:hAnsiTheme="minorHAnsi" w:cstheme="minorHAnsi"/>
          <w:sz w:val="22"/>
          <w:szCs w:val="22"/>
          <w:u w:val="single"/>
        </w:rPr>
        <w:t>straipsnio 1 dalyje nurodytas kontrolės institucijas ir pareigūnus per trejus metus nuo VPIDVTĮ pažeidžiančios veikos galimo padarymo atlikti valstybės tarnyboje dirbančio asmens veiklos tyrimą ir paskirti jam tarnybinę nuobaudą dėl VPIDVTĮ pažeidimo.</w:t>
      </w:r>
      <w:r w:rsidRPr="008F6262">
        <w:rPr>
          <w:rFonts w:asciiTheme="minorHAnsi" w:eastAsiaTheme="minorEastAsia" w:hAnsiTheme="minorHAnsi" w:cstheme="minorHAnsi"/>
          <w:sz w:val="22"/>
          <w:szCs w:val="22"/>
        </w:rPr>
        <w:t xml:space="preserve"> Taigi byloje nagrinė</w:t>
      </w:r>
      <w:r w:rsidR="0051512E">
        <w:rPr>
          <w:rFonts w:asciiTheme="minorHAnsi" w:eastAsiaTheme="minorEastAsia" w:hAnsiTheme="minorHAnsi" w:cstheme="minorHAnsi"/>
          <w:sz w:val="22"/>
          <w:szCs w:val="22"/>
        </w:rPr>
        <w:t>t</w:t>
      </w:r>
      <w:r w:rsidRPr="008F6262">
        <w:rPr>
          <w:rFonts w:asciiTheme="minorHAnsi" w:eastAsiaTheme="minorEastAsia" w:hAnsiTheme="minorHAnsi" w:cstheme="minorHAnsi"/>
          <w:sz w:val="22"/>
          <w:szCs w:val="22"/>
        </w:rPr>
        <w:t>u atveju pagal VPIDVTĮ įtvirtintas nuostatas, Administracijos direktorius, kaip įstaigos vadovas ir VPIDVTĮ 22 straipsnio 1 dalyje nurodytas kontrolės pareigūnas, asmens, dirbančio valstybės tarnyboje, šiuo atveju – seniūno, dirbančio biudžetinės įstaigos filiale Adutiškio seniūnijoje ir esančio tiesiogiai pavaldžiam ir atskaitingam Administracijos direktoriui (</w:t>
      </w:r>
      <w:r w:rsidR="0051512E">
        <w:rPr>
          <w:rFonts w:asciiTheme="minorHAnsi" w:eastAsiaTheme="minorEastAsia" w:hAnsiTheme="minorHAnsi" w:cstheme="minorHAnsi"/>
          <w:sz w:val="22"/>
          <w:szCs w:val="22"/>
        </w:rPr>
        <w:t>Vietos savivaldos įstatymo</w:t>
      </w:r>
      <w:r w:rsidRPr="008F6262">
        <w:rPr>
          <w:rFonts w:asciiTheme="minorHAnsi" w:eastAsiaTheme="minorEastAsia" w:hAnsiTheme="minorHAnsi" w:cstheme="minorHAnsi"/>
          <w:sz w:val="22"/>
          <w:szCs w:val="22"/>
        </w:rPr>
        <w:t xml:space="preserve"> 31 str. 3 d. 11 p.), veiklos tyrimą galėjo atlikti ir tarnybinę nuobaudą paskirti per trejus metus nuo VPIDVTĮ pažeidžiančios veikos padarymo.</w:t>
      </w:r>
    </w:p>
    <w:p w14:paraId="0F9176D6" w14:textId="77777777" w:rsidR="008F6262" w:rsidRDefault="008F6262" w:rsidP="008F6262">
      <w:pPr>
        <w:ind w:firstLine="567"/>
        <w:jc w:val="both"/>
        <w:rPr>
          <w:rFonts w:asciiTheme="minorHAnsi" w:eastAsiaTheme="minorEastAsia" w:hAnsiTheme="minorHAnsi" w:cstheme="minorHAnsi"/>
          <w:sz w:val="22"/>
          <w:szCs w:val="22"/>
        </w:rPr>
      </w:pPr>
      <w:bookmarkStart w:id="68" w:name="part_5548e9fe6a7348e08835ed5bc946ed2d"/>
      <w:bookmarkStart w:id="69" w:name="part_2b1850dcc2244d7b9a2a880213f66abb"/>
      <w:bookmarkEnd w:id="68"/>
      <w:bookmarkEnd w:id="69"/>
      <w:r w:rsidRPr="008F6262">
        <w:rPr>
          <w:rFonts w:asciiTheme="minorHAnsi" w:eastAsiaTheme="minorEastAsia" w:hAnsiTheme="minorHAnsi" w:cstheme="minorHAnsi"/>
          <w:sz w:val="22"/>
          <w:szCs w:val="22"/>
        </w:rPr>
        <w:t xml:space="preserve">Byloje tiriamu atveju pareiškėjo nusižengimas, t. y. VPIDVTĮ pažeidžiančios veikos galimas padarymas, įvykdytas 2014 m. birželio 30 d., sudarius su sutuoktine darbo sutartį, o tarnybinė nuobauda paskirta 2016 m. gegužės 17 d. ginčijamu Administracijos direktoriaus </w:t>
      </w:r>
      <w:r w:rsidR="00B11253">
        <w:rPr>
          <w:rFonts w:asciiTheme="minorHAnsi" w:eastAsiaTheme="minorEastAsia" w:hAnsiTheme="minorHAnsi" w:cstheme="minorHAnsi"/>
          <w:sz w:val="22"/>
          <w:szCs w:val="22"/>
        </w:rPr>
        <w:t>į</w:t>
      </w:r>
      <w:r w:rsidRPr="008F6262">
        <w:rPr>
          <w:rFonts w:asciiTheme="minorHAnsi" w:eastAsiaTheme="minorEastAsia" w:hAnsiTheme="minorHAnsi" w:cstheme="minorHAnsi"/>
          <w:sz w:val="22"/>
          <w:szCs w:val="22"/>
        </w:rPr>
        <w:t xml:space="preserve">sakymu. </w:t>
      </w:r>
      <w:r w:rsidR="0051512E">
        <w:rPr>
          <w:rFonts w:asciiTheme="minorHAnsi" w:eastAsiaTheme="minorEastAsia" w:hAnsiTheme="minorHAnsi" w:cstheme="minorHAnsi"/>
          <w:sz w:val="22"/>
          <w:szCs w:val="22"/>
        </w:rPr>
        <w:t>Nutartyje</w:t>
      </w:r>
      <w:r w:rsidRPr="008F6262">
        <w:rPr>
          <w:rFonts w:asciiTheme="minorHAnsi" w:eastAsiaTheme="minorEastAsia" w:hAnsiTheme="minorHAnsi" w:cstheme="minorHAnsi"/>
          <w:sz w:val="22"/>
          <w:szCs w:val="22"/>
        </w:rPr>
        <w:t xml:space="preserve"> išdėstytos teisės aiškinimo ir taikymo taisyklės bei faktiniai bylos duomenys leid</w:t>
      </w:r>
      <w:r w:rsidR="00B11253">
        <w:rPr>
          <w:rFonts w:asciiTheme="minorHAnsi" w:eastAsiaTheme="minorEastAsia" w:hAnsiTheme="minorHAnsi" w:cstheme="minorHAnsi"/>
          <w:sz w:val="22"/>
          <w:szCs w:val="22"/>
        </w:rPr>
        <w:t>o</w:t>
      </w:r>
      <w:r w:rsidRPr="008F6262">
        <w:rPr>
          <w:rFonts w:asciiTheme="minorHAnsi" w:eastAsiaTheme="minorEastAsia" w:hAnsiTheme="minorHAnsi" w:cstheme="minorHAnsi"/>
          <w:sz w:val="22"/>
          <w:szCs w:val="22"/>
        </w:rPr>
        <w:t xml:space="preserve"> konstatuoti, jog VPIDVTĮ 22 straipsnio 4 dalyje numatytas trejų metų nuo VPIDVTĮ pažeidžiančios veikos galimo padarymo tyrimo atlikimo ir atsakomybės taikymo terminas nebuvo praleistas, dėl to pareiškėjo </w:t>
      </w:r>
      <w:r w:rsidR="00B11253">
        <w:rPr>
          <w:rFonts w:asciiTheme="minorHAnsi" w:eastAsiaTheme="minorEastAsia" w:hAnsiTheme="minorHAnsi" w:cstheme="minorHAnsi"/>
          <w:sz w:val="22"/>
          <w:szCs w:val="22"/>
        </w:rPr>
        <w:t>argumentai šiuo aspektu atmesti</w:t>
      </w:r>
      <w:r w:rsidRPr="008F6262">
        <w:rPr>
          <w:rFonts w:asciiTheme="minorHAnsi" w:eastAsiaTheme="minorEastAsia" w:hAnsiTheme="minorHAnsi" w:cstheme="minorHAnsi"/>
          <w:sz w:val="22"/>
          <w:szCs w:val="22"/>
        </w:rPr>
        <w:t>.</w:t>
      </w:r>
    </w:p>
    <w:p w14:paraId="5A88BAAB" w14:textId="77777777" w:rsidR="00B11253" w:rsidRDefault="00B11253" w:rsidP="008F6262">
      <w:pPr>
        <w:ind w:firstLine="567"/>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Pareiškėjo teigimu, tarnybinio nusižengimo tyrimo k</w:t>
      </w:r>
      <w:r w:rsidRPr="00B11253">
        <w:rPr>
          <w:rFonts w:asciiTheme="minorHAnsi" w:eastAsiaTheme="minorEastAsia" w:hAnsiTheme="minorHAnsi" w:cstheme="minorHAnsi"/>
          <w:sz w:val="22"/>
          <w:szCs w:val="22"/>
        </w:rPr>
        <w:t xml:space="preserve">omisijai 2016 m. balandžio 6 d. patvirtinus </w:t>
      </w:r>
      <w:r>
        <w:rPr>
          <w:rFonts w:asciiTheme="minorHAnsi" w:eastAsiaTheme="minorEastAsia" w:hAnsiTheme="minorHAnsi" w:cstheme="minorHAnsi"/>
          <w:sz w:val="22"/>
          <w:szCs w:val="22"/>
        </w:rPr>
        <w:t>tarnybinio nusižengimo i</w:t>
      </w:r>
      <w:r w:rsidRPr="00B11253">
        <w:rPr>
          <w:rFonts w:asciiTheme="minorHAnsi" w:eastAsiaTheme="minorEastAsia" w:hAnsiTheme="minorHAnsi" w:cstheme="minorHAnsi"/>
          <w:sz w:val="22"/>
          <w:szCs w:val="22"/>
        </w:rPr>
        <w:t xml:space="preserve">švadą ir tarnybinę nuobaudą paskyrus 2016 m. gegužės 17 d., buvo žymiai praleistas imperatyvus </w:t>
      </w:r>
      <w:r w:rsidRPr="00B11253">
        <w:rPr>
          <w:rFonts w:asciiTheme="minorHAnsi" w:eastAsiaTheme="minorEastAsia" w:hAnsiTheme="minorHAnsi" w:cstheme="minorHAnsi"/>
          <w:sz w:val="22"/>
          <w:szCs w:val="22"/>
        </w:rPr>
        <w:lastRenderedPageBreak/>
        <w:t>VTĮ 30 straipsnio 1 dalyje numatytas vieno mėnesio nuo nusižengimo paaiškėjimo dienos tarnybinės nuobaudos paskyrimo terminas.</w:t>
      </w:r>
    </w:p>
    <w:p w14:paraId="4A6E2489" w14:textId="77777777" w:rsidR="00B11253" w:rsidRDefault="00B11253" w:rsidP="00B11253">
      <w:pPr>
        <w:ind w:firstLine="567"/>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Išplėstinė teisėjų kolegija pažymėjo, kad</w:t>
      </w:r>
      <w:r w:rsidRPr="00B11253">
        <w:rPr>
          <w:rFonts w:asciiTheme="minorHAnsi" w:eastAsiaTheme="minorEastAsia" w:hAnsiTheme="minorHAnsi" w:cstheme="minorHAnsi"/>
          <w:sz w:val="22"/>
          <w:szCs w:val="22"/>
        </w:rPr>
        <w:t xml:space="preserve"> paprastai tarnybinė nuobauda valstybės tarnautojui turi būti skiriama ne vėliau kaip per vieną mėnesį nuo motyvuotos tarnybinio nusižengimo tyrimo išvados pateikimo valstybės tarnautoją į pareigas priėmusiam asmeniui. Pareiškėjui tarnybinė nuobauda buvo skirta per ilgesnį nei vieno mėnesio terminą nuo motyvuotos tarnybinio nusižengimo tyrimo išvados pateikimo Administracijos direktoriui. Šiuo atveju tarny</w:t>
      </w:r>
      <w:r w:rsidR="0051512E">
        <w:rPr>
          <w:rFonts w:asciiTheme="minorHAnsi" w:eastAsiaTheme="minorEastAsia" w:hAnsiTheme="minorHAnsi" w:cstheme="minorHAnsi"/>
          <w:sz w:val="22"/>
          <w:szCs w:val="22"/>
        </w:rPr>
        <w:t>binės nuobaudos paskyrimas nuo tarnybinio nusižengimo i</w:t>
      </w:r>
      <w:r w:rsidRPr="00B11253">
        <w:rPr>
          <w:rFonts w:asciiTheme="minorHAnsi" w:eastAsiaTheme="minorEastAsia" w:hAnsiTheme="minorHAnsi" w:cstheme="minorHAnsi"/>
          <w:sz w:val="22"/>
          <w:szCs w:val="22"/>
        </w:rPr>
        <w:t xml:space="preserve">švados pateikimo Administracijos direktoriui užtruko ilgiau nei vieną mėnesį dėl to, jog, norėdamas skirti tarnybinę nuobaudą pareiškėjui už VPIDVTĮ pažeidimą, atsakovas kreipėsi į </w:t>
      </w:r>
      <w:r w:rsidR="0036752C">
        <w:rPr>
          <w:rFonts w:asciiTheme="minorHAnsi" w:eastAsiaTheme="minorEastAsia" w:hAnsiTheme="minorHAnsi" w:cstheme="minorHAnsi"/>
          <w:sz w:val="22"/>
          <w:szCs w:val="22"/>
        </w:rPr>
        <w:t xml:space="preserve">Vyriausiąją tarnybinės etikos komisiją (toliau – VTEK) </w:t>
      </w:r>
      <w:r w:rsidRPr="00B11253">
        <w:rPr>
          <w:rFonts w:asciiTheme="minorHAnsi" w:eastAsiaTheme="minorEastAsia" w:hAnsiTheme="minorHAnsi" w:cstheme="minorHAnsi"/>
          <w:sz w:val="22"/>
          <w:szCs w:val="22"/>
        </w:rPr>
        <w:t xml:space="preserve">dėl pareiškėjo nusižengimą įvertinančio sprendimo. </w:t>
      </w:r>
      <w:bookmarkStart w:id="70" w:name="part_c4f136cfba1c4a449c18606787a3cda4"/>
      <w:bookmarkEnd w:id="70"/>
    </w:p>
    <w:p w14:paraId="7E7C839E" w14:textId="77777777" w:rsidR="00B11253" w:rsidRPr="00B11253" w:rsidRDefault="0051512E" w:rsidP="00B11253">
      <w:pPr>
        <w:ind w:firstLine="567"/>
        <w:jc w:val="both"/>
        <w:rPr>
          <w:rFonts w:asciiTheme="minorHAnsi" w:eastAsiaTheme="minorEastAsia" w:hAnsiTheme="minorHAnsi" w:cstheme="minorHAnsi"/>
          <w:sz w:val="22"/>
          <w:szCs w:val="22"/>
        </w:rPr>
      </w:pPr>
      <w:bookmarkStart w:id="71" w:name="part_3390ad828d8a4ccba32d6204b384d3f0"/>
      <w:bookmarkStart w:id="72" w:name="part_b2f4aaa053994079b29818a12887cd8d"/>
      <w:bookmarkEnd w:id="71"/>
      <w:bookmarkEnd w:id="72"/>
      <w:r>
        <w:rPr>
          <w:rFonts w:asciiTheme="minorHAnsi" w:eastAsiaTheme="minorEastAsia" w:hAnsiTheme="minorHAnsi" w:cstheme="minorHAnsi"/>
          <w:sz w:val="22"/>
          <w:szCs w:val="22"/>
        </w:rPr>
        <w:t>Nustatyta, jog į</w:t>
      </w:r>
      <w:r w:rsidR="00B11253" w:rsidRPr="00B11253">
        <w:rPr>
          <w:rFonts w:asciiTheme="minorHAnsi" w:eastAsiaTheme="minorEastAsia" w:hAnsiTheme="minorHAnsi" w:cstheme="minorHAnsi"/>
          <w:sz w:val="22"/>
          <w:szCs w:val="22"/>
        </w:rPr>
        <w:t>statymų leidėjas numatė, jog valstybės ar savivaldybių institucijų, įstaigų vadovai ar jų įgalioti atstovai arba kolegiali valstybės ar savivaldybės institucija VPIDVTĮ nuostatų nevykdymo atveju ir savo iniciatyva gali atlikti pavaldaus asmens, dirbančio valstybinėje tarnyboje, tarnybinės veiklos patikrinimą, tačiau kiekvienu atveju apie tyrimo rezultatus turi būti informuojama VTEK, kuri turi teisę vertinti, ar atlikto tyrimo išvadoje asmens veiksmų įvertinimas atitinka VPIDVTĮ nuostatas (VPIDVTĮ 22 str. 3 d.). Išplėstinė teisėjų kolegija pažym</w:t>
      </w:r>
      <w:r w:rsidR="00B11253">
        <w:rPr>
          <w:rFonts w:asciiTheme="minorHAnsi" w:eastAsiaTheme="minorEastAsia" w:hAnsiTheme="minorHAnsi" w:cstheme="minorHAnsi"/>
          <w:sz w:val="22"/>
          <w:szCs w:val="22"/>
        </w:rPr>
        <w:t>ėjo</w:t>
      </w:r>
      <w:r w:rsidR="00B11253" w:rsidRPr="00B11253">
        <w:rPr>
          <w:rFonts w:asciiTheme="minorHAnsi" w:eastAsiaTheme="minorEastAsia" w:hAnsiTheme="minorHAnsi" w:cstheme="minorHAnsi"/>
          <w:sz w:val="22"/>
          <w:szCs w:val="22"/>
        </w:rPr>
        <w:t xml:space="preserve">, jog, kaip ir yra akcentuojama </w:t>
      </w:r>
      <w:r w:rsidR="00B11253">
        <w:rPr>
          <w:rFonts w:asciiTheme="minorHAnsi" w:eastAsiaTheme="minorEastAsia" w:hAnsiTheme="minorHAnsi" w:cstheme="minorHAnsi"/>
          <w:sz w:val="22"/>
          <w:szCs w:val="22"/>
        </w:rPr>
        <w:t>LVAT</w:t>
      </w:r>
      <w:r w:rsidR="00B11253" w:rsidRPr="00B11253">
        <w:rPr>
          <w:rFonts w:asciiTheme="minorHAnsi" w:eastAsiaTheme="minorEastAsia" w:hAnsiTheme="minorHAnsi" w:cstheme="minorHAnsi"/>
          <w:sz w:val="22"/>
          <w:szCs w:val="22"/>
        </w:rPr>
        <w:t xml:space="preserve"> praktikoje, pareiga informuoti VTEK apie tyrimo rezultatus yra imperatyvi ir tik VTEK sprendimo pagrindu asmeniui, dirbančiam valstybės tarnyboje, gali būti skirta tarnybinė nuobauda dėl VPIDVTĮ nuostatų p</w:t>
      </w:r>
      <w:r w:rsidR="00B11253">
        <w:rPr>
          <w:rFonts w:asciiTheme="minorHAnsi" w:eastAsiaTheme="minorEastAsia" w:hAnsiTheme="minorHAnsi" w:cstheme="minorHAnsi"/>
          <w:sz w:val="22"/>
          <w:szCs w:val="22"/>
        </w:rPr>
        <w:t>ažeidimo. Taigi byloje nagrinėt</w:t>
      </w:r>
      <w:r w:rsidR="00B11253" w:rsidRPr="00B11253">
        <w:rPr>
          <w:rFonts w:asciiTheme="minorHAnsi" w:eastAsiaTheme="minorEastAsia" w:hAnsiTheme="minorHAnsi" w:cstheme="minorHAnsi"/>
          <w:sz w:val="22"/>
          <w:szCs w:val="22"/>
        </w:rPr>
        <w:t>u atveju Administracijos direktorius, norėdamas skirti tarnybinę nuobaudą pareiškėjui už VPIDVTĮ nuostatų pažeidimą, turėjo VTEK informuoti apie pareiškėjo tarnybinio nusižengimo tyrimo rezultatus ir gauti VTEK sprendimą dėl VPIDVTĮ normų pažeidimo vertinimo.</w:t>
      </w:r>
    </w:p>
    <w:p w14:paraId="09D23B2A" w14:textId="77777777" w:rsidR="00B11253" w:rsidRPr="00B11253" w:rsidRDefault="00B11253" w:rsidP="00B11253">
      <w:pPr>
        <w:ind w:firstLine="567"/>
        <w:jc w:val="both"/>
        <w:rPr>
          <w:rFonts w:asciiTheme="minorHAnsi" w:eastAsiaTheme="minorEastAsia" w:hAnsiTheme="minorHAnsi" w:cstheme="minorHAnsi"/>
          <w:sz w:val="22"/>
          <w:szCs w:val="22"/>
        </w:rPr>
      </w:pPr>
      <w:bookmarkStart w:id="73" w:name="part_8d59b3895a8a415d989e620c33f4639a"/>
      <w:bookmarkEnd w:id="73"/>
      <w:r>
        <w:rPr>
          <w:rFonts w:asciiTheme="minorHAnsi" w:eastAsiaTheme="minorEastAsia" w:hAnsiTheme="minorHAnsi" w:cstheme="minorHAnsi"/>
          <w:sz w:val="22"/>
          <w:szCs w:val="22"/>
        </w:rPr>
        <w:t>Išplėstinė teisėjų kolegija vertino</w:t>
      </w:r>
      <w:r w:rsidRPr="00B11253">
        <w:rPr>
          <w:rFonts w:asciiTheme="minorHAnsi" w:eastAsiaTheme="minorEastAsia" w:hAnsiTheme="minorHAnsi" w:cstheme="minorHAnsi"/>
          <w:sz w:val="22"/>
          <w:szCs w:val="22"/>
        </w:rPr>
        <w:t xml:space="preserve">, jog </w:t>
      </w:r>
      <w:r w:rsidRPr="00B11253">
        <w:rPr>
          <w:rFonts w:asciiTheme="minorHAnsi" w:eastAsiaTheme="minorEastAsia" w:hAnsiTheme="minorHAnsi" w:cstheme="minorHAnsi"/>
          <w:sz w:val="22"/>
          <w:szCs w:val="22"/>
          <w:u w:val="single"/>
        </w:rPr>
        <w:t>tokiu atveju, kada valstybės ar savivaldybės institucijos ar įstaigos vadovas arba kolegiali valstybės ar savivaldybės institucija kreipiasi į VTEK dėl sprendimo, ar yra padarytas VPIDVTĮ nuostatų pažeidimas, padaryto pažeidimo paaiškėjimo momentas turi būti siejamas su VTEK galutinio sprendimo dėl VPIDVTĮ nuostatų pažeidimo priėmimu. Dėl to yra pagrindas VTĮ 30 straipsnio 1 dalyje numatytą ne vėlesnį kaip vieno mėnesio nuo tarnybinio nusižengimo paaiškėjimo dienos tarnybinės nuobaudos paskyrimo terminą pradėti skaičiuoti ne nuo motyvuotos tarnybinio nusižengimo tyrimo išvados pateikimo valstybės tarnautoją į pareigas priėmusiam asmeniui, bet nuo galutinio VTEK sprendimo dėl VPIDVTĮ nuostatų pažeidimo pateikimo valstybės tarnautoją į pareigas priėmusiam asmeniui.</w:t>
      </w:r>
      <w:r w:rsidRPr="00B11253">
        <w:rPr>
          <w:rFonts w:asciiTheme="minorHAnsi" w:eastAsiaTheme="minorEastAsia" w:hAnsiTheme="minorHAnsi" w:cstheme="minorHAnsi"/>
          <w:sz w:val="22"/>
          <w:szCs w:val="22"/>
        </w:rPr>
        <w:t xml:space="preserve"> </w:t>
      </w:r>
      <w:r>
        <w:rPr>
          <w:rFonts w:asciiTheme="minorHAnsi" w:eastAsiaTheme="minorEastAsia" w:hAnsiTheme="minorHAnsi" w:cstheme="minorHAnsi"/>
          <w:sz w:val="22"/>
          <w:szCs w:val="22"/>
        </w:rPr>
        <w:t>P</w:t>
      </w:r>
      <w:r w:rsidRPr="00B11253">
        <w:rPr>
          <w:rFonts w:asciiTheme="minorHAnsi" w:eastAsiaTheme="minorEastAsia" w:hAnsiTheme="minorHAnsi" w:cstheme="minorHAnsi"/>
          <w:sz w:val="22"/>
          <w:szCs w:val="22"/>
        </w:rPr>
        <w:t>astebėt</w:t>
      </w:r>
      <w:r>
        <w:rPr>
          <w:rFonts w:asciiTheme="minorHAnsi" w:eastAsiaTheme="minorEastAsia" w:hAnsiTheme="minorHAnsi" w:cstheme="minorHAnsi"/>
          <w:sz w:val="22"/>
          <w:szCs w:val="22"/>
        </w:rPr>
        <w:t>a</w:t>
      </w:r>
      <w:r w:rsidRPr="00B11253">
        <w:rPr>
          <w:rFonts w:asciiTheme="minorHAnsi" w:eastAsiaTheme="minorEastAsia" w:hAnsiTheme="minorHAnsi" w:cstheme="minorHAnsi"/>
          <w:sz w:val="22"/>
          <w:szCs w:val="22"/>
        </w:rPr>
        <w:t>, kad tokiu atveju taip pat yra būtina atsižvelgti ir įvertinti kitas svarbias aplinkybes, tokias kaip, pavyzdžiui, ar valstybės ar savivaldybės institucijos ar įstaigos vadovas arba kolegiali valstybės ar savivaldybės institucija per protingą ir operatyvų terminą informavo VTEK apie tarnybinio nusižengimo tyrimo rezultatus, ėmėsi pagrįstų ir reikalingų priemonių, kad tarnybinio nusižengimo tyrimas būtų atliktas laiku, ar asmens, dėl kurio atliekamas tarnybinio nusižengimo tyrimas, interesai nebuvo nepagrįstai pažeisti ir pan. </w:t>
      </w:r>
    </w:p>
    <w:p w14:paraId="613469FC" w14:textId="77777777" w:rsidR="00B11253" w:rsidRPr="00B11253" w:rsidRDefault="00B11253" w:rsidP="00B11253">
      <w:pPr>
        <w:ind w:firstLine="567"/>
        <w:jc w:val="both"/>
        <w:rPr>
          <w:rFonts w:asciiTheme="minorHAnsi" w:eastAsiaTheme="minorEastAsia" w:hAnsiTheme="minorHAnsi" w:cstheme="minorHAnsi"/>
          <w:sz w:val="22"/>
          <w:szCs w:val="22"/>
        </w:rPr>
      </w:pPr>
      <w:bookmarkStart w:id="74" w:name="part_d290a91dfe7a4b3b9c8a6e130882355b"/>
      <w:bookmarkEnd w:id="74"/>
      <w:r w:rsidRPr="00B11253">
        <w:rPr>
          <w:rFonts w:asciiTheme="minorHAnsi" w:eastAsiaTheme="minorEastAsia" w:hAnsiTheme="minorHAnsi" w:cstheme="minorHAnsi"/>
          <w:sz w:val="22"/>
          <w:szCs w:val="22"/>
        </w:rPr>
        <w:t>Byloje nagrinė</w:t>
      </w:r>
      <w:r>
        <w:rPr>
          <w:rFonts w:asciiTheme="minorHAnsi" w:eastAsiaTheme="minorEastAsia" w:hAnsiTheme="minorHAnsi" w:cstheme="minorHAnsi"/>
          <w:sz w:val="22"/>
          <w:szCs w:val="22"/>
        </w:rPr>
        <w:t>t</w:t>
      </w:r>
      <w:r w:rsidRPr="00B11253">
        <w:rPr>
          <w:rFonts w:asciiTheme="minorHAnsi" w:eastAsiaTheme="minorEastAsia" w:hAnsiTheme="minorHAnsi" w:cstheme="minorHAnsi"/>
          <w:sz w:val="22"/>
          <w:szCs w:val="22"/>
        </w:rPr>
        <w:t xml:space="preserve">u </w:t>
      </w:r>
      <w:r>
        <w:rPr>
          <w:rFonts w:asciiTheme="minorHAnsi" w:eastAsiaTheme="minorEastAsia" w:hAnsiTheme="minorHAnsi" w:cstheme="minorHAnsi"/>
          <w:sz w:val="22"/>
          <w:szCs w:val="22"/>
        </w:rPr>
        <w:t>atveju įvertinta</w:t>
      </w:r>
      <w:r w:rsidRPr="00B11253">
        <w:rPr>
          <w:rFonts w:asciiTheme="minorHAnsi" w:eastAsiaTheme="minorEastAsia" w:hAnsiTheme="minorHAnsi" w:cstheme="minorHAnsi"/>
          <w:sz w:val="22"/>
          <w:szCs w:val="22"/>
        </w:rPr>
        <w:t>, jog atsakovas ėmėsi pagrįstų ir reikalingų priemonių, kad tarnybinio nusižengimo tyrimas būtų atliktas laiku, per protingą ir operatyvų terminą informavo VTEK apie tarnybinio nusižengimo tyrimo rezultatus, taip pat pareiškėjo interesai nebuvo nepagrįst</w:t>
      </w:r>
      <w:r>
        <w:rPr>
          <w:rFonts w:asciiTheme="minorHAnsi" w:eastAsiaTheme="minorEastAsia" w:hAnsiTheme="minorHAnsi" w:cstheme="minorHAnsi"/>
          <w:sz w:val="22"/>
          <w:szCs w:val="22"/>
        </w:rPr>
        <w:t>ai pažeisti. Dėl to konstatuot</w:t>
      </w:r>
      <w:r w:rsidRPr="00B11253">
        <w:rPr>
          <w:rFonts w:asciiTheme="minorHAnsi" w:eastAsiaTheme="minorEastAsia" w:hAnsiTheme="minorHAnsi" w:cstheme="minorHAnsi"/>
          <w:sz w:val="22"/>
          <w:szCs w:val="22"/>
        </w:rPr>
        <w:t xml:space="preserve">a, jog atsakovas, 2016 m. gegužės 17 d. ginčijamu </w:t>
      </w:r>
      <w:r>
        <w:rPr>
          <w:rFonts w:asciiTheme="minorHAnsi" w:eastAsiaTheme="minorEastAsia" w:hAnsiTheme="minorHAnsi" w:cstheme="minorHAnsi"/>
          <w:sz w:val="22"/>
          <w:szCs w:val="22"/>
        </w:rPr>
        <w:t>į</w:t>
      </w:r>
      <w:r w:rsidRPr="00B11253">
        <w:rPr>
          <w:rFonts w:asciiTheme="minorHAnsi" w:eastAsiaTheme="minorEastAsia" w:hAnsiTheme="minorHAnsi" w:cstheme="minorHAnsi"/>
          <w:sz w:val="22"/>
          <w:szCs w:val="22"/>
        </w:rPr>
        <w:t>sakymu skirdamas pareišk</w:t>
      </w:r>
      <w:r w:rsidR="0051512E">
        <w:rPr>
          <w:rFonts w:asciiTheme="minorHAnsi" w:eastAsiaTheme="minorEastAsia" w:hAnsiTheme="minorHAnsi" w:cstheme="minorHAnsi"/>
          <w:sz w:val="22"/>
          <w:szCs w:val="22"/>
        </w:rPr>
        <w:t>ėjui tarnybinę nuobaudą, VTĮ 30 </w:t>
      </w:r>
      <w:r w:rsidRPr="00B11253">
        <w:rPr>
          <w:rFonts w:asciiTheme="minorHAnsi" w:eastAsiaTheme="minorEastAsia" w:hAnsiTheme="minorHAnsi" w:cstheme="minorHAnsi"/>
          <w:sz w:val="22"/>
          <w:szCs w:val="22"/>
        </w:rPr>
        <w:t>straipsnio 1 dalyje numatyto tarnybinės nuobaudos skyrimo termino nepraleido.</w:t>
      </w:r>
    </w:p>
    <w:p w14:paraId="32D2DD70" w14:textId="77777777" w:rsidR="008F6262" w:rsidRPr="00E9375C" w:rsidRDefault="00B11253" w:rsidP="00892E2E">
      <w:pPr>
        <w:ind w:firstLine="567"/>
        <w:jc w:val="both"/>
        <w:rPr>
          <w:rFonts w:asciiTheme="minorHAnsi" w:eastAsiaTheme="minorEastAsia" w:hAnsiTheme="minorHAnsi" w:cstheme="minorHAnsi"/>
          <w:sz w:val="22"/>
          <w:szCs w:val="22"/>
        </w:rPr>
      </w:pPr>
      <w:bookmarkStart w:id="75" w:name="part_eb6b95d7a75f4510aebcf919c4571a37"/>
      <w:bookmarkEnd w:id="75"/>
      <w:r>
        <w:rPr>
          <w:rFonts w:asciiTheme="minorHAnsi" w:eastAsiaTheme="minorEastAsia" w:hAnsiTheme="minorHAnsi" w:cstheme="minorHAnsi"/>
          <w:sz w:val="22"/>
          <w:szCs w:val="22"/>
        </w:rPr>
        <w:t>Pareiškėjo apeliacinis skundas atmestas, o pirmosios instancijos teismo sprendimas paliktas nepakeistas.</w:t>
      </w:r>
    </w:p>
    <w:p w14:paraId="5E85D2F3" w14:textId="77777777" w:rsidR="00892E2E" w:rsidRDefault="00892E2E" w:rsidP="00892E2E"/>
    <w:p w14:paraId="4EFA9622" w14:textId="77777777" w:rsidR="00892E2E" w:rsidRPr="005F47C0" w:rsidRDefault="00B11253" w:rsidP="00892E2E">
      <w:pPr>
        <w:jc w:val="both"/>
        <w:rPr>
          <w:rFonts w:asciiTheme="minorHAnsi" w:eastAsiaTheme="minorEastAsia" w:hAnsiTheme="minorHAnsi" w:cstheme="minorHAnsi"/>
          <w:sz w:val="22"/>
          <w:szCs w:val="22"/>
        </w:rPr>
      </w:pPr>
      <w:r>
        <w:rPr>
          <w:rFonts w:asciiTheme="minorHAnsi" w:eastAsiaTheme="minorEastAsia" w:hAnsiTheme="minorHAnsi" w:cstheme="minorHAnsi"/>
          <w:sz w:val="22"/>
          <w:szCs w:val="22"/>
        </w:rPr>
        <w:t xml:space="preserve">Išplėstinė teisėjų kolegijos </w:t>
      </w:r>
      <w:r w:rsidR="00892E2E" w:rsidRPr="005F47C0">
        <w:rPr>
          <w:rFonts w:asciiTheme="minorHAnsi" w:eastAsiaTheme="minorEastAsia" w:hAnsiTheme="minorHAnsi" w:cstheme="minorHAnsi"/>
          <w:sz w:val="22"/>
          <w:szCs w:val="22"/>
        </w:rPr>
        <w:t xml:space="preserve">2019 m. </w:t>
      </w:r>
      <w:r w:rsidR="00344227">
        <w:rPr>
          <w:rFonts w:asciiTheme="minorHAnsi" w:eastAsiaTheme="minorEastAsia" w:hAnsiTheme="minorHAnsi" w:cstheme="minorHAnsi"/>
          <w:sz w:val="22"/>
          <w:szCs w:val="22"/>
        </w:rPr>
        <w:t>kovo 21</w:t>
      </w:r>
      <w:r w:rsidR="00892E2E" w:rsidRPr="005F47C0">
        <w:rPr>
          <w:rFonts w:asciiTheme="minorHAnsi" w:eastAsiaTheme="minorEastAsia" w:hAnsiTheme="minorHAnsi" w:cstheme="minorHAnsi"/>
          <w:sz w:val="22"/>
          <w:szCs w:val="22"/>
        </w:rPr>
        <w:t xml:space="preserve"> d. nutartis administracinėje byloje </w:t>
      </w:r>
      <w:r w:rsidR="00344227" w:rsidRPr="00344227">
        <w:rPr>
          <w:rFonts w:asciiTheme="minorHAnsi" w:eastAsiaTheme="minorEastAsia" w:hAnsiTheme="minorHAnsi" w:cstheme="minorHAnsi"/>
          <w:sz w:val="22"/>
          <w:szCs w:val="22"/>
        </w:rPr>
        <w:t>Nr. eA-3145-756/2019</w:t>
      </w:r>
    </w:p>
    <w:p w14:paraId="7E5E78BB" w14:textId="77777777" w:rsidR="00892E2E" w:rsidRPr="005F47C0" w:rsidRDefault="00892E2E" w:rsidP="00892E2E">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Teisminio proceso </w:t>
      </w:r>
      <w:r w:rsidR="00344227" w:rsidRPr="00344227">
        <w:rPr>
          <w:rFonts w:asciiTheme="minorHAnsi" w:eastAsiaTheme="minorEastAsia" w:hAnsiTheme="minorHAnsi" w:cstheme="minorHAnsi"/>
          <w:sz w:val="22"/>
          <w:szCs w:val="22"/>
        </w:rPr>
        <w:t>Nr. 3-61-3-02519-2016-9</w:t>
      </w:r>
    </w:p>
    <w:p w14:paraId="094A8ABC" w14:textId="77777777" w:rsidR="00892E2E" w:rsidRPr="005F47C0" w:rsidRDefault="00892E2E" w:rsidP="00892E2E">
      <w:pPr>
        <w:jc w:val="both"/>
        <w:rPr>
          <w:rFonts w:asciiTheme="minorHAnsi" w:eastAsiaTheme="minorEastAsia" w:hAnsiTheme="minorHAnsi" w:cstheme="minorHAnsi"/>
          <w:sz w:val="22"/>
          <w:szCs w:val="22"/>
        </w:rPr>
      </w:pPr>
      <w:r w:rsidRPr="005F47C0">
        <w:rPr>
          <w:rFonts w:asciiTheme="minorHAnsi" w:eastAsiaTheme="minorEastAsia" w:hAnsiTheme="minorHAnsi" w:cstheme="minorHAnsi"/>
          <w:sz w:val="22"/>
          <w:szCs w:val="22"/>
        </w:rPr>
        <w:t xml:space="preserve">Procesinio sprendimo </w:t>
      </w:r>
      <w:r w:rsidR="00344227" w:rsidRPr="00344227">
        <w:rPr>
          <w:rFonts w:asciiTheme="minorHAnsi" w:eastAsiaTheme="minorEastAsia" w:hAnsiTheme="minorHAnsi" w:cstheme="minorHAnsi"/>
          <w:sz w:val="22"/>
          <w:szCs w:val="22"/>
        </w:rPr>
        <w:t>kategorijos: 21.2; 22.5; 57.3</w:t>
      </w:r>
    </w:p>
    <w:p w14:paraId="0BB8F7E3" w14:textId="77777777" w:rsidR="00892E2E" w:rsidRDefault="00DC0A59" w:rsidP="00892E2E">
      <w:pPr>
        <w:jc w:val="both"/>
        <w:rPr>
          <w:rFonts w:asciiTheme="minorHAnsi" w:eastAsiaTheme="minorEastAsia" w:hAnsiTheme="minorHAnsi" w:cstheme="minorHAnsi"/>
          <w:sz w:val="22"/>
          <w:szCs w:val="22"/>
        </w:rPr>
      </w:pPr>
      <w:hyperlink r:id="rId18" w:history="1">
        <w:r w:rsidR="00892E2E" w:rsidRPr="00344227">
          <w:rPr>
            <w:rStyle w:val="Hipersaitas"/>
            <w:rFonts w:asciiTheme="minorHAnsi" w:eastAsiaTheme="minorEastAsia" w:hAnsiTheme="minorHAnsi" w:cstheme="minorHAnsi"/>
            <w:sz w:val="22"/>
            <w:szCs w:val="22"/>
          </w:rPr>
          <w:t>Prieiga internete</w:t>
        </w:r>
      </w:hyperlink>
      <w:r w:rsidR="00892E2E" w:rsidRPr="005F47C0">
        <w:rPr>
          <w:rFonts w:asciiTheme="minorHAnsi" w:eastAsiaTheme="minorEastAsia" w:hAnsiTheme="minorHAnsi" w:cstheme="minorHAnsi"/>
          <w:sz w:val="22"/>
          <w:szCs w:val="22"/>
        </w:rPr>
        <w:t xml:space="preserve"> </w:t>
      </w:r>
    </w:p>
    <w:p w14:paraId="520A6BAC" w14:textId="3C0EB69E" w:rsidR="00892E2E" w:rsidRDefault="00892E2E" w:rsidP="00892E2E">
      <w:pPr>
        <w:pStyle w:val="Apzvalgai1"/>
        <w:outlineLvl w:val="9"/>
        <w:rPr>
          <w:rFonts w:asciiTheme="minorHAnsi" w:hAnsiTheme="minorHAnsi" w:cstheme="minorHAnsi"/>
          <w:b w:val="0"/>
        </w:rPr>
      </w:pPr>
    </w:p>
    <w:p w14:paraId="6A4DCE58" w14:textId="77777777" w:rsidR="003B5E15" w:rsidRPr="003B5E15" w:rsidRDefault="003B5E15" w:rsidP="003B5E15">
      <w:pPr>
        <w:ind w:firstLine="720"/>
        <w:jc w:val="both"/>
        <w:rPr>
          <w:rFonts w:ascii="Calibri" w:hAnsi="Calibri"/>
          <w:b/>
          <w:sz w:val="22"/>
          <w:szCs w:val="22"/>
          <w:u w:val="single"/>
        </w:rPr>
      </w:pPr>
      <w:r w:rsidRPr="003B5E15">
        <w:rPr>
          <w:rFonts w:ascii="Calibri" w:hAnsi="Calibri"/>
          <w:b/>
          <w:sz w:val="22"/>
          <w:szCs w:val="22"/>
          <w:u w:val="single"/>
        </w:rPr>
        <w:t>22.7. Kiti su valstybės tarnyba susiję klausimai</w:t>
      </w:r>
    </w:p>
    <w:p w14:paraId="45F1E427" w14:textId="77777777" w:rsidR="003B5E15" w:rsidRPr="003B5E15" w:rsidRDefault="003B5E15" w:rsidP="003B5E15">
      <w:pPr>
        <w:ind w:firstLine="567"/>
        <w:jc w:val="both"/>
        <w:rPr>
          <w:rFonts w:ascii="Calibri" w:hAnsi="Calibri"/>
          <w:sz w:val="22"/>
          <w:szCs w:val="22"/>
        </w:rPr>
      </w:pPr>
    </w:p>
    <w:p w14:paraId="6BCA925E" w14:textId="77777777" w:rsidR="003B5E15" w:rsidRPr="003B5E15" w:rsidRDefault="003B5E15" w:rsidP="004445E5">
      <w:pPr>
        <w:pStyle w:val="Antrat2"/>
        <w:rPr>
          <w:rFonts w:eastAsia="Calibri"/>
          <w:lang w:eastAsia="en-US"/>
        </w:rPr>
      </w:pPr>
      <w:bookmarkStart w:id="76" w:name="_Toc9845486"/>
      <w:r w:rsidRPr="003B5E15">
        <w:rPr>
          <w:rFonts w:eastAsia="Calibri"/>
          <w:lang w:eastAsia="en-US"/>
        </w:rPr>
        <w:t>Dėl Policijos departamento parengtos reformos</w:t>
      </w:r>
      <w:bookmarkEnd w:id="76"/>
      <w:r w:rsidRPr="003B5E15">
        <w:rPr>
          <w:rFonts w:eastAsia="Calibri"/>
          <w:lang w:eastAsia="en-US"/>
        </w:rPr>
        <w:t xml:space="preserve"> </w:t>
      </w:r>
    </w:p>
    <w:p w14:paraId="555E170F" w14:textId="77777777" w:rsidR="003B5E15" w:rsidRPr="003B5E15" w:rsidRDefault="003B5E15" w:rsidP="003B5E15">
      <w:pPr>
        <w:ind w:firstLine="567"/>
        <w:jc w:val="both"/>
        <w:rPr>
          <w:rFonts w:ascii="Calibri" w:hAnsi="Calibri"/>
          <w:sz w:val="22"/>
          <w:szCs w:val="22"/>
        </w:rPr>
      </w:pPr>
    </w:p>
    <w:p w14:paraId="15A77E7B" w14:textId="77777777" w:rsidR="003B5E15" w:rsidRPr="003B5E15" w:rsidRDefault="003B5E15" w:rsidP="003B5E15">
      <w:pPr>
        <w:ind w:firstLine="567"/>
        <w:jc w:val="both"/>
        <w:rPr>
          <w:rFonts w:ascii="Calibri" w:hAnsi="Calibri"/>
          <w:sz w:val="22"/>
          <w:szCs w:val="22"/>
        </w:rPr>
      </w:pPr>
      <w:r w:rsidRPr="003B5E15">
        <w:rPr>
          <w:rFonts w:ascii="Calibri" w:hAnsi="Calibri"/>
          <w:sz w:val="22"/>
          <w:szCs w:val="22"/>
        </w:rPr>
        <w:t xml:space="preserve">Nagrinėtoje byloje ginčas kilo dėl Policijos departamento Sprendimų atsisakyti tenkinti pareiškėjų reikalavimą atšaukti (sustabdyti vykdymą) Generalinio komisaro įsakymu patvirtintų Metmenų įgyvendinimą bei Generalinio komisaro sprendimų, susijusių su steigiamų pareigybių sąrašų patvirtinimu Vilniaus, Kauno, Klaipėdos, Panevėžio, Šiaulių ir analogiškų sprendimų dėl kitų apskričių įgyvendinimą, teisėtumo ir pagrįstumo. </w:t>
      </w:r>
    </w:p>
    <w:p w14:paraId="55ABFAF7" w14:textId="22C3E4E4" w:rsidR="003B5E15" w:rsidRPr="003B5E15" w:rsidRDefault="003B5E15" w:rsidP="003B5E15">
      <w:pPr>
        <w:ind w:firstLine="567"/>
        <w:jc w:val="both"/>
        <w:rPr>
          <w:rFonts w:ascii="Calibri" w:hAnsi="Calibri"/>
          <w:sz w:val="22"/>
          <w:szCs w:val="22"/>
        </w:rPr>
      </w:pPr>
      <w:r w:rsidRPr="003B5E15">
        <w:rPr>
          <w:rFonts w:ascii="Calibri" w:hAnsi="Calibri"/>
          <w:sz w:val="22"/>
          <w:szCs w:val="22"/>
        </w:rPr>
        <w:lastRenderedPageBreak/>
        <w:t xml:space="preserve">LVAT, remdamasis </w:t>
      </w:r>
      <w:r w:rsidR="0006177A">
        <w:rPr>
          <w:rFonts w:ascii="Calibri" w:hAnsi="Calibri"/>
          <w:sz w:val="22"/>
          <w:szCs w:val="22"/>
        </w:rPr>
        <w:t>ABTĮ</w:t>
      </w:r>
      <w:r w:rsidRPr="003B5E15">
        <w:rPr>
          <w:rFonts w:ascii="Calibri" w:hAnsi="Calibri"/>
          <w:sz w:val="22"/>
          <w:szCs w:val="22"/>
        </w:rPr>
        <w:t xml:space="preserve"> 57 straipsnio 2 dalimi, atkreipė dėmesį, kad </w:t>
      </w:r>
      <w:r w:rsidR="002134F3">
        <w:rPr>
          <w:rFonts w:ascii="Calibri" w:hAnsi="Calibri"/>
          <w:sz w:val="22"/>
          <w:szCs w:val="22"/>
        </w:rPr>
        <w:t>LVAT</w:t>
      </w:r>
      <w:r w:rsidRPr="003B5E15">
        <w:rPr>
          <w:rFonts w:ascii="Calibri" w:hAnsi="Calibri"/>
          <w:sz w:val="22"/>
          <w:szCs w:val="22"/>
        </w:rPr>
        <w:t xml:space="preserve"> 2017 m. rugsėjo 20 d. nutartyje bei 2018 m. rugsėjo 17 d. sprendime pateiktos teisės taikymo bei aiškinimo taisyklės vertintinos tik sprendžiant, ar pirmosios instancijos teismas teisingai nustatė faktines aplinkybes ir vadovavosi šiai bylai aktualiomis materialiosios teisės normomis bei atsižvelgė į apeliacinės instancijos teismo pateiktus nurodymus.</w:t>
      </w:r>
    </w:p>
    <w:p w14:paraId="41C7BE1B" w14:textId="77777777" w:rsidR="003B5E15" w:rsidRPr="003B5E15" w:rsidRDefault="003B5E15" w:rsidP="003B5E15">
      <w:pPr>
        <w:ind w:firstLine="567"/>
        <w:jc w:val="both"/>
        <w:rPr>
          <w:rFonts w:ascii="Calibri" w:hAnsi="Calibri"/>
          <w:sz w:val="22"/>
          <w:szCs w:val="22"/>
        </w:rPr>
      </w:pPr>
      <w:r w:rsidRPr="003B5E15">
        <w:rPr>
          <w:rFonts w:ascii="Calibri" w:hAnsi="Calibri"/>
          <w:sz w:val="22"/>
          <w:szCs w:val="22"/>
        </w:rPr>
        <w:t xml:space="preserve">Teisėjų kolegija pastebėjo, </w:t>
      </w:r>
      <w:r w:rsidRPr="003B5E15">
        <w:rPr>
          <w:rFonts w:ascii="Calibri" w:hAnsi="Calibri"/>
          <w:sz w:val="22"/>
          <w:szCs w:val="22"/>
          <w:u w:val="single"/>
        </w:rPr>
        <w:t>jog 2002 m. kovo 11 d. Europos Parlamento ir Tarybos direktyva 2002/14/EB „Dėl bendros darbuotojų informavimo ir konsultavimosi su jais sistemos sukūrimo Europos bendrijoje“</w:t>
      </w:r>
      <w:r w:rsidRPr="003B5E15">
        <w:rPr>
          <w:rFonts w:ascii="Calibri" w:hAnsi="Calibri"/>
          <w:sz w:val="22"/>
          <w:szCs w:val="22"/>
        </w:rPr>
        <w:t xml:space="preserve">, vadovaujantis jos 2 straipsnyje a punkte pateikta „įmonės“ sąvoka, </w:t>
      </w:r>
      <w:r w:rsidRPr="003B5E15">
        <w:rPr>
          <w:rFonts w:ascii="Calibri" w:hAnsi="Calibri"/>
          <w:sz w:val="22"/>
          <w:szCs w:val="22"/>
          <w:u w:val="single"/>
        </w:rPr>
        <w:t>2001 m. kovo 12 d. Tarybos Direktyva 2001/23/EB „Dėl valstybių narių įstatymų, skirtų darbuotojų teisių apsaugai įmonių, verslo arba įmonių ar verslo dalių perdavimo atveju, suderinimo“</w:t>
      </w:r>
      <w:r w:rsidRPr="003B5E15">
        <w:rPr>
          <w:rFonts w:ascii="Calibri" w:hAnsi="Calibri"/>
          <w:sz w:val="22"/>
          <w:szCs w:val="22"/>
        </w:rPr>
        <w:t xml:space="preserve"> pagal 1 straipsnio 1 dalyje a punkte apibrėžtą jos taikymo sritį, taip pat </w:t>
      </w:r>
      <w:r w:rsidRPr="003B5E15">
        <w:rPr>
          <w:rFonts w:ascii="Calibri" w:hAnsi="Calibri"/>
          <w:sz w:val="22"/>
          <w:szCs w:val="22"/>
          <w:u w:val="single"/>
        </w:rPr>
        <w:t>1998 m. liepos 20 d. Tarybos Direktyva 98/59/EB „Dėl valstybių narių įstatymų, susijusių su kolektyviniu atleidimu iš darbo, suderinimo“</w:t>
      </w:r>
      <w:r w:rsidRPr="003B5E15">
        <w:rPr>
          <w:rFonts w:ascii="Calibri" w:hAnsi="Calibri"/>
          <w:sz w:val="22"/>
          <w:szCs w:val="22"/>
        </w:rPr>
        <w:t xml:space="preserve"> pagal 1 straipsnio 2 dalį, reglamentuojančią šios Direktyvos netaikymo išimtis, </w:t>
      </w:r>
      <w:r w:rsidRPr="003B5E15">
        <w:rPr>
          <w:rFonts w:ascii="Calibri" w:hAnsi="Calibri"/>
          <w:sz w:val="22"/>
          <w:szCs w:val="22"/>
          <w:u w:val="single"/>
        </w:rPr>
        <w:t>šiose direktyvose įtvirtintos informavimo ir konsultavimo procedūros yra netaikomos viešajame sektoriuje, t. y. viešojo sektoriaus įmonėms ir įstaigoms, jeigu šios nevykdo ekonominės veiklos</w:t>
      </w:r>
      <w:r w:rsidRPr="003B5E15">
        <w:rPr>
          <w:rFonts w:ascii="Calibri" w:hAnsi="Calibri"/>
          <w:sz w:val="22"/>
          <w:szCs w:val="22"/>
        </w:rPr>
        <w:t xml:space="preserve">. Pastaroji taisyklė dėl direktyvų taikymo išimties (netaikymo viešajame sektoriuje, kai nėra vykdoma ekonominė veikla) yra išplėtota Europos Sąjungos Teisingumo Teismo jurisprudencijoje (žr., pvz., 1991 m. balandžio 23 d. sprendimą </w:t>
      </w:r>
      <w:r w:rsidRPr="003B5E15">
        <w:rPr>
          <w:rFonts w:ascii="Calibri" w:hAnsi="Calibri"/>
          <w:i/>
          <w:sz w:val="22"/>
          <w:szCs w:val="22"/>
        </w:rPr>
        <w:t>Klaus Höfner and Fritz Elser prieš Macrotron GmbH</w:t>
      </w:r>
      <w:r w:rsidRPr="003B5E15">
        <w:rPr>
          <w:rFonts w:ascii="Calibri" w:hAnsi="Calibri"/>
          <w:sz w:val="22"/>
          <w:szCs w:val="22"/>
        </w:rPr>
        <w:t>, C</w:t>
      </w:r>
      <w:r w:rsidRPr="003B5E15">
        <w:rPr>
          <w:rFonts w:ascii="Calibri" w:hAnsi="Calibri"/>
          <w:sz w:val="22"/>
          <w:szCs w:val="22"/>
        </w:rPr>
        <w:noBreakHyphen/>
        <w:t xml:space="preserve">41/90, EU:C:1991:161; 2011 m. rugsėjo 6 d. sprendimą </w:t>
      </w:r>
      <w:r w:rsidRPr="003B5E15">
        <w:rPr>
          <w:rFonts w:ascii="Calibri" w:hAnsi="Calibri"/>
          <w:i/>
          <w:sz w:val="22"/>
          <w:szCs w:val="22"/>
        </w:rPr>
        <w:t>Ivana Scattolon prieš Ministero dell’Istruzione, dell’Università e della Ricerca</w:t>
      </w:r>
      <w:r w:rsidRPr="003B5E15">
        <w:rPr>
          <w:rFonts w:ascii="Calibri" w:hAnsi="Calibri"/>
          <w:sz w:val="22"/>
          <w:szCs w:val="22"/>
        </w:rPr>
        <w:t>, C</w:t>
      </w:r>
      <w:r w:rsidRPr="003B5E15">
        <w:rPr>
          <w:rFonts w:ascii="Calibri" w:hAnsi="Calibri"/>
          <w:sz w:val="22"/>
          <w:szCs w:val="22"/>
        </w:rPr>
        <w:noBreakHyphen/>
        <w:t xml:space="preserve">108/10, EU:C:2011:542; 2012 m. spalio 18 d. sprendimą </w:t>
      </w:r>
      <w:r w:rsidRPr="00023114">
        <w:rPr>
          <w:rFonts w:ascii="Calibri" w:hAnsi="Calibri"/>
          <w:i/>
          <w:sz w:val="22"/>
          <w:szCs w:val="22"/>
        </w:rPr>
        <w:t>Jungtinės Amerikos Valstijos prieš Christine Nolan</w:t>
      </w:r>
      <w:r w:rsidRPr="003B5E15">
        <w:rPr>
          <w:rFonts w:ascii="Calibri" w:hAnsi="Calibri"/>
          <w:sz w:val="22"/>
          <w:szCs w:val="22"/>
        </w:rPr>
        <w:t>, C</w:t>
      </w:r>
      <w:r w:rsidRPr="003B5E15">
        <w:rPr>
          <w:rFonts w:ascii="Calibri" w:hAnsi="Calibri"/>
          <w:sz w:val="22"/>
          <w:szCs w:val="22"/>
        </w:rPr>
        <w:noBreakHyphen/>
        <w:t xml:space="preserve">583/10, EU:C:2012:638), todėl sutiko su atsakovo argumentais, kad </w:t>
      </w:r>
      <w:r w:rsidRPr="003B5E15">
        <w:rPr>
          <w:rFonts w:ascii="Calibri" w:hAnsi="Calibri"/>
          <w:sz w:val="22"/>
          <w:szCs w:val="22"/>
          <w:u w:val="single"/>
        </w:rPr>
        <w:t>Europos Sąjungos teisė neįpareigoja vesti informavimo ir konsultavimo procedūras viešajame sektoriuje</w:t>
      </w:r>
      <w:r w:rsidRPr="003B5E15">
        <w:rPr>
          <w:rFonts w:ascii="Calibri" w:hAnsi="Calibri"/>
          <w:sz w:val="22"/>
          <w:szCs w:val="22"/>
        </w:rPr>
        <w:t>, o pareiškėjų argumentai dėl Europos Sąjungos teisės pažeidimo yra nepagrįsti.</w:t>
      </w:r>
    </w:p>
    <w:p w14:paraId="26D4ECA0" w14:textId="77777777" w:rsidR="003B5E15" w:rsidRPr="003B5E15" w:rsidRDefault="003B5E15" w:rsidP="003B5E15">
      <w:pPr>
        <w:ind w:firstLine="567"/>
        <w:jc w:val="both"/>
        <w:rPr>
          <w:rFonts w:ascii="Calibri" w:hAnsi="Calibri"/>
          <w:sz w:val="22"/>
          <w:szCs w:val="22"/>
        </w:rPr>
      </w:pPr>
      <w:r w:rsidRPr="003B5E15">
        <w:rPr>
          <w:rFonts w:ascii="Calibri" w:hAnsi="Calibri"/>
          <w:sz w:val="22"/>
          <w:szCs w:val="22"/>
        </w:rPr>
        <w:t>Pagal Profesinių sąjungų įstatymo 18 straipsnio 1 dalį, profesinės sąjungos turi teisę reikalauti iš darbdavio panaikinti jo sprendimus, kurie pažeidžia Lietuvos Respublikos įstatymų numatytas darbo, ekonomines ir socialines profesinių sąjungų narių teises. Šio straipsnio 3 dalyje nurodyta, kad jeigu darbdavys laiku neišnagrinėja profesinių sąjungų reikalavimo panaikinti tokį sprendimą arba atsisako jį patenkinti, profesinė sąjunga turi teisę kreiptis į teismą.</w:t>
      </w:r>
    </w:p>
    <w:p w14:paraId="51866F4B" w14:textId="142949EB" w:rsidR="003B5E15" w:rsidRPr="003B5E15" w:rsidRDefault="00E83AC5" w:rsidP="003B5E15">
      <w:pPr>
        <w:ind w:firstLine="567"/>
        <w:jc w:val="both"/>
        <w:rPr>
          <w:rFonts w:ascii="Calibri" w:hAnsi="Calibri"/>
          <w:sz w:val="22"/>
          <w:szCs w:val="22"/>
        </w:rPr>
      </w:pPr>
      <w:r>
        <w:rPr>
          <w:rFonts w:ascii="Calibri" w:hAnsi="Calibri"/>
          <w:sz w:val="22"/>
          <w:szCs w:val="22"/>
        </w:rPr>
        <w:t>LAT</w:t>
      </w:r>
      <w:r w:rsidR="003B5E15" w:rsidRPr="003B5E15">
        <w:rPr>
          <w:rFonts w:ascii="Calibri" w:hAnsi="Calibri"/>
          <w:sz w:val="22"/>
          <w:szCs w:val="22"/>
        </w:rPr>
        <w:t xml:space="preserve"> 2003 m. spalio 29 d. nutartyje civilinėje byloje Nr. 3K-3-1014/2003 yra išaiškinęs, kad profesinių sąjungų narių teisės gali būti pažeidžiamos darbdavio sprendimais, kai visiems darbuotojams privalomais vykdyti lokaliniais aktais susiaurinamos, paneigiamos ar kitaip pažeidžiamos įstatymais suteiktos teisės. Tai nebūtų nei individualus, nei kolektyvinis ginčas. Profesinė sąjunga, kaip atstovaujanti ir ginanti darbuotojų teises bei interesus organizacija, pagal Profesinių sąjungų įstatymo 18 straipsnio 1 dalį, turi teisę šios normos nustatyta tvarka reikalauti panaikinti darbdavio sprendimus. Darbdavio sprendimai turi būti tokio pobūdžio, kad liestų jam pavaldžius darbuotojus, pažeistų jų darbo, ekonomines ir socialines teises, tos teisės turi būti numatytos įstatymų. </w:t>
      </w:r>
    </w:p>
    <w:p w14:paraId="2D6880CA" w14:textId="426662AE" w:rsidR="003B5E15" w:rsidRPr="003B5E15" w:rsidRDefault="0006177A" w:rsidP="003B5E15">
      <w:pPr>
        <w:ind w:firstLine="567"/>
        <w:jc w:val="both"/>
        <w:rPr>
          <w:rFonts w:ascii="Calibri" w:hAnsi="Calibri"/>
          <w:sz w:val="22"/>
          <w:szCs w:val="22"/>
        </w:rPr>
      </w:pPr>
      <w:r>
        <w:rPr>
          <w:rFonts w:ascii="Calibri" w:hAnsi="Calibri"/>
          <w:sz w:val="22"/>
          <w:szCs w:val="22"/>
        </w:rPr>
        <w:t>DK</w:t>
      </w:r>
      <w:r w:rsidR="003B5E15" w:rsidRPr="003B5E15">
        <w:rPr>
          <w:rFonts w:ascii="Calibri" w:hAnsi="Calibri"/>
          <w:sz w:val="22"/>
          <w:szCs w:val="22"/>
        </w:rPr>
        <w:t xml:space="preserve"> 47 straipsnio 4 dalyje nustatyta, kad prieš priimdamas sprendimą dėl įmonės reorganizavimo, verslo ar jo dalies perdavimo ir kitus sprendimus, galinčius turėti esminės įtakos darbo organizavimui įmonėje ir darbuotojų teisinei padėčiai, darbdavys privalo informuoti darbuotojų atstovus ir konsultuotis su jais dėl tokio sprendimo priežasčių bei teisinių, ekonominių ir socialinių padarinių darbuotojams ir dėl numatytų priemonių galimiems padariniams išvengti arba jiems sušvelninti. Pagal DK 47 straipsnio 1 dalį informavimas – informacijos (duomenų) perdavimas darbuotojų atstovams, siekiant supažindinti su reikalo esme. Konsultavimas – pasikeitimas nuomonėmis ir dialogo tarp darbuotojų atstovų ir darbdavio užmezgimas bei plėtojimas. Jeigu darbdavys pažeidė savo pareigą informuoti darbuotojų atstovus ar darbuotojus pagal DK 47 straipsnį, darbuotojų atstovai ar darbuotojai gali kreiptis į teismą ir ginti savo pažeistas teises (žr., pvz., </w:t>
      </w:r>
      <w:r>
        <w:rPr>
          <w:rFonts w:ascii="Calibri" w:hAnsi="Calibri"/>
          <w:sz w:val="22"/>
          <w:szCs w:val="22"/>
        </w:rPr>
        <w:t>LVAT</w:t>
      </w:r>
      <w:r w:rsidR="003B5E15" w:rsidRPr="003B5E15">
        <w:rPr>
          <w:rFonts w:ascii="Calibri" w:hAnsi="Calibri"/>
          <w:sz w:val="22"/>
          <w:szCs w:val="22"/>
        </w:rPr>
        <w:t xml:space="preserve"> 2017 m. rugpjūčio 10 d. nutartį administracinėje byloje Nr. eA-976-662/2017). </w:t>
      </w:r>
    </w:p>
    <w:p w14:paraId="1D21987B" w14:textId="77777777" w:rsidR="003B5E15" w:rsidRPr="003B5E15" w:rsidRDefault="003B5E15" w:rsidP="003B5E15">
      <w:pPr>
        <w:ind w:firstLine="567"/>
        <w:jc w:val="both"/>
        <w:rPr>
          <w:rFonts w:ascii="Calibri" w:hAnsi="Calibri"/>
          <w:sz w:val="22"/>
          <w:szCs w:val="22"/>
        </w:rPr>
      </w:pPr>
      <w:r w:rsidRPr="003B5E15">
        <w:rPr>
          <w:rFonts w:ascii="Calibri" w:hAnsi="Calibri"/>
          <w:sz w:val="22"/>
          <w:szCs w:val="22"/>
          <w:u w:val="single"/>
        </w:rPr>
        <w:t>Teisės aktuose nenustačius ir neaptarus konsultavimo procedūrai keliamų reikalavimų (jos stadijų, etapų, formos, terminų, dokumentacijos ir t. t.)</w:t>
      </w:r>
      <w:r w:rsidRPr="003B5E15">
        <w:rPr>
          <w:rFonts w:ascii="Calibri" w:hAnsi="Calibri"/>
          <w:sz w:val="22"/>
          <w:szCs w:val="22"/>
        </w:rPr>
        <w:t xml:space="preserve">, teisėjų kolegija sprendė, kad </w:t>
      </w:r>
      <w:r w:rsidRPr="003B5E15">
        <w:rPr>
          <w:rFonts w:ascii="Calibri" w:hAnsi="Calibri"/>
          <w:sz w:val="22"/>
          <w:szCs w:val="22"/>
          <w:u w:val="single"/>
        </w:rPr>
        <w:t>vertinamieji kriterijai dėl konsultavimosi procedūros tinkamumo yra savalaikis darbuotojų atstovų informavimas apie ketinimus priimti sprendimus, turinčius esminės įtakos darbuotojų statusui, ir galimybės suteikimas jiems išsakyti savo nuomonę dėl atitinkamų sprendimų bei dėl priemonių neigiamiems padariniams išvengti</w:t>
      </w:r>
      <w:r w:rsidRPr="003B5E15">
        <w:rPr>
          <w:rFonts w:ascii="Calibri" w:hAnsi="Calibri"/>
          <w:sz w:val="22"/>
          <w:szCs w:val="22"/>
        </w:rPr>
        <w:t xml:space="preserve">. Tokią išvadą pagrindžia, be kita ko, Europos Sąjungos Bendrojo Teismo 2016 m. gruodžio 13 d. sprendimas </w:t>
      </w:r>
      <w:r w:rsidRPr="0006177A">
        <w:rPr>
          <w:rFonts w:ascii="Calibri" w:hAnsi="Calibri"/>
          <w:i/>
          <w:sz w:val="22"/>
          <w:szCs w:val="22"/>
        </w:rPr>
        <w:t>Organisation des salariés auprès des institutions européennes et internationales en République fédérale d'Allemagne (IPSO) prieš European Central Ban</w:t>
      </w:r>
      <w:r w:rsidRPr="003B5E15">
        <w:rPr>
          <w:rFonts w:ascii="Calibri" w:hAnsi="Calibri"/>
          <w:sz w:val="22"/>
          <w:szCs w:val="22"/>
        </w:rPr>
        <w:t xml:space="preserve">k, T-713/14, EU:T:2016:727, kuriame konstatuota: „&lt;…&gt; profesinės sąjungos, ieškovės, kaip socialinės partnerės, teise, kad su ja būtų konsultuojamasi ir kad ji būtų informuojama, nesiekiama susitarti klausimu, kuriam taikomos jos procesinės garantijos, o tik norima suteikti profesinei sąjungai progą daryti įtaką priimant sprendimą.“ </w:t>
      </w:r>
    </w:p>
    <w:p w14:paraId="2CE36B05" w14:textId="77777777" w:rsidR="003B5E15" w:rsidRPr="003B5E15" w:rsidRDefault="003B5E15" w:rsidP="003B5E15">
      <w:pPr>
        <w:ind w:firstLine="567"/>
        <w:jc w:val="both"/>
        <w:rPr>
          <w:rFonts w:ascii="Calibri" w:hAnsi="Calibri"/>
          <w:sz w:val="22"/>
          <w:szCs w:val="22"/>
        </w:rPr>
      </w:pPr>
      <w:r w:rsidRPr="003B5E15">
        <w:rPr>
          <w:rFonts w:ascii="Calibri" w:hAnsi="Calibri"/>
          <w:sz w:val="22"/>
          <w:szCs w:val="22"/>
        </w:rPr>
        <w:lastRenderedPageBreak/>
        <w:t xml:space="preserve">Įvertinusi byloje nustatytas faktines aplinkybes, apeliacinės instancijos teismo teisėjų kolegija sutiko su pirmosios instancijos teismo padarytomis išvadomis, kad </w:t>
      </w:r>
      <w:r w:rsidRPr="003B5E15">
        <w:rPr>
          <w:rFonts w:ascii="Calibri" w:hAnsi="Calibri"/>
          <w:sz w:val="22"/>
          <w:szCs w:val="22"/>
          <w:u w:val="single"/>
        </w:rPr>
        <w:t>pareiškėjai jau nuo pat pradžių disponavo visa būtina informacija (įskaitant ir pirminę informaciją, kuri buvo pagrindas policijos reformai konstruoti), dalyvavo pertvarkos įgyvendinimo procese</w:t>
      </w:r>
      <w:r w:rsidRPr="003B5E15">
        <w:rPr>
          <w:rFonts w:ascii="Calibri" w:hAnsi="Calibri"/>
          <w:sz w:val="22"/>
          <w:szCs w:val="22"/>
        </w:rPr>
        <w:t xml:space="preserve">. Pareiškėjų atstovų įtraukimas į minėtą darbo grupę, sudarymas techninės galimybės visiems atsakovo pareigūnams ir darbuotojams susipažinti su aktualia informacija dėl pertvarkos ir pateikti klausimus bei apskričių vyriausiųjų policijos komisariatų vykdyti konsultavimosi susitikimai pagrįstai buvo laikomi vieninga informavimo ir konsultavimo proceso sudedamąja dalimi. Teisėjų kolegija, remdamasi byloje nustatytomis faktinėmis aplinkybėmis, priėjo prie išvados, </w:t>
      </w:r>
      <w:r w:rsidRPr="003B5E15">
        <w:rPr>
          <w:rFonts w:ascii="Calibri" w:hAnsi="Calibri"/>
          <w:sz w:val="22"/>
          <w:szCs w:val="22"/>
          <w:u w:val="single"/>
        </w:rPr>
        <w:t>kad atsakovas byloje įrodė, jog buvo sudarytos maksimaliai palankios sąlygos darbuotojų atstovams dalyvauti pertvarkos procese, būti informuotiems ir išsakyti savo nuomonę, o apeliacinio skundo argumentai, kuriais suabsoliutinama pareiga konsultacijų metu siekti abi šalis tenkinančio sprendimo priėmimo, yra nepagrįsti</w:t>
      </w:r>
      <w:r w:rsidRPr="003B5E15">
        <w:rPr>
          <w:rFonts w:ascii="Calibri" w:hAnsi="Calibri"/>
          <w:sz w:val="22"/>
          <w:szCs w:val="22"/>
        </w:rPr>
        <w:t>.</w:t>
      </w:r>
    </w:p>
    <w:p w14:paraId="2B8D6B78" w14:textId="77777777" w:rsidR="003B5E15" w:rsidRPr="003B5E15" w:rsidRDefault="003B5E15" w:rsidP="003B5E15">
      <w:pPr>
        <w:ind w:firstLine="567"/>
        <w:jc w:val="both"/>
        <w:rPr>
          <w:rFonts w:ascii="Calibri" w:hAnsi="Calibri"/>
          <w:sz w:val="22"/>
          <w:szCs w:val="22"/>
        </w:rPr>
      </w:pPr>
      <w:r w:rsidRPr="003B5E15">
        <w:rPr>
          <w:rFonts w:ascii="Calibri" w:hAnsi="Calibri"/>
          <w:sz w:val="22"/>
          <w:szCs w:val="22"/>
        </w:rPr>
        <w:t xml:space="preserve">Be kita ko, LVAT, remdamasis Profesinių sąjungų įstatymo 1 straipsnio 3 dalimi, Lietuvos Respublikos vidaus tarnybos statuto patvirtinimo įstatymo 52 straipsnio 8 dalimi, atkreipė dėmesį, kad </w:t>
      </w:r>
      <w:r w:rsidRPr="003B5E15">
        <w:rPr>
          <w:rFonts w:ascii="Calibri" w:hAnsi="Calibri"/>
          <w:sz w:val="22"/>
          <w:szCs w:val="22"/>
          <w:u w:val="single"/>
        </w:rPr>
        <w:t>profesinių sąjungų teisė dalyvauti informavimo ir konsultavimo procedūrose ginčo atveju, be kita ko, turi būti vertinama ir Vidaus tarnybos statute įtvirtintų ypatumų kontekste bei negali būti nepagrįstai išplėsta</w:t>
      </w:r>
      <w:r w:rsidRPr="003B5E15">
        <w:rPr>
          <w:rFonts w:ascii="Calibri" w:hAnsi="Calibri"/>
          <w:sz w:val="22"/>
          <w:szCs w:val="22"/>
        </w:rPr>
        <w:t xml:space="preserve">. Teisėjų kolegija pažymi, kad pagal Profesinių sąjungų įstatymo 13 straipsnio 1 dalyje įtvirtintą nuostatą darbo, ekonominius, socialinius klausimus darbdavys privalo spręsti, suderinęs su profesinės sąjungos organais tik įstatymų numatytais atvejais, tačiau pastebėtina, kad </w:t>
      </w:r>
      <w:r w:rsidRPr="003B5E15">
        <w:rPr>
          <w:rFonts w:ascii="Calibri" w:hAnsi="Calibri"/>
          <w:sz w:val="22"/>
          <w:szCs w:val="22"/>
          <w:u w:val="single"/>
        </w:rPr>
        <w:t>jokia įstatymo nuostata neįpareigojo Policijos departamento derinti sprendimų (įskaitant ginčo įsakymus) su pareiškėjais</w:t>
      </w:r>
      <w:r w:rsidRPr="003B5E15">
        <w:rPr>
          <w:rFonts w:ascii="Calibri" w:hAnsi="Calibri"/>
          <w:sz w:val="22"/>
          <w:szCs w:val="22"/>
        </w:rPr>
        <w:t xml:space="preserve">. </w:t>
      </w:r>
    </w:p>
    <w:p w14:paraId="6B60AD76" w14:textId="619C0FAC" w:rsidR="003B5E15" w:rsidRPr="003B5E15" w:rsidRDefault="003B5E15" w:rsidP="003B5E15">
      <w:pPr>
        <w:ind w:firstLine="567"/>
        <w:jc w:val="both"/>
        <w:rPr>
          <w:rFonts w:ascii="Calibri" w:hAnsi="Calibri"/>
          <w:sz w:val="22"/>
          <w:szCs w:val="22"/>
        </w:rPr>
      </w:pPr>
      <w:r w:rsidRPr="003B5E15">
        <w:rPr>
          <w:rFonts w:ascii="Calibri" w:hAnsi="Calibri"/>
          <w:sz w:val="22"/>
          <w:szCs w:val="22"/>
        </w:rPr>
        <w:t xml:space="preserve">Pagal </w:t>
      </w:r>
      <w:r w:rsidR="002134F3">
        <w:rPr>
          <w:rFonts w:ascii="Calibri" w:hAnsi="Calibri"/>
          <w:sz w:val="22"/>
          <w:szCs w:val="22"/>
        </w:rPr>
        <w:t>ABTĮ</w:t>
      </w:r>
      <w:r w:rsidRPr="003B5E15">
        <w:rPr>
          <w:rFonts w:ascii="Calibri" w:hAnsi="Calibri"/>
          <w:sz w:val="22"/>
          <w:szCs w:val="22"/>
        </w:rPr>
        <w:t xml:space="preserve"> 3 straipsnio 2 dalį teismas nevertina ginčijamo teisės akto ir veiksmų (neveikimo) politinio ar ekonominio tikslingumo, be to, teisėjų kolegija akcentavo, </w:t>
      </w:r>
      <w:r w:rsidRPr="003B5E15">
        <w:rPr>
          <w:rFonts w:ascii="Calibri" w:hAnsi="Calibri"/>
          <w:sz w:val="22"/>
          <w:szCs w:val="22"/>
          <w:u w:val="single"/>
        </w:rPr>
        <w:t>kad ne teismo paskirtis yra perimti viešojo administravimo funkciją iš vykdomosios valdžios bei spręsti, kokia policijos reforma būtų efektyvesnė, geresnė ar pan</w:t>
      </w:r>
      <w:r w:rsidRPr="003B5E15">
        <w:rPr>
          <w:rFonts w:ascii="Calibri" w:hAnsi="Calibri"/>
          <w:sz w:val="22"/>
          <w:szCs w:val="22"/>
        </w:rPr>
        <w:t>.</w:t>
      </w:r>
    </w:p>
    <w:p w14:paraId="76EB8405" w14:textId="77777777" w:rsidR="003B5E15" w:rsidRPr="003B5E15" w:rsidRDefault="003B5E15" w:rsidP="003B5E15">
      <w:pPr>
        <w:ind w:firstLine="567"/>
        <w:jc w:val="both"/>
        <w:rPr>
          <w:rFonts w:ascii="Calibri" w:hAnsi="Calibri"/>
          <w:sz w:val="22"/>
          <w:szCs w:val="22"/>
        </w:rPr>
      </w:pPr>
      <w:r w:rsidRPr="003B5E15">
        <w:rPr>
          <w:rFonts w:ascii="Calibri" w:hAnsi="Calibri"/>
          <w:sz w:val="22"/>
          <w:szCs w:val="22"/>
        </w:rPr>
        <w:t xml:space="preserve">Teisėjų kolegija, vadovaudamasi nustatytomis faktinėmis aplinkybėmis, priėjo išvadą, kad </w:t>
      </w:r>
      <w:r w:rsidRPr="003B5E15">
        <w:rPr>
          <w:rFonts w:ascii="Calibri" w:hAnsi="Calibri"/>
          <w:sz w:val="22"/>
          <w:szCs w:val="22"/>
          <w:u w:val="single"/>
        </w:rPr>
        <w:t>pareiškėjai neįrodė, jog ginčijamais sprendimais buvo susiaurintos, paneigtos ar kitaip pažeistos pareigūnams įstatymais suteiktos darbo, ekonominės bei socialinės teisės, todėl nėra pagrindo konstatuoti PSĮ 18 straipsnio 1 dalies pažeidimą</w:t>
      </w:r>
      <w:r w:rsidRPr="003B5E15">
        <w:rPr>
          <w:rFonts w:ascii="Calibri" w:hAnsi="Calibri"/>
          <w:sz w:val="22"/>
          <w:szCs w:val="22"/>
        </w:rPr>
        <w:t>.</w:t>
      </w:r>
    </w:p>
    <w:p w14:paraId="4434B345" w14:textId="77777777" w:rsidR="003B5E15" w:rsidRPr="003B5E15" w:rsidRDefault="003B5E15" w:rsidP="003B5E15">
      <w:pPr>
        <w:ind w:firstLine="567"/>
        <w:jc w:val="both"/>
        <w:rPr>
          <w:rFonts w:ascii="Calibri" w:hAnsi="Calibri"/>
          <w:sz w:val="22"/>
          <w:szCs w:val="22"/>
        </w:rPr>
      </w:pPr>
      <w:r w:rsidRPr="003B5E15">
        <w:rPr>
          <w:rFonts w:ascii="Calibri" w:hAnsi="Calibri"/>
          <w:sz w:val="22"/>
          <w:szCs w:val="22"/>
        </w:rPr>
        <w:t>LVAT nutartimi pirmosios instancijos teismo sprendimas paliktas nepakeistas, o pareiškėjų apeliacinis skundas atmestas.</w:t>
      </w:r>
    </w:p>
    <w:p w14:paraId="34CE36DC" w14:textId="77777777" w:rsidR="003B5E15" w:rsidRPr="003B5E15" w:rsidRDefault="003B5E15" w:rsidP="003B5E15">
      <w:pPr>
        <w:ind w:firstLine="567"/>
        <w:jc w:val="both"/>
        <w:rPr>
          <w:rFonts w:ascii="Calibri" w:hAnsi="Calibri"/>
          <w:sz w:val="22"/>
          <w:szCs w:val="22"/>
        </w:rPr>
      </w:pPr>
    </w:p>
    <w:p w14:paraId="661B52C3" w14:textId="77777777" w:rsidR="003B5E15" w:rsidRPr="003B5E15" w:rsidRDefault="003B5E15" w:rsidP="003B5E15">
      <w:pPr>
        <w:jc w:val="both"/>
        <w:rPr>
          <w:rFonts w:ascii="Calibri" w:hAnsi="Calibri"/>
          <w:sz w:val="22"/>
          <w:szCs w:val="22"/>
        </w:rPr>
      </w:pPr>
      <w:r w:rsidRPr="003B5E15">
        <w:rPr>
          <w:rFonts w:ascii="Calibri" w:hAnsi="Calibri"/>
          <w:sz w:val="22"/>
          <w:szCs w:val="22"/>
        </w:rPr>
        <w:t>2019 m. kovo 27 d. nutartis administracinėje byloje Nr. eA-3486-629/2019</w:t>
      </w:r>
    </w:p>
    <w:p w14:paraId="4142EF90" w14:textId="77777777" w:rsidR="003B5E15" w:rsidRPr="003B5E15" w:rsidRDefault="003B5E15" w:rsidP="003B5E15">
      <w:pPr>
        <w:jc w:val="both"/>
        <w:rPr>
          <w:rFonts w:ascii="Calibri" w:hAnsi="Calibri"/>
          <w:sz w:val="22"/>
          <w:szCs w:val="22"/>
        </w:rPr>
      </w:pPr>
      <w:r w:rsidRPr="003B5E15">
        <w:rPr>
          <w:rFonts w:ascii="Calibri" w:hAnsi="Calibri"/>
          <w:sz w:val="22"/>
          <w:szCs w:val="22"/>
        </w:rPr>
        <w:t>Teisminio proceso Nr. 3-61-3-04453-2016-8</w:t>
      </w:r>
    </w:p>
    <w:p w14:paraId="3FED304B" w14:textId="77777777" w:rsidR="003B5E15" w:rsidRPr="003B5E15" w:rsidRDefault="003B5E15" w:rsidP="003B5E15">
      <w:pPr>
        <w:jc w:val="both"/>
        <w:rPr>
          <w:rFonts w:ascii="Calibri" w:hAnsi="Calibri"/>
          <w:sz w:val="22"/>
          <w:szCs w:val="22"/>
        </w:rPr>
      </w:pPr>
      <w:r w:rsidRPr="003B5E15">
        <w:rPr>
          <w:rFonts w:ascii="Calibri" w:hAnsi="Calibri"/>
          <w:sz w:val="22"/>
          <w:szCs w:val="22"/>
        </w:rPr>
        <w:t>Procesinio sprendimo kategorija 22.7</w:t>
      </w:r>
    </w:p>
    <w:p w14:paraId="096283F1" w14:textId="77777777" w:rsidR="003B5E15" w:rsidRPr="003B5E15" w:rsidRDefault="00DC0A59" w:rsidP="003B5E15">
      <w:pPr>
        <w:jc w:val="both"/>
        <w:rPr>
          <w:rFonts w:ascii="Calibri" w:hAnsi="Calibri"/>
          <w:sz w:val="22"/>
          <w:szCs w:val="22"/>
        </w:rPr>
      </w:pPr>
      <w:hyperlink r:id="rId19" w:history="1">
        <w:r w:rsidR="003B5E15" w:rsidRPr="003B5E15">
          <w:rPr>
            <w:rFonts w:ascii="Calibri" w:hAnsi="Calibri"/>
            <w:color w:val="0000FF"/>
            <w:sz w:val="22"/>
            <w:szCs w:val="22"/>
            <w:u w:val="single"/>
          </w:rPr>
          <w:t>Prieiga internete</w:t>
        </w:r>
      </w:hyperlink>
      <w:r w:rsidR="003B5E15" w:rsidRPr="003B5E15">
        <w:rPr>
          <w:rFonts w:ascii="Calibri" w:hAnsi="Calibri"/>
          <w:sz w:val="22"/>
          <w:szCs w:val="22"/>
        </w:rPr>
        <w:t xml:space="preserve"> </w:t>
      </w:r>
    </w:p>
    <w:p w14:paraId="236C6E19" w14:textId="77777777" w:rsidR="003B5E15" w:rsidRPr="003B5E15" w:rsidRDefault="003B5E15" w:rsidP="003B5E15">
      <w:pPr>
        <w:jc w:val="both"/>
        <w:rPr>
          <w:rFonts w:ascii="Calibri" w:hAnsi="Calibri"/>
          <w:sz w:val="22"/>
          <w:szCs w:val="22"/>
        </w:rPr>
      </w:pPr>
    </w:p>
    <w:p w14:paraId="11C87BBE" w14:textId="77777777" w:rsidR="003B5E15" w:rsidRPr="003B5E15" w:rsidRDefault="003B5E15" w:rsidP="003B5E15">
      <w:pPr>
        <w:pStyle w:val="Antrat1"/>
        <w:rPr>
          <w:rFonts w:ascii="Calibri" w:hAnsi="Calibri"/>
        </w:rPr>
      </w:pPr>
      <w:bookmarkStart w:id="77" w:name="_Toc774931"/>
      <w:bookmarkStart w:id="78" w:name="_Toc9845487"/>
      <w:r w:rsidRPr="003B5E15">
        <w:rPr>
          <w:rFonts w:ascii="Calibri" w:hAnsi="Calibri"/>
        </w:rPr>
        <w:t>23. Vyriausiosios tarnybinės etikos komisijos sprendimai</w:t>
      </w:r>
      <w:bookmarkEnd w:id="77"/>
      <w:bookmarkEnd w:id="78"/>
    </w:p>
    <w:p w14:paraId="533FE683" w14:textId="77777777" w:rsidR="003B5E15" w:rsidRPr="003B5E15" w:rsidRDefault="003B5E15" w:rsidP="003B5E15">
      <w:pPr>
        <w:ind w:firstLine="567"/>
        <w:jc w:val="both"/>
        <w:rPr>
          <w:rFonts w:ascii="Calibri" w:hAnsi="Calibri"/>
          <w:b/>
          <w:sz w:val="22"/>
          <w:szCs w:val="22"/>
          <w:u w:val="single"/>
        </w:rPr>
      </w:pPr>
      <w:r w:rsidRPr="003B5E15">
        <w:rPr>
          <w:rFonts w:ascii="Calibri" w:hAnsi="Calibri"/>
          <w:b/>
          <w:sz w:val="22"/>
          <w:szCs w:val="22"/>
          <w:u w:val="single"/>
        </w:rPr>
        <w:t>23.1. Privačių interesų deklaravimas</w:t>
      </w:r>
    </w:p>
    <w:p w14:paraId="557B1C29" w14:textId="77777777" w:rsidR="003B5E15" w:rsidRPr="003B5E15" w:rsidRDefault="003B5E15" w:rsidP="003B5E15">
      <w:pPr>
        <w:ind w:firstLine="567"/>
        <w:jc w:val="both"/>
        <w:rPr>
          <w:rFonts w:ascii="Calibri" w:hAnsi="Calibri"/>
          <w:sz w:val="22"/>
          <w:szCs w:val="22"/>
        </w:rPr>
      </w:pPr>
    </w:p>
    <w:p w14:paraId="6EF4324C" w14:textId="77777777" w:rsidR="003B5E15" w:rsidRPr="003B5E15" w:rsidRDefault="003B5E15" w:rsidP="004445E5">
      <w:pPr>
        <w:pStyle w:val="Antrat2"/>
        <w:rPr>
          <w:rFonts w:eastAsia="Calibri"/>
          <w:lang w:eastAsia="en-US"/>
        </w:rPr>
      </w:pPr>
      <w:bookmarkStart w:id="79" w:name="_Toc9845488"/>
      <w:r w:rsidRPr="003B5E15">
        <w:rPr>
          <w:rFonts w:eastAsia="Calibri"/>
          <w:lang w:eastAsia="en-US"/>
        </w:rPr>
        <w:t>Dėl pareigos deklaruoti privačius interesus (buvimą juridinio asmens dalyviu)</w:t>
      </w:r>
      <w:bookmarkEnd w:id="79"/>
      <w:r w:rsidRPr="003B5E15">
        <w:rPr>
          <w:rFonts w:eastAsia="Calibri"/>
          <w:lang w:eastAsia="en-US"/>
        </w:rPr>
        <w:t xml:space="preserve"> </w:t>
      </w:r>
    </w:p>
    <w:p w14:paraId="293A92E9" w14:textId="77777777" w:rsidR="003B5E15" w:rsidRPr="003B5E15" w:rsidRDefault="003B5E15" w:rsidP="003B5E15">
      <w:pPr>
        <w:ind w:firstLine="567"/>
        <w:jc w:val="both"/>
        <w:rPr>
          <w:rFonts w:ascii="Calibri" w:hAnsi="Calibri"/>
          <w:sz w:val="22"/>
          <w:szCs w:val="22"/>
        </w:rPr>
      </w:pPr>
    </w:p>
    <w:p w14:paraId="4722AD84" w14:textId="78E30F00" w:rsidR="003B5E15" w:rsidRPr="003B5E15" w:rsidRDefault="003B5E15" w:rsidP="003B5E15">
      <w:pPr>
        <w:ind w:firstLine="567"/>
        <w:jc w:val="both"/>
        <w:rPr>
          <w:rFonts w:ascii="Calibri" w:hAnsi="Calibri"/>
          <w:sz w:val="22"/>
          <w:szCs w:val="22"/>
        </w:rPr>
      </w:pPr>
      <w:r w:rsidRPr="003B5E15">
        <w:rPr>
          <w:rFonts w:ascii="Calibri" w:hAnsi="Calibri"/>
          <w:sz w:val="22"/>
          <w:szCs w:val="22"/>
        </w:rPr>
        <w:t>Nagrinėtoje byloje ginčas kilo dėl Vyriausiosios tarnybinės etikos komisijos (toliau – VTEK) sprendimo, kuriame konstatuota, jog kultūros ministras Lietuvos Respublikos viešųjų ir privačių interesų derinimo valstybinėje tarnyboje įstatymo (toliau – Įstatymas) nustatyta tvarka ir terminais privačių interesų deklaracijoje nenurodęs juridinio asmens, kurio dalyvis jis yra, pažeidė šio įstatymo 6 straipsnio 1 dalies 2 punkto ir 5</w:t>
      </w:r>
      <w:r w:rsidR="0006177A">
        <w:rPr>
          <w:rFonts w:ascii="Calibri" w:hAnsi="Calibri"/>
          <w:sz w:val="22"/>
          <w:szCs w:val="22"/>
        </w:rPr>
        <w:t> </w:t>
      </w:r>
      <w:r w:rsidRPr="003B5E15">
        <w:rPr>
          <w:rFonts w:ascii="Calibri" w:hAnsi="Calibri"/>
          <w:sz w:val="22"/>
          <w:szCs w:val="22"/>
        </w:rPr>
        <w:t>straipsnio 1 dalies nuostatas, teisėtumo ir pagrįstumo.</w:t>
      </w:r>
    </w:p>
    <w:p w14:paraId="186775A0" w14:textId="77777777" w:rsidR="003B5E15" w:rsidRPr="003B5E15" w:rsidRDefault="003B5E15" w:rsidP="003B5E15">
      <w:pPr>
        <w:ind w:firstLine="567"/>
        <w:jc w:val="both"/>
        <w:rPr>
          <w:rFonts w:ascii="Calibri" w:hAnsi="Calibri"/>
          <w:sz w:val="22"/>
          <w:szCs w:val="22"/>
        </w:rPr>
      </w:pPr>
      <w:r w:rsidRPr="003B5E15">
        <w:rPr>
          <w:rFonts w:ascii="Calibri" w:hAnsi="Calibri"/>
          <w:sz w:val="22"/>
          <w:szCs w:val="22"/>
        </w:rPr>
        <w:t xml:space="preserve">Byloje nebuvo ginčo dėl to, jog pareiškėjas nuo 2008 m. yra Bulgarijoje registruotos bendrovės akcininkas bei šias aplinkybes jis privalėjo nurodyti privačių interesų deklaracijoje per 30 kalendorinių dienų nuo tos dienos, kai pradėjo eiti Seimo nario, vėliau – kultūros ministro pareigas. Pareiškėjas apeliaciniame skunde nurodė, kad: 1) VTEK turėjo taikyti 3 metų senaties terminą ir pranešimo dėl galimo teisės aktų pažeidimo nenagrinėti, o pirmosios instancijos teismas VTEK sprendimą panaikinti; 2) nesutiko, kad jo veika turėtų būti vertinama kaip trunkamasis pažeidimas, kadangi pareigą pateikti deklaraciją jis įvykdė (tik nedeklaruodamas, jog yra juridinio asmens dalyviu, pareigą įvykdė netinkamai); 3) jei veika būtų pripažinta pažeidimu, pažeidimas turėtų būti laikomas tik procedūriniu, realiai nesukėlusiu interesų konflikto, todėl VTEK sprendimo sukeliamos pasekmės – neproporcingos. </w:t>
      </w:r>
    </w:p>
    <w:p w14:paraId="54183857" w14:textId="19977606" w:rsidR="003B5E15" w:rsidRPr="003B5E15" w:rsidRDefault="003B5E15" w:rsidP="003B5E15">
      <w:pPr>
        <w:ind w:firstLine="567"/>
        <w:jc w:val="both"/>
        <w:rPr>
          <w:rFonts w:ascii="Calibri" w:hAnsi="Calibri"/>
          <w:sz w:val="22"/>
          <w:szCs w:val="22"/>
        </w:rPr>
      </w:pPr>
      <w:r w:rsidRPr="003B5E15">
        <w:rPr>
          <w:rFonts w:ascii="Calibri" w:hAnsi="Calibri"/>
          <w:sz w:val="22"/>
          <w:szCs w:val="22"/>
        </w:rPr>
        <w:lastRenderedPageBreak/>
        <w:t>Išplėstinė teisėjų kolegija, įvertinusi Įstatymo 4 straipsnio 1 dalies, 5 straipsnio 1 dalies ir 6 straipsnio 1</w:t>
      </w:r>
      <w:r w:rsidR="0006177A">
        <w:rPr>
          <w:rFonts w:ascii="Calibri" w:hAnsi="Calibri"/>
          <w:sz w:val="22"/>
          <w:szCs w:val="22"/>
        </w:rPr>
        <w:t> </w:t>
      </w:r>
      <w:r w:rsidRPr="003B5E15">
        <w:rPr>
          <w:rFonts w:ascii="Calibri" w:hAnsi="Calibri"/>
          <w:sz w:val="22"/>
          <w:szCs w:val="22"/>
        </w:rPr>
        <w:t xml:space="preserve">dalies 2 punkto nuostatas, konstatavo, jog šioje byloje turėjo būti vertinamas faktas, kad pareiškėjas yra Bulgarijoje registruoto juridinio asmens akcininkas ir šio fakto deklaravimo aplinkybės. Išplėstinė teisėjų kolegija pažymėjo, kad </w:t>
      </w:r>
      <w:r w:rsidRPr="003B5E15">
        <w:rPr>
          <w:rFonts w:ascii="Calibri" w:hAnsi="Calibri"/>
          <w:sz w:val="22"/>
          <w:szCs w:val="22"/>
          <w:u w:val="single"/>
        </w:rPr>
        <w:t xml:space="preserve">buvimas akcininku nėra vienkartis veiksmas (kaip yra sandorio sudarymo atveju), o tai yra trunkamojo pobūdžio būsena. Todėl tokio fakto deklaravimas tampa privalomu asmeniui pradėjus eiti atitinkamas pareigas, nepriklausomai nuo to, kada </w:t>
      </w:r>
      <w:r w:rsidR="00AB3D26">
        <w:rPr>
          <w:rFonts w:ascii="Calibri" w:hAnsi="Calibri"/>
          <w:sz w:val="22"/>
          <w:szCs w:val="22"/>
          <w:u w:val="single"/>
        </w:rPr>
        <w:t>akcininko</w:t>
      </w:r>
      <w:r w:rsidRPr="003B5E15">
        <w:rPr>
          <w:rFonts w:ascii="Calibri" w:hAnsi="Calibri"/>
          <w:sz w:val="22"/>
          <w:szCs w:val="22"/>
          <w:u w:val="single"/>
        </w:rPr>
        <w:t xml:space="preserve"> statusas įgytas. Taip pat atkreiptas dėmesys, kad bylai aktualiu laikotarpiu Įstatymas neišskyrė atskirai Lietuvos Respublikoje ir už jos ribų įsteigtų juridinių asmenų, ir pareiga deklaruoti buvimą juridinio asmens dalyviu kilo neatsižvelgiant į tai, kurioje valstybėje juridinis asmuo įsteigtas ir ar vykdo ūkinę-komercinę veiklą, galinčia būti susijusia su einamomis pareigomis</w:t>
      </w:r>
      <w:r w:rsidRPr="003B5E15">
        <w:rPr>
          <w:rFonts w:ascii="Calibri" w:hAnsi="Calibri"/>
          <w:sz w:val="22"/>
          <w:szCs w:val="22"/>
        </w:rPr>
        <w:t xml:space="preserve">. </w:t>
      </w:r>
    </w:p>
    <w:p w14:paraId="40364ACE" w14:textId="62978C2F" w:rsidR="003B5E15" w:rsidRPr="003B5E15" w:rsidRDefault="003B5E15" w:rsidP="003B5E15">
      <w:pPr>
        <w:ind w:firstLine="567"/>
        <w:jc w:val="both"/>
        <w:rPr>
          <w:rFonts w:ascii="Calibri" w:hAnsi="Calibri"/>
          <w:sz w:val="22"/>
          <w:szCs w:val="22"/>
        </w:rPr>
      </w:pPr>
      <w:r w:rsidRPr="003B5E15">
        <w:rPr>
          <w:rFonts w:ascii="Calibri" w:hAnsi="Calibri"/>
          <w:sz w:val="22"/>
          <w:szCs w:val="22"/>
        </w:rPr>
        <w:t xml:space="preserve">Remdamasi teisės teorijoje bei </w:t>
      </w:r>
      <w:r w:rsidR="0006177A">
        <w:rPr>
          <w:rFonts w:ascii="Calibri" w:hAnsi="Calibri"/>
          <w:sz w:val="22"/>
          <w:szCs w:val="22"/>
        </w:rPr>
        <w:t>LVAT</w:t>
      </w:r>
      <w:r w:rsidRPr="003B5E15">
        <w:rPr>
          <w:rFonts w:ascii="Calibri" w:hAnsi="Calibri"/>
          <w:sz w:val="22"/>
          <w:szCs w:val="22"/>
        </w:rPr>
        <w:t xml:space="preserve"> ir </w:t>
      </w:r>
      <w:r w:rsidR="0006177A">
        <w:rPr>
          <w:rFonts w:ascii="Calibri" w:hAnsi="Calibri"/>
          <w:sz w:val="22"/>
          <w:szCs w:val="22"/>
        </w:rPr>
        <w:t>LAT</w:t>
      </w:r>
      <w:r w:rsidRPr="003B5E15">
        <w:rPr>
          <w:rFonts w:ascii="Calibri" w:hAnsi="Calibri"/>
          <w:sz w:val="22"/>
          <w:szCs w:val="22"/>
        </w:rPr>
        <w:t xml:space="preserve"> praktikoje suformuluotais tęstinio ir trunkamojo nusižengimo išaiškinimais, bei atsižvelgusi į Įstatyme įtvirtintą pareigą per 30 dienų asmeniui, tapusiam Seimo nariu ar ministru, deklaruoti faktą, jog jis pats ar jo sutuoktinis, partneris, sugyventinis yra juridinio asmens dalyvis, išplėstinė teisėjų kolegija padarė išvadą, kad </w:t>
      </w:r>
      <w:r w:rsidRPr="003B5E15">
        <w:rPr>
          <w:rFonts w:ascii="Calibri" w:hAnsi="Calibri"/>
          <w:sz w:val="22"/>
          <w:szCs w:val="22"/>
          <w:u w:val="single"/>
        </w:rPr>
        <w:t>asmeniui tapus Seimo nariu ir / ar ministru, jam atsiranda pareiga deklaruoti buvimą juridinio asmens dalyviu, kuri pasibaigia ją tinkamai įgyvendinus, t. y. laikotarpis, per kurį asmuo, turėdamas pareigą pateikti deklaraciją, jos nepateikia, laikytinas trunkamosios veikos (neveikimo) padarymo laikotarpiu, o pažeidimo data laikoma diena, kai teisei priešingą veiką nutraukia kompetentingos valstybės institucijos ar ją nutraukia pats asmuo</w:t>
      </w:r>
      <w:r w:rsidRPr="003B5E15">
        <w:rPr>
          <w:rFonts w:ascii="Calibri" w:hAnsi="Calibri"/>
          <w:sz w:val="22"/>
          <w:szCs w:val="22"/>
        </w:rPr>
        <w:t xml:space="preserve">. Išplėstinė teisėjų kolegija pažymėjo, kad Įstatymas numato pareigą deklaruoti privačius interesus, t. y. šiuo atveju – buvimo akcininku faktą. </w:t>
      </w:r>
      <w:r w:rsidRPr="003B5E15">
        <w:rPr>
          <w:rFonts w:ascii="Calibri" w:hAnsi="Calibri"/>
          <w:sz w:val="22"/>
          <w:szCs w:val="22"/>
          <w:u w:val="single"/>
        </w:rPr>
        <w:t>Ši pareiga asmeniui išnyksta tik tuomet, kai yra įgyvendinama ir yra atskleidžiami faktai, kuriuos pagal Įstatymą privalu išviešinti</w:t>
      </w:r>
      <w:r w:rsidRPr="003B5E15">
        <w:rPr>
          <w:rFonts w:ascii="Calibri" w:hAnsi="Calibri"/>
          <w:sz w:val="22"/>
          <w:szCs w:val="22"/>
        </w:rPr>
        <w:t xml:space="preserve">. Deklaracijos pateikimas – šios pareigos įgyvendinimo forma. Taigi atlikus formalų veiksmą, t. y. pateikus deklaraciją, kurioje nenurodyti privalomi deklaruoti interesai, pati pareiga deklaruoti šiuos interesus neišnyksta. Todėl pareiškėjo teiginiai, kad pateikęs netinkamą deklaraciją, jis įvykdė pareigą, tiesiog ją atliko netinkamai, atmesti kaip nepagrįsti. Tokiu aiškinimu būtų paneigiami Įstatyme keliami uždaviniai. </w:t>
      </w:r>
    </w:p>
    <w:p w14:paraId="7DE09B92" w14:textId="77777777" w:rsidR="003B5E15" w:rsidRPr="003B5E15" w:rsidRDefault="003B5E15" w:rsidP="003B5E15">
      <w:pPr>
        <w:ind w:firstLine="567"/>
        <w:jc w:val="both"/>
        <w:rPr>
          <w:rFonts w:ascii="Calibri" w:hAnsi="Calibri"/>
          <w:sz w:val="22"/>
          <w:szCs w:val="22"/>
        </w:rPr>
      </w:pPr>
      <w:r w:rsidRPr="003B5E15">
        <w:rPr>
          <w:rFonts w:ascii="Calibri" w:hAnsi="Calibri"/>
          <w:sz w:val="22"/>
          <w:szCs w:val="22"/>
        </w:rPr>
        <w:t xml:space="preserve">Pasisakydama dėl pareiškėjo teiginių, jog jo dalyvavimas Bulgarijoje įsteigtame juridiniame asmenyje negalėjo sukelti ir nesukėlė jokio interesų konflikto, pats pažeidimas – procedūrinis, o VTEK sprendimo pasekmės yra neproporcingai neigiamos, išplėstinė teisėjų kolegija atkreipė dėmesį, kad Įstatymo 6 straipsnio 1 dalies 2 punkte įtvirtinta bendra pareiga nurodyti dalyvavimą juridiniame asmenyje, nepriklausomai nuo to, ar valstybinėje tarnyboje dirbančiam asmeniui gali kilti situacijų, susijusių su interesų konfliktų grėsme. LVAT praktikoje yra išaiškinta, jog </w:t>
      </w:r>
      <w:r w:rsidRPr="003B5E15">
        <w:rPr>
          <w:rFonts w:ascii="Calibri" w:hAnsi="Calibri"/>
          <w:sz w:val="22"/>
          <w:szCs w:val="22"/>
          <w:u w:val="single"/>
        </w:rPr>
        <w:t>Įstatymas savo paskirtimi yra prevencinis. Įstatymo pažeidimui konstatuoti nėra būtina nustatyti konkrečias pasekmes, patvirtinančias, kad pareiškėjas savo privačius interesus realizavo viešųjų interesų sąskaita, pakanka identifikuoti formaliuosius viešųjų ir privačių interesų konflikto požymius ir konstatuoti, kad asmuo nesiėmė įstatyme numatytų priemonių viešųjų ir privačių interesų konfliktui savo veikloje išvengti</w:t>
      </w:r>
      <w:r w:rsidRPr="003B5E15">
        <w:rPr>
          <w:rFonts w:ascii="Calibri" w:hAnsi="Calibri"/>
          <w:sz w:val="22"/>
          <w:szCs w:val="22"/>
        </w:rPr>
        <w:t xml:space="preserve">. </w:t>
      </w:r>
    </w:p>
    <w:p w14:paraId="2CBD2EF8" w14:textId="77777777" w:rsidR="003B5E15" w:rsidRPr="003B5E15" w:rsidRDefault="003B5E15" w:rsidP="003B5E15">
      <w:pPr>
        <w:ind w:firstLine="567"/>
        <w:jc w:val="both"/>
        <w:rPr>
          <w:rFonts w:ascii="Calibri" w:hAnsi="Calibri"/>
          <w:sz w:val="22"/>
          <w:szCs w:val="22"/>
        </w:rPr>
      </w:pPr>
      <w:r w:rsidRPr="003B5E15">
        <w:rPr>
          <w:rFonts w:ascii="Calibri" w:hAnsi="Calibri"/>
          <w:sz w:val="22"/>
          <w:szCs w:val="22"/>
        </w:rPr>
        <w:t>Pareiškėjo apeliacinis skundas atmestas. Pirmosios instancijos teismo sprendimas paliktas nepakeistas.</w:t>
      </w:r>
    </w:p>
    <w:p w14:paraId="70BFAE8B" w14:textId="77777777" w:rsidR="003B5E15" w:rsidRPr="003B5E15" w:rsidRDefault="003B5E15" w:rsidP="003B5E15">
      <w:pPr>
        <w:ind w:firstLine="567"/>
        <w:jc w:val="both"/>
        <w:rPr>
          <w:rFonts w:ascii="Calibri" w:hAnsi="Calibri"/>
          <w:sz w:val="22"/>
          <w:szCs w:val="22"/>
        </w:rPr>
      </w:pPr>
    </w:p>
    <w:p w14:paraId="0497EB28" w14:textId="77777777" w:rsidR="003B5E15" w:rsidRPr="003B5E15" w:rsidRDefault="003B5E15" w:rsidP="003B5E15">
      <w:pPr>
        <w:jc w:val="both"/>
        <w:rPr>
          <w:rFonts w:ascii="Calibri" w:hAnsi="Calibri"/>
          <w:sz w:val="22"/>
          <w:szCs w:val="22"/>
        </w:rPr>
      </w:pPr>
      <w:r w:rsidRPr="003B5E15">
        <w:rPr>
          <w:rFonts w:ascii="Calibri" w:hAnsi="Calibri"/>
          <w:sz w:val="22"/>
          <w:szCs w:val="22"/>
        </w:rPr>
        <w:t>Išplėstinės teisėjų kolegijos 2019 m. kovo 28 d. nutartis administracinėje byloje Nr. eA-3147-662/2019</w:t>
      </w:r>
    </w:p>
    <w:p w14:paraId="53251D4B" w14:textId="77777777" w:rsidR="003B5E15" w:rsidRPr="003B5E15" w:rsidRDefault="003B5E15" w:rsidP="003B5E15">
      <w:pPr>
        <w:jc w:val="both"/>
        <w:rPr>
          <w:rFonts w:ascii="Calibri" w:hAnsi="Calibri"/>
          <w:sz w:val="22"/>
          <w:szCs w:val="22"/>
        </w:rPr>
      </w:pPr>
      <w:r w:rsidRPr="003B5E15">
        <w:rPr>
          <w:rFonts w:ascii="Calibri" w:hAnsi="Calibri"/>
          <w:sz w:val="22"/>
          <w:szCs w:val="22"/>
        </w:rPr>
        <w:t>Teisminio proceso Nr. 3-61-3-03857-2016-5</w:t>
      </w:r>
    </w:p>
    <w:p w14:paraId="51E1B630" w14:textId="77777777" w:rsidR="003B5E15" w:rsidRPr="003B5E15" w:rsidRDefault="003B5E15" w:rsidP="003B5E15">
      <w:pPr>
        <w:jc w:val="both"/>
        <w:rPr>
          <w:rFonts w:ascii="Calibri" w:hAnsi="Calibri"/>
          <w:sz w:val="22"/>
          <w:szCs w:val="22"/>
        </w:rPr>
      </w:pPr>
      <w:r w:rsidRPr="003B5E15">
        <w:rPr>
          <w:rFonts w:ascii="Calibri" w:hAnsi="Calibri"/>
          <w:sz w:val="22"/>
          <w:szCs w:val="22"/>
        </w:rPr>
        <w:t xml:space="preserve">Procesinio sprendimo kategorija 23.1 </w:t>
      </w:r>
    </w:p>
    <w:p w14:paraId="5B173783" w14:textId="77777777" w:rsidR="003B5E15" w:rsidRPr="003B5E15" w:rsidRDefault="00DC0A59" w:rsidP="003B5E15">
      <w:pPr>
        <w:jc w:val="both"/>
        <w:rPr>
          <w:rFonts w:ascii="Calibri" w:hAnsi="Calibri"/>
          <w:sz w:val="22"/>
          <w:szCs w:val="22"/>
        </w:rPr>
      </w:pPr>
      <w:hyperlink r:id="rId20" w:history="1">
        <w:r w:rsidR="003B5E15" w:rsidRPr="003B5E15">
          <w:rPr>
            <w:rFonts w:ascii="Calibri" w:hAnsi="Calibri"/>
            <w:color w:val="0000FF"/>
            <w:sz w:val="22"/>
            <w:szCs w:val="22"/>
            <w:u w:val="single"/>
          </w:rPr>
          <w:t>Prieiga internete</w:t>
        </w:r>
      </w:hyperlink>
      <w:r w:rsidR="003B5E15" w:rsidRPr="003B5E15">
        <w:rPr>
          <w:rFonts w:ascii="Calibri" w:hAnsi="Calibri"/>
          <w:sz w:val="22"/>
          <w:szCs w:val="22"/>
        </w:rPr>
        <w:t xml:space="preserve"> </w:t>
      </w:r>
    </w:p>
    <w:p w14:paraId="73A27FD3" w14:textId="77777777" w:rsidR="003B5E15" w:rsidRPr="00892E2E" w:rsidRDefault="003B5E15" w:rsidP="00892E2E">
      <w:pPr>
        <w:pStyle w:val="Apzvalgai1"/>
        <w:outlineLvl w:val="9"/>
        <w:rPr>
          <w:rFonts w:asciiTheme="minorHAnsi" w:hAnsiTheme="minorHAnsi" w:cstheme="minorHAnsi"/>
          <w:b w:val="0"/>
        </w:rPr>
      </w:pPr>
    </w:p>
    <w:p w14:paraId="4383C4FE" w14:textId="77777777" w:rsidR="00C03141" w:rsidRPr="00575AEE" w:rsidRDefault="00C03141" w:rsidP="00C03141">
      <w:pPr>
        <w:pStyle w:val="Antrat1"/>
        <w:rPr>
          <w:rFonts w:asciiTheme="minorHAnsi" w:hAnsiTheme="minorHAnsi" w:cstheme="minorHAnsi"/>
        </w:rPr>
      </w:pPr>
      <w:bookmarkStart w:id="80" w:name="_Toc462149997"/>
      <w:bookmarkStart w:id="81" w:name="_Toc9845489"/>
      <w:r w:rsidRPr="00575AEE">
        <w:rPr>
          <w:rFonts w:asciiTheme="minorHAnsi" w:hAnsiTheme="minorHAnsi" w:cstheme="minorHAnsi"/>
        </w:rPr>
        <w:t>33. Finansų rinkų priežiūra</w:t>
      </w:r>
      <w:bookmarkEnd w:id="80"/>
      <w:bookmarkEnd w:id="81"/>
    </w:p>
    <w:p w14:paraId="31290AC8" w14:textId="77777777" w:rsidR="00C03141" w:rsidRPr="00575AEE" w:rsidRDefault="00C03141" w:rsidP="00C03141">
      <w:pPr>
        <w:jc w:val="both"/>
        <w:rPr>
          <w:rFonts w:asciiTheme="minorHAnsi" w:hAnsiTheme="minorHAnsi" w:cstheme="minorHAnsi"/>
          <w:sz w:val="22"/>
          <w:szCs w:val="22"/>
        </w:rPr>
      </w:pPr>
    </w:p>
    <w:p w14:paraId="0E8F7194" w14:textId="77777777" w:rsidR="00C03141" w:rsidRPr="00575AEE" w:rsidRDefault="00C03141" w:rsidP="004445E5">
      <w:pPr>
        <w:pStyle w:val="Antrat2"/>
      </w:pPr>
      <w:bookmarkStart w:id="82" w:name="_Toc9845490"/>
      <w:r w:rsidRPr="00575AEE">
        <w:t>Dėl mokėjimo paslaugų pripažinimo susijusiomis su elektroninių pinigų leidimu</w:t>
      </w:r>
      <w:bookmarkEnd w:id="82"/>
    </w:p>
    <w:p w14:paraId="3004E2DB" w14:textId="77777777" w:rsidR="00C03141" w:rsidRPr="00575AEE" w:rsidRDefault="00C03141" w:rsidP="00C03141">
      <w:pPr>
        <w:jc w:val="both"/>
        <w:rPr>
          <w:rFonts w:asciiTheme="minorHAnsi" w:hAnsiTheme="minorHAnsi" w:cstheme="minorHAnsi"/>
          <w:sz w:val="22"/>
          <w:szCs w:val="22"/>
        </w:rPr>
      </w:pPr>
    </w:p>
    <w:p w14:paraId="467FA5DA" w14:textId="77777777" w:rsidR="00C03141" w:rsidRPr="00575AEE" w:rsidRDefault="00C03141" w:rsidP="00C03141">
      <w:pPr>
        <w:ind w:firstLine="567"/>
        <w:jc w:val="both"/>
        <w:rPr>
          <w:rFonts w:asciiTheme="minorHAnsi" w:hAnsiTheme="minorHAnsi" w:cstheme="minorHAnsi"/>
          <w:sz w:val="22"/>
          <w:szCs w:val="22"/>
        </w:rPr>
      </w:pPr>
      <w:r w:rsidRPr="00575AEE">
        <w:rPr>
          <w:rFonts w:asciiTheme="minorHAnsi" w:hAnsiTheme="minorHAnsi" w:cstheme="minorHAnsi"/>
          <w:sz w:val="22"/>
          <w:szCs w:val="22"/>
        </w:rPr>
        <w:t xml:space="preserve">Apžvelgiamoje byloje nagrinėtas ginčas buvo kilęs dėl Lietuvos banko Priežiūros tarnybos (toliau – ir Tarnyba) direktoriaus sprendimo dalies, kuria pareiškėjas buvo įspėtas apie padarytus pažeidimus ir nustatytas terminams šiems pažeidimams pašalinti. Konkrečiai, priežiūros institucija atsisakė su elektroninių pinigų leidimu susijusioms mokėjimo paslaugomis pripažinti šią pareiškėjo veiklą: </w:t>
      </w:r>
    </w:p>
    <w:p w14:paraId="2A0A822D" w14:textId="77777777" w:rsidR="00C03141" w:rsidRPr="00575AEE" w:rsidRDefault="00C03141" w:rsidP="00C03141">
      <w:pPr>
        <w:ind w:firstLine="567"/>
        <w:jc w:val="both"/>
        <w:rPr>
          <w:rFonts w:asciiTheme="minorHAnsi" w:hAnsiTheme="minorHAnsi" w:cstheme="minorHAnsi"/>
          <w:sz w:val="22"/>
          <w:szCs w:val="22"/>
        </w:rPr>
      </w:pPr>
      <w:r w:rsidRPr="00575AEE">
        <w:rPr>
          <w:rFonts w:asciiTheme="minorHAnsi" w:hAnsiTheme="minorHAnsi" w:cstheme="minorHAnsi"/>
          <w:sz w:val="22"/>
          <w:szCs w:val="22"/>
        </w:rPr>
        <w:t xml:space="preserve">(1) elektroninių pinigų turėtojo atliekami pervedimai (mokėjimai) iš jo pas pareiškėją turimos elektroninių pinigų sąskaitos į trečiųjų asmenų sąskaitas, esančias Lietuvos ar užsienio valstybių bankuose (toliau – ir I paslauga). Atsakovas iš esmės vertino, kad tokia paslauga galėtų būti pripažinta susijusi su elektroninių pinigų leidimu tik tada, jei pavedimas, išpirkus elektroninius pinigus, būtų atliekamas į banko sąskaitą, priklausančią asmeniui, iš kurio šie pinigai buvo išpirkti; </w:t>
      </w:r>
    </w:p>
    <w:p w14:paraId="7030B3FD" w14:textId="53B524F1" w:rsidR="00C03141" w:rsidRPr="00575AEE" w:rsidRDefault="00C03141" w:rsidP="00C03141">
      <w:pPr>
        <w:ind w:firstLine="567"/>
        <w:jc w:val="both"/>
        <w:rPr>
          <w:rFonts w:asciiTheme="minorHAnsi" w:hAnsiTheme="minorHAnsi" w:cstheme="minorHAnsi"/>
          <w:sz w:val="22"/>
          <w:szCs w:val="22"/>
        </w:rPr>
      </w:pPr>
      <w:r w:rsidRPr="00575AEE">
        <w:rPr>
          <w:rFonts w:asciiTheme="minorHAnsi" w:hAnsiTheme="minorHAnsi" w:cstheme="minorHAnsi"/>
          <w:sz w:val="22"/>
          <w:szCs w:val="22"/>
        </w:rPr>
        <w:lastRenderedPageBreak/>
        <w:t>(2) mokėjimų už prekes ir (ar) paslaugas, kurias tiekia ar teikia elektroninių pinigų sąskaitas turintys pareiškėjo klientai (prekybininkai), surinkimas iš šias prekes ar paslaugas įsigyjančių (už jas apmokančių) fizinių bei juridinių asmenų (pirkėjų) (toliau – ir II paslauga). Konkrečiai ši operacija buvo (yra) vykdoma taip: i) prekybininko nurodymu pirkėjas pervesdavo (įmokėdavo) lėšas už įsigytas prekes ir (ar) paslaugas į pareiškėjo (elektroninių pinigų įstaigos) banko sąskaitą; ii) gavusi šias lėšas, elektroninių pinigų įstaiga (pareiškėjas) nedelsiant išleisdavo elektroninius pinigus, kuriuos priskirdavo prekybininko elektroninių pinigų sąskaitai.</w:t>
      </w:r>
    </w:p>
    <w:p w14:paraId="1775E13B" w14:textId="0A90C97A" w:rsidR="00C03141" w:rsidRPr="00575AEE" w:rsidRDefault="00C03141" w:rsidP="00C03141">
      <w:pPr>
        <w:ind w:firstLine="567"/>
        <w:jc w:val="both"/>
        <w:rPr>
          <w:rFonts w:asciiTheme="minorHAnsi" w:hAnsiTheme="minorHAnsi" w:cstheme="minorHAnsi"/>
          <w:sz w:val="22"/>
          <w:szCs w:val="22"/>
        </w:rPr>
      </w:pPr>
      <w:r w:rsidRPr="00575AEE">
        <w:rPr>
          <w:rFonts w:asciiTheme="minorHAnsi" w:hAnsiTheme="minorHAnsi" w:cstheme="minorHAnsi"/>
          <w:sz w:val="22"/>
          <w:szCs w:val="22"/>
        </w:rPr>
        <w:t>Atitinkamai apžvelgiamoje byloje nagrinėtu atveju kilo klausimas dėl to, ar minėtos paslaugos (operacijos) laikytinos su elektroninių pinigų leidimu susijusiomis mokėjimo paslaugomis, kaip teigia pareiškėjas, ar – mokėjimo paslaugomis, nesusijusiomis su elektroninių pinigų leidimu, kaip nurodo atsakovas (priežiūros institucija). Šis klausimas kilo tiek, kiek jis yra susijęs su Elektroninių pinigų ir mokėjimo įstaigų nuosavo kapitalo skaičiavimo taisyklių, patvirtintų Lietuvos banko valdybos 2009 m. gruodžio 24 d. nutarimu Nr. 240 (Lietuvos banko valdybos 2012 m. sausio 12 d. nutarimo Nr. 03-5 redakcija), 18 punkto reikalavimais</w:t>
      </w:r>
      <w:r w:rsidR="00E50323">
        <w:rPr>
          <w:rFonts w:asciiTheme="minorHAnsi" w:hAnsiTheme="minorHAnsi" w:cstheme="minorHAnsi"/>
          <w:sz w:val="22"/>
          <w:szCs w:val="22"/>
        </w:rPr>
        <w:t>.</w:t>
      </w:r>
      <w:r w:rsidRPr="00575AEE">
        <w:rPr>
          <w:rFonts w:asciiTheme="minorHAnsi" w:hAnsiTheme="minorHAnsi" w:cstheme="minorHAnsi"/>
          <w:sz w:val="22"/>
          <w:szCs w:val="22"/>
        </w:rPr>
        <w:t xml:space="preserve"> Ši nacionalinės teisės aktų nuostata atitiko 2009 m. rugsėjo 16 d. Europos Parlamento ir Tarybos direktyvos 2009/110/EB dėl elektroninių pinigų įstaigų steigimosi, veiklos ir riziką ribojančios priežiūros, iš dalies keičiančią Direktyvas 2005/60/EB ir 2006/48/EB ir panaikinančią Direktyvą 2000/46/EB (toliau – ir Direktyva 2009/110), 5 straipsnio 2 dalį, nustatančią, kad „vykdant veiklą, &lt;...&gt; kuri nesusijusi su elektroninių pinigų leidimu, reikalaujamos elektroninių pinigų įstaigos nuosavos lėšos skaičiuojamos pagal vieną iš trijų metodų (A, B arba C) &lt;...&gt;. Kiek nuosavų lėšų turi turėti elektroninių pinigų leidimo veiklą vykdanti elektroninių pinigų įstaiga, apskaičiuojama pagal D metodą &lt;...&gt;.“</w:t>
      </w:r>
    </w:p>
    <w:p w14:paraId="204E52B4" w14:textId="77777777" w:rsidR="00C03141" w:rsidRPr="00575AEE" w:rsidRDefault="00C03141" w:rsidP="00C03141">
      <w:pPr>
        <w:ind w:firstLine="567"/>
        <w:jc w:val="both"/>
        <w:rPr>
          <w:rFonts w:asciiTheme="minorHAnsi" w:hAnsiTheme="minorHAnsi" w:cstheme="minorHAnsi"/>
          <w:sz w:val="22"/>
          <w:szCs w:val="22"/>
        </w:rPr>
      </w:pPr>
      <w:r w:rsidRPr="00575AEE">
        <w:rPr>
          <w:rFonts w:asciiTheme="minorHAnsi" w:hAnsiTheme="minorHAnsi" w:cstheme="minorHAnsi"/>
          <w:sz w:val="22"/>
          <w:szCs w:val="22"/>
        </w:rPr>
        <w:t xml:space="preserve">2019 m. sausio 16 d. sprendime byloje </w:t>
      </w:r>
      <w:r w:rsidRPr="00575AEE">
        <w:rPr>
          <w:rFonts w:asciiTheme="minorHAnsi" w:hAnsiTheme="minorHAnsi" w:cstheme="minorHAnsi"/>
          <w:i/>
          <w:sz w:val="22"/>
          <w:szCs w:val="22"/>
        </w:rPr>
        <w:t>Paysera</w:t>
      </w:r>
      <w:r w:rsidRPr="00575AEE">
        <w:rPr>
          <w:rFonts w:asciiTheme="minorHAnsi" w:hAnsiTheme="minorHAnsi" w:cstheme="minorHAnsi"/>
          <w:sz w:val="22"/>
          <w:szCs w:val="22"/>
        </w:rPr>
        <w:t xml:space="preserve"> (C-389/17), Teisingumo Teismas nurodė, kad šią nuostatą (Direktyvos 2009/110 5 str. 2 d.) reikia aiškinti taip, kad </w:t>
      </w:r>
      <w:r w:rsidRPr="00575AEE">
        <w:rPr>
          <w:rFonts w:asciiTheme="minorHAnsi" w:hAnsiTheme="minorHAnsi" w:cstheme="minorHAnsi"/>
          <w:sz w:val="22"/>
          <w:szCs w:val="22"/>
          <w:u w:val="single"/>
        </w:rPr>
        <w:t>elektroninių pinigų įstaigų teikiamos paslaugos atliekant mokėjimo operacijas yra su elektroninių pinigų leidimu susijusi veikla, kaip tai suprantama pagal šią nuostatą, jei teikiant šias paslaugas per vieną ir tą pačią mokėjimo operaciją išleidžiami ar grąžinami elektroniniai pinigai</w:t>
      </w:r>
      <w:r w:rsidRPr="00575AEE">
        <w:rPr>
          <w:rFonts w:asciiTheme="minorHAnsi" w:hAnsiTheme="minorHAnsi" w:cstheme="minorHAnsi"/>
          <w:sz w:val="22"/>
          <w:szCs w:val="22"/>
        </w:rPr>
        <w:t xml:space="preserve">. Pastaruoju aspektu išplėstinė teisėjų kolegija pažymėjo, kad nagrinėtu atveju nebuvo ginčo bei byloje surinkti duomenys patvirtino, kad ginčo elektroninių pinigų išleidimas ir grąžinimas akivaizdžiai yra (buvo) atliekami per vieną ir tą pačią mokėjimo operaciją (lėšos grąžinamos tik siekiant jas pervesti; lėšų pervedimas atliekant vieną mokėjimo operaciją automatiškai lemia elektroninių pinigų išleidimą (minėto Teisingumo Teismo sprendimo byloje </w:t>
      </w:r>
      <w:r w:rsidRPr="00575AEE">
        <w:rPr>
          <w:rFonts w:asciiTheme="minorHAnsi" w:hAnsiTheme="minorHAnsi" w:cstheme="minorHAnsi"/>
          <w:i/>
          <w:sz w:val="22"/>
          <w:szCs w:val="22"/>
        </w:rPr>
        <w:t>Paysera</w:t>
      </w:r>
      <w:r w:rsidRPr="00575AEE">
        <w:rPr>
          <w:rFonts w:asciiTheme="minorHAnsi" w:hAnsiTheme="minorHAnsi" w:cstheme="minorHAnsi"/>
          <w:sz w:val="22"/>
          <w:szCs w:val="22"/>
        </w:rPr>
        <w:t xml:space="preserve"> 32 ir 34 p.).</w:t>
      </w:r>
    </w:p>
    <w:p w14:paraId="77C774B1" w14:textId="44652938" w:rsidR="00C03141" w:rsidRPr="00575AEE" w:rsidRDefault="00C03141" w:rsidP="00C03141">
      <w:pPr>
        <w:ind w:firstLine="567"/>
        <w:jc w:val="both"/>
        <w:rPr>
          <w:rFonts w:asciiTheme="minorHAnsi" w:hAnsiTheme="minorHAnsi" w:cstheme="minorHAnsi"/>
          <w:sz w:val="22"/>
          <w:szCs w:val="22"/>
        </w:rPr>
      </w:pPr>
      <w:r w:rsidRPr="00575AEE">
        <w:rPr>
          <w:rFonts w:asciiTheme="minorHAnsi" w:hAnsiTheme="minorHAnsi" w:cstheme="minorHAnsi"/>
          <w:sz w:val="22"/>
          <w:szCs w:val="22"/>
        </w:rPr>
        <w:t>Atitinkamai LVAT tenkino pareiškėjo apeliacin</w:t>
      </w:r>
      <w:r w:rsidR="00CE1C25">
        <w:rPr>
          <w:rFonts w:asciiTheme="minorHAnsi" w:hAnsiTheme="minorHAnsi" w:cstheme="minorHAnsi"/>
          <w:sz w:val="22"/>
          <w:szCs w:val="22"/>
        </w:rPr>
        <w:t>į</w:t>
      </w:r>
      <w:r w:rsidRPr="00575AEE">
        <w:rPr>
          <w:rFonts w:asciiTheme="minorHAnsi" w:hAnsiTheme="minorHAnsi" w:cstheme="minorHAnsi"/>
          <w:sz w:val="22"/>
          <w:szCs w:val="22"/>
        </w:rPr>
        <w:t xml:space="preserve"> skundą bei panaikino pirmosios instancijos teismo bei priežiūros institucijos sprendimus.</w:t>
      </w:r>
    </w:p>
    <w:p w14:paraId="39D49812" w14:textId="77777777" w:rsidR="00C03141" w:rsidRPr="00575AEE" w:rsidRDefault="00C03141" w:rsidP="00C03141">
      <w:pPr>
        <w:ind w:firstLine="567"/>
        <w:jc w:val="both"/>
        <w:rPr>
          <w:rFonts w:asciiTheme="minorHAnsi" w:hAnsiTheme="minorHAnsi" w:cstheme="minorHAnsi"/>
          <w:sz w:val="22"/>
          <w:szCs w:val="22"/>
        </w:rPr>
      </w:pPr>
    </w:p>
    <w:p w14:paraId="2BDAC86D" w14:textId="77777777" w:rsidR="00C03141" w:rsidRPr="00575AEE" w:rsidRDefault="00C03141" w:rsidP="00C03141">
      <w:pPr>
        <w:jc w:val="both"/>
        <w:rPr>
          <w:rFonts w:asciiTheme="minorHAnsi" w:hAnsiTheme="minorHAnsi" w:cstheme="minorHAnsi"/>
          <w:sz w:val="22"/>
          <w:szCs w:val="22"/>
        </w:rPr>
      </w:pPr>
      <w:r w:rsidRPr="00575AEE">
        <w:rPr>
          <w:rFonts w:asciiTheme="minorHAnsi" w:hAnsiTheme="minorHAnsi" w:cstheme="minorHAnsi"/>
          <w:sz w:val="22"/>
          <w:szCs w:val="22"/>
        </w:rPr>
        <w:t>Išplėstinės teisėjų kolegijos 2019 m. kovo 27 d. sprendimas administracinėje byloje Nr. eA-1742-502/2019</w:t>
      </w:r>
    </w:p>
    <w:p w14:paraId="0347C7EE" w14:textId="77777777" w:rsidR="00C03141" w:rsidRPr="00575AEE" w:rsidRDefault="00C03141" w:rsidP="00C03141">
      <w:pPr>
        <w:jc w:val="both"/>
        <w:rPr>
          <w:rFonts w:asciiTheme="minorHAnsi" w:hAnsiTheme="minorHAnsi" w:cstheme="minorHAnsi"/>
          <w:sz w:val="22"/>
          <w:szCs w:val="22"/>
        </w:rPr>
      </w:pPr>
      <w:r w:rsidRPr="00575AEE">
        <w:rPr>
          <w:rFonts w:asciiTheme="minorHAnsi" w:hAnsiTheme="minorHAnsi" w:cstheme="minorHAnsi"/>
          <w:sz w:val="22"/>
          <w:szCs w:val="22"/>
        </w:rPr>
        <w:t>Teisminio proceso Nr. 3-61-3-04005-2014-9</w:t>
      </w:r>
    </w:p>
    <w:p w14:paraId="73CDB021" w14:textId="77777777" w:rsidR="00C03141" w:rsidRPr="00575AEE" w:rsidRDefault="00C03141" w:rsidP="00C03141">
      <w:pPr>
        <w:jc w:val="both"/>
        <w:rPr>
          <w:rFonts w:asciiTheme="minorHAnsi" w:hAnsiTheme="minorHAnsi" w:cstheme="minorHAnsi"/>
          <w:sz w:val="22"/>
          <w:szCs w:val="22"/>
        </w:rPr>
      </w:pPr>
      <w:r w:rsidRPr="00575AEE">
        <w:rPr>
          <w:rFonts w:asciiTheme="minorHAnsi" w:hAnsiTheme="minorHAnsi" w:cstheme="minorHAnsi"/>
          <w:sz w:val="22"/>
          <w:szCs w:val="22"/>
        </w:rPr>
        <w:t xml:space="preserve">Procesinio sprendimo kategorija 33 </w:t>
      </w:r>
    </w:p>
    <w:p w14:paraId="34EAC473" w14:textId="77777777" w:rsidR="00C03141" w:rsidRPr="00575AEE" w:rsidRDefault="00DC0A59" w:rsidP="00C03141">
      <w:pPr>
        <w:jc w:val="both"/>
        <w:rPr>
          <w:rFonts w:asciiTheme="minorHAnsi" w:hAnsiTheme="minorHAnsi" w:cstheme="minorHAnsi"/>
          <w:sz w:val="22"/>
          <w:szCs w:val="22"/>
        </w:rPr>
      </w:pPr>
      <w:hyperlink r:id="rId21" w:history="1">
        <w:r w:rsidR="00C03141" w:rsidRPr="00575AEE">
          <w:rPr>
            <w:rStyle w:val="Hipersaitas"/>
            <w:rFonts w:asciiTheme="minorHAnsi" w:hAnsiTheme="minorHAnsi" w:cstheme="minorHAnsi"/>
            <w:sz w:val="22"/>
            <w:szCs w:val="22"/>
          </w:rPr>
          <w:t>Prieiga internete</w:t>
        </w:r>
      </w:hyperlink>
    </w:p>
    <w:p w14:paraId="2D7F2DE5" w14:textId="77777777" w:rsidR="00C63E90" w:rsidRDefault="00C63E90" w:rsidP="00C63E90">
      <w:pPr>
        <w:rPr>
          <w:rFonts w:asciiTheme="minorHAnsi" w:hAnsiTheme="minorHAnsi" w:cstheme="minorHAnsi"/>
          <w:bCs/>
          <w:sz w:val="22"/>
          <w:szCs w:val="22"/>
        </w:rPr>
      </w:pPr>
    </w:p>
    <w:p w14:paraId="031073ED" w14:textId="77777777" w:rsidR="00C63E90" w:rsidRPr="00BE0172" w:rsidRDefault="00C63E90" w:rsidP="00BE0172">
      <w:pPr>
        <w:pStyle w:val="Antrat1"/>
        <w:rPr>
          <w:rFonts w:asciiTheme="minorHAnsi" w:hAnsiTheme="minorHAnsi" w:cstheme="minorHAnsi"/>
          <w:bCs/>
        </w:rPr>
      </w:pPr>
      <w:bookmarkStart w:id="83" w:name="_Toc9845491"/>
      <w:r w:rsidRPr="00BE0172">
        <w:rPr>
          <w:rFonts w:asciiTheme="minorHAnsi" w:hAnsiTheme="minorHAnsi" w:cstheme="minorHAnsi"/>
          <w:bCs/>
        </w:rPr>
        <w:t>41. Kiti ginčai viešojo administravimo srityje</w:t>
      </w:r>
      <w:bookmarkEnd w:id="83"/>
    </w:p>
    <w:p w14:paraId="293BF463" w14:textId="77777777" w:rsidR="00C63E90" w:rsidRDefault="00C63E90" w:rsidP="00C63E90">
      <w:pPr>
        <w:rPr>
          <w:rFonts w:asciiTheme="minorHAnsi" w:hAnsiTheme="minorHAnsi" w:cstheme="minorHAnsi"/>
          <w:bCs/>
          <w:sz w:val="22"/>
          <w:szCs w:val="22"/>
        </w:rPr>
      </w:pPr>
    </w:p>
    <w:p w14:paraId="7C1B30A9" w14:textId="77777777" w:rsidR="00C63E90" w:rsidRPr="00BE0172" w:rsidRDefault="00C63E90" w:rsidP="004445E5">
      <w:pPr>
        <w:pStyle w:val="Antrat2"/>
      </w:pPr>
      <w:bookmarkStart w:id="84" w:name="_Toc9845492"/>
      <w:r w:rsidRPr="00BE0172">
        <w:t>Dėl eismo reguliavimo priemonių taikymo pagrįstumo vertinimo</w:t>
      </w:r>
      <w:bookmarkEnd w:id="84"/>
    </w:p>
    <w:p w14:paraId="3A26CB2A" w14:textId="77777777" w:rsidR="00C63E90" w:rsidRDefault="00C63E90" w:rsidP="00C63E90">
      <w:pPr>
        <w:rPr>
          <w:rFonts w:asciiTheme="minorHAnsi" w:hAnsiTheme="minorHAnsi" w:cstheme="minorHAnsi"/>
          <w:bCs/>
          <w:sz w:val="22"/>
          <w:szCs w:val="22"/>
        </w:rPr>
      </w:pPr>
    </w:p>
    <w:p w14:paraId="7D4CE930" w14:textId="094D9EAA" w:rsidR="00C63E90" w:rsidRDefault="00C63E90" w:rsidP="00C63E90">
      <w:pPr>
        <w:ind w:firstLine="567"/>
        <w:jc w:val="both"/>
        <w:rPr>
          <w:rFonts w:asciiTheme="minorHAnsi" w:hAnsiTheme="minorHAnsi" w:cstheme="minorHAnsi"/>
          <w:bCs/>
          <w:sz w:val="22"/>
          <w:szCs w:val="22"/>
        </w:rPr>
      </w:pPr>
      <w:r w:rsidRPr="005B3F69">
        <w:rPr>
          <w:rFonts w:asciiTheme="minorHAnsi" w:hAnsiTheme="minorHAnsi" w:cstheme="minorHAnsi"/>
          <w:sz w:val="22"/>
          <w:szCs w:val="22"/>
        </w:rPr>
        <w:t>Apžvelgiamoje byloje</w:t>
      </w:r>
      <w:r>
        <w:rPr>
          <w:rFonts w:asciiTheme="minorHAnsi" w:hAnsiTheme="minorHAnsi" w:cstheme="minorHAnsi"/>
          <w:sz w:val="22"/>
          <w:szCs w:val="22"/>
        </w:rPr>
        <w:t xml:space="preserve"> ginčas iš esmės kilo dėl to, kad </w:t>
      </w:r>
      <w:r w:rsidRPr="00DC4968">
        <w:rPr>
          <w:rFonts w:asciiTheme="minorHAnsi" w:hAnsiTheme="minorHAnsi" w:cstheme="minorHAnsi"/>
          <w:bCs/>
          <w:sz w:val="22"/>
          <w:szCs w:val="22"/>
        </w:rPr>
        <w:t>Vaikų išlaikymo fondo administracij</w:t>
      </w:r>
      <w:r>
        <w:rPr>
          <w:rFonts w:asciiTheme="minorHAnsi" w:hAnsiTheme="minorHAnsi" w:cstheme="minorHAnsi"/>
          <w:bCs/>
          <w:sz w:val="22"/>
          <w:szCs w:val="22"/>
        </w:rPr>
        <w:t>a</w:t>
      </w:r>
      <w:r w:rsidRPr="00DC4968">
        <w:rPr>
          <w:rFonts w:asciiTheme="minorHAnsi" w:hAnsiTheme="minorHAnsi" w:cstheme="minorHAnsi"/>
          <w:bCs/>
          <w:sz w:val="22"/>
          <w:szCs w:val="22"/>
        </w:rPr>
        <w:t xml:space="preserve"> prie Socialinės apsaugos ir darbo ministerijos (toliau – ir Administracija)</w:t>
      </w:r>
      <w:r>
        <w:rPr>
          <w:rFonts w:asciiTheme="minorHAnsi" w:hAnsiTheme="minorHAnsi" w:cstheme="minorHAnsi"/>
          <w:bCs/>
          <w:sz w:val="22"/>
          <w:szCs w:val="22"/>
        </w:rPr>
        <w:t xml:space="preserve"> pagal panaudos sutartį valdomo valstybinės žemės sklypo dalyje, kuriai nustatytas kelio servitutas patekti į šalia esantį pareiškėjo nuomos pagrindu valdomą </w:t>
      </w:r>
      <w:r w:rsidRPr="00DC4968">
        <w:rPr>
          <w:rFonts w:asciiTheme="minorHAnsi" w:hAnsiTheme="minorHAnsi" w:cstheme="minorHAnsi"/>
          <w:bCs/>
          <w:sz w:val="22"/>
          <w:szCs w:val="22"/>
        </w:rPr>
        <w:t>valstybinės žemės sklypo dalį</w:t>
      </w:r>
      <w:r>
        <w:rPr>
          <w:rFonts w:asciiTheme="minorHAnsi" w:hAnsiTheme="minorHAnsi" w:cstheme="minorHAnsi"/>
          <w:bCs/>
          <w:sz w:val="22"/>
          <w:szCs w:val="22"/>
        </w:rPr>
        <w:t xml:space="preserve">, kurioje jis yra įsirengęs automobilių stovėjimo aikštelę, </w:t>
      </w:r>
      <w:r w:rsidRPr="00DC4968">
        <w:rPr>
          <w:rFonts w:asciiTheme="minorHAnsi" w:hAnsiTheme="minorHAnsi" w:cstheme="minorHAnsi"/>
          <w:bCs/>
          <w:sz w:val="22"/>
          <w:szCs w:val="22"/>
        </w:rPr>
        <w:t>įsirengė kelio ženklus Nr.</w:t>
      </w:r>
      <w:r w:rsidR="000D24DC">
        <w:rPr>
          <w:rFonts w:asciiTheme="minorHAnsi" w:hAnsiTheme="minorHAnsi" w:cstheme="minorHAnsi"/>
          <w:bCs/>
          <w:sz w:val="22"/>
          <w:szCs w:val="22"/>
        </w:rPr>
        <w:t> </w:t>
      </w:r>
      <w:r w:rsidRPr="00DC4968">
        <w:rPr>
          <w:rFonts w:asciiTheme="minorHAnsi" w:hAnsiTheme="minorHAnsi" w:cstheme="minorHAnsi"/>
          <w:bCs/>
          <w:sz w:val="22"/>
          <w:szCs w:val="22"/>
        </w:rPr>
        <w:t>301 („įvažiuoti draudžiama“)</w:t>
      </w:r>
      <w:r>
        <w:rPr>
          <w:rFonts w:asciiTheme="minorHAnsi" w:hAnsiTheme="minorHAnsi" w:cstheme="minorHAnsi"/>
          <w:bCs/>
          <w:sz w:val="22"/>
          <w:szCs w:val="22"/>
        </w:rPr>
        <w:t xml:space="preserve">, kurie apsunkina naudojimąsi minėta pareiškėjo automobilių stovėjimo aikštele. Be to, pareiškėjas nurodė, kad </w:t>
      </w:r>
      <w:r w:rsidRPr="00344516">
        <w:rPr>
          <w:rFonts w:asciiTheme="minorHAnsi" w:hAnsiTheme="minorHAnsi" w:cstheme="minorHAnsi"/>
          <w:bCs/>
          <w:sz w:val="22"/>
          <w:szCs w:val="22"/>
        </w:rPr>
        <w:t xml:space="preserve">Vilniaus miesto valdybos 2001 m. gruodžio 7 d. sprendimu Nr. 1506V patvirtintas teritorijos tarp Švitrigailos, Naugarduko, Vytenio ir T. Ševčenkos gatvių detalusis planas (toliau – ir Detalusis planas) numato pravažiavimą į gretimus sklypus būtent toje vietoje, pro kurią pravažiavimas yra uždraustas, įrengus </w:t>
      </w:r>
      <w:r>
        <w:rPr>
          <w:rFonts w:asciiTheme="minorHAnsi" w:hAnsiTheme="minorHAnsi" w:cstheme="minorHAnsi"/>
          <w:bCs/>
          <w:sz w:val="22"/>
          <w:szCs w:val="22"/>
        </w:rPr>
        <w:t xml:space="preserve">nurodytus </w:t>
      </w:r>
      <w:r w:rsidRPr="00344516">
        <w:rPr>
          <w:rFonts w:asciiTheme="minorHAnsi" w:hAnsiTheme="minorHAnsi" w:cstheme="minorHAnsi"/>
          <w:bCs/>
          <w:sz w:val="22"/>
          <w:szCs w:val="22"/>
        </w:rPr>
        <w:t xml:space="preserve">kelio ženklus pagal Administracijos parengtą ir </w:t>
      </w:r>
      <w:r w:rsidRPr="00DC4968">
        <w:rPr>
          <w:rFonts w:asciiTheme="minorHAnsi" w:hAnsiTheme="minorHAnsi" w:cstheme="minorHAnsi"/>
          <w:bCs/>
          <w:sz w:val="22"/>
          <w:szCs w:val="22"/>
        </w:rPr>
        <w:t xml:space="preserve">Vilniaus apskrities vyriausiojo policijos komisariato (toliau – ir Komisariatas) </w:t>
      </w:r>
      <w:r w:rsidRPr="00344516">
        <w:rPr>
          <w:rFonts w:asciiTheme="minorHAnsi" w:hAnsiTheme="minorHAnsi" w:cstheme="minorHAnsi"/>
          <w:bCs/>
          <w:sz w:val="22"/>
          <w:szCs w:val="22"/>
        </w:rPr>
        <w:t xml:space="preserve">suderintą </w:t>
      </w:r>
      <w:r w:rsidRPr="00DC4968">
        <w:rPr>
          <w:rFonts w:asciiTheme="minorHAnsi" w:hAnsiTheme="minorHAnsi" w:cstheme="minorHAnsi"/>
          <w:bCs/>
          <w:sz w:val="22"/>
          <w:szCs w:val="22"/>
        </w:rPr>
        <w:t xml:space="preserve">Įrengiamų eismo reguliavimo priemonių </w:t>
      </w:r>
      <w:r>
        <w:rPr>
          <w:rFonts w:asciiTheme="minorHAnsi" w:hAnsiTheme="minorHAnsi" w:cstheme="minorHAnsi"/>
          <w:bCs/>
          <w:sz w:val="22"/>
          <w:szCs w:val="22"/>
        </w:rPr>
        <w:t>bei eismo organizavimo projektą (toliau – ir Projektas)</w:t>
      </w:r>
      <w:r w:rsidRPr="00344516">
        <w:rPr>
          <w:rFonts w:asciiTheme="minorHAnsi" w:hAnsiTheme="minorHAnsi" w:cstheme="minorHAnsi"/>
          <w:bCs/>
          <w:sz w:val="22"/>
          <w:szCs w:val="22"/>
        </w:rPr>
        <w:t>.</w:t>
      </w:r>
      <w:r>
        <w:rPr>
          <w:rFonts w:asciiTheme="minorHAnsi" w:hAnsiTheme="minorHAnsi" w:cstheme="minorHAnsi"/>
          <w:bCs/>
          <w:sz w:val="22"/>
          <w:szCs w:val="22"/>
        </w:rPr>
        <w:t xml:space="preserve"> Atsižvelgdamas į tai, pareiškėjas prašė teismo panaikinti K</w:t>
      </w:r>
      <w:r w:rsidRPr="00DC4968">
        <w:rPr>
          <w:rFonts w:asciiTheme="minorHAnsi" w:hAnsiTheme="minorHAnsi" w:cstheme="minorHAnsi"/>
          <w:bCs/>
          <w:sz w:val="22"/>
          <w:szCs w:val="22"/>
        </w:rPr>
        <w:t xml:space="preserve">omisariato Kelių policijos valdybos Administracinės veiklos skyriaus </w:t>
      </w:r>
      <w:bookmarkStart w:id="85" w:name="Buk_1"/>
      <w:r>
        <w:rPr>
          <w:rFonts w:asciiTheme="minorHAnsi" w:hAnsiTheme="minorHAnsi" w:cstheme="minorHAnsi"/>
          <w:bCs/>
          <w:sz w:val="22"/>
          <w:szCs w:val="22"/>
        </w:rPr>
        <w:t>pareigūno</w:t>
      </w:r>
      <w:bookmarkEnd w:id="85"/>
      <w:r>
        <w:rPr>
          <w:rFonts w:asciiTheme="minorHAnsi" w:hAnsiTheme="minorHAnsi" w:cstheme="minorHAnsi"/>
          <w:bCs/>
          <w:sz w:val="22"/>
          <w:szCs w:val="22"/>
        </w:rPr>
        <w:t xml:space="preserve"> </w:t>
      </w:r>
      <w:r w:rsidRPr="00DC4968">
        <w:rPr>
          <w:rFonts w:asciiTheme="minorHAnsi" w:hAnsiTheme="minorHAnsi" w:cstheme="minorHAnsi"/>
          <w:bCs/>
          <w:sz w:val="22"/>
          <w:szCs w:val="22"/>
        </w:rPr>
        <w:t>suderinimo ž</w:t>
      </w:r>
      <w:r>
        <w:rPr>
          <w:rFonts w:asciiTheme="minorHAnsi" w:hAnsiTheme="minorHAnsi" w:cstheme="minorHAnsi"/>
          <w:bCs/>
          <w:sz w:val="22"/>
          <w:szCs w:val="22"/>
        </w:rPr>
        <w:t xml:space="preserve">ymą, kuria suderintas Administracijos </w:t>
      </w:r>
      <w:r w:rsidRPr="00DC4968">
        <w:rPr>
          <w:rFonts w:asciiTheme="minorHAnsi" w:hAnsiTheme="minorHAnsi" w:cstheme="minorHAnsi"/>
          <w:bCs/>
          <w:sz w:val="22"/>
          <w:szCs w:val="22"/>
        </w:rPr>
        <w:t>parengt</w:t>
      </w:r>
      <w:r>
        <w:rPr>
          <w:rFonts w:asciiTheme="minorHAnsi" w:hAnsiTheme="minorHAnsi" w:cstheme="minorHAnsi"/>
          <w:bCs/>
          <w:sz w:val="22"/>
          <w:szCs w:val="22"/>
        </w:rPr>
        <w:t>as</w:t>
      </w:r>
      <w:r w:rsidRPr="00DC4968">
        <w:rPr>
          <w:rFonts w:asciiTheme="minorHAnsi" w:hAnsiTheme="minorHAnsi" w:cstheme="minorHAnsi"/>
          <w:bCs/>
          <w:sz w:val="22"/>
          <w:szCs w:val="22"/>
        </w:rPr>
        <w:t xml:space="preserve"> </w:t>
      </w:r>
      <w:r>
        <w:rPr>
          <w:rFonts w:asciiTheme="minorHAnsi" w:hAnsiTheme="minorHAnsi" w:cstheme="minorHAnsi"/>
          <w:bCs/>
          <w:sz w:val="22"/>
          <w:szCs w:val="22"/>
        </w:rPr>
        <w:t>Projektas.</w:t>
      </w:r>
    </w:p>
    <w:p w14:paraId="0A9ADBF7" w14:textId="77777777" w:rsidR="00C63E90" w:rsidRDefault="00C63E90" w:rsidP="00C63E90">
      <w:pPr>
        <w:ind w:firstLine="567"/>
        <w:jc w:val="both"/>
        <w:rPr>
          <w:rFonts w:asciiTheme="minorHAnsi" w:hAnsiTheme="minorHAnsi" w:cstheme="minorHAnsi"/>
          <w:bCs/>
          <w:sz w:val="22"/>
          <w:szCs w:val="22"/>
        </w:rPr>
      </w:pPr>
      <w:r>
        <w:rPr>
          <w:rFonts w:asciiTheme="minorHAnsi" w:hAnsiTheme="minorHAnsi" w:cstheme="minorHAnsi"/>
          <w:bCs/>
          <w:sz w:val="22"/>
          <w:szCs w:val="22"/>
        </w:rPr>
        <w:lastRenderedPageBreak/>
        <w:t>Pirmosios instancijos teismas pareiškėjo skundą atmetė, tačiau išplėstinė teisėjų kolegija šį sprendimą panaikino ir priėmė naują sprendimą, kuriuo pareiškėjo skundą tenkino.</w:t>
      </w:r>
    </w:p>
    <w:p w14:paraId="71F53A37" w14:textId="77777777" w:rsidR="00C63E90" w:rsidRDefault="00C63E90" w:rsidP="00C63E90">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Išplėstinė teisėjų kolegija pažymėjo, kad </w:t>
      </w:r>
      <w:r w:rsidRPr="00714350">
        <w:rPr>
          <w:rFonts w:asciiTheme="minorHAnsi" w:hAnsiTheme="minorHAnsi" w:cstheme="minorHAnsi"/>
          <w:bCs/>
          <w:sz w:val="22"/>
          <w:szCs w:val="22"/>
        </w:rPr>
        <w:t xml:space="preserve">Administracijos valdomame žemės sklype Vilniaus apskrities viršininko 2002 m. vasario 21 d. įsakymu Nr. 511-01 yra nustatytas 420 kv. m ploto kelio servitutas – teisė važiuoti transporto priemonėmis; šis žemės sklypas yra tarnaujantis daiktas, o </w:t>
      </w:r>
      <w:r>
        <w:rPr>
          <w:rFonts w:asciiTheme="minorHAnsi" w:hAnsiTheme="minorHAnsi" w:cstheme="minorHAnsi"/>
          <w:bCs/>
          <w:sz w:val="22"/>
          <w:szCs w:val="22"/>
        </w:rPr>
        <w:t>p</w:t>
      </w:r>
      <w:r w:rsidRPr="00714350">
        <w:rPr>
          <w:rFonts w:asciiTheme="minorHAnsi" w:hAnsiTheme="minorHAnsi" w:cstheme="minorHAnsi"/>
          <w:bCs/>
          <w:sz w:val="22"/>
          <w:szCs w:val="22"/>
        </w:rPr>
        <w:t xml:space="preserve">areiškėjas yra viešpataujančio daikto nuomininkas. </w:t>
      </w:r>
      <w:r>
        <w:rPr>
          <w:rFonts w:asciiTheme="minorHAnsi" w:hAnsiTheme="minorHAnsi" w:cstheme="minorHAnsi"/>
          <w:bCs/>
          <w:sz w:val="22"/>
          <w:szCs w:val="22"/>
        </w:rPr>
        <w:t>Tačiau g</w:t>
      </w:r>
      <w:r w:rsidRPr="00714350">
        <w:rPr>
          <w:rFonts w:asciiTheme="minorHAnsi" w:hAnsiTheme="minorHAnsi" w:cstheme="minorHAnsi"/>
          <w:bCs/>
          <w:sz w:val="22"/>
          <w:szCs w:val="22"/>
        </w:rPr>
        <w:t>inčo Projekto pagrindu įrengus kelio ženklus Nr. 301 („įvažiuoti draudžiama“) pareiškėjui apribota jam nustatyta daiktinė teisė.</w:t>
      </w:r>
    </w:p>
    <w:p w14:paraId="67C7459E" w14:textId="735D212D" w:rsidR="00C63E90" w:rsidRPr="00AB3D26" w:rsidRDefault="00C63E90" w:rsidP="00C63E90">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Išplėstinė teisėjų kolegija atkreipė dėmesį, kad </w:t>
      </w:r>
      <w:r w:rsidRPr="000E40D2">
        <w:rPr>
          <w:rFonts w:asciiTheme="minorHAnsi" w:hAnsiTheme="minorHAnsi" w:cstheme="minorHAnsi"/>
          <w:bCs/>
          <w:sz w:val="22"/>
          <w:szCs w:val="22"/>
        </w:rPr>
        <w:t xml:space="preserve">atsakovas, vertindamas pateikto prašymo dėl įrengiamų eismo reguliavimo priemonių bei eismo organizavimo projekto derinimo pagrįstumą, </w:t>
      </w:r>
      <w:r w:rsidRPr="00714350">
        <w:rPr>
          <w:rFonts w:asciiTheme="minorHAnsi" w:hAnsiTheme="minorHAnsi" w:cstheme="minorHAnsi"/>
          <w:bCs/>
          <w:sz w:val="22"/>
          <w:szCs w:val="22"/>
          <w:u w:val="single"/>
        </w:rPr>
        <w:t>vadovaudamasis Viešojo administravimo įstatymo 3 straipsnyje įtvirtintu įstatymo viršenybės principu</w:t>
      </w:r>
      <w:r w:rsidRPr="000E40D2">
        <w:rPr>
          <w:rFonts w:asciiTheme="minorHAnsi" w:hAnsiTheme="minorHAnsi" w:cstheme="minorHAnsi"/>
          <w:bCs/>
          <w:sz w:val="22"/>
          <w:szCs w:val="22"/>
        </w:rPr>
        <w:t xml:space="preserve">, </w:t>
      </w:r>
      <w:r w:rsidRPr="000E40D2">
        <w:rPr>
          <w:rFonts w:asciiTheme="minorHAnsi" w:hAnsiTheme="minorHAnsi" w:cstheme="minorHAnsi"/>
          <w:bCs/>
          <w:i/>
          <w:sz w:val="22"/>
          <w:szCs w:val="22"/>
        </w:rPr>
        <w:t>inter alia</w:t>
      </w:r>
      <w:r w:rsidRPr="000E40D2">
        <w:rPr>
          <w:rFonts w:asciiTheme="minorHAnsi" w:hAnsiTheme="minorHAnsi" w:cstheme="minorHAnsi"/>
          <w:bCs/>
          <w:sz w:val="22"/>
          <w:szCs w:val="22"/>
        </w:rPr>
        <w:t xml:space="preserve"> reikalaujančiu, kad administraciniai aktai, susiję su asmenų teisių ir pareigų įgyvendinimu, visais atvejais turi būti pagrįsti įstatymais, bei proporcingumo principu, reiškiančiu, kad administracinio sprendimo mastas ir jo įgyvendinimo priemonės turi atitikti būtinus ir pagrįstus administravimo tikslus, </w:t>
      </w:r>
      <w:r w:rsidRPr="00714350">
        <w:rPr>
          <w:rFonts w:asciiTheme="minorHAnsi" w:hAnsiTheme="minorHAnsi" w:cstheme="minorHAnsi"/>
          <w:bCs/>
          <w:sz w:val="22"/>
          <w:szCs w:val="22"/>
          <w:u w:val="single"/>
        </w:rPr>
        <w:t>privalėjo įvertinti, kad Projektu bus apribotos viešuosiuose registruose išviešintos pareiškėjo teisėtai įgytos ir į</w:t>
      </w:r>
      <w:r>
        <w:rPr>
          <w:rFonts w:asciiTheme="minorHAnsi" w:hAnsiTheme="minorHAnsi" w:cstheme="minorHAnsi"/>
          <w:bCs/>
          <w:sz w:val="22"/>
          <w:szCs w:val="22"/>
          <w:u w:val="single"/>
        </w:rPr>
        <w:t>gyvendinamos civilinės teisės,</w:t>
      </w:r>
      <w:r w:rsidRPr="00714350">
        <w:rPr>
          <w:rFonts w:asciiTheme="minorHAnsi" w:hAnsiTheme="minorHAnsi" w:cstheme="minorHAnsi"/>
          <w:bCs/>
          <w:sz w:val="22"/>
          <w:szCs w:val="22"/>
          <w:u w:val="single"/>
        </w:rPr>
        <w:t xml:space="preserve"> taip pat tai, kad trečiojo suinteresuotojo asmens nurodomi eismo reguliavimo bei eismo organizavimo tikslai, suponuoti veiklos specifiškumo, gali būti pasiekti kitais, nepažeidžiančiais pareiškėjo teis</w:t>
      </w:r>
      <w:r>
        <w:rPr>
          <w:rFonts w:asciiTheme="minorHAnsi" w:hAnsiTheme="minorHAnsi" w:cstheme="minorHAnsi"/>
          <w:bCs/>
          <w:sz w:val="22"/>
          <w:szCs w:val="22"/>
          <w:u w:val="single"/>
        </w:rPr>
        <w:t>ių</w:t>
      </w:r>
      <w:r w:rsidRPr="00714350">
        <w:rPr>
          <w:rFonts w:asciiTheme="minorHAnsi" w:hAnsiTheme="minorHAnsi" w:cstheme="minorHAnsi"/>
          <w:bCs/>
          <w:sz w:val="22"/>
          <w:szCs w:val="22"/>
          <w:u w:val="single"/>
        </w:rPr>
        <w:t>, būdais, pavyzdžiui, taikant greičio ribojimo ir pėsčiųjų saugumą užtikrinančias (pvz., pėsčiųjų perėjos) priemones</w:t>
      </w:r>
      <w:r w:rsidRPr="000E40D2">
        <w:rPr>
          <w:rFonts w:asciiTheme="minorHAnsi" w:hAnsiTheme="minorHAnsi" w:cstheme="minorHAnsi"/>
          <w:bCs/>
          <w:sz w:val="22"/>
          <w:szCs w:val="22"/>
        </w:rPr>
        <w:t>.</w:t>
      </w:r>
      <w:r w:rsidRPr="00714350">
        <w:rPr>
          <w:rFonts w:asciiTheme="minorHAnsi" w:hAnsiTheme="minorHAnsi" w:cstheme="minorHAnsi"/>
          <w:bCs/>
          <w:sz w:val="22"/>
          <w:szCs w:val="22"/>
        </w:rPr>
        <w:t xml:space="preserve"> </w:t>
      </w:r>
      <w:r>
        <w:rPr>
          <w:rFonts w:asciiTheme="minorHAnsi" w:hAnsiTheme="minorHAnsi" w:cstheme="minorHAnsi"/>
          <w:bCs/>
          <w:sz w:val="22"/>
          <w:szCs w:val="22"/>
        </w:rPr>
        <w:t>Taip pat</w:t>
      </w:r>
      <w:r w:rsidRPr="000E40D2">
        <w:rPr>
          <w:rFonts w:asciiTheme="minorHAnsi" w:hAnsiTheme="minorHAnsi" w:cstheme="minorHAnsi"/>
          <w:bCs/>
          <w:sz w:val="22"/>
          <w:szCs w:val="22"/>
        </w:rPr>
        <w:t xml:space="preserve"> </w:t>
      </w:r>
      <w:r>
        <w:rPr>
          <w:rFonts w:asciiTheme="minorHAnsi" w:hAnsiTheme="minorHAnsi" w:cstheme="minorHAnsi"/>
          <w:bCs/>
          <w:sz w:val="22"/>
          <w:szCs w:val="22"/>
        </w:rPr>
        <w:t>pabrėžė</w:t>
      </w:r>
      <w:r w:rsidRPr="000E40D2">
        <w:rPr>
          <w:rFonts w:asciiTheme="minorHAnsi" w:hAnsiTheme="minorHAnsi" w:cstheme="minorHAnsi"/>
          <w:bCs/>
          <w:sz w:val="22"/>
          <w:szCs w:val="22"/>
        </w:rPr>
        <w:t xml:space="preserve">, kad </w:t>
      </w:r>
      <w:r w:rsidRPr="00E20A43">
        <w:rPr>
          <w:rFonts w:asciiTheme="minorHAnsi" w:hAnsiTheme="minorHAnsi" w:cstheme="minorHAnsi"/>
          <w:bCs/>
          <w:sz w:val="22"/>
          <w:szCs w:val="22"/>
          <w:u w:val="single"/>
        </w:rPr>
        <w:t xml:space="preserve">viešojo administravimo veiksmais, tokioje kaip ši teisinėje situacijoje, negali būti apribotos asmenų teisėtai įgytos ir įgyvendinamos civilinės teisės, o </w:t>
      </w:r>
      <w:bookmarkStart w:id="86" w:name="_Hlk3884219"/>
      <w:r w:rsidRPr="00E20A43">
        <w:rPr>
          <w:rFonts w:asciiTheme="minorHAnsi" w:hAnsiTheme="minorHAnsi" w:cstheme="minorHAnsi"/>
          <w:bCs/>
          <w:sz w:val="22"/>
          <w:szCs w:val="22"/>
          <w:u w:val="single"/>
        </w:rPr>
        <w:t xml:space="preserve">eismo reguliavimo ir organizavimo priemonės </w:t>
      </w:r>
      <w:bookmarkEnd w:id="86"/>
      <w:r w:rsidRPr="00E20A43">
        <w:rPr>
          <w:rFonts w:asciiTheme="minorHAnsi" w:hAnsiTheme="minorHAnsi" w:cstheme="minorHAnsi"/>
          <w:bCs/>
          <w:sz w:val="22"/>
          <w:szCs w:val="22"/>
          <w:u w:val="single"/>
        </w:rPr>
        <w:t>turi būti proporcingos siekiamiems tikslams ir nepaneigti / neriboti civilinių teisių</w:t>
      </w:r>
      <w:r w:rsidRPr="000E40D2">
        <w:rPr>
          <w:rFonts w:asciiTheme="minorHAnsi" w:hAnsiTheme="minorHAnsi" w:cstheme="minorHAnsi"/>
          <w:bCs/>
          <w:sz w:val="22"/>
          <w:szCs w:val="22"/>
        </w:rPr>
        <w:t>.</w:t>
      </w:r>
      <w:r>
        <w:rPr>
          <w:rFonts w:asciiTheme="minorHAnsi" w:hAnsiTheme="minorHAnsi" w:cstheme="minorHAnsi"/>
          <w:bCs/>
          <w:sz w:val="22"/>
          <w:szCs w:val="22"/>
        </w:rPr>
        <w:t xml:space="preserve"> </w:t>
      </w:r>
      <w:r w:rsidRPr="000E40D2">
        <w:rPr>
          <w:rFonts w:asciiTheme="minorHAnsi" w:hAnsiTheme="minorHAnsi" w:cstheme="minorHAnsi"/>
          <w:bCs/>
          <w:sz w:val="22"/>
          <w:szCs w:val="22"/>
        </w:rPr>
        <w:t xml:space="preserve">Tokios, kaip šiuo atveju, taikomos </w:t>
      </w:r>
      <w:r w:rsidRPr="00AB3D26">
        <w:rPr>
          <w:rFonts w:asciiTheme="minorHAnsi" w:hAnsiTheme="minorHAnsi" w:cstheme="minorHAnsi"/>
          <w:bCs/>
          <w:sz w:val="22"/>
          <w:szCs w:val="22"/>
        </w:rPr>
        <w:t>eismo reguliavimo ir organizavimo priemonės galėtų būti pritaikytos tik pakeitus servituto turinį ar jį panaikinus (CK 4.112 str. 5</w:t>
      </w:r>
      <w:r w:rsidR="000D24DC" w:rsidRPr="00AB3D26">
        <w:rPr>
          <w:rFonts w:asciiTheme="minorHAnsi" w:hAnsiTheme="minorHAnsi" w:cstheme="minorHAnsi"/>
          <w:bCs/>
          <w:sz w:val="22"/>
          <w:szCs w:val="22"/>
        </w:rPr>
        <w:t> </w:t>
      </w:r>
      <w:r w:rsidRPr="00AB3D26">
        <w:rPr>
          <w:rFonts w:asciiTheme="minorHAnsi" w:hAnsiTheme="minorHAnsi" w:cstheme="minorHAnsi"/>
          <w:bCs/>
          <w:sz w:val="22"/>
          <w:szCs w:val="22"/>
        </w:rPr>
        <w:t>d.), taip pat – pakeitus Detaliojo plano sprendinius Teritorijų planavimo įstatyme nustatyta tvarka.</w:t>
      </w:r>
    </w:p>
    <w:p w14:paraId="62C69F21" w14:textId="77777777" w:rsidR="00C63E90" w:rsidRDefault="00C63E90" w:rsidP="00C63E90">
      <w:pPr>
        <w:ind w:firstLine="567"/>
        <w:jc w:val="both"/>
        <w:rPr>
          <w:rFonts w:asciiTheme="minorHAnsi" w:hAnsiTheme="minorHAnsi" w:cstheme="minorHAnsi"/>
          <w:bCs/>
          <w:sz w:val="22"/>
          <w:szCs w:val="22"/>
        </w:rPr>
      </w:pPr>
      <w:r w:rsidRPr="000E40D2">
        <w:rPr>
          <w:rFonts w:asciiTheme="minorHAnsi" w:hAnsiTheme="minorHAnsi" w:cstheme="minorHAnsi"/>
          <w:bCs/>
          <w:sz w:val="22"/>
          <w:szCs w:val="22"/>
        </w:rPr>
        <w:t>Todėl išplėstinė teisėjų kolegija konstat</w:t>
      </w:r>
      <w:r>
        <w:rPr>
          <w:rFonts w:asciiTheme="minorHAnsi" w:hAnsiTheme="minorHAnsi" w:cstheme="minorHAnsi"/>
          <w:bCs/>
          <w:sz w:val="22"/>
          <w:szCs w:val="22"/>
        </w:rPr>
        <w:t>avo</w:t>
      </w:r>
      <w:r w:rsidRPr="000E40D2">
        <w:rPr>
          <w:rFonts w:asciiTheme="minorHAnsi" w:hAnsiTheme="minorHAnsi" w:cstheme="minorHAnsi"/>
          <w:bCs/>
          <w:sz w:val="22"/>
          <w:szCs w:val="22"/>
        </w:rPr>
        <w:t xml:space="preserve">, kad ginčo </w:t>
      </w:r>
      <w:r>
        <w:rPr>
          <w:rFonts w:asciiTheme="minorHAnsi" w:hAnsiTheme="minorHAnsi" w:cstheme="minorHAnsi"/>
          <w:bCs/>
          <w:sz w:val="22"/>
          <w:szCs w:val="22"/>
        </w:rPr>
        <w:t>P</w:t>
      </w:r>
      <w:r w:rsidRPr="000E40D2">
        <w:rPr>
          <w:rFonts w:asciiTheme="minorHAnsi" w:hAnsiTheme="minorHAnsi" w:cstheme="minorHAnsi"/>
          <w:bCs/>
          <w:sz w:val="22"/>
          <w:szCs w:val="22"/>
        </w:rPr>
        <w:t>rojektas suderintas pažeidžiant pareiškėjo teises, derinimas yra neteisėtas ir naikintinas.</w:t>
      </w:r>
    </w:p>
    <w:p w14:paraId="78D3A1EE" w14:textId="77777777" w:rsidR="00C63E90" w:rsidRDefault="00C63E90" w:rsidP="00C63E90">
      <w:pPr>
        <w:ind w:firstLine="567"/>
        <w:jc w:val="both"/>
        <w:rPr>
          <w:rFonts w:asciiTheme="minorHAnsi" w:hAnsiTheme="minorHAnsi" w:cstheme="minorHAnsi"/>
          <w:bCs/>
          <w:sz w:val="22"/>
          <w:szCs w:val="22"/>
        </w:rPr>
      </w:pPr>
    </w:p>
    <w:p w14:paraId="69F82BB5" w14:textId="77777777" w:rsidR="00C63E90" w:rsidRPr="005B3F69" w:rsidRDefault="001305A8" w:rsidP="00C63E90">
      <w:pPr>
        <w:rPr>
          <w:rFonts w:asciiTheme="minorHAnsi" w:hAnsiTheme="minorHAnsi" w:cstheme="minorHAnsi"/>
          <w:sz w:val="22"/>
          <w:szCs w:val="22"/>
        </w:rPr>
      </w:pPr>
      <w:r>
        <w:rPr>
          <w:rFonts w:asciiTheme="minorHAnsi" w:hAnsiTheme="minorHAnsi" w:cstheme="minorHAnsi"/>
          <w:sz w:val="22"/>
          <w:szCs w:val="22"/>
        </w:rPr>
        <w:t xml:space="preserve">Išplėstinės teisėjų kolegijos </w:t>
      </w:r>
      <w:r w:rsidR="00C63E90" w:rsidRPr="005B3F69">
        <w:rPr>
          <w:rFonts w:asciiTheme="minorHAnsi" w:hAnsiTheme="minorHAnsi" w:cstheme="minorHAnsi"/>
          <w:sz w:val="22"/>
          <w:szCs w:val="22"/>
        </w:rPr>
        <w:t xml:space="preserve">2019 m. </w:t>
      </w:r>
      <w:r w:rsidR="00C63E90">
        <w:rPr>
          <w:rFonts w:asciiTheme="minorHAnsi" w:hAnsiTheme="minorHAnsi" w:cstheme="minorHAnsi"/>
          <w:sz w:val="22"/>
          <w:szCs w:val="22"/>
        </w:rPr>
        <w:t>kovo</w:t>
      </w:r>
      <w:r w:rsidR="00C63E90" w:rsidRPr="005B3F69">
        <w:rPr>
          <w:rFonts w:asciiTheme="minorHAnsi" w:hAnsiTheme="minorHAnsi" w:cstheme="minorHAnsi"/>
          <w:sz w:val="22"/>
          <w:szCs w:val="22"/>
        </w:rPr>
        <w:t xml:space="preserve"> </w:t>
      </w:r>
      <w:r w:rsidR="00C63E90">
        <w:rPr>
          <w:rFonts w:asciiTheme="minorHAnsi" w:hAnsiTheme="minorHAnsi" w:cstheme="minorHAnsi"/>
          <w:sz w:val="22"/>
          <w:szCs w:val="22"/>
        </w:rPr>
        <w:t>20</w:t>
      </w:r>
      <w:r w:rsidR="00C63E90" w:rsidRPr="005B3F69">
        <w:rPr>
          <w:rFonts w:asciiTheme="minorHAnsi" w:hAnsiTheme="minorHAnsi" w:cstheme="minorHAnsi"/>
          <w:sz w:val="22"/>
          <w:szCs w:val="22"/>
        </w:rPr>
        <w:t xml:space="preserve"> d. </w:t>
      </w:r>
      <w:r>
        <w:rPr>
          <w:rFonts w:asciiTheme="minorHAnsi" w:hAnsiTheme="minorHAnsi" w:cstheme="minorHAnsi"/>
          <w:sz w:val="22"/>
          <w:szCs w:val="22"/>
        </w:rPr>
        <w:t>sprendimas</w:t>
      </w:r>
      <w:r w:rsidRPr="005B3F69">
        <w:rPr>
          <w:rFonts w:asciiTheme="minorHAnsi" w:hAnsiTheme="minorHAnsi" w:cstheme="minorHAnsi"/>
          <w:sz w:val="22"/>
          <w:szCs w:val="22"/>
        </w:rPr>
        <w:t xml:space="preserve"> </w:t>
      </w:r>
      <w:r w:rsidR="00C63E90" w:rsidRPr="005B3F69">
        <w:rPr>
          <w:rFonts w:asciiTheme="minorHAnsi" w:hAnsiTheme="minorHAnsi" w:cstheme="minorHAnsi"/>
          <w:sz w:val="22"/>
          <w:szCs w:val="22"/>
        </w:rPr>
        <w:t xml:space="preserve">administracinėje byloje Nr. </w:t>
      </w:r>
      <w:r w:rsidR="00C63E90" w:rsidRPr="001E37C0">
        <w:rPr>
          <w:rFonts w:asciiTheme="minorHAnsi" w:hAnsiTheme="minorHAnsi" w:cstheme="minorHAnsi"/>
          <w:sz w:val="22"/>
          <w:szCs w:val="22"/>
        </w:rPr>
        <w:t>A-332-415/2019</w:t>
      </w:r>
    </w:p>
    <w:p w14:paraId="70B1AF85" w14:textId="77777777" w:rsidR="00C63E90" w:rsidRPr="005B3F69" w:rsidRDefault="00C63E90" w:rsidP="00C63E90">
      <w:pPr>
        <w:rPr>
          <w:rFonts w:asciiTheme="minorHAnsi" w:hAnsiTheme="minorHAnsi" w:cstheme="minorHAnsi"/>
          <w:sz w:val="22"/>
          <w:szCs w:val="22"/>
        </w:rPr>
      </w:pPr>
      <w:r w:rsidRPr="005B3F69">
        <w:rPr>
          <w:rFonts w:asciiTheme="minorHAnsi" w:hAnsiTheme="minorHAnsi" w:cstheme="minorHAnsi"/>
          <w:sz w:val="22"/>
          <w:szCs w:val="22"/>
        </w:rPr>
        <w:t xml:space="preserve">Teisminio proceso Nr. </w:t>
      </w:r>
      <w:r w:rsidRPr="001E37C0">
        <w:rPr>
          <w:rFonts w:asciiTheme="minorHAnsi" w:hAnsiTheme="minorHAnsi" w:cstheme="minorHAnsi"/>
          <w:bCs/>
          <w:sz w:val="22"/>
          <w:szCs w:val="22"/>
          <w:lang w:bidi="lt-LT"/>
        </w:rPr>
        <w:t>3-61-3-04961-2016-2</w:t>
      </w:r>
    </w:p>
    <w:p w14:paraId="6BA76951" w14:textId="77777777" w:rsidR="00C63E90" w:rsidRPr="005B3F69" w:rsidRDefault="00C63E90" w:rsidP="00C63E90">
      <w:pPr>
        <w:rPr>
          <w:rFonts w:asciiTheme="minorHAnsi" w:hAnsiTheme="minorHAnsi" w:cstheme="minorHAnsi"/>
          <w:sz w:val="22"/>
          <w:szCs w:val="22"/>
        </w:rPr>
      </w:pPr>
      <w:r w:rsidRPr="005B3F69">
        <w:rPr>
          <w:rFonts w:asciiTheme="minorHAnsi" w:hAnsiTheme="minorHAnsi" w:cstheme="minorHAnsi"/>
          <w:sz w:val="22"/>
          <w:szCs w:val="22"/>
        </w:rPr>
        <w:t>P</w:t>
      </w:r>
      <w:r>
        <w:rPr>
          <w:rFonts w:asciiTheme="minorHAnsi" w:hAnsiTheme="minorHAnsi" w:cstheme="minorHAnsi"/>
          <w:sz w:val="22"/>
          <w:szCs w:val="22"/>
        </w:rPr>
        <w:t xml:space="preserve">rocesinio sprendimo kategorija </w:t>
      </w:r>
      <w:r w:rsidRPr="005B3F69">
        <w:rPr>
          <w:rFonts w:asciiTheme="minorHAnsi" w:hAnsiTheme="minorHAnsi" w:cstheme="minorHAnsi"/>
          <w:sz w:val="22"/>
          <w:szCs w:val="22"/>
        </w:rPr>
        <w:t>4</w:t>
      </w:r>
      <w:r>
        <w:rPr>
          <w:rFonts w:asciiTheme="minorHAnsi" w:hAnsiTheme="minorHAnsi" w:cstheme="minorHAnsi"/>
          <w:sz w:val="22"/>
          <w:szCs w:val="22"/>
        </w:rPr>
        <w:t>1</w:t>
      </w:r>
    </w:p>
    <w:p w14:paraId="108026C4" w14:textId="77777777" w:rsidR="00C63E90" w:rsidRPr="005B3F69" w:rsidRDefault="00DC0A59" w:rsidP="00C63E90">
      <w:pPr>
        <w:rPr>
          <w:rFonts w:asciiTheme="minorHAnsi" w:hAnsiTheme="minorHAnsi" w:cstheme="minorHAnsi"/>
          <w:sz w:val="22"/>
          <w:szCs w:val="22"/>
          <w:u w:val="single"/>
        </w:rPr>
      </w:pPr>
      <w:hyperlink r:id="rId22" w:history="1">
        <w:r w:rsidR="00C63E90" w:rsidRPr="005B3F69">
          <w:rPr>
            <w:rStyle w:val="Hipersaitas"/>
            <w:rFonts w:asciiTheme="minorHAnsi" w:hAnsiTheme="minorHAnsi" w:cstheme="minorHAnsi"/>
            <w:sz w:val="22"/>
            <w:szCs w:val="22"/>
          </w:rPr>
          <w:t>Prieiga internete</w:t>
        </w:r>
      </w:hyperlink>
    </w:p>
    <w:p w14:paraId="6BB43EB6" w14:textId="77777777" w:rsidR="00AB3D26" w:rsidRDefault="00AB3D26" w:rsidP="00025BA1">
      <w:pPr>
        <w:pStyle w:val="Apzvalgai1"/>
        <w:rPr>
          <w:rFonts w:asciiTheme="minorHAnsi" w:hAnsiTheme="minorHAnsi" w:cstheme="minorHAnsi"/>
        </w:rPr>
      </w:pPr>
      <w:bookmarkStart w:id="87" w:name="_Toc519600876"/>
    </w:p>
    <w:p w14:paraId="15AF86F6" w14:textId="7F514440" w:rsidR="00A84D45" w:rsidRDefault="00A84D45" w:rsidP="00025BA1">
      <w:pPr>
        <w:pStyle w:val="Apzvalgai1"/>
        <w:rPr>
          <w:rFonts w:asciiTheme="minorHAnsi" w:hAnsiTheme="minorHAnsi" w:cstheme="minorHAnsi"/>
        </w:rPr>
      </w:pPr>
      <w:bookmarkStart w:id="88" w:name="_Toc9845493"/>
      <w:r w:rsidRPr="00B240C0">
        <w:rPr>
          <w:rFonts w:asciiTheme="minorHAnsi" w:hAnsiTheme="minorHAnsi" w:cstheme="minorHAnsi"/>
        </w:rPr>
        <w:t>II. Administracinių bylų teisena</w:t>
      </w:r>
      <w:bookmarkEnd w:id="87"/>
      <w:bookmarkEnd w:id="88"/>
    </w:p>
    <w:p w14:paraId="09D93B8D" w14:textId="77777777" w:rsidR="00D41361" w:rsidRPr="00B240C0" w:rsidRDefault="00D41361" w:rsidP="00025BA1">
      <w:pPr>
        <w:pStyle w:val="Apzvalgai1"/>
        <w:outlineLvl w:val="9"/>
        <w:rPr>
          <w:rFonts w:asciiTheme="minorHAnsi" w:hAnsiTheme="minorHAnsi" w:cstheme="minorHAnsi"/>
        </w:rPr>
      </w:pPr>
    </w:p>
    <w:p w14:paraId="6DCE3BD4" w14:textId="77777777" w:rsidR="00D41361" w:rsidRPr="00F95E16" w:rsidRDefault="00D41361" w:rsidP="00025BA1">
      <w:pPr>
        <w:pStyle w:val="Antrat1"/>
        <w:rPr>
          <w:rFonts w:asciiTheme="minorHAnsi" w:hAnsiTheme="minorHAnsi" w:cstheme="minorHAnsi"/>
        </w:rPr>
      </w:pPr>
      <w:bookmarkStart w:id="89" w:name="_Toc462150008"/>
      <w:bookmarkStart w:id="90" w:name="_Toc9845494"/>
      <w:r w:rsidRPr="00F95E16">
        <w:rPr>
          <w:rFonts w:asciiTheme="minorHAnsi" w:hAnsiTheme="minorHAnsi" w:cstheme="minorHAnsi"/>
        </w:rPr>
        <w:t>43. Teisė kreiptis į teismą ir jos realizavimas</w:t>
      </w:r>
      <w:bookmarkEnd w:id="89"/>
      <w:bookmarkEnd w:id="90"/>
    </w:p>
    <w:p w14:paraId="1BDA2948" w14:textId="77777777" w:rsidR="00D41361" w:rsidRDefault="00D41361" w:rsidP="00025BA1">
      <w:pPr>
        <w:ind w:left="851" w:hanging="284"/>
        <w:rPr>
          <w:rFonts w:asciiTheme="minorHAnsi" w:hAnsiTheme="minorHAnsi" w:cstheme="minorHAnsi"/>
          <w:b/>
          <w:sz w:val="22"/>
          <w:szCs w:val="22"/>
          <w:u w:val="single"/>
        </w:rPr>
      </w:pPr>
      <w:r w:rsidRPr="00D41361">
        <w:rPr>
          <w:rFonts w:asciiTheme="minorHAnsi" w:hAnsiTheme="minorHAnsi" w:cstheme="minorHAnsi"/>
          <w:b/>
          <w:sz w:val="22"/>
          <w:szCs w:val="22"/>
          <w:u w:val="single"/>
        </w:rPr>
        <w:t>43.5. Atsisakymas priimti skundą</w:t>
      </w:r>
    </w:p>
    <w:p w14:paraId="1B6E6CFA" w14:textId="77777777" w:rsidR="002D65CE" w:rsidRPr="002D65CE" w:rsidRDefault="002D65CE" w:rsidP="00025BA1">
      <w:pPr>
        <w:ind w:left="851" w:firstLine="283"/>
        <w:rPr>
          <w:rFonts w:asciiTheme="minorHAnsi" w:hAnsiTheme="minorHAnsi" w:cstheme="minorHAnsi"/>
          <w:b/>
          <w:sz w:val="22"/>
          <w:szCs w:val="22"/>
          <w:u w:val="single"/>
        </w:rPr>
      </w:pPr>
      <w:r w:rsidRPr="002D65CE">
        <w:rPr>
          <w:rFonts w:asciiTheme="minorHAnsi" w:hAnsiTheme="minorHAnsi" w:cstheme="minorHAnsi"/>
          <w:b/>
          <w:sz w:val="22"/>
          <w:szCs w:val="22"/>
          <w:u w:val="single"/>
        </w:rPr>
        <w:t>43.5.1. Kai skundas nenagrinėtinas ABTĮ nustatyta tvarka</w:t>
      </w:r>
    </w:p>
    <w:p w14:paraId="765760AC" w14:textId="77777777" w:rsidR="002C10EB" w:rsidRPr="002C10EB" w:rsidRDefault="002D65CE" w:rsidP="002C10EB">
      <w:pPr>
        <w:ind w:left="851" w:firstLine="850"/>
        <w:jc w:val="both"/>
        <w:rPr>
          <w:rFonts w:asciiTheme="minorHAnsi" w:hAnsiTheme="minorHAnsi" w:cstheme="minorHAnsi"/>
          <w:b/>
          <w:sz w:val="22"/>
          <w:szCs w:val="22"/>
          <w:u w:val="single"/>
        </w:rPr>
      </w:pPr>
      <w:r w:rsidRPr="002D65CE">
        <w:rPr>
          <w:rFonts w:asciiTheme="minorHAnsi" w:hAnsiTheme="minorHAnsi" w:cstheme="minorHAnsi"/>
          <w:b/>
          <w:sz w:val="22"/>
          <w:szCs w:val="22"/>
          <w:u w:val="single"/>
        </w:rPr>
        <w:t>43.5.1.</w:t>
      </w:r>
      <w:r w:rsidR="002C10EB">
        <w:rPr>
          <w:rFonts w:asciiTheme="minorHAnsi" w:hAnsiTheme="minorHAnsi" w:cstheme="minorHAnsi"/>
          <w:b/>
          <w:sz w:val="22"/>
          <w:szCs w:val="22"/>
          <w:u w:val="single"/>
        </w:rPr>
        <w:t>2</w:t>
      </w:r>
      <w:r w:rsidRPr="002D65CE">
        <w:rPr>
          <w:rFonts w:asciiTheme="minorHAnsi" w:hAnsiTheme="minorHAnsi" w:cstheme="minorHAnsi"/>
          <w:b/>
          <w:sz w:val="22"/>
          <w:szCs w:val="22"/>
          <w:u w:val="single"/>
        </w:rPr>
        <w:t xml:space="preserve">. </w:t>
      </w:r>
      <w:r w:rsidR="002C10EB" w:rsidRPr="002C10EB">
        <w:rPr>
          <w:rFonts w:asciiTheme="minorHAnsi" w:hAnsiTheme="minorHAnsi" w:cstheme="minorHAnsi"/>
          <w:b/>
          <w:sz w:val="22"/>
          <w:szCs w:val="22"/>
          <w:u w:val="single"/>
        </w:rPr>
        <w:t>Bendrosios kompetencijos teismams, Lietuvos Respublikos Konstituciniam Teismui priskirtinos bylos</w:t>
      </w:r>
    </w:p>
    <w:p w14:paraId="1124ACFC" w14:textId="77777777" w:rsidR="002D65CE" w:rsidRPr="002D65CE" w:rsidRDefault="002D65CE" w:rsidP="00025BA1">
      <w:pPr>
        <w:ind w:left="851" w:firstLine="850"/>
        <w:rPr>
          <w:rFonts w:asciiTheme="minorHAnsi" w:hAnsiTheme="minorHAnsi" w:cstheme="minorHAnsi"/>
          <w:b/>
          <w:sz w:val="22"/>
          <w:szCs w:val="22"/>
          <w:u w:val="single"/>
        </w:rPr>
      </w:pPr>
    </w:p>
    <w:p w14:paraId="470CF4D2" w14:textId="77777777" w:rsidR="002D65CE" w:rsidRPr="00EC0D17" w:rsidRDefault="002D65CE" w:rsidP="004445E5">
      <w:pPr>
        <w:pStyle w:val="Antrat2"/>
      </w:pPr>
      <w:bookmarkStart w:id="91" w:name="_Toc9845495"/>
      <w:r w:rsidRPr="00B14AE2">
        <w:t xml:space="preserve">Dėl </w:t>
      </w:r>
      <w:r w:rsidR="002C10EB">
        <w:t>žalos iš savivaldybės priteisimo</w:t>
      </w:r>
      <w:r w:rsidR="002B6AEA">
        <w:t xml:space="preserve"> dėl netinkamo </w:t>
      </w:r>
      <w:r w:rsidR="002B6AEA" w:rsidRPr="002B6AEA">
        <w:t>viešųjų paslaugų teikim</w:t>
      </w:r>
      <w:r w:rsidR="002B6AEA">
        <w:t>o administravimo</w:t>
      </w:r>
      <w:bookmarkEnd w:id="91"/>
    </w:p>
    <w:p w14:paraId="5718FBBF" w14:textId="77777777" w:rsidR="002D65CE" w:rsidRPr="00EC0D17" w:rsidRDefault="002D65CE" w:rsidP="00025BA1">
      <w:pPr>
        <w:ind w:firstLine="567"/>
        <w:jc w:val="both"/>
        <w:rPr>
          <w:rFonts w:asciiTheme="minorHAnsi" w:hAnsiTheme="minorHAnsi" w:cstheme="minorHAnsi"/>
          <w:sz w:val="22"/>
          <w:szCs w:val="22"/>
        </w:rPr>
      </w:pPr>
    </w:p>
    <w:p w14:paraId="747EB7F5" w14:textId="77777777" w:rsidR="00A46B66" w:rsidRDefault="002D65CE" w:rsidP="00B14AE2">
      <w:pPr>
        <w:ind w:firstLine="567"/>
        <w:jc w:val="both"/>
        <w:rPr>
          <w:rFonts w:asciiTheme="minorHAnsi" w:hAnsiTheme="minorHAnsi" w:cstheme="minorHAnsi"/>
          <w:bCs/>
          <w:sz w:val="22"/>
          <w:szCs w:val="22"/>
        </w:rPr>
      </w:pPr>
      <w:r w:rsidRPr="000664DB">
        <w:rPr>
          <w:rFonts w:asciiTheme="minorHAnsi" w:hAnsiTheme="minorHAnsi" w:cstheme="minorHAnsi"/>
          <w:bCs/>
          <w:sz w:val="22"/>
          <w:szCs w:val="22"/>
        </w:rPr>
        <w:t xml:space="preserve">Pirmosios instancijos teismas </w:t>
      </w:r>
      <w:r w:rsidR="002C10EB">
        <w:rPr>
          <w:rFonts w:asciiTheme="minorHAnsi" w:hAnsiTheme="minorHAnsi" w:cstheme="minorHAnsi"/>
          <w:bCs/>
          <w:sz w:val="22"/>
          <w:szCs w:val="22"/>
        </w:rPr>
        <w:t xml:space="preserve">atsisakė priimti pareiškėjo skundą, kuriame jis prašė </w:t>
      </w:r>
      <w:r w:rsidR="002C10EB" w:rsidRPr="002C10EB">
        <w:rPr>
          <w:rFonts w:asciiTheme="minorHAnsi" w:hAnsiTheme="minorHAnsi" w:cstheme="minorHAnsi"/>
          <w:bCs/>
          <w:sz w:val="22"/>
          <w:szCs w:val="22"/>
        </w:rPr>
        <w:t xml:space="preserve">iš atsakovo Vilniaus miesto savivaldybės administracijos (toliau – ir Administracija) priteisti </w:t>
      </w:r>
      <w:r w:rsidR="00A826F4" w:rsidRPr="002C10EB">
        <w:rPr>
          <w:rFonts w:asciiTheme="minorHAnsi" w:hAnsiTheme="minorHAnsi" w:cstheme="minorHAnsi"/>
          <w:bCs/>
          <w:sz w:val="22"/>
          <w:szCs w:val="22"/>
        </w:rPr>
        <w:t xml:space="preserve">jam </w:t>
      </w:r>
      <w:r w:rsidR="002C10EB" w:rsidRPr="002C10EB">
        <w:rPr>
          <w:rFonts w:asciiTheme="minorHAnsi" w:hAnsiTheme="minorHAnsi" w:cstheme="minorHAnsi"/>
          <w:bCs/>
          <w:sz w:val="22"/>
          <w:szCs w:val="22"/>
        </w:rPr>
        <w:t>padarytos žalos atlyginimą</w:t>
      </w:r>
      <w:r w:rsidR="002C10EB">
        <w:rPr>
          <w:rFonts w:asciiTheme="minorHAnsi" w:hAnsiTheme="minorHAnsi" w:cstheme="minorHAnsi"/>
          <w:bCs/>
          <w:sz w:val="22"/>
          <w:szCs w:val="22"/>
        </w:rPr>
        <w:t xml:space="preserve">, dėl to, jog </w:t>
      </w:r>
      <w:r w:rsidR="002C10EB" w:rsidRPr="002C10EB">
        <w:rPr>
          <w:rFonts w:asciiTheme="minorHAnsi" w:hAnsiTheme="minorHAnsi" w:cstheme="minorHAnsi"/>
          <w:bCs/>
          <w:sz w:val="22"/>
          <w:szCs w:val="22"/>
        </w:rPr>
        <w:t>pareiškėjo reiškiami reikalavimai kyla iš sutartinių santykių ir yra civilinio teisinio pobūdžio, todėl nepriskirtini nagrinėti administraciniams teismams</w:t>
      </w:r>
      <w:r w:rsidR="002C10EB">
        <w:rPr>
          <w:rFonts w:asciiTheme="minorHAnsi" w:hAnsiTheme="minorHAnsi" w:cstheme="minorHAnsi"/>
          <w:bCs/>
          <w:sz w:val="22"/>
          <w:szCs w:val="22"/>
        </w:rPr>
        <w:t>.</w:t>
      </w:r>
    </w:p>
    <w:p w14:paraId="3C642F96" w14:textId="77777777" w:rsidR="002C10EB" w:rsidRPr="002C10EB" w:rsidRDefault="002C10EB" w:rsidP="002C10EB">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Teisėjų kolegija, nagrinėdama pareiškėjo atskirąjį skundą, nurodė, kad </w:t>
      </w:r>
      <w:r w:rsidR="00BF3A58">
        <w:rPr>
          <w:rFonts w:asciiTheme="minorHAnsi" w:hAnsiTheme="minorHAnsi" w:cstheme="minorHAnsi"/>
          <w:bCs/>
          <w:sz w:val="22"/>
          <w:szCs w:val="22"/>
        </w:rPr>
        <w:t>i</w:t>
      </w:r>
      <w:r w:rsidRPr="002C10EB">
        <w:rPr>
          <w:rFonts w:asciiTheme="minorHAnsi" w:hAnsiTheme="minorHAnsi" w:cstheme="minorHAnsi"/>
          <w:bCs/>
          <w:sz w:val="22"/>
          <w:szCs w:val="22"/>
        </w:rPr>
        <w:t xml:space="preserve">š pareiškėjo argumentų matyti, jog, nors jis atkreipia dėmesį į </w:t>
      </w:r>
      <w:r w:rsidR="00BF3A58" w:rsidRPr="00BF3A58">
        <w:rPr>
          <w:rFonts w:asciiTheme="minorHAnsi" w:hAnsiTheme="minorHAnsi" w:cstheme="minorHAnsi"/>
          <w:bCs/>
          <w:sz w:val="22"/>
          <w:szCs w:val="22"/>
        </w:rPr>
        <w:t>Ilgalaikės (trumpalaikės) socialinės glob</w:t>
      </w:r>
      <w:r w:rsidR="00BF3A58">
        <w:rPr>
          <w:rFonts w:asciiTheme="minorHAnsi" w:hAnsiTheme="minorHAnsi" w:cstheme="minorHAnsi"/>
          <w:bCs/>
          <w:sz w:val="22"/>
          <w:szCs w:val="22"/>
        </w:rPr>
        <w:t>os išlaidų kompensavimo sutartį</w:t>
      </w:r>
      <w:r w:rsidRPr="002C10EB">
        <w:rPr>
          <w:rFonts w:asciiTheme="minorHAnsi" w:hAnsiTheme="minorHAnsi" w:cstheme="minorHAnsi"/>
          <w:bCs/>
          <w:sz w:val="22"/>
          <w:szCs w:val="22"/>
        </w:rPr>
        <w:t xml:space="preserve">, Vilniaus miesto savivaldybės neteisėti veiksmai (neveikimas) iš esmės siejami su </w:t>
      </w:r>
      <w:r w:rsidR="00BF3A58">
        <w:rPr>
          <w:rFonts w:asciiTheme="minorHAnsi" w:hAnsiTheme="minorHAnsi" w:cstheme="minorHAnsi"/>
          <w:bCs/>
          <w:sz w:val="22"/>
          <w:szCs w:val="22"/>
        </w:rPr>
        <w:t>S</w:t>
      </w:r>
      <w:r w:rsidRPr="002C10EB">
        <w:rPr>
          <w:rFonts w:asciiTheme="minorHAnsi" w:hAnsiTheme="minorHAnsi" w:cstheme="minorHAnsi"/>
          <w:bCs/>
          <w:sz w:val="22"/>
          <w:szCs w:val="22"/>
        </w:rPr>
        <w:t xml:space="preserve">ocialinių paslaugų įstatymo nuostatų pažeidimu, be kita ko, numatančių, kad savivaldybė atsako už socialinių paslaugų teikimo savo teritorijos gyventojams užtikrinimą, planuodama ir organizuodama socialines paslaugas, kontroliuodama bendrųjų socialinių paslaugų ir socialinės priežiūros kokybę (13 str. 1 d.); kad socialinė globa senyvo amžiaus asmenims, suaugusiems asmenims su negalia, vaikams su negalia (išskyrus asmenis su sunkia negalia), socialinę riziką patiriantiems vaikams, socialinę riziką patiriantiems suaugusiems asmenims finansuojama iš savivaldybės biudžeto lėšų (34 str. 3 d.); kad asmens (šeimos) ir savivaldybės tarpusavio teisės ir pareigos dėl mokėjimo už socialines paslaugas reglamentuojamos rašytine sutartimi (26 str. 7 d.). Pareiškėjas savo reikalavimus grindžia </w:t>
      </w:r>
      <w:r w:rsidRPr="002C10EB">
        <w:rPr>
          <w:rFonts w:asciiTheme="minorHAnsi" w:hAnsiTheme="minorHAnsi" w:cstheme="minorHAnsi"/>
          <w:bCs/>
          <w:sz w:val="22"/>
          <w:szCs w:val="22"/>
        </w:rPr>
        <w:lastRenderedPageBreak/>
        <w:t>ir Lietuvos Respublikos Vyriausybės 2006 m. spalio 10 d. nutarimu Nr. 978 patvirtintos Socialinių paslaugų finansavimo ir lėšų apskaičiavimo metodikos 32 punktu, kuriame įtvirtinta, kad teikiančias trumpalaikę ar ilgalaikę socialinę globą socialinės globos įstaigas, kurias savivaldybės nustatyta tvarka pasirenka pats socialinės globos gavėjas (globėjas, rūpintojas, kiti teisėti asmens atstovai), ar socialinės globos įstaigas, kurias globėjais (rūpintojais) įstatymų nustatyta tvarka paskiria teismas, savivaldybė finansuoja tiesiogiai, sudarydama sutartis dėl asmeniui teikiamos trumpalaikės ar ilgalaikės socialinės globos išlaidų finansavimo socialinės globos įstaigai. Pareiškėjo nuomone, šios teisės normos atsakovui nustato pareigą su juo sudaryti mokėjimo už socialines paslaugas rašytinę sutartį, o taip pat padaryti tokios sutarties pakeitimus, įtvirtinant naują paslaugų kainą. Kadangi atsakovas šios savo pareigos neįvykdė, pareiškėjui kilo žala. Pareiškėjo prašomą priteisti turtinės žalos atlyginimą sudaro Vilniaus miesto savivaldybės nesumokėtos sumos (visiškai arba iš dalies neapmokėtos sąskaitos), taip pat delspinigiai už vėlavimą atsiskaityti už paslaugas, suteiktas nuo 2017 m. spalio mėn. iki</w:t>
      </w:r>
      <w:r w:rsidR="00BF3A58">
        <w:rPr>
          <w:rFonts w:asciiTheme="minorHAnsi" w:hAnsiTheme="minorHAnsi" w:cstheme="minorHAnsi"/>
          <w:bCs/>
          <w:sz w:val="22"/>
          <w:szCs w:val="22"/>
        </w:rPr>
        <w:t xml:space="preserve"> 2018 </w:t>
      </w:r>
      <w:r w:rsidRPr="002C10EB">
        <w:rPr>
          <w:rFonts w:asciiTheme="minorHAnsi" w:hAnsiTheme="minorHAnsi" w:cstheme="minorHAnsi"/>
          <w:bCs/>
          <w:sz w:val="22"/>
          <w:szCs w:val="22"/>
        </w:rPr>
        <w:t xml:space="preserve">m. spalio 10 d., t. y. iki vienašališko </w:t>
      </w:r>
      <w:r w:rsidR="00BF3A58">
        <w:rPr>
          <w:rFonts w:asciiTheme="minorHAnsi" w:hAnsiTheme="minorHAnsi" w:cstheme="minorHAnsi"/>
          <w:bCs/>
          <w:sz w:val="22"/>
          <w:szCs w:val="22"/>
        </w:rPr>
        <w:t>s</w:t>
      </w:r>
      <w:r w:rsidRPr="002C10EB">
        <w:rPr>
          <w:rFonts w:asciiTheme="minorHAnsi" w:hAnsiTheme="minorHAnsi" w:cstheme="minorHAnsi"/>
          <w:bCs/>
          <w:sz w:val="22"/>
          <w:szCs w:val="22"/>
        </w:rPr>
        <w:t>utarties nutraukimo.</w:t>
      </w:r>
    </w:p>
    <w:p w14:paraId="6A825173" w14:textId="77777777" w:rsidR="002C10EB" w:rsidRPr="002C10EB" w:rsidRDefault="002C10EB" w:rsidP="002C10EB">
      <w:pPr>
        <w:ind w:firstLine="567"/>
        <w:jc w:val="both"/>
        <w:rPr>
          <w:rFonts w:asciiTheme="minorHAnsi" w:hAnsiTheme="minorHAnsi" w:cstheme="minorHAnsi"/>
          <w:bCs/>
          <w:sz w:val="22"/>
          <w:szCs w:val="22"/>
        </w:rPr>
      </w:pPr>
      <w:r w:rsidRPr="00A826F4">
        <w:rPr>
          <w:rFonts w:asciiTheme="minorHAnsi" w:hAnsiTheme="minorHAnsi" w:cstheme="minorHAnsi"/>
          <w:bCs/>
          <w:sz w:val="22"/>
          <w:szCs w:val="22"/>
          <w:u w:val="single"/>
        </w:rPr>
        <w:t xml:space="preserve">Teisėjų kolegija, įvertinusi teisinių santykių, iš kurių kilo ginčas, prigimtį (viešųjų paslaugų teikimo administravimas) ir juos reglamentuojančias teisės normas, aplinkybę, kad pareiškėjas skundą padavė remdamasis būtent </w:t>
      </w:r>
      <w:r w:rsidR="00BF3A58" w:rsidRPr="00A826F4">
        <w:rPr>
          <w:rFonts w:asciiTheme="minorHAnsi" w:hAnsiTheme="minorHAnsi" w:cstheme="minorHAnsi"/>
          <w:bCs/>
          <w:sz w:val="22"/>
          <w:szCs w:val="22"/>
          <w:u w:val="single"/>
        </w:rPr>
        <w:t>CK</w:t>
      </w:r>
      <w:r w:rsidRPr="00A826F4">
        <w:rPr>
          <w:rFonts w:asciiTheme="minorHAnsi" w:hAnsiTheme="minorHAnsi" w:cstheme="minorHAnsi"/>
          <w:bCs/>
          <w:sz w:val="22"/>
          <w:szCs w:val="22"/>
          <w:u w:val="single"/>
        </w:rPr>
        <w:t xml:space="preserve"> 6.271 straipsnyje įtvirtintu žalos, atsiradusios dėl viešojo administravimo subjektų neteisėtų veiksmų, atlyginimo institutu, taip pat </w:t>
      </w:r>
      <w:r w:rsidR="00BF3A58" w:rsidRPr="00A826F4">
        <w:rPr>
          <w:rFonts w:asciiTheme="minorHAnsi" w:hAnsiTheme="minorHAnsi" w:cstheme="minorHAnsi"/>
          <w:bCs/>
          <w:sz w:val="22"/>
          <w:szCs w:val="22"/>
          <w:u w:val="single"/>
        </w:rPr>
        <w:t>LVAT</w:t>
      </w:r>
      <w:r w:rsidRPr="00A826F4">
        <w:rPr>
          <w:rFonts w:asciiTheme="minorHAnsi" w:hAnsiTheme="minorHAnsi" w:cstheme="minorHAnsi"/>
          <w:bCs/>
          <w:sz w:val="22"/>
          <w:szCs w:val="22"/>
          <w:u w:val="single"/>
        </w:rPr>
        <w:t xml:space="preserve"> praktiką, kurioje ne kartą akcentuota savivaldybės pareiga finansuoti socialinę globą ir su socialinės globos įstaiga sudaryti tokio finansavimo sutartį</w:t>
      </w:r>
      <w:r w:rsidRPr="002C10EB">
        <w:rPr>
          <w:rFonts w:asciiTheme="minorHAnsi" w:hAnsiTheme="minorHAnsi" w:cstheme="minorHAnsi"/>
          <w:bCs/>
          <w:sz w:val="22"/>
          <w:szCs w:val="22"/>
        </w:rPr>
        <w:t xml:space="preserve"> (žr., pvz., 2012 m. balandžio 27 d. nutartį administracinėje byloje Nr. A</w:t>
      </w:r>
      <w:r w:rsidRPr="002C10EB">
        <w:rPr>
          <w:rFonts w:asciiTheme="minorHAnsi" w:hAnsiTheme="minorHAnsi" w:cstheme="minorHAnsi"/>
          <w:bCs/>
          <w:sz w:val="22"/>
          <w:szCs w:val="22"/>
          <w:vertAlign w:val="superscript"/>
        </w:rPr>
        <w:t>602</w:t>
      </w:r>
      <w:r w:rsidRPr="002C10EB">
        <w:rPr>
          <w:rFonts w:asciiTheme="minorHAnsi" w:hAnsiTheme="minorHAnsi" w:cstheme="minorHAnsi"/>
          <w:bCs/>
          <w:sz w:val="22"/>
          <w:szCs w:val="22"/>
        </w:rPr>
        <w:t xml:space="preserve">-2111/2012, 2015 m. gruodžio 21 d. nutartį administracinėje byloje Nr. A-2287-602/2015), </w:t>
      </w:r>
      <w:r w:rsidRPr="00A826F4">
        <w:rPr>
          <w:rFonts w:asciiTheme="minorHAnsi" w:hAnsiTheme="minorHAnsi" w:cstheme="minorHAnsi"/>
          <w:bCs/>
          <w:sz w:val="22"/>
          <w:szCs w:val="22"/>
          <w:u w:val="single"/>
        </w:rPr>
        <w:t>nesuti</w:t>
      </w:r>
      <w:r w:rsidR="00BF3A58" w:rsidRPr="00A826F4">
        <w:rPr>
          <w:rFonts w:asciiTheme="minorHAnsi" w:hAnsiTheme="minorHAnsi" w:cstheme="minorHAnsi"/>
          <w:bCs/>
          <w:sz w:val="22"/>
          <w:szCs w:val="22"/>
          <w:u w:val="single"/>
        </w:rPr>
        <w:t xml:space="preserve">ko </w:t>
      </w:r>
      <w:r w:rsidRPr="00A826F4">
        <w:rPr>
          <w:rFonts w:asciiTheme="minorHAnsi" w:hAnsiTheme="minorHAnsi" w:cstheme="minorHAnsi"/>
          <w:bCs/>
          <w:sz w:val="22"/>
          <w:szCs w:val="22"/>
          <w:u w:val="single"/>
        </w:rPr>
        <w:t>su pirmosios instancijos teismo išvada, jog byloje reiškiami reikalavimai yra civilinio teisinio pobūdžio</w:t>
      </w:r>
      <w:r w:rsidRPr="002C10EB">
        <w:rPr>
          <w:rFonts w:asciiTheme="minorHAnsi" w:hAnsiTheme="minorHAnsi" w:cstheme="minorHAnsi"/>
          <w:bCs/>
          <w:sz w:val="22"/>
          <w:szCs w:val="22"/>
        </w:rPr>
        <w:t xml:space="preserve">. Teisėjų kolegija </w:t>
      </w:r>
      <w:r w:rsidR="00BF3A58">
        <w:rPr>
          <w:rFonts w:asciiTheme="minorHAnsi" w:hAnsiTheme="minorHAnsi" w:cstheme="minorHAnsi"/>
          <w:bCs/>
          <w:sz w:val="22"/>
          <w:szCs w:val="22"/>
        </w:rPr>
        <w:t>vertino</w:t>
      </w:r>
      <w:r w:rsidRPr="002C10EB">
        <w:rPr>
          <w:rFonts w:asciiTheme="minorHAnsi" w:hAnsiTheme="minorHAnsi" w:cstheme="minorHAnsi"/>
          <w:bCs/>
          <w:sz w:val="22"/>
          <w:szCs w:val="22"/>
        </w:rPr>
        <w:t>, kad kilęs ginčas patenka į viešojo administravimo sritį, todėl yra nagrinėtinas administraciniame teisme (ABTĮ 3 str. 1 d.).</w:t>
      </w:r>
    </w:p>
    <w:p w14:paraId="247B9F51" w14:textId="77777777" w:rsidR="00A46B66" w:rsidRPr="000664DB" w:rsidRDefault="00A46B66" w:rsidP="00025BA1">
      <w:pPr>
        <w:ind w:firstLine="567"/>
        <w:jc w:val="both"/>
        <w:rPr>
          <w:rFonts w:asciiTheme="minorHAnsi" w:hAnsiTheme="minorHAnsi" w:cstheme="minorHAnsi"/>
          <w:bCs/>
          <w:sz w:val="22"/>
          <w:szCs w:val="22"/>
        </w:rPr>
      </w:pPr>
    </w:p>
    <w:p w14:paraId="359BA78A" w14:textId="77777777" w:rsidR="002D65CE" w:rsidRPr="000664DB" w:rsidRDefault="002D65CE" w:rsidP="00025BA1">
      <w:pPr>
        <w:tabs>
          <w:tab w:val="left" w:pos="142"/>
        </w:tabs>
        <w:jc w:val="both"/>
        <w:rPr>
          <w:rFonts w:asciiTheme="minorHAnsi" w:hAnsiTheme="minorHAnsi" w:cstheme="minorHAnsi"/>
          <w:bCs/>
          <w:sz w:val="22"/>
          <w:szCs w:val="22"/>
        </w:rPr>
      </w:pPr>
      <w:r w:rsidRPr="00EC0D17">
        <w:rPr>
          <w:rFonts w:asciiTheme="minorHAnsi" w:hAnsiTheme="minorHAnsi" w:cstheme="minorHAnsi"/>
          <w:bCs/>
          <w:sz w:val="22"/>
          <w:szCs w:val="22"/>
        </w:rPr>
        <w:t xml:space="preserve">2019 m. </w:t>
      </w:r>
      <w:r w:rsidR="002C10EB">
        <w:rPr>
          <w:rFonts w:asciiTheme="minorHAnsi" w:hAnsiTheme="minorHAnsi" w:cstheme="minorHAnsi"/>
          <w:sz w:val="22"/>
          <w:szCs w:val="22"/>
        </w:rPr>
        <w:t>kovo 27</w:t>
      </w:r>
      <w:r w:rsidRPr="00EC0D17">
        <w:rPr>
          <w:rFonts w:asciiTheme="minorHAnsi" w:hAnsiTheme="minorHAnsi" w:cstheme="minorHAnsi"/>
          <w:sz w:val="22"/>
          <w:szCs w:val="22"/>
        </w:rPr>
        <w:t xml:space="preserve"> </w:t>
      </w:r>
      <w:r w:rsidRPr="00EC0D17">
        <w:rPr>
          <w:rFonts w:asciiTheme="minorHAnsi" w:hAnsiTheme="minorHAnsi" w:cstheme="minorHAnsi"/>
          <w:bCs/>
          <w:sz w:val="22"/>
          <w:szCs w:val="22"/>
        </w:rPr>
        <w:t xml:space="preserve">d. nutartis administracinėje byloje </w:t>
      </w:r>
      <w:r w:rsidR="002C10EB" w:rsidRPr="002C10EB">
        <w:rPr>
          <w:rFonts w:asciiTheme="minorHAnsi" w:hAnsiTheme="minorHAnsi" w:cstheme="minorHAnsi"/>
          <w:bCs/>
          <w:sz w:val="22"/>
          <w:szCs w:val="22"/>
        </w:rPr>
        <w:t>Nr. eAS-234-629/2019</w:t>
      </w:r>
    </w:p>
    <w:p w14:paraId="2F772D0E" w14:textId="77777777" w:rsidR="002D65CE" w:rsidRPr="00EC0D17" w:rsidRDefault="002D65CE" w:rsidP="00025BA1">
      <w:pPr>
        <w:tabs>
          <w:tab w:val="left" w:pos="142"/>
        </w:tabs>
        <w:jc w:val="both"/>
        <w:rPr>
          <w:rFonts w:asciiTheme="minorHAnsi" w:hAnsiTheme="minorHAnsi" w:cstheme="minorHAnsi"/>
          <w:sz w:val="22"/>
          <w:szCs w:val="22"/>
        </w:rPr>
      </w:pPr>
      <w:r w:rsidRPr="00EC0D17">
        <w:rPr>
          <w:rFonts w:asciiTheme="minorHAnsi" w:hAnsiTheme="minorHAnsi" w:cstheme="minorHAnsi"/>
          <w:sz w:val="22"/>
          <w:szCs w:val="22"/>
        </w:rPr>
        <w:t xml:space="preserve">Teisminio proceso </w:t>
      </w:r>
      <w:r w:rsidR="002C10EB" w:rsidRPr="002C10EB">
        <w:rPr>
          <w:rFonts w:asciiTheme="minorHAnsi" w:hAnsiTheme="minorHAnsi" w:cstheme="minorHAnsi"/>
          <w:sz w:val="22"/>
          <w:szCs w:val="22"/>
        </w:rPr>
        <w:t>Nr. 3-61-3-00484-2019-1</w:t>
      </w:r>
    </w:p>
    <w:p w14:paraId="0A083659" w14:textId="77777777" w:rsidR="002D65CE" w:rsidRPr="00EC0D17" w:rsidRDefault="002D65CE" w:rsidP="00025BA1">
      <w:pPr>
        <w:tabs>
          <w:tab w:val="left" w:pos="142"/>
        </w:tabs>
        <w:jc w:val="both"/>
        <w:rPr>
          <w:rFonts w:asciiTheme="minorHAnsi" w:hAnsiTheme="minorHAnsi" w:cstheme="minorHAnsi"/>
          <w:bCs/>
          <w:sz w:val="22"/>
          <w:szCs w:val="22"/>
        </w:rPr>
      </w:pPr>
      <w:r w:rsidRPr="00EC0D17">
        <w:rPr>
          <w:rFonts w:asciiTheme="minorHAnsi" w:hAnsiTheme="minorHAnsi" w:cstheme="minorHAnsi"/>
          <w:bCs/>
          <w:sz w:val="22"/>
          <w:szCs w:val="22"/>
        </w:rPr>
        <w:t xml:space="preserve">Procesinio sprendimo kategorija </w:t>
      </w:r>
      <w:r w:rsidR="002C10EB" w:rsidRPr="002C10EB">
        <w:rPr>
          <w:rFonts w:asciiTheme="minorHAnsi" w:hAnsiTheme="minorHAnsi" w:cstheme="minorHAnsi"/>
          <w:bCs/>
          <w:sz w:val="22"/>
          <w:szCs w:val="22"/>
        </w:rPr>
        <w:t>43.5.1.2</w:t>
      </w:r>
    </w:p>
    <w:p w14:paraId="7819BA03" w14:textId="77777777" w:rsidR="002D65CE" w:rsidRPr="00EC0D17" w:rsidRDefault="00DC0A59" w:rsidP="00025BA1">
      <w:pPr>
        <w:tabs>
          <w:tab w:val="left" w:pos="142"/>
        </w:tabs>
        <w:jc w:val="both"/>
        <w:rPr>
          <w:rFonts w:asciiTheme="minorHAnsi" w:hAnsiTheme="minorHAnsi" w:cstheme="minorHAnsi"/>
          <w:sz w:val="22"/>
          <w:szCs w:val="22"/>
        </w:rPr>
      </w:pPr>
      <w:hyperlink r:id="rId23" w:history="1">
        <w:r w:rsidR="002D65CE" w:rsidRPr="002C10EB">
          <w:rPr>
            <w:rStyle w:val="Hipersaitas"/>
            <w:rFonts w:asciiTheme="minorHAnsi" w:hAnsiTheme="minorHAnsi" w:cstheme="minorHAnsi"/>
            <w:sz w:val="22"/>
            <w:szCs w:val="22"/>
          </w:rPr>
          <w:t>Prieiga internete</w:t>
        </w:r>
      </w:hyperlink>
    </w:p>
    <w:bookmarkEnd w:id="8"/>
    <w:bookmarkEnd w:id="9"/>
    <w:p w14:paraId="32BB9F01" w14:textId="77777777" w:rsidR="000664DB" w:rsidRPr="00B240C0" w:rsidRDefault="000664DB" w:rsidP="00025BA1">
      <w:pPr>
        <w:jc w:val="center"/>
        <w:rPr>
          <w:rFonts w:asciiTheme="minorHAnsi" w:hAnsiTheme="minorHAnsi" w:cstheme="minorHAnsi"/>
          <w:sz w:val="22"/>
          <w:szCs w:val="22"/>
        </w:rPr>
      </w:pPr>
      <w:r w:rsidRPr="00B240C0">
        <w:rPr>
          <w:rFonts w:asciiTheme="minorHAnsi" w:hAnsiTheme="minorHAnsi" w:cstheme="minorHAnsi"/>
          <w:sz w:val="22"/>
          <w:szCs w:val="22"/>
        </w:rPr>
        <w:t>______________</w:t>
      </w:r>
    </w:p>
    <w:p w14:paraId="62CFBB68" w14:textId="77777777" w:rsidR="000664DB" w:rsidRDefault="000664DB" w:rsidP="00025BA1">
      <w:pPr>
        <w:ind w:left="851" w:firstLine="283"/>
        <w:jc w:val="both"/>
        <w:rPr>
          <w:rFonts w:asciiTheme="minorHAnsi" w:hAnsiTheme="minorHAnsi" w:cstheme="minorHAnsi"/>
          <w:b/>
          <w:sz w:val="22"/>
          <w:szCs w:val="22"/>
          <w:u w:val="single"/>
        </w:rPr>
      </w:pPr>
    </w:p>
    <w:sectPr w:rsidR="000664DB" w:rsidSect="00EF63E3">
      <w:headerReference w:type="default" r:id="rId24"/>
      <w:footerReference w:type="even" r:id="rId25"/>
      <w:footerReference w:type="default" r:id="rId26"/>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9A1895" w14:textId="77777777" w:rsidR="00DC0A59" w:rsidRDefault="00DC0A59" w:rsidP="003D4C15">
      <w:r>
        <w:separator/>
      </w:r>
    </w:p>
  </w:endnote>
  <w:endnote w:type="continuationSeparator" w:id="0">
    <w:p w14:paraId="700EE746" w14:textId="77777777" w:rsidR="00DC0A59" w:rsidRDefault="00DC0A59"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730A6" w14:textId="77777777" w:rsidR="00CB00C2" w:rsidRDefault="00CB00C2">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820B33" w14:textId="77777777" w:rsidR="00CB00C2" w:rsidRDefault="00CB00C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72015" w14:textId="77777777" w:rsidR="00CB00C2" w:rsidRPr="00386C1C" w:rsidRDefault="00CB00C2">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18</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19</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FBC352" w14:textId="77777777" w:rsidR="00DC0A59" w:rsidRDefault="00DC0A59" w:rsidP="003D4C15">
      <w:r>
        <w:separator/>
      </w:r>
    </w:p>
  </w:footnote>
  <w:footnote w:type="continuationSeparator" w:id="0">
    <w:p w14:paraId="6BC66196" w14:textId="77777777" w:rsidR="00DC0A59" w:rsidRDefault="00DC0A59" w:rsidP="003D4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CB00C2" w:rsidRPr="000967FF" w14:paraId="1A3B950A" w14:textId="77777777" w:rsidTr="00125BDC">
      <w:tc>
        <w:tcPr>
          <w:tcW w:w="7230" w:type="dxa"/>
        </w:tcPr>
        <w:p w14:paraId="2A61BEB6" w14:textId="77777777" w:rsidR="00CB00C2" w:rsidRPr="0021377E" w:rsidRDefault="00CB00C2"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02DE0391" w14:textId="77777777" w:rsidR="00CB00C2" w:rsidRPr="0021377E" w:rsidRDefault="00CB00C2" w:rsidP="00B14AE2">
          <w:pPr>
            <w:rPr>
              <w:rFonts w:ascii="Calibri" w:hAnsi="Calibri"/>
              <w:color w:val="323E4F" w:themeColor="text2" w:themeShade="BF"/>
              <w:sz w:val="20"/>
              <w:szCs w:val="20"/>
            </w:rPr>
          </w:pPr>
          <w:r>
            <w:rPr>
              <w:rFonts w:ascii="Calibri" w:hAnsi="Calibri"/>
              <w:color w:val="323E4F" w:themeColor="text2" w:themeShade="BF"/>
              <w:sz w:val="20"/>
              <w:szCs w:val="20"/>
            </w:rPr>
            <w:t xml:space="preserve">      2019 03 </w:t>
          </w:r>
          <w:r w:rsidRPr="0021377E">
            <w:rPr>
              <w:rFonts w:ascii="Calibri" w:hAnsi="Calibri"/>
              <w:color w:val="323E4F" w:themeColor="text2" w:themeShade="BF"/>
              <w:sz w:val="20"/>
              <w:szCs w:val="20"/>
            </w:rPr>
            <w:t>01–201</w:t>
          </w:r>
          <w:r>
            <w:rPr>
              <w:rFonts w:ascii="Calibri" w:hAnsi="Calibri"/>
              <w:color w:val="323E4F" w:themeColor="text2" w:themeShade="BF"/>
              <w:sz w:val="20"/>
              <w:szCs w:val="20"/>
            </w:rPr>
            <w:t xml:space="preserve">9 03 31 </w:t>
          </w:r>
        </w:p>
      </w:tc>
    </w:tr>
  </w:tbl>
  <w:p w14:paraId="7AD15F6C" w14:textId="77777777" w:rsidR="00CB00C2" w:rsidRPr="008A0597" w:rsidRDefault="00CB00C2">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singleLevel"/>
    <w:tmpl w:val="0000000A"/>
    <w:lvl w:ilvl="0">
      <w:start w:val="18"/>
      <w:numFmt w:val="decimal"/>
      <w:suff w:val="space"/>
      <w:lvlText w:val="%1."/>
      <w:lvlJc w:val="left"/>
    </w:lvl>
  </w:abstractNum>
  <w:abstractNum w:abstractNumId="1" w15:restartNumberingAfterBreak="0">
    <w:nsid w:val="0000000C"/>
    <w:multiLevelType w:val="singleLevel"/>
    <w:tmpl w:val="613EEF74"/>
    <w:lvl w:ilvl="0">
      <w:start w:val="37"/>
      <w:numFmt w:val="decimal"/>
      <w:suff w:val="space"/>
      <w:lvlText w:val="%1."/>
      <w:lvlJc w:val="left"/>
      <w:pPr>
        <w:ind w:left="0" w:firstLine="0"/>
      </w:pPr>
      <w:rPr>
        <w:rFonts w:hint="default"/>
      </w:rPr>
    </w:lvl>
  </w:abstractNum>
  <w:abstractNum w:abstractNumId="2" w15:restartNumberingAfterBreak="0">
    <w:nsid w:val="000A277F"/>
    <w:multiLevelType w:val="multilevel"/>
    <w:tmpl w:val="6AEE8616"/>
    <w:lvl w:ilvl="0">
      <w:start w:val="1"/>
      <w:numFmt w:val="decimal"/>
      <w:lvlText w:val="%1."/>
      <w:lvlJc w:val="left"/>
      <w:pPr>
        <w:ind w:left="928" w:hanging="360"/>
      </w:pPr>
      <w:rPr>
        <w:b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16E781E"/>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7E34624"/>
    <w:multiLevelType w:val="hybridMultilevel"/>
    <w:tmpl w:val="7D28F59C"/>
    <w:lvl w:ilvl="0" w:tplc="0409000F">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F610B6"/>
    <w:multiLevelType w:val="hybridMultilevel"/>
    <w:tmpl w:val="5F70E49A"/>
    <w:lvl w:ilvl="0" w:tplc="730C2E1A">
      <w:start w:val="1"/>
      <w:numFmt w:val="decimal"/>
      <w:lvlText w:val="%1."/>
      <w:lvlJc w:val="left"/>
      <w:pPr>
        <w:ind w:left="1428" w:hanging="435"/>
      </w:pPr>
      <w:rPr>
        <w:i w:val="0"/>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6" w15:restartNumberingAfterBreak="0">
    <w:nsid w:val="0EB4371A"/>
    <w:multiLevelType w:val="hybridMultilevel"/>
    <w:tmpl w:val="41FAA596"/>
    <w:lvl w:ilvl="0" w:tplc="0C6E25AA">
      <w:start w:val="1"/>
      <w:numFmt w:val="decimal"/>
      <w:lvlText w:val="%1."/>
      <w:lvlJc w:val="left"/>
      <w:pPr>
        <w:ind w:left="3338"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13A1494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FC3E48"/>
    <w:multiLevelType w:val="hybridMultilevel"/>
    <w:tmpl w:val="5666F116"/>
    <w:lvl w:ilvl="0" w:tplc="16D07E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18231920"/>
    <w:multiLevelType w:val="hybridMultilevel"/>
    <w:tmpl w:val="FECA2DA2"/>
    <w:lvl w:ilvl="0" w:tplc="F03A83C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1B024407"/>
    <w:multiLevelType w:val="hybridMultilevel"/>
    <w:tmpl w:val="72DE1BB8"/>
    <w:lvl w:ilvl="0" w:tplc="C2FEFE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1F9E1A1C"/>
    <w:multiLevelType w:val="multilevel"/>
    <w:tmpl w:val="0B0C33F0"/>
    <w:lvl w:ilvl="0">
      <w:start w:val="1"/>
      <w:numFmt w:val="decimal"/>
      <w:lvlText w:val="%1."/>
      <w:lvlJc w:val="left"/>
      <w:pPr>
        <w:ind w:left="1070" w:hanging="360"/>
      </w:pPr>
      <w:rPr>
        <w:b w:val="0"/>
        <w:sz w:val="24"/>
        <w:szCs w:val="24"/>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A8C7B45"/>
    <w:multiLevelType w:val="hybridMultilevel"/>
    <w:tmpl w:val="D4D81B88"/>
    <w:lvl w:ilvl="0" w:tplc="EB3AD84E">
      <w:start w:val="1"/>
      <w:numFmt w:val="lowerRoman"/>
      <w:lvlText w:val="(%1)"/>
      <w:lvlJc w:val="left"/>
      <w:pPr>
        <w:ind w:left="1392" w:hanging="825"/>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3" w15:restartNumberingAfterBreak="0">
    <w:nsid w:val="2C974944"/>
    <w:multiLevelType w:val="multilevel"/>
    <w:tmpl w:val="CBDC464E"/>
    <w:lvl w:ilvl="0">
      <w:start w:val="1"/>
      <w:numFmt w:val="decimal"/>
      <w:lvlText w:val="%1."/>
      <w:lvlJc w:val="left"/>
      <w:pPr>
        <w:ind w:left="1570" w:hanging="435"/>
      </w:pPr>
      <w:rPr>
        <w:rFonts w:hint="default"/>
      </w:rPr>
    </w:lvl>
    <w:lvl w:ilvl="1">
      <w:start w:val="1"/>
      <w:numFmt w:val="decimal"/>
      <w:lvlText w:val="%1.%2."/>
      <w:lvlJc w:val="left"/>
      <w:pPr>
        <w:ind w:left="1245" w:hanging="43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4" w15:restartNumberingAfterBreak="0">
    <w:nsid w:val="2E5F3180"/>
    <w:multiLevelType w:val="hybridMultilevel"/>
    <w:tmpl w:val="3886FBC6"/>
    <w:lvl w:ilvl="0" w:tplc="7C540972">
      <w:start w:val="1"/>
      <w:numFmt w:val="decimal"/>
      <w:lvlText w:val="%1."/>
      <w:lvlJc w:val="left"/>
      <w:pPr>
        <w:ind w:left="1211" w:hanging="360"/>
      </w:pPr>
      <w:rPr>
        <w:rFonts w:ascii="Times New Roman" w:hAnsi="Times New Roman" w:cs="Times New Roman" w:hint="default"/>
        <w:color w:val="000000"/>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6D07F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C8F6AD5"/>
    <w:multiLevelType w:val="multilevel"/>
    <w:tmpl w:val="39CCC646"/>
    <w:lvl w:ilvl="0">
      <w:start w:val="1"/>
      <w:numFmt w:val="decimal"/>
      <w:lvlText w:val="%1."/>
      <w:lvlJc w:val="left"/>
      <w:pPr>
        <w:ind w:left="360" w:hanging="360"/>
      </w:pPr>
    </w:lvl>
    <w:lvl w:ilvl="1">
      <w:start w:val="1"/>
      <w:numFmt w:val="decimal"/>
      <w:isLgl/>
      <w:lvlText w:val="%1.%2."/>
      <w:lvlJc w:val="left"/>
      <w:pPr>
        <w:ind w:left="4045"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17" w15:restartNumberingAfterBreak="0">
    <w:nsid w:val="402468C9"/>
    <w:multiLevelType w:val="hybridMultilevel"/>
    <w:tmpl w:val="7B26C020"/>
    <w:lvl w:ilvl="0" w:tplc="022C9E5A">
      <w:start w:val="1"/>
      <w:numFmt w:val="decimal"/>
      <w:lvlText w:val="%1."/>
      <w:lvlJc w:val="left"/>
      <w:pPr>
        <w:ind w:left="107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0426C00"/>
    <w:multiLevelType w:val="multilevel"/>
    <w:tmpl w:val="AA889FDE"/>
    <w:lvl w:ilvl="0">
      <w:start w:val="1"/>
      <w:numFmt w:val="decimal"/>
      <w:lvlText w:val="%1."/>
      <w:lvlJc w:val="left"/>
      <w:pPr>
        <w:ind w:left="1440" w:hanging="360"/>
      </w:pPr>
      <w:rPr>
        <w:color w:val="auto"/>
      </w:rPr>
    </w:lvl>
    <w:lvl w:ilvl="1">
      <w:start w:val="1"/>
      <w:numFmt w:val="decimal"/>
      <w:isLgl/>
      <w:lvlText w:val="%1.%2."/>
      <w:lvlJc w:val="left"/>
      <w:pPr>
        <w:ind w:left="1560" w:hanging="480"/>
      </w:p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19" w15:restartNumberingAfterBreak="0">
    <w:nsid w:val="48EE188B"/>
    <w:multiLevelType w:val="hybridMultilevel"/>
    <w:tmpl w:val="4B903B20"/>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0" w15:restartNumberingAfterBreak="0">
    <w:nsid w:val="4CD7134D"/>
    <w:multiLevelType w:val="hybridMultilevel"/>
    <w:tmpl w:val="2FB46ACA"/>
    <w:lvl w:ilvl="0" w:tplc="D2BE4C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E332FF5"/>
    <w:multiLevelType w:val="hybridMultilevel"/>
    <w:tmpl w:val="705A9608"/>
    <w:lvl w:ilvl="0" w:tplc="515456B2">
      <w:start w:val="1"/>
      <w:numFmt w:val="decimal"/>
      <w:lvlText w:val="%1."/>
      <w:lvlJc w:val="left"/>
      <w:pPr>
        <w:ind w:left="1069" w:hanging="360"/>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22" w15:restartNumberingAfterBreak="0">
    <w:nsid w:val="4EBB13C1"/>
    <w:multiLevelType w:val="hybridMultilevel"/>
    <w:tmpl w:val="04C44C02"/>
    <w:lvl w:ilvl="0" w:tplc="4EDEE964">
      <w:start w:val="1"/>
      <w:numFmt w:val="decimal"/>
      <w:lvlText w:val="%1."/>
      <w:lvlJc w:val="left"/>
      <w:pPr>
        <w:ind w:left="1070" w:hanging="360"/>
      </w:pPr>
      <w:rPr>
        <w:sz w:val="24"/>
        <w:szCs w:val="24"/>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3" w15:restartNumberingAfterBreak="0">
    <w:nsid w:val="52026ACC"/>
    <w:multiLevelType w:val="hybridMultilevel"/>
    <w:tmpl w:val="F0BC1256"/>
    <w:lvl w:ilvl="0" w:tplc="C3C01E66">
      <w:start w:val="1"/>
      <w:numFmt w:val="decimal"/>
      <w:lvlText w:val="%1."/>
      <w:lvlJc w:val="left"/>
      <w:pPr>
        <w:ind w:left="1070" w:hanging="360"/>
      </w:pPr>
      <w:rPr>
        <w:rFonts w:ascii="Times New Roman" w:eastAsia="Times New Roman" w:hAnsi="Times New Roman" w:cs="Times New Roman"/>
        <w:i w:val="0"/>
      </w:rPr>
    </w:lvl>
    <w:lvl w:ilvl="1" w:tplc="04270019">
      <w:start w:val="1"/>
      <w:numFmt w:val="lowerLetter"/>
      <w:lvlText w:val="%2."/>
      <w:lvlJc w:val="left"/>
      <w:pPr>
        <w:ind w:left="1817" w:hanging="360"/>
      </w:pPr>
    </w:lvl>
    <w:lvl w:ilvl="2" w:tplc="0427001B">
      <w:start w:val="1"/>
      <w:numFmt w:val="lowerRoman"/>
      <w:lvlText w:val="%3."/>
      <w:lvlJc w:val="right"/>
      <w:pPr>
        <w:ind w:left="2537" w:hanging="180"/>
      </w:pPr>
    </w:lvl>
    <w:lvl w:ilvl="3" w:tplc="0427000F">
      <w:start w:val="1"/>
      <w:numFmt w:val="decimal"/>
      <w:lvlText w:val="%4."/>
      <w:lvlJc w:val="left"/>
      <w:pPr>
        <w:ind w:left="3257" w:hanging="360"/>
      </w:pPr>
    </w:lvl>
    <w:lvl w:ilvl="4" w:tplc="04270019">
      <w:start w:val="1"/>
      <w:numFmt w:val="lowerLetter"/>
      <w:lvlText w:val="%5."/>
      <w:lvlJc w:val="left"/>
      <w:pPr>
        <w:ind w:left="3977" w:hanging="360"/>
      </w:pPr>
    </w:lvl>
    <w:lvl w:ilvl="5" w:tplc="0427001B">
      <w:start w:val="1"/>
      <w:numFmt w:val="lowerRoman"/>
      <w:lvlText w:val="%6."/>
      <w:lvlJc w:val="right"/>
      <w:pPr>
        <w:ind w:left="4697" w:hanging="180"/>
      </w:pPr>
    </w:lvl>
    <w:lvl w:ilvl="6" w:tplc="0427000F">
      <w:start w:val="1"/>
      <w:numFmt w:val="decimal"/>
      <w:lvlText w:val="%7."/>
      <w:lvlJc w:val="left"/>
      <w:pPr>
        <w:ind w:left="5417" w:hanging="360"/>
      </w:pPr>
    </w:lvl>
    <w:lvl w:ilvl="7" w:tplc="04270019">
      <w:start w:val="1"/>
      <w:numFmt w:val="lowerLetter"/>
      <w:lvlText w:val="%8."/>
      <w:lvlJc w:val="left"/>
      <w:pPr>
        <w:ind w:left="6137" w:hanging="360"/>
      </w:pPr>
    </w:lvl>
    <w:lvl w:ilvl="8" w:tplc="0427001B">
      <w:start w:val="1"/>
      <w:numFmt w:val="lowerRoman"/>
      <w:lvlText w:val="%9."/>
      <w:lvlJc w:val="right"/>
      <w:pPr>
        <w:ind w:left="6857" w:hanging="180"/>
      </w:pPr>
    </w:lvl>
  </w:abstractNum>
  <w:abstractNum w:abstractNumId="24" w15:restartNumberingAfterBreak="0">
    <w:nsid w:val="57EC476E"/>
    <w:multiLevelType w:val="hybridMultilevel"/>
    <w:tmpl w:val="8B965CB0"/>
    <w:lvl w:ilvl="0" w:tplc="CCCC271A">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5" w15:restartNumberingAfterBreak="0">
    <w:nsid w:val="5C197FB9"/>
    <w:multiLevelType w:val="multilevel"/>
    <w:tmpl w:val="5EE04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A55ED6"/>
    <w:multiLevelType w:val="hybridMultilevel"/>
    <w:tmpl w:val="A8EE56C6"/>
    <w:lvl w:ilvl="0" w:tplc="E4148AA6">
      <w:start w:val="20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F23EFA"/>
    <w:multiLevelType w:val="hybridMultilevel"/>
    <w:tmpl w:val="9CE8E3D4"/>
    <w:lvl w:ilvl="0" w:tplc="DE9EF096">
      <w:start w:val="1"/>
      <w:numFmt w:val="decimal"/>
      <w:lvlText w:val="(%1)"/>
      <w:lvlJc w:val="left"/>
      <w:pPr>
        <w:ind w:left="360" w:hanging="360"/>
      </w:pPr>
      <w:rPr>
        <w:i w:val="0"/>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28" w15:restartNumberingAfterBreak="0">
    <w:nsid w:val="609758DA"/>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487683C"/>
    <w:multiLevelType w:val="multilevel"/>
    <w:tmpl w:val="601C6C26"/>
    <w:lvl w:ilvl="0">
      <w:start w:val="1"/>
      <w:numFmt w:val="decimal"/>
      <w:lvlText w:val="%1."/>
      <w:lvlJc w:val="left"/>
      <w:pPr>
        <w:ind w:left="6173" w:hanging="360"/>
      </w:pPr>
      <w:rPr>
        <w:b w:val="0"/>
        <w:bCs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4D635AE"/>
    <w:multiLevelType w:val="hybridMultilevel"/>
    <w:tmpl w:val="59765BC8"/>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1" w15:restartNumberingAfterBreak="0">
    <w:nsid w:val="69EC574E"/>
    <w:multiLevelType w:val="hybridMultilevel"/>
    <w:tmpl w:val="5AD4EF94"/>
    <w:lvl w:ilvl="0" w:tplc="B8F081BA">
      <w:start w:val="33"/>
      <w:numFmt w:val="bullet"/>
      <w:lvlText w:val="-"/>
      <w:lvlJc w:val="left"/>
      <w:pPr>
        <w:ind w:left="720" w:hanging="360"/>
      </w:pPr>
      <w:rPr>
        <w:rFonts w:ascii="Calibri" w:eastAsia="Times New Roman"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6C553D26"/>
    <w:multiLevelType w:val="hybridMultilevel"/>
    <w:tmpl w:val="A0F0C346"/>
    <w:lvl w:ilvl="0" w:tplc="F2E4E05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E1E3FD4"/>
    <w:multiLevelType w:val="hybridMultilevel"/>
    <w:tmpl w:val="9FBEE0B4"/>
    <w:lvl w:ilvl="0" w:tplc="0427000F">
      <w:start w:val="1"/>
      <w:numFmt w:val="decimal"/>
      <w:lvlText w:val="%1."/>
      <w:lvlJc w:val="left"/>
      <w:pPr>
        <w:ind w:left="1353" w:hanging="360"/>
      </w:p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34"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5" w15:restartNumberingAfterBreak="0">
    <w:nsid w:val="712C7875"/>
    <w:multiLevelType w:val="hybridMultilevel"/>
    <w:tmpl w:val="7FFEB89E"/>
    <w:lvl w:ilvl="0" w:tplc="9B1CEB54">
      <w:start w:val="2012"/>
      <w:numFmt w:val="decimal"/>
      <w:lvlText w:val="(%1"/>
      <w:lvlJc w:val="left"/>
      <w:pPr>
        <w:ind w:left="915" w:hanging="55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1312CF9"/>
    <w:multiLevelType w:val="hybridMultilevel"/>
    <w:tmpl w:val="78EEBA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778614C5"/>
    <w:multiLevelType w:val="hybridMultilevel"/>
    <w:tmpl w:val="EE62B50E"/>
    <w:lvl w:ilvl="0" w:tplc="1C6815C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7BFD78C4"/>
    <w:multiLevelType w:val="hybridMultilevel"/>
    <w:tmpl w:val="5114C95A"/>
    <w:lvl w:ilvl="0" w:tplc="3356EBCA">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A03DC8"/>
    <w:multiLevelType w:val="hybridMultilevel"/>
    <w:tmpl w:val="BBBCB71C"/>
    <w:lvl w:ilvl="0" w:tplc="7B329A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37"/>
  </w:num>
  <w:num w:numId="2">
    <w:abstractNumId w:val="35"/>
  </w:num>
  <w:num w:numId="3">
    <w:abstractNumId w:val="39"/>
  </w:num>
  <w:num w:numId="4">
    <w:abstractNumId w:val="32"/>
  </w:num>
  <w:num w:numId="5">
    <w:abstractNumId w:val="24"/>
  </w:num>
  <w:num w:numId="6">
    <w:abstractNumId w:val="10"/>
  </w:num>
  <w:num w:numId="7">
    <w:abstractNumId w:val="3"/>
  </w:num>
  <w:num w:numId="8">
    <w:abstractNumId w:val="28"/>
  </w:num>
  <w:num w:numId="9">
    <w:abstractNumId w:val="26"/>
  </w:num>
  <w:num w:numId="10">
    <w:abstractNumId w:val="25"/>
  </w:num>
  <w:num w:numId="11">
    <w:abstractNumId w:val="13"/>
  </w:num>
  <w:num w:numId="12">
    <w:abstractNumId w:val="9"/>
  </w:num>
  <w:num w:numId="13">
    <w:abstractNumId w:val="14"/>
  </w:num>
  <w:num w:numId="14">
    <w:abstractNumId w:val="0"/>
  </w:num>
  <w:num w:numId="15">
    <w:abstractNumId w:val="1"/>
  </w:num>
  <w:num w:numId="16">
    <w:abstractNumId w:val="31"/>
  </w:num>
  <w:num w:numId="17">
    <w:abstractNumId w:val="12"/>
  </w:num>
  <w:num w:numId="18">
    <w:abstractNumId w:val="20"/>
  </w:num>
  <w:num w:numId="19">
    <w:abstractNumId w:val="15"/>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8"/>
  </w:num>
  <w:num w:numId="24">
    <w:abstractNumId w:val="3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30"/>
  </w:num>
  <w:num w:numId="29">
    <w:abstractNumId w:val="7"/>
  </w:num>
  <w:num w:numId="30">
    <w:abstractNumId w:val="18"/>
  </w:num>
  <w:num w:numId="31">
    <w:abstractNumId w:val="23"/>
  </w:num>
  <w:num w:numId="32">
    <w:abstractNumId w:val="21"/>
  </w:num>
  <w:num w:numId="33">
    <w:abstractNumId w:val="33"/>
  </w:num>
  <w:num w:numId="34">
    <w:abstractNumId w:val="29"/>
  </w:num>
  <w:num w:numId="35">
    <w:abstractNumId w:val="17"/>
  </w:num>
  <w:num w:numId="36">
    <w:abstractNumId w:val="22"/>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6"/>
  </w:num>
  <w:num w:numId="42">
    <w:abstractNumId w:val="34"/>
    <w:lvlOverride w:ilvl="0">
      <w:lvl w:ilvl="0">
        <w:start w:val="1"/>
        <w:numFmt w:val="decimal"/>
        <w:lvlText w:val="%1."/>
        <w:lvlJc w:val="left"/>
        <w:pPr>
          <w:ind w:left="928" w:hanging="360"/>
        </w:pPr>
        <w:rPr>
          <w:i w:val="0"/>
          <w:color w:val="auto"/>
          <w:sz w:val="24"/>
          <w:szCs w:val="24"/>
        </w:rPr>
      </w:lvl>
    </w:lvlOverride>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F07"/>
    <w:rsid w:val="00002966"/>
    <w:rsid w:val="00002CB5"/>
    <w:rsid w:val="00002F90"/>
    <w:rsid w:val="000046DE"/>
    <w:rsid w:val="00005391"/>
    <w:rsid w:val="00005A36"/>
    <w:rsid w:val="000064C2"/>
    <w:rsid w:val="000075AF"/>
    <w:rsid w:val="00007A79"/>
    <w:rsid w:val="00007AE0"/>
    <w:rsid w:val="00010516"/>
    <w:rsid w:val="0001338B"/>
    <w:rsid w:val="00013D25"/>
    <w:rsid w:val="00014130"/>
    <w:rsid w:val="00014148"/>
    <w:rsid w:val="00014C00"/>
    <w:rsid w:val="0001541F"/>
    <w:rsid w:val="00016443"/>
    <w:rsid w:val="00017230"/>
    <w:rsid w:val="0001760A"/>
    <w:rsid w:val="00017C67"/>
    <w:rsid w:val="00017F45"/>
    <w:rsid w:val="00020BE8"/>
    <w:rsid w:val="00021869"/>
    <w:rsid w:val="00023114"/>
    <w:rsid w:val="000232BE"/>
    <w:rsid w:val="000238BA"/>
    <w:rsid w:val="00024FF5"/>
    <w:rsid w:val="00025504"/>
    <w:rsid w:val="000256A0"/>
    <w:rsid w:val="00025BA1"/>
    <w:rsid w:val="000262CF"/>
    <w:rsid w:val="00027DF8"/>
    <w:rsid w:val="00030179"/>
    <w:rsid w:val="00030614"/>
    <w:rsid w:val="00031F67"/>
    <w:rsid w:val="00033126"/>
    <w:rsid w:val="00033C55"/>
    <w:rsid w:val="00034291"/>
    <w:rsid w:val="00035916"/>
    <w:rsid w:val="00035BB7"/>
    <w:rsid w:val="00035E28"/>
    <w:rsid w:val="000361AE"/>
    <w:rsid w:val="00037D5F"/>
    <w:rsid w:val="0004324F"/>
    <w:rsid w:val="00043CD9"/>
    <w:rsid w:val="00043FA6"/>
    <w:rsid w:val="000446AC"/>
    <w:rsid w:val="00044F1B"/>
    <w:rsid w:val="000458C0"/>
    <w:rsid w:val="00045C20"/>
    <w:rsid w:val="00046189"/>
    <w:rsid w:val="00046E01"/>
    <w:rsid w:val="00047043"/>
    <w:rsid w:val="00047F10"/>
    <w:rsid w:val="00050321"/>
    <w:rsid w:val="00050891"/>
    <w:rsid w:val="00050B91"/>
    <w:rsid w:val="00050CE1"/>
    <w:rsid w:val="00051F4C"/>
    <w:rsid w:val="00051FCA"/>
    <w:rsid w:val="00052995"/>
    <w:rsid w:val="00052FC4"/>
    <w:rsid w:val="000532AC"/>
    <w:rsid w:val="000545FE"/>
    <w:rsid w:val="000546B9"/>
    <w:rsid w:val="000546D1"/>
    <w:rsid w:val="0005480A"/>
    <w:rsid w:val="0005601D"/>
    <w:rsid w:val="000608A3"/>
    <w:rsid w:val="000611FF"/>
    <w:rsid w:val="0006157E"/>
    <w:rsid w:val="0006163D"/>
    <w:rsid w:val="0006177A"/>
    <w:rsid w:val="00061B35"/>
    <w:rsid w:val="00061D97"/>
    <w:rsid w:val="000641D7"/>
    <w:rsid w:val="00064654"/>
    <w:rsid w:val="00064CB1"/>
    <w:rsid w:val="000650DE"/>
    <w:rsid w:val="000660B9"/>
    <w:rsid w:val="000664DB"/>
    <w:rsid w:val="00066917"/>
    <w:rsid w:val="00066F18"/>
    <w:rsid w:val="0006729D"/>
    <w:rsid w:val="0006745F"/>
    <w:rsid w:val="000674B2"/>
    <w:rsid w:val="0006759B"/>
    <w:rsid w:val="00067FB8"/>
    <w:rsid w:val="0007050C"/>
    <w:rsid w:val="00070B4D"/>
    <w:rsid w:val="00070F1E"/>
    <w:rsid w:val="000738BB"/>
    <w:rsid w:val="00073B21"/>
    <w:rsid w:val="00073F44"/>
    <w:rsid w:val="000744E9"/>
    <w:rsid w:val="00074E76"/>
    <w:rsid w:val="00075247"/>
    <w:rsid w:val="000752AE"/>
    <w:rsid w:val="0007560C"/>
    <w:rsid w:val="00075877"/>
    <w:rsid w:val="000763FB"/>
    <w:rsid w:val="00076920"/>
    <w:rsid w:val="00076972"/>
    <w:rsid w:val="00076BBD"/>
    <w:rsid w:val="00076D36"/>
    <w:rsid w:val="0007786B"/>
    <w:rsid w:val="000779F9"/>
    <w:rsid w:val="00080C5A"/>
    <w:rsid w:val="00081734"/>
    <w:rsid w:val="00082913"/>
    <w:rsid w:val="00082A2D"/>
    <w:rsid w:val="0008302F"/>
    <w:rsid w:val="00084172"/>
    <w:rsid w:val="00084D99"/>
    <w:rsid w:val="000853D2"/>
    <w:rsid w:val="0008597D"/>
    <w:rsid w:val="00085E0F"/>
    <w:rsid w:val="00086F37"/>
    <w:rsid w:val="00087F0A"/>
    <w:rsid w:val="000903B8"/>
    <w:rsid w:val="000904B8"/>
    <w:rsid w:val="00091B33"/>
    <w:rsid w:val="00091EE2"/>
    <w:rsid w:val="00092976"/>
    <w:rsid w:val="00092E83"/>
    <w:rsid w:val="000977FE"/>
    <w:rsid w:val="000A1143"/>
    <w:rsid w:val="000A2ACD"/>
    <w:rsid w:val="000A3A7B"/>
    <w:rsid w:val="000A48C7"/>
    <w:rsid w:val="000A533A"/>
    <w:rsid w:val="000A5DF8"/>
    <w:rsid w:val="000A6981"/>
    <w:rsid w:val="000A7295"/>
    <w:rsid w:val="000A7A94"/>
    <w:rsid w:val="000B0DB3"/>
    <w:rsid w:val="000B0F96"/>
    <w:rsid w:val="000B15D3"/>
    <w:rsid w:val="000B1AF3"/>
    <w:rsid w:val="000B200F"/>
    <w:rsid w:val="000B29D3"/>
    <w:rsid w:val="000B2EF7"/>
    <w:rsid w:val="000B466D"/>
    <w:rsid w:val="000B4BA2"/>
    <w:rsid w:val="000B4F48"/>
    <w:rsid w:val="000B53F8"/>
    <w:rsid w:val="000B6099"/>
    <w:rsid w:val="000B630C"/>
    <w:rsid w:val="000B6917"/>
    <w:rsid w:val="000B7172"/>
    <w:rsid w:val="000B7B87"/>
    <w:rsid w:val="000C0EFB"/>
    <w:rsid w:val="000C0FC4"/>
    <w:rsid w:val="000C3304"/>
    <w:rsid w:val="000C3364"/>
    <w:rsid w:val="000C338C"/>
    <w:rsid w:val="000C45A4"/>
    <w:rsid w:val="000C45FB"/>
    <w:rsid w:val="000C46F2"/>
    <w:rsid w:val="000C523F"/>
    <w:rsid w:val="000C5D18"/>
    <w:rsid w:val="000C6090"/>
    <w:rsid w:val="000C66E5"/>
    <w:rsid w:val="000C7D39"/>
    <w:rsid w:val="000D0F76"/>
    <w:rsid w:val="000D24DC"/>
    <w:rsid w:val="000D42DA"/>
    <w:rsid w:val="000D607E"/>
    <w:rsid w:val="000D613F"/>
    <w:rsid w:val="000D6259"/>
    <w:rsid w:val="000D641E"/>
    <w:rsid w:val="000D6B6F"/>
    <w:rsid w:val="000D7545"/>
    <w:rsid w:val="000D7B2B"/>
    <w:rsid w:val="000D7E2A"/>
    <w:rsid w:val="000E00E4"/>
    <w:rsid w:val="000E0A69"/>
    <w:rsid w:val="000E1021"/>
    <w:rsid w:val="000E124F"/>
    <w:rsid w:val="000E171C"/>
    <w:rsid w:val="000E1F23"/>
    <w:rsid w:val="000E1FB4"/>
    <w:rsid w:val="000E3BCE"/>
    <w:rsid w:val="000E4080"/>
    <w:rsid w:val="000E43AC"/>
    <w:rsid w:val="000E4B13"/>
    <w:rsid w:val="000E4D96"/>
    <w:rsid w:val="000E52D8"/>
    <w:rsid w:val="000E5B1F"/>
    <w:rsid w:val="000E733A"/>
    <w:rsid w:val="000F0AC2"/>
    <w:rsid w:val="000F0DB2"/>
    <w:rsid w:val="000F10B9"/>
    <w:rsid w:val="000F1C77"/>
    <w:rsid w:val="000F27F0"/>
    <w:rsid w:val="000F32EB"/>
    <w:rsid w:val="000F3F88"/>
    <w:rsid w:val="000F4990"/>
    <w:rsid w:val="000F5D10"/>
    <w:rsid w:val="000F6E87"/>
    <w:rsid w:val="000F7F53"/>
    <w:rsid w:val="001002EB"/>
    <w:rsid w:val="00100755"/>
    <w:rsid w:val="001018C5"/>
    <w:rsid w:val="00101B47"/>
    <w:rsid w:val="00101C1A"/>
    <w:rsid w:val="00101C75"/>
    <w:rsid w:val="001025CD"/>
    <w:rsid w:val="001029F4"/>
    <w:rsid w:val="00102FB6"/>
    <w:rsid w:val="001035B6"/>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143E"/>
    <w:rsid w:val="001224BE"/>
    <w:rsid w:val="00122887"/>
    <w:rsid w:val="001242A9"/>
    <w:rsid w:val="00125287"/>
    <w:rsid w:val="00125BDC"/>
    <w:rsid w:val="00125FC8"/>
    <w:rsid w:val="00126DDF"/>
    <w:rsid w:val="001276F1"/>
    <w:rsid w:val="00127767"/>
    <w:rsid w:val="00127D7A"/>
    <w:rsid w:val="001304C9"/>
    <w:rsid w:val="001305A8"/>
    <w:rsid w:val="001315C0"/>
    <w:rsid w:val="00132328"/>
    <w:rsid w:val="00132B36"/>
    <w:rsid w:val="00132ED5"/>
    <w:rsid w:val="00134825"/>
    <w:rsid w:val="00134881"/>
    <w:rsid w:val="00134F11"/>
    <w:rsid w:val="001364B3"/>
    <w:rsid w:val="00137FBD"/>
    <w:rsid w:val="00140059"/>
    <w:rsid w:val="00141524"/>
    <w:rsid w:val="00141536"/>
    <w:rsid w:val="00141DE3"/>
    <w:rsid w:val="00141E16"/>
    <w:rsid w:val="00141ED3"/>
    <w:rsid w:val="00142479"/>
    <w:rsid w:val="00142B27"/>
    <w:rsid w:val="0014360F"/>
    <w:rsid w:val="00144240"/>
    <w:rsid w:val="001448A8"/>
    <w:rsid w:val="00144C08"/>
    <w:rsid w:val="00144CAC"/>
    <w:rsid w:val="00144EAC"/>
    <w:rsid w:val="001450EC"/>
    <w:rsid w:val="001454BB"/>
    <w:rsid w:val="00145540"/>
    <w:rsid w:val="00145AF2"/>
    <w:rsid w:val="00145BCF"/>
    <w:rsid w:val="001502B3"/>
    <w:rsid w:val="00150B38"/>
    <w:rsid w:val="00151D5D"/>
    <w:rsid w:val="001521A0"/>
    <w:rsid w:val="00152840"/>
    <w:rsid w:val="00152D73"/>
    <w:rsid w:val="00152FD9"/>
    <w:rsid w:val="0015377A"/>
    <w:rsid w:val="00154014"/>
    <w:rsid w:val="001556AC"/>
    <w:rsid w:val="00155EAA"/>
    <w:rsid w:val="00156AFE"/>
    <w:rsid w:val="00157368"/>
    <w:rsid w:val="00160700"/>
    <w:rsid w:val="00162692"/>
    <w:rsid w:val="00162DD2"/>
    <w:rsid w:val="00162DE5"/>
    <w:rsid w:val="00163F5B"/>
    <w:rsid w:val="0016628D"/>
    <w:rsid w:val="00166EB9"/>
    <w:rsid w:val="001671AE"/>
    <w:rsid w:val="0016762E"/>
    <w:rsid w:val="001707A2"/>
    <w:rsid w:val="00170CDB"/>
    <w:rsid w:val="00171042"/>
    <w:rsid w:val="00172A8F"/>
    <w:rsid w:val="00172D2B"/>
    <w:rsid w:val="001738F3"/>
    <w:rsid w:val="0017480C"/>
    <w:rsid w:val="001756EA"/>
    <w:rsid w:val="0018007F"/>
    <w:rsid w:val="00180278"/>
    <w:rsid w:val="00181674"/>
    <w:rsid w:val="00181CED"/>
    <w:rsid w:val="00181E4B"/>
    <w:rsid w:val="00182145"/>
    <w:rsid w:val="00182789"/>
    <w:rsid w:val="001828DD"/>
    <w:rsid w:val="00182986"/>
    <w:rsid w:val="0018451A"/>
    <w:rsid w:val="00184EE7"/>
    <w:rsid w:val="001853A2"/>
    <w:rsid w:val="001853F7"/>
    <w:rsid w:val="001857DA"/>
    <w:rsid w:val="00185D79"/>
    <w:rsid w:val="001867B8"/>
    <w:rsid w:val="0018693C"/>
    <w:rsid w:val="0018716C"/>
    <w:rsid w:val="00187B29"/>
    <w:rsid w:val="00187E5E"/>
    <w:rsid w:val="00190668"/>
    <w:rsid w:val="00190D8E"/>
    <w:rsid w:val="0019118E"/>
    <w:rsid w:val="001921AE"/>
    <w:rsid w:val="00192542"/>
    <w:rsid w:val="00193329"/>
    <w:rsid w:val="00193907"/>
    <w:rsid w:val="001942E9"/>
    <w:rsid w:val="00195E5C"/>
    <w:rsid w:val="001964BA"/>
    <w:rsid w:val="00196BE4"/>
    <w:rsid w:val="001979F8"/>
    <w:rsid w:val="001A0189"/>
    <w:rsid w:val="001A0565"/>
    <w:rsid w:val="001A0A78"/>
    <w:rsid w:val="001A0B5D"/>
    <w:rsid w:val="001A0CA7"/>
    <w:rsid w:val="001A1FA5"/>
    <w:rsid w:val="001A5310"/>
    <w:rsid w:val="001A59DF"/>
    <w:rsid w:val="001A6208"/>
    <w:rsid w:val="001A6277"/>
    <w:rsid w:val="001A6C29"/>
    <w:rsid w:val="001A7289"/>
    <w:rsid w:val="001B04D7"/>
    <w:rsid w:val="001B1824"/>
    <w:rsid w:val="001B1CF4"/>
    <w:rsid w:val="001B27E9"/>
    <w:rsid w:val="001B2CA1"/>
    <w:rsid w:val="001B3153"/>
    <w:rsid w:val="001B3AE0"/>
    <w:rsid w:val="001B3DC8"/>
    <w:rsid w:val="001B4548"/>
    <w:rsid w:val="001B5075"/>
    <w:rsid w:val="001B5307"/>
    <w:rsid w:val="001B5FBA"/>
    <w:rsid w:val="001B6E68"/>
    <w:rsid w:val="001B7187"/>
    <w:rsid w:val="001B7319"/>
    <w:rsid w:val="001B7697"/>
    <w:rsid w:val="001C1E42"/>
    <w:rsid w:val="001C296B"/>
    <w:rsid w:val="001C2CF1"/>
    <w:rsid w:val="001C36A5"/>
    <w:rsid w:val="001C3F98"/>
    <w:rsid w:val="001C40C6"/>
    <w:rsid w:val="001C482B"/>
    <w:rsid w:val="001C5364"/>
    <w:rsid w:val="001C55DF"/>
    <w:rsid w:val="001C5A1C"/>
    <w:rsid w:val="001C5B7F"/>
    <w:rsid w:val="001C656F"/>
    <w:rsid w:val="001C6C69"/>
    <w:rsid w:val="001C6DCE"/>
    <w:rsid w:val="001C7EF0"/>
    <w:rsid w:val="001D0441"/>
    <w:rsid w:val="001D12CB"/>
    <w:rsid w:val="001D1734"/>
    <w:rsid w:val="001D1B05"/>
    <w:rsid w:val="001D2D45"/>
    <w:rsid w:val="001D32CA"/>
    <w:rsid w:val="001D3FB2"/>
    <w:rsid w:val="001D636C"/>
    <w:rsid w:val="001D6386"/>
    <w:rsid w:val="001D64D2"/>
    <w:rsid w:val="001D7408"/>
    <w:rsid w:val="001E0CA3"/>
    <w:rsid w:val="001E11D8"/>
    <w:rsid w:val="001E13E4"/>
    <w:rsid w:val="001E27E5"/>
    <w:rsid w:val="001E4460"/>
    <w:rsid w:val="001E44D3"/>
    <w:rsid w:val="001E45B4"/>
    <w:rsid w:val="001E57E3"/>
    <w:rsid w:val="001E6108"/>
    <w:rsid w:val="001E64EE"/>
    <w:rsid w:val="001E6B93"/>
    <w:rsid w:val="001F0A80"/>
    <w:rsid w:val="001F122F"/>
    <w:rsid w:val="001F14F6"/>
    <w:rsid w:val="001F207C"/>
    <w:rsid w:val="001F2C3C"/>
    <w:rsid w:val="001F2E5F"/>
    <w:rsid w:val="001F3487"/>
    <w:rsid w:val="001F376B"/>
    <w:rsid w:val="001F382F"/>
    <w:rsid w:val="001F4C1C"/>
    <w:rsid w:val="001F5959"/>
    <w:rsid w:val="001F5B62"/>
    <w:rsid w:val="001F6068"/>
    <w:rsid w:val="001F7D80"/>
    <w:rsid w:val="0020035C"/>
    <w:rsid w:val="002003FC"/>
    <w:rsid w:val="0020061B"/>
    <w:rsid w:val="00203A1F"/>
    <w:rsid w:val="00203B59"/>
    <w:rsid w:val="00205621"/>
    <w:rsid w:val="00207EE9"/>
    <w:rsid w:val="00210172"/>
    <w:rsid w:val="002114C4"/>
    <w:rsid w:val="00211A1D"/>
    <w:rsid w:val="00212775"/>
    <w:rsid w:val="00212E45"/>
    <w:rsid w:val="002134F3"/>
    <w:rsid w:val="002139E6"/>
    <w:rsid w:val="00214621"/>
    <w:rsid w:val="00217AFE"/>
    <w:rsid w:val="00220323"/>
    <w:rsid w:val="002205E6"/>
    <w:rsid w:val="0022124C"/>
    <w:rsid w:val="002212C4"/>
    <w:rsid w:val="0022178B"/>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30824"/>
    <w:rsid w:val="00231487"/>
    <w:rsid w:val="002316F2"/>
    <w:rsid w:val="0023257B"/>
    <w:rsid w:val="00232754"/>
    <w:rsid w:val="002328D5"/>
    <w:rsid w:val="002328FF"/>
    <w:rsid w:val="00232BAE"/>
    <w:rsid w:val="00233FF0"/>
    <w:rsid w:val="00234DF2"/>
    <w:rsid w:val="002351C2"/>
    <w:rsid w:val="00235C9E"/>
    <w:rsid w:val="00236946"/>
    <w:rsid w:val="002375C1"/>
    <w:rsid w:val="00237873"/>
    <w:rsid w:val="002378C2"/>
    <w:rsid w:val="00237FCA"/>
    <w:rsid w:val="00240307"/>
    <w:rsid w:val="00240690"/>
    <w:rsid w:val="0024110E"/>
    <w:rsid w:val="0024119E"/>
    <w:rsid w:val="002417A7"/>
    <w:rsid w:val="002427B8"/>
    <w:rsid w:val="00242839"/>
    <w:rsid w:val="00242DA7"/>
    <w:rsid w:val="00243C8E"/>
    <w:rsid w:val="002450A6"/>
    <w:rsid w:val="00245F2C"/>
    <w:rsid w:val="0024642C"/>
    <w:rsid w:val="00246AAC"/>
    <w:rsid w:val="002507A6"/>
    <w:rsid w:val="0025160A"/>
    <w:rsid w:val="00251841"/>
    <w:rsid w:val="00251873"/>
    <w:rsid w:val="00251889"/>
    <w:rsid w:val="002522BC"/>
    <w:rsid w:val="00252880"/>
    <w:rsid w:val="00252FE9"/>
    <w:rsid w:val="00253D0F"/>
    <w:rsid w:val="00255A8F"/>
    <w:rsid w:val="00255CED"/>
    <w:rsid w:val="00256465"/>
    <w:rsid w:val="00256EFF"/>
    <w:rsid w:val="00256F1C"/>
    <w:rsid w:val="00257271"/>
    <w:rsid w:val="00260C34"/>
    <w:rsid w:val="002618A4"/>
    <w:rsid w:val="002620FA"/>
    <w:rsid w:val="00263369"/>
    <w:rsid w:val="00264394"/>
    <w:rsid w:val="002645CF"/>
    <w:rsid w:val="002647B9"/>
    <w:rsid w:val="002649B3"/>
    <w:rsid w:val="00264D05"/>
    <w:rsid w:val="0026538B"/>
    <w:rsid w:val="00266B8C"/>
    <w:rsid w:val="00267A2E"/>
    <w:rsid w:val="00267F26"/>
    <w:rsid w:val="0027063B"/>
    <w:rsid w:val="00270E53"/>
    <w:rsid w:val="002714CD"/>
    <w:rsid w:val="00271EA9"/>
    <w:rsid w:val="00272D4C"/>
    <w:rsid w:val="00272F51"/>
    <w:rsid w:val="00273165"/>
    <w:rsid w:val="00273253"/>
    <w:rsid w:val="002748FE"/>
    <w:rsid w:val="00274E29"/>
    <w:rsid w:val="00275812"/>
    <w:rsid w:val="00275C6A"/>
    <w:rsid w:val="002775AC"/>
    <w:rsid w:val="00277E58"/>
    <w:rsid w:val="00277F81"/>
    <w:rsid w:val="00280046"/>
    <w:rsid w:val="00280957"/>
    <w:rsid w:val="0028146D"/>
    <w:rsid w:val="0028287C"/>
    <w:rsid w:val="00282A32"/>
    <w:rsid w:val="00283C1E"/>
    <w:rsid w:val="00284E43"/>
    <w:rsid w:val="00285459"/>
    <w:rsid w:val="002855BC"/>
    <w:rsid w:val="00286051"/>
    <w:rsid w:val="00286052"/>
    <w:rsid w:val="00286145"/>
    <w:rsid w:val="002878C3"/>
    <w:rsid w:val="00291483"/>
    <w:rsid w:val="00292002"/>
    <w:rsid w:val="00292619"/>
    <w:rsid w:val="002926CC"/>
    <w:rsid w:val="00293CF6"/>
    <w:rsid w:val="0029551E"/>
    <w:rsid w:val="00296428"/>
    <w:rsid w:val="002A042D"/>
    <w:rsid w:val="002A1172"/>
    <w:rsid w:val="002A18B0"/>
    <w:rsid w:val="002A3987"/>
    <w:rsid w:val="002A5132"/>
    <w:rsid w:val="002A5297"/>
    <w:rsid w:val="002A62C6"/>
    <w:rsid w:val="002A7AD6"/>
    <w:rsid w:val="002A7B7C"/>
    <w:rsid w:val="002A7FDC"/>
    <w:rsid w:val="002B01D5"/>
    <w:rsid w:val="002B1C54"/>
    <w:rsid w:val="002B4371"/>
    <w:rsid w:val="002B498D"/>
    <w:rsid w:val="002B49B9"/>
    <w:rsid w:val="002B4AE4"/>
    <w:rsid w:val="002B4BAE"/>
    <w:rsid w:val="002B4E18"/>
    <w:rsid w:val="002B52C9"/>
    <w:rsid w:val="002B52FE"/>
    <w:rsid w:val="002B57B3"/>
    <w:rsid w:val="002B62EC"/>
    <w:rsid w:val="002B6379"/>
    <w:rsid w:val="002B672A"/>
    <w:rsid w:val="002B6AEA"/>
    <w:rsid w:val="002B6D23"/>
    <w:rsid w:val="002B6DAA"/>
    <w:rsid w:val="002B75FF"/>
    <w:rsid w:val="002C10EB"/>
    <w:rsid w:val="002C1E20"/>
    <w:rsid w:val="002C2502"/>
    <w:rsid w:val="002C37D9"/>
    <w:rsid w:val="002C413A"/>
    <w:rsid w:val="002C44ED"/>
    <w:rsid w:val="002C55C3"/>
    <w:rsid w:val="002C5898"/>
    <w:rsid w:val="002C6581"/>
    <w:rsid w:val="002C6696"/>
    <w:rsid w:val="002C78B1"/>
    <w:rsid w:val="002D027C"/>
    <w:rsid w:val="002D03ED"/>
    <w:rsid w:val="002D1129"/>
    <w:rsid w:val="002D14DB"/>
    <w:rsid w:val="002D2404"/>
    <w:rsid w:val="002D25E7"/>
    <w:rsid w:val="002D31DA"/>
    <w:rsid w:val="002D3B15"/>
    <w:rsid w:val="002D47EA"/>
    <w:rsid w:val="002D65CE"/>
    <w:rsid w:val="002D67E5"/>
    <w:rsid w:val="002D690D"/>
    <w:rsid w:val="002D6A59"/>
    <w:rsid w:val="002D7086"/>
    <w:rsid w:val="002E0E0E"/>
    <w:rsid w:val="002E180F"/>
    <w:rsid w:val="002E1CD9"/>
    <w:rsid w:val="002E1D17"/>
    <w:rsid w:val="002E55E3"/>
    <w:rsid w:val="002E688F"/>
    <w:rsid w:val="002E704F"/>
    <w:rsid w:val="002F0DB5"/>
    <w:rsid w:val="002F14AC"/>
    <w:rsid w:val="002F182D"/>
    <w:rsid w:val="002F1872"/>
    <w:rsid w:val="002F1C5B"/>
    <w:rsid w:val="002F1FCF"/>
    <w:rsid w:val="002F353F"/>
    <w:rsid w:val="002F3CC8"/>
    <w:rsid w:val="002F4CE9"/>
    <w:rsid w:val="002F5053"/>
    <w:rsid w:val="002F56D1"/>
    <w:rsid w:val="002F7489"/>
    <w:rsid w:val="0030011E"/>
    <w:rsid w:val="00300253"/>
    <w:rsid w:val="003002D9"/>
    <w:rsid w:val="00301E35"/>
    <w:rsid w:val="003034A4"/>
    <w:rsid w:val="00303D8F"/>
    <w:rsid w:val="00305485"/>
    <w:rsid w:val="00306897"/>
    <w:rsid w:val="00306A83"/>
    <w:rsid w:val="00306B3B"/>
    <w:rsid w:val="00307269"/>
    <w:rsid w:val="003072D1"/>
    <w:rsid w:val="00307874"/>
    <w:rsid w:val="00307B39"/>
    <w:rsid w:val="003106C2"/>
    <w:rsid w:val="00310F4E"/>
    <w:rsid w:val="0031142B"/>
    <w:rsid w:val="0031264E"/>
    <w:rsid w:val="00312D45"/>
    <w:rsid w:val="0031324D"/>
    <w:rsid w:val="003133B6"/>
    <w:rsid w:val="00313ED0"/>
    <w:rsid w:val="003142CA"/>
    <w:rsid w:val="00314DA3"/>
    <w:rsid w:val="00315DE0"/>
    <w:rsid w:val="003168E9"/>
    <w:rsid w:val="00317609"/>
    <w:rsid w:val="00317842"/>
    <w:rsid w:val="00317AB4"/>
    <w:rsid w:val="00317E27"/>
    <w:rsid w:val="003203BE"/>
    <w:rsid w:val="00320907"/>
    <w:rsid w:val="00321763"/>
    <w:rsid w:val="003228AD"/>
    <w:rsid w:val="003230E8"/>
    <w:rsid w:val="00323412"/>
    <w:rsid w:val="003234CC"/>
    <w:rsid w:val="0032355E"/>
    <w:rsid w:val="003235B6"/>
    <w:rsid w:val="00323CE7"/>
    <w:rsid w:val="00323DD6"/>
    <w:rsid w:val="00324135"/>
    <w:rsid w:val="00324717"/>
    <w:rsid w:val="003247F9"/>
    <w:rsid w:val="003263AE"/>
    <w:rsid w:val="00326CC4"/>
    <w:rsid w:val="0032755B"/>
    <w:rsid w:val="00330290"/>
    <w:rsid w:val="00330656"/>
    <w:rsid w:val="00330ACD"/>
    <w:rsid w:val="00331929"/>
    <w:rsid w:val="00331E71"/>
    <w:rsid w:val="00333C7E"/>
    <w:rsid w:val="00333D04"/>
    <w:rsid w:val="00334499"/>
    <w:rsid w:val="00335240"/>
    <w:rsid w:val="003365EF"/>
    <w:rsid w:val="003375D7"/>
    <w:rsid w:val="00337EAA"/>
    <w:rsid w:val="003408B3"/>
    <w:rsid w:val="00341159"/>
    <w:rsid w:val="00341604"/>
    <w:rsid w:val="00341709"/>
    <w:rsid w:val="00341A92"/>
    <w:rsid w:val="00342FB8"/>
    <w:rsid w:val="0034305E"/>
    <w:rsid w:val="00344227"/>
    <w:rsid w:val="00347E25"/>
    <w:rsid w:val="00347FEC"/>
    <w:rsid w:val="0035019E"/>
    <w:rsid w:val="003517E0"/>
    <w:rsid w:val="00351BAB"/>
    <w:rsid w:val="00351C84"/>
    <w:rsid w:val="00352140"/>
    <w:rsid w:val="00352309"/>
    <w:rsid w:val="00352362"/>
    <w:rsid w:val="003531F4"/>
    <w:rsid w:val="00353876"/>
    <w:rsid w:val="00353DA0"/>
    <w:rsid w:val="00354FA7"/>
    <w:rsid w:val="003560F2"/>
    <w:rsid w:val="00356741"/>
    <w:rsid w:val="00357B24"/>
    <w:rsid w:val="00360377"/>
    <w:rsid w:val="0036064D"/>
    <w:rsid w:val="00361B99"/>
    <w:rsid w:val="00361E20"/>
    <w:rsid w:val="00362B25"/>
    <w:rsid w:val="00363C0B"/>
    <w:rsid w:val="00363DFB"/>
    <w:rsid w:val="003648AD"/>
    <w:rsid w:val="00364B72"/>
    <w:rsid w:val="00365626"/>
    <w:rsid w:val="00367460"/>
    <w:rsid w:val="0036752C"/>
    <w:rsid w:val="00367B9A"/>
    <w:rsid w:val="00367FE7"/>
    <w:rsid w:val="00371002"/>
    <w:rsid w:val="00371890"/>
    <w:rsid w:val="003719D4"/>
    <w:rsid w:val="00371C07"/>
    <w:rsid w:val="00372164"/>
    <w:rsid w:val="0037284B"/>
    <w:rsid w:val="003747B8"/>
    <w:rsid w:val="00374FE2"/>
    <w:rsid w:val="00375DFD"/>
    <w:rsid w:val="003763C2"/>
    <w:rsid w:val="0037652F"/>
    <w:rsid w:val="00377725"/>
    <w:rsid w:val="00377E40"/>
    <w:rsid w:val="003808A3"/>
    <w:rsid w:val="003808A7"/>
    <w:rsid w:val="00381934"/>
    <w:rsid w:val="00383C62"/>
    <w:rsid w:val="00383C95"/>
    <w:rsid w:val="0038475E"/>
    <w:rsid w:val="00385D9C"/>
    <w:rsid w:val="003864BE"/>
    <w:rsid w:val="00386EB6"/>
    <w:rsid w:val="003877F6"/>
    <w:rsid w:val="00387860"/>
    <w:rsid w:val="003904A9"/>
    <w:rsid w:val="00390826"/>
    <w:rsid w:val="00390FDB"/>
    <w:rsid w:val="0039197D"/>
    <w:rsid w:val="00391CE9"/>
    <w:rsid w:val="00391FFB"/>
    <w:rsid w:val="003923B3"/>
    <w:rsid w:val="0039476B"/>
    <w:rsid w:val="00394918"/>
    <w:rsid w:val="0039493F"/>
    <w:rsid w:val="00394B29"/>
    <w:rsid w:val="0039508B"/>
    <w:rsid w:val="003955C7"/>
    <w:rsid w:val="00395CBF"/>
    <w:rsid w:val="00396123"/>
    <w:rsid w:val="00396D07"/>
    <w:rsid w:val="00397572"/>
    <w:rsid w:val="003A013A"/>
    <w:rsid w:val="003A0965"/>
    <w:rsid w:val="003A1185"/>
    <w:rsid w:val="003A1300"/>
    <w:rsid w:val="003A1342"/>
    <w:rsid w:val="003A1351"/>
    <w:rsid w:val="003A15BC"/>
    <w:rsid w:val="003A1A4F"/>
    <w:rsid w:val="003A31D9"/>
    <w:rsid w:val="003A4135"/>
    <w:rsid w:val="003A49A2"/>
    <w:rsid w:val="003A53BD"/>
    <w:rsid w:val="003A5401"/>
    <w:rsid w:val="003A5FA5"/>
    <w:rsid w:val="003B2ADF"/>
    <w:rsid w:val="003B2EED"/>
    <w:rsid w:val="003B2FB5"/>
    <w:rsid w:val="003B3330"/>
    <w:rsid w:val="003B3516"/>
    <w:rsid w:val="003B38A2"/>
    <w:rsid w:val="003B4244"/>
    <w:rsid w:val="003B4A3F"/>
    <w:rsid w:val="003B542C"/>
    <w:rsid w:val="003B560D"/>
    <w:rsid w:val="003B5C0F"/>
    <w:rsid w:val="003B5D78"/>
    <w:rsid w:val="003B5E15"/>
    <w:rsid w:val="003B6E9B"/>
    <w:rsid w:val="003B6F45"/>
    <w:rsid w:val="003B6F81"/>
    <w:rsid w:val="003B72D1"/>
    <w:rsid w:val="003B78D9"/>
    <w:rsid w:val="003C099F"/>
    <w:rsid w:val="003C0A06"/>
    <w:rsid w:val="003C0C16"/>
    <w:rsid w:val="003C0DAE"/>
    <w:rsid w:val="003C0DEF"/>
    <w:rsid w:val="003C0E70"/>
    <w:rsid w:val="003C12A9"/>
    <w:rsid w:val="003C1C50"/>
    <w:rsid w:val="003C1CF6"/>
    <w:rsid w:val="003C2BBC"/>
    <w:rsid w:val="003C3A92"/>
    <w:rsid w:val="003C4F1D"/>
    <w:rsid w:val="003C519C"/>
    <w:rsid w:val="003C5B50"/>
    <w:rsid w:val="003C7A86"/>
    <w:rsid w:val="003C7ABB"/>
    <w:rsid w:val="003C7B94"/>
    <w:rsid w:val="003D0F12"/>
    <w:rsid w:val="003D1AFE"/>
    <w:rsid w:val="003D1FFC"/>
    <w:rsid w:val="003D22DF"/>
    <w:rsid w:val="003D22F4"/>
    <w:rsid w:val="003D2333"/>
    <w:rsid w:val="003D3366"/>
    <w:rsid w:val="003D409B"/>
    <w:rsid w:val="003D4945"/>
    <w:rsid w:val="003D4C15"/>
    <w:rsid w:val="003D57E0"/>
    <w:rsid w:val="003D58F9"/>
    <w:rsid w:val="003D751E"/>
    <w:rsid w:val="003D7F25"/>
    <w:rsid w:val="003E16F4"/>
    <w:rsid w:val="003E18A8"/>
    <w:rsid w:val="003E2306"/>
    <w:rsid w:val="003E42E1"/>
    <w:rsid w:val="003E462E"/>
    <w:rsid w:val="003E5ACE"/>
    <w:rsid w:val="003E65D0"/>
    <w:rsid w:val="003E67EE"/>
    <w:rsid w:val="003F0005"/>
    <w:rsid w:val="003F07D0"/>
    <w:rsid w:val="003F177F"/>
    <w:rsid w:val="003F1D00"/>
    <w:rsid w:val="003F1E23"/>
    <w:rsid w:val="003F2776"/>
    <w:rsid w:val="003F2CE4"/>
    <w:rsid w:val="003F349F"/>
    <w:rsid w:val="003F34D4"/>
    <w:rsid w:val="003F386E"/>
    <w:rsid w:val="003F3BCE"/>
    <w:rsid w:val="003F3DDD"/>
    <w:rsid w:val="003F4E0C"/>
    <w:rsid w:val="003F567A"/>
    <w:rsid w:val="003F6A67"/>
    <w:rsid w:val="003F6B62"/>
    <w:rsid w:val="003F6CCE"/>
    <w:rsid w:val="003F737D"/>
    <w:rsid w:val="003F7679"/>
    <w:rsid w:val="004002E2"/>
    <w:rsid w:val="00400C83"/>
    <w:rsid w:val="00400E3E"/>
    <w:rsid w:val="0040129C"/>
    <w:rsid w:val="004014F0"/>
    <w:rsid w:val="0040196F"/>
    <w:rsid w:val="00402145"/>
    <w:rsid w:val="004021A1"/>
    <w:rsid w:val="0040227C"/>
    <w:rsid w:val="00402CA9"/>
    <w:rsid w:val="00402E1A"/>
    <w:rsid w:val="00402F04"/>
    <w:rsid w:val="00403102"/>
    <w:rsid w:val="00403775"/>
    <w:rsid w:val="00403923"/>
    <w:rsid w:val="00403A62"/>
    <w:rsid w:val="0040441F"/>
    <w:rsid w:val="00404769"/>
    <w:rsid w:val="0040499B"/>
    <w:rsid w:val="0040543F"/>
    <w:rsid w:val="00405B3B"/>
    <w:rsid w:val="00406A4D"/>
    <w:rsid w:val="004072D6"/>
    <w:rsid w:val="00410BC0"/>
    <w:rsid w:val="00410BEF"/>
    <w:rsid w:val="00411379"/>
    <w:rsid w:val="004113A8"/>
    <w:rsid w:val="00411EE2"/>
    <w:rsid w:val="00412280"/>
    <w:rsid w:val="00412F8F"/>
    <w:rsid w:val="0041300A"/>
    <w:rsid w:val="004130E1"/>
    <w:rsid w:val="00413C16"/>
    <w:rsid w:val="00414C9A"/>
    <w:rsid w:val="00415054"/>
    <w:rsid w:val="004157F5"/>
    <w:rsid w:val="00415F2B"/>
    <w:rsid w:val="00417C69"/>
    <w:rsid w:val="004206A7"/>
    <w:rsid w:val="00420D11"/>
    <w:rsid w:val="00420FBE"/>
    <w:rsid w:val="00421A43"/>
    <w:rsid w:val="00421AC2"/>
    <w:rsid w:val="00422599"/>
    <w:rsid w:val="0042294F"/>
    <w:rsid w:val="0042457A"/>
    <w:rsid w:val="0042457D"/>
    <w:rsid w:val="00424F97"/>
    <w:rsid w:val="004251BE"/>
    <w:rsid w:val="00425FD2"/>
    <w:rsid w:val="00427118"/>
    <w:rsid w:val="00430459"/>
    <w:rsid w:val="00430A8A"/>
    <w:rsid w:val="004319CA"/>
    <w:rsid w:val="00432416"/>
    <w:rsid w:val="00432B47"/>
    <w:rsid w:val="00432F65"/>
    <w:rsid w:val="00434B6D"/>
    <w:rsid w:val="00434E04"/>
    <w:rsid w:val="0043583D"/>
    <w:rsid w:val="00435E75"/>
    <w:rsid w:val="00435ECC"/>
    <w:rsid w:val="0043602E"/>
    <w:rsid w:val="0044110A"/>
    <w:rsid w:val="004413F3"/>
    <w:rsid w:val="0044153D"/>
    <w:rsid w:val="0044161E"/>
    <w:rsid w:val="00443675"/>
    <w:rsid w:val="00444182"/>
    <w:rsid w:val="004445E5"/>
    <w:rsid w:val="00444BF0"/>
    <w:rsid w:val="00444DF8"/>
    <w:rsid w:val="0044508C"/>
    <w:rsid w:val="00445487"/>
    <w:rsid w:val="00445591"/>
    <w:rsid w:val="0044587B"/>
    <w:rsid w:val="004459C2"/>
    <w:rsid w:val="00445FE3"/>
    <w:rsid w:val="00446B3B"/>
    <w:rsid w:val="00446FEF"/>
    <w:rsid w:val="0045043D"/>
    <w:rsid w:val="0045045E"/>
    <w:rsid w:val="00450E9E"/>
    <w:rsid w:val="00450FD2"/>
    <w:rsid w:val="0045102F"/>
    <w:rsid w:val="00451D32"/>
    <w:rsid w:val="0045229B"/>
    <w:rsid w:val="00452BFB"/>
    <w:rsid w:val="00452BFE"/>
    <w:rsid w:val="0045327E"/>
    <w:rsid w:val="00453353"/>
    <w:rsid w:val="0045349D"/>
    <w:rsid w:val="004534B5"/>
    <w:rsid w:val="00453996"/>
    <w:rsid w:val="00453BF7"/>
    <w:rsid w:val="0045484A"/>
    <w:rsid w:val="00455127"/>
    <w:rsid w:val="00455EDE"/>
    <w:rsid w:val="00456C71"/>
    <w:rsid w:val="00456EA3"/>
    <w:rsid w:val="0046020B"/>
    <w:rsid w:val="004602FF"/>
    <w:rsid w:val="00463ABF"/>
    <w:rsid w:val="00463F44"/>
    <w:rsid w:val="00464780"/>
    <w:rsid w:val="004658A0"/>
    <w:rsid w:val="00465FE2"/>
    <w:rsid w:val="00466CDA"/>
    <w:rsid w:val="004671D5"/>
    <w:rsid w:val="00467BA9"/>
    <w:rsid w:val="004701DC"/>
    <w:rsid w:val="00470ACA"/>
    <w:rsid w:val="00470BA4"/>
    <w:rsid w:val="0047110E"/>
    <w:rsid w:val="004712E6"/>
    <w:rsid w:val="00471B05"/>
    <w:rsid w:val="00474B7C"/>
    <w:rsid w:val="00474FE7"/>
    <w:rsid w:val="004752AE"/>
    <w:rsid w:val="00475DDF"/>
    <w:rsid w:val="00476323"/>
    <w:rsid w:val="0047662E"/>
    <w:rsid w:val="00477D6B"/>
    <w:rsid w:val="00480B1D"/>
    <w:rsid w:val="00481AF1"/>
    <w:rsid w:val="00481C2B"/>
    <w:rsid w:val="00481D41"/>
    <w:rsid w:val="0048200F"/>
    <w:rsid w:val="0048238C"/>
    <w:rsid w:val="00483875"/>
    <w:rsid w:val="004838FD"/>
    <w:rsid w:val="00483BE4"/>
    <w:rsid w:val="0048426B"/>
    <w:rsid w:val="00484568"/>
    <w:rsid w:val="00484A6D"/>
    <w:rsid w:val="0048517A"/>
    <w:rsid w:val="00485831"/>
    <w:rsid w:val="0048588F"/>
    <w:rsid w:val="004865DC"/>
    <w:rsid w:val="004866E0"/>
    <w:rsid w:val="00487F8E"/>
    <w:rsid w:val="00490F4A"/>
    <w:rsid w:val="00490FF4"/>
    <w:rsid w:val="004912CF"/>
    <w:rsid w:val="00492166"/>
    <w:rsid w:val="00492369"/>
    <w:rsid w:val="004926E5"/>
    <w:rsid w:val="00492DAB"/>
    <w:rsid w:val="00493777"/>
    <w:rsid w:val="00493CBB"/>
    <w:rsid w:val="00493D19"/>
    <w:rsid w:val="0049521F"/>
    <w:rsid w:val="00495317"/>
    <w:rsid w:val="00495F18"/>
    <w:rsid w:val="00496C0B"/>
    <w:rsid w:val="004A01E0"/>
    <w:rsid w:val="004A10F4"/>
    <w:rsid w:val="004A2AC7"/>
    <w:rsid w:val="004A40C5"/>
    <w:rsid w:val="004A4FC9"/>
    <w:rsid w:val="004A52B7"/>
    <w:rsid w:val="004A57ED"/>
    <w:rsid w:val="004A5D53"/>
    <w:rsid w:val="004A7AEF"/>
    <w:rsid w:val="004B0180"/>
    <w:rsid w:val="004B04DE"/>
    <w:rsid w:val="004B07F1"/>
    <w:rsid w:val="004B0ACF"/>
    <w:rsid w:val="004B1006"/>
    <w:rsid w:val="004B1E83"/>
    <w:rsid w:val="004B219C"/>
    <w:rsid w:val="004B2D88"/>
    <w:rsid w:val="004B3C37"/>
    <w:rsid w:val="004B5190"/>
    <w:rsid w:val="004B591E"/>
    <w:rsid w:val="004B5E60"/>
    <w:rsid w:val="004B76A5"/>
    <w:rsid w:val="004C0F42"/>
    <w:rsid w:val="004C24BB"/>
    <w:rsid w:val="004C353A"/>
    <w:rsid w:val="004C384F"/>
    <w:rsid w:val="004C3C90"/>
    <w:rsid w:val="004C429F"/>
    <w:rsid w:val="004C4CD4"/>
    <w:rsid w:val="004C554E"/>
    <w:rsid w:val="004C55DC"/>
    <w:rsid w:val="004C67BA"/>
    <w:rsid w:val="004C7840"/>
    <w:rsid w:val="004C7CC1"/>
    <w:rsid w:val="004D01A7"/>
    <w:rsid w:val="004D0362"/>
    <w:rsid w:val="004D09C5"/>
    <w:rsid w:val="004D0F2D"/>
    <w:rsid w:val="004D1BBF"/>
    <w:rsid w:val="004D1CE4"/>
    <w:rsid w:val="004D1E09"/>
    <w:rsid w:val="004D23E0"/>
    <w:rsid w:val="004D31C5"/>
    <w:rsid w:val="004D3596"/>
    <w:rsid w:val="004D3CE0"/>
    <w:rsid w:val="004D425C"/>
    <w:rsid w:val="004D55E5"/>
    <w:rsid w:val="004D5E41"/>
    <w:rsid w:val="004E00D2"/>
    <w:rsid w:val="004E016F"/>
    <w:rsid w:val="004E06C1"/>
    <w:rsid w:val="004E15A8"/>
    <w:rsid w:val="004E193F"/>
    <w:rsid w:val="004E19C8"/>
    <w:rsid w:val="004E285C"/>
    <w:rsid w:val="004E3CF0"/>
    <w:rsid w:val="004E4993"/>
    <w:rsid w:val="004E6606"/>
    <w:rsid w:val="004E7998"/>
    <w:rsid w:val="004E7B84"/>
    <w:rsid w:val="004E7ED8"/>
    <w:rsid w:val="004F197F"/>
    <w:rsid w:val="004F1F20"/>
    <w:rsid w:val="004F2902"/>
    <w:rsid w:val="004F5DE7"/>
    <w:rsid w:val="004F7233"/>
    <w:rsid w:val="004F7D37"/>
    <w:rsid w:val="005008C6"/>
    <w:rsid w:val="00501257"/>
    <w:rsid w:val="00501B2C"/>
    <w:rsid w:val="00501F18"/>
    <w:rsid w:val="00504E8E"/>
    <w:rsid w:val="005067A5"/>
    <w:rsid w:val="005068C3"/>
    <w:rsid w:val="00506B5A"/>
    <w:rsid w:val="00506E99"/>
    <w:rsid w:val="005076B4"/>
    <w:rsid w:val="00510377"/>
    <w:rsid w:val="005107AE"/>
    <w:rsid w:val="00510A5D"/>
    <w:rsid w:val="0051130E"/>
    <w:rsid w:val="0051135B"/>
    <w:rsid w:val="00511ABE"/>
    <w:rsid w:val="00512C11"/>
    <w:rsid w:val="00513529"/>
    <w:rsid w:val="005149FA"/>
    <w:rsid w:val="0051512E"/>
    <w:rsid w:val="0051527A"/>
    <w:rsid w:val="00516B1F"/>
    <w:rsid w:val="00517D30"/>
    <w:rsid w:val="00520005"/>
    <w:rsid w:val="005202B9"/>
    <w:rsid w:val="0052069E"/>
    <w:rsid w:val="00525772"/>
    <w:rsid w:val="005273A6"/>
    <w:rsid w:val="00527E81"/>
    <w:rsid w:val="00530A65"/>
    <w:rsid w:val="0053170A"/>
    <w:rsid w:val="005325F6"/>
    <w:rsid w:val="005330CB"/>
    <w:rsid w:val="005336CE"/>
    <w:rsid w:val="00533DEA"/>
    <w:rsid w:val="00534BEF"/>
    <w:rsid w:val="00536C11"/>
    <w:rsid w:val="00536CB0"/>
    <w:rsid w:val="005401AA"/>
    <w:rsid w:val="005405F3"/>
    <w:rsid w:val="00540775"/>
    <w:rsid w:val="00540B88"/>
    <w:rsid w:val="00540D00"/>
    <w:rsid w:val="00540EB7"/>
    <w:rsid w:val="0054125B"/>
    <w:rsid w:val="00541934"/>
    <w:rsid w:val="00541D56"/>
    <w:rsid w:val="00542220"/>
    <w:rsid w:val="005427EA"/>
    <w:rsid w:val="00542D1B"/>
    <w:rsid w:val="005430ED"/>
    <w:rsid w:val="00545753"/>
    <w:rsid w:val="00545936"/>
    <w:rsid w:val="00546207"/>
    <w:rsid w:val="00546D79"/>
    <w:rsid w:val="0054767E"/>
    <w:rsid w:val="00547BEA"/>
    <w:rsid w:val="005505E4"/>
    <w:rsid w:val="00550FE3"/>
    <w:rsid w:val="00551AB7"/>
    <w:rsid w:val="005522F1"/>
    <w:rsid w:val="00552CA9"/>
    <w:rsid w:val="00552D3B"/>
    <w:rsid w:val="0055435B"/>
    <w:rsid w:val="00555D66"/>
    <w:rsid w:val="005560AA"/>
    <w:rsid w:val="00556774"/>
    <w:rsid w:val="00560AD2"/>
    <w:rsid w:val="00560F15"/>
    <w:rsid w:val="00561570"/>
    <w:rsid w:val="00561F60"/>
    <w:rsid w:val="00562D1C"/>
    <w:rsid w:val="0056396E"/>
    <w:rsid w:val="00564490"/>
    <w:rsid w:val="005648CB"/>
    <w:rsid w:val="005656A9"/>
    <w:rsid w:val="005657D8"/>
    <w:rsid w:val="00566828"/>
    <w:rsid w:val="00566D2D"/>
    <w:rsid w:val="00570196"/>
    <w:rsid w:val="0057099E"/>
    <w:rsid w:val="00570A01"/>
    <w:rsid w:val="0057108C"/>
    <w:rsid w:val="005717DE"/>
    <w:rsid w:val="00571CA9"/>
    <w:rsid w:val="005720C2"/>
    <w:rsid w:val="005722C1"/>
    <w:rsid w:val="00572687"/>
    <w:rsid w:val="00572974"/>
    <w:rsid w:val="00572CC6"/>
    <w:rsid w:val="005730E3"/>
    <w:rsid w:val="00573771"/>
    <w:rsid w:val="005759A2"/>
    <w:rsid w:val="005769C7"/>
    <w:rsid w:val="00576AEE"/>
    <w:rsid w:val="00577D3D"/>
    <w:rsid w:val="005802C7"/>
    <w:rsid w:val="00583182"/>
    <w:rsid w:val="005831CC"/>
    <w:rsid w:val="005835CE"/>
    <w:rsid w:val="005853AC"/>
    <w:rsid w:val="00585963"/>
    <w:rsid w:val="00585D53"/>
    <w:rsid w:val="00585EAE"/>
    <w:rsid w:val="0058699F"/>
    <w:rsid w:val="0058740D"/>
    <w:rsid w:val="00587617"/>
    <w:rsid w:val="00587725"/>
    <w:rsid w:val="00587897"/>
    <w:rsid w:val="00592D6F"/>
    <w:rsid w:val="00593161"/>
    <w:rsid w:val="00594017"/>
    <w:rsid w:val="00594BC7"/>
    <w:rsid w:val="00594DA1"/>
    <w:rsid w:val="00595C1F"/>
    <w:rsid w:val="0059624E"/>
    <w:rsid w:val="00596D9C"/>
    <w:rsid w:val="0059787E"/>
    <w:rsid w:val="00597CF4"/>
    <w:rsid w:val="005A0793"/>
    <w:rsid w:val="005A100B"/>
    <w:rsid w:val="005A23E7"/>
    <w:rsid w:val="005A2A38"/>
    <w:rsid w:val="005A2E58"/>
    <w:rsid w:val="005A48D2"/>
    <w:rsid w:val="005A5097"/>
    <w:rsid w:val="005A6118"/>
    <w:rsid w:val="005A645A"/>
    <w:rsid w:val="005A6F02"/>
    <w:rsid w:val="005A6F71"/>
    <w:rsid w:val="005A7B9B"/>
    <w:rsid w:val="005B0561"/>
    <w:rsid w:val="005B05D5"/>
    <w:rsid w:val="005B1796"/>
    <w:rsid w:val="005B327C"/>
    <w:rsid w:val="005B3785"/>
    <w:rsid w:val="005B466F"/>
    <w:rsid w:val="005B4CA6"/>
    <w:rsid w:val="005B5CD9"/>
    <w:rsid w:val="005C0A8B"/>
    <w:rsid w:val="005C0F8E"/>
    <w:rsid w:val="005C2FF9"/>
    <w:rsid w:val="005C58A5"/>
    <w:rsid w:val="005C618A"/>
    <w:rsid w:val="005C632B"/>
    <w:rsid w:val="005C6B95"/>
    <w:rsid w:val="005C6CDA"/>
    <w:rsid w:val="005C6F62"/>
    <w:rsid w:val="005C6FFB"/>
    <w:rsid w:val="005C7A09"/>
    <w:rsid w:val="005C7FA2"/>
    <w:rsid w:val="005D013B"/>
    <w:rsid w:val="005D01B3"/>
    <w:rsid w:val="005D08D3"/>
    <w:rsid w:val="005D1203"/>
    <w:rsid w:val="005D166D"/>
    <w:rsid w:val="005D337D"/>
    <w:rsid w:val="005D4770"/>
    <w:rsid w:val="005D53CE"/>
    <w:rsid w:val="005D5EF9"/>
    <w:rsid w:val="005D6986"/>
    <w:rsid w:val="005D7148"/>
    <w:rsid w:val="005D75FE"/>
    <w:rsid w:val="005D76E1"/>
    <w:rsid w:val="005D7AAE"/>
    <w:rsid w:val="005E05ED"/>
    <w:rsid w:val="005E063D"/>
    <w:rsid w:val="005E1269"/>
    <w:rsid w:val="005E1A50"/>
    <w:rsid w:val="005E2549"/>
    <w:rsid w:val="005E31F4"/>
    <w:rsid w:val="005E3315"/>
    <w:rsid w:val="005E3EFB"/>
    <w:rsid w:val="005E4055"/>
    <w:rsid w:val="005E4471"/>
    <w:rsid w:val="005E4499"/>
    <w:rsid w:val="005E5E42"/>
    <w:rsid w:val="005E6140"/>
    <w:rsid w:val="005E7647"/>
    <w:rsid w:val="005E7A8F"/>
    <w:rsid w:val="005E7EFC"/>
    <w:rsid w:val="005F2673"/>
    <w:rsid w:val="005F2F6A"/>
    <w:rsid w:val="005F310D"/>
    <w:rsid w:val="005F32CB"/>
    <w:rsid w:val="005F47C0"/>
    <w:rsid w:val="005F4BD8"/>
    <w:rsid w:val="005F4E01"/>
    <w:rsid w:val="005F52A0"/>
    <w:rsid w:val="005F5326"/>
    <w:rsid w:val="005F539A"/>
    <w:rsid w:val="005F5BBA"/>
    <w:rsid w:val="005F63E4"/>
    <w:rsid w:val="005F64C2"/>
    <w:rsid w:val="005F675D"/>
    <w:rsid w:val="005F6B9A"/>
    <w:rsid w:val="005F6D3C"/>
    <w:rsid w:val="005F7412"/>
    <w:rsid w:val="006004F5"/>
    <w:rsid w:val="00600B6A"/>
    <w:rsid w:val="00601146"/>
    <w:rsid w:val="0060196B"/>
    <w:rsid w:val="0060279A"/>
    <w:rsid w:val="006028A1"/>
    <w:rsid w:val="006029D3"/>
    <w:rsid w:val="00603233"/>
    <w:rsid w:val="006035A8"/>
    <w:rsid w:val="0060409F"/>
    <w:rsid w:val="0060506E"/>
    <w:rsid w:val="00605186"/>
    <w:rsid w:val="006054C7"/>
    <w:rsid w:val="00605679"/>
    <w:rsid w:val="00606901"/>
    <w:rsid w:val="00606AA4"/>
    <w:rsid w:val="00606AC1"/>
    <w:rsid w:val="006071FA"/>
    <w:rsid w:val="00607B01"/>
    <w:rsid w:val="00607CB5"/>
    <w:rsid w:val="0061062F"/>
    <w:rsid w:val="00610A09"/>
    <w:rsid w:val="00610D74"/>
    <w:rsid w:val="00611A59"/>
    <w:rsid w:val="006121C6"/>
    <w:rsid w:val="00612FD4"/>
    <w:rsid w:val="006134AE"/>
    <w:rsid w:val="00614489"/>
    <w:rsid w:val="00614B0B"/>
    <w:rsid w:val="00615CF7"/>
    <w:rsid w:val="0061681C"/>
    <w:rsid w:val="0061708C"/>
    <w:rsid w:val="00617685"/>
    <w:rsid w:val="006179A3"/>
    <w:rsid w:val="00617A2E"/>
    <w:rsid w:val="00617F13"/>
    <w:rsid w:val="006201D8"/>
    <w:rsid w:val="00620636"/>
    <w:rsid w:val="00620826"/>
    <w:rsid w:val="00620D58"/>
    <w:rsid w:val="0062190D"/>
    <w:rsid w:val="006228B1"/>
    <w:rsid w:val="00622BC8"/>
    <w:rsid w:val="0062311B"/>
    <w:rsid w:val="0062369B"/>
    <w:rsid w:val="00624DBA"/>
    <w:rsid w:val="00625DDD"/>
    <w:rsid w:val="00626D2F"/>
    <w:rsid w:val="0062709E"/>
    <w:rsid w:val="0062768A"/>
    <w:rsid w:val="00627953"/>
    <w:rsid w:val="00627D18"/>
    <w:rsid w:val="00630467"/>
    <w:rsid w:val="006310B1"/>
    <w:rsid w:val="00631657"/>
    <w:rsid w:val="00631C54"/>
    <w:rsid w:val="00631DF1"/>
    <w:rsid w:val="006324ED"/>
    <w:rsid w:val="006328BA"/>
    <w:rsid w:val="00633EBE"/>
    <w:rsid w:val="00635BF9"/>
    <w:rsid w:val="0063601D"/>
    <w:rsid w:val="006362EE"/>
    <w:rsid w:val="00636A8E"/>
    <w:rsid w:val="006376CD"/>
    <w:rsid w:val="0063791D"/>
    <w:rsid w:val="00640635"/>
    <w:rsid w:val="0064067E"/>
    <w:rsid w:val="00641620"/>
    <w:rsid w:val="00641C8C"/>
    <w:rsid w:val="006426CA"/>
    <w:rsid w:val="006438B0"/>
    <w:rsid w:val="00644B78"/>
    <w:rsid w:val="00646C8B"/>
    <w:rsid w:val="00650140"/>
    <w:rsid w:val="006507CC"/>
    <w:rsid w:val="00650AAB"/>
    <w:rsid w:val="00651196"/>
    <w:rsid w:val="0065155B"/>
    <w:rsid w:val="0065190B"/>
    <w:rsid w:val="006520CB"/>
    <w:rsid w:val="00652555"/>
    <w:rsid w:val="00652AF6"/>
    <w:rsid w:val="0065381F"/>
    <w:rsid w:val="006540E2"/>
    <w:rsid w:val="00655886"/>
    <w:rsid w:val="00657160"/>
    <w:rsid w:val="006579B5"/>
    <w:rsid w:val="00660B0B"/>
    <w:rsid w:val="00661021"/>
    <w:rsid w:val="00661189"/>
    <w:rsid w:val="00661B6C"/>
    <w:rsid w:val="0066248C"/>
    <w:rsid w:val="0066463D"/>
    <w:rsid w:val="00664D37"/>
    <w:rsid w:val="0066500F"/>
    <w:rsid w:val="00665170"/>
    <w:rsid w:val="006655D7"/>
    <w:rsid w:val="00665E1F"/>
    <w:rsid w:val="00666C88"/>
    <w:rsid w:val="00667C13"/>
    <w:rsid w:val="00667F8A"/>
    <w:rsid w:val="006703B4"/>
    <w:rsid w:val="00670E4D"/>
    <w:rsid w:val="00672609"/>
    <w:rsid w:val="006734AC"/>
    <w:rsid w:val="00674C50"/>
    <w:rsid w:val="0067530C"/>
    <w:rsid w:val="00676716"/>
    <w:rsid w:val="006767D9"/>
    <w:rsid w:val="00676F65"/>
    <w:rsid w:val="006770E7"/>
    <w:rsid w:val="00677510"/>
    <w:rsid w:val="00677BEF"/>
    <w:rsid w:val="0068158A"/>
    <w:rsid w:val="006817AB"/>
    <w:rsid w:val="006826CC"/>
    <w:rsid w:val="00682D30"/>
    <w:rsid w:val="00684D91"/>
    <w:rsid w:val="00685897"/>
    <w:rsid w:val="006909CF"/>
    <w:rsid w:val="006915E9"/>
    <w:rsid w:val="0069190D"/>
    <w:rsid w:val="00693148"/>
    <w:rsid w:val="006944E7"/>
    <w:rsid w:val="0069541C"/>
    <w:rsid w:val="0069785F"/>
    <w:rsid w:val="006A0CF1"/>
    <w:rsid w:val="006A1802"/>
    <w:rsid w:val="006A2576"/>
    <w:rsid w:val="006A4C3B"/>
    <w:rsid w:val="006A4D40"/>
    <w:rsid w:val="006A6949"/>
    <w:rsid w:val="006B11F1"/>
    <w:rsid w:val="006B3F4C"/>
    <w:rsid w:val="006B423B"/>
    <w:rsid w:val="006B44B9"/>
    <w:rsid w:val="006B4E65"/>
    <w:rsid w:val="006B74FC"/>
    <w:rsid w:val="006B772F"/>
    <w:rsid w:val="006B7D8C"/>
    <w:rsid w:val="006B7D97"/>
    <w:rsid w:val="006C0EDA"/>
    <w:rsid w:val="006C1C1A"/>
    <w:rsid w:val="006C1FC9"/>
    <w:rsid w:val="006C29E3"/>
    <w:rsid w:val="006C2ED4"/>
    <w:rsid w:val="006C3031"/>
    <w:rsid w:val="006C3C83"/>
    <w:rsid w:val="006C3DFF"/>
    <w:rsid w:val="006C3E63"/>
    <w:rsid w:val="006C46E6"/>
    <w:rsid w:val="006C4886"/>
    <w:rsid w:val="006C492D"/>
    <w:rsid w:val="006C59C5"/>
    <w:rsid w:val="006C7064"/>
    <w:rsid w:val="006C7ECD"/>
    <w:rsid w:val="006D0061"/>
    <w:rsid w:val="006D0697"/>
    <w:rsid w:val="006D0C77"/>
    <w:rsid w:val="006D1747"/>
    <w:rsid w:val="006D1B8A"/>
    <w:rsid w:val="006D235E"/>
    <w:rsid w:val="006D2858"/>
    <w:rsid w:val="006D323D"/>
    <w:rsid w:val="006D36D2"/>
    <w:rsid w:val="006D4687"/>
    <w:rsid w:val="006D5E0E"/>
    <w:rsid w:val="006D63B3"/>
    <w:rsid w:val="006D6E91"/>
    <w:rsid w:val="006D75D8"/>
    <w:rsid w:val="006E038A"/>
    <w:rsid w:val="006E0DFB"/>
    <w:rsid w:val="006E15AD"/>
    <w:rsid w:val="006E2475"/>
    <w:rsid w:val="006E2CF0"/>
    <w:rsid w:val="006E3339"/>
    <w:rsid w:val="006E3C94"/>
    <w:rsid w:val="006E4371"/>
    <w:rsid w:val="006E4563"/>
    <w:rsid w:val="006E6F4A"/>
    <w:rsid w:val="006F005D"/>
    <w:rsid w:val="006F0AD2"/>
    <w:rsid w:val="006F0BF6"/>
    <w:rsid w:val="006F0DEB"/>
    <w:rsid w:val="006F1327"/>
    <w:rsid w:val="006F2E74"/>
    <w:rsid w:val="006F39C3"/>
    <w:rsid w:val="006F4129"/>
    <w:rsid w:val="006F4692"/>
    <w:rsid w:val="006F4E6C"/>
    <w:rsid w:val="006F4FF9"/>
    <w:rsid w:val="006F58AD"/>
    <w:rsid w:val="006F6629"/>
    <w:rsid w:val="006F6F12"/>
    <w:rsid w:val="006F71CA"/>
    <w:rsid w:val="00700E79"/>
    <w:rsid w:val="00702761"/>
    <w:rsid w:val="00704596"/>
    <w:rsid w:val="00704DE4"/>
    <w:rsid w:val="00705529"/>
    <w:rsid w:val="007056D6"/>
    <w:rsid w:val="00705711"/>
    <w:rsid w:val="007070B2"/>
    <w:rsid w:val="00707427"/>
    <w:rsid w:val="007110B4"/>
    <w:rsid w:val="007118EF"/>
    <w:rsid w:val="00711A2D"/>
    <w:rsid w:val="007129A3"/>
    <w:rsid w:val="00713110"/>
    <w:rsid w:val="00713111"/>
    <w:rsid w:val="00713552"/>
    <w:rsid w:val="0071366B"/>
    <w:rsid w:val="007136DE"/>
    <w:rsid w:val="00715AA9"/>
    <w:rsid w:val="00715D91"/>
    <w:rsid w:val="00715E86"/>
    <w:rsid w:val="00716975"/>
    <w:rsid w:val="007177DA"/>
    <w:rsid w:val="007178B2"/>
    <w:rsid w:val="00720086"/>
    <w:rsid w:val="00720C1F"/>
    <w:rsid w:val="00720E4D"/>
    <w:rsid w:val="007211AA"/>
    <w:rsid w:val="007214FF"/>
    <w:rsid w:val="00722089"/>
    <w:rsid w:val="00722D86"/>
    <w:rsid w:val="0072316B"/>
    <w:rsid w:val="00723A88"/>
    <w:rsid w:val="00723B4D"/>
    <w:rsid w:val="00723CC9"/>
    <w:rsid w:val="007240BC"/>
    <w:rsid w:val="00724A4E"/>
    <w:rsid w:val="00724D69"/>
    <w:rsid w:val="0072610B"/>
    <w:rsid w:val="00727F44"/>
    <w:rsid w:val="00730837"/>
    <w:rsid w:val="00730DF9"/>
    <w:rsid w:val="007310B1"/>
    <w:rsid w:val="0073242E"/>
    <w:rsid w:val="0073289D"/>
    <w:rsid w:val="00732958"/>
    <w:rsid w:val="0073374A"/>
    <w:rsid w:val="00733FC4"/>
    <w:rsid w:val="00734C84"/>
    <w:rsid w:val="0073514D"/>
    <w:rsid w:val="0073527E"/>
    <w:rsid w:val="0073556B"/>
    <w:rsid w:val="007357D8"/>
    <w:rsid w:val="0073646B"/>
    <w:rsid w:val="00737455"/>
    <w:rsid w:val="00737964"/>
    <w:rsid w:val="00737BEC"/>
    <w:rsid w:val="00740B8D"/>
    <w:rsid w:val="007413C3"/>
    <w:rsid w:val="00742D58"/>
    <w:rsid w:val="00742FC7"/>
    <w:rsid w:val="00743130"/>
    <w:rsid w:val="007434CB"/>
    <w:rsid w:val="00743A86"/>
    <w:rsid w:val="00743B19"/>
    <w:rsid w:val="007450AE"/>
    <w:rsid w:val="0074510A"/>
    <w:rsid w:val="00745112"/>
    <w:rsid w:val="007460A5"/>
    <w:rsid w:val="007463FF"/>
    <w:rsid w:val="0074746E"/>
    <w:rsid w:val="007476CD"/>
    <w:rsid w:val="007477E3"/>
    <w:rsid w:val="00750110"/>
    <w:rsid w:val="007505EE"/>
    <w:rsid w:val="00750BEF"/>
    <w:rsid w:val="00750E90"/>
    <w:rsid w:val="007512D7"/>
    <w:rsid w:val="00751D8C"/>
    <w:rsid w:val="00752E09"/>
    <w:rsid w:val="007539DC"/>
    <w:rsid w:val="00753A9F"/>
    <w:rsid w:val="00754DA7"/>
    <w:rsid w:val="00755366"/>
    <w:rsid w:val="0075550B"/>
    <w:rsid w:val="00755582"/>
    <w:rsid w:val="007556B2"/>
    <w:rsid w:val="007568D1"/>
    <w:rsid w:val="00756EFA"/>
    <w:rsid w:val="00757161"/>
    <w:rsid w:val="00757C14"/>
    <w:rsid w:val="00760314"/>
    <w:rsid w:val="00760523"/>
    <w:rsid w:val="00762606"/>
    <w:rsid w:val="007632E1"/>
    <w:rsid w:val="00764A71"/>
    <w:rsid w:val="00764DF3"/>
    <w:rsid w:val="00764FC9"/>
    <w:rsid w:val="007651ED"/>
    <w:rsid w:val="00765CDE"/>
    <w:rsid w:val="00765DB8"/>
    <w:rsid w:val="00766ECE"/>
    <w:rsid w:val="00766FF2"/>
    <w:rsid w:val="00767171"/>
    <w:rsid w:val="0077118A"/>
    <w:rsid w:val="00771D70"/>
    <w:rsid w:val="00772561"/>
    <w:rsid w:val="007728B6"/>
    <w:rsid w:val="0077364E"/>
    <w:rsid w:val="00773B26"/>
    <w:rsid w:val="00773B4A"/>
    <w:rsid w:val="007740E5"/>
    <w:rsid w:val="00776134"/>
    <w:rsid w:val="00777349"/>
    <w:rsid w:val="0077757C"/>
    <w:rsid w:val="00780481"/>
    <w:rsid w:val="00780792"/>
    <w:rsid w:val="00780FF2"/>
    <w:rsid w:val="00782294"/>
    <w:rsid w:val="0078338D"/>
    <w:rsid w:val="00783C8F"/>
    <w:rsid w:val="00784780"/>
    <w:rsid w:val="0078578C"/>
    <w:rsid w:val="007858EB"/>
    <w:rsid w:val="0078625E"/>
    <w:rsid w:val="00786A02"/>
    <w:rsid w:val="00787462"/>
    <w:rsid w:val="00787614"/>
    <w:rsid w:val="00790DA3"/>
    <w:rsid w:val="00791116"/>
    <w:rsid w:val="00791B5D"/>
    <w:rsid w:val="0079287A"/>
    <w:rsid w:val="00793129"/>
    <w:rsid w:val="00793AAE"/>
    <w:rsid w:val="00794D8F"/>
    <w:rsid w:val="0079503B"/>
    <w:rsid w:val="00795175"/>
    <w:rsid w:val="0079572E"/>
    <w:rsid w:val="007958FA"/>
    <w:rsid w:val="00796B08"/>
    <w:rsid w:val="0079761E"/>
    <w:rsid w:val="00797651"/>
    <w:rsid w:val="007A0356"/>
    <w:rsid w:val="007A1688"/>
    <w:rsid w:val="007A234C"/>
    <w:rsid w:val="007A25C9"/>
    <w:rsid w:val="007A2631"/>
    <w:rsid w:val="007A283A"/>
    <w:rsid w:val="007A3895"/>
    <w:rsid w:val="007A3F12"/>
    <w:rsid w:val="007A4063"/>
    <w:rsid w:val="007A46EF"/>
    <w:rsid w:val="007A689D"/>
    <w:rsid w:val="007A68C3"/>
    <w:rsid w:val="007B0044"/>
    <w:rsid w:val="007B082A"/>
    <w:rsid w:val="007B0833"/>
    <w:rsid w:val="007B1A08"/>
    <w:rsid w:val="007B1D07"/>
    <w:rsid w:val="007B3793"/>
    <w:rsid w:val="007B3F67"/>
    <w:rsid w:val="007B4D12"/>
    <w:rsid w:val="007B659E"/>
    <w:rsid w:val="007B667D"/>
    <w:rsid w:val="007B6731"/>
    <w:rsid w:val="007B6F7C"/>
    <w:rsid w:val="007B772C"/>
    <w:rsid w:val="007C1FFB"/>
    <w:rsid w:val="007C2717"/>
    <w:rsid w:val="007C2F22"/>
    <w:rsid w:val="007C3224"/>
    <w:rsid w:val="007C3F6E"/>
    <w:rsid w:val="007C4A7F"/>
    <w:rsid w:val="007C4AC7"/>
    <w:rsid w:val="007C4D8C"/>
    <w:rsid w:val="007C6259"/>
    <w:rsid w:val="007C77D8"/>
    <w:rsid w:val="007C7BF4"/>
    <w:rsid w:val="007D1CA6"/>
    <w:rsid w:val="007D1CF5"/>
    <w:rsid w:val="007D350C"/>
    <w:rsid w:val="007D4816"/>
    <w:rsid w:val="007D52BE"/>
    <w:rsid w:val="007D59DA"/>
    <w:rsid w:val="007D62BB"/>
    <w:rsid w:val="007D6F58"/>
    <w:rsid w:val="007E0BAB"/>
    <w:rsid w:val="007E1059"/>
    <w:rsid w:val="007E11B4"/>
    <w:rsid w:val="007E14BA"/>
    <w:rsid w:val="007E1F71"/>
    <w:rsid w:val="007E2BEA"/>
    <w:rsid w:val="007E4613"/>
    <w:rsid w:val="007E4D69"/>
    <w:rsid w:val="007E66A8"/>
    <w:rsid w:val="007E688F"/>
    <w:rsid w:val="007E6C35"/>
    <w:rsid w:val="007E71FD"/>
    <w:rsid w:val="007F0FCD"/>
    <w:rsid w:val="007F3058"/>
    <w:rsid w:val="007F3163"/>
    <w:rsid w:val="007F4230"/>
    <w:rsid w:val="007F6D13"/>
    <w:rsid w:val="00800B88"/>
    <w:rsid w:val="00800E30"/>
    <w:rsid w:val="008015F8"/>
    <w:rsid w:val="008017E8"/>
    <w:rsid w:val="008024B7"/>
    <w:rsid w:val="00802F26"/>
    <w:rsid w:val="0080333D"/>
    <w:rsid w:val="00804507"/>
    <w:rsid w:val="008058C0"/>
    <w:rsid w:val="00805EF4"/>
    <w:rsid w:val="00806202"/>
    <w:rsid w:val="008062F1"/>
    <w:rsid w:val="00807E53"/>
    <w:rsid w:val="00811541"/>
    <w:rsid w:val="008120BF"/>
    <w:rsid w:val="00812422"/>
    <w:rsid w:val="00812C7B"/>
    <w:rsid w:val="00813258"/>
    <w:rsid w:val="00813512"/>
    <w:rsid w:val="00813E7C"/>
    <w:rsid w:val="0081470A"/>
    <w:rsid w:val="00814EBD"/>
    <w:rsid w:val="0081523C"/>
    <w:rsid w:val="00815672"/>
    <w:rsid w:val="00816216"/>
    <w:rsid w:val="00816C5A"/>
    <w:rsid w:val="00820A62"/>
    <w:rsid w:val="0082193D"/>
    <w:rsid w:val="00822B4B"/>
    <w:rsid w:val="008241F7"/>
    <w:rsid w:val="00825A1D"/>
    <w:rsid w:val="00825E39"/>
    <w:rsid w:val="008266B5"/>
    <w:rsid w:val="00826BD9"/>
    <w:rsid w:val="0083042E"/>
    <w:rsid w:val="00830785"/>
    <w:rsid w:val="0083103A"/>
    <w:rsid w:val="00831B96"/>
    <w:rsid w:val="0083223A"/>
    <w:rsid w:val="00833983"/>
    <w:rsid w:val="00834E84"/>
    <w:rsid w:val="008355B3"/>
    <w:rsid w:val="00835612"/>
    <w:rsid w:val="008374FB"/>
    <w:rsid w:val="00837545"/>
    <w:rsid w:val="0084001D"/>
    <w:rsid w:val="00840EEF"/>
    <w:rsid w:val="0084131F"/>
    <w:rsid w:val="00841505"/>
    <w:rsid w:val="008416FE"/>
    <w:rsid w:val="00841BF3"/>
    <w:rsid w:val="00841EE9"/>
    <w:rsid w:val="0084316C"/>
    <w:rsid w:val="008432F7"/>
    <w:rsid w:val="00844A42"/>
    <w:rsid w:val="00844BC8"/>
    <w:rsid w:val="00845FF8"/>
    <w:rsid w:val="0084619F"/>
    <w:rsid w:val="00846ABF"/>
    <w:rsid w:val="00846FDF"/>
    <w:rsid w:val="00850130"/>
    <w:rsid w:val="00850367"/>
    <w:rsid w:val="008505EC"/>
    <w:rsid w:val="00851655"/>
    <w:rsid w:val="00851BA1"/>
    <w:rsid w:val="008527CD"/>
    <w:rsid w:val="00852DE1"/>
    <w:rsid w:val="00853CE9"/>
    <w:rsid w:val="00854B62"/>
    <w:rsid w:val="00854FD3"/>
    <w:rsid w:val="008550C9"/>
    <w:rsid w:val="00855411"/>
    <w:rsid w:val="00855443"/>
    <w:rsid w:val="00855502"/>
    <w:rsid w:val="00855BC8"/>
    <w:rsid w:val="00861DA7"/>
    <w:rsid w:val="00862555"/>
    <w:rsid w:val="008625E8"/>
    <w:rsid w:val="0086364E"/>
    <w:rsid w:val="008646D8"/>
    <w:rsid w:val="0086480D"/>
    <w:rsid w:val="008653D7"/>
    <w:rsid w:val="00865513"/>
    <w:rsid w:val="00866061"/>
    <w:rsid w:val="0086625E"/>
    <w:rsid w:val="00866596"/>
    <w:rsid w:val="00866860"/>
    <w:rsid w:val="008714D9"/>
    <w:rsid w:val="00871E43"/>
    <w:rsid w:val="008722D9"/>
    <w:rsid w:val="00872AEA"/>
    <w:rsid w:val="00872AED"/>
    <w:rsid w:val="008730B0"/>
    <w:rsid w:val="008734AF"/>
    <w:rsid w:val="008745C7"/>
    <w:rsid w:val="0087490B"/>
    <w:rsid w:val="00875992"/>
    <w:rsid w:val="00875F4E"/>
    <w:rsid w:val="008772AD"/>
    <w:rsid w:val="00877D02"/>
    <w:rsid w:val="00881A27"/>
    <w:rsid w:val="008826CF"/>
    <w:rsid w:val="008828CF"/>
    <w:rsid w:val="008831FC"/>
    <w:rsid w:val="00883A14"/>
    <w:rsid w:val="00884619"/>
    <w:rsid w:val="008849FF"/>
    <w:rsid w:val="008855AD"/>
    <w:rsid w:val="00886320"/>
    <w:rsid w:val="00887183"/>
    <w:rsid w:val="00887ACA"/>
    <w:rsid w:val="00887CCE"/>
    <w:rsid w:val="00890514"/>
    <w:rsid w:val="0089166D"/>
    <w:rsid w:val="00892DFB"/>
    <w:rsid w:val="00892E2E"/>
    <w:rsid w:val="00893884"/>
    <w:rsid w:val="00893A9E"/>
    <w:rsid w:val="00893E6F"/>
    <w:rsid w:val="0089418C"/>
    <w:rsid w:val="00894B1D"/>
    <w:rsid w:val="00897A3C"/>
    <w:rsid w:val="00897C7E"/>
    <w:rsid w:val="008A0601"/>
    <w:rsid w:val="008A087E"/>
    <w:rsid w:val="008A14FE"/>
    <w:rsid w:val="008A1597"/>
    <w:rsid w:val="008A1B44"/>
    <w:rsid w:val="008A28FA"/>
    <w:rsid w:val="008A2FA6"/>
    <w:rsid w:val="008A3337"/>
    <w:rsid w:val="008A4843"/>
    <w:rsid w:val="008A55DD"/>
    <w:rsid w:val="008A5947"/>
    <w:rsid w:val="008A5AC8"/>
    <w:rsid w:val="008A5B90"/>
    <w:rsid w:val="008A657C"/>
    <w:rsid w:val="008A6C85"/>
    <w:rsid w:val="008B020D"/>
    <w:rsid w:val="008B122E"/>
    <w:rsid w:val="008B1601"/>
    <w:rsid w:val="008B223F"/>
    <w:rsid w:val="008B2D4D"/>
    <w:rsid w:val="008B410D"/>
    <w:rsid w:val="008B6221"/>
    <w:rsid w:val="008B65A5"/>
    <w:rsid w:val="008B6D0A"/>
    <w:rsid w:val="008B6D39"/>
    <w:rsid w:val="008B6D51"/>
    <w:rsid w:val="008B729D"/>
    <w:rsid w:val="008B76BA"/>
    <w:rsid w:val="008C111C"/>
    <w:rsid w:val="008C37F0"/>
    <w:rsid w:val="008C556C"/>
    <w:rsid w:val="008C5E2F"/>
    <w:rsid w:val="008C6E48"/>
    <w:rsid w:val="008C6FE9"/>
    <w:rsid w:val="008D0662"/>
    <w:rsid w:val="008D091B"/>
    <w:rsid w:val="008D13E6"/>
    <w:rsid w:val="008D18F4"/>
    <w:rsid w:val="008D1E89"/>
    <w:rsid w:val="008D2A6C"/>
    <w:rsid w:val="008D2DD7"/>
    <w:rsid w:val="008D3A99"/>
    <w:rsid w:val="008D3C7D"/>
    <w:rsid w:val="008D4115"/>
    <w:rsid w:val="008D5679"/>
    <w:rsid w:val="008D5A54"/>
    <w:rsid w:val="008D5BD2"/>
    <w:rsid w:val="008D724C"/>
    <w:rsid w:val="008D7DA8"/>
    <w:rsid w:val="008E03B4"/>
    <w:rsid w:val="008E24CC"/>
    <w:rsid w:val="008E344F"/>
    <w:rsid w:val="008E347E"/>
    <w:rsid w:val="008E3815"/>
    <w:rsid w:val="008E3F3E"/>
    <w:rsid w:val="008E4BBE"/>
    <w:rsid w:val="008E4F26"/>
    <w:rsid w:val="008E544D"/>
    <w:rsid w:val="008E5502"/>
    <w:rsid w:val="008E5F7B"/>
    <w:rsid w:val="008E7AD6"/>
    <w:rsid w:val="008F0744"/>
    <w:rsid w:val="008F23BF"/>
    <w:rsid w:val="008F2C31"/>
    <w:rsid w:val="008F2CD5"/>
    <w:rsid w:val="008F32BE"/>
    <w:rsid w:val="008F345C"/>
    <w:rsid w:val="008F5ACD"/>
    <w:rsid w:val="008F5F0D"/>
    <w:rsid w:val="008F6262"/>
    <w:rsid w:val="00901142"/>
    <w:rsid w:val="00901393"/>
    <w:rsid w:val="00901D29"/>
    <w:rsid w:val="00902046"/>
    <w:rsid w:val="00903F2E"/>
    <w:rsid w:val="0090420E"/>
    <w:rsid w:val="00904419"/>
    <w:rsid w:val="009045BF"/>
    <w:rsid w:val="0090486F"/>
    <w:rsid w:val="0090542A"/>
    <w:rsid w:val="00905525"/>
    <w:rsid w:val="00905616"/>
    <w:rsid w:val="00905F4D"/>
    <w:rsid w:val="009062D3"/>
    <w:rsid w:val="0090683E"/>
    <w:rsid w:val="00906A56"/>
    <w:rsid w:val="009074F0"/>
    <w:rsid w:val="009108DD"/>
    <w:rsid w:val="00910DC3"/>
    <w:rsid w:val="00912168"/>
    <w:rsid w:val="00912C14"/>
    <w:rsid w:val="0091339B"/>
    <w:rsid w:val="0091385F"/>
    <w:rsid w:val="0091405D"/>
    <w:rsid w:val="00914CD9"/>
    <w:rsid w:val="0091614D"/>
    <w:rsid w:val="00916D1A"/>
    <w:rsid w:val="00916FB6"/>
    <w:rsid w:val="0091705E"/>
    <w:rsid w:val="009170D4"/>
    <w:rsid w:val="009177AD"/>
    <w:rsid w:val="009202C7"/>
    <w:rsid w:val="009212CD"/>
    <w:rsid w:val="00922A23"/>
    <w:rsid w:val="00923FAE"/>
    <w:rsid w:val="00924502"/>
    <w:rsid w:val="009267A6"/>
    <w:rsid w:val="00927230"/>
    <w:rsid w:val="00930748"/>
    <w:rsid w:val="00932778"/>
    <w:rsid w:val="00933030"/>
    <w:rsid w:val="00934914"/>
    <w:rsid w:val="00935A38"/>
    <w:rsid w:val="00935B9F"/>
    <w:rsid w:val="0093657E"/>
    <w:rsid w:val="00940631"/>
    <w:rsid w:val="00942091"/>
    <w:rsid w:val="009425EE"/>
    <w:rsid w:val="00944928"/>
    <w:rsid w:val="00944A9B"/>
    <w:rsid w:val="0094516F"/>
    <w:rsid w:val="009451DE"/>
    <w:rsid w:val="00945315"/>
    <w:rsid w:val="00946506"/>
    <w:rsid w:val="0095060C"/>
    <w:rsid w:val="009511A9"/>
    <w:rsid w:val="009512A0"/>
    <w:rsid w:val="00951E8F"/>
    <w:rsid w:val="00952E84"/>
    <w:rsid w:val="00953D58"/>
    <w:rsid w:val="00955079"/>
    <w:rsid w:val="00955481"/>
    <w:rsid w:val="009554C7"/>
    <w:rsid w:val="009557EE"/>
    <w:rsid w:val="00955EC5"/>
    <w:rsid w:val="009561DC"/>
    <w:rsid w:val="009566DE"/>
    <w:rsid w:val="00957756"/>
    <w:rsid w:val="00961D41"/>
    <w:rsid w:val="009623D0"/>
    <w:rsid w:val="009626E1"/>
    <w:rsid w:val="009632A4"/>
    <w:rsid w:val="00963A33"/>
    <w:rsid w:val="009642AC"/>
    <w:rsid w:val="0096448F"/>
    <w:rsid w:val="00964782"/>
    <w:rsid w:val="00965993"/>
    <w:rsid w:val="0096669C"/>
    <w:rsid w:val="00966905"/>
    <w:rsid w:val="00966BE3"/>
    <w:rsid w:val="0096707E"/>
    <w:rsid w:val="0096751F"/>
    <w:rsid w:val="00970648"/>
    <w:rsid w:val="00970A28"/>
    <w:rsid w:val="009716DD"/>
    <w:rsid w:val="0097190C"/>
    <w:rsid w:val="00972224"/>
    <w:rsid w:val="009730C2"/>
    <w:rsid w:val="00973B64"/>
    <w:rsid w:val="00974B1F"/>
    <w:rsid w:val="009752C9"/>
    <w:rsid w:val="009752DB"/>
    <w:rsid w:val="0097605E"/>
    <w:rsid w:val="00976D96"/>
    <w:rsid w:val="0097775B"/>
    <w:rsid w:val="00977E36"/>
    <w:rsid w:val="0098087E"/>
    <w:rsid w:val="00980BD0"/>
    <w:rsid w:val="00981821"/>
    <w:rsid w:val="009825C4"/>
    <w:rsid w:val="009833C9"/>
    <w:rsid w:val="009863C6"/>
    <w:rsid w:val="009865B4"/>
    <w:rsid w:val="00986C49"/>
    <w:rsid w:val="00986CD7"/>
    <w:rsid w:val="009877FB"/>
    <w:rsid w:val="00991022"/>
    <w:rsid w:val="00991B71"/>
    <w:rsid w:val="00992AC4"/>
    <w:rsid w:val="00994350"/>
    <w:rsid w:val="00994CF8"/>
    <w:rsid w:val="009950CE"/>
    <w:rsid w:val="00995485"/>
    <w:rsid w:val="00995B17"/>
    <w:rsid w:val="00995F45"/>
    <w:rsid w:val="009964F2"/>
    <w:rsid w:val="00996A2A"/>
    <w:rsid w:val="009A17DF"/>
    <w:rsid w:val="009A3486"/>
    <w:rsid w:val="009A5B39"/>
    <w:rsid w:val="009A6362"/>
    <w:rsid w:val="009A7664"/>
    <w:rsid w:val="009A7F41"/>
    <w:rsid w:val="009A7FC5"/>
    <w:rsid w:val="009B0627"/>
    <w:rsid w:val="009B09C2"/>
    <w:rsid w:val="009B156B"/>
    <w:rsid w:val="009B1B09"/>
    <w:rsid w:val="009B22C9"/>
    <w:rsid w:val="009B379A"/>
    <w:rsid w:val="009B40C4"/>
    <w:rsid w:val="009B4173"/>
    <w:rsid w:val="009B4C40"/>
    <w:rsid w:val="009B4D84"/>
    <w:rsid w:val="009B5E37"/>
    <w:rsid w:val="009B60B3"/>
    <w:rsid w:val="009B6192"/>
    <w:rsid w:val="009B6E8F"/>
    <w:rsid w:val="009B724B"/>
    <w:rsid w:val="009C078B"/>
    <w:rsid w:val="009C0D58"/>
    <w:rsid w:val="009C115C"/>
    <w:rsid w:val="009C1A62"/>
    <w:rsid w:val="009C3697"/>
    <w:rsid w:val="009C3FE7"/>
    <w:rsid w:val="009C51CF"/>
    <w:rsid w:val="009C5585"/>
    <w:rsid w:val="009C6FEA"/>
    <w:rsid w:val="009C78AD"/>
    <w:rsid w:val="009D1F1A"/>
    <w:rsid w:val="009D240E"/>
    <w:rsid w:val="009D456D"/>
    <w:rsid w:val="009D4957"/>
    <w:rsid w:val="009D52E5"/>
    <w:rsid w:val="009D5583"/>
    <w:rsid w:val="009D5905"/>
    <w:rsid w:val="009D5F0D"/>
    <w:rsid w:val="009D63C1"/>
    <w:rsid w:val="009D648F"/>
    <w:rsid w:val="009D66B0"/>
    <w:rsid w:val="009D67FF"/>
    <w:rsid w:val="009D7876"/>
    <w:rsid w:val="009D7BBA"/>
    <w:rsid w:val="009D7D11"/>
    <w:rsid w:val="009E068E"/>
    <w:rsid w:val="009E0BB8"/>
    <w:rsid w:val="009E0D53"/>
    <w:rsid w:val="009E1F7F"/>
    <w:rsid w:val="009E3FA0"/>
    <w:rsid w:val="009E559A"/>
    <w:rsid w:val="009E5B2C"/>
    <w:rsid w:val="009E6C8D"/>
    <w:rsid w:val="009E7097"/>
    <w:rsid w:val="009F010A"/>
    <w:rsid w:val="009F0309"/>
    <w:rsid w:val="009F0988"/>
    <w:rsid w:val="009F0A7F"/>
    <w:rsid w:val="009F10AC"/>
    <w:rsid w:val="009F2AC4"/>
    <w:rsid w:val="009F3012"/>
    <w:rsid w:val="009F32FF"/>
    <w:rsid w:val="009F48C5"/>
    <w:rsid w:val="009F535A"/>
    <w:rsid w:val="009F7441"/>
    <w:rsid w:val="009F7A29"/>
    <w:rsid w:val="009F7B35"/>
    <w:rsid w:val="00A00FBF"/>
    <w:rsid w:val="00A013A2"/>
    <w:rsid w:val="00A01F93"/>
    <w:rsid w:val="00A01FE0"/>
    <w:rsid w:val="00A022DC"/>
    <w:rsid w:val="00A02537"/>
    <w:rsid w:val="00A02825"/>
    <w:rsid w:val="00A02C47"/>
    <w:rsid w:val="00A031FA"/>
    <w:rsid w:val="00A04299"/>
    <w:rsid w:val="00A042E3"/>
    <w:rsid w:val="00A04812"/>
    <w:rsid w:val="00A05CE0"/>
    <w:rsid w:val="00A05DAA"/>
    <w:rsid w:val="00A064C9"/>
    <w:rsid w:val="00A066F9"/>
    <w:rsid w:val="00A07044"/>
    <w:rsid w:val="00A1040F"/>
    <w:rsid w:val="00A10A36"/>
    <w:rsid w:val="00A11463"/>
    <w:rsid w:val="00A11E24"/>
    <w:rsid w:val="00A1362D"/>
    <w:rsid w:val="00A136F5"/>
    <w:rsid w:val="00A13D37"/>
    <w:rsid w:val="00A1543D"/>
    <w:rsid w:val="00A154EE"/>
    <w:rsid w:val="00A155E8"/>
    <w:rsid w:val="00A1594F"/>
    <w:rsid w:val="00A15C6D"/>
    <w:rsid w:val="00A16894"/>
    <w:rsid w:val="00A171EC"/>
    <w:rsid w:val="00A172B7"/>
    <w:rsid w:val="00A17393"/>
    <w:rsid w:val="00A213E6"/>
    <w:rsid w:val="00A21992"/>
    <w:rsid w:val="00A21AE4"/>
    <w:rsid w:val="00A21C17"/>
    <w:rsid w:val="00A21CC6"/>
    <w:rsid w:val="00A22BCB"/>
    <w:rsid w:val="00A22CF7"/>
    <w:rsid w:val="00A2477C"/>
    <w:rsid w:val="00A256B2"/>
    <w:rsid w:val="00A26201"/>
    <w:rsid w:val="00A26CE2"/>
    <w:rsid w:val="00A26EB1"/>
    <w:rsid w:val="00A2717F"/>
    <w:rsid w:val="00A274A8"/>
    <w:rsid w:val="00A27A86"/>
    <w:rsid w:val="00A30126"/>
    <w:rsid w:val="00A302F9"/>
    <w:rsid w:val="00A30627"/>
    <w:rsid w:val="00A30F77"/>
    <w:rsid w:val="00A3119B"/>
    <w:rsid w:val="00A31966"/>
    <w:rsid w:val="00A331AA"/>
    <w:rsid w:val="00A336E2"/>
    <w:rsid w:val="00A33852"/>
    <w:rsid w:val="00A34114"/>
    <w:rsid w:val="00A3477B"/>
    <w:rsid w:val="00A34A59"/>
    <w:rsid w:val="00A364C6"/>
    <w:rsid w:val="00A36E61"/>
    <w:rsid w:val="00A36E93"/>
    <w:rsid w:val="00A37551"/>
    <w:rsid w:val="00A40C78"/>
    <w:rsid w:val="00A4107C"/>
    <w:rsid w:val="00A41945"/>
    <w:rsid w:val="00A43051"/>
    <w:rsid w:val="00A43EC3"/>
    <w:rsid w:val="00A448C8"/>
    <w:rsid w:val="00A45076"/>
    <w:rsid w:val="00A457FF"/>
    <w:rsid w:val="00A45854"/>
    <w:rsid w:val="00A45997"/>
    <w:rsid w:val="00A4671F"/>
    <w:rsid w:val="00A46B66"/>
    <w:rsid w:val="00A501D1"/>
    <w:rsid w:val="00A5082B"/>
    <w:rsid w:val="00A5163A"/>
    <w:rsid w:val="00A51E35"/>
    <w:rsid w:val="00A53138"/>
    <w:rsid w:val="00A5327A"/>
    <w:rsid w:val="00A53B57"/>
    <w:rsid w:val="00A5434C"/>
    <w:rsid w:val="00A54F96"/>
    <w:rsid w:val="00A55307"/>
    <w:rsid w:val="00A555D1"/>
    <w:rsid w:val="00A57B45"/>
    <w:rsid w:val="00A60E22"/>
    <w:rsid w:val="00A616AA"/>
    <w:rsid w:val="00A62E16"/>
    <w:rsid w:val="00A636F2"/>
    <w:rsid w:val="00A643C1"/>
    <w:rsid w:val="00A645B2"/>
    <w:rsid w:val="00A6501C"/>
    <w:rsid w:val="00A65089"/>
    <w:rsid w:val="00A652E8"/>
    <w:rsid w:val="00A65DD7"/>
    <w:rsid w:val="00A66184"/>
    <w:rsid w:val="00A67124"/>
    <w:rsid w:val="00A67CB1"/>
    <w:rsid w:val="00A67EAB"/>
    <w:rsid w:val="00A67EBF"/>
    <w:rsid w:val="00A7000C"/>
    <w:rsid w:val="00A71B28"/>
    <w:rsid w:val="00A72307"/>
    <w:rsid w:val="00A72C40"/>
    <w:rsid w:val="00A7332D"/>
    <w:rsid w:val="00A74218"/>
    <w:rsid w:val="00A74B97"/>
    <w:rsid w:val="00A76C01"/>
    <w:rsid w:val="00A77B15"/>
    <w:rsid w:val="00A77E0B"/>
    <w:rsid w:val="00A81244"/>
    <w:rsid w:val="00A81458"/>
    <w:rsid w:val="00A81501"/>
    <w:rsid w:val="00A82368"/>
    <w:rsid w:val="00A826F4"/>
    <w:rsid w:val="00A83A21"/>
    <w:rsid w:val="00A83A24"/>
    <w:rsid w:val="00A83A66"/>
    <w:rsid w:val="00A83B60"/>
    <w:rsid w:val="00A84273"/>
    <w:rsid w:val="00A84D45"/>
    <w:rsid w:val="00A85A60"/>
    <w:rsid w:val="00A85DA0"/>
    <w:rsid w:val="00A871A4"/>
    <w:rsid w:val="00A8767B"/>
    <w:rsid w:val="00A90540"/>
    <w:rsid w:val="00A91A45"/>
    <w:rsid w:val="00A924D2"/>
    <w:rsid w:val="00A94378"/>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AF9"/>
    <w:rsid w:val="00AA2F8E"/>
    <w:rsid w:val="00AA4297"/>
    <w:rsid w:val="00AA4724"/>
    <w:rsid w:val="00AA4A36"/>
    <w:rsid w:val="00AA510F"/>
    <w:rsid w:val="00AA5192"/>
    <w:rsid w:val="00AA52DD"/>
    <w:rsid w:val="00AA52FB"/>
    <w:rsid w:val="00AA5AC2"/>
    <w:rsid w:val="00AA6CF5"/>
    <w:rsid w:val="00AA7610"/>
    <w:rsid w:val="00AB0867"/>
    <w:rsid w:val="00AB1D0C"/>
    <w:rsid w:val="00AB2449"/>
    <w:rsid w:val="00AB2C01"/>
    <w:rsid w:val="00AB362A"/>
    <w:rsid w:val="00AB3D26"/>
    <w:rsid w:val="00AB4B64"/>
    <w:rsid w:val="00AB647E"/>
    <w:rsid w:val="00AB6AC5"/>
    <w:rsid w:val="00AB73D0"/>
    <w:rsid w:val="00AC011D"/>
    <w:rsid w:val="00AC0408"/>
    <w:rsid w:val="00AC112C"/>
    <w:rsid w:val="00AC1639"/>
    <w:rsid w:val="00AC2BC0"/>
    <w:rsid w:val="00AC3611"/>
    <w:rsid w:val="00AC3A8C"/>
    <w:rsid w:val="00AC60A6"/>
    <w:rsid w:val="00AC6CD5"/>
    <w:rsid w:val="00AC6D80"/>
    <w:rsid w:val="00AC73BF"/>
    <w:rsid w:val="00AC74D0"/>
    <w:rsid w:val="00AC7E2D"/>
    <w:rsid w:val="00AD0068"/>
    <w:rsid w:val="00AD0374"/>
    <w:rsid w:val="00AD0483"/>
    <w:rsid w:val="00AD05D3"/>
    <w:rsid w:val="00AD0758"/>
    <w:rsid w:val="00AD0EB1"/>
    <w:rsid w:val="00AD161A"/>
    <w:rsid w:val="00AD1EB2"/>
    <w:rsid w:val="00AD358D"/>
    <w:rsid w:val="00AD382E"/>
    <w:rsid w:val="00AD44A7"/>
    <w:rsid w:val="00AD4F42"/>
    <w:rsid w:val="00AD6CAB"/>
    <w:rsid w:val="00AD6CFC"/>
    <w:rsid w:val="00AD7FF1"/>
    <w:rsid w:val="00AE0793"/>
    <w:rsid w:val="00AE0896"/>
    <w:rsid w:val="00AE1712"/>
    <w:rsid w:val="00AE2B40"/>
    <w:rsid w:val="00AE3076"/>
    <w:rsid w:val="00AE38AA"/>
    <w:rsid w:val="00AE391A"/>
    <w:rsid w:val="00AE3F5C"/>
    <w:rsid w:val="00AE41C4"/>
    <w:rsid w:val="00AE4D0A"/>
    <w:rsid w:val="00AE4EF0"/>
    <w:rsid w:val="00AE519F"/>
    <w:rsid w:val="00AE56F6"/>
    <w:rsid w:val="00AE6B4D"/>
    <w:rsid w:val="00AE73FF"/>
    <w:rsid w:val="00AE7684"/>
    <w:rsid w:val="00AF1033"/>
    <w:rsid w:val="00AF13E5"/>
    <w:rsid w:val="00AF1F76"/>
    <w:rsid w:val="00AF4396"/>
    <w:rsid w:val="00AF50C1"/>
    <w:rsid w:val="00AF61E9"/>
    <w:rsid w:val="00AF659D"/>
    <w:rsid w:val="00AF6666"/>
    <w:rsid w:val="00B00D0F"/>
    <w:rsid w:val="00B028AE"/>
    <w:rsid w:val="00B03C68"/>
    <w:rsid w:val="00B03D12"/>
    <w:rsid w:val="00B051BF"/>
    <w:rsid w:val="00B059CC"/>
    <w:rsid w:val="00B07D7E"/>
    <w:rsid w:val="00B10924"/>
    <w:rsid w:val="00B10CCE"/>
    <w:rsid w:val="00B11033"/>
    <w:rsid w:val="00B11253"/>
    <w:rsid w:val="00B11899"/>
    <w:rsid w:val="00B118BB"/>
    <w:rsid w:val="00B11BA0"/>
    <w:rsid w:val="00B11FE2"/>
    <w:rsid w:val="00B12700"/>
    <w:rsid w:val="00B12F1A"/>
    <w:rsid w:val="00B143AF"/>
    <w:rsid w:val="00B14AE2"/>
    <w:rsid w:val="00B159DE"/>
    <w:rsid w:val="00B15A49"/>
    <w:rsid w:val="00B15DBA"/>
    <w:rsid w:val="00B15E9C"/>
    <w:rsid w:val="00B16455"/>
    <w:rsid w:val="00B16FFA"/>
    <w:rsid w:val="00B1704B"/>
    <w:rsid w:val="00B22F87"/>
    <w:rsid w:val="00B240C0"/>
    <w:rsid w:val="00B243FF"/>
    <w:rsid w:val="00B254C2"/>
    <w:rsid w:val="00B260E2"/>
    <w:rsid w:val="00B30249"/>
    <w:rsid w:val="00B30355"/>
    <w:rsid w:val="00B30A5A"/>
    <w:rsid w:val="00B34102"/>
    <w:rsid w:val="00B348B8"/>
    <w:rsid w:val="00B3715A"/>
    <w:rsid w:val="00B377FF"/>
    <w:rsid w:val="00B407D7"/>
    <w:rsid w:val="00B40843"/>
    <w:rsid w:val="00B42053"/>
    <w:rsid w:val="00B420CC"/>
    <w:rsid w:val="00B42228"/>
    <w:rsid w:val="00B42721"/>
    <w:rsid w:val="00B4287A"/>
    <w:rsid w:val="00B42A6F"/>
    <w:rsid w:val="00B43164"/>
    <w:rsid w:val="00B433AD"/>
    <w:rsid w:val="00B43ED0"/>
    <w:rsid w:val="00B461A1"/>
    <w:rsid w:val="00B46D95"/>
    <w:rsid w:val="00B47785"/>
    <w:rsid w:val="00B47A65"/>
    <w:rsid w:val="00B51157"/>
    <w:rsid w:val="00B512D4"/>
    <w:rsid w:val="00B51BEF"/>
    <w:rsid w:val="00B52B38"/>
    <w:rsid w:val="00B534E1"/>
    <w:rsid w:val="00B548AF"/>
    <w:rsid w:val="00B55123"/>
    <w:rsid w:val="00B5554F"/>
    <w:rsid w:val="00B55BB5"/>
    <w:rsid w:val="00B563D1"/>
    <w:rsid w:val="00B56B3F"/>
    <w:rsid w:val="00B56D8A"/>
    <w:rsid w:val="00B57A81"/>
    <w:rsid w:val="00B62881"/>
    <w:rsid w:val="00B62B73"/>
    <w:rsid w:val="00B64450"/>
    <w:rsid w:val="00B649F0"/>
    <w:rsid w:val="00B651D1"/>
    <w:rsid w:val="00B65277"/>
    <w:rsid w:val="00B65F58"/>
    <w:rsid w:val="00B65FCB"/>
    <w:rsid w:val="00B6659A"/>
    <w:rsid w:val="00B672BA"/>
    <w:rsid w:val="00B673D1"/>
    <w:rsid w:val="00B67E14"/>
    <w:rsid w:val="00B67E88"/>
    <w:rsid w:val="00B718DE"/>
    <w:rsid w:val="00B72C63"/>
    <w:rsid w:val="00B7368F"/>
    <w:rsid w:val="00B73CBD"/>
    <w:rsid w:val="00B74584"/>
    <w:rsid w:val="00B75A1D"/>
    <w:rsid w:val="00B75F30"/>
    <w:rsid w:val="00B75F79"/>
    <w:rsid w:val="00B832D8"/>
    <w:rsid w:val="00B8381C"/>
    <w:rsid w:val="00B840AA"/>
    <w:rsid w:val="00B84558"/>
    <w:rsid w:val="00B8498F"/>
    <w:rsid w:val="00B86858"/>
    <w:rsid w:val="00B875E7"/>
    <w:rsid w:val="00B90026"/>
    <w:rsid w:val="00B91115"/>
    <w:rsid w:val="00B913B5"/>
    <w:rsid w:val="00B91508"/>
    <w:rsid w:val="00B9170D"/>
    <w:rsid w:val="00B919A0"/>
    <w:rsid w:val="00B91DB9"/>
    <w:rsid w:val="00B922D4"/>
    <w:rsid w:val="00B93817"/>
    <w:rsid w:val="00B93EC9"/>
    <w:rsid w:val="00B940D4"/>
    <w:rsid w:val="00B942C7"/>
    <w:rsid w:val="00B942FC"/>
    <w:rsid w:val="00B94A2C"/>
    <w:rsid w:val="00B956B4"/>
    <w:rsid w:val="00B95A6A"/>
    <w:rsid w:val="00B96DEB"/>
    <w:rsid w:val="00B96F42"/>
    <w:rsid w:val="00B9755D"/>
    <w:rsid w:val="00BA04BF"/>
    <w:rsid w:val="00BA0C07"/>
    <w:rsid w:val="00BA0EFB"/>
    <w:rsid w:val="00BA1614"/>
    <w:rsid w:val="00BA21D1"/>
    <w:rsid w:val="00BA370C"/>
    <w:rsid w:val="00BA3763"/>
    <w:rsid w:val="00BA3E9E"/>
    <w:rsid w:val="00BA4429"/>
    <w:rsid w:val="00BA45C1"/>
    <w:rsid w:val="00BA4A6D"/>
    <w:rsid w:val="00BA5085"/>
    <w:rsid w:val="00BA5DFC"/>
    <w:rsid w:val="00BA6350"/>
    <w:rsid w:val="00BA63A1"/>
    <w:rsid w:val="00BA7254"/>
    <w:rsid w:val="00BA772A"/>
    <w:rsid w:val="00BA7EED"/>
    <w:rsid w:val="00BB0887"/>
    <w:rsid w:val="00BB153B"/>
    <w:rsid w:val="00BB1F2A"/>
    <w:rsid w:val="00BB20C7"/>
    <w:rsid w:val="00BB2972"/>
    <w:rsid w:val="00BB29D1"/>
    <w:rsid w:val="00BB314A"/>
    <w:rsid w:val="00BB3BBF"/>
    <w:rsid w:val="00BB3C87"/>
    <w:rsid w:val="00BB5098"/>
    <w:rsid w:val="00BC042A"/>
    <w:rsid w:val="00BC0598"/>
    <w:rsid w:val="00BC0C3E"/>
    <w:rsid w:val="00BC1012"/>
    <w:rsid w:val="00BC1BCD"/>
    <w:rsid w:val="00BC22F0"/>
    <w:rsid w:val="00BC2921"/>
    <w:rsid w:val="00BC29CD"/>
    <w:rsid w:val="00BC29EA"/>
    <w:rsid w:val="00BC34EB"/>
    <w:rsid w:val="00BC4323"/>
    <w:rsid w:val="00BC4DF5"/>
    <w:rsid w:val="00BC7953"/>
    <w:rsid w:val="00BD0B7D"/>
    <w:rsid w:val="00BD12E7"/>
    <w:rsid w:val="00BD1C50"/>
    <w:rsid w:val="00BD3925"/>
    <w:rsid w:val="00BD3A86"/>
    <w:rsid w:val="00BD4542"/>
    <w:rsid w:val="00BD466F"/>
    <w:rsid w:val="00BD5AD0"/>
    <w:rsid w:val="00BD5DA9"/>
    <w:rsid w:val="00BD6B2D"/>
    <w:rsid w:val="00BD6F78"/>
    <w:rsid w:val="00BD70BD"/>
    <w:rsid w:val="00BD719D"/>
    <w:rsid w:val="00BE0172"/>
    <w:rsid w:val="00BE0258"/>
    <w:rsid w:val="00BE1447"/>
    <w:rsid w:val="00BE2148"/>
    <w:rsid w:val="00BE215D"/>
    <w:rsid w:val="00BE37E5"/>
    <w:rsid w:val="00BE3C1E"/>
    <w:rsid w:val="00BE5587"/>
    <w:rsid w:val="00BE57DD"/>
    <w:rsid w:val="00BE76CB"/>
    <w:rsid w:val="00BE7A59"/>
    <w:rsid w:val="00BF0A1F"/>
    <w:rsid w:val="00BF0AF1"/>
    <w:rsid w:val="00BF0D0D"/>
    <w:rsid w:val="00BF1809"/>
    <w:rsid w:val="00BF182B"/>
    <w:rsid w:val="00BF1A41"/>
    <w:rsid w:val="00BF2598"/>
    <w:rsid w:val="00BF2F22"/>
    <w:rsid w:val="00BF3A58"/>
    <w:rsid w:val="00BF3C0D"/>
    <w:rsid w:val="00BF3FDF"/>
    <w:rsid w:val="00BF4F68"/>
    <w:rsid w:val="00BF50B5"/>
    <w:rsid w:val="00BF5F22"/>
    <w:rsid w:val="00BF685D"/>
    <w:rsid w:val="00BF71C6"/>
    <w:rsid w:val="00BF72CA"/>
    <w:rsid w:val="00BF7CD8"/>
    <w:rsid w:val="00C00849"/>
    <w:rsid w:val="00C02BE9"/>
    <w:rsid w:val="00C02CE1"/>
    <w:rsid w:val="00C0309A"/>
    <w:rsid w:val="00C03141"/>
    <w:rsid w:val="00C035B9"/>
    <w:rsid w:val="00C036F3"/>
    <w:rsid w:val="00C03923"/>
    <w:rsid w:val="00C04B21"/>
    <w:rsid w:val="00C0563C"/>
    <w:rsid w:val="00C06136"/>
    <w:rsid w:val="00C069D8"/>
    <w:rsid w:val="00C06DC5"/>
    <w:rsid w:val="00C07BAE"/>
    <w:rsid w:val="00C07C15"/>
    <w:rsid w:val="00C1064A"/>
    <w:rsid w:val="00C13270"/>
    <w:rsid w:val="00C1346A"/>
    <w:rsid w:val="00C13818"/>
    <w:rsid w:val="00C14BA3"/>
    <w:rsid w:val="00C150AD"/>
    <w:rsid w:val="00C156BF"/>
    <w:rsid w:val="00C166C1"/>
    <w:rsid w:val="00C17602"/>
    <w:rsid w:val="00C20026"/>
    <w:rsid w:val="00C2023E"/>
    <w:rsid w:val="00C208C0"/>
    <w:rsid w:val="00C216C2"/>
    <w:rsid w:val="00C21B4F"/>
    <w:rsid w:val="00C21E41"/>
    <w:rsid w:val="00C235EA"/>
    <w:rsid w:val="00C23670"/>
    <w:rsid w:val="00C2371B"/>
    <w:rsid w:val="00C2415E"/>
    <w:rsid w:val="00C2552B"/>
    <w:rsid w:val="00C25DC1"/>
    <w:rsid w:val="00C25ECF"/>
    <w:rsid w:val="00C25FA6"/>
    <w:rsid w:val="00C2685E"/>
    <w:rsid w:val="00C2687B"/>
    <w:rsid w:val="00C26B59"/>
    <w:rsid w:val="00C27CB3"/>
    <w:rsid w:val="00C27E89"/>
    <w:rsid w:val="00C309E1"/>
    <w:rsid w:val="00C30A95"/>
    <w:rsid w:val="00C31397"/>
    <w:rsid w:val="00C34B06"/>
    <w:rsid w:val="00C35384"/>
    <w:rsid w:val="00C35CA3"/>
    <w:rsid w:val="00C35DDE"/>
    <w:rsid w:val="00C36163"/>
    <w:rsid w:val="00C40212"/>
    <w:rsid w:val="00C41B9B"/>
    <w:rsid w:val="00C42B7B"/>
    <w:rsid w:val="00C43145"/>
    <w:rsid w:val="00C43441"/>
    <w:rsid w:val="00C450C9"/>
    <w:rsid w:val="00C45DB2"/>
    <w:rsid w:val="00C46745"/>
    <w:rsid w:val="00C46F16"/>
    <w:rsid w:val="00C47C07"/>
    <w:rsid w:val="00C501AA"/>
    <w:rsid w:val="00C50961"/>
    <w:rsid w:val="00C50979"/>
    <w:rsid w:val="00C517BE"/>
    <w:rsid w:val="00C5294A"/>
    <w:rsid w:val="00C53CF7"/>
    <w:rsid w:val="00C54128"/>
    <w:rsid w:val="00C5419F"/>
    <w:rsid w:val="00C55F0D"/>
    <w:rsid w:val="00C5688D"/>
    <w:rsid w:val="00C56914"/>
    <w:rsid w:val="00C569CE"/>
    <w:rsid w:val="00C56E87"/>
    <w:rsid w:val="00C5754E"/>
    <w:rsid w:val="00C57F83"/>
    <w:rsid w:val="00C60F5B"/>
    <w:rsid w:val="00C612D7"/>
    <w:rsid w:val="00C61C8C"/>
    <w:rsid w:val="00C622DB"/>
    <w:rsid w:val="00C627A6"/>
    <w:rsid w:val="00C6295C"/>
    <w:rsid w:val="00C62A1B"/>
    <w:rsid w:val="00C62C1D"/>
    <w:rsid w:val="00C63381"/>
    <w:rsid w:val="00C63E8B"/>
    <w:rsid w:val="00C63E90"/>
    <w:rsid w:val="00C648E1"/>
    <w:rsid w:val="00C64A73"/>
    <w:rsid w:val="00C651D3"/>
    <w:rsid w:val="00C65AC2"/>
    <w:rsid w:val="00C660A2"/>
    <w:rsid w:val="00C66219"/>
    <w:rsid w:val="00C66531"/>
    <w:rsid w:val="00C66E8D"/>
    <w:rsid w:val="00C66FD2"/>
    <w:rsid w:val="00C67306"/>
    <w:rsid w:val="00C6770E"/>
    <w:rsid w:val="00C67A04"/>
    <w:rsid w:val="00C67D84"/>
    <w:rsid w:val="00C71F7B"/>
    <w:rsid w:val="00C7255D"/>
    <w:rsid w:val="00C7322E"/>
    <w:rsid w:val="00C73777"/>
    <w:rsid w:val="00C73E3E"/>
    <w:rsid w:val="00C74DE6"/>
    <w:rsid w:val="00C74EAD"/>
    <w:rsid w:val="00C75933"/>
    <w:rsid w:val="00C75D0A"/>
    <w:rsid w:val="00C77C8A"/>
    <w:rsid w:val="00C77D06"/>
    <w:rsid w:val="00C80FC3"/>
    <w:rsid w:val="00C81927"/>
    <w:rsid w:val="00C81E36"/>
    <w:rsid w:val="00C84711"/>
    <w:rsid w:val="00C85723"/>
    <w:rsid w:val="00C85E07"/>
    <w:rsid w:val="00C86604"/>
    <w:rsid w:val="00C867BB"/>
    <w:rsid w:val="00C90AD6"/>
    <w:rsid w:val="00C90BF4"/>
    <w:rsid w:val="00C90E41"/>
    <w:rsid w:val="00C91632"/>
    <w:rsid w:val="00C91ED5"/>
    <w:rsid w:val="00C9277D"/>
    <w:rsid w:val="00C92B09"/>
    <w:rsid w:val="00C92FAE"/>
    <w:rsid w:val="00C93A35"/>
    <w:rsid w:val="00C9486A"/>
    <w:rsid w:val="00C969EE"/>
    <w:rsid w:val="00C96A1F"/>
    <w:rsid w:val="00C96E2E"/>
    <w:rsid w:val="00CA1649"/>
    <w:rsid w:val="00CA2193"/>
    <w:rsid w:val="00CA38F0"/>
    <w:rsid w:val="00CA46C8"/>
    <w:rsid w:val="00CA52AB"/>
    <w:rsid w:val="00CA564E"/>
    <w:rsid w:val="00CA56A3"/>
    <w:rsid w:val="00CA5AD0"/>
    <w:rsid w:val="00CA64CD"/>
    <w:rsid w:val="00CA65D3"/>
    <w:rsid w:val="00CB00C2"/>
    <w:rsid w:val="00CB0E29"/>
    <w:rsid w:val="00CB17FA"/>
    <w:rsid w:val="00CB1902"/>
    <w:rsid w:val="00CB2E57"/>
    <w:rsid w:val="00CB2F1E"/>
    <w:rsid w:val="00CB46BE"/>
    <w:rsid w:val="00CB5662"/>
    <w:rsid w:val="00CB67F0"/>
    <w:rsid w:val="00CC0C38"/>
    <w:rsid w:val="00CC1259"/>
    <w:rsid w:val="00CC153F"/>
    <w:rsid w:val="00CC197F"/>
    <w:rsid w:val="00CC210C"/>
    <w:rsid w:val="00CC2999"/>
    <w:rsid w:val="00CC39E2"/>
    <w:rsid w:val="00CC3E85"/>
    <w:rsid w:val="00CC577A"/>
    <w:rsid w:val="00CC5DE5"/>
    <w:rsid w:val="00CC5F29"/>
    <w:rsid w:val="00CC6707"/>
    <w:rsid w:val="00CC7E42"/>
    <w:rsid w:val="00CD0B56"/>
    <w:rsid w:val="00CD0D8B"/>
    <w:rsid w:val="00CD1301"/>
    <w:rsid w:val="00CD1CFE"/>
    <w:rsid w:val="00CD1E63"/>
    <w:rsid w:val="00CD2007"/>
    <w:rsid w:val="00CD2BAD"/>
    <w:rsid w:val="00CD31FF"/>
    <w:rsid w:val="00CD368F"/>
    <w:rsid w:val="00CD3BF2"/>
    <w:rsid w:val="00CD4573"/>
    <w:rsid w:val="00CD5846"/>
    <w:rsid w:val="00CD59C8"/>
    <w:rsid w:val="00CD6A47"/>
    <w:rsid w:val="00CD6A87"/>
    <w:rsid w:val="00CD6F6F"/>
    <w:rsid w:val="00CD7749"/>
    <w:rsid w:val="00CE1C25"/>
    <w:rsid w:val="00CE2293"/>
    <w:rsid w:val="00CE2DE3"/>
    <w:rsid w:val="00CE34D2"/>
    <w:rsid w:val="00CE35C0"/>
    <w:rsid w:val="00CE656C"/>
    <w:rsid w:val="00CF1386"/>
    <w:rsid w:val="00CF1C54"/>
    <w:rsid w:val="00CF1F53"/>
    <w:rsid w:val="00CF2169"/>
    <w:rsid w:val="00CF2A56"/>
    <w:rsid w:val="00CF2BD1"/>
    <w:rsid w:val="00CF388F"/>
    <w:rsid w:val="00CF4F89"/>
    <w:rsid w:val="00CF5BB1"/>
    <w:rsid w:val="00CF6239"/>
    <w:rsid w:val="00CF67D9"/>
    <w:rsid w:val="00CF758B"/>
    <w:rsid w:val="00D020F2"/>
    <w:rsid w:val="00D021A3"/>
    <w:rsid w:val="00D02863"/>
    <w:rsid w:val="00D028F2"/>
    <w:rsid w:val="00D03772"/>
    <w:rsid w:val="00D03AD3"/>
    <w:rsid w:val="00D03F6B"/>
    <w:rsid w:val="00D04F40"/>
    <w:rsid w:val="00D05BF3"/>
    <w:rsid w:val="00D10CBA"/>
    <w:rsid w:val="00D1108C"/>
    <w:rsid w:val="00D11159"/>
    <w:rsid w:val="00D11AB2"/>
    <w:rsid w:val="00D1245B"/>
    <w:rsid w:val="00D1293C"/>
    <w:rsid w:val="00D12F96"/>
    <w:rsid w:val="00D13DC5"/>
    <w:rsid w:val="00D16124"/>
    <w:rsid w:val="00D1709C"/>
    <w:rsid w:val="00D17AEB"/>
    <w:rsid w:val="00D2083A"/>
    <w:rsid w:val="00D226BA"/>
    <w:rsid w:val="00D22D42"/>
    <w:rsid w:val="00D23CBA"/>
    <w:rsid w:val="00D25E98"/>
    <w:rsid w:val="00D27023"/>
    <w:rsid w:val="00D31576"/>
    <w:rsid w:val="00D316C0"/>
    <w:rsid w:val="00D31AC9"/>
    <w:rsid w:val="00D33058"/>
    <w:rsid w:val="00D34E98"/>
    <w:rsid w:val="00D35A7E"/>
    <w:rsid w:val="00D35C5E"/>
    <w:rsid w:val="00D3685D"/>
    <w:rsid w:val="00D3763B"/>
    <w:rsid w:val="00D37ACD"/>
    <w:rsid w:val="00D404CF"/>
    <w:rsid w:val="00D40A4C"/>
    <w:rsid w:val="00D41361"/>
    <w:rsid w:val="00D41511"/>
    <w:rsid w:val="00D41693"/>
    <w:rsid w:val="00D416F4"/>
    <w:rsid w:val="00D427CB"/>
    <w:rsid w:val="00D42BC1"/>
    <w:rsid w:val="00D44AD8"/>
    <w:rsid w:val="00D451B2"/>
    <w:rsid w:val="00D45229"/>
    <w:rsid w:val="00D4790F"/>
    <w:rsid w:val="00D47DB5"/>
    <w:rsid w:val="00D47DCF"/>
    <w:rsid w:val="00D50361"/>
    <w:rsid w:val="00D512CF"/>
    <w:rsid w:val="00D52663"/>
    <w:rsid w:val="00D52DC7"/>
    <w:rsid w:val="00D52E26"/>
    <w:rsid w:val="00D539E3"/>
    <w:rsid w:val="00D53C40"/>
    <w:rsid w:val="00D53ED2"/>
    <w:rsid w:val="00D540A5"/>
    <w:rsid w:val="00D54C7D"/>
    <w:rsid w:val="00D556AE"/>
    <w:rsid w:val="00D55F63"/>
    <w:rsid w:val="00D567E2"/>
    <w:rsid w:val="00D56F2D"/>
    <w:rsid w:val="00D6054D"/>
    <w:rsid w:val="00D60993"/>
    <w:rsid w:val="00D60C79"/>
    <w:rsid w:val="00D60C9C"/>
    <w:rsid w:val="00D61381"/>
    <w:rsid w:val="00D62E2C"/>
    <w:rsid w:val="00D631D5"/>
    <w:rsid w:val="00D637D5"/>
    <w:rsid w:val="00D63E56"/>
    <w:rsid w:val="00D6443A"/>
    <w:rsid w:val="00D6758D"/>
    <w:rsid w:val="00D67A83"/>
    <w:rsid w:val="00D70815"/>
    <w:rsid w:val="00D70848"/>
    <w:rsid w:val="00D70C5F"/>
    <w:rsid w:val="00D70D39"/>
    <w:rsid w:val="00D70DBA"/>
    <w:rsid w:val="00D738EE"/>
    <w:rsid w:val="00D73AB5"/>
    <w:rsid w:val="00D73D6D"/>
    <w:rsid w:val="00D74C28"/>
    <w:rsid w:val="00D74EFC"/>
    <w:rsid w:val="00D74F57"/>
    <w:rsid w:val="00D750DE"/>
    <w:rsid w:val="00D7528E"/>
    <w:rsid w:val="00D75AC1"/>
    <w:rsid w:val="00D75D5A"/>
    <w:rsid w:val="00D766C3"/>
    <w:rsid w:val="00D76C9B"/>
    <w:rsid w:val="00D7768A"/>
    <w:rsid w:val="00D77910"/>
    <w:rsid w:val="00D77EB8"/>
    <w:rsid w:val="00D80F83"/>
    <w:rsid w:val="00D81358"/>
    <w:rsid w:val="00D8184B"/>
    <w:rsid w:val="00D82D3E"/>
    <w:rsid w:val="00D834F1"/>
    <w:rsid w:val="00D83EFE"/>
    <w:rsid w:val="00D85A0F"/>
    <w:rsid w:val="00D86F4A"/>
    <w:rsid w:val="00D87081"/>
    <w:rsid w:val="00D871B9"/>
    <w:rsid w:val="00D8791F"/>
    <w:rsid w:val="00D90DC1"/>
    <w:rsid w:val="00D913F3"/>
    <w:rsid w:val="00D917BB"/>
    <w:rsid w:val="00D92232"/>
    <w:rsid w:val="00D92E25"/>
    <w:rsid w:val="00D93252"/>
    <w:rsid w:val="00D9396A"/>
    <w:rsid w:val="00D94756"/>
    <w:rsid w:val="00D963BB"/>
    <w:rsid w:val="00D97F80"/>
    <w:rsid w:val="00D97FAD"/>
    <w:rsid w:val="00DA01C5"/>
    <w:rsid w:val="00DA09DD"/>
    <w:rsid w:val="00DA1670"/>
    <w:rsid w:val="00DA2462"/>
    <w:rsid w:val="00DA278E"/>
    <w:rsid w:val="00DA2E17"/>
    <w:rsid w:val="00DA390A"/>
    <w:rsid w:val="00DA638C"/>
    <w:rsid w:val="00DA7694"/>
    <w:rsid w:val="00DA78A6"/>
    <w:rsid w:val="00DB010F"/>
    <w:rsid w:val="00DB0C69"/>
    <w:rsid w:val="00DB1089"/>
    <w:rsid w:val="00DB10DC"/>
    <w:rsid w:val="00DB2689"/>
    <w:rsid w:val="00DB2807"/>
    <w:rsid w:val="00DB2A1B"/>
    <w:rsid w:val="00DB2E4D"/>
    <w:rsid w:val="00DB438F"/>
    <w:rsid w:val="00DB5238"/>
    <w:rsid w:val="00DB55E9"/>
    <w:rsid w:val="00DB5859"/>
    <w:rsid w:val="00DB5B21"/>
    <w:rsid w:val="00DB5FF2"/>
    <w:rsid w:val="00DB70E7"/>
    <w:rsid w:val="00DC0A59"/>
    <w:rsid w:val="00DC10DE"/>
    <w:rsid w:val="00DC15A3"/>
    <w:rsid w:val="00DC163C"/>
    <w:rsid w:val="00DC1ED0"/>
    <w:rsid w:val="00DC273C"/>
    <w:rsid w:val="00DC2E82"/>
    <w:rsid w:val="00DC2FEB"/>
    <w:rsid w:val="00DC3301"/>
    <w:rsid w:val="00DC37CA"/>
    <w:rsid w:val="00DC3C20"/>
    <w:rsid w:val="00DC48F0"/>
    <w:rsid w:val="00DC49E4"/>
    <w:rsid w:val="00DC4FAA"/>
    <w:rsid w:val="00DC59EB"/>
    <w:rsid w:val="00DC5F6A"/>
    <w:rsid w:val="00DC613E"/>
    <w:rsid w:val="00DC65F1"/>
    <w:rsid w:val="00DC7172"/>
    <w:rsid w:val="00DC73A3"/>
    <w:rsid w:val="00DC757A"/>
    <w:rsid w:val="00DD0886"/>
    <w:rsid w:val="00DD1B1C"/>
    <w:rsid w:val="00DD2F75"/>
    <w:rsid w:val="00DD2F9E"/>
    <w:rsid w:val="00DD3B2F"/>
    <w:rsid w:val="00DD46BE"/>
    <w:rsid w:val="00DD47A3"/>
    <w:rsid w:val="00DD4C66"/>
    <w:rsid w:val="00DD4F0A"/>
    <w:rsid w:val="00DD511E"/>
    <w:rsid w:val="00DD57D9"/>
    <w:rsid w:val="00DD64EF"/>
    <w:rsid w:val="00DD6D01"/>
    <w:rsid w:val="00DD7504"/>
    <w:rsid w:val="00DD7684"/>
    <w:rsid w:val="00DD7941"/>
    <w:rsid w:val="00DE03A8"/>
    <w:rsid w:val="00DE12C2"/>
    <w:rsid w:val="00DE2395"/>
    <w:rsid w:val="00DE24D9"/>
    <w:rsid w:val="00DE2BAA"/>
    <w:rsid w:val="00DE3996"/>
    <w:rsid w:val="00DE47DA"/>
    <w:rsid w:val="00DE4890"/>
    <w:rsid w:val="00DE50DD"/>
    <w:rsid w:val="00DE5907"/>
    <w:rsid w:val="00DE6794"/>
    <w:rsid w:val="00DE6C14"/>
    <w:rsid w:val="00DE6FE1"/>
    <w:rsid w:val="00DE74F5"/>
    <w:rsid w:val="00DE7745"/>
    <w:rsid w:val="00DF07E8"/>
    <w:rsid w:val="00DF0D25"/>
    <w:rsid w:val="00DF1291"/>
    <w:rsid w:val="00DF1B50"/>
    <w:rsid w:val="00DF1B61"/>
    <w:rsid w:val="00DF3048"/>
    <w:rsid w:val="00DF343E"/>
    <w:rsid w:val="00DF3FC2"/>
    <w:rsid w:val="00DF3FFA"/>
    <w:rsid w:val="00DF42A7"/>
    <w:rsid w:val="00DF4391"/>
    <w:rsid w:val="00DF4985"/>
    <w:rsid w:val="00DF4BD2"/>
    <w:rsid w:val="00DF6BD8"/>
    <w:rsid w:val="00DF6EA8"/>
    <w:rsid w:val="00DF7070"/>
    <w:rsid w:val="00DF7807"/>
    <w:rsid w:val="00DF7A97"/>
    <w:rsid w:val="00DF7B31"/>
    <w:rsid w:val="00E0041A"/>
    <w:rsid w:val="00E0095E"/>
    <w:rsid w:val="00E015F4"/>
    <w:rsid w:val="00E019FE"/>
    <w:rsid w:val="00E02344"/>
    <w:rsid w:val="00E027E9"/>
    <w:rsid w:val="00E028EF"/>
    <w:rsid w:val="00E02A91"/>
    <w:rsid w:val="00E04804"/>
    <w:rsid w:val="00E05552"/>
    <w:rsid w:val="00E05A87"/>
    <w:rsid w:val="00E06190"/>
    <w:rsid w:val="00E06330"/>
    <w:rsid w:val="00E06ABC"/>
    <w:rsid w:val="00E06DB2"/>
    <w:rsid w:val="00E0734A"/>
    <w:rsid w:val="00E078AA"/>
    <w:rsid w:val="00E10CE7"/>
    <w:rsid w:val="00E1216F"/>
    <w:rsid w:val="00E12921"/>
    <w:rsid w:val="00E134EE"/>
    <w:rsid w:val="00E13649"/>
    <w:rsid w:val="00E14714"/>
    <w:rsid w:val="00E158DB"/>
    <w:rsid w:val="00E1591F"/>
    <w:rsid w:val="00E16377"/>
    <w:rsid w:val="00E1700C"/>
    <w:rsid w:val="00E20A94"/>
    <w:rsid w:val="00E227FE"/>
    <w:rsid w:val="00E2368D"/>
    <w:rsid w:val="00E238A7"/>
    <w:rsid w:val="00E23D8B"/>
    <w:rsid w:val="00E246AA"/>
    <w:rsid w:val="00E2509C"/>
    <w:rsid w:val="00E26014"/>
    <w:rsid w:val="00E26150"/>
    <w:rsid w:val="00E300B7"/>
    <w:rsid w:val="00E32DE0"/>
    <w:rsid w:val="00E32E5D"/>
    <w:rsid w:val="00E32F37"/>
    <w:rsid w:val="00E33007"/>
    <w:rsid w:val="00E34122"/>
    <w:rsid w:val="00E342BC"/>
    <w:rsid w:val="00E34AC0"/>
    <w:rsid w:val="00E34F2E"/>
    <w:rsid w:val="00E37A7E"/>
    <w:rsid w:val="00E37CAE"/>
    <w:rsid w:val="00E37EEE"/>
    <w:rsid w:val="00E40323"/>
    <w:rsid w:val="00E43089"/>
    <w:rsid w:val="00E4420E"/>
    <w:rsid w:val="00E443CE"/>
    <w:rsid w:val="00E44F10"/>
    <w:rsid w:val="00E456B4"/>
    <w:rsid w:val="00E4582D"/>
    <w:rsid w:val="00E45A08"/>
    <w:rsid w:val="00E46A4F"/>
    <w:rsid w:val="00E50323"/>
    <w:rsid w:val="00E50882"/>
    <w:rsid w:val="00E50C75"/>
    <w:rsid w:val="00E51895"/>
    <w:rsid w:val="00E51B4D"/>
    <w:rsid w:val="00E51F04"/>
    <w:rsid w:val="00E52CB9"/>
    <w:rsid w:val="00E52F40"/>
    <w:rsid w:val="00E548EA"/>
    <w:rsid w:val="00E55045"/>
    <w:rsid w:val="00E55966"/>
    <w:rsid w:val="00E55C07"/>
    <w:rsid w:val="00E55CD5"/>
    <w:rsid w:val="00E56970"/>
    <w:rsid w:val="00E577F5"/>
    <w:rsid w:val="00E57B51"/>
    <w:rsid w:val="00E57E79"/>
    <w:rsid w:val="00E600B9"/>
    <w:rsid w:val="00E612ED"/>
    <w:rsid w:val="00E61B05"/>
    <w:rsid w:val="00E6347B"/>
    <w:rsid w:val="00E63CA9"/>
    <w:rsid w:val="00E64075"/>
    <w:rsid w:val="00E654DC"/>
    <w:rsid w:val="00E65B8E"/>
    <w:rsid w:val="00E67128"/>
    <w:rsid w:val="00E70CE3"/>
    <w:rsid w:val="00E70FA5"/>
    <w:rsid w:val="00E735DD"/>
    <w:rsid w:val="00E73EA5"/>
    <w:rsid w:val="00E74650"/>
    <w:rsid w:val="00E74EE3"/>
    <w:rsid w:val="00E751E5"/>
    <w:rsid w:val="00E7680C"/>
    <w:rsid w:val="00E768C5"/>
    <w:rsid w:val="00E77259"/>
    <w:rsid w:val="00E77D6C"/>
    <w:rsid w:val="00E80E8B"/>
    <w:rsid w:val="00E82BB6"/>
    <w:rsid w:val="00E8394A"/>
    <w:rsid w:val="00E83AC5"/>
    <w:rsid w:val="00E909E8"/>
    <w:rsid w:val="00E91D12"/>
    <w:rsid w:val="00E93001"/>
    <w:rsid w:val="00E931F6"/>
    <w:rsid w:val="00E9375C"/>
    <w:rsid w:val="00E941C0"/>
    <w:rsid w:val="00E9429D"/>
    <w:rsid w:val="00E9466D"/>
    <w:rsid w:val="00E94829"/>
    <w:rsid w:val="00E94EE3"/>
    <w:rsid w:val="00E950C5"/>
    <w:rsid w:val="00E95406"/>
    <w:rsid w:val="00E96936"/>
    <w:rsid w:val="00E96B4D"/>
    <w:rsid w:val="00E970F6"/>
    <w:rsid w:val="00E975C6"/>
    <w:rsid w:val="00EA11CA"/>
    <w:rsid w:val="00EA1878"/>
    <w:rsid w:val="00EA31F2"/>
    <w:rsid w:val="00EA388C"/>
    <w:rsid w:val="00EA58E4"/>
    <w:rsid w:val="00EA6760"/>
    <w:rsid w:val="00EA6CE0"/>
    <w:rsid w:val="00EB0434"/>
    <w:rsid w:val="00EB11F9"/>
    <w:rsid w:val="00EB1D30"/>
    <w:rsid w:val="00EB26BA"/>
    <w:rsid w:val="00EB2BFC"/>
    <w:rsid w:val="00EB2EE8"/>
    <w:rsid w:val="00EB3C7A"/>
    <w:rsid w:val="00EB4060"/>
    <w:rsid w:val="00EB5578"/>
    <w:rsid w:val="00EB73CF"/>
    <w:rsid w:val="00EB76DB"/>
    <w:rsid w:val="00EB7759"/>
    <w:rsid w:val="00EC0773"/>
    <w:rsid w:val="00EC0941"/>
    <w:rsid w:val="00EC0BA7"/>
    <w:rsid w:val="00EC0C40"/>
    <w:rsid w:val="00EC0D17"/>
    <w:rsid w:val="00EC0FA6"/>
    <w:rsid w:val="00EC1039"/>
    <w:rsid w:val="00EC2144"/>
    <w:rsid w:val="00EC4063"/>
    <w:rsid w:val="00EC46F7"/>
    <w:rsid w:val="00EC59F7"/>
    <w:rsid w:val="00EC794D"/>
    <w:rsid w:val="00ED2167"/>
    <w:rsid w:val="00ED3419"/>
    <w:rsid w:val="00ED381B"/>
    <w:rsid w:val="00ED3984"/>
    <w:rsid w:val="00ED5228"/>
    <w:rsid w:val="00EE0351"/>
    <w:rsid w:val="00EE1237"/>
    <w:rsid w:val="00EE292E"/>
    <w:rsid w:val="00EE3234"/>
    <w:rsid w:val="00EE38C2"/>
    <w:rsid w:val="00EE4195"/>
    <w:rsid w:val="00EE4556"/>
    <w:rsid w:val="00EE5C15"/>
    <w:rsid w:val="00EF000F"/>
    <w:rsid w:val="00EF10CD"/>
    <w:rsid w:val="00EF1271"/>
    <w:rsid w:val="00EF37F5"/>
    <w:rsid w:val="00EF48A5"/>
    <w:rsid w:val="00EF4FA5"/>
    <w:rsid w:val="00EF56A5"/>
    <w:rsid w:val="00EF56C4"/>
    <w:rsid w:val="00EF63E3"/>
    <w:rsid w:val="00EF6ADC"/>
    <w:rsid w:val="00F00AA5"/>
    <w:rsid w:val="00F01286"/>
    <w:rsid w:val="00F012C9"/>
    <w:rsid w:val="00F0142B"/>
    <w:rsid w:val="00F01700"/>
    <w:rsid w:val="00F037E0"/>
    <w:rsid w:val="00F0462D"/>
    <w:rsid w:val="00F048E8"/>
    <w:rsid w:val="00F06377"/>
    <w:rsid w:val="00F06EB8"/>
    <w:rsid w:val="00F076D9"/>
    <w:rsid w:val="00F10015"/>
    <w:rsid w:val="00F110A5"/>
    <w:rsid w:val="00F11D6A"/>
    <w:rsid w:val="00F12EEB"/>
    <w:rsid w:val="00F134C1"/>
    <w:rsid w:val="00F13586"/>
    <w:rsid w:val="00F13630"/>
    <w:rsid w:val="00F143CD"/>
    <w:rsid w:val="00F16342"/>
    <w:rsid w:val="00F16B34"/>
    <w:rsid w:val="00F173FA"/>
    <w:rsid w:val="00F17769"/>
    <w:rsid w:val="00F179DA"/>
    <w:rsid w:val="00F20464"/>
    <w:rsid w:val="00F207BE"/>
    <w:rsid w:val="00F20BF9"/>
    <w:rsid w:val="00F2130B"/>
    <w:rsid w:val="00F21D76"/>
    <w:rsid w:val="00F22641"/>
    <w:rsid w:val="00F2341C"/>
    <w:rsid w:val="00F239F8"/>
    <w:rsid w:val="00F23A3E"/>
    <w:rsid w:val="00F24296"/>
    <w:rsid w:val="00F24442"/>
    <w:rsid w:val="00F247B2"/>
    <w:rsid w:val="00F249B6"/>
    <w:rsid w:val="00F26326"/>
    <w:rsid w:val="00F26E25"/>
    <w:rsid w:val="00F27758"/>
    <w:rsid w:val="00F27B0E"/>
    <w:rsid w:val="00F27D63"/>
    <w:rsid w:val="00F30185"/>
    <w:rsid w:val="00F30C27"/>
    <w:rsid w:val="00F3260A"/>
    <w:rsid w:val="00F33832"/>
    <w:rsid w:val="00F33882"/>
    <w:rsid w:val="00F33D1D"/>
    <w:rsid w:val="00F33F81"/>
    <w:rsid w:val="00F34212"/>
    <w:rsid w:val="00F35D89"/>
    <w:rsid w:val="00F35F8B"/>
    <w:rsid w:val="00F3676F"/>
    <w:rsid w:val="00F36ABF"/>
    <w:rsid w:val="00F37DA5"/>
    <w:rsid w:val="00F40974"/>
    <w:rsid w:val="00F40C34"/>
    <w:rsid w:val="00F4115B"/>
    <w:rsid w:val="00F415E9"/>
    <w:rsid w:val="00F41E76"/>
    <w:rsid w:val="00F4206B"/>
    <w:rsid w:val="00F4254B"/>
    <w:rsid w:val="00F4290E"/>
    <w:rsid w:val="00F43108"/>
    <w:rsid w:val="00F4547B"/>
    <w:rsid w:val="00F45B45"/>
    <w:rsid w:val="00F468EC"/>
    <w:rsid w:val="00F47242"/>
    <w:rsid w:val="00F500DF"/>
    <w:rsid w:val="00F51852"/>
    <w:rsid w:val="00F518BE"/>
    <w:rsid w:val="00F51AAE"/>
    <w:rsid w:val="00F51FF4"/>
    <w:rsid w:val="00F541F6"/>
    <w:rsid w:val="00F54B42"/>
    <w:rsid w:val="00F54D75"/>
    <w:rsid w:val="00F5508A"/>
    <w:rsid w:val="00F551E8"/>
    <w:rsid w:val="00F56C76"/>
    <w:rsid w:val="00F56FEA"/>
    <w:rsid w:val="00F60F57"/>
    <w:rsid w:val="00F6150D"/>
    <w:rsid w:val="00F61692"/>
    <w:rsid w:val="00F616AB"/>
    <w:rsid w:val="00F61AFD"/>
    <w:rsid w:val="00F6208A"/>
    <w:rsid w:val="00F620E1"/>
    <w:rsid w:val="00F62B55"/>
    <w:rsid w:val="00F62EAE"/>
    <w:rsid w:val="00F637F1"/>
    <w:rsid w:val="00F63C51"/>
    <w:rsid w:val="00F64403"/>
    <w:rsid w:val="00F64927"/>
    <w:rsid w:val="00F64F25"/>
    <w:rsid w:val="00F65246"/>
    <w:rsid w:val="00F6570B"/>
    <w:rsid w:val="00F702BE"/>
    <w:rsid w:val="00F718A9"/>
    <w:rsid w:val="00F71FC0"/>
    <w:rsid w:val="00F72E06"/>
    <w:rsid w:val="00F73A4E"/>
    <w:rsid w:val="00F73B7F"/>
    <w:rsid w:val="00F73D6C"/>
    <w:rsid w:val="00F74210"/>
    <w:rsid w:val="00F74B75"/>
    <w:rsid w:val="00F75829"/>
    <w:rsid w:val="00F76B31"/>
    <w:rsid w:val="00F76CB6"/>
    <w:rsid w:val="00F777B5"/>
    <w:rsid w:val="00F77968"/>
    <w:rsid w:val="00F80139"/>
    <w:rsid w:val="00F83201"/>
    <w:rsid w:val="00F842B8"/>
    <w:rsid w:val="00F850E5"/>
    <w:rsid w:val="00F85151"/>
    <w:rsid w:val="00F855AC"/>
    <w:rsid w:val="00F858F5"/>
    <w:rsid w:val="00F87488"/>
    <w:rsid w:val="00F87F56"/>
    <w:rsid w:val="00F9130B"/>
    <w:rsid w:val="00F91483"/>
    <w:rsid w:val="00F91E56"/>
    <w:rsid w:val="00F923D1"/>
    <w:rsid w:val="00F93DF3"/>
    <w:rsid w:val="00F94FD7"/>
    <w:rsid w:val="00F95170"/>
    <w:rsid w:val="00F95E16"/>
    <w:rsid w:val="00F96912"/>
    <w:rsid w:val="00F97730"/>
    <w:rsid w:val="00FA0393"/>
    <w:rsid w:val="00FA0F03"/>
    <w:rsid w:val="00FA115C"/>
    <w:rsid w:val="00FA1A02"/>
    <w:rsid w:val="00FA1D37"/>
    <w:rsid w:val="00FA3839"/>
    <w:rsid w:val="00FA4F3D"/>
    <w:rsid w:val="00FA52DE"/>
    <w:rsid w:val="00FA6C0A"/>
    <w:rsid w:val="00FA73BF"/>
    <w:rsid w:val="00FA7897"/>
    <w:rsid w:val="00FB0A21"/>
    <w:rsid w:val="00FB0BF3"/>
    <w:rsid w:val="00FB1EE0"/>
    <w:rsid w:val="00FB2144"/>
    <w:rsid w:val="00FB2CF2"/>
    <w:rsid w:val="00FB305C"/>
    <w:rsid w:val="00FB319A"/>
    <w:rsid w:val="00FB34E9"/>
    <w:rsid w:val="00FB4300"/>
    <w:rsid w:val="00FB56C0"/>
    <w:rsid w:val="00FB5836"/>
    <w:rsid w:val="00FB595F"/>
    <w:rsid w:val="00FB5B90"/>
    <w:rsid w:val="00FB6271"/>
    <w:rsid w:val="00FB6415"/>
    <w:rsid w:val="00FB68B7"/>
    <w:rsid w:val="00FB7462"/>
    <w:rsid w:val="00FC0FE2"/>
    <w:rsid w:val="00FC117D"/>
    <w:rsid w:val="00FC2177"/>
    <w:rsid w:val="00FC231D"/>
    <w:rsid w:val="00FC2474"/>
    <w:rsid w:val="00FC4303"/>
    <w:rsid w:val="00FC588D"/>
    <w:rsid w:val="00FC6564"/>
    <w:rsid w:val="00FC6E1C"/>
    <w:rsid w:val="00FD0166"/>
    <w:rsid w:val="00FD0DB1"/>
    <w:rsid w:val="00FD196F"/>
    <w:rsid w:val="00FD3BE0"/>
    <w:rsid w:val="00FD4395"/>
    <w:rsid w:val="00FD4AE4"/>
    <w:rsid w:val="00FD4CA0"/>
    <w:rsid w:val="00FD55FB"/>
    <w:rsid w:val="00FD5D3C"/>
    <w:rsid w:val="00FD6CB3"/>
    <w:rsid w:val="00FD6CE2"/>
    <w:rsid w:val="00FD6E3E"/>
    <w:rsid w:val="00FD7C6B"/>
    <w:rsid w:val="00FE0B81"/>
    <w:rsid w:val="00FE0D3E"/>
    <w:rsid w:val="00FE10A1"/>
    <w:rsid w:val="00FE10F6"/>
    <w:rsid w:val="00FE180F"/>
    <w:rsid w:val="00FE209B"/>
    <w:rsid w:val="00FE306F"/>
    <w:rsid w:val="00FE316C"/>
    <w:rsid w:val="00FE495D"/>
    <w:rsid w:val="00FE4C64"/>
    <w:rsid w:val="00FE5578"/>
    <w:rsid w:val="00FE5FD7"/>
    <w:rsid w:val="00FE5FED"/>
    <w:rsid w:val="00FE6B6C"/>
    <w:rsid w:val="00FE7FA5"/>
    <w:rsid w:val="00FF0B2E"/>
    <w:rsid w:val="00FF25F8"/>
    <w:rsid w:val="00FF35AF"/>
    <w:rsid w:val="00FF3AD8"/>
    <w:rsid w:val="00FF5DE5"/>
    <w:rsid w:val="00FF6E30"/>
    <w:rsid w:val="00FF7705"/>
    <w:rsid w:val="00FF7D63"/>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63625"/>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4445E5"/>
    <w:pPr>
      <w:shd w:val="clear" w:color="auto" w:fill="FFFFFF"/>
      <w:tabs>
        <w:tab w:val="left" w:pos="567"/>
      </w:tabs>
      <w:jc w:val="both"/>
      <w:outlineLvl w:val="1"/>
    </w:pPr>
    <w:rPr>
      <w:rFonts w:asciiTheme="minorHAnsi" w:eastAsiaTheme="minorEastAsia" w:hAnsiTheme="minorHAnsi" w:cstheme="minorHAnsi"/>
      <w:i/>
      <w:sz w:val="22"/>
      <w:szCs w:val="22"/>
      <w:shd w:val="clear" w:color="auto" w:fill="FFFFFF"/>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4445E5"/>
    <w:rPr>
      <w:rFonts w:eastAsiaTheme="minorEastAsia" w:cstheme="minorHAnsi"/>
      <w:i/>
      <w:shd w:val="clear" w:color="auto" w:fill="FFFFFF"/>
      <w:lang w:eastAsia="lt-LT"/>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uiPriority w:val="99"/>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basedOn w:val="prastasis"/>
    <w:link w:val="SraopastraipaDiagrama"/>
    <w:uiPriority w:val="99"/>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eastAsia="Arial Unicode MS" w:cs="Times New Roman"/>
      <w:bCs w:val="0"/>
      <w:i/>
      <w:iCs w:val="0"/>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link w:val="Sraopastraipa"/>
    <w:uiPriority w:val="34"/>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43"/>
      </w:numPr>
    </w:pPr>
  </w:style>
  <w:style w:type="character" w:styleId="Neapdorotaspaminjimas">
    <w:name w:val="Unresolved Mention"/>
    <w:basedOn w:val="Numatytasispastraiposriftas"/>
    <w:uiPriority w:val="99"/>
    <w:semiHidden/>
    <w:unhideWhenUsed/>
    <w:rsid w:val="005E6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3c16c170441f11e9a221b04854b985af" TargetMode="External"/><Relationship Id="rId18" Type="http://schemas.openxmlformats.org/officeDocument/2006/relationships/hyperlink" Target="https://www.e-tar.lt/portal/lt/legalAct/3e85e3a0517b11e9975f9c35aedfe438"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e-tar.lt/portal/lt/legalAct/7ba1f4f05a1711e98b599e654d7d03a0" TargetMode="External"/><Relationship Id="rId7" Type="http://schemas.openxmlformats.org/officeDocument/2006/relationships/endnotes" Target="endnotes.xml"/><Relationship Id="rId12" Type="http://schemas.openxmlformats.org/officeDocument/2006/relationships/hyperlink" Target="https://www.e-tar.lt/portal/lt/legalAct/b4ff9f50562911e9975f9c35aedfe438" TargetMode="External"/><Relationship Id="rId17" Type="http://schemas.openxmlformats.org/officeDocument/2006/relationships/hyperlink" Target="https://www.e-tar.lt/portal/lt/legalAct/1187e3504cc411e9975f9c35aedfe438"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tar.lt/portal/lt/legalAct/b3db86a04b3111e9b9e1d4aa8e4da0de" TargetMode="External"/><Relationship Id="rId20" Type="http://schemas.openxmlformats.org/officeDocument/2006/relationships/hyperlink" Target="https://www.e-tar.lt/portal/lt/legalAct/0fc8cb9056f311e9975f9c35aedfe4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af56a9504fe811e9975f9c35aedfe438"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e-tar.lt/portal/lt/legalAct/b64df10045b111e9a221b04854b985af" TargetMode="External"/><Relationship Id="rId23" Type="http://schemas.openxmlformats.org/officeDocument/2006/relationships/hyperlink" Target="https://www.e-tar.lt/portal/lt/legalAct/c1b0ad20562911e9975f9c35aedfe438" TargetMode="External"/><Relationship Id="rId28" Type="http://schemas.openxmlformats.org/officeDocument/2006/relationships/theme" Target="theme/theme1.xml"/><Relationship Id="rId10" Type="http://schemas.openxmlformats.org/officeDocument/2006/relationships/hyperlink" Target="https://www.e-tar.lt/portal/lt/legalAct/e09fe340467a11e9a221b04854b985af" TargetMode="External"/><Relationship Id="rId19" Type="http://schemas.openxmlformats.org/officeDocument/2006/relationships/hyperlink" Target="https://www.e-tar.lt/portal/lt/legalAct/de436f40562911e9975f9c35aedfe438" TargetMode="External"/><Relationship Id="rId4" Type="http://schemas.openxmlformats.org/officeDocument/2006/relationships/settings" Target="settings.xml"/><Relationship Id="rId9" Type="http://schemas.openxmlformats.org/officeDocument/2006/relationships/hyperlink" Target="https://www.e-tar.lt/portal/lt/legalAct/a49e819045b111e9a221b04854b985af" TargetMode="External"/><Relationship Id="rId14" Type="http://schemas.openxmlformats.org/officeDocument/2006/relationships/hyperlink" Target="https://www.e-tar.lt/portal/lt/legalAct/409b7d30517b11e9975f9c35aedfe438" TargetMode="External"/><Relationship Id="rId22" Type="http://schemas.openxmlformats.org/officeDocument/2006/relationships/hyperlink" Target="https://www.e-tar.lt/portal/lt/legalAct/12aba3b050b211e9975f9c35aedfe438"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B3C2F9-7DBE-4CD6-8C91-A5C1E15F1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12553</Words>
  <Characters>71556</Characters>
  <Application>Microsoft Office Word</Application>
  <DocSecurity>0</DocSecurity>
  <Lines>596</Lines>
  <Paragraphs>167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83942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Gudeliauskienė</dc:creator>
  <cp:keywords/>
  <dc:description/>
  <cp:lastModifiedBy>Jurga Marcinkevičiūtė</cp:lastModifiedBy>
  <cp:revision>3</cp:revision>
  <cp:lastPrinted>2018-07-19T07:34:00Z</cp:lastPrinted>
  <dcterms:created xsi:type="dcterms:W3CDTF">2019-05-27T10:26:00Z</dcterms:created>
  <dcterms:modified xsi:type="dcterms:W3CDTF">2019-05-27T10:31:00Z</dcterms:modified>
</cp:coreProperties>
</file>