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4C15" w:rsidRPr="00B90026" w:rsidRDefault="003D4C15" w:rsidP="00B91508">
      <w:pPr>
        <w:pStyle w:val="Betarp"/>
        <w:spacing w:after="240"/>
        <w:jc w:val="both"/>
        <w:rPr>
          <w:rFonts w:asciiTheme="minorHAnsi" w:hAnsiTheme="minorHAnsi" w:cstheme="minorHAnsi"/>
        </w:rPr>
      </w:pPr>
      <w:bookmarkStart w:id="0" w:name="_GoBack"/>
      <w:bookmarkEnd w:id="0"/>
    </w:p>
    <w:p w:rsidR="003D4C15" w:rsidRPr="00B90026" w:rsidRDefault="003D4C15" w:rsidP="00B91508">
      <w:pPr>
        <w:pStyle w:val="Betarp"/>
        <w:spacing w:after="240"/>
        <w:jc w:val="both"/>
        <w:rPr>
          <w:rFonts w:asciiTheme="minorHAnsi" w:hAnsiTheme="minorHAnsi" w:cstheme="minorHAnsi"/>
        </w:rPr>
      </w:pPr>
    </w:p>
    <w:p w:rsidR="003D4C15" w:rsidRPr="00B90026" w:rsidRDefault="003D4C15" w:rsidP="00B91508">
      <w:pPr>
        <w:pStyle w:val="Betarp"/>
        <w:spacing w:after="1440"/>
        <w:ind w:left="1296" w:hanging="1296"/>
        <w:jc w:val="center"/>
        <w:rPr>
          <w:rFonts w:asciiTheme="minorHAnsi" w:hAnsiTheme="minorHAnsi" w:cstheme="minorHAnsi"/>
        </w:rPr>
      </w:pPr>
      <w:r w:rsidRPr="00B90026">
        <w:rPr>
          <w:rFonts w:asciiTheme="minorHAnsi" w:hAnsiTheme="minorHAnsi" w:cstheme="minorHAnsi"/>
          <w:noProof/>
          <w:lang w:eastAsia="lt-LT"/>
        </w:rPr>
        <w:drawing>
          <wp:inline distT="0" distB="0" distL="0" distR="0">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DC65F1" w:rsidRPr="00B90026">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simplePos x="0" y="0"/>
                <wp:positionH relativeFrom="page">
                  <wp:posOffset>-302895</wp:posOffset>
                </wp:positionH>
                <wp:positionV relativeFrom="page">
                  <wp:posOffset>10160</wp:posOffset>
                </wp:positionV>
                <wp:extent cx="7919720" cy="633095"/>
                <wp:effectExtent l="0" t="0" r="24765" b="18415"/>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3309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69C9BBEB" id="Rectangle 7" o:spid="_x0000_s1026" style="position:absolute;margin-left:-23.85pt;margin-top:.8pt;width:623.6pt;height:49.8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" o:allowincell="f" fillcolor="#365f91" strokecolor="#31849b">
                <w10:wrap anchorx="page" anchory="page"/>
              </v:rect>
            </w:pict>
          </mc:Fallback>
        </mc:AlternateContent>
      </w:r>
      <w:r w:rsidR="00DC65F1" w:rsidRPr="00B90026">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simplePos x="0" y="0"/>
                <wp:positionH relativeFrom="page">
                  <wp:align>center</wp:align>
                </wp:positionH>
                <wp:positionV relativeFrom="page">
                  <wp:align>bottom</wp:align>
                </wp:positionV>
                <wp:extent cx="7919720" cy="633095"/>
                <wp:effectExtent l="0" t="0" r="24765" b="18415"/>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3309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27B7B899" id="Rectangle 6" o:spid="_x0000_s1026" style="position:absolute;margin-left:0;margin-top:0;width:623.6pt;height:49.8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" o:allowincell="f" fillcolor="#365f91" strokecolor="#17365d">
                <w10:wrap anchorx="page" anchory="page"/>
              </v:rect>
            </w:pict>
          </mc:Fallback>
        </mc:AlternateContent>
      </w:r>
      <w:r w:rsidR="00DC65F1" w:rsidRPr="00B90026">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simplePos x="0" y="0"/>
                <wp:positionH relativeFrom="page">
                  <wp:posOffset>494665</wp:posOffset>
                </wp:positionH>
                <wp:positionV relativeFrom="page">
                  <wp:posOffset>-262255</wp:posOffset>
                </wp:positionV>
                <wp:extent cx="90805" cy="11199495"/>
                <wp:effectExtent l="0" t="0" r="23495" b="1270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716368B" id="Rectangle 9" o:spid="_x0000_s1026"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o:allowincell="f" strokecolor="#17365d">
                <w10:wrap anchorx="page" anchory="page"/>
              </v:rect>
            </w:pict>
          </mc:Fallback>
        </mc:AlternateContent>
      </w:r>
      <w:r w:rsidR="00DC65F1" w:rsidRPr="00B90026">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simplePos x="0" y="0"/>
                <wp:positionH relativeFrom="page">
                  <wp:posOffset>7244715</wp:posOffset>
                </wp:positionH>
                <wp:positionV relativeFrom="page">
                  <wp:posOffset>-262255</wp:posOffset>
                </wp:positionV>
                <wp:extent cx="90805" cy="11199495"/>
                <wp:effectExtent l="0" t="0" r="23495" b="1270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5EC97B44" id="Rectangle 8" o:spid="_x0000_s1026"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o:allowincell="f" strokecolor="#17365d">
                <w10:wrap anchorx="page" anchory="page"/>
              </v:rect>
            </w:pict>
          </mc:Fallback>
        </mc:AlternateContent>
      </w:r>
    </w:p>
    <w:p w:rsidR="003D4C15" w:rsidRPr="00605679" w:rsidRDefault="003D4C15" w:rsidP="00B91508">
      <w:pPr>
        <w:pStyle w:val="Betarp"/>
        <w:jc w:val="center"/>
        <w:rPr>
          <w:rFonts w:asciiTheme="minorHAnsi" w:hAnsiTheme="minorHAnsi" w:cstheme="minorHAnsi"/>
          <w:smallCaps/>
          <w:sz w:val="52"/>
          <w:szCs w:val="52"/>
        </w:rPr>
      </w:pPr>
      <w:r w:rsidRPr="00605679">
        <w:rPr>
          <w:rFonts w:asciiTheme="minorHAnsi" w:hAnsiTheme="minorHAnsi" w:cstheme="minorHAnsi"/>
          <w:smallCaps/>
          <w:sz w:val="52"/>
          <w:szCs w:val="52"/>
        </w:rPr>
        <w:t>Lietuvos vyriausiojo administracinio teismo praktikos apžvalga</w:t>
      </w:r>
    </w:p>
    <w:p w:rsidR="003D4C15" w:rsidRPr="00605679" w:rsidRDefault="003D4C15" w:rsidP="00B91508">
      <w:pPr>
        <w:pStyle w:val="Betarp"/>
        <w:jc w:val="center"/>
        <w:rPr>
          <w:rFonts w:asciiTheme="minorHAnsi" w:hAnsiTheme="minorHAnsi" w:cstheme="minorHAnsi"/>
          <w:b/>
          <w:smallCaps/>
          <w:sz w:val="32"/>
          <w:szCs w:val="32"/>
          <w:u w:val="double"/>
        </w:rPr>
      </w:pPr>
      <w:bookmarkStart w:id="1" w:name="_Toc328035733"/>
      <w:bookmarkStart w:id="2" w:name="_Toc329780677"/>
      <w:bookmarkStart w:id="3" w:name="_Toc329787755"/>
      <w:bookmarkStart w:id="4" w:name="_Toc329790165"/>
      <w:bookmarkStart w:id="5" w:name="_Toc330304784"/>
      <w:bookmarkStart w:id="6" w:name="_Toc331487542"/>
      <w:r w:rsidRPr="00605679">
        <w:rPr>
          <w:rFonts w:asciiTheme="minorHAnsi" w:hAnsiTheme="minorHAnsi" w:cstheme="minorHAnsi"/>
          <w:b/>
          <w:smallCaps/>
          <w:sz w:val="32"/>
          <w:szCs w:val="32"/>
          <w:u w:val="double"/>
        </w:rPr>
        <w:t>201</w:t>
      </w:r>
      <w:r w:rsidR="0024119E" w:rsidRPr="00605679">
        <w:rPr>
          <w:rFonts w:asciiTheme="minorHAnsi" w:hAnsiTheme="minorHAnsi" w:cstheme="minorHAnsi"/>
          <w:b/>
          <w:smallCaps/>
          <w:sz w:val="32"/>
          <w:szCs w:val="32"/>
          <w:u w:val="double"/>
        </w:rPr>
        <w:t>7</w:t>
      </w:r>
      <w:r w:rsidRPr="00605679">
        <w:rPr>
          <w:rFonts w:asciiTheme="minorHAnsi" w:hAnsiTheme="minorHAnsi" w:cstheme="minorHAnsi"/>
          <w:b/>
          <w:smallCaps/>
          <w:sz w:val="32"/>
          <w:szCs w:val="32"/>
          <w:u w:val="double"/>
        </w:rPr>
        <w:t xml:space="preserve"> m. </w:t>
      </w:r>
      <w:r w:rsidR="00FE4C64" w:rsidRPr="00605679">
        <w:rPr>
          <w:rFonts w:asciiTheme="minorHAnsi" w:hAnsiTheme="minorHAnsi" w:cstheme="minorHAnsi"/>
          <w:b/>
          <w:smallCaps/>
          <w:sz w:val="32"/>
          <w:szCs w:val="32"/>
          <w:u w:val="double"/>
        </w:rPr>
        <w:t xml:space="preserve">lapkričio </w:t>
      </w:r>
      <w:r w:rsidRPr="00605679">
        <w:rPr>
          <w:rFonts w:asciiTheme="minorHAnsi" w:hAnsiTheme="minorHAnsi" w:cstheme="minorHAnsi"/>
          <w:b/>
          <w:smallCaps/>
          <w:sz w:val="32"/>
          <w:szCs w:val="32"/>
          <w:u w:val="double"/>
        </w:rPr>
        <w:t>1 d. – 201</w:t>
      </w:r>
      <w:r w:rsidR="0024119E" w:rsidRPr="00605679">
        <w:rPr>
          <w:rFonts w:asciiTheme="minorHAnsi" w:hAnsiTheme="minorHAnsi" w:cstheme="minorHAnsi"/>
          <w:b/>
          <w:smallCaps/>
          <w:sz w:val="32"/>
          <w:szCs w:val="32"/>
          <w:u w:val="double"/>
        </w:rPr>
        <w:t>7</w:t>
      </w:r>
      <w:r w:rsidRPr="00605679">
        <w:rPr>
          <w:rFonts w:asciiTheme="minorHAnsi" w:hAnsiTheme="minorHAnsi" w:cstheme="minorHAnsi"/>
          <w:b/>
          <w:smallCaps/>
          <w:sz w:val="32"/>
          <w:szCs w:val="32"/>
          <w:u w:val="double"/>
        </w:rPr>
        <w:t xml:space="preserve"> m. </w:t>
      </w:r>
      <w:r w:rsidR="00FE4C64" w:rsidRPr="00605679">
        <w:rPr>
          <w:rFonts w:asciiTheme="minorHAnsi" w:hAnsiTheme="minorHAnsi" w:cstheme="minorHAnsi"/>
          <w:b/>
          <w:smallCaps/>
          <w:sz w:val="32"/>
          <w:szCs w:val="32"/>
          <w:u w:val="double"/>
        </w:rPr>
        <w:t xml:space="preserve">gruodžio </w:t>
      </w:r>
      <w:r w:rsidR="003D4945" w:rsidRPr="00605679">
        <w:rPr>
          <w:rFonts w:asciiTheme="minorHAnsi" w:hAnsiTheme="minorHAnsi" w:cstheme="minorHAnsi"/>
          <w:b/>
          <w:smallCaps/>
          <w:sz w:val="32"/>
          <w:szCs w:val="32"/>
          <w:u w:val="double"/>
        </w:rPr>
        <w:t>3</w:t>
      </w:r>
      <w:r w:rsidR="00D42BC1" w:rsidRPr="00605679">
        <w:rPr>
          <w:rFonts w:asciiTheme="minorHAnsi" w:hAnsiTheme="minorHAnsi" w:cstheme="minorHAnsi"/>
          <w:b/>
          <w:smallCaps/>
          <w:sz w:val="32"/>
          <w:szCs w:val="32"/>
          <w:u w:val="double"/>
        </w:rPr>
        <w:t>1</w:t>
      </w:r>
      <w:r w:rsidR="009F7441" w:rsidRPr="00605679">
        <w:rPr>
          <w:rFonts w:asciiTheme="minorHAnsi" w:hAnsiTheme="minorHAnsi" w:cstheme="minorHAnsi"/>
          <w:b/>
          <w:smallCaps/>
          <w:sz w:val="32"/>
          <w:szCs w:val="32"/>
          <w:u w:val="double"/>
        </w:rPr>
        <w:t xml:space="preserve"> </w:t>
      </w:r>
      <w:r w:rsidRPr="00605679">
        <w:rPr>
          <w:rFonts w:asciiTheme="minorHAnsi" w:hAnsiTheme="minorHAnsi" w:cstheme="minorHAnsi"/>
          <w:b/>
          <w:smallCaps/>
          <w:sz w:val="32"/>
          <w:szCs w:val="32"/>
          <w:u w:val="double"/>
        </w:rPr>
        <w:t>d.</w:t>
      </w:r>
      <w:bookmarkEnd w:id="1"/>
      <w:bookmarkEnd w:id="2"/>
      <w:bookmarkEnd w:id="3"/>
      <w:bookmarkEnd w:id="4"/>
      <w:bookmarkEnd w:id="5"/>
      <w:bookmarkEnd w:id="6"/>
    </w:p>
    <w:p w:rsidR="003D4C15" w:rsidRPr="00B90026" w:rsidRDefault="003D4C15" w:rsidP="00B91508">
      <w:pPr>
        <w:jc w:val="both"/>
        <w:rPr>
          <w:rFonts w:asciiTheme="minorHAnsi" w:hAnsiTheme="minorHAnsi" w:cstheme="minorHAnsi"/>
          <w:b/>
          <w:smallCaps/>
          <w:sz w:val="22"/>
          <w:szCs w:val="22"/>
        </w:rPr>
      </w:pPr>
    </w:p>
    <w:p w:rsidR="003D4C15" w:rsidRPr="00B90026" w:rsidRDefault="003D4C15" w:rsidP="00B91508">
      <w:pPr>
        <w:jc w:val="both"/>
        <w:rPr>
          <w:rFonts w:asciiTheme="minorHAnsi" w:hAnsiTheme="minorHAnsi" w:cstheme="minorHAnsi"/>
          <w:b/>
          <w:smallCaps/>
          <w:sz w:val="22"/>
          <w:szCs w:val="22"/>
        </w:rPr>
      </w:pPr>
    </w:p>
    <w:p w:rsidR="003D4C15" w:rsidRPr="00B90026" w:rsidRDefault="003D4C15" w:rsidP="00B91508">
      <w:pPr>
        <w:jc w:val="both"/>
        <w:rPr>
          <w:rFonts w:asciiTheme="minorHAnsi" w:hAnsiTheme="minorHAnsi" w:cstheme="minorHAnsi"/>
          <w:b/>
          <w:smallCaps/>
          <w:sz w:val="22"/>
          <w:szCs w:val="22"/>
        </w:rPr>
      </w:pPr>
    </w:p>
    <w:p w:rsidR="003D4C15" w:rsidRPr="00B90026" w:rsidRDefault="003D4C15" w:rsidP="00B91508">
      <w:pPr>
        <w:jc w:val="both"/>
        <w:rPr>
          <w:rFonts w:asciiTheme="minorHAnsi" w:hAnsiTheme="minorHAnsi" w:cstheme="minorHAnsi"/>
          <w:b/>
          <w:smallCaps/>
          <w:sz w:val="22"/>
          <w:szCs w:val="22"/>
        </w:rPr>
      </w:pPr>
    </w:p>
    <w:p w:rsidR="003D4C15" w:rsidRPr="00B90026" w:rsidRDefault="003D4C15" w:rsidP="00B91508">
      <w:pPr>
        <w:jc w:val="both"/>
        <w:rPr>
          <w:rFonts w:asciiTheme="minorHAnsi" w:hAnsiTheme="minorHAnsi" w:cstheme="minorHAnsi"/>
          <w:b/>
          <w:smallCaps/>
          <w:sz w:val="22"/>
          <w:szCs w:val="22"/>
        </w:rPr>
      </w:pPr>
    </w:p>
    <w:p w:rsidR="003D4C15" w:rsidRPr="00B90026" w:rsidRDefault="003D4C15" w:rsidP="00B91508">
      <w:pPr>
        <w:jc w:val="both"/>
        <w:rPr>
          <w:rFonts w:asciiTheme="minorHAnsi" w:hAnsiTheme="minorHAnsi" w:cstheme="minorHAnsi"/>
          <w:b/>
          <w:smallCaps/>
          <w:sz w:val="22"/>
          <w:szCs w:val="22"/>
        </w:rPr>
      </w:pPr>
    </w:p>
    <w:p w:rsidR="003D4C15" w:rsidRPr="00B90026" w:rsidRDefault="003D4C15" w:rsidP="00B91508">
      <w:pPr>
        <w:jc w:val="both"/>
        <w:rPr>
          <w:rFonts w:asciiTheme="minorHAnsi" w:hAnsiTheme="minorHAnsi" w:cstheme="minorHAnsi"/>
          <w:b/>
          <w:smallCaps/>
          <w:sz w:val="22"/>
          <w:szCs w:val="22"/>
        </w:rPr>
      </w:pPr>
    </w:p>
    <w:p w:rsidR="003D4C15" w:rsidRDefault="003D4C15" w:rsidP="00B91508">
      <w:pPr>
        <w:jc w:val="both"/>
        <w:rPr>
          <w:rFonts w:asciiTheme="minorHAnsi" w:hAnsiTheme="minorHAnsi" w:cstheme="minorHAnsi"/>
          <w:b/>
          <w:smallCaps/>
          <w:sz w:val="22"/>
          <w:szCs w:val="22"/>
        </w:rPr>
      </w:pPr>
    </w:p>
    <w:p w:rsidR="00A46518" w:rsidRDefault="00A46518" w:rsidP="00B91508">
      <w:pPr>
        <w:jc w:val="both"/>
        <w:rPr>
          <w:rFonts w:asciiTheme="minorHAnsi" w:hAnsiTheme="minorHAnsi" w:cstheme="minorHAnsi"/>
          <w:b/>
          <w:smallCaps/>
          <w:sz w:val="22"/>
          <w:szCs w:val="22"/>
        </w:rPr>
      </w:pPr>
    </w:p>
    <w:p w:rsidR="00A46518" w:rsidRDefault="00A46518" w:rsidP="00B91508">
      <w:pPr>
        <w:jc w:val="both"/>
        <w:rPr>
          <w:rFonts w:asciiTheme="minorHAnsi" w:hAnsiTheme="minorHAnsi" w:cstheme="minorHAnsi"/>
          <w:b/>
          <w:smallCaps/>
          <w:sz w:val="22"/>
          <w:szCs w:val="22"/>
        </w:rPr>
      </w:pPr>
    </w:p>
    <w:p w:rsidR="00A46518" w:rsidRDefault="00A46518" w:rsidP="00B91508">
      <w:pPr>
        <w:jc w:val="both"/>
        <w:rPr>
          <w:rFonts w:asciiTheme="minorHAnsi" w:hAnsiTheme="minorHAnsi" w:cstheme="minorHAnsi"/>
          <w:b/>
          <w:smallCaps/>
          <w:sz w:val="22"/>
          <w:szCs w:val="22"/>
        </w:rPr>
      </w:pPr>
    </w:p>
    <w:p w:rsidR="00A46518" w:rsidRDefault="00A46518" w:rsidP="00B91508">
      <w:pPr>
        <w:jc w:val="both"/>
        <w:rPr>
          <w:rFonts w:asciiTheme="minorHAnsi" w:hAnsiTheme="minorHAnsi" w:cstheme="minorHAnsi"/>
          <w:b/>
          <w:smallCaps/>
          <w:sz w:val="22"/>
          <w:szCs w:val="22"/>
        </w:rPr>
      </w:pPr>
    </w:p>
    <w:p w:rsidR="00A46518" w:rsidRPr="00B90026" w:rsidRDefault="00A46518" w:rsidP="00B91508">
      <w:pPr>
        <w:jc w:val="both"/>
        <w:rPr>
          <w:rFonts w:asciiTheme="minorHAnsi" w:hAnsiTheme="minorHAnsi" w:cstheme="minorHAnsi"/>
          <w:b/>
          <w:smallCaps/>
          <w:sz w:val="22"/>
          <w:szCs w:val="22"/>
        </w:rPr>
      </w:pPr>
    </w:p>
    <w:p w:rsidR="003D4C15" w:rsidRPr="00B90026" w:rsidRDefault="003D4C15" w:rsidP="00B91508">
      <w:pPr>
        <w:jc w:val="both"/>
        <w:rPr>
          <w:rFonts w:asciiTheme="minorHAnsi" w:hAnsiTheme="minorHAnsi" w:cstheme="minorHAnsi"/>
          <w:b/>
          <w:smallCaps/>
          <w:sz w:val="22"/>
          <w:szCs w:val="22"/>
        </w:rPr>
      </w:pPr>
    </w:p>
    <w:p w:rsidR="003D4C15" w:rsidRPr="00B90026" w:rsidRDefault="003D4C15" w:rsidP="00B91508">
      <w:pPr>
        <w:jc w:val="both"/>
        <w:rPr>
          <w:rFonts w:asciiTheme="minorHAnsi" w:hAnsiTheme="minorHAnsi" w:cstheme="minorHAnsi"/>
          <w:b/>
          <w:smallCaps/>
          <w:sz w:val="22"/>
          <w:szCs w:val="22"/>
        </w:rPr>
      </w:pPr>
    </w:p>
    <w:p w:rsidR="003D4C15" w:rsidRPr="00B90026" w:rsidRDefault="003D4C15" w:rsidP="00B91508">
      <w:pPr>
        <w:jc w:val="both"/>
        <w:rPr>
          <w:rFonts w:asciiTheme="minorHAnsi" w:hAnsiTheme="minorHAnsi" w:cstheme="minorHAnsi"/>
          <w:b/>
          <w:smallCaps/>
          <w:sz w:val="22"/>
          <w:szCs w:val="22"/>
        </w:rPr>
      </w:pPr>
    </w:p>
    <w:p w:rsidR="003D4C15" w:rsidRPr="00B90026" w:rsidRDefault="003D4C15" w:rsidP="00B91508">
      <w:pPr>
        <w:jc w:val="both"/>
        <w:rPr>
          <w:rFonts w:asciiTheme="minorHAnsi" w:hAnsiTheme="minorHAnsi" w:cstheme="minorHAnsi"/>
          <w:b/>
          <w:smallCaps/>
          <w:sz w:val="22"/>
          <w:szCs w:val="22"/>
        </w:rPr>
      </w:pPr>
    </w:p>
    <w:p w:rsidR="003D4C15" w:rsidRPr="00B90026" w:rsidRDefault="003D4C15" w:rsidP="00B91508">
      <w:pPr>
        <w:jc w:val="both"/>
        <w:rPr>
          <w:rFonts w:asciiTheme="minorHAnsi" w:hAnsiTheme="minorHAnsi" w:cstheme="minorHAnsi"/>
          <w:b/>
          <w:smallCaps/>
          <w:sz w:val="22"/>
          <w:szCs w:val="22"/>
        </w:rPr>
      </w:pPr>
    </w:p>
    <w:p w:rsidR="003D4C15" w:rsidRPr="00B90026" w:rsidRDefault="003D4C15" w:rsidP="00B91508">
      <w:pPr>
        <w:jc w:val="both"/>
        <w:rPr>
          <w:rFonts w:asciiTheme="minorHAnsi" w:hAnsiTheme="minorHAnsi" w:cstheme="minorHAnsi"/>
          <w:b/>
          <w:smallCaps/>
          <w:sz w:val="22"/>
          <w:szCs w:val="22"/>
        </w:rPr>
      </w:pPr>
    </w:p>
    <w:p w:rsidR="003D4C15" w:rsidRPr="00B90026" w:rsidRDefault="003D4C15" w:rsidP="00B91508">
      <w:pPr>
        <w:jc w:val="both"/>
        <w:rPr>
          <w:rFonts w:asciiTheme="minorHAnsi" w:hAnsiTheme="minorHAnsi" w:cstheme="minorHAnsi"/>
          <w:b/>
          <w:smallCaps/>
          <w:sz w:val="22"/>
          <w:szCs w:val="22"/>
        </w:rPr>
      </w:pPr>
    </w:p>
    <w:p w:rsidR="003D4C15" w:rsidRPr="00605679" w:rsidRDefault="003D4C15" w:rsidP="00B91508">
      <w:pPr>
        <w:jc w:val="center"/>
        <w:rPr>
          <w:rFonts w:asciiTheme="minorHAnsi" w:hAnsiTheme="minorHAnsi" w:cstheme="minorHAnsi"/>
          <w:b/>
          <w:smallCaps/>
          <w:sz w:val="28"/>
          <w:szCs w:val="28"/>
        </w:rPr>
      </w:pPr>
      <w:r w:rsidRPr="00605679">
        <w:rPr>
          <w:rFonts w:asciiTheme="minorHAnsi" w:hAnsiTheme="minorHAnsi" w:cstheme="minorHAnsi"/>
          <w:b/>
          <w:smallCaps/>
          <w:sz w:val="28"/>
          <w:szCs w:val="28"/>
        </w:rPr>
        <w:t>Apžvalgą parengė Lietuvos vyriausiojo administracinio teismo</w:t>
      </w:r>
    </w:p>
    <w:p w:rsidR="003D4C15" w:rsidRPr="00B90026" w:rsidRDefault="003D4C15" w:rsidP="00B91508">
      <w:pPr>
        <w:jc w:val="center"/>
        <w:rPr>
          <w:rFonts w:asciiTheme="minorHAnsi" w:hAnsiTheme="minorHAnsi" w:cstheme="minorHAnsi"/>
          <w:sz w:val="22"/>
          <w:szCs w:val="22"/>
        </w:rPr>
      </w:pPr>
      <w:r w:rsidRPr="00605679">
        <w:rPr>
          <w:rFonts w:asciiTheme="minorHAnsi" w:hAnsiTheme="minorHAnsi" w:cstheme="minorHAnsi"/>
          <w:b/>
          <w:smallCaps/>
          <w:sz w:val="28"/>
          <w:szCs w:val="28"/>
        </w:rPr>
        <w:t>T</w:t>
      </w:r>
      <w:r w:rsidR="0016762E" w:rsidRPr="00605679">
        <w:rPr>
          <w:rFonts w:asciiTheme="minorHAnsi" w:hAnsiTheme="minorHAnsi" w:cstheme="minorHAnsi"/>
          <w:b/>
          <w:smallCaps/>
          <w:sz w:val="28"/>
          <w:szCs w:val="28"/>
        </w:rPr>
        <w:t xml:space="preserve">eismų praktikos </w:t>
      </w:r>
      <w:r w:rsidRPr="00605679">
        <w:rPr>
          <w:rFonts w:asciiTheme="minorHAnsi" w:hAnsiTheme="minorHAnsi" w:cstheme="minorHAnsi"/>
          <w:b/>
          <w:smallCaps/>
          <w:sz w:val="28"/>
          <w:szCs w:val="28"/>
        </w:rPr>
        <w:t>departamentas</w:t>
      </w:r>
      <w:r w:rsidRPr="00B90026">
        <w:rPr>
          <w:rFonts w:asciiTheme="minorHAnsi" w:hAnsiTheme="minorHAnsi" w:cstheme="minorHAnsi"/>
          <w:smallCaps/>
          <w:sz w:val="22"/>
          <w:szCs w:val="22"/>
        </w:rPr>
        <w:br w:type="page"/>
      </w:r>
      <w:bookmarkStart w:id="7" w:name="_Toc120597382"/>
      <w:r w:rsidRPr="00B90026">
        <w:rPr>
          <w:rFonts w:asciiTheme="minorHAnsi" w:hAnsiTheme="minorHAnsi" w:cstheme="minorHAnsi"/>
          <w:b/>
          <w:sz w:val="22"/>
          <w:szCs w:val="22"/>
        </w:rPr>
        <w:lastRenderedPageBreak/>
        <w:t>TURINYS</w:t>
      </w:r>
    </w:p>
    <w:p w:rsidR="00D6577C" w:rsidRDefault="00B51157">
      <w:pPr>
        <w:pStyle w:val="Turinys1"/>
        <w:rPr>
          <w:rFonts w:eastAsiaTheme="minorEastAsia" w:cstheme="minorBidi"/>
          <w:b w:val="0"/>
          <w:bCs w:val="0"/>
          <w:caps w:val="0"/>
          <w:noProof/>
          <w:szCs w:val="22"/>
        </w:rPr>
      </w:pPr>
      <w:r w:rsidRPr="00B90026">
        <w:rPr>
          <w:rFonts w:cstheme="minorHAnsi"/>
          <w:szCs w:val="22"/>
        </w:rPr>
        <w:fldChar w:fldCharType="begin"/>
      </w:r>
      <w:r w:rsidR="003D4C15" w:rsidRPr="00B90026">
        <w:rPr>
          <w:rFonts w:cstheme="minorHAnsi"/>
          <w:szCs w:val="22"/>
        </w:rPr>
        <w:instrText xml:space="preserve"> TOC \o "1-3" \h \z \u </w:instrText>
      </w:r>
      <w:r w:rsidRPr="00B90026">
        <w:rPr>
          <w:rFonts w:cstheme="minorHAnsi"/>
          <w:szCs w:val="22"/>
        </w:rPr>
        <w:fldChar w:fldCharType="separate"/>
      </w:r>
      <w:hyperlink w:anchor="_Toc505787239" w:history="1">
        <w:r w:rsidR="00D6577C" w:rsidRPr="00FD431D">
          <w:rPr>
            <w:rStyle w:val="Hipersaitas"/>
            <w:rFonts w:cstheme="minorHAnsi"/>
            <w:noProof/>
          </w:rPr>
          <w:t>I. Administracinės bylos, kylančios iš ginčų dėl teisės viešojo administravimo srityje</w:t>
        </w:r>
        <w:r w:rsidR="00D6577C">
          <w:rPr>
            <w:noProof/>
            <w:webHidden/>
          </w:rPr>
          <w:tab/>
        </w:r>
        <w:r w:rsidR="00D6577C">
          <w:rPr>
            <w:noProof/>
            <w:webHidden/>
          </w:rPr>
          <w:fldChar w:fldCharType="begin"/>
        </w:r>
        <w:r w:rsidR="00D6577C">
          <w:rPr>
            <w:noProof/>
            <w:webHidden/>
          </w:rPr>
          <w:instrText xml:space="preserve"> PAGEREF _Toc505787239 \h </w:instrText>
        </w:r>
        <w:r w:rsidR="00D6577C">
          <w:rPr>
            <w:noProof/>
            <w:webHidden/>
          </w:rPr>
        </w:r>
        <w:r w:rsidR="00D6577C">
          <w:rPr>
            <w:noProof/>
            <w:webHidden/>
          </w:rPr>
          <w:fldChar w:fldCharType="separate"/>
        </w:r>
        <w:r w:rsidR="00D6577C">
          <w:rPr>
            <w:noProof/>
            <w:webHidden/>
          </w:rPr>
          <w:t>4</w:t>
        </w:r>
        <w:r w:rsidR="00D6577C">
          <w:rPr>
            <w:noProof/>
            <w:webHidden/>
          </w:rPr>
          <w:fldChar w:fldCharType="end"/>
        </w:r>
      </w:hyperlink>
    </w:p>
    <w:p w:rsidR="00D6577C" w:rsidRDefault="007E1236">
      <w:pPr>
        <w:pStyle w:val="Turinys1"/>
        <w:rPr>
          <w:rFonts w:eastAsiaTheme="minorEastAsia" w:cstheme="minorBidi"/>
          <w:b w:val="0"/>
          <w:bCs w:val="0"/>
          <w:caps w:val="0"/>
          <w:noProof/>
          <w:szCs w:val="22"/>
        </w:rPr>
      </w:pPr>
      <w:hyperlink w:anchor="_Toc505787240" w:history="1">
        <w:r w:rsidR="00D6577C" w:rsidRPr="00FD431D">
          <w:rPr>
            <w:rStyle w:val="Hipersaitas"/>
            <w:rFonts w:cstheme="minorHAnsi"/>
            <w:noProof/>
          </w:rPr>
          <w:t>4. Norminių administracinių aktų teisėtumo patikra</w:t>
        </w:r>
        <w:r w:rsidR="00D6577C">
          <w:rPr>
            <w:noProof/>
            <w:webHidden/>
          </w:rPr>
          <w:tab/>
        </w:r>
        <w:r w:rsidR="00D6577C">
          <w:rPr>
            <w:noProof/>
            <w:webHidden/>
          </w:rPr>
          <w:fldChar w:fldCharType="begin"/>
        </w:r>
        <w:r w:rsidR="00D6577C">
          <w:rPr>
            <w:noProof/>
            <w:webHidden/>
          </w:rPr>
          <w:instrText xml:space="preserve"> PAGEREF _Toc505787240 \h </w:instrText>
        </w:r>
        <w:r w:rsidR="00D6577C">
          <w:rPr>
            <w:noProof/>
            <w:webHidden/>
          </w:rPr>
        </w:r>
        <w:r w:rsidR="00D6577C">
          <w:rPr>
            <w:noProof/>
            <w:webHidden/>
          </w:rPr>
          <w:fldChar w:fldCharType="separate"/>
        </w:r>
        <w:r w:rsidR="00D6577C">
          <w:rPr>
            <w:noProof/>
            <w:webHidden/>
          </w:rPr>
          <w:t>4</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41" w:history="1">
        <w:r w:rsidR="00D6577C" w:rsidRPr="00FD431D">
          <w:rPr>
            <w:rStyle w:val="Hipersaitas"/>
            <w:rFonts w:eastAsia="Arial Unicode MS"/>
            <w:noProof/>
          </w:rPr>
          <w:t>Dėl įpareigojimo nustatyti</w:t>
        </w:r>
        <w:r w:rsidR="00D6577C" w:rsidRPr="00FD431D">
          <w:rPr>
            <w:rStyle w:val="Hipersaitas"/>
            <w:noProof/>
            <w:lang w:bidi="lt-LT"/>
          </w:rPr>
          <w:t xml:space="preserve"> </w:t>
        </w:r>
        <w:r w:rsidR="00D6577C" w:rsidRPr="00FD431D">
          <w:rPr>
            <w:rStyle w:val="Hipersaitas"/>
            <w:rFonts w:eastAsia="Arial Unicode MS"/>
            <w:noProof/>
            <w:lang w:bidi="lt-LT"/>
          </w:rPr>
          <w:t xml:space="preserve">pereinamąjį teisinį reguliavimą, </w:t>
        </w:r>
        <w:r w:rsidR="00D6577C" w:rsidRPr="00FD431D">
          <w:rPr>
            <w:rStyle w:val="Hipersaitas"/>
            <w:rFonts w:eastAsia="Arial Unicode MS"/>
            <w:noProof/>
          </w:rPr>
          <w:t xml:space="preserve">nustatant naują ir </w:t>
        </w:r>
        <w:r w:rsidR="00D6577C" w:rsidRPr="00FD431D">
          <w:rPr>
            <w:rStyle w:val="Hipersaitas"/>
            <w:rFonts w:eastAsia="Arial Unicode MS"/>
            <w:noProof/>
            <w:lang w:bidi="lt-LT"/>
          </w:rPr>
          <w:t>esminį reikalavimą ūkio subjektams, į Lietuvos Respubliką importuojantiems naudotus ratinius traktorius iš trečiųjų šalių</w:t>
        </w:r>
        <w:r w:rsidR="00D6577C">
          <w:rPr>
            <w:noProof/>
            <w:webHidden/>
          </w:rPr>
          <w:tab/>
        </w:r>
        <w:r w:rsidR="00D6577C">
          <w:rPr>
            <w:noProof/>
            <w:webHidden/>
          </w:rPr>
          <w:fldChar w:fldCharType="begin"/>
        </w:r>
        <w:r w:rsidR="00D6577C">
          <w:rPr>
            <w:noProof/>
            <w:webHidden/>
          </w:rPr>
          <w:instrText xml:space="preserve"> PAGEREF _Toc505787241 \h </w:instrText>
        </w:r>
        <w:r w:rsidR="00D6577C">
          <w:rPr>
            <w:noProof/>
            <w:webHidden/>
          </w:rPr>
        </w:r>
        <w:r w:rsidR="00D6577C">
          <w:rPr>
            <w:noProof/>
            <w:webHidden/>
          </w:rPr>
          <w:fldChar w:fldCharType="separate"/>
        </w:r>
        <w:r w:rsidR="00D6577C">
          <w:rPr>
            <w:noProof/>
            <w:webHidden/>
          </w:rPr>
          <w:t>4</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42" w:history="1">
        <w:r w:rsidR="00D6577C" w:rsidRPr="00FD431D">
          <w:rPr>
            <w:rStyle w:val="Hipersaitas"/>
            <w:rFonts w:ascii="Calibri" w:hAnsi="Calibri"/>
            <w:noProof/>
          </w:rPr>
          <w:t>Dėl reikalavimo pateikti laivo klasę patvirtinantį dokumentą registruojant jūrų laivą</w:t>
        </w:r>
        <w:r w:rsidR="00D6577C">
          <w:rPr>
            <w:noProof/>
            <w:webHidden/>
          </w:rPr>
          <w:tab/>
        </w:r>
        <w:r w:rsidR="00D6577C">
          <w:rPr>
            <w:noProof/>
            <w:webHidden/>
          </w:rPr>
          <w:fldChar w:fldCharType="begin"/>
        </w:r>
        <w:r w:rsidR="00D6577C">
          <w:rPr>
            <w:noProof/>
            <w:webHidden/>
          </w:rPr>
          <w:instrText xml:space="preserve"> PAGEREF _Toc505787242 \h </w:instrText>
        </w:r>
        <w:r w:rsidR="00D6577C">
          <w:rPr>
            <w:noProof/>
            <w:webHidden/>
          </w:rPr>
        </w:r>
        <w:r w:rsidR="00D6577C">
          <w:rPr>
            <w:noProof/>
            <w:webHidden/>
          </w:rPr>
          <w:fldChar w:fldCharType="separate"/>
        </w:r>
        <w:r w:rsidR="00D6577C">
          <w:rPr>
            <w:noProof/>
            <w:webHidden/>
          </w:rPr>
          <w:t>5</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43" w:history="1">
        <w:r w:rsidR="00D6577C" w:rsidRPr="00FD431D">
          <w:rPr>
            <w:rStyle w:val="Hipersaitas"/>
            <w:rFonts w:ascii="Calibri" w:hAnsi="Calibri"/>
            <w:noProof/>
          </w:rPr>
          <w:t>Dėl priimtųjų į pirmosios pakopos ir vientisąsias studijas valstybinėse aukštosiose mokyklose minimalaus studijų vietų skaičiaus</w:t>
        </w:r>
        <w:r w:rsidR="00D6577C">
          <w:rPr>
            <w:noProof/>
            <w:webHidden/>
          </w:rPr>
          <w:tab/>
        </w:r>
        <w:r w:rsidR="00D6577C">
          <w:rPr>
            <w:noProof/>
            <w:webHidden/>
          </w:rPr>
          <w:fldChar w:fldCharType="begin"/>
        </w:r>
        <w:r w:rsidR="00D6577C">
          <w:rPr>
            <w:noProof/>
            <w:webHidden/>
          </w:rPr>
          <w:instrText xml:space="preserve"> PAGEREF _Toc505787243 \h </w:instrText>
        </w:r>
        <w:r w:rsidR="00D6577C">
          <w:rPr>
            <w:noProof/>
            <w:webHidden/>
          </w:rPr>
        </w:r>
        <w:r w:rsidR="00D6577C">
          <w:rPr>
            <w:noProof/>
            <w:webHidden/>
          </w:rPr>
          <w:fldChar w:fldCharType="separate"/>
        </w:r>
        <w:r w:rsidR="00D6577C">
          <w:rPr>
            <w:noProof/>
            <w:webHidden/>
          </w:rPr>
          <w:t>6</w:t>
        </w:r>
        <w:r w:rsidR="00D6577C">
          <w:rPr>
            <w:noProof/>
            <w:webHidden/>
          </w:rPr>
          <w:fldChar w:fldCharType="end"/>
        </w:r>
      </w:hyperlink>
    </w:p>
    <w:p w:rsidR="00D6577C" w:rsidRDefault="007E1236">
      <w:pPr>
        <w:pStyle w:val="Turinys1"/>
        <w:rPr>
          <w:rFonts w:eastAsiaTheme="minorEastAsia" w:cstheme="minorBidi"/>
          <w:b w:val="0"/>
          <w:bCs w:val="0"/>
          <w:caps w:val="0"/>
          <w:noProof/>
          <w:szCs w:val="22"/>
        </w:rPr>
      </w:pPr>
      <w:hyperlink w:anchor="_Toc505787244" w:history="1">
        <w:r w:rsidR="00D6577C" w:rsidRPr="00FD431D">
          <w:rPr>
            <w:rStyle w:val="Hipersaitas"/>
            <w:rFonts w:cstheme="minorHAnsi"/>
            <w:noProof/>
          </w:rPr>
          <w:t>8. Užsieniečių teisinė padėtis</w:t>
        </w:r>
        <w:r w:rsidR="00D6577C">
          <w:rPr>
            <w:noProof/>
            <w:webHidden/>
          </w:rPr>
          <w:tab/>
        </w:r>
        <w:r w:rsidR="00D6577C">
          <w:rPr>
            <w:noProof/>
            <w:webHidden/>
          </w:rPr>
          <w:fldChar w:fldCharType="begin"/>
        </w:r>
        <w:r w:rsidR="00D6577C">
          <w:rPr>
            <w:noProof/>
            <w:webHidden/>
          </w:rPr>
          <w:instrText xml:space="preserve"> PAGEREF _Toc505787244 \h </w:instrText>
        </w:r>
        <w:r w:rsidR="00D6577C">
          <w:rPr>
            <w:noProof/>
            <w:webHidden/>
          </w:rPr>
        </w:r>
        <w:r w:rsidR="00D6577C">
          <w:rPr>
            <w:noProof/>
            <w:webHidden/>
          </w:rPr>
          <w:fldChar w:fldCharType="separate"/>
        </w:r>
        <w:r w:rsidR="00D6577C">
          <w:rPr>
            <w:noProof/>
            <w:webHidden/>
          </w:rPr>
          <w:t>8</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45" w:history="1">
        <w:r w:rsidR="00D6577C" w:rsidRPr="00FD431D">
          <w:rPr>
            <w:rStyle w:val="Hipersaitas"/>
            <w:noProof/>
          </w:rPr>
          <w:t>Dėl teisės būti išklausytam asmeniui pateikiant prašymą išduoti ar pakeisti leidimą gyventi Lietuvos Respublikoje</w:t>
        </w:r>
        <w:r w:rsidR="00D6577C">
          <w:rPr>
            <w:noProof/>
            <w:webHidden/>
          </w:rPr>
          <w:tab/>
        </w:r>
        <w:r w:rsidR="00D6577C">
          <w:rPr>
            <w:noProof/>
            <w:webHidden/>
          </w:rPr>
          <w:fldChar w:fldCharType="begin"/>
        </w:r>
        <w:r w:rsidR="00D6577C">
          <w:rPr>
            <w:noProof/>
            <w:webHidden/>
          </w:rPr>
          <w:instrText xml:space="preserve"> PAGEREF _Toc505787245 \h </w:instrText>
        </w:r>
        <w:r w:rsidR="00D6577C">
          <w:rPr>
            <w:noProof/>
            <w:webHidden/>
          </w:rPr>
        </w:r>
        <w:r w:rsidR="00D6577C">
          <w:rPr>
            <w:noProof/>
            <w:webHidden/>
          </w:rPr>
          <w:fldChar w:fldCharType="separate"/>
        </w:r>
        <w:r w:rsidR="00D6577C">
          <w:rPr>
            <w:noProof/>
            <w:webHidden/>
          </w:rPr>
          <w:t>8</w:t>
        </w:r>
        <w:r w:rsidR="00D6577C">
          <w:rPr>
            <w:noProof/>
            <w:webHidden/>
          </w:rPr>
          <w:fldChar w:fldCharType="end"/>
        </w:r>
      </w:hyperlink>
    </w:p>
    <w:p w:rsidR="00D6577C" w:rsidRDefault="007E1236">
      <w:pPr>
        <w:pStyle w:val="Turinys1"/>
        <w:rPr>
          <w:rFonts w:eastAsiaTheme="minorEastAsia" w:cstheme="minorBidi"/>
          <w:b w:val="0"/>
          <w:bCs w:val="0"/>
          <w:caps w:val="0"/>
          <w:noProof/>
          <w:szCs w:val="22"/>
        </w:rPr>
      </w:pPr>
      <w:hyperlink w:anchor="_Toc505787246" w:history="1">
        <w:r w:rsidR="00D6577C" w:rsidRPr="00FD431D">
          <w:rPr>
            <w:rStyle w:val="Hipersaitas"/>
            <w:rFonts w:cstheme="minorHAnsi"/>
            <w:noProof/>
          </w:rPr>
          <w:t>12. Mokesčiai, įmokos ir kiti privalomieji mokėjimai</w:t>
        </w:r>
        <w:r w:rsidR="00D6577C">
          <w:rPr>
            <w:noProof/>
            <w:webHidden/>
          </w:rPr>
          <w:tab/>
        </w:r>
        <w:r w:rsidR="00D6577C">
          <w:rPr>
            <w:noProof/>
            <w:webHidden/>
          </w:rPr>
          <w:fldChar w:fldCharType="begin"/>
        </w:r>
        <w:r w:rsidR="00D6577C">
          <w:rPr>
            <w:noProof/>
            <w:webHidden/>
          </w:rPr>
          <w:instrText xml:space="preserve"> PAGEREF _Toc505787246 \h </w:instrText>
        </w:r>
        <w:r w:rsidR="00D6577C">
          <w:rPr>
            <w:noProof/>
            <w:webHidden/>
          </w:rPr>
        </w:r>
        <w:r w:rsidR="00D6577C">
          <w:rPr>
            <w:noProof/>
            <w:webHidden/>
          </w:rPr>
          <w:fldChar w:fldCharType="separate"/>
        </w:r>
        <w:r w:rsidR="00D6577C">
          <w:rPr>
            <w:noProof/>
            <w:webHidden/>
          </w:rPr>
          <w:t>9</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47" w:history="1">
        <w:r w:rsidR="00D6577C" w:rsidRPr="00FD431D">
          <w:rPr>
            <w:rStyle w:val="Hipersaitas"/>
            <w:noProof/>
          </w:rPr>
          <w:t>Dėl tiekimo Bendrijos viduje neapmokestinimo, kai tiekėjui yra žinoma, jog prekes įsigyjantis kitoje valstybėje narėje įsisteigęs apmokestinamasis asmuo jas, prieš pradėdamas prekes gabenti iš tiekimo valstybės narės, parduoda kitiems apmokestinamiesiems asmenims</w:t>
        </w:r>
        <w:r w:rsidR="00D6577C">
          <w:rPr>
            <w:noProof/>
            <w:webHidden/>
          </w:rPr>
          <w:tab/>
        </w:r>
        <w:r w:rsidR="00D6577C">
          <w:rPr>
            <w:noProof/>
            <w:webHidden/>
          </w:rPr>
          <w:fldChar w:fldCharType="begin"/>
        </w:r>
        <w:r w:rsidR="00D6577C">
          <w:rPr>
            <w:noProof/>
            <w:webHidden/>
          </w:rPr>
          <w:instrText xml:space="preserve"> PAGEREF _Toc505787247 \h </w:instrText>
        </w:r>
        <w:r w:rsidR="00D6577C">
          <w:rPr>
            <w:noProof/>
            <w:webHidden/>
          </w:rPr>
        </w:r>
        <w:r w:rsidR="00D6577C">
          <w:rPr>
            <w:noProof/>
            <w:webHidden/>
          </w:rPr>
          <w:fldChar w:fldCharType="separate"/>
        </w:r>
        <w:r w:rsidR="00D6577C">
          <w:rPr>
            <w:noProof/>
            <w:webHidden/>
          </w:rPr>
          <w:t>9</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48" w:history="1">
        <w:r w:rsidR="00D6577C" w:rsidRPr="00FD431D">
          <w:rPr>
            <w:rStyle w:val="Hipersaitas"/>
            <w:noProof/>
          </w:rPr>
          <w:t>Dėl tiekimo Bendrijos viduje neapmokestinimo esminių sąlygų</w:t>
        </w:r>
        <w:r w:rsidR="00D6577C">
          <w:rPr>
            <w:noProof/>
            <w:webHidden/>
          </w:rPr>
          <w:tab/>
        </w:r>
        <w:r w:rsidR="00D6577C">
          <w:rPr>
            <w:noProof/>
            <w:webHidden/>
          </w:rPr>
          <w:fldChar w:fldCharType="begin"/>
        </w:r>
        <w:r w:rsidR="00D6577C">
          <w:rPr>
            <w:noProof/>
            <w:webHidden/>
          </w:rPr>
          <w:instrText xml:space="preserve"> PAGEREF _Toc505787248 \h </w:instrText>
        </w:r>
        <w:r w:rsidR="00D6577C">
          <w:rPr>
            <w:noProof/>
            <w:webHidden/>
          </w:rPr>
        </w:r>
        <w:r w:rsidR="00D6577C">
          <w:rPr>
            <w:noProof/>
            <w:webHidden/>
          </w:rPr>
          <w:fldChar w:fldCharType="separate"/>
        </w:r>
        <w:r w:rsidR="00D6577C">
          <w:rPr>
            <w:noProof/>
            <w:webHidden/>
          </w:rPr>
          <w:t>10</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49" w:history="1">
        <w:r w:rsidR="00D6577C" w:rsidRPr="00FD431D">
          <w:rPr>
            <w:rStyle w:val="Hipersaitas"/>
            <w:noProof/>
          </w:rPr>
          <w:t>Dėl teisės į tiekimo Bendrijos viduje neapmokestinimą paneigimo sąlygų, kai nustatoma, jog prekes įgiję asmenys sukčiavo PVM srityje</w:t>
        </w:r>
        <w:r w:rsidR="00D6577C">
          <w:rPr>
            <w:noProof/>
            <w:webHidden/>
          </w:rPr>
          <w:tab/>
        </w:r>
        <w:r w:rsidR="00D6577C">
          <w:rPr>
            <w:noProof/>
            <w:webHidden/>
          </w:rPr>
          <w:fldChar w:fldCharType="begin"/>
        </w:r>
        <w:r w:rsidR="00D6577C">
          <w:rPr>
            <w:noProof/>
            <w:webHidden/>
          </w:rPr>
          <w:instrText xml:space="preserve"> PAGEREF _Toc505787249 \h </w:instrText>
        </w:r>
        <w:r w:rsidR="00D6577C">
          <w:rPr>
            <w:noProof/>
            <w:webHidden/>
          </w:rPr>
        </w:r>
        <w:r w:rsidR="00D6577C">
          <w:rPr>
            <w:noProof/>
            <w:webHidden/>
          </w:rPr>
          <w:fldChar w:fldCharType="separate"/>
        </w:r>
        <w:r w:rsidR="00D6577C">
          <w:rPr>
            <w:noProof/>
            <w:webHidden/>
          </w:rPr>
          <w:t>10</w:t>
        </w:r>
        <w:r w:rsidR="00D6577C">
          <w:rPr>
            <w:noProof/>
            <w:webHidden/>
          </w:rPr>
          <w:fldChar w:fldCharType="end"/>
        </w:r>
      </w:hyperlink>
    </w:p>
    <w:p w:rsidR="00D6577C" w:rsidRDefault="007E1236">
      <w:pPr>
        <w:pStyle w:val="Turinys1"/>
        <w:rPr>
          <w:rFonts w:eastAsiaTheme="minorEastAsia" w:cstheme="minorBidi"/>
          <w:b w:val="0"/>
          <w:bCs w:val="0"/>
          <w:caps w:val="0"/>
          <w:noProof/>
          <w:szCs w:val="22"/>
        </w:rPr>
      </w:pPr>
      <w:hyperlink w:anchor="_Toc505787250" w:history="1">
        <w:r w:rsidR="00D6577C" w:rsidRPr="00FD431D">
          <w:rPr>
            <w:rStyle w:val="Hipersaitas"/>
            <w:rFonts w:cstheme="minorHAnsi"/>
            <w:noProof/>
          </w:rPr>
          <w:t>14. Aplinkos apsauga</w:t>
        </w:r>
        <w:r w:rsidR="00D6577C">
          <w:rPr>
            <w:noProof/>
            <w:webHidden/>
          </w:rPr>
          <w:tab/>
        </w:r>
        <w:r w:rsidR="00D6577C">
          <w:rPr>
            <w:noProof/>
            <w:webHidden/>
          </w:rPr>
          <w:fldChar w:fldCharType="begin"/>
        </w:r>
        <w:r w:rsidR="00D6577C">
          <w:rPr>
            <w:noProof/>
            <w:webHidden/>
          </w:rPr>
          <w:instrText xml:space="preserve"> PAGEREF _Toc505787250 \h </w:instrText>
        </w:r>
        <w:r w:rsidR="00D6577C">
          <w:rPr>
            <w:noProof/>
            <w:webHidden/>
          </w:rPr>
        </w:r>
        <w:r w:rsidR="00D6577C">
          <w:rPr>
            <w:noProof/>
            <w:webHidden/>
          </w:rPr>
          <w:fldChar w:fldCharType="separate"/>
        </w:r>
        <w:r w:rsidR="00D6577C">
          <w:rPr>
            <w:noProof/>
            <w:webHidden/>
          </w:rPr>
          <w:t>14</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51" w:history="1">
        <w:r w:rsidR="00D6577C" w:rsidRPr="00FD431D">
          <w:rPr>
            <w:rStyle w:val="Hipersaitas"/>
            <w:noProof/>
          </w:rPr>
          <w:t>Dėl suinteresuotos visuomenės teisės gauti informaciją apie rengiamą nekilnojamojo kultūros paveldo apsaugos specialųjį planą, remiantis Orhuso konvencija</w:t>
        </w:r>
        <w:r w:rsidR="00D6577C">
          <w:rPr>
            <w:noProof/>
            <w:webHidden/>
          </w:rPr>
          <w:tab/>
        </w:r>
        <w:r w:rsidR="00D6577C">
          <w:rPr>
            <w:noProof/>
            <w:webHidden/>
          </w:rPr>
          <w:fldChar w:fldCharType="begin"/>
        </w:r>
        <w:r w:rsidR="00D6577C">
          <w:rPr>
            <w:noProof/>
            <w:webHidden/>
          </w:rPr>
          <w:instrText xml:space="preserve"> PAGEREF _Toc505787251 \h </w:instrText>
        </w:r>
        <w:r w:rsidR="00D6577C">
          <w:rPr>
            <w:noProof/>
            <w:webHidden/>
          </w:rPr>
        </w:r>
        <w:r w:rsidR="00D6577C">
          <w:rPr>
            <w:noProof/>
            <w:webHidden/>
          </w:rPr>
          <w:fldChar w:fldCharType="separate"/>
        </w:r>
        <w:r w:rsidR="00D6577C">
          <w:rPr>
            <w:noProof/>
            <w:webHidden/>
          </w:rPr>
          <w:t>14</w:t>
        </w:r>
        <w:r w:rsidR="00D6577C">
          <w:rPr>
            <w:noProof/>
            <w:webHidden/>
          </w:rPr>
          <w:fldChar w:fldCharType="end"/>
        </w:r>
      </w:hyperlink>
    </w:p>
    <w:p w:rsidR="00D6577C" w:rsidRDefault="007E1236">
      <w:pPr>
        <w:pStyle w:val="Turinys1"/>
        <w:rPr>
          <w:rFonts w:eastAsiaTheme="minorEastAsia" w:cstheme="minorBidi"/>
          <w:b w:val="0"/>
          <w:bCs w:val="0"/>
          <w:caps w:val="0"/>
          <w:noProof/>
          <w:szCs w:val="22"/>
        </w:rPr>
      </w:pPr>
      <w:hyperlink w:anchor="_Toc505787252" w:history="1">
        <w:r w:rsidR="00D6577C" w:rsidRPr="00FD431D">
          <w:rPr>
            <w:rStyle w:val="Hipersaitas"/>
            <w:rFonts w:cstheme="minorHAnsi"/>
            <w:noProof/>
          </w:rPr>
          <w:t>19. Registrai</w:t>
        </w:r>
        <w:r w:rsidR="00D6577C">
          <w:rPr>
            <w:noProof/>
            <w:webHidden/>
          </w:rPr>
          <w:tab/>
        </w:r>
        <w:r w:rsidR="00D6577C">
          <w:rPr>
            <w:noProof/>
            <w:webHidden/>
          </w:rPr>
          <w:fldChar w:fldCharType="begin"/>
        </w:r>
        <w:r w:rsidR="00D6577C">
          <w:rPr>
            <w:noProof/>
            <w:webHidden/>
          </w:rPr>
          <w:instrText xml:space="preserve"> PAGEREF _Toc505787252 \h </w:instrText>
        </w:r>
        <w:r w:rsidR="00D6577C">
          <w:rPr>
            <w:noProof/>
            <w:webHidden/>
          </w:rPr>
        </w:r>
        <w:r w:rsidR="00D6577C">
          <w:rPr>
            <w:noProof/>
            <w:webHidden/>
          </w:rPr>
          <w:fldChar w:fldCharType="separate"/>
        </w:r>
        <w:r w:rsidR="00D6577C">
          <w:rPr>
            <w:noProof/>
            <w:webHidden/>
          </w:rPr>
          <w:t>15</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53" w:history="1">
        <w:r w:rsidR="00D6577C" w:rsidRPr="00FD431D">
          <w:rPr>
            <w:rStyle w:val="Hipersaitas"/>
            <w:rFonts w:eastAsia="Arial Unicode MS"/>
            <w:noProof/>
          </w:rPr>
          <w:t>Dėl atsisakymo registruoti transporto priemonę dėl to, jog nebuvo pateikta techninės ekspertizės pažyma dėl transporto priemonės perdirbimo (vairo perkėlimo)</w:t>
        </w:r>
        <w:r w:rsidR="00D6577C">
          <w:rPr>
            <w:noProof/>
            <w:webHidden/>
          </w:rPr>
          <w:tab/>
        </w:r>
        <w:r w:rsidR="00D6577C">
          <w:rPr>
            <w:noProof/>
            <w:webHidden/>
          </w:rPr>
          <w:fldChar w:fldCharType="begin"/>
        </w:r>
        <w:r w:rsidR="00D6577C">
          <w:rPr>
            <w:noProof/>
            <w:webHidden/>
          </w:rPr>
          <w:instrText xml:space="preserve"> PAGEREF _Toc505787253 \h </w:instrText>
        </w:r>
        <w:r w:rsidR="00D6577C">
          <w:rPr>
            <w:noProof/>
            <w:webHidden/>
          </w:rPr>
        </w:r>
        <w:r w:rsidR="00D6577C">
          <w:rPr>
            <w:noProof/>
            <w:webHidden/>
          </w:rPr>
          <w:fldChar w:fldCharType="separate"/>
        </w:r>
        <w:r w:rsidR="00D6577C">
          <w:rPr>
            <w:noProof/>
            <w:webHidden/>
          </w:rPr>
          <w:t>15</w:t>
        </w:r>
        <w:r w:rsidR="00D6577C">
          <w:rPr>
            <w:noProof/>
            <w:webHidden/>
          </w:rPr>
          <w:fldChar w:fldCharType="end"/>
        </w:r>
      </w:hyperlink>
    </w:p>
    <w:p w:rsidR="00D6577C" w:rsidRDefault="007E1236">
      <w:pPr>
        <w:pStyle w:val="Turinys1"/>
        <w:rPr>
          <w:rFonts w:eastAsiaTheme="minorEastAsia" w:cstheme="minorBidi"/>
          <w:b w:val="0"/>
          <w:bCs w:val="0"/>
          <w:caps w:val="0"/>
          <w:noProof/>
          <w:szCs w:val="22"/>
        </w:rPr>
      </w:pPr>
      <w:hyperlink w:anchor="_Toc505787254" w:history="1">
        <w:r w:rsidR="00D6577C" w:rsidRPr="00FD431D">
          <w:rPr>
            <w:rStyle w:val="Hipersaitas"/>
            <w:rFonts w:cstheme="minorHAnsi"/>
            <w:noProof/>
          </w:rPr>
          <w:t>20. Civilinė atsakomybė už žalą, atsiradusią dėl valdžios institucijų neteisėtų veiksmų</w:t>
        </w:r>
        <w:r w:rsidR="00D6577C">
          <w:rPr>
            <w:noProof/>
            <w:webHidden/>
          </w:rPr>
          <w:tab/>
        </w:r>
        <w:r w:rsidR="00D6577C">
          <w:rPr>
            <w:noProof/>
            <w:webHidden/>
          </w:rPr>
          <w:fldChar w:fldCharType="begin"/>
        </w:r>
        <w:r w:rsidR="00D6577C">
          <w:rPr>
            <w:noProof/>
            <w:webHidden/>
          </w:rPr>
          <w:instrText xml:space="preserve"> PAGEREF _Toc505787254 \h </w:instrText>
        </w:r>
        <w:r w:rsidR="00D6577C">
          <w:rPr>
            <w:noProof/>
            <w:webHidden/>
          </w:rPr>
        </w:r>
        <w:r w:rsidR="00D6577C">
          <w:rPr>
            <w:noProof/>
            <w:webHidden/>
          </w:rPr>
          <w:fldChar w:fldCharType="separate"/>
        </w:r>
        <w:r w:rsidR="00D6577C">
          <w:rPr>
            <w:noProof/>
            <w:webHidden/>
          </w:rPr>
          <w:t>16</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55" w:history="1">
        <w:r w:rsidR="00D6577C" w:rsidRPr="00FD431D">
          <w:rPr>
            <w:rStyle w:val="Hipersaitas"/>
            <w:noProof/>
          </w:rPr>
          <w:t>Dėl tarnybinių uniformų neišdavimo Finansinių nusikaltimų tyrimo tarnybos pareigūnams</w:t>
        </w:r>
        <w:r w:rsidR="00D6577C">
          <w:rPr>
            <w:noProof/>
            <w:webHidden/>
          </w:rPr>
          <w:tab/>
        </w:r>
        <w:r w:rsidR="00D6577C">
          <w:rPr>
            <w:noProof/>
            <w:webHidden/>
          </w:rPr>
          <w:fldChar w:fldCharType="begin"/>
        </w:r>
        <w:r w:rsidR="00D6577C">
          <w:rPr>
            <w:noProof/>
            <w:webHidden/>
          </w:rPr>
          <w:instrText xml:space="preserve"> PAGEREF _Toc505787255 \h </w:instrText>
        </w:r>
        <w:r w:rsidR="00D6577C">
          <w:rPr>
            <w:noProof/>
            <w:webHidden/>
          </w:rPr>
        </w:r>
        <w:r w:rsidR="00D6577C">
          <w:rPr>
            <w:noProof/>
            <w:webHidden/>
          </w:rPr>
          <w:fldChar w:fldCharType="separate"/>
        </w:r>
        <w:r w:rsidR="00D6577C">
          <w:rPr>
            <w:noProof/>
            <w:webHidden/>
          </w:rPr>
          <w:t>16</w:t>
        </w:r>
        <w:r w:rsidR="00D6577C">
          <w:rPr>
            <w:noProof/>
            <w:webHidden/>
          </w:rPr>
          <w:fldChar w:fldCharType="end"/>
        </w:r>
      </w:hyperlink>
    </w:p>
    <w:p w:rsidR="00D6577C" w:rsidRDefault="007E1236">
      <w:pPr>
        <w:pStyle w:val="Turinys1"/>
        <w:rPr>
          <w:rFonts w:eastAsiaTheme="minorEastAsia" w:cstheme="minorBidi"/>
          <w:b w:val="0"/>
          <w:bCs w:val="0"/>
          <w:caps w:val="0"/>
          <w:noProof/>
          <w:szCs w:val="22"/>
        </w:rPr>
      </w:pPr>
      <w:hyperlink w:anchor="_Toc505787256" w:history="1">
        <w:r w:rsidR="00D6577C" w:rsidRPr="00FD431D">
          <w:rPr>
            <w:rStyle w:val="Hipersaitas"/>
            <w:rFonts w:cstheme="minorHAnsi"/>
            <w:noProof/>
          </w:rPr>
          <w:t>21. Valstybės tarnautojo statuso įgijimas, pasikeitimas, praradimas ir atsakomybė</w:t>
        </w:r>
        <w:r w:rsidR="00D6577C">
          <w:rPr>
            <w:noProof/>
            <w:webHidden/>
          </w:rPr>
          <w:tab/>
        </w:r>
        <w:r w:rsidR="00D6577C">
          <w:rPr>
            <w:noProof/>
            <w:webHidden/>
          </w:rPr>
          <w:fldChar w:fldCharType="begin"/>
        </w:r>
        <w:r w:rsidR="00D6577C">
          <w:rPr>
            <w:noProof/>
            <w:webHidden/>
          </w:rPr>
          <w:instrText xml:space="preserve"> PAGEREF _Toc505787256 \h </w:instrText>
        </w:r>
        <w:r w:rsidR="00D6577C">
          <w:rPr>
            <w:noProof/>
            <w:webHidden/>
          </w:rPr>
        </w:r>
        <w:r w:rsidR="00D6577C">
          <w:rPr>
            <w:noProof/>
            <w:webHidden/>
          </w:rPr>
          <w:fldChar w:fldCharType="separate"/>
        </w:r>
        <w:r w:rsidR="00D6577C">
          <w:rPr>
            <w:noProof/>
            <w:webHidden/>
          </w:rPr>
          <w:t>17</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57" w:history="1">
        <w:r w:rsidR="00D6577C" w:rsidRPr="00FD431D">
          <w:rPr>
            <w:rStyle w:val="Hipersaitas"/>
            <w:noProof/>
          </w:rPr>
          <w:t>Dėl garantijos tęsti tarnybą panaikinus pareigybę tinkamo užtikrinimo sąlygų</w:t>
        </w:r>
        <w:r w:rsidR="00D6577C">
          <w:rPr>
            <w:noProof/>
            <w:webHidden/>
          </w:rPr>
          <w:tab/>
        </w:r>
        <w:r w:rsidR="00D6577C">
          <w:rPr>
            <w:noProof/>
            <w:webHidden/>
          </w:rPr>
          <w:fldChar w:fldCharType="begin"/>
        </w:r>
        <w:r w:rsidR="00D6577C">
          <w:rPr>
            <w:noProof/>
            <w:webHidden/>
          </w:rPr>
          <w:instrText xml:space="preserve"> PAGEREF _Toc505787257 \h </w:instrText>
        </w:r>
        <w:r w:rsidR="00D6577C">
          <w:rPr>
            <w:noProof/>
            <w:webHidden/>
          </w:rPr>
        </w:r>
        <w:r w:rsidR="00D6577C">
          <w:rPr>
            <w:noProof/>
            <w:webHidden/>
          </w:rPr>
          <w:fldChar w:fldCharType="separate"/>
        </w:r>
        <w:r w:rsidR="00D6577C">
          <w:rPr>
            <w:noProof/>
            <w:webHidden/>
          </w:rPr>
          <w:t>17</w:t>
        </w:r>
        <w:r w:rsidR="00D6577C">
          <w:rPr>
            <w:noProof/>
            <w:webHidden/>
          </w:rPr>
          <w:fldChar w:fldCharType="end"/>
        </w:r>
      </w:hyperlink>
    </w:p>
    <w:p w:rsidR="00D6577C" w:rsidRDefault="007E1236">
      <w:pPr>
        <w:pStyle w:val="Turinys1"/>
        <w:rPr>
          <w:rFonts w:eastAsiaTheme="minorEastAsia" w:cstheme="minorBidi"/>
          <w:b w:val="0"/>
          <w:bCs w:val="0"/>
          <w:caps w:val="0"/>
          <w:noProof/>
          <w:szCs w:val="22"/>
        </w:rPr>
      </w:pPr>
      <w:hyperlink w:anchor="_Toc505787258" w:history="1">
        <w:r w:rsidR="00D6577C" w:rsidRPr="00FD431D">
          <w:rPr>
            <w:rStyle w:val="Hipersaitas"/>
            <w:rFonts w:cstheme="minorHAnsi"/>
            <w:noProof/>
          </w:rPr>
          <w:t>24. Vietos savivalda</w:t>
        </w:r>
        <w:r w:rsidR="00D6577C">
          <w:rPr>
            <w:noProof/>
            <w:webHidden/>
          </w:rPr>
          <w:tab/>
        </w:r>
        <w:r w:rsidR="00D6577C">
          <w:rPr>
            <w:noProof/>
            <w:webHidden/>
          </w:rPr>
          <w:fldChar w:fldCharType="begin"/>
        </w:r>
        <w:r w:rsidR="00D6577C">
          <w:rPr>
            <w:noProof/>
            <w:webHidden/>
          </w:rPr>
          <w:instrText xml:space="preserve"> PAGEREF _Toc505787258 \h </w:instrText>
        </w:r>
        <w:r w:rsidR="00D6577C">
          <w:rPr>
            <w:noProof/>
            <w:webHidden/>
          </w:rPr>
        </w:r>
        <w:r w:rsidR="00D6577C">
          <w:rPr>
            <w:noProof/>
            <w:webHidden/>
          </w:rPr>
          <w:fldChar w:fldCharType="separate"/>
        </w:r>
        <w:r w:rsidR="00D6577C">
          <w:rPr>
            <w:noProof/>
            <w:webHidden/>
          </w:rPr>
          <w:t>18</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59" w:history="1">
        <w:r w:rsidR="00D6577C" w:rsidRPr="00FD431D">
          <w:rPr>
            <w:rStyle w:val="Hipersaitas"/>
            <w:noProof/>
          </w:rPr>
          <w:t>Dėl teismo įpareigojimo išduoti leidimą prekybai</w:t>
        </w:r>
        <w:r w:rsidR="00D6577C">
          <w:rPr>
            <w:noProof/>
            <w:webHidden/>
          </w:rPr>
          <w:tab/>
        </w:r>
        <w:r w:rsidR="00D6577C">
          <w:rPr>
            <w:noProof/>
            <w:webHidden/>
          </w:rPr>
          <w:fldChar w:fldCharType="begin"/>
        </w:r>
        <w:r w:rsidR="00D6577C">
          <w:rPr>
            <w:noProof/>
            <w:webHidden/>
          </w:rPr>
          <w:instrText xml:space="preserve"> PAGEREF _Toc505787259 \h </w:instrText>
        </w:r>
        <w:r w:rsidR="00D6577C">
          <w:rPr>
            <w:noProof/>
            <w:webHidden/>
          </w:rPr>
        </w:r>
        <w:r w:rsidR="00D6577C">
          <w:rPr>
            <w:noProof/>
            <w:webHidden/>
          </w:rPr>
          <w:fldChar w:fldCharType="separate"/>
        </w:r>
        <w:r w:rsidR="00D6577C">
          <w:rPr>
            <w:noProof/>
            <w:webHidden/>
          </w:rPr>
          <w:t>18</w:t>
        </w:r>
        <w:r w:rsidR="00D6577C">
          <w:rPr>
            <w:noProof/>
            <w:webHidden/>
          </w:rPr>
          <w:fldChar w:fldCharType="end"/>
        </w:r>
      </w:hyperlink>
    </w:p>
    <w:p w:rsidR="00D6577C" w:rsidRDefault="007E1236">
      <w:pPr>
        <w:pStyle w:val="Turinys1"/>
        <w:rPr>
          <w:rFonts w:eastAsiaTheme="minorEastAsia" w:cstheme="minorBidi"/>
          <w:b w:val="0"/>
          <w:bCs w:val="0"/>
          <w:caps w:val="0"/>
          <w:noProof/>
          <w:szCs w:val="22"/>
        </w:rPr>
      </w:pPr>
      <w:hyperlink w:anchor="_Toc505787260" w:history="1">
        <w:r w:rsidR="00D6577C" w:rsidRPr="00FD431D">
          <w:rPr>
            <w:rStyle w:val="Hipersaitas"/>
            <w:rFonts w:cstheme="minorHAnsi"/>
            <w:noProof/>
          </w:rPr>
          <w:t>27. Visuomenės informavimas</w:t>
        </w:r>
        <w:r w:rsidR="00D6577C">
          <w:rPr>
            <w:noProof/>
            <w:webHidden/>
          </w:rPr>
          <w:tab/>
        </w:r>
        <w:r w:rsidR="00D6577C">
          <w:rPr>
            <w:noProof/>
            <w:webHidden/>
          </w:rPr>
          <w:fldChar w:fldCharType="begin"/>
        </w:r>
        <w:r w:rsidR="00D6577C">
          <w:rPr>
            <w:noProof/>
            <w:webHidden/>
          </w:rPr>
          <w:instrText xml:space="preserve"> PAGEREF _Toc505787260 \h </w:instrText>
        </w:r>
        <w:r w:rsidR="00D6577C">
          <w:rPr>
            <w:noProof/>
            <w:webHidden/>
          </w:rPr>
        </w:r>
        <w:r w:rsidR="00D6577C">
          <w:rPr>
            <w:noProof/>
            <w:webHidden/>
          </w:rPr>
          <w:fldChar w:fldCharType="separate"/>
        </w:r>
        <w:r w:rsidR="00D6577C">
          <w:rPr>
            <w:noProof/>
            <w:webHidden/>
          </w:rPr>
          <w:t>19</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61" w:history="1">
        <w:r w:rsidR="00D6577C" w:rsidRPr="00FD431D">
          <w:rPr>
            <w:rStyle w:val="Hipersaitas"/>
            <w:noProof/>
          </w:rPr>
          <w:t>Dėl atsakymo teisės suteikimo kritikuojamam asmeniui prieš paskelbiant informaciją</w:t>
        </w:r>
        <w:r w:rsidR="00D6577C">
          <w:rPr>
            <w:noProof/>
            <w:webHidden/>
          </w:rPr>
          <w:tab/>
        </w:r>
        <w:r w:rsidR="00D6577C">
          <w:rPr>
            <w:noProof/>
            <w:webHidden/>
          </w:rPr>
          <w:fldChar w:fldCharType="begin"/>
        </w:r>
        <w:r w:rsidR="00D6577C">
          <w:rPr>
            <w:noProof/>
            <w:webHidden/>
          </w:rPr>
          <w:instrText xml:space="preserve"> PAGEREF _Toc505787261 \h </w:instrText>
        </w:r>
        <w:r w:rsidR="00D6577C">
          <w:rPr>
            <w:noProof/>
            <w:webHidden/>
          </w:rPr>
        </w:r>
        <w:r w:rsidR="00D6577C">
          <w:rPr>
            <w:noProof/>
            <w:webHidden/>
          </w:rPr>
          <w:fldChar w:fldCharType="separate"/>
        </w:r>
        <w:r w:rsidR="00D6577C">
          <w:rPr>
            <w:noProof/>
            <w:webHidden/>
          </w:rPr>
          <w:t>19</w:t>
        </w:r>
        <w:r w:rsidR="00D6577C">
          <w:rPr>
            <w:noProof/>
            <w:webHidden/>
          </w:rPr>
          <w:fldChar w:fldCharType="end"/>
        </w:r>
      </w:hyperlink>
    </w:p>
    <w:p w:rsidR="00D6577C" w:rsidRDefault="007E1236">
      <w:pPr>
        <w:pStyle w:val="Turinys1"/>
        <w:rPr>
          <w:rFonts w:eastAsiaTheme="minorEastAsia" w:cstheme="minorBidi"/>
          <w:b w:val="0"/>
          <w:bCs w:val="0"/>
          <w:caps w:val="0"/>
          <w:noProof/>
          <w:szCs w:val="22"/>
        </w:rPr>
      </w:pPr>
      <w:hyperlink w:anchor="_Toc505787262" w:history="1">
        <w:r w:rsidR="00D6577C" w:rsidRPr="00FD431D">
          <w:rPr>
            <w:rStyle w:val="Hipersaitas"/>
            <w:rFonts w:cstheme="minorHAnsi"/>
            <w:noProof/>
          </w:rPr>
          <w:t>29. Nacionalinių, Europos Sąjungos ir užsienio institucijų finansinė parama</w:t>
        </w:r>
        <w:r w:rsidR="00D6577C">
          <w:rPr>
            <w:noProof/>
            <w:webHidden/>
          </w:rPr>
          <w:tab/>
        </w:r>
        <w:r w:rsidR="00D6577C">
          <w:rPr>
            <w:noProof/>
            <w:webHidden/>
          </w:rPr>
          <w:fldChar w:fldCharType="begin"/>
        </w:r>
        <w:r w:rsidR="00D6577C">
          <w:rPr>
            <w:noProof/>
            <w:webHidden/>
          </w:rPr>
          <w:instrText xml:space="preserve"> PAGEREF _Toc505787262 \h </w:instrText>
        </w:r>
        <w:r w:rsidR="00D6577C">
          <w:rPr>
            <w:noProof/>
            <w:webHidden/>
          </w:rPr>
        </w:r>
        <w:r w:rsidR="00D6577C">
          <w:rPr>
            <w:noProof/>
            <w:webHidden/>
          </w:rPr>
          <w:fldChar w:fldCharType="separate"/>
        </w:r>
        <w:r w:rsidR="00D6577C">
          <w:rPr>
            <w:noProof/>
            <w:webHidden/>
          </w:rPr>
          <w:t>20</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63" w:history="1">
        <w:r w:rsidR="00D6577C" w:rsidRPr="00FD431D">
          <w:rPr>
            <w:rStyle w:val="Hipersaitas"/>
            <w:noProof/>
          </w:rPr>
          <w:t>Dėl ūkio ministro sprendimo sugrąžinti finansinę paramą priėmimo, kai Finansų ministerijai yra apskųsta Lietuvos verslo paramos agentūros tyrimo išvada</w:t>
        </w:r>
        <w:r w:rsidR="00D6577C">
          <w:rPr>
            <w:noProof/>
            <w:webHidden/>
          </w:rPr>
          <w:tab/>
        </w:r>
        <w:r w:rsidR="00D6577C">
          <w:rPr>
            <w:noProof/>
            <w:webHidden/>
          </w:rPr>
          <w:fldChar w:fldCharType="begin"/>
        </w:r>
        <w:r w:rsidR="00D6577C">
          <w:rPr>
            <w:noProof/>
            <w:webHidden/>
          </w:rPr>
          <w:instrText xml:space="preserve"> PAGEREF _Toc505787263 \h </w:instrText>
        </w:r>
        <w:r w:rsidR="00D6577C">
          <w:rPr>
            <w:noProof/>
            <w:webHidden/>
          </w:rPr>
        </w:r>
        <w:r w:rsidR="00D6577C">
          <w:rPr>
            <w:noProof/>
            <w:webHidden/>
          </w:rPr>
          <w:fldChar w:fldCharType="separate"/>
        </w:r>
        <w:r w:rsidR="00D6577C">
          <w:rPr>
            <w:noProof/>
            <w:webHidden/>
          </w:rPr>
          <w:t>20</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64" w:history="1">
        <w:r w:rsidR="00D6577C" w:rsidRPr="00FD431D">
          <w:rPr>
            <w:rStyle w:val="Hipersaitas"/>
            <w:noProof/>
          </w:rPr>
          <w:t>Dėl patikros metu nustatytų duomenų įrodomosios vertės nagrinėjant ginčą teisme</w:t>
        </w:r>
        <w:r w:rsidR="00D6577C">
          <w:rPr>
            <w:noProof/>
            <w:webHidden/>
          </w:rPr>
          <w:tab/>
        </w:r>
        <w:r w:rsidR="00D6577C">
          <w:rPr>
            <w:noProof/>
            <w:webHidden/>
          </w:rPr>
          <w:fldChar w:fldCharType="begin"/>
        </w:r>
        <w:r w:rsidR="00D6577C">
          <w:rPr>
            <w:noProof/>
            <w:webHidden/>
          </w:rPr>
          <w:instrText xml:space="preserve"> PAGEREF _Toc505787264 \h </w:instrText>
        </w:r>
        <w:r w:rsidR="00D6577C">
          <w:rPr>
            <w:noProof/>
            <w:webHidden/>
          </w:rPr>
        </w:r>
        <w:r w:rsidR="00D6577C">
          <w:rPr>
            <w:noProof/>
            <w:webHidden/>
          </w:rPr>
          <w:fldChar w:fldCharType="separate"/>
        </w:r>
        <w:r w:rsidR="00D6577C">
          <w:rPr>
            <w:noProof/>
            <w:webHidden/>
          </w:rPr>
          <w:t>21</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65" w:history="1">
        <w:r w:rsidR="00D6577C" w:rsidRPr="00FD431D">
          <w:rPr>
            <w:rStyle w:val="Hipersaitas"/>
            <w:noProof/>
          </w:rPr>
          <w:t>Dėl Reglamento Nr. 2988/95 taikymo Sanglaudos fondo projektų pažeidimų atvejais ir senaties termino</w:t>
        </w:r>
        <w:r w:rsidR="00D6577C">
          <w:rPr>
            <w:noProof/>
            <w:webHidden/>
          </w:rPr>
          <w:tab/>
        </w:r>
        <w:r w:rsidR="00D6577C">
          <w:rPr>
            <w:noProof/>
            <w:webHidden/>
          </w:rPr>
          <w:fldChar w:fldCharType="begin"/>
        </w:r>
        <w:r w:rsidR="00D6577C">
          <w:rPr>
            <w:noProof/>
            <w:webHidden/>
          </w:rPr>
          <w:instrText xml:space="preserve"> PAGEREF _Toc505787265 \h </w:instrText>
        </w:r>
        <w:r w:rsidR="00D6577C">
          <w:rPr>
            <w:noProof/>
            <w:webHidden/>
          </w:rPr>
        </w:r>
        <w:r w:rsidR="00D6577C">
          <w:rPr>
            <w:noProof/>
            <w:webHidden/>
          </w:rPr>
          <w:fldChar w:fldCharType="separate"/>
        </w:r>
        <w:r w:rsidR="00D6577C">
          <w:rPr>
            <w:noProof/>
            <w:webHidden/>
          </w:rPr>
          <w:t>22</w:t>
        </w:r>
        <w:r w:rsidR="00D6577C">
          <w:rPr>
            <w:noProof/>
            <w:webHidden/>
          </w:rPr>
          <w:fldChar w:fldCharType="end"/>
        </w:r>
      </w:hyperlink>
    </w:p>
    <w:p w:rsidR="00D6577C" w:rsidRDefault="007E1236">
      <w:pPr>
        <w:pStyle w:val="Turinys1"/>
        <w:rPr>
          <w:rFonts w:eastAsiaTheme="minorEastAsia" w:cstheme="minorBidi"/>
          <w:b w:val="0"/>
          <w:bCs w:val="0"/>
          <w:caps w:val="0"/>
          <w:noProof/>
          <w:szCs w:val="22"/>
        </w:rPr>
      </w:pPr>
      <w:hyperlink w:anchor="_Toc505787266" w:history="1">
        <w:r w:rsidR="00D6577C" w:rsidRPr="00FD431D">
          <w:rPr>
            <w:rStyle w:val="Hipersaitas"/>
            <w:rFonts w:cstheme="minorHAnsi"/>
            <w:noProof/>
          </w:rPr>
          <w:t>41. Kiti ginčai viešojo administravimo srityje</w:t>
        </w:r>
        <w:r w:rsidR="00D6577C">
          <w:rPr>
            <w:noProof/>
            <w:webHidden/>
          </w:rPr>
          <w:tab/>
        </w:r>
        <w:r w:rsidR="00D6577C">
          <w:rPr>
            <w:noProof/>
            <w:webHidden/>
          </w:rPr>
          <w:fldChar w:fldCharType="begin"/>
        </w:r>
        <w:r w:rsidR="00D6577C">
          <w:rPr>
            <w:noProof/>
            <w:webHidden/>
          </w:rPr>
          <w:instrText xml:space="preserve"> PAGEREF _Toc505787266 \h </w:instrText>
        </w:r>
        <w:r w:rsidR="00D6577C">
          <w:rPr>
            <w:noProof/>
            <w:webHidden/>
          </w:rPr>
        </w:r>
        <w:r w:rsidR="00D6577C">
          <w:rPr>
            <w:noProof/>
            <w:webHidden/>
          </w:rPr>
          <w:fldChar w:fldCharType="separate"/>
        </w:r>
        <w:r w:rsidR="00D6577C">
          <w:rPr>
            <w:noProof/>
            <w:webHidden/>
          </w:rPr>
          <w:t>24</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67" w:history="1">
        <w:r w:rsidR="00D6577C" w:rsidRPr="00FD431D">
          <w:rPr>
            <w:rStyle w:val="Hipersaitas"/>
            <w:noProof/>
          </w:rPr>
          <w:t>Dėl nesąžiningos komercinės veiklos vartotojų atžvilgiu užsiimant skolų išieškojimo veikla</w:t>
        </w:r>
        <w:r w:rsidR="00D6577C">
          <w:rPr>
            <w:noProof/>
            <w:webHidden/>
          </w:rPr>
          <w:tab/>
        </w:r>
        <w:r w:rsidR="00D6577C">
          <w:rPr>
            <w:noProof/>
            <w:webHidden/>
          </w:rPr>
          <w:fldChar w:fldCharType="begin"/>
        </w:r>
        <w:r w:rsidR="00D6577C">
          <w:rPr>
            <w:noProof/>
            <w:webHidden/>
          </w:rPr>
          <w:instrText xml:space="preserve"> PAGEREF _Toc505787267 \h </w:instrText>
        </w:r>
        <w:r w:rsidR="00D6577C">
          <w:rPr>
            <w:noProof/>
            <w:webHidden/>
          </w:rPr>
        </w:r>
        <w:r w:rsidR="00D6577C">
          <w:rPr>
            <w:noProof/>
            <w:webHidden/>
          </w:rPr>
          <w:fldChar w:fldCharType="separate"/>
        </w:r>
        <w:r w:rsidR="00D6577C">
          <w:rPr>
            <w:noProof/>
            <w:webHidden/>
          </w:rPr>
          <w:t>24</w:t>
        </w:r>
        <w:r w:rsidR="00D6577C">
          <w:rPr>
            <w:noProof/>
            <w:webHidden/>
          </w:rPr>
          <w:fldChar w:fldCharType="end"/>
        </w:r>
      </w:hyperlink>
    </w:p>
    <w:p w:rsidR="00D6577C" w:rsidRDefault="007E1236">
      <w:pPr>
        <w:pStyle w:val="Turinys1"/>
        <w:rPr>
          <w:rFonts w:eastAsiaTheme="minorEastAsia" w:cstheme="minorBidi"/>
          <w:b w:val="0"/>
          <w:bCs w:val="0"/>
          <w:caps w:val="0"/>
          <w:noProof/>
          <w:szCs w:val="22"/>
        </w:rPr>
      </w:pPr>
      <w:hyperlink w:anchor="_Toc505787268" w:history="1">
        <w:r w:rsidR="00D6577C" w:rsidRPr="00FD431D">
          <w:rPr>
            <w:rStyle w:val="Hipersaitas"/>
            <w:rFonts w:cstheme="minorHAnsi"/>
            <w:noProof/>
          </w:rPr>
          <w:t>II. Administracinių bylų teisena</w:t>
        </w:r>
        <w:r w:rsidR="00D6577C">
          <w:rPr>
            <w:noProof/>
            <w:webHidden/>
          </w:rPr>
          <w:tab/>
        </w:r>
        <w:r w:rsidR="00D6577C">
          <w:rPr>
            <w:noProof/>
            <w:webHidden/>
          </w:rPr>
          <w:fldChar w:fldCharType="begin"/>
        </w:r>
        <w:r w:rsidR="00D6577C">
          <w:rPr>
            <w:noProof/>
            <w:webHidden/>
          </w:rPr>
          <w:instrText xml:space="preserve"> PAGEREF _Toc505787268 \h </w:instrText>
        </w:r>
        <w:r w:rsidR="00D6577C">
          <w:rPr>
            <w:noProof/>
            <w:webHidden/>
          </w:rPr>
        </w:r>
        <w:r w:rsidR="00D6577C">
          <w:rPr>
            <w:noProof/>
            <w:webHidden/>
          </w:rPr>
          <w:fldChar w:fldCharType="separate"/>
        </w:r>
        <w:r w:rsidR="00D6577C">
          <w:rPr>
            <w:noProof/>
            <w:webHidden/>
          </w:rPr>
          <w:t>26</w:t>
        </w:r>
        <w:r w:rsidR="00D6577C">
          <w:rPr>
            <w:noProof/>
            <w:webHidden/>
          </w:rPr>
          <w:fldChar w:fldCharType="end"/>
        </w:r>
      </w:hyperlink>
    </w:p>
    <w:p w:rsidR="00D6577C" w:rsidRDefault="007E1236">
      <w:pPr>
        <w:pStyle w:val="Turinys1"/>
        <w:rPr>
          <w:rFonts w:eastAsiaTheme="minorEastAsia" w:cstheme="minorBidi"/>
          <w:b w:val="0"/>
          <w:bCs w:val="0"/>
          <w:caps w:val="0"/>
          <w:noProof/>
          <w:szCs w:val="22"/>
        </w:rPr>
      </w:pPr>
      <w:hyperlink w:anchor="_Toc505787269" w:history="1">
        <w:r w:rsidR="00D6577C" w:rsidRPr="00FD431D">
          <w:rPr>
            <w:rStyle w:val="Hipersaitas"/>
            <w:rFonts w:cstheme="minorHAnsi"/>
            <w:noProof/>
          </w:rPr>
          <w:t>43. Teisė kreiptis į teismą ir jos realizavimas</w:t>
        </w:r>
        <w:r w:rsidR="00D6577C">
          <w:rPr>
            <w:noProof/>
            <w:webHidden/>
          </w:rPr>
          <w:tab/>
        </w:r>
        <w:r w:rsidR="00D6577C">
          <w:rPr>
            <w:noProof/>
            <w:webHidden/>
          </w:rPr>
          <w:fldChar w:fldCharType="begin"/>
        </w:r>
        <w:r w:rsidR="00D6577C">
          <w:rPr>
            <w:noProof/>
            <w:webHidden/>
          </w:rPr>
          <w:instrText xml:space="preserve"> PAGEREF _Toc505787269 \h </w:instrText>
        </w:r>
        <w:r w:rsidR="00D6577C">
          <w:rPr>
            <w:noProof/>
            <w:webHidden/>
          </w:rPr>
        </w:r>
        <w:r w:rsidR="00D6577C">
          <w:rPr>
            <w:noProof/>
            <w:webHidden/>
          </w:rPr>
          <w:fldChar w:fldCharType="separate"/>
        </w:r>
        <w:r w:rsidR="00D6577C">
          <w:rPr>
            <w:noProof/>
            <w:webHidden/>
          </w:rPr>
          <w:t>26</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70" w:history="1">
        <w:r w:rsidR="00D6577C" w:rsidRPr="00FD431D">
          <w:rPr>
            <w:rStyle w:val="Hipersaitas"/>
            <w:rFonts w:eastAsia="Arial Unicode MS"/>
            <w:noProof/>
          </w:rPr>
          <w:t>Dėl tinkamai pasirašyto apeliacinio skundo pateikimo per EPP</w:t>
        </w:r>
        <w:r w:rsidR="00D6577C">
          <w:rPr>
            <w:noProof/>
            <w:webHidden/>
          </w:rPr>
          <w:tab/>
        </w:r>
        <w:r w:rsidR="00D6577C">
          <w:rPr>
            <w:noProof/>
            <w:webHidden/>
          </w:rPr>
          <w:fldChar w:fldCharType="begin"/>
        </w:r>
        <w:r w:rsidR="00D6577C">
          <w:rPr>
            <w:noProof/>
            <w:webHidden/>
          </w:rPr>
          <w:instrText xml:space="preserve"> PAGEREF _Toc505787270 \h </w:instrText>
        </w:r>
        <w:r w:rsidR="00D6577C">
          <w:rPr>
            <w:noProof/>
            <w:webHidden/>
          </w:rPr>
        </w:r>
        <w:r w:rsidR="00D6577C">
          <w:rPr>
            <w:noProof/>
            <w:webHidden/>
          </w:rPr>
          <w:fldChar w:fldCharType="separate"/>
        </w:r>
        <w:r w:rsidR="00D6577C">
          <w:rPr>
            <w:noProof/>
            <w:webHidden/>
          </w:rPr>
          <w:t>26</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71" w:history="1">
        <w:r w:rsidR="00D6577C" w:rsidRPr="00FD431D">
          <w:rPr>
            <w:rStyle w:val="Hipersaitas"/>
            <w:rFonts w:eastAsia="Arial Unicode MS"/>
            <w:noProof/>
          </w:rPr>
          <w:t>Dėl bankroto administratoriaus teisės inicijuoti naujus teisminius procesus, atstovaujant bankrutuojantį fizinį asmenį</w:t>
        </w:r>
        <w:r w:rsidR="00D6577C">
          <w:rPr>
            <w:noProof/>
            <w:webHidden/>
          </w:rPr>
          <w:tab/>
        </w:r>
        <w:r w:rsidR="00D6577C">
          <w:rPr>
            <w:noProof/>
            <w:webHidden/>
          </w:rPr>
          <w:fldChar w:fldCharType="begin"/>
        </w:r>
        <w:r w:rsidR="00D6577C">
          <w:rPr>
            <w:noProof/>
            <w:webHidden/>
          </w:rPr>
          <w:instrText xml:space="preserve"> PAGEREF _Toc505787271 \h </w:instrText>
        </w:r>
        <w:r w:rsidR="00D6577C">
          <w:rPr>
            <w:noProof/>
            <w:webHidden/>
          </w:rPr>
        </w:r>
        <w:r w:rsidR="00D6577C">
          <w:rPr>
            <w:noProof/>
            <w:webHidden/>
          </w:rPr>
          <w:fldChar w:fldCharType="separate"/>
        </w:r>
        <w:r w:rsidR="00D6577C">
          <w:rPr>
            <w:noProof/>
            <w:webHidden/>
          </w:rPr>
          <w:t>27</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72" w:history="1">
        <w:r w:rsidR="00D6577C" w:rsidRPr="00FD431D">
          <w:rPr>
            <w:rStyle w:val="Hipersaitas"/>
            <w:rFonts w:eastAsia="Arial Unicode MS"/>
            <w:noProof/>
          </w:rPr>
          <w:t>Dėl asociacijos teisės ginti savo narių interesus teisme</w:t>
        </w:r>
        <w:r w:rsidR="00D6577C">
          <w:rPr>
            <w:noProof/>
            <w:webHidden/>
          </w:rPr>
          <w:tab/>
        </w:r>
        <w:r w:rsidR="00D6577C">
          <w:rPr>
            <w:noProof/>
            <w:webHidden/>
          </w:rPr>
          <w:fldChar w:fldCharType="begin"/>
        </w:r>
        <w:r w:rsidR="00D6577C">
          <w:rPr>
            <w:noProof/>
            <w:webHidden/>
          </w:rPr>
          <w:instrText xml:space="preserve"> PAGEREF _Toc505787272 \h </w:instrText>
        </w:r>
        <w:r w:rsidR="00D6577C">
          <w:rPr>
            <w:noProof/>
            <w:webHidden/>
          </w:rPr>
        </w:r>
        <w:r w:rsidR="00D6577C">
          <w:rPr>
            <w:noProof/>
            <w:webHidden/>
          </w:rPr>
          <w:fldChar w:fldCharType="separate"/>
        </w:r>
        <w:r w:rsidR="00D6577C">
          <w:rPr>
            <w:noProof/>
            <w:webHidden/>
          </w:rPr>
          <w:t>28</w:t>
        </w:r>
        <w:r w:rsidR="00D6577C">
          <w:rPr>
            <w:noProof/>
            <w:webHidden/>
          </w:rPr>
          <w:fldChar w:fldCharType="end"/>
        </w:r>
      </w:hyperlink>
    </w:p>
    <w:p w:rsidR="00D6577C" w:rsidRDefault="007E1236">
      <w:pPr>
        <w:pStyle w:val="Turinys1"/>
        <w:rPr>
          <w:rFonts w:eastAsiaTheme="minorEastAsia" w:cstheme="minorBidi"/>
          <w:b w:val="0"/>
          <w:bCs w:val="0"/>
          <w:caps w:val="0"/>
          <w:noProof/>
          <w:szCs w:val="22"/>
        </w:rPr>
      </w:pPr>
      <w:hyperlink w:anchor="_Toc505787273" w:history="1">
        <w:r w:rsidR="00D6577C" w:rsidRPr="00FD431D">
          <w:rPr>
            <w:rStyle w:val="Hipersaitas"/>
            <w:rFonts w:cstheme="minorHAnsi"/>
            <w:noProof/>
          </w:rPr>
          <w:t>49. Reikalavimo užtikrinimo priemonių taikymas</w:t>
        </w:r>
        <w:r w:rsidR="00D6577C">
          <w:rPr>
            <w:noProof/>
            <w:webHidden/>
          </w:rPr>
          <w:tab/>
        </w:r>
        <w:r w:rsidR="00D6577C">
          <w:rPr>
            <w:noProof/>
            <w:webHidden/>
          </w:rPr>
          <w:fldChar w:fldCharType="begin"/>
        </w:r>
        <w:r w:rsidR="00D6577C">
          <w:rPr>
            <w:noProof/>
            <w:webHidden/>
          </w:rPr>
          <w:instrText xml:space="preserve"> PAGEREF _Toc505787273 \h </w:instrText>
        </w:r>
        <w:r w:rsidR="00D6577C">
          <w:rPr>
            <w:noProof/>
            <w:webHidden/>
          </w:rPr>
        </w:r>
        <w:r w:rsidR="00D6577C">
          <w:rPr>
            <w:noProof/>
            <w:webHidden/>
          </w:rPr>
          <w:fldChar w:fldCharType="separate"/>
        </w:r>
        <w:r w:rsidR="00D6577C">
          <w:rPr>
            <w:noProof/>
            <w:webHidden/>
          </w:rPr>
          <w:t>28</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74" w:history="1">
        <w:r w:rsidR="00D6577C" w:rsidRPr="00FD431D">
          <w:rPr>
            <w:rStyle w:val="Hipersaitas"/>
            <w:noProof/>
          </w:rPr>
          <w:t>Dėl administracinių teismų kompetencijos sustabdyti išieškojimą pagal vykdomąjį dokumentą administracinėje byloje, kai tokia priemone siekiama reikalavimo (ieškinio) civilinėje byloje užtikrinimo</w:t>
        </w:r>
        <w:r w:rsidR="00D6577C">
          <w:rPr>
            <w:noProof/>
            <w:webHidden/>
          </w:rPr>
          <w:tab/>
        </w:r>
        <w:r w:rsidR="00D6577C">
          <w:rPr>
            <w:noProof/>
            <w:webHidden/>
          </w:rPr>
          <w:fldChar w:fldCharType="begin"/>
        </w:r>
        <w:r w:rsidR="00D6577C">
          <w:rPr>
            <w:noProof/>
            <w:webHidden/>
          </w:rPr>
          <w:instrText xml:space="preserve"> PAGEREF _Toc505787274 \h </w:instrText>
        </w:r>
        <w:r w:rsidR="00D6577C">
          <w:rPr>
            <w:noProof/>
            <w:webHidden/>
          </w:rPr>
        </w:r>
        <w:r w:rsidR="00D6577C">
          <w:rPr>
            <w:noProof/>
            <w:webHidden/>
          </w:rPr>
          <w:fldChar w:fldCharType="separate"/>
        </w:r>
        <w:r w:rsidR="00D6577C">
          <w:rPr>
            <w:noProof/>
            <w:webHidden/>
          </w:rPr>
          <w:t>29</w:t>
        </w:r>
        <w:r w:rsidR="00D6577C">
          <w:rPr>
            <w:noProof/>
            <w:webHidden/>
          </w:rPr>
          <w:fldChar w:fldCharType="end"/>
        </w:r>
      </w:hyperlink>
    </w:p>
    <w:p w:rsidR="00D6577C" w:rsidRDefault="007E1236">
      <w:pPr>
        <w:pStyle w:val="Turinys1"/>
        <w:rPr>
          <w:rFonts w:eastAsiaTheme="minorEastAsia" w:cstheme="minorBidi"/>
          <w:b w:val="0"/>
          <w:bCs w:val="0"/>
          <w:caps w:val="0"/>
          <w:noProof/>
          <w:szCs w:val="22"/>
        </w:rPr>
      </w:pPr>
      <w:hyperlink w:anchor="_Toc505787275" w:history="1">
        <w:r w:rsidR="00D6577C" w:rsidRPr="00FD431D">
          <w:rPr>
            <w:rStyle w:val="Hipersaitas"/>
            <w:rFonts w:cstheme="minorHAnsi"/>
            <w:noProof/>
          </w:rPr>
          <w:t>54. Skundo palikimas nenagrinėtu</w:t>
        </w:r>
        <w:r w:rsidR="00D6577C">
          <w:rPr>
            <w:noProof/>
            <w:webHidden/>
          </w:rPr>
          <w:tab/>
        </w:r>
        <w:r w:rsidR="00D6577C">
          <w:rPr>
            <w:noProof/>
            <w:webHidden/>
          </w:rPr>
          <w:fldChar w:fldCharType="begin"/>
        </w:r>
        <w:r w:rsidR="00D6577C">
          <w:rPr>
            <w:noProof/>
            <w:webHidden/>
          </w:rPr>
          <w:instrText xml:space="preserve"> PAGEREF _Toc505787275 \h </w:instrText>
        </w:r>
        <w:r w:rsidR="00D6577C">
          <w:rPr>
            <w:noProof/>
            <w:webHidden/>
          </w:rPr>
        </w:r>
        <w:r w:rsidR="00D6577C">
          <w:rPr>
            <w:noProof/>
            <w:webHidden/>
          </w:rPr>
          <w:fldChar w:fldCharType="separate"/>
        </w:r>
        <w:r w:rsidR="00D6577C">
          <w:rPr>
            <w:noProof/>
            <w:webHidden/>
          </w:rPr>
          <w:t>29</w:t>
        </w:r>
        <w:r w:rsidR="00D6577C">
          <w:rPr>
            <w:noProof/>
            <w:webHidden/>
          </w:rPr>
          <w:fldChar w:fldCharType="end"/>
        </w:r>
      </w:hyperlink>
    </w:p>
    <w:p w:rsidR="00D6577C" w:rsidRDefault="007E1236">
      <w:pPr>
        <w:pStyle w:val="Turinys2"/>
        <w:rPr>
          <w:rFonts w:eastAsiaTheme="minorEastAsia" w:cstheme="minorBidi"/>
          <w:i w:val="0"/>
          <w:noProof/>
          <w:szCs w:val="22"/>
        </w:rPr>
      </w:pPr>
      <w:hyperlink w:anchor="_Toc505787276" w:history="1">
        <w:r w:rsidR="00D6577C" w:rsidRPr="00FD431D">
          <w:rPr>
            <w:rStyle w:val="Hipersaitas"/>
            <w:noProof/>
          </w:rPr>
          <w:t>Dėl išankstinio ginčų nagrinėjimo ne per teismą tvarkos netaikymo siekiant apskųsti Nacionalinės žemės tarnybos sprendimą sustabdyti nagrinėjimą</w:t>
        </w:r>
        <w:r w:rsidR="00D6577C">
          <w:rPr>
            <w:noProof/>
            <w:webHidden/>
          </w:rPr>
          <w:tab/>
        </w:r>
        <w:r w:rsidR="00D6577C">
          <w:rPr>
            <w:noProof/>
            <w:webHidden/>
          </w:rPr>
          <w:fldChar w:fldCharType="begin"/>
        </w:r>
        <w:r w:rsidR="00D6577C">
          <w:rPr>
            <w:noProof/>
            <w:webHidden/>
          </w:rPr>
          <w:instrText xml:space="preserve"> PAGEREF _Toc505787276 \h </w:instrText>
        </w:r>
        <w:r w:rsidR="00D6577C">
          <w:rPr>
            <w:noProof/>
            <w:webHidden/>
          </w:rPr>
        </w:r>
        <w:r w:rsidR="00D6577C">
          <w:rPr>
            <w:noProof/>
            <w:webHidden/>
          </w:rPr>
          <w:fldChar w:fldCharType="separate"/>
        </w:r>
        <w:r w:rsidR="00D6577C">
          <w:rPr>
            <w:noProof/>
            <w:webHidden/>
          </w:rPr>
          <w:t>30</w:t>
        </w:r>
        <w:r w:rsidR="00D6577C">
          <w:rPr>
            <w:noProof/>
            <w:webHidden/>
          </w:rPr>
          <w:fldChar w:fldCharType="end"/>
        </w:r>
      </w:hyperlink>
    </w:p>
    <w:p w:rsidR="000E5B1F" w:rsidRPr="00B90026" w:rsidRDefault="00B51157" w:rsidP="00B91508">
      <w:pPr>
        <w:spacing w:before="240" w:after="240"/>
        <w:jc w:val="both"/>
        <w:rPr>
          <w:rFonts w:asciiTheme="minorHAnsi" w:hAnsiTheme="minorHAnsi" w:cstheme="minorHAnsi"/>
          <w:sz w:val="22"/>
          <w:szCs w:val="22"/>
        </w:rPr>
      </w:pPr>
      <w:r w:rsidRPr="00B90026">
        <w:rPr>
          <w:rFonts w:asciiTheme="minorHAnsi" w:hAnsiTheme="minorHAnsi" w:cstheme="minorHAnsi"/>
          <w:sz w:val="22"/>
          <w:szCs w:val="22"/>
        </w:rPr>
        <w:fldChar w:fldCharType="end"/>
      </w:r>
    </w:p>
    <w:p w:rsidR="000E5B1F" w:rsidRPr="00B90026" w:rsidRDefault="000E5B1F" w:rsidP="00B91508">
      <w:pPr>
        <w:spacing w:before="240" w:after="240"/>
        <w:jc w:val="both"/>
        <w:rPr>
          <w:rFonts w:asciiTheme="minorHAnsi" w:hAnsiTheme="minorHAnsi" w:cstheme="minorHAnsi"/>
          <w:sz w:val="22"/>
          <w:szCs w:val="22"/>
        </w:rPr>
      </w:pPr>
    </w:p>
    <w:p w:rsidR="000E5B1F" w:rsidRPr="00B90026" w:rsidRDefault="000E5B1F" w:rsidP="00B91508">
      <w:pPr>
        <w:spacing w:before="240" w:after="240"/>
        <w:jc w:val="both"/>
        <w:rPr>
          <w:rFonts w:asciiTheme="minorHAnsi" w:hAnsiTheme="minorHAnsi" w:cstheme="minorHAnsi"/>
          <w:sz w:val="22"/>
          <w:szCs w:val="22"/>
        </w:rPr>
      </w:pPr>
    </w:p>
    <w:p w:rsidR="000E5B1F" w:rsidRPr="00B90026" w:rsidRDefault="000E5B1F" w:rsidP="00B91508">
      <w:pPr>
        <w:spacing w:before="240" w:after="240"/>
        <w:jc w:val="both"/>
        <w:rPr>
          <w:rFonts w:asciiTheme="minorHAnsi" w:hAnsiTheme="minorHAnsi" w:cstheme="minorHAnsi"/>
          <w:sz w:val="22"/>
          <w:szCs w:val="22"/>
        </w:rPr>
      </w:pPr>
    </w:p>
    <w:p w:rsidR="000E5B1F" w:rsidRPr="00B90026" w:rsidRDefault="000E5B1F" w:rsidP="00B91508">
      <w:pPr>
        <w:spacing w:before="240" w:after="240"/>
        <w:jc w:val="both"/>
        <w:rPr>
          <w:rFonts w:asciiTheme="minorHAnsi" w:hAnsiTheme="minorHAnsi" w:cstheme="minorHAnsi"/>
          <w:sz w:val="22"/>
          <w:szCs w:val="22"/>
        </w:rPr>
      </w:pPr>
    </w:p>
    <w:p w:rsidR="000E5B1F" w:rsidRPr="00B90026" w:rsidRDefault="000E5B1F" w:rsidP="00B91508">
      <w:pPr>
        <w:spacing w:before="240" w:after="240"/>
        <w:jc w:val="both"/>
        <w:rPr>
          <w:rFonts w:asciiTheme="minorHAnsi" w:hAnsiTheme="minorHAnsi" w:cstheme="minorHAnsi"/>
          <w:sz w:val="22"/>
          <w:szCs w:val="22"/>
        </w:rPr>
      </w:pPr>
    </w:p>
    <w:p w:rsidR="00D75AC1" w:rsidRDefault="00D75AC1" w:rsidP="00B91508">
      <w:pPr>
        <w:spacing w:before="240" w:after="240"/>
        <w:jc w:val="both"/>
        <w:rPr>
          <w:rFonts w:asciiTheme="minorHAnsi" w:hAnsiTheme="minorHAnsi" w:cstheme="minorHAnsi"/>
          <w:sz w:val="22"/>
          <w:szCs w:val="22"/>
        </w:rPr>
      </w:pPr>
    </w:p>
    <w:p w:rsidR="00F2480C" w:rsidRDefault="00F2480C" w:rsidP="00B91508">
      <w:pPr>
        <w:spacing w:before="240" w:after="240"/>
        <w:jc w:val="both"/>
        <w:rPr>
          <w:rFonts w:asciiTheme="minorHAnsi" w:hAnsiTheme="minorHAnsi" w:cstheme="minorHAnsi"/>
          <w:sz w:val="22"/>
          <w:szCs w:val="22"/>
        </w:rPr>
      </w:pPr>
    </w:p>
    <w:p w:rsidR="00F2480C" w:rsidRDefault="00F2480C" w:rsidP="00B91508">
      <w:pPr>
        <w:spacing w:before="240" w:after="240"/>
        <w:jc w:val="both"/>
        <w:rPr>
          <w:rFonts w:asciiTheme="minorHAnsi" w:hAnsiTheme="minorHAnsi" w:cstheme="minorHAnsi"/>
          <w:sz w:val="22"/>
          <w:szCs w:val="22"/>
        </w:rPr>
      </w:pPr>
    </w:p>
    <w:p w:rsidR="00F2480C" w:rsidRDefault="00F2480C" w:rsidP="00B91508">
      <w:pPr>
        <w:spacing w:before="240" w:after="240"/>
        <w:jc w:val="both"/>
        <w:rPr>
          <w:rFonts w:asciiTheme="minorHAnsi" w:hAnsiTheme="minorHAnsi" w:cstheme="minorHAnsi"/>
          <w:sz w:val="22"/>
          <w:szCs w:val="22"/>
        </w:rPr>
      </w:pPr>
    </w:p>
    <w:p w:rsidR="00F2480C" w:rsidRDefault="00F2480C" w:rsidP="00B91508">
      <w:pPr>
        <w:spacing w:before="240" w:after="240"/>
        <w:jc w:val="both"/>
        <w:rPr>
          <w:rFonts w:asciiTheme="minorHAnsi" w:hAnsiTheme="minorHAnsi" w:cstheme="minorHAnsi"/>
          <w:sz w:val="22"/>
          <w:szCs w:val="22"/>
        </w:rPr>
      </w:pPr>
    </w:p>
    <w:p w:rsidR="00F2480C" w:rsidRDefault="00F2480C" w:rsidP="00B91508">
      <w:pPr>
        <w:spacing w:before="240" w:after="240"/>
        <w:jc w:val="both"/>
        <w:rPr>
          <w:rFonts w:asciiTheme="minorHAnsi" w:hAnsiTheme="minorHAnsi" w:cstheme="minorHAnsi"/>
          <w:sz w:val="22"/>
          <w:szCs w:val="22"/>
        </w:rPr>
      </w:pPr>
    </w:p>
    <w:p w:rsidR="00F2480C" w:rsidRDefault="00F2480C" w:rsidP="00B91508">
      <w:pPr>
        <w:spacing w:before="240" w:after="240"/>
        <w:jc w:val="both"/>
        <w:rPr>
          <w:rFonts w:asciiTheme="minorHAnsi" w:hAnsiTheme="minorHAnsi" w:cstheme="minorHAnsi"/>
          <w:sz w:val="22"/>
          <w:szCs w:val="22"/>
        </w:rPr>
      </w:pPr>
    </w:p>
    <w:p w:rsidR="00F2480C" w:rsidRDefault="00F2480C" w:rsidP="00B91508">
      <w:pPr>
        <w:spacing w:before="240" w:after="240"/>
        <w:jc w:val="both"/>
        <w:rPr>
          <w:rFonts w:asciiTheme="minorHAnsi" w:hAnsiTheme="minorHAnsi" w:cstheme="minorHAnsi"/>
          <w:sz w:val="22"/>
          <w:szCs w:val="22"/>
        </w:rPr>
      </w:pPr>
    </w:p>
    <w:p w:rsidR="00F2480C" w:rsidRDefault="00F2480C" w:rsidP="00B91508">
      <w:pPr>
        <w:spacing w:before="240" w:after="240"/>
        <w:jc w:val="both"/>
        <w:rPr>
          <w:rFonts w:asciiTheme="minorHAnsi" w:hAnsiTheme="minorHAnsi" w:cstheme="minorHAnsi"/>
          <w:sz w:val="22"/>
          <w:szCs w:val="22"/>
        </w:rPr>
      </w:pPr>
    </w:p>
    <w:p w:rsidR="00F2480C" w:rsidRDefault="00F2480C" w:rsidP="00B91508">
      <w:pPr>
        <w:spacing w:before="240" w:after="240"/>
        <w:jc w:val="both"/>
        <w:rPr>
          <w:rFonts w:asciiTheme="minorHAnsi" w:hAnsiTheme="minorHAnsi" w:cstheme="minorHAnsi"/>
          <w:sz w:val="22"/>
          <w:szCs w:val="22"/>
        </w:rPr>
      </w:pPr>
    </w:p>
    <w:p w:rsidR="00F2480C" w:rsidRDefault="00F2480C" w:rsidP="00B91508">
      <w:pPr>
        <w:spacing w:before="240" w:after="240"/>
        <w:jc w:val="both"/>
        <w:rPr>
          <w:rFonts w:asciiTheme="minorHAnsi" w:hAnsiTheme="minorHAnsi" w:cstheme="minorHAnsi"/>
          <w:sz w:val="22"/>
          <w:szCs w:val="22"/>
        </w:rPr>
      </w:pPr>
    </w:p>
    <w:p w:rsidR="00F2480C" w:rsidRDefault="00F2480C" w:rsidP="00B91508">
      <w:pPr>
        <w:spacing w:before="240" w:after="240"/>
        <w:jc w:val="both"/>
        <w:rPr>
          <w:rFonts w:asciiTheme="minorHAnsi" w:hAnsiTheme="minorHAnsi" w:cstheme="minorHAnsi"/>
          <w:sz w:val="22"/>
          <w:szCs w:val="22"/>
        </w:rPr>
      </w:pPr>
    </w:p>
    <w:p w:rsidR="00F2480C" w:rsidRDefault="00F2480C" w:rsidP="00B91508">
      <w:pPr>
        <w:spacing w:before="240" w:after="240"/>
        <w:jc w:val="both"/>
        <w:rPr>
          <w:rFonts w:asciiTheme="minorHAnsi" w:hAnsiTheme="minorHAnsi" w:cstheme="minorHAnsi"/>
          <w:sz w:val="22"/>
          <w:szCs w:val="22"/>
        </w:rPr>
      </w:pPr>
    </w:p>
    <w:p w:rsidR="000E5B1F" w:rsidRPr="00B90026" w:rsidRDefault="00E227FE" w:rsidP="008C6FE9">
      <w:pPr>
        <w:spacing w:before="240" w:after="240"/>
        <w:jc w:val="both"/>
        <w:rPr>
          <w:rFonts w:asciiTheme="minorHAnsi" w:hAnsiTheme="minorHAnsi" w:cstheme="minorHAnsi"/>
          <w:sz w:val="22"/>
          <w:szCs w:val="22"/>
        </w:rPr>
      </w:pPr>
      <w:r w:rsidRPr="00B90026">
        <w:rPr>
          <w:rFonts w:asciiTheme="minorHAnsi" w:hAnsiTheme="minorHAnsi" w:cstheme="minorHAnsi"/>
          <w:b/>
          <w:sz w:val="22"/>
          <w:szCs w:val="22"/>
        </w:rPr>
        <w:t>P</w:t>
      </w:r>
      <w:r w:rsidR="003D4C15" w:rsidRPr="00B90026">
        <w:rPr>
          <w:rFonts w:asciiTheme="minorHAnsi" w:hAnsiTheme="minorHAnsi" w:cstheme="minorHAnsi"/>
          <w:b/>
          <w:sz w:val="22"/>
          <w:szCs w:val="22"/>
        </w:rPr>
        <w:t>astaba.</w:t>
      </w:r>
      <w:r w:rsidR="003D4C15" w:rsidRPr="00B90026">
        <w:rPr>
          <w:rFonts w:asciiTheme="minorHAnsi" w:hAnsiTheme="minorHAnsi" w:cstheme="minorHAnsi"/>
          <w:sz w:val="22"/>
          <w:szCs w:val="22"/>
        </w:rPr>
        <w:t xml:space="preserve"> Šioje apžvalgoje pateikiamos neoficialios Lietuvos vyriausiojo administracinio teismo (toliau – ir LVAT) procesinių sprendimų ir Specialiosios teisėjų kolegijos nutarčių dėl teismingumo santraukos, kurios LVAT nesaisto. Šis dokumentas yra skirtas </w:t>
      </w:r>
      <w:r w:rsidR="00A9224B">
        <w:rPr>
          <w:rFonts w:asciiTheme="minorHAnsi" w:hAnsiTheme="minorHAnsi" w:cstheme="minorHAnsi"/>
          <w:sz w:val="22"/>
          <w:szCs w:val="22"/>
        </w:rPr>
        <w:t>informuoti</w:t>
      </w:r>
      <w:r w:rsidR="003D4C15" w:rsidRPr="00B90026">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B90026">
        <w:rPr>
          <w:rFonts w:asciiTheme="minorHAnsi" w:hAnsiTheme="minorHAnsi" w:cstheme="minorHAnsi"/>
          <w:sz w:val="22"/>
          <w:szCs w:val="22"/>
        </w:rPr>
        <w:t>16</w:t>
      </w:r>
      <w:r w:rsidR="003D4C15" w:rsidRPr="00B90026">
        <w:rPr>
          <w:rFonts w:asciiTheme="minorHAnsi" w:hAnsiTheme="minorHAnsi" w:cstheme="minorHAnsi"/>
          <w:sz w:val="22"/>
          <w:szCs w:val="22"/>
        </w:rPr>
        <w:t xml:space="preserve"> m. </w:t>
      </w:r>
      <w:r w:rsidR="0045102F" w:rsidRPr="00B90026">
        <w:rPr>
          <w:rFonts w:asciiTheme="minorHAnsi" w:hAnsiTheme="minorHAnsi" w:cstheme="minorHAnsi"/>
          <w:sz w:val="22"/>
          <w:szCs w:val="22"/>
        </w:rPr>
        <w:t>rugsėjo 30</w:t>
      </w:r>
      <w:r w:rsidR="009E6C8D" w:rsidRPr="00B90026">
        <w:rPr>
          <w:rFonts w:asciiTheme="minorHAnsi" w:hAnsiTheme="minorHAnsi" w:cstheme="minorHAnsi"/>
          <w:sz w:val="22"/>
          <w:szCs w:val="22"/>
        </w:rPr>
        <w:t> </w:t>
      </w:r>
      <w:r w:rsidR="003D4C15" w:rsidRPr="00B90026">
        <w:rPr>
          <w:rFonts w:asciiTheme="minorHAnsi" w:hAnsiTheme="minorHAnsi" w:cstheme="minorHAnsi"/>
          <w:sz w:val="22"/>
          <w:szCs w:val="22"/>
        </w:rPr>
        <w:t>d. nutarimu Nr. 13P-</w:t>
      </w:r>
      <w:r w:rsidR="0045102F" w:rsidRPr="00B90026">
        <w:rPr>
          <w:rFonts w:asciiTheme="minorHAnsi" w:hAnsiTheme="minorHAnsi" w:cstheme="minorHAnsi"/>
          <w:sz w:val="22"/>
          <w:szCs w:val="22"/>
        </w:rPr>
        <w:t>102</w:t>
      </w:r>
      <w:r w:rsidR="003D4C15" w:rsidRPr="00B90026">
        <w:rPr>
          <w:rFonts w:asciiTheme="minorHAnsi" w:hAnsiTheme="minorHAnsi" w:cstheme="minorHAnsi"/>
          <w:sz w:val="22"/>
          <w:szCs w:val="22"/>
        </w:rPr>
        <w:t>-(7.1.2) patvirtintu Teismų procesinių sprendimų administracinėse bylose kategorijų klasifikatoriumi.</w:t>
      </w:r>
      <w:bookmarkStart w:id="8" w:name="_Toc410389752"/>
      <w:bookmarkStart w:id="9" w:name="_Toc361146890"/>
      <w:bookmarkEnd w:id="7"/>
    </w:p>
    <w:p w:rsidR="00A16894" w:rsidRPr="00B90026" w:rsidRDefault="003D4C15" w:rsidP="00363C0B">
      <w:pPr>
        <w:pStyle w:val="Apzvalgai1"/>
        <w:rPr>
          <w:rFonts w:asciiTheme="minorHAnsi" w:hAnsiTheme="minorHAnsi" w:cstheme="minorHAnsi"/>
        </w:rPr>
      </w:pPr>
      <w:bookmarkStart w:id="10" w:name="_Toc505787239"/>
      <w:r w:rsidRPr="00B90026">
        <w:rPr>
          <w:rFonts w:asciiTheme="minorHAnsi" w:hAnsiTheme="minorHAnsi" w:cstheme="minorHAnsi"/>
        </w:rPr>
        <w:lastRenderedPageBreak/>
        <w:t>I. Administracinės bylos, kylančios iš ginčų dėl teisės viešojo administravimo srityje</w:t>
      </w:r>
      <w:bookmarkStart w:id="11" w:name="_Toc410380895"/>
      <w:bookmarkStart w:id="12" w:name="_Toc410389769"/>
      <w:bookmarkEnd w:id="8"/>
      <w:bookmarkEnd w:id="10"/>
    </w:p>
    <w:p w:rsidR="00DB2E4D" w:rsidRPr="00B90026" w:rsidRDefault="00DB2E4D" w:rsidP="00B91508">
      <w:pPr>
        <w:tabs>
          <w:tab w:val="left" w:pos="142"/>
        </w:tabs>
        <w:jc w:val="both"/>
        <w:rPr>
          <w:rStyle w:val="Hipersaitas"/>
          <w:rFonts w:asciiTheme="minorHAnsi" w:hAnsiTheme="minorHAnsi" w:cstheme="minorHAnsi"/>
          <w:sz w:val="22"/>
          <w:szCs w:val="22"/>
        </w:rPr>
      </w:pPr>
      <w:bookmarkStart w:id="13" w:name="_Toc462149970"/>
      <w:bookmarkStart w:id="14" w:name="_Toc196533593"/>
      <w:bookmarkStart w:id="15" w:name="_Toc195937134"/>
      <w:bookmarkStart w:id="16" w:name="_Toc196533589"/>
    </w:p>
    <w:p w:rsidR="00B64450" w:rsidRPr="00B90026" w:rsidRDefault="003808A3" w:rsidP="00363C0B">
      <w:pPr>
        <w:pStyle w:val="Apzvalgai1"/>
        <w:rPr>
          <w:rFonts w:asciiTheme="minorHAnsi" w:hAnsiTheme="minorHAnsi" w:cstheme="minorHAnsi"/>
        </w:rPr>
      </w:pPr>
      <w:bookmarkStart w:id="17" w:name="_Toc505787240"/>
      <w:r w:rsidRPr="00B90026">
        <w:rPr>
          <w:rFonts w:asciiTheme="minorHAnsi" w:hAnsiTheme="minorHAnsi" w:cstheme="minorHAnsi"/>
        </w:rPr>
        <w:t xml:space="preserve">4. </w:t>
      </w:r>
      <w:r w:rsidR="00B64450" w:rsidRPr="00B90026">
        <w:rPr>
          <w:rFonts w:asciiTheme="minorHAnsi" w:hAnsiTheme="minorHAnsi" w:cstheme="minorHAnsi"/>
        </w:rPr>
        <w:t>Norminių administracinių aktų teisėtumo patikra</w:t>
      </w:r>
      <w:bookmarkEnd w:id="17"/>
    </w:p>
    <w:p w:rsidR="00B64450" w:rsidRPr="00B90026" w:rsidRDefault="00B64450" w:rsidP="00B91508">
      <w:pPr>
        <w:tabs>
          <w:tab w:val="left" w:pos="142"/>
        </w:tabs>
        <w:ind w:firstLine="567"/>
        <w:jc w:val="both"/>
        <w:rPr>
          <w:rFonts w:asciiTheme="minorHAnsi" w:hAnsiTheme="minorHAnsi" w:cstheme="minorHAnsi"/>
          <w:b/>
          <w:sz w:val="22"/>
          <w:szCs w:val="22"/>
          <w:u w:val="single"/>
        </w:rPr>
      </w:pPr>
      <w:r w:rsidRPr="00B90026">
        <w:rPr>
          <w:rFonts w:asciiTheme="minorHAnsi" w:hAnsiTheme="minorHAnsi" w:cstheme="minorHAnsi"/>
          <w:b/>
          <w:sz w:val="22"/>
          <w:szCs w:val="22"/>
          <w:u w:val="single"/>
        </w:rPr>
        <w:t>4.1. Centrinių valstybinio administravimo subjektų norminių administracinių aktų teisėtumo patikra</w:t>
      </w:r>
    </w:p>
    <w:p w:rsidR="00845FF8" w:rsidRPr="00B90026" w:rsidRDefault="00845FF8" w:rsidP="00845FF8">
      <w:pPr>
        <w:jc w:val="both"/>
        <w:rPr>
          <w:rFonts w:asciiTheme="minorHAnsi" w:eastAsia="Arial Unicode MS" w:hAnsiTheme="minorHAnsi" w:cstheme="minorHAnsi"/>
          <w:i/>
          <w:sz w:val="22"/>
          <w:szCs w:val="22"/>
          <w:shd w:val="clear" w:color="auto" w:fill="FFFFFF"/>
        </w:rPr>
      </w:pPr>
    </w:p>
    <w:p w:rsidR="00845FF8" w:rsidRPr="00B90026" w:rsidRDefault="00845FF8" w:rsidP="00363C0B">
      <w:pPr>
        <w:pStyle w:val="Antrat2"/>
        <w:rPr>
          <w:rFonts w:eastAsia="Arial Unicode MS"/>
          <w:lang w:eastAsia="en-US"/>
        </w:rPr>
      </w:pPr>
      <w:bookmarkStart w:id="18" w:name="_Toc505787241"/>
      <w:r w:rsidRPr="00B90026">
        <w:rPr>
          <w:rFonts w:eastAsia="Arial Unicode MS"/>
        </w:rPr>
        <w:t>Dėl įpareigojimo nustatyti</w:t>
      </w:r>
      <w:r w:rsidRPr="00B90026">
        <w:rPr>
          <w:lang w:bidi="lt-LT"/>
        </w:rPr>
        <w:t xml:space="preserve"> </w:t>
      </w:r>
      <w:r w:rsidRPr="00B90026">
        <w:rPr>
          <w:rFonts w:eastAsia="Arial Unicode MS"/>
          <w:lang w:bidi="lt-LT"/>
        </w:rPr>
        <w:t xml:space="preserve">pereinamąjį teisinį reguliavimą, </w:t>
      </w:r>
      <w:r w:rsidRPr="00B90026">
        <w:rPr>
          <w:rFonts w:eastAsia="Arial Unicode MS"/>
        </w:rPr>
        <w:t xml:space="preserve">nustatant naują ir </w:t>
      </w:r>
      <w:r w:rsidRPr="00B90026">
        <w:rPr>
          <w:rFonts w:eastAsia="Arial Unicode MS"/>
          <w:lang w:bidi="lt-LT"/>
        </w:rPr>
        <w:t>esminį reikalavimą ūkio subjektams, į Lietuvos Respubliką importuojantiems naudotus ratinius traktorius iš trečiųjų šalių</w:t>
      </w:r>
      <w:bookmarkEnd w:id="18"/>
      <w:r w:rsidRPr="00B90026">
        <w:rPr>
          <w:rFonts w:eastAsia="Arial Unicode MS"/>
        </w:rPr>
        <w:t xml:space="preserve"> </w:t>
      </w:r>
    </w:p>
    <w:p w:rsidR="00845FF8" w:rsidRPr="00B90026" w:rsidRDefault="00845FF8" w:rsidP="00845FF8">
      <w:pPr>
        <w:jc w:val="both"/>
        <w:rPr>
          <w:rFonts w:asciiTheme="minorHAnsi" w:eastAsia="Arial Unicode MS" w:hAnsiTheme="minorHAnsi" w:cstheme="minorHAnsi"/>
          <w:i/>
          <w:sz w:val="22"/>
          <w:szCs w:val="22"/>
          <w:shd w:val="clear" w:color="auto" w:fill="FFFFFF"/>
        </w:rPr>
      </w:pPr>
    </w:p>
    <w:p w:rsidR="00845FF8" w:rsidRPr="00B90026" w:rsidRDefault="00845FF8" w:rsidP="00845FF8">
      <w:pPr>
        <w:ind w:firstLine="567"/>
        <w:jc w:val="both"/>
        <w:rPr>
          <w:rFonts w:asciiTheme="minorHAnsi" w:hAnsiTheme="minorHAnsi" w:cstheme="minorHAnsi"/>
          <w:bCs/>
          <w:sz w:val="22"/>
          <w:szCs w:val="22"/>
        </w:rPr>
      </w:pPr>
      <w:r w:rsidRPr="00B90026">
        <w:rPr>
          <w:rFonts w:asciiTheme="minorHAnsi" w:hAnsiTheme="minorHAnsi" w:cstheme="minorHAnsi"/>
          <w:sz w:val="22"/>
          <w:szCs w:val="22"/>
        </w:rPr>
        <w:t xml:space="preserve">Apžvelgiamoje byloje </w:t>
      </w:r>
      <w:r w:rsidRPr="00B90026">
        <w:rPr>
          <w:rFonts w:asciiTheme="minorHAnsi" w:hAnsiTheme="minorHAnsi" w:cstheme="minorHAnsi"/>
          <w:bCs/>
          <w:sz w:val="22"/>
          <w:szCs w:val="22"/>
        </w:rPr>
        <w:t>buvo sprendžiamas Lietuvos Respublikos žemės ūkio ministro 2014 m. liepos 1 d. įsakymo Nr. 3D-396 „Dėl žemės ūkio ministro 2006 m. spalio 2 d. įsakymo Nr. 3D-384 „Dėl traktorių, savaeigių ir žemės ūkio mašinų ir jų priekabų registravimo taisyklių patvirtinimo“ pakeitimo“ (toliau – ir Įsakymas) 1</w:t>
      </w:r>
      <w:r w:rsidR="00877EAA">
        <w:rPr>
          <w:rFonts w:asciiTheme="minorHAnsi" w:hAnsiTheme="minorHAnsi" w:cstheme="minorHAnsi"/>
          <w:bCs/>
          <w:sz w:val="22"/>
          <w:szCs w:val="22"/>
        </w:rPr>
        <w:t> </w:t>
      </w:r>
      <w:r w:rsidRPr="00B90026">
        <w:rPr>
          <w:rFonts w:asciiTheme="minorHAnsi" w:hAnsiTheme="minorHAnsi" w:cstheme="minorHAnsi"/>
          <w:bCs/>
          <w:sz w:val="22"/>
          <w:szCs w:val="22"/>
        </w:rPr>
        <w:t>punkto, kuriuo Traktorių, savaeigių ir žemės ūkio mašinų ir jų priekabų registravimo taisyklės, patvirtintos Lietuvos Respublikos žemės ūkio ministro 2006 m. spalio 2 d. įsakymu Nr. 3D-384 (toliau – ir Registravimo taisyklės) papildytos 19</w:t>
      </w:r>
      <w:r w:rsidRPr="00B90026">
        <w:rPr>
          <w:rFonts w:asciiTheme="minorHAnsi" w:hAnsiTheme="minorHAnsi" w:cstheme="minorHAnsi"/>
          <w:bCs/>
          <w:sz w:val="22"/>
          <w:szCs w:val="22"/>
          <w:vertAlign w:val="superscript"/>
        </w:rPr>
        <w:t>1</w:t>
      </w:r>
      <w:r w:rsidRPr="00B90026">
        <w:rPr>
          <w:rFonts w:asciiTheme="minorHAnsi" w:hAnsiTheme="minorHAnsi" w:cstheme="minorHAnsi"/>
          <w:bCs/>
          <w:sz w:val="22"/>
          <w:szCs w:val="22"/>
        </w:rPr>
        <w:t xml:space="preserve"> punktu, numatančiu, jog naudoti ratiniai traktoriai, pagaminti ne ES šalyse po 2009 m. liepos 1 d. ir neįregistruoti ES šalyse, pagal šias taisykles įregistruojami, jeigu jie buvo pagaminti pagal 2003 m. gegužės 26 d. Europos Parlamento ir Tarybos direktyvos 2003/37/EB dėl žemės ar miškų ūkio traktorių, jų priekabų ir keičiamos velkamosios įrangos, jų sistemų, sudėtinių dalių ir atskirų techninių mazgų tipo patvirtinimo ir panaikinančios direktyvą 74/150/EEB (OL specialusis leidimas, 2004 m., 13 skyrius, 31 tomas, p.</w:t>
      </w:r>
      <w:r w:rsidR="00877EAA">
        <w:rPr>
          <w:rFonts w:asciiTheme="minorHAnsi" w:hAnsiTheme="minorHAnsi" w:cstheme="minorHAnsi"/>
          <w:bCs/>
          <w:sz w:val="22"/>
          <w:szCs w:val="22"/>
        </w:rPr>
        <w:t> </w:t>
      </w:r>
      <w:r w:rsidRPr="00B90026">
        <w:rPr>
          <w:rFonts w:asciiTheme="minorHAnsi" w:hAnsiTheme="minorHAnsi" w:cstheme="minorHAnsi"/>
          <w:bCs/>
          <w:sz w:val="22"/>
          <w:szCs w:val="22"/>
        </w:rPr>
        <w:t>311) (toliau – ir Direktyva 2003/37/EB) su paskutiniais pakeitimais, padarytais 2014 m. kovo 18 d. Komisijos direktyva 2014/44/ES (OL L 82, 2014, p. 20), reikalavimus, teisėtumo klausimas.</w:t>
      </w:r>
    </w:p>
    <w:p w:rsidR="00AD05D3" w:rsidRPr="00B90026" w:rsidRDefault="00845FF8" w:rsidP="00845FF8">
      <w:pPr>
        <w:ind w:firstLine="567"/>
        <w:jc w:val="both"/>
        <w:rPr>
          <w:rFonts w:asciiTheme="minorHAnsi" w:hAnsiTheme="minorHAnsi" w:cstheme="minorHAnsi"/>
          <w:bCs/>
          <w:sz w:val="22"/>
          <w:szCs w:val="22"/>
        </w:rPr>
      </w:pPr>
      <w:r w:rsidRPr="00B90026">
        <w:rPr>
          <w:rFonts w:asciiTheme="minorHAnsi" w:hAnsiTheme="minorHAnsi" w:cstheme="minorHAnsi"/>
          <w:bCs/>
          <w:sz w:val="22"/>
          <w:szCs w:val="22"/>
          <w:lang w:bidi="lt-LT"/>
        </w:rPr>
        <w:t xml:space="preserve">LVAT išplėstinė teisėjų kolegija pažymėjo, kad Europos Sąjungos Teisingumo Teismas pagal LVAT pasikreipimą 2017 m. birželio 15 d. priėmė prejudicinį sprendimą </w:t>
      </w:r>
      <w:r w:rsidRPr="00B90026">
        <w:rPr>
          <w:rFonts w:asciiTheme="minorHAnsi" w:hAnsiTheme="minorHAnsi" w:cstheme="minorHAnsi"/>
          <w:bCs/>
          <w:i/>
          <w:sz w:val="22"/>
          <w:szCs w:val="22"/>
          <w:lang w:bidi="lt-LT"/>
        </w:rPr>
        <w:t>Agrodetalė</w:t>
      </w:r>
      <w:r w:rsidRPr="00B90026">
        <w:rPr>
          <w:rFonts w:asciiTheme="minorHAnsi" w:hAnsiTheme="minorHAnsi" w:cstheme="minorHAnsi"/>
          <w:bCs/>
          <w:sz w:val="22"/>
          <w:szCs w:val="22"/>
          <w:lang w:bidi="lt-LT"/>
        </w:rPr>
        <w:t>, C-513/15, EU:C:2017:473, kuriame pateikė aiškų ir besąlygišką išaiškinimą dėl Direktyvos 2003/37/EB nuostatų taikymo naudotiems ratiniams traktoriams. S</w:t>
      </w:r>
      <w:r w:rsidRPr="00B90026">
        <w:rPr>
          <w:rFonts w:asciiTheme="minorHAnsi" w:hAnsiTheme="minorHAnsi" w:cstheme="minorHAnsi"/>
          <w:bCs/>
          <w:sz w:val="22"/>
          <w:szCs w:val="22"/>
        </w:rPr>
        <w:t>usiklosčius tokiai situacijai, kaip nagrinėtoje norminėje administracinėje byloje, kurioje Europos Sąjungos teisės nuostatos, kylančios iš sutarčių, kuriomis grindžiama Europos Sąjunga ir dėl kurių Teisingumo Teismas pateikė aiškų ir besąlygišką išaiškinimą, konkuruoja su teisiniu reguliavimu, nustatytuoju Lietuvos nacionaliniuose teisės aktuose, tokia situacija spręstina taikant kolizijos taisyklę, įtvirtinančią Europos Sąjungos teisės aktų taikymo pirmenybę. Šios aplinkybės aptariamu atveju lėmė vertinimą, kad atitinkama Vilniaus apygardos administracinio teismo prašymo dalis neturi tyrimo dalyko, todėl norminės administracinės bylos dalis pagal minėto teismo prašymą ištirti, ar Įsakymo 1 punktas atitinka Viešojo administravimo įstatymo 3 straipsnio 1 punkte įtvirtintą įstatymo viršenybės principą bei Konstitucijos preambulėje įtvirtintą teisinės valstybės principą, taip pat Viešojo administravimo įstatymo 3 straipsnio 3 punkte ir Teisėkūros pagrindų įstatymo 3 straipsnio 2 dalies 2 punkte įtvirtintą proporcingumo principą bei 3 straipsnio 2 dalies 1 punkte įtvirtintą tikslingumo principą, nutraukta, kaip nepriskirtina administracinių teismų kompetencijai (A</w:t>
      </w:r>
      <w:r w:rsidR="00AD05D3" w:rsidRPr="00B90026">
        <w:rPr>
          <w:rFonts w:asciiTheme="minorHAnsi" w:hAnsiTheme="minorHAnsi" w:cstheme="minorHAnsi"/>
          <w:bCs/>
          <w:sz w:val="22"/>
          <w:szCs w:val="22"/>
        </w:rPr>
        <w:t xml:space="preserve">BTĮ </w:t>
      </w:r>
      <w:r w:rsidRPr="00B90026">
        <w:rPr>
          <w:rFonts w:asciiTheme="minorHAnsi" w:hAnsiTheme="minorHAnsi" w:cstheme="minorHAnsi"/>
          <w:bCs/>
          <w:sz w:val="22"/>
          <w:szCs w:val="22"/>
        </w:rPr>
        <w:t>101</w:t>
      </w:r>
      <w:r w:rsidR="00AD05D3" w:rsidRPr="00B90026">
        <w:rPr>
          <w:rFonts w:asciiTheme="minorHAnsi" w:hAnsiTheme="minorHAnsi" w:cstheme="minorHAnsi"/>
          <w:bCs/>
          <w:sz w:val="22"/>
          <w:szCs w:val="22"/>
        </w:rPr>
        <w:t> </w:t>
      </w:r>
      <w:r w:rsidRPr="00B90026">
        <w:rPr>
          <w:rFonts w:asciiTheme="minorHAnsi" w:hAnsiTheme="minorHAnsi" w:cstheme="minorHAnsi"/>
          <w:bCs/>
          <w:sz w:val="22"/>
          <w:szCs w:val="22"/>
        </w:rPr>
        <w:t>str. 1 d. 1 p., 114 str. 1 d.).</w:t>
      </w:r>
    </w:p>
    <w:p w:rsidR="00845FF8" w:rsidRPr="00B90026" w:rsidRDefault="00845FF8" w:rsidP="00845FF8">
      <w:pPr>
        <w:ind w:firstLine="567"/>
        <w:jc w:val="both"/>
        <w:rPr>
          <w:rFonts w:asciiTheme="minorHAnsi" w:hAnsiTheme="minorHAnsi" w:cstheme="minorHAnsi"/>
          <w:bCs/>
          <w:sz w:val="22"/>
          <w:szCs w:val="22"/>
        </w:rPr>
      </w:pPr>
      <w:r w:rsidRPr="00B90026">
        <w:rPr>
          <w:rFonts w:asciiTheme="minorHAnsi" w:hAnsiTheme="minorHAnsi" w:cstheme="minorHAnsi"/>
          <w:bCs/>
          <w:sz w:val="22"/>
          <w:szCs w:val="22"/>
        </w:rPr>
        <w:t xml:space="preserve">Toliau </w:t>
      </w:r>
      <w:r w:rsidR="00AD05D3" w:rsidRPr="00B90026">
        <w:rPr>
          <w:rFonts w:asciiTheme="minorHAnsi" w:hAnsiTheme="minorHAnsi" w:cstheme="minorHAnsi"/>
          <w:bCs/>
          <w:sz w:val="22"/>
          <w:szCs w:val="22"/>
        </w:rPr>
        <w:t xml:space="preserve">LVAT </w:t>
      </w:r>
      <w:r w:rsidRPr="00B90026">
        <w:rPr>
          <w:rFonts w:asciiTheme="minorHAnsi" w:hAnsiTheme="minorHAnsi" w:cstheme="minorHAnsi"/>
          <w:bCs/>
          <w:sz w:val="22"/>
          <w:szCs w:val="22"/>
        </w:rPr>
        <w:t>išplėstinė teisėjų kolegija vertino, ar Įsakymo 1 punktas tiek, kiek jame nenustatyta pereinamojo teisinio reguliavimo nuostatų, skirtų įgyvendinti pagal iki atliktų pakeitimų galiojusį teisinį reguliavimą įgytas teises, atitinka konstitucinį teisinės valstybės principą.</w:t>
      </w:r>
    </w:p>
    <w:p w:rsidR="00845FF8" w:rsidRPr="00B90026" w:rsidRDefault="00845FF8" w:rsidP="00845FF8">
      <w:pPr>
        <w:ind w:firstLine="567"/>
        <w:jc w:val="both"/>
        <w:rPr>
          <w:rFonts w:asciiTheme="minorHAnsi" w:hAnsiTheme="minorHAnsi" w:cstheme="minorHAnsi"/>
          <w:bCs/>
          <w:sz w:val="22"/>
          <w:szCs w:val="22"/>
        </w:rPr>
      </w:pPr>
      <w:r w:rsidRPr="00B90026">
        <w:rPr>
          <w:rFonts w:asciiTheme="minorHAnsi" w:hAnsiTheme="minorHAnsi" w:cstheme="minorHAnsi"/>
          <w:bCs/>
          <w:sz w:val="22"/>
          <w:szCs w:val="22"/>
        </w:rPr>
        <w:t xml:space="preserve">Nustatyta, jog </w:t>
      </w:r>
      <w:r w:rsidRPr="00B90026">
        <w:rPr>
          <w:rFonts w:asciiTheme="minorHAnsi" w:hAnsiTheme="minorHAnsi" w:cstheme="minorHAnsi"/>
          <w:bCs/>
          <w:sz w:val="22"/>
          <w:szCs w:val="22"/>
          <w:lang w:bidi="lt-LT"/>
        </w:rPr>
        <w:t>Įsakymo 1 punktu ūkio subjektams, į Lietuvos Respubliką importuojantiems naudotus ratinius traktorius iš trečiųjų šalių</w:t>
      </w:r>
      <w:r w:rsidRPr="00B90026">
        <w:rPr>
          <w:rFonts w:asciiTheme="minorHAnsi" w:hAnsiTheme="minorHAnsi" w:cstheme="minorHAnsi"/>
          <w:bCs/>
          <w:sz w:val="22"/>
          <w:szCs w:val="22"/>
        </w:rPr>
        <w:t xml:space="preserve">, iš esmės buvo nustatytas naujas ir </w:t>
      </w:r>
      <w:r w:rsidRPr="00B90026">
        <w:rPr>
          <w:rFonts w:asciiTheme="minorHAnsi" w:hAnsiTheme="minorHAnsi" w:cstheme="minorHAnsi"/>
          <w:bCs/>
          <w:sz w:val="22"/>
          <w:szCs w:val="22"/>
          <w:lang w:bidi="lt-LT"/>
        </w:rPr>
        <w:t xml:space="preserve">esminis reikalavimas, susijęs su anksčiau ES šalyse neįregistruotų naudotų ratinių traktorių </w:t>
      </w:r>
      <w:r w:rsidRPr="00B90026">
        <w:rPr>
          <w:rFonts w:asciiTheme="minorHAnsi" w:hAnsiTheme="minorHAnsi" w:cstheme="minorHAnsi"/>
          <w:bCs/>
          <w:sz w:val="22"/>
          <w:szCs w:val="22"/>
        </w:rPr>
        <w:t>atitiktimi Direktyvos 2003/37/EB reikalavimams juos registruojant.</w:t>
      </w:r>
    </w:p>
    <w:p w:rsidR="00845FF8" w:rsidRPr="00B90026" w:rsidRDefault="00944A9B" w:rsidP="00845FF8">
      <w:pPr>
        <w:ind w:firstLine="567"/>
        <w:jc w:val="both"/>
        <w:rPr>
          <w:rFonts w:asciiTheme="minorHAnsi" w:hAnsiTheme="minorHAnsi" w:cstheme="minorHAnsi"/>
          <w:bCs/>
          <w:sz w:val="22"/>
          <w:szCs w:val="22"/>
          <w:lang w:bidi="lt-LT"/>
        </w:rPr>
      </w:pPr>
      <w:r w:rsidRPr="00B90026">
        <w:rPr>
          <w:rFonts w:asciiTheme="minorHAnsi" w:hAnsiTheme="minorHAnsi" w:cstheme="minorHAnsi"/>
          <w:bCs/>
          <w:sz w:val="22"/>
          <w:szCs w:val="22"/>
          <w:lang w:bidi="lt-LT"/>
        </w:rPr>
        <w:t>LVAT i</w:t>
      </w:r>
      <w:r w:rsidR="00845FF8" w:rsidRPr="00B90026">
        <w:rPr>
          <w:rFonts w:asciiTheme="minorHAnsi" w:hAnsiTheme="minorHAnsi" w:cstheme="minorHAnsi"/>
          <w:bCs/>
          <w:sz w:val="22"/>
          <w:szCs w:val="22"/>
          <w:lang w:bidi="lt-LT"/>
        </w:rPr>
        <w:t xml:space="preserve">šplėstinė teisėjų kolegija vertino, kad asmenys, įvežę naudotus ratinius traktorius į Lietuvos Respubliką iki Įsakymo 1 punkto įsigaliojimo, t. y. iki 2014 m. liepos 3 d., galėjo pagrįstai tikėtis, jog naudoti ratiniai traktoriai bus užregistruoti pagal iki 2014 m. liepos 3 d. galiojusį teisinį reguliavimą. Dėl to, atsižvelgdama į sprendime išdėstytas aplinkybes, taip pat į iš konstitucinio teisinės valstybės principo esminiams teisinio reguliavimo pakeitimams, lemiantiems asmenų teisinei padėčiai nepalankius padarinius, keliamus reikalavimus </w:t>
      </w:r>
      <w:r w:rsidR="00845FF8" w:rsidRPr="00B90026">
        <w:rPr>
          <w:rFonts w:asciiTheme="minorHAnsi" w:hAnsiTheme="minorHAnsi" w:cstheme="minorHAnsi"/>
          <w:bCs/>
          <w:sz w:val="22"/>
          <w:szCs w:val="22"/>
        </w:rPr>
        <w:t xml:space="preserve">nustatyti </w:t>
      </w:r>
      <w:r w:rsidR="00845FF8" w:rsidRPr="00B90026">
        <w:rPr>
          <w:rFonts w:asciiTheme="minorHAnsi" w:hAnsiTheme="minorHAnsi" w:cstheme="minorHAnsi"/>
          <w:bCs/>
          <w:i/>
          <w:sz w:val="22"/>
          <w:szCs w:val="22"/>
        </w:rPr>
        <w:t>inter alia</w:t>
      </w:r>
      <w:r w:rsidR="00845FF8" w:rsidRPr="00B90026">
        <w:rPr>
          <w:rFonts w:asciiTheme="minorHAnsi" w:hAnsiTheme="minorHAnsi" w:cstheme="minorHAnsi"/>
          <w:bCs/>
          <w:sz w:val="22"/>
          <w:szCs w:val="22"/>
        </w:rPr>
        <w:t xml:space="preserve"> teisėtų lūkesčių apsaugos ir teisinio tikrumo principus atitinkantį teisinį reguliavimą</w:t>
      </w:r>
      <w:r w:rsidR="00845FF8" w:rsidRPr="00B90026">
        <w:rPr>
          <w:rFonts w:asciiTheme="minorHAnsi" w:hAnsiTheme="minorHAnsi" w:cstheme="minorHAnsi"/>
          <w:bCs/>
          <w:sz w:val="22"/>
          <w:szCs w:val="22"/>
          <w:lang w:bidi="lt-LT"/>
        </w:rPr>
        <w:t xml:space="preserve">, </w:t>
      </w:r>
      <w:r w:rsidRPr="00B90026">
        <w:rPr>
          <w:rFonts w:asciiTheme="minorHAnsi" w:hAnsiTheme="minorHAnsi" w:cstheme="minorHAnsi"/>
          <w:bCs/>
          <w:sz w:val="22"/>
          <w:szCs w:val="22"/>
          <w:lang w:bidi="lt-LT"/>
        </w:rPr>
        <w:t xml:space="preserve">LVAT </w:t>
      </w:r>
      <w:r w:rsidR="00845FF8" w:rsidRPr="00B90026">
        <w:rPr>
          <w:rFonts w:asciiTheme="minorHAnsi" w:hAnsiTheme="minorHAnsi" w:cstheme="minorHAnsi"/>
          <w:bCs/>
          <w:sz w:val="22"/>
          <w:szCs w:val="22"/>
          <w:lang w:bidi="lt-LT"/>
        </w:rPr>
        <w:t xml:space="preserve">išplėstinė teisėjų kolegija sprendė, jog </w:t>
      </w:r>
      <w:r w:rsidR="00845FF8" w:rsidRPr="00B90026">
        <w:rPr>
          <w:rFonts w:asciiTheme="minorHAnsi" w:hAnsiTheme="minorHAnsi" w:cstheme="minorHAnsi"/>
          <w:bCs/>
          <w:sz w:val="22"/>
          <w:szCs w:val="22"/>
          <w:u w:val="single"/>
          <w:lang w:bidi="lt-LT"/>
        </w:rPr>
        <w:t xml:space="preserve">Žemės ūkio ministerijai, įgyvendinant jai įstatymų leidėjo pavestus įgaliojimus, </w:t>
      </w:r>
      <w:r w:rsidR="00845FF8" w:rsidRPr="00B90026">
        <w:rPr>
          <w:rFonts w:asciiTheme="minorHAnsi" w:hAnsiTheme="minorHAnsi" w:cstheme="minorHAnsi"/>
          <w:bCs/>
          <w:i/>
          <w:sz w:val="22"/>
          <w:szCs w:val="22"/>
          <w:u w:val="single"/>
          <w:lang w:bidi="lt-LT"/>
        </w:rPr>
        <w:t>inter alia</w:t>
      </w:r>
      <w:r w:rsidR="00845FF8" w:rsidRPr="00B90026">
        <w:rPr>
          <w:rFonts w:asciiTheme="minorHAnsi" w:hAnsiTheme="minorHAnsi" w:cstheme="minorHAnsi"/>
          <w:bCs/>
          <w:sz w:val="22"/>
          <w:szCs w:val="22"/>
          <w:u w:val="single"/>
          <w:lang w:bidi="lt-LT"/>
        </w:rPr>
        <w:t xml:space="preserve"> nustatant naudotų ratinių traktorių įregistravimo tvarką, kilo pareiga Įsakymo 1 punkte nustatyti pereinamąjį teisinį reguliavimą ir terminą, </w:t>
      </w:r>
      <w:r w:rsidR="00845FF8" w:rsidRPr="00B90026">
        <w:rPr>
          <w:rFonts w:asciiTheme="minorHAnsi" w:hAnsiTheme="minorHAnsi" w:cstheme="minorHAnsi"/>
          <w:bCs/>
          <w:sz w:val="22"/>
          <w:szCs w:val="22"/>
          <w:u w:val="single"/>
        </w:rPr>
        <w:t xml:space="preserve">iki kurio asmenys galėtų įgyvendinti pagal iki šių pakeitimų galiojusį teisinį reguliavimą įgytas teises, t. y. </w:t>
      </w:r>
      <w:r w:rsidR="00845FF8" w:rsidRPr="00B90026">
        <w:rPr>
          <w:rFonts w:asciiTheme="minorHAnsi" w:hAnsiTheme="minorHAnsi" w:cstheme="minorHAnsi"/>
          <w:bCs/>
          <w:sz w:val="22"/>
          <w:szCs w:val="22"/>
          <w:u w:val="single"/>
          <w:lang w:bidi="lt-LT"/>
        </w:rPr>
        <w:t xml:space="preserve">teisinio reguliavimo nuostatas, kurios teisinių santykių dalyviams </w:t>
      </w:r>
      <w:r w:rsidR="00845FF8" w:rsidRPr="00B90026">
        <w:rPr>
          <w:rFonts w:asciiTheme="minorHAnsi" w:hAnsiTheme="minorHAnsi" w:cstheme="minorHAnsi"/>
          <w:bCs/>
          <w:sz w:val="22"/>
          <w:szCs w:val="22"/>
          <w:u w:val="single"/>
        </w:rPr>
        <w:t>būtų suteikusios pakankamai laiko užbaigti pradėtus veiksmus, kurių jie ėmėsi ankstesnio teisinio reguliavimo pagrindu</w:t>
      </w:r>
      <w:r w:rsidR="00845FF8" w:rsidRPr="00B90026">
        <w:rPr>
          <w:rFonts w:asciiTheme="minorHAnsi" w:hAnsiTheme="minorHAnsi" w:cstheme="minorHAnsi"/>
          <w:bCs/>
          <w:sz w:val="22"/>
          <w:szCs w:val="22"/>
          <w:u w:val="single"/>
          <w:lang w:bidi="lt-LT"/>
        </w:rPr>
        <w:t>.</w:t>
      </w:r>
    </w:p>
    <w:p w:rsidR="00845FF8" w:rsidRPr="00B90026" w:rsidRDefault="00845FF8" w:rsidP="00845FF8">
      <w:pPr>
        <w:ind w:firstLine="567"/>
        <w:jc w:val="both"/>
        <w:rPr>
          <w:rFonts w:asciiTheme="minorHAnsi" w:hAnsiTheme="minorHAnsi" w:cstheme="minorHAnsi"/>
          <w:bCs/>
          <w:sz w:val="22"/>
          <w:szCs w:val="22"/>
          <w:lang w:bidi="lt-LT"/>
        </w:rPr>
      </w:pPr>
      <w:r w:rsidRPr="00B90026">
        <w:rPr>
          <w:rFonts w:asciiTheme="minorHAnsi" w:hAnsiTheme="minorHAnsi" w:cstheme="minorHAnsi"/>
          <w:bCs/>
          <w:sz w:val="22"/>
          <w:szCs w:val="22"/>
          <w:lang w:bidi="lt-LT"/>
        </w:rPr>
        <w:lastRenderedPageBreak/>
        <w:t xml:space="preserve">Poreikį nustatyti Įsakymo 1 punkto įsigaliojimo pereinamąsias nuostatas pagrindė ir ta aplinkybė, jog iki Įsakymo įsigaliojimo (2014 m. liepos 3 d.) į Lietuvos Respubliką iš trečiųjų šalių įvežti naudoti ratiniai traktoriai, neatitinkantys Direktyvos 2003/37/EB techninių reikalavimų, tapo nerealizuotini Lietuvoje. Aptariamu atveju Registravimo taisyklių pakeitimus nustačiusiame Įsakymo 1 punkte nebuvo nustatyta pereinamųjų nuostatų ar kitokių priemonių, kuriomis būtų ginami asmenų, iki 2014 m. liepos 3 d. įvežusių į Lietuvos Respubliką iš trečiųjų šalių naudotus ratinius traktorius, lūkesčiai, todėl įvertinta, jog Įsakymo 1 punktu sudaromos prielaidos pažeisti pagrįstus asmenų teisėtus lūkesčius konkrečiose situacijose atsisakant registruoti iš trečiųjų šalių importuotus naudotus ratinius traktorius. </w:t>
      </w:r>
    </w:p>
    <w:p w:rsidR="00944A9B" w:rsidRPr="00B90026" w:rsidRDefault="00845FF8" w:rsidP="00845FF8">
      <w:pPr>
        <w:ind w:firstLine="567"/>
        <w:jc w:val="both"/>
        <w:rPr>
          <w:rFonts w:asciiTheme="minorHAnsi" w:hAnsiTheme="minorHAnsi" w:cstheme="minorHAnsi"/>
          <w:bCs/>
          <w:sz w:val="22"/>
          <w:szCs w:val="22"/>
          <w:lang w:bidi="lt-LT"/>
        </w:rPr>
      </w:pPr>
      <w:r w:rsidRPr="00B90026">
        <w:rPr>
          <w:rFonts w:asciiTheme="minorHAnsi" w:hAnsiTheme="minorHAnsi" w:cstheme="minorHAnsi"/>
          <w:bCs/>
          <w:sz w:val="22"/>
          <w:szCs w:val="22"/>
          <w:lang w:bidi="lt-LT"/>
        </w:rPr>
        <w:t xml:space="preserve">Aptariamos norminės administracinės bylos atveju Žemės ūkio ministerija nenurodė, </w:t>
      </w:r>
      <w:r w:rsidR="00944A9B" w:rsidRPr="00B90026">
        <w:rPr>
          <w:rFonts w:asciiTheme="minorHAnsi" w:hAnsiTheme="minorHAnsi" w:cstheme="minorHAnsi"/>
          <w:bCs/>
          <w:sz w:val="22"/>
          <w:szCs w:val="22"/>
          <w:lang w:bidi="lt-LT"/>
        </w:rPr>
        <w:t xml:space="preserve">LAT </w:t>
      </w:r>
      <w:r w:rsidRPr="00B90026">
        <w:rPr>
          <w:rFonts w:asciiTheme="minorHAnsi" w:hAnsiTheme="minorHAnsi" w:cstheme="minorHAnsi"/>
          <w:bCs/>
          <w:sz w:val="22"/>
          <w:szCs w:val="22"/>
          <w:lang w:bidi="lt-LT"/>
        </w:rPr>
        <w:t>išplėstinė teisėjų kolegija taip pat nenustatė svarbaus viešojo intereso, kuriuo būtų siekiama apsaugoti Konstitucijoje įtvirtintas vertybes, ar nusveriančio naudotus ratinius traktorius iš trečiųjų šalių importuojančių asmenų interesą turėti pakankamai laiko prisitaikyti prie naujo reikalavimo, susijusio su naudotų ratinių traktorių atitiktimi Direktyvos 2003/37/EB reikalavimams juos registruojant.</w:t>
      </w:r>
    </w:p>
    <w:p w:rsidR="00845FF8" w:rsidRPr="00B90026" w:rsidRDefault="00845FF8" w:rsidP="00845FF8">
      <w:pPr>
        <w:ind w:firstLine="567"/>
        <w:jc w:val="both"/>
        <w:rPr>
          <w:rFonts w:asciiTheme="minorHAnsi" w:hAnsiTheme="minorHAnsi" w:cstheme="minorHAnsi"/>
          <w:bCs/>
          <w:sz w:val="22"/>
          <w:szCs w:val="22"/>
          <w:lang w:bidi="lt-LT"/>
        </w:rPr>
      </w:pPr>
      <w:r w:rsidRPr="00B90026">
        <w:rPr>
          <w:rFonts w:asciiTheme="minorHAnsi" w:hAnsiTheme="minorHAnsi" w:cstheme="minorHAnsi"/>
          <w:bCs/>
          <w:sz w:val="22"/>
          <w:szCs w:val="22"/>
          <w:lang w:bidi="lt-LT"/>
        </w:rPr>
        <w:t>Konstatuota, jog Įsakymo 1 punktas tiek, kiek jame nenustatyta pereinamojo teisinio reguliavimo ir termino, iki kurio asmenys gali įgyvendinti pagal iki šių pakeitimų galiojusį teisinį reguliavimą įgytas teises, prieštarauja konstitucinio teisinės valstybės principo suponuojamiems teisėtų lūkesčių ir teisinio tikrumo principams.</w:t>
      </w:r>
    </w:p>
    <w:p w:rsidR="00845FF8" w:rsidRPr="00B90026" w:rsidRDefault="00845FF8" w:rsidP="00845FF8">
      <w:pPr>
        <w:ind w:firstLine="284"/>
        <w:rPr>
          <w:rFonts w:asciiTheme="minorHAnsi" w:hAnsiTheme="minorHAnsi" w:cstheme="minorHAnsi"/>
          <w:b/>
          <w:bCs/>
          <w:sz w:val="22"/>
          <w:szCs w:val="22"/>
          <w:u w:val="single"/>
        </w:rPr>
      </w:pPr>
    </w:p>
    <w:p w:rsidR="00845FF8" w:rsidRPr="00B90026" w:rsidRDefault="00B90026" w:rsidP="00845FF8">
      <w:pPr>
        <w:jc w:val="both"/>
        <w:rPr>
          <w:rFonts w:asciiTheme="minorHAnsi" w:hAnsiTheme="minorHAnsi" w:cstheme="minorHAnsi"/>
          <w:sz w:val="22"/>
          <w:szCs w:val="22"/>
        </w:rPr>
      </w:pPr>
      <w:r w:rsidRPr="00B90026">
        <w:rPr>
          <w:rFonts w:asciiTheme="minorHAnsi" w:hAnsiTheme="minorHAnsi" w:cstheme="minorHAnsi"/>
          <w:sz w:val="22"/>
          <w:szCs w:val="22"/>
        </w:rPr>
        <w:t xml:space="preserve">Išplėstinės teisėjų kolegijos </w:t>
      </w:r>
      <w:r w:rsidR="00845FF8" w:rsidRPr="00B90026">
        <w:rPr>
          <w:rFonts w:asciiTheme="minorHAnsi" w:hAnsiTheme="minorHAnsi" w:cstheme="minorHAnsi"/>
          <w:sz w:val="22"/>
          <w:szCs w:val="22"/>
        </w:rPr>
        <w:t>2017 m. lapkričio 28 d. sprendimas administracinėje byloje Nr. I</w:t>
      </w:r>
      <w:r w:rsidR="00845FF8" w:rsidRPr="00B90026">
        <w:rPr>
          <w:rFonts w:asciiTheme="minorHAnsi" w:hAnsiTheme="minorHAnsi" w:cstheme="minorHAnsi"/>
          <w:b/>
          <w:sz w:val="22"/>
          <w:szCs w:val="22"/>
        </w:rPr>
        <w:t>-</w:t>
      </w:r>
      <w:r w:rsidR="00845FF8" w:rsidRPr="00B90026">
        <w:rPr>
          <w:rFonts w:asciiTheme="minorHAnsi" w:hAnsiTheme="minorHAnsi" w:cstheme="minorHAnsi"/>
          <w:sz w:val="22"/>
          <w:szCs w:val="22"/>
        </w:rPr>
        <w:t>1-756/2017</w:t>
      </w:r>
    </w:p>
    <w:p w:rsidR="00845FF8" w:rsidRPr="00B90026" w:rsidRDefault="00845FF8" w:rsidP="00845FF8">
      <w:pPr>
        <w:jc w:val="both"/>
        <w:rPr>
          <w:rFonts w:asciiTheme="minorHAnsi" w:hAnsiTheme="minorHAnsi" w:cstheme="minorHAnsi"/>
          <w:bCs/>
          <w:sz w:val="22"/>
          <w:szCs w:val="22"/>
        </w:rPr>
      </w:pPr>
      <w:r w:rsidRPr="00B90026">
        <w:rPr>
          <w:rFonts w:asciiTheme="minorHAnsi" w:hAnsiTheme="minorHAnsi" w:cstheme="minorHAnsi"/>
          <w:sz w:val="22"/>
          <w:szCs w:val="22"/>
        </w:rPr>
        <w:t>Teisminio proceso Nr. 3-66-3-00018-2015-5</w:t>
      </w:r>
    </w:p>
    <w:p w:rsidR="00845FF8" w:rsidRPr="00B90026" w:rsidRDefault="00845FF8" w:rsidP="00845FF8">
      <w:pPr>
        <w:jc w:val="both"/>
        <w:rPr>
          <w:rFonts w:asciiTheme="minorHAnsi" w:hAnsiTheme="minorHAnsi" w:cstheme="minorHAnsi"/>
          <w:sz w:val="22"/>
          <w:szCs w:val="22"/>
        </w:rPr>
      </w:pPr>
      <w:r w:rsidRPr="00B90026">
        <w:rPr>
          <w:rFonts w:asciiTheme="minorHAnsi" w:hAnsiTheme="minorHAnsi" w:cstheme="minorHAnsi"/>
          <w:sz w:val="22"/>
          <w:szCs w:val="22"/>
        </w:rPr>
        <w:t xml:space="preserve">Procesinio sprendimo </w:t>
      </w:r>
      <w:r w:rsidRPr="00B90026">
        <w:rPr>
          <w:rFonts w:asciiTheme="minorHAnsi" w:hAnsiTheme="minorHAnsi" w:cstheme="minorHAnsi"/>
          <w:bCs/>
          <w:sz w:val="22"/>
          <w:szCs w:val="22"/>
        </w:rPr>
        <w:t xml:space="preserve">kategorija </w:t>
      </w:r>
      <w:r w:rsidRPr="00B90026">
        <w:rPr>
          <w:rFonts w:asciiTheme="minorHAnsi" w:hAnsiTheme="minorHAnsi" w:cstheme="minorHAnsi"/>
          <w:sz w:val="22"/>
          <w:szCs w:val="22"/>
        </w:rPr>
        <w:t>4.1</w:t>
      </w:r>
    </w:p>
    <w:p w:rsidR="00845FF8" w:rsidRPr="00B90026" w:rsidRDefault="007E1236" w:rsidP="00845FF8">
      <w:pPr>
        <w:jc w:val="both"/>
        <w:rPr>
          <w:rFonts w:asciiTheme="minorHAnsi" w:hAnsiTheme="minorHAnsi" w:cstheme="minorHAnsi"/>
          <w:sz w:val="22"/>
          <w:szCs w:val="22"/>
        </w:rPr>
      </w:pPr>
      <w:hyperlink r:id="rId9" w:history="1">
        <w:r w:rsidR="00845FF8" w:rsidRPr="00B90026">
          <w:rPr>
            <w:rStyle w:val="Hipersaitas"/>
            <w:rFonts w:asciiTheme="minorHAnsi" w:hAnsiTheme="minorHAnsi" w:cstheme="minorHAnsi"/>
            <w:sz w:val="22"/>
            <w:szCs w:val="22"/>
          </w:rPr>
          <w:t>Prieiga internete</w:t>
        </w:r>
      </w:hyperlink>
    </w:p>
    <w:p w:rsidR="008C6FE9" w:rsidRPr="00B90026" w:rsidRDefault="008C6FE9" w:rsidP="008C6FE9">
      <w:pPr>
        <w:jc w:val="both"/>
        <w:rPr>
          <w:rFonts w:asciiTheme="minorHAnsi" w:hAnsiTheme="minorHAnsi" w:cstheme="minorHAnsi"/>
          <w:sz w:val="22"/>
          <w:szCs w:val="22"/>
        </w:rPr>
      </w:pPr>
    </w:p>
    <w:p w:rsidR="004372D9" w:rsidRDefault="004372D9" w:rsidP="004372D9">
      <w:pPr>
        <w:pStyle w:val="Antrat2"/>
        <w:rPr>
          <w:rFonts w:ascii="Calibri" w:hAnsi="Calibri"/>
        </w:rPr>
      </w:pPr>
      <w:bookmarkStart w:id="19" w:name="_Toc505787242"/>
      <w:r>
        <w:rPr>
          <w:rFonts w:ascii="Calibri" w:hAnsi="Calibri"/>
        </w:rPr>
        <w:t>Dėl reikalavimo pateikti laivo klasę patvirtinantį dokumentą registruojant jūrų laivą</w:t>
      </w:r>
      <w:bookmarkEnd w:id="19"/>
    </w:p>
    <w:p w:rsidR="004372D9" w:rsidRDefault="004372D9" w:rsidP="004372D9">
      <w:pPr>
        <w:pStyle w:val="prastasiniatinklio"/>
        <w:spacing w:before="0" w:beforeAutospacing="0" w:after="0" w:afterAutospacing="0"/>
        <w:ind w:firstLine="567"/>
        <w:jc w:val="both"/>
        <w:rPr>
          <w:rFonts w:ascii="Calibri" w:eastAsiaTheme="minorHAnsi" w:hAnsi="Calibri" w:cstheme="minorHAnsi"/>
          <w:sz w:val="22"/>
          <w:szCs w:val="22"/>
          <w:lang w:val="lt-LT"/>
        </w:rPr>
      </w:pPr>
    </w:p>
    <w:p w:rsidR="004372D9" w:rsidRDefault="004372D9" w:rsidP="004372D9">
      <w:pPr>
        <w:ind w:firstLine="567"/>
        <w:jc w:val="both"/>
        <w:rPr>
          <w:rFonts w:ascii="Calibri" w:hAnsi="Calibri" w:cstheme="minorHAnsi"/>
          <w:sz w:val="22"/>
          <w:szCs w:val="22"/>
        </w:rPr>
      </w:pPr>
      <w:r>
        <w:rPr>
          <w:rFonts w:ascii="Calibri" w:hAnsi="Calibri" w:cstheme="minorHAnsi"/>
          <w:sz w:val="22"/>
          <w:szCs w:val="22"/>
        </w:rPr>
        <w:t>Šioje byloje buvo nagrinėjamas Lietuvos Respublikos Seimo nario prašymas ištirti, ar Lietuvos Respublikos susisiekimo ministro 2005 m. liepos 4 d. įsakymu Nr. 3-301 patvirtintų Lietuvos Respublikos jūrų laivų registravimo taisyklių (toliau – Jūrų laivų registravimo taisyklės) 20.3 papunktis neprieštarauja Lietuvos Respublikos prekybinės laivybos įstatymo 2 straipsnio 9 daliai, 6 straipsnio 1 daliai ir Lietuvos Respublikos Konstitucijos 7 straipsnio 2 daliai.</w:t>
      </w:r>
    </w:p>
    <w:p w:rsidR="004372D9" w:rsidRDefault="004372D9" w:rsidP="004372D9">
      <w:pPr>
        <w:ind w:firstLine="567"/>
        <w:jc w:val="both"/>
        <w:rPr>
          <w:rFonts w:ascii="Calibri" w:hAnsi="Calibri" w:cstheme="minorHAnsi"/>
          <w:sz w:val="22"/>
          <w:szCs w:val="22"/>
        </w:rPr>
      </w:pPr>
      <w:r>
        <w:rPr>
          <w:rFonts w:ascii="Calibri" w:hAnsi="Calibri" w:cstheme="minorHAnsi"/>
          <w:sz w:val="22"/>
          <w:szCs w:val="22"/>
        </w:rPr>
        <w:t>Tirtame Jūrų laivų registravimo taisyklių 20.3 papunktyje numatyta, kad Lietuvos saugios laivybos administracija neįregistruoja laivo Lietuvos Respublikos jūrų laivų registre, jeigu pateikiami ne visi šių taisyklių 8–10 punktuose nurodyti dokumentai arba pateikti dokumentai neatitinka teisės aktų reikalavimų. Nagrinėtame pareiškime abejonės tirto reguliavimo atitiktimi Prekybinės laivybos įstatymo nuostatoms iš esmės grįstos argumentais, kad pagal Jūrų laivų registravimo taisyklių 20.3 papunktį Lietuvos Respublikos jūrų laivų registre neregistruotini jūrų laivai, kurie atitinka Prekybinės laivybos įstatyme nustatytus jūrų laivo požymius, nors pagal šio įstatymo 6 straipsnio 1 dalį juos įregistruoti privaloma, t. y. jiems nėra išduotas laivo klasę patvirtinantis dokumentas.</w:t>
      </w:r>
    </w:p>
    <w:p w:rsidR="004372D9" w:rsidRDefault="004372D9" w:rsidP="004372D9">
      <w:pPr>
        <w:ind w:firstLine="567"/>
        <w:jc w:val="both"/>
        <w:rPr>
          <w:rFonts w:ascii="Calibri" w:hAnsi="Calibri" w:cstheme="minorHAnsi"/>
          <w:sz w:val="22"/>
          <w:szCs w:val="22"/>
        </w:rPr>
      </w:pPr>
      <w:r>
        <w:rPr>
          <w:rFonts w:ascii="Calibri" w:hAnsi="Calibri" w:cstheme="minorHAnsi"/>
          <w:sz w:val="22"/>
          <w:szCs w:val="22"/>
        </w:rPr>
        <w:t>Teisių įgyvendinimas, be kita ko, ir teisės įregistruoti ir eksploatuoti jūrų laivą, yra susijusios su asmens pareiga įgyvendinti šią teisę laikantis teisės aktų nustatytų reikalavimų. Prekybinės laivybos įstatymo 2 straipsnio 9 dalies ir 6 straipsnio 1 dalies nuostatos negali būti suprantamos, kaip įteisinančios bet kurio laivo registravimą jūrų laivų registre. Jūrų laivas gali būti įregistruojamas tik pateikus teisės aktuose nustatytus dokumentus – vadovaujantis Prekybinės laivybos įstatymo 8 straipsnio 1 dalimi, laivas registruojamas Lietuvos Respublikos jūrų laivų registre, jeigu jis yra suprojektuotas bei pastatytas laivybai jūroje ir turi tai patvirtinančius dokumentus. Šios įstatymo nuostatos patvirtina, kad jūrų laivas gali būti registruojamas, tik kada jis turi nustatytus dokumentus. Prekybinės laivybos įstatymo 2 straipsnio 9 dalies ir 6 straipsnio 1 dalies nuostatose nėra pateiktas baigtinis šių dokumentų sąrašas – jį pavesta nustatyti poįstatyminiais aktais, be kita ko, šioje byloje tirtomis Jūrų laivų registravimo taisyklėmis.</w:t>
      </w:r>
    </w:p>
    <w:p w:rsidR="004372D9" w:rsidRDefault="004372D9" w:rsidP="004372D9">
      <w:pPr>
        <w:ind w:firstLine="567"/>
        <w:jc w:val="both"/>
        <w:rPr>
          <w:rFonts w:ascii="Calibri" w:hAnsi="Calibri" w:cstheme="minorHAnsi"/>
          <w:sz w:val="22"/>
          <w:szCs w:val="22"/>
        </w:rPr>
      </w:pPr>
      <w:r>
        <w:rPr>
          <w:rFonts w:ascii="Calibri" w:hAnsi="Calibri" w:cstheme="minorHAnsi"/>
          <w:sz w:val="22"/>
          <w:szCs w:val="22"/>
        </w:rPr>
        <w:t>Vadovaujantis Europos Parlamento ir Tarybos 2009 m. balandžio 23 d. direktyvos 2009/15/EB „Dėl laivų patikrinimo ir apžiūros organizacijų ir atitinkamos jūrų administracijų veiklos bendrųjų taisyklių ir standartų“ 2</w:t>
      </w:r>
      <w:r w:rsidR="00877EAA">
        <w:rPr>
          <w:rFonts w:ascii="Calibri" w:hAnsi="Calibri" w:cstheme="minorHAnsi"/>
          <w:sz w:val="22"/>
          <w:szCs w:val="22"/>
        </w:rPr>
        <w:t> </w:t>
      </w:r>
      <w:r>
        <w:rPr>
          <w:rFonts w:ascii="Calibri" w:hAnsi="Calibri" w:cstheme="minorHAnsi"/>
          <w:sz w:val="22"/>
          <w:szCs w:val="22"/>
        </w:rPr>
        <w:t xml:space="preserve">straipsniu, laivo klasės liudijimas yra laivo tinkamumą konkrečiam laivo naudojimui ar eksploatavimui patvirtinantis dokumentas, kurį pagal savo nustatytas ir viešai paskelbtas taisykles ir procedūras išduoda pripažinta organizacija. Pagal Lietuvos Respublikos susisiekimo ministro 2005 m. liepos 12 d. įsakymu Nr. 3-314 patvirtintų Įgaliojimų Lietuvos Respublikos vardu vykdyti Lietuvos Respublikos jūrų laivų registre įregistruotų </w:t>
      </w:r>
      <w:r>
        <w:rPr>
          <w:rFonts w:ascii="Calibri" w:hAnsi="Calibri" w:cstheme="minorHAnsi"/>
          <w:sz w:val="22"/>
          <w:szCs w:val="22"/>
        </w:rPr>
        <w:lastRenderedPageBreak/>
        <w:t>laivų techninę priežiūrą, apžiūras ir išduoti tai patvirtinančius dokumentus (liudijimus) suteikimo taisyklių 2</w:t>
      </w:r>
      <w:r w:rsidR="00877EAA">
        <w:rPr>
          <w:rFonts w:ascii="Calibri" w:hAnsi="Calibri" w:cstheme="minorHAnsi"/>
          <w:sz w:val="22"/>
          <w:szCs w:val="22"/>
        </w:rPr>
        <w:t> </w:t>
      </w:r>
      <w:r>
        <w:rPr>
          <w:rFonts w:ascii="Calibri" w:hAnsi="Calibri" w:cstheme="minorHAnsi"/>
          <w:sz w:val="22"/>
          <w:szCs w:val="22"/>
        </w:rPr>
        <w:t>punktą, klasės liudijimas yra dokumentas, išduotas įgaliotos laivų klasifikavimo bendrovės, patvirtinantis laivo konstrukcinį ir mechaninį tinkamumą tam tikrai paskirčiai ar darbui pagal tos bendrovės taisykles ir nuostatus.</w:t>
      </w:r>
    </w:p>
    <w:p w:rsidR="004372D9" w:rsidRDefault="004372D9" w:rsidP="004372D9">
      <w:pPr>
        <w:ind w:firstLine="567"/>
        <w:jc w:val="both"/>
        <w:rPr>
          <w:rFonts w:ascii="Calibri" w:hAnsi="Calibri" w:cstheme="minorHAnsi"/>
          <w:sz w:val="22"/>
          <w:szCs w:val="22"/>
        </w:rPr>
      </w:pPr>
      <w:r>
        <w:rPr>
          <w:rFonts w:ascii="Calibri" w:hAnsi="Calibri" w:cstheme="minorHAnsi"/>
          <w:sz w:val="22"/>
          <w:szCs w:val="22"/>
        </w:rPr>
        <w:t>Taigi reikalavimas registruojant laivą pateikti laivo klasę patvirtinančio dokumento kopiją grindžiamas tikslu įrodyti laivo tinkamumą konkrečiam laivo naudojimui ar eksploatavimui. Tai, be kita ko, pasitarnauja laivybos saugumo užtikrinimui, prisideda prie dabartinio ar būsimų laivo savininkų interesų apsaugos ir kt. Šio laivo klasę patvirtinančio dokumento išdavimą yra įgaliotos atlikti laivų klasifikavimo bendrovės, kurios, vadovaujantis Lietuvos Respublikos saugios laivybos įstatymo 2 straipsnio 19 dalimi, apibrėžiamos kaip juridiniai asmenys, kitos organizacijos ar jų padaliniai, atitinkantys tarptautinių teisės aktų nustatytus reikalavimus, keliamus laivų techninę priežiūrą ir apžiūrą atliekančioms, laivų klasę suteikiančioms ir privalomus laivų dokumentus išduodančioms bendrovėms. Toks laivo klasę patvirtinančio dokumento pobūdis patvirtina, kad reikalavimas jį pateikti kyla iš Prekybinės laivybos įstatymo 8 straipsnio 1 dalies, pagal kurią laivas registruojamas Lietuvos Respublikos jūrų laivų registre, jeigu jis yra suprojektuotas bei pastatytas laivybai jūroje ir turi tai patvirtinančius dokumentus.</w:t>
      </w:r>
    </w:p>
    <w:p w:rsidR="004372D9" w:rsidRDefault="004372D9" w:rsidP="004372D9">
      <w:pPr>
        <w:ind w:firstLine="567"/>
        <w:jc w:val="both"/>
        <w:rPr>
          <w:rFonts w:ascii="Calibri" w:hAnsi="Calibri" w:cstheme="minorHAnsi"/>
          <w:sz w:val="22"/>
          <w:szCs w:val="22"/>
        </w:rPr>
      </w:pPr>
      <w:r>
        <w:rPr>
          <w:rFonts w:ascii="Calibri" w:hAnsi="Calibri" w:cstheme="minorHAnsi"/>
          <w:sz w:val="22"/>
          <w:szCs w:val="22"/>
        </w:rPr>
        <w:t>Atsižvelgiant į tai, kas išdėstyta, byloje konstatuota, kad, vadovaujantis Prekybinės laivybos įstatymo 2</w:t>
      </w:r>
      <w:r w:rsidR="007F0679">
        <w:rPr>
          <w:rFonts w:ascii="Calibri" w:hAnsi="Calibri" w:cstheme="minorHAnsi"/>
          <w:sz w:val="22"/>
          <w:szCs w:val="22"/>
        </w:rPr>
        <w:t> </w:t>
      </w:r>
      <w:r>
        <w:rPr>
          <w:rFonts w:ascii="Calibri" w:hAnsi="Calibri" w:cstheme="minorHAnsi"/>
          <w:sz w:val="22"/>
          <w:szCs w:val="22"/>
        </w:rPr>
        <w:t>straipsnio 9 dalies ir 6 straipsnio 1 dalies nuostatomis, Lietuvos Respublikos jūrų laivų registre yra įregistruojamas kiekvienas jūrų laivas, kuris yra naudojamas laivybai, tik kada jis turi nustatytus dokumentus, todėl tirta Jūrų laivų registravimo taisyklių 20.3 nuostata, draudžianti Lietuvos saugios laivybos administracijai įregistruoti jūrų laivą, jeigu nepateikti visi teisės aktuose nustatyti dokumentai, yra suderinama su Prekybinės laivybos įstatymo 2 straipsnio 9 dalies ir 6 straipsnio 1 dalies nuostatomis.</w:t>
      </w:r>
    </w:p>
    <w:p w:rsidR="004372D9" w:rsidRDefault="004372D9" w:rsidP="004372D9">
      <w:pPr>
        <w:ind w:firstLine="567"/>
        <w:jc w:val="both"/>
        <w:rPr>
          <w:rFonts w:ascii="Calibri" w:hAnsi="Calibri" w:cstheme="minorHAnsi"/>
          <w:sz w:val="22"/>
          <w:szCs w:val="22"/>
        </w:rPr>
      </w:pPr>
      <w:r>
        <w:rPr>
          <w:rFonts w:ascii="Calibri" w:hAnsi="Calibri" w:cstheme="minorHAnsi"/>
          <w:sz w:val="22"/>
          <w:szCs w:val="22"/>
        </w:rPr>
        <w:t xml:space="preserve">Byloje taip pat tirta, ar </w:t>
      </w:r>
      <w:r>
        <w:rPr>
          <w:rFonts w:ascii="Calibri" w:hAnsi="Calibri" w:cstheme="minorHAnsi"/>
          <w:i/>
          <w:iCs/>
          <w:sz w:val="22"/>
          <w:szCs w:val="22"/>
        </w:rPr>
        <w:t xml:space="preserve">lex retro non agit </w:t>
      </w:r>
      <w:r>
        <w:rPr>
          <w:rFonts w:ascii="Calibri" w:hAnsi="Calibri" w:cstheme="minorHAnsi"/>
          <w:sz w:val="22"/>
          <w:szCs w:val="22"/>
        </w:rPr>
        <w:t>principui neprieštarauja teisinis reguliavimas, nustatantis reikalavimus iki jo paskelbimo pagamintiems laivams. Pareiškime buvo keliamos abejonės, ar Jūrų laivų registravimo taisyklių 20.3 papunktis pagrįstai dokumentais, patvirtinančiais, kad laivas, suprojektuotas ir pastatytas laivybai jūroje, pripažįsta laivo klasės suteikimo dokumentus, kuriuos išdavė įgaliota klasifikacinė bendrovė, nors tuo metu tokie dokumentai nebuvo išduodami.</w:t>
      </w:r>
    </w:p>
    <w:p w:rsidR="004372D9" w:rsidRDefault="004372D9" w:rsidP="004372D9">
      <w:pPr>
        <w:ind w:firstLine="567"/>
        <w:jc w:val="both"/>
        <w:rPr>
          <w:rFonts w:ascii="Calibri" w:hAnsi="Calibri" w:cstheme="minorHAnsi"/>
          <w:sz w:val="22"/>
          <w:szCs w:val="22"/>
        </w:rPr>
      </w:pPr>
      <w:r>
        <w:rPr>
          <w:rFonts w:ascii="Calibri" w:hAnsi="Calibri" w:cstheme="minorHAnsi"/>
          <w:sz w:val="22"/>
          <w:szCs w:val="22"/>
        </w:rPr>
        <w:t>Sprendžiant šį klausimą, atsižvelgta į tai, jog tirtos nuostatos paskirtis, be kita ko, yra užtikrinti, kad registruojamas laivas yra tinkamas konkrečiam laivo naudojimui ar eksploatavimui. Aptariamas principas nepaneigia įstatymų leidėjo diskrecijos pačiam ar pavesti tai atlikti Vyriausybei, ministerijai įtvirtinti reikalavimus, kurių neatitinkantys laivai pripažįstami neeksploatuotinais pagal savo paskirtį ir dėl to negali būti registruojami. Atsižvelgiant į besikeičiantį technologijų raidos kontekstą ir kitas aplinkybes, šie reikalavimai būna koreguojami ir taikomi iki jų paskelbimo pagamintiems laivams.</w:t>
      </w:r>
    </w:p>
    <w:p w:rsidR="004372D9" w:rsidRDefault="004372D9" w:rsidP="004372D9">
      <w:pPr>
        <w:ind w:firstLine="567"/>
        <w:jc w:val="both"/>
        <w:rPr>
          <w:rFonts w:ascii="Calibri" w:hAnsi="Calibri" w:cstheme="minorHAnsi"/>
          <w:sz w:val="22"/>
          <w:szCs w:val="22"/>
        </w:rPr>
      </w:pPr>
      <w:r>
        <w:rPr>
          <w:rFonts w:ascii="Calibri" w:hAnsi="Calibri" w:cstheme="minorHAnsi"/>
          <w:sz w:val="22"/>
          <w:szCs w:val="22"/>
        </w:rPr>
        <w:t>Kiekvienu konkrečiu atveju teismas vertina teisės galiojimo laike klausimą, atsižvelgdamas į individualias aplinkybes ir minėtus teisės galiojimo laike principus, be kita ko, palankesnio įstatymo galiojimą į praeitį, teisėtų lūkesčių apsaugos principą ir kt. Nagrinėtoje byloje abstrakčiai tiriant</w:t>
      </w:r>
      <w:r>
        <w:rPr>
          <w:rFonts w:ascii="Calibri" w:hAnsi="Calibri" w:cstheme="minorHAnsi"/>
          <w:color w:val="000000"/>
          <w:sz w:val="22"/>
          <w:szCs w:val="22"/>
        </w:rPr>
        <w:t xml:space="preserve"> Jūrų laivų registravimo t</w:t>
      </w:r>
      <w:r>
        <w:rPr>
          <w:rFonts w:ascii="Calibri" w:hAnsi="Calibri" w:cstheme="minorHAnsi"/>
          <w:sz w:val="22"/>
          <w:szCs w:val="22"/>
        </w:rPr>
        <w:t>aisyklių 20.3 papunkčio nuostatą, kad Lietuvos saugios laivybos administracija</w:t>
      </w:r>
      <w:r>
        <w:rPr>
          <w:rFonts w:ascii="Calibri" w:hAnsi="Calibri" w:cstheme="minorHAnsi"/>
          <w:color w:val="000000"/>
          <w:sz w:val="22"/>
          <w:szCs w:val="22"/>
        </w:rPr>
        <w:t xml:space="preserve"> neįregistruoja laivo registre, jeigu pateikiami ne visi šių taisyklių 8–10 punktuose nurodyti dokumentai (be kita ko, laivo klasę patvirtinančio dokumento kopija), reikšminga, kad jos</w:t>
      </w:r>
      <w:r>
        <w:rPr>
          <w:rFonts w:ascii="Calibri" w:hAnsi="Calibri" w:cstheme="minorHAnsi"/>
          <w:sz w:val="22"/>
          <w:szCs w:val="22"/>
        </w:rPr>
        <w:t xml:space="preserve"> galiojimą laiko požiūriu lemia tai, kada buvo pateiktas prašymas įregistruoti laivą, bet ne tai, kada laivas buvo pagamintas ar kiti nesusiję veiksniai. Tokiu būdu </w:t>
      </w:r>
      <w:r>
        <w:rPr>
          <w:rFonts w:ascii="Calibri" w:hAnsi="Calibri" w:cstheme="minorHAnsi"/>
          <w:color w:val="000000"/>
          <w:sz w:val="22"/>
          <w:szCs w:val="22"/>
        </w:rPr>
        <w:t>nėra įsiterpiama į anksčiau prasidėjusius ar</w:t>
      </w:r>
      <w:r>
        <w:rPr>
          <w:rFonts w:ascii="Calibri" w:hAnsi="Calibri" w:cstheme="minorHAnsi"/>
          <w:sz w:val="22"/>
          <w:szCs w:val="22"/>
        </w:rPr>
        <w:t xml:space="preserve"> pasibaigusius teisinius santykius</w:t>
      </w:r>
      <w:r>
        <w:rPr>
          <w:rFonts w:ascii="Calibri" w:hAnsi="Calibri" w:cstheme="minorHAnsi"/>
          <w:color w:val="000000"/>
          <w:sz w:val="22"/>
          <w:szCs w:val="22"/>
        </w:rPr>
        <w:t xml:space="preserve"> – šis teisės aktas yra taikomas nuo jo paskelbimo ir teisinių santykių dalyviams suteikiama tinkama galimybė </w:t>
      </w:r>
      <w:r>
        <w:rPr>
          <w:rFonts w:ascii="Calibri" w:hAnsi="Calibri" w:cstheme="minorHAnsi"/>
          <w:sz w:val="22"/>
          <w:szCs w:val="22"/>
        </w:rPr>
        <w:t xml:space="preserve">pasirenkant savo elgesį žinoti, kas yra laikoma teisėta, todėl </w:t>
      </w:r>
      <w:r>
        <w:rPr>
          <w:rFonts w:ascii="Calibri" w:hAnsi="Calibri" w:cstheme="minorHAnsi"/>
          <w:color w:val="000000"/>
          <w:sz w:val="22"/>
          <w:szCs w:val="22"/>
        </w:rPr>
        <w:t>Jūrų laivų registravimo t</w:t>
      </w:r>
      <w:r>
        <w:rPr>
          <w:rFonts w:ascii="Calibri" w:hAnsi="Calibri" w:cstheme="minorHAnsi"/>
          <w:sz w:val="22"/>
          <w:szCs w:val="22"/>
        </w:rPr>
        <w:t>aisyklių 20.3 papunktis neprieštarauja teisės aktų negaliojimo į praeitį (</w:t>
      </w:r>
      <w:r>
        <w:rPr>
          <w:rFonts w:ascii="Calibri" w:hAnsi="Calibri" w:cstheme="minorHAnsi"/>
          <w:i/>
          <w:iCs/>
          <w:sz w:val="22"/>
          <w:szCs w:val="22"/>
        </w:rPr>
        <w:t>lex retro non agit</w:t>
      </w:r>
      <w:r>
        <w:rPr>
          <w:rFonts w:ascii="Calibri" w:hAnsi="Calibri" w:cstheme="minorHAnsi"/>
          <w:sz w:val="22"/>
          <w:szCs w:val="22"/>
        </w:rPr>
        <w:t>) principui.</w:t>
      </w:r>
    </w:p>
    <w:p w:rsidR="004372D9" w:rsidRDefault="004372D9" w:rsidP="004372D9">
      <w:pPr>
        <w:ind w:firstLine="567"/>
        <w:jc w:val="both"/>
        <w:rPr>
          <w:rFonts w:ascii="Calibri" w:hAnsi="Calibri" w:cstheme="minorHAnsi"/>
          <w:sz w:val="22"/>
          <w:szCs w:val="22"/>
        </w:rPr>
      </w:pPr>
      <w:r>
        <w:rPr>
          <w:rFonts w:ascii="Calibri" w:hAnsi="Calibri" w:cstheme="minorHAnsi"/>
          <w:sz w:val="22"/>
          <w:szCs w:val="22"/>
        </w:rPr>
        <w:t xml:space="preserve">Atsižvelgusi į tai, kas išdėstyta, LVAT išplėstinė teisėjų kolegija pripažino, kad </w:t>
      </w:r>
      <w:r>
        <w:rPr>
          <w:rFonts w:ascii="Calibri" w:hAnsi="Calibri" w:cstheme="minorHAnsi"/>
          <w:color w:val="000000"/>
          <w:sz w:val="22"/>
          <w:szCs w:val="22"/>
        </w:rPr>
        <w:t>Jūrų laivų registravimo t</w:t>
      </w:r>
      <w:r>
        <w:rPr>
          <w:rFonts w:ascii="Calibri" w:hAnsi="Calibri" w:cstheme="minorHAnsi"/>
          <w:sz w:val="22"/>
          <w:szCs w:val="22"/>
        </w:rPr>
        <w:t>aisyklių 20.3 papunktis neprieštarauja Lietuvos Respublikos prekybinės laivybos įstatymo 2 straipsnio 9 daliai, 6 straipsnio 1 daliai ir Lietuvos Respublikos Konstitucijos 7 straipsnio 2 daliai.</w:t>
      </w:r>
    </w:p>
    <w:p w:rsidR="004372D9" w:rsidRDefault="004372D9" w:rsidP="004372D9">
      <w:pPr>
        <w:ind w:firstLine="567"/>
        <w:jc w:val="both"/>
        <w:rPr>
          <w:rFonts w:ascii="Calibri" w:hAnsi="Calibri" w:cstheme="minorHAnsi"/>
          <w:sz w:val="22"/>
          <w:szCs w:val="22"/>
        </w:rPr>
      </w:pPr>
    </w:p>
    <w:p w:rsidR="004372D9" w:rsidRDefault="004372D9" w:rsidP="004372D9">
      <w:pPr>
        <w:ind w:right="38"/>
        <w:jc w:val="both"/>
        <w:rPr>
          <w:rFonts w:ascii="Calibri" w:hAnsi="Calibri" w:cstheme="minorHAnsi"/>
          <w:sz w:val="22"/>
          <w:szCs w:val="22"/>
        </w:rPr>
      </w:pPr>
      <w:r>
        <w:rPr>
          <w:rFonts w:ascii="Calibri" w:hAnsi="Calibri" w:cstheme="minorHAnsi"/>
          <w:sz w:val="22"/>
          <w:szCs w:val="22"/>
        </w:rPr>
        <w:t>Išplėstinės teisėjų kolegijos 2017 m. gruodžio 15 d. nutartis administracinėje byloje Nr. eI-17-261/2017</w:t>
      </w:r>
    </w:p>
    <w:p w:rsidR="004372D9" w:rsidRDefault="004372D9" w:rsidP="004372D9">
      <w:pPr>
        <w:ind w:right="38"/>
        <w:jc w:val="both"/>
        <w:rPr>
          <w:rFonts w:ascii="Calibri" w:hAnsi="Calibri" w:cstheme="minorHAnsi"/>
          <w:sz w:val="22"/>
          <w:szCs w:val="22"/>
        </w:rPr>
      </w:pPr>
      <w:r>
        <w:rPr>
          <w:rFonts w:ascii="Calibri" w:hAnsi="Calibri" w:cstheme="minorHAnsi"/>
          <w:sz w:val="22"/>
          <w:szCs w:val="22"/>
        </w:rPr>
        <w:t>Teisminio proceso Nr. 3-66-3-00012-2017-1</w:t>
      </w:r>
    </w:p>
    <w:p w:rsidR="004372D9" w:rsidRDefault="004372D9" w:rsidP="004372D9">
      <w:pPr>
        <w:ind w:right="38"/>
        <w:jc w:val="both"/>
        <w:rPr>
          <w:rFonts w:ascii="Calibri" w:hAnsi="Calibri" w:cstheme="minorHAnsi"/>
          <w:sz w:val="22"/>
          <w:szCs w:val="22"/>
        </w:rPr>
      </w:pPr>
      <w:r>
        <w:rPr>
          <w:rFonts w:ascii="Calibri" w:hAnsi="Calibri" w:cstheme="minorHAnsi"/>
          <w:sz w:val="22"/>
          <w:szCs w:val="22"/>
        </w:rPr>
        <w:t>Procesinio sprendimo kategorijos: 4.1; 41</w:t>
      </w:r>
    </w:p>
    <w:p w:rsidR="004372D9" w:rsidRDefault="007E1236" w:rsidP="004372D9">
      <w:pPr>
        <w:ind w:right="38"/>
        <w:jc w:val="both"/>
        <w:rPr>
          <w:rFonts w:ascii="Calibri" w:hAnsi="Calibri" w:cstheme="minorHAnsi"/>
          <w:sz w:val="22"/>
          <w:szCs w:val="22"/>
        </w:rPr>
      </w:pPr>
      <w:hyperlink r:id="rId10" w:history="1">
        <w:r w:rsidR="004372D9">
          <w:rPr>
            <w:rStyle w:val="Hipersaitas"/>
            <w:rFonts w:ascii="Calibri" w:hAnsi="Calibri" w:cstheme="minorHAnsi"/>
            <w:sz w:val="22"/>
            <w:szCs w:val="22"/>
          </w:rPr>
          <w:t>Prieiga internete</w:t>
        </w:r>
      </w:hyperlink>
    </w:p>
    <w:p w:rsidR="004372D9" w:rsidRDefault="004372D9" w:rsidP="004372D9">
      <w:pPr>
        <w:rPr>
          <w:rFonts w:ascii="Calibri" w:hAnsi="Calibri"/>
          <w:sz w:val="22"/>
          <w:szCs w:val="22"/>
        </w:rPr>
      </w:pPr>
    </w:p>
    <w:p w:rsidR="004372D9" w:rsidRDefault="004372D9" w:rsidP="004372D9">
      <w:pPr>
        <w:pStyle w:val="Antrat2"/>
        <w:rPr>
          <w:rFonts w:ascii="Calibri" w:hAnsi="Calibri"/>
        </w:rPr>
      </w:pPr>
      <w:bookmarkStart w:id="20" w:name="_Toc505787243"/>
      <w:r>
        <w:rPr>
          <w:rFonts w:ascii="Calibri" w:hAnsi="Calibri"/>
        </w:rPr>
        <w:t>Dėl priimtųjų į pirmosios pakopos ir vientisąsias studijas valstybinėse aukštosiose mokyklose minimalaus studijų vietų skaičiaus</w:t>
      </w:r>
      <w:bookmarkEnd w:id="20"/>
    </w:p>
    <w:p w:rsidR="004372D9" w:rsidRDefault="004372D9" w:rsidP="004372D9">
      <w:pPr>
        <w:pStyle w:val="prastasiniatinklio"/>
        <w:spacing w:before="0" w:beforeAutospacing="0" w:after="0" w:afterAutospacing="0"/>
        <w:ind w:firstLine="567"/>
        <w:jc w:val="both"/>
        <w:rPr>
          <w:rFonts w:ascii="Calibri" w:hAnsi="Calibri"/>
          <w:sz w:val="22"/>
          <w:szCs w:val="22"/>
          <w:lang w:val="lt-LT" w:eastAsia="lt-LT"/>
        </w:rPr>
      </w:pPr>
    </w:p>
    <w:p w:rsidR="004372D9" w:rsidRDefault="004372D9" w:rsidP="004372D9">
      <w:pPr>
        <w:ind w:firstLine="567"/>
        <w:jc w:val="both"/>
        <w:rPr>
          <w:rFonts w:ascii="Calibri" w:hAnsi="Calibri"/>
          <w:sz w:val="22"/>
          <w:szCs w:val="22"/>
        </w:rPr>
      </w:pPr>
      <w:r>
        <w:rPr>
          <w:rFonts w:ascii="Calibri" w:hAnsi="Calibri"/>
          <w:sz w:val="22"/>
          <w:szCs w:val="22"/>
        </w:rPr>
        <w:t>Apžvelgiamoje byloje buvo tiriama, ar Lietuvos Respublikos švietimo ir mokslo ministro 2017 m. gegužės 9 d. įsakymo Nr. V-344 „Dėl preliminaraus valstybės finansuojamų pirmosios pakopos ir vientisųjų studijų vietų, į kurias 2017 metais priimami studentai, skaičiaus, studijų stipendijų skaičiaus ir skiriamo valstybės finansavimo“ (toliau – Įsakymas) 2 punktas neprieštarauja Lietuvos Respublikos mokslo ir studijų įstatymo 8</w:t>
      </w:r>
      <w:r w:rsidR="007F0679">
        <w:rPr>
          <w:rFonts w:ascii="Calibri" w:hAnsi="Calibri"/>
          <w:sz w:val="22"/>
          <w:szCs w:val="22"/>
        </w:rPr>
        <w:t> </w:t>
      </w:r>
      <w:r>
        <w:rPr>
          <w:rFonts w:ascii="Calibri" w:hAnsi="Calibri"/>
          <w:sz w:val="22"/>
          <w:szCs w:val="22"/>
        </w:rPr>
        <w:t>straipsnio 1 daliai, 28 straipsnio 2 dalies 1 punktui, 35 straipsnio 2 dalies 3 punktui, 59 straipsnio 6 daliai, 77</w:t>
      </w:r>
      <w:r w:rsidR="007F0679">
        <w:rPr>
          <w:rFonts w:ascii="Calibri" w:hAnsi="Calibri"/>
          <w:sz w:val="22"/>
          <w:szCs w:val="22"/>
        </w:rPr>
        <w:t> </w:t>
      </w:r>
      <w:r>
        <w:rPr>
          <w:rFonts w:ascii="Calibri" w:hAnsi="Calibri"/>
          <w:sz w:val="22"/>
          <w:szCs w:val="22"/>
        </w:rPr>
        <w:t>straipsnio 4 daliai, Lietuvos Respublikos Konstitucijos 40 straipsnio 3 daliai, 41 straipsnio 3 daliai ir 42 straipsnio 1 daliai.</w:t>
      </w:r>
    </w:p>
    <w:p w:rsidR="004372D9" w:rsidRDefault="004372D9" w:rsidP="004372D9">
      <w:pPr>
        <w:ind w:firstLine="567"/>
        <w:jc w:val="both"/>
        <w:rPr>
          <w:rFonts w:ascii="Calibri" w:hAnsi="Calibri"/>
          <w:sz w:val="22"/>
          <w:szCs w:val="22"/>
        </w:rPr>
      </w:pPr>
      <w:r>
        <w:rPr>
          <w:rFonts w:ascii="Calibri" w:hAnsi="Calibri"/>
          <w:sz w:val="22"/>
          <w:szCs w:val="22"/>
        </w:rPr>
        <w:t>Tiriamame Įsakymo 2 punkte nustatytas priimtųjų į pirmosios pakopos ir vientisąsias studijas valstybinėse aukštosiose mokyklose per pagrindinio priėmimo pirmąjį etapą minimalus studijų vietų skaičius (įskaitant institucinio priėmimo metu sudarytas studijų sutartis), diferencijuojant jį pagal studijų kryptis. Lietuvos Respublikos Seimo nario pareiškimu buvo prašoma ištirti, ar Įsakymo 2 punktu neviršijami Mokslo ir studijų įstatymo 77 straipsnio 4 dalyje įtvirtinti švietimo ir mokslo ministro įgaliojimai ir ar nebuvo pažeistas šioje dalyje nurodyto akto priėmimo terminas.</w:t>
      </w:r>
    </w:p>
    <w:p w:rsidR="004372D9" w:rsidRDefault="004372D9" w:rsidP="004372D9">
      <w:pPr>
        <w:ind w:firstLine="567"/>
        <w:jc w:val="both"/>
        <w:rPr>
          <w:rFonts w:ascii="Calibri" w:hAnsi="Calibri"/>
          <w:sz w:val="22"/>
          <w:szCs w:val="22"/>
        </w:rPr>
      </w:pPr>
      <w:r>
        <w:rPr>
          <w:rFonts w:ascii="Calibri" w:hAnsi="Calibri"/>
          <w:sz w:val="22"/>
          <w:szCs w:val="22"/>
        </w:rPr>
        <w:t>Išplėstinė teisėjų kolegija konstatavo, kad tiriamame teisiniame reguliavime yra nustatytas priimtųjų į pirmosios pakopos ir vientisąsias studijas valstybinėse aukštosiose mokyklose per pagrindinio priėmimo pirmąjį etapą minimalus studijų vietų skaičius, šis skaičius diferencijuotas pagal studijų kryptis – atsižvelgiant į jas nustatytos 4, 10 arba 15 minimalių studijų vietų studijų programoje.</w:t>
      </w:r>
    </w:p>
    <w:p w:rsidR="004372D9" w:rsidRDefault="004372D9" w:rsidP="004372D9">
      <w:pPr>
        <w:ind w:firstLine="567"/>
        <w:jc w:val="both"/>
        <w:rPr>
          <w:rFonts w:ascii="Calibri" w:hAnsi="Calibri"/>
          <w:sz w:val="22"/>
          <w:szCs w:val="22"/>
        </w:rPr>
      </w:pPr>
      <w:r>
        <w:rPr>
          <w:rFonts w:ascii="Calibri" w:hAnsi="Calibri"/>
          <w:sz w:val="22"/>
          <w:szCs w:val="22"/>
        </w:rPr>
        <w:t>Pareiškėjas prašymą grindė argumentu, kad Įsakymas buvo priimtas nesilaikant Mokslo ir studijų įstatymo 77 straipsnio 4 dalyje apibrėžtų įgaliojimų ir įtvirtinto termino. Tačiau byloje buvo nustatyta, kad šiame straipsnyje reglamentuojami kiti teisiniai santykiai negu Įsakymo 2 punktu, todėl nėra pagrindo išvadai, jog jį priimdamas švietimo ir mokslo ministras pažeidė Mokslo ir studijų įstatymo 77 straipsnio 4 dalyje įtvirtintą terminą ar įgaliojimus.</w:t>
      </w:r>
    </w:p>
    <w:p w:rsidR="004372D9" w:rsidRDefault="004372D9" w:rsidP="004372D9">
      <w:pPr>
        <w:ind w:firstLine="567"/>
        <w:jc w:val="both"/>
        <w:rPr>
          <w:rFonts w:ascii="Calibri" w:hAnsi="Calibri"/>
          <w:sz w:val="22"/>
          <w:szCs w:val="22"/>
        </w:rPr>
      </w:pPr>
      <w:r>
        <w:rPr>
          <w:rFonts w:ascii="Calibri" w:hAnsi="Calibri"/>
          <w:sz w:val="22"/>
          <w:szCs w:val="22"/>
        </w:rPr>
        <w:t>Abejonės dėl Įsakymo 2 punkto atitikties Mokslo ir studijų įstatymo 59 straipsnio 6 daliai pareiškime taip pat buvo grindžiamos remiantis tuo, kad įstatyme nenumatyta, jog priėmimas į aukštąsias valstybines mokyklas nebegali būti vykdomas po pirmojo priėmimo etapo pabaigos. Bendrąjį priėmimą sudaro pagrindinis ir papildomas priėmimas. Pagrindinis priėmimas vykdomas dviem etapais: po pirmojo etapo dar galima keisti pageidavimų eiliškumą ir vėl konkuruoti dėl vietų, likusių po pirmojo etapo studijų sutarčių sudarymo.</w:t>
      </w:r>
    </w:p>
    <w:p w:rsidR="004372D9" w:rsidRDefault="004372D9" w:rsidP="004372D9">
      <w:pPr>
        <w:ind w:firstLine="567"/>
        <w:jc w:val="both"/>
        <w:rPr>
          <w:rFonts w:ascii="Calibri" w:hAnsi="Calibri"/>
          <w:sz w:val="22"/>
          <w:szCs w:val="22"/>
        </w:rPr>
      </w:pPr>
      <w:r>
        <w:rPr>
          <w:rFonts w:ascii="Calibri" w:hAnsi="Calibri"/>
          <w:sz w:val="22"/>
          <w:szCs w:val="22"/>
        </w:rPr>
        <w:t xml:space="preserve">Įvertinus susijusį teisinį reglamentavimą byloje pripažinta, kad švietimo ir mokslo ministras turėjo teisę nustatyti, jog studijų programa privalo surinkti atitinkamą minimalų įstojusiųjų skaičių iki pagrindinio priėmimo antrojo etapo. Tokia nuostata pagrindžiama turint tikslą sudaryti prielaidas stojantiesiems per pagrindinio priėmimo antrąjį etapą arba papildomą priėmimą įstoti į studijų programą, kurios studijos bus vykdomos. Priešingu atveju, jeigu tik vėliau galutinai paaiškėtų, kad studijos pagal tam tikrą studijų programą nebus vykdomos, nukentėtų į ją įstojusiųjų interesas lygiomis galimybėmis dalyvauti konkurse stojant į aukštąsias mokyklas. </w:t>
      </w:r>
    </w:p>
    <w:p w:rsidR="004372D9" w:rsidRDefault="004372D9" w:rsidP="004372D9">
      <w:pPr>
        <w:ind w:firstLine="567"/>
        <w:jc w:val="both"/>
        <w:rPr>
          <w:rFonts w:ascii="Calibri" w:hAnsi="Calibri"/>
          <w:sz w:val="22"/>
          <w:szCs w:val="22"/>
        </w:rPr>
      </w:pPr>
      <w:r>
        <w:rPr>
          <w:rFonts w:ascii="Calibri" w:hAnsi="Calibri"/>
          <w:sz w:val="22"/>
          <w:szCs w:val="22"/>
        </w:rPr>
        <w:t>Įsakymo 2 punkto teisėtumas šioje byloje taip pat buvo tiriamas aukštųjų mokyklų autonomijos principo atžvilgiu, kuris įtvirtintas, be kita ko, Konstitucijos 40 straipsnio 3 dalyje, 41 straipsnio 3 dalyje, 42 straipsnio 1</w:t>
      </w:r>
      <w:r w:rsidR="00E51078">
        <w:rPr>
          <w:rFonts w:ascii="Calibri" w:hAnsi="Calibri"/>
          <w:sz w:val="22"/>
          <w:szCs w:val="22"/>
        </w:rPr>
        <w:t> </w:t>
      </w:r>
      <w:r>
        <w:rPr>
          <w:rFonts w:ascii="Calibri" w:hAnsi="Calibri"/>
          <w:sz w:val="22"/>
          <w:szCs w:val="22"/>
        </w:rPr>
        <w:t>dalyje, Mokslo ir studijų įstatymo 8 straipsnio 1 dalyje, 28 straipsnio 2 dalies 1 punkte ir 35 straipsnio 2 dalies 3 punkte.</w:t>
      </w:r>
    </w:p>
    <w:p w:rsidR="004372D9" w:rsidRDefault="004372D9" w:rsidP="004372D9">
      <w:pPr>
        <w:ind w:firstLine="567"/>
        <w:jc w:val="both"/>
        <w:rPr>
          <w:rFonts w:ascii="Calibri" w:hAnsi="Calibri"/>
          <w:sz w:val="22"/>
          <w:szCs w:val="22"/>
        </w:rPr>
      </w:pPr>
      <w:r>
        <w:rPr>
          <w:rFonts w:ascii="Calibri" w:hAnsi="Calibri"/>
          <w:sz w:val="22"/>
          <w:szCs w:val="22"/>
        </w:rPr>
        <w:t>Aukštųjų mokyklų autonomija yra vienas iš pamatinių valstybės valdžios ir aukštųjų mokyklų santykius grindžiančių principų, kuris suponuoja akademinę ir institucinę autonomiją. Aukštajai mokyklai garantuojama institucinė autonomija, t. y. tam tikras statusas, reiškia, kad yra tam tikros veiklos sritys, laisvos nuo vykdomosios valdžios kontrolės (Konstitucinio Teismo 2002 m. sausio 14 d., 2002 m. vasario 5 d., 2008 m. vasario 20 d., 2008 m. kovo 20 d., 2011 m. gruodžio 22 d. nutarimai).</w:t>
      </w:r>
    </w:p>
    <w:p w:rsidR="004372D9" w:rsidRDefault="004372D9" w:rsidP="004372D9">
      <w:pPr>
        <w:ind w:firstLine="567"/>
        <w:jc w:val="both"/>
        <w:rPr>
          <w:rFonts w:ascii="Calibri" w:hAnsi="Calibri"/>
          <w:sz w:val="22"/>
          <w:szCs w:val="22"/>
        </w:rPr>
      </w:pPr>
      <w:r>
        <w:rPr>
          <w:rFonts w:ascii="Calibri" w:hAnsi="Calibri"/>
          <w:sz w:val="22"/>
          <w:szCs w:val="22"/>
        </w:rPr>
        <w:t xml:space="preserve">Tačiau autonomija nereiškia absoliutaus imuniteto nuo valstybinio teisinio reguliavimo. Aukštosios mokyklos turi veikti paklusdamos Konstitucijai ir teisei; naudojimasis Konstitucijos joms garantuojama autonomija jokiu būdu negali sudaryti prielaidų ja piktnaudžiauti (Konstitucinio Teismo 2008 m. kovo 20 d. nutarimas). Autonomijos aukštosioms mokykloms suteikimas neatleidžia valstybės nuo konstitucinės priedermės užtikrinti aukštojo mokslo sistemos veiksmingumą. Todėl aukštųjų mokyklų autonomija nereiškia, kad jų veikla negali būti valstybės reguliuojama; priešingai, dėl to, kad yra susijusi su </w:t>
      </w:r>
      <w:r w:rsidRPr="004372D9">
        <w:rPr>
          <w:rFonts w:ascii="Calibri" w:hAnsi="Calibri"/>
          <w:i/>
          <w:sz w:val="22"/>
          <w:szCs w:val="22"/>
        </w:rPr>
        <w:t>inter alia</w:t>
      </w:r>
      <w:r>
        <w:rPr>
          <w:rFonts w:ascii="Calibri" w:hAnsi="Calibri"/>
          <w:sz w:val="22"/>
          <w:szCs w:val="22"/>
        </w:rPr>
        <w:t xml:space="preserve"> (be kita ko) konstitucinių žmogaus teisių ir laisvių įgyvendinimu, taip pat valstybės biudžeto lėšų naudojimu, ši veikla turi būti reguliuojama ir prižiūrima; tai išplaukia ir iš Konstitucijos 40 straipsnio 4 dalies nuostatos, kad valstybė prižiūri mokymo ir auklėjimo įstaigų veiklą. Tačiau valstybės teisė reguliuoti išorinius aukštųjų mokyklų </w:t>
      </w:r>
      <w:r>
        <w:rPr>
          <w:rFonts w:ascii="Calibri" w:hAnsi="Calibri"/>
          <w:sz w:val="22"/>
          <w:szCs w:val="22"/>
        </w:rPr>
        <w:lastRenderedPageBreak/>
        <w:t>santykius neturi apriboti aukštosios mokyklos mokslinės ir pedagoginės veiklos laisvės (Konstitucinio Teismo 1994 m. birželio 27 d., 2002 m. vasario 5 d., 2008 m. vasario 20 d. nutarimai).</w:t>
      </w:r>
    </w:p>
    <w:p w:rsidR="004372D9" w:rsidRDefault="004372D9" w:rsidP="004372D9">
      <w:pPr>
        <w:ind w:firstLine="567"/>
        <w:jc w:val="both"/>
        <w:rPr>
          <w:rFonts w:ascii="Calibri" w:hAnsi="Calibri"/>
          <w:sz w:val="22"/>
          <w:szCs w:val="22"/>
        </w:rPr>
      </w:pPr>
      <w:r>
        <w:rPr>
          <w:rFonts w:ascii="Calibri" w:hAnsi="Calibri"/>
          <w:sz w:val="22"/>
          <w:szCs w:val="22"/>
        </w:rPr>
        <w:t>Įsakymo 2 punktu įtvirtintas priimtųjų į pirmosios pakopos ir vientisąsias studijas valstybinėse aukštosiose mokyklose per pagrindinio priėmimo pirmąjį etapą minimalus studijų vietų skaičius yra skirtas užtikrinti reikiamas sąlygas teikti valstybės nustatytus standartus atitinkantį aukštąjį išsilavinimą. Šia nuostata nėra atimama valstybinių aukštųjų mokyklų teisė savo nuožiūra rengti studijas, Įsakymo 2 punkte įtvirtintu reikalavimu nėra kišamasi į aukštojo lavinimo dalykinį turinį, jis galioja visoms aukštosioms mokykloms lygiais pagrindais. Tiriamu teisiniu reguliavimu švietimo ir mokslo ministras įgyvendino jam įstatymu suteiktą diskreciją, kuri nepalieka jam teisės nenustatyti minimalaus įstojusiųjų į studijų programą studijų vietų skaičiaus ir teismui nekyla abejonių, kad Įsakymo 2 punktas atitinka aukštųjų mokyklų autonomijos, aukštojo mokslo prieinamumo principus bei Mokslo ir studijų įstatyme įtvirtintas taisykles.</w:t>
      </w:r>
    </w:p>
    <w:p w:rsidR="004372D9" w:rsidRDefault="004372D9" w:rsidP="004372D9">
      <w:pPr>
        <w:ind w:firstLine="567"/>
        <w:jc w:val="both"/>
        <w:rPr>
          <w:rFonts w:ascii="Calibri" w:hAnsi="Calibri"/>
          <w:sz w:val="22"/>
          <w:szCs w:val="22"/>
        </w:rPr>
      </w:pPr>
      <w:r>
        <w:rPr>
          <w:rFonts w:ascii="Calibri" w:hAnsi="Calibri"/>
          <w:sz w:val="22"/>
          <w:szCs w:val="22"/>
        </w:rPr>
        <w:t>Atsižvelgiant į tai, kas išdėstyta, išplėstinė teisėjų kolegija konstatavo, kad Įsakymo 2 punktas neprieštarauja Lietuvos Respublikos mokslo ir studijų įstatymo 8 straipsnio 1 daliai, 28 straipsnio 2 dalies 1</w:t>
      </w:r>
      <w:r w:rsidR="00E51078">
        <w:rPr>
          <w:rFonts w:ascii="Calibri" w:hAnsi="Calibri"/>
          <w:sz w:val="22"/>
          <w:szCs w:val="22"/>
        </w:rPr>
        <w:t> </w:t>
      </w:r>
      <w:r>
        <w:rPr>
          <w:rFonts w:ascii="Calibri" w:hAnsi="Calibri"/>
          <w:sz w:val="22"/>
          <w:szCs w:val="22"/>
        </w:rPr>
        <w:t>punktui, 35 straipsnio 2 dalies 3 punktui, 59 straipsnio 6 daliai, 77 straipsnio 4 daliai, Lietuvos Respublikos Konstitucijos 40 straipsnio 3 daliai, 41 straipsnio 3 daliai ir 42 straipsnio 1 daliai.</w:t>
      </w:r>
    </w:p>
    <w:p w:rsidR="004372D9" w:rsidRDefault="004372D9" w:rsidP="004372D9">
      <w:pPr>
        <w:ind w:firstLine="567"/>
        <w:jc w:val="both"/>
        <w:rPr>
          <w:rFonts w:ascii="Calibri" w:hAnsi="Calibri"/>
          <w:sz w:val="22"/>
          <w:szCs w:val="22"/>
        </w:rPr>
      </w:pPr>
    </w:p>
    <w:p w:rsidR="004372D9" w:rsidRDefault="004372D9" w:rsidP="004372D9">
      <w:pPr>
        <w:spacing w:after="20"/>
        <w:jc w:val="both"/>
        <w:rPr>
          <w:rFonts w:ascii="Calibri" w:hAnsi="Calibri"/>
          <w:sz w:val="22"/>
          <w:szCs w:val="22"/>
        </w:rPr>
      </w:pPr>
      <w:r>
        <w:rPr>
          <w:rFonts w:ascii="Calibri" w:hAnsi="Calibri"/>
          <w:sz w:val="22"/>
          <w:szCs w:val="22"/>
        </w:rPr>
        <w:t>Išplėstinės teisėjų kolegijos 2017 m. gruodžio 19 d. sprendimas administracinėje byloje Nr. I-20-559/2017</w:t>
      </w:r>
    </w:p>
    <w:p w:rsidR="004372D9" w:rsidRDefault="004372D9" w:rsidP="004372D9">
      <w:pPr>
        <w:spacing w:after="20"/>
        <w:jc w:val="both"/>
        <w:rPr>
          <w:rFonts w:ascii="Calibri" w:hAnsi="Calibri"/>
          <w:sz w:val="22"/>
          <w:szCs w:val="22"/>
        </w:rPr>
      </w:pPr>
      <w:r>
        <w:rPr>
          <w:rFonts w:ascii="Calibri" w:hAnsi="Calibri"/>
          <w:sz w:val="22"/>
          <w:szCs w:val="22"/>
        </w:rPr>
        <w:t>Teisminio proceso Nr. 3-66-3-00015-2017-4</w:t>
      </w:r>
    </w:p>
    <w:p w:rsidR="004372D9" w:rsidRDefault="004372D9" w:rsidP="004372D9">
      <w:pPr>
        <w:spacing w:after="20"/>
        <w:jc w:val="both"/>
        <w:rPr>
          <w:rFonts w:ascii="Calibri" w:hAnsi="Calibri"/>
          <w:sz w:val="22"/>
          <w:szCs w:val="22"/>
        </w:rPr>
      </w:pPr>
      <w:r>
        <w:rPr>
          <w:rFonts w:ascii="Calibri" w:hAnsi="Calibri"/>
          <w:sz w:val="22"/>
          <w:szCs w:val="22"/>
        </w:rPr>
        <w:t>Procesinio sprendimo kategorijos: 4.1; 25.7</w:t>
      </w:r>
    </w:p>
    <w:p w:rsidR="004372D9" w:rsidRDefault="007E1236" w:rsidP="004372D9">
      <w:pPr>
        <w:spacing w:after="20"/>
        <w:rPr>
          <w:rFonts w:ascii="Calibri" w:hAnsi="Calibri"/>
          <w:sz w:val="22"/>
          <w:szCs w:val="22"/>
        </w:rPr>
      </w:pPr>
      <w:hyperlink r:id="rId11" w:history="1">
        <w:r w:rsidR="004372D9">
          <w:rPr>
            <w:rStyle w:val="Hipersaitas"/>
            <w:rFonts w:ascii="Calibri" w:hAnsi="Calibri"/>
            <w:sz w:val="22"/>
            <w:szCs w:val="22"/>
          </w:rPr>
          <w:t>Prieiga internete</w:t>
        </w:r>
        <w:r w:rsidR="004372D9">
          <w:rPr>
            <w:rStyle w:val="Komentaronuoroda"/>
            <w:rFonts w:ascii="Calibri" w:hAnsi="Calibri"/>
            <w:sz w:val="22"/>
            <w:szCs w:val="22"/>
          </w:rPr>
          <w:t> </w:t>
        </w:r>
      </w:hyperlink>
    </w:p>
    <w:p w:rsidR="001F6068" w:rsidRPr="00B90026" w:rsidRDefault="001F6068" w:rsidP="00723B4D">
      <w:pPr>
        <w:jc w:val="both"/>
        <w:rPr>
          <w:rFonts w:asciiTheme="minorHAnsi" w:hAnsiTheme="minorHAnsi" w:cstheme="minorHAnsi"/>
          <w:sz w:val="22"/>
          <w:szCs w:val="22"/>
        </w:rPr>
      </w:pPr>
    </w:p>
    <w:p w:rsidR="00893884" w:rsidRPr="00B90026" w:rsidRDefault="00893884" w:rsidP="00363C0B">
      <w:pPr>
        <w:pStyle w:val="Apzvalgai1"/>
        <w:rPr>
          <w:rFonts w:asciiTheme="minorHAnsi" w:hAnsiTheme="minorHAnsi" w:cstheme="minorHAnsi"/>
        </w:rPr>
      </w:pPr>
      <w:bookmarkStart w:id="21" w:name="_Toc505787244"/>
      <w:r w:rsidRPr="00B90026">
        <w:rPr>
          <w:rFonts w:asciiTheme="minorHAnsi" w:hAnsiTheme="minorHAnsi" w:cstheme="minorHAnsi"/>
        </w:rPr>
        <w:t>8. Užsieniečių teisinė padėtis</w:t>
      </w:r>
      <w:bookmarkEnd w:id="21"/>
    </w:p>
    <w:p w:rsidR="00893884" w:rsidRPr="00B90026" w:rsidRDefault="00893884" w:rsidP="00893884">
      <w:pPr>
        <w:ind w:firstLine="567"/>
        <w:jc w:val="both"/>
        <w:rPr>
          <w:rFonts w:asciiTheme="minorHAnsi" w:hAnsiTheme="minorHAnsi" w:cstheme="minorHAnsi"/>
          <w:b/>
          <w:sz w:val="22"/>
          <w:szCs w:val="22"/>
          <w:u w:val="single"/>
        </w:rPr>
      </w:pPr>
      <w:r w:rsidRPr="00B90026">
        <w:rPr>
          <w:rFonts w:asciiTheme="minorHAnsi" w:hAnsiTheme="minorHAnsi" w:cstheme="minorHAnsi"/>
          <w:b/>
          <w:sz w:val="22"/>
          <w:szCs w:val="22"/>
          <w:u w:val="single"/>
        </w:rPr>
        <w:t>8.3. Trečiųjų šalių piliečių ir jų šeimos narių teisė apsigyventi Lietuvoje</w:t>
      </w:r>
    </w:p>
    <w:p w:rsidR="00893884" w:rsidRPr="00B90026" w:rsidRDefault="00893884" w:rsidP="00893884">
      <w:pPr>
        <w:ind w:firstLine="1134"/>
        <w:jc w:val="both"/>
        <w:rPr>
          <w:rFonts w:asciiTheme="minorHAnsi" w:hAnsiTheme="minorHAnsi" w:cstheme="minorHAnsi"/>
          <w:b/>
          <w:sz w:val="22"/>
          <w:szCs w:val="22"/>
          <w:u w:val="single"/>
        </w:rPr>
      </w:pPr>
      <w:r w:rsidRPr="00B90026">
        <w:rPr>
          <w:rFonts w:asciiTheme="minorHAnsi" w:hAnsiTheme="minorHAnsi" w:cstheme="minorHAnsi"/>
          <w:b/>
          <w:sz w:val="22"/>
          <w:szCs w:val="22"/>
          <w:u w:val="single"/>
        </w:rPr>
        <w:t>8.3.1. Trečiųjų šalių piliečių ir jų šeimos narių teisė laikinai gyventi Lietuvoje</w:t>
      </w:r>
    </w:p>
    <w:p w:rsidR="00893884" w:rsidRPr="00B90026" w:rsidRDefault="00893884" w:rsidP="00893884">
      <w:pPr>
        <w:ind w:firstLine="567"/>
        <w:jc w:val="both"/>
        <w:rPr>
          <w:rFonts w:asciiTheme="minorHAnsi" w:hAnsiTheme="minorHAnsi" w:cstheme="minorHAnsi"/>
          <w:i/>
          <w:sz w:val="22"/>
          <w:szCs w:val="22"/>
        </w:rPr>
      </w:pPr>
    </w:p>
    <w:p w:rsidR="00893884" w:rsidRPr="00B90026" w:rsidRDefault="00893884" w:rsidP="00363C0B">
      <w:pPr>
        <w:pStyle w:val="Antrat2"/>
      </w:pPr>
      <w:bookmarkStart w:id="22" w:name="_Toc505787245"/>
      <w:bookmarkStart w:id="23" w:name="_Hlk503182819"/>
      <w:r w:rsidRPr="00B90026">
        <w:t>Dėl teisės būti išklausytam asmeniui pateikiant prašymą išduoti ar pakeisti leidimą gyventi Lietuvos Respublikoje</w:t>
      </w:r>
      <w:bookmarkEnd w:id="22"/>
    </w:p>
    <w:p w:rsidR="00893884" w:rsidRPr="00B90026" w:rsidRDefault="00893884" w:rsidP="00893884">
      <w:pPr>
        <w:ind w:firstLine="567"/>
        <w:jc w:val="both"/>
        <w:rPr>
          <w:rFonts w:asciiTheme="minorHAnsi" w:hAnsiTheme="minorHAnsi" w:cstheme="minorHAnsi"/>
          <w:i/>
          <w:color w:val="000000"/>
          <w:sz w:val="22"/>
          <w:szCs w:val="22"/>
        </w:rPr>
      </w:pPr>
    </w:p>
    <w:p w:rsidR="00893884" w:rsidRPr="00B90026" w:rsidRDefault="00893884" w:rsidP="00893884">
      <w:pPr>
        <w:ind w:firstLine="567"/>
        <w:jc w:val="both"/>
        <w:rPr>
          <w:rFonts w:asciiTheme="minorHAnsi" w:hAnsiTheme="minorHAnsi" w:cstheme="minorHAnsi"/>
          <w:sz w:val="22"/>
          <w:szCs w:val="22"/>
        </w:rPr>
      </w:pPr>
      <w:r w:rsidRPr="00B90026">
        <w:rPr>
          <w:rFonts w:asciiTheme="minorHAnsi" w:hAnsiTheme="minorHAnsi" w:cstheme="minorHAnsi"/>
          <w:sz w:val="22"/>
          <w:szCs w:val="22"/>
        </w:rPr>
        <w:t>Ginčas byloje kilo dėl Migracijos departamento Kontrolės skyriaus sprendimo, kuriuo buvo panaikinti pareiškėjui ir jo nepilnamečiui sūnui išduoti leidimai laikinai gyventi Lietuvos Respublikoje, teisėtumo.</w:t>
      </w:r>
    </w:p>
    <w:bookmarkEnd w:id="23"/>
    <w:p w:rsidR="00D7528E" w:rsidRPr="00B90026" w:rsidRDefault="00893884" w:rsidP="00893884">
      <w:pPr>
        <w:ind w:firstLine="567"/>
        <w:jc w:val="both"/>
        <w:rPr>
          <w:rFonts w:asciiTheme="minorHAnsi" w:hAnsiTheme="minorHAnsi" w:cstheme="minorHAnsi"/>
          <w:sz w:val="22"/>
          <w:szCs w:val="22"/>
        </w:rPr>
      </w:pPr>
      <w:r w:rsidRPr="00B90026">
        <w:rPr>
          <w:rFonts w:asciiTheme="minorHAnsi" w:hAnsiTheme="minorHAnsi" w:cstheme="minorHAnsi"/>
          <w:sz w:val="22"/>
          <w:szCs w:val="22"/>
        </w:rPr>
        <w:t>Pareiškėjas teigė, kad sprendimas yra nepagrįstas, paremtas prielaidomis, o ne objektyviais faktais, priimtas neatlikus išsamaus tyrimo, nesudarius galimybių pareiškėjui pateikti paaiškinimus. Migracijos departamentas teigė, kad pareiškėjui ir jo nepilnamečiam sūnui buvo išduoti leidimai laikinai gyventi Lietuvos Respublikoje, galioję iki 2018 m. balandžio 29 d., tačiau vėliau, nustačius, kad pareiškėjas ir jo vadovaujama bendrovė neatitinka Lietuvos Respublikos įstatymo „Dėl užsieniečių teisinės padėties“ 45 straipsnio 1 dalies 1</w:t>
      </w:r>
      <w:r w:rsidR="00877EAA">
        <w:rPr>
          <w:rFonts w:asciiTheme="minorHAnsi" w:hAnsiTheme="minorHAnsi" w:cstheme="minorHAnsi"/>
          <w:sz w:val="22"/>
          <w:szCs w:val="22"/>
        </w:rPr>
        <w:t> </w:t>
      </w:r>
      <w:r w:rsidRPr="00B90026">
        <w:rPr>
          <w:rFonts w:asciiTheme="minorHAnsi" w:hAnsiTheme="minorHAnsi" w:cstheme="minorHAnsi"/>
          <w:sz w:val="22"/>
          <w:szCs w:val="22"/>
        </w:rPr>
        <w:t>punkte nustatytų reikalavimų, nes bendrovėje nėra visą darbo dieną dirbančių ne mažiau kaip trijų Lietuvos Respublikos piliečių ar nuolat Lietuvos Respublikoje gyvenančių užsieniečių, vadovaujantis to įstatymo 50</w:t>
      </w:r>
      <w:r w:rsidR="00877EAA">
        <w:rPr>
          <w:rFonts w:asciiTheme="minorHAnsi" w:hAnsiTheme="minorHAnsi" w:cstheme="minorHAnsi"/>
          <w:sz w:val="22"/>
          <w:szCs w:val="22"/>
        </w:rPr>
        <w:t> </w:t>
      </w:r>
      <w:r w:rsidRPr="00B90026">
        <w:rPr>
          <w:rFonts w:asciiTheme="minorHAnsi" w:hAnsiTheme="minorHAnsi" w:cstheme="minorHAnsi"/>
          <w:sz w:val="22"/>
          <w:szCs w:val="22"/>
        </w:rPr>
        <w:t xml:space="preserve">straipsnio 1 dalies 2 ir 7 punktais, buvo priimtas </w:t>
      </w:r>
      <w:r w:rsidR="00D7528E" w:rsidRPr="00B90026">
        <w:rPr>
          <w:rFonts w:asciiTheme="minorHAnsi" w:hAnsiTheme="minorHAnsi" w:cstheme="minorHAnsi"/>
          <w:sz w:val="22"/>
          <w:szCs w:val="22"/>
        </w:rPr>
        <w:t xml:space="preserve">ginčo </w:t>
      </w:r>
      <w:r w:rsidRPr="00B90026">
        <w:rPr>
          <w:rFonts w:asciiTheme="minorHAnsi" w:hAnsiTheme="minorHAnsi" w:cstheme="minorHAnsi"/>
          <w:sz w:val="22"/>
          <w:szCs w:val="22"/>
        </w:rPr>
        <w:t>sprendimas. Pirmosios instancijos teismas skundą atmetė</w:t>
      </w:r>
      <w:r w:rsidR="00D7528E" w:rsidRPr="00B90026">
        <w:rPr>
          <w:rFonts w:asciiTheme="minorHAnsi" w:hAnsiTheme="minorHAnsi" w:cstheme="minorHAnsi"/>
          <w:sz w:val="22"/>
          <w:szCs w:val="22"/>
        </w:rPr>
        <w:t>.</w:t>
      </w:r>
    </w:p>
    <w:p w:rsidR="00893884" w:rsidRPr="00B90026" w:rsidRDefault="00893884" w:rsidP="00893884">
      <w:pPr>
        <w:ind w:firstLine="567"/>
        <w:jc w:val="both"/>
        <w:rPr>
          <w:rFonts w:asciiTheme="minorHAnsi" w:hAnsiTheme="minorHAnsi" w:cstheme="minorHAnsi"/>
          <w:sz w:val="22"/>
          <w:szCs w:val="22"/>
        </w:rPr>
      </w:pPr>
      <w:r w:rsidRPr="00B90026">
        <w:rPr>
          <w:rFonts w:asciiTheme="minorHAnsi" w:hAnsiTheme="minorHAnsi" w:cstheme="minorHAnsi"/>
          <w:sz w:val="22"/>
          <w:szCs w:val="22"/>
        </w:rPr>
        <w:t>LVAT atkreipė dėmesį, kad Lietuvos Respublikos vidaus reikalų ministro 2005 m. spalio 12 d. įsakymu Nr. 1V-329 (nauja redakcija nuo 2015 m. gegužės 7 d.) yra patvirtintas Leidimų laikinai gyventi Lietuvos Respublikoje užsieniečiams išdavimo, keitimo, panaikinimo, taip pat įvertinimo, ar santuoka, registruota partnerystė, įvaikinimas ar įmonė yra fiktyvūs, tvarkos aprašas (toliau – Aprašas). Aprašo 189 punkte yra nustatyta privaloma procedūra ir pareiga informuoti užsienietį apie nagrinėjamą klausimą dėl administracinio sprendimo, leidžiančio laikinai gyventi Lietuvos Respublikoje, panaikinimo. Minėtoje nuostatoje taip pat nustatyta tam tikra įrodinėjimo taisyklė, t. y. viešojo administravimo subjekto teisė preziumuoti tam tikrus faktus, būtent dėl įmonės fiktyvumo, jeigu užsienietis yra pasyvus administracinėje procedūroje ir nesinaudoja jam teisės aktuose nustatyta galimybe atvykti į instituciją, pateikti papildomus dokumentus bei pateikti paaiškinimus žodžiu.</w:t>
      </w:r>
    </w:p>
    <w:p w:rsidR="0057108C" w:rsidRDefault="00893884" w:rsidP="00D7528E">
      <w:pPr>
        <w:ind w:firstLine="567"/>
        <w:jc w:val="both"/>
        <w:rPr>
          <w:rFonts w:asciiTheme="minorHAnsi" w:hAnsiTheme="minorHAnsi" w:cstheme="minorHAnsi"/>
          <w:sz w:val="22"/>
          <w:szCs w:val="22"/>
        </w:rPr>
      </w:pPr>
      <w:r w:rsidRPr="00B90026">
        <w:rPr>
          <w:rFonts w:asciiTheme="minorHAnsi" w:hAnsiTheme="minorHAnsi" w:cstheme="minorHAnsi"/>
          <w:sz w:val="22"/>
          <w:szCs w:val="22"/>
        </w:rPr>
        <w:t>LVAT pastebėjo, kad atsakovo pateikti į bylą dokumentai ir atsakovo procesinių dokumentų turinys patvirtino, kad atsakovas nepranešė pareiškėjui apie jo nagrinėjamą klausimą, nepasiūlė pateikti įrodym</w:t>
      </w:r>
      <w:r w:rsidR="0057108C">
        <w:rPr>
          <w:rFonts w:asciiTheme="minorHAnsi" w:hAnsiTheme="minorHAnsi" w:cstheme="minorHAnsi"/>
          <w:sz w:val="22"/>
          <w:szCs w:val="22"/>
        </w:rPr>
        <w:t>us</w:t>
      </w:r>
      <w:r w:rsidRPr="00B90026">
        <w:rPr>
          <w:rFonts w:asciiTheme="minorHAnsi" w:hAnsiTheme="minorHAnsi" w:cstheme="minorHAnsi"/>
          <w:sz w:val="22"/>
          <w:szCs w:val="22"/>
        </w:rPr>
        <w:t xml:space="preserve"> nagrinėjamu klausimu, taip pažeisdamas Aprašo 189 punktą ir pareiškėjo teisę būti išklausytam. Todėl atsakovo priimtas sprendimas</w:t>
      </w:r>
      <w:r w:rsidR="00D7528E" w:rsidRPr="00B90026">
        <w:rPr>
          <w:rFonts w:asciiTheme="minorHAnsi" w:hAnsiTheme="minorHAnsi" w:cstheme="minorHAnsi"/>
          <w:sz w:val="22"/>
          <w:szCs w:val="22"/>
        </w:rPr>
        <w:t xml:space="preserve"> </w:t>
      </w:r>
      <w:r w:rsidR="0057108C">
        <w:rPr>
          <w:rFonts w:asciiTheme="minorHAnsi" w:hAnsiTheme="minorHAnsi" w:cstheme="minorHAnsi"/>
          <w:sz w:val="22"/>
          <w:szCs w:val="22"/>
        </w:rPr>
        <w:t>pa</w:t>
      </w:r>
      <w:r w:rsidRPr="00B90026">
        <w:rPr>
          <w:rFonts w:asciiTheme="minorHAnsi" w:hAnsiTheme="minorHAnsi" w:cstheme="minorHAnsi"/>
          <w:sz w:val="22"/>
          <w:szCs w:val="22"/>
        </w:rPr>
        <w:t xml:space="preserve">naikintas </w:t>
      </w:r>
      <w:r w:rsidR="00D7528E" w:rsidRPr="00B90026">
        <w:rPr>
          <w:rFonts w:asciiTheme="minorHAnsi" w:hAnsiTheme="minorHAnsi" w:cstheme="minorHAnsi"/>
          <w:sz w:val="22"/>
          <w:szCs w:val="22"/>
        </w:rPr>
        <w:t>d</w:t>
      </w:r>
      <w:r w:rsidRPr="00B90026">
        <w:rPr>
          <w:rFonts w:asciiTheme="minorHAnsi" w:hAnsiTheme="minorHAnsi" w:cstheme="minorHAnsi"/>
          <w:sz w:val="22"/>
          <w:szCs w:val="22"/>
        </w:rPr>
        <w:t xml:space="preserve">ėl to, kad jį priimant buvo pažeistos pagrindinės procedūros, ypač taisyklės, </w:t>
      </w:r>
      <w:r w:rsidRPr="00B90026">
        <w:rPr>
          <w:rFonts w:asciiTheme="minorHAnsi" w:hAnsiTheme="minorHAnsi" w:cstheme="minorHAnsi"/>
          <w:sz w:val="22"/>
          <w:szCs w:val="22"/>
        </w:rPr>
        <w:lastRenderedPageBreak/>
        <w:t>turėjusios užtikrinti objektyvų visų aplinkybių įvertinimą ir sprendimo pagrįstumą (ABTĮ 91 str. 1 d. 3 p.). Be to, argumentas dėl pareiškėjo teisės būti išklausytam buvo nurodytas skunde, paduotame pirmosios instancijos teismui, tačiau teismas nepagrįstai nevertino šio argumento ir nenustatė minėto administracinio sprendimo negaliojimo pagrindo</w:t>
      </w:r>
      <w:r w:rsidR="00D7528E" w:rsidRPr="00B90026">
        <w:rPr>
          <w:rFonts w:asciiTheme="minorHAnsi" w:hAnsiTheme="minorHAnsi" w:cstheme="minorHAnsi"/>
          <w:sz w:val="22"/>
          <w:szCs w:val="22"/>
        </w:rPr>
        <w:t>.</w:t>
      </w:r>
    </w:p>
    <w:p w:rsidR="00893884" w:rsidRPr="00B90026" w:rsidRDefault="00893884" w:rsidP="00D7528E">
      <w:pPr>
        <w:ind w:firstLine="567"/>
        <w:jc w:val="both"/>
        <w:rPr>
          <w:rFonts w:asciiTheme="minorHAnsi" w:hAnsiTheme="minorHAnsi" w:cstheme="minorHAnsi"/>
          <w:sz w:val="22"/>
          <w:szCs w:val="22"/>
        </w:rPr>
      </w:pPr>
      <w:r w:rsidRPr="00B90026">
        <w:rPr>
          <w:rFonts w:asciiTheme="minorHAnsi" w:hAnsiTheme="minorHAnsi" w:cstheme="minorHAnsi"/>
          <w:sz w:val="22"/>
          <w:szCs w:val="22"/>
        </w:rPr>
        <w:t>Pareiškėjo apeliacinis skundas patenkintas, pirmosios instancijos teismo sprendimas panaikintas ir priimtas naujas sprendimas</w:t>
      </w:r>
      <w:r w:rsidR="00D7528E" w:rsidRPr="00B90026">
        <w:rPr>
          <w:rFonts w:asciiTheme="minorHAnsi" w:hAnsiTheme="minorHAnsi" w:cstheme="minorHAnsi"/>
          <w:sz w:val="22"/>
          <w:szCs w:val="22"/>
        </w:rPr>
        <w:t xml:space="preserve"> – </w:t>
      </w:r>
      <w:r w:rsidRPr="00B90026">
        <w:rPr>
          <w:rFonts w:asciiTheme="minorHAnsi" w:hAnsiTheme="minorHAnsi" w:cstheme="minorHAnsi"/>
          <w:sz w:val="22"/>
          <w:szCs w:val="22"/>
        </w:rPr>
        <w:t>pareiškėjo skundas patenkintas, Migracijos departamento</w:t>
      </w:r>
      <w:r w:rsidR="00D7528E" w:rsidRPr="00B90026">
        <w:rPr>
          <w:rFonts w:asciiTheme="minorHAnsi" w:hAnsiTheme="minorHAnsi" w:cstheme="minorHAnsi"/>
          <w:sz w:val="22"/>
          <w:szCs w:val="22"/>
        </w:rPr>
        <w:t xml:space="preserve"> </w:t>
      </w:r>
      <w:r w:rsidRPr="00B90026">
        <w:rPr>
          <w:rFonts w:asciiTheme="minorHAnsi" w:hAnsiTheme="minorHAnsi" w:cstheme="minorHAnsi"/>
          <w:sz w:val="22"/>
          <w:szCs w:val="22"/>
        </w:rPr>
        <w:t>sprendimas panaikintas.</w:t>
      </w:r>
    </w:p>
    <w:p w:rsidR="00893884" w:rsidRPr="00B90026" w:rsidRDefault="00893884" w:rsidP="00893884">
      <w:pPr>
        <w:jc w:val="both"/>
        <w:rPr>
          <w:rFonts w:asciiTheme="minorHAnsi" w:hAnsiTheme="minorHAnsi" w:cstheme="minorHAnsi"/>
          <w:sz w:val="22"/>
          <w:szCs w:val="22"/>
        </w:rPr>
      </w:pPr>
    </w:p>
    <w:p w:rsidR="00893884" w:rsidRPr="00B90026" w:rsidRDefault="00893884" w:rsidP="00893884">
      <w:pPr>
        <w:jc w:val="both"/>
        <w:rPr>
          <w:rFonts w:asciiTheme="minorHAnsi" w:hAnsiTheme="minorHAnsi" w:cstheme="minorHAnsi"/>
          <w:sz w:val="22"/>
          <w:szCs w:val="22"/>
        </w:rPr>
      </w:pPr>
      <w:r w:rsidRPr="00B90026">
        <w:rPr>
          <w:rFonts w:asciiTheme="minorHAnsi" w:hAnsiTheme="minorHAnsi" w:cstheme="minorHAnsi"/>
          <w:sz w:val="22"/>
          <w:szCs w:val="22"/>
        </w:rPr>
        <w:t>2017 m. gruodžio 5 d. sprendimas administracinėje byloje Nr. </w:t>
      </w:r>
      <w:r w:rsidRPr="00B90026">
        <w:rPr>
          <w:rFonts w:asciiTheme="minorHAnsi" w:hAnsiTheme="minorHAnsi" w:cstheme="minorHAnsi"/>
          <w:bCs/>
          <w:sz w:val="22"/>
          <w:szCs w:val="22"/>
        </w:rPr>
        <w:t>eA-4983-624/2017</w:t>
      </w:r>
    </w:p>
    <w:p w:rsidR="00893884" w:rsidRPr="00B90026" w:rsidRDefault="00893884" w:rsidP="00893884">
      <w:pPr>
        <w:jc w:val="both"/>
        <w:rPr>
          <w:rFonts w:asciiTheme="minorHAnsi" w:hAnsiTheme="minorHAnsi" w:cstheme="minorHAnsi"/>
          <w:sz w:val="22"/>
          <w:szCs w:val="22"/>
        </w:rPr>
      </w:pPr>
      <w:r w:rsidRPr="00B90026">
        <w:rPr>
          <w:rFonts w:asciiTheme="minorHAnsi" w:hAnsiTheme="minorHAnsi" w:cstheme="minorHAnsi"/>
          <w:sz w:val="22"/>
          <w:szCs w:val="22"/>
        </w:rPr>
        <w:t>Teisminio proceso Nr. </w:t>
      </w:r>
      <w:r w:rsidRPr="00B90026">
        <w:rPr>
          <w:rFonts w:asciiTheme="minorHAnsi" w:hAnsiTheme="minorHAnsi" w:cstheme="minorHAnsi"/>
          <w:bCs/>
          <w:sz w:val="22"/>
          <w:szCs w:val="22"/>
        </w:rPr>
        <w:t>3-61-3-02079-2017-1</w:t>
      </w:r>
    </w:p>
    <w:p w:rsidR="00893884" w:rsidRPr="00B90026" w:rsidRDefault="00893884" w:rsidP="00893884">
      <w:pPr>
        <w:jc w:val="both"/>
        <w:rPr>
          <w:rFonts w:asciiTheme="minorHAnsi" w:hAnsiTheme="minorHAnsi" w:cstheme="minorHAnsi"/>
          <w:sz w:val="22"/>
          <w:szCs w:val="22"/>
        </w:rPr>
      </w:pPr>
      <w:r w:rsidRPr="00B90026">
        <w:rPr>
          <w:rFonts w:asciiTheme="minorHAnsi" w:hAnsiTheme="minorHAnsi" w:cstheme="minorHAnsi"/>
          <w:sz w:val="22"/>
          <w:szCs w:val="22"/>
        </w:rPr>
        <w:t xml:space="preserve">Procesinio sprendimo kategorija 8.3.1 </w:t>
      </w:r>
    </w:p>
    <w:p w:rsidR="00893884" w:rsidRPr="00B90026" w:rsidRDefault="007E1236" w:rsidP="00893884">
      <w:pPr>
        <w:jc w:val="both"/>
        <w:rPr>
          <w:rFonts w:asciiTheme="minorHAnsi" w:hAnsiTheme="minorHAnsi" w:cstheme="minorHAnsi"/>
          <w:sz w:val="22"/>
          <w:szCs w:val="22"/>
        </w:rPr>
      </w:pPr>
      <w:hyperlink r:id="rId12" w:history="1">
        <w:r w:rsidR="00893884" w:rsidRPr="00B90026">
          <w:rPr>
            <w:rStyle w:val="Hipersaitas"/>
            <w:rFonts w:asciiTheme="minorHAnsi" w:hAnsiTheme="minorHAnsi" w:cstheme="minorHAnsi"/>
            <w:sz w:val="22"/>
            <w:szCs w:val="22"/>
          </w:rPr>
          <w:t>Prieiga internete</w:t>
        </w:r>
      </w:hyperlink>
    </w:p>
    <w:p w:rsidR="001E0CA3" w:rsidRPr="00B90026" w:rsidRDefault="001E0CA3" w:rsidP="001E0CA3">
      <w:pPr>
        <w:ind w:firstLine="567"/>
        <w:jc w:val="both"/>
        <w:rPr>
          <w:rFonts w:asciiTheme="minorHAnsi" w:hAnsiTheme="minorHAnsi" w:cstheme="minorHAnsi"/>
          <w:sz w:val="22"/>
          <w:szCs w:val="22"/>
        </w:rPr>
      </w:pPr>
    </w:p>
    <w:p w:rsidR="008D5A54" w:rsidRPr="00B90026" w:rsidRDefault="008D5A54" w:rsidP="00363C0B">
      <w:pPr>
        <w:pStyle w:val="Apzvalgai1"/>
        <w:rPr>
          <w:rFonts w:asciiTheme="minorHAnsi" w:hAnsiTheme="minorHAnsi" w:cstheme="minorHAnsi"/>
        </w:rPr>
      </w:pPr>
      <w:bookmarkStart w:id="24" w:name="_Toc505787246"/>
      <w:r w:rsidRPr="00B90026">
        <w:rPr>
          <w:rFonts w:asciiTheme="minorHAnsi" w:hAnsiTheme="minorHAnsi" w:cstheme="minorHAnsi"/>
        </w:rPr>
        <w:t>12. Mokesčiai, įmokos ir kiti privalomieji mokėjimai</w:t>
      </w:r>
      <w:bookmarkEnd w:id="24"/>
    </w:p>
    <w:p w:rsidR="008D5A54" w:rsidRPr="00B90026" w:rsidRDefault="008D5A54" w:rsidP="008D5A54">
      <w:pPr>
        <w:ind w:firstLine="567"/>
        <w:rPr>
          <w:rFonts w:asciiTheme="minorHAnsi" w:hAnsiTheme="minorHAnsi" w:cstheme="minorHAnsi"/>
          <w:b/>
          <w:sz w:val="22"/>
          <w:szCs w:val="22"/>
          <w:u w:val="single"/>
        </w:rPr>
      </w:pPr>
      <w:r w:rsidRPr="00B90026">
        <w:rPr>
          <w:rFonts w:asciiTheme="minorHAnsi" w:hAnsiTheme="minorHAnsi" w:cstheme="minorHAnsi"/>
          <w:b/>
          <w:sz w:val="22"/>
          <w:szCs w:val="22"/>
          <w:u w:val="single"/>
        </w:rPr>
        <w:t>12.15. Pridėtinės vertės mokestis</w:t>
      </w:r>
    </w:p>
    <w:p w:rsidR="008D5A54" w:rsidRPr="00B90026" w:rsidRDefault="008D5A54" w:rsidP="008D5A54">
      <w:pPr>
        <w:ind w:firstLine="1134"/>
        <w:rPr>
          <w:rFonts w:asciiTheme="minorHAnsi" w:hAnsiTheme="minorHAnsi" w:cstheme="minorHAnsi"/>
          <w:b/>
          <w:sz w:val="22"/>
          <w:szCs w:val="22"/>
          <w:u w:val="single"/>
        </w:rPr>
      </w:pPr>
      <w:r w:rsidRPr="00B90026">
        <w:rPr>
          <w:rFonts w:asciiTheme="minorHAnsi" w:hAnsiTheme="minorHAnsi" w:cstheme="minorHAnsi"/>
          <w:b/>
          <w:sz w:val="22"/>
          <w:szCs w:val="22"/>
          <w:u w:val="single"/>
        </w:rPr>
        <w:t>12.15.3. Pridėtinės vertės mokesčio tarifai</w:t>
      </w:r>
    </w:p>
    <w:p w:rsidR="008D5A54" w:rsidRPr="00B90026" w:rsidRDefault="008D5A54" w:rsidP="008D5A54">
      <w:pPr>
        <w:ind w:firstLine="1418"/>
        <w:rPr>
          <w:rFonts w:asciiTheme="minorHAnsi" w:hAnsiTheme="minorHAnsi" w:cstheme="minorHAnsi"/>
          <w:b/>
          <w:sz w:val="22"/>
          <w:szCs w:val="22"/>
          <w:u w:val="single"/>
        </w:rPr>
      </w:pPr>
      <w:r w:rsidRPr="00B90026">
        <w:rPr>
          <w:rFonts w:asciiTheme="minorHAnsi" w:hAnsiTheme="minorHAnsi" w:cstheme="minorHAnsi"/>
          <w:b/>
          <w:sz w:val="22"/>
          <w:szCs w:val="22"/>
          <w:u w:val="single"/>
        </w:rPr>
        <w:t>12.15.3.2. 0 procentų pridėtinės vertės mokesčio tarifo taikymas</w:t>
      </w:r>
    </w:p>
    <w:p w:rsidR="008D5A54" w:rsidRPr="00B90026" w:rsidRDefault="008D5A54" w:rsidP="008D5A54">
      <w:pPr>
        <w:jc w:val="both"/>
        <w:rPr>
          <w:rFonts w:asciiTheme="minorHAnsi" w:hAnsiTheme="minorHAnsi" w:cstheme="minorHAnsi"/>
          <w:i/>
          <w:sz w:val="22"/>
          <w:szCs w:val="22"/>
        </w:rPr>
      </w:pPr>
    </w:p>
    <w:p w:rsidR="001B27E9" w:rsidRPr="00B90026" w:rsidRDefault="001B27E9" w:rsidP="001B27E9">
      <w:pPr>
        <w:pStyle w:val="Antrat2"/>
      </w:pPr>
      <w:bookmarkStart w:id="25" w:name="_Toc505787247"/>
      <w:r w:rsidRPr="00B90026">
        <w:t>Dėl tiekimo Bendrijos viduje neapmokestinimo, kai tiekėjui yra žinoma, jog prekes įsigyjantis kitoje valstybėje narėje įsisteigęs apmokestinamasis asmuo jas, prieš prad</w:t>
      </w:r>
      <w:r>
        <w:t xml:space="preserve">ėdamas </w:t>
      </w:r>
      <w:r w:rsidRPr="00B90026">
        <w:t>prekes gabenti iš tiekimo valstybės narės, parduoda kitiems apmokestinamiesiems asmenims</w:t>
      </w:r>
      <w:bookmarkEnd w:id="25"/>
    </w:p>
    <w:p w:rsidR="001B27E9" w:rsidRPr="00B90026" w:rsidRDefault="001B27E9" w:rsidP="001B27E9">
      <w:pPr>
        <w:ind w:firstLine="567"/>
        <w:jc w:val="both"/>
        <w:rPr>
          <w:rFonts w:asciiTheme="minorHAnsi" w:hAnsiTheme="minorHAnsi" w:cstheme="minorHAnsi"/>
          <w:sz w:val="22"/>
          <w:szCs w:val="22"/>
        </w:rPr>
      </w:pPr>
    </w:p>
    <w:p w:rsidR="001B27E9" w:rsidRPr="00B90026" w:rsidRDefault="001B27E9" w:rsidP="001B27E9">
      <w:pPr>
        <w:ind w:firstLine="567"/>
        <w:jc w:val="both"/>
        <w:rPr>
          <w:rFonts w:asciiTheme="minorHAnsi" w:hAnsiTheme="minorHAnsi" w:cstheme="minorHAnsi"/>
          <w:sz w:val="22"/>
          <w:szCs w:val="22"/>
        </w:rPr>
      </w:pPr>
      <w:r w:rsidRPr="00B90026">
        <w:rPr>
          <w:rFonts w:asciiTheme="minorHAnsi" w:hAnsiTheme="minorHAnsi" w:cstheme="minorHAnsi"/>
          <w:sz w:val="22"/>
          <w:szCs w:val="22"/>
        </w:rPr>
        <w:t>Apžvelgiamoje byloje ginčas iš esmės kilo dėl vietos mokesčių administratoriaus sprendimo dėl patikrinimo akto tvirtinimo dalies, kuria pareiškėjui apskaičiuoti ir nurodyti sumokėti PVM ir P</w:t>
      </w:r>
      <w:r w:rsidR="00CC55E5">
        <w:rPr>
          <w:rFonts w:asciiTheme="minorHAnsi" w:hAnsiTheme="minorHAnsi" w:cstheme="minorHAnsi"/>
          <w:sz w:val="22"/>
          <w:szCs w:val="22"/>
        </w:rPr>
        <w:t>V</w:t>
      </w:r>
      <w:r w:rsidRPr="00B90026">
        <w:rPr>
          <w:rFonts w:asciiTheme="minorHAnsi" w:hAnsiTheme="minorHAnsi" w:cstheme="minorHAnsi"/>
          <w:sz w:val="22"/>
          <w:szCs w:val="22"/>
        </w:rPr>
        <w:t>M delspinigi</w:t>
      </w:r>
      <w:r>
        <w:rPr>
          <w:rFonts w:asciiTheme="minorHAnsi" w:hAnsiTheme="minorHAnsi" w:cstheme="minorHAnsi"/>
          <w:sz w:val="22"/>
          <w:szCs w:val="22"/>
        </w:rPr>
        <w:t>ai</w:t>
      </w:r>
      <w:r w:rsidRPr="00B90026">
        <w:rPr>
          <w:rFonts w:asciiTheme="minorHAnsi" w:hAnsiTheme="minorHAnsi" w:cstheme="minorHAnsi"/>
          <w:sz w:val="22"/>
          <w:szCs w:val="22"/>
        </w:rPr>
        <w:t xml:space="preserve"> bei skirta šio mokesčio bauda. Taigi buvo atsisakyta pripažinti pareiškėjo teisę į tiekimo Estijos bendrovei neapmokestinimą, nustačius, kad ši (Estijos) įmonė, įsigijusi prekes iš pareiškėjo</w:t>
      </w:r>
      <w:r>
        <w:rPr>
          <w:rFonts w:asciiTheme="minorHAnsi" w:hAnsiTheme="minorHAnsi" w:cstheme="minorHAnsi"/>
          <w:sz w:val="22"/>
          <w:szCs w:val="22"/>
        </w:rPr>
        <w:t>,</w:t>
      </w:r>
      <w:r w:rsidRPr="00B90026">
        <w:rPr>
          <w:rFonts w:asciiTheme="minorHAnsi" w:hAnsiTheme="minorHAnsi" w:cstheme="minorHAnsi"/>
          <w:sz w:val="22"/>
          <w:szCs w:val="22"/>
        </w:rPr>
        <w:t xml:space="preserve"> iš karto, šioms prekėms tebesant Lietuvoje ir nepradėjus jų gabenimo, pardavė kitiems apmokestinamiesiems asmenims, o pareiškėjui ši aplinkybė buvo žinoma.</w:t>
      </w:r>
    </w:p>
    <w:p w:rsidR="001B27E9" w:rsidRPr="00B90026" w:rsidRDefault="001B27E9" w:rsidP="001B27E9">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Nagrinėdamas šią bylą, LVAT kreipėsi į </w:t>
      </w:r>
      <w:r>
        <w:rPr>
          <w:rFonts w:asciiTheme="minorHAnsi" w:hAnsiTheme="minorHAnsi" w:cstheme="minorHAnsi"/>
          <w:sz w:val="22"/>
          <w:szCs w:val="22"/>
        </w:rPr>
        <w:t xml:space="preserve">ESTT </w:t>
      </w:r>
      <w:r w:rsidRPr="00B90026">
        <w:rPr>
          <w:rFonts w:asciiTheme="minorHAnsi" w:hAnsiTheme="minorHAnsi" w:cstheme="minorHAnsi"/>
          <w:sz w:val="22"/>
          <w:szCs w:val="22"/>
        </w:rPr>
        <w:t xml:space="preserve">su prašymu išaiškinti 2006 m. lapkričio 28 d. Tarybos direktyvos 2006/112/EB dėl pridėtinės vertės mokesčio bendros sistemos (toliau – PVM direktyva) 138 straipsnio 1 dalį, įtvirtinančią, kad „valstybės narės neapmokestina prekių tiekimo, kai tas prekes pardavėjas ar prekes įsigyjantis asmuo išsiunčia ar išgabena į paskirties vietą, esančią Bendrijoje, bet ne jos atitinkamoje teritorijoje, kitam apmokestinamajam asmeniui ar neapmokestinamajam juridiniam asmeniui, veikiančiam kaip toks, į kitą valstybę narę nei ta, kurioje pradėtas prekių siuntimas ar gabenimas, arba kai tai atliekama pardavėjo ar prekes įsigyjančio asmens vardu“. </w:t>
      </w:r>
    </w:p>
    <w:p w:rsidR="001B27E9" w:rsidRPr="00B90026" w:rsidRDefault="001B27E9" w:rsidP="001B27E9">
      <w:pPr>
        <w:ind w:firstLine="567"/>
        <w:jc w:val="both"/>
        <w:rPr>
          <w:rFonts w:asciiTheme="minorHAnsi" w:hAnsiTheme="minorHAnsi" w:cstheme="minorHAnsi"/>
          <w:sz w:val="22"/>
          <w:szCs w:val="22"/>
        </w:rPr>
      </w:pPr>
      <w:r>
        <w:rPr>
          <w:rFonts w:asciiTheme="minorHAnsi" w:hAnsiTheme="minorHAnsi" w:cstheme="minorHAnsi"/>
          <w:sz w:val="22"/>
          <w:szCs w:val="22"/>
        </w:rPr>
        <w:t xml:space="preserve">ESTT </w:t>
      </w:r>
      <w:r w:rsidRPr="00B90026">
        <w:rPr>
          <w:rFonts w:asciiTheme="minorHAnsi" w:hAnsiTheme="minorHAnsi" w:cstheme="minorHAnsi"/>
          <w:sz w:val="22"/>
          <w:szCs w:val="22"/>
        </w:rPr>
        <w:t xml:space="preserve">byloje </w:t>
      </w:r>
      <w:r w:rsidRPr="00B90026">
        <w:rPr>
          <w:rFonts w:asciiTheme="minorHAnsi" w:hAnsiTheme="minorHAnsi" w:cstheme="minorHAnsi"/>
          <w:i/>
          <w:sz w:val="22"/>
          <w:szCs w:val="22"/>
        </w:rPr>
        <w:t>Toridas</w:t>
      </w:r>
      <w:r w:rsidRPr="00B90026">
        <w:rPr>
          <w:rFonts w:asciiTheme="minorHAnsi" w:hAnsiTheme="minorHAnsi" w:cstheme="minorHAnsi"/>
          <w:sz w:val="22"/>
          <w:szCs w:val="22"/>
        </w:rPr>
        <w:t xml:space="preserve"> pripažino, kad PVM direktyvos 138 straipsnio 1 dalį reikia aiškinti taip, kad tokiomis aplinkybėmis, kaip nagrinėjamos pagrindinėje byloje, pagal šią nuostatą neturi būti neapmokestinamas PVM pirmoje valstybėje narėje įsisteigusio apmokestinamojo asmens vykdomas prekių tiekimas, kai prieš sudarydamas šį tiekimo sandorį</w:t>
      </w:r>
      <w:r w:rsidR="00F73A4E">
        <w:rPr>
          <w:rFonts w:asciiTheme="minorHAnsi" w:hAnsiTheme="minorHAnsi" w:cstheme="minorHAnsi"/>
          <w:sz w:val="22"/>
          <w:szCs w:val="22"/>
        </w:rPr>
        <w:t>,</w:t>
      </w:r>
      <w:r w:rsidRPr="00B90026">
        <w:rPr>
          <w:rFonts w:asciiTheme="minorHAnsi" w:hAnsiTheme="minorHAnsi" w:cstheme="minorHAnsi"/>
          <w:sz w:val="22"/>
          <w:szCs w:val="22"/>
        </w:rPr>
        <w:t xml:space="preserve"> pirkėjas, kaip PVM mokėtojas įsiregistravęs antroje valstybėje narėje, informuoja tiekėją, kad prekės bus iš karto parduotos trečioje valstybėje narėje įsisteigusiam apmokestinamajam asmeniui – dar prieš jas išgabenant iš pirmosios valstybės narės ir nugabenant šiam trečiam apmokestinamajam asmeniui, su sąlyga, kad šis antrasis tiekimas buvo įvykdytas, o prekės paskui buvo išgabentos iš pirmosios valstybės narės į trečio apmokestinamojo asmens valstybę narę. Pirmo prekes įsigijusio asmens įsiregistravimas kaip PVM mokėtojo valstybėje narėje, kuri nėra pirmojo tiekimo vieta ar galutinio įsigijimo vieta, nėra nei sandorio Bendrijos viduje kvalifikavimo kriterijus, nei savaime įrodymas, kurio pakanka sandorio, kaip įvykdyto Bendrijos viduje, pobūdžiui įrodyti.</w:t>
      </w:r>
    </w:p>
    <w:p w:rsidR="00F73A4E" w:rsidRDefault="001B27E9" w:rsidP="001B27E9">
      <w:pPr>
        <w:ind w:firstLine="567"/>
        <w:jc w:val="both"/>
        <w:rPr>
          <w:rFonts w:asciiTheme="minorHAnsi" w:hAnsiTheme="minorHAnsi" w:cstheme="minorHAnsi"/>
          <w:sz w:val="22"/>
          <w:szCs w:val="22"/>
        </w:rPr>
      </w:pPr>
      <w:r w:rsidRPr="00B90026">
        <w:rPr>
          <w:rFonts w:asciiTheme="minorHAnsi" w:hAnsiTheme="minorHAnsi" w:cstheme="minorHAnsi"/>
          <w:sz w:val="22"/>
          <w:szCs w:val="22"/>
        </w:rPr>
        <w:t>Šios kompetentingos Europos Sąjungos teisminės institucijos pateikto aiškinimo kontekste vertindama aptartas ginčo teisinių santykių kvalifikavimui reikšmingas faktines aplinkybes, LVAT teisėjų kolegija sutiko su mokesčių administratoriaus ir pirmosios instancijos tei</w:t>
      </w:r>
      <w:r w:rsidR="00F73A4E">
        <w:rPr>
          <w:rFonts w:asciiTheme="minorHAnsi" w:hAnsiTheme="minorHAnsi" w:cstheme="minorHAnsi"/>
          <w:sz w:val="22"/>
          <w:szCs w:val="22"/>
        </w:rPr>
        <w:t>s</w:t>
      </w:r>
      <w:r w:rsidRPr="00B90026">
        <w:rPr>
          <w:rFonts w:asciiTheme="minorHAnsi" w:hAnsiTheme="minorHAnsi" w:cstheme="minorHAnsi"/>
          <w:sz w:val="22"/>
          <w:szCs w:val="22"/>
        </w:rPr>
        <w:t>mo vertinimu, kad nagrinėtu atveju nebuvo tenkinamos minėtose PVM direktyvos nuostatose numatytos sąlygos neapmokestinti ginčo prekių tiekimo (taikyti 0 proc. PVM tarifą). Remiantis byloje surinktais įrodymais, buvo akivaizdu, jog tiek pareiškėjo (ginčo) tiekimai Estijos įmonei, tiek pastarosios tiekimai kitose valstybėse narėse įsisteigusiems apmokestinamiesiems asmenims įvyko Lietuvos teritorijoje, todėl pirmieji tiekimai negali būti pripažinti tiekimais Sąjungos viduje ir neapmokestinami PVM (apmokestinami 0 proc. PVM tarifu).</w:t>
      </w:r>
    </w:p>
    <w:p w:rsidR="001B27E9" w:rsidRPr="00B90026" w:rsidRDefault="001B27E9" w:rsidP="001B27E9">
      <w:pPr>
        <w:ind w:firstLine="567"/>
        <w:jc w:val="both"/>
        <w:rPr>
          <w:rFonts w:asciiTheme="minorHAnsi" w:hAnsiTheme="minorHAnsi" w:cstheme="minorHAnsi"/>
          <w:sz w:val="22"/>
          <w:szCs w:val="22"/>
        </w:rPr>
      </w:pPr>
      <w:r w:rsidRPr="00B90026">
        <w:rPr>
          <w:rFonts w:asciiTheme="minorHAnsi" w:hAnsiTheme="minorHAnsi" w:cstheme="minorHAnsi"/>
          <w:sz w:val="22"/>
          <w:szCs w:val="22"/>
        </w:rPr>
        <w:lastRenderedPageBreak/>
        <w:t>Pareiškėjo apeliacinis skundas atmestas.</w:t>
      </w:r>
    </w:p>
    <w:p w:rsidR="001B27E9" w:rsidRPr="00B90026" w:rsidRDefault="001B27E9" w:rsidP="001B27E9">
      <w:pPr>
        <w:jc w:val="both"/>
        <w:rPr>
          <w:rFonts w:asciiTheme="minorHAnsi" w:hAnsiTheme="minorHAnsi" w:cstheme="minorHAnsi"/>
          <w:sz w:val="22"/>
          <w:szCs w:val="22"/>
        </w:rPr>
      </w:pPr>
    </w:p>
    <w:p w:rsidR="001B27E9" w:rsidRPr="00B90026" w:rsidRDefault="001B27E9" w:rsidP="001B27E9">
      <w:pPr>
        <w:jc w:val="both"/>
        <w:rPr>
          <w:rFonts w:asciiTheme="minorHAnsi" w:hAnsiTheme="minorHAnsi" w:cstheme="minorHAnsi"/>
          <w:sz w:val="22"/>
          <w:szCs w:val="22"/>
        </w:rPr>
      </w:pPr>
      <w:r w:rsidRPr="00B90026">
        <w:rPr>
          <w:rFonts w:asciiTheme="minorHAnsi" w:hAnsiTheme="minorHAnsi" w:cstheme="minorHAnsi"/>
          <w:sz w:val="22"/>
          <w:szCs w:val="22"/>
        </w:rPr>
        <w:t>2017 m. lapkričio 15 d. nutartis administracinėje byloje Nr. eA-159-602/2017</w:t>
      </w:r>
    </w:p>
    <w:p w:rsidR="001B27E9" w:rsidRPr="00B90026" w:rsidRDefault="001B27E9" w:rsidP="001B27E9">
      <w:pPr>
        <w:jc w:val="both"/>
        <w:rPr>
          <w:rFonts w:asciiTheme="minorHAnsi" w:hAnsiTheme="minorHAnsi" w:cstheme="minorHAnsi"/>
          <w:sz w:val="22"/>
          <w:szCs w:val="22"/>
        </w:rPr>
      </w:pPr>
      <w:r w:rsidRPr="00B90026">
        <w:rPr>
          <w:rFonts w:asciiTheme="minorHAnsi" w:hAnsiTheme="minorHAnsi" w:cstheme="minorHAnsi"/>
          <w:sz w:val="22"/>
          <w:szCs w:val="22"/>
        </w:rPr>
        <w:t>Teisminio proceso Nr. 3-61-3-03312-2014-9</w:t>
      </w:r>
    </w:p>
    <w:p w:rsidR="001B27E9" w:rsidRPr="00B90026" w:rsidRDefault="001B27E9" w:rsidP="001B27E9">
      <w:pPr>
        <w:jc w:val="both"/>
        <w:rPr>
          <w:rFonts w:asciiTheme="minorHAnsi" w:hAnsiTheme="minorHAnsi" w:cstheme="minorHAnsi"/>
          <w:sz w:val="22"/>
          <w:szCs w:val="22"/>
        </w:rPr>
      </w:pPr>
      <w:r w:rsidRPr="00B90026">
        <w:rPr>
          <w:rFonts w:asciiTheme="minorHAnsi" w:hAnsiTheme="minorHAnsi" w:cstheme="minorHAnsi"/>
          <w:sz w:val="22"/>
          <w:szCs w:val="22"/>
        </w:rPr>
        <w:t>Procesinio sprendimo kategorija 12.15.3.2</w:t>
      </w:r>
    </w:p>
    <w:p w:rsidR="001B27E9" w:rsidRPr="00B90026" w:rsidRDefault="007E1236" w:rsidP="001B27E9">
      <w:pPr>
        <w:jc w:val="both"/>
        <w:rPr>
          <w:rFonts w:asciiTheme="minorHAnsi" w:hAnsiTheme="minorHAnsi" w:cstheme="minorHAnsi"/>
          <w:sz w:val="22"/>
          <w:szCs w:val="22"/>
        </w:rPr>
      </w:pPr>
      <w:hyperlink r:id="rId13" w:history="1">
        <w:r w:rsidR="001B27E9" w:rsidRPr="00B90026">
          <w:rPr>
            <w:rStyle w:val="Hipersaitas"/>
            <w:rFonts w:asciiTheme="minorHAnsi" w:hAnsiTheme="minorHAnsi" w:cstheme="minorHAnsi"/>
            <w:sz w:val="22"/>
            <w:szCs w:val="22"/>
          </w:rPr>
          <w:t>Prieiga internete</w:t>
        </w:r>
      </w:hyperlink>
    </w:p>
    <w:p w:rsidR="001B27E9" w:rsidRDefault="001B27E9" w:rsidP="00363C0B">
      <w:pPr>
        <w:pStyle w:val="Antrat2"/>
      </w:pPr>
    </w:p>
    <w:p w:rsidR="008D5A54" w:rsidRPr="00B90026" w:rsidRDefault="008D5A54" w:rsidP="00363C0B">
      <w:pPr>
        <w:pStyle w:val="Antrat2"/>
      </w:pPr>
      <w:bookmarkStart w:id="26" w:name="_Toc505787248"/>
      <w:r w:rsidRPr="00B90026">
        <w:t>Dėl tiekimo Bendrijos viduje neapmokestinimo esminių sąlygų</w:t>
      </w:r>
      <w:bookmarkEnd w:id="26"/>
      <w:r w:rsidRPr="00B90026">
        <w:t xml:space="preserve"> </w:t>
      </w:r>
    </w:p>
    <w:p w:rsidR="008D5A54" w:rsidRPr="00B90026" w:rsidRDefault="008D5A54" w:rsidP="00363C0B">
      <w:pPr>
        <w:pStyle w:val="Antrat2"/>
      </w:pPr>
      <w:bookmarkStart w:id="27" w:name="_Toc505787249"/>
      <w:r w:rsidRPr="00B90026">
        <w:t>Dėl teisės į tiekimo Bendrijos viduje neapmokestinimą paneigimo sąlygų, kai nustatoma, jog prekes įgiję asmenys sukčiavo PVM srityje</w:t>
      </w:r>
      <w:bookmarkEnd w:id="27"/>
    </w:p>
    <w:p w:rsidR="008D5A54" w:rsidRPr="00B90026" w:rsidRDefault="008D5A54" w:rsidP="008D5A54">
      <w:pPr>
        <w:ind w:firstLine="567"/>
        <w:jc w:val="both"/>
        <w:rPr>
          <w:rFonts w:asciiTheme="minorHAnsi" w:hAnsiTheme="minorHAnsi" w:cstheme="minorHAnsi"/>
          <w:sz w:val="22"/>
          <w:szCs w:val="22"/>
        </w:rPr>
      </w:pPr>
    </w:p>
    <w:p w:rsidR="008D5A54" w:rsidRPr="00B90026" w:rsidRDefault="008D5A54" w:rsidP="008D5A54">
      <w:pPr>
        <w:ind w:firstLine="567"/>
        <w:jc w:val="both"/>
        <w:rPr>
          <w:rFonts w:asciiTheme="minorHAnsi" w:hAnsiTheme="minorHAnsi" w:cstheme="minorHAnsi"/>
          <w:sz w:val="22"/>
          <w:szCs w:val="22"/>
        </w:rPr>
      </w:pPr>
      <w:r w:rsidRPr="00B90026">
        <w:rPr>
          <w:rFonts w:asciiTheme="minorHAnsi" w:hAnsiTheme="minorHAnsi" w:cstheme="minorHAnsi"/>
          <w:sz w:val="22"/>
          <w:szCs w:val="22"/>
        </w:rPr>
        <w:t>Apžvelgiamoje byloje nagrinėtas mokestinis ginčas iš esmės kilo dėl pareiškėjo 2010–2011 metais vykdytų prekių tiekimo kitose valstybėse narėse įsisteigusioms įmonėms (tiekimo Bendrijos viduje) apmokestinimo taikant</w:t>
      </w:r>
      <w:r w:rsidR="00A46518">
        <w:rPr>
          <w:rFonts w:asciiTheme="minorHAnsi" w:hAnsiTheme="minorHAnsi" w:cstheme="minorHAnsi"/>
          <w:sz w:val="22"/>
          <w:szCs w:val="22"/>
        </w:rPr>
        <w:t xml:space="preserve"> </w:t>
      </w:r>
      <w:r w:rsidRPr="00B90026">
        <w:rPr>
          <w:rFonts w:asciiTheme="minorHAnsi" w:hAnsiTheme="minorHAnsi" w:cstheme="minorHAnsi"/>
          <w:sz w:val="22"/>
          <w:szCs w:val="22"/>
        </w:rPr>
        <w:t>0 proc. pridėtinės vertės mokesčio (toliau – PVM) tarifą. Mokesčių administratorius atsisakė pripažinti pareiškėjo teisę į 0 proc. PVM tarifą iš esmės remdamasis savo vertinimu, kad prekės buvo patiektos ne PVM sąskaitose nurodytiems asmenims, be to, pareiškėjas galėjo žinoti, jog jo kontrahentai sukčiauja PVM srityje.</w:t>
      </w:r>
    </w:p>
    <w:p w:rsidR="008D5A54" w:rsidRPr="00B90026" w:rsidRDefault="008D5A54" w:rsidP="008D5A54">
      <w:pPr>
        <w:ind w:firstLine="567"/>
        <w:jc w:val="both"/>
        <w:rPr>
          <w:rFonts w:asciiTheme="minorHAnsi" w:hAnsiTheme="minorHAnsi" w:cstheme="minorHAnsi"/>
          <w:sz w:val="22"/>
          <w:szCs w:val="22"/>
        </w:rPr>
      </w:pPr>
      <w:r w:rsidRPr="00B90026">
        <w:rPr>
          <w:rFonts w:asciiTheme="minorHAnsi" w:hAnsiTheme="minorHAnsi" w:cstheme="minorHAnsi"/>
          <w:sz w:val="22"/>
          <w:szCs w:val="22"/>
        </w:rPr>
        <w:t>Šiuos santykius pirmiausia reglamentuoja Pridėtinės vertės mokesčio įstatymas (toliau – PVM įstatymas), kuriuo į nacionalinę teisę, be kita ko, yra perkeliama 2006 m. lapkričio 28 d. Tarybos direktyva 2006/112/EB dėl pridėtinės vertės mokesčio bendros sistemos, su paskutiniais pakeitimais, atliktais Direktyva 2010/45/ES (toliau – PVM direktyva). Byloje kilo klausimas dėl ginčo santykių kvalifikavimo pagal PVM įstatymo 49 straipsnio 1 dalį (2004 m. sausio 15 d.</w:t>
      </w:r>
      <w:r w:rsidR="00A46518">
        <w:rPr>
          <w:rFonts w:asciiTheme="minorHAnsi" w:hAnsiTheme="minorHAnsi" w:cstheme="minorHAnsi"/>
          <w:sz w:val="22"/>
          <w:szCs w:val="22"/>
        </w:rPr>
        <w:t xml:space="preserve"> </w:t>
      </w:r>
      <w:r w:rsidRPr="00B90026">
        <w:rPr>
          <w:rFonts w:asciiTheme="minorHAnsi" w:hAnsiTheme="minorHAnsi" w:cstheme="minorHAnsi"/>
          <w:sz w:val="22"/>
          <w:szCs w:val="22"/>
        </w:rPr>
        <w:t>įstatymo Nr. IX-1960 redakcija), įtvirtinančią, kad „taikant 0 procentų PVM tarifą apmokestinamos prekės, tiekiamos kitoje valstybėje narėje įregistruotam PVM mokėtojui ir išgabenamos iš šalies teritorijos į kitą valstybę narę (neatsižvelgiant į tai, kas (prekių tiekėjas, pirkėjas ar bet kurio iš jų užsakymu trečioji šalis) prekes gabena)“. Šia nuostata į nacionalinę teisę iš esmės pažodžiui perkeliama PVM direktyvos 138 straipsnio 1 dalis, kuri veikia tiesiogiai (</w:t>
      </w:r>
      <w:r w:rsidR="0057108C">
        <w:rPr>
          <w:rFonts w:asciiTheme="minorHAnsi" w:hAnsiTheme="minorHAnsi" w:cstheme="minorHAnsi"/>
          <w:sz w:val="22"/>
          <w:szCs w:val="22"/>
        </w:rPr>
        <w:t xml:space="preserve">ESTT </w:t>
      </w:r>
      <w:r w:rsidRPr="00B90026">
        <w:rPr>
          <w:rFonts w:asciiTheme="minorHAnsi" w:hAnsiTheme="minorHAnsi" w:cstheme="minorHAnsi"/>
          <w:sz w:val="22"/>
          <w:szCs w:val="22"/>
        </w:rPr>
        <w:t xml:space="preserve">2014 m. spalio 9 d. sprendimo byloje </w:t>
      </w:r>
      <w:r w:rsidRPr="00B90026">
        <w:rPr>
          <w:rFonts w:asciiTheme="minorHAnsi" w:hAnsiTheme="minorHAnsi" w:cstheme="minorHAnsi"/>
          <w:i/>
          <w:sz w:val="22"/>
          <w:szCs w:val="22"/>
        </w:rPr>
        <w:t>Traum</w:t>
      </w:r>
      <w:r w:rsidRPr="00B90026">
        <w:rPr>
          <w:rFonts w:asciiTheme="minorHAnsi" w:hAnsiTheme="minorHAnsi" w:cstheme="minorHAnsi"/>
          <w:sz w:val="22"/>
          <w:szCs w:val="22"/>
        </w:rPr>
        <w:t>, C-492/13, 48 p.).</w:t>
      </w:r>
    </w:p>
    <w:p w:rsidR="008D5A54" w:rsidRPr="00B90026" w:rsidRDefault="008D5A54" w:rsidP="008D5A54">
      <w:pPr>
        <w:ind w:firstLine="567"/>
        <w:jc w:val="both"/>
        <w:rPr>
          <w:rFonts w:asciiTheme="minorHAnsi" w:hAnsiTheme="minorHAnsi" w:cstheme="minorHAnsi"/>
          <w:sz w:val="22"/>
          <w:szCs w:val="22"/>
        </w:rPr>
      </w:pPr>
      <w:r w:rsidRPr="00B90026">
        <w:rPr>
          <w:rFonts w:asciiTheme="minorHAnsi" w:hAnsiTheme="minorHAnsi" w:cstheme="minorHAnsi"/>
          <w:sz w:val="22"/>
          <w:szCs w:val="22"/>
        </w:rPr>
        <w:t>Remdamasi nuoseklia Teisingumo Teismo bei LVAT praktika</w:t>
      </w:r>
      <w:r w:rsidRPr="00B90026">
        <w:rPr>
          <w:rStyle w:val="Puslapioinaosnuoroda"/>
          <w:rFonts w:asciiTheme="minorHAnsi" w:hAnsiTheme="minorHAnsi" w:cstheme="minorHAnsi"/>
          <w:sz w:val="22"/>
          <w:szCs w:val="22"/>
        </w:rPr>
        <w:footnoteReference w:id="1"/>
      </w:r>
      <w:r w:rsidRPr="00B90026">
        <w:rPr>
          <w:rFonts w:asciiTheme="minorHAnsi" w:hAnsiTheme="minorHAnsi" w:cstheme="minorHAnsi"/>
          <w:sz w:val="22"/>
          <w:szCs w:val="22"/>
        </w:rPr>
        <w:t xml:space="preserve">, </w:t>
      </w:r>
      <w:r w:rsidR="005522F1"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 xml:space="preserve">išplėstinė teisėjų kolegija pirmiausia priminė, kad pagal PVM direktyvos 138 straipsnio 1 dalį prekių tiekimas Bendrijos viduje turi atitikti tris esmines sąlygas (reikalavimus), kad šis </w:t>
      </w:r>
      <w:r w:rsidRPr="00B90026">
        <w:rPr>
          <w:rFonts w:asciiTheme="minorHAnsi" w:hAnsiTheme="minorHAnsi" w:cstheme="minorHAnsi"/>
          <w:sz w:val="22"/>
          <w:szCs w:val="22"/>
          <w:u w:val="single"/>
        </w:rPr>
        <w:t>tiekimas nebūtų apmokestinamas PVM (apmokestinamas taikant 0 proc. PVM tarifą): (1) teisės disponuoti preke kaip savininkui perdavimas įgijėjui; (2) prekės, kurios yra tiekimo dalykas, turi būti fiziškai išgabentos iš tiekėjo valstybės narės; (3) PVM mokėtojas tiekia prekes kitam apmokestinamajam asmeniui ar neapmokestinamajam juridiniam asmeniui, veikiančiam kaip toks</w:t>
      </w:r>
      <w:r w:rsidR="00A46518">
        <w:rPr>
          <w:rFonts w:asciiTheme="minorHAnsi" w:hAnsiTheme="minorHAnsi" w:cstheme="minorHAnsi"/>
          <w:sz w:val="22"/>
          <w:szCs w:val="22"/>
          <w:u w:val="single"/>
        </w:rPr>
        <w:t xml:space="preserve"> </w:t>
      </w:r>
      <w:r w:rsidRPr="00B90026">
        <w:rPr>
          <w:rFonts w:asciiTheme="minorHAnsi" w:hAnsiTheme="minorHAnsi" w:cstheme="minorHAnsi"/>
          <w:sz w:val="22"/>
          <w:szCs w:val="22"/>
          <w:u w:val="single"/>
        </w:rPr>
        <w:t>(t. y. PVM mokėtojui), kitos valstybės narės teritorijoje</w:t>
      </w:r>
      <w:r w:rsidRPr="00B90026">
        <w:rPr>
          <w:rFonts w:asciiTheme="minorHAnsi" w:hAnsiTheme="minorHAnsi" w:cstheme="minorHAnsi"/>
          <w:sz w:val="22"/>
          <w:szCs w:val="22"/>
        </w:rPr>
        <w:t xml:space="preserve">. </w:t>
      </w:r>
      <w:r w:rsidR="0094516F" w:rsidRPr="00B90026">
        <w:rPr>
          <w:rFonts w:asciiTheme="minorHAnsi" w:hAnsiTheme="minorHAnsi" w:cstheme="minorHAnsi"/>
          <w:sz w:val="22"/>
          <w:szCs w:val="22"/>
        </w:rPr>
        <w:t>T</w:t>
      </w:r>
      <w:r w:rsidRPr="00B90026">
        <w:rPr>
          <w:rFonts w:asciiTheme="minorHAnsi" w:hAnsiTheme="minorHAnsi" w:cstheme="minorHAnsi"/>
          <w:sz w:val="22"/>
          <w:szCs w:val="22"/>
        </w:rPr>
        <w:t>aip pat pažymė</w:t>
      </w:r>
      <w:r w:rsidR="0094516F" w:rsidRPr="00B90026">
        <w:rPr>
          <w:rFonts w:asciiTheme="minorHAnsi" w:hAnsiTheme="minorHAnsi" w:cstheme="minorHAnsi"/>
          <w:sz w:val="22"/>
          <w:szCs w:val="22"/>
        </w:rPr>
        <w:t>ta</w:t>
      </w:r>
      <w:r w:rsidRPr="00B90026">
        <w:rPr>
          <w:rFonts w:asciiTheme="minorHAnsi" w:hAnsiTheme="minorHAnsi" w:cstheme="minorHAnsi"/>
          <w:sz w:val="22"/>
          <w:szCs w:val="22"/>
        </w:rPr>
        <w:t xml:space="preserve">, </w:t>
      </w:r>
      <w:r w:rsidR="0094516F" w:rsidRPr="00B90026">
        <w:rPr>
          <w:rFonts w:asciiTheme="minorHAnsi" w:hAnsiTheme="minorHAnsi" w:cstheme="minorHAnsi"/>
          <w:sz w:val="22"/>
          <w:szCs w:val="22"/>
        </w:rPr>
        <w:t xml:space="preserve">jog </w:t>
      </w:r>
      <w:r w:rsidRPr="00B90026">
        <w:rPr>
          <w:rFonts w:asciiTheme="minorHAnsi" w:hAnsiTheme="minorHAnsi" w:cstheme="minorHAnsi"/>
          <w:sz w:val="22"/>
          <w:szCs w:val="22"/>
          <w:u w:val="single"/>
        </w:rPr>
        <w:t>mokesčių neutralumo principas reikalauja, kad nuo PVM būtų atleidžiama, jeigu tenkinami esminiai reikalavimai, net jei apmokestinamieji asmenys nesilaikė tam tikrų formalių reikalavimų</w:t>
      </w:r>
      <w:r w:rsidRPr="00B90026">
        <w:rPr>
          <w:rFonts w:asciiTheme="minorHAnsi" w:hAnsiTheme="minorHAnsi" w:cstheme="minorHAnsi"/>
          <w:sz w:val="22"/>
          <w:szCs w:val="22"/>
        </w:rPr>
        <w:t xml:space="preserve"> (</w:t>
      </w:r>
      <w:r w:rsidR="0057108C">
        <w:rPr>
          <w:rFonts w:asciiTheme="minorHAnsi" w:hAnsiTheme="minorHAnsi" w:cstheme="minorHAnsi"/>
          <w:sz w:val="22"/>
          <w:szCs w:val="22"/>
        </w:rPr>
        <w:t>ESTT</w:t>
      </w:r>
      <w:r w:rsidRPr="00B90026">
        <w:rPr>
          <w:rFonts w:asciiTheme="minorHAnsi" w:hAnsiTheme="minorHAnsi" w:cstheme="minorHAnsi"/>
          <w:sz w:val="22"/>
          <w:szCs w:val="22"/>
        </w:rPr>
        <w:t xml:space="preserve"> 2016 m. spalio 20 d. sprendimo byloje </w:t>
      </w:r>
      <w:r w:rsidRPr="00B90026">
        <w:rPr>
          <w:rFonts w:asciiTheme="minorHAnsi" w:hAnsiTheme="minorHAnsi" w:cstheme="minorHAnsi"/>
          <w:i/>
          <w:sz w:val="22"/>
          <w:szCs w:val="22"/>
        </w:rPr>
        <w:t>Plöckl</w:t>
      </w:r>
      <w:r w:rsidRPr="00B90026">
        <w:rPr>
          <w:rFonts w:asciiTheme="minorHAnsi" w:hAnsiTheme="minorHAnsi" w:cstheme="minorHAnsi"/>
          <w:sz w:val="22"/>
          <w:szCs w:val="22"/>
        </w:rPr>
        <w:t>, C</w:t>
      </w:r>
      <w:r w:rsidRPr="00B90026">
        <w:rPr>
          <w:rFonts w:asciiTheme="minorHAnsi" w:hAnsiTheme="minorHAnsi" w:cstheme="minorHAnsi"/>
          <w:sz w:val="22"/>
          <w:szCs w:val="22"/>
        </w:rPr>
        <w:noBreakHyphen/>
        <w:t>24/15, 38 ir 39</w:t>
      </w:r>
      <w:r w:rsidR="00F616A8">
        <w:rPr>
          <w:rFonts w:asciiTheme="minorHAnsi" w:hAnsiTheme="minorHAnsi" w:cstheme="minorHAnsi"/>
          <w:sz w:val="22"/>
          <w:szCs w:val="22"/>
        </w:rPr>
        <w:t> </w:t>
      </w:r>
      <w:r w:rsidRPr="00B90026">
        <w:rPr>
          <w:rFonts w:asciiTheme="minorHAnsi" w:hAnsiTheme="minorHAnsi" w:cstheme="minorHAnsi"/>
          <w:sz w:val="22"/>
          <w:szCs w:val="22"/>
        </w:rPr>
        <w:t xml:space="preserve">p.). </w:t>
      </w:r>
    </w:p>
    <w:p w:rsidR="008D5A54" w:rsidRPr="00B90026" w:rsidRDefault="008D5A54" w:rsidP="008D5A54">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Vertindamas, ar esminės sąlygos (reikalavimai), numatyti PVM direktyvos 138 straipsnio 1 dalyje (PVM įstatymo 49 str. 1 d.) yra įvykdyti, </w:t>
      </w:r>
      <w:r w:rsidR="0094516F"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pirmiausia priminė, kad</w:t>
      </w:r>
      <w:r w:rsidR="0094516F" w:rsidRPr="00B90026">
        <w:rPr>
          <w:rFonts w:asciiTheme="minorHAnsi" w:hAnsiTheme="minorHAnsi" w:cstheme="minorHAnsi"/>
          <w:sz w:val="22"/>
          <w:szCs w:val="22"/>
        </w:rPr>
        <w:t xml:space="preserve"> </w:t>
      </w:r>
      <w:r w:rsidRPr="00B90026">
        <w:rPr>
          <w:rFonts w:asciiTheme="minorHAnsi" w:hAnsiTheme="minorHAnsi" w:cstheme="minorHAnsi"/>
          <w:sz w:val="22"/>
          <w:szCs w:val="22"/>
        </w:rPr>
        <w:t>kalbėdamas apie teisės, kaip savininkui disponuoti turtu, perdavimą pirkėjui, Teisingumo Teismas yra pažymėjęs, kad tai yra būtina kiekvieno (bet kokio) prekių tiekimo, kaip jis apibrėžtas Direktyvos 2006/112 14 straipsnio 1 dalyje („prekių tiekimas“ – teisės kaip savininkui disponuoti materialiuoju turtu perdavimas“), sąlyga ir remiantis pačiu šiuo perdavimu savaime negalima pripažinti, kad atitinkamas sandoris vykdomas Bendrijos viduje (</w:t>
      </w:r>
      <w:r w:rsidR="0057108C">
        <w:rPr>
          <w:rFonts w:asciiTheme="minorHAnsi" w:hAnsiTheme="minorHAnsi" w:cstheme="minorHAnsi"/>
          <w:sz w:val="22"/>
          <w:szCs w:val="22"/>
        </w:rPr>
        <w:t xml:space="preserve">ESTT </w:t>
      </w:r>
      <w:r w:rsidRPr="00B90026">
        <w:rPr>
          <w:rFonts w:asciiTheme="minorHAnsi" w:hAnsiTheme="minorHAnsi" w:cstheme="minorHAnsi"/>
          <w:sz w:val="22"/>
          <w:szCs w:val="22"/>
        </w:rPr>
        <w:t>2012</w:t>
      </w:r>
      <w:r w:rsidR="0094516F" w:rsidRPr="00B90026">
        <w:rPr>
          <w:rFonts w:asciiTheme="minorHAnsi" w:hAnsiTheme="minorHAnsi" w:cstheme="minorHAnsi"/>
          <w:sz w:val="22"/>
          <w:szCs w:val="22"/>
        </w:rPr>
        <w:t> </w:t>
      </w:r>
      <w:r w:rsidRPr="00B90026">
        <w:rPr>
          <w:rFonts w:asciiTheme="minorHAnsi" w:hAnsiTheme="minorHAnsi" w:cstheme="minorHAnsi"/>
          <w:sz w:val="22"/>
          <w:szCs w:val="22"/>
        </w:rPr>
        <w:t>m.</w:t>
      </w:r>
      <w:r w:rsidR="0094516F" w:rsidRPr="00B90026">
        <w:rPr>
          <w:rFonts w:asciiTheme="minorHAnsi" w:hAnsiTheme="minorHAnsi" w:cstheme="minorHAnsi"/>
          <w:sz w:val="22"/>
          <w:szCs w:val="22"/>
        </w:rPr>
        <w:t> </w:t>
      </w:r>
      <w:r w:rsidRPr="00B90026">
        <w:rPr>
          <w:rFonts w:asciiTheme="minorHAnsi" w:hAnsiTheme="minorHAnsi" w:cstheme="minorHAnsi"/>
          <w:sz w:val="22"/>
          <w:szCs w:val="22"/>
        </w:rPr>
        <w:t>rugsėjo</w:t>
      </w:r>
      <w:r w:rsidR="0094516F" w:rsidRPr="00B90026">
        <w:rPr>
          <w:rFonts w:asciiTheme="minorHAnsi" w:hAnsiTheme="minorHAnsi" w:cstheme="minorHAnsi"/>
          <w:sz w:val="22"/>
          <w:szCs w:val="22"/>
        </w:rPr>
        <w:t> </w:t>
      </w:r>
      <w:r w:rsidRPr="00B90026">
        <w:rPr>
          <w:rFonts w:asciiTheme="minorHAnsi" w:hAnsiTheme="minorHAnsi" w:cstheme="minorHAnsi"/>
          <w:sz w:val="22"/>
          <w:szCs w:val="22"/>
        </w:rPr>
        <w:t>6</w:t>
      </w:r>
      <w:r w:rsidR="0094516F" w:rsidRPr="00B90026">
        <w:rPr>
          <w:rFonts w:asciiTheme="minorHAnsi" w:hAnsiTheme="minorHAnsi" w:cstheme="minorHAnsi"/>
          <w:sz w:val="22"/>
          <w:szCs w:val="22"/>
        </w:rPr>
        <w:t> </w:t>
      </w:r>
      <w:r w:rsidRPr="00B90026">
        <w:rPr>
          <w:rFonts w:asciiTheme="minorHAnsi" w:hAnsiTheme="minorHAnsi" w:cstheme="minorHAnsi"/>
          <w:sz w:val="22"/>
          <w:szCs w:val="22"/>
        </w:rPr>
        <w:t xml:space="preserve">d. sprendimo byloje </w:t>
      </w:r>
      <w:r w:rsidRPr="00B90026">
        <w:rPr>
          <w:rFonts w:asciiTheme="minorHAnsi" w:hAnsiTheme="minorHAnsi" w:cstheme="minorHAnsi"/>
          <w:i/>
          <w:sz w:val="22"/>
          <w:szCs w:val="22"/>
        </w:rPr>
        <w:t>Mecsek-Gabona</w:t>
      </w:r>
      <w:r w:rsidRPr="00B90026">
        <w:rPr>
          <w:rFonts w:asciiTheme="minorHAnsi" w:hAnsiTheme="minorHAnsi" w:cstheme="minorHAnsi"/>
          <w:sz w:val="22"/>
          <w:szCs w:val="22"/>
        </w:rPr>
        <w:t xml:space="preserve">, C 273/11. 32 p.). Apžvelgiamu atveju tiek vietos mokesčių administratorius, tiek mokestinį ginčą nagrinėjusios institucijos iš esmės vertino, jog teisės disponuoti ginčo prekėmis kaip savo nebuvo perduotos įgijėjams. Tačiau, kaip akcentavo </w:t>
      </w:r>
      <w:r w:rsidR="0094516F"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išplėstinė teisėjų kolegija, atsižvelgiant į prieš tai pateiktą vertinimą, tokia pozicija iš esmės lemtų, jog ginčo prekių tiekimas, t.</w:t>
      </w:r>
      <w:r w:rsidR="0094516F" w:rsidRPr="00B90026">
        <w:rPr>
          <w:rFonts w:asciiTheme="minorHAnsi" w:hAnsiTheme="minorHAnsi" w:cstheme="minorHAnsi"/>
          <w:sz w:val="22"/>
          <w:szCs w:val="22"/>
        </w:rPr>
        <w:t> </w:t>
      </w:r>
      <w:r w:rsidRPr="00B90026">
        <w:rPr>
          <w:rFonts w:asciiTheme="minorHAnsi" w:hAnsiTheme="minorHAnsi" w:cstheme="minorHAnsi"/>
          <w:sz w:val="22"/>
          <w:szCs w:val="22"/>
        </w:rPr>
        <w:t xml:space="preserve">y. apmokestinamasis sandoris iš viso neįvyko ir </w:t>
      </w:r>
      <w:r w:rsidR="0057108C">
        <w:rPr>
          <w:rFonts w:asciiTheme="minorHAnsi" w:hAnsiTheme="minorHAnsi" w:cstheme="minorHAnsi"/>
          <w:sz w:val="22"/>
          <w:szCs w:val="22"/>
        </w:rPr>
        <w:t xml:space="preserve">todėl </w:t>
      </w:r>
      <w:r w:rsidRPr="00B90026">
        <w:rPr>
          <w:rFonts w:asciiTheme="minorHAnsi" w:hAnsiTheme="minorHAnsi" w:cstheme="minorHAnsi"/>
          <w:sz w:val="22"/>
          <w:szCs w:val="22"/>
        </w:rPr>
        <w:t>apskritai neatsirado pareiškėjo pareiga skaičiuoti ir mokėti PVM. Kita vertus, mokesčių administratorius neneig</w:t>
      </w:r>
      <w:r w:rsidR="00F616A8">
        <w:rPr>
          <w:rFonts w:asciiTheme="minorHAnsi" w:hAnsiTheme="minorHAnsi" w:cstheme="minorHAnsi"/>
          <w:sz w:val="22"/>
          <w:szCs w:val="22"/>
        </w:rPr>
        <w:t>ė</w:t>
      </w:r>
      <w:r w:rsidRPr="00B90026">
        <w:rPr>
          <w:rFonts w:asciiTheme="minorHAnsi" w:hAnsiTheme="minorHAnsi" w:cstheme="minorHAnsi"/>
          <w:sz w:val="22"/>
          <w:szCs w:val="22"/>
        </w:rPr>
        <w:t xml:space="preserve"> pačio ginčo priekių tiekimo, t. y. ir prekės disponuoti kaip savininkui perdavimo, šį tiekimą apmokestindamas standartiniu PVM tarifu. Vietos mokesčių administratorius ir mokestinį ginčą </w:t>
      </w:r>
      <w:r w:rsidRPr="00B90026">
        <w:rPr>
          <w:rFonts w:asciiTheme="minorHAnsi" w:hAnsiTheme="minorHAnsi" w:cstheme="minorHAnsi"/>
          <w:sz w:val="22"/>
          <w:szCs w:val="22"/>
        </w:rPr>
        <w:lastRenderedPageBreak/>
        <w:t>nagrinėjusios institucijos iš esmės vertino, kad aptariama esminė atleidimo nuo PVM (apmokestinimo taikant 0 proc. tarifą) sąlyga nebuvo tenkinta, nes, nors prekių tiekimas realiai įvyko, tačiau jis įvyko ne tarp tų asmenų, kurie nurodyti PVM sąskaitose faktūrose (pareiškėjas neįrodė, kad prekės buvo tiekiamos PVM sąskaitose faktūrose nurodytiems asmenims). Šiuo aspektu LVAT pažymėjo, kad, kaip matyti iš</w:t>
      </w:r>
      <w:r w:rsidR="00A46518">
        <w:rPr>
          <w:rFonts w:asciiTheme="minorHAnsi" w:hAnsiTheme="minorHAnsi" w:cstheme="minorHAnsi"/>
          <w:sz w:val="22"/>
          <w:szCs w:val="22"/>
        </w:rPr>
        <w:t xml:space="preserve"> </w:t>
      </w:r>
      <w:r w:rsidR="00FC0FE2">
        <w:rPr>
          <w:rFonts w:asciiTheme="minorHAnsi" w:hAnsiTheme="minorHAnsi" w:cstheme="minorHAnsi"/>
          <w:sz w:val="22"/>
          <w:szCs w:val="22"/>
        </w:rPr>
        <w:t xml:space="preserve">ESTT </w:t>
      </w:r>
      <w:r w:rsidRPr="00B90026">
        <w:rPr>
          <w:rFonts w:asciiTheme="minorHAnsi" w:hAnsiTheme="minorHAnsi" w:cstheme="minorHAnsi"/>
          <w:sz w:val="22"/>
          <w:szCs w:val="22"/>
        </w:rPr>
        <w:t>2010</w:t>
      </w:r>
      <w:r w:rsidR="00FC0FE2">
        <w:rPr>
          <w:rFonts w:asciiTheme="minorHAnsi" w:hAnsiTheme="minorHAnsi" w:cstheme="minorHAnsi"/>
          <w:sz w:val="22"/>
          <w:szCs w:val="22"/>
        </w:rPr>
        <w:t> </w:t>
      </w:r>
      <w:r w:rsidRPr="00B90026">
        <w:rPr>
          <w:rFonts w:asciiTheme="minorHAnsi" w:hAnsiTheme="minorHAnsi" w:cstheme="minorHAnsi"/>
          <w:sz w:val="22"/>
          <w:szCs w:val="22"/>
        </w:rPr>
        <w:t>m.</w:t>
      </w:r>
      <w:r w:rsidR="00FC0FE2">
        <w:rPr>
          <w:rFonts w:asciiTheme="minorHAnsi" w:hAnsiTheme="minorHAnsi" w:cstheme="minorHAnsi"/>
          <w:sz w:val="22"/>
          <w:szCs w:val="22"/>
        </w:rPr>
        <w:t> </w:t>
      </w:r>
      <w:r w:rsidRPr="00B90026">
        <w:rPr>
          <w:rFonts w:asciiTheme="minorHAnsi" w:hAnsiTheme="minorHAnsi" w:cstheme="minorHAnsi"/>
          <w:sz w:val="22"/>
          <w:szCs w:val="22"/>
        </w:rPr>
        <w:t>gruodžio</w:t>
      </w:r>
      <w:r w:rsidR="00FC0FE2">
        <w:rPr>
          <w:rFonts w:asciiTheme="minorHAnsi" w:hAnsiTheme="minorHAnsi" w:cstheme="minorHAnsi"/>
          <w:sz w:val="22"/>
          <w:szCs w:val="22"/>
        </w:rPr>
        <w:t> </w:t>
      </w:r>
      <w:r w:rsidRPr="00B90026">
        <w:rPr>
          <w:rFonts w:asciiTheme="minorHAnsi" w:hAnsiTheme="minorHAnsi" w:cstheme="minorHAnsi"/>
          <w:sz w:val="22"/>
          <w:szCs w:val="22"/>
        </w:rPr>
        <w:t>7</w:t>
      </w:r>
      <w:r w:rsidR="00FC0FE2">
        <w:rPr>
          <w:rFonts w:asciiTheme="minorHAnsi" w:hAnsiTheme="minorHAnsi" w:cstheme="minorHAnsi"/>
          <w:sz w:val="22"/>
          <w:szCs w:val="22"/>
        </w:rPr>
        <w:t> </w:t>
      </w:r>
      <w:r w:rsidRPr="00B90026">
        <w:rPr>
          <w:rFonts w:asciiTheme="minorHAnsi" w:hAnsiTheme="minorHAnsi" w:cstheme="minorHAnsi"/>
          <w:sz w:val="22"/>
          <w:szCs w:val="22"/>
        </w:rPr>
        <w:t xml:space="preserve">d. sprendimo byloje </w:t>
      </w:r>
      <w:r w:rsidRPr="00B90026">
        <w:rPr>
          <w:rFonts w:asciiTheme="minorHAnsi" w:hAnsiTheme="minorHAnsi" w:cstheme="minorHAnsi"/>
          <w:i/>
          <w:sz w:val="22"/>
          <w:szCs w:val="22"/>
        </w:rPr>
        <w:t>R</w:t>
      </w:r>
      <w:r w:rsidRPr="00B90026">
        <w:rPr>
          <w:rFonts w:asciiTheme="minorHAnsi" w:hAnsiTheme="minorHAnsi" w:cstheme="minorHAnsi"/>
          <w:sz w:val="22"/>
          <w:szCs w:val="22"/>
        </w:rPr>
        <w:t xml:space="preserve"> (C-285/09) 50 ir 55 punktų, </w:t>
      </w:r>
      <w:r w:rsidRPr="00B90026">
        <w:rPr>
          <w:rFonts w:asciiTheme="minorHAnsi" w:hAnsiTheme="minorHAnsi" w:cstheme="minorHAnsi"/>
          <w:sz w:val="22"/>
          <w:szCs w:val="22"/>
          <w:u w:val="single"/>
        </w:rPr>
        <w:t>reikalavimas PVM sąskaitoje faktūroje nurodyti tikrąjį prekių įgijėją nėra viena iš esminių sąlygų (reikalavimų) tiekimą pripažinti tiekimu Bendrijos viduje. Todėl aplinkybė, jog disponavimo teisė ginčo atveju gal</w:t>
      </w:r>
      <w:r w:rsidR="0094516F" w:rsidRPr="00B90026">
        <w:rPr>
          <w:rFonts w:asciiTheme="minorHAnsi" w:hAnsiTheme="minorHAnsi" w:cstheme="minorHAnsi"/>
          <w:sz w:val="22"/>
          <w:szCs w:val="22"/>
          <w:u w:val="single"/>
        </w:rPr>
        <w:t xml:space="preserve">būt </w:t>
      </w:r>
      <w:r w:rsidRPr="00B90026">
        <w:rPr>
          <w:rFonts w:asciiTheme="minorHAnsi" w:hAnsiTheme="minorHAnsi" w:cstheme="minorHAnsi"/>
          <w:sz w:val="22"/>
          <w:szCs w:val="22"/>
          <w:u w:val="single"/>
        </w:rPr>
        <w:t>buvo perduota ne PVM sąskaitoje faktūroje nurodytam, o kitam (nenustatytam) įgijėjui, nėra reikšminga sprendžiant dėl aptariamos sąlygos (ne)buvimo</w:t>
      </w:r>
      <w:r w:rsidRPr="00B90026">
        <w:rPr>
          <w:rFonts w:asciiTheme="minorHAnsi" w:hAnsiTheme="minorHAnsi" w:cstheme="minorHAnsi"/>
          <w:sz w:val="22"/>
          <w:szCs w:val="22"/>
        </w:rPr>
        <w:t xml:space="preserve">. </w:t>
      </w:r>
      <w:r w:rsidR="0094516F" w:rsidRPr="00B90026">
        <w:rPr>
          <w:rFonts w:asciiTheme="minorHAnsi" w:hAnsiTheme="minorHAnsi" w:cstheme="minorHAnsi"/>
          <w:sz w:val="22"/>
          <w:szCs w:val="22"/>
        </w:rPr>
        <w:t xml:space="preserve">Dėl to </w:t>
      </w:r>
      <w:r w:rsidRPr="00B90026">
        <w:rPr>
          <w:rFonts w:asciiTheme="minorHAnsi" w:hAnsiTheme="minorHAnsi" w:cstheme="minorHAnsi"/>
          <w:sz w:val="22"/>
          <w:szCs w:val="22"/>
        </w:rPr>
        <w:t>konstatuota, kad tiek vietos mokesčių administratorius, tiek mokestinį ginčą nagrinėjusios institucijos padarė akivaizdžią teisės taikymo klaidą</w:t>
      </w:r>
      <w:r w:rsidR="0094516F" w:rsidRPr="00B90026">
        <w:rPr>
          <w:rFonts w:asciiTheme="minorHAnsi" w:hAnsiTheme="minorHAnsi" w:cstheme="minorHAnsi"/>
          <w:sz w:val="22"/>
          <w:szCs w:val="22"/>
        </w:rPr>
        <w:t>,</w:t>
      </w:r>
      <w:r w:rsidRPr="00B90026">
        <w:rPr>
          <w:rFonts w:asciiTheme="minorHAnsi" w:hAnsiTheme="minorHAnsi" w:cstheme="minorHAnsi"/>
          <w:sz w:val="22"/>
          <w:szCs w:val="22"/>
        </w:rPr>
        <w:t xml:space="preserve"> spręsdami, kad ginčo tiekimai neatitiko neapmokestinimo PVM (apmokestinimo taikant 0 proc. PVM tarifą) esminės sąlygos – teisės kaip savininkui disponuoti preke perdavimas įgijėjui.</w:t>
      </w:r>
    </w:p>
    <w:p w:rsidR="008D5A54" w:rsidRPr="00B90026" w:rsidRDefault="008D5A54" w:rsidP="008D5A54">
      <w:pPr>
        <w:ind w:firstLine="567"/>
        <w:jc w:val="both"/>
        <w:rPr>
          <w:rFonts w:asciiTheme="minorHAnsi" w:hAnsiTheme="minorHAnsi" w:cstheme="minorHAnsi"/>
          <w:sz w:val="22"/>
          <w:szCs w:val="22"/>
        </w:rPr>
      </w:pPr>
      <w:r w:rsidRPr="00B90026">
        <w:rPr>
          <w:rFonts w:asciiTheme="minorHAnsi" w:hAnsiTheme="minorHAnsi" w:cstheme="minorHAnsi"/>
          <w:sz w:val="22"/>
          <w:szCs w:val="22"/>
        </w:rPr>
        <w:t>Toliau</w:t>
      </w:r>
      <w:r w:rsidR="0094516F" w:rsidRPr="00B90026">
        <w:rPr>
          <w:rFonts w:asciiTheme="minorHAnsi" w:hAnsiTheme="minorHAnsi" w:cstheme="minorHAnsi"/>
          <w:sz w:val="22"/>
          <w:szCs w:val="22"/>
        </w:rPr>
        <w:t xml:space="preserve"> LVAT </w:t>
      </w:r>
      <w:r w:rsidRPr="00B90026">
        <w:rPr>
          <w:rFonts w:asciiTheme="minorHAnsi" w:hAnsiTheme="minorHAnsi" w:cstheme="minorHAnsi"/>
          <w:sz w:val="22"/>
          <w:szCs w:val="22"/>
        </w:rPr>
        <w:t xml:space="preserve">išplėstinė teisėjų kolegija nurodė, kad PVM direktyvos 138 straipsnio 1 dalyje numatytu neapmokestinimo atveju </w:t>
      </w:r>
      <w:r w:rsidRPr="00FC0FE2">
        <w:rPr>
          <w:rFonts w:asciiTheme="minorHAnsi" w:hAnsiTheme="minorHAnsi" w:cstheme="minorHAnsi"/>
          <w:sz w:val="22"/>
          <w:szCs w:val="22"/>
          <w:u w:val="single"/>
        </w:rPr>
        <w:t>prekės taip pat turi būti fiziškai išvežtos (išgabentos) iš tiekimo valstybės nar</w:t>
      </w:r>
      <w:r w:rsidRPr="00CC55E5">
        <w:rPr>
          <w:rFonts w:asciiTheme="minorHAnsi" w:hAnsiTheme="minorHAnsi" w:cstheme="minorHAnsi"/>
          <w:sz w:val="22"/>
          <w:szCs w:val="22"/>
          <w:u w:val="single"/>
        </w:rPr>
        <w:t>ės</w:t>
      </w:r>
      <w:r w:rsidRPr="00FC0FE2">
        <w:rPr>
          <w:rFonts w:asciiTheme="minorHAnsi" w:hAnsiTheme="minorHAnsi" w:cstheme="minorHAnsi"/>
          <w:sz w:val="22"/>
          <w:szCs w:val="22"/>
        </w:rPr>
        <w:t>, tačiau</w:t>
      </w:r>
      <w:r w:rsidR="00A46518">
        <w:rPr>
          <w:rFonts w:asciiTheme="minorHAnsi" w:hAnsiTheme="minorHAnsi" w:cstheme="minorHAnsi"/>
          <w:sz w:val="22"/>
          <w:szCs w:val="22"/>
        </w:rPr>
        <w:t xml:space="preserve"> </w:t>
      </w:r>
      <w:r w:rsidR="00CC55E5">
        <w:rPr>
          <w:rFonts w:asciiTheme="minorHAnsi" w:hAnsiTheme="minorHAnsi" w:cstheme="minorHAnsi"/>
          <w:sz w:val="22"/>
          <w:szCs w:val="22"/>
        </w:rPr>
        <w:t xml:space="preserve">jos </w:t>
      </w:r>
      <w:r w:rsidR="003072AA">
        <w:rPr>
          <w:rFonts w:asciiTheme="minorHAnsi" w:hAnsiTheme="minorHAnsi" w:cstheme="minorHAnsi"/>
          <w:sz w:val="22"/>
          <w:szCs w:val="22"/>
        </w:rPr>
        <w:t xml:space="preserve">turi </w:t>
      </w:r>
      <w:r w:rsidRPr="00FC0FE2">
        <w:rPr>
          <w:rFonts w:asciiTheme="minorHAnsi" w:hAnsiTheme="minorHAnsi" w:cstheme="minorHAnsi"/>
          <w:sz w:val="22"/>
          <w:szCs w:val="22"/>
        </w:rPr>
        <w:t>likti Bendrijos viduje</w:t>
      </w:r>
      <w:r w:rsidRPr="00B90026">
        <w:rPr>
          <w:rFonts w:asciiTheme="minorHAnsi" w:hAnsiTheme="minorHAnsi" w:cstheme="minorHAnsi"/>
          <w:sz w:val="22"/>
          <w:szCs w:val="22"/>
        </w:rPr>
        <w:t xml:space="preserve"> (pastaruoju aspektu žr. </w:t>
      </w:r>
      <w:r w:rsidR="00FC0FE2">
        <w:rPr>
          <w:rFonts w:asciiTheme="minorHAnsi" w:hAnsiTheme="minorHAnsi" w:cstheme="minorHAnsi"/>
          <w:sz w:val="22"/>
          <w:szCs w:val="22"/>
        </w:rPr>
        <w:t xml:space="preserve">ESTT </w:t>
      </w:r>
      <w:r w:rsidRPr="00B90026">
        <w:rPr>
          <w:rFonts w:asciiTheme="minorHAnsi" w:hAnsiTheme="minorHAnsi" w:cstheme="minorHAnsi"/>
          <w:sz w:val="22"/>
          <w:szCs w:val="22"/>
        </w:rPr>
        <w:t>2010 m. gruodžio 7 d. sprendimo byloje</w:t>
      </w:r>
      <w:r w:rsidRPr="00B90026">
        <w:rPr>
          <w:rFonts w:asciiTheme="minorHAnsi" w:hAnsiTheme="minorHAnsi" w:cstheme="minorHAnsi"/>
          <w:i/>
          <w:sz w:val="22"/>
          <w:szCs w:val="22"/>
        </w:rPr>
        <w:t xml:space="preserve"> R</w:t>
      </w:r>
      <w:r w:rsidRPr="00B90026">
        <w:rPr>
          <w:rFonts w:asciiTheme="minorHAnsi" w:hAnsiTheme="minorHAnsi" w:cstheme="minorHAnsi"/>
          <w:sz w:val="22"/>
          <w:szCs w:val="22"/>
        </w:rPr>
        <w:t>., C-285/09, 40 p.). Vadovaujantis PVM įstatymo 56 straipsnio 1 dalimi (2004 m. sausio 15 d.</w:t>
      </w:r>
      <w:r w:rsidR="00A46518">
        <w:rPr>
          <w:rFonts w:asciiTheme="minorHAnsi" w:hAnsiTheme="minorHAnsi" w:cstheme="minorHAnsi"/>
          <w:sz w:val="22"/>
          <w:szCs w:val="22"/>
        </w:rPr>
        <w:t xml:space="preserve"> </w:t>
      </w:r>
      <w:r w:rsidRPr="00B90026">
        <w:rPr>
          <w:rFonts w:asciiTheme="minorHAnsi" w:hAnsiTheme="minorHAnsi" w:cstheme="minorHAnsi"/>
          <w:sz w:val="22"/>
          <w:szCs w:val="22"/>
        </w:rPr>
        <w:t>įstatymo Nr. IX-1960 redakcija), reikalaujama, kad „&lt;....&gt; PVM mokėtojas, pritaikęs 0 procentų PVM tarifą pagal šio Įstatymo 49 straipsnį, privalo turėti įrodymus, kad prekės išgabentos iš šalies teritorijos &lt;...&gt;“. To paties straipsnio 4 dalis (2009</w:t>
      </w:r>
      <w:r w:rsidR="00FC0FE2">
        <w:rPr>
          <w:rFonts w:asciiTheme="minorHAnsi" w:hAnsiTheme="minorHAnsi" w:cstheme="minorHAnsi"/>
          <w:sz w:val="22"/>
          <w:szCs w:val="22"/>
        </w:rPr>
        <w:t> </w:t>
      </w:r>
      <w:r w:rsidRPr="00B90026">
        <w:rPr>
          <w:rFonts w:asciiTheme="minorHAnsi" w:hAnsiTheme="minorHAnsi" w:cstheme="minorHAnsi"/>
          <w:sz w:val="22"/>
          <w:szCs w:val="22"/>
        </w:rPr>
        <w:t>m.</w:t>
      </w:r>
      <w:r w:rsidR="00FC0FE2">
        <w:rPr>
          <w:rFonts w:asciiTheme="minorHAnsi" w:hAnsiTheme="minorHAnsi" w:cstheme="minorHAnsi"/>
          <w:sz w:val="22"/>
          <w:szCs w:val="22"/>
        </w:rPr>
        <w:t> </w:t>
      </w:r>
      <w:r w:rsidRPr="00B90026">
        <w:rPr>
          <w:rFonts w:asciiTheme="minorHAnsi" w:hAnsiTheme="minorHAnsi" w:cstheme="minorHAnsi"/>
          <w:sz w:val="22"/>
          <w:szCs w:val="22"/>
        </w:rPr>
        <w:t>birželio</w:t>
      </w:r>
      <w:r w:rsidR="00FC0FE2">
        <w:rPr>
          <w:rFonts w:asciiTheme="minorHAnsi" w:hAnsiTheme="minorHAnsi" w:cstheme="minorHAnsi"/>
          <w:sz w:val="22"/>
          <w:szCs w:val="22"/>
        </w:rPr>
        <w:t> </w:t>
      </w:r>
      <w:r w:rsidRPr="00B90026">
        <w:rPr>
          <w:rFonts w:asciiTheme="minorHAnsi" w:hAnsiTheme="minorHAnsi" w:cstheme="minorHAnsi"/>
          <w:sz w:val="22"/>
          <w:szCs w:val="22"/>
        </w:rPr>
        <w:t>23</w:t>
      </w:r>
      <w:r w:rsidR="00FC0FE2">
        <w:rPr>
          <w:rFonts w:asciiTheme="minorHAnsi" w:hAnsiTheme="minorHAnsi" w:cstheme="minorHAnsi"/>
          <w:sz w:val="22"/>
          <w:szCs w:val="22"/>
        </w:rPr>
        <w:t> </w:t>
      </w:r>
      <w:r w:rsidRPr="00B90026">
        <w:rPr>
          <w:rFonts w:asciiTheme="minorHAnsi" w:hAnsiTheme="minorHAnsi" w:cstheme="minorHAnsi"/>
          <w:sz w:val="22"/>
          <w:szCs w:val="22"/>
        </w:rPr>
        <w:t>d. įstatymo Nr. XI-317 redakcija) numato, kad „&lt;...&gt; mokesči</w:t>
      </w:r>
      <w:r w:rsidR="00FC0FE2">
        <w:rPr>
          <w:rFonts w:asciiTheme="minorHAnsi" w:hAnsiTheme="minorHAnsi" w:cstheme="minorHAnsi"/>
          <w:sz w:val="22"/>
          <w:szCs w:val="22"/>
        </w:rPr>
        <w:t>ų</w:t>
      </w:r>
      <w:r w:rsidRPr="00B90026">
        <w:rPr>
          <w:rFonts w:asciiTheme="minorHAnsi" w:hAnsiTheme="minorHAnsi" w:cstheme="minorHAnsi"/>
          <w:sz w:val="22"/>
          <w:szCs w:val="22"/>
        </w:rPr>
        <w:t xml:space="preserve"> administratorius Mokesčių administravimo įstatymo nustatyta tvarka turi teisę pareikalauti pateikti ir kitus papildomus įrodymus 0</w:t>
      </w:r>
      <w:r w:rsidR="00877EAA">
        <w:rPr>
          <w:rFonts w:asciiTheme="minorHAnsi" w:hAnsiTheme="minorHAnsi" w:cstheme="minorHAnsi"/>
          <w:sz w:val="22"/>
          <w:szCs w:val="22"/>
        </w:rPr>
        <w:t> </w:t>
      </w:r>
      <w:r w:rsidRPr="00B90026">
        <w:rPr>
          <w:rFonts w:asciiTheme="minorHAnsi" w:hAnsiTheme="minorHAnsi" w:cstheme="minorHAnsi"/>
          <w:sz w:val="22"/>
          <w:szCs w:val="22"/>
        </w:rPr>
        <w:t>procentų PVM tarifo pritaikymo pagrįstumui įvertinti. Kai PVM mokėtojas negali įrodyti, kad prekių tiekimui, prekių įsigijimui iš kitos valstybės narės arba paslaugų teikimui 0 procentų PVM tarifas pritaikytas pagrįstai, toks prekių tiekimas, prekių įsigijimas iš kitos valstybės narės arba paslaugų teikimas apmokestinamas taikant standartinį PVM tarifą arba lengvatinį PVM tarifą, jeigu jis šioms prekėms arba paslaugoms nustatytas“.</w:t>
      </w:r>
    </w:p>
    <w:p w:rsidR="008D5A54" w:rsidRPr="00B90026" w:rsidRDefault="008D5A54" w:rsidP="008D5A54">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Šių nacionalinių įrodinėjimo naštos paskirstymo taisyklių kontekste </w:t>
      </w:r>
      <w:r w:rsidR="0094516F"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 xml:space="preserve">išplėstinė teisėjų kolegija priminė, kad </w:t>
      </w:r>
      <w:r w:rsidRPr="00FC0FE2">
        <w:rPr>
          <w:rFonts w:asciiTheme="minorHAnsi" w:hAnsiTheme="minorHAnsi" w:cstheme="minorHAnsi"/>
          <w:sz w:val="22"/>
          <w:szCs w:val="22"/>
          <w:u w:val="single"/>
        </w:rPr>
        <w:t xml:space="preserve">pareigos, tenkančios apmokestinamajam asmeniui įrodymų srityje, turi būti nustatomos remiantis aiškiai šiuo atžvilgiu nacionalinėje teisėje ir įprastoje praktikoje, nustatytoje panašiems sandoriams, numatytomis sąlygomis, </w:t>
      </w:r>
      <w:r w:rsidR="0094516F" w:rsidRPr="00FC0FE2">
        <w:rPr>
          <w:rFonts w:asciiTheme="minorHAnsi" w:hAnsiTheme="minorHAnsi" w:cstheme="minorHAnsi"/>
          <w:sz w:val="22"/>
          <w:szCs w:val="22"/>
          <w:u w:val="single"/>
        </w:rPr>
        <w:t xml:space="preserve">tam, kad </w:t>
      </w:r>
      <w:r w:rsidRPr="00FC0FE2">
        <w:rPr>
          <w:rFonts w:asciiTheme="minorHAnsi" w:hAnsiTheme="minorHAnsi" w:cstheme="minorHAnsi"/>
          <w:sz w:val="22"/>
          <w:szCs w:val="22"/>
          <w:u w:val="single"/>
        </w:rPr>
        <w:t>apmokestinamieji asmenys žinotų savo mokestinius įsipareigojimus prieš sudarydami sandorį</w:t>
      </w:r>
      <w:r w:rsidRPr="00B90026">
        <w:rPr>
          <w:rFonts w:asciiTheme="minorHAnsi" w:hAnsiTheme="minorHAnsi" w:cstheme="minorHAnsi"/>
          <w:sz w:val="22"/>
          <w:szCs w:val="22"/>
        </w:rPr>
        <w:t xml:space="preserve"> (žr. </w:t>
      </w:r>
      <w:r w:rsidR="00FC0FE2">
        <w:rPr>
          <w:rFonts w:asciiTheme="minorHAnsi" w:hAnsiTheme="minorHAnsi" w:cstheme="minorHAnsi"/>
          <w:sz w:val="22"/>
          <w:szCs w:val="22"/>
        </w:rPr>
        <w:t xml:space="preserve">ESTT </w:t>
      </w:r>
      <w:r w:rsidRPr="00B90026">
        <w:rPr>
          <w:rFonts w:asciiTheme="minorHAnsi" w:hAnsiTheme="minorHAnsi" w:cstheme="minorHAnsi"/>
          <w:sz w:val="22"/>
          <w:szCs w:val="22"/>
        </w:rPr>
        <w:t xml:space="preserve">2012 m. rugsėjo 6 d. sprendimo byloje </w:t>
      </w:r>
      <w:r w:rsidRPr="00B90026">
        <w:rPr>
          <w:rFonts w:asciiTheme="minorHAnsi" w:hAnsiTheme="minorHAnsi" w:cstheme="minorHAnsi"/>
          <w:i/>
          <w:sz w:val="22"/>
          <w:szCs w:val="22"/>
        </w:rPr>
        <w:t>Mecsek-Gabona</w:t>
      </w:r>
      <w:r w:rsidRPr="00B90026">
        <w:rPr>
          <w:rFonts w:asciiTheme="minorHAnsi" w:hAnsiTheme="minorHAnsi" w:cstheme="minorHAnsi"/>
          <w:sz w:val="22"/>
          <w:szCs w:val="22"/>
        </w:rPr>
        <w:t>, C-273/11</w:t>
      </w:r>
      <w:r w:rsidR="0094516F" w:rsidRPr="00B90026">
        <w:rPr>
          <w:rFonts w:asciiTheme="minorHAnsi" w:hAnsiTheme="minorHAnsi" w:cstheme="minorHAnsi"/>
          <w:sz w:val="22"/>
          <w:szCs w:val="22"/>
        </w:rPr>
        <w:t xml:space="preserve"> </w:t>
      </w:r>
      <w:r w:rsidRPr="00B90026">
        <w:rPr>
          <w:rFonts w:asciiTheme="minorHAnsi" w:hAnsiTheme="minorHAnsi" w:cstheme="minorHAnsi"/>
          <w:sz w:val="22"/>
          <w:szCs w:val="22"/>
        </w:rPr>
        <w:t xml:space="preserve">36, 38 ir 39 p.; 2014 m. spalio 9 d. sprendimo byloje </w:t>
      </w:r>
      <w:r w:rsidRPr="00B90026">
        <w:rPr>
          <w:rFonts w:asciiTheme="minorHAnsi" w:hAnsiTheme="minorHAnsi" w:cstheme="minorHAnsi"/>
          <w:i/>
          <w:sz w:val="22"/>
          <w:szCs w:val="22"/>
        </w:rPr>
        <w:t>Traum</w:t>
      </w:r>
      <w:r w:rsidRPr="00B90026">
        <w:rPr>
          <w:rFonts w:asciiTheme="minorHAnsi" w:hAnsiTheme="minorHAnsi" w:cstheme="minorHAnsi"/>
          <w:sz w:val="22"/>
          <w:szCs w:val="22"/>
        </w:rPr>
        <w:t xml:space="preserve">, C-492/13, 30–34 p.). Tai reiškia, kad </w:t>
      </w:r>
      <w:r w:rsidRPr="00B90026">
        <w:rPr>
          <w:rFonts w:asciiTheme="minorHAnsi" w:hAnsiTheme="minorHAnsi" w:cstheme="minorHAnsi"/>
          <w:sz w:val="22"/>
          <w:szCs w:val="22"/>
          <w:u w:val="single"/>
        </w:rPr>
        <w:t>Lietuvos mokesčių įstatymuose ir (ar) juos įgyvendinančiuose norminiuose teisės aktuose nesant aiškiai nurodytų (įvard</w:t>
      </w:r>
      <w:r w:rsidR="007B0044" w:rsidRPr="00B90026">
        <w:rPr>
          <w:rFonts w:asciiTheme="minorHAnsi" w:hAnsiTheme="minorHAnsi" w:cstheme="minorHAnsi"/>
          <w:sz w:val="22"/>
          <w:szCs w:val="22"/>
          <w:u w:val="single"/>
        </w:rPr>
        <w:t>ytų</w:t>
      </w:r>
      <w:r w:rsidRPr="00B90026">
        <w:rPr>
          <w:rFonts w:asciiTheme="minorHAnsi" w:hAnsiTheme="minorHAnsi" w:cstheme="minorHAnsi"/>
          <w:sz w:val="22"/>
          <w:szCs w:val="22"/>
          <w:u w:val="single"/>
        </w:rPr>
        <w:t>) įrodymų (dokumentų), kuriuos turi turėti apmokestinamieji asmenys (PVM mokėtojai), siekiantys įrodyti fizinį prekių išvežimą iš Lietuvos į kitą valstybę narę, ši aplinkybė (faktinis išvežimas) įrodinėtina konkrečių tiekimo sandorių įprastoje praktikoje apmokestinamojo asmens (paprastai) turimais prekių išgabenimą patvirtinančiais įrodymais</w:t>
      </w:r>
      <w:r w:rsidRPr="00B90026">
        <w:rPr>
          <w:rFonts w:asciiTheme="minorHAnsi" w:hAnsiTheme="minorHAnsi" w:cstheme="minorHAnsi"/>
          <w:sz w:val="22"/>
          <w:szCs w:val="22"/>
        </w:rPr>
        <w:t xml:space="preserve">. </w:t>
      </w:r>
    </w:p>
    <w:p w:rsidR="008D5A54" w:rsidRPr="00B90026" w:rsidRDefault="007B0044" w:rsidP="008D5A54">
      <w:pPr>
        <w:ind w:firstLine="567"/>
        <w:jc w:val="both"/>
        <w:rPr>
          <w:rFonts w:asciiTheme="minorHAnsi" w:hAnsiTheme="minorHAnsi" w:cstheme="minorHAnsi"/>
          <w:sz w:val="22"/>
          <w:szCs w:val="22"/>
        </w:rPr>
      </w:pPr>
      <w:r w:rsidRPr="00B90026">
        <w:rPr>
          <w:rFonts w:asciiTheme="minorHAnsi" w:hAnsiTheme="minorHAnsi" w:cstheme="minorHAnsi"/>
          <w:sz w:val="22"/>
          <w:szCs w:val="22"/>
        </w:rPr>
        <w:t>LVAT i</w:t>
      </w:r>
      <w:r w:rsidR="008D5A54" w:rsidRPr="00B90026">
        <w:rPr>
          <w:rFonts w:asciiTheme="minorHAnsi" w:hAnsiTheme="minorHAnsi" w:cstheme="minorHAnsi"/>
          <w:sz w:val="22"/>
          <w:szCs w:val="22"/>
        </w:rPr>
        <w:t xml:space="preserve">šplėstinė teisėjų kolegija atskirai pažymėjo ir tai, kad </w:t>
      </w:r>
      <w:r w:rsidR="008D5A54" w:rsidRPr="00B90026">
        <w:rPr>
          <w:rFonts w:asciiTheme="minorHAnsi" w:hAnsiTheme="minorHAnsi" w:cstheme="minorHAnsi"/>
          <w:sz w:val="22"/>
          <w:szCs w:val="22"/>
          <w:u w:val="single"/>
        </w:rPr>
        <w:t>kai teisė kaip savininkui disponuoti atitinkama preke yra perduota įgijėjui tiekimo valstybės narės teritorijoje ir kai įgijėjas įsipareigoja nugabenti šią prekę į paskirties valstybę narę, reikia atsižvelgti į tai, kad įrodymas, kurį tiekėjas gali pateikti mokesčių institucijoms, iš esmės priklauso nuo įrodymų, kuriuos šiuo tikslu jis gauna iš įgijėjo</w:t>
      </w:r>
      <w:r w:rsidR="008D5A54" w:rsidRPr="00B90026">
        <w:rPr>
          <w:rFonts w:asciiTheme="minorHAnsi" w:hAnsiTheme="minorHAnsi" w:cstheme="minorHAnsi"/>
          <w:sz w:val="22"/>
          <w:szCs w:val="22"/>
        </w:rPr>
        <w:t xml:space="preserve"> (</w:t>
      </w:r>
      <w:r w:rsidR="00FC0FE2">
        <w:rPr>
          <w:rFonts w:asciiTheme="minorHAnsi" w:hAnsiTheme="minorHAnsi" w:cstheme="minorHAnsi"/>
          <w:sz w:val="22"/>
          <w:szCs w:val="22"/>
        </w:rPr>
        <w:t xml:space="preserve">ESTT </w:t>
      </w:r>
      <w:r w:rsidR="008D5A54" w:rsidRPr="00B90026">
        <w:rPr>
          <w:rFonts w:asciiTheme="minorHAnsi" w:hAnsiTheme="minorHAnsi" w:cstheme="minorHAnsi"/>
          <w:sz w:val="22"/>
          <w:szCs w:val="22"/>
        </w:rPr>
        <w:t>2010</w:t>
      </w:r>
      <w:r w:rsidRPr="00B90026">
        <w:rPr>
          <w:rFonts w:asciiTheme="minorHAnsi" w:hAnsiTheme="minorHAnsi" w:cstheme="minorHAnsi"/>
          <w:sz w:val="22"/>
          <w:szCs w:val="22"/>
        </w:rPr>
        <w:t> </w:t>
      </w:r>
      <w:r w:rsidR="008D5A54" w:rsidRPr="00B90026">
        <w:rPr>
          <w:rFonts w:asciiTheme="minorHAnsi" w:hAnsiTheme="minorHAnsi" w:cstheme="minorHAnsi"/>
          <w:sz w:val="22"/>
          <w:szCs w:val="22"/>
        </w:rPr>
        <w:t>m.</w:t>
      </w:r>
      <w:r w:rsidRPr="00B90026">
        <w:rPr>
          <w:rFonts w:asciiTheme="minorHAnsi" w:hAnsiTheme="minorHAnsi" w:cstheme="minorHAnsi"/>
          <w:sz w:val="22"/>
          <w:szCs w:val="22"/>
        </w:rPr>
        <w:t> </w:t>
      </w:r>
      <w:r w:rsidR="008D5A54" w:rsidRPr="00B90026">
        <w:rPr>
          <w:rFonts w:asciiTheme="minorHAnsi" w:hAnsiTheme="minorHAnsi" w:cstheme="minorHAnsi"/>
          <w:sz w:val="22"/>
          <w:szCs w:val="22"/>
        </w:rPr>
        <w:t>gruodžio</w:t>
      </w:r>
      <w:r w:rsidRPr="00B90026">
        <w:rPr>
          <w:rFonts w:asciiTheme="minorHAnsi" w:hAnsiTheme="minorHAnsi" w:cstheme="minorHAnsi"/>
          <w:sz w:val="22"/>
          <w:szCs w:val="22"/>
        </w:rPr>
        <w:t> </w:t>
      </w:r>
      <w:r w:rsidR="008D5A54" w:rsidRPr="00B90026">
        <w:rPr>
          <w:rFonts w:asciiTheme="minorHAnsi" w:hAnsiTheme="minorHAnsi" w:cstheme="minorHAnsi"/>
          <w:sz w:val="22"/>
          <w:szCs w:val="22"/>
        </w:rPr>
        <w:t>16</w:t>
      </w:r>
      <w:r w:rsidRPr="00B90026">
        <w:rPr>
          <w:rFonts w:asciiTheme="minorHAnsi" w:hAnsiTheme="minorHAnsi" w:cstheme="minorHAnsi"/>
          <w:sz w:val="22"/>
          <w:szCs w:val="22"/>
        </w:rPr>
        <w:t> </w:t>
      </w:r>
      <w:r w:rsidR="008D5A54" w:rsidRPr="00B90026">
        <w:rPr>
          <w:rFonts w:asciiTheme="minorHAnsi" w:hAnsiTheme="minorHAnsi" w:cstheme="minorHAnsi"/>
          <w:sz w:val="22"/>
          <w:szCs w:val="22"/>
        </w:rPr>
        <w:t xml:space="preserve">d. sprendimo byloje </w:t>
      </w:r>
      <w:r w:rsidR="008D5A54" w:rsidRPr="00B90026">
        <w:rPr>
          <w:rFonts w:asciiTheme="minorHAnsi" w:hAnsiTheme="minorHAnsi" w:cstheme="minorHAnsi"/>
          <w:i/>
          <w:sz w:val="22"/>
          <w:szCs w:val="22"/>
        </w:rPr>
        <w:t>Euro Tyre Holding</w:t>
      </w:r>
      <w:r w:rsidR="008D5A54" w:rsidRPr="00B90026">
        <w:rPr>
          <w:rFonts w:asciiTheme="minorHAnsi" w:hAnsiTheme="minorHAnsi" w:cstheme="minorHAnsi"/>
          <w:sz w:val="22"/>
          <w:szCs w:val="22"/>
        </w:rPr>
        <w:t xml:space="preserve">, C-430/09, 37 p.). </w:t>
      </w:r>
      <w:r w:rsidR="008D5A54" w:rsidRPr="00FC0FE2">
        <w:rPr>
          <w:rFonts w:asciiTheme="minorHAnsi" w:hAnsiTheme="minorHAnsi" w:cstheme="minorHAnsi"/>
          <w:sz w:val="22"/>
          <w:szCs w:val="22"/>
          <w:u w:val="single"/>
        </w:rPr>
        <w:t>Kai tiekėjas įvykdo savo pareigas, susijusias su tiekimo Bendrijos viduje įrodymu, o įgijėjas neįvykdė sutartinio įsipareigojimo išsiųsti ar išgabenti atitinkamą prekę iš tiekimo valstybės narės, pastarasis turi turėti prievolę sumokėti PVM šioje valstybėje narėje</w:t>
      </w:r>
      <w:r w:rsidR="008D5A54" w:rsidRPr="00B90026">
        <w:rPr>
          <w:rFonts w:asciiTheme="minorHAnsi" w:hAnsiTheme="minorHAnsi" w:cstheme="minorHAnsi"/>
          <w:sz w:val="22"/>
          <w:szCs w:val="22"/>
        </w:rPr>
        <w:t xml:space="preserve"> (žr. </w:t>
      </w:r>
      <w:r w:rsidR="00FC0FE2">
        <w:rPr>
          <w:rFonts w:asciiTheme="minorHAnsi" w:hAnsiTheme="minorHAnsi" w:cstheme="minorHAnsi"/>
          <w:sz w:val="22"/>
          <w:szCs w:val="22"/>
        </w:rPr>
        <w:t xml:space="preserve">ESTT </w:t>
      </w:r>
      <w:r w:rsidR="008D5A54" w:rsidRPr="00B90026">
        <w:rPr>
          <w:rFonts w:asciiTheme="minorHAnsi" w:hAnsiTheme="minorHAnsi" w:cstheme="minorHAnsi"/>
          <w:sz w:val="22"/>
          <w:szCs w:val="22"/>
        </w:rPr>
        <w:t>2012</w:t>
      </w:r>
      <w:r w:rsidR="00FC0FE2">
        <w:rPr>
          <w:rFonts w:asciiTheme="minorHAnsi" w:hAnsiTheme="minorHAnsi" w:cstheme="minorHAnsi"/>
          <w:sz w:val="22"/>
          <w:szCs w:val="22"/>
        </w:rPr>
        <w:t> </w:t>
      </w:r>
      <w:r w:rsidR="008D5A54" w:rsidRPr="00B90026">
        <w:rPr>
          <w:rFonts w:asciiTheme="minorHAnsi" w:hAnsiTheme="minorHAnsi" w:cstheme="minorHAnsi"/>
          <w:sz w:val="22"/>
          <w:szCs w:val="22"/>
        </w:rPr>
        <w:t>m.</w:t>
      </w:r>
      <w:r w:rsidR="00FC0FE2">
        <w:rPr>
          <w:rFonts w:asciiTheme="minorHAnsi" w:hAnsiTheme="minorHAnsi" w:cstheme="minorHAnsi"/>
          <w:sz w:val="22"/>
          <w:szCs w:val="22"/>
        </w:rPr>
        <w:t> </w:t>
      </w:r>
      <w:r w:rsidR="008D5A54" w:rsidRPr="00B90026">
        <w:rPr>
          <w:rFonts w:asciiTheme="minorHAnsi" w:hAnsiTheme="minorHAnsi" w:cstheme="minorHAnsi"/>
          <w:sz w:val="22"/>
          <w:szCs w:val="22"/>
        </w:rPr>
        <w:t>rugsėjo</w:t>
      </w:r>
      <w:r w:rsidR="00FC0FE2">
        <w:rPr>
          <w:rFonts w:asciiTheme="minorHAnsi" w:hAnsiTheme="minorHAnsi" w:cstheme="minorHAnsi"/>
          <w:sz w:val="22"/>
          <w:szCs w:val="22"/>
        </w:rPr>
        <w:t> </w:t>
      </w:r>
      <w:r w:rsidR="008D5A54" w:rsidRPr="00B90026">
        <w:rPr>
          <w:rFonts w:asciiTheme="minorHAnsi" w:hAnsiTheme="minorHAnsi" w:cstheme="minorHAnsi"/>
          <w:sz w:val="22"/>
          <w:szCs w:val="22"/>
        </w:rPr>
        <w:t>6</w:t>
      </w:r>
      <w:r w:rsidR="00FC0FE2">
        <w:rPr>
          <w:rFonts w:asciiTheme="minorHAnsi" w:hAnsiTheme="minorHAnsi" w:cstheme="minorHAnsi"/>
          <w:sz w:val="22"/>
          <w:szCs w:val="22"/>
        </w:rPr>
        <w:t> </w:t>
      </w:r>
      <w:r w:rsidR="008D5A54" w:rsidRPr="00B90026">
        <w:rPr>
          <w:rFonts w:asciiTheme="minorHAnsi" w:hAnsiTheme="minorHAnsi" w:cstheme="minorHAnsi"/>
          <w:sz w:val="22"/>
          <w:szCs w:val="22"/>
        </w:rPr>
        <w:t xml:space="preserve">d. sprendimo byloje </w:t>
      </w:r>
      <w:r w:rsidR="008D5A54" w:rsidRPr="00B90026">
        <w:rPr>
          <w:rFonts w:asciiTheme="minorHAnsi" w:hAnsiTheme="minorHAnsi" w:cstheme="minorHAnsi"/>
          <w:i/>
          <w:sz w:val="22"/>
          <w:szCs w:val="22"/>
        </w:rPr>
        <w:t>Mecsek-Gabona</w:t>
      </w:r>
      <w:r w:rsidR="008D5A54" w:rsidRPr="00B90026">
        <w:rPr>
          <w:rFonts w:asciiTheme="minorHAnsi" w:hAnsiTheme="minorHAnsi" w:cstheme="minorHAnsi"/>
          <w:sz w:val="22"/>
          <w:szCs w:val="22"/>
        </w:rPr>
        <w:t>, C-273/11, 43 p. ir jame</w:t>
      </w:r>
      <w:r w:rsidR="00A46518">
        <w:rPr>
          <w:rFonts w:asciiTheme="minorHAnsi" w:hAnsiTheme="minorHAnsi" w:cstheme="minorHAnsi"/>
          <w:sz w:val="22"/>
          <w:szCs w:val="22"/>
        </w:rPr>
        <w:t xml:space="preserve"> </w:t>
      </w:r>
      <w:r w:rsidR="008D5A54" w:rsidRPr="00B90026">
        <w:rPr>
          <w:rFonts w:asciiTheme="minorHAnsi" w:hAnsiTheme="minorHAnsi" w:cstheme="minorHAnsi"/>
          <w:sz w:val="22"/>
          <w:szCs w:val="22"/>
        </w:rPr>
        <w:t xml:space="preserve">nurodytą šio teismo praktiką). Žinoma, jei </w:t>
      </w:r>
      <w:r w:rsidR="008D5A54" w:rsidRPr="00B90026">
        <w:rPr>
          <w:rFonts w:asciiTheme="minorHAnsi" w:hAnsiTheme="minorHAnsi" w:cstheme="minorHAnsi"/>
          <w:sz w:val="22"/>
          <w:szCs w:val="22"/>
          <w:u w:val="single"/>
        </w:rPr>
        <w:t>vykdant atitinkamą tiekimą</w:t>
      </w:r>
      <w:r w:rsidRPr="00B90026">
        <w:rPr>
          <w:rFonts w:asciiTheme="minorHAnsi" w:hAnsiTheme="minorHAnsi" w:cstheme="minorHAnsi"/>
          <w:sz w:val="22"/>
          <w:szCs w:val="22"/>
          <w:u w:val="single"/>
        </w:rPr>
        <w:t>,</w:t>
      </w:r>
      <w:r w:rsidR="008D5A54" w:rsidRPr="00B90026">
        <w:rPr>
          <w:rFonts w:asciiTheme="minorHAnsi" w:hAnsiTheme="minorHAnsi" w:cstheme="minorHAnsi"/>
          <w:sz w:val="22"/>
          <w:szCs w:val="22"/>
          <w:u w:val="single"/>
        </w:rPr>
        <w:t xml:space="preserve"> įgijėjas sukčiauja ir jei mokesčių administratorius nėra tikras, kad prekių tikrai nebėra tiekimo valstybėje narėje, yra pateisinama tiekėjo teisei į neapmokestinimą PVM taikyti sąžiningumo reikalavimą </w:t>
      </w:r>
      <w:r w:rsidR="008D5A54" w:rsidRPr="00B90026">
        <w:rPr>
          <w:rFonts w:asciiTheme="minorHAnsi" w:hAnsiTheme="minorHAnsi" w:cstheme="minorHAnsi"/>
          <w:sz w:val="22"/>
          <w:szCs w:val="22"/>
        </w:rPr>
        <w:t>(</w:t>
      </w:r>
      <w:r w:rsidR="00FC0FE2">
        <w:rPr>
          <w:rFonts w:asciiTheme="minorHAnsi" w:hAnsiTheme="minorHAnsi" w:cstheme="minorHAnsi"/>
          <w:sz w:val="22"/>
          <w:szCs w:val="22"/>
        </w:rPr>
        <w:t xml:space="preserve">ESTT </w:t>
      </w:r>
      <w:r w:rsidR="008D5A54" w:rsidRPr="00B90026">
        <w:rPr>
          <w:rFonts w:asciiTheme="minorHAnsi" w:hAnsiTheme="minorHAnsi" w:cstheme="minorHAnsi"/>
          <w:sz w:val="22"/>
          <w:szCs w:val="22"/>
        </w:rPr>
        <w:t xml:space="preserve">2012 m. rugsėjo 6 d. sprendimo byloje </w:t>
      </w:r>
      <w:r w:rsidR="008D5A54" w:rsidRPr="00B90026">
        <w:rPr>
          <w:rFonts w:asciiTheme="minorHAnsi" w:hAnsiTheme="minorHAnsi" w:cstheme="minorHAnsi"/>
          <w:i/>
          <w:sz w:val="22"/>
          <w:szCs w:val="22"/>
        </w:rPr>
        <w:t>Mecsek-Gabona</w:t>
      </w:r>
      <w:r w:rsidR="008D5A54" w:rsidRPr="00B90026">
        <w:rPr>
          <w:rFonts w:asciiTheme="minorHAnsi" w:hAnsiTheme="minorHAnsi" w:cstheme="minorHAnsi"/>
          <w:sz w:val="22"/>
          <w:szCs w:val="22"/>
        </w:rPr>
        <w:t>, C-273/11. 50 p.).</w:t>
      </w:r>
    </w:p>
    <w:p w:rsidR="008D5A54" w:rsidRPr="00B90026" w:rsidRDefault="008D5A54" w:rsidP="008D5A54">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Kadangi ginčo atveju mokesčių administratorius iš esmės nekvestionavo aplinkybės, kad ginčo prekės faktiškai buvo išgabentos iš Lietuvos teritorijos, o aptariamai </w:t>
      </w:r>
      <w:r w:rsidRPr="00B90026">
        <w:rPr>
          <w:rFonts w:asciiTheme="minorHAnsi" w:hAnsiTheme="minorHAnsi" w:cstheme="minorHAnsi"/>
          <w:sz w:val="22"/>
          <w:szCs w:val="22"/>
          <w:u w:val="single"/>
        </w:rPr>
        <w:t>atleidimo nuo PVM esminei sąlygai (fizinis prekių išgabenimas) nėra reikšminga aplinkybė, kad prekės įgijėjui yra gabenamos į kitą valstybę narę, nei įgijėjas yra registruotas apmokestinimo PVM tikslais</w:t>
      </w:r>
      <w:r w:rsidRPr="00B90026">
        <w:rPr>
          <w:rFonts w:asciiTheme="minorHAnsi" w:hAnsiTheme="minorHAnsi" w:cstheme="minorHAnsi"/>
          <w:sz w:val="22"/>
          <w:szCs w:val="22"/>
        </w:rPr>
        <w:t xml:space="preserve">, </w:t>
      </w:r>
      <w:r w:rsidR="007B0044"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išplėstinė teisėjų kolegija sutiko su Mokestinių ginčų komisijos bei pirmosios instancijos teismo vertinimu, kad ginčo prekės buvo fiziškai išgabentos iš Lietuvos teritorijos į kitą valstybę narę aptariamos direktyvos nuostatos taikymo prasme.</w:t>
      </w:r>
    </w:p>
    <w:p w:rsidR="008D5A54" w:rsidRPr="00B90026" w:rsidRDefault="008D5A54" w:rsidP="008D5A54">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Galiausiai dėl tiekimo kitoje valstybėje narėje įsisteigusiam PVM mokėtojui </w:t>
      </w:r>
      <w:r w:rsidR="007B0044"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išplėstinė teisėjų kolegija pirmiausia pažymėjo, kad remiantis PVM įstatymo 56 straipsnio 1 dalimi (2004 m. sausio 15 d.</w:t>
      </w:r>
      <w:r w:rsidR="00A46518">
        <w:rPr>
          <w:rFonts w:asciiTheme="minorHAnsi" w:hAnsiTheme="minorHAnsi" w:cstheme="minorHAnsi"/>
          <w:sz w:val="22"/>
          <w:szCs w:val="22"/>
        </w:rPr>
        <w:t xml:space="preserve"> </w:t>
      </w:r>
      <w:r w:rsidRPr="00B90026">
        <w:rPr>
          <w:rFonts w:asciiTheme="minorHAnsi" w:hAnsiTheme="minorHAnsi" w:cstheme="minorHAnsi"/>
          <w:sz w:val="22"/>
          <w:szCs w:val="22"/>
        </w:rPr>
        <w:t xml:space="preserve">įstatymo Nr. IX-1960 redakcija), PVM mokėtojas, pritaikęs 0 procentų PVM tarifą pagal šio įstatymo 49 straipsnį, kai šis </w:t>
      </w:r>
      <w:r w:rsidRPr="00B90026">
        <w:rPr>
          <w:rFonts w:asciiTheme="minorHAnsi" w:hAnsiTheme="minorHAnsi" w:cstheme="minorHAnsi"/>
          <w:sz w:val="22"/>
          <w:szCs w:val="22"/>
        </w:rPr>
        <w:lastRenderedPageBreak/>
        <w:t xml:space="preserve">tarifas taikomas prekes tiekiant kitoje valstybėje narėje registruotam PVM mokėtojui, privalo turėti ir įrodymus, kad asmuo, kuriam prekės išgabentos, yra kitoje valstybėje narėje registruotas PVM mokėtojas. </w:t>
      </w:r>
      <w:r w:rsidRPr="00B90026">
        <w:rPr>
          <w:rFonts w:asciiTheme="minorHAnsi" w:hAnsiTheme="minorHAnsi" w:cstheme="minorHAnsi"/>
          <w:sz w:val="22"/>
          <w:szCs w:val="22"/>
          <w:u w:val="single"/>
        </w:rPr>
        <w:t>Pagal bendrą taisyklę PVM mokėtojo kodas įrodo apmokestinamojo asmens statusą mokesčių atžvilgiu</w:t>
      </w:r>
      <w:r w:rsidRPr="00B90026">
        <w:rPr>
          <w:rFonts w:asciiTheme="minorHAnsi" w:hAnsiTheme="minorHAnsi" w:cstheme="minorHAnsi"/>
          <w:sz w:val="22"/>
          <w:szCs w:val="22"/>
        </w:rPr>
        <w:t xml:space="preserve"> (</w:t>
      </w:r>
      <w:r w:rsidR="004752AE">
        <w:rPr>
          <w:rFonts w:asciiTheme="minorHAnsi" w:hAnsiTheme="minorHAnsi" w:cstheme="minorHAnsi"/>
          <w:sz w:val="22"/>
          <w:szCs w:val="22"/>
        </w:rPr>
        <w:t xml:space="preserve">ESTT </w:t>
      </w:r>
      <w:r w:rsidRPr="00B90026">
        <w:rPr>
          <w:rFonts w:asciiTheme="minorHAnsi" w:hAnsiTheme="minorHAnsi" w:cstheme="minorHAnsi"/>
          <w:sz w:val="22"/>
          <w:szCs w:val="22"/>
        </w:rPr>
        <w:t xml:space="preserve">2012 m. rugsėjo 27 d. sprendimo byloje </w:t>
      </w:r>
      <w:r w:rsidRPr="00B90026">
        <w:rPr>
          <w:rFonts w:asciiTheme="minorHAnsi" w:hAnsiTheme="minorHAnsi" w:cstheme="minorHAnsi"/>
          <w:i/>
          <w:sz w:val="22"/>
          <w:szCs w:val="22"/>
        </w:rPr>
        <w:t>VSTR</w:t>
      </w:r>
      <w:r w:rsidRPr="00B90026">
        <w:rPr>
          <w:rFonts w:asciiTheme="minorHAnsi" w:hAnsiTheme="minorHAnsi" w:cstheme="minorHAnsi"/>
          <w:sz w:val="22"/>
          <w:szCs w:val="22"/>
        </w:rPr>
        <w:t>, C-587/10, 51 p.).</w:t>
      </w:r>
      <w:r w:rsidR="004752AE">
        <w:rPr>
          <w:rFonts w:asciiTheme="minorHAnsi" w:hAnsiTheme="minorHAnsi" w:cstheme="minorHAnsi"/>
          <w:sz w:val="22"/>
          <w:szCs w:val="22"/>
        </w:rPr>
        <w:t xml:space="preserve"> </w:t>
      </w:r>
      <w:r w:rsidRPr="00B90026">
        <w:rPr>
          <w:rFonts w:asciiTheme="minorHAnsi" w:hAnsiTheme="minorHAnsi" w:cstheme="minorHAnsi"/>
          <w:sz w:val="22"/>
          <w:szCs w:val="22"/>
        </w:rPr>
        <w:t xml:space="preserve">Todėl nesant kitų norminiuose </w:t>
      </w:r>
      <w:r w:rsidR="007B0044" w:rsidRPr="00B90026">
        <w:rPr>
          <w:rFonts w:asciiTheme="minorHAnsi" w:hAnsiTheme="minorHAnsi" w:cstheme="minorHAnsi"/>
          <w:sz w:val="22"/>
          <w:szCs w:val="22"/>
        </w:rPr>
        <w:t xml:space="preserve">teisės </w:t>
      </w:r>
      <w:r w:rsidRPr="00B90026">
        <w:rPr>
          <w:rFonts w:asciiTheme="minorHAnsi" w:hAnsiTheme="minorHAnsi" w:cstheme="minorHAnsi"/>
          <w:sz w:val="22"/>
          <w:szCs w:val="22"/>
        </w:rPr>
        <w:t xml:space="preserve">aktuose nustatytų taisyklių, </w:t>
      </w:r>
      <w:r w:rsidR="007B0044"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 xml:space="preserve">išplėstinė teisėjų kolegija sprendė, kad </w:t>
      </w:r>
      <w:r w:rsidRPr="00B90026">
        <w:rPr>
          <w:rFonts w:asciiTheme="minorHAnsi" w:hAnsiTheme="minorHAnsi" w:cstheme="minorHAnsi"/>
          <w:sz w:val="22"/>
          <w:szCs w:val="22"/>
          <w:u w:val="single"/>
        </w:rPr>
        <w:t>prekių tiekėjo (pareiškėjo) atliktas PVM sąskaitose faktūrose nurodytų asmenų patikrinimas PVM informacijos mainų sistemoje (VIES) ir aplinkybė, kad įgijėjas buvo įregistruotas šioje sistemoje tiekimo metu, yra pakankama pripažinti, jog tiekėjas įvykdė minėtą įrodinėjimo pareigą</w:t>
      </w:r>
      <w:r w:rsidRPr="00B90026">
        <w:rPr>
          <w:rFonts w:asciiTheme="minorHAnsi" w:hAnsiTheme="minorHAnsi" w:cstheme="minorHAnsi"/>
          <w:sz w:val="22"/>
          <w:szCs w:val="22"/>
        </w:rPr>
        <w:t>.</w:t>
      </w:r>
    </w:p>
    <w:p w:rsidR="008D5A54" w:rsidRPr="00B90026" w:rsidRDefault="008D5A54" w:rsidP="008D5A54">
      <w:pPr>
        <w:ind w:firstLine="567"/>
        <w:jc w:val="both"/>
        <w:rPr>
          <w:rFonts w:asciiTheme="minorHAnsi" w:hAnsiTheme="minorHAnsi" w:cstheme="minorHAnsi"/>
          <w:sz w:val="22"/>
          <w:szCs w:val="22"/>
        </w:rPr>
      </w:pPr>
      <w:r w:rsidRPr="00B90026">
        <w:rPr>
          <w:rFonts w:asciiTheme="minorHAnsi" w:hAnsiTheme="minorHAnsi" w:cstheme="minorHAnsi"/>
          <w:sz w:val="22"/>
          <w:szCs w:val="22"/>
        </w:rPr>
        <w:t>Neigdamas įgijėjų apmokestinamojo asmens statusą mokesčių administratorius, be kita ko, teik</w:t>
      </w:r>
      <w:r w:rsidR="007B0044" w:rsidRPr="00B90026">
        <w:rPr>
          <w:rFonts w:asciiTheme="minorHAnsi" w:hAnsiTheme="minorHAnsi" w:cstheme="minorHAnsi"/>
          <w:sz w:val="22"/>
          <w:szCs w:val="22"/>
        </w:rPr>
        <w:t>ė</w:t>
      </w:r>
      <w:r w:rsidR="00A46518">
        <w:rPr>
          <w:rFonts w:asciiTheme="minorHAnsi" w:hAnsiTheme="minorHAnsi" w:cstheme="minorHAnsi"/>
          <w:sz w:val="22"/>
          <w:szCs w:val="22"/>
        </w:rPr>
        <w:t xml:space="preserve"> </w:t>
      </w:r>
      <w:r w:rsidRPr="00B90026">
        <w:rPr>
          <w:rFonts w:asciiTheme="minorHAnsi" w:hAnsiTheme="minorHAnsi" w:cstheme="minorHAnsi"/>
          <w:sz w:val="22"/>
          <w:szCs w:val="22"/>
        </w:rPr>
        <w:t>argumentus, susijusius su PVM sąskaitose faktūrose nurodytų asmenų galimybe vykdyti veiklą, susijusią su ginčo prekių (degalų, skiediklio, tepalų ir kt.) įsigijimu, taip pat aplinkybe, kad praėjus beveik dviem metams po ginčo tiekimo sandorių</w:t>
      </w:r>
      <w:r w:rsidR="004752AE">
        <w:rPr>
          <w:rFonts w:asciiTheme="minorHAnsi" w:hAnsiTheme="minorHAnsi" w:cstheme="minorHAnsi"/>
          <w:sz w:val="22"/>
          <w:szCs w:val="22"/>
        </w:rPr>
        <w:t>,</w:t>
      </w:r>
      <w:r w:rsidRPr="00B90026">
        <w:rPr>
          <w:rFonts w:asciiTheme="minorHAnsi" w:hAnsiTheme="minorHAnsi" w:cstheme="minorHAnsi"/>
          <w:sz w:val="22"/>
          <w:szCs w:val="22"/>
        </w:rPr>
        <w:t xml:space="preserve"> atliktų (mokestinių) patikrinimų metu kai kurie pareiškėjo kontrahentai (jų atstovai) nebuvo rasti. Tačiau </w:t>
      </w:r>
      <w:r w:rsidR="009F10AC"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 xml:space="preserve">išplėstinė teisėjų kolegija pažymėjo, jog </w:t>
      </w:r>
      <w:r w:rsidR="004752AE">
        <w:rPr>
          <w:rFonts w:asciiTheme="minorHAnsi" w:hAnsiTheme="minorHAnsi" w:cstheme="minorHAnsi"/>
          <w:sz w:val="22"/>
          <w:szCs w:val="22"/>
        </w:rPr>
        <w:t xml:space="preserve">ESTT </w:t>
      </w:r>
      <w:r w:rsidRPr="00B90026">
        <w:rPr>
          <w:rFonts w:asciiTheme="minorHAnsi" w:hAnsiTheme="minorHAnsi" w:cstheme="minorHAnsi"/>
          <w:sz w:val="22"/>
          <w:szCs w:val="22"/>
        </w:rPr>
        <w:t xml:space="preserve">jau yra nusprendęs, kad </w:t>
      </w:r>
      <w:r w:rsidRPr="00B90026">
        <w:rPr>
          <w:rFonts w:asciiTheme="minorHAnsi" w:hAnsiTheme="minorHAnsi" w:cstheme="minorHAnsi"/>
          <w:sz w:val="22"/>
          <w:szCs w:val="22"/>
          <w:u w:val="single"/>
        </w:rPr>
        <w:t>apmokestinamojo asmens statuso egzistavimas savaime negali būti atmestas, pavyzdžiui, remiantis aplinkybe, kad dėl pastato, kuriame yra asmens buveinė, prastos būklės negalima jokia ekonominė veikla, nes toks neginčijamas faktas nepaneigia to, jog ši veikla galėjo būti vykdoma kitose vietose nei įmonės buveinė. Konkrečiai kalbant, kai nagrinėjama ekonominė veikla apima prekių tiekimus, įvykdytus per kelis vienas po kito einančius pardavimus, pirmasis šių prekių pirkėjas ir perpardavėjas gali tiesiog nurodyti pirmajam pardavėjui nuvežti aptariamas prekes tiesiai antrajam pirkėjui ir nebūtinai pats turėti sandėliavimo ir transportavimo priemonių, būtinų nagrinėjamoms prekėms tiekti. Taip pat dėl to, kad per administracines procedūras nebuvo įmanoma susi</w:t>
      </w:r>
      <w:r w:rsidR="009F10AC" w:rsidRPr="00B90026">
        <w:rPr>
          <w:rFonts w:asciiTheme="minorHAnsi" w:hAnsiTheme="minorHAnsi" w:cstheme="minorHAnsi"/>
          <w:sz w:val="22"/>
          <w:szCs w:val="22"/>
          <w:u w:val="single"/>
        </w:rPr>
        <w:t>si</w:t>
      </w:r>
      <w:r w:rsidRPr="00B90026">
        <w:rPr>
          <w:rFonts w:asciiTheme="minorHAnsi" w:hAnsiTheme="minorHAnsi" w:cstheme="minorHAnsi"/>
          <w:sz w:val="22"/>
          <w:szCs w:val="22"/>
          <w:u w:val="single"/>
        </w:rPr>
        <w:t xml:space="preserve">ekti su įmone arba su asmeniu, kuris įmonių registre nurodytas kaip jos direktorius, negalima automatiškai daryti išvados (nes bandyta susisiekti prieš pagrindinėje byloje nagrinėjamus tiekimus arba po jų), kad šių tiekimų dieną nevykdyta ekonominė veikla </w:t>
      </w:r>
      <w:r w:rsidRPr="00B90026">
        <w:rPr>
          <w:rFonts w:asciiTheme="minorHAnsi" w:hAnsiTheme="minorHAnsi" w:cstheme="minorHAnsi"/>
          <w:sz w:val="22"/>
          <w:szCs w:val="22"/>
        </w:rPr>
        <w:t xml:space="preserve">(žr. </w:t>
      </w:r>
      <w:r w:rsidR="004752AE">
        <w:rPr>
          <w:rFonts w:asciiTheme="minorHAnsi" w:hAnsiTheme="minorHAnsi" w:cstheme="minorHAnsi"/>
          <w:sz w:val="22"/>
          <w:szCs w:val="22"/>
        </w:rPr>
        <w:t xml:space="preserve">ESTT </w:t>
      </w:r>
      <w:r w:rsidRPr="00B90026">
        <w:rPr>
          <w:rFonts w:asciiTheme="minorHAnsi" w:hAnsiTheme="minorHAnsi" w:cstheme="minorHAnsi"/>
          <w:sz w:val="22"/>
          <w:szCs w:val="22"/>
        </w:rPr>
        <w:t xml:space="preserve">2015 m. spalio 22 d. sprendimo byloje </w:t>
      </w:r>
      <w:r w:rsidRPr="00B90026">
        <w:rPr>
          <w:rFonts w:asciiTheme="minorHAnsi" w:hAnsiTheme="minorHAnsi" w:cstheme="minorHAnsi"/>
          <w:i/>
          <w:sz w:val="22"/>
          <w:szCs w:val="22"/>
        </w:rPr>
        <w:t>PPUH Stehcemp</w:t>
      </w:r>
      <w:r w:rsidRPr="00B90026">
        <w:rPr>
          <w:rFonts w:asciiTheme="minorHAnsi" w:hAnsiTheme="minorHAnsi" w:cstheme="minorHAnsi"/>
          <w:sz w:val="22"/>
          <w:szCs w:val="22"/>
        </w:rPr>
        <w:t xml:space="preserve">, C-277/14, 35 ir 36 p.). </w:t>
      </w:r>
    </w:p>
    <w:p w:rsidR="008D5A54" w:rsidRPr="00B90026" w:rsidRDefault="008D5A54" w:rsidP="008D5A54">
      <w:pPr>
        <w:ind w:firstLine="567"/>
        <w:jc w:val="both"/>
        <w:rPr>
          <w:rFonts w:asciiTheme="minorHAnsi" w:hAnsiTheme="minorHAnsi" w:cstheme="minorHAnsi"/>
          <w:sz w:val="22"/>
          <w:szCs w:val="22"/>
        </w:rPr>
      </w:pPr>
      <w:r w:rsidRPr="00B90026">
        <w:rPr>
          <w:rFonts w:asciiTheme="minorHAnsi" w:hAnsiTheme="minorHAnsi" w:cstheme="minorHAnsi"/>
          <w:sz w:val="22"/>
          <w:szCs w:val="22"/>
        </w:rPr>
        <w:t>Kaip minėta, apžvelgiamoje byloje vietos mokesčių administratorius ir atsakovas vertin</w:t>
      </w:r>
      <w:r w:rsidR="009F10AC" w:rsidRPr="00B90026">
        <w:rPr>
          <w:rFonts w:asciiTheme="minorHAnsi" w:hAnsiTheme="minorHAnsi" w:cstheme="minorHAnsi"/>
          <w:sz w:val="22"/>
          <w:szCs w:val="22"/>
        </w:rPr>
        <w:t>o</w:t>
      </w:r>
      <w:r w:rsidRPr="00B90026">
        <w:rPr>
          <w:rFonts w:asciiTheme="minorHAnsi" w:hAnsiTheme="minorHAnsi" w:cstheme="minorHAnsi"/>
          <w:sz w:val="22"/>
          <w:szCs w:val="22"/>
        </w:rPr>
        <w:t>, jog prekės buvo patiektos ne PVM sąskaitose faktūrose nurodytiems, o kitiems (nenustatytiems)</w:t>
      </w:r>
      <w:r w:rsidR="009F10AC" w:rsidRPr="00B90026">
        <w:rPr>
          <w:rFonts w:asciiTheme="minorHAnsi" w:hAnsiTheme="minorHAnsi" w:cstheme="minorHAnsi"/>
          <w:sz w:val="22"/>
          <w:szCs w:val="22"/>
        </w:rPr>
        <w:t xml:space="preserve"> </w:t>
      </w:r>
      <w:r w:rsidRPr="00B90026">
        <w:rPr>
          <w:rFonts w:asciiTheme="minorHAnsi" w:hAnsiTheme="minorHAnsi" w:cstheme="minorHAnsi"/>
          <w:sz w:val="22"/>
          <w:szCs w:val="22"/>
        </w:rPr>
        <w:t>asmenims, t. y. kad šiuose apskaitos dokumentuose (gal</w:t>
      </w:r>
      <w:r w:rsidR="009F10AC" w:rsidRPr="00B90026">
        <w:rPr>
          <w:rFonts w:asciiTheme="minorHAnsi" w:hAnsiTheme="minorHAnsi" w:cstheme="minorHAnsi"/>
          <w:sz w:val="22"/>
          <w:szCs w:val="22"/>
        </w:rPr>
        <w:t>būt</w:t>
      </w:r>
      <w:r w:rsidRPr="00B90026">
        <w:rPr>
          <w:rFonts w:asciiTheme="minorHAnsi" w:hAnsiTheme="minorHAnsi" w:cstheme="minorHAnsi"/>
          <w:sz w:val="22"/>
          <w:szCs w:val="22"/>
        </w:rPr>
        <w:t xml:space="preserve">) nebuvo nurodyti tikrieji ginčo prekių įgijėjai. Šiuo klausimu </w:t>
      </w:r>
      <w:r w:rsidR="009F10AC"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išplėstinė teisėjų kolegija paminėjo, kad atsisakymas taikyti atleidimą nuo mokesčio, kai nevykdoma nacionalinėje teisėje numatyta pareiga, šiuo atveju – pareiga nurodyti įgijėją (PVM įstatymo 80 str. 1 d. (2004</w:t>
      </w:r>
      <w:r w:rsidR="009F10AC" w:rsidRPr="00B90026">
        <w:rPr>
          <w:rFonts w:asciiTheme="minorHAnsi" w:hAnsiTheme="minorHAnsi" w:cstheme="minorHAnsi"/>
          <w:sz w:val="22"/>
          <w:szCs w:val="22"/>
        </w:rPr>
        <w:t> </w:t>
      </w:r>
      <w:r w:rsidRPr="00B90026">
        <w:rPr>
          <w:rFonts w:asciiTheme="minorHAnsi" w:hAnsiTheme="minorHAnsi" w:cstheme="minorHAnsi"/>
          <w:sz w:val="22"/>
          <w:szCs w:val="22"/>
        </w:rPr>
        <w:t>m. sausio 15 d. įstatymo Nr. IX-1960 redakcija), kuriam skirtos Bendrijos viduje patiektos prekės, turi atgrasomąjį poveikį, kuriuo siekiama užtikrinti minėtos pareigos veiksmingumą ir užkir</w:t>
      </w:r>
      <w:r w:rsidR="009F10AC" w:rsidRPr="00B90026">
        <w:rPr>
          <w:rFonts w:asciiTheme="minorHAnsi" w:hAnsiTheme="minorHAnsi" w:cstheme="minorHAnsi"/>
          <w:sz w:val="22"/>
          <w:szCs w:val="22"/>
        </w:rPr>
        <w:t>s</w:t>
      </w:r>
      <w:r w:rsidRPr="00B90026">
        <w:rPr>
          <w:rFonts w:asciiTheme="minorHAnsi" w:hAnsiTheme="minorHAnsi" w:cstheme="minorHAnsi"/>
          <w:sz w:val="22"/>
          <w:szCs w:val="22"/>
        </w:rPr>
        <w:t>ti kelią bet kokiam sukčiavimui ar mokesčių vengimui (</w:t>
      </w:r>
      <w:r w:rsidR="004752AE">
        <w:rPr>
          <w:rFonts w:asciiTheme="minorHAnsi" w:hAnsiTheme="minorHAnsi" w:cstheme="minorHAnsi"/>
          <w:sz w:val="22"/>
          <w:szCs w:val="22"/>
        </w:rPr>
        <w:t xml:space="preserve">ESTT </w:t>
      </w:r>
      <w:r w:rsidRPr="00B90026">
        <w:rPr>
          <w:rFonts w:asciiTheme="minorHAnsi" w:hAnsiTheme="minorHAnsi" w:cstheme="minorHAnsi"/>
          <w:sz w:val="22"/>
          <w:szCs w:val="22"/>
        </w:rPr>
        <w:t xml:space="preserve">2010 m. gruodžio 7 d. sprendimo byloje </w:t>
      </w:r>
      <w:r w:rsidRPr="00B90026">
        <w:rPr>
          <w:rFonts w:asciiTheme="minorHAnsi" w:hAnsiTheme="minorHAnsi" w:cstheme="minorHAnsi"/>
          <w:i/>
          <w:sz w:val="22"/>
          <w:szCs w:val="22"/>
        </w:rPr>
        <w:t>R</w:t>
      </w:r>
      <w:r w:rsidRPr="00B90026">
        <w:rPr>
          <w:rFonts w:asciiTheme="minorHAnsi" w:hAnsiTheme="minorHAnsi" w:cstheme="minorHAnsi"/>
          <w:sz w:val="22"/>
          <w:szCs w:val="22"/>
        </w:rPr>
        <w:t>., C-285/09, 50 p.). Iš tiesų PVM sąskaitose faktūrose nenurodžius tikrų įgijėjų tapatybės, šie galėtų išvengti už į atitinkamą valstybę narę</w:t>
      </w:r>
      <w:r w:rsidR="00A46518">
        <w:rPr>
          <w:rFonts w:asciiTheme="minorHAnsi" w:hAnsiTheme="minorHAnsi" w:cstheme="minorHAnsi"/>
          <w:sz w:val="22"/>
          <w:szCs w:val="22"/>
        </w:rPr>
        <w:t xml:space="preserve"> </w:t>
      </w:r>
      <w:r w:rsidRPr="00B90026">
        <w:rPr>
          <w:rFonts w:asciiTheme="minorHAnsi" w:hAnsiTheme="minorHAnsi" w:cstheme="minorHAnsi"/>
          <w:sz w:val="22"/>
          <w:szCs w:val="22"/>
        </w:rPr>
        <w:t>vykdytą prekių tiekimą Bendrijos viduje tenkančio PVM mokėjimo.</w:t>
      </w:r>
    </w:p>
    <w:p w:rsidR="008D5A54" w:rsidRPr="00B90026" w:rsidRDefault="008D5A54" w:rsidP="008D5A54">
      <w:pPr>
        <w:ind w:firstLine="567"/>
        <w:jc w:val="both"/>
        <w:rPr>
          <w:rFonts w:asciiTheme="minorHAnsi" w:hAnsiTheme="minorHAnsi" w:cstheme="minorHAnsi"/>
          <w:sz w:val="22"/>
          <w:szCs w:val="22"/>
        </w:rPr>
      </w:pPr>
      <w:r w:rsidRPr="00B90026">
        <w:rPr>
          <w:rFonts w:asciiTheme="minorHAnsi" w:hAnsiTheme="minorHAnsi" w:cstheme="minorHAnsi"/>
          <w:sz w:val="22"/>
          <w:szCs w:val="22"/>
        </w:rPr>
        <w:t>Kita vertus</w:t>
      </w:r>
      <w:r w:rsidR="009F10AC" w:rsidRPr="00B90026">
        <w:rPr>
          <w:rFonts w:asciiTheme="minorHAnsi" w:hAnsiTheme="minorHAnsi" w:cstheme="minorHAnsi"/>
          <w:sz w:val="22"/>
          <w:szCs w:val="22"/>
        </w:rPr>
        <w:t xml:space="preserve">, LVAT </w:t>
      </w:r>
      <w:r w:rsidRPr="00B90026">
        <w:rPr>
          <w:rFonts w:asciiTheme="minorHAnsi" w:hAnsiTheme="minorHAnsi" w:cstheme="minorHAnsi"/>
          <w:sz w:val="22"/>
          <w:szCs w:val="22"/>
        </w:rPr>
        <w:t xml:space="preserve">išplėstinė teisėjų kolegija priminė ir tai, kad </w:t>
      </w:r>
      <w:r w:rsidRPr="00B90026">
        <w:rPr>
          <w:rFonts w:asciiTheme="minorHAnsi" w:hAnsiTheme="minorHAnsi" w:cstheme="minorHAnsi"/>
          <w:sz w:val="22"/>
          <w:szCs w:val="22"/>
          <w:u w:val="single"/>
        </w:rPr>
        <w:t>dėl formalių reikalavimų nesilaikymo galima prarasti teisę į neapmokestinimą PVM tik dviem atvejais: (1) jei apmokestinamasis asmuo tyčia sukčiavo mokesčių srityje arba žinojo ar turėjo žinoti, kad jo vykdomas sandoris yra įgijėjo sukčiavimo dalis, ir nesiėmė visų pagrįstų priemonių, kad išvengtų šio sukčiavimo; (2) dėl formalaus reikalavimo pažeidimo gali būti netaikomas neapmokestinimas PVM, jei dėl šio pažeidimo nebūtų galima pateikti neginčijamo įrodymo, kad esminiai reikalavimai (sąlygos) įvykdyti</w:t>
      </w:r>
      <w:r w:rsidRPr="00B90026">
        <w:rPr>
          <w:rFonts w:asciiTheme="minorHAnsi" w:hAnsiTheme="minorHAnsi" w:cstheme="minorHAnsi"/>
          <w:sz w:val="22"/>
          <w:szCs w:val="22"/>
        </w:rPr>
        <w:t xml:space="preserve"> (žr. </w:t>
      </w:r>
      <w:r w:rsidR="004752AE">
        <w:rPr>
          <w:rFonts w:asciiTheme="minorHAnsi" w:hAnsiTheme="minorHAnsi" w:cstheme="minorHAnsi"/>
          <w:sz w:val="22"/>
          <w:szCs w:val="22"/>
        </w:rPr>
        <w:t xml:space="preserve">ESTT </w:t>
      </w:r>
      <w:r w:rsidRPr="00B90026">
        <w:rPr>
          <w:rFonts w:asciiTheme="minorHAnsi" w:hAnsiTheme="minorHAnsi" w:cstheme="minorHAnsi"/>
          <w:sz w:val="22"/>
          <w:szCs w:val="22"/>
        </w:rPr>
        <w:t xml:space="preserve">2017 m. vasario 9 d. sprendimo byloje </w:t>
      </w:r>
      <w:r w:rsidRPr="00B90026">
        <w:rPr>
          <w:rFonts w:asciiTheme="minorHAnsi" w:hAnsiTheme="minorHAnsi" w:cstheme="minorHAnsi"/>
          <w:i/>
          <w:sz w:val="22"/>
          <w:szCs w:val="22"/>
        </w:rPr>
        <w:t>Euro Tyre</w:t>
      </w:r>
      <w:r w:rsidRPr="00B90026">
        <w:rPr>
          <w:rFonts w:asciiTheme="minorHAnsi" w:hAnsiTheme="minorHAnsi" w:cstheme="minorHAnsi"/>
          <w:sz w:val="22"/>
          <w:szCs w:val="22"/>
        </w:rPr>
        <w:t xml:space="preserve">, C-21/16, 38–42 p. ir juose nurodytą teismo praktiką). </w:t>
      </w:r>
      <w:r w:rsidRPr="00B90026">
        <w:rPr>
          <w:rFonts w:asciiTheme="minorHAnsi" w:hAnsiTheme="minorHAnsi" w:cstheme="minorHAnsi"/>
          <w:sz w:val="22"/>
          <w:szCs w:val="22"/>
          <w:u w:val="single"/>
        </w:rPr>
        <w:t>Atvejais, kai PVM sąskaitoje faktūroje yra nurodyti ne tikrieji įgijėjai, teisė į neapmokestinimą PVM gali būti paneigta</w:t>
      </w:r>
      <w:r w:rsidR="009F10AC" w:rsidRPr="00B90026">
        <w:rPr>
          <w:rFonts w:asciiTheme="minorHAnsi" w:hAnsiTheme="minorHAnsi" w:cstheme="minorHAnsi"/>
          <w:sz w:val="22"/>
          <w:szCs w:val="22"/>
          <w:u w:val="single"/>
        </w:rPr>
        <w:t>,</w:t>
      </w:r>
      <w:r w:rsidRPr="00B90026">
        <w:rPr>
          <w:rFonts w:asciiTheme="minorHAnsi" w:hAnsiTheme="minorHAnsi" w:cstheme="minorHAnsi"/>
          <w:sz w:val="22"/>
          <w:szCs w:val="22"/>
          <w:u w:val="single"/>
        </w:rPr>
        <w:t xml:space="preserve"> tik jei tiekėjas: (1) pats sukčiavo, pavyzdžiui, tyčia nurodydamas klaidingus duomenis apie įgijėją; (2) žinojo arba, būdamas atidus ir rūpestingas,</w:t>
      </w:r>
      <w:r w:rsidR="009F10AC" w:rsidRPr="00B90026">
        <w:rPr>
          <w:rFonts w:asciiTheme="minorHAnsi" w:hAnsiTheme="minorHAnsi" w:cstheme="minorHAnsi"/>
          <w:sz w:val="22"/>
          <w:szCs w:val="22"/>
          <w:u w:val="single"/>
        </w:rPr>
        <w:t xml:space="preserve"> </w:t>
      </w:r>
      <w:r w:rsidRPr="00B90026">
        <w:rPr>
          <w:rFonts w:asciiTheme="minorHAnsi" w:hAnsiTheme="minorHAnsi" w:cstheme="minorHAnsi"/>
          <w:sz w:val="22"/>
          <w:szCs w:val="22"/>
          <w:u w:val="single"/>
        </w:rPr>
        <w:t>galėjo žinoti, jog įgijėjas sukčiauja, bet vis tiek sudarė sandorį</w:t>
      </w:r>
      <w:r w:rsidRPr="00B90026">
        <w:rPr>
          <w:rStyle w:val="Puslapioinaosnuoroda"/>
          <w:rFonts w:asciiTheme="minorHAnsi" w:hAnsiTheme="minorHAnsi" w:cstheme="minorHAnsi"/>
          <w:sz w:val="22"/>
          <w:szCs w:val="22"/>
          <w:u w:val="single"/>
        </w:rPr>
        <w:footnoteReference w:id="2"/>
      </w:r>
      <w:r w:rsidRPr="00B90026">
        <w:rPr>
          <w:rFonts w:asciiTheme="minorHAnsi" w:hAnsiTheme="minorHAnsi" w:cstheme="minorHAnsi"/>
          <w:sz w:val="22"/>
          <w:szCs w:val="22"/>
        </w:rPr>
        <w:t>.</w:t>
      </w:r>
    </w:p>
    <w:p w:rsidR="008D5A54" w:rsidRPr="00B90026" w:rsidRDefault="008D5A54" w:rsidP="008D5A54">
      <w:pPr>
        <w:ind w:firstLine="567"/>
        <w:jc w:val="both"/>
        <w:rPr>
          <w:rFonts w:asciiTheme="minorHAnsi" w:hAnsiTheme="minorHAnsi" w:cstheme="minorHAnsi"/>
          <w:sz w:val="22"/>
          <w:szCs w:val="22"/>
        </w:rPr>
      </w:pPr>
      <w:r w:rsidRPr="00B90026">
        <w:rPr>
          <w:rFonts w:asciiTheme="minorHAnsi" w:hAnsiTheme="minorHAnsi" w:cstheme="minorHAnsi"/>
          <w:sz w:val="22"/>
          <w:szCs w:val="22"/>
        </w:rPr>
        <w:t>Pastaruoju aspektu apžvelgiamoje byloje buvo surinkta pakankamai duomenų, jog tik dalyje tiekimų tikraisiais įgijėjais buvo ne sąskaitose faktūrose nurodytos įmonės, bet kiti asmenys, tačiau byloje nebuvo pakankamai duomenų, leidžiančių vienareikšmiškai paneigti, jog ginčo prekės (jų dalis) visais atvejai</w:t>
      </w:r>
      <w:r w:rsidR="009F10AC" w:rsidRPr="00B90026">
        <w:rPr>
          <w:rFonts w:asciiTheme="minorHAnsi" w:hAnsiTheme="minorHAnsi" w:cstheme="minorHAnsi"/>
          <w:sz w:val="22"/>
          <w:szCs w:val="22"/>
        </w:rPr>
        <w:t>s</w:t>
      </w:r>
      <w:r w:rsidRPr="00B90026">
        <w:rPr>
          <w:rFonts w:asciiTheme="minorHAnsi" w:hAnsiTheme="minorHAnsi" w:cstheme="minorHAnsi"/>
          <w:sz w:val="22"/>
          <w:szCs w:val="22"/>
        </w:rPr>
        <w:t xml:space="preserve"> buvo tiekiamos ne apskaitos dokumentuose nurodytiems asmenims. Kita vertus, byloje nustatyta, kad ginčo PVM sąskaitose faktūrose nurodyti asmenys, esantys kitose valstybėse narėse, nedeklaravo ginčo įsigijimų Bendrijos viduje ir nesumokėjo PVM, t. y. sukčiavo. Be to, sukčiavimu </w:t>
      </w:r>
      <w:r w:rsidR="009F10AC"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išplėstinė teisėjų kolegija pripažino ir atvejį, kai tikrieji prekių įgijėjai apsimeta kitais (apmokestinamaisiais) asmenimis.</w:t>
      </w:r>
    </w:p>
    <w:p w:rsidR="009F10AC" w:rsidRPr="00B90026" w:rsidRDefault="008D5A54" w:rsidP="008D5A54">
      <w:pPr>
        <w:ind w:firstLine="567"/>
        <w:jc w:val="both"/>
        <w:rPr>
          <w:rFonts w:asciiTheme="minorHAnsi" w:hAnsiTheme="minorHAnsi" w:cstheme="minorHAnsi"/>
          <w:sz w:val="22"/>
          <w:szCs w:val="22"/>
        </w:rPr>
      </w:pPr>
      <w:r w:rsidRPr="00B90026">
        <w:rPr>
          <w:rFonts w:asciiTheme="minorHAnsi" w:hAnsiTheme="minorHAnsi" w:cstheme="minorHAnsi"/>
          <w:sz w:val="22"/>
          <w:szCs w:val="22"/>
        </w:rPr>
        <w:lastRenderedPageBreak/>
        <w:t>Vertindama šias aplinkybes,</w:t>
      </w:r>
      <w:r w:rsidR="009F10AC" w:rsidRPr="00B90026">
        <w:rPr>
          <w:rFonts w:asciiTheme="minorHAnsi" w:hAnsiTheme="minorHAnsi" w:cstheme="minorHAnsi"/>
          <w:sz w:val="22"/>
          <w:szCs w:val="22"/>
        </w:rPr>
        <w:t xml:space="preserve"> LVAT </w:t>
      </w:r>
      <w:r w:rsidRPr="00B90026">
        <w:rPr>
          <w:rFonts w:asciiTheme="minorHAnsi" w:hAnsiTheme="minorHAnsi" w:cstheme="minorHAnsi"/>
          <w:sz w:val="22"/>
          <w:szCs w:val="22"/>
        </w:rPr>
        <w:t xml:space="preserve">išplėstinė teisėjų kolegija priminė, kad tiekėjas turi galėti pasitikėti jo vykdomo sandorio teisėtumu, nerizikuodamas prarasti savo teisės į atleidimą nuo PVM, kai jis negali žinoti, net veikdamas kaip rūpestingas ir apdairus prekybininkas, kad atleidimo nuo mokesčio sąlygos iš tikrųjų nebuvo įvykdytos dėl pirkėjo (įgijėjo) apgaulės (pvz., pagal analogiją žr. </w:t>
      </w:r>
      <w:r w:rsidR="009752C9">
        <w:rPr>
          <w:rFonts w:asciiTheme="minorHAnsi" w:hAnsiTheme="minorHAnsi" w:cstheme="minorHAnsi"/>
          <w:sz w:val="22"/>
          <w:szCs w:val="22"/>
        </w:rPr>
        <w:t xml:space="preserve">ESTT </w:t>
      </w:r>
      <w:r w:rsidRPr="00B90026">
        <w:rPr>
          <w:rFonts w:asciiTheme="minorHAnsi" w:hAnsiTheme="minorHAnsi" w:cstheme="minorHAnsi"/>
          <w:sz w:val="22"/>
          <w:szCs w:val="22"/>
        </w:rPr>
        <w:t xml:space="preserve">2008 m. vasario 21 d. sprendimo byloje </w:t>
      </w:r>
      <w:r w:rsidRPr="00B90026">
        <w:rPr>
          <w:rFonts w:asciiTheme="minorHAnsi" w:hAnsiTheme="minorHAnsi" w:cstheme="minorHAnsi"/>
          <w:i/>
          <w:sz w:val="22"/>
          <w:szCs w:val="22"/>
        </w:rPr>
        <w:t>Netto Supermarkt</w:t>
      </w:r>
      <w:r w:rsidRPr="00B90026">
        <w:rPr>
          <w:rFonts w:asciiTheme="minorHAnsi" w:hAnsiTheme="minorHAnsi" w:cstheme="minorHAnsi"/>
          <w:sz w:val="22"/>
          <w:szCs w:val="22"/>
        </w:rPr>
        <w:t>, C-271/06, 27 ir 29 p.). Todėl, kaip minėta, net ir konstatavus, kad tikrieji ginčo prekių įgijėjai buvo nenustatyti asmenys ar įgijėjai sukčiavo PVM srityje, šie tiekimai turi būti vertinami tiekėjo (pareiškėjo) sąžiningumo aspektu. Tai reiškia, kad kadangi mokesčių administratorius nenurodė, jog pareiškėjas pats sukčiavo (tokių duomenų nenustatyta), jo (pareiškėjo) teisę į tiekimo Bendrijos viduje neapmokestinimą (apmokestinimą taikant 0 proc. PVM tarifą) galima paneigti, jei šis apmokestinamasis asmuo žinojo ar turėjo žinoti, jog dalyvauja į sukčiavimą įtrauktuose sandoriuose (žr.</w:t>
      </w:r>
      <w:r w:rsidR="009752C9">
        <w:rPr>
          <w:rFonts w:asciiTheme="minorHAnsi" w:hAnsiTheme="minorHAnsi" w:cstheme="minorHAnsi"/>
          <w:sz w:val="22"/>
          <w:szCs w:val="22"/>
        </w:rPr>
        <w:t xml:space="preserve"> ESTT 2</w:t>
      </w:r>
      <w:r w:rsidRPr="00B90026">
        <w:rPr>
          <w:rFonts w:asciiTheme="minorHAnsi" w:hAnsiTheme="minorHAnsi" w:cstheme="minorHAnsi"/>
          <w:sz w:val="22"/>
          <w:szCs w:val="22"/>
        </w:rPr>
        <w:t>017</w:t>
      </w:r>
      <w:r w:rsidR="009F10AC" w:rsidRPr="00B90026">
        <w:rPr>
          <w:rFonts w:asciiTheme="minorHAnsi" w:hAnsiTheme="minorHAnsi" w:cstheme="minorHAnsi"/>
          <w:sz w:val="22"/>
          <w:szCs w:val="22"/>
        </w:rPr>
        <w:t> </w:t>
      </w:r>
      <w:r w:rsidRPr="00B90026">
        <w:rPr>
          <w:rFonts w:asciiTheme="minorHAnsi" w:hAnsiTheme="minorHAnsi" w:cstheme="minorHAnsi"/>
          <w:sz w:val="22"/>
          <w:szCs w:val="22"/>
        </w:rPr>
        <w:t>m.</w:t>
      </w:r>
      <w:r w:rsidR="009F10AC" w:rsidRPr="00B90026">
        <w:rPr>
          <w:rFonts w:asciiTheme="minorHAnsi" w:hAnsiTheme="minorHAnsi" w:cstheme="minorHAnsi"/>
          <w:sz w:val="22"/>
          <w:szCs w:val="22"/>
        </w:rPr>
        <w:t> </w:t>
      </w:r>
      <w:r w:rsidRPr="00B90026">
        <w:rPr>
          <w:rFonts w:asciiTheme="minorHAnsi" w:hAnsiTheme="minorHAnsi" w:cstheme="minorHAnsi"/>
          <w:sz w:val="22"/>
          <w:szCs w:val="22"/>
        </w:rPr>
        <w:t>vasario</w:t>
      </w:r>
      <w:r w:rsidR="009F10AC" w:rsidRPr="00B90026">
        <w:rPr>
          <w:rFonts w:asciiTheme="minorHAnsi" w:hAnsiTheme="minorHAnsi" w:cstheme="minorHAnsi"/>
          <w:sz w:val="22"/>
          <w:szCs w:val="22"/>
        </w:rPr>
        <w:t> </w:t>
      </w:r>
      <w:r w:rsidRPr="00B90026">
        <w:rPr>
          <w:rFonts w:asciiTheme="minorHAnsi" w:hAnsiTheme="minorHAnsi" w:cstheme="minorHAnsi"/>
          <w:sz w:val="22"/>
          <w:szCs w:val="22"/>
        </w:rPr>
        <w:t>9</w:t>
      </w:r>
      <w:r w:rsidR="009F10AC" w:rsidRPr="00B90026">
        <w:rPr>
          <w:rFonts w:asciiTheme="minorHAnsi" w:hAnsiTheme="minorHAnsi" w:cstheme="minorHAnsi"/>
          <w:sz w:val="22"/>
          <w:szCs w:val="22"/>
        </w:rPr>
        <w:t> </w:t>
      </w:r>
      <w:r w:rsidRPr="00B90026">
        <w:rPr>
          <w:rFonts w:asciiTheme="minorHAnsi" w:hAnsiTheme="minorHAnsi" w:cstheme="minorHAnsi"/>
          <w:sz w:val="22"/>
          <w:szCs w:val="22"/>
        </w:rPr>
        <w:t xml:space="preserve">d. sprendimo byloje </w:t>
      </w:r>
      <w:r w:rsidRPr="00B90026">
        <w:rPr>
          <w:rFonts w:asciiTheme="minorHAnsi" w:hAnsiTheme="minorHAnsi" w:cstheme="minorHAnsi"/>
          <w:i/>
          <w:sz w:val="22"/>
          <w:szCs w:val="22"/>
        </w:rPr>
        <w:t>Euro Tyre</w:t>
      </w:r>
      <w:r w:rsidRPr="00B90026">
        <w:rPr>
          <w:rFonts w:asciiTheme="minorHAnsi" w:hAnsiTheme="minorHAnsi" w:cstheme="minorHAnsi"/>
          <w:sz w:val="22"/>
          <w:szCs w:val="22"/>
        </w:rPr>
        <w:t>, C-21/16, 40 p. ir jame nurodytą šio teismo praktiką).</w:t>
      </w:r>
    </w:p>
    <w:p w:rsidR="008D5A54" w:rsidRPr="00B90026" w:rsidRDefault="008D5A54" w:rsidP="008D5A54">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Šiuo klausimu </w:t>
      </w:r>
      <w:r w:rsidR="009F10AC"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 xml:space="preserve">išplėstinė teisėjų kolegija pastebėjo, kad </w:t>
      </w:r>
      <w:r w:rsidR="009752C9">
        <w:rPr>
          <w:rFonts w:asciiTheme="minorHAnsi" w:hAnsiTheme="minorHAnsi" w:cstheme="minorHAnsi"/>
          <w:sz w:val="22"/>
          <w:szCs w:val="22"/>
        </w:rPr>
        <w:t xml:space="preserve">ESTT </w:t>
      </w:r>
      <w:r w:rsidRPr="00B90026">
        <w:rPr>
          <w:rFonts w:asciiTheme="minorHAnsi" w:hAnsiTheme="minorHAnsi" w:cstheme="minorHAnsi"/>
          <w:sz w:val="22"/>
          <w:szCs w:val="22"/>
        </w:rPr>
        <w:t xml:space="preserve">praktikoje nuosekliai laikomasi pozicijos, </w:t>
      </w:r>
      <w:r w:rsidR="009F10AC" w:rsidRPr="00B90026">
        <w:rPr>
          <w:rFonts w:asciiTheme="minorHAnsi" w:hAnsiTheme="minorHAnsi" w:cstheme="minorHAnsi"/>
          <w:sz w:val="22"/>
          <w:szCs w:val="22"/>
        </w:rPr>
        <w:t xml:space="preserve">jog </w:t>
      </w:r>
      <w:r w:rsidRPr="00B90026">
        <w:rPr>
          <w:rFonts w:asciiTheme="minorHAnsi" w:hAnsiTheme="minorHAnsi" w:cstheme="minorHAnsi"/>
          <w:sz w:val="22"/>
          <w:szCs w:val="22"/>
        </w:rPr>
        <w:t xml:space="preserve">Sąjungos teisei iš esmės neprieštarauja reikalavimas, kad ūkio subjektas imtųsi visų priemonių, kurių gali būti iš jo pagrįstai reikalaujama, jog įsitikintų, kad jo sudaromas sandoris neįtraukia jo į sukčiavimą mokesčių srityje (šiuo klausimu žr. </w:t>
      </w:r>
      <w:r w:rsidR="009752C9">
        <w:rPr>
          <w:rFonts w:asciiTheme="minorHAnsi" w:hAnsiTheme="minorHAnsi" w:cstheme="minorHAnsi"/>
          <w:sz w:val="22"/>
          <w:szCs w:val="22"/>
        </w:rPr>
        <w:t xml:space="preserve">ESTT </w:t>
      </w:r>
      <w:r w:rsidRPr="00B90026">
        <w:rPr>
          <w:rFonts w:asciiTheme="minorHAnsi" w:hAnsiTheme="minorHAnsi" w:cstheme="minorHAnsi"/>
          <w:sz w:val="22"/>
          <w:szCs w:val="22"/>
        </w:rPr>
        <w:t xml:space="preserve">2007 m. rugsėjo 27 d. sprendimo byloje </w:t>
      </w:r>
      <w:r w:rsidRPr="00B90026">
        <w:rPr>
          <w:rFonts w:asciiTheme="minorHAnsi" w:hAnsiTheme="minorHAnsi" w:cstheme="minorHAnsi"/>
          <w:i/>
          <w:sz w:val="22"/>
          <w:szCs w:val="22"/>
        </w:rPr>
        <w:t>Teleos ir kt.</w:t>
      </w:r>
      <w:r w:rsidRPr="00B90026">
        <w:rPr>
          <w:rFonts w:asciiTheme="minorHAnsi" w:hAnsiTheme="minorHAnsi" w:cstheme="minorHAnsi"/>
          <w:sz w:val="22"/>
          <w:szCs w:val="22"/>
        </w:rPr>
        <w:t xml:space="preserve">, C-409/04, 65 ir 68 p.; 2008 m. vasario 21 d. sprendimo byloje </w:t>
      </w:r>
      <w:r w:rsidRPr="00B90026">
        <w:rPr>
          <w:rFonts w:asciiTheme="minorHAnsi" w:hAnsiTheme="minorHAnsi" w:cstheme="minorHAnsi"/>
          <w:i/>
          <w:sz w:val="22"/>
          <w:szCs w:val="22"/>
        </w:rPr>
        <w:t>Netto Supermarkt</w:t>
      </w:r>
      <w:r w:rsidRPr="00B90026">
        <w:rPr>
          <w:rFonts w:asciiTheme="minorHAnsi" w:hAnsiTheme="minorHAnsi" w:cstheme="minorHAnsi"/>
          <w:sz w:val="22"/>
          <w:szCs w:val="22"/>
        </w:rPr>
        <w:t xml:space="preserve">, C-271/06, 24 p.; 2011 m. gruodžio 21 d. sprendimo byloje </w:t>
      </w:r>
      <w:r w:rsidRPr="00B90026">
        <w:rPr>
          <w:rFonts w:asciiTheme="minorHAnsi" w:hAnsiTheme="minorHAnsi" w:cstheme="minorHAnsi"/>
          <w:i/>
          <w:sz w:val="22"/>
          <w:szCs w:val="22"/>
        </w:rPr>
        <w:t>Vlaamse</w:t>
      </w:r>
      <w:r w:rsidRPr="00B90026">
        <w:rPr>
          <w:rFonts w:asciiTheme="minorHAnsi" w:hAnsiTheme="minorHAnsi" w:cstheme="minorHAnsi"/>
          <w:sz w:val="22"/>
          <w:szCs w:val="22"/>
        </w:rPr>
        <w:t xml:space="preserve"> </w:t>
      </w:r>
      <w:r w:rsidRPr="00B90026">
        <w:rPr>
          <w:rFonts w:asciiTheme="minorHAnsi" w:hAnsiTheme="minorHAnsi" w:cstheme="minorHAnsi"/>
          <w:i/>
          <w:sz w:val="22"/>
          <w:szCs w:val="22"/>
        </w:rPr>
        <w:t>Oliemaatschappij</w:t>
      </w:r>
      <w:r w:rsidRPr="00B90026">
        <w:rPr>
          <w:rFonts w:asciiTheme="minorHAnsi" w:hAnsiTheme="minorHAnsi" w:cstheme="minorHAnsi"/>
          <w:sz w:val="22"/>
          <w:szCs w:val="22"/>
        </w:rPr>
        <w:t xml:space="preserve">, C-499/10, 25 p.). Tačiau </w:t>
      </w:r>
      <w:r w:rsidRPr="00B90026">
        <w:rPr>
          <w:rFonts w:asciiTheme="minorHAnsi" w:hAnsiTheme="minorHAnsi" w:cstheme="minorHAnsi"/>
          <w:sz w:val="22"/>
          <w:szCs w:val="22"/>
          <w:u w:val="single"/>
        </w:rPr>
        <w:t>iš apmokestinamojo asmens negali būti reikalaujama bendrai, pavyzdžiui, pirma, tikrinti, ar kontrahentas turi reikiamus išteklius veiklai vykdyti, taip pat ar vykdo savo pareigas deklaruoti bei mokėti PVM, kad įsitikintų, jog įgijėjai nedaro pažeidimų ar nesukčiauja, antra, turėti tai patvirtinančius dokumentus</w:t>
      </w:r>
      <w:r w:rsidRPr="00B90026">
        <w:rPr>
          <w:rFonts w:asciiTheme="minorHAnsi" w:hAnsiTheme="minorHAnsi" w:cstheme="minorHAnsi"/>
          <w:sz w:val="22"/>
          <w:szCs w:val="22"/>
        </w:rPr>
        <w:t xml:space="preserve"> (pagal analogiją žr. </w:t>
      </w:r>
      <w:r w:rsidR="009752C9">
        <w:rPr>
          <w:rFonts w:asciiTheme="minorHAnsi" w:hAnsiTheme="minorHAnsi" w:cstheme="minorHAnsi"/>
          <w:sz w:val="22"/>
          <w:szCs w:val="22"/>
        </w:rPr>
        <w:t xml:space="preserve">ESTT </w:t>
      </w:r>
      <w:r w:rsidRPr="00B90026">
        <w:rPr>
          <w:rFonts w:asciiTheme="minorHAnsi" w:hAnsiTheme="minorHAnsi" w:cstheme="minorHAnsi"/>
          <w:sz w:val="22"/>
          <w:szCs w:val="22"/>
        </w:rPr>
        <w:t xml:space="preserve">2015 m. spalio 22 d. sprendimo byloje </w:t>
      </w:r>
      <w:r w:rsidRPr="00B90026">
        <w:rPr>
          <w:rFonts w:asciiTheme="minorHAnsi" w:hAnsiTheme="minorHAnsi" w:cstheme="minorHAnsi"/>
          <w:i/>
          <w:sz w:val="22"/>
          <w:szCs w:val="22"/>
        </w:rPr>
        <w:t>PPUH Stehcemp</w:t>
      </w:r>
      <w:r w:rsidRPr="00B90026">
        <w:rPr>
          <w:rFonts w:asciiTheme="minorHAnsi" w:hAnsiTheme="minorHAnsi" w:cstheme="minorHAnsi"/>
          <w:sz w:val="22"/>
          <w:szCs w:val="22"/>
        </w:rPr>
        <w:t xml:space="preserve">, C-277/14, 50 p. ir jame nurodytą šio teismo praktiką). Būtent mokesčių institucijos iš esmės turi atlikti reikalingus apmokestinamųjų asmenų patikrinimus, siekdamos nustatyti pažeidimus ir sukčiavimą PVM srityje ir taikyti sankcijas apmokestinamajam asmeniui, padariusiam šiuos pažeidimus ar sukčiavus. </w:t>
      </w:r>
      <w:r w:rsidRPr="00B90026">
        <w:rPr>
          <w:rFonts w:asciiTheme="minorHAnsi" w:hAnsiTheme="minorHAnsi" w:cstheme="minorHAnsi"/>
          <w:sz w:val="22"/>
          <w:szCs w:val="22"/>
          <w:u w:val="single"/>
        </w:rPr>
        <w:t>Šios institucijos negali apmokestinamiesiems asmenims perkelt</w:t>
      </w:r>
      <w:r w:rsidR="009F10AC" w:rsidRPr="00B90026">
        <w:rPr>
          <w:rFonts w:asciiTheme="minorHAnsi" w:hAnsiTheme="minorHAnsi" w:cstheme="minorHAnsi"/>
          <w:sz w:val="22"/>
          <w:szCs w:val="22"/>
          <w:u w:val="single"/>
        </w:rPr>
        <w:t>i</w:t>
      </w:r>
      <w:r w:rsidRPr="00B90026">
        <w:rPr>
          <w:rFonts w:asciiTheme="minorHAnsi" w:hAnsiTheme="minorHAnsi" w:cstheme="minorHAnsi"/>
          <w:sz w:val="22"/>
          <w:szCs w:val="22"/>
          <w:u w:val="single"/>
        </w:rPr>
        <w:t xml:space="preserve"> savo pareigą kontroliuoti</w:t>
      </w:r>
      <w:r w:rsidRPr="00B90026">
        <w:rPr>
          <w:rFonts w:asciiTheme="minorHAnsi" w:hAnsiTheme="minorHAnsi" w:cstheme="minorHAnsi"/>
          <w:sz w:val="22"/>
          <w:szCs w:val="22"/>
        </w:rPr>
        <w:t xml:space="preserve"> (</w:t>
      </w:r>
      <w:r w:rsidR="001B27E9">
        <w:rPr>
          <w:rFonts w:asciiTheme="minorHAnsi" w:hAnsiTheme="minorHAnsi" w:cstheme="minorHAnsi"/>
          <w:sz w:val="22"/>
          <w:szCs w:val="22"/>
        </w:rPr>
        <w:t xml:space="preserve">žr. ESTT </w:t>
      </w:r>
      <w:r w:rsidRPr="00B90026">
        <w:rPr>
          <w:rFonts w:asciiTheme="minorHAnsi" w:hAnsiTheme="minorHAnsi" w:cstheme="minorHAnsi"/>
          <w:sz w:val="22"/>
          <w:szCs w:val="22"/>
        </w:rPr>
        <w:t>2012 m. birželio 21 d. sprendimo sujungtose bylose</w:t>
      </w:r>
      <w:r w:rsidRPr="00B90026">
        <w:rPr>
          <w:rFonts w:asciiTheme="minorHAnsi" w:hAnsiTheme="minorHAnsi" w:cstheme="minorHAnsi"/>
          <w:i/>
          <w:sz w:val="22"/>
          <w:szCs w:val="22"/>
        </w:rPr>
        <w:t xml:space="preserve"> Mahagében ir Dávid</w:t>
      </w:r>
      <w:r w:rsidRPr="00B90026">
        <w:rPr>
          <w:rFonts w:asciiTheme="minorHAnsi" w:hAnsiTheme="minorHAnsi" w:cstheme="minorHAnsi"/>
          <w:sz w:val="22"/>
          <w:szCs w:val="22"/>
        </w:rPr>
        <w:t>, C</w:t>
      </w:r>
      <w:r w:rsidRPr="00B90026">
        <w:rPr>
          <w:rFonts w:asciiTheme="minorHAnsi" w:hAnsiTheme="minorHAnsi" w:cstheme="minorHAnsi"/>
          <w:sz w:val="22"/>
          <w:szCs w:val="22"/>
        </w:rPr>
        <w:noBreakHyphen/>
        <w:t>80/11 ir C</w:t>
      </w:r>
      <w:r w:rsidRPr="00B90026">
        <w:rPr>
          <w:rFonts w:asciiTheme="minorHAnsi" w:hAnsiTheme="minorHAnsi" w:cstheme="minorHAnsi"/>
          <w:sz w:val="22"/>
          <w:szCs w:val="22"/>
        </w:rPr>
        <w:noBreakHyphen/>
        <w:t>142/11, 62 ir 65 p.). Tai pirmiausia reiškia, kad vietos mokesčių administratorius ir mokestinį ginčą nagrinėjusios institucijos nepagrįstai sprendė, jog pareiškėjas buvo nesąžiningas, nes (bendrai) nesidomėjo savo kontrahentų, kurie įsisteigę kitose valstybėse narėse, veikla (nerinko apie tai duomenų).</w:t>
      </w:r>
    </w:p>
    <w:p w:rsidR="00007AE0" w:rsidRPr="00B90026" w:rsidRDefault="008D5A54" w:rsidP="00007AE0">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Taigi, kaip sprendė </w:t>
      </w:r>
      <w:r w:rsidR="009F10AC"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 xml:space="preserve">išplėstinė teisėjų kolegija, </w:t>
      </w:r>
      <w:r w:rsidRPr="00B90026">
        <w:rPr>
          <w:rFonts w:asciiTheme="minorHAnsi" w:hAnsiTheme="minorHAnsi" w:cstheme="minorHAnsi"/>
          <w:sz w:val="22"/>
          <w:szCs w:val="22"/>
          <w:u w:val="single"/>
        </w:rPr>
        <w:t xml:space="preserve">nustačiusi, kad tiekėjo kontrahentas dalyvavo sukčiaujant arba padarė pažeidimų, kompetentinga mokesčių institucija, atsižvelgdama į objektyvius įrodymus ir nereikalaudama iš tiekėjo atlikti patikrinimų, kurie jam nepriklauso, turi nustatyti, jog apmokestinamasis asmuo žinojo ar turėjo žinoti, kad sandoris, kuriuo remiamasi siekiant pagrįsti teisę </w:t>
      </w:r>
      <w:r w:rsidR="00614489" w:rsidRPr="00B90026">
        <w:rPr>
          <w:rFonts w:asciiTheme="minorHAnsi" w:hAnsiTheme="minorHAnsi" w:cstheme="minorHAnsi"/>
          <w:sz w:val="22"/>
          <w:szCs w:val="22"/>
          <w:u w:val="single"/>
        </w:rPr>
        <w:t xml:space="preserve">į </w:t>
      </w:r>
      <w:r w:rsidRPr="00B90026">
        <w:rPr>
          <w:rFonts w:asciiTheme="minorHAnsi" w:hAnsiTheme="minorHAnsi" w:cstheme="minorHAnsi"/>
          <w:sz w:val="22"/>
          <w:szCs w:val="22"/>
          <w:u w:val="single"/>
        </w:rPr>
        <w:t>neapmokestinimą PVM, yra susijęs su sukčiavimu PVM srityje</w:t>
      </w:r>
      <w:r w:rsidRPr="00B90026">
        <w:rPr>
          <w:rFonts w:asciiTheme="minorHAnsi" w:hAnsiTheme="minorHAnsi" w:cstheme="minorHAnsi"/>
          <w:sz w:val="22"/>
          <w:szCs w:val="22"/>
        </w:rPr>
        <w:t xml:space="preserve">. Aptariamą žinojimą ar galėjimą žinoti pirmiausia patvirtina įvairios objektyvios aplinkybės, kaip, pavyzdžiui, sandoryje dalyvaujančių subjektų ryšiai (akcininkai, savininkai, apskaitą tvarkantys asmenys ir pan.), kurios vertinamos kiekvienu individualiu atveju. Be to, </w:t>
      </w:r>
      <w:r w:rsidR="001B27E9">
        <w:rPr>
          <w:rFonts w:asciiTheme="minorHAnsi" w:hAnsiTheme="minorHAnsi" w:cstheme="minorHAnsi"/>
          <w:sz w:val="22"/>
          <w:szCs w:val="22"/>
        </w:rPr>
        <w:t>ESTT</w:t>
      </w:r>
      <w:r w:rsidRPr="00B90026">
        <w:rPr>
          <w:rFonts w:asciiTheme="minorHAnsi" w:hAnsiTheme="minorHAnsi" w:cstheme="minorHAnsi"/>
          <w:sz w:val="22"/>
          <w:szCs w:val="22"/>
        </w:rPr>
        <w:t xml:space="preserve"> yra nurodęs, jog </w:t>
      </w:r>
      <w:r w:rsidRPr="00B90026">
        <w:rPr>
          <w:rFonts w:asciiTheme="minorHAnsi" w:hAnsiTheme="minorHAnsi" w:cstheme="minorHAnsi"/>
          <w:sz w:val="22"/>
          <w:szCs w:val="22"/>
          <w:u w:val="single"/>
        </w:rPr>
        <w:t>apmokestinamasis asmuo, kai mato požymius, kuriais remiantis būtų galima įtarti esant pažeidimų ar sukčiaujant, galėtų būti įpareigojamas prašyti informacijos iš ūkio subjekto tam, kad įsitikintų jo patikimumu</w:t>
      </w:r>
      <w:r w:rsidRPr="00B90026">
        <w:rPr>
          <w:rFonts w:asciiTheme="minorHAnsi" w:hAnsiTheme="minorHAnsi" w:cstheme="minorHAnsi"/>
          <w:sz w:val="22"/>
          <w:szCs w:val="22"/>
        </w:rPr>
        <w:t xml:space="preserve"> (žr.</w:t>
      </w:r>
      <w:r w:rsidR="001B27E9">
        <w:rPr>
          <w:rFonts w:asciiTheme="minorHAnsi" w:hAnsiTheme="minorHAnsi" w:cstheme="minorHAnsi"/>
          <w:sz w:val="22"/>
          <w:szCs w:val="22"/>
        </w:rPr>
        <w:t xml:space="preserve"> ESTT </w:t>
      </w:r>
      <w:r w:rsidRPr="00B90026">
        <w:rPr>
          <w:rFonts w:asciiTheme="minorHAnsi" w:hAnsiTheme="minorHAnsi" w:cstheme="minorHAnsi"/>
          <w:sz w:val="22"/>
          <w:szCs w:val="22"/>
        </w:rPr>
        <w:t xml:space="preserve">2015 m. spalio 22 d. sprendimo byloje </w:t>
      </w:r>
      <w:r w:rsidRPr="00B90026">
        <w:rPr>
          <w:rFonts w:asciiTheme="minorHAnsi" w:hAnsiTheme="minorHAnsi" w:cstheme="minorHAnsi"/>
          <w:i/>
          <w:sz w:val="22"/>
          <w:szCs w:val="22"/>
        </w:rPr>
        <w:t>PPUH Stehcemp</w:t>
      </w:r>
      <w:r w:rsidRPr="00B90026">
        <w:rPr>
          <w:rFonts w:asciiTheme="minorHAnsi" w:hAnsiTheme="minorHAnsi" w:cstheme="minorHAnsi"/>
          <w:sz w:val="22"/>
          <w:szCs w:val="22"/>
        </w:rPr>
        <w:t>, C-277/14, 50 p. ir jame nurodytą šio teismo praktiką).</w:t>
      </w:r>
      <w:r w:rsidR="00007AE0" w:rsidRPr="00B90026">
        <w:rPr>
          <w:rFonts w:asciiTheme="minorHAnsi" w:hAnsiTheme="minorHAnsi" w:cstheme="minorHAnsi"/>
          <w:sz w:val="22"/>
          <w:szCs w:val="22"/>
        </w:rPr>
        <w:t xml:space="preserve"> Šiuo </w:t>
      </w:r>
      <w:r w:rsidRPr="00B90026">
        <w:rPr>
          <w:rFonts w:asciiTheme="minorHAnsi" w:hAnsiTheme="minorHAnsi" w:cstheme="minorHAnsi"/>
          <w:sz w:val="22"/>
          <w:szCs w:val="22"/>
        </w:rPr>
        <w:t>aspekt</w:t>
      </w:r>
      <w:r w:rsidR="00007AE0" w:rsidRPr="00B90026">
        <w:rPr>
          <w:rFonts w:asciiTheme="minorHAnsi" w:hAnsiTheme="minorHAnsi" w:cstheme="minorHAnsi"/>
          <w:sz w:val="22"/>
          <w:szCs w:val="22"/>
        </w:rPr>
        <w:t xml:space="preserve">u tai </w:t>
      </w:r>
      <w:r w:rsidRPr="00B90026">
        <w:rPr>
          <w:rFonts w:asciiTheme="minorHAnsi" w:hAnsiTheme="minorHAnsi" w:cstheme="minorHAnsi"/>
          <w:sz w:val="22"/>
          <w:szCs w:val="22"/>
        </w:rPr>
        <w:t>reiškia, jog</w:t>
      </w:r>
      <w:r w:rsidR="00007AE0" w:rsidRPr="00B90026">
        <w:rPr>
          <w:rFonts w:asciiTheme="minorHAnsi" w:hAnsiTheme="minorHAnsi" w:cstheme="minorHAnsi"/>
          <w:sz w:val="22"/>
          <w:szCs w:val="22"/>
        </w:rPr>
        <w:t xml:space="preserve"> </w:t>
      </w:r>
      <w:r w:rsidRPr="00B90026">
        <w:rPr>
          <w:rFonts w:asciiTheme="minorHAnsi" w:hAnsiTheme="minorHAnsi" w:cstheme="minorHAnsi"/>
          <w:sz w:val="22"/>
          <w:szCs w:val="22"/>
          <w:u w:val="single"/>
        </w:rPr>
        <w:t>nesant objektyvių ir akivaizdžių įrodymų, kad apmokestinamasis asmuo žinojo ar turėjo žinoti apie kontrahentų sukčiavimą, mokesčių administratorius pirmiausia turi įrodyti, kad (1) šis asmuo, būdamas atidus ir rūpestingas, galėjo matyti požymius, kuriais remiantis būtų galima įtarti esant pažeidimų ar sukčiaujant, ir (2) matydamas tokius požymius</w:t>
      </w:r>
      <w:r w:rsidR="00007AE0" w:rsidRPr="00B90026">
        <w:rPr>
          <w:rFonts w:asciiTheme="minorHAnsi" w:hAnsiTheme="minorHAnsi" w:cstheme="minorHAnsi"/>
          <w:sz w:val="22"/>
          <w:szCs w:val="22"/>
          <w:u w:val="single"/>
        </w:rPr>
        <w:t>,</w:t>
      </w:r>
      <w:r w:rsidRPr="00B90026">
        <w:rPr>
          <w:rFonts w:asciiTheme="minorHAnsi" w:hAnsiTheme="minorHAnsi" w:cstheme="minorHAnsi"/>
          <w:sz w:val="22"/>
          <w:szCs w:val="22"/>
          <w:u w:val="single"/>
        </w:rPr>
        <w:t xml:space="preserve"> nesiėmė veiksmų, kurių gali būti pagrįstai iš jo reikalaujama, kad įsitikintų kontrahentų sąžiningumu</w:t>
      </w:r>
      <w:r w:rsidRPr="00B90026">
        <w:rPr>
          <w:rFonts w:asciiTheme="minorHAnsi" w:hAnsiTheme="minorHAnsi" w:cstheme="minorHAnsi"/>
          <w:sz w:val="22"/>
          <w:szCs w:val="22"/>
        </w:rPr>
        <w:t xml:space="preserve">. </w:t>
      </w:r>
    </w:p>
    <w:p w:rsidR="008D5A54" w:rsidRPr="00B90026" w:rsidRDefault="00007AE0" w:rsidP="00007AE0">
      <w:pPr>
        <w:ind w:firstLine="567"/>
        <w:jc w:val="both"/>
        <w:rPr>
          <w:rFonts w:asciiTheme="minorHAnsi" w:hAnsiTheme="minorHAnsi" w:cstheme="minorHAnsi"/>
          <w:sz w:val="22"/>
          <w:szCs w:val="22"/>
        </w:rPr>
      </w:pPr>
      <w:r w:rsidRPr="00B90026">
        <w:rPr>
          <w:rFonts w:asciiTheme="minorHAnsi" w:hAnsiTheme="minorHAnsi" w:cstheme="minorHAnsi"/>
          <w:sz w:val="22"/>
          <w:szCs w:val="22"/>
        </w:rPr>
        <w:t>Į</w:t>
      </w:r>
      <w:r w:rsidR="008D5A54" w:rsidRPr="00B90026">
        <w:rPr>
          <w:rFonts w:asciiTheme="minorHAnsi" w:hAnsiTheme="minorHAnsi" w:cstheme="minorHAnsi"/>
          <w:sz w:val="22"/>
          <w:szCs w:val="22"/>
        </w:rPr>
        <w:t>vertinusi apžvelgiamoje byloje nagrinėto mokestinio ginčo santyki</w:t>
      </w:r>
      <w:r w:rsidRPr="00B90026">
        <w:rPr>
          <w:rFonts w:asciiTheme="minorHAnsi" w:hAnsiTheme="minorHAnsi" w:cstheme="minorHAnsi"/>
          <w:sz w:val="22"/>
          <w:szCs w:val="22"/>
        </w:rPr>
        <w:t>ų</w:t>
      </w:r>
      <w:r w:rsidR="008D5A54" w:rsidRPr="00B90026">
        <w:rPr>
          <w:rFonts w:asciiTheme="minorHAnsi" w:hAnsiTheme="minorHAnsi" w:cstheme="minorHAnsi"/>
          <w:sz w:val="22"/>
          <w:szCs w:val="22"/>
        </w:rPr>
        <w:t xml:space="preserve"> kvalifikavimui reikšmingas faktines aplinkybes, </w:t>
      </w:r>
      <w:r w:rsidRPr="00B90026">
        <w:rPr>
          <w:rFonts w:asciiTheme="minorHAnsi" w:hAnsiTheme="minorHAnsi" w:cstheme="minorHAnsi"/>
          <w:sz w:val="22"/>
          <w:szCs w:val="22"/>
        </w:rPr>
        <w:t xml:space="preserve">LVAT </w:t>
      </w:r>
      <w:r w:rsidR="008D5A54" w:rsidRPr="00B90026">
        <w:rPr>
          <w:rFonts w:asciiTheme="minorHAnsi" w:hAnsiTheme="minorHAnsi" w:cstheme="minorHAnsi"/>
          <w:sz w:val="22"/>
          <w:szCs w:val="22"/>
        </w:rPr>
        <w:t xml:space="preserve">išplėstinė teisėjų kolegija pastebėjo, kad tikrintuose sprendimuose buvo apsiribota bendru tiekimo faktinių aplinkybių nurodymu, tam tikrų ir iš esmės tik su kai kuriais konkrečiais tiekimais (jų dalimi) susijusių aplinkybių vertinimu, galiausiai padarant subendrintą išvadą </w:t>
      </w:r>
      <w:r w:rsidR="008D5A54" w:rsidRPr="00B90026">
        <w:rPr>
          <w:rFonts w:asciiTheme="minorHAnsi" w:hAnsiTheme="minorHAnsi" w:cstheme="minorHAnsi"/>
          <w:i/>
          <w:sz w:val="22"/>
          <w:szCs w:val="22"/>
        </w:rPr>
        <w:t>inter alia</w:t>
      </w:r>
      <w:r w:rsidR="008D5A54" w:rsidRPr="00B90026">
        <w:rPr>
          <w:rFonts w:asciiTheme="minorHAnsi" w:hAnsiTheme="minorHAnsi" w:cstheme="minorHAnsi"/>
          <w:sz w:val="22"/>
          <w:szCs w:val="22"/>
        </w:rPr>
        <w:t xml:space="preserve"> dėl pareiškėjo žinojimo ar turėjimo žinoti apie ginčo prekių įgijėjų (galimą) sukčiavimą. Mokesčių administratorius iš esmės: (1) nevertino kiekvieno tiekimo atskirai pareiškėjo sąžiningumo aspektu, ypač atsižvelgiant į tai, kad tiekimų aplinkybės skyrėsi; (2) neidentifikavo ir aiškiai neįvardijo, kokios aplinkybės turėjo sudaryti prielaidas pareiškėjui įtarti, jog jis dalyvauja į sukčiavimą įtra</w:t>
      </w:r>
      <w:r w:rsidR="00FD6CB3" w:rsidRPr="00B90026">
        <w:rPr>
          <w:rFonts w:asciiTheme="minorHAnsi" w:hAnsiTheme="minorHAnsi" w:cstheme="minorHAnsi"/>
          <w:sz w:val="22"/>
          <w:szCs w:val="22"/>
        </w:rPr>
        <w:t>u</w:t>
      </w:r>
      <w:r w:rsidR="008D5A54" w:rsidRPr="00B90026">
        <w:rPr>
          <w:rFonts w:asciiTheme="minorHAnsi" w:hAnsiTheme="minorHAnsi" w:cstheme="minorHAnsi"/>
          <w:sz w:val="22"/>
          <w:szCs w:val="22"/>
        </w:rPr>
        <w:t>ktame sandoryje; (3) nenurodė, kokių konkrečių priemonių pareiškėjas turėjo ir galėjo imtis galimoms abejonėms dėl kontrahentų gal</w:t>
      </w:r>
      <w:r w:rsidR="00FD6CB3" w:rsidRPr="00B90026">
        <w:rPr>
          <w:rFonts w:asciiTheme="minorHAnsi" w:hAnsiTheme="minorHAnsi" w:cstheme="minorHAnsi"/>
          <w:sz w:val="22"/>
          <w:szCs w:val="22"/>
        </w:rPr>
        <w:t xml:space="preserve">būt </w:t>
      </w:r>
      <w:r w:rsidR="008D5A54" w:rsidRPr="00B90026">
        <w:rPr>
          <w:rFonts w:asciiTheme="minorHAnsi" w:hAnsiTheme="minorHAnsi" w:cstheme="minorHAnsi"/>
          <w:sz w:val="22"/>
          <w:szCs w:val="22"/>
        </w:rPr>
        <w:t>daromų pažeidimų ar sukčiavimo PVM srityje išsklaidyti</w:t>
      </w:r>
      <w:r w:rsidR="00FD6CB3" w:rsidRPr="00B90026">
        <w:rPr>
          <w:rFonts w:asciiTheme="minorHAnsi" w:hAnsiTheme="minorHAnsi" w:cstheme="minorHAnsi"/>
          <w:sz w:val="22"/>
          <w:szCs w:val="22"/>
        </w:rPr>
        <w:t xml:space="preserve">, </w:t>
      </w:r>
      <w:r w:rsidR="008D5A54" w:rsidRPr="00B90026">
        <w:rPr>
          <w:rFonts w:asciiTheme="minorHAnsi" w:hAnsiTheme="minorHAnsi" w:cstheme="minorHAnsi"/>
          <w:sz w:val="22"/>
          <w:szCs w:val="22"/>
        </w:rPr>
        <w:t>atsižvelgiant į konkretų tiekimą. Šie trūkumai nagrinė</w:t>
      </w:r>
      <w:r w:rsidR="00FD6CB3" w:rsidRPr="00B90026">
        <w:rPr>
          <w:rFonts w:asciiTheme="minorHAnsi" w:hAnsiTheme="minorHAnsi" w:cstheme="minorHAnsi"/>
          <w:sz w:val="22"/>
          <w:szCs w:val="22"/>
        </w:rPr>
        <w:t>t</w:t>
      </w:r>
      <w:r w:rsidR="008D5A54" w:rsidRPr="00B90026">
        <w:rPr>
          <w:rFonts w:asciiTheme="minorHAnsi" w:hAnsiTheme="minorHAnsi" w:cstheme="minorHAnsi"/>
          <w:sz w:val="22"/>
          <w:szCs w:val="22"/>
        </w:rPr>
        <w:t xml:space="preserve">u atveju sudarė pakankamą pagrindą aptariamoje dalyje grąžinti mokestinį ginčą nagrinėti centriniam mokesčių administratoriui iš naujo, </w:t>
      </w:r>
      <w:r w:rsidR="008D5A54" w:rsidRPr="00B90026">
        <w:rPr>
          <w:rFonts w:asciiTheme="minorHAnsi" w:hAnsiTheme="minorHAnsi" w:cstheme="minorHAnsi"/>
          <w:i/>
          <w:sz w:val="22"/>
          <w:szCs w:val="22"/>
        </w:rPr>
        <w:t xml:space="preserve">inter alia </w:t>
      </w:r>
      <w:r w:rsidR="00FD6CB3" w:rsidRPr="00B90026">
        <w:rPr>
          <w:rFonts w:asciiTheme="minorHAnsi" w:hAnsiTheme="minorHAnsi" w:cstheme="minorHAnsi"/>
          <w:sz w:val="22"/>
          <w:szCs w:val="22"/>
        </w:rPr>
        <w:lastRenderedPageBreak/>
        <w:t>siekiant</w:t>
      </w:r>
      <w:r w:rsidR="00FD6CB3" w:rsidRPr="00B90026">
        <w:rPr>
          <w:rFonts w:asciiTheme="minorHAnsi" w:hAnsiTheme="minorHAnsi" w:cstheme="minorHAnsi"/>
          <w:i/>
          <w:sz w:val="22"/>
          <w:szCs w:val="22"/>
        </w:rPr>
        <w:t xml:space="preserve"> </w:t>
      </w:r>
      <w:r w:rsidR="008D5A54" w:rsidRPr="00B90026">
        <w:rPr>
          <w:rFonts w:asciiTheme="minorHAnsi" w:hAnsiTheme="minorHAnsi" w:cstheme="minorHAnsi"/>
          <w:sz w:val="22"/>
          <w:szCs w:val="22"/>
        </w:rPr>
        <w:t>įvertinti pakartotinio mokestinio patikrinimo būtinyb</w:t>
      </w:r>
      <w:r w:rsidR="00FD6CB3" w:rsidRPr="00B90026">
        <w:rPr>
          <w:rFonts w:asciiTheme="minorHAnsi" w:hAnsiTheme="minorHAnsi" w:cstheme="minorHAnsi"/>
          <w:sz w:val="22"/>
          <w:szCs w:val="22"/>
        </w:rPr>
        <w:t>ę</w:t>
      </w:r>
      <w:r w:rsidR="008D5A54" w:rsidRPr="00B90026">
        <w:rPr>
          <w:rFonts w:asciiTheme="minorHAnsi" w:hAnsiTheme="minorHAnsi" w:cstheme="minorHAnsi"/>
          <w:sz w:val="22"/>
          <w:szCs w:val="22"/>
        </w:rPr>
        <w:t xml:space="preserve"> (Mokesčių administravimo įstatymo 154 str. </w:t>
      </w:r>
      <w:r w:rsidR="00FD6CB3" w:rsidRPr="00B90026">
        <w:rPr>
          <w:rFonts w:asciiTheme="minorHAnsi" w:hAnsiTheme="minorHAnsi" w:cstheme="minorHAnsi"/>
          <w:sz w:val="22"/>
          <w:szCs w:val="22"/>
        </w:rPr>
        <w:t>4 </w:t>
      </w:r>
      <w:r w:rsidR="008D5A54" w:rsidRPr="00B90026">
        <w:rPr>
          <w:rFonts w:asciiTheme="minorHAnsi" w:hAnsiTheme="minorHAnsi" w:cstheme="minorHAnsi"/>
          <w:sz w:val="22"/>
          <w:szCs w:val="22"/>
        </w:rPr>
        <w:t>d. 5 p.).</w:t>
      </w:r>
    </w:p>
    <w:p w:rsidR="008D5A54" w:rsidRPr="00B90026" w:rsidRDefault="008D5A54" w:rsidP="008D5A54">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 </w:t>
      </w:r>
    </w:p>
    <w:p w:rsidR="008D5A54" w:rsidRPr="00B90026" w:rsidRDefault="00FD6CB3" w:rsidP="008D5A54">
      <w:pPr>
        <w:jc w:val="both"/>
        <w:rPr>
          <w:rFonts w:asciiTheme="minorHAnsi" w:hAnsiTheme="minorHAnsi" w:cstheme="minorHAnsi"/>
          <w:sz w:val="22"/>
          <w:szCs w:val="22"/>
        </w:rPr>
      </w:pPr>
      <w:r w:rsidRPr="00B90026">
        <w:rPr>
          <w:rFonts w:asciiTheme="minorHAnsi" w:hAnsiTheme="minorHAnsi" w:cstheme="minorHAnsi"/>
          <w:sz w:val="22"/>
          <w:szCs w:val="22"/>
        </w:rPr>
        <w:t xml:space="preserve">Išplėstinės teisėjų kolegijos </w:t>
      </w:r>
      <w:r w:rsidR="008D5A54" w:rsidRPr="00B90026">
        <w:rPr>
          <w:rFonts w:asciiTheme="minorHAnsi" w:hAnsiTheme="minorHAnsi" w:cstheme="minorHAnsi"/>
          <w:sz w:val="22"/>
          <w:szCs w:val="22"/>
        </w:rPr>
        <w:t>2017 m. lapkričio 22 d. nutartis administracinėje byloje Nr. A-516-602/2017</w:t>
      </w:r>
    </w:p>
    <w:p w:rsidR="008D5A54" w:rsidRPr="00B90026" w:rsidRDefault="008D5A54" w:rsidP="008D5A54">
      <w:pPr>
        <w:jc w:val="both"/>
        <w:rPr>
          <w:rFonts w:asciiTheme="minorHAnsi" w:hAnsiTheme="minorHAnsi" w:cstheme="minorHAnsi"/>
          <w:sz w:val="22"/>
          <w:szCs w:val="22"/>
        </w:rPr>
      </w:pPr>
      <w:r w:rsidRPr="00B90026">
        <w:rPr>
          <w:rFonts w:asciiTheme="minorHAnsi" w:hAnsiTheme="minorHAnsi" w:cstheme="minorHAnsi"/>
          <w:sz w:val="22"/>
          <w:szCs w:val="22"/>
        </w:rPr>
        <w:t>Teisminio proceso Nr. 3-61-3-01431-2015-0</w:t>
      </w:r>
    </w:p>
    <w:p w:rsidR="008D5A54" w:rsidRPr="00B90026" w:rsidRDefault="008D5A54" w:rsidP="008D5A54">
      <w:pPr>
        <w:jc w:val="both"/>
        <w:rPr>
          <w:rFonts w:asciiTheme="minorHAnsi" w:hAnsiTheme="minorHAnsi" w:cstheme="minorHAnsi"/>
          <w:sz w:val="22"/>
          <w:szCs w:val="22"/>
        </w:rPr>
      </w:pPr>
      <w:r w:rsidRPr="00B90026">
        <w:rPr>
          <w:rFonts w:asciiTheme="minorHAnsi" w:hAnsiTheme="minorHAnsi" w:cstheme="minorHAnsi"/>
          <w:sz w:val="22"/>
          <w:szCs w:val="22"/>
        </w:rPr>
        <w:t>Procesinio sprendimo kategorijos: 12.15.3.2; 12.5.1</w:t>
      </w:r>
    </w:p>
    <w:p w:rsidR="008D5A54" w:rsidRPr="00B90026" w:rsidRDefault="007E1236" w:rsidP="008D5A54">
      <w:pPr>
        <w:jc w:val="both"/>
        <w:rPr>
          <w:rFonts w:asciiTheme="minorHAnsi" w:hAnsiTheme="minorHAnsi" w:cstheme="minorHAnsi"/>
          <w:sz w:val="22"/>
          <w:szCs w:val="22"/>
        </w:rPr>
      </w:pPr>
      <w:hyperlink r:id="rId14" w:history="1">
        <w:r w:rsidR="008D5A54" w:rsidRPr="00B90026">
          <w:rPr>
            <w:rStyle w:val="Hipersaitas"/>
            <w:rFonts w:asciiTheme="minorHAnsi" w:hAnsiTheme="minorHAnsi" w:cstheme="minorHAnsi"/>
            <w:sz w:val="22"/>
            <w:szCs w:val="22"/>
          </w:rPr>
          <w:t>Prieiga internete</w:t>
        </w:r>
      </w:hyperlink>
    </w:p>
    <w:p w:rsidR="008D5A54" w:rsidRPr="00B90026" w:rsidRDefault="008D5A54" w:rsidP="008D5A54">
      <w:pPr>
        <w:jc w:val="both"/>
        <w:rPr>
          <w:rFonts w:asciiTheme="minorHAnsi" w:hAnsiTheme="minorHAnsi" w:cstheme="minorHAnsi"/>
          <w:sz w:val="22"/>
          <w:szCs w:val="22"/>
        </w:rPr>
      </w:pPr>
    </w:p>
    <w:p w:rsidR="00BE7A59" w:rsidRPr="00B90026" w:rsidRDefault="00BE7A59" w:rsidP="00363C0B">
      <w:pPr>
        <w:pStyle w:val="Apzvalgai1"/>
        <w:rPr>
          <w:rFonts w:asciiTheme="minorHAnsi" w:hAnsiTheme="minorHAnsi" w:cstheme="minorHAnsi"/>
        </w:rPr>
      </w:pPr>
      <w:bookmarkStart w:id="28" w:name="_Toc462149978"/>
      <w:bookmarkStart w:id="29" w:name="_Toc505787250"/>
      <w:r w:rsidRPr="00B90026">
        <w:rPr>
          <w:rFonts w:asciiTheme="minorHAnsi" w:hAnsiTheme="minorHAnsi" w:cstheme="minorHAnsi"/>
        </w:rPr>
        <w:t>14. Aplinkos apsauga</w:t>
      </w:r>
      <w:bookmarkEnd w:id="28"/>
      <w:bookmarkEnd w:id="29"/>
    </w:p>
    <w:p w:rsidR="00BE7A59" w:rsidRPr="00B90026" w:rsidRDefault="00BE7A59" w:rsidP="00A213E6">
      <w:pPr>
        <w:ind w:firstLine="567"/>
        <w:jc w:val="both"/>
        <w:rPr>
          <w:rFonts w:asciiTheme="minorHAnsi" w:hAnsiTheme="minorHAnsi" w:cstheme="minorHAnsi"/>
          <w:b/>
          <w:sz w:val="22"/>
          <w:szCs w:val="22"/>
          <w:u w:val="single"/>
        </w:rPr>
      </w:pPr>
      <w:r w:rsidRPr="00B90026">
        <w:rPr>
          <w:rFonts w:asciiTheme="minorHAnsi" w:hAnsiTheme="minorHAnsi" w:cstheme="minorHAnsi"/>
          <w:b/>
          <w:sz w:val="22"/>
          <w:szCs w:val="22"/>
          <w:u w:val="single"/>
        </w:rPr>
        <w:t>14.9. Piliečių, visuomeninių organizacijų, kitų juridinių ir fizinių asmenų teisės ir pareigos kontroliuojant valstybės valdymo ir savivaldos institucijų veiksmus (neveikimą) aplinkosaugos srityje</w:t>
      </w:r>
    </w:p>
    <w:p w:rsidR="00BE7A59" w:rsidRPr="00B90026" w:rsidRDefault="00BE7A59" w:rsidP="00F73A4E">
      <w:pPr>
        <w:ind w:firstLine="1134"/>
        <w:jc w:val="both"/>
        <w:rPr>
          <w:rFonts w:asciiTheme="minorHAnsi" w:hAnsiTheme="minorHAnsi" w:cstheme="minorHAnsi"/>
          <w:b/>
          <w:sz w:val="22"/>
          <w:szCs w:val="22"/>
          <w:u w:val="single"/>
        </w:rPr>
      </w:pPr>
      <w:r w:rsidRPr="00B90026">
        <w:rPr>
          <w:rFonts w:asciiTheme="minorHAnsi" w:hAnsiTheme="minorHAnsi" w:cstheme="minorHAnsi"/>
          <w:b/>
          <w:sz w:val="22"/>
          <w:szCs w:val="22"/>
          <w:u w:val="single"/>
        </w:rPr>
        <w:t>14.9.1. Teisė gauti informaciją apie aplinką</w:t>
      </w:r>
    </w:p>
    <w:p w:rsidR="00BE7A59" w:rsidRPr="00B90026" w:rsidRDefault="00BE7A59" w:rsidP="00BE7A59">
      <w:pPr>
        <w:jc w:val="both"/>
        <w:rPr>
          <w:rFonts w:asciiTheme="minorHAnsi" w:hAnsiTheme="minorHAnsi" w:cstheme="minorHAnsi"/>
          <w:b/>
          <w:sz w:val="22"/>
          <w:szCs w:val="22"/>
          <w:u w:val="single"/>
        </w:rPr>
      </w:pPr>
    </w:p>
    <w:p w:rsidR="00BE7A59" w:rsidRPr="00B90026" w:rsidRDefault="00BE7A59" w:rsidP="00363C0B">
      <w:pPr>
        <w:pStyle w:val="Antrat2"/>
      </w:pPr>
      <w:bookmarkStart w:id="30" w:name="_Toc505787251"/>
      <w:r w:rsidRPr="00B90026">
        <w:t>Dėl suinteresuotos visuomenės teisės gauti informaciją apie rengiamą nekilnojamojo kultūros paveldo apsaugos specialųjį planą, remiantis Orhuso konvencija</w:t>
      </w:r>
      <w:bookmarkEnd w:id="30"/>
    </w:p>
    <w:p w:rsidR="00BE7A59" w:rsidRPr="00B90026" w:rsidRDefault="00BE7A59" w:rsidP="00BE7A59">
      <w:pPr>
        <w:ind w:firstLine="567"/>
        <w:jc w:val="both"/>
        <w:rPr>
          <w:rFonts w:asciiTheme="minorHAnsi" w:hAnsiTheme="minorHAnsi" w:cstheme="minorHAnsi"/>
          <w:sz w:val="22"/>
          <w:szCs w:val="22"/>
        </w:rPr>
      </w:pPr>
    </w:p>
    <w:p w:rsidR="00BE7A59" w:rsidRPr="00B90026" w:rsidRDefault="00BE7A59" w:rsidP="00BE7A59">
      <w:pPr>
        <w:ind w:firstLine="567"/>
        <w:jc w:val="both"/>
        <w:rPr>
          <w:rFonts w:asciiTheme="minorHAnsi" w:hAnsiTheme="minorHAnsi" w:cstheme="minorHAnsi"/>
          <w:sz w:val="22"/>
          <w:szCs w:val="22"/>
        </w:rPr>
      </w:pPr>
      <w:r w:rsidRPr="00B90026">
        <w:rPr>
          <w:rFonts w:asciiTheme="minorHAnsi" w:hAnsiTheme="minorHAnsi" w:cstheme="minorHAnsi"/>
          <w:sz w:val="22"/>
          <w:szCs w:val="22"/>
        </w:rPr>
        <w:t>Apžvelgiamoje byloje ginčas iš esmės kilo dėl Kultūros paveldo departamento sprendimo, kuriuo atsisakyta suinteresuotai visuomenei (įvairioms asociacijoms) suteikti informaciją apie rengiamą Vilniaus senamiesčio nekilnojamojo kultūros paveldo apsaugos specialiojo planavimo dokumentą – Vilniaus senamiesčio tvarkymo planą. Tokį sprendimą viešojo administravimo subjektas priėmė, be kita ko, pripažinęs, jog</w:t>
      </w:r>
      <w:r w:rsidR="00A46518">
        <w:rPr>
          <w:rFonts w:asciiTheme="minorHAnsi" w:hAnsiTheme="minorHAnsi" w:cstheme="minorHAnsi"/>
          <w:sz w:val="22"/>
          <w:szCs w:val="22"/>
        </w:rPr>
        <w:t xml:space="preserve"> </w:t>
      </w:r>
      <w:r w:rsidRPr="00B90026">
        <w:rPr>
          <w:rFonts w:asciiTheme="minorHAnsi" w:hAnsiTheme="minorHAnsi" w:cstheme="minorHAnsi"/>
          <w:sz w:val="22"/>
          <w:szCs w:val="22"/>
        </w:rPr>
        <w:t>prašoma pateikti</w:t>
      </w:r>
      <w:r w:rsidR="00A46518">
        <w:rPr>
          <w:rFonts w:asciiTheme="minorHAnsi" w:hAnsiTheme="minorHAnsi" w:cstheme="minorHAnsi"/>
          <w:sz w:val="22"/>
          <w:szCs w:val="22"/>
        </w:rPr>
        <w:t xml:space="preserve"> </w:t>
      </w:r>
      <w:r w:rsidRPr="00B90026">
        <w:rPr>
          <w:rFonts w:asciiTheme="minorHAnsi" w:hAnsiTheme="minorHAnsi" w:cstheme="minorHAnsi"/>
          <w:sz w:val="22"/>
          <w:szCs w:val="22"/>
        </w:rPr>
        <w:t>informacija nėra susijusi su aplinka Konvencijos dėl teisės gauti informaciją, visuomenės dalyvavimo priimant sprendimus ir teisės kreiptis į teismus aplinkos klausimais (toliau – Orhuso konvencija) taikymo prasme.</w:t>
      </w:r>
    </w:p>
    <w:p w:rsidR="00BE7A59" w:rsidRPr="00B90026" w:rsidRDefault="00BE7A59" w:rsidP="00BE7A59">
      <w:pPr>
        <w:ind w:firstLine="567"/>
        <w:jc w:val="both"/>
        <w:rPr>
          <w:rFonts w:asciiTheme="minorHAnsi" w:hAnsiTheme="minorHAnsi" w:cstheme="minorHAnsi"/>
          <w:sz w:val="22"/>
          <w:szCs w:val="22"/>
        </w:rPr>
      </w:pPr>
      <w:r w:rsidRPr="00B90026">
        <w:rPr>
          <w:rFonts w:asciiTheme="minorHAnsi" w:hAnsiTheme="minorHAnsi" w:cstheme="minorHAnsi"/>
          <w:sz w:val="22"/>
          <w:szCs w:val="22"/>
        </w:rPr>
        <w:t>Šiuo klausimu LVAT priminė, kad vienas iš pagrindinių Orhuso konvencijos tikslų yra užtikrinti visuomenės teisę dalyvauti priimant sprendimus aplinkos klausimais. Orhuso konvencija reglamentuoja visuomenės dalyvavimą priimant sprendimus dėl konkrečios veiklos (6 str.), visuomenės dalyvavimą rengiant planus, programas bei formuojant politiką aplinkos srityje (7 str.) bei visuomenės dalyvavimą rengiant vykdomojo pobūdžio teisės aktus ir (arba) bendrojo pobūdžio privalomuosius norminius aktus (8 str.). Konvencijoje yra nustatyta pareiga užtikrinti visuomenės dalyvavimą jau pradiniame etape, kai yra visos galimybės svarstyti įvairius variantus ir kai galima užtikrinti veiksmingą visuomenės dalyvavimą (6 str. 2, 4 d.).</w:t>
      </w:r>
    </w:p>
    <w:p w:rsidR="00BE7A59" w:rsidRPr="00B90026" w:rsidRDefault="00BE7A59" w:rsidP="00BE7A59">
      <w:pPr>
        <w:ind w:firstLine="567"/>
        <w:jc w:val="both"/>
        <w:rPr>
          <w:rFonts w:asciiTheme="minorHAnsi" w:hAnsiTheme="minorHAnsi" w:cstheme="minorHAnsi"/>
          <w:sz w:val="22"/>
          <w:szCs w:val="22"/>
        </w:rPr>
      </w:pPr>
      <w:r w:rsidRPr="00B90026">
        <w:rPr>
          <w:rFonts w:asciiTheme="minorHAnsi" w:hAnsiTheme="minorHAnsi" w:cstheme="minorHAnsi"/>
          <w:sz w:val="22"/>
          <w:szCs w:val="22"/>
        </w:rPr>
        <w:t>Orhuso konvencijos 2 straipsnio 3 dalyje yra įtvirtinta teisė gauti informaciją apie aplinką, t. y. bet kokia rašytine, vaizdo, garso, elektronine ar kitokia materialia forma saugomą informaciją apie aplinkos elementus, be kita ko, tokius kaip kraštovaizdis (a punktas), apie veiksnius, be kita ko, tokius kaip planus ir programas, turinčius arba galinčius turėti poveikį išvardytiems a punkte aplinkos elementams, apie kultūros objektų ir statinių būklę tais atvejais, kai jai daro įtaką arba gali daryti įtaką aplinkos elementų būklei. Orhuso konvencijoje įtvirtinta teisė gauti informaciją apie aplinką, suponuoja valstybės institucijos, atsakančios į prašymą suteikti informaciją apie aplinką, pareigą vadovaujantis nacionaliniais įstatymais suteikti tokią informaciją, ir dokumentų kopijas, kuriose yra arba kuri</w:t>
      </w:r>
      <w:r w:rsidR="00F73A4E">
        <w:rPr>
          <w:rFonts w:asciiTheme="minorHAnsi" w:hAnsiTheme="minorHAnsi" w:cstheme="minorHAnsi"/>
          <w:sz w:val="22"/>
          <w:szCs w:val="22"/>
        </w:rPr>
        <w:t>os</w:t>
      </w:r>
      <w:r w:rsidRPr="00B90026">
        <w:rPr>
          <w:rFonts w:asciiTheme="minorHAnsi" w:hAnsiTheme="minorHAnsi" w:cstheme="minorHAnsi"/>
          <w:sz w:val="22"/>
          <w:szCs w:val="22"/>
        </w:rPr>
        <w:t xml:space="preserve"> apima tokią informaciją, neprašant paaiškinti, kam tokia informacija reikalinga, t. y. neįrodinėjant konkretaus intereso dėl prašomos pateikti informacijos (4 str. 1 d.).</w:t>
      </w:r>
    </w:p>
    <w:p w:rsidR="00BE7A59" w:rsidRPr="00B90026" w:rsidRDefault="00BE7A59" w:rsidP="00BE7A59">
      <w:pPr>
        <w:ind w:firstLine="567"/>
        <w:jc w:val="both"/>
        <w:rPr>
          <w:rFonts w:asciiTheme="minorHAnsi" w:hAnsiTheme="minorHAnsi" w:cstheme="minorHAnsi"/>
          <w:sz w:val="22"/>
          <w:szCs w:val="22"/>
        </w:rPr>
      </w:pPr>
      <w:r w:rsidRPr="00B90026">
        <w:rPr>
          <w:rFonts w:asciiTheme="minorHAnsi" w:hAnsiTheme="minorHAnsi" w:cstheme="minorHAnsi"/>
          <w:sz w:val="22"/>
          <w:szCs w:val="22"/>
        </w:rPr>
        <w:t>Dėl to LVAT teisėjų kolegija sprendė, kad atsakovas, atsisakydamas pateikti minėtą informaciją,</w:t>
      </w:r>
      <w:r w:rsidR="00A46518">
        <w:rPr>
          <w:rFonts w:asciiTheme="minorHAnsi" w:hAnsiTheme="minorHAnsi" w:cstheme="minorHAnsi"/>
          <w:sz w:val="22"/>
          <w:szCs w:val="22"/>
        </w:rPr>
        <w:t xml:space="preserve"> </w:t>
      </w:r>
      <w:r w:rsidRPr="00B90026">
        <w:rPr>
          <w:rFonts w:asciiTheme="minorHAnsi" w:hAnsiTheme="minorHAnsi" w:cstheme="minorHAnsi"/>
          <w:sz w:val="22"/>
          <w:szCs w:val="22"/>
        </w:rPr>
        <w:t xml:space="preserve">nepaisė minėtų Orhuso konvencijos reikalavimų, nes </w:t>
      </w:r>
      <w:r w:rsidRPr="00B90026">
        <w:rPr>
          <w:rFonts w:asciiTheme="minorHAnsi" w:hAnsiTheme="minorHAnsi" w:cstheme="minorHAnsi"/>
          <w:sz w:val="22"/>
          <w:szCs w:val="22"/>
          <w:u w:val="single"/>
        </w:rPr>
        <w:t>prašoma pateikti informacija buvo susijusi su aplinkos elementu – kraštovaizdžiu, bei veiksniais (planais, programomis, kultūros objektais), kurie gali turėti įtakos kraštovaizdžiui. Abstraktus atsisakymas teikti informaciją, nenurodant konkrečių atsisakymo suteikti pagrindų, o vien klaidingai konstatuojant, kad informacija nepriskirtina informacijai apie aplinką, negali būti pripažintas teisėtu. Be to, kaip pažymėjo LVAT teisėjų kolegija, atsisakydamas suteikti suinteresuotai visuomenei informaciją, atsakovas neatsižvelgė taip pat ir į tai, jog Orhuso konvencija</w:t>
      </w:r>
      <w:r w:rsidR="00F73A4E">
        <w:rPr>
          <w:rFonts w:asciiTheme="minorHAnsi" w:hAnsiTheme="minorHAnsi" w:cstheme="minorHAnsi"/>
          <w:sz w:val="22"/>
          <w:szCs w:val="22"/>
          <w:u w:val="single"/>
        </w:rPr>
        <w:t xml:space="preserve"> sąvoką </w:t>
      </w:r>
      <w:r w:rsidRPr="00B90026">
        <w:rPr>
          <w:rFonts w:asciiTheme="minorHAnsi" w:hAnsiTheme="minorHAnsi" w:cstheme="minorHAnsi"/>
          <w:sz w:val="22"/>
          <w:szCs w:val="22"/>
          <w:u w:val="single"/>
        </w:rPr>
        <w:t>„informacija apie aplinką“ apibūdina kaip bet kokią rašytine, vaizdo, garso, elektronine ar kitokia materialia forma saugomą informaciją, t. y. sąvoka „informaciją“ apima ir dokumentus, ne vien rašytinius paaiškinimus. Todėl viešojo administravimo subjektas,</w:t>
      </w:r>
      <w:r w:rsidR="00A46518">
        <w:rPr>
          <w:rFonts w:asciiTheme="minorHAnsi" w:hAnsiTheme="minorHAnsi" w:cstheme="minorHAnsi"/>
          <w:sz w:val="22"/>
          <w:szCs w:val="22"/>
          <w:u w:val="single"/>
        </w:rPr>
        <w:t xml:space="preserve"> </w:t>
      </w:r>
      <w:r w:rsidRPr="00B90026">
        <w:rPr>
          <w:rFonts w:asciiTheme="minorHAnsi" w:hAnsiTheme="minorHAnsi" w:cstheme="minorHAnsi"/>
          <w:sz w:val="22"/>
          <w:szCs w:val="22"/>
          <w:u w:val="single"/>
        </w:rPr>
        <w:t>gavęs prašymą suteikti informaciją, turėjo pareigą spręsti klausimą ne vien dėl rašytinio atsakymo suinteresuotai visuomenei pateikimo, bet ir dėl dokumentų pateikimo</w:t>
      </w:r>
      <w:r w:rsidRPr="00B90026">
        <w:rPr>
          <w:rFonts w:asciiTheme="minorHAnsi" w:hAnsiTheme="minorHAnsi" w:cstheme="minorHAnsi"/>
          <w:sz w:val="22"/>
          <w:szCs w:val="22"/>
        </w:rPr>
        <w:t>.</w:t>
      </w:r>
    </w:p>
    <w:p w:rsidR="00BE7A59" w:rsidRPr="00B90026" w:rsidRDefault="00BE7A59" w:rsidP="00BE7A59">
      <w:pPr>
        <w:ind w:firstLine="567"/>
        <w:jc w:val="both"/>
        <w:rPr>
          <w:rFonts w:asciiTheme="minorHAnsi" w:hAnsiTheme="minorHAnsi" w:cstheme="minorHAnsi"/>
          <w:sz w:val="22"/>
          <w:szCs w:val="22"/>
        </w:rPr>
      </w:pPr>
      <w:r w:rsidRPr="00B90026">
        <w:rPr>
          <w:rFonts w:asciiTheme="minorHAnsi" w:hAnsiTheme="minorHAnsi" w:cstheme="minorHAnsi"/>
          <w:sz w:val="22"/>
          <w:szCs w:val="22"/>
        </w:rPr>
        <w:t>LVAT konstatavo, jog pirmosios instancijos teismas teisingai konstatavo, kad atsakovo veiksmai buvo neteisėti, todėl pagrįstai panaikino sprendimą ir įpareigojo atlikti teisės aktuose įtvirtintus veiksmus.</w:t>
      </w:r>
    </w:p>
    <w:p w:rsidR="00BE7A59" w:rsidRPr="00B90026" w:rsidRDefault="00BE7A59" w:rsidP="00BE7A59">
      <w:pPr>
        <w:ind w:firstLine="567"/>
        <w:jc w:val="both"/>
        <w:rPr>
          <w:rFonts w:asciiTheme="minorHAnsi" w:hAnsiTheme="minorHAnsi" w:cstheme="minorHAnsi"/>
          <w:sz w:val="22"/>
          <w:szCs w:val="22"/>
        </w:rPr>
      </w:pPr>
    </w:p>
    <w:p w:rsidR="00BE7A59" w:rsidRPr="00B90026" w:rsidRDefault="00BE7A59" w:rsidP="00BE7A59">
      <w:pPr>
        <w:jc w:val="both"/>
        <w:rPr>
          <w:rFonts w:asciiTheme="minorHAnsi" w:hAnsiTheme="minorHAnsi" w:cstheme="minorHAnsi"/>
          <w:sz w:val="22"/>
          <w:szCs w:val="22"/>
        </w:rPr>
      </w:pPr>
      <w:r w:rsidRPr="00B90026">
        <w:rPr>
          <w:rFonts w:asciiTheme="minorHAnsi" w:hAnsiTheme="minorHAnsi" w:cstheme="minorHAnsi"/>
          <w:sz w:val="22"/>
          <w:szCs w:val="22"/>
        </w:rPr>
        <w:lastRenderedPageBreak/>
        <w:t>2017 m. lapkričio 14 d. nutartis administracinėje byloje Nr. A-1322-602/2017</w:t>
      </w:r>
    </w:p>
    <w:p w:rsidR="00BE7A59" w:rsidRPr="00B90026" w:rsidRDefault="00BE7A59" w:rsidP="00BE7A59">
      <w:pPr>
        <w:jc w:val="both"/>
        <w:rPr>
          <w:rFonts w:asciiTheme="minorHAnsi" w:hAnsiTheme="minorHAnsi" w:cstheme="minorHAnsi"/>
          <w:sz w:val="22"/>
          <w:szCs w:val="22"/>
        </w:rPr>
      </w:pPr>
      <w:r w:rsidRPr="00B90026">
        <w:rPr>
          <w:rFonts w:asciiTheme="minorHAnsi" w:hAnsiTheme="minorHAnsi" w:cstheme="minorHAnsi"/>
          <w:sz w:val="22"/>
          <w:szCs w:val="22"/>
        </w:rPr>
        <w:t>Teisminio proceso Nr. 3-61-3-04465-2015-0</w:t>
      </w:r>
    </w:p>
    <w:p w:rsidR="00BE7A59" w:rsidRPr="00B90026" w:rsidRDefault="00BE7A59" w:rsidP="00BE7A59">
      <w:pPr>
        <w:jc w:val="both"/>
        <w:rPr>
          <w:rFonts w:asciiTheme="minorHAnsi" w:hAnsiTheme="minorHAnsi" w:cstheme="minorHAnsi"/>
          <w:sz w:val="22"/>
          <w:szCs w:val="22"/>
        </w:rPr>
      </w:pPr>
      <w:r w:rsidRPr="00B90026">
        <w:rPr>
          <w:rFonts w:asciiTheme="minorHAnsi" w:hAnsiTheme="minorHAnsi" w:cstheme="minorHAnsi"/>
          <w:sz w:val="22"/>
          <w:szCs w:val="22"/>
        </w:rPr>
        <w:t xml:space="preserve">Procesinio sprendimo kategorija 14.9.1 </w:t>
      </w:r>
    </w:p>
    <w:p w:rsidR="00BE7A59" w:rsidRPr="00B90026" w:rsidRDefault="007E1236" w:rsidP="00BE7A59">
      <w:pPr>
        <w:jc w:val="both"/>
        <w:rPr>
          <w:rFonts w:asciiTheme="minorHAnsi" w:hAnsiTheme="minorHAnsi" w:cstheme="minorHAnsi"/>
          <w:sz w:val="22"/>
          <w:szCs w:val="22"/>
        </w:rPr>
      </w:pPr>
      <w:hyperlink r:id="rId15" w:history="1">
        <w:r w:rsidR="00BE7A59" w:rsidRPr="00B90026">
          <w:rPr>
            <w:rStyle w:val="Hipersaitas"/>
            <w:rFonts w:asciiTheme="minorHAnsi" w:hAnsiTheme="minorHAnsi" w:cstheme="minorHAnsi"/>
            <w:sz w:val="22"/>
            <w:szCs w:val="22"/>
          </w:rPr>
          <w:t>Prieiga internete</w:t>
        </w:r>
      </w:hyperlink>
    </w:p>
    <w:p w:rsidR="00BE7A59" w:rsidRPr="00B90026" w:rsidRDefault="00BE7A59" w:rsidP="00B91508">
      <w:pPr>
        <w:jc w:val="both"/>
        <w:rPr>
          <w:rFonts w:asciiTheme="minorHAnsi" w:hAnsiTheme="minorHAnsi" w:cstheme="minorHAnsi"/>
          <w:sz w:val="22"/>
          <w:szCs w:val="22"/>
        </w:rPr>
      </w:pPr>
    </w:p>
    <w:p w:rsidR="00AE4D0A" w:rsidRPr="00B90026" w:rsidRDefault="00AE4D0A" w:rsidP="00363C0B">
      <w:pPr>
        <w:pStyle w:val="Apzvalgai1"/>
        <w:rPr>
          <w:rFonts w:asciiTheme="minorHAnsi" w:hAnsiTheme="minorHAnsi" w:cstheme="minorHAnsi"/>
        </w:rPr>
      </w:pPr>
      <w:bookmarkStart w:id="31" w:name="_Toc505787252"/>
      <w:r w:rsidRPr="00B90026">
        <w:rPr>
          <w:rFonts w:asciiTheme="minorHAnsi" w:hAnsiTheme="minorHAnsi" w:cstheme="minorHAnsi"/>
        </w:rPr>
        <w:t>19. Registrai</w:t>
      </w:r>
      <w:bookmarkEnd w:id="31"/>
    </w:p>
    <w:p w:rsidR="00AE4D0A" w:rsidRPr="00B90026" w:rsidRDefault="00AE4D0A" w:rsidP="00AE4D0A">
      <w:pPr>
        <w:ind w:left="851" w:hanging="284"/>
        <w:rPr>
          <w:rFonts w:asciiTheme="minorHAnsi" w:hAnsiTheme="minorHAnsi" w:cstheme="minorHAnsi"/>
          <w:b/>
          <w:bCs/>
          <w:sz w:val="22"/>
          <w:szCs w:val="22"/>
          <w:u w:val="single"/>
        </w:rPr>
      </w:pPr>
      <w:r w:rsidRPr="00B90026">
        <w:rPr>
          <w:rFonts w:asciiTheme="minorHAnsi" w:hAnsiTheme="minorHAnsi" w:cstheme="minorHAnsi"/>
          <w:b/>
          <w:bCs/>
          <w:sz w:val="22"/>
          <w:szCs w:val="22"/>
          <w:u w:val="single"/>
        </w:rPr>
        <w:t>19.4. Kiti su registrais susiję klausimai</w:t>
      </w:r>
    </w:p>
    <w:p w:rsidR="00AE4D0A" w:rsidRPr="00B90026" w:rsidRDefault="00AE4D0A" w:rsidP="00AE4D0A">
      <w:pPr>
        <w:ind w:left="851" w:hanging="567"/>
        <w:rPr>
          <w:rFonts w:asciiTheme="minorHAnsi" w:hAnsiTheme="minorHAnsi" w:cstheme="minorHAnsi"/>
          <w:b/>
          <w:sz w:val="22"/>
          <w:szCs w:val="22"/>
          <w:u w:val="single"/>
        </w:rPr>
      </w:pPr>
    </w:p>
    <w:p w:rsidR="00AE4D0A" w:rsidRPr="00B90026" w:rsidRDefault="00AE4D0A" w:rsidP="00363C0B">
      <w:pPr>
        <w:pStyle w:val="Antrat2"/>
        <w:rPr>
          <w:rFonts w:eastAsia="Arial Unicode MS"/>
          <w:lang w:eastAsia="en-US"/>
        </w:rPr>
      </w:pPr>
      <w:bookmarkStart w:id="32" w:name="_Toc505787253"/>
      <w:r w:rsidRPr="00B90026">
        <w:rPr>
          <w:rFonts w:eastAsia="Arial Unicode MS"/>
        </w:rPr>
        <w:t>Dėl atsisakymo registruoti transporto priemonę dėl to, jog nebuvo pateikta techninės ekspertizės pažyma dėl transporto priemonės perdirbimo (vairo perkėlimo)</w:t>
      </w:r>
      <w:bookmarkEnd w:id="32"/>
      <w:r w:rsidRPr="00B90026">
        <w:rPr>
          <w:rFonts w:eastAsia="Arial Unicode MS"/>
        </w:rPr>
        <w:t xml:space="preserve"> </w:t>
      </w:r>
    </w:p>
    <w:p w:rsidR="00AE4D0A" w:rsidRPr="00B90026" w:rsidRDefault="00AE4D0A" w:rsidP="00AE4D0A">
      <w:pPr>
        <w:rPr>
          <w:rFonts w:asciiTheme="minorHAnsi" w:eastAsia="Arial Unicode MS" w:hAnsiTheme="minorHAnsi" w:cstheme="minorHAnsi"/>
          <w:i/>
          <w:sz w:val="22"/>
          <w:szCs w:val="22"/>
          <w:shd w:val="clear" w:color="auto" w:fill="FFFFFF"/>
        </w:rPr>
      </w:pPr>
    </w:p>
    <w:p w:rsidR="00AE4D0A" w:rsidRPr="00B90026" w:rsidRDefault="00AE4D0A" w:rsidP="00AE4D0A">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Apžvelgiamoje byloje </w:t>
      </w:r>
      <w:r w:rsidRPr="00B90026">
        <w:rPr>
          <w:rFonts w:asciiTheme="minorHAnsi" w:hAnsiTheme="minorHAnsi" w:cstheme="minorHAnsi"/>
          <w:bCs/>
          <w:sz w:val="22"/>
          <w:szCs w:val="22"/>
        </w:rPr>
        <w:t xml:space="preserve">ginčas kilo dėl pareiškėjo reikalavimo </w:t>
      </w:r>
      <w:r w:rsidRPr="00B90026">
        <w:rPr>
          <w:rFonts w:asciiTheme="minorHAnsi" w:hAnsiTheme="minorHAnsi" w:cstheme="minorHAnsi"/>
          <w:sz w:val="22"/>
          <w:szCs w:val="22"/>
        </w:rPr>
        <w:t>panaikinti atsakovo VĮ ,,Regitra“ Telšių filialo sprendimą dėl atsisakymo įregistruoti transporto priemonę „Vauxhall Vectra“ (toliau – Automobilis), VĮ „Regitra“ sprendimą dėl atsisakymo registruoti transporto priemonę ir įpareigoti atsakovą įregistruoti Automobilį Lietuvoje, taip pat atlyginti 500 Eur neturtinę žalą.</w:t>
      </w:r>
    </w:p>
    <w:p w:rsidR="00AE4D0A" w:rsidRPr="00B90026" w:rsidRDefault="00AE4D0A" w:rsidP="00AE4D0A">
      <w:pPr>
        <w:ind w:firstLine="567"/>
        <w:jc w:val="both"/>
        <w:rPr>
          <w:rFonts w:asciiTheme="minorHAnsi" w:hAnsiTheme="minorHAnsi" w:cstheme="minorHAnsi"/>
          <w:sz w:val="22"/>
          <w:szCs w:val="22"/>
        </w:rPr>
      </w:pPr>
      <w:r w:rsidRPr="00B90026">
        <w:rPr>
          <w:rFonts w:asciiTheme="minorHAnsi" w:hAnsiTheme="minorHAnsi" w:cstheme="minorHAnsi"/>
          <w:bCs/>
          <w:sz w:val="22"/>
          <w:szCs w:val="22"/>
        </w:rPr>
        <w:t xml:space="preserve">Pirmosios instancijos teismas </w:t>
      </w:r>
      <w:r w:rsidRPr="00B90026">
        <w:rPr>
          <w:rFonts w:asciiTheme="minorHAnsi" w:hAnsiTheme="minorHAnsi" w:cstheme="minorHAnsi"/>
          <w:sz w:val="22"/>
          <w:szCs w:val="22"/>
        </w:rPr>
        <w:t>nusprendė, kad naikinti pareiškėjo skundžiamus VĮ „Regitra“ Telšių filialo ir VĮ „Regitra“ sprendimus nėra pagrindo, kadangi VĮ „Regitra“ Telšių filialas, nustatęs, jog prašomas įregistruoti Automobilis buvo perdirbtas perstatant jo vairo mechanizmą iš dešinės pusės į kairę, turėjo teisę atsisakyti jį registruoti dėl to, kad nepateiktas transporto priemonės techninės ekspertizės atlikimo dokumentas (Motorinių transporto priemonių ir jų priekabų registravimo taisyklių, patvirtintų Lietuvos Respublikos vidaus reikalų ministro 2001 m. gegužės 25 d. įsakymu Nr. 260 (2014 m. birželio 30 d. įsakymo Nr. 1V-445 redakcija) (toliau – Registravimo taisyklės) 67.4 ir 44.1.1 p.).</w:t>
      </w:r>
    </w:p>
    <w:p w:rsidR="00AE4D0A" w:rsidRPr="00B90026" w:rsidRDefault="00AE4D0A" w:rsidP="00AE4D0A">
      <w:pPr>
        <w:ind w:firstLine="567"/>
        <w:jc w:val="both"/>
        <w:rPr>
          <w:rFonts w:asciiTheme="minorHAnsi" w:hAnsiTheme="minorHAnsi" w:cstheme="minorHAnsi"/>
          <w:sz w:val="22"/>
          <w:szCs w:val="22"/>
        </w:rPr>
      </w:pPr>
      <w:r w:rsidRPr="00B90026">
        <w:rPr>
          <w:rFonts w:asciiTheme="minorHAnsi" w:hAnsiTheme="minorHAnsi" w:cstheme="minorHAnsi"/>
          <w:sz w:val="22"/>
          <w:szCs w:val="22"/>
        </w:rPr>
        <w:t>Pareiškėjas nesutiko su tokiu pirmosios instancijos teismo sprendimu.</w:t>
      </w:r>
    </w:p>
    <w:p w:rsidR="00AE4D0A" w:rsidRPr="00B90026" w:rsidRDefault="00AE4D0A" w:rsidP="00AE4D0A">
      <w:pPr>
        <w:ind w:firstLine="567"/>
        <w:jc w:val="both"/>
        <w:rPr>
          <w:rFonts w:asciiTheme="minorHAnsi" w:hAnsiTheme="minorHAnsi" w:cstheme="minorHAnsi"/>
          <w:sz w:val="22"/>
          <w:szCs w:val="22"/>
        </w:rPr>
      </w:pPr>
      <w:r w:rsidRPr="00B90026">
        <w:rPr>
          <w:rFonts w:asciiTheme="minorHAnsi" w:hAnsiTheme="minorHAnsi" w:cstheme="minorHAnsi"/>
          <w:sz w:val="22"/>
          <w:szCs w:val="22"/>
        </w:rPr>
        <w:t>Iš byloje esančių duomenų buvo matyti, jog 2015 m. kovo 25 d. pareiškėjas kreipėsi į VĮ „Regitra“ Telšių filialą su prašymu įregistruoti Automobilį, kartu su prašymu pateikdamas šios transporto priemonės registracijos liudijimą, išduotą 2014 m. spalio 17 d. Latvijos Respublikoje, transporto priemonės techninių bandymų atlikimo pažymėjimą ir transporto priemonės identifikavimo dokumentą, išduotus Lenkijoje. Ginčo dėl Lenkijoje išduoto techninės apžiūros dokumento pripažinimo nekilo, todėl</w:t>
      </w:r>
      <w:r w:rsidR="00DC1ED0" w:rsidRPr="00B90026">
        <w:rPr>
          <w:rFonts w:asciiTheme="minorHAnsi" w:hAnsiTheme="minorHAnsi" w:cstheme="minorHAnsi"/>
          <w:sz w:val="22"/>
          <w:szCs w:val="22"/>
        </w:rPr>
        <w:t xml:space="preserve"> LVAT </w:t>
      </w:r>
      <w:r w:rsidRPr="00B90026">
        <w:rPr>
          <w:rFonts w:asciiTheme="minorHAnsi" w:hAnsiTheme="minorHAnsi" w:cstheme="minorHAnsi"/>
          <w:sz w:val="22"/>
          <w:szCs w:val="22"/>
        </w:rPr>
        <w:t>teisėjų kolegija detaliau šios aplinkybės nevertino. Nagrinė</w:t>
      </w:r>
      <w:r w:rsidR="00DC1ED0" w:rsidRPr="00B90026">
        <w:rPr>
          <w:rFonts w:asciiTheme="minorHAnsi" w:hAnsiTheme="minorHAnsi" w:cstheme="minorHAnsi"/>
          <w:sz w:val="22"/>
          <w:szCs w:val="22"/>
        </w:rPr>
        <w:t xml:space="preserve">tu </w:t>
      </w:r>
      <w:r w:rsidRPr="00B90026">
        <w:rPr>
          <w:rFonts w:asciiTheme="minorHAnsi" w:hAnsiTheme="minorHAnsi" w:cstheme="minorHAnsi"/>
          <w:sz w:val="22"/>
          <w:szCs w:val="22"/>
        </w:rPr>
        <w:t xml:space="preserve">atveju vertinta, ar pagrįstai pareiškėjo norimą užregistruoti transporto priemonę buvo atsisakyta registruoti dėl to, jog nebuvo pateikta techninės ekspertizės pažyma (Registravimo taisyklių 67.4 p.). </w:t>
      </w:r>
    </w:p>
    <w:p w:rsidR="00AE4D0A" w:rsidRPr="00B90026" w:rsidRDefault="00AE4D0A" w:rsidP="00AE4D0A">
      <w:pPr>
        <w:ind w:firstLine="567"/>
        <w:jc w:val="both"/>
        <w:rPr>
          <w:rFonts w:asciiTheme="minorHAnsi" w:hAnsiTheme="minorHAnsi" w:cstheme="minorHAnsi"/>
          <w:sz w:val="22"/>
          <w:szCs w:val="22"/>
        </w:rPr>
      </w:pPr>
      <w:r w:rsidRPr="00B90026">
        <w:rPr>
          <w:rFonts w:asciiTheme="minorHAnsi" w:hAnsiTheme="minorHAnsi" w:cstheme="minorHAnsi"/>
          <w:sz w:val="22"/>
          <w:szCs w:val="22"/>
        </w:rPr>
        <w:t>Registravimo taisyklių 67.4 punkte numatyta, kad transporto priemonę įregistruoti pageidaujantis pareiškėjas VĮ „Regitra“ pateikia transporto priemonės kilmės dokumentą (-us), išskyrus atvejus, kai transporto priemonė paskutinį kartą buvo įregistruota Lietuvos Respublikoje, išduodant registracijos liudijimą arba galingojo keturračio registracijos liudijimą, yra neperdirbta ir transporto priemonės registracijos dokumentas yra prarastas. Taigi, kadangi pareiškėjas Automobilio anksčiau nebuvo įregistravęs Lietuvos Respublikoje, taip pat jo norima užregistruoti transporto priemonė buvo perdirbta (perstatytas vairo mechanizmas iš dešinės pusės į kairę), pareiškėjas, norėdamas tokią transporto priemonę užregistruoti, pagal Registravimo taisyklių 67.4 punktą turėjo pateikti transporto priemonės kilmės dokumentą.</w:t>
      </w:r>
    </w:p>
    <w:p w:rsidR="00AE4D0A" w:rsidRPr="00B90026" w:rsidRDefault="00AE4D0A" w:rsidP="00AE4D0A">
      <w:pPr>
        <w:ind w:firstLine="567"/>
        <w:jc w:val="both"/>
        <w:rPr>
          <w:rFonts w:asciiTheme="minorHAnsi" w:hAnsiTheme="minorHAnsi" w:cstheme="minorHAnsi"/>
          <w:sz w:val="22"/>
          <w:szCs w:val="22"/>
        </w:rPr>
      </w:pPr>
      <w:r w:rsidRPr="00B90026">
        <w:rPr>
          <w:rFonts w:asciiTheme="minorHAnsi" w:hAnsiTheme="minorHAnsi" w:cstheme="minorHAnsi"/>
          <w:sz w:val="22"/>
          <w:szCs w:val="22"/>
        </w:rPr>
        <w:t>Transporto priemonės kilmės dokumentai išvard</w:t>
      </w:r>
      <w:r w:rsidR="00DC1ED0" w:rsidRPr="00B90026">
        <w:rPr>
          <w:rFonts w:asciiTheme="minorHAnsi" w:hAnsiTheme="minorHAnsi" w:cstheme="minorHAnsi"/>
          <w:sz w:val="22"/>
          <w:szCs w:val="22"/>
        </w:rPr>
        <w:t xml:space="preserve">yti </w:t>
      </w:r>
      <w:r w:rsidRPr="00B90026">
        <w:rPr>
          <w:rFonts w:asciiTheme="minorHAnsi" w:hAnsiTheme="minorHAnsi" w:cstheme="minorHAnsi"/>
          <w:sz w:val="22"/>
          <w:szCs w:val="22"/>
        </w:rPr>
        <w:t xml:space="preserve">Registravimo taisyklių 44 punkte, o 45 punkte detalizuota, kokiais atvejais kokį dokumentą reikia pateikti. </w:t>
      </w:r>
    </w:p>
    <w:p w:rsidR="00AE4D0A" w:rsidRPr="00B90026" w:rsidRDefault="00AE4D0A" w:rsidP="00AE4D0A">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Vertindama Latvijos Respublikoje pareiškėjo Automobiliui išduotą registracijos liudijimą, </w:t>
      </w:r>
      <w:r w:rsidR="00DC1ED0"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 xml:space="preserve">teisėjų kolegija vadovavosi Tarybos 1999 m. balandžio 29 d. direktyvos 1999/37/EB dėl transporto priemonių registracijos dokumentų (toliau – </w:t>
      </w:r>
      <w:r w:rsidRPr="00B90026">
        <w:rPr>
          <w:rFonts w:asciiTheme="minorHAnsi" w:hAnsiTheme="minorHAnsi" w:cstheme="minorHAnsi"/>
          <w:bCs/>
          <w:sz w:val="22"/>
          <w:szCs w:val="22"/>
        </w:rPr>
        <w:t xml:space="preserve">Direktyva 1999/37/EB) </w:t>
      </w:r>
      <w:r w:rsidRPr="00B90026">
        <w:rPr>
          <w:rFonts w:asciiTheme="minorHAnsi" w:hAnsiTheme="minorHAnsi" w:cstheme="minorHAnsi"/>
          <w:sz w:val="22"/>
          <w:szCs w:val="22"/>
        </w:rPr>
        <w:t>nuostatomis ir, įvertinus</w:t>
      </w:r>
      <w:r w:rsidR="00DC1ED0" w:rsidRPr="00B90026">
        <w:rPr>
          <w:rFonts w:asciiTheme="minorHAnsi" w:hAnsiTheme="minorHAnsi" w:cstheme="minorHAnsi"/>
          <w:sz w:val="22"/>
          <w:szCs w:val="22"/>
        </w:rPr>
        <w:t>i</w:t>
      </w:r>
      <w:r w:rsidRPr="00B90026">
        <w:rPr>
          <w:rFonts w:asciiTheme="minorHAnsi" w:hAnsiTheme="minorHAnsi" w:cstheme="minorHAnsi"/>
          <w:sz w:val="22"/>
          <w:szCs w:val="22"/>
        </w:rPr>
        <w:t xml:space="preserve"> tai, jog Latvijos Respublikoje išduotas transporto priemonės registracijos liudijimas iš esmės atitiko </w:t>
      </w:r>
      <w:r w:rsidRPr="00B90026">
        <w:rPr>
          <w:rFonts w:asciiTheme="minorHAnsi" w:hAnsiTheme="minorHAnsi" w:cstheme="minorHAnsi"/>
          <w:bCs/>
          <w:sz w:val="22"/>
          <w:szCs w:val="22"/>
        </w:rPr>
        <w:t xml:space="preserve">Direktyvoje 1999/37/EB nustatytą modelį ir nedaug nuo jo skyrėsi, </w:t>
      </w:r>
      <w:r w:rsidRPr="00B90026">
        <w:rPr>
          <w:rFonts w:asciiTheme="minorHAnsi" w:hAnsiTheme="minorHAnsi" w:cstheme="minorHAnsi"/>
          <w:sz w:val="22"/>
          <w:szCs w:val="22"/>
        </w:rPr>
        <w:t xml:space="preserve">pareiškėjo Automobiliui Latvijos Respublikoje išduotą registracijos liudijimą </w:t>
      </w:r>
      <w:r w:rsidRPr="00B90026">
        <w:rPr>
          <w:rFonts w:asciiTheme="minorHAnsi" w:hAnsiTheme="minorHAnsi" w:cstheme="minorHAnsi"/>
          <w:bCs/>
          <w:sz w:val="22"/>
          <w:szCs w:val="22"/>
        </w:rPr>
        <w:t>vertino</w:t>
      </w:r>
      <w:r w:rsidRPr="00B90026">
        <w:rPr>
          <w:rFonts w:asciiTheme="minorHAnsi" w:hAnsiTheme="minorHAnsi" w:cstheme="minorHAnsi"/>
          <w:sz w:val="22"/>
          <w:szCs w:val="22"/>
        </w:rPr>
        <w:t xml:space="preserve"> </w:t>
      </w:r>
      <w:r w:rsidRPr="00B90026">
        <w:rPr>
          <w:rFonts w:asciiTheme="minorHAnsi" w:hAnsiTheme="minorHAnsi" w:cstheme="minorHAnsi"/>
          <w:bCs/>
          <w:sz w:val="22"/>
          <w:szCs w:val="22"/>
        </w:rPr>
        <w:t xml:space="preserve">kaip </w:t>
      </w:r>
      <w:r w:rsidRPr="00B90026">
        <w:rPr>
          <w:rFonts w:asciiTheme="minorHAnsi" w:hAnsiTheme="minorHAnsi" w:cstheme="minorHAnsi"/>
          <w:sz w:val="22"/>
          <w:szCs w:val="22"/>
        </w:rPr>
        <w:t>Registravimo taisyklių 44.2.1 punkte nurodytą dokumentą – EEE šalyse išduotą transporto priemonės registracijos liudijimą, kuris atitinka 1999 m. balandžio 29 d. Tarybos direktyvos 1999/37/EB dėl transporto priemonių registracijos dokumentų (OL 2004 m. specialusis leidimas, 7 skyrius, 4 tomas, p. 351) su paskutiniais pakeitimais, padarytais 2003 m. gruodžio 23 d. Komisijos direktyva 2003/127/EB (OL 2004 m. specialusis leidimas, 7 skyrius, 7 tomas, p. 710), reikalavimus ir yra išduotas registruojant transporto priemonę, atitinkančią Europos Bendrijos patvirtintą tipą arba kuriai yra suteiktas individualus Europos Bendrijos patvirtinimas.</w:t>
      </w:r>
    </w:p>
    <w:p w:rsidR="00AE4D0A" w:rsidRPr="00B90026" w:rsidRDefault="00AE4D0A" w:rsidP="00AE4D0A">
      <w:pPr>
        <w:ind w:firstLine="567"/>
        <w:jc w:val="both"/>
        <w:rPr>
          <w:rFonts w:asciiTheme="minorHAnsi" w:hAnsiTheme="minorHAnsi" w:cstheme="minorHAnsi"/>
          <w:sz w:val="22"/>
          <w:szCs w:val="22"/>
        </w:rPr>
      </w:pPr>
      <w:r w:rsidRPr="00B90026">
        <w:rPr>
          <w:rFonts w:asciiTheme="minorHAnsi" w:hAnsiTheme="minorHAnsi" w:cstheme="minorHAnsi"/>
          <w:sz w:val="22"/>
          <w:szCs w:val="22"/>
          <w:u w:val="single"/>
        </w:rPr>
        <w:lastRenderedPageBreak/>
        <w:t>Sisteminis Registravimo taisyklių 67.4, 45 ir 44 punktų aiškinimas suponavo, jog transporto priemonę perdirbus prieš Registravimo taisyklių 44.2.1 papunktyje nurodyto dokumento išdavimą</w:t>
      </w:r>
      <w:r w:rsidR="00DC1ED0" w:rsidRPr="00B90026">
        <w:rPr>
          <w:rFonts w:asciiTheme="minorHAnsi" w:hAnsiTheme="minorHAnsi" w:cstheme="minorHAnsi"/>
          <w:sz w:val="22"/>
          <w:szCs w:val="22"/>
          <w:u w:val="single"/>
        </w:rPr>
        <w:t>,</w:t>
      </w:r>
      <w:r w:rsidRPr="00B90026">
        <w:rPr>
          <w:rFonts w:asciiTheme="minorHAnsi" w:hAnsiTheme="minorHAnsi" w:cstheme="minorHAnsi"/>
          <w:sz w:val="22"/>
          <w:szCs w:val="22"/>
          <w:u w:val="single"/>
        </w:rPr>
        <w:t xml:space="preserve"> pakanka pateikti EEE šalyse išduotą transporto priemonės registracijos liudijimą (Registravimo taisyklių 44.2.1 p. nurodytą dokumentą).</w:t>
      </w:r>
      <w:r w:rsidRPr="00B90026">
        <w:rPr>
          <w:rFonts w:asciiTheme="minorHAnsi" w:hAnsiTheme="minorHAnsi" w:cstheme="minorHAnsi"/>
          <w:sz w:val="22"/>
          <w:szCs w:val="22"/>
        </w:rPr>
        <w:t xml:space="preserve"> Kadangi pareiškėjo Automobilis perdirbtas prieš Registravimo taisyklių 44.2.1 papunktyje nurodyto dokumento (Latvijos Respublikos išduoto transporto priemonės registracijos liudijimo) išdavimą, iš Registravimo taisyklių 45 punkto neišplaukia įpareigojimas pareiškėjui pateikti 44.1.1 papunktyje nurodytą dokumentą (pagal Tvarkos aprašą išduotą techninės ekspertizės pažymėjimą). Pažymėta, jog tokį aiškinimą galima pagrįsti ir byloje išdėstytu iš Europos Sąjungos nuostatų išplaukiančiu teisiniu reguliavimu bei Europos Sąjungos Teisingumo Teismo praktika. </w:t>
      </w:r>
    </w:p>
    <w:p w:rsidR="00C20026" w:rsidRDefault="00AE4D0A" w:rsidP="00C20026">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Be to, </w:t>
      </w:r>
      <w:r w:rsidR="0073374A"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teisėjų kolegija papildomai pažymėjo, kad Lietuvos vyriausiajam administraciniam teismui buvo pateiktas Latvijos Respublikos transporto ministerijos Kelių eismo saugos direktorato CSDD raštas, kuriame nurodoma, jog transporto priemonė „Vauxhall Vectra“ atlikus pakeitimus, skirtus pritaikyti transporto priemonę dešinės pusės eismui, 2014 m. spalio 17 d. buvo pristatyta į CSDD, kur j</w:t>
      </w:r>
      <w:r w:rsidR="003228AD">
        <w:rPr>
          <w:rFonts w:asciiTheme="minorHAnsi" w:hAnsiTheme="minorHAnsi" w:cstheme="minorHAnsi"/>
          <w:sz w:val="22"/>
          <w:szCs w:val="22"/>
        </w:rPr>
        <w:t>a</w:t>
      </w:r>
      <w:r w:rsidRPr="00B90026">
        <w:rPr>
          <w:rFonts w:asciiTheme="minorHAnsi" w:hAnsiTheme="minorHAnsi" w:cstheme="minorHAnsi"/>
          <w:sz w:val="22"/>
          <w:szCs w:val="22"/>
        </w:rPr>
        <w:t xml:space="preserve">i buvo atlikta techninė ekspertizė, laikantis Ministrų kabineto 2004 m. rugpjūčio 17 d. įsakymo Nr. 725 „Transporto priemonių modifikavimo reikalavimai“ 3 priedo nuostatų. Atlikus šią ekspertizę, buvo išrašytas techninės ekspertizės aktas. </w:t>
      </w:r>
    </w:p>
    <w:p w:rsidR="00AE4D0A" w:rsidRPr="00B90026" w:rsidRDefault="0073374A" w:rsidP="00C20026">
      <w:pPr>
        <w:ind w:firstLine="567"/>
        <w:jc w:val="both"/>
        <w:rPr>
          <w:rFonts w:asciiTheme="minorHAnsi" w:hAnsiTheme="minorHAnsi" w:cstheme="minorHAnsi"/>
          <w:sz w:val="22"/>
          <w:szCs w:val="22"/>
        </w:rPr>
      </w:pPr>
      <w:r w:rsidRPr="00B90026">
        <w:rPr>
          <w:rFonts w:asciiTheme="minorHAnsi" w:hAnsiTheme="minorHAnsi" w:cstheme="minorHAnsi"/>
          <w:sz w:val="22"/>
          <w:szCs w:val="22"/>
        </w:rPr>
        <w:t>LVAT t</w:t>
      </w:r>
      <w:r w:rsidR="00AE4D0A" w:rsidRPr="00B90026">
        <w:rPr>
          <w:rFonts w:asciiTheme="minorHAnsi" w:hAnsiTheme="minorHAnsi" w:cstheme="minorHAnsi"/>
          <w:sz w:val="22"/>
          <w:szCs w:val="22"/>
        </w:rPr>
        <w:t xml:space="preserve">eisėjų kolegija sprendė, jog tiek atsakovas, tiek pirmosios instancijos teismas nepagrįstai įvertino, kad šiuo atveju, remiantis Registravimo taisyklių 67.4 punktu, iš pareiškėjo, norinčio užregistruoti Automobilį, galima reikalauti pateikti techninės ekspertizės dokumentą – transporto priemonės patvirtinimą ar perdirbimą patvirtinantį dokumentą (Registravimo taisyklių 44.1.1 p.). </w:t>
      </w:r>
    </w:p>
    <w:p w:rsidR="0073374A" w:rsidRPr="00B90026" w:rsidRDefault="00AE4D0A" w:rsidP="00AE4D0A">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Galutinės instancijos teismas pirmosios instancijos teismo sprendimą panaikino ir priėmė naują sprendimą, kuriuo pareiškėjo skundą tenkino iš dalies, atsakovo VĮ ,,Regitra“ Telšių filialo sprendimą ir VĮ „Regitra“ sprendimo dalį, kurioje nurodyta, kad transporto priemonė galėtų būti registruojama atlikus transporto priemonės techninę ekspertizę ir kartu su kitais dokumentais pateiktus techninės ekspertizės atlikimą patvirtinantį dokumentą, panaikino bei tenkino pareiškėjo reikalavimą ir įpareigojo atsakovą įregistruoti pareiškėjo transporto priemonę Lietuvos Respublikоs kelių transporto priemonių registre. </w:t>
      </w:r>
    </w:p>
    <w:p w:rsidR="00AE4D0A" w:rsidRPr="00B90026" w:rsidRDefault="0073374A" w:rsidP="00AE4D0A">
      <w:pPr>
        <w:ind w:firstLine="567"/>
        <w:jc w:val="both"/>
        <w:rPr>
          <w:rFonts w:asciiTheme="minorHAnsi" w:hAnsiTheme="minorHAnsi" w:cstheme="minorHAnsi"/>
          <w:sz w:val="22"/>
          <w:szCs w:val="22"/>
        </w:rPr>
      </w:pPr>
      <w:r w:rsidRPr="00B90026">
        <w:rPr>
          <w:rFonts w:asciiTheme="minorHAnsi" w:hAnsiTheme="minorHAnsi" w:cstheme="minorHAnsi"/>
          <w:sz w:val="22"/>
          <w:szCs w:val="22"/>
        </w:rPr>
        <w:t>LVAT t</w:t>
      </w:r>
      <w:r w:rsidR="00AE4D0A" w:rsidRPr="00B90026">
        <w:rPr>
          <w:rFonts w:asciiTheme="minorHAnsi" w:hAnsiTheme="minorHAnsi" w:cstheme="minorHAnsi"/>
          <w:sz w:val="22"/>
          <w:szCs w:val="22"/>
        </w:rPr>
        <w:t>eisėjų kolegija, įvertinusi pareiškėjo nurodytus patirtus išgyvenimus, nepatogumus, pareiškėjui iš Lietuvos valstybės, atstovaujamos VĮ „Regitra“ Telšių filialo, priteisė jo prašomą 500 Eur neturtinės žalos atlyginimą.</w:t>
      </w:r>
    </w:p>
    <w:p w:rsidR="00AE4D0A" w:rsidRPr="00B90026" w:rsidRDefault="00AE4D0A" w:rsidP="00AE4D0A">
      <w:pPr>
        <w:ind w:firstLine="567"/>
        <w:jc w:val="both"/>
        <w:rPr>
          <w:rFonts w:asciiTheme="minorHAnsi" w:hAnsiTheme="minorHAnsi" w:cstheme="minorHAnsi"/>
          <w:sz w:val="22"/>
          <w:szCs w:val="22"/>
        </w:rPr>
      </w:pPr>
    </w:p>
    <w:p w:rsidR="00AE4D0A" w:rsidRPr="00B90026" w:rsidRDefault="00AE4D0A" w:rsidP="00AE4D0A">
      <w:pPr>
        <w:jc w:val="both"/>
        <w:rPr>
          <w:rFonts w:asciiTheme="minorHAnsi" w:hAnsiTheme="minorHAnsi" w:cstheme="minorHAnsi"/>
          <w:sz w:val="22"/>
          <w:szCs w:val="22"/>
        </w:rPr>
      </w:pPr>
      <w:r w:rsidRPr="00B90026">
        <w:rPr>
          <w:rFonts w:asciiTheme="minorHAnsi" w:hAnsiTheme="minorHAnsi" w:cstheme="minorHAnsi"/>
          <w:sz w:val="22"/>
          <w:szCs w:val="22"/>
        </w:rPr>
        <w:t>2017 m. lapkričio 28 d. sprendimas administracinėje byloje Nr. eA-697-662/2017</w:t>
      </w:r>
    </w:p>
    <w:p w:rsidR="00AE4D0A" w:rsidRPr="00B90026" w:rsidRDefault="00AE4D0A" w:rsidP="00AE4D0A">
      <w:pPr>
        <w:jc w:val="both"/>
        <w:rPr>
          <w:rFonts w:asciiTheme="minorHAnsi" w:hAnsiTheme="minorHAnsi" w:cstheme="minorHAnsi"/>
          <w:bCs/>
          <w:sz w:val="22"/>
          <w:szCs w:val="22"/>
        </w:rPr>
      </w:pPr>
      <w:r w:rsidRPr="00B90026">
        <w:rPr>
          <w:rFonts w:asciiTheme="minorHAnsi" w:hAnsiTheme="minorHAnsi" w:cstheme="minorHAnsi"/>
          <w:sz w:val="22"/>
          <w:szCs w:val="22"/>
        </w:rPr>
        <w:t xml:space="preserve">Teisminio proceso Nr. </w:t>
      </w:r>
      <w:r w:rsidRPr="00B90026">
        <w:rPr>
          <w:rFonts w:asciiTheme="minorHAnsi" w:hAnsiTheme="minorHAnsi" w:cstheme="minorHAnsi"/>
          <w:bCs/>
          <w:sz w:val="22"/>
          <w:szCs w:val="22"/>
        </w:rPr>
        <w:t>3-64-3-01545-2015-9</w:t>
      </w:r>
    </w:p>
    <w:p w:rsidR="00AE4D0A" w:rsidRPr="00B90026" w:rsidRDefault="00AE4D0A" w:rsidP="00AE4D0A">
      <w:pPr>
        <w:jc w:val="both"/>
        <w:rPr>
          <w:rFonts w:asciiTheme="minorHAnsi" w:hAnsiTheme="minorHAnsi" w:cstheme="minorHAnsi"/>
          <w:sz w:val="22"/>
          <w:szCs w:val="22"/>
        </w:rPr>
      </w:pPr>
      <w:r w:rsidRPr="00B90026">
        <w:rPr>
          <w:rFonts w:asciiTheme="minorHAnsi" w:hAnsiTheme="minorHAnsi" w:cstheme="minorHAnsi"/>
          <w:sz w:val="22"/>
          <w:szCs w:val="22"/>
        </w:rPr>
        <w:t xml:space="preserve">Procesinio sprendimo </w:t>
      </w:r>
      <w:r w:rsidRPr="00B90026">
        <w:rPr>
          <w:rFonts w:asciiTheme="minorHAnsi" w:hAnsiTheme="minorHAnsi" w:cstheme="minorHAnsi"/>
          <w:bCs/>
          <w:sz w:val="22"/>
          <w:szCs w:val="22"/>
        </w:rPr>
        <w:t xml:space="preserve">kategorijos: </w:t>
      </w:r>
      <w:r w:rsidRPr="00B90026">
        <w:rPr>
          <w:rFonts w:asciiTheme="minorHAnsi" w:hAnsiTheme="minorHAnsi" w:cstheme="minorHAnsi"/>
          <w:sz w:val="22"/>
          <w:szCs w:val="22"/>
        </w:rPr>
        <w:t>19.4; 20.2.3.2</w:t>
      </w:r>
    </w:p>
    <w:p w:rsidR="00AE4D0A" w:rsidRPr="00B90026" w:rsidRDefault="007E1236" w:rsidP="00AE4D0A">
      <w:pPr>
        <w:jc w:val="both"/>
        <w:rPr>
          <w:rFonts w:asciiTheme="minorHAnsi" w:hAnsiTheme="minorHAnsi" w:cstheme="minorHAnsi"/>
          <w:sz w:val="22"/>
          <w:szCs w:val="22"/>
        </w:rPr>
      </w:pPr>
      <w:hyperlink r:id="rId16" w:history="1">
        <w:r w:rsidR="00AE4D0A" w:rsidRPr="00B90026">
          <w:rPr>
            <w:rStyle w:val="Hipersaitas"/>
            <w:rFonts w:asciiTheme="minorHAnsi" w:hAnsiTheme="minorHAnsi" w:cstheme="minorHAnsi"/>
            <w:sz w:val="22"/>
            <w:szCs w:val="22"/>
          </w:rPr>
          <w:t>Prieiga internete</w:t>
        </w:r>
      </w:hyperlink>
    </w:p>
    <w:p w:rsidR="00AE4D0A" w:rsidRPr="00B90026" w:rsidRDefault="00AE4D0A" w:rsidP="00AE4D0A">
      <w:pPr>
        <w:ind w:firstLine="567"/>
        <w:rPr>
          <w:rFonts w:asciiTheme="minorHAnsi" w:hAnsiTheme="minorHAnsi" w:cstheme="minorHAnsi"/>
          <w:b/>
          <w:sz w:val="22"/>
          <w:szCs w:val="22"/>
          <w:u w:val="single"/>
        </w:rPr>
      </w:pPr>
    </w:p>
    <w:p w:rsidR="00A74B97" w:rsidRPr="00B90026" w:rsidRDefault="00A74B97" w:rsidP="00363C0B">
      <w:pPr>
        <w:pStyle w:val="Apzvalgai1"/>
        <w:rPr>
          <w:rFonts w:asciiTheme="minorHAnsi" w:hAnsiTheme="minorHAnsi" w:cstheme="minorHAnsi"/>
          <w:highlight w:val="yellow"/>
        </w:rPr>
      </w:pPr>
      <w:bookmarkStart w:id="33" w:name="_Toc505787254"/>
      <w:bookmarkStart w:id="34" w:name="_Toc196533648"/>
      <w:bookmarkStart w:id="35" w:name="p5"/>
      <w:bookmarkEnd w:id="9"/>
      <w:bookmarkEnd w:id="11"/>
      <w:bookmarkEnd w:id="12"/>
      <w:bookmarkEnd w:id="13"/>
      <w:bookmarkEnd w:id="14"/>
      <w:bookmarkEnd w:id="15"/>
      <w:bookmarkEnd w:id="16"/>
      <w:r w:rsidRPr="00B90026">
        <w:rPr>
          <w:rFonts w:asciiTheme="minorHAnsi" w:hAnsiTheme="minorHAnsi" w:cstheme="minorHAnsi"/>
        </w:rPr>
        <w:t>20. Civilinė atsakomybė už žalą, atsiradusią dėl valdžios institucijų neteisėtų veiksmų</w:t>
      </w:r>
      <w:bookmarkEnd w:id="33"/>
    </w:p>
    <w:p w:rsidR="00A74B97" w:rsidRPr="00B90026" w:rsidRDefault="00A74B97" w:rsidP="00A74B97">
      <w:pPr>
        <w:ind w:firstLine="567"/>
        <w:jc w:val="both"/>
        <w:rPr>
          <w:rFonts w:asciiTheme="minorHAnsi" w:hAnsiTheme="minorHAnsi" w:cstheme="minorHAnsi"/>
          <w:b/>
          <w:sz w:val="22"/>
          <w:szCs w:val="22"/>
          <w:highlight w:val="yellow"/>
          <w:u w:val="single"/>
        </w:rPr>
      </w:pPr>
      <w:r w:rsidRPr="00B90026">
        <w:rPr>
          <w:rFonts w:asciiTheme="minorHAnsi" w:hAnsiTheme="minorHAnsi" w:cstheme="minorHAnsi"/>
          <w:b/>
          <w:sz w:val="22"/>
          <w:szCs w:val="22"/>
          <w:u w:val="single"/>
        </w:rPr>
        <w:t>20.2. Civilinės atsakomybės sąlygos</w:t>
      </w:r>
    </w:p>
    <w:p w:rsidR="00A74B97" w:rsidRPr="00B90026" w:rsidRDefault="00A74B97" w:rsidP="001D1734">
      <w:pPr>
        <w:ind w:firstLine="1134"/>
        <w:jc w:val="both"/>
        <w:rPr>
          <w:rFonts w:asciiTheme="minorHAnsi" w:hAnsiTheme="minorHAnsi" w:cstheme="minorHAnsi"/>
          <w:b/>
          <w:sz w:val="22"/>
          <w:szCs w:val="22"/>
          <w:u w:val="single"/>
        </w:rPr>
      </w:pPr>
      <w:r w:rsidRPr="00B90026">
        <w:rPr>
          <w:rFonts w:asciiTheme="minorHAnsi" w:hAnsiTheme="minorHAnsi" w:cstheme="minorHAnsi"/>
          <w:b/>
          <w:sz w:val="22"/>
          <w:szCs w:val="22"/>
          <w:u w:val="single"/>
        </w:rPr>
        <w:t>20.2.3. Žala</w:t>
      </w:r>
    </w:p>
    <w:p w:rsidR="00A74B97" w:rsidRPr="00B90026" w:rsidRDefault="00A74B97" w:rsidP="001D1734">
      <w:pPr>
        <w:ind w:firstLine="1418"/>
        <w:jc w:val="both"/>
        <w:rPr>
          <w:rFonts w:asciiTheme="minorHAnsi" w:hAnsiTheme="minorHAnsi" w:cstheme="minorHAnsi"/>
          <w:b/>
          <w:sz w:val="22"/>
          <w:szCs w:val="22"/>
          <w:u w:val="single"/>
        </w:rPr>
      </w:pPr>
      <w:r w:rsidRPr="00B90026">
        <w:rPr>
          <w:rFonts w:asciiTheme="minorHAnsi" w:hAnsiTheme="minorHAnsi" w:cstheme="minorHAnsi"/>
          <w:b/>
          <w:sz w:val="22"/>
          <w:szCs w:val="22"/>
          <w:u w:val="single"/>
        </w:rPr>
        <w:t>20.2.3.1. Turtinė žala</w:t>
      </w:r>
    </w:p>
    <w:p w:rsidR="00A74B97" w:rsidRPr="00B90026" w:rsidRDefault="00A74B97" w:rsidP="00A74B97">
      <w:pPr>
        <w:ind w:firstLine="567"/>
        <w:jc w:val="both"/>
        <w:rPr>
          <w:rFonts w:asciiTheme="minorHAnsi" w:hAnsiTheme="minorHAnsi" w:cstheme="minorHAnsi"/>
          <w:i/>
          <w:sz w:val="22"/>
          <w:szCs w:val="22"/>
        </w:rPr>
      </w:pPr>
    </w:p>
    <w:p w:rsidR="00A74B97" w:rsidRPr="00B90026" w:rsidRDefault="00A74B97" w:rsidP="00363C0B">
      <w:pPr>
        <w:pStyle w:val="Antrat2"/>
        <w:rPr>
          <w:color w:val="000000"/>
        </w:rPr>
      </w:pPr>
      <w:bookmarkStart w:id="36" w:name="_Toc505787255"/>
      <w:r w:rsidRPr="00B90026">
        <w:t xml:space="preserve">Dėl tarnybinių uniformų </w:t>
      </w:r>
      <w:r w:rsidR="009B2A02">
        <w:t>neišdavimo Finansinių nusikaltimų tyrimo tarnybos pareigūnams</w:t>
      </w:r>
      <w:bookmarkEnd w:id="36"/>
    </w:p>
    <w:p w:rsidR="00A74B97" w:rsidRPr="00B90026" w:rsidRDefault="00A74B97" w:rsidP="00A74B97">
      <w:pPr>
        <w:ind w:firstLine="567"/>
        <w:jc w:val="both"/>
        <w:rPr>
          <w:rFonts w:asciiTheme="minorHAnsi" w:hAnsiTheme="minorHAnsi" w:cstheme="minorHAnsi"/>
          <w:i/>
          <w:color w:val="000000"/>
          <w:sz w:val="22"/>
          <w:szCs w:val="22"/>
        </w:rPr>
      </w:pPr>
    </w:p>
    <w:p w:rsidR="00A74B97" w:rsidRPr="00B90026" w:rsidRDefault="00A74B97" w:rsidP="001D1734">
      <w:pPr>
        <w:ind w:firstLine="567"/>
        <w:jc w:val="both"/>
        <w:rPr>
          <w:rFonts w:asciiTheme="minorHAnsi" w:hAnsiTheme="minorHAnsi" w:cstheme="minorHAnsi"/>
          <w:sz w:val="22"/>
          <w:szCs w:val="22"/>
        </w:rPr>
      </w:pPr>
      <w:r w:rsidRPr="00B90026">
        <w:rPr>
          <w:rFonts w:asciiTheme="minorHAnsi" w:hAnsiTheme="minorHAnsi" w:cstheme="minorHAnsi"/>
          <w:sz w:val="22"/>
          <w:szCs w:val="22"/>
        </w:rPr>
        <w:t>Nagrinė</w:t>
      </w:r>
      <w:r w:rsidR="001D1734" w:rsidRPr="00B90026">
        <w:rPr>
          <w:rFonts w:asciiTheme="minorHAnsi" w:hAnsiTheme="minorHAnsi" w:cstheme="minorHAnsi"/>
          <w:sz w:val="22"/>
          <w:szCs w:val="22"/>
        </w:rPr>
        <w:t xml:space="preserve">toje </w:t>
      </w:r>
      <w:r w:rsidRPr="00B90026">
        <w:rPr>
          <w:rFonts w:asciiTheme="minorHAnsi" w:hAnsiTheme="minorHAnsi" w:cstheme="minorHAnsi"/>
          <w:sz w:val="22"/>
          <w:szCs w:val="22"/>
        </w:rPr>
        <w:t>byloje ginč</w:t>
      </w:r>
      <w:r w:rsidR="001D1734" w:rsidRPr="00B90026">
        <w:rPr>
          <w:rFonts w:asciiTheme="minorHAnsi" w:hAnsiTheme="minorHAnsi" w:cstheme="minorHAnsi"/>
          <w:sz w:val="22"/>
          <w:szCs w:val="22"/>
        </w:rPr>
        <w:t xml:space="preserve">as kilo dėl </w:t>
      </w:r>
      <w:r w:rsidRPr="00B90026">
        <w:rPr>
          <w:rFonts w:asciiTheme="minorHAnsi" w:hAnsiTheme="minorHAnsi" w:cstheme="minorHAnsi"/>
          <w:sz w:val="22"/>
          <w:szCs w:val="22"/>
        </w:rPr>
        <w:t>žalos atlyginim</w:t>
      </w:r>
      <w:r w:rsidR="001D1734" w:rsidRPr="00B90026">
        <w:rPr>
          <w:rFonts w:asciiTheme="minorHAnsi" w:hAnsiTheme="minorHAnsi" w:cstheme="minorHAnsi"/>
          <w:sz w:val="22"/>
          <w:szCs w:val="22"/>
        </w:rPr>
        <w:t xml:space="preserve">o pareigūnams </w:t>
      </w:r>
      <w:r w:rsidRPr="00B90026">
        <w:rPr>
          <w:rFonts w:asciiTheme="minorHAnsi" w:hAnsiTheme="minorHAnsi" w:cstheme="minorHAnsi"/>
          <w:sz w:val="22"/>
          <w:szCs w:val="22"/>
        </w:rPr>
        <w:t>nesuteik</w:t>
      </w:r>
      <w:r w:rsidR="001D1734" w:rsidRPr="00B90026">
        <w:rPr>
          <w:rFonts w:asciiTheme="minorHAnsi" w:hAnsiTheme="minorHAnsi" w:cstheme="minorHAnsi"/>
          <w:sz w:val="22"/>
          <w:szCs w:val="22"/>
        </w:rPr>
        <w:t xml:space="preserve">us </w:t>
      </w:r>
      <w:r w:rsidR="00C20026">
        <w:rPr>
          <w:rFonts w:asciiTheme="minorHAnsi" w:hAnsiTheme="minorHAnsi" w:cstheme="minorHAnsi"/>
          <w:sz w:val="22"/>
          <w:szCs w:val="22"/>
        </w:rPr>
        <w:t xml:space="preserve">jiems </w:t>
      </w:r>
      <w:r w:rsidRPr="00B90026">
        <w:rPr>
          <w:rFonts w:asciiTheme="minorHAnsi" w:hAnsiTheme="minorHAnsi" w:cstheme="minorHAnsi"/>
          <w:sz w:val="22"/>
          <w:szCs w:val="22"/>
        </w:rPr>
        <w:t xml:space="preserve">tarnybinės uniformos. </w:t>
      </w:r>
    </w:p>
    <w:p w:rsidR="00C20026" w:rsidRDefault="00A74B97" w:rsidP="00A74B97">
      <w:pPr>
        <w:ind w:firstLine="567"/>
        <w:jc w:val="both"/>
        <w:rPr>
          <w:rFonts w:asciiTheme="minorHAnsi" w:hAnsiTheme="minorHAnsi" w:cstheme="minorHAnsi"/>
          <w:sz w:val="22"/>
          <w:szCs w:val="22"/>
        </w:rPr>
      </w:pPr>
      <w:r w:rsidRPr="00B90026">
        <w:rPr>
          <w:rFonts w:asciiTheme="minorHAnsi" w:hAnsiTheme="minorHAnsi" w:cstheme="minorHAnsi"/>
          <w:sz w:val="22"/>
          <w:szCs w:val="22"/>
        </w:rPr>
        <w:t>Pareiškėjams tarnybinės uniformos nebuvo išduotos, o Finansinių nusikaltimų tyrimo tarnyba prie Lietuvos Respublikos vidaus reikalų ministerijos (toliau – Tarnyba)</w:t>
      </w:r>
      <w:r w:rsidR="00A46518">
        <w:rPr>
          <w:rFonts w:asciiTheme="minorHAnsi" w:hAnsiTheme="minorHAnsi" w:cstheme="minorHAnsi"/>
          <w:sz w:val="22"/>
          <w:szCs w:val="22"/>
        </w:rPr>
        <w:t xml:space="preserve"> </w:t>
      </w:r>
      <w:r w:rsidRPr="00B90026">
        <w:rPr>
          <w:rFonts w:asciiTheme="minorHAnsi" w:hAnsiTheme="minorHAnsi" w:cstheme="minorHAnsi"/>
          <w:sz w:val="22"/>
          <w:szCs w:val="22"/>
        </w:rPr>
        <w:t>pareiškėjams į jų raštišką prašymą atsakė, kad neturi galimybės išduoti tarnybinės uniformos, nes tam tikslui Tarnybai nebuvo skirti valstybės biudžeto asignavimai. Pareiškėjai su prašymais kreipėsi į Tarnybą, prašydami apskaičiuoti ir išmokėti žalos dėl Tarnyboje dėvėtos nuosavos aprangos atlyginimą</w:t>
      </w:r>
      <w:r w:rsidR="001D1734" w:rsidRPr="00B90026">
        <w:rPr>
          <w:rFonts w:asciiTheme="minorHAnsi" w:hAnsiTheme="minorHAnsi" w:cstheme="minorHAnsi"/>
          <w:sz w:val="22"/>
          <w:szCs w:val="22"/>
        </w:rPr>
        <w:t xml:space="preserve">. </w:t>
      </w:r>
      <w:r w:rsidRPr="00B90026">
        <w:rPr>
          <w:rFonts w:asciiTheme="minorHAnsi" w:hAnsiTheme="minorHAnsi" w:cstheme="minorHAnsi"/>
          <w:sz w:val="22"/>
          <w:szCs w:val="22"/>
        </w:rPr>
        <w:t>Tarnyba atsakė, kad tai padaryti neturi teisinio pagrindo.</w:t>
      </w:r>
    </w:p>
    <w:p w:rsidR="00A74B97" w:rsidRPr="00B90026" w:rsidRDefault="00A74B97" w:rsidP="00A74B97">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Pirmosios instancijos teismas pareiškėjų reikalavimus dėl žalos atlyginimo atmetė kaip nepagrįstus konstatavęs, kad Tarnybos pareigūnų veiklą reglamentuojančiame specialiame Finansinių nusikaltimų tyrimo tarnybos įstatyme nėra imperatyvių nuostatų, įpareigojančių Tarnybos pareigūnus tarnybos metu vykdant tarnybines pareigas dėvėti tarnybinę uniformą; Tarnybos pirminės ir vidurinės grandies pareigūnams tarnybinės uniformos funkcijų vykdymui nebuvo būtinos, niekada nebuvo išduodamos, nebuvo ir šiuo metu nėra nustatytos tarnybinės uniformos finansinės normos; pareiškėjai nepagrindė, kad dėl to jie patyrė žalą. </w:t>
      </w:r>
    </w:p>
    <w:p w:rsidR="00A74B97" w:rsidRPr="00B90026" w:rsidRDefault="00A74B97" w:rsidP="00A74B97">
      <w:pPr>
        <w:ind w:firstLine="567"/>
        <w:jc w:val="both"/>
        <w:rPr>
          <w:rFonts w:asciiTheme="minorHAnsi" w:hAnsiTheme="minorHAnsi" w:cstheme="minorHAnsi"/>
          <w:sz w:val="22"/>
          <w:szCs w:val="22"/>
        </w:rPr>
      </w:pPr>
      <w:r w:rsidRPr="00B90026">
        <w:rPr>
          <w:rFonts w:asciiTheme="minorHAnsi" w:hAnsiTheme="minorHAnsi" w:cstheme="minorHAnsi"/>
          <w:sz w:val="22"/>
          <w:szCs w:val="22"/>
        </w:rPr>
        <w:lastRenderedPageBreak/>
        <w:t>LVAT</w:t>
      </w:r>
      <w:r w:rsidR="001D1734" w:rsidRPr="00B90026">
        <w:rPr>
          <w:rFonts w:asciiTheme="minorHAnsi" w:hAnsiTheme="minorHAnsi" w:cstheme="minorHAnsi"/>
          <w:sz w:val="22"/>
          <w:szCs w:val="22"/>
        </w:rPr>
        <w:t>,</w:t>
      </w:r>
      <w:r w:rsidRPr="00B90026">
        <w:rPr>
          <w:rFonts w:asciiTheme="minorHAnsi" w:hAnsiTheme="minorHAnsi" w:cstheme="minorHAnsi"/>
          <w:sz w:val="22"/>
          <w:szCs w:val="22"/>
        </w:rPr>
        <w:t xml:space="preserve"> pabrėždama</w:t>
      </w:r>
      <w:r w:rsidR="001D1734" w:rsidRPr="00B90026">
        <w:rPr>
          <w:rFonts w:asciiTheme="minorHAnsi" w:hAnsiTheme="minorHAnsi" w:cstheme="minorHAnsi"/>
          <w:sz w:val="22"/>
          <w:szCs w:val="22"/>
        </w:rPr>
        <w:t>s</w:t>
      </w:r>
      <w:r w:rsidRPr="00B90026">
        <w:rPr>
          <w:rFonts w:asciiTheme="minorHAnsi" w:hAnsiTheme="minorHAnsi" w:cstheme="minorHAnsi"/>
          <w:sz w:val="22"/>
          <w:szCs w:val="22"/>
        </w:rPr>
        <w:t xml:space="preserve">, kad Tarnyba pareiškėjams į jų raštišką prašymą atsakė, kad neturi galimybės išduoti tarnybinės uniformos, nes tam tikslui Tarnybai nebuvo skirti valstybės biudžeto asignavimai, darė išvadą, kad Tarnyba neneigė, jog pareiškėjams šiuo atveju tarnybinės uniformos turi būti suteikiamos, tik tai nepadaryta dėl finansinių resursų stokos. </w:t>
      </w:r>
      <w:r w:rsidR="001D1734"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 xml:space="preserve">savo praktikoje yra pažymėjęs, kad aprūpinimas tarnybine uniforma ar atitinkamo dydžio kompensacijos vietoj jos išmokėjimas yra įstatymu nustatyta garantija, kuri negali būti paneigiama lėšų trūkumu, nes įstatymas to nenustato. Remiantis </w:t>
      </w:r>
      <w:r w:rsidR="001D1734"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praktika bylose dėl valstybės institucijų ar pareigūnų neteisėtais veiksmais ar neveikimu padarytos žalos, žalą (nuostolius) privalo įrodyti pareiškėjas, todėl būtent jis turi pareigą įrodyti konkretų patirtos žalos dydį, pateikiant patirtą žalą patvirtinančius konkrečius įrodymus ir įrodant, jog nurodyta žala kilo būtent dėl neteisėtais pripažintų viešojo administravimo subjekto veiksmų. Nagrinė</w:t>
      </w:r>
      <w:r w:rsidR="001D1734" w:rsidRPr="00B90026">
        <w:rPr>
          <w:rFonts w:asciiTheme="minorHAnsi" w:hAnsiTheme="minorHAnsi" w:cstheme="minorHAnsi"/>
          <w:sz w:val="22"/>
          <w:szCs w:val="22"/>
        </w:rPr>
        <w:t xml:space="preserve">tu </w:t>
      </w:r>
      <w:r w:rsidRPr="00B90026">
        <w:rPr>
          <w:rFonts w:asciiTheme="minorHAnsi" w:hAnsiTheme="minorHAnsi" w:cstheme="minorHAnsi"/>
          <w:sz w:val="22"/>
          <w:szCs w:val="22"/>
        </w:rPr>
        <w:t>atveju pareiškėjai pateikė kriterijus dėl žalos apskaičiavimo dydžio, atitinkamai pagrindė žalos dydį ir jo apskaičiavimą, todėl nagrinė</w:t>
      </w:r>
      <w:r w:rsidR="001D1734" w:rsidRPr="00B90026">
        <w:rPr>
          <w:rFonts w:asciiTheme="minorHAnsi" w:hAnsiTheme="minorHAnsi" w:cstheme="minorHAnsi"/>
          <w:sz w:val="22"/>
          <w:szCs w:val="22"/>
        </w:rPr>
        <w:t xml:space="preserve">tu </w:t>
      </w:r>
      <w:r w:rsidRPr="00B90026">
        <w:rPr>
          <w:rFonts w:asciiTheme="minorHAnsi" w:hAnsiTheme="minorHAnsi" w:cstheme="minorHAnsi"/>
          <w:sz w:val="22"/>
          <w:szCs w:val="22"/>
        </w:rPr>
        <w:t>atveju teigti, kad neįrodytas realiai patirtos žalos faktas, LVAT nuomone, nebuvo pagrindo. Pareiškėjų teigimu, dėl to, kad jiems nebuvo išduotos tarnybinės uniformos, jie</w:t>
      </w:r>
      <w:r w:rsidR="004A5D53">
        <w:rPr>
          <w:rFonts w:asciiTheme="minorHAnsi" w:hAnsiTheme="minorHAnsi" w:cstheme="minorHAnsi"/>
          <w:sz w:val="22"/>
          <w:szCs w:val="22"/>
        </w:rPr>
        <w:t>,</w:t>
      </w:r>
      <w:r w:rsidRPr="00B90026">
        <w:rPr>
          <w:rFonts w:asciiTheme="minorHAnsi" w:hAnsiTheme="minorHAnsi" w:cstheme="minorHAnsi"/>
          <w:sz w:val="22"/>
          <w:szCs w:val="22"/>
        </w:rPr>
        <w:t xml:space="preserve"> tarnyboje nešiodami savo drabužius</w:t>
      </w:r>
      <w:r w:rsidR="004A5D53">
        <w:rPr>
          <w:rFonts w:asciiTheme="minorHAnsi" w:hAnsiTheme="minorHAnsi" w:cstheme="minorHAnsi"/>
          <w:sz w:val="22"/>
          <w:szCs w:val="22"/>
        </w:rPr>
        <w:t>,</w:t>
      </w:r>
      <w:r w:rsidRPr="00B90026">
        <w:rPr>
          <w:rFonts w:asciiTheme="minorHAnsi" w:hAnsiTheme="minorHAnsi" w:cstheme="minorHAnsi"/>
          <w:sz w:val="22"/>
          <w:szCs w:val="22"/>
        </w:rPr>
        <w:t xml:space="preserve"> patyrė nuostolių dėl jų nusidėvėjimo. Tai akivaizdus faktas, kuris, remiantis protingumo kriterijumi, neprivalo būti plačiau įrodinėjamas, ir tokia nuostolių rūšis yra pareiškėjų turėtos tiesioginės išlaidos, kurias jie patyrė įsigydami savo drabužius dėvėti darbe, nors įstatymų leidėjas, Vyriausybė, vidaus reikalų ministras savo teisės aktais, </w:t>
      </w:r>
      <w:r w:rsidR="001D1734" w:rsidRPr="00B90026">
        <w:rPr>
          <w:rFonts w:asciiTheme="minorHAnsi" w:hAnsiTheme="minorHAnsi" w:cstheme="minorHAnsi"/>
          <w:sz w:val="22"/>
          <w:szCs w:val="22"/>
        </w:rPr>
        <w:t xml:space="preserve">Tarnybos </w:t>
      </w:r>
      <w:r w:rsidRPr="00B90026">
        <w:rPr>
          <w:rFonts w:asciiTheme="minorHAnsi" w:hAnsiTheme="minorHAnsi" w:cstheme="minorHAnsi"/>
          <w:sz w:val="22"/>
          <w:szCs w:val="22"/>
        </w:rPr>
        <w:t>vadovybė savo veiksmais sukūrė pareiškėjams akivaizdų teisėtą lūkestį, kad uniformos pareiškėjams bus suteikiamos. Taigi</w:t>
      </w:r>
      <w:r w:rsidR="001D1734" w:rsidRPr="00B90026">
        <w:rPr>
          <w:rFonts w:asciiTheme="minorHAnsi" w:hAnsiTheme="minorHAnsi" w:cstheme="minorHAnsi"/>
          <w:sz w:val="22"/>
          <w:szCs w:val="22"/>
        </w:rPr>
        <w:t xml:space="preserve"> p</w:t>
      </w:r>
      <w:r w:rsidRPr="00B90026">
        <w:rPr>
          <w:rFonts w:asciiTheme="minorHAnsi" w:hAnsiTheme="minorHAnsi" w:cstheme="minorHAnsi"/>
          <w:sz w:val="22"/>
          <w:szCs w:val="22"/>
        </w:rPr>
        <w:t>areiškėjai šiuos tiesioginius nuostolius patyrė dėl atsakovo neteisėto neveikimo – įstatyme nustatytos pareigos nevykdymo.</w:t>
      </w:r>
    </w:p>
    <w:p w:rsidR="00A74B97" w:rsidRPr="00B90026" w:rsidRDefault="00A74B97" w:rsidP="00A74B97">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LVAT </w:t>
      </w:r>
      <w:r w:rsidR="001D1734" w:rsidRPr="00B90026">
        <w:rPr>
          <w:rFonts w:asciiTheme="minorHAnsi" w:hAnsiTheme="minorHAnsi" w:cstheme="minorHAnsi"/>
          <w:sz w:val="22"/>
          <w:szCs w:val="22"/>
        </w:rPr>
        <w:t xml:space="preserve">taip pat </w:t>
      </w:r>
      <w:r w:rsidRPr="00B90026">
        <w:rPr>
          <w:rFonts w:asciiTheme="minorHAnsi" w:hAnsiTheme="minorHAnsi" w:cstheme="minorHAnsi"/>
          <w:sz w:val="22"/>
          <w:szCs w:val="22"/>
        </w:rPr>
        <w:t>pažymėjo, kad pareiškėjai vėlesniais metais tarnybinės uniformos išduoti neprašė, o keli pareiškėjai apskritai nesikreipė su prašymu į Tarnybą dėl žalos atlyginimo</w:t>
      </w:r>
      <w:r w:rsidR="001D1734" w:rsidRPr="00B90026">
        <w:rPr>
          <w:rFonts w:asciiTheme="minorHAnsi" w:hAnsiTheme="minorHAnsi" w:cstheme="minorHAnsi"/>
          <w:sz w:val="22"/>
          <w:szCs w:val="22"/>
        </w:rPr>
        <w:t>. B</w:t>
      </w:r>
      <w:r w:rsidRPr="00B90026">
        <w:rPr>
          <w:rFonts w:asciiTheme="minorHAnsi" w:hAnsiTheme="minorHAnsi" w:cstheme="minorHAnsi"/>
          <w:sz w:val="22"/>
          <w:szCs w:val="22"/>
        </w:rPr>
        <w:t>e to, atsakovas prašė taikyti ieškinio senaties terminą. Dėl šių klausimų pirmosios instancijos teismas nepasisakė, teismas taip pat nevertino skunde nurodytų skirtingų pareiškėjų už tą patį laikotarpį prašomos priteisti žalos dydžių. Atsižvelgdamas į tai, kad byloje nėra duomenų apie tarnybinės uniformos vertę, LVAT negal</w:t>
      </w:r>
      <w:r w:rsidR="004A5D53">
        <w:rPr>
          <w:rFonts w:asciiTheme="minorHAnsi" w:hAnsiTheme="minorHAnsi" w:cstheme="minorHAnsi"/>
          <w:sz w:val="22"/>
          <w:szCs w:val="22"/>
        </w:rPr>
        <w:t xml:space="preserve">ėjo </w:t>
      </w:r>
      <w:r w:rsidRPr="00B90026">
        <w:rPr>
          <w:rFonts w:asciiTheme="minorHAnsi" w:hAnsiTheme="minorHAnsi" w:cstheme="minorHAnsi"/>
          <w:sz w:val="22"/>
          <w:szCs w:val="22"/>
        </w:rPr>
        <w:t>bylos išnagrinėti iš esmės. Tokius duomenis turi surinkti pirmosios instancijos teismas, kad galėtų tinkamai spręsti dėl žalos atlyginimo dydžio. Todėl</w:t>
      </w:r>
      <w:r w:rsidR="001D1734" w:rsidRPr="00B90026">
        <w:rPr>
          <w:rFonts w:asciiTheme="minorHAnsi" w:hAnsiTheme="minorHAnsi" w:cstheme="minorHAnsi"/>
          <w:sz w:val="22"/>
          <w:szCs w:val="22"/>
        </w:rPr>
        <w:t xml:space="preserve"> </w:t>
      </w:r>
      <w:r w:rsidRPr="00B90026">
        <w:rPr>
          <w:rFonts w:asciiTheme="minorHAnsi" w:hAnsiTheme="minorHAnsi" w:cstheme="minorHAnsi"/>
          <w:sz w:val="22"/>
          <w:szCs w:val="22"/>
        </w:rPr>
        <w:t>byla perduot</w:t>
      </w:r>
      <w:r w:rsidR="001D1734" w:rsidRPr="00B90026">
        <w:rPr>
          <w:rFonts w:asciiTheme="minorHAnsi" w:hAnsiTheme="minorHAnsi" w:cstheme="minorHAnsi"/>
          <w:sz w:val="22"/>
          <w:szCs w:val="22"/>
        </w:rPr>
        <w:t xml:space="preserve">a </w:t>
      </w:r>
      <w:r w:rsidRPr="00B90026">
        <w:rPr>
          <w:rFonts w:asciiTheme="minorHAnsi" w:hAnsiTheme="minorHAnsi" w:cstheme="minorHAnsi"/>
          <w:sz w:val="22"/>
          <w:szCs w:val="22"/>
        </w:rPr>
        <w:t>pirmos</w:t>
      </w:r>
      <w:r w:rsidR="009B2A02">
        <w:rPr>
          <w:rFonts w:asciiTheme="minorHAnsi" w:hAnsiTheme="minorHAnsi" w:cstheme="minorHAnsi"/>
          <w:sz w:val="22"/>
          <w:szCs w:val="22"/>
        </w:rPr>
        <w:t>ios</w:t>
      </w:r>
      <w:r w:rsidRPr="00B90026">
        <w:rPr>
          <w:rFonts w:asciiTheme="minorHAnsi" w:hAnsiTheme="minorHAnsi" w:cstheme="minorHAnsi"/>
          <w:sz w:val="22"/>
          <w:szCs w:val="22"/>
        </w:rPr>
        <w:t xml:space="preserve"> instancijos teismui nagrinėti iš naujo. </w:t>
      </w:r>
    </w:p>
    <w:p w:rsidR="00A74B97" w:rsidRPr="00B90026" w:rsidRDefault="00A74B97" w:rsidP="00A74B97">
      <w:pPr>
        <w:jc w:val="both"/>
        <w:rPr>
          <w:rFonts w:asciiTheme="minorHAnsi" w:hAnsiTheme="minorHAnsi" w:cstheme="minorHAnsi"/>
          <w:sz w:val="22"/>
          <w:szCs w:val="22"/>
        </w:rPr>
      </w:pPr>
    </w:p>
    <w:p w:rsidR="00A74B97" w:rsidRPr="00B90026" w:rsidRDefault="00A74B97" w:rsidP="00A74B97">
      <w:pPr>
        <w:jc w:val="both"/>
        <w:rPr>
          <w:rFonts w:asciiTheme="minorHAnsi" w:hAnsiTheme="minorHAnsi" w:cstheme="minorHAnsi"/>
          <w:sz w:val="22"/>
          <w:szCs w:val="22"/>
        </w:rPr>
      </w:pPr>
      <w:r w:rsidRPr="00B90026">
        <w:rPr>
          <w:rFonts w:asciiTheme="minorHAnsi" w:hAnsiTheme="minorHAnsi" w:cstheme="minorHAnsi"/>
          <w:sz w:val="22"/>
          <w:szCs w:val="22"/>
        </w:rPr>
        <w:t>2017 m. lapkričio 6 d. nutartis administracinėje byloje Nr. eA-1099-1062/2017</w:t>
      </w:r>
    </w:p>
    <w:p w:rsidR="00A74B97" w:rsidRPr="00B90026" w:rsidRDefault="00A74B97" w:rsidP="00A74B97">
      <w:pPr>
        <w:jc w:val="both"/>
        <w:rPr>
          <w:rFonts w:asciiTheme="minorHAnsi" w:hAnsiTheme="minorHAnsi" w:cstheme="minorHAnsi"/>
          <w:sz w:val="22"/>
          <w:szCs w:val="22"/>
        </w:rPr>
      </w:pPr>
      <w:r w:rsidRPr="00B90026">
        <w:rPr>
          <w:rFonts w:asciiTheme="minorHAnsi" w:hAnsiTheme="minorHAnsi" w:cstheme="minorHAnsi"/>
          <w:sz w:val="22"/>
          <w:szCs w:val="22"/>
        </w:rPr>
        <w:t>Teisminio proceso Nr. 3-61-3-02998-2015-9</w:t>
      </w:r>
    </w:p>
    <w:p w:rsidR="00A74B97" w:rsidRPr="00B90026" w:rsidRDefault="00A74B97" w:rsidP="00A74B97">
      <w:pPr>
        <w:jc w:val="both"/>
        <w:rPr>
          <w:rFonts w:asciiTheme="minorHAnsi" w:hAnsiTheme="minorHAnsi" w:cstheme="minorHAnsi"/>
          <w:sz w:val="22"/>
          <w:szCs w:val="22"/>
        </w:rPr>
      </w:pPr>
      <w:r w:rsidRPr="00B90026">
        <w:rPr>
          <w:rFonts w:asciiTheme="minorHAnsi" w:hAnsiTheme="minorHAnsi" w:cstheme="minorHAnsi"/>
          <w:sz w:val="22"/>
          <w:szCs w:val="22"/>
        </w:rPr>
        <w:t>Procesinio sprendimo kategorijos</w:t>
      </w:r>
      <w:r w:rsidR="001D1734" w:rsidRPr="00B90026">
        <w:rPr>
          <w:rFonts w:asciiTheme="minorHAnsi" w:hAnsiTheme="minorHAnsi" w:cstheme="minorHAnsi"/>
          <w:sz w:val="22"/>
          <w:szCs w:val="22"/>
        </w:rPr>
        <w:t>:</w:t>
      </w:r>
      <w:r w:rsidRPr="00B90026">
        <w:rPr>
          <w:rFonts w:asciiTheme="minorHAnsi" w:hAnsiTheme="minorHAnsi" w:cstheme="minorHAnsi"/>
          <w:sz w:val="22"/>
          <w:szCs w:val="22"/>
        </w:rPr>
        <w:t xml:space="preserve"> 20.2.3.1; 22.4.4</w:t>
      </w:r>
    </w:p>
    <w:p w:rsidR="00A74B97" w:rsidRPr="00B90026" w:rsidRDefault="007E1236" w:rsidP="00A74B97">
      <w:pPr>
        <w:jc w:val="both"/>
        <w:rPr>
          <w:rFonts w:asciiTheme="minorHAnsi" w:hAnsiTheme="minorHAnsi" w:cstheme="minorHAnsi"/>
          <w:sz w:val="22"/>
          <w:szCs w:val="22"/>
        </w:rPr>
      </w:pPr>
      <w:hyperlink r:id="rId17" w:history="1">
        <w:r w:rsidR="00A74B97" w:rsidRPr="00B90026">
          <w:rPr>
            <w:rStyle w:val="Hipersaitas"/>
            <w:rFonts w:asciiTheme="minorHAnsi" w:hAnsiTheme="minorHAnsi" w:cstheme="minorHAnsi"/>
            <w:sz w:val="22"/>
            <w:szCs w:val="22"/>
          </w:rPr>
          <w:t>Prieiga internete</w:t>
        </w:r>
      </w:hyperlink>
    </w:p>
    <w:p w:rsidR="00A74B97" w:rsidRPr="00B90026" w:rsidRDefault="00A74B97" w:rsidP="00A74B97">
      <w:pPr>
        <w:ind w:firstLine="567"/>
        <w:jc w:val="both"/>
        <w:rPr>
          <w:rFonts w:asciiTheme="minorHAnsi" w:hAnsiTheme="minorHAnsi" w:cstheme="minorHAnsi"/>
          <w:i/>
          <w:sz w:val="22"/>
          <w:szCs w:val="22"/>
        </w:rPr>
      </w:pPr>
    </w:p>
    <w:p w:rsidR="00FE4C64" w:rsidRPr="00B90026" w:rsidRDefault="00FE4C64" w:rsidP="00363C0B">
      <w:pPr>
        <w:pStyle w:val="Apzvalgai1"/>
        <w:rPr>
          <w:rFonts w:asciiTheme="minorHAnsi" w:hAnsiTheme="minorHAnsi" w:cstheme="minorHAnsi"/>
        </w:rPr>
      </w:pPr>
      <w:bookmarkStart w:id="37" w:name="_Toc505787256"/>
      <w:r w:rsidRPr="00B90026">
        <w:rPr>
          <w:rFonts w:asciiTheme="minorHAnsi" w:hAnsiTheme="minorHAnsi" w:cstheme="minorHAnsi"/>
        </w:rPr>
        <w:t>21. Valstybės tarnautojo statuso įgijimas, pasikeitimas, praradimas ir atsakomybė</w:t>
      </w:r>
      <w:bookmarkEnd w:id="37"/>
    </w:p>
    <w:p w:rsidR="00782294" w:rsidRPr="00B90026" w:rsidRDefault="00782294" w:rsidP="00A213E6">
      <w:pPr>
        <w:ind w:firstLine="567"/>
        <w:jc w:val="both"/>
        <w:rPr>
          <w:rFonts w:asciiTheme="minorHAnsi" w:hAnsiTheme="minorHAnsi" w:cstheme="minorHAnsi"/>
          <w:b/>
          <w:sz w:val="22"/>
          <w:szCs w:val="22"/>
          <w:u w:val="single"/>
        </w:rPr>
      </w:pPr>
      <w:r w:rsidRPr="00B90026">
        <w:rPr>
          <w:rFonts w:asciiTheme="minorHAnsi" w:hAnsiTheme="minorHAnsi" w:cstheme="minorHAnsi"/>
          <w:b/>
          <w:sz w:val="22"/>
          <w:szCs w:val="22"/>
          <w:u w:val="single"/>
        </w:rPr>
        <w:t xml:space="preserve">21.3. </w:t>
      </w:r>
      <w:r w:rsidR="008062F1" w:rsidRPr="00B90026">
        <w:rPr>
          <w:rFonts w:asciiTheme="minorHAnsi" w:hAnsiTheme="minorHAnsi" w:cstheme="minorHAnsi"/>
          <w:b/>
          <w:sz w:val="22"/>
          <w:szCs w:val="22"/>
          <w:u w:val="single"/>
        </w:rPr>
        <w:t>Valstybės tarnautojų atleidimas iš pareigų</w:t>
      </w:r>
    </w:p>
    <w:p w:rsidR="008062F1" w:rsidRPr="00B90026" w:rsidRDefault="008062F1" w:rsidP="00A213E6">
      <w:pPr>
        <w:ind w:firstLine="1134"/>
        <w:jc w:val="both"/>
        <w:rPr>
          <w:rFonts w:asciiTheme="minorHAnsi" w:hAnsiTheme="minorHAnsi" w:cstheme="minorHAnsi"/>
          <w:sz w:val="22"/>
          <w:szCs w:val="22"/>
        </w:rPr>
      </w:pPr>
      <w:r w:rsidRPr="00B90026">
        <w:rPr>
          <w:rFonts w:asciiTheme="minorHAnsi" w:hAnsiTheme="minorHAnsi" w:cstheme="minorHAnsi"/>
          <w:b/>
          <w:sz w:val="22"/>
          <w:szCs w:val="22"/>
          <w:u w:val="single"/>
        </w:rPr>
        <w:t>21.3.7. Pareigybės panaikinimas</w:t>
      </w:r>
    </w:p>
    <w:p w:rsidR="008062F1" w:rsidRPr="00B90026" w:rsidRDefault="008062F1" w:rsidP="0043602E">
      <w:pPr>
        <w:pStyle w:val="Apzvalgai1"/>
        <w:rPr>
          <w:rFonts w:asciiTheme="minorHAnsi" w:hAnsiTheme="minorHAnsi" w:cstheme="minorHAnsi"/>
        </w:rPr>
      </w:pPr>
    </w:p>
    <w:p w:rsidR="002212C4" w:rsidRPr="00B90026" w:rsidRDefault="002212C4" w:rsidP="00363C0B">
      <w:pPr>
        <w:pStyle w:val="Antrat2"/>
      </w:pPr>
      <w:bookmarkStart w:id="38" w:name="_Toc505787257"/>
      <w:r w:rsidRPr="00B90026">
        <w:t xml:space="preserve">Dėl garantijos tęsti tarnybą panaikinus pareigybę </w:t>
      </w:r>
      <w:r w:rsidR="000D613F" w:rsidRPr="00B90026">
        <w:t xml:space="preserve">tinkamo </w:t>
      </w:r>
      <w:r w:rsidRPr="00B90026">
        <w:t>užtikrinimo sąlygų</w:t>
      </w:r>
      <w:bookmarkEnd w:id="38"/>
    </w:p>
    <w:p w:rsidR="002212C4" w:rsidRPr="00B90026" w:rsidRDefault="002212C4" w:rsidP="008062F1">
      <w:pPr>
        <w:ind w:firstLine="567"/>
        <w:jc w:val="both"/>
        <w:rPr>
          <w:rFonts w:asciiTheme="minorHAnsi" w:hAnsiTheme="minorHAnsi" w:cstheme="minorHAnsi"/>
          <w:sz w:val="22"/>
          <w:szCs w:val="22"/>
        </w:rPr>
      </w:pPr>
    </w:p>
    <w:p w:rsidR="008062F1" w:rsidRPr="00B90026" w:rsidRDefault="008062F1" w:rsidP="008062F1">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Apžvelgiamu atveju ginčas kilo dėl to, ar atleidžiant pareiškėją (valstybės tarnautoją) iš pareigų </w:t>
      </w:r>
      <w:hyperlink r:id="rId18" w:tgtFrame="_blank" w:tooltip="Lietuvos Respublikos valstybės tarnybos įstatymas" w:history="1">
        <w:r w:rsidRPr="00B90026">
          <w:rPr>
            <w:rFonts w:asciiTheme="minorHAnsi" w:hAnsiTheme="minorHAnsi" w:cstheme="minorHAnsi"/>
            <w:sz w:val="22"/>
            <w:szCs w:val="22"/>
          </w:rPr>
          <w:t>Valstybės tarnybos įstatymo</w:t>
        </w:r>
      </w:hyperlink>
      <w:r w:rsidRPr="00B90026">
        <w:rPr>
          <w:rFonts w:asciiTheme="minorHAnsi" w:hAnsiTheme="minorHAnsi" w:cstheme="minorHAnsi"/>
          <w:sz w:val="22"/>
          <w:szCs w:val="22"/>
        </w:rPr>
        <w:t xml:space="preserve"> </w:t>
      </w:r>
      <w:hyperlink r:id="rId19" w:tgtFrame="_blank" w:tooltip="Valstybės tarnautojų atleidimas iš pareigų" w:history="1">
        <w:r w:rsidRPr="00B90026">
          <w:rPr>
            <w:rFonts w:asciiTheme="minorHAnsi" w:hAnsiTheme="minorHAnsi" w:cstheme="minorHAnsi"/>
            <w:sz w:val="22"/>
            <w:szCs w:val="22"/>
          </w:rPr>
          <w:t>44</w:t>
        </w:r>
      </w:hyperlink>
      <w:r w:rsidRPr="00B90026">
        <w:rPr>
          <w:rFonts w:asciiTheme="minorHAnsi" w:hAnsiTheme="minorHAnsi" w:cstheme="minorHAnsi"/>
          <w:sz w:val="22"/>
          <w:szCs w:val="22"/>
        </w:rPr>
        <w:t xml:space="preserve"> straipsnio 1 dalies 9 punkto pagrindu (kai panaikinama valstybės tarnautojo pareigybė), buvo tinkamai užtikrinta jo garantija toliau tęsti tarnybą valstybės įstaigoje.</w:t>
      </w:r>
    </w:p>
    <w:bookmarkStart w:id="39" w:name="n04eefc3f-1cab-48b5-872c-424fc3e784c1"/>
    <w:p w:rsidR="008062F1" w:rsidRPr="00B90026" w:rsidRDefault="008062F1" w:rsidP="008062F1">
      <w:pPr>
        <w:ind w:firstLine="567"/>
        <w:jc w:val="both"/>
        <w:rPr>
          <w:rFonts w:asciiTheme="minorHAnsi" w:hAnsiTheme="minorHAnsi" w:cstheme="minorHAnsi"/>
          <w:sz w:val="22"/>
          <w:szCs w:val="22"/>
        </w:rPr>
      </w:pPr>
      <w:r w:rsidRPr="00B90026">
        <w:rPr>
          <w:rFonts w:asciiTheme="minorHAnsi" w:hAnsiTheme="minorHAnsi" w:cstheme="minorHAnsi"/>
          <w:sz w:val="22"/>
          <w:szCs w:val="22"/>
        </w:rPr>
        <w:fldChar w:fldCharType="begin"/>
      </w:r>
      <w:r w:rsidRPr="00B90026">
        <w:rPr>
          <w:rFonts w:asciiTheme="minorHAnsi" w:hAnsiTheme="minorHAnsi" w:cstheme="minorHAnsi"/>
          <w:sz w:val="22"/>
          <w:szCs w:val="22"/>
        </w:rPr>
        <w:instrText xml:space="preserve"> HYPERLINK "http://www.infolex.lt/ta/17188" \o "Lietuvos Respublikos valstybės tarnybos įstatymas" \t "_blank" </w:instrText>
      </w:r>
      <w:r w:rsidRPr="00B90026">
        <w:rPr>
          <w:rFonts w:asciiTheme="minorHAnsi" w:hAnsiTheme="minorHAnsi" w:cstheme="minorHAnsi"/>
          <w:sz w:val="22"/>
          <w:szCs w:val="22"/>
        </w:rPr>
        <w:fldChar w:fldCharType="separate"/>
      </w:r>
      <w:r w:rsidRPr="00B90026">
        <w:rPr>
          <w:rFonts w:asciiTheme="minorHAnsi" w:hAnsiTheme="minorHAnsi" w:cstheme="minorHAnsi"/>
          <w:sz w:val="22"/>
          <w:szCs w:val="22"/>
        </w:rPr>
        <w:t>Valstybės tarnybos įstatymo</w:t>
      </w:r>
      <w:r w:rsidRPr="00B90026">
        <w:rPr>
          <w:rFonts w:asciiTheme="minorHAnsi" w:hAnsiTheme="minorHAnsi" w:cstheme="minorHAnsi"/>
          <w:sz w:val="22"/>
          <w:szCs w:val="22"/>
        </w:rPr>
        <w:fldChar w:fldCharType="end"/>
      </w:r>
      <w:bookmarkStart w:id="40" w:name="pn04eefc3f-1cab-48b5-872c-424fc3e784c1"/>
      <w:bookmarkEnd w:id="39"/>
      <w:bookmarkEnd w:id="40"/>
      <w:r w:rsidRPr="00B90026">
        <w:rPr>
          <w:rFonts w:asciiTheme="minorHAnsi" w:hAnsiTheme="minorHAnsi" w:cstheme="minorHAnsi"/>
          <w:sz w:val="22"/>
          <w:szCs w:val="22"/>
        </w:rPr>
        <w:t xml:space="preserve"> </w:t>
      </w:r>
      <w:bookmarkStart w:id="41" w:name="n430bd404-f894-47cb-8a53-fb1a8af9be77"/>
      <w:r w:rsidRPr="00B90026">
        <w:rPr>
          <w:rFonts w:asciiTheme="minorHAnsi" w:hAnsiTheme="minorHAnsi" w:cstheme="minorHAnsi"/>
          <w:sz w:val="22"/>
          <w:szCs w:val="22"/>
        </w:rPr>
        <w:fldChar w:fldCharType="begin"/>
      </w:r>
      <w:r w:rsidRPr="00B90026">
        <w:rPr>
          <w:rFonts w:asciiTheme="minorHAnsi" w:hAnsiTheme="minorHAnsi" w:cstheme="minorHAnsi"/>
          <w:sz w:val="22"/>
          <w:szCs w:val="22"/>
        </w:rPr>
        <w:instrText xml:space="preserve"> HYPERLINK "http://www.infolex.lt/tp/1558786" \o "Kitos garantijos" \t "_blank" </w:instrText>
      </w:r>
      <w:r w:rsidRPr="00B90026">
        <w:rPr>
          <w:rFonts w:asciiTheme="minorHAnsi" w:hAnsiTheme="minorHAnsi" w:cstheme="minorHAnsi"/>
          <w:sz w:val="22"/>
          <w:szCs w:val="22"/>
        </w:rPr>
        <w:fldChar w:fldCharType="separate"/>
      </w:r>
      <w:r w:rsidRPr="00B90026">
        <w:rPr>
          <w:rFonts w:asciiTheme="minorHAnsi" w:hAnsiTheme="minorHAnsi" w:cstheme="minorHAnsi"/>
          <w:sz w:val="22"/>
          <w:szCs w:val="22"/>
        </w:rPr>
        <w:t>43</w:t>
      </w:r>
      <w:r w:rsidRPr="00B90026">
        <w:rPr>
          <w:rFonts w:asciiTheme="minorHAnsi" w:hAnsiTheme="minorHAnsi" w:cstheme="minorHAnsi"/>
          <w:sz w:val="22"/>
          <w:szCs w:val="22"/>
        </w:rPr>
        <w:fldChar w:fldCharType="end"/>
      </w:r>
      <w:bookmarkStart w:id="42" w:name="pn430bd404-f894-47cb-8a53-fb1a8af9be77"/>
      <w:bookmarkEnd w:id="41"/>
      <w:bookmarkEnd w:id="42"/>
      <w:r w:rsidRPr="00B90026">
        <w:rPr>
          <w:rFonts w:asciiTheme="minorHAnsi" w:hAnsiTheme="minorHAnsi" w:cstheme="minorHAnsi"/>
          <w:sz w:val="22"/>
          <w:szCs w:val="22"/>
        </w:rPr>
        <w:t xml:space="preserve"> straipsnio 1 dalyje, be kita ko, įtvirtinta, kad karjeros valstybės tarnautojas, kurio pareigybė naikinama, paskiriamas į kitas to paties lygio ir kategorijos karjeros valstybės tarnautojo pareigas, o jei tokių pareigų nėra ir valstybės tarnautojas sutinka, – į žemesnės kategorijos pareigas. Jei iki pareigybės panaikinimo karjeros valstybės tarnautojas į kitas pareigas nepaskiriamas, jis iš pareigų atleidžiamas.</w:t>
      </w:r>
    </w:p>
    <w:p w:rsidR="00402E1A" w:rsidRPr="00B90026" w:rsidRDefault="008062F1" w:rsidP="008062F1">
      <w:pPr>
        <w:ind w:firstLine="567"/>
        <w:jc w:val="both"/>
        <w:rPr>
          <w:rFonts w:asciiTheme="minorHAnsi" w:hAnsiTheme="minorHAnsi" w:cstheme="minorHAnsi"/>
          <w:sz w:val="22"/>
          <w:szCs w:val="22"/>
          <w:u w:val="single"/>
        </w:rPr>
      </w:pPr>
      <w:r w:rsidRPr="00B90026">
        <w:rPr>
          <w:rFonts w:asciiTheme="minorHAnsi" w:hAnsiTheme="minorHAnsi" w:cstheme="minorHAnsi"/>
          <w:sz w:val="22"/>
          <w:szCs w:val="22"/>
        </w:rPr>
        <w:t xml:space="preserve">Apibendrindama LVAT praktiką, taikant bei aiškinant šią teisės normą, LVAT išplėstinė teisėjų kolegija pažymėjo, kad </w:t>
      </w:r>
      <w:bookmarkStart w:id="43" w:name="nda744b61-799f-4767-92da-3a96a32de39f"/>
      <w:r w:rsidRPr="00B90026">
        <w:rPr>
          <w:rFonts w:asciiTheme="minorHAnsi" w:hAnsiTheme="minorHAnsi" w:cstheme="minorHAnsi"/>
          <w:sz w:val="22"/>
          <w:szCs w:val="22"/>
          <w:u w:val="single"/>
        </w:rPr>
        <w:fldChar w:fldCharType="begin"/>
      </w:r>
      <w:r w:rsidRPr="00B90026">
        <w:rPr>
          <w:rFonts w:asciiTheme="minorHAnsi" w:hAnsiTheme="minorHAnsi" w:cstheme="minorHAnsi"/>
          <w:sz w:val="22"/>
          <w:szCs w:val="22"/>
          <w:u w:val="single"/>
        </w:rPr>
        <w:instrText xml:space="preserve"> HYPERLINK "http://www.infolex.lt/ta/17188" \o "Lietuvos Respublikos valstybės tarnybos įstatymas" \t "_blank" </w:instrText>
      </w:r>
      <w:r w:rsidRPr="00B90026">
        <w:rPr>
          <w:rFonts w:asciiTheme="minorHAnsi" w:hAnsiTheme="minorHAnsi" w:cstheme="minorHAnsi"/>
          <w:sz w:val="22"/>
          <w:szCs w:val="22"/>
          <w:u w:val="single"/>
        </w:rPr>
        <w:fldChar w:fldCharType="separate"/>
      </w:r>
      <w:r w:rsidRPr="00B90026">
        <w:rPr>
          <w:rFonts w:asciiTheme="minorHAnsi" w:hAnsiTheme="minorHAnsi" w:cstheme="minorHAnsi"/>
          <w:sz w:val="22"/>
          <w:szCs w:val="22"/>
          <w:u w:val="single"/>
        </w:rPr>
        <w:t>Valstybės tarnybos įstatymo</w:t>
      </w:r>
      <w:r w:rsidRPr="00B90026">
        <w:rPr>
          <w:rFonts w:asciiTheme="minorHAnsi" w:hAnsiTheme="minorHAnsi" w:cstheme="minorHAnsi"/>
          <w:sz w:val="22"/>
          <w:szCs w:val="22"/>
          <w:u w:val="single"/>
        </w:rPr>
        <w:fldChar w:fldCharType="end"/>
      </w:r>
      <w:bookmarkStart w:id="44" w:name="pnda744b61-799f-4767-92da-3a96a32de39f"/>
      <w:bookmarkEnd w:id="43"/>
      <w:bookmarkEnd w:id="44"/>
      <w:r w:rsidRPr="00B90026">
        <w:rPr>
          <w:rFonts w:asciiTheme="minorHAnsi" w:hAnsiTheme="minorHAnsi" w:cstheme="minorHAnsi"/>
          <w:sz w:val="22"/>
          <w:szCs w:val="22"/>
          <w:u w:val="single"/>
        </w:rPr>
        <w:t xml:space="preserve"> </w:t>
      </w:r>
      <w:bookmarkStart w:id="45" w:name="n245395ac-1e6d-47d0-9212-0bfc40fd477d"/>
      <w:r w:rsidRPr="00B90026">
        <w:rPr>
          <w:rFonts w:asciiTheme="minorHAnsi" w:hAnsiTheme="minorHAnsi" w:cstheme="minorHAnsi"/>
          <w:sz w:val="22"/>
          <w:szCs w:val="22"/>
          <w:u w:val="single"/>
        </w:rPr>
        <w:fldChar w:fldCharType="begin"/>
      </w:r>
      <w:r w:rsidRPr="00B90026">
        <w:rPr>
          <w:rFonts w:asciiTheme="minorHAnsi" w:hAnsiTheme="minorHAnsi" w:cstheme="minorHAnsi"/>
          <w:sz w:val="22"/>
          <w:szCs w:val="22"/>
          <w:u w:val="single"/>
        </w:rPr>
        <w:instrText xml:space="preserve"> HYPERLINK "http://www.infolex.lt/tp/1558786" \o "Kitos garantijos" \t "_blank" </w:instrText>
      </w:r>
      <w:r w:rsidRPr="00B90026">
        <w:rPr>
          <w:rFonts w:asciiTheme="minorHAnsi" w:hAnsiTheme="minorHAnsi" w:cstheme="minorHAnsi"/>
          <w:sz w:val="22"/>
          <w:szCs w:val="22"/>
          <w:u w:val="single"/>
        </w:rPr>
        <w:fldChar w:fldCharType="separate"/>
      </w:r>
      <w:r w:rsidRPr="00B90026">
        <w:rPr>
          <w:rFonts w:asciiTheme="minorHAnsi" w:hAnsiTheme="minorHAnsi" w:cstheme="minorHAnsi"/>
          <w:sz w:val="22"/>
          <w:szCs w:val="22"/>
          <w:u w:val="single"/>
        </w:rPr>
        <w:t>43</w:t>
      </w:r>
      <w:r w:rsidRPr="00B90026">
        <w:rPr>
          <w:rFonts w:asciiTheme="minorHAnsi" w:hAnsiTheme="minorHAnsi" w:cstheme="minorHAnsi"/>
          <w:sz w:val="22"/>
          <w:szCs w:val="22"/>
          <w:u w:val="single"/>
        </w:rPr>
        <w:fldChar w:fldCharType="end"/>
      </w:r>
      <w:bookmarkStart w:id="46" w:name="pn245395ac-1e6d-47d0-9212-0bfc40fd477d"/>
      <w:bookmarkEnd w:id="45"/>
      <w:bookmarkEnd w:id="46"/>
      <w:r w:rsidRPr="00B90026">
        <w:rPr>
          <w:rFonts w:asciiTheme="minorHAnsi" w:hAnsiTheme="minorHAnsi" w:cstheme="minorHAnsi"/>
          <w:sz w:val="22"/>
          <w:szCs w:val="22"/>
          <w:u w:val="single"/>
        </w:rPr>
        <w:t xml:space="preserve"> straipsnio 1 dalyje įtvirtintos valstybės tarnautojo garantijos tęsti tarnybą užtikrinimas siejamas su šių aplinkybių visuma: iki valstybės tarnautojo pareigybės panaikinimo valstybės institucijoje (įstaigoje) yra laisvos (atsiranda laisvos) pareigos; valstybės tarnautojas yra tinkamas šias pareigas užimti (atitinka pareigybės aprašyme nustatytus bendruosius ir specialiuosius reikalavimus); šios pareigos tinkamai pasiūlomos valstybės tarnautojui, kurio pareigybė naikinama; valstybės tarnautojui sutikus, jis paskiriamas eiti šias pareigas.</w:t>
      </w:r>
    </w:p>
    <w:p w:rsidR="008062F1" w:rsidRPr="00B90026" w:rsidRDefault="008062F1" w:rsidP="008062F1">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 xml:space="preserve">Vertinant bylos faktinių aplinkybių visumą, daryta išvada, jog iki panaikinant pareiškėjo pareigybę, kitos pareigos, dėl kurių byloje kilo klausimas (ginčo pareigos), nebuvo užimtos ir niekam kitam pasiūlytos. Vadinasi, </w:t>
      </w:r>
      <w:r w:rsidRPr="00B90026">
        <w:rPr>
          <w:rFonts w:asciiTheme="minorHAnsi" w:hAnsiTheme="minorHAnsi" w:cstheme="minorHAnsi"/>
          <w:color w:val="000000"/>
          <w:sz w:val="22"/>
          <w:szCs w:val="22"/>
        </w:rPr>
        <w:lastRenderedPageBreak/>
        <w:t>atsakovas, turėdamas informaciją apie tai, kad pareiškėjas nesutinka eiti prieš tai pasiūlytų pareigų, o valstybės tarnautoja, kuriai buvo pasiūlytos ginčo pareigos, buvo atleista iš tarnybos, turėjo galimybę šias pareigas pasiūlyti pareiškėjui ir esant pareiškėjo sutikimui paskirti jį eiti šias pareigas. Byloje taip pat nustatyta, jog pareiškėjas atitiko šiai pareigybei nustatytus specialiuosius reikalavimus.</w:t>
      </w:r>
    </w:p>
    <w:p w:rsidR="00402E1A" w:rsidRPr="00B90026" w:rsidRDefault="00402E1A" w:rsidP="00402E1A">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 xml:space="preserve">Atsakovo argumentas, kad jis pareiškėjui pasiūlyti ginčo pareigas neturėjo pakankamai laiko nagrinėtu atveju nebuvo reikšmingas, kadangi atsakovui tenka atsakomybė už tinkamą struktūrinių pertvarkymų planavimą ir įgyvendinimą, juolab kad pareigybei, kurios prieš tai buvo siūlomos pareiškėjui, nustatyti specialieji reikalavimai iš esmės sutapo su ginčo pareigybei nustatytaisiais. </w:t>
      </w:r>
    </w:p>
    <w:p w:rsidR="00402E1A" w:rsidRPr="00B90026" w:rsidRDefault="00402E1A" w:rsidP="008062F1">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 xml:space="preserve">Dėl kitų pareigų siūlymo LVAT išplėstinė teisėjų kolegija, plėtodama administracinių teismų praktiką, nurodė, kad </w:t>
      </w:r>
      <w:r w:rsidRPr="00B90026">
        <w:rPr>
          <w:rFonts w:asciiTheme="minorHAnsi" w:hAnsiTheme="minorHAnsi" w:cstheme="minorHAnsi"/>
          <w:color w:val="000000"/>
          <w:sz w:val="22"/>
          <w:szCs w:val="22"/>
          <w:u w:val="single"/>
        </w:rPr>
        <w:t xml:space="preserve">jeigu siūlymas teikiamas viešu būdu bendrai visiems valstybės tarnautojams, turi būti užtikrinama valstybės tarnautojo, kurio pareigybė naikinama, teisė gauti tiek informacijos, kad valstybės tarnautojas galėtų efektyviai įgyvendinti savo teisę teikti kandidatūrą užimti konkrečias kitas pareigas. Tai reiškia, kad iš aptariamu būdu teikiamo pasiūlymo turi būti aišku, kurios valstybės įstaigoje (institucijoje) įsteigtos (steigiamos) pareigybės yra laisvos, kokie specialieji reikalavimai yra taikomi šioms pareigybėms, kokios funkcijos joms priskiriamos, kita reikalinga informacija (pvz., iki kada ir kam pateikti atsakymą). Taigi valstybės tarnautojo iniciatyva dėl konkrečių pareigų užėmimo Valstybės tarnybos įstatymo 43 straipsnio 1 </w:t>
      </w:r>
      <w:bookmarkStart w:id="47" w:name="pnd961df11-ab8e-4934-800f-6189d10da9a1"/>
      <w:bookmarkEnd w:id="47"/>
      <w:r w:rsidRPr="00B90026">
        <w:rPr>
          <w:rFonts w:asciiTheme="minorHAnsi" w:hAnsiTheme="minorHAnsi" w:cstheme="minorHAnsi"/>
          <w:color w:val="000000"/>
          <w:sz w:val="22"/>
          <w:szCs w:val="22"/>
          <w:u w:val="single"/>
        </w:rPr>
        <w:t>dalies prasme priklauso nuo to, ar valstybės įstaiga (institucija) sudarė sąlygas valstybės tarnautojui jo įspėjimo apie atleidimą iš valstybės tarnybos laikotarpiu žinoti apie laisvas jo kvalifikaciją ir įgūdžius atitinkančias pareigas ir pareikšti pageidavimą užimti konkrečias pareigas. Šios nuostatos dėl kitų pareigų siūlymo per visą įspėjimo laiką turi būti vertinamos ir taikomos, atsižvelgiant į konkrečios bylos faktines aplinkybes bei bendruosius teisingumo, sąžiningumo ir protingumo reikalavimus</w:t>
      </w:r>
      <w:r w:rsidRPr="00B90026">
        <w:rPr>
          <w:rFonts w:asciiTheme="minorHAnsi" w:hAnsiTheme="minorHAnsi" w:cstheme="minorHAnsi"/>
          <w:color w:val="000000"/>
          <w:sz w:val="22"/>
          <w:szCs w:val="22"/>
        </w:rPr>
        <w:t xml:space="preserve">. Atsižvelgiant į tai, atsakovo argumentas, kad jis be individualių pasiūlymų pareiškėjui informaciją apie laisvas pareigybes patalpino įstaigos internetinėje svetainėje skiltyje ,,Darbo ir studentų praktikos skelbimai“ bei Valstybės tarnybos departamento interneto svetainėje, informacija apie numatomas įsteigti pareigybes taip pat buvo patalpinta Vieningoje dokumentų valdymo sistemoje registre ,,Direktoriaus įsakymų veiklos klausimais registras 2015“, LVAT išplėstinės teisėjų kolegijos atmestas, kadangi nurodytos aplinkybės nepatvirtino, kad atsakovas, atsižvelgiant į pirmiau nurodytus kriterijus, tinkamai pasiūlė pareiškėjui užimti ginčo pareigas </w:t>
      </w:r>
      <w:r w:rsidR="003805D9">
        <w:rPr>
          <w:rFonts w:asciiTheme="minorHAnsi" w:hAnsiTheme="minorHAnsi" w:cstheme="minorHAnsi"/>
          <w:color w:val="000000"/>
          <w:sz w:val="22"/>
          <w:szCs w:val="22"/>
        </w:rPr>
        <w:t>–</w:t>
      </w:r>
      <w:r w:rsidRPr="00B90026">
        <w:rPr>
          <w:rFonts w:asciiTheme="minorHAnsi" w:hAnsiTheme="minorHAnsi" w:cstheme="minorHAnsi"/>
          <w:color w:val="000000"/>
          <w:sz w:val="22"/>
          <w:szCs w:val="22"/>
        </w:rPr>
        <w:t xml:space="preserve"> byloje</w:t>
      </w:r>
      <w:r w:rsidR="003805D9">
        <w:rPr>
          <w:rFonts w:asciiTheme="minorHAnsi" w:hAnsiTheme="minorHAnsi" w:cstheme="minorHAnsi"/>
          <w:color w:val="000000"/>
          <w:sz w:val="22"/>
          <w:szCs w:val="22"/>
        </w:rPr>
        <w:t xml:space="preserve"> </w:t>
      </w:r>
      <w:r w:rsidRPr="00B90026">
        <w:rPr>
          <w:rFonts w:asciiTheme="minorHAnsi" w:hAnsiTheme="minorHAnsi" w:cstheme="minorHAnsi"/>
          <w:color w:val="000000"/>
          <w:sz w:val="22"/>
          <w:szCs w:val="22"/>
        </w:rPr>
        <w:t>nebuvo įrodymų, jog informacija apie laisvas pareigybes su išsamiais jų aprašymais pareiškėjo įspėjimo apie atleidimą iš valstybės tarnybos laikotarpį buvo patalpinta atsakovo ir / ar Valstybės tarnybos departamento internetinėje svetainėje. Atsakovo pateiktame ,,Direktoriaus įsakymų veiklos klausimais registre 2015“, kuris buvo patalpintas atsakovo vieningoje dokumentų valdymo sistemoje 2015 m. spalio 1 d., neatsispindi informacija apie laisvas atsakovo įstaigoje esančias pareigybes, kurias galėtų užimti pareiškėjas. Atsakovo byloje įrodinė</w:t>
      </w:r>
      <w:r w:rsidR="00593161" w:rsidRPr="00B90026">
        <w:rPr>
          <w:rFonts w:asciiTheme="minorHAnsi" w:hAnsiTheme="minorHAnsi" w:cstheme="minorHAnsi"/>
          <w:color w:val="000000"/>
          <w:sz w:val="22"/>
          <w:szCs w:val="22"/>
        </w:rPr>
        <w:t xml:space="preserve">ta </w:t>
      </w:r>
      <w:r w:rsidRPr="00B90026">
        <w:rPr>
          <w:rFonts w:asciiTheme="minorHAnsi" w:hAnsiTheme="minorHAnsi" w:cstheme="minorHAnsi"/>
          <w:color w:val="000000"/>
          <w:sz w:val="22"/>
          <w:szCs w:val="22"/>
        </w:rPr>
        <w:t xml:space="preserve">aplinkybė, jog pareiškėjas žinojo apie tai, kad </w:t>
      </w:r>
      <w:r w:rsidR="00593161" w:rsidRPr="00B90026">
        <w:rPr>
          <w:rFonts w:asciiTheme="minorHAnsi" w:hAnsiTheme="minorHAnsi" w:cstheme="minorHAnsi"/>
          <w:color w:val="000000"/>
          <w:sz w:val="22"/>
          <w:szCs w:val="22"/>
        </w:rPr>
        <w:t xml:space="preserve">ginčo pareigos buvo laisvos, </w:t>
      </w:r>
      <w:r w:rsidRPr="00B90026">
        <w:rPr>
          <w:rFonts w:asciiTheme="minorHAnsi" w:hAnsiTheme="minorHAnsi" w:cstheme="minorHAnsi"/>
          <w:color w:val="000000"/>
          <w:sz w:val="22"/>
          <w:szCs w:val="22"/>
        </w:rPr>
        <w:t>nagrinė</w:t>
      </w:r>
      <w:r w:rsidR="00593161" w:rsidRPr="00B90026">
        <w:rPr>
          <w:rFonts w:asciiTheme="minorHAnsi" w:hAnsiTheme="minorHAnsi" w:cstheme="minorHAnsi"/>
          <w:color w:val="000000"/>
          <w:sz w:val="22"/>
          <w:szCs w:val="22"/>
        </w:rPr>
        <w:t>tu atveju laikyta ne</w:t>
      </w:r>
      <w:r w:rsidRPr="00B90026">
        <w:rPr>
          <w:rFonts w:asciiTheme="minorHAnsi" w:hAnsiTheme="minorHAnsi" w:cstheme="minorHAnsi"/>
          <w:color w:val="000000"/>
          <w:sz w:val="22"/>
          <w:szCs w:val="22"/>
        </w:rPr>
        <w:t xml:space="preserve">reikšminga, kadangi byloje nenustatyta, jog </w:t>
      </w:r>
      <w:r w:rsidR="00593161" w:rsidRPr="00B90026">
        <w:rPr>
          <w:rFonts w:asciiTheme="minorHAnsi" w:hAnsiTheme="minorHAnsi" w:cstheme="minorHAnsi"/>
          <w:color w:val="000000"/>
          <w:sz w:val="22"/>
          <w:szCs w:val="22"/>
        </w:rPr>
        <w:t xml:space="preserve">informacija apie laisvas ginčo pareigas </w:t>
      </w:r>
      <w:r w:rsidRPr="00B90026">
        <w:rPr>
          <w:rFonts w:asciiTheme="minorHAnsi" w:hAnsiTheme="minorHAnsi" w:cstheme="minorHAnsi"/>
          <w:color w:val="000000"/>
          <w:sz w:val="22"/>
          <w:szCs w:val="22"/>
        </w:rPr>
        <w:t>pareiškėjui buvo pateikta</w:t>
      </w:r>
      <w:r w:rsidR="00593161" w:rsidRPr="00B90026">
        <w:rPr>
          <w:rFonts w:asciiTheme="minorHAnsi" w:hAnsiTheme="minorHAnsi" w:cstheme="minorHAnsi"/>
          <w:color w:val="000000"/>
          <w:sz w:val="22"/>
          <w:szCs w:val="22"/>
        </w:rPr>
        <w:t>.</w:t>
      </w:r>
    </w:p>
    <w:p w:rsidR="008062F1" w:rsidRPr="00B90026" w:rsidRDefault="00593161" w:rsidP="008062F1">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 xml:space="preserve">Įvertinusi byloje nustatytas faktines aplinkybes bei atsižvelgdama į nurodytus argumentus, LVAT išplėstinė teisėjų kolegija sprendė, kad nagrinėtu atveju Valstybės tarnybos 43 straipsnio 1 dalyje </w:t>
      </w:r>
      <w:bookmarkStart w:id="48" w:name="pn4654e178-28d2-4800-895d-cc38190ae31b"/>
      <w:bookmarkEnd w:id="48"/>
      <w:r w:rsidRPr="00B90026">
        <w:rPr>
          <w:rFonts w:asciiTheme="minorHAnsi" w:hAnsiTheme="minorHAnsi" w:cstheme="minorHAnsi"/>
          <w:color w:val="000000"/>
          <w:sz w:val="22"/>
          <w:szCs w:val="22"/>
        </w:rPr>
        <w:t xml:space="preserve">įtvirtinta garantija tęsti tarnybą nebuvo užtikrinta, kadangi įspėjimo apie naikinamas pareigas bei atleidimą iš valstybės tarnybos laikotarpiu pareiškėjui nebuvo pasiūlytos tuo metu laisvos pareigos, kurių pareigybės aprašyme nustatytus specialiuosius reikalavimus jis atitiko. </w:t>
      </w:r>
    </w:p>
    <w:p w:rsidR="008B6D51" w:rsidRPr="00B90026" w:rsidRDefault="008B6D51" w:rsidP="008B6D51">
      <w:pPr>
        <w:jc w:val="both"/>
        <w:rPr>
          <w:rFonts w:asciiTheme="minorHAnsi" w:hAnsiTheme="minorHAnsi" w:cstheme="minorHAnsi"/>
          <w:color w:val="000000"/>
          <w:sz w:val="22"/>
          <w:szCs w:val="22"/>
        </w:rPr>
      </w:pPr>
    </w:p>
    <w:p w:rsidR="008B6D51" w:rsidRPr="00B90026" w:rsidRDefault="008B6D51" w:rsidP="008B6D51">
      <w:pPr>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Išplėstinės teisėjų kolegijos 2017 m. gruodžio 19 d. nutartis administracinėje byloje Nr. eA-5042-556/2017</w:t>
      </w:r>
    </w:p>
    <w:p w:rsidR="008B6D51" w:rsidRPr="00B90026" w:rsidRDefault="008B6D51" w:rsidP="008B6D51">
      <w:pPr>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Teisminio proceso Nr. 3-61-3-06076-2015-0</w:t>
      </w:r>
    </w:p>
    <w:p w:rsidR="008B6D51" w:rsidRPr="00B90026" w:rsidRDefault="008B6D51" w:rsidP="008B6D51">
      <w:pPr>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Procesinio sprendimo kategorija 21.3.7</w:t>
      </w:r>
    </w:p>
    <w:p w:rsidR="008062F1" w:rsidRPr="00B90026" w:rsidRDefault="007E1236" w:rsidP="008B6D51">
      <w:pPr>
        <w:jc w:val="both"/>
        <w:rPr>
          <w:rFonts w:asciiTheme="minorHAnsi" w:hAnsiTheme="minorHAnsi" w:cstheme="minorHAnsi"/>
          <w:sz w:val="22"/>
          <w:szCs w:val="22"/>
        </w:rPr>
      </w:pPr>
      <w:hyperlink r:id="rId20" w:history="1">
        <w:r w:rsidR="008B6D51" w:rsidRPr="00B90026">
          <w:rPr>
            <w:rStyle w:val="Hipersaitas"/>
            <w:rFonts w:asciiTheme="minorHAnsi" w:hAnsiTheme="minorHAnsi" w:cstheme="minorHAnsi"/>
            <w:sz w:val="22"/>
            <w:szCs w:val="22"/>
          </w:rPr>
          <w:t>Prieiga internete</w:t>
        </w:r>
      </w:hyperlink>
    </w:p>
    <w:p w:rsidR="008062F1" w:rsidRPr="00B90026" w:rsidRDefault="008062F1" w:rsidP="0043602E">
      <w:pPr>
        <w:pStyle w:val="Apzvalgai1"/>
        <w:rPr>
          <w:rFonts w:asciiTheme="minorHAnsi" w:hAnsiTheme="minorHAnsi" w:cstheme="minorHAnsi"/>
        </w:rPr>
      </w:pPr>
    </w:p>
    <w:p w:rsidR="00D42BC1" w:rsidRPr="00B90026" w:rsidRDefault="00D42BC1" w:rsidP="00363C0B">
      <w:pPr>
        <w:pStyle w:val="Apzvalgai1"/>
        <w:rPr>
          <w:rFonts w:asciiTheme="minorHAnsi" w:hAnsiTheme="minorHAnsi" w:cstheme="minorHAnsi"/>
        </w:rPr>
      </w:pPr>
      <w:bookmarkStart w:id="49" w:name="_Toc462149988"/>
      <w:bookmarkStart w:id="50" w:name="_Toc505787258"/>
      <w:r w:rsidRPr="00B90026">
        <w:rPr>
          <w:rFonts w:asciiTheme="minorHAnsi" w:hAnsiTheme="minorHAnsi" w:cstheme="minorHAnsi"/>
        </w:rPr>
        <w:t>24. Vietos savivalda</w:t>
      </w:r>
      <w:bookmarkEnd w:id="49"/>
      <w:bookmarkEnd w:id="50"/>
    </w:p>
    <w:p w:rsidR="0083103A" w:rsidRPr="00B90026" w:rsidRDefault="0083103A" w:rsidP="00A213E6">
      <w:pPr>
        <w:ind w:firstLine="567"/>
        <w:jc w:val="both"/>
        <w:rPr>
          <w:rFonts w:asciiTheme="minorHAnsi" w:hAnsiTheme="minorHAnsi" w:cstheme="minorHAnsi"/>
          <w:b/>
          <w:color w:val="000000"/>
          <w:sz w:val="22"/>
          <w:szCs w:val="22"/>
          <w:u w:val="single"/>
        </w:rPr>
      </w:pPr>
      <w:r w:rsidRPr="00B90026">
        <w:rPr>
          <w:rFonts w:asciiTheme="minorHAnsi" w:hAnsiTheme="minorHAnsi" w:cstheme="minorHAnsi"/>
          <w:b/>
          <w:color w:val="000000"/>
          <w:sz w:val="22"/>
          <w:szCs w:val="22"/>
          <w:u w:val="single"/>
        </w:rPr>
        <w:t>24.4. Administracinių paslaugų teikimas</w:t>
      </w:r>
    </w:p>
    <w:p w:rsidR="0083103A" w:rsidRPr="00B90026" w:rsidRDefault="0083103A" w:rsidP="0098087E">
      <w:pPr>
        <w:pStyle w:val="Apzvalgai1"/>
        <w:rPr>
          <w:rFonts w:asciiTheme="minorHAnsi" w:hAnsiTheme="minorHAnsi" w:cstheme="minorHAnsi"/>
          <w:b w:val="0"/>
        </w:rPr>
      </w:pPr>
    </w:p>
    <w:p w:rsidR="0083103A" w:rsidRPr="00B90026" w:rsidRDefault="0083103A" w:rsidP="00363C0B">
      <w:pPr>
        <w:pStyle w:val="Antrat2"/>
      </w:pPr>
      <w:bookmarkStart w:id="51" w:name="_Toc505787259"/>
      <w:r w:rsidRPr="00B90026">
        <w:t>Dėl</w:t>
      </w:r>
      <w:r w:rsidR="006B423B" w:rsidRPr="00B90026">
        <w:t xml:space="preserve"> teismo įpareigojimo išduoti leidimą pr</w:t>
      </w:r>
      <w:r w:rsidR="008B6221" w:rsidRPr="00B90026">
        <w:t>e</w:t>
      </w:r>
      <w:r w:rsidR="006B423B" w:rsidRPr="00B90026">
        <w:t>kybai</w:t>
      </w:r>
      <w:bookmarkEnd w:id="51"/>
    </w:p>
    <w:p w:rsidR="0083103A" w:rsidRPr="00B90026" w:rsidRDefault="0083103A" w:rsidP="0098087E">
      <w:pPr>
        <w:pStyle w:val="Apzvalgai1"/>
        <w:rPr>
          <w:rFonts w:asciiTheme="minorHAnsi" w:hAnsiTheme="minorHAnsi" w:cstheme="minorHAnsi"/>
          <w:b w:val="0"/>
        </w:rPr>
      </w:pPr>
    </w:p>
    <w:p w:rsidR="0083103A" w:rsidRPr="00B90026" w:rsidRDefault="0083103A" w:rsidP="00A213E6">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Pareiškėjas UAB „Jūros smeltė“ kreipėsi teismą, prašydamas panaikinti Palangos miesto savivaldybės administracijos (toliau – atsakovas) 2016 m. vasario 1 d. sprendimą, kuriuo atsisakyta išduoti leidimą prekybai nurodytame žemės sklype, ir įpareigoti atsakovą patenkinti 2015 m. gegužės 22 d. prašymą dėl leidimo prekiauti išdavimo.</w:t>
      </w:r>
    </w:p>
    <w:p w:rsidR="0083103A" w:rsidRPr="00B90026" w:rsidRDefault="0083103A" w:rsidP="00A213E6">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lastRenderedPageBreak/>
        <w:t>Klaipėdos apygardos administracinio teismo 2015 m. gruodžio 22 d. sprendimu panaikintas Palangos miesto savivaldybės administracijos 2015 m. liepos 1 d. sprendimas ir Palangos miesto savivaldybės administracija įpareigota per 20 darbo dienų nuo teismo sprendimo įsiteisėjimo dienos išnagrinėti UAB „Jūros smeltė“ 2015 m. gegužės 22 d. prašymą dėl leidimo prekiauti išdavimo. Atsakovas, pakartotinai išnagrinėjęs 2015 m. gegužės 22 d. prašymą, ginčytu apžvelgiamoje byloje 2016 m. vasario 1 d. sprendimu prašymo nepatenkino ir leidimo prekiauti neišdavė.</w:t>
      </w:r>
    </w:p>
    <w:p w:rsidR="0083103A" w:rsidRPr="00B90026" w:rsidRDefault="0083103A" w:rsidP="00A213E6">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 xml:space="preserve">Klaipėdos apygardos administracinis teismas 2016 m. birželio 3 d. sprendimu pareiškėjo skundą tenkino, panaikino Palangos miesto savivaldybės administracijos 2016 m. vasario 1 d. sprendimą ir įpareigojo Palangos miesto savivaldybės administraciją per 20 darbo dienų nuo teismo sprendimo įsiteisėjimo dienos patenkinti UAB „Jūros Smeltė“ 2015 m. gegužės 22 d. prašymą ir išduoti leidimą prekiauti ar teikti paslaugas viešoje vietoje. </w:t>
      </w:r>
    </w:p>
    <w:p w:rsidR="006B423B" w:rsidRPr="00B90026" w:rsidRDefault="0083103A" w:rsidP="00A213E6">
      <w:pPr>
        <w:ind w:firstLine="567"/>
        <w:jc w:val="both"/>
        <w:rPr>
          <w:rFonts w:asciiTheme="minorHAnsi" w:hAnsiTheme="minorHAnsi" w:cstheme="minorHAnsi"/>
          <w:color w:val="000000"/>
          <w:sz w:val="22"/>
          <w:szCs w:val="22"/>
        </w:rPr>
      </w:pPr>
      <w:r w:rsidRPr="003805D9">
        <w:rPr>
          <w:rFonts w:asciiTheme="minorHAnsi" w:hAnsiTheme="minorHAnsi" w:cstheme="minorHAnsi"/>
          <w:color w:val="000000"/>
          <w:sz w:val="22"/>
          <w:szCs w:val="22"/>
        </w:rPr>
        <w:t>LVAT teisėjų kolegija, pasisakydama dėl atsakovo argumento, kad teismas negalėjo jo įpareigoti išduoti leidimą prekybai, nurodė, jog</w:t>
      </w:r>
      <w:r w:rsidR="006B423B" w:rsidRPr="003805D9">
        <w:rPr>
          <w:rFonts w:asciiTheme="minorHAnsi" w:hAnsiTheme="minorHAnsi" w:cstheme="minorHAnsi"/>
          <w:color w:val="000000"/>
          <w:sz w:val="22"/>
          <w:szCs w:val="22"/>
        </w:rPr>
        <w:t xml:space="preserve"> Palangos miesto savivaldybės administracija 2016 m. vasario 1 d. sprendimu pareiškėjo 2015 m. gegužės 22 d. prašymo netenkino pakartotinai</w:t>
      </w:r>
      <w:r w:rsidR="006B423B" w:rsidRPr="00B90026">
        <w:rPr>
          <w:rFonts w:asciiTheme="minorHAnsi" w:hAnsiTheme="minorHAnsi" w:cstheme="minorHAnsi"/>
          <w:color w:val="000000"/>
          <w:sz w:val="22"/>
          <w:szCs w:val="22"/>
        </w:rPr>
        <w:t>, o tai ir nulėmė teismo įpareigojimą išduoti leidimą.</w:t>
      </w:r>
      <w:r w:rsidRPr="00B90026">
        <w:rPr>
          <w:rFonts w:asciiTheme="minorHAnsi" w:hAnsiTheme="minorHAnsi" w:cstheme="minorHAnsi"/>
          <w:color w:val="000000"/>
          <w:sz w:val="22"/>
          <w:szCs w:val="22"/>
        </w:rPr>
        <w:t xml:space="preserve"> </w:t>
      </w:r>
      <w:r w:rsidR="006B423B" w:rsidRPr="00B90026">
        <w:rPr>
          <w:rFonts w:asciiTheme="minorHAnsi" w:hAnsiTheme="minorHAnsi" w:cstheme="minorHAnsi"/>
          <w:color w:val="000000"/>
          <w:sz w:val="22"/>
          <w:szCs w:val="22"/>
        </w:rPr>
        <w:t>LVAT teisėjų kolegijos vertinimu, tokio pobūdžio įpareigojimas, atsižvelgiant į šios bylos aplinkybes, visiškai teisėtas bei pagrįstas.</w:t>
      </w:r>
    </w:p>
    <w:p w:rsidR="00A213E6" w:rsidRPr="00B90026" w:rsidRDefault="00A213E6" w:rsidP="00A213E6">
      <w:pPr>
        <w:jc w:val="both"/>
        <w:rPr>
          <w:rFonts w:asciiTheme="minorHAnsi" w:hAnsiTheme="minorHAnsi" w:cstheme="minorHAnsi"/>
          <w:color w:val="000000"/>
          <w:sz w:val="22"/>
          <w:szCs w:val="22"/>
        </w:rPr>
      </w:pPr>
    </w:p>
    <w:p w:rsidR="00A213E6" w:rsidRPr="00B90026" w:rsidRDefault="006B423B" w:rsidP="00A213E6">
      <w:pPr>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2017 m. lapkričio 8 d. nutartis administracinėje byloje Nr. eA-1640-556/2017</w:t>
      </w:r>
    </w:p>
    <w:p w:rsidR="00A213E6" w:rsidRPr="00B90026" w:rsidRDefault="006B423B" w:rsidP="00A213E6">
      <w:pPr>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Teisminio proceso Nr. 3-63-3-00127-2016-4</w:t>
      </w:r>
    </w:p>
    <w:p w:rsidR="00A213E6" w:rsidRPr="00B90026" w:rsidRDefault="006B423B" w:rsidP="00A213E6">
      <w:pPr>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Procesinio sprendimo kategorija 24.4</w:t>
      </w:r>
    </w:p>
    <w:p w:rsidR="006B423B" w:rsidRPr="00B90026" w:rsidRDefault="007E1236" w:rsidP="00A213E6">
      <w:pPr>
        <w:jc w:val="both"/>
        <w:rPr>
          <w:rFonts w:asciiTheme="minorHAnsi" w:hAnsiTheme="minorHAnsi" w:cstheme="minorHAnsi"/>
          <w:color w:val="000000"/>
          <w:sz w:val="22"/>
          <w:szCs w:val="22"/>
        </w:rPr>
      </w:pPr>
      <w:hyperlink r:id="rId21" w:history="1">
        <w:r w:rsidR="00A213E6" w:rsidRPr="00B90026">
          <w:rPr>
            <w:rStyle w:val="Hipersaitas"/>
            <w:rFonts w:asciiTheme="minorHAnsi" w:hAnsiTheme="minorHAnsi" w:cstheme="minorHAnsi"/>
            <w:sz w:val="22"/>
            <w:szCs w:val="22"/>
          </w:rPr>
          <w:t>Prieiga internete</w:t>
        </w:r>
      </w:hyperlink>
      <w:r w:rsidR="00A213E6" w:rsidRPr="00B90026">
        <w:rPr>
          <w:rFonts w:asciiTheme="minorHAnsi" w:hAnsiTheme="minorHAnsi" w:cstheme="minorHAnsi"/>
          <w:color w:val="000000"/>
          <w:sz w:val="22"/>
          <w:szCs w:val="22"/>
        </w:rPr>
        <w:t xml:space="preserve"> </w:t>
      </w:r>
    </w:p>
    <w:p w:rsidR="006B423B" w:rsidRPr="00B90026" w:rsidRDefault="006B423B" w:rsidP="0098087E">
      <w:pPr>
        <w:pStyle w:val="Apzvalgai1"/>
        <w:rPr>
          <w:rFonts w:asciiTheme="minorHAnsi" w:hAnsiTheme="minorHAnsi" w:cstheme="minorHAnsi"/>
          <w:b w:val="0"/>
          <w:u w:val="none"/>
        </w:rPr>
      </w:pPr>
    </w:p>
    <w:p w:rsidR="005D166D" w:rsidRPr="00B90026" w:rsidRDefault="005D166D" w:rsidP="00363C0B">
      <w:pPr>
        <w:pStyle w:val="Apzvalgai1"/>
        <w:rPr>
          <w:rFonts w:asciiTheme="minorHAnsi" w:hAnsiTheme="minorHAnsi" w:cstheme="minorHAnsi"/>
        </w:rPr>
      </w:pPr>
      <w:bookmarkStart w:id="52" w:name="_Toc505787260"/>
      <w:r w:rsidRPr="00B90026">
        <w:rPr>
          <w:rFonts w:asciiTheme="minorHAnsi" w:hAnsiTheme="minorHAnsi" w:cstheme="minorHAnsi"/>
        </w:rPr>
        <w:t>27. Visuomenės informavimas</w:t>
      </w:r>
      <w:bookmarkEnd w:id="52"/>
    </w:p>
    <w:p w:rsidR="005D166D" w:rsidRPr="00B90026" w:rsidRDefault="005D166D" w:rsidP="005D166D">
      <w:pPr>
        <w:ind w:firstLine="567"/>
        <w:jc w:val="both"/>
        <w:rPr>
          <w:rFonts w:asciiTheme="minorHAnsi" w:hAnsiTheme="minorHAnsi" w:cstheme="minorHAnsi"/>
          <w:b/>
          <w:sz w:val="22"/>
          <w:szCs w:val="22"/>
          <w:u w:val="single"/>
        </w:rPr>
      </w:pPr>
      <w:r w:rsidRPr="00B90026">
        <w:rPr>
          <w:rFonts w:asciiTheme="minorHAnsi" w:hAnsiTheme="minorHAnsi" w:cstheme="minorHAnsi"/>
          <w:b/>
          <w:sz w:val="22"/>
          <w:szCs w:val="22"/>
          <w:u w:val="single"/>
        </w:rPr>
        <w:t>27.3. Žurnalistų ir leidėjų etikos komisijos sprendimai</w:t>
      </w:r>
    </w:p>
    <w:p w:rsidR="005D166D" w:rsidRPr="00B90026" w:rsidRDefault="005D166D" w:rsidP="005D166D">
      <w:pPr>
        <w:jc w:val="both"/>
        <w:rPr>
          <w:rFonts w:asciiTheme="minorHAnsi" w:hAnsiTheme="minorHAnsi" w:cstheme="minorHAnsi"/>
          <w:i/>
          <w:sz w:val="22"/>
          <w:szCs w:val="22"/>
        </w:rPr>
      </w:pPr>
    </w:p>
    <w:p w:rsidR="005D166D" w:rsidRPr="00B90026" w:rsidRDefault="005D166D" w:rsidP="00363C0B">
      <w:pPr>
        <w:pStyle w:val="Antrat2"/>
      </w:pPr>
      <w:bookmarkStart w:id="53" w:name="_Toc505787261"/>
      <w:r w:rsidRPr="00B90026">
        <w:t xml:space="preserve">Dėl </w:t>
      </w:r>
      <w:r w:rsidR="007E3ADF">
        <w:t xml:space="preserve">atsakymo teisės suteikimo kritikuojamam asmeniui </w:t>
      </w:r>
      <w:r w:rsidR="007E3ADF" w:rsidRPr="00F6321A">
        <w:t>prieš paskelbiant informaciją</w:t>
      </w:r>
      <w:bookmarkEnd w:id="53"/>
      <w:r w:rsidR="007E3ADF" w:rsidRPr="00F6321A">
        <w:t xml:space="preserve"> </w:t>
      </w:r>
    </w:p>
    <w:p w:rsidR="005D166D" w:rsidRPr="00B90026" w:rsidRDefault="005D166D" w:rsidP="005D166D">
      <w:pPr>
        <w:ind w:firstLine="567"/>
        <w:jc w:val="both"/>
        <w:rPr>
          <w:rFonts w:asciiTheme="minorHAnsi" w:hAnsiTheme="minorHAnsi" w:cstheme="minorHAnsi"/>
          <w:sz w:val="22"/>
          <w:szCs w:val="22"/>
        </w:rPr>
      </w:pPr>
    </w:p>
    <w:p w:rsidR="005D166D" w:rsidRPr="00B90026" w:rsidRDefault="005D166D" w:rsidP="005D166D">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Nagrinėtos bylos dalykas </w:t>
      </w:r>
      <w:r w:rsidR="00F6321A">
        <w:rPr>
          <w:rFonts w:asciiTheme="minorHAnsi" w:hAnsiTheme="minorHAnsi" w:cstheme="minorHAnsi"/>
          <w:sz w:val="22"/>
          <w:szCs w:val="22"/>
        </w:rPr>
        <w:t>buvo</w:t>
      </w:r>
      <w:r w:rsidRPr="00B90026">
        <w:rPr>
          <w:rFonts w:asciiTheme="minorHAnsi" w:hAnsiTheme="minorHAnsi" w:cstheme="minorHAnsi"/>
          <w:sz w:val="22"/>
          <w:szCs w:val="22"/>
        </w:rPr>
        <w:t xml:space="preserve"> Visuomenės informavimo etikos asociacijos Visuomenės informavimo etikos komisijos (toliau – Komisija) sprendimo, kuriuo pareiškėjas VšĮ „Kantri medija“ dėl publikacijos laikraštyje „Mano Druskininkai“ pripažintas pažeidusiu Lietuvos žurnalistų ir leidėjų etikos kodekso 3 straipsnį ir 22 straipsnio 2 dalį, teisėtumas ir pagrįstumas.</w:t>
      </w:r>
    </w:p>
    <w:p w:rsidR="00C07BAE" w:rsidRPr="00B90026" w:rsidRDefault="005D166D" w:rsidP="005D166D">
      <w:pPr>
        <w:ind w:firstLine="567"/>
        <w:jc w:val="both"/>
        <w:rPr>
          <w:rFonts w:asciiTheme="minorHAnsi" w:hAnsiTheme="minorHAnsi" w:cstheme="minorHAnsi"/>
          <w:sz w:val="22"/>
          <w:szCs w:val="22"/>
        </w:rPr>
      </w:pPr>
      <w:r w:rsidRPr="00B90026">
        <w:rPr>
          <w:rFonts w:asciiTheme="minorHAnsi" w:hAnsiTheme="minorHAnsi" w:cstheme="minorHAnsi"/>
          <w:sz w:val="22"/>
          <w:szCs w:val="22"/>
        </w:rPr>
        <w:t>Vertindama pareiškėjo apeliacinio skundo teiginį, kad, nesant teisinio reguliavimo, nustatančio konkrečią nuomonių įvairovės sąvoką, atsakovas neturi teisinio pagrindo plečiamai aiškinti Etikos kodekso nuostatas, LVAT teisėjų kolegija pažymėjo, kad Etikos kodekso 3 straipsnis įpareigoja žurnalistus ir viešosios informacijos rengėjus skelbti tikslias, teisingas žinias ir įvairias nuomones, o pateikiant įvairias nuomones, neskleisti nuomonių, kurios pažeistų teisę bei etiką. Remiantis L</w:t>
      </w:r>
      <w:r w:rsidR="002B49B9" w:rsidRPr="00B90026">
        <w:rPr>
          <w:rFonts w:asciiTheme="minorHAnsi" w:hAnsiTheme="minorHAnsi" w:cstheme="minorHAnsi"/>
          <w:sz w:val="22"/>
          <w:szCs w:val="22"/>
        </w:rPr>
        <w:t xml:space="preserve">VAT </w:t>
      </w:r>
      <w:r w:rsidRPr="00B90026">
        <w:rPr>
          <w:rFonts w:asciiTheme="minorHAnsi" w:hAnsiTheme="minorHAnsi" w:cstheme="minorHAnsi"/>
          <w:sz w:val="22"/>
          <w:szCs w:val="22"/>
        </w:rPr>
        <w:t xml:space="preserve">praktika, Etikos kodekso 3 straipsnis reikalauja ne tik skleisti teisingas žinias, bet ir išklausyti suinteresuotus asmenis, pateikti alternatyvias nuomones, taip užtikrinant jų įvairovę. Komisija </w:t>
      </w:r>
      <w:r w:rsidR="00C07BAE" w:rsidRPr="00B90026">
        <w:rPr>
          <w:rFonts w:asciiTheme="minorHAnsi" w:hAnsiTheme="minorHAnsi" w:cstheme="minorHAnsi"/>
          <w:sz w:val="22"/>
          <w:szCs w:val="22"/>
        </w:rPr>
        <w:t xml:space="preserve">ginčo </w:t>
      </w:r>
      <w:r w:rsidRPr="00B90026">
        <w:rPr>
          <w:rFonts w:asciiTheme="minorHAnsi" w:hAnsiTheme="minorHAnsi" w:cstheme="minorHAnsi"/>
          <w:sz w:val="22"/>
          <w:szCs w:val="22"/>
        </w:rPr>
        <w:t>sprendimu Etikos kodekso 3 straipsnio nuostatų pažeidimą konstatavo nustačiusi, kad informacija publikacijoje pateikta vienpusiškai, nepateikiant kitų nuomonių. LVAT teisėjų kolegijos vertinimu, toks Etikos kodekso 3 straipsnio normos aiškinimas buvo pagrįstas ir atitiko nagrinė</w:t>
      </w:r>
      <w:r w:rsidR="00C07BAE" w:rsidRPr="00B90026">
        <w:rPr>
          <w:rFonts w:asciiTheme="minorHAnsi" w:hAnsiTheme="minorHAnsi" w:cstheme="minorHAnsi"/>
          <w:sz w:val="22"/>
          <w:szCs w:val="22"/>
        </w:rPr>
        <w:t xml:space="preserve">toje </w:t>
      </w:r>
      <w:r w:rsidRPr="00B90026">
        <w:rPr>
          <w:rFonts w:asciiTheme="minorHAnsi" w:hAnsiTheme="minorHAnsi" w:cstheme="minorHAnsi"/>
          <w:sz w:val="22"/>
          <w:szCs w:val="22"/>
        </w:rPr>
        <w:t>byloje susiklosčiusią situaciją, nes publikacijoje aprašant konfliktinę situaciją, buvo pateikta tik vienos iš šio konflikto pusių pozicija, todėl tai negali būti laikoma nuomonių (pozicijų) įvairovės užtikrinimu Etikos kodekso 3 straipsnio prasme.</w:t>
      </w:r>
    </w:p>
    <w:p w:rsidR="00C07BAE" w:rsidRPr="00F6321A" w:rsidRDefault="005D166D" w:rsidP="005D166D">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Vertindamas pareiškėjo teiginį dėl viešam asmeniui taikomų platesnių kritikos ribų, LVAT pažymėjo, jog šios normos aiškinimui ir taikymui neturi reikšmės pareiškėjo nurodyta aplinkybė, kad V. S. yra viešas asmuo, kadangi </w:t>
      </w:r>
      <w:r w:rsidRPr="00B90026">
        <w:rPr>
          <w:rFonts w:asciiTheme="minorHAnsi" w:hAnsiTheme="minorHAnsi" w:cstheme="minorHAnsi"/>
          <w:sz w:val="22"/>
          <w:szCs w:val="22"/>
          <w:u w:val="single"/>
        </w:rPr>
        <w:t>viešo asmens didesnis kritikos toleravimas negali būti siejamas su pareigos pateikti alternatyvias nuomones nevykdymu</w:t>
      </w:r>
      <w:r w:rsidRPr="00B90026">
        <w:rPr>
          <w:rFonts w:asciiTheme="minorHAnsi" w:hAnsiTheme="minorHAnsi" w:cstheme="minorHAnsi"/>
          <w:sz w:val="22"/>
          <w:szCs w:val="22"/>
        </w:rPr>
        <w:t xml:space="preserve">. Nors viešieji asmenys turėtų būti atsparesni reiškiamoms nuomonėms ir kritikai, tačiau ši kritika turi būti pagrįsta ir objektyvi, netendencinga, reiškiama sąžiningai ir etiškai, sąmoningai nenuslepiant ir neiškraipant faktų ir duomenų, neįžeidžiant asmens, nesiekiant jo žeminti ir menkinti, o turint pozityvų tikslą – išryškinti asmens ar jo veiklos trūkumus ir siekiant juos pašalinti. Priešingu atveju kritikos paskelbimas neatitiktų demokratinės visuomenės interesų, nes ji iškreiptų materialios tikrovės faktus, formuotų jos neatitinkančias, niekuo nepagrįstas nuomones, ir tai prieštarautų pliuralizmo, tolerancijos ir liberalumo, be kurių nėra „demokratinės </w:t>
      </w:r>
      <w:r w:rsidRPr="00F6321A">
        <w:rPr>
          <w:rFonts w:asciiTheme="minorHAnsi" w:hAnsiTheme="minorHAnsi" w:cstheme="minorHAnsi"/>
          <w:sz w:val="22"/>
          <w:szCs w:val="22"/>
        </w:rPr>
        <w:t>visuomenės“, reikalavimų esmei.</w:t>
      </w:r>
    </w:p>
    <w:p w:rsidR="005D166D" w:rsidRPr="00B90026" w:rsidRDefault="005D166D" w:rsidP="005D166D">
      <w:pPr>
        <w:ind w:firstLine="567"/>
        <w:jc w:val="both"/>
        <w:rPr>
          <w:rFonts w:asciiTheme="minorHAnsi" w:hAnsiTheme="minorHAnsi" w:cstheme="minorHAnsi"/>
          <w:sz w:val="22"/>
          <w:szCs w:val="22"/>
        </w:rPr>
      </w:pPr>
      <w:r w:rsidRPr="00F6321A">
        <w:rPr>
          <w:rFonts w:asciiTheme="minorHAnsi" w:hAnsiTheme="minorHAnsi" w:cstheme="minorHAnsi"/>
          <w:sz w:val="22"/>
          <w:szCs w:val="22"/>
        </w:rPr>
        <w:lastRenderedPageBreak/>
        <w:t>Pareiškėjo apeliacinio skundo argumentus, kad pats V. S. nesikreipė į redakciją su reikalavimu paneigti informaciją ir tai vertintina kaip sutikimas su publikacijoje išsakyta nuomone, LVAT atmetė</w:t>
      </w:r>
      <w:r w:rsidR="00C07BAE" w:rsidRPr="00F6321A">
        <w:rPr>
          <w:rFonts w:asciiTheme="minorHAnsi" w:hAnsiTheme="minorHAnsi" w:cstheme="minorHAnsi"/>
          <w:sz w:val="22"/>
          <w:szCs w:val="22"/>
        </w:rPr>
        <w:t>,</w:t>
      </w:r>
      <w:r w:rsidRPr="00F6321A">
        <w:rPr>
          <w:rFonts w:asciiTheme="minorHAnsi" w:hAnsiTheme="minorHAnsi" w:cstheme="minorHAnsi"/>
          <w:sz w:val="22"/>
          <w:szCs w:val="22"/>
        </w:rPr>
        <w:t xml:space="preserve"> nurodydamas, kad Etikos kodeksas nustato dar prieš paskelbiant informaciją kritikuojamam asmeniui suteikti atsakymo teisę ir tai turi padaryti žiniasklaidos atstovai – kreiptis į kritikuojamą asmenį dėl to, ar jis pageidaus pasinaudoti atsakymo teise. Kodeksas nenustato pareigos pačiam kritikuojamam asmeniui prašyti, kreiptis į žiniasklaidos priemonę pasinaudoti atsakymo</w:t>
      </w:r>
      <w:r w:rsidRPr="00B90026">
        <w:rPr>
          <w:rFonts w:asciiTheme="minorHAnsi" w:hAnsiTheme="minorHAnsi" w:cstheme="minorHAnsi"/>
          <w:sz w:val="22"/>
          <w:szCs w:val="22"/>
        </w:rPr>
        <w:t xml:space="preserve"> teise. </w:t>
      </w:r>
    </w:p>
    <w:p w:rsidR="005D166D" w:rsidRPr="00B90026" w:rsidRDefault="005D166D" w:rsidP="005D166D">
      <w:pPr>
        <w:ind w:firstLine="567"/>
        <w:jc w:val="both"/>
        <w:rPr>
          <w:rFonts w:asciiTheme="minorHAnsi" w:hAnsiTheme="minorHAnsi" w:cstheme="minorHAnsi"/>
          <w:sz w:val="22"/>
          <w:szCs w:val="22"/>
        </w:rPr>
      </w:pPr>
      <w:r w:rsidRPr="00B90026">
        <w:rPr>
          <w:rFonts w:asciiTheme="minorHAnsi" w:hAnsiTheme="minorHAnsi" w:cstheme="minorHAnsi"/>
          <w:sz w:val="22"/>
          <w:szCs w:val="22"/>
        </w:rPr>
        <w:t>LVAT kritiškai vertino ir pareiškėjo teiginius, kad publikacija buvo atsakas į anksčiau pasirodžiusius straipsnius kitose viešojo informavimo priemonėse, o V. S. yra negatyviai nusiteikęs leidinio atžvilgiu ir atsisako teikti atsakymus į jam teikiamus klausimus. Etikos kodekso 22 straipsnio 2 dalyje įtvirtintų pareigų vykdymo prasme aplinkybės dėl straipsnių kitose viešojo informavimo priemonėse bei kritikuojamo asmens požiūrio į publikaciją skelbiantį leidinį, LVAT nuomone, apskritai nėra teisiškai reikšmingos. Tuo tarpu tai, kad kritikuojamas asmuo atsisako pasinaudoti atsakymo teise turi būti nurodyta pačioje publikacijoje, tačiau nagrinė</w:t>
      </w:r>
      <w:r w:rsidR="00C07BAE" w:rsidRPr="00B90026">
        <w:rPr>
          <w:rFonts w:asciiTheme="minorHAnsi" w:hAnsiTheme="minorHAnsi" w:cstheme="minorHAnsi"/>
          <w:sz w:val="22"/>
          <w:szCs w:val="22"/>
        </w:rPr>
        <w:t xml:space="preserve">tu </w:t>
      </w:r>
      <w:r w:rsidRPr="00B90026">
        <w:rPr>
          <w:rFonts w:asciiTheme="minorHAnsi" w:hAnsiTheme="minorHAnsi" w:cstheme="minorHAnsi"/>
          <w:sz w:val="22"/>
          <w:szCs w:val="22"/>
        </w:rPr>
        <w:t>atveju tai nebuvo padaryta. Be to, pareiškėjas nei Komisijai, nei pirmosios ar apeliacinės instancijos teismui nepateikė įrodymų, kad dar prieš paskelbdamas ginčo publikaciją</w:t>
      </w:r>
      <w:r w:rsidR="00C07BAE" w:rsidRPr="00B90026">
        <w:rPr>
          <w:rFonts w:asciiTheme="minorHAnsi" w:hAnsiTheme="minorHAnsi" w:cstheme="minorHAnsi"/>
          <w:sz w:val="22"/>
          <w:szCs w:val="22"/>
        </w:rPr>
        <w:t>,</w:t>
      </w:r>
      <w:r w:rsidRPr="00B90026">
        <w:rPr>
          <w:rFonts w:asciiTheme="minorHAnsi" w:hAnsiTheme="minorHAnsi" w:cstheme="minorHAnsi"/>
          <w:sz w:val="22"/>
          <w:szCs w:val="22"/>
        </w:rPr>
        <w:t xml:space="preserve"> jis kreipėsi į V. S. dėl jo pageidavimo pasinaudoti atsakymo teise būtent šioje publikacijoje. </w:t>
      </w:r>
    </w:p>
    <w:p w:rsidR="005D166D" w:rsidRPr="00B90026" w:rsidRDefault="005D166D" w:rsidP="005D166D">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Pareiškėjo teiginį, kad jo atžvilgiu buvo priimti du sprendimai iš esmės tuo pačiu faktiniu pagrindu, tuo pažeidžiant </w:t>
      </w:r>
      <w:r w:rsidRPr="00B90026">
        <w:rPr>
          <w:rFonts w:asciiTheme="minorHAnsi" w:hAnsiTheme="minorHAnsi" w:cstheme="minorHAnsi"/>
          <w:i/>
          <w:sz w:val="22"/>
          <w:szCs w:val="22"/>
        </w:rPr>
        <w:t xml:space="preserve">non bis </w:t>
      </w:r>
      <w:r w:rsidR="00F6321A">
        <w:rPr>
          <w:rFonts w:asciiTheme="minorHAnsi" w:hAnsiTheme="minorHAnsi" w:cstheme="minorHAnsi"/>
          <w:i/>
          <w:sz w:val="22"/>
          <w:szCs w:val="22"/>
        </w:rPr>
        <w:t>in</w:t>
      </w:r>
      <w:r w:rsidRPr="00B90026">
        <w:rPr>
          <w:rFonts w:asciiTheme="minorHAnsi" w:hAnsiTheme="minorHAnsi" w:cstheme="minorHAnsi"/>
          <w:i/>
          <w:sz w:val="22"/>
          <w:szCs w:val="22"/>
        </w:rPr>
        <w:t xml:space="preserve"> idem</w:t>
      </w:r>
      <w:r w:rsidRPr="00B90026">
        <w:rPr>
          <w:rFonts w:asciiTheme="minorHAnsi" w:hAnsiTheme="minorHAnsi" w:cstheme="minorHAnsi"/>
          <w:sz w:val="22"/>
          <w:szCs w:val="22"/>
        </w:rPr>
        <w:t xml:space="preserve"> principą, LVAT atmetė kaip nepagrįstą nagrinė</w:t>
      </w:r>
      <w:r w:rsidR="00C07BAE" w:rsidRPr="00B90026">
        <w:rPr>
          <w:rFonts w:asciiTheme="minorHAnsi" w:hAnsiTheme="minorHAnsi" w:cstheme="minorHAnsi"/>
          <w:sz w:val="22"/>
          <w:szCs w:val="22"/>
        </w:rPr>
        <w:t>t</w:t>
      </w:r>
      <w:r w:rsidRPr="00B90026">
        <w:rPr>
          <w:rFonts w:asciiTheme="minorHAnsi" w:hAnsiTheme="minorHAnsi" w:cstheme="minorHAnsi"/>
          <w:sz w:val="22"/>
          <w:szCs w:val="22"/>
        </w:rPr>
        <w:t xml:space="preserve">u atveju nustatęs, kad V. S. </w:t>
      </w:r>
      <w:r w:rsidR="00C07BAE" w:rsidRPr="00B90026">
        <w:rPr>
          <w:rFonts w:asciiTheme="minorHAnsi" w:hAnsiTheme="minorHAnsi" w:cstheme="minorHAnsi"/>
          <w:sz w:val="22"/>
          <w:szCs w:val="22"/>
        </w:rPr>
        <w:t xml:space="preserve">su </w:t>
      </w:r>
      <w:r w:rsidRPr="00B90026">
        <w:rPr>
          <w:rFonts w:asciiTheme="minorHAnsi" w:hAnsiTheme="minorHAnsi" w:cstheme="minorHAnsi"/>
          <w:sz w:val="22"/>
          <w:szCs w:val="22"/>
        </w:rPr>
        <w:t>skundu dėl Etikos kodekso nuostatų pažeidimo kreipėsi į Komisiją, tą pačią dieną atskirą skundą dėl publikacijoje skleidžiamos tikrovės neatitinkančios informacijos pateikė ir Žurnalistų etikos inspektoriui. Komisija dėl pareiškėjo skundo priėmė</w:t>
      </w:r>
      <w:r w:rsidR="00C07BAE" w:rsidRPr="00B90026">
        <w:rPr>
          <w:rFonts w:asciiTheme="minorHAnsi" w:hAnsiTheme="minorHAnsi" w:cstheme="minorHAnsi"/>
          <w:sz w:val="22"/>
          <w:szCs w:val="22"/>
        </w:rPr>
        <w:t xml:space="preserve"> apžvelgiamoje byloje ginčytą </w:t>
      </w:r>
      <w:r w:rsidRPr="00B90026">
        <w:rPr>
          <w:rFonts w:asciiTheme="minorHAnsi" w:hAnsiTheme="minorHAnsi" w:cstheme="minorHAnsi"/>
          <w:sz w:val="22"/>
          <w:szCs w:val="22"/>
        </w:rPr>
        <w:t xml:space="preserve">sprendimą, o Žurnalistų etikos inspektorius – </w:t>
      </w:r>
      <w:r w:rsidR="00C07BAE" w:rsidRPr="00B90026">
        <w:rPr>
          <w:rFonts w:asciiTheme="minorHAnsi" w:hAnsiTheme="minorHAnsi" w:cstheme="minorHAnsi"/>
          <w:sz w:val="22"/>
          <w:szCs w:val="22"/>
        </w:rPr>
        <w:t xml:space="preserve">kitą </w:t>
      </w:r>
      <w:r w:rsidRPr="00B90026">
        <w:rPr>
          <w:rFonts w:asciiTheme="minorHAnsi" w:hAnsiTheme="minorHAnsi" w:cstheme="minorHAnsi"/>
          <w:sz w:val="22"/>
          <w:szCs w:val="22"/>
        </w:rPr>
        <w:t>sprendimą</w:t>
      </w:r>
      <w:r w:rsidR="00C07BAE" w:rsidRPr="00B90026">
        <w:rPr>
          <w:rFonts w:asciiTheme="minorHAnsi" w:hAnsiTheme="minorHAnsi" w:cstheme="minorHAnsi"/>
          <w:sz w:val="22"/>
          <w:szCs w:val="22"/>
        </w:rPr>
        <w:t xml:space="preserve">. </w:t>
      </w:r>
      <w:r w:rsidRPr="00B90026">
        <w:rPr>
          <w:rFonts w:asciiTheme="minorHAnsi" w:hAnsiTheme="minorHAnsi" w:cstheme="minorHAnsi"/>
          <w:sz w:val="22"/>
          <w:szCs w:val="22"/>
        </w:rPr>
        <w:t xml:space="preserve">Šiuo aspektu LVAT pažymėjo, jog Žurnalistų etikos inspektorius ir Komisija yra skirtingi savarankiški subjektai, priimantys savarankiškus sprendimus, veikiantys skirtingų teisės aktų pagrindu, įgyvendinantys iš esmės skirtingas funkcijas ir turintys skirtingą kompetenciją. Komisija, priimdama </w:t>
      </w:r>
      <w:r w:rsidR="00C07BAE" w:rsidRPr="00B90026">
        <w:rPr>
          <w:rFonts w:asciiTheme="minorHAnsi" w:hAnsiTheme="minorHAnsi" w:cstheme="minorHAnsi"/>
          <w:sz w:val="22"/>
          <w:szCs w:val="22"/>
        </w:rPr>
        <w:t xml:space="preserve">ginčo </w:t>
      </w:r>
      <w:r w:rsidRPr="00B90026">
        <w:rPr>
          <w:rFonts w:asciiTheme="minorHAnsi" w:hAnsiTheme="minorHAnsi" w:cstheme="minorHAnsi"/>
          <w:sz w:val="22"/>
          <w:szCs w:val="22"/>
        </w:rPr>
        <w:t>sprendimą, vertino viešosios informacijos rengėjo veiklos atitiktį Etikos kodekso 3 straipsnio ir 22 straipsnio 2</w:t>
      </w:r>
      <w:r w:rsidR="00877EAA">
        <w:rPr>
          <w:rFonts w:asciiTheme="minorHAnsi" w:hAnsiTheme="minorHAnsi" w:cstheme="minorHAnsi"/>
          <w:sz w:val="22"/>
          <w:szCs w:val="22"/>
        </w:rPr>
        <w:t> </w:t>
      </w:r>
      <w:r w:rsidRPr="00B90026">
        <w:rPr>
          <w:rFonts w:asciiTheme="minorHAnsi" w:hAnsiTheme="minorHAnsi" w:cstheme="minorHAnsi"/>
          <w:sz w:val="22"/>
          <w:szCs w:val="22"/>
        </w:rPr>
        <w:t>dalies reikalavimams. Tuo tarpu Žurnalistų etikos inspektoriui Visuomenės informavimo įstatymo 50</w:t>
      </w:r>
      <w:r w:rsidR="00877EAA">
        <w:rPr>
          <w:rFonts w:asciiTheme="minorHAnsi" w:hAnsiTheme="minorHAnsi" w:cstheme="minorHAnsi"/>
          <w:sz w:val="22"/>
          <w:szCs w:val="22"/>
        </w:rPr>
        <w:t> </w:t>
      </w:r>
      <w:r w:rsidRPr="00B90026">
        <w:rPr>
          <w:rFonts w:asciiTheme="minorHAnsi" w:hAnsiTheme="minorHAnsi" w:cstheme="minorHAnsi"/>
          <w:sz w:val="22"/>
          <w:szCs w:val="22"/>
        </w:rPr>
        <w:t xml:space="preserve">straipsnio 1 dalyje nustatyta kita kompetencija, todėl Komisijos sprendimu bei Žurnalistų etikos inspektoriaus sprendimu sprendžiamų klausimų dalykas skiriasi iš esmės, jais publikacija buvo vertinama skirtingais aspektais. Todėl šiuo atveju nėra </w:t>
      </w:r>
      <w:r w:rsidRPr="00B90026">
        <w:rPr>
          <w:rFonts w:asciiTheme="minorHAnsi" w:hAnsiTheme="minorHAnsi" w:cstheme="minorHAnsi"/>
          <w:i/>
          <w:sz w:val="22"/>
          <w:szCs w:val="22"/>
        </w:rPr>
        <w:t xml:space="preserve">non bis </w:t>
      </w:r>
      <w:r w:rsidR="00F6321A">
        <w:rPr>
          <w:rFonts w:asciiTheme="minorHAnsi" w:hAnsiTheme="minorHAnsi" w:cstheme="minorHAnsi"/>
          <w:i/>
          <w:sz w:val="22"/>
          <w:szCs w:val="22"/>
        </w:rPr>
        <w:t>in</w:t>
      </w:r>
      <w:r w:rsidRPr="00B90026">
        <w:rPr>
          <w:rFonts w:asciiTheme="minorHAnsi" w:hAnsiTheme="minorHAnsi" w:cstheme="minorHAnsi"/>
          <w:i/>
          <w:sz w:val="22"/>
          <w:szCs w:val="22"/>
        </w:rPr>
        <w:t xml:space="preserve"> idem</w:t>
      </w:r>
      <w:r w:rsidRPr="00B90026">
        <w:rPr>
          <w:rFonts w:asciiTheme="minorHAnsi" w:hAnsiTheme="minorHAnsi" w:cstheme="minorHAnsi"/>
          <w:sz w:val="22"/>
          <w:szCs w:val="22"/>
        </w:rPr>
        <w:t xml:space="preserve"> principo pažeidimo.</w:t>
      </w:r>
    </w:p>
    <w:p w:rsidR="00AD4F42" w:rsidRPr="00B90026" w:rsidRDefault="005D166D" w:rsidP="005D166D">
      <w:pPr>
        <w:ind w:firstLine="567"/>
        <w:jc w:val="both"/>
        <w:rPr>
          <w:rFonts w:asciiTheme="minorHAnsi" w:hAnsiTheme="minorHAnsi" w:cstheme="minorHAnsi"/>
          <w:sz w:val="22"/>
          <w:szCs w:val="22"/>
        </w:rPr>
      </w:pPr>
      <w:r w:rsidRPr="00B90026">
        <w:rPr>
          <w:rFonts w:asciiTheme="minorHAnsi" w:hAnsiTheme="minorHAnsi" w:cstheme="minorHAnsi"/>
          <w:sz w:val="22"/>
          <w:szCs w:val="22"/>
        </w:rPr>
        <w:t> Pareiškėjas taip pat skundėsi, kad įstatymų leidėjas Komisijai nesuteikia įgaliojimų skirti sankcijas, nenumato jų rūšių, galiojimo terminų, tačiau LVAT nurodė, kad Komisijai teisės aktais ne tik yra suteikti įgaliojimai nagrinėti viešosios informacijos rengėjų ir skleidėjų padarytus Etikos kodekso pažeidimus bei priimti dėl to sprendimus, tačiau Visuomenės informavimo įstatymas imperatyviai nustato pareigą Komisijos sprendimus dėl profesinės etikos pažeidimų nedelsiant paskelbti tose pačiose visuomenės informavimo priemonėse, kuriose šie pažeidimai buvo nustatyti. Visuomenės informavimo įstatymo 46</w:t>
      </w:r>
      <w:r w:rsidRPr="00B90026">
        <w:rPr>
          <w:rFonts w:asciiTheme="minorHAnsi" w:hAnsiTheme="minorHAnsi" w:cstheme="minorHAnsi"/>
          <w:sz w:val="22"/>
          <w:szCs w:val="22"/>
          <w:vertAlign w:val="superscript"/>
        </w:rPr>
        <w:t>1</w:t>
      </w:r>
      <w:r w:rsidRPr="00B90026">
        <w:rPr>
          <w:rFonts w:asciiTheme="minorHAnsi" w:hAnsiTheme="minorHAnsi" w:cstheme="minorHAnsi"/>
          <w:sz w:val="22"/>
          <w:szCs w:val="22"/>
        </w:rPr>
        <w:t xml:space="preserve"> straipsnio 6 dalyje įtvirtintos ir tokio reikalavimo nesilaikymo pasekmės. Taigi </w:t>
      </w:r>
      <w:r w:rsidR="00AD4F42" w:rsidRPr="00B90026">
        <w:rPr>
          <w:rFonts w:asciiTheme="minorHAnsi" w:hAnsiTheme="minorHAnsi" w:cstheme="minorHAnsi"/>
          <w:sz w:val="22"/>
          <w:szCs w:val="22"/>
        </w:rPr>
        <w:t xml:space="preserve">LVAT </w:t>
      </w:r>
      <w:r w:rsidRPr="00B90026">
        <w:rPr>
          <w:rFonts w:asciiTheme="minorHAnsi" w:hAnsiTheme="minorHAnsi" w:cstheme="minorHAnsi"/>
          <w:sz w:val="22"/>
          <w:szCs w:val="22"/>
        </w:rPr>
        <w:t>teisėjų kolegija konstatavo, jog priimdama</w:t>
      </w:r>
      <w:r w:rsidR="00AD4F42" w:rsidRPr="00B90026">
        <w:rPr>
          <w:rFonts w:asciiTheme="minorHAnsi" w:hAnsiTheme="minorHAnsi" w:cstheme="minorHAnsi"/>
          <w:sz w:val="22"/>
          <w:szCs w:val="22"/>
        </w:rPr>
        <w:t xml:space="preserve"> ginčo </w:t>
      </w:r>
      <w:r w:rsidRPr="00B90026">
        <w:rPr>
          <w:rFonts w:asciiTheme="minorHAnsi" w:hAnsiTheme="minorHAnsi" w:cstheme="minorHAnsi"/>
          <w:sz w:val="22"/>
          <w:szCs w:val="22"/>
        </w:rPr>
        <w:t>sprendimą bei įpareigodama pareiškėją šį sprendimą paskelbti laikraštyje „Mano Druskininkai“, Komisija savo įgaliojimų neviršijo.</w:t>
      </w:r>
    </w:p>
    <w:p w:rsidR="005D166D" w:rsidRPr="00B90026" w:rsidRDefault="005D166D" w:rsidP="005D166D">
      <w:pPr>
        <w:ind w:firstLine="567"/>
        <w:jc w:val="both"/>
        <w:rPr>
          <w:rFonts w:asciiTheme="minorHAnsi" w:hAnsiTheme="minorHAnsi" w:cstheme="minorHAnsi"/>
          <w:sz w:val="22"/>
          <w:szCs w:val="22"/>
        </w:rPr>
      </w:pPr>
      <w:r w:rsidRPr="00B90026">
        <w:rPr>
          <w:rFonts w:asciiTheme="minorHAnsi" w:hAnsiTheme="minorHAnsi" w:cstheme="minorHAnsi"/>
          <w:sz w:val="22"/>
          <w:szCs w:val="22"/>
        </w:rPr>
        <w:t>Pareiškėjo apeliacinis skundas atmestas, pirmosios instancijos teismo sprendimas paliktas nepakeistas.</w:t>
      </w:r>
    </w:p>
    <w:p w:rsidR="005D166D" w:rsidRPr="00B90026" w:rsidRDefault="005D166D" w:rsidP="005D166D">
      <w:pPr>
        <w:ind w:firstLine="567"/>
        <w:jc w:val="both"/>
        <w:rPr>
          <w:rFonts w:asciiTheme="minorHAnsi" w:hAnsiTheme="minorHAnsi" w:cstheme="minorHAnsi"/>
          <w:sz w:val="22"/>
          <w:szCs w:val="22"/>
        </w:rPr>
      </w:pPr>
    </w:p>
    <w:p w:rsidR="005D166D" w:rsidRPr="00B90026" w:rsidRDefault="005D166D" w:rsidP="005D166D">
      <w:pPr>
        <w:jc w:val="both"/>
        <w:rPr>
          <w:rFonts w:asciiTheme="minorHAnsi" w:hAnsiTheme="minorHAnsi" w:cstheme="minorHAnsi"/>
          <w:sz w:val="22"/>
          <w:szCs w:val="22"/>
        </w:rPr>
      </w:pPr>
      <w:r w:rsidRPr="00B90026">
        <w:rPr>
          <w:rFonts w:asciiTheme="minorHAnsi" w:hAnsiTheme="minorHAnsi" w:cstheme="minorHAnsi"/>
          <w:sz w:val="22"/>
          <w:szCs w:val="22"/>
        </w:rPr>
        <w:t>2017 m. lapkričio 6 d. nutartis administracinėje byloje Nr. eA-1123-1062/2017</w:t>
      </w:r>
    </w:p>
    <w:p w:rsidR="005D166D" w:rsidRPr="00B90026" w:rsidRDefault="005D166D" w:rsidP="005D166D">
      <w:pPr>
        <w:jc w:val="both"/>
        <w:rPr>
          <w:rFonts w:asciiTheme="minorHAnsi" w:hAnsiTheme="minorHAnsi" w:cstheme="minorHAnsi"/>
          <w:sz w:val="22"/>
          <w:szCs w:val="22"/>
        </w:rPr>
      </w:pPr>
      <w:r w:rsidRPr="00B90026">
        <w:rPr>
          <w:rFonts w:asciiTheme="minorHAnsi" w:hAnsiTheme="minorHAnsi" w:cstheme="minorHAnsi"/>
          <w:sz w:val="22"/>
          <w:szCs w:val="22"/>
        </w:rPr>
        <w:t>Teisminio proceso Nr. 3-61-3-00163-2016-2</w:t>
      </w:r>
    </w:p>
    <w:p w:rsidR="005D166D" w:rsidRPr="00B90026" w:rsidRDefault="005D166D" w:rsidP="005D166D">
      <w:pPr>
        <w:jc w:val="both"/>
        <w:rPr>
          <w:rFonts w:asciiTheme="minorHAnsi" w:hAnsiTheme="minorHAnsi" w:cstheme="minorHAnsi"/>
          <w:sz w:val="22"/>
          <w:szCs w:val="22"/>
        </w:rPr>
      </w:pPr>
      <w:r w:rsidRPr="00B90026">
        <w:rPr>
          <w:rFonts w:asciiTheme="minorHAnsi" w:hAnsiTheme="minorHAnsi" w:cstheme="minorHAnsi"/>
          <w:sz w:val="22"/>
          <w:szCs w:val="22"/>
        </w:rPr>
        <w:t>Procesinio sprendimo kategorija 27.3</w:t>
      </w:r>
    </w:p>
    <w:p w:rsidR="005D166D" w:rsidRPr="00B90026" w:rsidRDefault="007E1236" w:rsidP="005D166D">
      <w:pPr>
        <w:pStyle w:val="prastasiniatinklio"/>
        <w:shd w:val="clear" w:color="auto" w:fill="FFFFFF"/>
        <w:spacing w:before="0" w:beforeAutospacing="0" w:after="0" w:afterAutospacing="0"/>
        <w:jc w:val="both"/>
        <w:rPr>
          <w:rFonts w:asciiTheme="minorHAnsi" w:hAnsiTheme="minorHAnsi" w:cstheme="minorHAnsi"/>
          <w:sz w:val="22"/>
          <w:szCs w:val="22"/>
          <w:lang w:val="lt-LT"/>
        </w:rPr>
      </w:pPr>
      <w:hyperlink r:id="rId22" w:history="1">
        <w:r w:rsidR="005D166D" w:rsidRPr="00B90026">
          <w:rPr>
            <w:rStyle w:val="Hipersaitas"/>
            <w:rFonts w:asciiTheme="minorHAnsi" w:hAnsiTheme="minorHAnsi" w:cstheme="minorHAnsi"/>
            <w:sz w:val="22"/>
            <w:szCs w:val="22"/>
            <w:lang w:val="lt-LT"/>
          </w:rPr>
          <w:t>Prieiga internete</w:t>
        </w:r>
      </w:hyperlink>
    </w:p>
    <w:p w:rsidR="00354FA7" w:rsidRPr="00B90026" w:rsidRDefault="00354FA7" w:rsidP="00B91508">
      <w:pPr>
        <w:pStyle w:val="Apzvalgai1"/>
        <w:rPr>
          <w:rFonts w:asciiTheme="minorHAnsi" w:hAnsiTheme="minorHAnsi" w:cstheme="minorHAnsi"/>
        </w:rPr>
      </w:pPr>
    </w:p>
    <w:p w:rsidR="00D404CF" w:rsidRPr="00B90026" w:rsidRDefault="00D404CF" w:rsidP="00363C0B">
      <w:pPr>
        <w:pStyle w:val="Apzvalgai1"/>
        <w:rPr>
          <w:rFonts w:asciiTheme="minorHAnsi" w:hAnsiTheme="minorHAnsi" w:cstheme="minorHAnsi"/>
        </w:rPr>
      </w:pPr>
      <w:bookmarkStart w:id="54" w:name="_Toc505787262"/>
      <w:r w:rsidRPr="00B90026">
        <w:rPr>
          <w:rFonts w:asciiTheme="minorHAnsi" w:hAnsiTheme="minorHAnsi" w:cstheme="minorHAnsi"/>
        </w:rPr>
        <w:t>29. Nacionalinių, Europos Sąjungos ir užsienio institucijų finansinė parama</w:t>
      </w:r>
      <w:bookmarkEnd w:id="54"/>
    </w:p>
    <w:p w:rsidR="001C5A1C" w:rsidRPr="00B90026" w:rsidRDefault="005C632B" w:rsidP="00B91508">
      <w:pPr>
        <w:ind w:firstLine="567"/>
        <w:jc w:val="both"/>
        <w:rPr>
          <w:rFonts w:asciiTheme="minorHAnsi" w:hAnsiTheme="minorHAnsi" w:cstheme="minorHAnsi"/>
          <w:b/>
          <w:sz w:val="22"/>
          <w:szCs w:val="22"/>
          <w:u w:val="single"/>
        </w:rPr>
      </w:pPr>
      <w:r w:rsidRPr="00B90026">
        <w:rPr>
          <w:rFonts w:asciiTheme="minorHAnsi" w:hAnsiTheme="minorHAnsi" w:cstheme="minorHAnsi"/>
          <w:b/>
          <w:sz w:val="22"/>
          <w:szCs w:val="22"/>
          <w:u w:val="single"/>
        </w:rPr>
        <w:t xml:space="preserve">29.1. </w:t>
      </w:r>
      <w:r w:rsidR="001C5A1C" w:rsidRPr="00B90026">
        <w:rPr>
          <w:rFonts w:asciiTheme="minorHAnsi" w:hAnsiTheme="minorHAnsi" w:cstheme="minorHAnsi"/>
          <w:b/>
          <w:sz w:val="22"/>
          <w:szCs w:val="22"/>
          <w:u w:val="single"/>
        </w:rPr>
        <w:t>Paraiškų administravimas</w:t>
      </w:r>
    </w:p>
    <w:p w:rsidR="001C5A1C" w:rsidRPr="00B90026" w:rsidRDefault="001C5A1C" w:rsidP="001C5A1C">
      <w:pPr>
        <w:ind w:firstLine="1134"/>
        <w:jc w:val="both"/>
        <w:rPr>
          <w:rFonts w:asciiTheme="minorHAnsi" w:hAnsiTheme="minorHAnsi" w:cstheme="minorHAnsi"/>
          <w:b/>
          <w:sz w:val="22"/>
          <w:szCs w:val="22"/>
          <w:u w:val="single"/>
        </w:rPr>
      </w:pPr>
      <w:r w:rsidRPr="00B90026">
        <w:rPr>
          <w:rFonts w:asciiTheme="minorHAnsi" w:hAnsiTheme="minorHAnsi" w:cstheme="minorHAnsi"/>
          <w:b/>
          <w:sz w:val="22"/>
          <w:szCs w:val="22"/>
          <w:u w:val="single"/>
        </w:rPr>
        <w:t>29.1.3. Išmokų, išmokėtų ir (arba) panaudotų pažeidžiant teisės aktus, grąžinimas ir išieškojimas</w:t>
      </w:r>
    </w:p>
    <w:p w:rsidR="001C5A1C" w:rsidRPr="00B90026" w:rsidRDefault="001C5A1C" w:rsidP="001C5A1C">
      <w:pPr>
        <w:jc w:val="both"/>
        <w:rPr>
          <w:rFonts w:asciiTheme="minorHAnsi" w:hAnsiTheme="minorHAnsi" w:cstheme="minorHAnsi"/>
          <w:b/>
          <w:sz w:val="22"/>
          <w:szCs w:val="22"/>
          <w:u w:val="single"/>
        </w:rPr>
      </w:pPr>
    </w:p>
    <w:p w:rsidR="007463FF" w:rsidRPr="00B90026" w:rsidRDefault="007463FF" w:rsidP="00F776A1">
      <w:pPr>
        <w:pStyle w:val="Antrat2"/>
        <w:rPr>
          <w:i w:val="0"/>
        </w:rPr>
      </w:pPr>
      <w:bookmarkStart w:id="55" w:name="_Toc505787263"/>
      <w:r w:rsidRPr="00B90026">
        <w:t>Dėl</w:t>
      </w:r>
      <w:r w:rsidR="008B2D4D" w:rsidRPr="00B90026">
        <w:t xml:space="preserve"> ūkio ministro sprendimo sugrąžinti finansinę paramą priėmimo, kai Finansų ministerijai yra apskųsta</w:t>
      </w:r>
      <w:r w:rsidR="00F776A1">
        <w:t xml:space="preserve"> </w:t>
      </w:r>
      <w:r w:rsidR="008B2D4D" w:rsidRPr="00B90026">
        <w:rPr>
          <w:color w:val="000000"/>
        </w:rPr>
        <w:t>Lietuvos verslo paramos agentūros tyrimo išvada</w:t>
      </w:r>
      <w:bookmarkEnd w:id="55"/>
      <w:r w:rsidR="00A46518">
        <w:t xml:space="preserve"> </w:t>
      </w:r>
    </w:p>
    <w:p w:rsidR="007463FF" w:rsidRPr="00B90026" w:rsidRDefault="007463FF" w:rsidP="00A30F77">
      <w:pPr>
        <w:jc w:val="both"/>
        <w:rPr>
          <w:rFonts w:asciiTheme="minorHAnsi" w:hAnsiTheme="minorHAnsi" w:cstheme="minorHAnsi"/>
          <w:b/>
          <w:sz w:val="22"/>
          <w:szCs w:val="22"/>
          <w:u w:val="single"/>
        </w:rPr>
      </w:pPr>
    </w:p>
    <w:p w:rsidR="00CA46C8" w:rsidRPr="00B90026" w:rsidRDefault="007463FF" w:rsidP="00CA46C8">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 xml:space="preserve">Pareiškėjas kreipėsi į teismą prašydamas panaikinti Lietuvos Respublikos ūkio ministro įsakymus, kuriais nutraukta sutartis dėl projekto finansavimo ir pareiškėjas įpareigotas grąžinti </w:t>
      </w:r>
      <w:r w:rsidR="00CA46C8" w:rsidRPr="00B90026">
        <w:rPr>
          <w:rFonts w:asciiTheme="minorHAnsi" w:hAnsiTheme="minorHAnsi" w:cstheme="minorHAnsi"/>
          <w:color w:val="000000"/>
          <w:sz w:val="22"/>
          <w:szCs w:val="22"/>
        </w:rPr>
        <w:t xml:space="preserve">Europos Sąjungos </w:t>
      </w:r>
      <w:r w:rsidRPr="00B90026">
        <w:rPr>
          <w:rFonts w:asciiTheme="minorHAnsi" w:hAnsiTheme="minorHAnsi" w:cstheme="minorHAnsi"/>
          <w:color w:val="000000"/>
          <w:sz w:val="22"/>
          <w:szCs w:val="22"/>
        </w:rPr>
        <w:t>lėšas į Ūkio ministerijos sąskaitą.</w:t>
      </w:r>
    </w:p>
    <w:p w:rsidR="007463FF" w:rsidRPr="00B90026" w:rsidRDefault="007463FF" w:rsidP="00CA46C8">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lastRenderedPageBreak/>
        <w:t>Byloje nustatyta, kad</w:t>
      </w:r>
      <w:r w:rsidR="00CA46C8" w:rsidRPr="00B90026">
        <w:rPr>
          <w:rFonts w:asciiTheme="minorHAnsi" w:hAnsiTheme="minorHAnsi" w:cstheme="minorHAnsi"/>
          <w:color w:val="000000"/>
          <w:sz w:val="22"/>
          <w:szCs w:val="22"/>
        </w:rPr>
        <w:t xml:space="preserve"> VšĮ Lietuvos verslo paramos agentūra (toliau – </w:t>
      </w:r>
      <w:r w:rsidRPr="00B90026">
        <w:rPr>
          <w:rFonts w:asciiTheme="minorHAnsi" w:hAnsiTheme="minorHAnsi" w:cstheme="minorHAnsi"/>
          <w:color w:val="000000"/>
          <w:sz w:val="22"/>
          <w:szCs w:val="22"/>
        </w:rPr>
        <w:t>Agentūra</w:t>
      </w:r>
      <w:r w:rsidR="00CA46C8" w:rsidRPr="00B90026">
        <w:rPr>
          <w:rFonts w:asciiTheme="minorHAnsi" w:hAnsiTheme="minorHAnsi" w:cstheme="minorHAnsi"/>
          <w:color w:val="000000"/>
          <w:sz w:val="22"/>
          <w:szCs w:val="22"/>
        </w:rPr>
        <w:t>)</w:t>
      </w:r>
      <w:r w:rsidRPr="00B90026">
        <w:rPr>
          <w:rFonts w:asciiTheme="minorHAnsi" w:hAnsiTheme="minorHAnsi" w:cstheme="minorHAnsi"/>
          <w:color w:val="000000"/>
          <w:sz w:val="22"/>
          <w:szCs w:val="22"/>
        </w:rPr>
        <w:t xml:space="preserve"> 2014 m. sausio 6 d. surašė pažeidimo tyrimo išvadą, kuri buvo patvirtinta 2014 m. sausio 14 d. sprendimu. Šioje išvadoje Agentūra konstatavo, kad pareiškėjas nesugeba įvykdyti įsipareigojimo pradėti projekte numatytas veikas, nesilaiko numatytų terminų. Pareiškėjas, nesutikdamas su išvada, apskundė ją Finansų ministerijai. Ūkio ministras 2014</w:t>
      </w:r>
      <w:r w:rsidR="00872AEA">
        <w:rPr>
          <w:rFonts w:asciiTheme="minorHAnsi" w:hAnsiTheme="minorHAnsi" w:cstheme="minorHAnsi"/>
          <w:color w:val="000000"/>
          <w:sz w:val="22"/>
          <w:szCs w:val="22"/>
        </w:rPr>
        <w:t> </w:t>
      </w:r>
      <w:r w:rsidRPr="00B90026">
        <w:rPr>
          <w:rFonts w:asciiTheme="minorHAnsi" w:hAnsiTheme="minorHAnsi" w:cstheme="minorHAnsi"/>
          <w:color w:val="000000"/>
          <w:sz w:val="22"/>
          <w:szCs w:val="22"/>
        </w:rPr>
        <w:t>m.</w:t>
      </w:r>
      <w:r w:rsidR="00872AEA">
        <w:rPr>
          <w:rFonts w:asciiTheme="minorHAnsi" w:hAnsiTheme="minorHAnsi" w:cstheme="minorHAnsi"/>
          <w:color w:val="000000"/>
          <w:sz w:val="22"/>
          <w:szCs w:val="22"/>
        </w:rPr>
        <w:t> </w:t>
      </w:r>
      <w:r w:rsidRPr="00B90026">
        <w:rPr>
          <w:rFonts w:asciiTheme="minorHAnsi" w:hAnsiTheme="minorHAnsi" w:cstheme="minorHAnsi"/>
          <w:color w:val="000000"/>
          <w:sz w:val="22"/>
          <w:szCs w:val="22"/>
        </w:rPr>
        <w:t>kovo</w:t>
      </w:r>
      <w:r w:rsidR="00872AEA">
        <w:rPr>
          <w:rFonts w:asciiTheme="minorHAnsi" w:hAnsiTheme="minorHAnsi" w:cstheme="minorHAnsi"/>
          <w:color w:val="000000"/>
          <w:sz w:val="22"/>
          <w:szCs w:val="22"/>
        </w:rPr>
        <w:t> </w:t>
      </w:r>
      <w:r w:rsidRPr="00B90026">
        <w:rPr>
          <w:rFonts w:asciiTheme="minorHAnsi" w:hAnsiTheme="minorHAnsi" w:cstheme="minorHAnsi"/>
          <w:color w:val="000000"/>
          <w:sz w:val="22"/>
          <w:szCs w:val="22"/>
        </w:rPr>
        <w:t>21</w:t>
      </w:r>
      <w:r w:rsidR="00872AEA">
        <w:rPr>
          <w:rFonts w:asciiTheme="minorHAnsi" w:hAnsiTheme="minorHAnsi" w:cstheme="minorHAnsi"/>
          <w:color w:val="000000"/>
          <w:sz w:val="22"/>
          <w:szCs w:val="22"/>
        </w:rPr>
        <w:t> </w:t>
      </w:r>
      <w:r w:rsidRPr="00B90026">
        <w:rPr>
          <w:rFonts w:asciiTheme="minorHAnsi" w:hAnsiTheme="minorHAnsi" w:cstheme="minorHAnsi"/>
          <w:color w:val="000000"/>
          <w:sz w:val="22"/>
          <w:szCs w:val="22"/>
        </w:rPr>
        <w:t xml:space="preserve">d. </w:t>
      </w:r>
      <w:r w:rsidR="00CA46C8" w:rsidRPr="00B90026">
        <w:rPr>
          <w:rFonts w:asciiTheme="minorHAnsi" w:hAnsiTheme="minorHAnsi" w:cstheme="minorHAnsi"/>
          <w:color w:val="000000"/>
          <w:sz w:val="22"/>
          <w:szCs w:val="22"/>
        </w:rPr>
        <w:t>į</w:t>
      </w:r>
      <w:r w:rsidRPr="00B90026">
        <w:rPr>
          <w:rFonts w:asciiTheme="minorHAnsi" w:hAnsiTheme="minorHAnsi" w:cstheme="minorHAnsi"/>
          <w:color w:val="000000"/>
          <w:sz w:val="22"/>
          <w:szCs w:val="22"/>
        </w:rPr>
        <w:t xml:space="preserve">sakymu nutraukė </w:t>
      </w:r>
      <w:r w:rsidR="00CA46C8" w:rsidRPr="00B90026">
        <w:rPr>
          <w:rFonts w:asciiTheme="minorHAnsi" w:hAnsiTheme="minorHAnsi" w:cstheme="minorHAnsi"/>
          <w:color w:val="000000"/>
          <w:sz w:val="22"/>
          <w:szCs w:val="22"/>
        </w:rPr>
        <w:t>s</w:t>
      </w:r>
      <w:r w:rsidRPr="00B90026">
        <w:rPr>
          <w:rFonts w:asciiTheme="minorHAnsi" w:hAnsiTheme="minorHAnsi" w:cstheme="minorHAnsi"/>
          <w:color w:val="000000"/>
          <w:sz w:val="22"/>
          <w:szCs w:val="22"/>
        </w:rPr>
        <w:t xml:space="preserve">utartį ir įpareigojo pareiškėją per 60 kalendorinių dienų nuo šio </w:t>
      </w:r>
      <w:r w:rsidR="00872AEA">
        <w:rPr>
          <w:rFonts w:asciiTheme="minorHAnsi" w:hAnsiTheme="minorHAnsi" w:cstheme="minorHAnsi"/>
          <w:color w:val="000000"/>
          <w:sz w:val="22"/>
          <w:szCs w:val="22"/>
        </w:rPr>
        <w:t>į</w:t>
      </w:r>
      <w:r w:rsidRPr="00B90026">
        <w:rPr>
          <w:rFonts w:asciiTheme="minorHAnsi" w:hAnsiTheme="minorHAnsi" w:cstheme="minorHAnsi"/>
          <w:color w:val="000000"/>
          <w:sz w:val="22"/>
          <w:szCs w:val="22"/>
        </w:rPr>
        <w:t xml:space="preserve">sakymo įsigaliojimo dienos grąžinti 706 195,52 Lt Europos Sąjungos lėšų į Ūkio ministerijos sąskaitą. Finansų ministerija 2014 m. gegužės 15 d. sprendimu patenkino pareiškėjo skundą iš dalies ir prašė </w:t>
      </w:r>
      <w:r w:rsidR="00CA46C8" w:rsidRPr="00B90026">
        <w:rPr>
          <w:rFonts w:asciiTheme="minorHAnsi" w:hAnsiTheme="minorHAnsi" w:cstheme="minorHAnsi"/>
          <w:color w:val="000000"/>
          <w:sz w:val="22"/>
          <w:szCs w:val="22"/>
        </w:rPr>
        <w:t xml:space="preserve">Agentūros </w:t>
      </w:r>
      <w:r w:rsidRPr="00B90026">
        <w:rPr>
          <w:rFonts w:asciiTheme="minorHAnsi" w:hAnsiTheme="minorHAnsi" w:cstheme="minorHAnsi"/>
          <w:color w:val="000000"/>
          <w:sz w:val="22"/>
          <w:szCs w:val="22"/>
        </w:rPr>
        <w:t xml:space="preserve">atnaujinti pažeidimo tyrimą. </w:t>
      </w:r>
      <w:r w:rsidR="00CA46C8" w:rsidRPr="00B90026">
        <w:rPr>
          <w:rFonts w:asciiTheme="minorHAnsi" w:hAnsiTheme="minorHAnsi" w:cstheme="minorHAnsi"/>
          <w:color w:val="000000"/>
          <w:sz w:val="22"/>
          <w:szCs w:val="22"/>
        </w:rPr>
        <w:t xml:space="preserve">Agentūra </w:t>
      </w:r>
      <w:r w:rsidRPr="00B90026">
        <w:rPr>
          <w:rFonts w:asciiTheme="minorHAnsi" w:hAnsiTheme="minorHAnsi" w:cstheme="minorHAnsi"/>
          <w:color w:val="000000"/>
          <w:sz w:val="22"/>
          <w:szCs w:val="22"/>
        </w:rPr>
        <w:t xml:space="preserve">2014 m. rugsėjo 16 d. sprendime nurodė, kad nekeičia </w:t>
      </w:r>
      <w:r w:rsidR="00CA46C8" w:rsidRPr="00B90026">
        <w:rPr>
          <w:rFonts w:asciiTheme="minorHAnsi" w:hAnsiTheme="minorHAnsi" w:cstheme="minorHAnsi"/>
          <w:color w:val="000000"/>
          <w:sz w:val="22"/>
          <w:szCs w:val="22"/>
        </w:rPr>
        <w:t>i</w:t>
      </w:r>
      <w:r w:rsidRPr="00B90026">
        <w:rPr>
          <w:rFonts w:asciiTheme="minorHAnsi" w:hAnsiTheme="minorHAnsi" w:cstheme="minorHAnsi"/>
          <w:color w:val="000000"/>
          <w:sz w:val="22"/>
          <w:szCs w:val="22"/>
        </w:rPr>
        <w:t xml:space="preserve">švados ir pasiūlymo Ūkio ministerijai. Pareiškėjas, nesutikdamas su </w:t>
      </w:r>
      <w:r w:rsidR="00CA46C8" w:rsidRPr="00B90026">
        <w:rPr>
          <w:rFonts w:asciiTheme="minorHAnsi" w:hAnsiTheme="minorHAnsi" w:cstheme="minorHAnsi"/>
          <w:color w:val="000000"/>
          <w:sz w:val="22"/>
          <w:szCs w:val="22"/>
        </w:rPr>
        <w:t xml:space="preserve">Agentūros </w:t>
      </w:r>
      <w:r w:rsidRPr="00B90026">
        <w:rPr>
          <w:rFonts w:asciiTheme="minorHAnsi" w:hAnsiTheme="minorHAnsi" w:cstheme="minorHAnsi"/>
          <w:color w:val="000000"/>
          <w:sz w:val="22"/>
          <w:szCs w:val="22"/>
        </w:rPr>
        <w:t>2014 m. rugsėjo 16 d. sprendimu</w:t>
      </w:r>
      <w:r w:rsidR="00CA46C8" w:rsidRPr="00B90026">
        <w:rPr>
          <w:rFonts w:asciiTheme="minorHAnsi" w:hAnsiTheme="minorHAnsi" w:cstheme="minorHAnsi"/>
          <w:color w:val="000000"/>
          <w:sz w:val="22"/>
          <w:szCs w:val="22"/>
        </w:rPr>
        <w:t xml:space="preserve">, </w:t>
      </w:r>
      <w:r w:rsidRPr="00B90026">
        <w:rPr>
          <w:rFonts w:asciiTheme="minorHAnsi" w:hAnsiTheme="minorHAnsi" w:cstheme="minorHAnsi"/>
          <w:color w:val="000000"/>
          <w:sz w:val="22"/>
          <w:szCs w:val="22"/>
        </w:rPr>
        <w:t>pateikė dėl jo skundą Finansų ministerijai.</w:t>
      </w:r>
    </w:p>
    <w:p w:rsidR="00CA46C8" w:rsidRPr="00B90026" w:rsidRDefault="00CA46C8" w:rsidP="00CA46C8">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Ginčas byloje kilo dėl to, ar ūkio ministras turėjo sustabdyti sprendimų priėmimą iki bus išnagrinėtas ginčas dėl Agentūros išvados teisėtumo</w:t>
      </w:r>
      <w:r w:rsidR="00872AEA">
        <w:rPr>
          <w:rFonts w:asciiTheme="minorHAnsi" w:hAnsiTheme="minorHAnsi" w:cstheme="minorHAnsi"/>
          <w:color w:val="000000"/>
          <w:sz w:val="22"/>
          <w:szCs w:val="22"/>
        </w:rPr>
        <w:t xml:space="preserve"> Finansų ministerijoje</w:t>
      </w:r>
      <w:r w:rsidRPr="00B90026">
        <w:rPr>
          <w:rFonts w:asciiTheme="minorHAnsi" w:hAnsiTheme="minorHAnsi" w:cstheme="minorHAnsi"/>
          <w:color w:val="000000"/>
          <w:sz w:val="22"/>
          <w:szCs w:val="22"/>
        </w:rPr>
        <w:t xml:space="preserve">. </w:t>
      </w:r>
    </w:p>
    <w:p w:rsidR="007463FF" w:rsidRPr="00B90026" w:rsidRDefault="00CA46C8" w:rsidP="00D93252">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Pirmosios instancijos teismas, vadovaudamasis Vyriausybės 2007 m. gruodžio 19 d. nutarimu Nr. 1443 patvirtintų Projektų administravimo ir finansavimo taisyklių (toliau – Taisyklės) 198 ir 198</w:t>
      </w:r>
      <w:r w:rsidRPr="00B90026">
        <w:rPr>
          <w:rFonts w:asciiTheme="minorHAnsi" w:hAnsiTheme="minorHAnsi" w:cstheme="minorHAnsi"/>
          <w:color w:val="000000"/>
          <w:sz w:val="22"/>
          <w:szCs w:val="22"/>
          <w:vertAlign w:val="superscript"/>
        </w:rPr>
        <w:t>3</w:t>
      </w:r>
      <w:r w:rsidRPr="00B90026">
        <w:rPr>
          <w:rFonts w:asciiTheme="minorHAnsi" w:hAnsiTheme="minorHAnsi" w:cstheme="minorHAnsi"/>
          <w:color w:val="000000"/>
          <w:sz w:val="22"/>
          <w:szCs w:val="22"/>
        </w:rPr>
        <w:t xml:space="preserve"> punktais, padarė išvadą, kad Ūkio ministerija turi teisę atidėti įgyvendinančiosios institucijos sprendimo dėl pažeidimo nagrinėjimą jai suteiktos diskrecijos ribose. Tačiau, esant situacijai, kai įgyvendinančios institucijos sprendimas dėl pažeidimo yra apskųstas ikiteismine ginčo nagrinėjimo tvarka Finansų ministerijai, Ūkio ministerijos sprendimas neatidėti nagrinėjimo turi būti pagrįstas, t. y. turi būti nurodomos priežastys, kodėl Ūkio ministerija, kuri neturi teisės vertinti </w:t>
      </w:r>
      <w:r w:rsidR="00D93252" w:rsidRPr="00B90026">
        <w:rPr>
          <w:rFonts w:asciiTheme="minorHAnsi" w:hAnsiTheme="minorHAnsi" w:cstheme="minorHAnsi"/>
          <w:color w:val="000000"/>
          <w:sz w:val="22"/>
          <w:szCs w:val="22"/>
        </w:rPr>
        <w:t xml:space="preserve">Agentūros </w:t>
      </w:r>
      <w:r w:rsidRPr="00B90026">
        <w:rPr>
          <w:rFonts w:asciiTheme="minorHAnsi" w:hAnsiTheme="minorHAnsi" w:cstheme="minorHAnsi"/>
          <w:color w:val="000000"/>
          <w:sz w:val="22"/>
          <w:szCs w:val="22"/>
        </w:rPr>
        <w:t>priimto sprendimo teisėtumo ir pagrįstumo tokia apimtimi, kokia nustatyta Finansų ministerijai, nusprendžia priimti sprendim</w:t>
      </w:r>
      <w:r w:rsidR="00D93252" w:rsidRPr="00B90026">
        <w:rPr>
          <w:rFonts w:asciiTheme="minorHAnsi" w:hAnsiTheme="minorHAnsi" w:cstheme="minorHAnsi"/>
          <w:color w:val="000000"/>
          <w:sz w:val="22"/>
          <w:szCs w:val="22"/>
        </w:rPr>
        <w:t>ą</w:t>
      </w:r>
      <w:r w:rsidRPr="00B90026">
        <w:rPr>
          <w:rFonts w:asciiTheme="minorHAnsi" w:hAnsiTheme="minorHAnsi" w:cstheme="minorHAnsi"/>
          <w:color w:val="000000"/>
          <w:sz w:val="22"/>
          <w:szCs w:val="22"/>
        </w:rPr>
        <w:t>, nelaukdama ikiteisminio ginčo nagrinėjimo pabaigos. Nagrinė</w:t>
      </w:r>
      <w:r w:rsidR="00D93252" w:rsidRPr="00B90026">
        <w:rPr>
          <w:rFonts w:asciiTheme="minorHAnsi" w:hAnsiTheme="minorHAnsi" w:cstheme="minorHAnsi"/>
          <w:color w:val="000000"/>
          <w:sz w:val="22"/>
          <w:szCs w:val="22"/>
        </w:rPr>
        <w:t xml:space="preserve">tu </w:t>
      </w:r>
      <w:r w:rsidRPr="00B90026">
        <w:rPr>
          <w:rFonts w:asciiTheme="minorHAnsi" w:hAnsiTheme="minorHAnsi" w:cstheme="minorHAnsi"/>
          <w:color w:val="000000"/>
          <w:sz w:val="22"/>
          <w:szCs w:val="22"/>
        </w:rPr>
        <w:t>atveju ginč</w:t>
      </w:r>
      <w:r w:rsidR="00D93252" w:rsidRPr="00B90026">
        <w:rPr>
          <w:rFonts w:asciiTheme="minorHAnsi" w:hAnsiTheme="minorHAnsi" w:cstheme="minorHAnsi"/>
          <w:color w:val="000000"/>
          <w:sz w:val="22"/>
          <w:szCs w:val="22"/>
        </w:rPr>
        <w:t>o į</w:t>
      </w:r>
      <w:r w:rsidRPr="00B90026">
        <w:rPr>
          <w:rFonts w:asciiTheme="minorHAnsi" w:hAnsiTheme="minorHAnsi" w:cstheme="minorHAnsi"/>
          <w:color w:val="000000"/>
          <w:sz w:val="22"/>
          <w:szCs w:val="22"/>
        </w:rPr>
        <w:t>sakyme n</w:t>
      </w:r>
      <w:r w:rsidR="00D93252" w:rsidRPr="00B90026">
        <w:rPr>
          <w:rFonts w:asciiTheme="minorHAnsi" w:hAnsiTheme="minorHAnsi" w:cstheme="minorHAnsi"/>
          <w:color w:val="000000"/>
          <w:sz w:val="22"/>
          <w:szCs w:val="22"/>
        </w:rPr>
        <w:t xml:space="preserve">ebuvo </w:t>
      </w:r>
      <w:r w:rsidRPr="00B90026">
        <w:rPr>
          <w:rFonts w:asciiTheme="minorHAnsi" w:hAnsiTheme="minorHAnsi" w:cstheme="minorHAnsi"/>
          <w:color w:val="000000"/>
          <w:sz w:val="22"/>
          <w:szCs w:val="22"/>
        </w:rPr>
        <w:t>pateikta jokių argumentų, kodėl Ūkio ministerija nusprendė priimti šį įsakymą, nelaukdama ikiteisminio ginčo nagrinėjimo pabaigos.</w:t>
      </w:r>
      <w:r w:rsidR="00D93252" w:rsidRPr="00B90026">
        <w:rPr>
          <w:rFonts w:asciiTheme="minorHAnsi" w:hAnsiTheme="minorHAnsi" w:cstheme="minorHAnsi"/>
          <w:color w:val="000000"/>
          <w:sz w:val="22"/>
          <w:szCs w:val="22"/>
        </w:rPr>
        <w:t xml:space="preserve"> T</w:t>
      </w:r>
      <w:r w:rsidRPr="00B90026">
        <w:rPr>
          <w:rFonts w:asciiTheme="minorHAnsi" w:hAnsiTheme="minorHAnsi" w:cstheme="minorHAnsi"/>
          <w:color w:val="000000"/>
          <w:sz w:val="22"/>
          <w:szCs w:val="22"/>
        </w:rPr>
        <w:t>okiu būdu buvo pažeistas gero administravimo ir atsakingo valdymo principa</w:t>
      </w:r>
      <w:r w:rsidR="00DC2E82">
        <w:rPr>
          <w:rFonts w:asciiTheme="minorHAnsi" w:hAnsiTheme="minorHAnsi" w:cstheme="minorHAnsi"/>
          <w:color w:val="000000"/>
          <w:sz w:val="22"/>
          <w:szCs w:val="22"/>
        </w:rPr>
        <w:t>i</w:t>
      </w:r>
      <w:r w:rsidRPr="00B90026">
        <w:rPr>
          <w:rFonts w:asciiTheme="minorHAnsi" w:hAnsiTheme="minorHAnsi" w:cstheme="minorHAnsi"/>
          <w:color w:val="000000"/>
          <w:sz w:val="22"/>
          <w:szCs w:val="22"/>
        </w:rPr>
        <w:t xml:space="preserve"> bei peržengtos Ūkio ministerijai suteiktos diskrecijos ribos. </w:t>
      </w:r>
    </w:p>
    <w:p w:rsidR="00CE2293" w:rsidRPr="00DC2E82" w:rsidRDefault="00D93252" w:rsidP="00DC2E82">
      <w:pPr>
        <w:ind w:firstLine="567"/>
        <w:jc w:val="both"/>
        <w:rPr>
          <w:rFonts w:asciiTheme="minorHAnsi" w:hAnsiTheme="minorHAnsi" w:cstheme="minorHAnsi"/>
          <w:sz w:val="22"/>
          <w:szCs w:val="22"/>
        </w:rPr>
      </w:pPr>
      <w:r w:rsidRPr="00B90026">
        <w:rPr>
          <w:rFonts w:asciiTheme="minorHAnsi" w:hAnsiTheme="minorHAnsi" w:cstheme="minorHAnsi"/>
          <w:sz w:val="22"/>
          <w:szCs w:val="22"/>
        </w:rPr>
        <w:t>LVAT teisėjų kolegija, nesutikdama su pirmosios instancijos teismo pozicija, pažymėjo, kad</w:t>
      </w:r>
      <w:r w:rsidR="00CE2293" w:rsidRPr="00B90026">
        <w:rPr>
          <w:rFonts w:asciiTheme="minorHAnsi" w:hAnsiTheme="minorHAnsi" w:cstheme="minorHAnsi"/>
          <w:sz w:val="22"/>
          <w:szCs w:val="22"/>
        </w:rPr>
        <w:t xml:space="preserve"> </w:t>
      </w:r>
      <w:r w:rsidRPr="00B90026">
        <w:rPr>
          <w:rFonts w:asciiTheme="minorHAnsi" w:hAnsiTheme="minorHAnsi" w:cstheme="minorHAnsi"/>
          <w:sz w:val="22"/>
          <w:szCs w:val="22"/>
        </w:rPr>
        <w:t>teisinis reguliavimas</w:t>
      </w:r>
      <w:r w:rsidR="00DC2E82">
        <w:rPr>
          <w:rFonts w:asciiTheme="minorHAnsi" w:hAnsiTheme="minorHAnsi" w:cstheme="minorHAnsi"/>
          <w:sz w:val="22"/>
          <w:szCs w:val="22"/>
        </w:rPr>
        <w:t xml:space="preserve"> –</w:t>
      </w:r>
      <w:r w:rsidR="00A46518">
        <w:rPr>
          <w:rFonts w:asciiTheme="minorHAnsi" w:hAnsiTheme="minorHAnsi" w:cstheme="minorHAnsi"/>
          <w:sz w:val="22"/>
          <w:szCs w:val="22"/>
        </w:rPr>
        <w:t xml:space="preserve"> </w:t>
      </w:r>
      <w:r w:rsidR="00CE2293" w:rsidRPr="00B90026">
        <w:rPr>
          <w:rFonts w:asciiTheme="minorHAnsi" w:hAnsiTheme="minorHAnsi" w:cstheme="minorHAnsi"/>
          <w:sz w:val="22"/>
          <w:szCs w:val="22"/>
        </w:rPr>
        <w:t xml:space="preserve">Taisyklių </w:t>
      </w:r>
      <w:r w:rsidR="00CE2293" w:rsidRPr="00B90026">
        <w:rPr>
          <w:rFonts w:asciiTheme="minorHAnsi" w:hAnsiTheme="minorHAnsi" w:cstheme="minorHAnsi"/>
          <w:color w:val="000000"/>
          <w:sz w:val="22"/>
          <w:szCs w:val="22"/>
        </w:rPr>
        <w:t>198 ir 198</w:t>
      </w:r>
      <w:r w:rsidR="00CE2293" w:rsidRPr="00B90026">
        <w:rPr>
          <w:rFonts w:asciiTheme="minorHAnsi" w:hAnsiTheme="minorHAnsi" w:cstheme="minorHAnsi"/>
          <w:color w:val="000000"/>
          <w:sz w:val="22"/>
          <w:szCs w:val="22"/>
          <w:vertAlign w:val="superscript"/>
        </w:rPr>
        <w:t>3</w:t>
      </w:r>
      <w:r w:rsidR="00CE2293" w:rsidRPr="00B90026">
        <w:rPr>
          <w:rFonts w:asciiTheme="minorHAnsi" w:hAnsiTheme="minorHAnsi" w:cstheme="minorHAnsi"/>
          <w:color w:val="000000"/>
          <w:sz w:val="22"/>
          <w:szCs w:val="22"/>
        </w:rPr>
        <w:t xml:space="preserve"> punktai (redakcija nuo 2012 m. gegužės 17 d. iki 2014 m. gruodžio 12 d.) –</w:t>
      </w:r>
      <w:r w:rsidR="00A46518">
        <w:rPr>
          <w:rFonts w:asciiTheme="minorHAnsi" w:hAnsiTheme="minorHAnsi" w:cstheme="minorHAnsi"/>
          <w:color w:val="000000"/>
          <w:sz w:val="22"/>
          <w:szCs w:val="22"/>
        </w:rPr>
        <w:t xml:space="preserve"> </w:t>
      </w:r>
      <w:r w:rsidRPr="00B90026">
        <w:rPr>
          <w:rFonts w:asciiTheme="minorHAnsi" w:hAnsiTheme="minorHAnsi" w:cstheme="minorHAnsi"/>
          <w:color w:val="000000"/>
          <w:sz w:val="22"/>
          <w:szCs w:val="22"/>
        </w:rPr>
        <w:t xml:space="preserve">nesuponavo privalomumo atidėti įgyvendinančiosios institucijos sprendimo dėl pažeidimo priėmimą iki vadovaujančioji institucija išnagrinės skundą dėl įgyvendinančiosios institucijos veiksmų ar neveikimo, susijusių su sprendimo dėl pažeidimo priėmimu. Teisėkūros subjektas ministerijai ir (ar) kitai valstybės institucijai suteikė tokią teisę tam, kad būtų priimtas objektyvus sprendimas, tačiau nesant poreikio </w:t>
      </w:r>
      <w:r w:rsidR="00DC2E82">
        <w:rPr>
          <w:rFonts w:asciiTheme="minorHAnsi" w:hAnsiTheme="minorHAnsi" w:cstheme="minorHAnsi"/>
          <w:color w:val="000000"/>
          <w:sz w:val="22"/>
          <w:szCs w:val="22"/>
        </w:rPr>
        <w:t xml:space="preserve">sustabdyti </w:t>
      </w:r>
      <w:r w:rsidRPr="00B90026">
        <w:rPr>
          <w:rFonts w:asciiTheme="minorHAnsi" w:hAnsiTheme="minorHAnsi" w:cstheme="minorHAnsi"/>
          <w:color w:val="000000"/>
          <w:sz w:val="22"/>
          <w:szCs w:val="22"/>
        </w:rPr>
        <w:t>pažeidimo nagrinėjim</w:t>
      </w:r>
      <w:r w:rsidR="00DC2E82">
        <w:rPr>
          <w:rFonts w:asciiTheme="minorHAnsi" w:hAnsiTheme="minorHAnsi" w:cstheme="minorHAnsi"/>
          <w:color w:val="000000"/>
          <w:sz w:val="22"/>
          <w:szCs w:val="22"/>
        </w:rPr>
        <w:t>ą</w:t>
      </w:r>
      <w:r w:rsidRPr="00B90026">
        <w:rPr>
          <w:rFonts w:asciiTheme="minorHAnsi" w:hAnsiTheme="minorHAnsi" w:cstheme="minorHAnsi"/>
          <w:color w:val="000000"/>
          <w:sz w:val="22"/>
          <w:szCs w:val="22"/>
        </w:rPr>
        <w:t>, įgalino priimti sprendimą dėl pažeidimo ir be vadovaujančiosios institucijos sprendimo (bendrine prasme).</w:t>
      </w:r>
      <w:r w:rsidR="00CE2293" w:rsidRPr="00B90026">
        <w:rPr>
          <w:rFonts w:asciiTheme="minorHAnsi" w:hAnsiTheme="minorHAnsi" w:cstheme="minorHAnsi"/>
          <w:color w:val="000000"/>
          <w:sz w:val="22"/>
          <w:szCs w:val="22"/>
        </w:rPr>
        <w:t xml:space="preserve"> </w:t>
      </w:r>
      <w:r w:rsidRPr="00B90026">
        <w:rPr>
          <w:rFonts w:asciiTheme="minorHAnsi" w:hAnsiTheme="minorHAnsi" w:cstheme="minorHAnsi"/>
          <w:iCs/>
          <w:color w:val="000000"/>
          <w:sz w:val="22"/>
          <w:szCs w:val="22"/>
        </w:rPr>
        <w:t>Šią pozicij</w:t>
      </w:r>
      <w:r w:rsidR="00CE2293" w:rsidRPr="00B90026">
        <w:rPr>
          <w:rFonts w:asciiTheme="minorHAnsi" w:hAnsiTheme="minorHAnsi" w:cstheme="minorHAnsi"/>
          <w:iCs/>
          <w:color w:val="000000"/>
          <w:sz w:val="22"/>
          <w:szCs w:val="22"/>
        </w:rPr>
        <w:t>ą</w:t>
      </w:r>
      <w:r w:rsidRPr="00B90026">
        <w:rPr>
          <w:rFonts w:asciiTheme="minorHAnsi" w:hAnsiTheme="minorHAnsi" w:cstheme="minorHAnsi"/>
          <w:iCs/>
          <w:color w:val="000000"/>
          <w:sz w:val="22"/>
          <w:szCs w:val="22"/>
        </w:rPr>
        <w:t xml:space="preserve"> įtvirtina ir administracinė jurisprudencija analogiško pobūdžio bylose. Pavyzdžiui, Lietuvos vyriausiasis administracinis teismas 2014 m. spalio 27 d. nutartyje administracinėje byloje Nr.</w:t>
      </w:r>
      <w:r w:rsidR="00CE2293" w:rsidRPr="00B90026">
        <w:rPr>
          <w:rFonts w:asciiTheme="minorHAnsi" w:hAnsiTheme="minorHAnsi" w:cstheme="minorHAnsi"/>
          <w:iCs/>
          <w:color w:val="000000"/>
          <w:sz w:val="22"/>
          <w:szCs w:val="22"/>
        </w:rPr>
        <w:t xml:space="preserve"> A</w:t>
      </w:r>
      <w:r w:rsidR="00CE2293" w:rsidRPr="00B90026">
        <w:rPr>
          <w:rFonts w:asciiTheme="minorHAnsi" w:hAnsiTheme="minorHAnsi" w:cstheme="minorHAnsi"/>
          <w:iCs/>
          <w:color w:val="000000"/>
          <w:sz w:val="22"/>
          <w:szCs w:val="22"/>
          <w:vertAlign w:val="superscript"/>
        </w:rPr>
        <w:t>858</w:t>
      </w:r>
      <w:r w:rsidR="00CE2293" w:rsidRPr="00B90026">
        <w:rPr>
          <w:rFonts w:asciiTheme="minorHAnsi" w:hAnsiTheme="minorHAnsi" w:cstheme="minorHAnsi"/>
          <w:iCs/>
          <w:color w:val="000000"/>
          <w:sz w:val="22"/>
          <w:szCs w:val="22"/>
        </w:rPr>
        <w:t>-1927/2014</w:t>
      </w:r>
      <w:bookmarkStart w:id="56" w:name="pn5426b426-4d02-4706-b379-e7781a8c1469"/>
      <w:bookmarkEnd w:id="56"/>
      <w:r w:rsidR="00CE2293" w:rsidRPr="00B90026">
        <w:rPr>
          <w:rFonts w:asciiTheme="minorHAnsi" w:hAnsiTheme="minorHAnsi" w:cstheme="minorHAnsi"/>
          <w:iCs/>
          <w:color w:val="000000"/>
          <w:sz w:val="22"/>
          <w:szCs w:val="22"/>
        </w:rPr>
        <w:t xml:space="preserve"> </w:t>
      </w:r>
      <w:r w:rsidRPr="00B90026">
        <w:rPr>
          <w:rFonts w:asciiTheme="minorHAnsi" w:hAnsiTheme="minorHAnsi" w:cstheme="minorHAnsi"/>
          <w:color w:val="000000"/>
          <w:sz w:val="22"/>
          <w:szCs w:val="22"/>
        </w:rPr>
        <w:t>yra nurodęs, jog „&lt;...&gt; nei Projektų administravimo ir finansavimo taisyklės, nei kiti taikytini teisės aktai nenumato pažeidimo tyrimo išvados įsigaliojimo sąlygų ir laikotarpio, t.</w:t>
      </w:r>
      <w:r w:rsidR="00CE2293" w:rsidRPr="00B90026">
        <w:rPr>
          <w:rFonts w:asciiTheme="minorHAnsi" w:hAnsiTheme="minorHAnsi" w:cstheme="minorHAnsi"/>
          <w:color w:val="000000"/>
          <w:sz w:val="22"/>
          <w:szCs w:val="22"/>
        </w:rPr>
        <w:t> </w:t>
      </w:r>
      <w:r w:rsidRPr="00B90026">
        <w:rPr>
          <w:rFonts w:asciiTheme="minorHAnsi" w:hAnsiTheme="minorHAnsi" w:cstheme="minorHAnsi"/>
          <w:color w:val="000000"/>
          <w:sz w:val="22"/>
          <w:szCs w:val="22"/>
        </w:rPr>
        <w:t xml:space="preserve">y. kad negalima priimta išvada remtis iki tam tikro momento. Papildomai pažymėta, </w:t>
      </w:r>
      <w:r w:rsidR="00DC2E82">
        <w:rPr>
          <w:rFonts w:asciiTheme="minorHAnsi" w:hAnsiTheme="minorHAnsi" w:cstheme="minorHAnsi"/>
          <w:color w:val="000000"/>
          <w:sz w:val="22"/>
          <w:szCs w:val="22"/>
        </w:rPr>
        <w:t xml:space="preserve">kad </w:t>
      </w:r>
      <w:r w:rsidRPr="00B90026">
        <w:rPr>
          <w:rFonts w:asciiTheme="minorHAnsi" w:hAnsiTheme="minorHAnsi" w:cstheme="minorHAnsi"/>
          <w:color w:val="000000"/>
          <w:sz w:val="22"/>
          <w:szCs w:val="22"/>
        </w:rPr>
        <w:t xml:space="preserve">pagal </w:t>
      </w:r>
      <w:r w:rsidR="00CE2293" w:rsidRPr="00B90026">
        <w:rPr>
          <w:rFonts w:asciiTheme="minorHAnsi" w:hAnsiTheme="minorHAnsi" w:cstheme="minorHAnsi"/>
          <w:color w:val="000000"/>
          <w:sz w:val="22"/>
          <w:szCs w:val="22"/>
        </w:rPr>
        <w:t>T</w:t>
      </w:r>
      <w:r w:rsidRPr="00B90026">
        <w:rPr>
          <w:rFonts w:asciiTheme="minorHAnsi" w:hAnsiTheme="minorHAnsi" w:cstheme="minorHAnsi"/>
          <w:color w:val="000000"/>
          <w:sz w:val="22"/>
          <w:szCs w:val="22"/>
        </w:rPr>
        <w:t>aisyklių 198</w:t>
      </w:r>
      <w:r w:rsidRPr="00B90026">
        <w:rPr>
          <w:rFonts w:asciiTheme="minorHAnsi" w:hAnsiTheme="minorHAnsi" w:cstheme="minorHAnsi"/>
          <w:color w:val="000000"/>
          <w:sz w:val="22"/>
          <w:szCs w:val="22"/>
          <w:vertAlign w:val="superscript"/>
        </w:rPr>
        <w:t>3</w:t>
      </w:r>
      <w:r w:rsidR="00CE2293" w:rsidRPr="00B90026">
        <w:rPr>
          <w:rFonts w:asciiTheme="minorHAnsi" w:hAnsiTheme="minorHAnsi" w:cstheme="minorHAnsi"/>
          <w:color w:val="000000"/>
          <w:sz w:val="22"/>
          <w:szCs w:val="22"/>
          <w:vertAlign w:val="superscript"/>
        </w:rPr>
        <w:t xml:space="preserve"> </w:t>
      </w:r>
      <w:r w:rsidRPr="00B90026">
        <w:rPr>
          <w:rFonts w:asciiTheme="minorHAnsi" w:hAnsiTheme="minorHAnsi" w:cstheme="minorHAnsi"/>
          <w:color w:val="000000"/>
          <w:sz w:val="22"/>
          <w:szCs w:val="22"/>
        </w:rPr>
        <w:t>punktą</w:t>
      </w:r>
      <w:r w:rsidR="00DC2E82">
        <w:rPr>
          <w:rFonts w:asciiTheme="minorHAnsi" w:hAnsiTheme="minorHAnsi" w:cstheme="minorHAnsi"/>
          <w:color w:val="000000"/>
          <w:sz w:val="22"/>
          <w:szCs w:val="22"/>
        </w:rPr>
        <w:t>,</w:t>
      </w:r>
      <w:r w:rsidRPr="00B90026">
        <w:rPr>
          <w:rFonts w:asciiTheme="minorHAnsi" w:hAnsiTheme="minorHAnsi" w:cstheme="minorHAnsi"/>
          <w:color w:val="000000"/>
          <w:sz w:val="22"/>
          <w:szCs w:val="22"/>
        </w:rPr>
        <w:t xml:space="preserve"> Ūkio ministerija turi teisę atidėti įgyvendinančiosios institucijos sprendimo dėl pažeidimo nagrinėjimą iki vadovaujančioji institucija išnagrinėja skundą dėl įgyvendinančiosios institucijos veiksmų ar neveikimo, susijusių su sprendimo dėl pažeidimo priėmimu, tačiau jokiu būdu ne pareigą.“</w:t>
      </w:r>
      <w:r w:rsidR="001D7970">
        <w:rPr>
          <w:rFonts w:asciiTheme="minorHAnsi" w:hAnsiTheme="minorHAnsi" w:cstheme="minorHAnsi"/>
          <w:color w:val="000000"/>
          <w:sz w:val="22"/>
          <w:szCs w:val="22"/>
        </w:rPr>
        <w:t>.</w:t>
      </w:r>
      <w:r w:rsidR="00CE2293" w:rsidRPr="00B90026">
        <w:rPr>
          <w:rFonts w:asciiTheme="minorHAnsi" w:hAnsiTheme="minorHAnsi" w:cstheme="minorHAnsi"/>
          <w:color w:val="000000"/>
          <w:sz w:val="22"/>
          <w:szCs w:val="22"/>
        </w:rPr>
        <w:t xml:space="preserve"> </w:t>
      </w:r>
    </w:p>
    <w:p w:rsidR="00CE2293" w:rsidRPr="00B90026" w:rsidRDefault="00CE2293" w:rsidP="00CE2293">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 xml:space="preserve">Taigi ginčo įsakymas pagal tuo metu galiojusį teisinį reguliavimą galėjo būti priimtas ir be vadovaujančiosios institucijos sprendimo, kas ir buvo padaryta, todėl pirmosios instancijos teismo išvados nepripažintos pagrįstomis. </w:t>
      </w:r>
    </w:p>
    <w:p w:rsidR="00CE2293" w:rsidRPr="00B90026" w:rsidRDefault="00CE2293" w:rsidP="00B91508">
      <w:pPr>
        <w:ind w:firstLine="567"/>
        <w:jc w:val="both"/>
        <w:rPr>
          <w:rFonts w:asciiTheme="minorHAnsi" w:hAnsiTheme="minorHAnsi" w:cstheme="minorHAnsi"/>
          <w:color w:val="000000"/>
          <w:sz w:val="22"/>
          <w:szCs w:val="22"/>
        </w:rPr>
      </w:pPr>
      <w:bookmarkStart w:id="57" w:name="pnff4950a0-b593-4240-9d05-d01a081cf637"/>
      <w:bookmarkStart w:id="58" w:name="pna1994c19-38d3-47e0-a33f-f52f5077b7f4"/>
      <w:bookmarkEnd w:id="57"/>
      <w:bookmarkEnd w:id="58"/>
      <w:r w:rsidRPr="00B90026">
        <w:rPr>
          <w:rFonts w:asciiTheme="minorHAnsi" w:hAnsiTheme="minorHAnsi" w:cstheme="minorHAnsi"/>
          <w:color w:val="000000"/>
          <w:sz w:val="22"/>
          <w:szCs w:val="22"/>
        </w:rPr>
        <w:t>Vilniaus apygardos administracinio teismo sprendimas panaikintas ir byla perduota pirmosios instancijos teismui nagrinėti iš naujo.</w:t>
      </w:r>
    </w:p>
    <w:p w:rsidR="00CE2293" w:rsidRPr="00B90026" w:rsidRDefault="00CE2293" w:rsidP="00CE2293">
      <w:pPr>
        <w:jc w:val="both"/>
        <w:rPr>
          <w:rFonts w:asciiTheme="minorHAnsi" w:hAnsiTheme="minorHAnsi" w:cstheme="minorHAnsi"/>
          <w:color w:val="000000"/>
          <w:sz w:val="22"/>
          <w:szCs w:val="22"/>
        </w:rPr>
      </w:pPr>
    </w:p>
    <w:p w:rsidR="005E1A50" w:rsidRPr="00B90026" w:rsidRDefault="00CE2293" w:rsidP="005E1A50">
      <w:pPr>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2017 m. lapkričio 29 d. nutartis administracinėje byloje Nr. A-1822-556/2017</w:t>
      </w:r>
    </w:p>
    <w:p w:rsidR="00CE2293" w:rsidRPr="00B90026" w:rsidRDefault="00CE2293" w:rsidP="005E1A50">
      <w:pPr>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Teisminio proceso Nr. 3-61-3-02381-2014-4</w:t>
      </w:r>
    </w:p>
    <w:p w:rsidR="005E1A50" w:rsidRPr="00B90026" w:rsidRDefault="005E1A50" w:rsidP="005E1A50">
      <w:pPr>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Procesinio sprendimo kategorijos: 29.1.2; 29.9</w:t>
      </w:r>
    </w:p>
    <w:p w:rsidR="005E1A50" w:rsidRPr="00B90026" w:rsidRDefault="007E1236" w:rsidP="005E1A50">
      <w:pPr>
        <w:jc w:val="both"/>
        <w:rPr>
          <w:rFonts w:asciiTheme="minorHAnsi" w:hAnsiTheme="minorHAnsi" w:cstheme="minorHAnsi"/>
          <w:color w:val="000000"/>
          <w:sz w:val="22"/>
          <w:szCs w:val="22"/>
        </w:rPr>
      </w:pPr>
      <w:hyperlink r:id="rId23" w:history="1">
        <w:r w:rsidR="005E1A50" w:rsidRPr="00B90026">
          <w:rPr>
            <w:rStyle w:val="Hipersaitas"/>
            <w:rFonts w:asciiTheme="minorHAnsi" w:hAnsiTheme="minorHAnsi" w:cstheme="minorHAnsi"/>
            <w:sz w:val="22"/>
            <w:szCs w:val="22"/>
          </w:rPr>
          <w:t>Prieiga internete</w:t>
        </w:r>
      </w:hyperlink>
    </w:p>
    <w:p w:rsidR="008A5B90" w:rsidRPr="00B90026" w:rsidRDefault="008A5B90" w:rsidP="008A5B90">
      <w:pPr>
        <w:jc w:val="both"/>
        <w:rPr>
          <w:rFonts w:asciiTheme="minorHAnsi" w:hAnsiTheme="minorHAnsi" w:cstheme="minorHAnsi"/>
          <w:b/>
          <w:sz w:val="22"/>
          <w:szCs w:val="22"/>
          <w:u w:val="single"/>
        </w:rPr>
      </w:pPr>
    </w:p>
    <w:p w:rsidR="008A5B90" w:rsidRPr="00B90026" w:rsidRDefault="006C3C83" w:rsidP="00363C0B">
      <w:pPr>
        <w:pStyle w:val="Antrat2"/>
      </w:pPr>
      <w:bookmarkStart w:id="59" w:name="_Toc505787264"/>
      <w:r w:rsidRPr="00B90026">
        <w:t>Dėl</w:t>
      </w:r>
      <w:r w:rsidR="008A5B90" w:rsidRPr="00B90026">
        <w:t xml:space="preserve"> patikros metu nustatytų duomenų įrodomosios vertės nagrinėjant ginčą teisme</w:t>
      </w:r>
      <w:bookmarkEnd w:id="59"/>
      <w:r w:rsidR="008A5B90" w:rsidRPr="00B90026">
        <w:t xml:space="preserve"> </w:t>
      </w:r>
    </w:p>
    <w:p w:rsidR="006C3C83" w:rsidRPr="00B90026" w:rsidRDefault="006C3C83" w:rsidP="00B91508">
      <w:pPr>
        <w:jc w:val="both"/>
        <w:rPr>
          <w:rStyle w:val="Hipersaitas"/>
          <w:rFonts w:asciiTheme="minorHAnsi" w:hAnsiTheme="minorHAnsi" w:cstheme="minorHAnsi"/>
          <w:sz w:val="22"/>
          <w:szCs w:val="22"/>
        </w:rPr>
      </w:pPr>
    </w:p>
    <w:p w:rsidR="006C3C83" w:rsidRPr="00B90026" w:rsidRDefault="006C3C83" w:rsidP="006C3C83">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 xml:space="preserve">Apžvelgiamoje byloje ginčyti Nacionalinės mokėjimo agentūros (toliau – Agentūra) ir Žemės ūkio ministerijos sprendimai susigrąžinti permokėtą 2 644,15 Eur paramos sumą. Pirmosios instancijos teismas ginčo sprendimo dalį dėl nesumontuotų 3,1 kv. m langų ir 28,01 kv. m grindų panaikino kaip nepagrįstą </w:t>
      </w:r>
      <w:r w:rsidRPr="00B90026">
        <w:rPr>
          <w:rFonts w:asciiTheme="minorHAnsi" w:hAnsiTheme="minorHAnsi" w:cstheme="minorHAnsi"/>
          <w:color w:val="000000"/>
          <w:sz w:val="22"/>
          <w:szCs w:val="22"/>
        </w:rPr>
        <w:lastRenderedPageBreak/>
        <w:t xml:space="preserve">objektyviais duomenimis ir dėl to neatitinkančią Viešojo administravimo įstatymo 8 straipsnio 1 dalies reikalavimų. </w:t>
      </w:r>
    </w:p>
    <w:p w:rsidR="006C3C83" w:rsidRPr="00B90026" w:rsidRDefault="006C3C83" w:rsidP="006C3C83">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Agentūra apeliaciniame skunde akcentavo, kad pirmosios instancijos teismas nemotyvuotai nesirėmė Agentūros patikros duomenimis, nepagrįstai rėmėsi eksperto duomenimis. Žemės ūkio ministerija atsiliepime nurodė, kad pareiškėja neskundė patikros vietoje ataskaitos, todėl neaišku, kodėl eksperto kvalifikacija buvo įvertinta kaip aukštesnė nei Agentūros darbuotojų.</w:t>
      </w:r>
    </w:p>
    <w:p w:rsidR="004D3596" w:rsidRPr="00B90026" w:rsidRDefault="006C3C83" w:rsidP="004D3596">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LVAT šiuo aspektu pažymėjo, kad ta aplinkybė, jog Lietuvos kaimo plėtros 2007–2013 metų programos administravimo taisyklių</w:t>
      </w:r>
      <w:r w:rsidR="004D3596" w:rsidRPr="00B90026">
        <w:rPr>
          <w:rFonts w:asciiTheme="minorHAnsi" w:hAnsiTheme="minorHAnsi" w:cstheme="minorHAnsi"/>
          <w:color w:val="000000"/>
          <w:sz w:val="22"/>
          <w:szCs w:val="22"/>
        </w:rPr>
        <w:t xml:space="preserve"> </w:t>
      </w:r>
      <w:r w:rsidRPr="00B90026">
        <w:rPr>
          <w:rFonts w:asciiTheme="minorHAnsi" w:hAnsiTheme="minorHAnsi" w:cstheme="minorHAnsi"/>
          <w:color w:val="000000"/>
          <w:sz w:val="22"/>
          <w:szCs w:val="22"/>
        </w:rPr>
        <w:t xml:space="preserve">206 punktas numatė pareiškėjui ir (arba) paramos gavėjui, nesutinkančiam su Agentūros ir (arba) </w:t>
      </w:r>
      <w:r w:rsidR="004D3596" w:rsidRPr="00B90026">
        <w:rPr>
          <w:rFonts w:asciiTheme="minorHAnsi" w:hAnsiTheme="minorHAnsi" w:cstheme="minorHAnsi"/>
          <w:color w:val="000000"/>
          <w:sz w:val="22"/>
          <w:szCs w:val="22"/>
        </w:rPr>
        <w:t>m</w:t>
      </w:r>
      <w:r w:rsidRPr="00B90026">
        <w:rPr>
          <w:rFonts w:asciiTheme="minorHAnsi" w:hAnsiTheme="minorHAnsi" w:cstheme="minorHAnsi"/>
          <w:color w:val="000000"/>
          <w:sz w:val="22"/>
          <w:szCs w:val="22"/>
        </w:rPr>
        <w:t xml:space="preserve">inisterijos priimtais sprendimais, veikimu arba neveikimu, susijusiais su paramos paraiškų, pateiktų pagal priemonę, administravimu, vertinimu, atranka ir mokėjimo prašymų administravimu, teisę juos apskųsti, neturi būti suprantama kaip privaloma procedūra dėl tų Agentūros ar </w:t>
      </w:r>
      <w:r w:rsidR="004D3596" w:rsidRPr="00B90026">
        <w:rPr>
          <w:rFonts w:asciiTheme="minorHAnsi" w:hAnsiTheme="minorHAnsi" w:cstheme="minorHAnsi"/>
          <w:color w:val="000000"/>
          <w:sz w:val="22"/>
          <w:szCs w:val="22"/>
        </w:rPr>
        <w:t>m</w:t>
      </w:r>
      <w:r w:rsidRPr="00B90026">
        <w:rPr>
          <w:rFonts w:asciiTheme="minorHAnsi" w:hAnsiTheme="minorHAnsi" w:cstheme="minorHAnsi"/>
          <w:color w:val="000000"/>
          <w:sz w:val="22"/>
          <w:szCs w:val="22"/>
        </w:rPr>
        <w:t>inisterijos veiksmų, kurie neturi tiesioginės įtakos asmenų materialiosioms teisėms. Skundo nepa</w:t>
      </w:r>
      <w:r w:rsidR="008C5E2F">
        <w:rPr>
          <w:rFonts w:asciiTheme="minorHAnsi" w:hAnsiTheme="minorHAnsi" w:cstheme="minorHAnsi"/>
          <w:color w:val="000000"/>
          <w:sz w:val="22"/>
          <w:szCs w:val="22"/>
        </w:rPr>
        <w:t xml:space="preserve">teikimas </w:t>
      </w:r>
      <w:r w:rsidRPr="00B90026">
        <w:rPr>
          <w:rFonts w:asciiTheme="minorHAnsi" w:hAnsiTheme="minorHAnsi" w:cstheme="minorHAnsi"/>
          <w:color w:val="000000"/>
          <w:sz w:val="22"/>
          <w:szCs w:val="22"/>
        </w:rPr>
        <w:t>dėl šių viešojo administravimo subjekto veiksmų negali būti aiškinamas kaip užkertantis kelią kvestionuoti tokius veiksmus teisme, kai yra skundžiamas sprendimas, kuriuo pareiškėjui nustatomos tam tikros materialiosios teisės ir pareigos, o kvestionuojami veiksmai buvo tik tam tikros objektyvios prielaidos ginčijamiems sprendimams priimti.</w:t>
      </w:r>
    </w:p>
    <w:p w:rsidR="006C3C83" w:rsidRPr="00B90026" w:rsidRDefault="004D3596" w:rsidP="004D3596">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N</w:t>
      </w:r>
      <w:r w:rsidR="006C3C83" w:rsidRPr="00B90026">
        <w:rPr>
          <w:rFonts w:asciiTheme="minorHAnsi" w:hAnsiTheme="minorHAnsi" w:cstheme="minorHAnsi"/>
          <w:color w:val="000000"/>
          <w:sz w:val="22"/>
          <w:szCs w:val="22"/>
        </w:rPr>
        <w:t>agrinė</w:t>
      </w:r>
      <w:r w:rsidRPr="00B90026">
        <w:rPr>
          <w:rFonts w:asciiTheme="minorHAnsi" w:hAnsiTheme="minorHAnsi" w:cstheme="minorHAnsi"/>
          <w:color w:val="000000"/>
          <w:sz w:val="22"/>
          <w:szCs w:val="22"/>
        </w:rPr>
        <w:t>t</w:t>
      </w:r>
      <w:r w:rsidR="006C3C83" w:rsidRPr="00B90026">
        <w:rPr>
          <w:rFonts w:asciiTheme="minorHAnsi" w:hAnsiTheme="minorHAnsi" w:cstheme="minorHAnsi"/>
          <w:color w:val="000000"/>
          <w:sz w:val="22"/>
          <w:szCs w:val="22"/>
        </w:rPr>
        <w:t>u atveju pareiškėja apskundė teismui atitinkamus sprendim</w:t>
      </w:r>
      <w:r w:rsidRPr="00B90026">
        <w:rPr>
          <w:rFonts w:asciiTheme="minorHAnsi" w:hAnsiTheme="minorHAnsi" w:cstheme="minorHAnsi"/>
          <w:color w:val="000000"/>
          <w:sz w:val="22"/>
          <w:szCs w:val="22"/>
        </w:rPr>
        <w:t xml:space="preserve">us, </w:t>
      </w:r>
      <w:r w:rsidR="006C3C83" w:rsidRPr="00B90026">
        <w:rPr>
          <w:rFonts w:asciiTheme="minorHAnsi" w:hAnsiTheme="minorHAnsi" w:cstheme="minorHAnsi"/>
          <w:color w:val="000000"/>
          <w:sz w:val="22"/>
          <w:szCs w:val="22"/>
        </w:rPr>
        <w:t xml:space="preserve">kurie jai sukėlė materialiąsias pasekmes, t. y. pareigą grąžinti permokėtą paramos sumą. Tokiu atveju patikros metu užfiksuoti duomenys gali būti paneigiami byloje kitais objektyviais įrodymais, kuriuos įvertina teismas. </w:t>
      </w:r>
      <w:r w:rsidRPr="00B90026">
        <w:rPr>
          <w:rFonts w:asciiTheme="minorHAnsi" w:hAnsiTheme="minorHAnsi" w:cstheme="minorHAnsi"/>
          <w:color w:val="000000"/>
          <w:sz w:val="22"/>
          <w:szCs w:val="22"/>
        </w:rPr>
        <w:t>P</w:t>
      </w:r>
      <w:r w:rsidR="006C3C83" w:rsidRPr="00B90026">
        <w:rPr>
          <w:rFonts w:asciiTheme="minorHAnsi" w:hAnsiTheme="minorHAnsi" w:cstheme="minorHAnsi"/>
          <w:color w:val="000000"/>
          <w:sz w:val="22"/>
          <w:szCs w:val="22"/>
        </w:rPr>
        <w:t>areiškėja, kai nėra įstatyme nustatyta privaloma skundo padavimo tvarka, pastarąja teise disponuoja savo pasirinkimu, ir dėl to, kad ji nepasinaudojo Administravimo taisyklėse numatyta patikros metu</w:t>
      </w:r>
      <w:r w:rsidRPr="00B90026">
        <w:rPr>
          <w:rFonts w:asciiTheme="minorHAnsi" w:hAnsiTheme="minorHAnsi" w:cstheme="minorHAnsi"/>
          <w:color w:val="000000"/>
          <w:sz w:val="22"/>
          <w:szCs w:val="22"/>
        </w:rPr>
        <w:t xml:space="preserve"> </w:t>
      </w:r>
      <w:r w:rsidR="006C3C83" w:rsidRPr="00B90026">
        <w:rPr>
          <w:rFonts w:asciiTheme="minorHAnsi" w:hAnsiTheme="minorHAnsi" w:cstheme="minorHAnsi"/>
          <w:color w:val="000000"/>
          <w:sz w:val="22"/>
          <w:szCs w:val="22"/>
        </w:rPr>
        <w:t>nustatytų duomenų apskundimo galimybe, negali būti užkertamas kelias administracinėje byloje juos paneigti kitais leistinais įrodymais.</w:t>
      </w:r>
    </w:p>
    <w:p w:rsidR="004D3596" w:rsidRPr="00B90026" w:rsidRDefault="004D3596" w:rsidP="004D3596">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Agentūros patikros duomenų nėra teisinio pagrindo laikyti papildomai neįrodinėtinomis aplinkybėmis ar aukštesnę teisinę galią turinčiais įrodymais, jie turi būti tiriami ir vertinami kartu su kitais byloje surinktais įrodymais, kurie patvirtintų ar paneigtų ginčijamų sprendimų objektyvų pagrindimą.</w:t>
      </w:r>
    </w:p>
    <w:p w:rsidR="004D3596" w:rsidRPr="00B90026" w:rsidRDefault="004D3596" w:rsidP="004D3596">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 xml:space="preserve">LVAT teisėjų kolegija iš esmės pritarė pirmosios instancijos teismo sprendime atliktam įrodymų vertinimui, kuris grindžiamas pareiškėjos pateikto eksperto, įtraukto į teismo ekspertų sąrašą, vertinimo aktu. Pirmosios instancijos </w:t>
      </w:r>
      <w:r w:rsidR="001D7970">
        <w:rPr>
          <w:rFonts w:asciiTheme="minorHAnsi" w:hAnsiTheme="minorHAnsi" w:cstheme="minorHAnsi"/>
          <w:color w:val="000000"/>
          <w:sz w:val="22"/>
          <w:szCs w:val="22"/>
        </w:rPr>
        <w:t xml:space="preserve">teismas </w:t>
      </w:r>
      <w:r w:rsidRPr="00B90026">
        <w:rPr>
          <w:rFonts w:asciiTheme="minorHAnsi" w:hAnsiTheme="minorHAnsi" w:cstheme="minorHAnsi"/>
          <w:color w:val="000000"/>
          <w:sz w:val="22"/>
          <w:szCs w:val="22"/>
        </w:rPr>
        <w:t>atsižvelgė į eksperto kompetenciją, nustatė, kad jam 2009 m. suteiktas statybos inžinerijos mokslo daktaro laipsnis, statinio projekto ekspertizės dalies vadovo ir ypatingojo statinio dalin</w:t>
      </w:r>
      <w:r w:rsidR="008C5E2F">
        <w:rPr>
          <w:rFonts w:asciiTheme="minorHAnsi" w:hAnsiTheme="minorHAnsi" w:cstheme="minorHAnsi"/>
          <w:color w:val="000000"/>
          <w:sz w:val="22"/>
          <w:szCs w:val="22"/>
        </w:rPr>
        <w:t>ė</w:t>
      </w:r>
      <w:r w:rsidRPr="00B90026">
        <w:rPr>
          <w:rFonts w:asciiTheme="minorHAnsi" w:hAnsiTheme="minorHAnsi" w:cstheme="minorHAnsi"/>
          <w:color w:val="000000"/>
          <w:sz w:val="22"/>
          <w:szCs w:val="22"/>
        </w:rPr>
        <w:t xml:space="preserve">s ekspertizės vadovo kvalifikacija, statybos vadovo ir statybos techninės priežiūros kvalifikacija ir t. t. </w:t>
      </w:r>
    </w:p>
    <w:p w:rsidR="004D3596" w:rsidRPr="00B90026" w:rsidRDefault="004D3596" w:rsidP="004D3596">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Agentūros specialistas, nurodydamas, kad trūksta 3,1 kv. m langų ploto, į ginčijamų langų plotą neįskaičiavo angokraščių apdailos detalių ploto, kuris uždengia ne tik lango angos dalį, tačiau ir statinio dalį, bei nepateikė argumentų, kad pareiškėjos įrengti langai neatitinka numatytų projekte ar kad eksperto atlikti faktiniai skaičiavimai neatitinka projekte (jo brėžiniuose) numatytų konkrečių darbų, už kuriuos buvo numatyta skirti paramą, todėl tokie argumentai nesudarė pagrindo nesutikti su pirmosios instancijos teismo sprendime atliktu vertinimu bei išvada dėl ginčijamų sprendimų nepagrįstumo aptariamoje dalyje. Ginčo objekto vertinimo akto originalas buvo pateiktas ministerijai kartu su pareiškėjos skundu, tačiau nei atsakyme pareiškėjai, nei atsiliepime į jos skundą teismui nebuvo pateikti argumentai dėl to, kad vertinimo aktas parengtas neobjektyviai ar nekompetentingai.</w:t>
      </w:r>
    </w:p>
    <w:p w:rsidR="004D3596" w:rsidRPr="00B90026" w:rsidRDefault="004D3596" w:rsidP="004D3596">
      <w:pPr>
        <w:ind w:firstLine="567"/>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Agentūros apeliacinis skundas atmestas, Vilniaus apygardos administracinio teismo</w:t>
      </w:r>
      <w:r w:rsidR="00A46518">
        <w:rPr>
          <w:rFonts w:asciiTheme="minorHAnsi" w:hAnsiTheme="minorHAnsi" w:cstheme="minorHAnsi"/>
          <w:color w:val="000000"/>
          <w:sz w:val="22"/>
          <w:szCs w:val="22"/>
        </w:rPr>
        <w:t xml:space="preserve"> </w:t>
      </w:r>
      <w:r w:rsidRPr="00B90026">
        <w:rPr>
          <w:rFonts w:asciiTheme="minorHAnsi" w:hAnsiTheme="minorHAnsi" w:cstheme="minorHAnsi"/>
          <w:color w:val="000000"/>
          <w:sz w:val="22"/>
          <w:szCs w:val="22"/>
        </w:rPr>
        <w:t>sprendimas paliktas nepakeistas.</w:t>
      </w:r>
    </w:p>
    <w:p w:rsidR="00BA1614" w:rsidRPr="00B90026" w:rsidRDefault="00BA1614" w:rsidP="00BA1614">
      <w:pPr>
        <w:jc w:val="both"/>
        <w:rPr>
          <w:rFonts w:asciiTheme="minorHAnsi" w:hAnsiTheme="minorHAnsi" w:cstheme="minorHAnsi"/>
          <w:color w:val="000000"/>
          <w:sz w:val="22"/>
          <w:szCs w:val="22"/>
        </w:rPr>
      </w:pPr>
    </w:p>
    <w:p w:rsidR="00BA1614" w:rsidRPr="00B90026" w:rsidRDefault="00BA1614" w:rsidP="00BA1614">
      <w:pPr>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2017 m. gruodžio 19 d. nutartis administracinėje byloje Nr. A-1339-492/2017</w:t>
      </w:r>
    </w:p>
    <w:p w:rsidR="00BA1614" w:rsidRPr="00B90026" w:rsidRDefault="00BA1614" w:rsidP="00BA1614">
      <w:pPr>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Teisminio proceso Nr. 3-61-3-03452-2015-5</w:t>
      </w:r>
    </w:p>
    <w:p w:rsidR="00BA1614" w:rsidRPr="00B90026" w:rsidRDefault="00BA1614" w:rsidP="00BA1614">
      <w:pPr>
        <w:jc w:val="both"/>
        <w:rPr>
          <w:rFonts w:asciiTheme="minorHAnsi" w:hAnsiTheme="minorHAnsi" w:cstheme="minorHAnsi"/>
          <w:color w:val="000000"/>
          <w:sz w:val="22"/>
          <w:szCs w:val="22"/>
        </w:rPr>
      </w:pPr>
      <w:r w:rsidRPr="00B90026">
        <w:rPr>
          <w:rFonts w:asciiTheme="minorHAnsi" w:hAnsiTheme="minorHAnsi" w:cstheme="minorHAnsi"/>
          <w:color w:val="000000"/>
          <w:sz w:val="22"/>
          <w:szCs w:val="22"/>
        </w:rPr>
        <w:t>Procesinio sprendimo kategorijos: 29.1.3; 29.3</w:t>
      </w:r>
    </w:p>
    <w:p w:rsidR="00D834F1" w:rsidRDefault="007E1236" w:rsidP="00D834F1">
      <w:pPr>
        <w:jc w:val="both"/>
        <w:rPr>
          <w:rStyle w:val="Hipersaitas"/>
          <w:rFonts w:asciiTheme="minorHAnsi" w:hAnsiTheme="minorHAnsi" w:cstheme="minorHAnsi"/>
          <w:sz w:val="22"/>
          <w:szCs w:val="22"/>
        </w:rPr>
      </w:pPr>
      <w:hyperlink r:id="rId24" w:history="1">
        <w:r w:rsidR="00BA1614" w:rsidRPr="00B90026">
          <w:rPr>
            <w:rStyle w:val="Hipersaitas"/>
            <w:rFonts w:asciiTheme="minorHAnsi" w:hAnsiTheme="minorHAnsi" w:cstheme="minorHAnsi"/>
            <w:sz w:val="22"/>
            <w:szCs w:val="22"/>
          </w:rPr>
          <w:t>Prieiga internete</w:t>
        </w:r>
      </w:hyperlink>
    </w:p>
    <w:p w:rsidR="009C03CF" w:rsidRPr="00B90026" w:rsidRDefault="009C03CF" w:rsidP="00D834F1">
      <w:pPr>
        <w:jc w:val="both"/>
        <w:rPr>
          <w:rStyle w:val="Hipersaitas"/>
          <w:rFonts w:asciiTheme="minorHAnsi" w:hAnsiTheme="minorHAnsi" w:cstheme="minorHAnsi"/>
          <w:sz w:val="22"/>
          <w:szCs w:val="22"/>
        </w:rPr>
      </w:pPr>
    </w:p>
    <w:p w:rsidR="009C03CF" w:rsidRDefault="009C03CF" w:rsidP="009C03CF">
      <w:pPr>
        <w:pStyle w:val="Antrat2"/>
      </w:pPr>
      <w:bookmarkStart w:id="60" w:name="_Toc505787265"/>
      <w:r>
        <w:t>Dėl Reglamento Nr. 2988/95 taikymo Sanglaudos fondo projektų pažeidimų atvejais ir senaties termino</w:t>
      </w:r>
      <w:bookmarkEnd w:id="60"/>
    </w:p>
    <w:p w:rsidR="009C03CF" w:rsidRDefault="009C03CF" w:rsidP="009C03CF">
      <w:pPr>
        <w:jc w:val="both"/>
        <w:rPr>
          <w:rFonts w:asciiTheme="minorHAnsi" w:hAnsiTheme="minorHAnsi" w:cstheme="minorHAnsi"/>
          <w:i/>
          <w:sz w:val="22"/>
          <w:szCs w:val="22"/>
        </w:rPr>
      </w:pPr>
    </w:p>
    <w:p w:rsidR="009C03CF" w:rsidRDefault="009C03CF" w:rsidP="009C03CF">
      <w:pPr>
        <w:ind w:firstLine="567"/>
        <w:jc w:val="both"/>
        <w:rPr>
          <w:rFonts w:asciiTheme="minorHAnsi" w:hAnsiTheme="minorHAnsi" w:cstheme="minorHAnsi"/>
          <w:color w:val="000000"/>
          <w:sz w:val="22"/>
          <w:szCs w:val="22"/>
        </w:rPr>
      </w:pPr>
      <w:r>
        <w:rPr>
          <w:rFonts w:asciiTheme="minorHAnsi" w:hAnsiTheme="minorHAnsi" w:cstheme="minorHAnsi"/>
          <w:color w:val="000000"/>
          <w:sz w:val="22"/>
          <w:szCs w:val="22"/>
        </w:rPr>
        <w:t>Pareiškėjas UAB „Alytaus regiono atliekų tvarkymo centras“ kreipėsi į Vilniaus apygardos administracinį teismą su skundu, prašydamas panaikinti Lietuvos Respublikos aplinkos ministerijos Aplinkos projektų valdymo agentūros (toliau – ir Agentūra, atsakovas) 2</w:t>
      </w:r>
      <w:r>
        <w:rPr>
          <w:rFonts w:asciiTheme="minorHAnsi" w:hAnsiTheme="minorHAnsi" w:cs="Arial"/>
          <w:color w:val="000000"/>
          <w:sz w:val="22"/>
          <w:szCs w:val="22"/>
        </w:rPr>
        <w:t>013 m. kovo 29 d.</w:t>
      </w:r>
      <w:r>
        <w:rPr>
          <w:rFonts w:ascii="Arial" w:hAnsi="Arial" w:cs="Arial"/>
          <w:color w:val="000000"/>
          <w:sz w:val="23"/>
          <w:szCs w:val="23"/>
        </w:rPr>
        <w:t xml:space="preserve"> </w:t>
      </w:r>
      <w:r>
        <w:rPr>
          <w:rFonts w:asciiTheme="minorHAnsi" w:hAnsiTheme="minorHAnsi" w:cstheme="minorHAnsi"/>
          <w:color w:val="000000"/>
          <w:sz w:val="22"/>
          <w:szCs w:val="22"/>
        </w:rPr>
        <w:t>direktoriaus įsakymus, kuriuose nurodoma, jog pareiškėjas netinkamai panaudojo dalį Europos Sąjungos paramos lėšų ir jam šias lėšas nurodoma grąžinti.</w:t>
      </w:r>
    </w:p>
    <w:p w:rsidR="009C03CF" w:rsidRDefault="009C03CF" w:rsidP="009C03CF">
      <w:pPr>
        <w:ind w:firstLine="567"/>
        <w:jc w:val="both"/>
        <w:rPr>
          <w:rFonts w:asciiTheme="minorHAnsi" w:hAnsiTheme="minorHAnsi" w:cs="Arial"/>
          <w:color w:val="000000"/>
          <w:sz w:val="22"/>
          <w:szCs w:val="22"/>
        </w:rPr>
      </w:pPr>
      <w:r>
        <w:rPr>
          <w:rFonts w:asciiTheme="minorHAnsi" w:hAnsiTheme="minorHAnsi" w:cs="Arial"/>
          <w:color w:val="000000"/>
          <w:sz w:val="22"/>
          <w:szCs w:val="22"/>
        </w:rPr>
        <w:t>Pirmosios instancijos teismui pritaikius 1995 m. gruodžio 18 d. Tarybos reglamento (EB, Euratomas) Nr.</w:t>
      </w:r>
      <w:r w:rsidR="000B7D1D">
        <w:rPr>
          <w:rFonts w:asciiTheme="minorHAnsi" w:hAnsiTheme="minorHAnsi" w:cs="Arial"/>
          <w:color w:val="000000"/>
          <w:sz w:val="22"/>
          <w:szCs w:val="22"/>
        </w:rPr>
        <w:t> </w:t>
      </w:r>
      <w:r>
        <w:rPr>
          <w:rFonts w:asciiTheme="minorHAnsi" w:hAnsiTheme="minorHAnsi" w:cs="Arial"/>
          <w:color w:val="000000"/>
          <w:sz w:val="22"/>
          <w:szCs w:val="22"/>
        </w:rPr>
        <w:t>2988/95</w:t>
      </w:r>
      <w:bookmarkStart w:id="61" w:name="pn19a2a40b-b204-4b95-9d5d-f832f163918f"/>
      <w:bookmarkEnd w:id="61"/>
      <w:r>
        <w:rPr>
          <w:rFonts w:asciiTheme="minorHAnsi" w:hAnsiTheme="minorHAnsi" w:cs="Arial"/>
          <w:color w:val="000000"/>
          <w:sz w:val="22"/>
          <w:szCs w:val="22"/>
        </w:rPr>
        <w:t xml:space="preserve"> (toliau – Reglamentas Nr. 2988/95) </w:t>
      </w:r>
      <w:bookmarkStart w:id="62" w:name="pn0d35ff4c-c136-4813-bcbf-1c85c5ff9746"/>
      <w:bookmarkEnd w:id="62"/>
      <w:r>
        <w:rPr>
          <w:rFonts w:asciiTheme="minorHAnsi" w:hAnsiTheme="minorHAnsi" w:cs="Arial"/>
          <w:color w:val="000000"/>
          <w:sz w:val="22"/>
          <w:szCs w:val="22"/>
        </w:rPr>
        <w:t xml:space="preserve">3 straipsnio 1 dalyje įtvirtintą patraukimo atsakomybėn </w:t>
      </w:r>
      <w:r>
        <w:rPr>
          <w:rFonts w:asciiTheme="minorHAnsi" w:hAnsiTheme="minorHAnsi" w:cs="Arial"/>
          <w:color w:val="000000"/>
          <w:sz w:val="22"/>
          <w:szCs w:val="22"/>
        </w:rPr>
        <w:lastRenderedPageBreak/>
        <w:t>senaties terminą ir ginčo įsakymus panaikinus, apžvelgiamoje byloje spręsta, ar ginčo teisiniams santykiams taikytinas šis reglamentas ir jeigu taip, ar priimant ginčo įsakymus, buvo pasibaigęs senaties terminas. Iškilus Europos Sąjungos (toliau – ES) teisės taikymo bei aiškinimo klausimui, LVAT šioje byloje kreipėsi į Europos Sąjungos Teisingumo Teismą, kuris 2017 m. birželio 15 d. priėmė prejudicinį sprendimą byloje Nr. C</w:t>
      </w:r>
      <w:r>
        <w:rPr>
          <w:rFonts w:asciiTheme="minorHAnsi" w:hAnsiTheme="minorHAnsi" w:cs="Arial"/>
          <w:color w:val="000000"/>
          <w:sz w:val="22"/>
          <w:szCs w:val="22"/>
        </w:rPr>
        <w:noBreakHyphen/>
        <w:t>436/15.</w:t>
      </w:r>
    </w:p>
    <w:p w:rsidR="009C03CF" w:rsidRDefault="009C03CF" w:rsidP="009C03CF">
      <w:pPr>
        <w:ind w:firstLine="567"/>
        <w:jc w:val="both"/>
        <w:rPr>
          <w:rFonts w:asciiTheme="minorHAnsi" w:hAnsiTheme="minorHAnsi" w:cs="Arial"/>
          <w:color w:val="000000"/>
          <w:sz w:val="22"/>
          <w:szCs w:val="22"/>
        </w:rPr>
      </w:pPr>
      <w:r>
        <w:rPr>
          <w:rFonts w:asciiTheme="minorHAnsi" w:hAnsiTheme="minorHAnsi" w:cs="Arial"/>
          <w:color w:val="000000"/>
          <w:sz w:val="22"/>
          <w:szCs w:val="22"/>
        </w:rPr>
        <w:t xml:space="preserve">LVAT išplėstinė teisėjų kolegija, išanalizavusi aktualų teisinį reguliavimą, nurodė, kad nei Pažeidimų nustatymo taisyklių, nei Susigrąžinimo tvarkos, nei Reglamento Nr. 1083/2006, Reglamento Nr. 1164/94, Reglamento Nr. 1386/2002, Reglamento Nr. </w:t>
      </w:r>
      <w:hyperlink r:id="rId25" w:tgtFrame="_blank" w:tooltip="16/2003 Dėl LR žemės reformos įstatymo nuostatų atitikimo LR Konstitucijai" w:history="1">
        <w:r w:rsidRPr="009C03CF">
          <w:rPr>
            <w:rFonts w:asciiTheme="minorHAnsi" w:hAnsiTheme="minorHAnsi" w:cs="Arial"/>
            <w:color w:val="000000"/>
            <w:sz w:val="22"/>
            <w:szCs w:val="22"/>
          </w:rPr>
          <w:t>16/2003</w:t>
        </w:r>
      </w:hyperlink>
      <w:bookmarkStart w:id="63" w:name="n779931dd-3d2a-491c-aa23-36d5a87d5403"/>
      <w:bookmarkStart w:id="64" w:name="pn779931dd-3d2a-491c-aa23-36d5a87d5403"/>
      <w:bookmarkEnd w:id="63"/>
      <w:bookmarkEnd w:id="64"/>
      <w:r>
        <w:rPr>
          <w:rFonts w:asciiTheme="minorHAnsi" w:hAnsiTheme="minorHAnsi" w:cs="Arial"/>
          <w:color w:val="000000"/>
          <w:sz w:val="22"/>
          <w:szCs w:val="22"/>
        </w:rPr>
        <w:t xml:space="preserve"> nuostatos nenustato jokių terminų, ribojančių atsakovo galimybes nustačius pažeidimus dėl ES lėšų netinkamo naudojimo, inicijuoti jų susigrąžinimą ir jas susigrąžinti. Tačiau turi būti atsižvelgiama ne tik į specialius teisės aktus, reglamentuojančius ES paramos skyrimą ar administravimą, bet ir taikytinus bendruosius teisės aktus, </w:t>
      </w:r>
      <w:r w:rsidRPr="009C03CF">
        <w:rPr>
          <w:rFonts w:asciiTheme="minorHAnsi" w:hAnsiTheme="minorHAnsi" w:cs="Arial"/>
          <w:i/>
          <w:color w:val="000000"/>
          <w:sz w:val="22"/>
          <w:szCs w:val="22"/>
        </w:rPr>
        <w:t>inter alia</w:t>
      </w:r>
      <w:r>
        <w:rPr>
          <w:rFonts w:asciiTheme="minorHAnsi" w:hAnsiTheme="minorHAnsi" w:cs="Arial"/>
          <w:color w:val="000000"/>
          <w:sz w:val="22"/>
          <w:szCs w:val="22"/>
        </w:rPr>
        <w:t xml:space="preserve"> Reglamentą Nr. </w:t>
      </w:r>
      <w:hyperlink r:id="rId26" w:tgtFrame="_blank" w:tooltip="8/ 95 Dėl įstatymo " w:history="1">
        <w:r w:rsidRPr="009C03CF">
          <w:rPr>
            <w:rFonts w:asciiTheme="minorHAnsi" w:hAnsiTheme="minorHAnsi" w:cs="Arial"/>
            <w:color w:val="000000"/>
            <w:sz w:val="22"/>
            <w:szCs w:val="22"/>
          </w:rPr>
          <w:t>2988/95</w:t>
        </w:r>
      </w:hyperlink>
      <w:bookmarkStart w:id="65" w:name="nf0f25140-b22d-4ef3-951e-963a6758be5f"/>
      <w:bookmarkStart w:id="66" w:name="pnf0f25140-b22d-4ef3-951e-963a6758be5f"/>
      <w:bookmarkEnd w:id="65"/>
      <w:bookmarkEnd w:id="66"/>
      <w:r>
        <w:rPr>
          <w:rFonts w:asciiTheme="minorHAnsi" w:hAnsiTheme="minorHAnsi" w:cs="Arial"/>
          <w:color w:val="000000"/>
          <w:sz w:val="22"/>
          <w:szCs w:val="22"/>
        </w:rPr>
        <w:t xml:space="preserve">, nors pirmiau nurodyti Europos Sąjungos, nacionalinės teisės aktai eksplicitiškai nepateikia nuorodos į šį aktą. Vien ta aplinkybė, jog šiuose aktuose nėra blanketinės normos, nukreipiančios į Reglamentą Nr. </w:t>
      </w:r>
      <w:hyperlink r:id="rId27" w:tgtFrame="_blank" w:tooltip="8/ 95 Dėl įstatymo " w:history="1">
        <w:r w:rsidRPr="009C03CF">
          <w:rPr>
            <w:rFonts w:asciiTheme="minorHAnsi" w:hAnsiTheme="minorHAnsi" w:cs="Arial"/>
            <w:color w:val="000000"/>
            <w:sz w:val="22"/>
            <w:szCs w:val="22"/>
          </w:rPr>
          <w:t>2988/95</w:t>
        </w:r>
      </w:hyperlink>
      <w:bookmarkStart w:id="67" w:name="nd7b25d3c-58e7-40f5-a16b-36acdff05708"/>
      <w:bookmarkStart w:id="68" w:name="pnd7b25d3c-58e7-40f5-a16b-36acdff05708"/>
      <w:bookmarkEnd w:id="67"/>
      <w:bookmarkEnd w:id="68"/>
      <w:r>
        <w:rPr>
          <w:rFonts w:asciiTheme="minorHAnsi" w:hAnsiTheme="minorHAnsi" w:cs="Arial"/>
          <w:color w:val="000000"/>
          <w:sz w:val="22"/>
          <w:szCs w:val="22"/>
        </w:rPr>
        <w:t xml:space="preserve">, nesudaro pagrindo teigti, jog Reglamentas Nr. </w:t>
      </w:r>
      <w:hyperlink r:id="rId28" w:tgtFrame="_blank" w:tooltip="8/ 95 Dėl įstatymo " w:history="1">
        <w:r w:rsidRPr="009C03CF">
          <w:rPr>
            <w:rFonts w:asciiTheme="minorHAnsi" w:hAnsiTheme="minorHAnsi" w:cs="Arial"/>
            <w:color w:val="000000"/>
            <w:sz w:val="22"/>
            <w:szCs w:val="22"/>
          </w:rPr>
          <w:t>2988/95</w:t>
        </w:r>
      </w:hyperlink>
      <w:bookmarkStart w:id="69" w:name="n39456e9d-5fb9-4936-a91f-4170fa7fc723"/>
      <w:bookmarkStart w:id="70" w:name="pn39456e9d-5fb9-4936-a91f-4170fa7fc723"/>
      <w:bookmarkEnd w:id="69"/>
      <w:bookmarkEnd w:id="70"/>
      <w:r>
        <w:rPr>
          <w:rFonts w:asciiTheme="minorHAnsi" w:hAnsiTheme="minorHAnsi" w:cs="Arial"/>
          <w:color w:val="000000"/>
          <w:sz w:val="22"/>
          <w:szCs w:val="22"/>
        </w:rPr>
        <w:t xml:space="preserve"> negali būti taikomas ginčo teisiniams santykiams.</w:t>
      </w:r>
      <w:r w:rsidR="00A46518">
        <w:rPr>
          <w:rFonts w:asciiTheme="minorHAnsi" w:hAnsiTheme="minorHAnsi" w:cs="Arial"/>
          <w:color w:val="000000"/>
          <w:sz w:val="22"/>
          <w:szCs w:val="22"/>
        </w:rPr>
        <w:t xml:space="preserve"> </w:t>
      </w:r>
      <w:r>
        <w:rPr>
          <w:rFonts w:asciiTheme="minorHAnsi" w:hAnsiTheme="minorHAnsi" w:cs="Arial"/>
          <w:color w:val="000000"/>
          <w:sz w:val="22"/>
          <w:szCs w:val="22"/>
        </w:rPr>
        <w:t>Atsižvelgusi į Reglamento Nr. 2988/95</w:t>
      </w:r>
      <w:bookmarkStart w:id="71" w:name="pn520c29ac-28b3-486c-a8e6-cc770dd70fd2"/>
      <w:bookmarkEnd w:id="71"/>
      <w:r>
        <w:rPr>
          <w:rFonts w:asciiTheme="minorHAnsi" w:hAnsiTheme="minorHAnsi" w:cs="Arial"/>
          <w:color w:val="000000"/>
          <w:sz w:val="22"/>
          <w:szCs w:val="22"/>
        </w:rPr>
        <w:t xml:space="preserve"> taikymo apimtį bei Europos Sąjungos Teisingumo Teismo (toliau – ESTT) išaiškinimus, LVAT išplėstinė teisėjų kolegija konstatavo, kad </w:t>
      </w:r>
      <w:r>
        <w:rPr>
          <w:rFonts w:asciiTheme="minorHAnsi" w:hAnsiTheme="minorHAnsi" w:cs="Arial"/>
          <w:color w:val="000000"/>
          <w:sz w:val="22"/>
          <w:szCs w:val="22"/>
          <w:u w:val="single"/>
        </w:rPr>
        <w:t xml:space="preserve">nesant atskirų Bendrijos sektorių taisyklių, numatančių trumpesnį terminą, bet ne trumpesnį kaip treji metai, arba ilgesnį senaties terminą įtvirtinančių nacionalinių teisės aktų, šiuo atveju Reglamento Nr. 2988/95 </w:t>
      </w:r>
      <w:bookmarkStart w:id="72" w:name="pnd6fe0e01-6159-49fa-98ef-6b85172aaf5b"/>
      <w:bookmarkEnd w:id="72"/>
      <w:r>
        <w:rPr>
          <w:rFonts w:asciiTheme="minorHAnsi" w:hAnsiTheme="minorHAnsi" w:cs="Arial"/>
          <w:color w:val="000000"/>
          <w:sz w:val="22"/>
          <w:szCs w:val="22"/>
          <w:u w:val="single"/>
        </w:rPr>
        <w:t>3 straipsnio 1 dalis nustatanti patraukimo atsakomybėn senaties terminus ir kitas susijusias taisykles, taikoma tiesiogiai</w:t>
      </w:r>
      <w:r>
        <w:rPr>
          <w:rFonts w:asciiTheme="minorHAnsi" w:hAnsiTheme="minorHAnsi" w:cs="Arial"/>
          <w:color w:val="000000"/>
          <w:sz w:val="22"/>
          <w:szCs w:val="22"/>
        </w:rPr>
        <w:t>. Reglamento Nr. 2988/95</w:t>
      </w:r>
      <w:bookmarkStart w:id="73" w:name="pn2c7445b9-3383-454c-9df0-de3caf8b1ef6"/>
      <w:bookmarkEnd w:id="73"/>
      <w:r>
        <w:rPr>
          <w:rFonts w:asciiTheme="minorHAnsi" w:hAnsiTheme="minorHAnsi" w:cs="Arial"/>
          <w:color w:val="000000"/>
          <w:sz w:val="22"/>
          <w:szCs w:val="22"/>
        </w:rPr>
        <w:t xml:space="preserve"> nuostatų taikymą ginčo teisiniams santykiams patvirtino ir ESTT byloje Nr. C-436/15.</w:t>
      </w:r>
    </w:p>
    <w:p w:rsidR="009C03CF" w:rsidRDefault="009C03CF" w:rsidP="009C03CF">
      <w:pPr>
        <w:ind w:firstLine="567"/>
        <w:jc w:val="both"/>
        <w:rPr>
          <w:rFonts w:asciiTheme="minorHAnsi" w:hAnsiTheme="minorHAnsi" w:cs="Arial"/>
          <w:color w:val="000000"/>
          <w:sz w:val="22"/>
          <w:szCs w:val="22"/>
        </w:rPr>
      </w:pPr>
      <w:r>
        <w:rPr>
          <w:rFonts w:asciiTheme="minorHAnsi" w:hAnsiTheme="minorHAnsi" w:cs="Arial"/>
          <w:color w:val="000000"/>
          <w:sz w:val="22"/>
          <w:szCs w:val="22"/>
        </w:rPr>
        <w:t xml:space="preserve">Pasisakydama dėl </w:t>
      </w:r>
      <w:r>
        <w:rPr>
          <w:rFonts w:asciiTheme="minorHAnsi" w:hAnsiTheme="minorHAnsi" w:cs="Arial"/>
          <w:iCs/>
          <w:color w:val="000000"/>
          <w:sz w:val="22"/>
          <w:szCs w:val="22"/>
        </w:rPr>
        <w:t xml:space="preserve">Reglamento Nr. </w:t>
      </w:r>
      <w:bookmarkStart w:id="74" w:name="n8318fed2-a55e-43d8-ba51-4d5410b466e5"/>
      <w:r>
        <w:rPr>
          <w:rFonts w:asciiTheme="minorHAnsi" w:hAnsiTheme="minorHAnsi" w:cs="Arial"/>
          <w:iCs/>
          <w:color w:val="000000"/>
          <w:sz w:val="22"/>
          <w:szCs w:val="22"/>
        </w:rPr>
        <w:t>2988/95</w:t>
      </w:r>
      <w:bookmarkStart w:id="75" w:name="pn8318fed2-a55e-43d8-ba51-4d5410b466e5"/>
      <w:bookmarkEnd w:id="74"/>
      <w:bookmarkEnd w:id="75"/>
      <w:r>
        <w:rPr>
          <w:rFonts w:asciiTheme="minorHAnsi" w:hAnsiTheme="minorHAnsi" w:cs="Arial"/>
          <w:iCs/>
          <w:color w:val="000000"/>
          <w:sz w:val="22"/>
          <w:szCs w:val="22"/>
        </w:rPr>
        <w:t xml:space="preserve"> 3 straipsnyje numatyto patraukimo atsakomybėn senaties</w:t>
      </w:r>
      <w:r>
        <w:rPr>
          <w:rFonts w:asciiTheme="minorHAnsi" w:hAnsiTheme="minorHAnsi" w:cs="Arial"/>
          <w:color w:val="000000"/>
          <w:sz w:val="22"/>
          <w:szCs w:val="22"/>
        </w:rPr>
        <w:t xml:space="preserve"> </w:t>
      </w:r>
      <w:r>
        <w:rPr>
          <w:rFonts w:asciiTheme="minorHAnsi" w:hAnsiTheme="minorHAnsi" w:cs="Arial"/>
          <w:iCs/>
          <w:color w:val="000000"/>
          <w:sz w:val="22"/>
          <w:szCs w:val="22"/>
        </w:rPr>
        <w:t>termino taikymo, LVAT išplėstinė teisėjų kolegija nurodė, kad pagal šį straipsnį</w:t>
      </w:r>
      <w:bookmarkStart w:id="76" w:name="pn551c26b1-26d4-499c-835d-029857771b7d"/>
      <w:bookmarkEnd w:id="76"/>
      <w:r>
        <w:rPr>
          <w:rFonts w:asciiTheme="minorHAnsi" w:hAnsiTheme="minorHAnsi" w:cs="Arial"/>
          <w:color w:val="000000"/>
          <w:sz w:val="22"/>
          <w:szCs w:val="22"/>
        </w:rPr>
        <w:t>, vykdant daugiametes programas, senaties terminas nesibaigia tol, kol visiškai nebaigiama programa. Tai yra speciali taisyklė, taikoma daugiamečių programų atveju ir ji leidžia numatytą ketverių metų terminą pratęsti, bet ne jį sutrumpinti. Pažymėta tai, kad nustatant, kada programa visiškai baigiama, kaip tai suprantama pagal Reglamento Nr. 2988/95</w:t>
      </w:r>
      <w:bookmarkStart w:id="77" w:name="pn7861deb2-4699-424f-8456-5f4cc69190bb"/>
      <w:bookmarkEnd w:id="77"/>
      <w:r>
        <w:rPr>
          <w:rFonts w:asciiTheme="minorHAnsi" w:hAnsiTheme="minorHAnsi" w:cs="Arial"/>
          <w:color w:val="000000"/>
          <w:sz w:val="22"/>
          <w:szCs w:val="22"/>
        </w:rPr>
        <w:t xml:space="preserve"> 3 straipsnio 1 dalies antros pastraipos antrą sakinį, reikia atsižvelgti į šioje nuostatoje nustatyto senaties termino tikslą. Vertinant senaties termino pabaigos momentą, taip pat reikia įvertinti ir tai, ar egzistavo aplinkybės, nutraukusios prasidėjusį senaties terminą. Pagal Reglamento Nr. 2988/95 </w:t>
      </w:r>
      <w:bookmarkStart w:id="78" w:name="pnca6f64cd-5085-49ea-a1dd-c8e273c8330e"/>
      <w:bookmarkEnd w:id="78"/>
      <w:r>
        <w:rPr>
          <w:rFonts w:asciiTheme="minorHAnsi" w:hAnsiTheme="minorHAnsi" w:cs="Arial"/>
          <w:color w:val="000000"/>
          <w:sz w:val="22"/>
          <w:szCs w:val="22"/>
        </w:rPr>
        <w:t xml:space="preserve">3 straipsnio 1 dalies trečią pastraipą patraukimo atsakomybėn senaties terminas gali būti nutrauktas, jeigu kompetentinga institucija imasi bet kokio su pažeidimo tyrimu ar patraukimu atsakomybėn susijusio veiksmo, apie kurį pranešama atitinkamam asmeniui. Kadangi Reglamentas Nr. </w:t>
      </w:r>
      <w:hyperlink r:id="rId29" w:tgtFrame="_blank" w:tooltip="8/ 95 Dėl įstatymo " w:history="1">
        <w:r w:rsidRPr="009C03CF">
          <w:rPr>
            <w:rFonts w:asciiTheme="minorHAnsi" w:hAnsiTheme="minorHAnsi" w:cs="Arial"/>
            <w:color w:val="000000"/>
            <w:sz w:val="22"/>
            <w:szCs w:val="22"/>
          </w:rPr>
          <w:t>2988/95</w:t>
        </w:r>
      </w:hyperlink>
      <w:bookmarkStart w:id="79" w:name="n68c24b87-fa29-418e-a9cb-09db009bdcd9"/>
      <w:bookmarkStart w:id="80" w:name="pn68c24b87-fa29-418e-a9cb-09db009bdcd9"/>
      <w:bookmarkEnd w:id="79"/>
      <w:bookmarkEnd w:id="80"/>
      <w:r>
        <w:rPr>
          <w:rFonts w:asciiTheme="minorHAnsi" w:hAnsiTheme="minorHAnsi" w:cs="Arial"/>
          <w:color w:val="000000"/>
          <w:sz w:val="22"/>
          <w:szCs w:val="22"/>
        </w:rPr>
        <w:t xml:space="preserve"> numato specialią daugiametėms programoms numatytą taikytiną senaties taisyklę, sąvoka „daugiametė programa“, kaip ji suprantama pagal Reglamento Nr. </w:t>
      </w:r>
      <w:hyperlink r:id="rId30" w:tgtFrame="_blank" w:tooltip="8/ 95 Dėl įstatymo " w:history="1">
        <w:r w:rsidRPr="009C03CF">
          <w:rPr>
            <w:rFonts w:asciiTheme="minorHAnsi" w:hAnsiTheme="minorHAnsi" w:cs="Arial"/>
            <w:color w:val="000000"/>
            <w:sz w:val="22"/>
            <w:szCs w:val="22"/>
          </w:rPr>
          <w:t>2988/95</w:t>
        </w:r>
      </w:hyperlink>
      <w:bookmarkStart w:id="81" w:name="n0d6f525d-0c0c-4fbf-a301-ffdf69e9740e"/>
      <w:bookmarkStart w:id="82" w:name="pn0d6f525d-0c0c-4fbf-a301-ffdf69e9740e"/>
      <w:bookmarkEnd w:id="81"/>
      <w:bookmarkEnd w:id="82"/>
      <w:r>
        <w:rPr>
          <w:rFonts w:asciiTheme="minorHAnsi" w:hAnsiTheme="minorHAnsi" w:cs="Arial"/>
          <w:color w:val="000000"/>
          <w:sz w:val="22"/>
          <w:szCs w:val="22"/>
        </w:rPr>
        <w:t xml:space="preserve"> 3 straipsnio 1 dalies antros pastraipos antrą sakinį, apima tokį projektą, kaip byloje nagrinėtas projektas dėl atliekų tvarkymo sistemos sukūrimo konkrečiame regione, kurį įgyvendinti buvo numatyta per kelerius metus ir kuris buvo finansuojamas iš Europos Sąjungos lėšų. ESTT šioje byloje patvirtino, kad pareiškėjo vykdytas projektas yra daugiametė programa Reglamento Nr. </w:t>
      </w:r>
      <w:hyperlink r:id="rId31" w:tgtFrame="_blank" w:tooltip="8/ 95 Dėl įstatymo " w:history="1">
        <w:r w:rsidRPr="009C03CF">
          <w:rPr>
            <w:rFonts w:asciiTheme="minorHAnsi" w:hAnsiTheme="minorHAnsi" w:cs="Arial"/>
            <w:color w:val="000000"/>
            <w:sz w:val="22"/>
            <w:szCs w:val="22"/>
          </w:rPr>
          <w:t>2988/95</w:t>
        </w:r>
      </w:hyperlink>
      <w:bookmarkStart w:id="83" w:name="n44f61d9d-14d3-4a98-a101-ebe6e49c830f"/>
      <w:bookmarkStart w:id="84" w:name="pn44f61d9d-14d3-4a98-a101-ebe6e49c830f"/>
      <w:bookmarkEnd w:id="83"/>
      <w:bookmarkEnd w:id="84"/>
      <w:r>
        <w:rPr>
          <w:rFonts w:asciiTheme="minorHAnsi" w:hAnsiTheme="minorHAnsi" w:cs="Arial"/>
          <w:color w:val="000000"/>
          <w:sz w:val="22"/>
          <w:szCs w:val="22"/>
        </w:rPr>
        <w:t xml:space="preserve"> taikymo prasme.</w:t>
      </w:r>
      <w:bookmarkStart w:id="85" w:name="pnfa2bef99-bf6d-40a6-9da1-7805c6e95cf3"/>
      <w:bookmarkEnd w:id="85"/>
    </w:p>
    <w:p w:rsidR="009C03CF" w:rsidRDefault="009C03CF" w:rsidP="009C03CF">
      <w:pPr>
        <w:ind w:firstLine="567"/>
        <w:jc w:val="both"/>
        <w:rPr>
          <w:rFonts w:asciiTheme="minorHAnsi" w:hAnsiTheme="minorHAnsi" w:cs="Arial"/>
          <w:color w:val="000000"/>
          <w:sz w:val="22"/>
          <w:szCs w:val="22"/>
        </w:rPr>
      </w:pPr>
      <w:r>
        <w:rPr>
          <w:rFonts w:asciiTheme="minorHAnsi" w:hAnsiTheme="minorHAnsi" w:cs="Arial"/>
          <w:color w:val="000000"/>
          <w:sz w:val="22"/>
          <w:szCs w:val="22"/>
        </w:rPr>
        <w:t>Iš byloje pateiktų duomenų buvo matyti, kad išlaidos pripažintos netinkamomis nors ir pagal skirtingas viešųjų pirkimų sutartis įsigyto turto, tačiau sudarytas to paties pareiškėjo pagal tą patį projektą, tuo pačiu pagrindu, turtas buvo perkamas nuolat, todėl pareiškėjo įvykdytas pažeidimas vertintas kaip pakartotinis. ESTT yra nurodęs, kad tokiais atvejais senaties termino pradžia yra siejama su diena, kai pažeidimas buvo baigtas. Pažeidimo padarymas, nuo kurio pradedama skaičiuoti senaties termino eiga, suponuoja dvi sąlygas, t. y. turi būti ūkio subjekto veiksmas ar neveikimas, kuriais pažeidžiama ES teisė, ir padaryta žala ar ji galima Sąjungos biudžetui. Kai Sąjungos teisės pažeidimas atskleidžiamas tik atsiradus žalai, senaties termino eiga pradedama skaičiuoti nuo pažeidimo padarymo momento, t. y. nuo to momento, kai buvo padaryti ir ūkio subjekto veiksmai ar neveikimas, kuriais pažeidžiama ES teisė, ir padaryta žala Sąjungos biudžetui ar jos valdomiems biudžetams. Byloje nebuvo ginčo dėl faktinės aplinkybės, kad paskutinis mokėjimas projekte buvo atliktas 2008 m. sausio 28 d., todėl, LVAT išplėstinės teisėjų kolegijos vertinimu, byloje vertintu atveju senaties termino eiga prasidėjo būtent nuo šios datos.</w:t>
      </w:r>
    </w:p>
    <w:p w:rsidR="009C03CF" w:rsidRDefault="009C03CF" w:rsidP="009C03CF">
      <w:pPr>
        <w:pStyle w:val="prastasiniatinklio"/>
        <w:spacing w:before="0" w:beforeAutospacing="0" w:after="0" w:afterAutospacing="0"/>
        <w:ind w:firstLine="567"/>
        <w:jc w:val="both"/>
        <w:rPr>
          <w:rFonts w:asciiTheme="minorHAnsi" w:hAnsiTheme="minorHAnsi" w:cs="Arial"/>
          <w:color w:val="000000"/>
          <w:sz w:val="22"/>
          <w:szCs w:val="22"/>
          <w:lang w:val="lt-LT"/>
        </w:rPr>
      </w:pPr>
      <w:r>
        <w:rPr>
          <w:rFonts w:asciiTheme="minorHAnsi" w:hAnsiTheme="minorHAnsi" w:cs="Arial"/>
          <w:color w:val="000000"/>
          <w:sz w:val="22"/>
          <w:szCs w:val="22"/>
          <w:lang w:val="lt-LT"/>
        </w:rPr>
        <w:t>Atsakovas apeliaciniame skunde teigė, kad net jei ir būtų pripažinta, jog ginčui minėtas senaties terminas taikytinas, reikia atkreipti dėmesį į tai, jog senaties terminas bet kokiu atveju nėra pasibaigęs, kadangi ginčo projektas nelaikytinas pasibaigusiu, nes juo įgyvendinama daugiametė programa dar nebaigta įgyvendinti. Projekte dar nėra išmokėta likusi suma, todėl projektas negali būti laikomas užbaigtu.</w:t>
      </w:r>
    </w:p>
    <w:p w:rsidR="009C03CF" w:rsidRDefault="009C03CF" w:rsidP="009C03CF">
      <w:pPr>
        <w:pStyle w:val="prastasiniatinklio"/>
        <w:spacing w:before="0" w:beforeAutospacing="0" w:after="0" w:afterAutospacing="0"/>
        <w:ind w:firstLine="567"/>
        <w:jc w:val="both"/>
        <w:rPr>
          <w:rFonts w:asciiTheme="minorHAnsi" w:hAnsiTheme="minorHAnsi" w:cs="Arial"/>
          <w:color w:val="000000"/>
          <w:sz w:val="22"/>
          <w:szCs w:val="22"/>
          <w:lang w:val="lt-LT"/>
        </w:rPr>
      </w:pPr>
      <w:r>
        <w:rPr>
          <w:rFonts w:asciiTheme="minorHAnsi" w:hAnsiTheme="minorHAnsi" w:cs="Arial"/>
          <w:color w:val="000000"/>
          <w:sz w:val="22"/>
          <w:szCs w:val="22"/>
          <w:lang w:val="lt-LT"/>
        </w:rPr>
        <w:t xml:space="preserve">ESTT šioje byloje priimtame prejudiciniame sprendime išaiškino, jog daugiametė programa, kuriai taikomas 1994 m. gegužės 16 d. Tarybos reglamentas (EB) Nr. 1164/94, įsteigiantis Sanglaudos fondą, laikytina visiškai užbaigta, kaip tai suprantama pagal šią nuostatą, kai sueina Europos Komisijos sprendime, kuriuo </w:t>
      </w:r>
      <w:r>
        <w:rPr>
          <w:rFonts w:asciiTheme="minorHAnsi" w:hAnsiTheme="minorHAnsi" w:cs="Arial"/>
          <w:color w:val="000000"/>
          <w:sz w:val="22"/>
          <w:szCs w:val="22"/>
          <w:lang w:val="lt-LT"/>
        </w:rPr>
        <w:lastRenderedPageBreak/>
        <w:t>patvirtinamas toks projektas, nurodytas su projektu susijusių darbų pabaigos ir mokėjimų už tinkamas finansuoti išlaidas atlikimo terminas, išskyrus atvejus, kai priimdama naują sprendimą Komisija pratęsia nustatytą terminą (ESTT 2017 m. birželio 15 d. sprendimo byloje Nr. C</w:t>
      </w:r>
      <w:r>
        <w:rPr>
          <w:rFonts w:asciiTheme="minorHAnsi" w:hAnsiTheme="minorHAnsi" w:cs="Arial"/>
          <w:color w:val="000000"/>
          <w:sz w:val="22"/>
          <w:szCs w:val="22"/>
          <w:lang w:val="lt-LT"/>
        </w:rPr>
        <w:noBreakHyphen/>
        <w:t>436/15 70 p.). Nurodyti išaiškinimai leido teigti, kad atsakovas nepagrįstai projekto užbaigimą sieja su visišku lėšų išmokėjimu.</w:t>
      </w:r>
    </w:p>
    <w:p w:rsidR="009C03CF" w:rsidRDefault="009C03CF" w:rsidP="009C03CF">
      <w:pPr>
        <w:pStyle w:val="prastasiniatinklio"/>
        <w:spacing w:before="0" w:beforeAutospacing="0" w:after="0" w:afterAutospacing="0"/>
        <w:ind w:firstLine="567"/>
        <w:jc w:val="both"/>
        <w:rPr>
          <w:rFonts w:asciiTheme="minorHAnsi" w:hAnsiTheme="minorHAnsi" w:cs="Arial"/>
          <w:color w:val="000000"/>
          <w:sz w:val="22"/>
          <w:szCs w:val="22"/>
          <w:lang w:val="lt-LT"/>
        </w:rPr>
      </w:pPr>
      <w:r>
        <w:rPr>
          <w:rFonts w:asciiTheme="minorHAnsi" w:hAnsiTheme="minorHAnsi" w:cs="Arial"/>
          <w:color w:val="000000"/>
          <w:sz w:val="22"/>
          <w:szCs w:val="22"/>
          <w:lang w:val="lt-LT"/>
        </w:rPr>
        <w:t>Iš administracinėje byloje pateiktų duomenų matyti, jog 2004 m. gruodžio 27 d. Europos Komisijos sprendimu buvo nustatyta, jog išlaidos, susijusios su projektu, bus tinkamos iki 2008 m. gruodžio 31 dienos. Atitinkamai Finansinio memorandumo 2 straipsnis buvo pakeistas taip: „Pabaigos data 2008 m. gruodžio 31 d.“. Taigi pirmiau minėtu Komisijos sprendimu projekto pabaiga, t. y. momentas iki kada projekto išlaidos buvo pripažįstamos tinkamomis, buvo aiškiai apibrėžta (2008 m. gruodžio 31 d.). Tai lemia, kad projektas byloje laikytinas visiškai užbaigtu, kaip tai suprantama pagal Reglamento Nr. 2988/95</w:t>
      </w:r>
      <w:bookmarkStart w:id="86" w:name="pna1c26b89-f7da-46d6-8faf-69df7e039e27"/>
      <w:bookmarkEnd w:id="86"/>
      <w:r>
        <w:rPr>
          <w:rFonts w:asciiTheme="minorHAnsi" w:hAnsiTheme="minorHAnsi" w:cs="Arial"/>
          <w:color w:val="000000"/>
          <w:sz w:val="22"/>
          <w:szCs w:val="22"/>
          <w:lang w:val="lt-LT"/>
        </w:rPr>
        <w:t xml:space="preserve"> 3 straipsnio 1 dalies antros pastraipos antrą sakinį, 2008 m. gruodžio 31 d. (ESTT 2017 m. birželio 15 d. sprendimo byloje Nr. C</w:t>
      </w:r>
      <w:r>
        <w:rPr>
          <w:rFonts w:asciiTheme="minorHAnsi" w:hAnsiTheme="minorHAnsi" w:cs="Arial"/>
          <w:color w:val="000000"/>
          <w:sz w:val="22"/>
          <w:szCs w:val="22"/>
          <w:lang w:val="lt-LT"/>
        </w:rPr>
        <w:noBreakHyphen/>
        <w:t>436/15, 67 p.).</w:t>
      </w:r>
    </w:p>
    <w:p w:rsidR="009C03CF" w:rsidRDefault="009C03CF" w:rsidP="009C03CF">
      <w:pPr>
        <w:pStyle w:val="prastasiniatinklio"/>
        <w:spacing w:before="0" w:beforeAutospacing="0" w:after="0" w:afterAutospacing="0"/>
        <w:ind w:firstLine="567"/>
        <w:jc w:val="both"/>
        <w:rPr>
          <w:rFonts w:asciiTheme="minorHAnsi" w:hAnsiTheme="minorHAnsi" w:cs="Arial"/>
          <w:color w:val="000000"/>
          <w:sz w:val="22"/>
          <w:szCs w:val="22"/>
          <w:u w:val="single"/>
          <w:lang w:val="lt-LT"/>
        </w:rPr>
      </w:pPr>
      <w:r>
        <w:rPr>
          <w:rFonts w:asciiTheme="minorHAnsi" w:hAnsiTheme="minorHAnsi" w:cs="Arial"/>
          <w:color w:val="000000"/>
          <w:sz w:val="22"/>
          <w:szCs w:val="22"/>
          <w:lang w:val="lt-LT"/>
        </w:rPr>
        <w:t>Nagrinėtu atveju taip pat svarbu buvo įvertinti ir tai, ar buvo veiksmų, kurie lėmė prasidėjusios senaties nutraukimą ir naują senaties termino pradžią. Reglamento Nr. 2988/95</w:t>
      </w:r>
      <w:bookmarkStart w:id="87" w:name="pnee7f09b3-1414-4a1d-823b-c0cf4d665026"/>
      <w:bookmarkEnd w:id="87"/>
      <w:r>
        <w:rPr>
          <w:rFonts w:asciiTheme="minorHAnsi" w:hAnsiTheme="minorHAnsi" w:cs="Arial"/>
          <w:color w:val="000000"/>
          <w:sz w:val="22"/>
          <w:szCs w:val="22"/>
          <w:lang w:val="lt-LT"/>
        </w:rPr>
        <w:t xml:space="preserve"> 3 straipsnio 1 dalyje nurodyta, kad senaties eiga nutrūksta, jeigu kompetentinga institucija imasi bet kokio su pažeidimo tyrimu ar teisminiu nagrinėjimu susijusio veiksmo, apie kurį pranešama atitinkamam asmeniui. Senaties eiga atsinaujina po kiekvieno ją nutraukusio veiksmo. Tačiau senaties terminas įsigalioja ne vėliau kaip tą dieną, kai pasibaigia laikotarpis, lygus dvigubam senaties terminui, per kurį kompetentinga institucija nepaskyrė nuobaudos, išskyrus tuos atvejus, kai administracinė procedūra laikinai sustabdoma pagal 6 straipsnio 1 dalį. Iš šios nuostatos turinio matyti, kad </w:t>
      </w:r>
      <w:r>
        <w:rPr>
          <w:rFonts w:asciiTheme="minorHAnsi" w:hAnsiTheme="minorHAnsi" w:cs="Arial"/>
          <w:color w:val="000000"/>
          <w:sz w:val="22"/>
          <w:szCs w:val="22"/>
          <w:u w:val="single"/>
          <w:lang w:val="lt-LT"/>
        </w:rPr>
        <w:t>senaties termino eigos nutrūkimas siejamas su šiomis aplinkybėmis: kompetentingos institucijos atliekamu su pažeidimu susijusiu tyrimu ar teisminiu nagrinėjimu susijusiu veiksmu ir tuo, jog apie tokį tyrimą ar veiksmą buvo pranešta atitinkamam asmeniui.</w:t>
      </w:r>
    </w:p>
    <w:p w:rsidR="009C03CF" w:rsidRDefault="009C03CF" w:rsidP="009C03CF">
      <w:pPr>
        <w:pStyle w:val="prastasiniatinklio"/>
        <w:spacing w:before="0" w:beforeAutospacing="0" w:after="0" w:afterAutospacing="0"/>
        <w:ind w:firstLine="567"/>
        <w:jc w:val="both"/>
        <w:rPr>
          <w:rFonts w:asciiTheme="minorHAnsi" w:hAnsiTheme="minorHAnsi" w:cs="Arial"/>
          <w:color w:val="000000"/>
          <w:sz w:val="22"/>
          <w:szCs w:val="22"/>
          <w:lang w:val="lt-LT"/>
        </w:rPr>
      </w:pPr>
      <w:r>
        <w:rPr>
          <w:rFonts w:asciiTheme="minorHAnsi" w:hAnsiTheme="minorHAnsi" w:cs="Arial"/>
          <w:color w:val="000000"/>
          <w:sz w:val="22"/>
          <w:szCs w:val="22"/>
          <w:lang w:val="lt-LT"/>
        </w:rPr>
        <w:t>Nagrinėtu atveju vertinta, kad Valstybės kontrolė laikytina kompetentinga institucija Reglamento Nr. 2988/95</w:t>
      </w:r>
      <w:r w:rsidR="00A46518">
        <w:rPr>
          <w:rFonts w:asciiTheme="minorHAnsi" w:hAnsiTheme="minorHAnsi" w:cs="Arial"/>
          <w:color w:val="000000"/>
          <w:sz w:val="22"/>
          <w:szCs w:val="22"/>
          <w:lang w:val="lt-LT"/>
        </w:rPr>
        <w:t xml:space="preserve"> </w:t>
      </w:r>
      <w:r>
        <w:rPr>
          <w:rFonts w:asciiTheme="minorHAnsi" w:hAnsiTheme="minorHAnsi" w:cs="Arial"/>
          <w:color w:val="000000"/>
          <w:sz w:val="22"/>
          <w:szCs w:val="22"/>
          <w:lang w:val="lt-LT"/>
        </w:rPr>
        <w:t>3 straipsnio 1 dalies prasme. Iš byloje esančios medžiagos taip pat buvo matyti, kad Valstybės kontrolės tyrimas buvo pakankamai apibrėžtas, t. y. atliktas būtent pareiškėjo vykdyto projekto tyrimas, pateiktas vertinimas dėl konkretaus įsigyto turto, nurodyta, kad, Valstybės kontrolės manymu, šios įsigijimo išlaidos tiesiogiai nesusijusios su projekto tikslais. Ginčo byloje nebuvo dėl faktinės aplinkybės, kad Valstybės kontrolės ataskaita buvo pateikta 2009 m. gruodžio 17 d. ir su ja buvo supažindintas pareiškėjas. Įvertinusi šias aplinkybes, LVAT išplėstinė teisėjų kolegija darė išvadą, kad byloje vertintu atveju Valstybės kontrolės pateikta valstybinio audito ataskaita nutraukė Reglamento Nr. 2988</w:t>
      </w:r>
      <w:bookmarkStart w:id="88" w:name="n4a45901b-84e6-450f-b205-789a35341a0d"/>
      <w:r>
        <w:rPr>
          <w:rFonts w:asciiTheme="minorHAnsi" w:hAnsiTheme="minorHAnsi" w:cs="Arial"/>
          <w:color w:val="000000"/>
          <w:sz w:val="22"/>
          <w:szCs w:val="22"/>
          <w:lang w:val="lt-LT"/>
        </w:rPr>
        <w:t>/95</w:t>
      </w:r>
      <w:bookmarkStart w:id="89" w:name="pn4a45901b-84e6-450f-b205-789a35341a0d"/>
      <w:bookmarkEnd w:id="88"/>
      <w:bookmarkEnd w:id="89"/>
      <w:r>
        <w:rPr>
          <w:rFonts w:asciiTheme="minorHAnsi" w:hAnsiTheme="minorHAnsi" w:cs="Arial"/>
          <w:color w:val="000000"/>
          <w:sz w:val="22"/>
          <w:szCs w:val="22"/>
          <w:lang w:val="lt-LT"/>
        </w:rPr>
        <w:t xml:space="preserve"> 3 straipsnio 1 dalyje nurodyto senaties termino eigą. Atsižvelgus į tai, kad 2008 m. sausio 28 d. prasidėjusio senaties termino eiga nutrūko 2009 m. gruodžio 17 d., o asmuo gali būti patrauktas atsakomybėn per ketverius metus, daryta išvada, kad 2013 m. kovo 29 d., kuomet buvo priimti ginčo įsakymai, Reglamento Nr. </w:t>
      </w:r>
      <w:bookmarkStart w:id="90" w:name="nb53b5eb3-2d59-48b3-abc8-68b58ce1fa11"/>
      <w:r>
        <w:rPr>
          <w:rFonts w:asciiTheme="minorHAnsi" w:hAnsiTheme="minorHAnsi" w:cs="Arial"/>
          <w:color w:val="000000"/>
          <w:sz w:val="22"/>
          <w:szCs w:val="22"/>
          <w:lang w:val="lt-LT"/>
        </w:rPr>
        <w:t>2988/95</w:t>
      </w:r>
      <w:bookmarkStart w:id="91" w:name="pnb53b5eb3-2d59-48b3-abc8-68b58ce1fa11"/>
      <w:bookmarkEnd w:id="90"/>
      <w:bookmarkEnd w:id="91"/>
      <w:r>
        <w:rPr>
          <w:rFonts w:asciiTheme="minorHAnsi" w:hAnsiTheme="minorHAnsi" w:cs="Arial"/>
          <w:color w:val="000000"/>
          <w:sz w:val="22"/>
          <w:szCs w:val="22"/>
          <w:lang w:val="lt-LT"/>
        </w:rPr>
        <w:t xml:space="preserve"> 3 straipsnio 1 dalies įtvirtintas senaties terminas dar nebuvo suėjęs. Taigi pirmosios instancijos teismas nepagrįstai nusprendė, kad pareiškėjas buvo patrauktas atsakomybėn praleidus Reglamente Nr. 2988/95</w:t>
      </w:r>
      <w:bookmarkStart w:id="92" w:name="pnc1e18b95-d6f8-456e-9de5-c3eec979551c"/>
      <w:bookmarkEnd w:id="92"/>
      <w:r>
        <w:rPr>
          <w:rFonts w:asciiTheme="minorHAnsi" w:hAnsiTheme="minorHAnsi" w:cs="Arial"/>
          <w:color w:val="000000"/>
          <w:sz w:val="22"/>
          <w:szCs w:val="22"/>
          <w:lang w:val="lt-LT"/>
        </w:rPr>
        <w:t xml:space="preserve"> 3 straipsnyje numatytą terminą. Kadangi padaręs tokią išvadą pirmosios instancijos teismas kitų pareiškėjo argumentų, susijusių su ginčo įsakymų ydingumu, nevertino, o jų vertinimas vien apeliacinės instancijos teisme pažeistų bylininkų teisę į apeliaciją, LVAT išplėstinė teisėjų kolegija nutarė atsakovo apeliacinį skundą tenkinti iš dalies, pirmosios instancijos teismo sprendimą panaikinti, o bylą perduoti pirmosios instancijos teismui nagrinėti iš naujo.</w:t>
      </w:r>
    </w:p>
    <w:p w:rsidR="009C03CF" w:rsidRDefault="009C03CF" w:rsidP="009C03CF">
      <w:pPr>
        <w:pStyle w:val="prastasiniatinklio"/>
        <w:spacing w:before="0" w:beforeAutospacing="0" w:after="0" w:afterAutospacing="0"/>
        <w:jc w:val="both"/>
        <w:rPr>
          <w:rFonts w:asciiTheme="minorHAnsi" w:hAnsiTheme="minorHAnsi" w:cs="Arial"/>
          <w:color w:val="000000"/>
          <w:sz w:val="22"/>
          <w:szCs w:val="22"/>
          <w:lang w:val="lt-LT"/>
        </w:rPr>
      </w:pPr>
    </w:p>
    <w:p w:rsidR="009C03CF" w:rsidRDefault="009C03CF" w:rsidP="009C03CF">
      <w:pPr>
        <w:pStyle w:val="prastasiniatinklio"/>
        <w:spacing w:before="0" w:beforeAutospacing="0" w:after="0" w:afterAutospacing="0"/>
        <w:jc w:val="both"/>
        <w:rPr>
          <w:rFonts w:asciiTheme="minorHAnsi" w:hAnsiTheme="minorHAnsi" w:cs="Arial"/>
          <w:color w:val="000000"/>
          <w:sz w:val="22"/>
          <w:szCs w:val="22"/>
          <w:lang w:val="lt-LT"/>
        </w:rPr>
      </w:pPr>
      <w:r>
        <w:rPr>
          <w:rFonts w:asciiTheme="minorHAnsi" w:hAnsiTheme="minorHAnsi" w:cs="Arial"/>
          <w:color w:val="000000"/>
          <w:sz w:val="22"/>
          <w:szCs w:val="22"/>
          <w:lang w:val="lt-LT"/>
        </w:rPr>
        <w:t>Išplėstinės teisėjų kolegijos 2017 m. gruodžio 20 d. nutartis administracinėje byloje Nr. A-155-858/2017</w:t>
      </w:r>
    </w:p>
    <w:p w:rsidR="009C03CF" w:rsidRDefault="009C03CF" w:rsidP="009C03CF">
      <w:pPr>
        <w:pStyle w:val="prastasiniatinklio"/>
        <w:spacing w:before="0" w:beforeAutospacing="0" w:after="0" w:afterAutospacing="0"/>
        <w:rPr>
          <w:rFonts w:asciiTheme="minorHAnsi" w:hAnsiTheme="minorHAnsi" w:cs="Arial"/>
          <w:color w:val="000000"/>
          <w:sz w:val="22"/>
          <w:szCs w:val="22"/>
          <w:lang w:val="lt-LT"/>
        </w:rPr>
      </w:pPr>
      <w:r>
        <w:rPr>
          <w:rFonts w:asciiTheme="minorHAnsi" w:hAnsiTheme="minorHAnsi" w:cs="Arial"/>
          <w:color w:val="000000"/>
          <w:sz w:val="22"/>
          <w:szCs w:val="22"/>
          <w:lang w:val="lt-LT"/>
        </w:rPr>
        <w:t>Teisminio proceso Nr. 3-61-3-01420-2013-6</w:t>
      </w:r>
    </w:p>
    <w:p w:rsidR="009C03CF" w:rsidRDefault="009C03CF" w:rsidP="009C03CF">
      <w:pPr>
        <w:pStyle w:val="prastasiniatinklio"/>
        <w:spacing w:before="0" w:beforeAutospacing="0" w:after="0" w:afterAutospacing="0"/>
        <w:rPr>
          <w:rFonts w:asciiTheme="minorHAnsi" w:hAnsiTheme="minorHAnsi" w:cs="Arial"/>
          <w:color w:val="000000"/>
          <w:sz w:val="22"/>
          <w:szCs w:val="22"/>
          <w:lang w:val="lt-LT"/>
        </w:rPr>
      </w:pPr>
      <w:r>
        <w:rPr>
          <w:rFonts w:asciiTheme="minorHAnsi" w:hAnsiTheme="minorHAnsi" w:cs="Arial"/>
          <w:color w:val="000000"/>
          <w:sz w:val="22"/>
          <w:szCs w:val="22"/>
          <w:lang w:val="lt-LT"/>
        </w:rPr>
        <w:t>Procesinio sprendimo kategorija 29.1.3</w:t>
      </w:r>
    </w:p>
    <w:p w:rsidR="009C03CF" w:rsidRDefault="007E1236" w:rsidP="009C03CF">
      <w:pPr>
        <w:pStyle w:val="prastasiniatinklio"/>
        <w:spacing w:before="0" w:beforeAutospacing="0" w:after="0" w:afterAutospacing="0"/>
        <w:rPr>
          <w:rFonts w:asciiTheme="minorHAnsi" w:hAnsiTheme="minorHAnsi" w:cstheme="minorHAnsi"/>
          <w:sz w:val="22"/>
          <w:szCs w:val="22"/>
          <w:lang w:val="lt-LT"/>
        </w:rPr>
      </w:pPr>
      <w:hyperlink r:id="rId32" w:history="1">
        <w:r w:rsidR="009C03CF">
          <w:rPr>
            <w:rStyle w:val="Hipersaitas"/>
            <w:rFonts w:asciiTheme="minorHAnsi" w:hAnsiTheme="minorHAnsi" w:cs="Arial"/>
            <w:sz w:val="22"/>
            <w:szCs w:val="22"/>
            <w:lang w:val="lt-LT"/>
          </w:rPr>
          <w:t>Prieiga internete</w:t>
        </w:r>
      </w:hyperlink>
    </w:p>
    <w:p w:rsidR="009C03CF" w:rsidRDefault="009C03CF" w:rsidP="009C03CF"/>
    <w:p w:rsidR="00773B26" w:rsidRPr="00B90026" w:rsidRDefault="00D1108C" w:rsidP="00363C0B">
      <w:pPr>
        <w:pStyle w:val="Apzvalgai1"/>
        <w:rPr>
          <w:rFonts w:asciiTheme="minorHAnsi" w:hAnsiTheme="minorHAnsi" w:cstheme="minorHAnsi"/>
        </w:rPr>
      </w:pPr>
      <w:bookmarkStart w:id="93" w:name="_Toc505787266"/>
      <w:r w:rsidRPr="00B90026">
        <w:rPr>
          <w:rFonts w:asciiTheme="minorHAnsi" w:hAnsiTheme="minorHAnsi" w:cstheme="minorHAnsi"/>
        </w:rPr>
        <w:t>41. Kiti ginčai viešojo administravimo srityje</w:t>
      </w:r>
      <w:bookmarkEnd w:id="93"/>
    </w:p>
    <w:p w:rsidR="00B94A2C" w:rsidRPr="00B90026" w:rsidRDefault="00B94A2C" w:rsidP="0043602E">
      <w:pPr>
        <w:pStyle w:val="Apzvalgai1"/>
        <w:rPr>
          <w:rFonts w:asciiTheme="minorHAnsi" w:hAnsiTheme="minorHAnsi" w:cstheme="minorHAnsi"/>
        </w:rPr>
      </w:pPr>
    </w:p>
    <w:p w:rsidR="00341C25" w:rsidRPr="00B90026" w:rsidRDefault="00341C25" w:rsidP="00341C25">
      <w:pPr>
        <w:pStyle w:val="Antrat2"/>
      </w:pPr>
      <w:bookmarkStart w:id="94" w:name="_Toc505787267"/>
      <w:r w:rsidRPr="00B90026">
        <w:t>Dėl nesąžiningos komercinės veiklos vartotojų atžvilgiu užsiimant skolų išieškojimo veikla</w:t>
      </w:r>
      <w:bookmarkEnd w:id="94"/>
    </w:p>
    <w:p w:rsidR="00341C25" w:rsidRPr="00B90026" w:rsidRDefault="00341C25" w:rsidP="00341C25">
      <w:pPr>
        <w:ind w:firstLine="567"/>
        <w:jc w:val="both"/>
        <w:rPr>
          <w:rFonts w:asciiTheme="minorHAnsi" w:hAnsiTheme="minorHAnsi" w:cstheme="minorHAnsi"/>
          <w:sz w:val="22"/>
          <w:szCs w:val="22"/>
        </w:rPr>
      </w:pPr>
    </w:p>
    <w:p w:rsidR="00341C25" w:rsidRPr="00B90026" w:rsidRDefault="00341C25" w:rsidP="00341C25">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Byloje ginčas kilo dėl Valstybinės vartotojų teisių apsaugos tarnybos komisijos 2014 m. balandžio 10 d. nutarimo, kuriuo pareiškėjui UAB „Gelvora“ (toliau – </w:t>
      </w:r>
      <w:r>
        <w:rPr>
          <w:rFonts w:asciiTheme="minorHAnsi" w:hAnsiTheme="minorHAnsi" w:cstheme="minorHAnsi"/>
          <w:sz w:val="22"/>
          <w:szCs w:val="22"/>
        </w:rPr>
        <w:t xml:space="preserve">ir </w:t>
      </w:r>
      <w:r w:rsidRPr="00B90026">
        <w:rPr>
          <w:rFonts w:asciiTheme="minorHAnsi" w:hAnsiTheme="minorHAnsi" w:cstheme="minorHAnsi"/>
          <w:sz w:val="22"/>
          <w:szCs w:val="22"/>
        </w:rPr>
        <w:t>pareiškėjas</w:t>
      </w:r>
      <w:r>
        <w:rPr>
          <w:rFonts w:asciiTheme="minorHAnsi" w:hAnsiTheme="minorHAnsi" w:cstheme="minorHAnsi"/>
          <w:sz w:val="22"/>
          <w:szCs w:val="22"/>
        </w:rPr>
        <w:t>, Bendrovė</w:t>
      </w:r>
      <w:r w:rsidRPr="00B90026">
        <w:rPr>
          <w:rFonts w:asciiTheme="minorHAnsi" w:hAnsiTheme="minorHAnsi" w:cstheme="minorHAnsi"/>
          <w:sz w:val="22"/>
          <w:szCs w:val="22"/>
        </w:rPr>
        <w:t xml:space="preserve">) už Nesąžiningos komercinės veiklos vartotojams draudimo įstatymo 3 straipsnio 1 dalies pažeidimą, kai komercinė veikla laikytina nesąžininga pagal Lietuvos Respublikos nesąžiningos komercinės veiklos vartotojams draudimo įstatymo </w:t>
      </w:r>
      <w:r w:rsidRPr="00B90026">
        <w:rPr>
          <w:rFonts w:asciiTheme="minorHAnsi" w:hAnsiTheme="minorHAnsi" w:cstheme="minorHAnsi"/>
          <w:sz w:val="22"/>
          <w:szCs w:val="22"/>
        </w:rPr>
        <w:lastRenderedPageBreak/>
        <w:t>(toliau – Įstatymas) 3 straipsnio 2 dalies 1 punktą, 5 straipsnio 1 dalies 4 punktą bei 6 straipsnio 1 dalies 1</w:t>
      </w:r>
      <w:r w:rsidR="00877EAA">
        <w:rPr>
          <w:rFonts w:asciiTheme="minorHAnsi" w:hAnsiTheme="minorHAnsi" w:cstheme="minorHAnsi"/>
          <w:sz w:val="22"/>
          <w:szCs w:val="22"/>
        </w:rPr>
        <w:t> </w:t>
      </w:r>
      <w:r w:rsidRPr="00B90026">
        <w:rPr>
          <w:rFonts w:asciiTheme="minorHAnsi" w:hAnsiTheme="minorHAnsi" w:cstheme="minorHAnsi"/>
          <w:sz w:val="22"/>
          <w:szCs w:val="22"/>
        </w:rPr>
        <w:t>punktą, skirta 3 475,44 Eur (12 000 Lt) bauda, teisėtumo ir pagrįstumo.</w:t>
      </w:r>
    </w:p>
    <w:p w:rsidR="00341C25" w:rsidRPr="00B90026" w:rsidRDefault="00341C25" w:rsidP="00341C25">
      <w:pPr>
        <w:ind w:firstLine="567"/>
        <w:jc w:val="both"/>
        <w:rPr>
          <w:rFonts w:asciiTheme="minorHAnsi" w:hAnsiTheme="minorHAnsi" w:cstheme="minorHAnsi"/>
          <w:sz w:val="22"/>
          <w:szCs w:val="22"/>
        </w:rPr>
      </w:pPr>
      <w:r w:rsidRPr="00B90026">
        <w:rPr>
          <w:rFonts w:asciiTheme="minorHAnsi" w:hAnsiTheme="minorHAnsi" w:cstheme="minorHAnsi"/>
          <w:sz w:val="22"/>
          <w:szCs w:val="22"/>
        </w:rPr>
        <w:t>Pareiškėjas apeliaciniame skunde visų pirma nesutiko, kad Bendrovės veikla, išieškant įsiskolinimus iš fizinių asmenų pagal įgytas reikalavimo teises, yra priskirtina komercinei veiklai, kaip tai apibrėžta Įstatyme, ir teigė, kad Bendrovės atžvilgiu Įstatymas nėra taikytinas.</w:t>
      </w:r>
    </w:p>
    <w:p w:rsidR="00341C25" w:rsidRDefault="00341C25" w:rsidP="00341C25">
      <w:pPr>
        <w:ind w:firstLine="567"/>
        <w:jc w:val="both"/>
        <w:rPr>
          <w:rFonts w:asciiTheme="minorHAnsi" w:hAnsiTheme="minorHAnsi" w:cstheme="minorHAnsi"/>
          <w:sz w:val="22"/>
          <w:szCs w:val="22"/>
        </w:rPr>
      </w:pPr>
      <w:r w:rsidRPr="00B90026">
        <w:rPr>
          <w:rFonts w:asciiTheme="minorHAnsi" w:hAnsiTheme="minorHAnsi" w:cstheme="minorHAnsi"/>
          <w:sz w:val="22"/>
          <w:szCs w:val="22"/>
        </w:rPr>
        <w:t>Nagrinėtu atveju Bendrovė, siekdama įgyvendinti savo įgytą teisę išieškoti fizinių asmenų skolas, savo reikalavimus kildino iš vartojimo kredito sutarčių, sudarytų tarp šių vartotojų ir atitinkamų bankų. Pagal vartojimo kredito sutartis vartotojai įgijo pareigą sumokėti skolas, kurias išieškoti (administruoti) pagal reikalavimų perleidimo sutartis įgijo teisę Bendrovė.</w:t>
      </w:r>
    </w:p>
    <w:p w:rsidR="00341C25" w:rsidRPr="00B90026" w:rsidRDefault="00341C25" w:rsidP="00341C25">
      <w:pPr>
        <w:ind w:firstLine="567"/>
        <w:jc w:val="both"/>
        <w:rPr>
          <w:rFonts w:asciiTheme="minorHAnsi" w:hAnsiTheme="minorHAnsi" w:cstheme="minorHAnsi"/>
          <w:sz w:val="22"/>
          <w:szCs w:val="22"/>
        </w:rPr>
      </w:pPr>
      <w:r>
        <w:rPr>
          <w:rFonts w:asciiTheme="minorHAnsi" w:hAnsiTheme="minorHAnsi" w:cstheme="minorHAnsi"/>
          <w:sz w:val="22"/>
          <w:szCs w:val="22"/>
        </w:rPr>
        <w:t>LVAT t</w:t>
      </w:r>
      <w:r w:rsidRPr="00B90026">
        <w:rPr>
          <w:rFonts w:asciiTheme="minorHAnsi" w:hAnsiTheme="minorHAnsi" w:cstheme="minorHAnsi"/>
          <w:sz w:val="22"/>
          <w:szCs w:val="22"/>
        </w:rPr>
        <w:t xml:space="preserve">eisėjų kolegija pažymėjo, kad byloje nekilo ginčo dėl pareiškėjo teisių reikalauti atlyginti patirtas skolos išieškojimo išlaidas, kaip tai numatyta Civiliniame kodekse, tačiau, įvertinus tai, kad tarp skolininkų ir </w:t>
      </w:r>
      <w:r>
        <w:rPr>
          <w:rFonts w:asciiTheme="minorHAnsi" w:hAnsiTheme="minorHAnsi" w:cstheme="minorHAnsi"/>
          <w:sz w:val="22"/>
          <w:szCs w:val="22"/>
        </w:rPr>
        <w:t xml:space="preserve">pareiškėjo </w:t>
      </w:r>
      <w:r w:rsidRPr="00B90026">
        <w:rPr>
          <w:rFonts w:asciiTheme="minorHAnsi" w:hAnsiTheme="minorHAnsi" w:cstheme="minorHAnsi"/>
          <w:sz w:val="22"/>
          <w:szCs w:val="22"/>
        </w:rPr>
        <w:t>skolos išieškojimo procese susiklostė ir vartojimo teisiniai santykiai, skolos išieškojimo kaina (skolos išieškojimo išlaidos) šiuo atveju pagrįstai laikyta Bendrovės atliekamos veiklos vartotojų atžvilgiu (produkto) kaina. Kadangi pareiškėjas perėmė skolininkų finansinius įsipareigojimus, todėl, kaip teisingai konstatavo pirmosios instancijos teismas, faktiškai teikė jiems apibrėžtą paslaugą – skolos administravimą. Tokiems teisiniams santykiams taikytinos vartotojų teisių apsaugos normos, o </w:t>
      </w:r>
      <w:r>
        <w:rPr>
          <w:rFonts w:asciiTheme="minorHAnsi" w:hAnsiTheme="minorHAnsi" w:cstheme="minorHAnsi"/>
          <w:sz w:val="22"/>
          <w:szCs w:val="22"/>
        </w:rPr>
        <w:t xml:space="preserve">pareiškėjas </w:t>
      </w:r>
      <w:r w:rsidRPr="00B90026">
        <w:rPr>
          <w:rFonts w:asciiTheme="minorHAnsi" w:hAnsiTheme="minorHAnsi" w:cstheme="minorHAnsi"/>
          <w:sz w:val="22"/>
          <w:szCs w:val="22"/>
        </w:rPr>
        <w:t>laikytina</w:t>
      </w:r>
      <w:r>
        <w:rPr>
          <w:rFonts w:asciiTheme="minorHAnsi" w:hAnsiTheme="minorHAnsi" w:cstheme="minorHAnsi"/>
          <w:sz w:val="22"/>
          <w:szCs w:val="22"/>
        </w:rPr>
        <w:t>s</w:t>
      </w:r>
      <w:r w:rsidRPr="00B90026">
        <w:rPr>
          <w:rFonts w:asciiTheme="minorHAnsi" w:hAnsiTheme="minorHAnsi" w:cstheme="minorHAnsi"/>
          <w:sz w:val="22"/>
          <w:szCs w:val="22"/>
        </w:rPr>
        <w:t xml:space="preserve"> komercinės veiklos vartotojams subjektu, atliekančiu skolos išieškojimo veiksmus (teikiančiu vartotojams skolos administravimo paslaugas). </w:t>
      </w:r>
    </w:p>
    <w:p w:rsidR="00341C25" w:rsidRPr="00B90026" w:rsidRDefault="00341C25" w:rsidP="00341C25">
      <w:pPr>
        <w:ind w:firstLine="567"/>
        <w:jc w:val="both"/>
        <w:rPr>
          <w:rFonts w:asciiTheme="minorHAnsi" w:hAnsiTheme="minorHAnsi" w:cstheme="minorHAnsi"/>
          <w:sz w:val="22"/>
          <w:szCs w:val="22"/>
        </w:rPr>
      </w:pPr>
      <w:r w:rsidRPr="00B90026">
        <w:rPr>
          <w:rFonts w:asciiTheme="minorHAnsi" w:hAnsiTheme="minorHAnsi" w:cstheme="minorHAnsi"/>
          <w:sz w:val="22"/>
          <w:szCs w:val="22"/>
        </w:rPr>
        <w:t>Nesąžiningos komercinės veiklos vartotojams draudimo įstatymu įgyvendinama 2005 m. gegužės 11 d. Europos Parlamento ir Tarybos direktyva 2005/29/EB dėl nesąžiningos įmonių komercinės veiklos vartotojų atžvilgiu vidaus rinkoje ir iš dalies keičianti Tarybos direktyvą 84/450/EEB, Europos Parlamento ir Tarybos direktyvas 97/7/EB, 98/27/EB bei 2002/65/EB ir Europos Parlamento ir Tarybos reglamentą (EB) Nr. 2006/2004 („Nesąžiningos komercinės veiklos direktyva“) (OL 2005 L 149, p. 22) (toliau – Direktyva) (Įstatymo 1 str. 4 d.).</w:t>
      </w:r>
    </w:p>
    <w:p w:rsidR="00341C25" w:rsidRPr="00B90026" w:rsidRDefault="00341C25" w:rsidP="00341C25">
      <w:pPr>
        <w:ind w:firstLine="567"/>
        <w:jc w:val="both"/>
        <w:rPr>
          <w:rFonts w:asciiTheme="minorHAnsi" w:hAnsiTheme="minorHAnsi" w:cstheme="minorHAnsi"/>
          <w:sz w:val="22"/>
          <w:szCs w:val="22"/>
        </w:rPr>
      </w:pPr>
      <w:r w:rsidRPr="00B90026">
        <w:rPr>
          <w:rFonts w:asciiTheme="minorHAnsi" w:hAnsiTheme="minorHAnsi" w:cstheme="minorHAnsi"/>
          <w:sz w:val="22"/>
          <w:szCs w:val="22"/>
        </w:rPr>
        <w:t>Nagrinė</w:t>
      </w:r>
      <w:r>
        <w:rPr>
          <w:rFonts w:asciiTheme="minorHAnsi" w:hAnsiTheme="minorHAnsi" w:cstheme="minorHAnsi"/>
          <w:sz w:val="22"/>
          <w:szCs w:val="22"/>
        </w:rPr>
        <w:t xml:space="preserve">toje </w:t>
      </w:r>
      <w:r w:rsidRPr="00B90026">
        <w:rPr>
          <w:rFonts w:asciiTheme="minorHAnsi" w:hAnsiTheme="minorHAnsi" w:cstheme="minorHAnsi"/>
          <w:sz w:val="22"/>
          <w:szCs w:val="22"/>
        </w:rPr>
        <w:t xml:space="preserve">byloje </w:t>
      </w:r>
      <w:r>
        <w:rPr>
          <w:rFonts w:asciiTheme="minorHAnsi" w:hAnsiTheme="minorHAnsi" w:cstheme="minorHAnsi"/>
          <w:sz w:val="22"/>
          <w:szCs w:val="22"/>
        </w:rPr>
        <w:t xml:space="preserve">pateiktu </w:t>
      </w:r>
      <w:r w:rsidRPr="00B90026">
        <w:rPr>
          <w:rFonts w:asciiTheme="minorHAnsi" w:hAnsiTheme="minorHAnsi" w:cstheme="minorHAnsi"/>
          <w:sz w:val="22"/>
          <w:szCs w:val="22"/>
        </w:rPr>
        <w:t>2017 m. liepos 20 d. prejudicini</w:t>
      </w:r>
      <w:r>
        <w:rPr>
          <w:rFonts w:asciiTheme="minorHAnsi" w:hAnsiTheme="minorHAnsi" w:cstheme="minorHAnsi"/>
          <w:sz w:val="22"/>
          <w:szCs w:val="22"/>
        </w:rPr>
        <w:t xml:space="preserve">u </w:t>
      </w:r>
      <w:r w:rsidRPr="00B90026">
        <w:rPr>
          <w:rFonts w:asciiTheme="minorHAnsi" w:hAnsiTheme="minorHAnsi" w:cstheme="minorHAnsi"/>
          <w:sz w:val="22"/>
          <w:szCs w:val="22"/>
        </w:rPr>
        <w:t>sprendim</w:t>
      </w:r>
      <w:r>
        <w:rPr>
          <w:rFonts w:asciiTheme="minorHAnsi" w:hAnsiTheme="minorHAnsi" w:cstheme="minorHAnsi"/>
          <w:sz w:val="22"/>
          <w:szCs w:val="22"/>
        </w:rPr>
        <w:t xml:space="preserve">u ESTT nurodė, kad </w:t>
      </w:r>
      <w:r w:rsidRPr="00B90026">
        <w:rPr>
          <w:rFonts w:asciiTheme="minorHAnsi" w:hAnsiTheme="minorHAnsi" w:cstheme="minorHAnsi"/>
          <w:sz w:val="22"/>
          <w:szCs w:val="22"/>
          <w:lang w:bidi="lt-LT"/>
        </w:rPr>
        <w:t>Direktyva turi būti aiškinama taip, kad į jos materialinę taikymo sritį patenka skolų išieškojimo bendrovės ir įsipareigojimų pagal vartojimo kredito sutartį nevykdančio skolininko, kurio skola buvo perleista šiai bendrovei, teisiniai santykiai. Į sąvoką „produktas“, kaip ji suprantama pagal šios Direktyvos 2 straipsnio c punktą, patenka veikla, kurią tokia bendrovė vykdo siekdama išieškoti skolą. Šiuo at</w:t>
      </w:r>
      <w:r>
        <w:rPr>
          <w:rFonts w:asciiTheme="minorHAnsi" w:hAnsiTheme="minorHAnsi" w:cstheme="minorHAnsi"/>
          <w:sz w:val="22"/>
          <w:szCs w:val="22"/>
          <w:lang w:bidi="lt-LT"/>
        </w:rPr>
        <w:t xml:space="preserve">veju </w:t>
      </w:r>
      <w:r w:rsidRPr="00B90026">
        <w:rPr>
          <w:rFonts w:asciiTheme="minorHAnsi" w:hAnsiTheme="minorHAnsi" w:cstheme="minorHAnsi"/>
          <w:sz w:val="22"/>
          <w:szCs w:val="22"/>
          <w:lang w:bidi="lt-LT"/>
        </w:rPr>
        <w:t>neturi reikšmės aplinkybė, kad skola buvo patvirtinta teismo sprendimu ir šis sprendimas buvo perduotas vykdyti antstoliui.</w:t>
      </w:r>
    </w:p>
    <w:p w:rsidR="00341C25" w:rsidRPr="00B90026" w:rsidRDefault="00341C25" w:rsidP="00341C25">
      <w:pPr>
        <w:ind w:firstLine="567"/>
        <w:jc w:val="both"/>
        <w:rPr>
          <w:rFonts w:asciiTheme="minorHAnsi" w:hAnsiTheme="minorHAnsi" w:cstheme="minorHAnsi"/>
          <w:sz w:val="22"/>
          <w:szCs w:val="22"/>
        </w:rPr>
      </w:pPr>
      <w:r w:rsidRPr="00B90026">
        <w:rPr>
          <w:rFonts w:asciiTheme="minorHAnsi" w:hAnsiTheme="minorHAnsi" w:cstheme="minorHAnsi"/>
          <w:sz w:val="22"/>
          <w:szCs w:val="22"/>
        </w:rPr>
        <w:t>Atsižvelgusi į tai, kas išdėstyta, teisėjų kolegija konstatavo, kad nagrinė</w:t>
      </w:r>
      <w:r>
        <w:rPr>
          <w:rFonts w:asciiTheme="minorHAnsi" w:hAnsiTheme="minorHAnsi" w:cstheme="minorHAnsi"/>
          <w:sz w:val="22"/>
          <w:szCs w:val="22"/>
        </w:rPr>
        <w:t xml:space="preserve">tu </w:t>
      </w:r>
      <w:r w:rsidRPr="00B90026">
        <w:rPr>
          <w:rFonts w:asciiTheme="minorHAnsi" w:hAnsiTheme="minorHAnsi" w:cstheme="minorHAnsi"/>
          <w:sz w:val="22"/>
          <w:szCs w:val="22"/>
        </w:rPr>
        <w:t>atveju Bendrovė atliko komercinę veiklą vartotojams, kaip tai yra apibrėžta Direktyvos 2 straipsnio d punkte bei Įstatymo 2 straipsnio 4 dalyje, ir pritarė pirmosios instancijos teismo pozicijai dėl teisinių santykių, susiklosčiusių tarp Bendrovės ir fizinių asmenų, priskyrimo vartojimo teisiniams santykiams, o apeliacinio skundo argumentus šiuo aspektu laikė nepagrįstais.</w:t>
      </w:r>
    </w:p>
    <w:p w:rsidR="00341C25" w:rsidRDefault="00341C25" w:rsidP="00341C25">
      <w:pPr>
        <w:ind w:firstLine="567"/>
        <w:jc w:val="both"/>
        <w:rPr>
          <w:rFonts w:asciiTheme="minorHAnsi" w:hAnsiTheme="minorHAnsi" w:cstheme="minorHAnsi"/>
          <w:sz w:val="22"/>
          <w:szCs w:val="22"/>
        </w:rPr>
      </w:pPr>
      <w:r>
        <w:rPr>
          <w:rFonts w:asciiTheme="minorHAnsi" w:hAnsiTheme="minorHAnsi" w:cstheme="minorHAnsi"/>
          <w:sz w:val="22"/>
          <w:szCs w:val="22"/>
        </w:rPr>
        <w:t>LVAT t</w:t>
      </w:r>
      <w:r w:rsidRPr="00B90026">
        <w:rPr>
          <w:rFonts w:asciiTheme="minorHAnsi" w:hAnsiTheme="minorHAnsi" w:cstheme="minorHAnsi"/>
          <w:sz w:val="22"/>
          <w:szCs w:val="22"/>
        </w:rPr>
        <w:t>eisėjų kolegija sprendė, kad nagrinė</w:t>
      </w:r>
      <w:r>
        <w:rPr>
          <w:rFonts w:asciiTheme="minorHAnsi" w:hAnsiTheme="minorHAnsi" w:cstheme="minorHAnsi"/>
          <w:sz w:val="22"/>
          <w:szCs w:val="22"/>
        </w:rPr>
        <w:t>t</w:t>
      </w:r>
      <w:r w:rsidRPr="00B90026">
        <w:rPr>
          <w:rFonts w:asciiTheme="minorHAnsi" w:hAnsiTheme="minorHAnsi" w:cstheme="minorHAnsi"/>
          <w:sz w:val="22"/>
          <w:szCs w:val="22"/>
        </w:rPr>
        <w:t>u atveju apelianto argumentai dėl to, jog Bendrovė neperėmė Swedbank, AB ir AB SEB bankas teisių, o perėmė tik reikalavimo teises į skolininkus, bei tai, kad Bendrovė nedalyvavo sudarant kreditavimo sutartis tarp fizinių asmenų ir bankų, nepaneigia, jog Bendrovė, įgijusi teisę išieškoti fizinių asmenų skolas, savo komercinę veiklą – skolos išieškojimo veiksmus, turi atlikti nepažeisdama teisės aktų, reglamentuojančių vartojimo teisinius santykius, reikalavimų.</w:t>
      </w:r>
    </w:p>
    <w:p w:rsidR="00341C25" w:rsidRPr="00B90026" w:rsidRDefault="00341C25" w:rsidP="00341C25">
      <w:pPr>
        <w:ind w:firstLine="567"/>
        <w:jc w:val="both"/>
        <w:rPr>
          <w:rFonts w:asciiTheme="minorHAnsi" w:hAnsiTheme="minorHAnsi" w:cstheme="minorHAnsi"/>
          <w:sz w:val="22"/>
          <w:szCs w:val="22"/>
        </w:rPr>
      </w:pPr>
      <w:r w:rsidRPr="00B90026">
        <w:rPr>
          <w:rFonts w:asciiTheme="minorHAnsi" w:hAnsiTheme="minorHAnsi" w:cstheme="minorHAnsi"/>
          <w:sz w:val="22"/>
          <w:szCs w:val="22"/>
        </w:rPr>
        <w:t>Teisėjų kolegija pažymėjo, kad byloje nekilo ginč</w:t>
      </w:r>
      <w:r>
        <w:rPr>
          <w:rFonts w:asciiTheme="minorHAnsi" w:hAnsiTheme="minorHAnsi" w:cstheme="minorHAnsi"/>
          <w:sz w:val="22"/>
          <w:szCs w:val="22"/>
        </w:rPr>
        <w:t>as</w:t>
      </w:r>
      <w:r w:rsidRPr="00B90026">
        <w:rPr>
          <w:rFonts w:asciiTheme="minorHAnsi" w:hAnsiTheme="minorHAnsi" w:cstheme="minorHAnsi"/>
          <w:sz w:val="22"/>
          <w:szCs w:val="22"/>
        </w:rPr>
        <w:t xml:space="preserve"> dėl pareiškėjo teisių reikalauti atlyginti patirtas skolos išieškojimo išlaidas, kaip tai numatyta Civiliniame kodekse, tačiau, įvertinus tai, kad tarp skolininkų ir Bendrovės skolos išieškojimo procese susiklostė vartojimo teisiniai santykiai, skolos išieškojimo kaina (skolos išieškojimo išlaidos) pagrįstai laikyta Bendrovės atliekamos veiklos vartotojų atžvilgiu (produkto) kaina.</w:t>
      </w:r>
    </w:p>
    <w:p w:rsidR="00341C25" w:rsidRPr="00B90026" w:rsidRDefault="00341C25" w:rsidP="00341C25">
      <w:pPr>
        <w:ind w:firstLine="567"/>
        <w:jc w:val="both"/>
        <w:rPr>
          <w:rFonts w:asciiTheme="minorHAnsi" w:hAnsiTheme="minorHAnsi" w:cstheme="minorHAnsi"/>
          <w:sz w:val="22"/>
          <w:szCs w:val="22"/>
        </w:rPr>
      </w:pPr>
      <w:r w:rsidRPr="00B90026">
        <w:rPr>
          <w:rFonts w:asciiTheme="minorHAnsi" w:hAnsiTheme="minorHAnsi" w:cstheme="minorHAnsi"/>
          <w:sz w:val="22"/>
          <w:szCs w:val="22"/>
        </w:rPr>
        <w:t>Nagrinė</w:t>
      </w:r>
      <w:r>
        <w:rPr>
          <w:rFonts w:asciiTheme="minorHAnsi" w:hAnsiTheme="minorHAnsi" w:cstheme="minorHAnsi"/>
          <w:sz w:val="22"/>
          <w:szCs w:val="22"/>
        </w:rPr>
        <w:t>t</w:t>
      </w:r>
      <w:r w:rsidRPr="00B90026">
        <w:rPr>
          <w:rFonts w:asciiTheme="minorHAnsi" w:hAnsiTheme="minorHAnsi" w:cstheme="minorHAnsi"/>
          <w:sz w:val="22"/>
          <w:szCs w:val="22"/>
        </w:rPr>
        <w:t>u atveju buvo nustatyta, kad Bendrovės veiksmai, kai vartotojams vykdant finansinius įsipareigojimus, Bendrovė į tai neatsižvelgdama atlieka išieškojimo veiksmus, tokiu būdu didindama išieškojimo išlaidų dydį, pažeidžia profesinio atidumo reikalavimus bei iškreipia vidutinio vartotojo elgesį, nes vidutinis vartotojas nemokėtų įmokų Bendrovei tokiu būdu, kuris nemažina mokėtinos sumos dydžio. Tokių duomenų nustatymas</w:t>
      </w:r>
      <w:r>
        <w:rPr>
          <w:rFonts w:asciiTheme="minorHAnsi" w:hAnsiTheme="minorHAnsi" w:cstheme="minorHAnsi"/>
          <w:sz w:val="22"/>
          <w:szCs w:val="22"/>
        </w:rPr>
        <w:t xml:space="preserve"> </w:t>
      </w:r>
      <w:r w:rsidRPr="00B90026">
        <w:rPr>
          <w:rFonts w:asciiTheme="minorHAnsi" w:hAnsiTheme="minorHAnsi" w:cstheme="minorHAnsi"/>
          <w:sz w:val="22"/>
          <w:szCs w:val="22"/>
        </w:rPr>
        <w:t xml:space="preserve">yra pakankamas konstatuoti, kad nurodyta pareiškėjo veikla neatitiko profesinio atidumo reikalavimo ir iškreipė ar galėjo iškreipti vidutinio vartotojo ekonominį elgesį, todėl atsakovas pagrįstai konstatavo Įstatymo 3 straipsnio 1 dalies pažeidimą. </w:t>
      </w:r>
    </w:p>
    <w:p w:rsidR="00341C25" w:rsidRPr="00B90026" w:rsidRDefault="00341C25" w:rsidP="00341C25">
      <w:pPr>
        <w:ind w:firstLine="567"/>
        <w:jc w:val="both"/>
        <w:rPr>
          <w:rFonts w:asciiTheme="minorHAnsi" w:hAnsiTheme="minorHAnsi" w:cstheme="minorHAnsi"/>
          <w:sz w:val="22"/>
          <w:szCs w:val="22"/>
        </w:rPr>
      </w:pPr>
      <w:r>
        <w:rPr>
          <w:rFonts w:asciiTheme="minorHAnsi" w:hAnsiTheme="minorHAnsi" w:cstheme="minorHAnsi"/>
          <w:sz w:val="22"/>
          <w:szCs w:val="22"/>
        </w:rPr>
        <w:t>LVAT t</w:t>
      </w:r>
      <w:r w:rsidRPr="00B90026">
        <w:rPr>
          <w:rFonts w:asciiTheme="minorHAnsi" w:hAnsiTheme="minorHAnsi" w:cstheme="minorHAnsi"/>
          <w:sz w:val="22"/>
          <w:szCs w:val="22"/>
        </w:rPr>
        <w:t xml:space="preserve">eisėjų kolegija atkreipė dėmesį, kad </w:t>
      </w:r>
      <w:r>
        <w:rPr>
          <w:rFonts w:asciiTheme="minorHAnsi" w:hAnsiTheme="minorHAnsi" w:cstheme="minorHAnsi"/>
          <w:sz w:val="22"/>
          <w:szCs w:val="22"/>
        </w:rPr>
        <w:t xml:space="preserve">byloje </w:t>
      </w:r>
      <w:r w:rsidRPr="00B90026">
        <w:rPr>
          <w:rFonts w:asciiTheme="minorHAnsi" w:hAnsiTheme="minorHAnsi" w:cstheme="minorHAnsi"/>
          <w:sz w:val="22"/>
          <w:szCs w:val="22"/>
        </w:rPr>
        <w:t xml:space="preserve">buvo nustatyta, jog Bendrovės siunčiamuose pranešimuose vartotojams nėra pateikta informacija, už ką reikia sumokėti, nors pareiškėjų skola buvo priteista teismo sprendimu. Atsakovas teisingai konstatavo, kad tokiu būdu vartotojams gali būti sudaromas įspūdis, jog skolą išieško tiek Bendrovė, tiek paskirtas antstolis ar kad Bendrovė vykdo papildomus skolos išieškojimo </w:t>
      </w:r>
      <w:r w:rsidRPr="00B90026">
        <w:rPr>
          <w:rFonts w:asciiTheme="minorHAnsi" w:hAnsiTheme="minorHAnsi" w:cstheme="minorHAnsi"/>
          <w:sz w:val="22"/>
          <w:szCs w:val="22"/>
        </w:rPr>
        <w:lastRenderedPageBreak/>
        <w:t xml:space="preserve">veiksmus. Tokio pobūdžio informacijos pateikimą atsakovas tinkamai įvertino kaip klaidinantį ar galintį suklaidinti vartotoją. </w:t>
      </w:r>
      <w:r>
        <w:rPr>
          <w:rFonts w:asciiTheme="minorHAnsi" w:hAnsiTheme="minorHAnsi" w:cstheme="minorHAnsi"/>
          <w:sz w:val="22"/>
          <w:szCs w:val="22"/>
        </w:rPr>
        <w:t xml:space="preserve">Taigi </w:t>
      </w:r>
      <w:r w:rsidRPr="00B90026">
        <w:rPr>
          <w:rFonts w:asciiTheme="minorHAnsi" w:hAnsiTheme="minorHAnsi" w:cstheme="minorHAnsi"/>
          <w:sz w:val="22"/>
          <w:szCs w:val="22"/>
        </w:rPr>
        <w:t xml:space="preserve">faktinių aplinkybių visuma sudarė pakankamą pagrindą atsakovui konstatuoti Bendrovės veiksmais padarytą Įstatymo 3 straipsnio 1 dalies pažeidimą dėl pareiškėjo komercinės veiklos atitikties Įstatymo 5 straipsnio 1 dalies 4 punkto nuostatai. </w:t>
      </w:r>
    </w:p>
    <w:p w:rsidR="00341C25" w:rsidRDefault="00341C25" w:rsidP="00341C25">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Byloje nustatyta, kad Bendrovė nepateikė informacijos, kokiuose dokumentuose yra nustatyta, kokia tvarka Bendrovė vykdo išieškojimo veiksmus, t. y. kokios konkrečios skolos išieškojimo priemonės taikytinos konkrečiu atveju, kas kiek laiko galima imtis skolos išieškojimo veiksmo, kokie kiekvieno iš skolos išieškojimo veiksmo įkainiai. Informacija, kokia tvarka Bendrovė taiko įkainius už skolos išieškojimo veiksmus, yra esminė vartotojams. </w:t>
      </w:r>
      <w:r>
        <w:rPr>
          <w:rFonts w:asciiTheme="minorHAnsi" w:hAnsiTheme="minorHAnsi" w:cstheme="minorHAnsi"/>
          <w:sz w:val="22"/>
          <w:szCs w:val="22"/>
        </w:rPr>
        <w:t>LVAT t</w:t>
      </w:r>
      <w:r w:rsidRPr="00B90026">
        <w:rPr>
          <w:rFonts w:asciiTheme="minorHAnsi" w:hAnsiTheme="minorHAnsi" w:cstheme="minorHAnsi"/>
          <w:sz w:val="22"/>
          <w:szCs w:val="22"/>
        </w:rPr>
        <w:t xml:space="preserve">eisėjų kolegija sutiko su atsakovo pozicija, kad tokios informacijos neatskleidimas gali lemti vidutinio vartotojo elgesio jo skolos išieškotojo atžvilgiu iškreipimą, kadangi tik išsamiai supažindintas su informacija, kokia tvarka Bendrovė taiko įkainius už išieškojimo veiksmus, vartotojas turi galimybę priimti informacija pagrįstą sprendimą dėl sandorio. </w:t>
      </w:r>
    </w:p>
    <w:p w:rsidR="00341C25" w:rsidRDefault="00341C25" w:rsidP="00341C25">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Atsižvelgusi į išdėstytas aplinkybes, </w:t>
      </w:r>
      <w:r>
        <w:rPr>
          <w:rFonts w:asciiTheme="minorHAnsi" w:hAnsiTheme="minorHAnsi" w:cstheme="minorHAnsi"/>
          <w:sz w:val="22"/>
          <w:szCs w:val="22"/>
        </w:rPr>
        <w:t xml:space="preserve">LVAT </w:t>
      </w:r>
      <w:r w:rsidRPr="00B90026">
        <w:rPr>
          <w:rFonts w:asciiTheme="minorHAnsi" w:hAnsiTheme="minorHAnsi" w:cstheme="minorHAnsi"/>
          <w:sz w:val="22"/>
          <w:szCs w:val="22"/>
        </w:rPr>
        <w:t>teisėjų kolegija konstatavo, kad pirmosios instancijos teismas teisingai įvertino, jog byloje nustatytos aplinkybės patvirtina, kad pareiškėjo veikla neatitinka profesinio atidumo reikalavimų ir iš esmės iškreipia arba gali iš esmės iškreipti vidutinio vartotojo ekonominį elgesį siūlomo produkto atžvilgiu, dėl to jo veiksmuose pagrįstai konstatuotas Įstatymo 3 straipsnio 1 dalies pažeidimas (komercinė veikla laikyta nesąžininga pagal Įstatymo 3 str. 2 d. 1 p., 5 str. 1 d. 4 p., 6 str. 1 d. 1 p.).</w:t>
      </w:r>
    </w:p>
    <w:p w:rsidR="00341C25" w:rsidRPr="00B90026" w:rsidRDefault="00341C25" w:rsidP="00341C25">
      <w:pPr>
        <w:ind w:firstLine="567"/>
        <w:jc w:val="both"/>
        <w:rPr>
          <w:rFonts w:asciiTheme="minorHAnsi" w:hAnsiTheme="minorHAnsi" w:cstheme="minorHAnsi"/>
          <w:sz w:val="22"/>
          <w:szCs w:val="22"/>
        </w:rPr>
      </w:pPr>
      <w:r w:rsidRPr="00B90026">
        <w:rPr>
          <w:rFonts w:asciiTheme="minorHAnsi" w:hAnsiTheme="minorHAnsi" w:cstheme="minorHAnsi"/>
          <w:sz w:val="22"/>
          <w:szCs w:val="22"/>
        </w:rPr>
        <w:t>Pareiškėjo apeliacinis skundas atmestas.</w:t>
      </w:r>
    </w:p>
    <w:p w:rsidR="00341C25" w:rsidRPr="00B90026" w:rsidRDefault="00341C25" w:rsidP="00341C25">
      <w:pPr>
        <w:ind w:firstLine="567"/>
        <w:jc w:val="both"/>
        <w:rPr>
          <w:rFonts w:asciiTheme="minorHAnsi" w:hAnsiTheme="minorHAnsi" w:cstheme="minorHAnsi"/>
          <w:sz w:val="22"/>
          <w:szCs w:val="22"/>
        </w:rPr>
      </w:pPr>
    </w:p>
    <w:p w:rsidR="00341C25" w:rsidRPr="00B90026" w:rsidRDefault="00341C25" w:rsidP="00341C25">
      <w:pPr>
        <w:jc w:val="both"/>
        <w:rPr>
          <w:rFonts w:asciiTheme="minorHAnsi" w:hAnsiTheme="minorHAnsi" w:cstheme="minorHAnsi"/>
          <w:sz w:val="22"/>
          <w:szCs w:val="22"/>
        </w:rPr>
      </w:pPr>
      <w:r w:rsidRPr="00B90026">
        <w:rPr>
          <w:rFonts w:asciiTheme="minorHAnsi" w:hAnsiTheme="minorHAnsi" w:cstheme="minorHAnsi"/>
          <w:sz w:val="22"/>
          <w:szCs w:val="22"/>
        </w:rPr>
        <w:t>2017 m. gruodžio 14 d. nutartis administracinėje byloje Nr. eA-161-552/2016</w:t>
      </w:r>
    </w:p>
    <w:p w:rsidR="00341C25" w:rsidRPr="00B90026" w:rsidRDefault="00341C25" w:rsidP="00341C25">
      <w:pPr>
        <w:jc w:val="both"/>
        <w:rPr>
          <w:rFonts w:asciiTheme="minorHAnsi" w:hAnsiTheme="minorHAnsi" w:cstheme="minorHAnsi"/>
          <w:sz w:val="22"/>
          <w:szCs w:val="22"/>
        </w:rPr>
      </w:pPr>
      <w:r w:rsidRPr="00B90026">
        <w:rPr>
          <w:rFonts w:asciiTheme="minorHAnsi" w:hAnsiTheme="minorHAnsi" w:cstheme="minorHAnsi"/>
          <w:sz w:val="22"/>
          <w:szCs w:val="22"/>
        </w:rPr>
        <w:t>Teisminio proceso Nr. 3-61-3-02719-2014-9</w:t>
      </w:r>
    </w:p>
    <w:p w:rsidR="00341C25" w:rsidRPr="00B90026" w:rsidRDefault="00341C25" w:rsidP="00341C25">
      <w:pPr>
        <w:jc w:val="both"/>
        <w:rPr>
          <w:rFonts w:asciiTheme="minorHAnsi" w:hAnsiTheme="minorHAnsi" w:cstheme="minorHAnsi"/>
          <w:sz w:val="22"/>
          <w:szCs w:val="22"/>
        </w:rPr>
      </w:pPr>
      <w:r w:rsidRPr="00B90026">
        <w:rPr>
          <w:rFonts w:asciiTheme="minorHAnsi" w:hAnsiTheme="minorHAnsi" w:cstheme="minorHAnsi"/>
          <w:sz w:val="22"/>
          <w:szCs w:val="22"/>
        </w:rPr>
        <w:t>Procesinio sprendimo kategorija 41</w:t>
      </w:r>
    </w:p>
    <w:p w:rsidR="00341C25" w:rsidRPr="00B90026" w:rsidRDefault="007E1236" w:rsidP="00341C25">
      <w:pPr>
        <w:jc w:val="both"/>
        <w:rPr>
          <w:rFonts w:asciiTheme="minorHAnsi" w:hAnsiTheme="minorHAnsi" w:cstheme="minorHAnsi"/>
          <w:sz w:val="22"/>
          <w:szCs w:val="22"/>
        </w:rPr>
      </w:pPr>
      <w:hyperlink r:id="rId33" w:history="1">
        <w:r w:rsidR="00341C25" w:rsidRPr="00B90026">
          <w:rPr>
            <w:rStyle w:val="Hipersaitas"/>
            <w:rFonts w:asciiTheme="minorHAnsi" w:hAnsiTheme="minorHAnsi"/>
            <w:sz w:val="22"/>
            <w:szCs w:val="22"/>
          </w:rPr>
          <w:t>Prieiga internete</w:t>
        </w:r>
      </w:hyperlink>
      <w:r w:rsidR="00341C25" w:rsidRPr="00B90026">
        <w:rPr>
          <w:rFonts w:asciiTheme="minorHAnsi" w:hAnsiTheme="minorHAnsi" w:cstheme="minorHAnsi"/>
          <w:sz w:val="22"/>
          <w:szCs w:val="22"/>
        </w:rPr>
        <w:t xml:space="preserve"> </w:t>
      </w:r>
    </w:p>
    <w:p w:rsidR="00341C25" w:rsidRDefault="00341C25" w:rsidP="00341C25"/>
    <w:p w:rsidR="004B04DE" w:rsidRPr="00B90026" w:rsidRDefault="004B04DE" w:rsidP="004B04DE">
      <w:pPr>
        <w:pStyle w:val="Apzvalgai1"/>
        <w:rPr>
          <w:rFonts w:asciiTheme="minorHAnsi" w:hAnsiTheme="minorHAnsi" w:cstheme="minorHAnsi"/>
        </w:rPr>
      </w:pPr>
      <w:bookmarkStart w:id="95" w:name="_Toc505787268"/>
      <w:r w:rsidRPr="00B90026">
        <w:rPr>
          <w:rFonts w:asciiTheme="minorHAnsi" w:hAnsiTheme="minorHAnsi" w:cstheme="minorHAnsi"/>
        </w:rPr>
        <w:t>II. Administracinių bylų teisena</w:t>
      </w:r>
      <w:bookmarkEnd w:id="95"/>
    </w:p>
    <w:p w:rsidR="004B04DE" w:rsidRPr="00B90026" w:rsidRDefault="004B04DE" w:rsidP="004B04DE">
      <w:pPr>
        <w:ind w:firstLine="1134"/>
        <w:rPr>
          <w:rFonts w:asciiTheme="minorHAnsi" w:hAnsiTheme="minorHAnsi" w:cstheme="minorHAnsi"/>
          <w:b/>
          <w:sz w:val="22"/>
          <w:szCs w:val="22"/>
          <w:u w:val="single"/>
        </w:rPr>
      </w:pPr>
    </w:p>
    <w:p w:rsidR="001B04D7" w:rsidRPr="00B90026" w:rsidRDefault="00D963BB" w:rsidP="00363C0B">
      <w:pPr>
        <w:pStyle w:val="Apzvalgai1"/>
        <w:rPr>
          <w:rFonts w:asciiTheme="minorHAnsi" w:hAnsiTheme="minorHAnsi" w:cstheme="minorHAnsi"/>
        </w:rPr>
      </w:pPr>
      <w:bookmarkStart w:id="96" w:name="_Toc505787269"/>
      <w:r w:rsidRPr="00B90026">
        <w:rPr>
          <w:rFonts w:asciiTheme="minorHAnsi" w:hAnsiTheme="minorHAnsi" w:cstheme="minorHAnsi"/>
        </w:rPr>
        <w:t>43. Teisė kreiptis į teismą ir jos realizavimas</w:t>
      </w:r>
      <w:bookmarkEnd w:id="96"/>
    </w:p>
    <w:p w:rsidR="001B04D7" w:rsidRPr="00B90026" w:rsidRDefault="001B04D7" w:rsidP="001B04D7">
      <w:pPr>
        <w:ind w:firstLine="567"/>
        <w:rPr>
          <w:rFonts w:asciiTheme="minorHAnsi" w:hAnsiTheme="minorHAnsi"/>
          <w:b/>
          <w:bCs/>
          <w:sz w:val="22"/>
          <w:szCs w:val="22"/>
          <w:u w:val="single"/>
        </w:rPr>
      </w:pPr>
      <w:r w:rsidRPr="00B90026">
        <w:rPr>
          <w:rFonts w:asciiTheme="minorHAnsi" w:hAnsiTheme="minorHAnsi"/>
          <w:b/>
          <w:bCs/>
          <w:sz w:val="22"/>
          <w:szCs w:val="22"/>
          <w:u w:val="single"/>
        </w:rPr>
        <w:t>43.3. Skundo priėmimas ir trūkumų šalinimas</w:t>
      </w:r>
    </w:p>
    <w:p w:rsidR="001B04D7" w:rsidRPr="00B90026" w:rsidRDefault="001B04D7" w:rsidP="001B04D7">
      <w:pPr>
        <w:ind w:firstLine="567"/>
        <w:rPr>
          <w:rFonts w:asciiTheme="minorHAnsi" w:hAnsiTheme="minorHAnsi"/>
          <w:b/>
          <w:bCs/>
          <w:sz w:val="22"/>
          <w:szCs w:val="22"/>
          <w:u w:val="single"/>
        </w:rPr>
      </w:pPr>
    </w:p>
    <w:p w:rsidR="001B04D7" w:rsidRPr="00B90026" w:rsidRDefault="001B04D7" w:rsidP="004B04DE">
      <w:pPr>
        <w:pStyle w:val="Antrat2"/>
        <w:rPr>
          <w:rFonts w:eastAsia="Arial Unicode MS"/>
        </w:rPr>
      </w:pPr>
      <w:bookmarkStart w:id="97" w:name="_Toc505787270"/>
      <w:r w:rsidRPr="00B90026">
        <w:rPr>
          <w:rFonts w:eastAsia="Arial Unicode MS"/>
        </w:rPr>
        <w:t>Dėl tinkamai pasirašyto apeliacinio skundo pateikimo per EPP</w:t>
      </w:r>
      <w:bookmarkEnd w:id="97"/>
      <w:r w:rsidRPr="00B90026">
        <w:rPr>
          <w:rFonts w:eastAsia="Arial Unicode MS"/>
        </w:rPr>
        <w:t xml:space="preserve"> </w:t>
      </w:r>
    </w:p>
    <w:p w:rsidR="001B04D7" w:rsidRPr="00B90026" w:rsidRDefault="001B04D7" w:rsidP="001B04D7">
      <w:pPr>
        <w:rPr>
          <w:rFonts w:asciiTheme="minorHAnsi" w:eastAsia="Arial Unicode MS" w:hAnsiTheme="minorHAnsi"/>
          <w:i/>
          <w:sz w:val="22"/>
          <w:szCs w:val="22"/>
          <w:shd w:val="clear" w:color="auto" w:fill="FFFFFF"/>
        </w:rPr>
      </w:pPr>
    </w:p>
    <w:p w:rsidR="001B04D7" w:rsidRPr="00B90026" w:rsidRDefault="001B04D7" w:rsidP="001B04D7">
      <w:pPr>
        <w:ind w:firstLine="567"/>
        <w:jc w:val="both"/>
        <w:rPr>
          <w:rFonts w:asciiTheme="minorHAnsi" w:hAnsiTheme="minorHAnsi"/>
          <w:sz w:val="22"/>
          <w:szCs w:val="22"/>
        </w:rPr>
      </w:pPr>
      <w:r w:rsidRPr="00B90026">
        <w:rPr>
          <w:rFonts w:asciiTheme="minorHAnsi" w:hAnsiTheme="minorHAnsi"/>
          <w:sz w:val="22"/>
          <w:szCs w:val="22"/>
        </w:rPr>
        <w:t xml:space="preserve">Apžvelgiamoje byloje atsakovas Lietuvos valstybė, atstovaujama Pravieniškių pataisos namų-atvirosios kolonijos, per Elektroninių paslaugų portalą (toliau – EPP) pateikė apeliacinį skundą, kuriuo prašė panaikinti pirmosios instancijos teismo sprendimą ir priimti naują sprendimą. </w:t>
      </w:r>
    </w:p>
    <w:p w:rsidR="001B04D7" w:rsidRPr="00B90026" w:rsidRDefault="001B04D7" w:rsidP="001B04D7">
      <w:pPr>
        <w:ind w:firstLine="567"/>
        <w:jc w:val="both"/>
        <w:rPr>
          <w:rFonts w:asciiTheme="minorHAnsi" w:hAnsiTheme="minorHAnsi"/>
          <w:sz w:val="22"/>
          <w:szCs w:val="22"/>
        </w:rPr>
      </w:pPr>
      <w:r w:rsidRPr="00B90026">
        <w:rPr>
          <w:rFonts w:asciiTheme="minorHAnsi" w:hAnsiTheme="minorHAnsi"/>
          <w:sz w:val="22"/>
          <w:szCs w:val="22"/>
        </w:rPr>
        <w:t>LVAT pažymėjo, kad apelianto pateiktas apeliacinis skundas neatitiko Lietuvos Respublikos administracinių bylų teisenos įstatymo (toliau – ABTĮ) 134 straipsnio 4 ir 5 dalių (apeliacinį skundą pasirašo apeliantas arba jo atstovas; kai apeliacinis skundas paduodamas elektroninių ryšių priemonėmis, asmens tapatybė patvirtinama Lietuvos Respublikos teismų įstatyme nustatytais būdais) bei Lietuvos Respublikos teismų įstatymo 37</w:t>
      </w:r>
      <w:r w:rsidRPr="00B90026">
        <w:rPr>
          <w:rFonts w:asciiTheme="minorHAnsi" w:hAnsiTheme="minorHAnsi"/>
          <w:sz w:val="22"/>
          <w:szCs w:val="22"/>
          <w:vertAlign w:val="superscript"/>
        </w:rPr>
        <w:t>1</w:t>
      </w:r>
      <w:r w:rsidRPr="00B90026">
        <w:rPr>
          <w:rFonts w:asciiTheme="minorHAnsi" w:hAnsiTheme="minorHAnsi"/>
          <w:sz w:val="22"/>
          <w:szCs w:val="22"/>
        </w:rPr>
        <w:t xml:space="preserve"> straipsnio 3 dalies (asmenys, teikiantys procesinius dokumentus elektroninių ryšių priemonėmis, turi juos pasirašyti saugiu elektroniniu parašu arba savo asmens tapatybę patvirtinti kitais būdais (per elektroninės bankininkystės sistemas ar pan.) arba užsiregistruoti teismų informacinėje sistemoje) reikalavimų. </w:t>
      </w:r>
    </w:p>
    <w:p w:rsidR="001B04D7" w:rsidRPr="00B90026" w:rsidRDefault="001B04D7" w:rsidP="001B04D7">
      <w:pPr>
        <w:ind w:firstLine="567"/>
        <w:jc w:val="both"/>
        <w:rPr>
          <w:rFonts w:asciiTheme="minorHAnsi" w:hAnsiTheme="minorHAnsi"/>
          <w:sz w:val="22"/>
          <w:szCs w:val="22"/>
        </w:rPr>
      </w:pPr>
      <w:r w:rsidRPr="00B90026">
        <w:rPr>
          <w:rFonts w:asciiTheme="minorHAnsi" w:hAnsiTheme="minorHAnsi"/>
          <w:sz w:val="22"/>
          <w:szCs w:val="22"/>
        </w:rPr>
        <w:t xml:space="preserve">Lietuvos Respublikos teisingumo ministro 2012 m. gruodžio 13 d. įsakymu Nr. 1R-332 patvirtinto Procesinių dokumentų pateikimo teismui ir jų įteikimo asmenims elektroninių ryšių priemonėmis tvarkos aprašo 2 punkte nustatyta, jog šiame apraše procesinius dokumentus teikiantis asmuo yra asmuo, kuris, vadovaudamasis Lietuvos Respublikos civilinio proceso kodekso, Lietuvos Respublikos baudžiamojo proceso kodekso, Lietuvos Respublikos administracinių bylų teisenos įstatymo ir (ar) Lietuvos Respublikos administracinių nusižengimų kodekso nuostatomis, </w:t>
      </w:r>
      <w:r w:rsidRPr="00B90026">
        <w:rPr>
          <w:rFonts w:asciiTheme="minorHAnsi" w:hAnsiTheme="minorHAnsi"/>
          <w:sz w:val="22"/>
          <w:szCs w:val="22"/>
          <w:u w:val="single"/>
        </w:rPr>
        <w:t>turi teisę pateikti teismui procesinius dokumentus</w:t>
      </w:r>
      <w:r w:rsidRPr="00B90026">
        <w:rPr>
          <w:rFonts w:asciiTheme="minorHAnsi" w:hAnsiTheme="minorHAnsi"/>
          <w:sz w:val="22"/>
          <w:szCs w:val="22"/>
        </w:rPr>
        <w:t xml:space="preserve">. </w:t>
      </w:r>
    </w:p>
    <w:p w:rsidR="001B04D7" w:rsidRPr="00B90026" w:rsidRDefault="001B04D7" w:rsidP="001B04D7">
      <w:pPr>
        <w:ind w:firstLine="567"/>
        <w:jc w:val="both"/>
        <w:rPr>
          <w:rFonts w:asciiTheme="minorHAnsi" w:hAnsiTheme="minorHAnsi"/>
          <w:sz w:val="22"/>
          <w:szCs w:val="22"/>
        </w:rPr>
      </w:pPr>
      <w:r w:rsidRPr="00B90026">
        <w:rPr>
          <w:rFonts w:asciiTheme="minorHAnsi" w:hAnsiTheme="minorHAnsi"/>
          <w:sz w:val="22"/>
          <w:szCs w:val="22"/>
        </w:rPr>
        <w:t xml:space="preserve">Lietuvos Respublikos administracinių bylų teisenos įstatymo 47 straipsnio 3 dalyje nurodyta, jog bylas juridinių asmenų vardu gali vesti institucijų, įstaigų, tarnybų, įmonių, organizacijų vadovai, o įstatymuose ir steigimo dokumentuose nustatyta tvarka – ir kiti darbuotojai ar valstybės tarnautojai, veikiantys pagal įstatymuose, kituose teisės aktuose ir steigimo dokumentuose jiems suteiktas teises ir pareigas. Šie asmenys pateikia teismui dokumentus, patvirtinančius jų pareigas. </w:t>
      </w:r>
    </w:p>
    <w:p w:rsidR="001B04D7" w:rsidRPr="00B90026" w:rsidRDefault="001B04D7" w:rsidP="001B04D7">
      <w:pPr>
        <w:ind w:firstLine="567"/>
        <w:jc w:val="both"/>
        <w:rPr>
          <w:rFonts w:asciiTheme="minorHAnsi" w:hAnsiTheme="minorHAnsi"/>
          <w:sz w:val="22"/>
          <w:szCs w:val="22"/>
          <w:u w:val="single"/>
        </w:rPr>
      </w:pPr>
      <w:r w:rsidRPr="00B90026">
        <w:rPr>
          <w:rFonts w:asciiTheme="minorHAnsi" w:hAnsiTheme="minorHAnsi"/>
          <w:sz w:val="22"/>
          <w:szCs w:val="22"/>
          <w:u w:val="single"/>
        </w:rPr>
        <w:lastRenderedPageBreak/>
        <w:t xml:space="preserve">Apeliacinio skundo, pasirašyto administracijos direktoriaus V. C., elektroninę kopiją į EPP įkėlė ir elektroniniu parašu pasirašė A. K. Pagal bylos duomenis, asmuo, turintis teisę teikti apeliacinį skundą, yra būtent V. C., kuris apeliacinio skundo nėra pasirašęs saugiu elektroniniu parašu ar kitais būdais nėra patvirtinęs savo tapatybės. </w:t>
      </w:r>
    </w:p>
    <w:p w:rsidR="001B04D7" w:rsidRPr="00B90026" w:rsidRDefault="001B04D7" w:rsidP="001B04D7">
      <w:pPr>
        <w:ind w:firstLine="567"/>
        <w:jc w:val="both"/>
        <w:rPr>
          <w:rFonts w:asciiTheme="minorHAnsi" w:hAnsiTheme="minorHAnsi"/>
          <w:sz w:val="22"/>
          <w:szCs w:val="22"/>
        </w:rPr>
      </w:pPr>
      <w:r w:rsidRPr="00B90026">
        <w:rPr>
          <w:rFonts w:asciiTheme="minorHAnsi" w:hAnsiTheme="minorHAnsi"/>
          <w:bCs/>
          <w:sz w:val="22"/>
          <w:szCs w:val="22"/>
        </w:rPr>
        <w:t xml:space="preserve">Dėl šios priežasties apeliantui </w:t>
      </w:r>
      <w:r w:rsidRPr="00B90026">
        <w:rPr>
          <w:rFonts w:asciiTheme="minorHAnsi" w:hAnsiTheme="minorHAnsi"/>
          <w:sz w:val="22"/>
          <w:szCs w:val="22"/>
        </w:rPr>
        <w:t xml:space="preserve">nustatytas terminas minėtam apeliacinio skundo trūkumui pašalinti, t. y. pateikti tinkamai pasirašytą apeliacinį skundą. </w:t>
      </w:r>
    </w:p>
    <w:p w:rsidR="001B04D7" w:rsidRPr="00B90026" w:rsidRDefault="001B04D7" w:rsidP="001B04D7">
      <w:pPr>
        <w:ind w:firstLine="567"/>
        <w:jc w:val="both"/>
        <w:rPr>
          <w:rFonts w:asciiTheme="minorHAnsi" w:hAnsiTheme="minorHAnsi"/>
          <w:b/>
          <w:bCs/>
          <w:sz w:val="22"/>
          <w:szCs w:val="22"/>
          <w:u w:val="single"/>
        </w:rPr>
      </w:pPr>
    </w:p>
    <w:p w:rsidR="001B04D7" w:rsidRPr="00B90026" w:rsidRDefault="001B04D7" w:rsidP="001B04D7">
      <w:pPr>
        <w:jc w:val="both"/>
        <w:rPr>
          <w:rFonts w:asciiTheme="minorHAnsi" w:hAnsiTheme="minorHAnsi"/>
          <w:sz w:val="22"/>
          <w:szCs w:val="22"/>
        </w:rPr>
      </w:pPr>
      <w:r w:rsidRPr="00B90026">
        <w:rPr>
          <w:rFonts w:asciiTheme="minorHAnsi" w:hAnsiTheme="minorHAnsi"/>
          <w:sz w:val="22"/>
          <w:szCs w:val="22"/>
        </w:rPr>
        <w:t xml:space="preserve">Lietuvos vyriausiojo administracinio teismo 2017 m. lapkričio 22 d. nutartis </w:t>
      </w:r>
      <w:r w:rsidR="006C11D3">
        <w:rPr>
          <w:rFonts w:asciiTheme="minorHAnsi" w:hAnsiTheme="minorHAnsi"/>
          <w:sz w:val="22"/>
          <w:szCs w:val="22"/>
        </w:rPr>
        <w:t>dėl priimtinumo.</w:t>
      </w:r>
    </w:p>
    <w:p w:rsidR="001B04D7" w:rsidRPr="00B90026" w:rsidRDefault="001B04D7" w:rsidP="00363C0B">
      <w:pPr>
        <w:pStyle w:val="Apzvalgai1"/>
        <w:rPr>
          <w:rFonts w:asciiTheme="minorHAnsi" w:hAnsiTheme="minorHAnsi" w:cstheme="minorHAnsi"/>
        </w:rPr>
      </w:pPr>
    </w:p>
    <w:p w:rsidR="00D963BB" w:rsidRPr="00B90026" w:rsidRDefault="00D963BB" w:rsidP="00D963BB">
      <w:pPr>
        <w:ind w:left="851" w:hanging="284"/>
        <w:rPr>
          <w:rFonts w:asciiTheme="minorHAnsi" w:hAnsiTheme="minorHAnsi" w:cstheme="minorHAnsi"/>
          <w:b/>
          <w:bCs/>
          <w:sz w:val="22"/>
          <w:szCs w:val="22"/>
          <w:u w:val="single"/>
        </w:rPr>
      </w:pPr>
      <w:r w:rsidRPr="00B90026">
        <w:rPr>
          <w:rFonts w:asciiTheme="minorHAnsi" w:hAnsiTheme="minorHAnsi" w:cstheme="minorHAnsi"/>
          <w:b/>
          <w:bCs/>
          <w:sz w:val="22"/>
          <w:szCs w:val="22"/>
          <w:u w:val="single"/>
        </w:rPr>
        <w:t>43.5. Atsisakymas priimti skundą</w:t>
      </w:r>
    </w:p>
    <w:p w:rsidR="0016628D" w:rsidRPr="00B90026" w:rsidRDefault="0016628D" w:rsidP="0016628D">
      <w:pPr>
        <w:ind w:left="851" w:firstLine="283"/>
        <w:jc w:val="both"/>
        <w:rPr>
          <w:rFonts w:asciiTheme="minorHAnsi" w:hAnsiTheme="minorHAnsi" w:cstheme="minorHAnsi"/>
          <w:b/>
          <w:bCs/>
          <w:sz w:val="22"/>
          <w:szCs w:val="22"/>
          <w:u w:val="single"/>
        </w:rPr>
      </w:pPr>
      <w:r w:rsidRPr="00B90026">
        <w:rPr>
          <w:rFonts w:asciiTheme="minorHAnsi" w:hAnsiTheme="minorHAnsi" w:cstheme="minorHAnsi"/>
          <w:b/>
          <w:bCs/>
          <w:sz w:val="22"/>
          <w:szCs w:val="22"/>
          <w:u w:val="single"/>
        </w:rPr>
        <w:t>43.5.8. Kai skundą suinteresuoto asmens vardu paduoda neįgaliotas vesti bylą asmuo</w:t>
      </w:r>
    </w:p>
    <w:p w:rsidR="0016628D" w:rsidRPr="00B90026" w:rsidRDefault="0016628D" w:rsidP="0016628D">
      <w:pPr>
        <w:ind w:firstLine="567"/>
        <w:rPr>
          <w:rFonts w:asciiTheme="minorHAnsi" w:hAnsiTheme="minorHAnsi" w:cstheme="minorHAnsi"/>
          <w:b/>
          <w:bCs/>
          <w:sz w:val="22"/>
          <w:szCs w:val="22"/>
          <w:u w:val="single"/>
        </w:rPr>
      </w:pPr>
    </w:p>
    <w:p w:rsidR="0016628D" w:rsidRPr="00B90026" w:rsidRDefault="0016628D" w:rsidP="00363C0B">
      <w:pPr>
        <w:pStyle w:val="Antrat2"/>
        <w:rPr>
          <w:rFonts w:eastAsia="Arial Unicode MS"/>
          <w:lang w:eastAsia="en-US"/>
        </w:rPr>
      </w:pPr>
      <w:bookmarkStart w:id="98" w:name="_Toc505787271"/>
      <w:r w:rsidRPr="00B90026">
        <w:rPr>
          <w:rFonts w:eastAsia="Arial Unicode MS"/>
        </w:rPr>
        <w:t>Dėl bankroto administratori</w:t>
      </w:r>
      <w:r w:rsidR="005B05D5">
        <w:rPr>
          <w:rFonts w:eastAsia="Arial Unicode MS"/>
        </w:rPr>
        <w:t>a</w:t>
      </w:r>
      <w:r w:rsidRPr="00B90026">
        <w:rPr>
          <w:rFonts w:eastAsia="Arial Unicode MS"/>
        </w:rPr>
        <w:t>us teisės inicijuoti naujus teisminius procesus, atstovaujant bankrutuojantį fizinį asmenį</w:t>
      </w:r>
      <w:bookmarkEnd w:id="98"/>
    </w:p>
    <w:p w:rsidR="0016628D" w:rsidRPr="00B90026" w:rsidRDefault="0016628D" w:rsidP="0016628D">
      <w:pPr>
        <w:rPr>
          <w:rFonts w:asciiTheme="minorHAnsi" w:eastAsia="Arial Unicode MS" w:hAnsiTheme="minorHAnsi" w:cstheme="minorHAnsi"/>
          <w:i/>
          <w:sz w:val="22"/>
          <w:szCs w:val="22"/>
          <w:shd w:val="clear" w:color="auto" w:fill="FFFFFF"/>
        </w:rPr>
      </w:pPr>
    </w:p>
    <w:p w:rsidR="0016628D" w:rsidRPr="00B90026" w:rsidRDefault="0016628D" w:rsidP="0016628D">
      <w:pPr>
        <w:ind w:firstLine="567"/>
        <w:jc w:val="both"/>
        <w:rPr>
          <w:rFonts w:asciiTheme="minorHAnsi" w:hAnsiTheme="minorHAnsi" w:cstheme="minorHAnsi"/>
          <w:sz w:val="22"/>
          <w:szCs w:val="22"/>
        </w:rPr>
      </w:pPr>
      <w:r w:rsidRPr="00B90026">
        <w:rPr>
          <w:rFonts w:asciiTheme="minorHAnsi" w:hAnsiTheme="minorHAnsi" w:cstheme="minorHAnsi"/>
          <w:sz w:val="22"/>
          <w:szCs w:val="22"/>
        </w:rPr>
        <w:t>Apžvelgiamoje byloje buvo tikrinamas pirmosios instancijos teismo nutarties, kuria teismas, pripažinęs, jog skundą pareiškėjo vardu padavė neįgaliotas vesti bylą asmuo, skundą atsisakė priimti, teisėtumas ir pagrįstumas.</w:t>
      </w:r>
    </w:p>
    <w:p w:rsidR="0016628D" w:rsidRPr="00B90026" w:rsidRDefault="0016628D" w:rsidP="0016628D">
      <w:pPr>
        <w:ind w:firstLine="567"/>
        <w:jc w:val="both"/>
        <w:rPr>
          <w:rFonts w:asciiTheme="minorHAnsi" w:hAnsiTheme="minorHAnsi" w:cstheme="minorHAnsi"/>
          <w:sz w:val="22"/>
          <w:szCs w:val="22"/>
        </w:rPr>
      </w:pPr>
      <w:r w:rsidRPr="00B90026">
        <w:rPr>
          <w:rFonts w:asciiTheme="minorHAnsi" w:hAnsiTheme="minorHAnsi" w:cstheme="minorHAnsi"/>
          <w:sz w:val="22"/>
          <w:szCs w:val="22"/>
        </w:rPr>
        <w:t>Į teismą su skundu dėl VĮ Registrų centro Centrinio registratoriaus ginčų nagrinėjimo komisijos sprendimo panaikinimo kreipėsi pareiškėjo atstovas bankroto administratorius UAB „Šilkuva“. Nustatyta, kad pareiškėjo V. Š. teisinis statusas – bankrutuojantis fizinis asmuo. Taigi šioje byloje buvo aktualios bankroto administratoriaus pareigos ir teisės nuo nutarties iškelti fizinio asmens bankroto bylą įsiteisėjimo dienos iki teismo nutarties patvirtinti planą dienos, kurios yra detalizuotos Fizinių asmenų bankroto įstatymo 12</w:t>
      </w:r>
      <w:r w:rsidR="005B05D5">
        <w:rPr>
          <w:rFonts w:asciiTheme="minorHAnsi" w:hAnsiTheme="minorHAnsi" w:cstheme="minorHAnsi"/>
          <w:sz w:val="22"/>
          <w:szCs w:val="22"/>
        </w:rPr>
        <w:t> </w:t>
      </w:r>
      <w:r w:rsidRPr="00B90026">
        <w:rPr>
          <w:rFonts w:asciiTheme="minorHAnsi" w:hAnsiTheme="minorHAnsi" w:cstheme="minorHAnsi"/>
          <w:sz w:val="22"/>
          <w:szCs w:val="22"/>
        </w:rPr>
        <w:t xml:space="preserve">straipsnio 1 dalyje. </w:t>
      </w:r>
    </w:p>
    <w:p w:rsidR="0016628D" w:rsidRPr="00B90026" w:rsidRDefault="0016628D" w:rsidP="0016628D">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Pirmosios instancijos teismas, atsisakydamas priimti pareiškėjo bankrutuojančio fizinio asmens </w:t>
      </w:r>
      <w:bookmarkStart w:id="99" w:name="Buk_12"/>
      <w:r w:rsidRPr="00B90026">
        <w:rPr>
          <w:rFonts w:asciiTheme="minorHAnsi" w:hAnsiTheme="minorHAnsi" w:cstheme="minorHAnsi"/>
          <w:sz w:val="22"/>
          <w:szCs w:val="22"/>
        </w:rPr>
        <w:t xml:space="preserve">V. Š. </w:t>
      </w:r>
      <w:bookmarkEnd w:id="99"/>
      <w:r w:rsidRPr="00B90026">
        <w:rPr>
          <w:rFonts w:asciiTheme="minorHAnsi" w:hAnsiTheme="minorHAnsi" w:cstheme="minorHAnsi"/>
          <w:sz w:val="22"/>
          <w:szCs w:val="22"/>
        </w:rPr>
        <w:t>bankroto administratoriaus UAB „Šilkuva“ skundą, vadovavosi tik Fizinių asmenų bankroto įstatymo 12 straipsnio 1 dalies 6 punktu, nustatančiu, kad bankroto administratorius atstovauja fiziniam asmeniui (arba įgalioja kitą asmenį atstovauti) iškeltose iki bankroto bylos iškėlimo bylose dėl turto išieškojimo iš kitų asmenų fizinio asmens naudai. Tačiau LVAT teisėjų kolegija pažymėjo, kad šioje byloje teisiškai yra reikšminga ir aplinkybė dėl bankroto administratoriaus atstovavimo pareiškėjui iškeliant administracinę bylą po bankroto bylos iškėlimo. LVAT teisėjų kolegija, nesutikdama su pirmosios instancijos teismo pozicija, pažymėjo, kad bankroto administratoriaus pareigos ir teisės negali būti aiškinamos, neatsižvelgiant į kitas Fizinių asmenų bankroto įstatymo nuostatas.</w:t>
      </w:r>
    </w:p>
    <w:p w:rsidR="0016628D" w:rsidRPr="00B90026" w:rsidRDefault="0016628D" w:rsidP="0016628D">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Pagal Fizinių asmenų bankroto įstatymo 12 straipsnio 1 dalies 1 punktą, bankroto administratorius disponuoja fizinio asmens turtu ir depozitinės sąskaitos lėšomis šio įstatymo nustatyta tvarka. Tai reiškia, jog nuo teismo nutarties iškelti fizinio asmens bankroto bylą įsiteisėjimo momento su tam tikromis išimtimis įsigalioja draudimas fiziniam asmeniui disponuoti turimu turtu (jį parduoti, kitaip perleisti ar sudaryti kitokius sandorius), ir šio turto disponavimo teisė pereina bankroto administratoriui (Fizinių asmenų bankroto įstatymo 6 str. 5 d. 3 p.). </w:t>
      </w:r>
    </w:p>
    <w:p w:rsidR="0016628D" w:rsidRPr="00B90026" w:rsidRDefault="0016628D" w:rsidP="0016628D">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Taigi nors aptartose teisės normose </w:t>
      </w:r>
      <w:r w:rsidRPr="00B90026">
        <w:rPr>
          <w:rFonts w:asciiTheme="minorHAnsi" w:hAnsiTheme="minorHAnsi" w:cstheme="minorHAnsi"/>
          <w:i/>
          <w:sz w:val="22"/>
          <w:szCs w:val="22"/>
        </w:rPr>
        <w:t>expressis verbis</w:t>
      </w:r>
      <w:r w:rsidRPr="00B90026">
        <w:rPr>
          <w:rFonts w:asciiTheme="minorHAnsi" w:hAnsiTheme="minorHAnsi" w:cstheme="minorHAnsi"/>
          <w:sz w:val="22"/>
          <w:szCs w:val="22"/>
        </w:rPr>
        <w:t xml:space="preserve"> (aiškiais žodžiais; tiesiogiai) nėra įtvirtinta bankroto administratoriaus teisė inicijuoti teisme naujas bylas, tačiau tokie jo įgaliojimai tiesiogiai kyla iš disponavimo teisės – teisės nustatyti daikto teisinį likimą ir pakeisti jo ekonominę būklę, turinio. Todėl </w:t>
      </w:r>
      <w:r w:rsidRPr="00B90026">
        <w:rPr>
          <w:rFonts w:asciiTheme="minorHAnsi" w:hAnsiTheme="minorHAnsi" w:cstheme="minorHAnsi"/>
          <w:sz w:val="22"/>
          <w:szCs w:val="22"/>
          <w:u w:val="single"/>
        </w:rPr>
        <w:t xml:space="preserve">be Fizinių asmenų bankroto įstatymo 12 straipsnio 1 dalies 6 punkte nurodytos kompetencijos atstovauti fiziniam asmeniui iškeltose iki bankroto bylos iškėlimo bylose dėl turto išieškojimo iš kitų asmenų fizinio asmens naudai, bankroto administratorius turi teisę inicijuoti naujus teisminius procesus, kuriais siekiama Fizinių asmenų bankroto įstatymo keliamų tikslų (fizinio asmens mokumo atkūrimo ir kreditorių reikalavimų patenkinimo) įgyvendinimo. </w:t>
      </w:r>
    </w:p>
    <w:p w:rsidR="0016628D" w:rsidRPr="00B90026" w:rsidRDefault="0016628D" w:rsidP="0016628D">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Konstatuota, kad pirmosios instancijos teismo išvada, jog aptariamu atveju UAB „Šilkuva“ nepridėjo dokumentų, patvirtinančių jos įgaliojimų pasirašyti pareiškėjo </w:t>
      </w:r>
      <w:bookmarkStart w:id="100" w:name="Buk_13"/>
      <w:r w:rsidRPr="00B90026">
        <w:rPr>
          <w:rFonts w:asciiTheme="minorHAnsi" w:hAnsiTheme="minorHAnsi" w:cstheme="minorHAnsi"/>
          <w:sz w:val="22"/>
          <w:szCs w:val="22"/>
        </w:rPr>
        <w:t xml:space="preserve">V. Š. </w:t>
      </w:r>
      <w:bookmarkEnd w:id="100"/>
      <w:r w:rsidRPr="00B90026">
        <w:rPr>
          <w:rFonts w:asciiTheme="minorHAnsi" w:hAnsiTheme="minorHAnsi" w:cstheme="minorHAnsi"/>
          <w:sz w:val="22"/>
          <w:szCs w:val="22"/>
        </w:rPr>
        <w:t xml:space="preserve">skundą, yra neteisinga ir nepagrįsta, nes kartu su šiuo procesiniu dokumentu teismui buvo pateikta Kauno apylinkės teismo nutarties iškelti fiziniam asmeniui </w:t>
      </w:r>
      <w:bookmarkStart w:id="101" w:name="Buk_19"/>
      <w:r w:rsidRPr="00B90026">
        <w:rPr>
          <w:rFonts w:asciiTheme="minorHAnsi" w:hAnsiTheme="minorHAnsi" w:cstheme="minorHAnsi"/>
          <w:sz w:val="22"/>
          <w:szCs w:val="22"/>
        </w:rPr>
        <w:t xml:space="preserve">V. Š. </w:t>
      </w:r>
      <w:bookmarkEnd w:id="101"/>
      <w:r w:rsidRPr="00B90026">
        <w:rPr>
          <w:rFonts w:asciiTheme="minorHAnsi" w:hAnsiTheme="minorHAnsi" w:cstheme="minorHAnsi"/>
          <w:sz w:val="22"/>
          <w:szCs w:val="22"/>
        </w:rPr>
        <w:t xml:space="preserve">bankroto bylą ir paskirti </w:t>
      </w:r>
      <w:bookmarkStart w:id="102" w:name="Buk_14"/>
      <w:r w:rsidRPr="00B90026">
        <w:rPr>
          <w:rFonts w:asciiTheme="minorHAnsi" w:hAnsiTheme="minorHAnsi" w:cstheme="minorHAnsi"/>
          <w:sz w:val="22"/>
          <w:szCs w:val="22"/>
        </w:rPr>
        <w:t xml:space="preserve">V. Š. </w:t>
      </w:r>
      <w:bookmarkEnd w:id="102"/>
      <w:r w:rsidRPr="00B90026">
        <w:rPr>
          <w:rFonts w:asciiTheme="minorHAnsi" w:hAnsiTheme="minorHAnsi" w:cstheme="minorHAnsi"/>
          <w:sz w:val="22"/>
          <w:szCs w:val="22"/>
        </w:rPr>
        <w:t>bankroto administratoriumi UAB „Šilkuva“ kopija (ABTĮ 24 str. 3</w:t>
      </w:r>
      <w:r w:rsidR="00E909E8">
        <w:rPr>
          <w:rFonts w:asciiTheme="minorHAnsi" w:hAnsiTheme="minorHAnsi" w:cstheme="minorHAnsi"/>
          <w:sz w:val="22"/>
          <w:szCs w:val="22"/>
        </w:rPr>
        <w:t> </w:t>
      </w:r>
      <w:r w:rsidRPr="00B90026">
        <w:rPr>
          <w:rFonts w:asciiTheme="minorHAnsi" w:hAnsiTheme="minorHAnsi" w:cstheme="minorHAnsi"/>
          <w:sz w:val="22"/>
          <w:szCs w:val="22"/>
        </w:rPr>
        <w:t xml:space="preserve">d.). </w:t>
      </w:r>
    </w:p>
    <w:p w:rsidR="0016628D" w:rsidRPr="00B90026" w:rsidRDefault="0016628D" w:rsidP="0016628D">
      <w:pPr>
        <w:ind w:firstLine="567"/>
        <w:jc w:val="both"/>
        <w:rPr>
          <w:rFonts w:asciiTheme="minorHAnsi" w:hAnsiTheme="minorHAnsi" w:cstheme="minorHAnsi"/>
          <w:sz w:val="22"/>
          <w:szCs w:val="22"/>
        </w:rPr>
      </w:pPr>
      <w:r w:rsidRPr="00B90026">
        <w:rPr>
          <w:rFonts w:asciiTheme="minorHAnsi" w:hAnsiTheme="minorHAnsi" w:cstheme="minorHAnsi"/>
          <w:sz w:val="22"/>
          <w:szCs w:val="22"/>
        </w:rPr>
        <w:t>Pirmosios instancijos teismo nutartis panaikinta kaip neteisėta ir klausimas dėl skundo priėmimo perduotas nagrinėti iš naujo tam pačiam teismui.</w:t>
      </w:r>
    </w:p>
    <w:p w:rsidR="0016628D" w:rsidRPr="00B90026" w:rsidRDefault="0016628D" w:rsidP="0016628D">
      <w:pPr>
        <w:ind w:firstLine="567"/>
        <w:rPr>
          <w:rFonts w:asciiTheme="minorHAnsi" w:hAnsiTheme="minorHAnsi" w:cstheme="minorHAnsi"/>
          <w:b/>
          <w:bCs/>
          <w:sz w:val="22"/>
          <w:szCs w:val="22"/>
          <w:u w:val="single"/>
        </w:rPr>
      </w:pPr>
    </w:p>
    <w:p w:rsidR="0016628D" w:rsidRPr="00B90026" w:rsidRDefault="0016628D" w:rsidP="0016628D">
      <w:pPr>
        <w:jc w:val="both"/>
        <w:rPr>
          <w:rFonts w:asciiTheme="minorHAnsi" w:hAnsiTheme="minorHAnsi" w:cstheme="minorHAnsi"/>
          <w:sz w:val="22"/>
          <w:szCs w:val="22"/>
        </w:rPr>
      </w:pPr>
      <w:r w:rsidRPr="00B90026">
        <w:rPr>
          <w:rFonts w:asciiTheme="minorHAnsi" w:hAnsiTheme="minorHAnsi" w:cstheme="minorHAnsi"/>
          <w:sz w:val="22"/>
          <w:szCs w:val="22"/>
        </w:rPr>
        <w:t>2017 m. lapkričio 21 d. nutartis administracinėje byloje Nr. AS-1002-520/2017</w:t>
      </w:r>
    </w:p>
    <w:p w:rsidR="0016628D" w:rsidRPr="00B90026" w:rsidRDefault="0016628D" w:rsidP="0016628D">
      <w:pPr>
        <w:jc w:val="both"/>
        <w:rPr>
          <w:rFonts w:asciiTheme="minorHAnsi" w:hAnsiTheme="minorHAnsi" w:cstheme="minorHAnsi"/>
          <w:bCs/>
          <w:sz w:val="22"/>
          <w:szCs w:val="22"/>
        </w:rPr>
      </w:pPr>
      <w:r w:rsidRPr="00B90026">
        <w:rPr>
          <w:rFonts w:asciiTheme="minorHAnsi" w:hAnsiTheme="minorHAnsi" w:cstheme="minorHAnsi"/>
          <w:sz w:val="22"/>
          <w:szCs w:val="22"/>
        </w:rPr>
        <w:lastRenderedPageBreak/>
        <w:t>Teisminio proceso Nr. 3-62-3-02160-2017-3</w:t>
      </w:r>
    </w:p>
    <w:p w:rsidR="0016628D" w:rsidRPr="00B90026" w:rsidRDefault="0016628D" w:rsidP="0016628D">
      <w:pPr>
        <w:jc w:val="both"/>
        <w:rPr>
          <w:rFonts w:asciiTheme="minorHAnsi" w:hAnsiTheme="minorHAnsi" w:cstheme="minorHAnsi"/>
          <w:sz w:val="22"/>
          <w:szCs w:val="22"/>
        </w:rPr>
      </w:pPr>
      <w:r w:rsidRPr="00B90026">
        <w:rPr>
          <w:rFonts w:asciiTheme="minorHAnsi" w:hAnsiTheme="minorHAnsi" w:cstheme="minorHAnsi"/>
          <w:sz w:val="22"/>
          <w:szCs w:val="22"/>
        </w:rPr>
        <w:t xml:space="preserve">Procesinio sprendimo </w:t>
      </w:r>
      <w:r w:rsidRPr="00B90026">
        <w:rPr>
          <w:rFonts w:asciiTheme="minorHAnsi" w:hAnsiTheme="minorHAnsi" w:cstheme="minorHAnsi"/>
          <w:bCs/>
          <w:sz w:val="22"/>
          <w:szCs w:val="22"/>
        </w:rPr>
        <w:t>kategorija 43.5.8</w:t>
      </w:r>
    </w:p>
    <w:p w:rsidR="0016628D" w:rsidRPr="00B90026" w:rsidRDefault="007E1236" w:rsidP="0016628D">
      <w:pPr>
        <w:jc w:val="both"/>
        <w:rPr>
          <w:rFonts w:asciiTheme="minorHAnsi" w:hAnsiTheme="minorHAnsi" w:cstheme="minorHAnsi"/>
          <w:sz w:val="22"/>
          <w:szCs w:val="22"/>
        </w:rPr>
      </w:pPr>
      <w:hyperlink r:id="rId34" w:history="1">
        <w:r w:rsidR="0016628D" w:rsidRPr="00B90026">
          <w:rPr>
            <w:rStyle w:val="Hipersaitas"/>
            <w:rFonts w:asciiTheme="minorHAnsi" w:hAnsiTheme="minorHAnsi" w:cstheme="minorHAnsi"/>
            <w:sz w:val="22"/>
            <w:szCs w:val="22"/>
          </w:rPr>
          <w:t>Prieiga internete</w:t>
        </w:r>
      </w:hyperlink>
    </w:p>
    <w:p w:rsidR="0016628D" w:rsidRPr="00B90026" w:rsidRDefault="0016628D" w:rsidP="0043602E">
      <w:pPr>
        <w:pStyle w:val="Apzvalgai1"/>
        <w:rPr>
          <w:rFonts w:asciiTheme="minorHAnsi" w:hAnsiTheme="minorHAnsi" w:cstheme="minorHAnsi"/>
        </w:rPr>
      </w:pPr>
    </w:p>
    <w:p w:rsidR="003C3A92" w:rsidRPr="00B90026" w:rsidRDefault="003C3A92" w:rsidP="003C3A92">
      <w:pPr>
        <w:ind w:firstLine="567"/>
        <w:rPr>
          <w:rFonts w:asciiTheme="minorHAnsi" w:hAnsiTheme="minorHAnsi" w:cstheme="minorHAnsi"/>
          <w:b/>
          <w:bCs/>
          <w:sz w:val="22"/>
          <w:szCs w:val="22"/>
          <w:u w:val="single"/>
        </w:rPr>
      </w:pPr>
      <w:r w:rsidRPr="00B90026">
        <w:rPr>
          <w:rFonts w:asciiTheme="minorHAnsi" w:hAnsiTheme="minorHAnsi" w:cstheme="minorHAnsi"/>
          <w:b/>
          <w:bCs/>
          <w:sz w:val="22"/>
          <w:szCs w:val="22"/>
          <w:u w:val="single"/>
        </w:rPr>
        <w:t xml:space="preserve">43.6. Suinteresuotumas pateikti skundą </w:t>
      </w:r>
    </w:p>
    <w:p w:rsidR="003C3A92" w:rsidRPr="00B90026" w:rsidRDefault="003C3A92" w:rsidP="003C3A92">
      <w:pPr>
        <w:rPr>
          <w:rFonts w:asciiTheme="minorHAnsi" w:hAnsiTheme="minorHAnsi" w:cstheme="minorHAnsi"/>
          <w:sz w:val="22"/>
          <w:szCs w:val="22"/>
          <w:highlight w:val="yellow"/>
        </w:rPr>
      </w:pPr>
    </w:p>
    <w:p w:rsidR="003C3A92" w:rsidRPr="00B90026" w:rsidRDefault="003C3A92" w:rsidP="00363C0B">
      <w:pPr>
        <w:pStyle w:val="Antrat2"/>
        <w:rPr>
          <w:rFonts w:eastAsia="Arial Unicode MS"/>
          <w:lang w:eastAsia="en-US"/>
        </w:rPr>
      </w:pPr>
      <w:bookmarkStart w:id="103" w:name="_Toc505787272"/>
      <w:r w:rsidRPr="00B90026">
        <w:rPr>
          <w:rFonts w:eastAsia="Arial Unicode MS"/>
        </w:rPr>
        <w:t>Dėl asociacijos teisės ginti savo narių interesus teisme</w:t>
      </w:r>
      <w:bookmarkEnd w:id="103"/>
    </w:p>
    <w:p w:rsidR="003C3A92" w:rsidRPr="00B90026" w:rsidRDefault="003C3A92" w:rsidP="003C3A92">
      <w:pPr>
        <w:rPr>
          <w:rFonts w:asciiTheme="minorHAnsi" w:eastAsia="Arial Unicode MS" w:hAnsiTheme="minorHAnsi" w:cstheme="minorHAnsi"/>
          <w:i/>
          <w:sz w:val="22"/>
          <w:szCs w:val="22"/>
          <w:shd w:val="clear" w:color="auto" w:fill="FFFFFF"/>
        </w:rPr>
      </w:pPr>
    </w:p>
    <w:p w:rsidR="003C3A92" w:rsidRPr="00B90026" w:rsidRDefault="003C3A92" w:rsidP="003C3A92">
      <w:pPr>
        <w:ind w:firstLine="567"/>
        <w:jc w:val="both"/>
        <w:rPr>
          <w:rFonts w:asciiTheme="minorHAnsi" w:hAnsiTheme="minorHAnsi" w:cstheme="minorHAnsi"/>
          <w:sz w:val="22"/>
          <w:szCs w:val="22"/>
        </w:rPr>
      </w:pPr>
      <w:r w:rsidRPr="00B90026">
        <w:rPr>
          <w:rFonts w:asciiTheme="minorHAnsi" w:hAnsiTheme="minorHAnsi" w:cstheme="minorHAnsi"/>
          <w:sz w:val="22"/>
          <w:szCs w:val="22"/>
        </w:rPr>
        <w:t>Apžvelgiamoje byloje pareiškėjas Tarptautinė žuvies perdirbėjų ir žvejų asociacija „Baltijos vienybė“ prašė panaikinti Vyriausiosios administracinių ginčų komisijos sprendimą ir pareiškėjo minėtai komisijai pateiktą skundą dėl aukciono, skirto suteikti teisę naudoti Žuvininkystės tarnybos prie Lietuvos Respublikos žemės ūkio ministerijos valdomus žvejybos pajėgumus, pripažinimo neteisėtu ir jo panaikinimo tenkinti.</w:t>
      </w:r>
    </w:p>
    <w:p w:rsidR="003C3A92" w:rsidRPr="00B90026" w:rsidRDefault="003C3A92" w:rsidP="003C3A92">
      <w:pPr>
        <w:ind w:firstLine="567"/>
        <w:jc w:val="both"/>
        <w:rPr>
          <w:rFonts w:asciiTheme="minorHAnsi" w:hAnsiTheme="minorHAnsi" w:cstheme="minorHAnsi"/>
          <w:sz w:val="22"/>
          <w:szCs w:val="22"/>
        </w:rPr>
      </w:pPr>
      <w:r w:rsidRPr="00B90026">
        <w:rPr>
          <w:rFonts w:asciiTheme="minorHAnsi" w:hAnsiTheme="minorHAnsi" w:cstheme="minorHAnsi"/>
          <w:sz w:val="22"/>
          <w:szCs w:val="22"/>
        </w:rPr>
        <w:t>Pirmosios instancijos teismas pareiškėjo reikalavimą atmetė dėl to, jog pareiškėjas byloje neturi materialinio suinteresuotumo.</w:t>
      </w:r>
    </w:p>
    <w:p w:rsidR="003C3A92" w:rsidRPr="00B90026" w:rsidRDefault="003C3A92" w:rsidP="003C3A92">
      <w:pPr>
        <w:ind w:firstLine="567"/>
        <w:jc w:val="both"/>
        <w:rPr>
          <w:rFonts w:asciiTheme="minorHAnsi" w:hAnsiTheme="minorHAnsi" w:cstheme="minorHAnsi"/>
          <w:sz w:val="22"/>
          <w:szCs w:val="22"/>
        </w:rPr>
      </w:pPr>
      <w:r w:rsidRPr="00B90026">
        <w:rPr>
          <w:rFonts w:asciiTheme="minorHAnsi" w:hAnsiTheme="minorHAnsi" w:cstheme="minorHAnsi"/>
          <w:sz w:val="22"/>
          <w:szCs w:val="22"/>
        </w:rPr>
        <w:t>Lietuvos Respublikos asociacijų įstatymo 2 straipsnio 1 dalyje nustatyta, kad asociacija – savo pavadinimą turintis ribotos civilinės atsakomybės viešasis juridinis asmuo, kurio tikslas – koordinuoti asociacijos narių veiklą, atstovauti asociacijos narių interesams ir juos ginti ar tenkinti kitus viešuosius interesus. Šioje teisės normoje paminėtos sąvokos „atstovauti“ ir „ginti“ yra naudojamos plačiausia bendrinės kalbos reikšme ir nėra tapačios „atstovavimo“ ir „teisminės gynybos“ sąvokoms, naudojamoms apibūdinti teisminius procesus. Asociacijų įstatymas nėra skirtas kaip nors paneigti ar pakeisti nuostatas, išdėstytas Administracinių bylų teisenos įstatyme. Jeigu asociacija nusprendžia ginti asociacijos narių interesus teisme, ji privalo vadovautis ABTĮ nuostatomis, nes šis įstatymas nustato administracinių bylų dėl ginčų, kylančių iš administracinių teisinių santykių, nagrinėjimo tvarką (ABTĮ 1 str. 1 d.).</w:t>
      </w:r>
    </w:p>
    <w:p w:rsidR="003C3A92" w:rsidRPr="00B90026" w:rsidRDefault="003C3A92" w:rsidP="003C3A92">
      <w:pPr>
        <w:ind w:firstLine="567"/>
        <w:jc w:val="both"/>
        <w:rPr>
          <w:rFonts w:asciiTheme="minorHAnsi" w:hAnsiTheme="minorHAnsi" w:cstheme="minorHAnsi"/>
          <w:sz w:val="22"/>
          <w:szCs w:val="22"/>
        </w:rPr>
      </w:pPr>
      <w:r w:rsidRPr="00B90026">
        <w:rPr>
          <w:rFonts w:asciiTheme="minorHAnsi" w:hAnsiTheme="minorHAnsi" w:cstheme="minorHAnsi"/>
          <w:sz w:val="22"/>
          <w:szCs w:val="22"/>
        </w:rPr>
        <w:t>LVAT, patikrinęs bylos medžiagą, darė išvadą, jog pirmosios instancijos teismas teisingai konstatavo, kad pareiškėjui, kaip savarankiškam subjektui, teisė naudoti žvejybos pajėgumus nebuvo suteikta, ir pareiškėjas, kaip savarankiškas subjektas, nepretendavo į aukciono metu suteiktas teises naudoti žvejybos pajėgumus. Be to, pareiškėjas nėra subjektas, pagal teisės aktus turintis specialią kompetenciją spręsti dėl teisės naudoti žvejybos pajėgumus suteikimo (žvejybos pajėgumų paskirstymo). Taip pat iš pareiškėjo paaiškinimų sekė, kad jis siekia ginti tik kelių uždarųjų akcinių bendrovių interesus. Taigi pirmosios instancijos teismas teisingai pažymėjo, kad klausimas dėl teisės naudoti žvejybos pajėgumus nagrinėjamų faktinių aplinkybių kontekste negali būti priskirtas klausimui, susijusiam su bendru visuomenės interesu, todėl šiuo atveju nekilo pareiga taikyti Viešojo administravimo įstatymo 7 straipsnio 1 dalyje nustatytą procedūrą.</w:t>
      </w:r>
    </w:p>
    <w:p w:rsidR="003C3A92" w:rsidRPr="00B90026" w:rsidRDefault="003C3A92" w:rsidP="003C3A92">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Konstatuota, kad </w:t>
      </w:r>
      <w:r w:rsidRPr="00B90026">
        <w:rPr>
          <w:rFonts w:asciiTheme="minorHAnsi" w:hAnsiTheme="minorHAnsi" w:cstheme="minorHAnsi"/>
          <w:sz w:val="22"/>
          <w:szCs w:val="22"/>
          <w:u w:val="single"/>
        </w:rPr>
        <w:t>nei Žuvininkystės įstatyme, nei kituose su žuvininkystės teisinių santykių reglamentavimu susijusiuose teisės aktuose nėra nustatyta pareiškėjo (Tarptautinės žuvies perdirbėjų ir žvejų asociacijos „Baltijos vienybė“) teisė ginti viešąjį interesą žuvininkystės srityje.</w:t>
      </w:r>
      <w:r w:rsidRPr="00B90026">
        <w:rPr>
          <w:rFonts w:asciiTheme="minorHAnsi" w:hAnsiTheme="minorHAnsi" w:cstheme="minorHAnsi"/>
          <w:sz w:val="22"/>
          <w:szCs w:val="22"/>
        </w:rPr>
        <w:t xml:space="preserve"> Nenustatęs pareiškėjo įgaliojimų ginti viešąjį interesą, teismas teisingai konstatavo, kad pareiškėjas nelaikytinas suinteresuotu asmeniu.</w:t>
      </w:r>
    </w:p>
    <w:p w:rsidR="003C3A92" w:rsidRPr="00B90026" w:rsidRDefault="003C3A92" w:rsidP="003C3A92">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Iš apeliacinio skundo taip pat sekė, kad pareiškėjas siekia ginti teisme konkretaus asociacijos nario teises, dalyvaudamas byloje kaip pareiškėjas. ABTĮ 55 straipsnio 1 dalyje, be kita ko, nustatyta, kad įstatymų nustatytais atvejais organizacijos gali kreiptis į teismą su pareiškimu, kad būtų apgintos asmenų teisės bei įstatymų saugomi interesai. Iš šios normos turinio akivaizdu, kad tokia teisė organizacijai turi būti specialiai ir nedviprasmiškai suteikta. Nei Lietuvos Respublikos asociacijų įstatymas, nei ABTĮ tokios teisės pareiškėjui nesuteikė. Dar daugiau – kreipimasis į teismą gali sukelti rimtas materialines pasekmes: prievolę atlyginti teismo išlaidas, žalą ir kt. Pareiškėjo įstatuose tik abstrakčiai paminima, kad asociacijos tikslas – ginti narių teises, bet nėra jokių aiškių nuostatų, kad pavedama jų vardu kreiptis į teismą, formuluoti reikalavimus, vesti bylą teisme, išreikalauti nuosavybę ar pan. Todėl teismas atmetė visus apeliacinio skundo argumentus kaip nepagrįstus ir šioje srityje. </w:t>
      </w:r>
    </w:p>
    <w:p w:rsidR="003C3A92" w:rsidRPr="00B90026" w:rsidRDefault="003C3A92" w:rsidP="003C3A92">
      <w:pPr>
        <w:ind w:firstLine="567"/>
        <w:jc w:val="both"/>
        <w:rPr>
          <w:rFonts w:asciiTheme="minorHAnsi" w:hAnsiTheme="minorHAnsi" w:cstheme="minorHAnsi"/>
          <w:sz w:val="22"/>
          <w:szCs w:val="22"/>
        </w:rPr>
      </w:pPr>
      <w:r w:rsidRPr="00B90026">
        <w:rPr>
          <w:rFonts w:asciiTheme="minorHAnsi" w:hAnsiTheme="minorHAnsi" w:cstheme="minorHAnsi"/>
          <w:bCs/>
          <w:sz w:val="22"/>
          <w:szCs w:val="22"/>
        </w:rPr>
        <w:t>Pareiškėjo apeliacinis skundas atmestas, o pirmosios instancijos teismo sprendimas paliktas nepakeistas.</w:t>
      </w:r>
    </w:p>
    <w:p w:rsidR="003C3A92" w:rsidRPr="00B90026" w:rsidRDefault="003C3A92" w:rsidP="003C3A92">
      <w:pPr>
        <w:jc w:val="both"/>
        <w:rPr>
          <w:rFonts w:asciiTheme="minorHAnsi" w:hAnsiTheme="minorHAnsi" w:cstheme="minorHAnsi"/>
          <w:sz w:val="22"/>
          <w:szCs w:val="22"/>
        </w:rPr>
      </w:pPr>
    </w:p>
    <w:p w:rsidR="003C3A92" w:rsidRPr="00B90026" w:rsidRDefault="003C3A92" w:rsidP="003C3A92">
      <w:pPr>
        <w:jc w:val="both"/>
        <w:rPr>
          <w:rFonts w:asciiTheme="minorHAnsi" w:hAnsiTheme="minorHAnsi" w:cstheme="minorHAnsi"/>
          <w:sz w:val="22"/>
          <w:szCs w:val="22"/>
        </w:rPr>
      </w:pPr>
      <w:r w:rsidRPr="00B90026">
        <w:rPr>
          <w:rFonts w:asciiTheme="minorHAnsi" w:hAnsiTheme="minorHAnsi" w:cstheme="minorHAnsi"/>
          <w:sz w:val="22"/>
          <w:szCs w:val="22"/>
        </w:rPr>
        <w:t>2017 m. lapkričio 15 d. nutartis administracinėje byloje Nr. eA-2307-575/2017</w:t>
      </w:r>
    </w:p>
    <w:p w:rsidR="003C3A92" w:rsidRPr="00B90026" w:rsidRDefault="003C3A92" w:rsidP="003C3A92">
      <w:pPr>
        <w:jc w:val="both"/>
        <w:rPr>
          <w:rFonts w:asciiTheme="minorHAnsi" w:hAnsiTheme="minorHAnsi" w:cstheme="minorHAnsi"/>
          <w:bCs/>
          <w:sz w:val="22"/>
          <w:szCs w:val="22"/>
        </w:rPr>
      </w:pPr>
      <w:r w:rsidRPr="00B90026">
        <w:rPr>
          <w:rFonts w:asciiTheme="minorHAnsi" w:hAnsiTheme="minorHAnsi" w:cstheme="minorHAnsi"/>
          <w:sz w:val="22"/>
          <w:szCs w:val="22"/>
        </w:rPr>
        <w:t xml:space="preserve">Teisminio proceso Nr. </w:t>
      </w:r>
      <w:r w:rsidRPr="00B90026">
        <w:rPr>
          <w:rFonts w:asciiTheme="minorHAnsi" w:hAnsiTheme="minorHAnsi" w:cstheme="minorHAnsi"/>
          <w:bCs/>
          <w:sz w:val="22"/>
          <w:szCs w:val="22"/>
        </w:rPr>
        <w:t>3-61-3-04672-2015-0</w:t>
      </w:r>
    </w:p>
    <w:p w:rsidR="003C3A92" w:rsidRPr="00B90026" w:rsidRDefault="003C3A92" w:rsidP="003C3A92">
      <w:pPr>
        <w:jc w:val="both"/>
        <w:rPr>
          <w:rFonts w:asciiTheme="minorHAnsi" w:hAnsiTheme="minorHAnsi" w:cstheme="minorHAnsi"/>
          <w:sz w:val="22"/>
          <w:szCs w:val="22"/>
        </w:rPr>
      </w:pPr>
      <w:r w:rsidRPr="00B90026">
        <w:rPr>
          <w:rFonts w:asciiTheme="minorHAnsi" w:hAnsiTheme="minorHAnsi" w:cstheme="minorHAnsi"/>
          <w:sz w:val="22"/>
          <w:szCs w:val="22"/>
        </w:rPr>
        <w:t xml:space="preserve">Procesinio sprendimo </w:t>
      </w:r>
      <w:r w:rsidRPr="00B90026">
        <w:rPr>
          <w:rFonts w:asciiTheme="minorHAnsi" w:hAnsiTheme="minorHAnsi" w:cstheme="minorHAnsi"/>
          <w:bCs/>
          <w:sz w:val="22"/>
          <w:szCs w:val="22"/>
        </w:rPr>
        <w:t>kategorija 43.6</w:t>
      </w:r>
    </w:p>
    <w:p w:rsidR="003C3A92" w:rsidRPr="00B90026" w:rsidRDefault="007E1236" w:rsidP="003C3A92">
      <w:pPr>
        <w:jc w:val="both"/>
        <w:rPr>
          <w:rFonts w:asciiTheme="minorHAnsi" w:hAnsiTheme="minorHAnsi" w:cstheme="minorHAnsi"/>
          <w:sz w:val="22"/>
          <w:szCs w:val="22"/>
        </w:rPr>
      </w:pPr>
      <w:hyperlink r:id="rId35" w:history="1">
        <w:r w:rsidR="003C3A92" w:rsidRPr="00B90026">
          <w:rPr>
            <w:rStyle w:val="Hipersaitas"/>
            <w:rFonts w:asciiTheme="minorHAnsi" w:hAnsiTheme="minorHAnsi" w:cstheme="minorHAnsi"/>
            <w:sz w:val="22"/>
            <w:szCs w:val="22"/>
          </w:rPr>
          <w:t>Prieiga internete</w:t>
        </w:r>
      </w:hyperlink>
    </w:p>
    <w:p w:rsidR="00A448C8" w:rsidRPr="00B90026" w:rsidRDefault="00A448C8" w:rsidP="00B91508">
      <w:pPr>
        <w:rPr>
          <w:rFonts w:asciiTheme="minorHAnsi" w:hAnsiTheme="minorHAnsi" w:cstheme="minorHAnsi"/>
          <w:color w:val="000000"/>
          <w:sz w:val="22"/>
          <w:szCs w:val="22"/>
        </w:rPr>
      </w:pPr>
    </w:p>
    <w:p w:rsidR="005D6986" w:rsidRPr="00B90026" w:rsidRDefault="005D6986" w:rsidP="00363C0B">
      <w:pPr>
        <w:pStyle w:val="Apzvalgai1"/>
        <w:rPr>
          <w:rFonts w:asciiTheme="minorHAnsi" w:hAnsiTheme="minorHAnsi" w:cstheme="minorHAnsi"/>
        </w:rPr>
      </w:pPr>
      <w:bookmarkStart w:id="104" w:name="_Toc505787273"/>
      <w:r w:rsidRPr="00B90026">
        <w:rPr>
          <w:rFonts w:asciiTheme="minorHAnsi" w:hAnsiTheme="minorHAnsi" w:cstheme="minorHAnsi"/>
        </w:rPr>
        <w:t>49. Reikalavimo užtikrinimo priemonių taikymas</w:t>
      </w:r>
      <w:bookmarkEnd w:id="104"/>
    </w:p>
    <w:p w:rsidR="005D6986" w:rsidRPr="00B90026" w:rsidRDefault="005D6986" w:rsidP="005D6986">
      <w:pPr>
        <w:ind w:firstLine="567"/>
        <w:jc w:val="both"/>
        <w:rPr>
          <w:rFonts w:asciiTheme="minorHAnsi" w:eastAsiaTheme="minorHAnsi" w:hAnsiTheme="minorHAnsi" w:cstheme="minorHAnsi"/>
          <w:sz w:val="22"/>
          <w:szCs w:val="22"/>
        </w:rPr>
      </w:pPr>
    </w:p>
    <w:p w:rsidR="004B04DE" w:rsidRPr="00B90026" w:rsidRDefault="004B04DE" w:rsidP="004B04DE">
      <w:pPr>
        <w:pStyle w:val="Antrat2"/>
      </w:pPr>
      <w:bookmarkStart w:id="105" w:name="_Toc505787274"/>
      <w:r w:rsidRPr="00B90026">
        <w:t>Dėl administracinių teismų kompetencijos sustabdyti išieškojimą pagal vykdomąjį dokumentą administracinėje byloje, kai tokia priemone siekiama reikalavimo (ieškinio) civilinėje byloje užtikrinimo</w:t>
      </w:r>
      <w:bookmarkEnd w:id="105"/>
    </w:p>
    <w:p w:rsidR="004B04DE" w:rsidRPr="00B90026" w:rsidRDefault="004B04DE" w:rsidP="004B04DE">
      <w:pPr>
        <w:ind w:firstLine="567"/>
        <w:jc w:val="both"/>
        <w:rPr>
          <w:rFonts w:asciiTheme="minorHAnsi" w:hAnsiTheme="minorHAnsi" w:cstheme="minorHAnsi"/>
          <w:i/>
          <w:sz w:val="22"/>
          <w:szCs w:val="22"/>
        </w:rPr>
      </w:pPr>
    </w:p>
    <w:p w:rsidR="004B04DE" w:rsidRPr="00B90026" w:rsidRDefault="004B04DE" w:rsidP="004B04DE">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Atskiruoju skundu buvo ginčijama pirmosios instancijos teismo nutartis, kuria taikytos reikalavimo užtikrinimo priemonės ir sustabdytas Vilniaus apygardos administracinio teismo išduoto vykdomojo rašto administracinėje byloje dėl 1 052 Eur bylinėjimosi išlaidų išieškojimo iš pareiškėjo UAB „Statybų ekspertas“ trečiajam suinteresuotam asmeniui A. S. vykdymas iki kol įsiteisės Vilniaus apygardos teismo sprendimas civilinėje byloje pagal ieškovo UAB „Statybų ekspertas“ ieškinį atsakovei A. S. dėl skolos priteisimo. </w:t>
      </w:r>
    </w:p>
    <w:p w:rsidR="004B04DE" w:rsidRPr="00B90026" w:rsidRDefault="004B04DE" w:rsidP="004B04DE">
      <w:pPr>
        <w:ind w:firstLine="567"/>
        <w:jc w:val="both"/>
        <w:rPr>
          <w:rFonts w:asciiTheme="minorHAnsi" w:hAnsiTheme="minorHAnsi" w:cstheme="minorHAnsi"/>
          <w:sz w:val="22"/>
          <w:szCs w:val="22"/>
        </w:rPr>
      </w:pPr>
      <w:r w:rsidRPr="00B90026">
        <w:rPr>
          <w:rFonts w:asciiTheme="minorHAnsi" w:hAnsiTheme="minorHAnsi" w:cstheme="minorHAnsi"/>
          <w:sz w:val="22"/>
          <w:szCs w:val="22"/>
        </w:rPr>
        <w:t>LVAT pažymėjo, kad šioje byloje pareiškėjas pateikė prašymą taikyti ABTĮ 70 straipsnio 3 dalies 2 punkte nurodytą reikalavimo užtikrinimo priemonę – išieškojimo pagal vykdomąjį dokumentą sustabdymą, kadangi, pareiškėjo teigimu, nepritaikius šios reikalavimo užtikrinimo priemonės, bus pažeisti pareiškėjo interesai, nes Vilniaus apygardos teismo sprendimas civilinėje byloje, kurioje iš A. S. pareiškėjui yra priteista 71 745,80 Eur skola bei palūkanos, taps neįmanomu įgyvendinti. Įsiteisėjus Vilniaus apygardos teismo sprendimui, pareiškėjo ir trečiojo suinteresuoto asmens reikalavimai taptų priešpriešiniai, ir pareiškėjas siekė priešpriešinių reikalavimų įskaitymo vykdymo procese. Taigi LVAT teisėjų kolegijos vertinimu, pareiškėjo prašymas taikyti jo nurodomą reikalavimo užtikrinimo priemonę nėra siejamas su jokiu pareiškėjo reikalavimu šioje administracinėje byloje, kurį reikėtų užtikrinti, taikant ABTĮ 70 straipsnio 3 dalies 2 punkte nustatytą reikalavimo užtikrinimo priemonę, nes pareiškėjo skundas, kuriame buvo pareikšti reikalavimai atsakovui VĮ Registrų centrui, yra atmesti, sprendimas įsiteisėjęs, pareiškėjas byloje nėra pareiškęs jokių kitų reikalavimų, kurie būtų patenkinti ar nagrinėjami šiuo metu (priešingai, įsiteisėjusiais teismų procesiniais sprendimais šioje byloje patenkinti trečiojo suinteresuoto asmens procesinio pobūdžio reikalavimai – priteistos bylinėjimosi išlaidos). Teismų procesiniai sprendimai priteisti iš pareiškėjo bylinėjimosi išlaidas yra įsiteisėję ir vykdomi Civilinio proceso kodekso nustatyta tvarka.</w:t>
      </w:r>
    </w:p>
    <w:p w:rsidR="004B04DE" w:rsidRPr="00B90026" w:rsidRDefault="004B04DE" w:rsidP="004B04DE">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Įvertinęs pareiškėjo prašymo motyvaciją apie neįsiteisėjusį Vilniaus apygardos teismo sprendimą, kuriuo jam priteista iš A. S. 71 745,80 Eur skolos už atliktus statybos darbus, taip pat 5 proc. dydžio metinės palūkanos už priteistą sumą nuo bylos iškėlimo teisme dienos iki teismo sprendimo visiško įvykdymo, tai, kad, pareiškėjo teigimu, A. S. nepajėgi atsiskaityti su pareiškėju, vengia atsiskaityti, areštuotas turtas, kuris įkeistas bankui ir pan., LVAT pažymėjo, kad </w:t>
      </w:r>
      <w:r w:rsidRPr="00B90026">
        <w:rPr>
          <w:rFonts w:asciiTheme="minorHAnsi" w:hAnsiTheme="minorHAnsi" w:cstheme="minorHAnsi"/>
          <w:sz w:val="22"/>
          <w:szCs w:val="22"/>
          <w:u w:val="single"/>
        </w:rPr>
        <w:t>pirmosios instancijos teismas nei pagal ABTĮ, nei pagal CPK normas neturi teisinio pagrindo spręsti klausimo dėl pareiškėjo reikalavimo (ieškinio) civilinėje byloje užtikrinimo</w:t>
      </w:r>
      <w:r w:rsidRPr="00B90026">
        <w:rPr>
          <w:rFonts w:asciiTheme="minorHAnsi" w:hAnsiTheme="minorHAnsi" w:cstheme="minorHAnsi"/>
          <w:sz w:val="22"/>
          <w:szCs w:val="22"/>
        </w:rPr>
        <w:t xml:space="preserve">. Tokio pobūdžio klausimą kompetentingi spręsti tik civilinę bylą dėl minėtų pareiškėjo reikalavimų nagrinėjantys teismai. </w:t>
      </w:r>
    </w:p>
    <w:p w:rsidR="004B04DE" w:rsidRPr="00B90026" w:rsidRDefault="004B04DE" w:rsidP="004B04DE">
      <w:pPr>
        <w:ind w:firstLine="567"/>
        <w:jc w:val="both"/>
        <w:rPr>
          <w:rFonts w:asciiTheme="minorHAnsi" w:hAnsiTheme="minorHAnsi" w:cstheme="minorHAnsi"/>
          <w:sz w:val="22"/>
          <w:szCs w:val="22"/>
        </w:rPr>
      </w:pPr>
      <w:r w:rsidRPr="00B90026">
        <w:rPr>
          <w:rFonts w:asciiTheme="minorHAnsi" w:hAnsiTheme="minorHAnsi" w:cstheme="minorHAnsi"/>
          <w:sz w:val="22"/>
          <w:szCs w:val="22"/>
        </w:rPr>
        <w:t>Pirmosios instancijos teismas, tenkindamas pareiškėjo prašymą, reikalavimo užtikrinimo priemonės taikymo pagrindu nurodė CPK 687 straipsnio 1 ir 3 dalis. LVAT teisėjų kolegija šiuo aspektu pabrėžė, kad Lietuvos Aukščiausiasis Teismas ne vieną kartą yra nurodęs, kad CPK 687 straipsniu reglamentuojama išimtinai tik antstolio veikla, kai jam pateikiami vykdyti dokumentai dėl išieškotojo ir skolininko priešpriešinių sumų išieškojimo. CPK 687 straipsnio taikymas nėra administracinio teismo kompetencija.</w:t>
      </w:r>
    </w:p>
    <w:p w:rsidR="004B04DE" w:rsidRPr="00B90026" w:rsidRDefault="004B04DE" w:rsidP="004B04DE">
      <w:pPr>
        <w:ind w:firstLine="567"/>
        <w:jc w:val="both"/>
        <w:rPr>
          <w:rFonts w:asciiTheme="minorHAnsi" w:hAnsiTheme="minorHAnsi" w:cstheme="minorHAnsi"/>
          <w:sz w:val="22"/>
          <w:szCs w:val="22"/>
        </w:rPr>
      </w:pPr>
      <w:r w:rsidRPr="00B90026">
        <w:rPr>
          <w:rFonts w:asciiTheme="minorHAnsi" w:hAnsiTheme="minorHAnsi" w:cstheme="minorHAnsi"/>
          <w:sz w:val="22"/>
          <w:szCs w:val="22"/>
        </w:rPr>
        <w:t>LVAT konstatavo, kad šioje byloje neegzistuoja nei viena ABTĮ 70 straipsnyje nustatyta būtinoji sąlyga taikyti reikalavimo užtikrinimo priemonę, todėl be teisėto pagrindo buvo taikyta pareiškėjo nurodyta reikalavimo užtikrinimo priemonė, nustatyta ABTĮ 70 straipsnio 3 dalies 2 punkte. Administracinių teismų procesiniai sprendimai šioje administracinėje byloje priimti ne pareiškėjo, o trečiojo suinteresuoto asmens A.</w:t>
      </w:r>
      <w:r w:rsidR="00877EAA">
        <w:rPr>
          <w:rFonts w:asciiTheme="minorHAnsi" w:hAnsiTheme="minorHAnsi" w:cstheme="minorHAnsi"/>
          <w:sz w:val="22"/>
          <w:szCs w:val="22"/>
        </w:rPr>
        <w:t> </w:t>
      </w:r>
      <w:r w:rsidRPr="00B90026">
        <w:rPr>
          <w:rFonts w:asciiTheme="minorHAnsi" w:hAnsiTheme="minorHAnsi" w:cstheme="minorHAnsi"/>
          <w:sz w:val="22"/>
          <w:szCs w:val="22"/>
        </w:rPr>
        <w:t xml:space="preserve">S. naudai. Pareiškėjas, siekdamas užtikrinti neįsiteisėjusio Vilniaus apygardos teismo sprendimo įvykdymą, galėtų reikšti prašymus civilinėje byloje, kurioje nagrinėjamas jo ieškinys A. S. dėl skolos priteisimo. </w:t>
      </w:r>
    </w:p>
    <w:p w:rsidR="004B04DE" w:rsidRPr="00B90026" w:rsidRDefault="004B04DE" w:rsidP="004B04DE">
      <w:pPr>
        <w:ind w:firstLine="567"/>
        <w:jc w:val="both"/>
        <w:rPr>
          <w:rFonts w:asciiTheme="minorHAnsi" w:hAnsiTheme="minorHAnsi" w:cstheme="minorHAnsi"/>
          <w:sz w:val="22"/>
          <w:szCs w:val="22"/>
        </w:rPr>
      </w:pPr>
      <w:r w:rsidRPr="00B90026">
        <w:rPr>
          <w:rFonts w:asciiTheme="minorHAnsi" w:hAnsiTheme="minorHAnsi" w:cstheme="minorHAnsi"/>
          <w:sz w:val="22"/>
          <w:szCs w:val="22"/>
        </w:rPr>
        <w:t>Trečiojo suinteresuoto asmens A. S. atskirasis skundas patenkintas, pirmosios instancijos teismo nutartis panaikinta ir klausimas išspręstas iš esmės – pareiškėjo prašymas taikyti reikalavimo užtikrinimo priemonę atmestas.</w:t>
      </w:r>
    </w:p>
    <w:p w:rsidR="004B04DE" w:rsidRPr="00B90026" w:rsidRDefault="004B04DE" w:rsidP="004B04DE">
      <w:pPr>
        <w:jc w:val="both"/>
        <w:rPr>
          <w:rFonts w:asciiTheme="minorHAnsi" w:hAnsiTheme="minorHAnsi" w:cstheme="minorHAnsi"/>
          <w:sz w:val="22"/>
          <w:szCs w:val="22"/>
        </w:rPr>
      </w:pPr>
    </w:p>
    <w:p w:rsidR="004B04DE" w:rsidRPr="00B90026" w:rsidRDefault="004B04DE" w:rsidP="004B04DE">
      <w:pPr>
        <w:jc w:val="both"/>
        <w:rPr>
          <w:rFonts w:asciiTheme="minorHAnsi" w:hAnsiTheme="minorHAnsi" w:cstheme="minorHAnsi"/>
          <w:sz w:val="22"/>
          <w:szCs w:val="22"/>
        </w:rPr>
      </w:pPr>
      <w:r w:rsidRPr="00B90026">
        <w:rPr>
          <w:rFonts w:asciiTheme="minorHAnsi" w:hAnsiTheme="minorHAnsi" w:cstheme="minorHAnsi"/>
          <w:sz w:val="22"/>
          <w:szCs w:val="22"/>
        </w:rPr>
        <w:t>2017 m. lapkričio 28 d. nutartis administracinėje byloje AS-1014-520/2017</w:t>
      </w:r>
    </w:p>
    <w:p w:rsidR="004B04DE" w:rsidRPr="00B90026" w:rsidRDefault="004B04DE" w:rsidP="004B04DE">
      <w:pPr>
        <w:jc w:val="both"/>
        <w:rPr>
          <w:rFonts w:asciiTheme="minorHAnsi" w:hAnsiTheme="minorHAnsi" w:cstheme="minorHAnsi"/>
          <w:sz w:val="22"/>
          <w:szCs w:val="22"/>
        </w:rPr>
      </w:pPr>
      <w:r w:rsidRPr="00B90026">
        <w:rPr>
          <w:rFonts w:asciiTheme="minorHAnsi" w:hAnsiTheme="minorHAnsi" w:cstheme="minorHAnsi"/>
          <w:sz w:val="22"/>
          <w:szCs w:val="22"/>
        </w:rPr>
        <w:t>Teisminio proceso Nr. 3-61-3-05702-2014-4</w:t>
      </w:r>
    </w:p>
    <w:p w:rsidR="004B04DE" w:rsidRPr="00B90026" w:rsidRDefault="004B04DE" w:rsidP="004B04DE">
      <w:pPr>
        <w:jc w:val="both"/>
        <w:rPr>
          <w:rFonts w:asciiTheme="minorHAnsi" w:hAnsiTheme="minorHAnsi" w:cstheme="minorHAnsi"/>
          <w:sz w:val="22"/>
          <w:szCs w:val="22"/>
        </w:rPr>
      </w:pPr>
      <w:r w:rsidRPr="00B90026">
        <w:rPr>
          <w:rFonts w:asciiTheme="minorHAnsi" w:hAnsiTheme="minorHAnsi" w:cstheme="minorHAnsi"/>
          <w:sz w:val="22"/>
          <w:szCs w:val="22"/>
        </w:rPr>
        <w:t xml:space="preserve">Procesinio sprendimo kategorija 56 </w:t>
      </w:r>
    </w:p>
    <w:p w:rsidR="004B04DE" w:rsidRPr="00B90026" w:rsidRDefault="007E1236" w:rsidP="004B04DE">
      <w:pPr>
        <w:jc w:val="both"/>
        <w:rPr>
          <w:rFonts w:asciiTheme="minorHAnsi" w:hAnsiTheme="minorHAnsi" w:cstheme="minorHAnsi"/>
          <w:sz w:val="22"/>
          <w:szCs w:val="22"/>
        </w:rPr>
      </w:pPr>
      <w:hyperlink r:id="rId36" w:history="1">
        <w:r w:rsidR="004B04DE" w:rsidRPr="00B90026">
          <w:rPr>
            <w:rStyle w:val="Hipersaitas"/>
            <w:rFonts w:asciiTheme="minorHAnsi" w:hAnsiTheme="minorHAnsi" w:cstheme="minorHAnsi"/>
            <w:sz w:val="22"/>
            <w:szCs w:val="22"/>
          </w:rPr>
          <w:t>Prieiga internete</w:t>
        </w:r>
      </w:hyperlink>
    </w:p>
    <w:p w:rsidR="004B04DE" w:rsidRPr="00B90026" w:rsidRDefault="004B04DE" w:rsidP="00363C0B">
      <w:pPr>
        <w:pStyle w:val="Antrat2"/>
      </w:pPr>
    </w:p>
    <w:p w:rsidR="00B377FF" w:rsidRPr="00B90026" w:rsidRDefault="00B377FF" w:rsidP="00B377FF">
      <w:pPr>
        <w:pStyle w:val="Apzvalgai1"/>
        <w:rPr>
          <w:rFonts w:asciiTheme="minorHAnsi" w:hAnsiTheme="minorHAnsi" w:cstheme="minorHAnsi"/>
        </w:rPr>
      </w:pPr>
      <w:bookmarkStart w:id="106" w:name="_Toc505787275"/>
      <w:bookmarkStart w:id="107" w:name="_Toc462150022"/>
      <w:r w:rsidRPr="00B90026">
        <w:rPr>
          <w:rFonts w:asciiTheme="minorHAnsi" w:hAnsiTheme="minorHAnsi" w:cstheme="minorHAnsi"/>
        </w:rPr>
        <w:t>54. Skundo palikimas nenagrinėtu</w:t>
      </w:r>
      <w:bookmarkEnd w:id="106"/>
    </w:p>
    <w:p w:rsidR="00B377FF" w:rsidRPr="00B90026" w:rsidRDefault="00B377FF" w:rsidP="00B377FF">
      <w:pPr>
        <w:ind w:firstLine="567"/>
        <w:jc w:val="both"/>
        <w:rPr>
          <w:rFonts w:asciiTheme="minorHAnsi" w:hAnsiTheme="minorHAnsi" w:cstheme="minorHAnsi"/>
          <w:b/>
          <w:sz w:val="22"/>
          <w:szCs w:val="22"/>
          <w:u w:val="single"/>
        </w:rPr>
      </w:pPr>
      <w:r w:rsidRPr="00B90026">
        <w:rPr>
          <w:rFonts w:asciiTheme="minorHAnsi" w:hAnsiTheme="minorHAnsi" w:cstheme="minorHAnsi"/>
          <w:b/>
          <w:sz w:val="22"/>
          <w:szCs w:val="22"/>
          <w:u w:val="single"/>
        </w:rPr>
        <w:t>54.1. Kai nesilaikoma tos kategorijos byloms nustatytos išankstinio bylos nagrinėjimo ne per teismą tvarkos ir dar galima pasinaudoti ta tvarka</w:t>
      </w:r>
    </w:p>
    <w:p w:rsidR="00B377FF" w:rsidRPr="00B90026" w:rsidRDefault="00B377FF" w:rsidP="00B377FF">
      <w:pPr>
        <w:ind w:firstLine="567"/>
        <w:jc w:val="both"/>
        <w:rPr>
          <w:rFonts w:asciiTheme="minorHAnsi" w:hAnsiTheme="minorHAnsi" w:cstheme="minorHAnsi"/>
          <w:i/>
          <w:sz w:val="22"/>
          <w:szCs w:val="22"/>
        </w:rPr>
      </w:pPr>
    </w:p>
    <w:p w:rsidR="00B377FF" w:rsidRPr="00B90026" w:rsidRDefault="00B377FF" w:rsidP="00B377FF">
      <w:pPr>
        <w:pStyle w:val="Antrat2"/>
      </w:pPr>
      <w:bookmarkStart w:id="108" w:name="_Toc505787276"/>
      <w:r w:rsidRPr="00B90026">
        <w:t>Dėl išankstinio ginčų nagrinėjimo ne per teismą tvarkos netaikymo siekiant apskųsti Nacionalinės žemės tarnybos sprendimą sustabdyti nagrinėjimą</w:t>
      </w:r>
      <w:bookmarkEnd w:id="108"/>
      <w:r w:rsidRPr="00B90026">
        <w:t xml:space="preserve"> </w:t>
      </w:r>
    </w:p>
    <w:p w:rsidR="00B377FF" w:rsidRPr="00B90026" w:rsidRDefault="00B377FF" w:rsidP="00B377FF">
      <w:pPr>
        <w:ind w:firstLine="567"/>
        <w:jc w:val="both"/>
        <w:rPr>
          <w:rFonts w:asciiTheme="minorHAnsi" w:hAnsiTheme="minorHAnsi" w:cstheme="minorHAnsi"/>
          <w:i/>
          <w:sz w:val="22"/>
          <w:szCs w:val="22"/>
        </w:rPr>
      </w:pPr>
    </w:p>
    <w:p w:rsidR="00E40323" w:rsidRDefault="00B377FF" w:rsidP="00E40323">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Atskiruoju skundu buvo skundžiama pirmosios instancijos teismo nutartis palikti pareiškėjo skundą nenagrinėtą. </w:t>
      </w:r>
    </w:p>
    <w:p w:rsidR="00B377FF" w:rsidRPr="00B90026" w:rsidRDefault="00B377FF" w:rsidP="00E40323">
      <w:pPr>
        <w:ind w:firstLine="567"/>
        <w:jc w:val="both"/>
        <w:rPr>
          <w:rFonts w:asciiTheme="minorHAnsi" w:hAnsiTheme="minorHAnsi" w:cstheme="minorHAnsi"/>
          <w:sz w:val="22"/>
          <w:szCs w:val="22"/>
        </w:rPr>
      </w:pPr>
      <w:r w:rsidRPr="00B90026">
        <w:rPr>
          <w:rFonts w:asciiTheme="minorHAnsi" w:hAnsiTheme="minorHAnsi" w:cstheme="minorHAnsi"/>
          <w:sz w:val="22"/>
          <w:szCs w:val="22"/>
        </w:rPr>
        <w:t>Pareiškėjas padavė teismui skundą dėl Nacionalinės žemės tarnybos prie Žemės ūkio ministerijos (toliau – Tarnyba) Vilniaus miesto skyriaus (toliau – Skyrius) rašto „Dėl prašymo nagrinėjimo“, kuriuo Skyrius sustabdė pareiškėjo prašymo nustatyti buvusio savininko iki nacionalizacijos valdytos 4 ha žemės ribas nagrinėjimą. Pirmosios instancijos teismas pripažino, kad pareiškėjas nėra pasinaudojęs Žemės reformos įstatyme nustatyta išankstine ginčo sprendimo ne per teismą tvarka, t. y. rašto neskundė Tarnybos vadovui.</w:t>
      </w:r>
    </w:p>
    <w:p w:rsidR="00B377FF" w:rsidRPr="00B90026" w:rsidRDefault="00B377FF" w:rsidP="00B377FF">
      <w:pPr>
        <w:ind w:firstLine="567"/>
        <w:jc w:val="both"/>
        <w:rPr>
          <w:rFonts w:asciiTheme="minorHAnsi" w:hAnsiTheme="minorHAnsi" w:cstheme="minorHAnsi"/>
          <w:sz w:val="22"/>
          <w:szCs w:val="22"/>
        </w:rPr>
      </w:pPr>
      <w:r w:rsidRPr="00B90026">
        <w:rPr>
          <w:rFonts w:asciiTheme="minorHAnsi" w:hAnsiTheme="minorHAnsi" w:cstheme="minorHAnsi"/>
          <w:sz w:val="22"/>
          <w:szCs w:val="22"/>
        </w:rPr>
        <w:t xml:space="preserve">LVAT su tuo nesutiko nurodydamas, kad Žemės reformos įstatyme numatyta išankstinio ginčų nagrinėjimo ne per teismą tvarka, vadovaujantis LVAT praktika, taikytina tik skundžiant jau atliktą konkretų pareigūnų (institucijų) veiksmą, tačiau tais atvejais, kai valstybės ar savivaldybių institucija (pareigūnas) iki sprendimo dėl nuosavybės teisių atkūrimo priėmimo procese vengia atlikti jų kompetencijai priskirtus veiksmus arba vilkina atlikti tokius veiksmus, toks neveikimas skundžiamas tiesiogiai teismui, netaikant išankstinio ginčo nagrinėjimo ne teisme stadijos. </w:t>
      </w:r>
    </w:p>
    <w:p w:rsidR="00B377FF" w:rsidRPr="00B90026" w:rsidRDefault="00B377FF" w:rsidP="00B377FF">
      <w:pPr>
        <w:ind w:firstLine="567"/>
        <w:jc w:val="both"/>
        <w:rPr>
          <w:rFonts w:asciiTheme="minorHAnsi" w:hAnsiTheme="minorHAnsi" w:cstheme="minorHAnsi"/>
          <w:sz w:val="22"/>
          <w:szCs w:val="22"/>
        </w:rPr>
      </w:pPr>
      <w:r w:rsidRPr="00B90026">
        <w:rPr>
          <w:rFonts w:asciiTheme="minorHAnsi" w:hAnsiTheme="minorHAnsi" w:cstheme="minorHAnsi"/>
          <w:sz w:val="22"/>
          <w:szCs w:val="22"/>
        </w:rPr>
        <w:t>Nustatant, ar administracinėje byloje pareiškėjas skundžia administracinį aktą ar neveikimą, LVAT nuomone, atsižvelgtina į individualaus administracinio akto sąvoką (tai – vienkartis teisės taikymo aktas, skirtas konkrečiam asmeniui ar nurodytai asmenų grupei). Atsisakymas atlikti veiksmus ir vilkinimas atlikti veiksmus, kaip teisinės sąvokos, nėra tapačios. Atsisakymas atlikti veiksmus yra vienas iš viešojo administravimo subjektui leistinų veiksmų, kurio teisėtumas ir pagrįstumas sudaro bylos nagrinėjimo dalyką. Antruoju atveju viešojo administravimo subjektas neatlieka visų ar dalies veiksmų, kuriuos jam priskirta atlikti. Sprendžiant, ar pareiškėjas skundžia atsakovo aktą ar neveikimą, visais atvejais vertintinas tarp šalių susiklosčiusių materialinių teisinių santykių pobūdis, o ne vien pareiškėjo reikalavimo žodinė išraiška.</w:t>
      </w:r>
    </w:p>
    <w:p w:rsidR="00B377FF" w:rsidRPr="00B90026" w:rsidRDefault="00B377FF" w:rsidP="00B377FF">
      <w:pPr>
        <w:ind w:firstLine="567"/>
        <w:jc w:val="both"/>
        <w:rPr>
          <w:rFonts w:asciiTheme="minorHAnsi" w:hAnsiTheme="minorHAnsi" w:cstheme="minorHAnsi"/>
          <w:sz w:val="22"/>
          <w:szCs w:val="22"/>
        </w:rPr>
      </w:pPr>
      <w:r w:rsidRPr="00B90026">
        <w:rPr>
          <w:rFonts w:asciiTheme="minorHAnsi" w:hAnsiTheme="minorHAnsi" w:cstheme="minorHAnsi"/>
          <w:sz w:val="22"/>
          <w:szCs w:val="22"/>
        </w:rPr>
        <w:t>Pareiškėjas ginčijo viešojo administravimo subjekto tarpinį sprendimą sustabdyti administracinę procedūrą, pradėtą pagal jo prašymą. Taigi LVAT nurodė, kad šio ginčo dalykas yra ne administracinis aktas, kuriame būtų iš esmės pasisakyta dėl minėtame prašyme suformuluoto reikalavimo tenkinimo / atmetimo, tuo konkrečiai išreiškiant viešojo administravimo subjekto valią dėl tam tikrų veiksmų nuosavybės teisių atkūrimo procese atlikimo. Todėl LVAT sprendė, kad pirmosios instancijos teismo argumentai, kad aptartoje situacijoje pareiškėjas privalėjo pasinaudoti privaloma išankstine ginčų nagrinėjimo ne teismo tvarka kreipdamasis į Tarnybos vadovą, yra nepagrįsti. Raštas nėra administracinis sprendimas, kurio priėmimu būtų užbaigta administracinė procedūra, todėl nesutikdamas su administracinės procedūros sustabdymu taikant bendrąsias Viešojo administravimo įstatymo 27 straipsnio normas, pareiškėjas, paduodamas skundą teismui, tinkamai realizavo savo teisę į teisminę gynybą.</w:t>
      </w:r>
    </w:p>
    <w:p w:rsidR="00B377FF" w:rsidRPr="00B90026" w:rsidRDefault="00B377FF" w:rsidP="00B377FF">
      <w:pPr>
        <w:jc w:val="both"/>
        <w:rPr>
          <w:rFonts w:asciiTheme="minorHAnsi" w:hAnsiTheme="minorHAnsi" w:cstheme="minorHAnsi"/>
          <w:sz w:val="22"/>
          <w:szCs w:val="22"/>
        </w:rPr>
      </w:pPr>
    </w:p>
    <w:p w:rsidR="00B377FF" w:rsidRPr="00B90026" w:rsidRDefault="00B377FF" w:rsidP="00B377FF">
      <w:pPr>
        <w:jc w:val="both"/>
        <w:rPr>
          <w:rFonts w:asciiTheme="minorHAnsi" w:hAnsiTheme="minorHAnsi" w:cstheme="minorHAnsi"/>
          <w:sz w:val="22"/>
          <w:szCs w:val="22"/>
        </w:rPr>
      </w:pPr>
      <w:r w:rsidRPr="00B90026">
        <w:rPr>
          <w:rFonts w:asciiTheme="minorHAnsi" w:hAnsiTheme="minorHAnsi" w:cstheme="minorHAnsi"/>
          <w:sz w:val="22"/>
          <w:szCs w:val="22"/>
        </w:rPr>
        <w:t>2017 m. lapkričio 8 d. nutartis administracinėje byloje Nr. eAS-939-756/2017</w:t>
      </w:r>
    </w:p>
    <w:p w:rsidR="00B377FF" w:rsidRPr="00B90026" w:rsidRDefault="00B377FF" w:rsidP="00B377FF">
      <w:pPr>
        <w:jc w:val="both"/>
        <w:rPr>
          <w:rFonts w:asciiTheme="minorHAnsi" w:hAnsiTheme="minorHAnsi" w:cstheme="minorHAnsi"/>
          <w:sz w:val="22"/>
          <w:szCs w:val="22"/>
        </w:rPr>
      </w:pPr>
      <w:r w:rsidRPr="00B90026">
        <w:rPr>
          <w:rFonts w:asciiTheme="minorHAnsi" w:hAnsiTheme="minorHAnsi" w:cstheme="minorHAnsi"/>
          <w:sz w:val="22"/>
          <w:szCs w:val="22"/>
        </w:rPr>
        <w:t>Teisminio proceso Nr. 3-61-3-00633-2017-5</w:t>
      </w:r>
    </w:p>
    <w:p w:rsidR="00B377FF" w:rsidRPr="00B90026" w:rsidRDefault="00B377FF" w:rsidP="00B377FF">
      <w:pPr>
        <w:jc w:val="both"/>
        <w:rPr>
          <w:rFonts w:asciiTheme="minorHAnsi" w:hAnsiTheme="minorHAnsi" w:cstheme="minorHAnsi"/>
          <w:sz w:val="22"/>
          <w:szCs w:val="22"/>
        </w:rPr>
      </w:pPr>
      <w:r w:rsidRPr="00B90026">
        <w:rPr>
          <w:rFonts w:asciiTheme="minorHAnsi" w:hAnsiTheme="minorHAnsi" w:cstheme="minorHAnsi"/>
          <w:sz w:val="22"/>
          <w:szCs w:val="22"/>
        </w:rPr>
        <w:t xml:space="preserve">Procesinio sprendimo kategorija 54.1 </w:t>
      </w:r>
    </w:p>
    <w:p w:rsidR="00B377FF" w:rsidRPr="00B90026" w:rsidRDefault="007E1236" w:rsidP="00B377FF">
      <w:pPr>
        <w:jc w:val="both"/>
        <w:rPr>
          <w:rFonts w:asciiTheme="minorHAnsi" w:hAnsiTheme="minorHAnsi" w:cstheme="minorHAnsi"/>
          <w:sz w:val="22"/>
          <w:szCs w:val="22"/>
        </w:rPr>
      </w:pPr>
      <w:hyperlink r:id="rId37" w:history="1">
        <w:r w:rsidR="00B377FF" w:rsidRPr="00B90026">
          <w:rPr>
            <w:rStyle w:val="Hipersaitas"/>
            <w:rFonts w:asciiTheme="minorHAnsi" w:hAnsiTheme="minorHAnsi" w:cstheme="minorHAnsi"/>
            <w:sz w:val="22"/>
            <w:szCs w:val="22"/>
          </w:rPr>
          <w:t>Prieiga internete</w:t>
        </w:r>
      </w:hyperlink>
    </w:p>
    <w:bookmarkEnd w:id="34"/>
    <w:bookmarkEnd w:id="35"/>
    <w:bookmarkEnd w:id="107"/>
    <w:p w:rsidR="004B04DE" w:rsidRDefault="004B04DE" w:rsidP="004B04DE">
      <w:pPr>
        <w:pStyle w:val="Apzvalgai1"/>
        <w:rPr>
          <w:rFonts w:asciiTheme="minorHAnsi" w:hAnsiTheme="minorHAnsi" w:cstheme="minorHAnsi"/>
        </w:rPr>
      </w:pPr>
    </w:p>
    <w:sectPr w:rsidR="004B04DE" w:rsidSect="000C0EFB">
      <w:headerReference w:type="default" r:id="rId38"/>
      <w:footerReference w:type="even" r:id="rId39"/>
      <w:footerReference w:type="default" r:id="rId40"/>
      <w:pgSz w:w="11906" w:h="16838"/>
      <w:pgMar w:top="1134" w:right="567" w:bottom="1134" w:left="156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1236" w:rsidRDefault="007E1236" w:rsidP="003D4C15">
      <w:r>
        <w:separator/>
      </w:r>
    </w:p>
  </w:endnote>
  <w:endnote w:type="continuationSeparator" w:id="0">
    <w:p w:rsidR="007E1236" w:rsidRDefault="007E1236"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Microsoft Sans Serif">
    <w:panose1 w:val="020B060402020202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43"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mbria Math">
    <w:panose1 w:val="02040503050406030204"/>
    <w:charset w:val="BA"/>
    <w:family w:val="roman"/>
    <w:pitch w:val="variable"/>
    <w:sig w:usb0="E00002FF" w:usb1="420024FF" w:usb2="0000000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224B" w:rsidRDefault="00A9224B">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A9224B" w:rsidRDefault="00A9224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224B" w:rsidRPr="00386C1C" w:rsidRDefault="00A9224B">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1C4611">
      <w:rPr>
        <w:rStyle w:val="Puslapionumeris"/>
        <w:rFonts w:asciiTheme="minorHAnsi" w:hAnsiTheme="minorHAnsi"/>
        <w:noProof/>
        <w:sz w:val="20"/>
        <w:szCs w:val="20"/>
      </w:rPr>
      <w:t>8</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1C4611">
      <w:rPr>
        <w:rStyle w:val="Puslapionumeris"/>
        <w:rFonts w:asciiTheme="minorHAnsi" w:hAnsiTheme="minorHAnsi"/>
        <w:noProof/>
        <w:sz w:val="20"/>
        <w:szCs w:val="20"/>
      </w:rPr>
      <w:t>30</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1236" w:rsidRDefault="007E1236" w:rsidP="003D4C15">
      <w:r>
        <w:separator/>
      </w:r>
    </w:p>
  </w:footnote>
  <w:footnote w:type="continuationSeparator" w:id="0">
    <w:p w:rsidR="007E1236" w:rsidRDefault="007E1236" w:rsidP="003D4C15">
      <w:r>
        <w:continuationSeparator/>
      </w:r>
    </w:p>
  </w:footnote>
  <w:footnote w:id="1">
    <w:p w:rsidR="00A9224B" w:rsidRDefault="00A9224B" w:rsidP="008D5A54">
      <w:pPr>
        <w:pStyle w:val="Puslapioinaostekstas"/>
        <w:jc w:val="both"/>
        <w:rPr>
          <w:rFonts w:asciiTheme="minorHAnsi" w:hAnsiTheme="minorHAnsi" w:cstheme="minorHAnsi"/>
        </w:rPr>
      </w:pPr>
      <w:r>
        <w:rPr>
          <w:rStyle w:val="Puslapioinaosnuoroda"/>
          <w:rFonts w:asciiTheme="minorHAnsi" w:hAnsiTheme="minorHAnsi" w:cstheme="minorHAnsi"/>
        </w:rPr>
        <w:footnoteRef/>
      </w:r>
      <w:r>
        <w:rPr>
          <w:rFonts w:asciiTheme="minorHAnsi" w:hAnsiTheme="minorHAnsi" w:cstheme="minorHAnsi"/>
        </w:rPr>
        <w:t xml:space="preserve">  žr. ESTT 2007 m. rugsėjo 27 d. sprendimo byloje </w:t>
      </w:r>
      <w:r>
        <w:rPr>
          <w:rFonts w:asciiTheme="minorHAnsi" w:hAnsiTheme="minorHAnsi" w:cstheme="minorHAnsi"/>
          <w:i/>
        </w:rPr>
        <w:t>Twoh International</w:t>
      </w:r>
      <w:r>
        <w:rPr>
          <w:rFonts w:asciiTheme="minorHAnsi" w:hAnsiTheme="minorHAnsi" w:cstheme="minorHAnsi"/>
        </w:rPr>
        <w:t xml:space="preserve">, C-184/05, 23 p.; 2010 m. gruodžio 7 d. sprendimo byloje </w:t>
      </w:r>
      <w:r>
        <w:rPr>
          <w:rFonts w:asciiTheme="minorHAnsi" w:hAnsiTheme="minorHAnsi" w:cstheme="minorHAnsi"/>
          <w:i/>
        </w:rPr>
        <w:t>R.</w:t>
      </w:r>
      <w:r>
        <w:rPr>
          <w:rFonts w:asciiTheme="minorHAnsi" w:hAnsiTheme="minorHAnsi" w:cstheme="minorHAnsi"/>
        </w:rPr>
        <w:t xml:space="preserve">, C-285/09, 41 p.; 2010 m. gruodžio 16 d. sprendimo byloje </w:t>
      </w:r>
      <w:r>
        <w:rPr>
          <w:rFonts w:asciiTheme="minorHAnsi" w:hAnsiTheme="minorHAnsi" w:cstheme="minorHAnsi"/>
          <w:i/>
        </w:rPr>
        <w:t>Euro Tyre Holding</w:t>
      </w:r>
      <w:r>
        <w:rPr>
          <w:rFonts w:asciiTheme="minorHAnsi" w:hAnsiTheme="minorHAnsi" w:cstheme="minorHAnsi"/>
        </w:rPr>
        <w:t xml:space="preserve">, C-430/09, 29 p.; 2016 m. spalio 20 d. sprendimo byloje </w:t>
      </w:r>
      <w:r>
        <w:rPr>
          <w:rFonts w:asciiTheme="minorHAnsi" w:hAnsiTheme="minorHAnsi" w:cstheme="minorHAnsi"/>
          <w:i/>
        </w:rPr>
        <w:t>Plöckl</w:t>
      </w:r>
      <w:r>
        <w:rPr>
          <w:rFonts w:asciiTheme="minorHAnsi" w:hAnsiTheme="minorHAnsi" w:cstheme="minorHAnsi"/>
        </w:rPr>
        <w:t>, C</w:t>
      </w:r>
      <w:r>
        <w:rPr>
          <w:rFonts w:ascii="Cambria Math" w:hAnsi="Cambria Math" w:cs="Cambria Math"/>
        </w:rPr>
        <w:noBreakHyphen/>
      </w:r>
      <w:r>
        <w:rPr>
          <w:rFonts w:asciiTheme="minorHAnsi" w:hAnsiTheme="minorHAnsi" w:cstheme="minorHAnsi"/>
        </w:rPr>
        <w:t>24/15, 29 p.; LVAT 2013 m. liepos 11 d. sprendimą administracinėje byloje Nr. A</w:t>
      </w:r>
      <w:r w:rsidRPr="008D5A54">
        <w:rPr>
          <w:rFonts w:asciiTheme="minorHAnsi" w:hAnsiTheme="minorHAnsi" w:cstheme="minorHAnsi"/>
          <w:vertAlign w:val="superscript"/>
        </w:rPr>
        <w:t>602</w:t>
      </w:r>
      <w:r>
        <w:rPr>
          <w:rFonts w:asciiTheme="minorHAnsi" w:hAnsiTheme="minorHAnsi" w:cstheme="minorHAnsi"/>
        </w:rPr>
        <w:t>-996/2013.</w:t>
      </w:r>
    </w:p>
  </w:footnote>
  <w:footnote w:id="2">
    <w:p w:rsidR="00A9224B" w:rsidRDefault="00A9224B" w:rsidP="009F10AC">
      <w:pPr>
        <w:pStyle w:val="Puslapioinaostekstas"/>
        <w:jc w:val="both"/>
        <w:rPr>
          <w:rFonts w:asciiTheme="minorHAnsi" w:hAnsiTheme="minorHAnsi" w:cstheme="minorHAnsi"/>
        </w:rPr>
      </w:pPr>
      <w:r>
        <w:rPr>
          <w:rStyle w:val="Puslapioinaosnuoroda"/>
          <w:rFonts w:asciiTheme="minorHAnsi" w:hAnsiTheme="minorHAnsi" w:cstheme="minorHAnsi"/>
        </w:rPr>
        <w:footnoteRef/>
      </w:r>
      <w:r>
        <w:rPr>
          <w:rFonts w:asciiTheme="minorHAnsi" w:hAnsiTheme="minorHAnsi" w:cstheme="minorHAnsi"/>
        </w:rPr>
        <w:t xml:space="preserve"> Apžvelgiamoje byloje nei vietos mokesčių administratorius, nei atsakovas nenurodė, kad pareiškėjas kokiu nors būdu (tyčia) klastojo PVM sąskaitas faktūras, kuriomis buvo įformintas ginčo prekių tiekimas.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A9224B" w:rsidRPr="000967FF" w:rsidTr="00125BDC">
      <w:tc>
        <w:tcPr>
          <w:tcW w:w="7230" w:type="dxa"/>
        </w:tcPr>
        <w:p w:rsidR="00A9224B" w:rsidRPr="0021377E" w:rsidRDefault="00A9224B"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rsidR="00A9224B" w:rsidRPr="0021377E" w:rsidRDefault="00A9224B" w:rsidP="000D7E2A">
          <w:pPr>
            <w:rPr>
              <w:rFonts w:ascii="Calibri" w:hAnsi="Calibri"/>
              <w:color w:val="323E4F" w:themeColor="text2" w:themeShade="BF"/>
              <w:sz w:val="20"/>
              <w:szCs w:val="20"/>
            </w:rPr>
          </w:pPr>
          <w:r>
            <w:rPr>
              <w:rFonts w:ascii="Calibri" w:hAnsi="Calibri"/>
              <w:color w:val="323E4F" w:themeColor="text2" w:themeShade="BF"/>
              <w:sz w:val="20"/>
              <w:szCs w:val="20"/>
            </w:rPr>
            <w:t xml:space="preserve">2017 11 </w:t>
          </w:r>
          <w:r w:rsidRPr="0021377E">
            <w:rPr>
              <w:rFonts w:ascii="Calibri" w:hAnsi="Calibri"/>
              <w:color w:val="323E4F" w:themeColor="text2" w:themeShade="BF"/>
              <w:sz w:val="20"/>
              <w:szCs w:val="20"/>
            </w:rPr>
            <w:t>01–201</w:t>
          </w:r>
          <w:r>
            <w:rPr>
              <w:rFonts w:ascii="Calibri" w:hAnsi="Calibri"/>
              <w:color w:val="323E4F" w:themeColor="text2" w:themeShade="BF"/>
              <w:sz w:val="20"/>
              <w:szCs w:val="20"/>
            </w:rPr>
            <w:t>7 12</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31</w:t>
          </w:r>
        </w:p>
      </w:tc>
    </w:tr>
  </w:tbl>
  <w:p w:rsidR="00A9224B" w:rsidRPr="008A0597" w:rsidRDefault="00A9224B">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singleLevel"/>
    <w:tmpl w:val="0000000A"/>
    <w:lvl w:ilvl="0">
      <w:start w:val="18"/>
      <w:numFmt w:val="decimal"/>
      <w:suff w:val="space"/>
      <w:lvlText w:val="%1."/>
      <w:lvlJc w:val="left"/>
    </w:lvl>
  </w:abstractNum>
  <w:abstractNum w:abstractNumId="1" w15:restartNumberingAfterBreak="0">
    <w:nsid w:val="0000000C"/>
    <w:multiLevelType w:val="singleLevel"/>
    <w:tmpl w:val="613EEF74"/>
    <w:lvl w:ilvl="0">
      <w:start w:val="37"/>
      <w:numFmt w:val="decimal"/>
      <w:suff w:val="space"/>
      <w:lvlText w:val="%1."/>
      <w:lvlJc w:val="left"/>
      <w:pPr>
        <w:ind w:left="0" w:firstLine="0"/>
      </w:pPr>
      <w:rPr>
        <w:rFonts w:hint="default"/>
      </w:rPr>
    </w:lvl>
  </w:abstractNum>
  <w:abstractNum w:abstractNumId="2" w15:restartNumberingAfterBreak="0">
    <w:nsid w:val="000A277F"/>
    <w:multiLevelType w:val="multilevel"/>
    <w:tmpl w:val="6AEE8616"/>
    <w:lvl w:ilvl="0">
      <w:start w:val="1"/>
      <w:numFmt w:val="decimal"/>
      <w:lvlText w:val="%1."/>
      <w:lvlJc w:val="left"/>
      <w:pPr>
        <w:ind w:left="928" w:hanging="360"/>
      </w:pPr>
      <w:rPr>
        <w:b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16E781E"/>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8231920"/>
    <w:multiLevelType w:val="hybridMultilevel"/>
    <w:tmpl w:val="FECA2DA2"/>
    <w:lvl w:ilvl="0" w:tplc="F03A83C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1B024407"/>
    <w:multiLevelType w:val="hybridMultilevel"/>
    <w:tmpl w:val="72DE1BB8"/>
    <w:lvl w:ilvl="0" w:tplc="C2FEFE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A8C7B45"/>
    <w:multiLevelType w:val="hybridMultilevel"/>
    <w:tmpl w:val="D4D81B88"/>
    <w:lvl w:ilvl="0" w:tplc="EB3AD84E">
      <w:start w:val="1"/>
      <w:numFmt w:val="lowerRoman"/>
      <w:lvlText w:val="(%1)"/>
      <w:lvlJc w:val="left"/>
      <w:pPr>
        <w:ind w:left="1392" w:hanging="825"/>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7" w15:restartNumberingAfterBreak="0">
    <w:nsid w:val="2C974944"/>
    <w:multiLevelType w:val="multilevel"/>
    <w:tmpl w:val="CBDC464E"/>
    <w:lvl w:ilvl="0">
      <w:start w:val="1"/>
      <w:numFmt w:val="decimal"/>
      <w:lvlText w:val="%1."/>
      <w:lvlJc w:val="left"/>
      <w:pPr>
        <w:ind w:left="1570" w:hanging="435"/>
      </w:pPr>
      <w:rPr>
        <w:rFonts w:hint="default"/>
      </w:rPr>
    </w:lvl>
    <w:lvl w:ilvl="1">
      <w:start w:val="1"/>
      <w:numFmt w:val="decimal"/>
      <w:lvlText w:val="%1.%2."/>
      <w:lvlJc w:val="left"/>
      <w:pPr>
        <w:ind w:left="1245" w:hanging="43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8" w15:restartNumberingAfterBreak="0">
    <w:nsid w:val="2E5F3180"/>
    <w:multiLevelType w:val="hybridMultilevel"/>
    <w:tmpl w:val="3886FBC6"/>
    <w:lvl w:ilvl="0" w:tplc="7C540972">
      <w:start w:val="1"/>
      <w:numFmt w:val="decimal"/>
      <w:lvlText w:val="%1."/>
      <w:lvlJc w:val="left"/>
      <w:pPr>
        <w:ind w:left="1211" w:hanging="360"/>
      </w:pPr>
      <w:rPr>
        <w:rFonts w:ascii="Times New Roman" w:hAnsi="Times New Roman" w:cs="Times New Roman" w:hint="default"/>
        <w:color w:val="000000"/>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6D07F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CD7134D"/>
    <w:multiLevelType w:val="hybridMultilevel"/>
    <w:tmpl w:val="2FB46ACA"/>
    <w:lvl w:ilvl="0" w:tplc="D2BE4C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7EC476E"/>
    <w:multiLevelType w:val="hybridMultilevel"/>
    <w:tmpl w:val="8B965CB0"/>
    <w:lvl w:ilvl="0" w:tplc="CCCC271A">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2" w15:restartNumberingAfterBreak="0">
    <w:nsid w:val="5C197FB9"/>
    <w:multiLevelType w:val="multilevel"/>
    <w:tmpl w:val="5EE04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A55ED6"/>
    <w:multiLevelType w:val="hybridMultilevel"/>
    <w:tmpl w:val="A8EE56C6"/>
    <w:lvl w:ilvl="0" w:tplc="E4148AA6">
      <w:start w:val="20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F23EFA"/>
    <w:multiLevelType w:val="hybridMultilevel"/>
    <w:tmpl w:val="9CE8E3D4"/>
    <w:lvl w:ilvl="0" w:tplc="DE9EF096">
      <w:start w:val="1"/>
      <w:numFmt w:val="decimal"/>
      <w:lvlText w:val="(%1)"/>
      <w:lvlJc w:val="left"/>
      <w:pPr>
        <w:ind w:left="360" w:hanging="360"/>
      </w:pPr>
      <w:rPr>
        <w:i w:val="0"/>
      </w:r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15" w15:restartNumberingAfterBreak="0">
    <w:nsid w:val="609758DA"/>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9EC574E"/>
    <w:multiLevelType w:val="hybridMultilevel"/>
    <w:tmpl w:val="5AD4EF94"/>
    <w:lvl w:ilvl="0" w:tplc="B8F081BA">
      <w:start w:val="33"/>
      <w:numFmt w:val="bullet"/>
      <w:lvlText w:val="-"/>
      <w:lvlJc w:val="left"/>
      <w:pPr>
        <w:ind w:left="720" w:hanging="360"/>
      </w:pPr>
      <w:rPr>
        <w:rFonts w:ascii="Calibri" w:eastAsia="Times New Roman"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6C553D26"/>
    <w:multiLevelType w:val="hybridMultilevel"/>
    <w:tmpl w:val="A0F0C346"/>
    <w:lvl w:ilvl="0" w:tplc="F2E4E05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12C7875"/>
    <w:multiLevelType w:val="hybridMultilevel"/>
    <w:tmpl w:val="7FFEB89E"/>
    <w:lvl w:ilvl="0" w:tplc="9B1CEB54">
      <w:start w:val="2012"/>
      <w:numFmt w:val="decimal"/>
      <w:lvlText w:val="(%1"/>
      <w:lvlJc w:val="left"/>
      <w:pPr>
        <w:ind w:left="915" w:hanging="55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71312CF9"/>
    <w:multiLevelType w:val="hybridMultilevel"/>
    <w:tmpl w:val="78EEBA3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78614C5"/>
    <w:multiLevelType w:val="hybridMultilevel"/>
    <w:tmpl w:val="EE62B50E"/>
    <w:lvl w:ilvl="0" w:tplc="1C6815C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DA03DC8"/>
    <w:multiLevelType w:val="hybridMultilevel"/>
    <w:tmpl w:val="BBBCB71C"/>
    <w:lvl w:ilvl="0" w:tplc="7B329A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20"/>
  </w:num>
  <w:num w:numId="2">
    <w:abstractNumId w:val="18"/>
  </w:num>
  <w:num w:numId="3">
    <w:abstractNumId w:val="21"/>
  </w:num>
  <w:num w:numId="4">
    <w:abstractNumId w:val="17"/>
  </w:num>
  <w:num w:numId="5">
    <w:abstractNumId w:val="11"/>
  </w:num>
  <w:num w:numId="6">
    <w:abstractNumId w:val="5"/>
  </w:num>
  <w:num w:numId="7">
    <w:abstractNumId w:val="3"/>
  </w:num>
  <w:num w:numId="8">
    <w:abstractNumId w:val="15"/>
  </w:num>
  <w:num w:numId="9">
    <w:abstractNumId w:val="13"/>
  </w:num>
  <w:num w:numId="10">
    <w:abstractNumId w:val="12"/>
  </w:num>
  <w:num w:numId="11">
    <w:abstractNumId w:val="7"/>
  </w:num>
  <w:num w:numId="12">
    <w:abstractNumId w:val="4"/>
  </w:num>
  <w:num w:numId="13">
    <w:abstractNumId w:val="8"/>
  </w:num>
  <w:num w:numId="14">
    <w:abstractNumId w:val="0"/>
  </w:num>
  <w:num w:numId="15">
    <w:abstractNumId w:val="1"/>
  </w:num>
  <w:num w:numId="16">
    <w:abstractNumId w:val="16"/>
  </w:num>
  <w:num w:numId="17">
    <w:abstractNumId w:val="6"/>
  </w:num>
  <w:num w:numId="18">
    <w:abstractNumId w:val="10"/>
  </w:num>
  <w:num w:numId="19">
    <w:abstractNumId w:val="9"/>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1F07"/>
    <w:rsid w:val="00002966"/>
    <w:rsid w:val="00002CB5"/>
    <w:rsid w:val="000046DE"/>
    <w:rsid w:val="00005391"/>
    <w:rsid w:val="00005A36"/>
    <w:rsid w:val="000064C2"/>
    <w:rsid w:val="000075AF"/>
    <w:rsid w:val="00007A79"/>
    <w:rsid w:val="00007AE0"/>
    <w:rsid w:val="00014148"/>
    <w:rsid w:val="0001541F"/>
    <w:rsid w:val="00016443"/>
    <w:rsid w:val="00017F45"/>
    <w:rsid w:val="00020BE8"/>
    <w:rsid w:val="00021869"/>
    <w:rsid w:val="000232BE"/>
    <w:rsid w:val="00024FF5"/>
    <w:rsid w:val="00025504"/>
    <w:rsid w:val="000256A0"/>
    <w:rsid w:val="000262CF"/>
    <w:rsid w:val="00027DF8"/>
    <w:rsid w:val="00030179"/>
    <w:rsid w:val="00030614"/>
    <w:rsid w:val="00031F67"/>
    <w:rsid w:val="00033126"/>
    <w:rsid w:val="00033C55"/>
    <w:rsid w:val="00035BB7"/>
    <w:rsid w:val="00035E28"/>
    <w:rsid w:val="00037D5F"/>
    <w:rsid w:val="0004324F"/>
    <w:rsid w:val="00044F1B"/>
    <w:rsid w:val="00045C20"/>
    <w:rsid w:val="00046189"/>
    <w:rsid w:val="00046E01"/>
    <w:rsid w:val="00047F10"/>
    <w:rsid w:val="00050B91"/>
    <w:rsid w:val="000532AC"/>
    <w:rsid w:val="000545FE"/>
    <w:rsid w:val="0005601D"/>
    <w:rsid w:val="000608A3"/>
    <w:rsid w:val="000611FF"/>
    <w:rsid w:val="0006157E"/>
    <w:rsid w:val="0006163D"/>
    <w:rsid w:val="00061D97"/>
    <w:rsid w:val="000641D7"/>
    <w:rsid w:val="00064CB1"/>
    <w:rsid w:val="00066917"/>
    <w:rsid w:val="00066F18"/>
    <w:rsid w:val="0006745F"/>
    <w:rsid w:val="000674B2"/>
    <w:rsid w:val="0006759B"/>
    <w:rsid w:val="00067FB8"/>
    <w:rsid w:val="00070B4D"/>
    <w:rsid w:val="000738BB"/>
    <w:rsid w:val="00073B21"/>
    <w:rsid w:val="00073F44"/>
    <w:rsid w:val="000744E9"/>
    <w:rsid w:val="00074E76"/>
    <w:rsid w:val="00075247"/>
    <w:rsid w:val="000752AE"/>
    <w:rsid w:val="00076972"/>
    <w:rsid w:val="00076D36"/>
    <w:rsid w:val="0007786B"/>
    <w:rsid w:val="00082913"/>
    <w:rsid w:val="00082A2D"/>
    <w:rsid w:val="00084D99"/>
    <w:rsid w:val="000853D2"/>
    <w:rsid w:val="00087F0A"/>
    <w:rsid w:val="000903B8"/>
    <w:rsid w:val="000904B8"/>
    <w:rsid w:val="00091B33"/>
    <w:rsid w:val="00092E83"/>
    <w:rsid w:val="000977FE"/>
    <w:rsid w:val="000A3A7B"/>
    <w:rsid w:val="000A48C7"/>
    <w:rsid w:val="000A533A"/>
    <w:rsid w:val="000A6981"/>
    <w:rsid w:val="000A7295"/>
    <w:rsid w:val="000B0DB3"/>
    <w:rsid w:val="000B0F96"/>
    <w:rsid w:val="000B15D3"/>
    <w:rsid w:val="000B2EF7"/>
    <w:rsid w:val="000B466D"/>
    <w:rsid w:val="000B4F48"/>
    <w:rsid w:val="000B5DB2"/>
    <w:rsid w:val="000B6099"/>
    <w:rsid w:val="000B630C"/>
    <w:rsid w:val="000B6917"/>
    <w:rsid w:val="000B7172"/>
    <w:rsid w:val="000B7B87"/>
    <w:rsid w:val="000B7D1D"/>
    <w:rsid w:val="000C0EFB"/>
    <w:rsid w:val="000C0FC4"/>
    <w:rsid w:val="000C3364"/>
    <w:rsid w:val="000C338C"/>
    <w:rsid w:val="000C45FB"/>
    <w:rsid w:val="000C46F2"/>
    <w:rsid w:val="000C523F"/>
    <w:rsid w:val="000D0F76"/>
    <w:rsid w:val="000D613F"/>
    <w:rsid w:val="000D641E"/>
    <w:rsid w:val="000D7E2A"/>
    <w:rsid w:val="000E00E4"/>
    <w:rsid w:val="000E0A69"/>
    <w:rsid w:val="000E124F"/>
    <w:rsid w:val="000E1FB4"/>
    <w:rsid w:val="000E4080"/>
    <w:rsid w:val="000E4B13"/>
    <w:rsid w:val="000E52D8"/>
    <w:rsid w:val="000E5B1F"/>
    <w:rsid w:val="000E733A"/>
    <w:rsid w:val="000F0AC2"/>
    <w:rsid w:val="000F0DB2"/>
    <w:rsid w:val="000F10B9"/>
    <w:rsid w:val="000F3F88"/>
    <w:rsid w:val="000F5D10"/>
    <w:rsid w:val="000F6E87"/>
    <w:rsid w:val="000F7F53"/>
    <w:rsid w:val="00101B47"/>
    <w:rsid w:val="001025CD"/>
    <w:rsid w:val="001029F4"/>
    <w:rsid w:val="00102FB6"/>
    <w:rsid w:val="00106A7D"/>
    <w:rsid w:val="00110509"/>
    <w:rsid w:val="00110772"/>
    <w:rsid w:val="00110B80"/>
    <w:rsid w:val="0011266F"/>
    <w:rsid w:val="001132D8"/>
    <w:rsid w:val="001135A4"/>
    <w:rsid w:val="00114CBE"/>
    <w:rsid w:val="0011613B"/>
    <w:rsid w:val="00117BD5"/>
    <w:rsid w:val="00117D56"/>
    <w:rsid w:val="001200FC"/>
    <w:rsid w:val="001206C8"/>
    <w:rsid w:val="001206FB"/>
    <w:rsid w:val="0012143E"/>
    <w:rsid w:val="001224BE"/>
    <w:rsid w:val="00125BDC"/>
    <w:rsid w:val="00126DDF"/>
    <w:rsid w:val="00127D7A"/>
    <w:rsid w:val="001304C9"/>
    <w:rsid w:val="001315C0"/>
    <w:rsid w:val="00132328"/>
    <w:rsid w:val="00132B36"/>
    <w:rsid w:val="00132ED5"/>
    <w:rsid w:val="00134825"/>
    <w:rsid w:val="00134881"/>
    <w:rsid w:val="00134F11"/>
    <w:rsid w:val="00137FBD"/>
    <w:rsid w:val="00141524"/>
    <w:rsid w:val="00141536"/>
    <w:rsid w:val="00141DE3"/>
    <w:rsid w:val="00141E16"/>
    <w:rsid w:val="00142B27"/>
    <w:rsid w:val="00144240"/>
    <w:rsid w:val="00144CAC"/>
    <w:rsid w:val="00144EAC"/>
    <w:rsid w:val="001450EC"/>
    <w:rsid w:val="001454BB"/>
    <w:rsid w:val="00145AF2"/>
    <w:rsid w:val="00145BCF"/>
    <w:rsid w:val="001502B3"/>
    <w:rsid w:val="00151D5D"/>
    <w:rsid w:val="001521A0"/>
    <w:rsid w:val="00152D73"/>
    <w:rsid w:val="0015377A"/>
    <w:rsid w:val="00155EAA"/>
    <w:rsid w:val="00157368"/>
    <w:rsid w:val="00162DD2"/>
    <w:rsid w:val="00162DE5"/>
    <w:rsid w:val="0016628D"/>
    <w:rsid w:val="001671AE"/>
    <w:rsid w:val="0016762E"/>
    <w:rsid w:val="00170CDB"/>
    <w:rsid w:val="00171042"/>
    <w:rsid w:val="00172D2B"/>
    <w:rsid w:val="001738F3"/>
    <w:rsid w:val="001756EA"/>
    <w:rsid w:val="00181674"/>
    <w:rsid w:val="00181E4B"/>
    <w:rsid w:val="00182145"/>
    <w:rsid w:val="00182789"/>
    <w:rsid w:val="001828DD"/>
    <w:rsid w:val="00182986"/>
    <w:rsid w:val="001853F7"/>
    <w:rsid w:val="001857DA"/>
    <w:rsid w:val="00185D79"/>
    <w:rsid w:val="00190668"/>
    <w:rsid w:val="00190D8E"/>
    <w:rsid w:val="001921AE"/>
    <w:rsid w:val="00192542"/>
    <w:rsid w:val="00193329"/>
    <w:rsid w:val="00193907"/>
    <w:rsid w:val="001979F8"/>
    <w:rsid w:val="001A0189"/>
    <w:rsid w:val="001A0A78"/>
    <w:rsid w:val="001A0B5D"/>
    <w:rsid w:val="001A0CA7"/>
    <w:rsid w:val="001A59DF"/>
    <w:rsid w:val="001A6208"/>
    <w:rsid w:val="001A6277"/>
    <w:rsid w:val="001B04D7"/>
    <w:rsid w:val="001B1824"/>
    <w:rsid w:val="001B27E9"/>
    <w:rsid w:val="001B2CA1"/>
    <w:rsid w:val="001B3153"/>
    <w:rsid w:val="001B3AE0"/>
    <w:rsid w:val="001B3DC8"/>
    <w:rsid w:val="001B6E68"/>
    <w:rsid w:val="001B7187"/>
    <w:rsid w:val="001B7319"/>
    <w:rsid w:val="001C296B"/>
    <w:rsid w:val="001C3F98"/>
    <w:rsid w:val="001C40C6"/>
    <w:rsid w:val="001C4611"/>
    <w:rsid w:val="001C482B"/>
    <w:rsid w:val="001C5364"/>
    <w:rsid w:val="001C55DF"/>
    <w:rsid w:val="001C5A1C"/>
    <w:rsid w:val="001C5B7F"/>
    <w:rsid w:val="001C6C69"/>
    <w:rsid w:val="001C6DCE"/>
    <w:rsid w:val="001D0441"/>
    <w:rsid w:val="001D1734"/>
    <w:rsid w:val="001D2D45"/>
    <w:rsid w:val="001D3FB2"/>
    <w:rsid w:val="001D636C"/>
    <w:rsid w:val="001D64D2"/>
    <w:rsid w:val="001D7970"/>
    <w:rsid w:val="001E0CA3"/>
    <w:rsid w:val="001E11D8"/>
    <w:rsid w:val="001E27E5"/>
    <w:rsid w:val="001E4460"/>
    <w:rsid w:val="001E44D3"/>
    <w:rsid w:val="001E45B4"/>
    <w:rsid w:val="001E46EA"/>
    <w:rsid w:val="001E6108"/>
    <w:rsid w:val="001E64EE"/>
    <w:rsid w:val="001E6B93"/>
    <w:rsid w:val="001F0A80"/>
    <w:rsid w:val="001F14F6"/>
    <w:rsid w:val="001F2E5F"/>
    <w:rsid w:val="001F3487"/>
    <w:rsid w:val="001F376B"/>
    <w:rsid w:val="001F382F"/>
    <w:rsid w:val="001F4C1C"/>
    <w:rsid w:val="001F6068"/>
    <w:rsid w:val="0020035C"/>
    <w:rsid w:val="00205621"/>
    <w:rsid w:val="00207EE9"/>
    <w:rsid w:val="00210172"/>
    <w:rsid w:val="002114C4"/>
    <w:rsid w:val="00211A1D"/>
    <w:rsid w:val="00212775"/>
    <w:rsid w:val="00212E45"/>
    <w:rsid w:val="00214621"/>
    <w:rsid w:val="00220323"/>
    <w:rsid w:val="002205E6"/>
    <w:rsid w:val="0022124C"/>
    <w:rsid w:val="002212C4"/>
    <w:rsid w:val="0022178B"/>
    <w:rsid w:val="0022247A"/>
    <w:rsid w:val="00222F3F"/>
    <w:rsid w:val="002231BF"/>
    <w:rsid w:val="0022338C"/>
    <w:rsid w:val="00223EF4"/>
    <w:rsid w:val="002253D7"/>
    <w:rsid w:val="00225AF5"/>
    <w:rsid w:val="00225FA1"/>
    <w:rsid w:val="0022758F"/>
    <w:rsid w:val="0022777A"/>
    <w:rsid w:val="00230824"/>
    <w:rsid w:val="00231487"/>
    <w:rsid w:val="0023257B"/>
    <w:rsid w:val="002328D5"/>
    <w:rsid w:val="002328FF"/>
    <w:rsid w:val="00232BAE"/>
    <w:rsid w:val="00233FF0"/>
    <w:rsid w:val="00234DF2"/>
    <w:rsid w:val="002351C2"/>
    <w:rsid w:val="00235C9E"/>
    <w:rsid w:val="00236946"/>
    <w:rsid w:val="002375C1"/>
    <w:rsid w:val="00237873"/>
    <w:rsid w:val="00237FCA"/>
    <w:rsid w:val="00240690"/>
    <w:rsid w:val="0024119E"/>
    <w:rsid w:val="002427B8"/>
    <w:rsid w:val="00242DA7"/>
    <w:rsid w:val="00243C8E"/>
    <w:rsid w:val="002450A6"/>
    <w:rsid w:val="0024642C"/>
    <w:rsid w:val="00246AAC"/>
    <w:rsid w:val="002507A6"/>
    <w:rsid w:val="00251873"/>
    <w:rsid w:val="00251889"/>
    <w:rsid w:val="002522BC"/>
    <w:rsid w:val="00252FE9"/>
    <w:rsid w:val="00253D0F"/>
    <w:rsid w:val="00255A8F"/>
    <w:rsid w:val="00255CED"/>
    <w:rsid w:val="00256EFF"/>
    <w:rsid w:val="00257271"/>
    <w:rsid w:val="002620FA"/>
    <w:rsid w:val="00264394"/>
    <w:rsid w:val="002645CF"/>
    <w:rsid w:val="002649B3"/>
    <w:rsid w:val="00264D05"/>
    <w:rsid w:val="00266B8C"/>
    <w:rsid w:val="00267A2E"/>
    <w:rsid w:val="0027063B"/>
    <w:rsid w:val="00270E53"/>
    <w:rsid w:val="002714CD"/>
    <w:rsid w:val="00271EA9"/>
    <w:rsid w:val="00272D4C"/>
    <w:rsid w:val="00272F51"/>
    <w:rsid w:val="00273165"/>
    <w:rsid w:val="00273253"/>
    <w:rsid w:val="002748FE"/>
    <w:rsid w:val="00274E29"/>
    <w:rsid w:val="002775AC"/>
    <w:rsid w:val="00280046"/>
    <w:rsid w:val="00280957"/>
    <w:rsid w:val="00282A32"/>
    <w:rsid w:val="00285459"/>
    <w:rsid w:val="002855BC"/>
    <w:rsid w:val="00286051"/>
    <w:rsid w:val="00286052"/>
    <w:rsid w:val="00286145"/>
    <w:rsid w:val="002878C3"/>
    <w:rsid w:val="00292002"/>
    <w:rsid w:val="002926CC"/>
    <w:rsid w:val="00296428"/>
    <w:rsid w:val="002A042D"/>
    <w:rsid w:val="002A3987"/>
    <w:rsid w:val="002A5132"/>
    <w:rsid w:val="002A5297"/>
    <w:rsid w:val="002A62C6"/>
    <w:rsid w:val="002A7AD6"/>
    <w:rsid w:val="002A7B7C"/>
    <w:rsid w:val="002A7FDC"/>
    <w:rsid w:val="002B1C54"/>
    <w:rsid w:val="002B4371"/>
    <w:rsid w:val="002B498D"/>
    <w:rsid w:val="002B49B9"/>
    <w:rsid w:val="002B4AE4"/>
    <w:rsid w:val="002B4E18"/>
    <w:rsid w:val="002B52FE"/>
    <w:rsid w:val="002B570E"/>
    <w:rsid w:val="002B62EC"/>
    <w:rsid w:val="002B6379"/>
    <w:rsid w:val="002B6DAA"/>
    <w:rsid w:val="002C1E20"/>
    <w:rsid w:val="002C2502"/>
    <w:rsid w:val="002C37D9"/>
    <w:rsid w:val="002C413A"/>
    <w:rsid w:val="002C55C3"/>
    <w:rsid w:val="002C5898"/>
    <w:rsid w:val="002C6581"/>
    <w:rsid w:val="002C6696"/>
    <w:rsid w:val="002D027C"/>
    <w:rsid w:val="002D03ED"/>
    <w:rsid w:val="002D1129"/>
    <w:rsid w:val="002D14DB"/>
    <w:rsid w:val="002D25E7"/>
    <w:rsid w:val="002D31DA"/>
    <w:rsid w:val="002D3B15"/>
    <w:rsid w:val="002D47EA"/>
    <w:rsid w:val="002D690D"/>
    <w:rsid w:val="002D6A59"/>
    <w:rsid w:val="002D7086"/>
    <w:rsid w:val="002E0E0E"/>
    <w:rsid w:val="002E180F"/>
    <w:rsid w:val="002E1CD9"/>
    <w:rsid w:val="002E1D17"/>
    <w:rsid w:val="002E55E3"/>
    <w:rsid w:val="002E688F"/>
    <w:rsid w:val="002E704F"/>
    <w:rsid w:val="002F14AC"/>
    <w:rsid w:val="002F182D"/>
    <w:rsid w:val="002F1872"/>
    <w:rsid w:val="002F1C5B"/>
    <w:rsid w:val="002F3CC8"/>
    <w:rsid w:val="002F4CE9"/>
    <w:rsid w:val="002F5053"/>
    <w:rsid w:val="002F56D1"/>
    <w:rsid w:val="0030011E"/>
    <w:rsid w:val="003002D9"/>
    <w:rsid w:val="00301E35"/>
    <w:rsid w:val="00305485"/>
    <w:rsid w:val="00306897"/>
    <w:rsid w:val="00306A83"/>
    <w:rsid w:val="00307269"/>
    <w:rsid w:val="003072AA"/>
    <w:rsid w:val="003072D1"/>
    <w:rsid w:val="0031142B"/>
    <w:rsid w:val="003133B6"/>
    <w:rsid w:val="00313ED0"/>
    <w:rsid w:val="003142CA"/>
    <w:rsid w:val="00314DA3"/>
    <w:rsid w:val="003168E9"/>
    <w:rsid w:val="00317609"/>
    <w:rsid w:val="00317AB4"/>
    <w:rsid w:val="00317E27"/>
    <w:rsid w:val="00320907"/>
    <w:rsid w:val="003228AD"/>
    <w:rsid w:val="003230E8"/>
    <w:rsid w:val="00323412"/>
    <w:rsid w:val="003234CC"/>
    <w:rsid w:val="0032355E"/>
    <w:rsid w:val="003235B6"/>
    <w:rsid w:val="00323DD6"/>
    <w:rsid w:val="00324135"/>
    <w:rsid w:val="00324717"/>
    <w:rsid w:val="003263AE"/>
    <w:rsid w:val="0032755B"/>
    <w:rsid w:val="00330656"/>
    <w:rsid w:val="00333C7E"/>
    <w:rsid w:val="003365EF"/>
    <w:rsid w:val="003408B3"/>
    <w:rsid w:val="00341159"/>
    <w:rsid w:val="00341709"/>
    <w:rsid w:val="00341C25"/>
    <w:rsid w:val="00347FEC"/>
    <w:rsid w:val="00351C84"/>
    <w:rsid w:val="00352140"/>
    <w:rsid w:val="003531F4"/>
    <w:rsid w:val="00353876"/>
    <w:rsid w:val="00353DA0"/>
    <w:rsid w:val="00354FA7"/>
    <w:rsid w:val="003560F2"/>
    <w:rsid w:val="00360377"/>
    <w:rsid w:val="00361B99"/>
    <w:rsid w:val="00361E20"/>
    <w:rsid w:val="00362B25"/>
    <w:rsid w:val="00363C0B"/>
    <w:rsid w:val="00364B72"/>
    <w:rsid w:val="00365626"/>
    <w:rsid w:val="00367B9A"/>
    <w:rsid w:val="00371002"/>
    <w:rsid w:val="00371890"/>
    <w:rsid w:val="003719D4"/>
    <w:rsid w:val="00371C07"/>
    <w:rsid w:val="0037284B"/>
    <w:rsid w:val="003747B8"/>
    <w:rsid w:val="00377725"/>
    <w:rsid w:val="00377E40"/>
    <w:rsid w:val="003805D9"/>
    <w:rsid w:val="003808A3"/>
    <w:rsid w:val="00383C62"/>
    <w:rsid w:val="00385D9C"/>
    <w:rsid w:val="00386EB6"/>
    <w:rsid w:val="003877F6"/>
    <w:rsid w:val="003904A9"/>
    <w:rsid w:val="00390826"/>
    <w:rsid w:val="0039197D"/>
    <w:rsid w:val="00391CE9"/>
    <w:rsid w:val="00391FFB"/>
    <w:rsid w:val="003923B3"/>
    <w:rsid w:val="0039476B"/>
    <w:rsid w:val="00394918"/>
    <w:rsid w:val="00394B29"/>
    <w:rsid w:val="003955C7"/>
    <w:rsid w:val="00396123"/>
    <w:rsid w:val="00396D07"/>
    <w:rsid w:val="00397572"/>
    <w:rsid w:val="003A013A"/>
    <w:rsid w:val="003A0965"/>
    <w:rsid w:val="003A1185"/>
    <w:rsid w:val="003A1342"/>
    <w:rsid w:val="003A15BC"/>
    <w:rsid w:val="003A49A2"/>
    <w:rsid w:val="003A5401"/>
    <w:rsid w:val="003A5FA5"/>
    <w:rsid w:val="003B2ADF"/>
    <w:rsid w:val="003B2FB5"/>
    <w:rsid w:val="003B3330"/>
    <w:rsid w:val="003B38A2"/>
    <w:rsid w:val="003B4244"/>
    <w:rsid w:val="003B4A3F"/>
    <w:rsid w:val="003B5C0F"/>
    <w:rsid w:val="003B6F45"/>
    <w:rsid w:val="003B6F81"/>
    <w:rsid w:val="003B72D1"/>
    <w:rsid w:val="003B78D9"/>
    <w:rsid w:val="003C0C16"/>
    <w:rsid w:val="003C0DEF"/>
    <w:rsid w:val="003C12A9"/>
    <w:rsid w:val="003C1C50"/>
    <w:rsid w:val="003C1CF6"/>
    <w:rsid w:val="003C2BBC"/>
    <w:rsid w:val="003C3A92"/>
    <w:rsid w:val="003C4F1D"/>
    <w:rsid w:val="003C519C"/>
    <w:rsid w:val="003C7A86"/>
    <w:rsid w:val="003D0F12"/>
    <w:rsid w:val="003D22DF"/>
    <w:rsid w:val="003D22F4"/>
    <w:rsid w:val="003D2333"/>
    <w:rsid w:val="003D3366"/>
    <w:rsid w:val="003D409B"/>
    <w:rsid w:val="003D4945"/>
    <w:rsid w:val="003D4C15"/>
    <w:rsid w:val="003D57E0"/>
    <w:rsid w:val="003D751E"/>
    <w:rsid w:val="003D7F25"/>
    <w:rsid w:val="003E18A8"/>
    <w:rsid w:val="003E2306"/>
    <w:rsid w:val="003E462E"/>
    <w:rsid w:val="003E5ACE"/>
    <w:rsid w:val="003E67EE"/>
    <w:rsid w:val="003F07D0"/>
    <w:rsid w:val="003F177F"/>
    <w:rsid w:val="003F1E23"/>
    <w:rsid w:val="003F2776"/>
    <w:rsid w:val="003F349F"/>
    <w:rsid w:val="003F386E"/>
    <w:rsid w:val="003F3BCE"/>
    <w:rsid w:val="003F6B62"/>
    <w:rsid w:val="003F6CCE"/>
    <w:rsid w:val="003F7679"/>
    <w:rsid w:val="004002E2"/>
    <w:rsid w:val="00400C83"/>
    <w:rsid w:val="00400E3E"/>
    <w:rsid w:val="0040129C"/>
    <w:rsid w:val="00402145"/>
    <w:rsid w:val="004021A1"/>
    <w:rsid w:val="0040227C"/>
    <w:rsid w:val="00402CA9"/>
    <w:rsid w:val="00402E1A"/>
    <w:rsid w:val="00403775"/>
    <w:rsid w:val="00403923"/>
    <w:rsid w:val="0040441F"/>
    <w:rsid w:val="00404769"/>
    <w:rsid w:val="0040499B"/>
    <w:rsid w:val="0040543F"/>
    <w:rsid w:val="004072D6"/>
    <w:rsid w:val="00410BC0"/>
    <w:rsid w:val="00410BEF"/>
    <w:rsid w:val="004113A8"/>
    <w:rsid w:val="00411EE2"/>
    <w:rsid w:val="00412F8F"/>
    <w:rsid w:val="00413C16"/>
    <w:rsid w:val="00414C9A"/>
    <w:rsid w:val="00415054"/>
    <w:rsid w:val="004157F5"/>
    <w:rsid w:val="00415F2B"/>
    <w:rsid w:val="00417C69"/>
    <w:rsid w:val="004206A7"/>
    <w:rsid w:val="0042294F"/>
    <w:rsid w:val="00424F97"/>
    <w:rsid w:val="004251BE"/>
    <w:rsid w:val="00430A8A"/>
    <w:rsid w:val="00432416"/>
    <w:rsid w:val="00434B6D"/>
    <w:rsid w:val="00434E04"/>
    <w:rsid w:val="00435ECC"/>
    <w:rsid w:val="0043602E"/>
    <w:rsid w:val="004372D9"/>
    <w:rsid w:val="0044110A"/>
    <w:rsid w:val="0044161E"/>
    <w:rsid w:val="00444BF0"/>
    <w:rsid w:val="00444DF8"/>
    <w:rsid w:val="0044587B"/>
    <w:rsid w:val="004459C2"/>
    <w:rsid w:val="00445FE3"/>
    <w:rsid w:val="0045043D"/>
    <w:rsid w:val="0045045E"/>
    <w:rsid w:val="0045086F"/>
    <w:rsid w:val="00450E9E"/>
    <w:rsid w:val="0045102F"/>
    <w:rsid w:val="00451D32"/>
    <w:rsid w:val="0045229B"/>
    <w:rsid w:val="00452BFE"/>
    <w:rsid w:val="0045349D"/>
    <w:rsid w:val="004534B5"/>
    <w:rsid w:val="00453996"/>
    <w:rsid w:val="0045484A"/>
    <w:rsid w:val="00455127"/>
    <w:rsid w:val="00455EDE"/>
    <w:rsid w:val="00456C71"/>
    <w:rsid w:val="0046020B"/>
    <w:rsid w:val="004602FF"/>
    <w:rsid w:val="00463F44"/>
    <w:rsid w:val="00464780"/>
    <w:rsid w:val="00466CDA"/>
    <w:rsid w:val="004671D5"/>
    <w:rsid w:val="00467BA9"/>
    <w:rsid w:val="004701DC"/>
    <w:rsid w:val="00470ACA"/>
    <w:rsid w:val="00474B7C"/>
    <w:rsid w:val="004752AE"/>
    <w:rsid w:val="00475DDF"/>
    <w:rsid w:val="00476323"/>
    <w:rsid w:val="0047662E"/>
    <w:rsid w:val="00477D6B"/>
    <w:rsid w:val="00480B1D"/>
    <w:rsid w:val="00481AF1"/>
    <w:rsid w:val="00481C2B"/>
    <w:rsid w:val="0048200F"/>
    <w:rsid w:val="0048238C"/>
    <w:rsid w:val="004838FD"/>
    <w:rsid w:val="00483BE4"/>
    <w:rsid w:val="0048426B"/>
    <w:rsid w:val="00484568"/>
    <w:rsid w:val="0048588F"/>
    <w:rsid w:val="00487F8E"/>
    <w:rsid w:val="00490FF4"/>
    <w:rsid w:val="004912CF"/>
    <w:rsid w:val="00492166"/>
    <w:rsid w:val="00493777"/>
    <w:rsid w:val="00493D19"/>
    <w:rsid w:val="00495F18"/>
    <w:rsid w:val="00496C0B"/>
    <w:rsid w:val="004A10F4"/>
    <w:rsid w:val="004A2AC7"/>
    <w:rsid w:val="004A40C5"/>
    <w:rsid w:val="004A4FC9"/>
    <w:rsid w:val="004A52B7"/>
    <w:rsid w:val="004A57ED"/>
    <w:rsid w:val="004A5D53"/>
    <w:rsid w:val="004B0180"/>
    <w:rsid w:val="004B04DE"/>
    <w:rsid w:val="004B07F1"/>
    <w:rsid w:val="004B1006"/>
    <w:rsid w:val="004B1E83"/>
    <w:rsid w:val="004B219C"/>
    <w:rsid w:val="004B591E"/>
    <w:rsid w:val="004B76A5"/>
    <w:rsid w:val="004C0F42"/>
    <w:rsid w:val="004C24BB"/>
    <w:rsid w:val="004C2AEB"/>
    <w:rsid w:val="004C3C90"/>
    <w:rsid w:val="004C429F"/>
    <w:rsid w:val="004C4CD4"/>
    <w:rsid w:val="004C55DC"/>
    <w:rsid w:val="004C67BA"/>
    <w:rsid w:val="004C7840"/>
    <w:rsid w:val="004C7CC1"/>
    <w:rsid w:val="004D01A7"/>
    <w:rsid w:val="004D09C5"/>
    <w:rsid w:val="004D0F2D"/>
    <w:rsid w:val="004D1BBF"/>
    <w:rsid w:val="004D1CE4"/>
    <w:rsid w:val="004D23E0"/>
    <w:rsid w:val="004D3596"/>
    <w:rsid w:val="004D3CE0"/>
    <w:rsid w:val="004E00D2"/>
    <w:rsid w:val="004E06C1"/>
    <w:rsid w:val="004E19C8"/>
    <w:rsid w:val="004E285C"/>
    <w:rsid w:val="004E4993"/>
    <w:rsid w:val="004E6606"/>
    <w:rsid w:val="004E7B84"/>
    <w:rsid w:val="004F1F20"/>
    <w:rsid w:val="004F5DE7"/>
    <w:rsid w:val="004F7233"/>
    <w:rsid w:val="004F7D37"/>
    <w:rsid w:val="00501B2C"/>
    <w:rsid w:val="00501F18"/>
    <w:rsid w:val="00504E8E"/>
    <w:rsid w:val="005067A5"/>
    <w:rsid w:val="005068C3"/>
    <w:rsid w:val="005107AE"/>
    <w:rsid w:val="0051135B"/>
    <w:rsid w:val="00511ABE"/>
    <w:rsid w:val="00512C11"/>
    <w:rsid w:val="00513529"/>
    <w:rsid w:val="005149FA"/>
    <w:rsid w:val="00517D30"/>
    <w:rsid w:val="00520005"/>
    <w:rsid w:val="005202B9"/>
    <w:rsid w:val="00530A65"/>
    <w:rsid w:val="0053170A"/>
    <w:rsid w:val="005325F6"/>
    <w:rsid w:val="005330CB"/>
    <w:rsid w:val="00533DEA"/>
    <w:rsid w:val="00534BEF"/>
    <w:rsid w:val="00536C11"/>
    <w:rsid w:val="00536CB0"/>
    <w:rsid w:val="005401AA"/>
    <w:rsid w:val="005405F3"/>
    <w:rsid w:val="0054125B"/>
    <w:rsid w:val="00542220"/>
    <w:rsid w:val="005427EA"/>
    <w:rsid w:val="005430ED"/>
    <w:rsid w:val="00545753"/>
    <w:rsid w:val="00546207"/>
    <w:rsid w:val="0054767E"/>
    <w:rsid w:val="00547BEA"/>
    <w:rsid w:val="00550FE3"/>
    <w:rsid w:val="00551AB7"/>
    <w:rsid w:val="005522F1"/>
    <w:rsid w:val="00552CA9"/>
    <w:rsid w:val="00555D66"/>
    <w:rsid w:val="005560AA"/>
    <w:rsid w:val="00556774"/>
    <w:rsid w:val="00560F15"/>
    <w:rsid w:val="00561F60"/>
    <w:rsid w:val="00562D1C"/>
    <w:rsid w:val="0056396E"/>
    <w:rsid w:val="005648CB"/>
    <w:rsid w:val="005656A9"/>
    <w:rsid w:val="005657D8"/>
    <w:rsid w:val="00566828"/>
    <w:rsid w:val="00570196"/>
    <w:rsid w:val="00570A01"/>
    <w:rsid w:val="0057108C"/>
    <w:rsid w:val="00571CA9"/>
    <w:rsid w:val="005720C2"/>
    <w:rsid w:val="00572687"/>
    <w:rsid w:val="00572974"/>
    <w:rsid w:val="005730E3"/>
    <w:rsid w:val="00573771"/>
    <w:rsid w:val="00576AEE"/>
    <w:rsid w:val="00577D3D"/>
    <w:rsid w:val="00583182"/>
    <w:rsid w:val="005835CE"/>
    <w:rsid w:val="00585EAE"/>
    <w:rsid w:val="00587725"/>
    <w:rsid w:val="00587897"/>
    <w:rsid w:val="00592D6F"/>
    <w:rsid w:val="00593161"/>
    <w:rsid w:val="00594017"/>
    <w:rsid w:val="00594BC7"/>
    <w:rsid w:val="00594DA1"/>
    <w:rsid w:val="00595C1F"/>
    <w:rsid w:val="0059624E"/>
    <w:rsid w:val="00596D9C"/>
    <w:rsid w:val="0059787E"/>
    <w:rsid w:val="00597CF4"/>
    <w:rsid w:val="005A23E7"/>
    <w:rsid w:val="005A2A38"/>
    <w:rsid w:val="005A2E58"/>
    <w:rsid w:val="005A48D2"/>
    <w:rsid w:val="005A645A"/>
    <w:rsid w:val="005A6F02"/>
    <w:rsid w:val="005A7B9B"/>
    <w:rsid w:val="005B0561"/>
    <w:rsid w:val="005B05D5"/>
    <w:rsid w:val="005B1796"/>
    <w:rsid w:val="005B466F"/>
    <w:rsid w:val="005B4CA6"/>
    <w:rsid w:val="005C0A8B"/>
    <w:rsid w:val="005C0F8E"/>
    <w:rsid w:val="005C58A5"/>
    <w:rsid w:val="005C618A"/>
    <w:rsid w:val="005C632B"/>
    <w:rsid w:val="005C6CDA"/>
    <w:rsid w:val="005C6F62"/>
    <w:rsid w:val="005C7A09"/>
    <w:rsid w:val="005C7FA2"/>
    <w:rsid w:val="005D01B3"/>
    <w:rsid w:val="005D08D3"/>
    <w:rsid w:val="005D1203"/>
    <w:rsid w:val="005D166D"/>
    <w:rsid w:val="005D337D"/>
    <w:rsid w:val="005D4770"/>
    <w:rsid w:val="005D6986"/>
    <w:rsid w:val="005D7148"/>
    <w:rsid w:val="005D75FE"/>
    <w:rsid w:val="005D76E1"/>
    <w:rsid w:val="005E1269"/>
    <w:rsid w:val="005E1A50"/>
    <w:rsid w:val="005E2549"/>
    <w:rsid w:val="005E3EFB"/>
    <w:rsid w:val="005E4471"/>
    <w:rsid w:val="005E4499"/>
    <w:rsid w:val="005F2673"/>
    <w:rsid w:val="005F4BD8"/>
    <w:rsid w:val="005F4E01"/>
    <w:rsid w:val="005F52A0"/>
    <w:rsid w:val="005F5326"/>
    <w:rsid w:val="005F5BBA"/>
    <w:rsid w:val="005F63E4"/>
    <w:rsid w:val="005F64C2"/>
    <w:rsid w:val="005F675D"/>
    <w:rsid w:val="005F6B9A"/>
    <w:rsid w:val="005F6D3C"/>
    <w:rsid w:val="006004F5"/>
    <w:rsid w:val="00600B6A"/>
    <w:rsid w:val="0060196B"/>
    <w:rsid w:val="0060279A"/>
    <w:rsid w:val="006028A1"/>
    <w:rsid w:val="006029D3"/>
    <w:rsid w:val="00603233"/>
    <w:rsid w:val="0060409F"/>
    <w:rsid w:val="0060506E"/>
    <w:rsid w:val="00605186"/>
    <w:rsid w:val="00605679"/>
    <w:rsid w:val="00606901"/>
    <w:rsid w:val="00606AC1"/>
    <w:rsid w:val="00607B01"/>
    <w:rsid w:val="00610A09"/>
    <w:rsid w:val="00611A59"/>
    <w:rsid w:val="00612FD4"/>
    <w:rsid w:val="00614489"/>
    <w:rsid w:val="00615CF7"/>
    <w:rsid w:val="0061681C"/>
    <w:rsid w:val="0061708C"/>
    <w:rsid w:val="00617685"/>
    <w:rsid w:val="00617F13"/>
    <w:rsid w:val="006201D8"/>
    <w:rsid w:val="00620826"/>
    <w:rsid w:val="00620D58"/>
    <w:rsid w:val="006228B1"/>
    <w:rsid w:val="00622BC8"/>
    <w:rsid w:val="0062369B"/>
    <w:rsid w:val="00624DBA"/>
    <w:rsid w:val="0062709E"/>
    <w:rsid w:val="0062768A"/>
    <w:rsid w:val="00627953"/>
    <w:rsid w:val="00627D18"/>
    <w:rsid w:val="00630467"/>
    <w:rsid w:val="006310B1"/>
    <w:rsid w:val="00631C54"/>
    <w:rsid w:val="00631DF1"/>
    <w:rsid w:val="006328BA"/>
    <w:rsid w:val="00635BF9"/>
    <w:rsid w:val="0063601D"/>
    <w:rsid w:val="006362EE"/>
    <w:rsid w:val="006376CD"/>
    <w:rsid w:val="0063791D"/>
    <w:rsid w:val="0064067E"/>
    <w:rsid w:val="00641620"/>
    <w:rsid w:val="00641C8C"/>
    <w:rsid w:val="006438B0"/>
    <w:rsid w:val="00646C8B"/>
    <w:rsid w:val="00650AAB"/>
    <w:rsid w:val="0065155B"/>
    <w:rsid w:val="0065190B"/>
    <w:rsid w:val="006520CB"/>
    <w:rsid w:val="00652555"/>
    <w:rsid w:val="00652AF6"/>
    <w:rsid w:val="0065381F"/>
    <w:rsid w:val="006579B5"/>
    <w:rsid w:val="00660B0B"/>
    <w:rsid w:val="00661021"/>
    <w:rsid w:val="00661189"/>
    <w:rsid w:val="0066248C"/>
    <w:rsid w:val="0066463D"/>
    <w:rsid w:val="00664D37"/>
    <w:rsid w:val="0066500F"/>
    <w:rsid w:val="00665E1F"/>
    <w:rsid w:val="00666C88"/>
    <w:rsid w:val="00667C13"/>
    <w:rsid w:val="006703B4"/>
    <w:rsid w:val="00670E4D"/>
    <w:rsid w:val="0067530C"/>
    <w:rsid w:val="00676716"/>
    <w:rsid w:val="006770E7"/>
    <w:rsid w:val="00677510"/>
    <w:rsid w:val="00677BEF"/>
    <w:rsid w:val="0068158A"/>
    <w:rsid w:val="006817AB"/>
    <w:rsid w:val="00682D30"/>
    <w:rsid w:val="006909CF"/>
    <w:rsid w:val="0069190D"/>
    <w:rsid w:val="00693148"/>
    <w:rsid w:val="0069541C"/>
    <w:rsid w:val="0069785F"/>
    <w:rsid w:val="006A0CF1"/>
    <w:rsid w:val="006A2576"/>
    <w:rsid w:val="006A4C3B"/>
    <w:rsid w:val="006B3F4C"/>
    <w:rsid w:val="006B423B"/>
    <w:rsid w:val="006B44B9"/>
    <w:rsid w:val="006B4E2B"/>
    <w:rsid w:val="006B4E65"/>
    <w:rsid w:val="006C0EDA"/>
    <w:rsid w:val="006C11D3"/>
    <w:rsid w:val="006C1C1A"/>
    <w:rsid w:val="006C29E3"/>
    <w:rsid w:val="006C2ED4"/>
    <w:rsid w:val="006C3C83"/>
    <w:rsid w:val="006C46E6"/>
    <w:rsid w:val="006C7064"/>
    <w:rsid w:val="006C7ECD"/>
    <w:rsid w:val="006D0061"/>
    <w:rsid w:val="006D0697"/>
    <w:rsid w:val="006D4687"/>
    <w:rsid w:val="006D5E0E"/>
    <w:rsid w:val="006D6E91"/>
    <w:rsid w:val="006D75D8"/>
    <w:rsid w:val="006E4371"/>
    <w:rsid w:val="006E4563"/>
    <w:rsid w:val="006E6F4A"/>
    <w:rsid w:val="006F005D"/>
    <w:rsid w:val="006F0AD2"/>
    <w:rsid w:val="006F0DEB"/>
    <w:rsid w:val="006F39C3"/>
    <w:rsid w:val="006F4129"/>
    <w:rsid w:val="006F4FF9"/>
    <w:rsid w:val="006F58AD"/>
    <w:rsid w:val="006F6629"/>
    <w:rsid w:val="006F6F12"/>
    <w:rsid w:val="00700E79"/>
    <w:rsid w:val="00704DE4"/>
    <w:rsid w:val="00705529"/>
    <w:rsid w:val="00705711"/>
    <w:rsid w:val="007070B2"/>
    <w:rsid w:val="007118EF"/>
    <w:rsid w:val="00711A2D"/>
    <w:rsid w:val="007129A3"/>
    <w:rsid w:val="00713110"/>
    <w:rsid w:val="00713111"/>
    <w:rsid w:val="00713552"/>
    <w:rsid w:val="00715AA9"/>
    <w:rsid w:val="00715D91"/>
    <w:rsid w:val="00720086"/>
    <w:rsid w:val="00720E4D"/>
    <w:rsid w:val="007211AA"/>
    <w:rsid w:val="007214FF"/>
    <w:rsid w:val="00722D86"/>
    <w:rsid w:val="00723A88"/>
    <w:rsid w:val="00723B4D"/>
    <w:rsid w:val="00723CC9"/>
    <w:rsid w:val="00724A4E"/>
    <w:rsid w:val="0072610B"/>
    <w:rsid w:val="00727F44"/>
    <w:rsid w:val="007310B1"/>
    <w:rsid w:val="00732958"/>
    <w:rsid w:val="0073374A"/>
    <w:rsid w:val="0073527E"/>
    <w:rsid w:val="0073556B"/>
    <w:rsid w:val="007357D8"/>
    <w:rsid w:val="0073646B"/>
    <w:rsid w:val="00737455"/>
    <w:rsid w:val="00737964"/>
    <w:rsid w:val="00737BEC"/>
    <w:rsid w:val="007413C3"/>
    <w:rsid w:val="00742D58"/>
    <w:rsid w:val="00742FC7"/>
    <w:rsid w:val="00743130"/>
    <w:rsid w:val="00743A86"/>
    <w:rsid w:val="00743B19"/>
    <w:rsid w:val="0074510A"/>
    <w:rsid w:val="00745112"/>
    <w:rsid w:val="007460A5"/>
    <w:rsid w:val="007463FF"/>
    <w:rsid w:val="0074746E"/>
    <w:rsid w:val="007477E3"/>
    <w:rsid w:val="007505EE"/>
    <w:rsid w:val="00750BEF"/>
    <w:rsid w:val="00751D8C"/>
    <w:rsid w:val="007539DC"/>
    <w:rsid w:val="00755366"/>
    <w:rsid w:val="0075550B"/>
    <w:rsid w:val="00755582"/>
    <w:rsid w:val="007556B2"/>
    <w:rsid w:val="007568D1"/>
    <w:rsid w:val="00756EFA"/>
    <w:rsid w:val="00760314"/>
    <w:rsid w:val="00760523"/>
    <w:rsid w:val="00762606"/>
    <w:rsid w:val="007632E1"/>
    <w:rsid w:val="00764A71"/>
    <w:rsid w:val="00764FC9"/>
    <w:rsid w:val="007651ED"/>
    <w:rsid w:val="00765CDE"/>
    <w:rsid w:val="00765DB8"/>
    <w:rsid w:val="00766ECE"/>
    <w:rsid w:val="00766FF2"/>
    <w:rsid w:val="00767171"/>
    <w:rsid w:val="0077364E"/>
    <w:rsid w:val="00773B26"/>
    <w:rsid w:val="00773B4A"/>
    <w:rsid w:val="00776134"/>
    <w:rsid w:val="0077757C"/>
    <w:rsid w:val="00780792"/>
    <w:rsid w:val="00780FF2"/>
    <w:rsid w:val="00782294"/>
    <w:rsid w:val="0078338D"/>
    <w:rsid w:val="00783C8F"/>
    <w:rsid w:val="007858EB"/>
    <w:rsid w:val="0078625E"/>
    <w:rsid w:val="00786A02"/>
    <w:rsid w:val="00787614"/>
    <w:rsid w:val="00790DA3"/>
    <w:rsid w:val="0079287A"/>
    <w:rsid w:val="00793129"/>
    <w:rsid w:val="00793AAE"/>
    <w:rsid w:val="00794D8F"/>
    <w:rsid w:val="00795175"/>
    <w:rsid w:val="007958FA"/>
    <w:rsid w:val="0079761E"/>
    <w:rsid w:val="00797651"/>
    <w:rsid w:val="007A1688"/>
    <w:rsid w:val="007A234C"/>
    <w:rsid w:val="007A25C9"/>
    <w:rsid w:val="007A2631"/>
    <w:rsid w:val="007A46EF"/>
    <w:rsid w:val="007A689D"/>
    <w:rsid w:val="007B0044"/>
    <w:rsid w:val="007B082A"/>
    <w:rsid w:val="007B0833"/>
    <w:rsid w:val="007B1D07"/>
    <w:rsid w:val="007B3793"/>
    <w:rsid w:val="007B3F67"/>
    <w:rsid w:val="007B4D12"/>
    <w:rsid w:val="007B6731"/>
    <w:rsid w:val="007C1FFB"/>
    <w:rsid w:val="007C2717"/>
    <w:rsid w:val="007C2F22"/>
    <w:rsid w:val="007C4A7F"/>
    <w:rsid w:val="007C4D8C"/>
    <w:rsid w:val="007C6259"/>
    <w:rsid w:val="007D1CA6"/>
    <w:rsid w:val="007D4816"/>
    <w:rsid w:val="007D52BE"/>
    <w:rsid w:val="007D59DA"/>
    <w:rsid w:val="007D6F58"/>
    <w:rsid w:val="007E1059"/>
    <w:rsid w:val="007E11B4"/>
    <w:rsid w:val="007E1236"/>
    <w:rsid w:val="007E14BA"/>
    <w:rsid w:val="007E19E9"/>
    <w:rsid w:val="007E1F71"/>
    <w:rsid w:val="007E2BEA"/>
    <w:rsid w:val="007E3ADF"/>
    <w:rsid w:val="007E4D69"/>
    <w:rsid w:val="007E688F"/>
    <w:rsid w:val="007E6C35"/>
    <w:rsid w:val="007F0679"/>
    <w:rsid w:val="007F3058"/>
    <w:rsid w:val="007F3163"/>
    <w:rsid w:val="007F4230"/>
    <w:rsid w:val="00800B88"/>
    <w:rsid w:val="00800E30"/>
    <w:rsid w:val="008015F8"/>
    <w:rsid w:val="008017E8"/>
    <w:rsid w:val="008024B7"/>
    <w:rsid w:val="008058C0"/>
    <w:rsid w:val="008062F1"/>
    <w:rsid w:val="00811541"/>
    <w:rsid w:val="00812422"/>
    <w:rsid w:val="00812C7B"/>
    <w:rsid w:val="00813512"/>
    <w:rsid w:val="0081470A"/>
    <w:rsid w:val="00815672"/>
    <w:rsid w:val="00816C5A"/>
    <w:rsid w:val="0082193D"/>
    <w:rsid w:val="00822B4B"/>
    <w:rsid w:val="008241F7"/>
    <w:rsid w:val="00825E39"/>
    <w:rsid w:val="008266B5"/>
    <w:rsid w:val="00826BD9"/>
    <w:rsid w:val="0083042E"/>
    <w:rsid w:val="00830785"/>
    <w:rsid w:val="0083103A"/>
    <w:rsid w:val="008355B3"/>
    <w:rsid w:val="00837545"/>
    <w:rsid w:val="0084001D"/>
    <w:rsid w:val="00840EEF"/>
    <w:rsid w:val="00841505"/>
    <w:rsid w:val="008416FE"/>
    <w:rsid w:val="00841EE9"/>
    <w:rsid w:val="008432F7"/>
    <w:rsid w:val="00844A42"/>
    <w:rsid w:val="00845FF8"/>
    <w:rsid w:val="0084619F"/>
    <w:rsid w:val="00846ABF"/>
    <w:rsid w:val="00846FDF"/>
    <w:rsid w:val="00850130"/>
    <w:rsid w:val="00851BA1"/>
    <w:rsid w:val="008527CD"/>
    <w:rsid w:val="00852DE1"/>
    <w:rsid w:val="00853CE9"/>
    <w:rsid w:val="00854FD3"/>
    <w:rsid w:val="00855411"/>
    <w:rsid w:val="00855443"/>
    <w:rsid w:val="00855502"/>
    <w:rsid w:val="00855BC8"/>
    <w:rsid w:val="00861DA7"/>
    <w:rsid w:val="00862555"/>
    <w:rsid w:val="008625E8"/>
    <w:rsid w:val="0086480D"/>
    <w:rsid w:val="008653D7"/>
    <w:rsid w:val="00865513"/>
    <w:rsid w:val="00866061"/>
    <w:rsid w:val="00866860"/>
    <w:rsid w:val="008714D9"/>
    <w:rsid w:val="00871E43"/>
    <w:rsid w:val="008722D9"/>
    <w:rsid w:val="00872AEA"/>
    <w:rsid w:val="00872AED"/>
    <w:rsid w:val="008734AF"/>
    <w:rsid w:val="0087490B"/>
    <w:rsid w:val="00875F4E"/>
    <w:rsid w:val="008772AD"/>
    <w:rsid w:val="00877EAA"/>
    <w:rsid w:val="008826CF"/>
    <w:rsid w:val="008828CF"/>
    <w:rsid w:val="008831FC"/>
    <w:rsid w:val="00883A14"/>
    <w:rsid w:val="00884619"/>
    <w:rsid w:val="008849FF"/>
    <w:rsid w:val="00887CCE"/>
    <w:rsid w:val="00892DFB"/>
    <w:rsid w:val="00893884"/>
    <w:rsid w:val="00893A9E"/>
    <w:rsid w:val="00893E6F"/>
    <w:rsid w:val="0089418C"/>
    <w:rsid w:val="00897C7E"/>
    <w:rsid w:val="008A087E"/>
    <w:rsid w:val="008A14FE"/>
    <w:rsid w:val="008A1B44"/>
    <w:rsid w:val="008A3337"/>
    <w:rsid w:val="008A5947"/>
    <w:rsid w:val="008A5B90"/>
    <w:rsid w:val="008A6C85"/>
    <w:rsid w:val="008A6D56"/>
    <w:rsid w:val="008B2D4D"/>
    <w:rsid w:val="008B6221"/>
    <w:rsid w:val="008B65A5"/>
    <w:rsid w:val="008B6D0A"/>
    <w:rsid w:val="008B6D39"/>
    <w:rsid w:val="008B6D51"/>
    <w:rsid w:val="008B729D"/>
    <w:rsid w:val="008B76BA"/>
    <w:rsid w:val="008C111C"/>
    <w:rsid w:val="008C556C"/>
    <w:rsid w:val="008C5E2F"/>
    <w:rsid w:val="008C6E48"/>
    <w:rsid w:val="008C6FE9"/>
    <w:rsid w:val="008D091B"/>
    <w:rsid w:val="008D2DD7"/>
    <w:rsid w:val="008D3C7D"/>
    <w:rsid w:val="008D5679"/>
    <w:rsid w:val="008D5A54"/>
    <w:rsid w:val="008D7DA8"/>
    <w:rsid w:val="008E344F"/>
    <w:rsid w:val="008E3815"/>
    <w:rsid w:val="008E544D"/>
    <w:rsid w:val="008E5502"/>
    <w:rsid w:val="008F23BF"/>
    <w:rsid w:val="008F2CD5"/>
    <w:rsid w:val="008F32BE"/>
    <w:rsid w:val="008F5ACD"/>
    <w:rsid w:val="00901393"/>
    <w:rsid w:val="00902046"/>
    <w:rsid w:val="00904419"/>
    <w:rsid w:val="00905525"/>
    <w:rsid w:val="00905616"/>
    <w:rsid w:val="00905F4D"/>
    <w:rsid w:val="0090683E"/>
    <w:rsid w:val="00906A56"/>
    <w:rsid w:val="009074F0"/>
    <w:rsid w:val="00910DC3"/>
    <w:rsid w:val="00912168"/>
    <w:rsid w:val="00912C14"/>
    <w:rsid w:val="0091339B"/>
    <w:rsid w:val="0091385F"/>
    <w:rsid w:val="0091405D"/>
    <w:rsid w:val="0091614D"/>
    <w:rsid w:val="00916FB6"/>
    <w:rsid w:val="0091705E"/>
    <w:rsid w:val="009170D4"/>
    <w:rsid w:val="009202C7"/>
    <w:rsid w:val="009212CD"/>
    <w:rsid w:val="00923FAE"/>
    <w:rsid w:val="00924502"/>
    <w:rsid w:val="009267A6"/>
    <w:rsid w:val="00927230"/>
    <w:rsid w:val="00930748"/>
    <w:rsid w:val="00932778"/>
    <w:rsid w:val="00933030"/>
    <w:rsid w:val="00935A38"/>
    <w:rsid w:val="0093657E"/>
    <w:rsid w:val="00944928"/>
    <w:rsid w:val="00944A9B"/>
    <w:rsid w:val="0094516F"/>
    <w:rsid w:val="009452FA"/>
    <w:rsid w:val="00946506"/>
    <w:rsid w:val="0095060C"/>
    <w:rsid w:val="009511A9"/>
    <w:rsid w:val="009512A0"/>
    <w:rsid w:val="00955079"/>
    <w:rsid w:val="00955481"/>
    <w:rsid w:val="009554C7"/>
    <w:rsid w:val="00955EC5"/>
    <w:rsid w:val="009561DC"/>
    <w:rsid w:val="00961D41"/>
    <w:rsid w:val="009626E1"/>
    <w:rsid w:val="00963A33"/>
    <w:rsid w:val="009642AC"/>
    <w:rsid w:val="0096448F"/>
    <w:rsid w:val="00965993"/>
    <w:rsid w:val="0096669C"/>
    <w:rsid w:val="00966905"/>
    <w:rsid w:val="0096707E"/>
    <w:rsid w:val="00970A28"/>
    <w:rsid w:val="009716DD"/>
    <w:rsid w:val="0097190C"/>
    <w:rsid w:val="00973B64"/>
    <w:rsid w:val="009752C9"/>
    <w:rsid w:val="009752DB"/>
    <w:rsid w:val="00977E36"/>
    <w:rsid w:val="0098087E"/>
    <w:rsid w:val="009833C9"/>
    <w:rsid w:val="009863C6"/>
    <w:rsid w:val="009865B4"/>
    <w:rsid w:val="00991022"/>
    <w:rsid w:val="00992AC4"/>
    <w:rsid w:val="00994350"/>
    <w:rsid w:val="00995485"/>
    <w:rsid w:val="00995B17"/>
    <w:rsid w:val="00995F45"/>
    <w:rsid w:val="009964F2"/>
    <w:rsid w:val="00996A2A"/>
    <w:rsid w:val="009A17DF"/>
    <w:rsid w:val="009A3486"/>
    <w:rsid w:val="009A5B39"/>
    <w:rsid w:val="009A6362"/>
    <w:rsid w:val="009A7F41"/>
    <w:rsid w:val="009A7FC5"/>
    <w:rsid w:val="009B0627"/>
    <w:rsid w:val="009B09C2"/>
    <w:rsid w:val="009B156B"/>
    <w:rsid w:val="009B1B09"/>
    <w:rsid w:val="009B2A02"/>
    <w:rsid w:val="009B40C4"/>
    <w:rsid w:val="009B4173"/>
    <w:rsid w:val="009B4C40"/>
    <w:rsid w:val="009B5E37"/>
    <w:rsid w:val="009B6192"/>
    <w:rsid w:val="009B724B"/>
    <w:rsid w:val="009C03CF"/>
    <w:rsid w:val="009C1A62"/>
    <w:rsid w:val="009C3697"/>
    <w:rsid w:val="009C3FE7"/>
    <w:rsid w:val="009C51CF"/>
    <w:rsid w:val="009C5585"/>
    <w:rsid w:val="009C78AD"/>
    <w:rsid w:val="009D456D"/>
    <w:rsid w:val="009D5905"/>
    <w:rsid w:val="009D63C1"/>
    <w:rsid w:val="009D66B0"/>
    <w:rsid w:val="009D67FF"/>
    <w:rsid w:val="009D7876"/>
    <w:rsid w:val="009D7BBA"/>
    <w:rsid w:val="009E3FA0"/>
    <w:rsid w:val="009E559A"/>
    <w:rsid w:val="009E5B2C"/>
    <w:rsid w:val="009E6C8D"/>
    <w:rsid w:val="009F0988"/>
    <w:rsid w:val="009F10AC"/>
    <w:rsid w:val="009F2AC4"/>
    <w:rsid w:val="009F3012"/>
    <w:rsid w:val="009F32FF"/>
    <w:rsid w:val="009F7441"/>
    <w:rsid w:val="009F7A29"/>
    <w:rsid w:val="009F7B35"/>
    <w:rsid w:val="00A01F93"/>
    <w:rsid w:val="00A01FE0"/>
    <w:rsid w:val="00A022DC"/>
    <w:rsid w:val="00A02537"/>
    <w:rsid w:val="00A02825"/>
    <w:rsid w:val="00A042E3"/>
    <w:rsid w:val="00A05CE0"/>
    <w:rsid w:val="00A05DAA"/>
    <w:rsid w:val="00A064C9"/>
    <w:rsid w:val="00A066F9"/>
    <w:rsid w:val="00A07044"/>
    <w:rsid w:val="00A1040F"/>
    <w:rsid w:val="00A10A36"/>
    <w:rsid w:val="00A11463"/>
    <w:rsid w:val="00A1362D"/>
    <w:rsid w:val="00A136F5"/>
    <w:rsid w:val="00A13D37"/>
    <w:rsid w:val="00A1543D"/>
    <w:rsid w:val="00A1594F"/>
    <w:rsid w:val="00A16894"/>
    <w:rsid w:val="00A172B7"/>
    <w:rsid w:val="00A17393"/>
    <w:rsid w:val="00A213E6"/>
    <w:rsid w:val="00A21992"/>
    <w:rsid w:val="00A21AE4"/>
    <w:rsid w:val="00A21C17"/>
    <w:rsid w:val="00A21CC6"/>
    <w:rsid w:val="00A2477C"/>
    <w:rsid w:val="00A256B2"/>
    <w:rsid w:val="00A26201"/>
    <w:rsid w:val="00A274A8"/>
    <w:rsid w:val="00A30627"/>
    <w:rsid w:val="00A30F77"/>
    <w:rsid w:val="00A3119B"/>
    <w:rsid w:val="00A336E2"/>
    <w:rsid w:val="00A33852"/>
    <w:rsid w:val="00A34114"/>
    <w:rsid w:val="00A3477B"/>
    <w:rsid w:val="00A36E61"/>
    <w:rsid w:val="00A36E93"/>
    <w:rsid w:val="00A37551"/>
    <w:rsid w:val="00A4107C"/>
    <w:rsid w:val="00A41945"/>
    <w:rsid w:val="00A43EC3"/>
    <w:rsid w:val="00A448C8"/>
    <w:rsid w:val="00A457FF"/>
    <w:rsid w:val="00A45854"/>
    <w:rsid w:val="00A45997"/>
    <w:rsid w:val="00A46518"/>
    <w:rsid w:val="00A4671F"/>
    <w:rsid w:val="00A53138"/>
    <w:rsid w:val="00A53B57"/>
    <w:rsid w:val="00A54F96"/>
    <w:rsid w:val="00A55307"/>
    <w:rsid w:val="00A555D1"/>
    <w:rsid w:val="00A57B45"/>
    <w:rsid w:val="00A616AA"/>
    <w:rsid w:val="00A643C1"/>
    <w:rsid w:val="00A645B2"/>
    <w:rsid w:val="00A6501C"/>
    <w:rsid w:val="00A65089"/>
    <w:rsid w:val="00A652E8"/>
    <w:rsid w:val="00A66184"/>
    <w:rsid w:val="00A67EAB"/>
    <w:rsid w:val="00A72307"/>
    <w:rsid w:val="00A72C40"/>
    <w:rsid w:val="00A74218"/>
    <w:rsid w:val="00A74B97"/>
    <w:rsid w:val="00A77B15"/>
    <w:rsid w:val="00A81458"/>
    <w:rsid w:val="00A81501"/>
    <w:rsid w:val="00A83A21"/>
    <w:rsid w:val="00A83B60"/>
    <w:rsid w:val="00A85DA0"/>
    <w:rsid w:val="00A871A4"/>
    <w:rsid w:val="00A8767B"/>
    <w:rsid w:val="00A91A45"/>
    <w:rsid w:val="00A9224B"/>
    <w:rsid w:val="00A95072"/>
    <w:rsid w:val="00A95457"/>
    <w:rsid w:val="00A95D50"/>
    <w:rsid w:val="00A96883"/>
    <w:rsid w:val="00A9725F"/>
    <w:rsid w:val="00A974F8"/>
    <w:rsid w:val="00A9796C"/>
    <w:rsid w:val="00A97B5D"/>
    <w:rsid w:val="00A97BC1"/>
    <w:rsid w:val="00AA2082"/>
    <w:rsid w:val="00AA21AA"/>
    <w:rsid w:val="00AA2AF9"/>
    <w:rsid w:val="00AA2F8E"/>
    <w:rsid w:val="00AA4297"/>
    <w:rsid w:val="00AA4724"/>
    <w:rsid w:val="00AA4A36"/>
    <w:rsid w:val="00AA510F"/>
    <w:rsid w:val="00AA5192"/>
    <w:rsid w:val="00AA52FB"/>
    <w:rsid w:val="00AA5AC2"/>
    <w:rsid w:val="00AA6CF5"/>
    <w:rsid w:val="00AA7610"/>
    <w:rsid w:val="00AB0867"/>
    <w:rsid w:val="00AB1D0C"/>
    <w:rsid w:val="00AB362A"/>
    <w:rsid w:val="00AB4B64"/>
    <w:rsid w:val="00AB647E"/>
    <w:rsid w:val="00AB6AC5"/>
    <w:rsid w:val="00AB73D0"/>
    <w:rsid w:val="00AC011D"/>
    <w:rsid w:val="00AC0408"/>
    <w:rsid w:val="00AC112C"/>
    <w:rsid w:val="00AC2BC0"/>
    <w:rsid w:val="00AC3611"/>
    <w:rsid w:val="00AC3A8C"/>
    <w:rsid w:val="00AC6CD5"/>
    <w:rsid w:val="00AC6D80"/>
    <w:rsid w:val="00AC73BF"/>
    <w:rsid w:val="00AC74D0"/>
    <w:rsid w:val="00AC7E2D"/>
    <w:rsid w:val="00AD0068"/>
    <w:rsid w:val="00AD0483"/>
    <w:rsid w:val="00AD05D3"/>
    <w:rsid w:val="00AD0758"/>
    <w:rsid w:val="00AD0EB1"/>
    <w:rsid w:val="00AD1EB2"/>
    <w:rsid w:val="00AD358D"/>
    <w:rsid w:val="00AD4F42"/>
    <w:rsid w:val="00AD6CFC"/>
    <w:rsid w:val="00AE0793"/>
    <w:rsid w:val="00AE38AA"/>
    <w:rsid w:val="00AE391A"/>
    <w:rsid w:val="00AE41C4"/>
    <w:rsid w:val="00AE4D0A"/>
    <w:rsid w:val="00AE6B4D"/>
    <w:rsid w:val="00AE73FF"/>
    <w:rsid w:val="00AF1033"/>
    <w:rsid w:val="00AF50C1"/>
    <w:rsid w:val="00AF659D"/>
    <w:rsid w:val="00B00D0F"/>
    <w:rsid w:val="00B028AE"/>
    <w:rsid w:val="00B051BF"/>
    <w:rsid w:val="00B07D7E"/>
    <w:rsid w:val="00B11033"/>
    <w:rsid w:val="00B11899"/>
    <w:rsid w:val="00B118BB"/>
    <w:rsid w:val="00B11FE2"/>
    <w:rsid w:val="00B12F1A"/>
    <w:rsid w:val="00B143AF"/>
    <w:rsid w:val="00B159DE"/>
    <w:rsid w:val="00B15A49"/>
    <w:rsid w:val="00B15DBA"/>
    <w:rsid w:val="00B16455"/>
    <w:rsid w:val="00B16FFA"/>
    <w:rsid w:val="00B1704B"/>
    <w:rsid w:val="00B22F87"/>
    <w:rsid w:val="00B243FF"/>
    <w:rsid w:val="00B254C2"/>
    <w:rsid w:val="00B260E2"/>
    <w:rsid w:val="00B30249"/>
    <w:rsid w:val="00B30355"/>
    <w:rsid w:val="00B30A5A"/>
    <w:rsid w:val="00B34102"/>
    <w:rsid w:val="00B377FF"/>
    <w:rsid w:val="00B407D7"/>
    <w:rsid w:val="00B40843"/>
    <w:rsid w:val="00B42053"/>
    <w:rsid w:val="00B42721"/>
    <w:rsid w:val="00B4287A"/>
    <w:rsid w:val="00B42A6F"/>
    <w:rsid w:val="00B43164"/>
    <w:rsid w:val="00B47A65"/>
    <w:rsid w:val="00B51157"/>
    <w:rsid w:val="00B51BEF"/>
    <w:rsid w:val="00B52B38"/>
    <w:rsid w:val="00B534E1"/>
    <w:rsid w:val="00B55123"/>
    <w:rsid w:val="00B55BB5"/>
    <w:rsid w:val="00B563D1"/>
    <w:rsid w:val="00B56B3F"/>
    <w:rsid w:val="00B56D8A"/>
    <w:rsid w:val="00B62881"/>
    <w:rsid w:val="00B62B73"/>
    <w:rsid w:val="00B64450"/>
    <w:rsid w:val="00B651D1"/>
    <w:rsid w:val="00B65277"/>
    <w:rsid w:val="00B65F58"/>
    <w:rsid w:val="00B65FCB"/>
    <w:rsid w:val="00B6659A"/>
    <w:rsid w:val="00B673D1"/>
    <w:rsid w:val="00B67E14"/>
    <w:rsid w:val="00B67E88"/>
    <w:rsid w:val="00B718DE"/>
    <w:rsid w:val="00B74584"/>
    <w:rsid w:val="00B75F30"/>
    <w:rsid w:val="00B832D8"/>
    <w:rsid w:val="00B8381C"/>
    <w:rsid w:val="00B840AA"/>
    <w:rsid w:val="00B84558"/>
    <w:rsid w:val="00B8498F"/>
    <w:rsid w:val="00B86858"/>
    <w:rsid w:val="00B875E7"/>
    <w:rsid w:val="00B90026"/>
    <w:rsid w:val="00B91115"/>
    <w:rsid w:val="00B913B5"/>
    <w:rsid w:val="00B91508"/>
    <w:rsid w:val="00B919A0"/>
    <w:rsid w:val="00B93817"/>
    <w:rsid w:val="00B940D4"/>
    <w:rsid w:val="00B942C7"/>
    <w:rsid w:val="00B942FC"/>
    <w:rsid w:val="00B94A2C"/>
    <w:rsid w:val="00B95A6A"/>
    <w:rsid w:val="00B96DEB"/>
    <w:rsid w:val="00B9755D"/>
    <w:rsid w:val="00BA04BF"/>
    <w:rsid w:val="00BA0C07"/>
    <w:rsid w:val="00BA0EFB"/>
    <w:rsid w:val="00BA1614"/>
    <w:rsid w:val="00BA21D1"/>
    <w:rsid w:val="00BA370C"/>
    <w:rsid w:val="00BA4429"/>
    <w:rsid w:val="00BA45C1"/>
    <w:rsid w:val="00BA5085"/>
    <w:rsid w:val="00BA5DFC"/>
    <w:rsid w:val="00BA6350"/>
    <w:rsid w:val="00BA772A"/>
    <w:rsid w:val="00BB0887"/>
    <w:rsid w:val="00BB1F2A"/>
    <w:rsid w:val="00BB29D1"/>
    <w:rsid w:val="00BB314A"/>
    <w:rsid w:val="00BB3C87"/>
    <w:rsid w:val="00BB5098"/>
    <w:rsid w:val="00BC0598"/>
    <w:rsid w:val="00BC1BCD"/>
    <w:rsid w:val="00BC29EA"/>
    <w:rsid w:val="00BC34EB"/>
    <w:rsid w:val="00BC4323"/>
    <w:rsid w:val="00BC4DF5"/>
    <w:rsid w:val="00BC7953"/>
    <w:rsid w:val="00BD0B7D"/>
    <w:rsid w:val="00BD12E7"/>
    <w:rsid w:val="00BD1C50"/>
    <w:rsid w:val="00BD3925"/>
    <w:rsid w:val="00BD5AD0"/>
    <w:rsid w:val="00BD6B2D"/>
    <w:rsid w:val="00BD70BD"/>
    <w:rsid w:val="00BD719D"/>
    <w:rsid w:val="00BE0258"/>
    <w:rsid w:val="00BE1447"/>
    <w:rsid w:val="00BE215D"/>
    <w:rsid w:val="00BE3C1E"/>
    <w:rsid w:val="00BE57DD"/>
    <w:rsid w:val="00BE76CB"/>
    <w:rsid w:val="00BE7A59"/>
    <w:rsid w:val="00BF0AF1"/>
    <w:rsid w:val="00BF1809"/>
    <w:rsid w:val="00BF1A41"/>
    <w:rsid w:val="00BF4F68"/>
    <w:rsid w:val="00BF5F22"/>
    <w:rsid w:val="00BF71C6"/>
    <w:rsid w:val="00BF7CD8"/>
    <w:rsid w:val="00C00849"/>
    <w:rsid w:val="00C02BE9"/>
    <w:rsid w:val="00C02CE1"/>
    <w:rsid w:val="00C035B9"/>
    <w:rsid w:val="00C036F3"/>
    <w:rsid w:val="00C03923"/>
    <w:rsid w:val="00C04B21"/>
    <w:rsid w:val="00C0563C"/>
    <w:rsid w:val="00C06136"/>
    <w:rsid w:val="00C07BAE"/>
    <w:rsid w:val="00C07C15"/>
    <w:rsid w:val="00C13270"/>
    <w:rsid w:val="00C1346A"/>
    <w:rsid w:val="00C13818"/>
    <w:rsid w:val="00C156BF"/>
    <w:rsid w:val="00C17602"/>
    <w:rsid w:val="00C20026"/>
    <w:rsid w:val="00C2023E"/>
    <w:rsid w:val="00C208C0"/>
    <w:rsid w:val="00C216C2"/>
    <w:rsid w:val="00C21E41"/>
    <w:rsid w:val="00C2371B"/>
    <w:rsid w:val="00C2552B"/>
    <w:rsid w:val="00C25DC1"/>
    <w:rsid w:val="00C25FA6"/>
    <w:rsid w:val="00C2685E"/>
    <w:rsid w:val="00C26B59"/>
    <w:rsid w:val="00C27CB3"/>
    <w:rsid w:val="00C31397"/>
    <w:rsid w:val="00C35384"/>
    <w:rsid w:val="00C35CA3"/>
    <w:rsid w:val="00C35DDE"/>
    <w:rsid w:val="00C36163"/>
    <w:rsid w:val="00C40212"/>
    <w:rsid w:val="00C41B9B"/>
    <w:rsid w:val="00C42B7B"/>
    <w:rsid w:val="00C450C9"/>
    <w:rsid w:val="00C45DB2"/>
    <w:rsid w:val="00C46F16"/>
    <w:rsid w:val="00C47C07"/>
    <w:rsid w:val="00C501AA"/>
    <w:rsid w:val="00C50961"/>
    <w:rsid w:val="00C5294A"/>
    <w:rsid w:val="00C52E88"/>
    <w:rsid w:val="00C53CF7"/>
    <w:rsid w:val="00C5419F"/>
    <w:rsid w:val="00C5688D"/>
    <w:rsid w:val="00C56914"/>
    <w:rsid w:val="00C5754E"/>
    <w:rsid w:val="00C60F5B"/>
    <w:rsid w:val="00C612D7"/>
    <w:rsid w:val="00C61C8C"/>
    <w:rsid w:val="00C6295C"/>
    <w:rsid w:val="00C62A1B"/>
    <w:rsid w:val="00C62C1D"/>
    <w:rsid w:val="00C63381"/>
    <w:rsid w:val="00C63E8B"/>
    <w:rsid w:val="00C651D3"/>
    <w:rsid w:val="00C65AC2"/>
    <w:rsid w:val="00C660A2"/>
    <w:rsid w:val="00C66219"/>
    <w:rsid w:val="00C66E8D"/>
    <w:rsid w:val="00C67A04"/>
    <w:rsid w:val="00C71F7B"/>
    <w:rsid w:val="00C7322E"/>
    <w:rsid w:val="00C73777"/>
    <w:rsid w:val="00C74DE6"/>
    <w:rsid w:val="00C75933"/>
    <w:rsid w:val="00C77C8A"/>
    <w:rsid w:val="00C77D06"/>
    <w:rsid w:val="00C80FC3"/>
    <w:rsid w:val="00C81927"/>
    <w:rsid w:val="00C85E07"/>
    <w:rsid w:val="00C86604"/>
    <w:rsid w:val="00C867BB"/>
    <w:rsid w:val="00C90BF4"/>
    <w:rsid w:val="00C90E41"/>
    <w:rsid w:val="00C9277D"/>
    <w:rsid w:val="00C92B09"/>
    <w:rsid w:val="00C92FAE"/>
    <w:rsid w:val="00C9486A"/>
    <w:rsid w:val="00C969EE"/>
    <w:rsid w:val="00C96A1F"/>
    <w:rsid w:val="00CA1649"/>
    <w:rsid w:val="00CA2193"/>
    <w:rsid w:val="00CA38F0"/>
    <w:rsid w:val="00CA46C8"/>
    <w:rsid w:val="00CA564E"/>
    <w:rsid w:val="00CA56A3"/>
    <w:rsid w:val="00CA5AD0"/>
    <w:rsid w:val="00CA64CD"/>
    <w:rsid w:val="00CB0E29"/>
    <w:rsid w:val="00CB1902"/>
    <w:rsid w:val="00CB2E57"/>
    <w:rsid w:val="00CB2F1E"/>
    <w:rsid w:val="00CB5662"/>
    <w:rsid w:val="00CB67F0"/>
    <w:rsid w:val="00CC1259"/>
    <w:rsid w:val="00CC210C"/>
    <w:rsid w:val="00CC2999"/>
    <w:rsid w:val="00CC39E2"/>
    <w:rsid w:val="00CC55E5"/>
    <w:rsid w:val="00CC5F29"/>
    <w:rsid w:val="00CC6707"/>
    <w:rsid w:val="00CC7E42"/>
    <w:rsid w:val="00CD0D8B"/>
    <w:rsid w:val="00CD1301"/>
    <w:rsid w:val="00CD2007"/>
    <w:rsid w:val="00CD2BAD"/>
    <w:rsid w:val="00CD31FF"/>
    <w:rsid w:val="00CD368F"/>
    <w:rsid w:val="00CD3BF2"/>
    <w:rsid w:val="00CD4573"/>
    <w:rsid w:val="00CD5846"/>
    <w:rsid w:val="00CD6A47"/>
    <w:rsid w:val="00CD7749"/>
    <w:rsid w:val="00CE2293"/>
    <w:rsid w:val="00CE34D2"/>
    <w:rsid w:val="00CF1C54"/>
    <w:rsid w:val="00CF1F53"/>
    <w:rsid w:val="00CF2169"/>
    <w:rsid w:val="00CF2A56"/>
    <w:rsid w:val="00CF2BD1"/>
    <w:rsid w:val="00CF388F"/>
    <w:rsid w:val="00CF5BB1"/>
    <w:rsid w:val="00CF6239"/>
    <w:rsid w:val="00CF67D9"/>
    <w:rsid w:val="00CF758B"/>
    <w:rsid w:val="00D020F2"/>
    <w:rsid w:val="00D021A3"/>
    <w:rsid w:val="00D028F2"/>
    <w:rsid w:val="00D04F40"/>
    <w:rsid w:val="00D05BF3"/>
    <w:rsid w:val="00D1108C"/>
    <w:rsid w:val="00D1245B"/>
    <w:rsid w:val="00D1293C"/>
    <w:rsid w:val="00D13DC5"/>
    <w:rsid w:val="00D16124"/>
    <w:rsid w:val="00D1709C"/>
    <w:rsid w:val="00D17AEB"/>
    <w:rsid w:val="00D2083A"/>
    <w:rsid w:val="00D226BA"/>
    <w:rsid w:val="00D22D42"/>
    <w:rsid w:val="00D23CBA"/>
    <w:rsid w:val="00D25E98"/>
    <w:rsid w:val="00D27023"/>
    <w:rsid w:val="00D30E5E"/>
    <w:rsid w:val="00D31576"/>
    <w:rsid w:val="00D316C0"/>
    <w:rsid w:val="00D34E98"/>
    <w:rsid w:val="00D35C5E"/>
    <w:rsid w:val="00D37ACD"/>
    <w:rsid w:val="00D404CF"/>
    <w:rsid w:val="00D416F4"/>
    <w:rsid w:val="00D427CB"/>
    <w:rsid w:val="00D42BC1"/>
    <w:rsid w:val="00D44AD8"/>
    <w:rsid w:val="00D45229"/>
    <w:rsid w:val="00D47DB5"/>
    <w:rsid w:val="00D47DCF"/>
    <w:rsid w:val="00D50361"/>
    <w:rsid w:val="00D52DC7"/>
    <w:rsid w:val="00D52E26"/>
    <w:rsid w:val="00D53C40"/>
    <w:rsid w:val="00D53ED2"/>
    <w:rsid w:val="00D54C7D"/>
    <w:rsid w:val="00D556AE"/>
    <w:rsid w:val="00D567E2"/>
    <w:rsid w:val="00D56F03"/>
    <w:rsid w:val="00D6054D"/>
    <w:rsid w:val="00D60993"/>
    <w:rsid w:val="00D60C79"/>
    <w:rsid w:val="00D60C9C"/>
    <w:rsid w:val="00D631D5"/>
    <w:rsid w:val="00D63E56"/>
    <w:rsid w:val="00D6577C"/>
    <w:rsid w:val="00D67A83"/>
    <w:rsid w:val="00D70815"/>
    <w:rsid w:val="00D70848"/>
    <w:rsid w:val="00D70D39"/>
    <w:rsid w:val="00D70DBA"/>
    <w:rsid w:val="00D73AB5"/>
    <w:rsid w:val="00D73D6D"/>
    <w:rsid w:val="00D74EFC"/>
    <w:rsid w:val="00D74F57"/>
    <w:rsid w:val="00D7528E"/>
    <w:rsid w:val="00D75AC1"/>
    <w:rsid w:val="00D766C3"/>
    <w:rsid w:val="00D76C9B"/>
    <w:rsid w:val="00D7768A"/>
    <w:rsid w:val="00D80F83"/>
    <w:rsid w:val="00D81358"/>
    <w:rsid w:val="00D8184B"/>
    <w:rsid w:val="00D82D3E"/>
    <w:rsid w:val="00D834F1"/>
    <w:rsid w:val="00D83EFE"/>
    <w:rsid w:val="00D8791F"/>
    <w:rsid w:val="00D90DC1"/>
    <w:rsid w:val="00D913F3"/>
    <w:rsid w:val="00D917BB"/>
    <w:rsid w:val="00D92232"/>
    <w:rsid w:val="00D92E25"/>
    <w:rsid w:val="00D93252"/>
    <w:rsid w:val="00D9396A"/>
    <w:rsid w:val="00D94756"/>
    <w:rsid w:val="00D963BB"/>
    <w:rsid w:val="00D97F80"/>
    <w:rsid w:val="00D97FAD"/>
    <w:rsid w:val="00DA2462"/>
    <w:rsid w:val="00DA278E"/>
    <w:rsid w:val="00DA2E17"/>
    <w:rsid w:val="00DA390A"/>
    <w:rsid w:val="00DA638C"/>
    <w:rsid w:val="00DA7694"/>
    <w:rsid w:val="00DA78A6"/>
    <w:rsid w:val="00DB0C69"/>
    <w:rsid w:val="00DB10DC"/>
    <w:rsid w:val="00DB2689"/>
    <w:rsid w:val="00DB2E4D"/>
    <w:rsid w:val="00DB5238"/>
    <w:rsid w:val="00DB5B21"/>
    <w:rsid w:val="00DB5FF2"/>
    <w:rsid w:val="00DC15A3"/>
    <w:rsid w:val="00DC163C"/>
    <w:rsid w:val="00DC1ED0"/>
    <w:rsid w:val="00DC273C"/>
    <w:rsid w:val="00DC2E82"/>
    <w:rsid w:val="00DC2FEB"/>
    <w:rsid w:val="00DC37CA"/>
    <w:rsid w:val="00DC3C20"/>
    <w:rsid w:val="00DC48F0"/>
    <w:rsid w:val="00DC49E4"/>
    <w:rsid w:val="00DC59EB"/>
    <w:rsid w:val="00DC5F6A"/>
    <w:rsid w:val="00DC613E"/>
    <w:rsid w:val="00DC65F1"/>
    <w:rsid w:val="00DC73A3"/>
    <w:rsid w:val="00DD1B1C"/>
    <w:rsid w:val="00DD2F75"/>
    <w:rsid w:val="00DD2F9E"/>
    <w:rsid w:val="00DD46BE"/>
    <w:rsid w:val="00DD47A3"/>
    <w:rsid w:val="00DD4C66"/>
    <w:rsid w:val="00DD4F0A"/>
    <w:rsid w:val="00DD511E"/>
    <w:rsid w:val="00DD64EF"/>
    <w:rsid w:val="00DD6D01"/>
    <w:rsid w:val="00DD7684"/>
    <w:rsid w:val="00DD7941"/>
    <w:rsid w:val="00DE12C2"/>
    <w:rsid w:val="00DE2395"/>
    <w:rsid w:val="00DE2BAA"/>
    <w:rsid w:val="00DE3996"/>
    <w:rsid w:val="00DE4890"/>
    <w:rsid w:val="00DE50DD"/>
    <w:rsid w:val="00DE5907"/>
    <w:rsid w:val="00DE6794"/>
    <w:rsid w:val="00DE74F5"/>
    <w:rsid w:val="00DE7745"/>
    <w:rsid w:val="00DF07E8"/>
    <w:rsid w:val="00DF0D25"/>
    <w:rsid w:val="00DF1291"/>
    <w:rsid w:val="00DF1B61"/>
    <w:rsid w:val="00DF3048"/>
    <w:rsid w:val="00DF343E"/>
    <w:rsid w:val="00DF3FC2"/>
    <w:rsid w:val="00DF3FFA"/>
    <w:rsid w:val="00DF42A7"/>
    <w:rsid w:val="00DF4391"/>
    <w:rsid w:val="00DF4985"/>
    <w:rsid w:val="00DF4BD2"/>
    <w:rsid w:val="00DF6BD8"/>
    <w:rsid w:val="00DF6EA8"/>
    <w:rsid w:val="00DF7070"/>
    <w:rsid w:val="00DF7807"/>
    <w:rsid w:val="00DF7A97"/>
    <w:rsid w:val="00DF7B31"/>
    <w:rsid w:val="00E0041A"/>
    <w:rsid w:val="00E0095E"/>
    <w:rsid w:val="00E027E9"/>
    <w:rsid w:val="00E028EF"/>
    <w:rsid w:val="00E02A91"/>
    <w:rsid w:val="00E05552"/>
    <w:rsid w:val="00E05A87"/>
    <w:rsid w:val="00E06330"/>
    <w:rsid w:val="00E06ABC"/>
    <w:rsid w:val="00E078AA"/>
    <w:rsid w:val="00E10CE7"/>
    <w:rsid w:val="00E1216F"/>
    <w:rsid w:val="00E12921"/>
    <w:rsid w:val="00E134EE"/>
    <w:rsid w:val="00E13649"/>
    <w:rsid w:val="00E158DB"/>
    <w:rsid w:val="00E16377"/>
    <w:rsid w:val="00E227FE"/>
    <w:rsid w:val="00E2368D"/>
    <w:rsid w:val="00E238A7"/>
    <w:rsid w:val="00E23D8B"/>
    <w:rsid w:val="00E246AA"/>
    <w:rsid w:val="00E2509C"/>
    <w:rsid w:val="00E26014"/>
    <w:rsid w:val="00E300B7"/>
    <w:rsid w:val="00E32E5D"/>
    <w:rsid w:val="00E32F37"/>
    <w:rsid w:val="00E33007"/>
    <w:rsid w:val="00E34AC0"/>
    <w:rsid w:val="00E34F2E"/>
    <w:rsid w:val="00E37CAE"/>
    <w:rsid w:val="00E37EEE"/>
    <w:rsid w:val="00E40323"/>
    <w:rsid w:val="00E43089"/>
    <w:rsid w:val="00E443CE"/>
    <w:rsid w:val="00E44F10"/>
    <w:rsid w:val="00E45A08"/>
    <w:rsid w:val="00E46A4F"/>
    <w:rsid w:val="00E50C75"/>
    <w:rsid w:val="00E51078"/>
    <w:rsid w:val="00E51B4D"/>
    <w:rsid w:val="00E51F04"/>
    <w:rsid w:val="00E548EA"/>
    <w:rsid w:val="00E55045"/>
    <w:rsid w:val="00E55966"/>
    <w:rsid w:val="00E55C07"/>
    <w:rsid w:val="00E56970"/>
    <w:rsid w:val="00E57E79"/>
    <w:rsid w:val="00E600B9"/>
    <w:rsid w:val="00E61B05"/>
    <w:rsid w:val="00E63CA9"/>
    <w:rsid w:val="00E70FA5"/>
    <w:rsid w:val="00E735DD"/>
    <w:rsid w:val="00E74EE3"/>
    <w:rsid w:val="00E751E5"/>
    <w:rsid w:val="00E7521F"/>
    <w:rsid w:val="00E77259"/>
    <w:rsid w:val="00E81C31"/>
    <w:rsid w:val="00E8394A"/>
    <w:rsid w:val="00E909E8"/>
    <w:rsid w:val="00E91D12"/>
    <w:rsid w:val="00E93001"/>
    <w:rsid w:val="00E931F6"/>
    <w:rsid w:val="00E9429D"/>
    <w:rsid w:val="00E9466D"/>
    <w:rsid w:val="00E94EE3"/>
    <w:rsid w:val="00E950C5"/>
    <w:rsid w:val="00E96936"/>
    <w:rsid w:val="00E96B4D"/>
    <w:rsid w:val="00E970F6"/>
    <w:rsid w:val="00E975C6"/>
    <w:rsid w:val="00EA1878"/>
    <w:rsid w:val="00EA31F2"/>
    <w:rsid w:val="00EA388C"/>
    <w:rsid w:val="00EA58E4"/>
    <w:rsid w:val="00EA6760"/>
    <w:rsid w:val="00EA6CE0"/>
    <w:rsid w:val="00EB0434"/>
    <w:rsid w:val="00EB11F9"/>
    <w:rsid w:val="00EB1D30"/>
    <w:rsid w:val="00EB26BA"/>
    <w:rsid w:val="00EB2BFC"/>
    <w:rsid w:val="00EB2EE8"/>
    <w:rsid w:val="00EB5578"/>
    <w:rsid w:val="00EC0941"/>
    <w:rsid w:val="00EC0BA7"/>
    <w:rsid w:val="00EC0C40"/>
    <w:rsid w:val="00EC1039"/>
    <w:rsid w:val="00EC4063"/>
    <w:rsid w:val="00EC46F7"/>
    <w:rsid w:val="00EC794D"/>
    <w:rsid w:val="00ED3419"/>
    <w:rsid w:val="00ED381B"/>
    <w:rsid w:val="00ED5228"/>
    <w:rsid w:val="00EE292E"/>
    <w:rsid w:val="00EE3234"/>
    <w:rsid w:val="00EE38C2"/>
    <w:rsid w:val="00EE4195"/>
    <w:rsid w:val="00EE4556"/>
    <w:rsid w:val="00EE5C15"/>
    <w:rsid w:val="00EF37F5"/>
    <w:rsid w:val="00EF4FA5"/>
    <w:rsid w:val="00EF56A5"/>
    <w:rsid w:val="00EF56C4"/>
    <w:rsid w:val="00EF6ADC"/>
    <w:rsid w:val="00F00AA5"/>
    <w:rsid w:val="00F01286"/>
    <w:rsid w:val="00F012C9"/>
    <w:rsid w:val="00F01700"/>
    <w:rsid w:val="00F048E8"/>
    <w:rsid w:val="00F076D9"/>
    <w:rsid w:val="00F110A5"/>
    <w:rsid w:val="00F11D6A"/>
    <w:rsid w:val="00F12EEB"/>
    <w:rsid w:val="00F134C1"/>
    <w:rsid w:val="00F13630"/>
    <w:rsid w:val="00F16342"/>
    <w:rsid w:val="00F16B34"/>
    <w:rsid w:val="00F173FA"/>
    <w:rsid w:val="00F17769"/>
    <w:rsid w:val="00F20BF9"/>
    <w:rsid w:val="00F2130B"/>
    <w:rsid w:val="00F21D76"/>
    <w:rsid w:val="00F239F8"/>
    <w:rsid w:val="00F24296"/>
    <w:rsid w:val="00F24442"/>
    <w:rsid w:val="00F2480C"/>
    <w:rsid w:val="00F249B6"/>
    <w:rsid w:val="00F27758"/>
    <w:rsid w:val="00F27B0E"/>
    <w:rsid w:val="00F27D63"/>
    <w:rsid w:val="00F30185"/>
    <w:rsid w:val="00F3260A"/>
    <w:rsid w:val="00F33832"/>
    <w:rsid w:val="00F33882"/>
    <w:rsid w:val="00F33F81"/>
    <w:rsid w:val="00F34212"/>
    <w:rsid w:val="00F3676F"/>
    <w:rsid w:val="00F36ABF"/>
    <w:rsid w:val="00F4115B"/>
    <w:rsid w:val="00F41E76"/>
    <w:rsid w:val="00F4206B"/>
    <w:rsid w:val="00F4254B"/>
    <w:rsid w:val="00F4290E"/>
    <w:rsid w:val="00F45B45"/>
    <w:rsid w:val="00F500DF"/>
    <w:rsid w:val="00F51AAE"/>
    <w:rsid w:val="00F51FF4"/>
    <w:rsid w:val="00F54D75"/>
    <w:rsid w:val="00F5508A"/>
    <w:rsid w:val="00F56C76"/>
    <w:rsid w:val="00F56FEA"/>
    <w:rsid w:val="00F6150D"/>
    <w:rsid w:val="00F61692"/>
    <w:rsid w:val="00F616A8"/>
    <w:rsid w:val="00F6208A"/>
    <w:rsid w:val="00F620E1"/>
    <w:rsid w:val="00F62B55"/>
    <w:rsid w:val="00F62EAE"/>
    <w:rsid w:val="00F6321A"/>
    <w:rsid w:val="00F637F1"/>
    <w:rsid w:val="00F64F25"/>
    <w:rsid w:val="00F6570B"/>
    <w:rsid w:val="00F702BE"/>
    <w:rsid w:val="00F71FC0"/>
    <w:rsid w:val="00F72E06"/>
    <w:rsid w:val="00F73A4E"/>
    <w:rsid w:val="00F73B7F"/>
    <w:rsid w:val="00F73D6C"/>
    <w:rsid w:val="00F74210"/>
    <w:rsid w:val="00F75829"/>
    <w:rsid w:val="00F776A1"/>
    <w:rsid w:val="00F777B5"/>
    <w:rsid w:val="00F77968"/>
    <w:rsid w:val="00F83201"/>
    <w:rsid w:val="00F842B8"/>
    <w:rsid w:val="00F85151"/>
    <w:rsid w:val="00F855AC"/>
    <w:rsid w:val="00F858F5"/>
    <w:rsid w:val="00F87488"/>
    <w:rsid w:val="00F87F56"/>
    <w:rsid w:val="00F91483"/>
    <w:rsid w:val="00F923D1"/>
    <w:rsid w:val="00F93DF3"/>
    <w:rsid w:val="00F95170"/>
    <w:rsid w:val="00F96912"/>
    <w:rsid w:val="00FA0393"/>
    <w:rsid w:val="00FA115C"/>
    <w:rsid w:val="00FA3839"/>
    <w:rsid w:val="00FA4F3D"/>
    <w:rsid w:val="00FA52DE"/>
    <w:rsid w:val="00FA6C0A"/>
    <w:rsid w:val="00FA7897"/>
    <w:rsid w:val="00FB0A21"/>
    <w:rsid w:val="00FB1EE0"/>
    <w:rsid w:val="00FB2144"/>
    <w:rsid w:val="00FB34E9"/>
    <w:rsid w:val="00FB4300"/>
    <w:rsid w:val="00FB56C0"/>
    <w:rsid w:val="00FB5B90"/>
    <w:rsid w:val="00FB6271"/>
    <w:rsid w:val="00FB6415"/>
    <w:rsid w:val="00FB68B7"/>
    <w:rsid w:val="00FB7462"/>
    <w:rsid w:val="00FC0FE2"/>
    <w:rsid w:val="00FC2177"/>
    <w:rsid w:val="00FC588D"/>
    <w:rsid w:val="00FC6564"/>
    <w:rsid w:val="00FC6E1C"/>
    <w:rsid w:val="00FD0DB1"/>
    <w:rsid w:val="00FD196F"/>
    <w:rsid w:val="00FD3BE0"/>
    <w:rsid w:val="00FD4395"/>
    <w:rsid w:val="00FD4CA0"/>
    <w:rsid w:val="00FD5D3C"/>
    <w:rsid w:val="00FD6CB3"/>
    <w:rsid w:val="00FD6E3E"/>
    <w:rsid w:val="00FD7C6B"/>
    <w:rsid w:val="00FE0B81"/>
    <w:rsid w:val="00FE0D3E"/>
    <w:rsid w:val="00FE10F6"/>
    <w:rsid w:val="00FE180F"/>
    <w:rsid w:val="00FE209B"/>
    <w:rsid w:val="00FE29BA"/>
    <w:rsid w:val="00FE4C64"/>
    <w:rsid w:val="00FE5FD7"/>
    <w:rsid w:val="00FE5FED"/>
    <w:rsid w:val="00FF0B2E"/>
    <w:rsid w:val="00FF25F8"/>
    <w:rsid w:val="00FF35AF"/>
    <w:rsid w:val="00FF5DE5"/>
    <w:rsid w:val="00FF6E30"/>
    <w:rsid w:val="00FF7705"/>
    <w:rsid w:val="00FF7D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379143-127E-4684-A2FC-17ED5504E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363C0B"/>
    <w:pPr>
      <w:tabs>
        <w:tab w:val="left" w:pos="567"/>
      </w:tabs>
      <w:jc w:val="both"/>
      <w:outlineLvl w:val="1"/>
    </w:pPr>
    <w:rPr>
      <w:rFonts w:asciiTheme="minorHAnsi" w:hAnsiTheme="minorHAnsi" w:cstheme="minorHAnsi"/>
      <w:i/>
      <w:iCs/>
      <w:sz w:val="22"/>
      <w:szCs w:val="22"/>
      <w:shd w:val="clear" w:color="auto" w:fill="FFFFFF"/>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363C0B"/>
    <w:rPr>
      <w:rFonts w:eastAsia="Times New Roman" w:cstheme="minorHAnsi"/>
      <w:i/>
      <w:iCs/>
      <w:lang w:eastAsia="lt-LT"/>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
    <w:uiPriority w:val="99"/>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99"/>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basedOn w:val="prastasis"/>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eastAsia="Arial Unicode MS" w:cs="Times New Roman"/>
      <w:i/>
      <w:iCs/>
      <w:color w:val="000000"/>
      <w:szCs w:val="24"/>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
    <w:name w:val="Įprastas (žiniatinklio) Diagrama"/>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204488999">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768658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f5be5cb0d45d11e7910a89ac20768b0f" TargetMode="External"/><Relationship Id="rId18" Type="http://schemas.openxmlformats.org/officeDocument/2006/relationships/hyperlink" Target="http://www.infolex.lt/ta/17188" TargetMode="External"/><Relationship Id="rId26" Type="http://schemas.openxmlformats.org/officeDocument/2006/relationships/hyperlink" Target="http://www.infolex.lt/tp/41513"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e-tar.lt/portal/lt/legalAct/22e34150caf011e7910a89ac20768b0f" TargetMode="External"/><Relationship Id="rId34" Type="http://schemas.openxmlformats.org/officeDocument/2006/relationships/hyperlink" Target="https://www.e-tar.lt/portal/lt/legalAct/9c089b20d52711e7910a89ac20768b0f"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tar.lt/portal/lt/legalAct/1587a320df5e11e7b3f0a470b0373cb2" TargetMode="External"/><Relationship Id="rId17" Type="http://schemas.openxmlformats.org/officeDocument/2006/relationships/hyperlink" Target="https://www.e-tar.lt/portal/lt/legalAct/5cf38e30c89411e7910a89ac20768b0f" TargetMode="External"/><Relationship Id="rId25" Type="http://schemas.openxmlformats.org/officeDocument/2006/relationships/hyperlink" Target="http://www.infolex.lt/tp/42049" TargetMode="External"/><Relationship Id="rId33" Type="http://schemas.openxmlformats.org/officeDocument/2006/relationships/hyperlink" Target="https://www.e-tar.lt/portal/lt/legalAct/416b27f0e99511e7acd7ea182930b17f"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tar.lt/portal/lt/legalAct/080c7250d9de11e7910a89ac20768b0f" TargetMode="External"/><Relationship Id="rId20" Type="http://schemas.openxmlformats.org/officeDocument/2006/relationships/hyperlink" Target="https://www.e-tar.lt/portal/lt/legalAct/b9226360eb2711e7acd7ea182930b17f" TargetMode="External"/><Relationship Id="rId29" Type="http://schemas.openxmlformats.org/officeDocument/2006/relationships/hyperlink" Target="http://www.infolex.lt/tp/41513"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6238e250ea5e11e7acd7ea182930b17f" TargetMode="External"/><Relationship Id="rId24" Type="http://schemas.openxmlformats.org/officeDocument/2006/relationships/hyperlink" Target="https://www.e-tar.lt/portal/lt/legalAct/809093a0eb2711e7acd7ea182930b17f" TargetMode="External"/><Relationship Id="rId32" Type="http://schemas.openxmlformats.org/officeDocument/2006/relationships/hyperlink" Target="https://www.e-tar.lt/portal/lt/legalAct/9067c0a0eb2711e7acd7ea182930b17f" TargetMode="External"/><Relationship Id="rId37" Type="http://schemas.openxmlformats.org/officeDocument/2006/relationships/hyperlink" Target="https://www.e-tar.lt/portal/lt/legalAct/c47cf120ca2611e7910a89ac20768b0f"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e-tar.lt/portal/lt/legalAct/b7970ce0cfa611e7910a89ac20768b0f" TargetMode="External"/><Relationship Id="rId23" Type="http://schemas.openxmlformats.org/officeDocument/2006/relationships/hyperlink" Target="https://www.e-tar.lt/portal/lt/legalAct/807eb2b0daa711e7910a89ac20768b0f" TargetMode="External"/><Relationship Id="rId28" Type="http://schemas.openxmlformats.org/officeDocument/2006/relationships/hyperlink" Target="http://www.infolex.lt/tp/41513" TargetMode="External"/><Relationship Id="rId36" Type="http://schemas.openxmlformats.org/officeDocument/2006/relationships/hyperlink" Target="https://www.e-tar.lt/portal/lt/legalAct/c3895380daa711e7910a89ac20768b0f" TargetMode="External"/><Relationship Id="rId10" Type="http://schemas.openxmlformats.org/officeDocument/2006/relationships/hyperlink" Target="https://www.e-tar.lt/portal/lt/legalAct/b126c670e73911e7acd7ea182930b17f" TargetMode="External"/><Relationship Id="rId19" Type="http://schemas.openxmlformats.org/officeDocument/2006/relationships/hyperlink" Target="http://www.infolex.lt/tp/1558786" TargetMode="External"/><Relationship Id="rId31" Type="http://schemas.openxmlformats.org/officeDocument/2006/relationships/hyperlink" Target="http://www.infolex.lt/tp/41513" TargetMode="External"/><Relationship Id="rId4" Type="http://schemas.openxmlformats.org/officeDocument/2006/relationships/settings" Target="settings.xml"/><Relationship Id="rId9" Type="http://schemas.openxmlformats.org/officeDocument/2006/relationships/hyperlink" Target="https://www.e-tar.lt/portal/lt/legalAct/60ed9f30c89411e7910a89ac20768b0f" TargetMode="External"/><Relationship Id="rId14" Type="http://schemas.openxmlformats.org/officeDocument/2006/relationships/hyperlink" Target="https://www.e-tar.lt/portal/lt/legalAct/83be17b0d5f011e7910a89ac20768b0f" TargetMode="External"/><Relationship Id="rId22" Type="http://schemas.openxmlformats.org/officeDocument/2006/relationships/hyperlink" Target="https://www.e-tar.lt/portal/lt/legalAct/7cf93da0c95d11e7910a89ac20768b0f" TargetMode="External"/><Relationship Id="rId27" Type="http://schemas.openxmlformats.org/officeDocument/2006/relationships/hyperlink" Target="http://www.infolex.lt/tp/41513" TargetMode="External"/><Relationship Id="rId30" Type="http://schemas.openxmlformats.org/officeDocument/2006/relationships/hyperlink" Target="http://www.infolex.lt/tp/41513" TargetMode="External"/><Relationship Id="rId35" Type="http://schemas.openxmlformats.org/officeDocument/2006/relationships/hyperlink" Target="https://www.e-tar.lt/portal/lt/legalAct/4de4e310d07011e7910a89ac20768b0f"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A73ECD-1B6D-47C3-93D8-30E6EAAAC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30</Pages>
  <Words>20604</Words>
  <Characters>117447</Characters>
  <Application>Microsoft Office Word</Application>
  <DocSecurity>0</DocSecurity>
  <Lines>978</Lines>
  <Paragraphs>275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137776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Lina Gudeliauskienė</dc:creator>
  <cp:lastModifiedBy>Jurga Marcinkevičiūtė</cp:lastModifiedBy>
  <cp:revision>4</cp:revision>
  <cp:lastPrinted>2017-03-20T11:22:00Z</cp:lastPrinted>
  <dcterms:created xsi:type="dcterms:W3CDTF">2018-02-08T06:01:00Z</dcterms:created>
  <dcterms:modified xsi:type="dcterms:W3CDTF">2018-02-13T10:55:00Z</dcterms:modified>
</cp:coreProperties>
</file>