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025BA1">
      <w:pPr>
        <w:pStyle w:val="Betarp"/>
        <w:spacing w:after="240"/>
        <w:jc w:val="both"/>
        <w:rPr>
          <w:rFonts w:asciiTheme="minorHAnsi" w:hAnsiTheme="minorHAnsi" w:cstheme="minorHAnsi"/>
        </w:rPr>
      </w:pPr>
    </w:p>
    <w:p w14:paraId="17569D08" w14:textId="77777777" w:rsidR="003D4C15" w:rsidRPr="00B240C0" w:rsidRDefault="003D4C15" w:rsidP="00025BA1">
      <w:pPr>
        <w:pStyle w:val="Betarp"/>
        <w:spacing w:after="240"/>
        <w:jc w:val="both"/>
        <w:rPr>
          <w:rFonts w:asciiTheme="minorHAnsi" w:hAnsiTheme="minorHAnsi" w:cstheme="minorHAnsi"/>
        </w:rPr>
      </w:pPr>
    </w:p>
    <w:p w14:paraId="70D2EAA9" w14:textId="77777777" w:rsidR="00A4671F" w:rsidRPr="00B240C0" w:rsidRDefault="00A4671F" w:rsidP="00025BA1">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3765296E"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E2075F">
        <w:rPr>
          <w:rFonts w:asciiTheme="minorHAnsi" w:hAnsiTheme="minorHAnsi" w:cstheme="minorHAnsi"/>
          <w:b/>
          <w:smallCaps/>
          <w:sz w:val="32"/>
          <w:szCs w:val="32"/>
          <w:u w:val="double"/>
        </w:rPr>
        <w:t>birželio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E2075F">
        <w:rPr>
          <w:rFonts w:asciiTheme="minorHAnsi" w:hAnsiTheme="minorHAnsi" w:cstheme="minorHAnsi"/>
          <w:b/>
          <w:smallCaps/>
          <w:sz w:val="32"/>
          <w:szCs w:val="32"/>
          <w:u w:val="double"/>
        </w:rPr>
        <w:t>birželio</w:t>
      </w:r>
      <w:r w:rsidR="009623D0">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3</w:t>
      </w:r>
      <w:r w:rsidR="00E2075F">
        <w:rPr>
          <w:rFonts w:asciiTheme="minorHAnsi" w:hAnsiTheme="minorHAnsi" w:cstheme="minorHAnsi"/>
          <w:b/>
          <w:smallCaps/>
          <w:sz w:val="32"/>
          <w:szCs w:val="32"/>
          <w:u w:val="double"/>
        </w:rPr>
        <w:t>0</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14:paraId="608AEB4C" w14:textId="5AF6BDE2" w:rsidR="00BC21F5" w:rsidRDefault="00A364C6">
      <w:pPr>
        <w:pStyle w:val="Turinys1"/>
        <w:rPr>
          <w:rFonts w:eastAsiaTheme="minorEastAsia" w:cstheme="minorBidi"/>
          <w:b w:val="0"/>
          <w:bCs w:val="0"/>
          <w:caps w:val="0"/>
          <w:noProof/>
          <w:szCs w:val="22"/>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14783999" w:history="1">
        <w:r w:rsidR="00BC21F5" w:rsidRPr="0086356B">
          <w:rPr>
            <w:rStyle w:val="Hipersaitas"/>
            <w:rFonts w:cstheme="minorHAnsi"/>
            <w:noProof/>
          </w:rPr>
          <w:t>I. Administracinės bylos, kylančios iš ginčų dėl teisės viešojo administravimo srityje</w:t>
        </w:r>
        <w:r w:rsidR="00BC21F5">
          <w:rPr>
            <w:noProof/>
            <w:webHidden/>
          </w:rPr>
          <w:tab/>
        </w:r>
        <w:r w:rsidR="00BC21F5">
          <w:rPr>
            <w:noProof/>
            <w:webHidden/>
          </w:rPr>
          <w:fldChar w:fldCharType="begin"/>
        </w:r>
        <w:r w:rsidR="00BC21F5">
          <w:rPr>
            <w:noProof/>
            <w:webHidden/>
          </w:rPr>
          <w:instrText xml:space="preserve"> PAGEREF _Toc14783999 \h </w:instrText>
        </w:r>
        <w:r w:rsidR="00BC21F5">
          <w:rPr>
            <w:noProof/>
            <w:webHidden/>
          </w:rPr>
        </w:r>
        <w:r w:rsidR="00BC21F5">
          <w:rPr>
            <w:noProof/>
            <w:webHidden/>
          </w:rPr>
          <w:fldChar w:fldCharType="separate"/>
        </w:r>
        <w:r w:rsidR="00BC21F5">
          <w:rPr>
            <w:noProof/>
            <w:webHidden/>
          </w:rPr>
          <w:t>4</w:t>
        </w:r>
        <w:r w:rsidR="00BC21F5">
          <w:rPr>
            <w:noProof/>
            <w:webHidden/>
          </w:rPr>
          <w:fldChar w:fldCharType="end"/>
        </w:r>
      </w:hyperlink>
    </w:p>
    <w:p w14:paraId="4C71B8B2" w14:textId="245B8483" w:rsidR="00BC21F5" w:rsidRDefault="00E31BD2">
      <w:pPr>
        <w:pStyle w:val="Turinys1"/>
        <w:rPr>
          <w:rFonts w:eastAsiaTheme="minorEastAsia" w:cstheme="minorBidi"/>
          <w:b w:val="0"/>
          <w:bCs w:val="0"/>
          <w:caps w:val="0"/>
          <w:noProof/>
          <w:szCs w:val="22"/>
        </w:rPr>
      </w:pPr>
      <w:hyperlink w:anchor="_Toc14784000" w:history="1">
        <w:r w:rsidR="00BC21F5" w:rsidRPr="0086356B">
          <w:rPr>
            <w:rStyle w:val="Hipersaitas"/>
            <w:rFonts w:cstheme="minorHAnsi"/>
            <w:noProof/>
          </w:rPr>
          <w:t>8. Užsieniečių teisinė padėtis</w:t>
        </w:r>
        <w:r w:rsidR="00BC21F5">
          <w:rPr>
            <w:noProof/>
            <w:webHidden/>
          </w:rPr>
          <w:tab/>
        </w:r>
        <w:r w:rsidR="00BC21F5">
          <w:rPr>
            <w:noProof/>
            <w:webHidden/>
          </w:rPr>
          <w:fldChar w:fldCharType="begin"/>
        </w:r>
        <w:r w:rsidR="00BC21F5">
          <w:rPr>
            <w:noProof/>
            <w:webHidden/>
          </w:rPr>
          <w:instrText xml:space="preserve"> PAGEREF _Toc14784000 \h </w:instrText>
        </w:r>
        <w:r w:rsidR="00BC21F5">
          <w:rPr>
            <w:noProof/>
            <w:webHidden/>
          </w:rPr>
        </w:r>
        <w:r w:rsidR="00BC21F5">
          <w:rPr>
            <w:noProof/>
            <w:webHidden/>
          </w:rPr>
          <w:fldChar w:fldCharType="separate"/>
        </w:r>
        <w:r w:rsidR="00BC21F5">
          <w:rPr>
            <w:noProof/>
            <w:webHidden/>
          </w:rPr>
          <w:t>4</w:t>
        </w:r>
        <w:r w:rsidR="00BC21F5">
          <w:rPr>
            <w:noProof/>
            <w:webHidden/>
          </w:rPr>
          <w:fldChar w:fldCharType="end"/>
        </w:r>
      </w:hyperlink>
    </w:p>
    <w:p w14:paraId="41C768B2" w14:textId="2B21A0F2" w:rsidR="00BC21F5" w:rsidRDefault="00E31BD2">
      <w:pPr>
        <w:pStyle w:val="Turinys2"/>
        <w:rPr>
          <w:rFonts w:eastAsiaTheme="minorEastAsia" w:cstheme="minorBidi"/>
          <w:i w:val="0"/>
          <w:noProof/>
          <w:szCs w:val="22"/>
        </w:rPr>
      </w:pPr>
      <w:hyperlink w:anchor="_Toc14784001" w:history="1">
        <w:r w:rsidR="00BC21F5" w:rsidRPr="0086356B">
          <w:rPr>
            <w:rStyle w:val="Hipersaitas"/>
            <w:noProof/>
          </w:rPr>
          <w:t>Dėl reikalavimų užsienietį ketinančiam įdarbinti darbdaviui, kai sprendžiama dėl leidimo laikinai gyventi Lietuvos Respublikoje išdavimo (Įstatymo „Dėl užsieniečių teisinės padėties“ 44 str. 1 d.)</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_Toc14784001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4</w:t>
        </w:r>
        <w:r w:rsidR="00BC21F5" w:rsidRPr="005841C7">
          <w:rPr>
            <w:b/>
            <w:bCs/>
            <w:i w:val="0"/>
            <w:iCs/>
            <w:noProof/>
            <w:webHidden/>
          </w:rPr>
          <w:fldChar w:fldCharType="end"/>
        </w:r>
      </w:hyperlink>
    </w:p>
    <w:p w14:paraId="1A083AF3" w14:textId="1E435B4A" w:rsidR="00BC21F5" w:rsidRDefault="00E31BD2">
      <w:pPr>
        <w:pStyle w:val="Turinys2"/>
        <w:rPr>
          <w:rFonts w:eastAsiaTheme="minorEastAsia" w:cstheme="minorBidi"/>
          <w:i w:val="0"/>
          <w:noProof/>
          <w:szCs w:val="22"/>
        </w:rPr>
      </w:pPr>
      <w:hyperlink w:anchor="_Toc14784002" w:history="1">
        <w:r w:rsidR="00BC21F5" w:rsidRPr="0086356B">
          <w:rPr>
            <w:rStyle w:val="Hipersaitas"/>
            <w:noProof/>
          </w:rPr>
          <w:t>Dėl prašymą išduoti laikiną leidimą gyventi Lietuvos Respublikoje pateikusio asmens pareigos reikiamus dokumentus pateikti administracinės procedūros, susijusios su šio prašymo nagrinėjimu, metu</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_Toc14784002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4</w:t>
        </w:r>
        <w:r w:rsidR="00BC21F5" w:rsidRPr="005841C7">
          <w:rPr>
            <w:b/>
            <w:bCs/>
            <w:i w:val="0"/>
            <w:iCs/>
            <w:noProof/>
            <w:webHidden/>
          </w:rPr>
          <w:fldChar w:fldCharType="end"/>
        </w:r>
      </w:hyperlink>
    </w:p>
    <w:p w14:paraId="48CA3E4A" w14:textId="286CF925" w:rsidR="00BC21F5" w:rsidRDefault="00E31BD2">
      <w:pPr>
        <w:pStyle w:val="Turinys2"/>
        <w:rPr>
          <w:rFonts w:eastAsiaTheme="minorEastAsia" w:cstheme="minorBidi"/>
          <w:i w:val="0"/>
          <w:noProof/>
          <w:szCs w:val="22"/>
        </w:rPr>
      </w:pPr>
      <w:hyperlink w:anchor="_Toc14784003" w:history="1">
        <w:r w:rsidR="00BC21F5" w:rsidRPr="0086356B">
          <w:rPr>
            <w:rStyle w:val="Hipersaitas"/>
            <w:noProof/>
          </w:rPr>
          <w:t>Dėl įrodymų pakankamumo, sprendžiant leidimo gyventi išdavimo lietuvių kilmės asmeniui klausimą</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_Toc14784003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6</w:t>
        </w:r>
        <w:r w:rsidR="00BC21F5" w:rsidRPr="005841C7">
          <w:rPr>
            <w:b/>
            <w:bCs/>
            <w:i w:val="0"/>
            <w:iCs/>
            <w:noProof/>
            <w:webHidden/>
          </w:rPr>
          <w:fldChar w:fldCharType="end"/>
        </w:r>
      </w:hyperlink>
    </w:p>
    <w:p w14:paraId="11C477B3" w14:textId="1A45979B" w:rsidR="00BC21F5" w:rsidRDefault="00E31BD2">
      <w:pPr>
        <w:pStyle w:val="Turinys1"/>
        <w:rPr>
          <w:rFonts w:eastAsiaTheme="minorEastAsia" w:cstheme="minorBidi"/>
          <w:b w:val="0"/>
          <w:bCs w:val="0"/>
          <w:caps w:val="0"/>
          <w:noProof/>
          <w:szCs w:val="22"/>
        </w:rPr>
      </w:pPr>
      <w:hyperlink w:anchor="_Toc14784004" w:history="1">
        <w:r w:rsidR="00BC21F5" w:rsidRPr="0086356B">
          <w:rPr>
            <w:rStyle w:val="Hipersaitas"/>
            <w:rFonts w:cstheme="minorHAnsi"/>
            <w:noProof/>
          </w:rPr>
          <w:t>11. Konkurencija</w:t>
        </w:r>
        <w:r w:rsidR="00BC21F5">
          <w:rPr>
            <w:noProof/>
            <w:webHidden/>
          </w:rPr>
          <w:tab/>
        </w:r>
        <w:r w:rsidR="00BC21F5">
          <w:rPr>
            <w:noProof/>
            <w:webHidden/>
          </w:rPr>
          <w:fldChar w:fldCharType="begin"/>
        </w:r>
        <w:r w:rsidR="00BC21F5">
          <w:rPr>
            <w:noProof/>
            <w:webHidden/>
          </w:rPr>
          <w:instrText xml:space="preserve"> PAGEREF _Toc14784004 \h </w:instrText>
        </w:r>
        <w:r w:rsidR="00BC21F5">
          <w:rPr>
            <w:noProof/>
            <w:webHidden/>
          </w:rPr>
        </w:r>
        <w:r w:rsidR="00BC21F5">
          <w:rPr>
            <w:noProof/>
            <w:webHidden/>
          </w:rPr>
          <w:fldChar w:fldCharType="separate"/>
        </w:r>
        <w:r w:rsidR="00BC21F5">
          <w:rPr>
            <w:noProof/>
            <w:webHidden/>
          </w:rPr>
          <w:t>7</w:t>
        </w:r>
        <w:r w:rsidR="00BC21F5">
          <w:rPr>
            <w:noProof/>
            <w:webHidden/>
          </w:rPr>
          <w:fldChar w:fldCharType="end"/>
        </w:r>
      </w:hyperlink>
    </w:p>
    <w:p w14:paraId="3930C733" w14:textId="38F36889" w:rsidR="00BC21F5" w:rsidRDefault="00E31BD2">
      <w:pPr>
        <w:pStyle w:val="Turinys2"/>
        <w:rPr>
          <w:rFonts w:eastAsiaTheme="minorEastAsia" w:cstheme="minorBidi"/>
          <w:i w:val="0"/>
          <w:noProof/>
          <w:szCs w:val="22"/>
        </w:rPr>
      </w:pPr>
      <w:hyperlink w:anchor="_Toc14784005" w:history="1">
        <w:r w:rsidR="00BC21F5" w:rsidRPr="0086356B">
          <w:rPr>
            <w:rStyle w:val="Hipersaitas"/>
            <w:rFonts w:cstheme="minorHAnsi"/>
            <w:noProof/>
          </w:rPr>
          <w:t>Dėl geografinės rinkos apibrėžimo, vertinant vertikaliųjų apribojimų turintį susitarimą</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_Toc14784005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7</w:t>
        </w:r>
        <w:r w:rsidR="00BC21F5" w:rsidRPr="005841C7">
          <w:rPr>
            <w:b/>
            <w:bCs/>
            <w:i w:val="0"/>
            <w:iCs/>
            <w:noProof/>
            <w:webHidden/>
          </w:rPr>
          <w:fldChar w:fldCharType="end"/>
        </w:r>
      </w:hyperlink>
    </w:p>
    <w:p w14:paraId="1F56B9B5" w14:textId="794D3EAA" w:rsidR="00BC21F5" w:rsidRDefault="00E31BD2">
      <w:pPr>
        <w:pStyle w:val="Turinys1"/>
        <w:rPr>
          <w:rFonts w:eastAsiaTheme="minorEastAsia" w:cstheme="minorBidi"/>
          <w:b w:val="0"/>
          <w:bCs w:val="0"/>
          <w:caps w:val="0"/>
          <w:noProof/>
          <w:szCs w:val="22"/>
        </w:rPr>
      </w:pPr>
      <w:hyperlink w:anchor="_Toc14784006" w:history="1">
        <w:r w:rsidR="00BC21F5" w:rsidRPr="0086356B">
          <w:rPr>
            <w:rStyle w:val="Hipersaitas"/>
            <w:rFonts w:cstheme="minorHAnsi"/>
            <w:noProof/>
          </w:rPr>
          <w:t>12. Mokesčiai, įmokos ir kiti privalomieji mokėjimai</w:t>
        </w:r>
        <w:r w:rsidR="00BC21F5">
          <w:rPr>
            <w:noProof/>
            <w:webHidden/>
          </w:rPr>
          <w:tab/>
        </w:r>
        <w:r w:rsidR="00BC21F5">
          <w:rPr>
            <w:noProof/>
            <w:webHidden/>
          </w:rPr>
          <w:fldChar w:fldCharType="begin"/>
        </w:r>
        <w:r w:rsidR="00BC21F5">
          <w:rPr>
            <w:noProof/>
            <w:webHidden/>
          </w:rPr>
          <w:instrText xml:space="preserve"> PAGEREF _Toc14784006 \h </w:instrText>
        </w:r>
        <w:r w:rsidR="00BC21F5">
          <w:rPr>
            <w:noProof/>
            <w:webHidden/>
          </w:rPr>
        </w:r>
        <w:r w:rsidR="00BC21F5">
          <w:rPr>
            <w:noProof/>
            <w:webHidden/>
          </w:rPr>
          <w:fldChar w:fldCharType="separate"/>
        </w:r>
        <w:r w:rsidR="00BC21F5">
          <w:rPr>
            <w:noProof/>
            <w:webHidden/>
          </w:rPr>
          <w:t>8</w:t>
        </w:r>
        <w:r w:rsidR="00BC21F5">
          <w:rPr>
            <w:noProof/>
            <w:webHidden/>
          </w:rPr>
          <w:fldChar w:fldCharType="end"/>
        </w:r>
      </w:hyperlink>
    </w:p>
    <w:p w14:paraId="5D1F27D9" w14:textId="1D77AA79" w:rsidR="00BC21F5" w:rsidRDefault="00E31BD2">
      <w:pPr>
        <w:pStyle w:val="Turinys2"/>
        <w:rPr>
          <w:rFonts w:eastAsiaTheme="minorEastAsia" w:cstheme="minorBidi"/>
          <w:i w:val="0"/>
          <w:noProof/>
          <w:szCs w:val="22"/>
        </w:rPr>
      </w:pPr>
      <w:hyperlink w:anchor="_Toc14784007" w:history="1">
        <w:r w:rsidR="00BC21F5" w:rsidRPr="0086356B">
          <w:rPr>
            <w:rStyle w:val="Hipersaitas"/>
            <w:noProof/>
          </w:rPr>
          <w:t>Dėl mokesčių administratoriaus teisės reikalauti, kad paveldėtojas įvykdytų mirusio mokesčio mokėtojo mokestines prievoles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_Toc14784007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8</w:t>
        </w:r>
        <w:r w:rsidR="00BC21F5" w:rsidRPr="005841C7">
          <w:rPr>
            <w:b/>
            <w:bCs/>
            <w:i w:val="0"/>
            <w:iCs/>
            <w:noProof/>
            <w:webHidden/>
          </w:rPr>
          <w:fldChar w:fldCharType="end"/>
        </w:r>
      </w:hyperlink>
    </w:p>
    <w:p w14:paraId="0F489A89" w14:textId="6099AE7F" w:rsidR="00BC21F5" w:rsidRDefault="00E31BD2">
      <w:pPr>
        <w:pStyle w:val="Turinys2"/>
        <w:rPr>
          <w:rFonts w:eastAsiaTheme="minorEastAsia" w:cstheme="minorBidi"/>
          <w:i w:val="0"/>
          <w:noProof/>
          <w:szCs w:val="22"/>
        </w:rPr>
      </w:pPr>
      <w:hyperlink w:anchor="_Toc14784008" w:history="1">
        <w:r w:rsidR="00BC21F5" w:rsidRPr="0086356B">
          <w:rPr>
            <w:rStyle w:val="Hipersaitas"/>
            <w:noProof/>
          </w:rPr>
          <w:t>Dėl mokesčio delspinigių nuo mirusio mokesčių mokėtojo nesumokėtų mokesčių skaičiavimo už laikotarpį po jo (mokesčių mokėtojo) mirties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_Toc14784008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8</w:t>
        </w:r>
        <w:r w:rsidR="00BC21F5" w:rsidRPr="005841C7">
          <w:rPr>
            <w:b/>
            <w:bCs/>
            <w:i w:val="0"/>
            <w:iCs/>
            <w:noProof/>
            <w:webHidden/>
          </w:rPr>
          <w:fldChar w:fldCharType="end"/>
        </w:r>
      </w:hyperlink>
    </w:p>
    <w:p w14:paraId="6F5D200E" w14:textId="21B45EC4" w:rsidR="00BC21F5" w:rsidRDefault="00E31BD2">
      <w:pPr>
        <w:pStyle w:val="Turinys2"/>
        <w:rPr>
          <w:rFonts w:eastAsiaTheme="minorEastAsia" w:cstheme="minorBidi"/>
          <w:i w:val="0"/>
          <w:noProof/>
          <w:szCs w:val="22"/>
        </w:rPr>
      </w:pPr>
      <w:hyperlink w:anchor="_Toc14784009" w:history="1">
        <w:r w:rsidR="00BC21F5" w:rsidRPr="0086356B">
          <w:rPr>
            <w:rStyle w:val="Hipersaitas"/>
            <w:noProof/>
          </w:rPr>
          <w:t>Dėl mokesčių administratoriaus atsisakymo nagrinėti prašymą dėl išankstinio įsipareigojimo dėl mokesčių teisės aktų nuostatų taikymo būsimajam sandoriui</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_Toc14784009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9</w:t>
        </w:r>
        <w:r w:rsidR="00BC21F5" w:rsidRPr="005841C7">
          <w:rPr>
            <w:b/>
            <w:bCs/>
            <w:i w:val="0"/>
            <w:iCs/>
            <w:noProof/>
            <w:webHidden/>
          </w:rPr>
          <w:fldChar w:fldCharType="end"/>
        </w:r>
      </w:hyperlink>
    </w:p>
    <w:p w14:paraId="62A3B251" w14:textId="28D7C06F" w:rsidR="00BC21F5" w:rsidRDefault="00E31BD2">
      <w:pPr>
        <w:pStyle w:val="Turinys2"/>
        <w:rPr>
          <w:rFonts w:eastAsiaTheme="minorEastAsia" w:cstheme="minorBidi"/>
          <w:i w:val="0"/>
          <w:noProof/>
          <w:szCs w:val="22"/>
        </w:rPr>
      </w:pPr>
      <w:hyperlink w:anchor="_Toc14784010" w:history="1">
        <w:r w:rsidR="00BC21F5" w:rsidRPr="0086356B">
          <w:rPr>
            <w:rStyle w:val="Hipersaitas"/>
            <w:noProof/>
          </w:rPr>
          <w:t>Dėl pareigos mokėti sąskaitoje faktūroje išskirtą (nurodytą) pridėtinės vertės mokestį, kai prekių tiekimas realiai neįvyko ir nėra valstybės biudžeto pajamų praradimo rizikos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_Toc14784010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10</w:t>
        </w:r>
        <w:r w:rsidR="00BC21F5" w:rsidRPr="005841C7">
          <w:rPr>
            <w:b/>
            <w:bCs/>
            <w:i w:val="0"/>
            <w:iCs/>
            <w:noProof/>
            <w:webHidden/>
          </w:rPr>
          <w:fldChar w:fldCharType="end"/>
        </w:r>
      </w:hyperlink>
    </w:p>
    <w:p w14:paraId="3CFCC9BB" w14:textId="02C90086" w:rsidR="00BC21F5" w:rsidRDefault="00E31BD2">
      <w:pPr>
        <w:pStyle w:val="Turinys2"/>
        <w:rPr>
          <w:rFonts w:eastAsiaTheme="minorEastAsia" w:cstheme="minorBidi"/>
          <w:i w:val="0"/>
          <w:noProof/>
          <w:szCs w:val="22"/>
        </w:rPr>
      </w:pPr>
      <w:hyperlink w:anchor="_Toc14784011" w:history="1">
        <w:r w:rsidR="00BC21F5" w:rsidRPr="0086356B">
          <w:rPr>
            <w:rStyle w:val="Hipersaitas"/>
            <w:noProof/>
          </w:rPr>
          <w:t>Dėl tabako gaminio priskyrimo cigarų ir cigarilių kategorijai</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_Toc14784011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10</w:t>
        </w:r>
        <w:r w:rsidR="00BC21F5" w:rsidRPr="005841C7">
          <w:rPr>
            <w:b/>
            <w:bCs/>
            <w:i w:val="0"/>
            <w:iCs/>
            <w:noProof/>
            <w:webHidden/>
          </w:rPr>
          <w:fldChar w:fldCharType="end"/>
        </w:r>
      </w:hyperlink>
    </w:p>
    <w:p w14:paraId="48D3F1E3" w14:textId="20F0946C" w:rsidR="00BC21F5" w:rsidRDefault="00E31BD2">
      <w:pPr>
        <w:pStyle w:val="Turinys1"/>
        <w:rPr>
          <w:rFonts w:eastAsiaTheme="minorEastAsia" w:cstheme="minorBidi"/>
          <w:b w:val="0"/>
          <w:bCs w:val="0"/>
          <w:caps w:val="0"/>
          <w:noProof/>
          <w:szCs w:val="22"/>
        </w:rPr>
      </w:pPr>
      <w:hyperlink w:anchor="_Toc14784012" w:history="1">
        <w:r w:rsidR="00BC21F5" w:rsidRPr="0086356B">
          <w:rPr>
            <w:rStyle w:val="Hipersaitas"/>
            <w:rFonts w:cstheme="minorHAnsi"/>
            <w:noProof/>
          </w:rPr>
          <w:t>14. Aplinkos apsauga</w:t>
        </w:r>
        <w:r w:rsidR="00BC21F5">
          <w:rPr>
            <w:noProof/>
            <w:webHidden/>
          </w:rPr>
          <w:tab/>
        </w:r>
        <w:r w:rsidR="00BC21F5">
          <w:rPr>
            <w:noProof/>
            <w:webHidden/>
          </w:rPr>
          <w:fldChar w:fldCharType="begin"/>
        </w:r>
        <w:r w:rsidR="00BC21F5">
          <w:rPr>
            <w:noProof/>
            <w:webHidden/>
          </w:rPr>
          <w:instrText xml:space="preserve"> PAGEREF _Toc14784012 \h </w:instrText>
        </w:r>
        <w:r w:rsidR="00BC21F5">
          <w:rPr>
            <w:noProof/>
            <w:webHidden/>
          </w:rPr>
        </w:r>
        <w:r w:rsidR="00BC21F5">
          <w:rPr>
            <w:noProof/>
            <w:webHidden/>
          </w:rPr>
          <w:fldChar w:fldCharType="separate"/>
        </w:r>
        <w:r w:rsidR="00BC21F5">
          <w:rPr>
            <w:noProof/>
            <w:webHidden/>
          </w:rPr>
          <w:t>11</w:t>
        </w:r>
        <w:r w:rsidR="00BC21F5">
          <w:rPr>
            <w:noProof/>
            <w:webHidden/>
          </w:rPr>
          <w:fldChar w:fldCharType="end"/>
        </w:r>
      </w:hyperlink>
    </w:p>
    <w:p w14:paraId="05F35AF9" w14:textId="01CD00C4" w:rsidR="00BC21F5" w:rsidRDefault="00E31BD2">
      <w:pPr>
        <w:pStyle w:val="Turinys2"/>
        <w:rPr>
          <w:rFonts w:eastAsiaTheme="minorEastAsia" w:cstheme="minorBidi"/>
          <w:i w:val="0"/>
          <w:noProof/>
          <w:szCs w:val="22"/>
        </w:rPr>
      </w:pPr>
      <w:hyperlink w:anchor="_Toc14784013" w:history="1">
        <w:r w:rsidR="00BC21F5" w:rsidRPr="0086356B">
          <w:rPr>
            <w:rStyle w:val="Hipersaitas"/>
            <w:noProof/>
          </w:rPr>
          <w:t>Dėl naujų atliekų priėmimo vietų steigimui ir paskelbimui apie tokias vietas keliamų reikalavimų</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_Toc14784013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11</w:t>
        </w:r>
        <w:r w:rsidR="00BC21F5" w:rsidRPr="005841C7">
          <w:rPr>
            <w:b/>
            <w:bCs/>
            <w:i w:val="0"/>
            <w:iCs/>
            <w:noProof/>
            <w:webHidden/>
          </w:rPr>
          <w:fldChar w:fldCharType="end"/>
        </w:r>
      </w:hyperlink>
    </w:p>
    <w:p w14:paraId="63F5BD33" w14:textId="6B32D9BF" w:rsidR="00BC21F5" w:rsidRDefault="00E31BD2">
      <w:pPr>
        <w:pStyle w:val="Turinys1"/>
        <w:rPr>
          <w:rFonts w:eastAsiaTheme="minorEastAsia" w:cstheme="minorBidi"/>
          <w:b w:val="0"/>
          <w:bCs w:val="0"/>
          <w:caps w:val="0"/>
          <w:noProof/>
          <w:szCs w:val="22"/>
        </w:rPr>
      </w:pPr>
      <w:hyperlink w:anchor="_Toc14784014" w:history="1">
        <w:r w:rsidR="00BC21F5" w:rsidRPr="0086356B">
          <w:rPr>
            <w:rStyle w:val="Hipersaitas"/>
            <w:rFonts w:cstheme="minorHAnsi"/>
            <w:noProof/>
          </w:rPr>
          <w:t>20. Civilinė atsakomybė už žalą, atsiradusią dėl valdžios institucijų neteisėtų veiksmų</w:t>
        </w:r>
        <w:r w:rsidR="00BC21F5">
          <w:rPr>
            <w:noProof/>
            <w:webHidden/>
          </w:rPr>
          <w:tab/>
        </w:r>
        <w:r w:rsidR="00BC21F5">
          <w:rPr>
            <w:noProof/>
            <w:webHidden/>
          </w:rPr>
          <w:fldChar w:fldCharType="begin"/>
        </w:r>
        <w:r w:rsidR="00BC21F5">
          <w:rPr>
            <w:noProof/>
            <w:webHidden/>
          </w:rPr>
          <w:instrText xml:space="preserve"> PAGEREF _Toc14784014 \h </w:instrText>
        </w:r>
        <w:r w:rsidR="00BC21F5">
          <w:rPr>
            <w:noProof/>
            <w:webHidden/>
          </w:rPr>
        </w:r>
        <w:r w:rsidR="00BC21F5">
          <w:rPr>
            <w:noProof/>
            <w:webHidden/>
          </w:rPr>
          <w:fldChar w:fldCharType="separate"/>
        </w:r>
        <w:r w:rsidR="00BC21F5">
          <w:rPr>
            <w:noProof/>
            <w:webHidden/>
          </w:rPr>
          <w:t>13</w:t>
        </w:r>
        <w:r w:rsidR="00BC21F5">
          <w:rPr>
            <w:noProof/>
            <w:webHidden/>
          </w:rPr>
          <w:fldChar w:fldCharType="end"/>
        </w:r>
      </w:hyperlink>
    </w:p>
    <w:p w14:paraId="656836F3" w14:textId="41E5BB4E" w:rsidR="00BC21F5" w:rsidRDefault="00E31BD2">
      <w:pPr>
        <w:pStyle w:val="Turinys2"/>
        <w:rPr>
          <w:rFonts w:eastAsiaTheme="minorEastAsia" w:cstheme="minorBidi"/>
          <w:i w:val="0"/>
          <w:noProof/>
          <w:szCs w:val="22"/>
        </w:rPr>
      </w:pPr>
      <w:hyperlink w:anchor="_Toc14784015" w:history="1">
        <w:r w:rsidR="00BC21F5" w:rsidRPr="0086356B">
          <w:rPr>
            <w:rStyle w:val="Hipersaitas"/>
            <w:rFonts w:cstheme="minorHAnsi"/>
            <w:noProof/>
          </w:rPr>
          <w:t>Dėl vaikų socializacijos centro kaip netinkamo atsakovo Civilinio kodekso 6.271 straipsnio prasme</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_Toc14784015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13</w:t>
        </w:r>
        <w:r w:rsidR="00BC21F5" w:rsidRPr="005841C7">
          <w:rPr>
            <w:b/>
            <w:bCs/>
            <w:i w:val="0"/>
            <w:iCs/>
            <w:noProof/>
            <w:webHidden/>
          </w:rPr>
          <w:fldChar w:fldCharType="end"/>
        </w:r>
      </w:hyperlink>
    </w:p>
    <w:p w14:paraId="6A10F7EB" w14:textId="0CCB12AB" w:rsidR="00BC21F5" w:rsidRDefault="00E31BD2">
      <w:pPr>
        <w:pStyle w:val="Turinys1"/>
        <w:rPr>
          <w:rFonts w:eastAsiaTheme="minorEastAsia" w:cstheme="minorBidi"/>
          <w:b w:val="0"/>
          <w:bCs w:val="0"/>
          <w:caps w:val="0"/>
          <w:noProof/>
          <w:szCs w:val="22"/>
        </w:rPr>
      </w:pPr>
      <w:hyperlink w:anchor="_Toc14784016" w:history="1">
        <w:r w:rsidR="00BC21F5" w:rsidRPr="0086356B">
          <w:rPr>
            <w:rStyle w:val="Hipersaitas"/>
            <w:rFonts w:ascii="Calibri" w:hAnsi="Calibri"/>
            <w:noProof/>
          </w:rPr>
          <w:t>22. Kiti su valstybės tarnyba susiję klausimai</w:t>
        </w:r>
        <w:r w:rsidR="00BC21F5">
          <w:rPr>
            <w:noProof/>
            <w:webHidden/>
          </w:rPr>
          <w:tab/>
        </w:r>
        <w:r w:rsidR="00BC21F5">
          <w:rPr>
            <w:noProof/>
            <w:webHidden/>
          </w:rPr>
          <w:fldChar w:fldCharType="begin"/>
        </w:r>
        <w:r w:rsidR="00BC21F5">
          <w:rPr>
            <w:noProof/>
            <w:webHidden/>
          </w:rPr>
          <w:instrText xml:space="preserve"> PAGEREF _Toc14784016 \h </w:instrText>
        </w:r>
        <w:r w:rsidR="00BC21F5">
          <w:rPr>
            <w:noProof/>
            <w:webHidden/>
          </w:rPr>
        </w:r>
        <w:r w:rsidR="00BC21F5">
          <w:rPr>
            <w:noProof/>
            <w:webHidden/>
          </w:rPr>
          <w:fldChar w:fldCharType="separate"/>
        </w:r>
        <w:r w:rsidR="00BC21F5">
          <w:rPr>
            <w:noProof/>
            <w:webHidden/>
          </w:rPr>
          <w:t>13</w:t>
        </w:r>
        <w:r w:rsidR="00BC21F5">
          <w:rPr>
            <w:noProof/>
            <w:webHidden/>
          </w:rPr>
          <w:fldChar w:fldCharType="end"/>
        </w:r>
      </w:hyperlink>
    </w:p>
    <w:p w14:paraId="2803E4F0" w14:textId="272E9766" w:rsidR="00BC21F5" w:rsidRDefault="00E31BD2">
      <w:pPr>
        <w:pStyle w:val="Turinys2"/>
        <w:rPr>
          <w:rFonts w:eastAsiaTheme="minorEastAsia" w:cstheme="minorBidi"/>
          <w:i w:val="0"/>
          <w:noProof/>
          <w:szCs w:val="22"/>
        </w:rPr>
      </w:pPr>
      <w:hyperlink w:anchor="_Toc14784017" w:history="1">
        <w:r w:rsidR="00BC21F5" w:rsidRPr="0086356B">
          <w:rPr>
            <w:rStyle w:val="Hipersaitas"/>
            <w:noProof/>
          </w:rPr>
          <w:t>Dėl pareigūno vertinimo „labai gerai“ po to, kai jam buvo skirta nuobauda</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_Toc14784017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13</w:t>
        </w:r>
        <w:r w:rsidR="00BC21F5" w:rsidRPr="005841C7">
          <w:rPr>
            <w:b/>
            <w:bCs/>
            <w:i w:val="0"/>
            <w:iCs/>
            <w:noProof/>
            <w:webHidden/>
          </w:rPr>
          <w:fldChar w:fldCharType="end"/>
        </w:r>
      </w:hyperlink>
    </w:p>
    <w:p w14:paraId="38729A9D" w14:textId="188B5EB1" w:rsidR="00BC21F5" w:rsidRDefault="00E31BD2">
      <w:pPr>
        <w:pStyle w:val="Turinys1"/>
        <w:rPr>
          <w:rFonts w:eastAsiaTheme="minorEastAsia" w:cstheme="minorBidi"/>
          <w:b w:val="0"/>
          <w:bCs w:val="0"/>
          <w:caps w:val="0"/>
          <w:noProof/>
          <w:szCs w:val="22"/>
        </w:rPr>
      </w:pPr>
      <w:hyperlink w:anchor="_Toc14784018" w:history="1">
        <w:r w:rsidR="00BC21F5" w:rsidRPr="0086356B">
          <w:rPr>
            <w:rStyle w:val="Hipersaitas"/>
            <w:rFonts w:cstheme="minorHAnsi"/>
            <w:noProof/>
          </w:rPr>
          <w:t>29. Nacionalinių, Europos Sąjungos ir užsienio institucijų finansinė parama</w:t>
        </w:r>
        <w:r w:rsidR="00BC21F5">
          <w:rPr>
            <w:noProof/>
            <w:webHidden/>
          </w:rPr>
          <w:tab/>
        </w:r>
        <w:r w:rsidR="00BC21F5">
          <w:rPr>
            <w:noProof/>
            <w:webHidden/>
          </w:rPr>
          <w:fldChar w:fldCharType="begin"/>
        </w:r>
        <w:r w:rsidR="00BC21F5">
          <w:rPr>
            <w:noProof/>
            <w:webHidden/>
          </w:rPr>
          <w:instrText xml:space="preserve"> PAGEREF _Toc14784018 \h </w:instrText>
        </w:r>
        <w:r w:rsidR="00BC21F5">
          <w:rPr>
            <w:noProof/>
            <w:webHidden/>
          </w:rPr>
        </w:r>
        <w:r w:rsidR="00BC21F5">
          <w:rPr>
            <w:noProof/>
            <w:webHidden/>
          </w:rPr>
          <w:fldChar w:fldCharType="separate"/>
        </w:r>
        <w:r w:rsidR="00BC21F5">
          <w:rPr>
            <w:noProof/>
            <w:webHidden/>
          </w:rPr>
          <w:t>14</w:t>
        </w:r>
        <w:r w:rsidR="00BC21F5">
          <w:rPr>
            <w:noProof/>
            <w:webHidden/>
          </w:rPr>
          <w:fldChar w:fldCharType="end"/>
        </w:r>
      </w:hyperlink>
    </w:p>
    <w:p w14:paraId="1FA24132" w14:textId="104FFADB" w:rsidR="00BC21F5" w:rsidRDefault="00E31BD2">
      <w:pPr>
        <w:pStyle w:val="Turinys2"/>
        <w:rPr>
          <w:rFonts w:eastAsiaTheme="minorEastAsia" w:cstheme="minorBidi"/>
          <w:i w:val="0"/>
          <w:noProof/>
          <w:szCs w:val="22"/>
        </w:rPr>
      </w:pPr>
      <w:hyperlink w:anchor="_Toc14784019" w:history="1">
        <w:r w:rsidR="00BC21F5" w:rsidRPr="0086356B">
          <w:rPr>
            <w:rStyle w:val="Hipersaitas"/>
            <w:rFonts w:cstheme="minorHAnsi"/>
            <w:noProof/>
          </w:rPr>
          <w:t>Dėl bendrojo naudojimo objekto valdytojo bei administratoriaus pareigos grąžinti valstybės paramą, neįgyvendinus namo atnaujinimo (modernizavimo) projekto</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_Toc14784019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14</w:t>
        </w:r>
        <w:r w:rsidR="00BC21F5" w:rsidRPr="005841C7">
          <w:rPr>
            <w:b/>
            <w:bCs/>
            <w:i w:val="0"/>
            <w:iCs/>
            <w:noProof/>
            <w:webHidden/>
          </w:rPr>
          <w:fldChar w:fldCharType="end"/>
        </w:r>
      </w:hyperlink>
    </w:p>
    <w:p w14:paraId="2EABCB92" w14:textId="72FB14F7" w:rsidR="00BC21F5" w:rsidRDefault="00E31BD2">
      <w:pPr>
        <w:pStyle w:val="Turinys1"/>
        <w:rPr>
          <w:rFonts w:eastAsiaTheme="minorEastAsia" w:cstheme="minorBidi"/>
          <w:b w:val="0"/>
          <w:bCs w:val="0"/>
          <w:caps w:val="0"/>
          <w:noProof/>
          <w:szCs w:val="22"/>
        </w:rPr>
      </w:pPr>
      <w:hyperlink w:anchor="_Toc14784020" w:history="1">
        <w:r w:rsidR="00BC21F5" w:rsidRPr="0086356B">
          <w:rPr>
            <w:rStyle w:val="Hipersaitas"/>
            <w:rFonts w:ascii="Calibri" w:hAnsi="Calibri"/>
            <w:noProof/>
          </w:rPr>
          <w:t>33. Finansų rinkų priežiūra</w:t>
        </w:r>
        <w:r w:rsidR="00BC21F5">
          <w:rPr>
            <w:noProof/>
            <w:webHidden/>
          </w:rPr>
          <w:tab/>
        </w:r>
        <w:r w:rsidR="00BC21F5">
          <w:rPr>
            <w:noProof/>
            <w:webHidden/>
          </w:rPr>
          <w:fldChar w:fldCharType="begin"/>
        </w:r>
        <w:r w:rsidR="00BC21F5">
          <w:rPr>
            <w:noProof/>
            <w:webHidden/>
          </w:rPr>
          <w:instrText xml:space="preserve"> PAGEREF _Toc14784020 \h </w:instrText>
        </w:r>
        <w:r w:rsidR="00BC21F5">
          <w:rPr>
            <w:noProof/>
            <w:webHidden/>
          </w:rPr>
        </w:r>
        <w:r w:rsidR="00BC21F5">
          <w:rPr>
            <w:noProof/>
            <w:webHidden/>
          </w:rPr>
          <w:fldChar w:fldCharType="separate"/>
        </w:r>
        <w:r w:rsidR="00BC21F5">
          <w:rPr>
            <w:noProof/>
            <w:webHidden/>
          </w:rPr>
          <w:t>16</w:t>
        </w:r>
        <w:r w:rsidR="00BC21F5">
          <w:rPr>
            <w:noProof/>
            <w:webHidden/>
          </w:rPr>
          <w:fldChar w:fldCharType="end"/>
        </w:r>
      </w:hyperlink>
    </w:p>
    <w:p w14:paraId="0FAD608E" w14:textId="5916256B" w:rsidR="00BC21F5" w:rsidRDefault="00E31BD2">
      <w:pPr>
        <w:pStyle w:val="Turinys2"/>
        <w:rPr>
          <w:rFonts w:eastAsiaTheme="minorEastAsia" w:cstheme="minorBidi"/>
          <w:i w:val="0"/>
          <w:noProof/>
          <w:szCs w:val="22"/>
        </w:rPr>
      </w:pPr>
      <w:hyperlink w:anchor="_Toc14784021" w:history="1">
        <w:r w:rsidR="00BC21F5" w:rsidRPr="0086356B">
          <w:rPr>
            <w:rStyle w:val="Hipersaitas"/>
            <w:rFonts w:ascii="Calibri" w:eastAsia="Calibri" w:hAnsi="Calibri"/>
            <w:noProof/>
          </w:rPr>
          <w:t>Dėl atsakomybės už finansinių priemonių portfelio valdymo paslaugos teikimą neturint tam licencijos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_Toc14784021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16</w:t>
        </w:r>
        <w:r w:rsidR="00BC21F5" w:rsidRPr="005841C7">
          <w:rPr>
            <w:b/>
            <w:bCs/>
            <w:i w:val="0"/>
            <w:iCs/>
            <w:noProof/>
            <w:webHidden/>
          </w:rPr>
          <w:fldChar w:fldCharType="end"/>
        </w:r>
      </w:hyperlink>
    </w:p>
    <w:p w14:paraId="095DEA20" w14:textId="37739342" w:rsidR="00BC21F5" w:rsidRDefault="00E31BD2">
      <w:pPr>
        <w:pStyle w:val="Turinys1"/>
        <w:rPr>
          <w:rFonts w:eastAsiaTheme="minorEastAsia" w:cstheme="minorBidi"/>
          <w:b w:val="0"/>
          <w:bCs w:val="0"/>
          <w:caps w:val="0"/>
          <w:noProof/>
          <w:szCs w:val="22"/>
        </w:rPr>
      </w:pPr>
      <w:hyperlink w:anchor="_Toc14784022" w:history="1">
        <w:r w:rsidR="00BC21F5" w:rsidRPr="0086356B">
          <w:rPr>
            <w:rStyle w:val="Hipersaitas"/>
            <w:rFonts w:cstheme="minorHAnsi"/>
            <w:noProof/>
          </w:rPr>
          <w:t>41. Kiti ginčai viešojo administravimo srityje</w:t>
        </w:r>
        <w:r w:rsidR="00BC21F5">
          <w:rPr>
            <w:noProof/>
            <w:webHidden/>
          </w:rPr>
          <w:tab/>
        </w:r>
        <w:r w:rsidR="00BC21F5">
          <w:rPr>
            <w:noProof/>
            <w:webHidden/>
          </w:rPr>
          <w:fldChar w:fldCharType="begin"/>
        </w:r>
        <w:r w:rsidR="00BC21F5">
          <w:rPr>
            <w:noProof/>
            <w:webHidden/>
          </w:rPr>
          <w:instrText xml:space="preserve"> PAGEREF _Toc14784022 \h </w:instrText>
        </w:r>
        <w:r w:rsidR="00BC21F5">
          <w:rPr>
            <w:noProof/>
            <w:webHidden/>
          </w:rPr>
        </w:r>
        <w:r w:rsidR="00BC21F5">
          <w:rPr>
            <w:noProof/>
            <w:webHidden/>
          </w:rPr>
          <w:fldChar w:fldCharType="separate"/>
        </w:r>
        <w:r w:rsidR="00BC21F5">
          <w:rPr>
            <w:noProof/>
            <w:webHidden/>
          </w:rPr>
          <w:t>17</w:t>
        </w:r>
        <w:r w:rsidR="00BC21F5">
          <w:rPr>
            <w:noProof/>
            <w:webHidden/>
          </w:rPr>
          <w:fldChar w:fldCharType="end"/>
        </w:r>
      </w:hyperlink>
    </w:p>
    <w:p w14:paraId="72EB8C7D" w14:textId="0EA4FD74" w:rsidR="00BC21F5" w:rsidRDefault="00E31BD2">
      <w:pPr>
        <w:pStyle w:val="Turinys2"/>
        <w:rPr>
          <w:rFonts w:eastAsiaTheme="minorEastAsia" w:cstheme="minorBidi"/>
          <w:i w:val="0"/>
          <w:noProof/>
          <w:szCs w:val="22"/>
        </w:rPr>
      </w:pPr>
      <w:hyperlink w:anchor="_Toc14784023" w:history="1">
        <w:r w:rsidR="00BC21F5" w:rsidRPr="0086356B">
          <w:rPr>
            <w:rStyle w:val="Hipersaitas"/>
            <w:noProof/>
          </w:rPr>
          <w:t>Dėl mokesčių administratoriaus teisės išieškoti baudą už administracinį teisės nusižengimą iš asmens turto atsiradimo momento</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_Toc14784023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18</w:t>
        </w:r>
        <w:r w:rsidR="00BC21F5" w:rsidRPr="005841C7">
          <w:rPr>
            <w:b/>
            <w:bCs/>
            <w:i w:val="0"/>
            <w:iCs/>
            <w:noProof/>
            <w:webHidden/>
          </w:rPr>
          <w:fldChar w:fldCharType="end"/>
        </w:r>
      </w:hyperlink>
    </w:p>
    <w:p w14:paraId="51798075" w14:textId="7EA825A0" w:rsidR="00BC21F5" w:rsidRDefault="00E31BD2">
      <w:pPr>
        <w:pStyle w:val="Turinys1"/>
        <w:rPr>
          <w:rFonts w:eastAsiaTheme="minorEastAsia" w:cstheme="minorBidi"/>
          <w:b w:val="0"/>
          <w:bCs w:val="0"/>
          <w:caps w:val="0"/>
          <w:noProof/>
          <w:szCs w:val="22"/>
        </w:rPr>
      </w:pPr>
      <w:hyperlink w:anchor="_Toc14784024" w:history="1">
        <w:r w:rsidR="00BC21F5" w:rsidRPr="0086356B">
          <w:rPr>
            <w:rStyle w:val="Hipersaitas"/>
            <w:rFonts w:cstheme="minorHAnsi"/>
            <w:noProof/>
          </w:rPr>
          <w:t>II. Administracinių bylų teisena</w:t>
        </w:r>
        <w:r w:rsidR="00BC21F5">
          <w:rPr>
            <w:noProof/>
            <w:webHidden/>
          </w:rPr>
          <w:tab/>
        </w:r>
        <w:r w:rsidR="00BC21F5">
          <w:rPr>
            <w:noProof/>
            <w:webHidden/>
          </w:rPr>
          <w:fldChar w:fldCharType="begin"/>
        </w:r>
        <w:r w:rsidR="00BC21F5">
          <w:rPr>
            <w:noProof/>
            <w:webHidden/>
          </w:rPr>
          <w:instrText xml:space="preserve"> PAGEREF _Toc14784024 \h </w:instrText>
        </w:r>
        <w:r w:rsidR="00BC21F5">
          <w:rPr>
            <w:noProof/>
            <w:webHidden/>
          </w:rPr>
        </w:r>
        <w:r w:rsidR="00BC21F5">
          <w:rPr>
            <w:noProof/>
            <w:webHidden/>
          </w:rPr>
          <w:fldChar w:fldCharType="separate"/>
        </w:r>
        <w:r w:rsidR="00BC21F5">
          <w:rPr>
            <w:noProof/>
            <w:webHidden/>
          </w:rPr>
          <w:t>18</w:t>
        </w:r>
        <w:r w:rsidR="00BC21F5">
          <w:rPr>
            <w:noProof/>
            <w:webHidden/>
          </w:rPr>
          <w:fldChar w:fldCharType="end"/>
        </w:r>
      </w:hyperlink>
    </w:p>
    <w:p w14:paraId="3D41FBD2" w14:textId="4194BBBA" w:rsidR="00BC21F5" w:rsidRDefault="00E31BD2">
      <w:pPr>
        <w:pStyle w:val="Turinys1"/>
        <w:rPr>
          <w:rFonts w:eastAsiaTheme="minorEastAsia" w:cstheme="minorBidi"/>
          <w:b w:val="0"/>
          <w:bCs w:val="0"/>
          <w:caps w:val="0"/>
          <w:noProof/>
          <w:szCs w:val="22"/>
        </w:rPr>
      </w:pPr>
      <w:hyperlink w:anchor="_Toc14784025" w:history="1">
        <w:r w:rsidR="00BC21F5" w:rsidRPr="0086356B">
          <w:rPr>
            <w:rStyle w:val="Hipersaitas"/>
            <w:rFonts w:cstheme="minorHAnsi"/>
            <w:noProof/>
          </w:rPr>
          <w:t>43. Teisė kreiptis į teismą ir jos realizavimas</w:t>
        </w:r>
        <w:r w:rsidR="00BC21F5">
          <w:rPr>
            <w:noProof/>
            <w:webHidden/>
          </w:rPr>
          <w:tab/>
        </w:r>
        <w:r w:rsidR="00BC21F5">
          <w:rPr>
            <w:noProof/>
            <w:webHidden/>
          </w:rPr>
          <w:fldChar w:fldCharType="begin"/>
        </w:r>
        <w:r w:rsidR="00BC21F5">
          <w:rPr>
            <w:noProof/>
            <w:webHidden/>
          </w:rPr>
          <w:instrText xml:space="preserve"> PAGEREF _Toc14784025 \h </w:instrText>
        </w:r>
        <w:r w:rsidR="00BC21F5">
          <w:rPr>
            <w:noProof/>
            <w:webHidden/>
          </w:rPr>
        </w:r>
        <w:r w:rsidR="00BC21F5">
          <w:rPr>
            <w:noProof/>
            <w:webHidden/>
          </w:rPr>
          <w:fldChar w:fldCharType="separate"/>
        </w:r>
        <w:r w:rsidR="00BC21F5">
          <w:rPr>
            <w:noProof/>
            <w:webHidden/>
          </w:rPr>
          <w:t>18</w:t>
        </w:r>
        <w:r w:rsidR="00BC21F5">
          <w:rPr>
            <w:noProof/>
            <w:webHidden/>
          </w:rPr>
          <w:fldChar w:fldCharType="end"/>
        </w:r>
      </w:hyperlink>
    </w:p>
    <w:p w14:paraId="27666FAC" w14:textId="5B038475" w:rsidR="00BC21F5" w:rsidRDefault="00E31BD2">
      <w:pPr>
        <w:pStyle w:val="Turinys2"/>
        <w:rPr>
          <w:rFonts w:eastAsiaTheme="minorEastAsia" w:cstheme="minorBidi"/>
          <w:i w:val="0"/>
          <w:noProof/>
          <w:szCs w:val="22"/>
        </w:rPr>
      </w:pPr>
      <w:hyperlink w:anchor="_Toc14784026" w:history="1">
        <w:r w:rsidR="00BC21F5" w:rsidRPr="0086356B">
          <w:rPr>
            <w:rStyle w:val="Hipersaitas"/>
            <w:noProof/>
          </w:rPr>
          <w:t>Dėl teritorinio administracinių bylų teismingumo, kai sprendžiamas Nacionalinės mokėjimo agentūros prašymo dėl paramos lėšų susigrąžinimo priėmimo klausimas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_Toc14784026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18</w:t>
        </w:r>
        <w:r w:rsidR="00BC21F5" w:rsidRPr="005841C7">
          <w:rPr>
            <w:b/>
            <w:bCs/>
            <w:i w:val="0"/>
            <w:iCs/>
            <w:noProof/>
            <w:webHidden/>
          </w:rPr>
          <w:fldChar w:fldCharType="end"/>
        </w:r>
      </w:hyperlink>
    </w:p>
    <w:p w14:paraId="1FD6DECC" w14:textId="35046438" w:rsidR="00BC21F5" w:rsidRDefault="00E31BD2">
      <w:pPr>
        <w:pStyle w:val="Turinys1"/>
        <w:rPr>
          <w:rFonts w:eastAsiaTheme="minorEastAsia" w:cstheme="minorBidi"/>
          <w:b w:val="0"/>
          <w:bCs w:val="0"/>
          <w:caps w:val="0"/>
          <w:noProof/>
          <w:szCs w:val="22"/>
        </w:rPr>
      </w:pPr>
      <w:hyperlink w:anchor="_Toc14784027" w:history="1">
        <w:r w:rsidR="00BC21F5" w:rsidRPr="0086356B">
          <w:rPr>
            <w:rStyle w:val="Hipersaitas"/>
            <w:rFonts w:ascii="Calibri" w:hAnsi="Calibri"/>
            <w:noProof/>
          </w:rPr>
          <w:t>49. Reikalavimo užtikrinimo priemonių taikymas</w:t>
        </w:r>
        <w:r w:rsidR="00BC21F5">
          <w:rPr>
            <w:noProof/>
            <w:webHidden/>
          </w:rPr>
          <w:tab/>
        </w:r>
        <w:r w:rsidR="00BC21F5">
          <w:rPr>
            <w:noProof/>
            <w:webHidden/>
          </w:rPr>
          <w:fldChar w:fldCharType="begin"/>
        </w:r>
        <w:r w:rsidR="00BC21F5">
          <w:rPr>
            <w:noProof/>
            <w:webHidden/>
          </w:rPr>
          <w:instrText xml:space="preserve"> PAGEREF _Toc14784027 \h </w:instrText>
        </w:r>
        <w:r w:rsidR="00BC21F5">
          <w:rPr>
            <w:noProof/>
            <w:webHidden/>
          </w:rPr>
        </w:r>
        <w:r w:rsidR="00BC21F5">
          <w:rPr>
            <w:noProof/>
            <w:webHidden/>
          </w:rPr>
          <w:fldChar w:fldCharType="separate"/>
        </w:r>
        <w:r w:rsidR="00BC21F5">
          <w:rPr>
            <w:noProof/>
            <w:webHidden/>
          </w:rPr>
          <w:t>19</w:t>
        </w:r>
        <w:r w:rsidR="00BC21F5">
          <w:rPr>
            <w:noProof/>
            <w:webHidden/>
          </w:rPr>
          <w:fldChar w:fldCharType="end"/>
        </w:r>
      </w:hyperlink>
    </w:p>
    <w:p w14:paraId="112DEC43" w14:textId="6F85B8F2" w:rsidR="00BC21F5" w:rsidRDefault="00E31BD2">
      <w:pPr>
        <w:pStyle w:val="Turinys2"/>
        <w:rPr>
          <w:rFonts w:eastAsiaTheme="minorEastAsia" w:cstheme="minorBidi"/>
          <w:i w:val="0"/>
          <w:noProof/>
          <w:szCs w:val="22"/>
        </w:rPr>
      </w:pPr>
      <w:hyperlink w:anchor="_Toc14784028" w:history="1">
        <w:r w:rsidR="00BC21F5" w:rsidRPr="0086356B">
          <w:rPr>
            <w:rStyle w:val="Hipersaitas"/>
            <w:rFonts w:ascii="Calibri" w:eastAsia="Calibri" w:hAnsi="Calibri"/>
            <w:noProof/>
          </w:rPr>
          <w:t>Dėl prašymo sustabdyti ginčijamo akto galiojimą, kada pirmosios instancijos teismas netinkamai išsprendė skundo priėmimo klausimą</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_Toc14784028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19</w:t>
        </w:r>
        <w:r w:rsidR="00BC21F5" w:rsidRPr="005841C7">
          <w:rPr>
            <w:b/>
            <w:bCs/>
            <w:i w:val="0"/>
            <w:iCs/>
            <w:noProof/>
            <w:webHidden/>
          </w:rPr>
          <w:fldChar w:fldCharType="end"/>
        </w:r>
      </w:hyperlink>
    </w:p>
    <w:p w14:paraId="29CD8A00" w14:textId="31E98CFE" w:rsidR="00BC21F5" w:rsidRDefault="00E31BD2">
      <w:pPr>
        <w:pStyle w:val="Turinys1"/>
        <w:rPr>
          <w:rFonts w:eastAsiaTheme="minorEastAsia" w:cstheme="minorBidi"/>
          <w:b w:val="0"/>
          <w:bCs w:val="0"/>
          <w:caps w:val="0"/>
          <w:noProof/>
          <w:szCs w:val="22"/>
        </w:rPr>
      </w:pPr>
      <w:hyperlink w:anchor="_Toc14784029" w:history="1">
        <w:r w:rsidR="00BC21F5" w:rsidRPr="0086356B">
          <w:rPr>
            <w:rStyle w:val="Hipersaitas"/>
            <w:rFonts w:ascii="Calibri" w:hAnsi="Calibri"/>
            <w:noProof/>
          </w:rPr>
          <w:t>51. Pasiruošimas nagrinėti administracines bylas ir jų nagrinėjimas teisme</w:t>
        </w:r>
        <w:r w:rsidR="00BC21F5">
          <w:rPr>
            <w:noProof/>
            <w:webHidden/>
          </w:rPr>
          <w:tab/>
        </w:r>
        <w:r w:rsidR="00BC21F5">
          <w:rPr>
            <w:noProof/>
            <w:webHidden/>
          </w:rPr>
          <w:fldChar w:fldCharType="begin"/>
        </w:r>
        <w:r w:rsidR="00BC21F5">
          <w:rPr>
            <w:noProof/>
            <w:webHidden/>
          </w:rPr>
          <w:instrText xml:space="preserve"> PAGEREF _Toc14784029 \h </w:instrText>
        </w:r>
        <w:r w:rsidR="00BC21F5">
          <w:rPr>
            <w:noProof/>
            <w:webHidden/>
          </w:rPr>
        </w:r>
        <w:r w:rsidR="00BC21F5">
          <w:rPr>
            <w:noProof/>
            <w:webHidden/>
          </w:rPr>
          <w:fldChar w:fldCharType="separate"/>
        </w:r>
        <w:r w:rsidR="00BC21F5">
          <w:rPr>
            <w:noProof/>
            <w:webHidden/>
          </w:rPr>
          <w:t>20</w:t>
        </w:r>
        <w:r w:rsidR="00BC21F5">
          <w:rPr>
            <w:noProof/>
            <w:webHidden/>
          </w:rPr>
          <w:fldChar w:fldCharType="end"/>
        </w:r>
      </w:hyperlink>
    </w:p>
    <w:p w14:paraId="4D33FCAA" w14:textId="21E8C729" w:rsidR="00BC21F5" w:rsidRDefault="00E31BD2">
      <w:pPr>
        <w:pStyle w:val="Turinys2"/>
        <w:rPr>
          <w:rFonts w:eastAsiaTheme="minorEastAsia" w:cstheme="minorBidi"/>
          <w:i w:val="0"/>
          <w:noProof/>
          <w:szCs w:val="22"/>
        </w:rPr>
      </w:pPr>
      <w:hyperlink w:anchor="_Toc14784030" w:history="1">
        <w:r w:rsidR="00BC21F5" w:rsidRPr="0086356B">
          <w:rPr>
            <w:rStyle w:val="Hipersaitas"/>
            <w:noProof/>
          </w:rPr>
          <w:t>Dėl bylų, kuriose prašoma panaikinti Aplinkos apsaugos departamento teritorinio skyriaus specialisto privalomąjį nurodymą, teritorinio teismingumo</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_Toc14784030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20</w:t>
        </w:r>
        <w:r w:rsidR="00BC21F5" w:rsidRPr="005841C7">
          <w:rPr>
            <w:b/>
            <w:bCs/>
            <w:i w:val="0"/>
            <w:iCs/>
            <w:noProof/>
            <w:webHidden/>
          </w:rPr>
          <w:fldChar w:fldCharType="end"/>
        </w:r>
      </w:hyperlink>
    </w:p>
    <w:p w14:paraId="5E70D75A" w14:textId="51FDEF8D" w:rsidR="00BC21F5" w:rsidRDefault="00E31BD2">
      <w:pPr>
        <w:pStyle w:val="Turinys1"/>
        <w:rPr>
          <w:rFonts w:eastAsiaTheme="minorEastAsia" w:cstheme="minorBidi"/>
          <w:b w:val="0"/>
          <w:bCs w:val="0"/>
          <w:caps w:val="0"/>
          <w:noProof/>
          <w:szCs w:val="22"/>
        </w:rPr>
      </w:pPr>
      <w:hyperlink w:anchor="_Toc14784031" w:history="1">
        <w:r w:rsidR="00BC21F5" w:rsidRPr="0086356B">
          <w:rPr>
            <w:rStyle w:val="Hipersaitas"/>
            <w:rFonts w:ascii="Calibri" w:hAnsi="Calibri"/>
            <w:noProof/>
          </w:rPr>
          <w:t>53. Bylos nutraukimas</w:t>
        </w:r>
        <w:r w:rsidR="00BC21F5">
          <w:rPr>
            <w:noProof/>
            <w:webHidden/>
          </w:rPr>
          <w:tab/>
        </w:r>
        <w:r w:rsidR="00BC21F5">
          <w:rPr>
            <w:noProof/>
            <w:webHidden/>
          </w:rPr>
          <w:fldChar w:fldCharType="begin"/>
        </w:r>
        <w:r w:rsidR="00BC21F5">
          <w:rPr>
            <w:noProof/>
            <w:webHidden/>
          </w:rPr>
          <w:instrText xml:space="preserve"> PAGEREF _Toc14784031 \h </w:instrText>
        </w:r>
        <w:r w:rsidR="00BC21F5">
          <w:rPr>
            <w:noProof/>
            <w:webHidden/>
          </w:rPr>
        </w:r>
        <w:r w:rsidR="00BC21F5">
          <w:rPr>
            <w:noProof/>
            <w:webHidden/>
          </w:rPr>
          <w:fldChar w:fldCharType="separate"/>
        </w:r>
        <w:r w:rsidR="00BC21F5">
          <w:rPr>
            <w:noProof/>
            <w:webHidden/>
          </w:rPr>
          <w:t>21</w:t>
        </w:r>
        <w:r w:rsidR="00BC21F5">
          <w:rPr>
            <w:noProof/>
            <w:webHidden/>
          </w:rPr>
          <w:fldChar w:fldCharType="end"/>
        </w:r>
      </w:hyperlink>
    </w:p>
    <w:p w14:paraId="2A02907B" w14:textId="72E85F75" w:rsidR="00BC21F5" w:rsidRDefault="00E31BD2">
      <w:pPr>
        <w:pStyle w:val="Turinys2"/>
        <w:rPr>
          <w:rFonts w:eastAsiaTheme="minorEastAsia" w:cstheme="minorBidi"/>
          <w:i w:val="0"/>
          <w:noProof/>
          <w:szCs w:val="22"/>
        </w:rPr>
      </w:pPr>
      <w:hyperlink w:anchor="_Toc14784032" w:history="1">
        <w:r w:rsidR="00BC21F5" w:rsidRPr="0086356B">
          <w:rPr>
            <w:rStyle w:val="Hipersaitas"/>
            <w:noProof/>
          </w:rPr>
          <w:t>Dėl Mokestinių ginčų komisijos sprendimo panaikinimo, nutraukiant bylą, kai pareiškėjas, inicijavęs mokestinį ginčą, likviduojamas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_Toc14784032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21</w:t>
        </w:r>
        <w:r w:rsidR="00BC21F5" w:rsidRPr="005841C7">
          <w:rPr>
            <w:b/>
            <w:bCs/>
            <w:i w:val="0"/>
            <w:iCs/>
            <w:noProof/>
            <w:webHidden/>
          </w:rPr>
          <w:fldChar w:fldCharType="end"/>
        </w:r>
      </w:hyperlink>
    </w:p>
    <w:p w14:paraId="3F6D9108" w14:textId="66ADEC7A" w:rsidR="00BC21F5" w:rsidRDefault="00E31BD2">
      <w:pPr>
        <w:pStyle w:val="Turinys1"/>
        <w:rPr>
          <w:rFonts w:eastAsiaTheme="minorEastAsia" w:cstheme="minorBidi"/>
          <w:b w:val="0"/>
          <w:bCs w:val="0"/>
          <w:caps w:val="0"/>
          <w:noProof/>
          <w:szCs w:val="22"/>
        </w:rPr>
      </w:pPr>
      <w:hyperlink w:anchor="_Toc14784033" w:history="1">
        <w:r w:rsidR="00BC21F5" w:rsidRPr="0086356B">
          <w:rPr>
            <w:rStyle w:val="Hipersaitas"/>
            <w:rFonts w:ascii="Calibri" w:hAnsi="Calibri" w:cs="Calibri"/>
            <w:noProof/>
          </w:rPr>
          <w:t>57. Bylos nagrinėjimo išlaidos</w:t>
        </w:r>
        <w:r w:rsidR="00BC21F5">
          <w:rPr>
            <w:noProof/>
            <w:webHidden/>
          </w:rPr>
          <w:tab/>
        </w:r>
        <w:r w:rsidR="00BC21F5">
          <w:rPr>
            <w:noProof/>
            <w:webHidden/>
          </w:rPr>
          <w:fldChar w:fldCharType="begin"/>
        </w:r>
        <w:r w:rsidR="00BC21F5">
          <w:rPr>
            <w:noProof/>
            <w:webHidden/>
          </w:rPr>
          <w:instrText xml:space="preserve"> PAGEREF _Toc14784033 \h </w:instrText>
        </w:r>
        <w:r w:rsidR="00BC21F5">
          <w:rPr>
            <w:noProof/>
            <w:webHidden/>
          </w:rPr>
        </w:r>
        <w:r w:rsidR="00BC21F5">
          <w:rPr>
            <w:noProof/>
            <w:webHidden/>
          </w:rPr>
          <w:fldChar w:fldCharType="separate"/>
        </w:r>
        <w:r w:rsidR="00BC21F5">
          <w:rPr>
            <w:noProof/>
            <w:webHidden/>
          </w:rPr>
          <w:t>21</w:t>
        </w:r>
        <w:r w:rsidR="00BC21F5">
          <w:rPr>
            <w:noProof/>
            <w:webHidden/>
          </w:rPr>
          <w:fldChar w:fldCharType="end"/>
        </w:r>
      </w:hyperlink>
    </w:p>
    <w:p w14:paraId="6961AB48" w14:textId="710BF910" w:rsidR="00BC21F5" w:rsidRDefault="00E31BD2">
      <w:pPr>
        <w:pStyle w:val="Turinys2"/>
        <w:rPr>
          <w:rFonts w:eastAsiaTheme="minorEastAsia" w:cstheme="minorBidi"/>
          <w:i w:val="0"/>
          <w:noProof/>
          <w:szCs w:val="22"/>
        </w:rPr>
      </w:pPr>
      <w:hyperlink w:anchor="_Toc14784034" w:history="1">
        <w:r w:rsidR="00BC21F5" w:rsidRPr="0086356B">
          <w:rPr>
            <w:rStyle w:val="Hipersaitas"/>
            <w:noProof/>
          </w:rPr>
          <w:t>Dėl trečiojo suinteresuoto asmens teisės į teismo išlaidų atlyginimą, kai pareiškėjo skundas nebuvo priimtas</w:t>
        </w:r>
        <w:r w:rsidR="00BC21F5">
          <w:rPr>
            <w:noProof/>
            <w:webHidden/>
          </w:rPr>
          <w:tab/>
        </w:r>
        <w:r w:rsidR="00BC21F5" w:rsidRPr="005841C7">
          <w:rPr>
            <w:b/>
            <w:bCs/>
            <w:i w:val="0"/>
            <w:iCs/>
            <w:noProof/>
            <w:webHidden/>
          </w:rPr>
          <w:fldChar w:fldCharType="begin"/>
        </w:r>
        <w:r w:rsidR="00BC21F5" w:rsidRPr="005841C7">
          <w:rPr>
            <w:b/>
            <w:bCs/>
            <w:i w:val="0"/>
            <w:iCs/>
            <w:noProof/>
            <w:webHidden/>
          </w:rPr>
          <w:instrText xml:space="preserve"> PAGEREF _Toc14784034 \h </w:instrText>
        </w:r>
        <w:r w:rsidR="00BC21F5" w:rsidRPr="005841C7">
          <w:rPr>
            <w:b/>
            <w:bCs/>
            <w:i w:val="0"/>
            <w:iCs/>
            <w:noProof/>
            <w:webHidden/>
          </w:rPr>
        </w:r>
        <w:r w:rsidR="00BC21F5" w:rsidRPr="005841C7">
          <w:rPr>
            <w:b/>
            <w:bCs/>
            <w:i w:val="0"/>
            <w:iCs/>
            <w:noProof/>
            <w:webHidden/>
          </w:rPr>
          <w:fldChar w:fldCharType="separate"/>
        </w:r>
        <w:r w:rsidR="00BC21F5" w:rsidRPr="005841C7">
          <w:rPr>
            <w:b/>
            <w:bCs/>
            <w:i w:val="0"/>
            <w:iCs/>
            <w:noProof/>
            <w:webHidden/>
          </w:rPr>
          <w:t>22</w:t>
        </w:r>
        <w:r w:rsidR="00BC21F5" w:rsidRPr="005841C7">
          <w:rPr>
            <w:b/>
            <w:bCs/>
            <w:i w:val="0"/>
            <w:iCs/>
            <w:noProof/>
            <w:webHidden/>
          </w:rPr>
          <w:fldChar w:fldCharType="end"/>
        </w:r>
      </w:hyperlink>
    </w:p>
    <w:p w14:paraId="2E257140" w14:textId="5F2D1BA8" w:rsidR="00334367" w:rsidRDefault="00A364C6" w:rsidP="00334367">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5ACD8749" w14:textId="77777777" w:rsidR="00520245" w:rsidRDefault="00520245" w:rsidP="00334367">
      <w:pPr>
        <w:spacing w:before="240" w:after="240"/>
        <w:jc w:val="both"/>
        <w:rPr>
          <w:rFonts w:asciiTheme="minorHAnsi" w:hAnsiTheme="minorHAnsi" w:cstheme="minorHAnsi"/>
          <w:sz w:val="22"/>
          <w:szCs w:val="22"/>
        </w:rPr>
      </w:pPr>
    </w:p>
    <w:p w14:paraId="19CBDCDB" w14:textId="735ED3D2" w:rsidR="00520245" w:rsidRDefault="00520245" w:rsidP="00334367">
      <w:pPr>
        <w:spacing w:before="240" w:after="240"/>
        <w:jc w:val="both"/>
        <w:rPr>
          <w:rFonts w:asciiTheme="minorHAnsi" w:hAnsiTheme="minorHAnsi" w:cstheme="minorHAnsi"/>
          <w:sz w:val="22"/>
          <w:szCs w:val="22"/>
        </w:rPr>
      </w:pPr>
    </w:p>
    <w:p w14:paraId="17F1069E" w14:textId="32A5AFA2" w:rsidR="00BC21F5" w:rsidRDefault="00BC21F5" w:rsidP="00334367">
      <w:pPr>
        <w:spacing w:before="240" w:after="240"/>
        <w:jc w:val="both"/>
        <w:rPr>
          <w:rFonts w:asciiTheme="minorHAnsi" w:hAnsiTheme="minorHAnsi" w:cstheme="minorHAnsi"/>
          <w:sz w:val="22"/>
          <w:szCs w:val="22"/>
        </w:rPr>
      </w:pPr>
    </w:p>
    <w:p w14:paraId="194FB844" w14:textId="225CB716" w:rsidR="00BC21F5" w:rsidRDefault="00BC21F5" w:rsidP="00334367">
      <w:pPr>
        <w:spacing w:before="240" w:after="240"/>
        <w:jc w:val="both"/>
        <w:rPr>
          <w:rFonts w:asciiTheme="minorHAnsi" w:hAnsiTheme="minorHAnsi" w:cstheme="minorHAnsi"/>
          <w:sz w:val="22"/>
          <w:szCs w:val="22"/>
        </w:rPr>
      </w:pPr>
    </w:p>
    <w:p w14:paraId="59E88B2D" w14:textId="4930226D" w:rsidR="00BC21F5" w:rsidRDefault="00BC21F5" w:rsidP="00334367">
      <w:pPr>
        <w:spacing w:before="240" w:after="240"/>
        <w:jc w:val="both"/>
        <w:rPr>
          <w:rFonts w:asciiTheme="minorHAnsi" w:hAnsiTheme="minorHAnsi" w:cstheme="minorHAnsi"/>
          <w:sz w:val="22"/>
          <w:szCs w:val="22"/>
        </w:rPr>
      </w:pPr>
    </w:p>
    <w:p w14:paraId="56A58AB6" w14:textId="77777777" w:rsidR="00BC21F5" w:rsidRDefault="00BC21F5" w:rsidP="00334367">
      <w:pPr>
        <w:spacing w:before="240" w:after="240"/>
        <w:jc w:val="both"/>
        <w:rPr>
          <w:rFonts w:asciiTheme="minorHAnsi" w:hAnsiTheme="minorHAnsi" w:cstheme="minorHAnsi"/>
          <w:sz w:val="22"/>
          <w:szCs w:val="22"/>
        </w:rPr>
      </w:pPr>
    </w:p>
    <w:p w14:paraId="287453B8" w14:textId="6D766CB4" w:rsidR="00293CF6" w:rsidRDefault="00293CF6" w:rsidP="00334367">
      <w:pPr>
        <w:spacing w:before="240" w:after="240"/>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11BC93FC" w14:textId="77777777" w:rsidR="00293CF6" w:rsidRDefault="00293CF6" w:rsidP="00025BA1">
      <w:pPr>
        <w:jc w:val="both"/>
        <w:rPr>
          <w:rFonts w:asciiTheme="minorHAnsi" w:hAnsiTheme="minorHAnsi" w:cstheme="minorHAnsi"/>
          <w:sz w:val="22"/>
          <w:szCs w:val="22"/>
        </w:rPr>
      </w:pPr>
    </w:p>
    <w:p w14:paraId="0A85F1BB"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4F975BD7"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7CAB16D3" w14:textId="77777777" w:rsidR="00293CF6" w:rsidRDefault="00293CF6" w:rsidP="00025BA1">
      <w:pPr>
        <w:jc w:val="both"/>
        <w:rPr>
          <w:rFonts w:asciiTheme="minorHAnsi" w:hAnsiTheme="minorHAnsi" w:cstheme="minorHAnsi"/>
          <w:sz w:val="22"/>
          <w:szCs w:val="22"/>
        </w:rPr>
      </w:pPr>
      <w:r w:rsidRPr="00841BF3">
        <w:rPr>
          <w:rFonts w:asciiTheme="minorHAnsi" w:hAnsiTheme="minorHAnsi" w:cstheme="minorHAnsi"/>
          <w:sz w:val="22"/>
          <w:szCs w:val="22"/>
        </w:rPr>
        <w:t xml:space="preserve">Lietuvos Respublikos civilinis kodeksas – </w:t>
      </w:r>
      <w:r w:rsidRPr="00841BF3">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77B76265" w14:textId="77777777" w:rsidR="00293CF6" w:rsidRDefault="00293CF6"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Uždaroji akcinė bendrovė – </w:t>
      </w:r>
      <w:r w:rsidRPr="00FB305C">
        <w:rPr>
          <w:rFonts w:asciiTheme="minorHAnsi" w:hAnsiTheme="minorHAnsi" w:cstheme="minorHAnsi"/>
          <w:b/>
          <w:sz w:val="22"/>
          <w:szCs w:val="22"/>
        </w:rPr>
        <w:t>UAB</w:t>
      </w:r>
    </w:p>
    <w:p w14:paraId="47E37E7B" w14:textId="18F2BA7F" w:rsidR="00DD499D" w:rsidRDefault="00DD499D" w:rsidP="00025BA1">
      <w:pPr>
        <w:jc w:val="both"/>
        <w:rPr>
          <w:rFonts w:asciiTheme="minorHAnsi" w:hAnsiTheme="minorHAnsi" w:cstheme="minorHAnsi"/>
          <w:b/>
          <w:sz w:val="22"/>
          <w:szCs w:val="22"/>
        </w:rPr>
      </w:pPr>
      <w:r w:rsidRPr="00DD499D">
        <w:rPr>
          <w:rFonts w:asciiTheme="minorHAnsi" w:hAnsiTheme="minorHAnsi" w:cstheme="minorHAnsi"/>
          <w:sz w:val="22"/>
          <w:szCs w:val="22"/>
        </w:rPr>
        <w:t>Lietuvos Aukščiausiasis Teismas –</w:t>
      </w:r>
      <w:r>
        <w:rPr>
          <w:rFonts w:asciiTheme="minorHAnsi" w:hAnsiTheme="minorHAnsi" w:cstheme="minorHAnsi"/>
          <w:b/>
          <w:sz w:val="22"/>
          <w:szCs w:val="22"/>
        </w:rPr>
        <w:t xml:space="preserve"> LAT </w:t>
      </w:r>
    </w:p>
    <w:p w14:paraId="5C6A72AF" w14:textId="23150163" w:rsidR="00DD499D" w:rsidRDefault="00DD499D" w:rsidP="00025BA1">
      <w:pPr>
        <w:jc w:val="both"/>
        <w:rPr>
          <w:rFonts w:asciiTheme="minorHAnsi" w:hAnsiTheme="minorHAnsi" w:cstheme="minorHAnsi"/>
          <w:b/>
          <w:sz w:val="22"/>
          <w:szCs w:val="22"/>
        </w:rPr>
      </w:pPr>
      <w:r w:rsidRPr="00DD499D">
        <w:rPr>
          <w:rFonts w:asciiTheme="minorHAnsi" w:hAnsiTheme="minorHAnsi" w:cstheme="minorHAnsi"/>
          <w:sz w:val="22"/>
          <w:szCs w:val="22"/>
        </w:rPr>
        <w:t>Europos Sąjungos Teisingumo Teismas –</w:t>
      </w:r>
      <w:r>
        <w:rPr>
          <w:rFonts w:asciiTheme="minorHAnsi" w:hAnsiTheme="minorHAnsi" w:cstheme="minorHAnsi"/>
          <w:b/>
          <w:sz w:val="22"/>
          <w:szCs w:val="22"/>
        </w:rPr>
        <w:t xml:space="preserve"> ESTT </w:t>
      </w:r>
    </w:p>
    <w:p w14:paraId="1BA73503" w14:textId="349B81B1" w:rsidR="00191649" w:rsidRDefault="00191649" w:rsidP="00025BA1">
      <w:pPr>
        <w:jc w:val="both"/>
        <w:rPr>
          <w:rFonts w:asciiTheme="minorHAnsi" w:hAnsiTheme="minorHAnsi" w:cstheme="minorHAnsi"/>
          <w:b/>
          <w:sz w:val="22"/>
          <w:szCs w:val="22"/>
        </w:rPr>
      </w:pPr>
      <w:r>
        <w:rPr>
          <w:rFonts w:asciiTheme="minorHAnsi" w:hAnsiTheme="minorHAnsi" w:cstheme="minorHAnsi"/>
          <w:sz w:val="22"/>
          <w:szCs w:val="22"/>
        </w:rPr>
        <w:t xml:space="preserve">Lietuvos Respublikos </w:t>
      </w:r>
      <w:r w:rsidR="00397E7E">
        <w:rPr>
          <w:rFonts w:asciiTheme="minorHAnsi" w:hAnsiTheme="minorHAnsi" w:cstheme="minorHAnsi"/>
          <w:sz w:val="22"/>
          <w:szCs w:val="22"/>
        </w:rPr>
        <w:t>a</w:t>
      </w:r>
      <w:r w:rsidR="00397E7E" w:rsidRPr="003121B7">
        <w:rPr>
          <w:rFonts w:asciiTheme="minorHAnsi" w:hAnsiTheme="minorHAnsi" w:cstheme="minorHAnsi"/>
          <w:sz w:val="22"/>
          <w:szCs w:val="22"/>
        </w:rPr>
        <w:t>dministracinių nusiženg</w:t>
      </w:r>
      <w:r w:rsidR="00397E7E">
        <w:rPr>
          <w:rFonts w:asciiTheme="minorHAnsi" w:hAnsiTheme="minorHAnsi" w:cstheme="minorHAnsi"/>
          <w:sz w:val="22"/>
          <w:szCs w:val="22"/>
        </w:rPr>
        <w:t>imų kodeksas</w:t>
      </w:r>
      <w:r w:rsidR="00397E7E" w:rsidRPr="003121B7">
        <w:rPr>
          <w:rFonts w:asciiTheme="minorHAnsi" w:hAnsiTheme="minorHAnsi" w:cstheme="minorHAnsi"/>
          <w:sz w:val="22"/>
          <w:szCs w:val="22"/>
        </w:rPr>
        <w:t xml:space="preserve"> </w:t>
      </w:r>
      <w:r>
        <w:rPr>
          <w:rFonts w:asciiTheme="minorHAnsi" w:hAnsiTheme="minorHAnsi" w:cstheme="minorHAnsi"/>
          <w:sz w:val="22"/>
          <w:szCs w:val="22"/>
        </w:rPr>
        <w:t xml:space="preserve">– </w:t>
      </w:r>
      <w:r w:rsidR="00397E7E">
        <w:rPr>
          <w:rFonts w:asciiTheme="minorHAnsi" w:hAnsiTheme="minorHAnsi" w:cstheme="minorHAnsi"/>
          <w:b/>
          <w:sz w:val="22"/>
          <w:szCs w:val="22"/>
        </w:rPr>
        <w:t>ANK</w:t>
      </w:r>
    </w:p>
    <w:p w14:paraId="563EC99B" w14:textId="0743D543" w:rsidR="001F5990" w:rsidRDefault="001F5990" w:rsidP="00025BA1">
      <w:pPr>
        <w:jc w:val="both"/>
        <w:rPr>
          <w:rFonts w:asciiTheme="minorHAnsi" w:hAnsiTheme="minorHAnsi" w:cstheme="minorHAnsi"/>
          <w:b/>
          <w:sz w:val="22"/>
          <w:szCs w:val="22"/>
        </w:rPr>
      </w:pPr>
      <w:r w:rsidRPr="00C00CDA">
        <w:rPr>
          <w:rFonts w:asciiTheme="minorHAnsi" w:hAnsiTheme="minorHAnsi" w:cstheme="minorHAnsi"/>
          <w:sz w:val="22"/>
          <w:szCs w:val="22"/>
        </w:rPr>
        <w:t>Lietuvos Respubl</w:t>
      </w:r>
      <w:r>
        <w:rPr>
          <w:rFonts w:asciiTheme="minorHAnsi" w:hAnsiTheme="minorHAnsi" w:cstheme="minorHAnsi"/>
          <w:sz w:val="22"/>
          <w:szCs w:val="22"/>
        </w:rPr>
        <w:t xml:space="preserve">ikos </w:t>
      </w:r>
      <w:r w:rsidR="0030489B">
        <w:rPr>
          <w:rFonts w:asciiTheme="minorHAnsi" w:hAnsiTheme="minorHAnsi" w:cstheme="minorHAnsi"/>
          <w:sz w:val="22"/>
          <w:szCs w:val="22"/>
        </w:rPr>
        <w:t>darbo</w:t>
      </w:r>
      <w:r>
        <w:rPr>
          <w:rFonts w:asciiTheme="minorHAnsi" w:hAnsiTheme="minorHAnsi" w:cstheme="minorHAnsi"/>
          <w:sz w:val="22"/>
          <w:szCs w:val="22"/>
        </w:rPr>
        <w:t xml:space="preserve"> kodeksas –</w:t>
      </w:r>
      <w:r w:rsidR="0030489B">
        <w:rPr>
          <w:rFonts w:asciiTheme="minorHAnsi" w:hAnsiTheme="minorHAnsi" w:cstheme="minorHAnsi"/>
          <w:b/>
          <w:sz w:val="22"/>
          <w:szCs w:val="22"/>
        </w:rPr>
        <w:t xml:space="preserve"> DK</w:t>
      </w:r>
    </w:p>
    <w:p w14:paraId="1A0A0C21" w14:textId="2E519C19" w:rsidR="00191649" w:rsidRPr="00191649" w:rsidRDefault="00191649" w:rsidP="00025BA1">
      <w:pPr>
        <w:jc w:val="both"/>
        <w:rPr>
          <w:rFonts w:asciiTheme="minorHAnsi" w:hAnsiTheme="minorHAnsi" w:cstheme="minorHAnsi"/>
          <w:sz w:val="22"/>
          <w:szCs w:val="22"/>
        </w:rPr>
      </w:pPr>
      <w:r w:rsidRPr="00191649">
        <w:rPr>
          <w:rFonts w:asciiTheme="minorHAnsi" w:hAnsiTheme="minorHAnsi" w:cstheme="minorHAnsi"/>
          <w:sz w:val="22"/>
          <w:szCs w:val="22"/>
        </w:rPr>
        <w:t>Valstybinė</w:t>
      </w:r>
      <w:r>
        <w:rPr>
          <w:rFonts w:asciiTheme="minorHAnsi" w:hAnsiTheme="minorHAnsi" w:cstheme="minorHAnsi"/>
          <w:sz w:val="22"/>
          <w:szCs w:val="22"/>
        </w:rPr>
        <w:t xml:space="preserve"> mokesčių inspekcija</w:t>
      </w:r>
      <w:r w:rsidRPr="00191649">
        <w:rPr>
          <w:rFonts w:asciiTheme="minorHAnsi" w:hAnsiTheme="minorHAnsi" w:cstheme="minorHAnsi"/>
          <w:sz w:val="22"/>
          <w:szCs w:val="22"/>
        </w:rPr>
        <w:t xml:space="preserve"> prie Lietuvos Respublikos finansų ministerijos</w:t>
      </w:r>
      <w:r>
        <w:rPr>
          <w:rFonts w:asciiTheme="minorHAnsi" w:hAnsiTheme="minorHAnsi" w:cstheme="minorHAnsi"/>
          <w:sz w:val="22"/>
          <w:szCs w:val="22"/>
        </w:rPr>
        <w:t xml:space="preserve"> – </w:t>
      </w:r>
      <w:r w:rsidRPr="00191649">
        <w:rPr>
          <w:rFonts w:asciiTheme="minorHAnsi" w:hAnsiTheme="minorHAnsi" w:cstheme="minorHAnsi"/>
          <w:b/>
          <w:sz w:val="22"/>
          <w:szCs w:val="22"/>
        </w:rPr>
        <w:t>VMI</w:t>
      </w:r>
    </w:p>
    <w:p w14:paraId="1DB03E38" w14:textId="373AB829" w:rsidR="006D2858" w:rsidRDefault="006D2858" w:rsidP="00025BA1">
      <w:pPr>
        <w:spacing w:before="240" w:after="240"/>
        <w:jc w:val="both"/>
        <w:rPr>
          <w:rFonts w:asciiTheme="minorHAnsi" w:hAnsiTheme="minorHAnsi" w:cstheme="minorHAnsi"/>
          <w:b/>
          <w:sz w:val="22"/>
          <w:szCs w:val="22"/>
        </w:rPr>
      </w:pPr>
    </w:p>
    <w:p w14:paraId="459F4DD8" w14:textId="4C161E4E"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5841C7">
        <w:rPr>
          <w:rFonts w:asciiTheme="minorHAnsi" w:hAnsiTheme="minorHAnsi" w:cstheme="minorHAnsi"/>
          <w:sz w:val="22"/>
          <w:szCs w:val="22"/>
        </w:rPr>
        <w:t>rmuoti</w:t>
      </w:r>
      <w:bookmarkStart w:id="8" w:name="_GoBack"/>
      <w:bookmarkEnd w:id="8"/>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9" w:name="_Toc410389752"/>
      <w:bookmarkStart w:id="10" w:name="_Toc361146890"/>
      <w:bookmarkEnd w:id="7"/>
      <w:r w:rsidR="00CA65D3">
        <w:rPr>
          <w:rFonts w:asciiTheme="minorHAnsi" w:hAnsiTheme="minorHAnsi" w:cstheme="minorHAnsi"/>
          <w:sz w:val="22"/>
          <w:szCs w:val="22"/>
        </w:rPr>
        <w:t xml:space="preserve"> </w:t>
      </w:r>
    </w:p>
    <w:p w14:paraId="0B7A3761" w14:textId="77777777" w:rsidR="00716975" w:rsidRDefault="00716975" w:rsidP="00025BA1">
      <w:pPr>
        <w:jc w:val="both"/>
        <w:rPr>
          <w:rFonts w:asciiTheme="minorHAnsi" w:hAnsiTheme="minorHAnsi" w:cstheme="minorHAnsi"/>
          <w:sz w:val="22"/>
          <w:szCs w:val="22"/>
        </w:rPr>
      </w:pPr>
    </w:p>
    <w:p w14:paraId="6AAB4AE5" w14:textId="77777777"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1" w:name="_Toc519600852"/>
      <w:bookmarkStart w:id="12" w:name="_Toc14783999"/>
      <w:r w:rsidRPr="00B240C0">
        <w:rPr>
          <w:rFonts w:asciiTheme="minorHAnsi" w:hAnsiTheme="minorHAnsi" w:cstheme="minorHAnsi"/>
        </w:rPr>
        <w:lastRenderedPageBreak/>
        <w:t>I. Administracinės bylos, kylančios iš ginčų dėl teisės viešojo administravimo srityje</w:t>
      </w:r>
      <w:bookmarkEnd w:id="11"/>
      <w:bookmarkEnd w:id="12"/>
    </w:p>
    <w:p w14:paraId="69584A91" w14:textId="77777777" w:rsidR="00D70C5F" w:rsidRDefault="00D70C5F" w:rsidP="00025BA1">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14:paraId="68C80DBD" w14:textId="77777777" w:rsidR="00F124E5" w:rsidRPr="00F124E5" w:rsidRDefault="00F124E5" w:rsidP="00F124E5">
      <w:pPr>
        <w:pStyle w:val="Antrat1"/>
        <w:rPr>
          <w:rFonts w:asciiTheme="minorHAnsi" w:eastAsiaTheme="minorEastAsia" w:hAnsiTheme="minorHAnsi" w:cstheme="minorHAnsi"/>
          <w:b w:val="0"/>
        </w:rPr>
      </w:pPr>
      <w:bookmarkStart w:id="17" w:name="_Toc14784000"/>
      <w:bookmarkEnd w:id="13"/>
      <w:bookmarkEnd w:id="14"/>
      <w:bookmarkEnd w:id="15"/>
      <w:bookmarkEnd w:id="16"/>
      <w:r w:rsidRPr="00F124E5">
        <w:rPr>
          <w:rFonts w:asciiTheme="minorHAnsi" w:eastAsiaTheme="minorEastAsia" w:hAnsiTheme="minorHAnsi" w:cstheme="minorHAnsi"/>
        </w:rPr>
        <w:t>8. Užsieniečių teisinė padėtis</w:t>
      </w:r>
      <w:bookmarkEnd w:id="17"/>
    </w:p>
    <w:p w14:paraId="7D0D626F" w14:textId="77777777" w:rsidR="00F124E5" w:rsidRPr="00F124E5" w:rsidRDefault="00F124E5" w:rsidP="00F124E5">
      <w:pPr>
        <w:ind w:firstLine="567"/>
        <w:jc w:val="both"/>
        <w:rPr>
          <w:rFonts w:asciiTheme="minorHAnsi" w:eastAsiaTheme="minorEastAsia" w:hAnsiTheme="minorHAnsi" w:cstheme="minorHAnsi"/>
          <w:b/>
          <w:sz w:val="22"/>
          <w:szCs w:val="22"/>
          <w:u w:val="single"/>
        </w:rPr>
      </w:pPr>
      <w:r w:rsidRPr="00F124E5">
        <w:rPr>
          <w:rFonts w:asciiTheme="minorHAnsi" w:eastAsiaTheme="minorEastAsia" w:hAnsiTheme="minorHAnsi" w:cstheme="minorHAnsi"/>
          <w:b/>
          <w:sz w:val="22"/>
          <w:szCs w:val="22"/>
          <w:u w:val="single"/>
        </w:rPr>
        <w:t>8.3. Trečiųjų šalių piliečių ir jų šeimos narių teisė apsigyventi Lietuvoje</w:t>
      </w:r>
    </w:p>
    <w:p w14:paraId="05863F14" w14:textId="77777777" w:rsidR="00F124E5" w:rsidRPr="00F124E5" w:rsidRDefault="00F124E5" w:rsidP="00F124E5">
      <w:pPr>
        <w:ind w:firstLine="1134"/>
        <w:jc w:val="both"/>
        <w:rPr>
          <w:rFonts w:asciiTheme="minorHAnsi" w:eastAsiaTheme="minorEastAsia" w:hAnsiTheme="minorHAnsi" w:cstheme="minorHAnsi"/>
          <w:b/>
          <w:sz w:val="22"/>
          <w:szCs w:val="22"/>
          <w:u w:val="single"/>
        </w:rPr>
      </w:pPr>
      <w:r w:rsidRPr="00F124E5">
        <w:rPr>
          <w:rFonts w:asciiTheme="minorHAnsi" w:eastAsiaTheme="minorEastAsia" w:hAnsiTheme="minorHAnsi" w:cstheme="minorHAnsi"/>
          <w:b/>
          <w:sz w:val="22"/>
          <w:szCs w:val="22"/>
          <w:u w:val="single"/>
        </w:rPr>
        <w:t>8.3.1. Trečiųjų šalių piliečių ir jų šeimos narių teisė laikinai gyventi Lietuvoje</w:t>
      </w:r>
    </w:p>
    <w:p w14:paraId="0A2E9465" w14:textId="77777777" w:rsidR="00F124E5" w:rsidRPr="00F124E5" w:rsidRDefault="00F124E5" w:rsidP="00F124E5">
      <w:pPr>
        <w:jc w:val="both"/>
        <w:rPr>
          <w:rFonts w:asciiTheme="minorHAnsi" w:eastAsiaTheme="minorEastAsia" w:hAnsiTheme="minorHAnsi" w:cstheme="minorHAnsi"/>
          <w:b/>
          <w:sz w:val="22"/>
          <w:szCs w:val="22"/>
          <w:u w:val="single"/>
        </w:rPr>
      </w:pPr>
    </w:p>
    <w:p w14:paraId="29906C6B" w14:textId="574CCA95" w:rsidR="00E2075F" w:rsidRPr="003121B7" w:rsidRDefault="00E2075F" w:rsidP="00C16FFA">
      <w:pPr>
        <w:pStyle w:val="Antrat2"/>
      </w:pPr>
      <w:bookmarkStart w:id="18" w:name="_Toc14784001"/>
      <w:r w:rsidRPr="003121B7">
        <w:t>Dėl reikalavimų užsienietį ketinančiam įdarbinti darbdaviui, kai sprendžiama dėl leidimo laikinai gyventi Lietuvos Respublikoje išdavimo (Įstatymo „Dėl užsieniečių teisinės padėties“ 44 str. 1</w:t>
      </w:r>
      <w:r>
        <w:t xml:space="preserve"> d.)</w:t>
      </w:r>
      <w:bookmarkEnd w:id="18"/>
    </w:p>
    <w:p w14:paraId="249BFFB1" w14:textId="77777777" w:rsidR="00E2075F" w:rsidRPr="003121B7" w:rsidRDefault="00E2075F" w:rsidP="00C16FFA">
      <w:pPr>
        <w:pStyle w:val="Antrat2"/>
      </w:pPr>
      <w:bookmarkStart w:id="19" w:name="_Toc14784002"/>
      <w:r w:rsidRPr="003121B7">
        <w:t>Dėl prašymą išduoti laikiną leidimą gyventi Lietuvos Respublikoje pateikusio asmens pareigos reikiamus dokumentus pateikti administracinės procedūros, susijusios su šio prašymo nagrinėjimu, metu</w:t>
      </w:r>
      <w:bookmarkEnd w:id="19"/>
    </w:p>
    <w:p w14:paraId="0FACF355" w14:textId="77777777" w:rsidR="00E2075F" w:rsidRPr="003121B7" w:rsidRDefault="00E2075F" w:rsidP="00E2075F">
      <w:pPr>
        <w:ind w:firstLine="567"/>
        <w:jc w:val="both"/>
        <w:rPr>
          <w:rFonts w:asciiTheme="minorHAnsi" w:hAnsiTheme="minorHAnsi" w:cstheme="minorHAnsi"/>
          <w:sz w:val="22"/>
          <w:szCs w:val="22"/>
        </w:rPr>
      </w:pPr>
    </w:p>
    <w:p w14:paraId="78FFC909"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Apžvelgiamoje byloje nagrinėtas ginčas kilo dėl Migracijos departamento 2018 m. rugsėjo 27 d. atsisakymo išduoti leidimą laikinai gyventi Lietuvos Respublikoje Ukrainos piliečiui. </w:t>
      </w:r>
    </w:p>
    <w:p w14:paraId="07D05137"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Šiuo klausimu byloje nustatyta, kad pareiškėjas pateikė prašymą išduoti aptariamą leidimą, prašyme nurodė, kad ketina dirbti stogdengiu UAB „Gilsta“. Kadangi UAB „Gilsta“ veiklos tikslai pagal juridinių asmenų registre buvusius duomenis nebuvo susijusi su statyba, atsakovas el. paštu išsiuntė šios bendrovės direktoriui raštą, kuriame nurodė nustatytu terminu pateikti veiklą statybų srityje patvirtinančius dokumentus bei nurodyti statybos objektų pavadinimus ir adresus, kur UAB „Gilsta“ vykdo statybos darbus. Kadangi UAB „Gilsta“ informacijos nepateikė, Migracijos departamentas darė išvadą, kad ši bendrovė veiklos statybų srityje nevykdė, todėl atsisakė tenkinti pareiškėjo prašymą konstatavęs, kad pareiškėjas neatitinka visų Įstatymo „Dėl užsieniečių teisinės padėties“ (toliau – ir Įstatymas) 44 straipsnio 1 dalies 3 punkte nustatyto leidimo laikinai gyventi Lietuvos Respublikoje išdavimo sąlygų.</w:t>
      </w:r>
    </w:p>
    <w:p w14:paraId="5DC850AB" w14:textId="519B03FD"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Pareiškėjas kreipėsi į Vilniaus apygardos administracinį te</w:t>
      </w:r>
      <w:r w:rsidR="0030489B">
        <w:rPr>
          <w:rFonts w:asciiTheme="minorHAnsi" w:hAnsiTheme="minorHAnsi" w:cstheme="minorHAnsi"/>
          <w:sz w:val="22"/>
          <w:szCs w:val="22"/>
        </w:rPr>
        <w:t>ismą bei k</w:t>
      </w:r>
      <w:r w:rsidRPr="003121B7">
        <w:rPr>
          <w:rFonts w:asciiTheme="minorHAnsi" w:hAnsiTheme="minorHAnsi" w:cstheme="minorHAnsi"/>
          <w:sz w:val="22"/>
          <w:szCs w:val="22"/>
        </w:rPr>
        <w:t>artu su skundu pateikė dokumentus, kurie, jo nuomone, patvirtina, kad UAB „Gilsta“ vykdo veiklą statybų srityje. Atitinkamai pirmosios instancijos teismas pareiškėjo skundą tenkino iš dalies – panaikino ginčytą sprendimą ir įpareigojo Migracijos departamentą iš naujo išnagrinėti pareiškėjo prašymą išduoti leidimą laikinai gyventi Lietuvos Respublikoje, konstatavęs, kad pareiškėjo su skundu teismui pateikti įrodymai nebuvo pateikti atsakovui ginčijamo sprendimo priėmimo metu, todėl siekiant objektyviai ištirti ginčo aplinkybes, būtina papildomai ištirti pateiktus rašytinius įrodymus kitų, jau nustatytų, aplinkybių kontekste. Atsakovas, nesutikdamas su pirmosios instancijos teismo sprendimu, padavė apeliacinį skundą.</w:t>
      </w:r>
    </w:p>
    <w:p w14:paraId="68CB97F8" w14:textId="4986A63F"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Įstatymo 44 straipsnio 1 dalies 3 punktas (2016 m. rugsėjo 14 d. įstatymo Nr. XII-2609 redakcija) įtvirtino, kad „leidimas laikinai gyventi gali būti išduodamas užsieniečiui, kuris ketina dirbti Lietuvos Respublikoje, kai jis &lt;...&gt; atitinka šias sąlygas: a) pateikiamas darbdavio įsipareigojimas įdarbinti užsienietį pagal darbo sutartį ne trumpesniam negu 6 mėnesių laikotarpiui; b) pateikiami dokumentai, patvirtinantys užsieniečio turimą kvalifikaciją ir ne mažesnę negu vienerių metų darbo patirtį pagal turimą kvalifikaciją per pastaruosius dvejus metus &lt;...&gt;; c) Lietuvos darbo birža &lt;...&gt; priima sprendimą, kad užsieniečio darbas atitinka Lietuvos Respublikos darbo rinkos poreikius, išskyrus šio straipsnio 2 dalyje nurodytus </w:t>
      </w:r>
      <w:r w:rsidR="00F87BA1">
        <w:rPr>
          <w:rFonts w:asciiTheme="minorHAnsi" w:hAnsiTheme="minorHAnsi" w:cstheme="minorHAnsi"/>
          <w:sz w:val="22"/>
          <w:szCs w:val="22"/>
        </w:rPr>
        <w:t>atvejus.“ Pastaroji (3 punkto c </w:t>
      </w:r>
      <w:r w:rsidRPr="003121B7">
        <w:rPr>
          <w:rFonts w:asciiTheme="minorHAnsi" w:hAnsiTheme="minorHAnsi" w:cstheme="minorHAnsi"/>
          <w:sz w:val="22"/>
          <w:szCs w:val="22"/>
        </w:rPr>
        <w:t>papunktyje nurodyta) sąlyga netaikoma užsieniečiui, kurio profesija yra įtraukta į profesijų, kurių darbuotojų trūksta Lietuvos Respublikoje, sąrašą pagal ekonominės veiklos rūšis (Įstatymo 4</w:t>
      </w:r>
      <w:r w:rsidR="00F87BA1">
        <w:rPr>
          <w:rFonts w:asciiTheme="minorHAnsi" w:hAnsiTheme="minorHAnsi" w:cstheme="minorHAnsi"/>
          <w:sz w:val="22"/>
          <w:szCs w:val="22"/>
        </w:rPr>
        <w:t>4 str. 2 d. (2016 m. rugsėjo 14 </w:t>
      </w:r>
      <w:r w:rsidRPr="003121B7">
        <w:rPr>
          <w:rFonts w:asciiTheme="minorHAnsi" w:hAnsiTheme="minorHAnsi" w:cstheme="minorHAnsi"/>
          <w:sz w:val="22"/>
          <w:szCs w:val="22"/>
        </w:rPr>
        <w:t>d. įstatymo Nr. XII-2609 redakcija). Jeigu leidimas laikinai gyventi išduotas pagal aptariamą Įstatymo 44 straipsnio 1 dalies 3 punktą, užsienietis gali dirbti tik pas tą darbdavį, kuris įsipareigojo jį įdarbinti Lietuvos Respublikoje (Įstatymo 44 str. 7 d. (2014 m. gruodžio 9 d. įstatymo Nr. XII-1396 redakcija).</w:t>
      </w:r>
    </w:p>
    <w:p w14:paraId="6591FBDA" w14:textId="360118C2"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Išplėstinė teisėjų kolegija pirmiausia akcentavo, jog, kiek tai yra susiję su byloje nagrinėtais ginčo teisiniais santykiais, </w:t>
      </w:r>
      <w:r w:rsidRPr="003121B7">
        <w:rPr>
          <w:rFonts w:asciiTheme="minorHAnsi" w:hAnsiTheme="minorHAnsi" w:cstheme="minorHAnsi"/>
          <w:sz w:val="22"/>
          <w:szCs w:val="22"/>
          <w:u w:val="single"/>
        </w:rPr>
        <w:t>įstatymų leidėjas nėra nustatęs kokių nors papildomų sąlygų ir ribojimų, susijusių su pačia Įstatymo 44 straipsnio 1 dalies 3 punkto a papunktyje</w:t>
      </w:r>
      <w:r w:rsidRPr="003121B7">
        <w:rPr>
          <w:rFonts w:asciiTheme="minorHAnsi" w:hAnsiTheme="minorHAnsi" w:cstheme="minorHAnsi"/>
          <w:sz w:val="22"/>
          <w:szCs w:val="22"/>
        </w:rPr>
        <w:t xml:space="preserve"> (2016 m. rugsėjo 14 d. įstatymo Nr. XII-2609 redakcija) </w:t>
      </w:r>
      <w:r w:rsidRPr="003121B7">
        <w:rPr>
          <w:rFonts w:asciiTheme="minorHAnsi" w:hAnsiTheme="minorHAnsi" w:cstheme="minorHAnsi"/>
          <w:sz w:val="22"/>
          <w:szCs w:val="22"/>
          <w:u w:val="single"/>
        </w:rPr>
        <w:t>minimo darbdavio (toliau – ir darbdavys) veikla. Kitaip tariant, nėra reikalaujama, kad pats darbdavys tiesiogiai veiktų (veiklą vykdytų) atitinkamos ekonominės veiklos sektoriuje (srityje), betarpiškai susijusioje su minėta profesija</w:t>
      </w:r>
      <w:r w:rsidRPr="003121B7">
        <w:rPr>
          <w:rFonts w:asciiTheme="minorHAnsi" w:hAnsiTheme="minorHAnsi" w:cstheme="minorHAnsi"/>
          <w:sz w:val="22"/>
          <w:szCs w:val="22"/>
        </w:rPr>
        <w:t xml:space="preserve">. Šiuo aspektu </w:t>
      </w:r>
      <w:r w:rsidRPr="003121B7">
        <w:rPr>
          <w:rFonts w:asciiTheme="minorHAnsi" w:hAnsiTheme="minorHAnsi" w:cstheme="minorHAnsi"/>
          <w:sz w:val="22"/>
          <w:szCs w:val="22"/>
          <w:u w:val="single"/>
        </w:rPr>
        <w:t>vienintelis formalus reikalavimas yra darbdavio įsipareigojimas ne trumpesniam kaip 6 mėnesių laikotarpiui sudaryti darbo sutartį su užsieniečiu, kuris, kaip darbo sutarties šalis, įsipareigotų atlikti darbo funkcijas</w:t>
      </w:r>
      <w:r w:rsidRPr="003121B7">
        <w:rPr>
          <w:rFonts w:asciiTheme="minorHAnsi" w:hAnsiTheme="minorHAnsi" w:cstheme="minorHAnsi"/>
          <w:sz w:val="22"/>
          <w:szCs w:val="22"/>
        </w:rPr>
        <w:t xml:space="preserve"> (pvz., </w:t>
      </w:r>
      <w:r w:rsidR="0030489B">
        <w:rPr>
          <w:rFonts w:asciiTheme="minorHAnsi" w:hAnsiTheme="minorHAnsi" w:cstheme="minorHAnsi"/>
          <w:sz w:val="22"/>
          <w:szCs w:val="22"/>
        </w:rPr>
        <w:t>DK</w:t>
      </w:r>
      <w:r w:rsidRPr="003121B7">
        <w:rPr>
          <w:rFonts w:asciiTheme="minorHAnsi" w:hAnsiTheme="minorHAnsi" w:cstheme="minorHAnsi"/>
          <w:sz w:val="22"/>
          <w:szCs w:val="22"/>
        </w:rPr>
        <w:t xml:space="preserve"> 21 str. 2 ir 3 d. (2017 m. birželio 6 d. įstatymo Nr. XIII-413 redakcija), </w:t>
      </w:r>
      <w:r w:rsidRPr="003121B7">
        <w:rPr>
          <w:rFonts w:asciiTheme="minorHAnsi" w:hAnsiTheme="minorHAnsi" w:cstheme="minorHAnsi"/>
          <w:sz w:val="22"/>
          <w:szCs w:val="22"/>
          <w:u w:val="single"/>
        </w:rPr>
        <w:t>kurių (funkcijų) turinys atitiktų Įstatymo 44 straipsnio 2 dalyje (2016 m. rugsėjo 14 d. įstatymo Nr. XII-2609 redakcija) nurodytą profesiją</w:t>
      </w:r>
      <w:r w:rsidRPr="003121B7">
        <w:rPr>
          <w:rFonts w:asciiTheme="minorHAnsi" w:hAnsiTheme="minorHAnsi" w:cstheme="minorHAnsi"/>
          <w:sz w:val="22"/>
          <w:szCs w:val="22"/>
        </w:rPr>
        <w:t xml:space="preserve">. Išskyrus kai kuriuos siaurus ir atskirus aspektus, </w:t>
      </w:r>
      <w:r w:rsidRPr="003121B7">
        <w:rPr>
          <w:rFonts w:asciiTheme="minorHAnsi" w:hAnsiTheme="minorHAnsi" w:cstheme="minorHAnsi"/>
          <w:sz w:val="22"/>
          <w:szCs w:val="22"/>
          <w:u w:val="single"/>
        </w:rPr>
        <w:t xml:space="preserve">Įstatymas nenustato jokių papildomų sąlygų ir reikalavimų tarp darbdavio ir užsieniečio susiklostančių individualių darbo santykių formai ir turiniui, šių santykių dalyvių teisės ir pareigos įgyvendinamos </w:t>
      </w:r>
      <w:r w:rsidR="0030489B">
        <w:rPr>
          <w:rFonts w:asciiTheme="minorHAnsi" w:hAnsiTheme="minorHAnsi" w:cstheme="minorHAnsi"/>
          <w:sz w:val="22"/>
          <w:szCs w:val="22"/>
          <w:u w:val="single"/>
        </w:rPr>
        <w:t>DK</w:t>
      </w:r>
      <w:r w:rsidRPr="003121B7">
        <w:rPr>
          <w:rFonts w:asciiTheme="minorHAnsi" w:hAnsiTheme="minorHAnsi" w:cstheme="minorHAnsi"/>
          <w:sz w:val="22"/>
          <w:szCs w:val="22"/>
          <w:u w:val="single"/>
        </w:rPr>
        <w:t xml:space="preserve"> ir kitų darbo įstatymų bei darbo sutarties nustatyta tvarka</w:t>
      </w:r>
      <w:r w:rsidRPr="003121B7">
        <w:rPr>
          <w:rFonts w:asciiTheme="minorHAnsi" w:hAnsiTheme="minorHAnsi" w:cstheme="minorHAnsi"/>
          <w:sz w:val="22"/>
          <w:szCs w:val="22"/>
        </w:rPr>
        <w:t xml:space="preserve">. </w:t>
      </w:r>
      <w:r w:rsidRPr="003121B7">
        <w:rPr>
          <w:rFonts w:asciiTheme="minorHAnsi" w:hAnsiTheme="minorHAnsi" w:cstheme="minorHAnsi"/>
          <w:sz w:val="22"/>
          <w:szCs w:val="22"/>
        </w:rPr>
        <w:lastRenderedPageBreak/>
        <w:t xml:space="preserve">Tai, be kita ko, reiškia, kad </w:t>
      </w:r>
      <w:r w:rsidRPr="003121B7">
        <w:rPr>
          <w:rFonts w:asciiTheme="minorHAnsi" w:hAnsiTheme="minorHAnsi" w:cstheme="minorHAnsi"/>
          <w:sz w:val="22"/>
          <w:szCs w:val="22"/>
          <w:u w:val="single"/>
        </w:rPr>
        <w:t xml:space="preserve">tokia darbo santykių forma, kaip, pavyzdžiui, numatyta </w:t>
      </w:r>
      <w:r w:rsidR="0030489B">
        <w:rPr>
          <w:rFonts w:asciiTheme="minorHAnsi" w:hAnsiTheme="minorHAnsi" w:cstheme="minorHAnsi"/>
          <w:sz w:val="22"/>
          <w:szCs w:val="22"/>
          <w:u w:val="single"/>
        </w:rPr>
        <w:t>DK</w:t>
      </w:r>
      <w:r w:rsidRPr="003121B7">
        <w:rPr>
          <w:rFonts w:asciiTheme="minorHAnsi" w:hAnsiTheme="minorHAnsi" w:cstheme="minorHAnsi"/>
          <w:sz w:val="22"/>
          <w:szCs w:val="22"/>
          <w:u w:val="single"/>
        </w:rPr>
        <w:t xml:space="preserve"> 72 straipsnyje (2016 m. rugsėjo 14 d. įstatymo Nr. XII-2603 redakcija), t. y. darbas pagal laikinojo darbo sutartį, savaime nėra nesuderinama su aptariamomis Įstatymo nuostatomis, jei yra paisoma visų privalomų darbo įstatymuose nustatytų reikalavimų</w:t>
      </w:r>
      <w:r w:rsidRPr="003121B7">
        <w:rPr>
          <w:rFonts w:asciiTheme="minorHAnsi" w:hAnsiTheme="minorHAnsi" w:cstheme="minorHAnsi"/>
          <w:sz w:val="22"/>
          <w:szCs w:val="22"/>
        </w:rPr>
        <w:t>.</w:t>
      </w:r>
    </w:p>
    <w:p w14:paraId="2C77D694" w14:textId="33D464ED"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Išplėstinė teisėjų kolegija pabrėžė ir tai, kad minėtoje </w:t>
      </w:r>
      <w:r w:rsidRPr="003121B7">
        <w:rPr>
          <w:rFonts w:asciiTheme="minorHAnsi" w:hAnsiTheme="minorHAnsi" w:cstheme="minorHAnsi"/>
          <w:sz w:val="22"/>
          <w:szCs w:val="22"/>
          <w:u w:val="single"/>
        </w:rPr>
        <w:t>Įstatymo 44 straipsn</w:t>
      </w:r>
      <w:r w:rsidR="00F87BA1">
        <w:rPr>
          <w:rFonts w:asciiTheme="minorHAnsi" w:hAnsiTheme="minorHAnsi" w:cstheme="minorHAnsi"/>
          <w:sz w:val="22"/>
          <w:szCs w:val="22"/>
          <w:u w:val="single"/>
        </w:rPr>
        <w:t>io 7 dalyje (2014 m. gruodžio 9 </w:t>
      </w:r>
      <w:r w:rsidRPr="003121B7">
        <w:rPr>
          <w:rFonts w:asciiTheme="minorHAnsi" w:hAnsiTheme="minorHAnsi" w:cstheme="minorHAnsi"/>
          <w:sz w:val="22"/>
          <w:szCs w:val="22"/>
          <w:u w:val="single"/>
        </w:rPr>
        <w:t>d. įstatymo Nr. XII-1396 redakcija) nustatytas ribojimas reiškia tik tai, kad laikino leidimo gyventi Lietuvos Respublikoje galiojimo metu užsienietis negali sukurti (individualių) darbo santykių su kitais asmenimis; ji, kaip minėta, neapsprendžia ir darbo organizavimo formos. Ši Įstatymo nuostata negali būti aiškinama ir kaip nustatanti konkrečią užsieniečio darbo vietą (vietą, kurioje užsienietis atlieka darbo funkcijas) – darbo funkcijų atlikimo vieta gali nesutapti su darbovietės vieta, darbuotojas gali neturėti pagrindinės darbo funkcijų atlikimo vietos, ji gali būti nenuolatinė</w:t>
      </w:r>
      <w:r w:rsidRPr="003121B7">
        <w:rPr>
          <w:rFonts w:asciiTheme="minorHAnsi" w:hAnsiTheme="minorHAnsi" w:cstheme="minorHAnsi"/>
          <w:sz w:val="22"/>
          <w:szCs w:val="22"/>
        </w:rPr>
        <w:t xml:space="preserve"> (pvz., Darbo kodekso 34 str. 4 d. (2016 m. rugsėjo 14 d. įstatymo Nr. XII 2603 redakcija).</w:t>
      </w:r>
      <w:r>
        <w:rPr>
          <w:rFonts w:asciiTheme="minorHAnsi" w:hAnsiTheme="minorHAnsi" w:cstheme="minorHAnsi"/>
          <w:sz w:val="22"/>
          <w:szCs w:val="22"/>
        </w:rPr>
        <w:t xml:space="preserve"> </w:t>
      </w:r>
      <w:r w:rsidRPr="003121B7">
        <w:rPr>
          <w:rFonts w:asciiTheme="minorHAnsi" w:hAnsiTheme="minorHAnsi" w:cstheme="minorHAnsi"/>
          <w:sz w:val="22"/>
          <w:szCs w:val="22"/>
        </w:rPr>
        <w:t>Todėl aptariamų reikalavimų nepažeidžia aplinkybė, kad užsienietis savo darbo funkcijas atlieka kitam asmeniui priklausančioje patalpoje ir (ar) teritorijoje (pvz., pagal užsieniečio darbdavio (paslaugų teikėjo) ir kito asmens (paslaugų gavėjo) sudarytą paslaugų teikimo sutartį), su sąlyga, kad dėl to nėra sukuriami nauji (individualūs) darbo santykiai su kitais asmenimis (kitas asmuo nėra laikytinas darbdaviu darbo įstatymų prasme).</w:t>
      </w:r>
    </w:p>
    <w:p w14:paraId="0C6FB353" w14:textId="441BC1E3"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Tačiau kartu išplėstinė teisėjų kolegija akcentavo, jog </w:t>
      </w:r>
      <w:r w:rsidRPr="003121B7">
        <w:rPr>
          <w:rFonts w:asciiTheme="minorHAnsi" w:hAnsiTheme="minorHAnsi" w:cstheme="minorHAnsi"/>
          <w:sz w:val="22"/>
          <w:szCs w:val="22"/>
          <w:u w:val="single"/>
        </w:rPr>
        <w:t>pateiktas aiškinimas niekaip nepaneigia reikalavimo, kad Įstatymo 44 straipsnio 1 dalies 3 punkte (2016 m. rugsėjo 14 d. įstatymo Nr. XII-2609 redakcija) nurodyti darbdavio ir užsieniečio įsipareigojimai (ketinimai) sukurti individualius darbo santykius darbo sutarties pagrindu būtų realūs</w:t>
      </w:r>
      <w:r w:rsidRPr="003121B7">
        <w:rPr>
          <w:rFonts w:asciiTheme="minorHAnsi" w:hAnsiTheme="minorHAnsi" w:cstheme="minorHAnsi"/>
          <w:sz w:val="22"/>
          <w:szCs w:val="22"/>
        </w:rPr>
        <w:t>. Jei sprendžiant dėl leidimo laikinai gyventi Lietuvos Respublikoje išdavimo nustatomos aplinkybės, kurios objektyviai patvirtina, kad Įstatymo 44 straipsnio 4 dalyje (201</w:t>
      </w:r>
      <w:r w:rsidR="00F87BA1">
        <w:rPr>
          <w:rFonts w:asciiTheme="minorHAnsi" w:hAnsiTheme="minorHAnsi" w:cstheme="minorHAnsi"/>
          <w:sz w:val="22"/>
          <w:szCs w:val="22"/>
        </w:rPr>
        <w:t>4 m. gruodžio 9 d. įstatymo Nr. </w:t>
      </w:r>
      <w:r w:rsidRPr="003121B7">
        <w:rPr>
          <w:rFonts w:asciiTheme="minorHAnsi" w:hAnsiTheme="minorHAnsi" w:cstheme="minorHAnsi"/>
          <w:sz w:val="22"/>
          <w:szCs w:val="22"/>
        </w:rPr>
        <w:t>XII-1396 redakcija) nurodytą prašymą užsienietis arba darbdavys pateikė siekdami kitų nei Įstatyme numatytų tikslų, toks prašymas negali būti tenkinamas ir leidimas neišduodamas. Jei kompetentingai institucijai kyla abejonių dėl tikrųjų minėtą prašymą pateikusių asmenų tikslų, ši institucija (be kita ko, užtikrindama suinteresuotų asmenų dalyvavimą administracinėje procedūroje) turi imtis visų reikiamų veiksmų, kad būtų nustatytos reikšmingos faktinės aplinkybės, galinčios objektyviai identifikuoti užsieniečio ir (ar) darbdavio ketinimus, susijusius su prašymu išduoti aptariamą leidimą.</w:t>
      </w:r>
    </w:p>
    <w:p w14:paraId="343F3C89"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Apžvelgiamoje byloje iš apeliacinio skundo argumentų buvo matyti, kad atsakovas nesutiko su pirmosios instancijos teismo sprendimo motyvais panaikinti ginčijamą sprendimą tuo pagrindu, kad pareiškėjo su skundu pateiktus naujus įrodymus, galimai patvirtinančius UAB „Gilsta“ veiklą statybų srityje, būtina ištirti kitų įrodymų ir nustatytų aplinkybių kontekste. Atsakovas teigė, kad duomenys, kurie buvo gauti po sprendimo priėmimo, neturi įtakos ginčijamo sprendimo teisėtumui ir pagrįstumui.</w:t>
      </w:r>
    </w:p>
    <w:p w14:paraId="79023540"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Šiuo klausimu išplėstinė teisėjų kolegija sutiko, kad </w:t>
      </w:r>
      <w:r w:rsidRPr="003121B7">
        <w:rPr>
          <w:rFonts w:asciiTheme="minorHAnsi" w:hAnsiTheme="minorHAnsi" w:cstheme="minorHAnsi"/>
          <w:sz w:val="22"/>
          <w:szCs w:val="22"/>
          <w:u w:val="single"/>
        </w:rPr>
        <w:t>pagal bendrą taisyklę, pareiga pateikti įrodymus, patvirtinančius prašymo išduoti leidimą laikinai gyventi Lietuvos Respublikoje pagrįstumą, tenka šį prašymą pateikusiam asmeniui jo (prašymo) nagrinėjimo Migracijos departamente metu</w:t>
      </w:r>
      <w:r w:rsidRPr="003121B7">
        <w:rPr>
          <w:rFonts w:asciiTheme="minorHAnsi" w:hAnsiTheme="minorHAnsi" w:cstheme="minorHAnsi"/>
          <w:sz w:val="22"/>
          <w:szCs w:val="22"/>
        </w:rPr>
        <w:t xml:space="preserve"> (Įstatymo 33 str. 4 d. (2014 m. gruodžio 9 d. įstatymo Nr. XII-1396 redakcija). Be to, </w:t>
      </w:r>
      <w:r w:rsidRPr="003121B7">
        <w:rPr>
          <w:rFonts w:asciiTheme="minorHAnsi" w:hAnsiTheme="minorHAnsi" w:cstheme="minorHAnsi"/>
          <w:sz w:val="22"/>
          <w:szCs w:val="22"/>
          <w:u w:val="single"/>
        </w:rPr>
        <w:t>paprastai įrodymai, pateikti teismui kartu su skundu, kurie nebuvo, nors galėjo ir turėjo būti pateikti Migracijos departamentui prašymo nagrinėjimo metu, negali būti priimami ir vertinami sprendžiant šio departamento sprendimo teisėtumą ir pagrįstumą, nes toks įrodymų vertinimas (priklausomai nuo jų turinio), be kita ko, galėtų suponuoti naują prašymo išduoti leidimą laikinai gyventi tyrimą, kas Įstatymo nustatyta tvarka priskirta Migracijos departamento kompetencijai</w:t>
      </w:r>
      <w:r w:rsidRPr="003121B7">
        <w:rPr>
          <w:rFonts w:asciiTheme="minorHAnsi" w:hAnsiTheme="minorHAnsi" w:cstheme="minorHAnsi"/>
          <w:sz w:val="22"/>
          <w:szCs w:val="22"/>
        </w:rPr>
        <w:t>. Tačiau nagrinėtu atveju tikrintame pirmosios instancijos teismo sprendime nurodyti (nauji) dokumentai (įrodymai) apie UAB „Gilsta“ veiklą administracinės procedūros Migracijos departamente metu nebuvo pateikti ne dėl pareiškėjo kaltės, bet dėl bendrovės nepagrįsto delsimo juos pateikti (viešojo administravimo subjektas ginčo administracinės procedūros metu dėl duomenų pateikimo el. paštu kreipėsi ne į pareiškėją, bet į UAB „Gilsta“ vadovą). Kaip sprendė išplėstinė teisėjų kolegija, dėl galimai pažeistų teisių ir teisėtų interesų į administracinį teismą kreipėsi būtent užsienietis, o ne UAB „Gilsta“, pareiškėjo kartu su skundu pirmosios instancijos teismui pateikti nauji įrodymai galėjo ir turėjo būti priimti bei į juos atsižvelgiama šioje administracinėje byloje. Priešingas vertinimas tokiomis aplinkybėmis, kokios susiklostė šioje byloje, reikštų, kad pareiškėjo galimybė tinkamai teisme apginti galimai pažeistas teises ir teisėtus interesus priklausytų nuo trečiųjų asmenų neveikimo ar netinkamo veikimo administracinės procedūros metu, o tai akivaizdžiai nebūtų suderinama su asmens teise į efektyvią šių teisių ir interesų gynybą teisme.</w:t>
      </w:r>
    </w:p>
    <w:p w14:paraId="64C1BE27" w14:textId="73ADE5F3"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Susipažinusi su pareiškėjo kartu su skundu Vilniaus apygardos administraciniam teismui pateiktais rašytiniais įrodymais, juos kitų byloje nustatytų duomenų kontekste vertindama pagal </w:t>
      </w:r>
      <w:r w:rsidR="0030489B">
        <w:rPr>
          <w:rFonts w:asciiTheme="minorHAnsi" w:hAnsiTheme="minorHAnsi" w:cstheme="minorHAnsi"/>
          <w:sz w:val="22"/>
          <w:szCs w:val="22"/>
        </w:rPr>
        <w:t xml:space="preserve">ABTĮ </w:t>
      </w:r>
      <w:r w:rsidRPr="003121B7">
        <w:rPr>
          <w:rFonts w:asciiTheme="minorHAnsi" w:hAnsiTheme="minorHAnsi" w:cstheme="minorHAnsi"/>
          <w:sz w:val="22"/>
          <w:szCs w:val="22"/>
        </w:rPr>
        <w:t xml:space="preserve">56 straipsnio 6 dalies taisykles, išplėstinė teisėjų kolegija sutiko su pirmosios instancijos teismo pozicija, kad neįvertinus ir neištyrus </w:t>
      </w:r>
      <w:r w:rsidRPr="003121B7">
        <w:rPr>
          <w:rFonts w:asciiTheme="minorHAnsi" w:hAnsiTheme="minorHAnsi" w:cstheme="minorHAnsi"/>
          <w:sz w:val="22"/>
          <w:szCs w:val="22"/>
        </w:rPr>
        <w:lastRenderedPageBreak/>
        <w:t>(nepatikrinus) aptariamų įrodymų (juose nurodytų aplinkybių), ginčytas atsakovo sprendimas negalėjo būti vienareikšmiškai pripažintas pagrįstu (Viešojo administravimo įstatymo 8 str. 1 d.). Be to, pareiškėjo kartu su skundu pateiktų (naujų) įrodymų turinys nagrinėtu atveju implikavo būtinybę patikrinti jais (įrodymais) grindžiamų faktinių aplinkybių realumą, šiuo tikslu, be kita ko, surenkant priešpriešinius įrodymus, įvertinus kitus atsakovo bei kitų institucijų (mokesčių administratorių, socialinio draudimo įstaigų ir pan.) turimus reikšmingus duomenis. Toks naujų įrodymų vertinimas tokiomis aplinkybėm</w:t>
      </w:r>
      <w:r w:rsidR="0030489B">
        <w:rPr>
          <w:rFonts w:asciiTheme="minorHAnsi" w:hAnsiTheme="minorHAnsi" w:cstheme="minorHAnsi"/>
          <w:sz w:val="22"/>
          <w:szCs w:val="22"/>
        </w:rPr>
        <w:t>is, kokios susiklostė nagrinėt</w:t>
      </w:r>
      <w:r w:rsidRPr="003121B7">
        <w:rPr>
          <w:rFonts w:asciiTheme="minorHAnsi" w:hAnsiTheme="minorHAnsi" w:cstheme="minorHAnsi"/>
          <w:sz w:val="22"/>
          <w:szCs w:val="22"/>
        </w:rPr>
        <w:t>oje byloje, negalėjo būti atliekamas paties administracinio teismo, nes tai reikštų (naujos) administracinės procedūros atlikimą už kompetentingą viešojo administravimo subjektą, o ne skundžiamo individualaus administracinio akto teisėtumo ir pagrįstumo patikrinimą.</w:t>
      </w:r>
    </w:p>
    <w:p w14:paraId="77A8B934" w14:textId="77777777" w:rsidR="00E2075F" w:rsidRPr="003121B7" w:rsidRDefault="00E2075F" w:rsidP="00E2075F">
      <w:pPr>
        <w:jc w:val="both"/>
        <w:rPr>
          <w:rFonts w:asciiTheme="minorHAnsi" w:hAnsiTheme="minorHAnsi" w:cstheme="minorHAnsi"/>
          <w:sz w:val="22"/>
          <w:szCs w:val="22"/>
        </w:rPr>
      </w:pPr>
    </w:p>
    <w:p w14:paraId="1ED5F455"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Išplėstinės teisėjų kolegijos 2019 m. birželio 12 d. nutartis administracinėje byloje Nr. eA-3675-624/2019</w:t>
      </w:r>
    </w:p>
    <w:p w14:paraId="110B1ED9"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3-61-3-03440-2018-5</w:t>
      </w:r>
    </w:p>
    <w:p w14:paraId="72AB269F"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Procesinio sprendimo kategorija 8.4</w:t>
      </w:r>
    </w:p>
    <w:p w14:paraId="2AF5A004" w14:textId="77777777" w:rsidR="00E2075F" w:rsidRDefault="00E31BD2" w:rsidP="00E2075F">
      <w:pPr>
        <w:jc w:val="both"/>
        <w:rPr>
          <w:rStyle w:val="Hipersaitas"/>
          <w:rFonts w:asciiTheme="minorHAnsi" w:hAnsiTheme="minorHAnsi" w:cstheme="minorHAnsi"/>
          <w:sz w:val="22"/>
          <w:szCs w:val="22"/>
        </w:rPr>
      </w:pPr>
      <w:hyperlink r:id="rId9" w:history="1">
        <w:r w:rsidR="00E2075F" w:rsidRPr="00ED73F8">
          <w:rPr>
            <w:rStyle w:val="Hipersaitas"/>
            <w:rFonts w:asciiTheme="minorHAnsi" w:hAnsiTheme="minorHAnsi" w:cstheme="minorHAnsi"/>
            <w:sz w:val="22"/>
            <w:szCs w:val="22"/>
          </w:rPr>
          <w:t>Prieiga internete</w:t>
        </w:r>
      </w:hyperlink>
    </w:p>
    <w:p w14:paraId="766E0F41" w14:textId="77777777" w:rsidR="00F10509" w:rsidRPr="003121B7" w:rsidRDefault="00F10509" w:rsidP="00E2075F">
      <w:pPr>
        <w:jc w:val="both"/>
        <w:rPr>
          <w:rFonts w:asciiTheme="minorHAnsi" w:hAnsiTheme="minorHAnsi" w:cstheme="minorHAnsi"/>
          <w:sz w:val="22"/>
          <w:szCs w:val="22"/>
        </w:rPr>
      </w:pPr>
    </w:p>
    <w:p w14:paraId="05322E59" w14:textId="77777777" w:rsidR="00F10509" w:rsidRPr="00F10509" w:rsidRDefault="00F10509" w:rsidP="00F10509">
      <w:pPr>
        <w:ind w:firstLine="1134"/>
        <w:jc w:val="both"/>
        <w:rPr>
          <w:rFonts w:ascii="Calibri" w:hAnsi="Calibri"/>
          <w:b/>
          <w:sz w:val="22"/>
          <w:szCs w:val="22"/>
          <w:u w:val="single"/>
        </w:rPr>
      </w:pPr>
      <w:r w:rsidRPr="00F10509">
        <w:rPr>
          <w:rFonts w:ascii="Calibri" w:hAnsi="Calibri"/>
          <w:b/>
          <w:sz w:val="22"/>
          <w:szCs w:val="22"/>
          <w:u w:val="single"/>
        </w:rPr>
        <w:t xml:space="preserve">8.3.2. Trečiųjų šalių piliečių ir jų šeimos narių teisė nuolat gyventi Lietuvoje </w:t>
      </w:r>
    </w:p>
    <w:p w14:paraId="7128C7E6" w14:textId="77777777" w:rsidR="00F10509" w:rsidRPr="00F10509" w:rsidRDefault="00F10509" w:rsidP="00F10509">
      <w:pPr>
        <w:jc w:val="both"/>
        <w:rPr>
          <w:rFonts w:ascii="Calibri" w:hAnsi="Calibri"/>
          <w:b/>
          <w:sz w:val="22"/>
          <w:szCs w:val="22"/>
          <w:u w:val="single"/>
        </w:rPr>
      </w:pPr>
    </w:p>
    <w:p w14:paraId="4489ABE7" w14:textId="77777777" w:rsidR="00F10509" w:rsidRPr="00F10509" w:rsidRDefault="00F10509" w:rsidP="00C16FFA">
      <w:pPr>
        <w:pStyle w:val="Antrat2"/>
      </w:pPr>
      <w:bookmarkStart w:id="20" w:name="_Toc14784003"/>
      <w:bookmarkStart w:id="21" w:name="_Hlk11229201"/>
      <w:r w:rsidRPr="00F10509">
        <w:t>Dėl įrodymų pakankamumo, sprendžiant leidimo gyventi išdavimo lietuvių kilmės asmeniui klausimą</w:t>
      </w:r>
      <w:bookmarkEnd w:id="20"/>
    </w:p>
    <w:bookmarkEnd w:id="21"/>
    <w:p w14:paraId="7094A5BD" w14:textId="77777777" w:rsidR="00F10509" w:rsidRPr="00F10509" w:rsidRDefault="00F10509" w:rsidP="00F10509">
      <w:pPr>
        <w:jc w:val="both"/>
        <w:rPr>
          <w:rFonts w:ascii="Calibri" w:eastAsia="Calibri" w:hAnsi="Calibri"/>
          <w:i/>
          <w:sz w:val="22"/>
          <w:szCs w:val="22"/>
          <w:lang w:eastAsia="en-US"/>
        </w:rPr>
      </w:pPr>
    </w:p>
    <w:p w14:paraId="11A74849" w14:textId="03F0D31A"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Nagrinėtoje byloje ginčas ki</w:t>
      </w:r>
      <w:r>
        <w:rPr>
          <w:rFonts w:ascii="Calibri" w:eastAsia="Calibri" w:hAnsi="Calibri"/>
          <w:iCs/>
          <w:sz w:val="22"/>
          <w:szCs w:val="22"/>
          <w:lang w:eastAsia="en-US"/>
        </w:rPr>
        <w:t>lo dėl Migracijos departamento s</w:t>
      </w:r>
      <w:r w:rsidRPr="00F10509">
        <w:rPr>
          <w:rFonts w:ascii="Calibri" w:eastAsia="Calibri" w:hAnsi="Calibri"/>
          <w:iCs/>
          <w:sz w:val="22"/>
          <w:szCs w:val="22"/>
          <w:lang w:eastAsia="en-US"/>
        </w:rPr>
        <w:t xml:space="preserve">prendimo, kuriuo atsisakyta pareiškėjui išduoti ilgalaikį leidimą gyventi Lietuvos Respublikoje lietuvių kilmės pagrindu, teisėtumo ir pagrįstumo. </w:t>
      </w:r>
    </w:p>
    <w:p w14:paraId="598CDF7A"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 xml:space="preserve">Pareiškėjas Migracijos departamentui pateikė savo gimimo liudijimą, kuriame nurodyta, kad jo motinos tautybė yra lietuvė, pareiškimą, kad laiko save lietuviu, kaip ir jo mama, tėvų santuokos liudijimą bei 2018 m. spalio 25 d. Ukrainos Dniepropetrovsko srities valstybinės administracijos Dniepropetrovsko srities valstybinio archyvo išrašą, kuriame nurodyti duomenys apie </w:t>
      </w:r>
      <w:bookmarkStart w:id="22" w:name="Buk_66"/>
      <w:r w:rsidRPr="00F10509">
        <w:rPr>
          <w:rFonts w:ascii="Calibri" w:eastAsia="Calibri" w:hAnsi="Calibri"/>
          <w:iCs/>
          <w:sz w:val="22"/>
          <w:szCs w:val="22"/>
          <w:lang w:eastAsia="en-US"/>
        </w:rPr>
        <w:t xml:space="preserve">pareiškėjo motiną </w:t>
      </w:r>
      <w:bookmarkEnd w:id="22"/>
      <w:r w:rsidRPr="00F10509">
        <w:rPr>
          <w:rFonts w:ascii="Calibri" w:eastAsia="Calibri" w:hAnsi="Calibri"/>
          <w:iCs/>
          <w:sz w:val="22"/>
          <w:szCs w:val="22"/>
          <w:lang w:eastAsia="en-US"/>
        </w:rPr>
        <w:t xml:space="preserve">bei informacija apie jos tėvus, nurodyta, kad jos mama lietuvė. Migracijos departamentas, atsisakydamas išduoti pareiškėjui ilgalaikį leidimą gyventi, rėmėsi tuo, jog pareiškėjo tėvų santuokos liudijime akivaizdžiai matyti pareiškėjo motinos pavardės taisymas, o pasiūlius pareiškėjui palikti dokumentus dėl ekspertizės atlikimo, pareiškėjas tai padaryti atsisakė. </w:t>
      </w:r>
    </w:p>
    <w:p w14:paraId="0C6625B0"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Pirmosios instancijos teismas pareiškėjo skundą atmetė, konstatavęs, jog Migracijos departamentas neturėjo galimybės įsitikinti pareiškėjo tėvų santuokos liudijime nurodytų duomenų tikrumu, o pareiškėjas Migracijos departamentui turėjo pateikti daugiau duomenų apie savo motiną, siekiant tiksliai nustatyti ir įvertinti visas aplinkybes, susijusias su pareiškėjo lietuvių kilme.</w:t>
      </w:r>
    </w:p>
    <w:p w14:paraId="45C086A9" w14:textId="0C51E08C"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LVAT, remdamasis Įstatymo dėl užsieniečių teisinės padėties (toliau – Įstatymas)</w:t>
      </w:r>
      <w:r>
        <w:rPr>
          <w:rFonts w:ascii="Calibri" w:eastAsia="Calibri" w:hAnsi="Calibri"/>
          <w:iCs/>
          <w:sz w:val="22"/>
          <w:szCs w:val="22"/>
          <w:lang w:eastAsia="en-US"/>
        </w:rPr>
        <w:t xml:space="preserve"> 53 straipsnio 1 dalies 2 </w:t>
      </w:r>
      <w:r w:rsidRPr="00F10509">
        <w:rPr>
          <w:rFonts w:ascii="Calibri" w:eastAsia="Calibri" w:hAnsi="Calibri"/>
          <w:iCs/>
          <w:sz w:val="22"/>
          <w:szCs w:val="22"/>
          <w:lang w:eastAsia="en-US"/>
        </w:rPr>
        <w:t xml:space="preserve">punktu, 35 straipsnio 1 dalies 2 ir 12 punktais, 55 straipsnio 2 dalimi, Vidaus reikalų ministro 2005 m. gruodžio 21 d. įsakymu Nr. 1V-445 patvirtinto Dokumentų Lietuvos Respublikos ilgalaikio gyventojo leidimui gyventi Europos Sąjungoje gauti pateikimo ir Lietuvos Respublikos ilgalaikio gyventojo leidimų gyventi Europos Sąjungoje užsieniečiams išdavimo, keitimo ir panaikinimo, pragyvento Lietuvos Respublikoje laikotarpio apskaičiavimo, taip pat fiktyvios santuokos sudarymo, fiktyvios registruotos partnerystės bei fiktyvaus įvaikinimo įvertinimo tvarkos aprašo 15.1 punktu, Pilietybės įstatymo 39 straipsnio 4 dalimi, bei įvertinęs pareiškėjo Migracijos departamentui pateiktus dokumentus, konstatavo, jog aplinkybę, kad užsienietis yra lietuvių kilmės asmuo, sudarančią pagrindą išduoti leidimą užsieniečiui nuolat gyventi Lietuvos Respublikoje, patvirtina dokumentai, kuriuose nurodyta, kad asmens tėvai ar seneliai arba vienas iš tėvų ar senelių yra ar buvo lietuviai, taip pat asmens rašytinis pareiškimas, kuriuo jis deklaruoja, kad laiko save lietuviu. Teisėjų kolegija pažymėjo, kad </w:t>
      </w:r>
      <w:r w:rsidRPr="00F10509">
        <w:rPr>
          <w:rFonts w:ascii="Calibri" w:eastAsia="Calibri" w:hAnsi="Calibri"/>
          <w:iCs/>
          <w:sz w:val="22"/>
          <w:szCs w:val="22"/>
          <w:u w:val="single"/>
          <w:lang w:eastAsia="en-US"/>
        </w:rPr>
        <w:t>minėtose teisės normose nėra konkrečiai įvardyti konkretūs dokumentai ar jų rūšys, taip pat nėra įtvirtinta</w:t>
      </w:r>
      <w:r>
        <w:rPr>
          <w:rFonts w:ascii="Calibri" w:eastAsia="Calibri" w:hAnsi="Calibri"/>
          <w:iCs/>
          <w:sz w:val="22"/>
          <w:szCs w:val="22"/>
          <w:u w:val="single"/>
          <w:lang w:eastAsia="en-US"/>
        </w:rPr>
        <w:t xml:space="preserve"> reikalavimų</w:t>
      </w:r>
      <w:r w:rsidRPr="00F10509">
        <w:rPr>
          <w:rFonts w:ascii="Calibri" w:eastAsia="Calibri" w:hAnsi="Calibri"/>
          <w:iCs/>
          <w:sz w:val="22"/>
          <w:szCs w:val="22"/>
          <w:u w:val="single"/>
          <w:lang w:eastAsia="en-US"/>
        </w:rPr>
        <w:t xml:space="preserve"> juos išdavusioms institucijoms, dokumentų kiekiui ar pan., išskyrus reikalavimą, jog dokumentuose turi būti nurodyta, kad bent vienas iš asmens tėvų ar senelių yra ar buvo lietuvis</w:t>
      </w:r>
      <w:r w:rsidRPr="00F10509">
        <w:rPr>
          <w:rFonts w:ascii="Calibri" w:eastAsia="Calibri" w:hAnsi="Calibri"/>
          <w:iCs/>
          <w:sz w:val="22"/>
          <w:szCs w:val="22"/>
          <w:lang w:eastAsia="en-US"/>
        </w:rPr>
        <w:t xml:space="preserve">. Nagrinėtu atveju pareiškėjo gimimo liudijime buvo nurodyta, kad vienas iš jo tėvų, t. y. mama – lietuvė, taip pat atsakovui buvo pateiktas pareiškėjo rašytinis pareiškimas, kuriuo jis deklaravo, kad laiko save lietuviu, taigi Migracijos departamentui buvo pateikti Pilietybės įstatymo 39 straipsnio 4 dalyje nurodyti dokumentai. Teisėjų kolegijos vertinimu, atsakovas, priimdamas neigiamas pasekmes pareiškėjui sukeliantį sprendimą, jo prašymą turėjo vertinti pagal teisės aktuose įtvirtintus kriterijus, t. y. </w:t>
      </w:r>
      <w:r w:rsidRPr="00F10509">
        <w:rPr>
          <w:rFonts w:ascii="Calibri" w:eastAsia="Calibri" w:hAnsi="Calibri"/>
          <w:iCs/>
          <w:sz w:val="22"/>
          <w:szCs w:val="22"/>
          <w:u w:val="single"/>
          <w:lang w:eastAsia="en-US"/>
        </w:rPr>
        <w:t>turėjo vertinti būtent tuos dokumentus, kurie teisės aktuose numatyti kaip lietuvių kilmę patvirtinantys dokumentai ir taip įrodantys asmens teisę gauti leidimą nuolat gyventi pagal jo prašyme nurodytą pagrindą</w:t>
      </w:r>
      <w:r w:rsidRPr="00F10509">
        <w:rPr>
          <w:rFonts w:ascii="Calibri" w:eastAsia="Calibri" w:hAnsi="Calibri"/>
          <w:iCs/>
          <w:sz w:val="22"/>
          <w:szCs w:val="22"/>
          <w:lang w:eastAsia="en-US"/>
        </w:rPr>
        <w:t xml:space="preserve">. Atsakovas skundžiamame sprendime nenurodė motyvų, </w:t>
      </w:r>
      <w:r w:rsidRPr="00F10509">
        <w:rPr>
          <w:rFonts w:ascii="Calibri" w:eastAsia="Calibri" w:hAnsi="Calibri"/>
          <w:iCs/>
          <w:sz w:val="22"/>
          <w:szCs w:val="22"/>
          <w:lang w:eastAsia="en-US"/>
        </w:rPr>
        <w:lastRenderedPageBreak/>
        <w:t xml:space="preserve">kodėl nagrinėtu atveju pareiškėjo kartu su prašymu pateikti dokumentai buvo nepakankami, nepatikimi ar neatitiko tikrovės. </w:t>
      </w:r>
    </w:p>
    <w:p w14:paraId="05FAE44E" w14:textId="33A7D85D"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 xml:space="preserve">LVAT sprendimu pareiškėjo apeliacinis skundas tenkintas, pirmosios instancijos teismo sprendimas panaikintas, pareiškėjo skundas tenkintas, panaikintas Migracijos departamento </w:t>
      </w:r>
      <w:r>
        <w:rPr>
          <w:rFonts w:ascii="Calibri" w:eastAsia="Calibri" w:hAnsi="Calibri"/>
          <w:iCs/>
          <w:sz w:val="22"/>
          <w:szCs w:val="22"/>
          <w:lang w:eastAsia="en-US"/>
        </w:rPr>
        <w:t>s</w:t>
      </w:r>
      <w:r w:rsidRPr="00F10509">
        <w:rPr>
          <w:rFonts w:ascii="Calibri" w:eastAsia="Calibri" w:hAnsi="Calibri"/>
          <w:iCs/>
          <w:sz w:val="22"/>
          <w:szCs w:val="22"/>
          <w:lang w:eastAsia="en-US"/>
        </w:rPr>
        <w:t>prendimas ir atsakovas įpareigotas iš naujo išnagrinėti pareiškėjo prašymą išduoti leidimą nuolat gyventi Lietuvos Respublikoje.</w:t>
      </w:r>
    </w:p>
    <w:p w14:paraId="05152ED3" w14:textId="77777777" w:rsidR="00F10509" w:rsidRPr="00F10509" w:rsidRDefault="00F10509" w:rsidP="00F10509">
      <w:pPr>
        <w:tabs>
          <w:tab w:val="left" w:pos="567"/>
        </w:tabs>
        <w:jc w:val="both"/>
        <w:rPr>
          <w:rFonts w:ascii="Calibri" w:eastAsia="Calibri" w:hAnsi="Calibri"/>
          <w:iCs/>
          <w:sz w:val="22"/>
          <w:szCs w:val="22"/>
          <w:lang w:eastAsia="en-US"/>
        </w:rPr>
      </w:pPr>
    </w:p>
    <w:p w14:paraId="18B207C2" w14:textId="77777777" w:rsidR="00F10509" w:rsidRPr="00F10509" w:rsidRDefault="00F10509" w:rsidP="00F10509">
      <w:pPr>
        <w:tabs>
          <w:tab w:val="left" w:pos="567"/>
        </w:tabs>
        <w:jc w:val="both"/>
        <w:rPr>
          <w:rFonts w:ascii="Calibri" w:eastAsia="Calibri" w:hAnsi="Calibri"/>
          <w:iCs/>
          <w:sz w:val="22"/>
          <w:szCs w:val="22"/>
          <w:lang w:eastAsia="en-US"/>
        </w:rPr>
      </w:pPr>
      <w:bookmarkStart w:id="23" w:name="_Hlk11231653"/>
      <w:r w:rsidRPr="00F10509">
        <w:rPr>
          <w:rFonts w:ascii="Calibri" w:eastAsia="Calibri" w:hAnsi="Calibri"/>
          <w:iCs/>
          <w:sz w:val="22"/>
          <w:szCs w:val="22"/>
          <w:lang w:eastAsia="en-US"/>
        </w:rPr>
        <w:t>2019 m. birželio 19 d. sprendimas administracinėje byloje Nr. A-4436-502/2019</w:t>
      </w:r>
    </w:p>
    <w:p w14:paraId="00E04C50"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Teisminio proceso Nr. 3-61-3-04607-2018-1</w:t>
      </w:r>
    </w:p>
    <w:p w14:paraId="37DC3A55"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Procesinio sprendimo kategorija 8.3.2</w:t>
      </w:r>
    </w:p>
    <w:bookmarkEnd w:id="23"/>
    <w:p w14:paraId="16B69B3C" w14:textId="77777777" w:rsidR="00F10509" w:rsidRPr="00F10509" w:rsidRDefault="00F10509" w:rsidP="00F10509">
      <w:pPr>
        <w:jc w:val="both"/>
        <w:rPr>
          <w:rFonts w:ascii="Calibri" w:eastAsia="Calibri" w:hAnsi="Calibri"/>
          <w:iCs/>
          <w:sz w:val="22"/>
          <w:szCs w:val="22"/>
          <w:lang w:eastAsia="en-US"/>
        </w:rPr>
      </w:pPr>
      <w:r w:rsidRPr="00F10509">
        <w:rPr>
          <w:rFonts w:ascii="Calibri" w:eastAsia="Calibri" w:hAnsi="Calibri"/>
          <w:iCs/>
          <w:sz w:val="22"/>
          <w:szCs w:val="22"/>
          <w:lang w:eastAsia="en-US"/>
        </w:rPr>
        <w:fldChar w:fldCharType="begin"/>
      </w:r>
      <w:r w:rsidRPr="00F10509">
        <w:rPr>
          <w:rFonts w:ascii="Calibri" w:eastAsia="Calibri" w:hAnsi="Calibri"/>
          <w:iCs/>
          <w:sz w:val="22"/>
          <w:szCs w:val="22"/>
          <w:lang w:eastAsia="en-US"/>
        </w:rPr>
        <w:instrText xml:space="preserve"> HYPERLINK "https://www.e-tar.lt/portal/lt/legalAct/8f5d77409ce211e9aa7dc78f3d1f2643" </w:instrText>
      </w:r>
      <w:r w:rsidRPr="00F10509">
        <w:rPr>
          <w:rFonts w:ascii="Calibri" w:eastAsia="Calibri" w:hAnsi="Calibri"/>
          <w:iCs/>
          <w:sz w:val="22"/>
          <w:szCs w:val="22"/>
          <w:lang w:eastAsia="en-US"/>
        </w:rPr>
        <w:fldChar w:fldCharType="separate"/>
      </w:r>
      <w:r w:rsidRPr="00F10509">
        <w:rPr>
          <w:rFonts w:ascii="Calibri" w:eastAsia="Calibri" w:hAnsi="Calibri"/>
          <w:iCs/>
          <w:color w:val="0000FF"/>
          <w:sz w:val="22"/>
          <w:szCs w:val="22"/>
          <w:u w:val="single"/>
          <w:lang w:eastAsia="en-US"/>
        </w:rPr>
        <w:t>Prieiga internete</w:t>
      </w:r>
      <w:r w:rsidRPr="00F10509">
        <w:rPr>
          <w:rFonts w:ascii="Calibri" w:eastAsia="Calibri" w:hAnsi="Calibri"/>
          <w:iCs/>
          <w:sz w:val="22"/>
          <w:szCs w:val="22"/>
          <w:lang w:eastAsia="en-US"/>
        </w:rPr>
        <w:fldChar w:fldCharType="end"/>
      </w:r>
      <w:r w:rsidRPr="00F10509">
        <w:rPr>
          <w:rFonts w:ascii="Calibri" w:eastAsia="Calibri" w:hAnsi="Calibri"/>
          <w:iCs/>
          <w:sz w:val="22"/>
          <w:szCs w:val="22"/>
          <w:lang w:eastAsia="en-US"/>
        </w:rPr>
        <w:t xml:space="preserve"> </w:t>
      </w:r>
    </w:p>
    <w:p w14:paraId="4AE4A40F" w14:textId="77777777" w:rsidR="00BE611E" w:rsidRDefault="00BE611E" w:rsidP="00BE611E">
      <w:pPr>
        <w:rPr>
          <w:rFonts w:asciiTheme="minorHAnsi" w:hAnsiTheme="minorHAnsi" w:cstheme="minorHAnsi"/>
          <w:bCs/>
          <w:sz w:val="22"/>
          <w:szCs w:val="22"/>
        </w:rPr>
      </w:pPr>
    </w:p>
    <w:p w14:paraId="29CEF381" w14:textId="77777777" w:rsidR="00E9535B" w:rsidRDefault="00E9535B" w:rsidP="00E9535B">
      <w:pPr>
        <w:pStyle w:val="Apzvalgai1"/>
        <w:rPr>
          <w:rFonts w:asciiTheme="minorHAnsi" w:hAnsiTheme="minorHAnsi" w:cstheme="minorHAnsi"/>
        </w:rPr>
      </w:pPr>
      <w:bookmarkStart w:id="24" w:name="_Toc14784004"/>
      <w:r>
        <w:rPr>
          <w:rFonts w:asciiTheme="minorHAnsi" w:hAnsiTheme="minorHAnsi" w:cstheme="minorHAnsi"/>
        </w:rPr>
        <w:t>11</w:t>
      </w:r>
      <w:r w:rsidRPr="00B542A0">
        <w:rPr>
          <w:rFonts w:asciiTheme="minorHAnsi" w:hAnsiTheme="minorHAnsi" w:cstheme="minorHAnsi"/>
        </w:rPr>
        <w:t xml:space="preserve">. </w:t>
      </w:r>
      <w:r>
        <w:rPr>
          <w:rFonts w:asciiTheme="minorHAnsi" w:hAnsiTheme="minorHAnsi" w:cstheme="minorHAnsi"/>
        </w:rPr>
        <w:t>Konkurencija</w:t>
      </w:r>
      <w:bookmarkEnd w:id="24"/>
    </w:p>
    <w:p w14:paraId="036058A2" w14:textId="77777777" w:rsidR="00E9535B" w:rsidRDefault="00E9535B" w:rsidP="00E9535B">
      <w:pPr>
        <w:pStyle w:val="Apzvalgai1"/>
        <w:ind w:left="284" w:firstLine="283"/>
        <w:outlineLvl w:val="9"/>
        <w:rPr>
          <w:rFonts w:asciiTheme="minorHAnsi" w:hAnsiTheme="minorHAnsi" w:cstheme="minorHAnsi"/>
        </w:rPr>
      </w:pPr>
      <w:r>
        <w:rPr>
          <w:rFonts w:asciiTheme="minorHAnsi" w:hAnsiTheme="minorHAnsi" w:cstheme="minorHAnsi"/>
        </w:rPr>
        <w:t>11.2. Draudžiami susitarimai</w:t>
      </w:r>
    </w:p>
    <w:p w14:paraId="2234FE3E" w14:textId="77777777" w:rsidR="00E9535B" w:rsidRPr="00D3763B" w:rsidRDefault="00E9535B" w:rsidP="00E9535B">
      <w:pPr>
        <w:pStyle w:val="Apzvalgai1"/>
        <w:ind w:left="284" w:firstLine="850"/>
        <w:outlineLvl w:val="9"/>
        <w:rPr>
          <w:rFonts w:asciiTheme="minorHAnsi" w:hAnsiTheme="minorHAnsi" w:cstheme="minorHAnsi"/>
        </w:rPr>
      </w:pPr>
      <w:r>
        <w:rPr>
          <w:rFonts w:asciiTheme="minorHAnsi" w:hAnsiTheme="minorHAnsi" w:cstheme="minorHAnsi"/>
        </w:rPr>
        <w:t>11.9. Kiti su konkurencija susiję klausimai</w:t>
      </w:r>
    </w:p>
    <w:p w14:paraId="660A5D9F" w14:textId="77777777" w:rsidR="00E9535B" w:rsidRPr="00B542A0" w:rsidRDefault="00E9535B" w:rsidP="00E9535B">
      <w:pPr>
        <w:pStyle w:val="Apzvalgai1"/>
        <w:outlineLvl w:val="9"/>
        <w:rPr>
          <w:rFonts w:asciiTheme="minorHAnsi" w:hAnsiTheme="minorHAnsi" w:cstheme="minorHAnsi"/>
          <w:b w:val="0"/>
        </w:rPr>
      </w:pPr>
    </w:p>
    <w:p w14:paraId="36B69971" w14:textId="77777777" w:rsidR="00E9535B" w:rsidRPr="00B542A0" w:rsidRDefault="00E9535B" w:rsidP="00E9535B">
      <w:pPr>
        <w:pStyle w:val="taltipfb"/>
        <w:shd w:val="clear" w:color="auto" w:fill="FFFFFF"/>
        <w:spacing w:before="0" w:beforeAutospacing="0" w:after="0" w:afterAutospacing="0"/>
        <w:jc w:val="both"/>
        <w:outlineLvl w:val="1"/>
      </w:pPr>
      <w:bookmarkStart w:id="25" w:name="_Toc14784005"/>
      <w:r w:rsidRPr="00B542A0">
        <w:rPr>
          <w:rFonts w:asciiTheme="minorHAnsi" w:hAnsiTheme="minorHAnsi" w:cstheme="minorHAnsi"/>
          <w:i/>
          <w:sz w:val="22"/>
          <w:szCs w:val="22"/>
        </w:rPr>
        <w:t xml:space="preserve">Dėl </w:t>
      </w:r>
      <w:r>
        <w:rPr>
          <w:rFonts w:asciiTheme="minorHAnsi" w:hAnsiTheme="minorHAnsi" w:cstheme="minorHAnsi"/>
          <w:i/>
          <w:sz w:val="22"/>
          <w:szCs w:val="22"/>
        </w:rPr>
        <w:t>geografinės rinkos apibrėžimo, vertinant vertikaliųjų apribojimų turintį susitarimą</w:t>
      </w:r>
      <w:bookmarkEnd w:id="25"/>
    </w:p>
    <w:p w14:paraId="1629677C" w14:textId="77777777" w:rsidR="00E9535B" w:rsidRPr="00925D3C" w:rsidRDefault="00E9535B" w:rsidP="00E9535B">
      <w:pPr>
        <w:jc w:val="both"/>
        <w:rPr>
          <w:rFonts w:asciiTheme="minorHAnsi" w:hAnsiTheme="minorHAnsi" w:cstheme="minorHAnsi"/>
          <w:i/>
          <w:sz w:val="22"/>
          <w:szCs w:val="22"/>
        </w:rPr>
      </w:pPr>
    </w:p>
    <w:p w14:paraId="4D73B4F2" w14:textId="1724F925" w:rsidR="00E9535B" w:rsidRDefault="00E9535B" w:rsidP="00E9535B">
      <w:pPr>
        <w:ind w:firstLine="567"/>
        <w:jc w:val="both"/>
        <w:rPr>
          <w:rFonts w:asciiTheme="minorHAnsi" w:hAnsiTheme="minorHAnsi" w:cstheme="minorHAnsi"/>
          <w:sz w:val="22"/>
          <w:szCs w:val="22"/>
        </w:rPr>
      </w:pPr>
      <w:r>
        <w:rPr>
          <w:rFonts w:asciiTheme="minorHAnsi" w:hAnsiTheme="minorHAnsi" w:cstheme="minorHAnsi"/>
          <w:sz w:val="22"/>
          <w:szCs w:val="22"/>
        </w:rPr>
        <w:t>Apžvelgiamoje</w:t>
      </w:r>
      <w:r w:rsidRPr="00E761D9">
        <w:rPr>
          <w:rFonts w:asciiTheme="minorHAnsi" w:hAnsiTheme="minorHAnsi" w:cstheme="minorHAnsi"/>
          <w:sz w:val="22"/>
          <w:szCs w:val="22"/>
        </w:rPr>
        <w:t xml:space="preserve"> byloje ginčas kilo </w:t>
      </w:r>
      <w:r w:rsidRPr="00392254">
        <w:rPr>
          <w:rFonts w:asciiTheme="minorHAnsi" w:hAnsiTheme="minorHAnsi" w:cstheme="minorHAnsi"/>
          <w:sz w:val="22"/>
          <w:szCs w:val="22"/>
        </w:rPr>
        <w:t xml:space="preserve">dėl </w:t>
      </w:r>
      <w:r>
        <w:rPr>
          <w:rFonts w:asciiTheme="minorHAnsi" w:hAnsiTheme="minorHAnsi" w:cstheme="minorHAnsi"/>
          <w:sz w:val="22"/>
          <w:szCs w:val="22"/>
        </w:rPr>
        <w:t>K</w:t>
      </w:r>
      <w:r w:rsidRPr="00392254">
        <w:rPr>
          <w:rFonts w:asciiTheme="minorHAnsi" w:hAnsiTheme="minorHAnsi" w:cstheme="minorHAnsi"/>
          <w:sz w:val="22"/>
          <w:szCs w:val="22"/>
        </w:rPr>
        <w:t>onkurencijos tarybos</w:t>
      </w:r>
      <w:r>
        <w:rPr>
          <w:rFonts w:asciiTheme="minorHAnsi" w:hAnsiTheme="minorHAnsi" w:cstheme="minorHAnsi"/>
          <w:sz w:val="22"/>
          <w:szCs w:val="22"/>
        </w:rPr>
        <w:t xml:space="preserve"> (toliau – Taryba)</w:t>
      </w:r>
      <w:r w:rsidRPr="00392254">
        <w:rPr>
          <w:rFonts w:asciiTheme="minorHAnsi" w:hAnsiTheme="minorHAnsi" w:cstheme="minorHAnsi"/>
          <w:sz w:val="22"/>
          <w:szCs w:val="22"/>
        </w:rPr>
        <w:t xml:space="preserve"> nutarimo „Dėl ūkio subjektų, užsiimančių šilumos ir biokuro gamyba bei tiekimu, veiksmų atitikties Lietuvos Respublikos konkurencijos įstatymo 5</w:t>
      </w:r>
      <w:r>
        <w:rPr>
          <w:rFonts w:asciiTheme="minorHAnsi" w:hAnsiTheme="minorHAnsi" w:cstheme="minorHAnsi"/>
          <w:sz w:val="22"/>
          <w:szCs w:val="22"/>
        </w:rPr>
        <w:t> </w:t>
      </w:r>
      <w:r w:rsidRPr="00392254">
        <w:rPr>
          <w:rFonts w:asciiTheme="minorHAnsi" w:hAnsiTheme="minorHAnsi" w:cstheme="minorHAnsi"/>
          <w:sz w:val="22"/>
          <w:szCs w:val="22"/>
        </w:rPr>
        <w:t>straipsnio reikalavimams“, kuriuo buvo nuspręsta, kad UAB „Vilniaus energija“ bei First Opportunity Oü  pažeidė Konkurencijos įstatymo 5 straipsnio 1 dalį, t. y. UAB „Vilniaus energija“ ir First Opportunity Oü buvo sudariusios tariamą vertikalų išimtinio biokuro pirkimo susitarimą, kuris turėjo konkurenciją ribojantį poveikį</w:t>
      </w:r>
      <w:r>
        <w:rPr>
          <w:rFonts w:asciiTheme="minorHAnsi" w:hAnsiTheme="minorHAnsi" w:cstheme="minorHAnsi"/>
          <w:sz w:val="22"/>
          <w:szCs w:val="22"/>
        </w:rPr>
        <w:t xml:space="preserve">. Ši byla apeliacine tvarka iš naujo nagrinėta atnaujinus procesą ABTĮ 156 straipsnio 2 dalies 10 punkto pagrindu, </w:t>
      </w:r>
      <w:r w:rsidRPr="00392254">
        <w:rPr>
          <w:rFonts w:asciiTheme="minorHAnsi" w:hAnsiTheme="minorHAnsi" w:cstheme="minorHAnsi"/>
          <w:sz w:val="22"/>
          <w:szCs w:val="22"/>
        </w:rPr>
        <w:t xml:space="preserve">nustačius pakankamą pagrindą spręsti, jog </w:t>
      </w:r>
      <w:r>
        <w:rPr>
          <w:rFonts w:asciiTheme="minorHAnsi" w:hAnsiTheme="minorHAnsi" w:cstheme="minorHAnsi"/>
          <w:sz w:val="22"/>
          <w:szCs w:val="22"/>
        </w:rPr>
        <w:t>s</w:t>
      </w:r>
      <w:r w:rsidRPr="00392254">
        <w:rPr>
          <w:rFonts w:asciiTheme="minorHAnsi" w:hAnsiTheme="minorHAnsi" w:cstheme="minorHAnsi"/>
          <w:sz w:val="22"/>
          <w:szCs w:val="22"/>
        </w:rPr>
        <w:t>prendimu buvo padarytas materialinės normos aiškinimo ir / ar taikymo pažeidimas</w:t>
      </w:r>
      <w:r>
        <w:rPr>
          <w:rFonts w:asciiTheme="minorHAnsi" w:hAnsiTheme="minorHAnsi" w:cstheme="minorHAnsi"/>
          <w:sz w:val="22"/>
          <w:szCs w:val="22"/>
        </w:rPr>
        <w:t xml:space="preserve"> formuluojant išvadas, susijusias su geografinės rinkos apibrėžimu</w:t>
      </w:r>
      <w:r w:rsidRPr="001A4E0B">
        <w:rPr>
          <w:rFonts w:asciiTheme="minorHAnsi" w:hAnsiTheme="minorHAnsi" w:cstheme="minorHAnsi"/>
          <w:sz w:val="22"/>
          <w:szCs w:val="22"/>
        </w:rPr>
        <w:t>.</w:t>
      </w:r>
    </w:p>
    <w:p w14:paraId="6AF18AE4" w14:textId="2C6815B1" w:rsidR="00E9535B" w:rsidRPr="002343B6" w:rsidRDefault="00E9535B" w:rsidP="00E9535B">
      <w:pPr>
        <w:ind w:firstLine="567"/>
        <w:jc w:val="both"/>
        <w:rPr>
          <w:rFonts w:asciiTheme="minorHAnsi" w:hAnsiTheme="minorHAnsi" w:cstheme="minorHAnsi"/>
          <w:sz w:val="22"/>
          <w:szCs w:val="22"/>
        </w:rPr>
      </w:pPr>
      <w:r w:rsidRPr="002343B6">
        <w:rPr>
          <w:rFonts w:asciiTheme="minorHAnsi" w:hAnsiTheme="minorHAnsi" w:cstheme="minorHAnsi"/>
          <w:sz w:val="22"/>
          <w:szCs w:val="22"/>
        </w:rPr>
        <w:t xml:space="preserve">Išplėstinė teisėjų kolegija, įvertinusi </w:t>
      </w:r>
      <w:r>
        <w:rPr>
          <w:rFonts w:asciiTheme="minorHAnsi" w:hAnsiTheme="minorHAnsi" w:cstheme="minorHAnsi"/>
          <w:sz w:val="22"/>
          <w:szCs w:val="22"/>
        </w:rPr>
        <w:t>LVAT s</w:t>
      </w:r>
      <w:r w:rsidRPr="002343B6">
        <w:rPr>
          <w:rFonts w:asciiTheme="minorHAnsi" w:hAnsiTheme="minorHAnsi" w:cstheme="minorHAnsi"/>
          <w:sz w:val="22"/>
          <w:szCs w:val="22"/>
        </w:rPr>
        <w:t xml:space="preserve">prendimo </w:t>
      </w:r>
      <w:r w:rsidR="00C8194F">
        <w:rPr>
          <w:rFonts w:asciiTheme="minorHAnsi" w:hAnsiTheme="minorHAnsi" w:cstheme="minorHAnsi"/>
          <w:sz w:val="22"/>
          <w:szCs w:val="22"/>
        </w:rPr>
        <w:t xml:space="preserve">(toliau – Sprendimas) </w:t>
      </w:r>
      <w:r w:rsidRPr="002343B6">
        <w:rPr>
          <w:rFonts w:asciiTheme="minorHAnsi" w:hAnsiTheme="minorHAnsi" w:cstheme="minorHAnsi"/>
          <w:sz w:val="22"/>
          <w:szCs w:val="22"/>
        </w:rPr>
        <w:t>motyvus, konstat</w:t>
      </w:r>
      <w:r>
        <w:rPr>
          <w:rFonts w:asciiTheme="minorHAnsi" w:hAnsiTheme="minorHAnsi" w:cstheme="minorHAnsi"/>
          <w:sz w:val="22"/>
          <w:szCs w:val="22"/>
        </w:rPr>
        <w:t>avo</w:t>
      </w:r>
      <w:r w:rsidRPr="002343B6">
        <w:rPr>
          <w:rFonts w:asciiTheme="minorHAnsi" w:hAnsiTheme="minorHAnsi" w:cstheme="minorHAnsi"/>
          <w:sz w:val="22"/>
          <w:szCs w:val="22"/>
        </w:rPr>
        <w:t xml:space="preserve">, kad </w:t>
      </w:r>
      <w:r w:rsidRPr="00DA76B7">
        <w:rPr>
          <w:rFonts w:asciiTheme="minorHAnsi" w:hAnsiTheme="minorHAnsi" w:cstheme="minorHAnsi"/>
          <w:sz w:val="22"/>
          <w:szCs w:val="22"/>
          <w:u w:val="single"/>
        </w:rPr>
        <w:t xml:space="preserve">nors teismo procesinio sprendimo 47 punkte pasirinkta gramatinė formuluotė galimai buvo ydinga ir dėl to galėjo būti suprasta nevienareikšmiškai, sistemiškai vertinant kitus </w:t>
      </w:r>
      <w:r>
        <w:rPr>
          <w:rFonts w:asciiTheme="minorHAnsi" w:hAnsiTheme="minorHAnsi" w:cstheme="minorHAnsi"/>
          <w:sz w:val="22"/>
          <w:szCs w:val="22"/>
          <w:u w:val="single"/>
        </w:rPr>
        <w:t>minėtame s</w:t>
      </w:r>
      <w:r w:rsidRPr="00DA76B7">
        <w:rPr>
          <w:rFonts w:asciiTheme="minorHAnsi" w:hAnsiTheme="minorHAnsi" w:cstheme="minorHAnsi"/>
          <w:sz w:val="22"/>
          <w:szCs w:val="22"/>
          <w:u w:val="single"/>
        </w:rPr>
        <w:t>prendime nurodytus motyvus, susijusius su geografinės rinkos apibrėžimu, konstatuotina, kad teismo pateiktos Tarybos atlikto geografinės rinkos apibrėžimo netinkamumo išvados buvo pagrįstos</w:t>
      </w:r>
      <w:r w:rsidRPr="002343B6">
        <w:rPr>
          <w:rFonts w:asciiTheme="minorHAnsi" w:hAnsiTheme="minorHAnsi" w:cstheme="minorHAnsi"/>
          <w:sz w:val="22"/>
          <w:szCs w:val="22"/>
        </w:rPr>
        <w:t xml:space="preserve">. Sprendime pagrįstai konstatuota, kad Vertikaliųjų apribojimų gairių nurodyta geografinės rinkos apibrėžimo vertinimo metodika turėtų vadovautis ir atitinkamos srities kompetentingos priežiūros institucijos, o </w:t>
      </w:r>
      <w:r w:rsidRPr="00DA76B7">
        <w:rPr>
          <w:rFonts w:asciiTheme="minorHAnsi" w:hAnsiTheme="minorHAnsi" w:cstheme="minorHAnsi"/>
          <w:sz w:val="22"/>
          <w:szCs w:val="22"/>
          <w:u w:val="single"/>
        </w:rPr>
        <w:t xml:space="preserve">įvertinus Sprendime nurodytus teisės šaltinius (t. y. </w:t>
      </w:r>
      <w:r w:rsidR="00291F5F" w:rsidRPr="00291F5F">
        <w:rPr>
          <w:rFonts w:asciiTheme="minorHAnsi" w:hAnsiTheme="minorHAnsi" w:cstheme="minorHAnsi"/>
          <w:sz w:val="22"/>
          <w:szCs w:val="22"/>
          <w:u w:val="single"/>
        </w:rPr>
        <w:t>2010 m. balandžio 22 d. Komisijos reglament</w:t>
      </w:r>
      <w:r w:rsidR="00291F5F">
        <w:rPr>
          <w:rFonts w:asciiTheme="minorHAnsi" w:hAnsiTheme="minorHAnsi" w:cstheme="minorHAnsi"/>
          <w:sz w:val="22"/>
          <w:szCs w:val="22"/>
          <w:u w:val="single"/>
        </w:rPr>
        <w:t>ą</w:t>
      </w:r>
      <w:r w:rsidR="00291F5F" w:rsidRPr="00291F5F">
        <w:rPr>
          <w:rFonts w:asciiTheme="minorHAnsi" w:hAnsiTheme="minorHAnsi" w:cstheme="minorHAnsi"/>
          <w:sz w:val="22"/>
          <w:szCs w:val="22"/>
          <w:u w:val="single"/>
        </w:rPr>
        <w:t xml:space="preserve"> (ES) Nr. 330/2010 dėl Sutarties d</w:t>
      </w:r>
      <w:r w:rsidR="00291F5F">
        <w:rPr>
          <w:rFonts w:asciiTheme="minorHAnsi" w:hAnsiTheme="minorHAnsi" w:cstheme="minorHAnsi"/>
          <w:sz w:val="22"/>
          <w:szCs w:val="22"/>
          <w:u w:val="single"/>
        </w:rPr>
        <w:t>ėl Europos Sąjungos veikimo 101 </w:t>
      </w:r>
      <w:r w:rsidR="00291F5F" w:rsidRPr="00291F5F">
        <w:rPr>
          <w:rFonts w:asciiTheme="minorHAnsi" w:hAnsiTheme="minorHAnsi" w:cstheme="minorHAnsi"/>
          <w:sz w:val="22"/>
          <w:szCs w:val="22"/>
          <w:u w:val="single"/>
        </w:rPr>
        <w:t>straipsnio 3 dalies taikymo vertikaliųjų susitarimų ir suderintų veiksmų rūšims</w:t>
      </w:r>
      <w:r w:rsidRPr="00DA76B7">
        <w:rPr>
          <w:rFonts w:asciiTheme="minorHAnsi" w:hAnsiTheme="minorHAnsi" w:cstheme="minorHAnsi"/>
          <w:sz w:val="22"/>
          <w:szCs w:val="22"/>
          <w:u w:val="single"/>
        </w:rPr>
        <w:t xml:space="preserve"> bei Vertikaliųjų apribojimų gaires), akivaizdu, kad apibrėžtina viena ir ta pati geografinė rinka. Vis dėlto, teismo išsakytu vertinimu Sprendime, Taryba nepakankamai motyvavo savo pasirinkimą rinką apibrėžti būtent iš pirkėjo (o ne tiekėjo) pusės, nes nurodyti Europos Sąjungos institucijų praktikos pavyzdžiai, pateisinantys tokį Tarybos taikytą būdą, buvo aktualūs sektorinės, o ne geografinės rinkos nustatymo aspektu</w:t>
      </w:r>
      <w:r>
        <w:rPr>
          <w:rFonts w:asciiTheme="minorHAnsi" w:hAnsiTheme="minorHAnsi" w:cstheme="minorHAnsi"/>
          <w:sz w:val="22"/>
          <w:szCs w:val="22"/>
          <w:u w:val="single"/>
        </w:rPr>
        <w:t>.</w:t>
      </w:r>
      <w:r w:rsidRPr="00DA76B7">
        <w:rPr>
          <w:rFonts w:asciiTheme="minorHAnsi" w:hAnsiTheme="minorHAnsi" w:cstheme="minorHAnsi"/>
          <w:sz w:val="22"/>
          <w:szCs w:val="22"/>
        </w:rPr>
        <w:t xml:space="preserve"> </w:t>
      </w:r>
      <w:r w:rsidRPr="002343B6">
        <w:rPr>
          <w:rFonts w:asciiTheme="minorHAnsi" w:hAnsiTheme="minorHAnsi" w:cstheme="minorHAnsi"/>
          <w:sz w:val="22"/>
          <w:szCs w:val="22"/>
        </w:rPr>
        <w:t>Išp</w:t>
      </w:r>
      <w:r w:rsidR="00291F5F">
        <w:rPr>
          <w:rFonts w:asciiTheme="minorHAnsi" w:hAnsiTheme="minorHAnsi" w:cstheme="minorHAnsi"/>
          <w:sz w:val="22"/>
          <w:szCs w:val="22"/>
        </w:rPr>
        <w:t>lėstinė teisėjų kolegija sprendė</w:t>
      </w:r>
      <w:r w:rsidRPr="002343B6">
        <w:rPr>
          <w:rFonts w:asciiTheme="minorHAnsi" w:hAnsiTheme="minorHAnsi" w:cstheme="minorHAnsi"/>
          <w:sz w:val="22"/>
          <w:szCs w:val="22"/>
        </w:rPr>
        <w:t>, kad teismas, vykdydamas savo pareigą patikrinti, ar visos Tarybos išvados buvo motyvuotos, Sprendime pagrįstai konstatavo, jog vadovaujantis Tarybos pasirinktu geografinės rinkos apibrėžimo būdu apibrėžta rinka vėliau yra neįmanoma objektyviai ir teisingai apskaičiuoti rinkos uždarymo mastą ir įvertinti kitas bylai reikšmingas teisines aplin</w:t>
      </w:r>
      <w:r w:rsidR="00291F5F">
        <w:rPr>
          <w:rFonts w:asciiTheme="minorHAnsi" w:hAnsiTheme="minorHAnsi" w:cstheme="minorHAnsi"/>
          <w:sz w:val="22"/>
          <w:szCs w:val="22"/>
        </w:rPr>
        <w:t>kybes, turinčias lemiamą įtaką b</w:t>
      </w:r>
      <w:r w:rsidRPr="002343B6">
        <w:rPr>
          <w:rFonts w:asciiTheme="minorHAnsi" w:hAnsiTheme="minorHAnsi" w:cstheme="minorHAnsi"/>
          <w:sz w:val="22"/>
          <w:szCs w:val="22"/>
        </w:rPr>
        <w:t xml:space="preserve">endrovių susitarimo vertinimui </w:t>
      </w:r>
      <w:r w:rsidR="00291F5F">
        <w:rPr>
          <w:rFonts w:asciiTheme="minorHAnsi" w:hAnsiTheme="minorHAnsi" w:cstheme="minorHAnsi"/>
          <w:sz w:val="22"/>
          <w:szCs w:val="22"/>
        </w:rPr>
        <w:t>Konkurencijos į</w:t>
      </w:r>
      <w:r w:rsidRPr="002343B6">
        <w:rPr>
          <w:rFonts w:asciiTheme="minorHAnsi" w:hAnsiTheme="minorHAnsi" w:cstheme="minorHAnsi"/>
          <w:sz w:val="22"/>
          <w:szCs w:val="22"/>
        </w:rPr>
        <w:t>statymo prasme.</w:t>
      </w:r>
    </w:p>
    <w:p w14:paraId="4F6A4B02" w14:textId="4C1AC510" w:rsidR="00E9535B" w:rsidRDefault="00E9535B" w:rsidP="00E9535B">
      <w:pPr>
        <w:ind w:firstLine="567"/>
        <w:jc w:val="both"/>
        <w:rPr>
          <w:rFonts w:asciiTheme="minorHAnsi" w:hAnsiTheme="minorHAnsi" w:cstheme="minorHAnsi"/>
          <w:sz w:val="22"/>
          <w:szCs w:val="22"/>
        </w:rPr>
      </w:pPr>
      <w:r>
        <w:rPr>
          <w:rFonts w:asciiTheme="minorHAnsi" w:hAnsiTheme="minorHAnsi" w:cstheme="minorHAnsi"/>
          <w:sz w:val="22"/>
          <w:szCs w:val="22"/>
        </w:rPr>
        <w:t>I</w:t>
      </w:r>
      <w:r w:rsidRPr="002343B6">
        <w:rPr>
          <w:rFonts w:asciiTheme="minorHAnsi" w:hAnsiTheme="minorHAnsi" w:cstheme="minorHAnsi"/>
          <w:sz w:val="22"/>
          <w:szCs w:val="22"/>
        </w:rPr>
        <w:t>šplėstinė teisėjų kolegija konstat</w:t>
      </w:r>
      <w:r>
        <w:rPr>
          <w:rFonts w:asciiTheme="minorHAnsi" w:hAnsiTheme="minorHAnsi" w:cstheme="minorHAnsi"/>
          <w:sz w:val="22"/>
          <w:szCs w:val="22"/>
        </w:rPr>
        <w:t>avo</w:t>
      </w:r>
      <w:r w:rsidRPr="002343B6">
        <w:rPr>
          <w:rFonts w:asciiTheme="minorHAnsi" w:hAnsiTheme="minorHAnsi" w:cstheme="minorHAnsi"/>
          <w:sz w:val="22"/>
          <w:szCs w:val="22"/>
        </w:rPr>
        <w:t xml:space="preserve">, kad galimas Sprendime pasirinktos gramatinės formuluotės netikslumas nelėmė teismo klaidos priimant Sprendimą, todėl, proceso atnaujinimo apimtyje Sprendimą patikrinus ir patikslinus jo 47 punkte pateiktą išaiškinimą, įvertinus, kad Tarybos atliktas geografinės rinkos apibrėžimas neleidžia objektyviai ir teisingai įvertinti kitų bylos ginčui reikšmingų aplinkybių, nėra pagrindo naikinti 2018 m. birželio 13 d. </w:t>
      </w:r>
      <w:r w:rsidR="00291F5F">
        <w:rPr>
          <w:rFonts w:asciiTheme="minorHAnsi" w:hAnsiTheme="minorHAnsi" w:cstheme="minorHAnsi"/>
          <w:sz w:val="22"/>
          <w:szCs w:val="22"/>
        </w:rPr>
        <w:t>LVAT</w:t>
      </w:r>
      <w:r w:rsidRPr="002343B6">
        <w:rPr>
          <w:rFonts w:asciiTheme="minorHAnsi" w:hAnsiTheme="minorHAnsi" w:cstheme="minorHAnsi"/>
          <w:sz w:val="22"/>
          <w:szCs w:val="22"/>
        </w:rPr>
        <w:t xml:space="preserve"> sprendimą bei jame nurodytą rezoliucinę dalį. </w:t>
      </w:r>
    </w:p>
    <w:p w14:paraId="3BCC6112" w14:textId="77777777" w:rsidR="00E9535B" w:rsidRDefault="00E9535B" w:rsidP="00E9535B">
      <w:pPr>
        <w:ind w:firstLine="567"/>
        <w:jc w:val="both"/>
        <w:rPr>
          <w:rFonts w:asciiTheme="minorHAnsi" w:hAnsiTheme="minorHAnsi" w:cstheme="minorHAnsi"/>
          <w:sz w:val="22"/>
          <w:szCs w:val="22"/>
        </w:rPr>
      </w:pPr>
      <w:r>
        <w:rPr>
          <w:rFonts w:asciiTheme="minorHAnsi" w:hAnsiTheme="minorHAnsi" w:cstheme="minorHAnsi"/>
          <w:sz w:val="22"/>
          <w:szCs w:val="22"/>
        </w:rPr>
        <w:t>Atsakovo prašymas atmestas, o LVAT sprendimas paliktas nepakeistas.</w:t>
      </w:r>
    </w:p>
    <w:p w14:paraId="2AB4C51C" w14:textId="77777777" w:rsidR="00E9535B" w:rsidRPr="00B542A0" w:rsidRDefault="00E9535B" w:rsidP="00E9535B">
      <w:pPr>
        <w:ind w:firstLine="567"/>
        <w:jc w:val="both"/>
        <w:rPr>
          <w:rFonts w:asciiTheme="minorHAnsi" w:hAnsiTheme="minorHAnsi" w:cstheme="minorHAnsi"/>
          <w:sz w:val="22"/>
          <w:szCs w:val="22"/>
        </w:rPr>
      </w:pPr>
    </w:p>
    <w:p w14:paraId="73FA8747" w14:textId="77777777" w:rsidR="00E9535B" w:rsidRPr="00B542A0" w:rsidRDefault="00E9535B" w:rsidP="00E9535B">
      <w:pPr>
        <w:jc w:val="both"/>
        <w:rPr>
          <w:rFonts w:asciiTheme="minorHAnsi" w:hAnsiTheme="minorHAnsi" w:cstheme="minorHAnsi"/>
          <w:sz w:val="22"/>
          <w:szCs w:val="22"/>
        </w:rPr>
      </w:pPr>
      <w:r w:rsidRPr="00707401">
        <w:rPr>
          <w:rFonts w:asciiTheme="minorHAnsi" w:hAnsiTheme="minorHAnsi" w:cstheme="minorHAnsi"/>
          <w:sz w:val="22"/>
          <w:szCs w:val="22"/>
        </w:rPr>
        <w:t xml:space="preserve">Išplėstinės teisėjų kolegijos </w:t>
      </w:r>
      <w:r w:rsidRPr="00B542A0">
        <w:rPr>
          <w:rFonts w:asciiTheme="minorHAnsi" w:hAnsiTheme="minorHAnsi" w:cstheme="minorHAnsi"/>
          <w:sz w:val="22"/>
          <w:szCs w:val="22"/>
        </w:rPr>
        <w:t xml:space="preserve">2019 m. </w:t>
      </w:r>
      <w:r>
        <w:rPr>
          <w:rFonts w:asciiTheme="minorHAnsi" w:hAnsiTheme="minorHAnsi" w:cstheme="minorHAnsi"/>
          <w:sz w:val="22"/>
          <w:szCs w:val="22"/>
        </w:rPr>
        <w:t>birželio 4</w:t>
      </w:r>
      <w:r w:rsidRPr="00B542A0">
        <w:rPr>
          <w:rFonts w:asciiTheme="minorHAnsi" w:hAnsiTheme="minorHAnsi" w:cstheme="minorHAnsi"/>
          <w:sz w:val="22"/>
          <w:szCs w:val="22"/>
        </w:rPr>
        <w:t xml:space="preserve"> d. </w:t>
      </w:r>
      <w:r>
        <w:rPr>
          <w:rFonts w:asciiTheme="minorHAnsi" w:hAnsiTheme="minorHAnsi" w:cstheme="minorHAnsi"/>
          <w:sz w:val="22"/>
          <w:szCs w:val="22"/>
        </w:rPr>
        <w:t xml:space="preserve">nutartis </w:t>
      </w:r>
      <w:r w:rsidRPr="00B542A0">
        <w:rPr>
          <w:rFonts w:asciiTheme="minorHAnsi" w:hAnsiTheme="minorHAnsi" w:cstheme="minorHAnsi"/>
          <w:sz w:val="22"/>
          <w:szCs w:val="22"/>
        </w:rPr>
        <w:t xml:space="preserve">administracinėje byloje Nr. </w:t>
      </w:r>
      <w:r w:rsidRPr="00707401">
        <w:rPr>
          <w:rFonts w:asciiTheme="minorHAnsi" w:hAnsiTheme="minorHAnsi" w:cstheme="minorHAnsi"/>
          <w:sz w:val="22"/>
          <w:szCs w:val="22"/>
        </w:rPr>
        <w:t>eA-3347-629/2019</w:t>
      </w:r>
    </w:p>
    <w:p w14:paraId="6D24B344" w14:textId="77777777" w:rsidR="00E9535B" w:rsidRPr="00B542A0" w:rsidRDefault="00E9535B" w:rsidP="00E9535B">
      <w:pPr>
        <w:jc w:val="both"/>
        <w:rPr>
          <w:rFonts w:asciiTheme="minorHAnsi" w:hAnsiTheme="minorHAnsi" w:cstheme="minorHAnsi"/>
          <w:sz w:val="22"/>
          <w:szCs w:val="22"/>
        </w:rPr>
      </w:pPr>
      <w:r w:rsidRPr="00B542A0">
        <w:rPr>
          <w:rFonts w:asciiTheme="minorHAnsi" w:hAnsiTheme="minorHAnsi" w:cstheme="minorHAnsi"/>
          <w:sz w:val="22"/>
          <w:szCs w:val="22"/>
        </w:rPr>
        <w:t xml:space="preserve">Teisminio proceso Nr. </w:t>
      </w:r>
      <w:r w:rsidRPr="00707401">
        <w:rPr>
          <w:rFonts w:asciiTheme="minorHAnsi" w:hAnsiTheme="minorHAnsi" w:cstheme="minorHAnsi"/>
          <w:sz w:val="22"/>
          <w:szCs w:val="22"/>
        </w:rPr>
        <w:t>3-61-3-06003-2015-0</w:t>
      </w:r>
    </w:p>
    <w:p w14:paraId="33FE16F0" w14:textId="77777777" w:rsidR="00E9535B" w:rsidRPr="00B542A0" w:rsidRDefault="00E9535B" w:rsidP="00E9535B">
      <w:pPr>
        <w:jc w:val="both"/>
        <w:rPr>
          <w:rFonts w:asciiTheme="minorHAnsi" w:hAnsiTheme="minorHAnsi" w:cstheme="minorHAnsi"/>
          <w:sz w:val="22"/>
          <w:szCs w:val="22"/>
        </w:rPr>
      </w:pPr>
      <w:r w:rsidRPr="00B542A0">
        <w:rPr>
          <w:rFonts w:asciiTheme="minorHAnsi" w:hAnsiTheme="minorHAnsi" w:cstheme="minorHAnsi"/>
          <w:sz w:val="22"/>
          <w:szCs w:val="22"/>
        </w:rPr>
        <w:t>Procesinio sprendimo kategorija</w:t>
      </w:r>
      <w:r w:rsidRPr="00925D3C">
        <w:rPr>
          <w:rFonts w:asciiTheme="minorHAnsi" w:hAnsiTheme="minorHAnsi" w:cstheme="minorHAnsi"/>
          <w:sz w:val="22"/>
          <w:szCs w:val="22"/>
        </w:rPr>
        <w:t xml:space="preserve">: </w:t>
      </w:r>
      <w:r>
        <w:rPr>
          <w:rFonts w:asciiTheme="minorHAnsi" w:hAnsiTheme="minorHAnsi" w:cstheme="minorHAnsi"/>
          <w:sz w:val="22"/>
          <w:szCs w:val="22"/>
        </w:rPr>
        <w:t>11.2; 11.9</w:t>
      </w:r>
    </w:p>
    <w:p w14:paraId="35C2C9EF" w14:textId="77777777" w:rsidR="00E9535B" w:rsidRDefault="00E31BD2" w:rsidP="00E9535B">
      <w:pPr>
        <w:jc w:val="both"/>
      </w:pPr>
      <w:hyperlink r:id="rId10" w:history="1">
        <w:r w:rsidR="00E9535B" w:rsidRPr="00B542A0">
          <w:rPr>
            <w:rStyle w:val="Hipersaitas"/>
            <w:rFonts w:asciiTheme="minorHAnsi" w:hAnsiTheme="minorHAnsi" w:cstheme="minorHAnsi"/>
            <w:sz w:val="22"/>
            <w:szCs w:val="22"/>
          </w:rPr>
          <w:t>Prieiga internete</w:t>
        </w:r>
      </w:hyperlink>
    </w:p>
    <w:p w14:paraId="099EBD40" w14:textId="77777777" w:rsidR="00E9535B" w:rsidRDefault="00E9535B" w:rsidP="00BE611E">
      <w:pPr>
        <w:rPr>
          <w:rFonts w:asciiTheme="minorHAnsi" w:hAnsiTheme="minorHAnsi" w:cstheme="minorHAnsi"/>
          <w:bCs/>
          <w:sz w:val="22"/>
          <w:szCs w:val="22"/>
        </w:rPr>
      </w:pPr>
    </w:p>
    <w:p w14:paraId="0548B1FF" w14:textId="77777777" w:rsidR="00D54673" w:rsidRPr="00C00CDA" w:rsidRDefault="00D54673" w:rsidP="00D54673">
      <w:pPr>
        <w:pStyle w:val="Antrat1"/>
        <w:rPr>
          <w:rFonts w:asciiTheme="minorHAnsi" w:hAnsiTheme="minorHAnsi" w:cstheme="minorHAnsi"/>
        </w:rPr>
      </w:pPr>
      <w:bookmarkStart w:id="26" w:name="_Toc462149976"/>
      <w:bookmarkStart w:id="27" w:name="_Toc14784006"/>
      <w:r w:rsidRPr="00C00CDA">
        <w:rPr>
          <w:rFonts w:asciiTheme="minorHAnsi" w:hAnsiTheme="minorHAnsi" w:cstheme="minorHAnsi"/>
        </w:rPr>
        <w:lastRenderedPageBreak/>
        <w:t>12. Mokesčiai, įmokos ir kiti privalomieji mokėjimai</w:t>
      </w:r>
      <w:bookmarkEnd w:id="26"/>
      <w:bookmarkEnd w:id="27"/>
    </w:p>
    <w:p w14:paraId="01983A9F" w14:textId="77777777" w:rsidR="00E2075F" w:rsidRPr="003121B7" w:rsidRDefault="00E2075F" w:rsidP="00E2075F">
      <w:pPr>
        <w:ind w:firstLine="567"/>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12.5. Mokestinė prievolė ir jos įvykdymo užtikrinimas</w:t>
      </w:r>
    </w:p>
    <w:p w14:paraId="480D93B1" w14:textId="77777777" w:rsidR="00E2075F" w:rsidRPr="003121B7" w:rsidRDefault="00E2075F" w:rsidP="00E2075F">
      <w:pPr>
        <w:ind w:firstLine="1134"/>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12.5.5. Kiti su mokestine prievole ir jos įvykdymo užtikrinimu susiję klausimai</w:t>
      </w:r>
    </w:p>
    <w:p w14:paraId="4BE7D467" w14:textId="77777777" w:rsidR="00E2075F" w:rsidRPr="003121B7" w:rsidRDefault="00E2075F" w:rsidP="00E2075F">
      <w:pPr>
        <w:jc w:val="both"/>
        <w:rPr>
          <w:rFonts w:asciiTheme="minorHAnsi" w:hAnsiTheme="minorHAnsi" w:cstheme="minorHAnsi"/>
          <w:i/>
          <w:sz w:val="22"/>
          <w:szCs w:val="22"/>
        </w:rPr>
      </w:pPr>
    </w:p>
    <w:p w14:paraId="17CC5653" w14:textId="77777777" w:rsidR="00E2075F" w:rsidRPr="003121B7" w:rsidRDefault="00E2075F" w:rsidP="00C16FFA">
      <w:pPr>
        <w:pStyle w:val="Antrat2"/>
      </w:pPr>
      <w:bookmarkStart w:id="28" w:name="_Toc14784007"/>
      <w:r w:rsidRPr="003121B7">
        <w:t>Dėl mokesčių administratoriaus teisės reikalauti, kad paveldėtojas įvykdytų mirusio mokesčio mokėtojo mokestines prievoles</w:t>
      </w:r>
      <w:bookmarkEnd w:id="28"/>
    </w:p>
    <w:p w14:paraId="15187F01" w14:textId="01C4C4D7" w:rsidR="00E2075F" w:rsidRPr="003121B7" w:rsidRDefault="00E2075F" w:rsidP="00C16FFA">
      <w:pPr>
        <w:pStyle w:val="Antrat2"/>
      </w:pPr>
      <w:bookmarkStart w:id="29" w:name="_Toc14784008"/>
      <w:r w:rsidRPr="00AD779D">
        <w:t>Dėl mokesčio delspinigių nuo miru</w:t>
      </w:r>
      <w:r w:rsidR="00AD779D" w:rsidRPr="00AD779D">
        <w:t>sio mokesčių mokėtojo nesumokėtų mokesčių</w:t>
      </w:r>
      <w:r w:rsidRPr="00AD779D">
        <w:t xml:space="preserve"> skaičiavimo už laikotarpį po jo</w:t>
      </w:r>
      <w:r w:rsidRPr="003121B7">
        <w:t xml:space="preserve"> (mokesčių mokėtojo) mirties</w:t>
      </w:r>
      <w:bookmarkEnd w:id="29"/>
    </w:p>
    <w:p w14:paraId="67CCFC76" w14:textId="77777777" w:rsidR="00E2075F" w:rsidRPr="003121B7" w:rsidRDefault="00E2075F" w:rsidP="00E2075F">
      <w:pPr>
        <w:ind w:firstLine="567"/>
        <w:jc w:val="both"/>
        <w:rPr>
          <w:rFonts w:asciiTheme="minorHAnsi" w:hAnsiTheme="minorHAnsi" w:cstheme="minorHAnsi"/>
          <w:sz w:val="22"/>
          <w:szCs w:val="22"/>
        </w:rPr>
      </w:pPr>
    </w:p>
    <w:p w14:paraId="3DFE366D"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Apžvelgiamoje byloje buvo nagrinėjamas ginčas</w:t>
      </w:r>
      <w:r>
        <w:rPr>
          <w:rFonts w:asciiTheme="minorHAnsi" w:hAnsiTheme="minorHAnsi" w:cstheme="minorHAnsi"/>
          <w:sz w:val="22"/>
          <w:szCs w:val="22"/>
        </w:rPr>
        <w:t xml:space="preserve"> </w:t>
      </w:r>
      <w:r w:rsidRPr="003121B7">
        <w:rPr>
          <w:rFonts w:asciiTheme="minorHAnsi" w:hAnsiTheme="minorHAnsi" w:cstheme="minorHAnsi"/>
          <w:sz w:val="22"/>
          <w:szCs w:val="22"/>
        </w:rPr>
        <w:t>dėl mokesčių administratoriaus sprendimo, kuriuo pareiškėjo mirusiai motinai patikrinimo pažymoje apskaičiuoti gyventojų pajamų mokestis ir šio mokesčio</w:t>
      </w:r>
      <w:r>
        <w:rPr>
          <w:rFonts w:asciiTheme="minorHAnsi" w:hAnsiTheme="minorHAnsi" w:cstheme="minorHAnsi"/>
          <w:sz w:val="22"/>
          <w:szCs w:val="22"/>
        </w:rPr>
        <w:t xml:space="preserve"> </w:t>
      </w:r>
      <w:r w:rsidRPr="003121B7">
        <w:rPr>
          <w:rFonts w:asciiTheme="minorHAnsi" w:hAnsiTheme="minorHAnsi" w:cstheme="minorHAnsi"/>
          <w:sz w:val="22"/>
          <w:szCs w:val="22"/>
        </w:rPr>
        <w:t>delspinigiai bei nurodyta, kad prievolę privalo įvykdyti pareiškėjas (paveldėtojas).</w:t>
      </w:r>
    </w:p>
    <w:p w14:paraId="5C7ABB3A" w14:textId="3D920E96"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Byloje susiklosčiusius teisinius santykius reglamentavo Mokesčių administravimo įstatymo 92 straipsnis bei kitos su jo įgyvendinimu susijusios teisės normos. Mokesčių administravimo įstatymo 92 straipsnyje nustatyta, kad mirusio fizinio asmens mokestinę nepriemoką privalo padengti šio asmens turto paveldėtojai </w:t>
      </w:r>
      <w:r w:rsidR="001719D0">
        <w:rPr>
          <w:rFonts w:asciiTheme="minorHAnsi" w:hAnsiTheme="minorHAnsi" w:cstheme="minorHAnsi"/>
          <w:sz w:val="22"/>
          <w:szCs w:val="22"/>
        </w:rPr>
        <w:t>CK </w:t>
      </w:r>
      <w:r w:rsidRPr="003121B7">
        <w:rPr>
          <w:rFonts w:asciiTheme="minorHAnsi" w:hAnsiTheme="minorHAnsi" w:cstheme="minorHAnsi"/>
          <w:sz w:val="22"/>
          <w:szCs w:val="22"/>
        </w:rPr>
        <w:t>nustatyta tvarka.</w:t>
      </w:r>
    </w:p>
    <w:p w14:paraId="6B6D92C8" w14:textId="5548B913"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Kaip pažymėjo teisėjų kolegija, ši nuostata pagal formulavimo būdą yra priskirtina blanketinių teisės normų rūšiai, nes joje įtvirtinta elgesio taisyklė – „mirusio fizinio asmens mokestinę nepriemoką privalo padengti šio asmens turto paveldėtojai“, pati savaime aiškiai ir išsamiai nenustato šio teisinio santykio dalyvių teisių ir pareigų. Šiuo atveju joje suformuota taisyklė, kad mirusio fizinio asmens neprimoką privalo padengti paveldėtojai, yra deklaratyvaus pobūdžio, o šio teisinio santykio dalyvių – mokesčių administratoriaus ir turto paveldėtojų, teisėms ir pareigoms nustatyti, nukreipia į kitas teisės normas (</w:t>
      </w:r>
      <w:r w:rsidR="00AD779D">
        <w:rPr>
          <w:rFonts w:asciiTheme="minorHAnsi" w:hAnsiTheme="minorHAnsi" w:cstheme="minorHAnsi"/>
          <w:sz w:val="22"/>
          <w:szCs w:val="22"/>
        </w:rPr>
        <w:t>CK</w:t>
      </w:r>
      <w:r w:rsidRPr="003121B7">
        <w:rPr>
          <w:rFonts w:asciiTheme="minorHAnsi" w:hAnsiTheme="minorHAnsi" w:cstheme="minorHAnsi"/>
          <w:sz w:val="22"/>
          <w:szCs w:val="22"/>
        </w:rPr>
        <w:t xml:space="preserve">). Toks šios teisės normos pobūdis reiškia, kad būtent </w:t>
      </w:r>
      <w:r w:rsidR="00AD779D">
        <w:rPr>
          <w:rFonts w:asciiTheme="minorHAnsi" w:hAnsiTheme="minorHAnsi" w:cstheme="minorHAnsi"/>
          <w:sz w:val="22"/>
          <w:szCs w:val="22"/>
        </w:rPr>
        <w:t>CK</w:t>
      </w:r>
      <w:r w:rsidRPr="003121B7">
        <w:rPr>
          <w:rFonts w:asciiTheme="minorHAnsi" w:hAnsiTheme="minorHAnsi" w:cstheme="minorHAnsi"/>
          <w:sz w:val="22"/>
          <w:szCs w:val="22"/>
        </w:rPr>
        <w:t xml:space="preserve"> normos, reglamentuojančios paveldėjimo klausimus, turi būti taikomos nustatant šio teisinio santykio dalyvių teises ir pareigas. Ir priešingai,</w:t>
      </w:r>
      <w:r w:rsidRPr="003121B7">
        <w:rPr>
          <w:rFonts w:asciiTheme="minorHAnsi" w:hAnsiTheme="minorHAnsi" w:cstheme="minorHAnsi"/>
          <w:sz w:val="22"/>
          <w:szCs w:val="22"/>
          <w:u w:val="single"/>
        </w:rPr>
        <w:t xml:space="preserve"> Mokesčių administravimo įstatymo 92 straipsnis pats savaime nesuteikia teisės mokesčių administratoriui savo sprendimu mirusio fizinio asmens turto paveldėtojams nustatyti atitinkamas pareigas mokestinių teisinių santykių srityje. Šios pareigos paveldėtojams gali atsirasti tik </w:t>
      </w:r>
      <w:r w:rsidR="00AD779D">
        <w:rPr>
          <w:rFonts w:asciiTheme="minorHAnsi" w:hAnsiTheme="minorHAnsi" w:cstheme="minorHAnsi"/>
          <w:sz w:val="22"/>
          <w:szCs w:val="22"/>
          <w:u w:val="single"/>
        </w:rPr>
        <w:t>CK</w:t>
      </w:r>
      <w:r w:rsidRPr="003121B7">
        <w:rPr>
          <w:rFonts w:asciiTheme="minorHAnsi" w:hAnsiTheme="minorHAnsi" w:cstheme="minorHAnsi"/>
          <w:sz w:val="22"/>
          <w:szCs w:val="22"/>
          <w:u w:val="single"/>
        </w:rPr>
        <w:t xml:space="preserve"> nustatyta tvarka</w:t>
      </w:r>
      <w:r w:rsidRPr="003121B7">
        <w:rPr>
          <w:rFonts w:asciiTheme="minorHAnsi" w:hAnsiTheme="minorHAnsi" w:cstheme="minorHAnsi"/>
          <w:sz w:val="22"/>
          <w:szCs w:val="22"/>
        </w:rPr>
        <w:t>.</w:t>
      </w:r>
    </w:p>
    <w:p w14:paraId="65A50661"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Teisėjų kolegija taip pat nurodė, kad iš Mokesčių administravimo įstatymo 128 straipsnio 1 ir 2 dalyse, 130 straipsnio 1, 2 ir 6 dalyse įtvirtinto teisinio reglamentavimo matyti, kad </w:t>
      </w:r>
      <w:r w:rsidRPr="003121B7">
        <w:rPr>
          <w:rFonts w:asciiTheme="minorHAnsi" w:hAnsiTheme="minorHAnsi" w:cstheme="minorHAnsi"/>
          <w:sz w:val="22"/>
          <w:szCs w:val="22"/>
          <w:u w:val="single"/>
        </w:rPr>
        <w:t xml:space="preserve">tais atvejais, kai yra tikrinami mirusio mokesčių mokėtojo veiklos rezultatai, sprendimas dėl atitinkamų mokesčių išieškojimo iš atitinkamų paveldėtojų ar kitų asmenų </w:t>
      </w:r>
      <w:r w:rsidRPr="003121B7">
        <w:rPr>
          <w:rFonts w:asciiTheme="minorHAnsi" w:hAnsiTheme="minorHAnsi" w:cstheme="minorHAnsi"/>
          <w:b/>
          <w:sz w:val="22"/>
          <w:szCs w:val="22"/>
          <w:u w:val="single"/>
        </w:rPr>
        <w:t>nėra</w:t>
      </w:r>
      <w:r w:rsidRPr="003121B7">
        <w:rPr>
          <w:rFonts w:asciiTheme="minorHAnsi" w:hAnsiTheme="minorHAnsi" w:cstheme="minorHAnsi"/>
          <w:sz w:val="22"/>
          <w:szCs w:val="22"/>
          <w:u w:val="single"/>
        </w:rPr>
        <w:t xml:space="preserve"> priimamas</w:t>
      </w:r>
      <w:r w:rsidRPr="003121B7">
        <w:rPr>
          <w:rFonts w:asciiTheme="minorHAnsi" w:hAnsiTheme="minorHAnsi" w:cstheme="minorHAnsi"/>
          <w:sz w:val="22"/>
          <w:szCs w:val="22"/>
        </w:rPr>
        <w:t xml:space="preserve">. </w:t>
      </w:r>
      <w:r w:rsidRPr="003121B7">
        <w:rPr>
          <w:rFonts w:asciiTheme="minorHAnsi" w:hAnsiTheme="minorHAnsi" w:cstheme="minorHAnsi"/>
          <w:sz w:val="22"/>
          <w:szCs w:val="22"/>
          <w:u w:val="single"/>
        </w:rPr>
        <w:t>Tokiais atvejais mokestinio patikrinimo rezultatai yra įforminami patikrinimo pažyma, kuria yra tik konstatuojami nustatyti mokestinių įstatymų pažeidimai, atsiradusių mokestinių nepriemokų dydžiai ir kitos aplinkybės, apie kurias, pagal galimybes, turi būti informuojami mirusio asmens turo paveldėtojai</w:t>
      </w:r>
      <w:r w:rsidRPr="003121B7">
        <w:rPr>
          <w:rFonts w:asciiTheme="minorHAnsi" w:hAnsiTheme="minorHAnsi" w:cstheme="minorHAnsi"/>
          <w:sz w:val="22"/>
          <w:szCs w:val="22"/>
        </w:rPr>
        <w:t>.</w:t>
      </w:r>
    </w:p>
    <w:p w14:paraId="06F29DAB" w14:textId="3988733F"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Dėl patikrinimo pažymoje apskaičiuotų delspinigių LVAT pažymėjo, kad Mokesčių administravimo įstatymo 96 straipsnio 1 dalies 2 punkte nustatyta, kad delspinigiai mokesčių mokėtojui skaičiuojami už nesumokėtą arba pavėluotai sumokėtą patikrinimo metu mokesčių administratoriaus nustatytą nedeklaruotą deklaruojamą ar neapskaičiuotą nedeklaruojamą mokestį (įskaitant mokestį, kuris turėjo būti apskaičiuotas muitinės deklaracijoje). Iš nurodytos nuostatos matyti, kad </w:t>
      </w:r>
      <w:r w:rsidRPr="003121B7">
        <w:rPr>
          <w:rFonts w:asciiTheme="minorHAnsi" w:hAnsiTheme="minorHAnsi" w:cstheme="minorHAnsi"/>
          <w:sz w:val="22"/>
          <w:szCs w:val="22"/>
          <w:u w:val="single"/>
        </w:rPr>
        <w:t>delspinigiai skaičiuojami būtent mokesčių mokėtojui</w:t>
      </w:r>
      <w:r w:rsidRPr="003121B7">
        <w:rPr>
          <w:rFonts w:asciiTheme="minorHAnsi" w:hAnsiTheme="minorHAnsi" w:cstheme="minorHAnsi"/>
          <w:sz w:val="22"/>
          <w:szCs w:val="22"/>
        </w:rPr>
        <w:t xml:space="preserve">. Nagrinėtu atveju nustatyta, kad mokesčių administratorius delspinigius apskaičiavo ir už tą laikotarpį, kai mokesčių mokėtojo nebebuvo. Tokiu atveju, kai mokesčių mokėtojas miršta, pagal Mokesčių administravimo įstatymo 92 straipsnį mirusio fizinio asmens mokestinę </w:t>
      </w:r>
      <w:r w:rsidRPr="003121B7">
        <w:rPr>
          <w:rFonts w:asciiTheme="minorHAnsi" w:hAnsiTheme="minorHAnsi" w:cstheme="minorHAnsi"/>
          <w:sz w:val="22"/>
          <w:szCs w:val="22"/>
          <w:u w:val="single"/>
        </w:rPr>
        <w:t xml:space="preserve">nepriemoką privalo padengti šio asmens turto paveldėtojai </w:t>
      </w:r>
      <w:r w:rsidR="00AD779D">
        <w:rPr>
          <w:rFonts w:asciiTheme="minorHAnsi" w:hAnsiTheme="minorHAnsi" w:cstheme="minorHAnsi"/>
          <w:sz w:val="22"/>
          <w:szCs w:val="22"/>
          <w:u w:val="single"/>
        </w:rPr>
        <w:t>CK</w:t>
      </w:r>
      <w:r w:rsidRPr="003121B7">
        <w:rPr>
          <w:rFonts w:asciiTheme="minorHAnsi" w:hAnsiTheme="minorHAnsi" w:cstheme="minorHAnsi"/>
          <w:sz w:val="22"/>
          <w:szCs w:val="22"/>
          <w:u w:val="single"/>
        </w:rPr>
        <w:t xml:space="preserve"> nustatyta tvarka, tačiau pagal šio įstatymo nuostatas šiame teisiniame santykyje jie </w:t>
      </w:r>
      <w:r w:rsidRPr="003121B7">
        <w:rPr>
          <w:rFonts w:asciiTheme="minorHAnsi" w:hAnsiTheme="minorHAnsi" w:cstheme="minorHAnsi"/>
          <w:b/>
          <w:sz w:val="22"/>
          <w:szCs w:val="22"/>
          <w:u w:val="single"/>
        </w:rPr>
        <w:t>nėra</w:t>
      </w:r>
      <w:r w:rsidRPr="003121B7">
        <w:rPr>
          <w:rFonts w:asciiTheme="minorHAnsi" w:hAnsiTheme="minorHAnsi" w:cstheme="minorHAnsi"/>
          <w:sz w:val="22"/>
          <w:szCs w:val="22"/>
          <w:u w:val="single"/>
        </w:rPr>
        <w:t xml:space="preserve"> laikomi mokesčių mokėtojais</w:t>
      </w:r>
      <w:r w:rsidRPr="003121B7">
        <w:rPr>
          <w:rFonts w:asciiTheme="minorHAnsi" w:hAnsiTheme="minorHAnsi" w:cstheme="minorHAnsi"/>
          <w:sz w:val="22"/>
          <w:szCs w:val="22"/>
        </w:rPr>
        <w:t>. Taigi mokesčių administratorius patikrinimo pažymoje negalėjo apskaičiuoti delspinigių nuo apskaičiuotos mokesčio sumos laikotarpiu nuo pareiškėjo motinos mirties.</w:t>
      </w:r>
    </w:p>
    <w:p w14:paraId="24976836" w14:textId="36676AC3"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Šiomis aplinkybėmis LVAT sprendė, kad patikrinimo pažymoje suformuluotas įpareigojimas, jog pareiškėjo motinos įsiskolinimą biudžetui turi sumokėti pareiškėjas, buvo nepagrįstas, nes mokesčių administratorius materialines pretenzijas turto paveldėtojams privalėjo reikšti </w:t>
      </w:r>
      <w:r w:rsidR="00AD779D">
        <w:rPr>
          <w:rFonts w:asciiTheme="minorHAnsi" w:hAnsiTheme="minorHAnsi" w:cstheme="minorHAnsi"/>
          <w:sz w:val="22"/>
          <w:szCs w:val="22"/>
        </w:rPr>
        <w:t>CK</w:t>
      </w:r>
      <w:r w:rsidRPr="003121B7">
        <w:rPr>
          <w:rFonts w:asciiTheme="minorHAnsi" w:hAnsiTheme="minorHAnsi" w:cstheme="minorHAnsi"/>
          <w:sz w:val="22"/>
          <w:szCs w:val="22"/>
        </w:rPr>
        <w:t xml:space="preserve"> nustatyta tvarka. Todėl šį patikrinimo pažymoje suformuluotą įpareigojimą bei dalį, kuria apskaičiuoti delspinigiai už laikotarpį po pareiškėjo motinos mirties</w:t>
      </w:r>
      <w:r w:rsidR="00AD779D">
        <w:rPr>
          <w:rFonts w:asciiTheme="minorHAnsi" w:hAnsiTheme="minorHAnsi" w:cstheme="minorHAnsi"/>
          <w:sz w:val="22"/>
          <w:szCs w:val="22"/>
        </w:rPr>
        <w:t>,</w:t>
      </w:r>
      <w:r w:rsidRPr="003121B7">
        <w:rPr>
          <w:rFonts w:asciiTheme="minorHAnsi" w:hAnsiTheme="minorHAnsi" w:cstheme="minorHAnsi"/>
          <w:sz w:val="22"/>
          <w:szCs w:val="22"/>
        </w:rPr>
        <w:t xml:space="preserve"> nuspręsta panaikinti. </w:t>
      </w:r>
    </w:p>
    <w:p w14:paraId="5F85B735" w14:textId="77777777" w:rsidR="00E2075F" w:rsidRPr="003121B7" w:rsidRDefault="00E2075F" w:rsidP="00E2075F">
      <w:pPr>
        <w:ind w:firstLine="567"/>
        <w:jc w:val="both"/>
        <w:rPr>
          <w:rFonts w:asciiTheme="minorHAnsi" w:hAnsiTheme="minorHAnsi" w:cstheme="minorHAnsi"/>
          <w:sz w:val="22"/>
          <w:szCs w:val="22"/>
        </w:rPr>
      </w:pPr>
    </w:p>
    <w:p w14:paraId="27D2530F"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2019 m. birželio 26 d. nutartis administracinėje byloje Nr. A-2082-575/2019</w:t>
      </w:r>
    </w:p>
    <w:p w14:paraId="4AC92204"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3-61-3-00590-2018-8</w:t>
      </w:r>
    </w:p>
    <w:p w14:paraId="212ADCCE"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 xml:space="preserve">Procesinio sprendimo kategorijos: 12.2.3; 12.2.7; 12.11; 12.13.1.1 </w:t>
      </w:r>
    </w:p>
    <w:p w14:paraId="04658D27" w14:textId="77777777" w:rsidR="00E2075F" w:rsidRPr="003121B7" w:rsidRDefault="00E31BD2" w:rsidP="00E2075F">
      <w:pPr>
        <w:jc w:val="both"/>
        <w:rPr>
          <w:rFonts w:asciiTheme="minorHAnsi" w:hAnsiTheme="minorHAnsi" w:cstheme="minorHAnsi"/>
          <w:sz w:val="22"/>
          <w:szCs w:val="22"/>
        </w:rPr>
      </w:pPr>
      <w:hyperlink r:id="rId11" w:history="1">
        <w:r w:rsidR="00E2075F" w:rsidRPr="00640BA4">
          <w:rPr>
            <w:rStyle w:val="Hipersaitas"/>
            <w:rFonts w:asciiTheme="minorHAnsi" w:hAnsiTheme="minorHAnsi" w:cstheme="minorHAnsi"/>
            <w:sz w:val="22"/>
            <w:szCs w:val="22"/>
          </w:rPr>
          <w:t>Prieiga internete</w:t>
        </w:r>
      </w:hyperlink>
    </w:p>
    <w:p w14:paraId="46E4BB21" w14:textId="77777777" w:rsidR="00E2075F" w:rsidRPr="003121B7" w:rsidRDefault="00E2075F" w:rsidP="00E2075F">
      <w:pPr>
        <w:ind w:firstLine="284"/>
        <w:rPr>
          <w:rFonts w:asciiTheme="minorHAnsi" w:hAnsiTheme="minorHAnsi" w:cstheme="minorHAnsi"/>
          <w:b/>
          <w:bCs/>
          <w:sz w:val="22"/>
          <w:szCs w:val="22"/>
          <w:u w:val="single"/>
        </w:rPr>
      </w:pPr>
    </w:p>
    <w:p w14:paraId="4FEBB009" w14:textId="77777777" w:rsidR="00E2075F" w:rsidRPr="003121B7" w:rsidRDefault="00E2075F" w:rsidP="00E2075F">
      <w:pPr>
        <w:ind w:firstLine="567"/>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12.12. Kiti bendrieji mokesčių administravimo klausimai</w:t>
      </w:r>
    </w:p>
    <w:p w14:paraId="1FCD3B50" w14:textId="77777777" w:rsidR="00E2075F" w:rsidRPr="003121B7" w:rsidRDefault="00E2075F" w:rsidP="00E2075F">
      <w:pPr>
        <w:jc w:val="both"/>
        <w:rPr>
          <w:rFonts w:asciiTheme="minorHAnsi" w:hAnsiTheme="minorHAnsi" w:cstheme="minorHAnsi"/>
          <w:sz w:val="22"/>
          <w:szCs w:val="22"/>
        </w:rPr>
      </w:pPr>
    </w:p>
    <w:p w14:paraId="1F693113" w14:textId="77777777" w:rsidR="00E2075F" w:rsidRPr="003121B7" w:rsidRDefault="00E2075F" w:rsidP="00C16FFA">
      <w:pPr>
        <w:pStyle w:val="Antrat2"/>
      </w:pPr>
      <w:bookmarkStart w:id="30" w:name="_Toc14784009"/>
      <w:r w:rsidRPr="003121B7">
        <w:t>Dėl mokesčių administratoriaus atsisakymo nagrinėti prašymą dėl išankstinio įsipareigojimo dėl mokesčių teisės aktų nuostatų taikymo būsimajam sandoriui</w:t>
      </w:r>
      <w:bookmarkEnd w:id="30"/>
    </w:p>
    <w:p w14:paraId="218C648B" w14:textId="77777777" w:rsidR="00E2075F" w:rsidRPr="003121B7" w:rsidRDefault="00E2075F" w:rsidP="00E2075F">
      <w:pPr>
        <w:jc w:val="both"/>
        <w:rPr>
          <w:rFonts w:asciiTheme="minorHAnsi" w:hAnsiTheme="minorHAnsi" w:cstheme="minorHAnsi"/>
          <w:sz w:val="22"/>
          <w:szCs w:val="22"/>
        </w:rPr>
      </w:pPr>
    </w:p>
    <w:p w14:paraId="21F9FCA5" w14:textId="38E95328"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Apžvelgiamoje byloje nagrinėtas ginčas kilo dėl centrinio mokesčių administratoriaus sprendimo, kuriuo pareiškėjo prašymas pritarti mokesčių teisės aktų nuostatų taikymui būsimajam sandoriui perduotas </w:t>
      </w:r>
      <w:r w:rsidR="004B17C7">
        <w:rPr>
          <w:rFonts w:asciiTheme="minorHAnsi" w:hAnsiTheme="minorHAnsi" w:cstheme="minorHAnsi"/>
          <w:sz w:val="22"/>
          <w:szCs w:val="22"/>
        </w:rPr>
        <w:t>VMI</w:t>
      </w:r>
      <w:r w:rsidRPr="003121B7">
        <w:rPr>
          <w:rFonts w:asciiTheme="minorHAnsi" w:hAnsiTheme="minorHAnsi" w:cstheme="minorHAnsi"/>
          <w:sz w:val="22"/>
          <w:szCs w:val="22"/>
        </w:rPr>
        <w:t xml:space="preserve"> Teisės departamentui, kad šis padalinys parengtų atsakymą į minėtą prašymą pagal Konsultacijų ir informacijos teikimo Valstybinėje mokesčių inspekcijoje taisykles, bei dėl centrinio mokesčių administratoriaus įpareigojimo prašymą išnagrinėti iš esmės ir priimti sprendimą pagal Mokesčių administravimo įstatymo 37</w:t>
      </w:r>
      <w:r w:rsidRPr="003121B7">
        <w:rPr>
          <w:rFonts w:asciiTheme="minorHAnsi" w:hAnsiTheme="minorHAnsi" w:cstheme="minorHAnsi"/>
          <w:sz w:val="22"/>
          <w:szCs w:val="22"/>
          <w:vertAlign w:val="superscript"/>
        </w:rPr>
        <w:t>1</w:t>
      </w:r>
      <w:r w:rsidRPr="003121B7">
        <w:rPr>
          <w:rFonts w:asciiTheme="minorHAnsi" w:hAnsiTheme="minorHAnsi" w:cstheme="minorHAnsi"/>
          <w:sz w:val="22"/>
          <w:szCs w:val="22"/>
        </w:rPr>
        <w:t xml:space="preserve"> straipsnio 2 ir 3 dalis.</w:t>
      </w:r>
    </w:p>
    <w:p w14:paraId="0E5DF8BF" w14:textId="32C2C533"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Atsakovas apeliaciniame skunde nurodo, kad šioje byloje ginčijamas VMI sprendimas pareiškėjui apskritai nesukelia teis</w:t>
      </w:r>
      <w:r w:rsidR="00BC21F5">
        <w:rPr>
          <w:rFonts w:asciiTheme="minorHAnsi" w:hAnsiTheme="minorHAnsi" w:cstheme="minorHAnsi"/>
          <w:sz w:val="22"/>
          <w:szCs w:val="22"/>
        </w:rPr>
        <w:t>i</w:t>
      </w:r>
      <w:r w:rsidRPr="003121B7">
        <w:rPr>
          <w:rFonts w:asciiTheme="minorHAnsi" w:hAnsiTheme="minorHAnsi" w:cstheme="minorHAnsi"/>
          <w:sz w:val="22"/>
          <w:szCs w:val="22"/>
        </w:rPr>
        <w:t xml:space="preserve">nių pasekmių, kadangi tai yra informacinio-aiškinamojo pobūdžio dokumentas, kuriame pareiškėjui paaiškinama, jog apmokestinimo aspektai dėl gautų netesybų ir skolų perleidimo yra paaiškinti </w:t>
      </w:r>
      <w:r w:rsidR="004B17C7">
        <w:rPr>
          <w:rFonts w:asciiTheme="minorHAnsi" w:hAnsiTheme="minorHAnsi" w:cstheme="minorHAnsi"/>
          <w:sz w:val="22"/>
          <w:szCs w:val="22"/>
        </w:rPr>
        <w:t>P</w:t>
      </w:r>
      <w:r w:rsidR="004B17C7" w:rsidRPr="004B17C7">
        <w:rPr>
          <w:rFonts w:asciiTheme="minorHAnsi" w:hAnsiTheme="minorHAnsi" w:cstheme="minorHAnsi"/>
          <w:sz w:val="22"/>
          <w:szCs w:val="22"/>
        </w:rPr>
        <w:t xml:space="preserve">elno mokesčio įstatymo </w:t>
      </w:r>
      <w:r w:rsidRPr="003121B7">
        <w:rPr>
          <w:rFonts w:asciiTheme="minorHAnsi" w:hAnsiTheme="minorHAnsi" w:cstheme="minorHAnsi"/>
          <w:sz w:val="22"/>
          <w:szCs w:val="22"/>
        </w:rPr>
        <w:t xml:space="preserve">nuostatose, todėl jam bus atsakyta į pateiktus klausimus bendra VMI nustatyta tvarka. </w:t>
      </w:r>
    </w:p>
    <w:p w14:paraId="461C70B5"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LVAT pirmiausia pažymėjo, kad ginčytu sprendimu centrinis mokesčių administratorius</w:t>
      </w:r>
      <w:r>
        <w:rPr>
          <w:rFonts w:asciiTheme="minorHAnsi" w:hAnsiTheme="minorHAnsi" w:cstheme="minorHAnsi"/>
          <w:sz w:val="22"/>
          <w:szCs w:val="22"/>
        </w:rPr>
        <w:t xml:space="preserve"> </w:t>
      </w:r>
      <w:r w:rsidRPr="003121B7">
        <w:rPr>
          <w:rFonts w:asciiTheme="minorHAnsi" w:hAnsiTheme="minorHAnsi" w:cstheme="minorHAnsi"/>
          <w:sz w:val="22"/>
          <w:szCs w:val="22"/>
        </w:rPr>
        <w:t>atsisakė nagrinėti pareiškėjo prašymą pagal Mokesčių administravimo įstatymo 37</w:t>
      </w:r>
      <w:r w:rsidRPr="003121B7">
        <w:rPr>
          <w:rFonts w:asciiTheme="minorHAnsi" w:hAnsiTheme="minorHAnsi" w:cstheme="minorHAnsi"/>
          <w:sz w:val="22"/>
          <w:szCs w:val="22"/>
          <w:vertAlign w:val="superscript"/>
        </w:rPr>
        <w:t>1</w:t>
      </w:r>
      <w:r w:rsidRPr="003121B7">
        <w:rPr>
          <w:rFonts w:asciiTheme="minorHAnsi" w:hAnsiTheme="minorHAnsi" w:cstheme="minorHAnsi"/>
          <w:sz w:val="22"/>
          <w:szCs w:val="22"/>
        </w:rPr>
        <w:t xml:space="preserve"> straipsnį. Pagal šio straipsnio 3 dalį mokesčių administratorius, išnagrinėjęs prašymą, priima vieną iš šių sprendimų: pritarti prašyme nurodytam mokesčių teisės aktų nuostatų taikymui būsimajam sandoriui arba nepritarti prašyme nurodytam mokesčių teisės aktų nuostatų taikymui būsimajam sandoriui. Mokesčių administratorius, priėmęs sprendimą pritarti prašyme nurodytam mokesčių teisės aktų nuostatų taikymui būsimajam sandoriui, įsipareigoja, kontroliuodamas, ar šis mokesčių mokėtojas teisingai apskaičiavo, deklaravo ir mokėjo mokesčius, taikyti mokesčių teisės aktų nuostatas būsimajam sandoriui taip, kaip nurodyta sprendime (Mokesčių administravimo įstatymo 37</w:t>
      </w:r>
      <w:r w:rsidRPr="003121B7">
        <w:rPr>
          <w:rFonts w:asciiTheme="minorHAnsi" w:hAnsiTheme="minorHAnsi" w:cstheme="minorHAnsi"/>
          <w:sz w:val="22"/>
          <w:szCs w:val="22"/>
          <w:vertAlign w:val="superscript"/>
        </w:rPr>
        <w:t>1</w:t>
      </w:r>
      <w:r w:rsidRPr="003121B7">
        <w:rPr>
          <w:rFonts w:asciiTheme="minorHAnsi" w:hAnsiTheme="minorHAnsi" w:cstheme="minorHAnsi"/>
          <w:sz w:val="22"/>
          <w:szCs w:val="22"/>
        </w:rPr>
        <w:t xml:space="preserve"> str. 3 d. 1 p.). Tad, kaip pažymėjo teisėjų kolegija,</w:t>
      </w:r>
      <w:r>
        <w:rPr>
          <w:rFonts w:asciiTheme="minorHAnsi" w:hAnsiTheme="minorHAnsi" w:cstheme="minorHAnsi"/>
          <w:sz w:val="22"/>
          <w:szCs w:val="22"/>
        </w:rPr>
        <w:t xml:space="preserve"> </w:t>
      </w:r>
      <w:r w:rsidRPr="003121B7">
        <w:rPr>
          <w:rFonts w:asciiTheme="minorHAnsi" w:hAnsiTheme="minorHAnsi" w:cstheme="minorHAnsi"/>
          <w:sz w:val="22"/>
          <w:szCs w:val="22"/>
          <w:u w:val="single"/>
        </w:rPr>
        <w:t>mokesčių administratoriaus priimtas sprendimas net nesvarstyti pareiškėjo prašymo pagal Mokesčių administravimo įstatymo 37</w:t>
      </w:r>
      <w:r w:rsidRPr="003121B7">
        <w:rPr>
          <w:rFonts w:asciiTheme="minorHAnsi" w:hAnsiTheme="minorHAnsi" w:cstheme="minorHAnsi"/>
          <w:sz w:val="22"/>
          <w:szCs w:val="22"/>
          <w:u w:val="single"/>
          <w:vertAlign w:val="superscript"/>
        </w:rPr>
        <w:t>1</w:t>
      </w:r>
      <w:r w:rsidRPr="003121B7">
        <w:rPr>
          <w:rFonts w:asciiTheme="minorHAnsi" w:hAnsiTheme="minorHAnsi" w:cstheme="minorHAnsi"/>
          <w:sz w:val="22"/>
          <w:szCs w:val="22"/>
          <w:u w:val="single"/>
        </w:rPr>
        <w:t xml:space="preserve"> straipsnį, t. y. pritarti ar nepritarti pareiškėjo siūlomam mokesčių teisės aktų nuostatų taikymui būsimajam sandoriui, užkerta kelią gauti šį mokesčių administratoriaus (ne)pritarimą, toks sprendimas pareiškėjui neabejotinai sukelia teisines pasekmes</w:t>
      </w:r>
      <w:r w:rsidRPr="003121B7">
        <w:rPr>
          <w:rFonts w:asciiTheme="minorHAnsi" w:hAnsiTheme="minorHAnsi" w:cstheme="minorHAnsi"/>
          <w:sz w:val="22"/>
          <w:szCs w:val="22"/>
        </w:rPr>
        <w:t>.</w:t>
      </w:r>
    </w:p>
    <w:p w14:paraId="4C1CA7DF"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Atsakovas ginčyto sprendimo teisėtumą ir pagrįstumą grindė tuo, kad mokesčių administratorius pareiškėjo prašyme nurodytus klausimus kvalifikavo kaip nesudėtingus. Atsakovo nuomone, mokesčių administratoriaus išankstinio įsipareigojimo dėl mokesčių teisės aktų nuostatų taikymo instituto tikslas – mokesčių mokėtojo konkretaus būsimojo sandorio, dėl kurio kyla neaiškumai, susiję su mokesčių teisės aktų taikymu, apmokestinimo principų (sąlygų) suderinimas su mokesčiu administratoriumi. Taigi tam, kad mokesčių administratorius priimtų įpareigojantį sprendimą, būtina sąlyga – nėra aiškaus mokesčių teisės aktų nuostatų reglamentavimo, todėl mokesčių mokėtojui neaišku, kaip konkrečiam sandoriui turėtų būti taikomos apmokestinimo nuostatos. </w:t>
      </w:r>
    </w:p>
    <w:p w14:paraId="0260E0DF" w14:textId="03111FF5"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Šiuo klausimu LVAT nurodė, kad pagal Mokesčių administravimo įstatymo 37</w:t>
      </w:r>
      <w:r w:rsidRPr="003121B7">
        <w:rPr>
          <w:rFonts w:asciiTheme="minorHAnsi" w:hAnsiTheme="minorHAnsi" w:cstheme="minorHAnsi"/>
          <w:sz w:val="22"/>
          <w:szCs w:val="22"/>
          <w:vertAlign w:val="superscript"/>
        </w:rPr>
        <w:t>1</w:t>
      </w:r>
      <w:r w:rsidRPr="003121B7">
        <w:rPr>
          <w:rFonts w:asciiTheme="minorHAnsi" w:hAnsiTheme="minorHAnsi" w:cstheme="minorHAnsi"/>
          <w:sz w:val="22"/>
          <w:szCs w:val="22"/>
        </w:rPr>
        <w:t xml:space="preserve"> straipsnio 1 dalį mokesčių mokėtojas turi teisę kreiptis į mokesčių administratorių su prašymu dėl mokesčių administratoriaus išankstinio įsipareigojimo dėl mokesčių teisės aktų nuostatų taikymo būsimajam sandoriui, o mokesčių administratorius privalo dėl tokio prašymo priimti vieną iš jau minėtų sprendimų: pritarti arba nepritarti prašyme nurodytam mokesčių teisės aktų nuostatų taikymui būsimajam sandoriui (Mokesčių administravimo įstatymo 37</w:t>
      </w:r>
      <w:r w:rsidRPr="003121B7">
        <w:rPr>
          <w:rFonts w:asciiTheme="minorHAnsi" w:hAnsiTheme="minorHAnsi" w:cstheme="minorHAnsi"/>
          <w:sz w:val="22"/>
          <w:szCs w:val="22"/>
          <w:vertAlign w:val="superscript"/>
        </w:rPr>
        <w:t>1</w:t>
      </w:r>
      <w:r w:rsidR="004B17C7">
        <w:rPr>
          <w:rFonts w:asciiTheme="minorHAnsi" w:hAnsiTheme="minorHAnsi" w:cstheme="minorHAnsi"/>
          <w:sz w:val="22"/>
          <w:szCs w:val="22"/>
        </w:rPr>
        <w:t xml:space="preserve"> str. 2 ir 3 </w:t>
      </w:r>
      <w:r w:rsidRPr="003121B7">
        <w:rPr>
          <w:rFonts w:asciiTheme="minorHAnsi" w:hAnsiTheme="minorHAnsi" w:cstheme="minorHAnsi"/>
          <w:sz w:val="22"/>
          <w:szCs w:val="22"/>
        </w:rPr>
        <w:t>d.).</w:t>
      </w:r>
    </w:p>
    <w:p w14:paraId="599F69BB"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Atitinkamai LVAT sprendė, kad </w:t>
      </w:r>
      <w:r w:rsidRPr="003121B7">
        <w:rPr>
          <w:rFonts w:asciiTheme="minorHAnsi" w:hAnsiTheme="minorHAnsi" w:cstheme="minorHAnsi"/>
          <w:sz w:val="22"/>
          <w:szCs w:val="22"/>
          <w:u w:val="single"/>
        </w:rPr>
        <w:t>atsakovo sprendimas, kuriuo atsisakyta nagrinėti pareiškėjo prašymą pagal Mokesčių administravimo įstatymo 37</w:t>
      </w:r>
      <w:r w:rsidRPr="003121B7">
        <w:rPr>
          <w:rFonts w:asciiTheme="minorHAnsi" w:hAnsiTheme="minorHAnsi" w:cstheme="minorHAnsi"/>
          <w:sz w:val="22"/>
          <w:szCs w:val="22"/>
          <w:u w:val="single"/>
          <w:vertAlign w:val="superscript"/>
        </w:rPr>
        <w:t>1</w:t>
      </w:r>
      <w:r w:rsidRPr="003121B7">
        <w:rPr>
          <w:rFonts w:asciiTheme="minorHAnsi" w:hAnsiTheme="minorHAnsi" w:cstheme="minorHAnsi"/>
          <w:sz w:val="22"/>
          <w:szCs w:val="22"/>
          <w:u w:val="single"/>
        </w:rPr>
        <w:t xml:space="preserve"> straipsnį, grindžiant tuo, kad prašyme nurodomas atvejis yra nesudėtingas ir aiškus, negali būti pripažintas teisėtu ir pagrįstu; šis sprendimas, kaip neatitinkantis Mokesčių administravimo įstatymo 37</w:t>
      </w:r>
      <w:r w:rsidRPr="003121B7">
        <w:rPr>
          <w:rFonts w:asciiTheme="minorHAnsi" w:hAnsiTheme="minorHAnsi" w:cstheme="minorHAnsi"/>
          <w:sz w:val="22"/>
          <w:szCs w:val="22"/>
          <w:u w:val="single"/>
          <w:vertAlign w:val="superscript"/>
        </w:rPr>
        <w:t>1</w:t>
      </w:r>
      <w:r w:rsidRPr="003121B7">
        <w:rPr>
          <w:rFonts w:asciiTheme="minorHAnsi" w:hAnsiTheme="minorHAnsi" w:cstheme="minorHAnsi"/>
          <w:sz w:val="22"/>
          <w:szCs w:val="22"/>
          <w:u w:val="single"/>
        </w:rPr>
        <w:t xml:space="preserve"> straipsnio nuostatų, yra neteisėtas ir nepagrįstas, dėl to naikintinas</w:t>
      </w:r>
      <w:r w:rsidRPr="003121B7">
        <w:rPr>
          <w:rFonts w:asciiTheme="minorHAnsi" w:hAnsiTheme="minorHAnsi" w:cstheme="minorHAnsi"/>
          <w:sz w:val="22"/>
          <w:szCs w:val="22"/>
        </w:rPr>
        <w:t>.</w:t>
      </w:r>
    </w:p>
    <w:p w14:paraId="53A816E8" w14:textId="77777777" w:rsidR="00E2075F" w:rsidRPr="003121B7" w:rsidRDefault="00E2075F" w:rsidP="00E2075F">
      <w:pPr>
        <w:ind w:firstLine="567"/>
        <w:jc w:val="both"/>
        <w:rPr>
          <w:rFonts w:asciiTheme="minorHAnsi" w:hAnsiTheme="minorHAnsi" w:cstheme="minorHAnsi"/>
          <w:sz w:val="22"/>
          <w:szCs w:val="22"/>
        </w:rPr>
      </w:pPr>
    </w:p>
    <w:p w14:paraId="7283A94E"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2019 m. birželio 26 d.</w:t>
      </w:r>
      <w:r>
        <w:rPr>
          <w:rFonts w:asciiTheme="minorHAnsi" w:hAnsiTheme="minorHAnsi" w:cstheme="minorHAnsi"/>
          <w:sz w:val="22"/>
          <w:szCs w:val="22"/>
        </w:rPr>
        <w:t xml:space="preserve"> </w:t>
      </w:r>
      <w:r w:rsidRPr="003121B7">
        <w:rPr>
          <w:rFonts w:asciiTheme="minorHAnsi" w:hAnsiTheme="minorHAnsi" w:cstheme="minorHAnsi"/>
          <w:sz w:val="22"/>
          <w:szCs w:val="22"/>
        </w:rPr>
        <w:t>nutartis administracinėje byloje Nr. A-1398-556/2019</w:t>
      </w:r>
    </w:p>
    <w:p w14:paraId="40030C2C"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3-61-3-03726-2017-1</w:t>
      </w:r>
    </w:p>
    <w:p w14:paraId="4FF6D11F"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Procesinio sprendimo kategorija 12.12</w:t>
      </w:r>
    </w:p>
    <w:p w14:paraId="4AC163A2" w14:textId="77777777" w:rsidR="00E2075F" w:rsidRPr="003121B7" w:rsidRDefault="00E31BD2" w:rsidP="00E2075F">
      <w:pPr>
        <w:jc w:val="both"/>
        <w:rPr>
          <w:rFonts w:asciiTheme="minorHAnsi" w:hAnsiTheme="minorHAnsi" w:cstheme="minorHAnsi"/>
          <w:sz w:val="22"/>
          <w:szCs w:val="22"/>
        </w:rPr>
      </w:pPr>
      <w:hyperlink r:id="rId12" w:history="1">
        <w:r w:rsidR="00E2075F" w:rsidRPr="00640BA4">
          <w:rPr>
            <w:rStyle w:val="Hipersaitas"/>
            <w:rFonts w:asciiTheme="minorHAnsi" w:hAnsiTheme="minorHAnsi" w:cstheme="minorHAnsi"/>
            <w:sz w:val="22"/>
            <w:szCs w:val="22"/>
          </w:rPr>
          <w:t>Prieiga internete</w:t>
        </w:r>
      </w:hyperlink>
    </w:p>
    <w:p w14:paraId="781821BA" w14:textId="77777777" w:rsidR="00E2075F" w:rsidRPr="003121B7" w:rsidRDefault="00E2075F" w:rsidP="00E2075F">
      <w:pPr>
        <w:ind w:firstLine="284"/>
        <w:rPr>
          <w:rFonts w:asciiTheme="minorHAnsi" w:hAnsiTheme="minorHAnsi" w:cstheme="minorHAnsi"/>
          <w:b/>
          <w:bCs/>
          <w:sz w:val="22"/>
          <w:szCs w:val="22"/>
          <w:u w:val="single"/>
        </w:rPr>
      </w:pPr>
    </w:p>
    <w:p w14:paraId="50D2E1A4" w14:textId="77777777" w:rsidR="00E2075F" w:rsidRPr="003121B7" w:rsidRDefault="00E2075F" w:rsidP="00E2075F">
      <w:pPr>
        <w:ind w:firstLine="567"/>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12.15. Pridėtinės vertės mokestis</w:t>
      </w:r>
    </w:p>
    <w:p w14:paraId="45274132" w14:textId="77777777" w:rsidR="00E2075F" w:rsidRPr="003121B7" w:rsidRDefault="00E2075F" w:rsidP="00E2075F">
      <w:pPr>
        <w:ind w:firstLine="1134"/>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12.15.7. Kiti su pridėtinės vertės mokesčiu susiję klausimai</w:t>
      </w:r>
    </w:p>
    <w:p w14:paraId="0DFCF53B" w14:textId="77777777" w:rsidR="00E2075F" w:rsidRPr="003121B7" w:rsidRDefault="00E2075F" w:rsidP="00E2075F">
      <w:pPr>
        <w:jc w:val="both"/>
        <w:rPr>
          <w:rFonts w:asciiTheme="minorHAnsi" w:hAnsiTheme="minorHAnsi" w:cstheme="minorHAnsi"/>
          <w:i/>
          <w:iCs/>
          <w:sz w:val="22"/>
          <w:szCs w:val="22"/>
        </w:rPr>
      </w:pPr>
    </w:p>
    <w:p w14:paraId="3C5898A6" w14:textId="77777777" w:rsidR="00E2075F" w:rsidRPr="003121B7" w:rsidRDefault="00E2075F" w:rsidP="00C16FFA">
      <w:pPr>
        <w:pStyle w:val="Antrat2"/>
      </w:pPr>
      <w:bookmarkStart w:id="31" w:name="_Toc14784010"/>
      <w:r w:rsidRPr="003121B7">
        <w:t>Dėl pareigos mokėti sąskaitoje faktūroje išskirtą (nurodytą) pridėtinės vertės mokestį, kai prekių tiekimas realiai neįvyko ir nėra valstybės biudžeto pajamų praradimo rizikos</w:t>
      </w:r>
      <w:bookmarkEnd w:id="31"/>
    </w:p>
    <w:p w14:paraId="2DE4E555" w14:textId="77777777" w:rsidR="00E2075F" w:rsidRPr="003121B7" w:rsidRDefault="00E2075F" w:rsidP="00E2075F">
      <w:pPr>
        <w:jc w:val="both"/>
        <w:rPr>
          <w:rFonts w:asciiTheme="minorHAnsi" w:hAnsiTheme="minorHAnsi" w:cstheme="minorHAnsi"/>
          <w:sz w:val="22"/>
          <w:szCs w:val="22"/>
        </w:rPr>
      </w:pPr>
    </w:p>
    <w:p w14:paraId="413EBD3A"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Apžvelgiamoje byloje nagrinėtas ginčas, be kita ko, kilo dėl mokesčių administratorius sprendimų, kuriais pareiškėjui papildomai apskaičiuota ir nurodyta sumokėti pridėtinės vertės mokestį (toliau – PVM), kurį šis nurodė dvejose 2010 metų išrašytose sąskaitose faktūrose. Byloje buvo nustatyta, kad prekių tiekimai pagal šiuos apskaitos dokumentus realiai neįvyko.</w:t>
      </w:r>
    </w:p>
    <w:p w14:paraId="1EEE41A0" w14:textId="4F9594BF"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Šiuo aspektu LVAT pirmiausia pastebėjo, kad </w:t>
      </w:r>
      <w:r w:rsidR="00980750">
        <w:rPr>
          <w:rFonts w:asciiTheme="minorHAnsi" w:hAnsiTheme="minorHAnsi" w:cstheme="minorHAnsi"/>
          <w:sz w:val="22"/>
          <w:szCs w:val="22"/>
        </w:rPr>
        <w:t>ESTT</w:t>
      </w:r>
      <w:r w:rsidRPr="003121B7">
        <w:rPr>
          <w:rFonts w:asciiTheme="minorHAnsi" w:hAnsiTheme="minorHAnsi" w:cstheme="minorHAnsi"/>
          <w:sz w:val="22"/>
          <w:szCs w:val="22"/>
        </w:rPr>
        <w:t xml:space="preserve"> yra išaiškinęs, jog 2006 m. lapkričio 28 d. Tarybos direktyvos 2006/112/EB dėl pridėtinės vertės mokesčio bendros sistemos, su paskutiniais pakeitimais, atliktais Direktyva 2010/45/ES, 203 straipsniu (kuris iš esmės atitinka Pridėtinės vertės mokesčio įstatymo 14 str. 1 d. ir kuriame nustatyta, kad PVM moka bet kuris asmuo, nurodęs pridėtinės vertės mokestį sąskaitoje-faktūroje, neatsižvelgiant į apmokestinamojo sandorio buvimo faktą)</w:t>
      </w:r>
      <w:r>
        <w:rPr>
          <w:rFonts w:asciiTheme="minorHAnsi" w:hAnsiTheme="minorHAnsi" w:cstheme="minorHAnsi"/>
          <w:sz w:val="22"/>
          <w:szCs w:val="22"/>
        </w:rPr>
        <w:t xml:space="preserve"> </w:t>
      </w:r>
      <w:r w:rsidRPr="003121B7">
        <w:rPr>
          <w:rFonts w:asciiTheme="minorHAnsi" w:hAnsiTheme="minorHAnsi" w:cstheme="minorHAnsi"/>
          <w:sz w:val="22"/>
          <w:szCs w:val="22"/>
        </w:rPr>
        <w:t>siekiama pašalinti mokestinių pajamų prarad</w:t>
      </w:r>
      <w:r w:rsidR="00980750">
        <w:rPr>
          <w:rFonts w:asciiTheme="minorHAnsi" w:hAnsiTheme="minorHAnsi" w:cstheme="minorHAnsi"/>
          <w:sz w:val="22"/>
          <w:szCs w:val="22"/>
        </w:rPr>
        <w:t>imo riziką, galinčią kilti dėl</w:t>
      </w:r>
      <w:r w:rsidRPr="003121B7">
        <w:rPr>
          <w:rFonts w:asciiTheme="minorHAnsi" w:hAnsiTheme="minorHAnsi" w:cstheme="minorHAnsi"/>
          <w:sz w:val="22"/>
          <w:szCs w:val="22"/>
        </w:rPr>
        <w:t xml:space="preserve"> numatytos teisės į atskaitą (žr., pvz., </w:t>
      </w:r>
      <w:r w:rsidR="00980750">
        <w:rPr>
          <w:rFonts w:asciiTheme="minorHAnsi" w:hAnsiTheme="minorHAnsi" w:cstheme="minorHAnsi"/>
          <w:sz w:val="22"/>
          <w:szCs w:val="22"/>
        </w:rPr>
        <w:t>ESTT</w:t>
      </w:r>
      <w:r w:rsidRPr="003121B7">
        <w:rPr>
          <w:rFonts w:asciiTheme="minorHAnsi" w:hAnsiTheme="minorHAnsi" w:cstheme="minorHAnsi"/>
          <w:sz w:val="22"/>
          <w:szCs w:val="22"/>
        </w:rPr>
        <w:t xml:space="preserve"> 2009 m. birželio 18 d. sprendimą byloje Nr. C-566/07; 2013 m. sausio 31 d. sprendimą byloje Nr. C-642/11; 2013 m. balandžio 11 d. sprendimą byloje Nr. C-138/12). Tad, teisėjų kolegijos vertinimu, </w:t>
      </w:r>
      <w:r w:rsidRPr="003121B7">
        <w:rPr>
          <w:rFonts w:asciiTheme="minorHAnsi" w:hAnsiTheme="minorHAnsi" w:cstheme="minorHAnsi"/>
          <w:sz w:val="22"/>
          <w:szCs w:val="22"/>
          <w:u w:val="single"/>
        </w:rPr>
        <w:t>PVM mokėtojas, išrašęs PVM sąskaitą faktūrą, joje nurodytą pardavimo PVM dar jo nesumokėjęs turi sumokėti, nors prekių tiekimas ir realiai nebūtų įvykęs, tik tuo atveju, jei pagal tokią išrašytą PVM sąskaitą faktūrą dar yra tikimybė, kad kitas PVM mokėtojas pasinaudos teise į pirkimo PVM atskaitą, t. y. nėra pašalinta valstybės pajamų, surenkamų iš PVM, praradimo rizika</w:t>
      </w:r>
      <w:r w:rsidRPr="003121B7">
        <w:rPr>
          <w:rFonts w:asciiTheme="minorHAnsi" w:hAnsiTheme="minorHAnsi" w:cstheme="minorHAnsi"/>
          <w:sz w:val="22"/>
          <w:szCs w:val="22"/>
        </w:rPr>
        <w:t>.</w:t>
      </w:r>
    </w:p>
    <w:p w14:paraId="35584BA7" w14:textId="3878440C"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Apžvelgiamu atveju įvertinę bylos medžiagą, LVAT pripažino, kad mokesčių administratorius nesurinko pakankamai duomenų, įrodančių</w:t>
      </w:r>
      <w:r w:rsidR="00980750">
        <w:rPr>
          <w:rFonts w:asciiTheme="minorHAnsi" w:hAnsiTheme="minorHAnsi" w:cstheme="minorHAnsi"/>
          <w:sz w:val="22"/>
          <w:szCs w:val="22"/>
        </w:rPr>
        <w:t>,</w:t>
      </w:r>
      <w:r w:rsidRPr="003121B7">
        <w:rPr>
          <w:rFonts w:asciiTheme="minorHAnsi" w:hAnsiTheme="minorHAnsi" w:cstheme="minorHAnsi"/>
          <w:sz w:val="22"/>
          <w:szCs w:val="22"/>
        </w:rPr>
        <w:t xml:space="preserve"> kad prekių tiekimai pagal ginčo PVM sąskaitas faktūras būtų realiai įvykę ir kad kyla grėsmė, jog teise į pirkimo PVM atskaitą pagal ginčo PVM sąskaitas faktūras bus pasinaudota. Tai teisėjų kolegija konstatavo, be kita ko, nustačiusi, kad vienoje sąskaitoje faktūroje nurodytas įgijėjas niekada neegzistavo, o antroje sąskaitoje faktūroje nurodytas juridinis asmuo patvirtino, kad tiekimas jam niekada nebuvo atliktas, įsigijimo niekada neapskaitė ir nedeklaravo, teise į PVM nesinaudojo ir jau nebegalėjo pasinaudoti.</w:t>
      </w:r>
    </w:p>
    <w:p w14:paraId="175B05CF"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LVAT tenkino pareiškėjo (mokesčių mokėtojo) apeliacinį skundą ir panaikino vietos mokesčių administratoriaus bei mokestinį ginčą nagrinėjusių institucijų sprendimus.</w:t>
      </w:r>
    </w:p>
    <w:p w14:paraId="19FA9C43" w14:textId="77777777" w:rsidR="00E2075F" w:rsidRPr="003121B7" w:rsidRDefault="00E2075F" w:rsidP="00E2075F">
      <w:pPr>
        <w:ind w:firstLine="567"/>
        <w:jc w:val="both"/>
        <w:rPr>
          <w:rFonts w:asciiTheme="minorHAnsi" w:hAnsiTheme="minorHAnsi" w:cstheme="minorHAnsi"/>
          <w:sz w:val="22"/>
          <w:szCs w:val="22"/>
        </w:rPr>
      </w:pPr>
    </w:p>
    <w:p w14:paraId="3E496372"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2019 m. birželio 5 d.</w:t>
      </w:r>
      <w:r>
        <w:rPr>
          <w:rFonts w:asciiTheme="minorHAnsi" w:hAnsiTheme="minorHAnsi" w:cstheme="minorHAnsi"/>
          <w:sz w:val="22"/>
          <w:szCs w:val="22"/>
        </w:rPr>
        <w:t xml:space="preserve"> </w:t>
      </w:r>
      <w:r w:rsidRPr="003121B7">
        <w:rPr>
          <w:rFonts w:asciiTheme="minorHAnsi" w:hAnsiTheme="minorHAnsi" w:cstheme="minorHAnsi"/>
          <w:sz w:val="22"/>
          <w:szCs w:val="22"/>
        </w:rPr>
        <w:t>sprendimas administracinėje byloje Nr. eA-1007-556/2019</w:t>
      </w:r>
    </w:p>
    <w:p w14:paraId="2078F398"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3-61-3-01881-2017-1</w:t>
      </w:r>
    </w:p>
    <w:p w14:paraId="5B25C644"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Procesinio sprendimo kategorijos: 12.8; 12.14.1.1; 12.14.1.2; 12.15.1; 12.15.6</w:t>
      </w:r>
    </w:p>
    <w:p w14:paraId="5333F372" w14:textId="77777777" w:rsidR="00E2075F" w:rsidRPr="003121B7" w:rsidRDefault="00E31BD2" w:rsidP="00E2075F">
      <w:pPr>
        <w:jc w:val="both"/>
        <w:rPr>
          <w:rFonts w:asciiTheme="minorHAnsi" w:hAnsiTheme="minorHAnsi" w:cstheme="minorHAnsi"/>
          <w:sz w:val="22"/>
          <w:szCs w:val="22"/>
        </w:rPr>
      </w:pPr>
      <w:hyperlink r:id="rId13" w:history="1">
        <w:r w:rsidR="00E2075F" w:rsidRPr="00640BA4">
          <w:rPr>
            <w:rStyle w:val="Hipersaitas"/>
            <w:rFonts w:asciiTheme="minorHAnsi" w:hAnsiTheme="minorHAnsi" w:cstheme="minorHAnsi"/>
            <w:sz w:val="22"/>
            <w:szCs w:val="22"/>
          </w:rPr>
          <w:t>Prieiga internete</w:t>
        </w:r>
      </w:hyperlink>
    </w:p>
    <w:p w14:paraId="0B0F46F7" w14:textId="77777777" w:rsidR="00E2075F" w:rsidRPr="003121B7" w:rsidRDefault="00E2075F" w:rsidP="00E2075F">
      <w:pPr>
        <w:ind w:firstLine="284"/>
        <w:rPr>
          <w:rFonts w:asciiTheme="minorHAnsi" w:hAnsiTheme="minorHAnsi" w:cstheme="minorHAnsi"/>
          <w:b/>
          <w:bCs/>
          <w:sz w:val="22"/>
          <w:szCs w:val="22"/>
          <w:u w:val="single"/>
        </w:rPr>
      </w:pPr>
    </w:p>
    <w:p w14:paraId="64223072" w14:textId="77777777" w:rsidR="00E2075F" w:rsidRPr="003121B7" w:rsidRDefault="00E2075F" w:rsidP="00E2075F">
      <w:pPr>
        <w:ind w:firstLine="567"/>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12.16. Akcizai</w:t>
      </w:r>
    </w:p>
    <w:p w14:paraId="0EA96088" w14:textId="77777777" w:rsidR="00E2075F" w:rsidRPr="003121B7" w:rsidRDefault="00E2075F" w:rsidP="00E2075F">
      <w:pPr>
        <w:ind w:firstLine="1134"/>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12.16.1. Akcizų objektas</w:t>
      </w:r>
    </w:p>
    <w:p w14:paraId="12E8F017" w14:textId="77777777" w:rsidR="00E2075F" w:rsidRPr="003121B7" w:rsidRDefault="00E2075F" w:rsidP="00E2075F">
      <w:pPr>
        <w:ind w:firstLine="1701"/>
        <w:jc w:val="both"/>
        <w:rPr>
          <w:rFonts w:asciiTheme="minorHAnsi" w:hAnsiTheme="minorHAnsi" w:cstheme="minorHAnsi"/>
          <w:b/>
          <w:bCs/>
          <w:sz w:val="22"/>
          <w:szCs w:val="22"/>
          <w:u w:val="single"/>
        </w:rPr>
      </w:pPr>
      <w:r w:rsidRPr="003121B7">
        <w:rPr>
          <w:rFonts w:asciiTheme="minorHAnsi" w:hAnsiTheme="minorHAnsi" w:cstheme="minorHAnsi"/>
          <w:b/>
          <w:bCs/>
          <w:sz w:val="22"/>
          <w:szCs w:val="22"/>
          <w:u w:val="single"/>
        </w:rPr>
        <w:t>12.16.1.2. Apdorotas tabakas</w:t>
      </w:r>
    </w:p>
    <w:p w14:paraId="0D4F5C0E" w14:textId="77777777" w:rsidR="00E2075F" w:rsidRPr="003121B7" w:rsidRDefault="00E2075F" w:rsidP="00E2075F">
      <w:pPr>
        <w:tabs>
          <w:tab w:val="left" w:pos="426"/>
        </w:tabs>
        <w:jc w:val="both"/>
        <w:rPr>
          <w:rFonts w:asciiTheme="minorHAnsi" w:hAnsiTheme="minorHAnsi" w:cstheme="minorHAnsi"/>
          <w:sz w:val="22"/>
          <w:szCs w:val="22"/>
        </w:rPr>
      </w:pPr>
    </w:p>
    <w:p w14:paraId="388B3351" w14:textId="77777777" w:rsidR="00E2075F" w:rsidRPr="003121B7" w:rsidRDefault="00E2075F" w:rsidP="00C16FFA">
      <w:pPr>
        <w:pStyle w:val="Antrat2"/>
      </w:pPr>
      <w:bookmarkStart w:id="32" w:name="_Toc14784011"/>
      <w:r w:rsidRPr="003121B7">
        <w:t>Dėl tabako gaminio priskyrimo cigarų ir cigarilių kategorijai</w:t>
      </w:r>
      <w:bookmarkEnd w:id="32"/>
    </w:p>
    <w:p w14:paraId="4F3C8709" w14:textId="77777777" w:rsidR="00E2075F" w:rsidRPr="003121B7" w:rsidRDefault="00E2075F" w:rsidP="00E2075F">
      <w:pPr>
        <w:ind w:firstLine="567"/>
        <w:jc w:val="both"/>
        <w:rPr>
          <w:rFonts w:asciiTheme="minorHAnsi" w:hAnsiTheme="minorHAnsi" w:cstheme="minorHAnsi"/>
          <w:sz w:val="22"/>
          <w:szCs w:val="22"/>
        </w:rPr>
      </w:pPr>
    </w:p>
    <w:p w14:paraId="60155197"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Apžvelgiamoje byloje buvo nagrinėjamas klausimas, ar tabako ritinėlis, kuris visas, įskaitant filtrą, yra padengtas natūralaus tabako apvalkalu, o ant filtro esantis natūralaus tabako apvalkalas dar papildomai padengtas kitu (popieriaus) apvalkalu, laikytinas cigarile 2011 m. birželio 21 d. Tarybos direktyvos 2011/64/ES dėl akcizų, taikomų apdorotam tabakui, struktūros ir tarifų (toliau – ir Direktyva 2011/64) 4 straipsnio 1 dalies a punkto</w:t>
      </w:r>
      <w:r w:rsidRPr="003121B7">
        <w:rPr>
          <w:rStyle w:val="Puslapioinaosnuoroda"/>
          <w:rFonts w:asciiTheme="minorHAnsi" w:hAnsiTheme="minorHAnsi" w:cstheme="minorHAnsi"/>
          <w:sz w:val="22"/>
          <w:szCs w:val="22"/>
        </w:rPr>
        <w:footnoteReference w:id="1"/>
      </w:r>
      <w:r w:rsidRPr="003121B7">
        <w:rPr>
          <w:rFonts w:asciiTheme="minorHAnsi" w:hAnsiTheme="minorHAnsi" w:cstheme="minorHAnsi"/>
          <w:sz w:val="22"/>
          <w:szCs w:val="22"/>
        </w:rPr>
        <w:t xml:space="preserve"> ir atitinkamų Akcizų įstatymo nuostatų</w:t>
      </w:r>
      <w:r w:rsidRPr="003121B7">
        <w:rPr>
          <w:rStyle w:val="Puslapioinaosnuoroda"/>
          <w:rFonts w:asciiTheme="minorHAnsi" w:hAnsiTheme="minorHAnsi" w:cstheme="minorHAnsi"/>
          <w:sz w:val="22"/>
          <w:szCs w:val="22"/>
        </w:rPr>
        <w:footnoteReference w:id="2"/>
      </w:r>
      <w:r w:rsidRPr="003121B7">
        <w:rPr>
          <w:rFonts w:asciiTheme="minorHAnsi" w:hAnsiTheme="minorHAnsi" w:cstheme="minorHAnsi"/>
          <w:sz w:val="22"/>
          <w:szCs w:val="22"/>
        </w:rPr>
        <w:t xml:space="preserve"> taikymo prasme.</w:t>
      </w:r>
    </w:p>
    <w:p w14:paraId="2CE7E838" w14:textId="17569F3C" w:rsidR="00E2075F" w:rsidRPr="003121B7" w:rsidRDefault="00A41DB2" w:rsidP="00E2075F">
      <w:pPr>
        <w:ind w:firstLine="567"/>
        <w:jc w:val="both"/>
        <w:rPr>
          <w:rFonts w:asciiTheme="minorHAnsi" w:hAnsiTheme="minorHAnsi" w:cstheme="minorHAnsi"/>
          <w:sz w:val="22"/>
          <w:szCs w:val="22"/>
        </w:rPr>
      </w:pPr>
      <w:r>
        <w:rPr>
          <w:rFonts w:asciiTheme="minorHAnsi" w:hAnsiTheme="minorHAnsi" w:cstheme="minorHAnsi"/>
          <w:sz w:val="22"/>
          <w:szCs w:val="22"/>
        </w:rPr>
        <w:t>ESTT</w:t>
      </w:r>
      <w:r w:rsidR="00E2075F" w:rsidRPr="003121B7">
        <w:rPr>
          <w:rFonts w:asciiTheme="minorHAnsi" w:hAnsiTheme="minorHAnsi" w:cstheme="minorHAnsi"/>
          <w:sz w:val="22"/>
          <w:szCs w:val="22"/>
        </w:rPr>
        <w:t xml:space="preserve"> sprendimo byloje </w:t>
      </w:r>
      <w:r w:rsidR="00E2075F" w:rsidRPr="003121B7">
        <w:rPr>
          <w:rFonts w:asciiTheme="minorHAnsi" w:hAnsiTheme="minorHAnsi" w:cstheme="minorHAnsi"/>
          <w:i/>
          <w:sz w:val="22"/>
          <w:szCs w:val="22"/>
        </w:rPr>
        <w:t>Skonis ir kvapas</w:t>
      </w:r>
      <w:r w:rsidR="00E2075F" w:rsidRPr="003121B7">
        <w:rPr>
          <w:rFonts w:asciiTheme="minorHAnsi" w:hAnsiTheme="minorHAnsi" w:cstheme="minorHAnsi"/>
          <w:sz w:val="22"/>
          <w:szCs w:val="22"/>
        </w:rPr>
        <w:t xml:space="preserve"> (C-638/17) 26, 28 ir 31 pun</w:t>
      </w:r>
      <w:r>
        <w:rPr>
          <w:rFonts w:asciiTheme="minorHAnsi" w:hAnsiTheme="minorHAnsi" w:cstheme="minorHAnsi"/>
          <w:sz w:val="22"/>
          <w:szCs w:val="22"/>
        </w:rPr>
        <w:t>ktuose dėl Direktyvos 2011/64 4 </w:t>
      </w:r>
      <w:r w:rsidR="00E2075F" w:rsidRPr="003121B7">
        <w:rPr>
          <w:rFonts w:asciiTheme="minorHAnsi" w:hAnsiTheme="minorHAnsi" w:cstheme="minorHAnsi"/>
          <w:sz w:val="22"/>
          <w:szCs w:val="22"/>
        </w:rPr>
        <w:t xml:space="preserve">straipsnio 1 dalies a punkto formuluočių pažymėjo, kad tabako ritinėliai, padengti išoriniu apvalkalu iš </w:t>
      </w:r>
      <w:r w:rsidR="00E2075F" w:rsidRPr="003121B7">
        <w:rPr>
          <w:rFonts w:asciiTheme="minorHAnsi" w:hAnsiTheme="minorHAnsi" w:cstheme="minorHAnsi"/>
          <w:sz w:val="22"/>
          <w:szCs w:val="22"/>
        </w:rPr>
        <w:lastRenderedPageBreak/>
        <w:t xml:space="preserve">natūralaus tabako, iš principo priskirtini prie cigarų arba cigarilių kategorijos, kaip ji apibrėžiama pagal šią nuostatą. </w:t>
      </w:r>
      <w:r w:rsidR="00E2075F" w:rsidRPr="003121B7">
        <w:rPr>
          <w:rFonts w:asciiTheme="minorHAnsi" w:hAnsiTheme="minorHAnsi" w:cstheme="minorHAnsi"/>
          <w:sz w:val="22"/>
          <w:szCs w:val="22"/>
          <w:u w:val="single"/>
        </w:rPr>
        <w:t>Medžiaga, iš kurios yra padarytas išorinis apvalkalas, yra esminis kriterijus, kuriuo remiantis šioje direktyvoje cigarų arba cigarilių kategorija atskiriama nuo cigarečių kategorijos</w:t>
      </w:r>
      <w:r w:rsidR="00E2075F" w:rsidRPr="003121B7">
        <w:rPr>
          <w:rFonts w:asciiTheme="minorHAnsi" w:hAnsiTheme="minorHAnsi" w:cstheme="minorHAnsi"/>
          <w:sz w:val="22"/>
          <w:szCs w:val="22"/>
        </w:rPr>
        <w:t xml:space="preserve">; </w:t>
      </w:r>
      <w:r w:rsidR="00E2075F" w:rsidRPr="003121B7">
        <w:rPr>
          <w:rFonts w:asciiTheme="minorHAnsi" w:hAnsiTheme="minorHAnsi" w:cstheme="minorHAnsi"/>
          <w:sz w:val="22"/>
          <w:szCs w:val="22"/>
          <w:u w:val="single"/>
        </w:rPr>
        <w:t>iš principo gaminiai priskiriami prie cigarų arba cigarilių kategorijos dėl išorinio apvalkalo iš natūralaus tabako.</w:t>
      </w:r>
      <w:r w:rsidR="00E2075F" w:rsidRPr="003121B7">
        <w:rPr>
          <w:rFonts w:asciiTheme="minorHAnsi" w:hAnsiTheme="minorHAnsi" w:cstheme="minorHAnsi"/>
          <w:sz w:val="22"/>
          <w:szCs w:val="22"/>
        </w:rPr>
        <w:t xml:space="preserve"> Šio</w:t>
      </w:r>
      <w:r w:rsidR="00E2075F">
        <w:rPr>
          <w:rFonts w:asciiTheme="minorHAnsi" w:hAnsiTheme="minorHAnsi" w:cstheme="minorHAnsi"/>
          <w:sz w:val="22"/>
          <w:szCs w:val="22"/>
        </w:rPr>
        <w:t xml:space="preserve"> </w:t>
      </w:r>
      <w:r w:rsidR="00E2075F" w:rsidRPr="003121B7">
        <w:rPr>
          <w:rFonts w:asciiTheme="minorHAnsi" w:hAnsiTheme="minorHAnsi" w:cstheme="minorHAnsi"/>
          <w:sz w:val="22"/>
          <w:szCs w:val="22"/>
        </w:rPr>
        <w:t xml:space="preserve">prejudicinio sprendimo 33, 34 ir 36 punktuose ši Europos Sąjungos teisminė institucija taip pat nurodė, kad Direktyvos 2011/64 4 straipsnio 1 dalyje esančioje </w:t>
      </w:r>
      <w:r w:rsidR="00E2075F" w:rsidRPr="003121B7">
        <w:rPr>
          <w:rFonts w:asciiTheme="minorHAnsi" w:hAnsiTheme="minorHAnsi" w:cstheme="minorHAnsi"/>
          <w:sz w:val="22"/>
          <w:szCs w:val="22"/>
          <w:u w:val="single"/>
        </w:rPr>
        <w:t>cigarų arba cigarilių kategorijos apibrėžtyje numatyta, kad šie produktai gali būti priskiriami prie šios kategorijos, jeigu, atsižvelgiant į jų savybes ir įprastus vartotojų lūkesčius, juos galima rūkyti tik tokius, kokie jie yra.</w:t>
      </w:r>
      <w:r w:rsidR="00E2075F" w:rsidRPr="003121B7">
        <w:rPr>
          <w:rFonts w:asciiTheme="minorHAnsi" w:hAnsiTheme="minorHAnsi" w:cstheme="minorHAnsi"/>
          <w:sz w:val="22"/>
          <w:szCs w:val="22"/>
        </w:rPr>
        <w:t xml:space="preserve"> Atitinkamai </w:t>
      </w:r>
      <w:r w:rsidR="00E2075F" w:rsidRPr="003121B7">
        <w:rPr>
          <w:rFonts w:asciiTheme="minorHAnsi" w:hAnsiTheme="minorHAnsi" w:cstheme="minorHAnsi"/>
          <w:sz w:val="22"/>
          <w:szCs w:val="22"/>
          <w:u w:val="single"/>
        </w:rPr>
        <w:t>tabako gaminiai negali būti priskiriami prie cigarų arba cigarilių, kaip jie suprantami pagal šią direktyvą, jei jie yra ritinėliai, padengti išoriniu apvalkalu iš natūralaus tabako, tačiau, atsižvelgiant į jų savybes ir įprastus vartotojų lūkesčius, jų negalima rūkyti tokių, kokie jie yra</w:t>
      </w:r>
      <w:r w:rsidR="00E2075F" w:rsidRPr="003121B7">
        <w:rPr>
          <w:rFonts w:asciiTheme="minorHAnsi" w:hAnsiTheme="minorHAnsi" w:cstheme="minorHAnsi"/>
          <w:sz w:val="22"/>
          <w:szCs w:val="22"/>
        </w:rPr>
        <w:t xml:space="preserve">. Tačiau </w:t>
      </w:r>
      <w:r w:rsidR="00E2075F" w:rsidRPr="003121B7">
        <w:rPr>
          <w:rFonts w:asciiTheme="minorHAnsi" w:hAnsiTheme="minorHAnsi" w:cstheme="minorHAnsi"/>
          <w:sz w:val="22"/>
          <w:szCs w:val="22"/>
          <w:u w:val="single"/>
        </w:rPr>
        <w:t>jei papildomas popierinis sluoksnis uždengia tik filtrą ir neapima gaminio dalies, kuri yra suvartojama, šis papildomas sluoksnis negali būti laikomas paneigiančiu aplinkybę, kad tokie produktai gali būti rūkomi tokie, kokie jie yra</w:t>
      </w:r>
      <w:r w:rsidR="00E2075F" w:rsidRPr="003121B7">
        <w:rPr>
          <w:rFonts w:asciiTheme="minorHAnsi" w:hAnsiTheme="minorHAnsi" w:cstheme="minorHAnsi"/>
          <w:sz w:val="22"/>
          <w:szCs w:val="22"/>
        </w:rPr>
        <w:t>. Kadangi nagrinėtu atveju ginčo tabako ritinėliai buvo</w:t>
      </w:r>
      <w:r w:rsidR="00E2075F">
        <w:rPr>
          <w:rFonts w:asciiTheme="minorHAnsi" w:hAnsiTheme="minorHAnsi" w:cstheme="minorHAnsi"/>
          <w:sz w:val="22"/>
          <w:szCs w:val="22"/>
        </w:rPr>
        <w:t xml:space="preserve"> </w:t>
      </w:r>
      <w:r w:rsidR="00E2075F" w:rsidRPr="003121B7">
        <w:rPr>
          <w:rFonts w:asciiTheme="minorHAnsi" w:hAnsiTheme="minorHAnsi" w:cstheme="minorHAnsi"/>
          <w:sz w:val="22"/>
          <w:szCs w:val="22"/>
        </w:rPr>
        <w:t xml:space="preserve">padengti apvalkalu iš natūralaus tabako, o papildomas popieriaus sluoksnis dengė tik filtrą, t. y. dalį, kuri nėra skirta suvartoti, pareiškėjo importuoti tabako gaminiai priskirti cigarų ir cigarilių kategorijai, kaip jie apibrėžiami tiek pagal aktualias Sąjungos, tiek pagal nacionalinės teisės aktų nuostatas. </w:t>
      </w:r>
    </w:p>
    <w:p w14:paraId="57C4886E"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LVAT atmetė mokesčių administratoriaus apeliacinį skundą ir paliko mokestinį ginčą nagrinėjusių institucijų sprendimus, kuriais mokesčių mokėtojo skundas tenkintas, galioti.</w:t>
      </w:r>
    </w:p>
    <w:p w14:paraId="29B2C6DE" w14:textId="77777777" w:rsidR="00E2075F" w:rsidRPr="003121B7" w:rsidRDefault="00E2075F" w:rsidP="00E2075F">
      <w:pPr>
        <w:ind w:firstLine="567"/>
        <w:jc w:val="both"/>
        <w:rPr>
          <w:rFonts w:asciiTheme="minorHAnsi" w:hAnsiTheme="minorHAnsi" w:cstheme="minorHAnsi"/>
          <w:sz w:val="22"/>
          <w:szCs w:val="22"/>
        </w:rPr>
      </w:pPr>
    </w:p>
    <w:p w14:paraId="4A84037F"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2019 m. birželio 12 d. nutartis administracinėje byloje Nr. eA-1738-556/2019</w:t>
      </w:r>
    </w:p>
    <w:p w14:paraId="4586F89A"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3-61-3-00311-2016-7</w:t>
      </w:r>
    </w:p>
    <w:p w14:paraId="65FC0123"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Procesinio sprendimo kategorija 12.16.1.2</w:t>
      </w:r>
    </w:p>
    <w:p w14:paraId="0FC489B6" w14:textId="77777777" w:rsidR="00E2075F" w:rsidRPr="003121B7" w:rsidRDefault="00E31BD2" w:rsidP="00E2075F">
      <w:pPr>
        <w:jc w:val="both"/>
        <w:rPr>
          <w:rFonts w:asciiTheme="minorHAnsi" w:hAnsiTheme="minorHAnsi" w:cstheme="minorHAnsi"/>
          <w:sz w:val="22"/>
          <w:szCs w:val="22"/>
        </w:rPr>
      </w:pPr>
      <w:hyperlink r:id="rId14" w:history="1">
        <w:r w:rsidR="00E2075F" w:rsidRPr="00640BA4">
          <w:rPr>
            <w:rStyle w:val="Hipersaitas"/>
            <w:rFonts w:asciiTheme="minorHAnsi" w:hAnsiTheme="minorHAnsi" w:cstheme="minorHAnsi"/>
            <w:sz w:val="22"/>
            <w:szCs w:val="22"/>
          </w:rPr>
          <w:t>Prieiga internete</w:t>
        </w:r>
      </w:hyperlink>
    </w:p>
    <w:p w14:paraId="712D93CC" w14:textId="77777777" w:rsidR="00D54673" w:rsidRPr="00AC6FF5" w:rsidRDefault="00D54673" w:rsidP="00BE611E">
      <w:pPr>
        <w:rPr>
          <w:rFonts w:asciiTheme="minorHAnsi" w:hAnsiTheme="minorHAnsi" w:cstheme="minorHAnsi"/>
          <w:bCs/>
          <w:sz w:val="22"/>
          <w:szCs w:val="22"/>
        </w:rPr>
      </w:pPr>
    </w:p>
    <w:p w14:paraId="75C054D7" w14:textId="77777777" w:rsidR="00D05B72" w:rsidRPr="00367110" w:rsidRDefault="00D05B72" w:rsidP="00D05B72">
      <w:pPr>
        <w:pStyle w:val="Antrat1"/>
        <w:rPr>
          <w:rFonts w:asciiTheme="minorHAnsi" w:hAnsiTheme="minorHAnsi" w:cstheme="minorHAnsi"/>
          <w:b w:val="0"/>
        </w:rPr>
      </w:pPr>
      <w:bookmarkStart w:id="33" w:name="_Toc14784012"/>
      <w:bookmarkStart w:id="34" w:name="_Toc462150005"/>
      <w:r w:rsidRPr="00367110">
        <w:rPr>
          <w:rFonts w:asciiTheme="minorHAnsi" w:hAnsiTheme="minorHAnsi" w:cstheme="minorHAnsi"/>
        </w:rPr>
        <w:t>14. Aplinkos apsauga</w:t>
      </w:r>
      <w:bookmarkEnd w:id="33"/>
    </w:p>
    <w:p w14:paraId="6E83C11A" w14:textId="77777777" w:rsidR="00D05B72" w:rsidRPr="00367110" w:rsidRDefault="00D05B72" w:rsidP="00D05B72">
      <w:pPr>
        <w:ind w:firstLine="567"/>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14.6. Atliekų prevencija ir tvarkymas</w:t>
      </w:r>
    </w:p>
    <w:p w14:paraId="4F93EC2B" w14:textId="77777777" w:rsidR="00D05B72" w:rsidRPr="00367110" w:rsidRDefault="00D05B72" w:rsidP="00D05B72">
      <w:pPr>
        <w:ind w:firstLine="567"/>
        <w:jc w:val="both"/>
        <w:rPr>
          <w:rFonts w:asciiTheme="minorHAnsi" w:hAnsiTheme="minorHAnsi" w:cstheme="minorHAnsi"/>
          <w:bCs/>
          <w:sz w:val="22"/>
          <w:szCs w:val="22"/>
        </w:rPr>
      </w:pPr>
    </w:p>
    <w:p w14:paraId="78D812D9" w14:textId="77777777" w:rsidR="00D05B72" w:rsidRPr="00367110" w:rsidRDefault="00D05B72" w:rsidP="00C16FFA">
      <w:pPr>
        <w:pStyle w:val="Antrat2"/>
      </w:pPr>
      <w:bookmarkStart w:id="35" w:name="_Toc14784013"/>
      <w:r w:rsidRPr="00BE44CF">
        <w:t>Dėl naujų atliekų priėmimo vietų steigimui ir paskelbimui apie tokias vietas keliamų reikalavimų</w:t>
      </w:r>
      <w:bookmarkEnd w:id="35"/>
    </w:p>
    <w:p w14:paraId="1457F7E2" w14:textId="77777777" w:rsidR="00D05B72" w:rsidRPr="00367110" w:rsidRDefault="00D05B72" w:rsidP="00D05B72">
      <w:pPr>
        <w:ind w:firstLine="567"/>
        <w:jc w:val="both"/>
        <w:rPr>
          <w:rFonts w:asciiTheme="minorHAnsi" w:hAnsiTheme="minorHAnsi" w:cstheme="minorHAnsi"/>
          <w:bCs/>
          <w:sz w:val="22"/>
          <w:szCs w:val="22"/>
        </w:rPr>
      </w:pPr>
    </w:p>
    <w:p w14:paraId="0DCD660E" w14:textId="3E6C5611" w:rsidR="00D05B72" w:rsidRPr="00511659"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Apžve</w:t>
      </w:r>
      <w:r>
        <w:rPr>
          <w:rFonts w:asciiTheme="minorHAnsi" w:hAnsiTheme="minorHAnsi" w:cstheme="minorHAnsi"/>
          <w:bCs/>
          <w:sz w:val="22"/>
          <w:szCs w:val="22"/>
        </w:rPr>
        <w:t xml:space="preserve">lgiamoje byloje </w:t>
      </w:r>
      <w:r w:rsidRPr="00511659">
        <w:rPr>
          <w:rFonts w:asciiTheme="minorHAnsi" w:hAnsiTheme="minorHAnsi" w:cstheme="minorHAnsi"/>
          <w:bCs/>
          <w:sz w:val="22"/>
          <w:szCs w:val="22"/>
        </w:rPr>
        <w:t xml:space="preserve">ginčas kilo dėl </w:t>
      </w:r>
      <w:r w:rsidRPr="00E161F0">
        <w:rPr>
          <w:rFonts w:asciiTheme="minorHAnsi" w:hAnsiTheme="minorHAnsi" w:cstheme="minorHAnsi"/>
          <w:bCs/>
          <w:sz w:val="22"/>
          <w:szCs w:val="22"/>
        </w:rPr>
        <w:t>Aplinko</w:t>
      </w:r>
      <w:r w:rsidR="00397E7E">
        <w:rPr>
          <w:rFonts w:asciiTheme="minorHAnsi" w:hAnsiTheme="minorHAnsi" w:cstheme="minorHAnsi"/>
          <w:bCs/>
          <w:sz w:val="22"/>
          <w:szCs w:val="22"/>
        </w:rPr>
        <w:t>s apsaugos agentūros (toliau – Agentūra) 2016 m. rugsėjo 8 </w:t>
      </w:r>
      <w:r w:rsidRPr="00E161F0">
        <w:rPr>
          <w:rFonts w:asciiTheme="minorHAnsi" w:hAnsiTheme="minorHAnsi" w:cstheme="minorHAnsi"/>
          <w:bCs/>
          <w:sz w:val="22"/>
          <w:szCs w:val="22"/>
        </w:rPr>
        <w:t>d.</w:t>
      </w:r>
      <w:r>
        <w:rPr>
          <w:rFonts w:asciiTheme="minorHAnsi" w:hAnsiTheme="minorHAnsi" w:cstheme="minorHAnsi"/>
          <w:bCs/>
          <w:sz w:val="22"/>
          <w:szCs w:val="22"/>
        </w:rPr>
        <w:t xml:space="preserve"> s</w:t>
      </w:r>
      <w:r w:rsidRPr="00511659">
        <w:rPr>
          <w:rFonts w:asciiTheme="minorHAnsi" w:hAnsiTheme="minorHAnsi" w:cstheme="minorHAnsi"/>
          <w:bCs/>
          <w:sz w:val="22"/>
          <w:szCs w:val="22"/>
        </w:rPr>
        <w:t>prendimo</w:t>
      </w:r>
      <w:r>
        <w:rPr>
          <w:rFonts w:asciiTheme="minorHAnsi" w:hAnsiTheme="minorHAnsi" w:cstheme="minorHAnsi"/>
          <w:bCs/>
          <w:sz w:val="22"/>
          <w:szCs w:val="22"/>
        </w:rPr>
        <w:t xml:space="preserve"> </w:t>
      </w:r>
      <w:r w:rsidR="00397E7E">
        <w:rPr>
          <w:rFonts w:asciiTheme="minorHAnsi" w:hAnsiTheme="minorHAnsi" w:cstheme="minorHAnsi"/>
          <w:bCs/>
          <w:sz w:val="22"/>
          <w:szCs w:val="22"/>
        </w:rPr>
        <w:t xml:space="preserve">(toliau – </w:t>
      </w:r>
      <w:r>
        <w:rPr>
          <w:rFonts w:asciiTheme="minorHAnsi" w:hAnsiTheme="minorHAnsi" w:cstheme="minorHAnsi"/>
          <w:bCs/>
          <w:sz w:val="22"/>
          <w:szCs w:val="22"/>
        </w:rPr>
        <w:t>Sprendimas)</w:t>
      </w:r>
      <w:r w:rsidRPr="00511659">
        <w:rPr>
          <w:rFonts w:asciiTheme="minorHAnsi" w:hAnsiTheme="minorHAnsi" w:cstheme="minorHAnsi"/>
          <w:bCs/>
          <w:sz w:val="22"/>
          <w:szCs w:val="22"/>
        </w:rPr>
        <w:t>, kuriuo buvo sustabdytas pareiškėj</w:t>
      </w:r>
      <w:r>
        <w:rPr>
          <w:rFonts w:asciiTheme="minorHAnsi" w:hAnsiTheme="minorHAnsi" w:cstheme="minorHAnsi"/>
          <w:bCs/>
          <w:sz w:val="22"/>
          <w:szCs w:val="22"/>
        </w:rPr>
        <w:t xml:space="preserve">ui išduotų </w:t>
      </w:r>
      <w:r w:rsidRPr="00E161F0">
        <w:rPr>
          <w:rFonts w:asciiTheme="minorHAnsi" w:hAnsiTheme="minorHAnsi" w:cstheme="minorHAnsi"/>
          <w:bCs/>
          <w:sz w:val="22"/>
          <w:szCs w:val="22"/>
        </w:rPr>
        <w:t xml:space="preserve">elektros ir elektroninės įrangos atliekų tvarkymo organizavimo </w:t>
      </w:r>
      <w:r>
        <w:rPr>
          <w:rFonts w:asciiTheme="minorHAnsi" w:hAnsiTheme="minorHAnsi" w:cstheme="minorHAnsi"/>
          <w:bCs/>
          <w:sz w:val="22"/>
          <w:szCs w:val="22"/>
        </w:rPr>
        <w:t>l</w:t>
      </w:r>
      <w:r w:rsidRPr="00511659">
        <w:rPr>
          <w:rFonts w:asciiTheme="minorHAnsi" w:hAnsiTheme="minorHAnsi" w:cstheme="minorHAnsi"/>
          <w:bCs/>
          <w:sz w:val="22"/>
          <w:szCs w:val="22"/>
        </w:rPr>
        <w:t>icencijų galiojimas ir nustatytas terminas (iki 2016 m. gruodžio 31 d.) pažeidimams pašalinti, teisėtumo ir pagrįstumo.</w:t>
      </w:r>
    </w:p>
    <w:p w14:paraId="1BD0EF78" w14:textId="780A5D44" w:rsidR="00D05B72" w:rsidRDefault="00D05B72" w:rsidP="00D05B72">
      <w:pPr>
        <w:ind w:firstLine="567"/>
        <w:jc w:val="both"/>
        <w:rPr>
          <w:rFonts w:asciiTheme="minorHAnsi" w:hAnsiTheme="minorHAnsi" w:cstheme="minorHAnsi"/>
          <w:bCs/>
          <w:sz w:val="22"/>
          <w:szCs w:val="22"/>
        </w:rPr>
      </w:pPr>
      <w:r w:rsidRPr="00511659">
        <w:rPr>
          <w:rFonts w:asciiTheme="minorHAnsi" w:hAnsiTheme="minorHAnsi" w:cstheme="minorHAnsi"/>
          <w:bCs/>
          <w:sz w:val="22"/>
          <w:szCs w:val="22"/>
        </w:rPr>
        <w:t xml:space="preserve">Pirmosios instancijos teismas pareiškėjo skundo reikalavimą panaikinti Agentūros Sprendimą dėl </w:t>
      </w:r>
      <w:r>
        <w:rPr>
          <w:rFonts w:asciiTheme="minorHAnsi" w:hAnsiTheme="minorHAnsi" w:cstheme="minorHAnsi"/>
          <w:bCs/>
          <w:sz w:val="22"/>
          <w:szCs w:val="22"/>
        </w:rPr>
        <w:t>l</w:t>
      </w:r>
      <w:r w:rsidRPr="00511659">
        <w:rPr>
          <w:rFonts w:asciiTheme="minorHAnsi" w:hAnsiTheme="minorHAnsi" w:cstheme="minorHAnsi"/>
          <w:bCs/>
          <w:sz w:val="22"/>
          <w:szCs w:val="22"/>
        </w:rPr>
        <w:t xml:space="preserve">icencijų galiojimo sustabdymo tenkino, tačiau pagrįstais pripažino ne visus pareiškėjo skundo argumentus. </w:t>
      </w:r>
      <w:r>
        <w:rPr>
          <w:rFonts w:asciiTheme="minorHAnsi" w:hAnsiTheme="minorHAnsi" w:cstheme="minorHAnsi"/>
          <w:bCs/>
          <w:sz w:val="22"/>
          <w:szCs w:val="22"/>
        </w:rPr>
        <w:t>T</w:t>
      </w:r>
      <w:r w:rsidRPr="00511659">
        <w:rPr>
          <w:rFonts w:asciiTheme="minorHAnsi" w:hAnsiTheme="minorHAnsi" w:cstheme="minorHAnsi"/>
          <w:bCs/>
          <w:sz w:val="22"/>
          <w:szCs w:val="22"/>
        </w:rPr>
        <w:t>eismas sprendime konstatavo, kad pareiškėjas spaudoje 4 kartus nepaskelbė apie dalį atliekų priėmimo vietų ir jas eksploatavo trumpiau kaip metus, tuo pažeisdamas</w:t>
      </w:r>
      <w:r w:rsidRPr="00833625">
        <w:rPr>
          <w:rFonts w:asciiTheme="minorHAnsi" w:hAnsiTheme="minorHAnsi" w:cstheme="minorHAnsi"/>
          <w:bCs/>
          <w:sz w:val="22"/>
          <w:szCs w:val="22"/>
        </w:rPr>
        <w:t xml:space="preserve"> </w:t>
      </w:r>
      <w:r>
        <w:rPr>
          <w:rFonts w:asciiTheme="minorHAnsi" w:hAnsiTheme="minorHAnsi" w:cstheme="minorHAnsi"/>
          <w:bCs/>
          <w:sz w:val="22"/>
          <w:szCs w:val="22"/>
        </w:rPr>
        <w:t>Li</w:t>
      </w:r>
      <w:r w:rsidRPr="00833625">
        <w:rPr>
          <w:rFonts w:asciiTheme="minorHAnsi" w:hAnsiTheme="minorHAnsi" w:cstheme="minorHAnsi"/>
          <w:bCs/>
          <w:sz w:val="22"/>
          <w:szCs w:val="22"/>
        </w:rPr>
        <w:t>etuvos Res</w:t>
      </w:r>
      <w:r>
        <w:rPr>
          <w:rFonts w:asciiTheme="minorHAnsi" w:hAnsiTheme="minorHAnsi" w:cstheme="minorHAnsi"/>
          <w:bCs/>
          <w:sz w:val="22"/>
          <w:szCs w:val="22"/>
        </w:rPr>
        <w:t>publikos aplinkos ministro 2004 </w:t>
      </w:r>
      <w:r w:rsidRPr="00833625">
        <w:rPr>
          <w:rFonts w:asciiTheme="minorHAnsi" w:hAnsiTheme="minorHAnsi" w:cstheme="minorHAnsi"/>
          <w:bCs/>
          <w:sz w:val="22"/>
          <w:szCs w:val="22"/>
        </w:rPr>
        <w:t>m. rugsėjo 10 d. įsakymu Nr. D1-481</w:t>
      </w:r>
      <w:r w:rsidRPr="00511659">
        <w:rPr>
          <w:rFonts w:asciiTheme="minorHAnsi" w:hAnsiTheme="minorHAnsi" w:cstheme="minorHAnsi"/>
          <w:bCs/>
          <w:sz w:val="22"/>
          <w:szCs w:val="22"/>
        </w:rPr>
        <w:t xml:space="preserve"> </w:t>
      </w:r>
      <w:r w:rsidRPr="00833625">
        <w:rPr>
          <w:rFonts w:asciiTheme="minorHAnsi" w:hAnsiTheme="minorHAnsi" w:cstheme="minorHAnsi"/>
          <w:bCs/>
          <w:sz w:val="22"/>
          <w:szCs w:val="22"/>
        </w:rPr>
        <w:t>patvirtintų Elektros bei elektroninės įrangos bei</w:t>
      </w:r>
      <w:r>
        <w:rPr>
          <w:rFonts w:asciiTheme="minorHAnsi" w:hAnsiTheme="minorHAnsi" w:cstheme="minorHAnsi"/>
          <w:bCs/>
          <w:sz w:val="22"/>
          <w:szCs w:val="22"/>
        </w:rPr>
        <w:t xml:space="preserve"> jos atliekų tvarkymo taisyklių</w:t>
      </w:r>
      <w:r w:rsidR="00397E7E">
        <w:rPr>
          <w:rFonts w:asciiTheme="minorHAnsi" w:hAnsiTheme="minorHAnsi" w:cstheme="minorHAnsi"/>
          <w:bCs/>
          <w:sz w:val="22"/>
          <w:szCs w:val="22"/>
        </w:rPr>
        <w:t xml:space="preserve"> (toliau – </w:t>
      </w:r>
      <w:r w:rsidRPr="00833625">
        <w:rPr>
          <w:rFonts w:asciiTheme="minorHAnsi" w:hAnsiTheme="minorHAnsi" w:cstheme="minorHAnsi"/>
          <w:bCs/>
          <w:sz w:val="22"/>
          <w:szCs w:val="22"/>
        </w:rPr>
        <w:t>Atliekų tvarkymo taisyklės)</w:t>
      </w:r>
      <w:r>
        <w:rPr>
          <w:rFonts w:asciiTheme="minorHAnsi" w:hAnsiTheme="minorHAnsi" w:cstheme="minorHAnsi"/>
          <w:bCs/>
          <w:sz w:val="22"/>
          <w:szCs w:val="22"/>
        </w:rPr>
        <w:t xml:space="preserve"> </w:t>
      </w:r>
      <w:r w:rsidRPr="00511659">
        <w:rPr>
          <w:rFonts w:asciiTheme="minorHAnsi" w:hAnsiTheme="minorHAnsi" w:cstheme="minorHAnsi"/>
          <w:bCs/>
          <w:sz w:val="22"/>
          <w:szCs w:val="22"/>
        </w:rPr>
        <w:t>49 punkto reikalavimus</w:t>
      </w:r>
      <w:r>
        <w:rPr>
          <w:rFonts w:asciiTheme="minorHAnsi" w:hAnsiTheme="minorHAnsi" w:cstheme="minorHAnsi"/>
          <w:bCs/>
          <w:sz w:val="22"/>
          <w:szCs w:val="22"/>
        </w:rPr>
        <w:t>, b</w:t>
      </w:r>
      <w:r w:rsidRPr="00511659">
        <w:rPr>
          <w:rFonts w:asciiTheme="minorHAnsi" w:hAnsiTheme="minorHAnsi" w:cstheme="minorHAnsi"/>
          <w:bCs/>
          <w:sz w:val="22"/>
          <w:szCs w:val="22"/>
        </w:rPr>
        <w:t>e to, dalies atliekų priėmimo vietų pareiškėjas nesuderino su savivaldybėmis, kuriose tokios priėmimo vietos buvo įsteigtos; vis dėlto teismas sprendė, jog Agentūra nepagrįstai pripažino netinkamomis pareiškėjo papildomas atliekų priėmimo vietas, taip pat be pagrindo nustatė per trumpą terminą konstatuotiems pažeidimams pašalinti bei pareiškėjui pritaikė neproporcingą poveikio priemonę.</w:t>
      </w:r>
    </w:p>
    <w:p w14:paraId="397F93E7" w14:textId="77777777" w:rsidR="00D05B72" w:rsidRDefault="00D05B72" w:rsidP="00D05B72">
      <w:pPr>
        <w:ind w:firstLine="567"/>
        <w:jc w:val="both"/>
        <w:rPr>
          <w:rFonts w:asciiTheme="minorHAnsi" w:hAnsiTheme="minorHAnsi" w:cstheme="minorHAnsi"/>
          <w:bCs/>
          <w:sz w:val="22"/>
          <w:szCs w:val="22"/>
        </w:rPr>
      </w:pPr>
      <w:r w:rsidRPr="004F430D">
        <w:rPr>
          <w:rFonts w:asciiTheme="minorHAnsi" w:hAnsiTheme="minorHAnsi" w:cstheme="minorHAnsi"/>
          <w:bCs/>
          <w:sz w:val="22"/>
          <w:szCs w:val="22"/>
        </w:rPr>
        <w:t>Apeliacini</w:t>
      </w:r>
      <w:r>
        <w:rPr>
          <w:rFonts w:asciiTheme="minorHAnsi" w:hAnsiTheme="minorHAnsi" w:cstheme="minorHAnsi"/>
          <w:bCs/>
          <w:sz w:val="22"/>
          <w:szCs w:val="22"/>
        </w:rPr>
        <w:t>ame skunde p</w:t>
      </w:r>
      <w:r w:rsidRPr="004F430D">
        <w:rPr>
          <w:rFonts w:asciiTheme="minorHAnsi" w:hAnsiTheme="minorHAnsi" w:cstheme="minorHAnsi"/>
          <w:bCs/>
          <w:sz w:val="22"/>
          <w:szCs w:val="22"/>
        </w:rPr>
        <w:t>areiškėjas nesutik</w:t>
      </w:r>
      <w:r>
        <w:rPr>
          <w:rFonts w:asciiTheme="minorHAnsi" w:hAnsiTheme="minorHAnsi" w:cstheme="minorHAnsi"/>
          <w:bCs/>
          <w:sz w:val="22"/>
          <w:szCs w:val="22"/>
        </w:rPr>
        <w:t>o</w:t>
      </w:r>
      <w:r w:rsidRPr="004F430D">
        <w:rPr>
          <w:rFonts w:asciiTheme="minorHAnsi" w:hAnsiTheme="minorHAnsi" w:cstheme="minorHAnsi"/>
          <w:bCs/>
          <w:sz w:val="22"/>
          <w:szCs w:val="22"/>
        </w:rPr>
        <w:t xml:space="preserve"> su pirmosios instancijos teismo sprendimo dalimi, kuria pripažinta, jog </w:t>
      </w:r>
      <w:r>
        <w:rPr>
          <w:rFonts w:asciiTheme="minorHAnsi" w:hAnsiTheme="minorHAnsi" w:cstheme="minorHAnsi"/>
          <w:bCs/>
          <w:sz w:val="22"/>
          <w:szCs w:val="22"/>
        </w:rPr>
        <w:t>jis</w:t>
      </w:r>
      <w:r w:rsidRPr="004F430D">
        <w:rPr>
          <w:rFonts w:asciiTheme="minorHAnsi" w:hAnsiTheme="minorHAnsi" w:cstheme="minorHAnsi"/>
          <w:bCs/>
          <w:sz w:val="22"/>
          <w:szCs w:val="22"/>
        </w:rPr>
        <w:t xml:space="preserve"> netinkamai eksploatavo priėmimo vietas dėl to, kad nepaskelbė apie jas 4 kartus per metus ir jas eksploatavo trumpiau nei metus, taip pat su pirmosios instancijos teismo argumentais, kad Atliekų tvarkymo taisyklių 35 punkto nuostatos, nustatančios, jog atliekų priėmimo vietos gali būti įrengiamos tik suderinus su savivaldybe, taikomos ir teisiniams santykiams, susiklosčiusiems iki šių nuostatų įsigaliojimo. Be to, pareiškėjo teigimu, pirmosios instancijos teismas nepagrįstai konstatavo, jog iš pareiškėjo</w:t>
      </w:r>
      <w:r>
        <w:rPr>
          <w:rFonts w:asciiTheme="minorHAnsi" w:hAnsiTheme="minorHAnsi" w:cstheme="minorHAnsi"/>
          <w:bCs/>
          <w:sz w:val="22"/>
          <w:szCs w:val="22"/>
        </w:rPr>
        <w:t xml:space="preserve"> nebuvo reikalaujama neįmanomo.</w:t>
      </w:r>
    </w:p>
    <w:p w14:paraId="6E59DF6E" w14:textId="486CA646" w:rsidR="00D05B72" w:rsidRDefault="00D05B72" w:rsidP="00D05B72">
      <w:pPr>
        <w:ind w:firstLine="567"/>
        <w:jc w:val="both"/>
        <w:rPr>
          <w:rFonts w:asciiTheme="minorHAnsi" w:hAnsiTheme="minorHAnsi" w:cstheme="minorHAnsi"/>
          <w:bCs/>
          <w:sz w:val="22"/>
          <w:szCs w:val="22"/>
        </w:rPr>
      </w:pPr>
      <w:r>
        <w:rPr>
          <w:rFonts w:asciiTheme="minorHAnsi" w:hAnsiTheme="minorHAnsi" w:cstheme="minorHAnsi"/>
          <w:bCs/>
          <w:sz w:val="22"/>
          <w:szCs w:val="22"/>
        </w:rPr>
        <w:t>Išanalizavusi ginčui aktualų teisinį reguliavimą, teisėjų kolegija atkreipė dėmesį, kad</w:t>
      </w:r>
      <w:r w:rsidRPr="00BF2482">
        <w:rPr>
          <w:rFonts w:asciiTheme="minorHAnsi" w:hAnsiTheme="minorHAnsi" w:cstheme="minorHAnsi"/>
          <w:bCs/>
          <w:iCs/>
          <w:sz w:val="22"/>
        </w:rPr>
        <w:t xml:space="preserve"> </w:t>
      </w:r>
      <w:r w:rsidRPr="00197CB9">
        <w:rPr>
          <w:rFonts w:asciiTheme="minorHAnsi" w:hAnsiTheme="minorHAnsi" w:cstheme="minorHAnsi"/>
          <w:bCs/>
          <w:iCs/>
          <w:sz w:val="22"/>
          <w:u w:val="single"/>
        </w:rPr>
        <w:t>nors ginčo laikotarpiu</w:t>
      </w:r>
      <w:r w:rsidRPr="00197CB9">
        <w:rPr>
          <w:rFonts w:asciiTheme="minorHAnsi" w:hAnsiTheme="minorHAnsi" w:cstheme="minorHAnsi"/>
          <w:bCs/>
          <w:iCs/>
          <w:sz w:val="22"/>
        </w:rPr>
        <w:t xml:space="preserve"> (byloje ginčas buvo kilęs dėl 2015 metais pareiškėjo eksploatuotų priėmimo vietų) </w:t>
      </w:r>
      <w:r w:rsidRPr="00197CB9">
        <w:rPr>
          <w:rFonts w:asciiTheme="minorHAnsi" w:hAnsiTheme="minorHAnsi" w:cstheme="minorHAnsi"/>
          <w:bCs/>
          <w:iCs/>
          <w:sz w:val="22"/>
          <w:u w:val="single"/>
        </w:rPr>
        <w:t xml:space="preserve">galiojusios redakcijos Atliekų tvarkymo taisyklėse vis dar buvo įtvirtintas reikalavimas informuoti visuomenę apie galimybę atiduoti buitines elektros ir elektroninės įrangos atliekas, nurodant įrengtos priėmimo vietos(-ų) adresą(-us) įrengėjo interneto </w:t>
      </w:r>
      <w:r w:rsidRPr="00197CB9">
        <w:rPr>
          <w:rFonts w:asciiTheme="minorHAnsi" w:hAnsiTheme="minorHAnsi" w:cstheme="minorHAnsi"/>
          <w:bCs/>
          <w:iCs/>
          <w:sz w:val="22"/>
          <w:u w:val="single"/>
        </w:rPr>
        <w:lastRenderedPageBreak/>
        <w:t xml:space="preserve">svetainėje ir ne rečiau kaip kas tris mėnesius apie tai skelbiant regioninėje spaudoje, tačiau buvo panaikintas reguliavimas, susijęs su </w:t>
      </w:r>
      <w:r w:rsidRPr="00197CB9">
        <w:rPr>
          <w:rFonts w:asciiTheme="minorHAnsi" w:hAnsiTheme="minorHAnsi" w:cstheme="minorHAnsi"/>
          <w:bCs/>
          <w:sz w:val="22"/>
          <w:u w:val="single"/>
        </w:rPr>
        <w:t>priėmimo vietos eksploatavimu ne trumpiau kaip vienerius metus</w:t>
      </w:r>
      <w:r w:rsidR="00397E7E">
        <w:rPr>
          <w:rFonts w:asciiTheme="minorHAnsi" w:hAnsiTheme="minorHAnsi" w:cstheme="minorHAnsi"/>
          <w:bCs/>
          <w:sz w:val="22"/>
        </w:rPr>
        <w:t>. Taigi tam, kad 2015 </w:t>
      </w:r>
      <w:r w:rsidRPr="00BF2482">
        <w:rPr>
          <w:rFonts w:asciiTheme="minorHAnsi" w:hAnsiTheme="minorHAnsi" w:cstheme="minorHAnsi"/>
          <w:bCs/>
          <w:sz w:val="22"/>
        </w:rPr>
        <w:t>metais</w:t>
      </w:r>
      <w:r w:rsidRPr="005841C7">
        <w:rPr>
          <w:rFonts w:asciiTheme="minorHAnsi" w:hAnsiTheme="minorHAnsi" w:cstheme="minorHAnsi"/>
          <w:bCs/>
          <w:sz w:val="22"/>
        </w:rPr>
        <w:t xml:space="preserve"> </w:t>
      </w:r>
      <w:r w:rsidRPr="00BF2482">
        <w:rPr>
          <w:rFonts w:asciiTheme="minorHAnsi" w:hAnsiTheme="minorHAnsi" w:cstheme="minorHAnsi"/>
          <w:bCs/>
          <w:sz w:val="22"/>
        </w:rPr>
        <w:t>priėmimo vieta būtų pripažinta tinkama elektros ir elektroninės įrangos atliekų tvarkymo antrosios užduoties vykdymo varianto prasme, pakako apie priėmimo vietą regioninėje spaudoje apie ją paskelbti kas tris mėnesius nuo tokios vietos įsteigimo, niekaip nesiejant priėmimo vietos su jokiais jos eksploatacijos terminais</w:t>
      </w:r>
      <w:r>
        <w:rPr>
          <w:rFonts w:asciiTheme="minorHAnsi" w:hAnsiTheme="minorHAnsi" w:cstheme="minorHAnsi"/>
          <w:bCs/>
          <w:sz w:val="22"/>
        </w:rPr>
        <w:t xml:space="preserve">. Be to, </w:t>
      </w:r>
      <w:r w:rsidRPr="00197CB9">
        <w:rPr>
          <w:rFonts w:asciiTheme="minorHAnsi" w:hAnsiTheme="minorHAnsi" w:cstheme="minorHAnsi"/>
          <w:bCs/>
          <w:sz w:val="22"/>
          <w:u w:val="single"/>
        </w:rPr>
        <w:t>g</w:t>
      </w:r>
      <w:r w:rsidRPr="00197CB9">
        <w:rPr>
          <w:rFonts w:asciiTheme="minorHAnsi" w:hAnsiTheme="minorHAnsi" w:cstheme="minorHAnsi"/>
          <w:bCs/>
          <w:sz w:val="22"/>
          <w:szCs w:val="22"/>
          <w:u w:val="single"/>
        </w:rPr>
        <w:t>inčo laikotarpiu galiojusios Atliekų tvarkymo taisyklių redakcijos 49 punkte paskelbimas regioninėje spaudoje yra apibrėžtas tam tikrais laikotarpiais (t. y. nėra nurodytas konkretus paskelbimų skaičius)</w:t>
      </w:r>
      <w:r w:rsidR="00397E7E">
        <w:rPr>
          <w:rFonts w:asciiTheme="minorHAnsi" w:hAnsiTheme="minorHAnsi" w:cstheme="minorHAnsi"/>
          <w:bCs/>
          <w:sz w:val="22"/>
          <w:szCs w:val="22"/>
        </w:rPr>
        <w:t>, todėl pareiškėjui nagrinėt</w:t>
      </w:r>
      <w:r w:rsidRPr="00BF2482">
        <w:rPr>
          <w:rFonts w:asciiTheme="minorHAnsi" w:hAnsiTheme="minorHAnsi" w:cstheme="minorHAnsi"/>
          <w:bCs/>
          <w:sz w:val="22"/>
          <w:szCs w:val="22"/>
        </w:rPr>
        <w:t>u atveju kilo pareiga apie priėmimo vietas regioninėje spaudoje skelbti kas tris mėn</w:t>
      </w:r>
      <w:r>
        <w:rPr>
          <w:rFonts w:asciiTheme="minorHAnsi" w:hAnsiTheme="minorHAnsi" w:cstheme="minorHAnsi"/>
          <w:bCs/>
          <w:sz w:val="22"/>
          <w:szCs w:val="22"/>
        </w:rPr>
        <w:t>esius nuo tokių vietų įrengimo.</w:t>
      </w:r>
    </w:p>
    <w:p w14:paraId="08DD68FD" w14:textId="2FB9C725" w:rsidR="00D05B72" w:rsidRDefault="00D05B72" w:rsidP="00D05B72">
      <w:pPr>
        <w:ind w:firstLine="567"/>
        <w:jc w:val="both"/>
        <w:rPr>
          <w:rFonts w:asciiTheme="minorHAnsi" w:hAnsiTheme="minorHAnsi" w:cstheme="minorHAnsi"/>
          <w:bCs/>
          <w:sz w:val="22"/>
          <w:szCs w:val="22"/>
        </w:rPr>
      </w:pPr>
      <w:r>
        <w:rPr>
          <w:rFonts w:asciiTheme="minorHAnsi" w:hAnsiTheme="minorHAnsi" w:cstheme="minorHAnsi"/>
          <w:bCs/>
          <w:sz w:val="22"/>
          <w:szCs w:val="22"/>
        </w:rPr>
        <w:t>Atsižvelgusi į tai, kad dalis ginčo priėmimo vietų</w:t>
      </w:r>
      <w:r w:rsidRPr="00BF2482">
        <w:rPr>
          <w:rFonts w:asciiTheme="minorHAnsi" w:hAnsiTheme="minorHAnsi" w:cstheme="minorHAnsi"/>
          <w:bCs/>
          <w:sz w:val="22"/>
          <w:szCs w:val="22"/>
        </w:rPr>
        <w:t xml:space="preserve"> buvo įsteigtos 2015 metais (kaip nurodo pareiškėjas</w:t>
      </w:r>
      <w:r>
        <w:rPr>
          <w:rFonts w:asciiTheme="minorHAnsi" w:hAnsiTheme="minorHAnsi" w:cstheme="minorHAnsi"/>
          <w:bCs/>
          <w:sz w:val="22"/>
          <w:szCs w:val="22"/>
        </w:rPr>
        <w:t xml:space="preserve"> –</w:t>
      </w:r>
      <w:r w:rsidR="00397E7E">
        <w:rPr>
          <w:rFonts w:asciiTheme="minorHAnsi" w:hAnsiTheme="minorHAnsi" w:cstheme="minorHAnsi"/>
          <w:bCs/>
          <w:sz w:val="22"/>
          <w:szCs w:val="22"/>
        </w:rPr>
        <w:t xml:space="preserve"> I </w:t>
      </w:r>
      <w:r w:rsidRPr="00BF2482">
        <w:rPr>
          <w:rFonts w:asciiTheme="minorHAnsi" w:hAnsiTheme="minorHAnsi" w:cstheme="minorHAnsi"/>
          <w:bCs/>
          <w:sz w:val="22"/>
          <w:szCs w:val="22"/>
        </w:rPr>
        <w:t xml:space="preserve">ir II ketvirtį), </w:t>
      </w:r>
      <w:r>
        <w:rPr>
          <w:rFonts w:asciiTheme="minorHAnsi" w:hAnsiTheme="minorHAnsi" w:cstheme="minorHAnsi"/>
          <w:bCs/>
          <w:sz w:val="22"/>
          <w:szCs w:val="22"/>
        </w:rPr>
        <w:t xml:space="preserve">teisėjų kolegija sprendė, kad </w:t>
      </w:r>
      <w:r w:rsidRPr="00BF2482">
        <w:rPr>
          <w:rFonts w:asciiTheme="minorHAnsi" w:hAnsiTheme="minorHAnsi" w:cstheme="minorHAnsi"/>
          <w:bCs/>
          <w:sz w:val="22"/>
          <w:szCs w:val="22"/>
        </w:rPr>
        <w:t xml:space="preserve">paskelbti apie jas regioninėje spaudoje </w:t>
      </w:r>
      <w:r w:rsidR="00397E7E">
        <w:rPr>
          <w:rFonts w:asciiTheme="minorHAnsi" w:hAnsiTheme="minorHAnsi" w:cstheme="minorHAnsi"/>
          <w:bCs/>
          <w:sz w:val="22"/>
          <w:szCs w:val="22"/>
        </w:rPr>
        <w:t>pareiškėjas privalėjo ne 4, o 2 </w:t>
      </w:r>
      <w:r w:rsidRPr="00BF2482">
        <w:rPr>
          <w:rFonts w:asciiTheme="minorHAnsi" w:hAnsiTheme="minorHAnsi" w:cstheme="minorHAnsi"/>
          <w:bCs/>
          <w:sz w:val="22"/>
          <w:szCs w:val="22"/>
        </w:rPr>
        <w:t xml:space="preserve">arba 3 kartus (priklausomai nuo konkrečių priėmimo vietų įrengimo datų). </w:t>
      </w:r>
      <w:r>
        <w:rPr>
          <w:rFonts w:asciiTheme="minorHAnsi" w:hAnsiTheme="minorHAnsi" w:cstheme="minorHAnsi"/>
          <w:bCs/>
          <w:sz w:val="22"/>
          <w:szCs w:val="22"/>
        </w:rPr>
        <w:t xml:space="preserve">Todėl </w:t>
      </w:r>
      <w:r w:rsidRPr="00BF2482">
        <w:rPr>
          <w:rFonts w:asciiTheme="minorHAnsi" w:hAnsiTheme="minorHAnsi" w:cstheme="minorHAnsi"/>
          <w:bCs/>
          <w:sz w:val="22"/>
          <w:szCs w:val="22"/>
        </w:rPr>
        <w:t xml:space="preserve">Agentūra nepagrįstai sprendė, jog pareiškėjas, </w:t>
      </w:r>
      <w:r>
        <w:rPr>
          <w:rFonts w:asciiTheme="minorHAnsi" w:hAnsiTheme="minorHAnsi" w:cstheme="minorHAnsi"/>
          <w:bCs/>
          <w:sz w:val="22"/>
          <w:szCs w:val="22"/>
        </w:rPr>
        <w:t xml:space="preserve">2015 </w:t>
      </w:r>
      <w:r w:rsidRPr="00BF2482">
        <w:rPr>
          <w:rFonts w:asciiTheme="minorHAnsi" w:hAnsiTheme="minorHAnsi" w:cstheme="minorHAnsi"/>
          <w:bCs/>
          <w:sz w:val="22"/>
          <w:szCs w:val="22"/>
        </w:rPr>
        <w:t xml:space="preserve">metais 4 kartus regioninėje spaudoje nepaskelbdamas apie 36 naujai įsteigtas priėmimo vietas, nesilaikė licencijuojamos veiklos sąlygų. </w:t>
      </w:r>
      <w:r>
        <w:rPr>
          <w:rFonts w:asciiTheme="minorHAnsi" w:hAnsiTheme="minorHAnsi" w:cstheme="minorHAnsi"/>
          <w:bCs/>
          <w:sz w:val="22"/>
          <w:szCs w:val="22"/>
        </w:rPr>
        <w:t>Atitinkamai į šias</w:t>
      </w:r>
      <w:r w:rsidRPr="00BF2482">
        <w:rPr>
          <w:rFonts w:asciiTheme="minorHAnsi" w:hAnsiTheme="minorHAnsi" w:cstheme="minorHAnsi"/>
          <w:bCs/>
          <w:sz w:val="22"/>
          <w:szCs w:val="22"/>
        </w:rPr>
        <w:t xml:space="preserve"> 36 naujai įsteigtas priėmimo vietas Agentūra privalėjo atsižvelgti vertindama pareiškėjo pasirinktą elektros ir elektroninės įrangos atliekų tvarkymo antrojo varianto užduoties įvykdymą</w:t>
      </w:r>
      <w:r>
        <w:rPr>
          <w:rFonts w:asciiTheme="minorHAnsi" w:hAnsiTheme="minorHAnsi" w:cstheme="minorHAnsi"/>
          <w:bCs/>
          <w:sz w:val="22"/>
          <w:szCs w:val="22"/>
        </w:rPr>
        <w:t>, o</w:t>
      </w:r>
      <w:r w:rsidRPr="00BF2482">
        <w:rPr>
          <w:rFonts w:asciiTheme="minorHAnsi" w:hAnsiTheme="minorHAnsi" w:cstheme="minorHAnsi"/>
          <w:bCs/>
          <w:sz w:val="22"/>
          <w:szCs w:val="22"/>
        </w:rPr>
        <w:t xml:space="preserve"> </w:t>
      </w:r>
      <w:r>
        <w:rPr>
          <w:rFonts w:asciiTheme="minorHAnsi" w:hAnsiTheme="minorHAnsi" w:cstheme="minorHAnsi"/>
          <w:bCs/>
          <w:sz w:val="22"/>
          <w:szCs w:val="22"/>
        </w:rPr>
        <w:t>p</w:t>
      </w:r>
      <w:r w:rsidRPr="00BF2482">
        <w:rPr>
          <w:rFonts w:asciiTheme="minorHAnsi" w:hAnsiTheme="minorHAnsi" w:cstheme="minorHAnsi"/>
          <w:bCs/>
          <w:sz w:val="22"/>
          <w:szCs w:val="22"/>
        </w:rPr>
        <w:t>irmosios instancijos teismas skundžiamame sprendime nepagrįstai Agentūros veiksmus pripažįstant nurodytas priėmimo vietas netinkamomis dė</w:t>
      </w:r>
      <w:r w:rsidR="00397E7E">
        <w:rPr>
          <w:rFonts w:asciiTheme="minorHAnsi" w:hAnsiTheme="minorHAnsi" w:cstheme="minorHAnsi"/>
          <w:bCs/>
          <w:sz w:val="22"/>
          <w:szCs w:val="22"/>
        </w:rPr>
        <w:t>l Atliekų tvarkymo taisyklių 49 </w:t>
      </w:r>
      <w:r w:rsidRPr="00BF2482">
        <w:rPr>
          <w:rFonts w:asciiTheme="minorHAnsi" w:hAnsiTheme="minorHAnsi" w:cstheme="minorHAnsi"/>
          <w:bCs/>
          <w:sz w:val="22"/>
          <w:szCs w:val="22"/>
        </w:rPr>
        <w:t xml:space="preserve">punkto pažeidimų laikė teisėtais, todėl ši pirmosios instancijos teismo išvada </w:t>
      </w:r>
      <w:r>
        <w:rPr>
          <w:rFonts w:asciiTheme="minorHAnsi" w:hAnsiTheme="minorHAnsi" w:cstheme="minorHAnsi"/>
          <w:bCs/>
          <w:sz w:val="22"/>
          <w:szCs w:val="22"/>
        </w:rPr>
        <w:t>buvo pa</w:t>
      </w:r>
      <w:r w:rsidRPr="00BF2482">
        <w:rPr>
          <w:rFonts w:asciiTheme="minorHAnsi" w:hAnsiTheme="minorHAnsi" w:cstheme="minorHAnsi"/>
          <w:bCs/>
          <w:sz w:val="22"/>
          <w:szCs w:val="22"/>
        </w:rPr>
        <w:t>šalin</w:t>
      </w:r>
      <w:r>
        <w:rPr>
          <w:rFonts w:asciiTheme="minorHAnsi" w:hAnsiTheme="minorHAnsi" w:cstheme="minorHAnsi"/>
          <w:bCs/>
          <w:sz w:val="22"/>
          <w:szCs w:val="22"/>
        </w:rPr>
        <w:t>t</w:t>
      </w:r>
      <w:r w:rsidRPr="00BF2482">
        <w:rPr>
          <w:rFonts w:asciiTheme="minorHAnsi" w:hAnsiTheme="minorHAnsi" w:cstheme="minorHAnsi"/>
          <w:bCs/>
          <w:sz w:val="22"/>
          <w:szCs w:val="22"/>
        </w:rPr>
        <w:t>a iš skundžiamo teismo sprendimo motyvų</w:t>
      </w:r>
      <w:r>
        <w:rPr>
          <w:rFonts w:asciiTheme="minorHAnsi" w:hAnsiTheme="minorHAnsi" w:cstheme="minorHAnsi"/>
          <w:bCs/>
          <w:sz w:val="22"/>
          <w:szCs w:val="22"/>
        </w:rPr>
        <w:t>.</w:t>
      </w:r>
    </w:p>
    <w:p w14:paraId="31116649" w14:textId="44A384BD" w:rsidR="00D05B72" w:rsidRPr="003D03FD" w:rsidRDefault="00D05B72" w:rsidP="00D05B7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taip pat nurodė, kad </w:t>
      </w:r>
      <w:r w:rsidR="00397E7E">
        <w:rPr>
          <w:rFonts w:asciiTheme="minorHAnsi" w:hAnsiTheme="minorHAnsi" w:cstheme="minorHAnsi"/>
          <w:bCs/>
          <w:sz w:val="22"/>
          <w:szCs w:val="22"/>
        </w:rPr>
        <w:t>A</w:t>
      </w:r>
      <w:r w:rsidRPr="00B64F6E">
        <w:rPr>
          <w:rFonts w:asciiTheme="minorHAnsi" w:hAnsiTheme="minorHAnsi" w:cstheme="minorHAnsi"/>
          <w:bCs/>
          <w:sz w:val="22"/>
          <w:szCs w:val="22"/>
        </w:rPr>
        <w:t>tliekų tvarkymo įstatym</w:t>
      </w:r>
      <w:r>
        <w:rPr>
          <w:rFonts w:asciiTheme="minorHAnsi" w:hAnsiTheme="minorHAnsi" w:cstheme="minorHAnsi"/>
          <w:bCs/>
          <w:sz w:val="22"/>
          <w:szCs w:val="22"/>
        </w:rPr>
        <w:t>o</w:t>
      </w:r>
      <w:r w:rsidR="00397E7E">
        <w:rPr>
          <w:rFonts w:asciiTheme="minorHAnsi" w:hAnsiTheme="minorHAnsi" w:cstheme="minorHAnsi"/>
          <w:bCs/>
          <w:sz w:val="22"/>
          <w:szCs w:val="22"/>
        </w:rPr>
        <w:t xml:space="preserve"> (toliau – </w:t>
      </w:r>
      <w:r w:rsidRPr="00B64F6E">
        <w:rPr>
          <w:rFonts w:asciiTheme="minorHAnsi" w:hAnsiTheme="minorHAnsi" w:cstheme="minorHAnsi"/>
          <w:bCs/>
          <w:sz w:val="22"/>
          <w:szCs w:val="22"/>
        </w:rPr>
        <w:t>ATĮ)</w:t>
      </w:r>
      <w:r>
        <w:rPr>
          <w:rFonts w:asciiTheme="minorHAnsi" w:hAnsiTheme="minorHAnsi" w:cstheme="minorHAnsi"/>
          <w:bCs/>
          <w:sz w:val="22"/>
          <w:szCs w:val="22"/>
        </w:rPr>
        <w:t xml:space="preserve"> </w:t>
      </w:r>
      <w:r w:rsidRPr="003D03FD">
        <w:rPr>
          <w:rFonts w:asciiTheme="minorHAnsi" w:hAnsiTheme="minorHAnsi" w:cstheme="minorHAnsi"/>
          <w:bCs/>
          <w:sz w:val="22"/>
          <w:szCs w:val="22"/>
        </w:rPr>
        <w:t xml:space="preserve">30 straipsnio 15 dalyje įtvirtinta, jog savivaldybės organizuojamą komunalinių atliekų tvarkymo sistemą papildančios atliekų surinkimo sistemos diegimo sąlygos turi būti suderintos su savivaldybe Vyriausybės ar jos įgaliotos institucijos nustatyta tvarka. </w:t>
      </w:r>
      <w:r>
        <w:rPr>
          <w:rFonts w:asciiTheme="minorHAnsi" w:hAnsiTheme="minorHAnsi" w:cstheme="minorHAnsi"/>
          <w:bCs/>
          <w:sz w:val="22"/>
          <w:szCs w:val="22"/>
        </w:rPr>
        <w:t>Šioje</w:t>
      </w:r>
      <w:r w:rsidRPr="003D03FD">
        <w:rPr>
          <w:rFonts w:asciiTheme="minorHAnsi" w:hAnsiTheme="minorHAnsi" w:cstheme="minorHAnsi"/>
          <w:bCs/>
          <w:sz w:val="22"/>
          <w:szCs w:val="22"/>
        </w:rPr>
        <w:t xml:space="preserve"> teisės normoje nėra įtvirtinta, kokiame konkrečiai teisės akte turi būti nustatyta minėta diegimo tvarka, svarbu, kad tokia tvarka būtų patvirtinta Vyriausybės įgaliotos institucijos. Atliekų tvarkymo srityje, įskaitant elektros ir elektroninės įrangos atliekų tvarkymą, Vyriausybės įgaliota institucija yra Lietuvos Respublikos aplinkos ministerija (ATĮ 20 str. 1 d.)</w:t>
      </w:r>
      <w:r>
        <w:rPr>
          <w:rFonts w:asciiTheme="minorHAnsi" w:hAnsiTheme="minorHAnsi" w:cstheme="minorHAnsi"/>
          <w:bCs/>
          <w:sz w:val="22"/>
          <w:szCs w:val="22"/>
        </w:rPr>
        <w:t>.</w:t>
      </w:r>
    </w:p>
    <w:p w14:paraId="038DD717" w14:textId="2C6E57B4" w:rsidR="00D05B72" w:rsidRDefault="00D05B72" w:rsidP="00D05B72">
      <w:pPr>
        <w:ind w:firstLine="567"/>
        <w:jc w:val="both"/>
        <w:rPr>
          <w:rFonts w:asciiTheme="minorHAnsi" w:hAnsiTheme="minorHAnsi" w:cstheme="minorHAnsi"/>
          <w:bCs/>
          <w:sz w:val="22"/>
          <w:szCs w:val="22"/>
        </w:rPr>
      </w:pPr>
      <w:r w:rsidRPr="003D03FD">
        <w:rPr>
          <w:rFonts w:asciiTheme="minorHAnsi" w:hAnsiTheme="minorHAnsi" w:cstheme="minorHAnsi"/>
          <w:bCs/>
          <w:sz w:val="22"/>
          <w:szCs w:val="22"/>
        </w:rPr>
        <w:t>Aplinkos ministerija su</w:t>
      </w:r>
      <w:r w:rsidRPr="005841C7">
        <w:rPr>
          <w:rFonts w:asciiTheme="minorHAnsi" w:hAnsiTheme="minorHAnsi" w:cstheme="minorHAnsi"/>
          <w:bCs/>
          <w:sz w:val="22"/>
          <w:szCs w:val="22"/>
        </w:rPr>
        <w:t xml:space="preserve"> </w:t>
      </w:r>
      <w:r w:rsidRPr="003D03FD">
        <w:rPr>
          <w:rFonts w:asciiTheme="minorHAnsi" w:hAnsiTheme="minorHAnsi" w:cstheme="minorHAnsi"/>
          <w:bCs/>
          <w:sz w:val="22"/>
          <w:szCs w:val="22"/>
        </w:rPr>
        <w:t xml:space="preserve">elektros ir elektroninės įrangos atliekų tvarkymu susijusį teisinį reguliavimą yra nustačiusi ne tik Atliekų tvarkymo taisyklėse. Reikalavimai, susiję su savivaldybės organizuojamą komunalinių atliekų tvarkymo sistemą papildančių atliekų surinkimo sistemos diegimu, t. y. naujų priėmimo vietų steigimu, yra įtvirtinti </w:t>
      </w:r>
      <w:r w:rsidRPr="00B64F6E">
        <w:rPr>
          <w:rFonts w:asciiTheme="minorHAnsi" w:hAnsiTheme="minorHAnsi" w:cstheme="minorHAnsi"/>
          <w:bCs/>
          <w:sz w:val="22"/>
          <w:szCs w:val="22"/>
        </w:rPr>
        <w:t>Lietuvos Respublikos aplinkos ministro 2006 m. gegužės 16 d. įsakymu Nr. D1-232 patvirtintos</w:t>
      </w:r>
      <w:r>
        <w:rPr>
          <w:rFonts w:asciiTheme="minorHAnsi" w:hAnsiTheme="minorHAnsi" w:cstheme="minorHAnsi"/>
          <w:bCs/>
          <w:sz w:val="22"/>
          <w:szCs w:val="22"/>
        </w:rPr>
        <w:t>e</w:t>
      </w:r>
      <w:r w:rsidRPr="00B64F6E">
        <w:rPr>
          <w:rFonts w:asciiTheme="minorHAnsi" w:hAnsiTheme="minorHAnsi" w:cstheme="minorHAnsi"/>
          <w:bCs/>
          <w:sz w:val="22"/>
          <w:szCs w:val="22"/>
        </w:rPr>
        <w:t xml:space="preserve"> Savivaldybės organizuojamą komunalinių atliekų tvarkymo sistemą papildančių atliekų surinkimo sistemų diegimo sąlygų derinimo su savivaldybėmis taisyklės</w:t>
      </w:r>
      <w:r>
        <w:rPr>
          <w:rFonts w:asciiTheme="minorHAnsi" w:hAnsiTheme="minorHAnsi" w:cstheme="minorHAnsi"/>
          <w:bCs/>
          <w:sz w:val="22"/>
          <w:szCs w:val="22"/>
        </w:rPr>
        <w:t>e</w:t>
      </w:r>
      <w:r w:rsidR="00AB7A45">
        <w:rPr>
          <w:rFonts w:asciiTheme="minorHAnsi" w:hAnsiTheme="minorHAnsi" w:cstheme="minorHAnsi"/>
          <w:bCs/>
          <w:sz w:val="22"/>
          <w:szCs w:val="22"/>
        </w:rPr>
        <w:t xml:space="preserve"> </w:t>
      </w:r>
      <w:r w:rsidR="00397E7E">
        <w:rPr>
          <w:rFonts w:asciiTheme="minorHAnsi" w:hAnsiTheme="minorHAnsi" w:cstheme="minorHAnsi"/>
          <w:bCs/>
          <w:sz w:val="22"/>
          <w:szCs w:val="22"/>
        </w:rPr>
        <w:t xml:space="preserve">(toliau – </w:t>
      </w:r>
      <w:r w:rsidRPr="00B64F6E">
        <w:rPr>
          <w:rFonts w:asciiTheme="minorHAnsi" w:hAnsiTheme="minorHAnsi" w:cstheme="minorHAnsi"/>
          <w:bCs/>
          <w:sz w:val="22"/>
          <w:szCs w:val="22"/>
        </w:rPr>
        <w:t>Derinimo taisyklės)</w:t>
      </w:r>
      <w:r w:rsidRPr="003D03FD">
        <w:rPr>
          <w:rFonts w:asciiTheme="minorHAnsi" w:hAnsiTheme="minorHAnsi" w:cstheme="minorHAnsi"/>
          <w:bCs/>
          <w:sz w:val="22"/>
          <w:szCs w:val="22"/>
        </w:rPr>
        <w:t xml:space="preserve">, kurios galioja nuo 2006 m. gegužės 21 d. </w:t>
      </w:r>
      <w:r w:rsidRPr="00B64F6E">
        <w:rPr>
          <w:rFonts w:asciiTheme="minorHAnsi" w:hAnsiTheme="minorHAnsi" w:cstheme="minorHAnsi"/>
          <w:bCs/>
          <w:sz w:val="22"/>
          <w:szCs w:val="22"/>
        </w:rPr>
        <w:t xml:space="preserve">Derinimo </w:t>
      </w:r>
      <w:r w:rsidRPr="003D03FD">
        <w:rPr>
          <w:rFonts w:asciiTheme="minorHAnsi" w:hAnsiTheme="minorHAnsi" w:cstheme="minorHAnsi"/>
          <w:bCs/>
          <w:sz w:val="22"/>
          <w:szCs w:val="22"/>
        </w:rPr>
        <w:t xml:space="preserve">taisyklėse visada buvo nustatytas reikalavimas papildančias atliekų surinkimo sistemas diegti tik šių taisyklių nustatyta tvarka suderinus papildančių atliekų surinkimo sistemų diegimo sąlygas ir sudarius dėl to sutartį su savivaldybe (Derinimo taisyklių 4 p.). Taigi </w:t>
      </w:r>
      <w:r w:rsidRPr="00B64F6E">
        <w:rPr>
          <w:rFonts w:asciiTheme="minorHAnsi" w:hAnsiTheme="minorHAnsi" w:cstheme="minorHAnsi"/>
          <w:bCs/>
          <w:sz w:val="22"/>
          <w:szCs w:val="22"/>
          <w:u w:val="single"/>
        </w:rPr>
        <w:t>reikalavimas naujų priėmimo vietų steigimą derinti su savivaldybe, kurios teritorijoje tokios vietos yra steigiamos, nėra naujas ir pareiškėjas privalėjo jo laikytis steigdamas priėmimo vietas tiek 2015</w:t>
      </w:r>
      <w:r>
        <w:rPr>
          <w:rFonts w:asciiTheme="minorHAnsi" w:hAnsiTheme="minorHAnsi" w:cstheme="minorHAnsi"/>
          <w:bCs/>
          <w:sz w:val="22"/>
          <w:szCs w:val="22"/>
          <w:u w:val="single"/>
        </w:rPr>
        <w:t xml:space="preserve"> metais</w:t>
      </w:r>
      <w:r w:rsidRPr="00B64F6E">
        <w:rPr>
          <w:rFonts w:asciiTheme="minorHAnsi" w:hAnsiTheme="minorHAnsi" w:cstheme="minorHAnsi"/>
          <w:bCs/>
          <w:sz w:val="22"/>
          <w:szCs w:val="22"/>
          <w:u w:val="single"/>
        </w:rPr>
        <w:t>, tiek ankstesniais metais</w:t>
      </w:r>
      <w:r>
        <w:rPr>
          <w:rFonts w:asciiTheme="minorHAnsi" w:hAnsiTheme="minorHAnsi" w:cstheme="minorHAnsi"/>
          <w:bCs/>
          <w:sz w:val="22"/>
          <w:szCs w:val="22"/>
        </w:rPr>
        <w:t>.</w:t>
      </w:r>
    </w:p>
    <w:p w14:paraId="7381354A" w14:textId="77777777" w:rsidR="00D05B72" w:rsidRDefault="00D05B72" w:rsidP="00D05B7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Atsižvelgusi į tai, kad </w:t>
      </w:r>
      <w:r w:rsidRPr="003D03FD">
        <w:rPr>
          <w:rFonts w:asciiTheme="minorHAnsi" w:hAnsiTheme="minorHAnsi" w:cstheme="minorHAnsi"/>
          <w:bCs/>
          <w:sz w:val="22"/>
          <w:szCs w:val="22"/>
        </w:rPr>
        <w:t>byloje n</w:t>
      </w:r>
      <w:r>
        <w:rPr>
          <w:rFonts w:asciiTheme="minorHAnsi" w:hAnsiTheme="minorHAnsi" w:cstheme="minorHAnsi"/>
          <w:bCs/>
          <w:sz w:val="22"/>
          <w:szCs w:val="22"/>
        </w:rPr>
        <w:t>ebuvo g</w:t>
      </w:r>
      <w:r w:rsidRPr="003D03FD">
        <w:rPr>
          <w:rFonts w:asciiTheme="minorHAnsi" w:hAnsiTheme="minorHAnsi" w:cstheme="minorHAnsi"/>
          <w:bCs/>
          <w:sz w:val="22"/>
          <w:szCs w:val="22"/>
        </w:rPr>
        <w:t xml:space="preserve">inčo dėl to, jog </w:t>
      </w:r>
      <w:r>
        <w:rPr>
          <w:rFonts w:asciiTheme="minorHAnsi" w:hAnsiTheme="minorHAnsi" w:cstheme="minorHAnsi"/>
          <w:bCs/>
          <w:sz w:val="22"/>
          <w:szCs w:val="22"/>
        </w:rPr>
        <w:t xml:space="preserve">dalies </w:t>
      </w:r>
      <w:r w:rsidRPr="003D03FD">
        <w:rPr>
          <w:rFonts w:asciiTheme="minorHAnsi" w:hAnsiTheme="minorHAnsi" w:cstheme="minorHAnsi"/>
          <w:bCs/>
          <w:sz w:val="22"/>
          <w:szCs w:val="22"/>
        </w:rPr>
        <w:t>priėmimo vietų įsteigimas nebuvo suderintas su savivaldybėmis, kurių teritorijoje šios priėmimo vietos buvo įsteigtos (Derinimo taisyklių nustatyta tvarka nepasirašytos sutartys su savivaldybėmis), teisėjų kolegija konstat</w:t>
      </w:r>
      <w:r>
        <w:rPr>
          <w:rFonts w:asciiTheme="minorHAnsi" w:hAnsiTheme="minorHAnsi" w:cstheme="minorHAnsi"/>
          <w:bCs/>
          <w:sz w:val="22"/>
          <w:szCs w:val="22"/>
        </w:rPr>
        <w:t>avo</w:t>
      </w:r>
      <w:r w:rsidRPr="003D03FD">
        <w:rPr>
          <w:rFonts w:asciiTheme="minorHAnsi" w:hAnsiTheme="minorHAnsi" w:cstheme="minorHAnsi"/>
          <w:bCs/>
          <w:sz w:val="22"/>
          <w:szCs w:val="22"/>
        </w:rPr>
        <w:t xml:space="preserve">, </w:t>
      </w:r>
      <w:r>
        <w:rPr>
          <w:rFonts w:asciiTheme="minorHAnsi" w:hAnsiTheme="minorHAnsi" w:cstheme="minorHAnsi"/>
          <w:bCs/>
          <w:sz w:val="22"/>
          <w:szCs w:val="22"/>
        </w:rPr>
        <w:t>jog</w:t>
      </w:r>
      <w:r w:rsidRPr="003D03FD">
        <w:rPr>
          <w:rFonts w:asciiTheme="minorHAnsi" w:hAnsiTheme="minorHAnsi" w:cstheme="minorHAnsi"/>
          <w:bCs/>
          <w:sz w:val="22"/>
          <w:szCs w:val="22"/>
        </w:rPr>
        <w:t xml:space="preserve"> Agentūra pagrįstai nustatė, jog </w:t>
      </w:r>
      <w:r>
        <w:rPr>
          <w:rFonts w:asciiTheme="minorHAnsi" w:hAnsiTheme="minorHAnsi" w:cstheme="minorHAnsi"/>
          <w:bCs/>
          <w:sz w:val="22"/>
          <w:szCs w:val="22"/>
        </w:rPr>
        <w:t>šios</w:t>
      </w:r>
      <w:r w:rsidRPr="003D03FD">
        <w:rPr>
          <w:rFonts w:asciiTheme="minorHAnsi" w:hAnsiTheme="minorHAnsi" w:cstheme="minorHAnsi"/>
          <w:bCs/>
          <w:sz w:val="22"/>
          <w:szCs w:val="22"/>
        </w:rPr>
        <w:t xml:space="preserve"> priėmimo vietos negali būti laikomos tinkamomis elektros ir elektroninės įrangos atliekų tvarkymo antrosios užduoties vykdymo varianto prasme.</w:t>
      </w:r>
    </w:p>
    <w:p w14:paraId="3EE650F8" w14:textId="77777777" w:rsidR="00D05B72" w:rsidRDefault="00D05B72" w:rsidP="00D05B72">
      <w:pPr>
        <w:ind w:firstLine="567"/>
        <w:jc w:val="both"/>
        <w:rPr>
          <w:rFonts w:asciiTheme="minorHAnsi" w:hAnsiTheme="minorHAnsi" w:cstheme="minorHAnsi"/>
          <w:bCs/>
          <w:sz w:val="22"/>
          <w:szCs w:val="22"/>
        </w:rPr>
      </w:pPr>
      <w:r w:rsidRPr="00612FB5">
        <w:rPr>
          <w:rFonts w:asciiTheme="minorHAnsi" w:hAnsiTheme="minorHAnsi" w:cstheme="minorHAnsi"/>
          <w:bCs/>
          <w:iCs/>
          <w:sz w:val="22"/>
          <w:szCs w:val="22"/>
        </w:rPr>
        <w:t>Pasisakydama dėl galimybės įvykdyti Agentūros Sprendimą</w:t>
      </w:r>
      <w:r>
        <w:rPr>
          <w:rFonts w:asciiTheme="minorHAnsi" w:hAnsiTheme="minorHAnsi" w:cstheme="minorHAnsi"/>
          <w:bCs/>
          <w:iCs/>
          <w:sz w:val="22"/>
          <w:szCs w:val="22"/>
        </w:rPr>
        <w:t>,</w:t>
      </w:r>
      <w:r w:rsidRPr="00612FB5">
        <w:rPr>
          <w:rFonts w:asciiTheme="minorHAnsi" w:hAnsiTheme="minorHAnsi" w:cstheme="minorHAnsi"/>
          <w:bCs/>
          <w:iCs/>
          <w:sz w:val="22"/>
          <w:szCs w:val="22"/>
        </w:rPr>
        <w:t xml:space="preserve"> </w:t>
      </w:r>
      <w:r>
        <w:rPr>
          <w:rFonts w:asciiTheme="minorHAnsi" w:hAnsiTheme="minorHAnsi" w:cstheme="minorHAnsi"/>
          <w:bCs/>
          <w:iCs/>
          <w:sz w:val="22"/>
          <w:szCs w:val="22"/>
        </w:rPr>
        <w:t>t</w:t>
      </w:r>
      <w:r w:rsidRPr="00612FB5">
        <w:rPr>
          <w:rFonts w:asciiTheme="minorHAnsi" w:hAnsiTheme="minorHAnsi" w:cstheme="minorHAnsi"/>
          <w:bCs/>
          <w:sz w:val="22"/>
          <w:szCs w:val="22"/>
        </w:rPr>
        <w:t xml:space="preserve">eisėjų kolegija </w:t>
      </w:r>
      <w:r>
        <w:rPr>
          <w:rFonts w:asciiTheme="minorHAnsi" w:hAnsiTheme="minorHAnsi" w:cstheme="minorHAnsi"/>
          <w:bCs/>
          <w:sz w:val="22"/>
          <w:szCs w:val="22"/>
        </w:rPr>
        <w:t xml:space="preserve">pažymėjo, jog </w:t>
      </w:r>
      <w:r w:rsidRPr="00FE426B">
        <w:rPr>
          <w:rFonts w:asciiTheme="minorHAnsi" w:hAnsiTheme="minorHAnsi" w:cstheme="minorHAnsi"/>
          <w:bCs/>
          <w:sz w:val="22"/>
          <w:szCs w:val="22"/>
          <w:u w:val="single"/>
        </w:rPr>
        <w:t>pareiškėjas yra atsakingas už Lietuvos Respublikos vidaus rinkai verslo tikslais tiektos elektros ir elektroninės įrangos naudojimo susidariusių atliekų kiekių tvarkymo organizavimą, jis privalo vykdyti Vyriausybės nustatytas gaminių ar pakuočių atliekų tvarkymo užduotis, o teisės aktai nenustato atvejų, kuomet tokios užduotys gali būti nevykdomos</w:t>
      </w:r>
      <w:r w:rsidRPr="003D03FD">
        <w:rPr>
          <w:rFonts w:asciiTheme="minorHAnsi" w:hAnsiTheme="minorHAnsi" w:cstheme="minorHAnsi"/>
          <w:bCs/>
          <w:sz w:val="22"/>
          <w:szCs w:val="22"/>
        </w:rPr>
        <w:t>, dėl ko pareiškėjo procesiniuose dokumentuose nurodytos aplinkybės, jog nei vienas atliekų tvarkytojas nepateikė pasiūlymų sutvarkyti atliekas, nėra reikšmingos, be to, nepatvirtina jo teiginių, kad iš jo buvo reikalauta neįmanomo (įvykdyti atliekų tvarkymo užduotį). Todėl šie pareiškėjo argumentai atmesti kaip nepagrįsti.</w:t>
      </w:r>
    </w:p>
    <w:p w14:paraId="24BD01F4" w14:textId="77777777" w:rsidR="00D05B72" w:rsidRDefault="00D05B72" w:rsidP="00D05B7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teismo sprendimas pakeistas, </w:t>
      </w:r>
      <w:r w:rsidRPr="00612FB5">
        <w:rPr>
          <w:rFonts w:asciiTheme="minorHAnsi" w:hAnsiTheme="minorHAnsi" w:cstheme="minorHAnsi"/>
          <w:bCs/>
          <w:sz w:val="22"/>
          <w:szCs w:val="22"/>
        </w:rPr>
        <w:t>iš</w:t>
      </w:r>
      <w:r w:rsidRPr="005841C7">
        <w:rPr>
          <w:rFonts w:asciiTheme="minorHAnsi" w:hAnsiTheme="minorHAnsi" w:cstheme="minorHAnsi"/>
          <w:bCs/>
          <w:sz w:val="22"/>
          <w:szCs w:val="22"/>
        </w:rPr>
        <w:t xml:space="preserve"> </w:t>
      </w:r>
      <w:r>
        <w:rPr>
          <w:rFonts w:asciiTheme="minorHAnsi" w:hAnsiTheme="minorHAnsi" w:cstheme="minorHAnsi"/>
          <w:bCs/>
          <w:sz w:val="22"/>
          <w:szCs w:val="22"/>
        </w:rPr>
        <w:t>j</w:t>
      </w:r>
      <w:r w:rsidRPr="00612FB5">
        <w:rPr>
          <w:rFonts w:asciiTheme="minorHAnsi" w:hAnsiTheme="minorHAnsi" w:cstheme="minorHAnsi"/>
          <w:bCs/>
          <w:sz w:val="22"/>
          <w:szCs w:val="22"/>
        </w:rPr>
        <w:t xml:space="preserve">o motyvuojamosios dalies </w:t>
      </w:r>
      <w:r>
        <w:rPr>
          <w:rFonts w:asciiTheme="minorHAnsi" w:hAnsiTheme="minorHAnsi" w:cstheme="minorHAnsi"/>
          <w:bCs/>
          <w:sz w:val="22"/>
          <w:szCs w:val="22"/>
        </w:rPr>
        <w:t>pa</w:t>
      </w:r>
      <w:r w:rsidRPr="00612FB5">
        <w:rPr>
          <w:rFonts w:asciiTheme="minorHAnsi" w:hAnsiTheme="minorHAnsi" w:cstheme="minorHAnsi"/>
          <w:bCs/>
          <w:sz w:val="22"/>
          <w:szCs w:val="22"/>
        </w:rPr>
        <w:t>šalina</w:t>
      </w:r>
      <w:r>
        <w:rPr>
          <w:rFonts w:asciiTheme="minorHAnsi" w:hAnsiTheme="minorHAnsi" w:cstheme="minorHAnsi"/>
          <w:bCs/>
          <w:sz w:val="22"/>
          <w:szCs w:val="22"/>
        </w:rPr>
        <w:t>nt</w:t>
      </w:r>
      <w:r w:rsidRPr="00612FB5">
        <w:rPr>
          <w:rFonts w:asciiTheme="minorHAnsi" w:hAnsiTheme="minorHAnsi" w:cstheme="minorHAnsi"/>
          <w:bCs/>
          <w:sz w:val="22"/>
          <w:szCs w:val="22"/>
        </w:rPr>
        <w:t xml:space="preserve"> išvad</w:t>
      </w:r>
      <w:r>
        <w:rPr>
          <w:rFonts w:asciiTheme="minorHAnsi" w:hAnsiTheme="minorHAnsi" w:cstheme="minorHAnsi"/>
          <w:bCs/>
          <w:sz w:val="22"/>
          <w:szCs w:val="22"/>
        </w:rPr>
        <w:t>a</w:t>
      </w:r>
      <w:r w:rsidRPr="00612FB5">
        <w:rPr>
          <w:rFonts w:asciiTheme="minorHAnsi" w:hAnsiTheme="minorHAnsi" w:cstheme="minorHAnsi"/>
          <w:bCs/>
          <w:sz w:val="22"/>
          <w:szCs w:val="22"/>
        </w:rPr>
        <w:t xml:space="preserve">s, kad </w:t>
      </w:r>
      <w:r>
        <w:rPr>
          <w:rFonts w:asciiTheme="minorHAnsi" w:hAnsiTheme="minorHAnsi" w:cstheme="minorHAnsi"/>
          <w:bCs/>
          <w:sz w:val="22"/>
          <w:szCs w:val="22"/>
        </w:rPr>
        <w:t xml:space="preserve">pareiškėjas </w:t>
      </w:r>
      <w:r w:rsidRPr="00612FB5">
        <w:rPr>
          <w:rFonts w:asciiTheme="minorHAnsi" w:hAnsiTheme="minorHAnsi" w:cstheme="minorHAnsi"/>
          <w:bCs/>
          <w:sz w:val="22"/>
          <w:szCs w:val="22"/>
        </w:rPr>
        <w:t xml:space="preserve">regioninėje spaudoje netinkamai paskelbė apie </w:t>
      </w:r>
      <w:r>
        <w:rPr>
          <w:rFonts w:asciiTheme="minorHAnsi" w:hAnsiTheme="minorHAnsi" w:cstheme="minorHAnsi"/>
          <w:bCs/>
          <w:sz w:val="22"/>
          <w:szCs w:val="22"/>
        </w:rPr>
        <w:t xml:space="preserve">atitinkamas </w:t>
      </w:r>
      <w:r w:rsidRPr="00612FB5">
        <w:rPr>
          <w:rFonts w:asciiTheme="minorHAnsi" w:hAnsiTheme="minorHAnsi" w:cstheme="minorHAnsi"/>
          <w:bCs/>
          <w:sz w:val="22"/>
          <w:szCs w:val="22"/>
        </w:rPr>
        <w:t>Agentūros nurodytas elektros ir elektroninės įrangos priėmimo vietas, taip pat</w:t>
      </w:r>
      <w:r>
        <w:rPr>
          <w:rFonts w:asciiTheme="minorHAnsi" w:hAnsiTheme="minorHAnsi" w:cstheme="minorHAnsi"/>
          <w:bCs/>
          <w:sz w:val="22"/>
          <w:szCs w:val="22"/>
        </w:rPr>
        <w:t>,</w:t>
      </w:r>
      <w:r w:rsidRPr="00612FB5">
        <w:rPr>
          <w:rFonts w:asciiTheme="minorHAnsi" w:hAnsiTheme="minorHAnsi" w:cstheme="minorHAnsi"/>
          <w:bCs/>
          <w:sz w:val="22"/>
          <w:szCs w:val="22"/>
        </w:rPr>
        <w:t xml:space="preserve"> kad </w:t>
      </w:r>
      <w:r>
        <w:rPr>
          <w:rFonts w:asciiTheme="minorHAnsi" w:hAnsiTheme="minorHAnsi" w:cstheme="minorHAnsi"/>
          <w:bCs/>
          <w:sz w:val="22"/>
          <w:szCs w:val="22"/>
        </w:rPr>
        <w:t>pareiškėjas</w:t>
      </w:r>
      <w:r w:rsidRPr="00612FB5">
        <w:rPr>
          <w:rFonts w:asciiTheme="minorHAnsi" w:hAnsiTheme="minorHAnsi" w:cstheme="minorHAnsi"/>
          <w:bCs/>
          <w:sz w:val="22"/>
          <w:szCs w:val="22"/>
        </w:rPr>
        <w:t xml:space="preserve"> neįvykdė kokybinės užduoties pagal Lietuvos Respublikos Vyriausybės 2006 m. sausio 19 d. nutarimu Nr. 61 patvirtintame Mažiausio elektros ir elektroninės </w:t>
      </w:r>
      <w:r w:rsidRPr="00612FB5">
        <w:rPr>
          <w:rFonts w:asciiTheme="minorHAnsi" w:hAnsiTheme="minorHAnsi" w:cstheme="minorHAnsi"/>
          <w:bCs/>
          <w:sz w:val="22"/>
          <w:szCs w:val="22"/>
        </w:rPr>
        <w:lastRenderedPageBreak/>
        <w:t>įrangos atliekų kiekio, kurį turi sutvarkyti elektros ir elektroninės įrangos gamintojai ir importuotojai, apraše (2014 m. gruodžio 15 d. nutarimo Nr. 1416 redakcija,</w:t>
      </w:r>
      <w:r>
        <w:rPr>
          <w:rFonts w:asciiTheme="minorHAnsi" w:hAnsiTheme="minorHAnsi" w:cstheme="minorHAnsi"/>
          <w:bCs/>
          <w:sz w:val="22"/>
          <w:szCs w:val="22"/>
        </w:rPr>
        <w:t xml:space="preserve"> galiojusi nuo 2015 m. sausio 1 </w:t>
      </w:r>
      <w:r w:rsidRPr="00612FB5">
        <w:rPr>
          <w:rFonts w:asciiTheme="minorHAnsi" w:hAnsiTheme="minorHAnsi" w:cstheme="minorHAnsi"/>
          <w:bCs/>
          <w:sz w:val="22"/>
          <w:szCs w:val="22"/>
        </w:rPr>
        <w:t>d. iki 2016 m. sausio 30 d.) nustatytą antrąjį užduoties vykdymo variantą.</w:t>
      </w:r>
    </w:p>
    <w:p w14:paraId="0200A88A" w14:textId="77777777" w:rsidR="00D05B72" w:rsidRPr="00367110" w:rsidRDefault="00D05B72" w:rsidP="00D05B72">
      <w:pPr>
        <w:ind w:firstLine="567"/>
        <w:jc w:val="both"/>
        <w:rPr>
          <w:rFonts w:asciiTheme="minorHAnsi" w:hAnsiTheme="minorHAnsi" w:cstheme="minorHAnsi"/>
          <w:bCs/>
          <w:sz w:val="22"/>
          <w:szCs w:val="22"/>
        </w:rPr>
      </w:pPr>
    </w:p>
    <w:p w14:paraId="6E4E60C4"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2019 m. birželio 21 d. nutartis administracinėje byloje Nr. </w:t>
      </w:r>
      <w:r w:rsidRPr="00367110">
        <w:rPr>
          <w:rFonts w:asciiTheme="minorHAnsi" w:hAnsiTheme="minorHAnsi" w:cstheme="minorHAnsi"/>
          <w:sz w:val="22"/>
          <w:szCs w:val="22"/>
          <w:lang w:eastAsia="en-US"/>
        </w:rPr>
        <w:t>eA-4233-822/2019</w:t>
      </w:r>
    </w:p>
    <w:p w14:paraId="4FE3269B"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Teisminio proceso Nr. </w:t>
      </w:r>
      <w:r w:rsidRPr="00367110">
        <w:rPr>
          <w:rFonts w:asciiTheme="minorHAnsi" w:hAnsiTheme="minorHAnsi" w:cstheme="minorHAnsi"/>
          <w:bCs/>
          <w:sz w:val="22"/>
          <w:szCs w:val="22"/>
          <w:lang w:eastAsia="en-US"/>
        </w:rPr>
        <w:t>3-61-3-03827-2016-2</w:t>
      </w:r>
    </w:p>
    <w:p w14:paraId="584CEC56"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Procesinio sprendimo </w:t>
      </w:r>
      <w:r w:rsidRPr="00367110">
        <w:rPr>
          <w:rFonts w:asciiTheme="minorHAnsi" w:hAnsiTheme="minorHAnsi" w:cstheme="minorHAnsi"/>
          <w:sz w:val="22"/>
          <w:szCs w:val="22"/>
          <w:lang w:eastAsia="en-US"/>
        </w:rPr>
        <w:t>kategorijos: 14.6; 57.2.1</w:t>
      </w:r>
    </w:p>
    <w:p w14:paraId="1A138BE4" w14:textId="77777777" w:rsidR="00D05B72" w:rsidRPr="00367110" w:rsidRDefault="00E31BD2" w:rsidP="00D05B72">
      <w:pPr>
        <w:rPr>
          <w:rFonts w:asciiTheme="minorHAnsi" w:hAnsiTheme="minorHAnsi" w:cstheme="minorHAnsi"/>
          <w:sz w:val="22"/>
          <w:szCs w:val="22"/>
          <w:u w:val="single"/>
        </w:rPr>
      </w:pPr>
      <w:hyperlink r:id="rId15" w:history="1">
        <w:r w:rsidR="00D05B72" w:rsidRPr="00137FCF">
          <w:rPr>
            <w:rStyle w:val="Hipersaitas"/>
            <w:rFonts w:asciiTheme="minorHAnsi" w:hAnsiTheme="minorHAnsi" w:cstheme="minorHAnsi"/>
            <w:sz w:val="22"/>
            <w:szCs w:val="22"/>
          </w:rPr>
          <w:t>Prieiga internete</w:t>
        </w:r>
      </w:hyperlink>
    </w:p>
    <w:p w14:paraId="712D6674" w14:textId="77777777" w:rsidR="00D05B72" w:rsidRDefault="00D05B72" w:rsidP="00D05B72">
      <w:pPr>
        <w:rPr>
          <w:rFonts w:asciiTheme="minorHAnsi" w:hAnsiTheme="minorHAnsi" w:cstheme="minorHAnsi"/>
        </w:rPr>
      </w:pPr>
    </w:p>
    <w:p w14:paraId="50887407" w14:textId="77777777" w:rsidR="001E15E7" w:rsidRDefault="001E15E7" w:rsidP="001E15E7">
      <w:pPr>
        <w:pStyle w:val="Apzvalgai1"/>
        <w:rPr>
          <w:rFonts w:asciiTheme="minorHAnsi" w:hAnsiTheme="minorHAnsi" w:cstheme="minorHAnsi"/>
        </w:rPr>
      </w:pPr>
      <w:bookmarkStart w:id="36" w:name="_Toc14784014"/>
      <w:r>
        <w:rPr>
          <w:rFonts w:asciiTheme="minorHAnsi" w:hAnsiTheme="minorHAnsi" w:cstheme="minorHAnsi"/>
        </w:rPr>
        <w:t>20</w:t>
      </w:r>
      <w:r w:rsidRPr="00B542A0">
        <w:rPr>
          <w:rFonts w:asciiTheme="minorHAnsi" w:hAnsiTheme="minorHAnsi" w:cstheme="minorHAnsi"/>
        </w:rPr>
        <w:t xml:space="preserve">. </w:t>
      </w:r>
      <w:r w:rsidRPr="00D12809">
        <w:rPr>
          <w:rFonts w:asciiTheme="minorHAnsi" w:hAnsiTheme="minorHAnsi" w:cstheme="minorHAnsi"/>
        </w:rPr>
        <w:t>Civilinė atsakomybė už žalą, atsiradusią dėl valdžios institucijų neteisėtų veiksmų</w:t>
      </w:r>
      <w:bookmarkEnd w:id="36"/>
    </w:p>
    <w:p w14:paraId="1DD807E9" w14:textId="77777777" w:rsidR="001E15E7" w:rsidRPr="005B3F69" w:rsidRDefault="001E15E7" w:rsidP="001E15E7">
      <w:pPr>
        <w:ind w:firstLine="567"/>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 Civilinės atsakomybės sąlygos</w:t>
      </w:r>
    </w:p>
    <w:p w14:paraId="03B4478C" w14:textId="77777777" w:rsidR="001E15E7" w:rsidRPr="005B3F69" w:rsidRDefault="001E15E7" w:rsidP="001E15E7">
      <w:pPr>
        <w:ind w:firstLine="1134"/>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20.2.3. Žala</w:t>
      </w:r>
    </w:p>
    <w:p w14:paraId="3629676E" w14:textId="77777777" w:rsidR="001E15E7" w:rsidRPr="005B3F69" w:rsidRDefault="001E15E7" w:rsidP="001E15E7">
      <w:pPr>
        <w:ind w:firstLine="1701"/>
        <w:rPr>
          <w:rFonts w:asciiTheme="minorHAnsi" w:hAnsiTheme="minorHAnsi" w:cstheme="minorHAnsi"/>
          <w:b/>
          <w:bCs/>
          <w:sz w:val="22"/>
          <w:szCs w:val="22"/>
          <w:u w:val="single"/>
        </w:rPr>
      </w:pPr>
      <w:r w:rsidRPr="005B3F69">
        <w:rPr>
          <w:rFonts w:asciiTheme="minorHAnsi" w:hAnsiTheme="minorHAnsi" w:cstheme="minorHAnsi"/>
          <w:b/>
          <w:bCs/>
          <w:sz w:val="22"/>
          <w:szCs w:val="22"/>
          <w:u w:val="single"/>
        </w:rPr>
        <w:t>20.2.3.2. Neturtinė žala</w:t>
      </w:r>
    </w:p>
    <w:p w14:paraId="6D71A8D2" w14:textId="77777777" w:rsidR="001E15E7" w:rsidRPr="00B542A0" w:rsidRDefault="001E15E7" w:rsidP="001E15E7">
      <w:pPr>
        <w:pStyle w:val="Apzvalgai1"/>
        <w:outlineLvl w:val="9"/>
        <w:rPr>
          <w:rFonts w:asciiTheme="minorHAnsi" w:hAnsiTheme="minorHAnsi" w:cstheme="minorHAnsi"/>
          <w:b w:val="0"/>
        </w:rPr>
      </w:pPr>
    </w:p>
    <w:p w14:paraId="3C667388" w14:textId="77777777" w:rsidR="001E15E7" w:rsidRPr="00B542A0" w:rsidRDefault="001E15E7" w:rsidP="001E15E7">
      <w:pPr>
        <w:pStyle w:val="taltipfb"/>
        <w:shd w:val="clear" w:color="auto" w:fill="FFFFFF"/>
        <w:spacing w:before="0" w:beforeAutospacing="0" w:after="0" w:afterAutospacing="0"/>
        <w:jc w:val="both"/>
        <w:outlineLvl w:val="1"/>
      </w:pPr>
      <w:bookmarkStart w:id="37" w:name="_Toc14784015"/>
      <w:r w:rsidRPr="00B542A0">
        <w:rPr>
          <w:rFonts w:asciiTheme="minorHAnsi" w:hAnsiTheme="minorHAnsi" w:cstheme="minorHAnsi"/>
          <w:i/>
          <w:sz w:val="22"/>
          <w:szCs w:val="22"/>
        </w:rPr>
        <w:t xml:space="preserve">Dėl </w:t>
      </w:r>
      <w:r>
        <w:rPr>
          <w:rFonts w:asciiTheme="minorHAnsi" w:hAnsiTheme="minorHAnsi" w:cstheme="minorHAnsi"/>
          <w:i/>
          <w:sz w:val="22"/>
          <w:szCs w:val="22"/>
        </w:rPr>
        <w:t>vaikų socializacijos centro kaip netinkamo atsakovo Civilinio kodekso 6.271 straipsnio prasme</w:t>
      </w:r>
      <w:bookmarkEnd w:id="37"/>
    </w:p>
    <w:p w14:paraId="416AE9F8" w14:textId="77777777" w:rsidR="001E15E7" w:rsidRPr="00B542A0" w:rsidRDefault="001E15E7" w:rsidP="001E15E7">
      <w:pPr>
        <w:jc w:val="both"/>
        <w:rPr>
          <w:rFonts w:asciiTheme="minorHAnsi" w:hAnsiTheme="minorHAnsi" w:cstheme="minorHAnsi"/>
          <w:i/>
          <w:sz w:val="22"/>
          <w:szCs w:val="22"/>
          <w:highlight w:val="yellow"/>
        </w:rPr>
      </w:pPr>
    </w:p>
    <w:p w14:paraId="3D9EA676" w14:textId="78AD0677" w:rsidR="001E15E7" w:rsidRPr="00B542A0" w:rsidRDefault="001E15E7" w:rsidP="001E15E7">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Pr>
          <w:rFonts w:asciiTheme="minorHAnsi" w:hAnsiTheme="minorHAnsi" w:cstheme="minorHAnsi"/>
          <w:sz w:val="22"/>
          <w:szCs w:val="22"/>
          <w:lang w:val="lt-LT"/>
        </w:rPr>
        <w:t xml:space="preserve">Pareiškėjas kreipėsi į teismą su skundu, prašydamas </w:t>
      </w:r>
      <w:r w:rsidRPr="009D55EC">
        <w:rPr>
          <w:rFonts w:asciiTheme="minorHAnsi" w:hAnsiTheme="minorHAnsi" w:cstheme="minorHAnsi"/>
          <w:sz w:val="22"/>
          <w:szCs w:val="22"/>
          <w:lang w:val="lt-LT"/>
        </w:rPr>
        <w:t>priteisti iš atsakovo Lietuvos valstybės, atstovaujamo Vėliučionių vaikų socializacijos centro</w:t>
      </w:r>
      <w:r>
        <w:rPr>
          <w:rFonts w:asciiTheme="minorHAnsi" w:hAnsiTheme="minorHAnsi" w:cstheme="minorHAnsi"/>
          <w:sz w:val="22"/>
          <w:szCs w:val="22"/>
          <w:lang w:val="lt-LT"/>
        </w:rPr>
        <w:t xml:space="preserve"> (toliau – Centras)</w:t>
      </w:r>
      <w:r w:rsidRPr="009D55EC">
        <w:rPr>
          <w:rFonts w:asciiTheme="minorHAnsi" w:hAnsiTheme="minorHAnsi" w:cstheme="minorHAnsi"/>
          <w:sz w:val="22"/>
          <w:szCs w:val="22"/>
          <w:lang w:val="lt-LT"/>
        </w:rPr>
        <w:t>, 2 500 Eur neturtinės žalos atlyginimą</w:t>
      </w:r>
      <w:r>
        <w:rPr>
          <w:rFonts w:asciiTheme="minorHAnsi" w:hAnsiTheme="minorHAnsi" w:cstheme="minorHAnsi"/>
          <w:sz w:val="22"/>
          <w:szCs w:val="22"/>
          <w:lang w:val="lt-LT"/>
        </w:rPr>
        <w:t xml:space="preserve">, </w:t>
      </w:r>
      <w:r w:rsidRPr="009D55EC">
        <w:rPr>
          <w:rFonts w:asciiTheme="minorHAnsi" w:hAnsiTheme="minorHAnsi" w:cstheme="minorHAnsi"/>
          <w:sz w:val="22"/>
          <w:szCs w:val="22"/>
          <w:lang w:val="lt-LT"/>
        </w:rPr>
        <w:t xml:space="preserve">kurią pareiškėjas kildino iš neteisėtų </w:t>
      </w:r>
      <w:r>
        <w:rPr>
          <w:rFonts w:asciiTheme="minorHAnsi" w:hAnsiTheme="minorHAnsi" w:cstheme="minorHAnsi"/>
          <w:sz w:val="22"/>
          <w:szCs w:val="22"/>
          <w:lang w:val="lt-LT"/>
        </w:rPr>
        <w:t>C</w:t>
      </w:r>
      <w:r w:rsidRPr="009D55EC">
        <w:rPr>
          <w:rFonts w:asciiTheme="minorHAnsi" w:hAnsiTheme="minorHAnsi" w:cstheme="minorHAnsi"/>
          <w:sz w:val="22"/>
          <w:szCs w:val="22"/>
          <w:lang w:val="lt-LT"/>
        </w:rPr>
        <w:t>entro veiksmų, kuriais Centras uždraudė Centre gyvenančiam pareiškėjo draugui</w:t>
      </w:r>
      <w:r>
        <w:rPr>
          <w:rFonts w:asciiTheme="minorHAnsi" w:hAnsiTheme="minorHAnsi" w:cstheme="minorHAnsi"/>
          <w:sz w:val="22"/>
          <w:szCs w:val="22"/>
          <w:lang w:val="lt-LT"/>
        </w:rPr>
        <w:t xml:space="preserve"> G. B.</w:t>
      </w:r>
      <w:r w:rsidRPr="009D55EC">
        <w:rPr>
          <w:rFonts w:asciiTheme="minorHAnsi" w:hAnsiTheme="minorHAnsi" w:cstheme="minorHAnsi"/>
          <w:sz w:val="22"/>
          <w:szCs w:val="22"/>
          <w:lang w:val="lt-LT"/>
        </w:rPr>
        <w:t xml:space="preserve"> bendrauti su pareiškėju laiškais. Pareiškėjas teigia, kad jį su G. B. siejo socialiniai ryšiai, o netekęs bendravimo galimybės pareiškėjas patyrė neigiamų išgyvenimų.</w:t>
      </w:r>
      <w:r>
        <w:rPr>
          <w:rFonts w:asciiTheme="minorHAnsi" w:hAnsiTheme="minorHAnsi" w:cstheme="minorHAnsi"/>
          <w:sz w:val="22"/>
          <w:szCs w:val="22"/>
          <w:lang w:val="lt-LT"/>
        </w:rPr>
        <w:t xml:space="preserve"> </w:t>
      </w:r>
      <w:r w:rsidRPr="009D55EC">
        <w:rPr>
          <w:rFonts w:asciiTheme="minorHAnsi" w:hAnsiTheme="minorHAnsi" w:cstheme="minorHAnsi"/>
          <w:sz w:val="22"/>
          <w:szCs w:val="22"/>
          <w:lang w:val="lt-LT"/>
        </w:rPr>
        <w:t xml:space="preserve">Centras nurodė, kad </w:t>
      </w:r>
      <w:r>
        <w:rPr>
          <w:rFonts w:asciiTheme="minorHAnsi" w:hAnsiTheme="minorHAnsi" w:cstheme="minorHAnsi"/>
          <w:sz w:val="22"/>
          <w:szCs w:val="22"/>
          <w:lang w:val="lt-LT"/>
        </w:rPr>
        <w:t xml:space="preserve">Centre gyvenusiam G. B. </w:t>
      </w:r>
      <w:r w:rsidRPr="009D55EC">
        <w:rPr>
          <w:rFonts w:asciiTheme="minorHAnsi" w:hAnsiTheme="minorHAnsi" w:cstheme="minorHAnsi"/>
          <w:sz w:val="22"/>
          <w:szCs w:val="22"/>
          <w:lang w:val="lt-LT"/>
        </w:rPr>
        <w:t xml:space="preserve">buvo uždrausta bendrauti su pareiškėju, nes buvo siekiama teigiamų </w:t>
      </w:r>
      <w:r>
        <w:rPr>
          <w:rFonts w:asciiTheme="minorHAnsi" w:hAnsiTheme="minorHAnsi" w:cstheme="minorHAnsi"/>
          <w:sz w:val="22"/>
          <w:szCs w:val="22"/>
          <w:lang w:val="lt-LT"/>
        </w:rPr>
        <w:t>G. B.</w:t>
      </w:r>
      <w:r w:rsidRPr="009D55EC">
        <w:rPr>
          <w:rFonts w:asciiTheme="minorHAnsi" w:hAnsiTheme="minorHAnsi" w:cstheme="minorHAnsi"/>
          <w:sz w:val="22"/>
          <w:szCs w:val="22"/>
          <w:lang w:val="lt-LT"/>
        </w:rPr>
        <w:t xml:space="preserve"> elgesio pokyčių ir tinkamų vertybinių nuostatų bei socialinių įgūdžių ugdymo.</w:t>
      </w:r>
      <w:r>
        <w:rPr>
          <w:rFonts w:asciiTheme="minorHAnsi" w:hAnsiTheme="minorHAnsi" w:cstheme="minorHAnsi"/>
          <w:sz w:val="22"/>
          <w:szCs w:val="22"/>
          <w:lang w:val="lt-LT"/>
        </w:rPr>
        <w:t xml:space="preserve"> Pirmosios instancijos teismas pareiškėjo skundą atmetė.</w:t>
      </w:r>
    </w:p>
    <w:p w14:paraId="0A64CEC4" w14:textId="77777777" w:rsidR="001E15E7" w:rsidRDefault="001E15E7" w:rsidP="001E15E7">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B542A0">
        <w:rPr>
          <w:rFonts w:asciiTheme="minorHAnsi" w:hAnsiTheme="minorHAnsi" w:cstheme="minorHAnsi"/>
          <w:sz w:val="22"/>
          <w:szCs w:val="22"/>
          <w:lang w:val="lt-LT"/>
        </w:rPr>
        <w:t>Teisėjų kolegij</w:t>
      </w:r>
      <w:r>
        <w:rPr>
          <w:rFonts w:asciiTheme="minorHAnsi" w:hAnsiTheme="minorHAnsi" w:cstheme="minorHAnsi"/>
          <w:sz w:val="22"/>
          <w:szCs w:val="22"/>
          <w:lang w:val="lt-LT"/>
        </w:rPr>
        <w:t xml:space="preserve">a pažymėjo, kad CK 6.271 straipsnyje esantis terminas „valdžios institucija“ </w:t>
      </w:r>
      <w:r w:rsidRPr="00D551D6">
        <w:rPr>
          <w:rFonts w:asciiTheme="minorHAnsi" w:hAnsiTheme="minorHAnsi" w:cstheme="minorHAnsi"/>
          <w:sz w:val="22"/>
          <w:szCs w:val="22"/>
          <w:lang w:val="lt-LT"/>
        </w:rPr>
        <w:t>reiškia bet kokį viešosios teisės subjektą (valstybės ar savivaldybės instituciją, pareigūną, valstybės tarnautoją ar kitokį šių institucijų darbuotoją ir t. t.), taip pat privatų asmenį, atliekantį valdžios funkcijas</w:t>
      </w:r>
      <w:r>
        <w:rPr>
          <w:rFonts w:asciiTheme="minorHAnsi" w:hAnsiTheme="minorHAnsi" w:cstheme="minorHAnsi"/>
          <w:sz w:val="22"/>
          <w:szCs w:val="22"/>
          <w:lang w:val="lt-LT"/>
        </w:rPr>
        <w:t xml:space="preserve">; taip pat, kad </w:t>
      </w:r>
      <w:r w:rsidRPr="00D551D6">
        <w:rPr>
          <w:rFonts w:asciiTheme="minorHAnsi" w:hAnsiTheme="minorHAnsi" w:cstheme="minorHAnsi"/>
          <w:sz w:val="22"/>
          <w:szCs w:val="22"/>
          <w:lang w:val="lt-LT"/>
        </w:rPr>
        <w:t>administraciniai teismai sprendžia bylas dėl žalos, atsiradusios dėl viešojo administravimo subjektų neteisėtų veiksmų, atlyginimo</w:t>
      </w:r>
      <w:r>
        <w:rPr>
          <w:rFonts w:asciiTheme="minorHAnsi" w:hAnsiTheme="minorHAnsi" w:cstheme="minorHAnsi"/>
          <w:sz w:val="22"/>
          <w:szCs w:val="22"/>
          <w:lang w:val="lt-LT"/>
        </w:rPr>
        <w:t xml:space="preserve">. </w:t>
      </w:r>
      <w:r w:rsidRPr="00D551D6">
        <w:rPr>
          <w:rFonts w:asciiTheme="minorHAnsi" w:hAnsiTheme="minorHAnsi" w:cstheme="minorHAnsi"/>
          <w:sz w:val="22"/>
          <w:szCs w:val="22"/>
          <w:lang w:val="lt-LT"/>
        </w:rPr>
        <w:t xml:space="preserve">Vėliučionių vaikų socializacijos </w:t>
      </w:r>
      <w:r w:rsidRPr="00EB310D">
        <w:rPr>
          <w:rFonts w:asciiTheme="minorHAnsi" w:hAnsiTheme="minorHAnsi" w:cstheme="minorHAnsi"/>
          <w:sz w:val="22"/>
          <w:szCs w:val="22"/>
          <w:u w:val="single"/>
          <w:lang w:val="lt-LT"/>
        </w:rPr>
        <w:t>centras yra biudžetinė įstaiga, kurios savininkė yra valstybė, tačiau be šių požymių, tam, kad biudžetinė įstaiga būtų pripažįstama viešojo administravimo subjektu, būtina, jog ji Viešojo administravimo įstatymo nustatyta tvarka būtų įgaliota atlikti viešąjį administravimą</w:t>
      </w:r>
      <w:r>
        <w:rPr>
          <w:rFonts w:asciiTheme="minorHAnsi" w:hAnsiTheme="minorHAnsi" w:cstheme="minorHAnsi"/>
          <w:sz w:val="22"/>
          <w:szCs w:val="22"/>
          <w:lang w:val="lt-LT"/>
        </w:rPr>
        <w:t>.</w:t>
      </w:r>
    </w:p>
    <w:p w14:paraId="585CFD22" w14:textId="5008E494" w:rsidR="001E15E7" w:rsidRDefault="001E15E7" w:rsidP="001E15E7">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D551D6">
        <w:rPr>
          <w:rFonts w:asciiTheme="minorHAnsi" w:hAnsiTheme="minorHAnsi" w:cstheme="minorHAnsi"/>
          <w:sz w:val="22"/>
          <w:szCs w:val="22"/>
          <w:lang w:val="lt-LT"/>
        </w:rPr>
        <w:t>Nagrinė</w:t>
      </w:r>
      <w:r>
        <w:rPr>
          <w:rFonts w:asciiTheme="minorHAnsi" w:hAnsiTheme="minorHAnsi" w:cstheme="minorHAnsi"/>
          <w:sz w:val="22"/>
          <w:szCs w:val="22"/>
          <w:lang w:val="lt-LT"/>
        </w:rPr>
        <w:t>toj</w:t>
      </w:r>
      <w:r w:rsidRPr="00D551D6">
        <w:rPr>
          <w:rFonts w:asciiTheme="minorHAnsi" w:hAnsiTheme="minorHAnsi" w:cstheme="minorHAnsi"/>
          <w:sz w:val="22"/>
          <w:szCs w:val="22"/>
          <w:lang w:val="lt-LT"/>
        </w:rPr>
        <w:t xml:space="preserve">e byloje </w:t>
      </w:r>
      <w:r w:rsidRPr="00EB310D">
        <w:rPr>
          <w:rFonts w:asciiTheme="minorHAnsi" w:hAnsiTheme="minorHAnsi" w:cstheme="minorHAnsi"/>
          <w:sz w:val="22"/>
          <w:szCs w:val="22"/>
          <w:u w:val="single"/>
          <w:lang w:val="lt-LT"/>
        </w:rPr>
        <w:t>nebuvo nustatyta, kad Centro veikla yra priskirtina Vi</w:t>
      </w:r>
      <w:r>
        <w:rPr>
          <w:rFonts w:asciiTheme="minorHAnsi" w:hAnsiTheme="minorHAnsi" w:cstheme="minorHAnsi"/>
          <w:sz w:val="22"/>
          <w:szCs w:val="22"/>
          <w:u w:val="single"/>
          <w:lang w:val="lt-LT"/>
        </w:rPr>
        <w:t>ešojo administravimo įstatymo 2 </w:t>
      </w:r>
      <w:r w:rsidRPr="00EB310D">
        <w:rPr>
          <w:rFonts w:asciiTheme="minorHAnsi" w:hAnsiTheme="minorHAnsi" w:cstheme="minorHAnsi"/>
          <w:sz w:val="22"/>
          <w:szCs w:val="22"/>
          <w:u w:val="single"/>
          <w:lang w:val="lt-LT"/>
        </w:rPr>
        <w:t xml:space="preserve">straipsnio 1 dalyje numatytoms [veikloms]. Nors, atsižvelgiant į </w:t>
      </w:r>
      <w:r>
        <w:rPr>
          <w:rFonts w:asciiTheme="minorHAnsi" w:hAnsiTheme="minorHAnsi" w:cstheme="minorHAnsi"/>
          <w:sz w:val="22"/>
          <w:szCs w:val="22"/>
          <w:u w:val="single"/>
          <w:lang w:val="lt-LT"/>
        </w:rPr>
        <w:t>V</w:t>
      </w:r>
      <w:r w:rsidRPr="001E15E7">
        <w:rPr>
          <w:rFonts w:asciiTheme="minorHAnsi" w:hAnsiTheme="minorHAnsi" w:cstheme="minorHAnsi"/>
          <w:sz w:val="22"/>
          <w:szCs w:val="22"/>
          <w:u w:val="single"/>
          <w:lang w:val="lt-LT"/>
        </w:rPr>
        <w:t xml:space="preserve">aiko minimalios ir vidutinės priežiūros </w:t>
      </w:r>
      <w:r w:rsidRPr="00EB310D">
        <w:rPr>
          <w:rFonts w:asciiTheme="minorHAnsi" w:hAnsiTheme="minorHAnsi" w:cstheme="minorHAnsi"/>
          <w:sz w:val="22"/>
          <w:szCs w:val="22"/>
          <w:u w:val="single"/>
          <w:lang w:val="lt-LT"/>
        </w:rPr>
        <w:t>įstatymo ir kitų teisės aktų, kuriais, vykdydama savo veiklą, vadovaujasi tokios paskirties įstaiga, nuostatas, vaikų socializacijos centras teismų praktikoje apibūdinamas kaip speciali auklėjimo ir drausmės įstaiga</w:t>
      </w:r>
      <w:r w:rsidRPr="00D551D6">
        <w:rPr>
          <w:rFonts w:asciiTheme="minorHAnsi" w:hAnsiTheme="minorHAnsi" w:cstheme="minorHAnsi"/>
          <w:sz w:val="22"/>
          <w:szCs w:val="22"/>
          <w:lang w:val="lt-LT"/>
        </w:rPr>
        <w:t xml:space="preserve"> (žr., pvz., </w:t>
      </w:r>
      <w:r>
        <w:rPr>
          <w:rFonts w:asciiTheme="minorHAnsi" w:hAnsiTheme="minorHAnsi" w:cstheme="minorHAnsi"/>
          <w:sz w:val="22"/>
          <w:szCs w:val="22"/>
          <w:lang w:val="lt-LT"/>
        </w:rPr>
        <w:t>LAT</w:t>
      </w:r>
      <w:r w:rsidRPr="00D551D6">
        <w:rPr>
          <w:rFonts w:asciiTheme="minorHAnsi" w:hAnsiTheme="minorHAnsi" w:cstheme="minorHAnsi"/>
          <w:sz w:val="22"/>
          <w:szCs w:val="22"/>
          <w:lang w:val="lt-LT"/>
        </w:rPr>
        <w:t xml:space="preserve"> 2019 m. balandžio 24 d. nutarties civilinėje byloje Nr. 3K-3-20-403/2019 35 p.), </w:t>
      </w:r>
      <w:r w:rsidRPr="00EB310D">
        <w:rPr>
          <w:rFonts w:asciiTheme="minorHAnsi" w:hAnsiTheme="minorHAnsi" w:cstheme="minorHAnsi"/>
          <w:sz w:val="22"/>
          <w:szCs w:val="22"/>
          <w:u w:val="single"/>
          <w:lang w:val="lt-LT"/>
        </w:rPr>
        <w:t>visgi tokia įstaigos veikla nėra priskiriama viešojo administravimo subjektams, dėl kurių veiklos padarytą žalą atlygina valstybė.</w:t>
      </w:r>
      <w:r w:rsidRPr="00D551D6">
        <w:rPr>
          <w:rFonts w:asciiTheme="minorHAnsi" w:hAnsiTheme="minorHAnsi" w:cstheme="minorHAnsi"/>
          <w:sz w:val="22"/>
          <w:szCs w:val="22"/>
          <w:lang w:val="lt-LT"/>
        </w:rPr>
        <w:t xml:space="preserve"> Pagal Vėliučionių vaikų socializacijos centro nuostatus, patvirtintus Lietuvos Respublikos švietimo ir mokslo ministro įsakymu, Centro tipas – pagrindinė mokykla, pagrindinė paskirtis – pagrindinės mokyklos tipo vaikų socializacijos centras. Centras vykdo pagrindinio ugdymo programos (antrąją dalį) 16–17 metų mokiniams, kuriems teisės aktų nustatyta tvarka paskirta vidutinės priežiūros priemonė.</w:t>
      </w:r>
    </w:p>
    <w:p w14:paraId="0267E995" w14:textId="77777777" w:rsidR="001E15E7" w:rsidRPr="00B542A0" w:rsidRDefault="001E15E7" w:rsidP="001E15E7">
      <w:pPr>
        <w:pStyle w:val="prastasiniatinklio"/>
        <w:shd w:val="clear" w:color="auto" w:fill="FFFFFF"/>
        <w:spacing w:before="0" w:beforeAutospacing="0" w:after="0" w:afterAutospacing="0"/>
        <w:ind w:firstLine="567"/>
        <w:jc w:val="both"/>
        <w:rPr>
          <w:rFonts w:asciiTheme="minorHAnsi" w:hAnsiTheme="minorHAnsi" w:cstheme="minorHAnsi"/>
          <w:sz w:val="22"/>
          <w:szCs w:val="22"/>
          <w:lang w:val="lt-LT"/>
        </w:rPr>
      </w:pPr>
      <w:r w:rsidRPr="00D551D6">
        <w:rPr>
          <w:rFonts w:asciiTheme="minorHAnsi" w:hAnsiTheme="minorHAnsi" w:cstheme="minorHAnsi"/>
          <w:sz w:val="22"/>
          <w:szCs w:val="22"/>
          <w:lang w:val="lt-LT"/>
        </w:rPr>
        <w:t xml:space="preserve">Atsižvelgdama į šias aplinkybes, teisėjų kolegija </w:t>
      </w:r>
      <w:r>
        <w:rPr>
          <w:rFonts w:asciiTheme="minorHAnsi" w:hAnsiTheme="minorHAnsi" w:cstheme="minorHAnsi"/>
          <w:sz w:val="22"/>
          <w:szCs w:val="22"/>
          <w:lang w:val="lt-LT"/>
        </w:rPr>
        <w:t>nusprendė</w:t>
      </w:r>
      <w:r w:rsidRPr="00D551D6">
        <w:rPr>
          <w:rFonts w:asciiTheme="minorHAnsi" w:hAnsiTheme="minorHAnsi" w:cstheme="minorHAnsi"/>
          <w:sz w:val="22"/>
          <w:szCs w:val="22"/>
          <w:lang w:val="lt-LT"/>
        </w:rPr>
        <w:t xml:space="preserve">, kad Vėliučionių vaikų socializacijos centras nėra viešojo administravimo subjektas </w:t>
      </w:r>
      <w:r>
        <w:rPr>
          <w:rFonts w:asciiTheme="minorHAnsi" w:hAnsiTheme="minorHAnsi" w:cstheme="minorHAnsi"/>
          <w:sz w:val="22"/>
          <w:szCs w:val="22"/>
          <w:lang w:val="lt-LT"/>
        </w:rPr>
        <w:t>CK</w:t>
      </w:r>
      <w:r w:rsidRPr="00D551D6">
        <w:rPr>
          <w:rFonts w:asciiTheme="minorHAnsi" w:hAnsiTheme="minorHAnsi" w:cstheme="minorHAnsi"/>
          <w:sz w:val="22"/>
          <w:szCs w:val="22"/>
          <w:lang w:val="lt-LT"/>
        </w:rPr>
        <w:t xml:space="preserve"> 6.271 straipsnio prasme, todėl vien dėl šios priežasties valstybei nekyla pareiga atlyginti Centro, kaip teigiama, neteisėta veika padarytą žalą.</w:t>
      </w:r>
    </w:p>
    <w:p w14:paraId="19913E5C" w14:textId="77777777" w:rsidR="001E15E7" w:rsidRPr="00B542A0" w:rsidRDefault="001E15E7" w:rsidP="001E15E7">
      <w:pPr>
        <w:ind w:firstLine="567"/>
        <w:jc w:val="both"/>
        <w:rPr>
          <w:rFonts w:asciiTheme="minorHAnsi" w:hAnsiTheme="minorHAnsi" w:cstheme="minorHAnsi"/>
          <w:sz w:val="22"/>
          <w:szCs w:val="22"/>
        </w:rPr>
      </w:pPr>
    </w:p>
    <w:p w14:paraId="7412097D" w14:textId="77777777" w:rsidR="001E15E7" w:rsidRPr="00B542A0" w:rsidRDefault="001E15E7" w:rsidP="001E15E7">
      <w:pPr>
        <w:jc w:val="both"/>
        <w:rPr>
          <w:rFonts w:asciiTheme="minorHAnsi" w:hAnsiTheme="minorHAnsi" w:cstheme="minorHAnsi"/>
          <w:sz w:val="22"/>
          <w:szCs w:val="22"/>
        </w:rPr>
      </w:pPr>
      <w:r w:rsidRPr="00B542A0">
        <w:rPr>
          <w:rFonts w:asciiTheme="minorHAnsi" w:hAnsiTheme="minorHAnsi" w:cstheme="minorHAnsi"/>
          <w:sz w:val="22"/>
          <w:szCs w:val="22"/>
        </w:rPr>
        <w:t xml:space="preserve">2019 m. </w:t>
      </w:r>
      <w:r>
        <w:rPr>
          <w:rFonts w:asciiTheme="minorHAnsi" w:hAnsiTheme="minorHAnsi" w:cstheme="minorHAnsi"/>
          <w:sz w:val="22"/>
          <w:szCs w:val="22"/>
        </w:rPr>
        <w:t>birželio 5</w:t>
      </w:r>
      <w:r w:rsidRPr="00B542A0">
        <w:rPr>
          <w:rFonts w:asciiTheme="minorHAnsi" w:hAnsiTheme="minorHAnsi" w:cstheme="minorHAnsi"/>
          <w:sz w:val="22"/>
          <w:szCs w:val="22"/>
        </w:rPr>
        <w:t xml:space="preserve"> d. nutartis administracinėje byloje Nr. </w:t>
      </w:r>
      <w:r w:rsidRPr="00A663AB">
        <w:rPr>
          <w:rFonts w:asciiTheme="minorHAnsi" w:hAnsiTheme="minorHAnsi" w:cstheme="minorHAnsi"/>
          <w:sz w:val="22"/>
          <w:szCs w:val="22"/>
        </w:rPr>
        <w:t>A-1764-624/2019</w:t>
      </w:r>
    </w:p>
    <w:p w14:paraId="7302F7D8" w14:textId="77777777" w:rsidR="001E15E7" w:rsidRPr="00B542A0" w:rsidRDefault="001E15E7" w:rsidP="001E15E7">
      <w:pPr>
        <w:rPr>
          <w:rFonts w:asciiTheme="minorHAnsi" w:hAnsiTheme="minorHAnsi" w:cstheme="minorHAnsi"/>
          <w:sz w:val="22"/>
          <w:szCs w:val="22"/>
        </w:rPr>
      </w:pPr>
      <w:r w:rsidRPr="00B542A0">
        <w:rPr>
          <w:rFonts w:asciiTheme="minorHAnsi" w:hAnsiTheme="minorHAnsi" w:cstheme="minorHAnsi"/>
          <w:sz w:val="22"/>
          <w:szCs w:val="22"/>
        </w:rPr>
        <w:t xml:space="preserve">Teisminio proceso Nr. </w:t>
      </w:r>
      <w:r w:rsidRPr="00A663AB">
        <w:rPr>
          <w:rFonts w:asciiTheme="minorHAnsi" w:hAnsiTheme="minorHAnsi" w:cstheme="minorHAnsi"/>
          <w:sz w:val="22"/>
          <w:szCs w:val="22"/>
        </w:rPr>
        <w:t>3-61-3-00054-2018-3</w:t>
      </w:r>
    </w:p>
    <w:p w14:paraId="53EB07FD" w14:textId="00BD8727" w:rsidR="001E15E7" w:rsidRPr="00B542A0" w:rsidRDefault="001E15E7" w:rsidP="001E15E7">
      <w:pPr>
        <w:jc w:val="both"/>
        <w:rPr>
          <w:rFonts w:asciiTheme="minorHAnsi" w:hAnsiTheme="minorHAnsi" w:cstheme="minorHAnsi"/>
          <w:sz w:val="22"/>
          <w:szCs w:val="22"/>
        </w:rPr>
      </w:pPr>
      <w:r w:rsidRPr="00B542A0">
        <w:rPr>
          <w:rFonts w:asciiTheme="minorHAnsi" w:hAnsiTheme="minorHAnsi" w:cstheme="minorHAnsi"/>
          <w:sz w:val="22"/>
          <w:szCs w:val="22"/>
        </w:rPr>
        <w:t xml:space="preserve">Procesinio sprendimo kategorija </w:t>
      </w:r>
      <w:r>
        <w:rPr>
          <w:rFonts w:asciiTheme="minorHAnsi" w:hAnsiTheme="minorHAnsi" w:cstheme="minorHAnsi"/>
          <w:sz w:val="22"/>
          <w:szCs w:val="22"/>
        </w:rPr>
        <w:t>20.2.3.2</w:t>
      </w:r>
    </w:p>
    <w:p w14:paraId="7A9E4BC0" w14:textId="77777777" w:rsidR="001E15E7" w:rsidRDefault="00E31BD2" w:rsidP="001E15E7">
      <w:pPr>
        <w:jc w:val="both"/>
      </w:pPr>
      <w:hyperlink r:id="rId16" w:history="1">
        <w:r w:rsidR="001E15E7" w:rsidRPr="00B542A0">
          <w:rPr>
            <w:rStyle w:val="Hipersaitas"/>
            <w:rFonts w:asciiTheme="minorHAnsi" w:hAnsiTheme="minorHAnsi" w:cstheme="minorHAnsi"/>
            <w:sz w:val="22"/>
            <w:szCs w:val="22"/>
          </w:rPr>
          <w:t>Prieiga internete</w:t>
        </w:r>
      </w:hyperlink>
    </w:p>
    <w:p w14:paraId="25CCF299" w14:textId="77777777" w:rsidR="001E15E7" w:rsidRDefault="001E15E7" w:rsidP="001E15E7">
      <w:pPr>
        <w:jc w:val="both"/>
        <w:rPr>
          <w:rStyle w:val="Hipersaitas"/>
          <w:rFonts w:asciiTheme="minorHAnsi" w:hAnsiTheme="minorHAnsi" w:cstheme="minorHAnsi"/>
          <w:sz w:val="22"/>
          <w:szCs w:val="22"/>
        </w:rPr>
      </w:pPr>
    </w:p>
    <w:p w14:paraId="47DB91AE" w14:textId="77777777" w:rsidR="00F10509" w:rsidRPr="00F10509" w:rsidRDefault="00F10509" w:rsidP="00F10509">
      <w:pPr>
        <w:pStyle w:val="Antrat1"/>
        <w:rPr>
          <w:rFonts w:ascii="Calibri" w:hAnsi="Calibri"/>
        </w:rPr>
      </w:pPr>
      <w:bookmarkStart w:id="38" w:name="_Toc774930"/>
      <w:bookmarkStart w:id="39" w:name="_Toc14784016"/>
      <w:r w:rsidRPr="00F10509">
        <w:rPr>
          <w:rFonts w:ascii="Calibri" w:hAnsi="Calibri"/>
        </w:rPr>
        <w:t>22. Kiti su valstybės tarnyba</w:t>
      </w:r>
      <w:r w:rsidRPr="00F10509" w:rsidDel="00E3531F">
        <w:rPr>
          <w:rFonts w:ascii="Calibri" w:hAnsi="Calibri"/>
        </w:rPr>
        <w:t xml:space="preserve"> </w:t>
      </w:r>
      <w:r w:rsidRPr="00F10509">
        <w:rPr>
          <w:rFonts w:ascii="Calibri" w:hAnsi="Calibri"/>
        </w:rPr>
        <w:t>susiję klausimai</w:t>
      </w:r>
      <w:bookmarkEnd w:id="38"/>
      <w:bookmarkEnd w:id="39"/>
    </w:p>
    <w:p w14:paraId="4D708DD6" w14:textId="77777777" w:rsidR="00F10509" w:rsidRPr="00F10509" w:rsidRDefault="00F10509" w:rsidP="00F10509">
      <w:pPr>
        <w:ind w:firstLine="567"/>
        <w:jc w:val="both"/>
        <w:rPr>
          <w:rFonts w:ascii="Calibri" w:hAnsi="Calibri"/>
          <w:b/>
          <w:sz w:val="22"/>
          <w:szCs w:val="22"/>
          <w:u w:val="single"/>
        </w:rPr>
      </w:pPr>
      <w:r w:rsidRPr="00F10509">
        <w:rPr>
          <w:rFonts w:ascii="Calibri" w:hAnsi="Calibri"/>
          <w:b/>
          <w:sz w:val="22"/>
          <w:szCs w:val="22"/>
          <w:u w:val="single"/>
        </w:rPr>
        <w:t>22.2. Valstybės tarnautojų tarnybinės veiklos vertinimas</w:t>
      </w:r>
    </w:p>
    <w:p w14:paraId="71FE2B79" w14:textId="77777777" w:rsidR="00F10509" w:rsidRPr="00F10509" w:rsidRDefault="00F10509" w:rsidP="00F10509">
      <w:pPr>
        <w:jc w:val="both"/>
        <w:rPr>
          <w:rFonts w:ascii="Calibri" w:hAnsi="Calibri"/>
          <w:sz w:val="22"/>
          <w:szCs w:val="22"/>
        </w:rPr>
      </w:pPr>
    </w:p>
    <w:p w14:paraId="3ED6ADE7" w14:textId="77777777" w:rsidR="00F10509" w:rsidRPr="00F10509" w:rsidRDefault="00F10509" w:rsidP="00C16FFA">
      <w:pPr>
        <w:pStyle w:val="Antrat2"/>
      </w:pPr>
      <w:bookmarkStart w:id="40" w:name="_Toc14784017"/>
      <w:r w:rsidRPr="00F10509">
        <w:t>Dėl pareigūno vertinimo „labai gerai“ po to, kai jam buvo skirta nuobauda</w:t>
      </w:r>
      <w:bookmarkEnd w:id="40"/>
      <w:r w:rsidRPr="00F10509">
        <w:t xml:space="preserve"> </w:t>
      </w:r>
    </w:p>
    <w:p w14:paraId="4CDA54F4" w14:textId="77777777" w:rsidR="00F10509" w:rsidRPr="00F10509" w:rsidRDefault="00F10509" w:rsidP="00F10509">
      <w:pPr>
        <w:jc w:val="both"/>
        <w:rPr>
          <w:rFonts w:ascii="Calibri" w:hAnsi="Calibri"/>
          <w:sz w:val="22"/>
          <w:szCs w:val="22"/>
        </w:rPr>
      </w:pPr>
    </w:p>
    <w:p w14:paraId="6EF9ECE7" w14:textId="05601998"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lastRenderedPageBreak/>
        <w:tab/>
        <w:t>Nagrinėtoje byloje pareiškėjas skundu kreipėsi į teismą, prašydamas panaikinti Vilniaus</w:t>
      </w:r>
      <w:r>
        <w:rPr>
          <w:rFonts w:ascii="Calibri" w:eastAsia="Calibri" w:hAnsi="Calibri"/>
          <w:iCs/>
          <w:sz w:val="22"/>
          <w:szCs w:val="22"/>
          <w:lang w:eastAsia="en-US"/>
        </w:rPr>
        <w:t xml:space="preserve"> apskrities vyriausiojo policijos komisariato (toliau –</w:t>
      </w:r>
      <w:r w:rsidRPr="00F10509">
        <w:rPr>
          <w:rFonts w:ascii="Calibri" w:eastAsia="Calibri" w:hAnsi="Calibri"/>
          <w:iCs/>
          <w:sz w:val="22"/>
          <w:szCs w:val="22"/>
          <w:lang w:eastAsia="en-US"/>
        </w:rPr>
        <w:t xml:space="preserve"> AVPK</w:t>
      </w:r>
      <w:r>
        <w:rPr>
          <w:rFonts w:ascii="Calibri" w:eastAsia="Calibri" w:hAnsi="Calibri"/>
          <w:iCs/>
          <w:sz w:val="22"/>
          <w:szCs w:val="22"/>
          <w:lang w:eastAsia="en-US"/>
        </w:rPr>
        <w:t>)</w:t>
      </w:r>
      <w:r w:rsidRPr="00F10509">
        <w:rPr>
          <w:rFonts w:ascii="Calibri" w:eastAsia="Calibri" w:hAnsi="Calibri"/>
          <w:iCs/>
          <w:sz w:val="22"/>
          <w:szCs w:val="22"/>
          <w:lang w:eastAsia="en-US"/>
        </w:rPr>
        <w:t xml:space="preserve"> viršininko sprendimą pareiškėjo tarnybinę veiklą už 2016 metus vertinti „gerai“, rezoliucija išdėstytą Pareigūnų tarnybinės veiklos</w:t>
      </w:r>
      <w:r>
        <w:rPr>
          <w:rFonts w:ascii="Calibri" w:eastAsia="Calibri" w:hAnsi="Calibri"/>
          <w:iCs/>
          <w:sz w:val="22"/>
          <w:szCs w:val="22"/>
          <w:lang w:eastAsia="en-US"/>
        </w:rPr>
        <w:t xml:space="preserve"> vertinimo komisijos (toliau – </w:t>
      </w:r>
      <w:r w:rsidRPr="00F10509">
        <w:rPr>
          <w:rFonts w:ascii="Calibri" w:eastAsia="Calibri" w:hAnsi="Calibri"/>
          <w:iCs/>
          <w:sz w:val="22"/>
          <w:szCs w:val="22"/>
          <w:lang w:eastAsia="en-US"/>
        </w:rPr>
        <w:t>Vertinimo komisija, Komisija) išvadoje</w:t>
      </w:r>
      <w:r>
        <w:rPr>
          <w:rFonts w:ascii="Calibri" w:eastAsia="Calibri" w:hAnsi="Calibri"/>
          <w:iCs/>
          <w:sz w:val="22"/>
          <w:szCs w:val="22"/>
          <w:lang w:eastAsia="en-US"/>
        </w:rPr>
        <w:t>,</w:t>
      </w:r>
      <w:r w:rsidRPr="00F10509">
        <w:rPr>
          <w:rFonts w:ascii="Calibri" w:eastAsia="Calibri" w:hAnsi="Calibri"/>
          <w:iCs/>
          <w:sz w:val="22"/>
          <w:szCs w:val="22"/>
          <w:lang w:eastAsia="en-US"/>
        </w:rPr>
        <w:t xml:space="preserve"> bei įpareigoti Vilniaus AVPK viršininką priimti sprendimą pareiškėjo tarnybinę veiklą už 2016 metus vertinti „labai gerai“, nustatant pareiškėjui nuosekliai didesnę pareiginę algą. Byloje nustatyta, kad Vertinimo komisija pareiškėjo veiklą už 2016 metus įvertino „labai gerai“ ir pateikė siūlymą Vilniaus AVPK viršininkui pritarti tiesioginio vadovo įvertinimui pareiškėjo tarnybinę veiklą už 2016 metus įvertinti „labai gerai“ ir nustatyti pareiškėjui nuosekliai didesnę pareiginę algą pagal Vidaus tarnybos statuto priede pareigybei nustatytus pareiginės algos koeficientus. Nepaisant to, Vilniaus AVPK viršininkas ginčijamu sprendimu nepritarė Vertinimo komisijos siūlymui, nes pareiškėjas 2016 metais buvo baustas drausmine tvarka. </w:t>
      </w:r>
      <w:r w:rsidRPr="00F10509">
        <w:rPr>
          <w:rFonts w:ascii="Calibri" w:eastAsia="Calibri" w:hAnsi="Calibri"/>
          <w:sz w:val="22"/>
          <w:szCs w:val="22"/>
          <w:lang w:eastAsia="en-US"/>
        </w:rPr>
        <w:t xml:space="preserve">Pirmosios instancijos teismas pareiškėjo skundą tenkino iš dalies, t. y. panaikino ginčijamą sprendimą ir įpareigojo Vilniaus AVPK viršininką priimti sprendimą dėl Vertinimo komisijos išvadoje pateikto pasiūlymo įgyvendinimo. </w:t>
      </w:r>
    </w:p>
    <w:p w14:paraId="05025913" w14:textId="0FA773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LVAT, įvertinęs byloje nustatytas aplinkybes, atsakovo akcentuotą pareiškėjui paskirtą tarnybinę nuobaudą bei atsižvelgęs į Lietuvos Respublikos vidaus reikalų ministro 2016 m. sausio 11 d. įsakymu Nr. 1V-13 patvirtintų Vidaus tarnybos sistemos pareigūnų tarnybos orga</w:t>
      </w:r>
      <w:r>
        <w:rPr>
          <w:rFonts w:ascii="Calibri" w:eastAsia="Calibri" w:hAnsi="Calibri"/>
          <w:iCs/>
          <w:sz w:val="22"/>
          <w:szCs w:val="22"/>
          <w:lang w:eastAsia="en-US"/>
        </w:rPr>
        <w:t xml:space="preserve">nizavimo taisyklių (toliau – </w:t>
      </w:r>
      <w:r w:rsidRPr="00F10509">
        <w:rPr>
          <w:rFonts w:ascii="Calibri" w:eastAsia="Calibri" w:hAnsi="Calibri"/>
          <w:iCs/>
          <w:sz w:val="22"/>
          <w:szCs w:val="22"/>
          <w:lang w:eastAsia="en-US"/>
        </w:rPr>
        <w:t xml:space="preserve">Taisyklės) 5 priedą, padarė išvadą, kad </w:t>
      </w:r>
      <w:r w:rsidRPr="00F10509">
        <w:rPr>
          <w:rFonts w:ascii="Calibri" w:eastAsia="Calibri" w:hAnsi="Calibri"/>
          <w:iCs/>
          <w:sz w:val="22"/>
          <w:szCs w:val="22"/>
          <w:u w:val="single"/>
          <w:lang w:eastAsia="en-US"/>
        </w:rPr>
        <w:t>pareigūno kvalifikacijos vertinimas neapsiriboja vien tik ta aplinkybe, jog jam buvo taikyta tarnybinė atsakomybė, nesiaiškinant ir nevertinant aplinkybių, susijusių su tarnybiniu nusižengimu, dėl kurio taikyta tarnybinė atsakomybė</w:t>
      </w:r>
      <w:r w:rsidRPr="00F10509">
        <w:rPr>
          <w:rFonts w:ascii="Calibri" w:eastAsia="Calibri" w:hAnsi="Calibri"/>
          <w:iCs/>
          <w:sz w:val="22"/>
          <w:szCs w:val="22"/>
          <w:lang w:eastAsia="en-US"/>
        </w:rPr>
        <w:t xml:space="preserve">. LVAT sutiko su pirmosios instancijos teismo išvada, kad šiuo aspektu Vilniaus AVPK viršininko sprendimas negali būti pripažintas tinkamai motyvuotu ir pagrįstu, nes šiame sprendime aplinkybė dėl pareiškėjo padaryto tarnybinio nusižengimo nesusieta su vertintinais pagal Taisykles pareiškėjo tarnybinės veiklos aspektais, nenurodyta, kaip ši aplinkybė pagrindžia kitokį kurio nors vertinamojo elemento (kvalifikacijos, tarnybinės veiklos rezultatų, tinkamumo einamoms pareigoms) įvertinimą, nei nurodyta tiesioginio vadovo vertinimo išvadoje, kuriai pritarė Vertinimo komisija. LVAT vertinimu, pirmosios instancijos teismas pagrįstai ir teisėtai nustatė, kad </w:t>
      </w:r>
      <w:r w:rsidRPr="00F10509">
        <w:rPr>
          <w:rFonts w:ascii="Calibri" w:eastAsia="Calibri" w:hAnsi="Calibri"/>
          <w:iCs/>
          <w:sz w:val="22"/>
          <w:szCs w:val="22"/>
          <w:u w:val="single"/>
          <w:lang w:eastAsia="en-US"/>
        </w:rPr>
        <w:t>teisės aktai nesuteikė teisės atsakovo vadovui atlikti pareiškėjo veiklos vertinimą ir pareiškėjo veiklą įvertinti taip, kaip tai pagal Vidaus tarnybos statuto 25 straipsnio 7 ir 14 dalis galėjo įvertinti pareiškėjo veiklą jo tiesioginis vadovas ir Vertinimo komisija. Pareigūno tarnybinės veiklos vertinimas yra šio pareigūno tiesioginio vadovo bei vertinimo komisijos kompetencija, būtent vertinimo komisijos pareiga yra patikrinti, ar pareigūno tiesioginio vadovo surašyta tarnybinės veiklos vertinimo išvada yra pagrįsta, įsitikinti, ar tiesioginis vadovas, vertindamas valstybės tarnautojo (pareigūno) gebėjimus atlikti pareigybės aprašyme nustatytas funkcijas ir jo kvalifikaciją, laikėsi Taisyklėse pateiktų rekomendacijų</w:t>
      </w:r>
      <w:r w:rsidRPr="00F10509">
        <w:rPr>
          <w:rFonts w:ascii="Calibri" w:eastAsia="Calibri" w:hAnsi="Calibri"/>
          <w:iCs/>
          <w:sz w:val="22"/>
          <w:szCs w:val="22"/>
          <w:lang w:eastAsia="en-US"/>
        </w:rPr>
        <w:t>.</w:t>
      </w:r>
      <w:bookmarkStart w:id="41" w:name="pn7aca18b9-6789-44f0-adeb-af4873697456"/>
      <w:bookmarkEnd w:id="41"/>
      <w:r w:rsidRPr="00F10509">
        <w:rPr>
          <w:rFonts w:ascii="Calibri" w:eastAsia="Calibri" w:hAnsi="Calibri"/>
          <w:iCs/>
          <w:sz w:val="22"/>
          <w:szCs w:val="22"/>
          <w:lang w:eastAsia="en-US"/>
        </w:rPr>
        <w:t xml:space="preserve"> </w:t>
      </w:r>
    </w:p>
    <w:p w14:paraId="461FEAD2"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ab/>
        <w:t>Pirmosios instancijos teismo sprendimas paliktas nepakeistas, o apeliacinis skundas atmestas.</w:t>
      </w:r>
    </w:p>
    <w:p w14:paraId="5180479D" w14:textId="77777777" w:rsidR="00F10509" w:rsidRPr="00F10509" w:rsidRDefault="00F10509" w:rsidP="00F10509">
      <w:pPr>
        <w:tabs>
          <w:tab w:val="left" w:pos="567"/>
        </w:tabs>
        <w:jc w:val="both"/>
        <w:rPr>
          <w:rFonts w:ascii="Calibri" w:eastAsia="Calibri" w:hAnsi="Calibri"/>
          <w:iCs/>
          <w:sz w:val="22"/>
          <w:szCs w:val="22"/>
          <w:lang w:eastAsia="en-US"/>
        </w:rPr>
      </w:pPr>
    </w:p>
    <w:p w14:paraId="41483D42"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2019 m. birželio 26 d. nutartis administracinėje byloje Nr. A-901-520/2019</w:t>
      </w:r>
    </w:p>
    <w:p w14:paraId="0B62E40C"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Teisminio proceso Nr. 3-61-3-02752-2017-9</w:t>
      </w:r>
    </w:p>
    <w:p w14:paraId="6BD35661" w14:textId="77777777" w:rsidR="00F10509" w:rsidRPr="00F10509" w:rsidRDefault="00F10509" w:rsidP="00F10509">
      <w:pPr>
        <w:tabs>
          <w:tab w:val="left" w:pos="567"/>
        </w:tabs>
        <w:jc w:val="both"/>
        <w:rPr>
          <w:rFonts w:ascii="Calibri" w:eastAsia="Calibri" w:hAnsi="Calibri"/>
          <w:iCs/>
          <w:sz w:val="22"/>
          <w:szCs w:val="22"/>
          <w:lang w:eastAsia="en-US"/>
        </w:rPr>
      </w:pPr>
      <w:r w:rsidRPr="00F10509">
        <w:rPr>
          <w:rFonts w:ascii="Calibri" w:eastAsia="Calibri" w:hAnsi="Calibri"/>
          <w:iCs/>
          <w:sz w:val="22"/>
          <w:szCs w:val="22"/>
          <w:lang w:eastAsia="en-US"/>
        </w:rPr>
        <w:t>Procesinio sprendimo kategorija 22.2</w:t>
      </w:r>
    </w:p>
    <w:p w14:paraId="25A5C605" w14:textId="77777777" w:rsidR="00F10509" w:rsidRPr="00F10509" w:rsidRDefault="00E31BD2" w:rsidP="00F10509">
      <w:pPr>
        <w:jc w:val="both"/>
        <w:rPr>
          <w:rFonts w:ascii="Calibri" w:hAnsi="Calibri"/>
          <w:sz w:val="22"/>
          <w:szCs w:val="22"/>
        </w:rPr>
      </w:pPr>
      <w:hyperlink r:id="rId17" w:history="1">
        <w:r w:rsidR="00F10509" w:rsidRPr="00F10509">
          <w:rPr>
            <w:rFonts w:ascii="Calibri" w:hAnsi="Calibri"/>
            <w:color w:val="0000FF"/>
            <w:sz w:val="22"/>
            <w:szCs w:val="22"/>
            <w:u w:val="single"/>
          </w:rPr>
          <w:t>Prieiga internete</w:t>
        </w:r>
      </w:hyperlink>
      <w:r w:rsidR="00F10509" w:rsidRPr="00F10509">
        <w:rPr>
          <w:rFonts w:ascii="Calibri" w:hAnsi="Calibri"/>
          <w:sz w:val="22"/>
          <w:szCs w:val="22"/>
        </w:rPr>
        <w:t xml:space="preserve"> </w:t>
      </w:r>
    </w:p>
    <w:p w14:paraId="05B374F5" w14:textId="77777777" w:rsidR="00F10509" w:rsidRPr="00F10509" w:rsidRDefault="00F10509" w:rsidP="00F10509">
      <w:pPr>
        <w:jc w:val="both"/>
        <w:rPr>
          <w:rFonts w:ascii="Calibri" w:hAnsi="Calibri"/>
          <w:sz w:val="22"/>
          <w:szCs w:val="22"/>
        </w:rPr>
      </w:pPr>
    </w:p>
    <w:p w14:paraId="7C5FDB4B" w14:textId="77777777" w:rsidR="00B31023" w:rsidRDefault="00B31023" w:rsidP="00B31023">
      <w:pPr>
        <w:pStyle w:val="Apzvalgai1"/>
        <w:rPr>
          <w:rFonts w:asciiTheme="minorHAnsi" w:hAnsiTheme="minorHAnsi" w:cstheme="minorHAnsi"/>
        </w:rPr>
      </w:pPr>
      <w:bookmarkStart w:id="42" w:name="_Toc14784018"/>
      <w:r>
        <w:rPr>
          <w:rFonts w:asciiTheme="minorHAnsi" w:hAnsiTheme="minorHAnsi" w:cstheme="minorHAnsi"/>
        </w:rPr>
        <w:t>29</w:t>
      </w:r>
      <w:r w:rsidRPr="00D3763B">
        <w:rPr>
          <w:rFonts w:asciiTheme="minorHAnsi" w:hAnsiTheme="minorHAnsi" w:cstheme="minorHAnsi"/>
        </w:rPr>
        <w:t xml:space="preserve">. </w:t>
      </w:r>
      <w:r>
        <w:rPr>
          <w:rFonts w:asciiTheme="minorHAnsi" w:hAnsiTheme="minorHAnsi" w:cstheme="minorHAnsi"/>
        </w:rPr>
        <w:t>Nacionalinių, Europos Sąjungos ir užsienio institucijų finansinė parama</w:t>
      </w:r>
      <w:bookmarkEnd w:id="42"/>
    </w:p>
    <w:p w14:paraId="046CCB2E" w14:textId="77777777" w:rsidR="00B31023" w:rsidRDefault="00B31023" w:rsidP="00B31023">
      <w:pPr>
        <w:pStyle w:val="Apzvalgai1"/>
        <w:ind w:left="284" w:firstLine="283"/>
        <w:outlineLvl w:val="9"/>
        <w:rPr>
          <w:rFonts w:asciiTheme="minorHAnsi" w:hAnsiTheme="minorHAnsi" w:cstheme="minorHAnsi"/>
        </w:rPr>
      </w:pPr>
      <w:r>
        <w:rPr>
          <w:rFonts w:asciiTheme="minorHAnsi" w:hAnsiTheme="minorHAnsi" w:cstheme="minorHAnsi"/>
        </w:rPr>
        <w:t>29.7. Nacionalinė parama</w:t>
      </w:r>
    </w:p>
    <w:p w14:paraId="5CBB4BCC" w14:textId="77777777" w:rsidR="00B31023" w:rsidRPr="00B542A0" w:rsidRDefault="00B31023" w:rsidP="00B31023">
      <w:pPr>
        <w:pStyle w:val="Apzvalgai1"/>
        <w:outlineLvl w:val="9"/>
        <w:rPr>
          <w:rFonts w:asciiTheme="minorHAnsi" w:hAnsiTheme="minorHAnsi" w:cstheme="minorHAnsi"/>
          <w:b w:val="0"/>
        </w:rPr>
      </w:pPr>
    </w:p>
    <w:p w14:paraId="1857B1C5" w14:textId="77777777" w:rsidR="00B31023" w:rsidRPr="00B542A0" w:rsidRDefault="00B31023" w:rsidP="00B31023">
      <w:pPr>
        <w:pStyle w:val="taltipfb"/>
        <w:shd w:val="clear" w:color="auto" w:fill="FFFFFF"/>
        <w:spacing w:before="0" w:beforeAutospacing="0" w:after="0" w:afterAutospacing="0"/>
        <w:jc w:val="both"/>
        <w:outlineLvl w:val="1"/>
      </w:pPr>
      <w:bookmarkStart w:id="43" w:name="_Toc14784019"/>
      <w:r w:rsidRPr="00B542A0">
        <w:rPr>
          <w:rFonts w:asciiTheme="minorHAnsi" w:hAnsiTheme="minorHAnsi" w:cstheme="minorHAnsi"/>
          <w:i/>
          <w:sz w:val="22"/>
          <w:szCs w:val="22"/>
        </w:rPr>
        <w:t>Dėl</w:t>
      </w:r>
      <w:r>
        <w:rPr>
          <w:rFonts w:asciiTheme="minorHAnsi" w:hAnsiTheme="minorHAnsi" w:cstheme="minorHAnsi"/>
          <w:i/>
          <w:sz w:val="22"/>
          <w:szCs w:val="22"/>
        </w:rPr>
        <w:t xml:space="preserve"> bendrojo naudojimo objekto valdytojo bei administratoriaus pareigos grąžinti valstybės paramą, neįgyvendinus namo atnaujinimo (modernizavimo) projekto</w:t>
      </w:r>
      <w:bookmarkEnd w:id="43"/>
    </w:p>
    <w:p w14:paraId="774B922D" w14:textId="77777777" w:rsidR="00B31023" w:rsidRPr="00925D3C" w:rsidRDefault="00B31023" w:rsidP="00B31023">
      <w:pPr>
        <w:jc w:val="both"/>
        <w:rPr>
          <w:rFonts w:asciiTheme="minorHAnsi" w:hAnsiTheme="minorHAnsi" w:cstheme="minorHAnsi"/>
          <w:i/>
          <w:sz w:val="22"/>
          <w:szCs w:val="22"/>
        </w:rPr>
      </w:pPr>
    </w:p>
    <w:p w14:paraId="2933D0B8" w14:textId="5A7D7B5F" w:rsidR="00B31023" w:rsidRDefault="00B31023" w:rsidP="00B31023">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Pareiškėjas kreipėsi į teismą, prašydamas panaikinti Vyriausiosios administracinių ginčų komisijos bei VšĮ Būsto energijos taupymo agentūros (toliau – Agentūra) sprendimus, kadangi, pareiškėjo manymu, buvo neįvertinta, ar pareiškėjas, būdamas bendrojo naudojimo objektų valdytojas bei administratorius, turėjo pareigą grąžinti valstybės paramą, taip pat dėl kokių priežasčių nebuvo įgyvendintas atnaujinimo (modernizavimo) projektas. Pareiškėjo teigimu, </w:t>
      </w:r>
      <w:r w:rsidRPr="00E2707B">
        <w:rPr>
          <w:rFonts w:asciiTheme="minorHAnsi" w:hAnsiTheme="minorHAnsi" w:cstheme="minorHAnsi"/>
          <w:sz w:val="22"/>
          <w:szCs w:val="22"/>
          <w:u w:val="single"/>
        </w:rPr>
        <w:t>jis, kaip namo projekto atnaujinimo administratorius, atstovauja butų savininkams, organizuoja ir įgyvendina projektavimo bei rangos darbus ir gauna mokestį už suteikiamas administravimo paslaugas, tačiau valstybės paramą gavo ne projekto administratorius, o butų savininkai, todėl suteiktą valstybės paramą turi grąžinti daugiabučio namo patalpų savininkai</w:t>
      </w:r>
      <w:r w:rsidRPr="00E2707B">
        <w:rPr>
          <w:rFonts w:asciiTheme="minorHAnsi" w:hAnsiTheme="minorHAnsi" w:cstheme="minorHAnsi"/>
          <w:sz w:val="22"/>
          <w:szCs w:val="22"/>
        </w:rPr>
        <w:t xml:space="preserve">. Pareiškėjo teigimu, su juo buvo sudaryta sutartis tuo tikslu ir tam laikotarpiui, kol namas bus atnaujintas, tačiau </w:t>
      </w:r>
      <w:r w:rsidRPr="00E2707B">
        <w:rPr>
          <w:rFonts w:asciiTheme="minorHAnsi" w:hAnsiTheme="minorHAnsi" w:cstheme="minorHAnsi"/>
          <w:sz w:val="22"/>
          <w:szCs w:val="22"/>
          <w:u w:val="single"/>
        </w:rPr>
        <w:t>butų savininkams nepritarus investiciniam planui ir nutraukus namo atnaujinimo projektą, pasibaigė ir pareiškėjo, kaip projekto administratoriaus, įgaliojimai</w:t>
      </w:r>
      <w:r>
        <w:rPr>
          <w:rFonts w:asciiTheme="minorHAnsi" w:hAnsiTheme="minorHAnsi" w:cstheme="minorHAnsi"/>
          <w:sz w:val="22"/>
          <w:szCs w:val="22"/>
        </w:rPr>
        <w:t xml:space="preserve">. Be to, </w:t>
      </w:r>
      <w:r w:rsidRPr="00E2707B">
        <w:rPr>
          <w:rFonts w:asciiTheme="minorHAnsi" w:hAnsiTheme="minorHAnsi" w:cstheme="minorHAnsi"/>
          <w:sz w:val="22"/>
          <w:szCs w:val="22"/>
          <w:u w:val="single"/>
        </w:rPr>
        <w:t>tiek komisija, tiek Agentūra vadovavosi</w:t>
      </w:r>
      <w:r>
        <w:rPr>
          <w:rFonts w:asciiTheme="minorHAnsi" w:hAnsiTheme="minorHAnsi" w:cstheme="minorHAnsi"/>
          <w:sz w:val="22"/>
          <w:szCs w:val="22"/>
        </w:rPr>
        <w:t xml:space="preserve"> </w:t>
      </w:r>
      <w:r w:rsidRPr="00E2707B">
        <w:rPr>
          <w:rFonts w:asciiTheme="minorHAnsi" w:hAnsiTheme="minorHAnsi" w:cstheme="minorHAnsi"/>
          <w:sz w:val="22"/>
          <w:szCs w:val="22"/>
        </w:rPr>
        <w:t xml:space="preserve">norminių teisės aktų </w:t>
      </w:r>
      <w:r w:rsidRPr="00E2707B">
        <w:rPr>
          <w:rFonts w:asciiTheme="minorHAnsi" w:hAnsiTheme="minorHAnsi" w:cstheme="minorHAnsi"/>
          <w:sz w:val="22"/>
          <w:szCs w:val="22"/>
        </w:rPr>
        <w:lastRenderedPageBreak/>
        <w:t>(Valstybės paramos daugiabučiams namams atnaujinti (modernizuoti) teikimo ir daugiabučių namų atnaujinimo (modernizavimo) projektų įgyvendinimo priežiūros taisyklių, patvirtintų Lietuv</w:t>
      </w:r>
      <w:r w:rsidR="00EB1F2A">
        <w:rPr>
          <w:rFonts w:asciiTheme="minorHAnsi" w:hAnsiTheme="minorHAnsi" w:cstheme="minorHAnsi"/>
          <w:sz w:val="22"/>
          <w:szCs w:val="22"/>
        </w:rPr>
        <w:t>os Respublikos Vyriausybės 2009 </w:t>
      </w:r>
      <w:r w:rsidRPr="00E2707B">
        <w:rPr>
          <w:rFonts w:asciiTheme="minorHAnsi" w:hAnsiTheme="minorHAnsi" w:cstheme="minorHAnsi"/>
          <w:sz w:val="22"/>
          <w:szCs w:val="22"/>
        </w:rPr>
        <w:t>m. gruodžio 16 d. nutarimu Nr. 1725 „Lietuvos Respublikos Vyriausybės 2009 m. gruodžio 16 d. nutarimas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w:t>
      </w:r>
      <w:r w:rsidR="00EB1F2A">
        <w:rPr>
          <w:rFonts w:asciiTheme="minorHAnsi" w:hAnsiTheme="minorHAnsi" w:cstheme="minorHAnsi"/>
          <w:sz w:val="22"/>
          <w:szCs w:val="22"/>
        </w:rPr>
        <w:t xml:space="preserve"> įmokos nustatymo“ (toliau – </w:t>
      </w:r>
      <w:r w:rsidRPr="00E2707B">
        <w:rPr>
          <w:rFonts w:asciiTheme="minorHAnsi" w:hAnsiTheme="minorHAnsi" w:cstheme="minorHAnsi"/>
          <w:sz w:val="22"/>
          <w:szCs w:val="22"/>
        </w:rPr>
        <w:t xml:space="preserve">Taisyklės) </w:t>
      </w:r>
      <w:r w:rsidRPr="00E2707B">
        <w:rPr>
          <w:rFonts w:asciiTheme="minorHAnsi" w:hAnsiTheme="minorHAnsi" w:cstheme="minorHAnsi"/>
          <w:sz w:val="22"/>
          <w:szCs w:val="22"/>
          <w:u w:val="single"/>
        </w:rPr>
        <w:t>nuostatomis, kurios neturėtų būti taikomos visuomeniniams teisiniams santykiams, susiklosčiusiems iki šio teisės akto įsigaliojimo, t. y. 2013 metais, kada atnaujinamo (modernizuojamo) daugiabučio namo butų ir kitų patalpų savininkai priėmė sprendimą dalyvauti daugiabučio namo atnaujinimo (modernizavimo) programoje, Taisyklėse nebuvo nuostatos, numatančios, kad permokėtos valstybės paramos lėšos turėtų būti grąžintos, kai daugiabučio namo atnaujinimo (modernizavimo) projektas neįgyvendintas per Taisyklėse nurodytą šio projekto įgyvendinimo terminą</w:t>
      </w:r>
      <w:r w:rsidRPr="00E2707B">
        <w:rPr>
          <w:rFonts w:asciiTheme="minorHAnsi" w:hAnsiTheme="minorHAnsi" w:cstheme="minorHAnsi"/>
          <w:sz w:val="22"/>
          <w:szCs w:val="22"/>
        </w:rPr>
        <w:t>.</w:t>
      </w:r>
    </w:p>
    <w:p w14:paraId="43DAECCC" w14:textId="77777777" w:rsidR="00B31023" w:rsidRDefault="00B31023" w:rsidP="00B31023">
      <w:pPr>
        <w:ind w:firstLine="567"/>
        <w:jc w:val="both"/>
        <w:rPr>
          <w:rFonts w:asciiTheme="minorHAnsi" w:hAnsiTheme="minorHAnsi" w:cstheme="minorHAnsi"/>
          <w:sz w:val="22"/>
          <w:szCs w:val="22"/>
        </w:rPr>
      </w:pPr>
      <w:r w:rsidRPr="00E2707B">
        <w:rPr>
          <w:rFonts w:asciiTheme="minorHAnsi" w:hAnsiTheme="minorHAnsi" w:cstheme="minorHAnsi"/>
          <w:sz w:val="22"/>
          <w:szCs w:val="22"/>
        </w:rPr>
        <w:t xml:space="preserve">Pirmosios instancijos teismas nustatė, kad </w:t>
      </w:r>
      <w:r>
        <w:rPr>
          <w:rFonts w:asciiTheme="minorHAnsi" w:hAnsiTheme="minorHAnsi" w:cstheme="minorHAnsi"/>
          <w:sz w:val="22"/>
          <w:szCs w:val="22"/>
        </w:rPr>
        <w:t>p</w:t>
      </w:r>
      <w:r w:rsidRPr="00E2707B">
        <w:rPr>
          <w:rFonts w:asciiTheme="minorHAnsi" w:hAnsiTheme="minorHAnsi" w:cstheme="minorHAnsi"/>
          <w:sz w:val="22"/>
          <w:szCs w:val="22"/>
        </w:rPr>
        <w:t xml:space="preserve">rojektas nebuvo įgyvendintas per teisės aktų nustatytą terminą, ir padarė išvadą, jog nutraukęs </w:t>
      </w:r>
      <w:r>
        <w:rPr>
          <w:rFonts w:asciiTheme="minorHAnsi" w:hAnsiTheme="minorHAnsi" w:cstheme="minorHAnsi"/>
          <w:sz w:val="22"/>
          <w:szCs w:val="22"/>
        </w:rPr>
        <w:t>p</w:t>
      </w:r>
      <w:r w:rsidRPr="00E2707B">
        <w:rPr>
          <w:rFonts w:asciiTheme="minorHAnsi" w:hAnsiTheme="minorHAnsi" w:cstheme="minorHAnsi"/>
          <w:sz w:val="22"/>
          <w:szCs w:val="22"/>
        </w:rPr>
        <w:t>rojekto vykdymą, bet gavęs valstybės paramą, pareiškėjas valstybės lėšomis disponuoja nepagrįstai ir būtent pareiškėjui, kaip šias lėšas administruojančiam daugiabučio namo savininkų atstovui, kyla teisės aktų nuostatuose nustatyta pareiga šias lėšas grąžinti atsakovui.</w:t>
      </w:r>
    </w:p>
    <w:p w14:paraId="40BB32AA" w14:textId="7027CCBE" w:rsidR="00B31023" w:rsidRPr="00CE2923" w:rsidRDefault="00B31023" w:rsidP="00B31023">
      <w:pPr>
        <w:ind w:firstLine="567"/>
        <w:jc w:val="both"/>
        <w:rPr>
          <w:rFonts w:asciiTheme="minorHAnsi" w:hAnsiTheme="minorHAnsi" w:cstheme="minorHAnsi"/>
          <w:sz w:val="22"/>
          <w:szCs w:val="22"/>
        </w:rPr>
      </w:pPr>
      <w:r w:rsidRPr="00CE2923">
        <w:rPr>
          <w:rFonts w:asciiTheme="minorHAnsi" w:hAnsiTheme="minorHAnsi" w:cstheme="minorHAnsi"/>
          <w:sz w:val="22"/>
          <w:szCs w:val="22"/>
        </w:rPr>
        <w:t>Pagal Taisyklių 85 punktą (</w:t>
      </w:r>
      <w:r w:rsidRPr="00542A0F">
        <w:rPr>
          <w:rFonts w:asciiTheme="minorHAnsi" w:hAnsiTheme="minorHAnsi" w:cstheme="minorHAnsi"/>
          <w:i/>
          <w:iCs/>
          <w:sz w:val="22"/>
          <w:szCs w:val="22"/>
        </w:rPr>
        <w:t xml:space="preserve">Agentūros </w:t>
      </w:r>
      <w:r w:rsidR="00EB1F2A">
        <w:rPr>
          <w:rFonts w:asciiTheme="minorHAnsi" w:hAnsiTheme="minorHAnsi" w:cstheme="minorHAnsi"/>
          <w:i/>
          <w:iCs/>
          <w:sz w:val="22"/>
          <w:szCs w:val="22"/>
        </w:rPr>
        <w:t>s</w:t>
      </w:r>
      <w:r w:rsidRPr="00542A0F">
        <w:rPr>
          <w:rFonts w:asciiTheme="minorHAnsi" w:hAnsiTheme="minorHAnsi" w:cstheme="minorHAnsi"/>
          <w:i/>
          <w:iCs/>
          <w:sz w:val="22"/>
          <w:szCs w:val="22"/>
        </w:rPr>
        <w:t>prendimo priėmimo metu galiojusi redakcija</w:t>
      </w:r>
      <w:r w:rsidRPr="00CE2923">
        <w:rPr>
          <w:rFonts w:asciiTheme="minorHAnsi" w:hAnsiTheme="minorHAnsi" w:cstheme="minorHAnsi"/>
          <w:sz w:val="22"/>
          <w:szCs w:val="22"/>
        </w:rPr>
        <w:t>), jeigu paaiškėja, kad projekto administratorius teisei į valstybės paramą ir valstybės paramos dydžiui nustatyti pateikė klaidingus duomenis, arba kitų aplinkybių, dėl kurių išmokėta per didelė valstybės parama (išskyrus lengvatinius kreditus), arba valstybės parama negalėjo būti suteikta, arba butų ir kitų patalpų savininkai, vykdantys ūkinę veiklą atnaujinamo (modernizuojamo) daugiabučio namo nuosavybės teise priklausančiame bute ar kitose patalpose, neinformavo projekto administratoriaus apie nuosavybės teise jiems priklausančiuose butuose ir kitose patalpose jų vykdomą ūkinę veiklą arba pateikė klaidingą informaciją, arba savivaldybė, įstatymų nustatyta tvarka privatizavusi (perleidusi) nuosavybės teise valdomas gyvenamąsias patalpas, apie šį faktą neinformavo Agentūros ir dėl to valstybės parama kreditui ir palūkanų įmokoms sumokėti nuo šių gyvenamųjų patalpų privatizavimo (perleidimo) dienos išmokėta neteisėtai</w:t>
      </w:r>
      <w:r>
        <w:rPr>
          <w:rFonts w:asciiTheme="minorHAnsi" w:hAnsiTheme="minorHAnsi" w:cstheme="minorHAnsi"/>
          <w:sz w:val="22"/>
          <w:szCs w:val="22"/>
        </w:rPr>
        <w:t xml:space="preserve">, </w:t>
      </w:r>
      <w:r w:rsidRPr="00CE2923">
        <w:rPr>
          <w:rFonts w:asciiTheme="minorHAnsi" w:hAnsiTheme="minorHAnsi" w:cstheme="minorHAnsi"/>
          <w:sz w:val="22"/>
          <w:szCs w:val="22"/>
          <w:u w:val="single"/>
        </w:rPr>
        <w:t>arba projektas neįgyvendintas per Taisyklėse nustatytą projekto įgyvendinimo laikotarpį ir (ar) neįvykdytos Taisyklių 2</w:t>
      </w:r>
      <w:r>
        <w:rPr>
          <w:rFonts w:asciiTheme="minorHAnsi" w:hAnsiTheme="minorHAnsi" w:cstheme="minorHAnsi"/>
          <w:sz w:val="22"/>
          <w:szCs w:val="22"/>
          <w:u w:val="single"/>
        </w:rPr>
        <w:t> </w:t>
      </w:r>
      <w:r w:rsidRPr="00CE2923">
        <w:rPr>
          <w:rFonts w:asciiTheme="minorHAnsi" w:hAnsiTheme="minorHAnsi" w:cstheme="minorHAnsi"/>
          <w:sz w:val="22"/>
          <w:szCs w:val="22"/>
          <w:u w:val="single"/>
        </w:rPr>
        <w:t>punkte nustatytos sąlygos, Agentūra priima sprendimą dėl išmokėtų ir (ar) permokėtų lėšų sugrąžinimo.</w:t>
      </w:r>
      <w:r w:rsidRPr="00CE2923">
        <w:rPr>
          <w:rFonts w:asciiTheme="minorHAnsi" w:hAnsiTheme="minorHAnsi" w:cstheme="minorHAnsi"/>
          <w:sz w:val="22"/>
          <w:szCs w:val="22"/>
        </w:rPr>
        <w:t xml:space="preserve"> </w:t>
      </w:r>
    </w:p>
    <w:p w14:paraId="68937474" w14:textId="77777777" w:rsidR="00B31023" w:rsidRPr="00CE2923" w:rsidRDefault="00B31023" w:rsidP="00B31023">
      <w:pPr>
        <w:ind w:firstLine="567"/>
        <w:jc w:val="both"/>
        <w:rPr>
          <w:rFonts w:asciiTheme="minorHAnsi" w:hAnsiTheme="minorHAnsi" w:cstheme="minorHAnsi"/>
          <w:sz w:val="22"/>
          <w:szCs w:val="22"/>
        </w:rPr>
      </w:pPr>
      <w:r w:rsidRPr="00CE2923">
        <w:rPr>
          <w:rFonts w:asciiTheme="minorHAnsi" w:hAnsiTheme="minorHAnsi" w:cstheme="minorHAnsi"/>
          <w:sz w:val="22"/>
          <w:szCs w:val="22"/>
        </w:rPr>
        <w:t xml:space="preserve">Būtina pažymėti ir tai, kad 2013 metais galiojusios Paramos įstatymo ir Taisyklių 2 ir 6 punktų nuostatos nustatė, jog </w:t>
      </w:r>
      <w:r w:rsidRPr="00CE2923">
        <w:rPr>
          <w:rFonts w:asciiTheme="minorHAnsi" w:hAnsiTheme="minorHAnsi" w:cstheme="minorHAnsi"/>
          <w:sz w:val="22"/>
          <w:szCs w:val="22"/>
          <w:u w:val="single"/>
        </w:rPr>
        <w:t>valstybės parama gali būti teikiama tik įgyvendinantiems projektą ir įgyvendinus projektą, t. y. parama yra tikslinė ir neatsiejamai susieta su projekto įgyvendinimu.</w:t>
      </w:r>
      <w:r w:rsidRPr="00CE2923">
        <w:rPr>
          <w:rFonts w:asciiTheme="minorHAnsi" w:hAnsiTheme="minorHAnsi" w:cstheme="minorHAnsi"/>
          <w:sz w:val="22"/>
          <w:szCs w:val="22"/>
        </w:rPr>
        <w:t xml:space="preserve"> Tuo metu galiojęs Taisyklių 85 punktas taip pat nustatė, jog jeigu paaiškėja, kad projekto administratorius teisei į valstybės paramą ir valstybės paramos dydžiui nustatyti pateikė klaidingus duomenis, arba kitų aplinkybių, dėl kurių išmokėta per didelė valstybės parama (išskyrus lengvatinius kreditus), arba valstybės parama negalėjo būti suteikta, arba butų ir kitų patalpų savininkai, vykdantys ūkinę veiklą atnaujinamo (modernizuojamo) daugiabučio namo nuosavybės teise priklausančiame bute ar kitose patalpose, neinformavo projekto administratoriaus apie nuosavybės teise jiems priklausančiuose butuose ir kitose patalpose jų vykdomą ūkinę veiklą arba pateikė klaidingą informaciją, Agentūra priima sprendimą dėl permokėtų lėšų sugrąžinimo. Apie tai ji raštu praneša finansuotojui, jeigu suteiktas lengvatinis kreditas, projekto administratoriui ir (ar) atitinkamų butų ir kitų patalpų savininkams. </w:t>
      </w:r>
      <w:r w:rsidRPr="00195A4A">
        <w:rPr>
          <w:rFonts w:asciiTheme="minorHAnsi" w:hAnsiTheme="minorHAnsi" w:cstheme="minorHAnsi"/>
          <w:sz w:val="22"/>
          <w:szCs w:val="22"/>
        </w:rPr>
        <w:t>Projekto administratorius ir (ar) atitinkamų butų ar kitų patalpų savininkai privalo ne vėliau kaip per 3 mėnesius nuo pranešimo gavimo dienos pervesti Agentūros sprendime dėl permokėtų lėšų sugrąžinimo nurodytą sumą į Agentūros pranešime nurodytą sąskaitą. Per nustatytą laiką negrąžinta permokėta suma iš projekto administratoriaus ir (ar) atitinkamų butų ar kitų patalpų savininkų išieškoma Lietuvos Respublikos įstatymų nustatyta tvarka.</w:t>
      </w:r>
      <w:r w:rsidRPr="00CE2923">
        <w:rPr>
          <w:rFonts w:asciiTheme="minorHAnsi" w:hAnsiTheme="minorHAnsi" w:cstheme="minorHAnsi"/>
          <w:sz w:val="22"/>
          <w:szCs w:val="22"/>
        </w:rPr>
        <w:t xml:space="preserve">  </w:t>
      </w:r>
    </w:p>
    <w:p w14:paraId="7BE77807" w14:textId="77777777" w:rsidR="00B31023" w:rsidRPr="001B645A" w:rsidRDefault="00B31023" w:rsidP="00B31023">
      <w:pPr>
        <w:ind w:firstLine="567"/>
        <w:jc w:val="both"/>
        <w:rPr>
          <w:rFonts w:asciiTheme="minorHAnsi" w:hAnsiTheme="minorHAnsi" w:cstheme="minorHAnsi"/>
          <w:sz w:val="22"/>
          <w:szCs w:val="22"/>
        </w:rPr>
      </w:pPr>
      <w:r>
        <w:rPr>
          <w:rFonts w:asciiTheme="minorHAnsi" w:hAnsiTheme="minorHAnsi" w:cstheme="minorHAnsi"/>
          <w:sz w:val="22"/>
          <w:szCs w:val="22"/>
        </w:rPr>
        <w:t>T</w:t>
      </w:r>
      <w:r w:rsidRPr="002343B6">
        <w:rPr>
          <w:rFonts w:asciiTheme="minorHAnsi" w:hAnsiTheme="minorHAnsi" w:cstheme="minorHAnsi"/>
          <w:sz w:val="22"/>
          <w:szCs w:val="22"/>
        </w:rPr>
        <w:t xml:space="preserve">eisėjų kolegija, </w:t>
      </w:r>
      <w:r w:rsidRPr="001B645A">
        <w:rPr>
          <w:rFonts w:asciiTheme="minorHAnsi" w:hAnsiTheme="minorHAnsi" w:cstheme="minorHAnsi"/>
          <w:sz w:val="22"/>
          <w:szCs w:val="22"/>
          <w:u w:val="single"/>
        </w:rPr>
        <w:t>įvertinusi apeliacinio skundo argumentą, jog ne iš pareiškėjo turi būti reikalaujama grąžinti valstybės paramą, akcentavo, kad teismų praktikoje, nagrinėjant analogiško pobūdžio bylas, yra laikomasi nuostatos, kad jei projektas neįgyvendintas per Taisyklėse nustatytą projekto įgyvendinimo laikotarpį ir neįvykdytos Taisyklių 2 punkte nustatytos sąlygos, VšĮ Būsto energijos taupymo agentūros sprendimas įpareigoti projekto administratorių grąžinti valstybės paramą yra pagrįstas ir teisėtas, projektų administratorių argumentai, kad valstybės paramą turi grąžinti daugiabučio namo butų ir kitų patalpų savininkai, kad priimant sprendimą dėl namo atnaujinimo (modernizavimo) programos įgyvendinimo Taisyklės nenustatė sąlygos dėl permokėtų lėšų susigrąžinimo dėl to, kad projektas neįgyvendintas, nepripažįstami pagrįstais</w:t>
      </w:r>
      <w:r>
        <w:rPr>
          <w:rFonts w:asciiTheme="minorHAnsi" w:hAnsiTheme="minorHAnsi" w:cstheme="minorHAnsi"/>
          <w:sz w:val="22"/>
          <w:szCs w:val="22"/>
        </w:rPr>
        <w:t>.</w:t>
      </w:r>
    </w:p>
    <w:p w14:paraId="79F4A857" w14:textId="77777777" w:rsidR="00B31023" w:rsidRPr="001B645A" w:rsidRDefault="00B31023" w:rsidP="00B31023">
      <w:pPr>
        <w:ind w:firstLine="567"/>
        <w:jc w:val="both"/>
        <w:rPr>
          <w:rFonts w:asciiTheme="minorHAnsi" w:hAnsiTheme="minorHAnsi" w:cstheme="minorHAnsi"/>
          <w:sz w:val="22"/>
          <w:szCs w:val="22"/>
        </w:rPr>
      </w:pPr>
      <w:r>
        <w:rPr>
          <w:rFonts w:asciiTheme="minorHAnsi" w:hAnsiTheme="minorHAnsi" w:cstheme="minorHAnsi"/>
          <w:sz w:val="22"/>
          <w:szCs w:val="22"/>
        </w:rPr>
        <w:t>LVAT</w:t>
      </w:r>
      <w:r w:rsidRPr="001B645A">
        <w:rPr>
          <w:rFonts w:asciiTheme="minorHAnsi" w:hAnsiTheme="minorHAnsi" w:cstheme="minorHAnsi"/>
          <w:sz w:val="22"/>
          <w:szCs w:val="22"/>
        </w:rPr>
        <w:t xml:space="preserve">, nagrinėdamas administracinę bylą Nr. eA-1161-624/2019, 2019 m. gegužės 8 d. nutartyje yra nustatęs, kad </w:t>
      </w:r>
      <w:r>
        <w:rPr>
          <w:rFonts w:asciiTheme="minorHAnsi" w:hAnsiTheme="minorHAnsi" w:cstheme="minorHAnsi"/>
          <w:sz w:val="22"/>
          <w:szCs w:val="22"/>
        </w:rPr>
        <w:t>Agentūros</w:t>
      </w:r>
      <w:r w:rsidRPr="001B645A">
        <w:rPr>
          <w:rFonts w:asciiTheme="minorHAnsi" w:hAnsiTheme="minorHAnsi" w:cstheme="minorHAnsi"/>
          <w:sz w:val="22"/>
          <w:szCs w:val="22"/>
        </w:rPr>
        <w:t xml:space="preserve"> sprendimas įpareigoti projekto administratorių grąžinti paramą neatitinka Viešojo </w:t>
      </w:r>
      <w:r w:rsidRPr="001B645A">
        <w:rPr>
          <w:rFonts w:asciiTheme="minorHAnsi" w:hAnsiTheme="minorHAnsi" w:cstheme="minorHAnsi"/>
          <w:sz w:val="22"/>
          <w:szCs w:val="22"/>
        </w:rPr>
        <w:lastRenderedPageBreak/>
        <w:t xml:space="preserve">administravimo įstatymo 8 straipsnio reikalavimų, nes sprendime nenurodyta, koks asmuo – bylos pareiškėjas (projekto administratorius) ar / ir butų ir kitų patalpų savininkai – privalo grąžinti paramą, kuri teikta butų ir kitų patalpų savininkams, ir toks sprendimas panaikintas.  </w:t>
      </w:r>
    </w:p>
    <w:p w14:paraId="39EAFEED" w14:textId="362E57D2" w:rsidR="00B31023" w:rsidRPr="001B645A" w:rsidRDefault="00B31023" w:rsidP="00B31023">
      <w:pPr>
        <w:ind w:firstLine="567"/>
        <w:jc w:val="both"/>
        <w:rPr>
          <w:rFonts w:asciiTheme="minorHAnsi" w:hAnsiTheme="minorHAnsi" w:cstheme="minorHAnsi"/>
          <w:sz w:val="22"/>
          <w:szCs w:val="22"/>
        </w:rPr>
      </w:pPr>
      <w:r w:rsidRPr="001B645A">
        <w:rPr>
          <w:rFonts w:asciiTheme="minorHAnsi" w:hAnsiTheme="minorHAnsi" w:cstheme="minorHAnsi"/>
          <w:sz w:val="22"/>
          <w:szCs w:val="22"/>
        </w:rPr>
        <w:t>Teisėjų kolegija šioje apeliacine tvarka pagal pareiškėjo apeliaciniame sk</w:t>
      </w:r>
      <w:r w:rsidR="00EB1F2A">
        <w:rPr>
          <w:rFonts w:asciiTheme="minorHAnsi" w:hAnsiTheme="minorHAnsi" w:cstheme="minorHAnsi"/>
          <w:sz w:val="22"/>
          <w:szCs w:val="22"/>
        </w:rPr>
        <w:t>unde nustatytas ribas nagrinėt</w:t>
      </w:r>
      <w:r w:rsidRPr="001B645A">
        <w:rPr>
          <w:rFonts w:asciiTheme="minorHAnsi" w:hAnsiTheme="minorHAnsi" w:cstheme="minorHAnsi"/>
          <w:sz w:val="22"/>
          <w:szCs w:val="22"/>
        </w:rPr>
        <w:t xml:space="preserve">oje byloje neturi faktinio ir teisinio pagrindo remtis </w:t>
      </w:r>
      <w:r w:rsidR="00EB1F2A">
        <w:rPr>
          <w:rFonts w:asciiTheme="minorHAnsi" w:hAnsiTheme="minorHAnsi" w:cstheme="minorHAnsi"/>
          <w:sz w:val="22"/>
          <w:szCs w:val="22"/>
        </w:rPr>
        <w:t>LVAT</w:t>
      </w:r>
      <w:r w:rsidRPr="001B645A">
        <w:rPr>
          <w:rFonts w:asciiTheme="minorHAnsi" w:hAnsiTheme="minorHAnsi" w:cstheme="minorHAnsi"/>
          <w:sz w:val="22"/>
          <w:szCs w:val="22"/>
        </w:rPr>
        <w:t xml:space="preserve"> 2019 m. gegužės 8 d. nutartyje adm</w:t>
      </w:r>
      <w:r w:rsidR="00EB1F2A">
        <w:rPr>
          <w:rFonts w:asciiTheme="minorHAnsi" w:hAnsiTheme="minorHAnsi" w:cstheme="minorHAnsi"/>
          <w:sz w:val="22"/>
          <w:szCs w:val="22"/>
        </w:rPr>
        <w:t>inistracinėje byloje Nr. </w:t>
      </w:r>
      <w:r w:rsidRPr="001B645A">
        <w:rPr>
          <w:rFonts w:asciiTheme="minorHAnsi" w:hAnsiTheme="minorHAnsi" w:cstheme="minorHAnsi"/>
          <w:sz w:val="22"/>
          <w:szCs w:val="22"/>
        </w:rPr>
        <w:t>eA-1161-624/2019 pateiktais išaiškinimais ir nustatyti, jog VšĮ Būsto energijos taupymo agentūros sprendimas neatitinka Viešojo administravimo įstatymo 8 straipsnio reikalavimų.</w:t>
      </w:r>
    </w:p>
    <w:p w14:paraId="0742A48A" w14:textId="77777777" w:rsidR="00B31023" w:rsidRPr="001B645A" w:rsidRDefault="00B31023" w:rsidP="00B31023">
      <w:pPr>
        <w:ind w:firstLine="567"/>
        <w:jc w:val="both"/>
        <w:rPr>
          <w:rFonts w:asciiTheme="minorHAnsi" w:hAnsiTheme="minorHAnsi" w:cstheme="minorHAnsi"/>
          <w:sz w:val="22"/>
          <w:szCs w:val="22"/>
        </w:rPr>
      </w:pPr>
      <w:r w:rsidRPr="001B645A">
        <w:rPr>
          <w:rFonts w:asciiTheme="minorHAnsi" w:hAnsiTheme="minorHAnsi" w:cstheme="minorHAnsi"/>
          <w:sz w:val="22"/>
          <w:szCs w:val="22"/>
        </w:rPr>
        <w:t xml:space="preserve">Įvertinus šioje byloje surinktus įrodymus, </w:t>
      </w:r>
      <w:r w:rsidRPr="00195A4A">
        <w:rPr>
          <w:rFonts w:asciiTheme="minorHAnsi" w:hAnsiTheme="minorHAnsi" w:cstheme="minorHAnsi"/>
          <w:sz w:val="22"/>
          <w:szCs w:val="22"/>
        </w:rPr>
        <w:t>pareiškėjo argumentai dėl neteisingų pirmosios instancijos teismo išvadų, jog būtent pareiškėjas ir Agentūra susieti administraciniais teisiniais santykiais, pareiškėjas be teisėto pagrindo disponuoja valstybės parama, kuri buvo skirta projektui įgyventi, o projektas neįgyvendintas, nėra pagrįsti teisės aktų nuostatomis ir bylos faktais, todėl nepripažintini pagrįstais.</w:t>
      </w:r>
      <w:r w:rsidRPr="001B645A">
        <w:rPr>
          <w:rFonts w:asciiTheme="minorHAnsi" w:hAnsiTheme="minorHAnsi" w:cstheme="minorHAnsi"/>
          <w:sz w:val="22"/>
          <w:szCs w:val="22"/>
        </w:rPr>
        <w:t xml:space="preserve"> </w:t>
      </w:r>
    </w:p>
    <w:p w14:paraId="22AEFED4" w14:textId="26740AD8" w:rsidR="00B31023" w:rsidRPr="001B645A" w:rsidRDefault="00B31023" w:rsidP="00B31023">
      <w:pPr>
        <w:ind w:firstLine="567"/>
        <w:jc w:val="both"/>
        <w:rPr>
          <w:rFonts w:asciiTheme="minorHAnsi" w:hAnsiTheme="minorHAnsi" w:cstheme="minorHAnsi"/>
          <w:sz w:val="22"/>
          <w:szCs w:val="22"/>
        </w:rPr>
      </w:pPr>
      <w:r w:rsidRPr="001B645A">
        <w:rPr>
          <w:rFonts w:asciiTheme="minorHAnsi" w:hAnsiTheme="minorHAnsi" w:cstheme="minorHAnsi"/>
          <w:sz w:val="22"/>
          <w:szCs w:val="22"/>
        </w:rPr>
        <w:t xml:space="preserve">Nesutiktina su pareiškėjo apeliacinio skundo teiginiu dėl netinkamai įvykdytos pirmosios instancijos teismo pareigos motyvuoti sprendimą, nes pirmosios instancijos teismas atsakė į pagrindinius bylos faktinius ir teisinius aspektus, įvertino visus byloje surinktus ir bylos šalių išsakytus argumentus dėl ginčo esmės, teisingai išnagrinėjo tarp bylos šalių kilusį ginčą, pirmosios instancijos teismo sprendimas atitinka </w:t>
      </w:r>
      <w:r w:rsidR="00EB1F2A">
        <w:rPr>
          <w:rFonts w:asciiTheme="minorHAnsi" w:hAnsiTheme="minorHAnsi" w:cstheme="minorHAnsi"/>
          <w:sz w:val="22"/>
          <w:szCs w:val="22"/>
        </w:rPr>
        <w:t>ABTĮ</w:t>
      </w:r>
      <w:r w:rsidRPr="001B645A">
        <w:rPr>
          <w:rFonts w:asciiTheme="minorHAnsi" w:hAnsiTheme="minorHAnsi" w:cstheme="minorHAnsi"/>
          <w:sz w:val="22"/>
          <w:szCs w:val="22"/>
        </w:rPr>
        <w:t xml:space="preserve"> 86 ir 87 straipsnių reikalavimus. </w:t>
      </w:r>
    </w:p>
    <w:p w14:paraId="2E72C370" w14:textId="77777777" w:rsidR="00B31023" w:rsidRPr="002343B6" w:rsidRDefault="00B31023" w:rsidP="00B31023">
      <w:pPr>
        <w:ind w:firstLine="567"/>
        <w:jc w:val="both"/>
        <w:rPr>
          <w:rFonts w:asciiTheme="minorHAnsi" w:hAnsiTheme="minorHAnsi" w:cstheme="minorHAnsi"/>
          <w:sz w:val="22"/>
          <w:szCs w:val="22"/>
        </w:rPr>
      </w:pPr>
      <w:r w:rsidRPr="001B645A">
        <w:rPr>
          <w:rFonts w:asciiTheme="minorHAnsi" w:hAnsiTheme="minorHAnsi" w:cstheme="minorHAnsi"/>
          <w:sz w:val="22"/>
          <w:szCs w:val="22"/>
        </w:rPr>
        <w:t xml:space="preserve">Apibendrindama išdėstytas aplinkybes bei padarytas išvadas, teisėjų kolegija </w:t>
      </w:r>
      <w:r>
        <w:rPr>
          <w:rFonts w:asciiTheme="minorHAnsi" w:hAnsiTheme="minorHAnsi" w:cstheme="minorHAnsi"/>
          <w:sz w:val="22"/>
          <w:szCs w:val="22"/>
        </w:rPr>
        <w:t>konstatavo</w:t>
      </w:r>
      <w:r w:rsidRPr="001B645A">
        <w:rPr>
          <w:rFonts w:asciiTheme="minorHAnsi" w:hAnsiTheme="minorHAnsi" w:cstheme="minorHAnsi"/>
          <w:sz w:val="22"/>
          <w:szCs w:val="22"/>
        </w:rPr>
        <w:t>, kad pirmosios instancijos teismas, nagrinėdamas tarp šalių kilusį ginčą, tinkamai įvertino byloje surinktus įrodymus ir nustatė teisiškai reikšmingas aplinkybes ginčui išspręsti, teisingai pritaikė ginčo teisinius santykius reglamentuojančias materialiosios teisės normas, priėmė pagrįstą ir teisėtą sprendimą dėl ginčo esmės.</w:t>
      </w:r>
    </w:p>
    <w:p w14:paraId="03C070EA" w14:textId="77777777" w:rsidR="00B31023" w:rsidRDefault="00B31023" w:rsidP="00B31023">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o pirmosios instancijos teismo sprendimas paliktas nepakeistas.</w:t>
      </w:r>
    </w:p>
    <w:p w14:paraId="08B87097" w14:textId="77777777" w:rsidR="00B31023" w:rsidRPr="00B542A0" w:rsidRDefault="00B31023" w:rsidP="00B31023">
      <w:pPr>
        <w:ind w:firstLine="567"/>
        <w:jc w:val="both"/>
        <w:rPr>
          <w:rFonts w:asciiTheme="minorHAnsi" w:hAnsiTheme="minorHAnsi" w:cstheme="minorHAnsi"/>
          <w:sz w:val="22"/>
          <w:szCs w:val="22"/>
        </w:rPr>
      </w:pPr>
    </w:p>
    <w:p w14:paraId="26C41172" w14:textId="77777777" w:rsidR="00B31023" w:rsidRPr="00B542A0" w:rsidRDefault="00B31023" w:rsidP="00B31023">
      <w:pPr>
        <w:jc w:val="both"/>
        <w:rPr>
          <w:rFonts w:asciiTheme="minorHAnsi" w:hAnsiTheme="minorHAnsi" w:cstheme="minorHAnsi"/>
          <w:sz w:val="22"/>
          <w:szCs w:val="22"/>
        </w:rPr>
      </w:pPr>
      <w:r w:rsidRPr="00B542A0">
        <w:rPr>
          <w:rFonts w:asciiTheme="minorHAnsi" w:hAnsiTheme="minorHAnsi" w:cstheme="minorHAnsi"/>
          <w:sz w:val="22"/>
          <w:szCs w:val="22"/>
        </w:rPr>
        <w:t xml:space="preserve">2019 m. </w:t>
      </w:r>
      <w:r>
        <w:rPr>
          <w:rFonts w:asciiTheme="minorHAnsi" w:hAnsiTheme="minorHAnsi" w:cstheme="minorHAnsi"/>
          <w:sz w:val="22"/>
          <w:szCs w:val="22"/>
        </w:rPr>
        <w:t xml:space="preserve">birželio 27 </w:t>
      </w:r>
      <w:r w:rsidRPr="00B542A0">
        <w:rPr>
          <w:rFonts w:asciiTheme="minorHAnsi" w:hAnsiTheme="minorHAnsi" w:cstheme="minorHAnsi"/>
          <w:sz w:val="22"/>
          <w:szCs w:val="22"/>
        </w:rPr>
        <w:t xml:space="preserve">d. </w:t>
      </w:r>
      <w:r>
        <w:rPr>
          <w:rFonts w:asciiTheme="minorHAnsi" w:hAnsiTheme="minorHAnsi" w:cstheme="minorHAnsi"/>
          <w:sz w:val="22"/>
          <w:szCs w:val="22"/>
        </w:rPr>
        <w:t xml:space="preserve">nutartis </w:t>
      </w:r>
      <w:r w:rsidRPr="00B542A0">
        <w:rPr>
          <w:rFonts w:asciiTheme="minorHAnsi" w:hAnsiTheme="minorHAnsi" w:cstheme="minorHAnsi"/>
          <w:sz w:val="22"/>
          <w:szCs w:val="22"/>
        </w:rPr>
        <w:t xml:space="preserve">administracinėje byloje Nr. </w:t>
      </w:r>
      <w:r w:rsidRPr="000E2116">
        <w:rPr>
          <w:rFonts w:asciiTheme="minorHAnsi" w:hAnsiTheme="minorHAnsi" w:cstheme="minorHAnsi"/>
          <w:sz w:val="22"/>
          <w:szCs w:val="22"/>
        </w:rPr>
        <w:t>eA-802-520/2019</w:t>
      </w:r>
    </w:p>
    <w:p w14:paraId="4ADE0BEB" w14:textId="77777777" w:rsidR="00B31023" w:rsidRPr="00B542A0" w:rsidRDefault="00B31023" w:rsidP="00B31023">
      <w:pPr>
        <w:jc w:val="both"/>
        <w:rPr>
          <w:rFonts w:asciiTheme="minorHAnsi" w:hAnsiTheme="minorHAnsi" w:cstheme="minorHAnsi"/>
          <w:sz w:val="22"/>
          <w:szCs w:val="22"/>
        </w:rPr>
      </w:pPr>
      <w:r w:rsidRPr="00B542A0">
        <w:rPr>
          <w:rFonts w:asciiTheme="minorHAnsi" w:hAnsiTheme="minorHAnsi" w:cstheme="minorHAnsi"/>
          <w:sz w:val="22"/>
          <w:szCs w:val="22"/>
        </w:rPr>
        <w:t xml:space="preserve">Teisminio proceso Nr. </w:t>
      </w:r>
      <w:r w:rsidRPr="000E2116">
        <w:rPr>
          <w:rFonts w:asciiTheme="minorHAnsi" w:hAnsiTheme="minorHAnsi" w:cstheme="minorHAnsi"/>
          <w:sz w:val="22"/>
          <w:szCs w:val="22"/>
        </w:rPr>
        <w:t>3-61-3-01888-2017-8</w:t>
      </w:r>
    </w:p>
    <w:p w14:paraId="437C177A" w14:textId="4CD0D297" w:rsidR="00B31023" w:rsidRPr="00B542A0" w:rsidRDefault="00B31023" w:rsidP="00B31023">
      <w:pPr>
        <w:jc w:val="both"/>
        <w:rPr>
          <w:rFonts w:asciiTheme="minorHAnsi" w:hAnsiTheme="minorHAnsi" w:cstheme="minorHAnsi"/>
          <w:sz w:val="22"/>
          <w:szCs w:val="22"/>
        </w:rPr>
      </w:pPr>
      <w:r w:rsidRPr="00B542A0">
        <w:rPr>
          <w:rFonts w:asciiTheme="minorHAnsi" w:hAnsiTheme="minorHAnsi" w:cstheme="minorHAnsi"/>
          <w:sz w:val="22"/>
          <w:szCs w:val="22"/>
        </w:rPr>
        <w:t>Procesinio sprendimo kategorija</w:t>
      </w:r>
      <w:r>
        <w:rPr>
          <w:rFonts w:asciiTheme="minorHAnsi" w:hAnsiTheme="minorHAnsi" w:cstheme="minorHAnsi"/>
          <w:sz w:val="22"/>
          <w:szCs w:val="22"/>
        </w:rPr>
        <w:t xml:space="preserve"> 29.7</w:t>
      </w:r>
    </w:p>
    <w:p w14:paraId="0A9D8CBF" w14:textId="092A31BD" w:rsidR="00B31023" w:rsidRDefault="00E31BD2" w:rsidP="00B31023">
      <w:pPr>
        <w:jc w:val="both"/>
      </w:pPr>
      <w:hyperlink r:id="rId18" w:history="1">
        <w:r w:rsidR="00B31023" w:rsidRPr="00BC21F5">
          <w:rPr>
            <w:rStyle w:val="Hipersaitas"/>
            <w:rFonts w:asciiTheme="minorHAnsi" w:hAnsiTheme="minorHAnsi" w:cstheme="minorHAnsi"/>
            <w:sz w:val="22"/>
            <w:szCs w:val="22"/>
          </w:rPr>
          <w:t>Prieiga internete</w:t>
        </w:r>
      </w:hyperlink>
      <w:r w:rsidR="00EB1F2A">
        <w:rPr>
          <w:rFonts w:asciiTheme="minorHAnsi" w:hAnsiTheme="minorHAnsi" w:cstheme="minorHAnsi"/>
          <w:sz w:val="22"/>
          <w:szCs w:val="22"/>
        </w:rPr>
        <w:t xml:space="preserve"> </w:t>
      </w:r>
    </w:p>
    <w:p w14:paraId="1337D5F2" w14:textId="77777777" w:rsidR="00DC0D99" w:rsidRPr="00DC0D99" w:rsidRDefault="00DC0D99" w:rsidP="00DC0D99">
      <w:pPr>
        <w:tabs>
          <w:tab w:val="left" w:pos="142"/>
        </w:tabs>
        <w:ind w:right="38" w:firstLine="567"/>
        <w:jc w:val="both"/>
        <w:rPr>
          <w:rFonts w:ascii="Calibri" w:eastAsia="Calibri" w:hAnsi="Calibri"/>
          <w:sz w:val="22"/>
          <w:szCs w:val="22"/>
          <w:lang w:eastAsia="en-US"/>
        </w:rPr>
      </w:pPr>
    </w:p>
    <w:p w14:paraId="601766D9" w14:textId="77777777" w:rsidR="00DC0D99" w:rsidRPr="00DC0D99" w:rsidRDefault="00DC0D99" w:rsidP="00DC0D99">
      <w:pPr>
        <w:jc w:val="both"/>
        <w:outlineLvl w:val="0"/>
        <w:rPr>
          <w:rFonts w:ascii="Calibri" w:hAnsi="Calibri"/>
          <w:sz w:val="22"/>
          <w:szCs w:val="22"/>
          <w:u w:val="single"/>
        </w:rPr>
      </w:pPr>
      <w:bookmarkStart w:id="44" w:name="_Toc14784020"/>
      <w:r w:rsidRPr="00DC0D99">
        <w:rPr>
          <w:rFonts w:ascii="Calibri" w:hAnsi="Calibri"/>
          <w:b/>
          <w:sz w:val="22"/>
          <w:szCs w:val="22"/>
          <w:u w:val="single"/>
        </w:rPr>
        <w:t>33. Finansų rinkų priežiūra</w:t>
      </w:r>
      <w:bookmarkEnd w:id="44"/>
    </w:p>
    <w:p w14:paraId="7CD18D09" w14:textId="77777777" w:rsidR="00DC0D99" w:rsidRPr="00DC0D99" w:rsidRDefault="00DC0D99" w:rsidP="00DC0D99">
      <w:pPr>
        <w:ind w:firstLine="567"/>
        <w:jc w:val="both"/>
        <w:rPr>
          <w:rFonts w:ascii="Calibri" w:eastAsia="Calibri" w:hAnsi="Calibri"/>
          <w:sz w:val="22"/>
          <w:szCs w:val="22"/>
          <w:lang w:eastAsia="en-US"/>
        </w:rPr>
      </w:pPr>
    </w:p>
    <w:p w14:paraId="0E1C9C4A" w14:textId="77777777" w:rsidR="00DC0D99" w:rsidRPr="00DC0D99" w:rsidRDefault="00DC0D99" w:rsidP="00DC0D99">
      <w:pPr>
        <w:jc w:val="both"/>
        <w:outlineLvl w:val="1"/>
        <w:rPr>
          <w:rFonts w:ascii="Calibri" w:eastAsia="Calibri" w:hAnsi="Calibri"/>
          <w:i/>
          <w:sz w:val="22"/>
          <w:szCs w:val="22"/>
        </w:rPr>
      </w:pPr>
      <w:bookmarkStart w:id="45" w:name="_Toc14784021"/>
      <w:r w:rsidRPr="00DC0D99">
        <w:rPr>
          <w:rFonts w:ascii="Calibri" w:eastAsia="Calibri" w:hAnsi="Calibri"/>
          <w:i/>
          <w:sz w:val="22"/>
          <w:szCs w:val="22"/>
        </w:rPr>
        <w:t>Dėl atsakomybės už finansinių priemonių portfelio valdymo paslaugos teikimą neturint tam licencijos</w:t>
      </w:r>
      <w:bookmarkEnd w:id="45"/>
      <w:r w:rsidRPr="00DC0D99">
        <w:rPr>
          <w:rFonts w:ascii="Calibri" w:eastAsia="Calibri" w:hAnsi="Calibri"/>
          <w:i/>
          <w:sz w:val="22"/>
          <w:szCs w:val="22"/>
        </w:rPr>
        <w:t xml:space="preserve"> </w:t>
      </w:r>
    </w:p>
    <w:p w14:paraId="7AA48CD5" w14:textId="77777777" w:rsidR="00DC0D99" w:rsidRPr="00DC0D99" w:rsidRDefault="00DC0D99" w:rsidP="00DC0D99">
      <w:pPr>
        <w:ind w:firstLine="567"/>
        <w:jc w:val="both"/>
        <w:rPr>
          <w:rFonts w:ascii="Calibri" w:hAnsi="Calibri"/>
          <w:sz w:val="22"/>
          <w:szCs w:val="22"/>
        </w:rPr>
      </w:pPr>
    </w:p>
    <w:p w14:paraId="15BBD24D"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Šioje byloje buvo kilęs ginčas dėl Lietuvos banko valdybos nutarimo (toliau – Nutarimas), kuriuo pareiškėjams (bendrovei ir jos vadovui) panaikinta finansų patarėjo įmonės licencija bei finansų maklerio licencija.</w:t>
      </w:r>
    </w:p>
    <w:p w14:paraId="617F7E75" w14:textId="0C27C545"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 xml:space="preserve">Nutarimas priimtas Lietuvos bankui nustačius, kad pareiškėjai sistemingai nesilaikė </w:t>
      </w:r>
      <w:r w:rsidR="008F7F33">
        <w:rPr>
          <w:rFonts w:ascii="Calibri" w:eastAsia="Calibri" w:hAnsi="Calibri"/>
          <w:sz w:val="22"/>
          <w:szCs w:val="22"/>
          <w:lang w:eastAsia="en-US"/>
        </w:rPr>
        <w:t>F</w:t>
      </w:r>
      <w:r w:rsidRPr="00DC0D99">
        <w:rPr>
          <w:rFonts w:ascii="Calibri" w:eastAsia="Calibri" w:hAnsi="Calibri"/>
          <w:sz w:val="22"/>
          <w:szCs w:val="22"/>
          <w:lang w:eastAsia="en-US"/>
        </w:rPr>
        <w:t>inansinių priemo</w:t>
      </w:r>
      <w:r w:rsidR="008F7F33">
        <w:rPr>
          <w:rFonts w:ascii="Calibri" w:eastAsia="Calibri" w:hAnsi="Calibri"/>
          <w:sz w:val="22"/>
          <w:szCs w:val="22"/>
          <w:lang w:eastAsia="en-US"/>
        </w:rPr>
        <w:t xml:space="preserve">nių rinkų įstatymo (toliau – </w:t>
      </w:r>
      <w:r w:rsidRPr="00DC0D99">
        <w:rPr>
          <w:rFonts w:ascii="Calibri" w:eastAsia="Calibri" w:hAnsi="Calibri"/>
          <w:sz w:val="22"/>
          <w:szCs w:val="22"/>
          <w:lang w:eastAsia="en-US"/>
        </w:rPr>
        <w:t>FPRĮ) reikalavimų. Atlikus tikslinį patikrinimą nustatyta, kad pareiškėjai pažeidė: 1) FPRĮ 4 straipsnio 1 dalies nuostatą, reikalaujančią turėti investicinėms paslaugoms (šiuo atveju – finansinių priemonių portfelio valdymo paslaugai) teikti reikiamą licenciją; 2) FPRĮ 4 straipsnio 7 dalies 4 punkto reikalavimą, nes teikė pavedimų priėmimo ir perdavimo paslaugas bei perduodavo klientų pavedimus trečiųjų šalių (ne valstybių narių) jurisdikcijoje įsteigtiems subjektams; 3) FPRĮ 22 straipsnio 5–7 dalių reikalavimus, nes klientams teikė paslaugas, neatitinkančias jų investavimo tikslų, rizikos tolerancijos ribų, patirties bei žinių; 4) FPRĮ 13 straipsnio 2 dalies ir 21 straipsnio 1–2 dalių reikalavimus, nes klientams neatskleidė interesų konflikto turinio ir nesiėmė priemonių jo suvaldyti; 5) Investicinių paslaugų teikimo ir klientų pavedimų priėmimo ir vykdymo taisyklių, patvirtintų Lietuvos banko valdybos 2012 m. liepos 12 d. n</w:t>
      </w:r>
      <w:r w:rsidR="008F7F33">
        <w:rPr>
          <w:rFonts w:ascii="Calibri" w:eastAsia="Calibri" w:hAnsi="Calibri"/>
          <w:sz w:val="22"/>
          <w:szCs w:val="22"/>
          <w:lang w:eastAsia="en-US"/>
        </w:rPr>
        <w:t xml:space="preserve">utarimu Nr. 03-157 (toliau – </w:t>
      </w:r>
      <w:r w:rsidRPr="00DC0D99">
        <w:rPr>
          <w:rFonts w:ascii="Calibri" w:eastAsia="Calibri" w:hAnsi="Calibri"/>
          <w:sz w:val="22"/>
          <w:szCs w:val="22"/>
          <w:lang w:eastAsia="en-US"/>
        </w:rPr>
        <w:t>IPT taisyklės) 67 punkto nuostatas, nes pavedimų registracijos žurnale registravo ne visus klientų pavedimus.</w:t>
      </w:r>
    </w:p>
    <w:p w14:paraId="732327F7" w14:textId="4202C585"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Išplėstinė teisėjų kolegija nustatė, kad dalis pažeidimų ginčytame akte bu</w:t>
      </w:r>
      <w:r w:rsidR="008F7F33">
        <w:rPr>
          <w:rFonts w:ascii="Calibri" w:eastAsia="Calibri" w:hAnsi="Calibri"/>
          <w:sz w:val="22"/>
          <w:szCs w:val="22"/>
          <w:lang w:eastAsia="en-US"/>
        </w:rPr>
        <w:t>vo pripažinta praleidus FPRĮ 84 </w:t>
      </w:r>
      <w:r w:rsidRPr="00DC0D99">
        <w:rPr>
          <w:rFonts w:ascii="Calibri" w:eastAsia="Calibri" w:hAnsi="Calibri"/>
          <w:sz w:val="22"/>
          <w:szCs w:val="22"/>
          <w:lang w:eastAsia="en-US"/>
        </w:rPr>
        <w:t>straipsnio 2 dalyje nustatytą atsakomybės taikymo terminą. Atsakovas praleido atsakomybės taikymo senaties terminą ir todėl neturėjo teisės poveikio priemonės skyrimą grįsti aplinkybėmis, kurios Nutarime nurodytos kaip FPRĮ 4 straipsnio 7 dalies 4 punkto pažeidimas, bei dalimi aplinkybių, kurios Nutarime nurodytos kaip FPRĮ 22 straipsnio 5-7 dalių pažeidimas. Taip pat Nutarime nepagrįstai konstatuotas IPT taisyklių 67 punkto pažeidimas ir Nutarimo dalis, kurioje konstatuoti FPRĮ 22 straipsnio 5-7 dalių p</w:t>
      </w:r>
      <w:r w:rsidR="008F7F33">
        <w:rPr>
          <w:rFonts w:ascii="Calibri" w:eastAsia="Calibri" w:hAnsi="Calibri"/>
          <w:sz w:val="22"/>
          <w:szCs w:val="22"/>
          <w:lang w:eastAsia="en-US"/>
        </w:rPr>
        <w:t>ažeidimai, FPRĮ 13 straipsnio 2 </w:t>
      </w:r>
      <w:r w:rsidRPr="00DC0D99">
        <w:rPr>
          <w:rFonts w:ascii="Calibri" w:eastAsia="Calibri" w:hAnsi="Calibri"/>
          <w:sz w:val="22"/>
          <w:szCs w:val="22"/>
          <w:lang w:eastAsia="en-US"/>
        </w:rPr>
        <w:t>dalies ir 21 straipsnio 1-2 dalių pažeidimai, yra tinkamai nepagrįsti faktinėmis aplinkybėmis, todėl neatitinka Viešojo administravimo įstatymo 8 straipsnio reikalavimų.</w:t>
      </w:r>
    </w:p>
    <w:p w14:paraId="26C12A4A" w14:textId="77777777" w:rsidR="00DC0D99" w:rsidRPr="00960402" w:rsidRDefault="00DC0D99" w:rsidP="00DC0D99">
      <w:pPr>
        <w:ind w:firstLine="567"/>
        <w:jc w:val="both"/>
        <w:rPr>
          <w:rFonts w:ascii="Calibri" w:eastAsia="Calibri" w:hAnsi="Calibri"/>
          <w:sz w:val="22"/>
          <w:szCs w:val="22"/>
          <w:u w:val="single"/>
          <w:lang w:eastAsia="en-US"/>
        </w:rPr>
      </w:pPr>
      <w:r w:rsidRPr="00960402">
        <w:rPr>
          <w:rFonts w:ascii="Calibri" w:eastAsia="Calibri" w:hAnsi="Calibri"/>
          <w:sz w:val="22"/>
          <w:szCs w:val="22"/>
          <w:u w:val="single"/>
          <w:lang w:eastAsia="en-US"/>
        </w:rPr>
        <w:lastRenderedPageBreak/>
        <w:t>Teismo sprendime suformuluotas pavyzdinis sąrašas duomenų, kuriais remiantis Lietuvos bankas turėjo pagrįsti išvadą, kad pareiškėjai teikė klientams netinkamas rekomendacijas dėl finansinių priemonių įsigijimo. Atsakovas ginčytame Nutarime nepagrindė, kodėl netinkamomis buvo pripažintos investicijos į alternatyvias ar profesionaliesiems investuotojams skirtas priemones, nes nepateikė duomenų, kurie leistų matyti, kokią dalį investicinio portfelio bendrovė rekomendavo skirti rizikingoms finansinėms priemonėms, nenurodė, kokiam laikotarpiui buvo siūloma įsigyti rekomenduotas finansines priemones ir kitų reikšmingų aplinkybių. Atsakovo teiginiai, kad parinktos finansinės priemonės yra rizikingos nebuvo pagrįsti duomenimis apie šių priemonių vertės svyravimo nestabilumą, palyginus su daugeliu kitų finansinių priemonių svyravimo stabilumu, ar kitomis reikšmingomis charakteristikomis.</w:t>
      </w:r>
    </w:p>
    <w:p w14:paraId="5B802096"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Išplėstinė teisėjų kolegija Nutarimu pritaikytą sankciją pripažino pagrįsta remiantis pareiškėjų įvykdytu FPRĮ 4 straipsnio 1 dalies pažeidimu – finansinių priemonių portfelio valdymo paslaugos teikimu neturint tam licencijos. Byloje surinkti įrodymai patvirtino pareiškėjų veiksmus, kurie negalėjo būti racionaliai paaiškinami, jeigu bendrovė šiems klientams būtų teikusi tik finansų patarėjo įmonės paslaugas, bet nebūtų savo nuožiūra valdžiusi klientų investicinio portfelio. Pareiškėjai ne visais atvejais, prieš priimdami sprendimus dėl konkrečių finansinių priemonių pirkimo arba pardavimo, gavo pavedimus iš klientų, paprastai klientai galėjo tik stebėti vykdomus pirkimus, aplinkybės apie tai, kaip buvo vykdomi pirkimai pareiškėjams buvo žinomos. Elektroniniai laiškai, kuriais klientai buvo informuojami apie jiems teiktas paslaugas buvo pasirašomi pareiškėjo (bendrovės vadovo) vardu ir jis pirmu asmeniu pristatydavo, kokius veiksmus atliko. Taip pat nenustatyta, kad bendrovės vardu aptariamą pažeidimą būtų vykdęs kitas asmuo, veikęs be bendrovės vadovo žinios ir (ar) prieš jo valią. Byloje surinkti įrodymai patvirtino, kad Nutarime pagrįstai pripažinta, jog tiek bendrovė, tiek jos vadovas įvykdė FPRĮ 4 straipsnio 1 dalies pažeidimą.</w:t>
      </w:r>
    </w:p>
    <w:p w14:paraId="5D6F142D"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Dėl pritaikytos poveikio priemonės tinkamumo byloje, be kita ko, atsižvelgta į pažeidimo sunkumą ir sankcijos tikslus. Pareiškėjų veiksmai atliekant klientų finansinių priemonių portfelio valdymą nebuvo atsitiktiniai, vienkartinio pobūdžio, jie sistemingai ir nuolat nesilaikė FPRĮ 4 straipsnio 1 dalies reikalavimo teikiant finansinių priemonių portfelio valdymo paslaugą turėti tam reikalingą licenciją. Finansinių priemonių portfelio valdymo paslaugai keliami aukšti veiklos kontrolės, rizikos valdymo ir kiti reikalavimai, finansinių priemonių portfelio valdymo veikla įstatymų leidėjo laikoma svarbia, ir be licencijos verčiantis šia griežtai reguliuojama veikla kyla esminė grėsmė sąžiningo, atviro ir efektyvaus finansinių priemonių rinkų veikimo užtikrinimui, investuotojų interesų apsaugai ir sisteminės rizikos ribojimui, todėl tai laikytina šiurkščiu įstatymo pažeidimu. Taip pat, vertinant taikomos poveikio priemonės proporcingumą ir atgrasomąjį poveikį, išplėstinė teisėjų kolegija pabrėžė, kad šiai veiklai yra būdingos potencialiai aukštos pajamos bei žemas išaiškinamumas. Pareiškėjams už aptariamą pažeidimą paskirta poveikio priemonė laikytina atitinkančią siekį, kad dėl teisinės atsakomybės teisės pažeidimai neapsimokėtų. Be to, tais atvejais, kada klientas turi valią gauti finansinių priemonių portfelio valdymo paslaugas iš neteisėtai šią paslaugą teikiančio subjekto, jie yra vieninteliai apie neteisėtą veikimą žinantys asmenys ir nei vienai iš susitarimo šalių nenukentėjus dėl pažeidimo, jos gali būti nesuinteresuotos apie jas pranešti valstybės institucijoms, todėl tokių veikų prevencija ir išaiškinimas gali būti sudėtingas. Pritaikius teisinę atsakomybę, kuri tik minimaliai viršytų iš pažeidimo gautą naudą, nebūtų užtikrinama, kad tie patys subjektai vėliau pakartotinai nevykdys tų pačių pažeidimų. Licencijų verstis finansinių paslaugų teikimo veikla panaikinimas pažeidimą įvykdžiusiems subjektams laikytinas optimalia teisine sankcija, kuri yra tinkama FPRĮ įtvirtinto teisinio reguliavimo tikslams pasiekti. Dėl to, siekiant individualios ir bendrosios tokių pažeidimų prevencijos (t. y. atgrasant nuo būsimų pakartotinių pažeidimų tiek pareiškėjus, tiek kitus asmenis), pripažinta, kad Nutarimu paskirtos poveikio priemonės yra proporcingos.</w:t>
      </w:r>
    </w:p>
    <w:p w14:paraId="0965DB97" w14:textId="1CE5A6A9"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 xml:space="preserve">Atsižvelgiant į tai, kas išdėstyta, išplėstinė teisėjų kolegija pripažino neteisėtomis Nutarimo dalis, kurios priimtos praleidus atsakomybės taikymo senaties terminą, bei, kurios neatitiko </w:t>
      </w:r>
      <w:r w:rsidR="005F2E3D">
        <w:rPr>
          <w:rFonts w:ascii="Calibri" w:eastAsia="Calibri" w:hAnsi="Calibri"/>
          <w:sz w:val="22"/>
          <w:szCs w:val="22"/>
          <w:lang w:eastAsia="en-US"/>
        </w:rPr>
        <w:t>V</w:t>
      </w:r>
      <w:r w:rsidRPr="00DC0D99">
        <w:rPr>
          <w:rFonts w:ascii="Calibri" w:eastAsia="Calibri" w:hAnsi="Calibri"/>
          <w:sz w:val="22"/>
          <w:szCs w:val="22"/>
          <w:lang w:eastAsia="en-US"/>
        </w:rPr>
        <w:t>iešojo administravimo įstatymo 8 straipsnio reikalavimų, nes buvo tinkamai nepagrįstos faktinėmis aplinkybėmis. Nutarimo dalis, kurie pripažintas FPRĮ 4 straipsnio 1 dalies pažeidimas ir pareiškėjams paskirtos poveikio priemonės, pripažinta teisėta.</w:t>
      </w:r>
    </w:p>
    <w:p w14:paraId="23A5F025" w14:textId="77777777" w:rsidR="00DC0D99" w:rsidRPr="00DC0D99" w:rsidRDefault="00DC0D99" w:rsidP="00DC0D99">
      <w:pPr>
        <w:ind w:firstLine="567"/>
        <w:jc w:val="both"/>
        <w:rPr>
          <w:rFonts w:ascii="Calibri" w:eastAsia="Calibri" w:hAnsi="Calibri"/>
          <w:sz w:val="22"/>
          <w:szCs w:val="22"/>
          <w:lang w:eastAsia="en-US"/>
        </w:rPr>
      </w:pPr>
    </w:p>
    <w:p w14:paraId="2FFA8F70" w14:textId="62AE7019" w:rsidR="00DC0D99" w:rsidRPr="00DC0D99" w:rsidRDefault="00DC0D99" w:rsidP="00DC0D99">
      <w:pPr>
        <w:tabs>
          <w:tab w:val="left" w:pos="142"/>
        </w:tabs>
        <w:ind w:right="38"/>
        <w:jc w:val="both"/>
        <w:rPr>
          <w:rFonts w:ascii="Calibri" w:eastAsia="Calibri" w:hAnsi="Calibri"/>
          <w:sz w:val="22"/>
          <w:szCs w:val="22"/>
          <w:lang w:eastAsia="en-US"/>
        </w:rPr>
      </w:pPr>
      <w:r w:rsidRPr="00DC0D99">
        <w:rPr>
          <w:rFonts w:ascii="Calibri" w:eastAsia="Calibri" w:hAnsi="Calibri"/>
          <w:bCs/>
          <w:sz w:val="22"/>
          <w:szCs w:val="22"/>
          <w:lang w:eastAsia="en-US"/>
        </w:rPr>
        <w:t xml:space="preserve">Išplėstinės teisėjų kolegijos 2019 m. </w:t>
      </w:r>
      <w:r w:rsidRPr="00DC0D99">
        <w:rPr>
          <w:rFonts w:ascii="Calibri" w:eastAsia="Calibri" w:hAnsi="Calibri"/>
          <w:sz w:val="22"/>
          <w:szCs w:val="22"/>
          <w:lang w:eastAsia="en-US"/>
        </w:rPr>
        <w:t xml:space="preserve">birželio 17 </w:t>
      </w:r>
      <w:r w:rsidRPr="00DC0D99">
        <w:rPr>
          <w:rFonts w:ascii="Calibri" w:eastAsia="Calibri" w:hAnsi="Calibri"/>
          <w:bCs/>
          <w:sz w:val="22"/>
          <w:szCs w:val="22"/>
          <w:lang w:eastAsia="en-US"/>
        </w:rPr>
        <w:t xml:space="preserve">d. </w:t>
      </w:r>
      <w:r>
        <w:rPr>
          <w:rFonts w:ascii="Calibri" w:eastAsia="Calibri" w:hAnsi="Calibri"/>
          <w:bCs/>
          <w:sz w:val="22"/>
          <w:szCs w:val="22"/>
          <w:lang w:eastAsia="en-US"/>
        </w:rPr>
        <w:t>sprendimas</w:t>
      </w:r>
      <w:r w:rsidRPr="00DC0D99">
        <w:rPr>
          <w:rFonts w:ascii="Calibri" w:eastAsia="Calibri" w:hAnsi="Calibri"/>
          <w:bCs/>
          <w:sz w:val="22"/>
          <w:szCs w:val="22"/>
          <w:lang w:eastAsia="en-US"/>
        </w:rPr>
        <w:t xml:space="preserve"> administracinėje byloje Nr. e</w:t>
      </w:r>
      <w:r w:rsidRPr="00DC0D99">
        <w:rPr>
          <w:rFonts w:ascii="Calibri" w:eastAsia="Calibri" w:hAnsi="Calibri"/>
          <w:sz w:val="22"/>
          <w:szCs w:val="22"/>
          <w:lang w:eastAsia="en-US"/>
        </w:rPr>
        <w:t>A-3609-822/2019</w:t>
      </w:r>
    </w:p>
    <w:p w14:paraId="3A5D86EB" w14:textId="77777777" w:rsidR="00DC0D99" w:rsidRPr="00DC0D99" w:rsidRDefault="00DC0D99" w:rsidP="00DC0D99">
      <w:pPr>
        <w:tabs>
          <w:tab w:val="left" w:pos="142"/>
        </w:tabs>
        <w:ind w:right="38"/>
        <w:jc w:val="both"/>
        <w:rPr>
          <w:rFonts w:ascii="Calibri" w:eastAsia="Calibri" w:hAnsi="Calibri"/>
          <w:sz w:val="22"/>
          <w:szCs w:val="22"/>
          <w:lang w:eastAsia="en-US"/>
        </w:rPr>
      </w:pPr>
      <w:r w:rsidRPr="00DC0D99">
        <w:rPr>
          <w:rFonts w:ascii="Calibri" w:eastAsia="Calibri" w:hAnsi="Calibri"/>
          <w:sz w:val="22"/>
          <w:szCs w:val="22"/>
          <w:lang w:eastAsia="en-US"/>
        </w:rPr>
        <w:t>Teisminio proceso Nr. 3-61-3-02674-2015-0</w:t>
      </w:r>
    </w:p>
    <w:p w14:paraId="310DA6EF" w14:textId="77777777" w:rsidR="00DC0D99" w:rsidRPr="00DC0D99" w:rsidRDefault="00DC0D99" w:rsidP="00DC0D99">
      <w:pPr>
        <w:tabs>
          <w:tab w:val="left" w:pos="142"/>
        </w:tabs>
        <w:ind w:right="38"/>
        <w:jc w:val="both"/>
        <w:rPr>
          <w:rFonts w:ascii="Calibri" w:eastAsia="Calibri" w:hAnsi="Calibri"/>
          <w:bCs/>
          <w:sz w:val="22"/>
          <w:szCs w:val="22"/>
          <w:lang w:eastAsia="en-US"/>
        </w:rPr>
      </w:pPr>
      <w:r w:rsidRPr="00DC0D99">
        <w:rPr>
          <w:rFonts w:ascii="Calibri" w:eastAsia="Calibri" w:hAnsi="Calibri"/>
          <w:bCs/>
          <w:sz w:val="22"/>
          <w:szCs w:val="22"/>
          <w:lang w:eastAsia="en-US"/>
        </w:rPr>
        <w:t>Procesinio sprendimo kategorija 33</w:t>
      </w:r>
    </w:p>
    <w:p w14:paraId="73C9F630" w14:textId="77777777" w:rsidR="00DC0D99" w:rsidRPr="00DC0D99" w:rsidRDefault="00E31BD2" w:rsidP="00DC0D99">
      <w:pPr>
        <w:tabs>
          <w:tab w:val="left" w:pos="142"/>
        </w:tabs>
        <w:ind w:right="38"/>
        <w:jc w:val="both"/>
        <w:rPr>
          <w:rFonts w:ascii="Calibri" w:eastAsia="Calibri" w:hAnsi="Calibri"/>
          <w:sz w:val="22"/>
          <w:szCs w:val="22"/>
          <w:lang w:eastAsia="en-US"/>
        </w:rPr>
      </w:pPr>
      <w:hyperlink r:id="rId19" w:history="1">
        <w:r w:rsidR="00DC0D99" w:rsidRPr="00DC0D99">
          <w:rPr>
            <w:rFonts w:ascii="Calibri" w:eastAsia="Calibri" w:hAnsi="Calibri"/>
            <w:color w:val="0000FF"/>
            <w:sz w:val="22"/>
            <w:szCs w:val="22"/>
            <w:u w:val="single"/>
            <w:lang w:eastAsia="en-US"/>
          </w:rPr>
          <w:t>Prieiga internete</w:t>
        </w:r>
      </w:hyperlink>
    </w:p>
    <w:p w14:paraId="46629BF4" w14:textId="77777777" w:rsidR="00DC0D99" w:rsidRDefault="00DC0D99" w:rsidP="00D05B72">
      <w:pPr>
        <w:rPr>
          <w:rFonts w:asciiTheme="minorHAnsi" w:hAnsiTheme="minorHAnsi" w:cstheme="minorHAnsi"/>
        </w:rPr>
      </w:pPr>
    </w:p>
    <w:p w14:paraId="23F28CBA" w14:textId="77777777" w:rsidR="00E2075F" w:rsidRPr="003121B7" w:rsidRDefault="00E2075F" w:rsidP="00E2075F">
      <w:pPr>
        <w:pStyle w:val="Antrat1"/>
        <w:rPr>
          <w:rFonts w:asciiTheme="minorHAnsi" w:hAnsiTheme="minorHAnsi" w:cstheme="minorHAnsi"/>
        </w:rPr>
      </w:pPr>
      <w:bookmarkStart w:id="46" w:name="_Toc14784022"/>
      <w:r w:rsidRPr="003121B7">
        <w:rPr>
          <w:rFonts w:asciiTheme="minorHAnsi" w:hAnsiTheme="minorHAnsi" w:cstheme="minorHAnsi"/>
        </w:rPr>
        <w:t>41. Kiti ginčai viešojo administravimo srityje</w:t>
      </w:r>
      <w:bookmarkEnd w:id="34"/>
      <w:bookmarkEnd w:id="46"/>
    </w:p>
    <w:p w14:paraId="2B0D8527" w14:textId="77777777" w:rsidR="00E2075F" w:rsidRPr="003121B7" w:rsidRDefault="00E2075F" w:rsidP="00E2075F">
      <w:pPr>
        <w:ind w:firstLine="567"/>
        <w:jc w:val="both"/>
        <w:rPr>
          <w:rFonts w:asciiTheme="minorHAnsi" w:hAnsiTheme="minorHAnsi" w:cstheme="minorHAnsi"/>
          <w:sz w:val="22"/>
          <w:szCs w:val="22"/>
        </w:rPr>
      </w:pPr>
    </w:p>
    <w:p w14:paraId="40B9EAE1" w14:textId="77777777" w:rsidR="00E2075F" w:rsidRPr="003121B7" w:rsidRDefault="00E2075F" w:rsidP="00C16FFA">
      <w:pPr>
        <w:pStyle w:val="Antrat2"/>
      </w:pPr>
      <w:bookmarkStart w:id="47" w:name="_Toc14784023"/>
      <w:r w:rsidRPr="003121B7">
        <w:t>Dėl mokesčių administratoriaus teisės išieškoti baudą už administracinį teisės nusižengimą iš asmens turto atsiradimo momento</w:t>
      </w:r>
      <w:bookmarkEnd w:id="47"/>
    </w:p>
    <w:p w14:paraId="37749F0B" w14:textId="77777777" w:rsidR="00E2075F" w:rsidRPr="003121B7" w:rsidRDefault="00E2075F" w:rsidP="00E2075F">
      <w:pPr>
        <w:ind w:firstLine="567"/>
        <w:jc w:val="both"/>
        <w:rPr>
          <w:rFonts w:asciiTheme="minorHAnsi" w:hAnsiTheme="minorHAnsi" w:cstheme="minorHAnsi"/>
          <w:sz w:val="22"/>
          <w:szCs w:val="22"/>
        </w:rPr>
      </w:pPr>
    </w:p>
    <w:p w14:paraId="100632A7" w14:textId="5ED61662"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Apžvelgiamoje byloje nagrinėtas ginčas kilo dėl </w:t>
      </w:r>
      <w:r w:rsidR="00397E7E">
        <w:rPr>
          <w:rFonts w:asciiTheme="minorHAnsi" w:hAnsiTheme="minorHAnsi" w:cstheme="minorHAnsi"/>
          <w:sz w:val="22"/>
          <w:szCs w:val="22"/>
        </w:rPr>
        <w:t>VMI</w:t>
      </w:r>
      <w:r w:rsidRPr="003121B7">
        <w:rPr>
          <w:rFonts w:asciiTheme="minorHAnsi" w:hAnsiTheme="minorHAnsi" w:cstheme="minorHAnsi"/>
          <w:sz w:val="22"/>
          <w:szCs w:val="22"/>
        </w:rPr>
        <w:t xml:space="preserve"> sprendimo išieškoti laiku nesumokėtas baudas už administracinius nusižengimus iš pareiškėjo turto. Pareiškėjas šio sprendimo neteisėtumą kildino iš aplinkybės, kad jo priėmimo metu dar nebuvo pasibaigęs terminas baudai sumokėti.</w:t>
      </w:r>
    </w:p>
    <w:p w14:paraId="58D1F959" w14:textId="260D525E"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 xml:space="preserve">Mokesčių administravimo įstatymo 105 straipsnio 3 dalyje nustatyta, kad teisę priverstinai išieškoti laiku nesumokėtą baudą už administracinį nusižengimą mokesčių administratorius įgyja kitą dieną po to, kai pasibaigia </w:t>
      </w:r>
      <w:r w:rsidR="00397E7E">
        <w:rPr>
          <w:rFonts w:asciiTheme="minorHAnsi" w:hAnsiTheme="minorHAnsi" w:cstheme="minorHAnsi"/>
          <w:sz w:val="22"/>
          <w:szCs w:val="22"/>
        </w:rPr>
        <w:t>ANK</w:t>
      </w:r>
      <w:r w:rsidRPr="003121B7">
        <w:rPr>
          <w:rFonts w:asciiTheme="minorHAnsi" w:hAnsiTheme="minorHAnsi" w:cstheme="minorHAnsi"/>
          <w:sz w:val="22"/>
          <w:szCs w:val="22"/>
        </w:rPr>
        <w:t xml:space="preserve"> 675 straipsnyje numatytas baudos sumokėjimo terminas. </w:t>
      </w:r>
      <w:r w:rsidR="00A334BF">
        <w:rPr>
          <w:rFonts w:asciiTheme="minorHAnsi" w:hAnsiTheme="minorHAnsi" w:cstheme="minorHAnsi"/>
          <w:sz w:val="22"/>
          <w:szCs w:val="22"/>
        </w:rPr>
        <w:t>Minimo kodekso 675 straipsnio 2 </w:t>
      </w:r>
      <w:r w:rsidRPr="003121B7">
        <w:rPr>
          <w:rFonts w:asciiTheme="minorHAnsi" w:hAnsiTheme="minorHAnsi" w:cstheme="minorHAnsi"/>
          <w:sz w:val="22"/>
          <w:szCs w:val="22"/>
        </w:rPr>
        <w:t>dalyje numatyta, kad administracinėn atsakomybėn traukiamas asmuo baudą turi sumokėti ne vėliau kaip per keturiasdešimt kalendorinių dienų nuo nutarimo skirti baudą išsiuntimo ar išdavimo jam dienos, o apskundus nutarimą skirti baudą, – ne vėliau kaip per keturiasdešimt kalendorinių dienų nuo nutarties, kuria skundas nepatenkintas, išsiuntimo ar išdavimo dienos.</w:t>
      </w:r>
    </w:p>
    <w:p w14:paraId="0A57AC85"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Šiuo aspektu apžvelgiamoje byloje buvo nustatyta, kad centrinis mokesčių administratorius sprendimą išieškoti iš pareiškėjo paskirtą baudą priėmė tuo metu, kai pastarasis buvo padavęs skundą dėl nutarimo, kuriuo skirta bauda, panaikinimo teismui ir teismas dar nebuvo išnagrinėjęs šio skundo. Tai, kaip vertino teisėjų kolegija, pažeidė minėtas įstatymų nuostatas. Atitinkamai</w:t>
      </w:r>
      <w:r>
        <w:rPr>
          <w:rFonts w:asciiTheme="minorHAnsi" w:hAnsiTheme="minorHAnsi" w:cstheme="minorHAnsi"/>
          <w:sz w:val="22"/>
          <w:szCs w:val="22"/>
        </w:rPr>
        <w:t xml:space="preserve"> </w:t>
      </w:r>
      <w:r w:rsidRPr="003121B7">
        <w:rPr>
          <w:rFonts w:asciiTheme="minorHAnsi" w:hAnsiTheme="minorHAnsi" w:cstheme="minorHAnsi"/>
          <w:sz w:val="22"/>
          <w:szCs w:val="22"/>
        </w:rPr>
        <w:t xml:space="preserve">LVAT pripažino, kad </w:t>
      </w:r>
      <w:r w:rsidRPr="003121B7">
        <w:rPr>
          <w:rFonts w:asciiTheme="minorHAnsi" w:hAnsiTheme="minorHAnsi" w:cstheme="minorHAnsi"/>
          <w:sz w:val="22"/>
          <w:szCs w:val="22"/>
          <w:u w:val="single"/>
        </w:rPr>
        <w:t>atsakovas neturėjo teisės priimti sprendimą išieškoti pareiškėjui paskirtą baudą, nes dar nebuvo suėjęs baudos sumokėjimo terminas. Tokio vertinimo nepaneigia aplinkybė, kad centrinis mokesčių administratorius nežinojo apie pareiškėjo paduotą skundą dėl nutarimo, kuriuo skirta bauda, panaikinimo teismui. Be to, tai, kad centrinis mokesčių administratorius, gavęs informaciją apie minėto nutarimo apskundimą teismui, 2018 m. vasario 21 d. sprendimu sustabdė ginčijamo sprendimo vykdymą, taip pat savaime nesudaro pagrindo pripažinti šį sprendimą teisėtu ir pagrįstu</w:t>
      </w:r>
      <w:r w:rsidRPr="003121B7">
        <w:rPr>
          <w:rFonts w:asciiTheme="minorHAnsi" w:hAnsiTheme="minorHAnsi" w:cstheme="minorHAnsi"/>
          <w:sz w:val="22"/>
          <w:szCs w:val="22"/>
        </w:rPr>
        <w:t>.</w:t>
      </w:r>
    </w:p>
    <w:p w14:paraId="60820DFB" w14:textId="77777777" w:rsidR="00E2075F" w:rsidRPr="003121B7" w:rsidRDefault="00E2075F" w:rsidP="00E2075F">
      <w:pPr>
        <w:ind w:firstLine="567"/>
        <w:jc w:val="both"/>
        <w:rPr>
          <w:rFonts w:asciiTheme="minorHAnsi" w:hAnsiTheme="minorHAnsi" w:cstheme="minorHAnsi"/>
          <w:sz w:val="22"/>
          <w:szCs w:val="22"/>
        </w:rPr>
      </w:pPr>
      <w:r w:rsidRPr="003121B7">
        <w:rPr>
          <w:rFonts w:asciiTheme="minorHAnsi" w:hAnsiTheme="minorHAnsi" w:cstheme="minorHAnsi"/>
          <w:sz w:val="22"/>
          <w:szCs w:val="22"/>
        </w:rPr>
        <w:t>LVAT tenkino pareiškėjo apeliacinį skundą ir panaikino pirmosios instancijos teismo bei centrinio mokesčių administratoriaus sprendimus.</w:t>
      </w:r>
    </w:p>
    <w:p w14:paraId="785F41B4" w14:textId="77777777" w:rsidR="00E2075F" w:rsidRPr="003121B7" w:rsidRDefault="00E2075F" w:rsidP="00E2075F">
      <w:pPr>
        <w:ind w:firstLine="567"/>
        <w:jc w:val="both"/>
        <w:rPr>
          <w:rFonts w:asciiTheme="minorHAnsi" w:hAnsiTheme="minorHAnsi" w:cstheme="minorHAnsi"/>
          <w:sz w:val="22"/>
          <w:szCs w:val="22"/>
        </w:rPr>
      </w:pPr>
    </w:p>
    <w:p w14:paraId="79688954"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2019 m. birželio 19 d.</w:t>
      </w:r>
      <w:r>
        <w:rPr>
          <w:rFonts w:asciiTheme="minorHAnsi" w:hAnsiTheme="minorHAnsi" w:cstheme="minorHAnsi"/>
          <w:sz w:val="22"/>
          <w:szCs w:val="22"/>
        </w:rPr>
        <w:t xml:space="preserve"> </w:t>
      </w:r>
      <w:r w:rsidRPr="003121B7">
        <w:rPr>
          <w:rFonts w:asciiTheme="minorHAnsi" w:hAnsiTheme="minorHAnsi" w:cstheme="minorHAnsi"/>
          <w:sz w:val="22"/>
          <w:szCs w:val="22"/>
        </w:rPr>
        <w:t>sprendimas administracinėje byloje Nr. eA-2037-556/2019</w:t>
      </w:r>
    </w:p>
    <w:p w14:paraId="3A694DEF"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Teisminio proceso Nr. 3-61-3-00331-2018-1</w:t>
      </w:r>
    </w:p>
    <w:p w14:paraId="74DF8B62" w14:textId="77777777" w:rsidR="00E2075F" w:rsidRPr="003121B7" w:rsidRDefault="00E2075F" w:rsidP="00E2075F">
      <w:pPr>
        <w:jc w:val="both"/>
        <w:rPr>
          <w:rFonts w:asciiTheme="minorHAnsi" w:hAnsiTheme="minorHAnsi" w:cstheme="minorHAnsi"/>
          <w:sz w:val="22"/>
          <w:szCs w:val="22"/>
        </w:rPr>
      </w:pPr>
      <w:r w:rsidRPr="003121B7">
        <w:rPr>
          <w:rFonts w:asciiTheme="minorHAnsi" w:hAnsiTheme="minorHAnsi" w:cstheme="minorHAnsi"/>
          <w:sz w:val="22"/>
          <w:szCs w:val="22"/>
        </w:rPr>
        <w:t>Procesinio sprendimo kategorijos: 12.6.3; 16.6.5; 12.19</w:t>
      </w:r>
    </w:p>
    <w:p w14:paraId="3EF32C55" w14:textId="77777777" w:rsidR="00E2075F" w:rsidRPr="003121B7" w:rsidRDefault="00E31BD2" w:rsidP="00E2075F">
      <w:pPr>
        <w:jc w:val="both"/>
        <w:rPr>
          <w:rFonts w:asciiTheme="minorHAnsi" w:hAnsiTheme="minorHAnsi" w:cstheme="minorHAnsi"/>
          <w:sz w:val="22"/>
          <w:szCs w:val="22"/>
        </w:rPr>
      </w:pPr>
      <w:hyperlink r:id="rId20" w:history="1">
        <w:r w:rsidR="00E2075F" w:rsidRPr="00640BA4">
          <w:rPr>
            <w:rStyle w:val="Hipersaitas"/>
            <w:rFonts w:asciiTheme="minorHAnsi" w:hAnsiTheme="minorHAnsi" w:cstheme="minorHAnsi"/>
            <w:sz w:val="22"/>
            <w:szCs w:val="22"/>
          </w:rPr>
          <w:t>Prieiga internete</w:t>
        </w:r>
      </w:hyperlink>
    </w:p>
    <w:p w14:paraId="11F88AEE" w14:textId="77777777" w:rsidR="00E2075F" w:rsidRPr="003121B7" w:rsidRDefault="00E2075F" w:rsidP="00E2075F">
      <w:pPr>
        <w:jc w:val="both"/>
        <w:rPr>
          <w:rFonts w:asciiTheme="minorHAnsi" w:hAnsiTheme="minorHAnsi" w:cstheme="minorHAnsi"/>
          <w:i/>
          <w:iCs/>
          <w:sz w:val="22"/>
          <w:szCs w:val="22"/>
        </w:rPr>
      </w:pPr>
    </w:p>
    <w:p w14:paraId="15AF86F6" w14:textId="77777777" w:rsidR="00A84D45" w:rsidRDefault="00A84D45" w:rsidP="00025BA1">
      <w:pPr>
        <w:pStyle w:val="Apzvalgai1"/>
        <w:rPr>
          <w:rFonts w:asciiTheme="minorHAnsi" w:hAnsiTheme="minorHAnsi" w:cstheme="minorHAnsi"/>
        </w:rPr>
      </w:pPr>
      <w:bookmarkStart w:id="48" w:name="_Toc519600876"/>
      <w:bookmarkStart w:id="49" w:name="_Toc14784024"/>
      <w:r w:rsidRPr="00B240C0">
        <w:rPr>
          <w:rFonts w:asciiTheme="minorHAnsi" w:hAnsiTheme="minorHAnsi" w:cstheme="minorHAnsi"/>
        </w:rPr>
        <w:t>II. Administracinių bylų teisena</w:t>
      </w:r>
      <w:bookmarkEnd w:id="48"/>
      <w:bookmarkEnd w:id="49"/>
    </w:p>
    <w:p w14:paraId="09D93B8D" w14:textId="77777777" w:rsidR="00D41361" w:rsidRPr="00B240C0" w:rsidRDefault="00D41361" w:rsidP="00025BA1">
      <w:pPr>
        <w:pStyle w:val="Apzvalgai1"/>
        <w:outlineLvl w:val="9"/>
        <w:rPr>
          <w:rFonts w:asciiTheme="minorHAnsi" w:hAnsiTheme="minorHAnsi" w:cstheme="minorHAnsi"/>
        </w:rPr>
      </w:pPr>
    </w:p>
    <w:p w14:paraId="6DCE3BD4" w14:textId="77777777" w:rsidR="00D41361" w:rsidRDefault="00D41361" w:rsidP="00025BA1">
      <w:pPr>
        <w:pStyle w:val="Antrat1"/>
        <w:rPr>
          <w:rFonts w:asciiTheme="minorHAnsi" w:hAnsiTheme="minorHAnsi" w:cstheme="minorHAnsi"/>
        </w:rPr>
      </w:pPr>
      <w:bookmarkStart w:id="50" w:name="_Toc462150008"/>
      <w:bookmarkStart w:id="51" w:name="_Toc14784025"/>
      <w:r w:rsidRPr="00F95E16">
        <w:rPr>
          <w:rFonts w:asciiTheme="minorHAnsi" w:hAnsiTheme="minorHAnsi" w:cstheme="minorHAnsi"/>
        </w:rPr>
        <w:t>43. Teisė kreiptis į teismą ir jos realizavimas</w:t>
      </w:r>
      <w:bookmarkEnd w:id="50"/>
      <w:bookmarkEnd w:id="51"/>
    </w:p>
    <w:bookmarkEnd w:id="9"/>
    <w:bookmarkEnd w:id="10"/>
    <w:p w14:paraId="0C1DAC8C" w14:textId="77777777" w:rsidR="00D05B72" w:rsidRPr="00367110" w:rsidRDefault="00D05B72" w:rsidP="00D05B72">
      <w:pPr>
        <w:ind w:firstLine="567"/>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43.5. Atsisakymas priimti skundą</w:t>
      </w:r>
    </w:p>
    <w:p w14:paraId="697136C5" w14:textId="77777777" w:rsidR="00D05B72" w:rsidRPr="00367110" w:rsidRDefault="00D05B72" w:rsidP="00D05B72">
      <w:pPr>
        <w:ind w:firstLine="1134"/>
        <w:rPr>
          <w:rFonts w:asciiTheme="minorHAnsi" w:hAnsiTheme="minorHAnsi" w:cstheme="minorHAnsi"/>
          <w:b/>
          <w:bCs/>
          <w:sz w:val="22"/>
          <w:szCs w:val="22"/>
          <w:u w:val="single"/>
        </w:rPr>
      </w:pPr>
      <w:r w:rsidRPr="00367110">
        <w:rPr>
          <w:rFonts w:asciiTheme="minorHAnsi" w:hAnsiTheme="minorHAnsi" w:cstheme="minorHAnsi"/>
          <w:b/>
          <w:bCs/>
          <w:sz w:val="22"/>
          <w:szCs w:val="22"/>
          <w:u w:val="single"/>
        </w:rPr>
        <w:t>43.5.2. Kai byla nepriskirtina tam teismui</w:t>
      </w:r>
    </w:p>
    <w:p w14:paraId="374F2172" w14:textId="77777777" w:rsidR="00D05B72" w:rsidRPr="00367110" w:rsidRDefault="00D05B72" w:rsidP="00D05B72">
      <w:pPr>
        <w:rPr>
          <w:rFonts w:asciiTheme="minorHAnsi" w:hAnsiTheme="minorHAnsi" w:cstheme="minorHAnsi"/>
          <w:bCs/>
          <w:sz w:val="22"/>
          <w:szCs w:val="22"/>
        </w:rPr>
      </w:pPr>
    </w:p>
    <w:p w14:paraId="71C2F23F" w14:textId="77777777" w:rsidR="00D05B72" w:rsidRPr="00367110" w:rsidRDefault="00D05B72" w:rsidP="00C16FFA">
      <w:pPr>
        <w:pStyle w:val="Antrat2"/>
      </w:pPr>
      <w:bookmarkStart w:id="52" w:name="_Toc14784026"/>
      <w:r w:rsidRPr="00367110">
        <w:t>Dėl teritorinio administracinių bylų teismingumo, kai sprendžiamas Nacionalinės mokėjimo agentūros prašymo dėl paramos lėšų susigrąžinimo priėmimo klausimas</w:t>
      </w:r>
      <w:bookmarkEnd w:id="52"/>
    </w:p>
    <w:p w14:paraId="5ED440F0" w14:textId="77777777" w:rsidR="00D05B72" w:rsidRPr="00367110" w:rsidRDefault="00D05B72" w:rsidP="00D05B72">
      <w:pPr>
        <w:rPr>
          <w:rFonts w:asciiTheme="minorHAnsi" w:hAnsiTheme="minorHAnsi" w:cstheme="minorHAnsi"/>
          <w:bCs/>
          <w:sz w:val="22"/>
          <w:szCs w:val="22"/>
        </w:rPr>
      </w:pPr>
    </w:p>
    <w:p w14:paraId="0FCC2051" w14:textId="77777777" w:rsidR="00D05B72" w:rsidRPr="00367110"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Šioje byloje iš esmės buvo išplėtota ir pakoreguota administracinių teismų praktika dėl teritorinio administracinių bylų teismingumo, kai sprendžiamas Nacionalinės mokėjimo agentūros prašymo dėl paramos lėšų susigrąžinimo priėmimo klausimas.</w:t>
      </w:r>
    </w:p>
    <w:p w14:paraId="250070D6" w14:textId="77777777" w:rsidR="00D05B72" w:rsidRPr="00367110"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Išplėstinė teisėjų kolegija, išanalizavusi ginčui aktualų teisinį reguliavimą dėl administracinių bylų teritorinio teismingumo, pažymėjo, jog pagal bendrą taisyklę skundas (prašymas, pareiškimas) turi būti paduodamas tam administraciniam teismui, kurio veikimo teritorijoje yra atsakovo buveinė (gyvenamoji vieta). Byloje nebuvo nustatytos aplinkybės, kurios sudarytų pagrindą taikyti ABTĮ įtvirtintas šios taisyklės išimtis (pvz., dėl kelių tarpusavyje susijusių reikalavimų, dėl reikalavimų keliems atsakovams ir kt.).</w:t>
      </w:r>
    </w:p>
    <w:p w14:paraId="1CF57811" w14:textId="77777777" w:rsidR="00D05B72" w:rsidRPr="00367110"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Nors ABTĮ 20 straipsnio 4 dalis nustato, kad Vilniaus apygardos administracinis teismas pirmąja instancija taip pat nagrinėja kitas bylas, pagal galiojančius įstatymus priskirtas Vilniaus apygardos administracinio teismo kompetencijai, išplėstinė teisėjų kolegija atkreipė dėmesį, kad šiuo metu galiojantys įstatymai neįtvirtina, jog NMA inicijuojami ginčai, kylantys dėl paramos lėšų grąžinimo, būtų priskirti išimtinei Vilniaus apygardos administracinio teismo kompetencijai. Šiame kontekste pabrėžė, kad pareiškėjo atskirajame skunde </w:t>
      </w:r>
      <w:r w:rsidRPr="00367110">
        <w:rPr>
          <w:rFonts w:asciiTheme="minorHAnsi" w:hAnsiTheme="minorHAnsi" w:cstheme="minorHAnsi"/>
          <w:bCs/>
          <w:sz w:val="22"/>
          <w:szCs w:val="22"/>
        </w:rPr>
        <w:lastRenderedPageBreak/>
        <w:t>akcentuojamas teisinis reguliavimas (Lietuvos kaimo plėtros 2014–2020 metų programos administravimo taisyklių 213 punktas, pagal kurį pareiškėjai ir (arba) paramos gavėjai, nesutikdami su Mokėjimo agentūros ir (arba) VI (t. y. vadovaujančioji institucija) sprendimais, veikimu ar neveikimu, gali tiesiogiai kreiptis į Lietuvos administracinių ginčų komisiją arba Vilniaus apygardos administracinį teismą teisės aktų nustatyta tvarka) yra įtvirtintas ne įstatymu, o Lietuvos Respublikos žemės ūkio ministro įsakymu, be to, jis reglamentuoja kitus teisinius santykius, todėl šiuo atveju ABTĮ 20 straipsnio 4 dalis netaikytina.</w:t>
      </w:r>
    </w:p>
    <w:p w14:paraId="100BF21B" w14:textId="0FE8C42E" w:rsidR="00D05B72" w:rsidRPr="00367110"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Išplėstinė teisėjų kolegija taip pat nurodė, kad minėtos išvados niekaip nekeičia ir pareiškėjo atskirajame skunde akcentuojama aplinkybė, jog kilęs ginčas dėl paramos lėšų grąžinimo yra susijęs su NMA sprendimu dėl sankcijos taikymo (išmokėtų paramos lėšų susigrąžinimo). Šiuo aspektu išplėstinė teisėjų kolegija atkreipė dėmesį į </w:t>
      </w:r>
      <w:r w:rsidR="00AB7A45">
        <w:rPr>
          <w:rFonts w:asciiTheme="minorHAnsi" w:hAnsiTheme="minorHAnsi" w:cstheme="minorHAnsi"/>
          <w:bCs/>
          <w:sz w:val="22"/>
          <w:szCs w:val="22"/>
        </w:rPr>
        <w:t>LVAT</w:t>
      </w:r>
      <w:r w:rsidRPr="00367110">
        <w:rPr>
          <w:rFonts w:asciiTheme="minorHAnsi" w:hAnsiTheme="minorHAnsi" w:cstheme="minorHAnsi"/>
          <w:bCs/>
          <w:sz w:val="22"/>
          <w:szCs w:val="22"/>
        </w:rPr>
        <w:t xml:space="preserve"> išplėstinės teisėjų kolegijos 2019 m. gegužės 29 d. nutartį administracinėje byloje Nr. eA-475-556/2019, kurioje pažymėta, jog sprendimas dėl grąžintinų lėšų sugrąžinimo yra individualus administracinis aktas, galintis būti savarankišku administracinės bylos nagrinėjimo dalyku. Atsižvelgusi į tai, kad sprendimas dėl sankcijos taikymo atsakovui šioje byloje nebuvo ginčijamas, išplėstinė teisėjų kolegija konstatavo, jog jis neturi jokios reikšmės nustatant šios administracinės bylos teritorinį teismingumą ir nesudaro pagrindo konstatuoti, kad pareiškėjas vien dėl to, jog ginčas dėl paramos lėšų grąžinimo tam tikra prasme yra susijęs su minėtu sprendimu, turi teisę kreiptis į Vilniaus apygardos administracinį teismą, nesilaikydamas ABTĮ reikalavimų.</w:t>
      </w:r>
    </w:p>
    <w:p w14:paraId="3553A5B0" w14:textId="77777777" w:rsidR="00D05B72" w:rsidRPr="00367110" w:rsidRDefault="00D05B72" w:rsidP="00D05B72">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Taigi, išplėstinė teisėjų kolegija pritarė pirmosios instancijos teismo išvadai, kad šiuo atveju byla turėtų būti nagrinėjama pagal atsakovo buveinės vietą. Todėl pirmosios instancijos teismas pagrįstai ir teisingai, vadovaudamasis ABTĮ 33 straipsnio 2 dalies 2 punktu, atsisakė priimti pareiškėjo prašymą.</w:t>
      </w:r>
    </w:p>
    <w:p w14:paraId="65082D66" w14:textId="77777777" w:rsidR="00D05B72" w:rsidRPr="00367110" w:rsidRDefault="00D05B72" w:rsidP="00D05B72">
      <w:pPr>
        <w:ind w:firstLine="567"/>
        <w:jc w:val="both"/>
        <w:rPr>
          <w:rFonts w:asciiTheme="minorHAnsi" w:hAnsiTheme="minorHAnsi" w:cstheme="minorHAnsi"/>
          <w:sz w:val="22"/>
          <w:szCs w:val="22"/>
        </w:rPr>
      </w:pPr>
    </w:p>
    <w:p w14:paraId="05C28171"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Išplėstinės teisėjų kolegijos 2019 m. birželio 26 d. nutartis administracinėje byloje Nr. </w:t>
      </w:r>
      <w:r w:rsidRPr="00367110">
        <w:rPr>
          <w:rFonts w:asciiTheme="minorHAnsi" w:hAnsiTheme="minorHAnsi" w:cstheme="minorHAnsi"/>
          <w:bCs/>
          <w:sz w:val="22"/>
          <w:szCs w:val="22"/>
          <w:lang w:eastAsia="en-US"/>
        </w:rPr>
        <w:t>eAS-252-662/2019</w:t>
      </w:r>
    </w:p>
    <w:p w14:paraId="11EC884C"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Teisminio proceso Nr. </w:t>
      </w:r>
      <w:r w:rsidRPr="00367110">
        <w:rPr>
          <w:rFonts w:asciiTheme="minorHAnsi" w:hAnsiTheme="minorHAnsi" w:cstheme="minorHAnsi"/>
          <w:sz w:val="22"/>
          <w:szCs w:val="22"/>
          <w:lang w:eastAsia="en-US"/>
        </w:rPr>
        <w:t>3-61-3-00561-2019-7</w:t>
      </w:r>
    </w:p>
    <w:p w14:paraId="3A358096" w14:textId="77777777" w:rsidR="00D05B72" w:rsidRPr="00367110" w:rsidRDefault="00D05B72" w:rsidP="00D05B72">
      <w:pPr>
        <w:rPr>
          <w:rFonts w:asciiTheme="minorHAnsi" w:hAnsiTheme="minorHAnsi" w:cstheme="minorHAnsi"/>
          <w:sz w:val="22"/>
          <w:szCs w:val="22"/>
        </w:rPr>
      </w:pPr>
      <w:r w:rsidRPr="00367110">
        <w:rPr>
          <w:rFonts w:asciiTheme="minorHAnsi" w:hAnsiTheme="minorHAnsi" w:cstheme="minorHAnsi"/>
          <w:sz w:val="22"/>
          <w:szCs w:val="22"/>
        </w:rPr>
        <w:t xml:space="preserve">Procesinio sprendimo </w:t>
      </w:r>
      <w:r w:rsidRPr="00367110">
        <w:rPr>
          <w:rFonts w:asciiTheme="minorHAnsi" w:hAnsiTheme="minorHAnsi" w:cstheme="minorHAnsi"/>
          <w:sz w:val="22"/>
          <w:szCs w:val="22"/>
          <w:lang w:eastAsia="en-US"/>
        </w:rPr>
        <w:t>kategorija 43.10</w:t>
      </w:r>
    </w:p>
    <w:p w14:paraId="3192BE14" w14:textId="77777777" w:rsidR="00D05B72" w:rsidRPr="00367110" w:rsidRDefault="00E31BD2" w:rsidP="00D05B72">
      <w:pPr>
        <w:rPr>
          <w:rFonts w:asciiTheme="minorHAnsi" w:hAnsiTheme="minorHAnsi" w:cstheme="minorHAnsi"/>
          <w:sz w:val="22"/>
          <w:szCs w:val="22"/>
          <w:u w:val="single"/>
        </w:rPr>
      </w:pPr>
      <w:hyperlink r:id="rId21" w:history="1">
        <w:r w:rsidR="00D05B72" w:rsidRPr="00137FCF">
          <w:rPr>
            <w:rStyle w:val="Hipersaitas"/>
            <w:rFonts w:asciiTheme="minorHAnsi" w:hAnsiTheme="minorHAnsi" w:cstheme="minorHAnsi"/>
            <w:sz w:val="22"/>
            <w:szCs w:val="22"/>
          </w:rPr>
          <w:t>Prieiga internete</w:t>
        </w:r>
      </w:hyperlink>
    </w:p>
    <w:p w14:paraId="04ABFBC9" w14:textId="77777777" w:rsidR="00F124E5" w:rsidRDefault="00F124E5" w:rsidP="00F124E5">
      <w:pPr>
        <w:jc w:val="both"/>
        <w:rPr>
          <w:rFonts w:eastAsiaTheme="minorEastAsia"/>
          <w:b/>
          <w:u w:val="single"/>
        </w:rPr>
      </w:pPr>
    </w:p>
    <w:p w14:paraId="1722ECF2"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 xml:space="preserve">Procesinio sprendimo kategorija 44.5 </w:t>
      </w:r>
    </w:p>
    <w:p w14:paraId="31E8AB99" w14:textId="77777777" w:rsidR="00D83957" w:rsidRPr="00D83957" w:rsidRDefault="00E31BD2" w:rsidP="00D83957">
      <w:pPr>
        <w:tabs>
          <w:tab w:val="left" w:pos="567"/>
        </w:tabs>
        <w:jc w:val="both"/>
        <w:rPr>
          <w:rFonts w:ascii="Calibri" w:eastAsia="Calibri" w:hAnsi="Calibri"/>
          <w:iCs/>
          <w:sz w:val="22"/>
          <w:szCs w:val="22"/>
          <w:lang w:eastAsia="en-US"/>
        </w:rPr>
      </w:pPr>
      <w:hyperlink r:id="rId22" w:history="1">
        <w:r w:rsidR="00D83957" w:rsidRPr="00D83957">
          <w:rPr>
            <w:rFonts w:ascii="Calibri" w:eastAsia="Calibri" w:hAnsi="Calibri"/>
            <w:iCs/>
            <w:color w:val="0000FF"/>
            <w:sz w:val="22"/>
            <w:szCs w:val="22"/>
            <w:u w:val="single"/>
            <w:lang w:eastAsia="en-US"/>
          </w:rPr>
          <w:t>Prieiga internete</w:t>
        </w:r>
      </w:hyperlink>
      <w:r w:rsidR="00D83957" w:rsidRPr="00D83957">
        <w:rPr>
          <w:rFonts w:ascii="Calibri" w:eastAsia="Calibri" w:hAnsi="Calibri"/>
          <w:iCs/>
          <w:sz w:val="22"/>
          <w:szCs w:val="22"/>
          <w:lang w:eastAsia="en-US"/>
        </w:rPr>
        <w:t xml:space="preserve"> </w:t>
      </w:r>
    </w:p>
    <w:p w14:paraId="460BE273" w14:textId="77777777" w:rsidR="00D83957" w:rsidRPr="00D83957" w:rsidRDefault="00D83957" w:rsidP="00D83957">
      <w:pPr>
        <w:tabs>
          <w:tab w:val="left" w:pos="567"/>
        </w:tabs>
        <w:jc w:val="both"/>
        <w:rPr>
          <w:rFonts w:ascii="Calibri" w:eastAsia="Calibri" w:hAnsi="Calibri"/>
          <w:iCs/>
          <w:sz w:val="22"/>
          <w:szCs w:val="22"/>
          <w:lang w:eastAsia="en-US"/>
        </w:rPr>
      </w:pPr>
    </w:p>
    <w:p w14:paraId="17F27150" w14:textId="77777777" w:rsidR="00DC0D99" w:rsidRPr="00DC0D99" w:rsidRDefault="00DC0D99" w:rsidP="00DC0D99">
      <w:pPr>
        <w:jc w:val="both"/>
        <w:outlineLvl w:val="0"/>
        <w:rPr>
          <w:rFonts w:ascii="Calibri" w:hAnsi="Calibri"/>
          <w:sz w:val="22"/>
          <w:szCs w:val="22"/>
          <w:u w:val="single"/>
        </w:rPr>
      </w:pPr>
      <w:bookmarkStart w:id="53" w:name="_Toc14784027"/>
      <w:r w:rsidRPr="00DC0D99">
        <w:rPr>
          <w:rFonts w:ascii="Calibri" w:hAnsi="Calibri"/>
          <w:b/>
          <w:sz w:val="22"/>
          <w:szCs w:val="22"/>
          <w:u w:val="single"/>
        </w:rPr>
        <w:t>49. Reikalavimo užtikrinimo priemonių taikymas</w:t>
      </w:r>
      <w:bookmarkEnd w:id="53"/>
    </w:p>
    <w:p w14:paraId="4AF1CF85" w14:textId="77777777" w:rsidR="00DC0D99" w:rsidRPr="00DC0D99" w:rsidRDefault="00DC0D99" w:rsidP="00DC0D99">
      <w:pPr>
        <w:ind w:firstLine="567"/>
        <w:jc w:val="both"/>
        <w:rPr>
          <w:rFonts w:ascii="Calibri" w:eastAsia="Calibri" w:hAnsi="Calibri"/>
          <w:sz w:val="22"/>
          <w:szCs w:val="22"/>
          <w:lang w:eastAsia="en-US"/>
        </w:rPr>
      </w:pPr>
    </w:p>
    <w:p w14:paraId="39B309C4" w14:textId="77777777" w:rsidR="00DC0D99" w:rsidRPr="00DC0D99" w:rsidRDefault="00DC0D99" w:rsidP="00DC0D99">
      <w:pPr>
        <w:jc w:val="both"/>
        <w:outlineLvl w:val="1"/>
        <w:rPr>
          <w:rFonts w:ascii="Calibri" w:eastAsia="Calibri" w:hAnsi="Calibri"/>
          <w:i/>
          <w:sz w:val="22"/>
          <w:szCs w:val="22"/>
        </w:rPr>
      </w:pPr>
      <w:bookmarkStart w:id="54" w:name="_Toc14784028"/>
      <w:r w:rsidRPr="00DC0D99">
        <w:rPr>
          <w:rFonts w:ascii="Calibri" w:eastAsia="Calibri" w:hAnsi="Calibri"/>
          <w:i/>
          <w:sz w:val="22"/>
          <w:szCs w:val="22"/>
        </w:rPr>
        <w:t>Dėl prašymo sustabdyti ginčijamo akto galiojimą, kada pirmosios instancijos teismas netinkamai išsprendė skundo priėmimo klausimą</w:t>
      </w:r>
      <w:bookmarkEnd w:id="54"/>
      <w:r w:rsidRPr="00DC0D99">
        <w:rPr>
          <w:rFonts w:ascii="Calibri" w:eastAsia="Calibri" w:hAnsi="Calibri"/>
          <w:i/>
          <w:sz w:val="22"/>
          <w:szCs w:val="22"/>
        </w:rPr>
        <w:t xml:space="preserve"> </w:t>
      </w:r>
    </w:p>
    <w:p w14:paraId="248A85FD" w14:textId="77777777" w:rsidR="00DC0D99" w:rsidRPr="00DC0D99" w:rsidRDefault="00DC0D99" w:rsidP="00DC0D99">
      <w:pPr>
        <w:ind w:firstLine="567"/>
        <w:jc w:val="both"/>
        <w:rPr>
          <w:rFonts w:ascii="Calibri" w:hAnsi="Calibri"/>
          <w:sz w:val="22"/>
          <w:szCs w:val="22"/>
        </w:rPr>
      </w:pPr>
    </w:p>
    <w:p w14:paraId="7142EFF5"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Pareiškėjas kreipėsi į teismą prašydamas panaikinti Lietuvos Respublikos valstybės saugumo departamento (toliau – Departamentas) sprendimą dėl leidimo dirbti ar susipažinti su įslaptinta informacija neišdavimo ir prašė taikyti reikalavimo užtikrinimo priemonę – iki bylos išnagrinėjimo sustabdyti ginčijamo sprendimo galiojimą.</w:t>
      </w:r>
    </w:p>
    <w:p w14:paraId="2FFC7AEC"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Pirmosios instancijos teismas pareiškėjo skundą priėmė nagrinėti ir atsisakė taikyti reikalavimo užtikrinimo priemonę.</w:t>
      </w:r>
    </w:p>
    <w:p w14:paraId="04047F63"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Apeliacinės instancijos teismo teisėjų kolegija nustatė, kad pirmosios instancijos teismas priėmė nagrinėti pareiškėjo skundo reikalavimą panaikinti Departamento sprendimą dėl leidimo dirbti ar susipažinti su įslaptinta informacija neišdavimo, kuris negali būti savarankišku ginčo administraciniame teisme objektu, nes yra tarpinis viešojo administravimo subjekto dokumentas.</w:t>
      </w:r>
    </w:p>
    <w:p w14:paraId="3B97AFAA" w14:textId="6AEE4319"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 xml:space="preserve">Pareiškėjui tiesiogines teisines pasekmes sukelia Lietuvos Respublikos žemės ūkio ministro įsakymas, kuriuo nuspręsta neišduoti E. B. leidimo, suteikiančio teisę dirbti ar susipažinti su įslaptinta informacija, žymima slaptumo žyma „Slaptai“. Vadovaujantis </w:t>
      </w:r>
      <w:r w:rsidR="00520245">
        <w:rPr>
          <w:rFonts w:ascii="Calibri" w:eastAsia="Calibri" w:hAnsi="Calibri"/>
          <w:sz w:val="22"/>
          <w:szCs w:val="22"/>
          <w:lang w:eastAsia="en-US"/>
        </w:rPr>
        <w:t>V</w:t>
      </w:r>
      <w:r w:rsidRPr="00DC0D99">
        <w:rPr>
          <w:rFonts w:ascii="Calibri" w:eastAsia="Calibri" w:hAnsi="Calibri"/>
          <w:sz w:val="22"/>
          <w:szCs w:val="22"/>
          <w:lang w:eastAsia="en-US"/>
        </w:rPr>
        <w:t>alstybės ir tarnybos paslapčių įstatymo 17 straipsnio 9 dalimi, šis įsakymas skųstinas teismui.</w:t>
      </w:r>
    </w:p>
    <w:p w14:paraId="453AD729"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Šiuo atveju pirmosios instancijos teismas turėtų išaiškinti pareiškėjui teisę tikslinti skundo reikalavimus nurodant, kad savarankišku ginčo šioje administracinėje byloje objektu galėtų būti Lietuvos Respublikos žemės ūkio ministro įsakymas „Dėl sprendimo neišduoti leidimo E. B.“. Patikslinto skundo reikalavimui užtikrinti pareiškėjas gali prašyti taikyti ABTĮ 70 straipsnio 3 dalies 3 punkte nurodytą reikalavimo užtikrinimo priemonę.</w:t>
      </w:r>
    </w:p>
    <w:p w14:paraId="7D5D27E4" w14:textId="77777777" w:rsidR="00DC0D99" w:rsidRPr="00DC0D99" w:rsidRDefault="00DC0D99" w:rsidP="00DC0D99">
      <w:pPr>
        <w:ind w:firstLine="567"/>
        <w:jc w:val="both"/>
        <w:rPr>
          <w:rFonts w:ascii="Calibri" w:eastAsia="Calibri" w:hAnsi="Calibri"/>
          <w:sz w:val="22"/>
          <w:szCs w:val="22"/>
          <w:lang w:eastAsia="en-US"/>
        </w:rPr>
      </w:pPr>
      <w:r w:rsidRPr="00DC0D99">
        <w:rPr>
          <w:rFonts w:ascii="Calibri" w:eastAsia="Calibri" w:hAnsi="Calibri"/>
          <w:sz w:val="22"/>
          <w:szCs w:val="22"/>
          <w:lang w:eastAsia="en-US"/>
        </w:rPr>
        <w:t xml:space="preserve">Įvertinus šias aplinkybes, teisėjų kolegija konstatavo, kad apskųstos Vilniaus apygardos administracinio teismo nutarties dalis, kuria pirmosios instancijos teismas išsprendė pareiškėjo prašymą dėl reikalavimo užtikrinimo priemonės taikymo, yra nepagrįsta, todėl panaikinta ir Vilniaus apygardos administracinis teismas </w:t>
      </w:r>
      <w:r w:rsidRPr="00BC21F5">
        <w:rPr>
          <w:rFonts w:ascii="Calibri" w:eastAsia="Calibri" w:hAnsi="Calibri"/>
          <w:sz w:val="22"/>
          <w:szCs w:val="22"/>
          <w:lang w:eastAsia="en-US"/>
        </w:rPr>
        <w:lastRenderedPageBreak/>
        <w:t>įpareigotas išaiškinti pareiškėjui teisę tikslinti skundo reikalavimus ir pagal patikslintus skundo reikalavimus teikti prašymą dėl reikalavimo užtikrinimo priemonės taikymo.</w:t>
      </w:r>
    </w:p>
    <w:p w14:paraId="79D05A86" w14:textId="77777777" w:rsidR="00DC0D99" w:rsidRPr="00DC0D99" w:rsidRDefault="00DC0D99" w:rsidP="00DC0D99">
      <w:pPr>
        <w:ind w:firstLine="567"/>
        <w:jc w:val="both"/>
        <w:rPr>
          <w:rFonts w:ascii="Calibri" w:eastAsia="Calibri" w:hAnsi="Calibri"/>
          <w:sz w:val="22"/>
          <w:szCs w:val="22"/>
          <w:lang w:eastAsia="en-US"/>
        </w:rPr>
      </w:pPr>
    </w:p>
    <w:p w14:paraId="492DBAE5" w14:textId="77777777" w:rsidR="00DC0D99" w:rsidRPr="00DC0D99" w:rsidRDefault="00DC0D99" w:rsidP="00DC0D99">
      <w:pPr>
        <w:tabs>
          <w:tab w:val="left" w:pos="142"/>
        </w:tabs>
        <w:ind w:right="38"/>
        <w:jc w:val="both"/>
        <w:rPr>
          <w:rFonts w:ascii="Calibri" w:eastAsia="Calibri" w:hAnsi="Calibri"/>
          <w:bCs/>
          <w:sz w:val="22"/>
          <w:szCs w:val="22"/>
          <w:lang w:eastAsia="en-US"/>
        </w:rPr>
      </w:pPr>
      <w:r w:rsidRPr="00DC0D99">
        <w:rPr>
          <w:rFonts w:ascii="Calibri" w:eastAsia="Calibri" w:hAnsi="Calibri"/>
          <w:bCs/>
          <w:sz w:val="22"/>
          <w:szCs w:val="22"/>
          <w:lang w:eastAsia="en-US"/>
        </w:rPr>
        <w:t xml:space="preserve">2019 m. </w:t>
      </w:r>
      <w:r w:rsidRPr="00DC0D99">
        <w:rPr>
          <w:rFonts w:ascii="Calibri" w:eastAsia="Calibri" w:hAnsi="Calibri"/>
          <w:sz w:val="22"/>
          <w:szCs w:val="22"/>
          <w:lang w:eastAsia="en-US"/>
        </w:rPr>
        <w:t xml:space="preserve">birželio 12 </w:t>
      </w:r>
      <w:r w:rsidRPr="00DC0D99">
        <w:rPr>
          <w:rFonts w:ascii="Calibri" w:eastAsia="Calibri" w:hAnsi="Calibri"/>
          <w:bCs/>
          <w:sz w:val="22"/>
          <w:szCs w:val="22"/>
          <w:lang w:eastAsia="en-US"/>
        </w:rPr>
        <w:t>d. nutartis administracinėje byloje Nr. AS-444-261/2019</w:t>
      </w:r>
    </w:p>
    <w:p w14:paraId="7A67B28A" w14:textId="77777777" w:rsidR="00DC0D99" w:rsidRPr="00DC0D99" w:rsidRDefault="00DC0D99" w:rsidP="00DC0D99">
      <w:pPr>
        <w:tabs>
          <w:tab w:val="left" w:pos="142"/>
        </w:tabs>
        <w:ind w:right="38"/>
        <w:jc w:val="both"/>
        <w:rPr>
          <w:rFonts w:ascii="Calibri" w:eastAsia="Calibri" w:hAnsi="Calibri"/>
          <w:sz w:val="22"/>
          <w:szCs w:val="22"/>
          <w:lang w:eastAsia="en-US"/>
        </w:rPr>
      </w:pPr>
      <w:r w:rsidRPr="00DC0D99">
        <w:rPr>
          <w:rFonts w:ascii="Calibri" w:eastAsia="Calibri" w:hAnsi="Calibri"/>
          <w:bCs/>
          <w:sz w:val="22"/>
          <w:szCs w:val="22"/>
          <w:lang w:eastAsia="en-US"/>
        </w:rPr>
        <w:t>Teisminio proceso Nr. 3-61-3-01668-2019-6</w:t>
      </w:r>
    </w:p>
    <w:p w14:paraId="77393FAE" w14:textId="77777777" w:rsidR="00DC0D99" w:rsidRPr="00DC0D99" w:rsidRDefault="00DC0D99" w:rsidP="00DC0D99">
      <w:pPr>
        <w:tabs>
          <w:tab w:val="left" w:pos="142"/>
        </w:tabs>
        <w:ind w:right="38"/>
        <w:jc w:val="both"/>
        <w:rPr>
          <w:rFonts w:ascii="Calibri" w:eastAsia="Calibri" w:hAnsi="Calibri"/>
          <w:bCs/>
          <w:sz w:val="22"/>
          <w:szCs w:val="22"/>
          <w:lang w:eastAsia="en-US"/>
        </w:rPr>
      </w:pPr>
      <w:r w:rsidRPr="00DC0D99">
        <w:rPr>
          <w:rFonts w:ascii="Calibri" w:eastAsia="Calibri" w:hAnsi="Calibri"/>
          <w:bCs/>
          <w:sz w:val="22"/>
          <w:szCs w:val="22"/>
          <w:lang w:eastAsia="en-US"/>
        </w:rPr>
        <w:t>Procesinio sprendimo kategorija 49</w:t>
      </w:r>
    </w:p>
    <w:p w14:paraId="6A4CF79C" w14:textId="77777777" w:rsidR="00DC0D99" w:rsidRPr="00DC0D99" w:rsidRDefault="00E31BD2" w:rsidP="00DC0D99">
      <w:pPr>
        <w:tabs>
          <w:tab w:val="left" w:pos="142"/>
        </w:tabs>
        <w:ind w:right="38"/>
        <w:jc w:val="both"/>
        <w:rPr>
          <w:rFonts w:ascii="Calibri" w:eastAsia="Calibri" w:hAnsi="Calibri"/>
          <w:sz w:val="22"/>
          <w:szCs w:val="22"/>
          <w:lang w:eastAsia="en-US"/>
        </w:rPr>
      </w:pPr>
      <w:hyperlink r:id="rId23" w:history="1">
        <w:r w:rsidR="00DC0D99" w:rsidRPr="00DC0D99">
          <w:rPr>
            <w:rFonts w:ascii="Calibri" w:eastAsia="Calibri" w:hAnsi="Calibri"/>
            <w:color w:val="0000FF"/>
            <w:sz w:val="22"/>
            <w:szCs w:val="22"/>
            <w:u w:val="single"/>
            <w:lang w:eastAsia="en-US"/>
          </w:rPr>
          <w:t>Prieiga internete</w:t>
        </w:r>
      </w:hyperlink>
    </w:p>
    <w:p w14:paraId="7BED9066" w14:textId="77777777" w:rsidR="00DC0D99" w:rsidRPr="00D83957" w:rsidRDefault="00DC0D99" w:rsidP="00D83957">
      <w:pPr>
        <w:tabs>
          <w:tab w:val="left" w:pos="567"/>
        </w:tabs>
        <w:jc w:val="both"/>
        <w:rPr>
          <w:rFonts w:ascii="Calibri" w:eastAsia="Calibri" w:hAnsi="Calibri"/>
          <w:iCs/>
          <w:sz w:val="22"/>
          <w:szCs w:val="22"/>
          <w:lang w:eastAsia="en-US"/>
        </w:rPr>
      </w:pPr>
    </w:p>
    <w:p w14:paraId="4CA480F6" w14:textId="77777777" w:rsidR="00D83957" w:rsidRPr="00D83957" w:rsidRDefault="00D83957" w:rsidP="00F11F6C">
      <w:pPr>
        <w:pStyle w:val="Antrat1"/>
        <w:rPr>
          <w:rFonts w:ascii="Calibri" w:hAnsi="Calibri"/>
        </w:rPr>
      </w:pPr>
      <w:bookmarkStart w:id="55" w:name="_Toc774960"/>
      <w:bookmarkStart w:id="56" w:name="_Toc14784029"/>
      <w:r w:rsidRPr="00D83957">
        <w:rPr>
          <w:rFonts w:ascii="Calibri" w:hAnsi="Calibri"/>
        </w:rPr>
        <w:t>51. Pasiruošimas nagrinėti administracines bylas ir jų nagrinėjimas teisme</w:t>
      </w:r>
      <w:bookmarkEnd w:id="55"/>
      <w:bookmarkEnd w:id="56"/>
    </w:p>
    <w:p w14:paraId="5DF44A50" w14:textId="77777777" w:rsidR="00D83957" w:rsidRPr="00D83957" w:rsidRDefault="00D83957" w:rsidP="00D83957">
      <w:pPr>
        <w:ind w:firstLine="567"/>
        <w:jc w:val="both"/>
        <w:rPr>
          <w:rFonts w:ascii="Calibri" w:hAnsi="Calibri"/>
          <w:b/>
          <w:sz w:val="22"/>
          <w:szCs w:val="22"/>
          <w:u w:val="single"/>
        </w:rPr>
      </w:pPr>
      <w:r w:rsidRPr="00D83957">
        <w:rPr>
          <w:rFonts w:ascii="Calibri" w:hAnsi="Calibri"/>
          <w:b/>
          <w:sz w:val="22"/>
          <w:szCs w:val="22"/>
          <w:u w:val="single"/>
        </w:rPr>
        <w:t>51.3. Bylos perdavimas kitam teismui</w:t>
      </w:r>
    </w:p>
    <w:p w14:paraId="7FD3BCF2" w14:textId="77777777" w:rsidR="00D83957" w:rsidRPr="00D83957" w:rsidRDefault="00D83957" w:rsidP="00D83957">
      <w:pPr>
        <w:tabs>
          <w:tab w:val="left" w:pos="567"/>
        </w:tabs>
        <w:jc w:val="both"/>
        <w:rPr>
          <w:rFonts w:ascii="Calibri" w:eastAsia="Calibri" w:hAnsi="Calibri"/>
          <w:iCs/>
          <w:sz w:val="22"/>
          <w:szCs w:val="22"/>
          <w:lang w:eastAsia="en-US"/>
        </w:rPr>
      </w:pPr>
    </w:p>
    <w:p w14:paraId="7904809A" w14:textId="77777777" w:rsidR="00D83957" w:rsidRPr="00D83957" w:rsidRDefault="00D83957" w:rsidP="00C16FFA">
      <w:pPr>
        <w:pStyle w:val="Antrat2"/>
      </w:pPr>
      <w:bookmarkStart w:id="57" w:name="_Toc14784030"/>
      <w:r w:rsidRPr="00D83957">
        <w:t>Dėl bylų, kuriose prašoma panaikinti Aplinkos apsaugos departamento teritorinio skyriaus specialisto privalomąjį nurodymą, teritorinio teismingumo</w:t>
      </w:r>
      <w:bookmarkEnd w:id="57"/>
    </w:p>
    <w:p w14:paraId="3CC69B57" w14:textId="77777777" w:rsidR="00D83957" w:rsidRPr="00D83957" w:rsidRDefault="00D83957" w:rsidP="00D83957">
      <w:pPr>
        <w:tabs>
          <w:tab w:val="left" w:pos="567"/>
        </w:tabs>
        <w:jc w:val="both"/>
        <w:rPr>
          <w:rFonts w:ascii="Calibri" w:eastAsia="Calibri" w:hAnsi="Calibri"/>
          <w:iCs/>
          <w:sz w:val="22"/>
          <w:szCs w:val="22"/>
          <w:lang w:eastAsia="en-US"/>
        </w:rPr>
      </w:pPr>
    </w:p>
    <w:p w14:paraId="2A423B23" w14:textId="1929C93C"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Regionų apygardos administracinio teismo Kauno rūmuose buvo gautas pareiškėjo skundas, kuriame pareiškėjas prašė panaikinti Aplinkos apsaugos departamento prie Aplinkos ministerijos Klaipėdos valdybos Klaipėdos rajono aplinkos apsaugos inspekcijos vyr. specialisto privalomuosius</w:t>
      </w:r>
      <w:r w:rsidR="00F11F6C">
        <w:rPr>
          <w:rFonts w:ascii="Calibri" w:eastAsia="Calibri" w:hAnsi="Calibri"/>
          <w:iCs/>
          <w:sz w:val="22"/>
          <w:szCs w:val="22"/>
          <w:lang w:eastAsia="en-US"/>
        </w:rPr>
        <w:t xml:space="preserve"> nurodymus</w:t>
      </w:r>
      <w:r w:rsidRPr="00D83957">
        <w:rPr>
          <w:rFonts w:ascii="Calibri" w:eastAsia="Calibri" w:hAnsi="Calibri"/>
          <w:iCs/>
          <w:sz w:val="22"/>
          <w:szCs w:val="22"/>
          <w:lang w:eastAsia="en-US"/>
        </w:rPr>
        <w:t xml:space="preserve"> ir Aplinkos apsaugos departamento prie Aplinkos ministerijos (toliau – ir Departamentas) sprendimą, kuriuo netenkintas pareiškėjo skundas dėl privalomųjų nurodymų panaikinimo. Pareiškėjas skundu dėl to paties ginčo buvo kreipęsis į Vilniaus apygardos administracinį teismą, kuris jo skundą atsisakė priimti, išaiškindamas teisę paduoti skundą Regionų apygardos administraciniam teismui. </w:t>
      </w:r>
    </w:p>
    <w:p w14:paraId="49E38215" w14:textId="43563F9E"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r>
      <w:r w:rsidR="00F11F6C">
        <w:rPr>
          <w:rFonts w:ascii="Calibri" w:eastAsia="Calibri" w:hAnsi="Calibri"/>
          <w:iCs/>
          <w:sz w:val="22"/>
          <w:szCs w:val="22"/>
          <w:lang w:eastAsia="en-US"/>
        </w:rPr>
        <w:t>LVAT</w:t>
      </w:r>
      <w:r w:rsidRPr="00D83957">
        <w:rPr>
          <w:rFonts w:ascii="Calibri" w:eastAsia="Calibri" w:hAnsi="Calibri"/>
          <w:iCs/>
          <w:sz w:val="22"/>
          <w:szCs w:val="22"/>
          <w:lang w:eastAsia="en-US"/>
        </w:rPr>
        <w:t xml:space="preserve"> pirmininkas, remdamasis ABTĮ 69 straipsnio 1 dalies 2 punktu, 2 dalimi, 31 straipsnio 1 dalimi, konstatavo, jog nagrinėtu atveju pareiškėjas skundu ginčijo Aplinkos apsaugos departamento prie Aplinkos ministerijos Klaipėdos valdybos Klaipėdos rajono aplinkos apsaugos inspekcijos vyr. specialisto </w:t>
      </w:r>
      <w:r w:rsidRPr="00D83957">
        <w:rPr>
          <w:rFonts w:ascii="Calibri" w:eastAsia="Calibri" w:hAnsi="Calibri"/>
          <w:iCs/>
          <w:sz w:val="22"/>
          <w:szCs w:val="22"/>
          <w:u w:val="single"/>
          <w:lang w:eastAsia="en-US"/>
        </w:rPr>
        <w:t xml:space="preserve">privalomuosius nurodymus, kurie yra savarankiški pareiškėjui teisines pasekmes sukeliantys teisės aktai ir kurių ikiteisminė apskundimo tvarka yra nustatyta </w:t>
      </w:r>
      <w:r w:rsidR="00F11F6C">
        <w:rPr>
          <w:rFonts w:ascii="Calibri" w:eastAsia="Calibri" w:hAnsi="Calibri"/>
          <w:iCs/>
          <w:sz w:val="22"/>
          <w:szCs w:val="22"/>
          <w:u w:val="single"/>
          <w:lang w:eastAsia="en-US"/>
        </w:rPr>
        <w:t>A</w:t>
      </w:r>
      <w:r w:rsidRPr="00D83957">
        <w:rPr>
          <w:rFonts w:ascii="Calibri" w:eastAsia="Calibri" w:hAnsi="Calibri"/>
          <w:iCs/>
          <w:sz w:val="22"/>
          <w:szCs w:val="22"/>
          <w:u w:val="single"/>
          <w:lang w:eastAsia="en-US"/>
        </w:rPr>
        <w:t>plinkos apsaugos valstybinės kontrolės įstatymo 23 straipsnyje</w:t>
      </w:r>
      <w:r w:rsidRPr="00D83957">
        <w:rPr>
          <w:rFonts w:ascii="Calibri" w:eastAsia="Calibri" w:hAnsi="Calibri"/>
          <w:iCs/>
          <w:sz w:val="22"/>
          <w:szCs w:val="22"/>
          <w:lang w:eastAsia="en-US"/>
        </w:rPr>
        <w:t>. Teismo pirmininkas atkreipė dėmesį, kad pareiškėjas taip pat skundė</w:t>
      </w:r>
      <w:r w:rsidR="00F11F6C">
        <w:rPr>
          <w:rFonts w:ascii="Calibri" w:eastAsia="Calibri" w:hAnsi="Calibri"/>
          <w:iCs/>
          <w:sz w:val="22"/>
          <w:szCs w:val="22"/>
          <w:lang w:eastAsia="en-US"/>
        </w:rPr>
        <w:t xml:space="preserve"> Departamento s</w:t>
      </w:r>
      <w:r w:rsidRPr="00D83957">
        <w:rPr>
          <w:rFonts w:ascii="Calibri" w:eastAsia="Calibri" w:hAnsi="Calibri"/>
          <w:iCs/>
          <w:sz w:val="22"/>
          <w:szCs w:val="22"/>
          <w:lang w:eastAsia="en-US"/>
        </w:rPr>
        <w:t xml:space="preserve">prendimą, kuris buvo priimtas privaloma ginčų nagrinėjimo ne teisme tvarka išnagrinėjus pareiškėjo skundą dėl </w:t>
      </w:r>
      <w:r w:rsidR="00F11F6C">
        <w:rPr>
          <w:rFonts w:ascii="Calibri" w:eastAsia="Calibri" w:hAnsi="Calibri"/>
          <w:iCs/>
          <w:sz w:val="22"/>
          <w:szCs w:val="22"/>
          <w:lang w:eastAsia="en-US"/>
        </w:rPr>
        <w:t>p</w:t>
      </w:r>
      <w:r w:rsidRPr="00D83957">
        <w:rPr>
          <w:rFonts w:ascii="Calibri" w:eastAsia="Calibri" w:hAnsi="Calibri"/>
          <w:iCs/>
          <w:sz w:val="22"/>
          <w:szCs w:val="22"/>
          <w:lang w:eastAsia="en-US"/>
        </w:rPr>
        <w:t xml:space="preserve">rivalomųjų nurodymų teisėtumo ir pagrįstumo, todėl remdamasis ABTĮ 31 straipsnio 1 dalimi, sprendė, kad </w:t>
      </w:r>
      <w:r w:rsidRPr="00D83957">
        <w:rPr>
          <w:rFonts w:ascii="Calibri" w:eastAsia="Calibri" w:hAnsi="Calibri"/>
          <w:iCs/>
          <w:sz w:val="22"/>
          <w:szCs w:val="22"/>
          <w:u w:val="single"/>
          <w:lang w:eastAsia="en-US"/>
        </w:rPr>
        <w:t>pareiškėjo skundas nagrinė</w:t>
      </w:r>
      <w:r w:rsidR="00520245">
        <w:rPr>
          <w:rFonts w:ascii="Calibri" w:eastAsia="Calibri" w:hAnsi="Calibri"/>
          <w:iCs/>
          <w:sz w:val="22"/>
          <w:szCs w:val="22"/>
          <w:u w:val="single"/>
          <w:lang w:eastAsia="en-US"/>
        </w:rPr>
        <w:t>t</w:t>
      </w:r>
      <w:r w:rsidRPr="00D83957">
        <w:rPr>
          <w:rFonts w:ascii="Calibri" w:eastAsia="Calibri" w:hAnsi="Calibri"/>
          <w:iCs/>
          <w:sz w:val="22"/>
          <w:szCs w:val="22"/>
          <w:u w:val="single"/>
          <w:lang w:eastAsia="en-US"/>
        </w:rPr>
        <w:t>u atveju turėjo būti paduodamas tam administraciniam teismui, kurio veikimo teritorijoje yra Departamento Klaipėdos valdybos buveinė</w:t>
      </w:r>
      <w:r w:rsidRPr="00D83957">
        <w:rPr>
          <w:rFonts w:ascii="Calibri" w:eastAsia="Calibri" w:hAnsi="Calibri"/>
          <w:iCs/>
          <w:sz w:val="22"/>
          <w:szCs w:val="22"/>
          <w:lang w:eastAsia="en-US"/>
        </w:rPr>
        <w:t>, t. y. Regionų apygardos administracinio teismo Klaipėdos rūmams.</w:t>
      </w:r>
    </w:p>
    <w:p w14:paraId="38024DB3" w14:textId="77777777" w:rsidR="00D83957" w:rsidRPr="00D83957" w:rsidRDefault="00D83957" w:rsidP="00D83957">
      <w:pPr>
        <w:tabs>
          <w:tab w:val="left" w:pos="567"/>
        </w:tabs>
        <w:jc w:val="both"/>
        <w:rPr>
          <w:rFonts w:ascii="Calibri" w:eastAsia="Calibri" w:hAnsi="Calibri"/>
          <w:iCs/>
          <w:sz w:val="22"/>
          <w:szCs w:val="22"/>
          <w:lang w:eastAsia="en-US"/>
        </w:rPr>
      </w:pPr>
    </w:p>
    <w:p w14:paraId="4B6B9F59"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2019 m. birželio 3 d. nutartis administracinėje byloje Nr. eT-8-415/2019</w:t>
      </w:r>
    </w:p>
    <w:p w14:paraId="7ACCF292"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Teisminio proceso Nr. 3-632-3-00481-2019-0</w:t>
      </w:r>
    </w:p>
    <w:p w14:paraId="2382B1B1"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 xml:space="preserve">Procesinio sprendimo kategorija 51.3 </w:t>
      </w:r>
    </w:p>
    <w:p w14:paraId="3D0F9994" w14:textId="77777777" w:rsidR="00D83957" w:rsidRPr="00D83957" w:rsidRDefault="00D83957" w:rsidP="00D83957">
      <w:pPr>
        <w:tabs>
          <w:tab w:val="left" w:pos="567"/>
        </w:tabs>
        <w:jc w:val="both"/>
        <w:rPr>
          <w:rFonts w:ascii="Calibri" w:eastAsia="Calibri" w:hAnsi="Calibri"/>
          <w:iCs/>
          <w:sz w:val="22"/>
          <w:szCs w:val="22"/>
          <w:lang w:eastAsia="en-US"/>
        </w:rPr>
      </w:pPr>
    </w:p>
    <w:p w14:paraId="1A83A274" w14:textId="77777777" w:rsidR="00D83957" w:rsidRPr="00D83957" w:rsidRDefault="00D83957" w:rsidP="00D83957">
      <w:pPr>
        <w:jc w:val="both"/>
        <w:rPr>
          <w:rFonts w:ascii="Calibri" w:hAnsi="Calibri"/>
          <w:b/>
          <w:sz w:val="22"/>
          <w:szCs w:val="22"/>
          <w:u w:val="single"/>
        </w:rPr>
      </w:pPr>
      <w:bookmarkStart w:id="58" w:name="_Toc774961"/>
      <w:r w:rsidRPr="00D83957">
        <w:rPr>
          <w:rFonts w:ascii="Calibri" w:hAnsi="Calibri"/>
          <w:b/>
          <w:sz w:val="22"/>
          <w:szCs w:val="22"/>
          <w:u w:val="single"/>
        </w:rPr>
        <w:t>52. Bylos nagrinėjimo sustabdymas ir atnaujinimas</w:t>
      </w:r>
      <w:bookmarkEnd w:id="58"/>
      <w:r w:rsidRPr="00D83957">
        <w:rPr>
          <w:rFonts w:ascii="Calibri" w:hAnsi="Calibri"/>
          <w:b/>
          <w:sz w:val="22"/>
          <w:szCs w:val="22"/>
          <w:u w:val="single"/>
        </w:rPr>
        <w:t xml:space="preserve"> </w:t>
      </w:r>
    </w:p>
    <w:p w14:paraId="46FBEDE5" w14:textId="77777777" w:rsidR="00D83957" w:rsidRPr="00D83957" w:rsidRDefault="00D83957" w:rsidP="00D83957">
      <w:pPr>
        <w:ind w:firstLine="567"/>
        <w:jc w:val="both"/>
        <w:rPr>
          <w:rFonts w:ascii="Calibri" w:hAnsi="Calibri"/>
          <w:b/>
          <w:sz w:val="22"/>
          <w:szCs w:val="22"/>
          <w:u w:val="single"/>
        </w:rPr>
      </w:pPr>
      <w:r w:rsidRPr="00D83957">
        <w:rPr>
          <w:rFonts w:ascii="Calibri" w:hAnsi="Calibri"/>
          <w:b/>
          <w:sz w:val="22"/>
          <w:szCs w:val="22"/>
          <w:u w:val="single"/>
        </w:rPr>
        <w:t>52.1. Bylos nagrinėjimo sustabdymo pagrindai</w:t>
      </w:r>
    </w:p>
    <w:p w14:paraId="27AB2506" w14:textId="77777777" w:rsidR="00D83957" w:rsidRPr="00D83957" w:rsidRDefault="00D83957" w:rsidP="00D83957">
      <w:pPr>
        <w:tabs>
          <w:tab w:val="left" w:pos="567"/>
        </w:tabs>
        <w:jc w:val="both"/>
        <w:rPr>
          <w:rFonts w:ascii="Calibri" w:eastAsia="Calibri" w:hAnsi="Calibri"/>
          <w:iCs/>
          <w:sz w:val="22"/>
          <w:szCs w:val="22"/>
          <w:lang w:eastAsia="en-US"/>
        </w:rPr>
      </w:pPr>
    </w:p>
    <w:p w14:paraId="6BB82733" w14:textId="77777777" w:rsidR="00D83957" w:rsidRPr="00D83957" w:rsidRDefault="00D83957" w:rsidP="00D83957">
      <w:pPr>
        <w:jc w:val="both"/>
        <w:rPr>
          <w:rFonts w:ascii="Calibri" w:eastAsia="Calibri" w:hAnsi="Calibri"/>
          <w:i/>
          <w:sz w:val="22"/>
          <w:szCs w:val="22"/>
          <w:lang w:eastAsia="en-US"/>
        </w:rPr>
      </w:pPr>
      <w:r w:rsidRPr="00D83957">
        <w:rPr>
          <w:rFonts w:ascii="Calibri" w:eastAsia="Calibri" w:hAnsi="Calibri"/>
          <w:i/>
          <w:sz w:val="22"/>
          <w:szCs w:val="22"/>
          <w:lang w:eastAsia="en-US"/>
        </w:rPr>
        <w:t>Dėl galimybės sustabdyti bylos nagrinėjimą, pradėjus modelinę bylą</w:t>
      </w:r>
    </w:p>
    <w:p w14:paraId="12C4CF6F" w14:textId="77777777" w:rsidR="00D83957" w:rsidRPr="00D83957" w:rsidRDefault="00D83957" w:rsidP="00D83957">
      <w:pPr>
        <w:tabs>
          <w:tab w:val="left" w:pos="567"/>
        </w:tabs>
        <w:jc w:val="both"/>
        <w:rPr>
          <w:rFonts w:ascii="Calibri" w:eastAsia="Calibri" w:hAnsi="Calibri"/>
          <w:iCs/>
          <w:sz w:val="22"/>
          <w:szCs w:val="22"/>
          <w:lang w:eastAsia="en-US"/>
        </w:rPr>
      </w:pPr>
    </w:p>
    <w:p w14:paraId="23568B33" w14:textId="05870281"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Nagrinėtoje byloje vertintas pirmosios instancijos teismo nutarties, kuria</w:t>
      </w:r>
      <w:r w:rsidR="004E15E4">
        <w:rPr>
          <w:rFonts w:ascii="Calibri" w:eastAsia="Calibri" w:hAnsi="Calibri"/>
          <w:iCs/>
          <w:sz w:val="22"/>
          <w:szCs w:val="22"/>
          <w:lang w:eastAsia="en-US"/>
        </w:rPr>
        <w:t>,</w:t>
      </w:r>
      <w:r w:rsidRPr="00D83957">
        <w:rPr>
          <w:rFonts w:ascii="Calibri" w:eastAsia="Calibri" w:hAnsi="Calibri"/>
          <w:iCs/>
          <w:sz w:val="22"/>
          <w:szCs w:val="22"/>
          <w:lang w:eastAsia="en-US"/>
        </w:rPr>
        <w:t xml:space="preserve"> vadovaujantis</w:t>
      </w:r>
      <w:r w:rsidR="00C64941">
        <w:rPr>
          <w:rFonts w:ascii="Calibri" w:eastAsia="Calibri" w:hAnsi="Calibri"/>
          <w:iCs/>
          <w:sz w:val="22"/>
          <w:szCs w:val="22"/>
          <w:lang w:eastAsia="en-US"/>
        </w:rPr>
        <w:t xml:space="preserve"> ABTĮ 100 </w:t>
      </w:r>
      <w:r w:rsidRPr="00D83957">
        <w:rPr>
          <w:rFonts w:ascii="Calibri" w:eastAsia="Calibri" w:hAnsi="Calibri"/>
          <w:iCs/>
          <w:sz w:val="22"/>
          <w:szCs w:val="22"/>
          <w:lang w:eastAsia="en-US"/>
        </w:rPr>
        <w:t>straipsnio 1 dalies 12 punktu ir 101 straipsnio 1 dalies 7 punktu, bylos nagrinėjimas sustabdytas iki bus išnagrinėta kita administracinė byla, teisėtumas ir pagrįstumas.</w:t>
      </w:r>
    </w:p>
    <w:p w14:paraId="4A26EE01" w14:textId="06E8D89F"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 xml:space="preserve">LVAT pažymėjo, kad ABTĮ 100 straipsnio 1 dalies 12 punkte ir 101 straipsnio 1 dalies 7 punkte nustatytas bylos sustabdymo pagrindas yra susijęs su modeliniu procesu. ABTĮ 100 straipsnio 1 dalies 12 punktas nustato, kad teismas sustabdo bylos nagrinėjimą šio įstatymo 128 straipsnio 4 dalyje </w:t>
      </w:r>
      <w:r w:rsidR="004E15E4">
        <w:rPr>
          <w:rFonts w:ascii="Calibri" w:eastAsia="Calibri" w:hAnsi="Calibri"/>
          <w:iCs/>
          <w:sz w:val="22"/>
          <w:szCs w:val="22"/>
          <w:lang w:eastAsia="en-US"/>
        </w:rPr>
        <w:t>nurodytu atveju. Pagal ABTĮ 128 </w:t>
      </w:r>
      <w:r w:rsidRPr="00D83957">
        <w:rPr>
          <w:rFonts w:ascii="Calibri" w:eastAsia="Calibri" w:hAnsi="Calibri"/>
          <w:iCs/>
          <w:sz w:val="22"/>
          <w:szCs w:val="22"/>
          <w:lang w:eastAsia="en-US"/>
        </w:rPr>
        <w:t xml:space="preserve">straipsnio 4 dalį pradėjus modelinę bylą, kitų individualiųjų vienarūšių </w:t>
      </w:r>
      <w:r w:rsidR="004E15E4">
        <w:rPr>
          <w:rFonts w:ascii="Calibri" w:eastAsia="Calibri" w:hAnsi="Calibri"/>
          <w:iCs/>
          <w:sz w:val="22"/>
          <w:szCs w:val="22"/>
          <w:lang w:eastAsia="en-US"/>
        </w:rPr>
        <w:t>bylų, nurodytų šio įstatymo 127 </w:t>
      </w:r>
      <w:r w:rsidRPr="00D83957">
        <w:rPr>
          <w:rFonts w:ascii="Calibri" w:eastAsia="Calibri" w:hAnsi="Calibri"/>
          <w:iCs/>
          <w:sz w:val="22"/>
          <w:szCs w:val="22"/>
          <w:lang w:eastAsia="en-US"/>
        </w:rPr>
        <w:t xml:space="preserve">straipsnio 1 dalyje, nagrinėjimas sustabdomas. Teismo nutartis sustabdyti individualiosios vienarūšės bylos nagrinėjimą gali būti skundžiama atskiruoju skundu tik tuo pagrindu, kad nagrinėjama byla neatitinka šio straipsnio 1 dalyje nustatytų kriterijų. ABTĮ 128 straipsnio 1 dalis nustato, kad modelinį teismo procesą gali pradėti apygardos administracinio teismo pirmininkas teisėjo (teisėjų kolegijos) prašymu, priimdamas nutartį. Vadovaujantis šio straipsnio nuostatomis, modelinis teismo procesas gali būti pradėtas ir </w:t>
      </w:r>
      <w:r w:rsidR="00C16FFA">
        <w:rPr>
          <w:rFonts w:ascii="Calibri" w:eastAsia="Calibri" w:hAnsi="Calibri"/>
          <w:iCs/>
          <w:sz w:val="22"/>
          <w:szCs w:val="22"/>
          <w:lang w:eastAsia="en-US"/>
        </w:rPr>
        <w:t>LVAT</w:t>
      </w:r>
      <w:r w:rsidRPr="00D83957">
        <w:rPr>
          <w:rFonts w:ascii="Calibri" w:eastAsia="Calibri" w:hAnsi="Calibri"/>
          <w:iCs/>
          <w:sz w:val="22"/>
          <w:szCs w:val="22"/>
          <w:lang w:eastAsia="en-US"/>
        </w:rPr>
        <w:t xml:space="preserve"> teisėjo (teisėjų kolegijos) prašymu, teismo pirmininkui priėmus nutartį. Nutartis pradėti arba atsisakyti pradėti modelinį </w:t>
      </w:r>
      <w:r w:rsidRPr="00D83957">
        <w:rPr>
          <w:rFonts w:ascii="Calibri" w:eastAsia="Calibri" w:hAnsi="Calibri"/>
          <w:iCs/>
          <w:sz w:val="22"/>
          <w:szCs w:val="22"/>
          <w:lang w:eastAsia="en-US"/>
        </w:rPr>
        <w:lastRenderedPageBreak/>
        <w:t xml:space="preserve">procesą yra neskundžiama. Teisėjų kolegija pažymėjo, kad pagal ABTĮ 128 straipsnio 4 dalį bylos nagrinėjimas sustabdomas tik tuo atveju, jei yra pradėtas modelinis procesas. </w:t>
      </w:r>
    </w:p>
    <w:p w14:paraId="52858B55"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LVAT nutartimi pareiškėjos atskirasis skundas patenkintas, pirmosios instancijos teismo nutartis panaikinta ir bylos nagrinėjimas iš esmės atnaujintas.</w:t>
      </w:r>
    </w:p>
    <w:p w14:paraId="683F1617" w14:textId="77777777" w:rsidR="00D83957" w:rsidRPr="00D83957" w:rsidRDefault="00D83957" w:rsidP="00D83957">
      <w:pPr>
        <w:tabs>
          <w:tab w:val="left" w:pos="567"/>
        </w:tabs>
        <w:jc w:val="both"/>
        <w:rPr>
          <w:rFonts w:ascii="Calibri" w:eastAsia="Calibri" w:hAnsi="Calibri"/>
          <w:iCs/>
          <w:sz w:val="22"/>
          <w:szCs w:val="22"/>
          <w:lang w:eastAsia="en-US"/>
        </w:rPr>
      </w:pPr>
    </w:p>
    <w:p w14:paraId="573F64DE"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2019 m. birželio 19 d. nutartis administracinėje byloje Nr. AS-425-261/2019</w:t>
      </w:r>
    </w:p>
    <w:p w14:paraId="360D83CC"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Teisminio proceso Nr. 3-62-3-00876-2018-6</w:t>
      </w:r>
    </w:p>
    <w:p w14:paraId="3F85F935"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Procesinio sprendimo kategorija 52.3</w:t>
      </w:r>
    </w:p>
    <w:p w14:paraId="11B646C4" w14:textId="77777777" w:rsidR="00D83957" w:rsidRPr="00D83957" w:rsidRDefault="00E31BD2" w:rsidP="00D83957">
      <w:pPr>
        <w:tabs>
          <w:tab w:val="left" w:pos="567"/>
        </w:tabs>
        <w:jc w:val="both"/>
        <w:rPr>
          <w:rFonts w:ascii="Calibri" w:eastAsia="Calibri" w:hAnsi="Calibri"/>
          <w:iCs/>
          <w:sz w:val="22"/>
          <w:szCs w:val="22"/>
          <w:lang w:eastAsia="en-US"/>
        </w:rPr>
      </w:pPr>
      <w:hyperlink r:id="rId24" w:history="1">
        <w:r w:rsidR="00D83957" w:rsidRPr="00D83957">
          <w:rPr>
            <w:rFonts w:ascii="Calibri" w:eastAsia="Calibri" w:hAnsi="Calibri"/>
            <w:iCs/>
            <w:color w:val="0000FF"/>
            <w:sz w:val="22"/>
            <w:szCs w:val="22"/>
            <w:u w:val="single"/>
            <w:lang w:eastAsia="en-US"/>
          </w:rPr>
          <w:t>Prieiga internete</w:t>
        </w:r>
      </w:hyperlink>
      <w:r w:rsidR="00D83957" w:rsidRPr="00D83957">
        <w:rPr>
          <w:rFonts w:ascii="Calibri" w:eastAsia="Calibri" w:hAnsi="Calibri"/>
          <w:iCs/>
          <w:sz w:val="22"/>
          <w:szCs w:val="22"/>
          <w:lang w:eastAsia="en-US"/>
        </w:rPr>
        <w:t xml:space="preserve"> </w:t>
      </w:r>
    </w:p>
    <w:p w14:paraId="06D32A36" w14:textId="77777777" w:rsidR="00D83957" w:rsidRPr="00D83957" w:rsidRDefault="00D83957" w:rsidP="00D83957">
      <w:pPr>
        <w:tabs>
          <w:tab w:val="left" w:pos="567"/>
        </w:tabs>
        <w:jc w:val="both"/>
        <w:rPr>
          <w:rFonts w:ascii="Calibri" w:eastAsia="Calibri" w:hAnsi="Calibri"/>
          <w:iCs/>
          <w:sz w:val="22"/>
          <w:szCs w:val="22"/>
          <w:lang w:eastAsia="en-US"/>
        </w:rPr>
      </w:pPr>
    </w:p>
    <w:p w14:paraId="6E070DC4" w14:textId="77777777" w:rsidR="00D83957" w:rsidRPr="00C16FFA" w:rsidRDefault="00D83957" w:rsidP="00C16FFA">
      <w:pPr>
        <w:pStyle w:val="Antrat1"/>
        <w:rPr>
          <w:rFonts w:ascii="Calibri" w:hAnsi="Calibri"/>
        </w:rPr>
      </w:pPr>
      <w:bookmarkStart w:id="59" w:name="_Toc774962"/>
      <w:bookmarkStart w:id="60" w:name="_Toc14784031"/>
      <w:r w:rsidRPr="00C16FFA">
        <w:rPr>
          <w:rFonts w:ascii="Calibri" w:hAnsi="Calibri"/>
        </w:rPr>
        <w:t>53. Bylos nutraukimas</w:t>
      </w:r>
      <w:bookmarkEnd w:id="59"/>
      <w:bookmarkEnd w:id="60"/>
    </w:p>
    <w:p w14:paraId="1FA8023B" w14:textId="77777777" w:rsidR="00D83957" w:rsidRPr="00D83957" w:rsidRDefault="00D83957" w:rsidP="00D83957">
      <w:pPr>
        <w:ind w:firstLine="567"/>
        <w:jc w:val="both"/>
        <w:rPr>
          <w:rFonts w:ascii="Calibri" w:hAnsi="Calibri"/>
          <w:b/>
          <w:sz w:val="22"/>
          <w:szCs w:val="22"/>
          <w:u w:val="single"/>
        </w:rPr>
      </w:pPr>
      <w:r w:rsidRPr="00D83957">
        <w:rPr>
          <w:rFonts w:ascii="Calibri" w:hAnsi="Calibri"/>
          <w:b/>
          <w:sz w:val="22"/>
          <w:szCs w:val="22"/>
          <w:u w:val="single"/>
        </w:rPr>
        <w:t>53.7. Jeigu likvidavus juridinį asmenį, kuris buvo pareiškėjas, ginčo teisinis santykis neleidžia perimti teisių</w:t>
      </w:r>
    </w:p>
    <w:p w14:paraId="0B6A45D0" w14:textId="77777777" w:rsidR="00D83957" w:rsidRPr="00D83957" w:rsidRDefault="00D83957" w:rsidP="00D83957">
      <w:pPr>
        <w:tabs>
          <w:tab w:val="left" w:pos="567"/>
        </w:tabs>
        <w:jc w:val="both"/>
        <w:rPr>
          <w:rFonts w:ascii="Calibri" w:eastAsia="Calibri" w:hAnsi="Calibri"/>
          <w:iCs/>
          <w:sz w:val="22"/>
          <w:szCs w:val="22"/>
          <w:lang w:eastAsia="en-US"/>
        </w:rPr>
      </w:pPr>
    </w:p>
    <w:p w14:paraId="0704EEC5" w14:textId="5117C5A0" w:rsidR="00D83957" w:rsidRPr="00C16FFA" w:rsidRDefault="00D83957" w:rsidP="00C16FFA">
      <w:pPr>
        <w:pStyle w:val="Antrat2"/>
      </w:pPr>
      <w:bookmarkStart w:id="61" w:name="_Toc14784032"/>
      <w:r w:rsidRPr="00C16FFA">
        <w:t xml:space="preserve">Dėl </w:t>
      </w:r>
      <w:r w:rsidR="00C16FFA">
        <w:t>Mokestinių ginčų komisijos</w:t>
      </w:r>
      <w:r w:rsidRPr="00C16FFA">
        <w:t xml:space="preserve"> sprendimo panaikinimo, nutraukiant bylą, kai pareiškėjas, inicijavęs mokestinį ginčą, likviduojamas</w:t>
      </w:r>
      <w:bookmarkEnd w:id="61"/>
      <w:r w:rsidRPr="00C16FFA">
        <w:t xml:space="preserve"> </w:t>
      </w:r>
    </w:p>
    <w:p w14:paraId="6348A380" w14:textId="77777777" w:rsidR="00D83957" w:rsidRPr="00D83957" w:rsidRDefault="00D83957" w:rsidP="00D83957">
      <w:pPr>
        <w:tabs>
          <w:tab w:val="left" w:pos="567"/>
        </w:tabs>
        <w:jc w:val="both"/>
        <w:rPr>
          <w:rFonts w:ascii="Calibri" w:eastAsia="Calibri" w:hAnsi="Calibri"/>
          <w:iCs/>
          <w:sz w:val="22"/>
          <w:szCs w:val="22"/>
          <w:lang w:eastAsia="en-US"/>
        </w:rPr>
      </w:pPr>
    </w:p>
    <w:p w14:paraId="74B55E95" w14:textId="5BE38CD9"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 xml:space="preserve">Byloje nustatyta, jog pareiškėjas kreipėsi į Mokestinių ginčų komisiją prie Lietuvos Respublikos Vyriausybės (toliau – Komisija) su skundu, prašydamas panaikinti </w:t>
      </w:r>
      <w:r w:rsidR="00C16FFA">
        <w:rPr>
          <w:rFonts w:ascii="Calibri" w:eastAsia="Calibri" w:hAnsi="Calibri"/>
          <w:iCs/>
          <w:sz w:val="22"/>
          <w:szCs w:val="22"/>
          <w:lang w:eastAsia="en-US"/>
        </w:rPr>
        <w:t>VMI</w:t>
      </w:r>
      <w:r w:rsidRPr="00D83957">
        <w:rPr>
          <w:rFonts w:ascii="Calibri" w:eastAsia="Calibri" w:hAnsi="Calibri"/>
          <w:iCs/>
          <w:sz w:val="22"/>
          <w:szCs w:val="22"/>
          <w:lang w:eastAsia="en-US"/>
        </w:rPr>
        <w:t xml:space="preserve"> sprendimą. Komisija sprendimu pareiškėjo skundą patenkino ir VMI sprendimą panaikino. VMI kreipėsi į Vilniaus apygardos administracinį teismą su prašymu panaikinti Komisijos sprendimą. Vilniaus apygardos administracinis teismas sprendimu VMI prašymą atmetė kaip nepagrįstą. VMI apeliaciniu skundu prašė pirmosios instancijos teismo sprendimą panaikinti ir priimti naują sprendimą – VMI prašymą patenkinti. Bylos nagrinėjimo LVAT metu pareiškėjas pripažintas bankrutavusiu, o 2019 m. vasario 14 d. išregistruotas iš juridinių asmenų registro. Likvidavus pareiškėją ir išregistravus jį iš juridinių asmenų registro, pareiškėjo teisės ir pareigos administracinėje byloje nebuvo perimtos.</w:t>
      </w:r>
    </w:p>
    <w:p w14:paraId="6CFA6859" w14:textId="46FF6570"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LVAT teisėjų kolegija konstatavo, jog vienai iš šalių pasitraukus iš bylos (šiuo atveju – išregistravus pareiškėją), tampa iš esmės neįmanomas ginčo tarp šalių (pareiškėjo ir VMI) nag</w:t>
      </w:r>
      <w:r w:rsidR="00C16FFA">
        <w:rPr>
          <w:rFonts w:ascii="Calibri" w:eastAsia="Calibri" w:hAnsi="Calibri"/>
          <w:iCs/>
          <w:sz w:val="22"/>
          <w:szCs w:val="22"/>
          <w:lang w:eastAsia="en-US"/>
        </w:rPr>
        <w:t>rinėjimas. ABTĮ 54 straipsnio 1 </w:t>
      </w:r>
      <w:r w:rsidRPr="00D83957">
        <w:rPr>
          <w:rFonts w:ascii="Calibri" w:eastAsia="Calibri" w:hAnsi="Calibri"/>
          <w:iCs/>
          <w:sz w:val="22"/>
          <w:szCs w:val="22"/>
          <w:lang w:eastAsia="en-US"/>
        </w:rPr>
        <w:t>dalis, be kita ko, nustato, kad tais atvejais, kai viena iš proceso šalių pasitraukia iš bylos, teismas tą proceso šalį pakeičia jos teisių perėmėju. ABTĮ 103 straipsnio 7 punkte nustatyta, kad teismas nutraukia bylą, jeigu likvidavus juridinį asmenį, kuris buvo pareiškėjas, ginčo teisinis santykis neleidžia perimti teisių. Remdamasi ABTĮ 144 straipsnio 1 dalies 5 punktu ir atsižvelgdama į tai, kad nustatytos ABTĮ 103 straipsnio 7 punkte nurodytos aplinkybės (pareiškėjas likviduotas ir nėra jo teisių perėmėjų), apeliacinės inst</w:t>
      </w:r>
      <w:r w:rsidR="00C16FFA">
        <w:rPr>
          <w:rFonts w:ascii="Calibri" w:eastAsia="Calibri" w:hAnsi="Calibri"/>
          <w:iCs/>
          <w:sz w:val="22"/>
          <w:szCs w:val="22"/>
          <w:lang w:eastAsia="en-US"/>
        </w:rPr>
        <w:t>ancijos teismo teisėjų kolegija</w:t>
      </w:r>
      <w:r w:rsidRPr="00D83957">
        <w:rPr>
          <w:rFonts w:ascii="Calibri" w:eastAsia="Calibri" w:hAnsi="Calibri"/>
          <w:iCs/>
          <w:sz w:val="22"/>
          <w:szCs w:val="22"/>
          <w:lang w:eastAsia="en-US"/>
        </w:rPr>
        <w:t xml:space="preserve"> konstatavo, kad teismo procesas šioje administracinėje byloje yra neįmanomas, todėl pirmosios instancijos teismo sprendimas naikintinas ir administracinė byla nutrauktina. </w:t>
      </w:r>
    </w:p>
    <w:p w14:paraId="5D81FFAA" w14:textId="041BFBCB"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 xml:space="preserve">Taip pat LVAT atkreipė dėmesį, kad nagrinėtu atveju </w:t>
      </w:r>
      <w:r w:rsidRPr="00D83957">
        <w:rPr>
          <w:rFonts w:ascii="Calibri" w:eastAsia="Calibri" w:hAnsi="Calibri"/>
          <w:iCs/>
          <w:sz w:val="22"/>
          <w:szCs w:val="22"/>
          <w:u w:val="single"/>
          <w:lang w:eastAsia="en-US"/>
        </w:rPr>
        <w:t>pareiškėjas, nesutikdamas su VMI sprendimu, dėl jo panaikinimo kreipėsi į Komisiją, kurios sprendimo teisėtumą ir pagrįstumą vertino pirmosios instancijos teismas</w:t>
      </w:r>
      <w:r w:rsidRPr="00D83957">
        <w:rPr>
          <w:rFonts w:ascii="Calibri" w:eastAsia="Calibri" w:hAnsi="Calibri"/>
          <w:iCs/>
          <w:sz w:val="22"/>
          <w:szCs w:val="22"/>
          <w:lang w:eastAsia="en-US"/>
        </w:rPr>
        <w:t xml:space="preserve">. ABTĮ 28 straipsnio 1 dalyje nustatyta, kad administracinių ginčų komisijos ar kitos išankstinio ginčų nagrinėjimo ne teismo tvarka institucijos sprendimą, priimtą išnagrinėjus administracinį ginčą ne teismo tvarka, administraciniam teismui gali skųsti ginčo šalis, nesutinkanti su administracinių ginčų komisijos ar kitos išankstinio ginčų nagrinėjimo ne teismo tvarka institucijos sprendimu. Apskundus administracinių ginčų komisijos ar kitos išankstinio ginčų nagrinėjimo ne teismo tvarka institucijos sprendimą, ginčo šalių procesinė padėtis nesikeičia (ABTĮ 28 str. 3 </w:t>
      </w:r>
      <w:r w:rsidR="00C16FFA">
        <w:rPr>
          <w:rFonts w:ascii="Calibri" w:eastAsia="Calibri" w:hAnsi="Calibri"/>
          <w:iCs/>
          <w:sz w:val="22"/>
          <w:szCs w:val="22"/>
          <w:lang w:eastAsia="en-US"/>
        </w:rPr>
        <w:t>d.). Tai reiškia, kad nagrinėt</w:t>
      </w:r>
      <w:r w:rsidRPr="00D83957">
        <w:rPr>
          <w:rFonts w:ascii="Calibri" w:eastAsia="Calibri" w:hAnsi="Calibri"/>
          <w:iCs/>
          <w:sz w:val="22"/>
          <w:szCs w:val="22"/>
          <w:lang w:eastAsia="en-US"/>
        </w:rPr>
        <w:t xml:space="preserve">u atveju </w:t>
      </w:r>
      <w:r w:rsidRPr="00D83957">
        <w:rPr>
          <w:rFonts w:ascii="Calibri" w:eastAsia="Calibri" w:hAnsi="Calibri"/>
          <w:iCs/>
          <w:sz w:val="22"/>
          <w:szCs w:val="22"/>
          <w:u w:val="single"/>
          <w:lang w:eastAsia="en-US"/>
        </w:rPr>
        <w:t>į teismą persikėlė ikiteismine tvarka išnagrinėtas ginčas. Atsižvelgiant į tai, ABTĮ 144 straipsnio 1 dalies 5 punkto pagrindu nutraukiant administracinę bylą naikintinas ir Vilniaus apygardos administracinio teismo sprendimas, ir Komisijos sprendimas</w:t>
      </w:r>
      <w:r w:rsidRPr="00D83957">
        <w:rPr>
          <w:rFonts w:ascii="Calibri" w:eastAsia="Calibri" w:hAnsi="Calibri"/>
          <w:iCs/>
          <w:sz w:val="22"/>
          <w:szCs w:val="22"/>
          <w:lang w:eastAsia="en-US"/>
        </w:rPr>
        <w:t>.</w:t>
      </w:r>
    </w:p>
    <w:p w14:paraId="5F39F4CC"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ab/>
        <w:t>Atsižvelgiant į nurodytus argumentus, Komisijos sprendimas ir pirmosios instancijos teismo sprendimas panaikinti ir byla nutraukta.</w:t>
      </w:r>
    </w:p>
    <w:p w14:paraId="4D71205B" w14:textId="77777777" w:rsidR="00D83957" w:rsidRPr="00D83957" w:rsidRDefault="00D83957" w:rsidP="00D83957">
      <w:pPr>
        <w:tabs>
          <w:tab w:val="left" w:pos="567"/>
        </w:tabs>
        <w:jc w:val="both"/>
        <w:rPr>
          <w:rFonts w:ascii="Calibri" w:eastAsia="Calibri" w:hAnsi="Calibri"/>
          <w:iCs/>
          <w:sz w:val="22"/>
          <w:szCs w:val="22"/>
          <w:lang w:eastAsia="en-US"/>
        </w:rPr>
      </w:pPr>
    </w:p>
    <w:p w14:paraId="07F332A1"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2019 m. birželio 5 d. nutartis administracinėje byloje Nr. eA-545-968/2019</w:t>
      </w:r>
    </w:p>
    <w:p w14:paraId="17EA0FBA"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Teisminio proceso Nr. 3-61-3-01192-2017-6</w:t>
      </w:r>
    </w:p>
    <w:p w14:paraId="0969FFC1" w14:textId="77777777" w:rsidR="00D83957" w:rsidRPr="00D83957" w:rsidRDefault="00D83957" w:rsidP="00D83957">
      <w:pPr>
        <w:tabs>
          <w:tab w:val="left" w:pos="567"/>
        </w:tabs>
        <w:jc w:val="both"/>
        <w:rPr>
          <w:rFonts w:ascii="Calibri" w:eastAsia="Calibri" w:hAnsi="Calibri"/>
          <w:iCs/>
          <w:sz w:val="22"/>
          <w:szCs w:val="22"/>
          <w:lang w:eastAsia="en-US"/>
        </w:rPr>
      </w:pPr>
      <w:r w:rsidRPr="00D83957">
        <w:rPr>
          <w:rFonts w:ascii="Calibri" w:eastAsia="Calibri" w:hAnsi="Calibri"/>
          <w:iCs/>
          <w:sz w:val="22"/>
          <w:szCs w:val="22"/>
          <w:lang w:eastAsia="en-US"/>
        </w:rPr>
        <w:t>Procesinio sprendimo kategorija 53.7</w:t>
      </w:r>
    </w:p>
    <w:p w14:paraId="428556E5" w14:textId="77777777" w:rsidR="00D83957" w:rsidRPr="00D83957" w:rsidRDefault="00E31BD2" w:rsidP="00D83957">
      <w:pPr>
        <w:tabs>
          <w:tab w:val="left" w:pos="567"/>
        </w:tabs>
        <w:jc w:val="both"/>
        <w:rPr>
          <w:rFonts w:ascii="Calibri" w:eastAsia="Calibri" w:hAnsi="Calibri"/>
          <w:iCs/>
          <w:sz w:val="22"/>
          <w:szCs w:val="22"/>
          <w:lang w:eastAsia="en-US"/>
        </w:rPr>
      </w:pPr>
      <w:hyperlink r:id="rId25" w:history="1">
        <w:r w:rsidR="00D83957" w:rsidRPr="00D83957">
          <w:rPr>
            <w:rFonts w:ascii="Calibri" w:eastAsia="Calibri" w:hAnsi="Calibri"/>
            <w:iCs/>
            <w:color w:val="0000FF"/>
            <w:sz w:val="22"/>
            <w:szCs w:val="22"/>
            <w:u w:val="single"/>
            <w:lang w:eastAsia="en-US"/>
          </w:rPr>
          <w:t>Prieiga internete</w:t>
        </w:r>
      </w:hyperlink>
      <w:r w:rsidR="00D83957" w:rsidRPr="00D83957">
        <w:rPr>
          <w:rFonts w:ascii="Calibri" w:eastAsia="Calibri" w:hAnsi="Calibri"/>
          <w:iCs/>
          <w:sz w:val="22"/>
          <w:szCs w:val="22"/>
          <w:lang w:eastAsia="en-US"/>
        </w:rPr>
        <w:t xml:space="preserve"> </w:t>
      </w:r>
    </w:p>
    <w:p w14:paraId="1063697C" w14:textId="77777777" w:rsidR="00D83957" w:rsidRPr="00D83957" w:rsidRDefault="00D83957" w:rsidP="00D83957">
      <w:pPr>
        <w:tabs>
          <w:tab w:val="left" w:pos="567"/>
        </w:tabs>
        <w:jc w:val="both"/>
        <w:rPr>
          <w:rFonts w:ascii="Calibri" w:eastAsia="Calibri" w:hAnsi="Calibri"/>
          <w:iCs/>
          <w:sz w:val="22"/>
          <w:szCs w:val="22"/>
          <w:lang w:eastAsia="en-US"/>
        </w:rPr>
      </w:pPr>
    </w:p>
    <w:p w14:paraId="1BFD8DE6" w14:textId="77777777" w:rsidR="007B5870" w:rsidRPr="007B5870" w:rsidRDefault="007B5870" w:rsidP="007B5870">
      <w:pPr>
        <w:pStyle w:val="Antrat1"/>
        <w:rPr>
          <w:rFonts w:ascii="Calibri" w:eastAsiaTheme="minorEastAsia" w:hAnsi="Calibri" w:cs="Calibri"/>
        </w:rPr>
      </w:pPr>
      <w:bookmarkStart w:id="62" w:name="_Toc462150022"/>
      <w:bookmarkStart w:id="63" w:name="_Toc14784033"/>
      <w:r w:rsidRPr="007B5870">
        <w:rPr>
          <w:rFonts w:ascii="Calibri" w:eastAsiaTheme="minorEastAsia" w:hAnsi="Calibri" w:cs="Calibri"/>
        </w:rPr>
        <w:t>57. Bylos nagrinėjimo išlaidos</w:t>
      </w:r>
      <w:bookmarkEnd w:id="62"/>
      <w:bookmarkEnd w:id="63"/>
    </w:p>
    <w:p w14:paraId="6F4553F2" w14:textId="77777777" w:rsidR="003C6914" w:rsidRPr="003C6914" w:rsidRDefault="003C6914" w:rsidP="003C6914">
      <w:pPr>
        <w:ind w:firstLine="567"/>
        <w:rPr>
          <w:rFonts w:ascii="Calibri" w:eastAsiaTheme="minorEastAsia" w:hAnsi="Calibri" w:cs="Calibri"/>
          <w:b/>
          <w:sz w:val="22"/>
          <w:szCs w:val="22"/>
          <w:u w:val="single"/>
        </w:rPr>
      </w:pPr>
      <w:r w:rsidRPr="003C6914">
        <w:rPr>
          <w:rFonts w:ascii="Calibri" w:eastAsiaTheme="minorEastAsia" w:hAnsi="Calibri" w:cs="Calibri"/>
          <w:b/>
          <w:sz w:val="22"/>
          <w:szCs w:val="22"/>
          <w:u w:val="single"/>
        </w:rPr>
        <w:lastRenderedPageBreak/>
        <w:t>57.6. Kiti su bylos nagrinėjimo išlaidomis susiję klausimai</w:t>
      </w:r>
    </w:p>
    <w:p w14:paraId="38ACFFF0" w14:textId="77777777" w:rsidR="003C6914" w:rsidRPr="003C6914" w:rsidRDefault="003C6914" w:rsidP="003C6914">
      <w:pPr>
        <w:ind w:firstLine="567"/>
        <w:rPr>
          <w:rFonts w:asciiTheme="minorHAnsi" w:hAnsiTheme="minorHAnsi" w:cstheme="minorHAnsi"/>
          <w:sz w:val="22"/>
          <w:szCs w:val="22"/>
        </w:rPr>
      </w:pPr>
    </w:p>
    <w:p w14:paraId="7479902A" w14:textId="4CAF42ED" w:rsidR="003C6914" w:rsidRPr="00367110" w:rsidRDefault="003C6914" w:rsidP="00C16FFA">
      <w:pPr>
        <w:pStyle w:val="Antrat2"/>
      </w:pPr>
      <w:bookmarkStart w:id="64" w:name="_Toc14784034"/>
      <w:r w:rsidRPr="00367110">
        <w:t xml:space="preserve">Dėl </w:t>
      </w:r>
      <w:r>
        <w:t>trečiojo suinteresuoto asmens teisės į teismo išlaidų atlyginimą, kai pareiškėjo skundas nebuvo priimtas</w:t>
      </w:r>
      <w:bookmarkEnd w:id="64"/>
    </w:p>
    <w:p w14:paraId="769C989C" w14:textId="77777777" w:rsidR="003C6914" w:rsidRPr="00367110" w:rsidRDefault="003C6914" w:rsidP="003C6914">
      <w:pPr>
        <w:rPr>
          <w:rFonts w:asciiTheme="minorHAnsi" w:hAnsiTheme="minorHAnsi" w:cstheme="minorHAnsi"/>
          <w:bCs/>
          <w:sz w:val="22"/>
          <w:szCs w:val="22"/>
        </w:rPr>
      </w:pPr>
    </w:p>
    <w:p w14:paraId="43595253" w14:textId="3CF129B3" w:rsidR="003C6914" w:rsidRPr="003C6914" w:rsidRDefault="003C6914" w:rsidP="003C6914">
      <w:pPr>
        <w:ind w:firstLine="567"/>
        <w:jc w:val="both"/>
        <w:rPr>
          <w:rFonts w:asciiTheme="minorHAnsi" w:hAnsiTheme="minorHAnsi" w:cstheme="minorHAnsi"/>
          <w:bCs/>
          <w:sz w:val="22"/>
          <w:szCs w:val="22"/>
        </w:rPr>
      </w:pPr>
      <w:r w:rsidRPr="00367110">
        <w:rPr>
          <w:rFonts w:asciiTheme="minorHAnsi" w:hAnsiTheme="minorHAnsi" w:cstheme="minorHAnsi"/>
          <w:bCs/>
          <w:sz w:val="22"/>
          <w:szCs w:val="22"/>
        </w:rPr>
        <w:t xml:space="preserve">Šioje byloje </w:t>
      </w:r>
      <w:r>
        <w:rPr>
          <w:rFonts w:asciiTheme="minorHAnsi" w:hAnsiTheme="minorHAnsi" w:cstheme="minorHAnsi"/>
          <w:bCs/>
          <w:sz w:val="22"/>
          <w:szCs w:val="22"/>
        </w:rPr>
        <w:t xml:space="preserve">buvo ginčijama pirmosios instancijos teismo nutartis, kuria </w:t>
      </w:r>
      <w:r w:rsidRPr="003C6914">
        <w:rPr>
          <w:rFonts w:asciiTheme="minorHAnsi" w:hAnsiTheme="minorHAnsi" w:cstheme="minorHAnsi"/>
          <w:bCs/>
          <w:sz w:val="22"/>
          <w:szCs w:val="22"/>
        </w:rPr>
        <w:t>atsisakyta priimti trečiojo suinteresuoto asmens Lietuvos nacionalinės vežėjų automobiliais asociacijos</w:t>
      </w:r>
      <w:r w:rsidRPr="005841C7">
        <w:rPr>
          <w:rFonts w:asciiTheme="minorHAnsi" w:hAnsiTheme="minorHAnsi" w:cstheme="minorHAnsi"/>
          <w:bCs/>
          <w:sz w:val="22"/>
          <w:szCs w:val="22"/>
        </w:rPr>
        <w:t xml:space="preserve"> „Linava“</w:t>
      </w:r>
      <w:r w:rsidRPr="003C6914">
        <w:rPr>
          <w:rFonts w:asciiTheme="minorHAnsi" w:hAnsiTheme="minorHAnsi" w:cstheme="minorHAnsi"/>
          <w:bCs/>
          <w:sz w:val="22"/>
          <w:szCs w:val="22"/>
        </w:rPr>
        <w:t xml:space="preserve"> prašymą </w:t>
      </w:r>
      <w:r>
        <w:rPr>
          <w:rFonts w:asciiTheme="minorHAnsi" w:hAnsiTheme="minorHAnsi" w:cstheme="minorHAnsi"/>
          <w:bCs/>
          <w:sz w:val="22"/>
          <w:szCs w:val="22"/>
        </w:rPr>
        <w:t>priteisti bylinėjimosi išlaidas</w:t>
      </w:r>
      <w:r w:rsidRPr="003C6914">
        <w:rPr>
          <w:rFonts w:asciiTheme="minorHAnsi" w:hAnsiTheme="minorHAnsi" w:cstheme="minorHAnsi"/>
          <w:bCs/>
          <w:sz w:val="22"/>
          <w:szCs w:val="22"/>
        </w:rPr>
        <w:t>.</w:t>
      </w:r>
    </w:p>
    <w:p w14:paraId="54B813C4" w14:textId="299CF4C1" w:rsidR="003C6914" w:rsidRPr="003C6914" w:rsidRDefault="003C6914" w:rsidP="003C6914">
      <w:pPr>
        <w:ind w:firstLine="567"/>
        <w:jc w:val="both"/>
        <w:rPr>
          <w:rFonts w:asciiTheme="minorHAnsi" w:hAnsiTheme="minorHAnsi" w:cstheme="minorHAnsi"/>
          <w:bCs/>
          <w:sz w:val="22"/>
          <w:szCs w:val="22"/>
        </w:rPr>
      </w:pPr>
      <w:r w:rsidRPr="003C6914">
        <w:rPr>
          <w:rFonts w:asciiTheme="minorHAnsi" w:hAnsiTheme="minorHAnsi" w:cstheme="minorHAnsi"/>
          <w:bCs/>
          <w:sz w:val="22"/>
          <w:szCs w:val="22"/>
        </w:rPr>
        <w:t>Pirmosios instancijos teismas atsisakė priimti trečiojo suinteresuoto asmens prašymą, nustatęs, kad administracinė teisena pagal pareiškėjo skundą nebuvo pradėta, jo skundą atsisakyta priimti, o tokiu atveju negali būti teikiamas prašymas atlyginti bylinėjimosi išlaidas. Trečiasis suinteresuotas asmuo su tokia pirmosios instancijos teismo pozicija nesutik</w:t>
      </w:r>
      <w:r>
        <w:rPr>
          <w:rFonts w:asciiTheme="minorHAnsi" w:hAnsiTheme="minorHAnsi" w:cstheme="minorHAnsi"/>
          <w:bCs/>
          <w:sz w:val="22"/>
          <w:szCs w:val="22"/>
        </w:rPr>
        <w:t>o</w:t>
      </w:r>
      <w:r w:rsidRPr="003C6914">
        <w:rPr>
          <w:rFonts w:asciiTheme="minorHAnsi" w:hAnsiTheme="minorHAnsi" w:cstheme="minorHAnsi"/>
          <w:bCs/>
          <w:sz w:val="22"/>
          <w:szCs w:val="22"/>
        </w:rPr>
        <w:t>, nurodydamas, jog pirmosios instancijos teismas, priimdamas trečiajam suinteresuotam asmeniui palankią nutartį, rėmėsi būtent trečiojo suinteresuoto asmens pateiktais paaiškinimais, todėl jis įgijo teisę į byloje patirtų bylinėjimosi išlaidų atlyginimą.</w:t>
      </w:r>
    </w:p>
    <w:p w14:paraId="25D91EF4" w14:textId="7758D2D7" w:rsidR="003C6914" w:rsidRPr="003C6914" w:rsidRDefault="00B32ECC" w:rsidP="003C6914">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p</w:t>
      </w:r>
      <w:r w:rsidR="003C6914" w:rsidRPr="003C6914">
        <w:rPr>
          <w:rFonts w:asciiTheme="minorHAnsi" w:hAnsiTheme="minorHAnsi" w:cstheme="minorHAnsi"/>
          <w:bCs/>
          <w:sz w:val="22"/>
          <w:szCs w:val="22"/>
        </w:rPr>
        <w:t>až</w:t>
      </w:r>
      <w:r>
        <w:rPr>
          <w:rFonts w:asciiTheme="minorHAnsi" w:hAnsiTheme="minorHAnsi" w:cstheme="minorHAnsi"/>
          <w:bCs/>
          <w:sz w:val="22"/>
          <w:szCs w:val="22"/>
        </w:rPr>
        <w:t>ymėjo</w:t>
      </w:r>
      <w:r w:rsidR="003C6914" w:rsidRPr="003C6914">
        <w:rPr>
          <w:rFonts w:asciiTheme="minorHAnsi" w:hAnsiTheme="minorHAnsi" w:cstheme="minorHAnsi"/>
          <w:bCs/>
          <w:sz w:val="22"/>
          <w:szCs w:val="22"/>
        </w:rPr>
        <w:t>, kad pareiškėjo skundas nebuvo priimtas ir administracinė byla nebuvo iškelta, taip pat nebuvo išspręstas klausimas dėl trečiojo suinteresuoto asmens dalyvavimo bylos nagrinėjime, t. y. šis asmuo nebuvo pripažintas dalyvaujančiu byloje asmeniu (proceso šalimi), o skundo priėmimo stadijoje teisiniai santykiai susiklosto tarp skundą padavusio asmens ir teismo. Pagal pareiškėjo skundo priėmimo klausimo nagrinėjimo medžiagą pirmosios instancijos teismas nenurodė trečiajam suinteresuotam asmeniui pateikti savo nuomonę dėl pareiškėjo prašymo atnaujinti terminą skundui paduoti.</w:t>
      </w:r>
    </w:p>
    <w:p w14:paraId="15854CF6" w14:textId="513FC068" w:rsidR="003C6914" w:rsidRPr="003C6914" w:rsidRDefault="003C6914" w:rsidP="003C6914">
      <w:pPr>
        <w:ind w:firstLine="567"/>
        <w:jc w:val="both"/>
        <w:rPr>
          <w:rFonts w:asciiTheme="minorHAnsi" w:hAnsiTheme="minorHAnsi" w:cstheme="minorHAnsi"/>
          <w:bCs/>
          <w:sz w:val="22"/>
          <w:szCs w:val="22"/>
        </w:rPr>
      </w:pPr>
      <w:r w:rsidRPr="003C6914">
        <w:rPr>
          <w:rFonts w:asciiTheme="minorHAnsi" w:hAnsiTheme="minorHAnsi" w:cstheme="minorHAnsi"/>
          <w:bCs/>
          <w:sz w:val="22"/>
          <w:szCs w:val="22"/>
        </w:rPr>
        <w:t xml:space="preserve">Pagal ABTĮ 44 straipsnio 1 dalyje įtvirtintų bylinėjimosi išlaidų atlyginimo principą – tik proceso šalis, kurios naudai priimtas sprendimas, turi teisę gauti iš kitos šalies savo išlaidų atlyginimą. ABTĮ 44 straipsnio 2 ir 4 dalyse nustatyta, jog galimas tik išlaidų, susijusių su bylos nagrinėjimu, atlyginimas. Kaip minėta, </w:t>
      </w:r>
      <w:r w:rsidRPr="00B32ECC">
        <w:rPr>
          <w:rFonts w:asciiTheme="minorHAnsi" w:hAnsiTheme="minorHAnsi" w:cstheme="minorHAnsi"/>
          <w:bCs/>
          <w:sz w:val="22"/>
          <w:szCs w:val="22"/>
          <w:u w:val="single"/>
        </w:rPr>
        <w:t>ABTĮ nenustatė pareigos trečiajam suinteresuotam asmeniui teikti procesinius dokumentus ir įrodymus, todėl nesant pareigos vadovaujantis ABTĮ teismui teikti procesinius dokumentus ir įrodymus, asmuo, kuris šiuo atveju net nėra bylos proceso šalis ir pagal ABTĮ 44 straipsnio 1 dalį neturi teisės į patirtų bylinėjimosi išlaidų atlyginimą, pateikdamas tokius dokumentus veikia savo nuožiūra ir rizika, todėl išlaidos, patirtos rengiant tokius procesinius dokumentus, nelaikytinos su bylos nagrinėjimu susijusiomis išlaidomis, tokių išlaidų priteisimas taip pat neatitinka bylinėjimosi išlaidoms keliamo būtinumo ir privalomumo kriterijaus</w:t>
      </w:r>
      <w:r w:rsidRPr="003C6914">
        <w:rPr>
          <w:rFonts w:asciiTheme="minorHAnsi" w:hAnsiTheme="minorHAnsi" w:cstheme="minorHAnsi"/>
          <w:bCs/>
          <w:sz w:val="22"/>
          <w:szCs w:val="22"/>
        </w:rPr>
        <w:t xml:space="preserve"> (žr., pvz., </w:t>
      </w:r>
      <w:r w:rsidR="0020434C">
        <w:rPr>
          <w:rFonts w:asciiTheme="minorHAnsi" w:hAnsiTheme="minorHAnsi" w:cstheme="minorHAnsi"/>
          <w:bCs/>
          <w:sz w:val="22"/>
          <w:szCs w:val="22"/>
        </w:rPr>
        <w:t>LVAT</w:t>
      </w:r>
      <w:r w:rsidRPr="003C6914">
        <w:rPr>
          <w:rFonts w:asciiTheme="minorHAnsi" w:hAnsiTheme="minorHAnsi" w:cstheme="minorHAnsi"/>
          <w:bCs/>
          <w:sz w:val="22"/>
          <w:szCs w:val="22"/>
        </w:rPr>
        <w:t xml:space="preserve"> išplėstinės teisėjų kolegijos 2015 m. birželio 9 d. nutartį administracinėje byloje Nr. P</w:t>
      </w:r>
      <w:r w:rsidRPr="003C6914">
        <w:rPr>
          <w:rFonts w:asciiTheme="minorHAnsi" w:hAnsiTheme="minorHAnsi" w:cstheme="minorHAnsi"/>
          <w:bCs/>
          <w:sz w:val="22"/>
          <w:szCs w:val="22"/>
          <w:vertAlign w:val="superscript"/>
        </w:rPr>
        <w:t>858</w:t>
      </w:r>
      <w:r w:rsidRPr="003C6914">
        <w:rPr>
          <w:rFonts w:asciiTheme="minorHAnsi" w:hAnsiTheme="minorHAnsi" w:cstheme="minorHAnsi"/>
          <w:bCs/>
          <w:sz w:val="22"/>
          <w:szCs w:val="22"/>
        </w:rPr>
        <w:t>-104/2014).</w:t>
      </w:r>
    </w:p>
    <w:p w14:paraId="67062C78" w14:textId="15B4EFF5" w:rsidR="003C6914" w:rsidRPr="003C6914" w:rsidRDefault="003C6914" w:rsidP="003C6914">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Pr="003C6914">
        <w:rPr>
          <w:rFonts w:asciiTheme="minorHAnsi" w:hAnsiTheme="minorHAnsi" w:cstheme="minorHAnsi"/>
          <w:bCs/>
          <w:sz w:val="22"/>
          <w:szCs w:val="22"/>
        </w:rPr>
        <w:t>irmosios instancijos teism</w:t>
      </w:r>
      <w:r>
        <w:rPr>
          <w:rFonts w:asciiTheme="minorHAnsi" w:hAnsiTheme="minorHAnsi" w:cstheme="minorHAnsi"/>
          <w:bCs/>
          <w:sz w:val="22"/>
          <w:szCs w:val="22"/>
        </w:rPr>
        <w:t>o nutartis</w:t>
      </w:r>
      <w:r w:rsidRPr="003C6914">
        <w:rPr>
          <w:rFonts w:asciiTheme="minorHAnsi" w:hAnsiTheme="minorHAnsi" w:cstheme="minorHAnsi"/>
          <w:bCs/>
          <w:sz w:val="22"/>
          <w:szCs w:val="22"/>
        </w:rPr>
        <w:t xml:space="preserve"> </w:t>
      </w:r>
      <w:r>
        <w:rPr>
          <w:rFonts w:asciiTheme="minorHAnsi" w:hAnsiTheme="minorHAnsi" w:cstheme="minorHAnsi"/>
          <w:bCs/>
          <w:sz w:val="22"/>
          <w:szCs w:val="22"/>
        </w:rPr>
        <w:t>pali</w:t>
      </w:r>
      <w:r w:rsidRPr="003C6914">
        <w:rPr>
          <w:rFonts w:asciiTheme="minorHAnsi" w:hAnsiTheme="minorHAnsi" w:cstheme="minorHAnsi"/>
          <w:bCs/>
          <w:sz w:val="22"/>
          <w:szCs w:val="22"/>
        </w:rPr>
        <w:t>k</w:t>
      </w:r>
      <w:r>
        <w:rPr>
          <w:rFonts w:asciiTheme="minorHAnsi" w:hAnsiTheme="minorHAnsi" w:cstheme="minorHAnsi"/>
          <w:bCs/>
          <w:sz w:val="22"/>
          <w:szCs w:val="22"/>
        </w:rPr>
        <w:t>t</w:t>
      </w:r>
      <w:r w:rsidRPr="003C6914">
        <w:rPr>
          <w:rFonts w:asciiTheme="minorHAnsi" w:hAnsiTheme="minorHAnsi" w:cstheme="minorHAnsi"/>
          <w:bCs/>
          <w:sz w:val="22"/>
          <w:szCs w:val="22"/>
        </w:rPr>
        <w:t>a</w:t>
      </w:r>
      <w:r>
        <w:rPr>
          <w:rFonts w:asciiTheme="minorHAnsi" w:hAnsiTheme="minorHAnsi" w:cstheme="minorHAnsi"/>
          <w:bCs/>
          <w:sz w:val="22"/>
          <w:szCs w:val="22"/>
        </w:rPr>
        <w:t xml:space="preserve"> </w:t>
      </w:r>
      <w:r w:rsidRPr="003C6914">
        <w:rPr>
          <w:rFonts w:asciiTheme="minorHAnsi" w:hAnsiTheme="minorHAnsi" w:cstheme="minorHAnsi"/>
          <w:bCs/>
          <w:sz w:val="22"/>
          <w:szCs w:val="22"/>
        </w:rPr>
        <w:t>nepakeista, o trečiojo suinteresuoto asmens atskirasis skundas atme</w:t>
      </w:r>
      <w:r>
        <w:rPr>
          <w:rFonts w:asciiTheme="minorHAnsi" w:hAnsiTheme="minorHAnsi" w:cstheme="minorHAnsi"/>
          <w:bCs/>
          <w:sz w:val="22"/>
          <w:szCs w:val="22"/>
        </w:rPr>
        <w:t>s</w:t>
      </w:r>
      <w:r w:rsidRPr="003C6914">
        <w:rPr>
          <w:rFonts w:asciiTheme="minorHAnsi" w:hAnsiTheme="minorHAnsi" w:cstheme="minorHAnsi"/>
          <w:bCs/>
          <w:sz w:val="22"/>
          <w:szCs w:val="22"/>
        </w:rPr>
        <w:t>tas.</w:t>
      </w:r>
    </w:p>
    <w:p w14:paraId="5C6D73AC" w14:textId="77777777" w:rsidR="003C6914" w:rsidRPr="00367110" w:rsidRDefault="003C6914" w:rsidP="003C6914">
      <w:pPr>
        <w:ind w:firstLine="567"/>
        <w:jc w:val="both"/>
        <w:rPr>
          <w:rFonts w:asciiTheme="minorHAnsi" w:hAnsiTheme="minorHAnsi" w:cstheme="minorHAnsi"/>
          <w:sz w:val="22"/>
          <w:szCs w:val="22"/>
        </w:rPr>
      </w:pPr>
    </w:p>
    <w:p w14:paraId="6DFB83DE" w14:textId="50EA2279" w:rsidR="003C6914" w:rsidRPr="00367110" w:rsidRDefault="003C6914" w:rsidP="003C6914">
      <w:pPr>
        <w:rPr>
          <w:rFonts w:asciiTheme="minorHAnsi" w:hAnsiTheme="minorHAnsi" w:cstheme="minorHAnsi"/>
          <w:sz w:val="22"/>
          <w:szCs w:val="22"/>
        </w:rPr>
      </w:pPr>
      <w:r w:rsidRPr="00367110">
        <w:rPr>
          <w:rFonts w:asciiTheme="minorHAnsi" w:hAnsiTheme="minorHAnsi" w:cstheme="minorHAnsi"/>
          <w:sz w:val="22"/>
          <w:szCs w:val="22"/>
        </w:rPr>
        <w:t xml:space="preserve">2019 m. birželio </w:t>
      </w:r>
      <w:r>
        <w:rPr>
          <w:rFonts w:asciiTheme="minorHAnsi" w:hAnsiTheme="minorHAnsi" w:cstheme="minorHAnsi"/>
          <w:sz w:val="22"/>
          <w:szCs w:val="22"/>
        </w:rPr>
        <w:t>5</w:t>
      </w:r>
      <w:r w:rsidRPr="00367110">
        <w:rPr>
          <w:rFonts w:asciiTheme="minorHAnsi" w:hAnsiTheme="minorHAnsi" w:cstheme="minorHAnsi"/>
          <w:sz w:val="22"/>
          <w:szCs w:val="22"/>
        </w:rPr>
        <w:t xml:space="preserve"> d. nutartis administracinėje byloje </w:t>
      </w:r>
      <w:r w:rsidRPr="003C6914">
        <w:rPr>
          <w:rFonts w:asciiTheme="minorHAnsi" w:hAnsiTheme="minorHAnsi" w:cstheme="minorHAnsi"/>
          <w:sz w:val="22"/>
          <w:szCs w:val="22"/>
          <w:lang w:val="en-GB"/>
        </w:rPr>
        <w:t>Nr. eAS-388-520/2019</w:t>
      </w:r>
    </w:p>
    <w:p w14:paraId="64FEDB8D" w14:textId="669FF499" w:rsidR="003C6914" w:rsidRPr="00367110" w:rsidRDefault="003C6914" w:rsidP="003C6914">
      <w:pPr>
        <w:rPr>
          <w:rFonts w:asciiTheme="minorHAnsi" w:hAnsiTheme="minorHAnsi" w:cstheme="minorHAnsi"/>
          <w:sz w:val="22"/>
          <w:szCs w:val="22"/>
        </w:rPr>
      </w:pPr>
      <w:r w:rsidRPr="00367110">
        <w:rPr>
          <w:rFonts w:asciiTheme="minorHAnsi" w:hAnsiTheme="minorHAnsi" w:cstheme="minorHAnsi"/>
          <w:sz w:val="22"/>
          <w:szCs w:val="22"/>
        </w:rPr>
        <w:t xml:space="preserve">Teisminio proceso </w:t>
      </w:r>
      <w:r w:rsidRPr="003C6914">
        <w:rPr>
          <w:rFonts w:asciiTheme="minorHAnsi" w:hAnsiTheme="minorHAnsi" w:cstheme="minorHAnsi"/>
          <w:sz w:val="22"/>
          <w:szCs w:val="22"/>
          <w:lang w:val="en-GB"/>
        </w:rPr>
        <w:t xml:space="preserve">Nr. </w:t>
      </w:r>
      <w:r w:rsidRPr="003C6914">
        <w:rPr>
          <w:rFonts w:asciiTheme="minorHAnsi" w:hAnsiTheme="minorHAnsi" w:cstheme="minorHAnsi"/>
          <w:bCs/>
          <w:sz w:val="22"/>
          <w:szCs w:val="22"/>
          <w:lang w:val="en-GB"/>
        </w:rPr>
        <w:t>3-61-3-04557-2018-5</w:t>
      </w:r>
    </w:p>
    <w:p w14:paraId="20398C76" w14:textId="4582D067" w:rsidR="003C6914" w:rsidRPr="00367110" w:rsidRDefault="003C6914" w:rsidP="003C6914">
      <w:pPr>
        <w:rPr>
          <w:rFonts w:asciiTheme="minorHAnsi" w:hAnsiTheme="minorHAnsi" w:cstheme="minorHAnsi"/>
          <w:sz w:val="22"/>
          <w:szCs w:val="22"/>
        </w:rPr>
      </w:pPr>
      <w:r w:rsidRPr="00367110">
        <w:rPr>
          <w:rFonts w:asciiTheme="minorHAnsi" w:hAnsiTheme="minorHAnsi" w:cstheme="minorHAnsi"/>
          <w:sz w:val="22"/>
          <w:szCs w:val="22"/>
        </w:rPr>
        <w:t xml:space="preserve">Procesinio sprendimo </w:t>
      </w:r>
      <w:r w:rsidRPr="00367110">
        <w:rPr>
          <w:rFonts w:asciiTheme="minorHAnsi" w:hAnsiTheme="minorHAnsi" w:cstheme="minorHAnsi"/>
          <w:sz w:val="22"/>
          <w:szCs w:val="22"/>
          <w:lang w:eastAsia="en-US"/>
        </w:rPr>
        <w:t>kategorija </w:t>
      </w:r>
      <w:r>
        <w:rPr>
          <w:rFonts w:asciiTheme="minorHAnsi" w:hAnsiTheme="minorHAnsi" w:cstheme="minorHAnsi"/>
          <w:sz w:val="22"/>
          <w:szCs w:val="22"/>
          <w:lang w:eastAsia="en-US"/>
        </w:rPr>
        <w:t>57.6</w:t>
      </w:r>
    </w:p>
    <w:p w14:paraId="5ACE5558" w14:textId="6CBE7FBA" w:rsidR="003C6914" w:rsidRPr="00367110" w:rsidRDefault="00E31BD2" w:rsidP="003C6914">
      <w:pPr>
        <w:rPr>
          <w:rFonts w:asciiTheme="minorHAnsi" w:hAnsiTheme="minorHAnsi" w:cstheme="minorHAnsi"/>
          <w:sz w:val="22"/>
          <w:szCs w:val="22"/>
          <w:u w:val="single"/>
        </w:rPr>
      </w:pPr>
      <w:hyperlink r:id="rId26" w:history="1">
        <w:r w:rsidR="003C6914" w:rsidRPr="003C6914">
          <w:rPr>
            <w:rStyle w:val="Hipersaitas"/>
            <w:rFonts w:asciiTheme="minorHAnsi" w:hAnsiTheme="minorHAnsi" w:cstheme="minorHAnsi"/>
            <w:sz w:val="22"/>
            <w:szCs w:val="22"/>
          </w:rPr>
          <w:t>Prieiga internete</w:t>
        </w:r>
      </w:hyperlink>
    </w:p>
    <w:p w14:paraId="32BB9F01" w14:textId="77777777"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sectPr w:rsidR="000664DB" w:rsidRPr="00B240C0" w:rsidSect="00EF63E3">
      <w:headerReference w:type="default" r:id="rId27"/>
      <w:footerReference w:type="even" r:id="rId28"/>
      <w:footerReference w:type="default" r:id="rId29"/>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F89CF" w14:textId="77777777" w:rsidR="003970F1" w:rsidRDefault="003970F1" w:rsidP="003D4C15">
      <w:r>
        <w:separator/>
      </w:r>
    </w:p>
  </w:endnote>
  <w:endnote w:type="continuationSeparator" w:id="0">
    <w:p w14:paraId="689F180E" w14:textId="77777777" w:rsidR="003970F1" w:rsidRDefault="003970F1"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E31BD2" w:rsidRDefault="00E31BD2">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E31BD2" w:rsidRDefault="00E31BD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E31BD2" w:rsidRPr="00386C1C" w:rsidRDefault="00E31BD2">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4</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44DD2" w14:textId="77777777" w:rsidR="003970F1" w:rsidRDefault="003970F1" w:rsidP="003D4C15">
      <w:r>
        <w:separator/>
      </w:r>
    </w:p>
  </w:footnote>
  <w:footnote w:type="continuationSeparator" w:id="0">
    <w:p w14:paraId="79DD76A5" w14:textId="77777777" w:rsidR="003970F1" w:rsidRDefault="003970F1" w:rsidP="003D4C15">
      <w:r>
        <w:continuationSeparator/>
      </w:r>
    </w:p>
  </w:footnote>
  <w:footnote w:id="1">
    <w:p w14:paraId="01E3D779" w14:textId="77777777" w:rsidR="00E31BD2" w:rsidRPr="00FF58B5" w:rsidRDefault="00E31BD2" w:rsidP="00E2075F">
      <w:pPr>
        <w:pStyle w:val="Puslapioinaostekstas"/>
        <w:jc w:val="both"/>
        <w:rPr>
          <w:rFonts w:asciiTheme="minorHAnsi" w:hAnsiTheme="minorHAnsi" w:cstheme="minorHAnsi"/>
        </w:rPr>
      </w:pPr>
      <w:r w:rsidRPr="00FF58B5">
        <w:rPr>
          <w:rStyle w:val="Puslapioinaosnuoroda"/>
          <w:rFonts w:asciiTheme="minorHAnsi" w:hAnsiTheme="minorHAnsi" w:cstheme="minorHAnsi"/>
        </w:rPr>
        <w:footnoteRef/>
      </w:r>
      <w:r>
        <w:rPr>
          <w:rFonts w:asciiTheme="minorHAnsi" w:hAnsiTheme="minorHAnsi" w:cstheme="minorHAnsi"/>
        </w:rPr>
        <w:t xml:space="preserve"> </w:t>
      </w:r>
      <w:r w:rsidRPr="00FF58B5">
        <w:rPr>
          <w:rFonts w:asciiTheme="minorHAnsi" w:hAnsiTheme="minorHAnsi" w:cstheme="minorHAnsi"/>
        </w:rPr>
        <w:t>„cigarai ir cigarilės, jeigu, atsižvelgiant į jų savybes ir įprastus vartotojų lūkesčius, juos galima rūkyti tik tokius, yra: &lt;...&gt; a) tabako ritinėliai, įvynioti į išorinį apvalkalą, pagamintą iš natūralaus tabako &lt;...&gt;.“</w:t>
      </w:r>
    </w:p>
  </w:footnote>
  <w:footnote w:id="2">
    <w:p w14:paraId="1CCDF3F5" w14:textId="77777777" w:rsidR="00E31BD2" w:rsidRPr="00FF58B5" w:rsidRDefault="00E31BD2" w:rsidP="00E2075F">
      <w:pPr>
        <w:pStyle w:val="Puslapioinaostekstas"/>
        <w:jc w:val="both"/>
        <w:rPr>
          <w:rFonts w:asciiTheme="minorHAnsi" w:hAnsiTheme="minorHAnsi" w:cstheme="minorHAnsi"/>
        </w:rPr>
      </w:pPr>
      <w:r w:rsidRPr="00FF58B5">
        <w:rPr>
          <w:rStyle w:val="Puslapioinaosnuoroda"/>
          <w:rFonts w:asciiTheme="minorHAnsi" w:hAnsiTheme="minorHAnsi" w:cstheme="minorHAnsi"/>
        </w:rPr>
        <w:footnoteRef/>
      </w:r>
      <w:r>
        <w:rPr>
          <w:rFonts w:asciiTheme="minorHAnsi" w:hAnsiTheme="minorHAnsi" w:cstheme="minorHAnsi"/>
        </w:rPr>
        <w:t xml:space="preserve"> </w:t>
      </w:r>
      <w:r w:rsidRPr="00FF58B5">
        <w:rPr>
          <w:rFonts w:asciiTheme="minorHAnsi" w:hAnsiTheme="minorHAnsi" w:cstheme="minorHAnsi"/>
        </w:rPr>
        <w:t>Akcizų įstatymo 3 straipsnio 10 dalis (2010 m. lapkričio 30 d. įstatymo Nr. XI-1185 redakcija) nustato, kad cigarai ir cigarilės – šie produktai: 1) paruošti rūkyti tabako ritinėliai, įvynioti į išorinį apvalkalą, pagamintą iš natūralaus tabako;. To paties straipsnio 11 dalies 1 punktas (2010 m. balandžio 1 d. įstatymo Nr. XI-722 redakcija) numato, kad „cigaretės – &lt;...&gt; paruošti rūkyti tabako ritinėliai, nepriskirtini prie cigarų ar cigarilių pagal šio straipsnio 10 dalies nuostatas &lt;...&gt;.“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E31BD2" w:rsidRPr="000967FF" w14:paraId="1A3B950A" w14:textId="77777777" w:rsidTr="00125BDC">
      <w:tc>
        <w:tcPr>
          <w:tcW w:w="7230" w:type="dxa"/>
        </w:tcPr>
        <w:p w14:paraId="2A61BEB6" w14:textId="77777777" w:rsidR="00E31BD2" w:rsidRPr="0021377E" w:rsidRDefault="00E31BD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3EBF95DA" w:rsidR="00E31BD2" w:rsidRPr="0021377E" w:rsidRDefault="00E31BD2" w:rsidP="00E2075F">
          <w:pPr>
            <w:rPr>
              <w:rFonts w:ascii="Calibri" w:hAnsi="Calibri"/>
              <w:color w:val="323E4F" w:themeColor="text2" w:themeShade="BF"/>
              <w:sz w:val="20"/>
              <w:szCs w:val="20"/>
            </w:rPr>
          </w:pPr>
          <w:r>
            <w:rPr>
              <w:rFonts w:ascii="Calibri" w:hAnsi="Calibri"/>
              <w:color w:val="323E4F" w:themeColor="text2" w:themeShade="BF"/>
              <w:sz w:val="20"/>
              <w:szCs w:val="20"/>
            </w:rPr>
            <w:t xml:space="preserve">      2019 06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9 06 30 </w:t>
          </w:r>
        </w:p>
      </w:tc>
    </w:tr>
  </w:tbl>
  <w:p w14:paraId="7AD15F6C" w14:textId="77777777" w:rsidR="00E31BD2" w:rsidRPr="008A0597" w:rsidRDefault="00E31BD2">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A5D48FF"/>
    <w:multiLevelType w:val="multilevel"/>
    <w:tmpl w:val="27B6DF9E"/>
    <w:lvl w:ilvl="0">
      <w:start w:val="1"/>
      <w:numFmt w:val="decimal"/>
      <w:lvlText w:val="%1."/>
      <w:lvlJc w:val="left"/>
      <w:pPr>
        <w:ind w:left="36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EF9171A"/>
    <w:multiLevelType w:val="hybridMultilevel"/>
    <w:tmpl w:val="2B4210B2"/>
    <w:lvl w:ilvl="0" w:tplc="035A0DE2">
      <w:start w:val="1"/>
      <w:numFmt w:val="decimal"/>
      <w:lvlText w:val="%1."/>
      <w:lvlJc w:val="left"/>
      <w:pPr>
        <w:ind w:left="720" w:hanging="360"/>
      </w:pPr>
      <w:rPr>
        <w:i w:val="0"/>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D811F29"/>
    <w:multiLevelType w:val="multilevel"/>
    <w:tmpl w:val="0427001F"/>
    <w:lvl w:ilvl="0">
      <w:start w:val="1"/>
      <w:numFmt w:val="decimal"/>
      <w:lvlText w:val="%1."/>
      <w:lvlJc w:val="left"/>
      <w:pPr>
        <w:ind w:left="7590"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D6127"/>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4"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2C7B29BA"/>
    <w:multiLevelType w:val="multilevel"/>
    <w:tmpl w:val="4CE0C4A2"/>
    <w:lvl w:ilvl="0">
      <w:start w:val="1"/>
      <w:numFmt w:val="decimal"/>
      <w:lvlText w:val="%1."/>
      <w:lvlJc w:val="left"/>
      <w:pPr>
        <w:ind w:left="450" w:hanging="360"/>
      </w:pPr>
      <w:rPr>
        <w:rFonts w:ascii="Times New Roman" w:hAnsi="Times New Roman" w:cs="Times New Roman" w:hint="default"/>
      </w:rPr>
    </w:lvl>
    <w:lvl w:ilvl="1">
      <w:start w:val="1"/>
      <w:numFmt w:val="decimal"/>
      <w:lvlText w:val="%1.%2."/>
      <w:lvlJc w:val="left"/>
      <w:pPr>
        <w:ind w:left="1992" w:hanging="432"/>
      </w:pPr>
      <w:rPr>
        <w:i w:val="0"/>
        <w:iCs w:val="0"/>
        <w:sz w:val="24"/>
        <w:szCs w:val="24"/>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6"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8F6AD5"/>
    <w:multiLevelType w:val="multilevel"/>
    <w:tmpl w:val="F7C85D28"/>
    <w:lvl w:ilvl="0">
      <w:start w:val="1"/>
      <w:numFmt w:val="decimal"/>
      <w:lvlText w:val="%1."/>
      <w:lvlJc w:val="left"/>
      <w:pPr>
        <w:ind w:left="360" w:hanging="360"/>
      </w:pPr>
      <w:rPr>
        <w:b w:val="0"/>
      </w:rPr>
    </w:lvl>
    <w:lvl w:ilvl="1">
      <w:start w:val="1"/>
      <w:numFmt w:val="decimal"/>
      <w:isLgl/>
      <w:lvlText w:val="%1.%2."/>
      <w:lvlJc w:val="left"/>
      <w:pPr>
        <w:ind w:left="2700"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3CB52631"/>
    <w:multiLevelType w:val="multilevel"/>
    <w:tmpl w:val="CB0ABB28"/>
    <w:lvl w:ilvl="0">
      <w:start w:val="1"/>
      <w:numFmt w:val="decimal"/>
      <w:lvlText w:val="%1."/>
      <w:lvlJc w:val="left"/>
      <w:pPr>
        <w:ind w:left="360" w:hanging="360"/>
      </w:pPr>
      <w:rPr>
        <w:rFonts w:hint="default"/>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24"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5"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7"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8"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9"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32"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5"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8"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9" w15:restartNumberingAfterBreak="0">
    <w:nsid w:val="71157F70"/>
    <w:multiLevelType w:val="hybridMultilevel"/>
    <w:tmpl w:val="46A80242"/>
    <w:lvl w:ilvl="0" w:tplc="4462B3FE">
      <w:start w:val="1"/>
      <w:numFmt w:val="decimal"/>
      <w:lvlText w:val="%1."/>
      <w:lvlJc w:val="left"/>
      <w:pPr>
        <w:ind w:left="10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8"/>
  </w:num>
  <w:num w:numId="2">
    <w:abstractNumId w:val="42"/>
  </w:num>
  <w:num w:numId="3">
    <w:abstractNumId w:val="40"/>
  </w:num>
  <w:num w:numId="4">
    <w:abstractNumId w:val="44"/>
  </w:num>
  <w:num w:numId="5">
    <w:abstractNumId w:val="36"/>
  </w:num>
  <w:num w:numId="6">
    <w:abstractNumId w:val="28"/>
  </w:num>
  <w:num w:numId="7">
    <w:abstractNumId w:val="11"/>
  </w:num>
  <w:num w:numId="8">
    <w:abstractNumId w:val="3"/>
  </w:num>
  <w:num w:numId="9">
    <w:abstractNumId w:val="32"/>
  </w:num>
  <w:num w:numId="10">
    <w:abstractNumId w:val="30"/>
  </w:num>
  <w:num w:numId="11">
    <w:abstractNumId w:val="29"/>
  </w:num>
  <w:num w:numId="12">
    <w:abstractNumId w:val="16"/>
  </w:num>
  <w:num w:numId="13">
    <w:abstractNumId w:val="10"/>
  </w:num>
  <w:num w:numId="14">
    <w:abstractNumId w:val="17"/>
  </w:num>
  <w:num w:numId="15">
    <w:abstractNumId w:val="0"/>
  </w:num>
  <w:num w:numId="16">
    <w:abstractNumId w:val="1"/>
  </w:num>
  <w:num w:numId="17">
    <w:abstractNumId w:val="35"/>
  </w:num>
  <w:num w:numId="18">
    <w:abstractNumId w:val="14"/>
  </w:num>
  <w:num w:numId="19">
    <w:abstractNumId w:val="25"/>
  </w:num>
  <w:num w:numId="20">
    <w:abstractNumId w:val="1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num>
  <w:num w:numId="24">
    <w:abstractNumId w:val="9"/>
  </w:num>
  <w:num w:numId="25">
    <w:abstractNumId w:val="43"/>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4"/>
  </w:num>
  <w:num w:numId="30">
    <w:abstractNumId w:val="8"/>
  </w:num>
  <w:num w:numId="31">
    <w:abstractNumId w:val="23"/>
  </w:num>
  <w:num w:numId="32">
    <w:abstractNumId w:val="27"/>
  </w:num>
  <w:num w:numId="33">
    <w:abstractNumId w:val="26"/>
  </w:num>
  <w:num w:numId="34">
    <w:abstractNumId w:val="37"/>
  </w:num>
  <w:num w:numId="35">
    <w:abstractNumId w:val="33"/>
  </w:num>
  <w:num w:numId="36">
    <w:abstractNumId w:val="22"/>
  </w:num>
  <w:num w:numId="37">
    <w:abstractNumId w:val="6"/>
  </w:num>
  <w:num w:numId="38">
    <w:abstractNumId w:val="39"/>
  </w:num>
  <w:num w:numId="39">
    <w:abstractNumId w:val="7"/>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13"/>
  </w:num>
  <w:num w:numId="43">
    <w:abstractNumId w:val="15"/>
  </w:num>
  <w:num w:numId="44">
    <w:abstractNumId w:val="21"/>
  </w:num>
  <w:num w:numId="45">
    <w:abstractNumId w:val="12"/>
  </w:num>
  <w:num w:numId="46">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A22"/>
    <w:rsid w:val="00002CB5"/>
    <w:rsid w:val="00002F90"/>
    <w:rsid w:val="000046DE"/>
    <w:rsid w:val="00005391"/>
    <w:rsid w:val="00005A36"/>
    <w:rsid w:val="000064C2"/>
    <w:rsid w:val="000075AF"/>
    <w:rsid w:val="00007A79"/>
    <w:rsid w:val="00007AE0"/>
    <w:rsid w:val="00010516"/>
    <w:rsid w:val="0001086D"/>
    <w:rsid w:val="0001338B"/>
    <w:rsid w:val="00013D25"/>
    <w:rsid w:val="00014130"/>
    <w:rsid w:val="00014148"/>
    <w:rsid w:val="00014C00"/>
    <w:rsid w:val="0001541F"/>
    <w:rsid w:val="00016443"/>
    <w:rsid w:val="00017230"/>
    <w:rsid w:val="0001760A"/>
    <w:rsid w:val="00017C67"/>
    <w:rsid w:val="00017F45"/>
    <w:rsid w:val="00020BE8"/>
    <w:rsid w:val="00021869"/>
    <w:rsid w:val="000232BE"/>
    <w:rsid w:val="000238BA"/>
    <w:rsid w:val="00024FF5"/>
    <w:rsid w:val="00025504"/>
    <w:rsid w:val="000256A0"/>
    <w:rsid w:val="00025BA1"/>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657"/>
    <w:rsid w:val="00050891"/>
    <w:rsid w:val="00050B91"/>
    <w:rsid w:val="00050CE1"/>
    <w:rsid w:val="00051F4C"/>
    <w:rsid w:val="00051FCA"/>
    <w:rsid w:val="00052995"/>
    <w:rsid w:val="00052FC4"/>
    <w:rsid w:val="000532AC"/>
    <w:rsid w:val="000545FE"/>
    <w:rsid w:val="000546B9"/>
    <w:rsid w:val="000546D1"/>
    <w:rsid w:val="0005480A"/>
    <w:rsid w:val="0005601D"/>
    <w:rsid w:val="0005610D"/>
    <w:rsid w:val="00057DF4"/>
    <w:rsid w:val="000608A3"/>
    <w:rsid w:val="000611FF"/>
    <w:rsid w:val="0006157E"/>
    <w:rsid w:val="0006163D"/>
    <w:rsid w:val="0006177A"/>
    <w:rsid w:val="00061B35"/>
    <w:rsid w:val="00061D97"/>
    <w:rsid w:val="000641D7"/>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B12"/>
    <w:rsid w:val="00080C5A"/>
    <w:rsid w:val="00081450"/>
    <w:rsid w:val="00081734"/>
    <w:rsid w:val="00082913"/>
    <w:rsid w:val="00082A2D"/>
    <w:rsid w:val="0008302F"/>
    <w:rsid w:val="00083E78"/>
    <w:rsid w:val="00084172"/>
    <w:rsid w:val="00084D99"/>
    <w:rsid w:val="000853D2"/>
    <w:rsid w:val="0008597D"/>
    <w:rsid w:val="00085E0F"/>
    <w:rsid w:val="00086F37"/>
    <w:rsid w:val="00087F0A"/>
    <w:rsid w:val="000903B8"/>
    <w:rsid w:val="000904B8"/>
    <w:rsid w:val="00091B33"/>
    <w:rsid w:val="00091EE2"/>
    <w:rsid w:val="00092976"/>
    <w:rsid w:val="00092E83"/>
    <w:rsid w:val="0009591E"/>
    <w:rsid w:val="000977FE"/>
    <w:rsid w:val="000A1143"/>
    <w:rsid w:val="000A2ACD"/>
    <w:rsid w:val="000A39F4"/>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B7E29"/>
    <w:rsid w:val="000C0EFB"/>
    <w:rsid w:val="000C0FC4"/>
    <w:rsid w:val="000C3304"/>
    <w:rsid w:val="000C3364"/>
    <w:rsid w:val="000C338C"/>
    <w:rsid w:val="000C45A4"/>
    <w:rsid w:val="000C45FB"/>
    <w:rsid w:val="000C46F2"/>
    <w:rsid w:val="000C523F"/>
    <w:rsid w:val="000C5D18"/>
    <w:rsid w:val="000C6090"/>
    <w:rsid w:val="000C66E5"/>
    <w:rsid w:val="000C7D39"/>
    <w:rsid w:val="000C7EA9"/>
    <w:rsid w:val="000D0F76"/>
    <w:rsid w:val="000D24DC"/>
    <w:rsid w:val="000D42DA"/>
    <w:rsid w:val="000D607E"/>
    <w:rsid w:val="000D613F"/>
    <w:rsid w:val="000D6259"/>
    <w:rsid w:val="000D641E"/>
    <w:rsid w:val="000D6B6F"/>
    <w:rsid w:val="000D6D2E"/>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42A9"/>
    <w:rsid w:val="0012444E"/>
    <w:rsid w:val="00125287"/>
    <w:rsid w:val="00125BDC"/>
    <w:rsid w:val="00125FC8"/>
    <w:rsid w:val="00126AFD"/>
    <w:rsid w:val="00126DDF"/>
    <w:rsid w:val="001276F1"/>
    <w:rsid w:val="00127767"/>
    <w:rsid w:val="00127D7A"/>
    <w:rsid w:val="001304C9"/>
    <w:rsid w:val="001305A8"/>
    <w:rsid w:val="001315C0"/>
    <w:rsid w:val="00132328"/>
    <w:rsid w:val="001324EF"/>
    <w:rsid w:val="00132B36"/>
    <w:rsid w:val="00132ED5"/>
    <w:rsid w:val="00134825"/>
    <w:rsid w:val="00134881"/>
    <w:rsid w:val="00134F11"/>
    <w:rsid w:val="001364B3"/>
    <w:rsid w:val="00137D41"/>
    <w:rsid w:val="00137FBD"/>
    <w:rsid w:val="00140059"/>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7A2"/>
    <w:rsid w:val="00170CDB"/>
    <w:rsid w:val="00171042"/>
    <w:rsid w:val="001719D0"/>
    <w:rsid w:val="00172A8F"/>
    <w:rsid w:val="00172D2B"/>
    <w:rsid w:val="00173611"/>
    <w:rsid w:val="001738F3"/>
    <w:rsid w:val="0017480C"/>
    <w:rsid w:val="001756EA"/>
    <w:rsid w:val="0018007F"/>
    <w:rsid w:val="00180278"/>
    <w:rsid w:val="00181674"/>
    <w:rsid w:val="00181CED"/>
    <w:rsid w:val="00181E4B"/>
    <w:rsid w:val="00182145"/>
    <w:rsid w:val="00182789"/>
    <w:rsid w:val="001828DD"/>
    <w:rsid w:val="00182986"/>
    <w:rsid w:val="0018451A"/>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21AE"/>
    <w:rsid w:val="00192542"/>
    <w:rsid w:val="001927BE"/>
    <w:rsid w:val="00193329"/>
    <w:rsid w:val="00193907"/>
    <w:rsid w:val="001942E9"/>
    <w:rsid w:val="00195E5C"/>
    <w:rsid w:val="001964BA"/>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7F"/>
    <w:rsid w:val="001C656F"/>
    <w:rsid w:val="001C6C69"/>
    <w:rsid w:val="001C6DCE"/>
    <w:rsid w:val="001C7EF0"/>
    <w:rsid w:val="001D0441"/>
    <w:rsid w:val="001D1087"/>
    <w:rsid w:val="001D12CB"/>
    <w:rsid w:val="001D1734"/>
    <w:rsid w:val="001D1B05"/>
    <w:rsid w:val="001D2019"/>
    <w:rsid w:val="001D2D45"/>
    <w:rsid w:val="001D32CA"/>
    <w:rsid w:val="001D3FB2"/>
    <w:rsid w:val="001D4040"/>
    <w:rsid w:val="001D6103"/>
    <w:rsid w:val="001D636C"/>
    <w:rsid w:val="001D6386"/>
    <w:rsid w:val="001D64D2"/>
    <w:rsid w:val="001D7408"/>
    <w:rsid w:val="001E0CA3"/>
    <w:rsid w:val="001E11D8"/>
    <w:rsid w:val="001E13E4"/>
    <w:rsid w:val="001E15E7"/>
    <w:rsid w:val="001E27E5"/>
    <w:rsid w:val="001E3F5A"/>
    <w:rsid w:val="001E4460"/>
    <w:rsid w:val="001E44D3"/>
    <w:rsid w:val="001E45B4"/>
    <w:rsid w:val="001E57E3"/>
    <w:rsid w:val="001E6108"/>
    <w:rsid w:val="001E64EE"/>
    <w:rsid w:val="001E6B93"/>
    <w:rsid w:val="001F0A80"/>
    <w:rsid w:val="001F122F"/>
    <w:rsid w:val="001F14F6"/>
    <w:rsid w:val="001F207C"/>
    <w:rsid w:val="001F2C3C"/>
    <w:rsid w:val="001F2E5F"/>
    <w:rsid w:val="001F3487"/>
    <w:rsid w:val="001F376B"/>
    <w:rsid w:val="001F382F"/>
    <w:rsid w:val="001F4C1C"/>
    <w:rsid w:val="001F5959"/>
    <w:rsid w:val="001F5990"/>
    <w:rsid w:val="001F5B62"/>
    <w:rsid w:val="001F6068"/>
    <w:rsid w:val="001F7D80"/>
    <w:rsid w:val="0020035C"/>
    <w:rsid w:val="002003FC"/>
    <w:rsid w:val="0020061B"/>
    <w:rsid w:val="00203A1F"/>
    <w:rsid w:val="00203B59"/>
    <w:rsid w:val="0020434C"/>
    <w:rsid w:val="00205621"/>
    <w:rsid w:val="00207EE9"/>
    <w:rsid w:val="00210172"/>
    <w:rsid w:val="002114C4"/>
    <w:rsid w:val="00211A1D"/>
    <w:rsid w:val="00212775"/>
    <w:rsid w:val="00212E45"/>
    <w:rsid w:val="002134F3"/>
    <w:rsid w:val="002139E6"/>
    <w:rsid w:val="0021462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257B"/>
    <w:rsid w:val="00232754"/>
    <w:rsid w:val="002328D5"/>
    <w:rsid w:val="002328FF"/>
    <w:rsid w:val="00232BAE"/>
    <w:rsid w:val="00232F4C"/>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5A8F"/>
    <w:rsid w:val="00255CED"/>
    <w:rsid w:val="002563FE"/>
    <w:rsid w:val="00256465"/>
    <w:rsid w:val="00256EFF"/>
    <w:rsid w:val="00256F1C"/>
    <w:rsid w:val="00257271"/>
    <w:rsid w:val="00260C34"/>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E53"/>
    <w:rsid w:val="002714CD"/>
    <w:rsid w:val="002719FB"/>
    <w:rsid w:val="00271EA9"/>
    <w:rsid w:val="00272D4C"/>
    <w:rsid w:val="00272F51"/>
    <w:rsid w:val="00273165"/>
    <w:rsid w:val="00273253"/>
    <w:rsid w:val="002748FE"/>
    <w:rsid w:val="00274E29"/>
    <w:rsid w:val="00275812"/>
    <w:rsid w:val="00275BF6"/>
    <w:rsid w:val="00275C6A"/>
    <w:rsid w:val="002775AC"/>
    <w:rsid w:val="00277E58"/>
    <w:rsid w:val="00277F81"/>
    <w:rsid w:val="00280046"/>
    <w:rsid w:val="00280957"/>
    <w:rsid w:val="0028146D"/>
    <w:rsid w:val="0028287C"/>
    <w:rsid w:val="00282A32"/>
    <w:rsid w:val="00283C1E"/>
    <w:rsid w:val="00284B9B"/>
    <w:rsid w:val="00284E43"/>
    <w:rsid w:val="00285459"/>
    <w:rsid w:val="0028546B"/>
    <w:rsid w:val="002855BC"/>
    <w:rsid w:val="00286051"/>
    <w:rsid w:val="00286052"/>
    <w:rsid w:val="00286145"/>
    <w:rsid w:val="002878C3"/>
    <w:rsid w:val="00291483"/>
    <w:rsid w:val="00291B20"/>
    <w:rsid w:val="00291BED"/>
    <w:rsid w:val="00291F5F"/>
    <w:rsid w:val="00292002"/>
    <w:rsid w:val="00292619"/>
    <w:rsid w:val="002926CC"/>
    <w:rsid w:val="00293CF6"/>
    <w:rsid w:val="00294EF5"/>
    <w:rsid w:val="0029551E"/>
    <w:rsid w:val="002961C0"/>
    <w:rsid w:val="00296428"/>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2CAA"/>
    <w:rsid w:val="002C37D9"/>
    <w:rsid w:val="002C413A"/>
    <w:rsid w:val="002C44ED"/>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47EA"/>
    <w:rsid w:val="002D65CE"/>
    <w:rsid w:val="002D67E5"/>
    <w:rsid w:val="002D690D"/>
    <w:rsid w:val="002D6A59"/>
    <w:rsid w:val="002D7086"/>
    <w:rsid w:val="002E0E0E"/>
    <w:rsid w:val="002E180F"/>
    <w:rsid w:val="002E1CD9"/>
    <w:rsid w:val="002E1D17"/>
    <w:rsid w:val="002E2EB2"/>
    <w:rsid w:val="002E55E3"/>
    <w:rsid w:val="002E688F"/>
    <w:rsid w:val="002E704F"/>
    <w:rsid w:val="002F0DB5"/>
    <w:rsid w:val="002F14AC"/>
    <w:rsid w:val="002F182D"/>
    <w:rsid w:val="002F1872"/>
    <w:rsid w:val="002F1C5B"/>
    <w:rsid w:val="002F1FCF"/>
    <w:rsid w:val="002F353F"/>
    <w:rsid w:val="002F3CC8"/>
    <w:rsid w:val="002F4CE9"/>
    <w:rsid w:val="002F5053"/>
    <w:rsid w:val="002F56D1"/>
    <w:rsid w:val="002F64B9"/>
    <w:rsid w:val="002F7489"/>
    <w:rsid w:val="002F7E38"/>
    <w:rsid w:val="0030011E"/>
    <w:rsid w:val="00300253"/>
    <w:rsid w:val="003002D9"/>
    <w:rsid w:val="00301E35"/>
    <w:rsid w:val="003034A4"/>
    <w:rsid w:val="00303D8F"/>
    <w:rsid w:val="0030489B"/>
    <w:rsid w:val="00305485"/>
    <w:rsid w:val="00306897"/>
    <w:rsid w:val="00306A83"/>
    <w:rsid w:val="00306B3B"/>
    <w:rsid w:val="0030703C"/>
    <w:rsid w:val="00307269"/>
    <w:rsid w:val="003072D1"/>
    <w:rsid w:val="00307874"/>
    <w:rsid w:val="00307B39"/>
    <w:rsid w:val="003106C2"/>
    <w:rsid w:val="00310F4E"/>
    <w:rsid w:val="0031142B"/>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5240"/>
    <w:rsid w:val="00336149"/>
    <w:rsid w:val="003365EF"/>
    <w:rsid w:val="003375D7"/>
    <w:rsid w:val="00337EAA"/>
    <w:rsid w:val="003408B3"/>
    <w:rsid w:val="00341159"/>
    <w:rsid w:val="00341604"/>
    <w:rsid w:val="00341709"/>
    <w:rsid w:val="00341A92"/>
    <w:rsid w:val="00341D6D"/>
    <w:rsid w:val="00342FB8"/>
    <w:rsid w:val="0034305E"/>
    <w:rsid w:val="00344227"/>
    <w:rsid w:val="00347E25"/>
    <w:rsid w:val="00347FEC"/>
    <w:rsid w:val="0035019E"/>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1B99"/>
    <w:rsid w:val="00361E20"/>
    <w:rsid w:val="00362B25"/>
    <w:rsid w:val="00363C0B"/>
    <w:rsid w:val="00363DFB"/>
    <w:rsid w:val="003648AD"/>
    <w:rsid w:val="00364B72"/>
    <w:rsid w:val="00365626"/>
    <w:rsid w:val="0036616A"/>
    <w:rsid w:val="00367460"/>
    <w:rsid w:val="0036752C"/>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1CC"/>
    <w:rsid w:val="00385D9C"/>
    <w:rsid w:val="003864BE"/>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508B"/>
    <w:rsid w:val="003955C7"/>
    <w:rsid w:val="00395CBF"/>
    <w:rsid w:val="00396123"/>
    <w:rsid w:val="00396D07"/>
    <w:rsid w:val="003970F1"/>
    <w:rsid w:val="00397572"/>
    <w:rsid w:val="00397E7E"/>
    <w:rsid w:val="003A013A"/>
    <w:rsid w:val="003A0965"/>
    <w:rsid w:val="003A1185"/>
    <w:rsid w:val="003A1300"/>
    <w:rsid w:val="003A1342"/>
    <w:rsid w:val="003A1351"/>
    <w:rsid w:val="003A15BC"/>
    <w:rsid w:val="003A1A4F"/>
    <w:rsid w:val="003A1CD4"/>
    <w:rsid w:val="003A31D9"/>
    <w:rsid w:val="003A4135"/>
    <w:rsid w:val="003A49A2"/>
    <w:rsid w:val="003A53BD"/>
    <w:rsid w:val="003A5401"/>
    <w:rsid w:val="003A5FA5"/>
    <w:rsid w:val="003A7312"/>
    <w:rsid w:val="003B2ADF"/>
    <w:rsid w:val="003B2EED"/>
    <w:rsid w:val="003B2FB5"/>
    <w:rsid w:val="003B3330"/>
    <w:rsid w:val="003B3516"/>
    <w:rsid w:val="003B38A2"/>
    <w:rsid w:val="003B4244"/>
    <w:rsid w:val="003B4855"/>
    <w:rsid w:val="003B4A3F"/>
    <w:rsid w:val="003B542C"/>
    <w:rsid w:val="003B560D"/>
    <w:rsid w:val="003B5C0F"/>
    <w:rsid w:val="003B5D78"/>
    <w:rsid w:val="003B5E15"/>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2FC8"/>
    <w:rsid w:val="003C3338"/>
    <w:rsid w:val="003C3A92"/>
    <w:rsid w:val="003C434C"/>
    <w:rsid w:val="003C4F1D"/>
    <w:rsid w:val="003C519C"/>
    <w:rsid w:val="003C5B50"/>
    <w:rsid w:val="003C5DED"/>
    <w:rsid w:val="003C6914"/>
    <w:rsid w:val="003C7A86"/>
    <w:rsid w:val="003C7ABB"/>
    <w:rsid w:val="003C7B94"/>
    <w:rsid w:val="003D0906"/>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E16F4"/>
    <w:rsid w:val="003E18A8"/>
    <w:rsid w:val="003E2306"/>
    <w:rsid w:val="003E42E1"/>
    <w:rsid w:val="003E462E"/>
    <w:rsid w:val="003E4B77"/>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737D"/>
    <w:rsid w:val="003F754A"/>
    <w:rsid w:val="003F7679"/>
    <w:rsid w:val="004002E2"/>
    <w:rsid w:val="00400C83"/>
    <w:rsid w:val="00400E3E"/>
    <w:rsid w:val="0040129C"/>
    <w:rsid w:val="004014F0"/>
    <w:rsid w:val="0040196F"/>
    <w:rsid w:val="00402145"/>
    <w:rsid w:val="004021A1"/>
    <w:rsid w:val="0040227C"/>
    <w:rsid w:val="00402CA9"/>
    <w:rsid w:val="00402E1A"/>
    <w:rsid w:val="00402F04"/>
    <w:rsid w:val="00403102"/>
    <w:rsid w:val="00403775"/>
    <w:rsid w:val="00403923"/>
    <w:rsid w:val="00403A62"/>
    <w:rsid w:val="0040441F"/>
    <w:rsid w:val="00404769"/>
    <w:rsid w:val="0040484E"/>
    <w:rsid w:val="0040499B"/>
    <w:rsid w:val="0040543F"/>
    <w:rsid w:val="0040586F"/>
    <w:rsid w:val="00405B3B"/>
    <w:rsid w:val="00406A4D"/>
    <w:rsid w:val="004072D6"/>
    <w:rsid w:val="00407451"/>
    <w:rsid w:val="0041054B"/>
    <w:rsid w:val="00410BC0"/>
    <w:rsid w:val="00410BEF"/>
    <w:rsid w:val="00411379"/>
    <w:rsid w:val="004113A8"/>
    <w:rsid w:val="00411E38"/>
    <w:rsid w:val="00411EE2"/>
    <w:rsid w:val="00412280"/>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037"/>
    <w:rsid w:val="004319CA"/>
    <w:rsid w:val="00432416"/>
    <w:rsid w:val="00432B47"/>
    <w:rsid w:val="00432F65"/>
    <w:rsid w:val="00434B6D"/>
    <w:rsid w:val="00434E04"/>
    <w:rsid w:val="00434FDF"/>
    <w:rsid w:val="0043583D"/>
    <w:rsid w:val="00435E75"/>
    <w:rsid w:val="00435ECC"/>
    <w:rsid w:val="0043602E"/>
    <w:rsid w:val="0043755D"/>
    <w:rsid w:val="0044110A"/>
    <w:rsid w:val="004413F3"/>
    <w:rsid w:val="0044153D"/>
    <w:rsid w:val="0044161E"/>
    <w:rsid w:val="00443675"/>
    <w:rsid w:val="00444182"/>
    <w:rsid w:val="004445E5"/>
    <w:rsid w:val="00444BF0"/>
    <w:rsid w:val="00444DF8"/>
    <w:rsid w:val="0044508C"/>
    <w:rsid w:val="00445487"/>
    <w:rsid w:val="00445591"/>
    <w:rsid w:val="0044587B"/>
    <w:rsid w:val="004459C2"/>
    <w:rsid w:val="00445E84"/>
    <w:rsid w:val="00445FE3"/>
    <w:rsid w:val="00446B3B"/>
    <w:rsid w:val="00446FEF"/>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84A"/>
    <w:rsid w:val="00455127"/>
    <w:rsid w:val="00455EDE"/>
    <w:rsid w:val="00456C71"/>
    <w:rsid w:val="00456EA3"/>
    <w:rsid w:val="00457216"/>
    <w:rsid w:val="0046020B"/>
    <w:rsid w:val="004602FF"/>
    <w:rsid w:val="00462757"/>
    <w:rsid w:val="00463ABF"/>
    <w:rsid w:val="00463F44"/>
    <w:rsid w:val="00464780"/>
    <w:rsid w:val="004658A0"/>
    <w:rsid w:val="00465FE2"/>
    <w:rsid w:val="00466CDA"/>
    <w:rsid w:val="004671D5"/>
    <w:rsid w:val="00467BA9"/>
    <w:rsid w:val="004701DC"/>
    <w:rsid w:val="00470ACA"/>
    <w:rsid w:val="00470BA4"/>
    <w:rsid w:val="0047110E"/>
    <w:rsid w:val="004712E6"/>
    <w:rsid w:val="00471B05"/>
    <w:rsid w:val="00474B7C"/>
    <w:rsid w:val="00474FE7"/>
    <w:rsid w:val="004752AE"/>
    <w:rsid w:val="00475DDF"/>
    <w:rsid w:val="00476323"/>
    <w:rsid w:val="0047662E"/>
    <w:rsid w:val="00476995"/>
    <w:rsid w:val="00477D6B"/>
    <w:rsid w:val="00480B1D"/>
    <w:rsid w:val="00481AF1"/>
    <w:rsid w:val="00481C2B"/>
    <w:rsid w:val="00481D41"/>
    <w:rsid w:val="0048200F"/>
    <w:rsid w:val="0048238C"/>
    <w:rsid w:val="00483875"/>
    <w:rsid w:val="004838FD"/>
    <w:rsid w:val="00483BE4"/>
    <w:rsid w:val="00484004"/>
    <w:rsid w:val="0048426B"/>
    <w:rsid w:val="00484568"/>
    <w:rsid w:val="00484A6D"/>
    <w:rsid w:val="0048517A"/>
    <w:rsid w:val="00485831"/>
    <w:rsid w:val="0048588F"/>
    <w:rsid w:val="004865DC"/>
    <w:rsid w:val="004866E0"/>
    <w:rsid w:val="00487F8E"/>
    <w:rsid w:val="00490E4C"/>
    <w:rsid w:val="00490F4A"/>
    <w:rsid w:val="00490FF4"/>
    <w:rsid w:val="004912CF"/>
    <w:rsid w:val="00492166"/>
    <w:rsid w:val="00492369"/>
    <w:rsid w:val="004926E5"/>
    <w:rsid w:val="00492DAB"/>
    <w:rsid w:val="004933C1"/>
    <w:rsid w:val="00493777"/>
    <w:rsid w:val="00493CBB"/>
    <w:rsid w:val="00493D19"/>
    <w:rsid w:val="0049521F"/>
    <w:rsid w:val="00495317"/>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0ACF"/>
    <w:rsid w:val="004B1006"/>
    <w:rsid w:val="004B146A"/>
    <w:rsid w:val="004B17C7"/>
    <w:rsid w:val="004B1E83"/>
    <w:rsid w:val="004B219C"/>
    <w:rsid w:val="004B2D88"/>
    <w:rsid w:val="004B3C37"/>
    <w:rsid w:val="004B5190"/>
    <w:rsid w:val="004B591E"/>
    <w:rsid w:val="004B5E60"/>
    <w:rsid w:val="004B76A5"/>
    <w:rsid w:val="004C0F42"/>
    <w:rsid w:val="004C24BB"/>
    <w:rsid w:val="004C353A"/>
    <w:rsid w:val="004C384F"/>
    <w:rsid w:val="004C3C90"/>
    <w:rsid w:val="004C429F"/>
    <w:rsid w:val="004C4CD4"/>
    <w:rsid w:val="004C554E"/>
    <w:rsid w:val="004C5570"/>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5A8"/>
    <w:rsid w:val="004E15E4"/>
    <w:rsid w:val="004E193F"/>
    <w:rsid w:val="004E19C8"/>
    <w:rsid w:val="004E285C"/>
    <w:rsid w:val="004E3502"/>
    <w:rsid w:val="004E3CF0"/>
    <w:rsid w:val="004E4993"/>
    <w:rsid w:val="004E65D3"/>
    <w:rsid w:val="004E6606"/>
    <w:rsid w:val="004E7998"/>
    <w:rsid w:val="004E7B84"/>
    <w:rsid w:val="004E7ED8"/>
    <w:rsid w:val="004F197F"/>
    <w:rsid w:val="004F1F20"/>
    <w:rsid w:val="004F2902"/>
    <w:rsid w:val="004F3D95"/>
    <w:rsid w:val="004F5DE7"/>
    <w:rsid w:val="004F7233"/>
    <w:rsid w:val="004F7D37"/>
    <w:rsid w:val="005008C6"/>
    <w:rsid w:val="00500916"/>
    <w:rsid w:val="00501257"/>
    <w:rsid w:val="0050189E"/>
    <w:rsid w:val="00501B2C"/>
    <w:rsid w:val="00501F18"/>
    <w:rsid w:val="00504E8E"/>
    <w:rsid w:val="005067A5"/>
    <w:rsid w:val="005068C3"/>
    <w:rsid w:val="00506B5A"/>
    <w:rsid w:val="00506E99"/>
    <w:rsid w:val="005076B4"/>
    <w:rsid w:val="005102A1"/>
    <w:rsid w:val="00510377"/>
    <w:rsid w:val="005107AE"/>
    <w:rsid w:val="00510A5D"/>
    <w:rsid w:val="0051130E"/>
    <w:rsid w:val="0051135B"/>
    <w:rsid w:val="00511ABE"/>
    <w:rsid w:val="00512C11"/>
    <w:rsid w:val="00513529"/>
    <w:rsid w:val="00514605"/>
    <w:rsid w:val="005149FA"/>
    <w:rsid w:val="0051512E"/>
    <w:rsid w:val="0051527A"/>
    <w:rsid w:val="00516B1F"/>
    <w:rsid w:val="00517D30"/>
    <w:rsid w:val="00520005"/>
    <w:rsid w:val="00520245"/>
    <w:rsid w:val="005202B9"/>
    <w:rsid w:val="0052069E"/>
    <w:rsid w:val="005236C0"/>
    <w:rsid w:val="00525772"/>
    <w:rsid w:val="005261D2"/>
    <w:rsid w:val="005273A6"/>
    <w:rsid w:val="00527CAF"/>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439E"/>
    <w:rsid w:val="00545753"/>
    <w:rsid w:val="00545936"/>
    <w:rsid w:val="00546207"/>
    <w:rsid w:val="00546D79"/>
    <w:rsid w:val="0054767E"/>
    <w:rsid w:val="00547BEA"/>
    <w:rsid w:val="005505E4"/>
    <w:rsid w:val="00550FE3"/>
    <w:rsid w:val="00551AB7"/>
    <w:rsid w:val="005522F1"/>
    <w:rsid w:val="00552CA9"/>
    <w:rsid w:val="00552D3B"/>
    <w:rsid w:val="0055435B"/>
    <w:rsid w:val="0055483C"/>
    <w:rsid w:val="00555D66"/>
    <w:rsid w:val="005560AA"/>
    <w:rsid w:val="00556774"/>
    <w:rsid w:val="005567C3"/>
    <w:rsid w:val="00560AD2"/>
    <w:rsid w:val="00560F15"/>
    <w:rsid w:val="00561570"/>
    <w:rsid w:val="00561F60"/>
    <w:rsid w:val="005627EB"/>
    <w:rsid w:val="00562D1C"/>
    <w:rsid w:val="0056396E"/>
    <w:rsid w:val="00564490"/>
    <w:rsid w:val="005648CB"/>
    <w:rsid w:val="00564DB6"/>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6EC2"/>
    <w:rsid w:val="00577D3D"/>
    <w:rsid w:val="005802C7"/>
    <w:rsid w:val="005825DF"/>
    <w:rsid w:val="00583182"/>
    <w:rsid w:val="005831CC"/>
    <w:rsid w:val="005835CE"/>
    <w:rsid w:val="005841C7"/>
    <w:rsid w:val="005853AC"/>
    <w:rsid w:val="00585963"/>
    <w:rsid w:val="00585D53"/>
    <w:rsid w:val="00585EAE"/>
    <w:rsid w:val="0058699F"/>
    <w:rsid w:val="0058740D"/>
    <w:rsid w:val="00587617"/>
    <w:rsid w:val="00587725"/>
    <w:rsid w:val="00587897"/>
    <w:rsid w:val="00592D6F"/>
    <w:rsid w:val="00593161"/>
    <w:rsid w:val="00593A4A"/>
    <w:rsid w:val="00594017"/>
    <w:rsid w:val="00594BC7"/>
    <w:rsid w:val="00594DA1"/>
    <w:rsid w:val="00595C1F"/>
    <w:rsid w:val="0059624E"/>
    <w:rsid w:val="00596D9C"/>
    <w:rsid w:val="0059787E"/>
    <w:rsid w:val="00597CF4"/>
    <w:rsid w:val="005A0793"/>
    <w:rsid w:val="005A100B"/>
    <w:rsid w:val="005A10C4"/>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C0A8B"/>
    <w:rsid w:val="005C0F8E"/>
    <w:rsid w:val="005C2ED2"/>
    <w:rsid w:val="005C2FF9"/>
    <w:rsid w:val="005C4299"/>
    <w:rsid w:val="005C50DA"/>
    <w:rsid w:val="005C58A5"/>
    <w:rsid w:val="005C618A"/>
    <w:rsid w:val="005C632B"/>
    <w:rsid w:val="005C6B95"/>
    <w:rsid w:val="005C6CDA"/>
    <w:rsid w:val="005C6F62"/>
    <w:rsid w:val="005C6FFB"/>
    <w:rsid w:val="005C7A09"/>
    <w:rsid w:val="005C7E1E"/>
    <w:rsid w:val="005C7FA2"/>
    <w:rsid w:val="005D013B"/>
    <w:rsid w:val="005D01B3"/>
    <w:rsid w:val="005D08D3"/>
    <w:rsid w:val="005D1203"/>
    <w:rsid w:val="005D166D"/>
    <w:rsid w:val="005D3205"/>
    <w:rsid w:val="005D337D"/>
    <w:rsid w:val="005D4770"/>
    <w:rsid w:val="005D53CE"/>
    <w:rsid w:val="005D5EF9"/>
    <w:rsid w:val="005D6986"/>
    <w:rsid w:val="005D7148"/>
    <w:rsid w:val="005D75FE"/>
    <w:rsid w:val="005D76E1"/>
    <w:rsid w:val="005D7AAE"/>
    <w:rsid w:val="005E05ED"/>
    <w:rsid w:val="005E063D"/>
    <w:rsid w:val="005E1269"/>
    <w:rsid w:val="005E1A50"/>
    <w:rsid w:val="005E2549"/>
    <w:rsid w:val="005E2F2D"/>
    <w:rsid w:val="005E31F4"/>
    <w:rsid w:val="005E3315"/>
    <w:rsid w:val="005E3EFB"/>
    <w:rsid w:val="005E4055"/>
    <w:rsid w:val="005E4471"/>
    <w:rsid w:val="005E4499"/>
    <w:rsid w:val="005E5E42"/>
    <w:rsid w:val="005E6140"/>
    <w:rsid w:val="005E65A7"/>
    <w:rsid w:val="005E70ED"/>
    <w:rsid w:val="005E7647"/>
    <w:rsid w:val="005E7A8F"/>
    <w:rsid w:val="005E7EFC"/>
    <w:rsid w:val="005F2673"/>
    <w:rsid w:val="005F2E3D"/>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4C7"/>
    <w:rsid w:val="00605679"/>
    <w:rsid w:val="00606901"/>
    <w:rsid w:val="00606AC1"/>
    <w:rsid w:val="006071FA"/>
    <w:rsid w:val="00607B01"/>
    <w:rsid w:val="00607CB5"/>
    <w:rsid w:val="0061062F"/>
    <w:rsid w:val="00610857"/>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268"/>
    <w:rsid w:val="00630467"/>
    <w:rsid w:val="006310B1"/>
    <w:rsid w:val="00631657"/>
    <w:rsid w:val="00631C54"/>
    <w:rsid w:val="00631DF1"/>
    <w:rsid w:val="006324ED"/>
    <w:rsid w:val="006328BA"/>
    <w:rsid w:val="00633EBE"/>
    <w:rsid w:val="00635BF9"/>
    <w:rsid w:val="0063601D"/>
    <w:rsid w:val="006362EE"/>
    <w:rsid w:val="00636A8E"/>
    <w:rsid w:val="006376CD"/>
    <w:rsid w:val="0063791D"/>
    <w:rsid w:val="00640635"/>
    <w:rsid w:val="0064067E"/>
    <w:rsid w:val="00641620"/>
    <w:rsid w:val="006419CF"/>
    <w:rsid w:val="00641C8C"/>
    <w:rsid w:val="006421FB"/>
    <w:rsid w:val="006426CA"/>
    <w:rsid w:val="006438B0"/>
    <w:rsid w:val="00644B78"/>
    <w:rsid w:val="00646C8B"/>
    <w:rsid w:val="00650140"/>
    <w:rsid w:val="006507CC"/>
    <w:rsid w:val="00650AAB"/>
    <w:rsid w:val="00651196"/>
    <w:rsid w:val="0065155B"/>
    <w:rsid w:val="0065190B"/>
    <w:rsid w:val="006520CB"/>
    <w:rsid w:val="00652555"/>
    <w:rsid w:val="00652AF6"/>
    <w:rsid w:val="0065381F"/>
    <w:rsid w:val="006538B4"/>
    <w:rsid w:val="006540E2"/>
    <w:rsid w:val="00655886"/>
    <w:rsid w:val="00657160"/>
    <w:rsid w:val="006579B5"/>
    <w:rsid w:val="00660B0B"/>
    <w:rsid w:val="00660E1D"/>
    <w:rsid w:val="00661021"/>
    <w:rsid w:val="006610D6"/>
    <w:rsid w:val="00661189"/>
    <w:rsid w:val="00661B6C"/>
    <w:rsid w:val="0066248C"/>
    <w:rsid w:val="0066463D"/>
    <w:rsid w:val="00664D37"/>
    <w:rsid w:val="0066500F"/>
    <w:rsid w:val="00665170"/>
    <w:rsid w:val="006655D7"/>
    <w:rsid w:val="00665E1F"/>
    <w:rsid w:val="00666C88"/>
    <w:rsid w:val="0066736F"/>
    <w:rsid w:val="00667C13"/>
    <w:rsid w:val="00667F8A"/>
    <w:rsid w:val="006703B4"/>
    <w:rsid w:val="00670E4D"/>
    <w:rsid w:val="00672609"/>
    <w:rsid w:val="006734AC"/>
    <w:rsid w:val="00674C50"/>
    <w:rsid w:val="0067530C"/>
    <w:rsid w:val="00676076"/>
    <w:rsid w:val="00676716"/>
    <w:rsid w:val="006767D9"/>
    <w:rsid w:val="00676F65"/>
    <w:rsid w:val="006770E7"/>
    <w:rsid w:val="00677510"/>
    <w:rsid w:val="00677BEF"/>
    <w:rsid w:val="0068158A"/>
    <w:rsid w:val="006817AB"/>
    <w:rsid w:val="006826CC"/>
    <w:rsid w:val="00682D30"/>
    <w:rsid w:val="00684D91"/>
    <w:rsid w:val="00685897"/>
    <w:rsid w:val="006909CF"/>
    <w:rsid w:val="00690A09"/>
    <w:rsid w:val="006915E9"/>
    <w:rsid w:val="0069190D"/>
    <w:rsid w:val="00693148"/>
    <w:rsid w:val="006944E7"/>
    <w:rsid w:val="0069541C"/>
    <w:rsid w:val="0069785F"/>
    <w:rsid w:val="006A09BC"/>
    <w:rsid w:val="006A0CF1"/>
    <w:rsid w:val="006A1802"/>
    <w:rsid w:val="006A2576"/>
    <w:rsid w:val="006A4C3B"/>
    <w:rsid w:val="006A4D40"/>
    <w:rsid w:val="006A6949"/>
    <w:rsid w:val="006B11F1"/>
    <w:rsid w:val="006B3F4C"/>
    <w:rsid w:val="006B423B"/>
    <w:rsid w:val="006B44B9"/>
    <w:rsid w:val="006B4E65"/>
    <w:rsid w:val="006B6FEA"/>
    <w:rsid w:val="006B74FC"/>
    <w:rsid w:val="006B772F"/>
    <w:rsid w:val="006B7D8C"/>
    <w:rsid w:val="006B7D97"/>
    <w:rsid w:val="006C0EDA"/>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D0061"/>
    <w:rsid w:val="006D0697"/>
    <w:rsid w:val="006D0C77"/>
    <w:rsid w:val="006D1747"/>
    <w:rsid w:val="006D1B8A"/>
    <w:rsid w:val="006D20C2"/>
    <w:rsid w:val="006D235E"/>
    <w:rsid w:val="006D2858"/>
    <w:rsid w:val="006D323D"/>
    <w:rsid w:val="006D36D2"/>
    <w:rsid w:val="006D4687"/>
    <w:rsid w:val="006D5E0E"/>
    <w:rsid w:val="006D63B3"/>
    <w:rsid w:val="006D6E91"/>
    <w:rsid w:val="006D75D8"/>
    <w:rsid w:val="006E038A"/>
    <w:rsid w:val="006E0DFB"/>
    <w:rsid w:val="006E15AD"/>
    <w:rsid w:val="006E1992"/>
    <w:rsid w:val="006E2475"/>
    <w:rsid w:val="006E2CF0"/>
    <w:rsid w:val="006E3339"/>
    <w:rsid w:val="006E3C94"/>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94B"/>
    <w:rsid w:val="006F6F12"/>
    <w:rsid w:val="006F71CA"/>
    <w:rsid w:val="006F7CA8"/>
    <w:rsid w:val="00700E79"/>
    <w:rsid w:val="00702761"/>
    <w:rsid w:val="00704596"/>
    <w:rsid w:val="007048B9"/>
    <w:rsid w:val="00704DE4"/>
    <w:rsid w:val="00705529"/>
    <w:rsid w:val="007056D6"/>
    <w:rsid w:val="00705711"/>
    <w:rsid w:val="00705AD1"/>
    <w:rsid w:val="007070B2"/>
    <w:rsid w:val="00707427"/>
    <w:rsid w:val="007110B4"/>
    <w:rsid w:val="007118EF"/>
    <w:rsid w:val="00711A2D"/>
    <w:rsid w:val="007129A3"/>
    <w:rsid w:val="00713110"/>
    <w:rsid w:val="00713111"/>
    <w:rsid w:val="00713552"/>
    <w:rsid w:val="0071366B"/>
    <w:rsid w:val="007136DE"/>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29A"/>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46E"/>
    <w:rsid w:val="00747538"/>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C9"/>
    <w:rsid w:val="007651ED"/>
    <w:rsid w:val="00765CDE"/>
    <w:rsid w:val="00765DB8"/>
    <w:rsid w:val="00766ECE"/>
    <w:rsid w:val="00766FF2"/>
    <w:rsid w:val="00767171"/>
    <w:rsid w:val="0077118A"/>
    <w:rsid w:val="00771D70"/>
    <w:rsid w:val="00772561"/>
    <w:rsid w:val="007728B6"/>
    <w:rsid w:val="0077300D"/>
    <w:rsid w:val="0077364E"/>
    <w:rsid w:val="00773B26"/>
    <w:rsid w:val="00773B4A"/>
    <w:rsid w:val="007740E5"/>
    <w:rsid w:val="00776134"/>
    <w:rsid w:val="00777349"/>
    <w:rsid w:val="0077757C"/>
    <w:rsid w:val="00780481"/>
    <w:rsid w:val="00780792"/>
    <w:rsid w:val="00780FF2"/>
    <w:rsid w:val="00782294"/>
    <w:rsid w:val="0078338D"/>
    <w:rsid w:val="00783C8F"/>
    <w:rsid w:val="00784780"/>
    <w:rsid w:val="0078578C"/>
    <w:rsid w:val="007858EB"/>
    <w:rsid w:val="0078594A"/>
    <w:rsid w:val="0078625E"/>
    <w:rsid w:val="00786A02"/>
    <w:rsid w:val="00787462"/>
    <w:rsid w:val="00787614"/>
    <w:rsid w:val="00790DA3"/>
    <w:rsid w:val="00791116"/>
    <w:rsid w:val="00791B5D"/>
    <w:rsid w:val="0079287A"/>
    <w:rsid w:val="00793129"/>
    <w:rsid w:val="00793AAE"/>
    <w:rsid w:val="00794D8F"/>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48CC"/>
    <w:rsid w:val="007A689D"/>
    <w:rsid w:val="007A68C3"/>
    <w:rsid w:val="007B0044"/>
    <w:rsid w:val="007B082A"/>
    <w:rsid w:val="007B0833"/>
    <w:rsid w:val="007B1A08"/>
    <w:rsid w:val="007B1D07"/>
    <w:rsid w:val="007B3793"/>
    <w:rsid w:val="007B3BBC"/>
    <w:rsid w:val="007B3F67"/>
    <w:rsid w:val="007B4D12"/>
    <w:rsid w:val="007B5870"/>
    <w:rsid w:val="007B659E"/>
    <w:rsid w:val="007B667D"/>
    <w:rsid w:val="007B6731"/>
    <w:rsid w:val="007B6F7C"/>
    <w:rsid w:val="007B7031"/>
    <w:rsid w:val="007B7591"/>
    <w:rsid w:val="007B772C"/>
    <w:rsid w:val="007C1FFB"/>
    <w:rsid w:val="007C2717"/>
    <w:rsid w:val="007C2F22"/>
    <w:rsid w:val="007C3224"/>
    <w:rsid w:val="007C3F6E"/>
    <w:rsid w:val="007C4A7F"/>
    <w:rsid w:val="007C4AC7"/>
    <w:rsid w:val="007C4D8C"/>
    <w:rsid w:val="007C5699"/>
    <w:rsid w:val="007C6259"/>
    <w:rsid w:val="007C62E9"/>
    <w:rsid w:val="007C77D8"/>
    <w:rsid w:val="007C7BF4"/>
    <w:rsid w:val="007D1CA6"/>
    <w:rsid w:val="007D1CF5"/>
    <w:rsid w:val="007D350C"/>
    <w:rsid w:val="007D4816"/>
    <w:rsid w:val="007D52BE"/>
    <w:rsid w:val="007D59DA"/>
    <w:rsid w:val="007D62BB"/>
    <w:rsid w:val="007D6F58"/>
    <w:rsid w:val="007E0BAB"/>
    <w:rsid w:val="007E1059"/>
    <w:rsid w:val="007E11B4"/>
    <w:rsid w:val="007E14BA"/>
    <w:rsid w:val="007E1F71"/>
    <w:rsid w:val="007E2BEA"/>
    <w:rsid w:val="007E2C1B"/>
    <w:rsid w:val="007E3D25"/>
    <w:rsid w:val="007E4613"/>
    <w:rsid w:val="007E4D69"/>
    <w:rsid w:val="007E6068"/>
    <w:rsid w:val="007E66A8"/>
    <w:rsid w:val="007E688F"/>
    <w:rsid w:val="007E6C35"/>
    <w:rsid w:val="007E71FD"/>
    <w:rsid w:val="007F0FCD"/>
    <w:rsid w:val="007F3058"/>
    <w:rsid w:val="007F3163"/>
    <w:rsid w:val="007F3C1E"/>
    <w:rsid w:val="007F4230"/>
    <w:rsid w:val="007F6D13"/>
    <w:rsid w:val="00800B88"/>
    <w:rsid w:val="00800E30"/>
    <w:rsid w:val="008015F8"/>
    <w:rsid w:val="008017E8"/>
    <w:rsid w:val="008024B7"/>
    <w:rsid w:val="00802F26"/>
    <w:rsid w:val="0080333D"/>
    <w:rsid w:val="00804507"/>
    <w:rsid w:val="008058C0"/>
    <w:rsid w:val="00805EF4"/>
    <w:rsid w:val="00806202"/>
    <w:rsid w:val="008062F1"/>
    <w:rsid w:val="00807E53"/>
    <w:rsid w:val="00810067"/>
    <w:rsid w:val="00811541"/>
    <w:rsid w:val="008120BF"/>
    <w:rsid w:val="00812422"/>
    <w:rsid w:val="00812C7B"/>
    <w:rsid w:val="00813258"/>
    <w:rsid w:val="00813512"/>
    <w:rsid w:val="00813E7C"/>
    <w:rsid w:val="0081470A"/>
    <w:rsid w:val="00814EBD"/>
    <w:rsid w:val="0081523C"/>
    <w:rsid w:val="00815672"/>
    <w:rsid w:val="00816216"/>
    <w:rsid w:val="00816C5A"/>
    <w:rsid w:val="00820A62"/>
    <w:rsid w:val="0082193D"/>
    <w:rsid w:val="00822B4B"/>
    <w:rsid w:val="008241F7"/>
    <w:rsid w:val="00825A1D"/>
    <w:rsid w:val="00825E39"/>
    <w:rsid w:val="008263C9"/>
    <w:rsid w:val="008266B5"/>
    <w:rsid w:val="00826BD9"/>
    <w:rsid w:val="0082782E"/>
    <w:rsid w:val="0083042E"/>
    <w:rsid w:val="00830785"/>
    <w:rsid w:val="0083103A"/>
    <w:rsid w:val="00831B96"/>
    <w:rsid w:val="0083223A"/>
    <w:rsid w:val="008322C9"/>
    <w:rsid w:val="0083272A"/>
    <w:rsid w:val="00833160"/>
    <w:rsid w:val="00833983"/>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B62"/>
    <w:rsid w:val="00854FD3"/>
    <w:rsid w:val="008550C9"/>
    <w:rsid w:val="00855411"/>
    <w:rsid w:val="00855443"/>
    <w:rsid w:val="00855502"/>
    <w:rsid w:val="00855BC8"/>
    <w:rsid w:val="00861DA7"/>
    <w:rsid w:val="00862555"/>
    <w:rsid w:val="0086255B"/>
    <w:rsid w:val="008625E8"/>
    <w:rsid w:val="0086364E"/>
    <w:rsid w:val="008646D8"/>
    <w:rsid w:val="0086480D"/>
    <w:rsid w:val="008653D7"/>
    <w:rsid w:val="00865513"/>
    <w:rsid w:val="00866061"/>
    <w:rsid w:val="0086625E"/>
    <w:rsid w:val="008662C6"/>
    <w:rsid w:val="00866596"/>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D02"/>
    <w:rsid w:val="008812DE"/>
    <w:rsid w:val="00881A27"/>
    <w:rsid w:val="008826CF"/>
    <w:rsid w:val="008828CF"/>
    <w:rsid w:val="008831FC"/>
    <w:rsid w:val="00883A14"/>
    <w:rsid w:val="00884619"/>
    <w:rsid w:val="008849FF"/>
    <w:rsid w:val="008855AD"/>
    <w:rsid w:val="00886320"/>
    <w:rsid w:val="00887183"/>
    <w:rsid w:val="00887ACA"/>
    <w:rsid w:val="00887CCE"/>
    <w:rsid w:val="00890514"/>
    <w:rsid w:val="0089166D"/>
    <w:rsid w:val="008919D9"/>
    <w:rsid w:val="00891BAC"/>
    <w:rsid w:val="00892DFB"/>
    <w:rsid w:val="00892E2E"/>
    <w:rsid w:val="00893884"/>
    <w:rsid w:val="00893A9E"/>
    <w:rsid w:val="00893E6F"/>
    <w:rsid w:val="0089418C"/>
    <w:rsid w:val="00894B1D"/>
    <w:rsid w:val="00894BCC"/>
    <w:rsid w:val="00897A3C"/>
    <w:rsid w:val="00897B86"/>
    <w:rsid w:val="00897C7E"/>
    <w:rsid w:val="008A014F"/>
    <w:rsid w:val="008A0601"/>
    <w:rsid w:val="008A087E"/>
    <w:rsid w:val="008A14FE"/>
    <w:rsid w:val="008A1597"/>
    <w:rsid w:val="008A1B44"/>
    <w:rsid w:val="008A28FA"/>
    <w:rsid w:val="008A2FA6"/>
    <w:rsid w:val="008A3337"/>
    <w:rsid w:val="008A4843"/>
    <w:rsid w:val="008A4D55"/>
    <w:rsid w:val="008A55DD"/>
    <w:rsid w:val="008A5947"/>
    <w:rsid w:val="008A5AC8"/>
    <w:rsid w:val="008A5B90"/>
    <w:rsid w:val="008A657C"/>
    <w:rsid w:val="008A6C85"/>
    <w:rsid w:val="008B020D"/>
    <w:rsid w:val="008B122E"/>
    <w:rsid w:val="008B1601"/>
    <w:rsid w:val="008B223F"/>
    <w:rsid w:val="008B2D4D"/>
    <w:rsid w:val="008B3C63"/>
    <w:rsid w:val="008B410D"/>
    <w:rsid w:val="008B469E"/>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DA8"/>
    <w:rsid w:val="008E03B4"/>
    <w:rsid w:val="008E24CC"/>
    <w:rsid w:val="008E263D"/>
    <w:rsid w:val="008E344F"/>
    <w:rsid w:val="008E347E"/>
    <w:rsid w:val="008E3815"/>
    <w:rsid w:val="008E3F3E"/>
    <w:rsid w:val="008E4BBE"/>
    <w:rsid w:val="008E4F26"/>
    <w:rsid w:val="008E544D"/>
    <w:rsid w:val="008E5502"/>
    <w:rsid w:val="008E585E"/>
    <w:rsid w:val="008E5F7B"/>
    <w:rsid w:val="008E7AD6"/>
    <w:rsid w:val="008F00AF"/>
    <w:rsid w:val="008F0744"/>
    <w:rsid w:val="008F23BF"/>
    <w:rsid w:val="008F2C31"/>
    <w:rsid w:val="008F2CD5"/>
    <w:rsid w:val="008F32BE"/>
    <w:rsid w:val="008F345C"/>
    <w:rsid w:val="008F5ACD"/>
    <w:rsid w:val="008F5F0D"/>
    <w:rsid w:val="008F6262"/>
    <w:rsid w:val="008F7F33"/>
    <w:rsid w:val="00901142"/>
    <w:rsid w:val="009011D8"/>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7AD"/>
    <w:rsid w:val="009202C7"/>
    <w:rsid w:val="009212CD"/>
    <w:rsid w:val="00921DAD"/>
    <w:rsid w:val="00922A23"/>
    <w:rsid w:val="00923FAE"/>
    <w:rsid w:val="00924260"/>
    <w:rsid w:val="00924502"/>
    <w:rsid w:val="009267A6"/>
    <w:rsid w:val="00927230"/>
    <w:rsid w:val="00930430"/>
    <w:rsid w:val="00930748"/>
    <w:rsid w:val="00932778"/>
    <w:rsid w:val="00933030"/>
    <w:rsid w:val="00934914"/>
    <w:rsid w:val="00935A38"/>
    <w:rsid w:val="00935B9F"/>
    <w:rsid w:val="0093657E"/>
    <w:rsid w:val="00940631"/>
    <w:rsid w:val="0094180C"/>
    <w:rsid w:val="00942091"/>
    <w:rsid w:val="009425EE"/>
    <w:rsid w:val="00944928"/>
    <w:rsid w:val="00944A9B"/>
    <w:rsid w:val="0094516F"/>
    <w:rsid w:val="009451DE"/>
    <w:rsid w:val="00945315"/>
    <w:rsid w:val="00946009"/>
    <w:rsid w:val="00946506"/>
    <w:rsid w:val="0095060C"/>
    <w:rsid w:val="009511A9"/>
    <w:rsid w:val="009512A0"/>
    <w:rsid w:val="0095161C"/>
    <w:rsid w:val="00951E8F"/>
    <w:rsid w:val="00952E84"/>
    <w:rsid w:val="00953460"/>
    <w:rsid w:val="00953D58"/>
    <w:rsid w:val="00955079"/>
    <w:rsid w:val="00955481"/>
    <w:rsid w:val="009554C7"/>
    <w:rsid w:val="009557EE"/>
    <w:rsid w:val="00955EC5"/>
    <w:rsid w:val="009561DC"/>
    <w:rsid w:val="009566DE"/>
    <w:rsid w:val="00957756"/>
    <w:rsid w:val="0095778B"/>
    <w:rsid w:val="00960402"/>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75B"/>
    <w:rsid w:val="00977B74"/>
    <w:rsid w:val="00977E36"/>
    <w:rsid w:val="00980750"/>
    <w:rsid w:val="0098087E"/>
    <w:rsid w:val="00980BD0"/>
    <w:rsid w:val="00981821"/>
    <w:rsid w:val="009825C4"/>
    <w:rsid w:val="009833C9"/>
    <w:rsid w:val="009863C6"/>
    <w:rsid w:val="009865B4"/>
    <w:rsid w:val="00986C49"/>
    <w:rsid w:val="00986CD7"/>
    <w:rsid w:val="009877FB"/>
    <w:rsid w:val="00991022"/>
    <w:rsid w:val="00991B71"/>
    <w:rsid w:val="00992AC4"/>
    <w:rsid w:val="00993FE7"/>
    <w:rsid w:val="00994350"/>
    <w:rsid w:val="00994CF8"/>
    <w:rsid w:val="009950CE"/>
    <w:rsid w:val="00995485"/>
    <w:rsid w:val="00995B17"/>
    <w:rsid w:val="00995F45"/>
    <w:rsid w:val="009964F2"/>
    <w:rsid w:val="00996A2A"/>
    <w:rsid w:val="009A17DF"/>
    <w:rsid w:val="009A1FBA"/>
    <w:rsid w:val="009A3486"/>
    <w:rsid w:val="009A5B39"/>
    <w:rsid w:val="009A6362"/>
    <w:rsid w:val="009A7664"/>
    <w:rsid w:val="009A7F41"/>
    <w:rsid w:val="009A7FC5"/>
    <w:rsid w:val="009B0627"/>
    <w:rsid w:val="009B09C2"/>
    <w:rsid w:val="009B156B"/>
    <w:rsid w:val="009B1B09"/>
    <w:rsid w:val="009B22C9"/>
    <w:rsid w:val="009B3608"/>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3697"/>
    <w:rsid w:val="009C3FE7"/>
    <w:rsid w:val="009C51CF"/>
    <w:rsid w:val="009C5585"/>
    <w:rsid w:val="009C6FEA"/>
    <w:rsid w:val="009C78AD"/>
    <w:rsid w:val="009D16B9"/>
    <w:rsid w:val="009D1F1A"/>
    <w:rsid w:val="009D240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E7097"/>
    <w:rsid w:val="009F010A"/>
    <w:rsid w:val="009F0309"/>
    <w:rsid w:val="009F0988"/>
    <w:rsid w:val="009F0A7F"/>
    <w:rsid w:val="009F10AC"/>
    <w:rsid w:val="009F192E"/>
    <w:rsid w:val="009F2AC4"/>
    <w:rsid w:val="009F3012"/>
    <w:rsid w:val="009F32FF"/>
    <w:rsid w:val="009F48C5"/>
    <w:rsid w:val="009F535A"/>
    <w:rsid w:val="009F7441"/>
    <w:rsid w:val="009F7A29"/>
    <w:rsid w:val="009F7B35"/>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1CE"/>
    <w:rsid w:val="00A1040F"/>
    <w:rsid w:val="00A10A36"/>
    <w:rsid w:val="00A11463"/>
    <w:rsid w:val="00A11E24"/>
    <w:rsid w:val="00A12493"/>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4BF"/>
    <w:rsid w:val="00A336E2"/>
    <w:rsid w:val="00A33852"/>
    <w:rsid w:val="00A34114"/>
    <w:rsid w:val="00A3477B"/>
    <w:rsid w:val="00A34A59"/>
    <w:rsid w:val="00A364C6"/>
    <w:rsid w:val="00A36E61"/>
    <w:rsid w:val="00A36E93"/>
    <w:rsid w:val="00A37551"/>
    <w:rsid w:val="00A40C78"/>
    <w:rsid w:val="00A4107C"/>
    <w:rsid w:val="00A41945"/>
    <w:rsid w:val="00A41DB2"/>
    <w:rsid w:val="00A43051"/>
    <w:rsid w:val="00A43EC3"/>
    <w:rsid w:val="00A448C8"/>
    <w:rsid w:val="00A45076"/>
    <w:rsid w:val="00A457FF"/>
    <w:rsid w:val="00A45854"/>
    <w:rsid w:val="00A45997"/>
    <w:rsid w:val="00A45E00"/>
    <w:rsid w:val="00A4671F"/>
    <w:rsid w:val="00A46B66"/>
    <w:rsid w:val="00A501D1"/>
    <w:rsid w:val="00A5082B"/>
    <w:rsid w:val="00A5163A"/>
    <w:rsid w:val="00A51E35"/>
    <w:rsid w:val="00A52170"/>
    <w:rsid w:val="00A53138"/>
    <w:rsid w:val="00A5327A"/>
    <w:rsid w:val="00A53B57"/>
    <w:rsid w:val="00A5434C"/>
    <w:rsid w:val="00A54F96"/>
    <w:rsid w:val="00A55307"/>
    <w:rsid w:val="00A555D1"/>
    <w:rsid w:val="00A57B45"/>
    <w:rsid w:val="00A57CAD"/>
    <w:rsid w:val="00A60E22"/>
    <w:rsid w:val="00A616AA"/>
    <w:rsid w:val="00A62E16"/>
    <w:rsid w:val="00A63693"/>
    <w:rsid w:val="00A636F2"/>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6A4F"/>
    <w:rsid w:val="00A76C01"/>
    <w:rsid w:val="00A77B15"/>
    <w:rsid w:val="00A77E0B"/>
    <w:rsid w:val="00A80DB0"/>
    <w:rsid w:val="00A81244"/>
    <w:rsid w:val="00A81458"/>
    <w:rsid w:val="00A81501"/>
    <w:rsid w:val="00A82368"/>
    <w:rsid w:val="00A826F4"/>
    <w:rsid w:val="00A827BF"/>
    <w:rsid w:val="00A83A21"/>
    <w:rsid w:val="00A83A24"/>
    <w:rsid w:val="00A83A66"/>
    <w:rsid w:val="00A83B60"/>
    <w:rsid w:val="00A84273"/>
    <w:rsid w:val="00A84D45"/>
    <w:rsid w:val="00A85A60"/>
    <w:rsid w:val="00A85DA0"/>
    <w:rsid w:val="00A871A4"/>
    <w:rsid w:val="00A8767B"/>
    <w:rsid w:val="00A903FB"/>
    <w:rsid w:val="00A90540"/>
    <w:rsid w:val="00A91A45"/>
    <w:rsid w:val="00A924D2"/>
    <w:rsid w:val="00A93804"/>
    <w:rsid w:val="00A94378"/>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0E8"/>
    <w:rsid w:val="00AB1D0C"/>
    <w:rsid w:val="00AB2449"/>
    <w:rsid w:val="00AB2C01"/>
    <w:rsid w:val="00AB362A"/>
    <w:rsid w:val="00AB4B64"/>
    <w:rsid w:val="00AB5B26"/>
    <w:rsid w:val="00AB647E"/>
    <w:rsid w:val="00AB6AC5"/>
    <w:rsid w:val="00AB73D0"/>
    <w:rsid w:val="00AB7A45"/>
    <w:rsid w:val="00AC011D"/>
    <w:rsid w:val="00AC0408"/>
    <w:rsid w:val="00AC112C"/>
    <w:rsid w:val="00AC1639"/>
    <w:rsid w:val="00AC2BC0"/>
    <w:rsid w:val="00AC3611"/>
    <w:rsid w:val="00AC3A8C"/>
    <w:rsid w:val="00AC60A6"/>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358D"/>
    <w:rsid w:val="00AD382E"/>
    <w:rsid w:val="00AD406C"/>
    <w:rsid w:val="00AD44A7"/>
    <w:rsid w:val="00AD45A9"/>
    <w:rsid w:val="00AD4F42"/>
    <w:rsid w:val="00AD6CAB"/>
    <w:rsid w:val="00AD6CFC"/>
    <w:rsid w:val="00AD779D"/>
    <w:rsid w:val="00AD7FF1"/>
    <w:rsid w:val="00AE0793"/>
    <w:rsid w:val="00AE0896"/>
    <w:rsid w:val="00AE1712"/>
    <w:rsid w:val="00AE245D"/>
    <w:rsid w:val="00AE2B40"/>
    <w:rsid w:val="00AE3076"/>
    <w:rsid w:val="00AE38AA"/>
    <w:rsid w:val="00AE391A"/>
    <w:rsid w:val="00AE3F5C"/>
    <w:rsid w:val="00AE41C4"/>
    <w:rsid w:val="00AE4D0A"/>
    <w:rsid w:val="00AE4EF0"/>
    <w:rsid w:val="00AE519F"/>
    <w:rsid w:val="00AE56F6"/>
    <w:rsid w:val="00AE6B4D"/>
    <w:rsid w:val="00AE73FF"/>
    <w:rsid w:val="00AE7684"/>
    <w:rsid w:val="00AE7F93"/>
    <w:rsid w:val="00AF1033"/>
    <w:rsid w:val="00AF13E5"/>
    <w:rsid w:val="00AF1F76"/>
    <w:rsid w:val="00AF3610"/>
    <w:rsid w:val="00AF4396"/>
    <w:rsid w:val="00AF50C1"/>
    <w:rsid w:val="00AF5EF2"/>
    <w:rsid w:val="00AF61E9"/>
    <w:rsid w:val="00AF659D"/>
    <w:rsid w:val="00AF6666"/>
    <w:rsid w:val="00B00D0F"/>
    <w:rsid w:val="00B028AE"/>
    <w:rsid w:val="00B03B53"/>
    <w:rsid w:val="00B03C68"/>
    <w:rsid w:val="00B03D12"/>
    <w:rsid w:val="00B03F73"/>
    <w:rsid w:val="00B051BF"/>
    <w:rsid w:val="00B059CC"/>
    <w:rsid w:val="00B07D7E"/>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FFA"/>
    <w:rsid w:val="00B1704B"/>
    <w:rsid w:val="00B22F87"/>
    <w:rsid w:val="00B23DEC"/>
    <w:rsid w:val="00B240C0"/>
    <w:rsid w:val="00B242A0"/>
    <w:rsid w:val="00B243FF"/>
    <w:rsid w:val="00B254C2"/>
    <w:rsid w:val="00B260E2"/>
    <w:rsid w:val="00B27BDF"/>
    <w:rsid w:val="00B30249"/>
    <w:rsid w:val="00B30355"/>
    <w:rsid w:val="00B30A5A"/>
    <w:rsid w:val="00B31023"/>
    <w:rsid w:val="00B32ECC"/>
    <w:rsid w:val="00B34102"/>
    <w:rsid w:val="00B348B8"/>
    <w:rsid w:val="00B3715A"/>
    <w:rsid w:val="00B377FF"/>
    <w:rsid w:val="00B407D7"/>
    <w:rsid w:val="00B40843"/>
    <w:rsid w:val="00B40ECE"/>
    <w:rsid w:val="00B42053"/>
    <w:rsid w:val="00B420CC"/>
    <w:rsid w:val="00B42228"/>
    <w:rsid w:val="00B42721"/>
    <w:rsid w:val="00B4287A"/>
    <w:rsid w:val="00B42A6F"/>
    <w:rsid w:val="00B43164"/>
    <w:rsid w:val="00B433AD"/>
    <w:rsid w:val="00B43649"/>
    <w:rsid w:val="00B43ED0"/>
    <w:rsid w:val="00B461A1"/>
    <w:rsid w:val="00B46D95"/>
    <w:rsid w:val="00B47785"/>
    <w:rsid w:val="00B47A65"/>
    <w:rsid w:val="00B51157"/>
    <w:rsid w:val="00B512D4"/>
    <w:rsid w:val="00B51BEF"/>
    <w:rsid w:val="00B52102"/>
    <w:rsid w:val="00B52B38"/>
    <w:rsid w:val="00B52E28"/>
    <w:rsid w:val="00B534E1"/>
    <w:rsid w:val="00B53A5A"/>
    <w:rsid w:val="00B548AF"/>
    <w:rsid w:val="00B55123"/>
    <w:rsid w:val="00B5554F"/>
    <w:rsid w:val="00B55BB5"/>
    <w:rsid w:val="00B563D1"/>
    <w:rsid w:val="00B56B3F"/>
    <w:rsid w:val="00B56D8A"/>
    <w:rsid w:val="00B57A81"/>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1781"/>
    <w:rsid w:val="00B718DE"/>
    <w:rsid w:val="00B72C63"/>
    <w:rsid w:val="00B7368F"/>
    <w:rsid w:val="00B73CBD"/>
    <w:rsid w:val="00B74584"/>
    <w:rsid w:val="00B755AC"/>
    <w:rsid w:val="00B75A1D"/>
    <w:rsid w:val="00B75F30"/>
    <w:rsid w:val="00B75F79"/>
    <w:rsid w:val="00B76ED1"/>
    <w:rsid w:val="00B77B13"/>
    <w:rsid w:val="00B80206"/>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97E85"/>
    <w:rsid w:val="00BA04BF"/>
    <w:rsid w:val="00BA0C07"/>
    <w:rsid w:val="00BA0EFB"/>
    <w:rsid w:val="00BA1614"/>
    <w:rsid w:val="00BA21D1"/>
    <w:rsid w:val="00BA354A"/>
    <w:rsid w:val="00BA370C"/>
    <w:rsid w:val="00BA3763"/>
    <w:rsid w:val="00BA3E9E"/>
    <w:rsid w:val="00BA4429"/>
    <w:rsid w:val="00BA45C1"/>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1F5"/>
    <w:rsid w:val="00BC22F0"/>
    <w:rsid w:val="00BC2921"/>
    <w:rsid w:val="00BC29CD"/>
    <w:rsid w:val="00BC29EA"/>
    <w:rsid w:val="00BC34EB"/>
    <w:rsid w:val="00BC4323"/>
    <w:rsid w:val="00BC4DF5"/>
    <w:rsid w:val="00BC5CFC"/>
    <w:rsid w:val="00BC7953"/>
    <w:rsid w:val="00BD0B7D"/>
    <w:rsid w:val="00BD12E7"/>
    <w:rsid w:val="00BD1C50"/>
    <w:rsid w:val="00BD2078"/>
    <w:rsid w:val="00BD3925"/>
    <w:rsid w:val="00BD3A86"/>
    <w:rsid w:val="00BD4542"/>
    <w:rsid w:val="00BD466F"/>
    <w:rsid w:val="00BD5AD0"/>
    <w:rsid w:val="00BD5DA9"/>
    <w:rsid w:val="00BD6B2D"/>
    <w:rsid w:val="00BD6F78"/>
    <w:rsid w:val="00BD70BD"/>
    <w:rsid w:val="00BD719D"/>
    <w:rsid w:val="00BE00E9"/>
    <w:rsid w:val="00BE0172"/>
    <w:rsid w:val="00BE0258"/>
    <w:rsid w:val="00BE1447"/>
    <w:rsid w:val="00BE2148"/>
    <w:rsid w:val="00BE215D"/>
    <w:rsid w:val="00BE37E5"/>
    <w:rsid w:val="00BE3C1E"/>
    <w:rsid w:val="00BE5587"/>
    <w:rsid w:val="00BE57DD"/>
    <w:rsid w:val="00BE611E"/>
    <w:rsid w:val="00BE76CB"/>
    <w:rsid w:val="00BE7A59"/>
    <w:rsid w:val="00BF0A1F"/>
    <w:rsid w:val="00BF0AF1"/>
    <w:rsid w:val="00BF0D0D"/>
    <w:rsid w:val="00BF1809"/>
    <w:rsid w:val="00BF182B"/>
    <w:rsid w:val="00BF1A41"/>
    <w:rsid w:val="00BF2598"/>
    <w:rsid w:val="00BF2F22"/>
    <w:rsid w:val="00BF3A58"/>
    <w:rsid w:val="00BF3C0D"/>
    <w:rsid w:val="00BF3FDF"/>
    <w:rsid w:val="00BF4F68"/>
    <w:rsid w:val="00BF50B5"/>
    <w:rsid w:val="00BF5F22"/>
    <w:rsid w:val="00BF685D"/>
    <w:rsid w:val="00BF71C6"/>
    <w:rsid w:val="00BF72CA"/>
    <w:rsid w:val="00BF7CD8"/>
    <w:rsid w:val="00C00849"/>
    <w:rsid w:val="00C0119B"/>
    <w:rsid w:val="00C02BE9"/>
    <w:rsid w:val="00C02CE1"/>
    <w:rsid w:val="00C0309A"/>
    <w:rsid w:val="00C03141"/>
    <w:rsid w:val="00C035B9"/>
    <w:rsid w:val="00C036F3"/>
    <w:rsid w:val="00C03923"/>
    <w:rsid w:val="00C04B21"/>
    <w:rsid w:val="00C0563C"/>
    <w:rsid w:val="00C06136"/>
    <w:rsid w:val="00C069D8"/>
    <w:rsid w:val="00C06DC5"/>
    <w:rsid w:val="00C07BAE"/>
    <w:rsid w:val="00C07C15"/>
    <w:rsid w:val="00C1064A"/>
    <w:rsid w:val="00C13270"/>
    <w:rsid w:val="00C1346A"/>
    <w:rsid w:val="00C13818"/>
    <w:rsid w:val="00C14BA3"/>
    <w:rsid w:val="00C150AD"/>
    <w:rsid w:val="00C156BF"/>
    <w:rsid w:val="00C166C1"/>
    <w:rsid w:val="00C16FFA"/>
    <w:rsid w:val="00C17602"/>
    <w:rsid w:val="00C20026"/>
    <w:rsid w:val="00C2023E"/>
    <w:rsid w:val="00C206C7"/>
    <w:rsid w:val="00C208C0"/>
    <w:rsid w:val="00C216C2"/>
    <w:rsid w:val="00C21A66"/>
    <w:rsid w:val="00C21B4F"/>
    <w:rsid w:val="00C21E41"/>
    <w:rsid w:val="00C235EA"/>
    <w:rsid w:val="00C23670"/>
    <w:rsid w:val="00C2371B"/>
    <w:rsid w:val="00C2415E"/>
    <w:rsid w:val="00C2552B"/>
    <w:rsid w:val="00C25DC1"/>
    <w:rsid w:val="00C25ECF"/>
    <w:rsid w:val="00C25FA6"/>
    <w:rsid w:val="00C2685E"/>
    <w:rsid w:val="00C2687B"/>
    <w:rsid w:val="00C26B59"/>
    <w:rsid w:val="00C27CB3"/>
    <w:rsid w:val="00C27E89"/>
    <w:rsid w:val="00C309E1"/>
    <w:rsid w:val="00C30A95"/>
    <w:rsid w:val="00C31397"/>
    <w:rsid w:val="00C3180A"/>
    <w:rsid w:val="00C34B06"/>
    <w:rsid w:val="00C35384"/>
    <w:rsid w:val="00C35CA3"/>
    <w:rsid w:val="00C35DDE"/>
    <w:rsid w:val="00C36163"/>
    <w:rsid w:val="00C40212"/>
    <w:rsid w:val="00C41071"/>
    <w:rsid w:val="00C41B9B"/>
    <w:rsid w:val="00C42B7B"/>
    <w:rsid w:val="00C43145"/>
    <w:rsid w:val="00C43441"/>
    <w:rsid w:val="00C450C9"/>
    <w:rsid w:val="00C45DB2"/>
    <w:rsid w:val="00C46745"/>
    <w:rsid w:val="00C46F16"/>
    <w:rsid w:val="00C47C07"/>
    <w:rsid w:val="00C47D1C"/>
    <w:rsid w:val="00C501AA"/>
    <w:rsid w:val="00C50961"/>
    <w:rsid w:val="00C50979"/>
    <w:rsid w:val="00C512B1"/>
    <w:rsid w:val="00C517BE"/>
    <w:rsid w:val="00C5294A"/>
    <w:rsid w:val="00C53CF7"/>
    <w:rsid w:val="00C53E92"/>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7C8A"/>
    <w:rsid w:val="00C77D06"/>
    <w:rsid w:val="00C80FC3"/>
    <w:rsid w:val="00C81927"/>
    <w:rsid w:val="00C8194F"/>
    <w:rsid w:val="00C81E36"/>
    <w:rsid w:val="00C82331"/>
    <w:rsid w:val="00C84711"/>
    <w:rsid w:val="00C84A03"/>
    <w:rsid w:val="00C85723"/>
    <w:rsid w:val="00C85E07"/>
    <w:rsid w:val="00C86604"/>
    <w:rsid w:val="00C867BB"/>
    <w:rsid w:val="00C90AD6"/>
    <w:rsid w:val="00C90BF4"/>
    <w:rsid w:val="00C90E41"/>
    <w:rsid w:val="00C91632"/>
    <w:rsid w:val="00C9277D"/>
    <w:rsid w:val="00C92B09"/>
    <w:rsid w:val="00C92FAE"/>
    <w:rsid w:val="00C93A35"/>
    <w:rsid w:val="00C9486A"/>
    <w:rsid w:val="00C969EE"/>
    <w:rsid w:val="00C96A1F"/>
    <w:rsid w:val="00C96E2E"/>
    <w:rsid w:val="00CA1649"/>
    <w:rsid w:val="00CA2193"/>
    <w:rsid w:val="00CA38F0"/>
    <w:rsid w:val="00CA3D0A"/>
    <w:rsid w:val="00CA46C8"/>
    <w:rsid w:val="00CA4840"/>
    <w:rsid w:val="00CA52AB"/>
    <w:rsid w:val="00CA564E"/>
    <w:rsid w:val="00CA56A3"/>
    <w:rsid w:val="00CA5AD0"/>
    <w:rsid w:val="00CA64CD"/>
    <w:rsid w:val="00CA65D3"/>
    <w:rsid w:val="00CB040A"/>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E42"/>
    <w:rsid w:val="00CD0B56"/>
    <w:rsid w:val="00CD0D8B"/>
    <w:rsid w:val="00CD1301"/>
    <w:rsid w:val="00CD1CFE"/>
    <w:rsid w:val="00CD1E63"/>
    <w:rsid w:val="00CD2007"/>
    <w:rsid w:val="00CD2BAD"/>
    <w:rsid w:val="00CD31FF"/>
    <w:rsid w:val="00CD368F"/>
    <w:rsid w:val="00CD3729"/>
    <w:rsid w:val="00CD3BF2"/>
    <w:rsid w:val="00CD4573"/>
    <w:rsid w:val="00CD5846"/>
    <w:rsid w:val="00CD59C8"/>
    <w:rsid w:val="00CD5E7B"/>
    <w:rsid w:val="00CD6A47"/>
    <w:rsid w:val="00CD6A87"/>
    <w:rsid w:val="00CD6F6F"/>
    <w:rsid w:val="00CD7749"/>
    <w:rsid w:val="00CD7B9A"/>
    <w:rsid w:val="00CE1C25"/>
    <w:rsid w:val="00CE2293"/>
    <w:rsid w:val="00CE2DE3"/>
    <w:rsid w:val="00CE3448"/>
    <w:rsid w:val="00CE34D2"/>
    <w:rsid w:val="00CE35C0"/>
    <w:rsid w:val="00CE656C"/>
    <w:rsid w:val="00CF1386"/>
    <w:rsid w:val="00CF1C54"/>
    <w:rsid w:val="00CF1F53"/>
    <w:rsid w:val="00CF2169"/>
    <w:rsid w:val="00CF2A56"/>
    <w:rsid w:val="00CF2BD1"/>
    <w:rsid w:val="00CF33D0"/>
    <w:rsid w:val="00CF388F"/>
    <w:rsid w:val="00CF4F89"/>
    <w:rsid w:val="00CF5BB1"/>
    <w:rsid w:val="00CF6239"/>
    <w:rsid w:val="00CF67D9"/>
    <w:rsid w:val="00CF758B"/>
    <w:rsid w:val="00D020F2"/>
    <w:rsid w:val="00D021A3"/>
    <w:rsid w:val="00D02863"/>
    <w:rsid w:val="00D028F2"/>
    <w:rsid w:val="00D03772"/>
    <w:rsid w:val="00D03AD3"/>
    <w:rsid w:val="00D03F6B"/>
    <w:rsid w:val="00D04F40"/>
    <w:rsid w:val="00D05B72"/>
    <w:rsid w:val="00D05BF3"/>
    <w:rsid w:val="00D10CBA"/>
    <w:rsid w:val="00D1108C"/>
    <w:rsid w:val="00D11159"/>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27330"/>
    <w:rsid w:val="00D31576"/>
    <w:rsid w:val="00D316C0"/>
    <w:rsid w:val="00D31AC9"/>
    <w:rsid w:val="00D33058"/>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229"/>
    <w:rsid w:val="00D4582D"/>
    <w:rsid w:val="00D464FD"/>
    <w:rsid w:val="00D4790F"/>
    <w:rsid w:val="00D47DB5"/>
    <w:rsid w:val="00D47DCF"/>
    <w:rsid w:val="00D50361"/>
    <w:rsid w:val="00D512CF"/>
    <w:rsid w:val="00D51EB4"/>
    <w:rsid w:val="00D52663"/>
    <w:rsid w:val="00D52DC7"/>
    <w:rsid w:val="00D52E26"/>
    <w:rsid w:val="00D539E3"/>
    <w:rsid w:val="00D53C40"/>
    <w:rsid w:val="00D53ED2"/>
    <w:rsid w:val="00D540A5"/>
    <w:rsid w:val="00D54673"/>
    <w:rsid w:val="00D54C7D"/>
    <w:rsid w:val="00D556AE"/>
    <w:rsid w:val="00D55F63"/>
    <w:rsid w:val="00D567E2"/>
    <w:rsid w:val="00D56F2D"/>
    <w:rsid w:val="00D579A7"/>
    <w:rsid w:val="00D6054D"/>
    <w:rsid w:val="00D60993"/>
    <w:rsid w:val="00D60C79"/>
    <w:rsid w:val="00D60C9C"/>
    <w:rsid w:val="00D61381"/>
    <w:rsid w:val="00D61BC0"/>
    <w:rsid w:val="00D62E2C"/>
    <w:rsid w:val="00D631D5"/>
    <w:rsid w:val="00D637D5"/>
    <w:rsid w:val="00D63D79"/>
    <w:rsid w:val="00D63E56"/>
    <w:rsid w:val="00D642D5"/>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2E2"/>
    <w:rsid w:val="00D81358"/>
    <w:rsid w:val="00D8184B"/>
    <w:rsid w:val="00D82D3E"/>
    <w:rsid w:val="00D834F1"/>
    <w:rsid w:val="00D83957"/>
    <w:rsid w:val="00D83EFE"/>
    <w:rsid w:val="00D847CF"/>
    <w:rsid w:val="00D85A0F"/>
    <w:rsid w:val="00D85B89"/>
    <w:rsid w:val="00D86F4A"/>
    <w:rsid w:val="00D87081"/>
    <w:rsid w:val="00D871B9"/>
    <w:rsid w:val="00D8791F"/>
    <w:rsid w:val="00D90DC1"/>
    <w:rsid w:val="00D913F3"/>
    <w:rsid w:val="00D917BB"/>
    <w:rsid w:val="00D92232"/>
    <w:rsid w:val="00D92E25"/>
    <w:rsid w:val="00D93252"/>
    <w:rsid w:val="00D9396A"/>
    <w:rsid w:val="00D94756"/>
    <w:rsid w:val="00D94DF5"/>
    <w:rsid w:val="00D963BB"/>
    <w:rsid w:val="00D97C27"/>
    <w:rsid w:val="00D97F80"/>
    <w:rsid w:val="00D97FAD"/>
    <w:rsid w:val="00DA01C5"/>
    <w:rsid w:val="00DA09DD"/>
    <w:rsid w:val="00DA1670"/>
    <w:rsid w:val="00DA2462"/>
    <w:rsid w:val="00DA278E"/>
    <w:rsid w:val="00DA2B0B"/>
    <w:rsid w:val="00DA2E17"/>
    <w:rsid w:val="00DA390A"/>
    <w:rsid w:val="00DA638C"/>
    <w:rsid w:val="00DA7213"/>
    <w:rsid w:val="00DA7694"/>
    <w:rsid w:val="00DA78A6"/>
    <w:rsid w:val="00DB010F"/>
    <w:rsid w:val="00DB01D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48F0"/>
    <w:rsid w:val="00DC49E4"/>
    <w:rsid w:val="00DC4FAA"/>
    <w:rsid w:val="00DC59EB"/>
    <w:rsid w:val="00DC5F6A"/>
    <w:rsid w:val="00DC613E"/>
    <w:rsid w:val="00DC65F1"/>
    <w:rsid w:val="00DC7172"/>
    <w:rsid w:val="00DC73A3"/>
    <w:rsid w:val="00DC757A"/>
    <w:rsid w:val="00DD0562"/>
    <w:rsid w:val="00DD0886"/>
    <w:rsid w:val="00DD1B1C"/>
    <w:rsid w:val="00DD2F75"/>
    <w:rsid w:val="00DD2F9E"/>
    <w:rsid w:val="00DD3B2F"/>
    <w:rsid w:val="00DD46BE"/>
    <w:rsid w:val="00DD47A3"/>
    <w:rsid w:val="00DD499D"/>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ABC"/>
    <w:rsid w:val="00E06DB2"/>
    <w:rsid w:val="00E0734A"/>
    <w:rsid w:val="00E078AA"/>
    <w:rsid w:val="00E10CE7"/>
    <w:rsid w:val="00E1216F"/>
    <w:rsid w:val="00E12921"/>
    <w:rsid w:val="00E134EE"/>
    <w:rsid w:val="00E13649"/>
    <w:rsid w:val="00E14714"/>
    <w:rsid w:val="00E158DB"/>
    <w:rsid w:val="00E1591F"/>
    <w:rsid w:val="00E16377"/>
    <w:rsid w:val="00E1700C"/>
    <w:rsid w:val="00E17DF9"/>
    <w:rsid w:val="00E2075F"/>
    <w:rsid w:val="00E20A94"/>
    <w:rsid w:val="00E22755"/>
    <w:rsid w:val="00E227FE"/>
    <w:rsid w:val="00E2368D"/>
    <w:rsid w:val="00E238A7"/>
    <w:rsid w:val="00E23D8B"/>
    <w:rsid w:val="00E246AA"/>
    <w:rsid w:val="00E2509C"/>
    <w:rsid w:val="00E26014"/>
    <w:rsid w:val="00E26150"/>
    <w:rsid w:val="00E300B7"/>
    <w:rsid w:val="00E31BD2"/>
    <w:rsid w:val="00E32DE0"/>
    <w:rsid w:val="00E32E5D"/>
    <w:rsid w:val="00E32F37"/>
    <w:rsid w:val="00E33007"/>
    <w:rsid w:val="00E34122"/>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50323"/>
    <w:rsid w:val="00E50882"/>
    <w:rsid w:val="00E50C75"/>
    <w:rsid w:val="00E51895"/>
    <w:rsid w:val="00E51B4D"/>
    <w:rsid w:val="00E51F04"/>
    <w:rsid w:val="00E52A25"/>
    <w:rsid w:val="00E52CB9"/>
    <w:rsid w:val="00E52F40"/>
    <w:rsid w:val="00E53088"/>
    <w:rsid w:val="00E548EA"/>
    <w:rsid w:val="00E55045"/>
    <w:rsid w:val="00E55966"/>
    <w:rsid w:val="00E55C07"/>
    <w:rsid w:val="00E55CD5"/>
    <w:rsid w:val="00E56970"/>
    <w:rsid w:val="00E577F5"/>
    <w:rsid w:val="00E57B51"/>
    <w:rsid w:val="00E57E79"/>
    <w:rsid w:val="00E600B9"/>
    <w:rsid w:val="00E612ED"/>
    <w:rsid w:val="00E61B05"/>
    <w:rsid w:val="00E620F2"/>
    <w:rsid w:val="00E6347B"/>
    <w:rsid w:val="00E63CA9"/>
    <w:rsid w:val="00E64075"/>
    <w:rsid w:val="00E654DC"/>
    <w:rsid w:val="00E65B8E"/>
    <w:rsid w:val="00E67128"/>
    <w:rsid w:val="00E70CE3"/>
    <w:rsid w:val="00E70FA5"/>
    <w:rsid w:val="00E735DD"/>
    <w:rsid w:val="00E73EA5"/>
    <w:rsid w:val="00E74650"/>
    <w:rsid w:val="00E74EE3"/>
    <w:rsid w:val="00E751E5"/>
    <w:rsid w:val="00E7680C"/>
    <w:rsid w:val="00E768C5"/>
    <w:rsid w:val="00E77259"/>
    <w:rsid w:val="00E77D6C"/>
    <w:rsid w:val="00E80E8B"/>
    <w:rsid w:val="00E82BB6"/>
    <w:rsid w:val="00E8394A"/>
    <w:rsid w:val="00E83AC5"/>
    <w:rsid w:val="00E909E8"/>
    <w:rsid w:val="00E91D12"/>
    <w:rsid w:val="00E93001"/>
    <w:rsid w:val="00E931F6"/>
    <w:rsid w:val="00E9375C"/>
    <w:rsid w:val="00E941C0"/>
    <w:rsid w:val="00E9429D"/>
    <w:rsid w:val="00E9466D"/>
    <w:rsid w:val="00E94829"/>
    <w:rsid w:val="00E94EE3"/>
    <w:rsid w:val="00E950C5"/>
    <w:rsid w:val="00E9535B"/>
    <w:rsid w:val="00E95406"/>
    <w:rsid w:val="00E96936"/>
    <w:rsid w:val="00E96B4D"/>
    <w:rsid w:val="00E970F6"/>
    <w:rsid w:val="00E975C6"/>
    <w:rsid w:val="00EA11CA"/>
    <w:rsid w:val="00EA1878"/>
    <w:rsid w:val="00EA1DD3"/>
    <w:rsid w:val="00EA31F2"/>
    <w:rsid w:val="00EA388C"/>
    <w:rsid w:val="00EA58E4"/>
    <w:rsid w:val="00EA6760"/>
    <w:rsid w:val="00EA6CE0"/>
    <w:rsid w:val="00EB0434"/>
    <w:rsid w:val="00EB11F9"/>
    <w:rsid w:val="00EB1D30"/>
    <w:rsid w:val="00EB1F2A"/>
    <w:rsid w:val="00EB26BA"/>
    <w:rsid w:val="00EB2BFC"/>
    <w:rsid w:val="00EB2EE8"/>
    <w:rsid w:val="00EB3C7A"/>
    <w:rsid w:val="00EB4060"/>
    <w:rsid w:val="00EB4769"/>
    <w:rsid w:val="00EB5578"/>
    <w:rsid w:val="00EB73CF"/>
    <w:rsid w:val="00EB76DB"/>
    <w:rsid w:val="00EB7759"/>
    <w:rsid w:val="00EC0773"/>
    <w:rsid w:val="00EC0941"/>
    <w:rsid w:val="00EC0BA7"/>
    <w:rsid w:val="00EC0C40"/>
    <w:rsid w:val="00EC0D17"/>
    <w:rsid w:val="00EC0FA6"/>
    <w:rsid w:val="00EC1039"/>
    <w:rsid w:val="00EC2144"/>
    <w:rsid w:val="00EC4063"/>
    <w:rsid w:val="00EC46F7"/>
    <w:rsid w:val="00EC59F7"/>
    <w:rsid w:val="00EC7243"/>
    <w:rsid w:val="00EC794D"/>
    <w:rsid w:val="00ED2167"/>
    <w:rsid w:val="00ED3419"/>
    <w:rsid w:val="00ED381B"/>
    <w:rsid w:val="00ED3984"/>
    <w:rsid w:val="00ED5228"/>
    <w:rsid w:val="00ED6F19"/>
    <w:rsid w:val="00ED75F1"/>
    <w:rsid w:val="00EE0351"/>
    <w:rsid w:val="00EE1237"/>
    <w:rsid w:val="00EE1F10"/>
    <w:rsid w:val="00EE292E"/>
    <w:rsid w:val="00EE3234"/>
    <w:rsid w:val="00EE38C2"/>
    <w:rsid w:val="00EE4195"/>
    <w:rsid w:val="00EE4556"/>
    <w:rsid w:val="00EE5C15"/>
    <w:rsid w:val="00EF000F"/>
    <w:rsid w:val="00EF10CD"/>
    <w:rsid w:val="00EF1271"/>
    <w:rsid w:val="00EF29E5"/>
    <w:rsid w:val="00EF37F5"/>
    <w:rsid w:val="00EF48A5"/>
    <w:rsid w:val="00EF4FA5"/>
    <w:rsid w:val="00EF56A5"/>
    <w:rsid w:val="00EF56C4"/>
    <w:rsid w:val="00EF63E3"/>
    <w:rsid w:val="00EF6ADC"/>
    <w:rsid w:val="00F00AA5"/>
    <w:rsid w:val="00F01286"/>
    <w:rsid w:val="00F012C9"/>
    <w:rsid w:val="00F0142B"/>
    <w:rsid w:val="00F01700"/>
    <w:rsid w:val="00F037E0"/>
    <w:rsid w:val="00F0462D"/>
    <w:rsid w:val="00F048E8"/>
    <w:rsid w:val="00F049AA"/>
    <w:rsid w:val="00F06377"/>
    <w:rsid w:val="00F06EB8"/>
    <w:rsid w:val="00F07245"/>
    <w:rsid w:val="00F076D9"/>
    <w:rsid w:val="00F10015"/>
    <w:rsid w:val="00F10509"/>
    <w:rsid w:val="00F110A5"/>
    <w:rsid w:val="00F11D6A"/>
    <w:rsid w:val="00F11F6C"/>
    <w:rsid w:val="00F124E5"/>
    <w:rsid w:val="00F12EEB"/>
    <w:rsid w:val="00F134C1"/>
    <w:rsid w:val="00F13586"/>
    <w:rsid w:val="00F13630"/>
    <w:rsid w:val="00F143CD"/>
    <w:rsid w:val="00F16342"/>
    <w:rsid w:val="00F16B34"/>
    <w:rsid w:val="00F173FA"/>
    <w:rsid w:val="00F17769"/>
    <w:rsid w:val="00F179DA"/>
    <w:rsid w:val="00F17C01"/>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33B"/>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41F6"/>
    <w:rsid w:val="00F54B42"/>
    <w:rsid w:val="00F54D75"/>
    <w:rsid w:val="00F5508A"/>
    <w:rsid w:val="00F551E8"/>
    <w:rsid w:val="00F56C76"/>
    <w:rsid w:val="00F56FEA"/>
    <w:rsid w:val="00F57624"/>
    <w:rsid w:val="00F60F57"/>
    <w:rsid w:val="00F6150D"/>
    <w:rsid w:val="00F61692"/>
    <w:rsid w:val="00F616AB"/>
    <w:rsid w:val="00F61AFD"/>
    <w:rsid w:val="00F61B87"/>
    <w:rsid w:val="00F6208A"/>
    <w:rsid w:val="00F620E1"/>
    <w:rsid w:val="00F62B55"/>
    <w:rsid w:val="00F62EA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4B75"/>
    <w:rsid w:val="00F75829"/>
    <w:rsid w:val="00F76B31"/>
    <w:rsid w:val="00F76CB6"/>
    <w:rsid w:val="00F777B5"/>
    <w:rsid w:val="00F77968"/>
    <w:rsid w:val="00F80139"/>
    <w:rsid w:val="00F824FE"/>
    <w:rsid w:val="00F83201"/>
    <w:rsid w:val="00F842B8"/>
    <w:rsid w:val="00F8506D"/>
    <w:rsid w:val="00F850E5"/>
    <w:rsid w:val="00F85151"/>
    <w:rsid w:val="00F855AC"/>
    <w:rsid w:val="00F858F5"/>
    <w:rsid w:val="00F87488"/>
    <w:rsid w:val="00F87BA1"/>
    <w:rsid w:val="00F87CE6"/>
    <w:rsid w:val="00F87F56"/>
    <w:rsid w:val="00F91103"/>
    <w:rsid w:val="00F9130B"/>
    <w:rsid w:val="00F91483"/>
    <w:rsid w:val="00F91E56"/>
    <w:rsid w:val="00F9202F"/>
    <w:rsid w:val="00F923D1"/>
    <w:rsid w:val="00F93DF3"/>
    <w:rsid w:val="00F94FD7"/>
    <w:rsid w:val="00F95170"/>
    <w:rsid w:val="00F95E16"/>
    <w:rsid w:val="00F963E6"/>
    <w:rsid w:val="00F96912"/>
    <w:rsid w:val="00F97730"/>
    <w:rsid w:val="00FA0393"/>
    <w:rsid w:val="00FA0F03"/>
    <w:rsid w:val="00FA115C"/>
    <w:rsid w:val="00FA1A02"/>
    <w:rsid w:val="00FA1D37"/>
    <w:rsid w:val="00FA3839"/>
    <w:rsid w:val="00FA4F3D"/>
    <w:rsid w:val="00FA52DE"/>
    <w:rsid w:val="00FA6C0A"/>
    <w:rsid w:val="00FA73BF"/>
    <w:rsid w:val="00FA7897"/>
    <w:rsid w:val="00FA7B2D"/>
    <w:rsid w:val="00FB0A21"/>
    <w:rsid w:val="00FB0BF3"/>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2177"/>
    <w:rsid w:val="00FC231D"/>
    <w:rsid w:val="00FC2474"/>
    <w:rsid w:val="00FC4303"/>
    <w:rsid w:val="00FC588D"/>
    <w:rsid w:val="00FC6564"/>
    <w:rsid w:val="00FC6E1C"/>
    <w:rsid w:val="00FD0166"/>
    <w:rsid w:val="00FD0DB1"/>
    <w:rsid w:val="00FD196F"/>
    <w:rsid w:val="00FD3BE0"/>
    <w:rsid w:val="00FD4395"/>
    <w:rsid w:val="00FD4AE4"/>
    <w:rsid w:val="00FD4CA0"/>
    <w:rsid w:val="00FD55FB"/>
    <w:rsid w:val="00FD5C04"/>
    <w:rsid w:val="00FD5D3C"/>
    <w:rsid w:val="00FD694E"/>
    <w:rsid w:val="00FD6CB3"/>
    <w:rsid w:val="00FD6CE2"/>
    <w:rsid w:val="00FD6E3E"/>
    <w:rsid w:val="00FD7C6B"/>
    <w:rsid w:val="00FE088E"/>
    <w:rsid w:val="00FE0B81"/>
    <w:rsid w:val="00FE0D3E"/>
    <w:rsid w:val="00FE10A1"/>
    <w:rsid w:val="00FE10F6"/>
    <w:rsid w:val="00FE180F"/>
    <w:rsid w:val="00FE209B"/>
    <w:rsid w:val="00FE306F"/>
    <w:rsid w:val="00FE316C"/>
    <w:rsid w:val="00FE495D"/>
    <w:rsid w:val="00FE4C64"/>
    <w:rsid w:val="00FE5244"/>
    <w:rsid w:val="00FE5578"/>
    <w:rsid w:val="00FE5FD7"/>
    <w:rsid w:val="00FE5FED"/>
    <w:rsid w:val="00FE6B6C"/>
    <w:rsid w:val="00FE7FA5"/>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C16FFA"/>
    <w:pPr>
      <w:shd w:val="clear" w:color="auto" w:fill="FFFFFF"/>
      <w:tabs>
        <w:tab w:val="left" w:pos="567"/>
      </w:tabs>
      <w:jc w:val="both"/>
      <w:outlineLvl w:val="1"/>
    </w:pPr>
    <w:rPr>
      <w:rFonts w:ascii="Calibri" w:eastAsia="Calibri" w:hAnsi="Calibr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C16FFA"/>
    <w:rPr>
      <w:rFonts w:ascii="Calibri" w:eastAsia="Calibri" w:hAnsi="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Neapdorotaspaminjimas4">
    <w:name w:val="Neapdorotas paminėjimas4"/>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styleId="Neapdorotaspaminjimas">
    <w:name w:val="Unresolved Mention"/>
    <w:basedOn w:val="Numatytasispastraiposriftas"/>
    <w:uiPriority w:val="99"/>
    <w:semiHidden/>
    <w:unhideWhenUsed/>
    <w:rsid w:val="00BC21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7ffb19d08df411e9ae2e9d61b1f977b3" TargetMode="External"/><Relationship Id="rId18" Type="http://schemas.openxmlformats.org/officeDocument/2006/relationships/hyperlink" Target="https://e-teismai.lt/byla/119337443429145/eA-802-520/2019" TargetMode="External"/><Relationship Id="rId26" Type="http://schemas.openxmlformats.org/officeDocument/2006/relationships/hyperlink" Target="https://www.e-tar.lt/portal/lt/legalAct/785788d08df411e9ae2e9d61b1f977b3" TargetMode="External"/><Relationship Id="rId3" Type="http://schemas.openxmlformats.org/officeDocument/2006/relationships/styles" Target="styles.xml"/><Relationship Id="rId21" Type="http://schemas.openxmlformats.org/officeDocument/2006/relationships/hyperlink" Target="https://www.e-tar.lt/portal/lt/legalAct/24aae8c09f3e11e9878fc525390407ce" TargetMode="External"/><Relationship Id="rId7" Type="http://schemas.openxmlformats.org/officeDocument/2006/relationships/endnotes" Target="endnotes.xml"/><Relationship Id="rId12" Type="http://schemas.openxmlformats.org/officeDocument/2006/relationships/hyperlink" Target="https://www.e-tar.lt/portal/lt/legalAct/fa133af09e7411e9878fc525390407ce" TargetMode="External"/><Relationship Id="rId17" Type="http://schemas.openxmlformats.org/officeDocument/2006/relationships/hyperlink" Target="https://www.e-tar.lt/portal/lt/legalAct/e2004df09dab11e9878fc525390407ce" TargetMode="External"/><Relationship Id="rId25" Type="http://schemas.openxmlformats.org/officeDocument/2006/relationships/hyperlink" Target="https://www.e-tar.lt/portal/lt/legalAct/52ae5e208d2b11e9ae2e9d61b1f977b3" TargetMode="External"/><Relationship Id="rId2" Type="http://schemas.openxmlformats.org/officeDocument/2006/relationships/numbering" Target="numbering.xml"/><Relationship Id="rId16" Type="http://schemas.openxmlformats.org/officeDocument/2006/relationships/hyperlink" Target="https://www.e-tar.lt/portal/lt/legalAct/70a0d7508d2b11e9ae2e9d61b1f977b3" TargetMode="External"/><Relationship Id="rId20" Type="http://schemas.openxmlformats.org/officeDocument/2006/relationships/hyperlink" Target="https://www.e-tar.lt/portal/lt/legalAct/b895ee00982b11e9ae2e9d61b1f977b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teko.teismai.lt/viesasprendimupaieska/tekstas.aspx?id=2c10d1cd-d3c4-463d-b68f-d441f764b983" TargetMode="External"/><Relationship Id="rId24" Type="http://schemas.openxmlformats.org/officeDocument/2006/relationships/hyperlink" Target="https://www.e-tar.lt/portal/lt/legalAct/e1d7dd8099bd11e9ae2e9d61b1f977b3" TargetMode="External"/><Relationship Id="rId5" Type="http://schemas.openxmlformats.org/officeDocument/2006/relationships/webSettings" Target="webSettings.xml"/><Relationship Id="rId15" Type="http://schemas.openxmlformats.org/officeDocument/2006/relationships/hyperlink" Target="https://www.e-tar.lt/portal/lt/legalAct/a3702b109ce211e9aa7dc78f3d1f2643" TargetMode="External"/><Relationship Id="rId23" Type="http://schemas.openxmlformats.org/officeDocument/2006/relationships/hyperlink" Target="https://www.e-tar.lt/portal/lt/legalAct/6f38b10092ab11e9ae2e9d61b1f977b3" TargetMode="External"/><Relationship Id="rId28" Type="http://schemas.openxmlformats.org/officeDocument/2006/relationships/footer" Target="footer1.xml"/><Relationship Id="rId10" Type="http://schemas.openxmlformats.org/officeDocument/2006/relationships/hyperlink" Target="https://www.e-tar.lt/portal/lt/legalAct/11ebf1f08c6211e9ae2e9d61b1f977b3" TargetMode="External"/><Relationship Id="rId19" Type="http://schemas.openxmlformats.org/officeDocument/2006/relationships/hyperlink" Target="https://www.e-tar.lt/portal/lt/legalAct/2fd85460969911e9ae2e9d61b1f977b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91d8fad092ab11e9ae2e9d61b1f977b3" TargetMode="External"/><Relationship Id="rId14" Type="http://schemas.openxmlformats.org/officeDocument/2006/relationships/hyperlink" Target="https://www.e-tar.lt/portal/lt/legalAct/9d2a519092ab11e9ae2e9d61b1f977b3" TargetMode="External"/><Relationship Id="rId22" Type="http://schemas.openxmlformats.org/officeDocument/2006/relationships/hyperlink" Target="https://www.e-tar.lt/portal/lt/legalAct/bda027f0937411e9ae2e9d61b1f977b3"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EE19C1-044F-4E50-8DB9-F4ED4035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22</Pages>
  <Words>14170</Words>
  <Characters>80769</Characters>
  <Application>Microsoft Office Word</Application>
  <DocSecurity>0</DocSecurity>
  <Lines>673</Lines>
  <Paragraphs>189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94750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4</cp:revision>
  <cp:lastPrinted>2018-07-19T07:34:00Z</cp:lastPrinted>
  <dcterms:created xsi:type="dcterms:W3CDTF">2019-07-23T11:34:00Z</dcterms:created>
  <dcterms:modified xsi:type="dcterms:W3CDTF">2019-07-25T10:39:00Z</dcterms:modified>
</cp:coreProperties>
</file>