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52FA91" w14:textId="77777777" w:rsidR="000028CD" w:rsidRPr="00986131" w:rsidRDefault="000028CD" w:rsidP="00AD0B10">
      <w:pPr>
        <w:pStyle w:val="NoSpacing1"/>
        <w:ind w:firstLine="0"/>
        <w:jc w:val="center"/>
        <w:rPr>
          <w:rFonts w:asciiTheme="minorHAnsi" w:hAnsiTheme="minorHAnsi" w:cstheme="minorHAnsi"/>
        </w:rPr>
      </w:pPr>
    </w:p>
    <w:p w14:paraId="0D636BD7" w14:textId="77777777" w:rsidR="000028CD" w:rsidRPr="00986131" w:rsidRDefault="000028CD" w:rsidP="00AD0B10">
      <w:pPr>
        <w:pStyle w:val="NoSpacing1"/>
        <w:ind w:firstLine="0"/>
        <w:jc w:val="center"/>
        <w:rPr>
          <w:rFonts w:asciiTheme="minorHAnsi" w:hAnsiTheme="minorHAnsi" w:cstheme="minorHAnsi"/>
        </w:rPr>
      </w:pPr>
      <w:r w:rsidRPr="00986131">
        <w:rPr>
          <w:rFonts w:asciiTheme="minorHAnsi" w:hAnsiTheme="minorHAnsi" w:cstheme="minorHAnsi"/>
          <w:noProof/>
          <w:lang w:eastAsia="lt-LT"/>
        </w:rPr>
        <w:drawing>
          <wp:inline distT="0" distB="0" distL="0" distR="0" wp14:anchorId="06AB0AE5" wp14:editId="6ACD94C2">
            <wp:extent cx="3084195" cy="2087880"/>
            <wp:effectExtent l="19050" t="0" r="190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srcRect/>
                    <a:stretch>
                      <a:fillRect/>
                    </a:stretch>
                  </pic:blipFill>
                  <pic:spPr bwMode="auto">
                    <a:xfrm>
                      <a:off x="0" y="0"/>
                      <a:ext cx="3084195" cy="2087880"/>
                    </a:xfrm>
                    <a:prstGeom prst="rect">
                      <a:avLst/>
                    </a:prstGeom>
                    <a:noFill/>
                    <a:ln w="9525">
                      <a:noFill/>
                      <a:miter lim="800000"/>
                      <a:headEnd/>
                      <a:tailEnd/>
                    </a:ln>
                  </pic:spPr>
                </pic:pic>
              </a:graphicData>
            </a:graphic>
          </wp:inline>
        </w:drawing>
      </w:r>
    </w:p>
    <w:p w14:paraId="3A2CBE72" w14:textId="77777777" w:rsidR="000028CD" w:rsidRPr="00986131" w:rsidRDefault="000028CD" w:rsidP="00AD0B10">
      <w:pPr>
        <w:pStyle w:val="NoSpacing1"/>
        <w:ind w:firstLine="0"/>
        <w:jc w:val="center"/>
        <w:rPr>
          <w:rFonts w:asciiTheme="minorHAnsi" w:hAnsiTheme="minorHAnsi" w:cstheme="minorHAnsi"/>
        </w:rPr>
      </w:pPr>
    </w:p>
    <w:p w14:paraId="6192DCC0" w14:textId="77777777" w:rsidR="000028CD" w:rsidRPr="00986131" w:rsidRDefault="000028CD" w:rsidP="00AD0B10">
      <w:pPr>
        <w:pStyle w:val="NoSpacing1"/>
        <w:ind w:firstLine="0"/>
        <w:jc w:val="center"/>
        <w:rPr>
          <w:rFonts w:asciiTheme="minorHAnsi" w:hAnsiTheme="minorHAnsi" w:cstheme="minorHAnsi"/>
        </w:rPr>
      </w:pPr>
    </w:p>
    <w:p w14:paraId="5A2B9A93" w14:textId="77777777" w:rsidR="000028CD" w:rsidRPr="00986131" w:rsidRDefault="000028CD" w:rsidP="00AD0B10">
      <w:pPr>
        <w:pStyle w:val="NoSpacing1"/>
        <w:ind w:firstLine="0"/>
        <w:jc w:val="center"/>
        <w:rPr>
          <w:rFonts w:asciiTheme="minorHAnsi" w:hAnsiTheme="minorHAnsi" w:cstheme="minorHAnsi"/>
        </w:rPr>
      </w:pPr>
    </w:p>
    <w:p w14:paraId="55D5D7A9" w14:textId="77777777" w:rsidR="000028CD" w:rsidRPr="00986131" w:rsidRDefault="000028CD" w:rsidP="00AD0B10">
      <w:pPr>
        <w:pStyle w:val="NoSpacing1"/>
        <w:ind w:firstLine="0"/>
        <w:jc w:val="center"/>
        <w:rPr>
          <w:rFonts w:asciiTheme="minorHAnsi" w:hAnsiTheme="minorHAnsi" w:cstheme="minorHAnsi"/>
        </w:rPr>
      </w:pPr>
    </w:p>
    <w:p w14:paraId="07BF5B92" w14:textId="77777777" w:rsidR="000028CD" w:rsidRPr="00986131" w:rsidRDefault="000028CD" w:rsidP="00AD0B10">
      <w:pPr>
        <w:pStyle w:val="NoSpacing1"/>
        <w:ind w:firstLine="0"/>
        <w:jc w:val="center"/>
        <w:rPr>
          <w:rFonts w:asciiTheme="minorHAnsi" w:hAnsiTheme="minorHAnsi" w:cstheme="minorHAnsi"/>
        </w:rPr>
      </w:pPr>
    </w:p>
    <w:p w14:paraId="5328961A" w14:textId="77777777" w:rsidR="000028CD" w:rsidRPr="00986131" w:rsidRDefault="000028CD" w:rsidP="00AD0B10">
      <w:pPr>
        <w:pStyle w:val="NoSpacing1"/>
        <w:ind w:firstLine="0"/>
        <w:jc w:val="center"/>
        <w:rPr>
          <w:rFonts w:asciiTheme="minorHAnsi" w:hAnsiTheme="minorHAnsi" w:cstheme="minorHAnsi"/>
        </w:rPr>
      </w:pPr>
    </w:p>
    <w:p w14:paraId="571347C6" w14:textId="77777777" w:rsidR="000028CD" w:rsidRPr="00986131" w:rsidRDefault="000028CD" w:rsidP="00AD0B10">
      <w:pPr>
        <w:pStyle w:val="NoSpacing1"/>
        <w:ind w:firstLine="0"/>
        <w:jc w:val="center"/>
        <w:rPr>
          <w:rFonts w:asciiTheme="minorHAnsi" w:hAnsiTheme="minorHAnsi" w:cstheme="minorHAnsi"/>
        </w:rPr>
      </w:pPr>
    </w:p>
    <w:p w14:paraId="19B55917" w14:textId="77777777" w:rsidR="000028CD" w:rsidRPr="00986131" w:rsidRDefault="000028CD" w:rsidP="00AD0B10">
      <w:pPr>
        <w:pStyle w:val="NoSpacing1"/>
        <w:ind w:firstLine="0"/>
        <w:jc w:val="center"/>
        <w:rPr>
          <w:rFonts w:asciiTheme="minorHAnsi" w:hAnsiTheme="minorHAnsi" w:cstheme="minorHAnsi"/>
        </w:rPr>
      </w:pPr>
      <w:r w:rsidRPr="00986131">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6BD0BEB3" wp14:editId="4230CC58">
                <wp:simplePos x="0" y="0"/>
                <wp:positionH relativeFrom="page">
                  <wp:posOffset>-291465</wp:posOffset>
                </wp:positionH>
                <wp:positionV relativeFrom="page">
                  <wp:posOffset>20320</wp:posOffset>
                </wp:positionV>
                <wp:extent cx="7919720" cy="629920"/>
                <wp:effectExtent l="0" t="0" r="24130" b="1778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9720" cy="629920"/>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4FE1EA" id="Rectangle 2" o:spid="_x0000_s1026" style="position:absolute;margin-left:-22.95pt;margin-top:1.6pt;width:623.6pt;height:49.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4KZJgIAADwEAAAOAAAAZHJzL2Uyb0RvYy54bWysU9uO0zAQfUfiHyy/0zSh7TZR09XSpQhp&#10;gRULH+A6TmPhG2O3affrGTvd0sIbIg/WTOb4eObMzOL2oBXZC/DSmprmozElwnDbSLOt6fdv6zdz&#10;SnxgpmHKGlHTo/D0dvn61aJ3lShsZ1UjgCCJ8VXvatqF4Kos87wTmvmRdcJgsLWgWUAXtlkDrEd2&#10;rbJiPJ5lvYXGgeXCe/x7PwTpMvG3reDhS9t6EYiqKeYW0gnp3MQzWy5YtQXmOslPabB/yEIzafDR&#10;M9U9C4zsQP5FpSUH620bRtzqzLat5CLVgNXk4z+qeeqYE6kWFMe7s0z+/9Hyz/tHILKp6ZQSwzS2&#10;6CuKxsxWCVJEeXrnK0Q9uUeIBXr3YPkPT4xddYgSdwC27wRrMKk84rOrC9HxeJVs+k+2QXa2CzYp&#10;dWhBR0LUgBxSQ47nhohDIBx/3pR5eVNg3zjGZkVZoh2fYNXLbQc+fBBWk2jUFDD3xM72Dz4M0BdI&#10;yt4q2aylUsmB7WalgOwZDsfb2XRdDgVgkZcwZUhf03JaTBPzVcxfUeTzSfnulOAVTMuAU66krul8&#10;HL8IYlWU7b1pkh2YVION1Slz0jFKN7RgY5sjygh2GGFcOTQ6C8+U9Di+NfU/dwwEJeqjwVaU+WQS&#10;5z05k2kSES4jm8sIMxypahooGcxVGHZk50BuO3wpT7Ube4fta2VSNrZ2yOqULI5o6s1pneIOXPoJ&#10;9Xvpl78AAAD//wMAUEsDBBQABgAIAAAAIQC12Bcz4AAAAAoBAAAPAAAAZHJzL2Rvd25yZXYueG1s&#10;TI/NTsMwEITvSLyDtUjcWrtu+QtxKoSEiioEovQB3HgbW43XIXbT8Pa4J7jNakYz35bL0bdswD66&#10;QApmUwEMqQ7GUaNg+/UyuQcWkyaj20Co4AcjLKvLi1IXJpzoE4dNalguoVhoBTalruA81ha9jtPQ&#10;IWVvH3qvUz77hpten3K5b7kU4pZ77SgvWN3hs8X6sDl6Bet02Mvt+9tg167u7j6+6XXlVkpdX41P&#10;j8ASjukvDGf8jA5VZtqFI5nIWgWTxc1DjiqYS2BnX4rZHNguKyEXwKuS/3+h+gUAAP//AwBQSwEC&#10;LQAUAAYACAAAACEAtoM4kv4AAADhAQAAEwAAAAAAAAAAAAAAAAAAAAAAW0NvbnRlbnRfVHlwZXNd&#10;LnhtbFBLAQItABQABgAIAAAAIQA4/SH/1gAAAJQBAAALAAAAAAAAAAAAAAAAAC8BAABfcmVscy8u&#10;cmVsc1BLAQItABQABgAIAAAAIQB3q4KZJgIAADwEAAAOAAAAAAAAAAAAAAAAAC4CAABkcnMvZTJv&#10;RG9jLnhtbFBLAQItABQABgAIAAAAIQC12Bcz4AAAAAoBAAAPAAAAAAAAAAAAAAAAAIAEAABkcnMv&#10;ZG93bnJldi54bWxQSwUGAAAAAAQABADzAAAAjQUAAAAA&#10;" o:allowincell="f" fillcolor="#365f91" strokecolor="#31849b">
                <w10:wrap anchorx="page" anchory="page"/>
              </v:rect>
            </w:pict>
          </mc:Fallback>
        </mc:AlternateContent>
      </w:r>
      <w:r w:rsidRPr="00986131">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651C146C" wp14:editId="014865E1">
                <wp:simplePos x="0" y="0"/>
                <wp:positionH relativeFrom="page">
                  <wp:align>center</wp:align>
                </wp:positionH>
                <wp:positionV relativeFrom="page">
                  <wp:align>bottom</wp:align>
                </wp:positionV>
                <wp:extent cx="7920355" cy="629920"/>
                <wp:effectExtent l="0" t="0" r="23495" b="1778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0355" cy="629920"/>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F75BA3" id="Rectangle 3" o:spid="_x0000_s1026" style="position:absolute;margin-left:0;margin-top:0;width:623.65pt;height:49.6pt;z-index:251659264;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swNKAIAADwEAAAOAAAAZHJzL2Uyb0RvYy54bWysU8GO2jAQvVfqP1i+lyRAYIkIqxWUqtK2&#10;XXXbDzCOk1h1bHdsCPTrd+ywFNpb1Rysmcz4+c2bmeX9sVPkIMBJo0uajVJKhOamkrop6fdv23d3&#10;lDjPdMWU0aKkJ+Ho/ertm2VvCzE2rVGVAIIg2hW9LWnrvS2SxPFWdMyNjBUag7WBjnl0oUkqYD2i&#10;dyoZp+ks6Q1UFgwXzuHfzRCkq4hf14L7L3XthCeqpMjNxxPiuQtnslqyogFmW8nPNNg/sOiY1Pjo&#10;BWrDPCN7kH9BdZKDcab2I266xNS15CLWgNVk6R/VPLfMilgLiuPsRSb3/2D558MTEFmVdEqJZh22&#10;6CuKxnSjBJkEeXrrCsx6tk8QCnT20fAfjmizbjFLPACYvhWsQlJZyE9uLgTH4VWy6z+ZCtHZ3puo&#10;1LGGLgCiBuQYG3K6NEQcPeH4c74Yp5M8p4RjbDZeoBufYMXrbQvOfxCmI8EoKSD3iM4Oj84HNqx4&#10;TYnsjZLVVioVHWh2awXkwHA4JrN8uxgKwCKv05QmfUkX+TiPyDcxdw2RzRFkcyZ4k9ZJj1OuZFfS&#10;uzR8IYkVQbb3uoq2Z1INNlJW+qxjkG5owc5UJ5QRzDDCuHJotAZ+UdLj+JbU/dwzEJSojxpbscim&#10;0zDv0ZnmcxSOwHVkdx1hmiNUST0lg7n2w47sLcimxZeyWLs2D9i+WkZlQ2sHVmeyOKJR8PM6hR24&#10;9mPW76VfvQAAAP//AwBQSwMEFAAGAAgAAAAhAO6/FALbAAAABQEAAA8AAABkcnMvZG93bnJldi54&#10;bWxMj8FOwzAQRO9I/QdrK3GjTgMCGuJUVSUQ3CBFgqMbL06EvU5tp0n/HpcLXFYazWjmbbmerGFH&#10;9KFzJGC5yIAhNU51pAW87x6v7oGFKElJ4wgFnDDAuppdlLJQbqQ3PNZRs1RCoZAC2hj7gvPQtGhl&#10;WLgeKXlfzlsZk/SaKy/HVG4Nz7PsllvZUVpoZY/bFpvverAC9PK5fhqcN+NBH15p91G/mM+TEJfz&#10;afMALOIU/8Jwxk/oUCWmvRtIBWYEpEfi7z17+c3dNbC9gNUqB16V/D999QMAAP//AwBQSwECLQAU&#10;AAYACAAAACEAtoM4kv4AAADhAQAAEwAAAAAAAAAAAAAAAAAAAAAAW0NvbnRlbnRfVHlwZXNdLnht&#10;bFBLAQItABQABgAIAAAAIQA4/SH/1gAAAJQBAAALAAAAAAAAAAAAAAAAAC8BAABfcmVscy8ucmVs&#10;c1BLAQItABQABgAIAAAAIQBTpswNKAIAADwEAAAOAAAAAAAAAAAAAAAAAC4CAABkcnMvZTJvRG9j&#10;LnhtbFBLAQItABQABgAIAAAAIQDuvxQC2wAAAAUBAAAPAAAAAAAAAAAAAAAAAIIEAABkcnMvZG93&#10;bnJldi54bWxQSwUGAAAAAAQABADzAAAAigUAAAAA&#10;" o:allowincell="f" fillcolor="#365f91" strokecolor="#17365d">
                <w10:wrap anchorx="page" anchory="page"/>
              </v:rect>
            </w:pict>
          </mc:Fallback>
        </mc:AlternateContent>
      </w:r>
      <w:r w:rsidRPr="00986131">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517918C4" wp14:editId="2DB8019B">
                <wp:simplePos x="0" y="0"/>
                <wp:positionH relativeFrom="page">
                  <wp:posOffset>503555</wp:posOffset>
                </wp:positionH>
                <wp:positionV relativeFrom="page">
                  <wp:posOffset>-248285</wp:posOffset>
                </wp:positionV>
                <wp:extent cx="90805" cy="11205210"/>
                <wp:effectExtent l="0" t="0" r="23495" b="1524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95609A" id="Rectangle 4" o:spid="_x0000_s1026" style="position:absolute;margin-left:39.65pt;margin-top:-19.55pt;width:7.15pt;height:882.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pC3JQIAADwEAAAOAAAAZHJzL2Uyb0RvYy54bWysU9uO0zAQfUfiHyy/01y23e1GTVerliKk&#10;BVYsfIDrOImFb4zdpuXrGTvd0gWeEHmwZjLj4zNnZhZ3B63IXoCX1tS0mOSUCMNtI01X069fNm/m&#10;lPjATMOUNaKmR+Hp3fL1q8XgKlHa3qpGAEEQ46vB1bQPwVVZ5nkvNPMT64TBYGtBs4AudFkDbEB0&#10;rbIyz6+zwULjwHLhPf5dj0G6TPhtK3j41LZeBKJqitxCOiGd23hmywWrOmCul/xEg/0DC82kwUfP&#10;UGsWGNmB/ANKSw7W2zZMuNWZbVvJRaoBqyny36p56pkTqRYUx7uzTP7/wfKP+0cgsqnpFSWGaWzR&#10;ZxSNmU4JMo3yDM5XmPXkHiEW6N2D5d88MXbVY5a4B7BDL1iDpIqYn724EB2PV8l2+GAbRGe7YJNS&#10;hxZ0BEQNyCE15HhuiDgEwvHnbT7PZ5RwjBRFmc/KInUsY9XzbQc+vBNWk2jUFJB7Qmf7Bx8iG1Y9&#10;pyT2VslmI5VKDnTblQKyZzgcm/SlArDIyzRlyIBUZuUsIb+I+UuI4ubqerb+G4SWAadcSV3TeR6/&#10;mMSqKNtb0yQ7MKlGGykrc9IxSje2YGubI8oIdhxhXDk0egs/KBlwfGvqv+8YCErUe4OtuC2m0zjv&#10;yZnObkp04DKyvYwwwxGqpoGS0VyFcUd2DmTX40tFqt3Ye2xfK5OysbUjqxNZHNEk+Gmd4g5c+inr&#10;19IvfwIAAP//AwBQSwMEFAAGAAgAAAAhAPd5wgzhAAAACgEAAA8AAABkcnMvZG93bnJldi54bWxM&#10;j8tOwzAQRfdI/IM1SOxap43akhCnooiyK4+AgKUbD0mEH5HtpOHvGVawHN2je88U28loNqIPnbMC&#10;FvMEGNraqc42Al5f9rMrYCFKq6R2FgV8Y4BteX5WyFy5k33GsYoNoxIbcimgjbHPOQ91i0aGuevR&#10;UvbpvJGRTt9w5eWJyo3myyRZcyM7Swut7PG2xfqrGoyA3WM6vO3vePX+dO/1Q/yI42F3EOLyYrq5&#10;BhZxin8w/OqTOpTkdHSDVYFpAZssJVLALM0WwAjI0jWwI4Gb5WoFvCz4/xfKHwAAAP//AwBQSwEC&#10;LQAUAAYACAAAACEAtoM4kv4AAADhAQAAEwAAAAAAAAAAAAAAAAAAAAAAW0NvbnRlbnRfVHlwZXNd&#10;LnhtbFBLAQItABQABgAIAAAAIQA4/SH/1gAAAJQBAAALAAAAAAAAAAAAAAAAAC8BAABfcmVscy8u&#10;cmVsc1BLAQItABQABgAIAAAAIQB0apC3JQIAADwEAAAOAAAAAAAAAAAAAAAAAC4CAABkcnMvZTJv&#10;RG9jLnhtbFBLAQItABQABgAIAAAAIQD3ecIM4QAAAAoBAAAPAAAAAAAAAAAAAAAAAH8EAABkcnMv&#10;ZG93bnJldi54bWxQSwUGAAAAAAQABADzAAAAjQUAAAAA&#10;" o:allowincell="f" strokecolor="#17365d">
                <w10:wrap anchorx="page" anchory="page"/>
              </v:rect>
            </w:pict>
          </mc:Fallback>
        </mc:AlternateContent>
      </w:r>
      <w:r w:rsidRPr="00986131">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0722538E" wp14:editId="4AEC238F">
                <wp:simplePos x="0" y="0"/>
                <wp:positionH relativeFrom="page">
                  <wp:posOffset>7250430</wp:posOffset>
                </wp:positionH>
                <wp:positionV relativeFrom="page">
                  <wp:posOffset>-248285</wp:posOffset>
                </wp:positionV>
                <wp:extent cx="90805" cy="11205210"/>
                <wp:effectExtent l="0" t="0" r="23495" b="1524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A687F2" id="Rectangle 5" o:spid="_x0000_s1026" style="position:absolute;margin-left:570.9pt;margin-top:-19.55pt;width:7.15pt;height:882.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GVuJQIAADwEAAAOAAAAZHJzL2Uyb0RvYy54bWysU9uO0zAQfUfiHyy/01xodrtR09WqpQhp&#10;gRULH+A6TmPhG2O3afn6HTvd0gWeEHmwZjLj4zNnZua3B63IXoCX1jS0mOSUCMNtK822od++rt/M&#10;KPGBmZYpa0RDj8LT28XrV/PB1aK0vVWtAIIgxteDa2gfgquzzPNeaOYn1gmDwc6CZgFd2GYtsAHR&#10;tcrKPL/KBgutA8uF9/h3NQbpIuF3neDhc9d5EYhqKHIL6YR0buKZLeas3gJzveQnGuwfWGgmDT56&#10;hlqxwMgO5B9QWnKw3nZhwq3ObNdJLlINWE2R/1bNY8+cSLWgON6dZfL/D5Z/2j8AkW1DS0oM09ii&#10;LygaM1slSBXlGZyvMevRPUAs0Lt7y797YuyyxyxxB2CHXrAWSRUxP3txIToer5LN8NG2iM52wSal&#10;Dh3oCIgakENqyPHcEHEIhOPPm3yWV5RwjBRFmVdlkTqWsfr5tgMf3gurSTQaCsg9obP9vQ+RDauf&#10;UxJ7q2S7lkolB7abpQKyZzgc6/SlArDIyzRlyIBUqrJKyC9i/hKiuH57Va3+BqFlwClXUjd0lscv&#10;JrE6yvbOtMkOTKrRRsrKnHSM0o0t2Nj2iDKCHUcYVw6N3sJPSgYc34b6HzsGghL1wWArborpNM57&#10;cqbVdYkOXEY2lxFmOEI1NFAymssw7sjOgdz2+FKRajf2DtvXyaRsbO3I6kQWRzQJflqnuAOXfsr6&#10;tfSLJwAAAP//AwBQSwMEFAAGAAgAAAAhAEtOMETiAAAADgEAAA8AAABkcnMvZG93bnJldi54bWxM&#10;j81OwzAQhO9IvIO1SNxaxy0pEOJUFFFu5Scg4OjGJomI7cjepOHt2Z7gNqMdzX6TryfbsdGE2Hon&#10;QcwTYMZVXreulvD2up1dAYuonFadd0bCj4mwLk5PcpVpf3AvZiyxZlTiYqYkNIh9xnmsGmNVnPve&#10;OLp9+WAVkg0110EdqNx2fJEkK25V6+hDo3pz15jquxyshM3Tcnjf3vPy4/khdI/4ieNus5Py/Gy6&#10;vQGGZsK/MBzxCR0KYtr7wenIOvLiQhA7SpgtrwWwY0SkK1J7UpeLNAVe5Pz/jOIXAAD//wMAUEsB&#10;Ai0AFAAGAAgAAAAhALaDOJL+AAAA4QEAABMAAAAAAAAAAAAAAAAAAAAAAFtDb250ZW50X1R5cGVz&#10;XS54bWxQSwECLQAUAAYACAAAACEAOP0h/9YAAACUAQAACwAAAAAAAAAAAAAAAAAvAQAAX3JlbHMv&#10;LnJlbHNQSwECLQAUAAYACAAAACEAcFxlbiUCAAA8BAAADgAAAAAAAAAAAAAAAAAuAgAAZHJzL2Uy&#10;b0RvYy54bWxQSwECLQAUAAYACAAAACEAS04wROIAAAAOAQAADwAAAAAAAAAAAAAAAAB/BAAAZHJz&#10;L2Rvd25yZXYueG1sUEsFBgAAAAAEAAQA8wAAAI4FAAAAAA==&#10;" o:allowincell="f" strokecolor="#17365d">
                <w10:wrap anchorx="page" anchory="page"/>
              </v:rect>
            </w:pict>
          </mc:Fallback>
        </mc:AlternateContent>
      </w:r>
    </w:p>
    <w:p w14:paraId="5D2778E2" w14:textId="77777777" w:rsidR="000028CD" w:rsidRPr="00986131" w:rsidRDefault="000028CD" w:rsidP="00AD0B10">
      <w:pPr>
        <w:pStyle w:val="NoSpacing1"/>
        <w:ind w:firstLine="0"/>
        <w:jc w:val="center"/>
        <w:rPr>
          <w:rFonts w:asciiTheme="minorHAnsi" w:hAnsiTheme="minorHAnsi" w:cstheme="minorHAnsi"/>
          <w:smallCaps/>
        </w:rPr>
      </w:pPr>
      <w:r w:rsidRPr="00986131">
        <w:rPr>
          <w:rFonts w:asciiTheme="minorHAnsi" w:hAnsiTheme="minorHAnsi" w:cstheme="minorHAnsi"/>
          <w:smallCaps/>
        </w:rPr>
        <w:t xml:space="preserve">Europos Sąjungos Teisingumo Teismo </w:t>
      </w:r>
    </w:p>
    <w:p w14:paraId="4E55526A" w14:textId="77777777" w:rsidR="000028CD" w:rsidRPr="00986131" w:rsidRDefault="000028CD" w:rsidP="00AD0B10">
      <w:pPr>
        <w:pStyle w:val="NoSpacing1"/>
        <w:ind w:firstLine="0"/>
        <w:jc w:val="center"/>
        <w:rPr>
          <w:rFonts w:asciiTheme="minorHAnsi" w:hAnsiTheme="minorHAnsi" w:cstheme="minorHAnsi"/>
          <w:smallCaps/>
        </w:rPr>
      </w:pPr>
      <w:r w:rsidRPr="00986131">
        <w:rPr>
          <w:rFonts w:asciiTheme="minorHAnsi" w:hAnsiTheme="minorHAnsi" w:cstheme="minorHAnsi"/>
          <w:smallCaps/>
        </w:rPr>
        <w:t>praktikos apžvalga</w:t>
      </w:r>
    </w:p>
    <w:p w14:paraId="3A477DF5" w14:textId="77777777" w:rsidR="000028CD" w:rsidRPr="00986131" w:rsidRDefault="00735B72" w:rsidP="00AD0B10">
      <w:pPr>
        <w:pStyle w:val="NoSpacing1"/>
        <w:ind w:firstLine="0"/>
        <w:jc w:val="center"/>
        <w:rPr>
          <w:rFonts w:asciiTheme="minorHAnsi" w:hAnsiTheme="minorHAnsi" w:cstheme="minorHAnsi"/>
          <w:b/>
          <w:smallCaps/>
          <w:u w:val="single"/>
        </w:rPr>
      </w:pPr>
      <w:r w:rsidRPr="00986131">
        <w:rPr>
          <w:rFonts w:asciiTheme="minorHAnsi" w:hAnsiTheme="minorHAnsi" w:cstheme="minorHAnsi"/>
          <w:b/>
          <w:smallCaps/>
          <w:u w:val="single"/>
        </w:rPr>
        <w:t>2019</w:t>
      </w:r>
      <w:r w:rsidR="000028CD" w:rsidRPr="00986131">
        <w:rPr>
          <w:rFonts w:asciiTheme="minorHAnsi" w:hAnsiTheme="minorHAnsi" w:cstheme="minorHAnsi"/>
          <w:b/>
          <w:smallCaps/>
          <w:u w:val="single"/>
        </w:rPr>
        <w:t xml:space="preserve"> m. </w:t>
      </w:r>
      <w:r w:rsidRPr="00986131">
        <w:rPr>
          <w:rFonts w:asciiTheme="minorHAnsi" w:hAnsiTheme="minorHAnsi" w:cstheme="minorHAnsi"/>
          <w:b/>
          <w:smallCaps/>
          <w:u w:val="single"/>
        </w:rPr>
        <w:t>sausio</w:t>
      </w:r>
      <w:r w:rsidR="00ED7C96" w:rsidRPr="00986131">
        <w:rPr>
          <w:rFonts w:asciiTheme="minorHAnsi" w:hAnsiTheme="minorHAnsi" w:cstheme="minorHAnsi"/>
          <w:b/>
          <w:smallCaps/>
          <w:u w:val="single"/>
        </w:rPr>
        <w:t xml:space="preserve"> 1 d.–201</w:t>
      </w:r>
      <w:r w:rsidRPr="00986131">
        <w:rPr>
          <w:rFonts w:asciiTheme="minorHAnsi" w:hAnsiTheme="minorHAnsi" w:cstheme="minorHAnsi"/>
          <w:b/>
          <w:smallCaps/>
          <w:u w:val="single"/>
        </w:rPr>
        <w:t>9</w:t>
      </w:r>
      <w:r w:rsidR="000028CD" w:rsidRPr="00986131">
        <w:rPr>
          <w:rFonts w:asciiTheme="minorHAnsi" w:hAnsiTheme="minorHAnsi" w:cstheme="minorHAnsi"/>
          <w:b/>
          <w:smallCaps/>
          <w:u w:val="single"/>
        </w:rPr>
        <w:t xml:space="preserve"> m. </w:t>
      </w:r>
      <w:r w:rsidRPr="00986131">
        <w:rPr>
          <w:rFonts w:asciiTheme="minorHAnsi" w:hAnsiTheme="minorHAnsi" w:cstheme="minorHAnsi"/>
          <w:b/>
          <w:smallCaps/>
          <w:u w:val="single"/>
        </w:rPr>
        <w:t>balandžio</w:t>
      </w:r>
      <w:r w:rsidR="000028CD" w:rsidRPr="00986131">
        <w:rPr>
          <w:rFonts w:asciiTheme="minorHAnsi" w:hAnsiTheme="minorHAnsi" w:cstheme="minorHAnsi"/>
          <w:b/>
          <w:smallCaps/>
          <w:u w:val="single"/>
        </w:rPr>
        <w:t xml:space="preserve"> 3</w:t>
      </w:r>
      <w:r w:rsidRPr="00986131">
        <w:rPr>
          <w:rFonts w:asciiTheme="minorHAnsi" w:hAnsiTheme="minorHAnsi" w:cstheme="minorHAnsi"/>
          <w:b/>
          <w:smallCaps/>
          <w:u w:val="single"/>
        </w:rPr>
        <w:t>0</w:t>
      </w:r>
      <w:r w:rsidR="000028CD" w:rsidRPr="00986131">
        <w:rPr>
          <w:rFonts w:asciiTheme="minorHAnsi" w:hAnsiTheme="minorHAnsi" w:cstheme="minorHAnsi"/>
          <w:b/>
          <w:smallCaps/>
          <w:u w:val="single"/>
        </w:rPr>
        <w:t xml:space="preserve"> d.</w:t>
      </w:r>
    </w:p>
    <w:p w14:paraId="63B7E47D" w14:textId="77777777" w:rsidR="000028CD" w:rsidRPr="00986131" w:rsidRDefault="000028CD" w:rsidP="00AD0B10">
      <w:pPr>
        <w:jc w:val="center"/>
        <w:rPr>
          <w:rFonts w:asciiTheme="minorHAnsi" w:hAnsiTheme="minorHAnsi" w:cstheme="minorHAnsi"/>
          <w:b/>
          <w:smallCaps/>
        </w:rPr>
      </w:pPr>
    </w:p>
    <w:p w14:paraId="20C56A00" w14:textId="77777777" w:rsidR="000028CD" w:rsidRPr="00986131" w:rsidRDefault="000028CD" w:rsidP="00AD0B10">
      <w:pPr>
        <w:jc w:val="center"/>
        <w:rPr>
          <w:rFonts w:asciiTheme="minorHAnsi" w:hAnsiTheme="minorHAnsi" w:cstheme="minorHAnsi"/>
          <w:b/>
          <w:smallCaps/>
        </w:rPr>
      </w:pPr>
    </w:p>
    <w:p w14:paraId="50804CA1" w14:textId="77777777" w:rsidR="000028CD" w:rsidRPr="00986131" w:rsidRDefault="000028CD" w:rsidP="00AD0B10">
      <w:pPr>
        <w:jc w:val="center"/>
        <w:rPr>
          <w:rFonts w:asciiTheme="minorHAnsi" w:hAnsiTheme="minorHAnsi" w:cstheme="minorHAnsi"/>
          <w:b/>
          <w:smallCaps/>
        </w:rPr>
      </w:pPr>
    </w:p>
    <w:p w14:paraId="65089307" w14:textId="77777777" w:rsidR="000028CD" w:rsidRPr="00986131" w:rsidRDefault="000028CD" w:rsidP="00AD0B10">
      <w:pPr>
        <w:jc w:val="center"/>
        <w:rPr>
          <w:rFonts w:asciiTheme="minorHAnsi" w:hAnsiTheme="minorHAnsi" w:cstheme="minorHAnsi"/>
          <w:b/>
          <w:smallCaps/>
        </w:rPr>
      </w:pPr>
    </w:p>
    <w:p w14:paraId="14FD6BE1" w14:textId="77777777" w:rsidR="000028CD" w:rsidRPr="00986131" w:rsidRDefault="000028CD" w:rsidP="00AD0B10">
      <w:pPr>
        <w:jc w:val="center"/>
        <w:rPr>
          <w:rFonts w:asciiTheme="minorHAnsi" w:hAnsiTheme="minorHAnsi" w:cstheme="minorHAnsi"/>
          <w:b/>
          <w:smallCaps/>
        </w:rPr>
      </w:pPr>
    </w:p>
    <w:p w14:paraId="592065A3" w14:textId="77777777" w:rsidR="000028CD" w:rsidRPr="00986131" w:rsidRDefault="000028CD" w:rsidP="00AD0B10">
      <w:pPr>
        <w:jc w:val="center"/>
        <w:rPr>
          <w:rFonts w:asciiTheme="minorHAnsi" w:hAnsiTheme="minorHAnsi" w:cstheme="minorHAnsi"/>
          <w:b/>
          <w:smallCaps/>
        </w:rPr>
      </w:pPr>
    </w:p>
    <w:p w14:paraId="4AE80252" w14:textId="77777777" w:rsidR="000028CD" w:rsidRPr="00986131" w:rsidRDefault="000028CD" w:rsidP="00AD0B10">
      <w:pPr>
        <w:jc w:val="center"/>
        <w:rPr>
          <w:rFonts w:asciiTheme="minorHAnsi" w:hAnsiTheme="minorHAnsi" w:cstheme="minorHAnsi"/>
          <w:b/>
          <w:smallCaps/>
        </w:rPr>
      </w:pPr>
    </w:p>
    <w:p w14:paraId="41ADD10A" w14:textId="77777777" w:rsidR="000028CD" w:rsidRPr="00986131" w:rsidRDefault="000028CD" w:rsidP="00AD0B10">
      <w:pPr>
        <w:jc w:val="center"/>
        <w:rPr>
          <w:rFonts w:asciiTheme="minorHAnsi" w:hAnsiTheme="minorHAnsi" w:cstheme="minorHAnsi"/>
          <w:b/>
          <w:smallCaps/>
        </w:rPr>
      </w:pPr>
    </w:p>
    <w:p w14:paraId="443950E3" w14:textId="77777777" w:rsidR="000028CD" w:rsidRPr="00986131" w:rsidRDefault="000028CD" w:rsidP="00AD0B10">
      <w:pPr>
        <w:jc w:val="center"/>
        <w:rPr>
          <w:rFonts w:asciiTheme="minorHAnsi" w:hAnsiTheme="minorHAnsi" w:cstheme="minorHAnsi"/>
          <w:b/>
          <w:smallCaps/>
        </w:rPr>
      </w:pPr>
    </w:p>
    <w:p w14:paraId="65E0EFA7" w14:textId="77777777" w:rsidR="000028CD" w:rsidRPr="00986131" w:rsidRDefault="000028CD" w:rsidP="00AD0B10">
      <w:pPr>
        <w:jc w:val="center"/>
        <w:rPr>
          <w:rFonts w:asciiTheme="minorHAnsi" w:hAnsiTheme="minorHAnsi" w:cstheme="minorHAnsi"/>
          <w:b/>
          <w:smallCaps/>
        </w:rPr>
      </w:pPr>
    </w:p>
    <w:p w14:paraId="0156B5AF" w14:textId="77777777" w:rsidR="000028CD" w:rsidRPr="00986131" w:rsidRDefault="000028CD" w:rsidP="00AD0B10">
      <w:pPr>
        <w:jc w:val="center"/>
        <w:rPr>
          <w:rFonts w:asciiTheme="minorHAnsi" w:hAnsiTheme="minorHAnsi" w:cstheme="minorHAnsi"/>
          <w:b/>
          <w:smallCaps/>
        </w:rPr>
      </w:pPr>
    </w:p>
    <w:p w14:paraId="7684B025" w14:textId="77777777" w:rsidR="000028CD" w:rsidRPr="00986131" w:rsidRDefault="000028CD" w:rsidP="00AD0B10">
      <w:pPr>
        <w:jc w:val="center"/>
        <w:rPr>
          <w:rFonts w:asciiTheme="minorHAnsi" w:hAnsiTheme="minorHAnsi" w:cstheme="minorHAnsi"/>
          <w:b/>
          <w:smallCaps/>
        </w:rPr>
      </w:pPr>
    </w:p>
    <w:p w14:paraId="5B6676C6" w14:textId="77777777" w:rsidR="000028CD" w:rsidRPr="00986131" w:rsidRDefault="000028CD" w:rsidP="00AD0B10">
      <w:pPr>
        <w:jc w:val="center"/>
        <w:rPr>
          <w:rFonts w:asciiTheme="minorHAnsi" w:hAnsiTheme="minorHAnsi" w:cstheme="minorHAnsi"/>
          <w:b/>
          <w:smallCaps/>
        </w:rPr>
      </w:pPr>
    </w:p>
    <w:p w14:paraId="04E76E90" w14:textId="77777777" w:rsidR="000028CD" w:rsidRPr="00986131" w:rsidRDefault="000028CD" w:rsidP="00AD0B10">
      <w:pPr>
        <w:jc w:val="center"/>
        <w:rPr>
          <w:rFonts w:asciiTheme="minorHAnsi" w:hAnsiTheme="minorHAnsi" w:cstheme="minorHAnsi"/>
          <w:b/>
          <w:smallCaps/>
        </w:rPr>
      </w:pPr>
    </w:p>
    <w:p w14:paraId="3D893B9E" w14:textId="77777777" w:rsidR="000028CD" w:rsidRPr="00986131" w:rsidRDefault="000028CD" w:rsidP="00AD0B10">
      <w:pPr>
        <w:jc w:val="center"/>
        <w:rPr>
          <w:rFonts w:asciiTheme="minorHAnsi" w:hAnsiTheme="minorHAnsi" w:cstheme="minorHAnsi"/>
          <w:b/>
          <w:smallCaps/>
        </w:rPr>
      </w:pPr>
    </w:p>
    <w:p w14:paraId="54C0E3CE" w14:textId="77777777" w:rsidR="000028CD" w:rsidRPr="00986131" w:rsidRDefault="000028CD" w:rsidP="00AD0B10">
      <w:pPr>
        <w:jc w:val="center"/>
        <w:rPr>
          <w:rFonts w:asciiTheme="minorHAnsi" w:hAnsiTheme="minorHAnsi" w:cstheme="minorHAnsi"/>
          <w:b/>
          <w:smallCaps/>
        </w:rPr>
      </w:pPr>
    </w:p>
    <w:p w14:paraId="06F033A6" w14:textId="77777777" w:rsidR="000028CD" w:rsidRPr="00986131" w:rsidRDefault="000028CD" w:rsidP="00AD0B10">
      <w:pPr>
        <w:jc w:val="center"/>
        <w:rPr>
          <w:rFonts w:asciiTheme="minorHAnsi" w:hAnsiTheme="minorHAnsi" w:cstheme="minorHAnsi"/>
          <w:b/>
          <w:smallCaps/>
        </w:rPr>
      </w:pPr>
    </w:p>
    <w:p w14:paraId="47FA2AAA" w14:textId="77777777" w:rsidR="000028CD" w:rsidRPr="00986131" w:rsidRDefault="000028CD" w:rsidP="00AD0B10">
      <w:pPr>
        <w:jc w:val="center"/>
        <w:rPr>
          <w:rFonts w:asciiTheme="minorHAnsi" w:hAnsiTheme="minorHAnsi" w:cstheme="minorHAnsi"/>
          <w:b/>
          <w:smallCaps/>
        </w:rPr>
      </w:pPr>
    </w:p>
    <w:p w14:paraId="6343A0E9" w14:textId="77777777" w:rsidR="000028CD" w:rsidRPr="00986131" w:rsidRDefault="000028CD" w:rsidP="00AD0B10">
      <w:pPr>
        <w:jc w:val="center"/>
        <w:rPr>
          <w:rFonts w:asciiTheme="minorHAnsi" w:hAnsiTheme="minorHAnsi" w:cstheme="minorHAnsi"/>
          <w:b/>
          <w:smallCaps/>
        </w:rPr>
      </w:pPr>
      <w:r w:rsidRPr="00986131">
        <w:rPr>
          <w:rFonts w:asciiTheme="minorHAnsi" w:hAnsiTheme="minorHAnsi" w:cstheme="minorHAnsi"/>
          <w:b/>
          <w:smallCaps/>
        </w:rPr>
        <w:t xml:space="preserve">Apžvalgą parengė </w:t>
      </w:r>
    </w:p>
    <w:p w14:paraId="3480ECBA" w14:textId="77777777" w:rsidR="000028CD" w:rsidRPr="00986131" w:rsidRDefault="000028CD" w:rsidP="00AD0B10">
      <w:pPr>
        <w:jc w:val="center"/>
        <w:rPr>
          <w:rFonts w:asciiTheme="minorHAnsi" w:hAnsiTheme="minorHAnsi" w:cstheme="minorHAnsi"/>
          <w:b/>
          <w:smallCaps/>
        </w:rPr>
      </w:pPr>
      <w:r w:rsidRPr="00986131">
        <w:rPr>
          <w:rFonts w:asciiTheme="minorHAnsi" w:hAnsiTheme="minorHAnsi" w:cstheme="minorHAnsi"/>
          <w:b/>
          <w:smallCaps/>
        </w:rPr>
        <w:t xml:space="preserve">Lietuvos vyriausiojo administracinio teismo </w:t>
      </w:r>
    </w:p>
    <w:p w14:paraId="51066C7E" w14:textId="77777777" w:rsidR="000028CD" w:rsidRPr="00986131" w:rsidRDefault="000028CD" w:rsidP="00AD0B10">
      <w:pPr>
        <w:jc w:val="center"/>
        <w:rPr>
          <w:rFonts w:asciiTheme="minorHAnsi" w:hAnsiTheme="minorHAnsi" w:cstheme="minorHAnsi"/>
          <w:b/>
          <w:color w:val="000000"/>
        </w:rPr>
      </w:pPr>
      <w:r w:rsidRPr="00986131">
        <w:rPr>
          <w:rFonts w:asciiTheme="minorHAnsi" w:hAnsiTheme="minorHAnsi" w:cstheme="minorHAnsi"/>
          <w:b/>
          <w:smallCaps/>
        </w:rPr>
        <w:t xml:space="preserve">Teismų praktikos departamentas </w:t>
      </w:r>
      <w:r w:rsidRPr="00986131">
        <w:rPr>
          <w:rFonts w:asciiTheme="minorHAnsi" w:hAnsiTheme="minorHAnsi" w:cstheme="minorHAnsi"/>
          <w:b/>
          <w:color w:val="000000"/>
        </w:rPr>
        <w:br w:type="page"/>
      </w:r>
    </w:p>
    <w:p w14:paraId="7E7CFE34" w14:textId="77777777" w:rsidR="000028CD" w:rsidRPr="00986131" w:rsidRDefault="000028CD" w:rsidP="00AD0B10">
      <w:pPr>
        <w:jc w:val="center"/>
        <w:rPr>
          <w:rFonts w:asciiTheme="minorHAnsi" w:hAnsiTheme="minorHAnsi" w:cstheme="minorHAnsi"/>
          <w:b/>
          <w:color w:val="323E4F" w:themeColor="text2" w:themeShade="BF"/>
        </w:rPr>
      </w:pPr>
      <w:r w:rsidRPr="00986131">
        <w:rPr>
          <w:rFonts w:asciiTheme="minorHAnsi" w:hAnsiTheme="minorHAnsi" w:cstheme="minorHAnsi"/>
          <w:b/>
          <w:color w:val="323E4F" w:themeColor="text2" w:themeShade="BF"/>
        </w:rPr>
        <w:lastRenderedPageBreak/>
        <w:t>EUROPOS SĄJUNGOS TEISINGUMO TEISMO PRAKTIKOS APŽVALGA</w:t>
      </w:r>
    </w:p>
    <w:p w14:paraId="1C310854" w14:textId="77777777" w:rsidR="000028CD" w:rsidRPr="00986131" w:rsidRDefault="000028CD" w:rsidP="00AD0B10">
      <w:pPr>
        <w:jc w:val="center"/>
        <w:rPr>
          <w:rFonts w:asciiTheme="minorHAnsi" w:hAnsiTheme="minorHAnsi" w:cstheme="minorHAnsi"/>
          <w:color w:val="323E4F" w:themeColor="text2" w:themeShade="BF"/>
        </w:rPr>
      </w:pPr>
      <w:r w:rsidRPr="00986131">
        <w:rPr>
          <w:rFonts w:asciiTheme="minorHAnsi" w:hAnsiTheme="minorHAnsi" w:cstheme="minorHAnsi"/>
          <w:color w:val="323E4F" w:themeColor="text2" w:themeShade="BF"/>
        </w:rPr>
        <w:t>(201</w:t>
      </w:r>
      <w:r w:rsidR="00735B72" w:rsidRPr="00986131">
        <w:rPr>
          <w:rFonts w:asciiTheme="minorHAnsi" w:hAnsiTheme="minorHAnsi" w:cstheme="minorHAnsi"/>
          <w:color w:val="323E4F" w:themeColor="text2" w:themeShade="BF"/>
        </w:rPr>
        <w:t>9</w:t>
      </w:r>
      <w:r w:rsidRPr="00986131">
        <w:rPr>
          <w:rFonts w:asciiTheme="minorHAnsi" w:hAnsiTheme="minorHAnsi" w:cstheme="minorHAnsi"/>
          <w:color w:val="323E4F" w:themeColor="text2" w:themeShade="BF"/>
        </w:rPr>
        <w:t xml:space="preserve"> m. </w:t>
      </w:r>
      <w:r w:rsidR="00735B72" w:rsidRPr="00986131">
        <w:rPr>
          <w:rFonts w:asciiTheme="minorHAnsi" w:hAnsiTheme="minorHAnsi" w:cstheme="minorHAnsi"/>
          <w:color w:val="323E4F" w:themeColor="text2" w:themeShade="BF"/>
        </w:rPr>
        <w:t>sausio 1 d.–2019</w:t>
      </w:r>
      <w:r w:rsidRPr="00986131">
        <w:rPr>
          <w:rFonts w:asciiTheme="minorHAnsi" w:hAnsiTheme="minorHAnsi" w:cstheme="minorHAnsi"/>
          <w:color w:val="323E4F" w:themeColor="text2" w:themeShade="BF"/>
        </w:rPr>
        <w:t xml:space="preserve"> m. </w:t>
      </w:r>
      <w:r w:rsidR="00735B72" w:rsidRPr="00986131">
        <w:rPr>
          <w:rFonts w:asciiTheme="minorHAnsi" w:hAnsiTheme="minorHAnsi" w:cstheme="minorHAnsi"/>
          <w:color w:val="323E4F" w:themeColor="text2" w:themeShade="BF"/>
        </w:rPr>
        <w:t>balandžio</w:t>
      </w:r>
      <w:r w:rsidR="00882925" w:rsidRPr="00986131">
        <w:rPr>
          <w:rFonts w:asciiTheme="minorHAnsi" w:hAnsiTheme="minorHAnsi" w:cstheme="minorHAnsi"/>
          <w:color w:val="323E4F" w:themeColor="text2" w:themeShade="BF"/>
        </w:rPr>
        <w:t xml:space="preserve"> 3</w:t>
      </w:r>
      <w:r w:rsidR="00735B72" w:rsidRPr="00986131">
        <w:rPr>
          <w:rFonts w:asciiTheme="minorHAnsi" w:hAnsiTheme="minorHAnsi" w:cstheme="minorHAnsi"/>
          <w:color w:val="323E4F" w:themeColor="text2" w:themeShade="BF"/>
        </w:rPr>
        <w:t>0</w:t>
      </w:r>
      <w:r w:rsidRPr="00986131">
        <w:rPr>
          <w:rFonts w:asciiTheme="minorHAnsi" w:hAnsiTheme="minorHAnsi" w:cstheme="minorHAnsi"/>
          <w:color w:val="323E4F" w:themeColor="text2" w:themeShade="BF"/>
        </w:rPr>
        <w:t xml:space="preserve"> d.)</w:t>
      </w:r>
    </w:p>
    <w:p w14:paraId="585ED213" w14:textId="216C2073" w:rsidR="000028CD" w:rsidRPr="00986131" w:rsidRDefault="000028CD" w:rsidP="00126D28">
      <w:pPr>
        <w:pStyle w:val="Turinioantrat"/>
        <w:spacing w:before="0" w:line="240" w:lineRule="auto"/>
        <w:rPr>
          <w:rFonts w:cstheme="minorHAnsi"/>
        </w:rPr>
      </w:pPr>
    </w:p>
    <w:sdt>
      <w:sdtPr>
        <w:rPr>
          <w:rFonts w:ascii="Calibri" w:eastAsia="Calibri" w:hAnsi="Calibri" w:cs="Times New Roman"/>
          <w:b w:val="0"/>
          <w:color w:val="auto"/>
          <w:szCs w:val="22"/>
          <w:lang w:eastAsia="en-US"/>
        </w:rPr>
        <w:id w:val="964318455"/>
        <w:docPartObj>
          <w:docPartGallery w:val="Table of Contents"/>
          <w:docPartUnique/>
        </w:docPartObj>
      </w:sdtPr>
      <w:sdtEndPr>
        <w:rPr>
          <w:bCs/>
        </w:rPr>
      </w:sdtEndPr>
      <w:sdtContent>
        <w:p w14:paraId="08B58E2A" w14:textId="5139FF7F" w:rsidR="00126D28" w:rsidRDefault="00126D28">
          <w:pPr>
            <w:pStyle w:val="Turinioantrat"/>
          </w:pPr>
        </w:p>
        <w:p w14:paraId="0C6A7C93" w14:textId="65494358" w:rsidR="00BE3366" w:rsidRDefault="00126D28">
          <w:pPr>
            <w:pStyle w:val="Turinys1"/>
            <w:rPr>
              <w:rFonts w:asciiTheme="minorHAnsi" w:eastAsiaTheme="minorEastAsia" w:hAnsiTheme="minorHAnsi" w:cstheme="minorBidi"/>
              <w:b w:val="0"/>
              <w:bCs w:val="0"/>
              <w:color w:val="auto"/>
              <w:kern w:val="0"/>
            </w:rPr>
          </w:pPr>
          <w:r>
            <w:fldChar w:fldCharType="begin"/>
          </w:r>
          <w:r>
            <w:instrText xml:space="preserve"> TOC \o "1-3" \h \z \u </w:instrText>
          </w:r>
          <w:r>
            <w:fldChar w:fldCharType="separate"/>
          </w:r>
          <w:hyperlink w:anchor="_Toc11757975" w:history="1">
            <w:r w:rsidR="00BE3366" w:rsidRPr="00533FC0">
              <w:rPr>
                <w:rStyle w:val="Hipersaitas"/>
                <w:rFonts w:cstheme="minorHAnsi"/>
              </w:rPr>
              <w:t>UŽSIENIEČIŲ TEISINĖ PADĖTIS</w:t>
            </w:r>
            <w:r w:rsidR="00BE3366">
              <w:rPr>
                <w:webHidden/>
              </w:rPr>
              <w:tab/>
            </w:r>
            <w:r w:rsidR="00BE3366">
              <w:rPr>
                <w:webHidden/>
              </w:rPr>
              <w:fldChar w:fldCharType="begin"/>
            </w:r>
            <w:r w:rsidR="00BE3366">
              <w:rPr>
                <w:webHidden/>
              </w:rPr>
              <w:instrText xml:space="preserve"> PAGEREF _Toc11757975 \h </w:instrText>
            </w:r>
            <w:r w:rsidR="00BE3366">
              <w:rPr>
                <w:webHidden/>
              </w:rPr>
            </w:r>
            <w:r w:rsidR="00BE3366">
              <w:rPr>
                <w:webHidden/>
              </w:rPr>
              <w:fldChar w:fldCharType="separate"/>
            </w:r>
            <w:r w:rsidR="00BE3366">
              <w:rPr>
                <w:webHidden/>
              </w:rPr>
              <w:t>4</w:t>
            </w:r>
            <w:r w:rsidR="00BE3366">
              <w:rPr>
                <w:webHidden/>
              </w:rPr>
              <w:fldChar w:fldCharType="end"/>
            </w:r>
          </w:hyperlink>
        </w:p>
        <w:p w14:paraId="6C39D603" w14:textId="5E5627D9" w:rsidR="00BE3366" w:rsidRDefault="006A47DB">
          <w:pPr>
            <w:pStyle w:val="Turinys2"/>
            <w:rPr>
              <w:rFonts w:asciiTheme="minorHAnsi" w:eastAsiaTheme="minorEastAsia" w:hAnsiTheme="minorHAnsi" w:cstheme="minorBidi"/>
              <w:b w:val="0"/>
              <w:color w:val="auto"/>
              <w:lang w:eastAsia="lt-LT"/>
            </w:rPr>
          </w:pPr>
          <w:hyperlink w:anchor="_Toc11757976" w:history="1">
            <w:r w:rsidR="00BE3366" w:rsidRPr="00533FC0">
              <w:rPr>
                <w:rStyle w:val="Hipersaitas"/>
              </w:rPr>
              <w:t>2019 m. kovo 19 d. didžiosios kolegijos prejudicinis sprendimas byloje C</w:t>
            </w:r>
            <w:r w:rsidR="00BE3366" w:rsidRPr="00533FC0">
              <w:rPr>
                <w:rStyle w:val="Hipersaitas"/>
              </w:rPr>
              <w:noBreakHyphen/>
              <w:t>163/17</w:t>
            </w:r>
            <w:r w:rsidR="00BE3366">
              <w:rPr>
                <w:webHidden/>
              </w:rPr>
              <w:tab/>
            </w:r>
            <w:r w:rsidR="00BE3366">
              <w:rPr>
                <w:webHidden/>
              </w:rPr>
              <w:fldChar w:fldCharType="begin"/>
            </w:r>
            <w:r w:rsidR="00BE3366">
              <w:rPr>
                <w:webHidden/>
              </w:rPr>
              <w:instrText xml:space="preserve"> PAGEREF _Toc11757976 \h </w:instrText>
            </w:r>
            <w:r w:rsidR="00BE3366">
              <w:rPr>
                <w:webHidden/>
              </w:rPr>
            </w:r>
            <w:r w:rsidR="00BE3366">
              <w:rPr>
                <w:webHidden/>
              </w:rPr>
              <w:fldChar w:fldCharType="separate"/>
            </w:r>
            <w:r w:rsidR="00BE3366">
              <w:rPr>
                <w:webHidden/>
              </w:rPr>
              <w:t>4</w:t>
            </w:r>
            <w:r w:rsidR="00BE3366">
              <w:rPr>
                <w:webHidden/>
              </w:rPr>
              <w:fldChar w:fldCharType="end"/>
            </w:r>
          </w:hyperlink>
        </w:p>
        <w:p w14:paraId="01D41D4A" w14:textId="5ABB6289" w:rsidR="00BE3366" w:rsidRDefault="006A47DB">
          <w:pPr>
            <w:pStyle w:val="Turinys3"/>
            <w:tabs>
              <w:tab w:val="right" w:leader="dot" w:pos="9628"/>
            </w:tabs>
            <w:rPr>
              <w:rFonts w:asciiTheme="minorHAnsi" w:eastAsiaTheme="minorEastAsia" w:hAnsiTheme="minorHAnsi" w:cstheme="minorBidi"/>
              <w:noProof/>
              <w:lang w:eastAsia="lt-LT"/>
            </w:rPr>
          </w:pPr>
          <w:hyperlink w:anchor="_Toc11757977" w:history="1">
            <w:r w:rsidR="00BE3366" w:rsidRPr="00533FC0">
              <w:rPr>
                <w:rStyle w:val="Hipersaitas"/>
                <w:rFonts w:eastAsiaTheme="majorEastAsia" w:cstheme="minorHAnsi"/>
                <w:b/>
                <w:bCs/>
                <w:noProof/>
              </w:rPr>
              <w:t>Dėl „slapstymosi“ sąvokos reglamento „Dublinas III“ 29 straipsnio 2 dalies prasme</w:t>
            </w:r>
            <w:r w:rsidR="00BE3366">
              <w:rPr>
                <w:noProof/>
                <w:webHidden/>
              </w:rPr>
              <w:tab/>
            </w:r>
            <w:r w:rsidR="00BE3366">
              <w:rPr>
                <w:noProof/>
                <w:webHidden/>
              </w:rPr>
              <w:fldChar w:fldCharType="begin"/>
            </w:r>
            <w:r w:rsidR="00BE3366">
              <w:rPr>
                <w:noProof/>
                <w:webHidden/>
              </w:rPr>
              <w:instrText xml:space="preserve"> PAGEREF _Toc11757977 \h </w:instrText>
            </w:r>
            <w:r w:rsidR="00BE3366">
              <w:rPr>
                <w:noProof/>
                <w:webHidden/>
              </w:rPr>
            </w:r>
            <w:r w:rsidR="00BE3366">
              <w:rPr>
                <w:noProof/>
                <w:webHidden/>
              </w:rPr>
              <w:fldChar w:fldCharType="separate"/>
            </w:r>
            <w:r w:rsidR="00BE3366">
              <w:rPr>
                <w:noProof/>
                <w:webHidden/>
              </w:rPr>
              <w:t>5</w:t>
            </w:r>
            <w:r w:rsidR="00BE3366">
              <w:rPr>
                <w:noProof/>
                <w:webHidden/>
              </w:rPr>
              <w:fldChar w:fldCharType="end"/>
            </w:r>
          </w:hyperlink>
        </w:p>
        <w:p w14:paraId="41745E73" w14:textId="208095FB" w:rsidR="00BE3366" w:rsidRDefault="006A47DB">
          <w:pPr>
            <w:pStyle w:val="Turinys3"/>
            <w:tabs>
              <w:tab w:val="right" w:leader="dot" w:pos="9628"/>
            </w:tabs>
            <w:rPr>
              <w:rFonts w:asciiTheme="minorHAnsi" w:eastAsiaTheme="minorEastAsia" w:hAnsiTheme="minorHAnsi" w:cstheme="minorBidi"/>
              <w:noProof/>
              <w:lang w:eastAsia="lt-LT"/>
            </w:rPr>
          </w:pPr>
          <w:hyperlink w:anchor="_Toc11757978" w:history="1">
            <w:r w:rsidR="00BE3366" w:rsidRPr="00533FC0">
              <w:rPr>
                <w:rStyle w:val="Hipersaitas"/>
                <w:rFonts w:cstheme="minorHAnsi"/>
                <w:b/>
                <w:noProof/>
              </w:rPr>
              <w:t>Dėl prašytojo perdavimo pagal reglamentą „Dublinas III“ termino pratęsimo sąlygų</w:t>
            </w:r>
            <w:r w:rsidR="00BE3366">
              <w:rPr>
                <w:noProof/>
                <w:webHidden/>
              </w:rPr>
              <w:tab/>
            </w:r>
            <w:r w:rsidR="00BE3366">
              <w:rPr>
                <w:noProof/>
                <w:webHidden/>
              </w:rPr>
              <w:fldChar w:fldCharType="begin"/>
            </w:r>
            <w:r w:rsidR="00BE3366">
              <w:rPr>
                <w:noProof/>
                <w:webHidden/>
              </w:rPr>
              <w:instrText xml:space="preserve"> PAGEREF _Toc11757978 \h </w:instrText>
            </w:r>
            <w:r w:rsidR="00BE3366">
              <w:rPr>
                <w:noProof/>
                <w:webHidden/>
              </w:rPr>
            </w:r>
            <w:r w:rsidR="00BE3366">
              <w:rPr>
                <w:noProof/>
                <w:webHidden/>
              </w:rPr>
              <w:fldChar w:fldCharType="separate"/>
            </w:r>
            <w:r w:rsidR="00BE3366">
              <w:rPr>
                <w:noProof/>
                <w:webHidden/>
              </w:rPr>
              <w:t>6</w:t>
            </w:r>
            <w:r w:rsidR="00BE3366">
              <w:rPr>
                <w:noProof/>
                <w:webHidden/>
              </w:rPr>
              <w:fldChar w:fldCharType="end"/>
            </w:r>
          </w:hyperlink>
        </w:p>
        <w:p w14:paraId="28582EF5" w14:textId="7D7CE9DD" w:rsidR="00BE3366" w:rsidRDefault="006A47DB">
          <w:pPr>
            <w:pStyle w:val="Turinys3"/>
            <w:tabs>
              <w:tab w:val="right" w:leader="dot" w:pos="9628"/>
            </w:tabs>
            <w:rPr>
              <w:rFonts w:asciiTheme="minorHAnsi" w:eastAsiaTheme="minorEastAsia" w:hAnsiTheme="minorHAnsi" w:cstheme="minorBidi"/>
              <w:noProof/>
              <w:lang w:eastAsia="lt-LT"/>
            </w:rPr>
          </w:pPr>
          <w:hyperlink w:anchor="_Toc11757979" w:history="1">
            <w:r w:rsidR="00BE3366" w:rsidRPr="00533FC0">
              <w:rPr>
                <w:rStyle w:val="Hipersaitas"/>
                <w:rFonts w:cstheme="minorHAnsi"/>
                <w:b/>
                <w:noProof/>
              </w:rPr>
              <w:t>Dėl prašytojo perdavimo už jo tarptautinės apsaugos prašymo nagrinėjimą atsakingai valstybei narei, kai toje valstybėje narėje suteikus tokią apsaugą prašytojui kiltų rimta grėsmė patirti nežmonišką ar žeminamą elgesį</w:t>
            </w:r>
            <w:r w:rsidR="00BE3366">
              <w:rPr>
                <w:noProof/>
                <w:webHidden/>
              </w:rPr>
              <w:tab/>
            </w:r>
            <w:r w:rsidR="00BE3366">
              <w:rPr>
                <w:noProof/>
                <w:webHidden/>
              </w:rPr>
              <w:fldChar w:fldCharType="begin"/>
            </w:r>
            <w:r w:rsidR="00BE3366">
              <w:rPr>
                <w:noProof/>
                <w:webHidden/>
              </w:rPr>
              <w:instrText xml:space="preserve"> PAGEREF _Toc11757979 \h </w:instrText>
            </w:r>
            <w:r w:rsidR="00BE3366">
              <w:rPr>
                <w:noProof/>
                <w:webHidden/>
              </w:rPr>
            </w:r>
            <w:r w:rsidR="00BE3366">
              <w:rPr>
                <w:noProof/>
                <w:webHidden/>
              </w:rPr>
              <w:fldChar w:fldCharType="separate"/>
            </w:r>
            <w:r w:rsidR="00BE3366">
              <w:rPr>
                <w:noProof/>
                <w:webHidden/>
              </w:rPr>
              <w:t>7</w:t>
            </w:r>
            <w:r w:rsidR="00BE3366">
              <w:rPr>
                <w:noProof/>
                <w:webHidden/>
              </w:rPr>
              <w:fldChar w:fldCharType="end"/>
            </w:r>
          </w:hyperlink>
        </w:p>
        <w:p w14:paraId="5A0E3AEE" w14:textId="32B6119A" w:rsidR="00BE3366" w:rsidRDefault="006A47DB">
          <w:pPr>
            <w:pStyle w:val="Turinys1"/>
            <w:rPr>
              <w:rFonts w:asciiTheme="minorHAnsi" w:eastAsiaTheme="minorEastAsia" w:hAnsiTheme="minorHAnsi" w:cstheme="minorBidi"/>
              <w:b w:val="0"/>
              <w:bCs w:val="0"/>
              <w:color w:val="auto"/>
              <w:kern w:val="0"/>
            </w:rPr>
          </w:pPr>
          <w:hyperlink w:anchor="_Toc11757980" w:history="1">
            <w:r w:rsidR="00BE3366" w:rsidRPr="00533FC0">
              <w:rPr>
                <w:rStyle w:val="Hipersaitas"/>
                <w:rFonts w:cstheme="minorHAnsi"/>
              </w:rPr>
              <w:t>SĄJUNGOS PILIEČIŲ IR JŲ ŠEIMOS NARIŲ TEISĖS LAISVAI JUDĖTI IR GYVENTI VALSTYBIŲ NARIŲ TERITORIJOJE</w:t>
            </w:r>
            <w:r w:rsidR="00BE3366">
              <w:rPr>
                <w:webHidden/>
              </w:rPr>
              <w:tab/>
            </w:r>
            <w:r w:rsidR="00BE3366">
              <w:rPr>
                <w:webHidden/>
              </w:rPr>
              <w:fldChar w:fldCharType="begin"/>
            </w:r>
            <w:r w:rsidR="00BE3366">
              <w:rPr>
                <w:webHidden/>
              </w:rPr>
              <w:instrText xml:space="preserve"> PAGEREF _Toc11757980 \h </w:instrText>
            </w:r>
            <w:r w:rsidR="00BE3366">
              <w:rPr>
                <w:webHidden/>
              </w:rPr>
            </w:r>
            <w:r w:rsidR="00BE3366">
              <w:rPr>
                <w:webHidden/>
              </w:rPr>
              <w:fldChar w:fldCharType="separate"/>
            </w:r>
            <w:r w:rsidR="00BE3366">
              <w:rPr>
                <w:webHidden/>
              </w:rPr>
              <w:t>10</w:t>
            </w:r>
            <w:r w:rsidR="00BE3366">
              <w:rPr>
                <w:webHidden/>
              </w:rPr>
              <w:fldChar w:fldCharType="end"/>
            </w:r>
          </w:hyperlink>
        </w:p>
        <w:p w14:paraId="6EF792B3" w14:textId="644FCF38" w:rsidR="00BE3366" w:rsidRDefault="006A47DB">
          <w:pPr>
            <w:pStyle w:val="Turinys1"/>
            <w:rPr>
              <w:rFonts w:asciiTheme="minorHAnsi" w:eastAsiaTheme="minorEastAsia" w:hAnsiTheme="minorHAnsi" w:cstheme="minorBidi"/>
              <w:b w:val="0"/>
              <w:bCs w:val="0"/>
              <w:color w:val="auto"/>
              <w:kern w:val="0"/>
            </w:rPr>
          </w:pPr>
          <w:hyperlink w:anchor="_Toc11757981" w:history="1">
            <w:r w:rsidR="00BE3366" w:rsidRPr="00533FC0">
              <w:rPr>
                <w:rStyle w:val="Hipersaitas"/>
                <w:rFonts w:cstheme="minorHAnsi"/>
                <w:iCs/>
              </w:rPr>
              <w:t>2019 m. kovo 26 d. didžiosios kolegijos prejudicinis sprendimas byloje C-129/18</w:t>
            </w:r>
            <w:r w:rsidR="00BE3366">
              <w:rPr>
                <w:webHidden/>
              </w:rPr>
              <w:tab/>
            </w:r>
            <w:r w:rsidR="00BE3366">
              <w:rPr>
                <w:webHidden/>
              </w:rPr>
              <w:fldChar w:fldCharType="begin"/>
            </w:r>
            <w:r w:rsidR="00BE3366">
              <w:rPr>
                <w:webHidden/>
              </w:rPr>
              <w:instrText xml:space="preserve"> PAGEREF _Toc11757981 \h </w:instrText>
            </w:r>
            <w:r w:rsidR="00BE3366">
              <w:rPr>
                <w:webHidden/>
              </w:rPr>
            </w:r>
            <w:r w:rsidR="00BE3366">
              <w:rPr>
                <w:webHidden/>
              </w:rPr>
              <w:fldChar w:fldCharType="separate"/>
            </w:r>
            <w:r w:rsidR="00BE3366">
              <w:rPr>
                <w:webHidden/>
              </w:rPr>
              <w:t>10</w:t>
            </w:r>
            <w:r w:rsidR="00BE3366">
              <w:rPr>
                <w:webHidden/>
              </w:rPr>
              <w:fldChar w:fldCharType="end"/>
            </w:r>
          </w:hyperlink>
        </w:p>
        <w:p w14:paraId="2AC3DFDB" w14:textId="3C786E76" w:rsidR="00BE3366" w:rsidRDefault="006A47DB">
          <w:pPr>
            <w:pStyle w:val="Turinys2"/>
            <w:rPr>
              <w:rFonts w:asciiTheme="minorHAnsi" w:eastAsiaTheme="minorEastAsia" w:hAnsiTheme="minorHAnsi" w:cstheme="minorBidi"/>
              <w:b w:val="0"/>
              <w:color w:val="auto"/>
              <w:lang w:eastAsia="lt-LT"/>
            </w:rPr>
          </w:pPr>
          <w:hyperlink w:anchor="_Toc11757982" w:history="1">
            <w:r w:rsidR="00BE3366" w:rsidRPr="00533FC0">
              <w:rPr>
                <w:rStyle w:val="Hipersaitas"/>
              </w:rPr>
              <w:t>Dėl vaiko nuolatinės teisinės globos pagal kafala (ar kitą įstatyme numatytą lygiavertę priemonę) vertinimo „tiesioginio palikuonio“ aspektu (pagal Direktyvos 2004/38 2 straipsnio 2 punkto c papunktį)</w:t>
            </w:r>
            <w:r w:rsidR="00BE3366">
              <w:rPr>
                <w:webHidden/>
              </w:rPr>
              <w:tab/>
            </w:r>
            <w:r w:rsidR="00BE3366">
              <w:rPr>
                <w:webHidden/>
              </w:rPr>
              <w:fldChar w:fldCharType="begin"/>
            </w:r>
            <w:r w:rsidR="00BE3366">
              <w:rPr>
                <w:webHidden/>
              </w:rPr>
              <w:instrText xml:space="preserve"> PAGEREF _Toc11757982 \h </w:instrText>
            </w:r>
            <w:r w:rsidR="00BE3366">
              <w:rPr>
                <w:webHidden/>
              </w:rPr>
            </w:r>
            <w:r w:rsidR="00BE3366">
              <w:rPr>
                <w:webHidden/>
              </w:rPr>
              <w:fldChar w:fldCharType="separate"/>
            </w:r>
            <w:r w:rsidR="00BE3366">
              <w:rPr>
                <w:webHidden/>
              </w:rPr>
              <w:t>11</w:t>
            </w:r>
            <w:r w:rsidR="00BE3366">
              <w:rPr>
                <w:webHidden/>
              </w:rPr>
              <w:fldChar w:fldCharType="end"/>
            </w:r>
          </w:hyperlink>
        </w:p>
        <w:p w14:paraId="376F8DBB" w14:textId="0F66870A" w:rsidR="00BE3366" w:rsidRDefault="006A47DB">
          <w:pPr>
            <w:pStyle w:val="Turinys1"/>
            <w:rPr>
              <w:rFonts w:asciiTheme="minorHAnsi" w:eastAsiaTheme="minorEastAsia" w:hAnsiTheme="minorHAnsi" w:cstheme="minorBidi"/>
              <w:b w:val="0"/>
              <w:bCs w:val="0"/>
              <w:color w:val="auto"/>
              <w:kern w:val="0"/>
            </w:rPr>
          </w:pPr>
          <w:hyperlink w:anchor="_Toc11757983" w:history="1">
            <w:r w:rsidR="00BE3366" w:rsidRPr="00533FC0">
              <w:rPr>
                <w:rStyle w:val="Hipersaitas"/>
                <w:rFonts w:cstheme="minorHAnsi"/>
              </w:rPr>
              <w:t>SOCIALINĖ POLITIKA</w:t>
            </w:r>
            <w:r w:rsidR="00BE3366">
              <w:rPr>
                <w:webHidden/>
              </w:rPr>
              <w:tab/>
            </w:r>
            <w:r w:rsidR="00BE3366">
              <w:rPr>
                <w:webHidden/>
              </w:rPr>
              <w:fldChar w:fldCharType="begin"/>
            </w:r>
            <w:r w:rsidR="00BE3366">
              <w:rPr>
                <w:webHidden/>
              </w:rPr>
              <w:instrText xml:space="preserve"> PAGEREF _Toc11757983 \h </w:instrText>
            </w:r>
            <w:r w:rsidR="00BE3366">
              <w:rPr>
                <w:webHidden/>
              </w:rPr>
            </w:r>
            <w:r w:rsidR="00BE3366">
              <w:rPr>
                <w:webHidden/>
              </w:rPr>
              <w:fldChar w:fldCharType="separate"/>
            </w:r>
            <w:r w:rsidR="00BE3366">
              <w:rPr>
                <w:webHidden/>
              </w:rPr>
              <w:t>14</w:t>
            </w:r>
            <w:r w:rsidR="00BE3366">
              <w:rPr>
                <w:webHidden/>
              </w:rPr>
              <w:fldChar w:fldCharType="end"/>
            </w:r>
          </w:hyperlink>
        </w:p>
        <w:p w14:paraId="4D9D091D" w14:textId="72C3BA9C" w:rsidR="00BE3366" w:rsidRDefault="006A47DB">
          <w:pPr>
            <w:pStyle w:val="Turinys2"/>
            <w:rPr>
              <w:rFonts w:asciiTheme="minorHAnsi" w:eastAsiaTheme="minorEastAsia" w:hAnsiTheme="minorHAnsi" w:cstheme="minorBidi"/>
              <w:b w:val="0"/>
              <w:color w:val="auto"/>
              <w:lang w:eastAsia="lt-LT"/>
            </w:rPr>
          </w:pPr>
          <w:hyperlink w:anchor="_Toc11757984" w:history="1">
            <w:r w:rsidR="00BE3366" w:rsidRPr="00533FC0">
              <w:rPr>
                <w:rStyle w:val="Hipersaitas"/>
              </w:rPr>
              <w:t>2019 m. sausio 22 d. didžiosios kolegijos prejudicinis sprendimas byloje C</w:t>
            </w:r>
            <w:r w:rsidR="00BE3366" w:rsidRPr="00533FC0">
              <w:rPr>
                <w:rStyle w:val="Hipersaitas"/>
              </w:rPr>
              <w:noBreakHyphen/>
              <w:t>193/17</w:t>
            </w:r>
            <w:r w:rsidR="00BE3366">
              <w:rPr>
                <w:webHidden/>
              </w:rPr>
              <w:tab/>
            </w:r>
            <w:r w:rsidR="00BE3366">
              <w:rPr>
                <w:webHidden/>
              </w:rPr>
              <w:fldChar w:fldCharType="begin"/>
            </w:r>
            <w:r w:rsidR="00BE3366">
              <w:rPr>
                <w:webHidden/>
              </w:rPr>
              <w:instrText xml:space="preserve"> PAGEREF _Toc11757984 \h </w:instrText>
            </w:r>
            <w:r w:rsidR="00BE3366">
              <w:rPr>
                <w:webHidden/>
              </w:rPr>
            </w:r>
            <w:r w:rsidR="00BE3366">
              <w:rPr>
                <w:webHidden/>
              </w:rPr>
              <w:fldChar w:fldCharType="separate"/>
            </w:r>
            <w:r w:rsidR="00BE3366">
              <w:rPr>
                <w:webHidden/>
              </w:rPr>
              <w:t>14</w:t>
            </w:r>
            <w:r w:rsidR="00BE3366">
              <w:rPr>
                <w:webHidden/>
              </w:rPr>
              <w:fldChar w:fldCharType="end"/>
            </w:r>
          </w:hyperlink>
        </w:p>
        <w:p w14:paraId="1C7370A2" w14:textId="0A129342" w:rsidR="00BE3366" w:rsidRDefault="006A47DB">
          <w:pPr>
            <w:pStyle w:val="Turinys3"/>
            <w:tabs>
              <w:tab w:val="right" w:leader="dot" w:pos="9628"/>
            </w:tabs>
            <w:rPr>
              <w:rFonts w:asciiTheme="minorHAnsi" w:eastAsiaTheme="minorEastAsia" w:hAnsiTheme="minorHAnsi" w:cstheme="minorBidi"/>
              <w:noProof/>
              <w:lang w:eastAsia="lt-LT"/>
            </w:rPr>
          </w:pPr>
          <w:hyperlink w:anchor="_Toc11757985" w:history="1">
            <w:r w:rsidR="00BE3366" w:rsidRPr="00533FC0">
              <w:rPr>
                <w:rStyle w:val="Hipersaitas"/>
                <w:rFonts w:cstheme="minorHAnsi"/>
                <w:noProof/>
              </w:rPr>
              <w:t>Dėl nacionalinės teisės nuostatų, pagal kurias, pirma, Didysis penktadienis yra švenčių diena tik tiems darbuotojas, kurie yra tam tikrų krikščionių bažnyčių nariai, ir, antra, tik šie darbuotojai turi teisę į švenčių dienos kompensaciją, jei privalo dirbti šią švenčių dieną</w:t>
            </w:r>
            <w:r w:rsidR="00BE3366">
              <w:rPr>
                <w:noProof/>
                <w:webHidden/>
              </w:rPr>
              <w:tab/>
            </w:r>
            <w:r w:rsidR="00BE3366">
              <w:rPr>
                <w:noProof/>
                <w:webHidden/>
              </w:rPr>
              <w:fldChar w:fldCharType="begin"/>
            </w:r>
            <w:r w:rsidR="00BE3366">
              <w:rPr>
                <w:noProof/>
                <w:webHidden/>
              </w:rPr>
              <w:instrText xml:space="preserve"> PAGEREF _Toc11757985 \h </w:instrText>
            </w:r>
            <w:r w:rsidR="00BE3366">
              <w:rPr>
                <w:noProof/>
                <w:webHidden/>
              </w:rPr>
            </w:r>
            <w:r w:rsidR="00BE3366">
              <w:rPr>
                <w:noProof/>
                <w:webHidden/>
              </w:rPr>
              <w:fldChar w:fldCharType="separate"/>
            </w:r>
            <w:r w:rsidR="00BE3366">
              <w:rPr>
                <w:noProof/>
                <w:webHidden/>
              </w:rPr>
              <w:t>14</w:t>
            </w:r>
            <w:r w:rsidR="00BE3366">
              <w:rPr>
                <w:noProof/>
                <w:webHidden/>
              </w:rPr>
              <w:fldChar w:fldCharType="end"/>
            </w:r>
          </w:hyperlink>
        </w:p>
        <w:p w14:paraId="13B4BB30" w14:textId="1BE5205A" w:rsidR="00BE3366" w:rsidRDefault="006A47DB">
          <w:pPr>
            <w:pStyle w:val="Turinys3"/>
            <w:tabs>
              <w:tab w:val="right" w:leader="dot" w:pos="9628"/>
            </w:tabs>
            <w:rPr>
              <w:rFonts w:asciiTheme="minorHAnsi" w:eastAsiaTheme="minorEastAsia" w:hAnsiTheme="minorHAnsi" w:cstheme="minorBidi"/>
              <w:noProof/>
              <w:lang w:eastAsia="lt-LT"/>
            </w:rPr>
          </w:pPr>
          <w:hyperlink w:anchor="_Toc11757986" w:history="1">
            <w:r w:rsidR="00BE3366" w:rsidRPr="00533FC0">
              <w:rPr>
                <w:rStyle w:val="Hipersaitas"/>
                <w:rFonts w:cstheme="minorHAnsi"/>
                <w:noProof/>
              </w:rPr>
              <w:t>Dėl Sąjungos teisės aiškinimo valstybei narei siekiant atkurti vienodą požiūrį, suteikti švenčių dieną Didįjį penktadienį ir kitiems darbuotojams bei pripažinti jų teisę į švenčių dienos kompensaciją, jeigu jie turi dirbti tokią dieną</w:t>
            </w:r>
            <w:r w:rsidR="00BE3366">
              <w:rPr>
                <w:noProof/>
                <w:webHidden/>
              </w:rPr>
              <w:tab/>
            </w:r>
            <w:r w:rsidR="00BE3366">
              <w:rPr>
                <w:noProof/>
                <w:webHidden/>
              </w:rPr>
              <w:fldChar w:fldCharType="begin"/>
            </w:r>
            <w:r w:rsidR="00BE3366">
              <w:rPr>
                <w:noProof/>
                <w:webHidden/>
              </w:rPr>
              <w:instrText xml:space="preserve"> PAGEREF _Toc11757986 \h </w:instrText>
            </w:r>
            <w:r w:rsidR="00BE3366">
              <w:rPr>
                <w:noProof/>
                <w:webHidden/>
              </w:rPr>
            </w:r>
            <w:r w:rsidR="00BE3366">
              <w:rPr>
                <w:noProof/>
                <w:webHidden/>
              </w:rPr>
              <w:fldChar w:fldCharType="separate"/>
            </w:r>
            <w:r w:rsidR="00BE3366">
              <w:rPr>
                <w:noProof/>
                <w:webHidden/>
              </w:rPr>
              <w:t>15</w:t>
            </w:r>
            <w:r w:rsidR="00BE3366">
              <w:rPr>
                <w:noProof/>
                <w:webHidden/>
              </w:rPr>
              <w:fldChar w:fldCharType="end"/>
            </w:r>
          </w:hyperlink>
        </w:p>
        <w:p w14:paraId="177DED18" w14:textId="37867A38" w:rsidR="00BE3366" w:rsidRDefault="006A47DB">
          <w:pPr>
            <w:pStyle w:val="Turinys2"/>
            <w:rPr>
              <w:rFonts w:asciiTheme="minorHAnsi" w:eastAsiaTheme="minorEastAsia" w:hAnsiTheme="minorHAnsi" w:cstheme="minorBidi"/>
              <w:b w:val="0"/>
              <w:color w:val="auto"/>
              <w:lang w:eastAsia="lt-LT"/>
            </w:rPr>
          </w:pPr>
          <w:hyperlink w:anchor="_Toc11757987" w:history="1">
            <w:r w:rsidR="00BE3366" w:rsidRPr="00533FC0">
              <w:rPr>
                <w:rStyle w:val="Hipersaitas"/>
              </w:rPr>
              <w:t>2019 m. vasario 7 d. prejudicinis sprendimas byloje C</w:t>
            </w:r>
            <w:r w:rsidR="00BE3366" w:rsidRPr="00533FC0">
              <w:rPr>
                <w:rStyle w:val="Hipersaitas"/>
              </w:rPr>
              <w:noBreakHyphen/>
              <w:t>322/17</w:t>
            </w:r>
            <w:r w:rsidR="00BE3366">
              <w:rPr>
                <w:webHidden/>
              </w:rPr>
              <w:tab/>
            </w:r>
            <w:r w:rsidR="00BE3366">
              <w:rPr>
                <w:webHidden/>
              </w:rPr>
              <w:fldChar w:fldCharType="begin"/>
            </w:r>
            <w:r w:rsidR="00BE3366">
              <w:rPr>
                <w:webHidden/>
              </w:rPr>
              <w:instrText xml:space="preserve"> PAGEREF _Toc11757987 \h </w:instrText>
            </w:r>
            <w:r w:rsidR="00BE3366">
              <w:rPr>
                <w:webHidden/>
              </w:rPr>
            </w:r>
            <w:r w:rsidR="00BE3366">
              <w:rPr>
                <w:webHidden/>
              </w:rPr>
              <w:fldChar w:fldCharType="separate"/>
            </w:r>
            <w:r w:rsidR="00BE3366">
              <w:rPr>
                <w:webHidden/>
              </w:rPr>
              <w:t>16</w:t>
            </w:r>
            <w:r w:rsidR="00BE3366">
              <w:rPr>
                <w:webHidden/>
              </w:rPr>
              <w:fldChar w:fldCharType="end"/>
            </w:r>
          </w:hyperlink>
        </w:p>
        <w:p w14:paraId="54FD5E3A" w14:textId="6B2F9852" w:rsidR="00BE3366" w:rsidRDefault="006A47DB">
          <w:pPr>
            <w:pStyle w:val="Turinys3"/>
            <w:tabs>
              <w:tab w:val="right" w:leader="dot" w:pos="9628"/>
            </w:tabs>
            <w:rPr>
              <w:rFonts w:asciiTheme="minorHAnsi" w:eastAsiaTheme="minorEastAsia" w:hAnsiTheme="minorHAnsi" w:cstheme="minorBidi"/>
              <w:noProof/>
              <w:lang w:eastAsia="lt-LT"/>
            </w:rPr>
          </w:pPr>
          <w:hyperlink w:anchor="_Toc11757988" w:history="1">
            <w:r w:rsidR="00BE3366" w:rsidRPr="00533FC0">
              <w:rPr>
                <w:rStyle w:val="Hipersaitas"/>
                <w:rFonts w:cstheme="minorHAnsi"/>
                <w:noProof/>
              </w:rPr>
              <w:t>Dėl Reglamento Nr. 883/2004 nuostatų aiškinimo asmeniui siekiant gauti išmokas šeimai kompetentingoje valstybėje narėje</w:t>
            </w:r>
            <w:r w:rsidR="00BE3366">
              <w:rPr>
                <w:noProof/>
                <w:webHidden/>
              </w:rPr>
              <w:tab/>
            </w:r>
            <w:r w:rsidR="00BE3366">
              <w:rPr>
                <w:noProof/>
                <w:webHidden/>
              </w:rPr>
              <w:fldChar w:fldCharType="begin"/>
            </w:r>
            <w:r w:rsidR="00BE3366">
              <w:rPr>
                <w:noProof/>
                <w:webHidden/>
              </w:rPr>
              <w:instrText xml:space="preserve"> PAGEREF _Toc11757988 \h </w:instrText>
            </w:r>
            <w:r w:rsidR="00BE3366">
              <w:rPr>
                <w:noProof/>
                <w:webHidden/>
              </w:rPr>
            </w:r>
            <w:r w:rsidR="00BE3366">
              <w:rPr>
                <w:noProof/>
                <w:webHidden/>
              </w:rPr>
              <w:fldChar w:fldCharType="separate"/>
            </w:r>
            <w:r w:rsidR="00BE3366">
              <w:rPr>
                <w:noProof/>
                <w:webHidden/>
              </w:rPr>
              <w:t>17</w:t>
            </w:r>
            <w:r w:rsidR="00BE3366">
              <w:rPr>
                <w:noProof/>
                <w:webHidden/>
              </w:rPr>
              <w:fldChar w:fldCharType="end"/>
            </w:r>
          </w:hyperlink>
        </w:p>
        <w:p w14:paraId="1714ACDE" w14:textId="74CA15E8" w:rsidR="00BE3366" w:rsidRDefault="006A47DB">
          <w:pPr>
            <w:pStyle w:val="Turinys1"/>
            <w:rPr>
              <w:rFonts w:asciiTheme="minorHAnsi" w:eastAsiaTheme="minorEastAsia" w:hAnsiTheme="minorHAnsi" w:cstheme="minorBidi"/>
              <w:b w:val="0"/>
              <w:bCs w:val="0"/>
              <w:color w:val="auto"/>
              <w:kern w:val="0"/>
            </w:rPr>
          </w:pPr>
          <w:hyperlink w:anchor="_Toc11757989" w:history="1">
            <w:r w:rsidR="00BE3366" w:rsidRPr="00533FC0">
              <w:rPr>
                <w:rStyle w:val="Hipersaitas"/>
                <w:rFonts w:cstheme="minorHAnsi"/>
              </w:rPr>
              <w:t>UŽIMTUMAS</w:t>
            </w:r>
            <w:r w:rsidR="00BE3366">
              <w:rPr>
                <w:webHidden/>
              </w:rPr>
              <w:tab/>
            </w:r>
            <w:r w:rsidR="00BE3366">
              <w:rPr>
                <w:webHidden/>
              </w:rPr>
              <w:fldChar w:fldCharType="begin"/>
            </w:r>
            <w:r w:rsidR="00BE3366">
              <w:rPr>
                <w:webHidden/>
              </w:rPr>
              <w:instrText xml:space="preserve"> PAGEREF _Toc11757989 \h </w:instrText>
            </w:r>
            <w:r w:rsidR="00BE3366">
              <w:rPr>
                <w:webHidden/>
              </w:rPr>
            </w:r>
            <w:r w:rsidR="00BE3366">
              <w:rPr>
                <w:webHidden/>
              </w:rPr>
              <w:fldChar w:fldCharType="separate"/>
            </w:r>
            <w:r w:rsidR="00BE3366">
              <w:rPr>
                <w:webHidden/>
              </w:rPr>
              <w:t>18</w:t>
            </w:r>
            <w:r w:rsidR="00BE3366">
              <w:rPr>
                <w:webHidden/>
              </w:rPr>
              <w:fldChar w:fldCharType="end"/>
            </w:r>
          </w:hyperlink>
        </w:p>
        <w:p w14:paraId="0F38734E" w14:textId="2CBB3442" w:rsidR="00BE3366" w:rsidRDefault="006A47DB">
          <w:pPr>
            <w:pStyle w:val="Turinys1"/>
            <w:rPr>
              <w:rFonts w:asciiTheme="minorHAnsi" w:eastAsiaTheme="minorEastAsia" w:hAnsiTheme="minorHAnsi" w:cstheme="minorBidi"/>
              <w:b w:val="0"/>
              <w:bCs w:val="0"/>
              <w:color w:val="auto"/>
              <w:kern w:val="0"/>
            </w:rPr>
          </w:pPr>
          <w:hyperlink w:anchor="_Toc11757990" w:history="1">
            <w:r w:rsidR="00BE3366" w:rsidRPr="00533FC0">
              <w:rPr>
                <w:rStyle w:val="Hipersaitas"/>
                <w:rFonts w:cstheme="minorHAnsi"/>
                <w:iCs/>
              </w:rPr>
              <w:t>2019 m. vasario 7 d. antrosios kolegijos prejudicinis sprendimas byloje C-49/18</w:t>
            </w:r>
            <w:r w:rsidR="00BE3366">
              <w:rPr>
                <w:webHidden/>
              </w:rPr>
              <w:tab/>
            </w:r>
            <w:r w:rsidR="00BE3366">
              <w:rPr>
                <w:webHidden/>
              </w:rPr>
              <w:fldChar w:fldCharType="begin"/>
            </w:r>
            <w:r w:rsidR="00BE3366">
              <w:rPr>
                <w:webHidden/>
              </w:rPr>
              <w:instrText xml:space="preserve"> PAGEREF _Toc11757990 \h </w:instrText>
            </w:r>
            <w:r w:rsidR="00BE3366">
              <w:rPr>
                <w:webHidden/>
              </w:rPr>
            </w:r>
            <w:r w:rsidR="00BE3366">
              <w:rPr>
                <w:webHidden/>
              </w:rPr>
              <w:fldChar w:fldCharType="separate"/>
            </w:r>
            <w:r w:rsidR="00BE3366">
              <w:rPr>
                <w:webHidden/>
              </w:rPr>
              <w:t>18</w:t>
            </w:r>
            <w:r w:rsidR="00BE3366">
              <w:rPr>
                <w:webHidden/>
              </w:rPr>
              <w:fldChar w:fldCharType="end"/>
            </w:r>
          </w:hyperlink>
        </w:p>
        <w:p w14:paraId="03AC22B9" w14:textId="5564C27D" w:rsidR="00BE3366" w:rsidRDefault="006A47DB">
          <w:pPr>
            <w:pStyle w:val="Turinys2"/>
            <w:rPr>
              <w:rFonts w:asciiTheme="minorHAnsi" w:eastAsiaTheme="minorEastAsia" w:hAnsiTheme="minorHAnsi" w:cstheme="minorBidi"/>
              <w:b w:val="0"/>
              <w:color w:val="auto"/>
              <w:lang w:eastAsia="lt-LT"/>
            </w:rPr>
          </w:pPr>
          <w:hyperlink w:anchor="_Toc11757991" w:history="1">
            <w:r w:rsidR="00BE3366" w:rsidRPr="00533FC0">
              <w:rPr>
                <w:rStyle w:val="Hipersaitas"/>
              </w:rPr>
              <w:t>Dėl diskriminacijos dėl amžiaus ar darbo stažo</w:t>
            </w:r>
            <w:r w:rsidR="00BE3366">
              <w:rPr>
                <w:webHidden/>
              </w:rPr>
              <w:tab/>
            </w:r>
            <w:r w:rsidR="00BE3366">
              <w:rPr>
                <w:webHidden/>
              </w:rPr>
              <w:fldChar w:fldCharType="begin"/>
            </w:r>
            <w:r w:rsidR="00BE3366">
              <w:rPr>
                <w:webHidden/>
              </w:rPr>
              <w:instrText xml:space="preserve"> PAGEREF _Toc11757991 \h </w:instrText>
            </w:r>
            <w:r w:rsidR="00BE3366">
              <w:rPr>
                <w:webHidden/>
              </w:rPr>
            </w:r>
            <w:r w:rsidR="00BE3366">
              <w:rPr>
                <w:webHidden/>
              </w:rPr>
              <w:fldChar w:fldCharType="separate"/>
            </w:r>
            <w:r w:rsidR="00BE3366">
              <w:rPr>
                <w:webHidden/>
              </w:rPr>
              <w:t>18</w:t>
            </w:r>
            <w:r w:rsidR="00BE3366">
              <w:rPr>
                <w:webHidden/>
              </w:rPr>
              <w:fldChar w:fldCharType="end"/>
            </w:r>
          </w:hyperlink>
        </w:p>
        <w:p w14:paraId="7DBCCD33" w14:textId="384F25B5" w:rsidR="00BE3366" w:rsidRDefault="006A47DB">
          <w:pPr>
            <w:pStyle w:val="Turinys2"/>
            <w:rPr>
              <w:rFonts w:asciiTheme="minorHAnsi" w:eastAsiaTheme="minorEastAsia" w:hAnsiTheme="minorHAnsi" w:cstheme="minorBidi"/>
              <w:b w:val="0"/>
              <w:color w:val="auto"/>
              <w:lang w:eastAsia="lt-LT"/>
            </w:rPr>
          </w:pPr>
          <w:hyperlink w:anchor="_Toc11757992" w:history="1">
            <w:r w:rsidR="00BE3366" w:rsidRPr="00533FC0">
              <w:rPr>
                <w:rStyle w:val="Hipersaitas"/>
              </w:rPr>
              <w:t>Dėl teisėjų nepriklausomumo</w:t>
            </w:r>
            <w:r w:rsidR="00BE3366">
              <w:rPr>
                <w:webHidden/>
              </w:rPr>
              <w:tab/>
            </w:r>
            <w:r w:rsidR="00BE3366">
              <w:rPr>
                <w:webHidden/>
              </w:rPr>
              <w:fldChar w:fldCharType="begin"/>
            </w:r>
            <w:r w:rsidR="00BE3366">
              <w:rPr>
                <w:webHidden/>
              </w:rPr>
              <w:instrText xml:space="preserve"> PAGEREF _Toc11757992 \h </w:instrText>
            </w:r>
            <w:r w:rsidR="00BE3366">
              <w:rPr>
                <w:webHidden/>
              </w:rPr>
            </w:r>
            <w:r w:rsidR="00BE3366">
              <w:rPr>
                <w:webHidden/>
              </w:rPr>
              <w:fldChar w:fldCharType="separate"/>
            </w:r>
            <w:r w:rsidR="00BE3366">
              <w:rPr>
                <w:webHidden/>
              </w:rPr>
              <w:t>20</w:t>
            </w:r>
            <w:r w:rsidR="00BE3366">
              <w:rPr>
                <w:webHidden/>
              </w:rPr>
              <w:fldChar w:fldCharType="end"/>
            </w:r>
          </w:hyperlink>
        </w:p>
        <w:p w14:paraId="4F190DFE" w14:textId="31672EC8" w:rsidR="00BE3366" w:rsidRDefault="006A47DB">
          <w:pPr>
            <w:pStyle w:val="Turinys1"/>
            <w:rPr>
              <w:rFonts w:asciiTheme="minorHAnsi" w:eastAsiaTheme="minorEastAsia" w:hAnsiTheme="minorHAnsi" w:cstheme="minorBidi"/>
              <w:b w:val="0"/>
              <w:bCs w:val="0"/>
              <w:color w:val="auto"/>
              <w:kern w:val="0"/>
            </w:rPr>
          </w:pPr>
          <w:hyperlink w:anchor="_Toc11757993" w:history="1">
            <w:r w:rsidR="00BE3366" w:rsidRPr="00533FC0">
              <w:rPr>
                <w:rStyle w:val="Hipersaitas"/>
                <w:rFonts w:cstheme="minorHAnsi"/>
              </w:rPr>
              <w:t>APMOKESTINIMAS</w:t>
            </w:r>
            <w:r w:rsidR="00BE3366">
              <w:rPr>
                <w:webHidden/>
              </w:rPr>
              <w:tab/>
            </w:r>
            <w:r w:rsidR="00BE3366">
              <w:rPr>
                <w:webHidden/>
              </w:rPr>
              <w:fldChar w:fldCharType="begin"/>
            </w:r>
            <w:r w:rsidR="00BE3366">
              <w:rPr>
                <w:webHidden/>
              </w:rPr>
              <w:instrText xml:space="preserve"> PAGEREF _Toc11757993 \h </w:instrText>
            </w:r>
            <w:r w:rsidR="00BE3366">
              <w:rPr>
                <w:webHidden/>
              </w:rPr>
            </w:r>
            <w:r w:rsidR="00BE3366">
              <w:rPr>
                <w:webHidden/>
              </w:rPr>
              <w:fldChar w:fldCharType="separate"/>
            </w:r>
            <w:r w:rsidR="00BE3366">
              <w:rPr>
                <w:webHidden/>
              </w:rPr>
              <w:t>21</w:t>
            </w:r>
            <w:r w:rsidR="00BE3366">
              <w:rPr>
                <w:webHidden/>
              </w:rPr>
              <w:fldChar w:fldCharType="end"/>
            </w:r>
          </w:hyperlink>
        </w:p>
        <w:p w14:paraId="0F3ABBD8" w14:textId="461416F6" w:rsidR="00BE3366" w:rsidRDefault="006A47DB">
          <w:pPr>
            <w:pStyle w:val="Turinys2"/>
            <w:rPr>
              <w:rFonts w:asciiTheme="minorHAnsi" w:eastAsiaTheme="minorEastAsia" w:hAnsiTheme="minorHAnsi" w:cstheme="minorBidi"/>
              <w:b w:val="0"/>
              <w:color w:val="auto"/>
              <w:lang w:eastAsia="lt-LT"/>
            </w:rPr>
          </w:pPr>
          <w:hyperlink w:anchor="_Toc11757994" w:history="1">
            <w:r w:rsidR="00BE3366" w:rsidRPr="00533FC0">
              <w:rPr>
                <w:rStyle w:val="Hipersaitas"/>
              </w:rPr>
              <w:t>2019 m. vasario 14 d. prejudicinis sprendimas byloje C</w:t>
            </w:r>
            <w:r w:rsidR="00BE3366" w:rsidRPr="00533FC0">
              <w:rPr>
                <w:rStyle w:val="Hipersaitas"/>
                <w:rFonts w:ascii="Cambria Math" w:hAnsi="Cambria Math" w:cs="Cambria Math"/>
              </w:rPr>
              <w:t>‑</w:t>
            </w:r>
            <w:r w:rsidR="00BE3366" w:rsidRPr="00533FC0">
              <w:rPr>
                <w:rStyle w:val="Hipersaitas"/>
              </w:rPr>
              <w:t>531/17</w:t>
            </w:r>
            <w:r w:rsidR="00BE3366">
              <w:rPr>
                <w:webHidden/>
              </w:rPr>
              <w:tab/>
            </w:r>
            <w:r w:rsidR="00BE3366">
              <w:rPr>
                <w:webHidden/>
              </w:rPr>
              <w:fldChar w:fldCharType="begin"/>
            </w:r>
            <w:r w:rsidR="00BE3366">
              <w:rPr>
                <w:webHidden/>
              </w:rPr>
              <w:instrText xml:space="preserve"> PAGEREF _Toc11757994 \h </w:instrText>
            </w:r>
            <w:r w:rsidR="00BE3366">
              <w:rPr>
                <w:webHidden/>
              </w:rPr>
            </w:r>
            <w:r w:rsidR="00BE3366">
              <w:rPr>
                <w:webHidden/>
              </w:rPr>
              <w:fldChar w:fldCharType="separate"/>
            </w:r>
            <w:r w:rsidR="00BE3366">
              <w:rPr>
                <w:webHidden/>
              </w:rPr>
              <w:t>21</w:t>
            </w:r>
            <w:r w:rsidR="00BE3366">
              <w:rPr>
                <w:webHidden/>
              </w:rPr>
              <w:fldChar w:fldCharType="end"/>
            </w:r>
          </w:hyperlink>
        </w:p>
        <w:p w14:paraId="5B44F687" w14:textId="2C994037" w:rsidR="00BE3366" w:rsidRDefault="006A47DB">
          <w:pPr>
            <w:pStyle w:val="Turinys3"/>
            <w:tabs>
              <w:tab w:val="right" w:leader="dot" w:pos="9628"/>
            </w:tabs>
            <w:rPr>
              <w:rFonts w:asciiTheme="minorHAnsi" w:eastAsiaTheme="minorEastAsia" w:hAnsiTheme="minorHAnsi" w:cstheme="minorBidi"/>
              <w:noProof/>
              <w:lang w:eastAsia="lt-LT"/>
            </w:rPr>
          </w:pPr>
          <w:hyperlink w:anchor="_Toc11757995" w:history="1">
            <w:r w:rsidR="00BE3366" w:rsidRPr="00533FC0">
              <w:rPr>
                <w:rStyle w:val="Hipersaitas"/>
                <w:rFonts w:cstheme="minorHAnsi"/>
                <w:noProof/>
              </w:rPr>
              <w:t>Dėl su sukčiavimu susijusio sandorio, atlikto vykdant tiekimą Bendrijos viduje po to, kai buvo atliktas importas ir paskesnis pervežimas, poveikio teisei pasinaudoti importo neapmokestinimu PVM</w:t>
            </w:r>
            <w:r w:rsidR="00BE3366">
              <w:rPr>
                <w:noProof/>
                <w:webHidden/>
              </w:rPr>
              <w:tab/>
            </w:r>
            <w:r w:rsidR="00BE3366">
              <w:rPr>
                <w:noProof/>
                <w:webHidden/>
              </w:rPr>
              <w:fldChar w:fldCharType="begin"/>
            </w:r>
            <w:r w:rsidR="00BE3366">
              <w:rPr>
                <w:noProof/>
                <w:webHidden/>
              </w:rPr>
              <w:instrText xml:space="preserve"> PAGEREF _Toc11757995 \h </w:instrText>
            </w:r>
            <w:r w:rsidR="00BE3366">
              <w:rPr>
                <w:noProof/>
                <w:webHidden/>
              </w:rPr>
            </w:r>
            <w:r w:rsidR="00BE3366">
              <w:rPr>
                <w:noProof/>
                <w:webHidden/>
              </w:rPr>
              <w:fldChar w:fldCharType="separate"/>
            </w:r>
            <w:r w:rsidR="00BE3366">
              <w:rPr>
                <w:noProof/>
                <w:webHidden/>
              </w:rPr>
              <w:t>22</w:t>
            </w:r>
            <w:r w:rsidR="00BE3366">
              <w:rPr>
                <w:noProof/>
                <w:webHidden/>
              </w:rPr>
              <w:fldChar w:fldCharType="end"/>
            </w:r>
          </w:hyperlink>
        </w:p>
        <w:p w14:paraId="7FB2878F" w14:textId="0EDB3C9B" w:rsidR="00BE3366" w:rsidRDefault="006A47DB">
          <w:pPr>
            <w:pStyle w:val="Turinys2"/>
            <w:rPr>
              <w:rFonts w:asciiTheme="minorHAnsi" w:eastAsiaTheme="minorEastAsia" w:hAnsiTheme="minorHAnsi" w:cstheme="minorBidi"/>
              <w:b w:val="0"/>
              <w:color w:val="auto"/>
              <w:lang w:eastAsia="lt-LT"/>
            </w:rPr>
          </w:pPr>
          <w:hyperlink w:anchor="_Toc11757996" w:history="1">
            <w:r w:rsidR="00BE3366" w:rsidRPr="00533FC0">
              <w:rPr>
                <w:rStyle w:val="Hipersaitas"/>
              </w:rPr>
              <w:t>2019 m. vasario 28 d. prejudicinis sprendimas byloje C</w:t>
            </w:r>
            <w:r w:rsidR="00BE3366" w:rsidRPr="00533FC0">
              <w:rPr>
                <w:rStyle w:val="Hipersaitas"/>
                <w:rFonts w:ascii="Cambria Math" w:hAnsi="Cambria Math" w:cs="Cambria Math"/>
              </w:rPr>
              <w:t>‑</w:t>
            </w:r>
            <w:r w:rsidR="00BE3366" w:rsidRPr="00533FC0">
              <w:rPr>
                <w:rStyle w:val="Hipersaitas"/>
              </w:rPr>
              <w:t>567/17</w:t>
            </w:r>
            <w:r w:rsidR="00BE3366">
              <w:rPr>
                <w:webHidden/>
              </w:rPr>
              <w:tab/>
            </w:r>
            <w:r w:rsidR="00BE3366">
              <w:rPr>
                <w:webHidden/>
              </w:rPr>
              <w:fldChar w:fldCharType="begin"/>
            </w:r>
            <w:r w:rsidR="00BE3366">
              <w:rPr>
                <w:webHidden/>
              </w:rPr>
              <w:instrText xml:space="preserve"> PAGEREF _Toc11757996 \h </w:instrText>
            </w:r>
            <w:r w:rsidR="00BE3366">
              <w:rPr>
                <w:webHidden/>
              </w:rPr>
            </w:r>
            <w:r w:rsidR="00BE3366">
              <w:rPr>
                <w:webHidden/>
              </w:rPr>
              <w:fldChar w:fldCharType="separate"/>
            </w:r>
            <w:r w:rsidR="00BE3366">
              <w:rPr>
                <w:webHidden/>
              </w:rPr>
              <w:t>23</w:t>
            </w:r>
            <w:r w:rsidR="00BE3366">
              <w:rPr>
                <w:webHidden/>
              </w:rPr>
              <w:fldChar w:fldCharType="end"/>
            </w:r>
          </w:hyperlink>
        </w:p>
        <w:p w14:paraId="7F077613" w14:textId="58B33147" w:rsidR="00BE3366" w:rsidRDefault="006A47DB">
          <w:pPr>
            <w:pStyle w:val="Turinys3"/>
            <w:tabs>
              <w:tab w:val="right" w:leader="dot" w:pos="9628"/>
            </w:tabs>
            <w:rPr>
              <w:rFonts w:asciiTheme="minorHAnsi" w:eastAsiaTheme="minorEastAsia" w:hAnsiTheme="minorHAnsi" w:cstheme="minorBidi"/>
              <w:noProof/>
              <w:lang w:eastAsia="lt-LT"/>
            </w:rPr>
          </w:pPr>
          <w:hyperlink w:anchor="_Toc11757997" w:history="1">
            <w:r w:rsidR="00BE3366" w:rsidRPr="00533FC0">
              <w:rPr>
                <w:rStyle w:val="Hipersaitas"/>
                <w:rFonts w:cstheme="minorHAnsi"/>
                <w:noProof/>
              </w:rPr>
              <w:t>Dėl kosmetikos produktuose esančio denatūruoto etilo alkoholio apmokestinimo, kai nustatoma, kad kai kurie asmenys šiuos produktus vartoja kaip alkoholinius gėrimus</w:t>
            </w:r>
            <w:r w:rsidR="00BE3366">
              <w:rPr>
                <w:noProof/>
                <w:webHidden/>
              </w:rPr>
              <w:tab/>
            </w:r>
            <w:r w:rsidR="00BE3366">
              <w:rPr>
                <w:noProof/>
                <w:webHidden/>
              </w:rPr>
              <w:fldChar w:fldCharType="begin"/>
            </w:r>
            <w:r w:rsidR="00BE3366">
              <w:rPr>
                <w:noProof/>
                <w:webHidden/>
              </w:rPr>
              <w:instrText xml:space="preserve"> PAGEREF _Toc11757997 \h </w:instrText>
            </w:r>
            <w:r w:rsidR="00BE3366">
              <w:rPr>
                <w:noProof/>
                <w:webHidden/>
              </w:rPr>
            </w:r>
            <w:r w:rsidR="00BE3366">
              <w:rPr>
                <w:noProof/>
                <w:webHidden/>
              </w:rPr>
              <w:fldChar w:fldCharType="separate"/>
            </w:r>
            <w:r w:rsidR="00BE3366">
              <w:rPr>
                <w:noProof/>
                <w:webHidden/>
              </w:rPr>
              <w:t>24</w:t>
            </w:r>
            <w:r w:rsidR="00BE3366">
              <w:rPr>
                <w:noProof/>
                <w:webHidden/>
              </w:rPr>
              <w:fldChar w:fldCharType="end"/>
            </w:r>
          </w:hyperlink>
        </w:p>
        <w:p w14:paraId="5C49C44A" w14:textId="1A2BEED5" w:rsidR="00BE3366" w:rsidRDefault="006A47DB">
          <w:pPr>
            <w:pStyle w:val="Turinys3"/>
            <w:tabs>
              <w:tab w:val="right" w:leader="dot" w:pos="9628"/>
            </w:tabs>
            <w:rPr>
              <w:rFonts w:asciiTheme="minorHAnsi" w:eastAsiaTheme="minorEastAsia" w:hAnsiTheme="minorHAnsi" w:cstheme="minorBidi"/>
              <w:noProof/>
              <w:lang w:eastAsia="lt-LT"/>
            </w:rPr>
          </w:pPr>
          <w:hyperlink w:anchor="_Toc11757998" w:history="1">
            <w:r w:rsidR="00BE3366" w:rsidRPr="00533FC0">
              <w:rPr>
                <w:rStyle w:val="Hipersaitas"/>
                <w:rFonts w:cstheme="minorHAnsi"/>
                <w:noProof/>
              </w:rPr>
              <w:t>Dėl aplinkybės, kad kosmetikos produktai gaminami, importuojami ir platinami, atsižvelgiant į tai, kad kai kurie asmenys juos vartoja kaip alkoholinius gėrimus svaiginimosi tikslais</w:t>
            </w:r>
            <w:r w:rsidR="00BE3366">
              <w:rPr>
                <w:noProof/>
                <w:webHidden/>
              </w:rPr>
              <w:tab/>
            </w:r>
            <w:r w:rsidR="00BE3366">
              <w:rPr>
                <w:noProof/>
                <w:webHidden/>
              </w:rPr>
              <w:fldChar w:fldCharType="begin"/>
            </w:r>
            <w:r w:rsidR="00BE3366">
              <w:rPr>
                <w:noProof/>
                <w:webHidden/>
              </w:rPr>
              <w:instrText xml:space="preserve"> PAGEREF _Toc11757998 \h </w:instrText>
            </w:r>
            <w:r w:rsidR="00BE3366">
              <w:rPr>
                <w:noProof/>
                <w:webHidden/>
              </w:rPr>
            </w:r>
            <w:r w:rsidR="00BE3366">
              <w:rPr>
                <w:noProof/>
                <w:webHidden/>
              </w:rPr>
              <w:fldChar w:fldCharType="separate"/>
            </w:r>
            <w:r w:rsidR="00BE3366">
              <w:rPr>
                <w:noProof/>
                <w:webHidden/>
              </w:rPr>
              <w:t>24</w:t>
            </w:r>
            <w:r w:rsidR="00BE3366">
              <w:rPr>
                <w:noProof/>
                <w:webHidden/>
              </w:rPr>
              <w:fldChar w:fldCharType="end"/>
            </w:r>
          </w:hyperlink>
        </w:p>
        <w:p w14:paraId="14FC41CC" w14:textId="7BD86FBB" w:rsidR="00BE3366" w:rsidRDefault="006A47DB">
          <w:pPr>
            <w:pStyle w:val="Turinys2"/>
            <w:rPr>
              <w:rFonts w:asciiTheme="minorHAnsi" w:eastAsiaTheme="minorEastAsia" w:hAnsiTheme="minorHAnsi" w:cstheme="minorBidi"/>
              <w:b w:val="0"/>
              <w:color w:val="auto"/>
              <w:lang w:eastAsia="lt-LT"/>
            </w:rPr>
          </w:pPr>
          <w:hyperlink w:anchor="_Toc11757999" w:history="1">
            <w:r w:rsidR="00BE3366" w:rsidRPr="00533FC0">
              <w:rPr>
                <w:rStyle w:val="Hipersaitas"/>
              </w:rPr>
              <w:t>2019 m. kovo 28 d. prejudicinis sprendimas byloje C</w:t>
            </w:r>
            <w:r w:rsidR="00BE3366" w:rsidRPr="00533FC0">
              <w:rPr>
                <w:rStyle w:val="Hipersaitas"/>
                <w:rFonts w:ascii="Cambria Math" w:hAnsi="Cambria Math" w:cs="Cambria Math"/>
              </w:rPr>
              <w:t>‑</w:t>
            </w:r>
            <w:r w:rsidR="00BE3366" w:rsidRPr="00533FC0">
              <w:rPr>
                <w:rStyle w:val="Hipersaitas"/>
              </w:rPr>
              <w:t>275/18</w:t>
            </w:r>
            <w:r w:rsidR="00BE3366">
              <w:rPr>
                <w:webHidden/>
              </w:rPr>
              <w:tab/>
            </w:r>
            <w:r w:rsidR="00BE3366">
              <w:rPr>
                <w:webHidden/>
              </w:rPr>
              <w:fldChar w:fldCharType="begin"/>
            </w:r>
            <w:r w:rsidR="00BE3366">
              <w:rPr>
                <w:webHidden/>
              </w:rPr>
              <w:instrText xml:space="preserve"> PAGEREF _Toc11757999 \h </w:instrText>
            </w:r>
            <w:r w:rsidR="00BE3366">
              <w:rPr>
                <w:webHidden/>
              </w:rPr>
            </w:r>
            <w:r w:rsidR="00BE3366">
              <w:rPr>
                <w:webHidden/>
              </w:rPr>
              <w:fldChar w:fldCharType="separate"/>
            </w:r>
            <w:r w:rsidR="00BE3366">
              <w:rPr>
                <w:webHidden/>
              </w:rPr>
              <w:t>25</w:t>
            </w:r>
            <w:r w:rsidR="00BE3366">
              <w:rPr>
                <w:webHidden/>
              </w:rPr>
              <w:fldChar w:fldCharType="end"/>
            </w:r>
          </w:hyperlink>
        </w:p>
        <w:p w14:paraId="2C74ECB4" w14:textId="33965266" w:rsidR="00BE3366" w:rsidRDefault="006A47DB">
          <w:pPr>
            <w:pStyle w:val="Turinys3"/>
            <w:tabs>
              <w:tab w:val="right" w:leader="dot" w:pos="9628"/>
            </w:tabs>
            <w:rPr>
              <w:rFonts w:asciiTheme="minorHAnsi" w:eastAsiaTheme="minorEastAsia" w:hAnsiTheme="minorHAnsi" w:cstheme="minorBidi"/>
              <w:noProof/>
              <w:lang w:eastAsia="lt-LT"/>
            </w:rPr>
          </w:pPr>
          <w:hyperlink w:anchor="_Toc11758000" w:history="1">
            <w:r w:rsidR="00BE3366" w:rsidRPr="00533FC0">
              <w:rPr>
                <w:rStyle w:val="Hipersaitas"/>
                <w:rFonts w:cstheme="minorHAnsi"/>
                <w:noProof/>
              </w:rPr>
              <w:t>Dėl reikalavimo įforminti eksporto muitinės procedūrą norint pasinaudoti prekių, skirtų eksportuoti iš Europos Sąjungos teritorijos, neapmokestinimu PVM</w:t>
            </w:r>
            <w:r w:rsidR="00BE3366">
              <w:rPr>
                <w:noProof/>
                <w:webHidden/>
              </w:rPr>
              <w:tab/>
            </w:r>
            <w:r w:rsidR="00BE3366">
              <w:rPr>
                <w:noProof/>
                <w:webHidden/>
              </w:rPr>
              <w:fldChar w:fldCharType="begin"/>
            </w:r>
            <w:r w:rsidR="00BE3366">
              <w:rPr>
                <w:noProof/>
                <w:webHidden/>
              </w:rPr>
              <w:instrText xml:space="preserve"> PAGEREF _Toc11758000 \h </w:instrText>
            </w:r>
            <w:r w:rsidR="00BE3366">
              <w:rPr>
                <w:noProof/>
                <w:webHidden/>
              </w:rPr>
            </w:r>
            <w:r w:rsidR="00BE3366">
              <w:rPr>
                <w:noProof/>
                <w:webHidden/>
              </w:rPr>
              <w:fldChar w:fldCharType="separate"/>
            </w:r>
            <w:r w:rsidR="00BE3366">
              <w:rPr>
                <w:noProof/>
                <w:webHidden/>
              </w:rPr>
              <w:t>25</w:t>
            </w:r>
            <w:r w:rsidR="00BE3366">
              <w:rPr>
                <w:noProof/>
                <w:webHidden/>
              </w:rPr>
              <w:fldChar w:fldCharType="end"/>
            </w:r>
          </w:hyperlink>
        </w:p>
        <w:p w14:paraId="1CA974B5" w14:textId="1D017A32" w:rsidR="00BE3366" w:rsidRDefault="006A47DB">
          <w:pPr>
            <w:pStyle w:val="Turinys2"/>
            <w:rPr>
              <w:rFonts w:asciiTheme="minorHAnsi" w:eastAsiaTheme="minorEastAsia" w:hAnsiTheme="minorHAnsi" w:cstheme="minorBidi"/>
              <w:b w:val="0"/>
              <w:color w:val="auto"/>
              <w:lang w:eastAsia="lt-LT"/>
            </w:rPr>
          </w:pPr>
          <w:hyperlink w:anchor="_Toc11758001" w:history="1">
            <w:r w:rsidR="00BE3366" w:rsidRPr="00533FC0">
              <w:rPr>
                <w:rStyle w:val="Hipersaitas"/>
              </w:rPr>
              <w:t>2019 m. balandžio 11 d. prejudicinis sprendimas byloje C</w:t>
            </w:r>
            <w:r w:rsidR="00BE3366" w:rsidRPr="00533FC0">
              <w:rPr>
                <w:rStyle w:val="Hipersaitas"/>
                <w:rFonts w:ascii="Cambria Math" w:hAnsi="Cambria Math" w:cs="Cambria Math"/>
              </w:rPr>
              <w:t>‑</w:t>
            </w:r>
            <w:r w:rsidR="00BE3366" w:rsidRPr="00533FC0">
              <w:rPr>
                <w:rStyle w:val="Hipersaitas"/>
              </w:rPr>
              <w:t>638/17</w:t>
            </w:r>
            <w:r w:rsidR="00BE3366">
              <w:rPr>
                <w:webHidden/>
              </w:rPr>
              <w:tab/>
            </w:r>
            <w:r w:rsidR="00BE3366">
              <w:rPr>
                <w:webHidden/>
              </w:rPr>
              <w:fldChar w:fldCharType="begin"/>
            </w:r>
            <w:r w:rsidR="00BE3366">
              <w:rPr>
                <w:webHidden/>
              </w:rPr>
              <w:instrText xml:space="preserve"> PAGEREF _Toc11758001 \h </w:instrText>
            </w:r>
            <w:r w:rsidR="00BE3366">
              <w:rPr>
                <w:webHidden/>
              </w:rPr>
            </w:r>
            <w:r w:rsidR="00BE3366">
              <w:rPr>
                <w:webHidden/>
              </w:rPr>
              <w:fldChar w:fldCharType="separate"/>
            </w:r>
            <w:r w:rsidR="00BE3366">
              <w:rPr>
                <w:webHidden/>
              </w:rPr>
              <w:t>26</w:t>
            </w:r>
            <w:r w:rsidR="00BE3366">
              <w:rPr>
                <w:webHidden/>
              </w:rPr>
              <w:fldChar w:fldCharType="end"/>
            </w:r>
          </w:hyperlink>
        </w:p>
        <w:p w14:paraId="2BEF09E3" w14:textId="74DB7EC9" w:rsidR="00BE3366" w:rsidRDefault="006A47DB">
          <w:pPr>
            <w:pStyle w:val="Turinys3"/>
            <w:tabs>
              <w:tab w:val="right" w:leader="dot" w:pos="9628"/>
            </w:tabs>
            <w:rPr>
              <w:rFonts w:asciiTheme="minorHAnsi" w:eastAsiaTheme="minorEastAsia" w:hAnsiTheme="minorHAnsi" w:cstheme="minorBidi"/>
              <w:noProof/>
              <w:lang w:eastAsia="lt-LT"/>
            </w:rPr>
          </w:pPr>
          <w:hyperlink w:anchor="_Toc11758002" w:history="1">
            <w:r w:rsidR="00BE3366" w:rsidRPr="00533FC0">
              <w:rPr>
                <w:rStyle w:val="Hipersaitas"/>
                <w:rFonts w:cstheme="minorHAnsi"/>
                <w:noProof/>
              </w:rPr>
              <w:t>Dėl tabako gaminio (tabako ritinėlių) apvalkalo reikšmės sprendžiant dėl jo priskyrimo cigarams ir cigarilėms arba cigaretėms</w:t>
            </w:r>
            <w:r w:rsidR="00BE3366">
              <w:rPr>
                <w:noProof/>
                <w:webHidden/>
              </w:rPr>
              <w:tab/>
            </w:r>
            <w:r w:rsidR="00BE3366">
              <w:rPr>
                <w:noProof/>
                <w:webHidden/>
              </w:rPr>
              <w:fldChar w:fldCharType="begin"/>
            </w:r>
            <w:r w:rsidR="00BE3366">
              <w:rPr>
                <w:noProof/>
                <w:webHidden/>
              </w:rPr>
              <w:instrText xml:space="preserve"> PAGEREF _Toc11758002 \h </w:instrText>
            </w:r>
            <w:r w:rsidR="00BE3366">
              <w:rPr>
                <w:noProof/>
                <w:webHidden/>
              </w:rPr>
            </w:r>
            <w:r w:rsidR="00BE3366">
              <w:rPr>
                <w:noProof/>
                <w:webHidden/>
              </w:rPr>
              <w:fldChar w:fldCharType="separate"/>
            </w:r>
            <w:r w:rsidR="00BE3366">
              <w:rPr>
                <w:noProof/>
                <w:webHidden/>
              </w:rPr>
              <w:t>27</w:t>
            </w:r>
            <w:r w:rsidR="00BE3366">
              <w:rPr>
                <w:noProof/>
                <w:webHidden/>
              </w:rPr>
              <w:fldChar w:fldCharType="end"/>
            </w:r>
          </w:hyperlink>
        </w:p>
        <w:p w14:paraId="0C5B23E8" w14:textId="772B01B5" w:rsidR="00BE3366" w:rsidRDefault="006A47DB">
          <w:pPr>
            <w:pStyle w:val="Turinys3"/>
            <w:tabs>
              <w:tab w:val="right" w:leader="dot" w:pos="9628"/>
            </w:tabs>
            <w:rPr>
              <w:rFonts w:asciiTheme="minorHAnsi" w:eastAsiaTheme="minorEastAsia" w:hAnsiTheme="minorHAnsi" w:cstheme="minorBidi"/>
              <w:noProof/>
              <w:lang w:eastAsia="lt-LT"/>
            </w:rPr>
          </w:pPr>
          <w:hyperlink w:anchor="_Toc11758003" w:history="1">
            <w:r w:rsidR="00BE3366" w:rsidRPr="00533FC0">
              <w:rPr>
                <w:rStyle w:val="Hipersaitas"/>
                <w:rFonts w:cstheme="minorHAnsi"/>
                <w:noProof/>
              </w:rPr>
              <w:t>Dėl papildomo išorinio popieriaus sluoksnio buvimo reikšmės, prekę pripažįstant cigarą ar cigarilę apmokestinimo akcizu tikslais</w:t>
            </w:r>
            <w:r w:rsidR="00BE3366">
              <w:rPr>
                <w:noProof/>
                <w:webHidden/>
              </w:rPr>
              <w:tab/>
            </w:r>
            <w:r w:rsidR="00BE3366">
              <w:rPr>
                <w:noProof/>
                <w:webHidden/>
              </w:rPr>
              <w:fldChar w:fldCharType="begin"/>
            </w:r>
            <w:r w:rsidR="00BE3366">
              <w:rPr>
                <w:noProof/>
                <w:webHidden/>
              </w:rPr>
              <w:instrText xml:space="preserve"> PAGEREF _Toc11758003 \h </w:instrText>
            </w:r>
            <w:r w:rsidR="00BE3366">
              <w:rPr>
                <w:noProof/>
                <w:webHidden/>
              </w:rPr>
            </w:r>
            <w:r w:rsidR="00BE3366">
              <w:rPr>
                <w:noProof/>
                <w:webHidden/>
              </w:rPr>
              <w:fldChar w:fldCharType="separate"/>
            </w:r>
            <w:r w:rsidR="00BE3366">
              <w:rPr>
                <w:noProof/>
                <w:webHidden/>
              </w:rPr>
              <w:t>27</w:t>
            </w:r>
            <w:r w:rsidR="00BE3366">
              <w:rPr>
                <w:noProof/>
                <w:webHidden/>
              </w:rPr>
              <w:fldChar w:fldCharType="end"/>
            </w:r>
          </w:hyperlink>
        </w:p>
        <w:p w14:paraId="1F7D37FA" w14:textId="1E1E6EC2" w:rsidR="00BE3366" w:rsidRDefault="006A47DB">
          <w:pPr>
            <w:pStyle w:val="Turinys2"/>
            <w:rPr>
              <w:rFonts w:asciiTheme="minorHAnsi" w:eastAsiaTheme="minorEastAsia" w:hAnsiTheme="minorHAnsi" w:cstheme="minorBidi"/>
              <w:b w:val="0"/>
              <w:color w:val="auto"/>
              <w:lang w:eastAsia="lt-LT"/>
            </w:rPr>
          </w:pPr>
          <w:hyperlink w:anchor="_Toc11758004" w:history="1">
            <w:r w:rsidR="00BE3366" w:rsidRPr="00533FC0">
              <w:rPr>
                <w:rStyle w:val="Hipersaitas"/>
              </w:rPr>
              <w:t>2019 m. balandžio 11 d. prejudicinis sprendimas byloje C</w:t>
            </w:r>
            <w:r w:rsidR="00BE3366" w:rsidRPr="00533FC0">
              <w:rPr>
                <w:rStyle w:val="Hipersaitas"/>
                <w:rFonts w:ascii="Cambria Math" w:hAnsi="Cambria Math" w:cs="Cambria Math"/>
              </w:rPr>
              <w:t>‑</w:t>
            </w:r>
            <w:r w:rsidR="00BE3366" w:rsidRPr="00533FC0">
              <w:rPr>
                <w:rStyle w:val="Hipersaitas"/>
              </w:rPr>
              <w:t>691/17</w:t>
            </w:r>
            <w:r w:rsidR="00BE3366">
              <w:rPr>
                <w:webHidden/>
              </w:rPr>
              <w:tab/>
            </w:r>
            <w:r w:rsidR="00BE3366">
              <w:rPr>
                <w:webHidden/>
              </w:rPr>
              <w:fldChar w:fldCharType="begin"/>
            </w:r>
            <w:r w:rsidR="00BE3366">
              <w:rPr>
                <w:webHidden/>
              </w:rPr>
              <w:instrText xml:space="preserve"> PAGEREF _Toc11758004 \h </w:instrText>
            </w:r>
            <w:r w:rsidR="00BE3366">
              <w:rPr>
                <w:webHidden/>
              </w:rPr>
            </w:r>
            <w:r w:rsidR="00BE3366">
              <w:rPr>
                <w:webHidden/>
              </w:rPr>
              <w:fldChar w:fldCharType="separate"/>
            </w:r>
            <w:r w:rsidR="00BE3366">
              <w:rPr>
                <w:webHidden/>
              </w:rPr>
              <w:t>27</w:t>
            </w:r>
            <w:r w:rsidR="00BE3366">
              <w:rPr>
                <w:webHidden/>
              </w:rPr>
              <w:fldChar w:fldCharType="end"/>
            </w:r>
          </w:hyperlink>
        </w:p>
        <w:p w14:paraId="21D92A3E" w14:textId="4F280E82" w:rsidR="00BE3366" w:rsidRDefault="006A47DB">
          <w:pPr>
            <w:pStyle w:val="Turinys3"/>
            <w:tabs>
              <w:tab w:val="right" w:leader="dot" w:pos="9628"/>
            </w:tabs>
            <w:rPr>
              <w:rFonts w:asciiTheme="minorHAnsi" w:eastAsiaTheme="minorEastAsia" w:hAnsiTheme="minorHAnsi" w:cstheme="minorBidi"/>
              <w:noProof/>
              <w:lang w:eastAsia="lt-LT"/>
            </w:rPr>
          </w:pPr>
          <w:hyperlink w:anchor="_Toc11758005" w:history="1">
            <w:r w:rsidR="00BE3366" w:rsidRPr="00533FC0">
              <w:rPr>
                <w:rStyle w:val="Hipersaitas"/>
                <w:rFonts w:cstheme="minorHAnsi"/>
                <w:noProof/>
              </w:rPr>
              <w:t>Dėl teisės į PVM atskaitą, kai atvirkštinio apmokestinimo atveju paslaugų gavėjas apmoka PVM sąskaitą faktūrą su jame nepagrįstai išskirtu PVM paslaugų teikėjui</w:t>
            </w:r>
            <w:r w:rsidR="00BE3366">
              <w:rPr>
                <w:noProof/>
                <w:webHidden/>
              </w:rPr>
              <w:tab/>
            </w:r>
            <w:r w:rsidR="00BE3366">
              <w:rPr>
                <w:noProof/>
                <w:webHidden/>
              </w:rPr>
              <w:fldChar w:fldCharType="begin"/>
            </w:r>
            <w:r w:rsidR="00BE3366">
              <w:rPr>
                <w:noProof/>
                <w:webHidden/>
              </w:rPr>
              <w:instrText xml:space="preserve"> PAGEREF _Toc11758005 \h </w:instrText>
            </w:r>
            <w:r w:rsidR="00BE3366">
              <w:rPr>
                <w:noProof/>
                <w:webHidden/>
              </w:rPr>
            </w:r>
            <w:r w:rsidR="00BE3366">
              <w:rPr>
                <w:noProof/>
                <w:webHidden/>
              </w:rPr>
              <w:fldChar w:fldCharType="separate"/>
            </w:r>
            <w:r w:rsidR="00BE3366">
              <w:rPr>
                <w:noProof/>
                <w:webHidden/>
              </w:rPr>
              <w:t>28</w:t>
            </w:r>
            <w:r w:rsidR="00BE3366">
              <w:rPr>
                <w:noProof/>
                <w:webHidden/>
              </w:rPr>
              <w:fldChar w:fldCharType="end"/>
            </w:r>
          </w:hyperlink>
        </w:p>
        <w:p w14:paraId="23365DBF" w14:textId="34DD4D06" w:rsidR="00BE3366" w:rsidRDefault="006A47DB">
          <w:pPr>
            <w:pStyle w:val="Turinys3"/>
            <w:tabs>
              <w:tab w:val="right" w:leader="dot" w:pos="9628"/>
            </w:tabs>
            <w:rPr>
              <w:rFonts w:asciiTheme="minorHAnsi" w:eastAsiaTheme="minorEastAsia" w:hAnsiTheme="minorHAnsi" w:cstheme="minorBidi"/>
              <w:noProof/>
              <w:lang w:eastAsia="lt-LT"/>
            </w:rPr>
          </w:pPr>
          <w:hyperlink w:anchor="_Toc11758006" w:history="1">
            <w:r w:rsidR="00BE3366" w:rsidRPr="00533FC0">
              <w:rPr>
                <w:rStyle w:val="Hipersaitas"/>
                <w:rFonts w:cstheme="minorHAnsi"/>
                <w:noProof/>
              </w:rPr>
              <w:t>Dėl teisės paslaugų gavėjui susigrąžinti paslaugų teikėjui klaidingai sumokėtą PVM, kurį pastarasis sumokėjo į valstybės biudžetą, atvirkštinio apmokestinimo atveju</w:t>
            </w:r>
            <w:r w:rsidR="00BE3366">
              <w:rPr>
                <w:noProof/>
                <w:webHidden/>
              </w:rPr>
              <w:tab/>
            </w:r>
            <w:r w:rsidR="00BE3366">
              <w:rPr>
                <w:noProof/>
                <w:webHidden/>
              </w:rPr>
              <w:fldChar w:fldCharType="begin"/>
            </w:r>
            <w:r w:rsidR="00BE3366">
              <w:rPr>
                <w:noProof/>
                <w:webHidden/>
              </w:rPr>
              <w:instrText xml:space="preserve"> PAGEREF _Toc11758006 \h </w:instrText>
            </w:r>
            <w:r w:rsidR="00BE3366">
              <w:rPr>
                <w:noProof/>
                <w:webHidden/>
              </w:rPr>
            </w:r>
            <w:r w:rsidR="00BE3366">
              <w:rPr>
                <w:noProof/>
                <w:webHidden/>
              </w:rPr>
              <w:fldChar w:fldCharType="separate"/>
            </w:r>
            <w:r w:rsidR="00BE3366">
              <w:rPr>
                <w:noProof/>
                <w:webHidden/>
              </w:rPr>
              <w:t>28</w:t>
            </w:r>
            <w:r w:rsidR="00BE3366">
              <w:rPr>
                <w:noProof/>
                <w:webHidden/>
              </w:rPr>
              <w:fldChar w:fldCharType="end"/>
            </w:r>
          </w:hyperlink>
        </w:p>
        <w:p w14:paraId="77B73E54" w14:textId="78FC46D8" w:rsidR="00BE3366" w:rsidRDefault="006A47DB">
          <w:pPr>
            <w:pStyle w:val="Turinys1"/>
            <w:rPr>
              <w:rFonts w:asciiTheme="minorHAnsi" w:eastAsiaTheme="minorEastAsia" w:hAnsiTheme="minorHAnsi" w:cstheme="minorBidi"/>
              <w:b w:val="0"/>
              <w:bCs w:val="0"/>
              <w:color w:val="auto"/>
              <w:kern w:val="0"/>
            </w:rPr>
          </w:pPr>
          <w:hyperlink w:anchor="_Toc11758007" w:history="1">
            <w:r w:rsidR="00BE3366" w:rsidRPr="00533FC0">
              <w:rPr>
                <w:rStyle w:val="Hipersaitas"/>
                <w:rFonts w:cstheme="minorHAnsi"/>
              </w:rPr>
              <w:t>FINANSŲ RINKŲ PRIEŽIŪRA</w:t>
            </w:r>
            <w:r w:rsidR="00BE3366">
              <w:rPr>
                <w:webHidden/>
              </w:rPr>
              <w:tab/>
            </w:r>
            <w:r w:rsidR="00BE3366">
              <w:rPr>
                <w:webHidden/>
              </w:rPr>
              <w:fldChar w:fldCharType="begin"/>
            </w:r>
            <w:r w:rsidR="00BE3366">
              <w:rPr>
                <w:webHidden/>
              </w:rPr>
              <w:instrText xml:space="preserve"> PAGEREF _Toc11758007 \h </w:instrText>
            </w:r>
            <w:r w:rsidR="00BE3366">
              <w:rPr>
                <w:webHidden/>
              </w:rPr>
            </w:r>
            <w:r w:rsidR="00BE3366">
              <w:rPr>
                <w:webHidden/>
              </w:rPr>
              <w:fldChar w:fldCharType="separate"/>
            </w:r>
            <w:r w:rsidR="00BE3366">
              <w:rPr>
                <w:webHidden/>
              </w:rPr>
              <w:t>29</w:t>
            </w:r>
            <w:r w:rsidR="00BE3366">
              <w:rPr>
                <w:webHidden/>
              </w:rPr>
              <w:fldChar w:fldCharType="end"/>
            </w:r>
          </w:hyperlink>
        </w:p>
        <w:p w14:paraId="4BDF0377" w14:textId="5F44EE80" w:rsidR="00BE3366" w:rsidRDefault="006A47DB">
          <w:pPr>
            <w:pStyle w:val="Turinys2"/>
            <w:rPr>
              <w:rFonts w:asciiTheme="minorHAnsi" w:eastAsiaTheme="minorEastAsia" w:hAnsiTheme="minorHAnsi" w:cstheme="minorBidi"/>
              <w:b w:val="0"/>
              <w:color w:val="auto"/>
              <w:lang w:eastAsia="lt-LT"/>
            </w:rPr>
          </w:pPr>
          <w:hyperlink w:anchor="_Toc11758008" w:history="1">
            <w:r w:rsidR="00BE3366" w:rsidRPr="00533FC0">
              <w:rPr>
                <w:rStyle w:val="Hipersaitas"/>
              </w:rPr>
              <w:t>2019 m. sausio 16 d. prejudicinis sprendimas byloje C</w:t>
            </w:r>
            <w:r w:rsidR="00BE3366" w:rsidRPr="00533FC0">
              <w:rPr>
                <w:rStyle w:val="Hipersaitas"/>
                <w:rFonts w:ascii="Cambria Math" w:hAnsi="Cambria Math" w:cs="Cambria Math"/>
              </w:rPr>
              <w:t>‑</w:t>
            </w:r>
            <w:r w:rsidR="00BE3366" w:rsidRPr="00533FC0">
              <w:rPr>
                <w:rStyle w:val="Hipersaitas"/>
              </w:rPr>
              <w:t>389/17</w:t>
            </w:r>
            <w:r w:rsidR="00BE3366">
              <w:rPr>
                <w:webHidden/>
              </w:rPr>
              <w:tab/>
            </w:r>
            <w:r w:rsidR="00BE3366">
              <w:rPr>
                <w:webHidden/>
              </w:rPr>
              <w:fldChar w:fldCharType="begin"/>
            </w:r>
            <w:r w:rsidR="00BE3366">
              <w:rPr>
                <w:webHidden/>
              </w:rPr>
              <w:instrText xml:space="preserve"> PAGEREF _Toc11758008 \h </w:instrText>
            </w:r>
            <w:r w:rsidR="00BE3366">
              <w:rPr>
                <w:webHidden/>
              </w:rPr>
            </w:r>
            <w:r w:rsidR="00BE3366">
              <w:rPr>
                <w:webHidden/>
              </w:rPr>
              <w:fldChar w:fldCharType="separate"/>
            </w:r>
            <w:r w:rsidR="00BE3366">
              <w:rPr>
                <w:webHidden/>
              </w:rPr>
              <w:t>29</w:t>
            </w:r>
            <w:r w:rsidR="00BE3366">
              <w:rPr>
                <w:webHidden/>
              </w:rPr>
              <w:fldChar w:fldCharType="end"/>
            </w:r>
          </w:hyperlink>
        </w:p>
        <w:p w14:paraId="4594DC40" w14:textId="44576D6D" w:rsidR="00BE3366" w:rsidRDefault="006A47DB">
          <w:pPr>
            <w:pStyle w:val="Turinys3"/>
            <w:tabs>
              <w:tab w:val="right" w:leader="dot" w:pos="9628"/>
            </w:tabs>
            <w:rPr>
              <w:rFonts w:asciiTheme="minorHAnsi" w:eastAsiaTheme="minorEastAsia" w:hAnsiTheme="minorHAnsi" w:cstheme="minorBidi"/>
              <w:noProof/>
              <w:lang w:eastAsia="lt-LT"/>
            </w:rPr>
          </w:pPr>
          <w:hyperlink w:anchor="_Toc11758009" w:history="1">
            <w:r w:rsidR="00BE3366" w:rsidRPr="00533FC0">
              <w:rPr>
                <w:rStyle w:val="Hipersaitas"/>
                <w:rFonts w:cstheme="minorHAnsi"/>
                <w:noProof/>
              </w:rPr>
              <w:t>Dėl mokėjimo operacijų pripažinimo susijusiomis su elektroninių pinigų leidimu</w:t>
            </w:r>
            <w:r w:rsidR="00BE3366">
              <w:rPr>
                <w:noProof/>
                <w:webHidden/>
              </w:rPr>
              <w:tab/>
            </w:r>
            <w:r w:rsidR="00BE3366">
              <w:rPr>
                <w:noProof/>
                <w:webHidden/>
              </w:rPr>
              <w:fldChar w:fldCharType="begin"/>
            </w:r>
            <w:r w:rsidR="00BE3366">
              <w:rPr>
                <w:noProof/>
                <w:webHidden/>
              </w:rPr>
              <w:instrText xml:space="preserve"> PAGEREF _Toc11758009 \h </w:instrText>
            </w:r>
            <w:r w:rsidR="00BE3366">
              <w:rPr>
                <w:noProof/>
                <w:webHidden/>
              </w:rPr>
            </w:r>
            <w:r w:rsidR="00BE3366">
              <w:rPr>
                <w:noProof/>
                <w:webHidden/>
              </w:rPr>
              <w:fldChar w:fldCharType="separate"/>
            </w:r>
            <w:r w:rsidR="00BE3366">
              <w:rPr>
                <w:noProof/>
                <w:webHidden/>
              </w:rPr>
              <w:t>30</w:t>
            </w:r>
            <w:r w:rsidR="00BE3366">
              <w:rPr>
                <w:noProof/>
                <w:webHidden/>
              </w:rPr>
              <w:fldChar w:fldCharType="end"/>
            </w:r>
          </w:hyperlink>
        </w:p>
        <w:p w14:paraId="7AD24BED" w14:textId="29D45261" w:rsidR="00BE3366" w:rsidRDefault="006A47DB">
          <w:pPr>
            <w:pStyle w:val="Turinys1"/>
            <w:rPr>
              <w:rFonts w:asciiTheme="minorHAnsi" w:eastAsiaTheme="minorEastAsia" w:hAnsiTheme="minorHAnsi" w:cstheme="minorBidi"/>
              <w:b w:val="0"/>
              <w:bCs w:val="0"/>
              <w:color w:val="auto"/>
              <w:kern w:val="0"/>
            </w:rPr>
          </w:pPr>
          <w:hyperlink w:anchor="_Toc11758010" w:history="1">
            <w:r w:rsidR="00BE3366" w:rsidRPr="00533FC0">
              <w:rPr>
                <w:rStyle w:val="Hipersaitas"/>
                <w:rFonts w:cstheme="minorHAnsi"/>
              </w:rPr>
              <w:t>ASMENS DUOMENŲ APSAUGA</w:t>
            </w:r>
            <w:r w:rsidR="00BE3366">
              <w:rPr>
                <w:webHidden/>
              </w:rPr>
              <w:tab/>
            </w:r>
            <w:r w:rsidR="00BE3366">
              <w:rPr>
                <w:webHidden/>
              </w:rPr>
              <w:fldChar w:fldCharType="begin"/>
            </w:r>
            <w:r w:rsidR="00BE3366">
              <w:rPr>
                <w:webHidden/>
              </w:rPr>
              <w:instrText xml:space="preserve"> PAGEREF _Toc11758010 \h </w:instrText>
            </w:r>
            <w:r w:rsidR="00BE3366">
              <w:rPr>
                <w:webHidden/>
              </w:rPr>
            </w:r>
            <w:r w:rsidR="00BE3366">
              <w:rPr>
                <w:webHidden/>
              </w:rPr>
              <w:fldChar w:fldCharType="separate"/>
            </w:r>
            <w:r w:rsidR="00BE3366">
              <w:rPr>
                <w:webHidden/>
              </w:rPr>
              <w:t>31</w:t>
            </w:r>
            <w:r w:rsidR="00BE3366">
              <w:rPr>
                <w:webHidden/>
              </w:rPr>
              <w:fldChar w:fldCharType="end"/>
            </w:r>
          </w:hyperlink>
        </w:p>
        <w:p w14:paraId="70B7CAA4" w14:textId="20BCEB9A" w:rsidR="00BE3366" w:rsidRDefault="006A47DB">
          <w:pPr>
            <w:pStyle w:val="Turinys2"/>
            <w:rPr>
              <w:rFonts w:asciiTheme="minorHAnsi" w:eastAsiaTheme="minorEastAsia" w:hAnsiTheme="minorHAnsi" w:cstheme="minorBidi"/>
              <w:b w:val="0"/>
              <w:color w:val="auto"/>
              <w:lang w:eastAsia="lt-LT"/>
            </w:rPr>
          </w:pPr>
          <w:hyperlink w:anchor="_Toc11758011" w:history="1">
            <w:r w:rsidR="00BE3366" w:rsidRPr="00533FC0">
              <w:rPr>
                <w:rStyle w:val="Hipersaitas"/>
              </w:rPr>
              <w:t>2019 m. vasario 14 d. prejudicinis sprendimas byloje C-345/17</w:t>
            </w:r>
            <w:r w:rsidR="00BE3366">
              <w:rPr>
                <w:webHidden/>
              </w:rPr>
              <w:tab/>
            </w:r>
            <w:r w:rsidR="00BE3366">
              <w:rPr>
                <w:webHidden/>
              </w:rPr>
              <w:fldChar w:fldCharType="begin"/>
            </w:r>
            <w:r w:rsidR="00BE3366">
              <w:rPr>
                <w:webHidden/>
              </w:rPr>
              <w:instrText xml:space="preserve"> PAGEREF _Toc11758011 \h </w:instrText>
            </w:r>
            <w:r w:rsidR="00BE3366">
              <w:rPr>
                <w:webHidden/>
              </w:rPr>
            </w:r>
            <w:r w:rsidR="00BE3366">
              <w:rPr>
                <w:webHidden/>
              </w:rPr>
              <w:fldChar w:fldCharType="separate"/>
            </w:r>
            <w:r w:rsidR="00BE3366">
              <w:rPr>
                <w:webHidden/>
              </w:rPr>
              <w:t>31</w:t>
            </w:r>
            <w:r w:rsidR="00BE3366">
              <w:rPr>
                <w:webHidden/>
              </w:rPr>
              <w:fldChar w:fldCharType="end"/>
            </w:r>
          </w:hyperlink>
        </w:p>
        <w:p w14:paraId="55E5E60B" w14:textId="188D86D3" w:rsidR="00BE3366" w:rsidRDefault="006A47DB">
          <w:pPr>
            <w:pStyle w:val="Turinys3"/>
            <w:tabs>
              <w:tab w:val="right" w:leader="dot" w:pos="9628"/>
            </w:tabs>
            <w:rPr>
              <w:rFonts w:asciiTheme="minorHAnsi" w:eastAsiaTheme="minorEastAsia" w:hAnsiTheme="minorHAnsi" w:cstheme="minorBidi"/>
              <w:noProof/>
              <w:lang w:eastAsia="lt-LT"/>
            </w:rPr>
          </w:pPr>
          <w:hyperlink w:anchor="_Toc11758012" w:history="1">
            <w:r w:rsidR="00BE3366" w:rsidRPr="00533FC0">
              <w:rPr>
                <w:rStyle w:val="Hipersaitas"/>
                <w:rFonts w:cstheme="minorHAnsi"/>
                <w:noProof/>
              </w:rPr>
              <w:t>Dėl Direktyvos 95/46 3 straipsnio aiškinimo</w:t>
            </w:r>
            <w:r w:rsidR="00BE3366">
              <w:rPr>
                <w:noProof/>
                <w:webHidden/>
              </w:rPr>
              <w:tab/>
            </w:r>
            <w:r w:rsidR="00BE3366">
              <w:rPr>
                <w:noProof/>
                <w:webHidden/>
              </w:rPr>
              <w:fldChar w:fldCharType="begin"/>
            </w:r>
            <w:r w:rsidR="00BE3366">
              <w:rPr>
                <w:noProof/>
                <w:webHidden/>
              </w:rPr>
              <w:instrText xml:space="preserve"> PAGEREF _Toc11758012 \h </w:instrText>
            </w:r>
            <w:r w:rsidR="00BE3366">
              <w:rPr>
                <w:noProof/>
                <w:webHidden/>
              </w:rPr>
            </w:r>
            <w:r w:rsidR="00BE3366">
              <w:rPr>
                <w:noProof/>
                <w:webHidden/>
              </w:rPr>
              <w:fldChar w:fldCharType="separate"/>
            </w:r>
            <w:r w:rsidR="00BE3366">
              <w:rPr>
                <w:noProof/>
                <w:webHidden/>
              </w:rPr>
              <w:t>31</w:t>
            </w:r>
            <w:r w:rsidR="00BE3366">
              <w:rPr>
                <w:noProof/>
                <w:webHidden/>
              </w:rPr>
              <w:fldChar w:fldCharType="end"/>
            </w:r>
          </w:hyperlink>
        </w:p>
        <w:p w14:paraId="6FB7268F" w14:textId="69A3F8BF" w:rsidR="00BE3366" w:rsidRDefault="006A47DB">
          <w:pPr>
            <w:pStyle w:val="Turinys3"/>
            <w:tabs>
              <w:tab w:val="right" w:leader="dot" w:pos="9628"/>
            </w:tabs>
            <w:rPr>
              <w:rFonts w:asciiTheme="minorHAnsi" w:eastAsiaTheme="minorEastAsia" w:hAnsiTheme="minorHAnsi" w:cstheme="minorBidi"/>
              <w:noProof/>
              <w:lang w:eastAsia="lt-LT"/>
            </w:rPr>
          </w:pPr>
          <w:hyperlink w:anchor="_Toc11758013" w:history="1">
            <w:r w:rsidR="00BE3366" w:rsidRPr="00533FC0">
              <w:rPr>
                <w:rStyle w:val="Hipersaitas"/>
                <w:rFonts w:cstheme="minorHAnsi"/>
                <w:noProof/>
              </w:rPr>
              <w:t>Dėl Direktyvos 95/46 9 straipsnio aiškinimo</w:t>
            </w:r>
            <w:r w:rsidR="00BE3366">
              <w:rPr>
                <w:noProof/>
                <w:webHidden/>
              </w:rPr>
              <w:tab/>
            </w:r>
            <w:r w:rsidR="00BE3366">
              <w:rPr>
                <w:noProof/>
                <w:webHidden/>
              </w:rPr>
              <w:fldChar w:fldCharType="begin"/>
            </w:r>
            <w:r w:rsidR="00BE3366">
              <w:rPr>
                <w:noProof/>
                <w:webHidden/>
              </w:rPr>
              <w:instrText xml:space="preserve"> PAGEREF _Toc11758013 \h </w:instrText>
            </w:r>
            <w:r w:rsidR="00BE3366">
              <w:rPr>
                <w:noProof/>
                <w:webHidden/>
              </w:rPr>
            </w:r>
            <w:r w:rsidR="00BE3366">
              <w:rPr>
                <w:noProof/>
                <w:webHidden/>
              </w:rPr>
              <w:fldChar w:fldCharType="separate"/>
            </w:r>
            <w:r w:rsidR="00BE3366">
              <w:rPr>
                <w:noProof/>
                <w:webHidden/>
              </w:rPr>
              <w:t>32</w:t>
            </w:r>
            <w:r w:rsidR="00BE3366">
              <w:rPr>
                <w:noProof/>
                <w:webHidden/>
              </w:rPr>
              <w:fldChar w:fldCharType="end"/>
            </w:r>
          </w:hyperlink>
        </w:p>
        <w:p w14:paraId="604F31BC" w14:textId="1B7B62E8" w:rsidR="00BE3366" w:rsidRDefault="006A47DB">
          <w:pPr>
            <w:pStyle w:val="Turinys1"/>
            <w:rPr>
              <w:rFonts w:asciiTheme="minorHAnsi" w:eastAsiaTheme="minorEastAsia" w:hAnsiTheme="minorHAnsi" w:cstheme="minorBidi"/>
              <w:b w:val="0"/>
              <w:bCs w:val="0"/>
              <w:color w:val="auto"/>
              <w:kern w:val="0"/>
            </w:rPr>
          </w:pPr>
          <w:hyperlink w:anchor="_Toc11758014" w:history="1">
            <w:r w:rsidR="00BE3366" w:rsidRPr="00533FC0">
              <w:rPr>
                <w:rStyle w:val="Hipersaitas"/>
                <w:rFonts w:cstheme="minorHAnsi"/>
              </w:rPr>
              <w:t>SĄJUNGOS PILIETYBĖ</w:t>
            </w:r>
            <w:r w:rsidR="00BE3366">
              <w:rPr>
                <w:webHidden/>
              </w:rPr>
              <w:tab/>
            </w:r>
            <w:r w:rsidR="00BE3366">
              <w:rPr>
                <w:webHidden/>
              </w:rPr>
              <w:fldChar w:fldCharType="begin"/>
            </w:r>
            <w:r w:rsidR="00BE3366">
              <w:rPr>
                <w:webHidden/>
              </w:rPr>
              <w:instrText xml:space="preserve"> PAGEREF _Toc11758014 \h </w:instrText>
            </w:r>
            <w:r w:rsidR="00BE3366">
              <w:rPr>
                <w:webHidden/>
              </w:rPr>
            </w:r>
            <w:r w:rsidR="00BE3366">
              <w:rPr>
                <w:webHidden/>
              </w:rPr>
              <w:fldChar w:fldCharType="separate"/>
            </w:r>
            <w:r w:rsidR="00BE3366">
              <w:rPr>
                <w:webHidden/>
              </w:rPr>
              <w:t>33</w:t>
            </w:r>
            <w:r w:rsidR="00BE3366">
              <w:rPr>
                <w:webHidden/>
              </w:rPr>
              <w:fldChar w:fldCharType="end"/>
            </w:r>
          </w:hyperlink>
        </w:p>
        <w:p w14:paraId="5933E7D1" w14:textId="2409DD12" w:rsidR="00BE3366" w:rsidRDefault="006A47DB">
          <w:pPr>
            <w:pStyle w:val="Turinys1"/>
            <w:rPr>
              <w:rFonts w:asciiTheme="minorHAnsi" w:eastAsiaTheme="minorEastAsia" w:hAnsiTheme="minorHAnsi" w:cstheme="minorBidi"/>
              <w:b w:val="0"/>
              <w:bCs w:val="0"/>
              <w:color w:val="auto"/>
              <w:kern w:val="0"/>
            </w:rPr>
          </w:pPr>
          <w:hyperlink w:anchor="_Toc11758015" w:history="1">
            <w:r w:rsidR="00BE3366" w:rsidRPr="00533FC0">
              <w:rPr>
                <w:rStyle w:val="Hipersaitas"/>
                <w:rFonts w:cstheme="minorHAnsi"/>
                <w:iCs/>
              </w:rPr>
              <w:t>2019 m. kovo 12 d. didžiosios kolegijos prejudicinis sprendimas byloje C-221/17</w:t>
            </w:r>
            <w:r w:rsidR="00BE3366">
              <w:rPr>
                <w:webHidden/>
              </w:rPr>
              <w:tab/>
            </w:r>
            <w:r w:rsidR="00BE3366">
              <w:rPr>
                <w:webHidden/>
              </w:rPr>
              <w:fldChar w:fldCharType="begin"/>
            </w:r>
            <w:r w:rsidR="00BE3366">
              <w:rPr>
                <w:webHidden/>
              </w:rPr>
              <w:instrText xml:space="preserve"> PAGEREF _Toc11758015 \h </w:instrText>
            </w:r>
            <w:r w:rsidR="00BE3366">
              <w:rPr>
                <w:webHidden/>
              </w:rPr>
            </w:r>
            <w:r w:rsidR="00BE3366">
              <w:rPr>
                <w:webHidden/>
              </w:rPr>
              <w:fldChar w:fldCharType="separate"/>
            </w:r>
            <w:r w:rsidR="00BE3366">
              <w:rPr>
                <w:webHidden/>
              </w:rPr>
              <w:t>33</w:t>
            </w:r>
            <w:r w:rsidR="00BE3366">
              <w:rPr>
                <w:webHidden/>
              </w:rPr>
              <w:fldChar w:fldCharType="end"/>
            </w:r>
          </w:hyperlink>
        </w:p>
        <w:p w14:paraId="375113B2" w14:textId="2C3B7835" w:rsidR="00BE3366" w:rsidRDefault="006A47DB">
          <w:pPr>
            <w:pStyle w:val="Turinys2"/>
            <w:rPr>
              <w:rFonts w:asciiTheme="minorHAnsi" w:eastAsiaTheme="minorEastAsia" w:hAnsiTheme="minorHAnsi" w:cstheme="minorBidi"/>
              <w:b w:val="0"/>
              <w:color w:val="auto"/>
              <w:lang w:eastAsia="lt-LT"/>
            </w:rPr>
          </w:pPr>
          <w:hyperlink w:anchor="_Toc11758016" w:history="1">
            <w:r w:rsidR="00BE3366" w:rsidRPr="00533FC0">
              <w:rPr>
                <w:rStyle w:val="Hipersaitas"/>
              </w:rPr>
              <w:t>Dėl pilietybės netekimo pasekmių proporcingumo vertinimo</w:t>
            </w:r>
            <w:r w:rsidR="00BE3366">
              <w:rPr>
                <w:webHidden/>
              </w:rPr>
              <w:tab/>
            </w:r>
            <w:r w:rsidR="00BE3366">
              <w:rPr>
                <w:webHidden/>
              </w:rPr>
              <w:fldChar w:fldCharType="begin"/>
            </w:r>
            <w:r w:rsidR="00BE3366">
              <w:rPr>
                <w:webHidden/>
              </w:rPr>
              <w:instrText xml:space="preserve"> PAGEREF _Toc11758016 \h </w:instrText>
            </w:r>
            <w:r w:rsidR="00BE3366">
              <w:rPr>
                <w:webHidden/>
              </w:rPr>
            </w:r>
            <w:r w:rsidR="00BE3366">
              <w:rPr>
                <w:webHidden/>
              </w:rPr>
              <w:fldChar w:fldCharType="separate"/>
            </w:r>
            <w:r w:rsidR="00BE3366">
              <w:rPr>
                <w:webHidden/>
              </w:rPr>
              <w:t>34</w:t>
            </w:r>
            <w:r w:rsidR="00BE3366">
              <w:rPr>
                <w:webHidden/>
              </w:rPr>
              <w:fldChar w:fldCharType="end"/>
            </w:r>
          </w:hyperlink>
        </w:p>
        <w:p w14:paraId="3C6D542E" w14:textId="4823CFA0" w:rsidR="00BE3366" w:rsidRDefault="006A47DB">
          <w:pPr>
            <w:pStyle w:val="Turinys1"/>
            <w:rPr>
              <w:rFonts w:asciiTheme="minorHAnsi" w:eastAsiaTheme="minorEastAsia" w:hAnsiTheme="minorHAnsi" w:cstheme="minorBidi"/>
              <w:b w:val="0"/>
              <w:bCs w:val="0"/>
              <w:color w:val="auto"/>
              <w:kern w:val="0"/>
            </w:rPr>
          </w:pPr>
          <w:hyperlink w:anchor="_Toc11758017" w:history="1">
            <w:r w:rsidR="00BE3366" w:rsidRPr="00533FC0">
              <w:rPr>
                <w:rStyle w:val="Hipersaitas"/>
                <w:rFonts w:cstheme="minorHAnsi"/>
              </w:rPr>
              <w:t>EKONOMINĖ IR PINIGŲ SĄJUNGA</w:t>
            </w:r>
            <w:r w:rsidR="00BE3366">
              <w:rPr>
                <w:webHidden/>
              </w:rPr>
              <w:tab/>
            </w:r>
            <w:r w:rsidR="00BE3366">
              <w:rPr>
                <w:webHidden/>
              </w:rPr>
              <w:fldChar w:fldCharType="begin"/>
            </w:r>
            <w:r w:rsidR="00BE3366">
              <w:rPr>
                <w:webHidden/>
              </w:rPr>
              <w:instrText xml:space="preserve"> PAGEREF _Toc11758017 \h </w:instrText>
            </w:r>
            <w:r w:rsidR="00BE3366">
              <w:rPr>
                <w:webHidden/>
              </w:rPr>
            </w:r>
            <w:r w:rsidR="00BE3366">
              <w:rPr>
                <w:webHidden/>
              </w:rPr>
              <w:fldChar w:fldCharType="separate"/>
            </w:r>
            <w:r w:rsidR="00BE3366">
              <w:rPr>
                <w:webHidden/>
              </w:rPr>
              <w:t>36</w:t>
            </w:r>
            <w:r w:rsidR="00BE3366">
              <w:rPr>
                <w:webHidden/>
              </w:rPr>
              <w:fldChar w:fldCharType="end"/>
            </w:r>
          </w:hyperlink>
        </w:p>
        <w:p w14:paraId="49432B3F" w14:textId="72D98880" w:rsidR="00BE3366" w:rsidRDefault="006A47DB">
          <w:pPr>
            <w:pStyle w:val="Turinys1"/>
            <w:rPr>
              <w:rFonts w:asciiTheme="minorHAnsi" w:eastAsiaTheme="minorEastAsia" w:hAnsiTheme="minorHAnsi" w:cstheme="minorBidi"/>
              <w:b w:val="0"/>
              <w:bCs w:val="0"/>
              <w:color w:val="auto"/>
              <w:kern w:val="0"/>
            </w:rPr>
          </w:pPr>
          <w:hyperlink w:anchor="_Toc11758018" w:history="1">
            <w:r w:rsidR="00BE3366" w:rsidRPr="00533FC0">
              <w:rPr>
                <w:rStyle w:val="Hipersaitas"/>
                <w:rFonts w:cstheme="minorHAnsi"/>
                <w:iCs/>
              </w:rPr>
              <w:t>2019 m. vasario 6 d. didžiosios kolegijos prejudicinis sprendimas sujungtose bylose C-202/18 ir C-238/18</w:t>
            </w:r>
            <w:r w:rsidR="00BE3366">
              <w:rPr>
                <w:webHidden/>
              </w:rPr>
              <w:tab/>
            </w:r>
            <w:r w:rsidR="00BE3366">
              <w:rPr>
                <w:webHidden/>
              </w:rPr>
              <w:fldChar w:fldCharType="begin"/>
            </w:r>
            <w:r w:rsidR="00BE3366">
              <w:rPr>
                <w:webHidden/>
              </w:rPr>
              <w:instrText xml:space="preserve"> PAGEREF _Toc11758018 \h </w:instrText>
            </w:r>
            <w:r w:rsidR="00BE3366">
              <w:rPr>
                <w:webHidden/>
              </w:rPr>
            </w:r>
            <w:r w:rsidR="00BE3366">
              <w:rPr>
                <w:webHidden/>
              </w:rPr>
              <w:fldChar w:fldCharType="separate"/>
            </w:r>
            <w:r w:rsidR="00BE3366">
              <w:rPr>
                <w:webHidden/>
              </w:rPr>
              <w:t>36</w:t>
            </w:r>
            <w:r w:rsidR="00BE3366">
              <w:rPr>
                <w:webHidden/>
              </w:rPr>
              <w:fldChar w:fldCharType="end"/>
            </w:r>
          </w:hyperlink>
        </w:p>
        <w:p w14:paraId="30DEF51E" w14:textId="664DF47E" w:rsidR="00BE3366" w:rsidRDefault="006A47DB">
          <w:pPr>
            <w:pStyle w:val="Turinys2"/>
            <w:rPr>
              <w:rFonts w:asciiTheme="minorHAnsi" w:eastAsiaTheme="minorEastAsia" w:hAnsiTheme="minorHAnsi" w:cstheme="minorBidi"/>
              <w:b w:val="0"/>
              <w:color w:val="auto"/>
              <w:lang w:eastAsia="lt-LT"/>
            </w:rPr>
          </w:pPr>
          <w:hyperlink w:anchor="_Toc11758019" w:history="1">
            <w:r w:rsidR="00BE3366" w:rsidRPr="00533FC0">
              <w:rPr>
                <w:rStyle w:val="Hipersaitas"/>
              </w:rPr>
              <w:t>Dėl Teisingumo Teismo jurisdikcijos</w:t>
            </w:r>
            <w:r w:rsidR="00BE3366">
              <w:rPr>
                <w:webHidden/>
              </w:rPr>
              <w:tab/>
            </w:r>
            <w:r w:rsidR="00BE3366">
              <w:rPr>
                <w:webHidden/>
              </w:rPr>
              <w:fldChar w:fldCharType="begin"/>
            </w:r>
            <w:r w:rsidR="00BE3366">
              <w:rPr>
                <w:webHidden/>
              </w:rPr>
              <w:instrText xml:space="preserve"> PAGEREF _Toc11758019 \h </w:instrText>
            </w:r>
            <w:r w:rsidR="00BE3366">
              <w:rPr>
                <w:webHidden/>
              </w:rPr>
            </w:r>
            <w:r w:rsidR="00BE3366">
              <w:rPr>
                <w:webHidden/>
              </w:rPr>
              <w:fldChar w:fldCharType="separate"/>
            </w:r>
            <w:r w:rsidR="00BE3366">
              <w:rPr>
                <w:webHidden/>
              </w:rPr>
              <w:t>37</w:t>
            </w:r>
            <w:r w:rsidR="00BE3366">
              <w:rPr>
                <w:webHidden/>
              </w:rPr>
              <w:fldChar w:fldCharType="end"/>
            </w:r>
          </w:hyperlink>
        </w:p>
        <w:p w14:paraId="746E4295" w14:textId="1A40BEF4" w:rsidR="00BE3366" w:rsidRDefault="006A47DB">
          <w:pPr>
            <w:pStyle w:val="Turinys2"/>
            <w:rPr>
              <w:rFonts w:asciiTheme="minorHAnsi" w:eastAsiaTheme="minorEastAsia" w:hAnsiTheme="minorHAnsi" w:cstheme="minorBidi"/>
              <w:b w:val="0"/>
              <w:color w:val="auto"/>
              <w:lang w:eastAsia="lt-LT"/>
            </w:rPr>
          </w:pPr>
          <w:hyperlink w:anchor="_Toc11758020" w:history="1">
            <w:r w:rsidR="00BE3366" w:rsidRPr="00533FC0">
              <w:rPr>
                <w:rStyle w:val="Hipersaitas"/>
              </w:rPr>
              <w:t>Dėl ieškinių pobūdžio</w:t>
            </w:r>
            <w:r w:rsidR="00BE3366">
              <w:rPr>
                <w:webHidden/>
              </w:rPr>
              <w:tab/>
            </w:r>
            <w:r w:rsidR="00BE3366">
              <w:rPr>
                <w:webHidden/>
              </w:rPr>
              <w:fldChar w:fldCharType="begin"/>
            </w:r>
            <w:r w:rsidR="00BE3366">
              <w:rPr>
                <w:webHidden/>
              </w:rPr>
              <w:instrText xml:space="preserve"> PAGEREF _Toc11758020 \h </w:instrText>
            </w:r>
            <w:r w:rsidR="00BE3366">
              <w:rPr>
                <w:webHidden/>
              </w:rPr>
            </w:r>
            <w:r w:rsidR="00BE3366">
              <w:rPr>
                <w:webHidden/>
              </w:rPr>
              <w:fldChar w:fldCharType="separate"/>
            </w:r>
            <w:r w:rsidR="00BE3366">
              <w:rPr>
                <w:webHidden/>
              </w:rPr>
              <w:t>38</w:t>
            </w:r>
            <w:r w:rsidR="00BE3366">
              <w:rPr>
                <w:webHidden/>
              </w:rPr>
              <w:fldChar w:fldCharType="end"/>
            </w:r>
          </w:hyperlink>
        </w:p>
        <w:p w14:paraId="44FD414B" w14:textId="25D5D478" w:rsidR="00BE3366" w:rsidRDefault="006A47DB">
          <w:pPr>
            <w:pStyle w:val="Turinys2"/>
            <w:rPr>
              <w:rFonts w:asciiTheme="minorHAnsi" w:eastAsiaTheme="minorEastAsia" w:hAnsiTheme="minorHAnsi" w:cstheme="minorBidi"/>
              <w:b w:val="0"/>
              <w:color w:val="auto"/>
              <w:lang w:eastAsia="lt-LT"/>
            </w:rPr>
          </w:pPr>
          <w:hyperlink w:anchor="_Toc11758021" w:history="1">
            <w:r w:rsidR="00BE3366" w:rsidRPr="00533FC0">
              <w:rPr>
                <w:rStyle w:val="Hipersaitas"/>
              </w:rPr>
              <w:t>Dėl ieškinio pagrindo, siejamo su ginčijamo sprendimo nepagrindimu</w:t>
            </w:r>
            <w:r w:rsidR="00BE3366">
              <w:rPr>
                <w:webHidden/>
              </w:rPr>
              <w:tab/>
            </w:r>
            <w:r w:rsidR="00BE3366">
              <w:rPr>
                <w:webHidden/>
              </w:rPr>
              <w:fldChar w:fldCharType="begin"/>
            </w:r>
            <w:r w:rsidR="00BE3366">
              <w:rPr>
                <w:webHidden/>
              </w:rPr>
              <w:instrText xml:space="preserve"> PAGEREF _Toc11758021 \h </w:instrText>
            </w:r>
            <w:r w:rsidR="00BE3366">
              <w:rPr>
                <w:webHidden/>
              </w:rPr>
            </w:r>
            <w:r w:rsidR="00BE3366">
              <w:rPr>
                <w:webHidden/>
              </w:rPr>
              <w:fldChar w:fldCharType="separate"/>
            </w:r>
            <w:r w:rsidR="00BE3366">
              <w:rPr>
                <w:webHidden/>
              </w:rPr>
              <w:t>40</w:t>
            </w:r>
            <w:r w:rsidR="00BE3366">
              <w:rPr>
                <w:webHidden/>
              </w:rPr>
              <w:fldChar w:fldCharType="end"/>
            </w:r>
          </w:hyperlink>
        </w:p>
        <w:p w14:paraId="381B9136" w14:textId="4C88FF80" w:rsidR="00126D28" w:rsidRDefault="00126D28">
          <w:r>
            <w:rPr>
              <w:b/>
              <w:bCs/>
            </w:rPr>
            <w:fldChar w:fldCharType="end"/>
          </w:r>
        </w:p>
      </w:sdtContent>
    </w:sdt>
    <w:p w14:paraId="48ADFA6B" w14:textId="77777777" w:rsidR="000028CD" w:rsidRPr="00986131" w:rsidRDefault="000028CD" w:rsidP="00AD0B10">
      <w:pPr>
        <w:rPr>
          <w:rFonts w:asciiTheme="minorHAnsi" w:hAnsiTheme="minorHAnsi" w:cstheme="minorHAnsi"/>
          <w:b/>
          <w:i/>
          <w:color w:val="44546A" w:themeColor="text2"/>
        </w:rPr>
      </w:pPr>
    </w:p>
    <w:p w14:paraId="556CBAB4" w14:textId="77777777" w:rsidR="00BA64BB" w:rsidRPr="00986131" w:rsidRDefault="00BA64BB" w:rsidP="00AD0B10">
      <w:pPr>
        <w:rPr>
          <w:rFonts w:asciiTheme="minorHAnsi" w:hAnsiTheme="minorHAnsi" w:cstheme="minorHAnsi"/>
          <w:b/>
          <w:i/>
          <w:color w:val="44546A" w:themeColor="text2"/>
        </w:rPr>
      </w:pPr>
    </w:p>
    <w:p w14:paraId="47437171" w14:textId="77777777" w:rsidR="00BA64BB" w:rsidRPr="00986131" w:rsidRDefault="00BA64BB" w:rsidP="00AD0B10">
      <w:pPr>
        <w:rPr>
          <w:rFonts w:asciiTheme="minorHAnsi" w:hAnsiTheme="minorHAnsi" w:cstheme="minorHAnsi"/>
          <w:b/>
          <w:i/>
          <w:color w:val="44546A" w:themeColor="text2"/>
        </w:rPr>
      </w:pPr>
    </w:p>
    <w:p w14:paraId="0163E508" w14:textId="77777777" w:rsidR="00BA64BB" w:rsidRPr="00986131" w:rsidRDefault="00BA64BB" w:rsidP="00AD0B10">
      <w:pPr>
        <w:rPr>
          <w:rFonts w:asciiTheme="minorHAnsi" w:hAnsiTheme="minorHAnsi" w:cstheme="minorHAnsi"/>
          <w:b/>
          <w:i/>
          <w:color w:val="44546A" w:themeColor="text2"/>
        </w:rPr>
      </w:pPr>
    </w:p>
    <w:p w14:paraId="70560360" w14:textId="27B197F7" w:rsidR="000028CD" w:rsidRPr="00986131" w:rsidRDefault="000028CD" w:rsidP="00AD0B10">
      <w:pPr>
        <w:rPr>
          <w:rFonts w:asciiTheme="minorHAnsi" w:hAnsiTheme="minorHAnsi" w:cstheme="minorHAnsi"/>
          <w:b/>
        </w:rPr>
      </w:pPr>
      <w:r w:rsidRPr="00986131">
        <w:rPr>
          <w:rFonts w:asciiTheme="minorHAnsi" w:hAnsiTheme="minorHAnsi" w:cstheme="minorHAnsi"/>
          <w:b/>
          <w:i/>
          <w:color w:val="44546A" w:themeColor="text2"/>
        </w:rPr>
        <w:t>Pastaba.</w:t>
      </w:r>
      <w:r w:rsidRPr="00986131">
        <w:rPr>
          <w:rFonts w:asciiTheme="minorHAnsi" w:hAnsiTheme="minorHAnsi" w:cstheme="minorHAnsi"/>
          <w:i/>
        </w:rPr>
        <w:t xml:space="preserve"> Šioje apžvalgoje pateikiamos neoficialios Europos Sąjungos Teisingumo Teismo (toliau – ir Teisingumo Teismas, ESTT) procesinių sprendimų santraukos. Šis dokumentas yra skirtas tik inform</w:t>
      </w:r>
      <w:r w:rsidR="001C6C3E">
        <w:rPr>
          <w:rFonts w:asciiTheme="minorHAnsi" w:hAnsiTheme="minorHAnsi" w:cstheme="minorHAnsi"/>
          <w:i/>
        </w:rPr>
        <w:t>uoti</w:t>
      </w:r>
      <w:r w:rsidRPr="00986131">
        <w:rPr>
          <w:rFonts w:asciiTheme="minorHAnsi" w:hAnsiTheme="minorHAnsi" w:cstheme="minorHAnsi"/>
          <w:i/>
        </w:rPr>
        <w:t xml:space="preserve"> ir Lietuvos vyriausiasis administracinis teismas neprisiima atsakomybės už šių procesinių dokumentų vertimus. Oficialius ir išsamius sprendimų tekstus galite rasti Europos Sąjungos Teisingumo Teismo interneto svetainėje </w:t>
      </w:r>
      <w:hyperlink r:id="rId9" w:history="1">
        <w:r w:rsidRPr="00986131">
          <w:rPr>
            <w:rStyle w:val="Hipersaitas"/>
            <w:rFonts w:asciiTheme="minorHAnsi" w:hAnsiTheme="minorHAnsi" w:cstheme="minorHAnsi"/>
            <w:i/>
            <w:color w:val="44546A" w:themeColor="text2"/>
          </w:rPr>
          <w:t>http://curia.europa.eu/</w:t>
        </w:r>
      </w:hyperlink>
      <w:r w:rsidRPr="00986131">
        <w:rPr>
          <w:rFonts w:asciiTheme="minorHAnsi" w:hAnsiTheme="minorHAnsi" w:cstheme="minorHAnsi"/>
          <w:i/>
        </w:rPr>
        <w:t xml:space="preserve"> ir Europos Sąjungos teisės interneto svetainėje </w:t>
      </w:r>
      <w:hyperlink r:id="rId10" w:history="1">
        <w:r w:rsidRPr="00986131">
          <w:rPr>
            <w:rStyle w:val="Hipersaitas"/>
            <w:rFonts w:asciiTheme="minorHAnsi" w:hAnsiTheme="minorHAnsi" w:cstheme="minorHAnsi"/>
            <w:i/>
            <w:color w:val="44546A" w:themeColor="text2"/>
          </w:rPr>
          <w:t>http://eur-lex.europa.eu/</w:t>
        </w:r>
      </w:hyperlink>
      <w:r w:rsidRPr="00986131">
        <w:rPr>
          <w:rFonts w:asciiTheme="minorHAnsi" w:hAnsiTheme="minorHAnsi" w:cstheme="minorHAnsi"/>
          <w:i/>
          <w:color w:val="44546A" w:themeColor="text2"/>
        </w:rPr>
        <w:t>.</w:t>
      </w:r>
    </w:p>
    <w:p w14:paraId="2ECC5ECE" w14:textId="77777777" w:rsidR="000028CD" w:rsidRPr="00986131" w:rsidRDefault="000028CD" w:rsidP="00AD0B10">
      <w:pPr>
        <w:jc w:val="left"/>
        <w:rPr>
          <w:rFonts w:asciiTheme="minorHAnsi" w:hAnsiTheme="minorHAnsi" w:cstheme="minorHAnsi"/>
          <w:b/>
        </w:rPr>
      </w:pPr>
      <w:r w:rsidRPr="00986131">
        <w:rPr>
          <w:rFonts w:asciiTheme="minorHAnsi" w:hAnsiTheme="minorHAnsi" w:cstheme="minorHAnsi"/>
          <w:b/>
        </w:rPr>
        <w:br w:type="page"/>
      </w:r>
      <w:bookmarkStart w:id="0" w:name="_GoBack"/>
      <w:bookmarkEnd w:id="0"/>
    </w:p>
    <w:p w14:paraId="715DDDA0" w14:textId="31D70544" w:rsidR="00E466E7" w:rsidRPr="00986131" w:rsidRDefault="00E466E7" w:rsidP="00E466E7">
      <w:pPr>
        <w:pStyle w:val="Antrat1"/>
        <w:keepLines w:val="0"/>
        <w:tabs>
          <w:tab w:val="right" w:leader="dot" w:pos="9639"/>
        </w:tabs>
        <w:spacing w:before="0"/>
        <w:rPr>
          <w:rFonts w:eastAsia="Times New Roman" w:cstheme="minorHAnsi"/>
          <w:bCs/>
          <w:kern w:val="32"/>
          <w:szCs w:val="22"/>
          <w:lang w:eastAsia="lt-LT"/>
        </w:rPr>
      </w:pPr>
      <w:bookmarkStart w:id="1" w:name="_Toc11232448"/>
      <w:bookmarkStart w:id="2" w:name="_Toc11232739"/>
      <w:bookmarkStart w:id="3" w:name="_Toc11757975"/>
      <w:bookmarkStart w:id="4" w:name="_Toc497144232"/>
      <w:r w:rsidRPr="00986131">
        <w:rPr>
          <w:rFonts w:eastAsia="Times New Roman" w:cstheme="minorHAnsi"/>
          <w:bCs/>
          <w:kern w:val="32"/>
          <w:szCs w:val="22"/>
          <w:lang w:eastAsia="lt-LT"/>
        </w:rPr>
        <w:lastRenderedPageBreak/>
        <w:t>UŽSIENIEČIŲ TEISINĖ PADĖTIS</w:t>
      </w:r>
      <w:bookmarkEnd w:id="1"/>
      <w:bookmarkEnd w:id="2"/>
      <w:bookmarkEnd w:id="3"/>
      <w:r w:rsidRPr="00986131">
        <w:rPr>
          <w:rFonts w:eastAsia="Times New Roman" w:cstheme="minorHAnsi"/>
          <w:bCs/>
          <w:kern w:val="32"/>
          <w:szCs w:val="22"/>
          <w:lang w:eastAsia="lt-LT"/>
        </w:rPr>
        <w:t xml:space="preserve"> </w:t>
      </w:r>
    </w:p>
    <w:p w14:paraId="1FDC9C04" w14:textId="77777777" w:rsidR="0047132C" w:rsidRPr="00986131" w:rsidRDefault="0047132C" w:rsidP="0047132C">
      <w:pPr>
        <w:rPr>
          <w:lang w:eastAsia="lt-LT"/>
        </w:rPr>
      </w:pPr>
    </w:p>
    <w:p w14:paraId="30579A67" w14:textId="3DC82320" w:rsidR="0047132C" w:rsidRPr="00986131" w:rsidRDefault="0047132C" w:rsidP="0047132C">
      <w:pPr>
        <w:pStyle w:val="Antrat2"/>
        <w:rPr>
          <w:rFonts w:cstheme="minorHAnsi"/>
          <w:szCs w:val="22"/>
        </w:rPr>
      </w:pPr>
      <w:bookmarkStart w:id="5" w:name="_Toc456193188"/>
      <w:bookmarkStart w:id="6" w:name="_Toc517273014"/>
      <w:bookmarkStart w:id="7" w:name="_Toc11232449"/>
      <w:bookmarkStart w:id="8" w:name="_Toc11232740"/>
      <w:bookmarkStart w:id="9" w:name="_Toc11757976"/>
      <w:r w:rsidRPr="00986131">
        <w:rPr>
          <w:rFonts w:cstheme="minorHAnsi"/>
          <w:szCs w:val="22"/>
        </w:rPr>
        <w:t xml:space="preserve">2019 m. kovo 19 d. didžiosios kolegijos </w:t>
      </w:r>
      <w:proofErr w:type="spellStart"/>
      <w:r w:rsidRPr="00986131">
        <w:rPr>
          <w:rFonts w:cstheme="minorHAnsi"/>
          <w:szCs w:val="22"/>
        </w:rPr>
        <w:t>prejudicinis</w:t>
      </w:r>
      <w:proofErr w:type="spellEnd"/>
      <w:r w:rsidRPr="00986131">
        <w:rPr>
          <w:rFonts w:cstheme="minorHAnsi"/>
          <w:szCs w:val="22"/>
        </w:rPr>
        <w:t xml:space="preserve"> sprendimas byloje </w:t>
      </w:r>
      <w:bookmarkEnd w:id="5"/>
      <w:r w:rsidRPr="00986131">
        <w:rPr>
          <w:rFonts w:cstheme="minorHAnsi"/>
          <w:szCs w:val="22"/>
        </w:rPr>
        <w:t>C</w:t>
      </w:r>
      <w:r w:rsidRPr="00986131">
        <w:rPr>
          <w:rFonts w:cstheme="minorHAnsi"/>
          <w:szCs w:val="22"/>
        </w:rPr>
        <w:noBreakHyphen/>
        <w:t>163/1</w:t>
      </w:r>
      <w:bookmarkEnd w:id="6"/>
      <w:r w:rsidRPr="00986131">
        <w:rPr>
          <w:rFonts w:cstheme="minorHAnsi"/>
          <w:szCs w:val="22"/>
        </w:rPr>
        <w:t>7</w:t>
      </w:r>
      <w:bookmarkEnd w:id="7"/>
      <w:bookmarkEnd w:id="8"/>
      <w:bookmarkEnd w:id="9"/>
    </w:p>
    <w:p w14:paraId="2BCB1FE9" w14:textId="77777777" w:rsidR="0047132C" w:rsidRPr="00986131" w:rsidRDefault="0047132C" w:rsidP="0047132C">
      <w:pPr>
        <w:jc w:val="center"/>
        <w:rPr>
          <w:rFonts w:asciiTheme="minorHAnsi" w:hAnsiTheme="minorHAnsi" w:cstheme="minorHAnsi"/>
          <w:b/>
          <w:bCs/>
          <w:i/>
          <w:shd w:val="clear" w:color="auto" w:fill="FFFFFF"/>
        </w:rPr>
      </w:pPr>
      <w:proofErr w:type="spellStart"/>
      <w:r w:rsidRPr="00986131">
        <w:rPr>
          <w:rFonts w:asciiTheme="minorHAnsi" w:hAnsiTheme="minorHAnsi" w:cstheme="minorHAnsi"/>
          <w:b/>
          <w:bCs/>
          <w:i/>
          <w:shd w:val="clear" w:color="auto" w:fill="FFFFFF"/>
        </w:rPr>
        <w:t>Abubacarr</w:t>
      </w:r>
      <w:proofErr w:type="spellEnd"/>
      <w:r w:rsidRPr="00986131">
        <w:rPr>
          <w:rFonts w:asciiTheme="minorHAnsi" w:hAnsiTheme="minorHAnsi" w:cstheme="minorHAnsi"/>
          <w:b/>
          <w:bCs/>
          <w:i/>
          <w:shd w:val="clear" w:color="auto" w:fill="FFFFFF"/>
        </w:rPr>
        <w:t xml:space="preserve"> </w:t>
      </w:r>
      <w:proofErr w:type="spellStart"/>
      <w:r w:rsidRPr="00986131">
        <w:rPr>
          <w:rFonts w:asciiTheme="minorHAnsi" w:hAnsiTheme="minorHAnsi" w:cstheme="minorHAnsi"/>
          <w:b/>
          <w:bCs/>
          <w:i/>
          <w:shd w:val="clear" w:color="auto" w:fill="FFFFFF"/>
        </w:rPr>
        <w:t>Jawo</w:t>
      </w:r>
      <w:proofErr w:type="spellEnd"/>
      <w:r w:rsidRPr="00986131">
        <w:rPr>
          <w:rFonts w:asciiTheme="minorHAnsi" w:hAnsiTheme="minorHAnsi" w:cstheme="minorHAnsi"/>
          <w:b/>
          <w:bCs/>
          <w:i/>
          <w:shd w:val="clear" w:color="auto" w:fill="FFFFFF"/>
        </w:rPr>
        <w:t xml:space="preserve"> prieš </w:t>
      </w:r>
      <w:proofErr w:type="spellStart"/>
      <w:r w:rsidRPr="00986131">
        <w:rPr>
          <w:rFonts w:asciiTheme="minorHAnsi" w:hAnsiTheme="minorHAnsi" w:cstheme="minorHAnsi"/>
          <w:b/>
          <w:bCs/>
          <w:i/>
          <w:shd w:val="clear" w:color="auto" w:fill="FFFFFF"/>
        </w:rPr>
        <w:t>Bundesrepublik</w:t>
      </w:r>
      <w:proofErr w:type="spellEnd"/>
      <w:r w:rsidRPr="00986131">
        <w:rPr>
          <w:rFonts w:asciiTheme="minorHAnsi" w:hAnsiTheme="minorHAnsi" w:cstheme="minorHAnsi"/>
          <w:b/>
          <w:bCs/>
          <w:i/>
          <w:shd w:val="clear" w:color="auto" w:fill="FFFFFF"/>
        </w:rPr>
        <w:t xml:space="preserve"> </w:t>
      </w:r>
      <w:proofErr w:type="spellStart"/>
      <w:r w:rsidRPr="00986131">
        <w:rPr>
          <w:rFonts w:asciiTheme="minorHAnsi" w:hAnsiTheme="minorHAnsi" w:cstheme="minorHAnsi"/>
          <w:b/>
          <w:bCs/>
          <w:i/>
          <w:shd w:val="clear" w:color="auto" w:fill="FFFFFF"/>
        </w:rPr>
        <w:t>Deutschland</w:t>
      </w:r>
      <w:proofErr w:type="spellEnd"/>
    </w:p>
    <w:p w14:paraId="2A93F3DB" w14:textId="77777777" w:rsidR="0047132C" w:rsidRPr="00986131" w:rsidRDefault="0047132C" w:rsidP="0047132C">
      <w:pPr>
        <w:jc w:val="center"/>
        <w:rPr>
          <w:rFonts w:asciiTheme="minorHAnsi" w:hAnsiTheme="minorHAnsi" w:cstheme="minorHAnsi"/>
          <w:b/>
          <w:bCs/>
          <w:i/>
          <w:shd w:val="clear" w:color="auto" w:fill="FFFFFF"/>
        </w:rPr>
      </w:pPr>
    </w:p>
    <w:p w14:paraId="08FED39B" w14:textId="77777777" w:rsidR="0047132C" w:rsidRPr="00986131" w:rsidRDefault="0047132C" w:rsidP="0047132C">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Prašymas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pateiktas dėl 2013 m. birželio 26 d. Europos Parlamento ir Tarybos reglamento (ES) Nr. 604/2013, kuriuo išdėstomi valstybės narės, atsakingos už trečiosios šalies piliečio arba asmens be pilietybės vienoje iš valstybių narių pateikto tarptautinės apsaugos prašymo nagrinėjimą, nustatymo kriterijai ir mechanizmai (OL L 180, 2013, p. 31; toliau – reglamentas „Dublinas III“), 3 straipsnio 2 dalies ir 29 straipsnio 1 ir 2 dalių bei Europos Sąjungos pagrindinių teisių chartijos (toliau – Chartija) 4 straipsnio išaiškinimo.</w:t>
      </w:r>
    </w:p>
    <w:p w14:paraId="330899E1" w14:textId="77777777" w:rsidR="0047132C" w:rsidRPr="00986131" w:rsidRDefault="0047132C" w:rsidP="0047132C">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Pareiškėjas pagrindinėje byloje A. </w:t>
      </w:r>
      <w:proofErr w:type="spellStart"/>
      <w:r w:rsidRPr="00986131">
        <w:rPr>
          <w:rFonts w:asciiTheme="minorHAnsi" w:hAnsiTheme="minorHAnsi" w:cstheme="minorHAnsi"/>
          <w:sz w:val="22"/>
          <w:szCs w:val="22"/>
        </w:rPr>
        <w:t>Jawo</w:t>
      </w:r>
      <w:proofErr w:type="spellEnd"/>
      <w:r w:rsidRPr="00986131">
        <w:rPr>
          <w:rFonts w:asciiTheme="minorHAnsi" w:hAnsiTheme="minorHAnsi" w:cstheme="minorHAnsi"/>
          <w:sz w:val="22"/>
          <w:szCs w:val="22"/>
        </w:rPr>
        <w:t>, kaip jis pats nurodė, yra Gambijos pilietis. 2012 m. spalio 5 d. jis išvyko iš Gambijos ir jūra atvyko į Italiją, kur pateikė prieglobsčio prašymą. Tačiau vėliau nukeliavo į Vokietiją ir 2014 m. gruodžio 23 d. jis pateikė prašymą suteikti prieglobstį šioje valstybėje narėje (25–26 punktai).</w:t>
      </w:r>
    </w:p>
    <w:p w14:paraId="6C042BE5" w14:textId="77777777" w:rsidR="0047132C" w:rsidRPr="00986131" w:rsidRDefault="0047132C" w:rsidP="0047132C">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Vokietijos Federalinė migracijos ir pabėgėlių tarnyba</w:t>
      </w:r>
      <w:r w:rsidRPr="00986131">
        <w:rPr>
          <w:rFonts w:asciiTheme="minorHAnsi" w:hAnsiTheme="minorHAnsi" w:cstheme="minorHAnsi"/>
          <w:i/>
          <w:iCs/>
          <w:sz w:val="22"/>
          <w:szCs w:val="22"/>
        </w:rPr>
        <w:t xml:space="preserve"> </w:t>
      </w:r>
      <w:r w:rsidRPr="00986131">
        <w:rPr>
          <w:rFonts w:asciiTheme="minorHAnsi" w:hAnsiTheme="minorHAnsi" w:cstheme="minorHAnsi"/>
          <w:iCs/>
          <w:sz w:val="22"/>
          <w:szCs w:val="22"/>
        </w:rPr>
        <w:t xml:space="preserve">(vok. </w:t>
      </w:r>
      <w:proofErr w:type="spellStart"/>
      <w:r w:rsidRPr="00986131">
        <w:rPr>
          <w:rFonts w:asciiTheme="minorHAnsi" w:hAnsiTheme="minorHAnsi" w:cstheme="minorHAnsi"/>
          <w:i/>
          <w:iCs/>
          <w:sz w:val="22"/>
          <w:szCs w:val="22"/>
        </w:rPr>
        <w:t>Bundesamt</w:t>
      </w:r>
      <w:proofErr w:type="spellEnd"/>
      <w:r w:rsidRPr="00986131">
        <w:rPr>
          <w:rFonts w:asciiTheme="minorHAnsi" w:hAnsiTheme="minorHAnsi" w:cstheme="minorHAnsi"/>
          <w:i/>
          <w:iCs/>
          <w:sz w:val="22"/>
          <w:szCs w:val="22"/>
        </w:rPr>
        <w:t xml:space="preserve"> </w:t>
      </w:r>
      <w:proofErr w:type="spellStart"/>
      <w:r w:rsidRPr="00986131">
        <w:rPr>
          <w:rFonts w:asciiTheme="minorHAnsi" w:hAnsiTheme="minorHAnsi" w:cstheme="minorHAnsi"/>
          <w:i/>
          <w:iCs/>
          <w:sz w:val="22"/>
          <w:szCs w:val="22"/>
        </w:rPr>
        <w:t>für</w:t>
      </w:r>
      <w:proofErr w:type="spellEnd"/>
      <w:r w:rsidRPr="00986131">
        <w:rPr>
          <w:rFonts w:asciiTheme="minorHAnsi" w:hAnsiTheme="minorHAnsi" w:cstheme="minorHAnsi"/>
          <w:i/>
          <w:iCs/>
          <w:sz w:val="22"/>
          <w:szCs w:val="22"/>
        </w:rPr>
        <w:t xml:space="preserve"> </w:t>
      </w:r>
      <w:proofErr w:type="spellStart"/>
      <w:r w:rsidRPr="00986131">
        <w:rPr>
          <w:rFonts w:asciiTheme="minorHAnsi" w:hAnsiTheme="minorHAnsi" w:cstheme="minorHAnsi"/>
          <w:i/>
          <w:iCs/>
          <w:sz w:val="22"/>
          <w:szCs w:val="22"/>
        </w:rPr>
        <w:t>Migration</w:t>
      </w:r>
      <w:proofErr w:type="spellEnd"/>
      <w:r w:rsidRPr="00986131">
        <w:rPr>
          <w:rFonts w:asciiTheme="minorHAnsi" w:hAnsiTheme="minorHAnsi" w:cstheme="minorHAnsi"/>
          <w:i/>
          <w:iCs/>
          <w:sz w:val="22"/>
          <w:szCs w:val="22"/>
        </w:rPr>
        <w:t xml:space="preserve"> und </w:t>
      </w:r>
      <w:proofErr w:type="spellStart"/>
      <w:r w:rsidRPr="00986131">
        <w:rPr>
          <w:rFonts w:asciiTheme="minorHAnsi" w:hAnsiTheme="minorHAnsi" w:cstheme="minorHAnsi"/>
          <w:i/>
          <w:iCs/>
          <w:sz w:val="22"/>
          <w:szCs w:val="22"/>
        </w:rPr>
        <w:t>Flüchtlinge</w:t>
      </w:r>
      <w:proofErr w:type="spellEnd"/>
      <w:r w:rsidRPr="00986131">
        <w:rPr>
          <w:rFonts w:asciiTheme="minorHAnsi" w:hAnsiTheme="minorHAnsi" w:cstheme="minorHAnsi"/>
          <w:sz w:val="22"/>
          <w:szCs w:val="22"/>
        </w:rPr>
        <w:t>, toliau – Federalinė tarnyba) pagal duomenų bazės „</w:t>
      </w:r>
      <w:proofErr w:type="spellStart"/>
      <w:r w:rsidRPr="00986131">
        <w:rPr>
          <w:rFonts w:asciiTheme="minorHAnsi" w:hAnsiTheme="minorHAnsi" w:cstheme="minorHAnsi"/>
          <w:sz w:val="22"/>
          <w:szCs w:val="22"/>
        </w:rPr>
        <w:t>Eurodac</w:t>
      </w:r>
      <w:proofErr w:type="spellEnd"/>
      <w:r w:rsidRPr="00986131">
        <w:rPr>
          <w:rFonts w:asciiTheme="minorHAnsi" w:hAnsiTheme="minorHAnsi" w:cstheme="minorHAnsi"/>
          <w:sz w:val="22"/>
          <w:szCs w:val="22"/>
        </w:rPr>
        <w:t xml:space="preserve">“ informaciją nustačiusi, kad A. </w:t>
      </w:r>
      <w:proofErr w:type="spellStart"/>
      <w:r w:rsidRPr="00986131">
        <w:rPr>
          <w:rFonts w:asciiTheme="minorHAnsi" w:hAnsiTheme="minorHAnsi" w:cstheme="minorHAnsi"/>
          <w:sz w:val="22"/>
          <w:szCs w:val="22"/>
        </w:rPr>
        <w:t>Jawo</w:t>
      </w:r>
      <w:proofErr w:type="spellEnd"/>
      <w:r w:rsidRPr="00986131">
        <w:rPr>
          <w:rFonts w:asciiTheme="minorHAnsi" w:hAnsiTheme="minorHAnsi" w:cstheme="minorHAnsi"/>
          <w:sz w:val="22"/>
          <w:szCs w:val="22"/>
        </w:rPr>
        <w:t xml:space="preserve"> Italijoje jau buvo pateikęs prašymą suteikti prieglobstį, 2015 m. sausio 26 d. pateikė Italijos institucijoms prašymą atsiimti suinteresuotąjį asmenį, tačiau Italijos institucijos į šį prašymą neatsakė (27 punktas).</w:t>
      </w:r>
    </w:p>
    <w:p w14:paraId="7714E441" w14:textId="77777777" w:rsidR="0047132C" w:rsidRPr="00986131" w:rsidRDefault="0047132C" w:rsidP="0047132C">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2015 m. vasario 25 d. sprendimu Federalinė tarnyba atmetė A. </w:t>
      </w:r>
      <w:proofErr w:type="spellStart"/>
      <w:r w:rsidRPr="00986131">
        <w:rPr>
          <w:rFonts w:asciiTheme="minorHAnsi" w:hAnsiTheme="minorHAnsi" w:cstheme="minorHAnsi"/>
          <w:sz w:val="22"/>
          <w:szCs w:val="22"/>
        </w:rPr>
        <w:t>Jawo</w:t>
      </w:r>
      <w:proofErr w:type="spellEnd"/>
      <w:r w:rsidRPr="00986131">
        <w:rPr>
          <w:rFonts w:asciiTheme="minorHAnsi" w:hAnsiTheme="minorHAnsi" w:cstheme="minorHAnsi"/>
          <w:sz w:val="22"/>
          <w:szCs w:val="22"/>
        </w:rPr>
        <w:t xml:space="preserve"> prašymą kaip nepriimtiną ir nurodė jį išsiųsti į Italiją. A. </w:t>
      </w:r>
      <w:proofErr w:type="spellStart"/>
      <w:r w:rsidRPr="00986131">
        <w:rPr>
          <w:rFonts w:asciiTheme="minorHAnsi" w:hAnsiTheme="minorHAnsi" w:cstheme="minorHAnsi"/>
          <w:sz w:val="22"/>
          <w:szCs w:val="22"/>
        </w:rPr>
        <w:t>Jawo</w:t>
      </w:r>
      <w:proofErr w:type="spellEnd"/>
      <w:r w:rsidRPr="00986131">
        <w:rPr>
          <w:rFonts w:asciiTheme="minorHAnsi" w:hAnsiTheme="minorHAnsi" w:cstheme="minorHAnsi"/>
          <w:sz w:val="22"/>
          <w:szCs w:val="22"/>
        </w:rPr>
        <w:t xml:space="preserve"> apskundė šį sprendimą </w:t>
      </w:r>
      <w:proofErr w:type="spellStart"/>
      <w:r w:rsidRPr="00986131">
        <w:rPr>
          <w:rFonts w:asciiTheme="minorHAnsi" w:hAnsiTheme="minorHAnsi" w:cstheme="minorHAnsi"/>
          <w:sz w:val="22"/>
          <w:szCs w:val="22"/>
        </w:rPr>
        <w:t>Karlsrūhės</w:t>
      </w:r>
      <w:proofErr w:type="spellEnd"/>
      <w:r w:rsidRPr="00986131">
        <w:rPr>
          <w:rFonts w:asciiTheme="minorHAnsi" w:hAnsiTheme="minorHAnsi" w:cstheme="minorHAnsi"/>
          <w:sz w:val="22"/>
          <w:szCs w:val="22"/>
        </w:rPr>
        <w:t xml:space="preserve"> administraciniam teismui (vok. </w:t>
      </w:r>
      <w:proofErr w:type="spellStart"/>
      <w:r w:rsidRPr="00986131">
        <w:rPr>
          <w:rFonts w:asciiTheme="minorHAnsi" w:hAnsiTheme="minorHAnsi" w:cstheme="minorHAnsi"/>
          <w:i/>
          <w:iCs/>
          <w:sz w:val="22"/>
          <w:szCs w:val="22"/>
        </w:rPr>
        <w:t>Verwaltungsgericht</w:t>
      </w:r>
      <w:proofErr w:type="spellEnd"/>
      <w:r w:rsidRPr="00986131">
        <w:rPr>
          <w:rFonts w:asciiTheme="minorHAnsi" w:hAnsiTheme="minorHAnsi" w:cstheme="minorHAnsi"/>
          <w:i/>
          <w:iCs/>
          <w:sz w:val="22"/>
          <w:szCs w:val="22"/>
        </w:rPr>
        <w:t xml:space="preserve"> </w:t>
      </w:r>
      <w:proofErr w:type="spellStart"/>
      <w:r w:rsidRPr="00986131">
        <w:rPr>
          <w:rFonts w:asciiTheme="minorHAnsi" w:hAnsiTheme="minorHAnsi" w:cstheme="minorHAnsi"/>
          <w:i/>
          <w:iCs/>
          <w:sz w:val="22"/>
          <w:szCs w:val="22"/>
        </w:rPr>
        <w:t>Karlsruhe</w:t>
      </w:r>
      <w:proofErr w:type="spellEnd"/>
      <w:r w:rsidRPr="00986131">
        <w:rPr>
          <w:rFonts w:asciiTheme="minorHAnsi" w:hAnsiTheme="minorHAnsi" w:cstheme="minorHAnsi"/>
          <w:sz w:val="22"/>
          <w:szCs w:val="22"/>
        </w:rPr>
        <w:t>) ir pateikė prašymą taikyti laikinąsias apsaugos priemones, tačiau teismas</w:t>
      </w:r>
      <w:r w:rsidRPr="00986131">
        <w:rPr>
          <w:rFonts w:asciiTheme="minorHAnsi" w:hAnsiTheme="minorHAnsi" w:cstheme="minorHAnsi"/>
          <w:i/>
          <w:iCs/>
          <w:sz w:val="22"/>
          <w:szCs w:val="22"/>
        </w:rPr>
        <w:t xml:space="preserve"> </w:t>
      </w:r>
      <w:r w:rsidRPr="00986131">
        <w:rPr>
          <w:rFonts w:asciiTheme="minorHAnsi" w:hAnsiTheme="minorHAnsi" w:cstheme="minorHAnsi"/>
          <w:sz w:val="22"/>
          <w:szCs w:val="22"/>
        </w:rPr>
        <w:t>atmetė pastarąjį prašymą kaip nepriimtiną, nes jis buvo pateiktas praleidus terminą (28–29 punktai).</w:t>
      </w:r>
    </w:p>
    <w:p w14:paraId="77857963" w14:textId="77777777" w:rsidR="0047132C" w:rsidRPr="00986131" w:rsidRDefault="0047132C" w:rsidP="0047132C">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2015 m. birželio 8 d. A. </w:t>
      </w:r>
      <w:proofErr w:type="spellStart"/>
      <w:r w:rsidRPr="00986131">
        <w:rPr>
          <w:rFonts w:asciiTheme="minorHAnsi" w:hAnsiTheme="minorHAnsi" w:cstheme="minorHAnsi"/>
          <w:sz w:val="22"/>
          <w:szCs w:val="22"/>
        </w:rPr>
        <w:t>Jawo</w:t>
      </w:r>
      <w:proofErr w:type="spellEnd"/>
      <w:r w:rsidRPr="00986131">
        <w:rPr>
          <w:rFonts w:asciiTheme="minorHAnsi" w:hAnsiTheme="minorHAnsi" w:cstheme="minorHAnsi"/>
          <w:sz w:val="22"/>
          <w:szCs w:val="22"/>
        </w:rPr>
        <w:t xml:space="preserve"> turėjo būti perduotas Italijai, bet to padaryti nepavyko, nes jam skirtoje gyvenamojoje patalpoje Heidelbergo (Vokietija) apgyvendinimo centre jo nebuvo. Heidelbergo miesto apgyvendinimo pagalbos tarnyba 2015 m. birželio 16 d. pranešė, kad, atsakingo namo komendanto duomenimis, A. </w:t>
      </w:r>
      <w:proofErr w:type="spellStart"/>
      <w:r w:rsidRPr="00986131">
        <w:rPr>
          <w:rFonts w:asciiTheme="minorHAnsi" w:hAnsiTheme="minorHAnsi" w:cstheme="minorHAnsi"/>
          <w:sz w:val="22"/>
          <w:szCs w:val="22"/>
        </w:rPr>
        <w:t>Jawo</w:t>
      </w:r>
      <w:proofErr w:type="spellEnd"/>
      <w:r w:rsidRPr="00986131">
        <w:rPr>
          <w:rFonts w:asciiTheme="minorHAnsi" w:hAnsiTheme="minorHAnsi" w:cstheme="minorHAnsi"/>
          <w:sz w:val="22"/>
          <w:szCs w:val="22"/>
        </w:rPr>
        <w:t xml:space="preserve"> šiame apgyvendinimo centre jau kuris laikas negyvena (30 punktas).</w:t>
      </w:r>
    </w:p>
    <w:p w14:paraId="568EBAD5" w14:textId="70B9ED92" w:rsidR="0047132C" w:rsidRPr="00986131" w:rsidRDefault="0047132C" w:rsidP="0047132C">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Naudodama standartinę formą, 2015 m. birželio 16 d. Federalinė tarnyba Italijos institucijoms pranešė, kad, remiantis tos pačios dienos duomenimis, A. </w:t>
      </w:r>
      <w:proofErr w:type="spellStart"/>
      <w:r w:rsidRPr="00986131">
        <w:rPr>
          <w:rFonts w:asciiTheme="minorHAnsi" w:hAnsiTheme="minorHAnsi" w:cstheme="minorHAnsi"/>
          <w:sz w:val="22"/>
          <w:szCs w:val="22"/>
        </w:rPr>
        <w:t>Jawo</w:t>
      </w:r>
      <w:proofErr w:type="spellEnd"/>
      <w:r w:rsidRPr="00986131">
        <w:rPr>
          <w:rFonts w:asciiTheme="minorHAnsi" w:hAnsiTheme="minorHAnsi" w:cstheme="minorHAnsi"/>
          <w:sz w:val="22"/>
          <w:szCs w:val="22"/>
        </w:rPr>
        <w:t xml:space="preserve"> šiuo metu perduoti negalima, nes jis slapstosi. Taip pat nurodė, kad suinteresuotasis asmuo bus perduotas ne vėliau kaip iki 2016 m. rugpjūčio 10 d. „pagal [reglamento „Dublinas III“] 29 straipsnio 2 dalį“. Nustatyta, kad minėtos formos įteikimo Italijos institucijoms dieną A. </w:t>
      </w:r>
      <w:proofErr w:type="spellStart"/>
      <w:r w:rsidRPr="00986131">
        <w:rPr>
          <w:rFonts w:asciiTheme="minorHAnsi" w:hAnsiTheme="minorHAnsi" w:cstheme="minorHAnsi"/>
          <w:sz w:val="22"/>
          <w:szCs w:val="22"/>
        </w:rPr>
        <w:t>Jawo</w:t>
      </w:r>
      <w:proofErr w:type="spellEnd"/>
      <w:r w:rsidRPr="00986131">
        <w:rPr>
          <w:rFonts w:asciiTheme="minorHAnsi" w:hAnsiTheme="minorHAnsi" w:cstheme="minorHAnsi"/>
          <w:sz w:val="22"/>
          <w:szCs w:val="22"/>
        </w:rPr>
        <w:t xml:space="preserve"> vėl buvo Heidelberge, tačiau ši informacija Federalinės tarnybos nebuvo pasiekusi. Be to, nenustatyta, ar kaip tik tuo momentu, kai A. </w:t>
      </w:r>
      <w:proofErr w:type="spellStart"/>
      <w:r w:rsidRPr="00986131">
        <w:rPr>
          <w:rFonts w:asciiTheme="minorHAnsi" w:hAnsiTheme="minorHAnsi" w:cstheme="minorHAnsi"/>
          <w:sz w:val="22"/>
          <w:szCs w:val="22"/>
        </w:rPr>
        <w:t>Jawo</w:t>
      </w:r>
      <w:proofErr w:type="spellEnd"/>
      <w:r w:rsidRPr="00986131">
        <w:rPr>
          <w:rFonts w:asciiTheme="minorHAnsi" w:hAnsiTheme="minorHAnsi" w:cstheme="minorHAnsi"/>
          <w:sz w:val="22"/>
          <w:szCs w:val="22"/>
        </w:rPr>
        <w:t xml:space="preserve"> grįžo į Heidelbergą, Federalinė tarnyba jau buvo išsiuntusi ši</w:t>
      </w:r>
      <w:r w:rsidR="00986131">
        <w:rPr>
          <w:rFonts w:asciiTheme="minorHAnsi" w:hAnsiTheme="minorHAnsi" w:cstheme="minorHAnsi"/>
          <w:sz w:val="22"/>
          <w:szCs w:val="22"/>
        </w:rPr>
        <w:t xml:space="preserve">ą formą Italijos institucijoms </w:t>
      </w:r>
      <w:r w:rsidRPr="00986131">
        <w:rPr>
          <w:rFonts w:asciiTheme="minorHAnsi" w:hAnsiTheme="minorHAnsi" w:cstheme="minorHAnsi"/>
          <w:sz w:val="22"/>
          <w:szCs w:val="22"/>
        </w:rPr>
        <w:t>(31–32 punktai).</w:t>
      </w:r>
    </w:p>
    <w:p w14:paraId="3CA25E90" w14:textId="77777777" w:rsidR="0047132C" w:rsidRPr="00986131" w:rsidRDefault="0047132C" w:rsidP="0047132C">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Savo nebuvimą A. </w:t>
      </w:r>
      <w:proofErr w:type="spellStart"/>
      <w:r w:rsidRPr="00986131">
        <w:rPr>
          <w:rFonts w:asciiTheme="minorHAnsi" w:hAnsiTheme="minorHAnsi" w:cstheme="minorHAnsi"/>
          <w:sz w:val="22"/>
          <w:szCs w:val="22"/>
        </w:rPr>
        <w:t>Jawo</w:t>
      </w:r>
      <w:proofErr w:type="spellEnd"/>
      <w:r w:rsidRPr="00986131">
        <w:rPr>
          <w:rFonts w:asciiTheme="minorHAnsi" w:hAnsiTheme="minorHAnsi" w:cstheme="minorHAnsi"/>
          <w:sz w:val="22"/>
          <w:szCs w:val="22"/>
        </w:rPr>
        <w:t xml:space="preserve"> paaiškino tuo, kad 2015 m. birželio mėn. pradžioje buvo išvykęs aplankyti </w:t>
      </w:r>
      <w:proofErr w:type="spellStart"/>
      <w:r w:rsidRPr="00986131">
        <w:rPr>
          <w:rFonts w:asciiTheme="minorHAnsi" w:hAnsiTheme="minorHAnsi" w:cstheme="minorHAnsi"/>
          <w:sz w:val="22"/>
          <w:szCs w:val="22"/>
        </w:rPr>
        <w:t>Freiberge</w:t>
      </w:r>
      <w:proofErr w:type="spellEnd"/>
      <w:r w:rsidRPr="00986131">
        <w:rPr>
          <w:rFonts w:asciiTheme="minorHAnsi" w:hAnsiTheme="minorHAnsi" w:cstheme="minorHAnsi"/>
          <w:sz w:val="22"/>
          <w:szCs w:val="22"/>
        </w:rPr>
        <w:t xml:space="preserve"> prie Nekaro (Vokietija) gyvenančio draugo. Sulaukęs kambario draugo iš Heidelbergo telefono skambučio, kad jo ieško policija, jis nusprendė grįžti į Heidelbergą. A. </w:t>
      </w:r>
      <w:proofErr w:type="spellStart"/>
      <w:r w:rsidRPr="00986131">
        <w:rPr>
          <w:rFonts w:asciiTheme="minorHAnsi" w:hAnsiTheme="minorHAnsi" w:cstheme="minorHAnsi"/>
          <w:sz w:val="22"/>
          <w:szCs w:val="22"/>
        </w:rPr>
        <w:t>Jawo</w:t>
      </w:r>
      <w:proofErr w:type="spellEnd"/>
      <w:r w:rsidRPr="00986131">
        <w:rPr>
          <w:rFonts w:asciiTheme="minorHAnsi" w:hAnsiTheme="minorHAnsi" w:cstheme="minorHAnsi"/>
          <w:sz w:val="22"/>
          <w:szCs w:val="22"/>
        </w:rPr>
        <w:t xml:space="preserve"> nurodė, kad niekas jo neinformavo apie tai, jog jis turi pranešti apie savo nebuvimą (33–34 punktai).</w:t>
      </w:r>
    </w:p>
    <w:p w14:paraId="3C128458" w14:textId="77777777" w:rsidR="0047132C" w:rsidRPr="00986131" w:rsidRDefault="0047132C" w:rsidP="0047132C">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2016 m. vasario 3 d. žlugo antras bandymas perduoti A. </w:t>
      </w:r>
      <w:proofErr w:type="spellStart"/>
      <w:r w:rsidRPr="00986131">
        <w:rPr>
          <w:rFonts w:asciiTheme="minorHAnsi" w:hAnsiTheme="minorHAnsi" w:cstheme="minorHAnsi"/>
          <w:sz w:val="22"/>
          <w:szCs w:val="22"/>
        </w:rPr>
        <w:t>Jawo</w:t>
      </w:r>
      <w:proofErr w:type="spellEnd"/>
      <w:r w:rsidRPr="00986131">
        <w:rPr>
          <w:rFonts w:asciiTheme="minorHAnsi" w:hAnsiTheme="minorHAnsi" w:cstheme="minorHAnsi"/>
          <w:sz w:val="22"/>
          <w:szCs w:val="22"/>
        </w:rPr>
        <w:t xml:space="preserve"> Italijos institucijoms, nes jis atsisakė lipti į orlaivį, kuriuo turėjo būti perduotas (35 punktas).</w:t>
      </w:r>
    </w:p>
    <w:p w14:paraId="2D6BE921" w14:textId="77777777" w:rsidR="0047132C" w:rsidRPr="00986131" w:rsidRDefault="0047132C" w:rsidP="0047132C">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Gavęs kitą prašymą dėl laikinųjų apsaugos priemonių taikymo, </w:t>
      </w:r>
      <w:proofErr w:type="spellStart"/>
      <w:r w:rsidRPr="00986131">
        <w:rPr>
          <w:rFonts w:asciiTheme="minorHAnsi" w:hAnsiTheme="minorHAnsi" w:cstheme="minorHAnsi"/>
          <w:sz w:val="22"/>
          <w:szCs w:val="22"/>
        </w:rPr>
        <w:t>Karlsrūhės</w:t>
      </w:r>
      <w:proofErr w:type="spellEnd"/>
      <w:r w:rsidRPr="00986131">
        <w:rPr>
          <w:rFonts w:asciiTheme="minorHAnsi" w:hAnsiTheme="minorHAnsi" w:cstheme="minorHAnsi"/>
          <w:sz w:val="22"/>
          <w:szCs w:val="22"/>
        </w:rPr>
        <w:t xml:space="preserve"> administracinis teismas 2016 m. vasario 18 d. sprendimu nurodė, kad dėl 2015 m. kovo 4 d. pateikto A. </w:t>
      </w:r>
      <w:proofErr w:type="spellStart"/>
      <w:r w:rsidRPr="00986131">
        <w:rPr>
          <w:rFonts w:asciiTheme="minorHAnsi" w:hAnsiTheme="minorHAnsi" w:cstheme="minorHAnsi"/>
          <w:sz w:val="22"/>
          <w:szCs w:val="22"/>
        </w:rPr>
        <w:t>Jawo</w:t>
      </w:r>
      <w:proofErr w:type="spellEnd"/>
      <w:r w:rsidRPr="00986131">
        <w:rPr>
          <w:rFonts w:asciiTheme="minorHAnsi" w:hAnsiTheme="minorHAnsi" w:cstheme="minorHAnsi"/>
          <w:sz w:val="22"/>
          <w:szCs w:val="22"/>
        </w:rPr>
        <w:t xml:space="preserve"> skundo sustabdomas sprendimo vykdymas. Tačiau 2016 m. birželio 6 d. sprendimu minėtas teismas A. </w:t>
      </w:r>
      <w:proofErr w:type="spellStart"/>
      <w:r w:rsidRPr="00986131">
        <w:rPr>
          <w:rFonts w:asciiTheme="minorHAnsi" w:hAnsiTheme="minorHAnsi" w:cstheme="minorHAnsi"/>
          <w:sz w:val="22"/>
          <w:szCs w:val="22"/>
        </w:rPr>
        <w:t>Jawo</w:t>
      </w:r>
      <w:proofErr w:type="spellEnd"/>
      <w:r w:rsidRPr="00986131">
        <w:rPr>
          <w:rFonts w:asciiTheme="minorHAnsi" w:hAnsiTheme="minorHAnsi" w:cstheme="minorHAnsi"/>
          <w:sz w:val="22"/>
          <w:szCs w:val="22"/>
        </w:rPr>
        <w:t xml:space="preserve"> skundą atmetė (36–37 punktai).</w:t>
      </w:r>
    </w:p>
    <w:p w14:paraId="1FDB6391" w14:textId="77777777" w:rsidR="0047132C" w:rsidRPr="00986131" w:rsidRDefault="0047132C" w:rsidP="0047132C">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Badeno </w:t>
      </w:r>
      <w:proofErr w:type="spellStart"/>
      <w:r w:rsidRPr="00986131">
        <w:rPr>
          <w:rFonts w:asciiTheme="minorHAnsi" w:hAnsiTheme="minorHAnsi" w:cstheme="minorHAnsi"/>
          <w:sz w:val="22"/>
          <w:szCs w:val="22"/>
        </w:rPr>
        <w:t>Viurtembergo</w:t>
      </w:r>
      <w:proofErr w:type="spellEnd"/>
      <w:r w:rsidRPr="00986131">
        <w:rPr>
          <w:rFonts w:asciiTheme="minorHAnsi" w:hAnsiTheme="minorHAnsi" w:cstheme="minorHAnsi"/>
          <w:sz w:val="22"/>
          <w:szCs w:val="22"/>
        </w:rPr>
        <w:t xml:space="preserve"> aukštesniajame administraciniame teisme (vok. </w:t>
      </w:r>
      <w:proofErr w:type="spellStart"/>
      <w:r w:rsidRPr="00986131">
        <w:rPr>
          <w:rFonts w:asciiTheme="minorHAnsi" w:hAnsiTheme="minorHAnsi" w:cstheme="minorHAnsi"/>
          <w:i/>
          <w:iCs/>
          <w:sz w:val="22"/>
          <w:szCs w:val="22"/>
        </w:rPr>
        <w:t>Verwaltungsgerichtshof</w:t>
      </w:r>
      <w:proofErr w:type="spellEnd"/>
      <w:r w:rsidRPr="00986131">
        <w:rPr>
          <w:rFonts w:asciiTheme="minorHAnsi" w:hAnsiTheme="minorHAnsi" w:cstheme="minorHAnsi"/>
          <w:i/>
          <w:iCs/>
          <w:sz w:val="22"/>
          <w:szCs w:val="22"/>
        </w:rPr>
        <w:t xml:space="preserve"> </w:t>
      </w:r>
      <w:proofErr w:type="spellStart"/>
      <w:r w:rsidRPr="00986131">
        <w:rPr>
          <w:rFonts w:asciiTheme="minorHAnsi" w:hAnsiTheme="minorHAnsi" w:cstheme="minorHAnsi"/>
          <w:i/>
          <w:iCs/>
          <w:sz w:val="22"/>
          <w:szCs w:val="22"/>
        </w:rPr>
        <w:t>Baden-Württemberg</w:t>
      </w:r>
      <w:proofErr w:type="spellEnd"/>
      <w:r w:rsidRPr="00986131">
        <w:rPr>
          <w:rFonts w:asciiTheme="minorHAnsi" w:hAnsiTheme="minorHAnsi" w:cstheme="minorHAnsi"/>
          <w:sz w:val="22"/>
          <w:szCs w:val="22"/>
        </w:rPr>
        <w:t>) vykusiame apeliaciniame procese dėl nurodyto 2016 m. birželio 6 d. teismo sprendimo A. </w:t>
      </w:r>
      <w:proofErr w:type="spellStart"/>
      <w:r w:rsidRPr="00986131">
        <w:rPr>
          <w:rFonts w:asciiTheme="minorHAnsi" w:hAnsiTheme="minorHAnsi" w:cstheme="minorHAnsi"/>
          <w:sz w:val="22"/>
          <w:szCs w:val="22"/>
        </w:rPr>
        <w:t>Jawo</w:t>
      </w:r>
      <w:proofErr w:type="spellEnd"/>
      <w:r w:rsidRPr="00986131">
        <w:rPr>
          <w:rFonts w:asciiTheme="minorHAnsi" w:hAnsiTheme="minorHAnsi" w:cstheme="minorHAnsi"/>
          <w:sz w:val="22"/>
          <w:szCs w:val="22"/>
        </w:rPr>
        <w:t>, be kita ko, teigė, kad 2015 m. birželio mėn. jis nesislapstė ir Federalinė tarnyba negalėjo teisėtai pratęsti perdavimo termino. Be to, jo perdavimas Italijai neleistinas, kadangi šios valstybės narės prieglobsčio procedūra ir prašytojų priėmimo sąlygos turi sisteminių trūkumų, kaip tai suprantama pagal reglamento „Dublinas III“ 3 straipsnio 2 dalies antrą pastraipą (38 punktas).</w:t>
      </w:r>
    </w:p>
    <w:p w14:paraId="3E877D94" w14:textId="77777777" w:rsidR="0047132C" w:rsidRPr="00986131" w:rsidRDefault="0047132C" w:rsidP="0047132C">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Badeno-</w:t>
      </w:r>
      <w:proofErr w:type="spellStart"/>
      <w:r w:rsidRPr="00986131">
        <w:rPr>
          <w:rFonts w:asciiTheme="minorHAnsi" w:hAnsiTheme="minorHAnsi" w:cstheme="minorHAnsi"/>
          <w:sz w:val="22"/>
          <w:szCs w:val="22"/>
        </w:rPr>
        <w:t>Viurtembergo</w:t>
      </w:r>
      <w:proofErr w:type="spellEnd"/>
      <w:r w:rsidRPr="00986131">
        <w:rPr>
          <w:rFonts w:asciiTheme="minorHAnsi" w:hAnsiTheme="minorHAnsi" w:cstheme="minorHAnsi"/>
          <w:sz w:val="22"/>
          <w:szCs w:val="22"/>
        </w:rPr>
        <w:t xml:space="preserve"> žemės aukštesnysis administracinis teismas nutarė sustabdyti bylos nagrinėjimą ir pateikti Teisingumo Teismui šiuos </w:t>
      </w:r>
      <w:proofErr w:type="spellStart"/>
      <w:r w:rsidRPr="00986131">
        <w:rPr>
          <w:rFonts w:asciiTheme="minorHAnsi" w:hAnsiTheme="minorHAnsi" w:cstheme="minorHAnsi"/>
          <w:sz w:val="22"/>
          <w:szCs w:val="22"/>
        </w:rPr>
        <w:t>prejudicinius</w:t>
      </w:r>
      <w:proofErr w:type="spellEnd"/>
      <w:r w:rsidRPr="00986131">
        <w:rPr>
          <w:rFonts w:asciiTheme="minorHAnsi" w:hAnsiTheme="minorHAnsi" w:cstheme="minorHAnsi"/>
          <w:sz w:val="22"/>
          <w:szCs w:val="22"/>
        </w:rPr>
        <w:t xml:space="preserve"> klausimus:</w:t>
      </w:r>
    </w:p>
    <w:p w14:paraId="6EE970AD" w14:textId="77777777" w:rsidR="0047132C" w:rsidRPr="00986131" w:rsidRDefault="0047132C" w:rsidP="0047132C">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„1. Ar laikoma, kad prieglobsčio prašytojas slapstosi, kaip tai suprantama pagal [reglamento „Dublinas III“] 29 straipsnio 2 dalies antrą sakinį, tik tuomet, kai jis tikslingai ir sąmoningai vengia nacionalinių institucijų, </w:t>
      </w:r>
      <w:r w:rsidRPr="00986131">
        <w:rPr>
          <w:rFonts w:asciiTheme="minorHAnsi" w:hAnsiTheme="minorHAnsi" w:cstheme="minorHAnsi"/>
          <w:sz w:val="22"/>
          <w:szCs w:val="22"/>
        </w:rPr>
        <w:lastRenderedPageBreak/>
        <w:t>atsakingų už perdavimo vykdymą, siekdamas sužlugdyti ar apsunkinti perdavimą, ar pakanka, kad jis ilgesnį laikotarpį negyvena jam paskirtame būste ir institucijai nežinoma jo buvimo vieta, todėl planuojamo perdavimo įvykdyti negalima?</w:t>
      </w:r>
    </w:p>
    <w:p w14:paraId="0C949BDB" w14:textId="77777777" w:rsidR="0047132C" w:rsidRPr="00986131" w:rsidRDefault="0047132C" w:rsidP="0047132C">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Ar suinteresuotasis asmuo gali remtis teisingu teisės nuostatos taikymu ir per procesą, nukreiptą prieš sprendimą dėl perdavimo, argumentuoti tuo, kad pasibaigė perdavimo terminas, nes jis nesislapstė?</w:t>
      </w:r>
    </w:p>
    <w:p w14:paraId="3C2BCF8A" w14:textId="77777777" w:rsidR="0047132C" w:rsidRPr="00986131" w:rsidRDefault="0047132C" w:rsidP="0047132C">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2. Ar terminas pagal [reglamento „Dublinas III“] 29 straipsnio 1 dalies pirmą pastraipą pratęsiamas vien dėl to, kad perduodančioji valstybė narė dar prieš pasibaigiant terminui atsakingą valstybę narę informuoja, jog suinteresuotasis asmuo slapstosi, ir kartu nurodo ne ilgesnį kaip 18 mėnesių konkretų terminą, per kurį perdavimas bus įvykdytas, ar pratęsimas galimas tik suinteresuotosioms valstybėms narėms bendrai susitarus nustatyti pratęstą terminą?</w:t>
      </w:r>
    </w:p>
    <w:p w14:paraId="77C5B6B3" w14:textId="77777777" w:rsidR="0047132C" w:rsidRPr="00986131" w:rsidRDefault="0047132C" w:rsidP="0047132C">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3. Ar prieglobsčio prašytojo perdavimas atsakingai valstybei narei neleistinas, kai joje jis, jei jam būtų suteiktas tarptautinės apsaugos statusas, tikėtina, turėtų gyventi sąlygomis, dėl kurių jam kiltų rimta grėsmė patirti elgesį, apibūdintą [Chartijos] 4 straipsnyje?</w:t>
      </w:r>
    </w:p>
    <w:p w14:paraId="76FEDB7F" w14:textId="77777777" w:rsidR="0047132C" w:rsidRPr="00986131" w:rsidRDefault="0047132C" w:rsidP="0047132C">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Ar šis klausimas dar patenka į Sąjungos teisės taikymo sritį?</w:t>
      </w:r>
    </w:p>
    <w:p w14:paraId="2A379BB0" w14:textId="77777777" w:rsidR="0047132C" w:rsidRPr="00986131" w:rsidRDefault="0047132C" w:rsidP="0047132C">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Pagal kokius Sąjungos teisės kriterijus turi būti vertinamos asmens, kurio teisė į tarptautinę apsaugą pripažinta, gyvenimo sąlygos?“</w:t>
      </w:r>
    </w:p>
    <w:p w14:paraId="325C6EDA" w14:textId="77777777" w:rsidR="0047132C" w:rsidRPr="00986131" w:rsidRDefault="0047132C" w:rsidP="0047132C">
      <w:pPr>
        <w:pStyle w:val="c01pointnumerotealtn"/>
        <w:shd w:val="clear" w:color="auto" w:fill="FFFFFF"/>
        <w:spacing w:before="0" w:beforeAutospacing="0" w:after="0"/>
        <w:ind w:left="0" w:firstLine="567"/>
        <w:rPr>
          <w:rFonts w:asciiTheme="minorHAnsi" w:hAnsiTheme="minorHAnsi" w:cstheme="minorHAnsi"/>
          <w:sz w:val="22"/>
          <w:szCs w:val="22"/>
        </w:rPr>
      </w:pPr>
    </w:p>
    <w:p w14:paraId="1F1578B7" w14:textId="52295078" w:rsidR="0047132C" w:rsidRPr="002E52BD" w:rsidRDefault="0047132C" w:rsidP="0047132C">
      <w:pPr>
        <w:pStyle w:val="c01pointnumerotealtn"/>
        <w:shd w:val="clear" w:color="auto" w:fill="FFFFFF"/>
        <w:spacing w:before="0" w:beforeAutospacing="0" w:after="0"/>
        <w:ind w:left="0" w:firstLine="567"/>
        <w:outlineLvl w:val="2"/>
        <w:rPr>
          <w:rFonts w:asciiTheme="minorHAnsi" w:eastAsiaTheme="majorEastAsia" w:hAnsiTheme="minorHAnsi" w:cstheme="minorHAnsi"/>
          <w:b/>
          <w:bCs/>
          <w:sz w:val="22"/>
          <w:szCs w:val="22"/>
          <w:lang w:eastAsia="en-US"/>
        </w:rPr>
      </w:pPr>
      <w:bookmarkStart w:id="10" w:name="_Toc11232450"/>
      <w:bookmarkStart w:id="11" w:name="_Toc11232741"/>
      <w:bookmarkStart w:id="12" w:name="_Toc11757977"/>
      <w:r w:rsidRPr="002E52BD">
        <w:rPr>
          <w:rFonts w:asciiTheme="minorHAnsi" w:eastAsiaTheme="majorEastAsia" w:hAnsiTheme="minorHAnsi" w:cstheme="minorHAnsi"/>
          <w:b/>
          <w:bCs/>
          <w:sz w:val="22"/>
          <w:szCs w:val="22"/>
          <w:lang w:eastAsia="en-US"/>
        </w:rPr>
        <w:t>Dėl „slapstymosi“ sąvokos reglamento „Dublinas III“ 29 straipsnio 2 dalies prasme</w:t>
      </w:r>
      <w:bookmarkEnd w:id="10"/>
      <w:bookmarkEnd w:id="11"/>
      <w:bookmarkEnd w:id="12"/>
    </w:p>
    <w:p w14:paraId="15C4BDF4" w14:textId="77777777" w:rsidR="0047132C" w:rsidRPr="00986131" w:rsidRDefault="0047132C" w:rsidP="0047132C">
      <w:pPr>
        <w:pStyle w:val="c01pointnumerotealtn"/>
        <w:shd w:val="clear" w:color="auto" w:fill="FFFFFF"/>
        <w:spacing w:before="0" w:beforeAutospacing="0" w:after="0"/>
        <w:ind w:left="0" w:firstLine="567"/>
        <w:rPr>
          <w:rFonts w:asciiTheme="minorHAnsi" w:hAnsiTheme="minorHAnsi" w:cstheme="minorHAnsi"/>
          <w:sz w:val="22"/>
          <w:szCs w:val="22"/>
        </w:rPr>
      </w:pPr>
    </w:p>
    <w:p w14:paraId="37B7F955" w14:textId="77777777" w:rsidR="0047132C" w:rsidRPr="00986131" w:rsidRDefault="0047132C" w:rsidP="0047132C">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Pirmuoju klausimu, kurį sudaro dvi dalys, prašymą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pateikęs teismas siekė išsiaiškinti, pirma, ar reglamento „Dublinas III“ 29 straipsnio 2 dalies antrą sakinį reikia aiškinti taip, jog tam, kad būtų galima </w:t>
      </w:r>
      <w:proofErr w:type="spellStart"/>
      <w:r w:rsidRPr="00986131">
        <w:rPr>
          <w:rFonts w:asciiTheme="minorHAnsi" w:hAnsiTheme="minorHAnsi" w:cstheme="minorHAnsi"/>
          <w:sz w:val="22"/>
          <w:szCs w:val="22"/>
        </w:rPr>
        <w:t>preziumuoti</w:t>
      </w:r>
      <w:proofErr w:type="spellEnd"/>
      <w:r w:rsidRPr="00986131">
        <w:rPr>
          <w:rFonts w:asciiTheme="minorHAnsi" w:hAnsiTheme="minorHAnsi" w:cstheme="minorHAnsi"/>
          <w:sz w:val="22"/>
          <w:szCs w:val="22"/>
        </w:rPr>
        <w:t xml:space="preserve">, jog atitinkamas asmuo slapstosi, kaip tai suprantama pagal tą nuostatą, būtina, kad jis tikslingai vengtų kompetentingų institucijų siekdamas sužlugdyti savo perdavimą, ar vis dėlto tokiu atveju pakanka, kad šis asmuo išvyktų iš jam paskirtos gyvenamosios vietos, o minėtos institucijos apie jo nebuvimą nebūtų informuotos ir todėl šio perdavimo nebūtų galima įvykdyti. Antra, prašymą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pateikęs teismas klausia, ar reglamento „Dublinas III“ 27 straipsnio 1 dalį reikia aiškinti taip, kad per procesą, nukreiptą prieš sprendimą dėl perdavimo, atitinkamas asmuo gali remtis šio reglamento 29 straipsnio 2 dalimi ir tvirtinti, kad perdavimo terminas baigėsi, nes jis nesislapstė (50–51 punktai).</w:t>
      </w:r>
    </w:p>
    <w:p w14:paraId="27E4F47E" w14:textId="77777777" w:rsidR="0047132C" w:rsidRPr="00986131" w:rsidRDefault="0047132C" w:rsidP="0047132C">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Dėl šio klausimo pirmos dalies Teisingumo Teismas pažymėjo, kad reglamento „Dublinas III“ 29 straipsnio 1 dalies pirmos pastraipos ir 2 dalies nuostatose numatyta, jog pasibaigus imperatyviam šešių mėnesių terminui atsakomybė už tarptautinės apsaugos prašymo nagrinėjimą </w:t>
      </w:r>
      <w:proofErr w:type="spellStart"/>
      <w:r w:rsidRPr="00986131">
        <w:rPr>
          <w:rFonts w:asciiTheme="minorHAnsi" w:hAnsiTheme="minorHAnsi" w:cstheme="minorHAnsi"/>
          <w:i/>
          <w:iCs/>
          <w:sz w:val="22"/>
          <w:szCs w:val="22"/>
        </w:rPr>
        <w:t>ipso</w:t>
      </w:r>
      <w:proofErr w:type="spellEnd"/>
      <w:r w:rsidRPr="00986131">
        <w:rPr>
          <w:rFonts w:asciiTheme="minorHAnsi" w:hAnsiTheme="minorHAnsi" w:cstheme="minorHAnsi"/>
          <w:i/>
          <w:iCs/>
          <w:sz w:val="22"/>
          <w:szCs w:val="22"/>
        </w:rPr>
        <w:t xml:space="preserve"> </w:t>
      </w:r>
      <w:proofErr w:type="spellStart"/>
      <w:r w:rsidRPr="00986131">
        <w:rPr>
          <w:rFonts w:asciiTheme="minorHAnsi" w:hAnsiTheme="minorHAnsi" w:cstheme="minorHAnsi"/>
          <w:i/>
          <w:iCs/>
          <w:sz w:val="22"/>
          <w:szCs w:val="22"/>
        </w:rPr>
        <w:t>iure</w:t>
      </w:r>
      <w:proofErr w:type="spellEnd"/>
      <w:r w:rsidRPr="00986131">
        <w:rPr>
          <w:rFonts w:asciiTheme="minorHAnsi" w:hAnsiTheme="minorHAnsi" w:cstheme="minorHAnsi"/>
          <w:i/>
          <w:iCs/>
          <w:sz w:val="22"/>
          <w:szCs w:val="22"/>
        </w:rPr>
        <w:t xml:space="preserve"> </w:t>
      </w:r>
      <w:r w:rsidRPr="00986131">
        <w:rPr>
          <w:rFonts w:asciiTheme="minorHAnsi" w:hAnsiTheme="minorHAnsi" w:cstheme="minorHAnsi"/>
          <w:sz w:val="22"/>
          <w:szCs w:val="22"/>
        </w:rPr>
        <w:t>pereina prašančiajai valstybei narei, išskyrus atvejus, kai šis terminas išimties tvarka buvo pratęstas &lt;...&gt; ne ilgiau kaip aštuoniolika mėnesių, jei jis [suinteresuotasis asmuo] slapstosi, tuomet atsakomybė už jo prašymo nagrinėjimą pereina pasibaigus taip nustatytam terminui. Tačiau reglamente „Dublinas III“ „slėpimosi“ sąvoka neapibrėžta ir nė vienoje iš šių nuostatų aiškiai nenurodyta, ar ši sąvoka suponuoja, kad suinteresuotasis asmuo ketino vengti institucijų veiksmų, kad užkirstų kelią perdavimui (52, 54 punktai).</w:t>
      </w:r>
    </w:p>
    <w:p w14:paraId="15844B9C" w14:textId="77777777" w:rsidR="0047132C" w:rsidRPr="00986131" w:rsidRDefault="0047132C" w:rsidP="0047132C">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Teisingumo Teismas nurodė, kad remiantis įprasta „slapstymosi“ sąvokos, kuri pavartota daugelyje reglamento „Dublinas III“ 29 straipsnio 2 dalies antro sakinio kalbinių versijų, reikšme, kuri apima atitinkamo asmens norą pabėgti nuo ko nors arba ko nors išvengti, t. y. šiuo atveju kompetentingų institucijų, taigi ir perdavimo, darytina išvada, kad ši nuostata iš principo taikoma tik tuomet, kai toks asmuo tikslingai vengia šių institucijų. Vis dėlto reglamento „Dublinas III“ 29 straipsnio 2 dalies antro sakinio kontekstas ir šiuo reglamentu siekiami tikslai prieštarauja tokiam šios nuostatos aiškinimui, pagal kurį tokiu atveju, kai perdavimo negalima įvykdyti dėl to, kad atitinkamas asmuo išvyko iš jam paskirtos gyvenamosios vietos, apie savo nebuvimą neinformavęs kompetentingų institucijų, šios institucijos turėtų pateikti įrodymų, kad šis asmuo tikrai ketino jų vengti siekdamas užkirsti kelią perdavimui (56–57 punktai).</w:t>
      </w:r>
    </w:p>
    <w:p w14:paraId="0F555E3E" w14:textId="77777777" w:rsidR="0047132C" w:rsidRPr="00986131" w:rsidRDefault="0047132C" w:rsidP="0047132C">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Iš reglamento „Dublinas III“ 4 ir 5 konstatuojamųjų dalių matyti, kad juo siekiama tiek valstybėms narėms, tiek atitinkamiems asmenims nustatyti aiškų ir veiksmingą, objektyviais ir teisingais kriterijais grindžiamą būdą greitai nustatyti valstybę narę, atsakingą už tarptautinės apsaugos prašymo nagrinėjimą, kad būtų galima garantuoti veiksmingą galimybę pradėti tokios apsaugos suteikimo procedūras ir netrukdyti siekiui greitai nagrinėti tarptautinės apsaugos prašymus. Turint galvoje šį siekį užtikrinti greitą nagrinėjimą, reglamento „Dublinas III“ 29 straipsnio 1 dalyje ir 2 dalies pirmame sakinyje nustatytu šešių mėnesių perdavimo terminu norima užtikrinti, kad atitinkamas asmuo iš tiesų kuo greičiau būtų perduotas valstybei narei, atsakingai už jo tarptautinės apsaugos prašymo nagrinėjimą, ir kartu, atsižvelgiant į sudėtingą praktinę </w:t>
      </w:r>
      <w:r w:rsidRPr="00986131">
        <w:rPr>
          <w:rFonts w:asciiTheme="minorHAnsi" w:hAnsiTheme="minorHAnsi" w:cstheme="minorHAnsi"/>
          <w:sz w:val="22"/>
          <w:szCs w:val="22"/>
        </w:rPr>
        <w:lastRenderedPageBreak/>
        <w:t xml:space="preserve">pusę ir į organizacines tokio asmens perdavimo problemas, palikti abiem suinteresuotosioms valstybėms narėms laiko, reikalingo šio perdavimo vykdymui suderinti, o visų pirma prašančiajai valstybei narei nustatyti perdavimo vykdymo tvarką (šiuo klausimu žr. 2009 m. sausio 29 d. sprendimo </w:t>
      </w:r>
      <w:proofErr w:type="spellStart"/>
      <w:r w:rsidRPr="00986131">
        <w:rPr>
          <w:rFonts w:asciiTheme="minorHAnsi" w:hAnsiTheme="minorHAnsi" w:cstheme="minorHAnsi"/>
          <w:i/>
          <w:iCs/>
          <w:sz w:val="22"/>
          <w:szCs w:val="22"/>
        </w:rPr>
        <w:t>Petrosian</w:t>
      </w:r>
      <w:proofErr w:type="spellEnd"/>
      <w:r w:rsidRPr="00986131">
        <w:rPr>
          <w:rFonts w:asciiTheme="minorHAnsi" w:hAnsiTheme="minorHAnsi" w:cstheme="minorHAnsi"/>
          <w:sz w:val="22"/>
          <w:szCs w:val="22"/>
        </w:rPr>
        <w:t>, C</w:t>
      </w:r>
      <w:r w:rsidRPr="00986131">
        <w:rPr>
          <w:rFonts w:asciiTheme="minorHAnsi" w:hAnsiTheme="minorHAnsi" w:cstheme="minorHAnsi"/>
          <w:sz w:val="22"/>
          <w:szCs w:val="22"/>
        </w:rPr>
        <w:noBreakHyphen/>
        <w:t>19/08, EU:C:2009:41, 40 punktą). Šiomis aplinkybėmis pagal reglamento „Dublinas III“ 29 straipsnio 2 dalies antrą sakinį išimties tvarka leidžiama pratęsti šį šešių mėnesių terminą, siekiant atsižvelgti į tai, kad dėl atitinkamo asmens kalinimo arba slapstymosi prašančiajai valstybei narei faktiškai neįmanoma to asmens perduoti (58–60 punktai).</w:t>
      </w:r>
    </w:p>
    <w:p w14:paraId="590D1756" w14:textId="77777777" w:rsidR="0047132C" w:rsidRPr="00986131" w:rsidRDefault="0047132C" w:rsidP="0047132C">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Turint galvoje didelius sunkumus, su kuriais kompetentingos institucijos gali susidurti turėdamos įrodyti atitinkamo asmens ketinimus, reikalavimas institucijoms pateikti tokius įrodymus galėtų sudaryti galimybes tarptautinės apsaugos prašytojams, kurie nenori būti perduoti valstybei narei, pagal reglamentą „Dublinas III“ paskirtai atsakinga už jų prašymo nagrinėjimą, vengti prašančiosios valstybės narės institucijų, kol pasibaigs šešių mėnesių terminas, kad pastarajai valstybei narei pagal šio reglamento 29 straipsnio 2 dalies pirmą sakinį tektų atsakomybė už prašymo nagrinėjimą. Todėl tam, kad būtų užtikrintas veiksmingas Dublino sistemos veikimas ir jo tikslų įgyvendinimas, laikytina, kad </w:t>
      </w:r>
      <w:r w:rsidRPr="00D22EE4">
        <w:rPr>
          <w:rFonts w:asciiTheme="minorHAnsi" w:hAnsiTheme="minorHAnsi" w:cstheme="minorHAnsi"/>
          <w:sz w:val="22"/>
          <w:szCs w:val="22"/>
          <w:u w:val="single"/>
        </w:rPr>
        <w:t xml:space="preserve">tais atvejais, kai atitinkamas asmuo negali būti perduotas dėl to, kad išvyko iš jam paskirtos gyvenamosios vietos, apie savo nebuvimą neinformavęs kompetentingų nacionalinių institucijų, tos institucijos turi teisę </w:t>
      </w:r>
      <w:proofErr w:type="spellStart"/>
      <w:r w:rsidRPr="00D22EE4">
        <w:rPr>
          <w:rFonts w:asciiTheme="minorHAnsi" w:hAnsiTheme="minorHAnsi" w:cstheme="minorHAnsi"/>
          <w:sz w:val="22"/>
          <w:szCs w:val="22"/>
          <w:u w:val="single"/>
        </w:rPr>
        <w:t>preziumuoti</w:t>
      </w:r>
      <w:proofErr w:type="spellEnd"/>
      <w:r w:rsidRPr="00D22EE4">
        <w:rPr>
          <w:rFonts w:asciiTheme="minorHAnsi" w:hAnsiTheme="minorHAnsi" w:cstheme="minorHAnsi"/>
          <w:sz w:val="22"/>
          <w:szCs w:val="22"/>
          <w:u w:val="single"/>
        </w:rPr>
        <w:t>, kad šis asmuo ketino jų vengti siekdamas užkirsti kelią perdavimui, tačiau su sąlyga, kad tas asmuo buvo tinkamai informuotas apie atitinkamą jam tenkančią pareigą</w:t>
      </w:r>
      <w:r w:rsidRPr="00986131">
        <w:rPr>
          <w:rFonts w:asciiTheme="minorHAnsi" w:hAnsiTheme="minorHAnsi" w:cstheme="minorHAnsi"/>
          <w:sz w:val="22"/>
          <w:szCs w:val="22"/>
        </w:rPr>
        <w:t xml:space="preserve"> (61–62 punktai).</w:t>
      </w:r>
    </w:p>
    <w:p w14:paraId="7D526D23" w14:textId="77777777" w:rsidR="00D22EE4" w:rsidRPr="00F36AB0" w:rsidRDefault="00D22EE4" w:rsidP="00D22EE4">
      <w:pPr>
        <w:pStyle w:val="c01pointnumerotealtn"/>
        <w:shd w:val="clear" w:color="auto" w:fill="FFFFFF"/>
        <w:spacing w:before="0" w:beforeAutospacing="0" w:after="0"/>
        <w:ind w:left="0" w:firstLine="567"/>
        <w:rPr>
          <w:rFonts w:asciiTheme="minorHAnsi" w:hAnsiTheme="minorHAnsi" w:cstheme="minorHAnsi"/>
          <w:sz w:val="22"/>
          <w:szCs w:val="22"/>
        </w:rPr>
      </w:pPr>
      <w:r w:rsidRPr="00F36AB0">
        <w:rPr>
          <w:rFonts w:asciiTheme="minorHAnsi" w:hAnsiTheme="minorHAnsi" w:cstheme="minorHAnsi"/>
          <w:sz w:val="22"/>
          <w:szCs w:val="22"/>
        </w:rPr>
        <w:t>Šiuo aspektu Teisingumo Teismas akcentavo, kad pagal</w:t>
      </w:r>
      <w:r>
        <w:rPr>
          <w:rFonts w:asciiTheme="minorHAnsi" w:hAnsiTheme="minorHAnsi" w:cstheme="minorHAnsi"/>
          <w:sz w:val="22"/>
          <w:szCs w:val="22"/>
        </w:rPr>
        <w:t xml:space="preserve"> </w:t>
      </w:r>
      <w:r w:rsidRPr="00F36AB0">
        <w:rPr>
          <w:rFonts w:asciiTheme="minorHAnsi" w:hAnsiTheme="minorHAnsi" w:cstheme="minorHAnsi"/>
          <w:sz w:val="22"/>
          <w:szCs w:val="22"/>
        </w:rPr>
        <w:t>2013</w:t>
      </w:r>
      <w:r>
        <w:rPr>
          <w:rFonts w:asciiTheme="minorHAnsi" w:hAnsiTheme="minorHAnsi" w:cstheme="minorHAnsi"/>
          <w:sz w:val="22"/>
          <w:szCs w:val="22"/>
        </w:rPr>
        <w:t xml:space="preserve"> </w:t>
      </w:r>
      <w:r w:rsidRPr="00F36AB0">
        <w:rPr>
          <w:rFonts w:asciiTheme="minorHAnsi" w:hAnsiTheme="minorHAnsi" w:cstheme="minorHAnsi"/>
          <w:sz w:val="22"/>
          <w:szCs w:val="22"/>
        </w:rPr>
        <w:t>m. birželio 26</w:t>
      </w:r>
      <w:r>
        <w:rPr>
          <w:rFonts w:asciiTheme="minorHAnsi" w:hAnsiTheme="minorHAnsi" w:cstheme="minorHAnsi"/>
          <w:sz w:val="22"/>
          <w:szCs w:val="22"/>
        </w:rPr>
        <w:t xml:space="preserve"> </w:t>
      </w:r>
      <w:r w:rsidRPr="00F36AB0">
        <w:rPr>
          <w:rFonts w:asciiTheme="minorHAnsi" w:hAnsiTheme="minorHAnsi" w:cstheme="minorHAnsi"/>
          <w:sz w:val="22"/>
          <w:szCs w:val="22"/>
        </w:rPr>
        <w:t>d. Europos Parlamento ir Tarybos direktyvos</w:t>
      </w:r>
      <w:r>
        <w:rPr>
          <w:rFonts w:asciiTheme="minorHAnsi" w:hAnsiTheme="minorHAnsi" w:cstheme="minorHAnsi"/>
          <w:sz w:val="22"/>
          <w:szCs w:val="22"/>
        </w:rPr>
        <w:t xml:space="preserve"> </w:t>
      </w:r>
      <w:r w:rsidRPr="00F36AB0">
        <w:rPr>
          <w:rFonts w:asciiTheme="minorHAnsi" w:hAnsiTheme="minorHAnsi" w:cstheme="minorHAnsi"/>
          <w:sz w:val="22"/>
          <w:szCs w:val="22"/>
        </w:rPr>
        <w:t>2013/33/ES, kuria nustatomos normos dėl tarptautinės apsaugos prašytojų priėmimo (OL L 180, 2013, p.</w:t>
      </w:r>
      <w:r>
        <w:rPr>
          <w:rFonts w:asciiTheme="minorHAnsi" w:hAnsiTheme="minorHAnsi" w:cstheme="minorHAnsi"/>
          <w:sz w:val="22"/>
          <w:szCs w:val="22"/>
        </w:rPr>
        <w:t xml:space="preserve"> </w:t>
      </w:r>
      <w:r w:rsidRPr="00F36AB0">
        <w:rPr>
          <w:rFonts w:asciiTheme="minorHAnsi" w:hAnsiTheme="minorHAnsi" w:cstheme="minorHAnsi"/>
          <w:sz w:val="22"/>
          <w:szCs w:val="22"/>
        </w:rPr>
        <w:t>96, toliau</w:t>
      </w:r>
      <w:r>
        <w:rPr>
          <w:rFonts w:asciiTheme="minorHAnsi" w:hAnsiTheme="minorHAnsi" w:cstheme="minorHAnsi"/>
          <w:sz w:val="22"/>
          <w:szCs w:val="22"/>
        </w:rPr>
        <w:t xml:space="preserve"> </w:t>
      </w:r>
      <w:r w:rsidRPr="00F36AB0">
        <w:rPr>
          <w:rFonts w:asciiTheme="minorHAnsi" w:hAnsiTheme="minorHAnsi" w:cstheme="minorHAnsi"/>
          <w:sz w:val="22"/>
          <w:szCs w:val="22"/>
        </w:rPr>
        <w:t>– Priėmimo direktyva), 7</w:t>
      </w:r>
      <w:r>
        <w:rPr>
          <w:rFonts w:asciiTheme="minorHAnsi" w:hAnsiTheme="minorHAnsi" w:cstheme="minorHAnsi"/>
          <w:sz w:val="22"/>
          <w:szCs w:val="22"/>
        </w:rPr>
        <w:t xml:space="preserve"> </w:t>
      </w:r>
      <w:r w:rsidRPr="00F36AB0">
        <w:rPr>
          <w:rFonts w:asciiTheme="minorHAnsi" w:hAnsiTheme="minorHAnsi" w:cstheme="minorHAnsi"/>
          <w:sz w:val="22"/>
          <w:szCs w:val="22"/>
        </w:rPr>
        <w:t>straipsnio 2–4</w:t>
      </w:r>
      <w:r>
        <w:rPr>
          <w:rFonts w:asciiTheme="minorHAnsi" w:hAnsiTheme="minorHAnsi" w:cstheme="minorHAnsi"/>
          <w:sz w:val="22"/>
          <w:szCs w:val="22"/>
        </w:rPr>
        <w:t xml:space="preserve"> </w:t>
      </w:r>
      <w:r w:rsidRPr="00F36AB0">
        <w:rPr>
          <w:rFonts w:asciiTheme="minorHAnsi" w:hAnsiTheme="minorHAnsi" w:cstheme="minorHAnsi"/>
          <w:sz w:val="22"/>
          <w:szCs w:val="22"/>
        </w:rPr>
        <w:t xml:space="preserve">dalis </w:t>
      </w:r>
      <w:r w:rsidRPr="00DB2189">
        <w:rPr>
          <w:rFonts w:asciiTheme="minorHAnsi" w:hAnsiTheme="minorHAnsi" w:cstheme="minorHAnsi"/>
          <w:sz w:val="22"/>
          <w:szCs w:val="22"/>
          <w:u w:val="single"/>
        </w:rPr>
        <w:t>valstybės narės gali riboti &lt;...&gt; prieglobsčio prašytojų galimybes pasirinkti savo gyvenamąją vietą ir iš jų reikalauti iš anksto gauti administracijos leidimą išvykti iš šios vietos</w:t>
      </w:r>
      <w:r w:rsidRPr="00F36AB0">
        <w:rPr>
          <w:rFonts w:asciiTheme="minorHAnsi" w:hAnsiTheme="minorHAnsi" w:cstheme="minorHAnsi"/>
          <w:sz w:val="22"/>
          <w:szCs w:val="22"/>
        </w:rPr>
        <w:t>. Be to, pagal šios direktyvos 7</w:t>
      </w:r>
      <w:r>
        <w:rPr>
          <w:rFonts w:asciiTheme="minorHAnsi" w:hAnsiTheme="minorHAnsi" w:cstheme="minorHAnsi"/>
          <w:sz w:val="22"/>
          <w:szCs w:val="22"/>
        </w:rPr>
        <w:t xml:space="preserve"> </w:t>
      </w:r>
      <w:r w:rsidRPr="00F36AB0">
        <w:rPr>
          <w:rFonts w:asciiTheme="minorHAnsi" w:hAnsiTheme="minorHAnsi" w:cstheme="minorHAnsi"/>
          <w:sz w:val="22"/>
          <w:szCs w:val="22"/>
        </w:rPr>
        <w:t>straipsnio 5</w:t>
      </w:r>
      <w:r>
        <w:rPr>
          <w:rFonts w:asciiTheme="minorHAnsi" w:hAnsiTheme="minorHAnsi" w:cstheme="minorHAnsi"/>
          <w:sz w:val="22"/>
          <w:szCs w:val="22"/>
        </w:rPr>
        <w:t xml:space="preserve"> </w:t>
      </w:r>
      <w:r w:rsidRPr="00F36AB0">
        <w:rPr>
          <w:rFonts w:asciiTheme="minorHAnsi" w:hAnsiTheme="minorHAnsi" w:cstheme="minorHAnsi"/>
          <w:sz w:val="22"/>
          <w:szCs w:val="22"/>
        </w:rPr>
        <w:t xml:space="preserve">dalį </w:t>
      </w:r>
      <w:r w:rsidRPr="00DB2189">
        <w:rPr>
          <w:rFonts w:asciiTheme="minorHAnsi" w:hAnsiTheme="minorHAnsi" w:cstheme="minorHAnsi"/>
          <w:sz w:val="22"/>
          <w:szCs w:val="22"/>
          <w:u w:val="single"/>
        </w:rPr>
        <w:t>valstybės narės įpareigoja prašytojus pranešti kompetentingoms institucijoms savo adresą ir nedelsiant bet kokius to adreso pasikeitimus</w:t>
      </w:r>
      <w:r w:rsidRPr="00F36AB0">
        <w:rPr>
          <w:rFonts w:asciiTheme="minorHAnsi" w:hAnsiTheme="minorHAnsi" w:cstheme="minorHAnsi"/>
          <w:sz w:val="22"/>
          <w:szCs w:val="22"/>
        </w:rPr>
        <w:t>. Vis dėlto pagal Priėmimo direktyvos 5</w:t>
      </w:r>
      <w:r>
        <w:rPr>
          <w:rFonts w:asciiTheme="minorHAnsi" w:hAnsiTheme="minorHAnsi" w:cstheme="minorHAnsi"/>
          <w:sz w:val="22"/>
          <w:szCs w:val="22"/>
        </w:rPr>
        <w:t xml:space="preserve"> </w:t>
      </w:r>
      <w:r w:rsidRPr="00F36AB0">
        <w:rPr>
          <w:rFonts w:asciiTheme="minorHAnsi" w:hAnsiTheme="minorHAnsi" w:cstheme="minorHAnsi"/>
          <w:sz w:val="22"/>
          <w:szCs w:val="22"/>
        </w:rPr>
        <w:t xml:space="preserve">straipsnį </w:t>
      </w:r>
      <w:r w:rsidRPr="00DB2189">
        <w:rPr>
          <w:rFonts w:asciiTheme="minorHAnsi" w:hAnsiTheme="minorHAnsi" w:cstheme="minorHAnsi"/>
          <w:sz w:val="22"/>
          <w:szCs w:val="22"/>
          <w:u w:val="single"/>
        </w:rPr>
        <w:t>valstybės narės privalo informuoti prašytojus apie šias jų pareigas</w:t>
      </w:r>
      <w:r w:rsidRPr="00F36AB0">
        <w:rPr>
          <w:rFonts w:asciiTheme="minorHAnsi" w:hAnsiTheme="minorHAnsi" w:cstheme="minorHAnsi"/>
          <w:sz w:val="22"/>
          <w:szCs w:val="22"/>
        </w:rPr>
        <w:t xml:space="preserve">. Iš tiesų nebūtų galima kaltinti prašytojo tuo, kad išvyko iš jam paskirtos gyvenamosios vietos apie tai neinformavęs kompetentingų institucijų ir tinkamu atveju prieš tai nepaprašęs jos leidimo, jeigu prašytojas apie minėtas pareigas nebuvo informuotas. Be to, </w:t>
      </w:r>
      <w:r w:rsidRPr="00DB2189">
        <w:rPr>
          <w:rFonts w:asciiTheme="minorHAnsi" w:hAnsiTheme="minorHAnsi" w:cstheme="minorHAnsi"/>
          <w:sz w:val="22"/>
          <w:szCs w:val="22"/>
          <w:u w:val="single"/>
        </w:rPr>
        <w:t>kadangi negalima atmesti buvus pagrįstų priežasčių, dėl kurių prašytojas neinformavo kompetentingų institucijų apie savo nebuvimą, šiam asmeniui turi būti palikta galimybė įrodyti, kad jis neketino šių institucijų vengti</w:t>
      </w:r>
      <w:r w:rsidRPr="00F36AB0">
        <w:rPr>
          <w:rFonts w:asciiTheme="minorHAnsi" w:hAnsiTheme="minorHAnsi" w:cstheme="minorHAnsi"/>
          <w:sz w:val="22"/>
          <w:szCs w:val="22"/>
        </w:rPr>
        <w:t xml:space="preserve"> (63–65 punktai).</w:t>
      </w:r>
    </w:p>
    <w:p w14:paraId="5E31C1F6" w14:textId="77777777" w:rsidR="00D22EE4" w:rsidRPr="00F36AB0" w:rsidRDefault="00D22EE4" w:rsidP="00D22EE4">
      <w:pPr>
        <w:pStyle w:val="c01pointnumerotealtn"/>
        <w:shd w:val="clear" w:color="auto" w:fill="FFFFFF"/>
        <w:spacing w:before="0" w:beforeAutospacing="0" w:after="0"/>
        <w:ind w:left="0" w:firstLine="567"/>
        <w:rPr>
          <w:rFonts w:asciiTheme="minorHAnsi" w:hAnsiTheme="minorHAnsi" w:cstheme="minorHAnsi"/>
          <w:sz w:val="22"/>
          <w:szCs w:val="22"/>
        </w:rPr>
      </w:pPr>
      <w:r w:rsidRPr="00F36AB0">
        <w:rPr>
          <w:rFonts w:asciiTheme="minorHAnsi" w:hAnsiTheme="minorHAnsi" w:cstheme="minorHAnsi"/>
          <w:sz w:val="22"/>
          <w:szCs w:val="22"/>
        </w:rPr>
        <w:t xml:space="preserve">Dėl pirmojo klausimo antros dalies, kuria prašymą pateikęs teismas siekė išsiaiškinti, </w:t>
      </w:r>
      <w:r w:rsidRPr="00DB2189">
        <w:rPr>
          <w:rFonts w:asciiTheme="minorHAnsi" w:hAnsiTheme="minorHAnsi" w:cstheme="minorHAnsi"/>
          <w:sz w:val="22"/>
          <w:szCs w:val="22"/>
          <w:u w:val="single"/>
        </w:rPr>
        <w:t>ar per procesą, nukreiptą prieš sprendimą dėl perdavimo, atitinkamas asmuo gali remtis reglamento „Dublinas III“ 29 straipsnio 2 dalimi ir tvirtinti, kad perdavimo terminas baigėsi, nes jis nesislapstė</w:t>
      </w:r>
      <w:r w:rsidRPr="00F36AB0">
        <w:rPr>
          <w:rFonts w:asciiTheme="minorHAnsi" w:hAnsiTheme="minorHAnsi" w:cstheme="minorHAnsi"/>
          <w:sz w:val="22"/>
          <w:szCs w:val="22"/>
        </w:rPr>
        <w:t>, Teisingumo Teismas konstatavo, kad, kaip matyti iš 2017</w:t>
      </w:r>
      <w:r>
        <w:rPr>
          <w:rFonts w:asciiTheme="minorHAnsi" w:hAnsiTheme="minorHAnsi" w:cstheme="minorHAnsi"/>
          <w:sz w:val="22"/>
          <w:szCs w:val="22"/>
        </w:rPr>
        <w:t xml:space="preserve"> </w:t>
      </w:r>
      <w:r w:rsidRPr="00F36AB0">
        <w:rPr>
          <w:rFonts w:asciiTheme="minorHAnsi" w:hAnsiTheme="minorHAnsi" w:cstheme="minorHAnsi"/>
          <w:sz w:val="22"/>
          <w:szCs w:val="22"/>
        </w:rPr>
        <w:t>m. spalio 25</w:t>
      </w:r>
      <w:r>
        <w:rPr>
          <w:rFonts w:asciiTheme="minorHAnsi" w:hAnsiTheme="minorHAnsi" w:cstheme="minorHAnsi"/>
          <w:sz w:val="22"/>
          <w:szCs w:val="22"/>
        </w:rPr>
        <w:t xml:space="preserve"> </w:t>
      </w:r>
      <w:r w:rsidRPr="00F36AB0">
        <w:rPr>
          <w:rFonts w:asciiTheme="minorHAnsi" w:hAnsiTheme="minorHAnsi" w:cstheme="minorHAnsi"/>
          <w:sz w:val="22"/>
          <w:szCs w:val="22"/>
        </w:rPr>
        <w:t xml:space="preserve">d. </w:t>
      </w:r>
      <w:r>
        <w:rPr>
          <w:rFonts w:asciiTheme="minorHAnsi" w:hAnsiTheme="minorHAnsi" w:cstheme="minorHAnsi"/>
          <w:sz w:val="22"/>
          <w:szCs w:val="22"/>
        </w:rPr>
        <w:t>s</w:t>
      </w:r>
      <w:r w:rsidRPr="00F36AB0">
        <w:rPr>
          <w:rFonts w:asciiTheme="minorHAnsi" w:hAnsiTheme="minorHAnsi" w:cstheme="minorHAnsi"/>
          <w:sz w:val="22"/>
          <w:szCs w:val="22"/>
        </w:rPr>
        <w:t xml:space="preserve">prendimo </w:t>
      </w:r>
      <w:proofErr w:type="spellStart"/>
      <w:r w:rsidRPr="00F36AB0">
        <w:rPr>
          <w:rFonts w:asciiTheme="minorHAnsi" w:hAnsiTheme="minorHAnsi" w:cstheme="minorHAnsi"/>
          <w:i/>
          <w:iCs/>
          <w:sz w:val="22"/>
          <w:szCs w:val="22"/>
        </w:rPr>
        <w:t>Shiri</w:t>
      </w:r>
      <w:proofErr w:type="spellEnd"/>
      <w:r w:rsidRPr="00F36AB0">
        <w:rPr>
          <w:rFonts w:asciiTheme="minorHAnsi" w:hAnsiTheme="minorHAnsi" w:cstheme="minorHAnsi"/>
          <w:sz w:val="22"/>
          <w:szCs w:val="22"/>
        </w:rPr>
        <w:t xml:space="preserve"> (C</w:t>
      </w:r>
      <w:r w:rsidRPr="00F36AB0">
        <w:rPr>
          <w:rFonts w:asciiTheme="minorHAnsi" w:hAnsiTheme="minorHAnsi" w:cstheme="minorHAnsi"/>
          <w:sz w:val="22"/>
          <w:szCs w:val="22"/>
        </w:rPr>
        <w:noBreakHyphen/>
        <w:t xml:space="preserve">201/16, EU:C:2017:805), priimto po to, kai buvo pateiktas šis prašymas priimti </w:t>
      </w:r>
      <w:proofErr w:type="spellStart"/>
      <w:r w:rsidRPr="00F36AB0">
        <w:rPr>
          <w:rFonts w:asciiTheme="minorHAnsi" w:hAnsiTheme="minorHAnsi" w:cstheme="minorHAnsi"/>
          <w:sz w:val="22"/>
          <w:szCs w:val="22"/>
        </w:rPr>
        <w:t>prejudicinį</w:t>
      </w:r>
      <w:proofErr w:type="spellEnd"/>
      <w:r w:rsidRPr="00F36AB0">
        <w:rPr>
          <w:rFonts w:asciiTheme="minorHAnsi" w:hAnsiTheme="minorHAnsi" w:cstheme="minorHAnsi"/>
          <w:sz w:val="22"/>
          <w:szCs w:val="22"/>
        </w:rPr>
        <w:t xml:space="preserve"> sprendimą, </w:t>
      </w:r>
      <w:r w:rsidRPr="00DB2189">
        <w:rPr>
          <w:rFonts w:asciiTheme="minorHAnsi" w:hAnsiTheme="minorHAnsi" w:cstheme="minorHAnsi"/>
          <w:sz w:val="22"/>
          <w:szCs w:val="22"/>
          <w:u w:val="single"/>
        </w:rPr>
        <w:t>į šį klausimą atsakytina teigiamai</w:t>
      </w:r>
      <w:r>
        <w:rPr>
          <w:rFonts w:asciiTheme="minorHAnsi" w:hAnsiTheme="minorHAnsi" w:cstheme="minorHAnsi"/>
          <w:sz w:val="22"/>
          <w:szCs w:val="22"/>
        </w:rPr>
        <w:t xml:space="preserve"> (66 </w:t>
      </w:r>
      <w:r w:rsidRPr="00F36AB0">
        <w:rPr>
          <w:rFonts w:asciiTheme="minorHAnsi" w:hAnsiTheme="minorHAnsi" w:cstheme="minorHAnsi"/>
          <w:sz w:val="22"/>
          <w:szCs w:val="22"/>
        </w:rPr>
        <w:t>punktas).</w:t>
      </w:r>
    </w:p>
    <w:p w14:paraId="35EAEA16" w14:textId="77777777" w:rsidR="00D22EE4" w:rsidRPr="00F36AB0" w:rsidRDefault="00D22EE4" w:rsidP="00D22EE4">
      <w:pPr>
        <w:pStyle w:val="c01pointnumerotealtn"/>
        <w:shd w:val="clear" w:color="auto" w:fill="FFFFFF"/>
        <w:spacing w:before="0" w:beforeAutospacing="0" w:after="0"/>
        <w:ind w:left="0" w:firstLine="567"/>
        <w:rPr>
          <w:rFonts w:asciiTheme="minorHAnsi" w:hAnsiTheme="minorHAnsi" w:cstheme="minorHAnsi"/>
          <w:sz w:val="22"/>
          <w:szCs w:val="22"/>
        </w:rPr>
      </w:pPr>
      <w:r w:rsidRPr="00F36AB0">
        <w:rPr>
          <w:rFonts w:asciiTheme="minorHAnsi" w:hAnsiTheme="minorHAnsi" w:cstheme="minorHAnsi"/>
          <w:sz w:val="22"/>
          <w:szCs w:val="22"/>
        </w:rPr>
        <w:t xml:space="preserve">Nurodytame sprendime Teisingumo Teismas nusprendė, </w:t>
      </w:r>
      <w:r w:rsidRPr="00DB2189">
        <w:rPr>
          <w:rFonts w:asciiTheme="minorHAnsi" w:hAnsiTheme="minorHAnsi" w:cstheme="minorHAnsi"/>
          <w:sz w:val="22"/>
          <w:szCs w:val="22"/>
          <w:u w:val="single"/>
        </w:rPr>
        <w:t>pirma</w:t>
      </w:r>
      <w:r w:rsidRPr="00F36AB0">
        <w:rPr>
          <w:rFonts w:asciiTheme="minorHAnsi" w:hAnsiTheme="minorHAnsi" w:cstheme="minorHAnsi"/>
          <w:sz w:val="22"/>
          <w:szCs w:val="22"/>
        </w:rPr>
        <w:t xml:space="preserve">, kad siekiant užtikrinti, jog ginčijamas sprendimas dėl perdavimo priimtas teisingai taikius reglamentu „Dublinas III“ įtvirtintas perėmimo savo žinion ir atsiėmimo procedūras, </w:t>
      </w:r>
      <w:r w:rsidRPr="00DB2189">
        <w:rPr>
          <w:rFonts w:asciiTheme="minorHAnsi" w:hAnsiTheme="minorHAnsi" w:cstheme="minorHAnsi"/>
          <w:sz w:val="22"/>
          <w:szCs w:val="22"/>
          <w:u w:val="single"/>
        </w:rPr>
        <w:t>teismas, kuriam pateiktas skundas dėl sprendimo perduoti, turi galėti išnagrinėti tarptautinės apsaugos prašytojo teiginius, jog tas sprendimas priimtas pažeidžiant šio reglamento 29 straipsnio 2 dalyje įtvirtintas nuostatas, turint omenyje, kad minėto sprendimo priėmimo dieną prašančioji valstybė narė jau buvo tapusi atsakinga valstybe nare dėl to, kad prieš tai pasibaigė šio reglamento 29 straipsnio 1 ir 2 dalyse apibrėžtas šešių mėnesių terminas</w:t>
      </w:r>
      <w:r w:rsidRPr="00F36AB0">
        <w:rPr>
          <w:rFonts w:asciiTheme="minorHAnsi" w:hAnsiTheme="minorHAnsi" w:cstheme="minorHAnsi"/>
          <w:sz w:val="22"/>
          <w:szCs w:val="22"/>
        </w:rPr>
        <w:t xml:space="preserve"> (šiuo klausimu žr. 2017</w:t>
      </w:r>
      <w:r>
        <w:rPr>
          <w:rFonts w:asciiTheme="minorHAnsi" w:hAnsiTheme="minorHAnsi" w:cstheme="minorHAnsi"/>
          <w:sz w:val="22"/>
          <w:szCs w:val="22"/>
        </w:rPr>
        <w:t xml:space="preserve"> </w:t>
      </w:r>
      <w:r w:rsidRPr="00F36AB0">
        <w:rPr>
          <w:rFonts w:asciiTheme="minorHAnsi" w:hAnsiTheme="minorHAnsi" w:cstheme="minorHAnsi"/>
          <w:sz w:val="22"/>
          <w:szCs w:val="22"/>
        </w:rPr>
        <w:t>m. spalio 25</w:t>
      </w:r>
      <w:r>
        <w:rPr>
          <w:rFonts w:asciiTheme="minorHAnsi" w:hAnsiTheme="minorHAnsi" w:cstheme="minorHAnsi"/>
          <w:sz w:val="22"/>
          <w:szCs w:val="22"/>
        </w:rPr>
        <w:t xml:space="preserve"> </w:t>
      </w:r>
      <w:r w:rsidRPr="00F36AB0">
        <w:rPr>
          <w:rFonts w:asciiTheme="minorHAnsi" w:hAnsiTheme="minorHAnsi" w:cstheme="minorHAnsi"/>
          <w:sz w:val="22"/>
          <w:szCs w:val="22"/>
        </w:rPr>
        <w:t xml:space="preserve">d. </w:t>
      </w:r>
      <w:r>
        <w:rPr>
          <w:rFonts w:asciiTheme="minorHAnsi" w:hAnsiTheme="minorHAnsi" w:cstheme="minorHAnsi"/>
          <w:sz w:val="22"/>
          <w:szCs w:val="22"/>
        </w:rPr>
        <w:t>s</w:t>
      </w:r>
      <w:r w:rsidRPr="00F36AB0">
        <w:rPr>
          <w:rFonts w:asciiTheme="minorHAnsi" w:hAnsiTheme="minorHAnsi" w:cstheme="minorHAnsi"/>
          <w:sz w:val="22"/>
          <w:szCs w:val="22"/>
        </w:rPr>
        <w:t xml:space="preserve">prendimo </w:t>
      </w:r>
      <w:proofErr w:type="spellStart"/>
      <w:r w:rsidRPr="00F36AB0">
        <w:rPr>
          <w:rFonts w:asciiTheme="minorHAnsi" w:hAnsiTheme="minorHAnsi" w:cstheme="minorHAnsi"/>
          <w:i/>
          <w:iCs/>
          <w:sz w:val="22"/>
          <w:szCs w:val="22"/>
        </w:rPr>
        <w:t>Shiri</w:t>
      </w:r>
      <w:proofErr w:type="spellEnd"/>
      <w:r w:rsidRPr="00F36AB0">
        <w:rPr>
          <w:rFonts w:asciiTheme="minorHAnsi" w:hAnsiTheme="minorHAnsi" w:cstheme="minorHAnsi"/>
          <w:sz w:val="22"/>
          <w:szCs w:val="22"/>
        </w:rPr>
        <w:t>, C</w:t>
      </w:r>
      <w:r w:rsidRPr="00F36AB0">
        <w:rPr>
          <w:rFonts w:asciiTheme="minorHAnsi" w:hAnsiTheme="minorHAnsi" w:cstheme="minorHAnsi"/>
          <w:sz w:val="22"/>
          <w:szCs w:val="22"/>
        </w:rPr>
        <w:noBreakHyphen/>
        <w:t>201/16, EU:C:2017:805, 40</w:t>
      </w:r>
      <w:r>
        <w:rPr>
          <w:rFonts w:asciiTheme="minorHAnsi" w:hAnsiTheme="minorHAnsi" w:cstheme="minorHAnsi"/>
          <w:sz w:val="22"/>
          <w:szCs w:val="22"/>
        </w:rPr>
        <w:t xml:space="preserve"> </w:t>
      </w:r>
      <w:r w:rsidRPr="00F36AB0">
        <w:rPr>
          <w:rFonts w:asciiTheme="minorHAnsi" w:hAnsiTheme="minorHAnsi" w:cstheme="minorHAnsi"/>
          <w:sz w:val="22"/>
          <w:szCs w:val="22"/>
        </w:rPr>
        <w:t>punkt</w:t>
      </w:r>
      <w:r>
        <w:rPr>
          <w:rFonts w:asciiTheme="minorHAnsi" w:hAnsiTheme="minorHAnsi" w:cstheme="minorHAnsi"/>
          <w:sz w:val="22"/>
          <w:szCs w:val="22"/>
        </w:rPr>
        <w:t>ą</w:t>
      </w:r>
      <w:r w:rsidRPr="00F36AB0">
        <w:rPr>
          <w:rFonts w:asciiTheme="minorHAnsi" w:hAnsiTheme="minorHAnsi" w:cstheme="minorHAnsi"/>
          <w:sz w:val="22"/>
          <w:szCs w:val="22"/>
        </w:rPr>
        <w:t>) (67 punktas).</w:t>
      </w:r>
    </w:p>
    <w:p w14:paraId="1023212A" w14:textId="77777777" w:rsidR="00D22EE4" w:rsidRPr="00F36AB0" w:rsidRDefault="00D22EE4" w:rsidP="00D22EE4">
      <w:pPr>
        <w:pStyle w:val="c01pointnumerotealtn"/>
        <w:shd w:val="clear" w:color="auto" w:fill="FFFFFF"/>
        <w:spacing w:before="0" w:beforeAutospacing="0" w:after="0"/>
        <w:ind w:left="0" w:firstLine="567"/>
        <w:rPr>
          <w:rFonts w:asciiTheme="minorHAnsi" w:hAnsiTheme="minorHAnsi" w:cstheme="minorHAnsi"/>
          <w:sz w:val="22"/>
          <w:szCs w:val="22"/>
        </w:rPr>
      </w:pPr>
      <w:r w:rsidRPr="00DB2189">
        <w:rPr>
          <w:rFonts w:asciiTheme="minorHAnsi" w:hAnsiTheme="minorHAnsi" w:cstheme="minorHAnsi"/>
          <w:sz w:val="22"/>
          <w:szCs w:val="22"/>
          <w:u w:val="single"/>
        </w:rPr>
        <w:t>Antra</w:t>
      </w:r>
      <w:r w:rsidRPr="00F36AB0">
        <w:rPr>
          <w:rFonts w:asciiTheme="minorHAnsi" w:hAnsiTheme="minorHAnsi" w:cstheme="minorHAnsi"/>
          <w:sz w:val="22"/>
          <w:szCs w:val="22"/>
        </w:rPr>
        <w:t>, atsižvelgiant į reglamento „Dublinas III“ 19</w:t>
      </w:r>
      <w:r>
        <w:rPr>
          <w:rFonts w:asciiTheme="minorHAnsi" w:hAnsiTheme="minorHAnsi" w:cstheme="minorHAnsi"/>
          <w:sz w:val="22"/>
          <w:szCs w:val="22"/>
        </w:rPr>
        <w:t xml:space="preserve"> </w:t>
      </w:r>
      <w:r w:rsidRPr="00F36AB0">
        <w:rPr>
          <w:rFonts w:asciiTheme="minorHAnsi" w:hAnsiTheme="minorHAnsi" w:cstheme="minorHAnsi"/>
          <w:sz w:val="22"/>
          <w:szCs w:val="22"/>
        </w:rPr>
        <w:t>konstatuojamojoje dalyje nurodytą tikslą užtikrinti, laikantis Chartijos 47</w:t>
      </w:r>
      <w:r>
        <w:rPr>
          <w:rFonts w:asciiTheme="minorHAnsi" w:hAnsiTheme="minorHAnsi" w:cstheme="minorHAnsi"/>
          <w:sz w:val="22"/>
          <w:szCs w:val="22"/>
        </w:rPr>
        <w:t xml:space="preserve"> </w:t>
      </w:r>
      <w:r w:rsidRPr="00F36AB0">
        <w:rPr>
          <w:rFonts w:asciiTheme="minorHAnsi" w:hAnsiTheme="minorHAnsi" w:cstheme="minorHAnsi"/>
          <w:sz w:val="22"/>
          <w:szCs w:val="22"/>
        </w:rPr>
        <w:t xml:space="preserve">straipsnio, veiksmingą atitinkamų asmenų teisių apsaugą ir į šio reglamento 5 konstatuojamojoje dalyje nurodytą tikslą užtikrinti spartų už tarptautinės apsaugos prašymo nagrinėjimą atsakingos valstybės narės nustatymą, tiek paisant tokios apsaugos prašytojų interesų, tiek siekiant tinkamo Dublino sistemos veikimo, </w:t>
      </w:r>
      <w:r w:rsidRPr="00DB2189">
        <w:rPr>
          <w:rFonts w:asciiTheme="minorHAnsi" w:hAnsiTheme="minorHAnsi" w:cstheme="minorHAnsi"/>
          <w:sz w:val="22"/>
          <w:szCs w:val="22"/>
          <w:u w:val="single"/>
        </w:rPr>
        <w:t>prašytojas turi turėti galimybę pasinaudoti veiksminga ir sparčia teisių gynybos priemone, kuri leistų jam remtis šio reglamento 29 straipsnio 1 ir 2 dalyse apibrėžto šešių mėnesių termino pasibaigimu, kai šis terminas baigėsi vėliau, nei buvo priimtas sprendimas dėl perdavimo</w:t>
      </w:r>
      <w:r w:rsidRPr="00F36AB0">
        <w:rPr>
          <w:rFonts w:asciiTheme="minorHAnsi" w:hAnsiTheme="minorHAnsi" w:cstheme="minorHAnsi"/>
          <w:sz w:val="22"/>
          <w:szCs w:val="22"/>
        </w:rPr>
        <w:t xml:space="preserve"> (šiuo klausimu žr. 2017</w:t>
      </w:r>
      <w:r>
        <w:rPr>
          <w:rFonts w:asciiTheme="minorHAnsi" w:hAnsiTheme="minorHAnsi" w:cstheme="minorHAnsi"/>
          <w:sz w:val="22"/>
          <w:szCs w:val="22"/>
        </w:rPr>
        <w:t xml:space="preserve"> </w:t>
      </w:r>
      <w:r w:rsidRPr="00F36AB0">
        <w:rPr>
          <w:rFonts w:asciiTheme="minorHAnsi" w:hAnsiTheme="minorHAnsi" w:cstheme="minorHAnsi"/>
          <w:sz w:val="22"/>
          <w:szCs w:val="22"/>
        </w:rPr>
        <w:t>m. spalio 25</w:t>
      </w:r>
      <w:r>
        <w:rPr>
          <w:rFonts w:asciiTheme="minorHAnsi" w:hAnsiTheme="minorHAnsi" w:cstheme="minorHAnsi"/>
          <w:sz w:val="22"/>
          <w:szCs w:val="22"/>
        </w:rPr>
        <w:t xml:space="preserve"> </w:t>
      </w:r>
      <w:r w:rsidRPr="00F36AB0">
        <w:rPr>
          <w:rFonts w:asciiTheme="minorHAnsi" w:hAnsiTheme="minorHAnsi" w:cstheme="minorHAnsi"/>
          <w:sz w:val="22"/>
          <w:szCs w:val="22"/>
        </w:rPr>
        <w:t xml:space="preserve">d. </w:t>
      </w:r>
      <w:r>
        <w:rPr>
          <w:rFonts w:asciiTheme="minorHAnsi" w:hAnsiTheme="minorHAnsi" w:cstheme="minorHAnsi"/>
          <w:sz w:val="22"/>
          <w:szCs w:val="22"/>
        </w:rPr>
        <w:t>s</w:t>
      </w:r>
      <w:r w:rsidRPr="00F36AB0">
        <w:rPr>
          <w:rFonts w:asciiTheme="minorHAnsi" w:hAnsiTheme="minorHAnsi" w:cstheme="minorHAnsi"/>
          <w:sz w:val="22"/>
          <w:szCs w:val="22"/>
        </w:rPr>
        <w:t xml:space="preserve">prendimo </w:t>
      </w:r>
      <w:proofErr w:type="spellStart"/>
      <w:r w:rsidRPr="00F36AB0">
        <w:rPr>
          <w:rFonts w:asciiTheme="minorHAnsi" w:hAnsiTheme="minorHAnsi" w:cstheme="minorHAnsi"/>
          <w:i/>
          <w:iCs/>
          <w:sz w:val="22"/>
          <w:szCs w:val="22"/>
        </w:rPr>
        <w:t>Shiri</w:t>
      </w:r>
      <w:proofErr w:type="spellEnd"/>
      <w:r w:rsidRPr="00F36AB0">
        <w:rPr>
          <w:rFonts w:asciiTheme="minorHAnsi" w:hAnsiTheme="minorHAnsi" w:cstheme="minorHAnsi"/>
          <w:sz w:val="22"/>
          <w:szCs w:val="22"/>
        </w:rPr>
        <w:t>, C</w:t>
      </w:r>
      <w:r w:rsidRPr="00F36AB0">
        <w:rPr>
          <w:rFonts w:asciiTheme="minorHAnsi" w:hAnsiTheme="minorHAnsi" w:cstheme="minorHAnsi"/>
          <w:sz w:val="22"/>
          <w:szCs w:val="22"/>
        </w:rPr>
        <w:noBreakHyphen/>
        <w:t>201/16, EU:C:2017:805, 44 ir 46</w:t>
      </w:r>
      <w:r>
        <w:rPr>
          <w:rFonts w:asciiTheme="minorHAnsi" w:hAnsiTheme="minorHAnsi" w:cstheme="minorHAnsi"/>
          <w:sz w:val="22"/>
          <w:szCs w:val="22"/>
        </w:rPr>
        <w:t xml:space="preserve"> </w:t>
      </w:r>
      <w:r w:rsidRPr="00F36AB0">
        <w:rPr>
          <w:rFonts w:asciiTheme="minorHAnsi" w:hAnsiTheme="minorHAnsi" w:cstheme="minorHAnsi"/>
          <w:sz w:val="22"/>
          <w:szCs w:val="22"/>
        </w:rPr>
        <w:t>punkt</w:t>
      </w:r>
      <w:r>
        <w:rPr>
          <w:rFonts w:asciiTheme="minorHAnsi" w:hAnsiTheme="minorHAnsi" w:cstheme="minorHAnsi"/>
          <w:sz w:val="22"/>
          <w:szCs w:val="22"/>
        </w:rPr>
        <w:t>us</w:t>
      </w:r>
      <w:r w:rsidRPr="00F36AB0">
        <w:rPr>
          <w:rFonts w:asciiTheme="minorHAnsi" w:hAnsiTheme="minorHAnsi" w:cstheme="minorHAnsi"/>
          <w:sz w:val="22"/>
          <w:szCs w:val="22"/>
        </w:rPr>
        <w:t>) (68 punktas).</w:t>
      </w:r>
    </w:p>
    <w:p w14:paraId="21741DD1" w14:textId="77777777" w:rsidR="0047132C" w:rsidRPr="00986131" w:rsidRDefault="0047132C" w:rsidP="0047132C">
      <w:pPr>
        <w:pStyle w:val="c01pointnumerotealtn"/>
        <w:shd w:val="clear" w:color="auto" w:fill="FFFFFF"/>
        <w:spacing w:before="0" w:beforeAutospacing="0" w:after="0"/>
        <w:ind w:left="0" w:firstLine="567"/>
        <w:rPr>
          <w:rFonts w:asciiTheme="minorHAnsi" w:hAnsiTheme="minorHAnsi" w:cstheme="minorHAnsi"/>
          <w:sz w:val="22"/>
          <w:szCs w:val="22"/>
        </w:rPr>
      </w:pPr>
    </w:p>
    <w:p w14:paraId="7EA8B224" w14:textId="513E07DB" w:rsidR="0047132C" w:rsidRPr="00986131" w:rsidRDefault="0047132C" w:rsidP="0047132C">
      <w:pPr>
        <w:pStyle w:val="c01pointnumerotealtn"/>
        <w:shd w:val="clear" w:color="auto" w:fill="FFFFFF"/>
        <w:spacing w:before="0" w:beforeAutospacing="0" w:after="0"/>
        <w:ind w:left="0" w:firstLine="567"/>
        <w:outlineLvl w:val="2"/>
        <w:rPr>
          <w:rFonts w:asciiTheme="minorHAnsi" w:hAnsiTheme="minorHAnsi" w:cstheme="minorHAnsi"/>
          <w:b/>
          <w:sz w:val="22"/>
          <w:szCs w:val="22"/>
        </w:rPr>
      </w:pPr>
      <w:bookmarkStart w:id="13" w:name="_Toc11232451"/>
      <w:bookmarkStart w:id="14" w:name="_Toc11232742"/>
      <w:bookmarkStart w:id="15" w:name="_Toc11757978"/>
      <w:r w:rsidRPr="00986131">
        <w:rPr>
          <w:rFonts w:asciiTheme="minorHAnsi" w:hAnsiTheme="minorHAnsi" w:cstheme="minorHAnsi"/>
          <w:b/>
          <w:sz w:val="22"/>
          <w:szCs w:val="22"/>
        </w:rPr>
        <w:t>Dėl prašytojo perdavimo pagal reglamentą „Dublinas III“ termino pratęsimo sąlygų</w:t>
      </w:r>
      <w:bookmarkEnd w:id="13"/>
      <w:bookmarkEnd w:id="14"/>
      <w:bookmarkEnd w:id="15"/>
    </w:p>
    <w:p w14:paraId="28C6F967" w14:textId="77777777" w:rsidR="0047132C" w:rsidRPr="00986131" w:rsidRDefault="0047132C" w:rsidP="0047132C">
      <w:pPr>
        <w:pStyle w:val="c01pointnumerotealtn"/>
        <w:shd w:val="clear" w:color="auto" w:fill="FFFFFF"/>
        <w:spacing w:before="0" w:beforeAutospacing="0" w:after="0"/>
        <w:ind w:left="0" w:firstLine="567"/>
        <w:rPr>
          <w:rFonts w:asciiTheme="minorHAnsi" w:hAnsiTheme="minorHAnsi" w:cstheme="minorHAnsi"/>
          <w:sz w:val="22"/>
          <w:szCs w:val="22"/>
        </w:rPr>
      </w:pPr>
    </w:p>
    <w:p w14:paraId="745AB4AA" w14:textId="77777777" w:rsidR="0047132C" w:rsidRPr="00986131" w:rsidRDefault="0047132C" w:rsidP="0047132C">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Antruoju klausimu prašymą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pateikęs teismas siekė išsiaiškinti, ar reglamento „Dublinas III“ 29 straipsnio 2 dalies antras sakinys turi būti aiškinamas taip, kad norint perdavimo terminą pratęsti ne ilgiau kaip 18 mėnesių pakanka, kad prašančioji valstybė narė prieš pasibaigiant šešių mėnesių perdavimo terminui praneštų atsakingai valstybei narei apie tai, kad atitinkamas asmuo slapstosi, ir kartu nurodytų naują perdavimo terminą, ar vis dėlto šioms abiem valstybėms narėms būtina susitarti dėl naujo termino (71 punktas).</w:t>
      </w:r>
    </w:p>
    <w:p w14:paraId="0143A6C2" w14:textId="77777777" w:rsidR="00D22EE4" w:rsidRPr="00F36AB0" w:rsidRDefault="00D22EE4" w:rsidP="00D22EE4">
      <w:pPr>
        <w:pStyle w:val="c01pointnumerotealtn"/>
        <w:shd w:val="clear" w:color="auto" w:fill="FFFFFF"/>
        <w:spacing w:before="0" w:beforeAutospacing="0" w:after="0"/>
        <w:ind w:left="0" w:firstLine="567"/>
        <w:rPr>
          <w:rFonts w:asciiTheme="minorHAnsi" w:hAnsiTheme="minorHAnsi" w:cstheme="minorHAnsi"/>
          <w:sz w:val="22"/>
          <w:szCs w:val="22"/>
        </w:rPr>
      </w:pPr>
      <w:r w:rsidRPr="00F36AB0">
        <w:rPr>
          <w:rFonts w:asciiTheme="minorHAnsi" w:hAnsiTheme="minorHAnsi" w:cstheme="minorHAnsi"/>
          <w:sz w:val="22"/>
          <w:szCs w:val="22"/>
        </w:rPr>
        <w:t xml:space="preserve">Šiuo klausimu Teisingumo Teismas pažymėjo, kad </w:t>
      </w:r>
      <w:r w:rsidRPr="00DB2189">
        <w:rPr>
          <w:rFonts w:asciiTheme="minorHAnsi" w:hAnsiTheme="minorHAnsi" w:cstheme="minorHAnsi"/>
          <w:sz w:val="22"/>
          <w:szCs w:val="22"/>
          <w:u w:val="single"/>
        </w:rPr>
        <w:t>reglamento „Dublinas III“ 29 straipsnio 2 dalies antrame sakinyje nenumatyta, kad prašančioji valstybė narė ir atsakinga valstybė narė turi konsultuotis dėl perdavimo termino toje nuostatoje numatytais atvejais</w:t>
      </w:r>
      <w:r w:rsidRPr="00F36AB0">
        <w:rPr>
          <w:rFonts w:asciiTheme="minorHAnsi" w:hAnsiTheme="minorHAnsi" w:cstheme="minorHAnsi"/>
          <w:sz w:val="22"/>
          <w:szCs w:val="22"/>
        </w:rPr>
        <w:t>. Tuo ši nuostata skiriasi nuo šio reglamento 29 straipsnio 1</w:t>
      </w:r>
      <w:r>
        <w:rPr>
          <w:rFonts w:asciiTheme="minorHAnsi" w:hAnsiTheme="minorHAnsi" w:cstheme="minorHAnsi"/>
          <w:sz w:val="22"/>
          <w:szCs w:val="22"/>
        </w:rPr>
        <w:t xml:space="preserve"> </w:t>
      </w:r>
      <w:r w:rsidRPr="00F36AB0">
        <w:rPr>
          <w:rFonts w:asciiTheme="minorHAnsi" w:hAnsiTheme="minorHAnsi" w:cstheme="minorHAnsi"/>
          <w:sz w:val="22"/>
          <w:szCs w:val="22"/>
        </w:rPr>
        <w:t>dalies, kurioje aiškiai numatyta, kad perdavimas vykdomas atitinkamoms valstybėms narėms pasikonsultavus. Pareikalavus konsultuotis ir reglamento „Dublinas III“ 29</w:t>
      </w:r>
      <w:r>
        <w:rPr>
          <w:rFonts w:asciiTheme="minorHAnsi" w:hAnsiTheme="minorHAnsi" w:cstheme="minorHAnsi"/>
          <w:sz w:val="22"/>
          <w:szCs w:val="22"/>
        </w:rPr>
        <w:t xml:space="preserve"> </w:t>
      </w:r>
      <w:r w:rsidRPr="00F36AB0">
        <w:rPr>
          <w:rFonts w:asciiTheme="minorHAnsi" w:hAnsiTheme="minorHAnsi" w:cstheme="minorHAnsi"/>
          <w:sz w:val="22"/>
          <w:szCs w:val="22"/>
        </w:rPr>
        <w:t>straipsnio 2</w:t>
      </w:r>
      <w:r>
        <w:rPr>
          <w:rFonts w:asciiTheme="minorHAnsi" w:hAnsiTheme="minorHAnsi" w:cstheme="minorHAnsi"/>
          <w:sz w:val="22"/>
          <w:szCs w:val="22"/>
        </w:rPr>
        <w:t xml:space="preserve"> </w:t>
      </w:r>
      <w:r w:rsidRPr="00F36AB0">
        <w:rPr>
          <w:rFonts w:asciiTheme="minorHAnsi" w:hAnsiTheme="minorHAnsi" w:cstheme="minorHAnsi"/>
          <w:sz w:val="22"/>
          <w:szCs w:val="22"/>
        </w:rPr>
        <w:t>dalies antrame sakinyje numatytais atvejais ši nuostata taptų sunkiai taikoma ir dėl to ji iš dalies netektų savo veiksmingumo. Suinteresuotųjų valstybių narių informacijos mainai, kurių prireiktų siekiant susitarti dėl perdavimo termino pratęsimo, pareikalautų tam skirti laiko ir išteklių, ir nebūtų veiksmingo mechanizmo, padedančio išspręsti nesutarimus dėl klausimo, ar tenkinamos tokio pratęsimo sąlygos. Be to, šio termino pratęsimo galimybė atkristų, jeigu prašoma valstybė narė nesiimtų jokių veiksmų (72–73 punktai).</w:t>
      </w:r>
    </w:p>
    <w:p w14:paraId="1B610CE9" w14:textId="77777777" w:rsidR="00D22EE4" w:rsidRPr="00F36AB0" w:rsidRDefault="00D22EE4" w:rsidP="00D22EE4">
      <w:pPr>
        <w:pStyle w:val="c01pointnumerotealtn"/>
        <w:shd w:val="clear" w:color="auto" w:fill="FFFFFF"/>
        <w:spacing w:before="0" w:beforeAutospacing="0" w:after="0"/>
        <w:ind w:left="0" w:firstLine="567"/>
        <w:rPr>
          <w:rFonts w:asciiTheme="minorHAnsi" w:hAnsiTheme="minorHAnsi" w:cstheme="minorHAnsi"/>
          <w:sz w:val="22"/>
          <w:szCs w:val="22"/>
        </w:rPr>
      </w:pPr>
      <w:r w:rsidRPr="00F36AB0">
        <w:rPr>
          <w:rFonts w:asciiTheme="minorHAnsi" w:hAnsiTheme="minorHAnsi" w:cstheme="minorHAnsi"/>
          <w:sz w:val="22"/>
          <w:szCs w:val="22"/>
        </w:rPr>
        <w:t>Teisingumo Teismas atkreipė dėmesį, kad pagal reglamento</w:t>
      </w:r>
      <w:r>
        <w:rPr>
          <w:rFonts w:asciiTheme="minorHAnsi" w:hAnsiTheme="minorHAnsi" w:cstheme="minorHAnsi"/>
          <w:sz w:val="22"/>
          <w:szCs w:val="22"/>
        </w:rPr>
        <w:t xml:space="preserve"> „Dublinas III“ 29 straipsnio 4 </w:t>
      </w:r>
      <w:r w:rsidRPr="00F36AB0">
        <w:rPr>
          <w:rFonts w:asciiTheme="minorHAnsi" w:hAnsiTheme="minorHAnsi" w:cstheme="minorHAnsi"/>
          <w:sz w:val="22"/>
          <w:szCs w:val="22"/>
        </w:rPr>
        <w:t>dalį Komisija, priimdama įgyvendinimo aktus, nustato vienodas valstybių narių konsultavimosi ir keitimosi informacija sąlygas, visų pirma perdavimų atidėjimo arba vėlavimo juos atlikti atveju. Atitinkamai</w:t>
      </w:r>
      <w:r>
        <w:rPr>
          <w:rFonts w:asciiTheme="minorHAnsi" w:hAnsiTheme="minorHAnsi" w:cstheme="minorHAnsi"/>
          <w:sz w:val="22"/>
          <w:szCs w:val="22"/>
        </w:rPr>
        <w:t xml:space="preserve"> 2003 </w:t>
      </w:r>
      <w:r w:rsidRPr="00F36AB0">
        <w:rPr>
          <w:rFonts w:asciiTheme="minorHAnsi" w:hAnsiTheme="minorHAnsi" w:cstheme="minorHAnsi"/>
          <w:sz w:val="22"/>
          <w:szCs w:val="22"/>
        </w:rPr>
        <w:t>m. rugsėjo 2</w:t>
      </w:r>
      <w:r>
        <w:rPr>
          <w:rFonts w:asciiTheme="minorHAnsi" w:hAnsiTheme="minorHAnsi" w:cstheme="minorHAnsi"/>
          <w:sz w:val="22"/>
          <w:szCs w:val="22"/>
        </w:rPr>
        <w:t xml:space="preserve"> </w:t>
      </w:r>
      <w:r w:rsidRPr="00F36AB0">
        <w:rPr>
          <w:rFonts w:asciiTheme="minorHAnsi" w:hAnsiTheme="minorHAnsi" w:cstheme="minorHAnsi"/>
          <w:sz w:val="22"/>
          <w:szCs w:val="22"/>
        </w:rPr>
        <w:t>d. Komisijos reglamento (EB) Nr.</w:t>
      </w:r>
      <w:r>
        <w:rPr>
          <w:rFonts w:asciiTheme="minorHAnsi" w:hAnsiTheme="minorHAnsi" w:cstheme="minorHAnsi"/>
          <w:sz w:val="22"/>
          <w:szCs w:val="22"/>
        </w:rPr>
        <w:t xml:space="preserve"> </w:t>
      </w:r>
      <w:r w:rsidRPr="00F36AB0">
        <w:rPr>
          <w:rFonts w:asciiTheme="minorHAnsi" w:hAnsiTheme="minorHAnsi" w:cstheme="minorHAnsi"/>
          <w:sz w:val="22"/>
          <w:szCs w:val="22"/>
        </w:rPr>
        <w:t>1560/2003, nustatančio išsamias Reglamento Nr.</w:t>
      </w:r>
      <w:r>
        <w:rPr>
          <w:rFonts w:asciiTheme="minorHAnsi" w:hAnsiTheme="minorHAnsi" w:cstheme="minorHAnsi"/>
          <w:sz w:val="22"/>
          <w:szCs w:val="22"/>
        </w:rPr>
        <w:t xml:space="preserve"> </w:t>
      </w:r>
      <w:r w:rsidRPr="00F36AB0">
        <w:rPr>
          <w:rFonts w:asciiTheme="minorHAnsi" w:hAnsiTheme="minorHAnsi" w:cstheme="minorHAnsi"/>
          <w:sz w:val="22"/>
          <w:szCs w:val="22"/>
        </w:rPr>
        <w:t>343/2003, iš dalies pakeisto 2014</w:t>
      </w:r>
      <w:r>
        <w:rPr>
          <w:rFonts w:asciiTheme="minorHAnsi" w:hAnsiTheme="minorHAnsi" w:cstheme="minorHAnsi"/>
          <w:sz w:val="22"/>
          <w:szCs w:val="22"/>
        </w:rPr>
        <w:t xml:space="preserve"> </w:t>
      </w:r>
      <w:r w:rsidRPr="00F36AB0">
        <w:rPr>
          <w:rFonts w:asciiTheme="minorHAnsi" w:hAnsiTheme="minorHAnsi" w:cstheme="minorHAnsi"/>
          <w:sz w:val="22"/>
          <w:szCs w:val="22"/>
        </w:rPr>
        <w:t>m. sausio 30</w:t>
      </w:r>
      <w:r>
        <w:rPr>
          <w:rFonts w:asciiTheme="minorHAnsi" w:hAnsiTheme="minorHAnsi" w:cstheme="minorHAnsi"/>
          <w:sz w:val="22"/>
          <w:szCs w:val="22"/>
        </w:rPr>
        <w:t xml:space="preserve"> </w:t>
      </w:r>
      <w:r w:rsidRPr="00F36AB0">
        <w:rPr>
          <w:rFonts w:asciiTheme="minorHAnsi" w:hAnsiTheme="minorHAnsi" w:cstheme="minorHAnsi"/>
          <w:sz w:val="22"/>
          <w:szCs w:val="22"/>
        </w:rPr>
        <w:t>d. Komisijos įgyvendinimo reglamentu (ES) Nr.</w:t>
      </w:r>
      <w:r>
        <w:rPr>
          <w:rFonts w:asciiTheme="minorHAnsi" w:hAnsiTheme="minorHAnsi" w:cstheme="minorHAnsi"/>
          <w:sz w:val="22"/>
          <w:szCs w:val="22"/>
        </w:rPr>
        <w:t xml:space="preserve"> </w:t>
      </w:r>
      <w:r w:rsidRPr="00F36AB0">
        <w:rPr>
          <w:rFonts w:asciiTheme="minorHAnsi" w:hAnsiTheme="minorHAnsi" w:cstheme="minorHAnsi"/>
          <w:sz w:val="22"/>
          <w:szCs w:val="22"/>
        </w:rPr>
        <w:t>118/2014 (OL L 39, 2014, p.</w:t>
      </w:r>
      <w:r>
        <w:rPr>
          <w:rFonts w:asciiTheme="minorHAnsi" w:hAnsiTheme="minorHAnsi" w:cstheme="minorHAnsi"/>
          <w:sz w:val="22"/>
          <w:szCs w:val="22"/>
        </w:rPr>
        <w:t xml:space="preserve"> </w:t>
      </w:r>
      <w:r w:rsidRPr="00F36AB0">
        <w:rPr>
          <w:rFonts w:asciiTheme="minorHAnsi" w:hAnsiTheme="minorHAnsi" w:cstheme="minorHAnsi"/>
          <w:sz w:val="22"/>
          <w:szCs w:val="22"/>
        </w:rPr>
        <w:t>1), taikymo taisykles (OL L 222, 2003, p.</w:t>
      </w:r>
      <w:r>
        <w:rPr>
          <w:rFonts w:asciiTheme="minorHAnsi" w:hAnsiTheme="minorHAnsi" w:cstheme="minorHAnsi"/>
          <w:sz w:val="22"/>
          <w:szCs w:val="22"/>
        </w:rPr>
        <w:t xml:space="preserve"> </w:t>
      </w:r>
      <w:r w:rsidRPr="00F36AB0">
        <w:rPr>
          <w:rFonts w:asciiTheme="minorHAnsi" w:hAnsiTheme="minorHAnsi" w:cstheme="minorHAnsi"/>
          <w:sz w:val="22"/>
          <w:szCs w:val="22"/>
        </w:rPr>
        <w:t>3; 2004</w:t>
      </w:r>
      <w:r>
        <w:rPr>
          <w:rFonts w:asciiTheme="minorHAnsi" w:hAnsiTheme="minorHAnsi" w:cstheme="minorHAnsi"/>
          <w:sz w:val="22"/>
          <w:szCs w:val="22"/>
        </w:rPr>
        <w:t xml:space="preserve"> </w:t>
      </w:r>
      <w:r w:rsidRPr="00F36AB0">
        <w:rPr>
          <w:rFonts w:asciiTheme="minorHAnsi" w:hAnsiTheme="minorHAnsi" w:cstheme="minorHAnsi"/>
          <w:sz w:val="22"/>
          <w:szCs w:val="22"/>
        </w:rPr>
        <w:t>m. specialusis leidimas lietuvių</w:t>
      </w:r>
      <w:r>
        <w:rPr>
          <w:rFonts w:asciiTheme="minorHAnsi" w:hAnsiTheme="minorHAnsi" w:cstheme="minorHAnsi"/>
          <w:sz w:val="22"/>
          <w:szCs w:val="22"/>
        </w:rPr>
        <w:t xml:space="preserve"> </w:t>
      </w:r>
      <w:r w:rsidRPr="00F36AB0">
        <w:rPr>
          <w:rFonts w:asciiTheme="minorHAnsi" w:hAnsiTheme="minorHAnsi" w:cstheme="minorHAnsi"/>
          <w:sz w:val="22"/>
          <w:szCs w:val="22"/>
        </w:rPr>
        <w:t>k., 19</w:t>
      </w:r>
      <w:r>
        <w:rPr>
          <w:rFonts w:asciiTheme="minorHAnsi" w:hAnsiTheme="minorHAnsi" w:cstheme="minorHAnsi"/>
          <w:sz w:val="22"/>
          <w:szCs w:val="22"/>
        </w:rPr>
        <w:t xml:space="preserve"> </w:t>
      </w:r>
      <w:r w:rsidRPr="00F36AB0">
        <w:rPr>
          <w:rFonts w:asciiTheme="minorHAnsi" w:hAnsiTheme="minorHAnsi" w:cstheme="minorHAnsi"/>
          <w:sz w:val="22"/>
          <w:szCs w:val="22"/>
        </w:rPr>
        <w:t>sk., 6</w:t>
      </w:r>
      <w:r>
        <w:rPr>
          <w:rFonts w:asciiTheme="minorHAnsi" w:hAnsiTheme="minorHAnsi" w:cstheme="minorHAnsi"/>
          <w:sz w:val="22"/>
          <w:szCs w:val="22"/>
        </w:rPr>
        <w:t xml:space="preserve"> </w:t>
      </w:r>
      <w:r w:rsidRPr="00F36AB0">
        <w:rPr>
          <w:rFonts w:asciiTheme="minorHAnsi" w:hAnsiTheme="minorHAnsi" w:cstheme="minorHAnsi"/>
          <w:sz w:val="22"/>
          <w:szCs w:val="22"/>
        </w:rPr>
        <w:t>t, p.</w:t>
      </w:r>
      <w:r>
        <w:rPr>
          <w:rFonts w:asciiTheme="minorHAnsi" w:hAnsiTheme="minorHAnsi" w:cstheme="minorHAnsi"/>
          <w:sz w:val="22"/>
          <w:szCs w:val="22"/>
        </w:rPr>
        <w:t xml:space="preserve"> </w:t>
      </w:r>
      <w:r w:rsidRPr="00F36AB0">
        <w:rPr>
          <w:rFonts w:asciiTheme="minorHAnsi" w:hAnsiTheme="minorHAnsi" w:cstheme="minorHAnsi"/>
          <w:sz w:val="22"/>
          <w:szCs w:val="22"/>
        </w:rPr>
        <w:t>200 ir klaidų ištaisymas OL L 197, 2017, p.</w:t>
      </w:r>
      <w:r>
        <w:rPr>
          <w:rFonts w:asciiTheme="minorHAnsi" w:hAnsiTheme="minorHAnsi" w:cstheme="minorHAnsi"/>
          <w:sz w:val="22"/>
          <w:szCs w:val="22"/>
        </w:rPr>
        <w:t xml:space="preserve"> 20</w:t>
      </w:r>
      <w:r w:rsidRPr="00F36AB0">
        <w:rPr>
          <w:rFonts w:asciiTheme="minorHAnsi" w:hAnsiTheme="minorHAnsi" w:cstheme="minorHAnsi"/>
          <w:sz w:val="22"/>
          <w:szCs w:val="22"/>
        </w:rPr>
        <w:t>), 9</w:t>
      </w:r>
      <w:r>
        <w:rPr>
          <w:rFonts w:asciiTheme="minorHAnsi" w:hAnsiTheme="minorHAnsi" w:cstheme="minorHAnsi"/>
          <w:sz w:val="22"/>
          <w:szCs w:val="22"/>
        </w:rPr>
        <w:t xml:space="preserve"> </w:t>
      </w:r>
      <w:r w:rsidRPr="00F36AB0">
        <w:rPr>
          <w:rFonts w:asciiTheme="minorHAnsi" w:hAnsiTheme="minorHAnsi" w:cstheme="minorHAnsi"/>
          <w:sz w:val="22"/>
          <w:szCs w:val="22"/>
        </w:rPr>
        <w:t>straipsnio 2</w:t>
      </w:r>
      <w:r>
        <w:rPr>
          <w:rFonts w:asciiTheme="minorHAnsi" w:hAnsiTheme="minorHAnsi" w:cstheme="minorHAnsi"/>
          <w:sz w:val="22"/>
          <w:szCs w:val="22"/>
        </w:rPr>
        <w:t xml:space="preserve"> </w:t>
      </w:r>
      <w:r w:rsidRPr="00F36AB0">
        <w:rPr>
          <w:rFonts w:asciiTheme="minorHAnsi" w:hAnsiTheme="minorHAnsi" w:cstheme="minorHAnsi"/>
          <w:sz w:val="22"/>
          <w:szCs w:val="22"/>
        </w:rPr>
        <w:t xml:space="preserve">dalyje aiškiai nurodyta, kad </w:t>
      </w:r>
      <w:r w:rsidRPr="00DB2189">
        <w:rPr>
          <w:rFonts w:asciiTheme="minorHAnsi" w:hAnsiTheme="minorHAnsi" w:cstheme="minorHAnsi"/>
          <w:sz w:val="22"/>
          <w:szCs w:val="22"/>
          <w:u w:val="single"/>
        </w:rPr>
        <w:t>valstybė narė, kuri dėl vienos iš 29 straipsnio 2 dalyje išvardytų priežasčių negali įvykdyti perdavimo per įprastinį šešių mėnesių terminą, turi apie tai pranešti atsakingai valstybei narei iki šio termino pabaigos, ir joje nenumatyta pareiga šiuo klausimu konsultuotis</w:t>
      </w:r>
      <w:r w:rsidRPr="00F36AB0">
        <w:rPr>
          <w:rFonts w:asciiTheme="minorHAnsi" w:hAnsiTheme="minorHAnsi" w:cstheme="minorHAnsi"/>
          <w:sz w:val="22"/>
          <w:szCs w:val="22"/>
        </w:rPr>
        <w:t xml:space="preserve"> (74 punktas).</w:t>
      </w:r>
    </w:p>
    <w:p w14:paraId="75391578" w14:textId="77777777" w:rsidR="00D22EE4" w:rsidRPr="00F36AB0" w:rsidRDefault="00D22EE4" w:rsidP="00D22EE4">
      <w:pPr>
        <w:pStyle w:val="c01pointnumerotealtn"/>
        <w:shd w:val="clear" w:color="auto" w:fill="FFFFFF"/>
        <w:spacing w:before="0" w:beforeAutospacing="0" w:after="0"/>
        <w:ind w:left="0" w:firstLine="567"/>
        <w:rPr>
          <w:rFonts w:asciiTheme="minorHAnsi" w:hAnsiTheme="minorHAnsi" w:cstheme="minorHAnsi"/>
          <w:sz w:val="22"/>
          <w:szCs w:val="22"/>
        </w:rPr>
      </w:pPr>
    </w:p>
    <w:p w14:paraId="46575521" w14:textId="4EB13C67" w:rsidR="0047132C" w:rsidRPr="00986131" w:rsidRDefault="0047132C" w:rsidP="0047132C">
      <w:pPr>
        <w:pStyle w:val="c01pointnumerotealtn"/>
        <w:shd w:val="clear" w:color="auto" w:fill="FFFFFF"/>
        <w:spacing w:before="0" w:beforeAutospacing="0" w:after="0"/>
        <w:ind w:left="0" w:firstLine="567"/>
        <w:outlineLvl w:val="2"/>
        <w:rPr>
          <w:rFonts w:asciiTheme="minorHAnsi" w:hAnsiTheme="minorHAnsi" w:cstheme="minorHAnsi"/>
          <w:b/>
          <w:sz w:val="22"/>
          <w:szCs w:val="22"/>
        </w:rPr>
      </w:pPr>
      <w:bookmarkStart w:id="16" w:name="_Toc11232452"/>
      <w:bookmarkStart w:id="17" w:name="_Toc11232743"/>
      <w:bookmarkStart w:id="18" w:name="_Toc11757979"/>
      <w:r w:rsidRPr="00986131">
        <w:rPr>
          <w:rFonts w:asciiTheme="minorHAnsi" w:hAnsiTheme="minorHAnsi" w:cstheme="minorHAnsi"/>
          <w:b/>
          <w:sz w:val="22"/>
          <w:szCs w:val="22"/>
        </w:rPr>
        <w:t>Dėl prašytojo perdavimo už jo tarptautinės apsaugos prašymo nagrinėjimą atsakingai valstybei narei, kai toje valstybėje narėje suteikus tokią apsaugą prašytojui kiltų rimta grėsmė patirti nežmonišką ar žeminamą elgesį</w:t>
      </w:r>
      <w:bookmarkEnd w:id="16"/>
      <w:bookmarkEnd w:id="17"/>
      <w:bookmarkEnd w:id="18"/>
    </w:p>
    <w:p w14:paraId="1F69BC7D" w14:textId="77777777" w:rsidR="0047132C" w:rsidRPr="00986131" w:rsidRDefault="0047132C" w:rsidP="0047132C">
      <w:pPr>
        <w:pStyle w:val="c01pointnumerotealtn"/>
        <w:shd w:val="clear" w:color="auto" w:fill="FFFFFF"/>
        <w:spacing w:before="0" w:beforeAutospacing="0" w:after="0"/>
        <w:ind w:left="0" w:firstLine="567"/>
        <w:rPr>
          <w:rFonts w:asciiTheme="minorHAnsi" w:hAnsiTheme="minorHAnsi" w:cstheme="minorHAnsi"/>
          <w:sz w:val="22"/>
          <w:szCs w:val="22"/>
        </w:rPr>
      </w:pPr>
    </w:p>
    <w:p w14:paraId="3670D7A9" w14:textId="77777777" w:rsidR="0047132C" w:rsidRPr="00986131" w:rsidRDefault="0047132C" w:rsidP="0047132C">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Trečiuoju klausimu prašymą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pateikęs teismas siekė išsiaiškinti, ar Chartijos 4 straipsnis turi būti aiškinamas kaip draudžiantis pagal reglamento „Dublinas III“ 29 straipsnį perduoti tarptautinės apsaugos prašytoją valstybei narei, kuri pagal šį reglamentą atsakinga už jo tarptautinės apsaugos prašymo nagrinėjimą, kai, toje valstybėje narėje suteikus tokią apsaugą, dėl tikėtinų gyvenimo sąlygų, su kuriomis šis prašytojas susidurtų kaip asmuo, kuriam minėtoje valstybėje narėje būtų suteikta tarptautinė apsauga, kiltų rimta grėsmė patirti nežmonišką ar žeminamą elgesį, kaip tai suprantama pagal šį 4 straipsnį. Be to, prašymą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pateikusiam teismui neaišku, ar toks klausimas patenka į Sąjungos teisės taikymo sritį. Jis taip pat siekė sužinoti, pagal kokius kriterijus nacionalinis teismas prireikus turi įvertinti asmens, kuriam suteikta tarptautinė apsauga, gyvenimo sąlygas (76 punktas).</w:t>
      </w:r>
    </w:p>
    <w:p w14:paraId="220E367A" w14:textId="77777777" w:rsidR="0047132C" w:rsidRPr="00986131" w:rsidRDefault="0047132C" w:rsidP="0047132C">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Šiuo klausimu Teisingumo Teismas konstatavo, kad valstybės narės sprendimas pagal reglamento „Dublinas III“ 29 straipsnį perduoti prašytoją valstybei narei, kuri pagal šį reglamentą iš esmės yra atsakinga už tarptautinės apsaugos prašymo nagrinėjimą, yra vienas iš bendros Europos prieglobsčio sistemos elementų, todėl juo įgyvendinama Sąjungos teisė, kaip tai suprantama pagal Chartijos 51 straipsnio 1 dalį (pagal analogiją žr. 2011 m. gruodžio 21 d. sprendimo </w:t>
      </w:r>
      <w:r w:rsidRPr="00986131">
        <w:rPr>
          <w:rFonts w:asciiTheme="minorHAnsi" w:hAnsiTheme="minorHAnsi" w:cstheme="minorHAnsi"/>
          <w:i/>
          <w:iCs/>
          <w:sz w:val="22"/>
          <w:szCs w:val="22"/>
        </w:rPr>
        <w:t>N. S. ir kt.</w:t>
      </w:r>
      <w:r w:rsidRPr="00986131">
        <w:rPr>
          <w:rFonts w:asciiTheme="minorHAnsi" w:hAnsiTheme="minorHAnsi" w:cstheme="minorHAnsi"/>
          <w:sz w:val="22"/>
          <w:szCs w:val="22"/>
        </w:rPr>
        <w:t>, C</w:t>
      </w:r>
      <w:r w:rsidRPr="00986131">
        <w:rPr>
          <w:rFonts w:asciiTheme="minorHAnsi" w:hAnsiTheme="minorHAnsi" w:cstheme="minorHAnsi"/>
          <w:sz w:val="22"/>
          <w:szCs w:val="22"/>
        </w:rPr>
        <w:noBreakHyphen/>
        <w:t>411/10 ir C</w:t>
      </w:r>
      <w:r w:rsidRPr="00986131">
        <w:rPr>
          <w:rFonts w:asciiTheme="minorHAnsi" w:hAnsiTheme="minorHAnsi" w:cstheme="minorHAnsi"/>
          <w:sz w:val="22"/>
          <w:szCs w:val="22"/>
        </w:rPr>
        <w:noBreakHyphen/>
        <w:t xml:space="preserve">493/10, EU:C:2011:865, 68 ir 69 punktus; 2017 m. vasario 16 d. sprendimo </w:t>
      </w:r>
      <w:r w:rsidRPr="00986131">
        <w:rPr>
          <w:rFonts w:asciiTheme="minorHAnsi" w:hAnsiTheme="minorHAnsi" w:cstheme="minorHAnsi"/>
          <w:i/>
          <w:iCs/>
          <w:sz w:val="22"/>
          <w:szCs w:val="22"/>
        </w:rPr>
        <w:t>C. K. ir kt.</w:t>
      </w:r>
      <w:r w:rsidRPr="00986131">
        <w:rPr>
          <w:rFonts w:asciiTheme="minorHAnsi" w:hAnsiTheme="minorHAnsi" w:cstheme="minorHAnsi"/>
          <w:sz w:val="22"/>
          <w:szCs w:val="22"/>
        </w:rPr>
        <w:t>, C</w:t>
      </w:r>
      <w:r w:rsidRPr="00986131">
        <w:rPr>
          <w:rFonts w:asciiTheme="minorHAnsi" w:hAnsiTheme="minorHAnsi" w:cstheme="minorHAnsi"/>
          <w:sz w:val="22"/>
          <w:szCs w:val="22"/>
        </w:rPr>
        <w:noBreakHyphen/>
        <w:t xml:space="preserve">578/16 PPU, EU:C:2017:127, 53 ir 54 punktus). Iš suformuotos jurisprudencijos taip pat matyti, kad reglamento „Dublinas III“ nuostatos turi būti aiškinamos ir taikomos taip, kad būtų paisoma Chartijos garantuojamų pagrindinių teisių, visų pirma jos 4 straipsnio, kuris be jokių išlygų draudžia visų formų nežmonišką ar žeminamą elgesį, yra esminės svarbos ir bendro bei absoliutaus pobūdžio, nes yra glaudžiai susijęs su Chartijos 1 straipsnyje nurodytu žmogaus orumo gerbimu (šiuo klausimu žr. 2016 m. balandžio 5 d. sprendimo </w:t>
      </w:r>
      <w:proofErr w:type="spellStart"/>
      <w:r w:rsidRPr="00986131">
        <w:rPr>
          <w:rFonts w:asciiTheme="minorHAnsi" w:hAnsiTheme="minorHAnsi" w:cstheme="minorHAnsi"/>
          <w:i/>
          <w:iCs/>
          <w:sz w:val="22"/>
          <w:szCs w:val="22"/>
        </w:rPr>
        <w:t>Aranyosi</w:t>
      </w:r>
      <w:proofErr w:type="spellEnd"/>
      <w:r w:rsidRPr="00986131">
        <w:rPr>
          <w:rFonts w:asciiTheme="minorHAnsi" w:hAnsiTheme="minorHAnsi" w:cstheme="minorHAnsi"/>
          <w:i/>
          <w:iCs/>
          <w:sz w:val="22"/>
          <w:szCs w:val="22"/>
        </w:rPr>
        <w:t xml:space="preserve"> ir </w:t>
      </w:r>
      <w:proofErr w:type="spellStart"/>
      <w:r w:rsidRPr="00986131">
        <w:rPr>
          <w:rFonts w:asciiTheme="minorHAnsi" w:hAnsiTheme="minorHAnsi" w:cstheme="minorHAnsi"/>
          <w:i/>
          <w:iCs/>
          <w:sz w:val="22"/>
          <w:szCs w:val="22"/>
        </w:rPr>
        <w:t>Căldăraru</w:t>
      </w:r>
      <w:proofErr w:type="spellEnd"/>
      <w:r w:rsidRPr="00986131">
        <w:rPr>
          <w:rFonts w:asciiTheme="minorHAnsi" w:hAnsiTheme="minorHAnsi" w:cstheme="minorHAnsi"/>
          <w:sz w:val="22"/>
          <w:szCs w:val="22"/>
        </w:rPr>
        <w:t>, C</w:t>
      </w:r>
      <w:r w:rsidRPr="00986131">
        <w:rPr>
          <w:rFonts w:asciiTheme="minorHAnsi" w:hAnsiTheme="minorHAnsi" w:cstheme="minorHAnsi"/>
          <w:sz w:val="22"/>
          <w:szCs w:val="22"/>
        </w:rPr>
        <w:noBreakHyphen/>
        <w:t>404/15 ir C</w:t>
      </w:r>
      <w:r w:rsidRPr="00986131">
        <w:rPr>
          <w:rFonts w:asciiTheme="minorHAnsi" w:hAnsiTheme="minorHAnsi" w:cstheme="minorHAnsi"/>
          <w:sz w:val="22"/>
          <w:szCs w:val="22"/>
        </w:rPr>
        <w:noBreakHyphen/>
        <w:t xml:space="preserve">659/15 PPU, EU:C:2016:198, 85 ir 86 punktus; 2017 m. vasario 16 d. sprendimo </w:t>
      </w:r>
      <w:r w:rsidRPr="00986131">
        <w:rPr>
          <w:rFonts w:asciiTheme="minorHAnsi" w:hAnsiTheme="minorHAnsi" w:cstheme="minorHAnsi"/>
          <w:i/>
          <w:iCs/>
          <w:sz w:val="22"/>
          <w:szCs w:val="22"/>
        </w:rPr>
        <w:t>C. K. ir kt.</w:t>
      </w:r>
      <w:r w:rsidRPr="00986131">
        <w:rPr>
          <w:rFonts w:asciiTheme="minorHAnsi" w:hAnsiTheme="minorHAnsi" w:cstheme="minorHAnsi"/>
          <w:sz w:val="22"/>
          <w:szCs w:val="22"/>
        </w:rPr>
        <w:t>, C</w:t>
      </w:r>
      <w:r w:rsidRPr="00986131">
        <w:rPr>
          <w:rFonts w:asciiTheme="minorHAnsi" w:hAnsiTheme="minorHAnsi" w:cstheme="minorHAnsi"/>
          <w:sz w:val="22"/>
          <w:szCs w:val="22"/>
        </w:rPr>
        <w:noBreakHyphen/>
        <w:t xml:space="preserve">578/16 PPU, EU:C:2017:127, </w:t>
      </w:r>
      <w:r w:rsidRPr="00986131">
        <w:rPr>
          <w:rFonts w:asciiTheme="minorHAnsi" w:hAnsiTheme="minorHAnsi" w:cstheme="minorHAnsi"/>
          <w:sz w:val="22"/>
          <w:szCs w:val="22"/>
        </w:rPr>
        <w:lastRenderedPageBreak/>
        <w:t>59, 69 ir 93 punktus). Todėl trečiasis klausimas yra Sąjungos teisės aiškinimo klausimas, kaip tai suprantama pagal SESV 267 straipsnį (77–79 punktai).</w:t>
      </w:r>
    </w:p>
    <w:p w14:paraId="164CB61F" w14:textId="77777777" w:rsidR="0047132C" w:rsidRPr="00986131" w:rsidRDefault="0047132C" w:rsidP="0047132C">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Teisingumo Teismas priminė, kad Sąjungos teisė remiasi pamatine prielaida, pagal kurią kiekviena valstybė narė dalijasi su kitomis valstybėmis narėmis daugeliu bendrų vertybių, kuriomis pagrįsta Sąjunga, kaip aiškiai nurodyta ESS 2 straipsnyje, ir pripažįsta, kad kitos valstybės narės su ja jomis dalijasi. Ši prielaida suponuoja ir pateisina valstybių narių tarpusavio pasitikėjimą pripažįstant šias vertybes, taigi ir laikantis Sąjungos teisės, kuri jas įgyvendina (šiuo klausimu žr. 2018 m. liepos 25 d. sprendimo </w:t>
      </w:r>
      <w:proofErr w:type="spellStart"/>
      <w:r w:rsidRPr="00986131">
        <w:rPr>
          <w:rFonts w:asciiTheme="minorHAnsi" w:hAnsiTheme="minorHAnsi" w:cstheme="minorHAnsi"/>
          <w:i/>
          <w:iCs/>
          <w:sz w:val="22"/>
          <w:szCs w:val="22"/>
        </w:rPr>
        <w:t>Minister</w:t>
      </w:r>
      <w:proofErr w:type="spellEnd"/>
      <w:r w:rsidRPr="00986131">
        <w:rPr>
          <w:rFonts w:asciiTheme="minorHAnsi" w:hAnsiTheme="minorHAnsi" w:cstheme="minorHAnsi"/>
          <w:i/>
          <w:iCs/>
          <w:sz w:val="22"/>
          <w:szCs w:val="22"/>
        </w:rPr>
        <w:t xml:space="preserve"> </w:t>
      </w:r>
      <w:proofErr w:type="spellStart"/>
      <w:r w:rsidRPr="00986131">
        <w:rPr>
          <w:rFonts w:asciiTheme="minorHAnsi" w:hAnsiTheme="minorHAnsi" w:cstheme="minorHAnsi"/>
          <w:i/>
          <w:iCs/>
          <w:sz w:val="22"/>
          <w:szCs w:val="22"/>
        </w:rPr>
        <w:t>for</w:t>
      </w:r>
      <w:proofErr w:type="spellEnd"/>
      <w:r w:rsidRPr="00986131">
        <w:rPr>
          <w:rFonts w:asciiTheme="minorHAnsi" w:hAnsiTheme="minorHAnsi" w:cstheme="minorHAnsi"/>
          <w:i/>
          <w:iCs/>
          <w:sz w:val="22"/>
          <w:szCs w:val="22"/>
        </w:rPr>
        <w:t xml:space="preserve"> </w:t>
      </w:r>
      <w:proofErr w:type="spellStart"/>
      <w:r w:rsidRPr="00986131">
        <w:rPr>
          <w:rFonts w:asciiTheme="minorHAnsi" w:hAnsiTheme="minorHAnsi" w:cstheme="minorHAnsi"/>
          <w:i/>
          <w:iCs/>
          <w:sz w:val="22"/>
          <w:szCs w:val="22"/>
        </w:rPr>
        <w:t>Justice</w:t>
      </w:r>
      <w:proofErr w:type="spellEnd"/>
      <w:r w:rsidRPr="00986131">
        <w:rPr>
          <w:rFonts w:asciiTheme="minorHAnsi" w:hAnsiTheme="minorHAnsi" w:cstheme="minorHAnsi"/>
          <w:i/>
          <w:iCs/>
          <w:sz w:val="22"/>
          <w:szCs w:val="22"/>
        </w:rPr>
        <w:t xml:space="preserve"> </w:t>
      </w:r>
      <w:proofErr w:type="spellStart"/>
      <w:r w:rsidRPr="00986131">
        <w:rPr>
          <w:rFonts w:asciiTheme="minorHAnsi" w:hAnsiTheme="minorHAnsi" w:cstheme="minorHAnsi"/>
          <w:i/>
          <w:iCs/>
          <w:sz w:val="22"/>
          <w:szCs w:val="22"/>
        </w:rPr>
        <w:t>and</w:t>
      </w:r>
      <w:proofErr w:type="spellEnd"/>
      <w:r w:rsidRPr="00986131">
        <w:rPr>
          <w:rFonts w:asciiTheme="minorHAnsi" w:hAnsiTheme="minorHAnsi" w:cstheme="minorHAnsi"/>
          <w:i/>
          <w:iCs/>
          <w:sz w:val="22"/>
          <w:szCs w:val="22"/>
        </w:rPr>
        <w:t xml:space="preserve"> </w:t>
      </w:r>
      <w:proofErr w:type="spellStart"/>
      <w:r w:rsidRPr="00986131">
        <w:rPr>
          <w:rFonts w:asciiTheme="minorHAnsi" w:hAnsiTheme="minorHAnsi" w:cstheme="minorHAnsi"/>
          <w:i/>
          <w:iCs/>
          <w:sz w:val="22"/>
          <w:szCs w:val="22"/>
        </w:rPr>
        <w:t>Equality</w:t>
      </w:r>
      <w:proofErr w:type="spellEnd"/>
      <w:r w:rsidRPr="00986131">
        <w:rPr>
          <w:rFonts w:asciiTheme="minorHAnsi" w:hAnsiTheme="minorHAnsi" w:cstheme="minorHAnsi"/>
          <w:sz w:val="22"/>
          <w:szCs w:val="22"/>
        </w:rPr>
        <w:t>, C</w:t>
      </w:r>
      <w:r w:rsidRPr="00986131">
        <w:rPr>
          <w:rFonts w:asciiTheme="minorHAnsi" w:hAnsiTheme="minorHAnsi" w:cstheme="minorHAnsi"/>
          <w:sz w:val="22"/>
          <w:szCs w:val="22"/>
        </w:rPr>
        <w:noBreakHyphen/>
        <w:t xml:space="preserve">216/18 PPU, EU:C:2018:586, 35 punktą ir jame nurodytą jurisprudenciją), ir pasitikėjimą tuo, kad jų atitinkamos nacionalinės teisės sistemos galės užtikrinti lygiavertę ir veiksmingą Chartijoje, visų pirma jos 1 ir 4 straipsniuose, kuriuose įtvirtinta viena iš pamatinių Sąjungos ir jos valstybių narių vertybių, pripažintų pagrindinių teisių apsaugą (šiuo klausimu žr. 2016 m. balandžio 5 d. sprendimo </w:t>
      </w:r>
      <w:proofErr w:type="spellStart"/>
      <w:r w:rsidRPr="00986131">
        <w:rPr>
          <w:rFonts w:asciiTheme="minorHAnsi" w:hAnsiTheme="minorHAnsi" w:cstheme="minorHAnsi"/>
          <w:i/>
          <w:iCs/>
          <w:sz w:val="22"/>
          <w:szCs w:val="22"/>
        </w:rPr>
        <w:t>Aranyosi</w:t>
      </w:r>
      <w:proofErr w:type="spellEnd"/>
      <w:r w:rsidRPr="00986131">
        <w:rPr>
          <w:rFonts w:asciiTheme="minorHAnsi" w:hAnsiTheme="minorHAnsi" w:cstheme="minorHAnsi"/>
          <w:i/>
          <w:iCs/>
          <w:sz w:val="22"/>
          <w:szCs w:val="22"/>
        </w:rPr>
        <w:t xml:space="preserve"> ir </w:t>
      </w:r>
      <w:proofErr w:type="spellStart"/>
      <w:r w:rsidRPr="00986131">
        <w:rPr>
          <w:rFonts w:asciiTheme="minorHAnsi" w:hAnsiTheme="minorHAnsi" w:cstheme="minorHAnsi"/>
          <w:i/>
          <w:iCs/>
          <w:sz w:val="22"/>
          <w:szCs w:val="22"/>
        </w:rPr>
        <w:t>Căldăraru</w:t>
      </w:r>
      <w:proofErr w:type="spellEnd"/>
      <w:r w:rsidRPr="00986131">
        <w:rPr>
          <w:rFonts w:asciiTheme="minorHAnsi" w:hAnsiTheme="minorHAnsi" w:cstheme="minorHAnsi"/>
          <w:sz w:val="22"/>
          <w:szCs w:val="22"/>
        </w:rPr>
        <w:t>, C</w:t>
      </w:r>
      <w:r w:rsidRPr="00986131">
        <w:rPr>
          <w:rFonts w:asciiTheme="minorHAnsi" w:hAnsiTheme="minorHAnsi" w:cstheme="minorHAnsi"/>
          <w:sz w:val="22"/>
          <w:szCs w:val="22"/>
        </w:rPr>
        <w:noBreakHyphen/>
        <w:t>404/15 ir C</w:t>
      </w:r>
      <w:r w:rsidRPr="00986131">
        <w:rPr>
          <w:rFonts w:asciiTheme="minorHAnsi" w:hAnsiTheme="minorHAnsi" w:cstheme="minorHAnsi"/>
          <w:sz w:val="22"/>
          <w:szCs w:val="22"/>
        </w:rPr>
        <w:noBreakHyphen/>
        <w:t>659/15 PPU, EU:C:2016:198, 77 ir 87 punktus) (80 punktas).</w:t>
      </w:r>
    </w:p>
    <w:p w14:paraId="576E7D3F" w14:textId="77777777" w:rsidR="00D22EE4" w:rsidRPr="00F36AB0" w:rsidRDefault="00D22EE4" w:rsidP="00D22EE4">
      <w:pPr>
        <w:pStyle w:val="c01pointnumerotealtn"/>
        <w:shd w:val="clear" w:color="auto" w:fill="FFFFFF"/>
        <w:spacing w:before="0" w:beforeAutospacing="0" w:after="0"/>
        <w:ind w:left="0" w:firstLine="567"/>
        <w:rPr>
          <w:rFonts w:asciiTheme="minorHAnsi" w:hAnsiTheme="minorHAnsi" w:cstheme="minorHAnsi"/>
          <w:sz w:val="22"/>
          <w:szCs w:val="22"/>
        </w:rPr>
      </w:pPr>
      <w:r w:rsidRPr="00F36AB0">
        <w:rPr>
          <w:rFonts w:asciiTheme="minorHAnsi" w:hAnsiTheme="minorHAnsi" w:cstheme="minorHAnsi"/>
          <w:sz w:val="22"/>
          <w:szCs w:val="22"/>
        </w:rPr>
        <w:t xml:space="preserve">Valstybių narių tarpusavio pasitikėjimo principui Sąjungos teisėje tenka esminė svarba, nes jis leidžia sukurti ir išlaikyti erdvę be vidaus sienų. Kalbant konkrečiau, </w:t>
      </w:r>
      <w:r w:rsidRPr="003A6A11">
        <w:rPr>
          <w:rFonts w:asciiTheme="minorHAnsi" w:hAnsiTheme="minorHAnsi" w:cstheme="minorHAnsi"/>
          <w:sz w:val="22"/>
          <w:szCs w:val="22"/>
          <w:u w:val="single"/>
        </w:rPr>
        <w:t>tarpusavio pasitikėjimo principas, be kita ko, reikalauja, kad, kiek tai susiję su laisvės, saugumo ir teisingumo erdve, kiekviena valstybė laikytųsi nuostatos, jog, išskyrus atvejus, kai yra išimtinių aplinkybių, visos kitos valstybės narės paiso Sąjungos teisės ir ypač šioje teisėje įtvirtintų pagrindinių teisių</w:t>
      </w:r>
      <w:r w:rsidRPr="00F36AB0">
        <w:rPr>
          <w:rFonts w:asciiTheme="minorHAnsi" w:hAnsiTheme="minorHAnsi" w:cstheme="minorHAnsi"/>
          <w:sz w:val="22"/>
          <w:szCs w:val="22"/>
        </w:rPr>
        <w:t xml:space="preserve"> (šiuo klausimu žr. 2016</w:t>
      </w:r>
      <w:r>
        <w:rPr>
          <w:rFonts w:asciiTheme="minorHAnsi" w:hAnsiTheme="minorHAnsi" w:cstheme="minorHAnsi"/>
          <w:sz w:val="22"/>
          <w:szCs w:val="22"/>
        </w:rPr>
        <w:t xml:space="preserve"> </w:t>
      </w:r>
      <w:r w:rsidRPr="00F36AB0">
        <w:rPr>
          <w:rFonts w:asciiTheme="minorHAnsi" w:hAnsiTheme="minorHAnsi" w:cstheme="minorHAnsi"/>
          <w:sz w:val="22"/>
          <w:szCs w:val="22"/>
        </w:rPr>
        <w:t>m. balandžio 5</w:t>
      </w:r>
      <w:r>
        <w:rPr>
          <w:rFonts w:asciiTheme="minorHAnsi" w:hAnsiTheme="minorHAnsi" w:cstheme="minorHAnsi"/>
          <w:sz w:val="22"/>
          <w:szCs w:val="22"/>
        </w:rPr>
        <w:t xml:space="preserve"> </w:t>
      </w:r>
      <w:r w:rsidRPr="00F36AB0">
        <w:rPr>
          <w:rFonts w:asciiTheme="minorHAnsi" w:hAnsiTheme="minorHAnsi" w:cstheme="minorHAnsi"/>
          <w:sz w:val="22"/>
          <w:szCs w:val="22"/>
        </w:rPr>
        <w:t xml:space="preserve">d. </w:t>
      </w:r>
      <w:r>
        <w:rPr>
          <w:rFonts w:asciiTheme="minorHAnsi" w:hAnsiTheme="minorHAnsi" w:cstheme="minorHAnsi"/>
          <w:sz w:val="22"/>
          <w:szCs w:val="22"/>
        </w:rPr>
        <w:t>s</w:t>
      </w:r>
      <w:r w:rsidRPr="00F36AB0">
        <w:rPr>
          <w:rFonts w:asciiTheme="minorHAnsi" w:hAnsiTheme="minorHAnsi" w:cstheme="minorHAnsi"/>
          <w:sz w:val="22"/>
          <w:szCs w:val="22"/>
        </w:rPr>
        <w:t xml:space="preserve">prendimo </w:t>
      </w:r>
      <w:proofErr w:type="spellStart"/>
      <w:r w:rsidRPr="00F36AB0">
        <w:rPr>
          <w:rFonts w:asciiTheme="minorHAnsi" w:hAnsiTheme="minorHAnsi" w:cstheme="minorHAnsi"/>
          <w:i/>
          <w:iCs/>
          <w:sz w:val="22"/>
          <w:szCs w:val="22"/>
        </w:rPr>
        <w:t>Aranyosi</w:t>
      </w:r>
      <w:proofErr w:type="spellEnd"/>
      <w:r w:rsidRPr="00F36AB0">
        <w:rPr>
          <w:rFonts w:asciiTheme="minorHAnsi" w:hAnsiTheme="minorHAnsi" w:cstheme="minorHAnsi"/>
          <w:i/>
          <w:iCs/>
          <w:sz w:val="22"/>
          <w:szCs w:val="22"/>
        </w:rPr>
        <w:t xml:space="preserve"> ir </w:t>
      </w:r>
      <w:proofErr w:type="spellStart"/>
      <w:r w:rsidRPr="00F36AB0">
        <w:rPr>
          <w:rFonts w:asciiTheme="minorHAnsi" w:hAnsiTheme="minorHAnsi" w:cstheme="minorHAnsi"/>
          <w:i/>
          <w:iCs/>
          <w:sz w:val="22"/>
          <w:szCs w:val="22"/>
        </w:rPr>
        <w:t>Căldăraru</w:t>
      </w:r>
      <w:proofErr w:type="spellEnd"/>
      <w:r w:rsidRPr="00F36AB0">
        <w:rPr>
          <w:rFonts w:asciiTheme="minorHAnsi" w:hAnsiTheme="minorHAnsi" w:cstheme="minorHAnsi"/>
          <w:sz w:val="22"/>
          <w:szCs w:val="22"/>
        </w:rPr>
        <w:t>, C</w:t>
      </w:r>
      <w:r w:rsidRPr="00F36AB0">
        <w:rPr>
          <w:rFonts w:asciiTheme="minorHAnsi" w:hAnsiTheme="minorHAnsi" w:cstheme="minorHAnsi"/>
          <w:sz w:val="22"/>
          <w:szCs w:val="22"/>
        </w:rPr>
        <w:noBreakHyphen/>
        <w:t>404/15 ir C</w:t>
      </w:r>
      <w:r w:rsidRPr="00F36AB0">
        <w:rPr>
          <w:rFonts w:asciiTheme="minorHAnsi" w:hAnsiTheme="minorHAnsi" w:cstheme="minorHAnsi"/>
          <w:sz w:val="22"/>
          <w:szCs w:val="22"/>
        </w:rPr>
        <w:noBreakHyphen/>
        <w:t>659/15</w:t>
      </w:r>
      <w:r>
        <w:rPr>
          <w:rFonts w:asciiTheme="minorHAnsi" w:hAnsiTheme="minorHAnsi" w:cstheme="minorHAnsi"/>
          <w:sz w:val="22"/>
          <w:szCs w:val="22"/>
        </w:rPr>
        <w:t xml:space="preserve"> </w:t>
      </w:r>
      <w:r w:rsidRPr="00F36AB0">
        <w:rPr>
          <w:rFonts w:asciiTheme="minorHAnsi" w:hAnsiTheme="minorHAnsi" w:cstheme="minorHAnsi"/>
          <w:sz w:val="22"/>
          <w:szCs w:val="22"/>
        </w:rPr>
        <w:t>PPU, EU:C:2016:198, 78</w:t>
      </w:r>
      <w:r>
        <w:rPr>
          <w:rFonts w:asciiTheme="minorHAnsi" w:hAnsiTheme="minorHAnsi" w:cstheme="minorHAnsi"/>
          <w:sz w:val="22"/>
          <w:szCs w:val="22"/>
        </w:rPr>
        <w:t xml:space="preserve"> </w:t>
      </w:r>
      <w:r w:rsidRPr="00F36AB0">
        <w:rPr>
          <w:rFonts w:asciiTheme="minorHAnsi" w:hAnsiTheme="minorHAnsi" w:cstheme="minorHAnsi"/>
          <w:sz w:val="22"/>
          <w:szCs w:val="22"/>
        </w:rPr>
        <w:t>punktą</w:t>
      </w:r>
      <w:r>
        <w:rPr>
          <w:rFonts w:asciiTheme="minorHAnsi" w:hAnsiTheme="minorHAnsi" w:cstheme="minorHAnsi"/>
          <w:sz w:val="22"/>
          <w:szCs w:val="22"/>
        </w:rPr>
        <w:t xml:space="preserve">; 2018 m. liepos 25 </w:t>
      </w:r>
      <w:r w:rsidRPr="00F36AB0">
        <w:rPr>
          <w:rFonts w:asciiTheme="minorHAnsi" w:hAnsiTheme="minorHAnsi" w:cstheme="minorHAnsi"/>
          <w:sz w:val="22"/>
          <w:szCs w:val="22"/>
        </w:rPr>
        <w:t xml:space="preserve">d. </w:t>
      </w:r>
      <w:r>
        <w:rPr>
          <w:rFonts w:asciiTheme="minorHAnsi" w:hAnsiTheme="minorHAnsi" w:cstheme="minorHAnsi"/>
          <w:sz w:val="22"/>
          <w:szCs w:val="22"/>
        </w:rPr>
        <w:t>s</w:t>
      </w:r>
      <w:r w:rsidRPr="00F36AB0">
        <w:rPr>
          <w:rFonts w:asciiTheme="minorHAnsi" w:hAnsiTheme="minorHAnsi" w:cstheme="minorHAnsi"/>
          <w:sz w:val="22"/>
          <w:szCs w:val="22"/>
        </w:rPr>
        <w:t xml:space="preserve">prendimo </w:t>
      </w:r>
      <w:proofErr w:type="spellStart"/>
      <w:r w:rsidRPr="00F36AB0">
        <w:rPr>
          <w:rFonts w:asciiTheme="minorHAnsi" w:hAnsiTheme="minorHAnsi" w:cstheme="minorHAnsi"/>
          <w:i/>
          <w:iCs/>
          <w:sz w:val="22"/>
          <w:szCs w:val="22"/>
        </w:rPr>
        <w:t>Minister</w:t>
      </w:r>
      <w:proofErr w:type="spellEnd"/>
      <w:r w:rsidRPr="00F36AB0">
        <w:rPr>
          <w:rFonts w:asciiTheme="minorHAnsi" w:hAnsiTheme="minorHAnsi" w:cstheme="minorHAnsi"/>
          <w:i/>
          <w:iCs/>
          <w:sz w:val="22"/>
          <w:szCs w:val="22"/>
        </w:rPr>
        <w:t xml:space="preserve"> </w:t>
      </w:r>
      <w:proofErr w:type="spellStart"/>
      <w:r w:rsidRPr="00F36AB0">
        <w:rPr>
          <w:rFonts w:asciiTheme="minorHAnsi" w:hAnsiTheme="minorHAnsi" w:cstheme="minorHAnsi"/>
          <w:i/>
          <w:iCs/>
          <w:sz w:val="22"/>
          <w:szCs w:val="22"/>
        </w:rPr>
        <w:t>for</w:t>
      </w:r>
      <w:proofErr w:type="spellEnd"/>
      <w:r w:rsidRPr="00F36AB0">
        <w:rPr>
          <w:rFonts w:asciiTheme="minorHAnsi" w:hAnsiTheme="minorHAnsi" w:cstheme="minorHAnsi"/>
          <w:i/>
          <w:iCs/>
          <w:sz w:val="22"/>
          <w:szCs w:val="22"/>
        </w:rPr>
        <w:t xml:space="preserve"> </w:t>
      </w:r>
      <w:proofErr w:type="spellStart"/>
      <w:r w:rsidRPr="00F36AB0">
        <w:rPr>
          <w:rFonts w:asciiTheme="minorHAnsi" w:hAnsiTheme="minorHAnsi" w:cstheme="minorHAnsi"/>
          <w:i/>
          <w:iCs/>
          <w:sz w:val="22"/>
          <w:szCs w:val="22"/>
        </w:rPr>
        <w:t>Justice</w:t>
      </w:r>
      <w:proofErr w:type="spellEnd"/>
      <w:r w:rsidRPr="00F36AB0">
        <w:rPr>
          <w:rFonts w:asciiTheme="minorHAnsi" w:hAnsiTheme="minorHAnsi" w:cstheme="minorHAnsi"/>
          <w:i/>
          <w:iCs/>
          <w:sz w:val="22"/>
          <w:szCs w:val="22"/>
        </w:rPr>
        <w:t xml:space="preserve"> </w:t>
      </w:r>
      <w:proofErr w:type="spellStart"/>
      <w:r w:rsidRPr="00F36AB0">
        <w:rPr>
          <w:rFonts w:asciiTheme="minorHAnsi" w:hAnsiTheme="minorHAnsi" w:cstheme="minorHAnsi"/>
          <w:i/>
          <w:iCs/>
          <w:sz w:val="22"/>
          <w:szCs w:val="22"/>
        </w:rPr>
        <w:t>and</w:t>
      </w:r>
      <w:proofErr w:type="spellEnd"/>
      <w:r w:rsidRPr="00F36AB0">
        <w:rPr>
          <w:rFonts w:asciiTheme="minorHAnsi" w:hAnsiTheme="minorHAnsi" w:cstheme="minorHAnsi"/>
          <w:i/>
          <w:iCs/>
          <w:sz w:val="22"/>
          <w:szCs w:val="22"/>
        </w:rPr>
        <w:t xml:space="preserve"> </w:t>
      </w:r>
      <w:proofErr w:type="spellStart"/>
      <w:r w:rsidRPr="00F36AB0">
        <w:rPr>
          <w:rFonts w:asciiTheme="minorHAnsi" w:hAnsiTheme="minorHAnsi" w:cstheme="minorHAnsi"/>
          <w:i/>
          <w:iCs/>
          <w:sz w:val="22"/>
          <w:szCs w:val="22"/>
        </w:rPr>
        <w:t>Equality</w:t>
      </w:r>
      <w:proofErr w:type="spellEnd"/>
      <w:r w:rsidRPr="00F36AB0">
        <w:rPr>
          <w:rFonts w:asciiTheme="minorHAnsi" w:hAnsiTheme="minorHAnsi" w:cstheme="minorHAnsi"/>
          <w:sz w:val="22"/>
          <w:szCs w:val="22"/>
        </w:rPr>
        <w:t xml:space="preserve"> (teisingumo sistemos trūkumai), C</w:t>
      </w:r>
      <w:r w:rsidRPr="00F36AB0">
        <w:rPr>
          <w:rFonts w:asciiTheme="minorHAnsi" w:hAnsiTheme="minorHAnsi" w:cstheme="minorHAnsi"/>
          <w:sz w:val="22"/>
          <w:szCs w:val="22"/>
        </w:rPr>
        <w:noBreakHyphen/>
        <w:t>216/18</w:t>
      </w:r>
      <w:r>
        <w:rPr>
          <w:rFonts w:asciiTheme="minorHAnsi" w:hAnsiTheme="minorHAnsi" w:cstheme="minorHAnsi"/>
          <w:sz w:val="22"/>
          <w:szCs w:val="22"/>
        </w:rPr>
        <w:t xml:space="preserve"> </w:t>
      </w:r>
      <w:r w:rsidRPr="00F36AB0">
        <w:rPr>
          <w:rFonts w:asciiTheme="minorHAnsi" w:hAnsiTheme="minorHAnsi" w:cstheme="minorHAnsi"/>
          <w:sz w:val="22"/>
          <w:szCs w:val="22"/>
        </w:rPr>
        <w:t>PPU, EU:C:2018:586, 36</w:t>
      </w:r>
      <w:r>
        <w:rPr>
          <w:rFonts w:asciiTheme="minorHAnsi" w:hAnsiTheme="minorHAnsi" w:cstheme="minorHAnsi"/>
          <w:sz w:val="22"/>
          <w:szCs w:val="22"/>
        </w:rPr>
        <w:t xml:space="preserve"> </w:t>
      </w:r>
      <w:r w:rsidRPr="00F36AB0">
        <w:rPr>
          <w:rFonts w:asciiTheme="minorHAnsi" w:hAnsiTheme="minorHAnsi" w:cstheme="minorHAnsi"/>
          <w:sz w:val="22"/>
          <w:szCs w:val="22"/>
        </w:rPr>
        <w:t>punktą)</w:t>
      </w:r>
      <w:r>
        <w:rPr>
          <w:rFonts w:asciiTheme="minorHAnsi" w:hAnsiTheme="minorHAnsi" w:cstheme="minorHAnsi"/>
          <w:sz w:val="22"/>
          <w:szCs w:val="22"/>
        </w:rPr>
        <w:t xml:space="preserve"> (81 punktas)</w:t>
      </w:r>
      <w:r w:rsidRPr="00F36AB0">
        <w:rPr>
          <w:rFonts w:asciiTheme="minorHAnsi" w:hAnsiTheme="minorHAnsi" w:cstheme="minorHAnsi"/>
          <w:sz w:val="22"/>
          <w:szCs w:val="22"/>
        </w:rPr>
        <w:t>.</w:t>
      </w:r>
    </w:p>
    <w:p w14:paraId="44C7B932" w14:textId="77777777" w:rsidR="00D22EE4" w:rsidRPr="00F36AB0" w:rsidRDefault="00D22EE4" w:rsidP="00D22EE4">
      <w:pPr>
        <w:pStyle w:val="c01pointnumerotealtn"/>
        <w:shd w:val="clear" w:color="auto" w:fill="FFFFFF"/>
        <w:spacing w:before="0" w:beforeAutospacing="0" w:after="0"/>
        <w:ind w:left="0" w:firstLine="567"/>
        <w:rPr>
          <w:rFonts w:asciiTheme="minorHAnsi" w:hAnsiTheme="minorHAnsi" w:cstheme="minorHAnsi"/>
          <w:sz w:val="22"/>
          <w:szCs w:val="22"/>
        </w:rPr>
      </w:pPr>
      <w:r w:rsidRPr="00F36AB0">
        <w:rPr>
          <w:rFonts w:asciiTheme="minorHAnsi" w:hAnsiTheme="minorHAnsi" w:cstheme="minorHAnsi"/>
          <w:sz w:val="22"/>
          <w:szCs w:val="22"/>
        </w:rPr>
        <w:t xml:space="preserve">Todėl turint galvoje bendrą Europos prieglobsčio sistemą ir ypač reglamentą „Dublinas III“, kuris grindžiamas tarpusavio pasitikėjimo principu ir kuriuo siekiama racionalizuojant tarptautinės apsaugos prašymus pagreitinti jų nagrinėjimą tiek prašytojų, tiek suinteresuotųjų valstybių labui, </w:t>
      </w:r>
      <w:proofErr w:type="spellStart"/>
      <w:r w:rsidRPr="003A6A11">
        <w:rPr>
          <w:rFonts w:asciiTheme="minorHAnsi" w:hAnsiTheme="minorHAnsi" w:cstheme="minorHAnsi"/>
          <w:sz w:val="22"/>
          <w:szCs w:val="22"/>
          <w:u w:val="single"/>
        </w:rPr>
        <w:t>preziumuotina</w:t>
      </w:r>
      <w:proofErr w:type="spellEnd"/>
      <w:r w:rsidRPr="003A6A11">
        <w:rPr>
          <w:rFonts w:asciiTheme="minorHAnsi" w:hAnsiTheme="minorHAnsi" w:cstheme="minorHAnsi"/>
          <w:sz w:val="22"/>
          <w:szCs w:val="22"/>
          <w:u w:val="single"/>
        </w:rPr>
        <w:t>, kad elgesys su tokios apsaugos prašytojais kiekvienoje valstybėje narėje atitinka Chartijos, 1951 m. liepos 28 d. Ženevoje pasirašytos Konvencijos dėl pabėgėlių statuso</w:t>
      </w:r>
      <w:r w:rsidRPr="00F36AB0">
        <w:rPr>
          <w:rFonts w:asciiTheme="minorHAnsi" w:hAnsiTheme="minorHAnsi" w:cstheme="minorHAnsi"/>
          <w:sz w:val="22"/>
          <w:szCs w:val="22"/>
        </w:rPr>
        <w:t xml:space="preserve"> [</w:t>
      </w:r>
      <w:r w:rsidRPr="00F36AB0">
        <w:rPr>
          <w:rFonts w:asciiTheme="minorHAnsi" w:hAnsiTheme="minorHAnsi" w:cstheme="minorHAnsi"/>
          <w:i/>
          <w:iCs/>
          <w:sz w:val="22"/>
          <w:szCs w:val="22"/>
        </w:rPr>
        <w:t>Jungtinių Tautų sutarčių rinkinys,</w:t>
      </w:r>
      <w:r w:rsidRPr="00F36AB0">
        <w:rPr>
          <w:rFonts w:asciiTheme="minorHAnsi" w:hAnsiTheme="minorHAnsi" w:cstheme="minorHAnsi"/>
          <w:sz w:val="22"/>
          <w:szCs w:val="22"/>
        </w:rPr>
        <w:t xml:space="preserve"> 189</w:t>
      </w:r>
      <w:r>
        <w:rPr>
          <w:rFonts w:asciiTheme="minorHAnsi" w:hAnsiTheme="minorHAnsi" w:cstheme="minorHAnsi"/>
          <w:sz w:val="22"/>
          <w:szCs w:val="22"/>
        </w:rPr>
        <w:t xml:space="preserve"> </w:t>
      </w:r>
      <w:r w:rsidRPr="00F36AB0">
        <w:rPr>
          <w:rFonts w:asciiTheme="minorHAnsi" w:hAnsiTheme="minorHAnsi" w:cstheme="minorHAnsi"/>
          <w:sz w:val="22"/>
          <w:szCs w:val="22"/>
        </w:rPr>
        <w:t>t., p.</w:t>
      </w:r>
      <w:r>
        <w:rPr>
          <w:rFonts w:asciiTheme="minorHAnsi" w:hAnsiTheme="minorHAnsi" w:cstheme="minorHAnsi"/>
          <w:sz w:val="22"/>
          <w:szCs w:val="22"/>
        </w:rPr>
        <w:t xml:space="preserve"> </w:t>
      </w:r>
      <w:r w:rsidRPr="00F36AB0">
        <w:rPr>
          <w:rFonts w:asciiTheme="minorHAnsi" w:hAnsiTheme="minorHAnsi" w:cstheme="minorHAnsi"/>
          <w:sz w:val="22"/>
          <w:szCs w:val="22"/>
        </w:rPr>
        <w:t xml:space="preserve">150, Nr. 2545 (1954)] </w:t>
      </w:r>
      <w:r w:rsidRPr="003A6A11">
        <w:rPr>
          <w:rFonts w:asciiTheme="minorHAnsi" w:hAnsiTheme="minorHAnsi" w:cstheme="minorHAnsi"/>
          <w:sz w:val="22"/>
          <w:szCs w:val="22"/>
          <w:u w:val="single"/>
        </w:rPr>
        <w:t>ir EŽTK reikalavimus</w:t>
      </w:r>
      <w:r w:rsidRPr="00F36AB0">
        <w:rPr>
          <w:rFonts w:asciiTheme="minorHAnsi" w:hAnsiTheme="minorHAnsi" w:cstheme="minorHAnsi"/>
          <w:sz w:val="22"/>
          <w:szCs w:val="22"/>
        </w:rPr>
        <w:t xml:space="preserve"> (šiuo klausimu žr. 2011</w:t>
      </w:r>
      <w:r>
        <w:rPr>
          <w:rFonts w:asciiTheme="minorHAnsi" w:hAnsiTheme="minorHAnsi" w:cstheme="minorHAnsi"/>
          <w:sz w:val="22"/>
          <w:szCs w:val="22"/>
        </w:rPr>
        <w:t xml:space="preserve"> </w:t>
      </w:r>
      <w:r w:rsidRPr="00F36AB0">
        <w:rPr>
          <w:rFonts w:asciiTheme="minorHAnsi" w:hAnsiTheme="minorHAnsi" w:cstheme="minorHAnsi"/>
          <w:sz w:val="22"/>
          <w:szCs w:val="22"/>
        </w:rPr>
        <w:t>m. gruodžio 21</w:t>
      </w:r>
      <w:r>
        <w:rPr>
          <w:rFonts w:asciiTheme="minorHAnsi" w:hAnsiTheme="minorHAnsi" w:cstheme="minorHAnsi"/>
          <w:sz w:val="22"/>
          <w:szCs w:val="22"/>
        </w:rPr>
        <w:t xml:space="preserve"> </w:t>
      </w:r>
      <w:r w:rsidRPr="00F36AB0">
        <w:rPr>
          <w:rFonts w:asciiTheme="minorHAnsi" w:hAnsiTheme="minorHAnsi" w:cstheme="minorHAnsi"/>
          <w:sz w:val="22"/>
          <w:szCs w:val="22"/>
        </w:rPr>
        <w:t xml:space="preserve">d. </w:t>
      </w:r>
      <w:r>
        <w:rPr>
          <w:rFonts w:asciiTheme="minorHAnsi" w:hAnsiTheme="minorHAnsi" w:cstheme="minorHAnsi"/>
          <w:sz w:val="22"/>
          <w:szCs w:val="22"/>
        </w:rPr>
        <w:t>s</w:t>
      </w:r>
      <w:r w:rsidRPr="00F36AB0">
        <w:rPr>
          <w:rFonts w:asciiTheme="minorHAnsi" w:hAnsiTheme="minorHAnsi" w:cstheme="minorHAnsi"/>
          <w:sz w:val="22"/>
          <w:szCs w:val="22"/>
        </w:rPr>
        <w:t xml:space="preserve">prendimo </w:t>
      </w:r>
      <w:r w:rsidRPr="00F36AB0">
        <w:rPr>
          <w:rFonts w:asciiTheme="minorHAnsi" w:hAnsiTheme="minorHAnsi" w:cstheme="minorHAnsi"/>
          <w:i/>
          <w:iCs/>
          <w:sz w:val="22"/>
          <w:szCs w:val="22"/>
        </w:rPr>
        <w:t>N.</w:t>
      </w:r>
      <w:r>
        <w:rPr>
          <w:rFonts w:asciiTheme="minorHAnsi" w:hAnsiTheme="minorHAnsi" w:cstheme="minorHAnsi"/>
          <w:i/>
          <w:iCs/>
          <w:sz w:val="22"/>
          <w:szCs w:val="22"/>
        </w:rPr>
        <w:t xml:space="preserve"> </w:t>
      </w:r>
      <w:r w:rsidRPr="00F36AB0">
        <w:rPr>
          <w:rFonts w:asciiTheme="minorHAnsi" w:hAnsiTheme="minorHAnsi" w:cstheme="minorHAnsi"/>
          <w:i/>
          <w:iCs/>
          <w:sz w:val="22"/>
          <w:szCs w:val="22"/>
        </w:rPr>
        <w:t>S. ir</w:t>
      </w:r>
      <w:r>
        <w:rPr>
          <w:rFonts w:asciiTheme="minorHAnsi" w:hAnsiTheme="minorHAnsi" w:cstheme="minorHAnsi"/>
          <w:i/>
          <w:iCs/>
          <w:sz w:val="22"/>
          <w:szCs w:val="22"/>
        </w:rPr>
        <w:t xml:space="preserve"> </w:t>
      </w:r>
      <w:r w:rsidRPr="00F36AB0">
        <w:rPr>
          <w:rFonts w:asciiTheme="minorHAnsi" w:hAnsiTheme="minorHAnsi" w:cstheme="minorHAnsi"/>
          <w:i/>
          <w:iCs/>
          <w:sz w:val="22"/>
          <w:szCs w:val="22"/>
        </w:rPr>
        <w:t>kt.</w:t>
      </w:r>
      <w:r w:rsidRPr="00F36AB0">
        <w:rPr>
          <w:rFonts w:asciiTheme="minorHAnsi" w:hAnsiTheme="minorHAnsi" w:cstheme="minorHAnsi"/>
          <w:sz w:val="22"/>
          <w:szCs w:val="22"/>
        </w:rPr>
        <w:t>, C</w:t>
      </w:r>
      <w:r w:rsidRPr="00F36AB0">
        <w:rPr>
          <w:rFonts w:asciiTheme="minorHAnsi" w:hAnsiTheme="minorHAnsi" w:cstheme="minorHAnsi"/>
          <w:sz w:val="22"/>
          <w:szCs w:val="22"/>
        </w:rPr>
        <w:noBreakHyphen/>
        <w:t>411/10 ir C</w:t>
      </w:r>
      <w:r w:rsidRPr="00F36AB0">
        <w:rPr>
          <w:rFonts w:asciiTheme="minorHAnsi" w:hAnsiTheme="minorHAnsi" w:cstheme="minorHAnsi"/>
          <w:sz w:val="22"/>
          <w:szCs w:val="22"/>
        </w:rPr>
        <w:noBreakHyphen/>
        <w:t>493/10, EU:C:2011:865, 78–80</w:t>
      </w:r>
      <w:r>
        <w:rPr>
          <w:rFonts w:asciiTheme="minorHAnsi" w:hAnsiTheme="minorHAnsi" w:cstheme="minorHAnsi"/>
          <w:sz w:val="22"/>
          <w:szCs w:val="22"/>
        </w:rPr>
        <w:t xml:space="preserve"> </w:t>
      </w:r>
      <w:r w:rsidRPr="00F36AB0">
        <w:rPr>
          <w:rFonts w:asciiTheme="minorHAnsi" w:hAnsiTheme="minorHAnsi" w:cstheme="minorHAnsi"/>
          <w:sz w:val="22"/>
          <w:szCs w:val="22"/>
        </w:rPr>
        <w:t>punktus)</w:t>
      </w:r>
      <w:r>
        <w:rPr>
          <w:rFonts w:asciiTheme="minorHAnsi" w:hAnsiTheme="minorHAnsi" w:cstheme="minorHAnsi"/>
          <w:sz w:val="22"/>
          <w:szCs w:val="22"/>
        </w:rPr>
        <w:t xml:space="preserve"> (82 punktas)</w:t>
      </w:r>
      <w:r w:rsidRPr="00F36AB0">
        <w:rPr>
          <w:rFonts w:asciiTheme="minorHAnsi" w:hAnsiTheme="minorHAnsi" w:cstheme="minorHAnsi"/>
          <w:sz w:val="22"/>
          <w:szCs w:val="22"/>
        </w:rPr>
        <w:t>.</w:t>
      </w:r>
    </w:p>
    <w:p w14:paraId="3D188ECD" w14:textId="77777777" w:rsidR="00D22EE4" w:rsidRDefault="00D22EE4" w:rsidP="00D22EE4">
      <w:pPr>
        <w:pStyle w:val="c01pointnumerotealtn"/>
        <w:shd w:val="clear" w:color="auto" w:fill="FFFFFF"/>
        <w:spacing w:before="0" w:beforeAutospacing="0" w:after="0"/>
        <w:ind w:left="0" w:firstLine="567"/>
        <w:rPr>
          <w:rFonts w:asciiTheme="minorHAnsi" w:hAnsiTheme="minorHAnsi" w:cstheme="minorHAnsi"/>
          <w:sz w:val="22"/>
          <w:szCs w:val="22"/>
        </w:rPr>
      </w:pPr>
      <w:r w:rsidRPr="003D2FF7">
        <w:rPr>
          <w:rFonts w:asciiTheme="minorHAnsi" w:hAnsiTheme="minorHAnsi" w:cstheme="minorHAnsi"/>
          <w:sz w:val="22"/>
          <w:szCs w:val="22"/>
          <w:u w:val="single"/>
        </w:rPr>
        <w:t>Vis dėlto negalima atmesti galimybės, kad konkrečioje valstybėje narėje faktiškai gali kilti didelių tokios sistemos veikimo problemų, o tai reiškia, kad yra rimtas pavojus, jog perdavimo tokiai valstybei narei atveju su tarptautinės apsaugos prašytojais bus elgiamasi neatsižvelgiant į jų pagrindines teises</w:t>
      </w:r>
      <w:r w:rsidRPr="00F36AB0">
        <w:rPr>
          <w:rFonts w:asciiTheme="minorHAnsi" w:hAnsiTheme="minorHAnsi" w:cstheme="minorHAnsi"/>
          <w:sz w:val="22"/>
          <w:szCs w:val="22"/>
        </w:rPr>
        <w:t xml:space="preserve"> (2011</w:t>
      </w:r>
      <w:r>
        <w:rPr>
          <w:rFonts w:asciiTheme="minorHAnsi" w:hAnsiTheme="minorHAnsi" w:cstheme="minorHAnsi"/>
          <w:sz w:val="22"/>
          <w:szCs w:val="22"/>
        </w:rPr>
        <w:t xml:space="preserve"> </w:t>
      </w:r>
      <w:r w:rsidRPr="00F36AB0">
        <w:rPr>
          <w:rFonts w:asciiTheme="minorHAnsi" w:hAnsiTheme="minorHAnsi" w:cstheme="minorHAnsi"/>
          <w:sz w:val="22"/>
          <w:szCs w:val="22"/>
        </w:rPr>
        <w:t>m. gruodžio 21</w:t>
      </w:r>
      <w:r>
        <w:rPr>
          <w:rFonts w:asciiTheme="minorHAnsi" w:hAnsiTheme="minorHAnsi" w:cstheme="minorHAnsi"/>
          <w:sz w:val="22"/>
          <w:szCs w:val="22"/>
        </w:rPr>
        <w:t xml:space="preserve"> </w:t>
      </w:r>
      <w:r w:rsidRPr="00F36AB0">
        <w:rPr>
          <w:rFonts w:asciiTheme="minorHAnsi" w:hAnsiTheme="minorHAnsi" w:cstheme="minorHAnsi"/>
          <w:sz w:val="22"/>
          <w:szCs w:val="22"/>
        </w:rPr>
        <w:t xml:space="preserve">d. </w:t>
      </w:r>
      <w:r>
        <w:rPr>
          <w:rFonts w:asciiTheme="minorHAnsi" w:hAnsiTheme="minorHAnsi" w:cstheme="minorHAnsi"/>
          <w:sz w:val="22"/>
          <w:szCs w:val="22"/>
        </w:rPr>
        <w:t>s</w:t>
      </w:r>
      <w:r w:rsidRPr="00F36AB0">
        <w:rPr>
          <w:rFonts w:asciiTheme="minorHAnsi" w:hAnsiTheme="minorHAnsi" w:cstheme="minorHAnsi"/>
          <w:sz w:val="22"/>
          <w:szCs w:val="22"/>
        </w:rPr>
        <w:t xml:space="preserve">prendimo </w:t>
      </w:r>
      <w:r w:rsidRPr="00F36AB0">
        <w:rPr>
          <w:rFonts w:asciiTheme="minorHAnsi" w:hAnsiTheme="minorHAnsi" w:cstheme="minorHAnsi"/>
          <w:i/>
          <w:iCs/>
          <w:sz w:val="22"/>
          <w:szCs w:val="22"/>
        </w:rPr>
        <w:t>N.</w:t>
      </w:r>
      <w:r>
        <w:rPr>
          <w:rFonts w:asciiTheme="minorHAnsi" w:hAnsiTheme="minorHAnsi" w:cstheme="minorHAnsi"/>
          <w:i/>
          <w:iCs/>
          <w:sz w:val="22"/>
          <w:szCs w:val="22"/>
        </w:rPr>
        <w:t xml:space="preserve"> S. ir </w:t>
      </w:r>
      <w:r w:rsidRPr="00F36AB0">
        <w:rPr>
          <w:rFonts w:asciiTheme="minorHAnsi" w:hAnsiTheme="minorHAnsi" w:cstheme="minorHAnsi"/>
          <w:i/>
          <w:iCs/>
          <w:sz w:val="22"/>
          <w:szCs w:val="22"/>
        </w:rPr>
        <w:t>kt.</w:t>
      </w:r>
      <w:r w:rsidRPr="00F36AB0">
        <w:rPr>
          <w:rFonts w:asciiTheme="minorHAnsi" w:hAnsiTheme="minorHAnsi" w:cstheme="minorHAnsi"/>
          <w:sz w:val="22"/>
          <w:szCs w:val="22"/>
        </w:rPr>
        <w:t>, C</w:t>
      </w:r>
      <w:r w:rsidRPr="00F36AB0">
        <w:rPr>
          <w:rFonts w:asciiTheme="minorHAnsi" w:hAnsiTheme="minorHAnsi" w:cstheme="minorHAnsi"/>
          <w:sz w:val="22"/>
          <w:szCs w:val="22"/>
        </w:rPr>
        <w:noBreakHyphen/>
        <w:t>411/10 ir C</w:t>
      </w:r>
      <w:r w:rsidRPr="00F36AB0">
        <w:rPr>
          <w:rFonts w:asciiTheme="minorHAnsi" w:hAnsiTheme="minorHAnsi" w:cstheme="minorHAnsi"/>
          <w:sz w:val="22"/>
          <w:szCs w:val="22"/>
        </w:rPr>
        <w:noBreakHyphen/>
        <w:t>493/10, EU:C:2011:865, 81</w:t>
      </w:r>
      <w:r>
        <w:rPr>
          <w:rFonts w:asciiTheme="minorHAnsi" w:hAnsiTheme="minorHAnsi" w:cstheme="minorHAnsi"/>
          <w:sz w:val="22"/>
          <w:szCs w:val="22"/>
        </w:rPr>
        <w:t xml:space="preserve"> </w:t>
      </w:r>
      <w:r w:rsidRPr="00F36AB0">
        <w:rPr>
          <w:rFonts w:asciiTheme="minorHAnsi" w:hAnsiTheme="minorHAnsi" w:cstheme="minorHAnsi"/>
          <w:sz w:val="22"/>
          <w:szCs w:val="22"/>
        </w:rPr>
        <w:t>punktas).</w:t>
      </w:r>
      <w:r>
        <w:rPr>
          <w:rFonts w:asciiTheme="minorHAnsi" w:hAnsiTheme="minorHAnsi" w:cstheme="minorHAnsi"/>
          <w:sz w:val="22"/>
          <w:szCs w:val="22"/>
        </w:rPr>
        <w:t xml:space="preserve"> </w:t>
      </w:r>
      <w:r w:rsidRPr="00F36AB0">
        <w:rPr>
          <w:rFonts w:asciiTheme="minorHAnsi" w:hAnsiTheme="minorHAnsi" w:cstheme="minorHAnsi"/>
          <w:sz w:val="22"/>
          <w:szCs w:val="22"/>
        </w:rPr>
        <w:t xml:space="preserve">Šiomis aplinkybėmis </w:t>
      </w:r>
      <w:r w:rsidRPr="003D2FF7">
        <w:rPr>
          <w:rFonts w:asciiTheme="minorHAnsi" w:hAnsiTheme="minorHAnsi" w:cstheme="minorHAnsi"/>
          <w:sz w:val="22"/>
          <w:szCs w:val="22"/>
          <w:u w:val="single"/>
        </w:rPr>
        <w:t>nenuginčijamos prezumpcijos, kad valstybėje narėje, kuri pagal reglamentą „Dublinas III“ paskirta atsakinga už prašymo nagrinėjimą, bus gerbiamos tarptautinės apsaugos prašytojo pagrindinės teisės, taikymas būtų nesuderinamas su pareiga aiškinti ir taikyti šį reglamentą atsižvelgiant į pagrindines teises</w:t>
      </w:r>
      <w:r w:rsidRPr="00F36AB0">
        <w:rPr>
          <w:rFonts w:asciiTheme="minorHAnsi" w:hAnsiTheme="minorHAnsi" w:cstheme="minorHAnsi"/>
          <w:sz w:val="22"/>
          <w:szCs w:val="22"/>
        </w:rPr>
        <w:t xml:space="preserve"> (šiuo klausimu žr. 2011</w:t>
      </w:r>
      <w:r>
        <w:rPr>
          <w:rFonts w:asciiTheme="minorHAnsi" w:hAnsiTheme="minorHAnsi" w:cstheme="minorHAnsi"/>
          <w:sz w:val="22"/>
          <w:szCs w:val="22"/>
        </w:rPr>
        <w:t xml:space="preserve"> </w:t>
      </w:r>
      <w:r w:rsidRPr="00F36AB0">
        <w:rPr>
          <w:rFonts w:asciiTheme="minorHAnsi" w:hAnsiTheme="minorHAnsi" w:cstheme="minorHAnsi"/>
          <w:sz w:val="22"/>
          <w:szCs w:val="22"/>
        </w:rPr>
        <w:t>m. gruodžio 21</w:t>
      </w:r>
      <w:r>
        <w:rPr>
          <w:rFonts w:asciiTheme="minorHAnsi" w:hAnsiTheme="minorHAnsi" w:cstheme="minorHAnsi"/>
          <w:sz w:val="22"/>
          <w:szCs w:val="22"/>
        </w:rPr>
        <w:t xml:space="preserve"> </w:t>
      </w:r>
      <w:r w:rsidRPr="00F36AB0">
        <w:rPr>
          <w:rFonts w:asciiTheme="minorHAnsi" w:hAnsiTheme="minorHAnsi" w:cstheme="minorHAnsi"/>
          <w:sz w:val="22"/>
          <w:szCs w:val="22"/>
        </w:rPr>
        <w:t xml:space="preserve">d. </w:t>
      </w:r>
      <w:r>
        <w:rPr>
          <w:rFonts w:asciiTheme="minorHAnsi" w:hAnsiTheme="minorHAnsi" w:cstheme="minorHAnsi"/>
          <w:sz w:val="22"/>
          <w:szCs w:val="22"/>
        </w:rPr>
        <w:t>s</w:t>
      </w:r>
      <w:r w:rsidRPr="00F36AB0">
        <w:rPr>
          <w:rFonts w:asciiTheme="minorHAnsi" w:hAnsiTheme="minorHAnsi" w:cstheme="minorHAnsi"/>
          <w:sz w:val="22"/>
          <w:szCs w:val="22"/>
        </w:rPr>
        <w:t xml:space="preserve">prendimo </w:t>
      </w:r>
      <w:r w:rsidRPr="00F36AB0">
        <w:rPr>
          <w:rFonts w:asciiTheme="minorHAnsi" w:hAnsiTheme="minorHAnsi" w:cstheme="minorHAnsi"/>
          <w:i/>
          <w:iCs/>
          <w:sz w:val="22"/>
          <w:szCs w:val="22"/>
        </w:rPr>
        <w:t>N.</w:t>
      </w:r>
      <w:r>
        <w:rPr>
          <w:rFonts w:asciiTheme="minorHAnsi" w:hAnsiTheme="minorHAnsi" w:cstheme="minorHAnsi"/>
          <w:i/>
          <w:iCs/>
          <w:sz w:val="22"/>
          <w:szCs w:val="22"/>
        </w:rPr>
        <w:t xml:space="preserve"> </w:t>
      </w:r>
      <w:r w:rsidRPr="00F36AB0">
        <w:rPr>
          <w:rFonts w:asciiTheme="minorHAnsi" w:hAnsiTheme="minorHAnsi" w:cstheme="minorHAnsi"/>
          <w:i/>
          <w:iCs/>
          <w:sz w:val="22"/>
          <w:szCs w:val="22"/>
        </w:rPr>
        <w:t>S. ir</w:t>
      </w:r>
      <w:r>
        <w:rPr>
          <w:rFonts w:asciiTheme="minorHAnsi" w:hAnsiTheme="minorHAnsi" w:cstheme="minorHAnsi"/>
          <w:i/>
          <w:iCs/>
          <w:sz w:val="22"/>
          <w:szCs w:val="22"/>
        </w:rPr>
        <w:t xml:space="preserve"> </w:t>
      </w:r>
      <w:r w:rsidRPr="00F36AB0">
        <w:rPr>
          <w:rFonts w:asciiTheme="minorHAnsi" w:hAnsiTheme="minorHAnsi" w:cstheme="minorHAnsi"/>
          <w:i/>
          <w:iCs/>
          <w:sz w:val="22"/>
          <w:szCs w:val="22"/>
        </w:rPr>
        <w:t>kt.</w:t>
      </w:r>
      <w:r w:rsidRPr="00F36AB0">
        <w:rPr>
          <w:rFonts w:asciiTheme="minorHAnsi" w:hAnsiTheme="minorHAnsi" w:cstheme="minorHAnsi"/>
          <w:sz w:val="22"/>
          <w:szCs w:val="22"/>
        </w:rPr>
        <w:t>, C</w:t>
      </w:r>
      <w:r w:rsidRPr="00F36AB0">
        <w:rPr>
          <w:rFonts w:asciiTheme="minorHAnsi" w:hAnsiTheme="minorHAnsi" w:cstheme="minorHAnsi"/>
          <w:sz w:val="22"/>
          <w:szCs w:val="22"/>
        </w:rPr>
        <w:noBreakHyphen/>
        <w:t>411/10 ir C</w:t>
      </w:r>
      <w:r w:rsidRPr="00F36AB0">
        <w:rPr>
          <w:rFonts w:asciiTheme="minorHAnsi" w:hAnsiTheme="minorHAnsi" w:cstheme="minorHAnsi"/>
          <w:sz w:val="22"/>
          <w:szCs w:val="22"/>
        </w:rPr>
        <w:noBreakHyphen/>
        <w:t>493/10, EU:C:2011:865, 99, 100 ir 105</w:t>
      </w:r>
      <w:r>
        <w:rPr>
          <w:rFonts w:asciiTheme="minorHAnsi" w:hAnsiTheme="minorHAnsi" w:cstheme="minorHAnsi"/>
          <w:sz w:val="22"/>
          <w:szCs w:val="22"/>
        </w:rPr>
        <w:t xml:space="preserve"> </w:t>
      </w:r>
      <w:r w:rsidRPr="00F36AB0">
        <w:rPr>
          <w:rFonts w:asciiTheme="minorHAnsi" w:hAnsiTheme="minorHAnsi" w:cstheme="minorHAnsi"/>
          <w:sz w:val="22"/>
          <w:szCs w:val="22"/>
        </w:rPr>
        <w:t>punktus)</w:t>
      </w:r>
      <w:r>
        <w:rPr>
          <w:rFonts w:asciiTheme="minorHAnsi" w:hAnsiTheme="minorHAnsi" w:cstheme="minorHAnsi"/>
          <w:sz w:val="22"/>
          <w:szCs w:val="22"/>
        </w:rPr>
        <w:t xml:space="preserve"> (83–84 punktai)</w:t>
      </w:r>
      <w:r w:rsidRPr="00F36AB0">
        <w:rPr>
          <w:rFonts w:asciiTheme="minorHAnsi" w:hAnsiTheme="minorHAnsi" w:cstheme="minorHAnsi"/>
          <w:sz w:val="22"/>
          <w:szCs w:val="22"/>
        </w:rPr>
        <w:t>.</w:t>
      </w:r>
    </w:p>
    <w:p w14:paraId="722B2DEE" w14:textId="77777777" w:rsidR="00D22EE4" w:rsidRDefault="00D22EE4" w:rsidP="00D22EE4">
      <w:pPr>
        <w:pStyle w:val="c01pointnumerotealtn"/>
        <w:shd w:val="clear" w:color="auto" w:fill="FFFFFF"/>
        <w:spacing w:before="0" w:beforeAutospacing="0" w:after="0"/>
        <w:ind w:left="0" w:firstLine="567"/>
        <w:rPr>
          <w:rFonts w:asciiTheme="minorHAnsi" w:hAnsiTheme="minorHAnsi" w:cstheme="minorHAnsi"/>
          <w:sz w:val="22"/>
          <w:szCs w:val="22"/>
        </w:rPr>
      </w:pPr>
      <w:r w:rsidRPr="00FD6C09">
        <w:rPr>
          <w:rFonts w:asciiTheme="minorHAnsi" w:hAnsiTheme="minorHAnsi" w:cstheme="minorHAnsi"/>
          <w:sz w:val="22"/>
          <w:szCs w:val="22"/>
        </w:rPr>
        <w:t xml:space="preserve">Todėl Teisingumo Teismas jau yra nusprendęs, kad </w:t>
      </w:r>
      <w:r w:rsidRPr="003D2FF7">
        <w:rPr>
          <w:rFonts w:asciiTheme="minorHAnsi" w:hAnsiTheme="minorHAnsi" w:cstheme="minorHAnsi"/>
          <w:sz w:val="22"/>
          <w:szCs w:val="22"/>
          <w:u w:val="single"/>
        </w:rPr>
        <w:t>pagal Chartijos 4 straipsnį valstybės narės, įskaitant nacionalinius teismus, privalo neperduoti prieglobsčio prašytojo atsakingai valstybei narei, kaip tai suprantama pagal reglamentą „Dublinas II“ (reglamento „Dublinas III“ pirmtaką), jei negali nežinoti, kad sisteminiai prieglobsčio procedūros ir prieglobsčio prašytojų priėmimo sąlygų toje valstybėje narėje trūkumai yra rimta ir pagrįsta priežastis manyti, jog prašytojui kils reali grėsmė patirtį nežmonišką ar žeminamą elgesį, kaip tai suprantama pagal šią nuostatą</w:t>
      </w:r>
      <w:r w:rsidRPr="00FD6C09">
        <w:rPr>
          <w:rFonts w:asciiTheme="minorHAnsi" w:hAnsiTheme="minorHAnsi" w:cstheme="minorHAnsi"/>
          <w:sz w:val="22"/>
          <w:szCs w:val="22"/>
        </w:rPr>
        <w:t xml:space="preserve"> (2011</w:t>
      </w:r>
      <w:r>
        <w:rPr>
          <w:rFonts w:asciiTheme="minorHAnsi" w:hAnsiTheme="minorHAnsi" w:cstheme="minorHAnsi"/>
          <w:sz w:val="22"/>
          <w:szCs w:val="22"/>
        </w:rPr>
        <w:t xml:space="preserve"> </w:t>
      </w:r>
      <w:r w:rsidRPr="00FD6C09">
        <w:rPr>
          <w:rFonts w:asciiTheme="minorHAnsi" w:hAnsiTheme="minorHAnsi" w:cstheme="minorHAnsi"/>
          <w:sz w:val="22"/>
          <w:szCs w:val="22"/>
        </w:rPr>
        <w:t>m. gruodžio 21</w:t>
      </w:r>
      <w:r>
        <w:rPr>
          <w:rFonts w:asciiTheme="minorHAnsi" w:hAnsiTheme="minorHAnsi" w:cstheme="minorHAnsi"/>
          <w:sz w:val="22"/>
          <w:szCs w:val="22"/>
        </w:rPr>
        <w:t xml:space="preserve"> </w:t>
      </w:r>
      <w:r w:rsidRPr="00FD6C09">
        <w:rPr>
          <w:rFonts w:asciiTheme="minorHAnsi" w:hAnsiTheme="minorHAnsi" w:cstheme="minorHAnsi"/>
          <w:sz w:val="22"/>
          <w:szCs w:val="22"/>
        </w:rPr>
        <w:t xml:space="preserve">d. </w:t>
      </w:r>
      <w:r>
        <w:rPr>
          <w:rFonts w:asciiTheme="minorHAnsi" w:hAnsiTheme="minorHAnsi" w:cstheme="minorHAnsi"/>
          <w:sz w:val="22"/>
          <w:szCs w:val="22"/>
        </w:rPr>
        <w:t>s</w:t>
      </w:r>
      <w:r w:rsidRPr="00FD6C09">
        <w:rPr>
          <w:rFonts w:asciiTheme="minorHAnsi" w:hAnsiTheme="minorHAnsi" w:cstheme="minorHAnsi"/>
          <w:sz w:val="22"/>
          <w:szCs w:val="22"/>
        </w:rPr>
        <w:t xml:space="preserve">prendimo </w:t>
      </w:r>
      <w:r w:rsidRPr="00FD6C09">
        <w:rPr>
          <w:rFonts w:asciiTheme="minorHAnsi" w:hAnsiTheme="minorHAnsi" w:cstheme="minorHAnsi"/>
          <w:i/>
          <w:iCs/>
          <w:sz w:val="22"/>
          <w:szCs w:val="22"/>
        </w:rPr>
        <w:t>N.</w:t>
      </w:r>
      <w:r>
        <w:rPr>
          <w:rFonts w:asciiTheme="minorHAnsi" w:hAnsiTheme="minorHAnsi" w:cstheme="minorHAnsi"/>
          <w:i/>
          <w:iCs/>
          <w:sz w:val="22"/>
          <w:szCs w:val="22"/>
        </w:rPr>
        <w:t xml:space="preserve"> </w:t>
      </w:r>
      <w:r w:rsidRPr="00FD6C09">
        <w:rPr>
          <w:rFonts w:asciiTheme="minorHAnsi" w:hAnsiTheme="minorHAnsi" w:cstheme="minorHAnsi"/>
          <w:i/>
          <w:iCs/>
          <w:sz w:val="22"/>
          <w:szCs w:val="22"/>
        </w:rPr>
        <w:t>S. ir</w:t>
      </w:r>
      <w:r>
        <w:rPr>
          <w:rFonts w:asciiTheme="minorHAnsi" w:hAnsiTheme="minorHAnsi" w:cstheme="minorHAnsi"/>
          <w:i/>
          <w:iCs/>
          <w:sz w:val="22"/>
          <w:szCs w:val="22"/>
        </w:rPr>
        <w:t xml:space="preserve"> </w:t>
      </w:r>
      <w:r w:rsidRPr="00FD6C09">
        <w:rPr>
          <w:rFonts w:asciiTheme="minorHAnsi" w:hAnsiTheme="minorHAnsi" w:cstheme="minorHAnsi"/>
          <w:i/>
          <w:iCs/>
          <w:sz w:val="22"/>
          <w:szCs w:val="22"/>
        </w:rPr>
        <w:t>kt.</w:t>
      </w:r>
      <w:r w:rsidRPr="00FD6C09">
        <w:rPr>
          <w:rFonts w:asciiTheme="minorHAnsi" w:hAnsiTheme="minorHAnsi" w:cstheme="minorHAnsi"/>
          <w:sz w:val="22"/>
          <w:szCs w:val="22"/>
        </w:rPr>
        <w:t>, C</w:t>
      </w:r>
      <w:r w:rsidRPr="00FD6C09">
        <w:rPr>
          <w:rFonts w:asciiTheme="minorHAnsi" w:hAnsiTheme="minorHAnsi" w:cstheme="minorHAnsi"/>
          <w:sz w:val="22"/>
          <w:szCs w:val="22"/>
        </w:rPr>
        <w:noBreakHyphen/>
        <w:t>411/10 ir C</w:t>
      </w:r>
      <w:r w:rsidRPr="00FD6C09">
        <w:rPr>
          <w:rFonts w:asciiTheme="minorHAnsi" w:hAnsiTheme="minorHAnsi" w:cstheme="minorHAnsi"/>
          <w:sz w:val="22"/>
          <w:szCs w:val="22"/>
        </w:rPr>
        <w:noBreakHyphen/>
        <w:t>493/10, EU:C:2011:865, 106</w:t>
      </w:r>
      <w:r>
        <w:rPr>
          <w:rFonts w:asciiTheme="minorHAnsi" w:hAnsiTheme="minorHAnsi" w:cstheme="minorHAnsi"/>
          <w:sz w:val="22"/>
          <w:szCs w:val="22"/>
        </w:rPr>
        <w:t xml:space="preserve"> </w:t>
      </w:r>
      <w:r w:rsidRPr="00FD6C09">
        <w:rPr>
          <w:rFonts w:asciiTheme="minorHAnsi" w:hAnsiTheme="minorHAnsi" w:cstheme="minorHAnsi"/>
          <w:sz w:val="22"/>
          <w:szCs w:val="22"/>
        </w:rPr>
        <w:t>punktas).</w:t>
      </w:r>
      <w:r>
        <w:rPr>
          <w:rFonts w:asciiTheme="minorHAnsi" w:hAnsiTheme="minorHAnsi" w:cstheme="minorHAnsi"/>
          <w:sz w:val="22"/>
          <w:szCs w:val="22"/>
        </w:rPr>
        <w:t xml:space="preserve"> </w:t>
      </w:r>
      <w:r w:rsidRPr="00F36AB0">
        <w:rPr>
          <w:rFonts w:asciiTheme="minorHAnsi" w:hAnsiTheme="minorHAnsi" w:cstheme="minorHAnsi"/>
          <w:sz w:val="22"/>
          <w:szCs w:val="22"/>
        </w:rPr>
        <w:t>Reglamento „Dublinas III“, kuriame kodifikuota ši jurisprudencija, 3</w:t>
      </w:r>
      <w:r>
        <w:rPr>
          <w:rFonts w:asciiTheme="minorHAnsi" w:hAnsiTheme="minorHAnsi" w:cstheme="minorHAnsi"/>
          <w:sz w:val="22"/>
          <w:szCs w:val="22"/>
        </w:rPr>
        <w:t xml:space="preserve"> </w:t>
      </w:r>
      <w:r w:rsidRPr="00F36AB0">
        <w:rPr>
          <w:rFonts w:asciiTheme="minorHAnsi" w:hAnsiTheme="minorHAnsi" w:cstheme="minorHAnsi"/>
          <w:sz w:val="22"/>
          <w:szCs w:val="22"/>
        </w:rPr>
        <w:t>straipsnio 2</w:t>
      </w:r>
      <w:r>
        <w:rPr>
          <w:rFonts w:asciiTheme="minorHAnsi" w:hAnsiTheme="minorHAnsi" w:cstheme="minorHAnsi"/>
          <w:sz w:val="22"/>
          <w:szCs w:val="22"/>
        </w:rPr>
        <w:t xml:space="preserve"> </w:t>
      </w:r>
      <w:r w:rsidRPr="00F36AB0">
        <w:rPr>
          <w:rFonts w:asciiTheme="minorHAnsi" w:hAnsiTheme="minorHAnsi" w:cstheme="minorHAnsi"/>
          <w:sz w:val="22"/>
          <w:szCs w:val="22"/>
        </w:rPr>
        <w:t xml:space="preserve">dalies antroje ir trečioje pastraipose aiškia nurodyta, kad </w:t>
      </w:r>
      <w:r w:rsidRPr="003D2FF7">
        <w:rPr>
          <w:rFonts w:asciiTheme="minorHAnsi" w:hAnsiTheme="minorHAnsi" w:cstheme="minorHAnsi"/>
          <w:sz w:val="22"/>
          <w:szCs w:val="22"/>
          <w:u w:val="single"/>
        </w:rPr>
        <w:t>tokiu atveju valstybė narė, nustatanti atsakingą valstybę narę, tampa už tarptautinės apsaugos prašymą atsakinga valstybe nare, jeigu patikrinusi šio reglamento III skyriuje išvardytus kriterijus konstatuoja, kad neįmanoma prašytojo perduoti pagal tuos kriterijus paskirtai valstybei narei arba pirmajai valstybei narei, kurioje buvo pateiktas prašymas</w:t>
      </w:r>
      <w:r>
        <w:rPr>
          <w:rFonts w:asciiTheme="minorHAnsi" w:hAnsiTheme="minorHAnsi" w:cstheme="minorHAnsi"/>
          <w:sz w:val="22"/>
          <w:szCs w:val="22"/>
        </w:rPr>
        <w:t xml:space="preserve"> </w:t>
      </w:r>
      <w:r w:rsidRPr="00FD6C09">
        <w:rPr>
          <w:rFonts w:asciiTheme="minorHAnsi" w:hAnsiTheme="minorHAnsi" w:cstheme="minorHAnsi"/>
          <w:sz w:val="22"/>
          <w:szCs w:val="22"/>
        </w:rPr>
        <w:t>(</w:t>
      </w:r>
      <w:r>
        <w:rPr>
          <w:rFonts w:asciiTheme="minorHAnsi" w:hAnsiTheme="minorHAnsi" w:cstheme="minorHAnsi"/>
          <w:sz w:val="22"/>
          <w:szCs w:val="22"/>
        </w:rPr>
        <w:t>85–86 punktai</w:t>
      </w:r>
      <w:r w:rsidRPr="00FD6C09">
        <w:rPr>
          <w:rFonts w:asciiTheme="minorHAnsi" w:hAnsiTheme="minorHAnsi" w:cstheme="minorHAnsi"/>
          <w:sz w:val="22"/>
          <w:szCs w:val="22"/>
        </w:rPr>
        <w:t>)</w:t>
      </w:r>
      <w:r w:rsidRPr="00F36AB0">
        <w:rPr>
          <w:rFonts w:asciiTheme="minorHAnsi" w:hAnsiTheme="minorHAnsi" w:cstheme="minorHAnsi"/>
          <w:sz w:val="22"/>
          <w:szCs w:val="22"/>
        </w:rPr>
        <w:t>.</w:t>
      </w:r>
    </w:p>
    <w:p w14:paraId="7D8DED08" w14:textId="77777777" w:rsidR="00D22EE4" w:rsidRDefault="00D22EE4" w:rsidP="00D22EE4">
      <w:pPr>
        <w:pStyle w:val="c01pointnumerotealtn"/>
        <w:shd w:val="clear" w:color="auto" w:fill="FFFFFF"/>
        <w:spacing w:before="0" w:beforeAutospacing="0" w:after="0"/>
        <w:ind w:left="0" w:firstLine="567"/>
        <w:rPr>
          <w:rFonts w:asciiTheme="minorHAnsi" w:hAnsiTheme="minorHAnsi" w:cstheme="minorHAnsi"/>
          <w:sz w:val="22"/>
          <w:szCs w:val="22"/>
        </w:rPr>
      </w:pPr>
      <w:r w:rsidRPr="00F36AB0">
        <w:rPr>
          <w:rFonts w:asciiTheme="minorHAnsi" w:hAnsiTheme="minorHAnsi" w:cstheme="minorHAnsi"/>
          <w:sz w:val="22"/>
          <w:szCs w:val="22"/>
        </w:rPr>
        <w:t>Nors reglamento „Dublinas III“ 3</w:t>
      </w:r>
      <w:r>
        <w:rPr>
          <w:rFonts w:asciiTheme="minorHAnsi" w:hAnsiTheme="minorHAnsi" w:cstheme="minorHAnsi"/>
          <w:sz w:val="22"/>
          <w:szCs w:val="22"/>
        </w:rPr>
        <w:t xml:space="preserve"> </w:t>
      </w:r>
      <w:r w:rsidRPr="00F36AB0">
        <w:rPr>
          <w:rFonts w:asciiTheme="minorHAnsi" w:hAnsiTheme="minorHAnsi" w:cstheme="minorHAnsi"/>
          <w:sz w:val="22"/>
          <w:szCs w:val="22"/>
        </w:rPr>
        <w:t>straipsnio 2</w:t>
      </w:r>
      <w:r>
        <w:rPr>
          <w:rFonts w:asciiTheme="minorHAnsi" w:hAnsiTheme="minorHAnsi" w:cstheme="minorHAnsi"/>
          <w:sz w:val="22"/>
          <w:szCs w:val="22"/>
        </w:rPr>
        <w:t xml:space="preserve"> </w:t>
      </w:r>
      <w:r w:rsidRPr="00F36AB0">
        <w:rPr>
          <w:rFonts w:asciiTheme="minorHAnsi" w:hAnsiTheme="minorHAnsi" w:cstheme="minorHAnsi"/>
          <w:sz w:val="22"/>
          <w:szCs w:val="22"/>
        </w:rPr>
        <w:t>dalies antroje pastraipoje numatyta tik situacija, kokia buvo nagrinėta 2011</w:t>
      </w:r>
      <w:r>
        <w:rPr>
          <w:rFonts w:asciiTheme="minorHAnsi" w:hAnsiTheme="minorHAnsi" w:cstheme="minorHAnsi"/>
          <w:sz w:val="22"/>
          <w:szCs w:val="22"/>
        </w:rPr>
        <w:t xml:space="preserve"> </w:t>
      </w:r>
      <w:r w:rsidRPr="00F36AB0">
        <w:rPr>
          <w:rFonts w:asciiTheme="minorHAnsi" w:hAnsiTheme="minorHAnsi" w:cstheme="minorHAnsi"/>
          <w:sz w:val="22"/>
          <w:szCs w:val="22"/>
        </w:rPr>
        <w:t>m. gruodžio 21</w:t>
      </w:r>
      <w:r>
        <w:rPr>
          <w:rFonts w:asciiTheme="minorHAnsi" w:hAnsiTheme="minorHAnsi" w:cstheme="minorHAnsi"/>
          <w:sz w:val="22"/>
          <w:szCs w:val="22"/>
        </w:rPr>
        <w:t xml:space="preserve"> </w:t>
      </w:r>
      <w:r w:rsidRPr="00F36AB0">
        <w:rPr>
          <w:rFonts w:asciiTheme="minorHAnsi" w:hAnsiTheme="minorHAnsi" w:cstheme="minorHAnsi"/>
          <w:sz w:val="22"/>
          <w:szCs w:val="22"/>
        </w:rPr>
        <w:t xml:space="preserve">d. </w:t>
      </w:r>
      <w:r>
        <w:rPr>
          <w:rFonts w:asciiTheme="minorHAnsi" w:hAnsiTheme="minorHAnsi" w:cstheme="minorHAnsi"/>
          <w:sz w:val="22"/>
          <w:szCs w:val="22"/>
        </w:rPr>
        <w:t>s</w:t>
      </w:r>
      <w:r w:rsidRPr="00F36AB0">
        <w:rPr>
          <w:rFonts w:asciiTheme="minorHAnsi" w:hAnsiTheme="minorHAnsi" w:cstheme="minorHAnsi"/>
          <w:sz w:val="22"/>
          <w:szCs w:val="22"/>
        </w:rPr>
        <w:t xml:space="preserve">prendime </w:t>
      </w:r>
      <w:r w:rsidRPr="00F36AB0">
        <w:rPr>
          <w:rFonts w:asciiTheme="minorHAnsi" w:hAnsiTheme="minorHAnsi" w:cstheme="minorHAnsi"/>
          <w:i/>
          <w:iCs/>
          <w:sz w:val="22"/>
          <w:szCs w:val="22"/>
        </w:rPr>
        <w:t>N.</w:t>
      </w:r>
      <w:r>
        <w:rPr>
          <w:rFonts w:asciiTheme="minorHAnsi" w:hAnsiTheme="minorHAnsi" w:cstheme="minorHAnsi"/>
          <w:i/>
          <w:iCs/>
          <w:sz w:val="22"/>
          <w:szCs w:val="22"/>
        </w:rPr>
        <w:t xml:space="preserve"> </w:t>
      </w:r>
      <w:r w:rsidRPr="00F36AB0">
        <w:rPr>
          <w:rFonts w:asciiTheme="minorHAnsi" w:hAnsiTheme="minorHAnsi" w:cstheme="minorHAnsi"/>
          <w:i/>
          <w:iCs/>
          <w:sz w:val="22"/>
          <w:szCs w:val="22"/>
        </w:rPr>
        <w:t>S. ir</w:t>
      </w:r>
      <w:r>
        <w:rPr>
          <w:rFonts w:asciiTheme="minorHAnsi" w:hAnsiTheme="minorHAnsi" w:cstheme="minorHAnsi"/>
          <w:i/>
          <w:iCs/>
          <w:sz w:val="22"/>
          <w:szCs w:val="22"/>
        </w:rPr>
        <w:t xml:space="preserve"> </w:t>
      </w:r>
      <w:r w:rsidRPr="00F36AB0">
        <w:rPr>
          <w:rFonts w:asciiTheme="minorHAnsi" w:hAnsiTheme="minorHAnsi" w:cstheme="minorHAnsi"/>
          <w:i/>
          <w:iCs/>
          <w:sz w:val="22"/>
          <w:szCs w:val="22"/>
        </w:rPr>
        <w:t>kt.</w:t>
      </w:r>
      <w:r w:rsidRPr="00F36AB0">
        <w:rPr>
          <w:rFonts w:asciiTheme="minorHAnsi" w:hAnsiTheme="minorHAnsi" w:cstheme="minorHAnsi"/>
          <w:sz w:val="22"/>
          <w:szCs w:val="22"/>
        </w:rPr>
        <w:t xml:space="preserve"> (C</w:t>
      </w:r>
      <w:r w:rsidRPr="00F36AB0">
        <w:rPr>
          <w:rFonts w:asciiTheme="minorHAnsi" w:hAnsiTheme="minorHAnsi" w:cstheme="minorHAnsi"/>
          <w:sz w:val="22"/>
          <w:szCs w:val="22"/>
        </w:rPr>
        <w:noBreakHyphen/>
        <w:t>411/10 ir C</w:t>
      </w:r>
      <w:r w:rsidRPr="00F36AB0">
        <w:rPr>
          <w:rFonts w:asciiTheme="minorHAnsi" w:hAnsiTheme="minorHAnsi" w:cstheme="minorHAnsi"/>
          <w:sz w:val="22"/>
          <w:szCs w:val="22"/>
        </w:rPr>
        <w:noBreakHyphen/>
        <w:t>493/10, EU:C:2011:865), t.</w:t>
      </w:r>
      <w:r>
        <w:rPr>
          <w:rFonts w:asciiTheme="minorHAnsi" w:hAnsiTheme="minorHAnsi" w:cstheme="minorHAnsi"/>
          <w:sz w:val="22"/>
          <w:szCs w:val="22"/>
        </w:rPr>
        <w:t xml:space="preserve"> </w:t>
      </w:r>
      <w:r w:rsidRPr="00F36AB0">
        <w:rPr>
          <w:rFonts w:asciiTheme="minorHAnsi" w:hAnsiTheme="minorHAnsi" w:cstheme="minorHAnsi"/>
          <w:sz w:val="22"/>
          <w:szCs w:val="22"/>
        </w:rPr>
        <w:t>y. kai reali grėsmė patirti nežmonišką ar žeminamą elgesį, kaip tai suprantama pagal Chartijos 4</w:t>
      </w:r>
      <w:r>
        <w:rPr>
          <w:rFonts w:asciiTheme="minorHAnsi" w:hAnsiTheme="minorHAnsi" w:cstheme="minorHAnsi"/>
          <w:sz w:val="22"/>
          <w:szCs w:val="22"/>
        </w:rPr>
        <w:t xml:space="preserve"> </w:t>
      </w:r>
      <w:r w:rsidRPr="00F36AB0">
        <w:rPr>
          <w:rFonts w:asciiTheme="minorHAnsi" w:hAnsiTheme="minorHAnsi" w:cstheme="minorHAnsi"/>
          <w:sz w:val="22"/>
          <w:szCs w:val="22"/>
        </w:rPr>
        <w:t>straipsnį, kyla dėl prieglobsčio procedūros ir tarptautinės apsaugos prašytojų priėmimo sąlygų sisteminių trūkumų valstybėje narėje, kuri pagal šį reglamentą paskirta atsakinga už prašymo nagrinėjimą, vis dėlto iš šio sprendimo 83 ir 84 punktų ir bendro bei absoliutaus šiame 4</w:t>
      </w:r>
      <w:r>
        <w:rPr>
          <w:rFonts w:asciiTheme="minorHAnsi" w:hAnsiTheme="minorHAnsi" w:cstheme="minorHAnsi"/>
          <w:sz w:val="22"/>
          <w:szCs w:val="22"/>
        </w:rPr>
        <w:t xml:space="preserve"> </w:t>
      </w:r>
      <w:r w:rsidRPr="00F36AB0">
        <w:rPr>
          <w:rFonts w:asciiTheme="minorHAnsi" w:hAnsiTheme="minorHAnsi" w:cstheme="minorHAnsi"/>
          <w:sz w:val="22"/>
          <w:szCs w:val="22"/>
        </w:rPr>
        <w:t xml:space="preserve">straipsnyje numatyto draudimo pobūdžio išplaukia, kad prašytojo perdavimas tokiai valstybei narei neįmanomas tokiu atveju, kai yra rimta ir pagrįsta priežastis </w:t>
      </w:r>
      <w:r w:rsidRPr="00F36AB0">
        <w:rPr>
          <w:rFonts w:asciiTheme="minorHAnsi" w:hAnsiTheme="minorHAnsi" w:cstheme="minorHAnsi"/>
          <w:sz w:val="22"/>
          <w:szCs w:val="22"/>
        </w:rPr>
        <w:lastRenderedPageBreak/>
        <w:t>manyti, jog perduodant arba perdavus prašytojui kils tokia grėsmė.</w:t>
      </w:r>
      <w:r>
        <w:rPr>
          <w:rFonts w:asciiTheme="minorHAnsi" w:hAnsiTheme="minorHAnsi" w:cstheme="minorHAnsi"/>
          <w:sz w:val="22"/>
          <w:szCs w:val="22"/>
        </w:rPr>
        <w:t xml:space="preserve"> </w:t>
      </w:r>
      <w:r w:rsidRPr="00F36AB0">
        <w:rPr>
          <w:rFonts w:asciiTheme="minorHAnsi" w:hAnsiTheme="minorHAnsi" w:cstheme="minorHAnsi"/>
          <w:sz w:val="22"/>
          <w:szCs w:val="22"/>
        </w:rPr>
        <w:t xml:space="preserve">Taigi </w:t>
      </w:r>
      <w:r w:rsidRPr="007F3FBB">
        <w:rPr>
          <w:rFonts w:asciiTheme="minorHAnsi" w:hAnsiTheme="minorHAnsi" w:cstheme="minorHAnsi"/>
          <w:sz w:val="22"/>
          <w:szCs w:val="22"/>
          <w:u w:val="single"/>
        </w:rPr>
        <w:t>taikant minėtą 4 straipsnį neturi reikšmės, ar atitinkamam asmeniui rimta nežmoniško arba žeminamo elgesio grėsmė dėl perdavimo atsakingai valstybei narei, kaip tai suprantama pagal reglamentą „Dublinas III“, iškils perdavimo momentu, per prieglobsčio procedūrą arba jai pasibaigus</w:t>
      </w:r>
      <w:r>
        <w:rPr>
          <w:rFonts w:asciiTheme="minorHAnsi" w:hAnsiTheme="minorHAnsi" w:cstheme="minorHAnsi"/>
          <w:sz w:val="22"/>
          <w:szCs w:val="22"/>
        </w:rPr>
        <w:t>. B</w:t>
      </w:r>
      <w:r w:rsidRPr="00F36AB0">
        <w:rPr>
          <w:rFonts w:asciiTheme="minorHAnsi" w:hAnsiTheme="minorHAnsi" w:cstheme="minorHAnsi"/>
          <w:sz w:val="22"/>
          <w:szCs w:val="22"/>
        </w:rPr>
        <w:t>endra Europos prieglobsčio sistema ir tarpusavio pripažinimo principas grindžiami patikinimu, kad taikant šią sistemą jokiame etape ir jokia forma nekils grėsmė, kad bus pažeistas Chartijos 4 straipsnis. Šiuo aspektu kiltų prieštaravimas, jeigu tokios grėsmės buvimas prieglobsčio procedūros etape užkirstų kelią perdavimui, bet tokia pati grėsmė būtų toleruojama, kai ši procedūra užbaigiama pripažinus tarpt</w:t>
      </w:r>
      <w:r>
        <w:rPr>
          <w:rFonts w:asciiTheme="minorHAnsi" w:hAnsiTheme="minorHAnsi" w:cstheme="minorHAnsi"/>
          <w:sz w:val="22"/>
          <w:szCs w:val="22"/>
        </w:rPr>
        <w:t>autinę apsaugą (87–89 punktai)</w:t>
      </w:r>
      <w:r w:rsidRPr="00F36AB0">
        <w:rPr>
          <w:rFonts w:asciiTheme="minorHAnsi" w:hAnsiTheme="minorHAnsi" w:cstheme="minorHAnsi"/>
          <w:sz w:val="22"/>
          <w:szCs w:val="22"/>
        </w:rPr>
        <w:t>.</w:t>
      </w:r>
    </w:p>
    <w:p w14:paraId="48CB4990" w14:textId="77777777" w:rsidR="00D22EE4" w:rsidRDefault="00D22EE4" w:rsidP="00D22EE4">
      <w:pPr>
        <w:pStyle w:val="c01pointnumerotealtn"/>
        <w:shd w:val="clear" w:color="auto" w:fill="FFFFFF"/>
        <w:spacing w:before="0" w:beforeAutospacing="0" w:after="0"/>
        <w:ind w:left="0" w:firstLine="567"/>
        <w:rPr>
          <w:rFonts w:asciiTheme="minorHAnsi" w:hAnsiTheme="minorHAnsi" w:cstheme="minorHAnsi"/>
          <w:sz w:val="22"/>
          <w:szCs w:val="22"/>
        </w:rPr>
      </w:pPr>
      <w:r w:rsidRPr="00F36AB0">
        <w:rPr>
          <w:rFonts w:asciiTheme="minorHAnsi" w:hAnsiTheme="minorHAnsi" w:cstheme="minorHAnsi"/>
          <w:sz w:val="22"/>
          <w:szCs w:val="22"/>
        </w:rPr>
        <w:t xml:space="preserve">Šiuo aspektu </w:t>
      </w:r>
      <w:r>
        <w:rPr>
          <w:rFonts w:asciiTheme="minorHAnsi" w:hAnsiTheme="minorHAnsi" w:cstheme="minorHAnsi"/>
          <w:sz w:val="22"/>
          <w:szCs w:val="22"/>
        </w:rPr>
        <w:t xml:space="preserve">Teisingumo Teismas </w:t>
      </w:r>
      <w:r w:rsidRPr="00F36AB0">
        <w:rPr>
          <w:rFonts w:asciiTheme="minorHAnsi" w:hAnsiTheme="minorHAnsi" w:cstheme="minorHAnsi"/>
          <w:sz w:val="22"/>
          <w:szCs w:val="22"/>
        </w:rPr>
        <w:t>pažymė</w:t>
      </w:r>
      <w:r>
        <w:rPr>
          <w:rFonts w:asciiTheme="minorHAnsi" w:hAnsiTheme="minorHAnsi" w:cstheme="minorHAnsi"/>
          <w:sz w:val="22"/>
          <w:szCs w:val="22"/>
        </w:rPr>
        <w:t>jo</w:t>
      </w:r>
      <w:r w:rsidRPr="00F36AB0">
        <w:rPr>
          <w:rFonts w:asciiTheme="minorHAnsi" w:hAnsiTheme="minorHAnsi" w:cstheme="minorHAnsi"/>
          <w:sz w:val="22"/>
          <w:szCs w:val="22"/>
        </w:rPr>
        <w:t xml:space="preserve">, kad </w:t>
      </w:r>
      <w:r w:rsidRPr="007F3FBB">
        <w:rPr>
          <w:rFonts w:asciiTheme="minorHAnsi" w:hAnsiTheme="minorHAnsi" w:cstheme="minorHAnsi"/>
          <w:sz w:val="22"/>
          <w:szCs w:val="22"/>
          <w:u w:val="single"/>
        </w:rPr>
        <w:t>tuomet, kai teismas, kuriam paduotas skundas dėl sprendimo perduoti, turi informacijos, kurią atitinkamas asmuo pateikė siekdamas įrodyti tokios grėsmės buvimą, jis, remdamasis objektyviais, patikimais, tiksliais ir tinkamai atnaujintais duomenimis ir atsižvelgdamas į Sąjungos teisės garantuojamo pagrindinių teisių apsaugos lygį, turi įvertinti, ar esama sisteminių ar bendrųjų trūkumų arba trūkumų, paliečiančių tam tikras asmenų grupes</w:t>
      </w:r>
      <w:r w:rsidRPr="00F36AB0">
        <w:rPr>
          <w:rFonts w:asciiTheme="minorHAnsi" w:hAnsiTheme="minorHAnsi" w:cstheme="minorHAnsi"/>
          <w:sz w:val="22"/>
          <w:szCs w:val="22"/>
        </w:rPr>
        <w:t xml:space="preserve"> (pagal analogiją žr. 2016</w:t>
      </w:r>
      <w:r>
        <w:rPr>
          <w:rFonts w:asciiTheme="minorHAnsi" w:hAnsiTheme="minorHAnsi" w:cstheme="minorHAnsi"/>
          <w:sz w:val="22"/>
          <w:szCs w:val="22"/>
        </w:rPr>
        <w:t xml:space="preserve"> </w:t>
      </w:r>
      <w:r w:rsidRPr="00F36AB0">
        <w:rPr>
          <w:rFonts w:asciiTheme="minorHAnsi" w:hAnsiTheme="minorHAnsi" w:cstheme="minorHAnsi"/>
          <w:sz w:val="22"/>
          <w:szCs w:val="22"/>
        </w:rPr>
        <w:t>m. balandžio 5</w:t>
      </w:r>
      <w:r>
        <w:rPr>
          <w:rFonts w:asciiTheme="minorHAnsi" w:hAnsiTheme="minorHAnsi" w:cstheme="minorHAnsi"/>
          <w:sz w:val="22"/>
          <w:szCs w:val="22"/>
        </w:rPr>
        <w:t xml:space="preserve"> </w:t>
      </w:r>
      <w:r w:rsidRPr="00F36AB0">
        <w:rPr>
          <w:rFonts w:asciiTheme="minorHAnsi" w:hAnsiTheme="minorHAnsi" w:cstheme="minorHAnsi"/>
          <w:sz w:val="22"/>
          <w:szCs w:val="22"/>
        </w:rPr>
        <w:t xml:space="preserve">d. </w:t>
      </w:r>
      <w:r>
        <w:rPr>
          <w:rFonts w:asciiTheme="minorHAnsi" w:hAnsiTheme="minorHAnsi" w:cstheme="minorHAnsi"/>
          <w:sz w:val="22"/>
          <w:szCs w:val="22"/>
        </w:rPr>
        <w:t>s</w:t>
      </w:r>
      <w:r w:rsidRPr="00F36AB0">
        <w:rPr>
          <w:rFonts w:asciiTheme="minorHAnsi" w:hAnsiTheme="minorHAnsi" w:cstheme="minorHAnsi"/>
          <w:sz w:val="22"/>
          <w:szCs w:val="22"/>
        </w:rPr>
        <w:t xml:space="preserve">prendimo </w:t>
      </w:r>
      <w:proofErr w:type="spellStart"/>
      <w:r w:rsidRPr="00F36AB0">
        <w:rPr>
          <w:rFonts w:asciiTheme="minorHAnsi" w:hAnsiTheme="minorHAnsi" w:cstheme="minorHAnsi"/>
          <w:i/>
          <w:iCs/>
          <w:sz w:val="22"/>
          <w:szCs w:val="22"/>
        </w:rPr>
        <w:t>Aranyosi</w:t>
      </w:r>
      <w:proofErr w:type="spellEnd"/>
      <w:r w:rsidRPr="00F36AB0">
        <w:rPr>
          <w:rFonts w:asciiTheme="minorHAnsi" w:hAnsiTheme="minorHAnsi" w:cstheme="minorHAnsi"/>
          <w:i/>
          <w:iCs/>
          <w:sz w:val="22"/>
          <w:szCs w:val="22"/>
        </w:rPr>
        <w:t xml:space="preserve"> ir </w:t>
      </w:r>
      <w:proofErr w:type="spellStart"/>
      <w:r w:rsidRPr="00F36AB0">
        <w:rPr>
          <w:rFonts w:asciiTheme="minorHAnsi" w:hAnsiTheme="minorHAnsi" w:cstheme="minorHAnsi"/>
          <w:i/>
          <w:iCs/>
          <w:sz w:val="22"/>
          <w:szCs w:val="22"/>
        </w:rPr>
        <w:t>Căldăraru</w:t>
      </w:r>
      <w:proofErr w:type="spellEnd"/>
      <w:r w:rsidRPr="00F36AB0">
        <w:rPr>
          <w:rFonts w:asciiTheme="minorHAnsi" w:hAnsiTheme="minorHAnsi" w:cstheme="minorHAnsi"/>
          <w:sz w:val="22"/>
          <w:szCs w:val="22"/>
        </w:rPr>
        <w:t>, C</w:t>
      </w:r>
      <w:r w:rsidRPr="00F36AB0">
        <w:rPr>
          <w:rFonts w:asciiTheme="minorHAnsi" w:hAnsiTheme="minorHAnsi" w:cstheme="minorHAnsi"/>
          <w:sz w:val="22"/>
          <w:szCs w:val="22"/>
        </w:rPr>
        <w:noBreakHyphen/>
        <w:t>404/15 ir C</w:t>
      </w:r>
      <w:r w:rsidRPr="00F36AB0">
        <w:rPr>
          <w:rFonts w:asciiTheme="minorHAnsi" w:hAnsiTheme="minorHAnsi" w:cstheme="minorHAnsi"/>
          <w:sz w:val="22"/>
          <w:szCs w:val="22"/>
        </w:rPr>
        <w:noBreakHyphen/>
        <w:t>659/15</w:t>
      </w:r>
      <w:r>
        <w:rPr>
          <w:rFonts w:asciiTheme="minorHAnsi" w:hAnsiTheme="minorHAnsi" w:cstheme="minorHAnsi"/>
          <w:sz w:val="22"/>
          <w:szCs w:val="22"/>
        </w:rPr>
        <w:t xml:space="preserve"> </w:t>
      </w:r>
      <w:r w:rsidRPr="00F36AB0">
        <w:rPr>
          <w:rFonts w:asciiTheme="minorHAnsi" w:hAnsiTheme="minorHAnsi" w:cstheme="minorHAnsi"/>
          <w:sz w:val="22"/>
          <w:szCs w:val="22"/>
        </w:rPr>
        <w:t>PPU, EU:C:2016:198, 89 punktą)</w:t>
      </w:r>
      <w:r>
        <w:rPr>
          <w:rFonts w:asciiTheme="minorHAnsi" w:hAnsiTheme="minorHAnsi" w:cstheme="minorHAnsi"/>
          <w:sz w:val="22"/>
          <w:szCs w:val="22"/>
        </w:rPr>
        <w:t xml:space="preserve"> (90 punktas)</w:t>
      </w:r>
      <w:r w:rsidRPr="00F36AB0">
        <w:rPr>
          <w:rFonts w:asciiTheme="minorHAnsi" w:hAnsiTheme="minorHAnsi" w:cstheme="minorHAnsi"/>
          <w:sz w:val="22"/>
          <w:szCs w:val="22"/>
        </w:rPr>
        <w:t>.</w:t>
      </w:r>
    </w:p>
    <w:p w14:paraId="39D1E451" w14:textId="77777777" w:rsidR="00D22EE4" w:rsidRPr="00F36AB0" w:rsidRDefault="00D22EE4" w:rsidP="00D22EE4">
      <w:pPr>
        <w:pStyle w:val="c01pointnumerotealtn"/>
        <w:shd w:val="clear" w:color="auto" w:fill="FFFFFF"/>
        <w:spacing w:before="0" w:beforeAutospacing="0" w:after="0"/>
        <w:ind w:left="0" w:firstLine="567"/>
        <w:rPr>
          <w:rFonts w:asciiTheme="minorHAnsi" w:hAnsiTheme="minorHAnsi" w:cstheme="minorHAnsi"/>
          <w:sz w:val="22"/>
          <w:szCs w:val="22"/>
        </w:rPr>
      </w:pPr>
      <w:r>
        <w:rPr>
          <w:rFonts w:asciiTheme="minorHAnsi" w:hAnsiTheme="minorHAnsi" w:cstheme="minorHAnsi"/>
          <w:sz w:val="22"/>
          <w:szCs w:val="22"/>
        </w:rPr>
        <w:t>D</w:t>
      </w:r>
      <w:r w:rsidRPr="00F36AB0">
        <w:rPr>
          <w:rFonts w:asciiTheme="minorHAnsi" w:hAnsiTheme="minorHAnsi" w:cstheme="minorHAnsi"/>
          <w:sz w:val="22"/>
          <w:szCs w:val="22"/>
        </w:rPr>
        <w:t>ėl</w:t>
      </w:r>
      <w:r>
        <w:rPr>
          <w:rFonts w:asciiTheme="minorHAnsi" w:hAnsiTheme="minorHAnsi" w:cstheme="minorHAnsi"/>
          <w:sz w:val="22"/>
          <w:szCs w:val="22"/>
        </w:rPr>
        <w:t xml:space="preserve"> </w:t>
      </w:r>
      <w:r w:rsidRPr="00F36AB0">
        <w:rPr>
          <w:rFonts w:asciiTheme="minorHAnsi" w:hAnsiTheme="minorHAnsi" w:cstheme="minorHAnsi"/>
          <w:sz w:val="22"/>
          <w:szCs w:val="22"/>
        </w:rPr>
        <w:t>klausimo,</w:t>
      </w:r>
      <w:r>
        <w:rPr>
          <w:rFonts w:asciiTheme="minorHAnsi" w:hAnsiTheme="minorHAnsi" w:cstheme="minorHAnsi"/>
          <w:sz w:val="22"/>
          <w:szCs w:val="22"/>
        </w:rPr>
        <w:t xml:space="preserve"> </w:t>
      </w:r>
      <w:r w:rsidRPr="00F36AB0">
        <w:rPr>
          <w:rFonts w:asciiTheme="minorHAnsi" w:hAnsiTheme="minorHAnsi" w:cstheme="minorHAnsi"/>
          <w:sz w:val="22"/>
          <w:szCs w:val="22"/>
        </w:rPr>
        <w:t>pagal</w:t>
      </w:r>
      <w:r>
        <w:rPr>
          <w:rFonts w:asciiTheme="minorHAnsi" w:hAnsiTheme="minorHAnsi" w:cstheme="minorHAnsi"/>
          <w:sz w:val="22"/>
          <w:szCs w:val="22"/>
        </w:rPr>
        <w:t xml:space="preserve"> </w:t>
      </w:r>
      <w:r w:rsidRPr="00F36AB0">
        <w:rPr>
          <w:rFonts w:asciiTheme="minorHAnsi" w:hAnsiTheme="minorHAnsi" w:cstheme="minorHAnsi"/>
          <w:sz w:val="22"/>
          <w:szCs w:val="22"/>
        </w:rPr>
        <w:t>kokius</w:t>
      </w:r>
      <w:r>
        <w:rPr>
          <w:rFonts w:asciiTheme="minorHAnsi" w:hAnsiTheme="minorHAnsi" w:cstheme="minorHAnsi"/>
          <w:sz w:val="22"/>
          <w:szCs w:val="22"/>
        </w:rPr>
        <w:t xml:space="preserve"> </w:t>
      </w:r>
      <w:r w:rsidRPr="00F36AB0">
        <w:rPr>
          <w:rFonts w:asciiTheme="minorHAnsi" w:hAnsiTheme="minorHAnsi" w:cstheme="minorHAnsi"/>
          <w:sz w:val="22"/>
          <w:szCs w:val="22"/>
        </w:rPr>
        <w:t>kriterijus</w:t>
      </w:r>
      <w:r>
        <w:rPr>
          <w:rFonts w:asciiTheme="minorHAnsi" w:hAnsiTheme="minorHAnsi" w:cstheme="minorHAnsi"/>
          <w:sz w:val="22"/>
          <w:szCs w:val="22"/>
        </w:rPr>
        <w:t xml:space="preserve"> </w:t>
      </w:r>
      <w:r w:rsidRPr="00F36AB0">
        <w:rPr>
          <w:rFonts w:asciiTheme="minorHAnsi" w:hAnsiTheme="minorHAnsi" w:cstheme="minorHAnsi"/>
          <w:sz w:val="22"/>
          <w:szCs w:val="22"/>
        </w:rPr>
        <w:t>kompetentingos</w:t>
      </w:r>
      <w:r>
        <w:rPr>
          <w:rFonts w:asciiTheme="minorHAnsi" w:hAnsiTheme="minorHAnsi" w:cstheme="minorHAnsi"/>
          <w:sz w:val="22"/>
          <w:szCs w:val="22"/>
        </w:rPr>
        <w:t xml:space="preserve"> </w:t>
      </w:r>
      <w:r w:rsidRPr="00F36AB0">
        <w:rPr>
          <w:rFonts w:asciiTheme="minorHAnsi" w:hAnsiTheme="minorHAnsi" w:cstheme="minorHAnsi"/>
          <w:sz w:val="22"/>
          <w:szCs w:val="22"/>
        </w:rPr>
        <w:t>nacionalinės</w:t>
      </w:r>
      <w:r>
        <w:rPr>
          <w:rFonts w:asciiTheme="minorHAnsi" w:hAnsiTheme="minorHAnsi" w:cstheme="minorHAnsi"/>
          <w:sz w:val="22"/>
          <w:szCs w:val="22"/>
        </w:rPr>
        <w:t xml:space="preserve"> </w:t>
      </w:r>
      <w:r w:rsidRPr="00F36AB0">
        <w:rPr>
          <w:rFonts w:asciiTheme="minorHAnsi" w:hAnsiTheme="minorHAnsi" w:cstheme="minorHAnsi"/>
          <w:sz w:val="22"/>
          <w:szCs w:val="22"/>
        </w:rPr>
        <w:t>institucijos</w:t>
      </w:r>
      <w:r>
        <w:rPr>
          <w:rFonts w:asciiTheme="minorHAnsi" w:hAnsiTheme="minorHAnsi" w:cstheme="minorHAnsi"/>
          <w:sz w:val="22"/>
          <w:szCs w:val="22"/>
        </w:rPr>
        <w:t xml:space="preserve"> </w:t>
      </w:r>
      <w:r w:rsidRPr="00F36AB0">
        <w:rPr>
          <w:rFonts w:asciiTheme="minorHAnsi" w:hAnsiTheme="minorHAnsi" w:cstheme="minorHAnsi"/>
          <w:sz w:val="22"/>
          <w:szCs w:val="22"/>
        </w:rPr>
        <w:t>turi</w:t>
      </w:r>
      <w:r>
        <w:rPr>
          <w:rFonts w:asciiTheme="minorHAnsi" w:hAnsiTheme="minorHAnsi" w:cstheme="minorHAnsi"/>
          <w:sz w:val="22"/>
          <w:szCs w:val="22"/>
        </w:rPr>
        <w:t xml:space="preserve"> </w:t>
      </w:r>
      <w:r w:rsidRPr="00F36AB0">
        <w:rPr>
          <w:rFonts w:asciiTheme="minorHAnsi" w:hAnsiTheme="minorHAnsi" w:cstheme="minorHAnsi"/>
          <w:sz w:val="22"/>
          <w:szCs w:val="22"/>
        </w:rPr>
        <w:t>atlikti</w:t>
      </w:r>
      <w:r>
        <w:rPr>
          <w:rFonts w:asciiTheme="minorHAnsi" w:hAnsiTheme="minorHAnsi" w:cstheme="minorHAnsi"/>
          <w:sz w:val="22"/>
          <w:szCs w:val="22"/>
        </w:rPr>
        <w:t xml:space="preserve"> </w:t>
      </w:r>
      <w:r w:rsidRPr="00F36AB0">
        <w:rPr>
          <w:rFonts w:asciiTheme="minorHAnsi" w:hAnsiTheme="minorHAnsi" w:cstheme="minorHAnsi"/>
          <w:sz w:val="22"/>
          <w:szCs w:val="22"/>
        </w:rPr>
        <w:t>šį</w:t>
      </w:r>
      <w:r>
        <w:rPr>
          <w:rFonts w:asciiTheme="minorHAnsi" w:hAnsiTheme="minorHAnsi" w:cstheme="minorHAnsi"/>
          <w:sz w:val="22"/>
          <w:szCs w:val="22"/>
        </w:rPr>
        <w:t xml:space="preserve"> </w:t>
      </w:r>
      <w:r w:rsidRPr="00F36AB0">
        <w:rPr>
          <w:rFonts w:asciiTheme="minorHAnsi" w:hAnsiTheme="minorHAnsi" w:cstheme="minorHAnsi"/>
          <w:sz w:val="22"/>
          <w:szCs w:val="22"/>
        </w:rPr>
        <w:t>vertinimą,</w:t>
      </w:r>
      <w:r>
        <w:rPr>
          <w:rFonts w:asciiTheme="minorHAnsi" w:hAnsiTheme="minorHAnsi" w:cstheme="minorHAnsi"/>
          <w:sz w:val="22"/>
          <w:szCs w:val="22"/>
        </w:rPr>
        <w:t xml:space="preserve"> Teisingumo Teismas </w:t>
      </w:r>
      <w:r w:rsidRPr="00F36AB0">
        <w:rPr>
          <w:rFonts w:asciiTheme="minorHAnsi" w:hAnsiTheme="minorHAnsi" w:cstheme="minorHAnsi"/>
          <w:sz w:val="22"/>
          <w:szCs w:val="22"/>
        </w:rPr>
        <w:t>pabrėž</w:t>
      </w:r>
      <w:r>
        <w:rPr>
          <w:rFonts w:asciiTheme="minorHAnsi" w:hAnsiTheme="minorHAnsi" w:cstheme="minorHAnsi"/>
          <w:sz w:val="22"/>
          <w:szCs w:val="22"/>
        </w:rPr>
        <w:t>ė</w:t>
      </w:r>
      <w:r w:rsidRPr="00F36AB0">
        <w:rPr>
          <w:rFonts w:asciiTheme="minorHAnsi" w:hAnsiTheme="minorHAnsi" w:cstheme="minorHAnsi"/>
          <w:sz w:val="22"/>
          <w:szCs w:val="22"/>
        </w:rPr>
        <w:t>,</w:t>
      </w:r>
      <w:r>
        <w:rPr>
          <w:rFonts w:asciiTheme="minorHAnsi" w:hAnsiTheme="minorHAnsi" w:cstheme="minorHAnsi"/>
          <w:sz w:val="22"/>
          <w:szCs w:val="22"/>
        </w:rPr>
        <w:t xml:space="preserve"> </w:t>
      </w:r>
      <w:r w:rsidRPr="00F36AB0">
        <w:rPr>
          <w:rFonts w:asciiTheme="minorHAnsi" w:hAnsiTheme="minorHAnsi" w:cstheme="minorHAnsi"/>
          <w:sz w:val="22"/>
          <w:szCs w:val="22"/>
        </w:rPr>
        <w:t>kad</w:t>
      </w:r>
      <w:r>
        <w:rPr>
          <w:rFonts w:asciiTheme="minorHAnsi" w:hAnsiTheme="minorHAnsi" w:cstheme="minorHAnsi"/>
          <w:sz w:val="22"/>
          <w:szCs w:val="22"/>
        </w:rPr>
        <w:t xml:space="preserve"> </w:t>
      </w:r>
      <w:r w:rsidRPr="007F3FBB">
        <w:rPr>
          <w:rFonts w:asciiTheme="minorHAnsi" w:hAnsiTheme="minorHAnsi" w:cstheme="minorHAnsi"/>
          <w:sz w:val="22"/>
          <w:szCs w:val="22"/>
          <w:u w:val="single"/>
        </w:rPr>
        <w:t>paminėti sisteminiai trūkumai į Chartijos 4 straipsnio, kuris atitinka EŽTK 3 straipsnį ir kurio esmė ir aprėptis pagal Chartijos 52 straipsnio 3 dalį yra tokia pati, kaip nustatyta minėtoje konvencijoje, taikymo sritį patenka tik tada, kai pasiekia ypač aukštą reikšmingumo ribą, kuri priklauso nuo visų konkretaus atvejo aspektų</w:t>
      </w:r>
      <w:r>
        <w:rPr>
          <w:rFonts w:asciiTheme="minorHAnsi" w:hAnsiTheme="minorHAnsi" w:cstheme="minorHAnsi"/>
          <w:sz w:val="22"/>
          <w:szCs w:val="22"/>
        </w:rPr>
        <w:t xml:space="preserve"> </w:t>
      </w:r>
      <w:r w:rsidRPr="00F36AB0">
        <w:rPr>
          <w:rFonts w:asciiTheme="minorHAnsi" w:hAnsiTheme="minorHAnsi" w:cstheme="minorHAnsi"/>
          <w:sz w:val="22"/>
          <w:szCs w:val="22"/>
        </w:rPr>
        <w:t>(EŽTT</w:t>
      </w:r>
      <w:r>
        <w:rPr>
          <w:rFonts w:asciiTheme="minorHAnsi" w:hAnsiTheme="minorHAnsi" w:cstheme="minorHAnsi"/>
          <w:sz w:val="22"/>
          <w:szCs w:val="22"/>
        </w:rPr>
        <w:t xml:space="preserve"> </w:t>
      </w:r>
      <w:r w:rsidRPr="00F36AB0">
        <w:rPr>
          <w:rFonts w:asciiTheme="minorHAnsi" w:hAnsiTheme="minorHAnsi" w:cstheme="minorHAnsi"/>
          <w:sz w:val="22"/>
          <w:szCs w:val="22"/>
        </w:rPr>
        <w:t>2011</w:t>
      </w:r>
      <w:r>
        <w:rPr>
          <w:rFonts w:asciiTheme="minorHAnsi" w:hAnsiTheme="minorHAnsi" w:cstheme="minorHAnsi"/>
          <w:sz w:val="22"/>
          <w:szCs w:val="22"/>
        </w:rPr>
        <w:t xml:space="preserve"> </w:t>
      </w:r>
      <w:r w:rsidRPr="00F36AB0">
        <w:rPr>
          <w:rFonts w:asciiTheme="minorHAnsi" w:hAnsiTheme="minorHAnsi" w:cstheme="minorHAnsi"/>
          <w:sz w:val="22"/>
          <w:szCs w:val="22"/>
        </w:rPr>
        <w:t>m.</w:t>
      </w:r>
      <w:r>
        <w:rPr>
          <w:rFonts w:asciiTheme="minorHAnsi" w:hAnsiTheme="minorHAnsi" w:cstheme="minorHAnsi"/>
          <w:sz w:val="22"/>
          <w:szCs w:val="22"/>
        </w:rPr>
        <w:t xml:space="preserve"> </w:t>
      </w:r>
      <w:r w:rsidRPr="00F36AB0">
        <w:rPr>
          <w:rFonts w:asciiTheme="minorHAnsi" w:hAnsiTheme="minorHAnsi" w:cstheme="minorHAnsi"/>
          <w:sz w:val="22"/>
          <w:szCs w:val="22"/>
        </w:rPr>
        <w:t>sausio</w:t>
      </w:r>
      <w:r>
        <w:rPr>
          <w:rFonts w:asciiTheme="minorHAnsi" w:hAnsiTheme="minorHAnsi" w:cstheme="minorHAnsi"/>
          <w:sz w:val="22"/>
          <w:szCs w:val="22"/>
        </w:rPr>
        <w:t xml:space="preserve"> </w:t>
      </w:r>
      <w:r w:rsidRPr="00F36AB0">
        <w:rPr>
          <w:rFonts w:asciiTheme="minorHAnsi" w:hAnsiTheme="minorHAnsi" w:cstheme="minorHAnsi"/>
          <w:sz w:val="22"/>
          <w:szCs w:val="22"/>
        </w:rPr>
        <w:t>21</w:t>
      </w:r>
      <w:r>
        <w:rPr>
          <w:rFonts w:asciiTheme="minorHAnsi" w:hAnsiTheme="minorHAnsi" w:cstheme="minorHAnsi"/>
          <w:sz w:val="22"/>
          <w:szCs w:val="22"/>
        </w:rPr>
        <w:t xml:space="preserve"> </w:t>
      </w:r>
      <w:r w:rsidRPr="00F36AB0">
        <w:rPr>
          <w:rFonts w:asciiTheme="minorHAnsi" w:hAnsiTheme="minorHAnsi" w:cstheme="minorHAnsi"/>
          <w:sz w:val="22"/>
          <w:szCs w:val="22"/>
        </w:rPr>
        <w:t>d.</w:t>
      </w:r>
      <w:r>
        <w:rPr>
          <w:rFonts w:asciiTheme="minorHAnsi" w:hAnsiTheme="minorHAnsi" w:cstheme="minorHAnsi"/>
          <w:sz w:val="22"/>
          <w:szCs w:val="22"/>
        </w:rPr>
        <w:t xml:space="preserve"> s</w:t>
      </w:r>
      <w:r w:rsidRPr="00F36AB0">
        <w:rPr>
          <w:rFonts w:asciiTheme="minorHAnsi" w:hAnsiTheme="minorHAnsi" w:cstheme="minorHAnsi"/>
          <w:sz w:val="22"/>
          <w:szCs w:val="22"/>
        </w:rPr>
        <w:t>prendimas</w:t>
      </w:r>
      <w:r>
        <w:rPr>
          <w:rFonts w:asciiTheme="minorHAnsi" w:hAnsiTheme="minorHAnsi" w:cstheme="minorHAnsi"/>
          <w:sz w:val="22"/>
          <w:szCs w:val="22"/>
        </w:rPr>
        <w:t xml:space="preserve"> </w:t>
      </w:r>
      <w:r w:rsidRPr="00F36AB0">
        <w:rPr>
          <w:rFonts w:asciiTheme="minorHAnsi" w:hAnsiTheme="minorHAnsi" w:cstheme="minorHAnsi"/>
          <w:i/>
          <w:iCs/>
          <w:sz w:val="22"/>
          <w:szCs w:val="22"/>
        </w:rPr>
        <w:t>M.</w:t>
      </w:r>
      <w:r>
        <w:rPr>
          <w:rFonts w:asciiTheme="minorHAnsi" w:hAnsiTheme="minorHAnsi" w:cstheme="minorHAnsi"/>
          <w:i/>
          <w:iCs/>
          <w:sz w:val="22"/>
          <w:szCs w:val="22"/>
        </w:rPr>
        <w:t xml:space="preserve"> </w:t>
      </w:r>
      <w:r w:rsidRPr="00F36AB0">
        <w:rPr>
          <w:rFonts w:asciiTheme="minorHAnsi" w:hAnsiTheme="minorHAnsi" w:cstheme="minorHAnsi"/>
          <w:i/>
          <w:iCs/>
          <w:sz w:val="22"/>
          <w:szCs w:val="22"/>
        </w:rPr>
        <w:t>S.</w:t>
      </w:r>
      <w:r>
        <w:rPr>
          <w:rFonts w:asciiTheme="minorHAnsi" w:hAnsiTheme="minorHAnsi" w:cstheme="minorHAnsi"/>
          <w:i/>
          <w:iCs/>
          <w:sz w:val="22"/>
          <w:szCs w:val="22"/>
        </w:rPr>
        <w:t xml:space="preserve"> </w:t>
      </w:r>
      <w:r w:rsidRPr="00F36AB0">
        <w:rPr>
          <w:rFonts w:asciiTheme="minorHAnsi" w:hAnsiTheme="minorHAnsi" w:cstheme="minorHAnsi"/>
          <w:i/>
          <w:iCs/>
          <w:sz w:val="22"/>
          <w:szCs w:val="22"/>
        </w:rPr>
        <w:t>S</w:t>
      </w:r>
      <w:r w:rsidRPr="00F36AB0">
        <w:rPr>
          <w:rFonts w:asciiTheme="minorHAnsi" w:hAnsiTheme="minorHAnsi" w:cstheme="minorHAnsi"/>
          <w:sz w:val="22"/>
          <w:szCs w:val="22"/>
        </w:rPr>
        <w:t>.</w:t>
      </w:r>
      <w:r>
        <w:rPr>
          <w:rFonts w:asciiTheme="minorHAnsi" w:hAnsiTheme="minorHAnsi" w:cstheme="minorHAnsi"/>
          <w:sz w:val="22"/>
          <w:szCs w:val="22"/>
        </w:rPr>
        <w:t xml:space="preserve"> </w:t>
      </w:r>
      <w:r w:rsidRPr="00F36AB0">
        <w:rPr>
          <w:rFonts w:asciiTheme="minorHAnsi" w:hAnsiTheme="minorHAnsi" w:cstheme="minorHAnsi"/>
          <w:sz w:val="22"/>
          <w:szCs w:val="22"/>
        </w:rPr>
        <w:t>prieš</w:t>
      </w:r>
      <w:r>
        <w:rPr>
          <w:rFonts w:asciiTheme="minorHAnsi" w:hAnsiTheme="minorHAnsi" w:cstheme="minorHAnsi"/>
          <w:sz w:val="22"/>
          <w:szCs w:val="22"/>
        </w:rPr>
        <w:t xml:space="preserve"> </w:t>
      </w:r>
      <w:r w:rsidRPr="00F36AB0">
        <w:rPr>
          <w:rFonts w:asciiTheme="minorHAnsi" w:hAnsiTheme="minorHAnsi" w:cstheme="minorHAnsi"/>
          <w:sz w:val="22"/>
          <w:szCs w:val="22"/>
        </w:rPr>
        <w:t>Belgiją</w:t>
      </w:r>
      <w:r>
        <w:rPr>
          <w:rFonts w:asciiTheme="minorHAnsi" w:hAnsiTheme="minorHAnsi" w:cstheme="minorHAnsi"/>
          <w:sz w:val="22"/>
          <w:szCs w:val="22"/>
        </w:rPr>
        <w:t xml:space="preserve"> </w:t>
      </w:r>
      <w:r w:rsidRPr="00F36AB0">
        <w:rPr>
          <w:rFonts w:asciiTheme="minorHAnsi" w:hAnsiTheme="minorHAnsi" w:cstheme="minorHAnsi"/>
          <w:sz w:val="22"/>
          <w:szCs w:val="22"/>
        </w:rPr>
        <w:t>ir</w:t>
      </w:r>
      <w:r>
        <w:rPr>
          <w:rFonts w:asciiTheme="minorHAnsi" w:hAnsiTheme="minorHAnsi" w:cstheme="minorHAnsi"/>
          <w:sz w:val="22"/>
          <w:szCs w:val="22"/>
        </w:rPr>
        <w:t xml:space="preserve"> </w:t>
      </w:r>
      <w:r w:rsidRPr="00F36AB0">
        <w:rPr>
          <w:rFonts w:asciiTheme="minorHAnsi" w:hAnsiTheme="minorHAnsi" w:cstheme="minorHAnsi"/>
          <w:sz w:val="22"/>
          <w:szCs w:val="22"/>
        </w:rPr>
        <w:t>Graikiją,</w:t>
      </w:r>
      <w:r>
        <w:rPr>
          <w:rFonts w:asciiTheme="minorHAnsi" w:hAnsiTheme="minorHAnsi" w:cstheme="minorHAnsi"/>
          <w:sz w:val="22"/>
          <w:szCs w:val="22"/>
        </w:rPr>
        <w:t xml:space="preserve"> </w:t>
      </w:r>
      <w:r w:rsidRPr="00F36AB0">
        <w:rPr>
          <w:rFonts w:asciiTheme="minorHAnsi" w:hAnsiTheme="minorHAnsi" w:cstheme="minorHAnsi"/>
          <w:sz w:val="22"/>
          <w:szCs w:val="22"/>
        </w:rPr>
        <w:t>CE:ECHR:2011:0121JUD003069609,</w:t>
      </w:r>
      <w:r>
        <w:rPr>
          <w:rFonts w:asciiTheme="minorHAnsi" w:hAnsiTheme="minorHAnsi" w:cstheme="minorHAnsi"/>
          <w:sz w:val="22"/>
          <w:szCs w:val="22"/>
        </w:rPr>
        <w:t xml:space="preserve"> </w:t>
      </w:r>
      <w:r w:rsidRPr="00F36AB0">
        <w:rPr>
          <w:rFonts w:asciiTheme="minorHAnsi" w:hAnsiTheme="minorHAnsi" w:cstheme="minorHAnsi"/>
          <w:sz w:val="22"/>
          <w:szCs w:val="22"/>
        </w:rPr>
        <w:t>254</w:t>
      </w:r>
      <w:r>
        <w:rPr>
          <w:rFonts w:asciiTheme="minorHAnsi" w:hAnsiTheme="minorHAnsi" w:cstheme="minorHAnsi"/>
          <w:sz w:val="22"/>
          <w:szCs w:val="22"/>
        </w:rPr>
        <w:t xml:space="preserve"> </w:t>
      </w:r>
      <w:r w:rsidRPr="00F36AB0">
        <w:rPr>
          <w:rFonts w:asciiTheme="minorHAnsi" w:hAnsiTheme="minorHAnsi" w:cstheme="minorHAnsi"/>
          <w:sz w:val="22"/>
          <w:szCs w:val="22"/>
        </w:rPr>
        <w:t>punktas).</w:t>
      </w:r>
      <w:r>
        <w:rPr>
          <w:rFonts w:asciiTheme="minorHAnsi" w:hAnsiTheme="minorHAnsi" w:cstheme="minorHAnsi"/>
          <w:sz w:val="22"/>
          <w:szCs w:val="22"/>
        </w:rPr>
        <w:t xml:space="preserve"> </w:t>
      </w:r>
      <w:r w:rsidRPr="007F3FBB">
        <w:rPr>
          <w:rFonts w:asciiTheme="minorHAnsi" w:hAnsiTheme="minorHAnsi" w:cstheme="minorHAnsi"/>
          <w:sz w:val="22"/>
          <w:szCs w:val="22"/>
          <w:u w:val="single"/>
        </w:rPr>
        <w:t>Ši ypač aukšta reikšmingumo riba būtų pasiekta tuomet, kai dėl valstybės narės institucijų abejingumo visiškai nuo valstybės pagalbos priklausomas asmuo, nepriklausomai nuo savo valios ir asmeninio pasirinkimo, patektų į nepaprastai sunkią materialinę padėtį, dėl kurios negalėtų patenkinti elementariausių savo poreikių, pavyzdžiui, visų pirma pavalgyti, nusiprausti ir turėti būstą, ir kuri kenktų jo fizinei ar psichinei sveikatai ir ją pablogintų taip, kaip nesuderinama su žmogaus orumu</w:t>
      </w:r>
      <w:r>
        <w:rPr>
          <w:rFonts w:asciiTheme="minorHAnsi" w:hAnsiTheme="minorHAnsi" w:cstheme="minorHAnsi"/>
          <w:sz w:val="22"/>
          <w:szCs w:val="22"/>
        </w:rPr>
        <w:t xml:space="preserve"> </w:t>
      </w:r>
      <w:r w:rsidRPr="00F36AB0">
        <w:rPr>
          <w:rFonts w:asciiTheme="minorHAnsi" w:hAnsiTheme="minorHAnsi" w:cstheme="minorHAnsi"/>
          <w:sz w:val="22"/>
          <w:szCs w:val="22"/>
        </w:rPr>
        <w:t>(šiuo</w:t>
      </w:r>
      <w:r>
        <w:rPr>
          <w:rFonts w:asciiTheme="minorHAnsi" w:hAnsiTheme="minorHAnsi" w:cstheme="minorHAnsi"/>
          <w:sz w:val="22"/>
          <w:szCs w:val="22"/>
        </w:rPr>
        <w:t xml:space="preserve"> </w:t>
      </w:r>
      <w:r w:rsidRPr="00F36AB0">
        <w:rPr>
          <w:rFonts w:asciiTheme="minorHAnsi" w:hAnsiTheme="minorHAnsi" w:cstheme="minorHAnsi"/>
          <w:sz w:val="22"/>
          <w:szCs w:val="22"/>
        </w:rPr>
        <w:t>klausimu</w:t>
      </w:r>
      <w:r>
        <w:rPr>
          <w:rFonts w:asciiTheme="minorHAnsi" w:hAnsiTheme="minorHAnsi" w:cstheme="minorHAnsi"/>
          <w:sz w:val="22"/>
          <w:szCs w:val="22"/>
        </w:rPr>
        <w:t xml:space="preserve"> </w:t>
      </w:r>
      <w:r w:rsidRPr="00F36AB0">
        <w:rPr>
          <w:rFonts w:asciiTheme="minorHAnsi" w:hAnsiTheme="minorHAnsi" w:cstheme="minorHAnsi"/>
          <w:sz w:val="22"/>
          <w:szCs w:val="22"/>
        </w:rPr>
        <w:t>žr.</w:t>
      </w:r>
      <w:r>
        <w:rPr>
          <w:rFonts w:asciiTheme="minorHAnsi" w:hAnsiTheme="minorHAnsi" w:cstheme="minorHAnsi"/>
          <w:sz w:val="22"/>
          <w:szCs w:val="22"/>
        </w:rPr>
        <w:t xml:space="preserve"> </w:t>
      </w:r>
      <w:r w:rsidRPr="00F36AB0">
        <w:rPr>
          <w:rFonts w:asciiTheme="minorHAnsi" w:hAnsiTheme="minorHAnsi" w:cstheme="minorHAnsi"/>
          <w:sz w:val="22"/>
          <w:szCs w:val="22"/>
        </w:rPr>
        <w:t>EŽTT</w:t>
      </w:r>
      <w:r>
        <w:rPr>
          <w:rFonts w:asciiTheme="minorHAnsi" w:hAnsiTheme="minorHAnsi" w:cstheme="minorHAnsi"/>
          <w:sz w:val="22"/>
          <w:szCs w:val="22"/>
        </w:rPr>
        <w:t xml:space="preserve"> </w:t>
      </w:r>
      <w:r w:rsidRPr="00F36AB0">
        <w:rPr>
          <w:rFonts w:asciiTheme="minorHAnsi" w:hAnsiTheme="minorHAnsi" w:cstheme="minorHAnsi"/>
          <w:sz w:val="22"/>
          <w:szCs w:val="22"/>
        </w:rPr>
        <w:t>2011</w:t>
      </w:r>
      <w:r>
        <w:rPr>
          <w:rFonts w:asciiTheme="minorHAnsi" w:hAnsiTheme="minorHAnsi" w:cstheme="minorHAnsi"/>
          <w:sz w:val="22"/>
          <w:szCs w:val="22"/>
        </w:rPr>
        <w:t xml:space="preserve"> </w:t>
      </w:r>
      <w:r w:rsidRPr="00F36AB0">
        <w:rPr>
          <w:rFonts w:asciiTheme="minorHAnsi" w:hAnsiTheme="minorHAnsi" w:cstheme="minorHAnsi"/>
          <w:sz w:val="22"/>
          <w:szCs w:val="22"/>
        </w:rPr>
        <w:t>m.</w:t>
      </w:r>
      <w:r>
        <w:rPr>
          <w:rFonts w:asciiTheme="minorHAnsi" w:hAnsiTheme="minorHAnsi" w:cstheme="minorHAnsi"/>
          <w:sz w:val="22"/>
          <w:szCs w:val="22"/>
        </w:rPr>
        <w:t xml:space="preserve"> </w:t>
      </w:r>
      <w:r w:rsidRPr="00F36AB0">
        <w:rPr>
          <w:rFonts w:asciiTheme="minorHAnsi" w:hAnsiTheme="minorHAnsi" w:cstheme="minorHAnsi"/>
          <w:sz w:val="22"/>
          <w:szCs w:val="22"/>
        </w:rPr>
        <w:t>sausio</w:t>
      </w:r>
      <w:r>
        <w:rPr>
          <w:rFonts w:asciiTheme="minorHAnsi" w:hAnsiTheme="minorHAnsi" w:cstheme="minorHAnsi"/>
          <w:sz w:val="22"/>
          <w:szCs w:val="22"/>
        </w:rPr>
        <w:t xml:space="preserve"> </w:t>
      </w:r>
      <w:r w:rsidRPr="00F36AB0">
        <w:rPr>
          <w:rFonts w:asciiTheme="minorHAnsi" w:hAnsiTheme="minorHAnsi" w:cstheme="minorHAnsi"/>
          <w:sz w:val="22"/>
          <w:szCs w:val="22"/>
        </w:rPr>
        <w:t>21</w:t>
      </w:r>
      <w:r>
        <w:rPr>
          <w:rFonts w:asciiTheme="minorHAnsi" w:hAnsiTheme="minorHAnsi" w:cstheme="minorHAnsi"/>
          <w:sz w:val="22"/>
          <w:szCs w:val="22"/>
        </w:rPr>
        <w:t xml:space="preserve"> </w:t>
      </w:r>
      <w:r w:rsidRPr="00F36AB0">
        <w:rPr>
          <w:rFonts w:asciiTheme="minorHAnsi" w:hAnsiTheme="minorHAnsi" w:cstheme="minorHAnsi"/>
          <w:sz w:val="22"/>
          <w:szCs w:val="22"/>
        </w:rPr>
        <w:t>d.</w:t>
      </w:r>
      <w:r>
        <w:rPr>
          <w:rFonts w:asciiTheme="minorHAnsi" w:hAnsiTheme="minorHAnsi" w:cstheme="minorHAnsi"/>
          <w:sz w:val="22"/>
          <w:szCs w:val="22"/>
        </w:rPr>
        <w:t xml:space="preserve"> s</w:t>
      </w:r>
      <w:r w:rsidRPr="00F36AB0">
        <w:rPr>
          <w:rFonts w:asciiTheme="minorHAnsi" w:hAnsiTheme="minorHAnsi" w:cstheme="minorHAnsi"/>
          <w:sz w:val="22"/>
          <w:szCs w:val="22"/>
        </w:rPr>
        <w:t>prendim</w:t>
      </w:r>
      <w:r>
        <w:rPr>
          <w:rFonts w:asciiTheme="minorHAnsi" w:hAnsiTheme="minorHAnsi" w:cstheme="minorHAnsi"/>
          <w:sz w:val="22"/>
          <w:szCs w:val="22"/>
        </w:rPr>
        <w:t xml:space="preserve">o </w:t>
      </w:r>
      <w:r w:rsidRPr="00F36AB0">
        <w:rPr>
          <w:rFonts w:asciiTheme="minorHAnsi" w:hAnsiTheme="minorHAnsi" w:cstheme="minorHAnsi"/>
          <w:i/>
          <w:iCs/>
          <w:sz w:val="22"/>
          <w:szCs w:val="22"/>
        </w:rPr>
        <w:t>M.</w:t>
      </w:r>
      <w:r>
        <w:rPr>
          <w:rFonts w:asciiTheme="minorHAnsi" w:hAnsiTheme="minorHAnsi" w:cstheme="minorHAnsi"/>
          <w:i/>
          <w:iCs/>
          <w:sz w:val="22"/>
          <w:szCs w:val="22"/>
        </w:rPr>
        <w:t xml:space="preserve"> </w:t>
      </w:r>
      <w:r w:rsidRPr="00F36AB0">
        <w:rPr>
          <w:rFonts w:asciiTheme="minorHAnsi" w:hAnsiTheme="minorHAnsi" w:cstheme="minorHAnsi"/>
          <w:i/>
          <w:iCs/>
          <w:sz w:val="22"/>
          <w:szCs w:val="22"/>
        </w:rPr>
        <w:t>S.</w:t>
      </w:r>
      <w:r>
        <w:rPr>
          <w:rFonts w:asciiTheme="minorHAnsi" w:hAnsiTheme="minorHAnsi" w:cstheme="minorHAnsi"/>
          <w:i/>
          <w:iCs/>
          <w:sz w:val="22"/>
          <w:szCs w:val="22"/>
        </w:rPr>
        <w:t xml:space="preserve"> </w:t>
      </w:r>
      <w:r w:rsidRPr="00F36AB0">
        <w:rPr>
          <w:rFonts w:asciiTheme="minorHAnsi" w:hAnsiTheme="minorHAnsi" w:cstheme="minorHAnsi"/>
          <w:i/>
          <w:iCs/>
          <w:sz w:val="22"/>
          <w:szCs w:val="22"/>
        </w:rPr>
        <w:t>S</w:t>
      </w:r>
      <w:r w:rsidRPr="00F36AB0">
        <w:rPr>
          <w:rFonts w:asciiTheme="minorHAnsi" w:hAnsiTheme="minorHAnsi" w:cstheme="minorHAnsi"/>
          <w:sz w:val="22"/>
          <w:szCs w:val="22"/>
        </w:rPr>
        <w:t>.</w:t>
      </w:r>
      <w:r>
        <w:rPr>
          <w:rFonts w:asciiTheme="minorHAnsi" w:hAnsiTheme="minorHAnsi" w:cstheme="minorHAnsi"/>
          <w:sz w:val="22"/>
          <w:szCs w:val="22"/>
        </w:rPr>
        <w:t xml:space="preserve"> </w:t>
      </w:r>
      <w:r w:rsidRPr="00F36AB0">
        <w:rPr>
          <w:rFonts w:asciiTheme="minorHAnsi" w:hAnsiTheme="minorHAnsi" w:cstheme="minorHAnsi"/>
          <w:sz w:val="22"/>
          <w:szCs w:val="22"/>
        </w:rPr>
        <w:t>prieš</w:t>
      </w:r>
      <w:r>
        <w:rPr>
          <w:rFonts w:asciiTheme="minorHAnsi" w:hAnsiTheme="minorHAnsi" w:cstheme="minorHAnsi"/>
          <w:sz w:val="22"/>
          <w:szCs w:val="22"/>
        </w:rPr>
        <w:t xml:space="preserve"> </w:t>
      </w:r>
      <w:r w:rsidRPr="00F36AB0">
        <w:rPr>
          <w:rFonts w:asciiTheme="minorHAnsi" w:hAnsiTheme="minorHAnsi" w:cstheme="minorHAnsi"/>
          <w:sz w:val="22"/>
          <w:szCs w:val="22"/>
        </w:rPr>
        <w:t>Belgiją</w:t>
      </w:r>
      <w:r>
        <w:rPr>
          <w:rFonts w:asciiTheme="minorHAnsi" w:hAnsiTheme="minorHAnsi" w:cstheme="minorHAnsi"/>
          <w:sz w:val="22"/>
          <w:szCs w:val="22"/>
        </w:rPr>
        <w:t xml:space="preserve"> </w:t>
      </w:r>
      <w:r w:rsidRPr="00F36AB0">
        <w:rPr>
          <w:rFonts w:asciiTheme="minorHAnsi" w:hAnsiTheme="minorHAnsi" w:cstheme="minorHAnsi"/>
          <w:sz w:val="22"/>
          <w:szCs w:val="22"/>
        </w:rPr>
        <w:t>ir</w:t>
      </w:r>
      <w:r>
        <w:rPr>
          <w:rFonts w:asciiTheme="minorHAnsi" w:hAnsiTheme="minorHAnsi" w:cstheme="minorHAnsi"/>
          <w:sz w:val="22"/>
          <w:szCs w:val="22"/>
        </w:rPr>
        <w:t xml:space="preserve"> </w:t>
      </w:r>
      <w:r w:rsidRPr="00F36AB0">
        <w:rPr>
          <w:rFonts w:asciiTheme="minorHAnsi" w:hAnsiTheme="minorHAnsi" w:cstheme="minorHAnsi"/>
          <w:sz w:val="22"/>
          <w:szCs w:val="22"/>
        </w:rPr>
        <w:t>Graikiją,</w:t>
      </w:r>
      <w:r>
        <w:rPr>
          <w:rFonts w:asciiTheme="minorHAnsi" w:hAnsiTheme="minorHAnsi" w:cstheme="minorHAnsi"/>
          <w:sz w:val="22"/>
          <w:szCs w:val="22"/>
        </w:rPr>
        <w:t xml:space="preserve"> </w:t>
      </w:r>
      <w:r w:rsidRPr="00F36AB0">
        <w:rPr>
          <w:rFonts w:asciiTheme="minorHAnsi" w:hAnsiTheme="minorHAnsi" w:cstheme="minorHAnsi"/>
          <w:sz w:val="22"/>
          <w:szCs w:val="22"/>
        </w:rPr>
        <w:t>CE:ECHR:2011:0121JUD003069609,</w:t>
      </w:r>
      <w:r>
        <w:rPr>
          <w:rFonts w:asciiTheme="minorHAnsi" w:hAnsiTheme="minorHAnsi" w:cstheme="minorHAnsi"/>
          <w:sz w:val="22"/>
          <w:szCs w:val="22"/>
        </w:rPr>
        <w:t xml:space="preserve"> </w:t>
      </w:r>
      <w:r w:rsidRPr="00F36AB0">
        <w:rPr>
          <w:rFonts w:asciiTheme="minorHAnsi" w:hAnsiTheme="minorHAnsi" w:cstheme="minorHAnsi"/>
          <w:sz w:val="22"/>
          <w:szCs w:val="22"/>
        </w:rPr>
        <w:t>252–263</w:t>
      </w:r>
      <w:r>
        <w:rPr>
          <w:rFonts w:asciiTheme="minorHAnsi" w:hAnsiTheme="minorHAnsi" w:cstheme="minorHAnsi"/>
          <w:sz w:val="22"/>
          <w:szCs w:val="22"/>
        </w:rPr>
        <w:t xml:space="preserve"> </w:t>
      </w:r>
      <w:r w:rsidRPr="00F36AB0">
        <w:rPr>
          <w:rFonts w:asciiTheme="minorHAnsi" w:hAnsiTheme="minorHAnsi" w:cstheme="minorHAnsi"/>
          <w:sz w:val="22"/>
          <w:szCs w:val="22"/>
        </w:rPr>
        <w:t>punktus).</w:t>
      </w:r>
      <w:r>
        <w:rPr>
          <w:rFonts w:asciiTheme="minorHAnsi" w:hAnsiTheme="minorHAnsi" w:cstheme="minorHAnsi"/>
          <w:sz w:val="22"/>
          <w:szCs w:val="22"/>
        </w:rPr>
        <w:t xml:space="preserve"> </w:t>
      </w:r>
      <w:r w:rsidRPr="00F36AB0">
        <w:rPr>
          <w:rFonts w:asciiTheme="minorHAnsi" w:hAnsiTheme="minorHAnsi" w:cstheme="minorHAnsi"/>
          <w:sz w:val="22"/>
          <w:szCs w:val="22"/>
        </w:rPr>
        <w:t>Taigi</w:t>
      </w:r>
      <w:r>
        <w:rPr>
          <w:rFonts w:asciiTheme="minorHAnsi" w:hAnsiTheme="minorHAnsi" w:cstheme="minorHAnsi"/>
          <w:sz w:val="22"/>
          <w:szCs w:val="22"/>
        </w:rPr>
        <w:t xml:space="preserve"> </w:t>
      </w:r>
      <w:r w:rsidRPr="007F3FBB">
        <w:rPr>
          <w:rFonts w:asciiTheme="minorHAnsi" w:hAnsiTheme="minorHAnsi" w:cstheme="minorHAnsi"/>
          <w:sz w:val="22"/>
          <w:szCs w:val="22"/>
          <w:u w:val="single"/>
        </w:rPr>
        <w:t>minėta riba neapima situacijų, pasireiškiančių net dideliu skurdu arba dideliu atitinkamo asmens gyvenimo sąlygų pablogėjimu, jeigu jos nesusijusios su nepaprastai sunkia materialine padėtimi, dėl kurios šis asmuo atsirastų tokioje sunkioje situacijoje, kad ji galėtų būti prilyginta nežm</w:t>
      </w:r>
      <w:bookmarkStart w:id="19" w:name="point92"/>
      <w:r w:rsidRPr="007F3FBB">
        <w:rPr>
          <w:rFonts w:asciiTheme="minorHAnsi" w:hAnsiTheme="minorHAnsi" w:cstheme="minorHAnsi"/>
          <w:sz w:val="22"/>
          <w:szCs w:val="22"/>
          <w:u w:val="single"/>
        </w:rPr>
        <w:t>oniškam arba žeminamam elgesiui</w:t>
      </w:r>
      <w:r>
        <w:rPr>
          <w:rFonts w:asciiTheme="minorHAnsi" w:hAnsiTheme="minorHAnsi" w:cstheme="minorHAnsi"/>
          <w:sz w:val="22"/>
          <w:szCs w:val="22"/>
        </w:rPr>
        <w:t xml:space="preserve"> (91–</w:t>
      </w:r>
      <w:r w:rsidRPr="00F36AB0">
        <w:rPr>
          <w:rFonts w:asciiTheme="minorHAnsi" w:hAnsiTheme="minorHAnsi" w:cstheme="minorHAnsi"/>
          <w:sz w:val="22"/>
          <w:szCs w:val="22"/>
        </w:rPr>
        <w:t>9</w:t>
      </w:r>
      <w:bookmarkEnd w:id="19"/>
      <w:r>
        <w:rPr>
          <w:rFonts w:asciiTheme="minorHAnsi" w:hAnsiTheme="minorHAnsi" w:cstheme="minorHAnsi"/>
          <w:sz w:val="22"/>
          <w:szCs w:val="22"/>
        </w:rPr>
        <w:t>3 punktai).</w:t>
      </w:r>
    </w:p>
    <w:p w14:paraId="4430CA72" w14:textId="77777777" w:rsidR="00D22EE4" w:rsidRPr="00F36AB0" w:rsidRDefault="00D22EE4" w:rsidP="00D22EE4">
      <w:pPr>
        <w:pStyle w:val="c01pointnumerotealtn"/>
        <w:shd w:val="clear" w:color="auto" w:fill="FFFFFF"/>
        <w:spacing w:before="0" w:beforeAutospacing="0" w:after="0"/>
        <w:ind w:left="0" w:firstLine="567"/>
        <w:rPr>
          <w:rFonts w:asciiTheme="minorHAnsi" w:hAnsiTheme="minorHAnsi" w:cstheme="minorHAnsi"/>
          <w:sz w:val="22"/>
          <w:szCs w:val="22"/>
        </w:rPr>
      </w:pPr>
      <w:bookmarkStart w:id="20" w:name="point94"/>
      <w:r w:rsidRPr="00F36AB0">
        <w:rPr>
          <w:rFonts w:asciiTheme="minorHAnsi" w:hAnsiTheme="minorHAnsi" w:cstheme="minorHAnsi"/>
          <w:sz w:val="22"/>
          <w:szCs w:val="22"/>
        </w:rPr>
        <w:t xml:space="preserve">Nagrinėjamu atveju </w:t>
      </w:r>
      <w:r w:rsidRPr="000438CF">
        <w:rPr>
          <w:rFonts w:asciiTheme="minorHAnsi" w:hAnsiTheme="minorHAnsi" w:cstheme="minorHAnsi"/>
          <w:sz w:val="22"/>
          <w:szCs w:val="22"/>
        </w:rPr>
        <w:t>trūkumai, kurie išryškėja valstybei narei, paprastai atsakingai už tarptautinės apsaugos prašymo nagrinėjimą, įgyvendinant asmenų, kuriems suteikta tokia apsauga, integracijos programas, negali būti rimta ir pagrįsta priežastis manyti, jog atitinkamam asmeniui, kai jis bus perduotas šiai valstybei narei, kiltų reali grėsmė patirti nežmonišką ar žeminamą elgesį, kaip tai suprantama pagal Chartijos 4 straipsnį</w:t>
      </w:r>
      <w:r w:rsidRPr="00F36AB0">
        <w:rPr>
          <w:rFonts w:asciiTheme="minorHAnsi" w:hAnsiTheme="minorHAnsi" w:cstheme="minorHAnsi"/>
          <w:sz w:val="22"/>
          <w:szCs w:val="22"/>
        </w:rPr>
        <w:t>.</w:t>
      </w:r>
      <w:r>
        <w:rPr>
          <w:rFonts w:asciiTheme="minorHAnsi" w:hAnsiTheme="minorHAnsi" w:cstheme="minorHAnsi"/>
          <w:sz w:val="22"/>
          <w:szCs w:val="22"/>
        </w:rPr>
        <w:t xml:space="preserve"> </w:t>
      </w:r>
      <w:r w:rsidRPr="00F36AB0">
        <w:rPr>
          <w:rFonts w:asciiTheme="minorHAnsi" w:hAnsiTheme="minorHAnsi" w:cstheme="minorHAnsi"/>
          <w:sz w:val="22"/>
          <w:szCs w:val="22"/>
        </w:rPr>
        <w:t xml:space="preserve">Bet kuriuo atveju </w:t>
      </w:r>
      <w:r w:rsidRPr="000438CF">
        <w:rPr>
          <w:rFonts w:asciiTheme="minorHAnsi" w:hAnsiTheme="minorHAnsi" w:cstheme="minorHAnsi"/>
          <w:sz w:val="22"/>
          <w:szCs w:val="22"/>
          <w:u w:val="single"/>
        </w:rPr>
        <w:t>vien tai, kad socialinė apsauga ir (arba) gyvenimo sąlygos prašančiojoje valstybėje narėje yra geresnės nei valstybėje narėje, kuri paprastai atsakinga už tarptautinės apsaugos prašymo nagrinėjimą, negali pagrįsti išvados, kad atitinkamam asmeniui, perduotam pastarajai valstybei narei, kiltų reali Chartijos 4 straipsnį pažeidžiančio elgesio grėsmė</w:t>
      </w:r>
      <w:r>
        <w:rPr>
          <w:rFonts w:asciiTheme="minorHAnsi" w:hAnsiTheme="minorHAnsi" w:cstheme="minorHAnsi"/>
          <w:sz w:val="22"/>
          <w:szCs w:val="22"/>
        </w:rPr>
        <w:t xml:space="preserve"> (96–97 punktai)</w:t>
      </w:r>
      <w:r w:rsidRPr="00F36AB0">
        <w:rPr>
          <w:rFonts w:asciiTheme="minorHAnsi" w:hAnsiTheme="minorHAnsi" w:cstheme="minorHAnsi"/>
          <w:sz w:val="22"/>
          <w:szCs w:val="22"/>
        </w:rPr>
        <w:t>.</w:t>
      </w:r>
    </w:p>
    <w:bookmarkEnd w:id="20"/>
    <w:p w14:paraId="1ED35B25" w14:textId="77777777" w:rsidR="00D22EE4" w:rsidRPr="00F36AB0" w:rsidRDefault="00D22EE4" w:rsidP="00D22EE4">
      <w:pPr>
        <w:pStyle w:val="c01pointnumerotealtn"/>
        <w:shd w:val="clear" w:color="auto" w:fill="FFFFFF"/>
        <w:spacing w:before="0" w:beforeAutospacing="0" w:after="0"/>
        <w:ind w:left="0" w:firstLine="567"/>
        <w:rPr>
          <w:rFonts w:asciiTheme="minorHAnsi" w:hAnsiTheme="minorHAnsi" w:cstheme="minorHAnsi"/>
          <w:sz w:val="22"/>
          <w:szCs w:val="22"/>
        </w:rPr>
      </w:pPr>
      <w:r w:rsidRPr="000438CF">
        <w:rPr>
          <w:rFonts w:asciiTheme="minorHAnsi" w:hAnsiTheme="minorHAnsi" w:cstheme="minorHAnsi"/>
          <w:sz w:val="22"/>
          <w:szCs w:val="22"/>
          <w:u w:val="single"/>
        </w:rPr>
        <w:t>Vis dėlto negalima visiškai atmesti, kad tarptautinės apsaugos prašytojas gali įrodyti, jog esama išimtinių su juo susijusių aplinkybių, kurios jo perdavimo valstybei narei, paprastai atsakingai už jo tarptautinės apsaugos prašymo nagrinėjimą, atveju reikštų, kad jis dėl ypatingo savo pažeidžiamumo, nepriklausomai nuo savo valios ir asmeninio pasirinkimo, pateks į nepaprastai sunkią materialinę padėtį, atitinkančią šio sprendimo 91–93 punktuose paminėtus kriterijus, po to, kai jam bus suteikta tarptautinė apsauga</w:t>
      </w:r>
      <w:r>
        <w:rPr>
          <w:rFonts w:asciiTheme="minorHAnsi" w:hAnsiTheme="minorHAnsi" w:cstheme="minorHAnsi"/>
          <w:sz w:val="22"/>
          <w:szCs w:val="22"/>
        </w:rPr>
        <w:t xml:space="preserve"> (95 punktas)</w:t>
      </w:r>
      <w:r w:rsidRPr="00F36AB0">
        <w:rPr>
          <w:rFonts w:asciiTheme="minorHAnsi" w:hAnsiTheme="minorHAnsi" w:cstheme="minorHAnsi"/>
          <w:sz w:val="22"/>
          <w:szCs w:val="22"/>
        </w:rPr>
        <w:t>.</w:t>
      </w:r>
    </w:p>
    <w:p w14:paraId="38724058" w14:textId="77777777" w:rsidR="0047132C" w:rsidRPr="00986131" w:rsidRDefault="0047132C" w:rsidP="0047132C">
      <w:pPr>
        <w:shd w:val="clear" w:color="auto" w:fill="FFFFFF"/>
        <w:ind w:firstLine="567"/>
        <w:rPr>
          <w:rFonts w:asciiTheme="minorHAnsi" w:hAnsiTheme="minorHAnsi" w:cstheme="minorHAnsi"/>
        </w:rPr>
      </w:pPr>
    </w:p>
    <w:p w14:paraId="121B34FB" w14:textId="77777777" w:rsidR="0047132C" w:rsidRPr="00986131" w:rsidRDefault="0047132C" w:rsidP="0047132C">
      <w:pPr>
        <w:shd w:val="clear" w:color="auto" w:fill="FFFFFF"/>
        <w:ind w:firstLine="567"/>
        <w:rPr>
          <w:rFonts w:asciiTheme="minorHAnsi" w:hAnsiTheme="minorHAnsi" w:cstheme="minorHAnsi"/>
          <w:b/>
        </w:rPr>
      </w:pPr>
      <w:r w:rsidRPr="00986131">
        <w:rPr>
          <w:rFonts w:asciiTheme="minorHAnsi" w:hAnsiTheme="minorHAnsi" w:cstheme="minorHAnsi"/>
          <w:b/>
        </w:rPr>
        <w:t>Remdamasis šiais motyvais, Teisingumo Teismas (didžioji kolegija) nusprendė:</w:t>
      </w:r>
    </w:p>
    <w:p w14:paraId="38CC3FD3" w14:textId="77777777" w:rsidR="0047132C" w:rsidRPr="00986131" w:rsidRDefault="0047132C" w:rsidP="0047132C">
      <w:pPr>
        <w:ind w:firstLine="567"/>
        <w:rPr>
          <w:rFonts w:asciiTheme="minorHAnsi" w:eastAsia="Times New Roman" w:hAnsiTheme="minorHAnsi" w:cstheme="minorHAnsi"/>
          <w:bCs/>
          <w:lang w:eastAsia="lt-LT"/>
        </w:rPr>
      </w:pPr>
    </w:p>
    <w:p w14:paraId="0EB955CD" w14:textId="77777777" w:rsidR="0047132C" w:rsidRPr="00986131" w:rsidRDefault="0047132C" w:rsidP="0047132C">
      <w:pPr>
        <w:ind w:firstLine="567"/>
        <w:rPr>
          <w:rFonts w:asciiTheme="minorHAnsi" w:eastAsia="Times New Roman" w:hAnsiTheme="minorHAnsi" w:cstheme="minorHAnsi"/>
          <w:bCs/>
          <w:lang w:eastAsia="lt-LT"/>
        </w:rPr>
      </w:pPr>
      <w:r w:rsidRPr="00986131">
        <w:rPr>
          <w:rFonts w:asciiTheme="minorHAnsi" w:eastAsia="Times New Roman" w:hAnsiTheme="minorHAnsi" w:cstheme="minorHAnsi"/>
          <w:bCs/>
          <w:lang w:eastAsia="lt-LT"/>
        </w:rPr>
        <w:t xml:space="preserve">1. 2013 m. birželio 26 d. Europos Parlamento ir Tarybos reglamento (ES) Nr. 604/2013, kuriuo išdėstomi valstybės narės, atsakingos už trečiosios šalies piliečio arba asmens be pilietybės vienoje iš valstybių narių pateikto tarptautinės apsaugos prašymo nagrinėjimą, nustatymo kriterijai ir mechanizmai, 29 straipsnio 2 dalies antrą sakinį reikia aiškinti taip, kad prašytojas „slapstosi“, kaip tai suprantama pagal šią nuostatą, kai tikslingai vengia kompetentingų nacionalinių institucijų, kad užkirstų kelią perdavimui. Tai gali būti preziumuojama, kai šis perdavimas negali būti įvykdytas dėl to, kad prašytojas išvyko iš jam paskirtos gyvenamosios vietos apie savo nebuvimą neinformavęs kompetentingų nacionalinių institucijų, su sąlyga, kad </w:t>
      </w:r>
      <w:r w:rsidRPr="00986131">
        <w:rPr>
          <w:rFonts w:asciiTheme="minorHAnsi" w:eastAsia="Times New Roman" w:hAnsiTheme="minorHAnsi" w:cstheme="minorHAnsi"/>
          <w:bCs/>
          <w:lang w:eastAsia="lt-LT"/>
        </w:rPr>
        <w:lastRenderedPageBreak/>
        <w:t xml:space="preserve">jis buvo informuotas apie atitinkamas savo pareigas, o tai turi patikrinti prašymą priimti </w:t>
      </w:r>
      <w:proofErr w:type="spellStart"/>
      <w:r w:rsidRPr="00986131">
        <w:rPr>
          <w:rFonts w:asciiTheme="minorHAnsi" w:eastAsia="Times New Roman" w:hAnsiTheme="minorHAnsi" w:cstheme="minorHAnsi"/>
          <w:bCs/>
          <w:lang w:eastAsia="lt-LT"/>
        </w:rPr>
        <w:t>prejudicinį</w:t>
      </w:r>
      <w:proofErr w:type="spellEnd"/>
      <w:r w:rsidRPr="00986131">
        <w:rPr>
          <w:rFonts w:asciiTheme="minorHAnsi" w:eastAsia="Times New Roman" w:hAnsiTheme="minorHAnsi" w:cstheme="minorHAnsi"/>
          <w:bCs/>
          <w:lang w:eastAsia="lt-LT"/>
        </w:rPr>
        <w:t xml:space="preserve"> sprendimą pateikęs teismas. Minėtam prašytojui paliekama galimybė įrodyti, kad šių institucijų neinformavo apie savo nebuvimą dėl pagrįstų priežasčių, o ne ketindamas šių institucijų išvengti.</w:t>
      </w:r>
    </w:p>
    <w:p w14:paraId="771D4C45" w14:textId="77777777" w:rsidR="0047132C" w:rsidRPr="00986131" w:rsidRDefault="0047132C" w:rsidP="0047132C">
      <w:pPr>
        <w:ind w:firstLine="567"/>
        <w:rPr>
          <w:rFonts w:asciiTheme="minorHAnsi" w:eastAsia="Times New Roman" w:hAnsiTheme="minorHAnsi" w:cstheme="minorHAnsi"/>
          <w:bCs/>
          <w:lang w:eastAsia="lt-LT"/>
        </w:rPr>
      </w:pPr>
      <w:r w:rsidRPr="00986131">
        <w:rPr>
          <w:rFonts w:asciiTheme="minorHAnsi" w:eastAsia="Times New Roman" w:hAnsiTheme="minorHAnsi" w:cstheme="minorHAnsi"/>
          <w:bCs/>
          <w:lang w:eastAsia="lt-LT"/>
        </w:rPr>
        <w:t>Reglamento Nr. 604/2013 29 straipsnio 1 dalį reikia aiškinti taip, kad per procesą, nukreiptą prieš sprendimą dėl perdavimo, atitinkamas asmuo gali remtis šio reglamento 29 straipsnio 2 dalimi ir tvirtinti, kad, kadangi nesislapstė, šešių mėnesių perdavimo terminas baigėsi.</w:t>
      </w:r>
    </w:p>
    <w:p w14:paraId="3A03F91D" w14:textId="77777777" w:rsidR="0047132C" w:rsidRPr="00986131" w:rsidRDefault="0047132C" w:rsidP="0047132C">
      <w:pPr>
        <w:ind w:firstLine="567"/>
        <w:rPr>
          <w:rFonts w:asciiTheme="minorHAnsi" w:eastAsia="Times New Roman" w:hAnsiTheme="minorHAnsi" w:cstheme="minorHAnsi"/>
          <w:bCs/>
          <w:lang w:eastAsia="lt-LT"/>
        </w:rPr>
      </w:pPr>
      <w:r w:rsidRPr="00986131">
        <w:rPr>
          <w:rFonts w:asciiTheme="minorHAnsi" w:eastAsia="Times New Roman" w:hAnsiTheme="minorHAnsi" w:cstheme="minorHAnsi"/>
          <w:bCs/>
          <w:lang w:eastAsia="lt-LT"/>
        </w:rPr>
        <w:t>2. Reglamento Nr. 604/2013 29 straipsnio 2 dalies antrą sakinį reikia aiškinti taip, kad norint perdavimo terminą pratęsti ne ilgiau kaip 18 mėnesių pakanka, kad prašančioji valstybė narė prieš pasibaigiant šešių mėnesių perdavimo terminui praneštų atsakingai valstybei narei apie tai, kad atitinkamas asmuo slapstosi, ir kartu nurodytų naują perdavimo terminą.</w:t>
      </w:r>
    </w:p>
    <w:p w14:paraId="4578A5BA" w14:textId="77777777" w:rsidR="0047132C" w:rsidRPr="00986131" w:rsidRDefault="0047132C" w:rsidP="0047132C">
      <w:pPr>
        <w:ind w:firstLine="567"/>
        <w:rPr>
          <w:rFonts w:asciiTheme="minorHAnsi" w:eastAsia="Times New Roman" w:hAnsiTheme="minorHAnsi" w:cstheme="minorHAnsi"/>
          <w:bCs/>
          <w:lang w:eastAsia="lt-LT"/>
        </w:rPr>
      </w:pPr>
      <w:r w:rsidRPr="00986131">
        <w:rPr>
          <w:rFonts w:asciiTheme="minorHAnsi" w:eastAsia="Times New Roman" w:hAnsiTheme="minorHAnsi" w:cstheme="minorHAnsi"/>
          <w:bCs/>
          <w:lang w:eastAsia="lt-LT"/>
        </w:rPr>
        <w:t>3. Sąjungos teisę reikia aiškinti taip, kad į jos taikymo sritį patenka klausimas, ar Europos Sąjungos pagrindinių teisių chartijos 4 straipsnis draudžia pagal Reglamento Nr. 604/2013 29 straipsnį perduoti tarptautinės apsaugos prašytoją valstybei narei, kuri pagal šį reglamentą paprastai atsakinga už jo tarptautinės apsaugos prašymo nagrinėjimą, kai, toje valstybėje narėje suteikus tokią apsaugą, dėl tikėtinų gyvenimo sąlygų, su kuriomis šis prašytojas susidurtų kaip asmuo, kuriam minėtoje valstybėje narėje būtų suteikta tarptautinė apsauga, kiltų rimta grėsmė patirti nežmonišką ar žeminamą elgesį, kaip tai suprantama pagal šį 4 straipsnį.</w:t>
      </w:r>
    </w:p>
    <w:p w14:paraId="407AA264" w14:textId="77777777" w:rsidR="0047132C" w:rsidRPr="00986131" w:rsidRDefault="0047132C" w:rsidP="0047132C">
      <w:pPr>
        <w:ind w:firstLine="567"/>
        <w:rPr>
          <w:rFonts w:asciiTheme="minorHAnsi" w:eastAsia="Times New Roman" w:hAnsiTheme="minorHAnsi" w:cstheme="minorHAnsi"/>
          <w:bCs/>
          <w:lang w:eastAsia="lt-LT"/>
        </w:rPr>
      </w:pPr>
      <w:r w:rsidRPr="00986131">
        <w:rPr>
          <w:rFonts w:asciiTheme="minorHAnsi" w:eastAsia="Times New Roman" w:hAnsiTheme="minorHAnsi" w:cstheme="minorHAnsi"/>
          <w:bCs/>
          <w:lang w:eastAsia="lt-LT"/>
        </w:rPr>
        <w:t>Pagrindinių teisių chartijos 4 straipsnį reikia aiškinti kaip nedraudžiantį tokio tarptautinės apsaugos prašytojo perdavimo, nebent teismas, kuriam paduotas skundas dėl sprendimo perduoti, remdamasis objektyviais, patikimais, tiksliais ir tinkamai atnaujintais duomenimis ir atsižvelgdamas į Sąjungos teisės garantuojamo pagrindinių teisių apsaugos lygį, konstatuotų, kad tokia grėsmė prašytojui kyla dėl to, kad perduotas jis, nepriklausomai nuo savo valios ir asmeninio pasirinkimo, pateks į nepaprastai sunkią materialinę padėtį.</w:t>
      </w:r>
    </w:p>
    <w:p w14:paraId="3BB4BDA8" w14:textId="77777777" w:rsidR="0047132C" w:rsidRPr="00986131" w:rsidRDefault="006A47DB" w:rsidP="0047132C">
      <w:pPr>
        <w:ind w:firstLine="567"/>
        <w:rPr>
          <w:rFonts w:asciiTheme="minorHAnsi" w:hAnsiTheme="minorHAnsi" w:cstheme="minorHAnsi"/>
        </w:rPr>
      </w:pPr>
      <w:hyperlink r:id="rId11" w:history="1">
        <w:r w:rsidR="0047132C" w:rsidRPr="00986131">
          <w:rPr>
            <w:rStyle w:val="Hipersaitas"/>
            <w:rFonts w:asciiTheme="minorHAnsi" w:hAnsiTheme="minorHAnsi" w:cstheme="minorHAnsi"/>
          </w:rPr>
          <w:t>Prieiga internete</w:t>
        </w:r>
      </w:hyperlink>
    </w:p>
    <w:p w14:paraId="390C2655" w14:textId="77777777" w:rsidR="00E466E7" w:rsidRPr="00986131" w:rsidRDefault="00E466E7" w:rsidP="00E466E7">
      <w:pPr>
        <w:jc w:val="center"/>
        <w:rPr>
          <w:rFonts w:asciiTheme="minorHAnsi" w:hAnsiTheme="minorHAnsi" w:cstheme="minorHAnsi"/>
          <w:b/>
        </w:rPr>
      </w:pPr>
    </w:p>
    <w:p w14:paraId="79162963" w14:textId="3EBCDFD5" w:rsidR="00332700" w:rsidRPr="00332700" w:rsidRDefault="00332700" w:rsidP="00332700">
      <w:pPr>
        <w:pStyle w:val="Antrat1"/>
        <w:spacing w:before="0"/>
        <w:rPr>
          <w:rFonts w:cstheme="minorHAnsi"/>
        </w:rPr>
      </w:pPr>
      <w:bookmarkStart w:id="21" w:name="_Toc11232453"/>
      <w:bookmarkStart w:id="22" w:name="_Toc11232744"/>
      <w:bookmarkStart w:id="23" w:name="_Toc11757980"/>
      <w:r w:rsidRPr="00332700">
        <w:rPr>
          <w:rFonts w:cstheme="minorHAnsi"/>
        </w:rPr>
        <w:t>SĄJUNGOS PILIEČIŲ IR JŲ ŠEIMOS NARIŲ TEISĖS LAISVAI JUDĖTI IR GYVENTI VALSTYBIŲ NARIŲ TERITORIJOJE</w:t>
      </w:r>
      <w:bookmarkEnd w:id="21"/>
      <w:bookmarkEnd w:id="22"/>
      <w:bookmarkEnd w:id="23"/>
    </w:p>
    <w:p w14:paraId="623EAF1A" w14:textId="77777777" w:rsidR="00332700" w:rsidRPr="00986131" w:rsidRDefault="00332700" w:rsidP="00332700">
      <w:pPr>
        <w:jc w:val="center"/>
        <w:rPr>
          <w:rFonts w:asciiTheme="minorHAnsi" w:eastAsiaTheme="majorEastAsia" w:hAnsiTheme="minorHAnsi" w:cstheme="minorHAnsi"/>
          <w:b/>
          <w:color w:val="323E4F" w:themeColor="text2" w:themeShade="BF"/>
          <w:szCs w:val="32"/>
        </w:rPr>
      </w:pPr>
    </w:p>
    <w:p w14:paraId="19D06744" w14:textId="6C7DE079" w:rsidR="00332700" w:rsidRPr="00CB6EC1" w:rsidRDefault="00332700" w:rsidP="00CB6EC1">
      <w:pPr>
        <w:pStyle w:val="Antrat1"/>
        <w:spacing w:before="0"/>
        <w:rPr>
          <w:rFonts w:cstheme="minorHAnsi"/>
          <w:bCs/>
          <w:iCs/>
          <w:color w:val="auto"/>
        </w:rPr>
      </w:pPr>
      <w:bookmarkStart w:id="24" w:name="_Toc11232454"/>
      <w:bookmarkStart w:id="25" w:name="_Toc11232745"/>
      <w:bookmarkStart w:id="26" w:name="_Toc11757981"/>
      <w:r w:rsidRPr="00CB6EC1">
        <w:rPr>
          <w:rFonts w:cstheme="minorHAnsi"/>
          <w:bCs/>
          <w:iCs/>
          <w:color w:val="auto"/>
        </w:rPr>
        <w:t>2019 m. kovo 26 d. didžiosios kolegijos</w:t>
      </w:r>
      <w:r w:rsidR="007553E3">
        <w:rPr>
          <w:rFonts w:cstheme="minorHAnsi"/>
          <w:bCs/>
          <w:iCs/>
          <w:color w:val="auto"/>
        </w:rPr>
        <w:t xml:space="preserve"> </w:t>
      </w:r>
      <w:proofErr w:type="spellStart"/>
      <w:r w:rsidR="007553E3">
        <w:rPr>
          <w:rFonts w:cstheme="minorHAnsi"/>
          <w:bCs/>
          <w:iCs/>
          <w:color w:val="auto"/>
        </w:rPr>
        <w:t>prejudicinis</w:t>
      </w:r>
      <w:proofErr w:type="spellEnd"/>
      <w:r w:rsidRPr="00CB6EC1">
        <w:rPr>
          <w:rFonts w:cstheme="minorHAnsi"/>
          <w:bCs/>
          <w:iCs/>
          <w:color w:val="auto"/>
        </w:rPr>
        <w:t xml:space="preserve"> sprendimas byloje C-129/18</w:t>
      </w:r>
      <w:bookmarkEnd w:id="24"/>
      <w:bookmarkEnd w:id="25"/>
      <w:bookmarkEnd w:id="26"/>
      <w:r w:rsidRPr="00CB6EC1">
        <w:rPr>
          <w:rFonts w:cstheme="minorHAnsi"/>
          <w:bCs/>
          <w:iCs/>
          <w:color w:val="auto"/>
        </w:rPr>
        <w:t xml:space="preserve"> </w:t>
      </w:r>
    </w:p>
    <w:p w14:paraId="6B1667FA" w14:textId="77777777" w:rsidR="00332700" w:rsidRPr="00986131" w:rsidRDefault="00332700" w:rsidP="00332700">
      <w:pPr>
        <w:jc w:val="center"/>
        <w:rPr>
          <w:rFonts w:cstheme="minorHAnsi"/>
          <w:b/>
          <w:i/>
        </w:rPr>
      </w:pPr>
      <w:r w:rsidRPr="00986131">
        <w:rPr>
          <w:rFonts w:cstheme="minorHAnsi"/>
          <w:b/>
          <w:i/>
        </w:rPr>
        <w:t xml:space="preserve">SM prieš </w:t>
      </w:r>
      <w:proofErr w:type="spellStart"/>
      <w:r w:rsidRPr="00986131">
        <w:rPr>
          <w:rFonts w:cstheme="minorHAnsi"/>
          <w:b/>
          <w:i/>
        </w:rPr>
        <w:t>Entry</w:t>
      </w:r>
      <w:proofErr w:type="spellEnd"/>
      <w:r w:rsidRPr="00986131">
        <w:rPr>
          <w:rFonts w:cstheme="minorHAnsi"/>
          <w:b/>
          <w:i/>
        </w:rPr>
        <w:t xml:space="preserve"> </w:t>
      </w:r>
      <w:proofErr w:type="spellStart"/>
      <w:r w:rsidRPr="00986131">
        <w:rPr>
          <w:rFonts w:cstheme="minorHAnsi"/>
          <w:b/>
          <w:i/>
        </w:rPr>
        <w:t>Clearance</w:t>
      </w:r>
      <w:proofErr w:type="spellEnd"/>
      <w:r w:rsidRPr="00986131">
        <w:rPr>
          <w:rFonts w:cstheme="minorHAnsi"/>
          <w:b/>
          <w:i/>
        </w:rPr>
        <w:t xml:space="preserve"> </w:t>
      </w:r>
      <w:proofErr w:type="spellStart"/>
      <w:r w:rsidRPr="00986131">
        <w:rPr>
          <w:rFonts w:cstheme="minorHAnsi"/>
          <w:b/>
          <w:i/>
        </w:rPr>
        <w:t>Officer</w:t>
      </w:r>
      <w:proofErr w:type="spellEnd"/>
      <w:r w:rsidRPr="00986131">
        <w:rPr>
          <w:rFonts w:cstheme="minorHAnsi"/>
          <w:b/>
          <w:i/>
        </w:rPr>
        <w:t xml:space="preserve">, UK Visa </w:t>
      </w:r>
      <w:proofErr w:type="spellStart"/>
      <w:r w:rsidRPr="00986131">
        <w:rPr>
          <w:rFonts w:cstheme="minorHAnsi"/>
          <w:b/>
          <w:i/>
        </w:rPr>
        <w:t>Section</w:t>
      </w:r>
      <w:proofErr w:type="spellEnd"/>
    </w:p>
    <w:p w14:paraId="559FDE93" w14:textId="77777777" w:rsidR="00332700" w:rsidRPr="00986131" w:rsidRDefault="00332700" w:rsidP="00332700"/>
    <w:p w14:paraId="712A97DF" w14:textId="77777777" w:rsidR="00332700" w:rsidRPr="00986131" w:rsidRDefault="00332700" w:rsidP="00332700">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Prašymas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pateiktas dėl 2004 m. balandžio 29 d. Europos Parlamento ir Tarybos direktyvos 2004/38/EB dėl Sąjungos piliečių ir jų šeimos narių teisės laisvai judėti ir gyventi valstybių narių teritorijoje, iš dalies keičiančios Reglamentą (EEB) Nr. 1612/68 ir panaikinančios [d]</w:t>
      </w:r>
      <w:proofErr w:type="spellStart"/>
      <w:r w:rsidRPr="00986131">
        <w:rPr>
          <w:rFonts w:asciiTheme="minorHAnsi" w:hAnsiTheme="minorHAnsi" w:cstheme="minorHAnsi"/>
          <w:sz w:val="22"/>
          <w:szCs w:val="22"/>
        </w:rPr>
        <w:t>irektyvas</w:t>
      </w:r>
      <w:proofErr w:type="spellEnd"/>
      <w:r w:rsidRPr="00986131">
        <w:rPr>
          <w:rFonts w:asciiTheme="minorHAnsi" w:hAnsiTheme="minorHAnsi" w:cstheme="minorHAnsi"/>
          <w:sz w:val="22"/>
          <w:szCs w:val="22"/>
        </w:rPr>
        <w:t xml:space="preserve"> 64/221/EEB, 68/360/EEB, 72/194/EEB, 73/148/EEB, 75/34/EEB, 75/35/EEB, 90/364/EEB, 90/365/EEB ir 93/96/EEB, 2 straipsnio 2 punkto c papunkčio, 27 ir 35 straipsnių išaiškinimo. Šis prašymas buvo pateiktas nagrinėjant Alžyro pilietės SM ir </w:t>
      </w:r>
      <w:proofErr w:type="spellStart"/>
      <w:r w:rsidRPr="00986131">
        <w:rPr>
          <w:rFonts w:asciiTheme="minorHAnsi" w:hAnsiTheme="minorHAnsi" w:cstheme="minorHAnsi"/>
          <w:sz w:val="22"/>
          <w:szCs w:val="22"/>
        </w:rPr>
        <w:t>Entry</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Clearance</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Officer</w:t>
      </w:r>
      <w:proofErr w:type="spellEnd"/>
      <w:r w:rsidRPr="00986131">
        <w:rPr>
          <w:rFonts w:asciiTheme="minorHAnsi" w:hAnsiTheme="minorHAnsi" w:cstheme="minorHAnsi"/>
          <w:sz w:val="22"/>
          <w:szCs w:val="22"/>
        </w:rPr>
        <w:t xml:space="preserve">, UK Visa </w:t>
      </w:r>
      <w:proofErr w:type="spellStart"/>
      <w:r w:rsidRPr="00986131">
        <w:rPr>
          <w:rFonts w:asciiTheme="minorHAnsi" w:hAnsiTheme="minorHAnsi" w:cstheme="minorHAnsi"/>
          <w:sz w:val="22"/>
          <w:szCs w:val="22"/>
        </w:rPr>
        <w:t>Section</w:t>
      </w:r>
      <w:proofErr w:type="spellEnd"/>
      <w:r w:rsidRPr="00986131">
        <w:rPr>
          <w:rFonts w:asciiTheme="minorHAnsi" w:hAnsiTheme="minorHAnsi" w:cstheme="minorHAnsi"/>
          <w:sz w:val="22"/>
          <w:szCs w:val="22"/>
        </w:rPr>
        <w:t xml:space="preserve"> (įvažiavimo dokumentus tvarkantis vizų skyriaus pareigūnas, Jungtinė Karalystė, toliau – vizų skyriaus pareigūnas) ginčą dėl pastarojo atsisakymo suteikti SM leidimą atvykti į Jungtinės Karalystės teritoriją kaip Europos ekonominės erdvės šalies (EEE) piliečio įvaikintam vaikui</w:t>
      </w:r>
      <w:r>
        <w:rPr>
          <w:rFonts w:asciiTheme="minorHAnsi" w:hAnsiTheme="minorHAnsi" w:cstheme="minorHAnsi"/>
          <w:sz w:val="22"/>
          <w:szCs w:val="22"/>
        </w:rPr>
        <w:t xml:space="preserve"> (1–</w:t>
      </w:r>
      <w:r w:rsidRPr="00986131">
        <w:rPr>
          <w:rFonts w:asciiTheme="minorHAnsi" w:hAnsiTheme="minorHAnsi" w:cstheme="minorHAnsi"/>
          <w:sz w:val="22"/>
          <w:szCs w:val="22"/>
        </w:rPr>
        <w:t xml:space="preserve">2 punktai). </w:t>
      </w:r>
    </w:p>
    <w:p w14:paraId="0A114A7D" w14:textId="77777777" w:rsidR="00332700" w:rsidRPr="00986131" w:rsidRDefault="00332700" w:rsidP="00332700">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Prancūzijos piliečiai ponas ir ponia M. susituokė Jungtinėje Karalystėje. 2009 m. jie nuvyko į Alžyrą, kad pagal Alžyro </w:t>
      </w:r>
      <w:proofErr w:type="spellStart"/>
      <w:r w:rsidRPr="00986131">
        <w:rPr>
          <w:rFonts w:asciiTheme="minorHAnsi" w:hAnsiTheme="minorHAnsi" w:cstheme="minorHAnsi"/>
          <w:sz w:val="22"/>
          <w:szCs w:val="22"/>
        </w:rPr>
        <w:t>kafalos</w:t>
      </w:r>
      <w:proofErr w:type="spellEnd"/>
      <w:r w:rsidRPr="00986131">
        <w:rPr>
          <w:rFonts w:asciiTheme="minorHAnsi" w:hAnsiTheme="minorHAnsi" w:cstheme="minorHAnsi"/>
          <w:sz w:val="22"/>
          <w:szCs w:val="22"/>
        </w:rPr>
        <w:t xml:space="preserve"> sistemą būtų įvertintas jų pasirengimas tapti vaiko globėjais. Atlikus šį vertinimą, jie buvo pripažinti „deramai pasirengę“ globoti vaiką pagal šią sistemą. Alžyre gimusios SM biologiniai tėvai atsisakė jos tik gimusios. Sutuoktiniai M. pateikė prašymą tapti SM globėjais pagal Alžyro </w:t>
      </w:r>
      <w:proofErr w:type="spellStart"/>
      <w:r w:rsidRPr="00986131">
        <w:rPr>
          <w:rFonts w:asciiTheme="minorHAnsi" w:hAnsiTheme="minorHAnsi" w:cstheme="minorHAnsi"/>
          <w:sz w:val="22"/>
          <w:szCs w:val="22"/>
        </w:rPr>
        <w:t>kafalos</w:t>
      </w:r>
      <w:proofErr w:type="spellEnd"/>
      <w:r w:rsidRPr="00986131">
        <w:rPr>
          <w:rFonts w:asciiTheme="minorHAnsi" w:hAnsiTheme="minorHAnsi" w:cstheme="minorHAnsi"/>
          <w:sz w:val="22"/>
          <w:szCs w:val="22"/>
        </w:rPr>
        <w:t xml:space="preserve"> sistemą. </w:t>
      </w:r>
      <w:proofErr w:type="spellStart"/>
      <w:r w:rsidRPr="00986131">
        <w:rPr>
          <w:rFonts w:asciiTheme="minorHAnsi" w:hAnsiTheme="minorHAnsi" w:cstheme="minorHAnsi"/>
          <w:sz w:val="22"/>
          <w:szCs w:val="22"/>
        </w:rPr>
        <w:t>Boufarik</w:t>
      </w:r>
      <w:proofErr w:type="spellEnd"/>
      <w:r w:rsidRPr="00986131">
        <w:rPr>
          <w:rFonts w:asciiTheme="minorHAnsi" w:hAnsiTheme="minorHAnsi" w:cstheme="minorHAnsi"/>
          <w:sz w:val="22"/>
          <w:szCs w:val="22"/>
        </w:rPr>
        <w:t xml:space="preserve"> (Alžyras) teismo pirmininko aktu SM buvo patikėta sutuoktinių M. globai ir jiems pagal Alžyro teisę pavesta vykdyti tėvų valdžią. Pagal šį aktą sutuoktiniai M. įsipareigojo „vaikui &lt;…&gt; suteikti islamišką išsilavinimą, rūpintis jo fizine ir psichologine sveikata, tenkinti jo poreikius, rūpintis jo mokymu, elgtis su juo kaip su biologiniu vaiku, saugoti ir ginti jį teisminėse institucijose, prisiimti civilinę atsakomybę dėl žalingų veiksmų“. Šiuo aktu sutuoktiniams M. leidžiama gauti šeimos pašalpas, subsidijas ir išmokas, pasirašyti bet kokį administracijos ir kelionės dokumentą ir išvykti su SM iš Alžyro teritorijos. </w:t>
      </w:r>
      <w:proofErr w:type="spellStart"/>
      <w:r w:rsidRPr="00986131">
        <w:rPr>
          <w:rFonts w:asciiTheme="minorHAnsi" w:hAnsiTheme="minorHAnsi" w:cstheme="minorHAnsi"/>
          <w:sz w:val="22"/>
          <w:szCs w:val="22"/>
        </w:rPr>
        <w:t>Tizi</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Uzu</w:t>
      </w:r>
      <w:proofErr w:type="spellEnd"/>
      <w:r w:rsidRPr="00986131">
        <w:rPr>
          <w:rFonts w:asciiTheme="minorHAnsi" w:hAnsiTheme="minorHAnsi" w:cstheme="minorHAnsi"/>
          <w:sz w:val="22"/>
          <w:szCs w:val="22"/>
        </w:rPr>
        <w:t xml:space="preserve"> miesto (Alžyras) teismo sprendimu SM gimimo liudijime įrašyta pavardė buvo pakeista į sutuoktinių M. pavardę. 2011 m. ponas M. grįžo į Jungtinę Karalystę, kurioje jis turi teisę nuolat gyventi šalyje dėl profesinių priežasčių. Ponia M. liko Alžyre su SM </w:t>
      </w:r>
      <w:r>
        <w:rPr>
          <w:rFonts w:asciiTheme="minorHAnsi" w:hAnsiTheme="minorHAnsi" w:cstheme="minorHAnsi"/>
          <w:sz w:val="22"/>
          <w:szCs w:val="22"/>
        </w:rPr>
        <w:t>(23–</w:t>
      </w:r>
      <w:r w:rsidRPr="00986131">
        <w:rPr>
          <w:rFonts w:asciiTheme="minorHAnsi" w:hAnsiTheme="minorHAnsi" w:cstheme="minorHAnsi"/>
          <w:sz w:val="22"/>
          <w:szCs w:val="22"/>
        </w:rPr>
        <w:t xml:space="preserve">29 punktai). </w:t>
      </w:r>
    </w:p>
    <w:p w14:paraId="54635648" w14:textId="77777777" w:rsidR="00332700" w:rsidRPr="00986131" w:rsidRDefault="00332700" w:rsidP="00332700">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lastRenderedPageBreak/>
        <w:t xml:space="preserve">2012 m. SM kreipėsi dėl leidimo atvykti į Jungtinę Karalystę kaip EEE piliečio įsivaikintas vaikas. Vizų skyriaus pareigūnas atmetė jos prašymą, motyvuodamas tuo, kad globa pagal Alžyro </w:t>
      </w:r>
      <w:proofErr w:type="spellStart"/>
      <w:r w:rsidRPr="00986131">
        <w:rPr>
          <w:rFonts w:asciiTheme="minorHAnsi" w:hAnsiTheme="minorHAnsi" w:cstheme="minorHAnsi"/>
          <w:sz w:val="22"/>
          <w:szCs w:val="22"/>
        </w:rPr>
        <w:t>kafalos</w:t>
      </w:r>
      <w:proofErr w:type="spellEnd"/>
      <w:r w:rsidRPr="00986131">
        <w:rPr>
          <w:rFonts w:asciiTheme="minorHAnsi" w:hAnsiTheme="minorHAnsi" w:cstheme="minorHAnsi"/>
          <w:sz w:val="22"/>
          <w:szCs w:val="22"/>
        </w:rPr>
        <w:t xml:space="preserve"> sistemą nebuvo pripažinta kaip įvaikinimas pagal Jungtinės Karalystės teisę ir kad tarptautinio įvaikinimo prašymas nebuvo pateiktas. SM pareiškė ieškinį dėl šio sprendimo </w:t>
      </w:r>
      <w:proofErr w:type="spellStart"/>
      <w:r w:rsidRPr="00986131">
        <w:rPr>
          <w:rFonts w:asciiTheme="minorHAnsi" w:hAnsiTheme="minorHAnsi" w:cstheme="minorHAnsi"/>
          <w:sz w:val="22"/>
          <w:szCs w:val="22"/>
        </w:rPr>
        <w:t>First-tier</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Tribunal</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Immigration</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and</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Asylum</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Chamber</w:t>
      </w:r>
      <w:proofErr w:type="spellEnd"/>
      <w:r w:rsidRPr="00986131">
        <w:rPr>
          <w:rFonts w:asciiTheme="minorHAnsi" w:hAnsiTheme="minorHAnsi" w:cstheme="minorHAnsi"/>
          <w:sz w:val="22"/>
          <w:szCs w:val="22"/>
        </w:rPr>
        <w:t xml:space="preserve">) (Pirmosios instancijos teismas (Imigracijos ir prieglobsčio bylų kolegija), Jungtinė Karalystė). Šis ieškinys buvo atmestas 2013 m. spalio 7 d. sprendimu. To teismo teigimu, SM neatitiko reikalavimų, kad ją būtų galima laikyti įvaikinta pagal Jungtinės Karalystės imigracijos taisykles arba šeimos nare, išplėstinės šeimos nare ar įvaikinta EEE piliečio, kaip tai suprantama pagal 2006 m. taisykles. Minėtas teismas taip pat nustatė, kad sutuoktiniai M. Alžyre ėmėsi veiksmų, siekdami vaiko globos pagal </w:t>
      </w:r>
      <w:proofErr w:type="spellStart"/>
      <w:r w:rsidRPr="00986131">
        <w:rPr>
          <w:rFonts w:asciiTheme="minorHAnsi" w:hAnsiTheme="minorHAnsi" w:cstheme="minorHAnsi"/>
          <w:sz w:val="22"/>
          <w:szCs w:val="22"/>
        </w:rPr>
        <w:t>kafalos</w:t>
      </w:r>
      <w:proofErr w:type="spellEnd"/>
      <w:r w:rsidRPr="00986131">
        <w:rPr>
          <w:rFonts w:asciiTheme="minorHAnsi" w:hAnsiTheme="minorHAnsi" w:cstheme="minorHAnsi"/>
          <w:sz w:val="22"/>
          <w:szCs w:val="22"/>
        </w:rPr>
        <w:t xml:space="preserve"> režimą, sužinoję, kad vaiko globą šioje šalyje gauti lengviau nei Jungtinėje Karalystėje. Tas pats teismas taip pat pažymėjo, kad jų pasirengimo tapti globėjais patikrinimo procesas, po kurio jie buvo laikomi deramai pasirengę globoti vaiką pagal Alžyro </w:t>
      </w:r>
      <w:proofErr w:type="spellStart"/>
      <w:r w:rsidRPr="00986131">
        <w:rPr>
          <w:rFonts w:asciiTheme="minorHAnsi" w:hAnsiTheme="minorHAnsi" w:cstheme="minorHAnsi"/>
          <w:sz w:val="22"/>
          <w:szCs w:val="22"/>
        </w:rPr>
        <w:t>kafalos</w:t>
      </w:r>
      <w:proofErr w:type="spellEnd"/>
      <w:r w:rsidRPr="00986131">
        <w:rPr>
          <w:rFonts w:asciiTheme="minorHAnsi" w:hAnsiTheme="minorHAnsi" w:cstheme="minorHAnsi"/>
          <w:sz w:val="22"/>
          <w:szCs w:val="22"/>
        </w:rPr>
        <w:t xml:space="preserve"> sistemą, buvo „ribotas“</w:t>
      </w:r>
      <w:r>
        <w:rPr>
          <w:rFonts w:asciiTheme="minorHAnsi" w:hAnsiTheme="minorHAnsi" w:cstheme="minorHAnsi"/>
          <w:sz w:val="22"/>
          <w:szCs w:val="22"/>
        </w:rPr>
        <w:t xml:space="preserve"> (30–</w:t>
      </w:r>
      <w:r w:rsidRPr="00986131">
        <w:rPr>
          <w:rFonts w:asciiTheme="minorHAnsi" w:hAnsiTheme="minorHAnsi" w:cstheme="minorHAnsi"/>
          <w:sz w:val="22"/>
          <w:szCs w:val="22"/>
        </w:rPr>
        <w:t>32 punktai).</w:t>
      </w:r>
    </w:p>
    <w:p w14:paraId="01F1DCD4" w14:textId="285F2CDB" w:rsidR="00332700" w:rsidRPr="00986131" w:rsidRDefault="00332700" w:rsidP="00332700">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SM šį sprendimą apskundė </w:t>
      </w:r>
      <w:proofErr w:type="spellStart"/>
      <w:r w:rsidRPr="00986131">
        <w:rPr>
          <w:rFonts w:asciiTheme="minorHAnsi" w:hAnsiTheme="minorHAnsi" w:cstheme="minorHAnsi"/>
          <w:sz w:val="22"/>
          <w:szCs w:val="22"/>
        </w:rPr>
        <w:t>Upper</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Tribunal</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Immigration</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and</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Asylum</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Chamber</w:t>
      </w:r>
      <w:proofErr w:type="spellEnd"/>
      <w:r w:rsidRPr="00986131">
        <w:rPr>
          <w:rFonts w:asciiTheme="minorHAnsi" w:hAnsiTheme="minorHAnsi" w:cstheme="minorHAnsi"/>
          <w:sz w:val="22"/>
          <w:szCs w:val="22"/>
        </w:rPr>
        <w:t xml:space="preserve">) (Aukštesnysis teismas (Imigracijos ir prieglobsčio bylų kolegija), Jungtinė Karalystė). 2014 m. gegužės 14 d. sprendimu šis nusprendė, kad nors SM negalėjo būti laikoma Sąjungos piliečio „šeimos nariu“, kaip tai suprantama pagal 2006 m. taisyklių 7 straipsnį, vis dėlto ji buvo tokio piliečio „išplėstinės šeimos narė“, kaip tai suprantama pagal šių taisyklių 8 straipsnį. Vizų skyriaus pareigūnas apskundė šį sprendimą </w:t>
      </w:r>
      <w:proofErr w:type="spellStart"/>
      <w:r w:rsidRPr="00986131">
        <w:rPr>
          <w:rFonts w:asciiTheme="minorHAnsi" w:hAnsiTheme="minorHAnsi" w:cstheme="minorHAnsi"/>
          <w:sz w:val="22"/>
          <w:szCs w:val="22"/>
        </w:rPr>
        <w:t>Court</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of</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Appeal</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England</w:t>
      </w:r>
      <w:proofErr w:type="spellEnd"/>
      <w:r w:rsidRPr="00986131">
        <w:rPr>
          <w:rFonts w:asciiTheme="minorHAnsi" w:hAnsiTheme="minorHAnsi" w:cstheme="minorHAnsi"/>
          <w:sz w:val="22"/>
          <w:szCs w:val="22"/>
        </w:rPr>
        <w:t xml:space="preserve"> &amp; </w:t>
      </w:r>
      <w:proofErr w:type="spellStart"/>
      <w:r w:rsidRPr="00986131">
        <w:rPr>
          <w:rFonts w:asciiTheme="minorHAnsi" w:hAnsiTheme="minorHAnsi" w:cstheme="minorHAnsi"/>
          <w:sz w:val="22"/>
          <w:szCs w:val="22"/>
        </w:rPr>
        <w:t>Wales</w:t>
      </w:r>
      <w:proofErr w:type="spellEnd"/>
      <w:r w:rsidRPr="00986131">
        <w:rPr>
          <w:rFonts w:asciiTheme="minorHAnsi" w:hAnsiTheme="minorHAnsi" w:cstheme="minorHAnsi"/>
          <w:sz w:val="22"/>
          <w:szCs w:val="22"/>
        </w:rPr>
        <w:t>) (</w:t>
      </w:r>
      <w:proofErr w:type="spellStart"/>
      <w:r w:rsidRPr="00986131">
        <w:rPr>
          <w:rFonts w:asciiTheme="minorHAnsi" w:hAnsiTheme="minorHAnsi" w:cstheme="minorHAnsi"/>
          <w:sz w:val="22"/>
          <w:szCs w:val="22"/>
        </w:rPr>
        <w:t>Civil</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Division</w:t>
      </w:r>
      <w:proofErr w:type="spellEnd"/>
      <w:r w:rsidRPr="00986131">
        <w:rPr>
          <w:rFonts w:asciiTheme="minorHAnsi" w:hAnsiTheme="minorHAnsi" w:cstheme="minorHAnsi"/>
          <w:sz w:val="22"/>
          <w:szCs w:val="22"/>
        </w:rPr>
        <w:t xml:space="preserve">) (Apeliacinis teismas (Anglija ir Velsas) (Civilinių bylų skyrius)). 2015 m. lapkričio 4 d. sprendimu tas teismas konstatavo, be kita ko, kad SM nebuvo Sąjungos piliečio „tiesioginis palikuonis“, kaip tai suprantama pagal Direktyvos 2004/38 2 straipsnio 2 punkto c papunktį, nes nebuvo įvaikinta pagal Jungtinės Karalystės teisę pripažįstamą formą. Be to, šis teismas manė, kad SM taip pat negalėjo patekti į šios direktyvos 3 straipsnio 2 dalies pirmos pastraipos a punkto taikymo sritį kaip Sąjungos piliečio „kitas šeimos narys“. SM buvo leista kreiptis į prašymą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pateikusį teismą </w:t>
      </w:r>
      <w:proofErr w:type="spellStart"/>
      <w:r w:rsidRPr="00986131">
        <w:rPr>
          <w:rFonts w:asciiTheme="minorHAnsi" w:hAnsiTheme="minorHAnsi" w:cstheme="minorHAnsi"/>
          <w:sz w:val="22"/>
          <w:szCs w:val="22"/>
        </w:rPr>
        <w:t>Supreme</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Court</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of</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the</w:t>
      </w:r>
      <w:proofErr w:type="spellEnd"/>
      <w:r w:rsidRPr="00986131">
        <w:rPr>
          <w:rFonts w:asciiTheme="minorHAnsi" w:hAnsiTheme="minorHAnsi" w:cstheme="minorHAnsi"/>
          <w:sz w:val="22"/>
          <w:szCs w:val="22"/>
        </w:rPr>
        <w:t xml:space="preserve"> United </w:t>
      </w:r>
      <w:proofErr w:type="spellStart"/>
      <w:r w:rsidRPr="00986131">
        <w:rPr>
          <w:rFonts w:asciiTheme="minorHAnsi" w:hAnsiTheme="minorHAnsi" w:cstheme="minorHAnsi"/>
          <w:sz w:val="22"/>
          <w:szCs w:val="22"/>
        </w:rPr>
        <w:t>Kingdom</w:t>
      </w:r>
      <w:proofErr w:type="spellEnd"/>
      <w:r w:rsidRPr="00986131">
        <w:rPr>
          <w:rFonts w:asciiTheme="minorHAnsi" w:hAnsiTheme="minorHAnsi" w:cstheme="minorHAnsi"/>
          <w:sz w:val="22"/>
          <w:szCs w:val="22"/>
        </w:rPr>
        <w:t xml:space="preserve"> (Jungtinės Karalystės Aukščiausiasis Teismas)</w:t>
      </w:r>
      <w:r>
        <w:rPr>
          <w:rFonts w:asciiTheme="minorHAnsi" w:hAnsiTheme="minorHAnsi" w:cstheme="minorHAnsi"/>
          <w:sz w:val="22"/>
          <w:szCs w:val="22"/>
        </w:rPr>
        <w:t xml:space="preserve"> (33–</w:t>
      </w:r>
      <w:r w:rsidRPr="00986131">
        <w:rPr>
          <w:rFonts w:asciiTheme="minorHAnsi" w:hAnsiTheme="minorHAnsi" w:cstheme="minorHAnsi"/>
          <w:sz w:val="22"/>
          <w:szCs w:val="22"/>
        </w:rPr>
        <w:t>35 punktai).</w:t>
      </w:r>
    </w:p>
    <w:p w14:paraId="36B16E3C" w14:textId="77777777" w:rsidR="00332700" w:rsidRPr="00986131" w:rsidRDefault="00332700" w:rsidP="00332700">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Prašymą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pateikusio teismo teigimu, SM turi būti bent jau laikoma Sąjungos piliečio „kitu šeimos nariu“, kaip tai suprantama pagal Direktyvos 2004/38 3 straipsnio 2 dalies pirmos pastraipos a punktą. Iš tiesų ši sąvoka yra pakankamai plati, kad apimtų vaiką, kurio atžvilgiu Sąjungos pilietis vykdo tėvų valdžią pagal vaiko kilmės šalies įstatymą, ir taip yra, net jei šio vaiko ir šio piliečio nesieja biologinis ar įvaikinimo ryšys. SM išlaikoma sutuoktinių M. sudaromo namų ūkio, kuriam ji priklauso, nors ir būdama Alžyre. Vis dėlto tas teismas manė, kad šios direktyvos 3 straipsnio 2 dalies pirmos pastraipos a punktas taikomas tik tuo atveju, jei SM neturi teisės atvykti į Jungtinę Karalystę kaip Sąjungos piliečio „tiesioginis palikuonis“, kaip tai suprantama pagal minėtos direktyvos 2 straipsnio 2 punkto c papunktį</w:t>
      </w:r>
      <w:r>
        <w:rPr>
          <w:rFonts w:asciiTheme="minorHAnsi" w:hAnsiTheme="minorHAnsi" w:cstheme="minorHAnsi"/>
          <w:sz w:val="22"/>
          <w:szCs w:val="22"/>
        </w:rPr>
        <w:t xml:space="preserve"> (36–</w:t>
      </w:r>
      <w:r w:rsidRPr="00986131">
        <w:rPr>
          <w:rFonts w:asciiTheme="minorHAnsi" w:hAnsiTheme="minorHAnsi" w:cstheme="minorHAnsi"/>
          <w:sz w:val="22"/>
          <w:szCs w:val="22"/>
        </w:rPr>
        <w:t xml:space="preserve">37 punktai). </w:t>
      </w:r>
    </w:p>
    <w:p w14:paraId="4FDEB6A2" w14:textId="77777777" w:rsidR="00332700" w:rsidRPr="00986131" w:rsidRDefault="00332700" w:rsidP="00332700">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Šiomis aplinkybėmis </w:t>
      </w:r>
      <w:proofErr w:type="spellStart"/>
      <w:r w:rsidRPr="00986131">
        <w:rPr>
          <w:rFonts w:asciiTheme="minorHAnsi" w:hAnsiTheme="minorHAnsi" w:cstheme="minorHAnsi"/>
          <w:sz w:val="22"/>
          <w:szCs w:val="22"/>
        </w:rPr>
        <w:t>Supreme</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Court</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of</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the</w:t>
      </w:r>
      <w:proofErr w:type="spellEnd"/>
      <w:r w:rsidRPr="00986131">
        <w:rPr>
          <w:rFonts w:asciiTheme="minorHAnsi" w:hAnsiTheme="minorHAnsi" w:cstheme="minorHAnsi"/>
          <w:sz w:val="22"/>
          <w:szCs w:val="22"/>
        </w:rPr>
        <w:t xml:space="preserve"> United </w:t>
      </w:r>
      <w:proofErr w:type="spellStart"/>
      <w:r w:rsidRPr="00986131">
        <w:rPr>
          <w:rFonts w:asciiTheme="minorHAnsi" w:hAnsiTheme="minorHAnsi" w:cstheme="minorHAnsi"/>
          <w:sz w:val="22"/>
          <w:szCs w:val="22"/>
        </w:rPr>
        <w:t>Kingdom</w:t>
      </w:r>
      <w:proofErr w:type="spellEnd"/>
      <w:r w:rsidRPr="00986131">
        <w:rPr>
          <w:rFonts w:asciiTheme="minorHAnsi" w:hAnsiTheme="minorHAnsi" w:cstheme="minorHAnsi"/>
          <w:sz w:val="22"/>
          <w:szCs w:val="22"/>
        </w:rPr>
        <w:t xml:space="preserve"> (Jungtinės Karalystės Aukščiausiasis Teismas) nusprendė sustabdyti bylos nagrinėjimą ir pateikti Teisingumo Teismui šiuos </w:t>
      </w:r>
      <w:proofErr w:type="spellStart"/>
      <w:r w:rsidRPr="00986131">
        <w:rPr>
          <w:rFonts w:asciiTheme="minorHAnsi" w:hAnsiTheme="minorHAnsi" w:cstheme="minorHAnsi"/>
          <w:sz w:val="22"/>
          <w:szCs w:val="22"/>
        </w:rPr>
        <w:t>prejudicinius</w:t>
      </w:r>
      <w:proofErr w:type="spellEnd"/>
      <w:r w:rsidRPr="00986131">
        <w:rPr>
          <w:rFonts w:asciiTheme="minorHAnsi" w:hAnsiTheme="minorHAnsi" w:cstheme="minorHAnsi"/>
          <w:sz w:val="22"/>
          <w:szCs w:val="22"/>
        </w:rPr>
        <w:t xml:space="preserve"> klausimus:</w:t>
      </w:r>
    </w:p>
    <w:p w14:paraId="2E115698" w14:textId="77777777" w:rsidR="00332700" w:rsidRPr="00986131" w:rsidRDefault="00332700" w:rsidP="00332700">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„1. Ar vaikas, už kurio nuolatinę teisinę globą pagal </w:t>
      </w:r>
      <w:proofErr w:type="spellStart"/>
      <w:r w:rsidRPr="00986131">
        <w:rPr>
          <w:rFonts w:asciiTheme="minorHAnsi" w:hAnsiTheme="minorHAnsi" w:cstheme="minorHAnsi"/>
          <w:sz w:val="22"/>
          <w:szCs w:val="22"/>
        </w:rPr>
        <w:t>kafalą</w:t>
      </w:r>
      <w:proofErr w:type="spellEnd"/>
      <w:r w:rsidRPr="00986131">
        <w:rPr>
          <w:rFonts w:asciiTheme="minorHAnsi" w:hAnsiTheme="minorHAnsi" w:cstheme="minorHAnsi"/>
          <w:sz w:val="22"/>
          <w:szCs w:val="22"/>
        </w:rPr>
        <w:t xml:space="preserve"> ar kitą [jo kilmės valstybės] įstatyme numatytą lygiavertę priemonę, atsakingas Sąjungos pilietis arba piliečiai, yra „tiesioginis palikuonis“, kaip tai suprantama pagal Direktyvos 2004/38 2 straipsnio 2 punkto c papunktį?</w:t>
      </w:r>
    </w:p>
    <w:p w14:paraId="6A33D4B7" w14:textId="77777777" w:rsidR="00332700" w:rsidRPr="00986131" w:rsidRDefault="00332700" w:rsidP="00332700">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2. Ar kitas šios direktyvos nuostatas, visų pirma jos 27 ir 35 straipsnius, galima aiškinti taip, kad pagal jas neleidžiama tokiems vaikams įvažiuoti į šalį, jeigu jie išnaudojami ar yra tapę prekybos žmonėmis aukos arba kyla tokia grėsmė?</w:t>
      </w:r>
    </w:p>
    <w:p w14:paraId="617465F7" w14:textId="77777777" w:rsidR="00332700" w:rsidRPr="00986131" w:rsidRDefault="00332700" w:rsidP="00332700">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3. Ar tam, kad vaiką, kuris nėra Sąjungos piliečio biologinis palikuonis, pripažintų tiesioginiu palikuoniu pagal minėto 2 straipsnio 2 punkto c papunktį, valstybė narė turi teisę kelti klausimą, ar vaiko globos ar rūpybos skyrimo [šiam Sąjungos] piliečiui procedūros užtikrino, kad būtų pakankamai atsižvelgta į to vaiko interesus?“ (43 punktas). </w:t>
      </w:r>
    </w:p>
    <w:p w14:paraId="4978ADBD" w14:textId="77777777" w:rsidR="00332700" w:rsidRPr="00986131" w:rsidRDefault="00332700" w:rsidP="00332700">
      <w:pPr>
        <w:pStyle w:val="c01pointnumerotealtn"/>
        <w:shd w:val="clear" w:color="auto" w:fill="FFFFFF"/>
        <w:spacing w:before="0" w:beforeAutospacing="0" w:after="0"/>
        <w:ind w:left="0" w:firstLine="567"/>
        <w:rPr>
          <w:rFonts w:asciiTheme="minorHAnsi" w:hAnsiTheme="minorHAnsi" w:cstheme="minorHAnsi"/>
          <w:sz w:val="22"/>
          <w:szCs w:val="22"/>
        </w:rPr>
      </w:pPr>
    </w:p>
    <w:p w14:paraId="35AE12EA" w14:textId="6AA29700" w:rsidR="00332700" w:rsidRPr="00AF0131" w:rsidRDefault="00332700" w:rsidP="00AF0131">
      <w:pPr>
        <w:pStyle w:val="Antrat2"/>
        <w:ind w:firstLine="567"/>
        <w:jc w:val="both"/>
        <w:rPr>
          <w:rFonts w:cstheme="minorHAnsi"/>
        </w:rPr>
      </w:pPr>
      <w:bookmarkStart w:id="27" w:name="_Toc11232455"/>
      <w:bookmarkStart w:id="28" w:name="_Toc11232746"/>
      <w:bookmarkStart w:id="29" w:name="_Toc11757982"/>
      <w:r w:rsidRPr="00C117A3">
        <w:rPr>
          <w:rFonts w:cstheme="minorHAnsi"/>
        </w:rPr>
        <w:t xml:space="preserve">Dėl </w:t>
      </w:r>
      <w:r w:rsidR="00C117A3" w:rsidRPr="00C117A3">
        <w:rPr>
          <w:rFonts w:cstheme="minorHAnsi"/>
        </w:rPr>
        <w:t xml:space="preserve">vaiko nuolatinės teisinės globos pagal </w:t>
      </w:r>
      <w:proofErr w:type="spellStart"/>
      <w:r w:rsidR="00C117A3" w:rsidRPr="00C117A3">
        <w:rPr>
          <w:rFonts w:cstheme="minorHAnsi"/>
        </w:rPr>
        <w:t>kafala</w:t>
      </w:r>
      <w:proofErr w:type="spellEnd"/>
      <w:r w:rsidR="00C117A3" w:rsidRPr="00C117A3">
        <w:rPr>
          <w:rFonts w:cstheme="minorHAnsi"/>
        </w:rPr>
        <w:t xml:space="preserve"> (ar kitą įstatyme numatytą lygiavertę priemonę) vertinimo „tiesioginio palikuonio“ aspektu (pagal Direktyvos 2004/38 2 straipsnio 2 punkto c papunktį)</w:t>
      </w:r>
      <w:bookmarkEnd w:id="27"/>
      <w:bookmarkEnd w:id="28"/>
      <w:bookmarkEnd w:id="29"/>
    </w:p>
    <w:p w14:paraId="72185A05" w14:textId="1426206B" w:rsidR="00332700" w:rsidRPr="00986131" w:rsidRDefault="00AF0131" w:rsidP="00AF0131">
      <w:pPr>
        <w:pStyle w:val="c01pointnumerotealtn"/>
        <w:shd w:val="clear" w:color="auto" w:fill="FFFFFF"/>
        <w:tabs>
          <w:tab w:val="left" w:pos="3307"/>
        </w:tabs>
        <w:spacing w:before="0" w:beforeAutospacing="0" w:after="0"/>
        <w:ind w:left="0" w:firstLine="567"/>
        <w:rPr>
          <w:rFonts w:asciiTheme="minorHAnsi" w:hAnsiTheme="minorHAnsi" w:cstheme="minorHAnsi"/>
          <w:sz w:val="22"/>
          <w:szCs w:val="22"/>
        </w:rPr>
      </w:pPr>
      <w:r>
        <w:rPr>
          <w:rFonts w:asciiTheme="minorHAnsi" w:hAnsiTheme="minorHAnsi" w:cstheme="minorHAnsi"/>
          <w:sz w:val="22"/>
          <w:szCs w:val="22"/>
        </w:rPr>
        <w:tab/>
      </w:r>
    </w:p>
    <w:p w14:paraId="2B4268CE" w14:textId="77777777" w:rsidR="00332700" w:rsidRPr="00986131" w:rsidRDefault="00332700" w:rsidP="00332700">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Teisingumo Teismas konstatavo, kad </w:t>
      </w:r>
      <w:proofErr w:type="spellStart"/>
      <w:r w:rsidRPr="00986131">
        <w:rPr>
          <w:rFonts w:asciiTheme="minorHAnsi" w:hAnsiTheme="minorHAnsi" w:cstheme="minorHAnsi"/>
          <w:sz w:val="22"/>
          <w:szCs w:val="22"/>
        </w:rPr>
        <w:t>kafala</w:t>
      </w:r>
      <w:proofErr w:type="spellEnd"/>
      <w:r w:rsidRPr="00986131">
        <w:rPr>
          <w:rFonts w:asciiTheme="minorHAnsi" w:hAnsiTheme="minorHAnsi" w:cstheme="minorHAnsi"/>
          <w:sz w:val="22"/>
          <w:szCs w:val="22"/>
        </w:rPr>
        <w:t xml:space="preserve"> pagal Alžyro teisę yra suaugusio asmens įsipareigojimas rūpintis vaiko išlaikymu, auklėjimu ir apsauga taip, kaip tai darytų vaiko tėvas, ir teisiškai šį vaiką globoti. </w:t>
      </w:r>
      <w:r w:rsidRPr="00986131">
        <w:rPr>
          <w:rFonts w:asciiTheme="minorHAnsi" w:hAnsiTheme="minorHAnsi" w:cstheme="minorHAnsi"/>
          <w:sz w:val="22"/>
          <w:szCs w:val="22"/>
          <w:u w:val="single"/>
        </w:rPr>
        <w:t>Skirtingai nuo įvaikinimo</w:t>
      </w:r>
      <w:r w:rsidRPr="00986131">
        <w:rPr>
          <w:rFonts w:asciiTheme="minorHAnsi" w:hAnsiTheme="minorHAnsi" w:cstheme="minorHAnsi"/>
          <w:sz w:val="22"/>
          <w:szCs w:val="22"/>
        </w:rPr>
        <w:t xml:space="preserve">, kuris pagal Alžyro teisę draudžiamas, </w:t>
      </w:r>
      <w:r w:rsidRPr="00986131">
        <w:rPr>
          <w:rFonts w:asciiTheme="minorHAnsi" w:hAnsiTheme="minorHAnsi" w:cstheme="minorHAnsi"/>
          <w:sz w:val="22"/>
          <w:szCs w:val="22"/>
          <w:u w:val="single"/>
        </w:rPr>
        <w:t xml:space="preserve">vaiko globa pagal </w:t>
      </w:r>
      <w:proofErr w:type="spellStart"/>
      <w:r w:rsidRPr="00986131">
        <w:rPr>
          <w:rFonts w:asciiTheme="minorHAnsi" w:hAnsiTheme="minorHAnsi" w:cstheme="minorHAnsi"/>
          <w:sz w:val="22"/>
          <w:szCs w:val="22"/>
          <w:u w:val="single"/>
        </w:rPr>
        <w:t>kafalą</w:t>
      </w:r>
      <w:proofErr w:type="spellEnd"/>
      <w:r w:rsidRPr="00986131">
        <w:rPr>
          <w:rFonts w:asciiTheme="minorHAnsi" w:hAnsiTheme="minorHAnsi" w:cstheme="minorHAnsi"/>
          <w:sz w:val="22"/>
          <w:szCs w:val="22"/>
          <w:u w:val="single"/>
        </w:rPr>
        <w:t xml:space="preserve"> nesuteikia vaikui </w:t>
      </w:r>
      <w:r w:rsidRPr="00986131">
        <w:rPr>
          <w:rFonts w:asciiTheme="minorHAnsi" w:hAnsiTheme="minorHAnsi" w:cstheme="minorHAnsi"/>
          <w:sz w:val="22"/>
          <w:szCs w:val="22"/>
          <w:u w:val="single"/>
        </w:rPr>
        <w:lastRenderedPageBreak/>
        <w:t xml:space="preserve">globėjo paveldėtojo statuso. Be to, </w:t>
      </w:r>
      <w:proofErr w:type="spellStart"/>
      <w:r w:rsidRPr="00986131">
        <w:rPr>
          <w:rFonts w:asciiTheme="minorHAnsi" w:hAnsiTheme="minorHAnsi" w:cstheme="minorHAnsi"/>
          <w:sz w:val="22"/>
          <w:szCs w:val="22"/>
          <w:u w:val="single"/>
        </w:rPr>
        <w:t>kafala</w:t>
      </w:r>
      <w:proofErr w:type="spellEnd"/>
      <w:r w:rsidRPr="00986131">
        <w:rPr>
          <w:rFonts w:asciiTheme="minorHAnsi" w:hAnsiTheme="minorHAnsi" w:cstheme="minorHAnsi"/>
          <w:sz w:val="22"/>
          <w:szCs w:val="22"/>
          <w:u w:val="single"/>
        </w:rPr>
        <w:t xml:space="preserve"> nustoja galioti vaikui sulaukus pilnametystės ir gali būti panaikinta biologinių tėvų arba globėjo prašymu</w:t>
      </w:r>
      <w:r w:rsidRPr="00986131">
        <w:rPr>
          <w:rFonts w:asciiTheme="minorHAnsi" w:hAnsiTheme="minorHAnsi" w:cstheme="minorHAnsi"/>
          <w:sz w:val="22"/>
          <w:szCs w:val="22"/>
        </w:rPr>
        <w:t xml:space="preserve"> (45 punktas)</w:t>
      </w:r>
    </w:p>
    <w:p w14:paraId="2DBB6B66" w14:textId="77777777" w:rsidR="00332700" w:rsidRPr="00986131" w:rsidRDefault="00332700" w:rsidP="00332700">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Teisingumo Teismas priminė, kad pagal Direktyvos 2004/38 3 straipsnio 1 dalį ji taikoma visiems Sąjungos piliečiams, kurie atvyksta į kitą nei jų pilietybės valstybę narę, ir šios direktyvos 2 straipsnio 2 punkte apibrėžtiems jų šeimos nariams, kurie juos lydi arba pas juos atvyksta. Tokie </w:t>
      </w:r>
      <w:r w:rsidRPr="00986131">
        <w:rPr>
          <w:rFonts w:asciiTheme="minorHAnsi" w:hAnsiTheme="minorHAnsi" w:cstheme="minorHAnsi"/>
          <w:sz w:val="22"/>
          <w:szCs w:val="22"/>
          <w:u w:val="single"/>
        </w:rPr>
        <w:t>Sąjungos piliečio šeimos nariai pagal Direktyvos 2004/38 2 straipsnio 2 punkto c papunktį apima, be kita ko, „tiesioginius palikuonis“, kurie yra jaunesni nei 21 metų arba jo išlaikomi. Šioje nuostatoje nėra tiesioginės nuorodos į valstybių narių teises, siekiant nustatyti sąvokos „tiesioginis palikuonis“ reikšmę ir apimtį</w:t>
      </w:r>
      <w:r w:rsidRPr="00986131">
        <w:rPr>
          <w:rFonts w:asciiTheme="minorHAnsi" w:hAnsiTheme="minorHAnsi" w:cstheme="minorHAnsi"/>
          <w:sz w:val="22"/>
          <w:szCs w:val="22"/>
        </w:rPr>
        <w:t xml:space="preserve">. Šiomis aplinkybėmis iš vienodo Sąjungos teisės taikymo reikalavimo ir lygybės principo išplaukia, kad šios nuostatos sąvokos visoje Sąjungoje paprastai turi būti aiškinamos autonomiškai ir vienodai. Be to, Direktyvoje 2004/38 nepateikta sąvokos „tiesioginis palikuonis“, kaip tai suprantama pagal 2 straipsnio 2 punkto c papunktį, apibrėžtis. Aiškinant Sąjungos teisės nuostatą reikia atsižvelgti ne tik į jos tekstą, bet ir į kontekstą ir teisės akto, kuriame ji įtvirtinta, tikslus. Teismas pabrėžė, kad „tiesioginio palikuonio“ sąvoka bendrai reiškia tiesiosios linijos giminystės ryšį, kuriuo atitinkamas asmuo susijęs su kitu asmeniu. Jei nėra jokių Sąjungos piliečio ir atitinkamo vaiko giminystės ryšio, pastarasis negali būti pripažįstamas pirmojo „tiesioginiu palikuoniu“, kaip tai suprantama pagal Direktyvą 2004/38. Nors ši sąvoka pirmiausia susijusi su biologiniu giminystės ryšiu, vis dėlto Teisingumo Teismas priminė, kad pagal suformuotą jurisprudenciją </w:t>
      </w:r>
      <w:r w:rsidRPr="00986131">
        <w:rPr>
          <w:rFonts w:asciiTheme="minorHAnsi" w:hAnsiTheme="minorHAnsi" w:cstheme="minorHAnsi"/>
          <w:sz w:val="22"/>
          <w:szCs w:val="22"/>
          <w:u w:val="single"/>
        </w:rPr>
        <w:t>Direktyva 2004/38 siekiama supaprastinti naudojimąsi pagrindine asmenine teise laisvai judėti ir gyventi valstybių narių teritorijoje, kuri yra tiesiogiai suteikiama Sąjungos piliečiams pagal SESV 21 straipsnio 1 dalį, o šia direktyva siekiama visų pirma šią teisę sustiprinti</w:t>
      </w:r>
      <w:r w:rsidRPr="00986131">
        <w:rPr>
          <w:rFonts w:asciiTheme="minorHAnsi" w:hAnsiTheme="minorHAnsi" w:cstheme="minorHAnsi"/>
          <w:sz w:val="22"/>
          <w:szCs w:val="22"/>
        </w:rPr>
        <w:t>. Atsižvelgiant į šiuos tikslus, Direktyvos 2004/38 nuostatos, taigi ir jos 2 straipsnio 2 punktas, turi būti aiškinamos plačiai</w:t>
      </w:r>
      <w:r>
        <w:rPr>
          <w:rFonts w:asciiTheme="minorHAnsi" w:hAnsiTheme="minorHAnsi" w:cstheme="minorHAnsi"/>
          <w:sz w:val="22"/>
          <w:szCs w:val="22"/>
        </w:rPr>
        <w:t xml:space="preserve"> (48–</w:t>
      </w:r>
      <w:r w:rsidRPr="00986131">
        <w:rPr>
          <w:rFonts w:asciiTheme="minorHAnsi" w:hAnsiTheme="minorHAnsi" w:cstheme="minorHAnsi"/>
          <w:sz w:val="22"/>
          <w:szCs w:val="22"/>
        </w:rPr>
        <w:t>53 punktai).</w:t>
      </w:r>
    </w:p>
    <w:p w14:paraId="0A13E340" w14:textId="77777777" w:rsidR="00332700" w:rsidRPr="00986131" w:rsidRDefault="00332700" w:rsidP="00332700">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Taigi Teisingumo Teismas konstatavo, kad </w:t>
      </w:r>
      <w:r w:rsidRPr="00986131">
        <w:rPr>
          <w:rFonts w:asciiTheme="minorHAnsi" w:hAnsiTheme="minorHAnsi" w:cstheme="minorHAnsi"/>
          <w:sz w:val="22"/>
          <w:szCs w:val="22"/>
          <w:u w:val="single"/>
        </w:rPr>
        <w:t>sąvoka „giminystės ryšys“ turi būti suprantama plačiai, kad ji apimtų visus giminystės ryšius, nesvarbu, ar biologinius, ar teisinius</w:t>
      </w:r>
      <w:r w:rsidRPr="00986131">
        <w:rPr>
          <w:rFonts w:asciiTheme="minorHAnsi" w:hAnsiTheme="minorHAnsi" w:cstheme="minorHAnsi"/>
          <w:sz w:val="22"/>
          <w:szCs w:val="22"/>
        </w:rPr>
        <w:t xml:space="preserve">. Todėl </w:t>
      </w:r>
      <w:r w:rsidRPr="00986131">
        <w:rPr>
          <w:rFonts w:asciiTheme="minorHAnsi" w:hAnsiTheme="minorHAnsi" w:cstheme="minorHAnsi"/>
          <w:sz w:val="22"/>
          <w:szCs w:val="22"/>
          <w:u w:val="single"/>
        </w:rPr>
        <w:t xml:space="preserve">Sąjungos piliečio „tiesioginio palikuonio“ sąvoka Direktyvos 2004/38 2 straipsnio 2 punkto c papunktyje turi būti suprantama kaip apimanti tokio piliečio tiek biologinį, tiek įvaikintą vaiką, jei nustatoma, kad įvaikinimas sukuria teisinį atitinkamo Sąjungos piliečio ir vaiko giminystės ryšį </w:t>
      </w:r>
      <w:r w:rsidRPr="00986131">
        <w:rPr>
          <w:rFonts w:asciiTheme="minorHAnsi" w:hAnsiTheme="minorHAnsi" w:cstheme="minorHAnsi"/>
          <w:sz w:val="22"/>
          <w:szCs w:val="22"/>
        </w:rPr>
        <w:t xml:space="preserve">(54 punktas). </w:t>
      </w:r>
    </w:p>
    <w:p w14:paraId="3801D4C2" w14:textId="77777777" w:rsidR="00332700" w:rsidRPr="00986131" w:rsidRDefault="00332700" w:rsidP="00332700">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Vis dėlto tas pats plataus aiškinimo reikalavimas negali pateisinti tokio aiškinimo, koks išplaukia iš Komisijos komunikato COM (2009) 313 </w:t>
      </w:r>
      <w:proofErr w:type="spellStart"/>
      <w:r w:rsidRPr="00986131">
        <w:rPr>
          <w:rFonts w:asciiTheme="minorHAnsi" w:hAnsiTheme="minorHAnsi" w:cstheme="minorHAnsi"/>
          <w:sz w:val="22"/>
          <w:szCs w:val="22"/>
        </w:rPr>
        <w:t>final</w:t>
      </w:r>
      <w:proofErr w:type="spellEnd"/>
      <w:r w:rsidRPr="00986131">
        <w:rPr>
          <w:rFonts w:asciiTheme="minorHAnsi" w:hAnsiTheme="minorHAnsi" w:cstheme="minorHAnsi"/>
          <w:sz w:val="22"/>
          <w:szCs w:val="22"/>
        </w:rPr>
        <w:t xml:space="preserve"> 2.1.2 punkto, kad vaikas, kuris teisiškai globojamas Sąjungos piliečio, patenka į „tiesioginio palikuonio“ sąvoką, kaip ji suprantama pagal Direktyvos 2004/38 2 straipsnio 2 punkto c papunktį. </w:t>
      </w:r>
      <w:r w:rsidRPr="00986131">
        <w:rPr>
          <w:rFonts w:asciiTheme="minorHAnsi" w:hAnsiTheme="minorHAnsi" w:cstheme="minorHAnsi"/>
          <w:sz w:val="22"/>
          <w:szCs w:val="22"/>
          <w:u w:val="single"/>
        </w:rPr>
        <w:t xml:space="preserve">Kadangi vaikui taikant Alžyro </w:t>
      </w:r>
      <w:proofErr w:type="spellStart"/>
      <w:r w:rsidRPr="00986131">
        <w:rPr>
          <w:rFonts w:asciiTheme="minorHAnsi" w:hAnsiTheme="minorHAnsi" w:cstheme="minorHAnsi"/>
          <w:sz w:val="22"/>
          <w:szCs w:val="22"/>
          <w:u w:val="single"/>
        </w:rPr>
        <w:t>kafalos</w:t>
      </w:r>
      <w:proofErr w:type="spellEnd"/>
      <w:r w:rsidRPr="00986131">
        <w:rPr>
          <w:rFonts w:asciiTheme="minorHAnsi" w:hAnsiTheme="minorHAnsi" w:cstheme="minorHAnsi"/>
          <w:sz w:val="22"/>
          <w:szCs w:val="22"/>
          <w:u w:val="single"/>
        </w:rPr>
        <w:t xml:space="preserve"> sistemą nesukuriamas vaiko ir jo globėjo giminystės ryšys, vaikas, kaip SM, kuris pagal šią sistemą yra teisinėje Sąjungos piliečių globoje, negali būti laikomas Sąjungos piliečio „tiesioginiu palikuoniu“</w:t>
      </w:r>
      <w:r w:rsidRPr="00986131">
        <w:rPr>
          <w:rFonts w:asciiTheme="minorHAnsi" w:hAnsiTheme="minorHAnsi" w:cstheme="minorHAnsi"/>
          <w:sz w:val="22"/>
          <w:szCs w:val="22"/>
        </w:rPr>
        <w:t xml:space="preserve">, kaip tai suprantama pagal Direktyvos 2004/38 2 straipsnio 2 punkto c papunktį. </w:t>
      </w:r>
      <w:r w:rsidRPr="00986131">
        <w:rPr>
          <w:rFonts w:asciiTheme="minorHAnsi" w:hAnsiTheme="minorHAnsi" w:cstheme="minorHAnsi"/>
          <w:sz w:val="22"/>
          <w:szCs w:val="22"/>
          <w:u w:val="single"/>
        </w:rPr>
        <w:t>Tokiu atveju toks vaikas priskirtinas sąvokos „kitas šeimos narys“, kaip tai suprantama pagal Direktyvos 2004/38 3 straipsnio 2 dalies a punktą, taikymo sričiai.</w:t>
      </w:r>
      <w:r w:rsidRPr="00986131">
        <w:rPr>
          <w:rFonts w:asciiTheme="minorHAnsi" w:hAnsiTheme="minorHAnsi" w:cstheme="minorHAnsi"/>
          <w:sz w:val="22"/>
          <w:szCs w:val="22"/>
        </w:rPr>
        <w:t xml:space="preserve"> Pagal šią nuostatą valstybės narės, laikydamosi savo teisės aktų, palengvina galimybę įvažiuoti į šalį ir gyventi joje „bet kokiems kitiems šeimos nariams &lt;…&gt;, kurie savo išvykimo šalyje yra išlaikomi ar veda bendrą namų ūkį su pirminę gyvenimo šalyje teisę turinčiu Sąjungos piliečiu“</w:t>
      </w:r>
      <w:r>
        <w:rPr>
          <w:rFonts w:asciiTheme="minorHAnsi" w:hAnsiTheme="minorHAnsi" w:cstheme="minorHAnsi"/>
          <w:sz w:val="22"/>
          <w:szCs w:val="22"/>
        </w:rPr>
        <w:t xml:space="preserve"> (55–</w:t>
      </w:r>
      <w:r w:rsidRPr="00986131">
        <w:rPr>
          <w:rFonts w:asciiTheme="minorHAnsi" w:hAnsiTheme="minorHAnsi" w:cstheme="minorHAnsi"/>
          <w:sz w:val="22"/>
          <w:szCs w:val="22"/>
        </w:rPr>
        <w:t xml:space="preserve">58 punktai). </w:t>
      </w:r>
    </w:p>
    <w:p w14:paraId="394BED65" w14:textId="77777777" w:rsidR="00332700" w:rsidRPr="00986131" w:rsidRDefault="00332700" w:rsidP="00332700">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Iš Direktyvos 2004/38 6 konstatuojamosios dalies matyti, kad šios </w:t>
      </w:r>
      <w:r w:rsidRPr="00986131">
        <w:rPr>
          <w:rFonts w:asciiTheme="minorHAnsi" w:hAnsiTheme="minorHAnsi" w:cstheme="minorHAnsi"/>
          <w:sz w:val="22"/>
          <w:szCs w:val="22"/>
          <w:u w:val="single"/>
        </w:rPr>
        <w:t>direktyvos 3 straipsnio 2 dalies a punkto tikslas yra „išlaikyti šeimos vienybę platesne prasme“, palengvinant asmenų, kurie nėra įtraukti į Sąjungos piliečio „šeimos nario“ apibrėžtį, nurodytą tos direktyvos 2 straipsnio 2 punkte, bet kurie vis dėlto išlaiko artimus ir stabilius šeimos ryšius su Sąjungos piliečiu dėl konkrečių faktinių aplinkybių, kaip antai ekonominės priklausomybės, priklausomybės namų ūkiui arba rimtų sveikatos priežasčių, įvažiavimą ir apsigyvenimą</w:t>
      </w:r>
      <w:r w:rsidRPr="00986131">
        <w:rPr>
          <w:rFonts w:asciiTheme="minorHAnsi" w:hAnsiTheme="minorHAnsi" w:cstheme="minorHAnsi"/>
          <w:sz w:val="22"/>
          <w:szCs w:val="22"/>
        </w:rPr>
        <w:t xml:space="preserve">. Remiantis Teisingumo Teismo jurisprudencija, pagal Direktyvos 2004/38 3 straipsnio 2 dalį valstybėms narėms nustatoma pareiga suteikti šiame straipsnyje nurodytų trečiųjų šalių piliečių pateiktiems prašymams tam tikrą pranašumą, palyginti su kitų trečiųjų šalių piliečių prašymais atvykti ir gyventi šalyje. Valstybės narės turi numatyti galimybę šioje nuostatoje nurodytiems asmenims gauti sprendimą dėl jų prašymo, pagrįstą nuodugniu jų asmeninės padėties tyrimu, atliktu atsižvelgus į įvairius svarbius veiksnius, kuris atsisakymo atveju būtų motyvuotas. Žinoma, </w:t>
      </w:r>
      <w:r w:rsidRPr="00986131">
        <w:rPr>
          <w:rFonts w:asciiTheme="minorHAnsi" w:hAnsiTheme="minorHAnsi" w:cstheme="minorHAnsi"/>
          <w:sz w:val="22"/>
          <w:szCs w:val="22"/>
          <w:u w:val="single"/>
        </w:rPr>
        <w:t xml:space="preserve">kiekviena valstybė narė turi didelę </w:t>
      </w:r>
      <w:proofErr w:type="spellStart"/>
      <w:r w:rsidRPr="00986131">
        <w:rPr>
          <w:rFonts w:asciiTheme="minorHAnsi" w:hAnsiTheme="minorHAnsi" w:cstheme="minorHAnsi"/>
          <w:sz w:val="22"/>
          <w:szCs w:val="22"/>
          <w:u w:val="single"/>
        </w:rPr>
        <w:t>diskreciją</w:t>
      </w:r>
      <w:proofErr w:type="spellEnd"/>
      <w:r w:rsidRPr="00986131">
        <w:rPr>
          <w:rFonts w:asciiTheme="minorHAnsi" w:hAnsiTheme="minorHAnsi" w:cstheme="minorHAnsi"/>
          <w:sz w:val="22"/>
          <w:szCs w:val="22"/>
          <w:u w:val="single"/>
        </w:rPr>
        <w:t xml:space="preserve"> nustatyti veiksnius, į kuriuos reikia atsižvelgti, su sąlyga, kad jų teisės aktuose nustatyti kriterijai atitinka įprastą sąvokos „palengvina“ Direktyvos 2004/38 3 straipsnio 2 dalyje reikšmę ir nepanaikina šios nuostatos veiksmingumo</w:t>
      </w:r>
      <w:r w:rsidRPr="00986131">
        <w:rPr>
          <w:rFonts w:asciiTheme="minorHAnsi" w:hAnsiTheme="minorHAnsi" w:cstheme="minorHAnsi"/>
          <w:sz w:val="22"/>
          <w:szCs w:val="22"/>
        </w:rPr>
        <w:t xml:space="preserve">. </w:t>
      </w:r>
      <w:r w:rsidRPr="00986131">
        <w:rPr>
          <w:rFonts w:asciiTheme="minorHAnsi" w:hAnsiTheme="minorHAnsi" w:cstheme="minorHAnsi"/>
          <w:sz w:val="22"/>
          <w:szCs w:val="22"/>
          <w:u w:val="single"/>
        </w:rPr>
        <w:t>Vis dėlto</w:t>
      </w:r>
      <w:r w:rsidRPr="00986131">
        <w:rPr>
          <w:rFonts w:asciiTheme="minorHAnsi" w:hAnsiTheme="minorHAnsi" w:cstheme="minorHAnsi"/>
          <w:sz w:val="22"/>
          <w:szCs w:val="22"/>
        </w:rPr>
        <w:t xml:space="preserve">, atsižvelgiant į Direktyvos 2004/38 31 konstatuojamąją dalį, </w:t>
      </w:r>
      <w:r w:rsidRPr="00986131">
        <w:rPr>
          <w:rFonts w:asciiTheme="minorHAnsi" w:hAnsiTheme="minorHAnsi" w:cstheme="minorHAnsi"/>
          <w:sz w:val="22"/>
          <w:szCs w:val="22"/>
          <w:u w:val="single"/>
        </w:rPr>
        <w:t xml:space="preserve">ši </w:t>
      </w:r>
      <w:proofErr w:type="spellStart"/>
      <w:r w:rsidRPr="00986131">
        <w:rPr>
          <w:rFonts w:asciiTheme="minorHAnsi" w:hAnsiTheme="minorHAnsi" w:cstheme="minorHAnsi"/>
          <w:sz w:val="22"/>
          <w:szCs w:val="22"/>
          <w:u w:val="single"/>
        </w:rPr>
        <w:t>diskrecija</w:t>
      </w:r>
      <w:proofErr w:type="spellEnd"/>
      <w:r w:rsidRPr="00986131">
        <w:rPr>
          <w:rFonts w:asciiTheme="minorHAnsi" w:hAnsiTheme="minorHAnsi" w:cstheme="minorHAnsi"/>
          <w:sz w:val="22"/>
          <w:szCs w:val="22"/>
          <w:u w:val="single"/>
        </w:rPr>
        <w:t xml:space="preserve"> turi būti vykdoma atsižvelgiant į Europos Sąjungos pagrindinių teisių chartijos (toliau – Chartija) nuostatas</w:t>
      </w:r>
      <w:r>
        <w:rPr>
          <w:rFonts w:asciiTheme="minorHAnsi" w:hAnsiTheme="minorHAnsi" w:cstheme="minorHAnsi"/>
          <w:sz w:val="22"/>
          <w:szCs w:val="22"/>
        </w:rPr>
        <w:t xml:space="preserve"> (60–</w:t>
      </w:r>
      <w:r w:rsidRPr="00986131">
        <w:rPr>
          <w:rFonts w:asciiTheme="minorHAnsi" w:hAnsiTheme="minorHAnsi" w:cstheme="minorHAnsi"/>
          <w:sz w:val="22"/>
          <w:szCs w:val="22"/>
        </w:rPr>
        <w:t xml:space="preserve">64 punktai). </w:t>
      </w:r>
    </w:p>
    <w:p w14:paraId="30DF0A25" w14:textId="77777777" w:rsidR="00332700" w:rsidRPr="00986131" w:rsidRDefault="00332700" w:rsidP="00332700">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Teisingumo Teismas įvertino Chartijos 7 straipsnio pripažįstamą teisę į privataus ir šeimos gyvenimo gerbimą, bei Europos Žmogaus Teisių Teismo jurisprudenciją bei nurodė, kad </w:t>
      </w:r>
      <w:r w:rsidRPr="00986131">
        <w:rPr>
          <w:rFonts w:asciiTheme="minorHAnsi" w:hAnsiTheme="minorHAnsi" w:cstheme="minorHAnsi"/>
          <w:sz w:val="22"/>
          <w:szCs w:val="22"/>
          <w:u w:val="single"/>
        </w:rPr>
        <w:t xml:space="preserve">Chartijos 7 straipsnis turi būti </w:t>
      </w:r>
      <w:r w:rsidRPr="00986131">
        <w:rPr>
          <w:rFonts w:asciiTheme="minorHAnsi" w:hAnsiTheme="minorHAnsi" w:cstheme="minorHAnsi"/>
          <w:sz w:val="22"/>
          <w:szCs w:val="22"/>
          <w:u w:val="single"/>
        </w:rPr>
        <w:lastRenderedPageBreak/>
        <w:t>aiškinamas kartu su pareiga atsižvelgti į vaiko interesus, kaip pripažinta jos 24 straipsnio 2 dalyje</w:t>
      </w:r>
      <w:r w:rsidRPr="00986131">
        <w:rPr>
          <w:rFonts w:asciiTheme="minorHAnsi" w:hAnsiTheme="minorHAnsi" w:cstheme="minorHAnsi"/>
          <w:sz w:val="22"/>
          <w:szCs w:val="22"/>
        </w:rPr>
        <w:t xml:space="preserve">. Taigi, siekdamos šių nuostatų laikytis, kai naudojasi savo </w:t>
      </w:r>
      <w:proofErr w:type="spellStart"/>
      <w:r w:rsidRPr="00986131">
        <w:rPr>
          <w:rFonts w:asciiTheme="minorHAnsi" w:hAnsiTheme="minorHAnsi" w:cstheme="minorHAnsi"/>
          <w:sz w:val="22"/>
          <w:szCs w:val="22"/>
        </w:rPr>
        <w:t>diskrecija</w:t>
      </w:r>
      <w:proofErr w:type="spellEnd"/>
      <w:r w:rsidRPr="00986131">
        <w:rPr>
          <w:rFonts w:asciiTheme="minorHAnsi" w:hAnsiTheme="minorHAnsi" w:cstheme="minorHAnsi"/>
          <w:sz w:val="22"/>
          <w:szCs w:val="22"/>
        </w:rPr>
        <w:t xml:space="preserve">, </w:t>
      </w:r>
      <w:r w:rsidRPr="00986131">
        <w:rPr>
          <w:rFonts w:asciiTheme="minorHAnsi" w:hAnsiTheme="minorHAnsi" w:cstheme="minorHAnsi"/>
          <w:sz w:val="22"/>
          <w:szCs w:val="22"/>
          <w:u w:val="single"/>
        </w:rPr>
        <w:t>kompetentingos nacionalinės institucijos</w:t>
      </w:r>
      <w:r w:rsidRPr="00986131">
        <w:rPr>
          <w:rFonts w:asciiTheme="minorHAnsi" w:hAnsiTheme="minorHAnsi" w:cstheme="minorHAnsi"/>
          <w:sz w:val="22"/>
          <w:szCs w:val="22"/>
        </w:rPr>
        <w:t xml:space="preserve">, įgyvendindamos Direktyvos 2004/38 3 straipsnio 2 dalies a punkte numatytą įsipareigojimą palengvinti galimybę kitiems šeimos nariams įvažiuoti ir gyventi šalyje, </w:t>
      </w:r>
      <w:r w:rsidRPr="00986131">
        <w:rPr>
          <w:rFonts w:asciiTheme="minorHAnsi" w:hAnsiTheme="minorHAnsi" w:cstheme="minorHAnsi"/>
          <w:sz w:val="22"/>
          <w:szCs w:val="22"/>
          <w:u w:val="single"/>
        </w:rPr>
        <w:t>privalo atlikti proporcingą ir pagrįstą visų reikšmingų ir svarbių bylos aplinkybių vertinimą, atsižvelgdamos į visus susijusius interesus, ypač į atitinkamo vaiko interesus</w:t>
      </w:r>
      <w:r w:rsidRPr="00986131">
        <w:rPr>
          <w:rFonts w:asciiTheme="minorHAnsi" w:hAnsiTheme="minorHAnsi" w:cstheme="minorHAnsi"/>
          <w:sz w:val="22"/>
          <w:szCs w:val="22"/>
        </w:rPr>
        <w:t xml:space="preserve">. Atliekant šį vertinimą, be kita ko, reikia atsižvelgti į amžių, nuo kurio vaikas buvo globojamas pagal Alžyro </w:t>
      </w:r>
      <w:proofErr w:type="spellStart"/>
      <w:r w:rsidRPr="00986131">
        <w:rPr>
          <w:rFonts w:asciiTheme="minorHAnsi" w:hAnsiTheme="minorHAnsi" w:cstheme="minorHAnsi"/>
          <w:sz w:val="22"/>
          <w:szCs w:val="22"/>
        </w:rPr>
        <w:t>kafalos</w:t>
      </w:r>
      <w:proofErr w:type="spellEnd"/>
      <w:r w:rsidRPr="00986131">
        <w:rPr>
          <w:rFonts w:asciiTheme="minorHAnsi" w:hAnsiTheme="minorHAnsi" w:cstheme="minorHAnsi"/>
          <w:sz w:val="22"/>
          <w:szCs w:val="22"/>
        </w:rPr>
        <w:t xml:space="preserve"> sistemą, į tai, ar egzistuoja bendras vaiko ir jo globėjų gyvenimas nuo globos pagal šią sistemą momento, tarp vaiko ir jo globėjų atsiradusių emocinių santykių laipsnį, vaiko priklausomybę nuo jo globėjų, nes jie vykdo tėvų valdžią ir teisiškai bei finansiškai atsako už vaiką. Atliekant šį vertinimą </w:t>
      </w:r>
      <w:r w:rsidRPr="00986131">
        <w:rPr>
          <w:rFonts w:asciiTheme="minorHAnsi" w:hAnsiTheme="minorHAnsi" w:cstheme="minorHAnsi"/>
          <w:sz w:val="22"/>
          <w:szCs w:val="22"/>
          <w:u w:val="single"/>
        </w:rPr>
        <w:t>taip pat</w:t>
      </w:r>
      <w:r w:rsidRPr="00986131">
        <w:rPr>
          <w:rFonts w:asciiTheme="minorHAnsi" w:hAnsiTheme="minorHAnsi" w:cstheme="minorHAnsi"/>
          <w:sz w:val="22"/>
          <w:szCs w:val="22"/>
        </w:rPr>
        <w:t xml:space="preserve"> </w:t>
      </w:r>
      <w:r w:rsidRPr="00986131">
        <w:rPr>
          <w:rFonts w:asciiTheme="minorHAnsi" w:hAnsiTheme="minorHAnsi" w:cstheme="minorHAnsi"/>
          <w:sz w:val="22"/>
          <w:szCs w:val="22"/>
          <w:u w:val="single"/>
        </w:rPr>
        <w:t xml:space="preserve">reikia atsižvelgti į galimą konkretų ir individualų pavojų, kad atitinkamas vaikas gali būti prievartos, išnaudojimo ar prekybos žmonėmis auka. Tačiau negalima tokio pavojaus </w:t>
      </w:r>
      <w:proofErr w:type="spellStart"/>
      <w:r w:rsidRPr="00986131">
        <w:rPr>
          <w:rFonts w:asciiTheme="minorHAnsi" w:hAnsiTheme="minorHAnsi" w:cstheme="minorHAnsi"/>
          <w:sz w:val="22"/>
          <w:szCs w:val="22"/>
          <w:u w:val="single"/>
        </w:rPr>
        <w:t>preziumuoti</w:t>
      </w:r>
      <w:proofErr w:type="spellEnd"/>
      <w:r w:rsidRPr="00986131">
        <w:rPr>
          <w:rFonts w:asciiTheme="minorHAnsi" w:hAnsiTheme="minorHAnsi" w:cstheme="minorHAnsi"/>
          <w:sz w:val="22"/>
          <w:szCs w:val="22"/>
        </w:rPr>
        <w:t xml:space="preserve">, atsižvelgiant į tai, kad globos pagal Alžyro </w:t>
      </w:r>
      <w:proofErr w:type="spellStart"/>
      <w:r w:rsidRPr="00986131">
        <w:rPr>
          <w:rFonts w:asciiTheme="minorHAnsi" w:hAnsiTheme="minorHAnsi" w:cstheme="minorHAnsi"/>
          <w:sz w:val="22"/>
          <w:szCs w:val="22"/>
        </w:rPr>
        <w:t>kafalos</w:t>
      </w:r>
      <w:proofErr w:type="spellEnd"/>
      <w:r w:rsidRPr="00986131">
        <w:rPr>
          <w:rFonts w:asciiTheme="minorHAnsi" w:hAnsiTheme="minorHAnsi" w:cstheme="minorHAnsi"/>
          <w:sz w:val="22"/>
          <w:szCs w:val="22"/>
        </w:rPr>
        <w:t xml:space="preserve"> sistemą procedūra pagrįsta ne tokiu išsamiu suaugusiojo pasirengimo ir vaiko interesų vertinimu nei tas, kuris atliekamas priimančiojoje valstybėje narėje vaiko įvaikinimo ar globos tikslais arba todėl, kad nebuvo taikyta 1996 m. Hagos konvencijoje numatyta procedūra, nes atitinkama trečioji valstybė nėra ratifikavusi šios konvencijos. Tuo atveju, </w:t>
      </w:r>
      <w:r w:rsidRPr="00986131">
        <w:rPr>
          <w:rFonts w:asciiTheme="minorHAnsi" w:hAnsiTheme="minorHAnsi" w:cstheme="minorHAnsi"/>
          <w:sz w:val="22"/>
          <w:szCs w:val="22"/>
          <w:u w:val="single"/>
        </w:rPr>
        <w:t xml:space="preserve">kai nustatoma, kad pagal Alžyro </w:t>
      </w:r>
      <w:proofErr w:type="spellStart"/>
      <w:r w:rsidRPr="00986131">
        <w:rPr>
          <w:rFonts w:asciiTheme="minorHAnsi" w:hAnsiTheme="minorHAnsi" w:cstheme="minorHAnsi"/>
          <w:sz w:val="22"/>
          <w:szCs w:val="22"/>
          <w:u w:val="single"/>
        </w:rPr>
        <w:t>kafalos</w:t>
      </w:r>
      <w:proofErr w:type="spellEnd"/>
      <w:r w:rsidRPr="00986131">
        <w:rPr>
          <w:rFonts w:asciiTheme="minorHAnsi" w:hAnsiTheme="minorHAnsi" w:cstheme="minorHAnsi"/>
          <w:sz w:val="22"/>
          <w:szCs w:val="22"/>
          <w:u w:val="single"/>
        </w:rPr>
        <w:t xml:space="preserve"> sistemą globojamas vaikas ir jo globėjai Sąjungos piliečiai iš tiesų gyvena kaip šeima ir kad šis vaikas priklauso nuo globėjų, vadovaujantis pagrindine teise į pagarbą šeimos gyvenimui, kartu su pareiga atsižvelgti į vaiko interesus, iš esmės reikalaujama šiam vaikui suteikti teisę atvykti ir apsigyventi šalyje kaip kitam Sąjungos piliečių šeimos nariui</w:t>
      </w:r>
      <w:r w:rsidRPr="00986131">
        <w:rPr>
          <w:rFonts w:asciiTheme="minorHAnsi" w:hAnsiTheme="minorHAnsi" w:cstheme="minorHAnsi"/>
          <w:sz w:val="22"/>
          <w:szCs w:val="22"/>
        </w:rPr>
        <w:t>, kaip jis suprantamas pagal Direktyvos 2004/38 3 straipsnio 2 dalies a punktą, siejamą su Chartijos 7 straipsniu ir 24 straipsnio 2 dalimi, kad vaikas galėtų gyventi kartu su savo globėjais šiuos priimančiojoje valstybėje narėje</w:t>
      </w:r>
      <w:r>
        <w:rPr>
          <w:rFonts w:asciiTheme="minorHAnsi" w:hAnsiTheme="minorHAnsi" w:cstheme="minorHAnsi"/>
          <w:sz w:val="22"/>
          <w:szCs w:val="22"/>
        </w:rPr>
        <w:t xml:space="preserve"> (65–</w:t>
      </w:r>
      <w:r w:rsidRPr="00986131">
        <w:rPr>
          <w:rFonts w:asciiTheme="minorHAnsi" w:hAnsiTheme="minorHAnsi" w:cstheme="minorHAnsi"/>
          <w:sz w:val="22"/>
          <w:szCs w:val="22"/>
        </w:rPr>
        <w:t>71 punktai)</w:t>
      </w:r>
    </w:p>
    <w:p w14:paraId="7794E7BC" w14:textId="77777777" w:rsidR="00332700" w:rsidRPr="00C761B1" w:rsidRDefault="00332700" w:rsidP="00332700">
      <w:pPr>
        <w:pStyle w:val="c01pointnumerotealtn"/>
        <w:shd w:val="clear" w:color="auto" w:fill="FFFFFF"/>
        <w:spacing w:before="0" w:beforeAutospacing="0" w:after="0"/>
        <w:ind w:left="0" w:firstLine="567"/>
        <w:rPr>
          <w:rFonts w:asciiTheme="minorHAnsi" w:hAnsiTheme="minorHAnsi" w:cstheme="minorHAnsi"/>
          <w:sz w:val="22"/>
          <w:szCs w:val="22"/>
        </w:rPr>
      </w:pPr>
      <w:r w:rsidRPr="00C761B1">
        <w:rPr>
          <w:rFonts w:asciiTheme="minorHAnsi" w:hAnsiTheme="minorHAnsi" w:cstheme="minorHAnsi"/>
          <w:sz w:val="22"/>
          <w:szCs w:val="22"/>
        </w:rPr>
        <w:t>Teisingumo Teismo vertinimu, atsižvelgiant į tai, kas išdėstyta, į pateiktą pirmąjį klausimą reikia atsakyti taip:</w:t>
      </w:r>
    </w:p>
    <w:p w14:paraId="268AFD47" w14:textId="77777777" w:rsidR="00332700" w:rsidRPr="00C761B1" w:rsidRDefault="00332700" w:rsidP="00332700">
      <w:pPr>
        <w:pStyle w:val="c01pointnumerotealtn"/>
        <w:shd w:val="clear" w:color="auto" w:fill="FFFFFF"/>
        <w:spacing w:before="0" w:beforeAutospacing="0" w:after="0"/>
        <w:ind w:left="0" w:firstLine="567"/>
        <w:rPr>
          <w:rFonts w:asciiTheme="minorHAnsi" w:hAnsiTheme="minorHAnsi" w:cstheme="minorHAnsi"/>
          <w:sz w:val="22"/>
          <w:szCs w:val="22"/>
        </w:rPr>
      </w:pPr>
      <w:r w:rsidRPr="00C761B1">
        <w:rPr>
          <w:rFonts w:asciiTheme="minorHAnsi" w:hAnsiTheme="minorHAnsi" w:cstheme="minorHAnsi"/>
          <w:sz w:val="22"/>
          <w:szCs w:val="22"/>
        </w:rPr>
        <w:t xml:space="preserve">– </w:t>
      </w:r>
      <w:r w:rsidRPr="00C761B1">
        <w:rPr>
          <w:rFonts w:asciiTheme="minorHAnsi" w:hAnsiTheme="minorHAnsi" w:cstheme="minorHAnsi"/>
          <w:sz w:val="22"/>
          <w:szCs w:val="22"/>
          <w:u w:val="single"/>
        </w:rPr>
        <w:t xml:space="preserve">Sąjungos piliečio „tiesioginio palikuonio“ sąvoką Direktyvos 2004/38 2 straipsnio 2 punkto c papunktyje reikia aiškinti taip, kad ji neapima pagal Alžyro </w:t>
      </w:r>
      <w:proofErr w:type="spellStart"/>
      <w:r w:rsidRPr="00C761B1">
        <w:rPr>
          <w:rFonts w:asciiTheme="minorHAnsi" w:hAnsiTheme="minorHAnsi" w:cstheme="minorHAnsi"/>
          <w:sz w:val="22"/>
          <w:szCs w:val="22"/>
          <w:u w:val="single"/>
        </w:rPr>
        <w:t>kafalos</w:t>
      </w:r>
      <w:proofErr w:type="spellEnd"/>
      <w:r w:rsidRPr="00C761B1">
        <w:rPr>
          <w:rFonts w:asciiTheme="minorHAnsi" w:hAnsiTheme="minorHAnsi" w:cstheme="minorHAnsi"/>
          <w:sz w:val="22"/>
          <w:szCs w:val="22"/>
          <w:u w:val="single"/>
        </w:rPr>
        <w:t xml:space="preserve"> sistemą Sąjungos piliečio nuolat teisiškai globojamo vaiko, nes ši globa nesukuria giminystės ryšių tarp jų</w:t>
      </w:r>
      <w:r w:rsidRPr="00C761B1">
        <w:rPr>
          <w:rFonts w:asciiTheme="minorHAnsi" w:hAnsiTheme="minorHAnsi" w:cstheme="minorHAnsi"/>
          <w:sz w:val="22"/>
          <w:szCs w:val="22"/>
        </w:rPr>
        <w:t>,</w:t>
      </w:r>
    </w:p>
    <w:p w14:paraId="3D234883" w14:textId="77777777" w:rsidR="00332700" w:rsidRPr="00986131" w:rsidRDefault="00332700" w:rsidP="00332700">
      <w:pPr>
        <w:pStyle w:val="c01pointnumerotealtn"/>
        <w:shd w:val="clear" w:color="auto" w:fill="FFFFFF"/>
        <w:spacing w:before="0" w:beforeAutospacing="0" w:after="0"/>
        <w:ind w:left="0" w:firstLine="567"/>
        <w:rPr>
          <w:rFonts w:asciiTheme="minorHAnsi" w:hAnsiTheme="minorHAnsi" w:cstheme="minorHAnsi"/>
          <w:sz w:val="22"/>
          <w:szCs w:val="22"/>
        </w:rPr>
      </w:pPr>
      <w:r w:rsidRPr="00C761B1">
        <w:rPr>
          <w:rFonts w:asciiTheme="minorHAnsi" w:hAnsiTheme="minorHAnsi" w:cstheme="minorHAnsi"/>
          <w:sz w:val="22"/>
          <w:szCs w:val="22"/>
        </w:rPr>
        <w:t xml:space="preserve">– vis dėlto </w:t>
      </w:r>
      <w:r w:rsidRPr="00C761B1">
        <w:rPr>
          <w:rFonts w:asciiTheme="minorHAnsi" w:hAnsiTheme="minorHAnsi" w:cstheme="minorHAnsi"/>
          <w:sz w:val="22"/>
          <w:szCs w:val="22"/>
          <w:u w:val="single"/>
        </w:rPr>
        <w:t>kompetentingos nacionalinės institucijos</w:t>
      </w:r>
      <w:r w:rsidRPr="00C761B1">
        <w:rPr>
          <w:rFonts w:asciiTheme="minorHAnsi" w:hAnsiTheme="minorHAnsi" w:cstheme="minorHAnsi"/>
          <w:sz w:val="22"/>
          <w:szCs w:val="22"/>
        </w:rPr>
        <w:t xml:space="preserve"> pagal šios direktyvos 3 straipsnio 2 dalies a punktą, siejamą su Chartijos 7 straipsniu ir 24 straipsnio 2 dalimi, </w:t>
      </w:r>
      <w:r w:rsidRPr="00C761B1">
        <w:rPr>
          <w:rFonts w:asciiTheme="minorHAnsi" w:hAnsiTheme="minorHAnsi" w:cstheme="minorHAnsi"/>
          <w:sz w:val="22"/>
          <w:szCs w:val="22"/>
          <w:u w:val="single"/>
        </w:rPr>
        <w:t>privalo palengvinti galimybę tokiam vaikui įvažiuoti ir gyventi šalyje kaip kitam Sąjungos piliečio šeimos nariui, atlikdamos proporcingą ir pagrįstą visų reikšmingų ir svarbių bylos aplinkybių vertinimą ir atsižvelgdamos į visus susijusius interesus, ypač į atitinkamo vaiko interesus</w:t>
      </w:r>
      <w:r w:rsidRPr="00C761B1">
        <w:rPr>
          <w:rFonts w:asciiTheme="minorHAnsi" w:hAnsiTheme="minorHAnsi" w:cstheme="minorHAnsi"/>
          <w:sz w:val="22"/>
          <w:szCs w:val="22"/>
        </w:rPr>
        <w:t>. Tuo atveju, kai, atlikus tokį vertinimą, nustatoma, kad vaikas ir jo globėjas Sąjungos pilietis iš tiesų gyvena kaip šeima ir kad šis vaikas priklauso nuo globėjo, vadovaujantis pagrindine teise į pagarbą šeimos gyvenimui, kartu su pareiga atsižvelgti į vaiko interesus, iš esmės reikalaujama šiam vaikui suteikti teisę atvykti ir apsigyventi šalyje, kad jis galėtų gyventi kartu su savo globėju šį priimančiojoje valstybėje narėje (73 punktas).</w:t>
      </w:r>
    </w:p>
    <w:p w14:paraId="0DA19A84" w14:textId="77777777" w:rsidR="00332700" w:rsidRPr="00986131" w:rsidRDefault="00332700" w:rsidP="00332700">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Šioje byloje iš prašymo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matyti, kad antrasis klausimas pateiktas tuo atveju, jei vaikas, kaip antai SM, pagal Alžyro </w:t>
      </w:r>
      <w:proofErr w:type="spellStart"/>
      <w:r w:rsidRPr="00986131">
        <w:rPr>
          <w:rFonts w:asciiTheme="minorHAnsi" w:hAnsiTheme="minorHAnsi" w:cstheme="minorHAnsi"/>
          <w:sz w:val="22"/>
          <w:szCs w:val="22"/>
        </w:rPr>
        <w:t>kafalos</w:t>
      </w:r>
      <w:proofErr w:type="spellEnd"/>
      <w:r w:rsidRPr="00986131">
        <w:rPr>
          <w:rFonts w:asciiTheme="minorHAnsi" w:hAnsiTheme="minorHAnsi" w:cstheme="minorHAnsi"/>
          <w:sz w:val="22"/>
          <w:szCs w:val="22"/>
        </w:rPr>
        <w:t xml:space="preserve"> sistemą būtų teisiškai globojamas Sąjungos piliečio ir patektų į šio piliečio „tiesioginio palikuonio“ sąvoką, kaip ji suprantama pagal Direktyvos 2004/38 2 straipsnio 2 punkto c papunktį, dėl ko jam iš esmės būtų suteikta automatinė teisė atvykti į šį pilietį priimančią valstybę narę ir joje apsigyventi pagal šios direktyvos 7 straipsnio 2 dalį. Iš atsakymo į pirmąjį klausimą išplaukia, kad toks vaikas negali patekti į šią sąvoką. Tokiomis aplinkybėmis Teisingumo Teismas vertino, kad nereikia atsakyti į prašymą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pateikusio teismo antrąjį klausimą. Be to, atsižvelgiant į pateiktą atsakymą į pirmąjį klausimą, Teisingumo Teismo vertinimu, nėra reikalo atsakyti į trečiąjį klausimą</w:t>
      </w:r>
      <w:r>
        <w:rPr>
          <w:rFonts w:asciiTheme="minorHAnsi" w:hAnsiTheme="minorHAnsi" w:cstheme="minorHAnsi"/>
          <w:sz w:val="22"/>
          <w:szCs w:val="22"/>
        </w:rPr>
        <w:t xml:space="preserve"> (74–</w:t>
      </w:r>
      <w:r w:rsidRPr="00986131">
        <w:rPr>
          <w:rFonts w:asciiTheme="minorHAnsi" w:hAnsiTheme="minorHAnsi" w:cstheme="minorHAnsi"/>
          <w:sz w:val="22"/>
          <w:szCs w:val="22"/>
        </w:rPr>
        <w:t xml:space="preserve">77 punktai). </w:t>
      </w:r>
    </w:p>
    <w:p w14:paraId="0BB17407" w14:textId="77777777" w:rsidR="00332700" w:rsidRPr="00986131" w:rsidRDefault="00332700" w:rsidP="00332700">
      <w:pPr>
        <w:pStyle w:val="c01pointnumerotealtn"/>
        <w:shd w:val="clear" w:color="auto" w:fill="FFFFFF"/>
        <w:spacing w:before="0" w:beforeAutospacing="0" w:after="0"/>
        <w:ind w:left="0" w:firstLine="567"/>
        <w:rPr>
          <w:rFonts w:asciiTheme="minorHAnsi" w:hAnsiTheme="minorHAnsi" w:cstheme="minorHAnsi"/>
          <w:sz w:val="22"/>
          <w:szCs w:val="22"/>
        </w:rPr>
      </w:pPr>
    </w:p>
    <w:p w14:paraId="31BCDB41" w14:textId="77777777" w:rsidR="00332700" w:rsidRPr="00986131" w:rsidRDefault="00332700" w:rsidP="00332700">
      <w:pPr>
        <w:ind w:firstLine="567"/>
        <w:rPr>
          <w:rFonts w:asciiTheme="minorHAnsi" w:hAnsiTheme="minorHAnsi" w:cstheme="minorHAnsi"/>
          <w:b/>
        </w:rPr>
      </w:pPr>
      <w:r w:rsidRPr="00986131">
        <w:rPr>
          <w:rFonts w:asciiTheme="minorHAnsi" w:hAnsiTheme="minorHAnsi" w:cstheme="minorHAnsi"/>
          <w:b/>
        </w:rPr>
        <w:t>Remdamasis šiais motyvais, Teisingumo Teismas (didžioji kolegija) nusprendė:</w:t>
      </w:r>
    </w:p>
    <w:p w14:paraId="3534149F" w14:textId="77777777" w:rsidR="00332700" w:rsidRPr="00986131" w:rsidRDefault="00332700" w:rsidP="00332700">
      <w:pPr>
        <w:ind w:firstLine="567"/>
        <w:rPr>
          <w:rFonts w:asciiTheme="minorHAnsi" w:hAnsiTheme="minorHAnsi" w:cstheme="minorHAnsi"/>
          <w:b/>
        </w:rPr>
      </w:pPr>
    </w:p>
    <w:p w14:paraId="2A07E098" w14:textId="77777777" w:rsidR="00332700" w:rsidRPr="00986131" w:rsidRDefault="00332700" w:rsidP="00332700">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u w:val="single"/>
        </w:rPr>
        <w:t>Sąjungos piliečio „tiesioginio palikuonio“ sąvoką</w:t>
      </w:r>
      <w:r w:rsidRPr="00986131">
        <w:rPr>
          <w:rFonts w:asciiTheme="minorHAnsi" w:hAnsiTheme="minorHAnsi" w:cstheme="minorHAnsi"/>
          <w:sz w:val="22"/>
          <w:szCs w:val="22"/>
        </w:rPr>
        <w:t xml:space="preserve"> 2004 m. balandžio 29 d. Europos Parlamento ir Tarybos direktyvos 2004/38/EB dėl Sąjungos piliečių ir jų šeimos narių teisės laisvai judėti ir gyventi valstybių narių teritorijoje, iš dalies keičiančios Reglamentą (EEB) Nr. 1612/68 ir panaikinančios direktyvas 64/221/EEB, 68/360/EEB, 72/194/EEB, 73/148/EEB, 75/34/EEB, 75/35/EEB, 90/364/EEB, 90/365/EEB ir 93/96/EEB, 2 straipsnio 2 punkto c papunktyje </w:t>
      </w:r>
      <w:r w:rsidRPr="00986131">
        <w:rPr>
          <w:rFonts w:asciiTheme="minorHAnsi" w:hAnsiTheme="minorHAnsi" w:cstheme="minorHAnsi"/>
          <w:sz w:val="22"/>
          <w:szCs w:val="22"/>
          <w:u w:val="single"/>
        </w:rPr>
        <w:t xml:space="preserve">reikia aiškinti taip, kad ji neapima pagal Alžyro </w:t>
      </w:r>
      <w:proofErr w:type="spellStart"/>
      <w:r w:rsidRPr="00986131">
        <w:rPr>
          <w:rFonts w:asciiTheme="minorHAnsi" w:hAnsiTheme="minorHAnsi" w:cstheme="minorHAnsi"/>
          <w:sz w:val="22"/>
          <w:szCs w:val="22"/>
          <w:u w:val="single"/>
        </w:rPr>
        <w:t>kafalos</w:t>
      </w:r>
      <w:proofErr w:type="spellEnd"/>
      <w:r w:rsidRPr="00986131">
        <w:rPr>
          <w:rFonts w:asciiTheme="minorHAnsi" w:hAnsiTheme="minorHAnsi" w:cstheme="minorHAnsi"/>
          <w:sz w:val="22"/>
          <w:szCs w:val="22"/>
          <w:u w:val="single"/>
        </w:rPr>
        <w:t xml:space="preserve"> sistemą Sąjungos piliečio nuolat teisiškai globojamo vaiko, nes ši globa nesukuria tarp jų giminystės ryšių</w:t>
      </w:r>
      <w:r w:rsidRPr="00986131">
        <w:rPr>
          <w:rFonts w:asciiTheme="minorHAnsi" w:hAnsiTheme="minorHAnsi" w:cstheme="minorHAnsi"/>
          <w:sz w:val="22"/>
          <w:szCs w:val="22"/>
        </w:rPr>
        <w:t>.</w:t>
      </w:r>
    </w:p>
    <w:p w14:paraId="0B3FEFFA" w14:textId="77777777" w:rsidR="00332700" w:rsidRPr="00986131" w:rsidRDefault="00332700" w:rsidP="00332700">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u w:val="single"/>
        </w:rPr>
        <w:lastRenderedPageBreak/>
        <w:t>Vis dėlto kompetentingos nacionalinės institucijos</w:t>
      </w:r>
      <w:r w:rsidRPr="00986131">
        <w:rPr>
          <w:rFonts w:asciiTheme="minorHAnsi" w:hAnsiTheme="minorHAnsi" w:cstheme="minorHAnsi"/>
          <w:sz w:val="22"/>
          <w:szCs w:val="22"/>
        </w:rPr>
        <w:t xml:space="preserve">, pagal šios direktyvos 3 straipsnio 2 dalies a punktą, siejamą su Chartijos 7 straipsniu ir 24 straipsnio 2 dalimi, </w:t>
      </w:r>
      <w:r w:rsidRPr="00986131">
        <w:rPr>
          <w:rFonts w:asciiTheme="minorHAnsi" w:hAnsiTheme="minorHAnsi" w:cstheme="minorHAnsi"/>
          <w:sz w:val="22"/>
          <w:szCs w:val="22"/>
          <w:u w:val="single"/>
        </w:rPr>
        <w:t>privalo palengvinti galimybę tokiam vaikui įvažiuoti ir gyventi šalyje kaip kitam Sąjungos piliečio šeimos nariui, atlikdamos proporcingą ir pagrįstą visų reikšmingų ir svarbių bylos aplinkybių vertinimą ir atsižvelgdamos į visus susijusius interesus, ypač į atitinkamo vaiko interesus</w:t>
      </w:r>
      <w:r w:rsidRPr="00986131">
        <w:rPr>
          <w:rFonts w:asciiTheme="minorHAnsi" w:hAnsiTheme="minorHAnsi" w:cstheme="minorHAnsi"/>
          <w:sz w:val="22"/>
          <w:szCs w:val="22"/>
        </w:rPr>
        <w:t>. Tuo atveju, kai, atlikus tokį vertinimą, nustatoma, kad vaikas ir jo globėjas Sąjungos pilietis iš tiesų gyvena kaip šeima ir kad šis vaikas priklauso nuo globėjo, vadovaujantis pagrindine teise į pagarbą šeimos gyvenimui, kartu su pareiga atsižvelgti į vaiko interesus, iš esmės reikalaujama šiam vaikui suteikti teisę atvykti ir apsigyventi šalyje, kad jis galėtų gyventi kartu su savo globėju šį priimančiojoje valstybėje narėje.</w:t>
      </w:r>
    </w:p>
    <w:p w14:paraId="2EE60B9C" w14:textId="77777777" w:rsidR="00332700" w:rsidRPr="00986131" w:rsidRDefault="006A47DB" w:rsidP="00332700">
      <w:pPr>
        <w:pStyle w:val="c01pointnumerotealtn"/>
        <w:shd w:val="clear" w:color="auto" w:fill="FFFFFF"/>
        <w:spacing w:before="0" w:beforeAutospacing="0" w:after="0"/>
        <w:ind w:firstLine="0"/>
        <w:rPr>
          <w:rFonts w:asciiTheme="minorHAnsi" w:hAnsiTheme="minorHAnsi" w:cstheme="minorHAnsi"/>
          <w:sz w:val="22"/>
          <w:szCs w:val="22"/>
        </w:rPr>
      </w:pPr>
      <w:hyperlink r:id="rId12" w:history="1">
        <w:r w:rsidR="00332700" w:rsidRPr="00986131">
          <w:rPr>
            <w:rStyle w:val="Hipersaitas"/>
            <w:rFonts w:asciiTheme="minorHAnsi" w:hAnsiTheme="minorHAnsi" w:cstheme="minorHAnsi"/>
            <w:sz w:val="22"/>
            <w:szCs w:val="22"/>
          </w:rPr>
          <w:t>Prieiga internete</w:t>
        </w:r>
      </w:hyperlink>
      <w:r w:rsidR="00332700" w:rsidRPr="00986131">
        <w:rPr>
          <w:rFonts w:asciiTheme="minorHAnsi" w:hAnsiTheme="minorHAnsi" w:cstheme="minorHAnsi"/>
          <w:sz w:val="22"/>
          <w:szCs w:val="22"/>
        </w:rPr>
        <w:t xml:space="preserve"> </w:t>
      </w:r>
    </w:p>
    <w:p w14:paraId="4A582594" w14:textId="77777777" w:rsidR="00332700" w:rsidRPr="00986131" w:rsidRDefault="00332700" w:rsidP="00332700">
      <w:pPr>
        <w:pStyle w:val="c01pointnumerotealtn"/>
        <w:shd w:val="clear" w:color="auto" w:fill="FFFFFF"/>
        <w:spacing w:before="0" w:beforeAutospacing="0" w:after="0"/>
        <w:ind w:firstLine="0"/>
        <w:rPr>
          <w:rFonts w:asciiTheme="minorHAnsi" w:hAnsiTheme="minorHAnsi" w:cstheme="minorHAnsi"/>
          <w:sz w:val="22"/>
          <w:szCs w:val="22"/>
        </w:rPr>
      </w:pPr>
    </w:p>
    <w:p w14:paraId="2227513D" w14:textId="10C34E33" w:rsidR="002F456B" w:rsidRPr="00986131" w:rsidRDefault="002F456B" w:rsidP="00C527C1">
      <w:pPr>
        <w:pStyle w:val="Antrat1"/>
        <w:spacing w:before="0"/>
        <w:rPr>
          <w:rFonts w:eastAsia="Times New Roman" w:cstheme="minorHAnsi"/>
          <w:bCs/>
          <w:kern w:val="32"/>
          <w:szCs w:val="22"/>
          <w:lang w:eastAsia="lt-LT"/>
        </w:rPr>
      </w:pPr>
      <w:bookmarkStart w:id="30" w:name="_Toc11232456"/>
      <w:bookmarkStart w:id="31" w:name="_Toc11232747"/>
      <w:bookmarkStart w:id="32" w:name="_Toc11757983"/>
      <w:r w:rsidRPr="00986131">
        <w:rPr>
          <w:rFonts w:eastAsia="Times New Roman" w:cstheme="minorHAnsi"/>
          <w:bCs/>
          <w:kern w:val="32"/>
          <w:szCs w:val="22"/>
          <w:lang w:eastAsia="lt-LT"/>
        </w:rPr>
        <w:t>SOCIALINĖ POLITIKA</w:t>
      </w:r>
      <w:bookmarkEnd w:id="4"/>
      <w:bookmarkEnd w:id="30"/>
      <w:bookmarkEnd w:id="31"/>
      <w:bookmarkEnd w:id="32"/>
    </w:p>
    <w:p w14:paraId="59645A24" w14:textId="77777777" w:rsidR="00F70A40" w:rsidRPr="00986131" w:rsidRDefault="00F70A40" w:rsidP="00AD0B10">
      <w:pPr>
        <w:rPr>
          <w:rFonts w:asciiTheme="minorHAnsi" w:hAnsiTheme="minorHAnsi" w:cstheme="minorHAnsi"/>
          <w:lang w:eastAsia="lt-LT"/>
        </w:rPr>
      </w:pPr>
    </w:p>
    <w:p w14:paraId="79E2EDC4" w14:textId="3367A731" w:rsidR="00544500" w:rsidRPr="00986131" w:rsidRDefault="00544500" w:rsidP="00AD0B10">
      <w:pPr>
        <w:pStyle w:val="Antrat2"/>
        <w:rPr>
          <w:rFonts w:cstheme="minorHAnsi"/>
          <w:szCs w:val="22"/>
        </w:rPr>
      </w:pPr>
      <w:bookmarkStart w:id="33" w:name="_Toc497144233"/>
      <w:bookmarkStart w:id="34" w:name="_Toc11232457"/>
      <w:bookmarkStart w:id="35" w:name="_Toc11232748"/>
      <w:bookmarkStart w:id="36" w:name="_Toc11757984"/>
      <w:r w:rsidRPr="00986131">
        <w:rPr>
          <w:rFonts w:cstheme="minorHAnsi"/>
          <w:szCs w:val="22"/>
        </w:rPr>
        <w:t>201</w:t>
      </w:r>
      <w:r w:rsidR="004D471B" w:rsidRPr="00986131">
        <w:rPr>
          <w:rFonts w:cstheme="minorHAnsi"/>
          <w:szCs w:val="22"/>
        </w:rPr>
        <w:t>9</w:t>
      </w:r>
      <w:r w:rsidR="002F456B" w:rsidRPr="00986131">
        <w:rPr>
          <w:rFonts w:cstheme="minorHAnsi"/>
          <w:szCs w:val="22"/>
        </w:rPr>
        <w:t xml:space="preserve"> m. </w:t>
      </w:r>
      <w:r w:rsidR="00150238" w:rsidRPr="00986131">
        <w:rPr>
          <w:rFonts w:cstheme="minorHAnsi"/>
          <w:szCs w:val="22"/>
        </w:rPr>
        <w:t>sausio 22</w:t>
      </w:r>
      <w:r w:rsidR="002F456B" w:rsidRPr="00986131">
        <w:rPr>
          <w:rFonts w:cstheme="minorHAnsi"/>
          <w:szCs w:val="22"/>
        </w:rPr>
        <w:t xml:space="preserve"> d.</w:t>
      </w:r>
      <w:r w:rsidR="004E150E" w:rsidRPr="00986131">
        <w:rPr>
          <w:rFonts w:cstheme="minorHAnsi"/>
          <w:szCs w:val="22"/>
        </w:rPr>
        <w:t xml:space="preserve"> didžiosios kolegijos</w:t>
      </w:r>
      <w:r w:rsidR="002F456B" w:rsidRPr="00986131">
        <w:rPr>
          <w:rFonts w:cstheme="minorHAnsi"/>
          <w:szCs w:val="22"/>
        </w:rPr>
        <w:t xml:space="preserve"> </w:t>
      </w:r>
      <w:proofErr w:type="spellStart"/>
      <w:r w:rsidR="002F456B" w:rsidRPr="00986131">
        <w:rPr>
          <w:rFonts w:cstheme="minorHAnsi"/>
          <w:szCs w:val="22"/>
        </w:rPr>
        <w:t>prejudicinis</w:t>
      </w:r>
      <w:proofErr w:type="spellEnd"/>
      <w:r w:rsidR="002F456B" w:rsidRPr="00986131">
        <w:rPr>
          <w:rFonts w:cstheme="minorHAnsi"/>
          <w:szCs w:val="22"/>
        </w:rPr>
        <w:t xml:space="preserve"> sprendimas byloje </w:t>
      </w:r>
      <w:bookmarkEnd w:id="33"/>
      <w:r w:rsidR="004E150E" w:rsidRPr="00986131">
        <w:rPr>
          <w:rFonts w:cstheme="minorHAnsi"/>
          <w:szCs w:val="22"/>
        </w:rPr>
        <w:t>C</w:t>
      </w:r>
      <w:r w:rsidR="004E150E" w:rsidRPr="00986131">
        <w:rPr>
          <w:rFonts w:cstheme="minorHAnsi"/>
          <w:szCs w:val="22"/>
        </w:rPr>
        <w:noBreakHyphen/>
      </w:r>
      <w:r w:rsidR="00150238" w:rsidRPr="00986131">
        <w:rPr>
          <w:rFonts w:cstheme="minorHAnsi"/>
          <w:szCs w:val="22"/>
        </w:rPr>
        <w:t>193</w:t>
      </w:r>
      <w:r w:rsidR="002D14AC" w:rsidRPr="00986131">
        <w:rPr>
          <w:rFonts w:cstheme="minorHAnsi"/>
          <w:szCs w:val="22"/>
        </w:rPr>
        <w:t>/17</w:t>
      </w:r>
      <w:bookmarkEnd w:id="34"/>
      <w:bookmarkEnd w:id="35"/>
      <w:bookmarkEnd w:id="36"/>
    </w:p>
    <w:p w14:paraId="11C87E7A" w14:textId="20B1AFE9" w:rsidR="002F456B" w:rsidRPr="00986131" w:rsidRDefault="00150238" w:rsidP="00150238">
      <w:pPr>
        <w:jc w:val="center"/>
        <w:rPr>
          <w:rFonts w:asciiTheme="minorHAnsi" w:hAnsiTheme="minorHAnsi" w:cstheme="minorHAnsi"/>
          <w:b/>
          <w:bCs/>
          <w:i/>
        </w:rPr>
      </w:pPr>
      <w:proofErr w:type="spellStart"/>
      <w:r w:rsidRPr="00986131">
        <w:rPr>
          <w:rFonts w:asciiTheme="minorHAnsi" w:hAnsiTheme="minorHAnsi" w:cstheme="minorHAnsi"/>
          <w:b/>
          <w:bCs/>
          <w:i/>
        </w:rPr>
        <w:t>Cresco</w:t>
      </w:r>
      <w:proofErr w:type="spellEnd"/>
      <w:r w:rsidRPr="00986131">
        <w:rPr>
          <w:rFonts w:asciiTheme="minorHAnsi" w:hAnsiTheme="minorHAnsi" w:cstheme="minorHAnsi"/>
          <w:b/>
          <w:bCs/>
          <w:i/>
        </w:rPr>
        <w:t xml:space="preserve"> </w:t>
      </w:r>
      <w:proofErr w:type="spellStart"/>
      <w:r w:rsidRPr="00986131">
        <w:rPr>
          <w:rFonts w:asciiTheme="minorHAnsi" w:hAnsiTheme="minorHAnsi" w:cstheme="minorHAnsi"/>
          <w:b/>
          <w:bCs/>
          <w:i/>
        </w:rPr>
        <w:t>Investigation</w:t>
      </w:r>
      <w:proofErr w:type="spellEnd"/>
      <w:r w:rsidRPr="00986131">
        <w:rPr>
          <w:rFonts w:asciiTheme="minorHAnsi" w:hAnsiTheme="minorHAnsi" w:cstheme="minorHAnsi"/>
          <w:b/>
          <w:bCs/>
          <w:i/>
        </w:rPr>
        <w:t xml:space="preserve"> </w:t>
      </w:r>
      <w:proofErr w:type="spellStart"/>
      <w:r w:rsidRPr="00986131">
        <w:rPr>
          <w:rFonts w:asciiTheme="minorHAnsi" w:hAnsiTheme="minorHAnsi" w:cstheme="minorHAnsi"/>
          <w:b/>
          <w:bCs/>
          <w:i/>
        </w:rPr>
        <w:t>GmbH</w:t>
      </w:r>
      <w:proofErr w:type="spellEnd"/>
      <w:r w:rsidRPr="00986131">
        <w:rPr>
          <w:rFonts w:asciiTheme="minorHAnsi" w:hAnsiTheme="minorHAnsi" w:cstheme="minorHAnsi"/>
          <w:b/>
          <w:bCs/>
          <w:i/>
        </w:rPr>
        <w:t xml:space="preserve"> </w:t>
      </w:r>
      <w:r w:rsidR="002F456B" w:rsidRPr="00986131">
        <w:rPr>
          <w:rFonts w:asciiTheme="minorHAnsi" w:hAnsiTheme="minorHAnsi" w:cstheme="minorHAnsi"/>
          <w:b/>
          <w:i/>
        </w:rPr>
        <w:t xml:space="preserve">prieš </w:t>
      </w:r>
      <w:r w:rsidRPr="00986131">
        <w:rPr>
          <w:rFonts w:asciiTheme="minorHAnsi" w:hAnsiTheme="minorHAnsi" w:cstheme="minorHAnsi"/>
          <w:b/>
          <w:bCs/>
          <w:i/>
        </w:rPr>
        <w:t xml:space="preserve">Markus </w:t>
      </w:r>
      <w:proofErr w:type="spellStart"/>
      <w:r w:rsidRPr="00986131">
        <w:rPr>
          <w:rFonts w:asciiTheme="minorHAnsi" w:hAnsiTheme="minorHAnsi" w:cstheme="minorHAnsi"/>
          <w:b/>
          <w:bCs/>
          <w:i/>
        </w:rPr>
        <w:t>Achatzi</w:t>
      </w:r>
      <w:proofErr w:type="spellEnd"/>
    </w:p>
    <w:p w14:paraId="53A8D4FA" w14:textId="77777777" w:rsidR="002F456B" w:rsidRPr="00986131" w:rsidRDefault="002F456B" w:rsidP="00AD0B10">
      <w:pPr>
        <w:ind w:firstLine="540"/>
        <w:rPr>
          <w:rFonts w:asciiTheme="minorHAnsi" w:hAnsiTheme="minorHAnsi" w:cstheme="minorHAnsi"/>
        </w:rPr>
      </w:pPr>
    </w:p>
    <w:p w14:paraId="7606360D" w14:textId="31CDFFCE" w:rsidR="002D14AC" w:rsidRPr="00986131" w:rsidRDefault="007B54D1" w:rsidP="00125C26">
      <w:pPr>
        <w:ind w:firstLine="567"/>
        <w:rPr>
          <w:rFonts w:asciiTheme="minorHAnsi" w:hAnsiTheme="minorHAnsi" w:cstheme="minorHAnsi"/>
        </w:rPr>
      </w:pPr>
      <w:r w:rsidRPr="00986131">
        <w:rPr>
          <w:rFonts w:asciiTheme="minorHAnsi" w:hAnsiTheme="minorHAnsi" w:cstheme="minorHAnsi"/>
        </w:rPr>
        <w:t xml:space="preserve">Prašymas priimti </w:t>
      </w:r>
      <w:proofErr w:type="spellStart"/>
      <w:r w:rsidRPr="00986131">
        <w:rPr>
          <w:rFonts w:asciiTheme="minorHAnsi" w:hAnsiTheme="minorHAnsi" w:cstheme="minorHAnsi"/>
        </w:rPr>
        <w:t>prejudicinį</w:t>
      </w:r>
      <w:proofErr w:type="spellEnd"/>
      <w:r w:rsidRPr="00986131">
        <w:rPr>
          <w:rFonts w:asciiTheme="minorHAnsi" w:hAnsiTheme="minorHAnsi" w:cstheme="minorHAnsi"/>
        </w:rPr>
        <w:t xml:space="preserve"> sprendimą pateiktas dėl Europos Sąjungos pagrindinių teisių chartijos (toliau – Chartija) 21 straipsnio ir 2000 m. lapkričio 27 d. Tarybos direktyvos 2000/78/EB, nustatančios vienodo požiūrio užimtumo ir profesinėje srityje bendruosius pagrindus (OL L 303, 2000, p. 16; 2004 m. specialusis leidimas lietuvių k., 5 sk., 4 t., p. 79), (toliau – Direktyva 2000/78) 1 straipsnio, 2 straipsnio 2 dalies a punkto, 2 straipsnio 5 dalies ir 7 straipsnio 1 dalies išaiškinimo. Šis prašymas buvo pateiktas nagrinėjant </w:t>
      </w:r>
      <w:proofErr w:type="spellStart"/>
      <w:r w:rsidRPr="00986131">
        <w:rPr>
          <w:rFonts w:asciiTheme="minorHAnsi" w:hAnsiTheme="minorHAnsi" w:cstheme="minorHAnsi"/>
          <w:i/>
          <w:iCs/>
        </w:rPr>
        <w:t>Cresco</w:t>
      </w:r>
      <w:proofErr w:type="spellEnd"/>
      <w:r w:rsidRPr="00986131">
        <w:rPr>
          <w:rFonts w:asciiTheme="minorHAnsi" w:hAnsiTheme="minorHAnsi" w:cstheme="minorHAnsi"/>
          <w:i/>
          <w:iCs/>
        </w:rPr>
        <w:t xml:space="preserve"> </w:t>
      </w:r>
      <w:proofErr w:type="spellStart"/>
      <w:r w:rsidRPr="00986131">
        <w:rPr>
          <w:rFonts w:asciiTheme="minorHAnsi" w:hAnsiTheme="minorHAnsi" w:cstheme="minorHAnsi"/>
          <w:i/>
          <w:iCs/>
        </w:rPr>
        <w:t>Investigation</w:t>
      </w:r>
      <w:proofErr w:type="spellEnd"/>
      <w:r w:rsidRPr="00986131">
        <w:rPr>
          <w:rFonts w:asciiTheme="minorHAnsi" w:hAnsiTheme="minorHAnsi" w:cstheme="minorHAnsi"/>
          <w:i/>
          <w:iCs/>
        </w:rPr>
        <w:t xml:space="preserve"> </w:t>
      </w:r>
      <w:proofErr w:type="spellStart"/>
      <w:r w:rsidRPr="00986131">
        <w:rPr>
          <w:rFonts w:asciiTheme="minorHAnsi" w:hAnsiTheme="minorHAnsi" w:cstheme="minorHAnsi"/>
          <w:i/>
          <w:iCs/>
        </w:rPr>
        <w:t>GmbH</w:t>
      </w:r>
      <w:proofErr w:type="spellEnd"/>
      <w:r w:rsidRPr="00986131">
        <w:rPr>
          <w:rFonts w:asciiTheme="minorHAnsi" w:hAnsiTheme="minorHAnsi" w:cstheme="minorHAnsi"/>
        </w:rPr>
        <w:t> (toliau – </w:t>
      </w:r>
      <w:proofErr w:type="spellStart"/>
      <w:r w:rsidRPr="00986131">
        <w:rPr>
          <w:rFonts w:asciiTheme="minorHAnsi" w:hAnsiTheme="minorHAnsi" w:cstheme="minorHAnsi"/>
          <w:i/>
          <w:iCs/>
        </w:rPr>
        <w:t>Cresco</w:t>
      </w:r>
      <w:proofErr w:type="spellEnd"/>
      <w:r w:rsidRPr="00986131">
        <w:rPr>
          <w:rFonts w:asciiTheme="minorHAnsi" w:hAnsiTheme="minorHAnsi" w:cstheme="minorHAnsi"/>
        </w:rPr>
        <w:t xml:space="preserve">) ir Markus </w:t>
      </w:r>
      <w:proofErr w:type="spellStart"/>
      <w:r w:rsidRPr="00986131">
        <w:rPr>
          <w:rFonts w:asciiTheme="minorHAnsi" w:hAnsiTheme="minorHAnsi" w:cstheme="minorHAnsi"/>
        </w:rPr>
        <w:t>Achatzi</w:t>
      </w:r>
      <w:proofErr w:type="spellEnd"/>
      <w:r w:rsidRPr="00986131">
        <w:rPr>
          <w:rFonts w:asciiTheme="minorHAnsi" w:hAnsiTheme="minorHAnsi" w:cstheme="minorHAnsi"/>
        </w:rPr>
        <w:t xml:space="preserve"> ginčą dėl jo teisės gauti papildomą kompensaciją prie darbo užmokesčio už darbą Didįjį penktadienį (1–2 punktai).</w:t>
      </w:r>
    </w:p>
    <w:p w14:paraId="46DB4FC3" w14:textId="11EA270D" w:rsidR="00781985" w:rsidRPr="00986131" w:rsidRDefault="00781985" w:rsidP="00125C26">
      <w:pPr>
        <w:ind w:firstLine="567"/>
        <w:rPr>
          <w:rFonts w:asciiTheme="minorHAnsi" w:hAnsiTheme="minorHAnsi" w:cstheme="minorHAnsi"/>
        </w:rPr>
      </w:pPr>
      <w:r w:rsidRPr="00986131">
        <w:rPr>
          <w:rFonts w:asciiTheme="minorHAnsi" w:hAnsiTheme="minorHAnsi" w:cstheme="minorHAnsi"/>
        </w:rPr>
        <w:t xml:space="preserve">Byloje susiklostė ši faktinė situacija: pagal </w:t>
      </w:r>
      <w:proofErr w:type="spellStart"/>
      <w:r w:rsidRPr="00986131">
        <w:rPr>
          <w:rFonts w:asciiTheme="minorHAnsi" w:hAnsiTheme="minorHAnsi" w:cstheme="minorHAnsi"/>
          <w:i/>
          <w:iCs/>
        </w:rPr>
        <w:t>Arbeitsruhegesetz</w:t>
      </w:r>
      <w:proofErr w:type="spellEnd"/>
      <w:r w:rsidRPr="00986131">
        <w:rPr>
          <w:rFonts w:asciiTheme="minorHAnsi" w:hAnsiTheme="minorHAnsi" w:cstheme="minorHAnsi"/>
        </w:rPr>
        <w:t xml:space="preserve"> (Poilsio ir švenčių dienų įstatymas) (toliau – ARG) 7 straipsnio 3 dalį Didysis penktadienis yra apmokama švenčių diena, kurią suteikiamas 24 valandų poilsis Evangelikų liuteronų, Evangelikų reformatų, </w:t>
      </w:r>
      <w:proofErr w:type="spellStart"/>
      <w:r w:rsidRPr="00986131">
        <w:rPr>
          <w:rFonts w:asciiTheme="minorHAnsi" w:hAnsiTheme="minorHAnsi" w:cstheme="minorHAnsi"/>
        </w:rPr>
        <w:t>Senkatalikių</w:t>
      </w:r>
      <w:proofErr w:type="spellEnd"/>
      <w:r w:rsidRPr="00986131">
        <w:rPr>
          <w:rFonts w:asciiTheme="minorHAnsi" w:hAnsiTheme="minorHAnsi" w:cstheme="minorHAnsi"/>
        </w:rPr>
        <w:t xml:space="preserve"> ir Metodistų bažnyčių (toliau – ARG nurodytos bažnyčios) nariams. Jei vienos iš šių bažnyčių narys vis dėlto dirbo tą dieną, jis turi teisę į papildomą darbo užmokestį už šią švenčių dieną (toliau – švenčių dienos kompensacija) (12 punktas). M. </w:t>
      </w:r>
      <w:proofErr w:type="spellStart"/>
      <w:r w:rsidRPr="00986131">
        <w:rPr>
          <w:rFonts w:asciiTheme="minorHAnsi" w:hAnsiTheme="minorHAnsi" w:cstheme="minorHAnsi"/>
        </w:rPr>
        <w:t>Achatzi</w:t>
      </w:r>
      <w:proofErr w:type="spellEnd"/>
      <w:r w:rsidRPr="00986131">
        <w:rPr>
          <w:rFonts w:asciiTheme="minorHAnsi" w:hAnsiTheme="minorHAnsi" w:cstheme="minorHAnsi"/>
        </w:rPr>
        <w:t xml:space="preserve"> pagal darbo sutartį dirba privačių detektyvų agentūroje </w:t>
      </w:r>
      <w:proofErr w:type="spellStart"/>
      <w:r w:rsidRPr="00986131">
        <w:rPr>
          <w:rFonts w:asciiTheme="minorHAnsi" w:hAnsiTheme="minorHAnsi" w:cstheme="minorHAnsi"/>
          <w:i/>
          <w:iCs/>
        </w:rPr>
        <w:t>Cresco</w:t>
      </w:r>
      <w:proofErr w:type="spellEnd"/>
      <w:r w:rsidRPr="00986131">
        <w:rPr>
          <w:rFonts w:asciiTheme="minorHAnsi" w:hAnsiTheme="minorHAnsi" w:cstheme="minorHAnsi"/>
        </w:rPr>
        <w:t> ir nėra jokios ARG nurodytos bažnyčios narys. Jis man</w:t>
      </w:r>
      <w:r w:rsidR="00A04C9E" w:rsidRPr="00986131">
        <w:rPr>
          <w:rFonts w:asciiTheme="minorHAnsi" w:hAnsiTheme="minorHAnsi" w:cstheme="minorHAnsi"/>
        </w:rPr>
        <w:t>ė</w:t>
      </w:r>
      <w:r w:rsidRPr="00986131">
        <w:rPr>
          <w:rFonts w:asciiTheme="minorHAnsi" w:hAnsiTheme="minorHAnsi" w:cstheme="minorHAnsi"/>
        </w:rPr>
        <w:t>, kad buvo diskriminuojamas, nes jam nesuteikta švenčių dienos kompensacija už darbą, kurį jis atliko 2015 m. balandžio 3 d. – Didįjį penktadienį, ir dėl to praš</w:t>
      </w:r>
      <w:r w:rsidR="00A04C9E" w:rsidRPr="00986131">
        <w:rPr>
          <w:rFonts w:asciiTheme="minorHAnsi" w:hAnsiTheme="minorHAnsi" w:cstheme="minorHAnsi"/>
        </w:rPr>
        <w:t>ė</w:t>
      </w:r>
      <w:r w:rsidRPr="00986131">
        <w:rPr>
          <w:rFonts w:asciiTheme="minorHAnsi" w:hAnsiTheme="minorHAnsi" w:cstheme="minorHAnsi"/>
        </w:rPr>
        <w:t xml:space="preserve"> darbdavio jam sumokėti 109,09 EUR ir palūkanas (13 punktas). </w:t>
      </w:r>
      <w:r w:rsidR="009A5E79" w:rsidRPr="00986131">
        <w:rPr>
          <w:rFonts w:asciiTheme="minorHAnsi" w:hAnsiTheme="minorHAnsi" w:cstheme="minorHAnsi"/>
        </w:rPr>
        <w:t xml:space="preserve">Ginčui pasiekus Austrijos Aukščiausiąjį Teismą, pastarasis sustabdė bylą ir dėl galimo nevienodo požiūrio taikymo kreipėsi į Teisingumo Teismą su </w:t>
      </w:r>
      <w:proofErr w:type="spellStart"/>
      <w:r w:rsidR="009A5E79" w:rsidRPr="00986131">
        <w:rPr>
          <w:rFonts w:asciiTheme="minorHAnsi" w:hAnsiTheme="minorHAnsi" w:cstheme="minorHAnsi"/>
        </w:rPr>
        <w:t>prejudiciniais</w:t>
      </w:r>
      <w:proofErr w:type="spellEnd"/>
      <w:r w:rsidR="009A5E79" w:rsidRPr="00986131">
        <w:rPr>
          <w:rFonts w:asciiTheme="minorHAnsi" w:hAnsiTheme="minorHAnsi" w:cstheme="minorHAnsi"/>
        </w:rPr>
        <w:t xml:space="preserve"> klausimais</w:t>
      </w:r>
      <w:r w:rsidR="00591B13" w:rsidRPr="00986131">
        <w:rPr>
          <w:rFonts w:asciiTheme="minorHAnsi" w:hAnsiTheme="minorHAnsi" w:cstheme="minorHAnsi"/>
        </w:rPr>
        <w:t xml:space="preserve"> (28 punktas)</w:t>
      </w:r>
      <w:r w:rsidR="009A5E79" w:rsidRPr="00986131">
        <w:rPr>
          <w:rFonts w:asciiTheme="minorHAnsi" w:hAnsiTheme="minorHAnsi" w:cstheme="minorHAnsi"/>
        </w:rPr>
        <w:t>.</w:t>
      </w:r>
    </w:p>
    <w:p w14:paraId="45880BD5" w14:textId="77777777" w:rsidR="007B54D1" w:rsidRPr="00986131" w:rsidRDefault="007B54D1" w:rsidP="00125C26">
      <w:pPr>
        <w:ind w:firstLine="567"/>
        <w:rPr>
          <w:rFonts w:asciiTheme="minorHAnsi" w:hAnsiTheme="minorHAnsi" w:cstheme="minorHAnsi"/>
        </w:rPr>
      </w:pPr>
    </w:p>
    <w:p w14:paraId="6754987E" w14:textId="65AFD5A8" w:rsidR="002F456B" w:rsidRPr="00986131" w:rsidRDefault="002F456B" w:rsidP="00AD0B10">
      <w:pPr>
        <w:pStyle w:val="Antrat3"/>
        <w:ind w:firstLine="567"/>
        <w:rPr>
          <w:rFonts w:cstheme="minorHAnsi"/>
        </w:rPr>
      </w:pPr>
      <w:bookmarkStart w:id="37" w:name="_Toc11232458"/>
      <w:bookmarkStart w:id="38" w:name="_Toc11232749"/>
      <w:bookmarkStart w:id="39" w:name="_Toc11757985"/>
      <w:r w:rsidRPr="00986131">
        <w:rPr>
          <w:rFonts w:cstheme="minorHAnsi"/>
        </w:rPr>
        <w:t xml:space="preserve">Dėl </w:t>
      </w:r>
      <w:r w:rsidR="006A3D0C" w:rsidRPr="00986131">
        <w:rPr>
          <w:rFonts w:cstheme="minorHAnsi"/>
        </w:rPr>
        <w:t>nacionalinės teisės nuostatų, pagal kurias, pirma, Didysis penktadienis yra švenčių diena tik tiems darbuotojas, kurie yra tam tikrų krikščionių bažnyčių nariai, ir, antra, tik šie darbuotojai turi teisę į švenčių dienos kompensaciją, jei privalo dirbti šią švenčių dieną</w:t>
      </w:r>
      <w:bookmarkEnd w:id="37"/>
      <w:bookmarkEnd w:id="38"/>
      <w:bookmarkEnd w:id="39"/>
    </w:p>
    <w:p w14:paraId="336AF8B5" w14:textId="77777777" w:rsidR="002F456B" w:rsidRPr="00986131" w:rsidRDefault="002F456B" w:rsidP="00AD0B10">
      <w:pPr>
        <w:ind w:firstLine="567"/>
        <w:rPr>
          <w:rFonts w:asciiTheme="minorHAnsi" w:hAnsiTheme="minorHAnsi" w:cstheme="minorHAnsi"/>
          <w:b/>
        </w:rPr>
      </w:pPr>
    </w:p>
    <w:p w14:paraId="487FDCB5" w14:textId="7DD7DB3D" w:rsidR="00125C26" w:rsidRPr="00986131" w:rsidRDefault="00591B13" w:rsidP="00125C26">
      <w:pPr>
        <w:ind w:firstLine="567"/>
        <w:rPr>
          <w:rFonts w:asciiTheme="minorHAnsi" w:hAnsiTheme="minorHAnsi" w:cstheme="minorHAnsi"/>
        </w:rPr>
      </w:pPr>
      <w:r w:rsidRPr="00986131">
        <w:rPr>
          <w:rFonts w:asciiTheme="minorHAnsi" w:hAnsiTheme="minorHAnsi" w:cstheme="minorHAnsi"/>
        </w:rPr>
        <w:t xml:space="preserve">Pirmaisiais trimis klausimais, kuriuos reikia nagrinėti kartu, prašymą priimti </w:t>
      </w:r>
      <w:proofErr w:type="spellStart"/>
      <w:r w:rsidRPr="00986131">
        <w:rPr>
          <w:rFonts w:asciiTheme="minorHAnsi" w:hAnsiTheme="minorHAnsi" w:cstheme="minorHAnsi"/>
        </w:rPr>
        <w:t>prejudicinį</w:t>
      </w:r>
      <w:proofErr w:type="spellEnd"/>
      <w:r w:rsidRPr="00986131">
        <w:rPr>
          <w:rFonts w:asciiTheme="minorHAnsi" w:hAnsiTheme="minorHAnsi" w:cstheme="minorHAnsi"/>
        </w:rPr>
        <w:t xml:space="preserve"> sprendimą pateikęs teismas iš esmės siek</w:t>
      </w:r>
      <w:r w:rsidR="00A04C9E" w:rsidRPr="00986131">
        <w:rPr>
          <w:rFonts w:asciiTheme="minorHAnsi" w:hAnsiTheme="minorHAnsi" w:cstheme="minorHAnsi"/>
        </w:rPr>
        <w:t>ė</w:t>
      </w:r>
      <w:r w:rsidRPr="00986131">
        <w:rPr>
          <w:rFonts w:asciiTheme="minorHAnsi" w:hAnsiTheme="minorHAnsi" w:cstheme="minorHAnsi"/>
        </w:rPr>
        <w:t xml:space="preserve"> sužinoti, ar Direktyvos 2000/78 1 straipsnį ir 2 straipsnio 2 dalį reikia aiškinti taip, kad nacionalinės teisės nuostatos, pagal kurias, pirma, Didysis penktadienis yra švenčių diena tik tiems darbuotojas, kurie yra tam tikrų krikščionių bažnyčių nariai, ir, antra, tik šie darbuotojai turi teisę į švenčių dienos kompensaciją, jei privalo dirbti šią švenčių dieną, įtvirtina tiesioginę diskriminaciją dėl religijos. Jeigu atsakymas būtų teigiamas, jis taip pat klausia, ar šiuose nacionalinės teisės aktuose numatytos priemonės gali būti laikomos būtinomis priemonėmis kitų asmenų teisių ir laisvių apsaugai, kaip tai suprantama pagal šios direktyvos 2 straipsnio 5 dalį, ar konkrečiomis priemonėmis, skirtomis nepatogumams dėl religijos kompensuoti, kaip tai suprantama pagal šios direktyvos 7 straipsnio 1 dalį (35 punktas).</w:t>
      </w:r>
    </w:p>
    <w:p w14:paraId="2838363C" w14:textId="28A92713" w:rsidR="00366E04" w:rsidRPr="00986131" w:rsidRDefault="00366E04" w:rsidP="00A04C9E">
      <w:pPr>
        <w:ind w:firstLine="567"/>
        <w:rPr>
          <w:rFonts w:asciiTheme="minorHAnsi" w:hAnsiTheme="minorHAnsi" w:cstheme="minorHAnsi"/>
        </w:rPr>
      </w:pPr>
      <w:r w:rsidRPr="00986131">
        <w:rPr>
          <w:rFonts w:asciiTheme="minorHAnsi" w:hAnsiTheme="minorHAnsi" w:cstheme="minorHAnsi"/>
        </w:rPr>
        <w:t>Teisingumo Teismas pažymėjo, jog pagal ARG 7 straipsnio 3 dalį švenčių dienos kompensacija, kuria pagal ARG 9 straipsnio 5 dalį gali pasinaudoti švenčių dieną turintys dirbti darbuotojai, suteikiama Didįjį penktadienį dirbantiems darbuotojams, tik jeigu jie yra vienos iš šių bažnyčių nariai.</w:t>
      </w:r>
      <w:r w:rsidRPr="00986131">
        <w:rPr>
          <w:rFonts w:ascii="Verdana" w:hAnsi="Verdana"/>
          <w:color w:val="333333"/>
          <w:sz w:val="18"/>
          <w:szCs w:val="18"/>
          <w:shd w:val="clear" w:color="auto" w:fill="FFFFFF"/>
        </w:rPr>
        <w:t xml:space="preserve"> </w:t>
      </w:r>
      <w:r w:rsidRPr="00986131">
        <w:rPr>
          <w:rFonts w:asciiTheme="minorHAnsi" w:hAnsiTheme="minorHAnsi" w:cstheme="minorHAnsi"/>
        </w:rPr>
        <w:t xml:space="preserve">Taigi </w:t>
      </w:r>
      <w:r w:rsidRPr="00986131">
        <w:rPr>
          <w:rFonts w:asciiTheme="minorHAnsi" w:hAnsiTheme="minorHAnsi" w:cstheme="minorHAnsi"/>
          <w:u w:val="single"/>
        </w:rPr>
        <w:t>pagrindinėje byloje nagrinėjami teisės aktai įtvirtina skirtingą požiūrį tiesiogiai dėl darbuotojų religijos. Iš tiesų šiame teisės akte naudojamas skiriamasis kriterijus yra tiesiogiai susijęs su darbuotojų priklausymu tam tikrai religijai</w:t>
      </w:r>
      <w:r w:rsidRPr="00986131">
        <w:rPr>
          <w:rFonts w:asciiTheme="minorHAnsi" w:hAnsiTheme="minorHAnsi" w:cstheme="minorHAnsi"/>
        </w:rPr>
        <w:t xml:space="preserve"> (39–40</w:t>
      </w:r>
      <w:r w:rsidR="00A04C9E" w:rsidRPr="00986131">
        <w:rPr>
          <w:rFonts w:asciiTheme="minorHAnsi" w:hAnsiTheme="minorHAnsi" w:cstheme="minorHAnsi"/>
        </w:rPr>
        <w:t> </w:t>
      </w:r>
      <w:r w:rsidRPr="00986131">
        <w:rPr>
          <w:rFonts w:asciiTheme="minorHAnsi" w:hAnsiTheme="minorHAnsi" w:cstheme="minorHAnsi"/>
        </w:rPr>
        <w:t xml:space="preserve">punktai). </w:t>
      </w:r>
    </w:p>
    <w:p w14:paraId="405681B0" w14:textId="165EE015" w:rsidR="00167D11" w:rsidRPr="00986131" w:rsidRDefault="00167D11" w:rsidP="00125C26">
      <w:pPr>
        <w:ind w:firstLine="567"/>
        <w:rPr>
          <w:rFonts w:asciiTheme="minorHAnsi" w:hAnsiTheme="minorHAnsi" w:cstheme="minorHAnsi"/>
        </w:rPr>
      </w:pPr>
      <w:r w:rsidRPr="00986131">
        <w:rPr>
          <w:rFonts w:asciiTheme="minorHAnsi" w:hAnsiTheme="minorHAnsi" w:cstheme="minorHAnsi"/>
        </w:rPr>
        <w:lastRenderedPageBreak/>
        <w:t>Nagrinėdamas, ar toks skirtingas požiūris susijęs su darbuotojų, kurių situacija panaši, kategorijomis</w:t>
      </w:r>
      <w:r w:rsidR="007D76D0" w:rsidRPr="00986131">
        <w:rPr>
          <w:rFonts w:asciiTheme="minorHAnsi" w:hAnsiTheme="minorHAnsi" w:cstheme="minorHAnsi"/>
        </w:rPr>
        <w:t>, Teismas nurodė, kad</w:t>
      </w:r>
      <w:r w:rsidR="00A04C9E" w:rsidRPr="00986131">
        <w:rPr>
          <w:rFonts w:asciiTheme="minorHAnsi" w:hAnsiTheme="minorHAnsi" w:cstheme="minorHAnsi"/>
        </w:rPr>
        <w:t xml:space="preserve"> D</w:t>
      </w:r>
      <w:r w:rsidR="001D1376" w:rsidRPr="00986131">
        <w:rPr>
          <w:rFonts w:asciiTheme="minorHAnsi" w:hAnsiTheme="minorHAnsi" w:cstheme="minorHAnsi"/>
        </w:rPr>
        <w:t>idįjį penktadienį darbuotojams, kurie yra vienos iš ARG nurodytų bažnyčių nariai, suteikiamą 24 valandų poilsio laiką kompetentingos nacionalinės valdžios institucijos pateisina šios dienos svarba toms religinėms bendruomenėms (</w:t>
      </w:r>
      <w:r w:rsidR="00A04C9E" w:rsidRPr="00986131">
        <w:rPr>
          <w:rFonts w:asciiTheme="minorHAnsi" w:hAnsiTheme="minorHAnsi" w:cstheme="minorHAnsi"/>
        </w:rPr>
        <w:t xml:space="preserve">41, </w:t>
      </w:r>
      <w:r w:rsidR="001D1376" w:rsidRPr="00986131">
        <w:rPr>
          <w:rFonts w:asciiTheme="minorHAnsi" w:hAnsiTheme="minorHAnsi" w:cstheme="minorHAnsi"/>
        </w:rPr>
        <w:t>45 punktas).</w:t>
      </w:r>
      <w:r w:rsidR="001D1376" w:rsidRPr="00986131">
        <w:rPr>
          <w:rFonts w:ascii="Verdana" w:hAnsi="Verdana"/>
          <w:color w:val="333333"/>
          <w:sz w:val="18"/>
          <w:szCs w:val="18"/>
          <w:shd w:val="clear" w:color="auto" w:fill="FFFFFF"/>
        </w:rPr>
        <w:t xml:space="preserve"> </w:t>
      </w:r>
      <w:r w:rsidR="001D1376" w:rsidRPr="00986131">
        <w:rPr>
          <w:rFonts w:asciiTheme="minorHAnsi" w:hAnsiTheme="minorHAnsi" w:cstheme="minorHAnsi"/>
        </w:rPr>
        <w:t>Vis dėlto Didįjį penktadienį darbuotojams, kurie yra vienos iš ARG nurodytų bažnyčių nariai, švenčių diena suteikiama ne reikalaujant, kad darbuotojas tą dieną atliktų tam tikrą religinę pareigą, o tik įtvirtinant reikalavimą formaliai priklausyti vienai iš šių bažnyčių. Todėl šis darbuotojas gali laisvai pasirinkti, kaip praleisti laiką šią švenčių dieną, pavyzdžiui, ją skirti poilsiui ar laisvalaikiui (46</w:t>
      </w:r>
      <w:r w:rsidR="00FC2622" w:rsidRPr="00986131">
        <w:rPr>
          <w:rFonts w:asciiTheme="minorHAnsi" w:hAnsiTheme="minorHAnsi" w:cstheme="minorHAnsi"/>
        </w:rPr>
        <w:t> </w:t>
      </w:r>
      <w:r w:rsidR="001D1376" w:rsidRPr="00986131">
        <w:rPr>
          <w:rFonts w:asciiTheme="minorHAnsi" w:hAnsiTheme="minorHAnsi" w:cstheme="minorHAnsi"/>
        </w:rPr>
        <w:t>punktas). Šiuo atžvilgiu tokio darbuotojo situacija nesiskiria nuo kitų darbuotojų, norinčių Didįjį penktadienį turėti laiko poilsiui ar laisvalaikiui, tačiau negalinčių pasinaudoti atitinkama švenčių diena, situacijos (47 punktas).</w:t>
      </w:r>
      <w:r w:rsidR="001D1376" w:rsidRPr="00986131">
        <w:rPr>
          <w:rFonts w:ascii="Verdana" w:hAnsi="Verdana"/>
          <w:color w:val="333333"/>
          <w:sz w:val="18"/>
          <w:szCs w:val="18"/>
          <w:shd w:val="clear" w:color="auto" w:fill="FFFFFF"/>
        </w:rPr>
        <w:t xml:space="preserve"> </w:t>
      </w:r>
      <w:r w:rsidR="001D1376" w:rsidRPr="00986131">
        <w:rPr>
          <w:rFonts w:asciiTheme="minorHAnsi" w:hAnsiTheme="minorHAnsi" w:cstheme="minorHAnsi"/>
        </w:rPr>
        <w:t xml:space="preserve">Be to, iš kartu aiškinamų ARG 7 straipsnio 3 dalies ir 9 straipsnio 5 dalies matyti, kad tik darbuotojai, kurie yra vienos iš ARG nurodytų bažnyčių nariai, gali gauti švenčių dienos kompensaciją, jei dirba Didįjį penktadienį (48 punktas). </w:t>
      </w:r>
      <w:r w:rsidR="00A04C9E" w:rsidRPr="00986131">
        <w:rPr>
          <w:rFonts w:asciiTheme="minorHAnsi" w:hAnsiTheme="minorHAnsi" w:cstheme="minorHAnsi"/>
        </w:rPr>
        <w:t xml:space="preserve">Ši </w:t>
      </w:r>
      <w:r w:rsidR="001D1376" w:rsidRPr="00986131">
        <w:rPr>
          <w:rFonts w:asciiTheme="minorHAnsi" w:hAnsiTheme="minorHAnsi" w:cstheme="minorHAnsi"/>
        </w:rPr>
        <w:t xml:space="preserve">kompensacija darbuotojui, kuris yra vienos iš minėtų bažnyčių narys ir turi dirbti Didįjį penktadienį, skiriama, jei šis darbuotojas formaliai priklauso vienai iš šių bažnyčių. Taigi darbuotojas turi teisę į tokią kompensaciją, net jeigu būtų dirbęs Didįjį penktadienį, nejausdamas pareigos ar poreikio švęsti šią religinę šventę. Todėl jo situacija nesiskiria nuo kitų darbuotojų, kurie dirbo Didįjį penktadienį, tačiau neturi teisės į tokią kompensaciją, situacijos (50 punktas). Padaryta išvada, kad </w:t>
      </w:r>
      <w:r w:rsidR="001D1376" w:rsidRPr="00986131">
        <w:rPr>
          <w:rFonts w:asciiTheme="minorHAnsi" w:hAnsiTheme="minorHAnsi" w:cstheme="minorHAnsi"/>
          <w:u w:val="single"/>
        </w:rPr>
        <w:t>dėl pagrindinėje byloje nagrinėjamų nacionalinės teisės aktų panašios situacijos dėl religijos vertinamos skirtingai. Taigi jais įtvirtinama tiesioginė diskriminacija dėl religijos, kaip tai suprantama pagal Direktyvos 2000/78 2 straipsnio 2 dalies a punktą</w:t>
      </w:r>
      <w:r w:rsidR="001D1376" w:rsidRPr="00986131">
        <w:rPr>
          <w:rFonts w:asciiTheme="minorHAnsi" w:hAnsiTheme="minorHAnsi" w:cstheme="minorHAnsi"/>
        </w:rPr>
        <w:t xml:space="preserve"> (51 punktas).</w:t>
      </w:r>
    </w:p>
    <w:p w14:paraId="15D5403B" w14:textId="5FCF6CCF" w:rsidR="00A965DB" w:rsidRPr="00986131" w:rsidRDefault="00A965DB" w:rsidP="00125C26">
      <w:pPr>
        <w:ind w:firstLine="567"/>
        <w:rPr>
          <w:rFonts w:asciiTheme="minorHAnsi" w:hAnsiTheme="minorHAnsi" w:cstheme="minorHAnsi"/>
        </w:rPr>
      </w:pPr>
      <w:r w:rsidRPr="00986131">
        <w:rPr>
          <w:rFonts w:asciiTheme="minorHAnsi" w:hAnsiTheme="minorHAnsi" w:cstheme="minorHAnsi"/>
        </w:rPr>
        <w:t>Nustatinėdamas, ar tokia tiesioginė diskriminacija gali būti pateisinama remiantis Direktyvos 2000/78 2 straipsnio 5 dalimi arba šios direktyvos 7 straipsnio 1 dalimi, Teismas nurodė, jog</w:t>
      </w:r>
      <w:r w:rsidRPr="00986131">
        <w:rPr>
          <w:rFonts w:ascii="Verdana" w:hAnsi="Verdana"/>
          <w:color w:val="333333"/>
          <w:sz w:val="18"/>
          <w:szCs w:val="18"/>
          <w:shd w:val="clear" w:color="auto" w:fill="FFFFFF"/>
        </w:rPr>
        <w:t xml:space="preserve"> </w:t>
      </w:r>
      <w:r w:rsidRPr="00986131">
        <w:rPr>
          <w:rFonts w:asciiTheme="minorHAnsi" w:hAnsiTheme="minorHAnsi" w:cstheme="minorHAnsi"/>
        </w:rPr>
        <w:t>neginčijama, kad religijos laisvė yra viena iš pagrindinių Sąjungos teisėje pripažįstamų teisių ir laisvių, o sąvoka „religija“ turi būti suprantama kaip apimanti ne tik</w:t>
      </w:r>
      <w:r w:rsidRPr="00986131">
        <w:rPr>
          <w:rFonts w:asciiTheme="minorHAnsi" w:hAnsiTheme="minorHAnsi" w:cstheme="minorHAnsi"/>
          <w:i/>
          <w:iCs/>
        </w:rPr>
        <w:t> </w:t>
      </w:r>
      <w:proofErr w:type="spellStart"/>
      <w:r w:rsidRPr="00986131">
        <w:rPr>
          <w:rFonts w:asciiTheme="minorHAnsi" w:hAnsiTheme="minorHAnsi" w:cstheme="minorHAnsi"/>
          <w:i/>
          <w:iCs/>
        </w:rPr>
        <w:t>forum</w:t>
      </w:r>
      <w:proofErr w:type="spellEnd"/>
      <w:r w:rsidRPr="00986131">
        <w:rPr>
          <w:rFonts w:asciiTheme="minorHAnsi" w:hAnsiTheme="minorHAnsi" w:cstheme="minorHAnsi"/>
          <w:i/>
          <w:iCs/>
        </w:rPr>
        <w:t> </w:t>
      </w:r>
      <w:proofErr w:type="spellStart"/>
      <w:r w:rsidRPr="00986131">
        <w:rPr>
          <w:rFonts w:asciiTheme="minorHAnsi" w:hAnsiTheme="minorHAnsi" w:cstheme="minorHAnsi"/>
          <w:i/>
          <w:iCs/>
        </w:rPr>
        <w:t>internum</w:t>
      </w:r>
      <w:proofErr w:type="spellEnd"/>
      <w:r w:rsidRPr="00986131">
        <w:rPr>
          <w:rFonts w:asciiTheme="minorHAnsi" w:hAnsiTheme="minorHAnsi" w:cstheme="minorHAnsi"/>
        </w:rPr>
        <w:t>, t. y. religijos ar tikėjimo turėjimą, bet ir </w:t>
      </w:r>
      <w:proofErr w:type="spellStart"/>
      <w:r w:rsidRPr="00986131">
        <w:rPr>
          <w:rFonts w:asciiTheme="minorHAnsi" w:hAnsiTheme="minorHAnsi" w:cstheme="minorHAnsi"/>
          <w:i/>
          <w:iCs/>
        </w:rPr>
        <w:t>forum</w:t>
      </w:r>
      <w:proofErr w:type="spellEnd"/>
      <w:r w:rsidRPr="00986131">
        <w:rPr>
          <w:rFonts w:asciiTheme="minorHAnsi" w:hAnsiTheme="minorHAnsi" w:cstheme="minorHAnsi"/>
          <w:i/>
          <w:iCs/>
        </w:rPr>
        <w:t> </w:t>
      </w:r>
      <w:proofErr w:type="spellStart"/>
      <w:r w:rsidRPr="00986131">
        <w:rPr>
          <w:rFonts w:asciiTheme="minorHAnsi" w:hAnsiTheme="minorHAnsi" w:cstheme="minorHAnsi"/>
          <w:i/>
          <w:iCs/>
        </w:rPr>
        <w:t>externum</w:t>
      </w:r>
      <w:proofErr w:type="spellEnd"/>
      <w:r w:rsidRPr="00986131">
        <w:rPr>
          <w:rFonts w:asciiTheme="minorHAnsi" w:hAnsiTheme="minorHAnsi" w:cstheme="minorHAnsi"/>
        </w:rPr>
        <w:t>, t. y. religijos ar tikėjimo viešą išpažinimą ir skelbimą (šiuo klausimu žr. 2017 m. kovo 14 d. Sprendimo </w:t>
      </w:r>
      <w:r w:rsidRPr="00986131">
        <w:rPr>
          <w:rFonts w:asciiTheme="minorHAnsi" w:hAnsiTheme="minorHAnsi" w:cstheme="minorHAnsi"/>
          <w:i/>
          <w:iCs/>
        </w:rPr>
        <w:t xml:space="preserve">G4S </w:t>
      </w:r>
      <w:proofErr w:type="spellStart"/>
      <w:r w:rsidRPr="00986131">
        <w:rPr>
          <w:rFonts w:asciiTheme="minorHAnsi" w:hAnsiTheme="minorHAnsi" w:cstheme="minorHAnsi"/>
          <w:i/>
          <w:iCs/>
        </w:rPr>
        <w:t>Secure</w:t>
      </w:r>
      <w:proofErr w:type="spellEnd"/>
      <w:r w:rsidRPr="00986131">
        <w:rPr>
          <w:rFonts w:asciiTheme="minorHAnsi" w:hAnsiTheme="minorHAnsi" w:cstheme="minorHAnsi"/>
          <w:i/>
          <w:iCs/>
        </w:rPr>
        <w:t xml:space="preserve"> </w:t>
      </w:r>
      <w:proofErr w:type="spellStart"/>
      <w:r w:rsidRPr="00986131">
        <w:rPr>
          <w:rFonts w:asciiTheme="minorHAnsi" w:hAnsiTheme="minorHAnsi" w:cstheme="minorHAnsi"/>
          <w:i/>
          <w:iCs/>
        </w:rPr>
        <w:t>Solutions</w:t>
      </w:r>
      <w:proofErr w:type="spellEnd"/>
      <w:r w:rsidRPr="00986131">
        <w:rPr>
          <w:rFonts w:asciiTheme="minorHAnsi" w:hAnsiTheme="minorHAnsi" w:cstheme="minorHAnsi"/>
        </w:rPr>
        <w:t>, C</w:t>
      </w:r>
      <w:r w:rsidRPr="00986131">
        <w:rPr>
          <w:rFonts w:asciiTheme="minorHAnsi" w:hAnsiTheme="minorHAnsi" w:cstheme="minorHAnsi"/>
        </w:rPr>
        <w:noBreakHyphen/>
        <w:t>157/15, EU:C:2017:203, 28 punktą ir 2017 m. kovo 14 d. Sprendimo </w:t>
      </w:r>
      <w:proofErr w:type="spellStart"/>
      <w:r w:rsidRPr="00986131">
        <w:rPr>
          <w:rFonts w:asciiTheme="minorHAnsi" w:hAnsiTheme="minorHAnsi" w:cstheme="minorHAnsi"/>
          <w:i/>
          <w:iCs/>
        </w:rPr>
        <w:t>Bougnaoui</w:t>
      </w:r>
      <w:proofErr w:type="spellEnd"/>
      <w:r w:rsidRPr="00986131">
        <w:rPr>
          <w:rFonts w:asciiTheme="minorHAnsi" w:hAnsiTheme="minorHAnsi" w:cstheme="minorHAnsi"/>
          <w:i/>
          <w:iCs/>
        </w:rPr>
        <w:t xml:space="preserve"> ir ADDH</w:t>
      </w:r>
      <w:r w:rsidRPr="00986131">
        <w:rPr>
          <w:rFonts w:asciiTheme="minorHAnsi" w:hAnsiTheme="minorHAnsi" w:cstheme="minorHAnsi"/>
        </w:rPr>
        <w:t>, C</w:t>
      </w:r>
      <w:r w:rsidRPr="00986131">
        <w:rPr>
          <w:rFonts w:asciiTheme="minorHAnsi" w:hAnsiTheme="minorHAnsi" w:cstheme="minorHAnsi"/>
        </w:rPr>
        <w:noBreakHyphen/>
        <w:t>188/15, EU:C:2017:204, 30 punktą). Vadinasi, Austrijos teisės aktų leidėjo siekiamas tikslas yra vienas iš Direktyvos 2000/78 2 straipsnio 5 dalyje išvardytų tikslų (52, 58 punktai)</w:t>
      </w:r>
      <w:r w:rsidR="008E6DBD" w:rsidRPr="00986131">
        <w:rPr>
          <w:rFonts w:asciiTheme="minorHAnsi" w:hAnsiTheme="minorHAnsi" w:cstheme="minorHAnsi"/>
        </w:rPr>
        <w:t>.</w:t>
      </w:r>
    </w:p>
    <w:p w14:paraId="338E1CFD" w14:textId="663CD633" w:rsidR="008E6DBD" w:rsidRPr="00986131" w:rsidRDefault="000226C0" w:rsidP="00125C26">
      <w:pPr>
        <w:ind w:firstLine="567"/>
        <w:rPr>
          <w:rFonts w:asciiTheme="minorHAnsi" w:hAnsiTheme="minorHAnsi" w:cstheme="minorHAnsi"/>
        </w:rPr>
      </w:pPr>
      <w:r w:rsidRPr="00986131">
        <w:rPr>
          <w:rFonts w:asciiTheme="minorHAnsi" w:hAnsiTheme="minorHAnsi" w:cstheme="minorHAnsi"/>
        </w:rPr>
        <w:t>Vertindamas, ar šios priemonės yra būtinos siekiant apsaugoti nagrinėjamų darbuotojų religijos laisvę</w:t>
      </w:r>
      <w:r w:rsidR="00090F42" w:rsidRPr="00986131">
        <w:rPr>
          <w:rFonts w:asciiTheme="minorHAnsi" w:hAnsiTheme="minorHAnsi" w:cstheme="minorHAnsi"/>
        </w:rPr>
        <w:t>,</w:t>
      </w:r>
      <w:r w:rsidRPr="00986131">
        <w:rPr>
          <w:rFonts w:asciiTheme="minorHAnsi" w:hAnsiTheme="minorHAnsi" w:cstheme="minorHAnsi"/>
        </w:rPr>
        <w:t xml:space="preserve"> Teismas nurodė, kad pagrindinėje byloje nagrinėjami nacionalinės teisės aktai negali būti laikomi nustatančiais, laikantis proporcingumo principo ir kuo labiau – lygybės principo, konkrečias priemones, skirtas profesinės veiklos nepatogumams kompensuoti, kaip tai suprantama pagal Direktyvos 2000/78 7 straipsnio 1 dalį, ir nėra reikalo nustatyti, ar tai, kad Didžiojo penktadienio – vienos svarbiausių religijos, kuriai priklauso darbuotojai, vienos iš ARG nurodytų bažnyčių nariai, dienų, nėra tarp šio įstatymo 7 straipsnio 2 dalyje išvardytų švenčių dienų, reiškia tokius „nepatogumus“ (59, 66 punktai).</w:t>
      </w:r>
      <w:r w:rsidRPr="00986131">
        <w:rPr>
          <w:rFonts w:ascii="Verdana" w:hAnsi="Verdana"/>
          <w:color w:val="333333"/>
          <w:sz w:val="18"/>
          <w:szCs w:val="18"/>
          <w:shd w:val="clear" w:color="auto" w:fill="FFFFFF"/>
        </w:rPr>
        <w:t xml:space="preserve"> D</w:t>
      </w:r>
      <w:r w:rsidRPr="00986131">
        <w:rPr>
          <w:rFonts w:asciiTheme="minorHAnsi" w:hAnsiTheme="minorHAnsi" w:cstheme="minorHAnsi"/>
        </w:rPr>
        <w:t>idįjį penktadienį suteikiamas 24 valandų poilsis darbuotojams, kurie yra vienos iš ARG nurodytų bažnyčių nariai, o kiti darbuotojai, priklausantys kitoms religijoms, kurių svarbios šventės nesutampa su ARG 7 straipsnio 2 dalyje numatytomis švenčių dienomis, iš esmės gali neatvykti į darbą, kad galėtų atlikti su šiomis šventėmis susijusias religines apeigas, tik gavę jų darbdavio, vadovaujantis rūpestingumo pareiga, suteiktą leidimą (67 punktas).</w:t>
      </w:r>
      <w:r w:rsidR="006A3D0C" w:rsidRPr="00986131">
        <w:rPr>
          <w:rFonts w:ascii="Verdana" w:hAnsi="Verdana"/>
          <w:color w:val="333333"/>
          <w:sz w:val="18"/>
          <w:szCs w:val="18"/>
          <w:shd w:val="clear" w:color="auto" w:fill="FFFFFF"/>
        </w:rPr>
        <w:t xml:space="preserve"> </w:t>
      </w:r>
      <w:r w:rsidR="006A3D0C" w:rsidRPr="00986131">
        <w:rPr>
          <w:rFonts w:asciiTheme="minorHAnsi" w:hAnsiTheme="minorHAnsi" w:cstheme="minorHAnsi"/>
        </w:rPr>
        <w:t xml:space="preserve">Vadinasi, </w:t>
      </w:r>
      <w:r w:rsidR="006A3D0C" w:rsidRPr="00986131">
        <w:rPr>
          <w:rFonts w:asciiTheme="minorHAnsi" w:hAnsiTheme="minorHAnsi" w:cstheme="minorHAnsi"/>
          <w:u w:val="single"/>
        </w:rPr>
        <w:t>pagrindinėje byloje nagrinėjamos priemonės viršija tai, kas būtina siekiant kompensuoti tokį tariamą nepatogumą, ir įtvirtina skirtingą požiūrį į darbuotojus, turinčius panašias religines pareigas, kuris neužtikrina, kad būtų kuo labiau paisoma lygybės principo</w:t>
      </w:r>
      <w:r w:rsidR="006A3D0C" w:rsidRPr="00986131">
        <w:rPr>
          <w:rFonts w:asciiTheme="minorHAnsi" w:hAnsiTheme="minorHAnsi" w:cstheme="minorHAnsi"/>
        </w:rPr>
        <w:t xml:space="preserve"> (68 punktas).</w:t>
      </w:r>
    </w:p>
    <w:p w14:paraId="4D6D2300" w14:textId="77777777" w:rsidR="00366E04" w:rsidRPr="00986131" w:rsidRDefault="00366E04" w:rsidP="00125C26">
      <w:pPr>
        <w:ind w:firstLine="567"/>
        <w:rPr>
          <w:rFonts w:asciiTheme="minorHAnsi" w:hAnsiTheme="minorHAnsi" w:cstheme="minorHAnsi"/>
        </w:rPr>
      </w:pPr>
    </w:p>
    <w:p w14:paraId="7E245965" w14:textId="436CDC49" w:rsidR="00591B13" w:rsidRPr="00986131" w:rsidRDefault="00591B13" w:rsidP="00591B13">
      <w:pPr>
        <w:pStyle w:val="Antrat3"/>
        <w:ind w:firstLine="567"/>
        <w:rPr>
          <w:rFonts w:cstheme="minorHAnsi"/>
        </w:rPr>
      </w:pPr>
      <w:bookmarkStart w:id="40" w:name="_Toc11232459"/>
      <w:bookmarkStart w:id="41" w:name="_Toc11232750"/>
      <w:bookmarkStart w:id="42" w:name="_Toc11757986"/>
      <w:r w:rsidRPr="00986131">
        <w:rPr>
          <w:rFonts w:cstheme="minorHAnsi"/>
        </w:rPr>
        <w:t xml:space="preserve">Dėl </w:t>
      </w:r>
      <w:r w:rsidR="00C15879" w:rsidRPr="00986131">
        <w:rPr>
          <w:rFonts w:cstheme="minorHAnsi"/>
        </w:rPr>
        <w:t xml:space="preserve">Sąjungos teisės aiškinimo </w:t>
      </w:r>
      <w:r w:rsidR="004D471B" w:rsidRPr="00986131">
        <w:rPr>
          <w:rFonts w:cstheme="minorHAnsi"/>
        </w:rPr>
        <w:t xml:space="preserve">valstybei narei siekiant atkurti vienodą požiūrį, </w:t>
      </w:r>
      <w:r w:rsidR="00C15879" w:rsidRPr="00986131">
        <w:rPr>
          <w:rFonts w:cstheme="minorHAnsi"/>
        </w:rPr>
        <w:t>suteikti švenčių dieną Didįjį penktadienį ir kitiems darbuotojams bei pripažinti jų teisę į švenčių dienos kompensaciją, jeigu jie turi dirbti tokią dieną</w:t>
      </w:r>
      <w:bookmarkEnd w:id="40"/>
      <w:bookmarkEnd w:id="41"/>
      <w:bookmarkEnd w:id="42"/>
    </w:p>
    <w:p w14:paraId="538684C8" w14:textId="77777777" w:rsidR="00591B13" w:rsidRPr="00986131" w:rsidRDefault="00591B13" w:rsidP="00591B13">
      <w:pPr>
        <w:ind w:firstLine="567"/>
        <w:rPr>
          <w:rFonts w:asciiTheme="minorHAnsi" w:hAnsiTheme="minorHAnsi" w:cstheme="minorHAnsi"/>
          <w:b/>
        </w:rPr>
      </w:pPr>
    </w:p>
    <w:p w14:paraId="2F8108F7" w14:textId="3F410B23" w:rsidR="00591B13" w:rsidRPr="00986131" w:rsidRDefault="00C15879" w:rsidP="00125C26">
      <w:pPr>
        <w:ind w:firstLine="567"/>
        <w:rPr>
          <w:rFonts w:asciiTheme="minorHAnsi" w:hAnsiTheme="minorHAnsi" w:cstheme="minorHAnsi"/>
        </w:rPr>
      </w:pPr>
      <w:r w:rsidRPr="00986131">
        <w:rPr>
          <w:rFonts w:asciiTheme="minorHAnsi" w:hAnsiTheme="minorHAnsi" w:cstheme="minorHAnsi"/>
        </w:rPr>
        <w:t xml:space="preserve">Ketvirtuoju klausimu prašymą priimti </w:t>
      </w:r>
      <w:proofErr w:type="spellStart"/>
      <w:r w:rsidRPr="00986131">
        <w:rPr>
          <w:rFonts w:asciiTheme="minorHAnsi" w:hAnsiTheme="minorHAnsi" w:cstheme="minorHAnsi"/>
        </w:rPr>
        <w:t>prejudicinį</w:t>
      </w:r>
      <w:proofErr w:type="spellEnd"/>
      <w:r w:rsidRPr="00986131">
        <w:rPr>
          <w:rFonts w:asciiTheme="minorHAnsi" w:hAnsiTheme="minorHAnsi" w:cstheme="minorHAnsi"/>
        </w:rPr>
        <w:t xml:space="preserve"> sprendimą pateikęs teismas iš esmės siekė išsiaiškinti, ar Sąjungos teisė turi būti aiškinama taip, kad kol atitinkama valstybė narė, siekdama atkurti vienodą požiūrį, pakeis savo teisės aktus, pagal kuriuos Didįjį penktadienį švenčių diena suteikiama tik darbuotojams, kurie yra tam tikrų krikščionių bažnyčių nariai, privatus darbdavys, kuriam taikomi šie teisės aktai, turi pareigą švenčių dieną Didįjį penktadienį suteikti ir kitiems savo darbuotojams, taigi, pripažinti jų teisę į švenčių dienos kompensaciją, jeigu jie turi dirbti tokią dieną (70 punktas).</w:t>
      </w:r>
    </w:p>
    <w:p w14:paraId="3D550DF7" w14:textId="1FD9ABE3" w:rsidR="00976D06" w:rsidRPr="00986131" w:rsidRDefault="00976D06" w:rsidP="00125C26">
      <w:pPr>
        <w:ind w:firstLine="567"/>
        <w:rPr>
          <w:rFonts w:asciiTheme="minorHAnsi" w:hAnsiTheme="minorHAnsi" w:cstheme="minorHAnsi"/>
        </w:rPr>
      </w:pPr>
      <w:r w:rsidRPr="00986131">
        <w:rPr>
          <w:rFonts w:asciiTheme="minorHAnsi" w:hAnsiTheme="minorHAnsi" w:cstheme="minorHAnsi"/>
        </w:rPr>
        <w:t xml:space="preserve">Teismas pažymėjo, kad jei nacionalinių nuostatų nebūtų galima aiškinti taip, kad jos atitiktų Direktyvą 2000/78, prašymą priimti </w:t>
      </w:r>
      <w:proofErr w:type="spellStart"/>
      <w:r w:rsidRPr="00986131">
        <w:rPr>
          <w:rFonts w:asciiTheme="minorHAnsi" w:hAnsiTheme="minorHAnsi" w:cstheme="minorHAnsi"/>
        </w:rPr>
        <w:t>prejudicinį</w:t>
      </w:r>
      <w:proofErr w:type="spellEnd"/>
      <w:r w:rsidRPr="00986131">
        <w:rPr>
          <w:rFonts w:asciiTheme="minorHAnsi" w:hAnsiTheme="minorHAnsi" w:cstheme="minorHAnsi"/>
        </w:rPr>
        <w:t xml:space="preserve"> sprendimą pateikęs teismas vis dėlto privalėtų užtikrinti pagal </w:t>
      </w:r>
      <w:r w:rsidRPr="00986131">
        <w:rPr>
          <w:rFonts w:asciiTheme="minorHAnsi" w:hAnsiTheme="minorHAnsi" w:cstheme="minorHAnsi"/>
        </w:rPr>
        <w:lastRenderedPageBreak/>
        <w:t>Chartijos 21 straipsnį darbuotojams suteikiamą teisinę apsaugą ir visišką šio straipsnio veiksmingumą (7</w:t>
      </w:r>
      <w:r w:rsidR="00F27628" w:rsidRPr="00986131">
        <w:rPr>
          <w:rFonts w:asciiTheme="minorHAnsi" w:hAnsiTheme="minorHAnsi" w:cstheme="minorHAnsi"/>
        </w:rPr>
        <w:t>8</w:t>
      </w:r>
      <w:r w:rsidRPr="00986131">
        <w:rPr>
          <w:rFonts w:asciiTheme="minorHAnsi" w:hAnsiTheme="minorHAnsi" w:cstheme="minorHAnsi"/>
        </w:rPr>
        <w:t xml:space="preserve"> punktas). </w:t>
      </w:r>
      <w:r w:rsidR="00F27628" w:rsidRPr="00986131">
        <w:rPr>
          <w:rFonts w:asciiTheme="minorHAnsi" w:hAnsiTheme="minorHAnsi" w:cstheme="minorHAnsi"/>
        </w:rPr>
        <w:t>Nacionalinis teismas neturi taikyti jokios diskriminuojančios nacionalinės nuostatos ir neprivalo prašyti ar laukti, kad įstatymų leidėjas ją pirma panaikintų, ir nepalankioje padėtyje esančios grupės nariams privalo taikyti tą pačią tvarką, kokia taikoma kitos kategorijos asmenims (80 punktas).</w:t>
      </w:r>
      <w:r w:rsidR="00D73CD6" w:rsidRPr="00986131">
        <w:rPr>
          <w:rFonts w:ascii="Verdana" w:hAnsi="Verdana"/>
          <w:color w:val="333333"/>
          <w:sz w:val="18"/>
          <w:szCs w:val="18"/>
          <w:shd w:val="clear" w:color="auto" w:fill="FFFFFF"/>
        </w:rPr>
        <w:t xml:space="preserve"> V</w:t>
      </w:r>
      <w:r w:rsidR="00D73CD6" w:rsidRPr="00986131">
        <w:rPr>
          <w:rFonts w:asciiTheme="minorHAnsi" w:hAnsiTheme="minorHAnsi" w:cstheme="minorHAnsi"/>
        </w:rPr>
        <w:t>is dėlto toks sprendimas gali būti taikomas tik tuomet, jei yra tinkama atskaitos sistema (2017 m. kovo 9 d. Sprendimo </w:t>
      </w:r>
      <w:proofErr w:type="spellStart"/>
      <w:r w:rsidR="00D73CD6" w:rsidRPr="00986131">
        <w:rPr>
          <w:rFonts w:asciiTheme="minorHAnsi" w:hAnsiTheme="minorHAnsi" w:cstheme="minorHAnsi"/>
          <w:i/>
          <w:iCs/>
        </w:rPr>
        <w:t>Milkova</w:t>
      </w:r>
      <w:proofErr w:type="spellEnd"/>
      <w:r w:rsidR="00D73CD6" w:rsidRPr="00986131">
        <w:rPr>
          <w:rFonts w:asciiTheme="minorHAnsi" w:hAnsiTheme="minorHAnsi" w:cstheme="minorHAnsi"/>
        </w:rPr>
        <w:t>, C</w:t>
      </w:r>
      <w:r w:rsidR="00D73CD6" w:rsidRPr="00986131">
        <w:rPr>
          <w:rFonts w:asciiTheme="minorHAnsi" w:hAnsiTheme="minorHAnsi" w:cstheme="minorHAnsi"/>
        </w:rPr>
        <w:noBreakHyphen/>
        <w:t>406/15, EU:C:2017:198, 68 punktas ir jame nurodyta jurisprudencija) (81 punktas). Taip yra pagrindinėje byloje, nes ARG nurodytų bažnyčių nariams taikoma tvarka, jeigu teisingai netaikoma Sąjungos teisė, lieka vienintelė galiojanti atskaitos sistema (82 punktas).</w:t>
      </w:r>
      <w:r w:rsidR="00D73CD6" w:rsidRPr="00986131">
        <w:rPr>
          <w:rFonts w:ascii="Verdana" w:hAnsi="Verdana"/>
          <w:color w:val="333333"/>
          <w:sz w:val="18"/>
          <w:szCs w:val="18"/>
          <w:shd w:val="clear" w:color="auto" w:fill="FFFFFF"/>
        </w:rPr>
        <w:t xml:space="preserve"> </w:t>
      </w:r>
      <w:r w:rsidR="00D73CD6" w:rsidRPr="00986131">
        <w:rPr>
          <w:rFonts w:asciiTheme="minorHAnsi" w:hAnsiTheme="minorHAnsi" w:cstheme="minorHAnsi"/>
        </w:rPr>
        <w:t xml:space="preserve">Taigi, </w:t>
      </w:r>
      <w:r w:rsidR="00D73CD6" w:rsidRPr="00986131">
        <w:rPr>
          <w:rFonts w:asciiTheme="minorHAnsi" w:hAnsiTheme="minorHAnsi" w:cstheme="minorHAnsi"/>
          <w:u w:val="single"/>
        </w:rPr>
        <w:t>kol nacionalinės teisės aktų leidėjas priims vienodą požiūrį atkuriančias priemones, darbdaviai privalo užtikrinti, kad požiūris į vienai iš šių bažnyčių nepriklausančius darbuotojus būtų toks pat, koks pagrindinėje byloje nagrinėjamomis nuostatomis numatytas dėl darbuotojų, priklausančių vienai iš šių bažnyčių</w:t>
      </w:r>
      <w:r w:rsidR="00D73CD6" w:rsidRPr="00986131">
        <w:rPr>
          <w:rFonts w:asciiTheme="minorHAnsi" w:hAnsiTheme="minorHAnsi" w:cstheme="minorHAnsi"/>
        </w:rPr>
        <w:t xml:space="preserve"> (83 punktas).</w:t>
      </w:r>
      <w:r w:rsidR="00D73CD6" w:rsidRPr="00986131">
        <w:rPr>
          <w:rFonts w:ascii="Verdana" w:hAnsi="Verdana"/>
          <w:color w:val="333333"/>
          <w:sz w:val="18"/>
          <w:szCs w:val="18"/>
          <w:shd w:val="clear" w:color="auto" w:fill="FFFFFF"/>
        </w:rPr>
        <w:t xml:space="preserve"> </w:t>
      </w:r>
      <w:r w:rsidR="00D73CD6" w:rsidRPr="00986131">
        <w:rPr>
          <w:rFonts w:asciiTheme="minorHAnsi" w:hAnsiTheme="minorHAnsi" w:cstheme="minorHAnsi"/>
        </w:rPr>
        <w:t>Kol teisės aktai nėra suderinti, pagal Chartijos 21 straipsnį</w:t>
      </w:r>
      <w:r w:rsidR="004D471B" w:rsidRPr="00986131">
        <w:rPr>
          <w:rFonts w:asciiTheme="minorHAnsi" w:hAnsiTheme="minorHAnsi" w:cstheme="minorHAnsi"/>
        </w:rPr>
        <w:t>,</w:t>
      </w:r>
      <w:r w:rsidR="00D73CD6" w:rsidRPr="00986131">
        <w:rPr>
          <w:rFonts w:asciiTheme="minorHAnsi" w:hAnsiTheme="minorHAnsi" w:cstheme="minorHAnsi"/>
        </w:rPr>
        <w:t xml:space="preserve"> darbdavys privalo pripažinti nė vienai iš šių bažnyčių nepriklausantiems darbuotojams teisę į švenčių dieną Didįjį penktadienį, su sąlyga, kad šie darbuotojai iki tos dienos pranešė savo darbdaviui apie savo pageidavimą nedirbti tą dieną (84 punktas). Tai taip pat reiškia, kad darbuotojas, kuris nepriklauso nė vienai iš ARG nurodytų bažnyčių, turi teisę į tai, kad darbdavys sumokėtų ARG 9 straipsnio 5 dalyje numatytą kompensaciją, jeigu atsisakė patenkinti darbuotojo prašymą nedirbti tą dieną (85 punktas).</w:t>
      </w:r>
    </w:p>
    <w:p w14:paraId="6B001B4D" w14:textId="77777777" w:rsidR="00591B13" w:rsidRPr="00986131" w:rsidRDefault="00591B13" w:rsidP="004D471B">
      <w:pPr>
        <w:rPr>
          <w:rFonts w:asciiTheme="minorHAnsi" w:hAnsiTheme="minorHAnsi" w:cstheme="minorHAnsi"/>
        </w:rPr>
      </w:pPr>
    </w:p>
    <w:p w14:paraId="6C42F374" w14:textId="77777777" w:rsidR="002F456B" w:rsidRPr="00986131" w:rsidRDefault="002F456B" w:rsidP="00AD0B10">
      <w:pPr>
        <w:ind w:firstLine="567"/>
        <w:rPr>
          <w:rFonts w:asciiTheme="minorHAnsi" w:hAnsiTheme="minorHAnsi" w:cstheme="minorHAnsi"/>
        </w:rPr>
      </w:pPr>
      <w:r w:rsidRPr="00986131">
        <w:rPr>
          <w:rFonts w:asciiTheme="minorHAnsi" w:hAnsiTheme="minorHAnsi" w:cstheme="minorHAnsi"/>
          <w:b/>
        </w:rPr>
        <w:t>Remdamasis šiais motyvais, Teisingumo Teismas (</w:t>
      </w:r>
      <w:r w:rsidR="004E150E" w:rsidRPr="00986131">
        <w:rPr>
          <w:rFonts w:asciiTheme="minorHAnsi" w:hAnsiTheme="minorHAnsi" w:cstheme="minorHAnsi"/>
          <w:b/>
        </w:rPr>
        <w:t>didžioji</w:t>
      </w:r>
      <w:r w:rsidRPr="00986131">
        <w:rPr>
          <w:rFonts w:asciiTheme="minorHAnsi" w:hAnsiTheme="minorHAnsi" w:cstheme="minorHAnsi"/>
          <w:b/>
        </w:rPr>
        <w:t xml:space="preserve"> kolegija) nusprendė:</w:t>
      </w:r>
    </w:p>
    <w:p w14:paraId="2AA24717" w14:textId="51289E50" w:rsidR="00150238" w:rsidRPr="00986131" w:rsidRDefault="00150238" w:rsidP="00150238">
      <w:pPr>
        <w:ind w:firstLine="567"/>
        <w:rPr>
          <w:rFonts w:asciiTheme="minorHAnsi" w:eastAsia="Times New Roman" w:hAnsiTheme="minorHAnsi" w:cstheme="minorHAnsi"/>
          <w:bCs/>
          <w:lang w:eastAsia="lt-LT"/>
        </w:rPr>
      </w:pPr>
      <w:r w:rsidRPr="00986131">
        <w:rPr>
          <w:rFonts w:asciiTheme="minorHAnsi" w:eastAsia="Times New Roman" w:hAnsiTheme="minorHAnsi" w:cstheme="minorHAnsi"/>
          <w:bCs/>
          <w:lang w:eastAsia="lt-LT"/>
        </w:rPr>
        <w:t>1. 2000 m. lapkričio 27 d. Tarybos direktyvos 2000/78/EB, nustatančios vienodo požiūrio užimtumo ir profesinėje srityje bendruosius pagrindus, 1 straipsnį ir 2 straipsnio 2 dalį reikia aiškinti taip, kad nacionalinės teisės nuostatos, pagal kurias, pirma, Didysis penktadienis yra švenčių diena tik tiems darbuotojams, kurie yra tam tikrų krikščionių bažnyčių nariai, ir, antra, tik šie darbuotojai turi teisę į papildomą kompensaciją prie jų už darbą šią dieną gaunamo darbo užmokesčio, jei privalo dirbti šią švenčių dieną, įtvirtina tiesioginę diskriminaciją dėl religijos.</w:t>
      </w:r>
    </w:p>
    <w:p w14:paraId="2E8E013E" w14:textId="77777777" w:rsidR="00150238" w:rsidRPr="00986131" w:rsidRDefault="00150238" w:rsidP="00150238">
      <w:pPr>
        <w:ind w:firstLine="567"/>
        <w:rPr>
          <w:rFonts w:asciiTheme="minorHAnsi" w:eastAsia="Times New Roman" w:hAnsiTheme="minorHAnsi" w:cstheme="minorHAnsi"/>
          <w:bCs/>
          <w:lang w:eastAsia="lt-LT"/>
        </w:rPr>
      </w:pPr>
      <w:r w:rsidRPr="00986131">
        <w:rPr>
          <w:rFonts w:asciiTheme="minorHAnsi" w:eastAsia="Times New Roman" w:hAnsiTheme="minorHAnsi" w:cstheme="minorHAnsi"/>
          <w:bCs/>
          <w:lang w:eastAsia="lt-LT"/>
        </w:rPr>
        <w:t>Šiuose nacionalinės teisės aktuose numatytos priemonės negali būti laikomos nei būtinomis priemonėmis kitų asmenų teisių ir laisvių apsaugai, kaip tai suprantama pagal šios direktyvos 2 straipsnio 5 dalį, nei konkrečiomis priemonėmis, skirtomis nepatogumams dėl religijos kompensuoti, kaip tai suprantama pagal šios direktyvos 7 straipsnio 1 dalį.</w:t>
      </w:r>
    </w:p>
    <w:p w14:paraId="18D270BB" w14:textId="538C17C0" w:rsidR="00150238" w:rsidRPr="00986131" w:rsidRDefault="00150238" w:rsidP="00150238">
      <w:pPr>
        <w:ind w:firstLine="567"/>
        <w:rPr>
          <w:rFonts w:asciiTheme="minorHAnsi" w:eastAsia="Times New Roman" w:hAnsiTheme="minorHAnsi" w:cstheme="minorHAnsi"/>
          <w:bCs/>
          <w:lang w:eastAsia="lt-LT"/>
        </w:rPr>
      </w:pPr>
      <w:r w:rsidRPr="00986131">
        <w:rPr>
          <w:rFonts w:asciiTheme="minorHAnsi" w:eastAsia="Times New Roman" w:hAnsiTheme="minorHAnsi" w:cstheme="minorHAnsi"/>
          <w:bCs/>
          <w:lang w:eastAsia="lt-LT"/>
        </w:rPr>
        <w:t>2. Europos Sąjungos pagrindinių teisių chartijos 21 straipsnis turi būti aiškinamas taip, kad kol atitinkama valstybė narė, siekdama atkurti vienodą požiūrį, pakeis savo teisės aktus, pagal kuriuos Didįjį penktadienį švenčių diena suteikiama tik darbuotojams, kurie yra tam tikrų krikščionių bažnyčių nariai, privatus darbdavys, kuriam taikomi šie teisės aktai, turi pareigą švenčių dieną Didįjį penktadienį suteikti ir kitiems savo darbuotojams, su sąlyga, kad tie darbuotojai iš anksto darbdavio paprašė leisti nedirbti šią dieną, ir atitinkamai pripažinti jų teisę į papildomą kompensaciją prie jų už darbą šią dieną gaunamo darbo užmokesčio, jeigu darbdavys atsisakė tenkinti tokį prašymą.</w:t>
      </w:r>
    </w:p>
    <w:p w14:paraId="2F268F11" w14:textId="430091F1" w:rsidR="002F456B" w:rsidRPr="00986131" w:rsidRDefault="006A47DB" w:rsidP="00AD0B10">
      <w:pPr>
        <w:pStyle w:val="c01pointnumerotealtn"/>
        <w:spacing w:before="0" w:beforeAutospacing="0" w:after="0"/>
        <w:ind w:left="0" w:firstLine="567"/>
        <w:rPr>
          <w:rFonts w:asciiTheme="minorHAnsi" w:hAnsiTheme="minorHAnsi" w:cstheme="minorHAnsi"/>
          <w:bCs/>
          <w:sz w:val="22"/>
          <w:szCs w:val="22"/>
        </w:rPr>
      </w:pPr>
      <w:hyperlink r:id="rId13" w:history="1">
        <w:r w:rsidR="002F456B" w:rsidRPr="00986131">
          <w:rPr>
            <w:rStyle w:val="Hipersaitas"/>
            <w:rFonts w:asciiTheme="minorHAnsi" w:hAnsiTheme="minorHAnsi" w:cstheme="minorHAnsi"/>
            <w:bCs/>
            <w:sz w:val="22"/>
            <w:szCs w:val="22"/>
          </w:rPr>
          <w:t>Prieiga internete</w:t>
        </w:r>
      </w:hyperlink>
    </w:p>
    <w:p w14:paraId="754B4CF3" w14:textId="77777777" w:rsidR="00816162" w:rsidRPr="00986131" w:rsidRDefault="00816162" w:rsidP="00AD0B10">
      <w:pPr>
        <w:pStyle w:val="c01pointnumerotealtn"/>
        <w:spacing w:before="0" w:beforeAutospacing="0" w:after="0"/>
        <w:ind w:left="0" w:firstLine="567"/>
        <w:rPr>
          <w:rStyle w:val="Hipersaitas"/>
          <w:rFonts w:asciiTheme="minorHAnsi" w:hAnsiTheme="minorHAnsi" w:cstheme="minorHAnsi"/>
          <w:bCs/>
          <w:sz w:val="22"/>
          <w:szCs w:val="22"/>
        </w:rPr>
      </w:pPr>
    </w:p>
    <w:p w14:paraId="515823D9" w14:textId="105EBEDE" w:rsidR="004D471B" w:rsidRPr="00986131" w:rsidRDefault="004D471B" w:rsidP="004D471B">
      <w:pPr>
        <w:pStyle w:val="Antrat2"/>
        <w:rPr>
          <w:rFonts w:cstheme="minorHAnsi"/>
          <w:szCs w:val="22"/>
        </w:rPr>
      </w:pPr>
      <w:bookmarkStart w:id="43" w:name="_Toc11232460"/>
      <w:bookmarkStart w:id="44" w:name="_Toc11232751"/>
      <w:bookmarkStart w:id="45" w:name="_Toc11757987"/>
      <w:r w:rsidRPr="00986131">
        <w:rPr>
          <w:rFonts w:cstheme="minorHAnsi"/>
          <w:szCs w:val="22"/>
        </w:rPr>
        <w:t xml:space="preserve">2019 m. vasario 7 d. </w:t>
      </w:r>
      <w:proofErr w:type="spellStart"/>
      <w:r w:rsidRPr="00986131">
        <w:rPr>
          <w:rFonts w:cstheme="minorHAnsi"/>
          <w:szCs w:val="22"/>
        </w:rPr>
        <w:t>prejudicinis</w:t>
      </w:r>
      <w:proofErr w:type="spellEnd"/>
      <w:r w:rsidRPr="00986131">
        <w:rPr>
          <w:rFonts w:cstheme="minorHAnsi"/>
          <w:szCs w:val="22"/>
        </w:rPr>
        <w:t xml:space="preserve"> sprendimas byloje C</w:t>
      </w:r>
      <w:r w:rsidRPr="00986131">
        <w:rPr>
          <w:rFonts w:cstheme="minorHAnsi"/>
          <w:szCs w:val="22"/>
        </w:rPr>
        <w:noBreakHyphen/>
        <w:t>322/17</w:t>
      </w:r>
      <w:bookmarkEnd w:id="43"/>
      <w:bookmarkEnd w:id="44"/>
      <w:bookmarkEnd w:id="45"/>
    </w:p>
    <w:p w14:paraId="3D642F5F" w14:textId="3C0FF935" w:rsidR="004D471B" w:rsidRPr="00986131" w:rsidRDefault="004D471B" w:rsidP="004D471B">
      <w:pPr>
        <w:jc w:val="center"/>
        <w:rPr>
          <w:rFonts w:asciiTheme="minorHAnsi" w:hAnsiTheme="minorHAnsi" w:cstheme="minorHAnsi"/>
          <w:b/>
          <w:bCs/>
          <w:i/>
        </w:rPr>
      </w:pPr>
      <w:proofErr w:type="spellStart"/>
      <w:r w:rsidRPr="00986131">
        <w:rPr>
          <w:rFonts w:asciiTheme="minorHAnsi" w:hAnsiTheme="minorHAnsi" w:cstheme="minorHAnsi"/>
          <w:b/>
          <w:bCs/>
          <w:i/>
        </w:rPr>
        <w:t>Eugen</w:t>
      </w:r>
      <w:proofErr w:type="spellEnd"/>
      <w:r w:rsidRPr="00986131">
        <w:rPr>
          <w:rFonts w:asciiTheme="minorHAnsi" w:hAnsiTheme="minorHAnsi" w:cstheme="minorHAnsi"/>
          <w:b/>
          <w:bCs/>
          <w:i/>
        </w:rPr>
        <w:t xml:space="preserve"> </w:t>
      </w:r>
      <w:proofErr w:type="spellStart"/>
      <w:r w:rsidRPr="00986131">
        <w:rPr>
          <w:rFonts w:asciiTheme="minorHAnsi" w:hAnsiTheme="minorHAnsi" w:cstheme="minorHAnsi"/>
          <w:b/>
          <w:bCs/>
          <w:i/>
        </w:rPr>
        <w:t>Bogatu</w:t>
      </w:r>
      <w:proofErr w:type="spellEnd"/>
      <w:r w:rsidRPr="00986131">
        <w:rPr>
          <w:rFonts w:asciiTheme="minorHAnsi" w:hAnsiTheme="minorHAnsi" w:cstheme="minorHAnsi"/>
          <w:b/>
          <w:bCs/>
          <w:i/>
        </w:rPr>
        <w:t xml:space="preserve"> </w:t>
      </w:r>
      <w:r w:rsidRPr="00986131">
        <w:rPr>
          <w:rFonts w:asciiTheme="minorHAnsi" w:hAnsiTheme="minorHAnsi" w:cstheme="minorHAnsi"/>
          <w:b/>
          <w:i/>
        </w:rPr>
        <w:t xml:space="preserve">prieš </w:t>
      </w:r>
      <w:proofErr w:type="spellStart"/>
      <w:r w:rsidRPr="00986131">
        <w:rPr>
          <w:rFonts w:asciiTheme="minorHAnsi" w:hAnsiTheme="minorHAnsi" w:cstheme="minorHAnsi"/>
          <w:b/>
          <w:bCs/>
          <w:i/>
        </w:rPr>
        <w:t>Minister</w:t>
      </w:r>
      <w:proofErr w:type="spellEnd"/>
      <w:r w:rsidRPr="00986131">
        <w:rPr>
          <w:rFonts w:asciiTheme="minorHAnsi" w:hAnsiTheme="minorHAnsi" w:cstheme="minorHAnsi"/>
          <w:b/>
          <w:bCs/>
          <w:i/>
        </w:rPr>
        <w:t xml:space="preserve"> </w:t>
      </w:r>
      <w:proofErr w:type="spellStart"/>
      <w:r w:rsidRPr="00986131">
        <w:rPr>
          <w:rFonts w:asciiTheme="minorHAnsi" w:hAnsiTheme="minorHAnsi" w:cstheme="minorHAnsi"/>
          <w:b/>
          <w:bCs/>
          <w:i/>
        </w:rPr>
        <w:t>for</w:t>
      </w:r>
      <w:proofErr w:type="spellEnd"/>
      <w:r w:rsidRPr="00986131">
        <w:rPr>
          <w:rFonts w:asciiTheme="minorHAnsi" w:hAnsiTheme="minorHAnsi" w:cstheme="minorHAnsi"/>
          <w:b/>
          <w:bCs/>
          <w:i/>
        </w:rPr>
        <w:t xml:space="preserve"> </w:t>
      </w:r>
      <w:proofErr w:type="spellStart"/>
      <w:r w:rsidRPr="00986131">
        <w:rPr>
          <w:rFonts w:asciiTheme="minorHAnsi" w:hAnsiTheme="minorHAnsi" w:cstheme="minorHAnsi"/>
          <w:b/>
          <w:bCs/>
          <w:i/>
        </w:rPr>
        <w:t>Social</w:t>
      </w:r>
      <w:proofErr w:type="spellEnd"/>
      <w:r w:rsidRPr="00986131">
        <w:rPr>
          <w:rFonts w:asciiTheme="minorHAnsi" w:hAnsiTheme="minorHAnsi" w:cstheme="minorHAnsi"/>
          <w:b/>
          <w:bCs/>
          <w:i/>
        </w:rPr>
        <w:t xml:space="preserve"> </w:t>
      </w:r>
      <w:proofErr w:type="spellStart"/>
      <w:r w:rsidRPr="00986131">
        <w:rPr>
          <w:rFonts w:asciiTheme="minorHAnsi" w:hAnsiTheme="minorHAnsi" w:cstheme="minorHAnsi"/>
          <w:b/>
          <w:bCs/>
          <w:i/>
        </w:rPr>
        <w:t>Protection</w:t>
      </w:r>
      <w:proofErr w:type="spellEnd"/>
    </w:p>
    <w:p w14:paraId="477A2CCC" w14:textId="77777777" w:rsidR="004D471B" w:rsidRPr="00986131" w:rsidRDefault="004D471B" w:rsidP="004D471B">
      <w:pPr>
        <w:ind w:firstLine="540"/>
        <w:rPr>
          <w:rFonts w:asciiTheme="minorHAnsi" w:hAnsiTheme="minorHAnsi" w:cstheme="minorHAnsi"/>
        </w:rPr>
      </w:pPr>
    </w:p>
    <w:p w14:paraId="35156D6B" w14:textId="59ECA2A9" w:rsidR="004D471B" w:rsidRPr="00986131" w:rsidRDefault="002B5283" w:rsidP="004D471B">
      <w:pPr>
        <w:ind w:firstLine="567"/>
        <w:rPr>
          <w:rFonts w:asciiTheme="minorHAnsi" w:hAnsiTheme="minorHAnsi" w:cstheme="minorHAnsi"/>
        </w:rPr>
      </w:pPr>
      <w:r w:rsidRPr="00986131">
        <w:rPr>
          <w:rFonts w:asciiTheme="minorHAnsi" w:hAnsiTheme="minorHAnsi" w:cstheme="minorHAnsi"/>
        </w:rPr>
        <w:t xml:space="preserve">Prašymas priimti </w:t>
      </w:r>
      <w:proofErr w:type="spellStart"/>
      <w:r w:rsidRPr="00986131">
        <w:rPr>
          <w:rFonts w:asciiTheme="minorHAnsi" w:hAnsiTheme="minorHAnsi" w:cstheme="minorHAnsi"/>
        </w:rPr>
        <w:t>prejudicinį</w:t>
      </w:r>
      <w:proofErr w:type="spellEnd"/>
      <w:r w:rsidRPr="00986131">
        <w:rPr>
          <w:rFonts w:asciiTheme="minorHAnsi" w:hAnsiTheme="minorHAnsi" w:cstheme="minorHAnsi"/>
        </w:rPr>
        <w:t xml:space="preserve"> sprendimą pateiktas dėl 2004 m. balandžio 29 d. Europos Parlamento ir Tarybos reglamento (EB) Nr. 883/2004 dėl socialinės apsaugos sistemų koordinavimo (OL L 166, 2004, p. 1; 2004 m. specialusis leidimas lietuvių k., 5 sk., 5 t., p. 72) </w:t>
      </w:r>
      <w:r w:rsidR="00602A20" w:rsidRPr="00986131">
        <w:rPr>
          <w:rFonts w:asciiTheme="minorHAnsi" w:hAnsiTheme="minorHAnsi" w:cstheme="minorHAnsi"/>
        </w:rPr>
        <w:t xml:space="preserve">(toliau – Reglamentas Nr. 883/2004) </w:t>
      </w:r>
      <w:r w:rsidRPr="00986131">
        <w:rPr>
          <w:rFonts w:asciiTheme="minorHAnsi" w:hAnsiTheme="minorHAnsi" w:cstheme="minorHAnsi"/>
        </w:rPr>
        <w:t xml:space="preserve">11 straipsnio 2 dalies ir 67 straipsnio išaiškinimo. Šis prašymas buvo pateiktas nagrinėjant </w:t>
      </w:r>
      <w:proofErr w:type="spellStart"/>
      <w:r w:rsidRPr="00986131">
        <w:rPr>
          <w:rFonts w:asciiTheme="minorHAnsi" w:hAnsiTheme="minorHAnsi" w:cstheme="minorHAnsi"/>
        </w:rPr>
        <w:t>Eugen</w:t>
      </w:r>
      <w:proofErr w:type="spellEnd"/>
      <w:r w:rsidRPr="00986131">
        <w:rPr>
          <w:rFonts w:asciiTheme="minorHAnsi" w:hAnsiTheme="minorHAnsi" w:cstheme="minorHAnsi"/>
        </w:rPr>
        <w:t xml:space="preserve"> </w:t>
      </w:r>
      <w:proofErr w:type="spellStart"/>
      <w:r w:rsidRPr="00986131">
        <w:rPr>
          <w:rFonts w:asciiTheme="minorHAnsi" w:hAnsiTheme="minorHAnsi" w:cstheme="minorHAnsi"/>
        </w:rPr>
        <w:t>Bogatu</w:t>
      </w:r>
      <w:proofErr w:type="spellEnd"/>
      <w:r w:rsidRPr="00986131">
        <w:rPr>
          <w:rFonts w:asciiTheme="minorHAnsi" w:hAnsiTheme="minorHAnsi" w:cstheme="minorHAnsi"/>
        </w:rPr>
        <w:t xml:space="preserve"> ir </w:t>
      </w:r>
      <w:proofErr w:type="spellStart"/>
      <w:r w:rsidRPr="00986131">
        <w:rPr>
          <w:rFonts w:asciiTheme="minorHAnsi" w:hAnsiTheme="minorHAnsi" w:cstheme="minorHAnsi"/>
          <w:i/>
          <w:iCs/>
        </w:rPr>
        <w:t>Minister</w:t>
      </w:r>
      <w:proofErr w:type="spellEnd"/>
      <w:r w:rsidRPr="00986131">
        <w:rPr>
          <w:rFonts w:asciiTheme="minorHAnsi" w:hAnsiTheme="minorHAnsi" w:cstheme="minorHAnsi"/>
          <w:i/>
          <w:iCs/>
        </w:rPr>
        <w:t xml:space="preserve"> </w:t>
      </w:r>
      <w:proofErr w:type="spellStart"/>
      <w:r w:rsidRPr="00986131">
        <w:rPr>
          <w:rFonts w:asciiTheme="minorHAnsi" w:hAnsiTheme="minorHAnsi" w:cstheme="minorHAnsi"/>
          <w:i/>
          <w:iCs/>
        </w:rPr>
        <w:t>for</w:t>
      </w:r>
      <w:proofErr w:type="spellEnd"/>
      <w:r w:rsidRPr="00986131">
        <w:rPr>
          <w:rFonts w:asciiTheme="minorHAnsi" w:hAnsiTheme="minorHAnsi" w:cstheme="minorHAnsi"/>
          <w:i/>
          <w:iCs/>
        </w:rPr>
        <w:t xml:space="preserve"> </w:t>
      </w:r>
      <w:proofErr w:type="spellStart"/>
      <w:r w:rsidRPr="00986131">
        <w:rPr>
          <w:rFonts w:asciiTheme="minorHAnsi" w:hAnsiTheme="minorHAnsi" w:cstheme="minorHAnsi"/>
          <w:i/>
          <w:iCs/>
        </w:rPr>
        <w:t>Social</w:t>
      </w:r>
      <w:proofErr w:type="spellEnd"/>
      <w:r w:rsidRPr="00986131">
        <w:rPr>
          <w:rFonts w:asciiTheme="minorHAnsi" w:hAnsiTheme="minorHAnsi" w:cstheme="minorHAnsi"/>
          <w:i/>
          <w:iCs/>
        </w:rPr>
        <w:t xml:space="preserve"> </w:t>
      </w:r>
      <w:proofErr w:type="spellStart"/>
      <w:r w:rsidRPr="00986131">
        <w:rPr>
          <w:rFonts w:asciiTheme="minorHAnsi" w:hAnsiTheme="minorHAnsi" w:cstheme="minorHAnsi"/>
          <w:i/>
          <w:iCs/>
        </w:rPr>
        <w:t>Protection</w:t>
      </w:r>
      <w:proofErr w:type="spellEnd"/>
      <w:r w:rsidRPr="00986131">
        <w:rPr>
          <w:rFonts w:asciiTheme="minorHAnsi" w:hAnsiTheme="minorHAnsi" w:cstheme="minorHAnsi"/>
        </w:rPr>
        <w:t> (socialinės apsaugos ministras, Airija; toliau – ministras) ginčą dėl sprendimo, kuriuo ministras atsisakė E. </w:t>
      </w:r>
      <w:proofErr w:type="spellStart"/>
      <w:r w:rsidRPr="00986131">
        <w:rPr>
          <w:rFonts w:asciiTheme="minorHAnsi" w:hAnsiTheme="minorHAnsi" w:cstheme="minorHAnsi"/>
        </w:rPr>
        <w:t>Bogatu</w:t>
      </w:r>
      <w:proofErr w:type="spellEnd"/>
      <w:r w:rsidRPr="00986131">
        <w:rPr>
          <w:rFonts w:asciiTheme="minorHAnsi" w:hAnsiTheme="minorHAnsi" w:cstheme="minorHAnsi"/>
        </w:rPr>
        <w:t xml:space="preserve"> išmokėti šeimos išmokas už dalį jo prašyme nurodyto laikotarpio </w:t>
      </w:r>
      <w:r w:rsidR="004D471B" w:rsidRPr="00986131">
        <w:rPr>
          <w:rFonts w:asciiTheme="minorHAnsi" w:hAnsiTheme="minorHAnsi" w:cstheme="minorHAnsi"/>
        </w:rPr>
        <w:t>(1–2 punktai).</w:t>
      </w:r>
    </w:p>
    <w:p w14:paraId="12137D83" w14:textId="66290E6D" w:rsidR="004D471B" w:rsidRPr="00986131" w:rsidRDefault="004D471B" w:rsidP="004D471B">
      <w:pPr>
        <w:ind w:firstLine="567"/>
        <w:rPr>
          <w:rFonts w:asciiTheme="minorHAnsi" w:hAnsiTheme="minorHAnsi" w:cstheme="minorHAnsi"/>
        </w:rPr>
      </w:pPr>
      <w:r w:rsidRPr="00986131">
        <w:rPr>
          <w:rFonts w:asciiTheme="minorHAnsi" w:hAnsiTheme="minorHAnsi" w:cstheme="minorHAnsi"/>
        </w:rPr>
        <w:t xml:space="preserve">Byloje susiklostė ši faktinė situacija: </w:t>
      </w:r>
      <w:r w:rsidR="009713FC" w:rsidRPr="00986131">
        <w:rPr>
          <w:rFonts w:asciiTheme="minorHAnsi" w:hAnsiTheme="minorHAnsi" w:cstheme="minorHAnsi"/>
        </w:rPr>
        <w:t>E. </w:t>
      </w:r>
      <w:proofErr w:type="spellStart"/>
      <w:r w:rsidR="009713FC" w:rsidRPr="00986131">
        <w:rPr>
          <w:rFonts w:asciiTheme="minorHAnsi" w:hAnsiTheme="minorHAnsi" w:cstheme="minorHAnsi"/>
        </w:rPr>
        <w:t>Bogatu</w:t>
      </w:r>
      <w:proofErr w:type="spellEnd"/>
      <w:r w:rsidR="009713FC" w:rsidRPr="00986131">
        <w:rPr>
          <w:rFonts w:asciiTheme="minorHAnsi" w:hAnsiTheme="minorHAnsi" w:cstheme="minorHAnsi"/>
        </w:rPr>
        <w:t xml:space="preserve"> yra Rumunijos pilietis, nuo 2003 metų gyvenantis Airijoje. Jis yra dviejų Rumunijoje gyvenančių vaikų tėvas. E. </w:t>
      </w:r>
      <w:proofErr w:type="spellStart"/>
      <w:r w:rsidR="009713FC" w:rsidRPr="00986131">
        <w:rPr>
          <w:rFonts w:asciiTheme="minorHAnsi" w:hAnsiTheme="minorHAnsi" w:cstheme="minorHAnsi"/>
        </w:rPr>
        <w:t>Bogatu</w:t>
      </w:r>
      <w:proofErr w:type="spellEnd"/>
      <w:r w:rsidR="009713FC" w:rsidRPr="00986131">
        <w:rPr>
          <w:rFonts w:asciiTheme="minorHAnsi" w:hAnsiTheme="minorHAnsi" w:cstheme="minorHAnsi"/>
        </w:rPr>
        <w:t xml:space="preserve"> Airijoje dirbo pagal darbo sutartį nuo 2003 m. gegužės 26 d. iki 2009 m. vasario 13 d., kai prarado darbą. Nuo tada jis paeiliui gavo įmokinę bedarbio pašalpą (nuo 2009 m. vasario 20 d. iki 2010 m. kovo 24 d.), paskui neįmokinę bedarbio pašalpą (nuo 2010 m. kovo 25 d. iki 2013 m. sausio 4 d.) ir, galiausiai, ligos išmoką (nuo 2013 m. sausio 15 d. iki 2015 m. sausio 30 d.). 2009 m. sausio 27 d. jis paprašė skirti jam taip pat šeimos išmokas.</w:t>
      </w:r>
      <w:r w:rsidR="009713FC" w:rsidRPr="00986131">
        <w:rPr>
          <w:rFonts w:ascii="Verdana" w:hAnsi="Verdana"/>
          <w:color w:val="333333"/>
          <w:sz w:val="18"/>
          <w:szCs w:val="18"/>
          <w:shd w:val="clear" w:color="auto" w:fill="FFFFFF"/>
        </w:rPr>
        <w:t xml:space="preserve"> </w:t>
      </w:r>
      <w:r w:rsidR="009713FC" w:rsidRPr="00986131">
        <w:rPr>
          <w:rFonts w:asciiTheme="minorHAnsi" w:hAnsiTheme="minorHAnsi" w:cstheme="minorHAnsi"/>
        </w:rPr>
        <w:t xml:space="preserve">2011 m. sausio 12 d. ir 2015 m. sausio 16 d. raštais ministras informavo jį apie savo sprendimą patenkinti šį prašymą, išskyrus tą dalį, </w:t>
      </w:r>
      <w:r w:rsidR="009713FC" w:rsidRPr="00986131">
        <w:rPr>
          <w:rFonts w:asciiTheme="minorHAnsi" w:hAnsiTheme="minorHAnsi" w:cstheme="minorHAnsi"/>
        </w:rPr>
        <w:lastRenderedPageBreak/>
        <w:t>kuri susijusi su laikotarpiu nuo 2010 m. balandžio 1 d. iki 2013 m. sausio 31 d. Ministras taip pat nurodė, kad jo neigiamas atsakymas dėl minėto laikotarpio grindžiamas tuo, kad tuo metu E. </w:t>
      </w:r>
      <w:proofErr w:type="spellStart"/>
      <w:r w:rsidR="009713FC" w:rsidRPr="00986131">
        <w:rPr>
          <w:rFonts w:asciiTheme="minorHAnsi" w:hAnsiTheme="minorHAnsi" w:cstheme="minorHAnsi"/>
        </w:rPr>
        <w:t>Bogatu</w:t>
      </w:r>
      <w:proofErr w:type="spellEnd"/>
      <w:r w:rsidR="009713FC" w:rsidRPr="00986131">
        <w:rPr>
          <w:rFonts w:asciiTheme="minorHAnsi" w:hAnsiTheme="minorHAnsi" w:cstheme="minorHAnsi"/>
        </w:rPr>
        <w:t xml:space="preserve"> neatitiko nė vienos sąlygos, būtinos siekiant įgyti teisę gauti šeimos išmokas už Rumunijoje gyvenančius vaikus, nes nedirbo pagal darbo sutartį Airijoje, taip pat negavo įmokinių išmokų (10–13 punktai). Ginčui pasiekus teismą, Airijos Aukštasis teismas nutarė sustabdyti bylą ir kreiptis į Teisingumo Teismą su </w:t>
      </w:r>
      <w:proofErr w:type="spellStart"/>
      <w:r w:rsidR="009713FC" w:rsidRPr="00986131">
        <w:rPr>
          <w:rFonts w:asciiTheme="minorHAnsi" w:hAnsiTheme="minorHAnsi" w:cstheme="minorHAnsi"/>
        </w:rPr>
        <w:t>prejudiciniais</w:t>
      </w:r>
      <w:proofErr w:type="spellEnd"/>
      <w:r w:rsidR="009713FC" w:rsidRPr="00986131">
        <w:rPr>
          <w:rFonts w:asciiTheme="minorHAnsi" w:hAnsiTheme="minorHAnsi" w:cstheme="minorHAnsi"/>
        </w:rPr>
        <w:t xml:space="preserve"> klausimais (18 punktas).</w:t>
      </w:r>
    </w:p>
    <w:p w14:paraId="10C2C3B0" w14:textId="77777777" w:rsidR="004D471B" w:rsidRPr="00986131" w:rsidRDefault="004D471B" w:rsidP="004D471B">
      <w:pPr>
        <w:ind w:firstLine="567"/>
        <w:rPr>
          <w:rFonts w:asciiTheme="minorHAnsi" w:hAnsiTheme="minorHAnsi" w:cstheme="minorHAnsi"/>
        </w:rPr>
      </w:pPr>
    </w:p>
    <w:p w14:paraId="1AD9FA27" w14:textId="1694C33E" w:rsidR="004D471B" w:rsidRPr="00986131" w:rsidRDefault="004D471B" w:rsidP="004D471B">
      <w:pPr>
        <w:pStyle w:val="Antrat3"/>
        <w:ind w:firstLine="567"/>
        <w:rPr>
          <w:rFonts w:cstheme="minorHAnsi"/>
        </w:rPr>
      </w:pPr>
      <w:bookmarkStart w:id="46" w:name="_Toc11232461"/>
      <w:bookmarkStart w:id="47" w:name="_Toc11232752"/>
      <w:bookmarkStart w:id="48" w:name="_Toc11757988"/>
      <w:r w:rsidRPr="00986131">
        <w:rPr>
          <w:rFonts w:cstheme="minorHAnsi"/>
        </w:rPr>
        <w:t xml:space="preserve">Dėl </w:t>
      </w:r>
      <w:r w:rsidR="00E86A18" w:rsidRPr="00986131">
        <w:rPr>
          <w:rFonts w:cstheme="minorHAnsi"/>
        </w:rPr>
        <w:t>Reglamento Nr. 883/2004 nuostatų aiškinimo asmeniui siekiant gauti išmokas šeimai kompetentingoje valstybėje narėje</w:t>
      </w:r>
      <w:bookmarkEnd w:id="46"/>
      <w:bookmarkEnd w:id="47"/>
      <w:bookmarkEnd w:id="48"/>
    </w:p>
    <w:p w14:paraId="375E5B06" w14:textId="77777777" w:rsidR="004D471B" w:rsidRPr="00986131" w:rsidRDefault="004D471B" w:rsidP="004D471B">
      <w:pPr>
        <w:ind w:firstLine="567"/>
        <w:rPr>
          <w:rFonts w:asciiTheme="minorHAnsi" w:hAnsiTheme="minorHAnsi" w:cstheme="minorHAnsi"/>
          <w:b/>
        </w:rPr>
      </w:pPr>
    </w:p>
    <w:p w14:paraId="2DCFD23D" w14:textId="2EA14BAC" w:rsidR="004D471B" w:rsidRPr="00986131" w:rsidRDefault="00E613EF" w:rsidP="00F82F7A">
      <w:pPr>
        <w:ind w:firstLine="567"/>
        <w:rPr>
          <w:rFonts w:asciiTheme="minorHAnsi" w:hAnsiTheme="minorHAnsi" w:cstheme="minorHAnsi"/>
        </w:rPr>
      </w:pPr>
      <w:r w:rsidRPr="00986131">
        <w:rPr>
          <w:rFonts w:asciiTheme="minorHAnsi" w:hAnsiTheme="minorHAnsi" w:cstheme="minorHAnsi"/>
        </w:rPr>
        <w:t>P</w:t>
      </w:r>
      <w:r w:rsidR="00E86A18" w:rsidRPr="00986131">
        <w:rPr>
          <w:rFonts w:asciiTheme="minorHAnsi" w:hAnsiTheme="minorHAnsi" w:cstheme="minorHAnsi"/>
        </w:rPr>
        <w:t xml:space="preserve">rašymą priimti </w:t>
      </w:r>
      <w:proofErr w:type="spellStart"/>
      <w:r w:rsidR="00E86A18" w:rsidRPr="00986131">
        <w:rPr>
          <w:rFonts w:asciiTheme="minorHAnsi" w:hAnsiTheme="minorHAnsi" w:cstheme="minorHAnsi"/>
        </w:rPr>
        <w:t>prejudicinį</w:t>
      </w:r>
      <w:proofErr w:type="spellEnd"/>
      <w:r w:rsidR="00E86A18" w:rsidRPr="00986131">
        <w:rPr>
          <w:rFonts w:asciiTheme="minorHAnsi" w:hAnsiTheme="minorHAnsi" w:cstheme="minorHAnsi"/>
        </w:rPr>
        <w:t xml:space="preserve"> sprendimą pateikęs teismas iš esmės siekė išsiaiškinti, ar Reglamentas Nr. 883/2004, ypač jo 67 straipsnis, taikomas kartu su reglamento 11 straipsnio 2 dalimi, turi būti aiškinamas taip, kad esant tokiai situacijai, kaip nagrinėjama pagrindinėje byloje, tam, kad asmuo atitiktų reikalavimus gauti išmokas šeimai kompetentingoje valstybėje narėje, reikia, kad tas asmuo dirbtų pagal darbo sutartį toje valstybėje narėje arba kad ta valstybė narė dėl darbo pagal darbo sutartį jam mokėtų išmoką pinigais (19</w:t>
      </w:r>
      <w:r w:rsidRPr="00986131">
        <w:rPr>
          <w:rFonts w:asciiTheme="minorHAnsi" w:hAnsiTheme="minorHAnsi" w:cstheme="minorHAnsi"/>
        </w:rPr>
        <w:t> </w:t>
      </w:r>
      <w:r w:rsidR="00E86A18" w:rsidRPr="00986131">
        <w:rPr>
          <w:rFonts w:asciiTheme="minorHAnsi" w:hAnsiTheme="minorHAnsi" w:cstheme="minorHAnsi"/>
        </w:rPr>
        <w:t>punktas).</w:t>
      </w:r>
    </w:p>
    <w:p w14:paraId="10137BE3" w14:textId="386D1811" w:rsidR="00F82F7A" w:rsidRPr="00986131" w:rsidRDefault="00602A20" w:rsidP="00F82F7A">
      <w:pPr>
        <w:ind w:firstLine="567"/>
        <w:rPr>
          <w:rFonts w:asciiTheme="minorHAnsi" w:hAnsiTheme="minorHAnsi" w:cstheme="minorHAnsi"/>
        </w:rPr>
      </w:pPr>
      <w:r w:rsidRPr="00986131">
        <w:rPr>
          <w:rFonts w:asciiTheme="minorHAnsi" w:hAnsiTheme="minorHAnsi" w:cstheme="minorHAnsi"/>
        </w:rPr>
        <w:t>Teisingumo Teismas pažymėjo, jog Reglamento Nr. 883/2004 67 straipsnis nustato, kad asmuo turi teisę gauti šeimos išmokas pagal kompetentingos valstybės narės teisės aktus taip pat už savo šeimos narius, gyvenančius kitoje valstybėje narėje, tartum jie gyventų pirmojoje valstybėje narėje (21 punktas).</w:t>
      </w:r>
      <w:r w:rsidRPr="00986131">
        <w:rPr>
          <w:rFonts w:ascii="Verdana" w:hAnsi="Verdana"/>
          <w:color w:val="333333"/>
          <w:sz w:val="18"/>
          <w:szCs w:val="18"/>
          <w:shd w:val="clear" w:color="auto" w:fill="FFFFFF"/>
        </w:rPr>
        <w:t xml:space="preserve"> </w:t>
      </w:r>
      <w:r w:rsidRPr="00986131">
        <w:rPr>
          <w:rFonts w:asciiTheme="minorHAnsi" w:hAnsiTheme="minorHAnsi" w:cstheme="minorHAnsi"/>
        </w:rPr>
        <w:t>Kaip matyti iš šio straipsnio formuluotės, nors ir daroma nuoroda į „asmeniui“ suteiktas teises, joje nereikalaujama, kad tokiam asmeniui būtų suteiktas specialus statusas, konkrečiai, kad tai būtų pagal darbo sutartį dirbantis asmuo. Vis dėlto, šioje formuluotėje nenurodyti reikalavimai, kuriuos turi atitikti asmuo, siekiantis gauti šeimos išmokas, o šiuo atveju remiamasi kompetentingos valstybės narės teisės aktais</w:t>
      </w:r>
      <w:r w:rsidR="00D24F92" w:rsidRPr="00986131">
        <w:rPr>
          <w:rFonts w:asciiTheme="minorHAnsi" w:hAnsiTheme="minorHAnsi" w:cstheme="minorHAnsi"/>
        </w:rPr>
        <w:t xml:space="preserve"> (22 punktas)</w:t>
      </w:r>
      <w:r w:rsidRPr="00986131">
        <w:rPr>
          <w:rFonts w:asciiTheme="minorHAnsi" w:hAnsiTheme="minorHAnsi" w:cstheme="minorHAnsi"/>
        </w:rPr>
        <w:t>.</w:t>
      </w:r>
    </w:p>
    <w:p w14:paraId="18C132B9" w14:textId="70E0648B" w:rsidR="004D471B" w:rsidRPr="00986131" w:rsidRDefault="00D24F92" w:rsidP="00D24F92">
      <w:pPr>
        <w:ind w:firstLine="567"/>
        <w:rPr>
          <w:rFonts w:asciiTheme="minorHAnsi" w:hAnsiTheme="minorHAnsi" w:cstheme="minorHAnsi"/>
        </w:rPr>
      </w:pPr>
      <w:r w:rsidRPr="00986131">
        <w:rPr>
          <w:rFonts w:asciiTheme="minorHAnsi" w:hAnsiTheme="minorHAnsi" w:cstheme="minorHAnsi"/>
        </w:rPr>
        <w:t>Visų pirma</w:t>
      </w:r>
      <w:r w:rsidR="00F02DEE" w:rsidRPr="00986131">
        <w:rPr>
          <w:rFonts w:asciiTheme="minorHAnsi" w:hAnsiTheme="minorHAnsi" w:cstheme="minorHAnsi"/>
        </w:rPr>
        <w:t>,</w:t>
      </w:r>
      <w:r w:rsidRPr="00986131">
        <w:rPr>
          <w:rFonts w:ascii="Verdana" w:hAnsi="Verdana"/>
          <w:color w:val="333333"/>
          <w:sz w:val="18"/>
          <w:szCs w:val="18"/>
          <w:shd w:val="clear" w:color="auto" w:fill="FFFFFF"/>
        </w:rPr>
        <w:t xml:space="preserve"> </w:t>
      </w:r>
      <w:r w:rsidRPr="00986131">
        <w:rPr>
          <w:rFonts w:asciiTheme="minorHAnsi" w:hAnsiTheme="minorHAnsi" w:cstheme="minorHAnsi"/>
        </w:rPr>
        <w:t>kalb</w:t>
      </w:r>
      <w:r w:rsidR="00F02DEE" w:rsidRPr="00986131">
        <w:rPr>
          <w:rFonts w:asciiTheme="minorHAnsi" w:hAnsiTheme="minorHAnsi" w:cstheme="minorHAnsi"/>
        </w:rPr>
        <w:t>ėdamas</w:t>
      </w:r>
      <w:r w:rsidRPr="00986131">
        <w:rPr>
          <w:rFonts w:asciiTheme="minorHAnsi" w:hAnsiTheme="minorHAnsi" w:cstheme="minorHAnsi"/>
        </w:rPr>
        <w:t xml:space="preserve"> apie Reglamento Nr. 883/2004 67 straipsnio kontekstą, </w:t>
      </w:r>
      <w:r w:rsidR="00F02DEE" w:rsidRPr="00986131">
        <w:rPr>
          <w:rFonts w:asciiTheme="minorHAnsi" w:hAnsiTheme="minorHAnsi" w:cstheme="minorHAnsi"/>
        </w:rPr>
        <w:t>Teismas</w:t>
      </w:r>
      <w:r w:rsidRPr="00986131">
        <w:rPr>
          <w:rFonts w:asciiTheme="minorHAnsi" w:hAnsiTheme="minorHAnsi" w:cstheme="minorHAnsi"/>
        </w:rPr>
        <w:t xml:space="preserve"> pažymė</w:t>
      </w:r>
      <w:r w:rsidR="00F02DEE" w:rsidRPr="00986131">
        <w:rPr>
          <w:rFonts w:asciiTheme="minorHAnsi" w:hAnsiTheme="minorHAnsi" w:cstheme="minorHAnsi"/>
        </w:rPr>
        <w:t>jo</w:t>
      </w:r>
      <w:r w:rsidRPr="00986131">
        <w:rPr>
          <w:rFonts w:asciiTheme="minorHAnsi" w:hAnsiTheme="minorHAnsi" w:cstheme="minorHAnsi"/>
        </w:rPr>
        <w:t>, kad šis straipsnis turi būti taikomas kartu su šio reglamento 68 straipsnio 1 dalies a punktu, kuris yra taikomas tais atvejais, kai šeimos išmokos skirtingu pagrindu yra numatomos mokėti daugiau nei vienos valstybės narės teisės aktuose, ir kuris tokiais atvejais nustato pirmenybės taisykles, į kurias atsižvelgiama tokia tvarka: teisės į išmokas, įgytos dirbant pagal darbo sutartį, paskui – teisės į išmokas, įgytos pensijos mokėjimo pagrindu, ir galiausiai – teisės į išmokas, įgytos gyvenamosios vietos pagrindu</w:t>
      </w:r>
      <w:r w:rsidR="00F02DEE" w:rsidRPr="00986131">
        <w:rPr>
          <w:rFonts w:asciiTheme="minorHAnsi" w:hAnsiTheme="minorHAnsi" w:cstheme="minorHAnsi"/>
        </w:rPr>
        <w:t xml:space="preserve"> (24 punktas)</w:t>
      </w:r>
      <w:r w:rsidRPr="00986131">
        <w:rPr>
          <w:rFonts w:asciiTheme="minorHAnsi" w:hAnsiTheme="minorHAnsi" w:cstheme="minorHAnsi"/>
        </w:rPr>
        <w:t>.</w:t>
      </w:r>
      <w:r w:rsidR="00F02DEE" w:rsidRPr="00986131">
        <w:rPr>
          <w:rFonts w:ascii="Verdana" w:hAnsi="Verdana"/>
          <w:color w:val="333333"/>
          <w:sz w:val="18"/>
          <w:szCs w:val="18"/>
          <w:shd w:val="clear" w:color="auto" w:fill="FFFFFF"/>
        </w:rPr>
        <w:t xml:space="preserve"> </w:t>
      </w:r>
      <w:r w:rsidR="00F02DEE" w:rsidRPr="00986131">
        <w:rPr>
          <w:rFonts w:asciiTheme="minorHAnsi" w:hAnsiTheme="minorHAnsi" w:cstheme="minorHAnsi"/>
        </w:rPr>
        <w:t>Kadangi šioje nuostatoje išvardijami keli pagrindai, pagal kuriuos šeimos išmokos gali būti mokėtinos asmeniui, įskaitant išmoką, įgytą dirbant pagal darbo sutartį, negali būti laikoma, kad Reglamento Nr. 883/2004 67 straipsnis apsiriboja tik šios veiklos pagrindu skiriamomis išmokomis (25 punktas).</w:t>
      </w:r>
      <w:r w:rsidR="00F02DEE" w:rsidRPr="00986131">
        <w:rPr>
          <w:rFonts w:ascii="Verdana" w:hAnsi="Verdana"/>
          <w:color w:val="333333"/>
          <w:sz w:val="18"/>
          <w:szCs w:val="18"/>
          <w:shd w:val="clear" w:color="auto" w:fill="FFFFFF"/>
        </w:rPr>
        <w:t xml:space="preserve"> </w:t>
      </w:r>
      <w:r w:rsidR="00F02DEE" w:rsidRPr="00986131">
        <w:rPr>
          <w:rFonts w:asciiTheme="minorHAnsi" w:hAnsiTheme="minorHAnsi" w:cstheme="minorHAnsi"/>
        </w:rPr>
        <w:t>Be to, kalbant apie Reglamento Nr. 883/2004 67 straipsnio tikslą, pažymėta, kad Sąjungos teisės aktų leidėjo tikslas priimant šį reglamentą buvo visų pirma išplėsti jo taikymo sritį ir nustatyti kitas asmenų kategorijas nei pagal darbo sutartį dirbančių asmenų kategorija, ypač ekonomiškai neaktyvius asmenis, kurių Reglamentas Nr. 1408/71 neapėmė (26 punktas).</w:t>
      </w:r>
      <w:r w:rsidR="005729FB" w:rsidRPr="00986131">
        <w:rPr>
          <w:rFonts w:ascii="Verdana" w:hAnsi="Verdana"/>
          <w:color w:val="333333"/>
          <w:sz w:val="18"/>
          <w:szCs w:val="18"/>
          <w:shd w:val="clear" w:color="auto" w:fill="FFFFFF"/>
        </w:rPr>
        <w:t xml:space="preserve"> </w:t>
      </w:r>
      <w:r w:rsidR="005729FB" w:rsidRPr="00986131">
        <w:rPr>
          <w:rFonts w:asciiTheme="minorHAnsi" w:hAnsiTheme="minorHAnsi" w:cstheme="minorHAnsi"/>
        </w:rPr>
        <w:t xml:space="preserve">Dėl to </w:t>
      </w:r>
      <w:r w:rsidR="005729FB" w:rsidRPr="00986131">
        <w:rPr>
          <w:rFonts w:asciiTheme="minorHAnsi" w:hAnsiTheme="minorHAnsi" w:cstheme="minorHAnsi"/>
          <w:u w:val="single"/>
        </w:rPr>
        <w:t>Reglamento Nr. 883/2004 67 straipsnis turi būti aiškinamas taip, kad pagal jį nereikalaujama, jog atitinkamas asmuo dirbtų pagal darbo sutartį kompetentingoje valstybėje narėje tam, kad ten atitiktų reikalavimus, keliamus teisei gauti šeimos išmokas</w:t>
      </w:r>
      <w:r w:rsidR="005729FB" w:rsidRPr="00986131">
        <w:rPr>
          <w:rFonts w:asciiTheme="minorHAnsi" w:hAnsiTheme="minorHAnsi" w:cstheme="minorHAnsi"/>
        </w:rPr>
        <w:t xml:space="preserve"> (29 punktas)</w:t>
      </w:r>
      <w:r w:rsidR="00E613EF" w:rsidRPr="00986131">
        <w:rPr>
          <w:rFonts w:asciiTheme="minorHAnsi" w:hAnsiTheme="minorHAnsi" w:cstheme="minorHAnsi"/>
        </w:rPr>
        <w:t xml:space="preserve">. Taip pat </w:t>
      </w:r>
      <w:r w:rsidR="00E613EF" w:rsidRPr="00986131">
        <w:rPr>
          <w:rFonts w:asciiTheme="minorHAnsi" w:hAnsiTheme="minorHAnsi" w:cstheme="minorHAnsi"/>
          <w:u w:val="single"/>
        </w:rPr>
        <w:t>Reglamento Nr. 883/2004 67 straipsnis turi būti aiškinamas taip, kad nereikalaujama, jog valstybės narės kompetencija konkretaus asmens atžvilgiu dėl šeimos išmokų būtų pagrįsta kokios nors atlyginamos veiklos vykdymu, įskaitant ankstesnį darbą pagal darbo sutartį</w:t>
      </w:r>
      <w:r w:rsidR="00E613EF" w:rsidRPr="00986131">
        <w:rPr>
          <w:rFonts w:asciiTheme="minorHAnsi" w:hAnsiTheme="minorHAnsi" w:cstheme="minorHAnsi"/>
        </w:rPr>
        <w:t xml:space="preserve"> (31 punktas).</w:t>
      </w:r>
    </w:p>
    <w:p w14:paraId="1424717B" w14:textId="77777777" w:rsidR="00D24F92" w:rsidRPr="00986131" w:rsidRDefault="00D24F92" w:rsidP="004D471B">
      <w:pPr>
        <w:rPr>
          <w:rFonts w:asciiTheme="minorHAnsi" w:hAnsiTheme="minorHAnsi" w:cstheme="minorHAnsi"/>
        </w:rPr>
      </w:pPr>
    </w:p>
    <w:p w14:paraId="46C39E66" w14:textId="341CB2DD" w:rsidR="004D471B" w:rsidRPr="00986131" w:rsidRDefault="004D471B" w:rsidP="004D471B">
      <w:pPr>
        <w:ind w:firstLine="567"/>
        <w:rPr>
          <w:rFonts w:asciiTheme="minorHAnsi" w:hAnsiTheme="minorHAnsi" w:cstheme="minorHAnsi"/>
        </w:rPr>
      </w:pPr>
      <w:r w:rsidRPr="00986131">
        <w:rPr>
          <w:rFonts w:asciiTheme="minorHAnsi" w:hAnsiTheme="minorHAnsi" w:cstheme="minorHAnsi"/>
          <w:b/>
        </w:rPr>
        <w:t>Remdamasis šiais motyvais, Teisingumo Teismas (</w:t>
      </w:r>
      <w:r w:rsidR="00835617" w:rsidRPr="00986131">
        <w:rPr>
          <w:rFonts w:asciiTheme="minorHAnsi" w:hAnsiTheme="minorHAnsi" w:cstheme="minorHAnsi"/>
          <w:b/>
        </w:rPr>
        <w:t>trečioji</w:t>
      </w:r>
      <w:r w:rsidRPr="00986131">
        <w:rPr>
          <w:rFonts w:asciiTheme="minorHAnsi" w:hAnsiTheme="minorHAnsi" w:cstheme="minorHAnsi"/>
          <w:b/>
        </w:rPr>
        <w:t xml:space="preserve"> kolegija) nusprendė:</w:t>
      </w:r>
    </w:p>
    <w:p w14:paraId="26D6C889" w14:textId="77777777" w:rsidR="00835617" w:rsidRPr="00986131" w:rsidRDefault="00835617" w:rsidP="004D471B">
      <w:pPr>
        <w:pStyle w:val="c01pointnumerotealtn"/>
        <w:spacing w:before="0" w:beforeAutospacing="0" w:after="0"/>
        <w:ind w:left="0" w:firstLine="567"/>
        <w:rPr>
          <w:rFonts w:asciiTheme="minorHAnsi" w:hAnsiTheme="minorHAnsi" w:cstheme="minorHAnsi"/>
          <w:bCs/>
          <w:sz w:val="22"/>
          <w:szCs w:val="22"/>
        </w:rPr>
      </w:pPr>
      <w:r w:rsidRPr="00986131">
        <w:rPr>
          <w:rFonts w:asciiTheme="minorHAnsi" w:hAnsiTheme="minorHAnsi" w:cstheme="minorHAnsi"/>
          <w:bCs/>
          <w:sz w:val="22"/>
          <w:szCs w:val="22"/>
        </w:rPr>
        <w:t>2004 m. balandžio 29 d. Europos Parlamento ir Tarybos reglamentas (EB) Nr. 883/2004 dėl socialinės apsaugos sistemų koordinavimo, ypač jo 67 straipsnis, taikomas kartu su šio reglamento 11 straipsnio 2 dalimi, turi būti aiškinamas taip, kad, esant tokiai situacijai, kaip pagrindinėje byloje, tam, kad asmuo atitiktų reikalavimus gauti šeimos išmokas kompetentingoje valstybėje narėje, nereikia, kad šis asmuo dirbtų pagal darbo sutartį toje valstybėje narėje arba kad ta valstybė narė dėl tokio darbo mokėtų jam išmoką pinigais.</w:t>
      </w:r>
    </w:p>
    <w:p w14:paraId="57B96393" w14:textId="558C74D7" w:rsidR="004D471B" w:rsidRPr="00986131" w:rsidRDefault="006A47DB" w:rsidP="004D471B">
      <w:pPr>
        <w:pStyle w:val="c01pointnumerotealtn"/>
        <w:spacing w:before="0" w:beforeAutospacing="0" w:after="0"/>
        <w:ind w:left="0" w:firstLine="567"/>
        <w:rPr>
          <w:rFonts w:asciiTheme="minorHAnsi" w:hAnsiTheme="minorHAnsi" w:cstheme="minorHAnsi"/>
          <w:bCs/>
          <w:sz w:val="22"/>
          <w:szCs w:val="22"/>
        </w:rPr>
      </w:pPr>
      <w:hyperlink r:id="rId14" w:history="1">
        <w:r w:rsidR="004D471B" w:rsidRPr="00986131">
          <w:rPr>
            <w:rStyle w:val="Hipersaitas"/>
            <w:rFonts w:asciiTheme="minorHAnsi" w:hAnsiTheme="minorHAnsi" w:cstheme="minorHAnsi"/>
            <w:bCs/>
            <w:sz w:val="22"/>
            <w:szCs w:val="22"/>
          </w:rPr>
          <w:t>Prieiga internete</w:t>
        </w:r>
      </w:hyperlink>
    </w:p>
    <w:p w14:paraId="6E07095F" w14:textId="77777777" w:rsidR="000501D2" w:rsidRDefault="000501D2" w:rsidP="000501D2">
      <w:pPr>
        <w:rPr>
          <w:rStyle w:val="Hipersaitas"/>
          <w:rFonts w:eastAsia="Times New Roman" w:cstheme="minorHAnsi"/>
          <w:b/>
          <w:bCs/>
          <w:lang w:eastAsia="lt-LT"/>
        </w:rPr>
      </w:pPr>
    </w:p>
    <w:p w14:paraId="68140F77" w14:textId="77777777" w:rsidR="005F534F" w:rsidRDefault="005F534F" w:rsidP="000501D2">
      <w:pPr>
        <w:rPr>
          <w:rStyle w:val="Hipersaitas"/>
          <w:rFonts w:eastAsia="Times New Roman" w:cstheme="minorHAnsi"/>
          <w:b/>
          <w:bCs/>
          <w:lang w:eastAsia="lt-LT"/>
        </w:rPr>
      </w:pPr>
    </w:p>
    <w:p w14:paraId="64A224D7" w14:textId="77777777" w:rsidR="005F534F" w:rsidRDefault="005F534F" w:rsidP="000501D2">
      <w:pPr>
        <w:rPr>
          <w:rStyle w:val="Hipersaitas"/>
          <w:rFonts w:eastAsia="Times New Roman" w:cstheme="minorHAnsi"/>
          <w:b/>
          <w:bCs/>
          <w:lang w:eastAsia="lt-LT"/>
        </w:rPr>
      </w:pPr>
    </w:p>
    <w:p w14:paraId="07CD9382" w14:textId="38C796DA" w:rsidR="00B47BC3" w:rsidRPr="00986131" w:rsidRDefault="00B47BC3" w:rsidP="000501D2">
      <w:pPr>
        <w:pStyle w:val="Antrat1"/>
        <w:keepLines w:val="0"/>
        <w:tabs>
          <w:tab w:val="right" w:leader="dot" w:pos="9639"/>
        </w:tabs>
        <w:spacing w:before="0"/>
        <w:rPr>
          <w:rFonts w:cstheme="minorHAnsi"/>
        </w:rPr>
      </w:pPr>
      <w:bookmarkStart w:id="49" w:name="_Toc11232462"/>
      <w:bookmarkStart w:id="50" w:name="_Toc11232753"/>
      <w:bookmarkStart w:id="51" w:name="_Toc11757989"/>
      <w:r w:rsidRPr="00986131">
        <w:rPr>
          <w:rFonts w:cstheme="minorHAnsi"/>
        </w:rPr>
        <w:lastRenderedPageBreak/>
        <w:t>UŽIMTUMAS</w:t>
      </w:r>
      <w:bookmarkEnd w:id="49"/>
      <w:bookmarkEnd w:id="50"/>
      <w:bookmarkEnd w:id="51"/>
    </w:p>
    <w:p w14:paraId="74A08EA8" w14:textId="77777777" w:rsidR="00B47BC3" w:rsidRPr="00986131" w:rsidRDefault="00B47BC3" w:rsidP="00B47BC3">
      <w:pPr>
        <w:jc w:val="center"/>
      </w:pPr>
    </w:p>
    <w:p w14:paraId="4E8DB838" w14:textId="495211E4" w:rsidR="00B47BC3" w:rsidRPr="00CB6EC1" w:rsidRDefault="00B47BC3" w:rsidP="00CB6EC1">
      <w:pPr>
        <w:pStyle w:val="Antrat1"/>
        <w:spacing w:before="0"/>
        <w:rPr>
          <w:rFonts w:cstheme="minorHAnsi"/>
          <w:bCs/>
          <w:iCs/>
          <w:color w:val="auto"/>
        </w:rPr>
      </w:pPr>
      <w:bookmarkStart w:id="52" w:name="_Toc11232463"/>
      <w:bookmarkStart w:id="53" w:name="_Toc11232754"/>
      <w:bookmarkStart w:id="54" w:name="_Toc11757990"/>
      <w:r w:rsidRPr="00CB6EC1">
        <w:rPr>
          <w:rFonts w:cstheme="minorHAnsi"/>
          <w:bCs/>
          <w:iCs/>
          <w:color w:val="auto"/>
        </w:rPr>
        <w:t xml:space="preserve">2019 m. vasario 7 d. antrosios kolegijos </w:t>
      </w:r>
      <w:proofErr w:type="spellStart"/>
      <w:r w:rsidRPr="00CB6EC1">
        <w:rPr>
          <w:rFonts w:cstheme="minorHAnsi"/>
          <w:bCs/>
          <w:iCs/>
          <w:color w:val="auto"/>
        </w:rPr>
        <w:t>prejudicinis</w:t>
      </w:r>
      <w:proofErr w:type="spellEnd"/>
      <w:r w:rsidRPr="00CB6EC1">
        <w:rPr>
          <w:rFonts w:cstheme="minorHAnsi"/>
          <w:bCs/>
          <w:iCs/>
          <w:color w:val="auto"/>
        </w:rPr>
        <w:t xml:space="preserve"> sprendimas byloje C-49/18</w:t>
      </w:r>
      <w:bookmarkEnd w:id="52"/>
      <w:bookmarkEnd w:id="53"/>
      <w:bookmarkEnd w:id="54"/>
      <w:r w:rsidRPr="00CB6EC1">
        <w:rPr>
          <w:rFonts w:cstheme="minorHAnsi"/>
          <w:bCs/>
          <w:iCs/>
          <w:color w:val="auto"/>
        </w:rPr>
        <w:t xml:space="preserve"> </w:t>
      </w:r>
    </w:p>
    <w:p w14:paraId="2DE1197B" w14:textId="77777777" w:rsidR="00B47BC3" w:rsidRPr="00986131" w:rsidRDefault="00B47BC3" w:rsidP="00986131">
      <w:pPr>
        <w:jc w:val="center"/>
        <w:rPr>
          <w:rFonts w:cstheme="minorHAnsi"/>
          <w:b/>
          <w:i/>
        </w:rPr>
      </w:pPr>
      <w:proofErr w:type="spellStart"/>
      <w:r w:rsidRPr="00986131">
        <w:rPr>
          <w:rFonts w:cstheme="minorHAnsi"/>
          <w:b/>
          <w:i/>
        </w:rPr>
        <w:t>Carlos</w:t>
      </w:r>
      <w:proofErr w:type="spellEnd"/>
      <w:r w:rsidRPr="00986131">
        <w:rPr>
          <w:rFonts w:cstheme="minorHAnsi"/>
          <w:b/>
          <w:i/>
        </w:rPr>
        <w:t xml:space="preserve"> </w:t>
      </w:r>
      <w:proofErr w:type="spellStart"/>
      <w:r w:rsidRPr="00986131">
        <w:rPr>
          <w:rFonts w:cstheme="minorHAnsi"/>
          <w:b/>
          <w:i/>
        </w:rPr>
        <w:t>Escribano</w:t>
      </w:r>
      <w:proofErr w:type="spellEnd"/>
      <w:r w:rsidRPr="00986131">
        <w:rPr>
          <w:rFonts w:cstheme="minorHAnsi"/>
          <w:b/>
          <w:i/>
        </w:rPr>
        <w:t xml:space="preserve"> </w:t>
      </w:r>
      <w:proofErr w:type="spellStart"/>
      <w:r w:rsidRPr="00986131">
        <w:rPr>
          <w:rFonts w:cstheme="minorHAnsi"/>
          <w:b/>
          <w:i/>
        </w:rPr>
        <w:t>Vindel</w:t>
      </w:r>
      <w:proofErr w:type="spellEnd"/>
      <w:r w:rsidRPr="00986131">
        <w:rPr>
          <w:rFonts w:cstheme="minorHAnsi"/>
          <w:b/>
          <w:i/>
        </w:rPr>
        <w:t xml:space="preserve"> prieš </w:t>
      </w:r>
      <w:proofErr w:type="spellStart"/>
      <w:r w:rsidRPr="00986131">
        <w:rPr>
          <w:rFonts w:cstheme="minorHAnsi"/>
          <w:b/>
          <w:i/>
        </w:rPr>
        <w:t>Ministerio</w:t>
      </w:r>
      <w:proofErr w:type="spellEnd"/>
      <w:r w:rsidRPr="00986131">
        <w:rPr>
          <w:rFonts w:cstheme="minorHAnsi"/>
          <w:b/>
          <w:i/>
        </w:rPr>
        <w:t xml:space="preserve"> de </w:t>
      </w:r>
      <w:proofErr w:type="spellStart"/>
      <w:r w:rsidRPr="00986131">
        <w:rPr>
          <w:rFonts w:cstheme="minorHAnsi"/>
          <w:b/>
          <w:i/>
        </w:rPr>
        <w:t>Justicia</w:t>
      </w:r>
      <w:proofErr w:type="spellEnd"/>
    </w:p>
    <w:p w14:paraId="2F9B550F" w14:textId="77777777" w:rsidR="00B47BC3" w:rsidRPr="00986131" w:rsidRDefault="00B47BC3" w:rsidP="00B47BC3">
      <w:pPr>
        <w:pStyle w:val="c01pointnumerotealtn"/>
        <w:shd w:val="clear" w:color="auto" w:fill="FFFFFF"/>
        <w:spacing w:before="0" w:beforeAutospacing="0" w:after="0"/>
        <w:rPr>
          <w:rFonts w:asciiTheme="minorHAnsi" w:hAnsiTheme="minorHAnsi" w:cstheme="minorHAnsi"/>
          <w:b/>
          <w:sz w:val="22"/>
          <w:szCs w:val="22"/>
        </w:rPr>
      </w:pPr>
    </w:p>
    <w:p w14:paraId="751ADDF6"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Prašymas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pateiktas dėl ESS 19 straipsnio 1 dalies antros pastraipos, Europos Sąjungos pagrindinių teisių chartijos (toliau – Chartija) 21 straipsnio ir 2000 m. lapkričio 27 d. Tarybos direktyvos 2000/78/EB, nustatančios vienodo požiūrio užimtumo ir profesinėje srityje bendruosius pagrindus, 2 straipsnio 1 dalies ir 2 dalies b punkto išaiškinimo (1 punktas).</w:t>
      </w:r>
    </w:p>
    <w:p w14:paraId="22C22B71"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Prašymas pateiktas nagrinėjant </w:t>
      </w:r>
      <w:proofErr w:type="spellStart"/>
      <w:r w:rsidRPr="00986131">
        <w:rPr>
          <w:rFonts w:asciiTheme="minorHAnsi" w:hAnsiTheme="minorHAnsi" w:cstheme="minorHAnsi"/>
          <w:sz w:val="22"/>
          <w:szCs w:val="22"/>
        </w:rPr>
        <w:t>Carlos</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Escribano</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Vindel</w:t>
      </w:r>
      <w:proofErr w:type="spellEnd"/>
      <w:r w:rsidRPr="00986131">
        <w:rPr>
          <w:rFonts w:asciiTheme="minorHAnsi" w:hAnsiTheme="minorHAnsi" w:cstheme="minorHAnsi"/>
          <w:sz w:val="22"/>
          <w:szCs w:val="22"/>
        </w:rPr>
        <w:t xml:space="preserve"> ginčą su </w:t>
      </w:r>
      <w:proofErr w:type="spellStart"/>
      <w:r w:rsidRPr="00986131">
        <w:rPr>
          <w:rFonts w:asciiTheme="minorHAnsi" w:hAnsiTheme="minorHAnsi" w:cstheme="minorHAnsi"/>
          <w:sz w:val="22"/>
          <w:szCs w:val="22"/>
        </w:rPr>
        <w:t>Ministerio</w:t>
      </w:r>
      <w:proofErr w:type="spellEnd"/>
      <w:r w:rsidRPr="00986131">
        <w:rPr>
          <w:rFonts w:asciiTheme="minorHAnsi" w:hAnsiTheme="minorHAnsi" w:cstheme="minorHAnsi"/>
          <w:sz w:val="22"/>
          <w:szCs w:val="22"/>
        </w:rPr>
        <w:t xml:space="preserve"> de </w:t>
      </w:r>
      <w:proofErr w:type="spellStart"/>
      <w:r w:rsidRPr="00986131">
        <w:rPr>
          <w:rFonts w:asciiTheme="minorHAnsi" w:hAnsiTheme="minorHAnsi" w:cstheme="minorHAnsi"/>
          <w:sz w:val="22"/>
          <w:szCs w:val="22"/>
        </w:rPr>
        <w:t>Justicia</w:t>
      </w:r>
      <w:proofErr w:type="spellEnd"/>
      <w:r w:rsidRPr="00986131">
        <w:rPr>
          <w:rFonts w:asciiTheme="minorHAnsi" w:hAnsiTheme="minorHAnsi" w:cstheme="minorHAnsi"/>
          <w:sz w:val="22"/>
          <w:szCs w:val="22"/>
        </w:rPr>
        <w:t xml:space="preserve"> (Teisingumo ministerija, Ispanija) dėl atlyginimo sumažinimo įgyvendinant Ispanijos valstybės biudžeto politikos gaires (2 punktas).</w:t>
      </w:r>
    </w:p>
    <w:p w14:paraId="0E09584F"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C. </w:t>
      </w:r>
      <w:proofErr w:type="spellStart"/>
      <w:r w:rsidRPr="00986131">
        <w:rPr>
          <w:rFonts w:asciiTheme="minorHAnsi" w:hAnsiTheme="minorHAnsi" w:cstheme="minorHAnsi"/>
          <w:sz w:val="22"/>
          <w:szCs w:val="22"/>
        </w:rPr>
        <w:t>Escribano</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Vindel</w:t>
      </w:r>
      <w:proofErr w:type="spellEnd"/>
      <w:r w:rsidRPr="00986131">
        <w:rPr>
          <w:rFonts w:asciiTheme="minorHAnsi" w:hAnsiTheme="minorHAnsi" w:cstheme="minorHAnsi"/>
          <w:sz w:val="22"/>
          <w:szCs w:val="22"/>
        </w:rPr>
        <w:t xml:space="preserve">, bylas vienasmeniškai nagrinėjantis </w:t>
      </w:r>
      <w:proofErr w:type="spellStart"/>
      <w:r w:rsidRPr="00986131">
        <w:rPr>
          <w:rFonts w:asciiTheme="minorHAnsi" w:hAnsiTheme="minorHAnsi" w:cstheme="minorHAnsi"/>
          <w:sz w:val="22"/>
          <w:szCs w:val="22"/>
        </w:rPr>
        <w:t>Juzgado</w:t>
      </w:r>
      <w:proofErr w:type="spellEnd"/>
      <w:r w:rsidRPr="00986131">
        <w:rPr>
          <w:rFonts w:asciiTheme="minorHAnsi" w:hAnsiTheme="minorHAnsi" w:cstheme="minorHAnsi"/>
          <w:sz w:val="22"/>
          <w:szCs w:val="22"/>
        </w:rPr>
        <w:t xml:space="preserve"> de </w:t>
      </w:r>
      <w:proofErr w:type="spellStart"/>
      <w:r w:rsidRPr="00986131">
        <w:rPr>
          <w:rFonts w:asciiTheme="minorHAnsi" w:hAnsiTheme="minorHAnsi" w:cstheme="minorHAnsi"/>
          <w:sz w:val="22"/>
          <w:szCs w:val="22"/>
        </w:rPr>
        <w:t>lo</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Social</w:t>
      </w:r>
      <w:proofErr w:type="spellEnd"/>
      <w:r w:rsidRPr="00986131">
        <w:rPr>
          <w:rFonts w:asciiTheme="minorHAnsi" w:hAnsiTheme="minorHAnsi" w:cstheme="minorHAnsi"/>
          <w:sz w:val="22"/>
          <w:szCs w:val="22"/>
        </w:rPr>
        <w:t xml:space="preserve"> n° 26 de </w:t>
      </w:r>
      <w:proofErr w:type="spellStart"/>
      <w:r w:rsidRPr="00986131">
        <w:rPr>
          <w:rFonts w:asciiTheme="minorHAnsi" w:hAnsiTheme="minorHAnsi" w:cstheme="minorHAnsi"/>
          <w:sz w:val="22"/>
          <w:szCs w:val="22"/>
        </w:rPr>
        <w:t>Barcelona</w:t>
      </w:r>
      <w:proofErr w:type="spellEnd"/>
      <w:r w:rsidRPr="00986131">
        <w:rPr>
          <w:rFonts w:asciiTheme="minorHAnsi" w:hAnsiTheme="minorHAnsi" w:cstheme="minorHAnsi"/>
          <w:sz w:val="22"/>
          <w:szCs w:val="22"/>
        </w:rPr>
        <w:t xml:space="preserve"> (Barselonos darbo teismas Nr. 26, Ispanija) pirmos kategorijos teisėjas, kreipėsi į </w:t>
      </w:r>
      <w:proofErr w:type="spellStart"/>
      <w:r w:rsidRPr="00986131">
        <w:rPr>
          <w:rFonts w:asciiTheme="minorHAnsi" w:hAnsiTheme="minorHAnsi" w:cstheme="minorHAnsi"/>
          <w:sz w:val="22"/>
          <w:szCs w:val="22"/>
        </w:rPr>
        <w:t>Tribunal</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Superior</w:t>
      </w:r>
      <w:proofErr w:type="spellEnd"/>
      <w:r w:rsidRPr="00986131">
        <w:rPr>
          <w:rFonts w:asciiTheme="minorHAnsi" w:hAnsiTheme="minorHAnsi" w:cstheme="minorHAnsi"/>
          <w:sz w:val="22"/>
          <w:szCs w:val="22"/>
        </w:rPr>
        <w:t xml:space="preserve"> de </w:t>
      </w:r>
      <w:proofErr w:type="spellStart"/>
      <w:r w:rsidRPr="00986131">
        <w:rPr>
          <w:rFonts w:asciiTheme="minorHAnsi" w:hAnsiTheme="minorHAnsi" w:cstheme="minorHAnsi"/>
          <w:sz w:val="22"/>
          <w:szCs w:val="22"/>
        </w:rPr>
        <w:t>Justicia</w:t>
      </w:r>
      <w:proofErr w:type="spellEnd"/>
      <w:r w:rsidRPr="00986131">
        <w:rPr>
          <w:rFonts w:asciiTheme="minorHAnsi" w:hAnsiTheme="minorHAnsi" w:cstheme="minorHAnsi"/>
          <w:sz w:val="22"/>
          <w:szCs w:val="22"/>
        </w:rPr>
        <w:t xml:space="preserve"> de </w:t>
      </w:r>
      <w:proofErr w:type="spellStart"/>
      <w:r w:rsidRPr="00986131">
        <w:rPr>
          <w:rFonts w:asciiTheme="minorHAnsi" w:hAnsiTheme="minorHAnsi" w:cstheme="minorHAnsi"/>
          <w:sz w:val="22"/>
          <w:szCs w:val="22"/>
        </w:rPr>
        <w:t>Catalunya</w:t>
      </w:r>
      <w:proofErr w:type="spellEnd"/>
      <w:r w:rsidRPr="00986131">
        <w:rPr>
          <w:rFonts w:asciiTheme="minorHAnsi" w:hAnsiTheme="minorHAnsi" w:cstheme="minorHAnsi"/>
          <w:sz w:val="22"/>
          <w:szCs w:val="22"/>
        </w:rPr>
        <w:t xml:space="preserve"> (Katalonijos aukštesnysis teisingumo teismas, Ispanija); jis ginčija savo 2011 m. atlyginimo lapelius, teigdamas, kad, pirma, jie yra administraciniai aktai, priimti remiantis 2011 m. valstybės biudžeto įstatymo 31.1 straipsniu, ir, antra, juose, pažeidžiant Ispanijos Konstituciją, „reikšmingai sumažintos sumos, palyginti su analogiškais ankstesnių metų laikotarpiais“ (11 punktas).</w:t>
      </w:r>
    </w:p>
    <w:p w14:paraId="178D8267"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2015 m. kovo 30 d. nutartimi prašymą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pateikęs teismas kreipėsi į </w:t>
      </w:r>
      <w:proofErr w:type="spellStart"/>
      <w:r w:rsidRPr="00986131">
        <w:rPr>
          <w:rFonts w:asciiTheme="minorHAnsi" w:hAnsiTheme="minorHAnsi" w:cstheme="minorHAnsi"/>
          <w:sz w:val="22"/>
          <w:szCs w:val="22"/>
        </w:rPr>
        <w:t>Tribunal</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Constitucional</w:t>
      </w:r>
      <w:proofErr w:type="spellEnd"/>
      <w:r w:rsidRPr="00986131">
        <w:rPr>
          <w:rFonts w:asciiTheme="minorHAnsi" w:hAnsiTheme="minorHAnsi" w:cstheme="minorHAnsi"/>
          <w:sz w:val="22"/>
          <w:szCs w:val="22"/>
        </w:rPr>
        <w:t xml:space="preserve"> (Konstitucinis Teismas, Ispanija) su klausimu dėl 2011 m. valstybės biudžeto įstatymo 31.1 straipsnio atitikties Ispanijos Konstitucijai; pateikdamas šį klausimą jis nurodė, kad iš Teisingumo ministerijos ataskaitos matyti, kad mažiausią atlyginimą gaunančių antros kategorijos teisėjų, priskirtų prie 5 atlyginimų grupės, atlyginimas sumažintas 7,16 %, bylas vienasmeniškai nagrinėjančių pirmos kategorijos teisėjų, priskirtų prie 4 atlyginimų grupės, kuriai priklauso ir C. </w:t>
      </w:r>
      <w:proofErr w:type="spellStart"/>
      <w:r w:rsidRPr="00986131">
        <w:rPr>
          <w:rFonts w:asciiTheme="minorHAnsi" w:hAnsiTheme="minorHAnsi" w:cstheme="minorHAnsi"/>
          <w:sz w:val="22"/>
          <w:szCs w:val="22"/>
        </w:rPr>
        <w:t>Escribano</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Vindel</w:t>
      </w:r>
      <w:proofErr w:type="spellEnd"/>
      <w:r w:rsidRPr="00986131">
        <w:rPr>
          <w:rFonts w:asciiTheme="minorHAnsi" w:hAnsiTheme="minorHAnsi" w:cstheme="minorHAnsi"/>
          <w:sz w:val="22"/>
          <w:szCs w:val="22"/>
        </w:rPr>
        <w:t>, atlyginimas sumažintas 6,64 %, o didžiausią atlyginimą gaunančių pirmos kategorijos teisėjų, priskirtų prie 1 atlyginimų grupės, atlyginimas sumažintas 5,90 % (12 punktas).</w:t>
      </w:r>
    </w:p>
    <w:p w14:paraId="2AD069A2"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2015 m. gruodžio 15 d. </w:t>
      </w:r>
      <w:proofErr w:type="spellStart"/>
      <w:r w:rsidRPr="00986131">
        <w:rPr>
          <w:rFonts w:asciiTheme="minorHAnsi" w:hAnsiTheme="minorHAnsi" w:cstheme="minorHAnsi"/>
          <w:sz w:val="22"/>
          <w:szCs w:val="22"/>
        </w:rPr>
        <w:t>Tribunal</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Constitucional</w:t>
      </w:r>
      <w:proofErr w:type="spellEnd"/>
      <w:r w:rsidRPr="00986131">
        <w:rPr>
          <w:rFonts w:asciiTheme="minorHAnsi" w:hAnsiTheme="minorHAnsi" w:cstheme="minorHAnsi"/>
          <w:sz w:val="22"/>
          <w:szCs w:val="22"/>
        </w:rPr>
        <w:t xml:space="preserve"> (Konstitucinis Teismas) plenarinėje sesijoje priimta nutartimi šį klausimą pripažino nepriimtinu ir nusprendė, kad nagrinėjama nuostata nepažeidė, be kita ko, Ispanijos Konstitucijos 14 straipsnyje įtvirtinto lygybės principo. Šis teismas konstatavo, kad atitinkami Ispanijos teismų sistemos nariai nėra objektyviai panašioje padėtyje, nes priklauso skirtingoms kategorijoms ir užima skirtingas pareigas (13 punktas).</w:t>
      </w:r>
    </w:p>
    <w:p w14:paraId="187138E1"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2016 m. vasario 24 d. nutartimi prašymą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pateikęs teismas paprašė šalių pateikti pastabas dėl to, ar priimtos atlyginimų mažinimo priemonės yra diskriminacinės atsižvelgiant į Chartiją. Atsakydamas C. </w:t>
      </w:r>
      <w:proofErr w:type="spellStart"/>
      <w:r w:rsidRPr="00986131">
        <w:rPr>
          <w:rFonts w:asciiTheme="minorHAnsi" w:hAnsiTheme="minorHAnsi" w:cstheme="minorHAnsi"/>
          <w:sz w:val="22"/>
          <w:szCs w:val="22"/>
        </w:rPr>
        <w:t>Escribano</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Vindel</w:t>
      </w:r>
      <w:proofErr w:type="spellEnd"/>
      <w:r w:rsidRPr="00986131">
        <w:rPr>
          <w:rFonts w:asciiTheme="minorHAnsi" w:hAnsiTheme="minorHAnsi" w:cstheme="minorHAnsi"/>
          <w:sz w:val="22"/>
          <w:szCs w:val="22"/>
        </w:rPr>
        <w:t xml:space="preserve"> nurodė, kad šios priemonės lemia netiesioginę diskriminaciją dėl amžiaus ar darbo stažo, nes prie 5 atlyginimų grupės priskirtų antros kategorijos teisėjų, t. y. pradinės teisėjų kategorijos, prie kurios priskiriami jauniausi ir mažiausią darbo stažo turintys teisėjai, atlyginimai buvo sumažinti didesniu mastu. Taigi dėl akivaizdžiai neutralios nuostatos atsiranda proporcingai didesnis neigiamas poveikis, atsižvelgiant į amžių ar darbo stažą (14 punktas).</w:t>
      </w:r>
    </w:p>
    <w:p w14:paraId="4A9FDF16"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Šiomis aplinkybėmis </w:t>
      </w:r>
      <w:proofErr w:type="spellStart"/>
      <w:r w:rsidRPr="00986131">
        <w:rPr>
          <w:rFonts w:asciiTheme="minorHAnsi" w:hAnsiTheme="minorHAnsi" w:cstheme="minorHAnsi"/>
          <w:sz w:val="22"/>
          <w:szCs w:val="22"/>
        </w:rPr>
        <w:t>Tribunal</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Superior</w:t>
      </w:r>
      <w:proofErr w:type="spellEnd"/>
      <w:r w:rsidRPr="00986131">
        <w:rPr>
          <w:rFonts w:asciiTheme="minorHAnsi" w:hAnsiTheme="minorHAnsi" w:cstheme="minorHAnsi"/>
          <w:sz w:val="22"/>
          <w:szCs w:val="22"/>
        </w:rPr>
        <w:t xml:space="preserve"> de </w:t>
      </w:r>
      <w:proofErr w:type="spellStart"/>
      <w:r w:rsidRPr="00986131">
        <w:rPr>
          <w:rFonts w:asciiTheme="minorHAnsi" w:hAnsiTheme="minorHAnsi" w:cstheme="minorHAnsi"/>
          <w:sz w:val="22"/>
          <w:szCs w:val="22"/>
        </w:rPr>
        <w:t>Justicia</w:t>
      </w:r>
      <w:proofErr w:type="spellEnd"/>
      <w:r w:rsidRPr="00986131">
        <w:rPr>
          <w:rFonts w:asciiTheme="minorHAnsi" w:hAnsiTheme="minorHAnsi" w:cstheme="minorHAnsi"/>
          <w:sz w:val="22"/>
          <w:szCs w:val="22"/>
        </w:rPr>
        <w:t xml:space="preserve"> de </w:t>
      </w:r>
      <w:proofErr w:type="spellStart"/>
      <w:r w:rsidRPr="00986131">
        <w:rPr>
          <w:rFonts w:asciiTheme="minorHAnsi" w:hAnsiTheme="minorHAnsi" w:cstheme="minorHAnsi"/>
          <w:sz w:val="22"/>
          <w:szCs w:val="22"/>
        </w:rPr>
        <w:t>Catalunya</w:t>
      </w:r>
      <w:proofErr w:type="spellEnd"/>
      <w:r w:rsidRPr="00986131">
        <w:rPr>
          <w:rFonts w:asciiTheme="minorHAnsi" w:hAnsiTheme="minorHAnsi" w:cstheme="minorHAnsi"/>
          <w:sz w:val="22"/>
          <w:szCs w:val="22"/>
        </w:rPr>
        <w:t xml:space="preserve"> (Katalonijos aukštesnysis teisingumo teismas) nutarė sustabdyti bylos nagrinėjimą ir pateikti Teisingumo Teismui šiuos </w:t>
      </w:r>
      <w:proofErr w:type="spellStart"/>
      <w:r w:rsidRPr="00986131">
        <w:rPr>
          <w:rFonts w:asciiTheme="minorHAnsi" w:hAnsiTheme="minorHAnsi" w:cstheme="minorHAnsi"/>
          <w:sz w:val="22"/>
          <w:szCs w:val="22"/>
        </w:rPr>
        <w:t>prejudicinius</w:t>
      </w:r>
      <w:proofErr w:type="spellEnd"/>
      <w:r w:rsidRPr="00986131">
        <w:rPr>
          <w:rFonts w:asciiTheme="minorHAnsi" w:hAnsiTheme="minorHAnsi" w:cstheme="minorHAnsi"/>
          <w:sz w:val="22"/>
          <w:szCs w:val="22"/>
        </w:rPr>
        <w:t xml:space="preserve"> klausimus:</w:t>
      </w:r>
    </w:p>
    <w:p w14:paraId="723E368A" w14:textId="77777777" w:rsidR="00B47BC3" w:rsidRPr="000501D2"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0501D2">
        <w:rPr>
          <w:rFonts w:asciiTheme="minorHAnsi" w:hAnsiTheme="minorHAnsi" w:cstheme="minorHAnsi"/>
          <w:sz w:val="22"/>
          <w:szCs w:val="22"/>
        </w:rPr>
        <w:t>„1. Ar bet kokią diskriminaciją draudžiantį bendrąjį Sąjungos teisės principą reikia aiškinti taip, kad pagal jį draudžiama nacionalinės teisės nuostata, kaip antai [2011 m. valstybės biudžeto įstatymo] 31.1 straipsnis, kurioje įtvirtinti skirtingi mažinimo procentiniai dydžiai, nepalankesni mažesnį atlyginimą gaunančiai teisėjų daliai ir lemiantys tai, kad jie turi daugiau prisidėti prie viešųjų išlaidų finansavimo (nediskriminavimo principas)?</w:t>
      </w:r>
    </w:p>
    <w:p w14:paraId="57BF4D62" w14:textId="49CCEA7D"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0501D2">
        <w:rPr>
          <w:rFonts w:asciiTheme="minorHAnsi" w:hAnsiTheme="minorHAnsi" w:cstheme="minorHAnsi"/>
          <w:sz w:val="22"/>
          <w:szCs w:val="22"/>
        </w:rPr>
        <w:t>2. Ar bendrąjį teismų nepriklausomumo apsaugos Sąjungos teisės principą, pagrįstą teisingu, stabiliu ir proporcingu teisėjų atliekamoms pareigoms atlyginimu, reikia aiškinti kaip draudžiantį nacionalinės teisės nuostatą, kaip antai [2011 m. valstybės biudžeto įstatymo] 31.1 straipsnį, kurioje neatsižvelgiama į teisėjų vykdomų funkcijų pobūdį, darbo stažą, užduočių svarbą ir kuri lemia mažiau uždirbančių teisėjų didesnę naštą prisidedant prie viešųjų išlaidų finansavimo (teismų nepriklausomumo principas)?“ (18 punktas)</w:t>
      </w:r>
      <w:r w:rsidR="000501D2">
        <w:rPr>
          <w:rFonts w:asciiTheme="minorHAnsi" w:hAnsiTheme="minorHAnsi" w:cstheme="minorHAnsi"/>
          <w:sz w:val="22"/>
          <w:szCs w:val="22"/>
        </w:rPr>
        <w:t>.</w:t>
      </w:r>
    </w:p>
    <w:p w14:paraId="61088F2D"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p>
    <w:p w14:paraId="2069A4BD" w14:textId="04BCCC7F" w:rsidR="00B47BC3" w:rsidRPr="00986131" w:rsidRDefault="00986131" w:rsidP="00986131">
      <w:pPr>
        <w:pStyle w:val="Antrat2"/>
        <w:tabs>
          <w:tab w:val="left" w:pos="567"/>
        </w:tabs>
        <w:jc w:val="both"/>
        <w:rPr>
          <w:rFonts w:cstheme="minorHAnsi"/>
          <w:b w:val="0"/>
        </w:rPr>
      </w:pPr>
      <w:r>
        <w:rPr>
          <w:rFonts w:cstheme="minorHAnsi"/>
        </w:rPr>
        <w:tab/>
      </w:r>
      <w:bookmarkStart w:id="55" w:name="_Toc11232464"/>
      <w:bookmarkStart w:id="56" w:name="_Toc11232755"/>
      <w:bookmarkStart w:id="57" w:name="_Toc11757991"/>
      <w:r w:rsidR="00B47BC3" w:rsidRPr="00986131">
        <w:rPr>
          <w:rFonts w:cstheme="minorHAnsi"/>
        </w:rPr>
        <w:t>Dėl diskriminacijos dėl amžiaus ar darbo stažo</w:t>
      </w:r>
      <w:bookmarkEnd w:id="55"/>
      <w:bookmarkEnd w:id="56"/>
      <w:bookmarkEnd w:id="57"/>
    </w:p>
    <w:p w14:paraId="0FE1B603"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p>
    <w:p w14:paraId="61105247"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lastRenderedPageBreak/>
        <w:t xml:space="preserve">Pirmuoju klausimu prašymą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pateikęs teismas iš esmės siekė išsiaiškinti, ar Chartijos 21 straipsnis ir Direktyvos 2000/78 2 straipsnio 1 dalis ir 2 dalies b punktas turi būti aiškinami kaip draudžiantys tokią nacionalinės teisės nuostatą, kurioje, įgyvendinant bendras atlyginimų mažinimo priemones, susijusias su reikalavimais pašalinti biudžeto deficito perviršį, nustatyti skirtingi teisėjų pagrindinio ir papildomo atlyginimų mažinimo procentiniai dydžiai, o tai lėmė, kad žemesnių kategorijų teisėjų, priklausančių dviem atlyginimų grupėms, atlyginimai buvo sumažinti didesniu procentiniu dydžiu nei aukštesnės kategorijos teisėjų, priklausančių vienai atlyginimų grupei, atlyginimai, nors pirmieji gauna mažesnį atlyginimą, dažniausiai yra jaunesni ir paprastai turi mažesnį darbo stažą nei antrieji (38 punktas).</w:t>
      </w:r>
    </w:p>
    <w:p w14:paraId="4A3148AE" w14:textId="7306F573"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ESTT priminė, kad bet kokios diskriminacijos, be kita ko, dėl amžiaus, draudimas įtrauktas į Chartijos, kuri nuo 2009 m. gruodžio 1 d. turi tokią pačią teisinę galią kaip Sutartys, 21 straipsnį, o šį draudimą užimtumo ir profesinėje srityje sukonkretino Direktyva 2000/78. Pagal suformuotą jurisprudenciją tarnautojų, taip pat teisėjų, atlyginimų mokėjimo sąlygos patenka į šios direktyvos taikymo sritį. Pagal Direktyvos 2000/78 1 straipsnį ir 2 straipsnio 1 dalį bei 2 dalies b punktą draudžiama netiesioginė diskriminacija dėl „religijos ar įsitikinimų, negalios, amžiaus ar seksualinės orientacijos užimtumo ir profesinėje srityje“. Kiek tai susiję su prielaida, kad netiesiogiai diskriminuojama dėl amžiaus, Teismas priminė, kad pagal Direktyvos 2000/78 2 straipsnio 2 dalies b punktą netiesioginė diskriminacija yra tada, kai dėl akivaizdžiai neutralių sąlygų, kriterijų ar praktikos tam tikro amžiaus asmenys gali patekti į blogesnę padėtį nei kiti asmenys, nebent tas sąlygas, kriterijus ar praktiką objektyviai pateisina teisėtas tikslas, o šio tikslo siekiama tinkamom</w:t>
      </w:r>
      <w:r w:rsidR="00DB3BD3">
        <w:rPr>
          <w:rFonts w:asciiTheme="minorHAnsi" w:hAnsiTheme="minorHAnsi" w:cstheme="minorHAnsi"/>
          <w:sz w:val="22"/>
          <w:szCs w:val="22"/>
        </w:rPr>
        <w:t>is ir būtinomis priemonėmis (39</w:t>
      </w:r>
      <w:r w:rsidRPr="00986131">
        <w:rPr>
          <w:rFonts w:asciiTheme="minorHAnsi" w:hAnsiTheme="minorHAnsi" w:cstheme="minorHAnsi"/>
          <w:sz w:val="22"/>
          <w:szCs w:val="22"/>
        </w:rPr>
        <w:t xml:space="preserve">–42 punktai). </w:t>
      </w:r>
    </w:p>
    <w:p w14:paraId="5FBE21B6"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Teismas nurodė, jog šiuo klausimu, viena vertus, prašymą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pateikęs teismas neįvardijo jokios konkrečios mažiau palankiai vertinamos amžiaus grupės, o tik iš esmės nurodė, kad prie 5 atlyginimų grupės priskirti teisėjai vidutiniškai yra jaunesni nei prie 4 ir 1 atlyginimų grupių priskirti teisėjai. Konkrečiai iš nutarties dėl prašymo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nematyti, kad prašymą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pateikęs teismas būtų įvardijęs konkretų amžiaus skirtumą tarp 4 ir 1 atlyginimų grupių. Kita vertus, Ispanijos vyriausybė teigia, kad šios atlyginimų grupės nėra sudarytos iš tam tikros amžiaus grupės teisėjų, nes vienintelis amžiaus į teisėjo pareigas apribojimas yra reikalavimas prieš pradedant eiti pareigas nebūti sulaukus teisėjo pensinio amžiaus, taip pat teisėjai neturi pareigos eiti aukštesnių kategorijų ar grupių pareigas, o toliau gali būti priskirti prie antros teisėjų kategorijos, neatsižvelgiant į jų amžių. Vis dėlto, ESTT vertinimu, prašymą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pateikęs teismas turi atlikti būtinus patikrinimus, kad nustatytų, ar į šias grupes patenka tam tikros amžiaus grupės teisėjai. Dėl reikalavimo, jog situacijos turi būti panašios, ESTT patikslino, kad, pirma, reikalaujama ne to, kad situacijos būtų identiškos, o tik to, kad jos būtų panašios, ir, antra, šis panašumas turi būti vertinamas į atitinkamą išmoką atsižvelgiant ne bendrai ir abstrakčiai, bet specialiai ir konkrečiai. Prašymą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pateikęs teismas, kuris vienintelis kompetentingas įvertinti faktines aplinkybes, turi nustatyti, ar 4 atlyginimų grupei priklausančių teisėjų padėtis yra panaši į 1 atlyginimų grupei priklausančių teisėjų padėtį (47 – 51 punktai).</w:t>
      </w:r>
    </w:p>
    <w:p w14:paraId="1C202F8A" w14:textId="1C51755C"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Byloje nustatyta, jog skirtingų kategorijų teisėjų pagrindinis atlyginimas buvo sumažintas vienodu 9,73 % dydžiu ir kad pagrindinėje byloje nagrinėjamą tariamą skirtingą požiūrį lemia, viena vertus, teisėjų papildomo atlyginimo sumažinimas mažesniu mastu ir, kita vertus, tai, kad bendrą atlyginimą sudaro pagal atlyginimų grupes skirtingos pagrindinio ir papildomo atlyginimų procentinės dalys. Papildomą atlyginimą sudaro darbo stažo priedas, paskyrimo į pareigas išmoka, mokama atsižvelgiant, be kita ko, į paskyrimo vietą ir objektyvias atstovavimo sąlygas, susijusias su einamomis pareigomis, taip pat speciali išmoka, kuria atlyginama už labai atsakingas pareigas, mokymąsi ir dėl to kylančius didelius sunkumus. </w:t>
      </w:r>
      <w:proofErr w:type="spellStart"/>
      <w:r w:rsidRPr="00986131">
        <w:rPr>
          <w:rFonts w:asciiTheme="minorHAnsi" w:hAnsiTheme="minorHAnsi" w:cstheme="minorHAnsi"/>
          <w:sz w:val="22"/>
          <w:szCs w:val="22"/>
        </w:rPr>
        <w:t>Tribunal</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Constitucional</w:t>
      </w:r>
      <w:proofErr w:type="spellEnd"/>
      <w:r w:rsidRPr="00986131">
        <w:rPr>
          <w:rFonts w:asciiTheme="minorHAnsi" w:hAnsiTheme="minorHAnsi" w:cstheme="minorHAnsi"/>
          <w:sz w:val="22"/>
          <w:szCs w:val="22"/>
        </w:rPr>
        <w:t xml:space="preserve"> (Konstitucinis Teismas) plenarinėje sesijoje priimtoje 2015 m. gruodžio 15 d. nutartyje pripažino, kad atitinkami asmenys nėra objektyviai panašioje padėtyje, nes teismų sistemos nariai priklauso skirtingoms kategorijoms ir užima skirtingas pareigas. Todėl Teismas padarė išvadą, jog iš prašymą pateikusio teismo nurodytų aplinkybių nematyti, kad pagrindinėje byloje nagrinėjamoje nacionalinės teisės nuostatoje įtvirtinta di</w:t>
      </w:r>
      <w:r w:rsidR="00DB3BD3">
        <w:rPr>
          <w:rFonts w:asciiTheme="minorHAnsi" w:hAnsiTheme="minorHAnsi" w:cstheme="minorHAnsi"/>
          <w:sz w:val="22"/>
          <w:szCs w:val="22"/>
        </w:rPr>
        <w:t>skriminacija dėl amžiaus. (52–</w:t>
      </w:r>
      <w:r w:rsidRPr="00986131">
        <w:rPr>
          <w:rFonts w:asciiTheme="minorHAnsi" w:hAnsiTheme="minorHAnsi" w:cstheme="minorHAnsi"/>
          <w:sz w:val="22"/>
          <w:szCs w:val="22"/>
        </w:rPr>
        <w:t>56 punktai).</w:t>
      </w:r>
    </w:p>
    <w:p w14:paraId="19CC949B" w14:textId="24E3554C"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Kiek tai susiję su prielaida, kad </w:t>
      </w:r>
      <w:r w:rsidRPr="00986131">
        <w:rPr>
          <w:rFonts w:asciiTheme="minorHAnsi" w:hAnsiTheme="minorHAnsi" w:cstheme="minorHAnsi"/>
          <w:sz w:val="22"/>
          <w:szCs w:val="22"/>
          <w:u w:val="single"/>
        </w:rPr>
        <w:t>diskriminuojama dėl darbo stažo</w:t>
      </w:r>
      <w:r w:rsidRPr="00986131">
        <w:rPr>
          <w:rFonts w:asciiTheme="minorHAnsi" w:hAnsiTheme="minorHAnsi" w:cstheme="minorHAnsi"/>
          <w:sz w:val="22"/>
          <w:szCs w:val="22"/>
        </w:rPr>
        <w:t xml:space="preserve">, Teismas konstatavo, kad šio kriterijaus nėra tarp kriterijų, išvardytų Direktyvos 2000/78 2 straipsnio 1 dalyje ir 2 dalies b punkte numatytame draudime. Atvirkščiai, </w:t>
      </w:r>
      <w:r w:rsidRPr="00986131">
        <w:rPr>
          <w:rFonts w:asciiTheme="minorHAnsi" w:hAnsiTheme="minorHAnsi" w:cstheme="minorHAnsi"/>
          <w:sz w:val="22"/>
          <w:szCs w:val="22"/>
          <w:u w:val="single"/>
        </w:rPr>
        <w:t>tas kriterijus yra vienas iš šios direktyvos 6 straipsnio 1 dalies b punkte numatytų kriterijų, galinčių pateisinti skirtingą požiūrį dėl amžiaus</w:t>
      </w:r>
      <w:r w:rsidRPr="00986131">
        <w:rPr>
          <w:rFonts w:asciiTheme="minorHAnsi" w:hAnsiTheme="minorHAnsi" w:cstheme="minorHAnsi"/>
          <w:sz w:val="22"/>
          <w:szCs w:val="22"/>
        </w:rPr>
        <w:t xml:space="preserve">. Kita vertus, prašymą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pateikęs teismas nenurodė C. </w:t>
      </w:r>
      <w:proofErr w:type="spellStart"/>
      <w:r w:rsidRPr="00986131">
        <w:rPr>
          <w:rFonts w:asciiTheme="minorHAnsi" w:hAnsiTheme="minorHAnsi" w:cstheme="minorHAnsi"/>
          <w:sz w:val="22"/>
          <w:szCs w:val="22"/>
        </w:rPr>
        <w:t>Escribano</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Vindel</w:t>
      </w:r>
      <w:proofErr w:type="spellEnd"/>
      <w:r w:rsidRPr="00986131">
        <w:rPr>
          <w:rFonts w:asciiTheme="minorHAnsi" w:hAnsiTheme="minorHAnsi" w:cstheme="minorHAnsi"/>
          <w:sz w:val="22"/>
          <w:szCs w:val="22"/>
        </w:rPr>
        <w:t xml:space="preserve"> darbo stažo ir neįvardijo kito asmens, kurio padėtis yra panaši į C. </w:t>
      </w:r>
      <w:proofErr w:type="spellStart"/>
      <w:r w:rsidRPr="00986131">
        <w:rPr>
          <w:rFonts w:asciiTheme="minorHAnsi" w:hAnsiTheme="minorHAnsi" w:cstheme="minorHAnsi"/>
          <w:sz w:val="22"/>
          <w:szCs w:val="22"/>
        </w:rPr>
        <w:t>Escribano</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Vindel</w:t>
      </w:r>
      <w:proofErr w:type="spellEnd"/>
      <w:r w:rsidRPr="00986131">
        <w:rPr>
          <w:rFonts w:asciiTheme="minorHAnsi" w:hAnsiTheme="minorHAnsi" w:cstheme="minorHAnsi"/>
          <w:sz w:val="22"/>
          <w:szCs w:val="22"/>
        </w:rPr>
        <w:t xml:space="preserve"> padėtį, arba konkrečios mažiau palankiai vertinamos darbo stažo kategorijos. Teismas padarė išvadą, kad iš prašymą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pateikusio teismo nurodytų aplinkybių nematyti, </w:t>
      </w:r>
      <w:r w:rsidRPr="00986131">
        <w:rPr>
          <w:rFonts w:asciiTheme="minorHAnsi" w:hAnsiTheme="minorHAnsi" w:cstheme="minorHAnsi"/>
          <w:sz w:val="22"/>
          <w:szCs w:val="22"/>
        </w:rPr>
        <w:lastRenderedPageBreak/>
        <w:t>kad pagrindinėje byloje nagrinėjamoje nacionalinės teisės nuostatoje įtvirtintas skirtingas požiūris dėl darbo stažo, kuris galėtų būti draudžiamas pagal Chartijos 21 straipsnį arba Direktyvos 2000/78 2 straipsnio 1 </w:t>
      </w:r>
      <w:r w:rsidR="00DB3BD3">
        <w:rPr>
          <w:rFonts w:asciiTheme="minorHAnsi" w:hAnsiTheme="minorHAnsi" w:cstheme="minorHAnsi"/>
          <w:sz w:val="22"/>
          <w:szCs w:val="22"/>
        </w:rPr>
        <w:t>dalį ir 2 dalies b punktą (57–</w:t>
      </w:r>
      <w:r w:rsidRPr="00986131">
        <w:rPr>
          <w:rFonts w:asciiTheme="minorHAnsi" w:hAnsiTheme="minorHAnsi" w:cstheme="minorHAnsi"/>
          <w:sz w:val="22"/>
          <w:szCs w:val="22"/>
        </w:rPr>
        <w:t>59 punktai).</w:t>
      </w:r>
    </w:p>
    <w:p w14:paraId="586DBF1F"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Atsižvelgdamas į visa tai, kas išdėstyta, Teismas konstatavo, jog į pirmąjį klausimą reikia atsakyti: Chartijos 21 straipsnis ir Direktyvos 2000/78 2 straipsnio 1 dalis ir 2 dalies b punktas turi būti aiškinami kaip </w:t>
      </w:r>
      <w:r w:rsidRPr="00986131">
        <w:rPr>
          <w:rFonts w:asciiTheme="minorHAnsi" w:hAnsiTheme="minorHAnsi" w:cstheme="minorHAnsi"/>
          <w:sz w:val="22"/>
          <w:szCs w:val="22"/>
          <w:u w:val="single"/>
        </w:rPr>
        <w:t>nedraudžiantys tokios nacionalinės teisės nuostatos, kurioje, įgyvendinant bendras atlyginimų mažinimo priemones, susijusias su reikalavimais pašalinti biudžeto deficito perviršį, nustatyti skirtingi teisėjų pagrindinio ir papildomo atlyginimų mažinimo procentiniai dydžiai</w:t>
      </w:r>
      <w:r w:rsidRPr="00986131">
        <w:rPr>
          <w:rFonts w:asciiTheme="minorHAnsi" w:hAnsiTheme="minorHAnsi" w:cstheme="minorHAnsi"/>
          <w:sz w:val="22"/>
          <w:szCs w:val="22"/>
        </w:rPr>
        <w:t xml:space="preserve">, o tai, prašymą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pateikusio teismo teigimu, lėmė, kad žemesnių kategorijų teisėjų, priklausančių dviem atlyginimų grupėms, atlyginimai buvo sumažinti didesniu procentiniu dydžiu nei aukštesnės kategorijos teisėjų, priklausančių vienai atlyginimų grupei, atlyginimai, nors pirmieji gauna mažesnį atlyginimą, dažniausiai yra jaunesni ir paprastai turi mažesnį darbo stažą nei antrieji, tačiau prašymą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pateikęs teismas dar turi atlikti reikiamus patikrinimus (60 punktas). </w:t>
      </w:r>
    </w:p>
    <w:p w14:paraId="0549E6AD"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p>
    <w:p w14:paraId="7F23293A" w14:textId="5754DF6B" w:rsidR="00B47BC3" w:rsidRPr="00986131" w:rsidRDefault="00B47BC3" w:rsidP="00986131">
      <w:pPr>
        <w:pStyle w:val="Antrat2"/>
        <w:ind w:firstLine="567"/>
        <w:jc w:val="both"/>
        <w:rPr>
          <w:rFonts w:cstheme="minorHAnsi"/>
          <w:b w:val="0"/>
        </w:rPr>
      </w:pPr>
      <w:bookmarkStart w:id="58" w:name="_Toc11232465"/>
      <w:bookmarkStart w:id="59" w:name="_Toc11232756"/>
      <w:bookmarkStart w:id="60" w:name="_Toc11757992"/>
      <w:r w:rsidRPr="00986131">
        <w:rPr>
          <w:rFonts w:cstheme="minorHAnsi"/>
        </w:rPr>
        <w:t>Dėl teisėjų nepriklausomumo</w:t>
      </w:r>
      <w:bookmarkEnd w:id="58"/>
      <w:bookmarkEnd w:id="59"/>
      <w:bookmarkEnd w:id="60"/>
    </w:p>
    <w:p w14:paraId="02F1809F"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p>
    <w:p w14:paraId="05E012A1"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Antruoju klausimu prašymą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pateikęs teismas iš esmės siekė išsiaiškinti, ar ESS 19 straipsnio 1 dalies antra pastraipa turi būti aiškinama taip, kad teisėjų nepriklausomumo principas draudžia taikyti ieškovui pagrindinėje byloje tokią nacionalinės teisės nuostatą, kurioje, įgyvendinant bendras atlyginimų mažinimo priemones, susijusias su reikalavimais pašalinti biudžeto deficito perviršį, nustatyti skirtingi teisėjų pagrindinio ir papildomo atlyginimų mažinimo procentiniai dydžiai, neatsižvelgiant į vykdomų funkcijų pobūdį, darbo stažą ar atliekamų užduočių svarbą, o tai, prašymą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pateikusio teismo teigimu, lėmė, kad žemesnių kategorijų teisėjų, priklausančių dviem atlyginimų grupėms, atlyginimai buvo sumažinti didesniu procentiniu dydžiu nei aukštesnės kategorijos teisėjų, priklausančių vienai atlyginimų grupei, atlyginimai, nors pirmieji gauna mažesnį atlyginimą nei antrieji (61 punktas).</w:t>
      </w:r>
    </w:p>
    <w:p w14:paraId="00376D2E" w14:textId="051D7F22"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Teismas priminė, jog kiekviena </w:t>
      </w:r>
      <w:r w:rsidRPr="00986131">
        <w:rPr>
          <w:rFonts w:asciiTheme="minorHAnsi" w:hAnsiTheme="minorHAnsi" w:cstheme="minorHAnsi"/>
          <w:sz w:val="22"/>
          <w:szCs w:val="22"/>
          <w:u w:val="single"/>
        </w:rPr>
        <w:t>valstybė narė turi užtikrinti, kad institucijos, priskirtos prie jos teisių gynimo priemonių Sąjungos teisei priklausančiose srityse sistemos, kaip „teismai“, kaip tai suprantama pagal Sąjungos teisę, atitiktų veiksmingos teisminės gynybos reikalavimus</w:t>
      </w:r>
      <w:r w:rsidRPr="00986131">
        <w:rPr>
          <w:rFonts w:asciiTheme="minorHAnsi" w:hAnsiTheme="minorHAnsi" w:cstheme="minorHAnsi"/>
          <w:sz w:val="22"/>
          <w:szCs w:val="22"/>
        </w:rPr>
        <w:t xml:space="preserve">. Prie </w:t>
      </w:r>
      <w:r w:rsidRPr="00986131">
        <w:rPr>
          <w:rFonts w:asciiTheme="minorHAnsi" w:hAnsiTheme="minorHAnsi" w:cstheme="minorHAnsi"/>
          <w:sz w:val="22"/>
          <w:szCs w:val="22"/>
          <w:u w:val="single"/>
        </w:rPr>
        <w:t>aplinkybių, į kurias reikia atsižvelgti vertinant, ar institucija yra „teismas“, priskiriamos šios: institucija yra įsteigta pagal įstatymus, ji nuolatinė, jos jurisdikcija yra privaloma, procesas joje yra grindžiamas rungimosi principu, ji taiko teisės normas ir yra nepriklausoma</w:t>
      </w:r>
      <w:r w:rsidRPr="00986131">
        <w:rPr>
          <w:rFonts w:asciiTheme="minorHAnsi" w:hAnsiTheme="minorHAnsi" w:cstheme="minorHAnsi"/>
          <w:sz w:val="22"/>
          <w:szCs w:val="22"/>
        </w:rPr>
        <w:t xml:space="preserve">. </w:t>
      </w:r>
      <w:r w:rsidRPr="00986131">
        <w:rPr>
          <w:rFonts w:asciiTheme="minorHAnsi" w:hAnsiTheme="minorHAnsi" w:cstheme="minorHAnsi"/>
          <w:sz w:val="22"/>
          <w:szCs w:val="22"/>
          <w:u w:val="single"/>
        </w:rPr>
        <w:t>Nepriklausomumo garantija</w:t>
      </w:r>
      <w:r w:rsidRPr="00986131">
        <w:rPr>
          <w:rFonts w:asciiTheme="minorHAnsi" w:hAnsiTheme="minorHAnsi" w:cstheme="minorHAnsi"/>
          <w:sz w:val="22"/>
          <w:szCs w:val="22"/>
        </w:rPr>
        <w:t xml:space="preserve">, kuri yra neatsiejama nuo teismo paskirties, </w:t>
      </w:r>
      <w:r w:rsidRPr="00986131">
        <w:rPr>
          <w:rFonts w:asciiTheme="minorHAnsi" w:hAnsiTheme="minorHAnsi" w:cstheme="minorHAnsi"/>
          <w:sz w:val="22"/>
          <w:szCs w:val="22"/>
          <w:u w:val="single"/>
        </w:rPr>
        <w:t>būtina</w:t>
      </w:r>
      <w:r w:rsidRPr="00986131">
        <w:rPr>
          <w:rFonts w:asciiTheme="minorHAnsi" w:hAnsiTheme="minorHAnsi" w:cstheme="minorHAnsi"/>
          <w:sz w:val="22"/>
          <w:szCs w:val="22"/>
        </w:rPr>
        <w:t xml:space="preserve"> ne tik Sąjungos lygmeniu, būtent Sąjungos teisėjams ir Teisingumo Teismo generaliniams advokatams, kaip numatyta ESS 19 straipsnio 2 dalies trečioje pastraipoje, bet ir valstybių narių lygmeniu </w:t>
      </w:r>
      <w:r w:rsidRPr="00986131">
        <w:rPr>
          <w:rFonts w:asciiTheme="minorHAnsi" w:hAnsiTheme="minorHAnsi" w:cstheme="minorHAnsi"/>
          <w:sz w:val="22"/>
          <w:szCs w:val="22"/>
          <w:u w:val="single"/>
        </w:rPr>
        <w:t>nacionaliniams teismams</w:t>
      </w:r>
      <w:r w:rsidRPr="00986131">
        <w:rPr>
          <w:rFonts w:asciiTheme="minorHAnsi" w:hAnsiTheme="minorHAnsi" w:cstheme="minorHAnsi"/>
          <w:sz w:val="22"/>
          <w:szCs w:val="22"/>
        </w:rPr>
        <w:t xml:space="preserve">. </w:t>
      </w:r>
      <w:r w:rsidRPr="00986131">
        <w:rPr>
          <w:rFonts w:asciiTheme="minorHAnsi" w:hAnsiTheme="minorHAnsi" w:cstheme="minorHAnsi"/>
          <w:sz w:val="22"/>
          <w:szCs w:val="22"/>
          <w:u w:val="single"/>
        </w:rPr>
        <w:t xml:space="preserve">Nepriklausomumo sąvoka, be kita ko, suponuoja, kad atitinkama institucija savo </w:t>
      </w:r>
      <w:proofErr w:type="spellStart"/>
      <w:r w:rsidRPr="00986131">
        <w:rPr>
          <w:rFonts w:asciiTheme="minorHAnsi" w:hAnsiTheme="minorHAnsi" w:cstheme="minorHAnsi"/>
          <w:sz w:val="22"/>
          <w:szCs w:val="22"/>
          <w:u w:val="single"/>
        </w:rPr>
        <w:t>jurisdikcinę</w:t>
      </w:r>
      <w:proofErr w:type="spellEnd"/>
      <w:r w:rsidRPr="00986131">
        <w:rPr>
          <w:rFonts w:asciiTheme="minorHAnsi" w:hAnsiTheme="minorHAnsi" w:cstheme="minorHAnsi"/>
          <w:sz w:val="22"/>
          <w:szCs w:val="22"/>
          <w:u w:val="single"/>
        </w:rPr>
        <w:t xml:space="preserve"> veiklą vykdo visiškai autonomiškai, jos nesaisto jokie hierarchijos ar pavaldumo ryšiai, ji negauna jokių nurodymų ar įpareigojimų, taigi yra apsaugota nuo išorinio poveikio ar spaudimo, kurie gali kelti grėsmę jos narių nepriklausomam sprendimų priėmimui ir turėti įtakos jų sprendimams. Kaip ir atitinkamos institucijos narių įgaliojimų pastovumas, tokio dydžio atlyginimo, kuris atitiktų teisėjų vykdomų funkcijų svarbą, mokėjimas yra būtina jų nepriklausomumo garantija</w:t>
      </w:r>
      <w:r w:rsidR="00DB3BD3">
        <w:rPr>
          <w:rFonts w:asciiTheme="minorHAnsi" w:hAnsiTheme="minorHAnsi" w:cstheme="minorHAnsi"/>
          <w:sz w:val="22"/>
          <w:szCs w:val="22"/>
        </w:rPr>
        <w:t xml:space="preserve"> (63–</w:t>
      </w:r>
      <w:r w:rsidRPr="00986131">
        <w:rPr>
          <w:rFonts w:asciiTheme="minorHAnsi" w:hAnsiTheme="minorHAnsi" w:cstheme="minorHAnsi"/>
          <w:sz w:val="22"/>
          <w:szCs w:val="22"/>
        </w:rPr>
        <w:t>66 punktai).</w:t>
      </w:r>
    </w:p>
    <w:p w14:paraId="69643B24" w14:textId="1193ED20"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Nagrinėtoje byloje nustatyta, kad pagrindinėje byloje nagrinėjamų atlyginimų mažinimo priemonių buvo imtasi vykdant reikalavimus pašalinti atitinkamos valstybės narės biudžeto deficito perviršį ir pagal šias priemones numatytas ribotas atlyginimų dydžio mažinimas taikant įvairius pagal atlyginimo dydį nustatytus procentinius dydžius. Šios priemonės taikytos ne tik Ispanijos teismų nariams, bet ir daug plačiau – įvairių kategorijų valstybės tarnautojams ir viešojo valdymo funkcijas vykdantiems asmenims, įskaitant įstatymų leidžiamosios, vykdomosios ir teisminės valdžios atstovus. Taigi </w:t>
      </w:r>
      <w:r w:rsidRPr="00986131">
        <w:rPr>
          <w:rFonts w:asciiTheme="minorHAnsi" w:hAnsiTheme="minorHAnsi" w:cstheme="minorHAnsi"/>
          <w:sz w:val="22"/>
          <w:szCs w:val="22"/>
          <w:u w:val="single"/>
        </w:rPr>
        <w:t>jos prilygintinos bendroms priemonėms, kuriomis siekiama, kad visi nacionalinės viešosios tarnybos sektoriuje dirbantys asmenys prisidėtų prie griežto lėšų taupymo</w:t>
      </w:r>
      <w:r w:rsidRPr="00986131">
        <w:rPr>
          <w:rFonts w:asciiTheme="minorHAnsi" w:hAnsiTheme="minorHAnsi" w:cstheme="minorHAnsi"/>
          <w:sz w:val="22"/>
          <w:szCs w:val="22"/>
        </w:rPr>
        <w:t>, kurį lėmė reikalavimai sumažinti Ispanijos valstybės biudžeto deficito perviršį. Be to, kadangi turi būti atsižvelgta tik į C. </w:t>
      </w:r>
      <w:proofErr w:type="spellStart"/>
      <w:r w:rsidRPr="00986131">
        <w:rPr>
          <w:rFonts w:asciiTheme="minorHAnsi" w:hAnsiTheme="minorHAnsi" w:cstheme="minorHAnsi"/>
          <w:sz w:val="22"/>
          <w:szCs w:val="22"/>
        </w:rPr>
        <w:t>Escribano</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Vindel</w:t>
      </w:r>
      <w:proofErr w:type="spellEnd"/>
      <w:r w:rsidRPr="00986131">
        <w:rPr>
          <w:rFonts w:asciiTheme="minorHAnsi" w:hAnsiTheme="minorHAnsi" w:cstheme="minorHAnsi"/>
          <w:sz w:val="22"/>
          <w:szCs w:val="22"/>
        </w:rPr>
        <w:t xml:space="preserve"> padėtį, nagrinėjamu </w:t>
      </w:r>
      <w:r w:rsidRPr="00986131">
        <w:rPr>
          <w:rFonts w:asciiTheme="minorHAnsi" w:hAnsiTheme="minorHAnsi" w:cstheme="minorHAnsi"/>
          <w:sz w:val="22"/>
          <w:szCs w:val="22"/>
          <w:u w:val="single"/>
        </w:rPr>
        <w:t>reikia tik patikrinti, ar, pritaikius pagrindinėje byloje nagrinėjamą atlyginimų sumažinimą, suinteresuotasis asmuo gauna tokio dydžio atlyginimą, kuris atitiktų jo vykdomų funkcijų svarbą</w:t>
      </w:r>
      <w:r w:rsidRPr="00986131">
        <w:rPr>
          <w:rFonts w:asciiTheme="minorHAnsi" w:hAnsiTheme="minorHAnsi" w:cstheme="minorHAnsi"/>
          <w:sz w:val="22"/>
          <w:szCs w:val="22"/>
        </w:rPr>
        <w:t xml:space="preserve">. Teismo vertinimu, neatrodo, kad prašymą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pateikusiam teismui nagrinėjamu atveju atliekant vertinimą būtų svarbus pagrindinėje byloje nagrinėjamo atlyginimų mažinimo būdas, kurį taikant, prašymą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pateikusio teismo teigimu, nebuvo atsižvelgta į vykdomų funkcijų pobūdį, darbo stažą ar atliekamų užduočių svarbą arba į tai, kad, šio teismo nuomone, pritaikius šį būdą, žemesnių kategorijų teisėjų, priklausančių dviem atlyginimų grupėms, </w:t>
      </w:r>
      <w:r w:rsidRPr="00986131">
        <w:rPr>
          <w:rFonts w:asciiTheme="minorHAnsi" w:hAnsiTheme="minorHAnsi" w:cstheme="minorHAnsi"/>
          <w:sz w:val="22"/>
          <w:szCs w:val="22"/>
        </w:rPr>
        <w:lastRenderedPageBreak/>
        <w:t>atlyginimai buvo sumažinti didesniu procentiniu dydžiu nei aukštesnės kategorijos teisėjų, priklausančių vienai atlyg</w:t>
      </w:r>
      <w:r w:rsidR="00DB3BD3">
        <w:rPr>
          <w:rFonts w:asciiTheme="minorHAnsi" w:hAnsiTheme="minorHAnsi" w:cstheme="minorHAnsi"/>
          <w:sz w:val="22"/>
          <w:szCs w:val="22"/>
        </w:rPr>
        <w:t>inimų grupei, atlyginimai (67–</w:t>
      </w:r>
      <w:r w:rsidRPr="00986131">
        <w:rPr>
          <w:rFonts w:asciiTheme="minorHAnsi" w:hAnsiTheme="minorHAnsi" w:cstheme="minorHAnsi"/>
          <w:sz w:val="22"/>
          <w:szCs w:val="22"/>
        </w:rPr>
        <w:t>69 punktai).</w:t>
      </w:r>
    </w:p>
    <w:p w14:paraId="453DC2ED" w14:textId="54A17DF2"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Galiausiai Teismas pažymėjo, kad nutartyje dėl prašymo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nėra jokios konkrečios informacijos apie C. </w:t>
      </w:r>
      <w:proofErr w:type="spellStart"/>
      <w:r w:rsidRPr="00986131">
        <w:rPr>
          <w:rFonts w:asciiTheme="minorHAnsi" w:hAnsiTheme="minorHAnsi" w:cstheme="minorHAnsi"/>
          <w:sz w:val="22"/>
          <w:szCs w:val="22"/>
        </w:rPr>
        <w:t>Escribano</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Vindel</w:t>
      </w:r>
      <w:proofErr w:type="spellEnd"/>
      <w:r w:rsidRPr="00986131">
        <w:rPr>
          <w:rFonts w:asciiTheme="minorHAnsi" w:hAnsiTheme="minorHAnsi" w:cstheme="minorHAnsi"/>
          <w:sz w:val="22"/>
          <w:szCs w:val="22"/>
        </w:rPr>
        <w:t xml:space="preserve"> atlyginimo dydį. Prašymą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pateikęs </w:t>
      </w:r>
      <w:r w:rsidRPr="00986131">
        <w:rPr>
          <w:rFonts w:asciiTheme="minorHAnsi" w:hAnsiTheme="minorHAnsi" w:cstheme="minorHAnsi"/>
          <w:sz w:val="22"/>
          <w:szCs w:val="22"/>
          <w:u w:val="single"/>
        </w:rPr>
        <w:t>teismas turi atlikti būtinus patikrinimus, kad nustatytų, ar atlyginimas, kurį, pritaikius pagrindinėje byloje nagrinėjamą atlyginimų sumažinimą, gauna C. </w:t>
      </w:r>
      <w:proofErr w:type="spellStart"/>
      <w:r w:rsidRPr="00986131">
        <w:rPr>
          <w:rFonts w:asciiTheme="minorHAnsi" w:hAnsiTheme="minorHAnsi" w:cstheme="minorHAnsi"/>
          <w:sz w:val="22"/>
          <w:szCs w:val="22"/>
          <w:u w:val="single"/>
        </w:rPr>
        <w:t>Escribano</w:t>
      </w:r>
      <w:proofErr w:type="spellEnd"/>
      <w:r w:rsidRPr="00986131">
        <w:rPr>
          <w:rFonts w:asciiTheme="minorHAnsi" w:hAnsiTheme="minorHAnsi" w:cstheme="minorHAnsi"/>
          <w:sz w:val="22"/>
          <w:szCs w:val="22"/>
          <w:u w:val="single"/>
        </w:rPr>
        <w:t xml:space="preserve"> </w:t>
      </w:r>
      <w:proofErr w:type="spellStart"/>
      <w:r w:rsidRPr="00986131">
        <w:rPr>
          <w:rFonts w:asciiTheme="minorHAnsi" w:hAnsiTheme="minorHAnsi" w:cstheme="minorHAnsi"/>
          <w:sz w:val="22"/>
          <w:szCs w:val="22"/>
          <w:u w:val="single"/>
        </w:rPr>
        <w:t>Vindel</w:t>
      </w:r>
      <w:proofErr w:type="spellEnd"/>
      <w:r w:rsidRPr="00986131">
        <w:rPr>
          <w:rFonts w:asciiTheme="minorHAnsi" w:hAnsiTheme="minorHAnsi" w:cstheme="minorHAnsi"/>
          <w:sz w:val="22"/>
          <w:szCs w:val="22"/>
          <w:u w:val="single"/>
        </w:rPr>
        <w:t>, yra tokio dydžio, kad atitiktų jo vykdomų funkcijų svarbą, taigi ir užtikrintų nepriklausomą jo sprendimų priėmimą</w:t>
      </w:r>
      <w:r w:rsidR="00DB3BD3">
        <w:rPr>
          <w:rFonts w:asciiTheme="minorHAnsi" w:hAnsiTheme="minorHAnsi" w:cstheme="minorHAnsi"/>
          <w:sz w:val="22"/>
          <w:szCs w:val="22"/>
        </w:rPr>
        <w:t xml:space="preserve"> (70</w:t>
      </w:r>
      <w:r w:rsidRPr="00986131">
        <w:rPr>
          <w:rFonts w:asciiTheme="minorHAnsi" w:hAnsiTheme="minorHAnsi" w:cstheme="minorHAnsi"/>
          <w:sz w:val="22"/>
          <w:szCs w:val="22"/>
        </w:rPr>
        <w:t>–73 punktai).</w:t>
      </w:r>
    </w:p>
    <w:p w14:paraId="6D6BE02D"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Atsižvelgiant į visa tai, kas išdėstyta, į antrąjį klausimą reikia atsakyti: ESS 19 straipsnio 1 dalies antra pastraipa turi būti aiškinama taip, kad </w:t>
      </w:r>
      <w:r w:rsidRPr="00986131">
        <w:rPr>
          <w:rFonts w:asciiTheme="minorHAnsi" w:hAnsiTheme="minorHAnsi" w:cstheme="minorHAnsi"/>
          <w:sz w:val="22"/>
          <w:szCs w:val="22"/>
          <w:u w:val="single"/>
        </w:rPr>
        <w:t xml:space="preserve">teisėjų nepriklausomumo principas nedraudžia taikyti </w:t>
      </w:r>
      <w:r w:rsidRPr="00986131">
        <w:rPr>
          <w:rFonts w:asciiTheme="minorHAnsi" w:hAnsiTheme="minorHAnsi" w:cstheme="minorHAnsi"/>
          <w:sz w:val="22"/>
          <w:szCs w:val="22"/>
        </w:rPr>
        <w:t xml:space="preserve">ieškovui pagrindinėje byloje </w:t>
      </w:r>
      <w:r w:rsidRPr="00986131">
        <w:rPr>
          <w:rFonts w:asciiTheme="minorHAnsi" w:hAnsiTheme="minorHAnsi" w:cstheme="minorHAnsi"/>
          <w:sz w:val="22"/>
          <w:szCs w:val="22"/>
          <w:u w:val="single"/>
        </w:rPr>
        <w:t>tokios nacionalinės teisės nuostatos</w:t>
      </w:r>
      <w:r w:rsidRPr="00986131">
        <w:rPr>
          <w:rFonts w:asciiTheme="minorHAnsi" w:hAnsiTheme="minorHAnsi" w:cstheme="minorHAnsi"/>
          <w:sz w:val="22"/>
          <w:szCs w:val="22"/>
        </w:rPr>
        <w:t xml:space="preserve">, kaip nagrinėjama pagrindinėje byloje, </w:t>
      </w:r>
      <w:r w:rsidRPr="00986131">
        <w:rPr>
          <w:rFonts w:asciiTheme="minorHAnsi" w:hAnsiTheme="minorHAnsi" w:cstheme="minorHAnsi"/>
          <w:sz w:val="22"/>
          <w:szCs w:val="22"/>
          <w:u w:val="single"/>
        </w:rPr>
        <w:t>kurioje, įgyvendinant bendras atlyginimų mažinimo priemones, susijusias su reikalavimais pašalinti biudžeto deficito perviršį, nustatyti skirtingi teisėjų pagrindinio ir papildomo atlyginimų mažinimo procentiniai dydžiai, neatsižvelgiant į vykdomų funkcijų pobūdį, darbo stažą ar atliekamų užduočių svarbą</w:t>
      </w:r>
      <w:r w:rsidRPr="00986131">
        <w:rPr>
          <w:rFonts w:asciiTheme="minorHAnsi" w:hAnsiTheme="minorHAnsi" w:cstheme="minorHAnsi"/>
          <w:sz w:val="22"/>
          <w:szCs w:val="22"/>
        </w:rPr>
        <w:t xml:space="preserve">, o tai, prašymą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pateikusio teismo teigimu, lėmė, kad žemesnių kategorijų teisėjų, priklausančių dviem atlyginimų grupėms, atlyginimai buvo sumažinti didesniu procentiniu dydžiu nei aukštesnės kategorijos teisėjų, priklausančių vienai atlyginimų grupei, atlyginimai, nors pirmieji gauna mažesnį atlyginimą nei antrieji, </w:t>
      </w:r>
      <w:r w:rsidRPr="00986131">
        <w:rPr>
          <w:rFonts w:asciiTheme="minorHAnsi" w:hAnsiTheme="minorHAnsi" w:cstheme="minorHAnsi"/>
          <w:sz w:val="22"/>
          <w:szCs w:val="22"/>
          <w:u w:val="single"/>
        </w:rPr>
        <w:t>su sąlyga, kad atlyginimas, kurį, pritaikius pagrindinėje byloje nagrinėjamą atlyginimų sumažinimą, gauna ieškovas pagrindinėje byloje, yra tokio dydžio, kad atitiktų jo vykdomų funkcijų svarbą, taigi ir užtikrintų nepriklausomą jo sprendimų priėmimą</w:t>
      </w:r>
      <w:r w:rsidRPr="00986131">
        <w:rPr>
          <w:rFonts w:asciiTheme="minorHAnsi" w:hAnsiTheme="minorHAnsi" w:cstheme="minorHAnsi"/>
          <w:sz w:val="22"/>
          <w:szCs w:val="22"/>
        </w:rPr>
        <w:t xml:space="preserve">, o tai turi patikrinti prašymą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pateikęs teismas (74 punktas).</w:t>
      </w:r>
    </w:p>
    <w:p w14:paraId="5E8415A2"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p>
    <w:p w14:paraId="0C3EC84A" w14:textId="77777777" w:rsidR="00B47BC3" w:rsidRPr="00986131" w:rsidRDefault="00B47BC3" w:rsidP="00B47BC3">
      <w:pPr>
        <w:ind w:firstLine="567"/>
        <w:rPr>
          <w:rFonts w:asciiTheme="minorHAnsi" w:hAnsiTheme="minorHAnsi" w:cstheme="minorHAnsi"/>
          <w:b/>
        </w:rPr>
      </w:pPr>
      <w:r w:rsidRPr="00986131">
        <w:rPr>
          <w:rFonts w:asciiTheme="minorHAnsi" w:hAnsiTheme="minorHAnsi" w:cstheme="minorHAnsi"/>
          <w:b/>
        </w:rPr>
        <w:t>Remdamasis šiais motyvais, Teisingumo Teismas (antroji kolegija) nusprendė:</w:t>
      </w:r>
    </w:p>
    <w:p w14:paraId="5F966997" w14:textId="77777777" w:rsidR="00B47BC3" w:rsidRPr="00986131" w:rsidRDefault="00B47BC3" w:rsidP="00B47BC3">
      <w:pPr>
        <w:ind w:firstLine="567"/>
        <w:rPr>
          <w:rFonts w:asciiTheme="minorHAnsi" w:hAnsiTheme="minorHAnsi" w:cstheme="minorHAnsi"/>
          <w:b/>
        </w:rPr>
      </w:pPr>
    </w:p>
    <w:p w14:paraId="285DB43A"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1. Europos Sąjungos pagrindinių teisių chartijos 21 straipsnis ir 2000 m. lapkričio 27 d. Tarybos direktyvos 2000/78/EB, nustatančios vienodo požiūrio užimtumo ir profesinėje srityje bendruosius pagrindus, 2 straipsnio 1 dalis ir 2 dalies b punktas turi būti aiškinami kaip nedraudžiantys tokios nacionalinės teisės nuostatos, kaip nagrinėjama pagrindinėje byloje, kurioje, įgyvendinant bendras atlyginimų mažinimo priemones, susijusias su reikalavimais pašalinti biudžeto deficito perviršį, nustatyti skirtingi teisėjų pagrindinio ir papildomo atlyginimų mažinimo procentiniai dydžiai, o tai, prašymą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pateikusio teismo teigimu, lėmė, kad žemesnių kategorijų teisėjų, priklausančių dviem atlyginimų grupėms, atlyginimai buvo sumažinti didesniu procentiniu dydžiu nei aukštesnės kategorijos teisėjų, priklausančių vienai atlyginimų grupei, atlyginimai, nors pirmieji gauna mažesnį atlyginimą, dažniausiai yra jaunesni ir paprastai turi mažesnį darbo stažą nei antrieji, tačiau prašymą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pateikęs teismas dar turi atlikti reikiamus patikrinimus.</w:t>
      </w:r>
    </w:p>
    <w:p w14:paraId="2DD7DDE7"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2. ESS 19 straipsnio 1 dalies antra pastraipa turi būti aiškinama taip, kad teisėjų nepriklausomumo principas nedraudžia taikyti ieškovui pagrindinėje byloje tokios nacionalinės teisės nuostatos, kaip nagrinėjama pagrindinėje byloje, kurioje, įgyvendinant bendras atlyginimų mažinimo priemones, susijusias su reikalavimais pašalinti biudžeto deficito perviršį, nustatyti skirtingi teisėjų pagrindinio ir papildomo atlyginimų mažinimo procentiniai dydžiai, neatsižvelgiant į vykdomų funkcijų pobūdį, darbo stažą ar atliekamų užduočių svarbą, o tai, prašymą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pateikusio teismo teigimu, lėmė, kad žemesnių kategorijų teisėjų, priklausančių dviem atlyginimų grupėms, atlyginimai buvo sumažinti didesniu procentiniu dydžiu nei aukštesnės kategorijos teisėjų, priklausančių vienai atlyginimų grupei, atlyginimai, nors pirmieji gauna mažesnį atlyginimą nei antrieji, su sąlyga, kad atlyginimas, kurį, pritaikius pagrindinėje byloje nagrinėjamą atlyginimų sumažinimą, gauna ieškovas pagrindinėje byloje, yra tokio dydžio, kad atitiktų jo vykdomų funkcijų svarbą, taigi ir užtikrintų nepriklausomą jo sprendimų priėmimą, o tai turi patikrinti prašymą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pateikęs teismas.</w:t>
      </w:r>
    </w:p>
    <w:p w14:paraId="442841A3" w14:textId="77777777" w:rsidR="00B47BC3" w:rsidRPr="00986131" w:rsidRDefault="006A47DB" w:rsidP="00B47BC3">
      <w:pPr>
        <w:pStyle w:val="c01pointnumerotealtn"/>
        <w:shd w:val="clear" w:color="auto" w:fill="FFFFFF"/>
        <w:spacing w:before="0" w:beforeAutospacing="0" w:after="0"/>
        <w:ind w:firstLine="0"/>
        <w:rPr>
          <w:rFonts w:asciiTheme="minorHAnsi" w:hAnsiTheme="minorHAnsi" w:cstheme="minorHAnsi"/>
          <w:sz w:val="22"/>
          <w:szCs w:val="22"/>
        </w:rPr>
      </w:pPr>
      <w:hyperlink r:id="rId15" w:history="1">
        <w:r w:rsidR="00B47BC3" w:rsidRPr="00986131">
          <w:rPr>
            <w:rStyle w:val="Hipersaitas"/>
            <w:rFonts w:asciiTheme="minorHAnsi" w:hAnsiTheme="minorHAnsi" w:cstheme="minorHAnsi"/>
            <w:sz w:val="22"/>
            <w:szCs w:val="22"/>
          </w:rPr>
          <w:t>Prieiga internete</w:t>
        </w:r>
      </w:hyperlink>
      <w:r w:rsidR="00B47BC3" w:rsidRPr="00986131">
        <w:rPr>
          <w:rFonts w:asciiTheme="minorHAnsi" w:hAnsiTheme="minorHAnsi" w:cstheme="minorHAnsi"/>
          <w:sz w:val="22"/>
          <w:szCs w:val="22"/>
        </w:rPr>
        <w:t xml:space="preserve"> </w:t>
      </w:r>
    </w:p>
    <w:p w14:paraId="08D9AB8F" w14:textId="77777777" w:rsidR="00B47BC3" w:rsidRPr="00986131" w:rsidRDefault="00B47BC3" w:rsidP="00AD0B10">
      <w:pPr>
        <w:pStyle w:val="c01pointnumerotealtn"/>
        <w:spacing w:before="0" w:beforeAutospacing="0" w:after="0"/>
        <w:ind w:left="0" w:firstLine="567"/>
        <w:rPr>
          <w:rStyle w:val="Hipersaitas"/>
          <w:rFonts w:asciiTheme="minorHAnsi" w:hAnsiTheme="minorHAnsi" w:cstheme="minorHAnsi"/>
          <w:bCs/>
          <w:sz w:val="22"/>
          <w:szCs w:val="22"/>
        </w:rPr>
      </w:pPr>
    </w:p>
    <w:p w14:paraId="72B06794" w14:textId="40D95FF5" w:rsidR="009A5424" w:rsidRPr="00986131" w:rsidRDefault="009A5424" w:rsidP="009A5424">
      <w:pPr>
        <w:pStyle w:val="Antrat1"/>
        <w:spacing w:before="0"/>
        <w:rPr>
          <w:rFonts w:eastAsia="Times New Roman" w:cstheme="minorHAnsi"/>
          <w:bCs/>
          <w:color w:val="17365D"/>
          <w:kern w:val="32"/>
          <w:szCs w:val="22"/>
          <w:lang w:eastAsia="lt-LT"/>
        </w:rPr>
      </w:pPr>
      <w:bookmarkStart w:id="61" w:name="_Toc11232466"/>
      <w:bookmarkStart w:id="62" w:name="_Toc11232757"/>
      <w:bookmarkStart w:id="63" w:name="_Toc11757993"/>
      <w:r w:rsidRPr="00986131">
        <w:rPr>
          <w:rFonts w:eastAsia="Times New Roman" w:cstheme="minorHAnsi"/>
          <w:bCs/>
          <w:color w:val="17365D"/>
          <w:kern w:val="32"/>
          <w:szCs w:val="22"/>
          <w:lang w:eastAsia="lt-LT"/>
        </w:rPr>
        <w:t>APMOKESTINIMAS</w:t>
      </w:r>
      <w:bookmarkEnd w:id="61"/>
      <w:bookmarkEnd w:id="62"/>
      <w:bookmarkEnd w:id="63"/>
    </w:p>
    <w:p w14:paraId="74829F8F" w14:textId="77777777" w:rsidR="009A5424" w:rsidRDefault="009A5424" w:rsidP="009A5424">
      <w:pPr>
        <w:ind w:firstLine="540"/>
        <w:rPr>
          <w:rFonts w:cs="Calibri"/>
          <w:b/>
        </w:rPr>
      </w:pPr>
    </w:p>
    <w:p w14:paraId="75378166" w14:textId="77777777" w:rsidR="005E5E25" w:rsidRPr="00332E77" w:rsidRDefault="005E5E25" w:rsidP="005E5E25">
      <w:pPr>
        <w:pStyle w:val="Antrat2"/>
        <w:rPr>
          <w:rFonts w:cstheme="minorHAnsi"/>
        </w:rPr>
      </w:pPr>
      <w:bookmarkStart w:id="64" w:name="_Toc11164527"/>
      <w:bookmarkStart w:id="65" w:name="_Toc11232467"/>
      <w:bookmarkStart w:id="66" w:name="_Toc11232758"/>
      <w:bookmarkStart w:id="67" w:name="_Toc11757994"/>
      <w:bookmarkStart w:id="68" w:name="_Toc11164516"/>
      <w:r w:rsidRPr="00332E77">
        <w:rPr>
          <w:rFonts w:cstheme="minorHAnsi"/>
        </w:rPr>
        <w:t xml:space="preserve">2019 m. vasario 14 d. </w:t>
      </w:r>
      <w:proofErr w:type="spellStart"/>
      <w:r w:rsidRPr="00332E77">
        <w:rPr>
          <w:rFonts w:cstheme="minorHAnsi"/>
        </w:rPr>
        <w:t>prejudicinis</w:t>
      </w:r>
      <w:proofErr w:type="spellEnd"/>
      <w:r w:rsidRPr="00332E77">
        <w:rPr>
          <w:rFonts w:cstheme="minorHAnsi"/>
        </w:rPr>
        <w:t xml:space="preserve"> sprendimas byloje</w:t>
      </w:r>
      <w:r>
        <w:rPr>
          <w:rFonts w:cstheme="minorHAnsi"/>
        </w:rPr>
        <w:t xml:space="preserve"> </w:t>
      </w:r>
      <w:r w:rsidRPr="00332E77">
        <w:rPr>
          <w:rFonts w:cstheme="minorHAnsi"/>
        </w:rPr>
        <w:t>C</w:t>
      </w:r>
      <w:r w:rsidRPr="00332E77">
        <w:rPr>
          <w:rFonts w:ascii="Cambria Math" w:hAnsi="Cambria Math" w:cs="Cambria Math"/>
        </w:rPr>
        <w:t>‑</w:t>
      </w:r>
      <w:r w:rsidRPr="00332E77">
        <w:rPr>
          <w:rFonts w:cstheme="minorHAnsi"/>
        </w:rPr>
        <w:t>531/17</w:t>
      </w:r>
      <w:bookmarkEnd w:id="64"/>
      <w:bookmarkEnd w:id="65"/>
      <w:bookmarkEnd w:id="66"/>
      <w:bookmarkEnd w:id="67"/>
    </w:p>
    <w:p w14:paraId="6D6C135F" w14:textId="77777777" w:rsidR="005E5E25" w:rsidRPr="00332E77" w:rsidRDefault="005E5E25" w:rsidP="005E5E25">
      <w:pPr>
        <w:jc w:val="center"/>
        <w:rPr>
          <w:rFonts w:asciiTheme="minorHAnsi" w:hAnsiTheme="minorHAnsi" w:cstheme="minorHAnsi"/>
          <w:bCs/>
        </w:rPr>
      </w:pPr>
      <w:r w:rsidRPr="00B04ABC">
        <w:rPr>
          <w:rFonts w:asciiTheme="minorHAnsi" w:hAnsiTheme="minorHAnsi" w:cstheme="minorHAnsi"/>
          <w:b/>
          <w:i/>
          <w:iCs/>
        </w:rPr>
        <w:t xml:space="preserve">Inicijuotoje </w:t>
      </w:r>
      <w:proofErr w:type="spellStart"/>
      <w:r w:rsidRPr="00B04ABC">
        <w:rPr>
          <w:rFonts w:asciiTheme="minorHAnsi" w:hAnsiTheme="minorHAnsi" w:cstheme="minorHAnsi"/>
          <w:b/>
          <w:bCs/>
          <w:i/>
        </w:rPr>
        <w:t>Vetsch</w:t>
      </w:r>
      <w:proofErr w:type="spellEnd"/>
      <w:r w:rsidRPr="00B04ABC">
        <w:rPr>
          <w:rFonts w:asciiTheme="minorHAnsi" w:hAnsiTheme="minorHAnsi" w:cstheme="minorHAnsi"/>
          <w:b/>
          <w:bCs/>
          <w:i/>
        </w:rPr>
        <w:t xml:space="preserve"> </w:t>
      </w:r>
      <w:proofErr w:type="spellStart"/>
      <w:r w:rsidRPr="00B04ABC">
        <w:rPr>
          <w:rFonts w:asciiTheme="minorHAnsi" w:hAnsiTheme="minorHAnsi" w:cstheme="minorHAnsi"/>
          <w:b/>
          <w:bCs/>
          <w:i/>
        </w:rPr>
        <w:t>Int</w:t>
      </w:r>
      <w:proofErr w:type="spellEnd"/>
      <w:r w:rsidRPr="00B04ABC">
        <w:rPr>
          <w:rFonts w:asciiTheme="minorHAnsi" w:hAnsiTheme="minorHAnsi" w:cstheme="minorHAnsi"/>
          <w:b/>
          <w:bCs/>
          <w:i/>
        </w:rPr>
        <w:t xml:space="preserve">. Transporte </w:t>
      </w:r>
      <w:proofErr w:type="spellStart"/>
      <w:r w:rsidRPr="00B04ABC">
        <w:rPr>
          <w:rFonts w:asciiTheme="minorHAnsi" w:hAnsiTheme="minorHAnsi" w:cstheme="minorHAnsi"/>
          <w:b/>
          <w:bCs/>
          <w:i/>
        </w:rPr>
        <w:t>GmbH</w:t>
      </w:r>
      <w:proofErr w:type="spellEnd"/>
      <w:r w:rsidRPr="00B04ABC">
        <w:rPr>
          <w:rFonts w:asciiTheme="minorHAnsi" w:hAnsiTheme="minorHAnsi" w:cstheme="minorHAnsi"/>
          <w:b/>
          <w:bCs/>
          <w:i/>
        </w:rPr>
        <w:t xml:space="preserve">, </w:t>
      </w:r>
      <w:r w:rsidRPr="00B04ABC">
        <w:rPr>
          <w:rFonts w:asciiTheme="minorHAnsi" w:hAnsiTheme="minorHAnsi" w:cstheme="minorHAnsi"/>
          <w:b/>
          <w:i/>
        </w:rPr>
        <w:t xml:space="preserve">dalyvaujant </w:t>
      </w:r>
      <w:proofErr w:type="spellStart"/>
      <w:r w:rsidRPr="00B04ABC">
        <w:rPr>
          <w:rFonts w:asciiTheme="minorHAnsi" w:hAnsiTheme="minorHAnsi" w:cstheme="minorHAnsi"/>
          <w:b/>
          <w:bCs/>
          <w:i/>
        </w:rPr>
        <w:t>Zollamt</w:t>
      </w:r>
      <w:proofErr w:type="spellEnd"/>
      <w:r w:rsidRPr="00B04ABC">
        <w:rPr>
          <w:rFonts w:asciiTheme="minorHAnsi" w:hAnsiTheme="minorHAnsi" w:cstheme="minorHAnsi"/>
          <w:b/>
          <w:bCs/>
          <w:i/>
        </w:rPr>
        <w:t xml:space="preserve"> </w:t>
      </w:r>
      <w:proofErr w:type="spellStart"/>
      <w:r w:rsidRPr="00B04ABC">
        <w:rPr>
          <w:rFonts w:asciiTheme="minorHAnsi" w:hAnsiTheme="minorHAnsi" w:cstheme="minorHAnsi"/>
          <w:b/>
          <w:bCs/>
          <w:i/>
        </w:rPr>
        <w:t>Feldkir</w:t>
      </w:r>
      <w:r w:rsidRPr="005E5E25">
        <w:rPr>
          <w:rFonts w:asciiTheme="minorHAnsi" w:hAnsiTheme="minorHAnsi" w:cstheme="minorHAnsi"/>
          <w:b/>
          <w:bCs/>
          <w:i/>
        </w:rPr>
        <w:t>ch</w:t>
      </w:r>
      <w:proofErr w:type="spellEnd"/>
      <w:r w:rsidRPr="005E5E25">
        <w:rPr>
          <w:rFonts w:asciiTheme="minorHAnsi" w:hAnsiTheme="minorHAnsi" w:cstheme="minorHAnsi"/>
          <w:b/>
          <w:bCs/>
          <w:i/>
        </w:rPr>
        <w:t xml:space="preserve"> </w:t>
      </w:r>
      <w:proofErr w:type="spellStart"/>
      <w:r w:rsidRPr="005E5E25">
        <w:rPr>
          <w:rFonts w:asciiTheme="minorHAnsi" w:hAnsiTheme="minorHAnsi" w:cstheme="minorHAnsi"/>
          <w:b/>
          <w:bCs/>
          <w:i/>
        </w:rPr>
        <w:t>Wolfurt</w:t>
      </w:r>
      <w:proofErr w:type="spellEnd"/>
    </w:p>
    <w:p w14:paraId="66302450" w14:textId="77777777" w:rsidR="005E5E25" w:rsidRPr="00332E77" w:rsidRDefault="005E5E25" w:rsidP="005E5E25">
      <w:pPr>
        <w:ind w:firstLine="540"/>
        <w:rPr>
          <w:rFonts w:asciiTheme="minorHAnsi" w:hAnsiTheme="minorHAnsi" w:cstheme="minorHAnsi"/>
        </w:rPr>
      </w:pPr>
    </w:p>
    <w:p w14:paraId="5FEDF431" w14:textId="4C90A795"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lastRenderedPageBreak/>
        <w:t xml:space="preserve">Prašymas priimti </w:t>
      </w:r>
      <w:proofErr w:type="spellStart"/>
      <w:r w:rsidRPr="00332E77">
        <w:rPr>
          <w:rFonts w:asciiTheme="minorHAnsi" w:hAnsiTheme="minorHAnsi" w:cstheme="minorHAnsi"/>
        </w:rPr>
        <w:t>prejudicinį</w:t>
      </w:r>
      <w:proofErr w:type="spellEnd"/>
      <w:r w:rsidRPr="00332E77">
        <w:rPr>
          <w:rFonts w:asciiTheme="minorHAnsi" w:hAnsiTheme="minorHAnsi" w:cstheme="minorHAnsi"/>
        </w:rPr>
        <w:t xml:space="preserve"> sprendimą buvo pateiktas dėl 2006 m. lapkričio 28 d. Tarybos direktyvos 2006/112/EB dėl pridėtinės vertės mokesčio bendros sistemos (toliau – PVM direktyva) 143 </w:t>
      </w:r>
      <w:r>
        <w:rPr>
          <w:rFonts w:asciiTheme="minorHAnsi" w:hAnsiTheme="minorHAnsi" w:cstheme="minorHAnsi"/>
        </w:rPr>
        <w:t>straipsnio d </w:t>
      </w:r>
      <w:r w:rsidRPr="00332E77">
        <w:rPr>
          <w:rFonts w:asciiTheme="minorHAnsi" w:hAnsiTheme="minorHAnsi" w:cstheme="minorHAnsi"/>
        </w:rPr>
        <w:t xml:space="preserve">punkto ir šios direktyvos, iš dalies pakeistos 2009 m. birželio 25 d. Tarybos direktyva 2009/69/EB (toliau – PVM direktyva su pakeitimais), 143 straipsnio 1 dalies d punkto išaiškinimo. Šis prašymas pateiktas nagrinėjant </w:t>
      </w:r>
      <w:proofErr w:type="spellStart"/>
      <w:r w:rsidRPr="00332E77">
        <w:rPr>
          <w:rFonts w:asciiTheme="minorHAnsi" w:hAnsiTheme="minorHAnsi" w:cstheme="minorHAnsi"/>
          <w:i/>
        </w:rPr>
        <w:t>Vetsch</w:t>
      </w:r>
      <w:proofErr w:type="spellEnd"/>
      <w:r w:rsidRPr="00332E77">
        <w:rPr>
          <w:rFonts w:asciiTheme="minorHAnsi" w:hAnsiTheme="minorHAnsi" w:cstheme="minorHAnsi"/>
          <w:i/>
        </w:rPr>
        <w:t xml:space="preserve"> </w:t>
      </w:r>
      <w:proofErr w:type="spellStart"/>
      <w:r w:rsidRPr="00332E77">
        <w:rPr>
          <w:rFonts w:asciiTheme="minorHAnsi" w:hAnsiTheme="minorHAnsi" w:cstheme="minorHAnsi"/>
          <w:i/>
        </w:rPr>
        <w:t>Int</w:t>
      </w:r>
      <w:proofErr w:type="spellEnd"/>
      <w:r w:rsidRPr="00332E77">
        <w:rPr>
          <w:rFonts w:asciiTheme="minorHAnsi" w:hAnsiTheme="minorHAnsi" w:cstheme="minorHAnsi"/>
          <w:i/>
        </w:rPr>
        <w:t xml:space="preserve">. Transporte </w:t>
      </w:r>
      <w:proofErr w:type="spellStart"/>
      <w:r w:rsidRPr="00332E77">
        <w:rPr>
          <w:rFonts w:asciiTheme="minorHAnsi" w:hAnsiTheme="minorHAnsi" w:cstheme="minorHAnsi"/>
          <w:i/>
        </w:rPr>
        <w:t>GmbH</w:t>
      </w:r>
      <w:proofErr w:type="spellEnd"/>
      <w:r w:rsidRPr="00332E77">
        <w:rPr>
          <w:rFonts w:asciiTheme="minorHAnsi" w:hAnsiTheme="minorHAnsi" w:cstheme="minorHAnsi"/>
        </w:rPr>
        <w:t xml:space="preserve"> (toliau – </w:t>
      </w:r>
      <w:proofErr w:type="spellStart"/>
      <w:r w:rsidRPr="00332E77">
        <w:rPr>
          <w:rFonts w:asciiTheme="minorHAnsi" w:hAnsiTheme="minorHAnsi" w:cstheme="minorHAnsi"/>
          <w:i/>
        </w:rPr>
        <w:t>Vetsch</w:t>
      </w:r>
      <w:proofErr w:type="spellEnd"/>
      <w:r w:rsidRPr="00332E77">
        <w:rPr>
          <w:rFonts w:asciiTheme="minorHAnsi" w:hAnsiTheme="minorHAnsi" w:cstheme="minorHAnsi"/>
        </w:rPr>
        <w:t>) ir Austrijos muitinės ginčą dėl Šveicarijoje įsigytų prekių importo į Austriją, siekiant jas pervežti į Bulgariją, neapmokestinimo pridėtinės vertės mokesčiu (PVM)</w:t>
      </w:r>
      <w:r>
        <w:rPr>
          <w:rFonts w:asciiTheme="minorHAnsi" w:hAnsiTheme="minorHAnsi" w:cstheme="minorHAnsi"/>
        </w:rPr>
        <w:t xml:space="preserve"> (1–2 punktai)</w:t>
      </w:r>
      <w:r w:rsidRPr="00332E77">
        <w:rPr>
          <w:rFonts w:asciiTheme="minorHAnsi" w:hAnsiTheme="minorHAnsi" w:cstheme="minorHAnsi"/>
        </w:rPr>
        <w:t>.</w:t>
      </w:r>
    </w:p>
    <w:p w14:paraId="46BDE18E" w14:textId="48639661"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Pagrindinė</w:t>
      </w:r>
      <w:r>
        <w:rPr>
          <w:rFonts w:asciiTheme="minorHAnsi" w:hAnsiTheme="minorHAnsi" w:cstheme="minorHAnsi"/>
        </w:rPr>
        <w:t>j</w:t>
      </w:r>
      <w:r w:rsidRPr="00332E77">
        <w:rPr>
          <w:rFonts w:asciiTheme="minorHAnsi" w:hAnsiTheme="minorHAnsi" w:cstheme="minorHAnsi"/>
        </w:rPr>
        <w:t xml:space="preserve">e byloje nustatyta, kad </w:t>
      </w:r>
      <w:proofErr w:type="spellStart"/>
      <w:r w:rsidRPr="00332E77">
        <w:rPr>
          <w:rFonts w:asciiTheme="minorHAnsi" w:hAnsiTheme="minorHAnsi" w:cstheme="minorHAnsi"/>
          <w:i/>
          <w:iCs/>
        </w:rPr>
        <w:t>Vetsch</w:t>
      </w:r>
      <w:proofErr w:type="spellEnd"/>
      <w:r w:rsidRPr="00332E77">
        <w:rPr>
          <w:rFonts w:asciiTheme="minorHAnsi" w:hAnsiTheme="minorHAnsi" w:cstheme="minorHAnsi"/>
        </w:rPr>
        <w:t xml:space="preserve"> yra Austrijos ribotos atsakomybės bendrovė, vykdanti vežimo veiklą. Ši bendrovė, kaip netiesioginė dviejų Bulgarijoje įsteigtų bendrovių K ir </w:t>
      </w:r>
      <w:r>
        <w:rPr>
          <w:rFonts w:asciiTheme="minorHAnsi" w:hAnsiTheme="minorHAnsi" w:cstheme="minorHAnsi"/>
        </w:rPr>
        <w:t>B atstovė, laikotarpiu nuo 2010 </w:t>
      </w:r>
      <w:r w:rsidRPr="00332E77">
        <w:rPr>
          <w:rFonts w:asciiTheme="minorHAnsi" w:hAnsiTheme="minorHAnsi" w:cstheme="minorHAnsi"/>
        </w:rPr>
        <w:t xml:space="preserve">m. gruodžio 10 d. iki 2011 m. liepos 5 d. muitinei pateikė deklaracijas, skirtas iš Šveicarijos importuotų prekių išleidimo į laisvą apyvartą procedūrai įforminti. Šiose deklaracijose </w:t>
      </w:r>
      <w:proofErr w:type="spellStart"/>
      <w:r w:rsidRPr="00332E77">
        <w:rPr>
          <w:rFonts w:asciiTheme="minorHAnsi" w:hAnsiTheme="minorHAnsi" w:cstheme="minorHAnsi"/>
        </w:rPr>
        <w:t>Vetsch</w:t>
      </w:r>
      <w:proofErr w:type="spellEnd"/>
      <w:r w:rsidRPr="00332E77">
        <w:rPr>
          <w:rFonts w:asciiTheme="minorHAnsi" w:hAnsiTheme="minorHAnsi" w:cstheme="minorHAnsi"/>
        </w:rPr>
        <w:t xml:space="preserve"> paprašė taikyti neapmokestinimą PVM ir šiuo tikslu jose nurodė kodą „42 muitinės procedūra“. Taigi atitinkamos prekės buvo išleistos į laisvą apyvartą, jų importo neapmokestinant PVM</w:t>
      </w:r>
      <w:r>
        <w:rPr>
          <w:rFonts w:asciiTheme="minorHAnsi" w:hAnsiTheme="minorHAnsi" w:cstheme="minorHAnsi"/>
        </w:rPr>
        <w:t xml:space="preserve"> (13–14 punktai)</w:t>
      </w:r>
      <w:r w:rsidRPr="00332E77">
        <w:rPr>
          <w:rFonts w:asciiTheme="minorHAnsi" w:hAnsiTheme="minorHAnsi" w:cstheme="minorHAnsi"/>
        </w:rPr>
        <w:t>.</w:t>
      </w:r>
    </w:p>
    <w:p w14:paraId="7D82D1AF" w14:textId="439BB12D"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 xml:space="preserve">Vis dėlto 2011 m. rugsėjo 6 d. sprendimu muitinė pareikalavo iš </w:t>
      </w:r>
      <w:proofErr w:type="spellStart"/>
      <w:r w:rsidRPr="00332E77">
        <w:rPr>
          <w:rFonts w:asciiTheme="minorHAnsi" w:hAnsiTheme="minorHAnsi" w:cstheme="minorHAnsi"/>
          <w:i/>
          <w:iCs/>
        </w:rPr>
        <w:t>Vetsch</w:t>
      </w:r>
      <w:proofErr w:type="spellEnd"/>
      <w:r w:rsidRPr="00332E77">
        <w:rPr>
          <w:rFonts w:asciiTheme="minorHAnsi" w:hAnsiTheme="minorHAnsi" w:cstheme="minorHAnsi"/>
          <w:i/>
          <w:iCs/>
        </w:rPr>
        <w:t xml:space="preserve"> </w:t>
      </w:r>
      <w:r w:rsidRPr="00332E77">
        <w:rPr>
          <w:rFonts w:asciiTheme="minorHAnsi" w:hAnsiTheme="minorHAnsi" w:cstheme="minorHAnsi"/>
        </w:rPr>
        <w:t>sumokėti PVM už atitinkamų prekių importą pagal Muitinės kodekso 204 straipsnio 1 dalį, motyvuodama tuo, kad nebuvo tenkinamos minėtose deklaracijose nurodyto neapmokestinimo sąlygos. Šiuo klausimu buvo nustatyta, kad prekių pardavėjas gavėjams Bulgarijoje buvo perdavęs teisę disponuoti šiomis prekėmis</w:t>
      </w:r>
      <w:r w:rsidR="005F534F">
        <w:rPr>
          <w:rFonts w:asciiTheme="minorHAnsi" w:hAnsiTheme="minorHAnsi" w:cstheme="minorHAnsi"/>
        </w:rPr>
        <w:t>, kai jos buvo Šveicarijoje, t. </w:t>
      </w:r>
      <w:r w:rsidRPr="00332E77">
        <w:rPr>
          <w:rFonts w:asciiTheme="minorHAnsi" w:hAnsiTheme="minorHAnsi" w:cstheme="minorHAnsi"/>
        </w:rPr>
        <w:t xml:space="preserve">y. prieš atliekant muitinės formalumus Austrijoje. Nenustatyta, kad šie gavėjai neteko šios teisės Bulgarijoje. Nors minėti gavėjai deklaravo aptariamų prekių įsigijimo Bendrijos viduje sandorius, jie vis dėlto turėjo būti atsakingi už sukčiavimą mokesčių srityje šioje valstybėje narėje, nes neteisėtai deklaravo aptariamų prekių neapmokestinamąjį Bendrijos viduje tiekimą </w:t>
      </w:r>
      <w:proofErr w:type="spellStart"/>
      <w:r w:rsidRPr="00332E77">
        <w:rPr>
          <w:rFonts w:asciiTheme="minorHAnsi" w:hAnsiTheme="minorHAnsi" w:cstheme="minorHAnsi"/>
          <w:i/>
          <w:iCs/>
        </w:rPr>
        <w:t>Vetsch</w:t>
      </w:r>
      <w:proofErr w:type="spellEnd"/>
      <w:r w:rsidRPr="00332E77">
        <w:rPr>
          <w:rFonts w:asciiTheme="minorHAnsi" w:hAnsiTheme="minorHAnsi" w:cstheme="minorHAnsi"/>
        </w:rPr>
        <w:t xml:space="preserve"> naudai (1</w:t>
      </w:r>
      <w:r>
        <w:rPr>
          <w:rFonts w:asciiTheme="minorHAnsi" w:hAnsiTheme="minorHAnsi" w:cstheme="minorHAnsi"/>
        </w:rPr>
        <w:t>5</w:t>
      </w:r>
      <w:r w:rsidRPr="00332E77">
        <w:rPr>
          <w:rFonts w:asciiTheme="minorHAnsi" w:hAnsiTheme="minorHAnsi" w:cstheme="minorHAnsi"/>
        </w:rPr>
        <w:t>–17 punktai</w:t>
      </w:r>
      <w:r>
        <w:rPr>
          <w:rFonts w:asciiTheme="minorHAnsi" w:hAnsiTheme="minorHAnsi" w:cstheme="minorHAnsi"/>
        </w:rPr>
        <w:t>)</w:t>
      </w:r>
      <w:r w:rsidRPr="00332E77">
        <w:rPr>
          <w:rFonts w:asciiTheme="minorHAnsi" w:hAnsiTheme="minorHAnsi" w:cstheme="minorHAnsi"/>
        </w:rPr>
        <w:t>.</w:t>
      </w:r>
    </w:p>
    <w:p w14:paraId="1EB32342" w14:textId="4AF40A51"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Ginčui pasiekus teismą, šis nutarė sustabdyti bylos nagrinėjimą ir kreiptis į Teisingumo Teismą, siekdamas pirmiausia išsiaiškinti, ar PVM direktyvos 143 straipsnio d punktą ir PVM direktyvos su pakeitimais 143 straipsnio 1 dalies d punktą reikia aiškinti taip, kad teise pasinaudoti importo neapmokestinimu PVM, kaip numatyta šiose nuostatose, turi būti neleidžiama importuotojui, k</w:t>
      </w:r>
      <w:r>
        <w:rPr>
          <w:rFonts w:asciiTheme="minorHAnsi" w:hAnsiTheme="minorHAnsi" w:cstheme="minorHAnsi"/>
        </w:rPr>
        <w:t>uriam pagal šios direktyvos 201 </w:t>
      </w:r>
      <w:r w:rsidRPr="00332E77">
        <w:rPr>
          <w:rFonts w:asciiTheme="minorHAnsi" w:hAnsiTheme="minorHAnsi" w:cstheme="minorHAnsi"/>
        </w:rPr>
        <w:t xml:space="preserve">straipsnį tenka ar pripažįstama tenkanti prievolė sumokėti šį mokestį, jei importuotų ir po to pervežtų Bendrijos viduje prekių gavėjas sukčiauja vykdydamas pervežus prekes sudarytą sandorį, kuris </w:t>
      </w:r>
      <w:r w:rsidRPr="00332E77">
        <w:rPr>
          <w:rFonts w:asciiTheme="minorHAnsi" w:hAnsiTheme="minorHAnsi" w:cstheme="minorHAnsi"/>
          <w:u w:val="single"/>
        </w:rPr>
        <w:t>nesusijęs su minėtu pervežimu</w:t>
      </w:r>
      <w:r w:rsidRPr="00332E77">
        <w:rPr>
          <w:rFonts w:asciiTheme="minorHAnsi" w:hAnsiTheme="minorHAnsi" w:cstheme="minorHAnsi"/>
        </w:rPr>
        <w:t xml:space="preserve"> (29 punktas).</w:t>
      </w:r>
    </w:p>
    <w:p w14:paraId="595C580B"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Šiuo klausimu Teisingumo Teismas nurodė, kad p pagal PVM direktyvos 143 straipsnio d punktą ir PVM direktyvos su pakeitimais 143 straipsnio 1 dalies d punktą valstybės narės PVM neapmokestina iš trečiosios teritorijos ar trečiosios šalies išsiųstų ar išgabentų prekių importo į kitą valstybę narę nei ta, kurioje užbaigiamas prekių siuntimas ar gabenimas, kai tokias prekes tiekiančio importuotojo, kuriam pagal šios direktyvos 201 straipsnį tenka ar pripažįstama tenkanti prievolė sumokėti PVM, vykdomas prekių tiekimas neapmokestinamas PVM pagal minėtos direktyvos 138 straipsnį (30 punktas).</w:t>
      </w:r>
    </w:p>
    <w:p w14:paraId="46AA7942"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 xml:space="preserve">Šis importo neapmokestinimas PVM siejamas su vėlesniu importuotojo vykdomu prekių tiekimu Bendrijos viduje, kuris pats neapmokestinamas pagal PVM direktyvos 138 straipsnį, todėl priklauso nuo to, ar laikomasi šiame straipsnyje nustatytų materialinių sąlygų. </w:t>
      </w:r>
      <w:r w:rsidRPr="00332E77">
        <w:rPr>
          <w:rFonts w:asciiTheme="minorHAnsi" w:hAnsiTheme="minorHAnsi" w:cstheme="minorHAnsi"/>
          <w:u w:val="single"/>
        </w:rPr>
        <w:t>Tas pats taikoma, jeigu, kaip šioje byloje, prekių tiekimas yra prekių pervežimas į kitą valstybę narę</w:t>
      </w:r>
      <w:r w:rsidRPr="00332E77">
        <w:rPr>
          <w:rFonts w:asciiTheme="minorHAnsi" w:hAnsiTheme="minorHAnsi" w:cstheme="minorHAnsi"/>
        </w:rPr>
        <w:t xml:space="preserve"> (31 punktas).</w:t>
      </w:r>
    </w:p>
    <w:p w14:paraId="14FABBF6"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 xml:space="preserve">Neapmokestinimo PVM tikslais </w:t>
      </w:r>
      <w:r w:rsidRPr="00332E77">
        <w:rPr>
          <w:rFonts w:asciiTheme="minorHAnsi" w:hAnsiTheme="minorHAnsi" w:cstheme="minorHAnsi"/>
          <w:u w:val="single"/>
        </w:rPr>
        <w:t>pervežimas Bendrijos viduje</w:t>
      </w:r>
      <w:r w:rsidRPr="00332E77">
        <w:rPr>
          <w:rFonts w:asciiTheme="minorHAnsi" w:hAnsiTheme="minorHAnsi" w:cstheme="minorHAnsi"/>
        </w:rPr>
        <w:t xml:space="preserve">, kuris PVM direktyvos 17 straipsnio 1 dalies pirmojoje pastraipoje apibrėžtas kaip apmokestinamojo asmens atliekamas prekių, sudarančių šio apmokestinamojo asmens veiklai skirto turto dalį, pervežimas į kitą valstybę narę, </w:t>
      </w:r>
      <w:r w:rsidRPr="00332E77">
        <w:rPr>
          <w:rFonts w:asciiTheme="minorHAnsi" w:hAnsiTheme="minorHAnsi" w:cstheme="minorHAnsi"/>
          <w:u w:val="single"/>
        </w:rPr>
        <w:t>apima, be kita ko, tiekimą Bendrijos viduje, kurio neapmokestinimas numatytas šios direktyvos 138 straipsnyje</w:t>
      </w:r>
      <w:r w:rsidRPr="00332E77">
        <w:rPr>
          <w:rFonts w:asciiTheme="minorHAnsi" w:hAnsiTheme="minorHAnsi" w:cstheme="minorHAnsi"/>
        </w:rPr>
        <w:t xml:space="preserve"> (33 punktas).</w:t>
      </w:r>
    </w:p>
    <w:p w14:paraId="72097DD1"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Pagrindinėje byloje nagrinėtas pervežimas Bendrijos viduje atitiko sąlygas, nustatytas PVM direktyvos 138 straipsnyje, į kurį pateikiama nuoroda šios direktyvos 143 straipsnio d punkte ir PVM direktyvos su pakeitimais 143 straipsnio 1 dalies d punkte (34 punktas). Be to, nebuvo jokios informacijos, leidžiančios teigti, jog pagrindinėje byloje nagrinėtas prekių importas neatitiko kitų minėtų importo neapmokestinimo PVM sąlygų (35 punktas).</w:t>
      </w:r>
    </w:p>
    <w:p w14:paraId="712CB6A1" w14:textId="77777777" w:rsidR="005E5E25" w:rsidRPr="00332E77" w:rsidRDefault="005E5E25" w:rsidP="005E5E25">
      <w:pPr>
        <w:ind w:firstLine="540"/>
        <w:rPr>
          <w:rFonts w:asciiTheme="minorHAnsi" w:hAnsiTheme="minorHAnsi" w:cstheme="minorHAnsi"/>
        </w:rPr>
      </w:pPr>
    </w:p>
    <w:p w14:paraId="5B673A7E" w14:textId="77777777" w:rsidR="005E5E25" w:rsidRPr="00332E77" w:rsidRDefault="005E5E25" w:rsidP="005F534F">
      <w:pPr>
        <w:pStyle w:val="Antrat3"/>
        <w:ind w:firstLine="567"/>
        <w:rPr>
          <w:rFonts w:cstheme="minorHAnsi"/>
          <w:b w:val="0"/>
          <w:bCs w:val="0"/>
        </w:rPr>
      </w:pPr>
      <w:bookmarkStart w:id="69" w:name="_Toc11164528"/>
      <w:bookmarkStart w:id="70" w:name="_Toc11232468"/>
      <w:bookmarkStart w:id="71" w:name="_Toc11232759"/>
      <w:bookmarkStart w:id="72" w:name="_Toc11757995"/>
      <w:r w:rsidRPr="00332E77">
        <w:rPr>
          <w:rFonts w:cstheme="minorHAnsi"/>
        </w:rPr>
        <w:t>Dėl su sukčiavimu susijusio sandorio, atlikto vykdant tiekimą Bendrijos viduje po to, kai buvo atliktas importas ir paskesnis pervežimas, poveikio teisei pasinaudoti importo neapmokestinimu PVM</w:t>
      </w:r>
      <w:bookmarkEnd w:id="69"/>
      <w:bookmarkEnd w:id="70"/>
      <w:bookmarkEnd w:id="71"/>
      <w:bookmarkEnd w:id="72"/>
    </w:p>
    <w:p w14:paraId="223BE54B" w14:textId="77777777" w:rsidR="005E5E25" w:rsidRPr="00332E77" w:rsidRDefault="005E5E25" w:rsidP="005E5E25">
      <w:pPr>
        <w:ind w:firstLine="540"/>
        <w:rPr>
          <w:rFonts w:asciiTheme="minorHAnsi" w:hAnsiTheme="minorHAnsi" w:cstheme="minorHAnsi"/>
        </w:rPr>
      </w:pPr>
    </w:p>
    <w:p w14:paraId="6ED828D6"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 xml:space="preserve">Šiuo klausimu Teisingumo Teismas pažymėjo, kad tokioje situacijoje, kokia nagrinėjama pagrindinėje byloje, viena vertus, </w:t>
      </w:r>
      <w:r w:rsidRPr="00332E77">
        <w:rPr>
          <w:rFonts w:asciiTheme="minorHAnsi" w:hAnsiTheme="minorHAnsi" w:cstheme="minorHAnsi"/>
          <w:u w:val="single"/>
        </w:rPr>
        <w:t>importas ir paskesnis pervežimas Bendrijos viduje, ir, kita vertus, tiekimas Bendrijos viduje, kada buvo sukčiauta, turi būti laikomi vienas nuo kito nepriklausomais sandoriais</w:t>
      </w:r>
      <w:r w:rsidRPr="00332E77">
        <w:rPr>
          <w:rFonts w:asciiTheme="minorHAnsi" w:hAnsiTheme="minorHAnsi" w:cstheme="minorHAnsi"/>
        </w:rPr>
        <w:t xml:space="preserve"> (38 punktas). Iš tiesų </w:t>
      </w:r>
      <w:r w:rsidRPr="00332E77">
        <w:rPr>
          <w:rFonts w:asciiTheme="minorHAnsi" w:hAnsiTheme="minorHAnsi" w:cstheme="minorHAnsi"/>
        </w:rPr>
        <w:lastRenderedPageBreak/>
        <w:t xml:space="preserve">PVM direktyvos 143 straipsnio d punktas ir PVM direktyvos su pakeitimais 143 straipsnio 1 dalies d punktas </w:t>
      </w:r>
      <w:r w:rsidRPr="00332E77">
        <w:rPr>
          <w:rFonts w:asciiTheme="minorHAnsi" w:hAnsiTheme="minorHAnsi" w:cstheme="minorHAnsi"/>
          <w:u w:val="single"/>
        </w:rPr>
        <w:t>faktiškai reiškia, jog yra dvigubas neapmokestinimas, t. y. pirmasis neapmokestinimas pridėtinės vertės mokesčiu, kuris pagal PVM direktyvos 201 straipsnį paprastai mokėtinas importo atveju, ir antrasis neapmokestinimas, susijęs su tiekimu ar pervežimu Bendrijos viduje, atliktais po šio importo</w:t>
      </w:r>
      <w:r w:rsidRPr="00332E77">
        <w:rPr>
          <w:rFonts w:asciiTheme="minorHAnsi" w:hAnsiTheme="minorHAnsi" w:cstheme="minorHAnsi"/>
        </w:rPr>
        <w:t xml:space="preserve"> (39 punktas). Taigi, jei tenkinamos PVM direktyvos 143 straipsnio d punkte ir PVM direktyvos su pakeitimais 143 straipsnio 1 dalies d punkte nustatytos sąlygos, PVM už prekes, kurios buvo išsiųstos arba išgabentos iš trečiosios šalies į Sąjungą, iš principo pirmą kartą turi būti mokamas ne toje valstybėje narėje, į kurios teritoriją jos iš pradžių buvo importuotos, o valstybėje narėje, kurioje užbaigiamas prekių siuntimas ar gabenimas. Šiomis nuostatomis siekiama supaprastinimo tikslo, skirto tarpvalstybinei prekybai palengvinti, kai supaprastinimas pasireiškia tuo, jog importo neapmokestinimas gali lemti turimos teisės į PVM atskaitą netaikymą, atsižvelgiant į priešingu atveju atsirandančią prievolę mokėti importo PVM (40 punktas). Tokioje situacijoje, kai buvo sukčiauta Bulgarijoje atliekant iš šios valstybės narės tiekimą Bendrijos viduje, būtent Bulgarijos valdžios institucijos privalo neleisti pasinaudoti šio tiekimo neapmokestinimu PVM (41 punk</w:t>
      </w:r>
      <w:r>
        <w:rPr>
          <w:rFonts w:asciiTheme="minorHAnsi" w:hAnsiTheme="minorHAnsi" w:cstheme="minorHAnsi"/>
        </w:rPr>
        <w:t>t</w:t>
      </w:r>
      <w:r w:rsidRPr="00332E77">
        <w:rPr>
          <w:rFonts w:asciiTheme="minorHAnsi" w:hAnsiTheme="minorHAnsi" w:cstheme="minorHAnsi"/>
        </w:rPr>
        <w:t>as).</w:t>
      </w:r>
    </w:p>
    <w:p w14:paraId="75A39B97" w14:textId="0F3C9E85"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 xml:space="preserve">Kadangi nustatyta, kad sukčiavimas nėra susijęs su pervežimu, nuo kurio priklauso importo neapmokestinimas PVM, nustatytas PVM direktyvos 143 straipsnio d punkte ir PVM direktyvos su pakeitimais 143 straipsnio 1 dalies d punkte, šio neapmokestinimo negalima nesuteikti importuotojui, kuriam pagal šios direktyvos 201 straipsnį tenka ar pripažįstama tenkanti prievolė sumokėti šį mokestį, tuo atveju, </w:t>
      </w:r>
      <w:r w:rsidRPr="00332E77">
        <w:rPr>
          <w:rFonts w:asciiTheme="minorHAnsi" w:hAnsiTheme="minorHAnsi" w:cstheme="minorHAnsi"/>
          <w:u w:val="single"/>
        </w:rPr>
        <w:t>jei nėra jokios informacijos, leidžiančios teigti, kad importuotojas žinojo ar turėjo žinoti, jog importuotų prekių paskesnis tiekimas yra įtrauktas į Bulgarijos gavėjų sukčiavimą</w:t>
      </w:r>
      <w:r w:rsidRPr="00332E77">
        <w:rPr>
          <w:rFonts w:asciiTheme="minorHAnsi" w:hAnsiTheme="minorHAnsi" w:cstheme="minorHAnsi"/>
        </w:rPr>
        <w:t xml:space="preserve"> (42 punktas)</w:t>
      </w:r>
      <w:r>
        <w:rPr>
          <w:rFonts w:asciiTheme="minorHAnsi" w:hAnsiTheme="minorHAnsi" w:cstheme="minorHAnsi"/>
        </w:rPr>
        <w:t>.</w:t>
      </w:r>
    </w:p>
    <w:p w14:paraId="2094E7D1" w14:textId="77777777" w:rsidR="005E5E25" w:rsidRPr="00332E77" w:rsidRDefault="005E5E25" w:rsidP="005E5E25">
      <w:pPr>
        <w:ind w:firstLine="540"/>
        <w:rPr>
          <w:rFonts w:asciiTheme="minorHAnsi" w:hAnsiTheme="minorHAnsi" w:cstheme="minorHAnsi"/>
        </w:rPr>
      </w:pPr>
    </w:p>
    <w:p w14:paraId="0B8E0F6D" w14:textId="77777777" w:rsidR="005E5E25" w:rsidRPr="00332E77" w:rsidRDefault="005E5E25" w:rsidP="005E5E25">
      <w:pPr>
        <w:ind w:firstLine="540"/>
        <w:rPr>
          <w:rFonts w:asciiTheme="minorHAnsi" w:hAnsiTheme="minorHAnsi" w:cstheme="minorHAnsi"/>
          <w:b/>
        </w:rPr>
      </w:pPr>
      <w:r w:rsidRPr="00332E77">
        <w:rPr>
          <w:rFonts w:asciiTheme="minorHAnsi" w:hAnsiTheme="minorHAnsi" w:cstheme="minorHAnsi"/>
          <w:b/>
        </w:rPr>
        <w:t>Remdamasis šiais motyvais, Teisingumo Teismas (devintoji kolegija) nusprendė:</w:t>
      </w:r>
    </w:p>
    <w:p w14:paraId="63F27B8C" w14:textId="77777777" w:rsidR="005E5E25" w:rsidRPr="00332E77" w:rsidRDefault="005E5E25" w:rsidP="005E5E25">
      <w:pPr>
        <w:ind w:firstLine="540"/>
        <w:rPr>
          <w:rFonts w:asciiTheme="minorHAnsi" w:hAnsiTheme="minorHAnsi" w:cstheme="minorHAnsi"/>
        </w:rPr>
      </w:pPr>
    </w:p>
    <w:p w14:paraId="687A977A"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PVM direktyvos 143 straipsnio d punktą ir Pakeistos PVM direktyvos 143 straipsnio 1 dalies d punktą reikia aiškinti taip, kad pasinaudoti teise į importo neapmokestinimą pridėtinės vertės mokesčiu, kaip numatyta šiose nuostatose, neturi būti draudžiama importuotojui, kuriam pagal PVM direktyvos 201 straipsnį tenka ar pripažįstama tenkanti prievolė sumokėti šį mokestį, tokioje situacijoje, kokia nagrinėjama pagrindinėje byloje, kai, pirma, importuotų ir po to pervežtų Bendrijos viduje prekių gavėjas sukčiauja vykdydamas pervežus prekes sudarytą sandorį, kuris nesusijęs su minėtu pervežimu, ir, antra, nėra jokios informacijos, leidžiančios teigti, kad importuotojas žinojo ar turėjo žinot</w:t>
      </w:r>
    </w:p>
    <w:p w14:paraId="4212198F" w14:textId="77777777" w:rsidR="005E5E25" w:rsidRPr="00332E77" w:rsidRDefault="006A47DB" w:rsidP="005E5E25">
      <w:pPr>
        <w:ind w:firstLine="540"/>
        <w:rPr>
          <w:rFonts w:asciiTheme="minorHAnsi" w:hAnsiTheme="minorHAnsi" w:cstheme="minorHAnsi"/>
        </w:rPr>
      </w:pPr>
      <w:hyperlink r:id="rId16" w:history="1">
        <w:r w:rsidR="005E5E25" w:rsidRPr="00A858F6">
          <w:rPr>
            <w:rStyle w:val="Hipersaitas"/>
            <w:rFonts w:asciiTheme="minorHAnsi" w:hAnsiTheme="minorHAnsi" w:cstheme="minorHAnsi"/>
          </w:rPr>
          <w:t>Prieiga internete</w:t>
        </w:r>
      </w:hyperlink>
    </w:p>
    <w:p w14:paraId="4B6B4E8D" w14:textId="77777777" w:rsidR="005E5E25" w:rsidRPr="00332E77" w:rsidRDefault="005E5E25" w:rsidP="005E5E25">
      <w:pPr>
        <w:ind w:firstLine="540"/>
        <w:rPr>
          <w:rFonts w:asciiTheme="minorHAnsi" w:hAnsiTheme="minorHAnsi" w:cstheme="minorHAnsi"/>
        </w:rPr>
      </w:pPr>
    </w:p>
    <w:p w14:paraId="6EB15BA0" w14:textId="77777777" w:rsidR="005E5E25" w:rsidRPr="00332E77" w:rsidRDefault="005E5E25" w:rsidP="005E5E25">
      <w:pPr>
        <w:pStyle w:val="Antrat2"/>
        <w:rPr>
          <w:rFonts w:cstheme="minorHAnsi"/>
        </w:rPr>
      </w:pPr>
      <w:bookmarkStart w:id="73" w:name="_Toc11164524"/>
      <w:bookmarkStart w:id="74" w:name="_Toc11232469"/>
      <w:bookmarkStart w:id="75" w:name="_Toc11232760"/>
      <w:bookmarkStart w:id="76" w:name="_Toc11757996"/>
      <w:r w:rsidRPr="00332E77">
        <w:rPr>
          <w:rFonts w:cstheme="minorHAnsi"/>
        </w:rPr>
        <w:t>2019 m. vasario 28 d.</w:t>
      </w:r>
      <w:r>
        <w:rPr>
          <w:rFonts w:cstheme="minorHAnsi"/>
        </w:rPr>
        <w:t xml:space="preserve"> </w:t>
      </w:r>
      <w:proofErr w:type="spellStart"/>
      <w:r w:rsidRPr="00332E77">
        <w:rPr>
          <w:rFonts w:cstheme="minorHAnsi"/>
        </w:rPr>
        <w:t>prejudicinis</w:t>
      </w:r>
      <w:proofErr w:type="spellEnd"/>
      <w:r w:rsidRPr="00332E77">
        <w:rPr>
          <w:rFonts w:cstheme="minorHAnsi"/>
        </w:rPr>
        <w:t xml:space="preserve"> sprendimas byloje C</w:t>
      </w:r>
      <w:r w:rsidRPr="00332E77">
        <w:rPr>
          <w:rFonts w:ascii="Cambria Math" w:hAnsi="Cambria Math" w:cs="Cambria Math"/>
        </w:rPr>
        <w:t>‑</w:t>
      </w:r>
      <w:r w:rsidRPr="00332E77">
        <w:rPr>
          <w:rFonts w:cstheme="minorHAnsi"/>
        </w:rPr>
        <w:t>567/17</w:t>
      </w:r>
      <w:bookmarkEnd w:id="73"/>
      <w:bookmarkEnd w:id="74"/>
      <w:bookmarkEnd w:id="75"/>
      <w:bookmarkEnd w:id="76"/>
    </w:p>
    <w:p w14:paraId="2514F240" w14:textId="77777777" w:rsidR="005E5E25" w:rsidRPr="005E5E25" w:rsidRDefault="005E5E25" w:rsidP="005E5E25">
      <w:pPr>
        <w:jc w:val="center"/>
        <w:rPr>
          <w:rFonts w:asciiTheme="minorHAnsi" w:hAnsiTheme="minorHAnsi" w:cstheme="minorHAnsi"/>
          <w:b/>
          <w:bCs/>
          <w:i/>
        </w:rPr>
      </w:pPr>
      <w:r w:rsidRPr="005E5E25">
        <w:rPr>
          <w:rFonts w:asciiTheme="minorHAnsi" w:hAnsiTheme="minorHAnsi" w:cstheme="minorHAnsi"/>
          <w:b/>
          <w:bCs/>
          <w:i/>
        </w:rPr>
        <w:t xml:space="preserve">UAB „Bene </w:t>
      </w:r>
      <w:proofErr w:type="spellStart"/>
      <w:r w:rsidRPr="005E5E25">
        <w:rPr>
          <w:rFonts w:asciiTheme="minorHAnsi" w:hAnsiTheme="minorHAnsi" w:cstheme="minorHAnsi"/>
          <w:b/>
          <w:bCs/>
          <w:i/>
        </w:rPr>
        <w:t>Factum</w:t>
      </w:r>
      <w:proofErr w:type="spellEnd"/>
      <w:r w:rsidRPr="005E5E25">
        <w:rPr>
          <w:rFonts w:asciiTheme="minorHAnsi" w:hAnsiTheme="minorHAnsi" w:cstheme="minorHAnsi"/>
          <w:b/>
          <w:bCs/>
          <w:i/>
        </w:rPr>
        <w:t>“</w:t>
      </w:r>
      <w:r w:rsidRPr="005E5E25">
        <w:rPr>
          <w:rFonts w:asciiTheme="minorHAnsi" w:hAnsiTheme="minorHAnsi" w:cstheme="minorHAnsi"/>
          <w:b/>
          <w:bCs/>
        </w:rPr>
        <w:t xml:space="preserve"> </w:t>
      </w:r>
      <w:r w:rsidRPr="00B04ABC">
        <w:rPr>
          <w:rFonts w:asciiTheme="minorHAnsi" w:hAnsiTheme="minorHAnsi" w:cstheme="minorHAnsi"/>
          <w:b/>
          <w:i/>
        </w:rPr>
        <w:t>prieš</w:t>
      </w:r>
      <w:r w:rsidRPr="005E5E25">
        <w:rPr>
          <w:rFonts w:asciiTheme="minorHAnsi" w:hAnsiTheme="minorHAnsi" w:cstheme="minorHAnsi"/>
          <w:b/>
        </w:rPr>
        <w:t xml:space="preserve"> </w:t>
      </w:r>
      <w:r w:rsidRPr="005E5E25">
        <w:rPr>
          <w:rFonts w:asciiTheme="minorHAnsi" w:hAnsiTheme="minorHAnsi" w:cstheme="minorHAnsi"/>
          <w:b/>
          <w:bCs/>
          <w:i/>
        </w:rPr>
        <w:t>Valstybinę mokesčių inspekciją</w:t>
      </w:r>
    </w:p>
    <w:p w14:paraId="2F9E5519" w14:textId="77777777" w:rsidR="005E5E25" w:rsidRPr="005E5E25" w:rsidRDefault="005E5E25" w:rsidP="005E5E25">
      <w:pPr>
        <w:jc w:val="center"/>
        <w:rPr>
          <w:rFonts w:asciiTheme="minorHAnsi" w:hAnsiTheme="minorHAnsi" w:cstheme="minorHAnsi"/>
          <w:b/>
          <w:bCs/>
          <w:i/>
        </w:rPr>
      </w:pPr>
      <w:r w:rsidRPr="005E5E25">
        <w:rPr>
          <w:rFonts w:asciiTheme="minorHAnsi" w:hAnsiTheme="minorHAnsi" w:cstheme="minorHAnsi"/>
          <w:b/>
          <w:bCs/>
          <w:i/>
        </w:rPr>
        <w:t>prie Lietuvos Respublikos finansų ministerijos</w:t>
      </w:r>
    </w:p>
    <w:p w14:paraId="68335D5F" w14:textId="77777777" w:rsidR="005E5E25" w:rsidRPr="00332E77" w:rsidRDefault="005E5E25" w:rsidP="005E5E25">
      <w:pPr>
        <w:ind w:firstLine="540"/>
        <w:rPr>
          <w:rFonts w:asciiTheme="minorHAnsi" w:hAnsiTheme="minorHAnsi" w:cstheme="minorHAnsi"/>
        </w:rPr>
      </w:pPr>
    </w:p>
    <w:p w14:paraId="1591F5AF" w14:textId="52DA55E6"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 xml:space="preserve">Prašymas priimti </w:t>
      </w:r>
      <w:proofErr w:type="spellStart"/>
      <w:r w:rsidRPr="00332E77">
        <w:rPr>
          <w:rFonts w:asciiTheme="minorHAnsi" w:hAnsiTheme="minorHAnsi" w:cstheme="minorHAnsi"/>
        </w:rPr>
        <w:t>prejudicinį</w:t>
      </w:r>
      <w:proofErr w:type="spellEnd"/>
      <w:r w:rsidRPr="00332E77">
        <w:rPr>
          <w:rFonts w:asciiTheme="minorHAnsi" w:hAnsiTheme="minorHAnsi" w:cstheme="minorHAnsi"/>
        </w:rPr>
        <w:t xml:space="preserve"> sprendimą buvo pateiktas dėl 1992 m. spalio 19 d. Tarybos direktyvos 92/83/EEB dėl akcizų už alkoholį ir alkoholinius gėrimus struktūrų suderinimo (toliau – ir Direktyva 92/83</w:t>
      </w:r>
      <w:r>
        <w:rPr>
          <w:rFonts w:asciiTheme="minorHAnsi" w:hAnsiTheme="minorHAnsi" w:cstheme="minorHAnsi"/>
        </w:rPr>
        <w:t>) 27 </w:t>
      </w:r>
      <w:r w:rsidRPr="00332E77">
        <w:rPr>
          <w:rFonts w:asciiTheme="minorHAnsi" w:hAnsiTheme="minorHAnsi" w:cstheme="minorHAnsi"/>
        </w:rPr>
        <w:t>straipsnio 1 dalies b punkto</w:t>
      </w:r>
      <w:r w:rsidRPr="00332E77">
        <w:rPr>
          <w:rStyle w:val="Puslapioinaosnuoroda"/>
          <w:rFonts w:asciiTheme="minorHAnsi" w:hAnsiTheme="minorHAnsi" w:cstheme="minorHAnsi"/>
        </w:rPr>
        <w:footnoteReference w:id="1"/>
      </w:r>
      <w:r w:rsidRPr="00332E77">
        <w:rPr>
          <w:rFonts w:asciiTheme="minorHAnsi" w:hAnsiTheme="minorHAnsi" w:cstheme="minorHAnsi"/>
        </w:rPr>
        <w:t xml:space="preserve"> išaiškinimo. Šis prašymas pateiktas nagrinėjant UAB „Bene </w:t>
      </w:r>
      <w:proofErr w:type="spellStart"/>
      <w:r w:rsidRPr="00332E77">
        <w:rPr>
          <w:rFonts w:asciiTheme="minorHAnsi" w:hAnsiTheme="minorHAnsi" w:cstheme="minorHAnsi"/>
        </w:rPr>
        <w:t>Factum</w:t>
      </w:r>
      <w:proofErr w:type="spellEnd"/>
      <w:r w:rsidRPr="00332E77">
        <w:rPr>
          <w:rFonts w:asciiTheme="minorHAnsi" w:hAnsiTheme="minorHAnsi" w:cstheme="minorHAnsi"/>
        </w:rPr>
        <w:t>“ ir Valstybinės mokesčių inspekcijos prie Lietuvos Respublikos finansų ministerijos ginčą dėl kosmetikos ir asmens higienos produktuose esančio etilo alkoholio apmokestinimo</w:t>
      </w:r>
      <w:r>
        <w:rPr>
          <w:rFonts w:asciiTheme="minorHAnsi" w:hAnsiTheme="minorHAnsi" w:cstheme="minorHAnsi"/>
        </w:rPr>
        <w:t xml:space="preserve"> (1–2 punktai)</w:t>
      </w:r>
      <w:r w:rsidRPr="00332E77">
        <w:rPr>
          <w:rFonts w:asciiTheme="minorHAnsi" w:hAnsiTheme="minorHAnsi" w:cstheme="minorHAnsi"/>
        </w:rPr>
        <w:t>.</w:t>
      </w:r>
    </w:p>
    <w:p w14:paraId="1B8AEAD5"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 xml:space="preserve">Pagrindinėje byloje nustatyta, kad 2009–2014 m. laikotarpiu </w:t>
      </w:r>
      <w:r w:rsidRPr="00332E77">
        <w:rPr>
          <w:rFonts w:asciiTheme="minorHAnsi" w:hAnsiTheme="minorHAnsi" w:cstheme="minorHAnsi"/>
          <w:i/>
          <w:iCs/>
        </w:rPr>
        <w:t xml:space="preserve">Bene </w:t>
      </w:r>
      <w:proofErr w:type="spellStart"/>
      <w:r w:rsidRPr="00332E77">
        <w:rPr>
          <w:rFonts w:asciiTheme="minorHAnsi" w:hAnsiTheme="minorHAnsi" w:cstheme="minorHAnsi"/>
          <w:i/>
          <w:iCs/>
        </w:rPr>
        <w:t>Factum</w:t>
      </w:r>
      <w:proofErr w:type="spellEnd"/>
      <w:r w:rsidRPr="00332E77">
        <w:rPr>
          <w:rFonts w:asciiTheme="minorHAnsi" w:hAnsiTheme="minorHAnsi" w:cstheme="minorHAnsi"/>
        </w:rPr>
        <w:t xml:space="preserve"> komerciniais tikslais importavo į Lietuvą burnos skalavimo skystį ir kosmetinį spiritą (toliau – produktai, kurie buvo ginčo dalykas), kuriuos įsigijo iš Lenkijoje įsteigtos bendrovės. Lenkijos bendrovė gamino šiuos produktus </w:t>
      </w:r>
      <w:r w:rsidRPr="00332E77">
        <w:rPr>
          <w:rFonts w:asciiTheme="minorHAnsi" w:hAnsiTheme="minorHAnsi" w:cstheme="minorHAnsi"/>
          <w:i/>
          <w:iCs/>
        </w:rPr>
        <w:t xml:space="preserve">Bene </w:t>
      </w:r>
      <w:proofErr w:type="spellStart"/>
      <w:r w:rsidRPr="00332E77">
        <w:rPr>
          <w:rFonts w:asciiTheme="minorHAnsi" w:hAnsiTheme="minorHAnsi" w:cstheme="minorHAnsi"/>
          <w:i/>
          <w:iCs/>
        </w:rPr>
        <w:t>Factum</w:t>
      </w:r>
      <w:proofErr w:type="spellEnd"/>
      <w:r w:rsidRPr="00332E77">
        <w:rPr>
          <w:rFonts w:asciiTheme="minorHAnsi" w:hAnsiTheme="minorHAnsi" w:cstheme="minorHAnsi"/>
          <w:i/>
          <w:iCs/>
        </w:rPr>
        <w:t xml:space="preserve"> </w:t>
      </w:r>
      <w:r w:rsidRPr="00332E77">
        <w:rPr>
          <w:rFonts w:asciiTheme="minorHAnsi" w:hAnsiTheme="minorHAnsi" w:cstheme="minorHAnsi"/>
        </w:rPr>
        <w:t xml:space="preserve">užsakymu, o ši kontroliavo gamybos procesą ir, be kita ko, sprendė dėl produktų sudėties, pakuočių ir etikečių išvaizdos. Produktai, kurie buvo ginčo dalykas, buvo skirti išimtinai </w:t>
      </w:r>
      <w:r w:rsidRPr="00332E77">
        <w:rPr>
          <w:rFonts w:asciiTheme="minorHAnsi" w:hAnsiTheme="minorHAnsi" w:cstheme="minorHAnsi"/>
          <w:i/>
          <w:iCs/>
        </w:rPr>
        <w:t xml:space="preserve">Bene </w:t>
      </w:r>
      <w:proofErr w:type="spellStart"/>
      <w:r w:rsidRPr="00332E77">
        <w:rPr>
          <w:rFonts w:asciiTheme="minorHAnsi" w:hAnsiTheme="minorHAnsi" w:cstheme="minorHAnsi"/>
          <w:i/>
          <w:iCs/>
        </w:rPr>
        <w:t>Factum</w:t>
      </w:r>
      <w:proofErr w:type="spellEnd"/>
      <w:r w:rsidRPr="00332E77">
        <w:rPr>
          <w:rFonts w:asciiTheme="minorHAnsi" w:hAnsiTheme="minorHAnsi" w:cstheme="minorHAnsi"/>
        </w:rPr>
        <w:t xml:space="preserve"> ir žymimi jai priklausančiu prekių ženklu „BF </w:t>
      </w:r>
      <w:proofErr w:type="spellStart"/>
      <w:r w:rsidRPr="00332E77">
        <w:rPr>
          <w:rFonts w:asciiTheme="minorHAnsi" w:hAnsiTheme="minorHAnsi" w:cstheme="minorHAnsi"/>
        </w:rPr>
        <w:t>cosmetics</w:t>
      </w:r>
      <w:proofErr w:type="spellEnd"/>
      <w:r w:rsidRPr="00332E77">
        <w:rPr>
          <w:rFonts w:asciiTheme="minorHAnsi" w:hAnsiTheme="minorHAnsi" w:cstheme="minorHAnsi"/>
        </w:rPr>
        <w:t xml:space="preserve">“. Šiuose į laisvą apyvartą Lenkijoje išleistuose produktuose esantis etilo alkoholis buvo denatūruotas pagal šioje valstybėje narėje nustatytus reikalavimus. Denatūruojant buvo naudojamas izopropilo alkoholis – toksiška medžiaga. Šiomis aplinkybėmis </w:t>
      </w:r>
      <w:r w:rsidRPr="00332E77">
        <w:rPr>
          <w:rFonts w:asciiTheme="minorHAnsi" w:hAnsiTheme="minorHAnsi" w:cstheme="minorHAnsi"/>
          <w:i/>
          <w:iCs/>
        </w:rPr>
        <w:t xml:space="preserve">Bene </w:t>
      </w:r>
      <w:proofErr w:type="spellStart"/>
      <w:r w:rsidRPr="00332E77">
        <w:rPr>
          <w:rFonts w:asciiTheme="minorHAnsi" w:hAnsiTheme="minorHAnsi" w:cstheme="minorHAnsi"/>
          <w:i/>
          <w:iCs/>
        </w:rPr>
        <w:t>Factum</w:t>
      </w:r>
      <w:proofErr w:type="spellEnd"/>
      <w:r w:rsidRPr="00332E77">
        <w:rPr>
          <w:rFonts w:asciiTheme="minorHAnsi" w:hAnsiTheme="minorHAnsi" w:cstheme="minorHAnsi"/>
          <w:i/>
          <w:iCs/>
        </w:rPr>
        <w:t>,</w:t>
      </w:r>
      <w:r w:rsidRPr="00332E77">
        <w:rPr>
          <w:rFonts w:asciiTheme="minorHAnsi" w:hAnsiTheme="minorHAnsi" w:cstheme="minorHAnsi"/>
        </w:rPr>
        <w:t xml:space="preserve"> remdamasi teisės aktų </w:t>
      </w:r>
      <w:r w:rsidRPr="00332E77">
        <w:rPr>
          <w:rFonts w:asciiTheme="minorHAnsi" w:hAnsiTheme="minorHAnsi" w:cstheme="minorHAnsi"/>
        </w:rPr>
        <w:lastRenderedPageBreak/>
        <w:t>nuostatomis, nedeklaravo nurodytų produktų importo į Lietuvos Respubliką ir nesumokėjo akcizų už juose esantį denatūruotą etilo alkoholį.</w:t>
      </w:r>
    </w:p>
    <w:p w14:paraId="3B5F9FF5"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 xml:space="preserve">Valstybinė mokesčių inspekcija atliko </w:t>
      </w:r>
      <w:r w:rsidRPr="00332E77">
        <w:rPr>
          <w:rFonts w:asciiTheme="minorHAnsi" w:hAnsiTheme="minorHAnsi" w:cstheme="minorHAnsi"/>
          <w:i/>
          <w:iCs/>
        </w:rPr>
        <w:t xml:space="preserve">Bene </w:t>
      </w:r>
      <w:proofErr w:type="spellStart"/>
      <w:r w:rsidRPr="00332E77">
        <w:rPr>
          <w:rFonts w:asciiTheme="minorHAnsi" w:hAnsiTheme="minorHAnsi" w:cstheme="minorHAnsi"/>
          <w:i/>
          <w:iCs/>
        </w:rPr>
        <w:t>Factum</w:t>
      </w:r>
      <w:proofErr w:type="spellEnd"/>
      <w:r w:rsidRPr="00332E77">
        <w:rPr>
          <w:rFonts w:asciiTheme="minorHAnsi" w:hAnsiTheme="minorHAnsi" w:cstheme="minorHAnsi"/>
        </w:rPr>
        <w:t xml:space="preserve"> mokestinį patikrinimą, per kurį nustatė, kad šios bendrovės importuotais ir tiekiamais produktais prekiavo įvairios didmeninės ir mažmeninės prekybos įmonės, be kita ko, kioskuose. Šiuose kioskuose produktai, kurie buvo ginčo dalykas, buvo daugiausia parduodami žmonėms, kurie svaigindamiesi juos vartojo kaip alkoholinius gėrimus. Valstybinė mokesčių inspekcija nurodė, kad </w:t>
      </w:r>
      <w:r w:rsidRPr="00332E77">
        <w:rPr>
          <w:rFonts w:asciiTheme="minorHAnsi" w:hAnsiTheme="minorHAnsi" w:cstheme="minorHAnsi"/>
          <w:i/>
          <w:iCs/>
        </w:rPr>
        <w:t xml:space="preserve">Bene </w:t>
      </w:r>
      <w:proofErr w:type="spellStart"/>
      <w:r w:rsidRPr="00332E77">
        <w:rPr>
          <w:rFonts w:asciiTheme="minorHAnsi" w:hAnsiTheme="minorHAnsi" w:cstheme="minorHAnsi"/>
          <w:i/>
          <w:iCs/>
        </w:rPr>
        <w:t>Factum</w:t>
      </w:r>
      <w:proofErr w:type="spellEnd"/>
      <w:r w:rsidRPr="00332E77">
        <w:rPr>
          <w:rFonts w:asciiTheme="minorHAnsi" w:hAnsiTheme="minorHAnsi" w:cstheme="minorHAnsi"/>
        </w:rPr>
        <w:t xml:space="preserve"> nesiėmė jokių veiksmų, kad būtų užkirstas kelias jos importuojamų produktų vartojimui kaip alkoholinių gėrimų. Pasirinktas ženklinimas etiketėmis (pavyzdžiui, alkoholio koncentracijos procentais nurodymas), kvapų suteikimas produktams, kurie buvo ginčo dalykas, vengimas denatūruoti etilo alkoholį, dėl kurio kilo ginčas, pagal Lietuvos teisės aktus, nors produktai buvo gaminami pagal pareiškėjos užsakymą ir iš esmės buvo skirti realizuoti Lietuvoje, ir maža produktų kaina galėjo būti vertinami kaip veiksniai, prisidedantys prie produktų, kurie buvo ginčo dalykas, vartojimo kaip alkoholinių gėrimų. Tačiau </w:t>
      </w:r>
      <w:r w:rsidRPr="00332E77">
        <w:rPr>
          <w:rFonts w:asciiTheme="minorHAnsi" w:hAnsiTheme="minorHAnsi" w:cstheme="minorHAnsi"/>
          <w:i/>
          <w:iCs/>
        </w:rPr>
        <w:t xml:space="preserve">Bene </w:t>
      </w:r>
      <w:proofErr w:type="spellStart"/>
      <w:r w:rsidRPr="00332E77">
        <w:rPr>
          <w:rFonts w:asciiTheme="minorHAnsi" w:hAnsiTheme="minorHAnsi" w:cstheme="minorHAnsi"/>
          <w:i/>
          <w:iCs/>
        </w:rPr>
        <w:t>Factu</w:t>
      </w:r>
      <w:r w:rsidRPr="00332E77">
        <w:rPr>
          <w:rFonts w:asciiTheme="minorHAnsi" w:hAnsiTheme="minorHAnsi" w:cstheme="minorHAnsi"/>
        </w:rPr>
        <w:t>m</w:t>
      </w:r>
      <w:proofErr w:type="spellEnd"/>
      <w:r w:rsidRPr="00332E77">
        <w:rPr>
          <w:rFonts w:asciiTheme="minorHAnsi" w:hAnsiTheme="minorHAnsi" w:cstheme="minorHAnsi"/>
        </w:rPr>
        <w:t xml:space="preserve"> pati neparduodavo šių produktų galutiniams vartotojams</w:t>
      </w:r>
      <w:r>
        <w:rPr>
          <w:rFonts w:asciiTheme="minorHAnsi" w:hAnsiTheme="minorHAnsi" w:cstheme="minorHAnsi"/>
        </w:rPr>
        <w:t xml:space="preserve">. </w:t>
      </w:r>
      <w:r w:rsidRPr="00332E77">
        <w:rPr>
          <w:rFonts w:asciiTheme="minorHAnsi" w:hAnsiTheme="minorHAnsi" w:cstheme="minorHAnsi"/>
        </w:rPr>
        <w:t xml:space="preserve">Be to, niekas neleido manyti, kad asmenys, kurie įsigydavo produktų, kurie buvo ginčo dalykas, kad vartotų juos kaip alkoholinius gėrimus, nežinojo arba negalėjo žinoti, kad perka kosmetikos ar asmens higienos produktus, o ne alkoholinius gėrimus. Vis dėlto </w:t>
      </w:r>
      <w:r w:rsidRPr="00332E77">
        <w:rPr>
          <w:rFonts w:asciiTheme="minorHAnsi" w:hAnsiTheme="minorHAnsi" w:cstheme="minorHAnsi"/>
          <w:i/>
          <w:iCs/>
        </w:rPr>
        <w:t xml:space="preserve">Bene </w:t>
      </w:r>
      <w:proofErr w:type="spellStart"/>
      <w:r w:rsidRPr="00332E77">
        <w:rPr>
          <w:rFonts w:asciiTheme="minorHAnsi" w:hAnsiTheme="minorHAnsi" w:cstheme="minorHAnsi"/>
          <w:i/>
          <w:iCs/>
        </w:rPr>
        <w:t>Factum</w:t>
      </w:r>
      <w:proofErr w:type="spellEnd"/>
      <w:r w:rsidRPr="00332E77">
        <w:rPr>
          <w:rFonts w:asciiTheme="minorHAnsi" w:hAnsiTheme="minorHAnsi" w:cstheme="minorHAnsi"/>
          <w:i/>
          <w:iCs/>
        </w:rPr>
        <w:t xml:space="preserve"> </w:t>
      </w:r>
      <w:r w:rsidRPr="00332E77">
        <w:rPr>
          <w:rFonts w:asciiTheme="minorHAnsi" w:hAnsiTheme="minorHAnsi" w:cstheme="minorHAnsi"/>
        </w:rPr>
        <w:t>žinojo, kad kai kurie asmenys juos vartoja kaip alkoholinius gėrimus, ir užsakydama pagaminti šiuos produktus akivaizdžiai atsižvelgdavo į šią aplinkybę.</w:t>
      </w:r>
    </w:p>
    <w:p w14:paraId="5E8844C8"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 xml:space="preserve">Įvertinusi per mokestinį patikrinimą nustatytas aplinkybes, Valstybinė mokesčių inspekcija, remdamasi, be kita ko, nacionalinėje teisėje įtvirtintu turinio viršenybės prieš formą principu, nusprendė, kad </w:t>
      </w:r>
      <w:r w:rsidRPr="00332E77">
        <w:rPr>
          <w:rFonts w:asciiTheme="minorHAnsi" w:hAnsiTheme="minorHAnsi" w:cstheme="minorHAnsi"/>
          <w:i/>
          <w:iCs/>
        </w:rPr>
        <w:t xml:space="preserve">Bene </w:t>
      </w:r>
      <w:proofErr w:type="spellStart"/>
      <w:r w:rsidRPr="00332E77">
        <w:rPr>
          <w:rFonts w:asciiTheme="minorHAnsi" w:hAnsiTheme="minorHAnsi" w:cstheme="minorHAnsi"/>
          <w:i/>
          <w:iCs/>
        </w:rPr>
        <w:t>Factum</w:t>
      </w:r>
      <w:proofErr w:type="spellEnd"/>
      <w:r w:rsidRPr="00332E77">
        <w:rPr>
          <w:rFonts w:asciiTheme="minorHAnsi" w:hAnsiTheme="minorHAnsi" w:cstheme="minorHAnsi"/>
        </w:rPr>
        <w:t xml:space="preserve"> į Lietuvą įvežti produktai, kurie buvo ginčo dalykas, buvo skirti žmonėms vartoti kaip maistas, todėl juose esantis etilo alkoholis apmokestinamas akcizu. Ji nurodė </w:t>
      </w:r>
      <w:r w:rsidRPr="00332E77">
        <w:rPr>
          <w:rFonts w:asciiTheme="minorHAnsi" w:hAnsiTheme="minorHAnsi" w:cstheme="minorHAnsi"/>
          <w:i/>
          <w:iCs/>
        </w:rPr>
        <w:t xml:space="preserve">Bene </w:t>
      </w:r>
      <w:proofErr w:type="spellStart"/>
      <w:r w:rsidRPr="00332E77">
        <w:rPr>
          <w:rFonts w:asciiTheme="minorHAnsi" w:hAnsiTheme="minorHAnsi" w:cstheme="minorHAnsi"/>
          <w:i/>
          <w:iCs/>
        </w:rPr>
        <w:t>Factum</w:t>
      </w:r>
      <w:proofErr w:type="spellEnd"/>
      <w:r w:rsidRPr="00332E77">
        <w:rPr>
          <w:rFonts w:asciiTheme="minorHAnsi" w:hAnsiTheme="minorHAnsi" w:cstheme="minorHAnsi"/>
        </w:rPr>
        <w:t xml:space="preserve"> sumokėti nesumokėtą akcizą ir susijusias sumas (9–18 punktai).</w:t>
      </w:r>
    </w:p>
    <w:p w14:paraId="2CC39123" w14:textId="4C0CAFAA"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Ginčui dėl šio sprendimo pasiekus Lietuvos vyriausiąjį administracinį teismą, šis nutarė sustabdyti bylos nagrinėjimą ir kreiptis į Teisingumo Teismą su prašymu išaiškinti, ar Direktyvos</w:t>
      </w:r>
      <w:r>
        <w:rPr>
          <w:rFonts w:asciiTheme="minorHAnsi" w:hAnsiTheme="minorHAnsi" w:cstheme="minorHAnsi"/>
        </w:rPr>
        <w:t xml:space="preserve"> 92/83 27 straipsnio 1 dalies b </w:t>
      </w:r>
      <w:r w:rsidRPr="00332E77">
        <w:rPr>
          <w:rFonts w:asciiTheme="minorHAnsi" w:hAnsiTheme="minorHAnsi" w:cstheme="minorHAnsi"/>
        </w:rPr>
        <w:t>punktas turi būti aiškinamas taip, kad jis taikomas pagal valstybės narės reikalavimus denatūruotam etilo alkoholiui, esančiam kosmetikos ar burnos higienos produktuose, kurie, nors tiesiogiai nėra skirti žmonėms vartoti, kai kurių asmenų vartojami kaip alkoholiniai gėrimai (19 punktas).</w:t>
      </w:r>
    </w:p>
    <w:p w14:paraId="65A3B571" w14:textId="77777777" w:rsidR="005E5E25" w:rsidRPr="00332E77" w:rsidRDefault="005E5E25" w:rsidP="005E5E25">
      <w:pPr>
        <w:ind w:firstLine="540"/>
        <w:rPr>
          <w:rFonts w:asciiTheme="minorHAnsi" w:hAnsiTheme="minorHAnsi" w:cstheme="minorHAnsi"/>
        </w:rPr>
      </w:pPr>
    </w:p>
    <w:p w14:paraId="5474A610" w14:textId="77777777" w:rsidR="005E5E25" w:rsidRPr="00332E77" w:rsidRDefault="005E5E25" w:rsidP="005F534F">
      <w:pPr>
        <w:pStyle w:val="Antrat3"/>
        <w:ind w:firstLine="567"/>
        <w:rPr>
          <w:rFonts w:cstheme="minorHAnsi"/>
          <w:b w:val="0"/>
          <w:bCs w:val="0"/>
        </w:rPr>
      </w:pPr>
      <w:bookmarkStart w:id="77" w:name="_Toc11164525"/>
      <w:bookmarkStart w:id="78" w:name="_Toc11232470"/>
      <w:bookmarkStart w:id="79" w:name="_Toc11232761"/>
      <w:bookmarkStart w:id="80" w:name="_Toc11757997"/>
      <w:r w:rsidRPr="00332E77">
        <w:rPr>
          <w:rFonts w:cstheme="minorHAnsi"/>
        </w:rPr>
        <w:t>Dėl kosmetikos produktuose esančio denatūruoto etilo alkoholio apmokestinimo, kai nustatoma, kad kai kurie asmenys šiuos produktus vartoja kaip alkoholinius gėrimus</w:t>
      </w:r>
      <w:bookmarkEnd w:id="77"/>
      <w:bookmarkEnd w:id="78"/>
      <w:bookmarkEnd w:id="79"/>
      <w:bookmarkEnd w:id="80"/>
    </w:p>
    <w:p w14:paraId="1A1390E0" w14:textId="77777777" w:rsidR="005E5E25" w:rsidRPr="00332E77" w:rsidRDefault="005E5E25" w:rsidP="005E5E25">
      <w:pPr>
        <w:ind w:firstLine="540"/>
        <w:rPr>
          <w:rFonts w:asciiTheme="minorHAnsi" w:hAnsiTheme="minorHAnsi" w:cstheme="minorHAnsi"/>
        </w:rPr>
      </w:pPr>
    </w:p>
    <w:p w14:paraId="7BA9ABC7" w14:textId="4EFFD0EE"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Šiuo klausimu Teisingumo Teismas priminė, kad žmonėms vartoti neskirtame produkte esančiam etilo alkoholiui, denatūruotam naudojant valstybėje narėje patvirtintą metod</w:t>
      </w:r>
      <w:r>
        <w:rPr>
          <w:rFonts w:asciiTheme="minorHAnsi" w:hAnsiTheme="minorHAnsi" w:cstheme="minorHAnsi"/>
        </w:rPr>
        <w:t>ą, taikomas Direktyvos 92/83 27 </w:t>
      </w:r>
      <w:r w:rsidRPr="00332E77">
        <w:rPr>
          <w:rFonts w:asciiTheme="minorHAnsi" w:hAnsiTheme="minorHAnsi" w:cstheme="minorHAnsi"/>
        </w:rPr>
        <w:t xml:space="preserve">straipsnio 1 dalies b punkte numatytas atleidimas nuo mokesčio (21 punktas). </w:t>
      </w:r>
      <w:r w:rsidRPr="00332E77">
        <w:rPr>
          <w:rFonts w:asciiTheme="minorHAnsi" w:hAnsiTheme="minorHAnsi" w:cstheme="minorHAnsi"/>
          <w:u w:val="single"/>
        </w:rPr>
        <w:t>Direktyva 92/83 būtų pažeista, jeigu produktas, kuris atitinka jos 27 straipsnio 1 dalies b punkte nustatytas sąlygas, nebūtų atleistas nuo mokesčio vien dėl to, kad buvo nustatyta, jog jo tikroji paskirtis neatitinka ūkio subjekto jam suteikto pavadinimo</w:t>
      </w:r>
      <w:r w:rsidRPr="00332E77">
        <w:rPr>
          <w:rFonts w:asciiTheme="minorHAnsi" w:hAnsiTheme="minorHAnsi" w:cstheme="minorHAnsi"/>
        </w:rPr>
        <w:t xml:space="preserve"> (22 punktas). Todėl, kaip konstatavo Teisingumo Teismas, produktai, pristatomi kaip kosmetikos ar burnos higienos produktai, kuriuose yra etilo alkoholio, denatūruoto pagal valstybės narės reikalavimus, būdami žmonėms vartoti neskirti produktai, </w:t>
      </w:r>
      <w:r w:rsidRPr="00332E77">
        <w:rPr>
          <w:rFonts w:asciiTheme="minorHAnsi" w:hAnsiTheme="minorHAnsi" w:cstheme="minorHAnsi"/>
          <w:u w:val="single"/>
        </w:rPr>
        <w:t>negali būti neatleisti nuo akcizo</w:t>
      </w:r>
      <w:r w:rsidRPr="00332E77">
        <w:rPr>
          <w:rFonts w:asciiTheme="minorHAnsi" w:hAnsiTheme="minorHAnsi" w:cstheme="minorHAnsi"/>
        </w:rPr>
        <w:t xml:space="preserve">, kaip numatyta Direktyvos 92/83 27 straipsnio 1 dalies b punkte, </w:t>
      </w:r>
      <w:r w:rsidRPr="00332E77">
        <w:rPr>
          <w:rFonts w:asciiTheme="minorHAnsi" w:hAnsiTheme="minorHAnsi" w:cstheme="minorHAnsi"/>
          <w:u w:val="single"/>
        </w:rPr>
        <w:t>motyvuojant tuo, kad kai kurie asmenys juos vartoja kaip alkoholinius gėrimus</w:t>
      </w:r>
      <w:r w:rsidRPr="00332E77">
        <w:rPr>
          <w:rFonts w:asciiTheme="minorHAnsi" w:hAnsiTheme="minorHAnsi" w:cstheme="minorHAnsi"/>
        </w:rPr>
        <w:t xml:space="preserve"> (23 punktas).</w:t>
      </w:r>
    </w:p>
    <w:p w14:paraId="372FD94B" w14:textId="77777777" w:rsidR="005E5E25" w:rsidRPr="00332E77" w:rsidRDefault="005E5E25" w:rsidP="005E5E25">
      <w:pPr>
        <w:ind w:firstLine="540"/>
        <w:rPr>
          <w:rFonts w:asciiTheme="minorHAnsi" w:hAnsiTheme="minorHAnsi" w:cstheme="minorHAnsi"/>
        </w:rPr>
      </w:pPr>
    </w:p>
    <w:p w14:paraId="41AFF095" w14:textId="77777777" w:rsidR="005E5E25" w:rsidRPr="00332E77" w:rsidRDefault="005E5E25" w:rsidP="005F534F">
      <w:pPr>
        <w:pStyle w:val="Antrat3"/>
        <w:ind w:firstLine="567"/>
        <w:rPr>
          <w:rFonts w:cstheme="minorHAnsi"/>
          <w:b w:val="0"/>
          <w:bCs w:val="0"/>
        </w:rPr>
      </w:pPr>
      <w:bookmarkStart w:id="81" w:name="_Toc11164526"/>
      <w:bookmarkStart w:id="82" w:name="_Toc11232471"/>
      <w:bookmarkStart w:id="83" w:name="_Toc11232762"/>
      <w:bookmarkStart w:id="84" w:name="_Toc11757998"/>
      <w:r w:rsidRPr="00332E77">
        <w:rPr>
          <w:rFonts w:cstheme="minorHAnsi"/>
        </w:rPr>
        <w:t>Dėl aplinkybės, kad kosmetikos produktai gaminami, importuojami ir platin</w:t>
      </w:r>
      <w:r>
        <w:rPr>
          <w:rFonts w:cstheme="minorHAnsi"/>
        </w:rPr>
        <w:t>ami</w:t>
      </w:r>
      <w:r w:rsidRPr="00332E77">
        <w:rPr>
          <w:rFonts w:cstheme="minorHAnsi"/>
        </w:rPr>
        <w:t>, atsižvelgiant į tai, kad kai kurie asmenys juos vartoja kaip alkoholinius gėrimus svaiginimosi tikslais</w:t>
      </w:r>
      <w:bookmarkEnd w:id="81"/>
      <w:bookmarkEnd w:id="82"/>
      <w:bookmarkEnd w:id="83"/>
      <w:bookmarkEnd w:id="84"/>
    </w:p>
    <w:p w14:paraId="15AD51E8" w14:textId="77777777" w:rsidR="005E5E25" w:rsidRPr="00332E77" w:rsidRDefault="005E5E25" w:rsidP="005E5E25">
      <w:pPr>
        <w:ind w:firstLine="540"/>
        <w:rPr>
          <w:rFonts w:asciiTheme="minorHAnsi" w:hAnsiTheme="minorHAnsi" w:cstheme="minorHAnsi"/>
        </w:rPr>
      </w:pPr>
    </w:p>
    <w:p w14:paraId="352BF997" w14:textId="65E27082"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Nacionalinis teismas taip pat siek</w:t>
      </w:r>
      <w:r w:rsidR="00C761B1">
        <w:rPr>
          <w:rFonts w:asciiTheme="minorHAnsi" w:hAnsiTheme="minorHAnsi" w:cstheme="minorHAnsi"/>
        </w:rPr>
        <w:t>ė</w:t>
      </w:r>
      <w:r w:rsidRPr="00332E77">
        <w:rPr>
          <w:rFonts w:asciiTheme="minorHAnsi" w:hAnsiTheme="minorHAnsi" w:cstheme="minorHAnsi"/>
        </w:rPr>
        <w:t xml:space="preserve"> sužinoti, ar Direktyvos 92/83 27 straipsnio 1 dalies b punktas turi būti aiškinamas taip, kad jis taikomas pagal valstybės narės reikalavimus denatūruotam etilo alkoholiui, esančiam kosmetikos ar burnos higienos produktuose, kurie, nors tiesiogiai nėra skirti žmonėms vartoti, kai kurių asmenų vartojami kaip alkoholiniai gėrimai, jeigu asmuo, importuojantis juos iš vienos valstybės narės tam, kad kiti asmenys paskirties valstybėje narėje juos platintų galutiniams vartotojams, žinodamas apie jų vartojimą taip pat kaip alkoholinių gėrimų, užsako juos pagaminti ir paženklinti etiketėmis atsižvelgdamas į šią aplinkybę, kad padidėtų jų pardavimas (26 punktas).</w:t>
      </w:r>
    </w:p>
    <w:p w14:paraId="7312D431"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 xml:space="preserve">Šiuo klausimu Teisingumo Teismas nurodė, kad, išskyrus išsisukinėjimo, vengimo ar piktnaudžiavimo atvejus, pateisinančius Direktyvos 92/83 27 straipsnio 5 dalies taikymą, galimos priemonės, kurių tokių </w:t>
      </w:r>
      <w:r w:rsidRPr="00332E77">
        <w:rPr>
          <w:rFonts w:asciiTheme="minorHAnsi" w:hAnsiTheme="minorHAnsi" w:cstheme="minorHAnsi"/>
        </w:rPr>
        <w:lastRenderedPageBreak/>
        <w:t xml:space="preserve">produktų gamintojas ėmėsi dėl jų savybių, neužkerta kelio taikyti jiems Direktyvos 92/83 27 straipsnio 1 dalies b punkte numatytą atleidimą nuo akcizo, </w:t>
      </w:r>
      <w:r w:rsidRPr="00332E77">
        <w:rPr>
          <w:rFonts w:asciiTheme="minorHAnsi" w:hAnsiTheme="minorHAnsi" w:cstheme="minorHAnsi"/>
          <w:u w:val="single"/>
        </w:rPr>
        <w:t>jeigu jos nekliudo prekiauti jais kaip žmonėms vartoti neskirtais produktais</w:t>
      </w:r>
      <w:r w:rsidRPr="00332E77">
        <w:rPr>
          <w:rFonts w:asciiTheme="minorHAnsi" w:hAnsiTheme="minorHAnsi" w:cstheme="minorHAnsi"/>
        </w:rPr>
        <w:t xml:space="preserve"> (30 punktas). Be to, kompetentinga nacionalinė institucija pagrindinės bylos faktinėms aplinkybėms neketino taikyti Direktyvos 92/83 27 straipsnio 5 dalies, ir prašymą priimti </w:t>
      </w:r>
      <w:proofErr w:type="spellStart"/>
      <w:r w:rsidRPr="00332E77">
        <w:rPr>
          <w:rFonts w:asciiTheme="minorHAnsi" w:hAnsiTheme="minorHAnsi" w:cstheme="minorHAnsi"/>
        </w:rPr>
        <w:t>prejudicinį</w:t>
      </w:r>
      <w:proofErr w:type="spellEnd"/>
      <w:r w:rsidRPr="00332E77">
        <w:rPr>
          <w:rFonts w:asciiTheme="minorHAnsi" w:hAnsiTheme="minorHAnsi" w:cstheme="minorHAnsi"/>
        </w:rPr>
        <w:t xml:space="preserve"> sprendimą pateikęs teismas neprašo Teisingumo Teismo išaiškinti šios nuostatos (31 punktas).</w:t>
      </w:r>
    </w:p>
    <w:p w14:paraId="346360CD" w14:textId="77777777" w:rsidR="005E5E25" w:rsidRPr="00332E77" w:rsidRDefault="005E5E25" w:rsidP="005E5E25">
      <w:pPr>
        <w:ind w:firstLine="540"/>
        <w:rPr>
          <w:rFonts w:asciiTheme="minorHAnsi" w:hAnsiTheme="minorHAnsi" w:cstheme="minorHAnsi"/>
        </w:rPr>
      </w:pPr>
    </w:p>
    <w:p w14:paraId="63855BD5" w14:textId="77777777" w:rsidR="005E5E25" w:rsidRPr="00332E77" w:rsidRDefault="005E5E25" w:rsidP="005E5E25">
      <w:pPr>
        <w:ind w:firstLine="540"/>
        <w:rPr>
          <w:rFonts w:asciiTheme="minorHAnsi" w:hAnsiTheme="minorHAnsi" w:cstheme="minorHAnsi"/>
          <w:b/>
        </w:rPr>
      </w:pPr>
      <w:r w:rsidRPr="00332E77">
        <w:rPr>
          <w:rFonts w:asciiTheme="minorHAnsi" w:hAnsiTheme="minorHAnsi" w:cstheme="minorHAnsi"/>
          <w:b/>
        </w:rPr>
        <w:t>Remdamasis šiais motyvais, Teisingumo Teismas (trečioji kolegija) nusprendė:</w:t>
      </w:r>
    </w:p>
    <w:p w14:paraId="0E20DF89" w14:textId="77777777" w:rsidR="005E5E25" w:rsidRPr="00332E77" w:rsidRDefault="005E5E25" w:rsidP="005E5E25">
      <w:pPr>
        <w:ind w:firstLine="540"/>
        <w:rPr>
          <w:rFonts w:asciiTheme="minorHAnsi" w:hAnsiTheme="minorHAnsi" w:cstheme="minorHAnsi"/>
        </w:rPr>
      </w:pPr>
      <w:r>
        <w:rPr>
          <w:rFonts w:asciiTheme="minorHAnsi" w:hAnsiTheme="minorHAnsi" w:cstheme="minorHAnsi"/>
        </w:rPr>
        <w:t xml:space="preserve"> </w:t>
      </w:r>
    </w:p>
    <w:p w14:paraId="1E2C467D"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Direktyvos 92/83 27 straipsnio 1 dalies b punktas turi būti aiškinamas taip, kad jis taikomas pagal valstybės narės reikalavimus denatūruotam etilo alkoholiui, esančiam kosmetikos ar burnos higienos produktuose, kurie, nors tiesiogiai nėra skirti žmonėms vartoti, kai kurių asmenų vartojami kaip alkoholiniai gėrimai.</w:t>
      </w:r>
    </w:p>
    <w:p w14:paraId="2398FA56"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Direktyvos 92/83 27 straipsnio 1 dalies b punktas turi būti aiškinamas taip, kad jis taikomas pagal valstybės narės reikalavimus denatūruotam etilo alkoholiui, esančiam kosmetikos ar burnos higienos produktuose, kurie, nors tiesiogiai nėra skirti žmonėms vartoti, kai kurių asmenų vartojami kaip alkoholiniai gėrimai, jeigu asmuo, importuojantis juos iš vienos valstybės narės tam, kad kiti asmenys paskirties valstybėje narėje juos platintų galutiniams vartotojams, žinodamas apie jų vartojimą taip pat kaip alkoholinių gėrimų, užsako juos pagaminti ir paženklinti etiketėmis atsižvelgdamas į šią aplinkybę, kad padidėtų jų pardavimas.</w:t>
      </w:r>
    </w:p>
    <w:p w14:paraId="3EC86F50" w14:textId="77777777" w:rsidR="005E5E25" w:rsidRPr="00332E77" w:rsidRDefault="006A47DB" w:rsidP="005E5E25">
      <w:pPr>
        <w:ind w:firstLine="540"/>
        <w:rPr>
          <w:rFonts w:asciiTheme="minorHAnsi" w:hAnsiTheme="minorHAnsi" w:cstheme="minorHAnsi"/>
        </w:rPr>
      </w:pPr>
      <w:hyperlink r:id="rId17" w:history="1">
        <w:r w:rsidR="005E5E25" w:rsidRPr="00A858F6">
          <w:rPr>
            <w:rStyle w:val="Hipersaitas"/>
            <w:rFonts w:asciiTheme="minorHAnsi" w:hAnsiTheme="minorHAnsi" w:cstheme="minorHAnsi"/>
          </w:rPr>
          <w:t>Prieiga internete</w:t>
        </w:r>
      </w:hyperlink>
    </w:p>
    <w:p w14:paraId="2A632123" w14:textId="77777777" w:rsidR="005E5E25" w:rsidRPr="00332E77" w:rsidRDefault="005E5E25" w:rsidP="005E5E25">
      <w:pPr>
        <w:ind w:firstLine="540"/>
        <w:rPr>
          <w:rFonts w:asciiTheme="minorHAnsi" w:hAnsiTheme="minorHAnsi" w:cstheme="minorHAnsi"/>
        </w:rPr>
      </w:pPr>
    </w:p>
    <w:p w14:paraId="37FB03B9" w14:textId="77777777" w:rsidR="005E5E25" w:rsidRPr="00332E77" w:rsidRDefault="005E5E25" w:rsidP="005E5E25">
      <w:pPr>
        <w:pStyle w:val="Antrat2"/>
        <w:rPr>
          <w:rFonts w:cstheme="minorHAnsi"/>
        </w:rPr>
      </w:pPr>
      <w:bookmarkStart w:id="85" w:name="_Toc11164522"/>
      <w:bookmarkStart w:id="86" w:name="_Toc11232472"/>
      <w:bookmarkStart w:id="87" w:name="_Toc11232763"/>
      <w:bookmarkStart w:id="88" w:name="_Toc11757999"/>
      <w:r w:rsidRPr="00332E77">
        <w:rPr>
          <w:rFonts w:cstheme="minorHAnsi"/>
        </w:rPr>
        <w:t xml:space="preserve">2019 m. kovo 28 d. </w:t>
      </w:r>
      <w:proofErr w:type="spellStart"/>
      <w:r w:rsidRPr="00332E77">
        <w:rPr>
          <w:rFonts w:cstheme="minorHAnsi"/>
        </w:rPr>
        <w:t>prejudicinis</w:t>
      </w:r>
      <w:proofErr w:type="spellEnd"/>
      <w:r w:rsidRPr="00332E77">
        <w:rPr>
          <w:rFonts w:cstheme="minorHAnsi"/>
        </w:rPr>
        <w:t xml:space="preserve"> sprendimas byloje C</w:t>
      </w:r>
      <w:r w:rsidRPr="00332E77">
        <w:rPr>
          <w:rFonts w:ascii="Cambria Math" w:hAnsi="Cambria Math" w:cs="Cambria Math"/>
        </w:rPr>
        <w:t>‑</w:t>
      </w:r>
      <w:r w:rsidRPr="00332E77">
        <w:rPr>
          <w:rFonts w:cstheme="minorHAnsi"/>
        </w:rPr>
        <w:t>275/18</w:t>
      </w:r>
      <w:bookmarkEnd w:id="85"/>
      <w:bookmarkEnd w:id="86"/>
      <w:bookmarkEnd w:id="87"/>
      <w:bookmarkEnd w:id="88"/>
    </w:p>
    <w:p w14:paraId="33CA990A" w14:textId="77777777" w:rsidR="005E5E25" w:rsidRPr="00B04ABC" w:rsidRDefault="005E5E25" w:rsidP="005E5E25">
      <w:pPr>
        <w:jc w:val="center"/>
        <w:rPr>
          <w:rFonts w:asciiTheme="minorHAnsi" w:hAnsiTheme="minorHAnsi" w:cstheme="minorHAnsi"/>
          <w:b/>
          <w:bCs/>
          <w:i/>
        </w:rPr>
      </w:pPr>
      <w:r w:rsidRPr="00B04ABC">
        <w:rPr>
          <w:rFonts w:asciiTheme="minorHAnsi" w:hAnsiTheme="minorHAnsi" w:cstheme="minorHAnsi"/>
          <w:b/>
          <w:bCs/>
          <w:i/>
        </w:rPr>
        <w:t xml:space="preserve">Milan </w:t>
      </w:r>
      <w:proofErr w:type="spellStart"/>
      <w:r w:rsidRPr="00B04ABC">
        <w:rPr>
          <w:rFonts w:asciiTheme="minorHAnsi" w:hAnsiTheme="minorHAnsi" w:cstheme="minorHAnsi"/>
          <w:b/>
          <w:bCs/>
          <w:i/>
        </w:rPr>
        <w:t>Vinš</w:t>
      </w:r>
      <w:proofErr w:type="spellEnd"/>
      <w:r w:rsidRPr="00B04ABC">
        <w:rPr>
          <w:rFonts w:asciiTheme="minorHAnsi" w:hAnsiTheme="minorHAnsi" w:cstheme="minorHAnsi"/>
          <w:b/>
          <w:bCs/>
          <w:i/>
        </w:rPr>
        <w:t xml:space="preserve"> </w:t>
      </w:r>
      <w:r w:rsidRPr="00B04ABC">
        <w:rPr>
          <w:rFonts w:asciiTheme="minorHAnsi" w:hAnsiTheme="minorHAnsi" w:cstheme="minorHAnsi"/>
          <w:b/>
          <w:i/>
        </w:rPr>
        <w:t xml:space="preserve">prieš </w:t>
      </w:r>
      <w:proofErr w:type="spellStart"/>
      <w:r w:rsidRPr="00B04ABC">
        <w:rPr>
          <w:rFonts w:asciiTheme="minorHAnsi" w:hAnsiTheme="minorHAnsi" w:cstheme="minorHAnsi"/>
          <w:b/>
          <w:bCs/>
          <w:i/>
        </w:rPr>
        <w:t>Odvolací</w:t>
      </w:r>
      <w:proofErr w:type="spellEnd"/>
      <w:r w:rsidRPr="00B04ABC">
        <w:rPr>
          <w:rFonts w:asciiTheme="minorHAnsi" w:hAnsiTheme="minorHAnsi" w:cstheme="minorHAnsi"/>
          <w:b/>
          <w:bCs/>
          <w:i/>
        </w:rPr>
        <w:t xml:space="preserve"> </w:t>
      </w:r>
      <w:proofErr w:type="spellStart"/>
      <w:r w:rsidRPr="00B04ABC">
        <w:rPr>
          <w:rFonts w:asciiTheme="minorHAnsi" w:hAnsiTheme="minorHAnsi" w:cstheme="minorHAnsi"/>
          <w:b/>
          <w:bCs/>
          <w:i/>
        </w:rPr>
        <w:t>finanční</w:t>
      </w:r>
      <w:proofErr w:type="spellEnd"/>
      <w:r w:rsidRPr="00B04ABC">
        <w:rPr>
          <w:rFonts w:asciiTheme="minorHAnsi" w:hAnsiTheme="minorHAnsi" w:cstheme="minorHAnsi"/>
          <w:b/>
          <w:bCs/>
          <w:i/>
        </w:rPr>
        <w:t xml:space="preserve"> </w:t>
      </w:r>
      <w:proofErr w:type="spellStart"/>
      <w:r w:rsidRPr="00B04ABC">
        <w:rPr>
          <w:rFonts w:asciiTheme="minorHAnsi" w:hAnsiTheme="minorHAnsi" w:cstheme="minorHAnsi"/>
          <w:b/>
          <w:bCs/>
          <w:i/>
        </w:rPr>
        <w:t>ředitelství</w:t>
      </w:r>
      <w:proofErr w:type="spellEnd"/>
    </w:p>
    <w:p w14:paraId="7E5DDD62" w14:textId="77777777" w:rsidR="005E5E25" w:rsidRPr="00332E77" w:rsidRDefault="005E5E25" w:rsidP="005E5E25">
      <w:pPr>
        <w:ind w:firstLine="540"/>
        <w:rPr>
          <w:rFonts w:asciiTheme="minorHAnsi" w:hAnsiTheme="minorHAnsi" w:cstheme="minorHAnsi"/>
        </w:rPr>
      </w:pPr>
    </w:p>
    <w:p w14:paraId="7203071D"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 xml:space="preserve">Prašymas priimti </w:t>
      </w:r>
      <w:proofErr w:type="spellStart"/>
      <w:r w:rsidRPr="00332E77">
        <w:rPr>
          <w:rFonts w:asciiTheme="minorHAnsi" w:hAnsiTheme="minorHAnsi" w:cstheme="minorHAnsi"/>
        </w:rPr>
        <w:t>prejudicinį</w:t>
      </w:r>
      <w:proofErr w:type="spellEnd"/>
      <w:r w:rsidRPr="00332E77">
        <w:rPr>
          <w:rFonts w:asciiTheme="minorHAnsi" w:hAnsiTheme="minorHAnsi" w:cstheme="minorHAnsi"/>
        </w:rPr>
        <w:t xml:space="preserve"> sprendimą buvo pateiktas dėl 2006 m. lapkričio 28 d. Tarybos direktyvos 2006/112/EB dėl pridėtinės vertės mokesčio bendros sistemos (toliau – PVM direktyva) 131 ir 146 straipsnių išaiškinimo. Šis prašymas pateiktas nagrinėjant Milan </w:t>
      </w:r>
      <w:proofErr w:type="spellStart"/>
      <w:r w:rsidRPr="00332E77">
        <w:rPr>
          <w:rFonts w:asciiTheme="minorHAnsi" w:hAnsiTheme="minorHAnsi" w:cstheme="minorHAnsi"/>
        </w:rPr>
        <w:t>Vinš</w:t>
      </w:r>
      <w:proofErr w:type="spellEnd"/>
      <w:r w:rsidRPr="00332E77">
        <w:rPr>
          <w:rFonts w:asciiTheme="minorHAnsi" w:hAnsiTheme="minorHAnsi" w:cstheme="minorHAnsi"/>
        </w:rPr>
        <w:t xml:space="preserve"> ir Čekijos mokesčių administratori</w:t>
      </w:r>
      <w:r>
        <w:rPr>
          <w:rFonts w:asciiTheme="minorHAnsi" w:hAnsiTheme="minorHAnsi" w:cstheme="minorHAnsi"/>
        </w:rPr>
        <w:t>a</w:t>
      </w:r>
      <w:r w:rsidRPr="00332E77">
        <w:rPr>
          <w:rFonts w:asciiTheme="minorHAnsi" w:hAnsiTheme="minorHAnsi" w:cstheme="minorHAnsi"/>
        </w:rPr>
        <w:t>us</w:t>
      </w:r>
      <w:r>
        <w:rPr>
          <w:rFonts w:asciiTheme="minorHAnsi" w:hAnsiTheme="minorHAnsi" w:cstheme="minorHAnsi"/>
        </w:rPr>
        <w:t xml:space="preserve"> </w:t>
      </w:r>
      <w:r w:rsidRPr="00332E77">
        <w:rPr>
          <w:rFonts w:asciiTheme="minorHAnsi" w:hAnsiTheme="minorHAnsi" w:cstheme="minorHAnsi"/>
        </w:rPr>
        <w:t>ginčą dėl mokesčių institucijų atsisakymo neapmokestinti pridėtinės vertės mokesčiu (PVM) kelių prekių, išsiųstų iš Europos Sąjungos, tiekimų.</w:t>
      </w:r>
    </w:p>
    <w:p w14:paraId="7934CFF4"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 xml:space="preserve">Pagrindinėje byloje nustatyta, kad 2012–2014 m. M. </w:t>
      </w:r>
      <w:proofErr w:type="spellStart"/>
      <w:r w:rsidRPr="00332E77">
        <w:rPr>
          <w:rFonts w:asciiTheme="minorHAnsi" w:hAnsiTheme="minorHAnsi" w:cstheme="minorHAnsi"/>
        </w:rPr>
        <w:t>Vinš</w:t>
      </w:r>
      <w:proofErr w:type="spellEnd"/>
      <w:r w:rsidRPr="00332E77">
        <w:rPr>
          <w:rFonts w:asciiTheme="minorHAnsi" w:hAnsiTheme="minorHAnsi" w:cstheme="minorHAnsi"/>
        </w:rPr>
        <w:t xml:space="preserve"> kiekvieną mėnesį paštu siųsdavo už Sąjungos ribų 400–500 karinės srities kolekcionuojamų objektų. Jis nepateikė PVM deklaracijos dėl šių prekių, nes manė, kad šie tiekimai neapmokestinami PVM dėl to, kad prekės skirtos eksportuoti. 2015 m. mokesčių administratorius nurodė sumokėti PVM nuo šių prekių tiekimo dėl to, kad jis neįrodė, jog prekėms buvo įforminta eksporto muitinės procedūra, todėl pagal nacionalinę teisę</w:t>
      </w:r>
      <w:r>
        <w:rPr>
          <w:rFonts w:asciiTheme="minorHAnsi" w:hAnsiTheme="minorHAnsi" w:cstheme="minorHAnsi"/>
        </w:rPr>
        <w:t xml:space="preserve"> </w:t>
      </w:r>
      <w:r w:rsidRPr="00332E77">
        <w:rPr>
          <w:rFonts w:asciiTheme="minorHAnsi" w:hAnsiTheme="minorHAnsi" w:cstheme="minorHAnsi"/>
        </w:rPr>
        <w:t>tokie tiekimai negali būti neapmokestinti PVM kaip eksportas (15 ir 16 punktai).</w:t>
      </w:r>
    </w:p>
    <w:p w14:paraId="7A1ABD8C"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Ginčui pasiekus kasacinės instancijos teismą, šis nutarė sustabdyti bylos nagrinėj</w:t>
      </w:r>
      <w:r>
        <w:rPr>
          <w:rFonts w:asciiTheme="minorHAnsi" w:hAnsiTheme="minorHAnsi" w:cstheme="minorHAnsi"/>
        </w:rPr>
        <w:t>i</w:t>
      </w:r>
      <w:r w:rsidRPr="00332E77">
        <w:rPr>
          <w:rFonts w:asciiTheme="minorHAnsi" w:hAnsiTheme="minorHAnsi" w:cstheme="minorHAnsi"/>
        </w:rPr>
        <w:t>m</w:t>
      </w:r>
      <w:r>
        <w:rPr>
          <w:rFonts w:asciiTheme="minorHAnsi" w:hAnsiTheme="minorHAnsi" w:cstheme="minorHAnsi"/>
        </w:rPr>
        <w:t>ą</w:t>
      </w:r>
      <w:r w:rsidRPr="00332E77">
        <w:rPr>
          <w:rFonts w:asciiTheme="minorHAnsi" w:hAnsiTheme="minorHAnsi" w:cstheme="minorHAnsi"/>
        </w:rPr>
        <w:t xml:space="preserve"> ir kreiptis į Teisingumo Teismą siekdamas sužinoti, ar PVM direktyvos 146 straipsnio 1 dalies a punktą, atsižvelgiant į jos 131 straipsnį, reikia aiškinti taip, kad juo draudžiama nacionalinės teisės nuostata, pagal kurią prekės, skirtos eksportuoti iš Sąjungos, yra neapmokestinamos PVM tik jeigu joms buvo įforminta eksporto muitinės procedūra (21 punktas).</w:t>
      </w:r>
    </w:p>
    <w:p w14:paraId="6EE69214" w14:textId="77777777" w:rsidR="005E5E25" w:rsidRPr="00332E77" w:rsidRDefault="005E5E25" w:rsidP="005E5E25">
      <w:pPr>
        <w:ind w:firstLine="540"/>
        <w:rPr>
          <w:rFonts w:asciiTheme="minorHAnsi" w:hAnsiTheme="minorHAnsi" w:cstheme="minorHAnsi"/>
        </w:rPr>
      </w:pPr>
    </w:p>
    <w:p w14:paraId="1E7EEA9A" w14:textId="77777777" w:rsidR="005E5E25" w:rsidRPr="00F72279" w:rsidRDefault="005E5E25" w:rsidP="005F534F">
      <w:pPr>
        <w:pStyle w:val="Antrat3"/>
        <w:ind w:firstLine="567"/>
        <w:rPr>
          <w:rFonts w:cstheme="minorHAnsi"/>
          <w:b w:val="0"/>
          <w:bCs w:val="0"/>
        </w:rPr>
      </w:pPr>
      <w:bookmarkStart w:id="89" w:name="_Toc11164523"/>
      <w:bookmarkStart w:id="90" w:name="_Toc11232473"/>
      <w:bookmarkStart w:id="91" w:name="_Toc11232764"/>
      <w:bookmarkStart w:id="92" w:name="_Toc11758000"/>
      <w:r w:rsidRPr="00F72279">
        <w:rPr>
          <w:rFonts w:cstheme="minorHAnsi"/>
        </w:rPr>
        <w:t>Dėl reikalavimo įforminti eksporto muitinės procedūrą norint pasinaudoti prekių, skirtų eksportuoti iš Europos Sąjungos teritorijos, neapmokestinimu PVM</w:t>
      </w:r>
      <w:bookmarkEnd w:id="89"/>
      <w:bookmarkEnd w:id="90"/>
      <w:bookmarkEnd w:id="91"/>
      <w:bookmarkEnd w:id="92"/>
    </w:p>
    <w:p w14:paraId="05FAC7A0" w14:textId="77777777" w:rsidR="005E5E25" w:rsidRPr="00332E77" w:rsidRDefault="005E5E25" w:rsidP="005E5E25">
      <w:pPr>
        <w:ind w:firstLine="540"/>
        <w:rPr>
          <w:rFonts w:asciiTheme="minorHAnsi" w:hAnsiTheme="minorHAnsi" w:cstheme="minorHAnsi"/>
        </w:rPr>
      </w:pPr>
    </w:p>
    <w:p w14:paraId="00C90904"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 xml:space="preserve">Šiuo klausimu Teisingumo Teismas pirmiausia priminė, kad pagal PVM direktyvos 146 straipsnio 1 dalies a punktą valstybės narės neapmokestina pardavėjo arba jo sąskaita iš Sąjungos išsiųstų arba išgabentų prekių tiekimo. Ši nuostata turi būti siejama su šios direktyvos 14 straipsnio 1 dalimi, pagal kurią „prekių tiekimas“ – tai teisės kaip savininkui disponuoti materialiuoju turtu perdavimas (22 punktas). </w:t>
      </w:r>
      <w:r w:rsidRPr="00332E77">
        <w:rPr>
          <w:rFonts w:asciiTheme="minorHAnsi" w:hAnsiTheme="minorHAnsi" w:cstheme="minorHAnsi"/>
          <w:u w:val="single"/>
        </w:rPr>
        <w:t>Šiuo neapmokestinimu siekiama užtikrinti atitinkamų prekių tiekimo apmokestinimą jų paskirties vietoje, t. y. ten, kur eksportuoti produktai bus suvartoti</w:t>
      </w:r>
      <w:r w:rsidRPr="00332E77">
        <w:rPr>
          <w:rFonts w:asciiTheme="minorHAnsi" w:hAnsiTheme="minorHAnsi" w:cstheme="minorHAnsi"/>
        </w:rPr>
        <w:t xml:space="preserve"> (23 punktas). Prekė eksportuojama ir tiekimas eksportui neapmokestinamas tik kai pirkėjui perduodama teisė disponuoti prekėmis kaip savo, o tiekėjas įrodo, kad šios prekės buvo išsiųstos ar išgabentos iš Sąjungos ir kad išsiuntus ar išgabenus jų fiziškai neliko Sąjungos teritorijoje (24 punktas).</w:t>
      </w:r>
    </w:p>
    <w:p w14:paraId="3B6B814C" w14:textId="00925012"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 xml:space="preserve">Pagrindinėje byloje viena vertus, yra akivaizdu, kad M. </w:t>
      </w:r>
      <w:proofErr w:type="spellStart"/>
      <w:r w:rsidRPr="00332E77">
        <w:rPr>
          <w:rFonts w:asciiTheme="minorHAnsi" w:hAnsiTheme="minorHAnsi" w:cstheme="minorHAnsi"/>
        </w:rPr>
        <w:t>Vinš</w:t>
      </w:r>
      <w:proofErr w:type="spellEnd"/>
      <w:r w:rsidRPr="00332E77">
        <w:rPr>
          <w:rFonts w:asciiTheme="minorHAnsi" w:hAnsiTheme="minorHAnsi" w:cstheme="minorHAnsi"/>
        </w:rPr>
        <w:t xml:space="preserve"> prekes išsiuntė paštu iš Sąjungos teritorijos, nes jis pats teigia, kad gali įrodyti faktinį šių prekių išgabenimą iš jos teritorijos pašto tarnybų išduotais dokumentais (25 punktas). Kita vertus, PVM direktyvos </w:t>
      </w:r>
      <w:r w:rsidRPr="00332E77">
        <w:rPr>
          <w:rFonts w:asciiTheme="minorHAnsi" w:hAnsiTheme="minorHAnsi" w:cstheme="minorHAnsi"/>
          <w:u w:val="single"/>
        </w:rPr>
        <w:t xml:space="preserve">146 straipsnio 1 dalies a punkte </w:t>
      </w:r>
      <w:r w:rsidRPr="00332E77">
        <w:rPr>
          <w:rFonts w:asciiTheme="minorHAnsi" w:hAnsiTheme="minorHAnsi" w:cstheme="minorHAnsi"/>
          <w:b/>
          <w:u w:val="single"/>
        </w:rPr>
        <w:t>nėra</w:t>
      </w:r>
      <w:r w:rsidRPr="00332E77">
        <w:rPr>
          <w:rFonts w:asciiTheme="minorHAnsi" w:hAnsiTheme="minorHAnsi" w:cstheme="minorHAnsi"/>
          <w:u w:val="single"/>
        </w:rPr>
        <w:t xml:space="preserve"> tokios sąlygos, </w:t>
      </w:r>
      <w:r w:rsidRPr="00332E77">
        <w:rPr>
          <w:rFonts w:asciiTheme="minorHAnsi" w:hAnsiTheme="minorHAnsi" w:cstheme="minorHAnsi"/>
          <w:u w:val="single"/>
        </w:rPr>
        <w:lastRenderedPageBreak/>
        <w:t>kokia numatyta Įstatymo Nr. 235/2004 66 straipsnio 1 dalyje, pagal kurią šioje pirmojoje nuostatoje numatytas eksportas yra neapmokestinamas tik jei prekei, skirtai eksportuoti, įforminta eksporto muitinės procedūra</w:t>
      </w:r>
      <w:r w:rsidRPr="00332E77">
        <w:rPr>
          <w:rFonts w:asciiTheme="minorHAnsi" w:hAnsiTheme="minorHAnsi" w:cstheme="minorHAnsi"/>
        </w:rPr>
        <w:t xml:space="preserve"> (26 punktas). Vadinasi, </w:t>
      </w:r>
      <w:r w:rsidRPr="00332E77">
        <w:rPr>
          <w:rFonts w:asciiTheme="minorHAnsi" w:hAnsiTheme="minorHAnsi" w:cstheme="minorHAnsi"/>
          <w:u w:val="single"/>
        </w:rPr>
        <w:t>sandorio kvalifikavimas kaip tiekimo eks</w:t>
      </w:r>
      <w:r w:rsidR="00C761B1">
        <w:rPr>
          <w:rFonts w:asciiTheme="minorHAnsi" w:hAnsiTheme="minorHAnsi" w:cstheme="minorHAnsi"/>
          <w:u w:val="single"/>
        </w:rPr>
        <w:t>portui pagal PVM direktyvos 146 </w:t>
      </w:r>
      <w:r w:rsidRPr="00332E77">
        <w:rPr>
          <w:rFonts w:asciiTheme="minorHAnsi" w:hAnsiTheme="minorHAnsi" w:cstheme="minorHAnsi"/>
          <w:u w:val="single"/>
        </w:rPr>
        <w:t>straipsnio 1 dalies a punktą neturėtų priklausyti nuo eksporto muitinės procedūros įforminimo prekėms, dėl ko šios sąlygos neįvykdęs apmokestinamasis asmuo prarastų teisę neapmokestinti eksporto</w:t>
      </w:r>
      <w:r w:rsidRPr="00332E77">
        <w:rPr>
          <w:rFonts w:asciiTheme="minorHAnsi" w:hAnsiTheme="minorHAnsi" w:cstheme="minorHAnsi"/>
        </w:rPr>
        <w:t xml:space="preserve"> (27 punktas).</w:t>
      </w:r>
    </w:p>
    <w:p w14:paraId="264C05D9"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Vis dėlto, kaip pažymėjo Teisingumo Teismas, pagal PVM direktyvos 131 straipsnį valstybės narės turi nustatyti sąlygas, kuriomis neapmokestina eksporto sandorių, kad užtikrintų teisingą ir sąžiningą šioje direktyvoje numatyto eksporto neapmokestinimo taikymą ir užkirstų kelią galimam sukčiavimui, mokesčių vengimui ir piktnaudžiavimui. Tačiau naudodamosi savo galiomis valstybės narės turi laikytis bendrųjų principų, sudarančių Sąjungos teisinės sistemos dalį, tarp kurių yra proporcingumo principas (28 punktas). Nacionalinėje teisėje numatyta sąlyga, kuri neleidžia neapmokestinti PVM prekių, kurioms nebuvo įforminta eksporto muitinės procedūra, tiekimo, nors yra akivaizdu, kad šios prekės faktiškai buvo eksportuotos laikantis Sąjungos teisėje nustatytų kriterijų, ir šis tiekimas pagal objektyvius požymius atitinka PVM direktyvos 146 straipsnio 1 dalies a punkte numatytas neapmokestinimo sąlygas, neatitinka proporcingumo principo (30 punktas).</w:t>
      </w:r>
    </w:p>
    <w:p w14:paraId="4D890E7A" w14:textId="77777777" w:rsidR="005E5E25" w:rsidRPr="00332E77" w:rsidRDefault="005E5E25" w:rsidP="005E5E25">
      <w:pPr>
        <w:ind w:firstLine="540"/>
        <w:rPr>
          <w:rFonts w:asciiTheme="minorHAnsi" w:hAnsiTheme="minorHAnsi" w:cstheme="minorHAnsi"/>
        </w:rPr>
      </w:pPr>
    </w:p>
    <w:p w14:paraId="1DFD4473" w14:textId="77777777" w:rsidR="005E5E25" w:rsidRPr="00332E77" w:rsidRDefault="005E5E25" w:rsidP="005E5E25">
      <w:pPr>
        <w:ind w:firstLine="540"/>
        <w:rPr>
          <w:rFonts w:asciiTheme="minorHAnsi" w:hAnsiTheme="minorHAnsi" w:cstheme="minorHAnsi"/>
          <w:b/>
        </w:rPr>
      </w:pPr>
      <w:r w:rsidRPr="00332E77">
        <w:rPr>
          <w:rFonts w:asciiTheme="minorHAnsi" w:hAnsiTheme="minorHAnsi" w:cstheme="minorHAnsi"/>
          <w:b/>
        </w:rPr>
        <w:t>Remdamasis šiais motyvais, Teisingumo Teismas (trečioji kolegija) nusprendė:</w:t>
      </w:r>
    </w:p>
    <w:p w14:paraId="1837B95C" w14:textId="77777777" w:rsidR="005E5E25" w:rsidRPr="00332E77" w:rsidRDefault="005E5E25" w:rsidP="005E5E25">
      <w:pPr>
        <w:ind w:firstLine="540"/>
        <w:rPr>
          <w:rFonts w:asciiTheme="minorHAnsi" w:hAnsiTheme="minorHAnsi" w:cstheme="minorHAnsi"/>
        </w:rPr>
      </w:pPr>
    </w:p>
    <w:p w14:paraId="2CCEC023"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PVM direktyvos 146 straipsnio 1 dalies a punktas, atsižvelgiant į jos 131 straipsnį, turi būti aiškinamas taip, kad juo draudžiama nacionalinės teisės nuostata, pagal kurią prekės, skirtos eksportuoti iš Sąjungos, yra neapmokestinamos PVM tik jeigu joms buvo įforminta eksporto muitinės procedūra, kai yra nustatyta, jog tenkinamos esminės neapmokestinimo sąlygos, būtent sąlyga, kad tos prekės faktiškai būtų išgabentos iš Sąjungos teritorijos.</w:t>
      </w:r>
    </w:p>
    <w:p w14:paraId="12ADBDA8" w14:textId="77777777" w:rsidR="005E5E25" w:rsidRPr="00332E77" w:rsidRDefault="006A47DB" w:rsidP="005E5E25">
      <w:pPr>
        <w:ind w:firstLine="540"/>
        <w:rPr>
          <w:rFonts w:asciiTheme="minorHAnsi" w:hAnsiTheme="minorHAnsi" w:cstheme="minorHAnsi"/>
        </w:rPr>
      </w:pPr>
      <w:hyperlink r:id="rId18" w:history="1">
        <w:r w:rsidR="005E5E25" w:rsidRPr="00A858F6">
          <w:rPr>
            <w:rStyle w:val="Hipersaitas"/>
            <w:rFonts w:asciiTheme="minorHAnsi" w:hAnsiTheme="minorHAnsi" w:cstheme="minorHAnsi"/>
          </w:rPr>
          <w:t>Prieiga internete</w:t>
        </w:r>
      </w:hyperlink>
    </w:p>
    <w:p w14:paraId="2E519FB0" w14:textId="77777777" w:rsidR="005E5E25" w:rsidRPr="00332E77" w:rsidRDefault="005E5E25" w:rsidP="005E5E25">
      <w:pPr>
        <w:ind w:firstLine="540"/>
        <w:rPr>
          <w:rFonts w:asciiTheme="minorHAnsi" w:hAnsiTheme="minorHAnsi" w:cstheme="minorHAnsi"/>
        </w:rPr>
      </w:pPr>
    </w:p>
    <w:p w14:paraId="0C67EB9F" w14:textId="6AFDB815" w:rsidR="005E5E25" w:rsidRPr="00332E77" w:rsidRDefault="005E5E25" w:rsidP="005E5E25">
      <w:pPr>
        <w:pStyle w:val="Antrat2"/>
        <w:rPr>
          <w:rFonts w:cstheme="minorHAnsi"/>
        </w:rPr>
      </w:pPr>
      <w:bookmarkStart w:id="93" w:name="_Toc11232474"/>
      <w:bookmarkStart w:id="94" w:name="_Toc11232765"/>
      <w:bookmarkStart w:id="95" w:name="_Toc11758001"/>
      <w:r w:rsidRPr="00332E77">
        <w:rPr>
          <w:rFonts w:cstheme="minorHAnsi"/>
        </w:rPr>
        <w:t xml:space="preserve">2019 m. balandžio 11 d. </w:t>
      </w:r>
      <w:proofErr w:type="spellStart"/>
      <w:r w:rsidRPr="00332E77">
        <w:rPr>
          <w:rFonts w:cstheme="minorHAnsi"/>
        </w:rPr>
        <w:t>prejudicinis</w:t>
      </w:r>
      <w:proofErr w:type="spellEnd"/>
      <w:r w:rsidRPr="00332E77">
        <w:rPr>
          <w:rFonts w:cstheme="minorHAnsi"/>
        </w:rPr>
        <w:t xml:space="preserve"> sprendimas byloje C</w:t>
      </w:r>
      <w:r w:rsidRPr="00332E77">
        <w:rPr>
          <w:rFonts w:ascii="Cambria Math" w:hAnsi="Cambria Math" w:cs="Cambria Math"/>
        </w:rPr>
        <w:t>‑</w:t>
      </w:r>
      <w:r w:rsidRPr="00332E77">
        <w:rPr>
          <w:rFonts w:cstheme="minorHAnsi"/>
        </w:rPr>
        <w:t>638/17</w:t>
      </w:r>
      <w:bookmarkEnd w:id="68"/>
      <w:bookmarkEnd w:id="93"/>
      <w:bookmarkEnd w:id="94"/>
      <w:bookmarkEnd w:id="95"/>
    </w:p>
    <w:p w14:paraId="09C6ED96" w14:textId="77777777" w:rsidR="005E5E25" w:rsidRPr="00B04ABC" w:rsidRDefault="005E5E25" w:rsidP="005E5E25">
      <w:pPr>
        <w:jc w:val="center"/>
        <w:rPr>
          <w:rFonts w:asciiTheme="minorHAnsi" w:hAnsiTheme="minorHAnsi" w:cstheme="minorHAnsi"/>
          <w:b/>
          <w:i/>
        </w:rPr>
      </w:pPr>
      <w:r w:rsidRPr="00B04ABC">
        <w:rPr>
          <w:rFonts w:asciiTheme="minorHAnsi" w:hAnsiTheme="minorHAnsi" w:cstheme="minorHAnsi"/>
          <w:b/>
          <w:i/>
        </w:rPr>
        <w:t>Valstybinė mokesčių inspekcija prie Lietuvos Respublikos finansų ministerijos</w:t>
      </w:r>
    </w:p>
    <w:p w14:paraId="2F953729" w14:textId="77777777" w:rsidR="005E5E25" w:rsidRPr="00B04ABC" w:rsidRDefault="005E5E25" w:rsidP="005E5E25">
      <w:pPr>
        <w:jc w:val="center"/>
        <w:rPr>
          <w:rFonts w:asciiTheme="minorHAnsi" w:hAnsiTheme="minorHAnsi" w:cstheme="minorHAnsi"/>
          <w:b/>
          <w:i/>
        </w:rPr>
      </w:pPr>
      <w:r w:rsidRPr="00B04ABC">
        <w:rPr>
          <w:rFonts w:asciiTheme="minorHAnsi" w:hAnsiTheme="minorHAnsi" w:cstheme="minorHAnsi"/>
          <w:b/>
          <w:i/>
        </w:rPr>
        <w:t>prieš UAB „Skonis ir kvapas“</w:t>
      </w:r>
    </w:p>
    <w:p w14:paraId="0A71E50F" w14:textId="77777777" w:rsidR="005E5E25" w:rsidRPr="00332E77" w:rsidRDefault="005E5E25" w:rsidP="005E5E25">
      <w:pPr>
        <w:ind w:firstLine="540"/>
        <w:rPr>
          <w:rFonts w:asciiTheme="minorHAnsi" w:hAnsiTheme="minorHAnsi" w:cstheme="minorHAnsi"/>
        </w:rPr>
      </w:pPr>
    </w:p>
    <w:p w14:paraId="4E6D16A9" w14:textId="3133C65C"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 xml:space="preserve">Prašymas priimti </w:t>
      </w:r>
      <w:proofErr w:type="spellStart"/>
      <w:r w:rsidRPr="00332E77">
        <w:rPr>
          <w:rFonts w:asciiTheme="minorHAnsi" w:hAnsiTheme="minorHAnsi" w:cstheme="minorHAnsi"/>
        </w:rPr>
        <w:t>prejudicinį</w:t>
      </w:r>
      <w:proofErr w:type="spellEnd"/>
      <w:r w:rsidRPr="00332E77">
        <w:rPr>
          <w:rFonts w:asciiTheme="minorHAnsi" w:hAnsiTheme="minorHAnsi" w:cstheme="minorHAnsi"/>
        </w:rPr>
        <w:t xml:space="preserve"> sprendimą buvo pateiktas dėl 2011 m. birželio 21 d. Tarybos direktyvos 2011/64/ES dėl akcizų, taikomų apdorotam tabakui, struktūros ir tarifų (toliau – Direktyva 2011/64</w:t>
      </w:r>
      <w:r w:rsidR="00B04ABC">
        <w:rPr>
          <w:rFonts w:asciiTheme="minorHAnsi" w:hAnsiTheme="minorHAnsi" w:cstheme="minorHAnsi"/>
        </w:rPr>
        <w:t>) 4 </w:t>
      </w:r>
      <w:r w:rsidRPr="00332E77">
        <w:rPr>
          <w:rFonts w:asciiTheme="minorHAnsi" w:hAnsiTheme="minorHAnsi" w:cstheme="minorHAnsi"/>
        </w:rPr>
        <w:t>straipsnio 1 dalies</w:t>
      </w:r>
      <w:r w:rsidRPr="00332E77">
        <w:rPr>
          <w:rStyle w:val="Puslapioinaosnuoroda"/>
          <w:rFonts w:asciiTheme="minorHAnsi" w:hAnsiTheme="minorHAnsi" w:cstheme="minorHAnsi"/>
        </w:rPr>
        <w:footnoteReference w:id="2"/>
      </w:r>
      <w:r w:rsidRPr="00332E77">
        <w:rPr>
          <w:rFonts w:asciiTheme="minorHAnsi" w:hAnsiTheme="minorHAnsi" w:cstheme="minorHAnsi"/>
        </w:rPr>
        <w:t xml:space="preserve"> išaiškinimo. Šis prašymas pateiktas vykstant Valstybinės mokesčių inspekcijos prie Lietuvos Respublikos finansų ministerijos (toliau – Inspekcija) inicijuotai procedūrai dėl UAB „Skonis ir kvapas“ mokesčių perskaičiavimo, susijusio su į Lietuvą importuojamų tabako gaminių apmokestinimu.</w:t>
      </w:r>
    </w:p>
    <w:p w14:paraId="2D2F844F" w14:textId="1D95E9D2"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Pagrindinėje byloje nustatyta, kad UAB „Skonis ir kvapas“ nuo 2013 m. rugsėjo 1 d. iki 2015 m. balandžio 17 d. importavo į Lietuvą tabako produktus ir akcizų informacinėje sistemoje juos deklaravo kaip priskirtinus prie cigarų ir cigarilių kategorijos. Atlikusi UAB „Skonis ir kvapas“ mokestinį patikrinimą, Inspekcija, remdamasi muitinės laboratorijos išvadomis, nusprendė, kad šie produktai neatitinka Akcizų įstatymo 3 straipsnio 10 dalyje nustatytos cigarų arba cigarilių apibrėžties ir kad jie, priešingai, turėtų būti laikomi cigaretėmis, kaip jos apibrėžtos šio įstatymo 3 straipsnio 11 dalyje. Remiantis muitinės laboratorijos išvadomis, šie produktai yra 87 milimetrų (mm) ilgio ir 8 mm pločio smulkinto tabako ritinėliai, įvynioti į apvalkalą, pagamintą iš natūralaus tabako, su filtru, kuris dar papildomai padengtas kitu popieriaus apvalkalu. Todėl 2015 m. rugsėjo 21 d. sprendimu Inspekcija UAB „Skonis ir kvapas“ nurodė sumokėti papildomą akcizą, taip pat delspinigius ir skyrė baudą (11–13 punktai).</w:t>
      </w:r>
    </w:p>
    <w:p w14:paraId="12F3A358"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 xml:space="preserve">Ginčui pasiekus Lietuvos vyriausiąjį administracinį teismą, šis nutarė sustabdyti bylos nagrinėjimą ir kreiptis į Teisingumo Teismą su prašymu priimti </w:t>
      </w:r>
      <w:proofErr w:type="spellStart"/>
      <w:r w:rsidRPr="00332E77">
        <w:rPr>
          <w:rFonts w:asciiTheme="minorHAnsi" w:hAnsiTheme="minorHAnsi" w:cstheme="minorHAnsi"/>
        </w:rPr>
        <w:t>prejudicinį</w:t>
      </w:r>
      <w:proofErr w:type="spellEnd"/>
      <w:r w:rsidRPr="00332E77">
        <w:rPr>
          <w:rFonts w:asciiTheme="minorHAnsi" w:hAnsiTheme="minorHAnsi" w:cstheme="minorHAnsi"/>
        </w:rPr>
        <w:t xml:space="preserve"> sprendimą klausimu, ar šios Direktyvos 2011/64 4 straipsnio 1 dalies a punktas turi būti aiškinamas taip, kad tokie tabako produktai, kokie nagrinėjami pagrindinėje byloje, kurių iš natūralaus tabako pagaminto išorinio apvalkalo dalį, kur yra filtras, dengia </w:t>
      </w:r>
      <w:r w:rsidRPr="00332E77">
        <w:rPr>
          <w:rFonts w:asciiTheme="minorHAnsi" w:hAnsiTheme="minorHAnsi" w:cstheme="minorHAnsi"/>
        </w:rPr>
        <w:lastRenderedPageBreak/>
        <w:t>papildomas sluoksnis iš popieriaus, kuris gali lemti šių produktų vizualinį panašumą į cigaretes, priskirtini prie cigarų arba cigarilių kategorijos (24 punktas).</w:t>
      </w:r>
    </w:p>
    <w:p w14:paraId="27CE15E0" w14:textId="77777777" w:rsidR="005E5E25" w:rsidRPr="00332E77" w:rsidRDefault="005E5E25" w:rsidP="005E5E25">
      <w:pPr>
        <w:ind w:firstLine="540"/>
        <w:rPr>
          <w:rFonts w:asciiTheme="minorHAnsi" w:hAnsiTheme="minorHAnsi" w:cstheme="minorHAnsi"/>
        </w:rPr>
      </w:pPr>
    </w:p>
    <w:p w14:paraId="282A00FA" w14:textId="2D34E733" w:rsidR="005E5E25" w:rsidRPr="00F72279" w:rsidRDefault="005E5E25" w:rsidP="00B04ABC">
      <w:pPr>
        <w:pStyle w:val="Antrat3"/>
        <w:ind w:firstLine="567"/>
        <w:rPr>
          <w:rFonts w:cstheme="minorHAnsi"/>
          <w:b w:val="0"/>
          <w:bCs w:val="0"/>
        </w:rPr>
      </w:pPr>
      <w:bookmarkStart w:id="96" w:name="_Toc11164517"/>
      <w:bookmarkStart w:id="97" w:name="_Toc11232475"/>
      <w:bookmarkStart w:id="98" w:name="_Toc11232766"/>
      <w:bookmarkStart w:id="99" w:name="_Toc11758002"/>
      <w:r w:rsidRPr="00F72279">
        <w:rPr>
          <w:rFonts w:cstheme="minorHAnsi"/>
        </w:rPr>
        <w:t>Dėl tabako gaminio (tabako ritinėlių) apvalkalo reikšmės sprendžiant dėl jo priskyr</w:t>
      </w:r>
      <w:r>
        <w:rPr>
          <w:rFonts w:cstheme="minorHAnsi"/>
        </w:rPr>
        <w:t>i</w:t>
      </w:r>
      <w:r w:rsidRPr="00F72279">
        <w:rPr>
          <w:rFonts w:cstheme="minorHAnsi"/>
        </w:rPr>
        <w:t>mo cigarams ir cigarilėms arba cigaretėms</w:t>
      </w:r>
      <w:bookmarkEnd w:id="96"/>
      <w:bookmarkEnd w:id="97"/>
      <w:bookmarkEnd w:id="98"/>
      <w:bookmarkEnd w:id="99"/>
    </w:p>
    <w:p w14:paraId="6E743F0C" w14:textId="77777777" w:rsidR="005E5E25" w:rsidRPr="00332E77" w:rsidRDefault="005E5E25" w:rsidP="005E5E25">
      <w:pPr>
        <w:ind w:firstLine="540"/>
        <w:rPr>
          <w:rFonts w:asciiTheme="minorHAnsi" w:hAnsiTheme="minorHAnsi" w:cstheme="minorHAnsi"/>
        </w:rPr>
      </w:pPr>
    </w:p>
    <w:p w14:paraId="7CA3B374" w14:textId="784CBCBD"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 xml:space="preserve">Šiuo klausimu Teisingumo Teismas nurodė, kad, pirma, dėl Direktyvos </w:t>
      </w:r>
      <w:r w:rsidR="00B04ABC">
        <w:rPr>
          <w:rFonts w:asciiTheme="minorHAnsi" w:hAnsiTheme="minorHAnsi" w:cstheme="minorHAnsi"/>
        </w:rPr>
        <w:t>2011/64 4 straipsnio 1 dalies a </w:t>
      </w:r>
      <w:r w:rsidRPr="00332E77">
        <w:rPr>
          <w:rFonts w:asciiTheme="minorHAnsi" w:hAnsiTheme="minorHAnsi" w:cstheme="minorHAnsi"/>
        </w:rPr>
        <w:t xml:space="preserve">punkto formuluočių reikia pažymėti, kad šioje nuostatoje tik nustatyta, jog cigarais arba cigarilėmis laikomi tabako ritinėliai, įvynioti į išorinį apvalkalą, pagamintą iš natūralaus tabako, jeigu, atsižvelgiant į jų savybes ir į įprastus vartotojų lūkesčius, juos galima rūkyti tik tokius, kokie jie yra. Taigi, tabako ritinėliai, padengti išoriniu apvalkalu iš natūralaus tabako, iš principo priskirtini prie cigarų arba cigarilių kategorijos, kaip ji apibrėžiama pagal šią nuostatą (26 punktas). Taigi, </w:t>
      </w:r>
      <w:r w:rsidRPr="00DF6A09">
        <w:rPr>
          <w:rFonts w:asciiTheme="minorHAnsi" w:hAnsiTheme="minorHAnsi" w:cstheme="minorHAnsi"/>
          <w:u w:val="single"/>
        </w:rPr>
        <w:t>m</w:t>
      </w:r>
      <w:r w:rsidRPr="00332E77">
        <w:rPr>
          <w:rFonts w:asciiTheme="minorHAnsi" w:hAnsiTheme="minorHAnsi" w:cstheme="minorHAnsi"/>
          <w:u w:val="single"/>
        </w:rPr>
        <w:t>edžiaga, iš kurios yra padarytas išorinis apvalkalas, yra esminis kriterijus, kuriuo remiantis Direktyvoje 2011/64 cigarų arba cigarilių kategorija atskiriama nuo cigarečių kategorijos</w:t>
      </w:r>
      <w:r w:rsidRPr="00332E77">
        <w:rPr>
          <w:rFonts w:asciiTheme="minorHAnsi" w:hAnsiTheme="minorHAnsi" w:cstheme="minorHAnsi"/>
        </w:rPr>
        <w:t xml:space="preserve"> (28 punktas). Teisingumo Teismas taip pat pažymėjo, kad priskiriant produktus prie cigarų arba cigarilių kategorijos šios direktyvos 4 straipsnio 1 dalies a punkte </w:t>
      </w:r>
      <w:r w:rsidRPr="00332E77">
        <w:rPr>
          <w:rFonts w:asciiTheme="minorHAnsi" w:hAnsiTheme="minorHAnsi" w:cstheme="minorHAnsi"/>
          <w:u w:val="single"/>
        </w:rPr>
        <w:t>minimas tik išorinis apvalkalas iš natūralaus tabako</w:t>
      </w:r>
      <w:r w:rsidRPr="00332E77">
        <w:rPr>
          <w:rFonts w:asciiTheme="minorHAnsi" w:hAnsiTheme="minorHAnsi" w:cstheme="minorHAnsi"/>
        </w:rPr>
        <w:t xml:space="preserve">, o šios direktyvos 4 straipsnio 1 dalies b punkte ne tik minimas išorinis apvalkalas iš regeneruoto tabako, </w:t>
      </w:r>
      <w:r w:rsidRPr="00332E77">
        <w:rPr>
          <w:rFonts w:asciiTheme="minorHAnsi" w:hAnsiTheme="minorHAnsi" w:cstheme="minorHAnsi"/>
          <w:u w:val="single"/>
        </w:rPr>
        <w:t>bet jame dar nustatytos papildomos savybės</w:t>
      </w:r>
      <w:r w:rsidRPr="00332E77">
        <w:rPr>
          <w:rFonts w:asciiTheme="minorHAnsi" w:hAnsiTheme="minorHAnsi" w:cstheme="minorHAnsi"/>
        </w:rPr>
        <w:t>, susijusios, be kita ko, su tabako ritinėlių svoriu, dydžiu ir apvalkalo spalva (29 punktas).</w:t>
      </w:r>
    </w:p>
    <w:p w14:paraId="2F287256" w14:textId="77777777" w:rsidR="005E5E25" w:rsidRPr="00332E77" w:rsidRDefault="005E5E25" w:rsidP="005E5E25">
      <w:pPr>
        <w:ind w:firstLine="540"/>
        <w:rPr>
          <w:rFonts w:asciiTheme="minorHAnsi" w:hAnsiTheme="minorHAnsi" w:cstheme="minorHAnsi"/>
        </w:rPr>
      </w:pPr>
    </w:p>
    <w:p w14:paraId="3DB71732" w14:textId="2495F7B2" w:rsidR="005E5E25" w:rsidRPr="00F72279" w:rsidRDefault="005E5E25" w:rsidP="00B04ABC">
      <w:pPr>
        <w:pStyle w:val="Antrat3"/>
        <w:ind w:firstLine="567"/>
        <w:rPr>
          <w:rFonts w:cstheme="minorHAnsi"/>
          <w:b w:val="0"/>
          <w:bCs w:val="0"/>
        </w:rPr>
      </w:pPr>
      <w:bookmarkStart w:id="100" w:name="_Toc11164518"/>
      <w:bookmarkStart w:id="101" w:name="_Toc11232476"/>
      <w:bookmarkStart w:id="102" w:name="_Toc11232767"/>
      <w:bookmarkStart w:id="103" w:name="_Toc11758003"/>
      <w:r w:rsidRPr="00F72279">
        <w:rPr>
          <w:rFonts w:cstheme="minorHAnsi"/>
        </w:rPr>
        <w:t>Dėl papildomo išorinio popieriaus sluoksnio buvimo reikšmės, prekę pripažįstant cigarą ar cigarilę apmokestinimo akcizu tikslais</w:t>
      </w:r>
      <w:bookmarkEnd w:id="100"/>
      <w:bookmarkEnd w:id="101"/>
      <w:bookmarkEnd w:id="102"/>
      <w:bookmarkEnd w:id="103"/>
    </w:p>
    <w:p w14:paraId="3401BDB8"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ab/>
      </w:r>
    </w:p>
    <w:p w14:paraId="41D80C8B"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Toliau Teisingumo Teismas vertino, ar papildomo sluoksnio iš popieriaus buvimas toje vietoje, kur yra filtras, gali būti pagrindas kvestionuoti tokį klasifikavimą pagal šią direktyvą (32 punktas).</w:t>
      </w:r>
    </w:p>
    <w:p w14:paraId="1865FC07" w14:textId="3DA3101A"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Šiuo klausimu reikia pažymėti, kad Direktyvos 2011/64 4 straipsnio 1 dalyje esančioje cigarų arba cigarilių kategorijos apibrėžtyje taip pat nurodyta, kad šie produktai gali būti priskiriami prie šios kategorijos, jeigu, atsižvelgiant į jų savybes ir įprastus vartotojų lūkesčius, juos galima rūkyti tik tokius, kokie jie yra</w:t>
      </w:r>
      <w:r w:rsidR="00B04ABC">
        <w:rPr>
          <w:rFonts w:asciiTheme="minorHAnsi" w:hAnsiTheme="minorHAnsi" w:cstheme="minorHAnsi"/>
        </w:rPr>
        <w:t xml:space="preserve"> (33 </w:t>
      </w:r>
      <w:r w:rsidRPr="00332E77">
        <w:rPr>
          <w:rFonts w:asciiTheme="minorHAnsi" w:hAnsiTheme="minorHAnsi" w:cstheme="minorHAnsi"/>
        </w:rPr>
        <w:t xml:space="preserve">punktas). Taigi, </w:t>
      </w:r>
      <w:r w:rsidRPr="00332E77">
        <w:rPr>
          <w:rFonts w:asciiTheme="minorHAnsi" w:hAnsiTheme="minorHAnsi" w:cstheme="minorHAnsi"/>
          <w:u w:val="single"/>
        </w:rPr>
        <w:t>produktai negali būti priskiriami prie cigarų arba cigarilių kategorijos, kaip jie suprantami pagal šią direktyvą, jei jie yra tabako ritinėliai, padengti išoriniu apvalkalu iš natūralaus tabako, tačiau, atsižvelgiant į jų savybes ir įprastus vartotojų lūkesčius, jų negalima rūkyti tokių, kokie jie yra</w:t>
      </w:r>
      <w:r w:rsidRPr="00332E77">
        <w:rPr>
          <w:rFonts w:asciiTheme="minorHAnsi" w:hAnsiTheme="minorHAnsi" w:cstheme="minorHAnsi"/>
          <w:i/>
        </w:rPr>
        <w:t xml:space="preserve"> (</w:t>
      </w:r>
      <w:r w:rsidRPr="00332E77">
        <w:rPr>
          <w:rFonts w:asciiTheme="minorHAnsi" w:hAnsiTheme="minorHAnsi" w:cstheme="minorHAnsi"/>
        </w:rPr>
        <w:t>34 punktas). Vartotojų manymu, išorinis apvalkalas iš natūralaus tabako suteikia tabako ritinėliams, kurie įvynioti į tą apvalkalą, specifinę išvaizdą ir dūmų skonį, kuris skiriasi nuo cigarečių skonio, ir užtikrina greitą degimą</w:t>
      </w:r>
      <w:r w:rsidR="00B04ABC">
        <w:rPr>
          <w:rFonts w:asciiTheme="minorHAnsi" w:hAnsiTheme="minorHAnsi" w:cstheme="minorHAnsi"/>
        </w:rPr>
        <w:t xml:space="preserve"> (35 </w:t>
      </w:r>
      <w:r w:rsidRPr="00332E77">
        <w:rPr>
          <w:rFonts w:asciiTheme="minorHAnsi" w:hAnsiTheme="minorHAnsi" w:cstheme="minorHAnsi"/>
        </w:rPr>
        <w:t xml:space="preserve">punktas). Jei, kaip yra, papildomas </w:t>
      </w:r>
      <w:r w:rsidRPr="00332E77">
        <w:rPr>
          <w:rFonts w:asciiTheme="minorHAnsi" w:hAnsiTheme="minorHAnsi" w:cstheme="minorHAnsi"/>
          <w:u w:val="single"/>
        </w:rPr>
        <w:t>popierinis sluoksnis uždengia tik filtrą ir neapima produkto dalies, kuri yra suvartojama, šis papildomas sluoksnis negali būti laikomas paneigiančiu aplinkybę, kad tokie produktai gali būti rūkomi tokie, kokie jie yra</w:t>
      </w:r>
      <w:r w:rsidRPr="00332E77">
        <w:rPr>
          <w:rFonts w:asciiTheme="minorHAnsi" w:hAnsiTheme="minorHAnsi" w:cstheme="minorHAnsi"/>
        </w:rPr>
        <w:t xml:space="preserve"> (36 punktas).</w:t>
      </w:r>
    </w:p>
    <w:p w14:paraId="1B824F9E" w14:textId="77777777" w:rsidR="005E5E25" w:rsidRPr="00332E77" w:rsidRDefault="005E5E25" w:rsidP="005E5E25">
      <w:pPr>
        <w:ind w:firstLine="540"/>
        <w:rPr>
          <w:rFonts w:asciiTheme="minorHAnsi" w:hAnsiTheme="minorHAnsi" w:cstheme="minorHAnsi"/>
        </w:rPr>
      </w:pPr>
    </w:p>
    <w:p w14:paraId="71352747" w14:textId="77777777" w:rsidR="005E5E25" w:rsidRPr="00332E77" w:rsidRDefault="005E5E25" w:rsidP="005E5E25">
      <w:pPr>
        <w:ind w:firstLine="540"/>
        <w:rPr>
          <w:rFonts w:asciiTheme="minorHAnsi" w:hAnsiTheme="minorHAnsi" w:cstheme="minorHAnsi"/>
          <w:b/>
        </w:rPr>
      </w:pPr>
      <w:r w:rsidRPr="00332E77">
        <w:rPr>
          <w:rFonts w:asciiTheme="minorHAnsi" w:hAnsiTheme="minorHAnsi" w:cstheme="minorHAnsi"/>
          <w:b/>
        </w:rPr>
        <w:t>Remdamasis šiais motyvais, Teisingumo Teismas (penktoji kolegija) nusprendė:</w:t>
      </w:r>
    </w:p>
    <w:p w14:paraId="1F30C88E" w14:textId="77777777" w:rsidR="005E5E25" w:rsidRPr="00332E77" w:rsidRDefault="005E5E25" w:rsidP="005E5E25">
      <w:pPr>
        <w:ind w:firstLine="540"/>
        <w:rPr>
          <w:rFonts w:asciiTheme="minorHAnsi" w:hAnsiTheme="minorHAnsi" w:cstheme="minorHAnsi"/>
        </w:rPr>
      </w:pPr>
      <w:r>
        <w:rPr>
          <w:rFonts w:asciiTheme="minorHAnsi" w:hAnsiTheme="minorHAnsi" w:cstheme="minorHAnsi"/>
        </w:rPr>
        <w:t xml:space="preserve"> </w:t>
      </w:r>
      <w:r w:rsidRPr="00332E77">
        <w:rPr>
          <w:rFonts w:asciiTheme="minorHAnsi" w:hAnsiTheme="minorHAnsi" w:cstheme="minorHAnsi"/>
        </w:rPr>
        <w:tab/>
      </w:r>
    </w:p>
    <w:p w14:paraId="2D8AA982"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Direktyvos 2011/64 4 straipsnio 1 dalies a punktas turi būti aiškinamas taip, kad tokie tabako produktai, kokie nagrinėjami pagrindinėje byloje, kurių iš natūralaus tabako pagaminto išorinio apvalkalo dalį, kur yra filtras, dengia papildomas sluoksnis iš popieriaus, kuris gali lemti šių produktų vizualinį panašumą į cigaretes, priskirtini prie cigarų arba cigarilių kategorijos.</w:t>
      </w:r>
    </w:p>
    <w:p w14:paraId="3B95A35D" w14:textId="77777777" w:rsidR="005E5E25" w:rsidRPr="00332E77" w:rsidRDefault="006A47DB" w:rsidP="005E5E25">
      <w:pPr>
        <w:ind w:firstLine="540"/>
        <w:rPr>
          <w:rFonts w:asciiTheme="minorHAnsi" w:hAnsiTheme="minorHAnsi" w:cstheme="minorHAnsi"/>
        </w:rPr>
      </w:pPr>
      <w:hyperlink r:id="rId19" w:history="1">
        <w:r w:rsidR="005E5E25" w:rsidRPr="004C1BB1">
          <w:rPr>
            <w:rStyle w:val="Hipersaitas"/>
            <w:rFonts w:asciiTheme="minorHAnsi" w:hAnsiTheme="minorHAnsi" w:cstheme="minorHAnsi"/>
          </w:rPr>
          <w:t>Prieiga internete</w:t>
        </w:r>
      </w:hyperlink>
    </w:p>
    <w:p w14:paraId="76A8F708" w14:textId="77777777" w:rsidR="005E5E25" w:rsidRPr="00332E77" w:rsidRDefault="005E5E25" w:rsidP="005E5E25">
      <w:pPr>
        <w:ind w:firstLine="540"/>
        <w:rPr>
          <w:rFonts w:asciiTheme="minorHAnsi" w:hAnsiTheme="minorHAnsi" w:cstheme="minorHAnsi"/>
        </w:rPr>
      </w:pPr>
    </w:p>
    <w:p w14:paraId="4B19DC5A" w14:textId="6A7E8B63" w:rsidR="005E5E25" w:rsidRPr="00332E77" w:rsidRDefault="005E5E25" w:rsidP="005E5E25">
      <w:pPr>
        <w:pStyle w:val="Antrat2"/>
        <w:rPr>
          <w:rFonts w:cstheme="minorHAnsi"/>
        </w:rPr>
      </w:pPr>
      <w:bookmarkStart w:id="104" w:name="_Toc11164519"/>
      <w:bookmarkStart w:id="105" w:name="_Toc11232477"/>
      <w:bookmarkStart w:id="106" w:name="_Toc11232768"/>
      <w:bookmarkStart w:id="107" w:name="_Toc11758004"/>
      <w:r w:rsidRPr="00332E77">
        <w:rPr>
          <w:rFonts w:cstheme="minorHAnsi"/>
        </w:rPr>
        <w:t xml:space="preserve">2019 m. balandžio 11 d. </w:t>
      </w:r>
      <w:proofErr w:type="spellStart"/>
      <w:r w:rsidRPr="00332E77">
        <w:rPr>
          <w:rFonts w:cstheme="minorHAnsi"/>
        </w:rPr>
        <w:t>prejudicinis</w:t>
      </w:r>
      <w:proofErr w:type="spellEnd"/>
      <w:r w:rsidRPr="00332E77">
        <w:rPr>
          <w:rFonts w:cstheme="minorHAnsi"/>
        </w:rPr>
        <w:t xml:space="preserve"> sprendimas byloje C</w:t>
      </w:r>
      <w:r w:rsidRPr="00332E77">
        <w:rPr>
          <w:rFonts w:ascii="Cambria Math" w:hAnsi="Cambria Math" w:cs="Cambria Math"/>
        </w:rPr>
        <w:t>‑</w:t>
      </w:r>
      <w:r w:rsidRPr="00332E77">
        <w:rPr>
          <w:rFonts w:cstheme="minorHAnsi"/>
        </w:rPr>
        <w:t>691/17</w:t>
      </w:r>
      <w:bookmarkEnd w:id="104"/>
      <w:bookmarkEnd w:id="105"/>
      <w:bookmarkEnd w:id="106"/>
      <w:bookmarkEnd w:id="107"/>
    </w:p>
    <w:p w14:paraId="3A2738A5" w14:textId="77777777" w:rsidR="005E5E25" w:rsidRPr="00B04ABC" w:rsidRDefault="005E5E25" w:rsidP="005E5E25">
      <w:pPr>
        <w:jc w:val="center"/>
        <w:rPr>
          <w:rFonts w:asciiTheme="minorHAnsi" w:hAnsiTheme="minorHAnsi" w:cstheme="minorHAnsi"/>
          <w:b/>
          <w:bCs/>
          <w:i/>
        </w:rPr>
      </w:pPr>
      <w:r w:rsidRPr="00B04ABC">
        <w:rPr>
          <w:rFonts w:asciiTheme="minorHAnsi" w:hAnsiTheme="minorHAnsi" w:cstheme="minorHAnsi"/>
          <w:b/>
          <w:bCs/>
          <w:i/>
        </w:rPr>
        <w:t xml:space="preserve">PORR </w:t>
      </w:r>
      <w:proofErr w:type="spellStart"/>
      <w:r w:rsidRPr="00B04ABC">
        <w:rPr>
          <w:rFonts w:asciiTheme="minorHAnsi" w:hAnsiTheme="minorHAnsi" w:cstheme="minorHAnsi"/>
          <w:b/>
          <w:bCs/>
          <w:i/>
        </w:rPr>
        <w:t>Építési</w:t>
      </w:r>
      <w:proofErr w:type="spellEnd"/>
      <w:r w:rsidRPr="00B04ABC">
        <w:rPr>
          <w:rFonts w:asciiTheme="minorHAnsi" w:hAnsiTheme="minorHAnsi" w:cstheme="minorHAnsi"/>
          <w:b/>
          <w:bCs/>
          <w:i/>
        </w:rPr>
        <w:t xml:space="preserve"> </w:t>
      </w:r>
      <w:proofErr w:type="spellStart"/>
      <w:r w:rsidRPr="00B04ABC">
        <w:rPr>
          <w:rFonts w:asciiTheme="minorHAnsi" w:hAnsiTheme="minorHAnsi" w:cstheme="minorHAnsi"/>
          <w:b/>
          <w:bCs/>
          <w:i/>
        </w:rPr>
        <w:t>Kft</w:t>
      </w:r>
      <w:proofErr w:type="spellEnd"/>
      <w:r w:rsidRPr="00B04ABC">
        <w:rPr>
          <w:rFonts w:asciiTheme="minorHAnsi" w:hAnsiTheme="minorHAnsi" w:cstheme="minorHAnsi"/>
          <w:b/>
          <w:bCs/>
          <w:i/>
        </w:rPr>
        <w:t xml:space="preserve">. </w:t>
      </w:r>
      <w:r w:rsidRPr="00B04ABC">
        <w:rPr>
          <w:rFonts w:asciiTheme="minorHAnsi" w:hAnsiTheme="minorHAnsi" w:cstheme="minorHAnsi"/>
          <w:b/>
          <w:i/>
        </w:rPr>
        <w:t xml:space="preserve">prieš </w:t>
      </w:r>
      <w:proofErr w:type="spellStart"/>
      <w:r w:rsidRPr="00B04ABC">
        <w:rPr>
          <w:rFonts w:asciiTheme="minorHAnsi" w:hAnsiTheme="minorHAnsi" w:cstheme="minorHAnsi"/>
          <w:b/>
          <w:bCs/>
          <w:i/>
        </w:rPr>
        <w:t>Nemzeti</w:t>
      </w:r>
      <w:proofErr w:type="spellEnd"/>
      <w:r w:rsidRPr="00B04ABC">
        <w:rPr>
          <w:rFonts w:asciiTheme="minorHAnsi" w:hAnsiTheme="minorHAnsi" w:cstheme="minorHAnsi"/>
          <w:b/>
          <w:bCs/>
          <w:i/>
        </w:rPr>
        <w:t xml:space="preserve"> </w:t>
      </w:r>
      <w:proofErr w:type="spellStart"/>
      <w:r w:rsidRPr="00B04ABC">
        <w:rPr>
          <w:rFonts w:asciiTheme="minorHAnsi" w:hAnsiTheme="minorHAnsi" w:cstheme="minorHAnsi"/>
          <w:b/>
          <w:bCs/>
          <w:i/>
        </w:rPr>
        <w:t>Adó</w:t>
      </w:r>
      <w:proofErr w:type="spellEnd"/>
      <w:r w:rsidRPr="00B04ABC">
        <w:rPr>
          <w:rFonts w:ascii="Cambria Math" w:hAnsi="Cambria Math" w:cs="Cambria Math"/>
          <w:b/>
          <w:bCs/>
          <w:i/>
        </w:rPr>
        <w:t>‑</w:t>
      </w:r>
      <w:r w:rsidRPr="00B04ABC">
        <w:rPr>
          <w:rFonts w:asciiTheme="minorHAnsi" w:hAnsiTheme="minorHAnsi" w:cstheme="minorHAnsi"/>
          <w:b/>
          <w:bCs/>
          <w:i/>
        </w:rPr>
        <w:t xml:space="preserve"> </w:t>
      </w:r>
      <w:proofErr w:type="spellStart"/>
      <w:r w:rsidRPr="00B04ABC">
        <w:rPr>
          <w:rFonts w:asciiTheme="minorHAnsi" w:hAnsiTheme="minorHAnsi" w:cstheme="minorHAnsi"/>
          <w:b/>
          <w:bCs/>
          <w:i/>
        </w:rPr>
        <w:t>és</w:t>
      </w:r>
      <w:proofErr w:type="spellEnd"/>
      <w:r w:rsidRPr="00B04ABC">
        <w:rPr>
          <w:rFonts w:asciiTheme="minorHAnsi" w:hAnsiTheme="minorHAnsi" w:cstheme="minorHAnsi"/>
          <w:b/>
          <w:bCs/>
          <w:i/>
        </w:rPr>
        <w:t xml:space="preserve"> </w:t>
      </w:r>
      <w:proofErr w:type="spellStart"/>
      <w:r w:rsidRPr="00B04ABC">
        <w:rPr>
          <w:rFonts w:asciiTheme="minorHAnsi" w:hAnsiTheme="minorHAnsi" w:cstheme="minorHAnsi"/>
          <w:b/>
          <w:bCs/>
          <w:i/>
        </w:rPr>
        <w:t>Vámhivatal</w:t>
      </w:r>
      <w:proofErr w:type="spellEnd"/>
      <w:r w:rsidRPr="00B04ABC">
        <w:rPr>
          <w:rFonts w:asciiTheme="minorHAnsi" w:hAnsiTheme="minorHAnsi" w:cstheme="minorHAnsi"/>
          <w:b/>
          <w:bCs/>
          <w:i/>
        </w:rPr>
        <w:t xml:space="preserve"> </w:t>
      </w:r>
      <w:proofErr w:type="spellStart"/>
      <w:r w:rsidRPr="00B04ABC">
        <w:rPr>
          <w:rFonts w:asciiTheme="minorHAnsi" w:hAnsiTheme="minorHAnsi" w:cstheme="minorHAnsi"/>
          <w:b/>
          <w:bCs/>
          <w:i/>
        </w:rPr>
        <w:t>Fellebbviteli</w:t>
      </w:r>
      <w:proofErr w:type="spellEnd"/>
      <w:r w:rsidRPr="00B04ABC">
        <w:rPr>
          <w:rFonts w:asciiTheme="minorHAnsi" w:hAnsiTheme="minorHAnsi" w:cstheme="minorHAnsi"/>
          <w:b/>
          <w:bCs/>
          <w:i/>
        </w:rPr>
        <w:t xml:space="preserve"> </w:t>
      </w:r>
      <w:proofErr w:type="spellStart"/>
      <w:r w:rsidRPr="00B04ABC">
        <w:rPr>
          <w:rFonts w:asciiTheme="minorHAnsi" w:hAnsiTheme="minorHAnsi" w:cstheme="minorHAnsi"/>
          <w:b/>
          <w:bCs/>
          <w:i/>
        </w:rPr>
        <w:t>Igazgatósága</w:t>
      </w:r>
      <w:proofErr w:type="spellEnd"/>
    </w:p>
    <w:p w14:paraId="0DB4E484" w14:textId="77777777" w:rsidR="005E5E25" w:rsidRPr="00332E77" w:rsidRDefault="005E5E25" w:rsidP="005E5E25">
      <w:pPr>
        <w:ind w:firstLine="540"/>
        <w:rPr>
          <w:rFonts w:asciiTheme="minorHAnsi" w:hAnsiTheme="minorHAnsi" w:cstheme="minorHAnsi"/>
        </w:rPr>
      </w:pPr>
    </w:p>
    <w:p w14:paraId="6FAF55DF"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 xml:space="preserve">Prašymas priimti </w:t>
      </w:r>
      <w:proofErr w:type="spellStart"/>
      <w:r w:rsidRPr="00332E77">
        <w:rPr>
          <w:rFonts w:asciiTheme="minorHAnsi" w:hAnsiTheme="minorHAnsi" w:cstheme="minorHAnsi"/>
        </w:rPr>
        <w:t>prejudicinį</w:t>
      </w:r>
      <w:proofErr w:type="spellEnd"/>
      <w:r w:rsidRPr="00332E77">
        <w:rPr>
          <w:rFonts w:asciiTheme="minorHAnsi" w:hAnsiTheme="minorHAnsi" w:cstheme="minorHAnsi"/>
        </w:rPr>
        <w:t xml:space="preserve"> sprendimą buvo pateiktas dėl 2006 m. lapkričio 28 d. Tarybos direktyvos 2006/112/EB dėl pridėtinės vertės mokesčio bendros sistemos (toliau – Direktyva 2006/112), ir proporcingumo, mokesčių neutralumo ir veiksmingumo principų išaiškinimo. Prašymas pateiktas nagrinėjant </w:t>
      </w:r>
      <w:r w:rsidRPr="00332E77">
        <w:rPr>
          <w:rFonts w:asciiTheme="minorHAnsi" w:hAnsiTheme="minorHAnsi" w:cstheme="minorHAnsi"/>
          <w:i/>
        </w:rPr>
        <w:t xml:space="preserve">PORR </w:t>
      </w:r>
      <w:proofErr w:type="spellStart"/>
      <w:r w:rsidRPr="00332E77">
        <w:rPr>
          <w:rFonts w:asciiTheme="minorHAnsi" w:hAnsiTheme="minorHAnsi" w:cstheme="minorHAnsi"/>
          <w:i/>
        </w:rPr>
        <w:t>Építési</w:t>
      </w:r>
      <w:proofErr w:type="spellEnd"/>
      <w:r w:rsidRPr="00332E77">
        <w:rPr>
          <w:rFonts w:asciiTheme="minorHAnsi" w:hAnsiTheme="minorHAnsi" w:cstheme="minorHAnsi"/>
          <w:i/>
        </w:rPr>
        <w:t xml:space="preserve"> </w:t>
      </w:r>
      <w:proofErr w:type="spellStart"/>
      <w:r w:rsidRPr="00332E77">
        <w:rPr>
          <w:rFonts w:asciiTheme="minorHAnsi" w:hAnsiTheme="minorHAnsi" w:cstheme="minorHAnsi"/>
          <w:i/>
        </w:rPr>
        <w:t>Kft</w:t>
      </w:r>
      <w:proofErr w:type="spellEnd"/>
      <w:r w:rsidRPr="00332E77">
        <w:rPr>
          <w:rFonts w:asciiTheme="minorHAnsi" w:hAnsiTheme="minorHAnsi" w:cstheme="minorHAnsi"/>
          <w:i/>
        </w:rPr>
        <w:t>.</w:t>
      </w:r>
      <w:r w:rsidRPr="00332E77">
        <w:rPr>
          <w:rFonts w:asciiTheme="minorHAnsi" w:hAnsiTheme="minorHAnsi" w:cstheme="minorHAnsi"/>
        </w:rPr>
        <w:t xml:space="preserve"> (toliau – </w:t>
      </w:r>
      <w:r w:rsidRPr="00B04ABC">
        <w:rPr>
          <w:rFonts w:asciiTheme="minorHAnsi" w:hAnsiTheme="minorHAnsi" w:cstheme="minorHAnsi"/>
        </w:rPr>
        <w:t>PORR)</w:t>
      </w:r>
      <w:r w:rsidRPr="00332E77">
        <w:rPr>
          <w:rFonts w:asciiTheme="minorHAnsi" w:hAnsiTheme="minorHAnsi" w:cstheme="minorHAnsi"/>
        </w:rPr>
        <w:t xml:space="preserve"> </w:t>
      </w:r>
      <w:r>
        <w:rPr>
          <w:rFonts w:asciiTheme="minorHAnsi" w:hAnsiTheme="minorHAnsi" w:cstheme="minorHAnsi"/>
        </w:rPr>
        <w:t>i</w:t>
      </w:r>
      <w:r w:rsidRPr="00332E77">
        <w:rPr>
          <w:rFonts w:asciiTheme="minorHAnsi" w:hAnsiTheme="minorHAnsi" w:cstheme="minorHAnsi"/>
        </w:rPr>
        <w:t>r</w:t>
      </w:r>
      <w:r>
        <w:rPr>
          <w:rFonts w:asciiTheme="minorHAnsi" w:hAnsiTheme="minorHAnsi" w:cstheme="minorHAnsi"/>
        </w:rPr>
        <w:t xml:space="preserve"> </w:t>
      </w:r>
      <w:r w:rsidRPr="00332E77">
        <w:rPr>
          <w:rFonts w:asciiTheme="minorHAnsi" w:hAnsiTheme="minorHAnsi" w:cstheme="minorHAnsi"/>
        </w:rPr>
        <w:t>Vengrijos mokesčių administratoriaus ginčą dėl nurodytos įmonės mokesčių perskaičiavimo, atlikto dėl nacionalinės nuostatos, susijusios su atvirkštinio apmokestinimo pridėtinės vertės mokesčiu (PVM) mechanizmu, netaikymo.</w:t>
      </w:r>
    </w:p>
    <w:p w14:paraId="347E3583"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lastRenderedPageBreak/>
        <w:t>Pagrindinėje byloje nustatyta, kad PORR priėmė bent iš trijų tiekėjų sąskaitas faktūras, kurios išrašytos pagal įprastą apmokestinimo sistemą ir kuriose buvo nurodytas PVM. PORR apmokėjo šias sąskaitas faktūras, atskaitė nurodytas PVM sumas ir paprašė jas grąžinti. Vis dėlto mokesčių administratorius konstatavo, kad sąskaitos faktūros buvo susijusios su pagrindine statybos veikla ir kad pagal taikytinas nacionalines taisykles joms turėjo būti taikomas atvirkštinio apmokestinimo PVM mechanizmas. Sąskaitas faktūras išrašę asmenys turėjo jas išrašyti be PVM arba nurodyti, kad taikomas atvirkštinio apmokestinimo mechanizmas. Atitinkamai mokesčių administratorius nurodė sumokėti atskaitytas PVM sumas (15–18 punktai).</w:t>
      </w:r>
    </w:p>
    <w:p w14:paraId="68D7B2D6"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Ginčui pasiekus teismą, šis nutarė sustab</w:t>
      </w:r>
      <w:r>
        <w:rPr>
          <w:rFonts w:asciiTheme="minorHAnsi" w:hAnsiTheme="minorHAnsi" w:cstheme="minorHAnsi"/>
        </w:rPr>
        <w:t>d</w:t>
      </w:r>
      <w:r w:rsidRPr="00332E77">
        <w:rPr>
          <w:rFonts w:asciiTheme="minorHAnsi" w:hAnsiTheme="minorHAnsi" w:cstheme="minorHAnsi"/>
        </w:rPr>
        <w:t>yti bylos nagrinėjimą ir kreiptis į Teisingumo Teismą su prašymu išaiškinti, ar Direktyvą 2006/112 ir proporcingumo, mokesčių neutralumo ir veiksmingumo principus reikia aiškinti taip, kad pagal juos draudžiama mokesčių administratoriaus praktika, pagal kurią, nesant įtarimų dėl sukčiavimo, ši institucija nesuteikia įmonei teisės atskaityti PVM, kurį ši įmonė, kaip paslaugų gavėja, nepagrįstai sumokėjo šių paslaugų teikėjui pagal sąskaitą faktūrą, kurią jis išrašė remdamasis įprastomis PVM taisyklėmis, nors atitinkamam sandoriui turėjo būti taikomas atvirkštinio apmokestinimo mechanizmas, kai prieš atsisakydama suteikti teisę į atskaitą ši mokesčių institucija:</w:t>
      </w:r>
    </w:p>
    <w:p w14:paraId="35F4AA30"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 neišnagrinėja, ar šią klaidingą sąskaitą faktūrą išrašęs asmuo gali grąžinti klaidingai sumokėto PVM sumą šios sąskaitos faktūros adresatui ir ar gali ištaisyti šią sąskaitą faktūrą pagal savikontrolės procedūrą vadovaudamasis taikomais nacionalinės teisės aktais, jog susigrąžintų nepagrįstai sumokėtą mokestį į valstybės iždą, arba</w:t>
      </w:r>
    </w:p>
    <w:p w14:paraId="0631C33D"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 nenusprendžia pati grąžinti tos pačios sąskaitos faktūros adresatui mokesčio, kurį jis neteisingai sumokėjo ją išrašiusiam asmeniui ir kurį pastarasis vėliau sumokėjo į valstybės biudžetą (27 punktas).</w:t>
      </w:r>
    </w:p>
    <w:p w14:paraId="3E1BBFCB" w14:textId="77777777" w:rsidR="005E5E25" w:rsidRPr="00332E77" w:rsidRDefault="005E5E25" w:rsidP="005E5E25">
      <w:pPr>
        <w:ind w:firstLine="540"/>
        <w:rPr>
          <w:rFonts w:asciiTheme="minorHAnsi" w:hAnsiTheme="minorHAnsi" w:cstheme="minorHAnsi"/>
        </w:rPr>
      </w:pPr>
    </w:p>
    <w:p w14:paraId="4999B745" w14:textId="4C8542F0" w:rsidR="005E5E25" w:rsidRPr="00F72279" w:rsidRDefault="005E5E25" w:rsidP="005F534F">
      <w:pPr>
        <w:pStyle w:val="Antrat3"/>
        <w:ind w:firstLine="567"/>
        <w:rPr>
          <w:rFonts w:cstheme="minorHAnsi"/>
          <w:b w:val="0"/>
          <w:bCs w:val="0"/>
        </w:rPr>
      </w:pPr>
      <w:bookmarkStart w:id="108" w:name="_Toc11164520"/>
      <w:bookmarkStart w:id="109" w:name="_Toc11232478"/>
      <w:bookmarkStart w:id="110" w:name="_Toc11232769"/>
      <w:bookmarkStart w:id="111" w:name="_Toc11758005"/>
      <w:r w:rsidRPr="00F72279">
        <w:rPr>
          <w:rFonts w:cstheme="minorHAnsi"/>
        </w:rPr>
        <w:t>Dėl teisės į PVM atskaitą, kai atvirkštinio apmokestinimo atveju paslaugų gavėjas apmoka PVM sąskaitą faktūrą su jame nepagrįstai išskirtu PVM paslaugų teikėjui</w:t>
      </w:r>
      <w:bookmarkEnd w:id="108"/>
      <w:bookmarkEnd w:id="109"/>
      <w:bookmarkEnd w:id="110"/>
      <w:bookmarkEnd w:id="111"/>
    </w:p>
    <w:p w14:paraId="2918BAD1" w14:textId="77777777" w:rsidR="005E5E25" w:rsidRPr="00332E77" w:rsidRDefault="005E5E25" w:rsidP="005E5E25">
      <w:pPr>
        <w:ind w:firstLine="540"/>
        <w:rPr>
          <w:rFonts w:asciiTheme="minorHAnsi" w:hAnsiTheme="minorHAnsi" w:cstheme="minorHAnsi"/>
        </w:rPr>
      </w:pPr>
    </w:p>
    <w:p w14:paraId="34C3BB38"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Šiuo klausimu Teisingumo Teismas pirmiausia akcentavo, kad taikant atvirkštinio apmokestinimo mechanizmą neatliekama PVM mokėjimo tarp paslaugų teikėjo ir gavėjo, nes pastarasis turi pareigą sumokėti pirkimo PVM už įvykdytus sandorius ir iš esmės gali atskaityti šį mokestį taip, kad jokia suma nebūtų mokėtina mokesčių administratoriui (30 punktas). Kalbant apie PVM atskaitos taikymo tvarką atvirkštinio apmokestinimo atveju, numatytu Direktyvos 2006/112 199 straipsnio 1 dalyje, apmokestinamasis asmuo, kuris kaip paslaugų gavėjas turi prievolę sumokėti su ja susijusį PVM, neprivalo turėti sąskaitos faktūros, išrašytos remiantis formaliomis PVM direktyvos sąlygomis, kad galėtų naudotis teise į atskaitą, ir, naudodamasis galimybe, kuri jam numatyta šio 178 straipsnio f punkte, turi laikytis tik atitinkamos valstybės narės nustatytų formalumų (33 punktas).</w:t>
      </w:r>
    </w:p>
    <w:p w14:paraId="53F21E45"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 xml:space="preserve">Tačiau pagrindinėje nagrinėtu atveju ginčo sąskaitos faktūros neatitiko formalių reikalavimų, numatytų nacionalinės teisės aktuose, kuriais perkelta į nacionalinę teisę ši direktyva, nebuvo laikytasi esminio šio mechanizmo reikalavimo, t. y. nėra PVM mokėjimo mokesčių institucijoms, kurį turėjo atlikti apmokestinamasis asmuo, prašantis grąžinti šį mokestį. </w:t>
      </w:r>
      <w:r w:rsidRPr="00332E77">
        <w:rPr>
          <w:rFonts w:asciiTheme="minorHAnsi" w:hAnsiTheme="minorHAnsi" w:cstheme="minorHAnsi"/>
          <w:u w:val="single"/>
        </w:rPr>
        <w:t>Tokia situacija mokesčių institucijai trukdo kontroliuoti, kaip taikomas atvirkštinio apmokestinimo mechanizmas, ir sukelia atitinkamai valstybei narei grėsmę, kad bus prarastos mokestinės pajamos</w:t>
      </w:r>
      <w:r w:rsidRPr="00332E77">
        <w:rPr>
          <w:rFonts w:asciiTheme="minorHAnsi" w:hAnsiTheme="minorHAnsi" w:cstheme="minorHAnsi"/>
        </w:rPr>
        <w:t xml:space="preserve"> (35 punktas). Be to, PORR </w:t>
      </w:r>
      <w:r w:rsidRPr="00332E77">
        <w:rPr>
          <w:rFonts w:asciiTheme="minorHAnsi" w:hAnsiTheme="minorHAnsi" w:cstheme="minorHAnsi"/>
          <w:u w:val="single"/>
        </w:rPr>
        <w:t>sumokėtas PVM sąskaitas faktūras išrašiusiems asmenims nebuvo mokėtinas, o teisės į atskaitą taikymas apsiriboja tik mokėtinais mokesčiais</w:t>
      </w:r>
      <w:r w:rsidRPr="00332E77">
        <w:rPr>
          <w:rFonts w:asciiTheme="minorHAnsi" w:hAnsiTheme="minorHAnsi" w:cstheme="minorHAnsi"/>
        </w:rPr>
        <w:t xml:space="preserve">, t. y. mokesčiais, susijusiais su PVM apmokestinamu sandoriu, ar sumokėtais mokesčiais, jei jie buvo mokėtini (36 punktas). Kadangi PORR nesilaikė esminio atvirkštinio apmokestinimo mechanizmo reikalavimo ir PVM, kurį ji sumokėjo paslaugų teikėjui, nebuvo mokėtinas, </w:t>
      </w:r>
      <w:r w:rsidRPr="00332E77">
        <w:rPr>
          <w:rFonts w:asciiTheme="minorHAnsi" w:hAnsiTheme="minorHAnsi" w:cstheme="minorHAnsi"/>
          <w:u w:val="single"/>
        </w:rPr>
        <w:t>ši bendrovė negalėjo pasinaudoti teise į minėto PVM atskaitą</w:t>
      </w:r>
      <w:r w:rsidRPr="00332E77">
        <w:rPr>
          <w:rFonts w:asciiTheme="minorHAnsi" w:hAnsiTheme="minorHAnsi" w:cstheme="minorHAnsi"/>
        </w:rPr>
        <w:t xml:space="preserve"> (37 punktas).</w:t>
      </w:r>
    </w:p>
    <w:p w14:paraId="0A802F7C" w14:textId="77777777" w:rsidR="005E5E25" w:rsidRPr="00332E77" w:rsidRDefault="005E5E25" w:rsidP="005E5E25">
      <w:pPr>
        <w:ind w:firstLine="540"/>
        <w:rPr>
          <w:rFonts w:asciiTheme="minorHAnsi" w:hAnsiTheme="minorHAnsi" w:cstheme="minorHAnsi"/>
        </w:rPr>
      </w:pPr>
    </w:p>
    <w:p w14:paraId="72AA6988" w14:textId="45955DA3" w:rsidR="005E5E25" w:rsidRPr="00F72279" w:rsidRDefault="005E5E25" w:rsidP="005F534F">
      <w:pPr>
        <w:pStyle w:val="Antrat3"/>
        <w:ind w:firstLine="567"/>
        <w:rPr>
          <w:rFonts w:cstheme="minorHAnsi"/>
          <w:b w:val="0"/>
          <w:bCs w:val="0"/>
        </w:rPr>
      </w:pPr>
      <w:bookmarkStart w:id="112" w:name="_Toc11164521"/>
      <w:bookmarkStart w:id="113" w:name="_Toc11232479"/>
      <w:bookmarkStart w:id="114" w:name="_Toc11232770"/>
      <w:bookmarkStart w:id="115" w:name="_Toc11758006"/>
      <w:r w:rsidRPr="00F72279">
        <w:rPr>
          <w:rFonts w:cstheme="minorHAnsi"/>
        </w:rPr>
        <w:t>Dėl teisės paslaugų gavėjui susigrąžinti paslaugų teikėjui klaidingai sumokėtą PVM, kur</w:t>
      </w:r>
      <w:r>
        <w:rPr>
          <w:rFonts w:cstheme="minorHAnsi"/>
        </w:rPr>
        <w:t>į</w:t>
      </w:r>
      <w:r w:rsidRPr="00F72279">
        <w:rPr>
          <w:rFonts w:cstheme="minorHAnsi"/>
        </w:rPr>
        <w:t xml:space="preserve"> pastarasis sumokėjo į valstybės biudžetą, atvirkštinio apmokestinimo atveju</w:t>
      </w:r>
      <w:bookmarkEnd w:id="112"/>
      <w:bookmarkEnd w:id="113"/>
      <w:bookmarkEnd w:id="114"/>
      <w:bookmarkEnd w:id="115"/>
    </w:p>
    <w:p w14:paraId="0E9F7D2C"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ab/>
      </w:r>
    </w:p>
    <w:p w14:paraId="1791B0B7"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Toliau Teisin</w:t>
      </w:r>
      <w:r>
        <w:rPr>
          <w:rFonts w:asciiTheme="minorHAnsi" w:hAnsiTheme="minorHAnsi" w:cstheme="minorHAnsi"/>
        </w:rPr>
        <w:t>g</w:t>
      </w:r>
      <w:r w:rsidRPr="00332E77">
        <w:rPr>
          <w:rFonts w:asciiTheme="minorHAnsi" w:hAnsiTheme="minorHAnsi" w:cstheme="minorHAnsi"/>
        </w:rPr>
        <w:t xml:space="preserve">umo Teismas sprendė, ar prieš atsisakydama suteikti teisę į PVM atskaitą apmokestinamajam asmeniui, kuris jį neteisingai sumokėjo sąskaitas faktūras išrašiusiems asmenims, kaip antai aptariamiems pagrindinėje byloje, mokesčių institucija turi patikrinti, ar šie asmenys gali ištaisyti minėtas sąskaitas faktūras ir grąžinti apmokestinamajam asmeniui jose nurodytą PVM sumą. Anot PORR, jei būtų pripažinta, kad mokesčių institucija gali nesuteikti teisės į PVM atskaitą sąskaitų faktūrų adresatui ir tuo pačiu metu nereikalauti iš šias sąskaitas faktūras išrašiusių asmenų taikyti atvirkštinio apmokestinimo </w:t>
      </w:r>
      <w:r w:rsidRPr="00332E77">
        <w:rPr>
          <w:rFonts w:asciiTheme="minorHAnsi" w:hAnsiTheme="minorHAnsi" w:cstheme="minorHAnsi"/>
        </w:rPr>
        <w:lastRenderedPageBreak/>
        <w:t>mechanizmo ir jų ištaisyti, šis minėtų sąskaitų faktūrų adresatas būtų apmokestinamas dvigubai. Šiuo atveju PORR manė, kad pagal nacionalines taisykles, taikomas mokestiniams patikrinimams, sąskaitas faktūras išrašę asmenys negalėtų jų ištaisyti (38 punktas).</w:t>
      </w:r>
    </w:p>
    <w:p w14:paraId="4B352B01" w14:textId="218D35A8"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 xml:space="preserve">Šiuo klausimu Teisingumo Teismas priminė, kad </w:t>
      </w:r>
      <w:r w:rsidRPr="00332E77">
        <w:rPr>
          <w:rFonts w:asciiTheme="minorHAnsi" w:hAnsiTheme="minorHAnsi" w:cstheme="minorHAnsi"/>
          <w:u w:val="single"/>
        </w:rPr>
        <w:t>sistema, pagal kurią, pirma, paslaugų teikėjas, kuris per klaidą sumokėjo į nacionalinį biudžetą PVM, gali prašyti jį grąžinti ir, antra, paslaugų gavėjas gali šiam paslaugų teikėjui pareikšti ieškinį dėl į nacionalinį biudžetą sumokėto PVM išieškojimo civiline tvarka, laikomasi neutralumo ir veiksmingumo principų</w:t>
      </w:r>
      <w:r w:rsidRPr="00332E77">
        <w:rPr>
          <w:rFonts w:asciiTheme="minorHAnsi" w:hAnsiTheme="minorHAnsi" w:cstheme="minorHAnsi"/>
        </w:rPr>
        <w:t>. Iš tikrųjų, pagal tokią sistemą paslaugų gavėjas, kuriam teko sąskaitoje faktūroje klaidingai nurodyto mokesčio našta, gali susigrąžinti nepagrįstai sumokėtas sumas (40</w:t>
      </w:r>
      <w:r w:rsidR="00B04ABC">
        <w:rPr>
          <w:rFonts w:asciiTheme="minorHAnsi" w:hAnsiTheme="minorHAnsi" w:cstheme="minorHAnsi"/>
        </w:rPr>
        <w:t> </w:t>
      </w:r>
      <w:r w:rsidRPr="00332E77">
        <w:rPr>
          <w:rFonts w:asciiTheme="minorHAnsi" w:hAnsiTheme="minorHAnsi" w:cstheme="minorHAnsi"/>
        </w:rPr>
        <w:t xml:space="preserve">punktas). Vis dėlto Teisingumo Teismas pažymėjo, kad </w:t>
      </w:r>
      <w:r w:rsidRPr="00332E77">
        <w:rPr>
          <w:rFonts w:asciiTheme="minorHAnsi" w:hAnsiTheme="minorHAnsi" w:cstheme="minorHAnsi"/>
          <w:u w:val="single"/>
        </w:rPr>
        <w:t>tokiu atveju, kai paslaugų teikėjui faktiškai sumokėjus PVM į valstybės biudžetą, paaiškėja, jog jis negali grąžinti PVM paslaugų gavėjui arba tai yra pernelyg sudėtinga, pavyzdžiui, minėto paslaugų teikėjo nemokumo atveju, pagal veiksmingumo principą gali būti reikalaujama, kad paslaugų gavėjas pateiktų savo prašymą grąžinti PVM tiesiogiai mokesčių institucijoms. Tokiu atveju valstybės narės turi numatyti priemones ir procedūrinę tvarką, kurios yra būtinos siekiant leisti paslaugų gavėjui susigrąžinti sąskaitoje faktūroje klaidingai nurodytą mokestį laikantis veiksmingumo principo</w:t>
      </w:r>
      <w:r w:rsidRPr="00332E77">
        <w:rPr>
          <w:rFonts w:asciiTheme="minorHAnsi" w:hAnsiTheme="minorHAnsi" w:cstheme="minorHAnsi"/>
        </w:rPr>
        <w:t xml:space="preserve"> (42 punktas).</w:t>
      </w:r>
    </w:p>
    <w:p w14:paraId="51BFACFD"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Dėl galimos mokesčių institucijos pareigos patikrinti, ar teisiškai įmanoma ištaisyti aptariamas sąskaitas faktūras ir ar šias sąskaitas faktūras išrašęs asmuo teisiškai gali susigrąžinti nepagrįstai sumokėtą į valstybės biudžetą PVM, Europos Sąjungos teisminė institucija priminė, kad ginčas pagrindinėje byloje susijęs su tuo, jog mokesčių institucija atmetė minėtų sąskaitų faktūrų adresato prašymą leisti atskaityti PVM. Galimybė tokias sąskaitas faktūras išrašiusiam asmeniui ištaisyti jas arba susigrąžinti nepagrįstai sumokėtą į valstybės biudžetą mokestį yra aspektas, kurį reikia patikrinti siekiant nustatyti, ar aptariamų sąskaitų faktūrų adresatas gali pateikti prašymą grąžinti mokestį tiesiogiai mokesčių institucijai. Tačiau šis aspektas nėra svarbus siekiant nustatyti, ar tai, kad mokesčių institucija atmetė sąskaitos faktūros adresato prašymą leisti atskaityti PVM, yra suderinama su Sąjungos teise tokiu atveju, kaip nagrinėtas pagrindinėje byloje (46 punktas). Atitinkamai Teisingumo Teismas darė išvadą,</w:t>
      </w:r>
      <w:r w:rsidRPr="00332E77">
        <w:rPr>
          <w:rFonts w:asciiTheme="minorHAnsi" w:hAnsiTheme="minorHAnsi" w:cstheme="minorHAnsi"/>
          <w:u w:val="single"/>
        </w:rPr>
        <w:t xml:space="preserve"> kad atsižvelgiant į tai, jog pagal Vengrijos sistemą PORR gali susigrąžinti PVM, kurį ji nepagrįstai sumokėjo aptariamiems sąskaitas faktūras išrašiusiems asmenims, prieš atmesdama prašymą leisti atskaityti PVM mokesčių institucija neturi nei patikrinti, ar sąskaitas faktūras išrašę asmenys gali ištaisyti jas pagal nacionalinės teisės aktus, nei nurodyti jas ištaisyti</w:t>
      </w:r>
      <w:r w:rsidRPr="00332E77">
        <w:rPr>
          <w:rFonts w:asciiTheme="minorHAnsi" w:hAnsiTheme="minorHAnsi" w:cstheme="minorHAnsi"/>
        </w:rPr>
        <w:t xml:space="preserve"> (47 punktas).</w:t>
      </w:r>
    </w:p>
    <w:p w14:paraId="415C47C4" w14:textId="77777777" w:rsidR="005E5E25" w:rsidRPr="00332E77" w:rsidRDefault="005E5E25" w:rsidP="005E5E25">
      <w:pPr>
        <w:ind w:firstLine="540"/>
        <w:rPr>
          <w:rFonts w:asciiTheme="minorHAnsi" w:hAnsiTheme="minorHAnsi" w:cstheme="minorHAnsi"/>
        </w:rPr>
      </w:pPr>
    </w:p>
    <w:p w14:paraId="0C3A0C96" w14:textId="77777777" w:rsidR="005E5E25" w:rsidRPr="00332E77" w:rsidRDefault="005E5E25" w:rsidP="005E5E25">
      <w:pPr>
        <w:ind w:firstLine="540"/>
        <w:rPr>
          <w:rFonts w:asciiTheme="minorHAnsi" w:hAnsiTheme="minorHAnsi" w:cstheme="minorHAnsi"/>
          <w:b/>
        </w:rPr>
      </w:pPr>
      <w:r w:rsidRPr="00332E77">
        <w:rPr>
          <w:rFonts w:asciiTheme="minorHAnsi" w:hAnsiTheme="minorHAnsi" w:cstheme="minorHAnsi"/>
          <w:b/>
        </w:rPr>
        <w:t>Remdamasis šiais motyvais, Teisingumo Teismas (dešimtoji kolegija) nusprendžia:</w:t>
      </w:r>
    </w:p>
    <w:p w14:paraId="2A019CED" w14:textId="77777777" w:rsidR="005E5E25" w:rsidRPr="00332E77" w:rsidRDefault="005E5E25" w:rsidP="005E5E25">
      <w:pPr>
        <w:ind w:firstLine="540"/>
        <w:rPr>
          <w:rFonts w:asciiTheme="minorHAnsi" w:hAnsiTheme="minorHAnsi" w:cstheme="minorHAnsi"/>
        </w:rPr>
      </w:pPr>
    </w:p>
    <w:p w14:paraId="1AEE000C"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 xml:space="preserve">Direktyvą 2006/112 ir mokesčių neutralumo ir veiksmingumo principus reikia aiškinti taip, kad pagal juos </w:t>
      </w:r>
      <w:r w:rsidRPr="00332E77">
        <w:rPr>
          <w:rFonts w:asciiTheme="minorHAnsi" w:hAnsiTheme="minorHAnsi" w:cstheme="minorHAnsi"/>
          <w:u w:val="single"/>
        </w:rPr>
        <w:t>nedraudžiama mokesčių administratoriaus praktika</w:t>
      </w:r>
      <w:r w:rsidRPr="00332E77">
        <w:rPr>
          <w:rFonts w:asciiTheme="minorHAnsi" w:hAnsiTheme="minorHAnsi" w:cstheme="minorHAnsi"/>
        </w:rPr>
        <w:t>, pagal kurią, nesant įtarimų dėl sukčiavimo, ši institucija nesuteikia įmonei teisės atskaityti pridėtinės vertės mokestį (PVM), kurį ši įmonė, kaip paslaugų gavėja, nepagrįstai sumokėjo šių paslaugų teikėjui pagal sąskaitą faktūrą, kurią jis išrašė remdamasis įprastomis PVM taisyklėmis, nors atitinkamam sandoriui turėjo būti taikomas atvirkštinio apmokestinimo mechanizmas, kai prieš atsisakydama suteikti teisę į atskaitą ši mokesčių institucija:</w:t>
      </w:r>
    </w:p>
    <w:p w14:paraId="37849EEE"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 neišnagrinėja, ar šią klaidingą sąskaitą faktūrą išrašęs asmuo gali grąžinti klaidingai sumokėto PVM sumą šios sąskaitos faktūros adresatui ir ar gali ištaisyti šią sąskaitą faktūrą pagal savikontrolės procedūrą vadovaudamasis taikomais nacionalinės teisės aktais, jog susigrąžintų nepagrįstai sumokėtą mokestį į valstybės iždą, arba</w:t>
      </w:r>
    </w:p>
    <w:p w14:paraId="75D1F0BE"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 nenusprendžia pati grąžinti tos pačios sąskaitos faktūros adresatui mokesčio, kurį jis neteisingai sumokėjo ją išrašiusiam asmeniui ir kurį pastarasis vėliau sumokėjo į valstybės biudžetą.</w:t>
      </w:r>
    </w:p>
    <w:p w14:paraId="120D9287"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 xml:space="preserve">Vis dėlto </w:t>
      </w:r>
      <w:r w:rsidRPr="00332E77">
        <w:rPr>
          <w:rFonts w:asciiTheme="minorHAnsi" w:hAnsiTheme="minorHAnsi" w:cstheme="minorHAnsi"/>
          <w:u w:val="single"/>
        </w:rPr>
        <w:t>šie principai reikalauja, kad jei iš paslaugų teikėjo jų gavėjui neįmanoma arba pernelyg sudėtinga susigrąžinti PVM, ypač teikėjo nemokumo atveju, paslaugų gavėjas turi galėti pateikti prašymą grąžinti tiesiogiai mokesčių institucijai</w:t>
      </w:r>
      <w:r w:rsidRPr="00332E77">
        <w:rPr>
          <w:rFonts w:asciiTheme="minorHAnsi" w:hAnsiTheme="minorHAnsi" w:cstheme="minorHAnsi"/>
        </w:rPr>
        <w:t>.</w:t>
      </w:r>
    </w:p>
    <w:p w14:paraId="2DBAEEEE" w14:textId="77777777" w:rsidR="005E5E25" w:rsidRPr="00332E77" w:rsidRDefault="006A47DB" w:rsidP="005E5E25">
      <w:pPr>
        <w:ind w:firstLine="540"/>
        <w:rPr>
          <w:rFonts w:asciiTheme="minorHAnsi" w:hAnsiTheme="minorHAnsi" w:cstheme="minorHAnsi"/>
        </w:rPr>
      </w:pPr>
      <w:hyperlink r:id="rId20" w:history="1">
        <w:r w:rsidR="005E5E25" w:rsidRPr="00A858F6">
          <w:rPr>
            <w:rStyle w:val="Hipersaitas"/>
            <w:rFonts w:asciiTheme="minorHAnsi" w:hAnsiTheme="minorHAnsi" w:cstheme="minorHAnsi"/>
          </w:rPr>
          <w:t>Prieiga internete</w:t>
        </w:r>
      </w:hyperlink>
    </w:p>
    <w:p w14:paraId="2821EC4C" w14:textId="344DB13E" w:rsidR="005E5E25" w:rsidRPr="00332E77" w:rsidRDefault="005E5E25" w:rsidP="005E5E25">
      <w:pPr>
        <w:pStyle w:val="Antrat1"/>
        <w:rPr>
          <w:rFonts w:cstheme="minorHAnsi"/>
        </w:rPr>
      </w:pPr>
      <w:bookmarkStart w:id="116" w:name="_Toc11164529"/>
      <w:bookmarkStart w:id="117" w:name="_Toc11232480"/>
      <w:bookmarkStart w:id="118" w:name="_Toc11232771"/>
      <w:bookmarkStart w:id="119" w:name="_Toc11758007"/>
      <w:r w:rsidRPr="00332E77">
        <w:rPr>
          <w:rFonts w:cstheme="minorHAnsi"/>
        </w:rPr>
        <w:t xml:space="preserve">FINANSŲ RINKŲ </w:t>
      </w:r>
      <w:r w:rsidRPr="005E5E25">
        <w:rPr>
          <w:rFonts w:eastAsia="Times New Roman" w:cstheme="minorHAnsi"/>
          <w:bCs/>
          <w:color w:val="17365D"/>
          <w:kern w:val="32"/>
          <w:szCs w:val="22"/>
          <w:lang w:eastAsia="lt-LT"/>
        </w:rPr>
        <w:t>PRIEŽIŪRA</w:t>
      </w:r>
      <w:bookmarkEnd w:id="116"/>
      <w:bookmarkEnd w:id="117"/>
      <w:bookmarkEnd w:id="118"/>
      <w:bookmarkEnd w:id="119"/>
    </w:p>
    <w:p w14:paraId="3872E452" w14:textId="77777777" w:rsidR="005E5E25" w:rsidRPr="00332E77" w:rsidRDefault="005E5E25" w:rsidP="005E5E25">
      <w:pPr>
        <w:ind w:firstLine="540"/>
        <w:rPr>
          <w:rFonts w:asciiTheme="minorHAnsi" w:hAnsiTheme="minorHAnsi" w:cstheme="minorHAnsi"/>
        </w:rPr>
      </w:pPr>
    </w:p>
    <w:p w14:paraId="2AADE6EC" w14:textId="0C64D378" w:rsidR="005E5E25" w:rsidRPr="00332E77" w:rsidRDefault="005E5E25" w:rsidP="005E5E25">
      <w:pPr>
        <w:pStyle w:val="Antrat2"/>
        <w:rPr>
          <w:rFonts w:cstheme="minorHAnsi"/>
        </w:rPr>
      </w:pPr>
      <w:bookmarkStart w:id="120" w:name="_Toc11164530"/>
      <w:bookmarkStart w:id="121" w:name="_Toc11232481"/>
      <w:bookmarkStart w:id="122" w:name="_Toc11232772"/>
      <w:bookmarkStart w:id="123" w:name="_Toc11758008"/>
      <w:r w:rsidRPr="00332E77">
        <w:rPr>
          <w:rFonts w:cstheme="minorHAnsi"/>
        </w:rPr>
        <w:t>2019 m. sausio 16 d.</w:t>
      </w:r>
      <w:r>
        <w:rPr>
          <w:rFonts w:cstheme="minorHAnsi"/>
        </w:rPr>
        <w:t xml:space="preserve"> </w:t>
      </w:r>
      <w:proofErr w:type="spellStart"/>
      <w:r w:rsidRPr="00332E77">
        <w:rPr>
          <w:rFonts w:cstheme="minorHAnsi"/>
        </w:rPr>
        <w:t>prejudicinis</w:t>
      </w:r>
      <w:proofErr w:type="spellEnd"/>
      <w:r w:rsidRPr="00332E77">
        <w:rPr>
          <w:rFonts w:cstheme="minorHAnsi"/>
        </w:rPr>
        <w:t xml:space="preserve"> sprendimas byloje C</w:t>
      </w:r>
      <w:r w:rsidRPr="00332E77">
        <w:rPr>
          <w:rFonts w:ascii="Cambria Math" w:hAnsi="Cambria Math" w:cs="Cambria Math"/>
        </w:rPr>
        <w:t>‑</w:t>
      </w:r>
      <w:r w:rsidRPr="00332E77">
        <w:rPr>
          <w:rFonts w:cstheme="minorHAnsi"/>
        </w:rPr>
        <w:t>389/17</w:t>
      </w:r>
      <w:bookmarkEnd w:id="120"/>
      <w:bookmarkEnd w:id="121"/>
      <w:bookmarkEnd w:id="122"/>
      <w:bookmarkEnd w:id="123"/>
    </w:p>
    <w:p w14:paraId="6C80A9FF" w14:textId="77777777" w:rsidR="005E5E25" w:rsidRPr="00B04ABC" w:rsidRDefault="005E5E25" w:rsidP="005E5E25">
      <w:pPr>
        <w:jc w:val="center"/>
        <w:rPr>
          <w:rFonts w:asciiTheme="minorHAnsi" w:hAnsiTheme="minorHAnsi" w:cstheme="minorHAnsi"/>
          <w:b/>
          <w:i/>
          <w:iCs/>
        </w:rPr>
      </w:pPr>
      <w:r w:rsidRPr="00B04ABC">
        <w:rPr>
          <w:rFonts w:asciiTheme="minorHAnsi" w:hAnsiTheme="minorHAnsi" w:cstheme="minorHAnsi"/>
          <w:b/>
          <w:i/>
          <w:iCs/>
        </w:rPr>
        <w:t>UAB „Paysera LT“</w:t>
      </w:r>
      <w:r w:rsidRPr="00B04ABC">
        <w:rPr>
          <w:rFonts w:asciiTheme="minorHAnsi" w:hAnsiTheme="minorHAnsi" w:cstheme="minorHAnsi"/>
          <w:b/>
          <w:i/>
        </w:rPr>
        <w:t xml:space="preserve"> </w:t>
      </w:r>
      <w:r w:rsidRPr="00B04ABC">
        <w:rPr>
          <w:rFonts w:asciiTheme="minorHAnsi" w:hAnsiTheme="minorHAnsi" w:cstheme="minorHAnsi"/>
          <w:b/>
          <w:bCs/>
          <w:i/>
        </w:rPr>
        <w:t>prieš</w:t>
      </w:r>
      <w:r w:rsidRPr="00B04ABC">
        <w:rPr>
          <w:rFonts w:asciiTheme="minorHAnsi" w:hAnsiTheme="minorHAnsi" w:cstheme="minorHAnsi"/>
          <w:b/>
          <w:i/>
        </w:rPr>
        <w:t xml:space="preserve"> </w:t>
      </w:r>
      <w:r w:rsidRPr="00B04ABC">
        <w:rPr>
          <w:rFonts w:asciiTheme="minorHAnsi" w:hAnsiTheme="minorHAnsi" w:cstheme="minorHAnsi"/>
          <w:b/>
          <w:i/>
          <w:iCs/>
        </w:rPr>
        <w:t>Lietuvos banką</w:t>
      </w:r>
    </w:p>
    <w:p w14:paraId="1F0699AB" w14:textId="77777777" w:rsidR="005E5E25" w:rsidRPr="00332E77" w:rsidRDefault="005E5E25" w:rsidP="005E5E25">
      <w:pPr>
        <w:ind w:firstLine="540"/>
        <w:rPr>
          <w:rFonts w:asciiTheme="minorHAnsi" w:hAnsiTheme="minorHAnsi" w:cstheme="minorHAnsi"/>
        </w:rPr>
      </w:pPr>
    </w:p>
    <w:p w14:paraId="5B41FCAD"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lastRenderedPageBreak/>
        <w:t xml:space="preserve">Prašymas priimti </w:t>
      </w:r>
      <w:proofErr w:type="spellStart"/>
      <w:r w:rsidRPr="00332E77">
        <w:rPr>
          <w:rFonts w:asciiTheme="minorHAnsi" w:hAnsiTheme="minorHAnsi" w:cstheme="minorHAnsi"/>
        </w:rPr>
        <w:t>prejudicinį</w:t>
      </w:r>
      <w:proofErr w:type="spellEnd"/>
      <w:r w:rsidRPr="00332E77">
        <w:rPr>
          <w:rFonts w:asciiTheme="minorHAnsi" w:hAnsiTheme="minorHAnsi" w:cstheme="minorHAnsi"/>
        </w:rPr>
        <w:t xml:space="preserve"> sprendimą buvo pateiktas dėl 2009 m. rugsėjo 16 d. Europos Parlamento ir Tarybos direktyvos 2009/110/EB dėl elektroninių pinigų įstaigų steigimosi, veiklos ir riziką ribojančios priežiūros, iš dalies keičiančios direktyvas 2005/60/EB ir 2006/48/EB ir panaikinančios Direktyvą 2000/46/EB (toliau – Direktyva 2009/110), 5 straipsnio 2 dalies</w:t>
      </w:r>
      <w:r w:rsidRPr="00332E77">
        <w:rPr>
          <w:rStyle w:val="Puslapioinaosnuoroda"/>
          <w:rFonts w:asciiTheme="minorHAnsi" w:hAnsiTheme="minorHAnsi" w:cstheme="minorHAnsi"/>
        </w:rPr>
        <w:footnoteReference w:id="3"/>
      </w:r>
      <w:r w:rsidRPr="00332E77">
        <w:rPr>
          <w:rFonts w:asciiTheme="minorHAnsi" w:hAnsiTheme="minorHAnsi" w:cstheme="minorHAnsi"/>
        </w:rPr>
        <w:t xml:space="preserve"> ir 6 straipsnio 1 dalies a punkto išaiškinimo. Šis prašymas pateiktas nagrinėjant bylą, pradėtą </w:t>
      </w:r>
      <w:r w:rsidRPr="00332E77">
        <w:rPr>
          <w:rFonts w:asciiTheme="minorHAnsi" w:hAnsiTheme="minorHAnsi" w:cstheme="minorHAnsi"/>
          <w:i/>
          <w:iCs/>
        </w:rPr>
        <w:t>UAB „Paysera LT“</w:t>
      </w:r>
      <w:r w:rsidRPr="00332E77">
        <w:rPr>
          <w:rFonts w:asciiTheme="minorHAnsi" w:hAnsiTheme="minorHAnsi" w:cstheme="minorHAnsi"/>
        </w:rPr>
        <w:t xml:space="preserve"> (toliau – </w:t>
      </w:r>
      <w:r w:rsidRPr="00332E77">
        <w:rPr>
          <w:rFonts w:asciiTheme="minorHAnsi" w:hAnsiTheme="minorHAnsi" w:cstheme="minorHAnsi"/>
          <w:i/>
          <w:iCs/>
        </w:rPr>
        <w:t>Paysera)</w:t>
      </w:r>
      <w:r w:rsidRPr="00332E77">
        <w:rPr>
          <w:rFonts w:asciiTheme="minorHAnsi" w:hAnsiTheme="minorHAnsi" w:cstheme="minorHAnsi"/>
        </w:rPr>
        <w:t>, dėl Lietuvos banko Priežiūros tarnybos sprendimo, kuriuo ši bendrovė buvo įspėta dėl netinkamai taikyto reikalaujamų nuosavų lėšų tam tikroms mokėjimo operacijoms skaičiavimo metodo.</w:t>
      </w:r>
    </w:p>
    <w:p w14:paraId="0D876499"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 xml:space="preserve">Pagrindinėje byloje nustatyta, kad </w:t>
      </w:r>
      <w:r w:rsidRPr="00332E77">
        <w:rPr>
          <w:rFonts w:asciiTheme="minorHAnsi" w:hAnsiTheme="minorHAnsi" w:cstheme="minorHAnsi"/>
          <w:i/>
          <w:iCs/>
        </w:rPr>
        <w:t>Paysera</w:t>
      </w:r>
      <w:r w:rsidRPr="00332E77">
        <w:rPr>
          <w:rFonts w:asciiTheme="minorHAnsi" w:hAnsiTheme="minorHAnsi" w:cstheme="minorHAnsi"/>
        </w:rPr>
        <w:t xml:space="preserve"> yra pagal Lietuvos teisę įsteigta bendrovė, turinti elektroninių pinigų įstaigos ir mokėjimo įstaigos licencijas, kurias suteikė Lietuvos bankas ir pagal kurias jai suteikta teisė leisti elektroninius pinigus, teikti su tokių pinigų leidimu susijusias paslaugas ir kitas mokėjimo paslaugas. Atlikusi </w:t>
      </w:r>
      <w:r w:rsidRPr="00332E77">
        <w:rPr>
          <w:rFonts w:asciiTheme="minorHAnsi" w:hAnsiTheme="minorHAnsi" w:cstheme="minorHAnsi"/>
          <w:i/>
          <w:iCs/>
        </w:rPr>
        <w:t>Paysera</w:t>
      </w:r>
      <w:r w:rsidRPr="00332E77">
        <w:rPr>
          <w:rFonts w:asciiTheme="minorHAnsi" w:hAnsiTheme="minorHAnsi" w:cstheme="minorHAnsi"/>
        </w:rPr>
        <w:t xml:space="preserve"> veiklos patikrinimą, Lietuvos banko Priežiūros tarnyba ginčijamu sprendimu įspėjo šią bendrovę ir įpareigojo nutraukti elektroninių pinigų įstaigų nuosavo kapitalo skaičiavimo taisyklių pažeidimą. Konkrečiai Lietuvos banko Priežiūros tarnyba atsisakė pripažinti mokėjimo paslaugomis, susijusiomis su elektroninių pinigų leidimu, toliau išvardytas ieškovės pagrindinėje byloje teikiamas paslaugas (11–13 punktai):</w:t>
      </w:r>
    </w:p>
    <w:p w14:paraId="1E2AFCB4" w14:textId="77777777" w:rsidR="005E5E25" w:rsidRPr="00332E77" w:rsidRDefault="005E5E25" w:rsidP="005E5E25">
      <w:pPr>
        <w:pStyle w:val="Sraopastraipa"/>
        <w:numPr>
          <w:ilvl w:val="0"/>
          <w:numId w:val="4"/>
        </w:numPr>
        <w:rPr>
          <w:rFonts w:asciiTheme="minorHAnsi" w:hAnsiTheme="minorHAnsi" w:cstheme="minorHAnsi"/>
        </w:rPr>
      </w:pPr>
      <w:r w:rsidRPr="00332E77">
        <w:rPr>
          <w:rFonts w:asciiTheme="minorHAnsi" w:hAnsiTheme="minorHAnsi" w:cstheme="minorHAnsi"/>
        </w:rPr>
        <w:t>elektroninių pinigų turėtojo atliktus pervedimus (mokėjimus) iš jo elektroninių pinigų sąskaitos elektroninių pinigų įstaigoje į trečiųjų asmenų sąskaitas kredito įstaigose (</w:t>
      </w:r>
      <w:r w:rsidRPr="00332E77">
        <w:rPr>
          <w:rFonts w:asciiTheme="minorHAnsi" w:hAnsiTheme="minorHAnsi" w:cstheme="minorHAnsi"/>
          <w:u w:val="single"/>
        </w:rPr>
        <w:t xml:space="preserve">toliau – </w:t>
      </w:r>
      <w:r w:rsidRPr="00332E77">
        <w:rPr>
          <w:rFonts w:asciiTheme="minorHAnsi" w:hAnsiTheme="minorHAnsi" w:cstheme="minorHAnsi"/>
          <w:b/>
          <w:bCs/>
          <w:u w:val="single"/>
        </w:rPr>
        <w:t>I paslauga</w:t>
      </w:r>
      <w:r w:rsidRPr="00332E77">
        <w:rPr>
          <w:rFonts w:asciiTheme="minorHAnsi" w:hAnsiTheme="minorHAnsi" w:cstheme="minorHAnsi"/>
        </w:rPr>
        <w:t>), ir</w:t>
      </w:r>
    </w:p>
    <w:p w14:paraId="722D44ED" w14:textId="77777777" w:rsidR="005E5E25" w:rsidRPr="00332E77" w:rsidRDefault="005E5E25" w:rsidP="005E5E25">
      <w:pPr>
        <w:pStyle w:val="Sraopastraipa"/>
        <w:numPr>
          <w:ilvl w:val="0"/>
          <w:numId w:val="4"/>
        </w:numPr>
        <w:rPr>
          <w:rFonts w:asciiTheme="minorHAnsi" w:hAnsiTheme="minorHAnsi" w:cstheme="minorHAnsi"/>
        </w:rPr>
      </w:pPr>
      <w:r w:rsidRPr="00332E77">
        <w:rPr>
          <w:rFonts w:asciiTheme="minorHAnsi" w:hAnsiTheme="minorHAnsi" w:cstheme="minorHAnsi"/>
        </w:rPr>
        <w:t>mokėjimų už klientų (prekybininkų), turinčių elektroninių pinigų sąskaitas elektroninių pinigų įstaigose, tiekiamas prekes ir (arba) teikiamas paslaugas rinkimą iš tas prekes ar paslaugas įsigyjančių asmenų, kurie nedalyvauja elektroninių pinigų sistemoje (</w:t>
      </w:r>
      <w:r w:rsidRPr="00332E77">
        <w:rPr>
          <w:rFonts w:asciiTheme="minorHAnsi" w:hAnsiTheme="minorHAnsi" w:cstheme="minorHAnsi"/>
          <w:u w:val="single"/>
        </w:rPr>
        <w:t xml:space="preserve">toliau – </w:t>
      </w:r>
      <w:r w:rsidRPr="00332E77">
        <w:rPr>
          <w:rFonts w:asciiTheme="minorHAnsi" w:hAnsiTheme="minorHAnsi" w:cstheme="minorHAnsi"/>
          <w:b/>
          <w:bCs/>
          <w:u w:val="single"/>
        </w:rPr>
        <w:t>II paslauga</w:t>
      </w:r>
      <w:r w:rsidRPr="00332E77">
        <w:rPr>
          <w:rFonts w:asciiTheme="minorHAnsi" w:hAnsiTheme="minorHAnsi" w:cstheme="minorHAnsi"/>
        </w:rPr>
        <w:t>).</w:t>
      </w:r>
    </w:p>
    <w:p w14:paraId="4DBA3980"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Ginčui pasiekus Lietuvos vyriausiąjį administracinį teismą, šis nutarė sustabdyti bylos nagrinėjimą ir kreiptis į Teisingumo Teismą su prašymu išaiškinti, ar Direktyvos 2009/110 5 straipsnio 2 dalį reikia aiškinti taip, kad elektroninių pinigų įstaigų teikiamos paslaugos atliekant mokėjimo operacijas, kaip antai nagrinėjamas pagrindinėje byloje, yra su elektroninių pinigų leidimu susijusi veikla (17 punktas).</w:t>
      </w:r>
    </w:p>
    <w:p w14:paraId="7C3CB1A6" w14:textId="77777777" w:rsidR="005E5E25" w:rsidRPr="00332E77" w:rsidRDefault="005E5E25" w:rsidP="005E5E25">
      <w:pPr>
        <w:ind w:firstLine="540"/>
        <w:rPr>
          <w:rFonts w:asciiTheme="minorHAnsi" w:hAnsiTheme="minorHAnsi" w:cstheme="minorHAnsi"/>
        </w:rPr>
      </w:pPr>
    </w:p>
    <w:p w14:paraId="3F781874" w14:textId="4B41FC1D" w:rsidR="005E5E25" w:rsidRPr="00332E77" w:rsidRDefault="005E5E25" w:rsidP="005F534F">
      <w:pPr>
        <w:pStyle w:val="Antrat3"/>
        <w:ind w:firstLine="567"/>
        <w:rPr>
          <w:rFonts w:cstheme="minorHAnsi"/>
          <w:b w:val="0"/>
          <w:bCs w:val="0"/>
        </w:rPr>
      </w:pPr>
      <w:bookmarkStart w:id="124" w:name="_Toc11164531"/>
      <w:bookmarkStart w:id="125" w:name="_Toc11232482"/>
      <w:bookmarkStart w:id="126" w:name="_Toc11232773"/>
      <w:bookmarkStart w:id="127" w:name="_Toc11758009"/>
      <w:r w:rsidRPr="00332E77">
        <w:rPr>
          <w:rFonts w:cstheme="minorHAnsi"/>
        </w:rPr>
        <w:t>Dėl mokėjimo operacijų pripažinimo susijusiomis su elektroninių pinigų leidimu</w:t>
      </w:r>
      <w:bookmarkEnd w:id="124"/>
      <w:bookmarkEnd w:id="125"/>
      <w:bookmarkEnd w:id="126"/>
      <w:bookmarkEnd w:id="127"/>
    </w:p>
    <w:p w14:paraId="7D4EEA63" w14:textId="77777777" w:rsidR="005E5E25" w:rsidRPr="00332E77" w:rsidRDefault="005E5E25" w:rsidP="005E5E25">
      <w:pPr>
        <w:ind w:firstLine="540"/>
        <w:rPr>
          <w:rFonts w:asciiTheme="minorHAnsi" w:hAnsiTheme="minorHAnsi" w:cstheme="minorHAnsi"/>
        </w:rPr>
      </w:pPr>
    </w:p>
    <w:p w14:paraId="5782C668" w14:textId="7AA89A6E"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 xml:space="preserve">Šiuo klausimu Teisingumo Teismas pirmiausia akcentavo, kad sąvoka „elektroninių pinigų leidimas“ Direktyvoje 2009/110 nėra apibrėžta; jos 2 straipsnio 2 dalyje tik patikslinta, kad „elektroniniai pinigai“ – </w:t>
      </w:r>
      <w:proofErr w:type="spellStart"/>
      <w:r w:rsidRPr="00332E77">
        <w:rPr>
          <w:rFonts w:asciiTheme="minorHAnsi" w:hAnsiTheme="minorHAnsi" w:cstheme="minorHAnsi"/>
        </w:rPr>
        <w:t>išleidėjui</w:t>
      </w:r>
      <w:proofErr w:type="spellEnd"/>
      <w:r w:rsidRPr="00332E77">
        <w:rPr>
          <w:rFonts w:asciiTheme="minorHAnsi" w:hAnsiTheme="minorHAnsi" w:cstheme="minorHAnsi"/>
        </w:rPr>
        <w:t xml:space="preserve"> pateikiamu reikalavimu išreikšta, elektroninėse, įskaitant magnetines, laikmenose saugoma piniginė vertė, kuri išleidžiama gavus lėšas, skirta mokėjimo operacijoms, kaip apibrėžta Direktyvos 2007/64 4</w:t>
      </w:r>
      <w:r w:rsidR="00374A94">
        <w:rPr>
          <w:rFonts w:asciiTheme="minorHAnsi" w:hAnsiTheme="minorHAnsi" w:cstheme="minorHAnsi"/>
        </w:rPr>
        <w:t> </w:t>
      </w:r>
      <w:r w:rsidRPr="00332E77">
        <w:rPr>
          <w:rFonts w:asciiTheme="minorHAnsi" w:hAnsiTheme="minorHAnsi" w:cstheme="minorHAnsi"/>
        </w:rPr>
        <w:t xml:space="preserve">straipsnio 5 punkte, atlikti ir priimama fizinių arba juridinių asmenų, neskaitant elektroninių pinigų </w:t>
      </w:r>
      <w:proofErr w:type="spellStart"/>
      <w:r w:rsidRPr="00332E77">
        <w:rPr>
          <w:rFonts w:asciiTheme="minorHAnsi" w:hAnsiTheme="minorHAnsi" w:cstheme="minorHAnsi"/>
        </w:rPr>
        <w:t>išleidėjo</w:t>
      </w:r>
      <w:proofErr w:type="spellEnd"/>
      <w:r w:rsidRPr="00332E77">
        <w:rPr>
          <w:rFonts w:asciiTheme="minorHAnsi" w:hAnsiTheme="minorHAnsi" w:cstheme="minorHAnsi"/>
        </w:rPr>
        <w:t xml:space="preserve"> (24 punktas). Direktyvos 2007/64 4 straipsnio 5 punkte mokėjimo operacija savo ruožtu apibrėžiama kaip mokėtojo arba gavėjo inicijuotas veiksmas, kai lėšos perduodamos, pervedamos arba išimamos, neatsižvelgiant į mokėtojo ir gavėjo pareigas, kuriomis grindžiama operacija. Be to, kaip matyti iš šios direktyvos 4 straipsnio 3 punkto, siejamo su minėtos direktyvos priedu, mokėjimo operacijos vykdymas, įskaitant lėšų pervedimą į mokėjimo sąskaitą, yra mokėjimo paslauga. (25 punktas). Galiausiai, 11 straipsnio 2 dalyje nustatyta elektroninių pinigų leidėjų pareiga, elektroninių pinigų turėtojui pareikalavus, bet kuriuo metu nominalia pinigine verte grąžinti turimus elektroninius pinigus (26 punktas).</w:t>
      </w:r>
    </w:p>
    <w:p w14:paraId="4F027A18" w14:textId="02CE3863"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 xml:space="preserve">Dėl sąvokos „grąžinimas“, kuri direktyvose 2007/64 ir 2009/110 neapibrėžta, Teisingumo Teismas, kad </w:t>
      </w:r>
      <w:r w:rsidRPr="00332E77">
        <w:rPr>
          <w:rFonts w:asciiTheme="minorHAnsi" w:hAnsiTheme="minorHAnsi" w:cstheme="minorHAnsi"/>
          <w:u w:val="single"/>
        </w:rPr>
        <w:t>ji apima elektroninių pinigų konvertavimą į jų nominalią vertę ir vėlesnį lėšų pervedimą elektroninių pinigų turėtojui pareikalavus. Šiuo klausimu direktyvose nereikalaujama, kad šios lėšos būtų pervestos į elektroninių pinigų turėtojo ar į trečiųjų asmenų sąskait</w:t>
      </w:r>
      <w:r w:rsidRPr="00332E77">
        <w:rPr>
          <w:rFonts w:asciiTheme="minorHAnsi" w:hAnsiTheme="minorHAnsi" w:cstheme="minorHAnsi"/>
        </w:rPr>
        <w:t xml:space="preserve">ą (27 punktas). Kadangi dėl elektroninių pinigų leidimo besąlygiškai ir automatiškai atsiranda teisė į susigrąžinimą, sąvoka </w:t>
      </w:r>
      <w:r w:rsidRPr="00332E77">
        <w:rPr>
          <w:rFonts w:asciiTheme="minorHAnsi" w:hAnsiTheme="minorHAnsi" w:cstheme="minorHAnsi"/>
          <w:u w:val="single"/>
        </w:rPr>
        <w:t xml:space="preserve">„mokėjimo paslaugos, susijusios su elektroninių pinigų leidimu“ taip pat apima elektroninių pinigų grąžinimą, kaip tai suprantama pagal </w:t>
      </w:r>
      <w:r w:rsidR="00374A94">
        <w:rPr>
          <w:rFonts w:asciiTheme="minorHAnsi" w:hAnsiTheme="minorHAnsi" w:cstheme="minorHAnsi"/>
          <w:u w:val="single"/>
        </w:rPr>
        <w:t>Direktyvos 2009/110 5 </w:t>
      </w:r>
      <w:r w:rsidRPr="00332E77">
        <w:rPr>
          <w:rFonts w:asciiTheme="minorHAnsi" w:hAnsiTheme="minorHAnsi" w:cstheme="minorHAnsi"/>
          <w:u w:val="single"/>
        </w:rPr>
        <w:t>straipsnio 2 dalį</w:t>
      </w:r>
      <w:r w:rsidRPr="00332E77">
        <w:rPr>
          <w:rFonts w:asciiTheme="minorHAnsi" w:hAnsiTheme="minorHAnsi" w:cstheme="minorHAnsi"/>
        </w:rPr>
        <w:t xml:space="preserve"> (28 punktas). Taigi, </w:t>
      </w:r>
      <w:r w:rsidRPr="00332E77">
        <w:rPr>
          <w:rFonts w:asciiTheme="minorHAnsi" w:hAnsiTheme="minorHAnsi" w:cstheme="minorHAnsi"/>
          <w:u w:val="single"/>
        </w:rPr>
        <w:t>mokėjimo paslauga, teikiama turint tikslą leisti grąžinti nominalią elektroninių pinigų vertę, yra su elektroninių pinigų leidimu susijusi veikla</w:t>
      </w:r>
      <w:r w:rsidRPr="00332E77">
        <w:rPr>
          <w:rFonts w:asciiTheme="minorHAnsi" w:hAnsiTheme="minorHAnsi" w:cstheme="minorHAnsi"/>
        </w:rPr>
        <w:t xml:space="preserve"> (29 punktas). Vadinasi, kaip sprendė Teisingumo Teismas, siekiant nustatyti, ar pagrindinėje byloje nagrinėjamos paslaugos yra su </w:t>
      </w:r>
      <w:r w:rsidRPr="00332E77">
        <w:rPr>
          <w:rFonts w:asciiTheme="minorHAnsi" w:hAnsiTheme="minorHAnsi" w:cstheme="minorHAnsi"/>
        </w:rPr>
        <w:lastRenderedPageBreak/>
        <w:t xml:space="preserve">elektroninių pinigų leidimu susijusios paslaugos, reikia išsiaiškinti, </w:t>
      </w:r>
      <w:r w:rsidRPr="00332E77">
        <w:rPr>
          <w:rFonts w:asciiTheme="minorHAnsi" w:hAnsiTheme="minorHAnsi" w:cstheme="minorHAnsi"/>
          <w:u w:val="single"/>
        </w:rPr>
        <w:t xml:space="preserve">ar teikiant šias paslaugas per </w:t>
      </w:r>
      <w:r w:rsidRPr="00332E77">
        <w:rPr>
          <w:rFonts w:asciiTheme="minorHAnsi" w:hAnsiTheme="minorHAnsi" w:cstheme="minorHAnsi"/>
          <w:b/>
          <w:bCs/>
          <w:u w:val="single"/>
        </w:rPr>
        <w:t xml:space="preserve">vieną ir tą pačią </w:t>
      </w:r>
      <w:r w:rsidRPr="00332E77">
        <w:rPr>
          <w:rFonts w:asciiTheme="minorHAnsi" w:hAnsiTheme="minorHAnsi" w:cstheme="minorHAnsi"/>
          <w:u w:val="single"/>
        </w:rPr>
        <w:t>mokėjimo operaciją atliekamas elektroninių pinigų leidimas arba grąžinimas</w:t>
      </w:r>
      <w:r w:rsidRPr="00332E77">
        <w:rPr>
          <w:rFonts w:asciiTheme="minorHAnsi" w:hAnsiTheme="minorHAnsi" w:cstheme="minorHAnsi"/>
        </w:rPr>
        <w:t xml:space="preserve"> (30 punktas).</w:t>
      </w:r>
    </w:p>
    <w:p w14:paraId="2D12BD4B"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 xml:space="preserve">Šiomis aplinkybėmis Teisingumo Teismas vertino, kad I paslaugos atveju jei lėšos grąžinamos tik siekiant jas pervesti ir atliekant vieną ir tą pačią mokėjimo operaciją, tokia paslauga, kaip I paslauga, gali būti laikoma susijusia su elektroninių pinigų leidimu, kaip tai suprantama pagal Direktyvos 2009/110 5 straipsnio 2 dalį (32 punktas). Be to, tokia paslauga, kaip II paslauga, taip pat tiesiogiai susijusi su elektroninių pinigų leidimu, nes lėšų pervedimas atliekant vieną mokėjimo operaciją automatiškai lemia elektroninių pinigų leidimą. Todėl lėšų pervedimas yra susijęs su elektroninių pinigų leidimu (34 </w:t>
      </w:r>
      <w:r>
        <w:rPr>
          <w:rFonts w:asciiTheme="minorHAnsi" w:hAnsiTheme="minorHAnsi" w:cstheme="minorHAnsi"/>
        </w:rPr>
        <w:t>p</w:t>
      </w:r>
      <w:r w:rsidRPr="00332E77">
        <w:rPr>
          <w:rFonts w:asciiTheme="minorHAnsi" w:hAnsiTheme="minorHAnsi" w:cstheme="minorHAnsi"/>
        </w:rPr>
        <w:t>unktas).</w:t>
      </w:r>
    </w:p>
    <w:p w14:paraId="42F4A02A" w14:textId="77777777" w:rsidR="005E5E25" w:rsidRPr="00332E77" w:rsidRDefault="005E5E25" w:rsidP="005E5E25">
      <w:pPr>
        <w:ind w:firstLine="540"/>
        <w:rPr>
          <w:rFonts w:asciiTheme="minorHAnsi" w:hAnsiTheme="minorHAnsi" w:cstheme="minorHAnsi"/>
        </w:rPr>
      </w:pPr>
    </w:p>
    <w:p w14:paraId="3DB154C2" w14:textId="77777777" w:rsidR="005E5E25" w:rsidRPr="00332E77" w:rsidRDefault="005E5E25" w:rsidP="005E5E25">
      <w:pPr>
        <w:ind w:firstLine="540"/>
        <w:rPr>
          <w:rFonts w:asciiTheme="minorHAnsi" w:hAnsiTheme="minorHAnsi" w:cstheme="minorHAnsi"/>
          <w:b/>
        </w:rPr>
      </w:pPr>
      <w:r w:rsidRPr="00332E77">
        <w:rPr>
          <w:rFonts w:asciiTheme="minorHAnsi" w:hAnsiTheme="minorHAnsi" w:cstheme="minorHAnsi"/>
          <w:b/>
        </w:rPr>
        <w:t>Remdamasis šiais motyvais, Teisingumo Teismas (pirmoji kolegija) nusprendė:</w:t>
      </w:r>
    </w:p>
    <w:p w14:paraId="570D66B9" w14:textId="77777777" w:rsidR="005E5E25" w:rsidRPr="00332E77" w:rsidRDefault="005E5E25" w:rsidP="005E5E25">
      <w:pPr>
        <w:ind w:firstLine="540"/>
        <w:rPr>
          <w:rFonts w:asciiTheme="minorHAnsi" w:hAnsiTheme="minorHAnsi" w:cstheme="minorHAnsi"/>
        </w:rPr>
      </w:pPr>
    </w:p>
    <w:p w14:paraId="382AB5A7" w14:textId="77777777" w:rsidR="005E5E25" w:rsidRPr="00332E77" w:rsidRDefault="005E5E25" w:rsidP="005E5E25">
      <w:pPr>
        <w:ind w:firstLine="540"/>
        <w:rPr>
          <w:rFonts w:asciiTheme="minorHAnsi" w:hAnsiTheme="minorHAnsi" w:cstheme="minorHAnsi"/>
        </w:rPr>
      </w:pPr>
      <w:r w:rsidRPr="00332E77">
        <w:rPr>
          <w:rFonts w:asciiTheme="minorHAnsi" w:hAnsiTheme="minorHAnsi" w:cstheme="minorHAnsi"/>
        </w:rPr>
        <w:t>Direktyvos 2009/110 5 straipsnio 2 dalį reikia aiškinti taip, kad elektroninių pinigų įstaigų teikiamos paslaugos atliekant mokėjimo operacijas, kaip antai nagrinėjamas pagrindinėje byloje, yra su elektroninių pinigų leidimu susijusi veikla, kaip tai suprantama pagal šią nuostatą, jei teikiant šias paslaugas per vieną ir tą pačią mokėjimo operaciją išleidžiami ar grąžinami elektroniniai pinigai.</w:t>
      </w:r>
    </w:p>
    <w:p w14:paraId="59879777" w14:textId="77777777" w:rsidR="005E5E25" w:rsidRPr="00332E77" w:rsidRDefault="006A47DB" w:rsidP="005E5E25">
      <w:pPr>
        <w:ind w:firstLine="540"/>
        <w:rPr>
          <w:rFonts w:asciiTheme="minorHAnsi" w:hAnsiTheme="minorHAnsi" w:cstheme="minorHAnsi"/>
        </w:rPr>
      </w:pPr>
      <w:hyperlink r:id="rId21" w:history="1">
        <w:r w:rsidR="005E5E25" w:rsidRPr="00A858F6">
          <w:rPr>
            <w:rStyle w:val="Hipersaitas"/>
            <w:rFonts w:asciiTheme="minorHAnsi" w:hAnsiTheme="minorHAnsi" w:cstheme="minorHAnsi"/>
          </w:rPr>
          <w:t>Prieiga internete</w:t>
        </w:r>
      </w:hyperlink>
    </w:p>
    <w:p w14:paraId="119B423E" w14:textId="77777777" w:rsidR="005E5E25" w:rsidRPr="00986131" w:rsidRDefault="005E5E25" w:rsidP="009A5424">
      <w:pPr>
        <w:ind w:firstLine="540"/>
        <w:rPr>
          <w:rFonts w:cs="Calibri"/>
          <w:b/>
        </w:rPr>
      </w:pPr>
    </w:p>
    <w:p w14:paraId="52302876" w14:textId="6816620D" w:rsidR="00416E50" w:rsidRPr="00986131" w:rsidRDefault="004A3D36" w:rsidP="00AD0B10">
      <w:pPr>
        <w:pStyle w:val="Antrat1"/>
        <w:spacing w:before="0"/>
        <w:rPr>
          <w:rFonts w:eastAsia="Times New Roman" w:cstheme="minorHAnsi"/>
          <w:bCs/>
          <w:color w:val="17365D"/>
          <w:kern w:val="32"/>
          <w:szCs w:val="22"/>
          <w:lang w:eastAsia="lt-LT"/>
        </w:rPr>
      </w:pPr>
      <w:bookmarkStart w:id="128" w:name="_Toc11232483"/>
      <w:bookmarkStart w:id="129" w:name="_Toc11232774"/>
      <w:bookmarkStart w:id="130" w:name="_Toc11758010"/>
      <w:r w:rsidRPr="00986131">
        <w:rPr>
          <w:rFonts w:eastAsia="Times New Roman" w:cstheme="minorHAnsi"/>
          <w:bCs/>
          <w:color w:val="17365D"/>
          <w:kern w:val="32"/>
          <w:szCs w:val="22"/>
          <w:lang w:eastAsia="lt-LT"/>
        </w:rPr>
        <w:t>ASMENS DUOMENŲ</w:t>
      </w:r>
      <w:r w:rsidR="002F09DA" w:rsidRPr="00986131">
        <w:rPr>
          <w:rFonts w:eastAsia="Times New Roman" w:cstheme="minorHAnsi"/>
          <w:bCs/>
          <w:color w:val="17365D"/>
          <w:kern w:val="32"/>
          <w:szCs w:val="22"/>
          <w:lang w:eastAsia="lt-LT"/>
        </w:rPr>
        <w:t xml:space="preserve"> APSAUGA</w:t>
      </w:r>
      <w:bookmarkEnd w:id="128"/>
      <w:bookmarkEnd w:id="129"/>
      <w:bookmarkEnd w:id="130"/>
    </w:p>
    <w:p w14:paraId="1C8D05EB" w14:textId="77777777" w:rsidR="00416E50" w:rsidRPr="00986131" w:rsidRDefault="00416E50" w:rsidP="00AD0B10">
      <w:pPr>
        <w:rPr>
          <w:rFonts w:asciiTheme="minorHAnsi" w:hAnsiTheme="minorHAnsi" w:cstheme="minorHAnsi"/>
          <w:lang w:eastAsia="lt-LT"/>
        </w:rPr>
      </w:pPr>
    </w:p>
    <w:p w14:paraId="6928D40C" w14:textId="5CA98CBE" w:rsidR="002F09DA" w:rsidRPr="00986131" w:rsidRDefault="002F09DA" w:rsidP="00AD0B10">
      <w:pPr>
        <w:pStyle w:val="Antrat2"/>
        <w:rPr>
          <w:rFonts w:cstheme="minorHAnsi"/>
          <w:szCs w:val="22"/>
        </w:rPr>
      </w:pPr>
      <w:bookmarkStart w:id="131" w:name="_Toc11232484"/>
      <w:bookmarkStart w:id="132" w:name="_Toc11232775"/>
      <w:bookmarkStart w:id="133" w:name="_Toc11758011"/>
      <w:r w:rsidRPr="00986131">
        <w:rPr>
          <w:rFonts w:cstheme="minorHAnsi"/>
          <w:szCs w:val="22"/>
        </w:rPr>
        <w:t>201</w:t>
      </w:r>
      <w:r w:rsidR="002000A6" w:rsidRPr="00986131">
        <w:rPr>
          <w:rFonts w:cstheme="minorHAnsi"/>
          <w:szCs w:val="22"/>
        </w:rPr>
        <w:t>9</w:t>
      </w:r>
      <w:r w:rsidRPr="00986131">
        <w:rPr>
          <w:rFonts w:cstheme="minorHAnsi"/>
          <w:szCs w:val="22"/>
        </w:rPr>
        <w:t xml:space="preserve"> m. </w:t>
      </w:r>
      <w:r w:rsidR="002000A6" w:rsidRPr="00986131">
        <w:rPr>
          <w:rFonts w:cstheme="minorHAnsi"/>
          <w:szCs w:val="22"/>
        </w:rPr>
        <w:t>vasario 14</w:t>
      </w:r>
      <w:r w:rsidR="004A3D36" w:rsidRPr="00986131">
        <w:rPr>
          <w:rFonts w:cstheme="minorHAnsi"/>
          <w:szCs w:val="22"/>
        </w:rPr>
        <w:t xml:space="preserve"> d. </w:t>
      </w:r>
      <w:proofErr w:type="spellStart"/>
      <w:r w:rsidR="00FB66A3" w:rsidRPr="00986131">
        <w:rPr>
          <w:rFonts w:cstheme="minorHAnsi"/>
          <w:szCs w:val="22"/>
        </w:rPr>
        <w:t>prejudicinis</w:t>
      </w:r>
      <w:proofErr w:type="spellEnd"/>
      <w:r w:rsidR="00FB66A3" w:rsidRPr="00986131">
        <w:rPr>
          <w:rFonts w:cstheme="minorHAnsi"/>
          <w:szCs w:val="22"/>
        </w:rPr>
        <w:t xml:space="preserve"> </w:t>
      </w:r>
      <w:r w:rsidR="004A3D36" w:rsidRPr="00986131">
        <w:rPr>
          <w:rFonts w:cstheme="minorHAnsi"/>
          <w:szCs w:val="22"/>
        </w:rPr>
        <w:t>sprendimas byloje C-</w:t>
      </w:r>
      <w:r w:rsidR="002000A6" w:rsidRPr="00986131">
        <w:rPr>
          <w:rFonts w:cstheme="minorHAnsi"/>
          <w:szCs w:val="22"/>
        </w:rPr>
        <w:t>345/17</w:t>
      </w:r>
      <w:bookmarkEnd w:id="131"/>
      <w:bookmarkEnd w:id="132"/>
      <w:bookmarkEnd w:id="133"/>
    </w:p>
    <w:p w14:paraId="5E5BBBBB" w14:textId="77777777" w:rsidR="004A3D36" w:rsidRPr="00986131" w:rsidRDefault="002000A6" w:rsidP="000F64EE">
      <w:pPr>
        <w:jc w:val="center"/>
        <w:rPr>
          <w:rFonts w:asciiTheme="minorHAnsi" w:hAnsiTheme="minorHAnsi" w:cstheme="minorHAnsi"/>
          <w:b/>
          <w:bCs/>
          <w:i/>
        </w:rPr>
      </w:pPr>
      <w:proofErr w:type="spellStart"/>
      <w:r w:rsidRPr="00986131">
        <w:rPr>
          <w:rFonts w:asciiTheme="minorHAnsi" w:hAnsiTheme="minorHAnsi" w:cstheme="minorHAnsi"/>
          <w:b/>
          <w:bCs/>
          <w:i/>
        </w:rPr>
        <w:t>Buivids</w:t>
      </w:r>
      <w:proofErr w:type="spellEnd"/>
    </w:p>
    <w:p w14:paraId="003DD9F1" w14:textId="77777777" w:rsidR="002000A6" w:rsidRPr="00986131" w:rsidRDefault="002000A6" w:rsidP="002000A6">
      <w:pPr>
        <w:ind w:firstLine="540"/>
        <w:jc w:val="center"/>
        <w:rPr>
          <w:rFonts w:asciiTheme="minorHAnsi" w:hAnsiTheme="minorHAnsi" w:cstheme="minorHAnsi"/>
        </w:rPr>
      </w:pPr>
    </w:p>
    <w:p w14:paraId="5FDEA055" w14:textId="4A19817C" w:rsidR="00D20E16" w:rsidRPr="00986131" w:rsidRDefault="00B45727" w:rsidP="00735B72">
      <w:pPr>
        <w:ind w:firstLine="567"/>
        <w:rPr>
          <w:rFonts w:asciiTheme="minorHAnsi" w:hAnsiTheme="minorHAnsi" w:cstheme="minorHAnsi"/>
        </w:rPr>
      </w:pPr>
      <w:r w:rsidRPr="00986131">
        <w:rPr>
          <w:rFonts w:asciiTheme="minorHAnsi" w:hAnsiTheme="minorHAnsi" w:cstheme="minorHAnsi"/>
        </w:rPr>
        <w:t xml:space="preserve">Prašymas priimti </w:t>
      </w:r>
      <w:proofErr w:type="spellStart"/>
      <w:r w:rsidR="008E0941" w:rsidRPr="00986131">
        <w:rPr>
          <w:rFonts w:asciiTheme="minorHAnsi" w:hAnsiTheme="minorHAnsi" w:cstheme="minorHAnsi"/>
        </w:rPr>
        <w:t>prejudicinį</w:t>
      </w:r>
      <w:proofErr w:type="spellEnd"/>
      <w:r w:rsidR="008E0941" w:rsidRPr="00986131">
        <w:rPr>
          <w:rFonts w:asciiTheme="minorHAnsi" w:hAnsiTheme="minorHAnsi" w:cstheme="minorHAnsi"/>
        </w:rPr>
        <w:t xml:space="preserve"> sprendimą iš esmės pateiktas </w:t>
      </w:r>
      <w:r w:rsidR="002000A6" w:rsidRPr="00986131">
        <w:rPr>
          <w:rFonts w:asciiTheme="minorHAnsi" w:hAnsiTheme="minorHAnsi" w:cstheme="minorHAnsi"/>
        </w:rPr>
        <w:t>dėl 1995 m. spalio 24 d. Europos Parlamento ir Tarybos direktyvos 95/46/EB dėl asmenų apsaugos tvarkant asmens duomenis ir dėl laisvo tokių duomenų judėjimo (OL L 281, 1995, p. 31; 2004 m. specialusis leidimas lietuvių kalba, 13 sk., 15 t., p. 355)</w:t>
      </w:r>
      <w:r w:rsidR="003A0DB4" w:rsidRPr="00986131">
        <w:rPr>
          <w:rFonts w:asciiTheme="minorHAnsi" w:hAnsiTheme="minorHAnsi" w:cstheme="minorHAnsi"/>
        </w:rPr>
        <w:t xml:space="preserve"> (toliau – ir Direktyva 95/46)</w:t>
      </w:r>
      <w:r w:rsidR="002000A6" w:rsidRPr="00986131">
        <w:rPr>
          <w:rFonts w:asciiTheme="minorHAnsi" w:hAnsiTheme="minorHAnsi" w:cstheme="minorHAnsi"/>
        </w:rPr>
        <w:t xml:space="preserve">, būtent jos 9 straipsnio, išaiškinimo. Šis prašymas pateiktas nagrinėjant </w:t>
      </w:r>
      <w:proofErr w:type="spellStart"/>
      <w:r w:rsidR="002000A6" w:rsidRPr="00986131">
        <w:rPr>
          <w:rFonts w:asciiTheme="minorHAnsi" w:hAnsiTheme="minorHAnsi" w:cstheme="minorHAnsi"/>
        </w:rPr>
        <w:t>Sergejs</w:t>
      </w:r>
      <w:proofErr w:type="spellEnd"/>
      <w:r w:rsidR="002000A6" w:rsidRPr="00986131">
        <w:rPr>
          <w:rFonts w:asciiTheme="minorHAnsi" w:hAnsiTheme="minorHAnsi" w:cstheme="minorHAnsi"/>
        </w:rPr>
        <w:t xml:space="preserve"> </w:t>
      </w:r>
      <w:proofErr w:type="spellStart"/>
      <w:r w:rsidR="002000A6" w:rsidRPr="00986131">
        <w:rPr>
          <w:rFonts w:asciiTheme="minorHAnsi" w:hAnsiTheme="minorHAnsi" w:cstheme="minorHAnsi"/>
        </w:rPr>
        <w:t>Buivids</w:t>
      </w:r>
      <w:proofErr w:type="spellEnd"/>
      <w:r w:rsidR="002000A6" w:rsidRPr="00986131">
        <w:rPr>
          <w:rFonts w:asciiTheme="minorHAnsi" w:hAnsiTheme="minorHAnsi" w:cstheme="minorHAnsi"/>
        </w:rPr>
        <w:t xml:space="preserve"> ginčą su </w:t>
      </w:r>
      <w:proofErr w:type="spellStart"/>
      <w:r w:rsidR="002000A6" w:rsidRPr="00986131">
        <w:rPr>
          <w:rFonts w:asciiTheme="minorHAnsi" w:hAnsiTheme="minorHAnsi" w:cstheme="minorHAnsi"/>
          <w:i/>
          <w:iCs/>
        </w:rPr>
        <w:t>Datu</w:t>
      </w:r>
      <w:proofErr w:type="spellEnd"/>
      <w:r w:rsidR="002000A6" w:rsidRPr="00986131">
        <w:rPr>
          <w:rFonts w:asciiTheme="minorHAnsi" w:hAnsiTheme="minorHAnsi" w:cstheme="minorHAnsi"/>
          <w:i/>
          <w:iCs/>
        </w:rPr>
        <w:t xml:space="preserve"> </w:t>
      </w:r>
      <w:proofErr w:type="spellStart"/>
      <w:r w:rsidR="002000A6" w:rsidRPr="00986131">
        <w:rPr>
          <w:rFonts w:asciiTheme="minorHAnsi" w:hAnsiTheme="minorHAnsi" w:cstheme="minorHAnsi"/>
          <w:i/>
          <w:iCs/>
        </w:rPr>
        <w:t>valsts</w:t>
      </w:r>
      <w:proofErr w:type="spellEnd"/>
      <w:r w:rsidR="002000A6" w:rsidRPr="00986131">
        <w:rPr>
          <w:rFonts w:asciiTheme="minorHAnsi" w:hAnsiTheme="minorHAnsi" w:cstheme="minorHAnsi"/>
          <w:i/>
          <w:iCs/>
        </w:rPr>
        <w:t xml:space="preserve"> inspekcija</w:t>
      </w:r>
      <w:r w:rsidR="002000A6" w:rsidRPr="00986131">
        <w:rPr>
          <w:rFonts w:asciiTheme="minorHAnsi" w:hAnsiTheme="minorHAnsi" w:cstheme="minorHAnsi"/>
        </w:rPr>
        <w:t xml:space="preserve"> (Valstybinė duomenų apsaugos inspekcija, Latvija) dėl prašymo pripažinti neteisėtu šios institucijos sprendimą, kuriame konstatuota, kad P. </w:t>
      </w:r>
      <w:proofErr w:type="spellStart"/>
      <w:r w:rsidR="002000A6" w:rsidRPr="00986131">
        <w:rPr>
          <w:rFonts w:asciiTheme="minorHAnsi" w:hAnsiTheme="minorHAnsi" w:cstheme="minorHAnsi"/>
        </w:rPr>
        <w:t>Buivids</w:t>
      </w:r>
      <w:proofErr w:type="spellEnd"/>
      <w:r w:rsidR="002000A6" w:rsidRPr="00986131">
        <w:rPr>
          <w:rFonts w:asciiTheme="minorHAnsi" w:hAnsiTheme="minorHAnsi" w:cstheme="minorHAnsi"/>
        </w:rPr>
        <w:t xml:space="preserve"> pažeidė nacionalinę teisę, kai interneto svetainėje </w:t>
      </w:r>
      <w:r w:rsidR="002000A6" w:rsidRPr="00986131">
        <w:rPr>
          <w:rFonts w:asciiTheme="minorHAnsi" w:hAnsiTheme="minorHAnsi" w:cstheme="minorHAnsi"/>
          <w:i/>
          <w:iCs/>
        </w:rPr>
        <w:t>www.youtube.com</w:t>
      </w:r>
      <w:r w:rsidR="002000A6" w:rsidRPr="00986131">
        <w:rPr>
          <w:rFonts w:asciiTheme="minorHAnsi" w:hAnsiTheme="minorHAnsi" w:cstheme="minorHAnsi"/>
        </w:rPr>
        <w:t xml:space="preserve"> paskelbė savo paties darytą vaizdo įrašą, kuriame užfiksuota, kaip valstybės policijos nuovados patalpose iš jo buvo imami parodymai administracinio nusižengimo byloje (1–2 punktai).</w:t>
      </w:r>
    </w:p>
    <w:p w14:paraId="7AB9B60B" w14:textId="77777777" w:rsidR="00BA23AC" w:rsidRPr="00986131" w:rsidRDefault="00BA23AC" w:rsidP="00735B72">
      <w:pPr>
        <w:ind w:firstLine="567"/>
        <w:rPr>
          <w:rFonts w:asciiTheme="minorHAnsi" w:hAnsiTheme="minorHAnsi" w:cstheme="minorHAnsi"/>
        </w:rPr>
      </w:pPr>
      <w:r w:rsidRPr="00986131">
        <w:rPr>
          <w:rFonts w:asciiTheme="minorHAnsi" w:hAnsiTheme="minorHAnsi" w:cstheme="minorHAnsi"/>
        </w:rPr>
        <w:t>Pagrindinėje byloje susiklostė tokios faktinės aplinkybės:</w:t>
      </w:r>
      <w:r w:rsidR="00F47029" w:rsidRPr="00986131">
        <w:rPr>
          <w:rFonts w:asciiTheme="minorHAnsi" w:hAnsiTheme="minorHAnsi" w:cstheme="minorHAnsi"/>
        </w:rPr>
        <w:t xml:space="preserve"> būdamas valstybės policijos nuovados patalpose S. </w:t>
      </w:r>
      <w:proofErr w:type="spellStart"/>
      <w:r w:rsidR="00F47029" w:rsidRPr="00986131">
        <w:rPr>
          <w:rFonts w:asciiTheme="minorHAnsi" w:hAnsiTheme="minorHAnsi" w:cstheme="minorHAnsi"/>
        </w:rPr>
        <w:t>Buivids</w:t>
      </w:r>
      <w:proofErr w:type="spellEnd"/>
      <w:r w:rsidR="00F47029" w:rsidRPr="00986131">
        <w:rPr>
          <w:rFonts w:asciiTheme="minorHAnsi" w:hAnsiTheme="minorHAnsi" w:cstheme="minorHAnsi"/>
        </w:rPr>
        <w:t xml:space="preserve"> nufilmavo, kaip iš jo buvo imami parodymai administracinio nusižengimo byloje</w:t>
      </w:r>
      <w:r w:rsidR="00EA78E0" w:rsidRPr="00986131">
        <w:rPr>
          <w:rFonts w:asciiTheme="minorHAnsi" w:hAnsiTheme="minorHAnsi" w:cstheme="minorHAnsi"/>
        </w:rPr>
        <w:t>. Taip parengtą vaizdo įrašą (toliau – aptariamas vaizdo įrašas), kuriame nufilmuoti policijos darbuotojai ir tai, ką jie veikia nuovadoje, S. </w:t>
      </w:r>
      <w:proofErr w:type="spellStart"/>
      <w:r w:rsidR="00EA78E0" w:rsidRPr="00986131">
        <w:rPr>
          <w:rFonts w:asciiTheme="minorHAnsi" w:hAnsiTheme="minorHAnsi" w:cstheme="minorHAnsi"/>
        </w:rPr>
        <w:t>Buivids</w:t>
      </w:r>
      <w:proofErr w:type="spellEnd"/>
      <w:r w:rsidR="00EA78E0" w:rsidRPr="00986131">
        <w:rPr>
          <w:rFonts w:asciiTheme="minorHAnsi" w:hAnsiTheme="minorHAnsi" w:cstheme="minorHAnsi"/>
        </w:rPr>
        <w:t xml:space="preserve"> paskelbė interneto svetainėje </w:t>
      </w:r>
      <w:r w:rsidR="00EA78E0" w:rsidRPr="00986131">
        <w:rPr>
          <w:rFonts w:asciiTheme="minorHAnsi" w:hAnsiTheme="minorHAnsi" w:cstheme="minorHAnsi"/>
          <w:i/>
          <w:iCs/>
        </w:rPr>
        <w:t>www.youtube.com</w:t>
      </w:r>
      <w:r w:rsidR="00EA78E0" w:rsidRPr="00986131">
        <w:rPr>
          <w:rFonts w:asciiTheme="minorHAnsi" w:hAnsiTheme="minorHAnsi" w:cstheme="minorHAnsi"/>
        </w:rPr>
        <w:t xml:space="preserve"> </w:t>
      </w:r>
      <w:r w:rsidR="00F47029" w:rsidRPr="00986131">
        <w:rPr>
          <w:rFonts w:asciiTheme="minorHAnsi" w:hAnsiTheme="minorHAnsi" w:cstheme="minorHAnsi"/>
        </w:rPr>
        <w:t>(15</w:t>
      </w:r>
      <w:r w:rsidR="00EA78E0" w:rsidRPr="00986131">
        <w:rPr>
          <w:rFonts w:asciiTheme="minorHAnsi" w:hAnsiTheme="minorHAnsi" w:cstheme="minorHAnsi"/>
        </w:rPr>
        <w:t>–16</w:t>
      </w:r>
      <w:r w:rsidR="00F47029" w:rsidRPr="00986131">
        <w:rPr>
          <w:rFonts w:asciiTheme="minorHAnsi" w:hAnsiTheme="minorHAnsi" w:cstheme="minorHAnsi"/>
        </w:rPr>
        <w:t> </w:t>
      </w:r>
      <w:r w:rsidR="00EA78E0" w:rsidRPr="00986131">
        <w:rPr>
          <w:rFonts w:asciiTheme="minorHAnsi" w:hAnsiTheme="minorHAnsi" w:cstheme="minorHAnsi"/>
        </w:rPr>
        <w:t>punktai</w:t>
      </w:r>
      <w:r w:rsidR="00F47029" w:rsidRPr="00986131">
        <w:rPr>
          <w:rFonts w:asciiTheme="minorHAnsi" w:hAnsiTheme="minorHAnsi" w:cstheme="minorHAnsi"/>
        </w:rPr>
        <w:t>).</w:t>
      </w:r>
      <w:r w:rsidR="00EA78E0" w:rsidRPr="00986131">
        <w:rPr>
          <w:rFonts w:ascii="Verdana" w:hAnsi="Verdana"/>
          <w:color w:val="333333"/>
          <w:sz w:val="18"/>
          <w:szCs w:val="18"/>
          <w:shd w:val="clear" w:color="auto" w:fill="FFFFFF"/>
        </w:rPr>
        <w:t xml:space="preserve"> </w:t>
      </w:r>
      <w:r w:rsidR="00EA78E0" w:rsidRPr="00986131">
        <w:rPr>
          <w:rFonts w:asciiTheme="minorHAnsi" w:hAnsiTheme="minorHAnsi" w:cstheme="minorHAnsi"/>
        </w:rPr>
        <w:t>Po šio paskelbimo Valstybinė duomenų apsaugos inspekcija konstatavo, kad S. </w:t>
      </w:r>
      <w:proofErr w:type="spellStart"/>
      <w:r w:rsidR="00EA78E0" w:rsidRPr="00986131">
        <w:rPr>
          <w:rFonts w:asciiTheme="minorHAnsi" w:hAnsiTheme="minorHAnsi" w:cstheme="minorHAnsi"/>
        </w:rPr>
        <w:t>Buivids</w:t>
      </w:r>
      <w:proofErr w:type="spellEnd"/>
      <w:r w:rsidR="00EA78E0" w:rsidRPr="00986131">
        <w:rPr>
          <w:rFonts w:asciiTheme="minorHAnsi" w:hAnsiTheme="minorHAnsi" w:cstheme="minorHAnsi"/>
        </w:rPr>
        <w:t xml:space="preserve"> pažeidė Duomenų apsaugos įstatymo </w:t>
      </w:r>
      <w:r w:rsidR="002923A0" w:rsidRPr="00986131">
        <w:rPr>
          <w:rFonts w:asciiTheme="minorHAnsi" w:hAnsiTheme="minorHAnsi" w:cstheme="minorHAnsi"/>
        </w:rPr>
        <w:t>reikalavimus ir</w:t>
      </w:r>
      <w:r w:rsidR="00EA78E0" w:rsidRPr="00986131">
        <w:rPr>
          <w:rFonts w:asciiTheme="minorHAnsi" w:hAnsiTheme="minorHAnsi" w:cstheme="minorHAnsi"/>
        </w:rPr>
        <w:t xml:space="preserve"> pareikalavo iš S. </w:t>
      </w:r>
      <w:proofErr w:type="spellStart"/>
      <w:r w:rsidR="00EA78E0" w:rsidRPr="00986131">
        <w:rPr>
          <w:rFonts w:asciiTheme="minorHAnsi" w:hAnsiTheme="minorHAnsi" w:cstheme="minorHAnsi"/>
        </w:rPr>
        <w:t>Buivids</w:t>
      </w:r>
      <w:proofErr w:type="spellEnd"/>
      <w:r w:rsidR="00EA78E0" w:rsidRPr="00986131">
        <w:rPr>
          <w:rFonts w:asciiTheme="minorHAnsi" w:hAnsiTheme="minorHAnsi" w:cstheme="minorHAnsi"/>
        </w:rPr>
        <w:t xml:space="preserve"> užtikrinti, kad šis vaizdo įrašas būtų pašalintas iš </w:t>
      </w:r>
      <w:r w:rsidR="00EA78E0" w:rsidRPr="00986131">
        <w:rPr>
          <w:rFonts w:asciiTheme="minorHAnsi" w:hAnsiTheme="minorHAnsi" w:cstheme="minorHAnsi"/>
          <w:i/>
          <w:iCs/>
        </w:rPr>
        <w:t>www.youtube.com</w:t>
      </w:r>
      <w:r w:rsidR="00EA78E0" w:rsidRPr="00986131">
        <w:rPr>
          <w:rFonts w:asciiTheme="minorHAnsi" w:hAnsiTheme="minorHAnsi" w:cstheme="minorHAnsi"/>
        </w:rPr>
        <w:t xml:space="preserve"> ir kitų interneto svetainių</w:t>
      </w:r>
      <w:r w:rsidR="002923A0" w:rsidRPr="00986131">
        <w:rPr>
          <w:rFonts w:asciiTheme="minorHAnsi" w:hAnsiTheme="minorHAnsi" w:cstheme="minorHAnsi"/>
        </w:rPr>
        <w:t xml:space="preserve"> (17 punktas)</w:t>
      </w:r>
      <w:r w:rsidR="00EA78E0" w:rsidRPr="00986131">
        <w:rPr>
          <w:rFonts w:asciiTheme="minorHAnsi" w:hAnsiTheme="minorHAnsi" w:cstheme="minorHAnsi"/>
        </w:rPr>
        <w:t>.</w:t>
      </w:r>
      <w:r w:rsidR="002923A0" w:rsidRPr="00986131">
        <w:rPr>
          <w:rFonts w:asciiTheme="minorHAnsi" w:hAnsiTheme="minorHAnsi" w:cstheme="minorHAnsi"/>
        </w:rPr>
        <w:t xml:space="preserve"> S. </w:t>
      </w:r>
      <w:proofErr w:type="spellStart"/>
      <w:r w:rsidR="002923A0" w:rsidRPr="00986131">
        <w:rPr>
          <w:rFonts w:asciiTheme="minorHAnsi" w:hAnsiTheme="minorHAnsi" w:cstheme="minorHAnsi"/>
        </w:rPr>
        <w:t>Buivids</w:t>
      </w:r>
      <w:proofErr w:type="spellEnd"/>
      <w:r w:rsidR="002923A0" w:rsidRPr="00986131">
        <w:rPr>
          <w:rFonts w:asciiTheme="minorHAnsi" w:hAnsiTheme="minorHAnsi" w:cstheme="minorHAnsi"/>
        </w:rPr>
        <w:t xml:space="preserve"> minėtą sprendimą apskundė teismui (18 punktas). Bylai pasiekus Latvijos Aukščiausiąjį Teismą, pastarasis sustabdė bylą ir pateikė Teisingumo Teismui </w:t>
      </w:r>
      <w:proofErr w:type="spellStart"/>
      <w:r w:rsidR="002923A0" w:rsidRPr="00986131">
        <w:rPr>
          <w:rFonts w:asciiTheme="minorHAnsi" w:hAnsiTheme="minorHAnsi" w:cstheme="minorHAnsi"/>
        </w:rPr>
        <w:t>prejudicinius</w:t>
      </w:r>
      <w:proofErr w:type="spellEnd"/>
      <w:r w:rsidR="002923A0" w:rsidRPr="00986131">
        <w:rPr>
          <w:rFonts w:asciiTheme="minorHAnsi" w:hAnsiTheme="minorHAnsi" w:cstheme="minorHAnsi"/>
        </w:rPr>
        <w:t xml:space="preserve"> klausimus (23–27 punktai).</w:t>
      </w:r>
    </w:p>
    <w:p w14:paraId="4189B211" w14:textId="77777777" w:rsidR="00B45727" w:rsidRPr="00986131" w:rsidRDefault="00B45727" w:rsidP="00AD0B10">
      <w:pPr>
        <w:ind w:firstLine="567"/>
        <w:rPr>
          <w:rFonts w:asciiTheme="minorHAnsi" w:hAnsiTheme="minorHAnsi" w:cstheme="minorHAnsi"/>
        </w:rPr>
      </w:pPr>
    </w:p>
    <w:p w14:paraId="5A810992" w14:textId="5A796114" w:rsidR="002F09DA" w:rsidRPr="00986131" w:rsidRDefault="002F09DA" w:rsidP="00125C26">
      <w:pPr>
        <w:pStyle w:val="Antrat3"/>
        <w:ind w:firstLine="567"/>
        <w:rPr>
          <w:rFonts w:cstheme="minorHAnsi"/>
        </w:rPr>
      </w:pPr>
      <w:bookmarkStart w:id="134" w:name="_Toc11232485"/>
      <w:bookmarkStart w:id="135" w:name="_Toc11232776"/>
      <w:bookmarkStart w:id="136" w:name="_Toc11758012"/>
      <w:r w:rsidRPr="00986131">
        <w:rPr>
          <w:rFonts w:cstheme="minorHAnsi"/>
        </w:rPr>
        <w:t xml:space="preserve">Dėl </w:t>
      </w:r>
      <w:r w:rsidR="002000A6" w:rsidRPr="00986131">
        <w:rPr>
          <w:rFonts w:cstheme="minorHAnsi"/>
        </w:rPr>
        <w:t>Direktyvos 95/46 3 straipsnio aiškinimo</w:t>
      </w:r>
      <w:bookmarkEnd w:id="134"/>
      <w:bookmarkEnd w:id="135"/>
      <w:bookmarkEnd w:id="136"/>
    </w:p>
    <w:p w14:paraId="23590640" w14:textId="77777777" w:rsidR="00125C26" w:rsidRPr="00986131" w:rsidRDefault="00125C26" w:rsidP="00125C26"/>
    <w:p w14:paraId="2951816B" w14:textId="5268C120" w:rsidR="002000A6" w:rsidRPr="00986131" w:rsidRDefault="00E52F15" w:rsidP="00735B72">
      <w:pPr>
        <w:ind w:firstLine="567"/>
        <w:rPr>
          <w:rFonts w:asciiTheme="minorHAnsi" w:hAnsiTheme="minorHAnsi" w:cstheme="minorHAnsi"/>
        </w:rPr>
      </w:pPr>
      <w:r w:rsidRPr="00986131">
        <w:rPr>
          <w:rFonts w:asciiTheme="minorHAnsi" w:hAnsiTheme="minorHAnsi" w:cstheme="minorHAnsi"/>
        </w:rPr>
        <w:t xml:space="preserve">Pirmuoju klausimu prašymą priimti </w:t>
      </w:r>
      <w:proofErr w:type="spellStart"/>
      <w:r w:rsidRPr="00986131">
        <w:rPr>
          <w:rFonts w:asciiTheme="minorHAnsi" w:hAnsiTheme="minorHAnsi" w:cstheme="minorHAnsi"/>
        </w:rPr>
        <w:t>prejudicinį</w:t>
      </w:r>
      <w:proofErr w:type="spellEnd"/>
      <w:r w:rsidRPr="00986131">
        <w:rPr>
          <w:rFonts w:asciiTheme="minorHAnsi" w:hAnsiTheme="minorHAnsi" w:cstheme="minorHAnsi"/>
        </w:rPr>
        <w:t xml:space="preserve"> sprendimą pateikęs teismas iš esmės siekė sužinoti, ar Direktyvos 95/46 3 straipsnį reikia aiškinti taip: policijos nuovadoje parodymus imančių policijos darbuotojų filmavimas ir taip parengto vaizdo įrašo paskelbimas interneto svetainėje, kurioje naudotojai gali įkelti, žiūrėti vaizdo įrašus ir jais dalytis, patenka į šios direktyvos taikymo sritį (28 punktas).</w:t>
      </w:r>
    </w:p>
    <w:p w14:paraId="17C5C278" w14:textId="51E22F11" w:rsidR="003A0DB4" w:rsidRPr="00986131" w:rsidRDefault="003A0DB4" w:rsidP="00735B72">
      <w:pPr>
        <w:ind w:firstLine="567"/>
        <w:rPr>
          <w:rFonts w:asciiTheme="minorHAnsi" w:hAnsiTheme="minorHAnsi" w:cstheme="minorHAnsi"/>
        </w:rPr>
      </w:pPr>
      <w:r w:rsidRPr="00986131">
        <w:rPr>
          <w:rFonts w:asciiTheme="minorHAnsi" w:hAnsiTheme="minorHAnsi" w:cstheme="minorHAnsi"/>
        </w:rPr>
        <w:t xml:space="preserve">Pagal suformuotą Teisingumo Teismo praktiką vaizdo kamera užfiksuotas asmens atvaizdas yra „asmens duomuo“, kaip tai suprantama pagal Direktyvos 95/46 2 straipsnio a punktą, kiek iš jo galima identifikuoti duomenų subjektą (šiuo klausimu žr. 2014 m. gruodžio 11 d. Sprendimo </w:t>
      </w:r>
      <w:proofErr w:type="spellStart"/>
      <w:r w:rsidRPr="00986131">
        <w:rPr>
          <w:rFonts w:asciiTheme="minorHAnsi" w:hAnsiTheme="minorHAnsi" w:cstheme="minorHAnsi"/>
          <w:i/>
        </w:rPr>
        <w:t>Ryneš</w:t>
      </w:r>
      <w:proofErr w:type="spellEnd"/>
      <w:r w:rsidRPr="00986131">
        <w:rPr>
          <w:rFonts w:asciiTheme="minorHAnsi" w:hAnsiTheme="minorHAnsi" w:cstheme="minorHAnsi"/>
        </w:rPr>
        <w:t>, C</w:t>
      </w:r>
      <w:r w:rsidRPr="00986131">
        <w:rPr>
          <w:rFonts w:ascii="Cambria Math" w:hAnsi="Cambria Math" w:cs="Cambria Math"/>
        </w:rPr>
        <w:t>‑</w:t>
      </w:r>
      <w:r w:rsidRPr="00986131">
        <w:rPr>
          <w:rFonts w:asciiTheme="minorHAnsi" w:hAnsiTheme="minorHAnsi" w:cstheme="minorHAnsi"/>
        </w:rPr>
        <w:t>212/13, ECLI:EU:C:2014:2428, 22 punkt</w:t>
      </w:r>
      <w:r w:rsidRPr="00986131">
        <w:rPr>
          <w:rFonts w:cs="Calibri"/>
        </w:rPr>
        <w:t>ą</w:t>
      </w:r>
      <w:r w:rsidRPr="00986131">
        <w:rPr>
          <w:rFonts w:asciiTheme="minorHAnsi" w:hAnsiTheme="minorHAnsi" w:cstheme="minorHAnsi"/>
        </w:rPr>
        <w:t>) (31 punktas).</w:t>
      </w:r>
      <w:r w:rsidRPr="00986131">
        <w:rPr>
          <w:rFonts w:ascii="Verdana" w:hAnsi="Verdana"/>
          <w:color w:val="333333"/>
          <w:sz w:val="18"/>
          <w:szCs w:val="18"/>
          <w:shd w:val="clear" w:color="auto" w:fill="FFFFFF"/>
        </w:rPr>
        <w:t xml:space="preserve"> </w:t>
      </w:r>
      <w:r w:rsidRPr="00986131">
        <w:rPr>
          <w:rFonts w:asciiTheme="minorHAnsi" w:hAnsiTheme="minorHAnsi" w:cstheme="minorHAnsi"/>
        </w:rPr>
        <w:t>Teisingumo Teismas jau konstatavo, kad stebėjimas darant asmenų vaizdo įrašą, saugomą nuolatinio įrašymo įrenginyje, t. y. kietajame diske, yra automatinis asmens duomenų tvarkymas, kaip tai suprantama pagal Direktyvos 95/46 2 straipsnio b punktą ir 3 straipsnio 1 dalį (šiuo klausimu žr. 2014 m. gruodžio 11 d. Sprendimo </w:t>
      </w:r>
      <w:proofErr w:type="spellStart"/>
      <w:r w:rsidRPr="00986131">
        <w:rPr>
          <w:rFonts w:asciiTheme="minorHAnsi" w:hAnsiTheme="minorHAnsi" w:cstheme="minorHAnsi"/>
          <w:i/>
          <w:iCs/>
        </w:rPr>
        <w:t>Ryneš</w:t>
      </w:r>
      <w:proofErr w:type="spellEnd"/>
      <w:r w:rsidRPr="00986131">
        <w:rPr>
          <w:rFonts w:asciiTheme="minorHAnsi" w:hAnsiTheme="minorHAnsi" w:cstheme="minorHAnsi"/>
        </w:rPr>
        <w:t>, C</w:t>
      </w:r>
      <w:r w:rsidRPr="00986131">
        <w:rPr>
          <w:rFonts w:asciiTheme="minorHAnsi" w:hAnsiTheme="minorHAnsi" w:cstheme="minorHAnsi"/>
        </w:rPr>
        <w:noBreakHyphen/>
        <w:t>212/13, EU:C:2014:2428, 23 ir 25 punktus) (34</w:t>
      </w:r>
      <w:r w:rsidR="00882528" w:rsidRPr="00986131">
        <w:rPr>
          <w:rFonts w:asciiTheme="minorHAnsi" w:hAnsiTheme="minorHAnsi" w:cstheme="minorHAnsi"/>
        </w:rPr>
        <w:t> </w:t>
      </w:r>
      <w:r w:rsidRPr="00986131">
        <w:rPr>
          <w:rFonts w:asciiTheme="minorHAnsi" w:hAnsiTheme="minorHAnsi" w:cstheme="minorHAnsi"/>
        </w:rPr>
        <w:t>punktas).</w:t>
      </w:r>
    </w:p>
    <w:p w14:paraId="72665F43" w14:textId="428E3C7D" w:rsidR="003A0DB4" w:rsidRPr="00986131" w:rsidRDefault="003A0DB4" w:rsidP="00735B72">
      <w:pPr>
        <w:ind w:firstLine="567"/>
        <w:rPr>
          <w:rFonts w:asciiTheme="minorHAnsi" w:hAnsiTheme="minorHAnsi" w:cstheme="minorHAnsi"/>
        </w:rPr>
      </w:pPr>
      <w:r w:rsidRPr="00986131">
        <w:rPr>
          <w:rFonts w:asciiTheme="minorHAnsi" w:hAnsiTheme="minorHAnsi" w:cstheme="minorHAnsi"/>
        </w:rPr>
        <w:lastRenderedPageBreak/>
        <w:t xml:space="preserve">Per posėdį Teisingumo Teisme S. </w:t>
      </w:r>
      <w:proofErr w:type="spellStart"/>
      <w:r w:rsidRPr="00986131">
        <w:rPr>
          <w:rFonts w:asciiTheme="minorHAnsi" w:hAnsiTheme="minorHAnsi" w:cstheme="minorHAnsi"/>
        </w:rPr>
        <w:t>Buivids</w:t>
      </w:r>
      <w:proofErr w:type="spellEnd"/>
      <w:r w:rsidRPr="00986131">
        <w:rPr>
          <w:rFonts w:asciiTheme="minorHAnsi" w:hAnsiTheme="minorHAnsi" w:cstheme="minorHAnsi"/>
        </w:rPr>
        <w:t xml:space="preserve"> tvirtino, kad aptariamą vaizdo įrašą darė skaitmeniniu fotoaparatu. Taigi buvo daromas asmenų vaizdo įrašas, saugomas nuolatinio įrašymo įrenginyje, t. y. minėtos kameros atminties kortelėje. Vadinasi, toks įrašas yra asmens duomenų tvarkymas automatiniu būdu, kaip tai suprantama pagal šios direktyvos 3 straipsnio 1 dalį (35 punktas).</w:t>
      </w:r>
      <w:r w:rsidR="003F04DC" w:rsidRPr="00986131">
        <w:rPr>
          <w:rFonts w:asciiTheme="minorHAnsi" w:hAnsiTheme="minorHAnsi" w:cstheme="minorHAnsi"/>
        </w:rPr>
        <w:t xml:space="preserve"> </w:t>
      </w:r>
    </w:p>
    <w:p w14:paraId="10A6E735" w14:textId="3EA7D504" w:rsidR="003F04DC" w:rsidRPr="00986131" w:rsidRDefault="003F04DC" w:rsidP="00735B72">
      <w:pPr>
        <w:ind w:firstLine="567"/>
        <w:rPr>
          <w:rFonts w:asciiTheme="minorHAnsi" w:hAnsiTheme="minorHAnsi" w:cstheme="minorHAnsi"/>
        </w:rPr>
      </w:pPr>
      <w:r w:rsidRPr="00986131">
        <w:rPr>
          <w:rFonts w:asciiTheme="minorHAnsi" w:hAnsiTheme="minorHAnsi" w:cstheme="minorHAnsi"/>
        </w:rPr>
        <w:t xml:space="preserve">Teismas pripažino, kad </w:t>
      </w:r>
      <w:r w:rsidRPr="00986131">
        <w:rPr>
          <w:rFonts w:asciiTheme="minorHAnsi" w:hAnsiTheme="minorHAnsi" w:cstheme="minorHAnsi"/>
          <w:u w:val="single"/>
        </w:rPr>
        <w:t xml:space="preserve">paskelbimas vaizdo įrašų interneto svetainėje, kur naudotojai gali įkelti ir žiūrėti vaizdo įrašus, kaip antai aptariamą vaizdo įrašą, kuriame yra asmens duomenų, ir jais dalytis, yra šių duomenų tvarkymas visiškai arba iš dalies automatiniu būdu, kaip tai suprantama pagal Direktyvos 95/46 2 straipsnio b punktą ir 3 straipsnio 1 dalį </w:t>
      </w:r>
      <w:r w:rsidRPr="00986131">
        <w:rPr>
          <w:rFonts w:asciiTheme="minorHAnsi" w:hAnsiTheme="minorHAnsi" w:cstheme="minorHAnsi"/>
        </w:rPr>
        <w:t>(39 punktas).</w:t>
      </w:r>
    </w:p>
    <w:p w14:paraId="53AF0348" w14:textId="43FD6862" w:rsidR="003A0DB4" w:rsidRPr="00986131" w:rsidRDefault="003F04DC" w:rsidP="00882528">
      <w:pPr>
        <w:ind w:firstLine="567"/>
        <w:rPr>
          <w:rFonts w:asciiTheme="minorHAnsi" w:hAnsiTheme="minorHAnsi" w:cstheme="minorHAnsi"/>
        </w:rPr>
      </w:pPr>
      <w:r w:rsidRPr="00AD5612">
        <w:rPr>
          <w:rFonts w:asciiTheme="minorHAnsi" w:hAnsiTheme="minorHAnsi" w:cstheme="minorHAnsi"/>
          <w:u w:val="single"/>
        </w:rPr>
        <w:t>Kadangi S. </w:t>
      </w:r>
      <w:proofErr w:type="spellStart"/>
      <w:r w:rsidRPr="00AD5612">
        <w:rPr>
          <w:rFonts w:asciiTheme="minorHAnsi" w:hAnsiTheme="minorHAnsi" w:cstheme="minorHAnsi"/>
          <w:u w:val="single"/>
        </w:rPr>
        <w:t>Buivids</w:t>
      </w:r>
      <w:proofErr w:type="spellEnd"/>
      <w:r w:rsidRPr="00AD5612">
        <w:rPr>
          <w:rFonts w:asciiTheme="minorHAnsi" w:hAnsiTheme="minorHAnsi" w:cstheme="minorHAnsi"/>
          <w:u w:val="single"/>
        </w:rPr>
        <w:t>, nenustatydamas prieigos apribojimų, paskelbė aptariamą vaizdo įrašą vaizdo įrašų interneto svetainėje, kurioje naudotojai gali juos įkelti, žiūrėti ir jais dalytis, ir taip asmens duomenis padarė prieinamus neapibrėžtam asmenų skaičiui, pagrindinėje byloje nagrinėjamas asmens duomenų tvarkymas nėra tik asmeninė ar namų ūkio veikla</w:t>
      </w:r>
      <w:r w:rsidRPr="00986131">
        <w:rPr>
          <w:rFonts w:asciiTheme="minorHAnsi" w:hAnsiTheme="minorHAnsi" w:cstheme="minorHAnsi"/>
        </w:rPr>
        <w:t xml:space="preserve"> (43 punktas).</w:t>
      </w:r>
      <w:r w:rsidRPr="00986131">
        <w:rPr>
          <w:rFonts w:ascii="Verdana" w:hAnsi="Verdana"/>
          <w:color w:val="333333"/>
          <w:sz w:val="18"/>
          <w:szCs w:val="18"/>
          <w:shd w:val="clear" w:color="auto" w:fill="FFFFFF"/>
        </w:rPr>
        <w:t xml:space="preserve"> </w:t>
      </w:r>
      <w:r w:rsidRPr="00986131">
        <w:rPr>
          <w:rFonts w:asciiTheme="minorHAnsi" w:hAnsiTheme="minorHAnsi" w:cstheme="minorHAnsi"/>
        </w:rPr>
        <w:t>Be to, aplinkybė, kad policijos darbuotojai nufilmuoti, kai vykdė savo tarnybines pareigas, nereiškia, kad toks asmens duomenų tvarkymas nepatenka į Direktyvos 95/46 taikymo sritį (44 punktas).</w:t>
      </w:r>
    </w:p>
    <w:p w14:paraId="36DEBA3E" w14:textId="77777777" w:rsidR="00E52F15" w:rsidRPr="00986131" w:rsidRDefault="00E52F15" w:rsidP="00735B72">
      <w:pPr>
        <w:ind w:firstLine="567"/>
        <w:rPr>
          <w:rFonts w:asciiTheme="minorHAnsi" w:hAnsiTheme="minorHAnsi" w:cstheme="minorHAnsi"/>
        </w:rPr>
      </w:pPr>
    </w:p>
    <w:p w14:paraId="199BA43C" w14:textId="4FE9A5D3" w:rsidR="002000A6" w:rsidRPr="00986131" w:rsidRDefault="002000A6" w:rsidP="002000A6">
      <w:pPr>
        <w:pStyle w:val="Antrat3"/>
        <w:ind w:firstLine="567"/>
        <w:rPr>
          <w:rFonts w:cstheme="minorHAnsi"/>
        </w:rPr>
      </w:pPr>
      <w:bookmarkStart w:id="137" w:name="_Toc11232486"/>
      <w:bookmarkStart w:id="138" w:name="_Toc11232777"/>
      <w:bookmarkStart w:id="139" w:name="_Toc11758013"/>
      <w:r w:rsidRPr="00986131">
        <w:rPr>
          <w:rFonts w:cstheme="minorHAnsi"/>
        </w:rPr>
        <w:t>Dėl Direktyvos 95/46 9 straipsnio aiškinimo</w:t>
      </w:r>
      <w:bookmarkEnd w:id="137"/>
      <w:bookmarkEnd w:id="138"/>
      <w:bookmarkEnd w:id="139"/>
    </w:p>
    <w:p w14:paraId="02F83EC2" w14:textId="77777777" w:rsidR="002000A6" w:rsidRPr="00986131" w:rsidRDefault="002000A6" w:rsidP="002000A6"/>
    <w:p w14:paraId="088C4B5B" w14:textId="70056ECD" w:rsidR="002000A6" w:rsidRPr="00986131" w:rsidRDefault="00E52F15" w:rsidP="00735B72">
      <w:pPr>
        <w:ind w:firstLine="567"/>
        <w:rPr>
          <w:rFonts w:asciiTheme="minorHAnsi" w:hAnsiTheme="minorHAnsi" w:cstheme="minorHAnsi"/>
        </w:rPr>
      </w:pPr>
      <w:r w:rsidRPr="00986131">
        <w:rPr>
          <w:rFonts w:asciiTheme="minorHAnsi" w:hAnsiTheme="minorHAnsi" w:cstheme="minorHAnsi"/>
        </w:rPr>
        <w:t xml:space="preserve">Antruoju klausimu prašymą priimti </w:t>
      </w:r>
      <w:proofErr w:type="spellStart"/>
      <w:r w:rsidRPr="00986131">
        <w:rPr>
          <w:rFonts w:asciiTheme="minorHAnsi" w:hAnsiTheme="minorHAnsi" w:cstheme="minorHAnsi"/>
        </w:rPr>
        <w:t>prejudicinį</w:t>
      </w:r>
      <w:proofErr w:type="spellEnd"/>
      <w:r w:rsidRPr="00986131">
        <w:rPr>
          <w:rFonts w:asciiTheme="minorHAnsi" w:hAnsiTheme="minorHAnsi" w:cstheme="minorHAnsi"/>
        </w:rPr>
        <w:t xml:space="preserve"> sprendimą pateikęs teismas iš esmės siekė išsiaiškinti, ar Direktyvos 95/46 9 straipsnį reikia aiškinti taip: tokias faktines aplinkybes, kokios nagrinėjamos pagrindinėje byloje, t. y. policijos nuovadoje parodymus imančių policijos darbuotojų filmavimą ir taip parengto vaizdo įrašo paskelbimą interneto svetainėje, kurioje naudotojai gali įkelti, žiūrėti vaizdo įrašus ir jais dalytis, galima laikyti asmens duomenų tvarkymu žurnalistiniais sumetimais, kaip tai suprantama pagal šią nuostatą (48 punktas).</w:t>
      </w:r>
    </w:p>
    <w:p w14:paraId="1B78A53D" w14:textId="22F2FA7E" w:rsidR="00D416CD" w:rsidRPr="00986131" w:rsidRDefault="00D416CD" w:rsidP="00735B72">
      <w:pPr>
        <w:ind w:firstLine="567"/>
        <w:rPr>
          <w:rFonts w:asciiTheme="minorHAnsi" w:hAnsiTheme="minorHAnsi" w:cstheme="minorHAnsi"/>
        </w:rPr>
      </w:pPr>
      <w:r w:rsidRPr="00986131">
        <w:rPr>
          <w:rFonts w:asciiTheme="minorHAnsi" w:hAnsiTheme="minorHAnsi" w:cstheme="minorHAnsi"/>
        </w:rPr>
        <w:t>Teisingumo Teismas pažymėjo, kad iš Direktyvos 95/46 parengiamųjų darbų matyti, jog šios direktyvos 9 straipsnyje numatytos išimtys ir nukrypti leidžiančios nuostatos taikomos ne tik visuomenės informavimo įmonėms, bet ir bet kuriam asmeniui, užsiimančiam žurnalistikos veikla (šiuo klausimu žr. 2008 m. gruodžio 16 d. Sprendimo </w:t>
      </w:r>
      <w:proofErr w:type="spellStart"/>
      <w:r w:rsidRPr="00986131">
        <w:rPr>
          <w:rFonts w:asciiTheme="minorHAnsi" w:hAnsiTheme="minorHAnsi" w:cstheme="minorHAnsi"/>
          <w:i/>
          <w:iCs/>
        </w:rPr>
        <w:t>Satakunnan</w:t>
      </w:r>
      <w:proofErr w:type="spellEnd"/>
      <w:r w:rsidRPr="00986131">
        <w:rPr>
          <w:rFonts w:asciiTheme="minorHAnsi" w:hAnsiTheme="minorHAnsi" w:cstheme="minorHAnsi"/>
          <w:i/>
          <w:iCs/>
        </w:rPr>
        <w:t xml:space="preserve"> </w:t>
      </w:r>
      <w:proofErr w:type="spellStart"/>
      <w:r w:rsidRPr="00986131">
        <w:rPr>
          <w:rFonts w:asciiTheme="minorHAnsi" w:hAnsiTheme="minorHAnsi" w:cstheme="minorHAnsi"/>
          <w:i/>
          <w:iCs/>
        </w:rPr>
        <w:t>Markkinapörssi</w:t>
      </w:r>
      <w:proofErr w:type="spellEnd"/>
      <w:r w:rsidRPr="00986131">
        <w:rPr>
          <w:rFonts w:asciiTheme="minorHAnsi" w:hAnsiTheme="minorHAnsi" w:cstheme="minorHAnsi"/>
          <w:i/>
          <w:iCs/>
        </w:rPr>
        <w:t xml:space="preserve"> ir </w:t>
      </w:r>
      <w:proofErr w:type="spellStart"/>
      <w:r w:rsidRPr="00986131">
        <w:rPr>
          <w:rFonts w:asciiTheme="minorHAnsi" w:hAnsiTheme="minorHAnsi" w:cstheme="minorHAnsi"/>
          <w:i/>
          <w:iCs/>
        </w:rPr>
        <w:t>Satamedia</w:t>
      </w:r>
      <w:proofErr w:type="spellEnd"/>
      <w:r w:rsidRPr="00986131">
        <w:rPr>
          <w:rFonts w:asciiTheme="minorHAnsi" w:hAnsiTheme="minorHAnsi" w:cstheme="minorHAnsi"/>
        </w:rPr>
        <w:t>, C</w:t>
      </w:r>
      <w:r w:rsidRPr="00986131">
        <w:rPr>
          <w:rFonts w:asciiTheme="minorHAnsi" w:hAnsiTheme="minorHAnsi" w:cstheme="minorHAnsi"/>
        </w:rPr>
        <w:noBreakHyphen/>
        <w:t>73/07, EU:C:2008:727, 58 punktą)</w:t>
      </w:r>
      <w:r w:rsidR="00D92EDC" w:rsidRPr="00986131">
        <w:rPr>
          <w:rFonts w:asciiTheme="minorHAnsi" w:hAnsiTheme="minorHAnsi" w:cstheme="minorHAnsi"/>
        </w:rPr>
        <w:t xml:space="preserve"> (52 punktas)</w:t>
      </w:r>
      <w:r w:rsidRPr="00986131">
        <w:rPr>
          <w:rFonts w:asciiTheme="minorHAnsi" w:hAnsiTheme="minorHAnsi" w:cstheme="minorHAnsi"/>
        </w:rPr>
        <w:t>.</w:t>
      </w:r>
      <w:r w:rsidR="00D92EDC" w:rsidRPr="00986131">
        <w:rPr>
          <w:rFonts w:asciiTheme="minorHAnsi" w:hAnsiTheme="minorHAnsi" w:cstheme="minorHAnsi"/>
        </w:rPr>
        <w:t xml:space="preserve"> Tai, kad S. </w:t>
      </w:r>
      <w:proofErr w:type="spellStart"/>
      <w:r w:rsidR="00D92EDC" w:rsidRPr="00986131">
        <w:rPr>
          <w:rFonts w:asciiTheme="minorHAnsi" w:hAnsiTheme="minorHAnsi" w:cstheme="minorHAnsi"/>
        </w:rPr>
        <w:t>Buivids</w:t>
      </w:r>
      <w:proofErr w:type="spellEnd"/>
      <w:r w:rsidR="00D92EDC" w:rsidRPr="00986131">
        <w:rPr>
          <w:rFonts w:asciiTheme="minorHAnsi" w:hAnsiTheme="minorHAnsi" w:cstheme="minorHAnsi"/>
        </w:rPr>
        <w:t xml:space="preserve"> nėra profesionalus žurnalistas, nereiškia, kad aptariamo vaizdo įrašo parengimui ir jo paskelbimui vaizdo įrašų interneto svetainėje, kurioje naudotojai gali įkelti, žiūrėti vaizdo įrašus ir jais dalytis, negalima taikyti šios nuostatos (55 punktas).</w:t>
      </w:r>
      <w:r w:rsidR="00426A8E" w:rsidRPr="00986131">
        <w:rPr>
          <w:rFonts w:asciiTheme="minorHAnsi" w:hAnsiTheme="minorHAnsi" w:cstheme="minorHAnsi"/>
        </w:rPr>
        <w:t xml:space="preserve"> </w:t>
      </w:r>
      <w:r w:rsidR="00426A8E" w:rsidRPr="00AD5612">
        <w:rPr>
          <w:rFonts w:asciiTheme="minorHAnsi" w:hAnsiTheme="minorHAnsi" w:cstheme="minorHAnsi"/>
        </w:rPr>
        <w:t>Tai, kad S. </w:t>
      </w:r>
      <w:proofErr w:type="spellStart"/>
      <w:r w:rsidR="00426A8E" w:rsidRPr="00AD5612">
        <w:rPr>
          <w:rFonts w:asciiTheme="minorHAnsi" w:hAnsiTheme="minorHAnsi" w:cstheme="minorHAnsi"/>
        </w:rPr>
        <w:t>Buivids</w:t>
      </w:r>
      <w:proofErr w:type="spellEnd"/>
      <w:r w:rsidR="00426A8E" w:rsidRPr="00AD5612">
        <w:rPr>
          <w:rFonts w:asciiTheme="minorHAnsi" w:hAnsiTheme="minorHAnsi" w:cstheme="minorHAnsi"/>
        </w:rPr>
        <w:t xml:space="preserve"> įkėlė šį įrašą į interneto svetainę, kaip antai </w:t>
      </w:r>
      <w:r w:rsidR="00426A8E" w:rsidRPr="00AD5612">
        <w:rPr>
          <w:rFonts w:asciiTheme="minorHAnsi" w:hAnsiTheme="minorHAnsi" w:cstheme="minorHAnsi"/>
          <w:i/>
          <w:iCs/>
        </w:rPr>
        <w:t>www.youtube.com</w:t>
      </w:r>
      <w:r w:rsidR="00426A8E" w:rsidRPr="00AD5612">
        <w:rPr>
          <w:rFonts w:asciiTheme="minorHAnsi" w:hAnsiTheme="minorHAnsi" w:cstheme="minorHAnsi"/>
        </w:rPr>
        <w:t>, savaime negali reikšti, kad toks asmens duomenų tvarkymas negalėjo būti vykdomas „tik žurnalistiniais sumetimais“, kaip tai suprantama pagal Direktyvos 95/46 9 straipsnį</w:t>
      </w:r>
      <w:r w:rsidR="00426A8E" w:rsidRPr="00986131">
        <w:rPr>
          <w:rFonts w:asciiTheme="minorHAnsi" w:hAnsiTheme="minorHAnsi" w:cstheme="minorHAnsi"/>
        </w:rPr>
        <w:t xml:space="preserve"> (56 punktas). Tačiau negalima teigti, kad bet kokia internete paskelbta informacija, kurioje yra asmens duomenų, patenka į sąvoką „žurnalistikos veikla“ ir todėl jai taikomos išimtys ir nukrypti leidžiančios nuostatos, numatytos Direktyvos 95/46 9 straipsnyje (58 punktas).</w:t>
      </w:r>
      <w:r w:rsidR="00426A8E" w:rsidRPr="00986131">
        <w:rPr>
          <w:rFonts w:ascii="Verdana" w:hAnsi="Verdana"/>
          <w:color w:val="333333"/>
          <w:sz w:val="18"/>
          <w:szCs w:val="18"/>
          <w:shd w:val="clear" w:color="auto" w:fill="FFFFFF"/>
        </w:rPr>
        <w:t xml:space="preserve"> </w:t>
      </w:r>
      <w:r w:rsidR="00426A8E" w:rsidRPr="00986131">
        <w:rPr>
          <w:rFonts w:asciiTheme="minorHAnsi" w:hAnsiTheme="minorHAnsi" w:cstheme="minorHAnsi"/>
        </w:rPr>
        <w:t>Šiuo atveju</w:t>
      </w:r>
      <w:r w:rsidR="00426A8E" w:rsidRPr="00AD5612">
        <w:rPr>
          <w:rFonts w:asciiTheme="minorHAnsi" w:hAnsiTheme="minorHAnsi" w:cstheme="minorHAnsi"/>
          <w:u w:val="single"/>
        </w:rPr>
        <w:t xml:space="preserve"> prašymą priimti </w:t>
      </w:r>
      <w:proofErr w:type="spellStart"/>
      <w:r w:rsidR="00426A8E" w:rsidRPr="00AD5612">
        <w:rPr>
          <w:rFonts w:asciiTheme="minorHAnsi" w:hAnsiTheme="minorHAnsi" w:cstheme="minorHAnsi"/>
          <w:u w:val="single"/>
        </w:rPr>
        <w:t>prejudicinį</w:t>
      </w:r>
      <w:proofErr w:type="spellEnd"/>
      <w:r w:rsidR="00426A8E" w:rsidRPr="00AD5612">
        <w:rPr>
          <w:rFonts w:asciiTheme="minorHAnsi" w:hAnsiTheme="minorHAnsi" w:cstheme="minorHAnsi"/>
          <w:u w:val="single"/>
        </w:rPr>
        <w:t xml:space="preserve"> sprendimą pateikęs teismas turi patikrinti, ar iš aptariamo vaizdo įrašo matyti, kad jis parengtas ir paskelbtas siekiant vienintelio tikslo: skleisti visuomenei informaciją, nuomones ar idėjas</w:t>
      </w:r>
      <w:r w:rsidR="00426A8E" w:rsidRPr="00986131">
        <w:rPr>
          <w:rFonts w:asciiTheme="minorHAnsi" w:hAnsiTheme="minorHAnsi" w:cstheme="minorHAnsi"/>
        </w:rPr>
        <w:t xml:space="preserve"> (šiuo klausimu žr. 2008 m. gruodžio 16 d. Sprendimo </w:t>
      </w:r>
      <w:proofErr w:type="spellStart"/>
      <w:r w:rsidR="00426A8E" w:rsidRPr="00986131">
        <w:rPr>
          <w:rFonts w:asciiTheme="minorHAnsi" w:hAnsiTheme="minorHAnsi" w:cstheme="minorHAnsi"/>
          <w:i/>
          <w:iCs/>
        </w:rPr>
        <w:t>Satakunnan</w:t>
      </w:r>
      <w:proofErr w:type="spellEnd"/>
      <w:r w:rsidR="00426A8E" w:rsidRPr="00986131">
        <w:rPr>
          <w:rFonts w:asciiTheme="minorHAnsi" w:hAnsiTheme="minorHAnsi" w:cstheme="minorHAnsi"/>
          <w:i/>
          <w:iCs/>
        </w:rPr>
        <w:t xml:space="preserve"> </w:t>
      </w:r>
      <w:proofErr w:type="spellStart"/>
      <w:r w:rsidR="00426A8E" w:rsidRPr="00986131">
        <w:rPr>
          <w:rFonts w:asciiTheme="minorHAnsi" w:hAnsiTheme="minorHAnsi" w:cstheme="minorHAnsi"/>
          <w:i/>
          <w:iCs/>
        </w:rPr>
        <w:t>Markkinapörssi</w:t>
      </w:r>
      <w:proofErr w:type="spellEnd"/>
      <w:r w:rsidR="00426A8E" w:rsidRPr="00986131">
        <w:rPr>
          <w:rFonts w:asciiTheme="minorHAnsi" w:hAnsiTheme="minorHAnsi" w:cstheme="minorHAnsi"/>
          <w:i/>
          <w:iCs/>
        </w:rPr>
        <w:t xml:space="preserve"> ir </w:t>
      </w:r>
      <w:proofErr w:type="spellStart"/>
      <w:r w:rsidR="00426A8E" w:rsidRPr="00986131">
        <w:rPr>
          <w:rFonts w:asciiTheme="minorHAnsi" w:hAnsiTheme="minorHAnsi" w:cstheme="minorHAnsi"/>
          <w:i/>
          <w:iCs/>
        </w:rPr>
        <w:t>Satamedia</w:t>
      </w:r>
      <w:proofErr w:type="spellEnd"/>
      <w:r w:rsidR="00426A8E" w:rsidRPr="00986131">
        <w:rPr>
          <w:rFonts w:asciiTheme="minorHAnsi" w:hAnsiTheme="minorHAnsi" w:cstheme="minorHAnsi"/>
        </w:rPr>
        <w:t>, C</w:t>
      </w:r>
      <w:r w:rsidR="00426A8E" w:rsidRPr="00986131">
        <w:rPr>
          <w:rFonts w:asciiTheme="minorHAnsi" w:hAnsiTheme="minorHAnsi" w:cstheme="minorHAnsi"/>
        </w:rPr>
        <w:noBreakHyphen/>
        <w:t>73/07, EU:C:2008:727, 62 punktą) (59 punktas).</w:t>
      </w:r>
    </w:p>
    <w:p w14:paraId="5E807556" w14:textId="2DEEA455" w:rsidR="00426A8E" w:rsidRPr="00986131" w:rsidRDefault="00426A8E" w:rsidP="00735B72">
      <w:pPr>
        <w:ind w:firstLine="567"/>
        <w:rPr>
          <w:rFonts w:asciiTheme="minorHAnsi" w:hAnsiTheme="minorHAnsi" w:cstheme="minorHAnsi"/>
        </w:rPr>
      </w:pPr>
      <w:r w:rsidRPr="00986131">
        <w:rPr>
          <w:rFonts w:asciiTheme="minorHAnsi" w:hAnsiTheme="minorHAnsi" w:cstheme="minorHAnsi"/>
        </w:rPr>
        <w:t>Teismas priminė, kad</w:t>
      </w:r>
      <w:r w:rsidRPr="00AD5612">
        <w:rPr>
          <w:rFonts w:asciiTheme="minorHAnsi" w:hAnsiTheme="minorHAnsi" w:cstheme="minorHAnsi"/>
          <w:u w:val="single"/>
        </w:rPr>
        <w:t xml:space="preserve"> Direktyvos 95/46 9 straipsnyje numatytas išimtis ir nukrypti leidžiančias nuostatas galima taikyti tik jeigu paaiškėtų, jog jos būtinos siekiant suderinti dvi pagrindines teises: teisę į privataus gyvenimo apsaugą ir teisę į saviraiškos laisvę</w:t>
      </w:r>
      <w:r w:rsidRPr="00986131">
        <w:rPr>
          <w:rFonts w:asciiTheme="minorHAnsi" w:hAnsiTheme="minorHAnsi" w:cstheme="minorHAnsi"/>
        </w:rPr>
        <w:t xml:space="preserve"> (šiuo klausimu žr. 2008 m. gruodžio 16 d. Sprendimo </w:t>
      </w:r>
      <w:proofErr w:type="spellStart"/>
      <w:r w:rsidRPr="00986131">
        <w:rPr>
          <w:rFonts w:asciiTheme="minorHAnsi" w:hAnsiTheme="minorHAnsi" w:cstheme="minorHAnsi"/>
          <w:i/>
          <w:iCs/>
        </w:rPr>
        <w:t>Satakunnan</w:t>
      </w:r>
      <w:proofErr w:type="spellEnd"/>
      <w:r w:rsidRPr="00986131">
        <w:rPr>
          <w:rFonts w:asciiTheme="minorHAnsi" w:hAnsiTheme="minorHAnsi" w:cstheme="minorHAnsi"/>
          <w:i/>
          <w:iCs/>
        </w:rPr>
        <w:t xml:space="preserve"> </w:t>
      </w:r>
      <w:proofErr w:type="spellStart"/>
      <w:r w:rsidRPr="00986131">
        <w:rPr>
          <w:rFonts w:asciiTheme="minorHAnsi" w:hAnsiTheme="minorHAnsi" w:cstheme="minorHAnsi"/>
          <w:i/>
          <w:iCs/>
        </w:rPr>
        <w:t>Markkinapörssi</w:t>
      </w:r>
      <w:proofErr w:type="spellEnd"/>
      <w:r w:rsidRPr="00986131">
        <w:rPr>
          <w:rFonts w:asciiTheme="minorHAnsi" w:hAnsiTheme="minorHAnsi" w:cstheme="minorHAnsi"/>
          <w:i/>
          <w:iCs/>
        </w:rPr>
        <w:t xml:space="preserve"> ir </w:t>
      </w:r>
      <w:proofErr w:type="spellStart"/>
      <w:r w:rsidRPr="00986131">
        <w:rPr>
          <w:rFonts w:asciiTheme="minorHAnsi" w:hAnsiTheme="minorHAnsi" w:cstheme="minorHAnsi"/>
          <w:i/>
          <w:iCs/>
        </w:rPr>
        <w:t>Satamedia</w:t>
      </w:r>
      <w:proofErr w:type="spellEnd"/>
      <w:r w:rsidRPr="00986131">
        <w:rPr>
          <w:rFonts w:asciiTheme="minorHAnsi" w:hAnsiTheme="minorHAnsi" w:cstheme="minorHAnsi"/>
        </w:rPr>
        <w:t>, C</w:t>
      </w:r>
      <w:r w:rsidRPr="00986131">
        <w:rPr>
          <w:rFonts w:asciiTheme="minorHAnsi" w:hAnsiTheme="minorHAnsi" w:cstheme="minorHAnsi"/>
        </w:rPr>
        <w:noBreakHyphen/>
        <w:t>73/07, EU:C:2008:727, 55 punktą) (63 punktas).</w:t>
      </w:r>
    </w:p>
    <w:p w14:paraId="41744ADB" w14:textId="55713BC9" w:rsidR="001D3B64" w:rsidRPr="00986131" w:rsidRDefault="004038EA" w:rsidP="00735B72">
      <w:pPr>
        <w:ind w:firstLine="567"/>
        <w:rPr>
          <w:rFonts w:asciiTheme="minorHAnsi" w:hAnsiTheme="minorHAnsi" w:cstheme="minorHAnsi"/>
        </w:rPr>
      </w:pPr>
      <w:r w:rsidRPr="00986131">
        <w:rPr>
          <w:rFonts w:asciiTheme="minorHAnsi" w:hAnsiTheme="minorHAnsi" w:cstheme="minorHAnsi"/>
        </w:rPr>
        <w:t xml:space="preserve">Teismas nurodė, </w:t>
      </w:r>
      <w:r w:rsidR="000F64EE" w:rsidRPr="00986131">
        <w:rPr>
          <w:rFonts w:asciiTheme="minorHAnsi" w:hAnsiTheme="minorHAnsi" w:cstheme="minorHAnsi"/>
        </w:rPr>
        <w:t>jog</w:t>
      </w:r>
      <w:r w:rsidRPr="00986131">
        <w:rPr>
          <w:rFonts w:asciiTheme="minorHAnsi" w:hAnsiTheme="minorHAnsi" w:cstheme="minorHAnsi"/>
        </w:rPr>
        <w:t xml:space="preserve"> </w:t>
      </w:r>
      <w:r w:rsidR="000F64EE" w:rsidRPr="00986131">
        <w:rPr>
          <w:rFonts w:asciiTheme="minorHAnsi" w:hAnsiTheme="minorHAnsi" w:cstheme="minorHAnsi"/>
        </w:rPr>
        <w:t>j</w:t>
      </w:r>
      <w:r w:rsidRPr="00986131">
        <w:rPr>
          <w:rFonts w:asciiTheme="minorHAnsi" w:hAnsiTheme="minorHAnsi" w:cstheme="minorHAnsi"/>
        </w:rPr>
        <w:t xml:space="preserve">ei paaiškėtų, kad vienintelis aptariamo vaizdo įrašo parengimo ir paskelbimo tikslas – atskleisti visuomenei informaciją, nuomones arba idėjas, prašymą priimti </w:t>
      </w:r>
      <w:proofErr w:type="spellStart"/>
      <w:r w:rsidRPr="00986131">
        <w:rPr>
          <w:rFonts w:asciiTheme="minorHAnsi" w:hAnsiTheme="minorHAnsi" w:cstheme="minorHAnsi"/>
        </w:rPr>
        <w:t>prejudicinį</w:t>
      </w:r>
      <w:proofErr w:type="spellEnd"/>
      <w:r w:rsidRPr="00986131">
        <w:rPr>
          <w:rFonts w:asciiTheme="minorHAnsi" w:hAnsiTheme="minorHAnsi" w:cstheme="minorHAnsi"/>
        </w:rPr>
        <w:t xml:space="preserve"> sprendimą pateikęs teismas turi įvertinti, ar išimtys ir nukrypti leidžiančios nuostatos, numatytos Direktyvos 95/46 9 straipsnyje, yra būtinos siekiant teisę į privatų gyvenimą suderinti su saviraiškos laisvę reglamentuojančiomis taisyklėmis ir ar šios išimtys ir nukrypti leidžiančios nuostatos taikomos tik tiek, kiek būtinai reikia (68 punktas).</w:t>
      </w:r>
    </w:p>
    <w:p w14:paraId="0933A25A" w14:textId="77777777" w:rsidR="000647E8" w:rsidRPr="00986131" w:rsidRDefault="000647E8" w:rsidP="00125C26"/>
    <w:p w14:paraId="1CE81B53" w14:textId="77777777" w:rsidR="002F09DA" w:rsidRPr="00986131" w:rsidRDefault="002F09DA" w:rsidP="00AD0B10">
      <w:pPr>
        <w:ind w:firstLine="567"/>
        <w:rPr>
          <w:rFonts w:asciiTheme="minorHAnsi" w:eastAsia="Times New Roman" w:hAnsiTheme="minorHAnsi" w:cstheme="minorHAnsi"/>
          <w:b/>
          <w:lang w:eastAsia="lt-LT"/>
        </w:rPr>
      </w:pPr>
      <w:r w:rsidRPr="00986131">
        <w:rPr>
          <w:rFonts w:asciiTheme="minorHAnsi" w:eastAsia="Times New Roman" w:hAnsiTheme="minorHAnsi" w:cstheme="minorHAnsi"/>
          <w:b/>
          <w:lang w:eastAsia="lt-LT"/>
        </w:rPr>
        <w:t>Remdamasis šiais motyvais, Teisingumo Teismas (</w:t>
      </w:r>
      <w:r w:rsidR="002000A6" w:rsidRPr="00986131">
        <w:rPr>
          <w:rFonts w:asciiTheme="minorHAnsi" w:eastAsia="Times New Roman" w:hAnsiTheme="minorHAnsi" w:cstheme="minorHAnsi"/>
          <w:b/>
          <w:lang w:eastAsia="lt-LT"/>
        </w:rPr>
        <w:t>antroji</w:t>
      </w:r>
      <w:r w:rsidRPr="00986131">
        <w:rPr>
          <w:rFonts w:asciiTheme="minorHAnsi" w:eastAsia="Times New Roman" w:hAnsiTheme="minorHAnsi" w:cstheme="minorHAnsi"/>
          <w:b/>
          <w:lang w:eastAsia="lt-LT"/>
        </w:rPr>
        <w:t xml:space="preserve"> kolegija) nusprendė:</w:t>
      </w:r>
    </w:p>
    <w:p w14:paraId="0F6CF20F" w14:textId="77777777" w:rsidR="002000A6" w:rsidRPr="00986131" w:rsidRDefault="002000A6" w:rsidP="002000A6">
      <w:pPr>
        <w:ind w:firstLine="567"/>
        <w:rPr>
          <w:rFonts w:asciiTheme="minorHAnsi" w:eastAsia="Times New Roman" w:hAnsiTheme="minorHAnsi" w:cstheme="minorHAnsi"/>
          <w:bCs/>
          <w:lang w:eastAsia="lt-LT"/>
        </w:rPr>
      </w:pPr>
      <w:r w:rsidRPr="00986131">
        <w:rPr>
          <w:rFonts w:asciiTheme="minorHAnsi" w:eastAsia="Times New Roman" w:hAnsiTheme="minorHAnsi" w:cstheme="minorHAnsi"/>
          <w:bCs/>
          <w:lang w:eastAsia="lt-LT"/>
        </w:rPr>
        <w:t xml:space="preserve">1. 1995 m. spalio 24 d. Europos Parlamento ir Tarybos direktyvos 95/46/EB dėl asmenų apsaugos tvarkant asmens duomenis ir dėl laisvo tokių duomenų judėjimo 3 straipsnį reikia aiškinti taip: policijos nuovadoje parodymus imančių policijos darbuotojų filmavimas ir taip parengto vaizdo įrašo paskelbimas </w:t>
      </w:r>
      <w:r w:rsidRPr="00986131">
        <w:rPr>
          <w:rFonts w:asciiTheme="minorHAnsi" w:eastAsia="Times New Roman" w:hAnsiTheme="minorHAnsi" w:cstheme="minorHAnsi"/>
          <w:bCs/>
          <w:lang w:eastAsia="lt-LT"/>
        </w:rPr>
        <w:lastRenderedPageBreak/>
        <w:t>interneto svetainėje, kurioje naudotojai gali įkelti, žiūrėti vaizdo įrašus ir jais dalytis, patenka į šios direktyvos taikymo sritį.</w:t>
      </w:r>
    </w:p>
    <w:p w14:paraId="618EF127" w14:textId="77777777" w:rsidR="002000A6" w:rsidRPr="00986131" w:rsidRDefault="002000A6" w:rsidP="002000A6">
      <w:pPr>
        <w:ind w:firstLine="567"/>
        <w:rPr>
          <w:rFonts w:asciiTheme="minorHAnsi" w:eastAsia="Times New Roman" w:hAnsiTheme="minorHAnsi" w:cstheme="minorHAnsi"/>
          <w:bCs/>
          <w:lang w:eastAsia="lt-LT"/>
        </w:rPr>
      </w:pPr>
      <w:r w:rsidRPr="00986131">
        <w:rPr>
          <w:rFonts w:asciiTheme="minorHAnsi" w:eastAsia="Times New Roman" w:hAnsiTheme="minorHAnsi" w:cstheme="minorHAnsi"/>
          <w:bCs/>
          <w:lang w:eastAsia="lt-LT"/>
        </w:rPr>
        <w:t xml:space="preserve">2. Direktyvos 95/46 9 straipsnį reikia aiškinti taip: tokias faktines aplinkybes, kokios nagrinėjamos pagrindinėje byloje, t. y. policijos nuovadoje parodymus imančių policijos darbuotojų filmavimą ir taip parengto vaizdo įrašo paskelbimą interneto svetainėje, kurioje naudotojai gali įkelti, žiūrėti vaizdo įrašus ir jais dalytis, galima laikyti asmens duomenų tvarkymu tik žurnalistiniais sumetimais, kaip tai suprantama pagal šią nuostatą, jei iš minėto vaizdo įrašo aišku, kad vienintelis jo parengimo ir paskelbimo tikslas – atskleisti visuomenei informaciją, nuomones arba idėjas, o tai patikrinti turi prašymą priimti </w:t>
      </w:r>
      <w:proofErr w:type="spellStart"/>
      <w:r w:rsidRPr="00986131">
        <w:rPr>
          <w:rFonts w:asciiTheme="minorHAnsi" w:eastAsia="Times New Roman" w:hAnsiTheme="minorHAnsi" w:cstheme="minorHAnsi"/>
          <w:bCs/>
          <w:lang w:eastAsia="lt-LT"/>
        </w:rPr>
        <w:t>prejudicinį</w:t>
      </w:r>
      <w:proofErr w:type="spellEnd"/>
      <w:r w:rsidRPr="00986131">
        <w:rPr>
          <w:rFonts w:asciiTheme="minorHAnsi" w:eastAsia="Times New Roman" w:hAnsiTheme="minorHAnsi" w:cstheme="minorHAnsi"/>
          <w:bCs/>
          <w:lang w:eastAsia="lt-LT"/>
        </w:rPr>
        <w:t xml:space="preserve"> sprendimą pateikęs teismas.</w:t>
      </w:r>
    </w:p>
    <w:p w14:paraId="43C65EDA" w14:textId="77777777" w:rsidR="002F09DA" w:rsidRPr="00986131" w:rsidRDefault="006A47DB" w:rsidP="004A3D36">
      <w:pPr>
        <w:ind w:firstLine="567"/>
        <w:rPr>
          <w:rFonts w:asciiTheme="minorHAnsi" w:eastAsia="Times New Roman" w:hAnsiTheme="minorHAnsi" w:cstheme="minorHAnsi"/>
          <w:bCs/>
          <w:color w:val="333333"/>
          <w:lang w:eastAsia="lt-LT"/>
        </w:rPr>
      </w:pPr>
      <w:hyperlink r:id="rId22" w:history="1">
        <w:r w:rsidR="002F09DA" w:rsidRPr="00986131">
          <w:rPr>
            <w:rStyle w:val="Hipersaitas"/>
            <w:rFonts w:asciiTheme="minorHAnsi" w:hAnsiTheme="minorHAnsi" w:cstheme="minorHAnsi"/>
            <w:bCs/>
            <w:lang w:eastAsia="lt-LT"/>
          </w:rPr>
          <w:t>Prieiga internete</w:t>
        </w:r>
      </w:hyperlink>
    </w:p>
    <w:p w14:paraId="2C31AA70" w14:textId="77777777" w:rsidR="00D65A51" w:rsidRPr="00986131" w:rsidRDefault="00D65A51" w:rsidP="0029340F">
      <w:pPr>
        <w:tabs>
          <w:tab w:val="right" w:leader="dot" w:pos="9639"/>
        </w:tabs>
        <w:ind w:firstLine="567"/>
        <w:rPr>
          <w:rFonts w:asciiTheme="minorHAnsi" w:hAnsiTheme="minorHAnsi" w:cstheme="minorHAnsi"/>
        </w:rPr>
      </w:pPr>
      <w:bookmarkStart w:id="140" w:name="_Toc467573926"/>
      <w:bookmarkStart w:id="141" w:name="_Toc436400438"/>
      <w:bookmarkStart w:id="142" w:name="_Toc439688571"/>
      <w:bookmarkEnd w:id="140"/>
      <w:bookmarkEnd w:id="141"/>
      <w:bookmarkEnd w:id="142"/>
    </w:p>
    <w:p w14:paraId="0A9D2CD2" w14:textId="5E050276" w:rsidR="001C4363" w:rsidRPr="00986131" w:rsidRDefault="00B47BC3" w:rsidP="001C4363">
      <w:pPr>
        <w:pStyle w:val="Antrat1"/>
        <w:keepLines w:val="0"/>
        <w:tabs>
          <w:tab w:val="right" w:leader="dot" w:pos="9639"/>
        </w:tabs>
        <w:spacing w:before="0"/>
        <w:rPr>
          <w:rFonts w:eastAsia="Times New Roman" w:cstheme="minorHAnsi"/>
          <w:b w:val="0"/>
          <w:bCs/>
          <w:kern w:val="32"/>
          <w:szCs w:val="22"/>
          <w:lang w:eastAsia="lt-LT"/>
        </w:rPr>
      </w:pPr>
      <w:bookmarkStart w:id="143" w:name="_Toc11232487"/>
      <w:bookmarkStart w:id="144" w:name="_Toc11232778"/>
      <w:bookmarkStart w:id="145" w:name="_Toc11758014"/>
      <w:r w:rsidRPr="00986131">
        <w:rPr>
          <w:rFonts w:eastAsia="Times New Roman" w:cstheme="minorHAnsi"/>
          <w:bCs/>
          <w:kern w:val="32"/>
          <w:szCs w:val="22"/>
          <w:lang w:eastAsia="lt-LT"/>
        </w:rPr>
        <w:t>SĄJUNGOS PILIETYBĖ</w:t>
      </w:r>
      <w:bookmarkEnd w:id="143"/>
      <w:bookmarkEnd w:id="144"/>
      <w:bookmarkEnd w:id="145"/>
    </w:p>
    <w:p w14:paraId="4ACD1927" w14:textId="77777777" w:rsidR="001C4363" w:rsidRPr="00986131" w:rsidRDefault="001C4363" w:rsidP="001C4363">
      <w:pPr>
        <w:jc w:val="center"/>
        <w:rPr>
          <w:rFonts w:asciiTheme="minorHAnsi" w:hAnsiTheme="minorHAnsi" w:cstheme="minorHAnsi"/>
          <w:b/>
        </w:rPr>
      </w:pPr>
    </w:p>
    <w:p w14:paraId="22433BAA" w14:textId="328437A8" w:rsidR="00B47BC3" w:rsidRPr="00CB6EC1" w:rsidRDefault="00B47BC3" w:rsidP="00CB6EC1">
      <w:pPr>
        <w:pStyle w:val="Antrat1"/>
        <w:spacing w:before="0"/>
        <w:rPr>
          <w:rFonts w:cstheme="minorHAnsi"/>
          <w:bCs/>
          <w:iCs/>
          <w:color w:val="auto"/>
        </w:rPr>
      </w:pPr>
      <w:bookmarkStart w:id="146" w:name="_Toc11232488"/>
      <w:bookmarkStart w:id="147" w:name="_Toc11232779"/>
      <w:bookmarkStart w:id="148" w:name="_Toc11758015"/>
      <w:r w:rsidRPr="00CB6EC1">
        <w:rPr>
          <w:rFonts w:cstheme="minorHAnsi"/>
          <w:bCs/>
          <w:iCs/>
          <w:color w:val="auto"/>
        </w:rPr>
        <w:t xml:space="preserve">2019 m. kovo 12 d. didžiosios kolegijos </w:t>
      </w:r>
      <w:proofErr w:type="spellStart"/>
      <w:r w:rsidRPr="00CB6EC1">
        <w:rPr>
          <w:rFonts w:cstheme="minorHAnsi"/>
          <w:bCs/>
          <w:iCs/>
          <w:color w:val="auto"/>
        </w:rPr>
        <w:t>prejudicinis</w:t>
      </w:r>
      <w:proofErr w:type="spellEnd"/>
      <w:r w:rsidRPr="00CB6EC1">
        <w:rPr>
          <w:rFonts w:cstheme="minorHAnsi"/>
          <w:bCs/>
          <w:iCs/>
          <w:color w:val="auto"/>
        </w:rPr>
        <w:t xml:space="preserve"> sprendimas byloje C-221/17</w:t>
      </w:r>
      <w:bookmarkEnd w:id="146"/>
      <w:bookmarkEnd w:id="147"/>
      <w:bookmarkEnd w:id="148"/>
      <w:r w:rsidRPr="00CB6EC1">
        <w:rPr>
          <w:rFonts w:cstheme="minorHAnsi"/>
          <w:bCs/>
          <w:iCs/>
          <w:color w:val="auto"/>
        </w:rPr>
        <w:t xml:space="preserve"> </w:t>
      </w:r>
    </w:p>
    <w:p w14:paraId="08549D36" w14:textId="77777777" w:rsidR="00B47BC3" w:rsidRPr="00986131" w:rsidRDefault="00B47BC3" w:rsidP="00986131">
      <w:pPr>
        <w:jc w:val="center"/>
        <w:rPr>
          <w:rFonts w:cstheme="minorHAnsi"/>
          <w:b/>
          <w:i/>
        </w:rPr>
      </w:pPr>
      <w:r w:rsidRPr="00986131">
        <w:rPr>
          <w:rFonts w:cstheme="minorHAnsi"/>
          <w:b/>
          <w:i/>
        </w:rPr>
        <w:t xml:space="preserve">M.G. </w:t>
      </w:r>
      <w:proofErr w:type="spellStart"/>
      <w:r w:rsidRPr="00986131">
        <w:rPr>
          <w:rFonts w:cstheme="minorHAnsi"/>
          <w:b/>
          <w:i/>
        </w:rPr>
        <w:t>Tjebbes</w:t>
      </w:r>
      <w:proofErr w:type="spellEnd"/>
      <w:r w:rsidRPr="00986131">
        <w:rPr>
          <w:rFonts w:cstheme="minorHAnsi"/>
          <w:b/>
          <w:i/>
        </w:rPr>
        <w:t xml:space="preserve"> ir kt. prieš </w:t>
      </w:r>
      <w:proofErr w:type="spellStart"/>
      <w:r w:rsidRPr="00986131">
        <w:rPr>
          <w:rFonts w:cstheme="minorHAnsi"/>
          <w:b/>
          <w:i/>
        </w:rPr>
        <w:t>Minister</w:t>
      </w:r>
      <w:proofErr w:type="spellEnd"/>
      <w:r w:rsidRPr="00986131">
        <w:rPr>
          <w:rFonts w:cstheme="minorHAnsi"/>
          <w:b/>
          <w:i/>
        </w:rPr>
        <w:t xml:space="preserve"> </w:t>
      </w:r>
      <w:proofErr w:type="spellStart"/>
      <w:r w:rsidRPr="00986131">
        <w:rPr>
          <w:rFonts w:cstheme="minorHAnsi"/>
          <w:b/>
          <w:i/>
        </w:rPr>
        <w:t>van</w:t>
      </w:r>
      <w:proofErr w:type="spellEnd"/>
      <w:r w:rsidRPr="00986131">
        <w:rPr>
          <w:rFonts w:cstheme="minorHAnsi"/>
          <w:b/>
          <w:i/>
        </w:rPr>
        <w:t xml:space="preserve"> </w:t>
      </w:r>
      <w:proofErr w:type="spellStart"/>
      <w:r w:rsidRPr="00986131">
        <w:rPr>
          <w:rFonts w:cstheme="minorHAnsi"/>
          <w:b/>
          <w:i/>
        </w:rPr>
        <w:t>Buitenlandse</w:t>
      </w:r>
      <w:proofErr w:type="spellEnd"/>
      <w:r w:rsidRPr="00986131">
        <w:rPr>
          <w:rFonts w:cstheme="minorHAnsi"/>
          <w:b/>
          <w:i/>
        </w:rPr>
        <w:t xml:space="preserve"> </w:t>
      </w:r>
      <w:proofErr w:type="spellStart"/>
      <w:r w:rsidRPr="00986131">
        <w:rPr>
          <w:rFonts w:cstheme="minorHAnsi"/>
          <w:b/>
          <w:i/>
        </w:rPr>
        <w:t>Zaken</w:t>
      </w:r>
      <w:proofErr w:type="spellEnd"/>
    </w:p>
    <w:p w14:paraId="311FD9CA"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p>
    <w:p w14:paraId="2DF2E490" w14:textId="378B70E2"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Prašymas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pateiktas dėl SESV 20 ir 21 straipsnių ir Europos Sąjungos pagrindinių teisių chartijos (toliau – Chartija) 7 straipsnio išaiškinimo. Šis prašymas pateiktas nagrinėjant M. G. </w:t>
      </w:r>
      <w:proofErr w:type="spellStart"/>
      <w:r w:rsidRPr="00986131">
        <w:rPr>
          <w:rFonts w:asciiTheme="minorHAnsi" w:hAnsiTheme="minorHAnsi" w:cstheme="minorHAnsi"/>
          <w:sz w:val="22"/>
          <w:szCs w:val="22"/>
        </w:rPr>
        <w:t>Tjebbes</w:t>
      </w:r>
      <w:proofErr w:type="spellEnd"/>
      <w:r w:rsidRPr="00986131">
        <w:rPr>
          <w:rFonts w:asciiTheme="minorHAnsi" w:hAnsiTheme="minorHAnsi" w:cstheme="minorHAnsi"/>
          <w:sz w:val="22"/>
          <w:szCs w:val="22"/>
        </w:rPr>
        <w:t>, G. J. M. </w:t>
      </w:r>
      <w:proofErr w:type="spellStart"/>
      <w:r w:rsidRPr="00986131">
        <w:rPr>
          <w:rFonts w:asciiTheme="minorHAnsi" w:hAnsiTheme="minorHAnsi" w:cstheme="minorHAnsi"/>
          <w:sz w:val="22"/>
          <w:szCs w:val="22"/>
        </w:rPr>
        <w:t>Koopman</w:t>
      </w:r>
      <w:proofErr w:type="spellEnd"/>
      <w:r w:rsidRPr="00986131">
        <w:rPr>
          <w:rFonts w:asciiTheme="minorHAnsi" w:hAnsiTheme="minorHAnsi" w:cstheme="minorHAnsi"/>
          <w:sz w:val="22"/>
          <w:szCs w:val="22"/>
        </w:rPr>
        <w:t>, E. </w:t>
      </w:r>
      <w:proofErr w:type="spellStart"/>
      <w:r w:rsidRPr="00986131">
        <w:rPr>
          <w:rFonts w:asciiTheme="minorHAnsi" w:hAnsiTheme="minorHAnsi" w:cstheme="minorHAnsi"/>
          <w:sz w:val="22"/>
          <w:szCs w:val="22"/>
        </w:rPr>
        <w:t>Saleh</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Abady</w:t>
      </w:r>
      <w:proofErr w:type="spellEnd"/>
      <w:r w:rsidRPr="00986131">
        <w:rPr>
          <w:rFonts w:asciiTheme="minorHAnsi" w:hAnsiTheme="minorHAnsi" w:cstheme="minorHAnsi"/>
          <w:sz w:val="22"/>
          <w:szCs w:val="22"/>
        </w:rPr>
        <w:t xml:space="preserve"> ir L. </w:t>
      </w:r>
      <w:proofErr w:type="spellStart"/>
      <w:r w:rsidRPr="00986131">
        <w:rPr>
          <w:rFonts w:asciiTheme="minorHAnsi" w:hAnsiTheme="minorHAnsi" w:cstheme="minorHAnsi"/>
          <w:sz w:val="22"/>
          <w:szCs w:val="22"/>
        </w:rPr>
        <w:t>Duboux</w:t>
      </w:r>
      <w:proofErr w:type="spellEnd"/>
      <w:r w:rsidRPr="00986131">
        <w:rPr>
          <w:rFonts w:asciiTheme="minorHAnsi" w:hAnsiTheme="minorHAnsi" w:cstheme="minorHAnsi"/>
          <w:sz w:val="22"/>
          <w:szCs w:val="22"/>
        </w:rPr>
        <w:t xml:space="preserve"> ginčą su </w:t>
      </w:r>
      <w:proofErr w:type="spellStart"/>
      <w:r w:rsidRPr="00986131">
        <w:rPr>
          <w:rFonts w:asciiTheme="minorHAnsi" w:hAnsiTheme="minorHAnsi" w:cstheme="minorHAnsi"/>
          <w:sz w:val="22"/>
          <w:szCs w:val="22"/>
        </w:rPr>
        <w:t>Minister</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van</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Buitenlandse</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Zaken</w:t>
      </w:r>
      <w:proofErr w:type="spellEnd"/>
      <w:r w:rsidRPr="00986131">
        <w:rPr>
          <w:rFonts w:asciiTheme="minorHAnsi" w:hAnsiTheme="minorHAnsi" w:cstheme="minorHAnsi"/>
          <w:sz w:val="22"/>
          <w:szCs w:val="22"/>
        </w:rPr>
        <w:t xml:space="preserve"> (užsienio reikalų ministras, Nyderlandai) (toliau – ministras) dėl jo atsisakymo nagrinėti jų prašymus išduoti Nyderlandų pasą</w:t>
      </w:r>
      <w:r w:rsidR="00986131">
        <w:rPr>
          <w:rFonts w:asciiTheme="minorHAnsi" w:hAnsiTheme="minorHAnsi" w:cstheme="minorHAnsi"/>
          <w:sz w:val="22"/>
          <w:szCs w:val="22"/>
        </w:rPr>
        <w:t xml:space="preserve"> (1–</w:t>
      </w:r>
      <w:r w:rsidRPr="00986131">
        <w:rPr>
          <w:rFonts w:asciiTheme="minorHAnsi" w:hAnsiTheme="minorHAnsi" w:cstheme="minorHAnsi"/>
          <w:sz w:val="22"/>
          <w:szCs w:val="22"/>
        </w:rPr>
        <w:t xml:space="preserve">2 punktai). </w:t>
      </w:r>
    </w:p>
    <w:p w14:paraId="5A373B68"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M. G. </w:t>
      </w:r>
      <w:proofErr w:type="spellStart"/>
      <w:r w:rsidRPr="00986131">
        <w:rPr>
          <w:rFonts w:asciiTheme="minorHAnsi" w:hAnsiTheme="minorHAnsi" w:cstheme="minorHAnsi"/>
          <w:sz w:val="22"/>
          <w:szCs w:val="22"/>
        </w:rPr>
        <w:t>Tjebbes</w:t>
      </w:r>
      <w:proofErr w:type="spellEnd"/>
      <w:r w:rsidRPr="00986131">
        <w:rPr>
          <w:rFonts w:asciiTheme="minorHAnsi" w:hAnsiTheme="minorHAnsi" w:cstheme="minorHAnsi"/>
          <w:sz w:val="22"/>
          <w:szCs w:val="22"/>
        </w:rPr>
        <w:t xml:space="preserve"> gimė 1984 m. rugpjūčio 29 d. Vankuveryje (Kanada); nuo gimimo ji turi ir Nyderlandų, ir Kanados pilietybes. 2003 m. gegužės 9 d. jai išduotas Nyderlandų pasas. Šis pasas baigė galioti 2008 m. gegužės 9 d. 2014 m. balandžio 25 d. M. G. </w:t>
      </w:r>
      <w:proofErr w:type="spellStart"/>
      <w:r w:rsidRPr="00986131">
        <w:rPr>
          <w:rFonts w:asciiTheme="minorHAnsi" w:hAnsiTheme="minorHAnsi" w:cstheme="minorHAnsi"/>
          <w:sz w:val="22"/>
          <w:szCs w:val="22"/>
        </w:rPr>
        <w:t>Tjebbes</w:t>
      </w:r>
      <w:proofErr w:type="spellEnd"/>
      <w:r w:rsidRPr="00986131">
        <w:rPr>
          <w:rFonts w:asciiTheme="minorHAnsi" w:hAnsiTheme="minorHAnsi" w:cstheme="minorHAnsi"/>
          <w:sz w:val="22"/>
          <w:szCs w:val="22"/>
        </w:rPr>
        <w:t xml:space="preserve"> Nyderlandų konsulate </w:t>
      </w:r>
      <w:proofErr w:type="spellStart"/>
      <w:r w:rsidRPr="00986131">
        <w:rPr>
          <w:rFonts w:asciiTheme="minorHAnsi" w:hAnsiTheme="minorHAnsi" w:cstheme="minorHAnsi"/>
          <w:sz w:val="22"/>
          <w:szCs w:val="22"/>
        </w:rPr>
        <w:t>Kalgaryje</w:t>
      </w:r>
      <w:proofErr w:type="spellEnd"/>
      <w:r w:rsidRPr="00986131">
        <w:rPr>
          <w:rFonts w:asciiTheme="minorHAnsi" w:hAnsiTheme="minorHAnsi" w:cstheme="minorHAnsi"/>
          <w:sz w:val="22"/>
          <w:szCs w:val="22"/>
        </w:rPr>
        <w:t xml:space="preserve"> (Kanada) pateikė prašymą išduoti Nyderlandų pasą (13 punktas).</w:t>
      </w:r>
    </w:p>
    <w:p w14:paraId="13EEEF7B"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G. J. M. </w:t>
      </w:r>
      <w:proofErr w:type="spellStart"/>
      <w:r w:rsidRPr="00986131">
        <w:rPr>
          <w:rFonts w:asciiTheme="minorHAnsi" w:hAnsiTheme="minorHAnsi" w:cstheme="minorHAnsi"/>
          <w:sz w:val="22"/>
          <w:szCs w:val="22"/>
        </w:rPr>
        <w:t>Koopman</w:t>
      </w:r>
      <w:proofErr w:type="spellEnd"/>
      <w:r w:rsidRPr="00986131">
        <w:rPr>
          <w:rFonts w:asciiTheme="minorHAnsi" w:hAnsiTheme="minorHAnsi" w:cstheme="minorHAnsi"/>
          <w:sz w:val="22"/>
          <w:szCs w:val="22"/>
        </w:rPr>
        <w:t xml:space="preserve"> gimė 1967 m. kovo 23 d. Horne (Nyderlandai). 1985 m. gegužės 21 d. ji persikėlė gyventi į Šveicariją, o 1988 m. balandžio 7 d. susituokė su Šveicarijos piliečiu P. </w:t>
      </w:r>
      <w:proofErr w:type="spellStart"/>
      <w:r w:rsidRPr="00986131">
        <w:rPr>
          <w:rFonts w:asciiTheme="minorHAnsi" w:hAnsiTheme="minorHAnsi" w:cstheme="minorHAnsi"/>
          <w:sz w:val="22"/>
          <w:szCs w:val="22"/>
        </w:rPr>
        <w:t>Duboux</w:t>
      </w:r>
      <w:proofErr w:type="spellEnd"/>
      <w:r w:rsidRPr="00986131">
        <w:rPr>
          <w:rFonts w:asciiTheme="minorHAnsi" w:hAnsiTheme="minorHAnsi" w:cstheme="minorHAnsi"/>
          <w:sz w:val="22"/>
          <w:szCs w:val="22"/>
        </w:rPr>
        <w:t>. Sudarydama santuoką G. J. M. </w:t>
      </w:r>
      <w:proofErr w:type="spellStart"/>
      <w:r w:rsidRPr="00986131">
        <w:rPr>
          <w:rFonts w:asciiTheme="minorHAnsi" w:hAnsiTheme="minorHAnsi" w:cstheme="minorHAnsi"/>
          <w:sz w:val="22"/>
          <w:szCs w:val="22"/>
        </w:rPr>
        <w:t>Koopman</w:t>
      </w:r>
      <w:proofErr w:type="spellEnd"/>
      <w:r w:rsidRPr="00986131">
        <w:rPr>
          <w:rFonts w:asciiTheme="minorHAnsi" w:hAnsiTheme="minorHAnsi" w:cstheme="minorHAnsi"/>
          <w:sz w:val="22"/>
          <w:szCs w:val="22"/>
        </w:rPr>
        <w:t xml:space="preserve"> įgijo ir Šveicarijos pilietybę. Ji turėjo 2000 m. liepos 10 d. išduotą Nyderlandų pasą, galiojusį iki 2005 m. liepos 10 d. 2014 m. rugsėjo 8 d. G. J. M. </w:t>
      </w:r>
      <w:proofErr w:type="spellStart"/>
      <w:r w:rsidRPr="00986131">
        <w:rPr>
          <w:rFonts w:asciiTheme="minorHAnsi" w:hAnsiTheme="minorHAnsi" w:cstheme="minorHAnsi"/>
          <w:sz w:val="22"/>
          <w:szCs w:val="22"/>
        </w:rPr>
        <w:t>Koopman</w:t>
      </w:r>
      <w:proofErr w:type="spellEnd"/>
      <w:r w:rsidRPr="00986131">
        <w:rPr>
          <w:rFonts w:asciiTheme="minorHAnsi" w:hAnsiTheme="minorHAnsi" w:cstheme="minorHAnsi"/>
          <w:sz w:val="22"/>
          <w:szCs w:val="22"/>
        </w:rPr>
        <w:t xml:space="preserve"> Nyderlandų Karalystės ambasadoje Berne (Šveicarija) pateikė prašymą išduoti Nyderlandų pasą (14 punktas).</w:t>
      </w:r>
    </w:p>
    <w:p w14:paraId="50660E56"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E. </w:t>
      </w:r>
      <w:proofErr w:type="spellStart"/>
      <w:r w:rsidRPr="00986131">
        <w:rPr>
          <w:rFonts w:asciiTheme="minorHAnsi" w:hAnsiTheme="minorHAnsi" w:cstheme="minorHAnsi"/>
          <w:sz w:val="22"/>
          <w:szCs w:val="22"/>
        </w:rPr>
        <w:t>Saleh</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Abady</w:t>
      </w:r>
      <w:proofErr w:type="spellEnd"/>
      <w:r w:rsidRPr="00986131">
        <w:rPr>
          <w:rFonts w:asciiTheme="minorHAnsi" w:hAnsiTheme="minorHAnsi" w:cstheme="minorHAnsi"/>
          <w:sz w:val="22"/>
          <w:szCs w:val="22"/>
        </w:rPr>
        <w:t xml:space="preserve"> gimė 1960 m. kovo 25 d. Teherane (Iranas). Gimdama ji gavo Irano pilietybę. 1999 m. rugsėjo 3 d. Karaliaus nutarimu jai buvo suteikta ir Nyderlandų pilietybė. 1999 m. spalio 6 d. jai pastarąjį kartą išduotas Nyderlandų pasas galiojo iki 2004 m. spalio 6 d. 2002 m. gruodžio 3 d. jos civilinės būklės aktų registracija sustabdyta dėl jos emigracijos. Nuo tos dienos E. </w:t>
      </w:r>
      <w:proofErr w:type="spellStart"/>
      <w:r w:rsidRPr="00986131">
        <w:rPr>
          <w:rFonts w:asciiTheme="minorHAnsi" w:hAnsiTheme="minorHAnsi" w:cstheme="minorHAnsi"/>
          <w:sz w:val="22"/>
          <w:szCs w:val="22"/>
        </w:rPr>
        <w:t>Saleh</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Abady</w:t>
      </w:r>
      <w:proofErr w:type="spellEnd"/>
      <w:r w:rsidRPr="00986131">
        <w:rPr>
          <w:rFonts w:asciiTheme="minorHAnsi" w:hAnsiTheme="minorHAnsi" w:cstheme="minorHAnsi"/>
          <w:sz w:val="22"/>
          <w:szCs w:val="22"/>
        </w:rPr>
        <w:t xml:space="preserve"> nepertraukiamai nuolat gyvena Irane. 2014 m. spalio 29 d. Nyderlandų Karalystės ambasadoje Teherane ji pateikė prašymą išduoti Nyderlandų pasą (15 punktas).</w:t>
      </w:r>
    </w:p>
    <w:p w14:paraId="7640CC1C"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L. </w:t>
      </w:r>
      <w:proofErr w:type="spellStart"/>
      <w:r w:rsidRPr="00986131">
        <w:rPr>
          <w:rFonts w:asciiTheme="minorHAnsi" w:hAnsiTheme="minorHAnsi" w:cstheme="minorHAnsi"/>
          <w:sz w:val="22"/>
          <w:szCs w:val="22"/>
        </w:rPr>
        <w:t>Duboux</w:t>
      </w:r>
      <w:proofErr w:type="spellEnd"/>
      <w:r w:rsidRPr="00986131">
        <w:rPr>
          <w:rFonts w:asciiTheme="minorHAnsi" w:hAnsiTheme="minorHAnsi" w:cstheme="minorHAnsi"/>
          <w:sz w:val="22"/>
          <w:szCs w:val="22"/>
        </w:rPr>
        <w:t xml:space="preserve"> gimė 1995 m. balandžio 13 d. Lozanoje (Šveicarija). Gimdama ji gavo ir Nyderlandų pilietybę, nes jos motina G. J. M. </w:t>
      </w:r>
      <w:proofErr w:type="spellStart"/>
      <w:r w:rsidRPr="00986131">
        <w:rPr>
          <w:rFonts w:asciiTheme="minorHAnsi" w:hAnsiTheme="minorHAnsi" w:cstheme="minorHAnsi"/>
          <w:sz w:val="22"/>
          <w:szCs w:val="22"/>
        </w:rPr>
        <w:t>Koopman</w:t>
      </w:r>
      <w:proofErr w:type="spellEnd"/>
      <w:r w:rsidRPr="00986131">
        <w:rPr>
          <w:rFonts w:asciiTheme="minorHAnsi" w:hAnsiTheme="minorHAnsi" w:cstheme="minorHAnsi"/>
          <w:sz w:val="22"/>
          <w:szCs w:val="22"/>
        </w:rPr>
        <w:t xml:space="preserve"> turi dvigubą pilietybę, ir Šveicarijos pilietybę, nes jos tėvas P. </w:t>
      </w:r>
      <w:proofErr w:type="spellStart"/>
      <w:r w:rsidRPr="00986131">
        <w:rPr>
          <w:rFonts w:asciiTheme="minorHAnsi" w:hAnsiTheme="minorHAnsi" w:cstheme="minorHAnsi"/>
          <w:sz w:val="22"/>
          <w:szCs w:val="22"/>
        </w:rPr>
        <w:t>Duboux</w:t>
      </w:r>
      <w:proofErr w:type="spellEnd"/>
      <w:r w:rsidRPr="00986131">
        <w:rPr>
          <w:rFonts w:asciiTheme="minorHAnsi" w:hAnsiTheme="minorHAnsi" w:cstheme="minorHAnsi"/>
          <w:sz w:val="22"/>
          <w:szCs w:val="22"/>
        </w:rPr>
        <w:t xml:space="preserve"> yra Šveicarijos pilietis. Jai niekada nebuvo išduotas Nyderlandų pasas. Vis dėlto, kol buvo nepilnametė, ji buvo įrašyta į savo motinos pasą, išduotą 2000 m. liepos 10 d. ir galiojusį iki 2005 m. liepos 10 d. 2013 m. balandžio 13 d. L. </w:t>
      </w:r>
      <w:proofErr w:type="spellStart"/>
      <w:r w:rsidRPr="00986131">
        <w:rPr>
          <w:rFonts w:asciiTheme="minorHAnsi" w:hAnsiTheme="minorHAnsi" w:cstheme="minorHAnsi"/>
          <w:sz w:val="22"/>
          <w:szCs w:val="22"/>
        </w:rPr>
        <w:t>Duboux</w:t>
      </w:r>
      <w:proofErr w:type="spellEnd"/>
      <w:r w:rsidRPr="00986131">
        <w:rPr>
          <w:rFonts w:asciiTheme="minorHAnsi" w:hAnsiTheme="minorHAnsi" w:cstheme="minorHAnsi"/>
          <w:sz w:val="22"/>
          <w:szCs w:val="22"/>
        </w:rPr>
        <w:t xml:space="preserve"> tapo pilnametė. 2014 m. rugsėjo 8 d. Nyderlandų Karalystės ambasadoje Berne (Šveicarija) ji kartu su savo motina pateikė prašymą išduoti Nyderlandų pasą (16 punktas).</w:t>
      </w:r>
    </w:p>
    <w:p w14:paraId="2EE34A54"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2014-2015 m. priimtais keturiais sprendimais ministras atsisakė nagrinėti M. G. </w:t>
      </w:r>
      <w:proofErr w:type="spellStart"/>
      <w:r w:rsidRPr="00986131">
        <w:rPr>
          <w:rFonts w:asciiTheme="minorHAnsi" w:hAnsiTheme="minorHAnsi" w:cstheme="minorHAnsi"/>
          <w:sz w:val="22"/>
          <w:szCs w:val="22"/>
        </w:rPr>
        <w:t>Tjebbes</w:t>
      </w:r>
      <w:proofErr w:type="spellEnd"/>
      <w:r w:rsidRPr="00986131">
        <w:rPr>
          <w:rFonts w:asciiTheme="minorHAnsi" w:hAnsiTheme="minorHAnsi" w:cstheme="minorHAnsi"/>
          <w:sz w:val="22"/>
          <w:szCs w:val="22"/>
        </w:rPr>
        <w:t>, G. J. M. </w:t>
      </w:r>
      <w:proofErr w:type="spellStart"/>
      <w:r w:rsidRPr="00986131">
        <w:rPr>
          <w:rFonts w:asciiTheme="minorHAnsi" w:hAnsiTheme="minorHAnsi" w:cstheme="minorHAnsi"/>
          <w:sz w:val="22"/>
          <w:szCs w:val="22"/>
        </w:rPr>
        <w:t>Koopman</w:t>
      </w:r>
      <w:proofErr w:type="spellEnd"/>
      <w:r w:rsidRPr="00986131">
        <w:rPr>
          <w:rFonts w:asciiTheme="minorHAnsi" w:hAnsiTheme="minorHAnsi" w:cstheme="minorHAnsi"/>
          <w:sz w:val="22"/>
          <w:szCs w:val="22"/>
        </w:rPr>
        <w:t>, E. </w:t>
      </w:r>
      <w:proofErr w:type="spellStart"/>
      <w:r w:rsidRPr="00986131">
        <w:rPr>
          <w:rFonts w:asciiTheme="minorHAnsi" w:hAnsiTheme="minorHAnsi" w:cstheme="minorHAnsi"/>
          <w:sz w:val="22"/>
          <w:szCs w:val="22"/>
        </w:rPr>
        <w:t>Saleh</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Abady</w:t>
      </w:r>
      <w:proofErr w:type="spellEnd"/>
      <w:r w:rsidRPr="00986131">
        <w:rPr>
          <w:rFonts w:asciiTheme="minorHAnsi" w:hAnsiTheme="minorHAnsi" w:cstheme="minorHAnsi"/>
          <w:sz w:val="22"/>
          <w:szCs w:val="22"/>
        </w:rPr>
        <w:t xml:space="preserve"> ir L. </w:t>
      </w:r>
      <w:proofErr w:type="spellStart"/>
      <w:r w:rsidRPr="00986131">
        <w:rPr>
          <w:rFonts w:asciiTheme="minorHAnsi" w:hAnsiTheme="minorHAnsi" w:cstheme="minorHAnsi"/>
          <w:sz w:val="22"/>
          <w:szCs w:val="22"/>
        </w:rPr>
        <w:t>Duboux</w:t>
      </w:r>
      <w:proofErr w:type="spellEnd"/>
      <w:r w:rsidRPr="00986131">
        <w:rPr>
          <w:rFonts w:asciiTheme="minorHAnsi" w:hAnsiTheme="minorHAnsi" w:cstheme="minorHAnsi"/>
          <w:sz w:val="22"/>
          <w:szCs w:val="22"/>
        </w:rPr>
        <w:t xml:space="preserve"> prašymus išduoti pasą. Ministras konstatavo, kad šie asmenys neteko Nyderlandų pilietybės pagal Pilietybės įstatymo 15 straipsnio 1 dalies c punktą arba 16 straipsnio 1 dalies d punktą (17 punktas).</w:t>
      </w:r>
    </w:p>
    <w:p w14:paraId="60A7519B" w14:textId="06F84AC8"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Ministrui atmetus dėl šių sprendimų pateiktus skundus, ieškovės pagrindinėje byloje pateikė keturis atskirus ieškinius </w:t>
      </w:r>
      <w:proofErr w:type="spellStart"/>
      <w:r w:rsidRPr="00986131">
        <w:rPr>
          <w:rFonts w:asciiTheme="minorHAnsi" w:hAnsiTheme="minorHAnsi" w:cstheme="minorHAnsi"/>
          <w:sz w:val="22"/>
          <w:szCs w:val="22"/>
        </w:rPr>
        <w:t>rechtbank</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Den</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Haag</w:t>
      </w:r>
      <w:proofErr w:type="spellEnd"/>
      <w:r w:rsidRPr="00986131">
        <w:rPr>
          <w:rFonts w:asciiTheme="minorHAnsi" w:hAnsiTheme="minorHAnsi" w:cstheme="minorHAnsi"/>
          <w:sz w:val="22"/>
          <w:szCs w:val="22"/>
        </w:rPr>
        <w:t xml:space="preserve"> (Hagos apylinkės teismas, Nyderlandai). 2015 m. sprendimais </w:t>
      </w:r>
      <w:proofErr w:type="spellStart"/>
      <w:r w:rsidRPr="00986131">
        <w:rPr>
          <w:rFonts w:asciiTheme="minorHAnsi" w:hAnsiTheme="minorHAnsi" w:cstheme="minorHAnsi"/>
          <w:sz w:val="22"/>
          <w:szCs w:val="22"/>
        </w:rPr>
        <w:t>rechtbank</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Den</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Haag</w:t>
      </w:r>
      <w:proofErr w:type="spellEnd"/>
      <w:r w:rsidRPr="00986131">
        <w:rPr>
          <w:rFonts w:asciiTheme="minorHAnsi" w:hAnsiTheme="minorHAnsi" w:cstheme="minorHAnsi"/>
          <w:sz w:val="22"/>
          <w:szCs w:val="22"/>
        </w:rPr>
        <w:t xml:space="preserve"> (Hagos apylinkės teismas) pripažino nepagrįstais pareikštus ieškinius. Tačiau 2016 m. vasario 4 d. sprendimu šis teismas pripažino pagrįstu L. </w:t>
      </w:r>
      <w:proofErr w:type="spellStart"/>
      <w:r w:rsidRPr="00986131">
        <w:rPr>
          <w:rFonts w:asciiTheme="minorHAnsi" w:hAnsiTheme="minorHAnsi" w:cstheme="minorHAnsi"/>
          <w:sz w:val="22"/>
          <w:szCs w:val="22"/>
        </w:rPr>
        <w:t>Duboux</w:t>
      </w:r>
      <w:proofErr w:type="spellEnd"/>
      <w:r w:rsidRPr="00986131">
        <w:rPr>
          <w:rFonts w:asciiTheme="minorHAnsi" w:hAnsiTheme="minorHAnsi" w:cstheme="minorHAnsi"/>
          <w:sz w:val="22"/>
          <w:szCs w:val="22"/>
        </w:rPr>
        <w:t xml:space="preserve"> pareikštą ieškinį ir panaikino ministro sprendimą dėl jos skundo, bet paliko galioti to sprendimo teisines pasekmes. Dėl šių teismo sprendimų ieškovės pagrindinėse bylose pateikė apeliacinius skundus </w:t>
      </w:r>
      <w:proofErr w:type="spellStart"/>
      <w:r w:rsidRPr="00986131">
        <w:rPr>
          <w:rFonts w:asciiTheme="minorHAnsi" w:hAnsiTheme="minorHAnsi" w:cstheme="minorHAnsi"/>
          <w:sz w:val="22"/>
          <w:szCs w:val="22"/>
        </w:rPr>
        <w:t>Raad</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van</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State</w:t>
      </w:r>
      <w:proofErr w:type="spellEnd"/>
      <w:r w:rsidRPr="00986131">
        <w:rPr>
          <w:rFonts w:asciiTheme="minorHAnsi" w:hAnsiTheme="minorHAnsi" w:cstheme="minorHAnsi"/>
          <w:sz w:val="22"/>
          <w:szCs w:val="22"/>
        </w:rPr>
        <w:t xml:space="preserve"> (Valstybės Taryba, Nyderlandai)</w:t>
      </w:r>
      <w:r w:rsidR="00986131">
        <w:rPr>
          <w:rFonts w:asciiTheme="minorHAnsi" w:hAnsiTheme="minorHAnsi" w:cstheme="minorHAnsi"/>
          <w:sz w:val="22"/>
          <w:szCs w:val="22"/>
        </w:rPr>
        <w:t xml:space="preserve"> (18–1</w:t>
      </w:r>
      <w:r w:rsidRPr="00986131">
        <w:rPr>
          <w:rFonts w:asciiTheme="minorHAnsi" w:hAnsiTheme="minorHAnsi" w:cstheme="minorHAnsi"/>
          <w:sz w:val="22"/>
          <w:szCs w:val="22"/>
        </w:rPr>
        <w:t>9 punktai).</w:t>
      </w:r>
    </w:p>
    <w:p w14:paraId="0DF28007"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proofErr w:type="spellStart"/>
      <w:r w:rsidRPr="00986131">
        <w:rPr>
          <w:rFonts w:asciiTheme="minorHAnsi" w:hAnsiTheme="minorHAnsi" w:cstheme="minorHAnsi"/>
          <w:sz w:val="22"/>
          <w:szCs w:val="22"/>
        </w:rPr>
        <w:lastRenderedPageBreak/>
        <w:t>Raad</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van</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State</w:t>
      </w:r>
      <w:proofErr w:type="spellEnd"/>
      <w:r w:rsidRPr="00986131">
        <w:rPr>
          <w:rFonts w:asciiTheme="minorHAnsi" w:hAnsiTheme="minorHAnsi" w:cstheme="minorHAnsi"/>
          <w:sz w:val="22"/>
          <w:szCs w:val="22"/>
        </w:rPr>
        <w:t xml:space="preserve"> (Valstybės Taryba) nusprendė sustabdyti bylos nagrinėjimą ir pateikti Teisingumo Teismui šį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klausimą:</w:t>
      </w:r>
    </w:p>
    <w:p w14:paraId="2B26426B"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„Ar SESV 20 ir 21 straipsniai, atsižvelgiant, be kita ko, į [Chartijos] 7 straipsnį, turi būti aiškinami taip, kad pagal juos, jeigu kiekvienu konkrečiu atveju neatliekamas proporcingumo vertinimas dėl pilietybės netekimo pasekmių suinteresuotojo asmens situacijai pagal Sąjungos teisę, draudžiamos tokios įstatymo nuostatos, kaip nagrinėjamos pagrindinėje byloje, kuriose numatyta, kad:</w:t>
      </w:r>
    </w:p>
    <w:p w14:paraId="75CECD59"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a) pilnametis asmuo, turintis ir trečiosios valstybės pilietybę, netenka valstybės narės ir kartu Sąjungos pilietybės </w:t>
      </w:r>
      <w:proofErr w:type="spellStart"/>
      <w:r w:rsidRPr="00986131">
        <w:rPr>
          <w:rFonts w:asciiTheme="minorHAnsi" w:hAnsiTheme="minorHAnsi" w:cstheme="minorHAnsi"/>
          <w:i/>
          <w:sz w:val="22"/>
          <w:szCs w:val="22"/>
        </w:rPr>
        <w:t>ex</w:t>
      </w:r>
      <w:proofErr w:type="spellEnd"/>
      <w:r w:rsidRPr="00986131">
        <w:rPr>
          <w:rFonts w:asciiTheme="minorHAnsi" w:hAnsiTheme="minorHAnsi" w:cstheme="minorHAnsi"/>
          <w:i/>
          <w:sz w:val="22"/>
          <w:szCs w:val="22"/>
        </w:rPr>
        <w:t> </w:t>
      </w:r>
      <w:proofErr w:type="spellStart"/>
      <w:r w:rsidRPr="00986131">
        <w:rPr>
          <w:rFonts w:asciiTheme="minorHAnsi" w:hAnsiTheme="minorHAnsi" w:cstheme="minorHAnsi"/>
          <w:i/>
          <w:sz w:val="22"/>
          <w:szCs w:val="22"/>
        </w:rPr>
        <w:t>lege</w:t>
      </w:r>
      <w:proofErr w:type="spellEnd"/>
      <w:r w:rsidRPr="00986131">
        <w:rPr>
          <w:rFonts w:asciiTheme="minorHAnsi" w:hAnsiTheme="minorHAnsi" w:cstheme="minorHAnsi"/>
          <w:sz w:val="22"/>
          <w:szCs w:val="22"/>
        </w:rPr>
        <w:t>, nes 10 metų laikotarpį nepertraukiamai nuolat gyveno užsienyje už [Sąjungos] ribų, nors yra galimybių šį 10 metų terminą nutraukti;</w:t>
      </w:r>
    </w:p>
    <w:p w14:paraId="19A8BE4E"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b) nepilnametis asmuo tam tikromis aplinkybėmis netenka valstybės narės ir kartu Sąjungos pilietybės </w:t>
      </w:r>
      <w:proofErr w:type="spellStart"/>
      <w:r w:rsidRPr="00986131">
        <w:rPr>
          <w:rFonts w:asciiTheme="minorHAnsi" w:hAnsiTheme="minorHAnsi" w:cstheme="minorHAnsi"/>
          <w:i/>
          <w:sz w:val="22"/>
          <w:szCs w:val="22"/>
        </w:rPr>
        <w:t>ex</w:t>
      </w:r>
      <w:proofErr w:type="spellEnd"/>
      <w:r w:rsidRPr="00986131">
        <w:rPr>
          <w:rFonts w:asciiTheme="minorHAnsi" w:hAnsiTheme="minorHAnsi" w:cstheme="minorHAnsi"/>
          <w:i/>
          <w:sz w:val="22"/>
          <w:szCs w:val="22"/>
        </w:rPr>
        <w:t> </w:t>
      </w:r>
      <w:proofErr w:type="spellStart"/>
      <w:r w:rsidRPr="00986131">
        <w:rPr>
          <w:rFonts w:asciiTheme="minorHAnsi" w:hAnsiTheme="minorHAnsi" w:cstheme="minorHAnsi"/>
          <w:i/>
          <w:sz w:val="22"/>
          <w:szCs w:val="22"/>
        </w:rPr>
        <w:t>lege</w:t>
      </w:r>
      <w:proofErr w:type="spellEnd"/>
      <w:r w:rsidRPr="00986131">
        <w:rPr>
          <w:rFonts w:asciiTheme="minorHAnsi" w:hAnsiTheme="minorHAnsi" w:cstheme="minorHAnsi"/>
          <w:sz w:val="22"/>
          <w:szCs w:val="22"/>
        </w:rPr>
        <w:t xml:space="preserve"> dėl to, kad vienas iš jo tėvų neteko pilietybės, kaip nurodyta a punkte?“ (26 punktas). </w:t>
      </w:r>
    </w:p>
    <w:p w14:paraId="79996A42"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p>
    <w:p w14:paraId="0D8E6176" w14:textId="5713AB51" w:rsidR="00B47BC3" w:rsidRPr="00986131" w:rsidRDefault="00B47BC3" w:rsidP="00986131">
      <w:pPr>
        <w:pStyle w:val="Antrat2"/>
        <w:ind w:firstLine="567"/>
        <w:jc w:val="both"/>
        <w:rPr>
          <w:rFonts w:cstheme="minorHAnsi"/>
          <w:b w:val="0"/>
        </w:rPr>
      </w:pPr>
      <w:bookmarkStart w:id="149" w:name="_Toc11232489"/>
      <w:bookmarkStart w:id="150" w:name="_Toc11232780"/>
      <w:bookmarkStart w:id="151" w:name="_Toc11758016"/>
      <w:r w:rsidRPr="00C117A3">
        <w:rPr>
          <w:rFonts w:cstheme="minorHAnsi"/>
        </w:rPr>
        <w:t xml:space="preserve">Dėl </w:t>
      </w:r>
      <w:r w:rsidR="00C117A3" w:rsidRPr="00C117A3">
        <w:rPr>
          <w:rFonts w:cstheme="minorHAnsi"/>
        </w:rPr>
        <w:t>pilietybės netekimo pasekmių proporcingumo vertinimo</w:t>
      </w:r>
      <w:bookmarkEnd w:id="149"/>
      <w:bookmarkEnd w:id="150"/>
      <w:bookmarkEnd w:id="151"/>
    </w:p>
    <w:p w14:paraId="2A3DAC88"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p>
    <w:p w14:paraId="1B10ADE2"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Savo klausimu prašymą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pateikęs teismas iš esmės siekė išsiaiškinti, ar SESV 20 ir 21 straipsniai, atsižvelgiant į Chartijos 7 straipsnį, turi būti aiškinami taip, kad pagal juos draudžiamos tokios valstybės narės įstatymo nuostatos, kaip nagrinėjamos pagrindinėje byloje, kuriose numatyta, kad, esant tam tikroms sąlygoms, asmenys, netekę šios valstybės narės pilietybės </w:t>
      </w:r>
      <w:proofErr w:type="spellStart"/>
      <w:r w:rsidRPr="00986131">
        <w:rPr>
          <w:rFonts w:asciiTheme="minorHAnsi" w:hAnsiTheme="minorHAnsi" w:cstheme="minorHAnsi"/>
          <w:i/>
          <w:sz w:val="22"/>
          <w:szCs w:val="22"/>
        </w:rPr>
        <w:t>ex</w:t>
      </w:r>
      <w:proofErr w:type="spellEnd"/>
      <w:r w:rsidRPr="00986131">
        <w:rPr>
          <w:rFonts w:asciiTheme="minorHAnsi" w:hAnsiTheme="minorHAnsi" w:cstheme="minorHAnsi"/>
          <w:i/>
          <w:sz w:val="22"/>
          <w:szCs w:val="22"/>
        </w:rPr>
        <w:t> </w:t>
      </w:r>
      <w:proofErr w:type="spellStart"/>
      <w:r w:rsidRPr="00986131">
        <w:rPr>
          <w:rFonts w:asciiTheme="minorHAnsi" w:hAnsiTheme="minorHAnsi" w:cstheme="minorHAnsi"/>
          <w:i/>
          <w:sz w:val="22"/>
          <w:szCs w:val="22"/>
        </w:rPr>
        <w:t>lege</w:t>
      </w:r>
      <w:proofErr w:type="spellEnd"/>
      <w:r w:rsidRPr="00986131">
        <w:rPr>
          <w:rFonts w:asciiTheme="minorHAnsi" w:hAnsiTheme="minorHAnsi" w:cstheme="minorHAnsi"/>
          <w:sz w:val="22"/>
          <w:szCs w:val="22"/>
        </w:rPr>
        <w:t xml:space="preserve"> ir neturintys kitos valstybės narės pilietybės, netenka Sąjungos piliečio statuso ir su šiuo statusu susijusių teisių, pagal proporcingumo principą konkrečiai nevertinant pilietybės netekimo pasekmių suinteresuotojo asmens situacijai pagal Sąjungos teisę (27 punktas).</w:t>
      </w:r>
    </w:p>
    <w:p w14:paraId="69EB6DB9" w14:textId="12E2DF34"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Teismas pažymėjo, kad iš sprendimo pateikti prašymą priimti </w:t>
      </w:r>
      <w:proofErr w:type="spellStart"/>
      <w:r w:rsidRPr="00986131">
        <w:rPr>
          <w:rFonts w:asciiTheme="minorHAnsi" w:hAnsiTheme="minorHAnsi" w:cstheme="minorHAnsi"/>
          <w:sz w:val="22"/>
          <w:szCs w:val="22"/>
        </w:rPr>
        <w:t>prejudicinį</w:t>
      </w:r>
      <w:proofErr w:type="spellEnd"/>
      <w:r w:rsidRPr="00986131">
        <w:rPr>
          <w:rFonts w:asciiTheme="minorHAnsi" w:hAnsiTheme="minorHAnsi" w:cstheme="minorHAnsi"/>
          <w:sz w:val="22"/>
          <w:szCs w:val="22"/>
        </w:rPr>
        <w:t xml:space="preserve"> sprendimą </w:t>
      </w:r>
      <w:r w:rsidRPr="00986131">
        <w:rPr>
          <w:rFonts w:asciiTheme="minorHAnsi" w:hAnsiTheme="minorHAnsi" w:cstheme="minorHAnsi"/>
          <w:sz w:val="22"/>
          <w:szCs w:val="22"/>
          <w:u w:val="single"/>
        </w:rPr>
        <w:t>nematyti, jog ieškovės pagrindinėje byloje pasinaudojo savo teise laisvai judėti Sąjungos viduje</w:t>
      </w:r>
      <w:r w:rsidRPr="00986131">
        <w:rPr>
          <w:rFonts w:asciiTheme="minorHAnsi" w:hAnsiTheme="minorHAnsi" w:cstheme="minorHAnsi"/>
          <w:sz w:val="22"/>
          <w:szCs w:val="22"/>
        </w:rPr>
        <w:t>. Pilietybės įstatymo 15 straipsnio 1 dalies c punkte numatyta, jog pilnametis asmuo netenka Nyderlandų pilietybės, jeigu jis turi ir užsienio valstybės pilietybę ir būdamas pilnametis 10 metų nepertraukiamai, turėdamas abi pilietybes, nuolat gyveno ne Nyderlanduose ir ne teritorijose, kur taikoma ES sutartis. Be to, to paties įstatymo 16 straipsnio 1 dalies d punkte numatyta, kad nepilnametis asmuo netenka Nyderlandų pilietybės, kai jo tėvas ar motina netenka Nyderlandų pilietybės, be kita ko, pagal minėto įstatymo 15 straipsnio 1 dalies c punktą</w:t>
      </w:r>
      <w:r w:rsidR="00986131">
        <w:rPr>
          <w:rFonts w:asciiTheme="minorHAnsi" w:hAnsiTheme="minorHAnsi" w:cstheme="minorHAnsi"/>
          <w:sz w:val="22"/>
          <w:szCs w:val="22"/>
        </w:rPr>
        <w:t xml:space="preserve"> (28–</w:t>
      </w:r>
      <w:r w:rsidRPr="00986131">
        <w:rPr>
          <w:rFonts w:asciiTheme="minorHAnsi" w:hAnsiTheme="minorHAnsi" w:cstheme="minorHAnsi"/>
          <w:sz w:val="22"/>
          <w:szCs w:val="22"/>
        </w:rPr>
        <w:t>29 punktai).</w:t>
      </w:r>
    </w:p>
    <w:p w14:paraId="07DD3C02" w14:textId="0BD1B27A"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Teismas priminė, kad Teisingumo Teismas jau yra nusprendęs, jog nors pilietybės įgijimo ir netekimo sąlygų nustatymas, kaip numatyta tarptautinėje teisėje, priklauso kiekvienos valstybės narės kompetencijai, </w:t>
      </w:r>
      <w:r w:rsidRPr="00986131">
        <w:rPr>
          <w:rFonts w:asciiTheme="minorHAnsi" w:hAnsiTheme="minorHAnsi" w:cstheme="minorHAnsi"/>
          <w:sz w:val="22"/>
          <w:szCs w:val="22"/>
          <w:u w:val="single"/>
        </w:rPr>
        <w:t>tai, kad klausimas priklauso valstybių narių kompetencijai, neriboja principo, kad į Sąjungos teisės taikymo sritį patenkančiose situacijose atitinkamos nacionalinės teisės nuostatos turi atitikti Sąjungos teisę</w:t>
      </w:r>
      <w:r w:rsidRPr="00986131">
        <w:rPr>
          <w:rFonts w:asciiTheme="minorHAnsi" w:hAnsiTheme="minorHAnsi" w:cstheme="minorHAnsi"/>
          <w:sz w:val="22"/>
          <w:szCs w:val="22"/>
        </w:rPr>
        <w:t xml:space="preserve">. Pagal SESV 20 straipsnį kiekvienam asmeniui, turinčiam valstybės narės pilietybę, suteikiamas Sąjungos piliečio statusas, kuris, remiantis suformuota jurisprudencija, turėtų būti valstybių narių piliečių esminis statusas. Taigi </w:t>
      </w:r>
      <w:r w:rsidRPr="00986131">
        <w:rPr>
          <w:rFonts w:asciiTheme="minorHAnsi" w:hAnsiTheme="minorHAnsi" w:cstheme="minorHAnsi"/>
          <w:sz w:val="22"/>
          <w:szCs w:val="22"/>
          <w:u w:val="single"/>
        </w:rPr>
        <w:t>Sąjungos piliečių, kurie</w:t>
      </w:r>
      <w:r w:rsidRPr="00986131">
        <w:rPr>
          <w:rFonts w:asciiTheme="minorHAnsi" w:hAnsiTheme="minorHAnsi" w:cstheme="minorHAnsi"/>
          <w:sz w:val="22"/>
          <w:szCs w:val="22"/>
        </w:rPr>
        <w:t xml:space="preserve">, kaip ir ieškovės pagrindinėje byloje, </w:t>
      </w:r>
      <w:r w:rsidRPr="00986131">
        <w:rPr>
          <w:rFonts w:asciiTheme="minorHAnsi" w:hAnsiTheme="minorHAnsi" w:cstheme="minorHAnsi"/>
          <w:sz w:val="22"/>
          <w:szCs w:val="22"/>
          <w:u w:val="single"/>
        </w:rPr>
        <w:t>turi tik vienos valstybės narės pilietybę ir netekę šios pilietybės kartu netenka ir pagal SESV 20 straipsnį suteikiamo statuso, ir su juo susijusių teisių, situacija pagal savo pobūdį ir pasekmes patenka į Sąjungos teisės taikymo sritį</w:t>
      </w:r>
      <w:r w:rsidRPr="00986131">
        <w:rPr>
          <w:rFonts w:asciiTheme="minorHAnsi" w:hAnsiTheme="minorHAnsi" w:cstheme="minorHAnsi"/>
          <w:sz w:val="22"/>
          <w:szCs w:val="22"/>
        </w:rPr>
        <w:t>. Todėl įgyvendindamos savo kompetenciją pilietybės srityje valstybės narės privalo laikytis Sąjungos teisės</w:t>
      </w:r>
      <w:r w:rsidR="00986131">
        <w:rPr>
          <w:rFonts w:asciiTheme="minorHAnsi" w:hAnsiTheme="minorHAnsi" w:cstheme="minorHAnsi"/>
          <w:sz w:val="22"/>
          <w:szCs w:val="22"/>
        </w:rPr>
        <w:t xml:space="preserve"> (30–</w:t>
      </w:r>
      <w:r w:rsidRPr="00986131">
        <w:rPr>
          <w:rFonts w:asciiTheme="minorHAnsi" w:hAnsiTheme="minorHAnsi" w:cstheme="minorHAnsi"/>
          <w:sz w:val="22"/>
          <w:szCs w:val="22"/>
        </w:rPr>
        <w:t>32 punktai).</w:t>
      </w:r>
    </w:p>
    <w:p w14:paraId="4D53DE7C" w14:textId="4A20860B"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Teisingumo Teismas pažymėjo, jog yra teisėta, kad valstybė narė siekia apsaugoti ypatingą solidarumo ir lojalumo ryšį su savo piliečiais bei teisių ir pareigų abipusiškumą, kurie yra pilietybės santykių pagrindas. Nagrinėtu atveju, Nyderlandų įstatymų leidėjas siekė sukurti sistemą, kuri padėtų išvengti neigiamų pasekmių, kylančių dėl to, kad tas pats asmuo turi kelias pilietybes. Nyderlandų vyriausybė Teisingumo Teismui pateiktose pastabose taip pat nurodė, kad vienas iš Pilietybės įstatymo tikslų yra užkirsti kelią asmenims gauti arba išlaikyti Nyderlandų pilietybę, jei jie neturi arba nebeturi ryšio su Nyderlandų Karalyste. Savo ruožtu šio įstatymo 16 straipsnio 1 dalies d punkto tikslas yra atkurti vienodą šeimos narių pilietybę. Teismas pažymėjo, kad kriterijus, kad Nyderlandų Karalystės piliečiai nepertraukiamą 10 metų laikotarpį nuolat gyveno ne šioje valstybėje narėje ir ne teritorijose, kuriose taikoma ES sutartis, gali būti laikomas atspindinčiu faktinio ryšio nebuvimą. Be to, kaip nurodo Nyderlandų vyriausybė, galima teigti, kad faktinio ryšio tarp nepilnamečio vaiko tėvų ir Nyderlandų Karalystės nebuvimas iš principo reiškia tokio ryšio tarp šio vaiko ir šios valstybės narės nebuvimą </w:t>
      </w:r>
      <w:r w:rsidR="00986131">
        <w:rPr>
          <w:rFonts w:asciiTheme="minorHAnsi" w:hAnsiTheme="minorHAnsi" w:cstheme="minorHAnsi"/>
          <w:sz w:val="22"/>
          <w:szCs w:val="22"/>
        </w:rPr>
        <w:t>(33–</w:t>
      </w:r>
      <w:r w:rsidRPr="00986131">
        <w:rPr>
          <w:rFonts w:asciiTheme="minorHAnsi" w:hAnsiTheme="minorHAnsi" w:cstheme="minorHAnsi"/>
          <w:sz w:val="22"/>
          <w:szCs w:val="22"/>
        </w:rPr>
        <w:t>36 punktai).</w:t>
      </w:r>
    </w:p>
    <w:p w14:paraId="258B1902" w14:textId="262A874A"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Tai, kad valstybės narės pilietybės, esant tokioms situacijoms, netenkama teisėtai, patvirtina ir Konvencijos dėl asmenų be pilietybės skaičiaus mažinimo 6 straipsnio ir 7 straipsnio 3–6 dalių nuostatos, kuriose numatyta, kad, esant panašioms situacijoms, asmuo gali netekti valstybės, šios konvencijos šalies, </w:t>
      </w:r>
      <w:r w:rsidRPr="00986131">
        <w:rPr>
          <w:rFonts w:asciiTheme="minorHAnsi" w:hAnsiTheme="minorHAnsi" w:cstheme="minorHAnsi"/>
          <w:sz w:val="22"/>
          <w:szCs w:val="22"/>
        </w:rPr>
        <w:lastRenderedPageBreak/>
        <w:t>pilietybės, jei dėl to jis netampa asmeniu be pilietybės. Nagrinė</w:t>
      </w:r>
      <w:r w:rsidR="007F0F6B">
        <w:rPr>
          <w:rFonts w:asciiTheme="minorHAnsi" w:hAnsiTheme="minorHAnsi" w:cstheme="minorHAnsi"/>
          <w:sz w:val="22"/>
          <w:szCs w:val="22"/>
        </w:rPr>
        <w:t>t</w:t>
      </w:r>
      <w:r w:rsidRPr="00986131">
        <w:rPr>
          <w:rFonts w:asciiTheme="minorHAnsi" w:hAnsiTheme="minorHAnsi" w:cstheme="minorHAnsi"/>
          <w:sz w:val="22"/>
          <w:szCs w:val="22"/>
        </w:rPr>
        <w:t xml:space="preserve">u atveju riziką, kad asmuo gali tapti asmeniu be pilietybės, eliminuoja pagrindinėje byloje nagrinėjamos nacionalinės teisės nuostatos, nes jos taikomos tais atvejais, kai asmuo turi ir Nyderlandų, ir kitos valstybės pilietybę. Be to, Konvencijos dėl pilietybės 7 straipsnio 1 dalies e punkte ir 2 dalyje nustatyta, kad valstybė, šios konvencijos šalis, gali numatyti, be kita ko, jog pilnametis asmuo netenka jos pilietybės, jei nėra faktinio ryšio tarp šios valstybės ir užsienyje nuolat gyvenančio jos piliečio, o nepilnametis asmuo netenka pilietybės, jei tos valstybės pilietybės netenka jo tėvai. Šį teisėtumą taip pat patvirtina aplinkybė, kad, kai suinteresuotasis asmuo per Pilietybės įstatymo 15 straipsnio 1 dalies c punkte nurodytą dešimties metų laikotarpį paprašo išduoti patvirtinimą apie turimą Nyderlandų pilietybę, kelionės dokumentą arba Nyderlandų asmens tapatybės dokumentą, kaip jis suprantamas pagal Paso įstatymą, Nyderlandų įstatymų leidėjas daro prielaidą, kad šitaip šis asmuo ketina išsaugoti faktinį ryšį su Nyderlandų Karalyste; teisėtumą taip pat patvirtina aplinkybė, kad pagal Pilietybės įstatymo 15 straipsnio 4 dalį, išdavus vieną iš šių dokumentų, nutrūksta minėtas laikotarpis, todėl nebegalimas Nyderlandų pilietybės netekimas. Tokiomis aplinkybėmis </w:t>
      </w:r>
      <w:r w:rsidRPr="00986131">
        <w:rPr>
          <w:rFonts w:asciiTheme="minorHAnsi" w:hAnsiTheme="minorHAnsi" w:cstheme="minorHAnsi"/>
          <w:sz w:val="22"/>
          <w:szCs w:val="22"/>
          <w:u w:val="single"/>
        </w:rPr>
        <w:t>pagal Sąjungos teisę valstybei narei iš esmės nedraudžiama, esant tokiems atvejams</w:t>
      </w:r>
      <w:r w:rsidRPr="00986131">
        <w:rPr>
          <w:rFonts w:asciiTheme="minorHAnsi" w:hAnsiTheme="minorHAnsi" w:cstheme="minorHAnsi"/>
          <w:sz w:val="22"/>
          <w:szCs w:val="22"/>
        </w:rPr>
        <w:t xml:space="preserve">, kaip nurodyti Pilietybės įstatymo 15 straipsnio 1 dalies c punkte ir šio įstatymo 16 straipsnio 1 dalies d punkte, </w:t>
      </w:r>
      <w:r w:rsidRPr="00986131">
        <w:rPr>
          <w:rFonts w:asciiTheme="minorHAnsi" w:hAnsiTheme="minorHAnsi" w:cstheme="minorHAnsi"/>
          <w:sz w:val="22"/>
          <w:szCs w:val="22"/>
          <w:u w:val="single"/>
        </w:rPr>
        <w:t>numatyti pilietybės netekimo dėl bendrojo intereso priežasčių, net jei dėl to atitinkamas asmuo netenka Sąjungos piliečio statuso</w:t>
      </w:r>
      <w:r w:rsidR="00986131">
        <w:rPr>
          <w:rFonts w:asciiTheme="minorHAnsi" w:hAnsiTheme="minorHAnsi" w:cstheme="minorHAnsi"/>
          <w:sz w:val="22"/>
          <w:szCs w:val="22"/>
        </w:rPr>
        <w:t xml:space="preserve"> (37–</w:t>
      </w:r>
      <w:r w:rsidRPr="00986131">
        <w:rPr>
          <w:rFonts w:asciiTheme="minorHAnsi" w:hAnsiTheme="minorHAnsi" w:cstheme="minorHAnsi"/>
          <w:sz w:val="22"/>
          <w:szCs w:val="22"/>
        </w:rPr>
        <w:t>39 punktai).</w:t>
      </w:r>
    </w:p>
    <w:p w14:paraId="644B3306" w14:textId="3B708A93"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Vis dėlto kompetentingos </w:t>
      </w:r>
      <w:r w:rsidRPr="00986131">
        <w:rPr>
          <w:rFonts w:asciiTheme="minorHAnsi" w:hAnsiTheme="minorHAnsi" w:cstheme="minorHAnsi"/>
          <w:sz w:val="22"/>
          <w:szCs w:val="22"/>
          <w:u w:val="single"/>
        </w:rPr>
        <w:t>nacionalinės institucijos ir nacionaliniai teismai turi patikrinti, ar atitinkamos valstybės narės pilietybės netekimas, kai dėl to netenkama Sąjungos piliečio statuso ir su juo susijusių teisių, atitinka proporcingumo principą</w:t>
      </w:r>
      <w:r w:rsidRPr="00986131">
        <w:rPr>
          <w:rFonts w:asciiTheme="minorHAnsi" w:hAnsiTheme="minorHAnsi" w:cstheme="minorHAnsi"/>
          <w:sz w:val="22"/>
          <w:szCs w:val="22"/>
        </w:rPr>
        <w:t xml:space="preserve">, kiek tai susiję su jo pasekmėmis atitinkamo asmens ir tam tikrais atvejais jo šeimos narių situacijai, atsižvelgiant į Sąjungos teisę. Valstybės narės pilietybės netekimas </w:t>
      </w:r>
      <w:proofErr w:type="spellStart"/>
      <w:r w:rsidRPr="00986131">
        <w:rPr>
          <w:rFonts w:asciiTheme="minorHAnsi" w:hAnsiTheme="minorHAnsi" w:cstheme="minorHAnsi"/>
          <w:i/>
          <w:sz w:val="22"/>
          <w:szCs w:val="22"/>
        </w:rPr>
        <w:t>ex</w:t>
      </w:r>
      <w:proofErr w:type="spellEnd"/>
      <w:r w:rsidRPr="00986131">
        <w:rPr>
          <w:rFonts w:asciiTheme="minorHAnsi" w:hAnsiTheme="minorHAnsi" w:cstheme="minorHAnsi"/>
          <w:i/>
          <w:sz w:val="22"/>
          <w:szCs w:val="22"/>
        </w:rPr>
        <w:t> </w:t>
      </w:r>
      <w:proofErr w:type="spellStart"/>
      <w:r w:rsidRPr="00986131">
        <w:rPr>
          <w:rFonts w:asciiTheme="minorHAnsi" w:hAnsiTheme="minorHAnsi" w:cstheme="minorHAnsi"/>
          <w:i/>
          <w:sz w:val="22"/>
          <w:szCs w:val="22"/>
        </w:rPr>
        <w:t>lege</w:t>
      </w:r>
      <w:proofErr w:type="spellEnd"/>
      <w:r w:rsidRPr="00986131">
        <w:rPr>
          <w:rFonts w:asciiTheme="minorHAnsi" w:hAnsiTheme="minorHAnsi" w:cstheme="minorHAnsi"/>
          <w:sz w:val="22"/>
          <w:szCs w:val="22"/>
        </w:rPr>
        <w:t xml:space="preserve"> būtų </w:t>
      </w:r>
      <w:r w:rsidRPr="00986131">
        <w:rPr>
          <w:rFonts w:asciiTheme="minorHAnsi" w:hAnsiTheme="minorHAnsi" w:cstheme="minorHAnsi"/>
          <w:sz w:val="22"/>
          <w:szCs w:val="22"/>
          <w:u w:val="single"/>
        </w:rPr>
        <w:t>nesuderinamas su proporcingumo principu, jei pagal taikytinas nacionalinės teisės nuostatas jokiais atvejais nebūtų įmanoma kiekvienu konkrečiu atveju įvertinti šio pilietybės netekimo pasekmių</w:t>
      </w:r>
      <w:r w:rsidRPr="00986131">
        <w:rPr>
          <w:rFonts w:asciiTheme="minorHAnsi" w:hAnsiTheme="minorHAnsi" w:cstheme="minorHAnsi"/>
          <w:sz w:val="22"/>
          <w:szCs w:val="22"/>
        </w:rPr>
        <w:t xml:space="preserve"> suinteresuotųjų asmenų situacijai, atsižvelgiant į Sąjungos teisę. Tuo remiantis, darytina išvada, kad esant tokiai situacijai, kaip nagrinėjama pagrindinėje byloje, kai valstybės narės pilietybės netenkama </w:t>
      </w:r>
      <w:proofErr w:type="spellStart"/>
      <w:r w:rsidRPr="00986131">
        <w:rPr>
          <w:rFonts w:asciiTheme="minorHAnsi" w:hAnsiTheme="minorHAnsi" w:cstheme="minorHAnsi"/>
          <w:i/>
          <w:sz w:val="22"/>
          <w:szCs w:val="22"/>
        </w:rPr>
        <w:t>ex</w:t>
      </w:r>
      <w:proofErr w:type="spellEnd"/>
      <w:r w:rsidRPr="00986131">
        <w:rPr>
          <w:rFonts w:asciiTheme="minorHAnsi" w:hAnsiTheme="minorHAnsi" w:cstheme="minorHAnsi"/>
          <w:i/>
          <w:sz w:val="22"/>
          <w:szCs w:val="22"/>
        </w:rPr>
        <w:t> </w:t>
      </w:r>
      <w:proofErr w:type="spellStart"/>
      <w:r w:rsidRPr="00986131">
        <w:rPr>
          <w:rFonts w:asciiTheme="minorHAnsi" w:hAnsiTheme="minorHAnsi" w:cstheme="minorHAnsi"/>
          <w:i/>
          <w:sz w:val="22"/>
          <w:szCs w:val="22"/>
        </w:rPr>
        <w:t>lege</w:t>
      </w:r>
      <w:proofErr w:type="spellEnd"/>
      <w:r w:rsidRPr="00986131">
        <w:rPr>
          <w:rFonts w:asciiTheme="minorHAnsi" w:hAnsiTheme="minorHAnsi" w:cstheme="minorHAnsi"/>
          <w:sz w:val="22"/>
          <w:szCs w:val="22"/>
        </w:rPr>
        <w:t xml:space="preserve"> ir dėl to prarandamas Sąjungos piliečio statusas, </w:t>
      </w:r>
      <w:r w:rsidRPr="00986131">
        <w:rPr>
          <w:rFonts w:asciiTheme="minorHAnsi" w:hAnsiTheme="minorHAnsi" w:cstheme="minorHAnsi"/>
          <w:sz w:val="22"/>
          <w:szCs w:val="22"/>
          <w:u w:val="single"/>
        </w:rPr>
        <w:t xml:space="preserve">kompetentingos nacionalinės institucijos ir teismai turi turėti galimybę kiekvienu konkrečiu atveju įvertinti tokio pilietybės netekimo pasekmes ir prireikus </w:t>
      </w:r>
      <w:proofErr w:type="spellStart"/>
      <w:r w:rsidRPr="00986131">
        <w:rPr>
          <w:rFonts w:asciiTheme="minorHAnsi" w:hAnsiTheme="minorHAnsi" w:cstheme="minorHAnsi"/>
          <w:i/>
          <w:sz w:val="22"/>
          <w:szCs w:val="22"/>
          <w:u w:val="single"/>
        </w:rPr>
        <w:t>ex</w:t>
      </w:r>
      <w:proofErr w:type="spellEnd"/>
      <w:r w:rsidRPr="00986131">
        <w:rPr>
          <w:rFonts w:asciiTheme="minorHAnsi" w:hAnsiTheme="minorHAnsi" w:cstheme="minorHAnsi"/>
          <w:i/>
          <w:sz w:val="22"/>
          <w:szCs w:val="22"/>
          <w:u w:val="single"/>
        </w:rPr>
        <w:t> </w:t>
      </w:r>
      <w:proofErr w:type="spellStart"/>
      <w:r w:rsidRPr="00986131">
        <w:rPr>
          <w:rFonts w:asciiTheme="minorHAnsi" w:hAnsiTheme="minorHAnsi" w:cstheme="minorHAnsi"/>
          <w:i/>
          <w:sz w:val="22"/>
          <w:szCs w:val="22"/>
          <w:u w:val="single"/>
        </w:rPr>
        <w:t>tunc</w:t>
      </w:r>
      <w:proofErr w:type="spellEnd"/>
      <w:r w:rsidRPr="00986131">
        <w:rPr>
          <w:rFonts w:asciiTheme="minorHAnsi" w:hAnsiTheme="minorHAnsi" w:cstheme="minorHAnsi"/>
          <w:sz w:val="22"/>
          <w:szCs w:val="22"/>
          <w:u w:val="single"/>
        </w:rPr>
        <w:t xml:space="preserve"> grąžinti suinteresuotajam asmeniui pilietybę,</w:t>
      </w:r>
      <w:r w:rsidRPr="00986131">
        <w:rPr>
          <w:rFonts w:asciiTheme="minorHAnsi" w:hAnsiTheme="minorHAnsi" w:cstheme="minorHAnsi"/>
          <w:sz w:val="22"/>
          <w:szCs w:val="22"/>
        </w:rPr>
        <w:t xml:space="preserve"> kai jis paprašo išduoti kelionės dokumentą ar bet kurį kitą jo pilietybę patvirtinantį dokumentą </w:t>
      </w:r>
      <w:r w:rsidR="00986131">
        <w:rPr>
          <w:rFonts w:asciiTheme="minorHAnsi" w:hAnsiTheme="minorHAnsi" w:cstheme="minorHAnsi"/>
          <w:sz w:val="22"/>
          <w:szCs w:val="22"/>
        </w:rPr>
        <w:t>(40–</w:t>
      </w:r>
      <w:r w:rsidRPr="00986131">
        <w:rPr>
          <w:rFonts w:asciiTheme="minorHAnsi" w:hAnsiTheme="minorHAnsi" w:cstheme="minorHAnsi"/>
          <w:sz w:val="22"/>
          <w:szCs w:val="22"/>
        </w:rPr>
        <w:t>42 punktai).</w:t>
      </w:r>
    </w:p>
    <w:p w14:paraId="33F14A18"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Vertindamos proporcingumą, kompetentingos valdžios institucijos, o prireikus ir nacionaliniai teismai </w:t>
      </w:r>
      <w:r w:rsidRPr="00986131">
        <w:rPr>
          <w:rFonts w:asciiTheme="minorHAnsi" w:hAnsiTheme="minorHAnsi" w:cstheme="minorHAnsi"/>
          <w:sz w:val="22"/>
          <w:szCs w:val="22"/>
          <w:u w:val="single"/>
        </w:rPr>
        <w:t>turi įsitikinti, kad toks pilietybės netekimas atitinka Chartijoje garantuojamas pagrindines teises</w:t>
      </w:r>
      <w:r w:rsidRPr="00986131">
        <w:rPr>
          <w:rFonts w:asciiTheme="minorHAnsi" w:hAnsiTheme="minorHAnsi" w:cstheme="minorHAnsi"/>
          <w:sz w:val="22"/>
          <w:szCs w:val="22"/>
        </w:rPr>
        <w:t>, kurių paisymą užtikrina Teisingumo Teismas, ypač teisę į pagarbą šeimos gyvenimui, įtvirtintą Chartijos 7 straipsnyje, o šis straipsnis turi būti aiškinamas kartu su pareiga atsižvelgti į vaiko interesų pirmumą, pripažintą Chartijos 24 straipsnio 2 dalyje (45 punktas).</w:t>
      </w:r>
    </w:p>
    <w:p w14:paraId="4AB43730"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Kiek tai susiję su aplinkybėmis, kurios susijusios su suinteresuotojo asmens individualia situacija ir gali būti reikšmingos kompetentingoms nacionalinėms institucijoms ir nacionaliniams teismams atliekant vertinimą nagrinėjamu atveju, Teismas paminėjo, </w:t>
      </w:r>
      <w:r w:rsidRPr="00986131">
        <w:rPr>
          <w:rFonts w:asciiTheme="minorHAnsi" w:hAnsiTheme="minorHAnsi" w:cstheme="minorHAnsi"/>
          <w:sz w:val="22"/>
          <w:szCs w:val="22"/>
          <w:u w:val="single"/>
        </w:rPr>
        <w:t xml:space="preserve">kad netekęs Nyderlandų pilietybės </w:t>
      </w:r>
      <w:proofErr w:type="spellStart"/>
      <w:r w:rsidRPr="00986131">
        <w:rPr>
          <w:rFonts w:asciiTheme="minorHAnsi" w:hAnsiTheme="minorHAnsi" w:cstheme="minorHAnsi"/>
          <w:i/>
          <w:sz w:val="22"/>
          <w:szCs w:val="22"/>
          <w:u w:val="single"/>
        </w:rPr>
        <w:t>ex</w:t>
      </w:r>
      <w:proofErr w:type="spellEnd"/>
      <w:r w:rsidRPr="00986131">
        <w:rPr>
          <w:rFonts w:asciiTheme="minorHAnsi" w:hAnsiTheme="minorHAnsi" w:cstheme="minorHAnsi"/>
          <w:i/>
          <w:sz w:val="22"/>
          <w:szCs w:val="22"/>
          <w:u w:val="single"/>
        </w:rPr>
        <w:t> </w:t>
      </w:r>
      <w:proofErr w:type="spellStart"/>
      <w:r w:rsidRPr="00986131">
        <w:rPr>
          <w:rFonts w:asciiTheme="minorHAnsi" w:hAnsiTheme="minorHAnsi" w:cstheme="minorHAnsi"/>
          <w:i/>
          <w:sz w:val="22"/>
          <w:szCs w:val="22"/>
          <w:u w:val="single"/>
        </w:rPr>
        <w:t>lege</w:t>
      </w:r>
      <w:proofErr w:type="spellEnd"/>
      <w:r w:rsidRPr="00986131">
        <w:rPr>
          <w:rFonts w:asciiTheme="minorHAnsi" w:hAnsiTheme="minorHAnsi" w:cstheme="minorHAnsi"/>
          <w:sz w:val="22"/>
          <w:szCs w:val="22"/>
          <w:u w:val="single"/>
        </w:rPr>
        <w:t xml:space="preserve"> ir kartu praradęs Sąjungos piliečio statusą, suinteresuotasis asmuo patirtų apribojimų įgyvendindamas savo teisę laisvai judėti ir gyventi valstybių narių teritorijoje ir dėl to jam galėtų kilti sunkumų atvykti į Nyderlandus ar kitą valstybę narę, siekiant išlaikyti faktinius reguliarius ryšius</w:t>
      </w:r>
      <w:r w:rsidRPr="00986131">
        <w:rPr>
          <w:rFonts w:asciiTheme="minorHAnsi" w:hAnsiTheme="minorHAnsi" w:cstheme="minorHAnsi"/>
          <w:sz w:val="22"/>
          <w:szCs w:val="22"/>
        </w:rPr>
        <w:t xml:space="preserve"> su šeimos nariais, vykdyti profesinę veiklą ar imtis reikiamų veiksmų, kad galėtų vykdyti tokią veiklą. Viena vertus, taip pat svarbi aplinkybė, kad suinteresuotasis asmuo negalėjo atsisakyti trečiosios valstybės pilietybės, ir dėl šios priežasties jam taikomas Pilietybės įstatymo 15 straipsnio 1 dalies c punktas, ir, kita vertus, reikia atsižvelgti į </w:t>
      </w:r>
      <w:r w:rsidRPr="00986131">
        <w:rPr>
          <w:rFonts w:asciiTheme="minorHAnsi" w:hAnsiTheme="minorHAnsi" w:cstheme="minorHAnsi"/>
          <w:sz w:val="22"/>
          <w:szCs w:val="22"/>
          <w:u w:val="single"/>
        </w:rPr>
        <w:t>didelę riziką, kad bus iš esmės pakenkta suinteresuotojo asmens saugumui ir jo judėjimo laisvei, nes jis nebegalėtų trečiosios valstybės, kurioje gyvena, teritorijoje pasinaudoti konsulinių įstaigų teikiama apsauga</w:t>
      </w:r>
      <w:r w:rsidRPr="00986131">
        <w:rPr>
          <w:rFonts w:asciiTheme="minorHAnsi" w:hAnsiTheme="minorHAnsi" w:cstheme="minorHAnsi"/>
          <w:sz w:val="22"/>
          <w:szCs w:val="22"/>
        </w:rPr>
        <w:t xml:space="preserve"> pagal SESV 20 straipsnio 2 dalies c punktą (46 punktas).</w:t>
      </w:r>
    </w:p>
    <w:p w14:paraId="7EB5F650" w14:textId="5901EEBE"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Kiek tai susiję su nepilnamečiais asmenimis, Teismas pažymėjo, kad kompetentingos administracinės institucijos ar teismai, atlikdami kiekvieno konkretaus atvejo vertinimą, taip pat turi atsižvelgti į tai, kad galbūt esama aplinkybių, rodančių, jog tai, kad šis nepilnametis neteko Nyderlandų pilietybės dėl to, kad nacionalinių įstatymų leidėjas šį netekimą susiejo su vieno iš šio nepilnamečio asmens tėvų pilietybės netekimu siekiant išsaugoti vienodą šeimos narių pilietybę, neatitinka Chartijos 24 straipsnyje įtvirtinto vaiko interesų pirmumo dėl pasekmių, kurių šis pilietybės netekimas sukelia šiam nepilnamečiui, atsižvelgiant į Sąjungos teisę</w:t>
      </w:r>
      <w:r w:rsidR="00986131">
        <w:rPr>
          <w:rFonts w:asciiTheme="minorHAnsi" w:hAnsiTheme="minorHAnsi" w:cstheme="minorHAnsi"/>
          <w:sz w:val="22"/>
          <w:szCs w:val="22"/>
        </w:rPr>
        <w:t xml:space="preserve"> (47 </w:t>
      </w:r>
      <w:r w:rsidRPr="00986131">
        <w:rPr>
          <w:rFonts w:asciiTheme="minorHAnsi" w:hAnsiTheme="minorHAnsi" w:cstheme="minorHAnsi"/>
          <w:sz w:val="22"/>
          <w:szCs w:val="22"/>
        </w:rPr>
        <w:t>punktas).</w:t>
      </w:r>
    </w:p>
    <w:p w14:paraId="25B75F03"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p>
    <w:p w14:paraId="06C4CAFD" w14:textId="77777777" w:rsidR="00B47BC3" w:rsidRPr="00986131" w:rsidRDefault="00B47BC3" w:rsidP="00B47BC3">
      <w:pPr>
        <w:ind w:firstLine="567"/>
        <w:rPr>
          <w:rFonts w:asciiTheme="minorHAnsi" w:hAnsiTheme="minorHAnsi" w:cstheme="minorHAnsi"/>
          <w:b/>
        </w:rPr>
      </w:pPr>
      <w:r w:rsidRPr="00986131">
        <w:rPr>
          <w:rFonts w:asciiTheme="minorHAnsi" w:hAnsiTheme="minorHAnsi" w:cstheme="minorHAnsi"/>
          <w:b/>
        </w:rPr>
        <w:t>Remdamasis šiais motyvais, Teisingumo Teismas (didžioji kolegija) nusprendė:</w:t>
      </w:r>
    </w:p>
    <w:p w14:paraId="46ABF7AB" w14:textId="77777777" w:rsidR="00B47BC3" w:rsidRPr="00986131" w:rsidRDefault="00B47BC3" w:rsidP="00B47BC3">
      <w:pPr>
        <w:ind w:firstLine="567"/>
        <w:rPr>
          <w:rFonts w:asciiTheme="minorHAnsi" w:hAnsiTheme="minorHAnsi" w:cstheme="minorHAnsi"/>
          <w:b/>
        </w:rPr>
      </w:pPr>
    </w:p>
    <w:p w14:paraId="4E4937F5"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SESV 20 straipsnis, atsižvelgiant į Europos Sąjungos pagrindinių teisių chartijos 7 ir 24 straipsnius, turi būti aiškinamas taip, kad pagal jį </w:t>
      </w:r>
      <w:r w:rsidRPr="00986131">
        <w:rPr>
          <w:rFonts w:asciiTheme="minorHAnsi" w:hAnsiTheme="minorHAnsi" w:cstheme="minorHAnsi"/>
          <w:sz w:val="22"/>
          <w:szCs w:val="22"/>
          <w:u w:val="single"/>
        </w:rPr>
        <w:t>nedraudžiamos valstybės narės įstatymo nuostatos</w:t>
      </w:r>
      <w:r w:rsidRPr="00986131">
        <w:rPr>
          <w:rFonts w:asciiTheme="minorHAnsi" w:hAnsiTheme="minorHAnsi" w:cstheme="minorHAnsi"/>
          <w:sz w:val="22"/>
          <w:szCs w:val="22"/>
        </w:rPr>
        <w:t xml:space="preserve">, kaip nagrinėjamos pagrindinėje byloje, </w:t>
      </w:r>
      <w:r w:rsidRPr="00986131">
        <w:rPr>
          <w:rFonts w:asciiTheme="minorHAnsi" w:hAnsiTheme="minorHAnsi" w:cstheme="minorHAnsi"/>
          <w:sz w:val="22"/>
          <w:szCs w:val="22"/>
          <w:u w:val="single"/>
        </w:rPr>
        <w:t xml:space="preserve">kuriose numatyta, kad, esant tam tikroms sąlygoms, asmenys, netekę šios valstybės narės pilietybės </w:t>
      </w:r>
      <w:proofErr w:type="spellStart"/>
      <w:r w:rsidRPr="00986131">
        <w:rPr>
          <w:rFonts w:asciiTheme="minorHAnsi" w:hAnsiTheme="minorHAnsi" w:cstheme="minorHAnsi"/>
          <w:sz w:val="22"/>
          <w:szCs w:val="22"/>
          <w:u w:val="single"/>
        </w:rPr>
        <w:t>ex</w:t>
      </w:r>
      <w:proofErr w:type="spellEnd"/>
      <w:r w:rsidRPr="00986131">
        <w:rPr>
          <w:rFonts w:asciiTheme="minorHAnsi" w:hAnsiTheme="minorHAnsi" w:cstheme="minorHAnsi"/>
          <w:sz w:val="22"/>
          <w:szCs w:val="22"/>
          <w:u w:val="single"/>
        </w:rPr>
        <w:t> </w:t>
      </w:r>
      <w:proofErr w:type="spellStart"/>
      <w:r w:rsidRPr="00986131">
        <w:rPr>
          <w:rFonts w:asciiTheme="minorHAnsi" w:hAnsiTheme="minorHAnsi" w:cstheme="minorHAnsi"/>
          <w:sz w:val="22"/>
          <w:szCs w:val="22"/>
          <w:u w:val="single"/>
        </w:rPr>
        <w:t>lege</w:t>
      </w:r>
      <w:proofErr w:type="spellEnd"/>
      <w:r w:rsidRPr="00986131">
        <w:rPr>
          <w:rFonts w:asciiTheme="minorHAnsi" w:hAnsiTheme="minorHAnsi" w:cstheme="minorHAnsi"/>
          <w:sz w:val="22"/>
          <w:szCs w:val="22"/>
          <w:u w:val="single"/>
        </w:rPr>
        <w:t xml:space="preserve"> ir neturintys kitos valstybės narės pilietybės, netenka Europos Sąjungos piliečio statuso ir su šiuo statusu susijusių teisių, su sąlyga, kad kompetentingos nacionalinės institucijos, įskaitant nacionalinius teismus, turi galimybę kiekvienu konkrečiu atveju įvertinti tokio pilietybės netekimo pasekmes ir prireikus </w:t>
      </w:r>
      <w:proofErr w:type="spellStart"/>
      <w:r w:rsidRPr="00986131">
        <w:rPr>
          <w:rFonts w:asciiTheme="minorHAnsi" w:hAnsiTheme="minorHAnsi" w:cstheme="minorHAnsi"/>
          <w:sz w:val="22"/>
          <w:szCs w:val="22"/>
          <w:u w:val="single"/>
        </w:rPr>
        <w:t>ex</w:t>
      </w:r>
      <w:proofErr w:type="spellEnd"/>
      <w:r w:rsidRPr="00986131">
        <w:rPr>
          <w:rFonts w:asciiTheme="minorHAnsi" w:hAnsiTheme="minorHAnsi" w:cstheme="minorHAnsi"/>
          <w:sz w:val="22"/>
          <w:szCs w:val="22"/>
          <w:u w:val="single"/>
        </w:rPr>
        <w:t> </w:t>
      </w:r>
      <w:proofErr w:type="spellStart"/>
      <w:r w:rsidRPr="00986131">
        <w:rPr>
          <w:rFonts w:asciiTheme="minorHAnsi" w:hAnsiTheme="minorHAnsi" w:cstheme="minorHAnsi"/>
          <w:sz w:val="22"/>
          <w:szCs w:val="22"/>
          <w:u w:val="single"/>
        </w:rPr>
        <w:t>tunc</w:t>
      </w:r>
      <w:proofErr w:type="spellEnd"/>
      <w:r w:rsidRPr="00986131">
        <w:rPr>
          <w:rFonts w:asciiTheme="minorHAnsi" w:hAnsiTheme="minorHAnsi" w:cstheme="minorHAnsi"/>
          <w:sz w:val="22"/>
          <w:szCs w:val="22"/>
          <w:u w:val="single"/>
        </w:rPr>
        <w:t xml:space="preserve"> grąžinti suinteresuotiesiems asmenims pilietybę, jų prašymu išduoti kelionės dokumentą ar bet kurį kitą jų pilietybę patvirtinantį dokumentą</w:t>
      </w:r>
      <w:r w:rsidRPr="00986131">
        <w:rPr>
          <w:rFonts w:asciiTheme="minorHAnsi" w:hAnsiTheme="minorHAnsi" w:cstheme="minorHAnsi"/>
          <w:sz w:val="22"/>
          <w:szCs w:val="22"/>
        </w:rPr>
        <w:t>. Atlikdami šį vertinimą, šios institucijos ir teismai privalo patikrinti, ar atitinkamos valstybės narės pilietybės netekimas, dėl kurio netenkama Sąjungos piliečio statuso, atitinka proporcingumo principą, kiek tai susiję su šio pilietybės netekimo pasekmėmis suinteresuotojo asmens ir tam tikrais atvejais jo šeimos narių situacijai, atsižvelgiant į Sąjungos teisę.</w:t>
      </w:r>
    </w:p>
    <w:p w14:paraId="65F34BA6" w14:textId="77777777" w:rsidR="00B47BC3" w:rsidRPr="00986131" w:rsidRDefault="006A47DB" w:rsidP="00B47BC3">
      <w:pPr>
        <w:pStyle w:val="c01pointnumerotealtn"/>
        <w:shd w:val="clear" w:color="auto" w:fill="FFFFFF"/>
        <w:spacing w:before="0" w:beforeAutospacing="0" w:after="0"/>
        <w:ind w:firstLine="0"/>
        <w:rPr>
          <w:rFonts w:asciiTheme="minorHAnsi" w:hAnsiTheme="minorHAnsi" w:cstheme="minorHAnsi"/>
          <w:sz w:val="22"/>
          <w:szCs w:val="22"/>
        </w:rPr>
      </w:pPr>
      <w:hyperlink r:id="rId23" w:history="1">
        <w:r w:rsidR="00B47BC3" w:rsidRPr="00986131">
          <w:rPr>
            <w:rStyle w:val="Hipersaitas"/>
            <w:rFonts w:asciiTheme="minorHAnsi" w:hAnsiTheme="minorHAnsi" w:cstheme="minorHAnsi"/>
            <w:sz w:val="22"/>
            <w:szCs w:val="22"/>
          </w:rPr>
          <w:t>Prieiga internete</w:t>
        </w:r>
      </w:hyperlink>
      <w:r w:rsidR="00B47BC3" w:rsidRPr="00986131">
        <w:rPr>
          <w:rFonts w:asciiTheme="minorHAnsi" w:hAnsiTheme="minorHAnsi" w:cstheme="minorHAnsi"/>
          <w:sz w:val="22"/>
          <w:szCs w:val="22"/>
        </w:rPr>
        <w:t xml:space="preserve"> </w:t>
      </w:r>
    </w:p>
    <w:p w14:paraId="67688486" w14:textId="77777777" w:rsidR="00B47BC3" w:rsidRPr="00986131" w:rsidRDefault="00B47BC3" w:rsidP="001C4363">
      <w:pPr>
        <w:jc w:val="center"/>
        <w:rPr>
          <w:rFonts w:asciiTheme="minorHAnsi" w:hAnsiTheme="minorHAnsi" w:cstheme="minorHAnsi"/>
          <w:b/>
        </w:rPr>
      </w:pPr>
    </w:p>
    <w:p w14:paraId="731E7F99" w14:textId="3740CAEB" w:rsidR="00B47BC3" w:rsidRPr="00986131" w:rsidRDefault="00B47BC3" w:rsidP="00B47BC3">
      <w:pPr>
        <w:pStyle w:val="Antrat1"/>
        <w:keepLines w:val="0"/>
        <w:tabs>
          <w:tab w:val="right" w:leader="dot" w:pos="9639"/>
        </w:tabs>
        <w:spacing w:before="0"/>
        <w:rPr>
          <w:rFonts w:cstheme="minorHAnsi"/>
        </w:rPr>
      </w:pPr>
      <w:bookmarkStart w:id="152" w:name="_Toc11232490"/>
      <w:bookmarkStart w:id="153" w:name="_Toc11232781"/>
      <w:bookmarkStart w:id="154" w:name="_Toc11758017"/>
      <w:r w:rsidRPr="00986131">
        <w:rPr>
          <w:rFonts w:cstheme="minorHAnsi"/>
        </w:rPr>
        <w:t>EKONOMINĖ IR PINIGŲ SĄJUNGA</w:t>
      </w:r>
      <w:bookmarkEnd w:id="152"/>
      <w:bookmarkEnd w:id="153"/>
      <w:bookmarkEnd w:id="154"/>
      <w:r w:rsidRPr="00986131">
        <w:rPr>
          <w:rFonts w:cstheme="minorHAnsi"/>
        </w:rPr>
        <w:t xml:space="preserve"> </w:t>
      </w:r>
    </w:p>
    <w:p w14:paraId="7411F834" w14:textId="77777777" w:rsidR="00B47BC3" w:rsidRPr="00986131" w:rsidRDefault="00B47BC3" w:rsidP="00B47BC3"/>
    <w:p w14:paraId="706BEB2F" w14:textId="644170BA" w:rsidR="00B47BC3" w:rsidRPr="00CB6EC1" w:rsidRDefault="00B47BC3" w:rsidP="00CB6EC1">
      <w:pPr>
        <w:pStyle w:val="Antrat1"/>
        <w:spacing w:before="0"/>
        <w:rPr>
          <w:rFonts w:cstheme="minorHAnsi"/>
          <w:bCs/>
          <w:iCs/>
          <w:color w:val="auto"/>
        </w:rPr>
      </w:pPr>
      <w:bookmarkStart w:id="155" w:name="_Toc11232491"/>
      <w:bookmarkStart w:id="156" w:name="_Toc11232782"/>
      <w:bookmarkStart w:id="157" w:name="_Toc11758018"/>
      <w:r w:rsidRPr="00CB6EC1">
        <w:rPr>
          <w:rFonts w:cstheme="minorHAnsi"/>
          <w:bCs/>
          <w:iCs/>
          <w:color w:val="auto"/>
        </w:rPr>
        <w:t xml:space="preserve">2019 m. vasario 6 d. didžiosios kolegijos </w:t>
      </w:r>
      <w:proofErr w:type="spellStart"/>
      <w:r w:rsidRPr="00CB6EC1">
        <w:rPr>
          <w:rFonts w:cstheme="minorHAnsi"/>
          <w:bCs/>
          <w:iCs/>
          <w:color w:val="auto"/>
        </w:rPr>
        <w:t>prejudicinis</w:t>
      </w:r>
      <w:proofErr w:type="spellEnd"/>
      <w:r w:rsidRPr="00CB6EC1">
        <w:rPr>
          <w:rFonts w:cstheme="minorHAnsi"/>
          <w:bCs/>
          <w:iCs/>
          <w:color w:val="auto"/>
        </w:rPr>
        <w:t xml:space="preserve"> sprendimas sujungtose bylose C-202/18 ir C-238/18</w:t>
      </w:r>
      <w:bookmarkEnd w:id="155"/>
      <w:bookmarkEnd w:id="156"/>
      <w:bookmarkEnd w:id="157"/>
    </w:p>
    <w:p w14:paraId="772A537F" w14:textId="77777777" w:rsidR="00B47BC3" w:rsidRPr="00986131" w:rsidRDefault="00B47BC3" w:rsidP="00986131">
      <w:pPr>
        <w:jc w:val="center"/>
        <w:rPr>
          <w:rFonts w:cstheme="minorHAnsi"/>
          <w:b/>
          <w:i/>
        </w:rPr>
      </w:pPr>
      <w:proofErr w:type="spellStart"/>
      <w:r w:rsidRPr="00986131">
        <w:rPr>
          <w:rFonts w:cstheme="minorHAnsi"/>
          <w:b/>
          <w:i/>
        </w:rPr>
        <w:t>Ilmārs</w:t>
      </w:r>
      <w:proofErr w:type="spellEnd"/>
      <w:r w:rsidRPr="00986131">
        <w:rPr>
          <w:rFonts w:cstheme="minorHAnsi"/>
          <w:b/>
          <w:i/>
        </w:rPr>
        <w:t xml:space="preserve"> </w:t>
      </w:r>
      <w:proofErr w:type="spellStart"/>
      <w:r w:rsidRPr="00986131">
        <w:rPr>
          <w:rFonts w:cstheme="minorHAnsi"/>
          <w:b/>
          <w:i/>
        </w:rPr>
        <w:t>Rimšēvičs</w:t>
      </w:r>
      <w:proofErr w:type="spellEnd"/>
      <w:r w:rsidRPr="00986131">
        <w:rPr>
          <w:rFonts w:cstheme="minorHAnsi"/>
          <w:b/>
          <w:i/>
        </w:rPr>
        <w:t xml:space="preserve"> ir Europos centrinis bankas prieš Latvijos Respubliką</w:t>
      </w:r>
    </w:p>
    <w:p w14:paraId="2DD21EDB"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p>
    <w:p w14:paraId="70F68ACD"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Pagal Protokolo dėl Europos centrinių bankų sistemos ir Europos Centrinio Banko statuto (toliau – ECBS ir ECB statutas) 14 straipsnio 2 dalies antrą pastraipą pareikštuose ieškiniuose </w:t>
      </w:r>
      <w:proofErr w:type="spellStart"/>
      <w:r w:rsidRPr="00986131">
        <w:rPr>
          <w:rFonts w:asciiTheme="minorHAnsi" w:hAnsiTheme="minorHAnsi" w:cstheme="minorHAnsi"/>
          <w:sz w:val="22"/>
          <w:szCs w:val="22"/>
        </w:rPr>
        <w:t>Latvijas</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Banka</w:t>
      </w:r>
      <w:proofErr w:type="spellEnd"/>
      <w:r w:rsidRPr="00986131">
        <w:rPr>
          <w:rFonts w:asciiTheme="minorHAnsi" w:hAnsiTheme="minorHAnsi" w:cstheme="minorHAnsi"/>
          <w:sz w:val="22"/>
          <w:szCs w:val="22"/>
        </w:rPr>
        <w:t xml:space="preserve"> (Latvijos centrinis bankas) valdytojas </w:t>
      </w:r>
      <w:proofErr w:type="spellStart"/>
      <w:r w:rsidRPr="00986131">
        <w:rPr>
          <w:rFonts w:asciiTheme="minorHAnsi" w:hAnsiTheme="minorHAnsi" w:cstheme="minorHAnsi"/>
          <w:sz w:val="22"/>
          <w:szCs w:val="22"/>
        </w:rPr>
        <w:t>Ilmārs</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Rimšēvičs</w:t>
      </w:r>
      <w:proofErr w:type="spellEnd"/>
      <w:r w:rsidRPr="00986131">
        <w:rPr>
          <w:rFonts w:asciiTheme="minorHAnsi" w:hAnsiTheme="minorHAnsi" w:cstheme="minorHAnsi"/>
          <w:sz w:val="22"/>
          <w:szCs w:val="22"/>
        </w:rPr>
        <w:t xml:space="preserve"> ir Europos Centrinis Bankas (ECB) savo Valdančiosios tarybos sprendimu ginčija 2018 m. vasario 19 d. Korupcijas </w:t>
      </w:r>
      <w:proofErr w:type="spellStart"/>
      <w:r w:rsidRPr="00986131">
        <w:rPr>
          <w:rFonts w:asciiTheme="minorHAnsi" w:hAnsiTheme="minorHAnsi" w:cstheme="minorHAnsi"/>
          <w:sz w:val="22"/>
          <w:szCs w:val="22"/>
        </w:rPr>
        <w:t>novēršanas</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un</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apkarošanas</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birojs</w:t>
      </w:r>
      <w:proofErr w:type="spellEnd"/>
      <w:r w:rsidRPr="00986131">
        <w:rPr>
          <w:rFonts w:asciiTheme="minorHAnsi" w:hAnsiTheme="minorHAnsi" w:cstheme="minorHAnsi"/>
          <w:sz w:val="22"/>
          <w:szCs w:val="22"/>
        </w:rPr>
        <w:t xml:space="preserve"> (Korupcijos prevencijos ir kovos su korupcija tarnyba, Latvija) (toliau – KNAB) sprendimą laikinai uždrausti I. </w:t>
      </w:r>
      <w:proofErr w:type="spellStart"/>
      <w:r w:rsidRPr="00986131">
        <w:rPr>
          <w:rFonts w:asciiTheme="minorHAnsi" w:hAnsiTheme="minorHAnsi" w:cstheme="minorHAnsi"/>
          <w:sz w:val="22"/>
          <w:szCs w:val="22"/>
        </w:rPr>
        <w:t>Rimšēvičs</w:t>
      </w:r>
      <w:proofErr w:type="spellEnd"/>
      <w:r w:rsidRPr="00986131">
        <w:rPr>
          <w:rFonts w:asciiTheme="minorHAnsi" w:hAnsiTheme="minorHAnsi" w:cstheme="minorHAnsi"/>
          <w:sz w:val="22"/>
          <w:szCs w:val="22"/>
        </w:rPr>
        <w:t xml:space="preserve"> eiti Latvijos centrinio banko valdytojo pareigas (toliau – ginčijamas sprendimas) (1 punktas).</w:t>
      </w:r>
    </w:p>
    <w:p w14:paraId="3D37D31C"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2013 m. spalio 31 d. Latvijos parlamento sprendimu I. </w:t>
      </w:r>
      <w:proofErr w:type="spellStart"/>
      <w:r w:rsidRPr="00986131">
        <w:rPr>
          <w:rFonts w:asciiTheme="minorHAnsi" w:hAnsiTheme="minorHAnsi" w:cstheme="minorHAnsi"/>
          <w:sz w:val="22"/>
          <w:szCs w:val="22"/>
        </w:rPr>
        <w:t>Rimšēvičs</w:t>
      </w:r>
      <w:proofErr w:type="spellEnd"/>
      <w:r w:rsidRPr="00986131">
        <w:rPr>
          <w:rFonts w:asciiTheme="minorHAnsi" w:hAnsiTheme="minorHAnsi" w:cstheme="minorHAnsi"/>
          <w:sz w:val="22"/>
          <w:szCs w:val="22"/>
        </w:rPr>
        <w:t xml:space="preserve"> buvo paskirtas Latvijos centrinio banko valdytoju šešerių metų kadencijai nuo 2013 m. gruodžio 21 d. iki 2019 m. gruodžio 21 d. (13 punktas).</w:t>
      </w:r>
    </w:p>
    <w:p w14:paraId="21AA9DBC" w14:textId="14E584F9"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2018 m. vasario 17 d. I. </w:t>
      </w:r>
      <w:proofErr w:type="spellStart"/>
      <w:r w:rsidRPr="00986131">
        <w:rPr>
          <w:rFonts w:asciiTheme="minorHAnsi" w:hAnsiTheme="minorHAnsi" w:cstheme="minorHAnsi"/>
          <w:sz w:val="22"/>
          <w:szCs w:val="22"/>
        </w:rPr>
        <w:t>Rimšēvičs</w:t>
      </w:r>
      <w:proofErr w:type="spellEnd"/>
      <w:r w:rsidRPr="00986131">
        <w:rPr>
          <w:rFonts w:asciiTheme="minorHAnsi" w:hAnsiTheme="minorHAnsi" w:cstheme="minorHAnsi"/>
          <w:sz w:val="22"/>
          <w:szCs w:val="22"/>
        </w:rPr>
        <w:t xml:space="preserve"> buvo sulaikytas po to, kai tų pačių metų vasario 15 d. KNAB pradėjo prieš jį ikiteisminį tyrimą. Jis įtartas tuo, kad, būdamas Latvijos centrinio banko valdytojas ir siekdamas daryti poveikį privataus Latvijos banko naudai, 2013 m. reikalavo duoti kyšį ir jį priėmė (14–15 punktai).</w:t>
      </w:r>
    </w:p>
    <w:p w14:paraId="2971F07E"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2018 m. vasario 19 d. paleisdama I. </w:t>
      </w:r>
      <w:proofErr w:type="spellStart"/>
      <w:r w:rsidRPr="00986131">
        <w:rPr>
          <w:rFonts w:asciiTheme="minorHAnsi" w:hAnsiTheme="minorHAnsi" w:cstheme="minorHAnsi"/>
          <w:sz w:val="22"/>
          <w:szCs w:val="22"/>
        </w:rPr>
        <w:t>Rimšēvičs</w:t>
      </w:r>
      <w:proofErr w:type="spellEnd"/>
      <w:r w:rsidRPr="00986131">
        <w:rPr>
          <w:rFonts w:asciiTheme="minorHAnsi" w:hAnsiTheme="minorHAnsi" w:cstheme="minorHAnsi"/>
          <w:sz w:val="22"/>
          <w:szCs w:val="22"/>
        </w:rPr>
        <w:t xml:space="preserve"> į laisvę, KNAB priėmė ginčijamą sprendimą, kuriuo jam buvo paskirtos kelios procesinės prievartos priemonės, t. y. draudimas vykdyti sprendimų priėmimo, kontrolės ir priežiūros funkcijas Latvijos centriniame banke, būtent eiti šio centrinio banko valdytojo pareigas, įpareigojimas sumokėti užstatą, taip pat draudimas bendrauti su tam tikrais asmenimis ir išvykti iš šalies be išankstinio leidimo (16 punktas). </w:t>
      </w:r>
    </w:p>
    <w:p w14:paraId="1323D849"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2018 m. vasario 27 d. </w:t>
      </w:r>
      <w:proofErr w:type="spellStart"/>
      <w:r w:rsidRPr="00986131">
        <w:rPr>
          <w:rFonts w:asciiTheme="minorHAnsi" w:hAnsiTheme="minorHAnsi" w:cstheme="minorHAnsi"/>
          <w:sz w:val="22"/>
          <w:szCs w:val="22"/>
        </w:rPr>
        <w:t>Rīgas</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rajona</w:t>
      </w:r>
      <w:proofErr w:type="spellEnd"/>
      <w:r w:rsidRPr="00986131">
        <w:rPr>
          <w:rFonts w:asciiTheme="minorHAnsi" w:hAnsiTheme="minorHAnsi" w:cstheme="minorHAnsi"/>
          <w:sz w:val="22"/>
          <w:szCs w:val="22"/>
        </w:rPr>
        <w:t xml:space="preserve"> tiesa (Rygos apylinkės teismas, Latvija) ikiteisminio tyrimo teisėjas atmetė I. </w:t>
      </w:r>
      <w:proofErr w:type="spellStart"/>
      <w:r w:rsidRPr="00986131">
        <w:rPr>
          <w:rFonts w:asciiTheme="minorHAnsi" w:hAnsiTheme="minorHAnsi" w:cstheme="minorHAnsi"/>
          <w:sz w:val="22"/>
          <w:szCs w:val="22"/>
        </w:rPr>
        <w:t>Rimšēvičs</w:t>
      </w:r>
      <w:proofErr w:type="spellEnd"/>
      <w:r w:rsidRPr="00986131">
        <w:rPr>
          <w:rFonts w:asciiTheme="minorHAnsi" w:hAnsiTheme="minorHAnsi" w:cstheme="minorHAnsi"/>
          <w:sz w:val="22"/>
          <w:szCs w:val="22"/>
        </w:rPr>
        <w:t xml:space="preserve"> skundą dėl KNAB paskirtų dviejų procesinių prievartos priemonių, t. y. draudimo vykdyti funkcijas Latvijos centriniame banke ir draudimo išvykti iš šalies be išankstinio leidimo (17 punktas).</w:t>
      </w:r>
    </w:p>
    <w:p w14:paraId="612D1912"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2018 m. birželio 28 d. bylai vadovaujantis prokuroras pareiškė I. </w:t>
      </w:r>
      <w:proofErr w:type="spellStart"/>
      <w:r w:rsidRPr="00986131">
        <w:rPr>
          <w:rFonts w:asciiTheme="minorHAnsi" w:hAnsiTheme="minorHAnsi" w:cstheme="minorHAnsi"/>
          <w:sz w:val="22"/>
          <w:szCs w:val="22"/>
        </w:rPr>
        <w:t>Rimšēvičs</w:t>
      </w:r>
      <w:proofErr w:type="spellEnd"/>
      <w:r w:rsidRPr="00986131">
        <w:rPr>
          <w:rFonts w:asciiTheme="minorHAnsi" w:hAnsiTheme="minorHAnsi" w:cstheme="minorHAnsi"/>
          <w:sz w:val="22"/>
          <w:szCs w:val="22"/>
        </w:rPr>
        <w:t xml:space="preserve"> kaltinimus dėl: kyšio, kaip poilsinės kelionės forma išreikšto atlygio, priėmimo; susitarimo priimti 500 000 EUR kyšį ir 250 000 EUR kyšio priėmimo (18 punktas).</w:t>
      </w:r>
    </w:p>
    <w:p w14:paraId="1A27BC5B"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Byloje C</w:t>
      </w:r>
      <w:r w:rsidRPr="00986131">
        <w:rPr>
          <w:rFonts w:asciiTheme="minorHAnsi" w:hAnsiTheme="minorHAnsi" w:cstheme="minorHAnsi"/>
          <w:sz w:val="22"/>
          <w:szCs w:val="22"/>
        </w:rPr>
        <w:noBreakHyphen/>
        <w:t>202/18 pareikštu ieškiniu I. </w:t>
      </w:r>
      <w:proofErr w:type="spellStart"/>
      <w:r w:rsidRPr="00986131">
        <w:rPr>
          <w:rFonts w:asciiTheme="minorHAnsi" w:hAnsiTheme="minorHAnsi" w:cstheme="minorHAnsi"/>
          <w:sz w:val="22"/>
          <w:szCs w:val="22"/>
        </w:rPr>
        <w:t>Rimšēvičs</w:t>
      </w:r>
      <w:proofErr w:type="spellEnd"/>
      <w:r w:rsidRPr="00986131">
        <w:rPr>
          <w:rFonts w:asciiTheme="minorHAnsi" w:hAnsiTheme="minorHAnsi" w:cstheme="minorHAnsi"/>
          <w:sz w:val="22"/>
          <w:szCs w:val="22"/>
        </w:rPr>
        <w:t xml:space="preserve"> Teisingumo Teismo prašė pripažinti, kad: ginčijamu sprendimu jis buvo neteisėtai nušalintas nuo Latvijos centrinio banko valdytojo pareigų; ginčijamu sprendimu jam paskirta procesinė prievartos priemonė, kuria uždrausta vykdyti Latvijos centrinio banko valdytojo pareigas ir įgaliojimus, yra neteisėta; iš ginčijamo sprendimo kylantys apribojimai vykdyti ECB valdančiosios tarybos nario pareigas ir įgaliojimus jam buvo taikomi neteisėtai (19 punktas).</w:t>
      </w:r>
    </w:p>
    <w:p w14:paraId="0171A95B"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Byloje C</w:t>
      </w:r>
      <w:r w:rsidRPr="00986131">
        <w:rPr>
          <w:rFonts w:asciiTheme="minorHAnsi" w:hAnsiTheme="minorHAnsi" w:cstheme="minorHAnsi"/>
          <w:sz w:val="22"/>
          <w:szCs w:val="22"/>
        </w:rPr>
        <w:noBreakHyphen/>
        <w:t>238/18 pareikštu ieškiniu ECB Teisingumo Teismo prašė: nurodyti Latvijos Respublikai pagal Europos Sąjungos Teisingumo Teismo statuto 24 straipsnio pirmą pastraipą ir Teisingumo Teismo procedūros reglamento 62 straipsnį pateikti visą svarbią informaciją, susijusią su šiuo metu KNAB atliekamais tyrimais dėl Latvijos centrinio banko valdytojo I. </w:t>
      </w:r>
      <w:proofErr w:type="spellStart"/>
      <w:r w:rsidRPr="00986131">
        <w:rPr>
          <w:rFonts w:asciiTheme="minorHAnsi" w:hAnsiTheme="minorHAnsi" w:cstheme="minorHAnsi"/>
          <w:sz w:val="22"/>
          <w:szCs w:val="22"/>
        </w:rPr>
        <w:t>Rimšēvičs</w:t>
      </w:r>
      <w:proofErr w:type="spellEnd"/>
      <w:r w:rsidRPr="00986131">
        <w:rPr>
          <w:rFonts w:asciiTheme="minorHAnsi" w:hAnsiTheme="minorHAnsi" w:cstheme="minorHAnsi"/>
          <w:sz w:val="22"/>
          <w:szCs w:val="22"/>
        </w:rPr>
        <w:t>; remiantis ECBS ir ECB statuto 14 straipsnio 2 dalimi pripažinti, kad Latvijos Respublika pažeidė šios nuostatos antrą pastraipą, nes Latvijos centrinio banko valdytojas buvo nušalintas nuo pareigų nepriklausomam teismui nepriėmus apkaltinamojo nuosprendžio dėl bylos esmės ir nėra jokių išskirtinių aplinkybių, kurios šiuo atveju pateisintų I. </w:t>
      </w:r>
      <w:proofErr w:type="spellStart"/>
      <w:r w:rsidRPr="00986131">
        <w:rPr>
          <w:rFonts w:asciiTheme="minorHAnsi" w:hAnsiTheme="minorHAnsi" w:cstheme="minorHAnsi"/>
          <w:sz w:val="22"/>
          <w:szCs w:val="22"/>
        </w:rPr>
        <w:t>Rimšēvičs</w:t>
      </w:r>
      <w:proofErr w:type="spellEnd"/>
      <w:r w:rsidRPr="00986131">
        <w:rPr>
          <w:rFonts w:asciiTheme="minorHAnsi" w:hAnsiTheme="minorHAnsi" w:cstheme="minorHAnsi"/>
          <w:sz w:val="22"/>
          <w:szCs w:val="22"/>
        </w:rPr>
        <w:t xml:space="preserve"> nušalinimą nuo pareigų bei priteisti iš Latvijos Respublikos bylinėjimosi išlaidas (20 punktas).</w:t>
      </w:r>
    </w:p>
    <w:p w14:paraId="007AC7AD"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lastRenderedPageBreak/>
        <w:t>Latvijos Respublika prašė atmesti abu ieškinius (21 punktas).</w:t>
      </w:r>
    </w:p>
    <w:p w14:paraId="014AF37F" w14:textId="3F793D5E"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2018 m. rugsėjo 25 d. Teisingumo Teismo pirmininkas paprašė Latvijos Respublikos atstovų per aštuonias dienas pateikti Teisingumo Teismui dokumentus, pagrindžiančius 2018 m. vasario 19 d. KNAB paskirtų procesinių prievartos priemonių taikymą I. </w:t>
      </w:r>
      <w:proofErr w:type="spellStart"/>
      <w:r w:rsidRPr="00986131">
        <w:rPr>
          <w:rFonts w:asciiTheme="minorHAnsi" w:hAnsiTheme="minorHAnsi" w:cstheme="minorHAnsi"/>
          <w:sz w:val="22"/>
          <w:szCs w:val="22"/>
        </w:rPr>
        <w:t>Rimšēvičs</w:t>
      </w:r>
      <w:proofErr w:type="spellEnd"/>
      <w:r w:rsidRPr="00986131">
        <w:rPr>
          <w:rFonts w:asciiTheme="minorHAnsi" w:hAnsiTheme="minorHAnsi" w:cstheme="minorHAnsi"/>
          <w:sz w:val="22"/>
          <w:szCs w:val="22"/>
        </w:rPr>
        <w:t>. Latvijos Respublika pateikė 44 dokumentus. Dėl šių dokumentų pateiktose savo pastabose I. </w:t>
      </w:r>
      <w:proofErr w:type="spellStart"/>
      <w:r w:rsidRPr="00986131">
        <w:rPr>
          <w:rFonts w:asciiTheme="minorHAnsi" w:hAnsiTheme="minorHAnsi" w:cstheme="minorHAnsi"/>
          <w:sz w:val="22"/>
          <w:szCs w:val="22"/>
        </w:rPr>
        <w:t>Rimšēvičs</w:t>
      </w:r>
      <w:proofErr w:type="spellEnd"/>
      <w:r w:rsidRPr="00986131">
        <w:rPr>
          <w:rFonts w:asciiTheme="minorHAnsi" w:hAnsiTheme="minorHAnsi" w:cstheme="minorHAnsi"/>
          <w:sz w:val="22"/>
          <w:szCs w:val="22"/>
        </w:rPr>
        <w:t xml:space="preserve"> ir ECB iš esmės sutarė dėl to, kad Latvijos Respublika nepateikė jokių I. </w:t>
      </w:r>
      <w:proofErr w:type="spellStart"/>
      <w:r w:rsidRPr="00986131">
        <w:rPr>
          <w:rFonts w:asciiTheme="minorHAnsi" w:hAnsiTheme="minorHAnsi" w:cstheme="minorHAnsi"/>
          <w:sz w:val="22"/>
          <w:szCs w:val="22"/>
        </w:rPr>
        <w:t>Rimšēvičs</w:t>
      </w:r>
      <w:proofErr w:type="spellEnd"/>
      <w:r w:rsidRPr="00986131">
        <w:rPr>
          <w:rFonts w:asciiTheme="minorHAnsi" w:hAnsiTheme="minorHAnsi" w:cstheme="minorHAnsi"/>
          <w:sz w:val="22"/>
          <w:szCs w:val="22"/>
        </w:rPr>
        <w:t xml:space="preserve"> kaltę ar jam taikomų procesinių prievartos priemonių pagrįstumą patvirtinančių įrodymų (26–28 punktai).</w:t>
      </w:r>
    </w:p>
    <w:p w14:paraId="336BFE3A"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p>
    <w:p w14:paraId="5104D347" w14:textId="4F158CB8" w:rsidR="00B47BC3" w:rsidRPr="00986131" w:rsidRDefault="00B47BC3" w:rsidP="00986131">
      <w:pPr>
        <w:pStyle w:val="Antrat2"/>
        <w:ind w:firstLine="567"/>
        <w:jc w:val="both"/>
        <w:rPr>
          <w:rFonts w:cstheme="minorHAnsi"/>
          <w:b w:val="0"/>
        </w:rPr>
      </w:pPr>
      <w:bookmarkStart w:id="158" w:name="_Toc11232492"/>
      <w:bookmarkStart w:id="159" w:name="_Toc11232783"/>
      <w:bookmarkStart w:id="160" w:name="_Toc11758019"/>
      <w:r w:rsidRPr="00986131">
        <w:rPr>
          <w:rFonts w:cstheme="minorHAnsi"/>
        </w:rPr>
        <w:t>Dėl Teisingumo Teismo jurisdikcijos</w:t>
      </w:r>
      <w:bookmarkEnd w:id="158"/>
      <w:bookmarkEnd w:id="159"/>
      <w:bookmarkEnd w:id="160"/>
    </w:p>
    <w:p w14:paraId="412A28B7"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p>
    <w:p w14:paraId="0968D571"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Latvijos Respublika teigė, kad laikino pobūdžio ginčijamu sprendimu Latvijos centrinio banko valdytojas nebuvo „atleistas iš pareigų“. Vieninteliai sprendimai, dėl kurių galima pareikšti ieškinį pagal ECBS ir ECB statuto 14 straipsnio 2 dalies antrą pastraipą, yra sprendimai, kuriais galutinai nutraukiamas teisinis ir institucinis ryšys tarp nacionalinio centrinio banko valdytojo ir šio banko (43 punktas). </w:t>
      </w:r>
    </w:p>
    <w:p w14:paraId="15D1052E" w14:textId="030F442D"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Iš tiesų, kaip pažymėjo generalinė advokatė savo išvados 78 punkte, ECBS ir ECB statuto 14 straipsnio 2 dalies antroje pastraipoje apibrėžiant joje numatyto ieškinio dalyką vartojamos sąvokos versijoje latvių kalba, kaip ir daugelyje kitų šios nuostatos kalbinių versijų, atrodo, reiškia galutinį nacionalinio centrinio banko ir jo valdytojo ryšio nutraukimą. Vis dėlto pagal Teisingumo Teismo suformuotą jurisprudenciją </w:t>
      </w:r>
      <w:r w:rsidRPr="00986131">
        <w:rPr>
          <w:rFonts w:asciiTheme="minorHAnsi" w:hAnsiTheme="minorHAnsi" w:cstheme="minorHAnsi"/>
          <w:sz w:val="22"/>
          <w:szCs w:val="22"/>
          <w:u w:val="single"/>
        </w:rPr>
        <w:t>aiškinant Sąjungos teisės nuostatą reikia atsižvelgti ne tik į jos tekstą, bet ir į kontekstą ir teisės akto, kuriame ji įtvirtinta, tikslus</w:t>
      </w:r>
      <w:r w:rsidR="00986131">
        <w:rPr>
          <w:rFonts w:asciiTheme="minorHAnsi" w:hAnsiTheme="minorHAnsi" w:cstheme="minorHAnsi"/>
          <w:sz w:val="22"/>
          <w:szCs w:val="22"/>
        </w:rPr>
        <w:t>(44–</w:t>
      </w:r>
      <w:r w:rsidRPr="00986131">
        <w:rPr>
          <w:rFonts w:asciiTheme="minorHAnsi" w:hAnsiTheme="minorHAnsi" w:cstheme="minorHAnsi"/>
          <w:sz w:val="22"/>
          <w:szCs w:val="22"/>
        </w:rPr>
        <w:t xml:space="preserve">45 punktai). </w:t>
      </w:r>
    </w:p>
    <w:p w14:paraId="0EC060DF" w14:textId="7671C138"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Teismas priminė, jog </w:t>
      </w:r>
      <w:r w:rsidRPr="00986131">
        <w:rPr>
          <w:rFonts w:asciiTheme="minorHAnsi" w:hAnsiTheme="minorHAnsi" w:cstheme="minorHAnsi"/>
          <w:sz w:val="22"/>
          <w:szCs w:val="22"/>
          <w:u w:val="single"/>
        </w:rPr>
        <w:t>EB sutarties, o vėliau SESV rengėjai siekė užtikrinti, kad ECB ir ECBS galėtų nepriklausomai atlikti jiems priskirtas užduotis.</w:t>
      </w:r>
      <w:r w:rsidRPr="00986131">
        <w:rPr>
          <w:rFonts w:asciiTheme="minorHAnsi" w:hAnsiTheme="minorHAnsi" w:cstheme="minorHAnsi"/>
          <w:sz w:val="22"/>
          <w:szCs w:val="22"/>
        </w:rPr>
        <w:t xml:space="preserve"> Šio siekio pagrindinis įrodymas yra SESV 130 straipsnis, iš esmės pakartotas ECBS ir ECB statuto 7 straipsnyje, kuriame, pirma, </w:t>
      </w:r>
      <w:r w:rsidRPr="00986131">
        <w:rPr>
          <w:rFonts w:asciiTheme="minorHAnsi" w:hAnsiTheme="minorHAnsi" w:cstheme="minorHAnsi"/>
          <w:sz w:val="22"/>
          <w:szCs w:val="22"/>
          <w:u w:val="single"/>
        </w:rPr>
        <w:t>ECB, nacionaliniams centriniams bankams ir jų sprendimus priimančių organų nariams aiškiai draudžiama siekti gauti ar priimti Sąjungos institucijų, įstaigų ar organų, valstybių narių vyriausybių ar bet kurio kito subjekto nurodymus</w:t>
      </w:r>
      <w:r w:rsidRPr="00986131">
        <w:rPr>
          <w:rFonts w:asciiTheme="minorHAnsi" w:hAnsiTheme="minorHAnsi" w:cstheme="minorHAnsi"/>
          <w:sz w:val="22"/>
          <w:szCs w:val="22"/>
        </w:rPr>
        <w:t xml:space="preserve"> ir, antra, toms Sąjungos institucijoms, įstaigoms ar organams ir valstybių narių vyriausybėms aiškiai </w:t>
      </w:r>
      <w:r w:rsidRPr="00986131">
        <w:rPr>
          <w:rFonts w:asciiTheme="minorHAnsi" w:hAnsiTheme="minorHAnsi" w:cstheme="minorHAnsi"/>
          <w:sz w:val="22"/>
          <w:szCs w:val="22"/>
          <w:u w:val="single"/>
        </w:rPr>
        <w:t>draudžiama siekti paveikti ECB ir nacionalinių centrinių bankų sprendimus priimančių organų narius, kai jie atlieka savo užduotis</w:t>
      </w:r>
      <w:r w:rsidRPr="00986131">
        <w:rPr>
          <w:rFonts w:asciiTheme="minorHAnsi" w:hAnsiTheme="minorHAnsi" w:cstheme="minorHAnsi"/>
          <w:sz w:val="22"/>
          <w:szCs w:val="22"/>
        </w:rPr>
        <w:t xml:space="preserve">. Šiomis nuostatomis iš esmės siekiama apsaugoti ECBS nuo bet kokio politinio spaudimo, kad ji turėtų galimybę veiksmingai siekti numatytų užduočių tikslų, nepriklausomai naudodamasi konkrečiais įgaliojimais, kuriuos dėl to jai suteikia pirminė teisė. Būtent siekiant užtikrinti nacionalinių centrinių bankų, kurie pagal SESV 282 straipsnio 1 dalį kartu su ECB sudaro ECBS, valdytojų veiklos nepriklausomumą, ECBS ir ECB statuto 14 straipsnio 2 dalyje nustatyta ne trumpesnė kaip penkerių metų jų kadencijos trukmė, numatyta, kad juos galima atleisti iš pareigų tik tuomet, jeigu jie nebeatitinka šioms pareigoms eiti keliamų reikalavimų arba padarė sunkų nusižengimą, ir įtvirtinta atitinkamo valdytojo bei ECB valdančiosios tarybos </w:t>
      </w:r>
      <w:r w:rsidRPr="00986131">
        <w:rPr>
          <w:rFonts w:asciiTheme="minorHAnsi" w:hAnsiTheme="minorHAnsi" w:cstheme="minorHAnsi"/>
          <w:sz w:val="22"/>
          <w:szCs w:val="22"/>
          <w:u w:val="single"/>
        </w:rPr>
        <w:t>teisė kreiptis į Teisingumo Teismą dėl tokios priemonės</w:t>
      </w:r>
      <w:r w:rsidRPr="00986131">
        <w:rPr>
          <w:rFonts w:asciiTheme="minorHAnsi" w:hAnsiTheme="minorHAnsi" w:cstheme="minorHAnsi"/>
          <w:sz w:val="22"/>
          <w:szCs w:val="22"/>
        </w:rPr>
        <w:t xml:space="preserve">. Tiesiogiai suteikdamos Teisingumo Teismui jurisdikciją nagrinėti sprendimo, kuriuo nacionalinio centrinio banko valdytojas atleidžiamas iš pareigų, teisėtumo klausimą, valstybės narės parodė, kad joms yra svarbus tas pareigas einančių asmenų nepriklausomumas </w:t>
      </w:r>
      <w:r w:rsidR="00986131">
        <w:rPr>
          <w:rFonts w:asciiTheme="minorHAnsi" w:hAnsiTheme="minorHAnsi" w:cstheme="minorHAnsi"/>
          <w:sz w:val="22"/>
          <w:szCs w:val="22"/>
        </w:rPr>
        <w:t>(46–</w:t>
      </w:r>
      <w:r w:rsidRPr="00986131">
        <w:rPr>
          <w:rFonts w:asciiTheme="minorHAnsi" w:hAnsiTheme="minorHAnsi" w:cstheme="minorHAnsi"/>
          <w:sz w:val="22"/>
          <w:szCs w:val="22"/>
        </w:rPr>
        <w:t>49 punktai).</w:t>
      </w:r>
    </w:p>
    <w:p w14:paraId="05511678" w14:textId="71CA5C8F"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Remiantis SESV 283 straipsnio 1 dalimi ir ECBS ir ECB statuto 10 straipsnio 1 dalimi, valstybių narių, kurių valiuta yra euro, nacionalinių centrinių bankų valdytojai pagal pareigas yra ECB valdančiosios tarybos nariai, o pagal šio statuto 12 straipsnio 1 dalį ši taryba yra pagrindinis Eurosistemos sprendimus priimantis organas ir vienintelis ECB sprendimus priimantis organas pagal Reglamento Nr. 1024/2013 26 straipsnio 8 dalį įgyvendinant bendrą priežiūros mechanizmą. Jeigu būtų galima nuspręsti be priežasties atleisti iš pareigų nacionalinių centrinių bankų valdytojus, būtų smarkiai pakenkta jų nepriklausomumui, taigi ir pačios ECB valdančiosios tarybos nepriklausomumui</w:t>
      </w:r>
      <w:r w:rsidR="00986131">
        <w:rPr>
          <w:rFonts w:asciiTheme="minorHAnsi" w:hAnsiTheme="minorHAnsi" w:cstheme="minorHAnsi"/>
          <w:sz w:val="22"/>
          <w:szCs w:val="22"/>
        </w:rPr>
        <w:t xml:space="preserve"> (50–</w:t>
      </w:r>
      <w:r w:rsidRPr="00986131">
        <w:rPr>
          <w:rFonts w:asciiTheme="minorHAnsi" w:hAnsiTheme="minorHAnsi" w:cstheme="minorHAnsi"/>
          <w:sz w:val="22"/>
          <w:szCs w:val="22"/>
        </w:rPr>
        <w:t>51 punktai).</w:t>
      </w:r>
    </w:p>
    <w:p w14:paraId="12D7A9B3" w14:textId="0C808473"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Šiuo klausimu Teismas pažymėjo, kad </w:t>
      </w:r>
      <w:r w:rsidRPr="00986131">
        <w:rPr>
          <w:rFonts w:asciiTheme="minorHAnsi" w:hAnsiTheme="minorHAnsi" w:cstheme="minorHAnsi"/>
          <w:sz w:val="22"/>
          <w:szCs w:val="22"/>
          <w:u w:val="single"/>
        </w:rPr>
        <w:t>nacionalinio centrinio banko valdytojui nustatytas laikinas draudimas eiti pareigas gali būti spaudimo jam priemonė</w:t>
      </w:r>
      <w:r w:rsidRPr="00986131">
        <w:rPr>
          <w:rFonts w:asciiTheme="minorHAnsi" w:hAnsiTheme="minorHAnsi" w:cstheme="minorHAnsi"/>
          <w:sz w:val="22"/>
          <w:szCs w:val="22"/>
        </w:rPr>
        <w:t xml:space="preserve">. Viena vertus, toks draudimas gali sukelti itin rimtų pasekmių valdytojui, kuriam jis taikomas, jeigu nėra tikslaus jo termino, nes šis draudimas, be kita ko, gali būti taikomas didelę to valdytojo kadencijos dalį. Kita vertus, dėl laikinumo jis gali būti dar veiksmingesnė spaudimo priemonė, jeigu jis gali būti bet kuriuo metu panaikintas atsižvelgiant ne tik į tyrimo eigą, bet ir į atitinkamo valdytojo elgesį. </w:t>
      </w:r>
      <w:r w:rsidRPr="00986131">
        <w:rPr>
          <w:rFonts w:asciiTheme="minorHAnsi" w:hAnsiTheme="minorHAnsi" w:cstheme="minorHAnsi"/>
          <w:sz w:val="22"/>
          <w:szCs w:val="22"/>
          <w:u w:val="single"/>
        </w:rPr>
        <w:t xml:space="preserve">Jeigu Teisingumo Teismas visiškai negalėtų </w:t>
      </w:r>
      <w:r w:rsidRPr="00986131">
        <w:rPr>
          <w:rFonts w:asciiTheme="minorHAnsi" w:hAnsiTheme="minorHAnsi" w:cstheme="minorHAnsi"/>
          <w:sz w:val="22"/>
          <w:szCs w:val="22"/>
        </w:rPr>
        <w:t xml:space="preserve">pagal ECBS ir ECB statuto 14 straipsnio 2 dalies antrą pastraipą </w:t>
      </w:r>
      <w:r w:rsidRPr="00986131">
        <w:rPr>
          <w:rFonts w:asciiTheme="minorHAnsi" w:hAnsiTheme="minorHAnsi" w:cstheme="minorHAnsi"/>
          <w:sz w:val="22"/>
          <w:szCs w:val="22"/>
          <w:u w:val="single"/>
        </w:rPr>
        <w:t>atlikti valdytojo pareigas eiti draudžiančios priemonės kontrolės dėl to, kad ši priemonė laikina, valstybė narė, vieną po kitos priimdama laikinąsias priemones, galėtų lengvai išvengti šios kontrolės</w:t>
      </w:r>
      <w:r w:rsidRPr="00986131">
        <w:rPr>
          <w:rFonts w:asciiTheme="minorHAnsi" w:hAnsiTheme="minorHAnsi" w:cstheme="minorHAnsi"/>
          <w:sz w:val="22"/>
          <w:szCs w:val="22"/>
        </w:rPr>
        <w:t xml:space="preserve">, todėl, kaip pabrėžė generalinė advokatė savo išvados 75 punkte, ta nuostata galėtų tapti </w:t>
      </w:r>
      <w:r w:rsidRPr="00986131">
        <w:rPr>
          <w:rFonts w:asciiTheme="minorHAnsi" w:hAnsiTheme="minorHAnsi" w:cstheme="minorHAnsi"/>
          <w:sz w:val="22"/>
          <w:szCs w:val="22"/>
        </w:rPr>
        <w:lastRenderedPageBreak/>
        <w:t>neveiksminga. Be to, nėra aišku, ar iš principo laikinas ginčijamas sprendimas negalėtų būti galutinis dėl jo sukeliamų padarinių, nes, kaip nurodė pati Latvijos Respublika, Baudžiamojo proceso kodekso 389 straipsnis leidžia pagal jį nustatytas priemones ir ribojimus palikti galioti 22 mėnesius, t. y. iki numatytos I. </w:t>
      </w:r>
      <w:proofErr w:type="spellStart"/>
      <w:r w:rsidRPr="00986131">
        <w:rPr>
          <w:rFonts w:asciiTheme="minorHAnsi" w:hAnsiTheme="minorHAnsi" w:cstheme="minorHAnsi"/>
          <w:sz w:val="22"/>
          <w:szCs w:val="22"/>
        </w:rPr>
        <w:t>Rimšēvičs</w:t>
      </w:r>
      <w:proofErr w:type="spellEnd"/>
      <w:r w:rsidRPr="00986131">
        <w:rPr>
          <w:rFonts w:asciiTheme="minorHAnsi" w:hAnsiTheme="minorHAnsi" w:cstheme="minorHAnsi"/>
          <w:sz w:val="22"/>
          <w:szCs w:val="22"/>
        </w:rPr>
        <w:t xml:space="preserve"> kadencijos pabaigos 2019 m. gruodžio mėn. Taigi iš SESV rengėjų ketinimų, ECBS ir ECB statuto bendros sistemos ir paties šio statuto 14 straipsnio 2 dalies antros pastraipos tikslo matyti, kad </w:t>
      </w:r>
      <w:r w:rsidRPr="00986131">
        <w:rPr>
          <w:rFonts w:asciiTheme="minorHAnsi" w:hAnsiTheme="minorHAnsi" w:cstheme="minorHAnsi"/>
          <w:sz w:val="22"/>
          <w:szCs w:val="22"/>
          <w:u w:val="single"/>
        </w:rPr>
        <w:t>Teisingumo Teismas pagal šią nuostatą turi jurisdikciją nagrinėti ieškinį dėl tokios priemonės, kaip ginčijamame sprendime nustatytas laikinas draudimas eiti Latvijos centrinio banko valdytojo pareigas</w:t>
      </w:r>
      <w:r w:rsidRPr="00986131">
        <w:rPr>
          <w:rFonts w:asciiTheme="minorHAnsi" w:hAnsiTheme="minorHAnsi" w:cstheme="minorHAnsi"/>
          <w:sz w:val="22"/>
          <w:szCs w:val="22"/>
        </w:rPr>
        <w:t xml:space="preserve"> </w:t>
      </w:r>
      <w:r w:rsidR="00986131">
        <w:rPr>
          <w:rFonts w:asciiTheme="minorHAnsi" w:hAnsiTheme="minorHAnsi" w:cstheme="minorHAnsi"/>
          <w:sz w:val="22"/>
          <w:szCs w:val="22"/>
        </w:rPr>
        <w:t>(52–</w:t>
      </w:r>
      <w:r w:rsidRPr="00986131">
        <w:rPr>
          <w:rFonts w:asciiTheme="minorHAnsi" w:hAnsiTheme="minorHAnsi" w:cstheme="minorHAnsi"/>
          <w:sz w:val="22"/>
          <w:szCs w:val="22"/>
        </w:rPr>
        <w:t>55 punktai).</w:t>
      </w:r>
    </w:p>
    <w:p w14:paraId="76960307"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Taip pat Latvijos Respublika teigė, kad Teisingumo Teismas neturi jurisdikcijos nagrinėti sprendimo, kuris, kaip ji mano, yra skirtas baudžiamojo proceso, pradėto dėl tame sprendime nurodyto asmens, veiksmingai eigai užtikrinti. Taigi, vykstant baudžiamajam procesui, kompetenciją vertinti procesinių prievartos priemonių skyrimą pagrindžiančią informaciją turi tik nacionalinės valdžios institucijos. Be to, pagal Baudžiamojo proceso kodekso 375 straipsnio 1 dalį šiai informacijai taikomas tyrimo duomenų slaptumo principas, todėl ji </w:t>
      </w:r>
      <w:proofErr w:type="spellStart"/>
      <w:r w:rsidRPr="00986131">
        <w:rPr>
          <w:rFonts w:asciiTheme="minorHAnsi" w:hAnsiTheme="minorHAnsi" w:cstheme="minorHAnsi"/>
          <w:sz w:val="22"/>
          <w:szCs w:val="22"/>
        </w:rPr>
        <w:t>neteiktina</w:t>
      </w:r>
      <w:proofErr w:type="spellEnd"/>
      <w:r w:rsidRPr="00986131">
        <w:rPr>
          <w:rFonts w:asciiTheme="minorHAnsi" w:hAnsiTheme="minorHAnsi" w:cstheme="minorHAnsi"/>
          <w:sz w:val="22"/>
          <w:szCs w:val="22"/>
        </w:rPr>
        <w:t xml:space="preserve"> tretiesiems asmenims baudžiamajame procese. Teisingumo Teismo jurisdikcijos šiuo klausimu nebuvimą patvirtina SESV 276 straipsnis, nes jame numatyta, kad „Europos Sąjungos Teisingumo Teismo jurisdikcijai, vykdant savo įgaliojimus, susijusius su [SESV] trečiosios dalies V antraštinės dalies 4 ir 5 skyrių nuostatomis dėl laisvės, saugumo ir teisingumo erdvės, nepriklauso prižiūrėti, ar valstybės narės policijos ar kitų teisėsaugos tarnybų atliktos operacijos yra teisėtos ar proporcingos arba kaip valstybės narės vykdo joms priklausančias pareigas palaikyti viešąją tvarką bei užtikrinti vidaus saugumą“ (56 punktas).</w:t>
      </w:r>
    </w:p>
    <w:p w14:paraId="73FF1CED" w14:textId="27F267B9"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Nors iš tiesų Sutarčių rengėjai suteikė Sąjungai tik ribotą kompetenciją baudžiamosios teisės srityje, iš Teisingumo Teismo jurisprudencijos matyti, kad Sąjungos teisė nustato valstybių narių kompetencijos šioje srityje ribas. Ši valstybių narių kompetencija turi būti įgyvendinama laikantis ne tik Sąjungos teisės garantuojamų pagrindinių laisvių, bet ir visos Sąjungos teisės, visų pirma pirminės teisės. Todėl </w:t>
      </w:r>
      <w:r w:rsidRPr="00986131">
        <w:rPr>
          <w:rFonts w:asciiTheme="minorHAnsi" w:hAnsiTheme="minorHAnsi" w:cstheme="minorHAnsi"/>
          <w:sz w:val="22"/>
          <w:szCs w:val="22"/>
          <w:u w:val="single"/>
        </w:rPr>
        <w:t>nacionalinės baudžiamojo proceso teisės normos negali kliudyti Teisingumo Teismo jurisdikcijai, kurią jam suteikia ECBS ir ECB statuto 14 straipsnio 2 dalies antra pastraipa, visais atvejais, kai ši nuostata yra taikoma</w:t>
      </w:r>
      <w:r w:rsidRPr="00986131">
        <w:rPr>
          <w:rFonts w:asciiTheme="minorHAnsi" w:hAnsiTheme="minorHAnsi" w:cstheme="minorHAnsi"/>
          <w:sz w:val="22"/>
          <w:szCs w:val="22"/>
        </w:rPr>
        <w:t>. Tuo tarpu SESV 276 straipsnyje ribojama Teisingumo Teismo jurisdikcija tik kai jis įgyvendina įgaliojimus, susijusius su SESV trečiosios dalies V antraštinės dalies 4 ir 5 skyrių nuostatomis. Tačiau nagrinėjama byla susijusi su ECBS ir ECB statuto 14 straipsnio 2 dalies antroje pastraipoje tiesiogiai ir aiškiai numatytais Teisingumo Teismo įgaliojimais</w:t>
      </w:r>
      <w:r w:rsidR="00986131">
        <w:rPr>
          <w:rFonts w:asciiTheme="minorHAnsi" w:hAnsiTheme="minorHAnsi" w:cstheme="minorHAnsi"/>
          <w:sz w:val="22"/>
          <w:szCs w:val="22"/>
        </w:rPr>
        <w:t xml:space="preserve"> (57–</w:t>
      </w:r>
      <w:r w:rsidRPr="00986131">
        <w:rPr>
          <w:rFonts w:asciiTheme="minorHAnsi" w:hAnsiTheme="minorHAnsi" w:cstheme="minorHAnsi"/>
          <w:sz w:val="22"/>
          <w:szCs w:val="22"/>
        </w:rPr>
        <w:t>59 punktai).</w:t>
      </w:r>
    </w:p>
    <w:p w14:paraId="1D0593D4" w14:textId="0EBA4C88"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Galiausiai, Latvijos Respublika manė, jog dėl tokios jurisdikcijos Latvijos centrinio banko valdytojas turėtų imunitetą nuo baudžiamosios atsakomybės, būtų apribota galimybė skirti jam procesines prievartos priemones ir daromas didelis poveikis baudžiamojo proceso eigai. Tačiau Teisingumo Teismas pabrėžė, kad </w:t>
      </w:r>
      <w:r w:rsidRPr="00986131">
        <w:rPr>
          <w:rFonts w:asciiTheme="minorHAnsi" w:hAnsiTheme="minorHAnsi" w:cstheme="minorHAnsi"/>
          <w:sz w:val="22"/>
          <w:szCs w:val="22"/>
          <w:u w:val="single"/>
        </w:rPr>
        <w:t>ECBS ir ECB statuto 14 straipsnio 2 dalis nesuteikia nacionalinio centrinio banko valdytojui jokio imuniteto nuo baudžiamosios atsakomybės ir neriboja galimybės skirti jam procesines prievartos priemones</w:t>
      </w:r>
      <w:r w:rsidRPr="00986131">
        <w:rPr>
          <w:rFonts w:asciiTheme="minorHAnsi" w:hAnsiTheme="minorHAnsi" w:cstheme="minorHAnsi"/>
          <w:sz w:val="22"/>
          <w:szCs w:val="22"/>
        </w:rPr>
        <w:t>. Tas straipsnis šiam valdytojui ir ECB valdančiajai tarybai suteikia tik teisę Teisingumo Teisme ginčyti bet kokį sprendimą, kuriuo minėtas valdytojas atleidžiamas iš pareigų</w:t>
      </w:r>
      <w:r w:rsidR="00986131">
        <w:rPr>
          <w:rFonts w:asciiTheme="minorHAnsi" w:hAnsiTheme="minorHAnsi" w:cstheme="minorHAnsi"/>
          <w:sz w:val="22"/>
          <w:szCs w:val="22"/>
        </w:rPr>
        <w:t xml:space="preserve"> (60</w:t>
      </w:r>
      <w:r w:rsidRPr="00986131">
        <w:rPr>
          <w:rFonts w:asciiTheme="minorHAnsi" w:hAnsiTheme="minorHAnsi" w:cstheme="minorHAnsi"/>
          <w:sz w:val="22"/>
          <w:szCs w:val="22"/>
        </w:rPr>
        <w:t xml:space="preserve">–61 punktai). </w:t>
      </w:r>
    </w:p>
    <w:p w14:paraId="7A04FCDC" w14:textId="6C8BCE9C"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Atsižvelgdamas į tai, kas išdėstyta, Teismas padarė išvadą, jog prieštaravimas, grindžiamas tuo, kad Teisingumo Teismas neturi jurisdikcijos nagrinėti pagal ECBS ir ECB statuto 14 straipsnio 2 dalies antrą pastraipą I. </w:t>
      </w:r>
      <w:proofErr w:type="spellStart"/>
      <w:r w:rsidRPr="00986131">
        <w:rPr>
          <w:rFonts w:asciiTheme="minorHAnsi" w:hAnsiTheme="minorHAnsi" w:cstheme="minorHAnsi"/>
          <w:sz w:val="22"/>
          <w:szCs w:val="22"/>
        </w:rPr>
        <w:t>Rimšēvičs</w:t>
      </w:r>
      <w:proofErr w:type="spellEnd"/>
      <w:r w:rsidRPr="00986131">
        <w:rPr>
          <w:rFonts w:asciiTheme="minorHAnsi" w:hAnsiTheme="minorHAnsi" w:cstheme="minorHAnsi"/>
          <w:sz w:val="22"/>
          <w:szCs w:val="22"/>
        </w:rPr>
        <w:t xml:space="preserve"> ir ECB pareikštų ieškinių dėl ginčijamo sprendimo, turi būti atmestas. Teismas pridūrė, jog pagal šią nuostatą </w:t>
      </w:r>
      <w:r w:rsidRPr="00986131">
        <w:rPr>
          <w:rFonts w:asciiTheme="minorHAnsi" w:hAnsiTheme="minorHAnsi" w:cstheme="minorHAnsi"/>
          <w:sz w:val="22"/>
          <w:szCs w:val="22"/>
          <w:u w:val="single"/>
        </w:rPr>
        <w:t>Teisingumo Teismas turi jurisdikciją nagrinėti tik ieškinius, pareikštus dėl laikino ar nuolatinio draudimo eiti nacionalinio centrinio banko valdytojo pareigas</w:t>
      </w:r>
      <w:r w:rsidRPr="00986131">
        <w:rPr>
          <w:rFonts w:asciiTheme="minorHAnsi" w:hAnsiTheme="minorHAnsi" w:cstheme="minorHAnsi"/>
          <w:sz w:val="22"/>
          <w:szCs w:val="22"/>
        </w:rPr>
        <w:t>. Todėl ginčijamas sprendimas, kuriuo KNAB paskyrė kelias procesines prievartos priemones, į Teisingumo Teismo jurisdikciją patenka tik tiek, kiek juo laikinai uždrausta I. </w:t>
      </w:r>
      <w:proofErr w:type="spellStart"/>
      <w:r w:rsidRPr="00986131">
        <w:rPr>
          <w:rFonts w:asciiTheme="minorHAnsi" w:hAnsiTheme="minorHAnsi" w:cstheme="minorHAnsi"/>
          <w:sz w:val="22"/>
          <w:szCs w:val="22"/>
        </w:rPr>
        <w:t>Rimšēvičs</w:t>
      </w:r>
      <w:proofErr w:type="spellEnd"/>
      <w:r w:rsidRPr="00986131">
        <w:rPr>
          <w:rFonts w:asciiTheme="minorHAnsi" w:hAnsiTheme="minorHAnsi" w:cstheme="minorHAnsi"/>
          <w:sz w:val="22"/>
          <w:szCs w:val="22"/>
        </w:rPr>
        <w:t xml:space="preserve"> eiti Latvijos centrinio banko valdytojo pareigas</w:t>
      </w:r>
      <w:r w:rsidR="00986131">
        <w:rPr>
          <w:rFonts w:asciiTheme="minorHAnsi" w:hAnsiTheme="minorHAnsi" w:cstheme="minorHAnsi"/>
          <w:sz w:val="22"/>
          <w:szCs w:val="22"/>
        </w:rPr>
        <w:t xml:space="preserve"> (62–</w:t>
      </w:r>
      <w:r w:rsidRPr="00986131">
        <w:rPr>
          <w:rFonts w:asciiTheme="minorHAnsi" w:hAnsiTheme="minorHAnsi" w:cstheme="minorHAnsi"/>
          <w:sz w:val="22"/>
          <w:szCs w:val="22"/>
        </w:rPr>
        <w:t>63 punktai).</w:t>
      </w:r>
    </w:p>
    <w:p w14:paraId="2C6583C0"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p>
    <w:p w14:paraId="4D7C3218" w14:textId="38511EB9" w:rsidR="00B47BC3" w:rsidRPr="00986131" w:rsidRDefault="00B47BC3" w:rsidP="00986131">
      <w:pPr>
        <w:pStyle w:val="Antrat2"/>
        <w:ind w:firstLine="567"/>
        <w:jc w:val="both"/>
        <w:rPr>
          <w:rFonts w:cstheme="minorHAnsi"/>
          <w:b w:val="0"/>
        </w:rPr>
      </w:pPr>
      <w:bookmarkStart w:id="161" w:name="_Toc11232493"/>
      <w:bookmarkStart w:id="162" w:name="_Toc11232784"/>
      <w:bookmarkStart w:id="163" w:name="_Toc11758020"/>
      <w:r w:rsidRPr="00986131">
        <w:rPr>
          <w:rFonts w:cstheme="minorHAnsi"/>
        </w:rPr>
        <w:t>Dėl ieškinių pobūdžio</w:t>
      </w:r>
      <w:bookmarkEnd w:id="161"/>
      <w:bookmarkEnd w:id="162"/>
      <w:bookmarkEnd w:id="163"/>
    </w:p>
    <w:p w14:paraId="309A984A"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p>
    <w:p w14:paraId="35D112FE"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Į Teisingumo Teismą pagal ECBS ir ECB statuto 14 straipsnio 2 dalį kreipėsi I. </w:t>
      </w:r>
      <w:proofErr w:type="spellStart"/>
      <w:r w:rsidRPr="00986131">
        <w:rPr>
          <w:rFonts w:asciiTheme="minorHAnsi" w:hAnsiTheme="minorHAnsi" w:cstheme="minorHAnsi"/>
          <w:sz w:val="22"/>
          <w:szCs w:val="22"/>
        </w:rPr>
        <w:t>Rimšēvičs</w:t>
      </w:r>
      <w:proofErr w:type="spellEnd"/>
      <w:r w:rsidRPr="00986131">
        <w:rPr>
          <w:rFonts w:asciiTheme="minorHAnsi" w:hAnsiTheme="minorHAnsi" w:cstheme="minorHAnsi"/>
          <w:sz w:val="22"/>
          <w:szCs w:val="22"/>
        </w:rPr>
        <w:t>, kaip Latvijos centrinio banko valdytojas, ir ECB šio banko Valdančiosios tarybos sprendimu. I. </w:t>
      </w:r>
      <w:proofErr w:type="spellStart"/>
      <w:r w:rsidRPr="00986131">
        <w:rPr>
          <w:rFonts w:asciiTheme="minorHAnsi" w:hAnsiTheme="minorHAnsi" w:cstheme="minorHAnsi"/>
          <w:sz w:val="22"/>
          <w:szCs w:val="22"/>
        </w:rPr>
        <w:t>Rimšēvičs</w:t>
      </w:r>
      <w:proofErr w:type="spellEnd"/>
      <w:r w:rsidRPr="00986131">
        <w:rPr>
          <w:rFonts w:asciiTheme="minorHAnsi" w:hAnsiTheme="minorHAnsi" w:cstheme="minorHAnsi"/>
          <w:sz w:val="22"/>
          <w:szCs w:val="22"/>
        </w:rPr>
        <w:t xml:space="preserve"> Teisingumo Teismo iš esmės prašė pripažinti, kad Latvijos Respublikos vardu priimtas ginčijamas sprendimas yra neteisėtas, o ECB Teisingumo Teismo prašė pripažinti, kad Latvijos Respublika pažeidė ECBS ir ECB statuto 14 straipsnio 2 dalį. ECB patikslino, kad Teisingumo Teismo prašė priimti „sprendimą dėl pripažinimo, kaip yra pažeidimo nagrinėjimo procedūros atveju“ (64 punktas).</w:t>
      </w:r>
    </w:p>
    <w:p w14:paraId="30D27862" w14:textId="1381C616"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Pirmiausia Teismas pažymėjo, kad ECBS ir ECB statuto 14 straipsnio 2 dalyje nėra jokių </w:t>
      </w:r>
      <w:proofErr w:type="spellStart"/>
      <w:r w:rsidRPr="00986131">
        <w:rPr>
          <w:rFonts w:asciiTheme="minorHAnsi" w:hAnsiTheme="minorHAnsi" w:cstheme="minorHAnsi"/>
          <w:sz w:val="22"/>
          <w:szCs w:val="22"/>
        </w:rPr>
        <w:t>eksplicitinių</w:t>
      </w:r>
      <w:proofErr w:type="spellEnd"/>
      <w:r w:rsidRPr="00986131">
        <w:rPr>
          <w:rFonts w:asciiTheme="minorHAnsi" w:hAnsiTheme="minorHAnsi" w:cstheme="minorHAnsi"/>
          <w:sz w:val="22"/>
          <w:szCs w:val="22"/>
        </w:rPr>
        <w:t xml:space="preserve"> ar </w:t>
      </w:r>
      <w:proofErr w:type="spellStart"/>
      <w:r w:rsidRPr="00986131">
        <w:rPr>
          <w:rFonts w:asciiTheme="minorHAnsi" w:hAnsiTheme="minorHAnsi" w:cstheme="minorHAnsi"/>
          <w:sz w:val="22"/>
          <w:szCs w:val="22"/>
        </w:rPr>
        <w:t>implicitinių</w:t>
      </w:r>
      <w:proofErr w:type="spellEnd"/>
      <w:r w:rsidRPr="00986131">
        <w:rPr>
          <w:rFonts w:asciiTheme="minorHAnsi" w:hAnsiTheme="minorHAnsi" w:cstheme="minorHAnsi"/>
          <w:sz w:val="22"/>
          <w:szCs w:val="22"/>
        </w:rPr>
        <w:t xml:space="preserve"> nuorodų į SESV 258–260 straipsniuose reglamentuojamą procedūrą dėl įsipareigojimų </w:t>
      </w:r>
      <w:r w:rsidRPr="00986131">
        <w:rPr>
          <w:rFonts w:asciiTheme="minorHAnsi" w:hAnsiTheme="minorHAnsi" w:cstheme="minorHAnsi"/>
          <w:sz w:val="22"/>
          <w:szCs w:val="22"/>
        </w:rPr>
        <w:lastRenderedPageBreak/>
        <w:t xml:space="preserve">neįvykdymo. Priešingai, iš pažodinio, sisteminio ir </w:t>
      </w:r>
      <w:proofErr w:type="spellStart"/>
      <w:r w:rsidRPr="00986131">
        <w:rPr>
          <w:rFonts w:asciiTheme="minorHAnsi" w:hAnsiTheme="minorHAnsi" w:cstheme="minorHAnsi"/>
          <w:sz w:val="22"/>
          <w:szCs w:val="22"/>
        </w:rPr>
        <w:t>teleologinio</w:t>
      </w:r>
      <w:proofErr w:type="spellEnd"/>
      <w:r w:rsidRPr="00986131">
        <w:rPr>
          <w:rFonts w:asciiTheme="minorHAnsi" w:hAnsiTheme="minorHAnsi" w:cstheme="minorHAnsi"/>
          <w:sz w:val="22"/>
          <w:szCs w:val="22"/>
        </w:rPr>
        <w:t xml:space="preserve"> to statuto 14 straipsnio 2 dalies aiškinimo matyti, kad šiame straipsnyje numatytą ieškinį reikia kvalifikuoti kaip ieškinį dėl panaikinimo</w:t>
      </w:r>
      <w:r w:rsidR="00986131">
        <w:rPr>
          <w:rFonts w:asciiTheme="minorHAnsi" w:hAnsiTheme="minorHAnsi" w:cstheme="minorHAnsi"/>
          <w:sz w:val="22"/>
          <w:szCs w:val="22"/>
        </w:rPr>
        <w:t xml:space="preserve"> (65</w:t>
      </w:r>
      <w:r w:rsidRPr="00986131">
        <w:rPr>
          <w:rFonts w:asciiTheme="minorHAnsi" w:hAnsiTheme="minorHAnsi" w:cstheme="minorHAnsi"/>
          <w:sz w:val="22"/>
          <w:szCs w:val="22"/>
        </w:rPr>
        <w:t>–66 punktai).</w:t>
      </w:r>
    </w:p>
    <w:p w14:paraId="156126D7"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ESTT pažymėjo, kad, kaip ir SESV 263 straipsnyje numatytą ieškinį, </w:t>
      </w:r>
      <w:r w:rsidRPr="00986131">
        <w:rPr>
          <w:rFonts w:asciiTheme="minorHAnsi" w:hAnsiTheme="minorHAnsi" w:cstheme="minorHAnsi"/>
          <w:sz w:val="22"/>
          <w:szCs w:val="22"/>
          <w:u w:val="single"/>
        </w:rPr>
        <w:t>ECBS ir ECB statuto 14 straipsnio 2 dalies antroje pastraipoje numatytą ieškinį gali pareikšti asmuo,</w:t>
      </w:r>
      <w:r w:rsidRPr="00986131">
        <w:rPr>
          <w:rFonts w:asciiTheme="minorHAnsi" w:hAnsiTheme="minorHAnsi" w:cstheme="minorHAnsi"/>
          <w:sz w:val="22"/>
          <w:szCs w:val="22"/>
        </w:rPr>
        <w:t xml:space="preserve"> nagrinėjamu atveju nuo pareigų nušalintas valdytojas, </w:t>
      </w:r>
      <w:r w:rsidRPr="00986131">
        <w:rPr>
          <w:rFonts w:asciiTheme="minorHAnsi" w:hAnsiTheme="minorHAnsi" w:cstheme="minorHAnsi"/>
          <w:sz w:val="22"/>
          <w:szCs w:val="22"/>
          <w:u w:val="single"/>
        </w:rPr>
        <w:t>dėl jam skirto sprendimo</w:t>
      </w:r>
      <w:r w:rsidRPr="00986131">
        <w:rPr>
          <w:rFonts w:asciiTheme="minorHAnsi" w:hAnsiTheme="minorHAnsi" w:cstheme="minorHAnsi"/>
          <w:sz w:val="22"/>
          <w:szCs w:val="22"/>
        </w:rPr>
        <w:t xml:space="preserve">. Be to, abu šie ieškiniai turi būti pareikšti per tą patį dviejų mėnesių terminą, vienodai apibrėžtą SESV 263 straipsnio 6 dalyje ir šio statuto 14 straipsnio 2 dalies antros pastraipos paskutiniame sakinyje. Abiejose šiose nuostatose tais pačiais žodžiais taip pat įtvirtinta, kad ieškovai gali nurodyti ieškinio pagrindus, grindžiamus „Sutarčių ar kokios nors su jų taikymu susijusios teisės normos </w:t>
      </w:r>
      <w:proofErr w:type="spellStart"/>
      <w:r w:rsidRPr="00986131">
        <w:rPr>
          <w:rFonts w:asciiTheme="minorHAnsi" w:hAnsiTheme="minorHAnsi" w:cstheme="minorHAnsi"/>
          <w:sz w:val="22"/>
          <w:szCs w:val="22"/>
        </w:rPr>
        <w:t>pažeidim</w:t>
      </w:r>
      <w:proofErr w:type="spellEnd"/>
      <w:r w:rsidRPr="00986131">
        <w:rPr>
          <w:rFonts w:asciiTheme="minorHAnsi" w:hAnsiTheme="minorHAnsi" w:cstheme="minorHAnsi"/>
          <w:sz w:val="22"/>
          <w:szCs w:val="22"/>
        </w:rPr>
        <w:t>[u]“ (67 punktas).</w:t>
      </w:r>
    </w:p>
    <w:p w14:paraId="4B1BB469" w14:textId="714F9CEB"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Teismas nurodė, jog laikantis sisteminio požiūrio, matyti, kad to statuto 14 straipsnio 2 dalies ypatumai nėra nesuderinami su ieškinio dėl panaikinimo požymiais. Tiesa, ECBS ir ECB statuto 14 straipsnio 2 dalies antra pastraipa tiek, kiek joje Teisingumo Teismui aiškiai priskirta tikrinti nacionalinės teisės akto teisėtumą pagal „Sutartis ar kokią nors kitą teisės normą, susijusią su jos [jų] taikymu“, nukrypstama nuo Sutartyse, būtent SESV 263 straipsnyje, numatyto bendro nacionalinių teismų ir Sąjungos teismo kompetencijos pasidalijimo, nes pagal šį straipsnį ieškinys gali būti pareikštas tik dėl Sąjungos teisės aktų. Vis dėlto šią nukrypti leidžiančią nuostatą galima paaiškinti ypatinga ECBS institucine aplinka, kurioje ji taikoma. Iš tiesų ECBS yra savitas teisinis darinys Sąjungos teisėje; jame dalyvauja ir glaudžiai bendradarbiauja nacionalinės institucijos, t. y. nacionaliniai centriniai bankai, ir Sąjungos institucija, t. y. ECB, ir jam būdinga kitokia Sąjungos teisės sistemos ir nacionalinės teisės sistemų sąveika ir nežymūs šių sistemų skirtumai</w:t>
      </w:r>
      <w:r w:rsidR="00986131">
        <w:rPr>
          <w:rFonts w:asciiTheme="minorHAnsi" w:hAnsiTheme="minorHAnsi" w:cstheme="minorHAnsi"/>
          <w:sz w:val="22"/>
          <w:szCs w:val="22"/>
        </w:rPr>
        <w:t xml:space="preserve"> (68–69 </w:t>
      </w:r>
      <w:r w:rsidRPr="00986131">
        <w:rPr>
          <w:rFonts w:asciiTheme="minorHAnsi" w:hAnsiTheme="minorHAnsi" w:cstheme="minorHAnsi"/>
          <w:sz w:val="22"/>
          <w:szCs w:val="22"/>
        </w:rPr>
        <w:t>punktai).</w:t>
      </w:r>
    </w:p>
    <w:p w14:paraId="00E503BA" w14:textId="78495A01"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ECBS ir ECB statuto 14 straipsnio 2 dalis yra šios labai integruotos sistemos, kurios siekė Sutarčių rengėjai kurdami ECBS, ir visų pirma nacionalinio centrinio banko valdytojo dvejopo statuso – kaip tikros nacionalinės valdžios institucijos, tačiau veikiančio Europos centrinių bankų sistemoje ir, jeigu tai yra valstybės narės, kurios valiuta yra euro, nacionalinio centrinio banko valdytojas, dalyvaujančio pagrindinio ECB valdymo organo posėdžiuose – rezultatas. Būtent dėl šio mišraus statuso ir siekiant užtikrinti nacionalinių centrinių bankų valdytojų veiklos nepriklausomumą ECBS, klausimas dėl nacionalinės valdžios institucijos sprendimo atleisti iš tų pareigų gali būti išimties tvarka pateiktas Teisingumo Teismui. Taigi prie Sutartyse numatytų teisių gynimo priemonių sistemos pagal ECBS ir ECB statuto 14 straipsnio 2 dalį pridedama specifinė teisių gynimo priemonė, kaip tai matyti iš labai nedidelio turinčių teisę ja pasinaudoti asmenų skaičiaus, jos vienintelio dalyko – sprendimų, kuriems ginčyti ji numatyta, ir išimtinių aplinkybių, kuriomis galima ja pasinaudoti</w:t>
      </w:r>
      <w:r w:rsidR="00986131">
        <w:rPr>
          <w:rFonts w:asciiTheme="minorHAnsi" w:hAnsiTheme="minorHAnsi" w:cstheme="minorHAnsi"/>
          <w:sz w:val="22"/>
          <w:szCs w:val="22"/>
        </w:rPr>
        <w:t xml:space="preserve"> (70</w:t>
      </w:r>
      <w:r w:rsidRPr="00986131">
        <w:rPr>
          <w:rFonts w:asciiTheme="minorHAnsi" w:hAnsiTheme="minorHAnsi" w:cstheme="minorHAnsi"/>
          <w:sz w:val="22"/>
          <w:szCs w:val="22"/>
        </w:rPr>
        <w:t>–71 punktai).</w:t>
      </w:r>
    </w:p>
    <w:p w14:paraId="6CCCB967" w14:textId="1F4D39C3"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Teismas nurodė, jog ECBS ir ECB statuto 14 straipsnio 2 dalyje numatyto ieškinio pobūdis paaiškėja ir iš tikslo, kurio siekiant jis buvo nustatytas. Šis ieškinys yra viena iš pagrindinių garantijų, kad valdytojai, nors juos skiria ir prireikus atšaukia valstybės narės, visiškai nepriklausomai atliktų jiems Sutarčių priskirtas užduotis ir, kaip nurodyta SESV 130 straipsnyje ir ECBS ir ECB statuto 7 straipsnyje, nepriimtų jokių nacionalinės valdžios institucijų nurodymų. Taigi jis yra esminis institucinės pusiausvyros elementas, kurio reikia glaudžiam nacionalinių centrinių bankų ir ECB bendradarbiavimui ECBS. Būtent dėl šio tikslo svarbos ir nepatogumų, kurių sukelia bet koks delsimas panaikinti sprendimą atleisti valdytoją iš pareigų, priimtą pažeidžiant Sutartis ar kokią nors su jų taikymu susijusią teisės normą, Sutarčių rengėjai įtvirtino ECB ir atitinkamo valdytojo teisę kreiptis į Teisingumo Teismą dėl tokio akto. Iš tiesų, </w:t>
      </w:r>
      <w:r w:rsidRPr="00986131">
        <w:rPr>
          <w:rFonts w:asciiTheme="minorHAnsi" w:hAnsiTheme="minorHAnsi" w:cstheme="minorHAnsi"/>
          <w:sz w:val="22"/>
          <w:szCs w:val="22"/>
          <w:u w:val="single"/>
        </w:rPr>
        <w:t>ilgalaikis Valdančiosios tarybos nario nebuvimas gali stipriai paveikti šio pagrindinio ECB organo tinkamą veikimą. Be to, valdytojo atleidimas iš pareigų gali iš karto sukelti suinteresuotajam asmeniui sunkių pasekmių. Tik ieškinys dėl panaikinimo kartu numatant galimybę taikyti laikinąsias apsaugos priemones, kurias pagal SESV 278 ir 279 straipsnius gali paskirti Teisingumo T</w:t>
      </w:r>
      <w:r w:rsidR="00374A94">
        <w:rPr>
          <w:rFonts w:asciiTheme="minorHAnsi" w:hAnsiTheme="minorHAnsi" w:cstheme="minorHAnsi"/>
          <w:sz w:val="22"/>
          <w:szCs w:val="22"/>
          <w:u w:val="single"/>
        </w:rPr>
        <w:t>eismas, leidžia reaguoti į nuogą</w:t>
      </w:r>
      <w:r w:rsidRPr="00986131">
        <w:rPr>
          <w:rFonts w:asciiTheme="minorHAnsi" w:hAnsiTheme="minorHAnsi" w:cstheme="minorHAnsi"/>
          <w:sz w:val="22"/>
          <w:szCs w:val="22"/>
          <w:u w:val="single"/>
        </w:rPr>
        <w:t>stavimus, dėl kurių buvo nustatyta ši teisių gynimo priemonė</w:t>
      </w:r>
      <w:r w:rsidRPr="00986131">
        <w:rPr>
          <w:rFonts w:asciiTheme="minorHAnsi" w:hAnsiTheme="minorHAnsi" w:cstheme="minorHAnsi"/>
          <w:sz w:val="22"/>
          <w:szCs w:val="22"/>
        </w:rPr>
        <w:t>. ECBS ir ECB statuto rengėjų valia nebūtų tinkamai įvykdyta, jeigu pagal šio statuto 14 straipsnio 2 dalies antrą pastraipą priimtas teismo sprendimas būtų sprendimas dėl pripažinimo ir jeigu jo padariniai priklausytų nuo to, kaip jį įgyvendina nacionalinės valdžios institucijos. Be to, Teismas priminė, kad jeigu Europos Komisija mano, jog valstybė narė neįvykdė įsipareigojimų pagal ECBS ir ECB statuto 14 straipsnį, ji pagal SESV 258 straipsnį gali pateikti pagrįstą nuomonę ir, jei atitinkama valstybė narė neatsižvelgia į tą nuomonę, kreiptis į Teisingumo Teismą su ieškiniu dėl įsipareigojimų neįvykdymo. Taigi negalima teigti, kad, įtvirtindami ECBS ir ECB statuto 14 straipsnio 2 dalies antroje pastraipoje numatytą teisių gynimo priemonę, šios nuostatos rengėjai siekė tiesiog nustatyti procedūrą, lygiagrečią numatytajai SESV 258 straipsnyje</w:t>
      </w:r>
      <w:r w:rsidR="00986131">
        <w:rPr>
          <w:rFonts w:asciiTheme="minorHAnsi" w:hAnsiTheme="minorHAnsi" w:cstheme="minorHAnsi"/>
          <w:sz w:val="22"/>
          <w:szCs w:val="22"/>
        </w:rPr>
        <w:t xml:space="preserve"> (72–</w:t>
      </w:r>
      <w:r w:rsidRPr="00986131">
        <w:rPr>
          <w:rFonts w:asciiTheme="minorHAnsi" w:hAnsiTheme="minorHAnsi" w:cstheme="minorHAnsi"/>
          <w:sz w:val="22"/>
          <w:szCs w:val="22"/>
        </w:rPr>
        <w:t>75 punktai).</w:t>
      </w:r>
    </w:p>
    <w:p w14:paraId="04F1A586" w14:textId="11568C7C"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lastRenderedPageBreak/>
        <w:t>Dėl šių priežasčių Teismas padarė išvadą, kad šio statuto 14 straipsnio 2 dalies antroje pastraipoje numatytu ieškiniu prašoma panaikinti sprendimą, kurį priimant siekta atleisti iš pareigų nacionalinio centrinio banko valdytoją. I. </w:t>
      </w:r>
      <w:proofErr w:type="spellStart"/>
      <w:r w:rsidRPr="00986131">
        <w:rPr>
          <w:rFonts w:asciiTheme="minorHAnsi" w:hAnsiTheme="minorHAnsi" w:cstheme="minorHAnsi"/>
          <w:sz w:val="22"/>
          <w:szCs w:val="22"/>
        </w:rPr>
        <w:t>Rimšēvičs</w:t>
      </w:r>
      <w:proofErr w:type="spellEnd"/>
      <w:r w:rsidRPr="00986131">
        <w:rPr>
          <w:rFonts w:asciiTheme="minorHAnsi" w:hAnsiTheme="minorHAnsi" w:cstheme="minorHAnsi"/>
          <w:sz w:val="22"/>
          <w:szCs w:val="22"/>
        </w:rPr>
        <w:t xml:space="preserve"> ir ECB ieškiniai yra aiškiai pareikšti remiantis ECBS ir ECB statuto 14 straipsnio 2 dalies antra pastraipa, todėl turi būti laikomi ieškiniais, kuriais prašoma panaikinti ginčijamą sprendimą (76–77 punktai).</w:t>
      </w:r>
    </w:p>
    <w:p w14:paraId="4567C37F"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p>
    <w:p w14:paraId="38C3B35B" w14:textId="77777777" w:rsidR="00B47BC3" w:rsidRPr="00986131" w:rsidRDefault="00B47BC3" w:rsidP="00986131">
      <w:pPr>
        <w:pStyle w:val="Antrat2"/>
        <w:ind w:firstLine="567"/>
        <w:jc w:val="both"/>
        <w:rPr>
          <w:rFonts w:cstheme="minorHAnsi"/>
          <w:b w:val="0"/>
        </w:rPr>
      </w:pPr>
      <w:bookmarkStart w:id="164" w:name="_Toc11232494"/>
      <w:bookmarkStart w:id="165" w:name="_Toc11232785"/>
      <w:bookmarkStart w:id="166" w:name="_Toc11758021"/>
      <w:r w:rsidRPr="00986131">
        <w:rPr>
          <w:rFonts w:cstheme="minorHAnsi"/>
        </w:rPr>
        <w:t>Dėl ieškinio pagrindo, siejamo su ginčijamo sprendimo nepagrindimu</w:t>
      </w:r>
      <w:bookmarkEnd w:id="164"/>
      <w:bookmarkEnd w:id="165"/>
      <w:bookmarkEnd w:id="166"/>
    </w:p>
    <w:p w14:paraId="46C48A31"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p>
    <w:p w14:paraId="7CF6555C" w14:textId="0C520896"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Teisingumo Teismas pažymėjo, jog iš ECBS ir ECB statuto 14 straipsnio 2 dalies antros pastraipos aiškiai matyti, kad grįsdamas šioje nuostatoje numatytą ieškinį atitinkamas valdytojas arba Valdančioji taryba gali remtis „Sutarčių ar kokios nors kitos teisės normos, susijusios su jos [jų] taikymu, pažeidimu“. Šia formuluote pirmiausia nurodomas sąlygų, kurių pagal tą straipsnį turi būti laikomasi atleidžiant valdytoją iš pareigų, pažeidimas. Šioje nuostatoje numatyta, kad valdytoją iš pareigų galima atleisti tik dviem atvejais, t. y. jeigu jis nebeatitinka šioms pareigoms eiti keliamų reikalavimų arba padaro sunkų nusižengimą. Nagrinėtu atveju I. </w:t>
      </w:r>
      <w:proofErr w:type="spellStart"/>
      <w:r w:rsidRPr="00986131">
        <w:rPr>
          <w:rFonts w:asciiTheme="minorHAnsi" w:hAnsiTheme="minorHAnsi" w:cstheme="minorHAnsi"/>
          <w:sz w:val="22"/>
          <w:szCs w:val="22"/>
        </w:rPr>
        <w:t>Rimšēvičs</w:t>
      </w:r>
      <w:proofErr w:type="spellEnd"/>
      <w:r w:rsidRPr="00986131">
        <w:rPr>
          <w:rFonts w:asciiTheme="minorHAnsi" w:hAnsiTheme="minorHAnsi" w:cstheme="minorHAnsi"/>
          <w:sz w:val="22"/>
          <w:szCs w:val="22"/>
        </w:rPr>
        <w:t xml:space="preserve"> skirtas draudimas eiti Latvijos centrinio banko valdytojo pareigas grįstas būtinybe atlikti ikiteisminį tyrimą dėl nusikaltimu laikomos tariamos šio asmens veikos, kuri, jeigu būtų įrodyta, būtų „sunkus nusižengimas“, kaip tai suprantama pagal ECBS ir ECB statuto 14 straipsnio 2 dalį</w:t>
      </w:r>
      <w:r w:rsidR="00986131">
        <w:rPr>
          <w:rFonts w:asciiTheme="minorHAnsi" w:hAnsiTheme="minorHAnsi" w:cstheme="minorHAnsi"/>
          <w:sz w:val="22"/>
          <w:szCs w:val="22"/>
        </w:rPr>
        <w:t xml:space="preserve"> (88</w:t>
      </w:r>
      <w:r w:rsidRPr="00986131">
        <w:rPr>
          <w:rFonts w:asciiTheme="minorHAnsi" w:hAnsiTheme="minorHAnsi" w:cstheme="minorHAnsi"/>
          <w:sz w:val="22"/>
          <w:szCs w:val="22"/>
        </w:rPr>
        <w:t>–90 punktai).</w:t>
      </w:r>
    </w:p>
    <w:p w14:paraId="1135A947" w14:textId="03DFD1F9"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ESTT visų pirma pažymėjo, kad </w:t>
      </w:r>
      <w:r w:rsidRPr="00986131">
        <w:rPr>
          <w:rFonts w:asciiTheme="minorHAnsi" w:hAnsiTheme="minorHAnsi" w:cstheme="minorHAnsi"/>
          <w:sz w:val="22"/>
          <w:szCs w:val="22"/>
          <w:u w:val="single"/>
        </w:rPr>
        <w:t>Teisingumo Teismas</w:t>
      </w:r>
      <w:r w:rsidRPr="00986131">
        <w:rPr>
          <w:rFonts w:asciiTheme="minorHAnsi" w:hAnsiTheme="minorHAnsi" w:cstheme="minorHAnsi"/>
          <w:sz w:val="22"/>
          <w:szCs w:val="22"/>
        </w:rPr>
        <w:t xml:space="preserve">, jeigu į jį kreiptasi remiantis šio statuto 14 straipsnio 2 dalimi, </w:t>
      </w:r>
      <w:r w:rsidRPr="00986131">
        <w:rPr>
          <w:rFonts w:asciiTheme="minorHAnsi" w:hAnsiTheme="minorHAnsi" w:cstheme="minorHAnsi"/>
          <w:sz w:val="22"/>
          <w:szCs w:val="22"/>
          <w:u w:val="single"/>
        </w:rPr>
        <w:t>neturi vietoj kompetentingų nacionalinių teismų priimti sprendimo dėl kaltinamo valdytojo baudžiamosios atsakomybės ar kištis į prieš jį pradėtą ikiteisminį tyrimą</w:t>
      </w:r>
      <w:r w:rsidRPr="00986131">
        <w:rPr>
          <w:rFonts w:asciiTheme="minorHAnsi" w:hAnsiTheme="minorHAnsi" w:cstheme="minorHAnsi"/>
          <w:sz w:val="22"/>
          <w:szCs w:val="22"/>
        </w:rPr>
        <w:t xml:space="preserve">, kurį pagal atitinkamos valstybės narės teisę atlieka kompetentingos administracinės arba teisminės valdžios institucijos. Atliekant tokį tyrimą ir, be kita ko, siekiant neleisti, kad atitinkamas valdytojas jam trukdytų, gali prireikti priimti sprendimą laikinai nušalinti jį nuo pareigų. Kita vertus, </w:t>
      </w:r>
      <w:r w:rsidRPr="00986131">
        <w:rPr>
          <w:rFonts w:asciiTheme="minorHAnsi" w:hAnsiTheme="minorHAnsi" w:cstheme="minorHAnsi"/>
          <w:sz w:val="22"/>
          <w:szCs w:val="22"/>
          <w:u w:val="single"/>
        </w:rPr>
        <w:t>Teisingumo Teismas, įgyvendindamas jam pagal ECBS ir ECB statuto 14 straipsnio 2 dalies antrą pastraipą suteiktą jurisdikciją, turi patikrinti, ar atitinkamam valdytojui skirtas laikinas draudimas eiti pareigas yra nustatytas tik esant pakankamai įrodymų, kad jis padarė sunkų nusižengimą, kuriuo galima pateisinti tokią priemonę</w:t>
      </w:r>
      <w:r w:rsidR="00986131">
        <w:rPr>
          <w:rFonts w:asciiTheme="minorHAnsi" w:hAnsiTheme="minorHAnsi" w:cstheme="minorHAnsi"/>
          <w:sz w:val="22"/>
          <w:szCs w:val="22"/>
        </w:rPr>
        <w:t xml:space="preserve"> (91</w:t>
      </w:r>
      <w:r w:rsidRPr="00986131">
        <w:rPr>
          <w:rFonts w:asciiTheme="minorHAnsi" w:hAnsiTheme="minorHAnsi" w:cstheme="minorHAnsi"/>
          <w:sz w:val="22"/>
          <w:szCs w:val="22"/>
        </w:rPr>
        <w:t>–92 punktai).</w:t>
      </w:r>
    </w:p>
    <w:p w14:paraId="52ABD033" w14:textId="5558B15A"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Nagrinėtu atveju suinteresuotasis asmuo Teisingumo Teisme teigė, kad nepadarė jokių nusižengimų, kuriais yra kaltinamas. Kaip ir ECB, jis manė, kad Latvijos Respublika nepateikė jokių šių nusižengimų įrodymų. Teisingumo Teismo vertinimu, Latvijos Respublika nepateikė jokių pirminių kaltinimus korupcija patvirtinančių įrodymų, kuriais remiantis buvo pradėtas ikiteisminis tyrimas ir priimtas ginčijamas sprendimas, nė viename iš pateiktų dokumentų nebuvo pakankamai įrodymų, patvirtinančių suinteresuotajam asmeniui pareikštų kaltinimų pagrįstumą</w:t>
      </w:r>
      <w:r w:rsidR="00986131">
        <w:rPr>
          <w:rFonts w:asciiTheme="minorHAnsi" w:hAnsiTheme="minorHAnsi" w:cstheme="minorHAnsi"/>
          <w:sz w:val="22"/>
          <w:szCs w:val="22"/>
        </w:rPr>
        <w:t xml:space="preserve"> (93–</w:t>
      </w:r>
      <w:r w:rsidRPr="00986131">
        <w:rPr>
          <w:rFonts w:asciiTheme="minorHAnsi" w:hAnsiTheme="minorHAnsi" w:cstheme="minorHAnsi"/>
          <w:sz w:val="22"/>
          <w:szCs w:val="22"/>
        </w:rPr>
        <w:t>94 punktai).</w:t>
      </w:r>
    </w:p>
    <w:p w14:paraId="245F1257" w14:textId="0AAF608B"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Todėl Teisingumo Teismas konstatavo, kad </w:t>
      </w:r>
      <w:r w:rsidRPr="00986131">
        <w:rPr>
          <w:rFonts w:asciiTheme="minorHAnsi" w:hAnsiTheme="minorHAnsi" w:cstheme="minorHAnsi"/>
          <w:sz w:val="22"/>
          <w:szCs w:val="22"/>
          <w:u w:val="single"/>
        </w:rPr>
        <w:t>Latvijos Respublika neįrodė, jog I. </w:t>
      </w:r>
      <w:proofErr w:type="spellStart"/>
      <w:r w:rsidRPr="00986131">
        <w:rPr>
          <w:rFonts w:asciiTheme="minorHAnsi" w:hAnsiTheme="minorHAnsi" w:cstheme="minorHAnsi"/>
          <w:sz w:val="22"/>
          <w:szCs w:val="22"/>
          <w:u w:val="single"/>
        </w:rPr>
        <w:t>Rimšēvičs</w:t>
      </w:r>
      <w:proofErr w:type="spellEnd"/>
      <w:r w:rsidRPr="00986131">
        <w:rPr>
          <w:rFonts w:asciiTheme="minorHAnsi" w:hAnsiTheme="minorHAnsi" w:cstheme="minorHAnsi"/>
          <w:sz w:val="22"/>
          <w:szCs w:val="22"/>
          <w:u w:val="single"/>
        </w:rPr>
        <w:t xml:space="preserve"> nušalinimas nuo pareigų grindžiamas pakankamais įrodymais, kad jis padarė sunkų nusižengimą, kaip tai suprantama pagal ECBS ir ECB statuto 14 straipsnio 2 dalies antrą pastraipą</w:t>
      </w:r>
      <w:r w:rsidRPr="00986131">
        <w:rPr>
          <w:rFonts w:asciiTheme="minorHAnsi" w:hAnsiTheme="minorHAnsi" w:cstheme="minorHAnsi"/>
          <w:sz w:val="22"/>
          <w:szCs w:val="22"/>
        </w:rPr>
        <w:t>, taigi ir patenkino ieškinio pagrindą, siejamą su tuo, kad ginčijamas sprendimas nėra pagrįstas. Vadinasi, nebereikėjo nagrinėti kitų ieškinio pagrindų. Teisingumo Teismas padarė išvadą, kad ginčijamas sprendimas turi būti panaikintas tiek, kiek juo uždrausta I. </w:t>
      </w:r>
      <w:proofErr w:type="spellStart"/>
      <w:r w:rsidRPr="00986131">
        <w:rPr>
          <w:rFonts w:asciiTheme="minorHAnsi" w:hAnsiTheme="minorHAnsi" w:cstheme="minorHAnsi"/>
          <w:sz w:val="22"/>
          <w:szCs w:val="22"/>
        </w:rPr>
        <w:t>Rimšēvičs</w:t>
      </w:r>
      <w:proofErr w:type="spellEnd"/>
      <w:r w:rsidRPr="00986131">
        <w:rPr>
          <w:rFonts w:asciiTheme="minorHAnsi" w:hAnsiTheme="minorHAnsi" w:cstheme="minorHAnsi"/>
          <w:sz w:val="22"/>
          <w:szCs w:val="22"/>
        </w:rPr>
        <w:t xml:space="preserve"> eiti Latvijos centrinio banko valdytojo pareigas </w:t>
      </w:r>
      <w:r w:rsidR="00986131">
        <w:rPr>
          <w:rFonts w:asciiTheme="minorHAnsi" w:hAnsiTheme="minorHAnsi" w:cstheme="minorHAnsi"/>
          <w:sz w:val="22"/>
          <w:szCs w:val="22"/>
        </w:rPr>
        <w:t>(96</w:t>
      </w:r>
      <w:r w:rsidRPr="00986131">
        <w:rPr>
          <w:rFonts w:asciiTheme="minorHAnsi" w:hAnsiTheme="minorHAnsi" w:cstheme="minorHAnsi"/>
          <w:sz w:val="22"/>
          <w:szCs w:val="22"/>
        </w:rPr>
        <w:t>–97 punktai).</w:t>
      </w:r>
    </w:p>
    <w:p w14:paraId="6E4F56F7"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p>
    <w:p w14:paraId="74C826E1" w14:textId="77777777" w:rsidR="00B47BC3" w:rsidRPr="00986131" w:rsidRDefault="00B47BC3" w:rsidP="00B47BC3">
      <w:pPr>
        <w:ind w:firstLine="567"/>
        <w:rPr>
          <w:rFonts w:asciiTheme="minorHAnsi" w:hAnsiTheme="minorHAnsi" w:cstheme="minorHAnsi"/>
          <w:b/>
        </w:rPr>
      </w:pPr>
      <w:r w:rsidRPr="00986131">
        <w:rPr>
          <w:rFonts w:asciiTheme="minorHAnsi" w:hAnsiTheme="minorHAnsi" w:cstheme="minorHAnsi"/>
          <w:b/>
        </w:rPr>
        <w:t>Remdamasis šiais motyvais, Teisingumo Teismas (didžioji kolegija) nusprendė:</w:t>
      </w:r>
    </w:p>
    <w:p w14:paraId="3D888E55" w14:textId="77777777" w:rsidR="00B47BC3" w:rsidRPr="00986131" w:rsidRDefault="00B47BC3" w:rsidP="00B47BC3">
      <w:pPr>
        <w:ind w:firstLine="567"/>
        <w:rPr>
          <w:rFonts w:asciiTheme="minorHAnsi" w:hAnsiTheme="minorHAnsi" w:cstheme="minorHAnsi"/>
          <w:b/>
        </w:rPr>
      </w:pPr>
    </w:p>
    <w:p w14:paraId="3AC931D0" w14:textId="77777777" w:rsidR="00B47BC3" w:rsidRPr="00986131" w:rsidRDefault="00B47BC3" w:rsidP="00B47BC3">
      <w:pPr>
        <w:pStyle w:val="c01pointnumerotealtn"/>
        <w:shd w:val="clear" w:color="auto" w:fill="FFFFFF"/>
        <w:spacing w:before="0" w:beforeAutospacing="0" w:after="0"/>
        <w:ind w:left="0" w:firstLine="567"/>
        <w:rPr>
          <w:rFonts w:asciiTheme="minorHAnsi" w:hAnsiTheme="minorHAnsi" w:cstheme="minorHAnsi"/>
          <w:sz w:val="22"/>
          <w:szCs w:val="22"/>
        </w:rPr>
      </w:pPr>
      <w:r w:rsidRPr="00986131">
        <w:rPr>
          <w:rFonts w:asciiTheme="minorHAnsi" w:hAnsiTheme="minorHAnsi" w:cstheme="minorHAnsi"/>
          <w:sz w:val="22"/>
          <w:szCs w:val="22"/>
        </w:rPr>
        <w:t xml:space="preserve">Panaikinti 2018 m. vasario 19 d. Korupcijas </w:t>
      </w:r>
      <w:proofErr w:type="spellStart"/>
      <w:r w:rsidRPr="00986131">
        <w:rPr>
          <w:rFonts w:asciiTheme="minorHAnsi" w:hAnsiTheme="minorHAnsi" w:cstheme="minorHAnsi"/>
          <w:sz w:val="22"/>
          <w:szCs w:val="22"/>
        </w:rPr>
        <w:t>novēršanas</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un</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apkarošanas</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birojs</w:t>
      </w:r>
      <w:proofErr w:type="spellEnd"/>
      <w:r w:rsidRPr="00986131">
        <w:rPr>
          <w:rFonts w:asciiTheme="minorHAnsi" w:hAnsiTheme="minorHAnsi" w:cstheme="minorHAnsi"/>
          <w:sz w:val="22"/>
          <w:szCs w:val="22"/>
        </w:rPr>
        <w:t xml:space="preserve"> (Korupcijos prevencijos ir kovos su korupcija tarnyba, Latvija) sprendimą tiek, kiek juo uždrausta </w:t>
      </w:r>
      <w:proofErr w:type="spellStart"/>
      <w:r w:rsidRPr="00986131">
        <w:rPr>
          <w:rFonts w:asciiTheme="minorHAnsi" w:hAnsiTheme="minorHAnsi" w:cstheme="minorHAnsi"/>
          <w:sz w:val="22"/>
          <w:szCs w:val="22"/>
        </w:rPr>
        <w:t>Ilmārs</w:t>
      </w:r>
      <w:proofErr w:type="spellEnd"/>
      <w:r w:rsidRPr="00986131">
        <w:rPr>
          <w:rFonts w:asciiTheme="minorHAnsi" w:hAnsiTheme="minorHAnsi" w:cstheme="minorHAnsi"/>
          <w:sz w:val="22"/>
          <w:szCs w:val="22"/>
        </w:rPr>
        <w:t xml:space="preserve"> </w:t>
      </w:r>
      <w:proofErr w:type="spellStart"/>
      <w:r w:rsidRPr="00986131">
        <w:rPr>
          <w:rFonts w:asciiTheme="minorHAnsi" w:hAnsiTheme="minorHAnsi" w:cstheme="minorHAnsi"/>
          <w:sz w:val="22"/>
          <w:szCs w:val="22"/>
        </w:rPr>
        <w:t>Rimšēvičs</w:t>
      </w:r>
      <w:proofErr w:type="spellEnd"/>
      <w:r w:rsidRPr="00986131">
        <w:rPr>
          <w:rFonts w:asciiTheme="minorHAnsi" w:hAnsiTheme="minorHAnsi" w:cstheme="minorHAnsi"/>
          <w:sz w:val="22"/>
          <w:szCs w:val="22"/>
        </w:rPr>
        <w:t xml:space="preserve"> eiti Latvijos centrinio banko valdytojo pareigas.</w:t>
      </w:r>
    </w:p>
    <w:p w14:paraId="43C8A1E8" w14:textId="77777777" w:rsidR="00B47BC3" w:rsidRPr="00986131" w:rsidRDefault="006A47DB" w:rsidP="00B47BC3">
      <w:pPr>
        <w:pStyle w:val="c01pointnumerotealtn"/>
        <w:shd w:val="clear" w:color="auto" w:fill="FFFFFF"/>
        <w:spacing w:before="0" w:beforeAutospacing="0" w:after="0"/>
        <w:ind w:firstLine="0"/>
        <w:rPr>
          <w:rFonts w:asciiTheme="minorHAnsi" w:hAnsiTheme="minorHAnsi" w:cstheme="minorHAnsi"/>
          <w:sz w:val="22"/>
          <w:szCs w:val="22"/>
        </w:rPr>
      </w:pPr>
      <w:hyperlink r:id="rId24" w:history="1">
        <w:r w:rsidR="00B47BC3" w:rsidRPr="00986131">
          <w:rPr>
            <w:rStyle w:val="Hipersaitas"/>
            <w:rFonts w:asciiTheme="minorHAnsi" w:hAnsiTheme="minorHAnsi" w:cstheme="minorHAnsi"/>
            <w:sz w:val="22"/>
            <w:szCs w:val="22"/>
          </w:rPr>
          <w:t>Prieiga internete</w:t>
        </w:r>
      </w:hyperlink>
      <w:r w:rsidR="00B47BC3" w:rsidRPr="00986131">
        <w:rPr>
          <w:rFonts w:asciiTheme="minorHAnsi" w:hAnsiTheme="minorHAnsi" w:cstheme="minorHAnsi"/>
          <w:sz w:val="22"/>
          <w:szCs w:val="22"/>
        </w:rPr>
        <w:t xml:space="preserve"> </w:t>
      </w:r>
    </w:p>
    <w:p w14:paraId="597EDE2E" w14:textId="77777777" w:rsidR="00B47BC3" w:rsidRPr="00986131" w:rsidRDefault="00B47BC3" w:rsidP="00B47BC3">
      <w:pPr>
        <w:pStyle w:val="c01pointnumerotealtn"/>
        <w:shd w:val="clear" w:color="auto" w:fill="FFFFFF"/>
        <w:spacing w:before="0" w:beforeAutospacing="0" w:after="0"/>
        <w:ind w:firstLine="0"/>
        <w:rPr>
          <w:rFonts w:asciiTheme="minorHAnsi" w:hAnsiTheme="minorHAnsi" w:cstheme="minorHAnsi"/>
          <w:sz w:val="22"/>
          <w:szCs w:val="22"/>
        </w:rPr>
      </w:pPr>
    </w:p>
    <w:p w14:paraId="528CF895" w14:textId="77777777" w:rsidR="00B47BC3" w:rsidRPr="00986131" w:rsidRDefault="00B47BC3" w:rsidP="003135AD">
      <w:pPr>
        <w:jc w:val="center"/>
      </w:pPr>
    </w:p>
    <w:sectPr w:rsidR="00B47BC3" w:rsidRPr="00986131" w:rsidSect="00736158">
      <w:headerReference w:type="default" r:id="rId25"/>
      <w:footerReference w:type="default" r:id="rId26"/>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DBB6FA" w14:textId="77777777" w:rsidR="006A47DB" w:rsidRDefault="006A47DB">
      <w:r>
        <w:separator/>
      </w:r>
    </w:p>
  </w:endnote>
  <w:endnote w:type="continuationSeparator" w:id="0">
    <w:p w14:paraId="2B6D88CC" w14:textId="77777777" w:rsidR="006A47DB" w:rsidRDefault="006A4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BA"/>
    <w:family w:val="swiss"/>
    <w:pitch w:val="variable"/>
    <w:sig w:usb0="E4002EFF" w:usb1="C000E47F"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hAnsiTheme="minorHAnsi"/>
        <w:sz w:val="20"/>
        <w:szCs w:val="20"/>
      </w:rPr>
      <w:id w:val="-951236842"/>
      <w:docPartObj>
        <w:docPartGallery w:val="Page Numbers (Bottom of Page)"/>
        <w:docPartUnique/>
      </w:docPartObj>
    </w:sdtPr>
    <w:sdtEndPr/>
    <w:sdtContent>
      <w:sdt>
        <w:sdtPr>
          <w:rPr>
            <w:rFonts w:asciiTheme="minorHAnsi" w:hAnsiTheme="minorHAnsi"/>
            <w:sz w:val="20"/>
            <w:szCs w:val="20"/>
          </w:rPr>
          <w:id w:val="1588040077"/>
          <w:docPartObj>
            <w:docPartGallery w:val="Page Numbers (Top of Page)"/>
            <w:docPartUnique/>
          </w:docPartObj>
        </w:sdtPr>
        <w:sdtEndPr/>
        <w:sdtContent>
          <w:p w14:paraId="68C15003" w14:textId="77777777" w:rsidR="00F614AF" w:rsidRPr="0078181C" w:rsidRDefault="00F614AF" w:rsidP="00736158">
            <w:pPr>
              <w:pStyle w:val="Porat"/>
              <w:jc w:val="center"/>
              <w:rPr>
                <w:rFonts w:asciiTheme="minorHAnsi" w:hAnsiTheme="minorHAnsi"/>
                <w:sz w:val="20"/>
                <w:szCs w:val="20"/>
              </w:rPr>
            </w:pPr>
            <w:r w:rsidRPr="00F15916">
              <w:rPr>
                <w:rFonts w:asciiTheme="minorHAnsi" w:hAnsiTheme="minorHAnsi"/>
                <w:sz w:val="20"/>
                <w:szCs w:val="20"/>
              </w:rPr>
              <w:t xml:space="preserve"> </w:t>
            </w:r>
            <w:r w:rsidRPr="00F15916">
              <w:rPr>
                <w:rFonts w:asciiTheme="minorHAnsi" w:hAnsiTheme="minorHAnsi"/>
                <w:bCs/>
                <w:sz w:val="20"/>
                <w:szCs w:val="20"/>
              </w:rPr>
              <w:fldChar w:fldCharType="begin"/>
            </w:r>
            <w:r w:rsidRPr="00F15916">
              <w:rPr>
                <w:rFonts w:asciiTheme="minorHAnsi" w:hAnsiTheme="minorHAnsi"/>
                <w:bCs/>
                <w:sz w:val="20"/>
                <w:szCs w:val="20"/>
              </w:rPr>
              <w:instrText>PAGE</w:instrText>
            </w:r>
            <w:r w:rsidRPr="00F15916">
              <w:rPr>
                <w:rFonts w:asciiTheme="minorHAnsi" w:hAnsiTheme="minorHAnsi"/>
                <w:bCs/>
                <w:sz w:val="20"/>
                <w:szCs w:val="20"/>
              </w:rPr>
              <w:fldChar w:fldCharType="separate"/>
            </w:r>
            <w:r w:rsidR="005F534F">
              <w:rPr>
                <w:rFonts w:asciiTheme="minorHAnsi" w:hAnsiTheme="minorHAnsi"/>
                <w:bCs/>
                <w:noProof/>
                <w:sz w:val="20"/>
                <w:szCs w:val="20"/>
              </w:rPr>
              <w:t>4</w:t>
            </w:r>
            <w:r w:rsidRPr="00F15916">
              <w:rPr>
                <w:rFonts w:asciiTheme="minorHAnsi" w:hAnsiTheme="minorHAnsi"/>
                <w:bCs/>
                <w:sz w:val="20"/>
                <w:szCs w:val="20"/>
              </w:rPr>
              <w:fldChar w:fldCharType="end"/>
            </w:r>
            <w:r w:rsidRPr="00F15916">
              <w:rPr>
                <w:rFonts w:asciiTheme="minorHAnsi" w:hAnsiTheme="minorHAnsi"/>
                <w:sz w:val="20"/>
                <w:szCs w:val="20"/>
              </w:rPr>
              <w:t xml:space="preserve"> </w:t>
            </w:r>
            <w:r>
              <w:rPr>
                <w:rFonts w:asciiTheme="minorHAnsi" w:hAnsiTheme="minorHAnsi"/>
                <w:sz w:val="20"/>
                <w:szCs w:val="20"/>
              </w:rPr>
              <w:t>/</w:t>
            </w:r>
            <w:r w:rsidRPr="00F15916">
              <w:rPr>
                <w:rFonts w:asciiTheme="minorHAnsi" w:hAnsiTheme="minorHAnsi"/>
                <w:sz w:val="20"/>
                <w:szCs w:val="20"/>
              </w:rPr>
              <w:t xml:space="preserve"> </w:t>
            </w:r>
            <w:r w:rsidRPr="00F15916">
              <w:rPr>
                <w:rFonts w:asciiTheme="minorHAnsi" w:hAnsiTheme="minorHAnsi"/>
                <w:bCs/>
                <w:sz w:val="20"/>
                <w:szCs w:val="20"/>
              </w:rPr>
              <w:fldChar w:fldCharType="begin"/>
            </w:r>
            <w:r w:rsidRPr="00F15916">
              <w:rPr>
                <w:rFonts w:asciiTheme="minorHAnsi" w:hAnsiTheme="minorHAnsi"/>
                <w:bCs/>
                <w:sz w:val="20"/>
                <w:szCs w:val="20"/>
              </w:rPr>
              <w:instrText>NUMPAGES</w:instrText>
            </w:r>
            <w:r w:rsidRPr="00F15916">
              <w:rPr>
                <w:rFonts w:asciiTheme="minorHAnsi" w:hAnsiTheme="minorHAnsi"/>
                <w:bCs/>
                <w:sz w:val="20"/>
                <w:szCs w:val="20"/>
              </w:rPr>
              <w:fldChar w:fldCharType="separate"/>
            </w:r>
            <w:r w:rsidR="005F534F">
              <w:rPr>
                <w:rFonts w:asciiTheme="minorHAnsi" w:hAnsiTheme="minorHAnsi"/>
                <w:bCs/>
                <w:noProof/>
                <w:sz w:val="20"/>
                <w:szCs w:val="20"/>
              </w:rPr>
              <w:t>40</w:t>
            </w:r>
            <w:r w:rsidRPr="00F15916">
              <w:rPr>
                <w:rFonts w:asciiTheme="minorHAnsi" w:hAnsiTheme="minorHAnsi"/>
                <w:bCs/>
                <w:sz w:val="20"/>
                <w:szCs w:val="20"/>
              </w:rPr>
              <w:fldChar w:fldCharType="end"/>
            </w:r>
          </w:p>
        </w:sdtContent>
      </w:sdt>
    </w:sdtContent>
  </w:sdt>
  <w:p w14:paraId="5B276432" w14:textId="77777777" w:rsidR="00F614AF" w:rsidRDefault="00F614AF">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EBBA9F" w14:textId="77777777" w:rsidR="006A47DB" w:rsidRDefault="006A47DB">
      <w:r>
        <w:separator/>
      </w:r>
    </w:p>
  </w:footnote>
  <w:footnote w:type="continuationSeparator" w:id="0">
    <w:p w14:paraId="62666A4C" w14:textId="77777777" w:rsidR="006A47DB" w:rsidRDefault="006A47DB">
      <w:r>
        <w:continuationSeparator/>
      </w:r>
    </w:p>
  </w:footnote>
  <w:footnote w:id="1">
    <w:p w14:paraId="41CA9B3A" w14:textId="77777777" w:rsidR="00F614AF" w:rsidRPr="003032D1" w:rsidRDefault="00F614AF" w:rsidP="005E5E25">
      <w:pPr>
        <w:pStyle w:val="Puslapioinaostekstas"/>
        <w:rPr>
          <w:rFonts w:asciiTheme="minorHAnsi" w:hAnsiTheme="minorHAnsi" w:cstheme="minorHAnsi"/>
          <w:sz w:val="18"/>
          <w:szCs w:val="18"/>
        </w:rPr>
      </w:pPr>
      <w:r w:rsidRPr="003032D1">
        <w:rPr>
          <w:rStyle w:val="Puslapioinaosnuoroda"/>
          <w:rFonts w:asciiTheme="minorHAnsi" w:hAnsiTheme="minorHAnsi" w:cstheme="minorHAnsi"/>
          <w:sz w:val="18"/>
          <w:szCs w:val="18"/>
        </w:rPr>
        <w:footnoteRef/>
      </w:r>
      <w:r>
        <w:rPr>
          <w:rFonts w:asciiTheme="minorHAnsi" w:hAnsiTheme="minorHAnsi" w:cstheme="minorHAnsi"/>
          <w:sz w:val="18"/>
          <w:szCs w:val="18"/>
        </w:rPr>
        <w:t xml:space="preserve"> </w:t>
      </w:r>
      <w:r w:rsidRPr="003032D1">
        <w:rPr>
          <w:rFonts w:asciiTheme="minorHAnsi" w:hAnsiTheme="minorHAnsi" w:cstheme="minorHAnsi"/>
          <w:sz w:val="18"/>
          <w:szCs w:val="18"/>
        </w:rPr>
        <w:t>Pagal Direktyvos 92/83 27 straipsnio 1 dalies b punktą valstybės narės atleidžia produktus, kuriems taikoma ši direktyva, įskaitant etilo alkoholį, nuo suderintų akcizų tokiomis sąlygomis, kurias jos nustato, siekdamos užtikrinti, kad tuo atleidimu būtų galima teisingai ir tiesiogiai pasinaudoti ir išvengti bet kokio išsisukinėjimo, vengimo ar piktnaudžiavimo, kai jie yra denatūruoti pagal bet kurios valstybės narės reikalavimus ir naudojami ne žmonėms vartoti skirtų produktų gamybai.</w:t>
      </w:r>
    </w:p>
  </w:footnote>
  <w:footnote w:id="2">
    <w:p w14:paraId="14B1E899" w14:textId="77777777" w:rsidR="00F614AF" w:rsidRPr="003032D1" w:rsidRDefault="00F614AF" w:rsidP="005E5E25">
      <w:pPr>
        <w:pStyle w:val="Puslapioinaostekstas"/>
        <w:rPr>
          <w:rFonts w:asciiTheme="minorHAnsi" w:hAnsiTheme="minorHAnsi" w:cstheme="minorHAnsi"/>
          <w:sz w:val="18"/>
          <w:szCs w:val="18"/>
        </w:rPr>
      </w:pPr>
      <w:r w:rsidRPr="003032D1">
        <w:rPr>
          <w:rStyle w:val="Puslapioinaosnuoroda"/>
          <w:rFonts w:asciiTheme="minorHAnsi" w:hAnsiTheme="minorHAnsi" w:cstheme="minorHAnsi"/>
          <w:sz w:val="18"/>
          <w:szCs w:val="18"/>
        </w:rPr>
        <w:footnoteRef/>
      </w:r>
      <w:r>
        <w:rPr>
          <w:rFonts w:asciiTheme="minorHAnsi" w:hAnsiTheme="minorHAnsi" w:cstheme="minorHAnsi"/>
          <w:sz w:val="18"/>
          <w:szCs w:val="18"/>
        </w:rPr>
        <w:t xml:space="preserve"> </w:t>
      </w:r>
      <w:r w:rsidRPr="003032D1">
        <w:rPr>
          <w:rFonts w:asciiTheme="minorHAnsi" w:hAnsiTheme="minorHAnsi" w:cstheme="minorHAnsi"/>
          <w:sz w:val="18"/>
          <w:szCs w:val="18"/>
        </w:rPr>
        <w:t>Šios direktyvos 4 straipsnio 1 dalis suformuluota taip: „Šioje direktyvoje toliau išvardinti produktai laikomi cigarais arba cigarilėmis, jeigu, atsižvelgiant į jų savybes ir į įprastus vartotojų lūkesčius, juos galima rūkyti tik tokius, kokie jie yra: a) tabako ritinėliai, įvynioti į išorinį apvalkalą, pagamintą iš natūralaus tabako; b) tabako ritinėliai su smulkinto mišinio užpildu, įvynioti į išorinį įprastinės cigaro spalvos apvalkalą, visiškai dengiantį produktą ir pagamintą iš regeneruoto tabako, tam tikrais atvejais apimant filtrą, tačiau cigarų su galvutėmis atveju neapimant galvutės, jeigu jų vieneto svoris, neįskaitant filtro ar kandiklio, yra ne mažesnis kaip 2,3 g ir ne didesnis kaip 10 g, o ne mažiau kaip trečdalyje ritinėlio ilgio apskritimo perimetras yra ne mažesnis kaip 34 mm.“</w:t>
      </w:r>
    </w:p>
  </w:footnote>
  <w:footnote w:id="3">
    <w:p w14:paraId="0834F7F9" w14:textId="77777777" w:rsidR="00F614AF" w:rsidRPr="003032D1" w:rsidRDefault="00F614AF" w:rsidP="005E5E25">
      <w:pPr>
        <w:pStyle w:val="Puslapioinaostekstas"/>
        <w:rPr>
          <w:rFonts w:asciiTheme="minorHAnsi" w:hAnsiTheme="minorHAnsi" w:cstheme="minorHAnsi"/>
          <w:sz w:val="18"/>
          <w:szCs w:val="18"/>
        </w:rPr>
      </w:pPr>
      <w:r w:rsidRPr="003032D1">
        <w:rPr>
          <w:rStyle w:val="Puslapioinaosnuoroda"/>
          <w:rFonts w:asciiTheme="minorHAnsi" w:hAnsiTheme="minorHAnsi" w:cstheme="minorHAnsi"/>
          <w:sz w:val="18"/>
          <w:szCs w:val="18"/>
        </w:rPr>
        <w:footnoteRef/>
      </w:r>
      <w:r>
        <w:rPr>
          <w:rFonts w:asciiTheme="minorHAnsi" w:hAnsiTheme="minorHAnsi" w:cstheme="minorHAnsi"/>
          <w:sz w:val="18"/>
          <w:szCs w:val="18"/>
        </w:rPr>
        <w:t xml:space="preserve"> </w:t>
      </w:r>
      <w:r w:rsidRPr="003032D1">
        <w:rPr>
          <w:rFonts w:asciiTheme="minorHAnsi" w:hAnsiTheme="minorHAnsi" w:cstheme="minorHAnsi"/>
          <w:sz w:val="18"/>
          <w:szCs w:val="18"/>
        </w:rPr>
        <w:t>„2. Vykdant veiklą, nurodytą 6 straipsnio 1 dalies a punkte, kuri nesusijusi su elektroninių pinigų leidimu, reikalaujamos elektroninių pinigų įstaigos nuosavos lėšos skaičiuojamos pagal vieną iš trijų metodų (A, B arba C), nustatytų Direktyvos 2007/64/EB 8 straipsnio 1 ir 2 dalyse. Tinkamą metodą nustato kompetentingos institucijos pagal nacionalinės teisės aktus. Kiek nuosavų lėšų turi turėti elektroninių pinigų leidimo veiklą vykdanti elektroninių pinigų įstaiga, apskaičiuojama pagal D metodą, nustatytą 3 dalyje. Elektroninių pinigų įstaigos visada turi turėti nuosavų lėšų, kurios didesnės arba lygios pirmoje ir antroje pastraipose nurodytų reikalaujamų lėšų sumai.“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Borders>
        <w:bottom w:val="single" w:sz="4" w:space="0" w:color="44546A" w:themeColor="text2"/>
      </w:tblBorders>
      <w:tblLook w:val="04A0" w:firstRow="1" w:lastRow="0" w:firstColumn="1" w:lastColumn="0" w:noHBand="0" w:noVBand="1"/>
    </w:tblPr>
    <w:tblGrid>
      <w:gridCol w:w="7149"/>
      <w:gridCol w:w="2381"/>
    </w:tblGrid>
    <w:tr w:rsidR="00F614AF" w:rsidRPr="000967FF" w14:paraId="5CF85821" w14:textId="77777777" w:rsidTr="00736158">
      <w:tc>
        <w:tcPr>
          <w:tcW w:w="7230" w:type="dxa"/>
        </w:tcPr>
        <w:p w14:paraId="5AF2E84B" w14:textId="77777777" w:rsidR="00F614AF" w:rsidRPr="0021377E" w:rsidRDefault="00F614AF" w:rsidP="00736158">
          <w:pPr>
            <w:tabs>
              <w:tab w:val="left" w:pos="4410"/>
            </w:tabs>
            <w:rPr>
              <w:i/>
              <w:color w:val="323E4F" w:themeColor="text2" w:themeShade="BF"/>
              <w:sz w:val="20"/>
              <w:szCs w:val="20"/>
            </w:rPr>
          </w:pPr>
          <w:r w:rsidRPr="0021377E">
            <w:rPr>
              <w:i/>
              <w:color w:val="323E4F" w:themeColor="text2" w:themeShade="BF"/>
              <w:sz w:val="20"/>
              <w:szCs w:val="20"/>
            </w:rPr>
            <w:t>Teis</w:t>
          </w:r>
          <w:r>
            <w:rPr>
              <w:i/>
              <w:color w:val="323E4F" w:themeColor="text2" w:themeShade="BF"/>
              <w:sz w:val="20"/>
              <w:szCs w:val="20"/>
            </w:rPr>
            <w:t xml:space="preserve">mų praktikos </w:t>
          </w:r>
          <w:r w:rsidRPr="0021377E">
            <w:rPr>
              <w:i/>
              <w:color w:val="323E4F" w:themeColor="text2" w:themeShade="BF"/>
              <w:sz w:val="20"/>
              <w:szCs w:val="20"/>
            </w:rPr>
            <w:t>departamentas</w:t>
          </w:r>
          <w:r>
            <w:rPr>
              <w:i/>
              <w:color w:val="323E4F" w:themeColor="text2" w:themeShade="BF"/>
              <w:sz w:val="20"/>
              <w:szCs w:val="20"/>
            </w:rPr>
            <w:tab/>
          </w:r>
        </w:p>
      </w:tc>
      <w:tc>
        <w:tcPr>
          <w:tcW w:w="2409" w:type="dxa"/>
        </w:tcPr>
        <w:p w14:paraId="33C66408" w14:textId="77777777" w:rsidR="00F614AF" w:rsidRPr="0021377E" w:rsidRDefault="00F614AF" w:rsidP="00735B72">
          <w:pPr>
            <w:rPr>
              <w:color w:val="323E4F" w:themeColor="text2" w:themeShade="BF"/>
              <w:sz w:val="20"/>
              <w:szCs w:val="20"/>
            </w:rPr>
          </w:pPr>
          <w:r>
            <w:rPr>
              <w:color w:val="323E4F" w:themeColor="text2" w:themeShade="BF"/>
              <w:sz w:val="20"/>
              <w:szCs w:val="20"/>
            </w:rPr>
            <w:t>2019 01</w:t>
          </w:r>
          <w:r w:rsidRPr="0021377E">
            <w:rPr>
              <w:color w:val="323E4F" w:themeColor="text2" w:themeShade="BF"/>
              <w:sz w:val="20"/>
              <w:szCs w:val="20"/>
            </w:rPr>
            <w:t xml:space="preserve"> </w:t>
          </w:r>
          <w:r>
            <w:rPr>
              <w:color w:val="323E4F" w:themeColor="text2" w:themeShade="BF"/>
              <w:sz w:val="20"/>
              <w:szCs w:val="20"/>
            </w:rPr>
            <w:t>0</w:t>
          </w:r>
          <w:r w:rsidRPr="0021377E">
            <w:rPr>
              <w:color w:val="323E4F" w:themeColor="text2" w:themeShade="BF"/>
              <w:sz w:val="20"/>
              <w:szCs w:val="20"/>
            </w:rPr>
            <w:t>1–201</w:t>
          </w:r>
          <w:r>
            <w:rPr>
              <w:color w:val="323E4F" w:themeColor="text2" w:themeShade="BF"/>
              <w:sz w:val="20"/>
              <w:szCs w:val="20"/>
            </w:rPr>
            <w:t>9 04</w:t>
          </w:r>
          <w:r w:rsidRPr="0021377E">
            <w:rPr>
              <w:color w:val="323E4F" w:themeColor="text2" w:themeShade="BF"/>
              <w:sz w:val="20"/>
              <w:szCs w:val="20"/>
            </w:rPr>
            <w:t xml:space="preserve"> </w:t>
          </w:r>
          <w:r>
            <w:rPr>
              <w:color w:val="323E4F" w:themeColor="text2" w:themeShade="BF"/>
              <w:sz w:val="20"/>
              <w:szCs w:val="20"/>
            </w:rPr>
            <w:t>30</w:t>
          </w:r>
        </w:p>
      </w:tc>
    </w:tr>
  </w:tbl>
  <w:p w14:paraId="3E59BFEE" w14:textId="77777777" w:rsidR="00F614AF" w:rsidRDefault="00F614AF" w:rsidP="00736158">
    <w:pPr>
      <w:pStyle w:val="Antrats"/>
      <w:tabs>
        <w:tab w:val="clear" w:pos="4819"/>
        <w:tab w:val="clear" w:pos="9638"/>
        <w:tab w:val="left" w:pos="694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B521CF"/>
    <w:multiLevelType w:val="hybridMultilevel"/>
    <w:tmpl w:val="8C3C5990"/>
    <w:lvl w:ilvl="0" w:tplc="2CEA57EC">
      <w:start w:val="1"/>
      <w:numFmt w:val="decimal"/>
      <w:lvlText w:val="%1."/>
      <w:lvlJc w:val="left"/>
      <w:pPr>
        <w:ind w:left="388" w:hanging="360"/>
      </w:pPr>
      <w:rPr>
        <w:rFonts w:hint="default"/>
      </w:rPr>
    </w:lvl>
    <w:lvl w:ilvl="1" w:tplc="04270019" w:tentative="1">
      <w:start w:val="1"/>
      <w:numFmt w:val="lowerLetter"/>
      <w:lvlText w:val="%2."/>
      <w:lvlJc w:val="left"/>
      <w:pPr>
        <w:ind w:left="1108" w:hanging="360"/>
      </w:pPr>
    </w:lvl>
    <w:lvl w:ilvl="2" w:tplc="0427001B" w:tentative="1">
      <w:start w:val="1"/>
      <w:numFmt w:val="lowerRoman"/>
      <w:lvlText w:val="%3."/>
      <w:lvlJc w:val="right"/>
      <w:pPr>
        <w:ind w:left="1828" w:hanging="180"/>
      </w:pPr>
    </w:lvl>
    <w:lvl w:ilvl="3" w:tplc="0427000F" w:tentative="1">
      <w:start w:val="1"/>
      <w:numFmt w:val="decimal"/>
      <w:lvlText w:val="%4."/>
      <w:lvlJc w:val="left"/>
      <w:pPr>
        <w:ind w:left="2548" w:hanging="360"/>
      </w:pPr>
    </w:lvl>
    <w:lvl w:ilvl="4" w:tplc="04270019" w:tentative="1">
      <w:start w:val="1"/>
      <w:numFmt w:val="lowerLetter"/>
      <w:lvlText w:val="%5."/>
      <w:lvlJc w:val="left"/>
      <w:pPr>
        <w:ind w:left="3268" w:hanging="360"/>
      </w:pPr>
    </w:lvl>
    <w:lvl w:ilvl="5" w:tplc="0427001B" w:tentative="1">
      <w:start w:val="1"/>
      <w:numFmt w:val="lowerRoman"/>
      <w:lvlText w:val="%6."/>
      <w:lvlJc w:val="right"/>
      <w:pPr>
        <w:ind w:left="3988" w:hanging="180"/>
      </w:pPr>
    </w:lvl>
    <w:lvl w:ilvl="6" w:tplc="0427000F" w:tentative="1">
      <w:start w:val="1"/>
      <w:numFmt w:val="decimal"/>
      <w:lvlText w:val="%7."/>
      <w:lvlJc w:val="left"/>
      <w:pPr>
        <w:ind w:left="4708" w:hanging="360"/>
      </w:pPr>
    </w:lvl>
    <w:lvl w:ilvl="7" w:tplc="04270019" w:tentative="1">
      <w:start w:val="1"/>
      <w:numFmt w:val="lowerLetter"/>
      <w:lvlText w:val="%8."/>
      <w:lvlJc w:val="left"/>
      <w:pPr>
        <w:ind w:left="5428" w:hanging="360"/>
      </w:pPr>
    </w:lvl>
    <w:lvl w:ilvl="8" w:tplc="0427001B" w:tentative="1">
      <w:start w:val="1"/>
      <w:numFmt w:val="lowerRoman"/>
      <w:lvlText w:val="%9."/>
      <w:lvlJc w:val="right"/>
      <w:pPr>
        <w:ind w:left="6148" w:hanging="180"/>
      </w:pPr>
    </w:lvl>
  </w:abstractNum>
  <w:abstractNum w:abstractNumId="1" w15:restartNumberingAfterBreak="0">
    <w:nsid w:val="2510208F"/>
    <w:multiLevelType w:val="hybridMultilevel"/>
    <w:tmpl w:val="F14699EE"/>
    <w:lvl w:ilvl="0" w:tplc="7F6A8C90">
      <w:start w:val="1"/>
      <w:numFmt w:val="decimal"/>
      <w:lvlText w:val="%1."/>
      <w:lvlJc w:val="left"/>
      <w:pPr>
        <w:ind w:left="900" w:hanging="360"/>
      </w:pPr>
      <w:rPr>
        <w:rFonts w:hint="default"/>
      </w:rPr>
    </w:lvl>
    <w:lvl w:ilvl="1" w:tplc="04270019" w:tentative="1">
      <w:start w:val="1"/>
      <w:numFmt w:val="lowerLetter"/>
      <w:lvlText w:val="%2."/>
      <w:lvlJc w:val="left"/>
      <w:pPr>
        <w:ind w:left="1620" w:hanging="360"/>
      </w:pPr>
    </w:lvl>
    <w:lvl w:ilvl="2" w:tplc="0427001B" w:tentative="1">
      <w:start w:val="1"/>
      <w:numFmt w:val="lowerRoman"/>
      <w:lvlText w:val="%3."/>
      <w:lvlJc w:val="right"/>
      <w:pPr>
        <w:ind w:left="2340" w:hanging="180"/>
      </w:pPr>
    </w:lvl>
    <w:lvl w:ilvl="3" w:tplc="0427000F" w:tentative="1">
      <w:start w:val="1"/>
      <w:numFmt w:val="decimal"/>
      <w:lvlText w:val="%4."/>
      <w:lvlJc w:val="left"/>
      <w:pPr>
        <w:ind w:left="3060" w:hanging="360"/>
      </w:pPr>
    </w:lvl>
    <w:lvl w:ilvl="4" w:tplc="04270019" w:tentative="1">
      <w:start w:val="1"/>
      <w:numFmt w:val="lowerLetter"/>
      <w:lvlText w:val="%5."/>
      <w:lvlJc w:val="left"/>
      <w:pPr>
        <w:ind w:left="3780" w:hanging="360"/>
      </w:pPr>
    </w:lvl>
    <w:lvl w:ilvl="5" w:tplc="0427001B" w:tentative="1">
      <w:start w:val="1"/>
      <w:numFmt w:val="lowerRoman"/>
      <w:lvlText w:val="%6."/>
      <w:lvlJc w:val="right"/>
      <w:pPr>
        <w:ind w:left="4500" w:hanging="180"/>
      </w:pPr>
    </w:lvl>
    <w:lvl w:ilvl="6" w:tplc="0427000F" w:tentative="1">
      <w:start w:val="1"/>
      <w:numFmt w:val="decimal"/>
      <w:lvlText w:val="%7."/>
      <w:lvlJc w:val="left"/>
      <w:pPr>
        <w:ind w:left="5220" w:hanging="360"/>
      </w:pPr>
    </w:lvl>
    <w:lvl w:ilvl="7" w:tplc="04270019" w:tentative="1">
      <w:start w:val="1"/>
      <w:numFmt w:val="lowerLetter"/>
      <w:lvlText w:val="%8."/>
      <w:lvlJc w:val="left"/>
      <w:pPr>
        <w:ind w:left="5940" w:hanging="360"/>
      </w:pPr>
    </w:lvl>
    <w:lvl w:ilvl="8" w:tplc="0427001B" w:tentative="1">
      <w:start w:val="1"/>
      <w:numFmt w:val="lowerRoman"/>
      <w:lvlText w:val="%9."/>
      <w:lvlJc w:val="right"/>
      <w:pPr>
        <w:ind w:left="6660" w:hanging="180"/>
      </w:pPr>
    </w:lvl>
  </w:abstractNum>
  <w:abstractNum w:abstractNumId="2" w15:restartNumberingAfterBreak="0">
    <w:nsid w:val="61901736"/>
    <w:multiLevelType w:val="hybridMultilevel"/>
    <w:tmpl w:val="874AA110"/>
    <w:lvl w:ilvl="0" w:tplc="6E2611A0">
      <w:start w:val="1"/>
      <w:numFmt w:val="decimal"/>
      <w:lvlText w:val="%1."/>
      <w:lvlJc w:val="left"/>
      <w:pPr>
        <w:ind w:left="927" w:hanging="360"/>
      </w:pPr>
      <w:rPr>
        <w:rFonts w:hint="default"/>
        <w:b/>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3" w15:restartNumberingAfterBreak="0">
    <w:nsid w:val="6443344E"/>
    <w:multiLevelType w:val="hybridMultilevel"/>
    <w:tmpl w:val="D6609B80"/>
    <w:lvl w:ilvl="0" w:tplc="17161A92">
      <w:start w:val="2019"/>
      <w:numFmt w:val="bullet"/>
      <w:lvlText w:val="–"/>
      <w:lvlJc w:val="left"/>
      <w:pPr>
        <w:ind w:left="900" w:hanging="360"/>
      </w:pPr>
      <w:rPr>
        <w:rFonts w:ascii="Calibri" w:eastAsia="Times New Roman" w:hAnsi="Calibri" w:cs="Calibri" w:hint="default"/>
      </w:rPr>
    </w:lvl>
    <w:lvl w:ilvl="1" w:tplc="04270003" w:tentative="1">
      <w:start w:val="1"/>
      <w:numFmt w:val="bullet"/>
      <w:lvlText w:val="o"/>
      <w:lvlJc w:val="left"/>
      <w:pPr>
        <w:ind w:left="1620" w:hanging="360"/>
      </w:pPr>
      <w:rPr>
        <w:rFonts w:ascii="Courier New" w:hAnsi="Courier New" w:cs="Courier New" w:hint="default"/>
      </w:rPr>
    </w:lvl>
    <w:lvl w:ilvl="2" w:tplc="04270005" w:tentative="1">
      <w:start w:val="1"/>
      <w:numFmt w:val="bullet"/>
      <w:lvlText w:val=""/>
      <w:lvlJc w:val="left"/>
      <w:pPr>
        <w:ind w:left="2340" w:hanging="360"/>
      </w:pPr>
      <w:rPr>
        <w:rFonts w:ascii="Wingdings" w:hAnsi="Wingdings" w:hint="default"/>
      </w:rPr>
    </w:lvl>
    <w:lvl w:ilvl="3" w:tplc="04270001" w:tentative="1">
      <w:start w:val="1"/>
      <w:numFmt w:val="bullet"/>
      <w:lvlText w:val=""/>
      <w:lvlJc w:val="left"/>
      <w:pPr>
        <w:ind w:left="3060" w:hanging="360"/>
      </w:pPr>
      <w:rPr>
        <w:rFonts w:ascii="Symbol" w:hAnsi="Symbol" w:hint="default"/>
      </w:rPr>
    </w:lvl>
    <w:lvl w:ilvl="4" w:tplc="04270003" w:tentative="1">
      <w:start w:val="1"/>
      <w:numFmt w:val="bullet"/>
      <w:lvlText w:val="o"/>
      <w:lvlJc w:val="left"/>
      <w:pPr>
        <w:ind w:left="3780" w:hanging="360"/>
      </w:pPr>
      <w:rPr>
        <w:rFonts w:ascii="Courier New" w:hAnsi="Courier New" w:cs="Courier New" w:hint="default"/>
      </w:rPr>
    </w:lvl>
    <w:lvl w:ilvl="5" w:tplc="04270005" w:tentative="1">
      <w:start w:val="1"/>
      <w:numFmt w:val="bullet"/>
      <w:lvlText w:val=""/>
      <w:lvlJc w:val="left"/>
      <w:pPr>
        <w:ind w:left="4500" w:hanging="360"/>
      </w:pPr>
      <w:rPr>
        <w:rFonts w:ascii="Wingdings" w:hAnsi="Wingdings" w:hint="default"/>
      </w:rPr>
    </w:lvl>
    <w:lvl w:ilvl="6" w:tplc="04270001" w:tentative="1">
      <w:start w:val="1"/>
      <w:numFmt w:val="bullet"/>
      <w:lvlText w:val=""/>
      <w:lvlJc w:val="left"/>
      <w:pPr>
        <w:ind w:left="5220" w:hanging="360"/>
      </w:pPr>
      <w:rPr>
        <w:rFonts w:ascii="Symbol" w:hAnsi="Symbol" w:hint="default"/>
      </w:rPr>
    </w:lvl>
    <w:lvl w:ilvl="7" w:tplc="04270003" w:tentative="1">
      <w:start w:val="1"/>
      <w:numFmt w:val="bullet"/>
      <w:lvlText w:val="o"/>
      <w:lvlJc w:val="left"/>
      <w:pPr>
        <w:ind w:left="5940" w:hanging="360"/>
      </w:pPr>
      <w:rPr>
        <w:rFonts w:ascii="Courier New" w:hAnsi="Courier New" w:cs="Courier New" w:hint="default"/>
      </w:rPr>
    </w:lvl>
    <w:lvl w:ilvl="8" w:tplc="04270005" w:tentative="1">
      <w:start w:val="1"/>
      <w:numFmt w:val="bullet"/>
      <w:lvlText w:val=""/>
      <w:lvlJc w:val="left"/>
      <w:pPr>
        <w:ind w:left="666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8CD"/>
    <w:rsid w:val="000028CD"/>
    <w:rsid w:val="00007E39"/>
    <w:rsid w:val="00010C45"/>
    <w:rsid w:val="000226C0"/>
    <w:rsid w:val="00024262"/>
    <w:rsid w:val="00031A6D"/>
    <w:rsid w:val="000367E0"/>
    <w:rsid w:val="000501D2"/>
    <w:rsid w:val="00053458"/>
    <w:rsid w:val="000541E2"/>
    <w:rsid w:val="0006076F"/>
    <w:rsid w:val="000647E8"/>
    <w:rsid w:val="00066063"/>
    <w:rsid w:val="00067F84"/>
    <w:rsid w:val="000739DF"/>
    <w:rsid w:val="000825EB"/>
    <w:rsid w:val="00082C77"/>
    <w:rsid w:val="00085476"/>
    <w:rsid w:val="00090F42"/>
    <w:rsid w:val="000961C3"/>
    <w:rsid w:val="000A58AC"/>
    <w:rsid w:val="000B2004"/>
    <w:rsid w:val="000B4A92"/>
    <w:rsid w:val="000B546F"/>
    <w:rsid w:val="000B7303"/>
    <w:rsid w:val="000C2557"/>
    <w:rsid w:val="000C6092"/>
    <w:rsid w:val="000E30CB"/>
    <w:rsid w:val="000E4964"/>
    <w:rsid w:val="000F64EE"/>
    <w:rsid w:val="001069BA"/>
    <w:rsid w:val="00113E89"/>
    <w:rsid w:val="00116665"/>
    <w:rsid w:val="00117031"/>
    <w:rsid w:val="00125C26"/>
    <w:rsid w:val="00126D28"/>
    <w:rsid w:val="00133FF5"/>
    <w:rsid w:val="0013714D"/>
    <w:rsid w:val="001460CF"/>
    <w:rsid w:val="00150238"/>
    <w:rsid w:val="00160FC7"/>
    <w:rsid w:val="00162CAE"/>
    <w:rsid w:val="00167D11"/>
    <w:rsid w:val="001738B4"/>
    <w:rsid w:val="00176687"/>
    <w:rsid w:val="00180D5D"/>
    <w:rsid w:val="00186F58"/>
    <w:rsid w:val="00187885"/>
    <w:rsid w:val="001A347D"/>
    <w:rsid w:val="001B5613"/>
    <w:rsid w:val="001B57A7"/>
    <w:rsid w:val="001C4363"/>
    <w:rsid w:val="001C6C3E"/>
    <w:rsid w:val="001D1376"/>
    <w:rsid w:val="001D1BAB"/>
    <w:rsid w:val="001D3B64"/>
    <w:rsid w:val="001D6185"/>
    <w:rsid w:val="001F5624"/>
    <w:rsid w:val="002000A6"/>
    <w:rsid w:val="0020111A"/>
    <w:rsid w:val="00203B43"/>
    <w:rsid w:val="002103AD"/>
    <w:rsid w:val="00212842"/>
    <w:rsid w:val="0021623E"/>
    <w:rsid w:val="002303AE"/>
    <w:rsid w:val="00230D52"/>
    <w:rsid w:val="0024618F"/>
    <w:rsid w:val="00256E6C"/>
    <w:rsid w:val="002923A0"/>
    <w:rsid w:val="0029340F"/>
    <w:rsid w:val="002A1113"/>
    <w:rsid w:val="002A6D4C"/>
    <w:rsid w:val="002A798C"/>
    <w:rsid w:val="002B1F6B"/>
    <w:rsid w:val="002B5283"/>
    <w:rsid w:val="002C7B91"/>
    <w:rsid w:val="002D14AC"/>
    <w:rsid w:val="002D1F7A"/>
    <w:rsid w:val="002D3EA3"/>
    <w:rsid w:val="002D76E6"/>
    <w:rsid w:val="002E0510"/>
    <w:rsid w:val="002E52BD"/>
    <w:rsid w:val="002F09DA"/>
    <w:rsid w:val="002F2EB7"/>
    <w:rsid w:val="002F456B"/>
    <w:rsid w:val="00304ECD"/>
    <w:rsid w:val="00311AA2"/>
    <w:rsid w:val="003135AD"/>
    <w:rsid w:val="003137EE"/>
    <w:rsid w:val="00315553"/>
    <w:rsid w:val="0032027A"/>
    <w:rsid w:val="003265B1"/>
    <w:rsid w:val="0033208A"/>
    <w:rsid w:val="00332700"/>
    <w:rsid w:val="00344A7E"/>
    <w:rsid w:val="00345EAF"/>
    <w:rsid w:val="0035025B"/>
    <w:rsid w:val="003510B8"/>
    <w:rsid w:val="003550E7"/>
    <w:rsid w:val="0036339B"/>
    <w:rsid w:val="00366E04"/>
    <w:rsid w:val="00373473"/>
    <w:rsid w:val="00374A94"/>
    <w:rsid w:val="00397750"/>
    <w:rsid w:val="003A02CF"/>
    <w:rsid w:val="003A0DB4"/>
    <w:rsid w:val="003A6ECF"/>
    <w:rsid w:val="003B0EE7"/>
    <w:rsid w:val="003B151B"/>
    <w:rsid w:val="003B2280"/>
    <w:rsid w:val="003B7A20"/>
    <w:rsid w:val="003C2E76"/>
    <w:rsid w:val="003D1273"/>
    <w:rsid w:val="003E12DF"/>
    <w:rsid w:val="003E3F0F"/>
    <w:rsid w:val="003E4A33"/>
    <w:rsid w:val="003E5F38"/>
    <w:rsid w:val="003F03CD"/>
    <w:rsid w:val="003F04DC"/>
    <w:rsid w:val="003F2BE9"/>
    <w:rsid w:val="0040040C"/>
    <w:rsid w:val="00401F0B"/>
    <w:rsid w:val="00402183"/>
    <w:rsid w:val="004038EA"/>
    <w:rsid w:val="004108B2"/>
    <w:rsid w:val="00416E50"/>
    <w:rsid w:val="00426A8E"/>
    <w:rsid w:val="004374C6"/>
    <w:rsid w:val="00440561"/>
    <w:rsid w:val="004421E1"/>
    <w:rsid w:val="00445355"/>
    <w:rsid w:val="004554DB"/>
    <w:rsid w:val="0046437B"/>
    <w:rsid w:val="0047132C"/>
    <w:rsid w:val="00473E4A"/>
    <w:rsid w:val="0048280B"/>
    <w:rsid w:val="00485030"/>
    <w:rsid w:val="004A18FC"/>
    <w:rsid w:val="004A3D36"/>
    <w:rsid w:val="004A7D3F"/>
    <w:rsid w:val="004C6BE5"/>
    <w:rsid w:val="004D384D"/>
    <w:rsid w:val="004D471B"/>
    <w:rsid w:val="004E150E"/>
    <w:rsid w:val="004F118E"/>
    <w:rsid w:val="004F1C89"/>
    <w:rsid w:val="005071A7"/>
    <w:rsid w:val="00520A5A"/>
    <w:rsid w:val="0052243C"/>
    <w:rsid w:val="00523518"/>
    <w:rsid w:val="00527D0D"/>
    <w:rsid w:val="005330C1"/>
    <w:rsid w:val="00533408"/>
    <w:rsid w:val="00544500"/>
    <w:rsid w:val="0055387A"/>
    <w:rsid w:val="0056116D"/>
    <w:rsid w:val="005646F3"/>
    <w:rsid w:val="005726E6"/>
    <w:rsid w:val="005729FB"/>
    <w:rsid w:val="00575462"/>
    <w:rsid w:val="005826D2"/>
    <w:rsid w:val="00591B13"/>
    <w:rsid w:val="00591C56"/>
    <w:rsid w:val="00593AE3"/>
    <w:rsid w:val="005B0C2C"/>
    <w:rsid w:val="005B0DBF"/>
    <w:rsid w:val="005B263C"/>
    <w:rsid w:val="005B7A97"/>
    <w:rsid w:val="005C1696"/>
    <w:rsid w:val="005D1F3E"/>
    <w:rsid w:val="005E4196"/>
    <w:rsid w:val="005E5E25"/>
    <w:rsid w:val="005E7CA3"/>
    <w:rsid w:val="005F2F80"/>
    <w:rsid w:val="005F534F"/>
    <w:rsid w:val="005F61B1"/>
    <w:rsid w:val="00602A20"/>
    <w:rsid w:val="00610307"/>
    <w:rsid w:val="0061613B"/>
    <w:rsid w:val="00621F78"/>
    <w:rsid w:val="00632D46"/>
    <w:rsid w:val="006349F7"/>
    <w:rsid w:val="00637286"/>
    <w:rsid w:val="0064228E"/>
    <w:rsid w:val="00675DE8"/>
    <w:rsid w:val="00681E8B"/>
    <w:rsid w:val="00683D12"/>
    <w:rsid w:val="00686348"/>
    <w:rsid w:val="00687C29"/>
    <w:rsid w:val="00690E33"/>
    <w:rsid w:val="006936A4"/>
    <w:rsid w:val="006955A2"/>
    <w:rsid w:val="006961AD"/>
    <w:rsid w:val="00697BB5"/>
    <w:rsid w:val="006A3D0C"/>
    <w:rsid w:val="006A47DB"/>
    <w:rsid w:val="006B4794"/>
    <w:rsid w:val="006B6EDE"/>
    <w:rsid w:val="006C28D8"/>
    <w:rsid w:val="006D11BC"/>
    <w:rsid w:val="00706A41"/>
    <w:rsid w:val="007227E8"/>
    <w:rsid w:val="00735B72"/>
    <w:rsid w:val="00736158"/>
    <w:rsid w:val="00744C7F"/>
    <w:rsid w:val="007553E3"/>
    <w:rsid w:val="00755BD0"/>
    <w:rsid w:val="00774FF7"/>
    <w:rsid w:val="007769FF"/>
    <w:rsid w:val="00781985"/>
    <w:rsid w:val="00784AA1"/>
    <w:rsid w:val="007B54D1"/>
    <w:rsid w:val="007B6FCC"/>
    <w:rsid w:val="007C1244"/>
    <w:rsid w:val="007D42D4"/>
    <w:rsid w:val="007D6F1E"/>
    <w:rsid w:val="007D76D0"/>
    <w:rsid w:val="007F0F6B"/>
    <w:rsid w:val="007F1468"/>
    <w:rsid w:val="0080073B"/>
    <w:rsid w:val="00801AC0"/>
    <w:rsid w:val="00813294"/>
    <w:rsid w:val="00816162"/>
    <w:rsid w:val="00820129"/>
    <w:rsid w:val="0083092F"/>
    <w:rsid w:val="008347E1"/>
    <w:rsid w:val="00834833"/>
    <w:rsid w:val="00835617"/>
    <w:rsid w:val="0084081F"/>
    <w:rsid w:val="008448DC"/>
    <w:rsid w:val="008476C1"/>
    <w:rsid w:val="00854762"/>
    <w:rsid w:val="0085519E"/>
    <w:rsid w:val="00871155"/>
    <w:rsid w:val="00882528"/>
    <w:rsid w:val="00882925"/>
    <w:rsid w:val="008841A4"/>
    <w:rsid w:val="0089231F"/>
    <w:rsid w:val="008A5FB3"/>
    <w:rsid w:val="008B0B49"/>
    <w:rsid w:val="008B462A"/>
    <w:rsid w:val="008B58DB"/>
    <w:rsid w:val="008D2E78"/>
    <w:rsid w:val="008E0941"/>
    <w:rsid w:val="008E4394"/>
    <w:rsid w:val="008E44BD"/>
    <w:rsid w:val="008E4AE3"/>
    <w:rsid w:val="008E6DBD"/>
    <w:rsid w:val="0090692D"/>
    <w:rsid w:val="00911D7E"/>
    <w:rsid w:val="00913489"/>
    <w:rsid w:val="009137BE"/>
    <w:rsid w:val="00914E63"/>
    <w:rsid w:val="009259F2"/>
    <w:rsid w:val="009404BE"/>
    <w:rsid w:val="00943AF0"/>
    <w:rsid w:val="00944392"/>
    <w:rsid w:val="00947CAF"/>
    <w:rsid w:val="0095428C"/>
    <w:rsid w:val="00954C29"/>
    <w:rsid w:val="00955180"/>
    <w:rsid w:val="0095625B"/>
    <w:rsid w:val="009713FC"/>
    <w:rsid w:val="00972E19"/>
    <w:rsid w:val="00975371"/>
    <w:rsid w:val="00976D06"/>
    <w:rsid w:val="00982F80"/>
    <w:rsid w:val="00984AE0"/>
    <w:rsid w:val="00986131"/>
    <w:rsid w:val="00994C74"/>
    <w:rsid w:val="009A4D00"/>
    <w:rsid w:val="009A5424"/>
    <w:rsid w:val="009A5E79"/>
    <w:rsid w:val="009A6C89"/>
    <w:rsid w:val="009C0DCD"/>
    <w:rsid w:val="009C3BF3"/>
    <w:rsid w:val="009D7FC3"/>
    <w:rsid w:val="009E0ADD"/>
    <w:rsid w:val="009E64BC"/>
    <w:rsid w:val="009E6B36"/>
    <w:rsid w:val="009F70FE"/>
    <w:rsid w:val="00A04C9E"/>
    <w:rsid w:val="00A113A5"/>
    <w:rsid w:val="00A11AE7"/>
    <w:rsid w:val="00A17CA2"/>
    <w:rsid w:val="00A336BB"/>
    <w:rsid w:val="00A446DF"/>
    <w:rsid w:val="00A565AA"/>
    <w:rsid w:val="00A67979"/>
    <w:rsid w:val="00A737A9"/>
    <w:rsid w:val="00A755D7"/>
    <w:rsid w:val="00A81BB0"/>
    <w:rsid w:val="00A924DF"/>
    <w:rsid w:val="00A93883"/>
    <w:rsid w:val="00A965DB"/>
    <w:rsid w:val="00A96C90"/>
    <w:rsid w:val="00AA3729"/>
    <w:rsid w:val="00AC4B42"/>
    <w:rsid w:val="00AD0B10"/>
    <w:rsid w:val="00AD38B7"/>
    <w:rsid w:val="00AD5612"/>
    <w:rsid w:val="00AE0936"/>
    <w:rsid w:val="00AE620F"/>
    <w:rsid w:val="00AF0131"/>
    <w:rsid w:val="00AF1376"/>
    <w:rsid w:val="00AF3232"/>
    <w:rsid w:val="00AF39FD"/>
    <w:rsid w:val="00AF537D"/>
    <w:rsid w:val="00AF59BE"/>
    <w:rsid w:val="00B04ABC"/>
    <w:rsid w:val="00B11850"/>
    <w:rsid w:val="00B22BC0"/>
    <w:rsid w:val="00B30346"/>
    <w:rsid w:val="00B34191"/>
    <w:rsid w:val="00B45727"/>
    <w:rsid w:val="00B47BC3"/>
    <w:rsid w:val="00B54B15"/>
    <w:rsid w:val="00B56040"/>
    <w:rsid w:val="00B573D8"/>
    <w:rsid w:val="00B636F4"/>
    <w:rsid w:val="00B7117E"/>
    <w:rsid w:val="00B71D62"/>
    <w:rsid w:val="00B73272"/>
    <w:rsid w:val="00B83ABE"/>
    <w:rsid w:val="00B95198"/>
    <w:rsid w:val="00B97152"/>
    <w:rsid w:val="00BA23AC"/>
    <w:rsid w:val="00BA327A"/>
    <w:rsid w:val="00BA64BB"/>
    <w:rsid w:val="00BA762F"/>
    <w:rsid w:val="00BC218A"/>
    <w:rsid w:val="00BD2C54"/>
    <w:rsid w:val="00BE10B7"/>
    <w:rsid w:val="00BE2BC3"/>
    <w:rsid w:val="00BE3366"/>
    <w:rsid w:val="00BF36BC"/>
    <w:rsid w:val="00BF4A2C"/>
    <w:rsid w:val="00BF759C"/>
    <w:rsid w:val="00C0036F"/>
    <w:rsid w:val="00C117A3"/>
    <w:rsid w:val="00C15879"/>
    <w:rsid w:val="00C25267"/>
    <w:rsid w:val="00C27A77"/>
    <w:rsid w:val="00C310C7"/>
    <w:rsid w:val="00C32316"/>
    <w:rsid w:val="00C458D5"/>
    <w:rsid w:val="00C527C1"/>
    <w:rsid w:val="00C54C57"/>
    <w:rsid w:val="00C56385"/>
    <w:rsid w:val="00C75855"/>
    <w:rsid w:val="00C761B1"/>
    <w:rsid w:val="00C77EE2"/>
    <w:rsid w:val="00C808CA"/>
    <w:rsid w:val="00C8481B"/>
    <w:rsid w:val="00C87E7D"/>
    <w:rsid w:val="00C9440B"/>
    <w:rsid w:val="00CA6033"/>
    <w:rsid w:val="00CA6256"/>
    <w:rsid w:val="00CA6E81"/>
    <w:rsid w:val="00CA79D2"/>
    <w:rsid w:val="00CB316C"/>
    <w:rsid w:val="00CB3434"/>
    <w:rsid w:val="00CB3657"/>
    <w:rsid w:val="00CB42CF"/>
    <w:rsid w:val="00CB6EC1"/>
    <w:rsid w:val="00CC05C2"/>
    <w:rsid w:val="00CC2631"/>
    <w:rsid w:val="00CD2120"/>
    <w:rsid w:val="00CE06B5"/>
    <w:rsid w:val="00CE67D3"/>
    <w:rsid w:val="00CE6964"/>
    <w:rsid w:val="00CF4E1E"/>
    <w:rsid w:val="00D12072"/>
    <w:rsid w:val="00D16090"/>
    <w:rsid w:val="00D20E16"/>
    <w:rsid w:val="00D22202"/>
    <w:rsid w:val="00D22BFA"/>
    <w:rsid w:val="00D22EE4"/>
    <w:rsid w:val="00D24F92"/>
    <w:rsid w:val="00D25E4F"/>
    <w:rsid w:val="00D37A90"/>
    <w:rsid w:val="00D416CD"/>
    <w:rsid w:val="00D4302C"/>
    <w:rsid w:val="00D47A49"/>
    <w:rsid w:val="00D65A51"/>
    <w:rsid w:val="00D73CD6"/>
    <w:rsid w:val="00D76E46"/>
    <w:rsid w:val="00D92EDC"/>
    <w:rsid w:val="00D972E8"/>
    <w:rsid w:val="00DA1958"/>
    <w:rsid w:val="00DA7582"/>
    <w:rsid w:val="00DB0249"/>
    <w:rsid w:val="00DB0DEC"/>
    <w:rsid w:val="00DB1E9C"/>
    <w:rsid w:val="00DB28E0"/>
    <w:rsid w:val="00DB3BD3"/>
    <w:rsid w:val="00DC3149"/>
    <w:rsid w:val="00DD076F"/>
    <w:rsid w:val="00DD0F7C"/>
    <w:rsid w:val="00DD5AAC"/>
    <w:rsid w:val="00DE1666"/>
    <w:rsid w:val="00DF6261"/>
    <w:rsid w:val="00E00F16"/>
    <w:rsid w:val="00E018EF"/>
    <w:rsid w:val="00E04FA8"/>
    <w:rsid w:val="00E13DEA"/>
    <w:rsid w:val="00E16739"/>
    <w:rsid w:val="00E23270"/>
    <w:rsid w:val="00E32D5F"/>
    <w:rsid w:val="00E466E7"/>
    <w:rsid w:val="00E52F15"/>
    <w:rsid w:val="00E558AA"/>
    <w:rsid w:val="00E613EF"/>
    <w:rsid w:val="00E81FEB"/>
    <w:rsid w:val="00E86A18"/>
    <w:rsid w:val="00E90CCE"/>
    <w:rsid w:val="00E92F78"/>
    <w:rsid w:val="00EA78E0"/>
    <w:rsid w:val="00EB5439"/>
    <w:rsid w:val="00EC3D2B"/>
    <w:rsid w:val="00EC44EC"/>
    <w:rsid w:val="00EC6506"/>
    <w:rsid w:val="00ED51A1"/>
    <w:rsid w:val="00ED7C96"/>
    <w:rsid w:val="00ED7EFB"/>
    <w:rsid w:val="00EE0279"/>
    <w:rsid w:val="00EE45BB"/>
    <w:rsid w:val="00EF1D6A"/>
    <w:rsid w:val="00EF27B7"/>
    <w:rsid w:val="00EF6DF8"/>
    <w:rsid w:val="00EF7E2A"/>
    <w:rsid w:val="00F00199"/>
    <w:rsid w:val="00F02DEE"/>
    <w:rsid w:val="00F05D0C"/>
    <w:rsid w:val="00F13A97"/>
    <w:rsid w:val="00F14D50"/>
    <w:rsid w:val="00F17A8C"/>
    <w:rsid w:val="00F27628"/>
    <w:rsid w:val="00F3071C"/>
    <w:rsid w:val="00F403FC"/>
    <w:rsid w:val="00F42F3C"/>
    <w:rsid w:val="00F47029"/>
    <w:rsid w:val="00F52090"/>
    <w:rsid w:val="00F614AF"/>
    <w:rsid w:val="00F63F47"/>
    <w:rsid w:val="00F70A40"/>
    <w:rsid w:val="00F710BC"/>
    <w:rsid w:val="00F82F7A"/>
    <w:rsid w:val="00F86895"/>
    <w:rsid w:val="00FA3C13"/>
    <w:rsid w:val="00FA52E0"/>
    <w:rsid w:val="00FB0049"/>
    <w:rsid w:val="00FB03D6"/>
    <w:rsid w:val="00FB1885"/>
    <w:rsid w:val="00FB5CAA"/>
    <w:rsid w:val="00FB66A3"/>
    <w:rsid w:val="00FC2622"/>
    <w:rsid w:val="00FC5637"/>
    <w:rsid w:val="00FE29F8"/>
    <w:rsid w:val="00FF0853"/>
    <w:rsid w:val="00FF23A7"/>
    <w:rsid w:val="00FF3664"/>
    <w:rsid w:val="00FF446C"/>
    <w:rsid w:val="00FF6B34"/>
    <w:rsid w:val="00FF751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C89CB"/>
  <w15:chartTrackingRefBased/>
  <w15:docId w15:val="{A3867265-22DB-4866-B207-116583621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028CD"/>
    <w:pPr>
      <w:spacing w:after="0" w:line="240" w:lineRule="auto"/>
      <w:jc w:val="both"/>
    </w:pPr>
    <w:rPr>
      <w:rFonts w:ascii="Calibri" w:eastAsia="Calibri" w:hAnsi="Calibri" w:cs="Times New Roman"/>
    </w:rPr>
  </w:style>
  <w:style w:type="paragraph" w:styleId="Antrat1">
    <w:name w:val="heading 1"/>
    <w:basedOn w:val="prastasis"/>
    <w:next w:val="prastasis"/>
    <w:link w:val="Antrat1Diagrama"/>
    <w:qFormat/>
    <w:rsid w:val="00706A41"/>
    <w:pPr>
      <w:keepNext/>
      <w:keepLines/>
      <w:spacing w:before="240"/>
      <w:jc w:val="center"/>
      <w:outlineLvl w:val="0"/>
    </w:pPr>
    <w:rPr>
      <w:rFonts w:asciiTheme="minorHAnsi" w:eastAsiaTheme="majorEastAsia" w:hAnsiTheme="minorHAnsi" w:cstheme="majorBidi"/>
      <w:b/>
      <w:color w:val="323E4F" w:themeColor="text2" w:themeShade="BF"/>
      <w:szCs w:val="32"/>
    </w:rPr>
  </w:style>
  <w:style w:type="paragraph" w:styleId="Antrat2">
    <w:name w:val="heading 2"/>
    <w:basedOn w:val="prastasis"/>
    <w:next w:val="prastasis"/>
    <w:link w:val="Antrat2Diagrama"/>
    <w:qFormat/>
    <w:rsid w:val="000028CD"/>
    <w:pPr>
      <w:keepNext/>
      <w:jc w:val="center"/>
      <w:outlineLvl w:val="1"/>
    </w:pPr>
    <w:rPr>
      <w:rFonts w:asciiTheme="minorHAnsi" w:eastAsia="Times New Roman" w:hAnsiTheme="minorHAnsi"/>
      <w:b/>
      <w:bCs/>
      <w:iCs/>
      <w:szCs w:val="24"/>
      <w:lang w:eastAsia="lt-LT"/>
    </w:rPr>
  </w:style>
  <w:style w:type="paragraph" w:styleId="Antrat3">
    <w:name w:val="heading 3"/>
    <w:basedOn w:val="prastasis"/>
    <w:next w:val="prastasis"/>
    <w:link w:val="Antrat3Diagrama"/>
    <w:uiPriority w:val="9"/>
    <w:unhideWhenUsed/>
    <w:qFormat/>
    <w:rsid w:val="000028CD"/>
    <w:pPr>
      <w:keepNext/>
      <w:keepLines/>
      <w:tabs>
        <w:tab w:val="left" w:pos="567"/>
      </w:tabs>
      <w:ind w:firstLine="709"/>
      <w:outlineLvl w:val="2"/>
    </w:pPr>
    <w:rPr>
      <w:rFonts w:asciiTheme="minorHAnsi" w:eastAsiaTheme="majorEastAsia" w:hAnsiTheme="minorHAnsi" w:cstheme="majorBidi"/>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706A41"/>
    <w:rPr>
      <w:rFonts w:eastAsiaTheme="majorEastAsia" w:cstheme="majorBidi"/>
      <w:b/>
      <w:color w:val="323E4F" w:themeColor="text2" w:themeShade="BF"/>
      <w:szCs w:val="32"/>
    </w:rPr>
  </w:style>
  <w:style w:type="character" w:customStyle="1" w:styleId="Antrat2Diagrama">
    <w:name w:val="Antraštė 2 Diagrama"/>
    <w:basedOn w:val="Numatytasispastraiposriftas"/>
    <w:link w:val="Antrat2"/>
    <w:rsid w:val="000028CD"/>
    <w:rPr>
      <w:rFonts w:eastAsia="Times New Roman" w:cs="Times New Roman"/>
      <w:b/>
      <w:bCs/>
      <w:iCs/>
      <w:szCs w:val="24"/>
      <w:lang w:eastAsia="lt-LT"/>
    </w:rPr>
  </w:style>
  <w:style w:type="character" w:customStyle="1" w:styleId="Antrat3Diagrama">
    <w:name w:val="Antraštė 3 Diagrama"/>
    <w:basedOn w:val="Numatytasispastraiposriftas"/>
    <w:link w:val="Antrat3"/>
    <w:uiPriority w:val="9"/>
    <w:rsid w:val="000028CD"/>
    <w:rPr>
      <w:rFonts w:eastAsiaTheme="majorEastAsia" w:cstheme="majorBidi"/>
      <w:b/>
      <w:bCs/>
    </w:rPr>
  </w:style>
  <w:style w:type="character" w:styleId="Hipersaitas">
    <w:name w:val="Hyperlink"/>
    <w:uiPriority w:val="99"/>
    <w:unhideWhenUsed/>
    <w:rsid w:val="000028CD"/>
    <w:rPr>
      <w:color w:val="0000FF"/>
      <w:u w:val="single"/>
    </w:rPr>
  </w:style>
  <w:style w:type="paragraph" w:customStyle="1" w:styleId="c41dispositifintroduction">
    <w:name w:val="c41dispositifintroduction"/>
    <w:basedOn w:val="prastasis"/>
    <w:rsid w:val="000028CD"/>
    <w:pPr>
      <w:spacing w:before="100" w:beforeAutospacing="1" w:after="100" w:afterAutospacing="1"/>
      <w:ind w:firstLine="720"/>
      <w:jc w:val="left"/>
    </w:pPr>
    <w:rPr>
      <w:rFonts w:ascii="Times New Roman" w:eastAsia="Batang" w:hAnsi="Times New Roman"/>
      <w:sz w:val="24"/>
      <w:szCs w:val="24"/>
      <w:lang w:eastAsia="ko-KR" w:bidi="he-IL"/>
    </w:rPr>
  </w:style>
  <w:style w:type="paragraph" w:customStyle="1" w:styleId="NoSpacing1">
    <w:name w:val="No Spacing1"/>
    <w:link w:val="NoSpacingChar"/>
    <w:uiPriority w:val="99"/>
    <w:rsid w:val="000028CD"/>
    <w:pPr>
      <w:spacing w:after="0" w:line="240" w:lineRule="auto"/>
      <w:ind w:firstLine="720"/>
    </w:pPr>
    <w:rPr>
      <w:rFonts w:ascii="Calibri" w:eastAsia="Times New Roman" w:hAnsi="Calibri" w:cs="Times New Roman"/>
    </w:rPr>
  </w:style>
  <w:style w:type="character" w:customStyle="1" w:styleId="NoSpacingChar">
    <w:name w:val="No Spacing Char"/>
    <w:link w:val="NoSpacing1"/>
    <w:uiPriority w:val="99"/>
    <w:locked/>
    <w:rsid w:val="000028CD"/>
    <w:rPr>
      <w:rFonts w:ascii="Calibri" w:eastAsia="Times New Roman" w:hAnsi="Calibri" w:cs="Times New Roman"/>
    </w:rPr>
  </w:style>
  <w:style w:type="paragraph" w:styleId="Antrats">
    <w:name w:val="header"/>
    <w:basedOn w:val="prastasis"/>
    <w:link w:val="AntratsDiagrama"/>
    <w:uiPriority w:val="99"/>
    <w:unhideWhenUsed/>
    <w:rsid w:val="000028CD"/>
    <w:pPr>
      <w:tabs>
        <w:tab w:val="center" w:pos="4819"/>
        <w:tab w:val="right" w:pos="9638"/>
      </w:tabs>
    </w:pPr>
  </w:style>
  <w:style w:type="character" w:customStyle="1" w:styleId="AntratsDiagrama">
    <w:name w:val="Antraštės Diagrama"/>
    <w:basedOn w:val="Numatytasispastraiposriftas"/>
    <w:link w:val="Antrats"/>
    <w:uiPriority w:val="99"/>
    <w:rsid w:val="000028CD"/>
    <w:rPr>
      <w:rFonts w:ascii="Calibri" w:eastAsia="Calibri" w:hAnsi="Calibri" w:cs="Times New Roman"/>
    </w:rPr>
  </w:style>
  <w:style w:type="paragraph" w:styleId="Porat">
    <w:name w:val="footer"/>
    <w:basedOn w:val="prastasis"/>
    <w:link w:val="PoratDiagrama"/>
    <w:uiPriority w:val="99"/>
    <w:unhideWhenUsed/>
    <w:rsid w:val="000028CD"/>
    <w:pPr>
      <w:tabs>
        <w:tab w:val="center" w:pos="4819"/>
        <w:tab w:val="right" w:pos="9638"/>
      </w:tabs>
    </w:pPr>
  </w:style>
  <w:style w:type="character" w:customStyle="1" w:styleId="PoratDiagrama">
    <w:name w:val="Poraštė Diagrama"/>
    <w:basedOn w:val="Numatytasispastraiposriftas"/>
    <w:link w:val="Porat"/>
    <w:uiPriority w:val="99"/>
    <w:rsid w:val="000028CD"/>
    <w:rPr>
      <w:rFonts w:ascii="Calibri" w:eastAsia="Calibri" w:hAnsi="Calibri" w:cs="Times New Roman"/>
    </w:rPr>
  </w:style>
  <w:style w:type="paragraph" w:styleId="Turinioantrat">
    <w:name w:val="TOC Heading"/>
    <w:basedOn w:val="Antrat1"/>
    <w:next w:val="prastasis"/>
    <w:uiPriority w:val="39"/>
    <w:unhideWhenUsed/>
    <w:qFormat/>
    <w:rsid w:val="000028CD"/>
    <w:pPr>
      <w:spacing w:line="259" w:lineRule="auto"/>
      <w:jc w:val="left"/>
      <w:outlineLvl w:val="9"/>
    </w:pPr>
    <w:rPr>
      <w:lang w:eastAsia="lt-LT"/>
    </w:rPr>
  </w:style>
  <w:style w:type="paragraph" w:styleId="Turinys1">
    <w:name w:val="toc 1"/>
    <w:basedOn w:val="prastasis"/>
    <w:next w:val="prastasis"/>
    <w:autoRedefine/>
    <w:uiPriority w:val="39"/>
    <w:unhideWhenUsed/>
    <w:rsid w:val="000028CD"/>
    <w:pPr>
      <w:tabs>
        <w:tab w:val="right" w:leader="dot" w:pos="9628"/>
      </w:tabs>
      <w:spacing w:after="100"/>
    </w:pPr>
    <w:rPr>
      <w:rFonts w:eastAsia="Times New Roman"/>
      <w:b/>
      <w:bCs/>
      <w:noProof/>
      <w:color w:val="323E4F" w:themeColor="text2" w:themeShade="BF"/>
      <w:kern w:val="32"/>
      <w:lang w:eastAsia="lt-LT"/>
    </w:rPr>
  </w:style>
  <w:style w:type="paragraph" w:styleId="Turinys2">
    <w:name w:val="toc 2"/>
    <w:basedOn w:val="prastasis"/>
    <w:next w:val="prastasis"/>
    <w:autoRedefine/>
    <w:uiPriority w:val="39"/>
    <w:unhideWhenUsed/>
    <w:rsid w:val="00126D28"/>
    <w:pPr>
      <w:tabs>
        <w:tab w:val="right" w:leader="dot" w:pos="9628"/>
      </w:tabs>
      <w:spacing w:after="100"/>
      <w:ind w:left="220"/>
    </w:pPr>
    <w:rPr>
      <w:rFonts w:cstheme="minorHAnsi"/>
      <w:b/>
      <w:noProof/>
      <w:color w:val="44546A" w:themeColor="text2"/>
    </w:rPr>
  </w:style>
  <w:style w:type="paragraph" w:styleId="Turinys3">
    <w:name w:val="toc 3"/>
    <w:basedOn w:val="prastasis"/>
    <w:next w:val="prastasis"/>
    <w:autoRedefine/>
    <w:uiPriority w:val="39"/>
    <w:unhideWhenUsed/>
    <w:rsid w:val="000028CD"/>
    <w:pPr>
      <w:spacing w:after="100"/>
      <w:ind w:left="440"/>
    </w:pPr>
  </w:style>
  <w:style w:type="character" w:styleId="Perirtashipersaitas">
    <w:name w:val="FollowedHyperlink"/>
    <w:basedOn w:val="Numatytasispastraiposriftas"/>
    <w:uiPriority w:val="99"/>
    <w:semiHidden/>
    <w:unhideWhenUsed/>
    <w:rsid w:val="000028CD"/>
    <w:rPr>
      <w:color w:val="954F72" w:themeColor="followedHyperlink"/>
      <w:u w:val="single"/>
    </w:rPr>
  </w:style>
  <w:style w:type="character" w:styleId="Komentaronuoroda">
    <w:name w:val="annotation reference"/>
    <w:basedOn w:val="Numatytasispastraiposriftas"/>
    <w:uiPriority w:val="99"/>
    <w:semiHidden/>
    <w:unhideWhenUsed/>
    <w:rsid w:val="00A93883"/>
    <w:rPr>
      <w:sz w:val="16"/>
      <w:szCs w:val="16"/>
    </w:rPr>
  </w:style>
  <w:style w:type="paragraph" w:styleId="Komentarotekstas">
    <w:name w:val="annotation text"/>
    <w:basedOn w:val="prastasis"/>
    <w:link w:val="KomentarotekstasDiagrama"/>
    <w:uiPriority w:val="99"/>
    <w:semiHidden/>
    <w:unhideWhenUsed/>
    <w:rsid w:val="00A93883"/>
    <w:rPr>
      <w:sz w:val="20"/>
      <w:szCs w:val="20"/>
    </w:rPr>
  </w:style>
  <w:style w:type="character" w:customStyle="1" w:styleId="KomentarotekstasDiagrama">
    <w:name w:val="Komentaro tekstas Diagrama"/>
    <w:basedOn w:val="Numatytasispastraiposriftas"/>
    <w:link w:val="Komentarotekstas"/>
    <w:uiPriority w:val="99"/>
    <w:semiHidden/>
    <w:rsid w:val="00A93883"/>
    <w:rPr>
      <w:rFonts w:ascii="Calibri" w:eastAsia="Calibri" w:hAnsi="Calibri" w:cs="Times New Roman"/>
      <w:sz w:val="20"/>
      <w:szCs w:val="20"/>
    </w:rPr>
  </w:style>
  <w:style w:type="paragraph" w:styleId="Komentarotema">
    <w:name w:val="annotation subject"/>
    <w:basedOn w:val="Komentarotekstas"/>
    <w:next w:val="Komentarotekstas"/>
    <w:link w:val="KomentarotemaDiagrama"/>
    <w:uiPriority w:val="99"/>
    <w:semiHidden/>
    <w:unhideWhenUsed/>
    <w:rsid w:val="00A93883"/>
    <w:rPr>
      <w:b/>
      <w:bCs/>
    </w:rPr>
  </w:style>
  <w:style w:type="character" w:customStyle="1" w:styleId="KomentarotemaDiagrama">
    <w:name w:val="Komentaro tema Diagrama"/>
    <w:basedOn w:val="KomentarotekstasDiagrama"/>
    <w:link w:val="Komentarotema"/>
    <w:uiPriority w:val="99"/>
    <w:semiHidden/>
    <w:rsid w:val="00A93883"/>
    <w:rPr>
      <w:rFonts w:ascii="Calibri" w:eastAsia="Calibri" w:hAnsi="Calibri" w:cs="Times New Roman"/>
      <w:b/>
      <w:bCs/>
      <w:sz w:val="20"/>
      <w:szCs w:val="20"/>
    </w:rPr>
  </w:style>
  <w:style w:type="paragraph" w:styleId="Debesliotekstas">
    <w:name w:val="Balloon Text"/>
    <w:basedOn w:val="prastasis"/>
    <w:link w:val="DebesliotekstasDiagrama"/>
    <w:uiPriority w:val="99"/>
    <w:semiHidden/>
    <w:unhideWhenUsed/>
    <w:rsid w:val="00A93883"/>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A93883"/>
    <w:rPr>
      <w:rFonts w:ascii="Segoe UI" w:eastAsia="Calibri" w:hAnsi="Segoe UI" w:cs="Segoe UI"/>
      <w:sz w:val="18"/>
      <w:szCs w:val="18"/>
    </w:rPr>
  </w:style>
  <w:style w:type="paragraph" w:customStyle="1" w:styleId="c01pointnumerotealtn">
    <w:name w:val="c01pointnumerotealtn"/>
    <w:basedOn w:val="prastasis"/>
    <w:rsid w:val="00C32316"/>
    <w:pPr>
      <w:spacing w:before="100" w:beforeAutospacing="1" w:after="240"/>
      <w:ind w:left="567" w:hanging="539"/>
    </w:pPr>
    <w:rPr>
      <w:rFonts w:ascii="Times New Roman" w:eastAsia="Times New Roman" w:hAnsi="Times New Roman"/>
      <w:sz w:val="24"/>
      <w:szCs w:val="24"/>
      <w:lang w:eastAsia="lt-LT"/>
    </w:rPr>
  </w:style>
  <w:style w:type="paragraph" w:styleId="Puslapioinaostekstas">
    <w:name w:val="footnote text"/>
    <w:basedOn w:val="prastasis"/>
    <w:link w:val="PuslapioinaostekstasDiagrama"/>
    <w:semiHidden/>
    <w:unhideWhenUsed/>
    <w:rsid w:val="009C3BF3"/>
    <w:rPr>
      <w:sz w:val="20"/>
      <w:szCs w:val="20"/>
    </w:rPr>
  </w:style>
  <w:style w:type="character" w:customStyle="1" w:styleId="PuslapioinaostekstasDiagrama">
    <w:name w:val="Puslapio išnašos tekstas Diagrama"/>
    <w:basedOn w:val="Numatytasispastraiposriftas"/>
    <w:link w:val="Puslapioinaostekstas"/>
    <w:uiPriority w:val="99"/>
    <w:semiHidden/>
    <w:rsid w:val="009C3BF3"/>
    <w:rPr>
      <w:rFonts w:ascii="Calibri" w:eastAsia="Calibri" w:hAnsi="Calibri" w:cs="Times New Roman"/>
      <w:sz w:val="20"/>
      <w:szCs w:val="20"/>
    </w:rPr>
  </w:style>
  <w:style w:type="character" w:styleId="Puslapioinaosnuoroda">
    <w:name w:val="footnote reference"/>
    <w:basedOn w:val="Numatytasispastraiposriftas"/>
    <w:semiHidden/>
    <w:unhideWhenUsed/>
    <w:rsid w:val="009C3BF3"/>
    <w:rPr>
      <w:vertAlign w:val="superscript"/>
    </w:rPr>
  </w:style>
  <w:style w:type="paragraph" w:styleId="Sraopastraipa">
    <w:name w:val="List Paragraph"/>
    <w:basedOn w:val="prastasis"/>
    <w:uiPriority w:val="34"/>
    <w:qFormat/>
    <w:rsid w:val="0033208A"/>
    <w:pPr>
      <w:ind w:left="720"/>
      <w:contextualSpacing/>
    </w:pPr>
  </w:style>
  <w:style w:type="character" w:customStyle="1" w:styleId="Neapdorotaspaminjimas1">
    <w:name w:val="Neapdorotas paminėjimas1"/>
    <w:basedOn w:val="Numatytasispastraiposriftas"/>
    <w:uiPriority w:val="99"/>
    <w:semiHidden/>
    <w:unhideWhenUsed/>
    <w:rsid w:val="001502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784627">
      <w:bodyDiv w:val="1"/>
      <w:marLeft w:val="0"/>
      <w:marRight w:val="0"/>
      <w:marTop w:val="0"/>
      <w:marBottom w:val="0"/>
      <w:divBdr>
        <w:top w:val="none" w:sz="0" w:space="0" w:color="auto"/>
        <w:left w:val="none" w:sz="0" w:space="0" w:color="auto"/>
        <w:bottom w:val="none" w:sz="0" w:space="0" w:color="auto"/>
        <w:right w:val="none" w:sz="0" w:space="0" w:color="auto"/>
      </w:divBdr>
      <w:divsChild>
        <w:div w:id="525144919">
          <w:marLeft w:val="0"/>
          <w:marRight w:val="0"/>
          <w:marTop w:val="0"/>
          <w:marBottom w:val="0"/>
          <w:divBdr>
            <w:top w:val="none" w:sz="0" w:space="0" w:color="auto"/>
            <w:left w:val="none" w:sz="0" w:space="0" w:color="auto"/>
            <w:bottom w:val="none" w:sz="0" w:space="0" w:color="auto"/>
            <w:right w:val="none" w:sz="0" w:space="0" w:color="auto"/>
          </w:divBdr>
          <w:divsChild>
            <w:div w:id="1139155888">
              <w:marLeft w:val="0"/>
              <w:marRight w:val="0"/>
              <w:marTop w:val="0"/>
              <w:marBottom w:val="0"/>
              <w:divBdr>
                <w:top w:val="none" w:sz="0" w:space="0" w:color="auto"/>
                <w:left w:val="none" w:sz="0" w:space="0" w:color="auto"/>
                <w:bottom w:val="none" w:sz="0" w:space="0" w:color="auto"/>
                <w:right w:val="none" w:sz="0" w:space="0" w:color="auto"/>
              </w:divBdr>
              <w:divsChild>
                <w:div w:id="325405987">
                  <w:marLeft w:val="0"/>
                  <w:marRight w:val="0"/>
                  <w:marTop w:val="0"/>
                  <w:marBottom w:val="0"/>
                  <w:divBdr>
                    <w:top w:val="none" w:sz="0" w:space="0" w:color="auto"/>
                    <w:left w:val="none" w:sz="0" w:space="0" w:color="auto"/>
                    <w:bottom w:val="none" w:sz="0" w:space="0" w:color="auto"/>
                    <w:right w:val="none" w:sz="0" w:space="0" w:color="auto"/>
                  </w:divBdr>
                  <w:divsChild>
                    <w:div w:id="7864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240898">
      <w:bodyDiv w:val="1"/>
      <w:marLeft w:val="0"/>
      <w:marRight w:val="0"/>
      <w:marTop w:val="0"/>
      <w:marBottom w:val="0"/>
      <w:divBdr>
        <w:top w:val="none" w:sz="0" w:space="0" w:color="auto"/>
        <w:left w:val="none" w:sz="0" w:space="0" w:color="auto"/>
        <w:bottom w:val="none" w:sz="0" w:space="0" w:color="auto"/>
        <w:right w:val="none" w:sz="0" w:space="0" w:color="auto"/>
      </w:divBdr>
    </w:div>
    <w:div w:id="564684489">
      <w:bodyDiv w:val="1"/>
      <w:marLeft w:val="0"/>
      <w:marRight w:val="0"/>
      <w:marTop w:val="0"/>
      <w:marBottom w:val="0"/>
      <w:divBdr>
        <w:top w:val="none" w:sz="0" w:space="0" w:color="auto"/>
        <w:left w:val="none" w:sz="0" w:space="0" w:color="auto"/>
        <w:bottom w:val="none" w:sz="0" w:space="0" w:color="auto"/>
        <w:right w:val="none" w:sz="0" w:space="0" w:color="auto"/>
      </w:divBdr>
    </w:div>
    <w:div w:id="659894173">
      <w:bodyDiv w:val="1"/>
      <w:marLeft w:val="0"/>
      <w:marRight w:val="0"/>
      <w:marTop w:val="0"/>
      <w:marBottom w:val="0"/>
      <w:divBdr>
        <w:top w:val="none" w:sz="0" w:space="0" w:color="auto"/>
        <w:left w:val="none" w:sz="0" w:space="0" w:color="auto"/>
        <w:bottom w:val="none" w:sz="0" w:space="0" w:color="auto"/>
        <w:right w:val="none" w:sz="0" w:space="0" w:color="auto"/>
      </w:divBdr>
    </w:div>
    <w:div w:id="765728824">
      <w:bodyDiv w:val="1"/>
      <w:marLeft w:val="0"/>
      <w:marRight w:val="0"/>
      <w:marTop w:val="0"/>
      <w:marBottom w:val="0"/>
      <w:divBdr>
        <w:top w:val="none" w:sz="0" w:space="0" w:color="auto"/>
        <w:left w:val="none" w:sz="0" w:space="0" w:color="auto"/>
        <w:bottom w:val="none" w:sz="0" w:space="0" w:color="auto"/>
        <w:right w:val="none" w:sz="0" w:space="0" w:color="auto"/>
      </w:divBdr>
    </w:div>
    <w:div w:id="1046300932">
      <w:bodyDiv w:val="1"/>
      <w:marLeft w:val="0"/>
      <w:marRight w:val="0"/>
      <w:marTop w:val="0"/>
      <w:marBottom w:val="0"/>
      <w:divBdr>
        <w:top w:val="none" w:sz="0" w:space="0" w:color="auto"/>
        <w:left w:val="none" w:sz="0" w:space="0" w:color="auto"/>
        <w:bottom w:val="none" w:sz="0" w:space="0" w:color="auto"/>
        <w:right w:val="none" w:sz="0" w:space="0" w:color="auto"/>
      </w:divBdr>
    </w:div>
    <w:div w:id="1237789845">
      <w:bodyDiv w:val="1"/>
      <w:marLeft w:val="0"/>
      <w:marRight w:val="0"/>
      <w:marTop w:val="0"/>
      <w:marBottom w:val="0"/>
      <w:divBdr>
        <w:top w:val="none" w:sz="0" w:space="0" w:color="auto"/>
        <w:left w:val="none" w:sz="0" w:space="0" w:color="auto"/>
        <w:bottom w:val="none" w:sz="0" w:space="0" w:color="auto"/>
        <w:right w:val="none" w:sz="0" w:space="0" w:color="auto"/>
      </w:divBdr>
    </w:div>
    <w:div w:id="1436049740">
      <w:bodyDiv w:val="1"/>
      <w:marLeft w:val="0"/>
      <w:marRight w:val="0"/>
      <w:marTop w:val="0"/>
      <w:marBottom w:val="0"/>
      <w:divBdr>
        <w:top w:val="none" w:sz="0" w:space="0" w:color="auto"/>
        <w:left w:val="none" w:sz="0" w:space="0" w:color="auto"/>
        <w:bottom w:val="none" w:sz="0" w:space="0" w:color="auto"/>
        <w:right w:val="none" w:sz="0" w:space="0" w:color="auto"/>
      </w:divBdr>
    </w:div>
    <w:div w:id="1702512669">
      <w:bodyDiv w:val="1"/>
      <w:marLeft w:val="0"/>
      <w:marRight w:val="0"/>
      <w:marTop w:val="0"/>
      <w:marBottom w:val="0"/>
      <w:divBdr>
        <w:top w:val="none" w:sz="0" w:space="0" w:color="auto"/>
        <w:left w:val="none" w:sz="0" w:space="0" w:color="auto"/>
        <w:bottom w:val="none" w:sz="0" w:space="0" w:color="auto"/>
        <w:right w:val="none" w:sz="0" w:space="0" w:color="auto"/>
      </w:divBdr>
    </w:div>
    <w:div w:id="1854301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curia.europa.eu/juris/document/document.jsf?docid=210073&amp;mode=req&amp;pageIndex=1&amp;dir=&amp;occ=first&amp;part=1&amp;text=&amp;doclang=LT&amp;cid=2350538" TargetMode="External"/><Relationship Id="rId18" Type="http://schemas.openxmlformats.org/officeDocument/2006/relationships/hyperlink" Target="http://curia.europa.eu/juris/document/document.jsf;jsessionid=DCD56F147F8D328F9ECC03F622F6CB87?text=&amp;docid=212325&amp;pageIndex=0&amp;doclang=LT&amp;mode=lst&amp;dir=&amp;occ=first&amp;part=1&amp;cid=3283461"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curia.europa.eu/juris/document/document.jsf?text=&amp;docid=209847&amp;pageIndex=0&amp;doclang=LT&amp;mode=lst&amp;dir=&amp;occ=first&amp;part=1&amp;cid=8677722" TargetMode="External"/><Relationship Id="rId7" Type="http://schemas.openxmlformats.org/officeDocument/2006/relationships/endnotes" Target="endnotes.xml"/><Relationship Id="rId12" Type="http://schemas.openxmlformats.org/officeDocument/2006/relationships/hyperlink" Target="http://curia.europa.eu/juris/document/document.jsf?text=&amp;docid=212226&amp;pageIndex=0&amp;doclang=lt&amp;mode=lst&amp;dir=&amp;occ=first&amp;part=1&amp;cid=5794719" TargetMode="External"/><Relationship Id="rId17" Type="http://schemas.openxmlformats.org/officeDocument/2006/relationships/hyperlink" Target="http://curia.europa.eu/juris/document/document.jsf;jsessionid=02C10F4B796733AAE6CC91C1BD1A982E?text=&amp;docid=211182&amp;pageIndex=0&amp;doclang=LT&amp;mode=lst&amp;dir=&amp;occ=first&amp;part=1&amp;cid=8676993"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curia.europa.eu/juris/document/document.jsf?text=&amp;docid=210769&amp;pageIndex=0&amp;doclang=LT&amp;mode=lst&amp;dir=&amp;occ=first&amp;part=1&amp;cid=8677457" TargetMode="External"/><Relationship Id="rId20" Type="http://schemas.openxmlformats.org/officeDocument/2006/relationships/hyperlink" Target="http://curia.europa.eu/juris/document/document.jsf?text=&amp;docid=212911&amp;pageIndex=0&amp;doclang=LT&amp;mode=lst&amp;dir=&amp;occ=first&amp;part=1&amp;cid=328314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uria.europa.eu/juris/document/document.jsf?text=&amp;docid=211803&amp;pageIndex=0&amp;doclang=LT&amp;mode=lst&amp;dir=&amp;occ=first&amp;part=1&amp;cid=504280" TargetMode="External"/><Relationship Id="rId24" Type="http://schemas.openxmlformats.org/officeDocument/2006/relationships/hyperlink" Target="http://curia.europa.eu/juris/document/document.jsf?text=&amp;docid=211050&amp;pageIndex=0&amp;doclang=lt&amp;mode=lst&amp;dir=&amp;occ=first&amp;part=1&amp;cid=5338834" TargetMode="External"/><Relationship Id="rId5" Type="http://schemas.openxmlformats.org/officeDocument/2006/relationships/webSettings" Target="webSettings.xml"/><Relationship Id="rId15" Type="http://schemas.openxmlformats.org/officeDocument/2006/relationships/hyperlink" Target="http://curia.europa.eu/juris/document/document.jsf?text=&amp;docid=210561&amp;pageIndex=0&amp;doclang=LT&amp;mode=lst&amp;dir=&amp;occ=first&amp;part=1&amp;cid=2356008&amp;fbclid=IwAR2iGkK0k26Y9DRkn5V5_Ttq3Q0ZKmptpuobc4yEQ3ADlhNAgwaoWZu_rK4" TargetMode="External"/><Relationship Id="rId23" Type="http://schemas.openxmlformats.org/officeDocument/2006/relationships/hyperlink" Target="http://curia.europa.eu/juris/document/document.jsf?text=&amp;docid=211561&amp;pageIndex=0&amp;doclang=lt&amp;mode=lst&amp;dir=&amp;occ=first&amp;part=1&amp;cid=5837833" TargetMode="External"/><Relationship Id="rId28" Type="http://schemas.openxmlformats.org/officeDocument/2006/relationships/theme" Target="theme/theme1.xml"/><Relationship Id="rId10" Type="http://schemas.openxmlformats.org/officeDocument/2006/relationships/hyperlink" Target="http://eur-lex.europa.eu/" TargetMode="External"/><Relationship Id="rId19" Type="http://schemas.openxmlformats.org/officeDocument/2006/relationships/hyperlink" Target="http://curia.europa.eu/juris/document/document.jsf;jsessionid=4663E86A27D0C9F7A6D2B9CCDAADE374?text=&amp;docid=212904&amp;pageIndex=0&amp;doclang=LT&amp;mode=lst&amp;dir=&amp;occ=first&amp;part=1&amp;cid=3282580" TargetMode="External"/><Relationship Id="rId4" Type="http://schemas.openxmlformats.org/officeDocument/2006/relationships/settings" Target="settings.xml"/><Relationship Id="rId9" Type="http://schemas.openxmlformats.org/officeDocument/2006/relationships/hyperlink" Target="http://curia.europa.eu/" TargetMode="External"/><Relationship Id="rId14" Type="http://schemas.openxmlformats.org/officeDocument/2006/relationships/hyperlink" Target="http://curia.europa.eu/juris/document/document.jsf?text=&amp;docid=210563&amp;pageIndex=0&amp;doclang=LT&amp;mode=lst&amp;dir=&amp;occ=first&amp;part=1&amp;cid=2355871" TargetMode="External"/><Relationship Id="rId22" Type="http://schemas.openxmlformats.org/officeDocument/2006/relationships/hyperlink" Target="http://curia.europa.eu/juris/document/document.jsf?text=&amp;docid=210766&amp;pageIndex=0&amp;doclang=LT&amp;mode=lst&amp;dir=&amp;occ=first&amp;part=1&amp;cid=2291685" TargetMode="External"/><Relationship Id="rId27"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1935E5-C533-43F2-A37D-63D879A14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40</Pages>
  <Words>28404</Words>
  <Characters>161907</Characters>
  <Application>Microsoft Office Word</Application>
  <DocSecurity>0</DocSecurity>
  <Lines>1349</Lines>
  <Paragraphs>379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Eimantė Šilvaitė</dc:creator>
  <cp:keywords/>
  <dc:description/>
  <cp:lastModifiedBy>Jurga Marcinkevičiūtė</cp:lastModifiedBy>
  <cp:revision>3</cp:revision>
  <dcterms:created xsi:type="dcterms:W3CDTF">2019-07-19T06:20:00Z</dcterms:created>
  <dcterms:modified xsi:type="dcterms:W3CDTF">2019-07-19T06:21:00Z</dcterms:modified>
</cp:coreProperties>
</file>