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2FA91" w14:textId="7F2F4437" w:rsidR="000028CD" w:rsidRPr="00B943CA" w:rsidRDefault="000028CD" w:rsidP="00AD0B10">
      <w:pPr>
        <w:pStyle w:val="NoSpacing1"/>
        <w:ind w:firstLine="0"/>
        <w:jc w:val="center"/>
        <w:rPr>
          <w:rFonts w:asciiTheme="minorHAnsi" w:hAnsiTheme="minorHAnsi" w:cstheme="minorHAnsi"/>
        </w:rPr>
      </w:pPr>
    </w:p>
    <w:p w14:paraId="53590118" w14:textId="31BADAA7" w:rsidR="00672231" w:rsidRPr="00B943CA" w:rsidRDefault="00672231" w:rsidP="00AD0B10">
      <w:pPr>
        <w:pStyle w:val="NoSpacing1"/>
        <w:ind w:firstLine="0"/>
        <w:jc w:val="center"/>
        <w:rPr>
          <w:rFonts w:asciiTheme="minorHAnsi" w:hAnsiTheme="minorHAnsi" w:cstheme="minorHAnsi"/>
        </w:rPr>
      </w:pPr>
    </w:p>
    <w:p w14:paraId="6862FAE7" w14:textId="38405FA3" w:rsidR="00672231" w:rsidRPr="00B943CA" w:rsidRDefault="00672231" w:rsidP="00AD0B10">
      <w:pPr>
        <w:pStyle w:val="NoSpacing1"/>
        <w:ind w:firstLine="0"/>
        <w:jc w:val="center"/>
        <w:rPr>
          <w:rFonts w:asciiTheme="minorHAnsi" w:hAnsiTheme="minorHAnsi" w:cstheme="minorHAnsi"/>
        </w:rPr>
      </w:pPr>
    </w:p>
    <w:p w14:paraId="18A1C363" w14:textId="10D17845" w:rsidR="00672231" w:rsidRPr="00B943CA" w:rsidRDefault="00672231" w:rsidP="00AD0B10">
      <w:pPr>
        <w:pStyle w:val="NoSpacing1"/>
        <w:ind w:firstLine="0"/>
        <w:jc w:val="center"/>
        <w:rPr>
          <w:rFonts w:asciiTheme="minorHAnsi" w:hAnsiTheme="minorHAnsi" w:cstheme="minorHAnsi"/>
        </w:rPr>
      </w:pPr>
    </w:p>
    <w:p w14:paraId="4EFFB799" w14:textId="43333BD4" w:rsidR="00672231" w:rsidRPr="00B943CA" w:rsidRDefault="00672231" w:rsidP="00AD0B10">
      <w:pPr>
        <w:pStyle w:val="NoSpacing1"/>
        <w:ind w:firstLine="0"/>
        <w:jc w:val="center"/>
        <w:rPr>
          <w:rFonts w:asciiTheme="minorHAnsi" w:hAnsiTheme="minorHAnsi" w:cstheme="minorHAnsi"/>
        </w:rPr>
      </w:pPr>
    </w:p>
    <w:p w14:paraId="1F8B064A" w14:textId="337D094B" w:rsidR="00672231" w:rsidRPr="00B943CA" w:rsidRDefault="00672231" w:rsidP="00AD0B10">
      <w:pPr>
        <w:pStyle w:val="NoSpacing1"/>
        <w:ind w:firstLine="0"/>
        <w:jc w:val="center"/>
        <w:rPr>
          <w:rFonts w:asciiTheme="minorHAnsi" w:hAnsiTheme="minorHAnsi" w:cstheme="minorHAnsi"/>
        </w:rPr>
      </w:pPr>
    </w:p>
    <w:p w14:paraId="5EDA55DD" w14:textId="791CF465" w:rsidR="00672231" w:rsidRPr="00B943CA" w:rsidRDefault="00672231" w:rsidP="00AD0B10">
      <w:pPr>
        <w:pStyle w:val="NoSpacing1"/>
        <w:ind w:firstLine="0"/>
        <w:jc w:val="center"/>
        <w:rPr>
          <w:rFonts w:asciiTheme="minorHAnsi" w:hAnsiTheme="minorHAnsi" w:cstheme="minorHAnsi"/>
        </w:rPr>
      </w:pPr>
    </w:p>
    <w:p w14:paraId="66D8C338" w14:textId="24C6375A" w:rsidR="00672231" w:rsidRPr="00B943CA" w:rsidRDefault="00672231" w:rsidP="00AD0B10">
      <w:pPr>
        <w:pStyle w:val="NoSpacing1"/>
        <w:ind w:firstLine="0"/>
        <w:jc w:val="center"/>
        <w:rPr>
          <w:rFonts w:asciiTheme="minorHAnsi" w:hAnsiTheme="minorHAnsi" w:cstheme="minorHAnsi"/>
        </w:rPr>
      </w:pPr>
    </w:p>
    <w:p w14:paraId="634642C6" w14:textId="77777777" w:rsidR="00672231" w:rsidRPr="00B943CA" w:rsidRDefault="00672231" w:rsidP="00AD0B10">
      <w:pPr>
        <w:pStyle w:val="NoSpacing1"/>
        <w:ind w:firstLine="0"/>
        <w:jc w:val="center"/>
        <w:rPr>
          <w:rFonts w:asciiTheme="minorHAnsi" w:hAnsiTheme="minorHAnsi" w:cstheme="minorHAnsi"/>
        </w:rPr>
      </w:pPr>
    </w:p>
    <w:p w14:paraId="0D636BD7" w14:textId="77777777" w:rsidR="000028CD" w:rsidRPr="00B943CA" w:rsidRDefault="000028CD" w:rsidP="00AD0B10">
      <w:pPr>
        <w:pStyle w:val="NoSpacing1"/>
        <w:ind w:firstLine="0"/>
        <w:jc w:val="center"/>
        <w:rPr>
          <w:rFonts w:asciiTheme="minorHAnsi" w:hAnsiTheme="minorHAnsi" w:cstheme="minorHAnsi"/>
        </w:rPr>
      </w:pPr>
      <w:r w:rsidRPr="00B943CA">
        <w:rPr>
          <w:rFonts w:asciiTheme="minorHAnsi" w:hAnsiTheme="minorHAnsi" w:cstheme="minorHAnsi"/>
          <w:noProof/>
          <w:lang w:eastAsia="en-GB"/>
        </w:rPr>
        <w:drawing>
          <wp:inline distT="0" distB="0" distL="0" distR="0" wp14:anchorId="06AB0AE5" wp14:editId="6ACD94C2">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3A2CBE72" w14:textId="77777777" w:rsidR="000028CD" w:rsidRPr="00B943CA" w:rsidRDefault="000028CD" w:rsidP="00AD0B10">
      <w:pPr>
        <w:pStyle w:val="NoSpacing1"/>
        <w:ind w:firstLine="0"/>
        <w:jc w:val="center"/>
        <w:rPr>
          <w:rFonts w:asciiTheme="minorHAnsi" w:hAnsiTheme="minorHAnsi" w:cstheme="minorHAnsi"/>
        </w:rPr>
      </w:pPr>
    </w:p>
    <w:p w14:paraId="6192DCC0" w14:textId="77777777" w:rsidR="000028CD" w:rsidRPr="00B943CA" w:rsidRDefault="000028CD" w:rsidP="00AD0B10">
      <w:pPr>
        <w:pStyle w:val="NoSpacing1"/>
        <w:ind w:firstLine="0"/>
        <w:jc w:val="center"/>
        <w:rPr>
          <w:rFonts w:asciiTheme="minorHAnsi" w:hAnsiTheme="minorHAnsi" w:cstheme="minorHAnsi"/>
        </w:rPr>
      </w:pPr>
    </w:p>
    <w:p w14:paraId="5A2B9A93" w14:textId="77777777" w:rsidR="000028CD" w:rsidRPr="00B943CA" w:rsidRDefault="000028CD" w:rsidP="00AD0B10">
      <w:pPr>
        <w:pStyle w:val="NoSpacing1"/>
        <w:ind w:firstLine="0"/>
        <w:jc w:val="center"/>
        <w:rPr>
          <w:rFonts w:asciiTheme="minorHAnsi" w:hAnsiTheme="minorHAnsi" w:cstheme="minorHAnsi"/>
        </w:rPr>
      </w:pPr>
    </w:p>
    <w:p w14:paraId="55D5D7A9" w14:textId="77777777" w:rsidR="000028CD" w:rsidRPr="00B943CA" w:rsidRDefault="000028CD" w:rsidP="00AD0B10">
      <w:pPr>
        <w:pStyle w:val="NoSpacing1"/>
        <w:ind w:firstLine="0"/>
        <w:jc w:val="center"/>
        <w:rPr>
          <w:rFonts w:asciiTheme="minorHAnsi" w:hAnsiTheme="minorHAnsi" w:cstheme="minorHAnsi"/>
        </w:rPr>
      </w:pPr>
    </w:p>
    <w:p w14:paraId="07BF5B92" w14:textId="77777777" w:rsidR="000028CD" w:rsidRPr="00B943CA" w:rsidRDefault="000028CD" w:rsidP="00AD0B10">
      <w:pPr>
        <w:pStyle w:val="NoSpacing1"/>
        <w:ind w:firstLine="0"/>
        <w:jc w:val="center"/>
        <w:rPr>
          <w:rFonts w:asciiTheme="minorHAnsi" w:hAnsiTheme="minorHAnsi" w:cstheme="minorHAnsi"/>
        </w:rPr>
      </w:pPr>
    </w:p>
    <w:p w14:paraId="5328961A" w14:textId="77777777" w:rsidR="000028CD" w:rsidRPr="00B943CA" w:rsidRDefault="000028CD" w:rsidP="00AD0B10">
      <w:pPr>
        <w:pStyle w:val="NoSpacing1"/>
        <w:ind w:firstLine="0"/>
        <w:jc w:val="center"/>
        <w:rPr>
          <w:rFonts w:asciiTheme="minorHAnsi" w:hAnsiTheme="minorHAnsi" w:cstheme="minorHAnsi"/>
        </w:rPr>
      </w:pPr>
    </w:p>
    <w:p w14:paraId="571347C6" w14:textId="77777777" w:rsidR="000028CD" w:rsidRPr="00B943CA" w:rsidRDefault="000028CD" w:rsidP="00AD0B10">
      <w:pPr>
        <w:pStyle w:val="NoSpacing1"/>
        <w:ind w:firstLine="0"/>
        <w:jc w:val="center"/>
        <w:rPr>
          <w:rFonts w:asciiTheme="minorHAnsi" w:hAnsiTheme="minorHAnsi" w:cstheme="minorHAnsi"/>
        </w:rPr>
      </w:pPr>
    </w:p>
    <w:p w14:paraId="19B55917" w14:textId="77777777" w:rsidR="000028CD" w:rsidRPr="00B943CA" w:rsidRDefault="000028CD" w:rsidP="00AD0B10">
      <w:pPr>
        <w:pStyle w:val="NoSpacing1"/>
        <w:ind w:firstLine="0"/>
        <w:jc w:val="center"/>
        <w:rPr>
          <w:rFonts w:asciiTheme="minorHAnsi" w:hAnsiTheme="minorHAnsi" w:cstheme="minorHAnsi"/>
        </w:rPr>
      </w:pPr>
      <w:r w:rsidRPr="00B943CA">
        <w:rPr>
          <w:rFonts w:asciiTheme="minorHAnsi" w:hAnsiTheme="minorHAnsi" w:cstheme="minorHAnsi"/>
          <w:noProof/>
          <w:lang w:eastAsia="en-GB"/>
        </w:rPr>
        <mc:AlternateContent>
          <mc:Choice Requires="wps">
            <w:drawing>
              <wp:anchor distT="0" distB="0" distL="114300" distR="114300" simplePos="0" relativeHeight="251660288" behindDoc="0" locked="0" layoutInCell="0" allowOverlap="1" wp14:anchorId="6BD0BEB3" wp14:editId="4230CC58">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224FE1EA"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" o:allowincell="f" fillcolor="#365f91" strokecolor="#31849b">
                <w10:wrap anchorx="page" anchory="page"/>
              </v:rect>
            </w:pict>
          </mc:Fallback>
        </mc:AlternateContent>
      </w:r>
      <w:r w:rsidRPr="00B943CA">
        <w:rPr>
          <w:rFonts w:asciiTheme="minorHAnsi" w:hAnsiTheme="minorHAnsi" w:cstheme="minorHAnsi"/>
          <w:noProof/>
          <w:lang w:eastAsia="en-GB"/>
        </w:rPr>
        <mc:AlternateContent>
          <mc:Choice Requires="wps">
            <w:drawing>
              <wp:anchor distT="0" distB="0" distL="114300" distR="114300" simplePos="0" relativeHeight="251659264" behindDoc="0" locked="0" layoutInCell="0" allowOverlap="1" wp14:anchorId="651C146C" wp14:editId="014865E1">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67F75BA3"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" o:allowincell="f" fillcolor="#365f91" strokecolor="#17365d">
                <w10:wrap anchorx="page" anchory="page"/>
              </v:rect>
            </w:pict>
          </mc:Fallback>
        </mc:AlternateContent>
      </w:r>
      <w:r w:rsidRPr="00B943CA">
        <w:rPr>
          <w:rFonts w:asciiTheme="minorHAnsi" w:hAnsiTheme="minorHAnsi" w:cstheme="minorHAnsi"/>
          <w:noProof/>
          <w:lang w:eastAsia="en-GB"/>
        </w:rPr>
        <mc:AlternateContent>
          <mc:Choice Requires="wps">
            <w:drawing>
              <wp:anchor distT="0" distB="0" distL="114300" distR="114300" simplePos="0" relativeHeight="251662336" behindDoc="0" locked="0" layoutInCell="0" allowOverlap="1" wp14:anchorId="517918C4" wp14:editId="2DB8019B">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4D95609A"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" o:allowincell="f" strokecolor="#17365d">
                <w10:wrap anchorx="page" anchory="page"/>
              </v:rect>
            </w:pict>
          </mc:Fallback>
        </mc:AlternateContent>
      </w:r>
      <w:r w:rsidRPr="00B943CA">
        <w:rPr>
          <w:rFonts w:asciiTheme="minorHAnsi" w:hAnsiTheme="minorHAnsi" w:cstheme="minorHAnsi"/>
          <w:noProof/>
          <w:lang w:eastAsia="en-GB"/>
        </w:rPr>
        <mc:AlternateContent>
          <mc:Choice Requires="wps">
            <w:drawing>
              <wp:anchor distT="0" distB="0" distL="114300" distR="114300" simplePos="0" relativeHeight="251661312" behindDoc="0" locked="0" layoutInCell="0" allowOverlap="1" wp14:anchorId="0722538E" wp14:editId="4AEC238F">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6CA687F2"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" o:allowincell="f" strokecolor="#17365d">
                <w10:wrap anchorx="page" anchory="page"/>
              </v:rect>
            </w:pict>
          </mc:Fallback>
        </mc:AlternateContent>
      </w:r>
    </w:p>
    <w:p w14:paraId="5D2778E2" w14:textId="77777777" w:rsidR="000028CD" w:rsidRPr="009A7C9C" w:rsidRDefault="000028CD" w:rsidP="00AD0B10">
      <w:pPr>
        <w:pStyle w:val="NoSpacing1"/>
        <w:ind w:firstLine="0"/>
        <w:jc w:val="center"/>
        <w:rPr>
          <w:rFonts w:asciiTheme="minorHAnsi" w:hAnsiTheme="minorHAnsi" w:cstheme="minorHAnsi"/>
          <w:smallCaps/>
          <w:sz w:val="52"/>
          <w:szCs w:val="52"/>
        </w:rPr>
      </w:pPr>
      <w:r w:rsidRPr="009A7C9C">
        <w:rPr>
          <w:rFonts w:asciiTheme="minorHAnsi" w:hAnsiTheme="minorHAnsi" w:cstheme="minorHAnsi"/>
          <w:smallCaps/>
          <w:sz w:val="52"/>
          <w:szCs w:val="52"/>
        </w:rPr>
        <w:t xml:space="preserve">Europos Sąjungos Teisingumo Teismo </w:t>
      </w:r>
    </w:p>
    <w:p w14:paraId="4E55526A" w14:textId="77777777" w:rsidR="000028CD" w:rsidRPr="009A7C9C" w:rsidRDefault="000028CD" w:rsidP="00AD0B10">
      <w:pPr>
        <w:pStyle w:val="NoSpacing1"/>
        <w:ind w:firstLine="0"/>
        <w:jc w:val="center"/>
        <w:rPr>
          <w:rFonts w:asciiTheme="minorHAnsi" w:hAnsiTheme="minorHAnsi" w:cstheme="minorHAnsi"/>
          <w:smallCaps/>
          <w:sz w:val="52"/>
          <w:szCs w:val="52"/>
        </w:rPr>
      </w:pPr>
      <w:r w:rsidRPr="009A7C9C">
        <w:rPr>
          <w:rFonts w:asciiTheme="minorHAnsi" w:hAnsiTheme="minorHAnsi" w:cstheme="minorHAnsi"/>
          <w:smallCaps/>
          <w:sz w:val="52"/>
          <w:szCs w:val="52"/>
        </w:rPr>
        <w:t>praktikos apžvalga</w:t>
      </w:r>
    </w:p>
    <w:p w14:paraId="3A477DF5" w14:textId="4A8E900E" w:rsidR="000028CD" w:rsidRPr="009A7C9C" w:rsidRDefault="0051438A" w:rsidP="0051438A">
      <w:pPr>
        <w:pStyle w:val="NoSpacing1"/>
        <w:tabs>
          <w:tab w:val="left" w:pos="1848"/>
          <w:tab w:val="center" w:pos="4819"/>
        </w:tabs>
        <w:ind w:firstLine="0"/>
        <w:rPr>
          <w:rFonts w:asciiTheme="minorHAnsi" w:hAnsiTheme="minorHAnsi" w:cstheme="minorHAnsi"/>
          <w:b/>
          <w:smallCaps/>
          <w:sz w:val="32"/>
          <w:szCs w:val="32"/>
          <w:u w:val="single"/>
        </w:rPr>
      </w:pPr>
      <w:r w:rsidRPr="00B943CA">
        <w:rPr>
          <w:rFonts w:asciiTheme="minorHAnsi" w:hAnsiTheme="minorHAnsi" w:cstheme="minorHAnsi"/>
          <w:b/>
          <w:smallCaps/>
        </w:rPr>
        <w:tab/>
      </w:r>
      <w:r w:rsidRPr="00B943CA">
        <w:rPr>
          <w:rFonts w:asciiTheme="minorHAnsi" w:hAnsiTheme="minorHAnsi" w:cstheme="minorHAnsi"/>
          <w:b/>
          <w:smallCaps/>
        </w:rPr>
        <w:tab/>
      </w:r>
      <w:r w:rsidR="00735B72" w:rsidRPr="009A7C9C">
        <w:rPr>
          <w:rFonts w:asciiTheme="minorHAnsi" w:hAnsiTheme="minorHAnsi" w:cstheme="minorHAnsi"/>
          <w:b/>
          <w:smallCaps/>
          <w:sz w:val="32"/>
          <w:szCs w:val="32"/>
          <w:u w:val="single"/>
        </w:rPr>
        <w:t>20</w:t>
      </w:r>
      <w:r w:rsidR="005A7A21" w:rsidRPr="009A7C9C">
        <w:rPr>
          <w:rFonts w:asciiTheme="minorHAnsi" w:hAnsiTheme="minorHAnsi" w:cstheme="minorHAnsi"/>
          <w:b/>
          <w:smallCaps/>
          <w:sz w:val="32"/>
          <w:szCs w:val="32"/>
          <w:u w:val="single"/>
        </w:rPr>
        <w:t>20</w:t>
      </w:r>
      <w:r w:rsidR="000028CD" w:rsidRPr="009A7C9C">
        <w:rPr>
          <w:rFonts w:asciiTheme="minorHAnsi" w:hAnsiTheme="minorHAnsi" w:cstheme="minorHAnsi"/>
          <w:b/>
          <w:smallCaps/>
          <w:sz w:val="32"/>
          <w:szCs w:val="32"/>
          <w:u w:val="single"/>
        </w:rPr>
        <w:t xml:space="preserve"> m. </w:t>
      </w:r>
      <w:r w:rsidR="003713B7" w:rsidRPr="009A7C9C">
        <w:rPr>
          <w:rFonts w:asciiTheme="minorHAnsi" w:hAnsiTheme="minorHAnsi" w:cstheme="minorHAnsi"/>
          <w:b/>
          <w:smallCaps/>
          <w:sz w:val="32"/>
          <w:szCs w:val="32"/>
          <w:u w:val="single"/>
        </w:rPr>
        <w:t>rugsėjo</w:t>
      </w:r>
      <w:r w:rsidR="00ED7C96" w:rsidRPr="009A7C9C">
        <w:rPr>
          <w:rFonts w:asciiTheme="minorHAnsi" w:hAnsiTheme="minorHAnsi" w:cstheme="minorHAnsi"/>
          <w:b/>
          <w:smallCaps/>
          <w:sz w:val="32"/>
          <w:szCs w:val="32"/>
          <w:u w:val="single"/>
        </w:rPr>
        <w:t xml:space="preserve"> 1 d.–20</w:t>
      </w:r>
      <w:r w:rsidR="005A7A21" w:rsidRPr="009A7C9C">
        <w:rPr>
          <w:rFonts w:asciiTheme="minorHAnsi" w:hAnsiTheme="minorHAnsi" w:cstheme="minorHAnsi"/>
          <w:b/>
          <w:smallCaps/>
          <w:sz w:val="32"/>
          <w:szCs w:val="32"/>
          <w:u w:val="single"/>
        </w:rPr>
        <w:t>20</w:t>
      </w:r>
      <w:r w:rsidR="000028CD" w:rsidRPr="009A7C9C">
        <w:rPr>
          <w:rFonts w:asciiTheme="minorHAnsi" w:hAnsiTheme="minorHAnsi" w:cstheme="minorHAnsi"/>
          <w:b/>
          <w:smallCaps/>
          <w:sz w:val="32"/>
          <w:szCs w:val="32"/>
          <w:u w:val="single"/>
        </w:rPr>
        <w:t xml:space="preserve"> m. </w:t>
      </w:r>
      <w:r w:rsidR="003713B7" w:rsidRPr="009A7C9C">
        <w:rPr>
          <w:rFonts w:asciiTheme="minorHAnsi" w:hAnsiTheme="minorHAnsi" w:cstheme="minorHAnsi"/>
          <w:b/>
          <w:smallCaps/>
          <w:sz w:val="32"/>
          <w:szCs w:val="32"/>
          <w:u w:val="single"/>
        </w:rPr>
        <w:t>gruodžio</w:t>
      </w:r>
      <w:r w:rsidR="000028CD" w:rsidRPr="009A7C9C">
        <w:rPr>
          <w:rFonts w:asciiTheme="minorHAnsi" w:hAnsiTheme="minorHAnsi" w:cstheme="minorHAnsi"/>
          <w:b/>
          <w:smallCaps/>
          <w:sz w:val="32"/>
          <w:szCs w:val="32"/>
          <w:u w:val="single"/>
        </w:rPr>
        <w:t xml:space="preserve"> 3</w:t>
      </w:r>
      <w:r w:rsidR="00320B72" w:rsidRPr="009A7C9C">
        <w:rPr>
          <w:rFonts w:asciiTheme="minorHAnsi" w:hAnsiTheme="minorHAnsi" w:cstheme="minorHAnsi"/>
          <w:b/>
          <w:smallCaps/>
          <w:sz w:val="32"/>
          <w:szCs w:val="32"/>
          <w:u w:val="single"/>
        </w:rPr>
        <w:t>1</w:t>
      </w:r>
      <w:r w:rsidR="000028CD" w:rsidRPr="009A7C9C">
        <w:rPr>
          <w:rFonts w:asciiTheme="minorHAnsi" w:hAnsiTheme="minorHAnsi" w:cstheme="minorHAnsi"/>
          <w:b/>
          <w:smallCaps/>
          <w:sz w:val="32"/>
          <w:szCs w:val="32"/>
          <w:u w:val="single"/>
        </w:rPr>
        <w:t xml:space="preserve"> d.</w:t>
      </w:r>
    </w:p>
    <w:p w14:paraId="63B7E47D" w14:textId="77777777" w:rsidR="000028CD" w:rsidRPr="00B943CA" w:rsidRDefault="000028CD" w:rsidP="00AD0B10">
      <w:pPr>
        <w:jc w:val="center"/>
        <w:rPr>
          <w:rFonts w:asciiTheme="minorHAnsi" w:hAnsiTheme="minorHAnsi" w:cstheme="minorHAnsi"/>
          <w:b/>
          <w:smallCaps/>
        </w:rPr>
      </w:pPr>
    </w:p>
    <w:p w14:paraId="20C56A00" w14:textId="77777777" w:rsidR="000028CD" w:rsidRPr="00B943CA" w:rsidRDefault="000028CD" w:rsidP="00AD0B10">
      <w:pPr>
        <w:jc w:val="center"/>
        <w:rPr>
          <w:rFonts w:asciiTheme="minorHAnsi" w:hAnsiTheme="minorHAnsi" w:cstheme="minorHAnsi"/>
          <w:b/>
          <w:smallCaps/>
        </w:rPr>
      </w:pPr>
    </w:p>
    <w:p w14:paraId="50804CA1" w14:textId="77777777" w:rsidR="000028CD" w:rsidRPr="00B943CA" w:rsidRDefault="000028CD" w:rsidP="00AD0B10">
      <w:pPr>
        <w:jc w:val="center"/>
        <w:rPr>
          <w:rFonts w:asciiTheme="minorHAnsi" w:hAnsiTheme="minorHAnsi" w:cstheme="minorHAnsi"/>
          <w:b/>
          <w:smallCaps/>
        </w:rPr>
      </w:pPr>
    </w:p>
    <w:p w14:paraId="65089307" w14:textId="77777777" w:rsidR="000028CD" w:rsidRPr="00B943CA" w:rsidRDefault="000028CD" w:rsidP="00AD0B10">
      <w:pPr>
        <w:jc w:val="center"/>
        <w:rPr>
          <w:rFonts w:asciiTheme="minorHAnsi" w:hAnsiTheme="minorHAnsi" w:cstheme="minorHAnsi"/>
          <w:b/>
          <w:smallCaps/>
        </w:rPr>
      </w:pPr>
    </w:p>
    <w:p w14:paraId="443950E3" w14:textId="77777777" w:rsidR="000028CD" w:rsidRPr="00B943CA" w:rsidRDefault="000028CD" w:rsidP="00AD0B10">
      <w:pPr>
        <w:jc w:val="center"/>
        <w:rPr>
          <w:rFonts w:asciiTheme="minorHAnsi" w:hAnsiTheme="minorHAnsi" w:cstheme="minorHAnsi"/>
          <w:b/>
          <w:smallCaps/>
        </w:rPr>
      </w:pPr>
    </w:p>
    <w:p w14:paraId="65E0EFA7" w14:textId="77777777" w:rsidR="000028CD" w:rsidRPr="00B943CA" w:rsidRDefault="000028CD" w:rsidP="00AD0B10">
      <w:pPr>
        <w:jc w:val="center"/>
        <w:rPr>
          <w:rFonts w:asciiTheme="minorHAnsi" w:hAnsiTheme="minorHAnsi" w:cstheme="minorHAnsi"/>
          <w:b/>
          <w:smallCaps/>
        </w:rPr>
      </w:pPr>
    </w:p>
    <w:p w14:paraId="0156B5AF" w14:textId="77777777" w:rsidR="000028CD" w:rsidRPr="00B943CA" w:rsidRDefault="000028CD" w:rsidP="00AD0B10">
      <w:pPr>
        <w:jc w:val="center"/>
        <w:rPr>
          <w:rFonts w:asciiTheme="minorHAnsi" w:hAnsiTheme="minorHAnsi" w:cstheme="minorHAnsi"/>
          <w:b/>
          <w:smallCaps/>
        </w:rPr>
      </w:pPr>
    </w:p>
    <w:p w14:paraId="7684B025" w14:textId="77777777" w:rsidR="000028CD" w:rsidRPr="00B943CA" w:rsidRDefault="000028CD" w:rsidP="00AD0B10">
      <w:pPr>
        <w:jc w:val="center"/>
        <w:rPr>
          <w:rFonts w:asciiTheme="minorHAnsi" w:hAnsiTheme="minorHAnsi" w:cstheme="minorHAnsi"/>
          <w:b/>
          <w:smallCaps/>
        </w:rPr>
      </w:pPr>
    </w:p>
    <w:p w14:paraId="5B6676C6" w14:textId="77777777" w:rsidR="000028CD" w:rsidRPr="00B943CA" w:rsidRDefault="000028CD" w:rsidP="00AD0B10">
      <w:pPr>
        <w:jc w:val="center"/>
        <w:rPr>
          <w:rFonts w:asciiTheme="minorHAnsi" w:hAnsiTheme="minorHAnsi" w:cstheme="minorHAnsi"/>
          <w:b/>
          <w:smallCaps/>
        </w:rPr>
      </w:pPr>
    </w:p>
    <w:p w14:paraId="04E76E90" w14:textId="77777777" w:rsidR="000028CD" w:rsidRPr="00B943CA" w:rsidRDefault="000028CD" w:rsidP="00AD0B10">
      <w:pPr>
        <w:jc w:val="center"/>
        <w:rPr>
          <w:rFonts w:asciiTheme="minorHAnsi" w:hAnsiTheme="minorHAnsi" w:cstheme="minorHAnsi"/>
          <w:b/>
          <w:smallCaps/>
        </w:rPr>
      </w:pPr>
    </w:p>
    <w:p w14:paraId="54C0E3CE" w14:textId="77777777" w:rsidR="000028CD" w:rsidRPr="00B943CA" w:rsidRDefault="000028CD" w:rsidP="00AD0B10">
      <w:pPr>
        <w:jc w:val="center"/>
        <w:rPr>
          <w:rFonts w:asciiTheme="minorHAnsi" w:hAnsiTheme="minorHAnsi" w:cstheme="minorHAnsi"/>
          <w:b/>
          <w:smallCaps/>
        </w:rPr>
      </w:pPr>
    </w:p>
    <w:p w14:paraId="06F033A6" w14:textId="77777777" w:rsidR="000028CD" w:rsidRPr="00B943CA" w:rsidRDefault="000028CD" w:rsidP="00AD0B10">
      <w:pPr>
        <w:jc w:val="center"/>
        <w:rPr>
          <w:rFonts w:asciiTheme="minorHAnsi" w:hAnsiTheme="minorHAnsi" w:cstheme="minorHAnsi"/>
          <w:b/>
          <w:smallCaps/>
        </w:rPr>
      </w:pPr>
    </w:p>
    <w:p w14:paraId="47FA2AAA" w14:textId="77777777" w:rsidR="000028CD" w:rsidRPr="00B943CA" w:rsidRDefault="000028CD" w:rsidP="00AD0B10">
      <w:pPr>
        <w:jc w:val="center"/>
        <w:rPr>
          <w:rFonts w:asciiTheme="minorHAnsi" w:hAnsiTheme="minorHAnsi" w:cstheme="minorHAnsi"/>
          <w:b/>
          <w:smallCaps/>
        </w:rPr>
      </w:pPr>
    </w:p>
    <w:p w14:paraId="6343A0E9" w14:textId="77777777" w:rsidR="000028CD" w:rsidRPr="009A7C9C" w:rsidRDefault="000028CD" w:rsidP="00AD0B10">
      <w:pPr>
        <w:jc w:val="center"/>
        <w:rPr>
          <w:rFonts w:asciiTheme="minorHAnsi" w:hAnsiTheme="minorHAnsi" w:cstheme="minorHAnsi"/>
          <w:b/>
          <w:smallCaps/>
          <w:sz w:val="28"/>
          <w:szCs w:val="28"/>
        </w:rPr>
      </w:pPr>
      <w:r w:rsidRPr="009A7C9C">
        <w:rPr>
          <w:rFonts w:asciiTheme="minorHAnsi" w:hAnsiTheme="minorHAnsi" w:cstheme="minorHAnsi"/>
          <w:b/>
          <w:smallCaps/>
          <w:sz w:val="28"/>
          <w:szCs w:val="28"/>
        </w:rPr>
        <w:t xml:space="preserve">Apžvalgą parengė </w:t>
      </w:r>
    </w:p>
    <w:p w14:paraId="3480ECBA" w14:textId="77777777" w:rsidR="000028CD" w:rsidRPr="009A7C9C" w:rsidRDefault="000028CD" w:rsidP="00AD0B10">
      <w:pPr>
        <w:jc w:val="center"/>
        <w:rPr>
          <w:rFonts w:asciiTheme="minorHAnsi" w:hAnsiTheme="minorHAnsi" w:cstheme="minorHAnsi"/>
          <w:b/>
          <w:smallCaps/>
          <w:sz w:val="28"/>
          <w:szCs w:val="28"/>
        </w:rPr>
      </w:pPr>
      <w:r w:rsidRPr="009A7C9C">
        <w:rPr>
          <w:rFonts w:asciiTheme="minorHAnsi" w:hAnsiTheme="minorHAnsi" w:cstheme="minorHAnsi"/>
          <w:b/>
          <w:smallCaps/>
          <w:sz w:val="28"/>
          <w:szCs w:val="28"/>
        </w:rPr>
        <w:t xml:space="preserve">Lietuvos vyriausiojo administracinio teismo </w:t>
      </w:r>
    </w:p>
    <w:p w14:paraId="51066C7E" w14:textId="77777777" w:rsidR="000028CD" w:rsidRPr="00B943CA" w:rsidRDefault="000028CD" w:rsidP="00AD0B10">
      <w:pPr>
        <w:jc w:val="center"/>
        <w:rPr>
          <w:rFonts w:asciiTheme="minorHAnsi" w:hAnsiTheme="minorHAnsi" w:cstheme="minorHAnsi"/>
          <w:b/>
          <w:color w:val="000000"/>
        </w:rPr>
      </w:pPr>
      <w:r w:rsidRPr="009A7C9C">
        <w:rPr>
          <w:rFonts w:asciiTheme="minorHAnsi" w:hAnsiTheme="minorHAnsi" w:cstheme="minorHAnsi"/>
          <w:b/>
          <w:smallCaps/>
          <w:sz w:val="28"/>
          <w:szCs w:val="28"/>
        </w:rPr>
        <w:t>Teismų praktikos departamentas</w:t>
      </w:r>
      <w:r w:rsidRPr="00B943CA">
        <w:rPr>
          <w:rFonts w:asciiTheme="minorHAnsi" w:hAnsiTheme="minorHAnsi" w:cstheme="minorHAnsi"/>
          <w:b/>
          <w:smallCaps/>
        </w:rPr>
        <w:t xml:space="preserve"> </w:t>
      </w:r>
      <w:r w:rsidRPr="00B943CA">
        <w:rPr>
          <w:rFonts w:asciiTheme="minorHAnsi" w:hAnsiTheme="minorHAnsi" w:cstheme="minorHAnsi"/>
          <w:b/>
          <w:color w:val="000000"/>
        </w:rPr>
        <w:br w:type="page"/>
      </w:r>
    </w:p>
    <w:p w14:paraId="7E7CFE34" w14:textId="77777777" w:rsidR="000028CD" w:rsidRPr="00C47F2E" w:rsidRDefault="000028CD" w:rsidP="00AD0B10">
      <w:pPr>
        <w:jc w:val="center"/>
        <w:rPr>
          <w:rFonts w:asciiTheme="minorHAnsi" w:hAnsiTheme="minorHAnsi" w:cstheme="minorHAnsi"/>
          <w:b/>
          <w:color w:val="1F3864" w:themeColor="accent5" w:themeShade="80"/>
        </w:rPr>
      </w:pPr>
      <w:r w:rsidRPr="00C47F2E">
        <w:rPr>
          <w:rFonts w:asciiTheme="minorHAnsi" w:hAnsiTheme="minorHAnsi" w:cstheme="minorHAnsi"/>
          <w:b/>
          <w:color w:val="1F3864" w:themeColor="accent5" w:themeShade="80"/>
        </w:rPr>
        <w:lastRenderedPageBreak/>
        <w:t>EUROPOS SĄJUNGOS TEISINGUMO TEISMO PRAKTIKOS APŽVALGA</w:t>
      </w:r>
    </w:p>
    <w:p w14:paraId="1C310854" w14:textId="1A337E15" w:rsidR="000028CD" w:rsidRPr="00C47F2E" w:rsidRDefault="0092562B" w:rsidP="00AD0B10">
      <w:pPr>
        <w:jc w:val="center"/>
        <w:rPr>
          <w:rFonts w:asciiTheme="minorHAnsi" w:hAnsiTheme="minorHAnsi" w:cstheme="minorHAnsi"/>
          <w:color w:val="1F3864" w:themeColor="accent5" w:themeShade="80"/>
        </w:rPr>
      </w:pPr>
      <w:r w:rsidRPr="00C47F2E">
        <w:rPr>
          <w:rFonts w:asciiTheme="minorHAnsi" w:hAnsiTheme="minorHAnsi" w:cstheme="minorHAnsi"/>
          <w:color w:val="1F3864" w:themeColor="accent5" w:themeShade="80"/>
        </w:rPr>
        <w:t>(2020</w:t>
      </w:r>
      <w:r w:rsidR="000028CD" w:rsidRPr="00C47F2E">
        <w:rPr>
          <w:rFonts w:asciiTheme="minorHAnsi" w:hAnsiTheme="minorHAnsi" w:cstheme="minorHAnsi"/>
          <w:color w:val="1F3864" w:themeColor="accent5" w:themeShade="80"/>
        </w:rPr>
        <w:t xml:space="preserve"> m. </w:t>
      </w:r>
      <w:r w:rsidR="00672231" w:rsidRPr="00C47F2E">
        <w:rPr>
          <w:rFonts w:asciiTheme="minorHAnsi" w:hAnsiTheme="minorHAnsi" w:cstheme="minorHAnsi"/>
          <w:color w:val="1F3864" w:themeColor="accent5" w:themeShade="80"/>
        </w:rPr>
        <w:t xml:space="preserve">rugsėjo </w:t>
      </w:r>
      <w:r w:rsidR="00735B72" w:rsidRPr="00C47F2E">
        <w:rPr>
          <w:rFonts w:asciiTheme="minorHAnsi" w:hAnsiTheme="minorHAnsi" w:cstheme="minorHAnsi"/>
          <w:color w:val="1F3864" w:themeColor="accent5" w:themeShade="80"/>
        </w:rPr>
        <w:t>1 d.–20</w:t>
      </w:r>
      <w:r w:rsidRPr="00C47F2E">
        <w:rPr>
          <w:rFonts w:asciiTheme="minorHAnsi" w:hAnsiTheme="minorHAnsi" w:cstheme="minorHAnsi"/>
          <w:color w:val="1F3864" w:themeColor="accent5" w:themeShade="80"/>
        </w:rPr>
        <w:t>20</w:t>
      </w:r>
      <w:r w:rsidR="000028CD" w:rsidRPr="00C47F2E">
        <w:rPr>
          <w:rFonts w:asciiTheme="minorHAnsi" w:hAnsiTheme="minorHAnsi" w:cstheme="minorHAnsi"/>
          <w:color w:val="1F3864" w:themeColor="accent5" w:themeShade="80"/>
        </w:rPr>
        <w:t xml:space="preserve"> m. </w:t>
      </w:r>
      <w:r w:rsidR="00672231" w:rsidRPr="00C47F2E">
        <w:rPr>
          <w:rFonts w:asciiTheme="minorHAnsi" w:hAnsiTheme="minorHAnsi" w:cstheme="minorHAnsi"/>
          <w:color w:val="1F3864" w:themeColor="accent5" w:themeShade="80"/>
        </w:rPr>
        <w:t xml:space="preserve">gruodžio </w:t>
      </w:r>
      <w:r w:rsidR="00882925" w:rsidRPr="00C47F2E">
        <w:rPr>
          <w:rFonts w:asciiTheme="minorHAnsi" w:hAnsiTheme="minorHAnsi" w:cstheme="minorHAnsi"/>
          <w:color w:val="1F3864" w:themeColor="accent5" w:themeShade="80"/>
        </w:rPr>
        <w:t>3</w:t>
      </w:r>
      <w:r w:rsidR="00EE1147" w:rsidRPr="00C47F2E">
        <w:rPr>
          <w:rFonts w:asciiTheme="minorHAnsi" w:hAnsiTheme="minorHAnsi" w:cstheme="minorHAnsi"/>
          <w:color w:val="1F3864" w:themeColor="accent5" w:themeShade="80"/>
        </w:rPr>
        <w:t>1</w:t>
      </w:r>
      <w:r w:rsidR="000028CD" w:rsidRPr="00C47F2E">
        <w:rPr>
          <w:rFonts w:asciiTheme="minorHAnsi" w:hAnsiTheme="minorHAnsi" w:cstheme="minorHAnsi"/>
          <w:color w:val="1F3864" w:themeColor="accent5" w:themeShade="80"/>
        </w:rPr>
        <w:t xml:space="preserve"> d.)</w:t>
      </w:r>
    </w:p>
    <w:p w14:paraId="585ED213" w14:textId="216C2073" w:rsidR="000028CD" w:rsidRPr="00B943CA" w:rsidRDefault="000028CD" w:rsidP="00126D28">
      <w:pPr>
        <w:pStyle w:val="Turinioantrat"/>
        <w:spacing w:line="240" w:lineRule="auto"/>
        <w:rPr>
          <w:szCs w:val="22"/>
        </w:rPr>
      </w:pPr>
    </w:p>
    <w:sdt>
      <w:sdtPr>
        <w:rPr>
          <w:rFonts w:eastAsiaTheme="minorEastAsia" w:cstheme="minorBidi"/>
          <w:b w:val="0"/>
          <w:bCs w:val="0"/>
          <w:iCs w:val="0"/>
          <w:color w:val="auto"/>
          <w:kern w:val="2"/>
          <w:sz w:val="24"/>
          <w:szCs w:val="20"/>
          <w:lang w:eastAsia="ja-JP"/>
        </w:rPr>
        <w:id w:val="284017964"/>
        <w:docPartObj>
          <w:docPartGallery w:val="Table of Contents"/>
          <w:docPartUnique/>
        </w:docPartObj>
      </w:sdtPr>
      <w:sdtEndPr>
        <w:rPr>
          <w:rFonts w:eastAsia="Calibri" w:cstheme="minorHAnsi"/>
          <w:kern w:val="0"/>
          <w:sz w:val="22"/>
          <w:lang w:eastAsia="en-US"/>
        </w:rPr>
      </w:sdtEndPr>
      <w:sdtContent>
        <w:p w14:paraId="5F2D98DF" w14:textId="7273AE25" w:rsidR="00C47F2E" w:rsidRDefault="00C47F2E">
          <w:pPr>
            <w:pStyle w:val="Turinys1"/>
            <w:tabs>
              <w:tab w:val="right" w:leader="dot" w:pos="9628"/>
            </w:tabs>
            <w:rPr>
              <w:rFonts w:eastAsiaTheme="minorEastAsia" w:cstheme="minorBidi"/>
              <w:b w:val="0"/>
              <w:bCs w:val="0"/>
              <w:iCs w:val="0"/>
              <w:noProof/>
              <w:color w:val="auto"/>
              <w:sz w:val="24"/>
            </w:rPr>
          </w:pPr>
          <w:r>
            <w:fldChar w:fldCharType="begin"/>
          </w:r>
          <w:r>
            <w:instrText xml:space="preserve"> TOC \o "1-3" \h \z \u </w:instrText>
          </w:r>
          <w:r>
            <w:fldChar w:fldCharType="separate"/>
          </w:r>
          <w:hyperlink w:anchor="_Toc71819686" w:history="1">
            <w:r w:rsidRPr="003752A0">
              <w:rPr>
                <w:rStyle w:val="Hipersaitas"/>
                <w:noProof/>
              </w:rPr>
              <w:t>ASMENS</w:t>
            </w:r>
            <w:r w:rsidRPr="003752A0">
              <w:rPr>
                <w:rStyle w:val="Hipersaitas"/>
                <w:rFonts w:eastAsia="Times New Roman"/>
                <w:noProof/>
              </w:rPr>
              <w:t xml:space="preserve"> DUOMENŲ APSAUGA</w:t>
            </w:r>
            <w:r>
              <w:rPr>
                <w:noProof/>
                <w:webHidden/>
              </w:rPr>
              <w:tab/>
            </w:r>
            <w:r>
              <w:rPr>
                <w:noProof/>
                <w:webHidden/>
              </w:rPr>
              <w:fldChar w:fldCharType="begin"/>
            </w:r>
            <w:r>
              <w:rPr>
                <w:noProof/>
                <w:webHidden/>
              </w:rPr>
              <w:instrText xml:space="preserve"> PAGEREF _Toc71819686 \h </w:instrText>
            </w:r>
            <w:r>
              <w:rPr>
                <w:noProof/>
                <w:webHidden/>
              </w:rPr>
            </w:r>
            <w:r>
              <w:rPr>
                <w:noProof/>
                <w:webHidden/>
              </w:rPr>
              <w:fldChar w:fldCharType="separate"/>
            </w:r>
            <w:r>
              <w:rPr>
                <w:noProof/>
                <w:webHidden/>
              </w:rPr>
              <w:t>4</w:t>
            </w:r>
            <w:r>
              <w:rPr>
                <w:noProof/>
                <w:webHidden/>
              </w:rPr>
              <w:fldChar w:fldCharType="end"/>
            </w:r>
          </w:hyperlink>
        </w:p>
        <w:p w14:paraId="734E8B16" w14:textId="204ECF18" w:rsidR="00C47F2E" w:rsidRDefault="00F953EA">
          <w:pPr>
            <w:pStyle w:val="Turinys2"/>
            <w:tabs>
              <w:tab w:val="right" w:leader="dot" w:pos="9628"/>
            </w:tabs>
            <w:rPr>
              <w:rFonts w:eastAsiaTheme="minorEastAsia" w:cstheme="minorBidi"/>
              <w:b w:val="0"/>
              <w:bCs w:val="0"/>
              <w:noProof/>
              <w:color w:val="auto"/>
              <w:sz w:val="24"/>
              <w:szCs w:val="24"/>
            </w:rPr>
          </w:pPr>
          <w:hyperlink w:anchor="_Toc71819687" w:history="1">
            <w:r w:rsidR="00C47F2E" w:rsidRPr="003752A0">
              <w:rPr>
                <w:rStyle w:val="Hipersaitas"/>
                <w:noProof/>
              </w:rPr>
              <w:t>2020 m. lapkričio 11 d. prejudicinis sprendimas byloje C</w:t>
            </w:r>
            <w:r w:rsidR="00C47F2E" w:rsidRPr="003752A0">
              <w:rPr>
                <w:rStyle w:val="Hipersaitas"/>
                <w:noProof/>
              </w:rPr>
              <w:noBreakHyphen/>
              <w:t>61/19</w:t>
            </w:r>
            <w:r w:rsidR="00C47F2E">
              <w:rPr>
                <w:noProof/>
                <w:webHidden/>
              </w:rPr>
              <w:tab/>
            </w:r>
            <w:r w:rsidR="00C47F2E">
              <w:rPr>
                <w:noProof/>
                <w:webHidden/>
              </w:rPr>
              <w:fldChar w:fldCharType="begin"/>
            </w:r>
            <w:r w:rsidR="00C47F2E">
              <w:rPr>
                <w:noProof/>
                <w:webHidden/>
              </w:rPr>
              <w:instrText xml:space="preserve"> PAGEREF _Toc71819687 \h </w:instrText>
            </w:r>
            <w:r w:rsidR="00C47F2E">
              <w:rPr>
                <w:noProof/>
                <w:webHidden/>
              </w:rPr>
            </w:r>
            <w:r w:rsidR="00C47F2E">
              <w:rPr>
                <w:noProof/>
                <w:webHidden/>
              </w:rPr>
              <w:fldChar w:fldCharType="separate"/>
            </w:r>
            <w:r w:rsidR="00C47F2E">
              <w:rPr>
                <w:noProof/>
                <w:webHidden/>
              </w:rPr>
              <w:t>4</w:t>
            </w:r>
            <w:r w:rsidR="00C47F2E">
              <w:rPr>
                <w:noProof/>
                <w:webHidden/>
              </w:rPr>
              <w:fldChar w:fldCharType="end"/>
            </w:r>
          </w:hyperlink>
        </w:p>
        <w:p w14:paraId="273AB04C" w14:textId="54616EA1" w:rsidR="00C47F2E" w:rsidRDefault="00F953EA">
          <w:pPr>
            <w:pStyle w:val="Turinys3"/>
            <w:tabs>
              <w:tab w:val="right" w:leader="dot" w:pos="9628"/>
            </w:tabs>
            <w:rPr>
              <w:rFonts w:eastAsiaTheme="minorEastAsia" w:cstheme="minorBidi"/>
              <w:noProof/>
              <w:sz w:val="24"/>
              <w:szCs w:val="24"/>
            </w:rPr>
          </w:pPr>
          <w:hyperlink w:anchor="_Toc71819688" w:history="1">
            <w:r w:rsidR="00C47F2E" w:rsidRPr="003752A0">
              <w:rPr>
                <w:rStyle w:val="Hipersaitas"/>
                <w:rFonts w:eastAsia="Times New Roman"/>
                <w:noProof/>
                <w:lang w:eastAsia="lt-LT"/>
              </w:rPr>
              <w:t>Dėl telekomunikacijų paslaugų teikimo sutartyje įtvirtintos sąlygos, pagal kurią duomenų subjektas buvo informuotas ir sutiko dėl savo asmens tapatybės dokumento kopijos rinkimo ir saugojimo identifikavimo tikslais, vertinimo kaip tinkamo duomenų subjekto sutikimo</w:t>
            </w:r>
            <w:r w:rsidR="00C47F2E">
              <w:rPr>
                <w:noProof/>
                <w:webHidden/>
              </w:rPr>
              <w:tab/>
            </w:r>
            <w:r w:rsidR="00C47F2E">
              <w:rPr>
                <w:noProof/>
                <w:webHidden/>
              </w:rPr>
              <w:fldChar w:fldCharType="begin"/>
            </w:r>
            <w:r w:rsidR="00C47F2E">
              <w:rPr>
                <w:noProof/>
                <w:webHidden/>
              </w:rPr>
              <w:instrText xml:space="preserve"> PAGEREF _Toc71819688 \h </w:instrText>
            </w:r>
            <w:r w:rsidR="00C47F2E">
              <w:rPr>
                <w:noProof/>
                <w:webHidden/>
              </w:rPr>
            </w:r>
            <w:r w:rsidR="00C47F2E">
              <w:rPr>
                <w:noProof/>
                <w:webHidden/>
              </w:rPr>
              <w:fldChar w:fldCharType="separate"/>
            </w:r>
            <w:r w:rsidR="00C47F2E">
              <w:rPr>
                <w:noProof/>
                <w:webHidden/>
              </w:rPr>
              <w:t>4</w:t>
            </w:r>
            <w:r w:rsidR="00C47F2E">
              <w:rPr>
                <w:noProof/>
                <w:webHidden/>
              </w:rPr>
              <w:fldChar w:fldCharType="end"/>
            </w:r>
          </w:hyperlink>
        </w:p>
        <w:p w14:paraId="118A1D44" w14:textId="65773F51" w:rsidR="00C47F2E" w:rsidRDefault="00F953EA">
          <w:pPr>
            <w:pStyle w:val="Turinys1"/>
            <w:tabs>
              <w:tab w:val="right" w:leader="dot" w:pos="9628"/>
            </w:tabs>
            <w:rPr>
              <w:rFonts w:eastAsiaTheme="minorEastAsia" w:cstheme="minorBidi"/>
              <w:b w:val="0"/>
              <w:bCs w:val="0"/>
              <w:iCs w:val="0"/>
              <w:noProof/>
              <w:color w:val="auto"/>
              <w:sz w:val="24"/>
            </w:rPr>
          </w:pPr>
          <w:hyperlink w:anchor="_Toc71819689" w:history="1">
            <w:r w:rsidR="00C47F2E" w:rsidRPr="003752A0">
              <w:rPr>
                <w:rStyle w:val="Hipersaitas"/>
                <w:noProof/>
              </w:rPr>
              <w:t>UŽSIENIEČIŲ TEISINĖ PADĖTIS</w:t>
            </w:r>
            <w:r w:rsidR="00C47F2E">
              <w:rPr>
                <w:noProof/>
                <w:webHidden/>
              </w:rPr>
              <w:tab/>
            </w:r>
            <w:r w:rsidR="00C47F2E">
              <w:rPr>
                <w:noProof/>
                <w:webHidden/>
              </w:rPr>
              <w:fldChar w:fldCharType="begin"/>
            </w:r>
            <w:r w:rsidR="00C47F2E">
              <w:rPr>
                <w:noProof/>
                <w:webHidden/>
              </w:rPr>
              <w:instrText xml:space="preserve"> PAGEREF _Toc71819689 \h </w:instrText>
            </w:r>
            <w:r w:rsidR="00C47F2E">
              <w:rPr>
                <w:noProof/>
                <w:webHidden/>
              </w:rPr>
            </w:r>
            <w:r w:rsidR="00C47F2E">
              <w:rPr>
                <w:noProof/>
                <w:webHidden/>
              </w:rPr>
              <w:fldChar w:fldCharType="separate"/>
            </w:r>
            <w:r w:rsidR="00C47F2E">
              <w:rPr>
                <w:noProof/>
                <w:webHidden/>
              </w:rPr>
              <w:t>6</w:t>
            </w:r>
            <w:r w:rsidR="00C47F2E">
              <w:rPr>
                <w:noProof/>
                <w:webHidden/>
              </w:rPr>
              <w:fldChar w:fldCharType="end"/>
            </w:r>
          </w:hyperlink>
        </w:p>
        <w:p w14:paraId="7A918261" w14:textId="250B41D3" w:rsidR="00C47F2E" w:rsidRDefault="00F953EA">
          <w:pPr>
            <w:pStyle w:val="Turinys2"/>
            <w:tabs>
              <w:tab w:val="right" w:leader="dot" w:pos="9628"/>
            </w:tabs>
            <w:rPr>
              <w:rFonts w:eastAsiaTheme="minorEastAsia" w:cstheme="minorBidi"/>
              <w:b w:val="0"/>
              <w:bCs w:val="0"/>
              <w:noProof/>
              <w:color w:val="auto"/>
              <w:sz w:val="24"/>
              <w:szCs w:val="24"/>
            </w:rPr>
          </w:pPr>
          <w:hyperlink w:anchor="_Toc71819690" w:history="1">
            <w:r w:rsidR="00C47F2E" w:rsidRPr="003752A0">
              <w:rPr>
                <w:rStyle w:val="Hipersaitas"/>
                <w:noProof/>
              </w:rPr>
              <w:t>2020 m. lapkričio 24 d. didžiosios kolegijos prejudicinis sprendimas sujungtose bylose C</w:t>
            </w:r>
            <w:r w:rsidR="00C47F2E" w:rsidRPr="003752A0">
              <w:rPr>
                <w:rStyle w:val="Hipersaitas"/>
                <w:rFonts w:ascii="Cambria Math" w:hAnsi="Cambria Math" w:cs="Cambria Math"/>
                <w:noProof/>
              </w:rPr>
              <w:t>‑</w:t>
            </w:r>
            <w:r w:rsidR="00C47F2E" w:rsidRPr="003752A0">
              <w:rPr>
                <w:rStyle w:val="Hipersaitas"/>
                <w:noProof/>
              </w:rPr>
              <w:t>225/19 ir C</w:t>
            </w:r>
            <w:r w:rsidR="00C47F2E" w:rsidRPr="003752A0">
              <w:rPr>
                <w:rStyle w:val="Hipersaitas"/>
                <w:rFonts w:ascii="Cambria Math" w:hAnsi="Cambria Math" w:cs="Cambria Math"/>
                <w:noProof/>
              </w:rPr>
              <w:t>‑</w:t>
            </w:r>
            <w:r w:rsidR="00C47F2E" w:rsidRPr="003752A0">
              <w:rPr>
                <w:rStyle w:val="Hipersaitas"/>
                <w:noProof/>
              </w:rPr>
              <w:t>226/19</w:t>
            </w:r>
            <w:r w:rsidR="00C47F2E">
              <w:rPr>
                <w:noProof/>
                <w:webHidden/>
              </w:rPr>
              <w:tab/>
            </w:r>
            <w:r w:rsidR="00C47F2E">
              <w:rPr>
                <w:noProof/>
                <w:webHidden/>
              </w:rPr>
              <w:fldChar w:fldCharType="begin"/>
            </w:r>
            <w:r w:rsidR="00C47F2E">
              <w:rPr>
                <w:noProof/>
                <w:webHidden/>
              </w:rPr>
              <w:instrText xml:space="preserve"> PAGEREF _Toc71819690 \h </w:instrText>
            </w:r>
            <w:r w:rsidR="00C47F2E">
              <w:rPr>
                <w:noProof/>
                <w:webHidden/>
              </w:rPr>
            </w:r>
            <w:r w:rsidR="00C47F2E">
              <w:rPr>
                <w:noProof/>
                <w:webHidden/>
              </w:rPr>
              <w:fldChar w:fldCharType="separate"/>
            </w:r>
            <w:r w:rsidR="00C47F2E">
              <w:rPr>
                <w:noProof/>
                <w:webHidden/>
              </w:rPr>
              <w:t>6</w:t>
            </w:r>
            <w:r w:rsidR="00C47F2E">
              <w:rPr>
                <w:noProof/>
                <w:webHidden/>
              </w:rPr>
              <w:fldChar w:fldCharType="end"/>
            </w:r>
          </w:hyperlink>
        </w:p>
        <w:p w14:paraId="3B43CAC9" w14:textId="2016C106" w:rsidR="00C47F2E" w:rsidRDefault="00F953EA">
          <w:pPr>
            <w:pStyle w:val="Turinys3"/>
            <w:tabs>
              <w:tab w:val="right" w:leader="dot" w:pos="9628"/>
            </w:tabs>
            <w:rPr>
              <w:rFonts w:eastAsiaTheme="minorEastAsia" w:cstheme="minorBidi"/>
              <w:noProof/>
              <w:sz w:val="24"/>
              <w:szCs w:val="24"/>
            </w:rPr>
          </w:pPr>
          <w:hyperlink w:anchor="_Toc71819691" w:history="1">
            <w:r w:rsidR="00C47F2E" w:rsidRPr="003752A0">
              <w:rPr>
                <w:rStyle w:val="Hipersaitas"/>
                <w:noProof/>
                <w:shd w:val="clear" w:color="auto" w:fill="FFFFFF"/>
              </w:rPr>
              <w:t>Dėl pareigos nurodyti prieštaravimą vizos išdavimui pateikusią valstybę narę ir konkretų šiuo prieštaravimu grindžiamą atsisakymo pagrindą</w:t>
            </w:r>
            <w:r w:rsidR="00C47F2E">
              <w:rPr>
                <w:noProof/>
                <w:webHidden/>
              </w:rPr>
              <w:tab/>
            </w:r>
            <w:r w:rsidR="00C47F2E">
              <w:rPr>
                <w:noProof/>
                <w:webHidden/>
              </w:rPr>
              <w:fldChar w:fldCharType="begin"/>
            </w:r>
            <w:r w:rsidR="00C47F2E">
              <w:rPr>
                <w:noProof/>
                <w:webHidden/>
              </w:rPr>
              <w:instrText xml:space="preserve"> PAGEREF _Toc71819691 \h </w:instrText>
            </w:r>
            <w:r w:rsidR="00C47F2E">
              <w:rPr>
                <w:noProof/>
                <w:webHidden/>
              </w:rPr>
            </w:r>
            <w:r w:rsidR="00C47F2E">
              <w:rPr>
                <w:noProof/>
                <w:webHidden/>
              </w:rPr>
              <w:fldChar w:fldCharType="separate"/>
            </w:r>
            <w:r w:rsidR="00C47F2E">
              <w:rPr>
                <w:noProof/>
                <w:webHidden/>
              </w:rPr>
              <w:t>6</w:t>
            </w:r>
            <w:r w:rsidR="00C47F2E">
              <w:rPr>
                <w:noProof/>
                <w:webHidden/>
              </w:rPr>
              <w:fldChar w:fldCharType="end"/>
            </w:r>
          </w:hyperlink>
        </w:p>
        <w:p w14:paraId="32C74B20" w14:textId="45C7EA6D" w:rsidR="00C47F2E" w:rsidRDefault="00F953EA">
          <w:pPr>
            <w:pStyle w:val="Turinys3"/>
            <w:tabs>
              <w:tab w:val="right" w:leader="dot" w:pos="9628"/>
            </w:tabs>
            <w:rPr>
              <w:rFonts w:eastAsiaTheme="minorEastAsia" w:cstheme="minorBidi"/>
              <w:noProof/>
              <w:sz w:val="24"/>
              <w:szCs w:val="24"/>
            </w:rPr>
          </w:pPr>
          <w:hyperlink w:anchor="_Toc71819692" w:history="1">
            <w:r w:rsidR="00C47F2E" w:rsidRPr="003752A0">
              <w:rPr>
                <w:rStyle w:val="Hipersaitas"/>
                <w:noProof/>
                <w:shd w:val="clear" w:color="auto" w:fill="FFFFFF"/>
              </w:rPr>
              <w:t>Dėl kitos valstybės narės pareikšto prieštaravimo vizos išdavimui teisminės kontrolės apimties</w:t>
            </w:r>
            <w:r w:rsidR="00C47F2E">
              <w:rPr>
                <w:noProof/>
                <w:webHidden/>
              </w:rPr>
              <w:tab/>
            </w:r>
            <w:r w:rsidR="00C47F2E">
              <w:rPr>
                <w:noProof/>
                <w:webHidden/>
              </w:rPr>
              <w:fldChar w:fldCharType="begin"/>
            </w:r>
            <w:r w:rsidR="00C47F2E">
              <w:rPr>
                <w:noProof/>
                <w:webHidden/>
              </w:rPr>
              <w:instrText xml:space="preserve"> PAGEREF _Toc71819692 \h </w:instrText>
            </w:r>
            <w:r w:rsidR="00C47F2E">
              <w:rPr>
                <w:noProof/>
                <w:webHidden/>
              </w:rPr>
            </w:r>
            <w:r w:rsidR="00C47F2E">
              <w:rPr>
                <w:noProof/>
                <w:webHidden/>
              </w:rPr>
              <w:fldChar w:fldCharType="separate"/>
            </w:r>
            <w:r w:rsidR="00C47F2E">
              <w:rPr>
                <w:noProof/>
                <w:webHidden/>
              </w:rPr>
              <w:t>7</w:t>
            </w:r>
            <w:r w:rsidR="00C47F2E">
              <w:rPr>
                <w:noProof/>
                <w:webHidden/>
              </w:rPr>
              <w:fldChar w:fldCharType="end"/>
            </w:r>
          </w:hyperlink>
        </w:p>
        <w:p w14:paraId="2299D6C1" w14:textId="591E23FD" w:rsidR="00C47F2E" w:rsidRDefault="00F953EA">
          <w:pPr>
            <w:pStyle w:val="Turinys2"/>
            <w:tabs>
              <w:tab w:val="right" w:leader="dot" w:pos="9628"/>
            </w:tabs>
            <w:rPr>
              <w:rFonts w:eastAsiaTheme="minorEastAsia" w:cstheme="minorBidi"/>
              <w:b w:val="0"/>
              <w:bCs w:val="0"/>
              <w:noProof/>
              <w:color w:val="auto"/>
              <w:sz w:val="24"/>
              <w:szCs w:val="24"/>
            </w:rPr>
          </w:pPr>
          <w:hyperlink w:anchor="_Toc71819693" w:history="1">
            <w:r w:rsidR="00C47F2E" w:rsidRPr="003752A0">
              <w:rPr>
                <w:rStyle w:val="Hipersaitas"/>
                <w:noProof/>
              </w:rPr>
              <w:t>2020 rugsėjo 3 d. prejudicinis sprendimas sujungtose bylose C</w:t>
            </w:r>
            <w:r w:rsidR="00C47F2E" w:rsidRPr="003752A0">
              <w:rPr>
                <w:rStyle w:val="Hipersaitas"/>
                <w:rFonts w:ascii="Cambria Math" w:hAnsi="Cambria Math" w:cs="Cambria Math"/>
                <w:noProof/>
              </w:rPr>
              <w:t>‑</w:t>
            </w:r>
            <w:r w:rsidR="00C47F2E" w:rsidRPr="003752A0">
              <w:rPr>
                <w:rStyle w:val="Hipersaitas"/>
                <w:noProof/>
              </w:rPr>
              <w:t>503/19 ir C</w:t>
            </w:r>
            <w:r w:rsidR="00C47F2E" w:rsidRPr="003752A0">
              <w:rPr>
                <w:rStyle w:val="Hipersaitas"/>
                <w:rFonts w:ascii="Cambria Math" w:hAnsi="Cambria Math" w:cs="Cambria Math"/>
                <w:noProof/>
              </w:rPr>
              <w:t>‑</w:t>
            </w:r>
            <w:r w:rsidR="00C47F2E" w:rsidRPr="003752A0">
              <w:rPr>
                <w:rStyle w:val="Hipersaitas"/>
                <w:noProof/>
              </w:rPr>
              <w:t>592/19</w:t>
            </w:r>
            <w:r w:rsidR="00C47F2E">
              <w:rPr>
                <w:noProof/>
                <w:webHidden/>
              </w:rPr>
              <w:tab/>
            </w:r>
            <w:r w:rsidR="00C47F2E">
              <w:rPr>
                <w:noProof/>
                <w:webHidden/>
              </w:rPr>
              <w:fldChar w:fldCharType="begin"/>
            </w:r>
            <w:r w:rsidR="00C47F2E">
              <w:rPr>
                <w:noProof/>
                <w:webHidden/>
              </w:rPr>
              <w:instrText xml:space="preserve"> PAGEREF _Toc71819693 \h </w:instrText>
            </w:r>
            <w:r w:rsidR="00C47F2E">
              <w:rPr>
                <w:noProof/>
                <w:webHidden/>
              </w:rPr>
            </w:r>
            <w:r w:rsidR="00C47F2E">
              <w:rPr>
                <w:noProof/>
                <w:webHidden/>
              </w:rPr>
              <w:fldChar w:fldCharType="separate"/>
            </w:r>
            <w:r w:rsidR="00C47F2E">
              <w:rPr>
                <w:noProof/>
                <w:webHidden/>
              </w:rPr>
              <w:t>7</w:t>
            </w:r>
            <w:r w:rsidR="00C47F2E">
              <w:rPr>
                <w:noProof/>
                <w:webHidden/>
              </w:rPr>
              <w:fldChar w:fldCharType="end"/>
            </w:r>
          </w:hyperlink>
        </w:p>
        <w:p w14:paraId="02D07293" w14:textId="38C19D05" w:rsidR="00C47F2E" w:rsidRDefault="00F953EA">
          <w:pPr>
            <w:pStyle w:val="Turinys3"/>
            <w:tabs>
              <w:tab w:val="right" w:leader="dot" w:pos="9628"/>
            </w:tabs>
            <w:rPr>
              <w:rFonts w:eastAsiaTheme="minorEastAsia" w:cstheme="minorBidi"/>
              <w:noProof/>
              <w:sz w:val="24"/>
              <w:szCs w:val="24"/>
            </w:rPr>
          </w:pPr>
          <w:hyperlink w:anchor="_Toc71819694" w:history="1">
            <w:r w:rsidR="00C47F2E" w:rsidRPr="003752A0">
              <w:rPr>
                <w:rStyle w:val="Hipersaitas"/>
                <w:noProof/>
                <w:shd w:val="clear" w:color="auto" w:fill="FFFFFF"/>
              </w:rPr>
              <w:t>Dėl trečiosios šalies piliečio teistumo kaip pagrindo atsisakyti jam suteikti ilgalaikio gyventojo statusą</w:t>
            </w:r>
            <w:r w:rsidR="00C47F2E">
              <w:rPr>
                <w:noProof/>
                <w:webHidden/>
              </w:rPr>
              <w:tab/>
            </w:r>
            <w:r w:rsidR="00C47F2E">
              <w:rPr>
                <w:noProof/>
                <w:webHidden/>
              </w:rPr>
              <w:fldChar w:fldCharType="begin"/>
            </w:r>
            <w:r w:rsidR="00C47F2E">
              <w:rPr>
                <w:noProof/>
                <w:webHidden/>
              </w:rPr>
              <w:instrText xml:space="preserve"> PAGEREF _Toc71819694 \h </w:instrText>
            </w:r>
            <w:r w:rsidR="00C47F2E">
              <w:rPr>
                <w:noProof/>
                <w:webHidden/>
              </w:rPr>
            </w:r>
            <w:r w:rsidR="00C47F2E">
              <w:rPr>
                <w:noProof/>
                <w:webHidden/>
              </w:rPr>
              <w:fldChar w:fldCharType="separate"/>
            </w:r>
            <w:r w:rsidR="00C47F2E">
              <w:rPr>
                <w:noProof/>
                <w:webHidden/>
              </w:rPr>
              <w:t>8</w:t>
            </w:r>
            <w:r w:rsidR="00C47F2E">
              <w:rPr>
                <w:noProof/>
                <w:webHidden/>
              </w:rPr>
              <w:fldChar w:fldCharType="end"/>
            </w:r>
          </w:hyperlink>
        </w:p>
        <w:p w14:paraId="11C81752" w14:textId="00D0EF53" w:rsidR="00C47F2E" w:rsidRDefault="00F953EA">
          <w:pPr>
            <w:pStyle w:val="Turinys1"/>
            <w:tabs>
              <w:tab w:val="right" w:leader="dot" w:pos="9628"/>
            </w:tabs>
            <w:rPr>
              <w:rFonts w:eastAsiaTheme="minorEastAsia" w:cstheme="minorBidi"/>
              <w:b w:val="0"/>
              <w:bCs w:val="0"/>
              <w:iCs w:val="0"/>
              <w:noProof/>
              <w:color w:val="auto"/>
              <w:sz w:val="24"/>
            </w:rPr>
          </w:pPr>
          <w:hyperlink w:anchor="_Toc71819695" w:history="1">
            <w:r w:rsidR="00C47F2E" w:rsidRPr="003752A0">
              <w:rPr>
                <w:rStyle w:val="Hipersaitas"/>
                <w:noProof/>
              </w:rPr>
              <w:t>APMOKESTINIMAS</w:t>
            </w:r>
            <w:r w:rsidR="00C47F2E">
              <w:rPr>
                <w:noProof/>
                <w:webHidden/>
              </w:rPr>
              <w:tab/>
            </w:r>
            <w:r w:rsidR="00C47F2E">
              <w:rPr>
                <w:noProof/>
                <w:webHidden/>
              </w:rPr>
              <w:fldChar w:fldCharType="begin"/>
            </w:r>
            <w:r w:rsidR="00C47F2E">
              <w:rPr>
                <w:noProof/>
                <w:webHidden/>
              </w:rPr>
              <w:instrText xml:space="preserve"> PAGEREF _Toc71819695 \h </w:instrText>
            </w:r>
            <w:r w:rsidR="00C47F2E">
              <w:rPr>
                <w:noProof/>
                <w:webHidden/>
              </w:rPr>
            </w:r>
            <w:r w:rsidR="00C47F2E">
              <w:rPr>
                <w:noProof/>
                <w:webHidden/>
              </w:rPr>
              <w:fldChar w:fldCharType="separate"/>
            </w:r>
            <w:r w:rsidR="00C47F2E">
              <w:rPr>
                <w:noProof/>
                <w:webHidden/>
              </w:rPr>
              <w:t>9</w:t>
            </w:r>
            <w:r w:rsidR="00C47F2E">
              <w:rPr>
                <w:noProof/>
                <w:webHidden/>
              </w:rPr>
              <w:fldChar w:fldCharType="end"/>
            </w:r>
          </w:hyperlink>
        </w:p>
        <w:p w14:paraId="443354D2" w14:textId="7F9CB3ED" w:rsidR="00C47F2E" w:rsidRDefault="00F953EA">
          <w:pPr>
            <w:pStyle w:val="Turinys2"/>
            <w:tabs>
              <w:tab w:val="right" w:leader="dot" w:pos="9628"/>
            </w:tabs>
            <w:rPr>
              <w:rFonts w:eastAsiaTheme="minorEastAsia" w:cstheme="minorBidi"/>
              <w:b w:val="0"/>
              <w:bCs w:val="0"/>
              <w:noProof/>
              <w:color w:val="auto"/>
              <w:sz w:val="24"/>
              <w:szCs w:val="24"/>
            </w:rPr>
          </w:pPr>
          <w:hyperlink w:anchor="_Toc71819696" w:history="1">
            <w:r w:rsidR="00C47F2E" w:rsidRPr="003752A0">
              <w:rPr>
                <w:rStyle w:val="Hipersaitas"/>
                <w:noProof/>
              </w:rPr>
              <w:t>2020 m. lapkričio 12 d. prejudicinis sprendimas byloje C</w:t>
            </w:r>
            <w:r w:rsidR="00C47F2E" w:rsidRPr="003752A0">
              <w:rPr>
                <w:rStyle w:val="Hipersaitas"/>
                <w:rFonts w:ascii="Cambria Math" w:hAnsi="Cambria Math" w:cs="Cambria Math"/>
                <w:noProof/>
              </w:rPr>
              <w:t>‑</w:t>
            </w:r>
            <w:r w:rsidR="00C47F2E" w:rsidRPr="003752A0">
              <w:rPr>
                <w:rStyle w:val="Hipersaitas"/>
                <w:noProof/>
              </w:rPr>
              <w:t>734/19</w:t>
            </w:r>
            <w:r w:rsidR="00C47F2E">
              <w:rPr>
                <w:noProof/>
                <w:webHidden/>
              </w:rPr>
              <w:tab/>
            </w:r>
            <w:r w:rsidR="00C47F2E">
              <w:rPr>
                <w:noProof/>
                <w:webHidden/>
              </w:rPr>
              <w:fldChar w:fldCharType="begin"/>
            </w:r>
            <w:r w:rsidR="00C47F2E">
              <w:rPr>
                <w:noProof/>
                <w:webHidden/>
              </w:rPr>
              <w:instrText xml:space="preserve"> PAGEREF _Toc71819696 \h </w:instrText>
            </w:r>
            <w:r w:rsidR="00C47F2E">
              <w:rPr>
                <w:noProof/>
                <w:webHidden/>
              </w:rPr>
            </w:r>
            <w:r w:rsidR="00C47F2E">
              <w:rPr>
                <w:noProof/>
                <w:webHidden/>
              </w:rPr>
              <w:fldChar w:fldCharType="separate"/>
            </w:r>
            <w:r w:rsidR="00C47F2E">
              <w:rPr>
                <w:noProof/>
                <w:webHidden/>
              </w:rPr>
              <w:t>9</w:t>
            </w:r>
            <w:r w:rsidR="00C47F2E">
              <w:rPr>
                <w:noProof/>
                <w:webHidden/>
              </w:rPr>
              <w:fldChar w:fldCharType="end"/>
            </w:r>
          </w:hyperlink>
        </w:p>
        <w:p w14:paraId="0049D755" w14:textId="60463BA7" w:rsidR="00C47F2E" w:rsidRDefault="00F953EA">
          <w:pPr>
            <w:pStyle w:val="Turinys3"/>
            <w:tabs>
              <w:tab w:val="right" w:leader="dot" w:pos="9628"/>
            </w:tabs>
            <w:rPr>
              <w:rFonts w:eastAsiaTheme="minorEastAsia" w:cstheme="minorBidi"/>
              <w:noProof/>
              <w:sz w:val="24"/>
              <w:szCs w:val="24"/>
            </w:rPr>
          </w:pPr>
          <w:hyperlink w:anchor="_Toc71819697" w:history="1">
            <w:r w:rsidR="00C47F2E" w:rsidRPr="003752A0">
              <w:rPr>
                <w:rStyle w:val="Hipersaitas"/>
                <w:noProof/>
              </w:rPr>
              <w:t>Dėl teisės į pirminę PVM atskaitą atveju, kai įsigytos prekės ir paslaugos, už kurias sumokėtas (mokėtinas) pirkimo PVM atskaitytas, vėliau nėra panaudojamos apmokestinamoje veikloje</w:t>
            </w:r>
            <w:r w:rsidR="00C47F2E">
              <w:rPr>
                <w:noProof/>
                <w:webHidden/>
              </w:rPr>
              <w:tab/>
            </w:r>
            <w:r w:rsidR="00C47F2E">
              <w:rPr>
                <w:noProof/>
                <w:webHidden/>
              </w:rPr>
              <w:fldChar w:fldCharType="begin"/>
            </w:r>
            <w:r w:rsidR="00C47F2E">
              <w:rPr>
                <w:noProof/>
                <w:webHidden/>
              </w:rPr>
              <w:instrText xml:space="preserve"> PAGEREF _Toc71819697 \h </w:instrText>
            </w:r>
            <w:r w:rsidR="00C47F2E">
              <w:rPr>
                <w:noProof/>
                <w:webHidden/>
              </w:rPr>
            </w:r>
            <w:r w:rsidR="00C47F2E">
              <w:rPr>
                <w:noProof/>
                <w:webHidden/>
              </w:rPr>
              <w:fldChar w:fldCharType="separate"/>
            </w:r>
            <w:r w:rsidR="00C47F2E">
              <w:rPr>
                <w:noProof/>
                <w:webHidden/>
              </w:rPr>
              <w:t>9</w:t>
            </w:r>
            <w:r w:rsidR="00C47F2E">
              <w:rPr>
                <w:noProof/>
                <w:webHidden/>
              </w:rPr>
              <w:fldChar w:fldCharType="end"/>
            </w:r>
          </w:hyperlink>
        </w:p>
        <w:p w14:paraId="2BD67F98" w14:textId="410828E0" w:rsidR="00C47F2E" w:rsidRDefault="00F953EA">
          <w:pPr>
            <w:pStyle w:val="Turinys3"/>
            <w:tabs>
              <w:tab w:val="right" w:leader="dot" w:pos="9628"/>
            </w:tabs>
            <w:rPr>
              <w:rFonts w:eastAsiaTheme="minorEastAsia" w:cstheme="minorBidi"/>
              <w:noProof/>
              <w:sz w:val="24"/>
              <w:szCs w:val="24"/>
            </w:rPr>
          </w:pPr>
          <w:hyperlink w:anchor="_Toc71819698" w:history="1">
            <w:r w:rsidR="00C47F2E" w:rsidRPr="003752A0">
              <w:rPr>
                <w:rStyle w:val="Hipersaitas"/>
                <w:noProof/>
              </w:rPr>
              <w:t>Dėl pareigos patikslinti pirminę PVM atskaitą, kai įsigytos prekės ir (ar) paslaugos nebepanaudojamos planuotoje apmokestinamoje veikloje</w:t>
            </w:r>
            <w:r w:rsidR="00C47F2E">
              <w:rPr>
                <w:noProof/>
                <w:webHidden/>
              </w:rPr>
              <w:tab/>
            </w:r>
            <w:r w:rsidR="00C47F2E">
              <w:rPr>
                <w:noProof/>
                <w:webHidden/>
              </w:rPr>
              <w:fldChar w:fldCharType="begin"/>
            </w:r>
            <w:r w:rsidR="00C47F2E">
              <w:rPr>
                <w:noProof/>
                <w:webHidden/>
              </w:rPr>
              <w:instrText xml:space="preserve"> PAGEREF _Toc71819698 \h </w:instrText>
            </w:r>
            <w:r w:rsidR="00C47F2E">
              <w:rPr>
                <w:noProof/>
                <w:webHidden/>
              </w:rPr>
            </w:r>
            <w:r w:rsidR="00C47F2E">
              <w:rPr>
                <w:noProof/>
                <w:webHidden/>
              </w:rPr>
              <w:fldChar w:fldCharType="separate"/>
            </w:r>
            <w:r w:rsidR="00C47F2E">
              <w:rPr>
                <w:noProof/>
                <w:webHidden/>
              </w:rPr>
              <w:t>10</w:t>
            </w:r>
            <w:r w:rsidR="00C47F2E">
              <w:rPr>
                <w:noProof/>
                <w:webHidden/>
              </w:rPr>
              <w:fldChar w:fldCharType="end"/>
            </w:r>
          </w:hyperlink>
        </w:p>
        <w:p w14:paraId="5EE9A809" w14:textId="6CE830F2" w:rsidR="00C47F2E" w:rsidRDefault="00F953EA">
          <w:pPr>
            <w:pStyle w:val="Turinys2"/>
            <w:tabs>
              <w:tab w:val="right" w:leader="dot" w:pos="9628"/>
            </w:tabs>
            <w:rPr>
              <w:rFonts w:eastAsiaTheme="minorEastAsia" w:cstheme="minorBidi"/>
              <w:b w:val="0"/>
              <w:bCs w:val="0"/>
              <w:noProof/>
              <w:color w:val="auto"/>
              <w:sz w:val="24"/>
              <w:szCs w:val="24"/>
            </w:rPr>
          </w:pPr>
          <w:hyperlink w:anchor="_Toc71819699" w:history="1">
            <w:r w:rsidR="00C47F2E" w:rsidRPr="003752A0">
              <w:rPr>
                <w:rStyle w:val="Hipersaitas"/>
                <w:noProof/>
              </w:rPr>
              <w:t>2020 m. rugsėjo 16 d. prejudicinis sprendimas byloje C</w:t>
            </w:r>
            <w:r w:rsidR="00C47F2E" w:rsidRPr="003752A0">
              <w:rPr>
                <w:rStyle w:val="Hipersaitas"/>
                <w:rFonts w:ascii="Cambria Math" w:hAnsi="Cambria Math" w:cs="Cambria Math"/>
                <w:noProof/>
              </w:rPr>
              <w:t>‑</w:t>
            </w:r>
            <w:r w:rsidR="00C47F2E" w:rsidRPr="003752A0">
              <w:rPr>
                <w:rStyle w:val="Hipersaitas"/>
                <w:noProof/>
              </w:rPr>
              <w:t>674/19</w:t>
            </w:r>
            <w:r w:rsidR="00C47F2E">
              <w:rPr>
                <w:noProof/>
                <w:webHidden/>
              </w:rPr>
              <w:tab/>
            </w:r>
            <w:r w:rsidR="00C47F2E">
              <w:rPr>
                <w:noProof/>
                <w:webHidden/>
              </w:rPr>
              <w:fldChar w:fldCharType="begin"/>
            </w:r>
            <w:r w:rsidR="00C47F2E">
              <w:rPr>
                <w:noProof/>
                <w:webHidden/>
              </w:rPr>
              <w:instrText xml:space="preserve"> PAGEREF _Toc71819699 \h </w:instrText>
            </w:r>
            <w:r w:rsidR="00C47F2E">
              <w:rPr>
                <w:noProof/>
                <w:webHidden/>
              </w:rPr>
            </w:r>
            <w:r w:rsidR="00C47F2E">
              <w:rPr>
                <w:noProof/>
                <w:webHidden/>
              </w:rPr>
              <w:fldChar w:fldCharType="separate"/>
            </w:r>
            <w:r w:rsidR="00C47F2E">
              <w:rPr>
                <w:noProof/>
                <w:webHidden/>
              </w:rPr>
              <w:t>11</w:t>
            </w:r>
            <w:r w:rsidR="00C47F2E">
              <w:rPr>
                <w:noProof/>
                <w:webHidden/>
              </w:rPr>
              <w:fldChar w:fldCharType="end"/>
            </w:r>
          </w:hyperlink>
        </w:p>
        <w:p w14:paraId="44E043E0" w14:textId="74288DEA" w:rsidR="00C47F2E" w:rsidRDefault="00F953EA">
          <w:pPr>
            <w:pStyle w:val="Turinys3"/>
            <w:tabs>
              <w:tab w:val="right" w:leader="dot" w:pos="9628"/>
            </w:tabs>
            <w:rPr>
              <w:rFonts w:eastAsiaTheme="minorEastAsia" w:cstheme="minorBidi"/>
              <w:noProof/>
              <w:sz w:val="24"/>
              <w:szCs w:val="24"/>
            </w:rPr>
          </w:pPr>
          <w:hyperlink w:anchor="_Toc71819700" w:history="1">
            <w:r w:rsidR="00C47F2E" w:rsidRPr="003752A0">
              <w:rPr>
                <w:rStyle w:val="Hipersaitas"/>
                <w:noProof/>
              </w:rPr>
              <w:t>Dėl gaminio (vandens pypkių tabako), kurį sudaro tabako ir kitų medžiagų mišinys, pripažinimo rūkomuoju tabaku apmokestinimo akcizu tikslais bei pareigos mokėti šį mokestį nuo viso šio gaminio kiekio (svorio), o ne tik nuo jame faktiškai esančio tabako</w:t>
            </w:r>
            <w:r w:rsidR="00C47F2E">
              <w:rPr>
                <w:noProof/>
                <w:webHidden/>
              </w:rPr>
              <w:tab/>
            </w:r>
            <w:r w:rsidR="00C47F2E">
              <w:rPr>
                <w:noProof/>
                <w:webHidden/>
              </w:rPr>
              <w:fldChar w:fldCharType="begin"/>
            </w:r>
            <w:r w:rsidR="00C47F2E">
              <w:rPr>
                <w:noProof/>
                <w:webHidden/>
              </w:rPr>
              <w:instrText xml:space="preserve"> PAGEREF _Toc71819700 \h </w:instrText>
            </w:r>
            <w:r w:rsidR="00C47F2E">
              <w:rPr>
                <w:noProof/>
                <w:webHidden/>
              </w:rPr>
            </w:r>
            <w:r w:rsidR="00C47F2E">
              <w:rPr>
                <w:noProof/>
                <w:webHidden/>
              </w:rPr>
              <w:fldChar w:fldCharType="separate"/>
            </w:r>
            <w:r w:rsidR="00C47F2E">
              <w:rPr>
                <w:noProof/>
                <w:webHidden/>
              </w:rPr>
              <w:t>11</w:t>
            </w:r>
            <w:r w:rsidR="00C47F2E">
              <w:rPr>
                <w:noProof/>
                <w:webHidden/>
              </w:rPr>
              <w:fldChar w:fldCharType="end"/>
            </w:r>
          </w:hyperlink>
        </w:p>
        <w:p w14:paraId="6A98C3B6" w14:textId="6F64A78F" w:rsidR="00C47F2E" w:rsidRDefault="00F953EA">
          <w:pPr>
            <w:pStyle w:val="Turinys2"/>
            <w:tabs>
              <w:tab w:val="right" w:leader="dot" w:pos="9628"/>
            </w:tabs>
            <w:rPr>
              <w:rFonts w:eastAsiaTheme="minorEastAsia" w:cstheme="minorBidi"/>
              <w:b w:val="0"/>
              <w:bCs w:val="0"/>
              <w:noProof/>
              <w:color w:val="auto"/>
              <w:sz w:val="24"/>
              <w:szCs w:val="24"/>
            </w:rPr>
          </w:pPr>
          <w:hyperlink w:anchor="_Toc71819701" w:history="1">
            <w:r w:rsidR="00C47F2E" w:rsidRPr="003752A0">
              <w:rPr>
                <w:rStyle w:val="Hipersaitas"/>
                <w:noProof/>
              </w:rPr>
              <w:t>2020 m. rugsėjo 16 d. prejudicinis sprendimas byloje C</w:t>
            </w:r>
            <w:r w:rsidR="00C47F2E" w:rsidRPr="003752A0">
              <w:rPr>
                <w:rStyle w:val="Hipersaitas"/>
                <w:rFonts w:ascii="Cambria Math" w:hAnsi="Cambria Math" w:cs="Cambria Math"/>
                <w:noProof/>
              </w:rPr>
              <w:t>‑</w:t>
            </w:r>
            <w:r w:rsidR="00C47F2E" w:rsidRPr="003752A0">
              <w:rPr>
                <w:rStyle w:val="Hipersaitas"/>
                <w:noProof/>
              </w:rPr>
              <w:t>312/19</w:t>
            </w:r>
            <w:r w:rsidR="00C47F2E">
              <w:rPr>
                <w:noProof/>
                <w:webHidden/>
              </w:rPr>
              <w:tab/>
            </w:r>
            <w:r w:rsidR="00C47F2E">
              <w:rPr>
                <w:noProof/>
                <w:webHidden/>
              </w:rPr>
              <w:fldChar w:fldCharType="begin"/>
            </w:r>
            <w:r w:rsidR="00C47F2E">
              <w:rPr>
                <w:noProof/>
                <w:webHidden/>
              </w:rPr>
              <w:instrText xml:space="preserve"> PAGEREF _Toc71819701 \h </w:instrText>
            </w:r>
            <w:r w:rsidR="00C47F2E">
              <w:rPr>
                <w:noProof/>
                <w:webHidden/>
              </w:rPr>
            </w:r>
            <w:r w:rsidR="00C47F2E">
              <w:rPr>
                <w:noProof/>
                <w:webHidden/>
              </w:rPr>
              <w:fldChar w:fldCharType="separate"/>
            </w:r>
            <w:r w:rsidR="00C47F2E">
              <w:rPr>
                <w:noProof/>
                <w:webHidden/>
              </w:rPr>
              <w:t>12</w:t>
            </w:r>
            <w:r w:rsidR="00C47F2E">
              <w:rPr>
                <w:noProof/>
                <w:webHidden/>
              </w:rPr>
              <w:fldChar w:fldCharType="end"/>
            </w:r>
          </w:hyperlink>
        </w:p>
        <w:p w14:paraId="01990712" w14:textId="3660E0B8" w:rsidR="00C47F2E" w:rsidRDefault="00F953EA">
          <w:pPr>
            <w:pStyle w:val="Turinys3"/>
            <w:tabs>
              <w:tab w:val="right" w:leader="dot" w:pos="9628"/>
            </w:tabs>
            <w:rPr>
              <w:rFonts w:eastAsiaTheme="minorEastAsia" w:cstheme="minorBidi"/>
              <w:noProof/>
              <w:sz w:val="24"/>
              <w:szCs w:val="24"/>
            </w:rPr>
          </w:pPr>
          <w:hyperlink w:anchor="_Toc71819702" w:history="1">
            <w:r w:rsidR="00C47F2E" w:rsidRPr="003752A0">
              <w:rPr>
                <w:rStyle w:val="Hipersaitas"/>
                <w:noProof/>
              </w:rPr>
              <w:t>Dėl teisinio subjektiškumo neturinčio asmens (partnerių, sudariusių jungtinės veiklos sutartį) nepripažinimo apmokestinamuoju asmeniu, atsakingu už prievolės sumokėti PVM įvykdymą</w:t>
            </w:r>
            <w:r w:rsidR="00C47F2E">
              <w:rPr>
                <w:noProof/>
                <w:webHidden/>
              </w:rPr>
              <w:tab/>
            </w:r>
            <w:r w:rsidR="00C47F2E">
              <w:rPr>
                <w:noProof/>
                <w:webHidden/>
              </w:rPr>
              <w:fldChar w:fldCharType="begin"/>
            </w:r>
            <w:r w:rsidR="00C47F2E">
              <w:rPr>
                <w:noProof/>
                <w:webHidden/>
              </w:rPr>
              <w:instrText xml:space="preserve"> PAGEREF _Toc71819702 \h </w:instrText>
            </w:r>
            <w:r w:rsidR="00C47F2E">
              <w:rPr>
                <w:noProof/>
                <w:webHidden/>
              </w:rPr>
            </w:r>
            <w:r w:rsidR="00C47F2E">
              <w:rPr>
                <w:noProof/>
                <w:webHidden/>
              </w:rPr>
              <w:fldChar w:fldCharType="separate"/>
            </w:r>
            <w:r w:rsidR="00C47F2E">
              <w:rPr>
                <w:noProof/>
                <w:webHidden/>
              </w:rPr>
              <w:t>12</w:t>
            </w:r>
            <w:r w:rsidR="00C47F2E">
              <w:rPr>
                <w:noProof/>
                <w:webHidden/>
              </w:rPr>
              <w:fldChar w:fldCharType="end"/>
            </w:r>
          </w:hyperlink>
        </w:p>
        <w:p w14:paraId="66B0EADE" w14:textId="0FCC5074" w:rsidR="00C47F2E" w:rsidRDefault="00F953EA">
          <w:pPr>
            <w:pStyle w:val="Turinys2"/>
            <w:tabs>
              <w:tab w:val="right" w:leader="dot" w:pos="9628"/>
            </w:tabs>
            <w:rPr>
              <w:rFonts w:eastAsiaTheme="minorEastAsia" w:cstheme="minorBidi"/>
              <w:b w:val="0"/>
              <w:bCs w:val="0"/>
              <w:noProof/>
              <w:color w:val="auto"/>
              <w:sz w:val="24"/>
              <w:szCs w:val="24"/>
            </w:rPr>
          </w:pPr>
          <w:hyperlink w:anchor="_Toc71819703" w:history="1">
            <w:r w:rsidR="00C47F2E" w:rsidRPr="003752A0">
              <w:rPr>
                <w:rStyle w:val="Hipersaitas"/>
                <w:noProof/>
              </w:rPr>
              <w:t>2020 m. spalio 6 d. prejudicinis sprendimas sujungtose bylose C</w:t>
            </w:r>
            <w:r w:rsidR="00C47F2E" w:rsidRPr="003752A0">
              <w:rPr>
                <w:rStyle w:val="Hipersaitas"/>
                <w:rFonts w:ascii="Cambria Math" w:hAnsi="Cambria Math" w:cs="Cambria Math"/>
                <w:noProof/>
              </w:rPr>
              <w:t>‑</w:t>
            </w:r>
            <w:r w:rsidR="00C47F2E" w:rsidRPr="003752A0">
              <w:rPr>
                <w:rStyle w:val="Hipersaitas"/>
                <w:noProof/>
              </w:rPr>
              <w:t>245/19 ir C</w:t>
            </w:r>
            <w:r w:rsidR="00C47F2E" w:rsidRPr="003752A0">
              <w:rPr>
                <w:rStyle w:val="Hipersaitas"/>
                <w:rFonts w:ascii="Cambria Math" w:hAnsi="Cambria Math" w:cs="Cambria Math"/>
                <w:noProof/>
              </w:rPr>
              <w:t>‑</w:t>
            </w:r>
            <w:r w:rsidR="00C47F2E" w:rsidRPr="003752A0">
              <w:rPr>
                <w:rStyle w:val="Hipersaitas"/>
                <w:noProof/>
              </w:rPr>
              <w:t>246/19</w:t>
            </w:r>
            <w:r w:rsidR="00C47F2E">
              <w:rPr>
                <w:noProof/>
                <w:webHidden/>
              </w:rPr>
              <w:tab/>
            </w:r>
            <w:r w:rsidR="00C47F2E">
              <w:rPr>
                <w:noProof/>
                <w:webHidden/>
              </w:rPr>
              <w:fldChar w:fldCharType="begin"/>
            </w:r>
            <w:r w:rsidR="00C47F2E">
              <w:rPr>
                <w:noProof/>
                <w:webHidden/>
              </w:rPr>
              <w:instrText xml:space="preserve"> PAGEREF _Toc71819703 \h </w:instrText>
            </w:r>
            <w:r w:rsidR="00C47F2E">
              <w:rPr>
                <w:noProof/>
                <w:webHidden/>
              </w:rPr>
            </w:r>
            <w:r w:rsidR="00C47F2E">
              <w:rPr>
                <w:noProof/>
                <w:webHidden/>
              </w:rPr>
              <w:fldChar w:fldCharType="separate"/>
            </w:r>
            <w:r w:rsidR="00C47F2E">
              <w:rPr>
                <w:noProof/>
                <w:webHidden/>
              </w:rPr>
              <w:t>14</w:t>
            </w:r>
            <w:r w:rsidR="00C47F2E">
              <w:rPr>
                <w:noProof/>
                <w:webHidden/>
              </w:rPr>
              <w:fldChar w:fldCharType="end"/>
            </w:r>
          </w:hyperlink>
        </w:p>
        <w:p w14:paraId="2C2F42BB" w14:textId="44A09BAB" w:rsidR="00C47F2E" w:rsidRDefault="00F953EA">
          <w:pPr>
            <w:pStyle w:val="Turinys3"/>
            <w:tabs>
              <w:tab w:val="right" w:leader="dot" w:pos="9628"/>
            </w:tabs>
            <w:rPr>
              <w:rFonts w:eastAsiaTheme="minorEastAsia" w:cstheme="minorBidi"/>
              <w:noProof/>
              <w:sz w:val="24"/>
              <w:szCs w:val="24"/>
            </w:rPr>
          </w:pPr>
          <w:hyperlink w:anchor="_Toc71819704" w:history="1">
            <w:r w:rsidR="00C47F2E" w:rsidRPr="003752A0">
              <w:rPr>
                <w:rStyle w:val="Hipersaitas"/>
                <w:noProof/>
              </w:rPr>
              <w:t>Dėl įpareigojimo pateikti informaciją valstybės narės kompetentingai institucijai, kuri veikia gavusi kitos valstybės narės kompetentingos institucijos prašymą keistis informacija</w:t>
            </w:r>
            <w:r w:rsidR="00C47F2E">
              <w:rPr>
                <w:noProof/>
                <w:webHidden/>
              </w:rPr>
              <w:tab/>
            </w:r>
            <w:r w:rsidR="00C47F2E">
              <w:rPr>
                <w:noProof/>
                <w:webHidden/>
              </w:rPr>
              <w:fldChar w:fldCharType="begin"/>
            </w:r>
            <w:r w:rsidR="00C47F2E">
              <w:rPr>
                <w:noProof/>
                <w:webHidden/>
              </w:rPr>
              <w:instrText xml:space="preserve"> PAGEREF _Toc71819704 \h </w:instrText>
            </w:r>
            <w:r w:rsidR="00C47F2E">
              <w:rPr>
                <w:noProof/>
                <w:webHidden/>
              </w:rPr>
            </w:r>
            <w:r w:rsidR="00C47F2E">
              <w:rPr>
                <w:noProof/>
                <w:webHidden/>
              </w:rPr>
              <w:fldChar w:fldCharType="separate"/>
            </w:r>
            <w:r w:rsidR="00C47F2E">
              <w:rPr>
                <w:noProof/>
                <w:webHidden/>
              </w:rPr>
              <w:t>14</w:t>
            </w:r>
            <w:r w:rsidR="00C47F2E">
              <w:rPr>
                <w:noProof/>
                <w:webHidden/>
              </w:rPr>
              <w:fldChar w:fldCharType="end"/>
            </w:r>
          </w:hyperlink>
        </w:p>
        <w:p w14:paraId="2C1FDD72" w14:textId="28B89D99" w:rsidR="00C47F2E" w:rsidRDefault="00F953EA">
          <w:pPr>
            <w:pStyle w:val="Turinys3"/>
            <w:tabs>
              <w:tab w:val="right" w:leader="dot" w:pos="9628"/>
            </w:tabs>
            <w:rPr>
              <w:rFonts w:eastAsiaTheme="minorEastAsia" w:cstheme="minorBidi"/>
              <w:noProof/>
              <w:sz w:val="24"/>
              <w:szCs w:val="24"/>
            </w:rPr>
          </w:pPr>
          <w:hyperlink w:anchor="_Toc71819705" w:history="1">
            <w:r w:rsidR="00C47F2E" w:rsidRPr="003752A0">
              <w:rPr>
                <w:rStyle w:val="Hipersaitas"/>
                <w:noProof/>
              </w:rPr>
              <w:t>Dėl informaciją turinčio asmens, kuris įpareigotas ją pateikti, teisės į veiksmingą gynybą, kai už šio įpareigojimo nevykdymą yra numatyta sankcija</w:t>
            </w:r>
            <w:r w:rsidR="00C47F2E">
              <w:rPr>
                <w:noProof/>
                <w:webHidden/>
              </w:rPr>
              <w:tab/>
            </w:r>
            <w:r w:rsidR="00C47F2E">
              <w:rPr>
                <w:noProof/>
                <w:webHidden/>
              </w:rPr>
              <w:fldChar w:fldCharType="begin"/>
            </w:r>
            <w:r w:rsidR="00C47F2E">
              <w:rPr>
                <w:noProof/>
                <w:webHidden/>
              </w:rPr>
              <w:instrText xml:space="preserve"> PAGEREF _Toc71819705 \h </w:instrText>
            </w:r>
            <w:r w:rsidR="00C47F2E">
              <w:rPr>
                <w:noProof/>
                <w:webHidden/>
              </w:rPr>
            </w:r>
            <w:r w:rsidR="00C47F2E">
              <w:rPr>
                <w:noProof/>
                <w:webHidden/>
              </w:rPr>
              <w:fldChar w:fldCharType="separate"/>
            </w:r>
            <w:r w:rsidR="00C47F2E">
              <w:rPr>
                <w:noProof/>
                <w:webHidden/>
              </w:rPr>
              <w:t>14</w:t>
            </w:r>
            <w:r w:rsidR="00C47F2E">
              <w:rPr>
                <w:noProof/>
                <w:webHidden/>
              </w:rPr>
              <w:fldChar w:fldCharType="end"/>
            </w:r>
          </w:hyperlink>
        </w:p>
        <w:p w14:paraId="5D7F2C43" w14:textId="7A28D92F" w:rsidR="00C47F2E" w:rsidRDefault="00F953EA">
          <w:pPr>
            <w:pStyle w:val="Turinys3"/>
            <w:tabs>
              <w:tab w:val="right" w:leader="dot" w:pos="9628"/>
            </w:tabs>
            <w:rPr>
              <w:rFonts w:eastAsiaTheme="minorEastAsia" w:cstheme="minorBidi"/>
              <w:noProof/>
              <w:sz w:val="24"/>
              <w:szCs w:val="24"/>
            </w:rPr>
          </w:pPr>
          <w:hyperlink w:anchor="_Toc71819706" w:history="1">
            <w:r w:rsidR="00C47F2E" w:rsidRPr="003752A0">
              <w:rPr>
                <w:rStyle w:val="Hipersaitas"/>
                <w:noProof/>
              </w:rPr>
              <w:t>Dėl su tyrimu, dėl kurio buvo priimtas sprendimas įpareigoti trečiuosius asmenis pateikti informaciją, susijusio mokesčių mokėtojo teisės į veiksmingą teisinę gynybą</w:t>
            </w:r>
            <w:r w:rsidR="00C47F2E">
              <w:rPr>
                <w:noProof/>
                <w:webHidden/>
              </w:rPr>
              <w:tab/>
            </w:r>
            <w:r w:rsidR="00C47F2E">
              <w:rPr>
                <w:noProof/>
                <w:webHidden/>
              </w:rPr>
              <w:fldChar w:fldCharType="begin"/>
            </w:r>
            <w:r w:rsidR="00C47F2E">
              <w:rPr>
                <w:noProof/>
                <w:webHidden/>
              </w:rPr>
              <w:instrText xml:space="preserve"> PAGEREF _Toc71819706 \h </w:instrText>
            </w:r>
            <w:r w:rsidR="00C47F2E">
              <w:rPr>
                <w:noProof/>
                <w:webHidden/>
              </w:rPr>
            </w:r>
            <w:r w:rsidR="00C47F2E">
              <w:rPr>
                <w:noProof/>
                <w:webHidden/>
              </w:rPr>
              <w:fldChar w:fldCharType="separate"/>
            </w:r>
            <w:r w:rsidR="00C47F2E">
              <w:rPr>
                <w:noProof/>
                <w:webHidden/>
              </w:rPr>
              <w:t>15</w:t>
            </w:r>
            <w:r w:rsidR="00C47F2E">
              <w:rPr>
                <w:noProof/>
                <w:webHidden/>
              </w:rPr>
              <w:fldChar w:fldCharType="end"/>
            </w:r>
          </w:hyperlink>
        </w:p>
        <w:p w14:paraId="72D1FBF9" w14:textId="674C0016" w:rsidR="00C47F2E" w:rsidRDefault="00F953EA">
          <w:pPr>
            <w:pStyle w:val="Turinys3"/>
            <w:tabs>
              <w:tab w:val="right" w:leader="dot" w:pos="9628"/>
            </w:tabs>
            <w:rPr>
              <w:rFonts w:eastAsiaTheme="minorEastAsia" w:cstheme="minorBidi"/>
              <w:noProof/>
              <w:sz w:val="24"/>
              <w:szCs w:val="24"/>
            </w:rPr>
          </w:pPr>
          <w:hyperlink w:anchor="_Toc71819707" w:history="1">
            <w:r w:rsidR="00C47F2E" w:rsidRPr="003752A0">
              <w:rPr>
                <w:rStyle w:val="Hipersaitas"/>
                <w:noProof/>
              </w:rPr>
              <w:t>Dėl kitų nei mokesčių mokėtojas asmenų, minimų sprendime įpareigoti trečiuosius asmenis pateikti informaciją ar šioje informacijoje, teisės ginčyti tokį sprendimą</w:t>
            </w:r>
            <w:r w:rsidR="00C47F2E">
              <w:rPr>
                <w:noProof/>
                <w:webHidden/>
              </w:rPr>
              <w:tab/>
            </w:r>
            <w:r w:rsidR="00C47F2E">
              <w:rPr>
                <w:noProof/>
                <w:webHidden/>
              </w:rPr>
              <w:fldChar w:fldCharType="begin"/>
            </w:r>
            <w:r w:rsidR="00C47F2E">
              <w:rPr>
                <w:noProof/>
                <w:webHidden/>
              </w:rPr>
              <w:instrText xml:space="preserve"> PAGEREF _Toc71819707 \h </w:instrText>
            </w:r>
            <w:r w:rsidR="00C47F2E">
              <w:rPr>
                <w:noProof/>
                <w:webHidden/>
              </w:rPr>
            </w:r>
            <w:r w:rsidR="00C47F2E">
              <w:rPr>
                <w:noProof/>
                <w:webHidden/>
              </w:rPr>
              <w:fldChar w:fldCharType="separate"/>
            </w:r>
            <w:r w:rsidR="00C47F2E">
              <w:rPr>
                <w:noProof/>
                <w:webHidden/>
              </w:rPr>
              <w:t>15</w:t>
            </w:r>
            <w:r w:rsidR="00C47F2E">
              <w:rPr>
                <w:noProof/>
                <w:webHidden/>
              </w:rPr>
              <w:fldChar w:fldCharType="end"/>
            </w:r>
          </w:hyperlink>
        </w:p>
        <w:p w14:paraId="7CBC8666" w14:textId="2DE88047" w:rsidR="00C47F2E" w:rsidRDefault="00F953EA">
          <w:pPr>
            <w:pStyle w:val="Turinys1"/>
            <w:tabs>
              <w:tab w:val="right" w:leader="dot" w:pos="9628"/>
            </w:tabs>
            <w:rPr>
              <w:rFonts w:eastAsiaTheme="minorEastAsia" w:cstheme="minorBidi"/>
              <w:b w:val="0"/>
              <w:bCs w:val="0"/>
              <w:iCs w:val="0"/>
              <w:noProof/>
              <w:color w:val="auto"/>
              <w:sz w:val="24"/>
            </w:rPr>
          </w:pPr>
          <w:hyperlink w:anchor="_Toc71819708" w:history="1">
            <w:r w:rsidR="00C47F2E" w:rsidRPr="003752A0">
              <w:rPr>
                <w:rStyle w:val="Hipersaitas"/>
                <w:noProof/>
              </w:rPr>
              <w:t>STRUKTŪRINIAI FONDAI</w:t>
            </w:r>
            <w:r w:rsidR="00C47F2E">
              <w:rPr>
                <w:noProof/>
                <w:webHidden/>
              </w:rPr>
              <w:tab/>
            </w:r>
            <w:r w:rsidR="00C47F2E">
              <w:rPr>
                <w:noProof/>
                <w:webHidden/>
              </w:rPr>
              <w:fldChar w:fldCharType="begin"/>
            </w:r>
            <w:r w:rsidR="00C47F2E">
              <w:rPr>
                <w:noProof/>
                <w:webHidden/>
              </w:rPr>
              <w:instrText xml:space="preserve"> PAGEREF _Toc71819708 \h </w:instrText>
            </w:r>
            <w:r w:rsidR="00C47F2E">
              <w:rPr>
                <w:noProof/>
                <w:webHidden/>
              </w:rPr>
            </w:r>
            <w:r w:rsidR="00C47F2E">
              <w:rPr>
                <w:noProof/>
                <w:webHidden/>
              </w:rPr>
              <w:fldChar w:fldCharType="separate"/>
            </w:r>
            <w:r w:rsidR="00C47F2E">
              <w:rPr>
                <w:noProof/>
                <w:webHidden/>
              </w:rPr>
              <w:t>16</w:t>
            </w:r>
            <w:r w:rsidR="00C47F2E">
              <w:rPr>
                <w:noProof/>
                <w:webHidden/>
              </w:rPr>
              <w:fldChar w:fldCharType="end"/>
            </w:r>
          </w:hyperlink>
        </w:p>
        <w:p w14:paraId="677CFC80" w14:textId="0AE53B77" w:rsidR="00C47F2E" w:rsidRDefault="00F953EA">
          <w:pPr>
            <w:pStyle w:val="Turinys2"/>
            <w:tabs>
              <w:tab w:val="right" w:leader="dot" w:pos="9628"/>
            </w:tabs>
            <w:rPr>
              <w:rFonts w:eastAsiaTheme="minorEastAsia" w:cstheme="minorBidi"/>
              <w:b w:val="0"/>
              <w:bCs w:val="0"/>
              <w:noProof/>
              <w:color w:val="auto"/>
              <w:sz w:val="24"/>
              <w:szCs w:val="24"/>
            </w:rPr>
          </w:pPr>
          <w:hyperlink w:anchor="_Toc71819709" w:history="1">
            <w:r w:rsidR="00C47F2E" w:rsidRPr="003752A0">
              <w:rPr>
                <w:rStyle w:val="Hipersaitas"/>
                <w:noProof/>
              </w:rPr>
              <w:t>2020 m. spalio 1 d. prejudicinis sprendimas byloje C</w:t>
            </w:r>
            <w:r w:rsidR="00C47F2E" w:rsidRPr="003752A0">
              <w:rPr>
                <w:rStyle w:val="Hipersaitas"/>
                <w:noProof/>
              </w:rPr>
              <w:noBreakHyphen/>
              <w:t>743/18</w:t>
            </w:r>
            <w:r w:rsidR="00C47F2E">
              <w:rPr>
                <w:noProof/>
                <w:webHidden/>
              </w:rPr>
              <w:tab/>
            </w:r>
            <w:r w:rsidR="00C47F2E">
              <w:rPr>
                <w:noProof/>
                <w:webHidden/>
              </w:rPr>
              <w:fldChar w:fldCharType="begin"/>
            </w:r>
            <w:r w:rsidR="00C47F2E">
              <w:rPr>
                <w:noProof/>
                <w:webHidden/>
              </w:rPr>
              <w:instrText xml:space="preserve"> PAGEREF _Toc71819709 \h </w:instrText>
            </w:r>
            <w:r w:rsidR="00C47F2E">
              <w:rPr>
                <w:noProof/>
                <w:webHidden/>
              </w:rPr>
            </w:r>
            <w:r w:rsidR="00C47F2E">
              <w:rPr>
                <w:noProof/>
                <w:webHidden/>
              </w:rPr>
              <w:fldChar w:fldCharType="separate"/>
            </w:r>
            <w:r w:rsidR="00C47F2E">
              <w:rPr>
                <w:noProof/>
                <w:webHidden/>
              </w:rPr>
              <w:t>16</w:t>
            </w:r>
            <w:r w:rsidR="00C47F2E">
              <w:rPr>
                <w:noProof/>
                <w:webHidden/>
              </w:rPr>
              <w:fldChar w:fldCharType="end"/>
            </w:r>
          </w:hyperlink>
        </w:p>
        <w:p w14:paraId="40EFA7AC" w14:textId="3AC45BF9" w:rsidR="00C47F2E" w:rsidRDefault="00F953EA">
          <w:pPr>
            <w:pStyle w:val="Turinys3"/>
            <w:tabs>
              <w:tab w:val="right" w:leader="dot" w:pos="9628"/>
            </w:tabs>
            <w:rPr>
              <w:rFonts w:eastAsiaTheme="minorEastAsia" w:cstheme="minorBidi"/>
              <w:noProof/>
              <w:sz w:val="24"/>
              <w:szCs w:val="24"/>
            </w:rPr>
          </w:pPr>
          <w:hyperlink w:anchor="_Toc71819710" w:history="1">
            <w:r w:rsidR="00C47F2E" w:rsidRPr="003752A0">
              <w:rPr>
                <w:rStyle w:val="Hipersaitas"/>
                <w:rFonts w:eastAsia="Times New Roman"/>
                <w:noProof/>
                <w:lang w:eastAsia="lt-LT"/>
              </w:rPr>
              <w:t xml:space="preserve">Dėl </w:t>
            </w:r>
            <w:r w:rsidR="00C47F2E" w:rsidRPr="003752A0">
              <w:rPr>
                <w:rStyle w:val="Hipersaitas"/>
                <w:noProof/>
              </w:rPr>
              <w:t>pažeidimo buvimo, kai dėl savo vienintelio verslo partnerio nemokumo ar veiklos nutraukimo paramos gavėjas atitinkamu laikotarpiu nepasiekia finansuojamame projekte numatyto apyvartos lygio</w:t>
            </w:r>
            <w:r w:rsidR="00C47F2E">
              <w:rPr>
                <w:noProof/>
                <w:webHidden/>
              </w:rPr>
              <w:tab/>
            </w:r>
            <w:r w:rsidR="00C47F2E">
              <w:rPr>
                <w:noProof/>
                <w:webHidden/>
              </w:rPr>
              <w:fldChar w:fldCharType="begin"/>
            </w:r>
            <w:r w:rsidR="00C47F2E">
              <w:rPr>
                <w:noProof/>
                <w:webHidden/>
              </w:rPr>
              <w:instrText xml:space="preserve"> PAGEREF _Toc71819710 \h </w:instrText>
            </w:r>
            <w:r w:rsidR="00C47F2E">
              <w:rPr>
                <w:noProof/>
                <w:webHidden/>
              </w:rPr>
            </w:r>
            <w:r w:rsidR="00C47F2E">
              <w:rPr>
                <w:noProof/>
                <w:webHidden/>
              </w:rPr>
              <w:fldChar w:fldCharType="separate"/>
            </w:r>
            <w:r w:rsidR="00C47F2E">
              <w:rPr>
                <w:noProof/>
                <w:webHidden/>
              </w:rPr>
              <w:t>17</w:t>
            </w:r>
            <w:r w:rsidR="00C47F2E">
              <w:rPr>
                <w:noProof/>
                <w:webHidden/>
              </w:rPr>
              <w:fldChar w:fldCharType="end"/>
            </w:r>
          </w:hyperlink>
        </w:p>
        <w:p w14:paraId="45003DE9" w14:textId="3296DBE5" w:rsidR="00C47F2E" w:rsidRDefault="00F953EA">
          <w:pPr>
            <w:pStyle w:val="Turinys1"/>
            <w:tabs>
              <w:tab w:val="right" w:leader="dot" w:pos="9628"/>
            </w:tabs>
            <w:rPr>
              <w:rFonts w:eastAsiaTheme="minorEastAsia" w:cstheme="minorBidi"/>
              <w:b w:val="0"/>
              <w:bCs w:val="0"/>
              <w:iCs w:val="0"/>
              <w:noProof/>
              <w:color w:val="auto"/>
              <w:sz w:val="24"/>
            </w:rPr>
          </w:pPr>
          <w:hyperlink w:anchor="_Toc71819711" w:history="1">
            <w:r w:rsidR="00C47F2E" w:rsidRPr="003752A0">
              <w:rPr>
                <w:rStyle w:val="Hipersaitas"/>
                <w:noProof/>
              </w:rPr>
              <w:t>SVEIKATOS APSAUGA</w:t>
            </w:r>
            <w:r w:rsidR="00C47F2E">
              <w:rPr>
                <w:noProof/>
                <w:webHidden/>
              </w:rPr>
              <w:tab/>
            </w:r>
            <w:r w:rsidR="00C47F2E">
              <w:rPr>
                <w:noProof/>
                <w:webHidden/>
              </w:rPr>
              <w:fldChar w:fldCharType="begin"/>
            </w:r>
            <w:r w:rsidR="00C47F2E">
              <w:rPr>
                <w:noProof/>
                <w:webHidden/>
              </w:rPr>
              <w:instrText xml:space="preserve"> PAGEREF _Toc71819711 \h </w:instrText>
            </w:r>
            <w:r w:rsidR="00C47F2E">
              <w:rPr>
                <w:noProof/>
                <w:webHidden/>
              </w:rPr>
            </w:r>
            <w:r w:rsidR="00C47F2E">
              <w:rPr>
                <w:noProof/>
                <w:webHidden/>
              </w:rPr>
              <w:fldChar w:fldCharType="separate"/>
            </w:r>
            <w:r w:rsidR="00C47F2E">
              <w:rPr>
                <w:noProof/>
                <w:webHidden/>
              </w:rPr>
              <w:t>18</w:t>
            </w:r>
            <w:r w:rsidR="00C47F2E">
              <w:rPr>
                <w:noProof/>
                <w:webHidden/>
              </w:rPr>
              <w:fldChar w:fldCharType="end"/>
            </w:r>
          </w:hyperlink>
        </w:p>
        <w:p w14:paraId="3553F7F9" w14:textId="3D506782" w:rsidR="00C47F2E" w:rsidRDefault="00F953EA">
          <w:pPr>
            <w:pStyle w:val="Turinys2"/>
            <w:tabs>
              <w:tab w:val="right" w:leader="dot" w:pos="9628"/>
            </w:tabs>
            <w:rPr>
              <w:rFonts w:eastAsiaTheme="minorEastAsia" w:cstheme="minorBidi"/>
              <w:b w:val="0"/>
              <w:bCs w:val="0"/>
              <w:noProof/>
              <w:color w:val="auto"/>
              <w:sz w:val="24"/>
              <w:szCs w:val="24"/>
            </w:rPr>
          </w:pPr>
          <w:hyperlink w:anchor="_Toc71819712" w:history="1">
            <w:r w:rsidR="00C47F2E" w:rsidRPr="003752A0">
              <w:rPr>
                <w:rStyle w:val="Hipersaitas"/>
                <w:noProof/>
              </w:rPr>
              <w:t>2020 m. rugsėjo 23 d. prejudicinis sprendimas byloje C</w:t>
            </w:r>
            <w:r w:rsidR="00C47F2E" w:rsidRPr="003752A0">
              <w:rPr>
                <w:rStyle w:val="Hipersaitas"/>
                <w:noProof/>
              </w:rPr>
              <w:noBreakHyphen/>
              <w:t>777/18</w:t>
            </w:r>
            <w:r w:rsidR="00C47F2E">
              <w:rPr>
                <w:noProof/>
                <w:webHidden/>
              </w:rPr>
              <w:tab/>
            </w:r>
            <w:r w:rsidR="00C47F2E">
              <w:rPr>
                <w:noProof/>
                <w:webHidden/>
              </w:rPr>
              <w:fldChar w:fldCharType="begin"/>
            </w:r>
            <w:r w:rsidR="00C47F2E">
              <w:rPr>
                <w:noProof/>
                <w:webHidden/>
              </w:rPr>
              <w:instrText xml:space="preserve"> PAGEREF _Toc71819712 \h </w:instrText>
            </w:r>
            <w:r w:rsidR="00C47F2E">
              <w:rPr>
                <w:noProof/>
                <w:webHidden/>
              </w:rPr>
            </w:r>
            <w:r w:rsidR="00C47F2E">
              <w:rPr>
                <w:noProof/>
                <w:webHidden/>
              </w:rPr>
              <w:fldChar w:fldCharType="separate"/>
            </w:r>
            <w:r w:rsidR="00C47F2E">
              <w:rPr>
                <w:noProof/>
                <w:webHidden/>
              </w:rPr>
              <w:t>18</w:t>
            </w:r>
            <w:r w:rsidR="00C47F2E">
              <w:rPr>
                <w:noProof/>
                <w:webHidden/>
              </w:rPr>
              <w:fldChar w:fldCharType="end"/>
            </w:r>
          </w:hyperlink>
        </w:p>
        <w:p w14:paraId="715CED9C" w14:textId="2D8DE661" w:rsidR="00C47F2E" w:rsidRDefault="00F953EA">
          <w:pPr>
            <w:pStyle w:val="Turinys3"/>
            <w:tabs>
              <w:tab w:val="right" w:leader="dot" w:pos="9628"/>
            </w:tabs>
            <w:rPr>
              <w:rFonts w:eastAsiaTheme="minorEastAsia" w:cstheme="minorBidi"/>
              <w:noProof/>
              <w:sz w:val="24"/>
              <w:szCs w:val="24"/>
            </w:rPr>
          </w:pPr>
          <w:hyperlink w:anchor="_Toc71819713" w:history="1">
            <w:r w:rsidR="00C47F2E" w:rsidRPr="003752A0">
              <w:rPr>
                <w:rStyle w:val="Hipersaitas"/>
                <w:noProof/>
              </w:rPr>
              <w:t>Dėl sąvokos „planinis gydymas“ ir dėl tokio gydymo išlaidų apmokėjimo sąlygų</w:t>
            </w:r>
            <w:r w:rsidR="00C47F2E">
              <w:rPr>
                <w:noProof/>
                <w:webHidden/>
              </w:rPr>
              <w:tab/>
            </w:r>
            <w:r w:rsidR="00C47F2E">
              <w:rPr>
                <w:noProof/>
                <w:webHidden/>
              </w:rPr>
              <w:fldChar w:fldCharType="begin"/>
            </w:r>
            <w:r w:rsidR="00C47F2E">
              <w:rPr>
                <w:noProof/>
                <w:webHidden/>
              </w:rPr>
              <w:instrText xml:space="preserve"> PAGEREF _Toc71819713 \h </w:instrText>
            </w:r>
            <w:r w:rsidR="00C47F2E">
              <w:rPr>
                <w:noProof/>
                <w:webHidden/>
              </w:rPr>
            </w:r>
            <w:r w:rsidR="00C47F2E">
              <w:rPr>
                <w:noProof/>
                <w:webHidden/>
              </w:rPr>
              <w:fldChar w:fldCharType="separate"/>
            </w:r>
            <w:r w:rsidR="00C47F2E">
              <w:rPr>
                <w:noProof/>
                <w:webHidden/>
              </w:rPr>
              <w:t>19</w:t>
            </w:r>
            <w:r w:rsidR="00C47F2E">
              <w:rPr>
                <w:noProof/>
                <w:webHidden/>
              </w:rPr>
              <w:fldChar w:fldCharType="end"/>
            </w:r>
          </w:hyperlink>
        </w:p>
        <w:p w14:paraId="151477EE" w14:textId="5FC0F9B0" w:rsidR="00C47F2E" w:rsidRDefault="00F953EA">
          <w:pPr>
            <w:pStyle w:val="Turinys3"/>
            <w:tabs>
              <w:tab w:val="right" w:leader="dot" w:pos="9628"/>
            </w:tabs>
            <w:rPr>
              <w:rFonts w:eastAsiaTheme="minorEastAsia" w:cstheme="minorBidi"/>
              <w:noProof/>
              <w:sz w:val="24"/>
              <w:szCs w:val="24"/>
            </w:rPr>
          </w:pPr>
          <w:hyperlink w:anchor="_Toc71819714" w:history="1">
            <w:r w:rsidR="00C47F2E" w:rsidRPr="003752A0">
              <w:rPr>
                <w:rStyle w:val="Hipersaitas"/>
                <w:noProof/>
              </w:rPr>
              <w:t>Dėl teisės į planinio gydymo išlaidų kompensavimą neturint išankstinio leidimo</w:t>
            </w:r>
            <w:r w:rsidR="00C47F2E">
              <w:rPr>
                <w:noProof/>
                <w:webHidden/>
              </w:rPr>
              <w:tab/>
            </w:r>
            <w:r w:rsidR="00C47F2E">
              <w:rPr>
                <w:noProof/>
                <w:webHidden/>
              </w:rPr>
              <w:fldChar w:fldCharType="begin"/>
            </w:r>
            <w:r w:rsidR="00C47F2E">
              <w:rPr>
                <w:noProof/>
                <w:webHidden/>
              </w:rPr>
              <w:instrText xml:space="preserve"> PAGEREF _Toc71819714 \h </w:instrText>
            </w:r>
            <w:r w:rsidR="00C47F2E">
              <w:rPr>
                <w:noProof/>
                <w:webHidden/>
              </w:rPr>
            </w:r>
            <w:r w:rsidR="00C47F2E">
              <w:rPr>
                <w:noProof/>
                <w:webHidden/>
              </w:rPr>
              <w:fldChar w:fldCharType="separate"/>
            </w:r>
            <w:r w:rsidR="00C47F2E">
              <w:rPr>
                <w:noProof/>
                <w:webHidden/>
              </w:rPr>
              <w:t>19</w:t>
            </w:r>
            <w:r w:rsidR="00C47F2E">
              <w:rPr>
                <w:noProof/>
                <w:webHidden/>
              </w:rPr>
              <w:fldChar w:fldCharType="end"/>
            </w:r>
          </w:hyperlink>
        </w:p>
        <w:p w14:paraId="4D499B7C" w14:textId="538BD453" w:rsidR="00C47F2E" w:rsidRDefault="00F953EA">
          <w:pPr>
            <w:pStyle w:val="Turinys3"/>
            <w:tabs>
              <w:tab w:val="right" w:leader="dot" w:pos="9628"/>
            </w:tabs>
            <w:rPr>
              <w:rFonts w:eastAsiaTheme="minorEastAsia" w:cstheme="minorBidi"/>
              <w:noProof/>
              <w:sz w:val="24"/>
              <w:szCs w:val="24"/>
            </w:rPr>
          </w:pPr>
          <w:hyperlink w:anchor="_Toc71819715" w:history="1">
            <w:r w:rsidR="00C47F2E" w:rsidRPr="003752A0">
              <w:rPr>
                <w:rStyle w:val="Hipersaitas"/>
                <w:noProof/>
              </w:rPr>
              <w:t>Dėl išankstinio leidimo atsižvelgiant į SESV 56 straipsnį ir į Direktyvą 2011/24</w:t>
            </w:r>
            <w:r w:rsidR="00C47F2E">
              <w:rPr>
                <w:noProof/>
                <w:webHidden/>
              </w:rPr>
              <w:tab/>
            </w:r>
            <w:r w:rsidR="00C47F2E">
              <w:rPr>
                <w:noProof/>
                <w:webHidden/>
              </w:rPr>
              <w:fldChar w:fldCharType="begin"/>
            </w:r>
            <w:r w:rsidR="00C47F2E">
              <w:rPr>
                <w:noProof/>
                <w:webHidden/>
              </w:rPr>
              <w:instrText xml:space="preserve"> PAGEREF _Toc71819715 \h </w:instrText>
            </w:r>
            <w:r w:rsidR="00C47F2E">
              <w:rPr>
                <w:noProof/>
                <w:webHidden/>
              </w:rPr>
            </w:r>
            <w:r w:rsidR="00C47F2E">
              <w:rPr>
                <w:noProof/>
                <w:webHidden/>
              </w:rPr>
              <w:fldChar w:fldCharType="separate"/>
            </w:r>
            <w:r w:rsidR="00C47F2E">
              <w:rPr>
                <w:noProof/>
                <w:webHidden/>
              </w:rPr>
              <w:t>19</w:t>
            </w:r>
            <w:r w:rsidR="00C47F2E">
              <w:rPr>
                <w:noProof/>
                <w:webHidden/>
              </w:rPr>
              <w:fldChar w:fldCharType="end"/>
            </w:r>
          </w:hyperlink>
        </w:p>
        <w:p w14:paraId="1BDEBC77" w14:textId="10947757" w:rsidR="00C47F2E" w:rsidRDefault="00F953EA">
          <w:pPr>
            <w:pStyle w:val="Turinys1"/>
            <w:tabs>
              <w:tab w:val="right" w:leader="dot" w:pos="9628"/>
            </w:tabs>
            <w:rPr>
              <w:rFonts w:eastAsiaTheme="minorEastAsia" w:cstheme="minorBidi"/>
              <w:b w:val="0"/>
              <w:bCs w:val="0"/>
              <w:iCs w:val="0"/>
              <w:noProof/>
              <w:color w:val="auto"/>
              <w:sz w:val="24"/>
            </w:rPr>
          </w:pPr>
          <w:hyperlink w:anchor="_Toc71819716" w:history="1">
            <w:r w:rsidR="00C47F2E" w:rsidRPr="003752A0">
              <w:rPr>
                <w:rStyle w:val="Hipersaitas"/>
                <w:noProof/>
              </w:rPr>
              <w:t>VARTOTOJŲ APSAUGA</w:t>
            </w:r>
            <w:r w:rsidR="00C47F2E">
              <w:rPr>
                <w:noProof/>
                <w:webHidden/>
              </w:rPr>
              <w:tab/>
            </w:r>
            <w:r w:rsidR="00C47F2E">
              <w:rPr>
                <w:noProof/>
                <w:webHidden/>
              </w:rPr>
              <w:fldChar w:fldCharType="begin"/>
            </w:r>
            <w:r w:rsidR="00C47F2E">
              <w:rPr>
                <w:noProof/>
                <w:webHidden/>
              </w:rPr>
              <w:instrText xml:space="preserve"> PAGEREF _Toc71819716 \h </w:instrText>
            </w:r>
            <w:r w:rsidR="00C47F2E">
              <w:rPr>
                <w:noProof/>
                <w:webHidden/>
              </w:rPr>
            </w:r>
            <w:r w:rsidR="00C47F2E">
              <w:rPr>
                <w:noProof/>
                <w:webHidden/>
              </w:rPr>
              <w:fldChar w:fldCharType="separate"/>
            </w:r>
            <w:r w:rsidR="00C47F2E">
              <w:rPr>
                <w:noProof/>
                <w:webHidden/>
              </w:rPr>
              <w:t>20</w:t>
            </w:r>
            <w:r w:rsidR="00C47F2E">
              <w:rPr>
                <w:noProof/>
                <w:webHidden/>
              </w:rPr>
              <w:fldChar w:fldCharType="end"/>
            </w:r>
          </w:hyperlink>
        </w:p>
        <w:p w14:paraId="4AF0E198" w14:textId="5DAC429E" w:rsidR="00C47F2E" w:rsidRDefault="00F953EA">
          <w:pPr>
            <w:pStyle w:val="Turinys2"/>
            <w:tabs>
              <w:tab w:val="right" w:leader="dot" w:pos="9628"/>
            </w:tabs>
            <w:rPr>
              <w:rFonts w:eastAsiaTheme="minorEastAsia" w:cstheme="minorBidi"/>
              <w:b w:val="0"/>
              <w:bCs w:val="0"/>
              <w:noProof/>
              <w:color w:val="auto"/>
              <w:sz w:val="24"/>
              <w:szCs w:val="24"/>
            </w:rPr>
          </w:pPr>
          <w:hyperlink w:anchor="_Toc71819717" w:history="1">
            <w:r w:rsidR="00C47F2E" w:rsidRPr="003752A0">
              <w:rPr>
                <w:rStyle w:val="Hipersaitas"/>
                <w:noProof/>
              </w:rPr>
              <w:t>2020 m. rugsėjo 3 d. didžiosios kolegijos prejudicinis sprendimas sujungtose bylose C</w:t>
            </w:r>
            <w:r w:rsidR="00C47F2E" w:rsidRPr="003752A0">
              <w:rPr>
                <w:rStyle w:val="Hipersaitas"/>
                <w:noProof/>
              </w:rPr>
              <w:noBreakHyphen/>
              <w:t>807/18 ir C</w:t>
            </w:r>
            <w:r w:rsidR="00C47F2E" w:rsidRPr="003752A0">
              <w:rPr>
                <w:rStyle w:val="Hipersaitas"/>
                <w:noProof/>
              </w:rPr>
              <w:noBreakHyphen/>
              <w:t>39/19</w:t>
            </w:r>
            <w:r w:rsidR="00C47F2E">
              <w:rPr>
                <w:noProof/>
                <w:webHidden/>
              </w:rPr>
              <w:tab/>
            </w:r>
            <w:r w:rsidR="00C47F2E">
              <w:rPr>
                <w:noProof/>
                <w:webHidden/>
              </w:rPr>
              <w:fldChar w:fldCharType="begin"/>
            </w:r>
            <w:r w:rsidR="00C47F2E">
              <w:rPr>
                <w:noProof/>
                <w:webHidden/>
              </w:rPr>
              <w:instrText xml:space="preserve"> PAGEREF _Toc71819717 \h </w:instrText>
            </w:r>
            <w:r w:rsidR="00C47F2E">
              <w:rPr>
                <w:noProof/>
                <w:webHidden/>
              </w:rPr>
            </w:r>
            <w:r w:rsidR="00C47F2E">
              <w:rPr>
                <w:noProof/>
                <w:webHidden/>
              </w:rPr>
              <w:fldChar w:fldCharType="separate"/>
            </w:r>
            <w:r w:rsidR="00C47F2E">
              <w:rPr>
                <w:noProof/>
                <w:webHidden/>
              </w:rPr>
              <w:t>20</w:t>
            </w:r>
            <w:r w:rsidR="00C47F2E">
              <w:rPr>
                <w:noProof/>
                <w:webHidden/>
              </w:rPr>
              <w:fldChar w:fldCharType="end"/>
            </w:r>
          </w:hyperlink>
        </w:p>
        <w:p w14:paraId="160B5F2F" w14:textId="2FFDF70C" w:rsidR="00C47F2E" w:rsidRDefault="00F953EA">
          <w:pPr>
            <w:pStyle w:val="Turinys3"/>
            <w:tabs>
              <w:tab w:val="right" w:leader="dot" w:pos="9628"/>
            </w:tabs>
            <w:rPr>
              <w:rFonts w:eastAsiaTheme="minorEastAsia" w:cstheme="minorBidi"/>
              <w:noProof/>
              <w:sz w:val="24"/>
              <w:szCs w:val="24"/>
            </w:rPr>
          </w:pPr>
          <w:hyperlink w:anchor="_Toc71819718" w:history="1">
            <w:r w:rsidR="00C47F2E" w:rsidRPr="003752A0">
              <w:rPr>
                <w:rStyle w:val="Hipersaitas"/>
                <w:noProof/>
              </w:rPr>
              <w:t>Dėl interneto prieigos teikėjo vykdomo privilegijavimo tam tikroms taikomosioms programoms ir paslaugoms prieštaravimo interneto vartotojų teisių apsaugos reikalavimams ir pareigai valdyti srautą be diskriminacijos vertinimo</w:t>
            </w:r>
            <w:r w:rsidR="00C47F2E">
              <w:rPr>
                <w:noProof/>
                <w:webHidden/>
              </w:rPr>
              <w:tab/>
            </w:r>
            <w:r w:rsidR="00C47F2E">
              <w:rPr>
                <w:noProof/>
                <w:webHidden/>
              </w:rPr>
              <w:fldChar w:fldCharType="begin"/>
            </w:r>
            <w:r w:rsidR="00C47F2E">
              <w:rPr>
                <w:noProof/>
                <w:webHidden/>
              </w:rPr>
              <w:instrText xml:space="preserve"> PAGEREF _Toc71819718 \h </w:instrText>
            </w:r>
            <w:r w:rsidR="00C47F2E">
              <w:rPr>
                <w:noProof/>
                <w:webHidden/>
              </w:rPr>
            </w:r>
            <w:r w:rsidR="00C47F2E">
              <w:rPr>
                <w:noProof/>
                <w:webHidden/>
              </w:rPr>
              <w:fldChar w:fldCharType="separate"/>
            </w:r>
            <w:r w:rsidR="00C47F2E">
              <w:rPr>
                <w:noProof/>
                <w:webHidden/>
              </w:rPr>
              <w:t>21</w:t>
            </w:r>
            <w:r w:rsidR="00C47F2E">
              <w:rPr>
                <w:noProof/>
                <w:webHidden/>
              </w:rPr>
              <w:fldChar w:fldCharType="end"/>
            </w:r>
          </w:hyperlink>
        </w:p>
        <w:p w14:paraId="4D4F552E" w14:textId="531DCFA0" w:rsidR="00C47F2E" w:rsidRDefault="00F953EA">
          <w:pPr>
            <w:pStyle w:val="Turinys2"/>
            <w:tabs>
              <w:tab w:val="right" w:leader="dot" w:pos="9628"/>
            </w:tabs>
            <w:rPr>
              <w:rFonts w:eastAsiaTheme="minorEastAsia" w:cstheme="minorBidi"/>
              <w:b w:val="0"/>
              <w:bCs w:val="0"/>
              <w:noProof/>
              <w:color w:val="auto"/>
              <w:sz w:val="24"/>
              <w:szCs w:val="24"/>
            </w:rPr>
          </w:pPr>
          <w:hyperlink w:anchor="_Toc71819719" w:history="1">
            <w:r w:rsidR="00C47F2E" w:rsidRPr="003752A0">
              <w:rPr>
                <w:rStyle w:val="Hipersaitas"/>
                <w:noProof/>
              </w:rPr>
              <w:t>2020 m. gruodžio 17 d. prejudicinis sprendimas byloje C</w:t>
            </w:r>
            <w:r w:rsidR="00C47F2E" w:rsidRPr="003752A0">
              <w:rPr>
                <w:rStyle w:val="Hipersaitas"/>
                <w:noProof/>
              </w:rPr>
              <w:noBreakHyphen/>
              <w:t>667/19</w:t>
            </w:r>
            <w:r w:rsidR="00C47F2E">
              <w:rPr>
                <w:noProof/>
                <w:webHidden/>
              </w:rPr>
              <w:tab/>
            </w:r>
            <w:r w:rsidR="00C47F2E">
              <w:rPr>
                <w:noProof/>
                <w:webHidden/>
              </w:rPr>
              <w:fldChar w:fldCharType="begin"/>
            </w:r>
            <w:r w:rsidR="00C47F2E">
              <w:rPr>
                <w:noProof/>
                <w:webHidden/>
              </w:rPr>
              <w:instrText xml:space="preserve"> PAGEREF _Toc71819719 \h </w:instrText>
            </w:r>
            <w:r w:rsidR="00C47F2E">
              <w:rPr>
                <w:noProof/>
                <w:webHidden/>
              </w:rPr>
            </w:r>
            <w:r w:rsidR="00C47F2E">
              <w:rPr>
                <w:noProof/>
                <w:webHidden/>
              </w:rPr>
              <w:fldChar w:fldCharType="separate"/>
            </w:r>
            <w:r w:rsidR="00C47F2E">
              <w:rPr>
                <w:noProof/>
                <w:webHidden/>
              </w:rPr>
              <w:t>22</w:t>
            </w:r>
            <w:r w:rsidR="00C47F2E">
              <w:rPr>
                <w:noProof/>
                <w:webHidden/>
              </w:rPr>
              <w:fldChar w:fldCharType="end"/>
            </w:r>
          </w:hyperlink>
        </w:p>
        <w:p w14:paraId="7783AE02" w14:textId="762046EB" w:rsidR="00C47F2E" w:rsidRDefault="00F953EA">
          <w:pPr>
            <w:pStyle w:val="Turinys3"/>
            <w:tabs>
              <w:tab w:val="right" w:leader="dot" w:pos="9628"/>
            </w:tabs>
            <w:rPr>
              <w:rFonts w:eastAsiaTheme="minorEastAsia" w:cstheme="minorBidi"/>
              <w:noProof/>
              <w:sz w:val="24"/>
              <w:szCs w:val="24"/>
            </w:rPr>
          </w:pPr>
          <w:hyperlink w:anchor="_Toc71819720" w:history="1">
            <w:r w:rsidR="00C47F2E" w:rsidRPr="003752A0">
              <w:rPr>
                <w:rStyle w:val="Hipersaitas"/>
                <w:noProof/>
              </w:rPr>
              <w:t>Dėl informacijos apie kosmetikos gaminio funkciją pateikimo</w:t>
            </w:r>
            <w:r w:rsidR="00C47F2E">
              <w:rPr>
                <w:noProof/>
                <w:webHidden/>
              </w:rPr>
              <w:tab/>
            </w:r>
            <w:r w:rsidR="00C47F2E">
              <w:rPr>
                <w:noProof/>
                <w:webHidden/>
              </w:rPr>
              <w:fldChar w:fldCharType="begin"/>
            </w:r>
            <w:r w:rsidR="00C47F2E">
              <w:rPr>
                <w:noProof/>
                <w:webHidden/>
              </w:rPr>
              <w:instrText xml:space="preserve"> PAGEREF _Toc71819720 \h </w:instrText>
            </w:r>
            <w:r w:rsidR="00C47F2E">
              <w:rPr>
                <w:noProof/>
                <w:webHidden/>
              </w:rPr>
            </w:r>
            <w:r w:rsidR="00C47F2E">
              <w:rPr>
                <w:noProof/>
                <w:webHidden/>
              </w:rPr>
              <w:fldChar w:fldCharType="separate"/>
            </w:r>
            <w:r w:rsidR="00C47F2E">
              <w:rPr>
                <w:noProof/>
                <w:webHidden/>
              </w:rPr>
              <w:t>23</w:t>
            </w:r>
            <w:r w:rsidR="00C47F2E">
              <w:rPr>
                <w:noProof/>
                <w:webHidden/>
              </w:rPr>
              <w:fldChar w:fldCharType="end"/>
            </w:r>
          </w:hyperlink>
        </w:p>
        <w:p w14:paraId="11B77CF0" w14:textId="072DB4E5" w:rsidR="00C47F2E" w:rsidRDefault="00F953EA">
          <w:pPr>
            <w:pStyle w:val="Turinys3"/>
            <w:tabs>
              <w:tab w:val="right" w:leader="dot" w:pos="9628"/>
            </w:tabs>
            <w:rPr>
              <w:rFonts w:eastAsiaTheme="minorEastAsia" w:cstheme="minorBidi"/>
              <w:noProof/>
              <w:sz w:val="24"/>
              <w:szCs w:val="24"/>
            </w:rPr>
          </w:pPr>
          <w:hyperlink w:anchor="_Toc71819721" w:history="1">
            <w:r w:rsidR="00C47F2E" w:rsidRPr="003752A0">
              <w:rPr>
                <w:rStyle w:val="Hipersaitas"/>
                <w:noProof/>
              </w:rPr>
              <w:t>Dėl informacijos apie konkrečias kosmetikos gaminio naudojimo atsargumo priemones, šio gaminio funkciją ir ingredientus nurodymo įmonės kataloge, kuriame taip pat pateikiami kiti gaminiai</w:t>
            </w:r>
            <w:r w:rsidR="00C47F2E">
              <w:rPr>
                <w:noProof/>
                <w:webHidden/>
              </w:rPr>
              <w:tab/>
            </w:r>
            <w:r w:rsidR="00C47F2E">
              <w:rPr>
                <w:noProof/>
                <w:webHidden/>
              </w:rPr>
              <w:fldChar w:fldCharType="begin"/>
            </w:r>
            <w:r w:rsidR="00C47F2E">
              <w:rPr>
                <w:noProof/>
                <w:webHidden/>
              </w:rPr>
              <w:instrText xml:space="preserve"> PAGEREF _Toc71819721 \h </w:instrText>
            </w:r>
            <w:r w:rsidR="00C47F2E">
              <w:rPr>
                <w:noProof/>
                <w:webHidden/>
              </w:rPr>
            </w:r>
            <w:r w:rsidR="00C47F2E">
              <w:rPr>
                <w:noProof/>
                <w:webHidden/>
              </w:rPr>
              <w:fldChar w:fldCharType="separate"/>
            </w:r>
            <w:r w:rsidR="00C47F2E">
              <w:rPr>
                <w:noProof/>
                <w:webHidden/>
              </w:rPr>
              <w:t>24</w:t>
            </w:r>
            <w:r w:rsidR="00C47F2E">
              <w:rPr>
                <w:noProof/>
                <w:webHidden/>
              </w:rPr>
              <w:fldChar w:fldCharType="end"/>
            </w:r>
          </w:hyperlink>
        </w:p>
        <w:p w14:paraId="4740C08E" w14:textId="4036007A" w:rsidR="00C47F2E" w:rsidRDefault="00F953EA">
          <w:pPr>
            <w:pStyle w:val="Turinys1"/>
            <w:tabs>
              <w:tab w:val="right" w:leader="dot" w:pos="9628"/>
            </w:tabs>
            <w:rPr>
              <w:rFonts w:eastAsiaTheme="minorEastAsia" w:cstheme="minorBidi"/>
              <w:b w:val="0"/>
              <w:bCs w:val="0"/>
              <w:iCs w:val="0"/>
              <w:noProof/>
              <w:color w:val="auto"/>
              <w:sz w:val="24"/>
            </w:rPr>
          </w:pPr>
          <w:hyperlink w:anchor="_Toc71819722" w:history="1">
            <w:r w:rsidR="00C47F2E" w:rsidRPr="003752A0">
              <w:rPr>
                <w:rStyle w:val="Hipersaitas"/>
                <w:noProof/>
              </w:rPr>
              <w:t>TEISĖ GAUTI INFORMACIJĄ</w:t>
            </w:r>
            <w:r w:rsidR="00C47F2E">
              <w:rPr>
                <w:noProof/>
                <w:webHidden/>
              </w:rPr>
              <w:tab/>
            </w:r>
            <w:r w:rsidR="00C47F2E">
              <w:rPr>
                <w:noProof/>
                <w:webHidden/>
              </w:rPr>
              <w:fldChar w:fldCharType="begin"/>
            </w:r>
            <w:r w:rsidR="00C47F2E">
              <w:rPr>
                <w:noProof/>
                <w:webHidden/>
              </w:rPr>
              <w:instrText xml:space="preserve"> PAGEREF _Toc71819722 \h </w:instrText>
            </w:r>
            <w:r w:rsidR="00C47F2E">
              <w:rPr>
                <w:noProof/>
                <w:webHidden/>
              </w:rPr>
            </w:r>
            <w:r w:rsidR="00C47F2E">
              <w:rPr>
                <w:noProof/>
                <w:webHidden/>
              </w:rPr>
              <w:fldChar w:fldCharType="separate"/>
            </w:r>
            <w:r w:rsidR="00C47F2E">
              <w:rPr>
                <w:noProof/>
                <w:webHidden/>
              </w:rPr>
              <w:t>25</w:t>
            </w:r>
            <w:r w:rsidR="00C47F2E">
              <w:rPr>
                <w:noProof/>
                <w:webHidden/>
              </w:rPr>
              <w:fldChar w:fldCharType="end"/>
            </w:r>
          </w:hyperlink>
        </w:p>
        <w:p w14:paraId="1A27D85C" w14:textId="351A60DA" w:rsidR="00C47F2E" w:rsidRDefault="00F953EA">
          <w:pPr>
            <w:pStyle w:val="Turinys2"/>
            <w:tabs>
              <w:tab w:val="right" w:leader="dot" w:pos="9628"/>
            </w:tabs>
            <w:rPr>
              <w:rFonts w:eastAsiaTheme="minorEastAsia" w:cstheme="minorBidi"/>
              <w:b w:val="0"/>
              <w:bCs w:val="0"/>
              <w:noProof/>
              <w:color w:val="auto"/>
              <w:sz w:val="24"/>
              <w:szCs w:val="24"/>
            </w:rPr>
          </w:pPr>
          <w:hyperlink w:anchor="_Toc71819723" w:history="1">
            <w:r w:rsidR="00C47F2E" w:rsidRPr="003752A0">
              <w:rPr>
                <w:rStyle w:val="Hipersaitas"/>
                <w:noProof/>
              </w:rPr>
              <w:t>2020 m. gruodžio 17 d. sprendimas byloje C-342/19 P</w:t>
            </w:r>
            <w:r w:rsidR="00C47F2E">
              <w:rPr>
                <w:noProof/>
                <w:webHidden/>
              </w:rPr>
              <w:tab/>
            </w:r>
            <w:r w:rsidR="00C47F2E">
              <w:rPr>
                <w:noProof/>
                <w:webHidden/>
              </w:rPr>
              <w:fldChar w:fldCharType="begin"/>
            </w:r>
            <w:r w:rsidR="00C47F2E">
              <w:rPr>
                <w:noProof/>
                <w:webHidden/>
              </w:rPr>
              <w:instrText xml:space="preserve"> PAGEREF _Toc71819723 \h </w:instrText>
            </w:r>
            <w:r w:rsidR="00C47F2E">
              <w:rPr>
                <w:noProof/>
                <w:webHidden/>
              </w:rPr>
            </w:r>
            <w:r w:rsidR="00C47F2E">
              <w:rPr>
                <w:noProof/>
                <w:webHidden/>
              </w:rPr>
              <w:fldChar w:fldCharType="separate"/>
            </w:r>
            <w:r w:rsidR="00C47F2E">
              <w:rPr>
                <w:noProof/>
                <w:webHidden/>
              </w:rPr>
              <w:t>25</w:t>
            </w:r>
            <w:r w:rsidR="00C47F2E">
              <w:rPr>
                <w:noProof/>
                <w:webHidden/>
              </w:rPr>
              <w:fldChar w:fldCharType="end"/>
            </w:r>
          </w:hyperlink>
        </w:p>
        <w:p w14:paraId="05A413EC" w14:textId="5DBA99AB" w:rsidR="00C47F2E" w:rsidRDefault="00F953EA">
          <w:pPr>
            <w:pStyle w:val="Turinys3"/>
            <w:tabs>
              <w:tab w:val="right" w:leader="dot" w:pos="9628"/>
            </w:tabs>
            <w:rPr>
              <w:rFonts w:eastAsiaTheme="minorEastAsia" w:cstheme="minorBidi"/>
              <w:noProof/>
              <w:sz w:val="24"/>
              <w:szCs w:val="24"/>
            </w:rPr>
          </w:pPr>
          <w:hyperlink w:anchor="_Toc71819724" w:history="1">
            <w:r w:rsidR="00C47F2E" w:rsidRPr="003752A0">
              <w:rPr>
                <w:rStyle w:val="Hipersaitas"/>
                <w:noProof/>
                <w:shd w:val="clear" w:color="auto" w:fill="FFFFFF"/>
              </w:rPr>
              <w:t>Dėl susipažinimo su</w:t>
            </w:r>
            <w:r w:rsidR="00C47F2E" w:rsidRPr="003752A0">
              <w:rPr>
                <w:rStyle w:val="Hipersaitas"/>
                <w:noProof/>
              </w:rPr>
              <w:t xml:space="preserve"> </w:t>
            </w:r>
            <w:r w:rsidR="00C47F2E" w:rsidRPr="003752A0">
              <w:rPr>
                <w:rStyle w:val="Hipersaitas"/>
                <w:noProof/>
                <w:shd w:val="clear" w:color="auto" w:fill="FFFFFF"/>
              </w:rPr>
              <w:t>ECB parengtais ar gautais dokumentais, skirtiems svarstymams ir preliminarioms konsultacijoms šios institucijos viduje, taip pat jam keičiantis nuomonėmis su nacionalinėmis valdžios institucijomis</w:t>
            </w:r>
            <w:r w:rsidR="00C47F2E">
              <w:rPr>
                <w:noProof/>
                <w:webHidden/>
              </w:rPr>
              <w:tab/>
            </w:r>
            <w:r w:rsidR="00C47F2E">
              <w:rPr>
                <w:noProof/>
                <w:webHidden/>
              </w:rPr>
              <w:fldChar w:fldCharType="begin"/>
            </w:r>
            <w:r w:rsidR="00C47F2E">
              <w:rPr>
                <w:noProof/>
                <w:webHidden/>
              </w:rPr>
              <w:instrText xml:space="preserve"> PAGEREF _Toc71819724 \h </w:instrText>
            </w:r>
            <w:r w:rsidR="00C47F2E">
              <w:rPr>
                <w:noProof/>
                <w:webHidden/>
              </w:rPr>
            </w:r>
            <w:r w:rsidR="00C47F2E">
              <w:rPr>
                <w:noProof/>
                <w:webHidden/>
              </w:rPr>
              <w:fldChar w:fldCharType="separate"/>
            </w:r>
            <w:r w:rsidR="00C47F2E">
              <w:rPr>
                <w:noProof/>
                <w:webHidden/>
              </w:rPr>
              <w:t>26</w:t>
            </w:r>
            <w:r w:rsidR="00C47F2E">
              <w:rPr>
                <w:noProof/>
                <w:webHidden/>
              </w:rPr>
              <w:fldChar w:fldCharType="end"/>
            </w:r>
          </w:hyperlink>
        </w:p>
        <w:p w14:paraId="029CF7B1" w14:textId="079093BB" w:rsidR="00C47F2E" w:rsidRDefault="00F953EA">
          <w:pPr>
            <w:pStyle w:val="Turinys1"/>
            <w:tabs>
              <w:tab w:val="right" w:leader="dot" w:pos="9628"/>
            </w:tabs>
            <w:rPr>
              <w:rFonts w:eastAsiaTheme="minorEastAsia" w:cstheme="minorBidi"/>
              <w:b w:val="0"/>
              <w:bCs w:val="0"/>
              <w:iCs w:val="0"/>
              <w:noProof/>
              <w:color w:val="auto"/>
              <w:sz w:val="24"/>
            </w:rPr>
          </w:pPr>
          <w:hyperlink w:anchor="_Toc71819725" w:history="1">
            <w:r w:rsidR="00C47F2E" w:rsidRPr="003752A0">
              <w:rPr>
                <w:rStyle w:val="Hipersaitas"/>
                <w:rFonts w:eastAsia="Times New Roman"/>
                <w:noProof/>
                <w:lang w:eastAsia="lt-LT"/>
              </w:rPr>
              <w:t>DISKRIMINACIJOS DRAUDIMAS</w:t>
            </w:r>
            <w:r w:rsidR="00C47F2E">
              <w:rPr>
                <w:noProof/>
                <w:webHidden/>
              </w:rPr>
              <w:tab/>
            </w:r>
            <w:r w:rsidR="00C47F2E">
              <w:rPr>
                <w:noProof/>
                <w:webHidden/>
              </w:rPr>
              <w:fldChar w:fldCharType="begin"/>
            </w:r>
            <w:r w:rsidR="00C47F2E">
              <w:rPr>
                <w:noProof/>
                <w:webHidden/>
              </w:rPr>
              <w:instrText xml:space="preserve"> PAGEREF _Toc71819725 \h </w:instrText>
            </w:r>
            <w:r w:rsidR="00C47F2E">
              <w:rPr>
                <w:noProof/>
                <w:webHidden/>
              </w:rPr>
            </w:r>
            <w:r w:rsidR="00C47F2E">
              <w:rPr>
                <w:noProof/>
                <w:webHidden/>
              </w:rPr>
              <w:fldChar w:fldCharType="separate"/>
            </w:r>
            <w:r w:rsidR="00C47F2E">
              <w:rPr>
                <w:noProof/>
                <w:webHidden/>
              </w:rPr>
              <w:t>26</w:t>
            </w:r>
            <w:r w:rsidR="00C47F2E">
              <w:rPr>
                <w:noProof/>
                <w:webHidden/>
              </w:rPr>
              <w:fldChar w:fldCharType="end"/>
            </w:r>
          </w:hyperlink>
        </w:p>
        <w:p w14:paraId="5AD6E231" w14:textId="31AE2395" w:rsidR="00C47F2E" w:rsidRDefault="00F953EA">
          <w:pPr>
            <w:pStyle w:val="Turinys2"/>
            <w:tabs>
              <w:tab w:val="right" w:leader="dot" w:pos="9628"/>
            </w:tabs>
            <w:rPr>
              <w:rFonts w:eastAsiaTheme="minorEastAsia" w:cstheme="minorBidi"/>
              <w:b w:val="0"/>
              <w:bCs w:val="0"/>
              <w:noProof/>
              <w:color w:val="auto"/>
              <w:sz w:val="24"/>
              <w:szCs w:val="24"/>
            </w:rPr>
          </w:pPr>
          <w:hyperlink w:anchor="_Toc71819726" w:history="1">
            <w:r w:rsidR="00C47F2E" w:rsidRPr="003752A0">
              <w:rPr>
                <w:rStyle w:val="Hipersaitas"/>
                <w:noProof/>
              </w:rPr>
              <w:t>2020 m. spalio 8 d. prejudicinis sprendimas byloje C</w:t>
            </w:r>
            <w:r w:rsidR="00C47F2E" w:rsidRPr="003752A0">
              <w:rPr>
                <w:rStyle w:val="Hipersaitas"/>
                <w:rFonts w:ascii="Cambria Math" w:hAnsi="Cambria Math" w:cs="Cambria Math"/>
                <w:noProof/>
              </w:rPr>
              <w:t>‑</w:t>
            </w:r>
            <w:r w:rsidR="00C47F2E" w:rsidRPr="003752A0">
              <w:rPr>
                <w:rStyle w:val="Hipersaitas"/>
                <w:noProof/>
              </w:rPr>
              <w:t>644/19</w:t>
            </w:r>
            <w:r w:rsidR="00C47F2E">
              <w:rPr>
                <w:noProof/>
                <w:webHidden/>
              </w:rPr>
              <w:tab/>
            </w:r>
            <w:r w:rsidR="00C47F2E">
              <w:rPr>
                <w:noProof/>
                <w:webHidden/>
              </w:rPr>
              <w:fldChar w:fldCharType="begin"/>
            </w:r>
            <w:r w:rsidR="00C47F2E">
              <w:rPr>
                <w:noProof/>
                <w:webHidden/>
              </w:rPr>
              <w:instrText xml:space="preserve"> PAGEREF _Toc71819726 \h </w:instrText>
            </w:r>
            <w:r w:rsidR="00C47F2E">
              <w:rPr>
                <w:noProof/>
                <w:webHidden/>
              </w:rPr>
            </w:r>
            <w:r w:rsidR="00C47F2E">
              <w:rPr>
                <w:noProof/>
                <w:webHidden/>
              </w:rPr>
              <w:fldChar w:fldCharType="separate"/>
            </w:r>
            <w:r w:rsidR="00C47F2E">
              <w:rPr>
                <w:noProof/>
                <w:webHidden/>
              </w:rPr>
              <w:t>26</w:t>
            </w:r>
            <w:r w:rsidR="00C47F2E">
              <w:rPr>
                <w:noProof/>
                <w:webHidden/>
              </w:rPr>
              <w:fldChar w:fldCharType="end"/>
            </w:r>
          </w:hyperlink>
        </w:p>
        <w:p w14:paraId="00B0680B" w14:textId="3BBEE496" w:rsidR="00C47F2E" w:rsidRDefault="00F953EA">
          <w:pPr>
            <w:pStyle w:val="Turinys3"/>
            <w:tabs>
              <w:tab w:val="right" w:leader="dot" w:pos="9628"/>
            </w:tabs>
            <w:rPr>
              <w:rFonts w:eastAsiaTheme="minorEastAsia" w:cstheme="minorBidi"/>
              <w:noProof/>
              <w:sz w:val="24"/>
              <w:szCs w:val="24"/>
            </w:rPr>
          </w:pPr>
          <w:hyperlink w:anchor="_Toc71819727" w:history="1">
            <w:r w:rsidR="00C47F2E" w:rsidRPr="003752A0">
              <w:rPr>
                <w:rStyle w:val="Hipersaitas"/>
                <w:noProof/>
              </w:rPr>
              <w:t>Dėl universitetinės įstaigos dėstytojų diskriminavimo juos įdarbinant terminuota sutartimi</w:t>
            </w:r>
            <w:r w:rsidR="00C47F2E">
              <w:rPr>
                <w:noProof/>
                <w:webHidden/>
              </w:rPr>
              <w:tab/>
            </w:r>
            <w:r w:rsidR="00C47F2E">
              <w:rPr>
                <w:noProof/>
                <w:webHidden/>
              </w:rPr>
              <w:fldChar w:fldCharType="begin"/>
            </w:r>
            <w:r w:rsidR="00C47F2E">
              <w:rPr>
                <w:noProof/>
                <w:webHidden/>
              </w:rPr>
              <w:instrText xml:space="preserve"> PAGEREF _Toc71819727 \h </w:instrText>
            </w:r>
            <w:r w:rsidR="00C47F2E">
              <w:rPr>
                <w:noProof/>
                <w:webHidden/>
              </w:rPr>
            </w:r>
            <w:r w:rsidR="00C47F2E">
              <w:rPr>
                <w:noProof/>
                <w:webHidden/>
              </w:rPr>
              <w:fldChar w:fldCharType="separate"/>
            </w:r>
            <w:r w:rsidR="00C47F2E">
              <w:rPr>
                <w:noProof/>
                <w:webHidden/>
              </w:rPr>
              <w:t>27</w:t>
            </w:r>
            <w:r w:rsidR="00C47F2E">
              <w:rPr>
                <w:noProof/>
                <w:webHidden/>
              </w:rPr>
              <w:fldChar w:fldCharType="end"/>
            </w:r>
          </w:hyperlink>
        </w:p>
        <w:p w14:paraId="2184F5F6" w14:textId="0A942A3E" w:rsidR="00C47F2E" w:rsidRDefault="00C47F2E" w:rsidP="00C47F2E">
          <w:pPr>
            <w:pStyle w:val="Turinys1"/>
            <w:tabs>
              <w:tab w:val="right" w:leader="dot" w:pos="9628"/>
            </w:tabs>
            <w:rPr>
              <w:sz w:val="20"/>
              <w:szCs w:val="20"/>
            </w:rPr>
          </w:pPr>
          <w:r>
            <w:fldChar w:fldCharType="end"/>
          </w:r>
        </w:p>
        <w:p w14:paraId="003F4B21" w14:textId="2DB23ED0" w:rsidR="00C47F2E" w:rsidRPr="0013095E" w:rsidRDefault="00F953EA" w:rsidP="0013095E">
          <w:pPr>
            <w:pStyle w:val="Turinys3"/>
          </w:pPr>
        </w:p>
      </w:sdtContent>
    </w:sdt>
    <w:p w14:paraId="76B67490" w14:textId="77777777" w:rsidR="001B17EF" w:rsidRDefault="001B17EF" w:rsidP="002C41B9">
      <w:pPr>
        <w:rPr>
          <w:rFonts w:asciiTheme="minorHAnsi" w:hAnsiTheme="minorHAnsi" w:cstheme="minorHAnsi"/>
          <w:b/>
          <w:i/>
          <w:color w:val="44546A" w:themeColor="text2"/>
        </w:rPr>
      </w:pPr>
    </w:p>
    <w:p w14:paraId="3D1CA7FC" w14:textId="77777777" w:rsidR="001B17EF" w:rsidRDefault="001B17EF" w:rsidP="002C41B9">
      <w:pPr>
        <w:rPr>
          <w:rFonts w:asciiTheme="minorHAnsi" w:hAnsiTheme="minorHAnsi" w:cstheme="minorHAnsi"/>
          <w:b/>
          <w:i/>
          <w:color w:val="44546A" w:themeColor="text2"/>
        </w:rPr>
      </w:pPr>
    </w:p>
    <w:p w14:paraId="382CF6F4" w14:textId="77777777" w:rsidR="001B17EF" w:rsidRDefault="001B17EF" w:rsidP="002C41B9">
      <w:pPr>
        <w:rPr>
          <w:rFonts w:asciiTheme="minorHAnsi" w:hAnsiTheme="minorHAnsi" w:cstheme="minorHAnsi"/>
          <w:b/>
          <w:i/>
          <w:color w:val="44546A" w:themeColor="text2"/>
        </w:rPr>
      </w:pPr>
    </w:p>
    <w:p w14:paraId="26AEBFE5" w14:textId="77777777" w:rsidR="001B17EF" w:rsidRDefault="001B17EF" w:rsidP="002C41B9">
      <w:pPr>
        <w:rPr>
          <w:rFonts w:asciiTheme="minorHAnsi" w:hAnsiTheme="minorHAnsi" w:cstheme="minorHAnsi"/>
          <w:b/>
          <w:i/>
          <w:color w:val="44546A" w:themeColor="text2"/>
        </w:rPr>
      </w:pPr>
    </w:p>
    <w:p w14:paraId="5C233919" w14:textId="77777777" w:rsidR="001B17EF" w:rsidRDefault="001B17EF" w:rsidP="002C41B9">
      <w:pPr>
        <w:rPr>
          <w:rFonts w:asciiTheme="minorHAnsi" w:hAnsiTheme="minorHAnsi" w:cstheme="minorHAnsi"/>
          <w:b/>
          <w:i/>
          <w:color w:val="44546A" w:themeColor="text2"/>
        </w:rPr>
      </w:pPr>
    </w:p>
    <w:p w14:paraId="487851E7" w14:textId="77777777" w:rsidR="001B17EF" w:rsidRDefault="001B17EF" w:rsidP="002C41B9">
      <w:pPr>
        <w:rPr>
          <w:rFonts w:asciiTheme="minorHAnsi" w:hAnsiTheme="minorHAnsi" w:cstheme="minorHAnsi"/>
          <w:b/>
          <w:i/>
          <w:color w:val="44546A" w:themeColor="text2"/>
        </w:rPr>
      </w:pPr>
    </w:p>
    <w:p w14:paraId="320BA47E" w14:textId="77777777" w:rsidR="001B17EF" w:rsidRDefault="001B17EF" w:rsidP="002C41B9">
      <w:pPr>
        <w:rPr>
          <w:rFonts w:asciiTheme="minorHAnsi" w:hAnsiTheme="minorHAnsi" w:cstheme="minorHAnsi"/>
          <w:b/>
          <w:i/>
          <w:color w:val="44546A" w:themeColor="text2"/>
        </w:rPr>
      </w:pPr>
    </w:p>
    <w:p w14:paraId="68B0E235" w14:textId="77777777" w:rsidR="001B17EF" w:rsidRDefault="001B17EF" w:rsidP="002C41B9">
      <w:pPr>
        <w:rPr>
          <w:rFonts w:asciiTheme="minorHAnsi" w:hAnsiTheme="minorHAnsi" w:cstheme="minorHAnsi"/>
          <w:b/>
          <w:i/>
          <w:color w:val="44546A" w:themeColor="text2"/>
        </w:rPr>
      </w:pPr>
    </w:p>
    <w:p w14:paraId="7363EE62" w14:textId="77777777" w:rsidR="001B17EF" w:rsidRDefault="001B17EF" w:rsidP="002C41B9">
      <w:pPr>
        <w:rPr>
          <w:rFonts w:asciiTheme="minorHAnsi" w:hAnsiTheme="minorHAnsi" w:cstheme="minorHAnsi"/>
          <w:b/>
          <w:i/>
          <w:color w:val="44546A" w:themeColor="text2"/>
        </w:rPr>
      </w:pPr>
    </w:p>
    <w:p w14:paraId="001B7BB6" w14:textId="77777777" w:rsidR="001B17EF" w:rsidRDefault="001B17EF" w:rsidP="002C41B9">
      <w:pPr>
        <w:rPr>
          <w:rFonts w:asciiTheme="minorHAnsi" w:hAnsiTheme="minorHAnsi" w:cstheme="minorHAnsi"/>
          <w:b/>
          <w:i/>
          <w:color w:val="44546A" w:themeColor="text2"/>
        </w:rPr>
      </w:pPr>
    </w:p>
    <w:p w14:paraId="0B41098F" w14:textId="77777777" w:rsidR="001B17EF" w:rsidRDefault="001B17EF" w:rsidP="002C41B9">
      <w:pPr>
        <w:rPr>
          <w:rFonts w:asciiTheme="minorHAnsi" w:hAnsiTheme="minorHAnsi" w:cstheme="minorHAnsi"/>
          <w:b/>
          <w:i/>
          <w:color w:val="44546A" w:themeColor="text2"/>
        </w:rPr>
      </w:pPr>
    </w:p>
    <w:p w14:paraId="1B573028" w14:textId="77777777" w:rsidR="001B17EF" w:rsidRDefault="001B17EF" w:rsidP="002C41B9">
      <w:pPr>
        <w:rPr>
          <w:rFonts w:asciiTheme="minorHAnsi" w:hAnsiTheme="minorHAnsi" w:cstheme="minorHAnsi"/>
          <w:b/>
          <w:i/>
          <w:color w:val="44546A" w:themeColor="text2"/>
        </w:rPr>
      </w:pPr>
    </w:p>
    <w:p w14:paraId="5E114DEC" w14:textId="77777777" w:rsidR="001B17EF" w:rsidRDefault="001B17EF" w:rsidP="002C41B9">
      <w:pPr>
        <w:rPr>
          <w:rFonts w:asciiTheme="minorHAnsi" w:hAnsiTheme="minorHAnsi" w:cstheme="minorHAnsi"/>
          <w:b/>
          <w:i/>
          <w:color w:val="44546A" w:themeColor="text2"/>
        </w:rPr>
      </w:pPr>
    </w:p>
    <w:p w14:paraId="09C61F00" w14:textId="77777777" w:rsidR="001B17EF" w:rsidRDefault="001B17EF" w:rsidP="002C41B9">
      <w:pPr>
        <w:rPr>
          <w:rFonts w:asciiTheme="minorHAnsi" w:hAnsiTheme="minorHAnsi" w:cstheme="minorHAnsi"/>
          <w:b/>
          <w:i/>
          <w:color w:val="44546A" w:themeColor="text2"/>
        </w:rPr>
      </w:pPr>
    </w:p>
    <w:p w14:paraId="64B98CBD" w14:textId="77777777" w:rsidR="001B17EF" w:rsidRDefault="001B17EF" w:rsidP="002C41B9">
      <w:pPr>
        <w:rPr>
          <w:rFonts w:asciiTheme="minorHAnsi" w:hAnsiTheme="minorHAnsi" w:cstheme="minorHAnsi"/>
          <w:b/>
          <w:i/>
          <w:color w:val="44546A" w:themeColor="text2"/>
        </w:rPr>
      </w:pPr>
    </w:p>
    <w:p w14:paraId="1F599DA0" w14:textId="77777777" w:rsidR="001B17EF" w:rsidRDefault="001B17EF" w:rsidP="002C41B9">
      <w:pPr>
        <w:rPr>
          <w:rFonts w:asciiTheme="minorHAnsi" w:hAnsiTheme="minorHAnsi" w:cstheme="minorHAnsi"/>
          <w:b/>
          <w:i/>
          <w:color w:val="44546A" w:themeColor="text2"/>
        </w:rPr>
      </w:pPr>
    </w:p>
    <w:p w14:paraId="562178CF" w14:textId="77777777" w:rsidR="001B17EF" w:rsidRDefault="001B17EF" w:rsidP="002C41B9">
      <w:pPr>
        <w:rPr>
          <w:rFonts w:asciiTheme="minorHAnsi" w:hAnsiTheme="minorHAnsi" w:cstheme="minorHAnsi"/>
          <w:b/>
          <w:i/>
          <w:color w:val="44546A" w:themeColor="text2"/>
        </w:rPr>
      </w:pPr>
    </w:p>
    <w:p w14:paraId="5D72CFB9" w14:textId="77777777" w:rsidR="001B17EF" w:rsidRDefault="001B17EF" w:rsidP="002C41B9">
      <w:pPr>
        <w:rPr>
          <w:rFonts w:asciiTheme="minorHAnsi" w:hAnsiTheme="minorHAnsi" w:cstheme="minorHAnsi"/>
          <w:b/>
          <w:i/>
          <w:color w:val="44546A" w:themeColor="text2"/>
        </w:rPr>
      </w:pPr>
    </w:p>
    <w:p w14:paraId="13029B9C" w14:textId="77777777" w:rsidR="001B17EF" w:rsidRDefault="001B17EF" w:rsidP="002C41B9">
      <w:pPr>
        <w:rPr>
          <w:rFonts w:asciiTheme="minorHAnsi" w:hAnsiTheme="minorHAnsi" w:cstheme="minorHAnsi"/>
          <w:b/>
          <w:i/>
          <w:color w:val="44546A" w:themeColor="text2"/>
        </w:rPr>
      </w:pPr>
    </w:p>
    <w:p w14:paraId="52ABE91D" w14:textId="77777777" w:rsidR="001B17EF" w:rsidRDefault="001B17EF" w:rsidP="002C41B9">
      <w:pPr>
        <w:rPr>
          <w:rFonts w:asciiTheme="minorHAnsi" w:hAnsiTheme="minorHAnsi" w:cstheme="minorHAnsi"/>
          <w:b/>
          <w:i/>
          <w:color w:val="44546A" w:themeColor="text2"/>
        </w:rPr>
      </w:pPr>
    </w:p>
    <w:p w14:paraId="2B65F149" w14:textId="77777777" w:rsidR="001B17EF" w:rsidRDefault="001B17EF" w:rsidP="002C41B9">
      <w:pPr>
        <w:rPr>
          <w:rFonts w:asciiTheme="minorHAnsi" w:hAnsiTheme="minorHAnsi" w:cstheme="minorHAnsi"/>
          <w:b/>
          <w:i/>
          <w:color w:val="44546A" w:themeColor="text2"/>
        </w:rPr>
      </w:pPr>
    </w:p>
    <w:p w14:paraId="7FB3B8B7" w14:textId="3689F810" w:rsidR="008A27A9" w:rsidRPr="00C47F2E" w:rsidRDefault="002C41B9" w:rsidP="00AD0B10">
      <w:pPr>
        <w:rPr>
          <w:rFonts w:asciiTheme="minorHAnsi" w:hAnsiTheme="minorHAnsi" w:cstheme="minorHAnsi"/>
          <w:b/>
        </w:rPr>
      </w:pPr>
      <w:r w:rsidRPr="00B943CA">
        <w:rPr>
          <w:rFonts w:asciiTheme="minorHAnsi" w:hAnsiTheme="minorHAnsi" w:cstheme="minorHAnsi"/>
          <w:b/>
          <w:i/>
          <w:color w:val="44546A" w:themeColor="text2"/>
        </w:rPr>
        <w:t>Pastaba.</w:t>
      </w:r>
      <w:r w:rsidRPr="00B943CA">
        <w:rPr>
          <w:rFonts w:asciiTheme="minorHAnsi" w:hAnsiTheme="minorHAnsi" w:cstheme="minorHAnsi"/>
          <w:i/>
        </w:rPr>
        <w:t xml:space="preserve"> Šioje apžvalgoje pateikiamos neoficialios Europos Sąjungos Teisingumo Teismo (toliau – ir Teisingumo Teismas, ESTT) procesinių sprendimų santraukos. 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9" w:history="1">
        <w:r w:rsidRPr="00B943CA">
          <w:rPr>
            <w:rStyle w:val="Hipersaitas"/>
            <w:rFonts w:asciiTheme="minorHAnsi" w:hAnsiTheme="minorHAnsi" w:cstheme="minorHAnsi"/>
            <w:i/>
            <w:color w:val="44546A" w:themeColor="text2"/>
          </w:rPr>
          <w:t>http://curia.europa.eu/</w:t>
        </w:r>
      </w:hyperlink>
      <w:r w:rsidRPr="00B943CA">
        <w:rPr>
          <w:rFonts w:asciiTheme="minorHAnsi" w:hAnsiTheme="minorHAnsi" w:cstheme="minorHAnsi"/>
          <w:i/>
        </w:rPr>
        <w:t xml:space="preserve"> ir Europos Sąjungos teisės interneto svetainėje </w:t>
      </w:r>
      <w:hyperlink r:id="rId10" w:history="1">
        <w:r w:rsidRPr="00B943CA">
          <w:rPr>
            <w:rStyle w:val="Hipersaitas"/>
            <w:rFonts w:asciiTheme="minorHAnsi" w:hAnsiTheme="minorHAnsi" w:cstheme="minorHAnsi"/>
            <w:i/>
            <w:color w:val="44546A" w:themeColor="text2"/>
          </w:rPr>
          <w:t>http://eur-lex.europa.eu/</w:t>
        </w:r>
      </w:hyperlink>
      <w:r w:rsidRPr="00B943CA">
        <w:rPr>
          <w:rFonts w:asciiTheme="minorHAnsi" w:hAnsiTheme="minorHAnsi" w:cstheme="minorHAnsi"/>
          <w:i/>
          <w:color w:val="44546A" w:themeColor="text2"/>
        </w:rPr>
        <w:t>.</w:t>
      </w:r>
      <w:r w:rsidRPr="00B943CA">
        <w:rPr>
          <w:rFonts w:asciiTheme="minorHAnsi" w:hAnsiTheme="minorHAnsi" w:cstheme="minorHAnsi"/>
          <w:b/>
        </w:rPr>
        <w:br w:type="page"/>
      </w:r>
    </w:p>
    <w:p w14:paraId="782B1515" w14:textId="77777777" w:rsidR="008347BC" w:rsidRPr="00B943CA" w:rsidRDefault="008347BC" w:rsidP="00620683">
      <w:pPr>
        <w:pStyle w:val="Antrat1"/>
        <w:rPr>
          <w:rFonts w:eastAsia="Times New Roman"/>
        </w:rPr>
      </w:pPr>
      <w:bookmarkStart w:id="0" w:name="_Toc67492418"/>
      <w:bookmarkStart w:id="1" w:name="_Toc71819686"/>
      <w:bookmarkStart w:id="2" w:name="_Toc456193188"/>
      <w:bookmarkStart w:id="3" w:name="_Hlk56233897"/>
      <w:bookmarkStart w:id="4" w:name="_Toc11232456"/>
      <w:bookmarkStart w:id="5" w:name="_Toc11232747"/>
      <w:bookmarkStart w:id="6" w:name="_Toc11757983"/>
      <w:bookmarkStart w:id="7" w:name="_Toc497144232"/>
      <w:r w:rsidRPr="00620683">
        <w:lastRenderedPageBreak/>
        <w:t>ASMENS</w:t>
      </w:r>
      <w:r w:rsidRPr="00B943CA">
        <w:rPr>
          <w:rFonts w:eastAsia="Times New Roman"/>
        </w:rPr>
        <w:t xml:space="preserve"> DUOMENŲ APSAUGA</w:t>
      </w:r>
      <w:bookmarkEnd w:id="0"/>
      <w:bookmarkEnd w:id="1"/>
    </w:p>
    <w:p w14:paraId="117F6401" w14:textId="77777777" w:rsidR="008347BC" w:rsidRPr="00B943CA" w:rsidRDefault="008347BC" w:rsidP="008347BC">
      <w:pPr>
        <w:rPr>
          <w:rFonts w:asciiTheme="minorHAnsi" w:hAnsiTheme="minorHAnsi" w:cstheme="minorHAnsi"/>
        </w:rPr>
      </w:pPr>
    </w:p>
    <w:p w14:paraId="5F2C418B" w14:textId="77777777" w:rsidR="008347BC" w:rsidRPr="00620683" w:rsidRDefault="008347BC" w:rsidP="00620683">
      <w:pPr>
        <w:pStyle w:val="Antrat2"/>
      </w:pPr>
      <w:bookmarkStart w:id="8" w:name="_Toc67492422"/>
      <w:bookmarkStart w:id="9" w:name="_Toc71819687"/>
      <w:r w:rsidRPr="00620683">
        <w:t>2020 m. lapkričio 11 d. prejudicinis sprendimas byloje C</w:t>
      </w:r>
      <w:r w:rsidRPr="00620683">
        <w:noBreakHyphen/>
        <w:t>61/19</w:t>
      </w:r>
      <w:bookmarkEnd w:id="8"/>
      <w:bookmarkEnd w:id="9"/>
    </w:p>
    <w:p w14:paraId="3FDB60C4" w14:textId="77777777" w:rsidR="008347BC" w:rsidRPr="00B943CA" w:rsidRDefault="008347BC" w:rsidP="008347BC">
      <w:pPr>
        <w:jc w:val="center"/>
        <w:rPr>
          <w:rFonts w:asciiTheme="minorHAnsi" w:hAnsiTheme="minorHAnsi" w:cstheme="minorHAnsi"/>
          <w:b/>
          <w:bCs/>
          <w:i/>
          <w:iCs/>
        </w:rPr>
      </w:pPr>
      <w:r w:rsidRPr="00B943CA">
        <w:rPr>
          <w:rFonts w:asciiTheme="minorHAnsi" w:hAnsiTheme="minorHAnsi" w:cstheme="minorHAnsi"/>
          <w:b/>
          <w:bCs/>
          <w:i/>
          <w:iCs/>
        </w:rPr>
        <w:t xml:space="preserve">Orange România SA </w:t>
      </w:r>
    </w:p>
    <w:p w14:paraId="5E1C0EED" w14:textId="77777777" w:rsidR="008347BC" w:rsidRPr="00B943CA" w:rsidRDefault="008347BC" w:rsidP="008347BC">
      <w:pPr>
        <w:jc w:val="center"/>
        <w:rPr>
          <w:rFonts w:asciiTheme="minorHAnsi" w:hAnsiTheme="minorHAnsi" w:cstheme="minorHAnsi"/>
          <w:b/>
          <w:bCs/>
          <w:i/>
          <w:iCs/>
        </w:rPr>
      </w:pPr>
      <w:r w:rsidRPr="00B943CA">
        <w:rPr>
          <w:rFonts w:asciiTheme="minorHAnsi" w:hAnsiTheme="minorHAnsi" w:cstheme="minorHAnsi"/>
          <w:b/>
          <w:bCs/>
          <w:i/>
          <w:iCs/>
        </w:rPr>
        <w:t>prieš Autoritatea Națională de Supraveghere a Prelucrării Datelor cu Caracter Personal (ANSPDCP)</w:t>
      </w:r>
    </w:p>
    <w:p w14:paraId="75757E20" w14:textId="77777777" w:rsidR="008347BC" w:rsidRPr="00B943CA" w:rsidRDefault="008347BC" w:rsidP="008347BC">
      <w:pPr>
        <w:rPr>
          <w:rFonts w:asciiTheme="minorHAnsi" w:hAnsiTheme="minorHAnsi" w:cstheme="minorHAnsi"/>
          <w:b/>
          <w:bCs/>
          <w:i/>
          <w:iCs/>
        </w:rPr>
      </w:pPr>
    </w:p>
    <w:p w14:paraId="37747E46" w14:textId="77777777" w:rsidR="008347BC" w:rsidRPr="00B943CA" w:rsidRDefault="008347BC" w:rsidP="008347BC">
      <w:pPr>
        <w:rPr>
          <w:rFonts w:asciiTheme="minorHAnsi" w:hAnsiTheme="minorHAnsi" w:cstheme="minorHAnsi"/>
        </w:rPr>
      </w:pPr>
    </w:p>
    <w:p w14:paraId="0B1D0598" w14:textId="22E84186" w:rsidR="008347BC" w:rsidRPr="00B943CA" w:rsidRDefault="008347BC" w:rsidP="008347BC">
      <w:pPr>
        <w:ind w:firstLine="567"/>
        <w:rPr>
          <w:rFonts w:asciiTheme="minorHAnsi" w:hAnsiTheme="minorHAnsi" w:cstheme="minorHAnsi"/>
          <w:color w:val="000000"/>
          <w:shd w:val="clear" w:color="auto" w:fill="FFFFFF"/>
        </w:rPr>
      </w:pPr>
      <w:r w:rsidRPr="00B943CA">
        <w:rPr>
          <w:rFonts w:asciiTheme="minorHAnsi" w:hAnsiTheme="minorHAnsi" w:cstheme="minorHAnsi"/>
          <w:color w:val="000000"/>
          <w:shd w:val="clear" w:color="auto" w:fill="FFFFFF"/>
        </w:rPr>
        <w:t> Prašymas priimti prejudicinį sprendimą pateiktas dėl 1995 m. spalio 24 d. Europos Parlamento ir Tarybos direktyvos 95/46/EB dėl [fizinių] asmenų apsaugos tvarkant asmens duomenis ir dėl laisvo tokių duomenų judėjimo (OL L 281, 1995, p. 31; 2004 m. specialusis leidimas lietuvių k., 13 sk., 15 t., p. 355, toliau – ir  95/46) 2 straipsnio h punkto ir Reglamento 2016/679 4 straipsnio 11 punkto išaiškinimo (1 punktas).</w:t>
      </w:r>
    </w:p>
    <w:p w14:paraId="736C5A9A" w14:textId="3F22BE2B" w:rsidR="008347BC" w:rsidRPr="00B943CA" w:rsidRDefault="008347BC" w:rsidP="008347BC">
      <w:pPr>
        <w:ind w:firstLine="567"/>
        <w:rPr>
          <w:rFonts w:asciiTheme="minorHAnsi" w:hAnsiTheme="minorHAnsi" w:cstheme="minorHAnsi"/>
        </w:rPr>
      </w:pPr>
      <w:r w:rsidRPr="00B943CA">
        <w:rPr>
          <w:rFonts w:asciiTheme="minorHAnsi" w:hAnsiTheme="minorHAnsi" w:cstheme="minorHAnsi"/>
        </w:rPr>
        <w:t>  </w:t>
      </w:r>
      <w:r w:rsidRPr="00B943CA">
        <w:rPr>
          <w:rFonts w:asciiTheme="minorHAnsi" w:hAnsiTheme="minorHAnsi" w:cstheme="minorHAnsi"/>
          <w:i/>
          <w:iCs/>
        </w:rPr>
        <w:t>Orange România</w:t>
      </w:r>
      <w:r w:rsidRPr="00B943CA">
        <w:rPr>
          <w:rFonts w:asciiTheme="minorHAnsi" w:hAnsiTheme="minorHAnsi" w:cstheme="minorHAnsi"/>
        </w:rPr>
        <w:t> Rumunijos rinkoje teikia judriojo ryšio paslaugas. 2018 m. kovo 28 d. sprendimu Autoritatea Naţională de Supraveghere a Prelucrării Datelor cu Caracter Personal (ANSPDCP) (Nacionalinė asmens duomenų tvarkymo priežiūros institucija, Rumunija)  skyrė bendrovei </w:t>
      </w:r>
      <w:r w:rsidRPr="00B943CA">
        <w:rPr>
          <w:rFonts w:asciiTheme="minorHAnsi" w:hAnsiTheme="minorHAnsi" w:cstheme="minorHAnsi"/>
          <w:i/>
          <w:iCs/>
        </w:rPr>
        <w:t>Orange România</w:t>
      </w:r>
      <w:r w:rsidRPr="00B943CA">
        <w:rPr>
          <w:rFonts w:asciiTheme="minorHAnsi" w:hAnsiTheme="minorHAnsi" w:cstheme="minorHAnsi"/>
        </w:rPr>
        <w:t> baudą už tai, kad ši saugojo savo klientų asmens tapatybės dokumentų kopijas, neįrodžiusi, kad šie klientai davė galiojantį sutikimą, ir įpareigojo ją sunaikinti šias kopijas. Tame sprendime ANSPDCP pažymėjo, kad nuo 2018 m. kovo 1 d. iki kovo 26 d. </w:t>
      </w:r>
      <w:r w:rsidRPr="00B943CA">
        <w:rPr>
          <w:rFonts w:asciiTheme="minorHAnsi" w:hAnsiTheme="minorHAnsi" w:cstheme="minorHAnsi"/>
          <w:i/>
          <w:iCs/>
        </w:rPr>
        <w:t>Orange România</w:t>
      </w:r>
      <w:r w:rsidRPr="00B943CA">
        <w:rPr>
          <w:rFonts w:asciiTheme="minorHAnsi" w:hAnsiTheme="minorHAnsi" w:cstheme="minorHAnsi"/>
        </w:rPr>
        <w:t> raštu sudarė judriojo ryšio paslaugų teikimo sutarčių su fiziniais asmenimis ir kad jų asmens tapatybės dokumentų kopijos buvo pridėtos prie šių sutarčių. Kaip nurodė ANSPDCP, ši įmonė nepateikė įrodymų, kad jos klientai, prie kurių sutarčių buvo pridėtos jų asmens tapatybės dokumentų kopijos, davė galiojantį sutikimą rinkti ir saugoti tas dokumentų kopijas (20 – 22 punktai).</w:t>
      </w:r>
    </w:p>
    <w:p w14:paraId="1EDCC39A" w14:textId="7FE6F7A8" w:rsidR="008347BC" w:rsidRDefault="008347BC" w:rsidP="008347BC">
      <w:pPr>
        <w:ind w:firstLine="567"/>
        <w:rPr>
          <w:rFonts w:asciiTheme="minorHAnsi" w:hAnsiTheme="minorHAnsi" w:cstheme="minorHAnsi"/>
        </w:rPr>
      </w:pPr>
      <w:r w:rsidRPr="00B943CA">
        <w:rPr>
          <w:rFonts w:asciiTheme="minorHAnsi" w:hAnsiTheme="minorHAnsi" w:cstheme="minorHAnsi"/>
        </w:rPr>
        <w:t> Prašymą priimti prejudicinį sprendimą pateikęs teismas iš esmės siekė išsiaiškinti, ar Direktyvos 95/46 2 straipsnio h punktas ir 7 straipsnio a punktas, taip pat Reglamento 2016/679 4 straipsnio 11 punktas ir 6 straipsnio 1 dalies a punktas turi būti aiškinami taip, kad sutartis dėl telekomunikacijų paslaugų teikimo, kurioje įtvirtinta sąlyga, pagal kurią duomenų subjektas buvo informuotas ir davė sutikimą rinkti ir saugoti savo asmens tapatybės dokumento kopiją, gali įrodyti, kad šis asmuo tinkamai davė sutikimą, kaip tai suprantama pagal šias nuostatas, dėl tokio rinkimo ir saugojimo.</w:t>
      </w:r>
    </w:p>
    <w:p w14:paraId="5AB7DA25" w14:textId="5A38AFDB" w:rsidR="00746359" w:rsidRDefault="00746359" w:rsidP="008347BC">
      <w:pPr>
        <w:ind w:firstLine="567"/>
        <w:rPr>
          <w:rFonts w:asciiTheme="minorHAnsi" w:hAnsiTheme="minorHAnsi" w:cstheme="minorHAnsi"/>
        </w:rPr>
      </w:pPr>
    </w:p>
    <w:p w14:paraId="523E9754" w14:textId="34CD391D" w:rsidR="00746359" w:rsidRPr="00746359" w:rsidRDefault="00746359" w:rsidP="00C47F2E">
      <w:pPr>
        <w:pStyle w:val="Antrat3"/>
        <w:ind w:firstLine="567"/>
        <w:rPr>
          <w:rFonts w:eastAsia="Times New Roman"/>
          <w:lang w:eastAsia="lt-LT"/>
        </w:rPr>
      </w:pPr>
      <w:bookmarkStart w:id="10" w:name="_Toc67492423"/>
      <w:bookmarkStart w:id="11" w:name="_Toc71819688"/>
      <w:r w:rsidRPr="00746359">
        <w:rPr>
          <w:rFonts w:eastAsia="Times New Roman"/>
          <w:lang w:eastAsia="lt-LT"/>
        </w:rPr>
        <w:t>Dėl telekomunikacijų paslaugų teikimo sutartyje įtvirtintos sąlygos, pagal kurią duomenų subjektas buvo informuotas ir sutiko dėl savo asmens tapatybės dokumento kopijos rinkimo ir saugojimo identifikavimo tikslais, vertinimo kaip tinkamo duomenų subjekto sutikimo</w:t>
      </w:r>
      <w:bookmarkEnd w:id="10"/>
      <w:bookmarkEnd w:id="11"/>
    </w:p>
    <w:p w14:paraId="4BBF4C69" w14:textId="46405745" w:rsidR="00746359" w:rsidRPr="00B943CA" w:rsidRDefault="00746359" w:rsidP="008347BC">
      <w:pPr>
        <w:ind w:firstLine="567"/>
        <w:rPr>
          <w:rFonts w:asciiTheme="minorHAnsi" w:hAnsiTheme="minorHAnsi" w:cstheme="minorHAnsi"/>
        </w:rPr>
      </w:pPr>
    </w:p>
    <w:p w14:paraId="1648B5F4" w14:textId="77777777" w:rsidR="008347BC" w:rsidRPr="00B943CA" w:rsidRDefault="008347BC" w:rsidP="008347BC">
      <w:pPr>
        <w:ind w:firstLine="567"/>
        <w:rPr>
          <w:rFonts w:asciiTheme="minorHAnsi" w:hAnsiTheme="minorHAnsi" w:cstheme="minorHAnsi"/>
        </w:rPr>
      </w:pPr>
      <w:r w:rsidRPr="00B943CA">
        <w:rPr>
          <w:rFonts w:asciiTheme="minorHAnsi" w:hAnsiTheme="minorHAnsi" w:cstheme="minorHAnsi"/>
        </w:rPr>
        <w:t>Teisingumo Teismas priminė, kad Direktyvos 95/46 7 straipsnyje ir Reglamento 2016/679 6 straipsnyje numatytas išsamus atvejų, kai asmens duomenų tvarkymas gali būti laikomas teisėtu, sąrašas. Konkrečiau kalbant, šios direktyvos 7 straipsnio a punkte ir minėto reglamento 6 straipsnio 1 dalies a punkte numatyta, kad duomenų subjekto sutikimas gali padaryti tokį tvarkymą teisėtą (34 punktas). Dėl tokiam sutikimui taikomų reikalavimų minėtos direktyvos 7 straipsnio a punkte nustatyta, kad duomenų subjektas turi būti „nedviprasmiškai davęs sutikimą“, o Direktyvos 95/46 2 straipsnio h punkte sąvoka „sutikimas“ apibrėžta kaip reiškianti „bet kurį savanoriškai ir žinomai duotą konkretų duomenų subjekto pareiškimą, kuriuo duomenų subjektas nurodo savo sutikimą, kad būtų tvarkomi su juo susiję duomenys“. Kadangi šiose nuostatose numatyta, kad duomenų subjektas pareiškia valią tam, kad „nedviprasmiškai“ duotų savo sutikimą, gali būti atsižvelgiama tik į aktyvų šio subjekto elgesį siekiant pareikšti savo sutikimą (35 punktas).</w:t>
      </w:r>
    </w:p>
    <w:p w14:paraId="7E78FE4B" w14:textId="77777777" w:rsidR="008347BC" w:rsidRPr="00B943CA" w:rsidRDefault="008347BC" w:rsidP="008347BC">
      <w:pPr>
        <w:ind w:firstLine="567"/>
        <w:rPr>
          <w:rFonts w:asciiTheme="minorHAnsi" w:hAnsiTheme="minorHAnsi" w:cstheme="minorHAnsi"/>
        </w:rPr>
      </w:pPr>
      <w:r w:rsidRPr="00B943CA">
        <w:rPr>
          <w:rFonts w:asciiTheme="minorHAnsi" w:hAnsiTheme="minorHAnsi" w:cstheme="minorHAnsi"/>
        </w:rPr>
        <w:t>Tas pats reikalavimas taikomas pagal Reglamentą 2016/679. Šio reglamento 4 straipsnio 11 punkto formuluotė, kuri apibrėžia „duomenų subjekto sutikimą“, be kita ko, šio reglamento 6 straipsnio 1 dalies a punkto taikymo tikslais, atrodo dar griežtesnė nei Direktyvos 95/46 2 straipsnio h punkto formuluotė, nes pagal ją reikalaujama, kad „laisva valia duotas, konkretus ir nedviprasmiškas tinkamai informuoto“ duomenų subjekto sutikimas būtų duotas pareiškimu arba „vienareikšmiais veiksmais“, kuriais jis sutinka, kad būtų tvarkomi su juo susiję asmens duomenys. Taigi nuo šiol Reglamente 2016/679 aiškiai numatytas aktyvus sutikimas (36 punktas). Nors šio reglamento 32 konstatuojamojoje dalyje nurodyta, kad sutikimas galėtų būti išreikštas, be kita ko, pažymint langelį interneto svetainėje, vis dėlto joje aiškiai atmetama galimybė sutikimą duoti „tyla, iš anksto pažymėt[ais] langeliai[s] arba neveikim[u]“ (37 punktas).</w:t>
      </w:r>
    </w:p>
    <w:p w14:paraId="02C08D58" w14:textId="77777777" w:rsidR="008347BC" w:rsidRPr="00B943CA" w:rsidRDefault="008347BC" w:rsidP="008347BC">
      <w:pPr>
        <w:ind w:firstLine="567"/>
        <w:rPr>
          <w:rFonts w:asciiTheme="minorHAnsi" w:hAnsiTheme="minorHAnsi" w:cstheme="minorHAnsi"/>
        </w:rPr>
      </w:pPr>
      <w:r w:rsidRPr="00B943CA">
        <w:rPr>
          <w:rFonts w:asciiTheme="minorHAnsi" w:hAnsiTheme="minorHAnsi" w:cstheme="minorHAnsi"/>
        </w:rPr>
        <w:t xml:space="preserve">Reglamento 2016/679 7 straipsnio 2 dalies pirmame sakinyje nurodyta: jeigu duomenų subjekto sutikimas grindžiamas rašytiniu pareiškimu, susijusiu ir su kitais klausimais, prašymas duoti sutikimą pateikiamas tokiu būdu, kad jis būtų aiškiai atskirtas nuo kitų klausimų. Konkrečiai kalbant, iš pastarosios nuostatos, siejamos su minėto reglamento 42 konstatuojamąja dalimi, matyti, kad toks pareiškimas turi būti </w:t>
      </w:r>
      <w:r w:rsidRPr="00B943CA">
        <w:rPr>
          <w:rFonts w:asciiTheme="minorHAnsi" w:hAnsiTheme="minorHAnsi" w:cstheme="minorHAnsi"/>
        </w:rPr>
        <w:lastRenderedPageBreak/>
        <w:t>pateiktas suprantama ir lengvai prieinama forma, aiškia ir paprasta kalba, visų pirma tada, kai tai yra asmens duomenų valdytojo iš anksto suformuluotas sutikimo pareiškimas (39 punktas).</w:t>
      </w:r>
    </w:p>
    <w:p w14:paraId="2FFB1374" w14:textId="77777777" w:rsidR="008347BC" w:rsidRPr="00B943CA" w:rsidRDefault="008347BC" w:rsidP="008347BC">
      <w:pPr>
        <w:ind w:firstLine="567"/>
        <w:rPr>
          <w:rFonts w:asciiTheme="minorHAnsi" w:hAnsiTheme="minorHAnsi" w:cstheme="minorHAnsi"/>
        </w:rPr>
      </w:pPr>
      <w:r w:rsidRPr="00B943CA">
        <w:rPr>
          <w:rFonts w:asciiTheme="minorHAnsi" w:hAnsiTheme="minorHAnsi" w:cstheme="minorHAnsi"/>
        </w:rPr>
        <w:t xml:space="preserve">Teisingumo Teismas taip pat pažymėjo, kad, </w:t>
      </w:r>
      <w:r w:rsidRPr="00B943CA">
        <w:rPr>
          <w:rFonts w:asciiTheme="minorHAnsi" w:hAnsiTheme="minorHAnsi" w:cstheme="minorHAnsi"/>
          <w:u w:val="single"/>
        </w:rPr>
        <w:t>atsižvelgiant į Direktyvos 95/46 ir Reglamento 2016/679 nuostatas, duomenų valdytojas turi pateikti duomenų subjektui informaciją apie visas su duomenų tvarkymu susijusias aplinkybes suprantama ir lengvai prieinama forma, aiškia ir paprasta kalba, nes šis subjektas visų pirma turi žinoti, kokie duomenys bus tvarkomi, duomenų valdytojo tapatybę, tvarkymo trukmę ir sąlygas, taip pat tvarkymo tikslus</w:t>
      </w:r>
      <w:r w:rsidRPr="00B943CA">
        <w:rPr>
          <w:rFonts w:asciiTheme="minorHAnsi" w:hAnsiTheme="minorHAnsi" w:cstheme="minorHAnsi"/>
        </w:rPr>
        <w:t xml:space="preserve">. </w:t>
      </w:r>
      <w:r w:rsidRPr="00B943CA">
        <w:rPr>
          <w:rFonts w:asciiTheme="minorHAnsi" w:hAnsiTheme="minorHAnsi" w:cstheme="minorHAnsi"/>
          <w:u w:val="single"/>
        </w:rPr>
        <w:t>Tokia informacija turi leisti šiam asmeniui lengvai nustatyti sutikimo, kurį jis galėtų duoti, pasekmes ir užtikrinti, kad sutikimas būtų duotas žinant visas aplinkybes</w:t>
      </w:r>
      <w:r w:rsidRPr="00B943CA">
        <w:rPr>
          <w:rFonts w:asciiTheme="minorHAnsi" w:hAnsiTheme="minorHAnsi" w:cstheme="minorHAnsi"/>
        </w:rPr>
        <w:t xml:space="preserve"> (40 punktas). Siekiant duomenų subjektui užtikrinti tikrą pasirinkimo laisvę, sutarties sąlygos neturi klaidinti duomenų subjekto dėl galimybės sudaryti sutartį, net jeigu jis atsisako duoti sutikimą dėl jo duomenų tvarkymo. Nesant tokios informacijos, šio subjekto sutikimas dėl jo asmens duomenų tvarkymo negali būti laikomas nei duotu laisva valia, nei, be to, duotu žinomai ar esant tinkamai informuotam (41 punktas).</w:t>
      </w:r>
    </w:p>
    <w:p w14:paraId="4E26229B" w14:textId="77777777" w:rsidR="008347BC" w:rsidRPr="00B943CA" w:rsidRDefault="008347BC" w:rsidP="008347BC">
      <w:pPr>
        <w:ind w:firstLine="567"/>
        <w:rPr>
          <w:rFonts w:asciiTheme="minorHAnsi" w:hAnsiTheme="minorHAnsi" w:cstheme="minorHAnsi"/>
        </w:rPr>
      </w:pPr>
      <w:r w:rsidRPr="00B943CA">
        <w:rPr>
          <w:rFonts w:asciiTheme="minorHAnsi" w:hAnsiTheme="minorHAnsi" w:cstheme="minorHAnsi"/>
        </w:rPr>
        <w:t>Teisingumo Teismas pažymėjo, kad asmens duomenų valdytojas (</w:t>
      </w:r>
      <w:r w:rsidRPr="00B943CA">
        <w:rPr>
          <w:rFonts w:asciiTheme="minorHAnsi" w:hAnsiTheme="minorHAnsi" w:cstheme="minorHAnsi"/>
          <w:i/>
          <w:iCs/>
        </w:rPr>
        <w:t>Orange România</w:t>
      </w:r>
      <w:r w:rsidRPr="00B943CA">
        <w:rPr>
          <w:rFonts w:asciiTheme="minorHAnsi" w:hAnsiTheme="minorHAnsi" w:cstheme="minorHAnsi"/>
        </w:rPr>
        <w:t xml:space="preserve">) privalo, be kita ko, užtikrinti šių duomenų tvarkymo teisėtumą ir turi galėti jį įrodyti (t. y. šiuo atveju privalo įrodyti, kad duomenų subjektas davė galiojantį  sutikimą) (42 punktas). Šiuo atžvilgiu, </w:t>
      </w:r>
      <w:r w:rsidRPr="007474BB">
        <w:rPr>
          <w:rFonts w:asciiTheme="minorHAnsi" w:hAnsiTheme="minorHAnsi" w:cstheme="minorHAnsi"/>
          <w:u w:val="single"/>
        </w:rPr>
        <w:t>kadangi klientai, atrodo, patys nežymėdavo langelio, susijusio su sąlyga, pagal kurią atitinkami klientai buvo informuoti ir davė sutikimą dėl asmens tapatybės dokumento kopijos saugojimo identifikavimo tikslais, vien tai, kad šis langelis būdavo pažymėtas, neįrodo pareikšto tokių klientų sutikimo dėl jų asmens tapatybės kortelių kopijų rinkimo ir saugojimo</w:t>
      </w:r>
      <w:r w:rsidRPr="00B943CA">
        <w:rPr>
          <w:rFonts w:asciiTheme="minorHAnsi" w:hAnsiTheme="minorHAnsi" w:cstheme="minorHAnsi"/>
        </w:rPr>
        <w:t>. Prašymą priimti prejudicinį sprendimą pateikęs teismas turi atlikti tuo tikslu reikalingus patikrinimus (46 punktas).</w:t>
      </w:r>
    </w:p>
    <w:p w14:paraId="280A8082" w14:textId="5979AFA6" w:rsidR="008347BC" w:rsidRPr="00B943CA" w:rsidRDefault="008347BC" w:rsidP="00C915FB">
      <w:pPr>
        <w:ind w:firstLine="567"/>
        <w:rPr>
          <w:rFonts w:asciiTheme="minorHAnsi" w:hAnsiTheme="minorHAnsi" w:cstheme="minorHAnsi"/>
        </w:rPr>
      </w:pPr>
      <w:r w:rsidRPr="00B943CA">
        <w:rPr>
          <w:rFonts w:asciiTheme="minorHAnsi" w:hAnsiTheme="minorHAnsi" w:cstheme="minorHAnsi"/>
        </w:rPr>
        <w:t xml:space="preserve">Be to, kadangi neatrodo, kad pažymėta sąlyga dėl šių duomenų tvarkymo buvo pateikta tokia forma, kuri ją aiškiai išskiria iš kitų sutarties sąlygų, </w:t>
      </w:r>
      <w:r w:rsidR="007474BB" w:rsidRPr="007474BB">
        <w:rPr>
          <w:rFonts w:asciiTheme="minorHAnsi" w:hAnsiTheme="minorHAnsi" w:cstheme="minorHAnsi"/>
          <w:u w:val="single"/>
        </w:rPr>
        <w:t>nacionalinis teismas</w:t>
      </w:r>
      <w:r w:rsidRPr="007474BB">
        <w:rPr>
          <w:rFonts w:asciiTheme="minorHAnsi" w:hAnsiTheme="minorHAnsi" w:cstheme="minorHAnsi"/>
          <w:u w:val="single"/>
        </w:rPr>
        <w:t xml:space="preserve"> taip pat turi įvertinti, ar šių sutarčių, kuriose yra daug sutartinių sąlygų, pasirašymas gali būti laikomas parodančiu konkretų sutikimą dėl asmens duomenų rinkimo ir saugojimo</w:t>
      </w:r>
      <w:r w:rsidRPr="00B943CA">
        <w:rPr>
          <w:rFonts w:asciiTheme="minorHAnsi" w:hAnsiTheme="minorHAnsi" w:cstheme="minorHAnsi"/>
        </w:rPr>
        <w:t xml:space="preserve"> (47 punktas). Nacionalinis teismas taip pat turi įvertinti, be kita ko, tai, ar pagrindinėje byloje aptariamos sutarties sąlygos, nesant paaiškinimų šiuo klausimu, galėjo suklaidinti duomenų subjektą dėl galimybės sudaryti sutartį, nepaisant atsisakymo sutikti dėl savo duomenų tvarkymo, ir taip paneigti tai, kad minėtu pasirašymu pareikštas sutikimas buvo duotas žinomai ir esant tinkamai informuotam (49 punktas). Be to, atrodo, jog laisvą šio sutikimo pobūdį paneigia aplinkybė, kad atsisakymo jį duoti atveju </w:t>
      </w:r>
      <w:r w:rsidRPr="00B943CA">
        <w:rPr>
          <w:rFonts w:asciiTheme="minorHAnsi" w:hAnsiTheme="minorHAnsi" w:cstheme="minorHAnsi"/>
          <w:i/>
          <w:iCs/>
        </w:rPr>
        <w:t>Orange România</w:t>
      </w:r>
      <w:r w:rsidRPr="00B943CA">
        <w:rPr>
          <w:rFonts w:asciiTheme="minorHAnsi" w:hAnsiTheme="minorHAnsi" w:cstheme="minorHAnsi"/>
        </w:rPr>
        <w:t>, nukrypdama nuo įprastos procedūros, kurią užbaigiant sudaroma sutartis, reikalaudavo, kad atitinkamas klientas raštu pareikštų, jog neduoda sutikimo nei rinkti, nei saugoti savo asmens tapatybės dokumento kopijos. Toks papildomas reikalavimas gali nepagrįstai paveikti laisvą pasirinkimą prieštarauti dėl tokio rinkimo ir saugojimo, o tai irgi turi patikrinti prašymą priimti prejudicinį sprendimą pateikęs teismas (50</w:t>
      </w:r>
      <w:r w:rsidR="00DD74DC" w:rsidRPr="00B943CA">
        <w:rPr>
          <w:rFonts w:asciiTheme="minorHAnsi" w:hAnsiTheme="minorHAnsi" w:cstheme="minorHAnsi"/>
        </w:rPr>
        <w:t> </w:t>
      </w:r>
      <w:r w:rsidRPr="00B943CA">
        <w:rPr>
          <w:rFonts w:asciiTheme="minorHAnsi" w:hAnsiTheme="minorHAnsi" w:cstheme="minorHAnsi"/>
        </w:rPr>
        <w:t xml:space="preserve">punktas). Bet kuriuo atveju </w:t>
      </w:r>
      <w:r w:rsidRPr="00B943CA">
        <w:rPr>
          <w:rFonts w:asciiTheme="minorHAnsi" w:hAnsiTheme="minorHAnsi" w:cstheme="minorHAnsi"/>
          <w:i/>
          <w:iCs/>
        </w:rPr>
        <w:t>Orange România</w:t>
      </w:r>
      <w:r w:rsidRPr="00B943CA">
        <w:rPr>
          <w:rFonts w:asciiTheme="minorHAnsi" w:hAnsiTheme="minorHAnsi" w:cstheme="minorHAnsi"/>
        </w:rPr>
        <w:t xml:space="preserve">, kaip </w:t>
      </w:r>
      <w:r w:rsidRPr="007474BB">
        <w:rPr>
          <w:rFonts w:asciiTheme="minorHAnsi" w:hAnsiTheme="minorHAnsi" w:cstheme="minorHAnsi"/>
          <w:u w:val="single"/>
        </w:rPr>
        <w:t>duomenų valdytoja, turi įrodyti, kad jos klientai aktyviais veiksmais pareiškė sutikimą dėl savo asmens duomenų tvarkymo, todėl ši bendrovė negali reikalauti, kad jie aktyviai pareikštų savo nesutikimą</w:t>
      </w:r>
      <w:r w:rsidRPr="00B943CA">
        <w:rPr>
          <w:rFonts w:asciiTheme="minorHAnsi" w:hAnsiTheme="minorHAnsi" w:cstheme="minorHAnsi"/>
        </w:rPr>
        <w:t xml:space="preserve"> (51 punktas).</w:t>
      </w:r>
    </w:p>
    <w:p w14:paraId="35F0B9CB" w14:textId="77777777" w:rsidR="008347BC" w:rsidRPr="00B943CA" w:rsidRDefault="008347BC" w:rsidP="008347BC">
      <w:pPr>
        <w:ind w:firstLine="720"/>
        <w:rPr>
          <w:rFonts w:asciiTheme="minorHAnsi" w:hAnsiTheme="minorHAnsi" w:cstheme="minorHAnsi"/>
        </w:rPr>
      </w:pPr>
    </w:p>
    <w:p w14:paraId="6F146DEB" w14:textId="77777777" w:rsidR="008347BC" w:rsidRPr="00B943CA" w:rsidRDefault="008347BC" w:rsidP="00C915FB">
      <w:pPr>
        <w:ind w:firstLine="567"/>
        <w:rPr>
          <w:rFonts w:asciiTheme="minorHAnsi" w:hAnsiTheme="minorHAnsi" w:cstheme="minorHAnsi"/>
          <w:b/>
          <w:bCs/>
        </w:rPr>
      </w:pPr>
      <w:r w:rsidRPr="00B943CA">
        <w:rPr>
          <w:rFonts w:asciiTheme="minorHAnsi" w:hAnsiTheme="minorHAnsi" w:cstheme="minorHAnsi"/>
          <w:b/>
          <w:bCs/>
        </w:rPr>
        <w:t>Remdamasis šiais motyvais, Teisingumo Teismas (antroji kolegija) nusprendė:</w:t>
      </w:r>
    </w:p>
    <w:p w14:paraId="7DC9D404" w14:textId="77777777" w:rsidR="008347BC" w:rsidRPr="00B943CA" w:rsidRDefault="008347BC" w:rsidP="008347BC">
      <w:pPr>
        <w:ind w:firstLine="720"/>
        <w:rPr>
          <w:rFonts w:asciiTheme="minorHAnsi" w:hAnsiTheme="minorHAnsi" w:cstheme="minorHAnsi"/>
          <w:b/>
          <w:bCs/>
        </w:rPr>
      </w:pPr>
    </w:p>
    <w:p w14:paraId="42D7A333" w14:textId="77777777" w:rsidR="008347BC" w:rsidRPr="00B943CA" w:rsidRDefault="008347BC" w:rsidP="00C915FB">
      <w:pPr>
        <w:ind w:firstLine="567"/>
        <w:rPr>
          <w:rFonts w:asciiTheme="minorHAnsi" w:hAnsiTheme="minorHAnsi" w:cstheme="minorHAnsi"/>
        </w:rPr>
      </w:pPr>
      <w:r w:rsidRPr="00B943CA">
        <w:rPr>
          <w:rFonts w:asciiTheme="minorHAnsi" w:hAnsiTheme="minorHAnsi" w:cstheme="minorHAnsi"/>
        </w:rPr>
        <w:t>Direktyvos 95/46 2 straipsnio h punktas ir 7 straipsnio a punktas, taip pat Reglamento 2016/679 4 straipsnio 11 punktas ir 6 straipsnio 1 dalies a punktas turi būti aiškinami taip, kad duomenų valdytojas turi įrodyti, kad duomenų subjektas aktyviais veiksmais pareiškė sutikimą dėl savo asmens duomenų tvarkymo ir iš anksto gavo informaciją dėl visų su šiuo tvarkymu susijusių aplinkybių suprantama ir lengvai prieinama forma, aiškia ir paprasta kalba, leidžiančia jam lengvai nustatyti šio sutikimo pasekmes, kad būtų užtikrinta, jog sutikimas duotas žinant visas aplinkybes. Telekomunikacijų paslaugų teikimo sutartis su įtvirtinta sąlyga, pagal kurią duomenų subjektas buvo informuotas ir sutiko dėl savo asmens tapatybės dokumento kopijos rinkimo ir saugojimo identifikavimo tikslais, negali įrodyti, kad šis asmuo tinkamai davė sutikimą dėl šio rinkimo ir saugojimo, kaip tai suprantama pagal šias nuostatas, jeigu:</w:t>
      </w:r>
    </w:p>
    <w:p w14:paraId="659CBE35" w14:textId="53239A1C" w:rsidR="008347BC" w:rsidRPr="00B943CA" w:rsidRDefault="008347BC" w:rsidP="00C915FB">
      <w:pPr>
        <w:ind w:firstLine="567"/>
        <w:rPr>
          <w:rFonts w:asciiTheme="minorHAnsi" w:hAnsiTheme="minorHAnsi" w:cstheme="minorHAnsi"/>
        </w:rPr>
      </w:pPr>
      <w:r w:rsidRPr="00B943CA">
        <w:rPr>
          <w:rFonts w:asciiTheme="minorHAnsi" w:hAnsiTheme="minorHAnsi" w:cstheme="minorHAnsi"/>
        </w:rPr>
        <w:t>–    su šia sąlyga susijusį langelį duomenų valdytojas pažymėjo prieš pasirašant šią sutartį arba</w:t>
      </w:r>
    </w:p>
    <w:p w14:paraId="4939D98F" w14:textId="77777777" w:rsidR="008347BC" w:rsidRPr="00B943CA" w:rsidRDefault="008347BC" w:rsidP="00C915FB">
      <w:pPr>
        <w:ind w:firstLine="567"/>
        <w:rPr>
          <w:rFonts w:asciiTheme="minorHAnsi" w:hAnsiTheme="minorHAnsi" w:cstheme="minorHAnsi"/>
        </w:rPr>
      </w:pPr>
      <w:r w:rsidRPr="00B943CA">
        <w:rPr>
          <w:rFonts w:asciiTheme="minorHAnsi" w:hAnsiTheme="minorHAnsi" w:cstheme="minorHAnsi"/>
        </w:rPr>
        <w:t>–   šios sutarties sąlygos gali suklaidinti duomenų subjektą dėl galimybės sudaryti atitinkamą sutartį net ir tuo atveju, jeigu jis atsisako duoti sutikimą dėl savo duomenų tvarkymo, arba</w:t>
      </w:r>
    </w:p>
    <w:p w14:paraId="4B5C28C7" w14:textId="0D7FAFEF" w:rsidR="008347BC" w:rsidRPr="00B943CA" w:rsidRDefault="008347BC" w:rsidP="00C915FB">
      <w:pPr>
        <w:ind w:firstLine="567"/>
        <w:rPr>
          <w:rFonts w:asciiTheme="minorHAnsi" w:hAnsiTheme="minorHAnsi" w:cstheme="minorHAnsi"/>
        </w:rPr>
      </w:pPr>
      <w:r w:rsidRPr="00B943CA">
        <w:rPr>
          <w:rFonts w:asciiTheme="minorHAnsi" w:hAnsiTheme="minorHAnsi" w:cstheme="minorHAnsi"/>
        </w:rPr>
        <w:t xml:space="preserve">– </w:t>
      </w:r>
      <w:r w:rsidR="00E10062">
        <w:rPr>
          <w:rFonts w:asciiTheme="minorHAnsi" w:hAnsiTheme="minorHAnsi" w:cstheme="minorHAnsi"/>
        </w:rPr>
        <w:t xml:space="preserve"> </w:t>
      </w:r>
      <w:r w:rsidRPr="00B943CA">
        <w:rPr>
          <w:rFonts w:asciiTheme="minorHAnsi" w:hAnsiTheme="minorHAnsi" w:cstheme="minorHAnsi"/>
        </w:rPr>
        <w:t>duomenų valdytojas nepagrįstai apriboja laisvą pasirinkimą prieštarauti dėl tokio rinkimo ir saugojimo, reikalaudamas, kad duomenų subjektas, norėdamas atsisakyti duoti sutikimą, užpildytų papildomą formuliarą, kuriame būtų patvirtintas šis atsisakymas.</w:t>
      </w:r>
    </w:p>
    <w:p w14:paraId="1BD9E98A" w14:textId="05027C0D" w:rsidR="008347BC" w:rsidRPr="00B943CA" w:rsidRDefault="00F953EA" w:rsidP="00C915FB">
      <w:pPr>
        <w:ind w:firstLine="567"/>
        <w:rPr>
          <w:rFonts w:asciiTheme="minorHAnsi" w:hAnsiTheme="minorHAnsi" w:cstheme="minorHAnsi"/>
        </w:rPr>
      </w:pPr>
      <w:hyperlink r:id="rId11" w:history="1">
        <w:r w:rsidR="008347BC" w:rsidRPr="00B943CA">
          <w:rPr>
            <w:rStyle w:val="Hipersaitas"/>
            <w:rFonts w:asciiTheme="minorHAnsi" w:hAnsiTheme="minorHAnsi" w:cstheme="minorHAnsi"/>
          </w:rPr>
          <w:t>Prieiga internete</w:t>
        </w:r>
      </w:hyperlink>
    </w:p>
    <w:p w14:paraId="26B505DA" w14:textId="77777777" w:rsidR="008347BC" w:rsidRPr="00E10062" w:rsidRDefault="008347BC" w:rsidP="00E10062"/>
    <w:p w14:paraId="724B7A45" w14:textId="78105C62" w:rsidR="00F34683" w:rsidRPr="00B943CA" w:rsidRDefault="00F34683" w:rsidP="00620683">
      <w:pPr>
        <w:pStyle w:val="Antrat1"/>
      </w:pPr>
      <w:bookmarkStart w:id="12" w:name="_Toc67492424"/>
      <w:bookmarkStart w:id="13" w:name="_Toc71819689"/>
      <w:r w:rsidRPr="00B943CA">
        <w:t>UŽSIENIEČIŲ TEISINĖ PADĖTIS</w:t>
      </w:r>
      <w:bookmarkEnd w:id="12"/>
      <w:bookmarkEnd w:id="13"/>
      <w:r w:rsidRPr="00B943CA">
        <w:t xml:space="preserve"> </w:t>
      </w:r>
    </w:p>
    <w:p w14:paraId="661B4A73" w14:textId="77777777" w:rsidR="00F34683" w:rsidRPr="00E10062" w:rsidRDefault="00F34683" w:rsidP="00E10062"/>
    <w:p w14:paraId="1ADBF02D" w14:textId="4D3A1AC3" w:rsidR="00B5328A" w:rsidRPr="00B943CA" w:rsidRDefault="00B5328A" w:rsidP="00620683">
      <w:pPr>
        <w:pStyle w:val="Antrat2"/>
        <w:rPr>
          <w:highlight w:val="yellow"/>
        </w:rPr>
      </w:pPr>
      <w:bookmarkStart w:id="14" w:name="_Toc67492425"/>
      <w:bookmarkStart w:id="15" w:name="_Toc71819690"/>
      <w:r w:rsidRPr="00B943CA">
        <w:t xml:space="preserve">2020 m. lapkričio 24 d. </w:t>
      </w:r>
      <w:r w:rsidRPr="00620683">
        <w:t>didžiosios</w:t>
      </w:r>
      <w:r w:rsidRPr="00B943CA">
        <w:t xml:space="preserve"> kolegijos prejudicinis sprendimas </w:t>
      </w:r>
      <w:bookmarkEnd w:id="2"/>
      <w:r w:rsidRPr="00B943CA">
        <w:t>sujungtose bylose C</w:t>
      </w:r>
      <w:r w:rsidRPr="00B943CA">
        <w:rPr>
          <w:rFonts w:ascii="Cambria Math" w:hAnsi="Cambria Math" w:cs="Cambria Math"/>
        </w:rPr>
        <w:t>‑</w:t>
      </w:r>
      <w:r w:rsidRPr="00B943CA">
        <w:t>225/19 ir C</w:t>
      </w:r>
      <w:r w:rsidRPr="00B943CA">
        <w:rPr>
          <w:rFonts w:ascii="Cambria Math" w:hAnsi="Cambria Math" w:cs="Cambria Math"/>
        </w:rPr>
        <w:t>‑</w:t>
      </w:r>
      <w:r w:rsidRPr="00B943CA">
        <w:t>226/19</w:t>
      </w:r>
      <w:bookmarkEnd w:id="14"/>
      <w:bookmarkEnd w:id="15"/>
    </w:p>
    <w:p w14:paraId="0299AF2A" w14:textId="77777777" w:rsidR="00B5328A" w:rsidRPr="00B943CA" w:rsidRDefault="00B5328A" w:rsidP="00B5328A">
      <w:pPr>
        <w:jc w:val="center"/>
        <w:rPr>
          <w:rFonts w:asciiTheme="minorHAnsi" w:hAnsiTheme="minorHAnsi" w:cstheme="minorHAnsi"/>
          <w:b/>
          <w:highlight w:val="yellow"/>
        </w:rPr>
      </w:pPr>
      <w:r w:rsidRPr="00B943CA">
        <w:rPr>
          <w:rFonts w:asciiTheme="minorHAnsi" w:hAnsiTheme="minorHAnsi" w:cstheme="minorHAnsi"/>
          <w:b/>
          <w:bCs/>
          <w:i/>
          <w:shd w:val="clear" w:color="auto" w:fill="FFFFFF"/>
        </w:rPr>
        <w:t>R. N. N. S. ir K. A.</w:t>
      </w:r>
    </w:p>
    <w:p w14:paraId="5CE1964E"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sz w:val="22"/>
          <w:szCs w:val="22"/>
        </w:rPr>
      </w:pPr>
    </w:p>
    <w:p w14:paraId="55500315"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Prašymas priimti prejudicinį sprendimą pateiktas dėl 2009 m. liepos 13 d. Europos Parlamento ir Tarybos reglamento (EB) Nr. 810/2009, nustatančio Bendrijos vizų kodeksą, iš dalies pakeisto 2013 m. birželio 26 d. Europos Parlamento ir Tarybos reglamentu (ES) Nr. 610/2013 (toliau – Vizų kodeksas), 32 straipsnio 1–3 dalių, siejamų su Europos Sąjungos pagrindinių teisių chartijos (toliau – Chartija) 41 ir 47 straipsniais, išaiškinimo (1 punktas).</w:t>
      </w:r>
    </w:p>
    <w:p w14:paraId="799317D0" w14:textId="768D23CF" w:rsidR="00B5328A" w:rsidRPr="00B943CA" w:rsidRDefault="00B5328A" w:rsidP="00400458">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Cs/>
          <w:sz w:val="22"/>
          <w:szCs w:val="22"/>
          <w:shd w:val="clear" w:color="auto" w:fill="FFFFFF"/>
        </w:rPr>
        <w:t>Egipto pilietis, gyvenantis savo kilmės šalyje (byla C-225/19), ir Sirijos pilietė, gyvenanti Saudo Arabijoje (byla C-226/19), pateikė Nyderlandų užsienio reikalų ministrui (toliau – ministras) prašymus išduoti Šengeno vizą, kad galėtų aplankyti Nyderlanduose gyvenančius savo šeimų narius. Jų prašymai buvo atmesti ir, remiantis Vizų kodeksu, apie šį atmetimą jiems buvo pranešta naudojant standartinę formą; šioje formoje yra vienuolika langelių, kurie turi būti pažymėti atsižvelgiant į tai, koks atmetimo pagrindas pasirinktas. Nagrinėjamu atveju buvo pažymėtas šeštasis langelis, todėl atsisakymo išduoti vizą priežastis buvo tai, kad suinteresuotieji asmenys buvo laikomi keliančiais grėsmę valstybės narės viešajai tvarkai, vidaus saugumui, visuomenės sveikatai ar jos tarptautiniams santykiams (Vizų kodekso 32 straipsnio 1 dalies a punkto vi papunktyje numatytas atsisakymo pagrindas). Šiuo atveju buvo atsisakyta išduoti vizą dėl Vengrijos ir Vokietijos, su kuriomis iš anksto konsultavosi Nyderlandų valdžios institucijos vykstant Vizų kodekse numatytai procedūrai, pareikštų prieštaravimų. Tačiau šioje formoje suinteresuotiesiems asmenims nebuvo konkrečiai nurodytos šios valstybės narės tikslus atsisakymo pagrindas, pasirinktas iš keturių galimų (grėsmė viešajai tvarkai, vidaus saugumui, visuomenės sveikatai arba tarptautiniams santykiams), ar priežastys, dėl kurių jie buvo laikomi keliančiais tokią grėsmę. Suinteresuotieji asmenys pateikė Vizų kodekso 32 straipsnio 3 dalyje numatytus skundus ministrui, bet jie buvo atmesti. Tuomet jie padavė skundus Hagos apylinkės teismui ir tvirtino, kad jiems nebuvo užtikrinta veiksminga teisminė gynyba, nes jie negalėjo iš esmės ginčyti šių sprendimų. Šis teismas nusprendė kreiptis į Teisingumo Teismą dėl, viena vertus, motyvavimo, kuris turi būti pateiktas kartu su sprendimu atsisakyti išduoti vizą, kai šis atsisakymas pateisinamas kitos valstybės narės pareikštu prieštaravimu, ir, kita vertus, galimybės atlikti šio atsisakymo pagrindo teisminę kontrolę, apskundžiant sprendimą atsisakyti išduoti vizą, ir tokios kontrolės apimties</w:t>
      </w:r>
      <w:r w:rsidR="00400458" w:rsidRPr="00B943CA">
        <w:rPr>
          <w:rFonts w:asciiTheme="minorHAnsi" w:hAnsiTheme="minorHAnsi" w:cstheme="minorHAnsi"/>
          <w:iCs/>
          <w:sz w:val="22"/>
          <w:szCs w:val="22"/>
          <w:shd w:val="clear" w:color="auto" w:fill="FFFFFF"/>
        </w:rPr>
        <w:t xml:space="preserve"> (12–30 punktai)</w:t>
      </w:r>
      <w:r w:rsidRPr="00B943CA">
        <w:rPr>
          <w:rFonts w:asciiTheme="minorHAnsi" w:hAnsiTheme="minorHAnsi" w:cstheme="minorHAnsi"/>
          <w:iCs/>
          <w:sz w:val="22"/>
          <w:szCs w:val="22"/>
          <w:shd w:val="clear" w:color="auto" w:fill="FFFFFF"/>
        </w:rPr>
        <w:t>.</w:t>
      </w:r>
    </w:p>
    <w:p w14:paraId="1B0588F1"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Cs/>
          <w:sz w:val="22"/>
          <w:szCs w:val="22"/>
          <w:shd w:val="clear" w:color="auto" w:fill="FFFFFF"/>
        </w:rPr>
        <w:t>Savo klausimais, kuriuos Teisingumo Teismas nusprendė nagrinėti kartu, prašymą priimti prejudicinį sprendimą pateikęs teismas iš esmės siekė išsiaiškinti, ar Vizų kodekso 32 straipsnio 2 ir 3 dalys, siejamos su Chartijos 47 straipsniu, turi būti aiškinamos taip, kad, viena vertus, jose reikalaujama, kad valstybė narė, pagal šio kodekso 32 straipsnio 1 dalies a punkto vi papunktį priėmusi galutinį sprendimą atsisakyti išduoti vizą dėl to, kad kita valstybė narė pareiškė prieštaravimą vizos išdavimui, šiame sprendime nurodytų tokį prieštaravimą pareiškusią valstybę narę, konkretų šiuo prieštaravimu grindžiamą atsisakymo pagrindą ir teisių gynimo priemones, kurių galima imtis dėl minėto prieštaravimo, ir, kita vertus, kai dėl to paties sprendimo, remiantis to paties kodekso 32 straipsnio 3 dalimi, pateikiamas skundas, tą sprendimą priėmusios valstybės narės teismai turi galėti kitos valstybės narės pareikšto prieštaravimo vizos išdavimui teisėtumą nagrinėti iš esmės (32 punktas).</w:t>
      </w:r>
    </w:p>
    <w:p w14:paraId="3E633B20"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b/>
          <w:bCs/>
          <w:iCs/>
          <w:sz w:val="22"/>
          <w:szCs w:val="22"/>
          <w:shd w:val="clear" w:color="auto" w:fill="FFFFFF"/>
        </w:rPr>
      </w:pPr>
    </w:p>
    <w:p w14:paraId="7FE00F97" w14:textId="24E9F64E" w:rsidR="00B5328A" w:rsidRPr="00B943CA" w:rsidRDefault="00B5328A" w:rsidP="00C47F2E">
      <w:pPr>
        <w:pStyle w:val="Antrat3"/>
        <w:ind w:firstLine="567"/>
        <w:rPr>
          <w:shd w:val="clear" w:color="auto" w:fill="FFFFFF"/>
        </w:rPr>
      </w:pPr>
      <w:bookmarkStart w:id="16" w:name="_Toc67492426"/>
      <w:bookmarkStart w:id="17" w:name="_Toc71819691"/>
      <w:r w:rsidRPr="00B943CA">
        <w:rPr>
          <w:shd w:val="clear" w:color="auto" w:fill="FFFFFF"/>
        </w:rPr>
        <w:t>Dėl pareigos nurodyti prieštaravimą</w:t>
      </w:r>
      <w:r w:rsidR="00C47F2E">
        <w:rPr>
          <w:shd w:val="clear" w:color="auto" w:fill="FFFFFF"/>
        </w:rPr>
        <w:t xml:space="preserve"> vizos išdavimui</w:t>
      </w:r>
      <w:r w:rsidRPr="00B943CA">
        <w:rPr>
          <w:shd w:val="clear" w:color="auto" w:fill="FFFFFF"/>
        </w:rPr>
        <w:t xml:space="preserve"> pateikusią valstybę narę ir konkretų šiuo prieštaravimu grindžiamą atsisakymo pagrindą</w:t>
      </w:r>
      <w:bookmarkEnd w:id="16"/>
      <w:bookmarkEnd w:id="17"/>
    </w:p>
    <w:p w14:paraId="6B4B429A"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b/>
          <w:bCs/>
          <w:iCs/>
          <w:sz w:val="22"/>
          <w:szCs w:val="22"/>
          <w:shd w:val="clear" w:color="auto" w:fill="FFFFFF"/>
        </w:rPr>
      </w:pPr>
    </w:p>
    <w:p w14:paraId="51C3134F"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Cs/>
          <w:sz w:val="22"/>
          <w:szCs w:val="22"/>
          <w:shd w:val="clear" w:color="auto" w:fill="FFFFFF"/>
        </w:rPr>
        <w:t xml:space="preserve">Atsižvelgdamas į šioje srityje jau suformuotą savo praktiką Teisingumo Teismas nurodė, kad  pagal Chartijos 47 straipsnyje įtvirtintą teisę į veiksmingą teisinę gynybą reikalaujama, jog prašymą išduoti vizą pateikęs asmuo, kuriam atsisakyta išduoti vizą dėl valstybės narės prieštaravimo, pareikšto dėl vienos iš Vizų kodekso 32 straipsnio 1 dalies a punkto vi papunktyje nurodytų priežasčių, galėtų žinoti konkrečią atsisakymo priežastį, kuria grindžiamas tas sprendimas, ir valstybę narę, kuri pareiškė prieštaravimą šio dokumento išdavimui. Todėl, net jei priežastys, atitinkančios šeštąjį standartinės formos langelį, yra iš anksto nustatytos, kompetentinga nacionalinė valdžios institucija, taikydama Vizų kodekso 32 straipsnio 1 dalies a punkto vi papunktyje numatytą atsisakymo pagrindą, </w:t>
      </w:r>
      <w:r w:rsidRPr="00E10062">
        <w:rPr>
          <w:rFonts w:asciiTheme="minorHAnsi" w:hAnsiTheme="minorHAnsi" w:cstheme="minorHAnsi"/>
          <w:iCs/>
          <w:sz w:val="22"/>
          <w:szCs w:val="22"/>
          <w:u w:val="single"/>
          <w:shd w:val="clear" w:color="auto" w:fill="FFFFFF"/>
        </w:rPr>
        <w:t xml:space="preserve">standartinės formos skirsnyje „Pastabos“ turi nurodyti valstybę </w:t>
      </w:r>
      <w:r w:rsidRPr="00E10062">
        <w:rPr>
          <w:rFonts w:asciiTheme="minorHAnsi" w:hAnsiTheme="minorHAnsi" w:cstheme="minorHAnsi"/>
          <w:iCs/>
          <w:sz w:val="22"/>
          <w:szCs w:val="22"/>
          <w:u w:val="single"/>
          <w:shd w:val="clear" w:color="auto" w:fill="FFFFFF"/>
        </w:rPr>
        <w:lastRenderedPageBreak/>
        <w:t>narę ar valstybes nares, pareiškusias prieštaravimą vizos išdavimui, ir konkretų šiuo prieštaravimu grindžiamą atsisakymo pagrindą, prireikus kartu išdėstydama to prieštaravimo priežasčių esmę</w:t>
      </w:r>
      <w:r w:rsidRPr="00B943CA">
        <w:rPr>
          <w:rFonts w:asciiTheme="minorHAnsi" w:hAnsiTheme="minorHAnsi" w:cstheme="minorHAnsi"/>
          <w:iCs/>
          <w:sz w:val="22"/>
          <w:szCs w:val="22"/>
          <w:shd w:val="clear" w:color="auto" w:fill="FFFFFF"/>
        </w:rPr>
        <w:t xml:space="preserve"> (45, 46 punktai).</w:t>
      </w:r>
    </w:p>
    <w:p w14:paraId="43C8967D"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p>
    <w:p w14:paraId="01421C9F" w14:textId="573136B8" w:rsidR="00B5328A" w:rsidRPr="00B943CA" w:rsidRDefault="00B5328A" w:rsidP="00C47F2E">
      <w:pPr>
        <w:pStyle w:val="Antrat3"/>
        <w:ind w:firstLine="567"/>
        <w:rPr>
          <w:shd w:val="clear" w:color="auto" w:fill="FFFFFF"/>
        </w:rPr>
      </w:pPr>
      <w:bookmarkStart w:id="18" w:name="_Toc67492427"/>
      <w:bookmarkStart w:id="19" w:name="_Toc71819692"/>
      <w:r w:rsidRPr="00B943CA">
        <w:rPr>
          <w:shd w:val="clear" w:color="auto" w:fill="FFFFFF"/>
        </w:rPr>
        <w:t>Dėl kitos valstybės narės pareikšto prieštaravimo vizos išdavimui teisminės kontrolės apimties</w:t>
      </w:r>
      <w:bookmarkEnd w:id="18"/>
      <w:bookmarkEnd w:id="19"/>
    </w:p>
    <w:p w14:paraId="5AB7DF00"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b/>
          <w:bCs/>
          <w:iCs/>
          <w:sz w:val="22"/>
          <w:szCs w:val="22"/>
          <w:shd w:val="clear" w:color="auto" w:fill="FFFFFF"/>
        </w:rPr>
      </w:pPr>
    </w:p>
    <w:p w14:paraId="5AA872A3" w14:textId="150675DE" w:rsidR="00400458" w:rsidRPr="00B943CA" w:rsidRDefault="00B5328A" w:rsidP="00400458">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Cs/>
          <w:sz w:val="22"/>
          <w:szCs w:val="22"/>
          <w:shd w:val="clear" w:color="auto" w:fill="FFFFFF"/>
        </w:rPr>
        <w:t xml:space="preserve">Dėl teisminės kontrolės apimties nagrinėjant Vizų kodekso 32 straipsnio 3 dalyje numatytą skundą Teisingumo Teismas nurodė, kad valstybės narės, kuri priėmė galutinį sprendimą atsisakyti išduoti vizą dėl to, kad kita valstybė narė ar kelios kitos valstybės narės pareiškė prieštaravimą šio dokumento išdavimui, </w:t>
      </w:r>
      <w:r w:rsidRPr="00E10062">
        <w:rPr>
          <w:rFonts w:asciiTheme="minorHAnsi" w:hAnsiTheme="minorHAnsi" w:cstheme="minorHAnsi"/>
          <w:iCs/>
          <w:sz w:val="22"/>
          <w:szCs w:val="22"/>
          <w:u w:val="single"/>
          <w:shd w:val="clear" w:color="auto" w:fill="FFFFFF"/>
        </w:rPr>
        <w:t>teismai turi turėti galimybę įsitikinti, kad Vizų kodekso 22 straipsnyje aprašyta išankstinio konsultavimosi su kitų valstybių narių centrinėmis valdžios institucijomis procedūra buvo taikoma teisingai, ypač patikrinti, ar prašymą pateikęs asmuo buvo teisingai identifikuotas kaip nurodytas atitinkamame prieštaravime, ir kad tuo atveju laikytasi procedūrinių garantijų, kaip antai pareigos motyvuoti. Tačiau šie teismai negali tikrinti valstybės narės pareikšto prieštaravimo vizos išdavimui teisėtumo iš esmės</w:t>
      </w:r>
      <w:r w:rsidRPr="00B943CA">
        <w:rPr>
          <w:rFonts w:asciiTheme="minorHAnsi" w:hAnsiTheme="minorHAnsi" w:cstheme="minorHAnsi"/>
          <w:iCs/>
          <w:sz w:val="22"/>
          <w:szCs w:val="22"/>
          <w:shd w:val="clear" w:color="auto" w:fill="FFFFFF"/>
        </w:rPr>
        <w:t>. Kad atitinkamas prašymą išduoti vizą pateikęs asmuo galėtų pasinaudoti teise apskųsti tokį prieštaravimą pagal Chartijos 47 straipsnį, valstybės narės, kuri priėmė galutinį sprendimą atsisakyti išduoti vizą, kompetentingos valdžios institucijos turi nurodyti valdžios instituciją, į kurią prašymą išduoti vizą pateikęs asmuo gali kreiptis, kad sužinotų šiuo tikslu galimas teisių gynimo priemones toje kitoje valstybėje narėje. Be to, Sąjungos teisės aktų leidėjas leido valstybėms narėms apsispręsti dėl teisių gynimo priemonių, kuriomis gali naudotis prašymą išduoti vizą pateikę asmenys, pobūdžio ir konkrečios jas reglamentuojančios tvarkos, tačiau su sąlyga, kad jos laikysis lygiavertiškumo ir veiksmingumo principų. Taigi valstybė narė, kuri priima galutinį sprendimą atsisakyti išduoti vizą, turi numatyti procedūrines taisykles, padedančias užtikrinti prašymus išduoti vizą pateikiančių asmenų teisės į gynybą ir teisės į veiksmingą teisinę gynybą paisymą, kaip antai prašymą valstybių narių, pareiškusių prieštaravimą vizos išdavimui, kompetentingoms valdžios institucijoms suteikti informacijos, galimybę šiems asmenims įstoti į pagal Vizų kodekso 32 straipsnio 3 dalį pradėtą apskundimo procedūrą ar bet kokį kitą mechanizmą, užtikrinantį, kad šių prašymą pateikusių asmenų skundas negali būti galutinai atmestas jiems nesuteikus konkrečios galimybės pasinaudoti savo teisėmis</w:t>
      </w:r>
      <w:r w:rsidR="00400458" w:rsidRPr="00B943CA">
        <w:rPr>
          <w:rFonts w:asciiTheme="minorHAnsi" w:hAnsiTheme="minorHAnsi" w:cstheme="minorHAnsi"/>
          <w:iCs/>
          <w:sz w:val="22"/>
          <w:szCs w:val="22"/>
          <w:shd w:val="clear" w:color="auto" w:fill="FFFFFF"/>
        </w:rPr>
        <w:t xml:space="preserve"> (48–56 punktai). </w:t>
      </w:r>
    </w:p>
    <w:p w14:paraId="100D9E76" w14:textId="77777777" w:rsidR="00B5328A" w:rsidRPr="00B943CA" w:rsidRDefault="00B5328A" w:rsidP="00B5328A">
      <w:pPr>
        <w:ind w:firstLine="567"/>
        <w:rPr>
          <w:rFonts w:asciiTheme="minorHAnsi" w:eastAsia="Times New Roman" w:hAnsiTheme="minorHAnsi" w:cstheme="minorHAnsi"/>
          <w:lang w:eastAsia="lt-LT"/>
        </w:rPr>
      </w:pPr>
    </w:p>
    <w:p w14:paraId="0345BB4A" w14:textId="34D10140" w:rsidR="00B5328A" w:rsidRPr="00B943CA" w:rsidRDefault="00B5328A" w:rsidP="00B5328A">
      <w:pPr>
        <w:ind w:firstLine="567"/>
        <w:rPr>
          <w:rFonts w:asciiTheme="minorHAnsi" w:hAnsiTheme="minorHAnsi" w:cstheme="minorHAnsi"/>
          <w:b/>
        </w:rPr>
      </w:pPr>
      <w:r w:rsidRPr="00B943CA">
        <w:rPr>
          <w:rFonts w:asciiTheme="minorHAnsi" w:hAnsiTheme="minorHAnsi" w:cstheme="minorHAnsi"/>
          <w:b/>
        </w:rPr>
        <w:t>Remdamasis šiais motyvais, Teisingumo Teismas (didžioji kolegija) nusprendė:</w:t>
      </w:r>
    </w:p>
    <w:p w14:paraId="5129D68E" w14:textId="77777777" w:rsidR="00932B66" w:rsidRPr="00B943CA" w:rsidRDefault="00932B66" w:rsidP="00B5328A">
      <w:pPr>
        <w:ind w:firstLine="567"/>
        <w:rPr>
          <w:rFonts w:asciiTheme="minorHAnsi" w:hAnsiTheme="minorHAnsi" w:cstheme="minorHAnsi"/>
          <w:b/>
          <w:u w:val="single"/>
        </w:rPr>
      </w:pPr>
    </w:p>
    <w:p w14:paraId="252EBBE8" w14:textId="77777777" w:rsidR="00B5328A" w:rsidRPr="00B943CA" w:rsidRDefault="00B5328A" w:rsidP="00B5328A">
      <w:pPr>
        <w:ind w:firstLine="567"/>
        <w:rPr>
          <w:rFonts w:asciiTheme="minorHAnsi" w:hAnsiTheme="minorHAnsi" w:cstheme="minorHAnsi"/>
        </w:rPr>
      </w:pPr>
      <w:r w:rsidRPr="00B943CA">
        <w:rPr>
          <w:rFonts w:asciiTheme="minorHAnsi" w:hAnsiTheme="minorHAnsi" w:cstheme="minorHAnsi"/>
          <w:iCs/>
          <w:shd w:val="clear" w:color="auto" w:fill="FFFFFF"/>
        </w:rPr>
        <w:t>2009 m. liepos 13 d. Europos Parlamento ir Tarybos reglamento (EB) Nr. 810/2009, nustatančio Bendrijos vizų kodeksą, iš dalies pakeisto 2013 m. birželio 26 d. Europos Parlamento ir Tarybos reglamentu (ES) Nr. 610/2013, 32 straipsnio 2 ir 3 dalys, siejamos su Europos Sąjungos pagrindinių teisių chartijos 47 straipsniu, turi būti aiškinamos taip, kad, viena vertus, jose reikalaujama, kad valstybė narė, pagal Reglamento Nr. 810/2009, iš dalies pakeisto Reglamentu Nr. 610/2013, 32 straipsnio 1 dalies a punkto vi papunktį priėmusi galutinį sprendimą atsisakyti išduoti vizą dėl to, kad kita valstybė narė pareiškė prieštaravimą vizos išdavimui, šiame sprendime nurodytų tokį prieštaravimą pareiškusią valstybę narę, konkretų šiuo prieštaravimu grindžiamą atsisakymo pagrindą, prireikus kartu išdėstydama to prieštaravimo priežasčių esmę, ir valdžios instituciją, į kurią prašymą išduoti vizą pateikęs asmuo gali kreiptis, kad sužinotų galimas teisių gynimo priemones toje kitoje valstybėje narėje, ir, kita vertus, kai dėl to paties sprendimo, remiantis Reglamento Nr. 810/2009, iš dalies pakeisto Reglamentu Nr. 610/2013, 32 straipsnio 3 dalimi, pateikiamas skundas, tą sprendimą priėmusios valstybės narės teismai negali kitos valstybės narės pareikšto prieštaravimo vizos išdavimui teisėtumo nagrinėti iš esmės</w:t>
      </w:r>
      <w:r w:rsidRPr="00B943CA">
        <w:rPr>
          <w:rFonts w:asciiTheme="minorHAnsi" w:hAnsiTheme="minorHAnsi" w:cstheme="minorHAnsi"/>
        </w:rPr>
        <w:t>.</w:t>
      </w:r>
    </w:p>
    <w:p w14:paraId="0CEB8BB4" w14:textId="77777777" w:rsidR="00B5328A" w:rsidRPr="00B943CA" w:rsidRDefault="00F953EA" w:rsidP="00B5328A">
      <w:pPr>
        <w:ind w:firstLine="567"/>
        <w:rPr>
          <w:rFonts w:asciiTheme="minorHAnsi" w:hAnsiTheme="minorHAnsi" w:cstheme="minorHAnsi"/>
        </w:rPr>
      </w:pPr>
      <w:hyperlink r:id="rId12" w:history="1">
        <w:r w:rsidR="00B5328A" w:rsidRPr="00B943CA">
          <w:rPr>
            <w:rStyle w:val="Hipersaitas"/>
            <w:rFonts w:asciiTheme="minorHAnsi" w:hAnsiTheme="minorHAnsi" w:cstheme="minorHAnsi"/>
          </w:rPr>
          <w:t>Prieiga internete</w:t>
        </w:r>
      </w:hyperlink>
    </w:p>
    <w:p w14:paraId="1B4FD997" w14:textId="77777777" w:rsidR="00B5328A" w:rsidRPr="00B943CA" w:rsidRDefault="00B5328A" w:rsidP="00B5328A">
      <w:pPr>
        <w:rPr>
          <w:rFonts w:asciiTheme="minorHAnsi" w:hAnsiTheme="minorHAnsi" w:cstheme="minorHAnsi"/>
          <w:lang w:eastAsia="lt-LT"/>
        </w:rPr>
      </w:pPr>
    </w:p>
    <w:p w14:paraId="615B3DC9" w14:textId="6AD40E8D" w:rsidR="00B5328A" w:rsidRPr="00620683" w:rsidRDefault="00B5328A" w:rsidP="00620683">
      <w:pPr>
        <w:pStyle w:val="Antrat2"/>
      </w:pPr>
      <w:bookmarkStart w:id="20" w:name="_Toc67492428"/>
      <w:bookmarkStart w:id="21" w:name="_Toc71819693"/>
      <w:r w:rsidRPr="00620683">
        <w:t>2020 rugsėjo 3 d. prejudicinis sprendimas sujungtose bylose C</w:t>
      </w:r>
      <w:r w:rsidRPr="00D669E0">
        <w:rPr>
          <w:rFonts w:ascii="Cambria Math" w:hAnsi="Cambria Math" w:cs="Cambria Math"/>
        </w:rPr>
        <w:t>‑</w:t>
      </w:r>
      <w:r w:rsidRPr="00620683">
        <w:t>503/19 ir C</w:t>
      </w:r>
      <w:r w:rsidRPr="00D669E0">
        <w:rPr>
          <w:rFonts w:ascii="Cambria Math" w:hAnsi="Cambria Math" w:cs="Cambria Math"/>
        </w:rPr>
        <w:t>‑</w:t>
      </w:r>
      <w:r w:rsidRPr="00620683">
        <w:t>592/19</w:t>
      </w:r>
      <w:bookmarkEnd w:id="20"/>
      <w:bookmarkEnd w:id="21"/>
      <w:r w:rsidRPr="00620683">
        <w:t xml:space="preserve"> </w:t>
      </w:r>
    </w:p>
    <w:p w14:paraId="045E3040" w14:textId="77777777" w:rsidR="00B5328A" w:rsidRPr="00E10062" w:rsidRDefault="00B5328A" w:rsidP="00E10062">
      <w:pPr>
        <w:jc w:val="center"/>
        <w:rPr>
          <w:rFonts w:asciiTheme="minorHAnsi" w:hAnsiTheme="minorHAnsi" w:cstheme="minorHAnsi"/>
          <w:b/>
          <w:bCs/>
          <w:i/>
          <w:shd w:val="clear" w:color="auto" w:fill="FFFFFF"/>
        </w:rPr>
      </w:pPr>
      <w:bookmarkStart w:id="22" w:name="_Toc67491486"/>
      <w:bookmarkStart w:id="23" w:name="_Toc67491598"/>
      <w:bookmarkStart w:id="24" w:name="_Toc67491984"/>
      <w:bookmarkStart w:id="25" w:name="_Toc67492429"/>
      <w:r w:rsidRPr="00E10062">
        <w:rPr>
          <w:rFonts w:asciiTheme="minorHAnsi" w:hAnsiTheme="minorHAnsi" w:cstheme="minorHAnsi"/>
          <w:b/>
          <w:bCs/>
          <w:i/>
          <w:shd w:val="clear" w:color="auto" w:fill="FFFFFF"/>
        </w:rPr>
        <w:t>UQ ir SI</w:t>
      </w:r>
      <w:bookmarkEnd w:id="22"/>
      <w:bookmarkEnd w:id="23"/>
      <w:bookmarkEnd w:id="24"/>
      <w:bookmarkEnd w:id="25"/>
    </w:p>
    <w:p w14:paraId="2C6DADC4"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sz w:val="22"/>
          <w:szCs w:val="22"/>
        </w:rPr>
      </w:pPr>
    </w:p>
    <w:p w14:paraId="06AFF99F" w14:textId="32666286"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Prašymai priimti prejudicinį sprendimą pateikti dėl 2003 m. lapkričio 25 d. Tarybos direktyvos 2003/109/EB dėl trečiųjų valstybių piliečių, kurie yra ilgalaikiai gyventojai, statuso 6 straipsnio 1 dalies išaiškinimo (1 punktas).</w:t>
      </w:r>
    </w:p>
    <w:p w14:paraId="2807EBD4"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
          <w:sz w:val="22"/>
          <w:szCs w:val="22"/>
          <w:shd w:val="clear" w:color="auto" w:fill="FFFFFF"/>
        </w:rPr>
        <w:t>UQ</w:t>
      </w:r>
      <w:r w:rsidRPr="00B943CA">
        <w:rPr>
          <w:rFonts w:asciiTheme="minorHAnsi" w:hAnsiTheme="minorHAnsi" w:cstheme="minorHAnsi"/>
          <w:iCs/>
          <w:sz w:val="22"/>
          <w:szCs w:val="22"/>
          <w:shd w:val="clear" w:color="auto" w:fill="FFFFFF"/>
        </w:rPr>
        <w:t xml:space="preserve"> yra trečiosios šalies pilietis, turintis leidimą laikinai gyventi Ispanijoje. Jis buvo nuteistas už tai, kad vairavo apsvaigęs nuo alkoholio ir jam skirta bausmė – 40 dienų visuomenei naudingo darbo ir aštuoniems mėnesiams ir dviem dienoms atimta teisė vairuoti. Vėliau, kai jau buvo bent penkerius metus teisėtai </w:t>
      </w:r>
      <w:r w:rsidRPr="00B943CA">
        <w:rPr>
          <w:rFonts w:asciiTheme="minorHAnsi" w:hAnsiTheme="minorHAnsi" w:cstheme="minorHAnsi"/>
          <w:iCs/>
          <w:sz w:val="22"/>
          <w:szCs w:val="22"/>
          <w:shd w:val="clear" w:color="auto" w:fill="FFFFFF"/>
        </w:rPr>
        <w:lastRenderedPageBreak/>
        <w:t xml:space="preserve">pragyvenęs Ispanijoje ir turėjo leidimą ten gyventi, jis pateikė prašymą išduoti ilgalaikio gyventojo leidimą, bet prašymas buvo atmestas motyvuojant tuo, kad </w:t>
      </w:r>
      <w:r w:rsidRPr="00B943CA">
        <w:rPr>
          <w:rFonts w:asciiTheme="minorHAnsi" w:hAnsiTheme="minorHAnsi" w:cstheme="minorHAnsi"/>
          <w:i/>
          <w:sz w:val="22"/>
          <w:szCs w:val="22"/>
          <w:shd w:val="clear" w:color="auto" w:fill="FFFFFF"/>
        </w:rPr>
        <w:t>UQ</w:t>
      </w:r>
      <w:r w:rsidRPr="00B943CA">
        <w:rPr>
          <w:rFonts w:asciiTheme="minorHAnsi" w:hAnsiTheme="minorHAnsi" w:cstheme="minorHAnsi"/>
          <w:iCs/>
          <w:sz w:val="22"/>
          <w:szCs w:val="22"/>
          <w:shd w:val="clear" w:color="auto" w:fill="FFFFFF"/>
        </w:rPr>
        <w:t xml:space="preserve"> turi teistumą (14–17 punktai).  </w:t>
      </w:r>
    </w:p>
    <w:p w14:paraId="52EEFE27" w14:textId="619F7C8C"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
          <w:sz w:val="22"/>
          <w:szCs w:val="22"/>
          <w:shd w:val="clear" w:color="auto" w:fill="FFFFFF"/>
        </w:rPr>
        <w:t>SI</w:t>
      </w:r>
      <w:r w:rsidRPr="00B943CA">
        <w:rPr>
          <w:rFonts w:asciiTheme="minorHAnsi" w:hAnsiTheme="minorHAnsi" w:cstheme="minorHAnsi"/>
          <w:iCs/>
          <w:sz w:val="22"/>
          <w:szCs w:val="22"/>
          <w:shd w:val="clear" w:color="auto" w:fill="FFFFFF"/>
        </w:rPr>
        <w:t xml:space="preserve"> yra trečiosios šalies pilietis, kuris turi leidimą laikinai gyventi Ispanijoje, kur dirba pagal neterminuotą darbo sutartį ir yra įregistruotas socialinės apsaugos sistemoje.</w:t>
      </w:r>
      <w:r w:rsidRPr="00B943CA">
        <w:rPr>
          <w:rFonts w:asciiTheme="minorHAnsi" w:hAnsiTheme="minorHAnsi" w:cstheme="minorHAnsi"/>
          <w:i/>
          <w:sz w:val="22"/>
          <w:szCs w:val="22"/>
          <w:shd w:val="clear" w:color="auto" w:fill="FFFFFF"/>
        </w:rPr>
        <w:t xml:space="preserve"> SI</w:t>
      </w:r>
      <w:r w:rsidRPr="00B943CA">
        <w:rPr>
          <w:rFonts w:asciiTheme="minorHAnsi" w:hAnsiTheme="minorHAnsi" w:cstheme="minorHAnsi"/>
          <w:iCs/>
          <w:sz w:val="22"/>
          <w:szCs w:val="22"/>
          <w:shd w:val="clear" w:color="auto" w:fill="FFFFFF"/>
        </w:rPr>
        <w:t xml:space="preserve"> buvo nuteistas 11 mėnesių laisvės atėmimo bausme už oficialių dokumentų klastojimą ir suklastotų dokumentų panaudojimą laisvės atėmimo bausmės vykdymą atidedant dvejiems metams. </w:t>
      </w:r>
      <w:r w:rsidRPr="00B943CA">
        <w:rPr>
          <w:rFonts w:asciiTheme="minorHAnsi" w:hAnsiTheme="minorHAnsi" w:cstheme="minorHAnsi"/>
          <w:i/>
          <w:sz w:val="22"/>
          <w:szCs w:val="22"/>
          <w:shd w:val="clear" w:color="auto" w:fill="FFFFFF"/>
        </w:rPr>
        <w:t>SI</w:t>
      </w:r>
      <w:r w:rsidRPr="00B943CA">
        <w:rPr>
          <w:rFonts w:asciiTheme="minorHAnsi" w:hAnsiTheme="minorHAnsi" w:cstheme="minorHAnsi"/>
          <w:iCs/>
          <w:sz w:val="22"/>
          <w:szCs w:val="22"/>
          <w:shd w:val="clear" w:color="auto" w:fill="FFFFFF"/>
        </w:rPr>
        <w:t xml:space="preserve"> pateikus prašymą suteikti ilgalaikio gyventojo statusą, jis buvo atmestas, motyvuojant, be kita ko, tuo, kad SI įtrauktas į įtariamųjų, kaltinamųjų ir nuteistųjų registrą (25–27</w:t>
      </w:r>
      <w:r w:rsidR="00CE1E8A" w:rsidRPr="00B943CA">
        <w:rPr>
          <w:rFonts w:asciiTheme="minorHAnsi" w:hAnsiTheme="minorHAnsi" w:cstheme="minorHAnsi"/>
          <w:iCs/>
          <w:sz w:val="22"/>
          <w:szCs w:val="22"/>
          <w:shd w:val="clear" w:color="auto" w:fill="FFFFFF"/>
        </w:rPr>
        <w:t> </w:t>
      </w:r>
      <w:r w:rsidRPr="00B943CA">
        <w:rPr>
          <w:rFonts w:asciiTheme="minorHAnsi" w:hAnsiTheme="minorHAnsi" w:cstheme="minorHAnsi"/>
          <w:iCs/>
          <w:sz w:val="22"/>
          <w:szCs w:val="22"/>
          <w:shd w:val="clear" w:color="auto" w:fill="FFFFFF"/>
        </w:rPr>
        <w:t>punktai).</w:t>
      </w:r>
    </w:p>
    <w:p w14:paraId="35990BB7" w14:textId="6831C525"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Cs/>
          <w:sz w:val="22"/>
          <w:szCs w:val="22"/>
          <w:shd w:val="clear" w:color="auto" w:fill="FFFFFF"/>
        </w:rPr>
        <w:t>Ginčą sprendžiantys Ispanijos teismai nurod</w:t>
      </w:r>
      <w:r w:rsidR="00E10062">
        <w:rPr>
          <w:rFonts w:asciiTheme="minorHAnsi" w:hAnsiTheme="minorHAnsi" w:cstheme="minorHAnsi"/>
          <w:iCs/>
          <w:sz w:val="22"/>
          <w:szCs w:val="22"/>
          <w:shd w:val="clear" w:color="auto" w:fill="FFFFFF"/>
        </w:rPr>
        <w:t>ė</w:t>
      </w:r>
      <w:r w:rsidRPr="00B943CA">
        <w:rPr>
          <w:rFonts w:asciiTheme="minorHAnsi" w:hAnsiTheme="minorHAnsi" w:cstheme="minorHAnsi"/>
          <w:iCs/>
          <w:sz w:val="22"/>
          <w:szCs w:val="22"/>
          <w:shd w:val="clear" w:color="auto" w:fill="FFFFFF"/>
        </w:rPr>
        <w:t>, kad įvairių Ispanijos teismų jurisprudencija yra neaiški ir prieštaringa, kiek tai susiję su klausimu, ar vien suinteresuotojo asmens teistumo pakanka tam, kad jam būtų atsisakyta suteikti ilgalaikio gyventojo statusą, ar, priešingai, toks atsisakymas reikalauja kiekvienu konkrečiu atveju įvertinti faktines aplinkybes, kad būtų nustatyta, ar suinteresuotasis asmuo kelia tikrą, tuo metu esamą ir pakankamai didelę grėsmę vienam iš pagrindinių visuomenės interesų. Atkreipiamas dėmesys, kad Ispanijos Aukščiausiasis Teismas yra nusprendęs, jog vien suinteresuotojo asmens teistumas yra kliūtis jam suteikti ilgalaikio gyventojo statusą ir toks aiškinimas neprieštarauja nei Direktyvos 2003/109 nuostatų esmei, nei jų tikslui (20, 27 punktai).</w:t>
      </w:r>
    </w:p>
    <w:p w14:paraId="4B633463"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Cs/>
          <w:sz w:val="22"/>
          <w:szCs w:val="22"/>
          <w:shd w:val="clear" w:color="auto" w:fill="FFFFFF"/>
        </w:rPr>
        <w:t>Savo klausimais, kuriuos Teisingumo Teismas nusprendė nagrinėti kartu, prašymus priimti prejudicinį sprendimą pateikę teismai iš esmės siekia išsiaiškinti, ar Direktyvos 2003/109 6 straipsnio 1 dalis turi būti aiškinama taip, kad pagal ją draudžiamos valstybės narės teisės normos, kaip jas aiškina kai kurie jos teismai, kuriose numatyta, kad trečiosios šalies piliečiui gali būti atsisakyta suteikti ilgalaikio gyventojo statusą šioje valstybėje narėje vien dėl to, kad jis įtrauktas į įtariamųjų, kaltinamųjų ir nuteistųjų registrą, konkrečiai neišnagrinėjus jo situacijos ir neįvertinus, be kita ko, ar jis kelia grėsmę viešajai tvarkai arba visuomenės saugumui, taip pat gyvenimo toje valstybėje narėje trukmės ir ryšių su šia valstybe (33 punktas).</w:t>
      </w:r>
    </w:p>
    <w:p w14:paraId="37DD89B0"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p>
    <w:p w14:paraId="48F808F7" w14:textId="5AB6667A" w:rsidR="00B5328A" w:rsidRPr="00B943CA" w:rsidRDefault="00B5328A" w:rsidP="00C47F2E">
      <w:pPr>
        <w:pStyle w:val="Antrat3"/>
        <w:ind w:firstLine="567"/>
        <w:rPr>
          <w:shd w:val="clear" w:color="auto" w:fill="FFFFFF"/>
        </w:rPr>
      </w:pPr>
      <w:bookmarkStart w:id="26" w:name="_Toc67492430"/>
      <w:bookmarkStart w:id="27" w:name="_Toc71819694"/>
      <w:r w:rsidRPr="00B943CA">
        <w:rPr>
          <w:shd w:val="clear" w:color="auto" w:fill="FFFFFF"/>
        </w:rPr>
        <w:t>Dėl trečiosios šalies piliečio teistumo kaip pagrindo atsisakyti jam suteikti ilgalaikio gyventojo statusą</w:t>
      </w:r>
      <w:bookmarkEnd w:id="26"/>
      <w:bookmarkEnd w:id="27"/>
      <w:r w:rsidRPr="00B943CA">
        <w:rPr>
          <w:shd w:val="clear" w:color="auto" w:fill="FFFFFF"/>
        </w:rPr>
        <w:t xml:space="preserve"> </w:t>
      </w:r>
    </w:p>
    <w:p w14:paraId="22863D80"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b/>
          <w:bCs/>
          <w:iCs/>
          <w:sz w:val="22"/>
          <w:szCs w:val="22"/>
          <w:shd w:val="clear" w:color="auto" w:fill="FFFFFF"/>
        </w:rPr>
      </w:pPr>
    </w:p>
    <w:p w14:paraId="6E7CD860" w14:textId="6734F009"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Cs/>
          <w:sz w:val="22"/>
          <w:szCs w:val="22"/>
          <w:shd w:val="clear" w:color="auto" w:fill="FFFFFF"/>
        </w:rPr>
        <w:t xml:space="preserve">Nagrinėdamas klausimą, ar nacionalinės teisės nuostatoje gali būti numatyta, kad vien suinteresuotojo asmens įtraukimas į įtariamųjų, kaltinamųjų ir nuteistųjų registrą yra pakankama priežastis atsisakyti suteikti jam ilgalaikio gyventojo statusą dėl viešosios tvarkos ar visuomenės saugumo priežasčių, Teisingumo Teismas nurodė, kad iš pačios Direktyvos 2003/109 6 straipsnio 1 dalies antros pastraipos formuluotės matyti, jog priimant sprendimą dėl atsisakymo reikia atsižvelgti į tam tikras aplinkybes ir įvertinti jų svarbą: pirma, suinteresuotojo asmens padarytos veikos sunkumas ar rūšis, tokio asmens keliamas pavojus ir, antra, jo gyvenimo priimančiojoje valstybėje narėje trukmė ir galimi ryšiai su šia valstybe nare. Tam, kad būtų atsižvelgta į visas šias aplinkybes, reikia įvertinti kiekvieną konkretų atvejį, o tai reiškia, kad </w:t>
      </w:r>
      <w:r w:rsidRPr="00B943CA">
        <w:rPr>
          <w:rFonts w:asciiTheme="minorHAnsi" w:hAnsiTheme="minorHAnsi" w:cstheme="minorHAnsi"/>
          <w:iCs/>
          <w:sz w:val="22"/>
          <w:szCs w:val="22"/>
          <w:u w:val="single"/>
          <w:shd w:val="clear" w:color="auto" w:fill="FFFFFF"/>
        </w:rPr>
        <w:t>negalima atsisakyti suteikti ilgalaikio gyventojo statusą suinteresuotajam asmeniui vien dėl to, kad jis yra įtrauktas į įtariamųjų, kaltinamųjų ir nuteistųjų registrą, kad ir kokia būtų tokio įtraukimo priežastis</w:t>
      </w:r>
      <w:r w:rsidRPr="00B943CA">
        <w:rPr>
          <w:rFonts w:asciiTheme="minorHAnsi" w:hAnsiTheme="minorHAnsi" w:cstheme="minorHAnsi"/>
          <w:iCs/>
          <w:sz w:val="22"/>
          <w:szCs w:val="22"/>
          <w:shd w:val="clear" w:color="auto" w:fill="FFFFFF"/>
        </w:rPr>
        <w:t xml:space="preserve">. Tokį Direktyvos 2003/109 6 straipsnio 1 dalies aiškinimą patvirtina Teisingumo Teismo suformuota jurisprudencija, pagal kurią priemonių, kurios pateisinamos viešosios tvarkos ar visuomenės saugumo priežastimis, galima imtis, tik jeigu kompetentingoms nacionalinėms valdžios institucijoms įvertinus kiekvieną atvejį atskirai, paaiškėja, kad </w:t>
      </w:r>
      <w:r w:rsidRPr="00B943CA">
        <w:rPr>
          <w:rFonts w:asciiTheme="minorHAnsi" w:hAnsiTheme="minorHAnsi" w:cstheme="minorHAnsi"/>
          <w:iCs/>
          <w:sz w:val="22"/>
          <w:szCs w:val="22"/>
          <w:u w:val="single"/>
          <w:shd w:val="clear" w:color="auto" w:fill="FFFFFF"/>
        </w:rPr>
        <w:t>atitinkamo asmens asmeninis elgesys tuo metu kelia pakankamai didelį pavojų pagrindiniam visuomenės interesui</w:t>
      </w:r>
      <w:r w:rsidR="00CE1E8A" w:rsidRPr="00B943CA">
        <w:rPr>
          <w:rFonts w:asciiTheme="minorHAnsi" w:hAnsiTheme="minorHAnsi" w:cstheme="minorHAnsi"/>
          <w:iCs/>
          <w:sz w:val="22"/>
          <w:szCs w:val="22"/>
          <w:shd w:val="clear" w:color="auto" w:fill="FFFFFF"/>
        </w:rPr>
        <w:t xml:space="preserve"> (39, 40 punktai).</w:t>
      </w:r>
    </w:p>
    <w:p w14:paraId="4685C340" w14:textId="77777777" w:rsidR="00B5328A" w:rsidRPr="00B943CA" w:rsidRDefault="00B5328A" w:rsidP="00B5328A">
      <w:pPr>
        <w:pStyle w:val="c01pointnumerotealtn"/>
        <w:shd w:val="clear" w:color="auto" w:fill="FFFFFF"/>
        <w:spacing w:before="0" w:beforeAutospacing="0" w:after="0"/>
        <w:ind w:left="0" w:firstLine="567"/>
        <w:rPr>
          <w:rFonts w:asciiTheme="minorHAnsi" w:hAnsiTheme="minorHAnsi" w:cstheme="minorHAnsi"/>
          <w:iCs/>
          <w:sz w:val="22"/>
          <w:szCs w:val="22"/>
          <w:shd w:val="clear" w:color="auto" w:fill="FFFFFF"/>
        </w:rPr>
      </w:pPr>
      <w:r w:rsidRPr="00B943CA">
        <w:rPr>
          <w:rFonts w:asciiTheme="minorHAnsi" w:hAnsiTheme="minorHAnsi" w:cstheme="minorHAnsi"/>
          <w:iCs/>
          <w:sz w:val="22"/>
          <w:szCs w:val="22"/>
          <w:shd w:val="clear" w:color="auto" w:fill="FFFFFF"/>
        </w:rPr>
        <w:t xml:space="preserve">Be kita ko, svarbu pabrėžti, kad Teisingumo Teismas šioje byloje nurodė, jog dėl Direktyvos 2003/109 12 straipsnio 3 dalies, kurios formuluotė labai panaši į šios direktyvos 6 straipsnio 1 dalies antros pastraipos formuluotę, jau buvo nuspręsta, kad </w:t>
      </w:r>
      <w:r w:rsidRPr="00B943CA">
        <w:rPr>
          <w:rFonts w:asciiTheme="minorHAnsi" w:hAnsiTheme="minorHAnsi" w:cstheme="minorHAnsi"/>
          <w:iCs/>
          <w:sz w:val="22"/>
          <w:szCs w:val="22"/>
          <w:u w:val="single"/>
          <w:shd w:val="clear" w:color="auto" w:fill="FFFFFF"/>
        </w:rPr>
        <w:t>sprendimas išsiųsti trečiosios valstybės pilietį, kuris yra ilgalaikis gyventojas, negali būti priimtas vien dėl to, kad jam buvo skirta didesnė nei vienų metų laisvės atėmimo bausmė</w:t>
      </w:r>
      <w:r w:rsidRPr="00B943CA">
        <w:rPr>
          <w:rFonts w:asciiTheme="minorHAnsi" w:hAnsiTheme="minorHAnsi" w:cstheme="minorHAnsi"/>
          <w:iCs/>
          <w:sz w:val="22"/>
          <w:szCs w:val="22"/>
          <w:shd w:val="clear" w:color="auto" w:fill="FFFFFF"/>
        </w:rPr>
        <w:t xml:space="preserve">. Teisingumo Teismas darė išvadą, kad valstybės narės </w:t>
      </w:r>
      <w:r w:rsidRPr="00B943CA">
        <w:rPr>
          <w:rFonts w:asciiTheme="minorHAnsi" w:hAnsiTheme="minorHAnsi" w:cstheme="minorHAnsi"/>
          <w:iCs/>
          <w:sz w:val="22"/>
          <w:szCs w:val="22"/>
          <w:u w:val="single"/>
          <w:shd w:val="clear" w:color="auto" w:fill="FFFFFF"/>
        </w:rPr>
        <w:t>kompetentingos institucijos negali automatiškai manyti, kad reikia atsisakyti suteikti trečiosios šalies piliečiui ilgalaikio gyventojo statusą dėl viešosios tvarkos priežasčių, kaip nurodyta Direktyvos 2003/109 6 straipsnio 1 dalyje, vien dėl to, kad jis buvo nuteistas už kokią nors nusikalstamą veiką</w:t>
      </w:r>
      <w:r w:rsidRPr="00B943CA">
        <w:rPr>
          <w:rFonts w:asciiTheme="minorHAnsi" w:hAnsiTheme="minorHAnsi" w:cstheme="minorHAnsi"/>
          <w:iCs/>
          <w:sz w:val="22"/>
          <w:szCs w:val="22"/>
          <w:shd w:val="clear" w:color="auto" w:fill="FFFFFF"/>
        </w:rPr>
        <w:t xml:space="preserve"> (41, 42 punktas).  </w:t>
      </w:r>
    </w:p>
    <w:p w14:paraId="14A04924" w14:textId="77777777" w:rsidR="00B5328A" w:rsidRPr="00B943CA" w:rsidRDefault="00B5328A" w:rsidP="00B5328A">
      <w:pPr>
        <w:ind w:firstLine="567"/>
        <w:rPr>
          <w:rFonts w:asciiTheme="minorHAnsi" w:eastAsia="Times New Roman" w:hAnsiTheme="minorHAnsi" w:cstheme="minorHAnsi"/>
          <w:lang w:eastAsia="lt-LT"/>
        </w:rPr>
      </w:pPr>
    </w:p>
    <w:p w14:paraId="20E8EC67" w14:textId="4D18EB6A" w:rsidR="00B5328A" w:rsidRPr="00B943CA" w:rsidRDefault="00B5328A" w:rsidP="00B5328A">
      <w:pPr>
        <w:ind w:firstLine="567"/>
        <w:rPr>
          <w:rFonts w:asciiTheme="minorHAnsi" w:hAnsiTheme="minorHAnsi" w:cstheme="minorHAnsi"/>
          <w:b/>
        </w:rPr>
      </w:pPr>
      <w:r w:rsidRPr="00B943CA">
        <w:rPr>
          <w:rFonts w:asciiTheme="minorHAnsi" w:hAnsiTheme="minorHAnsi" w:cstheme="minorHAnsi"/>
          <w:b/>
        </w:rPr>
        <w:t>Remdamasis šiais motyvais, Teisingumo Teismas (ketvirtoji kolegija) nusprendė:</w:t>
      </w:r>
    </w:p>
    <w:p w14:paraId="500C1594" w14:textId="77777777" w:rsidR="00932B66" w:rsidRPr="00B943CA" w:rsidRDefault="00932B66" w:rsidP="00B5328A">
      <w:pPr>
        <w:ind w:firstLine="567"/>
        <w:rPr>
          <w:rFonts w:asciiTheme="minorHAnsi" w:hAnsiTheme="minorHAnsi" w:cstheme="minorHAnsi"/>
          <w:b/>
          <w:u w:val="single"/>
        </w:rPr>
      </w:pPr>
    </w:p>
    <w:p w14:paraId="22C1FEE4" w14:textId="77777777" w:rsidR="00B5328A" w:rsidRPr="00B943CA" w:rsidRDefault="00B5328A" w:rsidP="00B5328A">
      <w:pPr>
        <w:ind w:firstLine="567"/>
        <w:rPr>
          <w:rFonts w:asciiTheme="minorHAnsi" w:hAnsiTheme="minorHAnsi" w:cstheme="minorHAnsi"/>
        </w:rPr>
      </w:pPr>
      <w:r w:rsidRPr="00B943CA">
        <w:rPr>
          <w:rFonts w:asciiTheme="minorHAnsi" w:hAnsiTheme="minorHAnsi" w:cstheme="minorHAnsi"/>
        </w:rPr>
        <w:lastRenderedPageBreak/>
        <w:t>2003 m. lapkričio 25 d. Tarybos direktyvos 2003/109/EB dėl trečiųjų valstybių piliečių, kurie yra ilgalaikiai gyventojai, statuso 6 straipsnio 1 dalis turi būti aiškinama taip, kad pagal ją draudžiamos valstybės narės teisės normos, kaip jas aiškina kai kurie jos teismai, kuriose numatyta, kad trečiosios šalies piliečiui gali būti atsisakyta suteikti ilgalaikio gyventojo statusą šioje valstybėje narėje vien dėl to, kad jis įtrauktas į įtariamųjų, kaltinamųjų ir nuteistųjų registrą, konkrečiai neišnagrinėjus jo situacijos ir neįvertinus, be kita ko, ar jis kelia grėsmę viešajai tvarkai arba visuomenės saugumui, taip pat gyvenimo toje valstybėje narėje trukmės ir ryšių su šia valstybe.</w:t>
      </w:r>
    </w:p>
    <w:p w14:paraId="075C31A5" w14:textId="098CC5F9" w:rsidR="00B5328A" w:rsidRPr="00B943CA" w:rsidRDefault="00F953EA" w:rsidP="00B5328A">
      <w:pPr>
        <w:ind w:firstLine="567"/>
        <w:rPr>
          <w:rStyle w:val="Hipersaitas"/>
          <w:rFonts w:asciiTheme="minorHAnsi" w:hAnsiTheme="minorHAnsi" w:cstheme="minorHAnsi"/>
        </w:rPr>
      </w:pPr>
      <w:hyperlink r:id="rId13" w:history="1">
        <w:r w:rsidR="00B5328A" w:rsidRPr="00B943CA">
          <w:rPr>
            <w:rStyle w:val="Hipersaitas"/>
            <w:rFonts w:asciiTheme="minorHAnsi" w:hAnsiTheme="minorHAnsi" w:cstheme="minorHAnsi"/>
          </w:rPr>
          <w:t>Prieiga internete</w:t>
        </w:r>
      </w:hyperlink>
    </w:p>
    <w:p w14:paraId="789395FB" w14:textId="750C534C" w:rsidR="00C80B96" w:rsidRPr="00B943CA" w:rsidRDefault="00C80B96" w:rsidP="00B5328A">
      <w:pPr>
        <w:ind w:firstLine="567"/>
        <w:rPr>
          <w:rStyle w:val="Hipersaitas"/>
          <w:rFonts w:asciiTheme="minorHAnsi" w:hAnsiTheme="minorHAnsi" w:cstheme="minorHAnsi"/>
        </w:rPr>
      </w:pPr>
    </w:p>
    <w:p w14:paraId="0951EA6F" w14:textId="2201CD62" w:rsidR="00C80B96" w:rsidRPr="00B943CA" w:rsidRDefault="00C80B96" w:rsidP="00C80B96">
      <w:pPr>
        <w:pStyle w:val="Antrat1"/>
        <w:rPr>
          <w:szCs w:val="22"/>
        </w:rPr>
      </w:pPr>
      <w:bookmarkStart w:id="28" w:name="_Toc66955370"/>
      <w:bookmarkStart w:id="29" w:name="_Toc67492437"/>
      <w:bookmarkStart w:id="30" w:name="_Toc71819695"/>
      <w:r w:rsidRPr="00B943CA">
        <w:rPr>
          <w:szCs w:val="22"/>
        </w:rPr>
        <w:t>APMOKESTINIMAS</w:t>
      </w:r>
      <w:bookmarkEnd w:id="28"/>
      <w:bookmarkEnd w:id="29"/>
      <w:bookmarkEnd w:id="30"/>
    </w:p>
    <w:p w14:paraId="269B4897" w14:textId="77777777" w:rsidR="00C80B96" w:rsidRPr="00B943CA" w:rsidRDefault="00C80B96" w:rsidP="00C80B96">
      <w:pPr>
        <w:rPr>
          <w:rFonts w:asciiTheme="minorHAnsi" w:hAnsiTheme="minorHAnsi" w:cstheme="minorHAnsi"/>
        </w:rPr>
      </w:pPr>
    </w:p>
    <w:p w14:paraId="2E3C9F66" w14:textId="77777777" w:rsidR="00C80B96" w:rsidRPr="00B943CA" w:rsidRDefault="00C80B96" w:rsidP="00C80B96">
      <w:pPr>
        <w:pStyle w:val="Antrat2"/>
        <w:rPr>
          <w:rFonts w:cstheme="minorHAnsi"/>
          <w:szCs w:val="22"/>
        </w:rPr>
      </w:pPr>
      <w:bookmarkStart w:id="31" w:name="_Toc66955371"/>
      <w:bookmarkStart w:id="32" w:name="_Toc67492438"/>
      <w:bookmarkStart w:id="33" w:name="_Toc71819696"/>
      <w:r w:rsidRPr="00B943CA">
        <w:rPr>
          <w:rFonts w:cstheme="minorHAnsi"/>
          <w:szCs w:val="22"/>
        </w:rPr>
        <w:t>2020 m. lapkričio 12 d. prejudicinis sprendimas byloje C</w:t>
      </w:r>
      <w:r w:rsidRPr="00B943CA">
        <w:rPr>
          <w:rFonts w:ascii="Cambria Math" w:hAnsi="Cambria Math" w:cs="Cambria Math"/>
          <w:szCs w:val="22"/>
        </w:rPr>
        <w:t>‑</w:t>
      </w:r>
      <w:r w:rsidRPr="00B943CA">
        <w:rPr>
          <w:rFonts w:cstheme="minorHAnsi"/>
          <w:szCs w:val="22"/>
        </w:rPr>
        <w:t>734/19</w:t>
      </w:r>
      <w:bookmarkEnd w:id="31"/>
      <w:bookmarkEnd w:id="32"/>
      <w:bookmarkEnd w:id="33"/>
    </w:p>
    <w:p w14:paraId="66BBDE06" w14:textId="77777777" w:rsidR="00C80B96" w:rsidRPr="00B943CA" w:rsidRDefault="00C80B96" w:rsidP="00C80B96">
      <w:pPr>
        <w:jc w:val="center"/>
        <w:rPr>
          <w:rFonts w:asciiTheme="minorHAnsi" w:hAnsiTheme="minorHAnsi" w:cstheme="minorHAnsi"/>
          <w:b/>
          <w:bCs/>
        </w:rPr>
      </w:pPr>
      <w:r w:rsidRPr="00B943CA">
        <w:rPr>
          <w:rFonts w:asciiTheme="minorHAnsi" w:hAnsiTheme="minorHAnsi" w:cstheme="minorHAnsi"/>
          <w:b/>
          <w:bCs/>
          <w:i/>
          <w:iCs/>
        </w:rPr>
        <w:t xml:space="preserve">ITH Comercial Timişoara SRL </w:t>
      </w:r>
      <w:r w:rsidRPr="00B943CA">
        <w:rPr>
          <w:rFonts w:asciiTheme="minorHAnsi" w:hAnsiTheme="minorHAnsi" w:cstheme="minorHAnsi"/>
          <w:b/>
          <w:bCs/>
        </w:rPr>
        <w:t xml:space="preserve">prieš </w:t>
      </w:r>
      <w:r w:rsidRPr="00B943CA">
        <w:rPr>
          <w:rFonts w:asciiTheme="minorHAnsi" w:hAnsiTheme="minorHAnsi" w:cstheme="minorHAnsi"/>
          <w:b/>
          <w:bCs/>
          <w:i/>
          <w:iCs/>
        </w:rPr>
        <w:t>Agenţia Naţională de Administrare Fiscală – Direcţia Generală Regională a Finanţelor Publice Bucureşti</w:t>
      </w:r>
    </w:p>
    <w:p w14:paraId="50418171" w14:textId="77777777" w:rsidR="00C80B96" w:rsidRPr="00B943CA" w:rsidRDefault="00C80B96" w:rsidP="00C80B96">
      <w:pPr>
        <w:ind w:firstLine="540"/>
        <w:rPr>
          <w:rFonts w:asciiTheme="minorHAnsi" w:hAnsiTheme="minorHAnsi" w:cstheme="minorHAnsi"/>
          <w:b/>
          <w:bCs/>
        </w:rPr>
      </w:pPr>
    </w:p>
    <w:p w14:paraId="7C0FB027"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Prašymas priimti prejudicinį sprendimą buvo pateiktas dėl 2006 m. lapkričio 28 d. Tarybos direktyvos 2006/112/EB dėl pridėtinės vertės mokesčio bendros sistemos (toliau – PVM direktyva) 28, 167, 168, 184 ir 185 straipsnių aiškinimo. Šis prašymas pateiktas nagrinėjant </w:t>
      </w:r>
      <w:r w:rsidRPr="00B943CA">
        <w:rPr>
          <w:rFonts w:asciiTheme="minorHAnsi" w:hAnsiTheme="minorHAnsi" w:cstheme="minorHAnsi"/>
          <w:i/>
          <w:iCs/>
        </w:rPr>
        <w:t>ITH Comercial Timișoara SRL</w:t>
      </w:r>
      <w:r w:rsidRPr="00B943CA">
        <w:rPr>
          <w:rFonts w:asciiTheme="minorHAnsi" w:hAnsiTheme="minorHAnsi" w:cstheme="minorHAnsi"/>
        </w:rPr>
        <w:t xml:space="preserve"> (toliau – </w:t>
      </w:r>
      <w:r w:rsidRPr="00B943CA">
        <w:rPr>
          <w:rFonts w:asciiTheme="minorHAnsi" w:hAnsiTheme="minorHAnsi" w:cstheme="minorHAnsi"/>
          <w:i/>
          <w:iCs/>
        </w:rPr>
        <w:t>ITH</w:t>
      </w:r>
      <w:r w:rsidRPr="00B943CA">
        <w:rPr>
          <w:rFonts w:asciiTheme="minorHAnsi" w:hAnsiTheme="minorHAnsi" w:cstheme="minorHAnsi"/>
        </w:rPr>
        <w:t>) ginčą su Rumunijos mokesčių administratoriaus dėl pirkimo pridėtinės vertės mokesčio (PVM), sumokėto nuo išlaidų, susijusių su nekilnojamojo turto projektais, kurių galiausiai atsisakyta, atskaitos (1, 2 punktai).</w:t>
      </w:r>
    </w:p>
    <w:p w14:paraId="00E5BBC9"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Pagrindinėje byloje nustatyta, kad 2006 ir 2007 m. </w:t>
      </w:r>
      <w:r w:rsidRPr="00B943CA">
        <w:rPr>
          <w:rFonts w:asciiTheme="minorHAnsi" w:hAnsiTheme="minorHAnsi" w:cstheme="minorHAnsi"/>
          <w:i/>
          <w:iCs/>
        </w:rPr>
        <w:t>ITH</w:t>
      </w:r>
      <w:r w:rsidRPr="00B943CA">
        <w:rPr>
          <w:rFonts w:asciiTheme="minorHAnsi" w:hAnsiTheme="minorHAnsi" w:cstheme="minorHAnsi"/>
        </w:rPr>
        <w:t xml:space="preserve"> sudarė nekilnojamojo turto pirkimo sutartis ir susitarimus su trečiosiomis šalimis ir pradėjo du investicinius projektus, susijusius su kelių pastatų statyba, kuriai reikėjo tam tikrų leidimų. Konkrečiau kalbant, 2006 m. </w:t>
      </w:r>
      <w:r w:rsidRPr="00B943CA">
        <w:rPr>
          <w:rFonts w:asciiTheme="minorHAnsi" w:hAnsiTheme="minorHAnsi" w:cstheme="minorHAnsi"/>
          <w:i/>
          <w:iCs/>
        </w:rPr>
        <w:t>ITH</w:t>
      </w:r>
      <w:r w:rsidRPr="00B943CA">
        <w:rPr>
          <w:rFonts w:asciiTheme="minorHAnsi" w:hAnsiTheme="minorHAnsi" w:cstheme="minorHAnsi"/>
        </w:rPr>
        <w:t xml:space="preserve"> nupirko žemės sklypą ir kelis senus pastatus iš liftų gamintojo. </w:t>
      </w:r>
      <w:r w:rsidRPr="00B943CA">
        <w:rPr>
          <w:rFonts w:asciiTheme="minorHAnsi" w:hAnsiTheme="minorHAnsi" w:cstheme="minorHAnsi"/>
          <w:i/>
          <w:iCs/>
        </w:rPr>
        <w:t>ITH</w:t>
      </w:r>
      <w:r w:rsidRPr="00B943CA">
        <w:rPr>
          <w:rFonts w:asciiTheme="minorHAnsi" w:hAnsiTheme="minorHAnsi" w:cstheme="minorHAnsi"/>
        </w:rPr>
        <w:t xml:space="preserve"> šį pirkimą įvykdė siekdama įgyvendinti biurų ir prekybos centrų pastato, kurį norėjo vėliau išnuomoti, statybos projektą (toliau – pirmasis projektas). </w:t>
      </w:r>
      <w:r w:rsidRPr="00B943CA">
        <w:rPr>
          <w:rFonts w:asciiTheme="minorHAnsi" w:hAnsiTheme="minorHAnsi" w:cstheme="minorHAnsi"/>
          <w:i/>
          <w:iCs/>
        </w:rPr>
        <w:t>ITH</w:t>
      </w:r>
      <w:r w:rsidRPr="00B943CA">
        <w:rPr>
          <w:rFonts w:asciiTheme="minorHAnsi" w:hAnsiTheme="minorHAnsi" w:cstheme="minorHAnsi"/>
        </w:rPr>
        <w:t xml:space="preserve"> susitarė su liftų gamintoju, kad suras ir įrengs gamybos vietą, kurią jam išnuomos mažiausiai dešimčiai metų. Taigi 2007 m. </w:t>
      </w:r>
      <w:r w:rsidRPr="00B943CA">
        <w:rPr>
          <w:rFonts w:asciiTheme="minorHAnsi" w:hAnsiTheme="minorHAnsi" w:cstheme="minorHAnsi"/>
          <w:i/>
          <w:iCs/>
        </w:rPr>
        <w:t>ITH</w:t>
      </w:r>
      <w:r w:rsidRPr="00B943CA">
        <w:rPr>
          <w:rFonts w:asciiTheme="minorHAnsi" w:hAnsiTheme="minorHAnsi" w:cstheme="minorHAnsi"/>
        </w:rPr>
        <w:t xml:space="preserve">, pirma, ėmėsi su šiuo projektu susijusių veiksmų, kad gautų leidimą nugriauti esamus pastatus, taip pat leidimą statyti biurų ir prekybos centrų pastatą, ir, antra, pradėjo projektą (toliau – antrasis projektas), susijusį su liftų gamintojui skirtos gamybos vietos, kurios nuomai </w:t>
      </w:r>
      <w:r w:rsidRPr="00B943CA">
        <w:rPr>
          <w:rFonts w:asciiTheme="minorHAnsi" w:hAnsiTheme="minorHAnsi" w:cstheme="minorHAnsi"/>
          <w:i/>
          <w:iCs/>
        </w:rPr>
        <w:t>ITH</w:t>
      </w:r>
      <w:r w:rsidRPr="00B943CA">
        <w:rPr>
          <w:rFonts w:asciiTheme="minorHAnsi" w:hAnsiTheme="minorHAnsi" w:cstheme="minorHAnsi"/>
        </w:rPr>
        <w:t xml:space="preserve"> pasinaudojo apmokestinimo galimybe, statyba, taip pat pasirašė konsultacijų sutartis dėl statybos leidimo gavimo ir jau atliko ženklinimo darbus. Išlaidos, susijusios su vykdoma veikla, įtrauktos į apskaitą kaip „einamosios investicijos“ ir </w:t>
      </w:r>
      <w:r w:rsidRPr="00B943CA">
        <w:rPr>
          <w:rFonts w:asciiTheme="minorHAnsi" w:hAnsiTheme="minorHAnsi" w:cstheme="minorHAnsi"/>
          <w:i/>
          <w:iCs/>
        </w:rPr>
        <w:t>ITH</w:t>
      </w:r>
      <w:r w:rsidRPr="00B943CA">
        <w:rPr>
          <w:rFonts w:asciiTheme="minorHAnsi" w:hAnsiTheme="minorHAnsi" w:cstheme="minorHAnsi"/>
        </w:rPr>
        <w:t xml:space="preserve"> pasinaudojo teise į atitinkamo PVM atskaitą. Paskui, visų pirma dėl 2008 m. įvykusios ekonominės krizės, abiejų projektų vykdymas iš pradžių buvo sustabdytas, o vėliau atitinkamos investicijos nutrauktos ir įtrauktos į 2015 finansinių metų išlaidas (19–21 punktai).</w:t>
      </w:r>
    </w:p>
    <w:p w14:paraId="0861CBFD" w14:textId="2AB40FEE" w:rsidR="00C80B96" w:rsidRPr="00B943CA" w:rsidRDefault="00E10062" w:rsidP="00C80B96">
      <w:pPr>
        <w:ind w:firstLine="540"/>
        <w:rPr>
          <w:rFonts w:asciiTheme="minorHAnsi" w:hAnsiTheme="minorHAnsi" w:cstheme="minorHAnsi"/>
        </w:rPr>
      </w:pPr>
      <w:r>
        <w:rPr>
          <w:rFonts w:asciiTheme="minorHAnsi" w:hAnsiTheme="minorHAnsi" w:cstheme="minorHAnsi"/>
        </w:rPr>
        <w:t>P</w:t>
      </w:r>
      <w:r w:rsidR="00C80B96" w:rsidRPr="00B943CA">
        <w:rPr>
          <w:rFonts w:asciiTheme="minorHAnsi" w:hAnsiTheme="minorHAnsi" w:cstheme="minorHAnsi"/>
        </w:rPr>
        <w:t xml:space="preserve">er 2016 m. vykdytą mokestinį patikrinimą mokesčių administratorius nusprendė, kad </w:t>
      </w:r>
      <w:r w:rsidR="00C80B96" w:rsidRPr="00B943CA">
        <w:rPr>
          <w:rFonts w:asciiTheme="minorHAnsi" w:hAnsiTheme="minorHAnsi" w:cstheme="minorHAnsi"/>
          <w:i/>
          <w:iCs/>
        </w:rPr>
        <w:t>ITH</w:t>
      </w:r>
      <w:r w:rsidR="00C80B96" w:rsidRPr="00B943CA">
        <w:rPr>
          <w:rFonts w:asciiTheme="minorHAnsi" w:hAnsiTheme="minorHAnsi" w:cstheme="minorHAnsi"/>
        </w:rPr>
        <w:t xml:space="preserve"> neteisingai atskaitė ir nesurinko PVM, susijusio su abiem projektais, ir šiai bendrovei buvo nustatytas papildomas PVM (23 punktai). Mokesčių administratorius, </w:t>
      </w:r>
      <w:r w:rsidRPr="00B943CA">
        <w:rPr>
          <w:rFonts w:asciiTheme="minorHAnsi" w:hAnsiTheme="minorHAnsi" w:cstheme="minorHAnsi"/>
        </w:rPr>
        <w:t>be kita ko</w:t>
      </w:r>
      <w:r w:rsidR="00C80B96" w:rsidRPr="00B943CA">
        <w:rPr>
          <w:rFonts w:asciiTheme="minorHAnsi" w:hAnsiTheme="minorHAnsi" w:cstheme="minorHAnsi"/>
        </w:rPr>
        <w:t xml:space="preserve">, nusprendė, kad teisė į PVM atskaitą neturi būti suteikta, nes </w:t>
      </w:r>
      <w:r w:rsidR="00C80B96" w:rsidRPr="00B943CA">
        <w:rPr>
          <w:rFonts w:asciiTheme="minorHAnsi" w:hAnsiTheme="minorHAnsi" w:cstheme="minorHAnsi"/>
          <w:i/>
          <w:iCs/>
        </w:rPr>
        <w:t xml:space="preserve">ITH </w:t>
      </w:r>
      <w:r w:rsidR="00C80B96" w:rsidRPr="00B943CA">
        <w:rPr>
          <w:rFonts w:asciiTheme="minorHAnsi" w:hAnsiTheme="minorHAnsi" w:cstheme="minorHAnsi"/>
        </w:rPr>
        <w:t>nuo pirmojo projekto pradžios žinojo aplinkybes, kurios galėjo sutrukdyti jį įgyvendinti, kadangi miesto dalies plėtros planas jau buvo patvirtintas ir ji prisiėmė riziką, kylančią dėl šio plėtros plano nesilaikymo vykdant projektą (25 punktas).</w:t>
      </w:r>
    </w:p>
    <w:p w14:paraId="2ADB64B5"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Ginčui dėl tokio mokesčių administratoriaus sprendimo pasiekus teismą, šis nutarė sustabdyti bylos nagrinėjimą ir pasiteirauti Teisingumo Teismo, ar PVM direktyvos 167, 168, 184 ir 185 straipsniai turi būti aiškinami taip, kad teisė atskaityti pirkimo PVM už prekes, šiuo atveju nekilnojamąjį turtą, ir paslaugas, įsigytas siekiant vykdyti apmokestinamuosius sandorius, išlieka, kai atsisakoma iš pradžių numatytų investicinių projektų, o gal tokiu atveju reikia patikslinti šį PVM (29 punktas).</w:t>
      </w:r>
    </w:p>
    <w:p w14:paraId="3DB330C9" w14:textId="77777777" w:rsidR="00C80B96" w:rsidRPr="00B943CA" w:rsidRDefault="00C80B96" w:rsidP="00C80B96">
      <w:pPr>
        <w:ind w:firstLine="540"/>
        <w:rPr>
          <w:rFonts w:asciiTheme="minorHAnsi" w:hAnsiTheme="minorHAnsi" w:cstheme="minorHAnsi"/>
        </w:rPr>
      </w:pPr>
    </w:p>
    <w:p w14:paraId="1E63539E" w14:textId="77777777" w:rsidR="00C80B96" w:rsidRPr="00B943CA" w:rsidRDefault="00C80B96" w:rsidP="00C47F2E">
      <w:pPr>
        <w:pStyle w:val="Antrat3"/>
        <w:ind w:firstLine="567"/>
        <w:rPr>
          <w:b w:val="0"/>
          <w:bCs w:val="0"/>
        </w:rPr>
      </w:pPr>
      <w:bookmarkStart w:id="34" w:name="_Toc66955372"/>
      <w:bookmarkStart w:id="35" w:name="_Toc67492439"/>
      <w:bookmarkStart w:id="36" w:name="_Toc71819697"/>
      <w:r w:rsidRPr="00B943CA">
        <w:t xml:space="preserve">Dėl teisės į </w:t>
      </w:r>
      <w:r w:rsidRPr="00035C5C">
        <w:t>pirminę</w:t>
      </w:r>
      <w:r w:rsidRPr="00B943CA">
        <w:t xml:space="preserve"> PVM atskaitą atveju, kai įsigytos prekės ir paslaugos, už kurias sumokėtas (mokėtinas) pirkimo PVM atskaitytas, vėliau nėra panaudojamos apmokestinamoje veikloje</w:t>
      </w:r>
      <w:bookmarkEnd w:id="34"/>
      <w:bookmarkEnd w:id="35"/>
      <w:bookmarkEnd w:id="36"/>
    </w:p>
    <w:p w14:paraId="638BA638" w14:textId="77777777" w:rsidR="00C80B96" w:rsidRPr="00B943CA" w:rsidRDefault="00C80B96" w:rsidP="00C80B96">
      <w:pPr>
        <w:ind w:firstLine="540"/>
        <w:rPr>
          <w:rFonts w:asciiTheme="minorHAnsi" w:hAnsiTheme="minorHAnsi" w:cstheme="minorHAnsi"/>
        </w:rPr>
      </w:pPr>
    </w:p>
    <w:p w14:paraId="7F7499AB"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Šiuo klausimu Teisingumo Teismas pirmiausia priminė, jog tam, kad suinteresuotasis asmuo galėtų įgyti teisę į atskaitą, reikia, pirma, kad jis būtų „apmokestinamasis asmuo“, kaip tai suprantama pagal PVM direktyvą, ir, antra, kad nagrinėjamos prekės ir paslaugos būtų naudojamos apmokestinamiesiems sandoriams (30 punktas). Be to, pagal PVM direktyvos 167 straipsnį teisė į atskaitą atsiranda, kai atsiranda prievolė apskaičiuoti atskaitytiną mokestį, </w:t>
      </w:r>
      <w:r w:rsidRPr="00B943CA">
        <w:rPr>
          <w:rFonts w:asciiTheme="minorHAnsi" w:hAnsiTheme="minorHAnsi" w:cstheme="minorHAnsi"/>
          <w:u w:val="single"/>
        </w:rPr>
        <w:t xml:space="preserve">todėl tik asmens statusas tuo momentu gali lemti teisės į atskaitą </w:t>
      </w:r>
      <w:r w:rsidRPr="00B943CA">
        <w:rPr>
          <w:rFonts w:asciiTheme="minorHAnsi" w:hAnsiTheme="minorHAnsi" w:cstheme="minorHAnsi"/>
          <w:u w:val="single"/>
        </w:rPr>
        <w:lastRenderedPageBreak/>
        <w:t>buvimą</w:t>
      </w:r>
      <w:r w:rsidRPr="00B943CA">
        <w:rPr>
          <w:rFonts w:asciiTheme="minorHAnsi" w:hAnsiTheme="minorHAnsi" w:cstheme="minorHAnsi"/>
        </w:rPr>
        <w:t xml:space="preserve"> (31 punktas). PVM sistemos, taigi ir atskaitos mechanizmo, taikymą lemia tai, jog prekes ar paslaugas įsigyja apmokestinamasis asmuo, veikdamas kaip toks. </w:t>
      </w:r>
      <w:r w:rsidRPr="00B943CA">
        <w:rPr>
          <w:rFonts w:asciiTheme="minorHAnsi" w:hAnsiTheme="minorHAnsi" w:cstheme="minorHAnsi"/>
          <w:u w:val="single"/>
        </w:rPr>
        <w:t xml:space="preserve">Pagal esamą ar numatomą prekių ar paslaugų naudojimą nustatoma tik </w:t>
      </w:r>
      <w:r w:rsidRPr="00B943CA">
        <w:rPr>
          <w:rFonts w:asciiTheme="minorHAnsi" w:hAnsiTheme="minorHAnsi" w:cstheme="minorHAnsi"/>
          <w:b/>
          <w:bCs/>
          <w:u w:val="single"/>
        </w:rPr>
        <w:t>pirminės atskaitos</w:t>
      </w:r>
      <w:r w:rsidRPr="00B943CA">
        <w:rPr>
          <w:rFonts w:asciiTheme="minorHAnsi" w:hAnsiTheme="minorHAnsi" w:cstheme="minorHAnsi"/>
          <w:u w:val="single"/>
        </w:rPr>
        <w:t>, į kurią apmokestinamasis asmuo turi teisę pagal PVM direktyvos 168 straipsnį, apimtis ir galimų tikslinimų per būsimus laikotarpius apimtis, tačiau tai nedaro poveikio teisės į atskaitą atsiradimui</w:t>
      </w:r>
      <w:r w:rsidRPr="00B943CA">
        <w:rPr>
          <w:rFonts w:asciiTheme="minorHAnsi" w:hAnsiTheme="minorHAnsi" w:cstheme="minorHAnsi"/>
        </w:rPr>
        <w:t xml:space="preserve"> (33 punktas).</w:t>
      </w:r>
    </w:p>
    <w:p w14:paraId="37382178" w14:textId="54E30C3E"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Teisė į atskaitą iš principo išlieka, be kita ko, net ir tuomet, jei vėliau apmokestinamasis asmuo dėl nuo jo valios nepriklausančių aplinkybių nenaudoja minėtų prekių ir paslaugų, dėl kurių buvo taikoma atskaita, apmokestinamiesiems sandoriams (34 punktas). Kaip pastebėjo Teisingumo Teismas, dėl aplinkybių, nepriklausančių nuo apmokestinamojo asmens valios, </w:t>
      </w:r>
      <w:r w:rsidRPr="00B943CA">
        <w:rPr>
          <w:rFonts w:asciiTheme="minorHAnsi" w:hAnsiTheme="minorHAnsi" w:cstheme="minorHAnsi"/>
          <w:u w:val="single"/>
        </w:rPr>
        <w:t>mokesčių administratorius neturi vertinti, ar pagrįsti motyvai, dėl kurių apmokestinamasis asmuo atsisakė iš pradžių numatytos ekonominės veiklos, nes bendra PVM sistema užtikrina bet kokios ekonominės veiklos apmokestinimo neutralumą, neatsižvelgiant į jos tikslą ar rezultatus, su sąlyga, kad pati ši veikla iš principo apmokestinama PVM</w:t>
      </w:r>
      <w:r w:rsidRPr="00B943CA">
        <w:rPr>
          <w:rFonts w:asciiTheme="minorHAnsi" w:hAnsiTheme="minorHAnsi" w:cstheme="minorHAnsi"/>
        </w:rPr>
        <w:t xml:space="preserve"> (35 punktas). </w:t>
      </w:r>
      <w:r w:rsidRPr="00B943CA">
        <w:rPr>
          <w:rFonts w:asciiTheme="minorHAnsi" w:hAnsiTheme="minorHAnsi" w:cstheme="minorHAnsi"/>
          <w:b/>
          <w:bCs/>
          <w:u w:val="single"/>
        </w:rPr>
        <w:t>Pakanka</w:t>
      </w:r>
      <w:r w:rsidRPr="00B943CA">
        <w:rPr>
          <w:rFonts w:asciiTheme="minorHAnsi" w:hAnsiTheme="minorHAnsi" w:cstheme="minorHAnsi"/>
          <w:u w:val="single"/>
        </w:rPr>
        <w:t xml:space="preserve">, kad apmokestinamasis asmuo </w:t>
      </w:r>
      <w:r w:rsidRPr="00B943CA">
        <w:rPr>
          <w:rFonts w:asciiTheme="minorHAnsi" w:hAnsiTheme="minorHAnsi" w:cstheme="minorHAnsi"/>
          <w:b/>
          <w:bCs/>
          <w:u w:val="single"/>
        </w:rPr>
        <w:t>iš tikrųjų būtų ketinęs</w:t>
      </w:r>
      <w:r w:rsidRPr="00B943CA">
        <w:rPr>
          <w:rFonts w:asciiTheme="minorHAnsi" w:hAnsiTheme="minorHAnsi" w:cstheme="minorHAnsi"/>
          <w:u w:val="single"/>
        </w:rPr>
        <w:t xml:space="preserve"> naudoti aptariamas prekes ir (arba) paslaugas ekonominei veiklai, dėl kurios pasinaudojo teise į atskaitą, vykdyti</w:t>
      </w:r>
      <w:r w:rsidRPr="00B943CA">
        <w:rPr>
          <w:rFonts w:asciiTheme="minorHAnsi" w:hAnsiTheme="minorHAnsi" w:cstheme="minorHAnsi"/>
        </w:rPr>
        <w:t xml:space="preserve"> (37 punktas).</w:t>
      </w:r>
    </w:p>
    <w:p w14:paraId="7F68C53E"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Kaip pastebėjo Teisingumo Teismas, mokesčių administratorius, žinoma, gali reikalauti, kad apmokestinamasis asmuo įrodytų, jog jo ketinimą patvirtina objektyvi informacija, o sukčiavimo ar piktnaudžiavimo atvejais, kai apmokestinamasis asmuo apsimetė ketinantis pradėti konkrečią ekonominę veiklą, tačiau iš tikrųjų siekė kaip asmeninį įsigyti turtą, dėl kurio gali būti pasinaudota atskaita, mokesčių administratorius atgaline data gali reikalauti grąžinti atskaitytas sumas, nes ši atskaita buvo suteikta remiantis klaidingais pareiškimais (38 punktas). Vis dėlto, nors kova su galimu sukčiavimu, mokesčių vengimu ir piktnaudžiavimu yra PVM direktyvoje pripažintas ir ja siekiamas tikslas, dėl šios galimybės </w:t>
      </w:r>
      <w:r w:rsidRPr="00B943CA">
        <w:rPr>
          <w:rFonts w:asciiTheme="minorHAnsi" w:hAnsiTheme="minorHAnsi" w:cstheme="minorHAnsi"/>
          <w:u w:val="single"/>
        </w:rPr>
        <w:t>mokesčių administratorius investicijų nutraukimo atveju negali nustatyti įrodinėjimo taisyklių, kaip antai piktnaudžiavimo ar sukčiavimo prezumpcijos, dėl kurios apmokestinamiesiems asmenims taptų praktiškai neįmanoma arba pernelyg sudėtinga pasinaudoti teise į PVM atskaitą, kuri yra pagrindinis bendros PVM sistemos principas</w:t>
      </w:r>
      <w:r w:rsidRPr="00B943CA">
        <w:rPr>
          <w:rFonts w:asciiTheme="minorHAnsi" w:hAnsiTheme="minorHAnsi" w:cstheme="minorHAnsi"/>
        </w:rPr>
        <w:t xml:space="preserve"> (39 punktas).</w:t>
      </w:r>
    </w:p>
    <w:p w14:paraId="7163D4C1" w14:textId="77777777" w:rsidR="00C80B96" w:rsidRPr="00B943CA" w:rsidRDefault="00C80B96" w:rsidP="00C80B96">
      <w:pPr>
        <w:ind w:firstLine="540"/>
        <w:rPr>
          <w:rFonts w:asciiTheme="minorHAnsi" w:hAnsiTheme="minorHAnsi" w:cstheme="minorHAnsi"/>
        </w:rPr>
      </w:pPr>
    </w:p>
    <w:p w14:paraId="1DE5EC6C" w14:textId="77777777" w:rsidR="00C80B96" w:rsidRPr="00B943CA" w:rsidRDefault="00C80B96" w:rsidP="00C47F2E">
      <w:pPr>
        <w:pStyle w:val="Antrat3"/>
        <w:ind w:firstLine="567"/>
        <w:rPr>
          <w:b w:val="0"/>
          <w:bCs w:val="0"/>
        </w:rPr>
      </w:pPr>
      <w:bookmarkStart w:id="37" w:name="_Toc66955373"/>
      <w:bookmarkStart w:id="38" w:name="_Toc67492440"/>
      <w:bookmarkStart w:id="39" w:name="_Toc71819698"/>
      <w:r w:rsidRPr="00B943CA">
        <w:t xml:space="preserve">Dėl pareigos patikslinti pirminę PVM atskaitą, kai įsigytos prekės ir (ar) paslaugos nebepanaudojamos planuotoje </w:t>
      </w:r>
      <w:r w:rsidRPr="00035C5C">
        <w:t>apmokestinamoje</w:t>
      </w:r>
      <w:r w:rsidRPr="00B943CA">
        <w:t xml:space="preserve"> veikloje</w:t>
      </w:r>
      <w:bookmarkEnd w:id="37"/>
      <w:bookmarkEnd w:id="38"/>
      <w:bookmarkEnd w:id="39"/>
    </w:p>
    <w:p w14:paraId="18ABABE6" w14:textId="77777777" w:rsidR="00C80B96" w:rsidRPr="00B943CA" w:rsidRDefault="00C80B96" w:rsidP="00C80B96">
      <w:pPr>
        <w:ind w:firstLine="540"/>
        <w:rPr>
          <w:rFonts w:asciiTheme="minorHAnsi" w:hAnsiTheme="minorHAnsi" w:cstheme="minorHAnsi"/>
        </w:rPr>
      </w:pPr>
    </w:p>
    <w:p w14:paraId="0CEE6708"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Dėl klausimo, ar, esant tokiai situacijai, kaip buvo nagrinėta pagrindinėje byloje, reikia patikslinti pirkimo PVM atskaitą, Teisingumo Teismas priminė, kad PVM direktyvos 184–187 straipsniuose numatytas tikslinimo mechanizmas yra šioje direktyvoje nustatytos PVM atskaitos tvarkos dalis. Juo siekiama padidinti atskaitos tikslumą tam, kad būtų užtikrintas PVM neutralumas, kad ankstesniame etape įvykdytais sandoriais ir toliau būtų galima grįsti teisę į atskaitą, bet tik tuo atveju, jeigu jais siekiama atlikti šiuo mokesčiu apmokestinamus prekių tiekimus ar paslaugų teikimus. Taigi šiuo mechanizmu siekiama glaudžiai ir tiesiogiai susieti teisę į pirkimo PVM atskaitą su atitinkamų prekių ar paslaugų naudojimu apmokestinamiesiems pardavimo sandoriams (41 punktas). Jei apmokestinamojo asmens įgytos prekės ar paslaugos yra naudojamos neapmokestinamiems arba į PVM taikymo sritį nepatenkantiems sandoriams, negalima nei rinkti pardavimo mokesčio, nei atskaityti pirkimo mokesčio (42 punktas).</w:t>
      </w:r>
    </w:p>
    <w:p w14:paraId="30F35488"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Be to, ši Sąjungos teisminė institucija patikslino: jei apmokestinamasis asmuo dėl nuo jo valios nepriklausančių aplinkybių nenaudoja minėtų prekių ir paslaugų, dėl kurių buvo taikoma atskaita, apmokestinamiesiems sandoriams, </w:t>
      </w:r>
      <w:r w:rsidRPr="00B943CA">
        <w:rPr>
          <w:rFonts w:asciiTheme="minorHAnsi" w:hAnsiTheme="minorHAnsi" w:cstheme="minorHAnsi"/>
          <w:u w:val="single"/>
        </w:rPr>
        <w:t xml:space="preserve">tam, kad būtų nustatyta, jog būta „pasikeitimų“, kaip jie suprantami pagal PVM direktyvos 185 straipsnį, </w:t>
      </w:r>
      <w:r w:rsidRPr="00B943CA">
        <w:rPr>
          <w:rFonts w:asciiTheme="minorHAnsi" w:hAnsiTheme="minorHAnsi" w:cstheme="minorHAnsi"/>
          <w:b/>
          <w:bCs/>
          <w:u w:val="single"/>
        </w:rPr>
        <w:t>nepakanka</w:t>
      </w:r>
      <w:r w:rsidRPr="00B943CA">
        <w:rPr>
          <w:rFonts w:asciiTheme="minorHAnsi" w:hAnsiTheme="minorHAnsi" w:cstheme="minorHAnsi"/>
          <w:u w:val="single"/>
        </w:rPr>
        <w:t xml:space="preserve">, kad nutraukus nuomos sutartį pastatas, t. y. nuomos sutarties dalykas, liktų nenuomojamas dėl aplinkybių, kurios nepriklauso nuo jo savininko valios, </w:t>
      </w:r>
      <w:r w:rsidRPr="00B943CA">
        <w:rPr>
          <w:rFonts w:asciiTheme="minorHAnsi" w:hAnsiTheme="minorHAnsi" w:cstheme="minorHAnsi"/>
          <w:b/>
          <w:bCs/>
          <w:u w:val="single"/>
        </w:rPr>
        <w:t>kai įrodyta</w:t>
      </w:r>
      <w:r w:rsidRPr="00B943CA">
        <w:rPr>
          <w:rFonts w:asciiTheme="minorHAnsi" w:hAnsiTheme="minorHAnsi" w:cstheme="minorHAnsi"/>
          <w:u w:val="single"/>
        </w:rPr>
        <w:t>, jog šis savininkas vis dar ketina jį naudoti apmokestinamosios veiklos tikslais</w:t>
      </w:r>
      <w:r w:rsidRPr="00B943CA">
        <w:rPr>
          <w:rFonts w:asciiTheme="minorHAnsi" w:hAnsiTheme="minorHAnsi" w:cstheme="minorHAnsi"/>
        </w:rPr>
        <w:t xml:space="preserve"> ir imasi tam reikalingų veiksmų, nes tai reikštų teisės į atskaitą ribojimą atskaitos tikslinimo srityje taikytinomis nuostatomis (43 punktas). </w:t>
      </w:r>
      <w:r w:rsidRPr="00B943CA">
        <w:rPr>
          <w:rFonts w:asciiTheme="minorHAnsi" w:hAnsiTheme="minorHAnsi" w:cstheme="minorHAnsi"/>
          <w:u w:val="single"/>
        </w:rPr>
        <w:t xml:space="preserve">Minėtas glaudus ir tiesioginis ryšys, turintis egzistuoti tarp teisės į pirkimo PVM atskaitą ir numatytų apmokestinamųjų sandorių įvykdymo </w:t>
      </w:r>
      <w:r w:rsidRPr="00B943CA">
        <w:rPr>
          <w:rFonts w:asciiTheme="minorHAnsi" w:hAnsiTheme="minorHAnsi" w:cstheme="minorHAnsi"/>
          <w:b/>
          <w:bCs/>
          <w:u w:val="single"/>
        </w:rPr>
        <w:t>išnyktų</w:t>
      </w:r>
      <w:r w:rsidRPr="00B943CA">
        <w:rPr>
          <w:rFonts w:asciiTheme="minorHAnsi" w:hAnsiTheme="minorHAnsi" w:cstheme="minorHAnsi"/>
          <w:u w:val="single"/>
        </w:rPr>
        <w:t xml:space="preserve"> tik tuo atveju, jei apmokestinamasis asmuo </w:t>
      </w:r>
      <w:r w:rsidRPr="00B943CA">
        <w:rPr>
          <w:rFonts w:asciiTheme="minorHAnsi" w:hAnsiTheme="minorHAnsi" w:cstheme="minorHAnsi"/>
          <w:b/>
          <w:bCs/>
          <w:u w:val="single"/>
        </w:rPr>
        <w:t>nebeketintų</w:t>
      </w:r>
      <w:r w:rsidRPr="00B943CA">
        <w:rPr>
          <w:rFonts w:asciiTheme="minorHAnsi" w:hAnsiTheme="minorHAnsi" w:cstheme="minorHAnsi"/>
          <w:u w:val="single"/>
        </w:rPr>
        <w:t xml:space="preserve"> naudoti aptariamų prekių ir paslaugų apmokestinamiesiems pardavimo sandoriams vykdyti arba naudotų juos neapmokestinamiesiems sandoriams vykdyti</w:t>
      </w:r>
      <w:r w:rsidRPr="00B943CA">
        <w:rPr>
          <w:rFonts w:asciiTheme="minorHAnsi" w:hAnsiTheme="minorHAnsi" w:cstheme="minorHAnsi"/>
        </w:rPr>
        <w:t xml:space="preserve"> (44 punktas).</w:t>
      </w:r>
    </w:p>
    <w:p w14:paraId="01FEA8D9" w14:textId="77777777" w:rsidR="00C80B96" w:rsidRPr="00B943CA" w:rsidRDefault="00C80B96" w:rsidP="00C80B96">
      <w:pPr>
        <w:ind w:firstLine="540"/>
        <w:rPr>
          <w:rFonts w:asciiTheme="minorHAnsi" w:hAnsiTheme="minorHAnsi" w:cstheme="minorHAnsi"/>
        </w:rPr>
      </w:pPr>
    </w:p>
    <w:p w14:paraId="21A02C3B" w14:textId="77777777" w:rsidR="00C80B96" w:rsidRPr="00B943CA" w:rsidRDefault="00C80B96" w:rsidP="00C80B96">
      <w:pPr>
        <w:ind w:firstLine="540"/>
        <w:rPr>
          <w:rFonts w:asciiTheme="minorHAnsi" w:hAnsiTheme="minorHAnsi" w:cstheme="minorHAnsi"/>
          <w:b/>
          <w:bCs/>
        </w:rPr>
      </w:pPr>
      <w:r w:rsidRPr="00B943CA">
        <w:rPr>
          <w:rFonts w:asciiTheme="minorHAnsi" w:hAnsiTheme="minorHAnsi" w:cstheme="minorHAnsi"/>
          <w:b/>
          <w:bCs/>
        </w:rPr>
        <w:t>Remdamasis šiais motyvais, Teisingumo Teismas (aštuntoji kolegija) nusprendė:</w:t>
      </w:r>
    </w:p>
    <w:p w14:paraId="18CD8B09" w14:textId="77777777" w:rsidR="00C80B96" w:rsidRPr="00B943CA" w:rsidRDefault="00C80B96" w:rsidP="00C80B96">
      <w:pPr>
        <w:ind w:firstLine="540"/>
        <w:rPr>
          <w:rFonts w:asciiTheme="minorHAnsi" w:hAnsiTheme="minorHAnsi" w:cstheme="minorHAnsi"/>
        </w:rPr>
      </w:pPr>
    </w:p>
    <w:p w14:paraId="205B9A35"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lastRenderedPageBreak/>
        <w:t xml:space="preserve">PVM direktyvos 167, 168, 184 ir 185 straipsniai turi būti aiškinami taip, kad </w:t>
      </w:r>
      <w:r w:rsidRPr="00B943CA">
        <w:rPr>
          <w:rFonts w:asciiTheme="minorHAnsi" w:hAnsiTheme="minorHAnsi" w:cstheme="minorHAnsi"/>
          <w:u w:val="single"/>
        </w:rPr>
        <w:t>teisė atskaityti pirkimo pridėtinės vertės mokestį (PVM) už prekes</w:t>
      </w:r>
      <w:r w:rsidRPr="00B943CA">
        <w:rPr>
          <w:rFonts w:asciiTheme="minorHAnsi" w:hAnsiTheme="minorHAnsi" w:cstheme="minorHAnsi"/>
        </w:rPr>
        <w:t xml:space="preserve">, šiuo atveju nekilnojamąjį turtą, ir paslaugas, įsigytas siekiant vykdyti apmokestinamuosius sandorius, </w:t>
      </w:r>
      <w:r w:rsidRPr="00B943CA">
        <w:rPr>
          <w:rFonts w:asciiTheme="minorHAnsi" w:hAnsiTheme="minorHAnsi" w:cstheme="minorHAnsi"/>
          <w:b/>
          <w:bCs/>
          <w:u w:val="single"/>
        </w:rPr>
        <w:t>išlieka</w:t>
      </w:r>
      <w:r w:rsidRPr="00B943CA">
        <w:rPr>
          <w:rFonts w:asciiTheme="minorHAnsi" w:hAnsiTheme="minorHAnsi" w:cstheme="minorHAnsi"/>
          <w:u w:val="single"/>
        </w:rPr>
        <w:t xml:space="preserve">, kai iš pradžių numatytų investicinių projektų atsisakoma dėl aplinkybių, nepriklausančių nuo apmokestinamojo asmens valios, ir kad </w:t>
      </w:r>
      <w:r w:rsidRPr="00B943CA">
        <w:rPr>
          <w:rFonts w:asciiTheme="minorHAnsi" w:hAnsiTheme="minorHAnsi" w:cstheme="minorHAnsi"/>
          <w:b/>
          <w:bCs/>
          <w:u w:val="single"/>
        </w:rPr>
        <w:t>nereikia tikslinti</w:t>
      </w:r>
      <w:r w:rsidRPr="00B943CA">
        <w:rPr>
          <w:rFonts w:asciiTheme="minorHAnsi" w:hAnsiTheme="minorHAnsi" w:cstheme="minorHAnsi"/>
          <w:u w:val="single"/>
        </w:rPr>
        <w:t xml:space="preserve"> šio PVM, jeigu apmokestinamasis asmuo </w:t>
      </w:r>
      <w:r w:rsidRPr="00B943CA">
        <w:rPr>
          <w:rFonts w:asciiTheme="minorHAnsi" w:hAnsiTheme="minorHAnsi" w:cstheme="minorHAnsi"/>
          <w:b/>
          <w:bCs/>
          <w:u w:val="single"/>
        </w:rPr>
        <w:t>vis dar ketina</w:t>
      </w:r>
      <w:r w:rsidRPr="00B943CA">
        <w:rPr>
          <w:rFonts w:asciiTheme="minorHAnsi" w:hAnsiTheme="minorHAnsi" w:cstheme="minorHAnsi"/>
          <w:u w:val="single"/>
        </w:rPr>
        <w:t xml:space="preserve"> naudoti minėtas prekes apmokestinamosios veiklos tikslais</w:t>
      </w:r>
      <w:r w:rsidRPr="00B943CA">
        <w:rPr>
          <w:rFonts w:asciiTheme="minorHAnsi" w:hAnsiTheme="minorHAnsi" w:cstheme="minorHAnsi"/>
        </w:rPr>
        <w:t>.</w:t>
      </w:r>
    </w:p>
    <w:p w14:paraId="7537B719"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&lt;...&gt;</w:t>
      </w:r>
    </w:p>
    <w:p w14:paraId="75781DBC" w14:textId="77777777" w:rsidR="00C80B96" w:rsidRPr="00B943CA" w:rsidRDefault="00F953EA" w:rsidP="00C80B96">
      <w:pPr>
        <w:ind w:firstLine="540"/>
        <w:rPr>
          <w:rFonts w:asciiTheme="minorHAnsi" w:hAnsiTheme="minorHAnsi" w:cstheme="minorHAnsi"/>
        </w:rPr>
      </w:pPr>
      <w:hyperlink r:id="rId14" w:history="1">
        <w:r w:rsidR="00C80B96" w:rsidRPr="00B943CA">
          <w:rPr>
            <w:rStyle w:val="Hipersaitas"/>
            <w:rFonts w:asciiTheme="minorHAnsi" w:hAnsiTheme="minorHAnsi" w:cstheme="minorHAnsi"/>
          </w:rPr>
          <w:t>Prieiga internete</w:t>
        </w:r>
      </w:hyperlink>
    </w:p>
    <w:p w14:paraId="1C19A59E" w14:textId="77777777" w:rsidR="00C80B96" w:rsidRPr="00B943CA" w:rsidRDefault="00C80B96" w:rsidP="00C80B96">
      <w:pPr>
        <w:ind w:firstLine="540"/>
        <w:rPr>
          <w:rFonts w:asciiTheme="minorHAnsi" w:hAnsiTheme="minorHAnsi" w:cstheme="minorHAnsi"/>
        </w:rPr>
      </w:pPr>
    </w:p>
    <w:p w14:paraId="1EF35CAB" w14:textId="77777777" w:rsidR="00C80B96" w:rsidRPr="00B943CA" w:rsidRDefault="00C80B96" w:rsidP="00C80B96">
      <w:pPr>
        <w:pStyle w:val="Antrat2"/>
        <w:rPr>
          <w:rFonts w:cstheme="minorHAnsi"/>
          <w:szCs w:val="22"/>
        </w:rPr>
      </w:pPr>
      <w:bookmarkStart w:id="40" w:name="_Toc66955374"/>
      <w:bookmarkStart w:id="41" w:name="_Toc67492441"/>
      <w:bookmarkStart w:id="42" w:name="_Toc71819699"/>
      <w:r w:rsidRPr="00B943CA">
        <w:rPr>
          <w:rFonts w:cstheme="minorHAnsi"/>
          <w:szCs w:val="22"/>
        </w:rPr>
        <w:t>2020 m. rugsėjo 16 d. prejudicinis sprendimas byloje C</w:t>
      </w:r>
      <w:r w:rsidRPr="00B943CA">
        <w:rPr>
          <w:rFonts w:ascii="Cambria Math" w:hAnsi="Cambria Math" w:cs="Cambria Math"/>
          <w:szCs w:val="22"/>
        </w:rPr>
        <w:t>‑</w:t>
      </w:r>
      <w:r w:rsidRPr="00B943CA">
        <w:rPr>
          <w:rFonts w:cstheme="minorHAnsi"/>
          <w:szCs w:val="22"/>
        </w:rPr>
        <w:t>674/19</w:t>
      </w:r>
      <w:bookmarkEnd w:id="40"/>
      <w:bookmarkEnd w:id="41"/>
      <w:bookmarkEnd w:id="42"/>
    </w:p>
    <w:p w14:paraId="7936BD6C" w14:textId="77777777" w:rsidR="00C80B96" w:rsidRPr="00B943CA" w:rsidRDefault="00C80B96" w:rsidP="00C80B96">
      <w:pPr>
        <w:jc w:val="center"/>
        <w:rPr>
          <w:rFonts w:asciiTheme="minorHAnsi" w:hAnsiTheme="minorHAnsi" w:cstheme="minorHAnsi"/>
          <w:b/>
          <w:bCs/>
          <w:i/>
          <w:iCs/>
        </w:rPr>
      </w:pPr>
      <w:r w:rsidRPr="00B943CA">
        <w:rPr>
          <w:rFonts w:asciiTheme="minorHAnsi" w:hAnsiTheme="minorHAnsi" w:cstheme="minorHAnsi"/>
          <w:b/>
          <w:bCs/>
          <w:i/>
          <w:iCs/>
        </w:rPr>
        <w:t>UAB „Skonis ir kvapas“</w:t>
      </w:r>
      <w:r w:rsidRPr="00B943CA">
        <w:rPr>
          <w:rFonts w:asciiTheme="minorHAnsi" w:hAnsiTheme="minorHAnsi" w:cstheme="minorHAnsi"/>
          <w:b/>
          <w:bCs/>
        </w:rPr>
        <w:t xml:space="preserve"> prieš </w:t>
      </w:r>
      <w:r w:rsidRPr="00B943CA">
        <w:rPr>
          <w:rFonts w:asciiTheme="minorHAnsi" w:hAnsiTheme="minorHAnsi" w:cstheme="minorHAnsi"/>
          <w:b/>
          <w:bCs/>
          <w:i/>
          <w:iCs/>
        </w:rPr>
        <w:t xml:space="preserve">Muitinės departamentą prie </w:t>
      </w:r>
    </w:p>
    <w:p w14:paraId="440DC601" w14:textId="18D3D075" w:rsidR="00C80B96" w:rsidRPr="00B943CA" w:rsidRDefault="00C80B96" w:rsidP="00C80B96">
      <w:pPr>
        <w:jc w:val="center"/>
        <w:rPr>
          <w:rFonts w:asciiTheme="minorHAnsi" w:hAnsiTheme="minorHAnsi" w:cstheme="minorHAnsi"/>
          <w:b/>
          <w:bCs/>
          <w:i/>
          <w:iCs/>
        </w:rPr>
      </w:pPr>
      <w:r w:rsidRPr="00B943CA">
        <w:rPr>
          <w:rFonts w:asciiTheme="minorHAnsi" w:hAnsiTheme="minorHAnsi" w:cstheme="minorHAnsi"/>
          <w:b/>
          <w:bCs/>
          <w:i/>
          <w:iCs/>
        </w:rPr>
        <w:t>Lietuvos Respublikos finansų ministerijos</w:t>
      </w:r>
    </w:p>
    <w:p w14:paraId="5F71F23F" w14:textId="77777777" w:rsidR="00C80B96" w:rsidRPr="00B943CA" w:rsidRDefault="00C80B96" w:rsidP="00C80B96">
      <w:pPr>
        <w:ind w:firstLine="540"/>
        <w:rPr>
          <w:rFonts w:asciiTheme="minorHAnsi" w:hAnsiTheme="minorHAnsi" w:cstheme="minorHAnsi"/>
          <w:b/>
          <w:bCs/>
        </w:rPr>
      </w:pPr>
    </w:p>
    <w:p w14:paraId="31674B95"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Prašymas priimti prejudicinį sprendimą buvo pateiktas, be kita ko, dėl 2011 m. birželio 21 d. Tarybos direktyvos 2011/64/ES dėl akcizų, taikomų apdorotam tabakui, struktūros ir tarifų (toliau – Direktyva 2011/64) 2 straipsnio 2 dalies ir 5 straipsnio 1 dalies</w:t>
      </w:r>
      <w:r w:rsidRPr="00B943CA">
        <w:rPr>
          <w:rStyle w:val="Puslapioinaosnuoroda"/>
          <w:rFonts w:asciiTheme="minorHAnsi" w:hAnsiTheme="minorHAnsi" w:cstheme="minorHAnsi"/>
        </w:rPr>
        <w:footnoteReference w:id="1"/>
      </w:r>
      <w:r w:rsidRPr="00B943CA">
        <w:rPr>
          <w:rFonts w:asciiTheme="minorHAnsi" w:hAnsiTheme="minorHAnsi" w:cstheme="minorHAnsi"/>
        </w:rPr>
        <w:t xml:space="preserve"> išaiškinimo. Šis prašymas pateiktas nagrinėjant </w:t>
      </w:r>
      <w:r w:rsidRPr="00B943CA">
        <w:rPr>
          <w:rFonts w:asciiTheme="minorHAnsi" w:hAnsiTheme="minorHAnsi" w:cstheme="minorHAnsi"/>
          <w:i/>
          <w:iCs/>
        </w:rPr>
        <w:t xml:space="preserve">UAB „Skonis ir kvapas“ </w:t>
      </w:r>
      <w:r w:rsidRPr="00B943CA">
        <w:rPr>
          <w:rFonts w:asciiTheme="minorHAnsi" w:hAnsiTheme="minorHAnsi" w:cstheme="minorHAnsi"/>
        </w:rPr>
        <w:t xml:space="preserve">ir Lietuvos mokesčių administratoriaus (Muitinės departamento) ginčą dėl minėto pastarojo sprendimo nurodyti </w:t>
      </w:r>
      <w:r w:rsidRPr="00B943CA">
        <w:rPr>
          <w:rFonts w:asciiTheme="minorHAnsi" w:hAnsiTheme="minorHAnsi" w:cstheme="minorHAnsi"/>
          <w:i/>
          <w:iCs/>
        </w:rPr>
        <w:t>UAB „Skonis ir kvapas“</w:t>
      </w:r>
      <w:r w:rsidRPr="00B943CA">
        <w:rPr>
          <w:rFonts w:asciiTheme="minorHAnsi" w:hAnsiTheme="minorHAnsi" w:cstheme="minorHAnsi"/>
        </w:rPr>
        <w:t xml:space="preserve"> papildomai sumokėti akcizą ir pridėtinės vertės mokesčio (PVM) už 2012–2015 metais importuotą ir išleistą vartoti vandens pypkių tabaką (1, 2 punktai).</w:t>
      </w:r>
    </w:p>
    <w:p w14:paraId="62CB4DCC" w14:textId="6314B0F0"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Pagrindinėje byloje nustatyta, kad </w:t>
      </w:r>
      <w:r w:rsidRPr="00B943CA">
        <w:rPr>
          <w:rFonts w:asciiTheme="minorHAnsi" w:hAnsiTheme="minorHAnsi" w:cstheme="minorHAnsi"/>
          <w:i/>
          <w:iCs/>
        </w:rPr>
        <w:t>UAB „Skonis ir kvapas“</w:t>
      </w:r>
      <w:r w:rsidRPr="00B943CA">
        <w:rPr>
          <w:rFonts w:asciiTheme="minorHAnsi" w:hAnsiTheme="minorHAnsi" w:cstheme="minorHAnsi"/>
        </w:rPr>
        <w:t xml:space="preserve"> 2012–2015 m. importavo į Lietuvą vandens pypkių tabaką, kurį sudarė kelios medžiagos, t. y. tabakas (24 %), cukraus sirupas (47 %), glicerinas (27 %), aromatinės medžiagos (2 %) ir kalio sorbatas (mažiau nei vienas gramas kilograme). Muitinei pateiktose deklaracijose ši bendrovė nurodė ne visą vandens pypkių tabako, o tik jame esančio tabako svorį, t. y. vienos iš šio vandens pypkių tabako sudedamųjų dalių svorį (10–13 punktai).</w:t>
      </w:r>
    </w:p>
    <w:p w14:paraId="2C746D91"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Tačiau mokesčių administratorius nusprendė, kad pagal nacionalinės teisės aktus akcizu apmokestinamu rūkomuoju tabaku laikomas visas pagrindinėje byloje nagrinėtas vandens pypkių tabakas, o ne tik jame esantis tabakas. Todėl mokestinio patikrinimo ataskaitoje bendrovei papildomai apskaičiuoti akcizas ir importo PVM bei susijusios sumos (22 punktas),</w:t>
      </w:r>
    </w:p>
    <w:p w14:paraId="099C2115"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Ginčui pasiekus Lietuvos vyriausiąjį administracinį teismą, šis nutarė sustabdyti bylos nagrinėjimą ir kreiptis į Teisingumo Teismą su prašymu išaiškinti, ar Direktyvos 2011/64 2 ir 5 straipsniai turi būti aiškinami taip, kad vandens pypkių tabakas, kurį sudaro tabakas (iki 24 %) ir kitos medžiagos, kaip cukraus sirupas, glicerinas, aromatinės medžiagos ir konservantas, laikytinas „produktu, kuris yra iš dalies pagamintas ne iš tabako, bet iš kitų medžiagų“, ir „rūkomuoju tabaku“, kaip suprantama pagal šias nuostatas, ir todėl visas toks mišinys laikytinas rūkomuoju tabaku, neatsižvelgiant į kitas nei tabakas jį sudarančias medžiagas, apmokestinamu tabakui taikomais akcizais (23 punktas).</w:t>
      </w:r>
    </w:p>
    <w:p w14:paraId="45ADC818" w14:textId="77777777" w:rsidR="00C80B96" w:rsidRPr="00B943CA" w:rsidRDefault="00C80B96" w:rsidP="00C80B96">
      <w:pPr>
        <w:ind w:firstLine="540"/>
        <w:rPr>
          <w:rFonts w:asciiTheme="minorHAnsi" w:hAnsiTheme="minorHAnsi" w:cstheme="minorHAnsi"/>
        </w:rPr>
      </w:pPr>
    </w:p>
    <w:p w14:paraId="36E213AA" w14:textId="77777777" w:rsidR="00C80B96" w:rsidRPr="00B943CA" w:rsidRDefault="00C80B96" w:rsidP="00C47F2E">
      <w:pPr>
        <w:pStyle w:val="Antrat3"/>
        <w:ind w:firstLine="567"/>
        <w:rPr>
          <w:b w:val="0"/>
          <w:bCs w:val="0"/>
        </w:rPr>
      </w:pPr>
      <w:bookmarkStart w:id="43" w:name="_Toc66955375"/>
      <w:bookmarkStart w:id="44" w:name="_Toc67492442"/>
      <w:bookmarkStart w:id="45" w:name="_Toc71819700"/>
      <w:r w:rsidRPr="00B943CA">
        <w:t>Dėl gaminio (vandens pypkių tabako), kurį sudaro tabako ir kitų medžiagų mišinys, pripažinimo rūkomuoju tabaku apmokestinimo akcizu tikslais bei pareigos mokėti šį mokestį nuo viso šio gaminio kiekio (svorio), o ne tik nuo jame faktiškai esančio tabako</w:t>
      </w:r>
      <w:bookmarkEnd w:id="43"/>
      <w:bookmarkEnd w:id="44"/>
      <w:bookmarkEnd w:id="45"/>
    </w:p>
    <w:p w14:paraId="1A193D86" w14:textId="77777777" w:rsidR="00C80B96" w:rsidRPr="00B943CA" w:rsidRDefault="00C80B96" w:rsidP="00C80B96">
      <w:pPr>
        <w:ind w:firstLine="540"/>
        <w:rPr>
          <w:rFonts w:asciiTheme="minorHAnsi" w:hAnsiTheme="minorHAnsi" w:cstheme="minorHAnsi"/>
        </w:rPr>
      </w:pPr>
    </w:p>
    <w:p w14:paraId="5559EC36"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Kalbėdamas apie Direktyvos 2011/64 2 straipsnio 2 dalį, Teisingumo Teismas pažymėjo, kad Sąjungos teisės aktų leidėjas nepatikslino šioje nuostatoje nurodytų kitų nei tabakas medžiagų pobūdžio, todėl iš sąvokos „produktai, kurie yra iš dalies pagaminti ne iš tabako, bet iš kitų medžiagų“ apibrėžties nėra išskiriamos jokios medžiagos, kurias galima sumaišyti su tabaku, ir pagal ją nereikalaujama, kad tabakas būtų sumaišytas su konkrečiomis medžiagomis (28 punktas). Šia direktyvos nuostata siekiama nustatyti bendrą taisyklę, pagal kurią produktai, kurie, nors yra visiškai arba iš dalies pagaminti ne iš tabako, bet iš kitų medžiagų, vis dėlto kitaip atitinka šios direktyvos 3 straipsnyje ir 5 straipsnio 1 dalyje nustatytus kriterijus dėl cigarečių ir rūkomojo tabako, yra laikomi cigaretėmis ir rūkomuoju tabaku (29 punktas). Iš to matyti, kad </w:t>
      </w:r>
      <w:r w:rsidRPr="00B943CA">
        <w:rPr>
          <w:rFonts w:asciiTheme="minorHAnsi" w:hAnsiTheme="minorHAnsi" w:cstheme="minorHAnsi"/>
          <w:u w:val="single"/>
        </w:rPr>
        <w:t>produktas gali patekti į šios direktyvos taikymo sritį ir jis gali būti apmokestinamas tabakui taikomu akcizu, net jei jis pagamintas ne vien iš tabako</w:t>
      </w:r>
      <w:r w:rsidRPr="00B943CA">
        <w:rPr>
          <w:rFonts w:asciiTheme="minorHAnsi" w:hAnsiTheme="minorHAnsi" w:cstheme="minorHAnsi"/>
        </w:rPr>
        <w:t xml:space="preserve"> (30 punktas). Kadangi, kaitinant ir deginant visas medžiagas, kurios </w:t>
      </w:r>
      <w:r w:rsidRPr="00B943CA">
        <w:rPr>
          <w:rFonts w:asciiTheme="minorHAnsi" w:hAnsiTheme="minorHAnsi" w:cstheme="minorHAnsi"/>
        </w:rPr>
        <w:lastRenderedPageBreak/>
        <w:t>sudaro vandens pypkių tabaką, kaip buvo nagrinėjamą pagrindinėje byloje, išgaunami įkvėpti skirti dūmai, toks tabakas laikomas rūkomuoju tabaku (34 punktas).</w:t>
      </w:r>
    </w:p>
    <w:p w14:paraId="75C7A5BC"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Atitinkamai Sąjungos teisminė institucija sprendė, kad </w:t>
      </w:r>
      <w:r w:rsidRPr="00B943CA">
        <w:rPr>
          <w:rFonts w:asciiTheme="minorHAnsi" w:hAnsiTheme="minorHAnsi" w:cstheme="minorHAnsi"/>
          <w:u w:val="single"/>
        </w:rPr>
        <w:t>sąvoka „produktas, kuris yra iš dalies pagamintas ne iš tabako, bet iš kitų medžiagų“, kaip tai suprantama pagal Direktyvos 2011/64 2 straipsnio 2 dalį, turi būti aiškinama taip, kad ji apima vandens pypkių tabaką, kaip nagrinėtą pagrindinėje byloje, kurį sudaro tabakas, cukraus sirupas, glicerinas, aromatinės medžiagos ir konservantas</w:t>
      </w:r>
      <w:r w:rsidRPr="00B943CA">
        <w:rPr>
          <w:rFonts w:asciiTheme="minorHAnsi" w:hAnsiTheme="minorHAnsi" w:cstheme="minorHAnsi"/>
        </w:rPr>
        <w:t xml:space="preserve"> (35 punktas). Teisingumo Teismas taip pat pripažino, kad aptariamas vandens pypkių tabakas atitiko ir „rūkomojo tabako“ sąvoką pagal Direktyvos 2011/64 5 straipsnio 1 dalį (35–41 punktai).</w:t>
      </w:r>
    </w:p>
    <w:p w14:paraId="072E2080" w14:textId="2BD4CDEA"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Kalbėdamas apie tai, ar vandens pypkių tabakas, kaip nagrinėjamas pagrindinėje byloje, visas laikytinas rūkomuoju tabaku, neatsižvelgiant į kitas nei tabakas jį sudarančias medžiagas, Teisingumo Teismas pabrėžė, kad </w:t>
      </w:r>
      <w:r w:rsidRPr="00B943CA">
        <w:rPr>
          <w:rFonts w:asciiTheme="minorHAnsi" w:hAnsiTheme="minorHAnsi" w:cstheme="minorHAnsi"/>
          <w:u w:val="single"/>
        </w:rPr>
        <w:t>Direktyvoje 2011/64 visi produktai, kurie yra iš dalies pagaminti ne iš tabako, bet iš kitų medžiagų, neišskiriant šių skirtingų medžiagų ir nenumatant vien šiuose produktuose esančio tabako apmokestinimo, yra laikomi rūkomuoju tabaku</w:t>
      </w:r>
      <w:r w:rsidRPr="00B943CA">
        <w:rPr>
          <w:rFonts w:asciiTheme="minorHAnsi" w:hAnsiTheme="minorHAnsi" w:cstheme="minorHAnsi"/>
        </w:rPr>
        <w:t xml:space="preserve"> (42 punktas)</w:t>
      </w:r>
      <w:r w:rsidR="00E10062">
        <w:rPr>
          <w:rFonts w:asciiTheme="minorHAnsi" w:hAnsiTheme="minorHAnsi" w:cstheme="minorHAnsi"/>
        </w:rPr>
        <w:t>.</w:t>
      </w:r>
      <w:r w:rsidRPr="00B943CA">
        <w:rPr>
          <w:rFonts w:asciiTheme="minorHAnsi" w:hAnsiTheme="minorHAnsi" w:cstheme="minorHAnsi"/>
        </w:rPr>
        <w:t xml:space="preserve"> Kiek tai susiję su apdorotu tabaku, kuris nėra Direktyvos 2011/64 13 ir 14 straipsniuose nurodytos cigaretės, Sąjungos teisės aktų leidėjas nenumatė, kad akcizas, kuriuo apmokestinami šie gaminiai, netaikomas kitų medžiagų nei tabakas svoriui (44 punktas). Galiausiai visos vandens pypkių tabaką sudarančios medžiagos yra kaitinamos ir rūkomos kaip vieną produktą sudarančios dalys. Todėl, kaip pažymėjo Teisingumo Teismas, </w:t>
      </w:r>
      <w:r w:rsidRPr="00B943CA">
        <w:rPr>
          <w:rFonts w:asciiTheme="minorHAnsi" w:hAnsiTheme="minorHAnsi" w:cstheme="minorHAnsi"/>
          <w:u w:val="single"/>
        </w:rPr>
        <w:t>Direktyvos 2011/64 tikslais toks produktas, vertinamas kaip visuma, turi būti laikomas rūkomuoju tabaku ir apmokestinamas tabakui taikomu akcizu</w:t>
      </w:r>
      <w:r w:rsidRPr="00B943CA">
        <w:rPr>
          <w:rFonts w:asciiTheme="minorHAnsi" w:hAnsiTheme="minorHAnsi" w:cstheme="minorHAnsi"/>
        </w:rPr>
        <w:t xml:space="preserve"> (45 punktas).</w:t>
      </w:r>
    </w:p>
    <w:p w14:paraId="0FA18414" w14:textId="77777777" w:rsidR="00C80B96" w:rsidRPr="00B943CA" w:rsidRDefault="00C80B96" w:rsidP="00C80B96">
      <w:pPr>
        <w:ind w:firstLine="540"/>
        <w:rPr>
          <w:rFonts w:asciiTheme="minorHAnsi" w:hAnsiTheme="minorHAnsi" w:cstheme="minorHAnsi"/>
        </w:rPr>
      </w:pPr>
    </w:p>
    <w:p w14:paraId="4254A1DF" w14:textId="77777777" w:rsidR="00C80B96" w:rsidRPr="00B943CA" w:rsidRDefault="00C80B96" w:rsidP="00C80B96">
      <w:pPr>
        <w:ind w:firstLine="540"/>
        <w:rPr>
          <w:rFonts w:asciiTheme="minorHAnsi" w:hAnsiTheme="minorHAnsi" w:cstheme="minorHAnsi"/>
          <w:b/>
          <w:bCs/>
        </w:rPr>
      </w:pPr>
      <w:r w:rsidRPr="00B943CA">
        <w:rPr>
          <w:rFonts w:asciiTheme="minorHAnsi" w:hAnsiTheme="minorHAnsi" w:cstheme="minorHAnsi"/>
          <w:b/>
          <w:bCs/>
        </w:rPr>
        <w:t>Remdamasis šiais motyvais, Teisingumo Teismas (aštuntoji kolegija) nusprendė:</w:t>
      </w:r>
    </w:p>
    <w:p w14:paraId="43D2C11A" w14:textId="77777777" w:rsidR="00C80B96" w:rsidRPr="00B943CA" w:rsidRDefault="00C80B96" w:rsidP="00C80B96">
      <w:pPr>
        <w:ind w:firstLine="540"/>
        <w:rPr>
          <w:rFonts w:asciiTheme="minorHAnsi" w:hAnsiTheme="minorHAnsi" w:cstheme="minorHAnsi"/>
        </w:rPr>
      </w:pPr>
    </w:p>
    <w:p w14:paraId="0746DB2A"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Direktyvos 2011/64 dėl akcizų, taikomų apdorotam tabakui, struktūros ir tarifų 2 ir 5 straipsniai turi būti aiškinami taip, kad vandens pypkių tabakas, kurį sudaro tabakas (iki 24 %) ir kitos medžiagos, kaip cukraus sirupas, glicerinas, aromatinės medžiagos ir konservantas, turi būti laikomas „produktu, kuris yra iš dalies pagamintas ne iš tabako, bet iš kitų medžiagų “, ir „rūkomuoju tabaku “, kaip suprantama pagal šias nuostatas, todėl jis visas, kad ir kokios kitos medžiagos nei tabakas jį sudaro, turi būti laikomas rūkomuoju tabaku, apmokestinamu tabakui taikomu akcizu.</w:t>
      </w:r>
    </w:p>
    <w:p w14:paraId="44529022" w14:textId="77777777" w:rsidR="00C80B96" w:rsidRPr="00B943CA" w:rsidRDefault="00F953EA" w:rsidP="00C80B96">
      <w:pPr>
        <w:ind w:firstLine="540"/>
        <w:rPr>
          <w:rFonts w:asciiTheme="minorHAnsi" w:hAnsiTheme="minorHAnsi" w:cstheme="minorHAnsi"/>
        </w:rPr>
      </w:pPr>
      <w:hyperlink r:id="rId15" w:history="1">
        <w:r w:rsidR="00C80B96" w:rsidRPr="00B943CA">
          <w:rPr>
            <w:rStyle w:val="Hipersaitas"/>
            <w:rFonts w:asciiTheme="minorHAnsi" w:hAnsiTheme="minorHAnsi" w:cstheme="minorHAnsi"/>
          </w:rPr>
          <w:t>Prieiga internete</w:t>
        </w:r>
      </w:hyperlink>
    </w:p>
    <w:p w14:paraId="2E7032D5" w14:textId="77777777" w:rsidR="00C80B96" w:rsidRPr="00B943CA" w:rsidRDefault="00C80B96" w:rsidP="00C80B96">
      <w:pPr>
        <w:ind w:firstLine="540"/>
        <w:rPr>
          <w:rFonts w:asciiTheme="minorHAnsi" w:hAnsiTheme="minorHAnsi" w:cstheme="minorHAnsi"/>
          <w:b/>
          <w:bCs/>
        </w:rPr>
      </w:pPr>
    </w:p>
    <w:p w14:paraId="215ADDFD" w14:textId="77777777" w:rsidR="00C80B96" w:rsidRPr="00B943CA" w:rsidRDefault="00C80B96" w:rsidP="00C80B96">
      <w:pPr>
        <w:pStyle w:val="Antrat2"/>
        <w:rPr>
          <w:rFonts w:cstheme="minorHAnsi"/>
          <w:szCs w:val="22"/>
        </w:rPr>
      </w:pPr>
      <w:bookmarkStart w:id="46" w:name="_Toc66955376"/>
      <w:bookmarkStart w:id="47" w:name="_Toc67492443"/>
      <w:bookmarkStart w:id="48" w:name="_Toc71819701"/>
      <w:r w:rsidRPr="00B943CA">
        <w:rPr>
          <w:rFonts w:cstheme="minorHAnsi"/>
          <w:szCs w:val="22"/>
        </w:rPr>
        <w:t>2020 m. rugsėjo 16 d. prejudicinis sprendimas byloje C</w:t>
      </w:r>
      <w:r w:rsidRPr="00B943CA">
        <w:rPr>
          <w:rFonts w:ascii="Cambria Math" w:hAnsi="Cambria Math" w:cs="Cambria Math"/>
          <w:szCs w:val="22"/>
        </w:rPr>
        <w:t>‑</w:t>
      </w:r>
      <w:r w:rsidRPr="00B943CA">
        <w:rPr>
          <w:rFonts w:cstheme="minorHAnsi"/>
          <w:szCs w:val="22"/>
        </w:rPr>
        <w:t>312/19</w:t>
      </w:r>
      <w:bookmarkEnd w:id="46"/>
      <w:bookmarkEnd w:id="47"/>
      <w:bookmarkEnd w:id="48"/>
    </w:p>
    <w:p w14:paraId="3602E6C3" w14:textId="77777777" w:rsidR="00C80B96" w:rsidRPr="00B943CA" w:rsidRDefault="00C80B96" w:rsidP="00C80B96">
      <w:pPr>
        <w:jc w:val="center"/>
        <w:rPr>
          <w:rFonts w:asciiTheme="minorHAnsi" w:hAnsiTheme="minorHAnsi" w:cstheme="minorHAnsi"/>
          <w:b/>
          <w:bCs/>
          <w:i/>
          <w:iCs/>
        </w:rPr>
      </w:pPr>
      <w:r w:rsidRPr="00B943CA">
        <w:rPr>
          <w:rFonts w:asciiTheme="minorHAnsi" w:hAnsiTheme="minorHAnsi" w:cstheme="minorHAnsi"/>
          <w:b/>
          <w:bCs/>
          <w:i/>
          <w:iCs/>
        </w:rPr>
        <w:t>XT</w:t>
      </w:r>
      <w:r w:rsidRPr="00B943CA">
        <w:rPr>
          <w:rFonts w:asciiTheme="minorHAnsi" w:hAnsiTheme="minorHAnsi" w:cstheme="minorHAnsi"/>
          <w:b/>
          <w:bCs/>
        </w:rPr>
        <w:t xml:space="preserve"> prieš </w:t>
      </w:r>
      <w:r w:rsidRPr="00B943CA">
        <w:rPr>
          <w:rFonts w:asciiTheme="minorHAnsi" w:hAnsiTheme="minorHAnsi" w:cstheme="minorHAnsi"/>
          <w:b/>
          <w:bCs/>
          <w:i/>
          <w:iCs/>
        </w:rPr>
        <w:t>Valstybinę mokesčių inspekciją prie Lietuvos Respublikos finansų ministerijos</w:t>
      </w:r>
    </w:p>
    <w:p w14:paraId="285B94FE" w14:textId="77777777" w:rsidR="00C80B96" w:rsidRPr="00B943CA" w:rsidRDefault="00C80B96" w:rsidP="00C80B96">
      <w:pPr>
        <w:ind w:firstLine="540"/>
        <w:rPr>
          <w:rFonts w:asciiTheme="minorHAnsi" w:hAnsiTheme="minorHAnsi" w:cstheme="minorHAnsi"/>
        </w:rPr>
      </w:pPr>
    </w:p>
    <w:p w14:paraId="5C6F990E"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Prašymas priimti prejudicinį sprendimą buvo pateiktas dėl 2006 m. lapkričio 28 d. Tarybos direktyvos 2006/112/EB dėl pridėtinės vertės mokesčio bendros sistemos, iš dalies pakeistos 2013 m. liepos 22 d. Tarybos direktyva 2013/43/ES (toliau – PVM direktyva), 9 straipsnio 1 dalies, 193 straipsnio ir 287 straipsnio išaiškinimo. Šis prašymas pateiktas nagrinėjant </w:t>
      </w:r>
      <w:r w:rsidRPr="00B943CA">
        <w:rPr>
          <w:rFonts w:asciiTheme="minorHAnsi" w:hAnsiTheme="minorHAnsi" w:cstheme="minorHAnsi"/>
          <w:i/>
          <w:iCs/>
        </w:rPr>
        <w:t>XT</w:t>
      </w:r>
      <w:r w:rsidRPr="00B943CA">
        <w:rPr>
          <w:rFonts w:asciiTheme="minorHAnsi" w:hAnsiTheme="minorHAnsi" w:cstheme="minorHAnsi"/>
        </w:rPr>
        <w:t xml:space="preserve"> ir Lietuvos mokesčių administratoriaus ginčą dėl nurodymo </w:t>
      </w:r>
      <w:r w:rsidRPr="00B943CA">
        <w:rPr>
          <w:rFonts w:asciiTheme="minorHAnsi" w:hAnsiTheme="minorHAnsi" w:cstheme="minorHAnsi"/>
          <w:i/>
          <w:iCs/>
        </w:rPr>
        <w:t>XT</w:t>
      </w:r>
      <w:r w:rsidRPr="00B943CA">
        <w:rPr>
          <w:rFonts w:asciiTheme="minorHAnsi" w:hAnsiTheme="minorHAnsi" w:cstheme="minorHAnsi"/>
        </w:rPr>
        <w:t xml:space="preserve"> sumokėti pridėtinės vertės mokestį (PVM), delspinigius ir baudą už nedeklaruotus su nekilnojamuoju turtu susijusius sandorius (1, 2 punktai).</w:t>
      </w:r>
    </w:p>
    <w:p w14:paraId="184C7F7A" w14:textId="54DA5B04" w:rsidR="00C80B96" w:rsidRPr="00B943CA" w:rsidRDefault="00E10062" w:rsidP="00C80B96">
      <w:pPr>
        <w:ind w:firstLine="540"/>
        <w:rPr>
          <w:rFonts w:asciiTheme="minorHAnsi" w:hAnsiTheme="minorHAnsi" w:cstheme="minorHAnsi"/>
        </w:rPr>
      </w:pPr>
      <w:r>
        <w:rPr>
          <w:rFonts w:asciiTheme="minorHAnsi" w:hAnsiTheme="minorHAnsi" w:cstheme="minorHAnsi"/>
        </w:rPr>
        <w:t xml:space="preserve">Nagrinėdamas mokestinį ginčą </w:t>
      </w:r>
      <w:r w:rsidR="00C80B96" w:rsidRPr="00B943CA">
        <w:rPr>
          <w:rFonts w:asciiTheme="minorHAnsi" w:hAnsiTheme="minorHAnsi" w:cstheme="minorHAnsi"/>
        </w:rPr>
        <w:t>Lietuvos vyriausi</w:t>
      </w:r>
      <w:r>
        <w:rPr>
          <w:rFonts w:asciiTheme="minorHAnsi" w:hAnsiTheme="minorHAnsi" w:cstheme="minorHAnsi"/>
        </w:rPr>
        <w:t xml:space="preserve">asis </w:t>
      </w:r>
      <w:r w:rsidR="00C80B96" w:rsidRPr="00B943CA">
        <w:rPr>
          <w:rFonts w:asciiTheme="minorHAnsi" w:hAnsiTheme="minorHAnsi" w:cstheme="minorHAnsi"/>
        </w:rPr>
        <w:t>administracin</w:t>
      </w:r>
      <w:r>
        <w:rPr>
          <w:rFonts w:asciiTheme="minorHAnsi" w:hAnsiTheme="minorHAnsi" w:cstheme="minorHAnsi"/>
        </w:rPr>
        <w:t>is</w:t>
      </w:r>
      <w:r w:rsidR="00C80B96" w:rsidRPr="00B943CA">
        <w:rPr>
          <w:rFonts w:asciiTheme="minorHAnsi" w:hAnsiTheme="minorHAnsi" w:cstheme="minorHAnsi"/>
        </w:rPr>
        <w:t xml:space="preserve"> teism</w:t>
      </w:r>
      <w:r>
        <w:rPr>
          <w:rFonts w:asciiTheme="minorHAnsi" w:hAnsiTheme="minorHAnsi" w:cstheme="minorHAnsi"/>
        </w:rPr>
        <w:t xml:space="preserve">as </w:t>
      </w:r>
      <w:r w:rsidR="00C80B96" w:rsidRPr="00B943CA">
        <w:rPr>
          <w:rFonts w:asciiTheme="minorHAnsi" w:hAnsiTheme="minorHAnsi" w:cstheme="minorHAnsi"/>
        </w:rPr>
        <w:t>kreip</w:t>
      </w:r>
      <w:r>
        <w:rPr>
          <w:rFonts w:asciiTheme="minorHAnsi" w:hAnsiTheme="minorHAnsi" w:cstheme="minorHAnsi"/>
        </w:rPr>
        <w:t>ėsi</w:t>
      </w:r>
      <w:r w:rsidR="00C80B96" w:rsidRPr="00B943CA">
        <w:rPr>
          <w:rFonts w:asciiTheme="minorHAnsi" w:hAnsiTheme="minorHAnsi" w:cstheme="minorHAnsi"/>
        </w:rPr>
        <w:t xml:space="preserve"> į Teisingumo Teismą su prašymu išaiškinti, ar PVM direktyvos 9 straipsnio 1 dalis ir 193 straipsnis turi būti aiškinami taip, kad fizinis asmuo, su kitu fiziniu asmeniu pasirašęs jungtinės veiklos sutartį, sudarančią teisinio subjektiškumo neturinčią partnerystę, kuriai būdinga tai, kad pirmasis asmuo turi teisę veikti visų partnerių vardu, tačiau jis vienas ir savo vardu dalyvauja santykiuose su trečiaisiais asmenimis, kai atlieka šios partnerystės ekonominę veiklą sudarančius veiksmus, šią veiklą vykdo savarankiškai, todėl turi būti laikomas „apmokestinamuoju asmeniu“, kaip tai suprantama pagal PVM direktyvos 9 straipsnio 1 dalį, ir vieninteliu, privalančiu sumokėti mokėtiną PVM pagal šios direktyvos 193 straipsnį (37 punktas).</w:t>
      </w:r>
    </w:p>
    <w:p w14:paraId="49C31F3F" w14:textId="77777777" w:rsidR="00C80B96" w:rsidRPr="00B943CA" w:rsidRDefault="00C80B96" w:rsidP="00C80B96">
      <w:pPr>
        <w:ind w:firstLine="540"/>
        <w:rPr>
          <w:rFonts w:asciiTheme="minorHAnsi" w:hAnsiTheme="minorHAnsi" w:cstheme="minorHAnsi"/>
        </w:rPr>
      </w:pPr>
    </w:p>
    <w:p w14:paraId="599ED263" w14:textId="085797C4" w:rsidR="00C80B96" w:rsidRPr="00B943CA" w:rsidRDefault="00C80B96" w:rsidP="00C47F2E">
      <w:pPr>
        <w:pStyle w:val="Antrat3"/>
        <w:ind w:firstLine="567"/>
      </w:pPr>
      <w:bookmarkStart w:id="49" w:name="_Toc66955377"/>
      <w:bookmarkStart w:id="50" w:name="_Toc67492444"/>
      <w:bookmarkStart w:id="51" w:name="_Toc71819702"/>
      <w:r w:rsidRPr="00B943CA">
        <w:t xml:space="preserve">Dėl teisinio </w:t>
      </w:r>
      <w:r w:rsidRPr="00035C5C">
        <w:t>subjektiškumo</w:t>
      </w:r>
      <w:r w:rsidRPr="00B943CA">
        <w:t xml:space="preserve"> neturinčio asmens (partnerių, sudariusių jungtinės veiklos sutartį) </w:t>
      </w:r>
      <w:r w:rsidR="00C47F2E">
        <w:t>ne</w:t>
      </w:r>
      <w:r w:rsidRPr="00B943CA">
        <w:t>pripažinimo apmokestinamuoju asmeniu, atsakingu už prievolės sumokėti PVM įvykdymą</w:t>
      </w:r>
      <w:bookmarkEnd w:id="49"/>
      <w:bookmarkEnd w:id="50"/>
      <w:bookmarkEnd w:id="51"/>
      <w:r w:rsidRPr="00B943CA">
        <w:t xml:space="preserve"> </w:t>
      </w:r>
      <w:r w:rsidRPr="00B943CA">
        <w:tab/>
      </w:r>
    </w:p>
    <w:p w14:paraId="3CFA16CD" w14:textId="77777777" w:rsidR="00C80B96" w:rsidRPr="00B943CA" w:rsidRDefault="00C80B96" w:rsidP="00C80B96">
      <w:pPr>
        <w:ind w:firstLine="540"/>
        <w:rPr>
          <w:rFonts w:asciiTheme="minorHAnsi" w:hAnsiTheme="minorHAnsi" w:cstheme="minorHAnsi"/>
        </w:rPr>
      </w:pPr>
    </w:p>
    <w:p w14:paraId="61499375"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Pagal PVM direktyvos  9 straipsnio 1 dalį „apmokestinamuoju asmeniu“ laikomas asmuo, „kuris savarankiškai bet kurioje vietoje vykdo ekonominę veiklą, neatsižvelgiant į tos veiklos tikslą ar rezultatą“. Pagal šios direktyvos 193 straipsnį PVM moka prekes tiekiantis apmokestinamasis asmuo, išskyrus šios direktyvos 194–199b ir 202 straipsniuose nurodytus atvejus, kai PVM moka kitas asmuo (38 punktas).</w:t>
      </w:r>
    </w:p>
    <w:p w14:paraId="5EAAD94D"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lastRenderedPageBreak/>
        <w:t xml:space="preserve">Kaip priminė Teisingumo Teismas, </w:t>
      </w:r>
      <w:r w:rsidRPr="00B943CA">
        <w:rPr>
          <w:rFonts w:asciiTheme="minorHAnsi" w:hAnsiTheme="minorHAnsi" w:cstheme="minorHAnsi"/>
          <w:u w:val="single"/>
        </w:rPr>
        <w:t xml:space="preserve">PVM direktyvos 9 straipsnyje pavartoti žodžiai, ypač „bet kuris“, suteikia sąvokai „apmokestinamasis asmuo“ plačią prasmę, kuri paremta savarankiškai vykdoma ekonomine veikla, t. y. visi fiziniai ir juridiniai asmenys – ir viešieji, ir privatūs, </w:t>
      </w:r>
      <w:r w:rsidRPr="00B943CA">
        <w:rPr>
          <w:rFonts w:asciiTheme="minorHAnsi" w:hAnsiTheme="minorHAnsi" w:cstheme="minorHAnsi"/>
          <w:b/>
          <w:bCs/>
          <w:u w:val="single"/>
        </w:rPr>
        <w:t>ir net vienetai, neturintys teisinio subjektiškumo</w:t>
      </w:r>
      <w:r w:rsidRPr="00B943CA">
        <w:rPr>
          <w:rFonts w:asciiTheme="minorHAnsi" w:hAnsiTheme="minorHAnsi" w:cstheme="minorHAnsi"/>
          <w:u w:val="single"/>
        </w:rPr>
        <w:t>, kurie objektyviai tenkina šioje nuostatoje įtvirtintus kriterijus, – laikytini PVM apmokestinamais asmenimis</w:t>
      </w:r>
      <w:r w:rsidRPr="00B943CA">
        <w:rPr>
          <w:rFonts w:asciiTheme="minorHAnsi" w:hAnsiTheme="minorHAnsi" w:cstheme="minorHAnsi"/>
        </w:rPr>
        <w:t xml:space="preserve"> (39 punktas).</w:t>
      </w:r>
    </w:p>
    <w:p w14:paraId="5B5F4B18"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Siekiant nustatyti, kas tokiomis aplinkybėmis, kaip nagrinėtos pagrindinėje byloje, turi būti laikomas PVM „apmokestinamuoju asmeniu“ už nagrinėjamus tiekimus, </w:t>
      </w:r>
      <w:r w:rsidRPr="00B943CA">
        <w:rPr>
          <w:rFonts w:asciiTheme="minorHAnsi" w:hAnsiTheme="minorHAnsi" w:cstheme="minorHAnsi"/>
          <w:u w:val="single"/>
        </w:rPr>
        <w:t>reikia patikrinti, kas savarankiškai vykdė atitinkamą ekonominę veiklą</w:t>
      </w:r>
      <w:r w:rsidRPr="00B943CA">
        <w:rPr>
          <w:rFonts w:asciiTheme="minorHAnsi" w:hAnsiTheme="minorHAnsi" w:cstheme="minorHAnsi"/>
        </w:rPr>
        <w:t xml:space="preserve">. Iš tiesų savarankiškumo kriterijus susijęs su atitinkamo sandorio ryšio su konkrečiu asmeniu ar subjektu klausimu; be to, jis užtikrina, kad įgijėjas teisiškai saugiai galės pasinaudoti galima teise į atskaitą, nes turės atitinkamo apmokestinamojo asmens vardą, pavardę (visą pavadinimą) ir adresą, kaip numatyta PVM direktyvos 226 straipsnio 5 punkte (40 punktas). </w:t>
      </w:r>
      <w:r w:rsidRPr="00B943CA">
        <w:rPr>
          <w:rFonts w:asciiTheme="minorHAnsi" w:hAnsiTheme="minorHAnsi" w:cstheme="minorHAnsi"/>
          <w:u w:val="single"/>
        </w:rPr>
        <w:t>Šiuo tikslu reikia patikrinti, ar atitinkamas asmuo vykdo veiklą savo vardu, savo naudai ir savo atsakomybe, taip pat tai, ar jis pats prisiima su savo veikla susijusią ekonominę riziką</w:t>
      </w:r>
      <w:r w:rsidRPr="00B943CA">
        <w:rPr>
          <w:rFonts w:asciiTheme="minorHAnsi" w:hAnsiTheme="minorHAnsi" w:cstheme="minorHAnsi"/>
        </w:rPr>
        <w:t xml:space="preserve"> (41 punktas).</w:t>
      </w:r>
    </w:p>
    <w:p w14:paraId="71D0B5AD" w14:textId="10EA6B91"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Nustatyta, kad nagrinėtu atveju sudarius aptariamą partnerystę, siekiant įgyvendinti nekilnojamojo turto projektą, ir po to, kai </w:t>
      </w:r>
      <w:r w:rsidRPr="00B943CA">
        <w:rPr>
          <w:rFonts w:asciiTheme="minorHAnsi" w:hAnsiTheme="minorHAnsi" w:cstheme="minorHAnsi"/>
          <w:i/>
          <w:iCs/>
        </w:rPr>
        <w:t>XT</w:t>
      </w:r>
      <w:r w:rsidRPr="00B943CA">
        <w:rPr>
          <w:rFonts w:asciiTheme="minorHAnsi" w:hAnsiTheme="minorHAnsi" w:cstheme="minorHAnsi"/>
        </w:rPr>
        <w:t xml:space="preserve"> partneris perdavė jam savo įnašą, </w:t>
      </w:r>
      <w:r w:rsidRPr="00B943CA">
        <w:rPr>
          <w:rFonts w:asciiTheme="minorHAnsi" w:hAnsiTheme="minorHAnsi" w:cstheme="minorHAnsi"/>
          <w:i/>
          <w:iCs/>
        </w:rPr>
        <w:t>XT</w:t>
      </w:r>
      <w:r w:rsidRPr="00B943CA">
        <w:rPr>
          <w:rFonts w:asciiTheme="minorHAnsi" w:hAnsiTheme="minorHAnsi" w:cstheme="minorHAnsi"/>
        </w:rPr>
        <w:t xml:space="preserve"> žemės sklypą įsigijo vienas ir tik savo vardu. Jis savo vardu pateikė kompetentingoms institucijoms prašymą išduoti statybos leidimą ir jį gavo. Be to, jis pats ir savo vardu sudarė statybos rangos sutartį. Partneriai nusprendė, kad būtent </w:t>
      </w:r>
      <w:r w:rsidRPr="00B943CA">
        <w:rPr>
          <w:rFonts w:asciiTheme="minorHAnsi" w:hAnsiTheme="minorHAnsi" w:cstheme="minorHAnsi"/>
          <w:i/>
          <w:iCs/>
        </w:rPr>
        <w:t>XT</w:t>
      </w:r>
      <w:r w:rsidRPr="00B943CA">
        <w:rPr>
          <w:rFonts w:asciiTheme="minorHAnsi" w:hAnsiTheme="minorHAnsi" w:cstheme="minorHAnsi"/>
        </w:rPr>
        <w:t xml:space="preserve"> bus įrašytas į nekilnojamojo turto registrą kaip vienintelis savininkas. </w:t>
      </w:r>
      <w:r w:rsidRPr="00B943CA">
        <w:rPr>
          <w:rFonts w:asciiTheme="minorHAnsi" w:hAnsiTheme="minorHAnsi" w:cstheme="minorHAnsi"/>
          <w:i/>
          <w:iCs/>
          <w:u w:val="single"/>
        </w:rPr>
        <w:t>XT</w:t>
      </w:r>
      <w:r w:rsidRPr="00B943CA">
        <w:rPr>
          <w:rFonts w:asciiTheme="minorHAnsi" w:hAnsiTheme="minorHAnsi" w:cstheme="minorHAnsi"/>
          <w:u w:val="single"/>
        </w:rPr>
        <w:t xml:space="preserve"> savo vardu sudarė visų pastatų ir žemės sklypų, susijusių su šiais pastatais, pirkimo</w:t>
      </w:r>
      <w:r w:rsidR="00E10062">
        <w:rPr>
          <w:rFonts w:asciiTheme="minorHAnsi" w:hAnsiTheme="minorHAnsi" w:cstheme="minorHAnsi"/>
          <w:u w:val="single"/>
        </w:rPr>
        <w:t>–</w:t>
      </w:r>
      <w:r w:rsidRPr="00B943CA">
        <w:rPr>
          <w:rFonts w:asciiTheme="minorHAnsi" w:hAnsiTheme="minorHAnsi" w:cstheme="minorHAnsi"/>
          <w:u w:val="single"/>
        </w:rPr>
        <w:t>pardavimo sutartis tiek prieš priimant sprendimą nutraukti aptariamą partnerystę, tiek jį priėmus</w:t>
      </w:r>
      <w:r w:rsidRPr="00B943CA">
        <w:rPr>
          <w:rFonts w:asciiTheme="minorHAnsi" w:hAnsiTheme="minorHAnsi" w:cstheme="minorHAnsi"/>
        </w:rPr>
        <w:t xml:space="preserve"> (42 punktas).</w:t>
      </w:r>
    </w:p>
    <w:p w14:paraId="6ED6A581"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Nepaisant to, kad aptariamoje sutartyje </w:t>
      </w:r>
      <w:r w:rsidRPr="00B943CA">
        <w:rPr>
          <w:rFonts w:asciiTheme="minorHAnsi" w:hAnsiTheme="minorHAnsi" w:cstheme="minorHAnsi"/>
          <w:i/>
          <w:iCs/>
        </w:rPr>
        <w:t>XT</w:t>
      </w:r>
      <w:r w:rsidRPr="00B943CA">
        <w:rPr>
          <w:rFonts w:asciiTheme="minorHAnsi" w:hAnsiTheme="minorHAnsi" w:cstheme="minorHAnsi"/>
        </w:rPr>
        <w:t xml:space="preserve"> buvo nurodytas kaip asmuo, kuris santykiuose su trečiaisiais asmenimis veikė šios sutarties dviejų partnerių vardu, nacionalinio teismo pateiktame prašyme konstatuota, be kita ko, kiek tai susiję su nagrinėtais tiekimais, kad </w:t>
      </w:r>
      <w:r w:rsidRPr="00B943CA">
        <w:rPr>
          <w:rFonts w:asciiTheme="minorHAnsi" w:hAnsiTheme="minorHAnsi" w:cstheme="minorHAnsi"/>
          <w:i/>
          <w:iCs/>
          <w:u w:val="single"/>
        </w:rPr>
        <w:t>XT</w:t>
      </w:r>
      <w:r w:rsidRPr="00B943CA">
        <w:rPr>
          <w:rFonts w:asciiTheme="minorHAnsi" w:hAnsiTheme="minorHAnsi" w:cstheme="minorHAnsi"/>
          <w:u w:val="single"/>
        </w:rPr>
        <w:t xml:space="preserve"> </w:t>
      </w:r>
      <w:r w:rsidRPr="00B943CA">
        <w:rPr>
          <w:rFonts w:asciiTheme="minorHAnsi" w:hAnsiTheme="minorHAnsi" w:cstheme="minorHAnsi"/>
          <w:b/>
          <w:bCs/>
          <w:u w:val="single"/>
        </w:rPr>
        <w:t>vienas</w:t>
      </w:r>
      <w:r w:rsidRPr="00B943CA">
        <w:rPr>
          <w:rFonts w:asciiTheme="minorHAnsi" w:hAnsiTheme="minorHAnsi" w:cstheme="minorHAnsi"/>
          <w:u w:val="single"/>
        </w:rPr>
        <w:t xml:space="preserve"> dalyvavo šiuose santykiuose, </w:t>
      </w:r>
      <w:r w:rsidRPr="00B943CA">
        <w:rPr>
          <w:rFonts w:asciiTheme="minorHAnsi" w:hAnsiTheme="minorHAnsi" w:cstheme="minorHAnsi"/>
          <w:b/>
          <w:bCs/>
          <w:u w:val="single"/>
        </w:rPr>
        <w:t>neminėdamas</w:t>
      </w:r>
      <w:r w:rsidRPr="00B943CA">
        <w:rPr>
          <w:rFonts w:asciiTheme="minorHAnsi" w:hAnsiTheme="minorHAnsi" w:cstheme="minorHAnsi"/>
          <w:u w:val="single"/>
        </w:rPr>
        <w:t xml:space="preserve"> partnerio tapatybės ar aptariamos partnerystės, todėl, šio teismo nuomone, labai tikėtina, kad nagrinėjamų tiekimų gavėjai nežinojo apie partnerio egzistavimą</w:t>
      </w:r>
      <w:r w:rsidRPr="00B943CA">
        <w:rPr>
          <w:rFonts w:asciiTheme="minorHAnsi" w:hAnsiTheme="minorHAnsi" w:cstheme="minorHAnsi"/>
        </w:rPr>
        <w:t xml:space="preserve"> (43 punktas). Kaip pažymėjo Teisingumo Teismas, iš to matyti, kad </w:t>
      </w:r>
      <w:r w:rsidRPr="00B943CA">
        <w:rPr>
          <w:rFonts w:asciiTheme="minorHAnsi" w:hAnsiTheme="minorHAnsi" w:cstheme="minorHAnsi"/>
          <w:i/>
          <w:iCs/>
          <w:u w:val="single"/>
        </w:rPr>
        <w:t>XT</w:t>
      </w:r>
      <w:r w:rsidRPr="00B943CA">
        <w:rPr>
          <w:rFonts w:asciiTheme="minorHAnsi" w:hAnsiTheme="minorHAnsi" w:cstheme="minorHAnsi"/>
          <w:u w:val="single"/>
        </w:rPr>
        <w:t xml:space="preserve"> veikė savo vardu ir savo naudai, vienas prisiimdamas ekonominę riziką, susijusią su nagrinėjamais apmokestinamaisiais sandoriais</w:t>
      </w:r>
      <w:r w:rsidRPr="00B943CA">
        <w:rPr>
          <w:rFonts w:asciiTheme="minorHAnsi" w:hAnsiTheme="minorHAnsi" w:cstheme="minorHAnsi"/>
        </w:rPr>
        <w:t xml:space="preserve"> (44 punktas).</w:t>
      </w:r>
    </w:p>
    <w:p w14:paraId="3B984937"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xml:space="preserve">Atitinkamai ši Sąjungos teisminė institucija sprendė, kad </w:t>
      </w:r>
      <w:r w:rsidRPr="00B943CA">
        <w:rPr>
          <w:rFonts w:asciiTheme="minorHAnsi" w:hAnsiTheme="minorHAnsi" w:cstheme="minorHAnsi"/>
          <w:u w:val="single"/>
        </w:rPr>
        <w:t xml:space="preserve">tokiomis aplinkybėmis, kokios nagrinėtos pagrindinėje byloje, ekonominė veikla negali būti siejama su subjektu, sukurtu sudarius jungtinės veiklos sutartį, nes partneriai neveikė kartu santykiuose su trečiaisiais asmenimis ir asmuo, įgaliotas veikti visų partnerių vardu, nedalyvavo šiuose santykiuose pagal šioje sutartyje nustatytas atstovavimo taisykles, todėl šis subjektas negali būti laikomas įvykdžiusiu pagrindinėje byloje nagrinėtus apmokestinamuosius sandorius. Kadangi partneris pats neįvykdė jokio sandorio, iš visų šių aplinkybių matyti, kad šiuo atveju </w:t>
      </w:r>
      <w:r w:rsidRPr="00B943CA">
        <w:rPr>
          <w:rFonts w:asciiTheme="minorHAnsi" w:hAnsiTheme="minorHAnsi" w:cstheme="minorHAnsi"/>
          <w:b/>
          <w:bCs/>
          <w:u w:val="single"/>
        </w:rPr>
        <w:t xml:space="preserve">tik toks asmuo, kaip </w:t>
      </w:r>
      <w:r w:rsidRPr="00B943CA">
        <w:rPr>
          <w:rFonts w:asciiTheme="minorHAnsi" w:hAnsiTheme="minorHAnsi" w:cstheme="minorHAnsi"/>
          <w:b/>
          <w:bCs/>
          <w:i/>
          <w:iCs/>
          <w:u w:val="single"/>
        </w:rPr>
        <w:t>XT</w:t>
      </w:r>
      <w:r w:rsidRPr="00B943CA">
        <w:rPr>
          <w:rFonts w:asciiTheme="minorHAnsi" w:hAnsiTheme="minorHAnsi" w:cstheme="minorHAnsi"/>
          <w:u w:val="single"/>
        </w:rPr>
        <w:t>, turi būti laikomas veikusiu savarankiškai, taigi, veikusiu kaip apmokestinamasis asmuo</w:t>
      </w:r>
      <w:r w:rsidRPr="00B943CA">
        <w:rPr>
          <w:rFonts w:asciiTheme="minorHAnsi" w:hAnsiTheme="minorHAnsi" w:cstheme="minorHAnsi"/>
        </w:rPr>
        <w:t xml:space="preserve"> (45 punktas). Šios išvados nepaneigia nei aplinkybė, kad partneris reikšmingai finansavo žemės sklypo įsigijimą ir kad pasibaigus partnerystei buvo nuspręsta pasidalyti skolas ir sukurtą turtą, nei tai, kad partneriai kartu priėmė sprendimus dėl pagrindinėje byloje nagrinėtos ekonominės veiklos, kurią vykdant buvo atliekami nagrinėjami tiekimai, kaip antai žemės sklypo įsigijimas ir sprendimas plėtoti nekilnojamojo turto projektą naudojant iš pirmojo pastato pardavimo gautas sumas. Iš tiesų, atsižvelgiant į tai, kad santykiuose su trečiaisiais asmenimis veikė tik </w:t>
      </w:r>
      <w:r w:rsidRPr="00B943CA">
        <w:rPr>
          <w:rFonts w:asciiTheme="minorHAnsi" w:hAnsiTheme="minorHAnsi" w:cstheme="minorHAnsi"/>
          <w:i/>
          <w:iCs/>
        </w:rPr>
        <w:t>XT</w:t>
      </w:r>
      <w:r w:rsidRPr="00B943CA">
        <w:rPr>
          <w:rFonts w:asciiTheme="minorHAnsi" w:hAnsiTheme="minorHAnsi" w:cstheme="minorHAnsi"/>
        </w:rPr>
        <w:t xml:space="preserve">, nenurodydamas aptariamos partnerystės ar savo partnerio tapatybės, iš tų pačių sprendimų išplaukiantys veiksmai buvo įvykdyti ne partnerių ar partneriams, bet </w:t>
      </w:r>
      <w:r w:rsidRPr="00B943CA">
        <w:rPr>
          <w:rFonts w:asciiTheme="minorHAnsi" w:hAnsiTheme="minorHAnsi" w:cstheme="minorHAnsi"/>
          <w:i/>
          <w:iCs/>
        </w:rPr>
        <w:t>XT</w:t>
      </w:r>
      <w:r w:rsidRPr="00B943CA">
        <w:rPr>
          <w:rFonts w:asciiTheme="minorHAnsi" w:hAnsiTheme="minorHAnsi" w:cstheme="minorHAnsi"/>
        </w:rPr>
        <w:t xml:space="preserve">, savo paties naudai (46 punktas). Vadinasi, partnerio, šiuo atveju – </w:t>
      </w:r>
      <w:r w:rsidRPr="00B943CA">
        <w:rPr>
          <w:rFonts w:asciiTheme="minorHAnsi" w:hAnsiTheme="minorHAnsi" w:cstheme="minorHAnsi"/>
          <w:i/>
          <w:iCs/>
        </w:rPr>
        <w:t>XT</w:t>
      </w:r>
      <w:r w:rsidRPr="00B943CA">
        <w:rPr>
          <w:rFonts w:asciiTheme="minorHAnsi" w:hAnsiTheme="minorHAnsi" w:cstheme="minorHAnsi"/>
        </w:rPr>
        <w:t xml:space="preserve"> partnerio, dalyvavimas priimant sprendimus, kurie įvyko prieš tokio asmens, kaip XT, veiksmus, negali turėti įtakos šio asmens apmokestinamajam statusui (47 punktui).</w:t>
      </w:r>
    </w:p>
    <w:p w14:paraId="5C3D867D" w14:textId="77777777" w:rsidR="00C80B96" w:rsidRPr="00B943CA" w:rsidRDefault="00C80B96" w:rsidP="00C80B96">
      <w:pPr>
        <w:ind w:firstLine="540"/>
        <w:rPr>
          <w:rFonts w:asciiTheme="minorHAnsi" w:hAnsiTheme="minorHAnsi" w:cstheme="minorHAnsi"/>
          <w:b/>
          <w:bCs/>
        </w:rPr>
      </w:pPr>
    </w:p>
    <w:p w14:paraId="3F5D5C80" w14:textId="77777777" w:rsidR="00C80B96" w:rsidRPr="00B943CA" w:rsidRDefault="00C80B96" w:rsidP="00C80B96">
      <w:pPr>
        <w:ind w:firstLine="540"/>
        <w:rPr>
          <w:rFonts w:asciiTheme="minorHAnsi" w:hAnsiTheme="minorHAnsi" w:cstheme="minorHAnsi"/>
          <w:b/>
          <w:bCs/>
        </w:rPr>
      </w:pPr>
      <w:r w:rsidRPr="00B943CA">
        <w:rPr>
          <w:rFonts w:asciiTheme="minorHAnsi" w:hAnsiTheme="minorHAnsi" w:cstheme="minorHAnsi"/>
          <w:b/>
          <w:bCs/>
        </w:rPr>
        <w:t>Remdamasis šiais motyvais, Teisingumo Teismas (aštuntoji kolegija) nusprendė:</w:t>
      </w:r>
    </w:p>
    <w:p w14:paraId="7BB27456" w14:textId="77777777" w:rsidR="00C80B96" w:rsidRPr="00B943CA" w:rsidRDefault="00C80B96" w:rsidP="00C80B96">
      <w:pPr>
        <w:ind w:firstLine="540"/>
        <w:rPr>
          <w:rFonts w:asciiTheme="minorHAnsi" w:hAnsiTheme="minorHAnsi" w:cstheme="minorHAnsi"/>
        </w:rPr>
      </w:pPr>
    </w:p>
    <w:p w14:paraId="0825FF48"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PVM direktyvos 9 straipsnio 1 dalis ir 193 straipsnis turi būti aiškinami taip, kad fizinis asmuo, su kitu fiziniu asmeniu pasirašęs jungtinės veiklos sutartį, sudarančią teisinio subjektiškumo neturinčią partnerystę, kuriai būdinga tai, kad pirmasis asmuo turi teisę veikti visų partnerių vardu, tačiau jis vienas ir savo vardu dalyvauja santykiuose su trečiaisiais asmenimis, kai vykdo šios partnerystės ekonominę veiklą sudarančius veiksmus, turi būti laikomas „apmokestinamuoju asmeniu“, kaip tai suprantama pagal šios direktyvos 9 straipsnio 1 dalį, ir vieninteliu, privalančiu sumokėti mokėtiną pridėtinės vertės mokestį pagal šios direktyvos 193 straipsnį, nes jis veikia savo naudai arba kito asmens naudai kaip komisionierius, kaip tai suprantama pagal minėtos direktyvos 14 straipsnio 2 dalies c punktą ir 28 straipsnį.</w:t>
      </w:r>
    </w:p>
    <w:p w14:paraId="34BF2055" w14:textId="77777777" w:rsidR="00C80B96" w:rsidRPr="00B943CA" w:rsidRDefault="00F953EA" w:rsidP="00C80B96">
      <w:pPr>
        <w:ind w:firstLine="540"/>
        <w:rPr>
          <w:rFonts w:asciiTheme="minorHAnsi" w:hAnsiTheme="minorHAnsi" w:cstheme="minorHAnsi"/>
        </w:rPr>
      </w:pPr>
      <w:hyperlink r:id="rId16" w:history="1">
        <w:r w:rsidR="00C80B96" w:rsidRPr="00B943CA">
          <w:rPr>
            <w:rStyle w:val="Hipersaitas"/>
            <w:rFonts w:asciiTheme="minorHAnsi" w:hAnsiTheme="minorHAnsi" w:cstheme="minorHAnsi"/>
          </w:rPr>
          <w:t>Prieiga internete</w:t>
        </w:r>
      </w:hyperlink>
    </w:p>
    <w:p w14:paraId="2348390B" w14:textId="77777777" w:rsidR="00C80B96" w:rsidRPr="00B943CA" w:rsidRDefault="00C80B96" w:rsidP="00C80B96">
      <w:pPr>
        <w:ind w:firstLine="540"/>
        <w:rPr>
          <w:rFonts w:asciiTheme="minorHAnsi" w:hAnsiTheme="minorHAnsi" w:cstheme="minorHAnsi"/>
        </w:rPr>
      </w:pPr>
    </w:p>
    <w:p w14:paraId="24C11E82" w14:textId="77777777" w:rsidR="00C80B96" w:rsidRPr="00B943CA" w:rsidRDefault="00C80B96" w:rsidP="00C80B96">
      <w:pPr>
        <w:pStyle w:val="Antrat2"/>
        <w:rPr>
          <w:rFonts w:cstheme="minorHAnsi"/>
          <w:szCs w:val="22"/>
        </w:rPr>
      </w:pPr>
      <w:bookmarkStart w:id="52" w:name="_Toc66955378"/>
      <w:bookmarkStart w:id="53" w:name="_Toc67492445"/>
      <w:bookmarkStart w:id="54" w:name="_Toc71819703"/>
      <w:r w:rsidRPr="00B943CA">
        <w:rPr>
          <w:rFonts w:cstheme="minorHAnsi"/>
          <w:szCs w:val="22"/>
        </w:rPr>
        <w:t>2020 m. spalio 6 d. prejudicinis sprendimas sujungtose bylose C</w:t>
      </w:r>
      <w:r w:rsidRPr="00B943CA">
        <w:rPr>
          <w:rFonts w:ascii="Cambria Math" w:hAnsi="Cambria Math" w:cs="Cambria Math"/>
          <w:szCs w:val="22"/>
        </w:rPr>
        <w:t>‑</w:t>
      </w:r>
      <w:r w:rsidRPr="00B943CA">
        <w:rPr>
          <w:rFonts w:cstheme="minorHAnsi"/>
          <w:szCs w:val="22"/>
        </w:rPr>
        <w:t>245/19 ir C</w:t>
      </w:r>
      <w:r w:rsidRPr="00B943CA">
        <w:rPr>
          <w:rFonts w:ascii="Cambria Math" w:hAnsi="Cambria Math" w:cs="Cambria Math"/>
          <w:szCs w:val="22"/>
        </w:rPr>
        <w:t>‑</w:t>
      </w:r>
      <w:r w:rsidRPr="00B943CA">
        <w:rPr>
          <w:rFonts w:cstheme="minorHAnsi"/>
          <w:szCs w:val="22"/>
        </w:rPr>
        <w:t>246/19</w:t>
      </w:r>
      <w:bookmarkEnd w:id="52"/>
      <w:bookmarkEnd w:id="53"/>
      <w:bookmarkEnd w:id="54"/>
    </w:p>
    <w:p w14:paraId="1FBC2DF5" w14:textId="77777777" w:rsidR="00C80B96" w:rsidRPr="00B943CA" w:rsidRDefault="00C80B96" w:rsidP="00C80B96">
      <w:pPr>
        <w:jc w:val="center"/>
        <w:rPr>
          <w:rFonts w:asciiTheme="minorHAnsi" w:hAnsiTheme="minorHAnsi" w:cstheme="minorHAnsi"/>
          <w:b/>
          <w:bCs/>
          <w:i/>
          <w:iCs/>
        </w:rPr>
      </w:pPr>
      <w:r w:rsidRPr="00B943CA">
        <w:rPr>
          <w:rFonts w:asciiTheme="minorHAnsi" w:hAnsiTheme="minorHAnsi" w:cstheme="minorHAnsi"/>
          <w:b/>
          <w:bCs/>
          <w:i/>
          <w:iCs/>
        </w:rPr>
        <w:t>Liuksemburgo valstybė</w:t>
      </w:r>
      <w:r w:rsidRPr="00B943CA">
        <w:rPr>
          <w:rFonts w:asciiTheme="minorHAnsi" w:hAnsiTheme="minorHAnsi" w:cstheme="minorHAnsi"/>
          <w:b/>
          <w:bCs/>
        </w:rPr>
        <w:t xml:space="preserve"> prieš </w:t>
      </w:r>
      <w:r w:rsidRPr="00B943CA">
        <w:rPr>
          <w:rFonts w:asciiTheme="minorHAnsi" w:hAnsiTheme="minorHAnsi" w:cstheme="minorHAnsi"/>
          <w:b/>
          <w:bCs/>
          <w:i/>
          <w:iCs/>
        </w:rPr>
        <w:t>B</w:t>
      </w:r>
      <w:r w:rsidRPr="00B943CA">
        <w:rPr>
          <w:rFonts w:asciiTheme="minorHAnsi" w:hAnsiTheme="minorHAnsi" w:cstheme="minorHAnsi"/>
          <w:b/>
          <w:bCs/>
        </w:rPr>
        <w:t xml:space="preserve"> ir </w:t>
      </w:r>
      <w:r w:rsidRPr="00B943CA">
        <w:rPr>
          <w:rFonts w:asciiTheme="minorHAnsi" w:hAnsiTheme="minorHAnsi" w:cstheme="minorHAnsi"/>
          <w:b/>
          <w:bCs/>
          <w:i/>
          <w:iCs/>
        </w:rPr>
        <w:t xml:space="preserve">Liuksemburgo valstybė </w:t>
      </w:r>
      <w:r w:rsidRPr="00B943CA">
        <w:rPr>
          <w:rFonts w:asciiTheme="minorHAnsi" w:hAnsiTheme="minorHAnsi" w:cstheme="minorHAnsi"/>
          <w:b/>
          <w:bCs/>
        </w:rPr>
        <w:t xml:space="preserve">prieš </w:t>
      </w:r>
      <w:r w:rsidRPr="00B943CA">
        <w:rPr>
          <w:rFonts w:asciiTheme="minorHAnsi" w:hAnsiTheme="minorHAnsi" w:cstheme="minorHAnsi"/>
          <w:b/>
          <w:bCs/>
          <w:i/>
          <w:iCs/>
        </w:rPr>
        <w:t>B, C, D, F. C., dalyvaujant A</w:t>
      </w:r>
    </w:p>
    <w:p w14:paraId="113BC37C" w14:textId="77777777" w:rsidR="00C80B96" w:rsidRPr="00B943CA" w:rsidRDefault="00C80B96" w:rsidP="00C80B96">
      <w:pPr>
        <w:ind w:firstLine="540"/>
        <w:rPr>
          <w:rFonts w:asciiTheme="minorHAnsi" w:hAnsiTheme="minorHAnsi" w:cstheme="minorHAnsi"/>
        </w:rPr>
      </w:pPr>
    </w:p>
    <w:p w14:paraId="3553AB59" w14:textId="2A1488F8" w:rsidR="00C80B96" w:rsidRDefault="00C80B96" w:rsidP="00C80B96">
      <w:pPr>
        <w:ind w:firstLine="540"/>
        <w:rPr>
          <w:rFonts w:asciiTheme="minorHAnsi" w:hAnsiTheme="minorHAnsi" w:cstheme="minorHAnsi"/>
        </w:rPr>
      </w:pPr>
      <w:r w:rsidRPr="00B943CA">
        <w:rPr>
          <w:rFonts w:asciiTheme="minorHAnsi" w:hAnsiTheme="minorHAnsi" w:cstheme="minorHAnsi"/>
        </w:rPr>
        <w:t>Prašymai priimti prejudicinį sprendimą pateikti dėl Europos Sąjungos pagrindinių teisių chartijos (toliau – Chartija) 7, 8, 47 straipsnių ir 52 straipsnio 1 dalies ir 2011 m. vasario 15 d. Tarybos direktyvos 2011/16/ES dėl administracinio bendradarbiavimo apmokestinimo srityje ir panaikinančios Direktyvą 77/799/EEB, iš dalies pakeistos 2014 m. gruodžio 9 d. Tarybos direktyva 2014/107/ES (toliau – Direktyva 2011/16), nuostatų</w:t>
      </w:r>
      <w:r w:rsidRPr="00B943CA">
        <w:rPr>
          <w:rStyle w:val="Puslapioinaosnuoroda"/>
          <w:rFonts w:asciiTheme="minorHAnsi" w:hAnsiTheme="minorHAnsi" w:cstheme="minorHAnsi"/>
        </w:rPr>
        <w:footnoteReference w:id="2"/>
      </w:r>
      <w:r w:rsidRPr="00B943CA">
        <w:rPr>
          <w:rFonts w:asciiTheme="minorHAnsi" w:hAnsiTheme="minorHAnsi" w:cstheme="minorHAnsi"/>
        </w:rPr>
        <w:t xml:space="preserve"> išaiškinimo</w:t>
      </w:r>
      <w:r w:rsidR="00B943CA" w:rsidRPr="00B943CA">
        <w:rPr>
          <w:rFonts w:asciiTheme="minorHAnsi" w:hAnsiTheme="minorHAnsi" w:cstheme="minorHAnsi"/>
        </w:rPr>
        <w:t xml:space="preserve">  (1 punktas).</w:t>
      </w:r>
    </w:p>
    <w:p w14:paraId="5BFB6471" w14:textId="0C688FB5"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Atsakydamas į du Ispanijos mokesčių administratoriaus prašymus keistis informacija, pateiktus atliekant tyrimą dėl Ispanijoje reziduojančio fizinio asmens F. C., Liuksemburgo tiesioginių mokesčių administratoriaus direktorius bendrovei B ir A bankui išsiuntė sprendimus įpareigoti pateikti informaciją apie banko sąskaitas ir finansinį turtą, kurių savininkas ar gavėjas yra F. C., taip pat apie įvairius teisinius, bankinius, finansinius ar ekonominius sandorius, kuriuos galėjo atlikti F. C. arba jo sąskaita ar jo naudai veikiantys tretieji asmenys.</w:t>
      </w:r>
    </w:p>
    <w:p w14:paraId="50EE4595" w14:textId="225DBC57"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Pagal Liuksemburgo teisės aktus, susijusius su procedūra, taikoma keitimuisi informacija gavus prašymą apmokestinimo srityje, klostantis faktinėms aplinkybėms tokie sprendimai dėl įpareigojimo negalėjo būti skundžiami. Vis dėlto bendrovės B, C ir D bei F. C. pateikė skundus Tribunal administratif du Luxembourg (Liuksemburgo administracinis teismas), prašydami, pirma, juos pakeisti arba, nepatenkinus šio prašymo, panaikinti. Administracinis teismas pripažino turintis jurisdikciją nagrinėti šiuos skundus ir nusprendė, kad Liuksemburgo teisės aktai neatitinka Europos Sąjungos pagrindinių teisių chartijos (toliau – Chartija) 47 straipsnio, kuriame įtvirtinta kiekvieno asmens, kurio teisės ir laisvės, garantuojamos Sąjungos teisės, yra pažeistos, teisė į veiksmingą teisinę gynybą, todėl šių teisės aktų nereikėjo taikyti. Dėl esmės minėtas teismas iš dalies panaikino sprendimus dėl įpareigojimo, manydamas, kad tam tikra prašoma informacija nebuvo numatomai reikalinga.</w:t>
      </w:r>
    </w:p>
    <w:p w14:paraId="5FF03E5E" w14:textId="7345A89D"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Liuksemburgo valstybė apskundė šiuos sprendimus Cour administrative (Vyriausiasis administracinis teismas, Liuksemburgas), šis nusprendė kreiptis į Teisingumo Teismą, be kita ko, dėl Chartijos 47 straipsnio išaiškinimo. Prašymą priimti prejudicinį sprendimą pateikęs teismas siek</w:t>
      </w:r>
      <w:r>
        <w:rPr>
          <w:rFonts w:asciiTheme="minorHAnsi" w:hAnsiTheme="minorHAnsi" w:cstheme="minorHAnsi"/>
        </w:rPr>
        <w:t>ė</w:t>
      </w:r>
      <w:r w:rsidRPr="00E10062">
        <w:rPr>
          <w:rFonts w:asciiTheme="minorHAnsi" w:hAnsiTheme="minorHAnsi" w:cstheme="minorHAnsi"/>
        </w:rPr>
        <w:t xml:space="preserve"> išsiaiškinti, ar pagal šį straipsnį draudžiami nacionalinės teisės aktai, pagal kuriuos informacijos turintis asmuo (kaip antai bendrovė B), mokesčių mokėtojas, dėl kurio atliekamas mokestinis tyrimas (kaip antai F. C.), ir su šia informacija susiję tretieji asmenys (pavyzdžiui, bendrovės C ir D) neturi galimybės tiesiogiai apskųsti sprendimo dėl įpareigojimo. Be to, prašymą priimti prejudicinį sprendimą pateikusiam teismui </w:t>
      </w:r>
      <w:r>
        <w:rPr>
          <w:rFonts w:asciiTheme="minorHAnsi" w:hAnsiTheme="minorHAnsi" w:cstheme="minorHAnsi"/>
        </w:rPr>
        <w:t>kilo</w:t>
      </w:r>
      <w:r w:rsidRPr="00E10062">
        <w:rPr>
          <w:rFonts w:asciiTheme="minorHAnsi" w:hAnsiTheme="minorHAnsi" w:cstheme="minorHAnsi"/>
        </w:rPr>
        <w:t xml:space="preserve"> klausimas dėl pagal Direktyvą 2011/16(1) valstybėms narėms suteiktos galimybės keistis informacija, su sąlyga, kad ji yra „numatomai reikalinga“ administratoriui ir nacionalinės mokesčių teisės aktų taikymui, apimties.</w:t>
      </w:r>
    </w:p>
    <w:p w14:paraId="30BF6FA9" w14:textId="77777777" w:rsidR="00E10062" w:rsidRPr="00B943CA" w:rsidRDefault="00E10062" w:rsidP="00E10062">
      <w:pPr>
        <w:ind w:firstLine="540"/>
        <w:rPr>
          <w:rFonts w:asciiTheme="minorHAnsi" w:hAnsiTheme="minorHAnsi" w:cstheme="minorHAnsi"/>
        </w:rPr>
      </w:pPr>
    </w:p>
    <w:p w14:paraId="784FAD18" w14:textId="3B05FFA1" w:rsidR="00C47F2E" w:rsidRDefault="00C47F2E" w:rsidP="00E10062">
      <w:pPr>
        <w:pStyle w:val="Antrat3"/>
        <w:ind w:firstLine="567"/>
      </w:pPr>
      <w:bookmarkStart w:id="55" w:name="_Toc71819704"/>
      <w:bookmarkStart w:id="56" w:name="_Toc66955379"/>
      <w:bookmarkStart w:id="57" w:name="_Toc67492446"/>
      <w:r w:rsidRPr="00C47F2E">
        <w:t>Dėl į</w:t>
      </w:r>
      <w:r w:rsidRPr="009F3C79">
        <w:t>pareigojim</w:t>
      </w:r>
      <w:r w:rsidRPr="00C47F2E">
        <w:t>o</w:t>
      </w:r>
      <w:r w:rsidRPr="009F3C79">
        <w:t xml:space="preserve"> pateikti informaciją valstybės narės kompetentingai institucijai, kuri veikia gavusi kitos valstybės narės kompetentingos institucijos prašymą keistis informacija</w:t>
      </w:r>
      <w:bookmarkEnd w:id="55"/>
    </w:p>
    <w:p w14:paraId="3B2B742C" w14:textId="09F0DCB4" w:rsidR="00E10062" w:rsidRPr="00B943CA" w:rsidRDefault="00E10062" w:rsidP="00E10062">
      <w:pPr>
        <w:pStyle w:val="Antrat3"/>
        <w:ind w:firstLine="567"/>
        <w:rPr>
          <w:b w:val="0"/>
          <w:bCs w:val="0"/>
        </w:rPr>
      </w:pPr>
      <w:bookmarkStart w:id="58" w:name="_Toc71819705"/>
      <w:r w:rsidRPr="00B943CA">
        <w:t>Dėl informaciją turinčio asmens, kur</w:t>
      </w:r>
      <w:r w:rsidR="00C47F2E">
        <w:t xml:space="preserve">is </w:t>
      </w:r>
      <w:r w:rsidRPr="00B943CA">
        <w:t>įpareigot</w:t>
      </w:r>
      <w:r w:rsidR="00C47F2E">
        <w:t>as</w:t>
      </w:r>
      <w:r w:rsidRPr="00B943CA">
        <w:t xml:space="preserve"> ją pateikti, teisės į veiksmingą gynybą, kai už šio įpareigojimo nevykdymą yra numatyta sankcija</w:t>
      </w:r>
      <w:bookmarkEnd w:id="56"/>
      <w:bookmarkEnd w:id="57"/>
      <w:bookmarkEnd w:id="58"/>
    </w:p>
    <w:p w14:paraId="0E4CBB70" w14:textId="77777777" w:rsidR="00E10062" w:rsidRPr="00E10062" w:rsidRDefault="00E10062" w:rsidP="00E10062">
      <w:pPr>
        <w:ind w:firstLine="540"/>
        <w:rPr>
          <w:rFonts w:asciiTheme="minorHAnsi" w:hAnsiTheme="minorHAnsi" w:cstheme="minorHAnsi"/>
        </w:rPr>
      </w:pPr>
    </w:p>
    <w:p w14:paraId="5315B4D2" w14:textId="19B1C513" w:rsidR="00E10062" w:rsidRPr="00E10062" w:rsidRDefault="00E10062" w:rsidP="00E10062">
      <w:pPr>
        <w:ind w:firstLine="540"/>
        <w:rPr>
          <w:rFonts w:asciiTheme="minorHAnsi" w:hAnsiTheme="minorHAnsi" w:cstheme="minorHAnsi"/>
        </w:rPr>
      </w:pPr>
      <w:r>
        <w:rPr>
          <w:rFonts w:asciiTheme="minorHAnsi" w:hAnsiTheme="minorHAnsi" w:cstheme="minorHAnsi"/>
        </w:rPr>
        <w:t xml:space="preserve">Šiomis aplinkybėmis </w:t>
      </w:r>
      <w:r w:rsidRPr="00E10062">
        <w:rPr>
          <w:rFonts w:asciiTheme="minorHAnsi" w:hAnsiTheme="minorHAnsi" w:cstheme="minorHAnsi"/>
        </w:rPr>
        <w:t>Teisingumo Teismas (didžioji kolegija) nusprendė, pirma, kad pagal Chartijos 47 straipsnį, siejamą su jos 7 ir 8 straipsniais (kuriuose atitinkamai įtvirtinta teisė į privataus gyvenimo gerbimą ir teisė į asmens duomenų apsaugą) ir 52 straipsnio 1 dalimi (pagal kurią tam tikromis sąlygomis leidžiama riboti naudojimąsi tam tikromis pagrindinėmis teisėmis):</w:t>
      </w:r>
    </w:p>
    <w:p w14:paraId="02C6C438" w14:textId="77777777"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      draudžiama, kad valstybės narės teisės aktuose, įgyvendinančiuose Direktyvoje 2011/16 įtvirtintą keitimosi informacija procedūrą gavus prašymą, atmetama galimybė, jog sprendimas, kuriuo šios valstybės narės kompetentinga institucija įpareigoja informaciją turintį asmenį pateikti jai šią informaciją, kad būtų patenkintas kitos valstybės narės kompetentingos institucijos prašymas keistis informacija, būtų apskųstas tokio asmens, tačiau</w:t>
      </w:r>
    </w:p>
    <w:p w14:paraId="1E624959" w14:textId="77777777" w:rsidR="00E10062" w:rsidRPr="00E10062" w:rsidRDefault="00E10062" w:rsidP="00E10062">
      <w:pPr>
        <w:ind w:firstLine="540"/>
        <w:rPr>
          <w:rFonts w:asciiTheme="minorHAnsi" w:hAnsiTheme="minorHAnsi" w:cstheme="minorHAnsi"/>
        </w:rPr>
      </w:pPr>
    </w:p>
    <w:p w14:paraId="37968F5E" w14:textId="53E23B33"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      nedraudžiama, kad remiantis šiais teisės aktais mokesčių mokėtojas, dėl kurio toje kitoje valstybėje narėje atliekamas tyrimas pateikus minėtą prašymą, ir tretieji asmenys, susiję su nagrinėjama informacija, negali apskųsti tokio sprendimo.</w:t>
      </w:r>
    </w:p>
    <w:p w14:paraId="720AEC66" w14:textId="2905F071"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Konstatavęs, kad Chartija taikytina, kai pagrindinėje byloje nagrinėjamais nacionalinės teisės aktais įgyvendinama Sąjungos teisė, Teisingumo Teismas pažymėjo, pirma, kiek tai susiję su teise į veiksmingą teisinę gynybą, kad fizinių ir juridinių asmenų apsauga nuo savavališko ar neproporcingo viešosios valdžios institucijų kišimosi į jų privačios veiklos sritį yra bendrasis Sąjungos teisės principas ir ja gali remtis juridinis asmuo, kuriam skirtas sprendimas įpareigoti pateikti informaciją mokesčių administratoriui, siekdamas ginčyti šį sprendimą.</w:t>
      </w:r>
    </w:p>
    <w:p w14:paraId="525690F0" w14:textId="63E5DB84"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Atsižvelgdamas į tai, Teisingumo Teismas priminė, kad, nesant šią sritį reguliuojančių Sąjungos teisės aktų, naudojimasis teise į veiksmingą teisinę gynybą gali būti ribojamas nacionalinės teisės aktų, jeigu laikomasi Chartijos 52 straipsnio 1 dalyje nustatytų sąlygų. Pagal šią nuostatą, be kita ko, reikalaujama paisyti Chartija užtikrinamų teisių ir laisvių esmės.</w:t>
      </w:r>
    </w:p>
    <w:p w14:paraId="5E032572" w14:textId="6E6C5CC1" w:rsidR="00E10062" w:rsidRDefault="00E10062" w:rsidP="00E10062">
      <w:pPr>
        <w:ind w:firstLine="540"/>
        <w:rPr>
          <w:rFonts w:asciiTheme="minorHAnsi" w:hAnsiTheme="minorHAnsi" w:cstheme="minorHAnsi"/>
        </w:rPr>
      </w:pPr>
      <w:r w:rsidRPr="00E10062">
        <w:rPr>
          <w:rFonts w:asciiTheme="minorHAnsi" w:hAnsiTheme="minorHAnsi" w:cstheme="minorHAnsi"/>
        </w:rPr>
        <w:t xml:space="preserve">Šiuo klausimu Teisingumo Teismas patikslino, kad Chartijos 47 straipsnyje įtvirtintos teisės į veiksmingą teisinę gynybą esmė, be kita ko, apima šios teisės turėtojo galimybę kreiptis į teismą, turintį jurisdikciją užtikrinti Sąjungos teisės garantuojamų teisių ir laisvių paisymą ir šiuo tikslu nagrinėti visus teisės ir fakto klausimus, svarbius jo nagrinėjamam ginčui išspręsti. Be to, </w:t>
      </w:r>
      <w:r w:rsidRPr="00E10062">
        <w:rPr>
          <w:rFonts w:asciiTheme="minorHAnsi" w:hAnsiTheme="minorHAnsi" w:cstheme="minorHAnsi"/>
          <w:u w:val="single"/>
        </w:rPr>
        <w:t>tam, kad galėtų kreiptis į tokį teismą, šis asmuo negali būti priverstas pažeisti teisės normos ar pareigos ir jam neturi būti skirta sankcija už šį pažeidimą</w:t>
      </w:r>
      <w:r w:rsidRPr="00E10062">
        <w:rPr>
          <w:rFonts w:asciiTheme="minorHAnsi" w:hAnsiTheme="minorHAnsi" w:cstheme="minorHAnsi"/>
        </w:rPr>
        <w:t>. Teisingumo Teismas konstatavo, kad pagal šiuo atveju taikytinus nacionalinės teisės aktus tik tuo atveju, kai sprendimo dėl įpareigojimo adresatas nesilaiko šio sprendimo ir vėliau jam dėl šios priežasties skiriama sankcija, jis turi galimybę netiesiogiai ginčyti minėtą sprendimą, pateikdamas skundą dėl tokios sankcijos. Vadinasi, tokiais nacionalinės teisės aktais nesilaikoma kartu siejamų Chartijos 47 straipsnio ir 52 straipsnio 1 dalies.</w:t>
      </w:r>
    </w:p>
    <w:p w14:paraId="4E2F5A1D" w14:textId="77777777" w:rsidR="00E10062" w:rsidRPr="00E10062" w:rsidRDefault="00E10062" w:rsidP="00E10062">
      <w:pPr>
        <w:ind w:firstLine="540"/>
        <w:rPr>
          <w:rFonts w:asciiTheme="minorHAnsi" w:hAnsiTheme="minorHAnsi" w:cstheme="minorHAnsi"/>
        </w:rPr>
      </w:pPr>
    </w:p>
    <w:p w14:paraId="7E6E7430" w14:textId="77777777" w:rsidR="00E10062" w:rsidRPr="00B943CA" w:rsidRDefault="00E10062" w:rsidP="00E10062">
      <w:pPr>
        <w:pStyle w:val="Antrat3"/>
        <w:ind w:firstLine="567"/>
        <w:rPr>
          <w:b w:val="0"/>
          <w:bCs w:val="0"/>
        </w:rPr>
      </w:pPr>
      <w:bookmarkStart w:id="59" w:name="_Toc71819706"/>
      <w:r w:rsidRPr="00B943CA">
        <w:t>Dėl su tyrimu, dėl kurio buvo priimtas sprendimas įpareigoti trečiuosius asmenis pateikti informaciją, susijusio mokesčių mokėtojo teisės į veiksmingą teisinę gynybą</w:t>
      </w:r>
      <w:bookmarkEnd w:id="59"/>
    </w:p>
    <w:p w14:paraId="39C07396" w14:textId="77777777" w:rsidR="00E10062" w:rsidRPr="00E10062" w:rsidRDefault="00E10062" w:rsidP="00E10062">
      <w:pPr>
        <w:ind w:firstLine="540"/>
        <w:rPr>
          <w:rFonts w:asciiTheme="minorHAnsi" w:hAnsiTheme="minorHAnsi" w:cstheme="minorHAnsi"/>
        </w:rPr>
      </w:pPr>
    </w:p>
    <w:p w14:paraId="6D65D4B3" w14:textId="09A0EA13"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Antra, dėl mokesčių mokėtojo, dėl kurio buvo priimtas sprendimas dėl įpareigojimo, teisės į veiksmingą teisinę gynybą Teisingumo Teismas konstatavo, kad toks mokesčių mokėtojas kaip fizinis asmuo turi Chartijos 7 straipsnyje įtvirtintą teisę į privataus gyvenimo gerbimą ir jos 8 straipsnyje įtvirtintą teisę į veiksmingą teisinę gynybą ir kad pateikus su juo susijusią informaciją valdžios institucijai gali būti pažeistos šios teisės, o tai pateisina tai, kad suinteresuotasis asmuo galėtų pasinaudoti teise į veiksmingą teisinę gynybą.</w:t>
      </w:r>
    </w:p>
    <w:p w14:paraId="1BD6181E" w14:textId="7D407EB7"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 xml:space="preserve">Vis dėlto Teisingumo Teismas pridūrė, kad reikalavimas paisyti šios teisės esmės nereiškia, kad mokesčių mokėtojas turi galimybę pasinaudoti tiesiogine teisių gynimo priemone, kuria visų pirma siekiama užginčyti konkrečią priemonę, jeigu skirtinguose kompetentinguose nacionaliniuose teismuose yra viena ar kelios teisių gynimo priemonės, leidžiančios jam netiesiogiai užsitikrinti veiksmingą šios priemonės teisminę kontrolę, ir šiuo tikslu jam nereikia prisiimti sankcijos skyrimo rizikos. </w:t>
      </w:r>
      <w:r w:rsidRPr="00E10062">
        <w:rPr>
          <w:rFonts w:asciiTheme="minorHAnsi" w:hAnsiTheme="minorHAnsi" w:cstheme="minorHAnsi"/>
          <w:u w:val="single"/>
        </w:rPr>
        <w:t>Nesant tiesioginės teisių gynimo priemonės dėl sprendimo dėl įpareigojimo, šis mokesčių mokėtojas turi turėti teisę apskųsti pasibaigus tyrimui priimtą sprendimą dėl patikslinimo ar mokesčių dydžio perskaičiavimo ir šiomis aplinkybėmis galimybę netiesiogiai ginčyti pirmąjį iš šių sprendimų</w:t>
      </w:r>
      <w:r w:rsidRPr="00E10062">
        <w:rPr>
          <w:rFonts w:asciiTheme="minorHAnsi" w:hAnsiTheme="minorHAnsi" w:cstheme="minorHAnsi"/>
        </w:rPr>
        <w:t xml:space="preserve">, </w:t>
      </w:r>
      <w:r w:rsidRPr="00E10062">
        <w:rPr>
          <w:rFonts w:asciiTheme="minorHAnsi" w:hAnsiTheme="minorHAnsi" w:cstheme="minorHAnsi"/>
          <w:u w:val="single"/>
        </w:rPr>
        <w:t>taip pat jo pagrindu surinktų įrodymų gavimo ir panaudojimo sąlygas.</w:t>
      </w:r>
      <w:r w:rsidRPr="00E10062">
        <w:rPr>
          <w:rFonts w:asciiTheme="minorHAnsi" w:hAnsiTheme="minorHAnsi" w:cstheme="minorHAnsi"/>
        </w:rPr>
        <w:t xml:space="preserve"> Todėl Teisingumo Teismas nusprendė, kad teisės aktai, pagal kuriuos tokiam mokesčių mokėtojui neleidžiama tiesiogiai apskųsti sprendimo dėl įpareigojimo, nepažeidžia teisės į veiksmingą teisinę gynybą esmės.</w:t>
      </w:r>
    </w:p>
    <w:p w14:paraId="7F67FADB" w14:textId="77777777"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Be to, Teisingumo Teismas pažymėjo, kad tokie teisės aktai atitinka Sąjungos pripažintą bendrojo intereso pagrindą kovoti su tarptautiniu sukčiavimu mokesčių srityje ir mokesčių slėpimu, stiprinant šioje srityje kompetentingų nacionalinių institucijų bendradarbiavimą, ir kad jais paisoma proporcingumo principo.</w:t>
      </w:r>
    </w:p>
    <w:p w14:paraId="4A541969" w14:textId="77777777" w:rsidR="00E10062" w:rsidRPr="00E10062" w:rsidRDefault="00E10062" w:rsidP="00E10062"/>
    <w:p w14:paraId="734F05ED" w14:textId="7A3D9574" w:rsidR="00E10062" w:rsidRPr="00B943CA" w:rsidRDefault="00E10062" w:rsidP="00E10062">
      <w:pPr>
        <w:pStyle w:val="Antrat3"/>
        <w:ind w:firstLine="567"/>
        <w:rPr>
          <w:b w:val="0"/>
          <w:bCs w:val="0"/>
        </w:rPr>
      </w:pPr>
      <w:bookmarkStart w:id="60" w:name="_Toc71819707"/>
      <w:r w:rsidRPr="00B943CA">
        <w:t>Dėl kitų nei mokesčių mokėtojas asmenų, minimų sprendime įpareigoti trečiuosius asmenis pateikti informaciją ar šioje informacijoje</w:t>
      </w:r>
      <w:r w:rsidR="00C47F2E">
        <w:t>,</w:t>
      </w:r>
      <w:r w:rsidRPr="00B943CA">
        <w:t xml:space="preserve"> teisės ginčyti tokį sprendimą</w:t>
      </w:r>
      <w:bookmarkEnd w:id="60"/>
    </w:p>
    <w:p w14:paraId="6E8480F5" w14:textId="77777777" w:rsidR="00E10062" w:rsidRPr="00E10062" w:rsidRDefault="00E10062" w:rsidP="00E10062">
      <w:pPr>
        <w:ind w:firstLine="540"/>
        <w:rPr>
          <w:rFonts w:asciiTheme="minorHAnsi" w:hAnsiTheme="minorHAnsi" w:cstheme="minorHAnsi"/>
        </w:rPr>
      </w:pPr>
    </w:p>
    <w:p w14:paraId="18977259" w14:textId="77777777" w:rsidR="00E10062" w:rsidRPr="00E10062" w:rsidRDefault="00E10062" w:rsidP="00E10062">
      <w:pPr>
        <w:ind w:firstLine="540"/>
        <w:rPr>
          <w:rFonts w:asciiTheme="minorHAnsi" w:hAnsiTheme="minorHAnsi" w:cstheme="minorHAnsi"/>
        </w:rPr>
      </w:pPr>
      <w:r w:rsidRPr="00E10062">
        <w:rPr>
          <w:rFonts w:asciiTheme="minorHAnsi" w:hAnsiTheme="minorHAnsi" w:cstheme="minorHAnsi"/>
        </w:rPr>
        <w:t xml:space="preserve">Trečia, dėl trečiųjų asmenų, su kuriais susijusi nagrinėjama informacija, padėties Teisingumo Teismas analogiškai nusprendė, kad šių trečiųjų asmenų teisės į veiksmingą teisinę gynybą įgyvendinimas, kai yra priimtas sprendimas dėl įpareigojimo, kuris galėtų pažeisti jų teisę į apsaugą nuo savavališko ar </w:t>
      </w:r>
      <w:r w:rsidRPr="00E10062">
        <w:rPr>
          <w:rFonts w:asciiTheme="minorHAnsi" w:hAnsiTheme="minorHAnsi" w:cstheme="minorHAnsi"/>
        </w:rPr>
        <w:lastRenderedPageBreak/>
        <w:t>neproporcingo viešosios valdžios kišimosi į jų privačios veiklos sritį, gali būti ribojamas nacionalinės teisės aktų, pagal kuriuos neleidžiama tiesiogiai apskųsti tokio sprendimo, jeigu šie tretieji asmenys, be kita ko, turi veiksmingų jų teisių gynimo priemonių, kaip antai galimybę pareikšti ieškinį dėl atsakomybės.</w:t>
      </w:r>
    </w:p>
    <w:p w14:paraId="2A28D08F" w14:textId="77777777" w:rsidR="00C80B96" w:rsidRPr="00B943CA" w:rsidRDefault="00C80B96" w:rsidP="00C80B96">
      <w:pPr>
        <w:ind w:firstLine="540"/>
        <w:rPr>
          <w:rFonts w:asciiTheme="minorHAnsi" w:hAnsiTheme="minorHAnsi" w:cstheme="minorHAnsi"/>
        </w:rPr>
      </w:pPr>
    </w:p>
    <w:p w14:paraId="7AD5BC23" w14:textId="77777777" w:rsidR="00C80B96" w:rsidRPr="00B943CA" w:rsidRDefault="00C80B96" w:rsidP="00C80B96">
      <w:pPr>
        <w:ind w:firstLine="540"/>
        <w:rPr>
          <w:rFonts w:asciiTheme="minorHAnsi" w:hAnsiTheme="minorHAnsi" w:cstheme="minorHAnsi"/>
          <w:b/>
          <w:bCs/>
        </w:rPr>
      </w:pPr>
      <w:r w:rsidRPr="00B943CA">
        <w:rPr>
          <w:rFonts w:asciiTheme="minorHAnsi" w:hAnsiTheme="minorHAnsi" w:cstheme="minorHAnsi"/>
          <w:b/>
          <w:bCs/>
        </w:rPr>
        <w:t>Remdamasis šiais motyvais, Teisingumo Teismas (didžioji kolegija) nusprendė:</w:t>
      </w:r>
    </w:p>
    <w:p w14:paraId="749F81C6" w14:textId="77777777" w:rsidR="00C80B96" w:rsidRPr="00B943CA" w:rsidRDefault="00C80B96" w:rsidP="00C80B96">
      <w:pPr>
        <w:ind w:firstLine="540"/>
        <w:rPr>
          <w:rFonts w:asciiTheme="minorHAnsi" w:hAnsiTheme="minorHAnsi" w:cstheme="minorHAnsi"/>
        </w:rPr>
      </w:pPr>
    </w:p>
    <w:p w14:paraId="26427AE6"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Chartijos 47 straipsnis, siejamas su jos 7, 8 straipsniais ir 52 straipsnio 1 dalimi, turi būti aiškinamas taip:</w:t>
      </w:r>
    </w:p>
    <w:p w14:paraId="5F7187AB"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pagal jį draudžiama, kad valstybės narės teisės aktuose, įgyvendinančiuose Direktyvoje 2011/16 atmetama galimybė, jog sprendimas, kuriuo šios valstybės narės kompetentinga institucija įpareigoja informaciją turintį asmenį ją pateikti, kad būtų patenkintas kitos valstybės narės kompetentingos institucijos prašymas keistis informacija, būtų apskųstas tokio asmens,</w:t>
      </w:r>
    </w:p>
    <w:p w14:paraId="216E9B37"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 pagal jį nedraudžiama, kad remiantis šiais teisės aktais mokesčių mokėtojas, dėl kurio toje kitoje valstybėje narėje atliekamas tyrimas, dėl kurio pateiktas minėtas prašymas, ir tretieji asmenys, susiję su nagrinėjama informacija, negalėtų apskųsti tokio sprendimo.</w:t>
      </w:r>
    </w:p>
    <w:p w14:paraId="2B455CA1" w14:textId="77777777" w:rsidR="00C80B96" w:rsidRPr="00B943CA" w:rsidRDefault="00C80B96" w:rsidP="00C80B96">
      <w:pPr>
        <w:ind w:firstLine="540"/>
        <w:rPr>
          <w:rFonts w:asciiTheme="minorHAnsi" w:hAnsiTheme="minorHAnsi" w:cstheme="minorHAnsi"/>
        </w:rPr>
      </w:pPr>
      <w:r w:rsidRPr="00B943CA">
        <w:rPr>
          <w:rFonts w:asciiTheme="minorHAnsi" w:hAnsiTheme="minorHAnsi" w:cstheme="minorHAnsi"/>
        </w:rPr>
        <w:t>&lt;...&gt;</w:t>
      </w:r>
    </w:p>
    <w:p w14:paraId="6C646B27" w14:textId="330D76F5" w:rsidR="005C7DAF" w:rsidRDefault="00F953EA" w:rsidP="00163B3F">
      <w:pPr>
        <w:ind w:firstLine="540"/>
        <w:rPr>
          <w:rStyle w:val="Hipersaitas"/>
          <w:rFonts w:asciiTheme="minorHAnsi" w:hAnsiTheme="minorHAnsi" w:cstheme="minorHAnsi"/>
        </w:rPr>
      </w:pPr>
      <w:hyperlink r:id="rId17" w:history="1">
        <w:r w:rsidR="00C80B96" w:rsidRPr="00B943CA">
          <w:rPr>
            <w:rStyle w:val="Hipersaitas"/>
            <w:rFonts w:asciiTheme="minorHAnsi" w:hAnsiTheme="minorHAnsi" w:cstheme="minorHAnsi"/>
          </w:rPr>
          <w:t>Prieiga internete</w:t>
        </w:r>
      </w:hyperlink>
      <w:bookmarkEnd w:id="3"/>
    </w:p>
    <w:p w14:paraId="458901F3" w14:textId="361C1059" w:rsidR="00E10062" w:rsidRPr="00B943CA" w:rsidRDefault="00E10062" w:rsidP="00163B3F">
      <w:pPr>
        <w:ind w:firstLine="540"/>
        <w:rPr>
          <w:rFonts w:asciiTheme="minorHAnsi" w:hAnsiTheme="minorHAnsi" w:cstheme="minorHAnsi"/>
          <w:color w:val="000000"/>
        </w:rPr>
      </w:pPr>
      <w:r>
        <w:rPr>
          <w:rStyle w:val="Hipersaitas"/>
          <w:rFonts w:asciiTheme="minorHAnsi" w:hAnsiTheme="minorHAnsi" w:cstheme="minorHAnsi"/>
        </w:rPr>
        <w:t>Prieiga internete (</w:t>
      </w:r>
      <w:hyperlink r:id="rId18" w:history="1">
        <w:r w:rsidRPr="00E10062">
          <w:rPr>
            <w:rStyle w:val="Hipersaitas"/>
            <w:rFonts w:asciiTheme="minorHAnsi" w:hAnsiTheme="minorHAnsi" w:cstheme="minorHAnsi"/>
          </w:rPr>
          <w:t>santrauka</w:t>
        </w:r>
      </w:hyperlink>
      <w:r>
        <w:rPr>
          <w:rStyle w:val="Hipersaitas"/>
          <w:rFonts w:asciiTheme="minorHAnsi" w:hAnsiTheme="minorHAnsi" w:cstheme="minorHAnsi"/>
        </w:rPr>
        <w:t>)</w:t>
      </w:r>
    </w:p>
    <w:p w14:paraId="4E95C195" w14:textId="77777777" w:rsidR="00672231" w:rsidRPr="00B943CA" w:rsidRDefault="00672231" w:rsidP="00932B66">
      <w:pPr>
        <w:ind w:firstLine="540"/>
        <w:rPr>
          <w:rFonts w:asciiTheme="minorHAnsi" w:hAnsiTheme="minorHAnsi" w:cstheme="minorHAnsi"/>
          <w:color w:val="000000"/>
        </w:rPr>
      </w:pPr>
    </w:p>
    <w:p w14:paraId="44E79262" w14:textId="77777777" w:rsidR="00C80B96" w:rsidRPr="00B943CA" w:rsidRDefault="00C80B96" w:rsidP="00D669E0">
      <w:pPr>
        <w:pStyle w:val="Antrat1"/>
      </w:pPr>
      <w:bookmarkStart w:id="61" w:name="_Toc67492449"/>
      <w:bookmarkStart w:id="62" w:name="_Toc71819708"/>
      <w:bookmarkEnd w:id="4"/>
      <w:bookmarkEnd w:id="5"/>
      <w:bookmarkEnd w:id="6"/>
      <w:bookmarkEnd w:id="7"/>
      <w:r w:rsidRPr="00D669E0">
        <w:t>STRUKTŪRINIAI</w:t>
      </w:r>
      <w:r w:rsidRPr="00B943CA">
        <w:t xml:space="preserve"> FONDAI</w:t>
      </w:r>
      <w:bookmarkEnd w:id="61"/>
      <w:bookmarkEnd w:id="62"/>
    </w:p>
    <w:p w14:paraId="02E79B9D" w14:textId="77777777" w:rsidR="00C80B96" w:rsidRPr="00E10062" w:rsidRDefault="00C80B96" w:rsidP="00E10062"/>
    <w:p w14:paraId="0A4979A1" w14:textId="77777777" w:rsidR="00C80B96" w:rsidRPr="00B943CA" w:rsidRDefault="00C80B96" w:rsidP="00E10062">
      <w:pPr>
        <w:pStyle w:val="Antrat2"/>
      </w:pPr>
      <w:bookmarkStart w:id="63" w:name="_Toc67492450"/>
      <w:bookmarkStart w:id="64" w:name="_Toc71819709"/>
      <w:r w:rsidRPr="00B943CA">
        <w:t>2020 m. spalio 1 d. prejudicinis sprendimas byloje C</w:t>
      </w:r>
      <w:r w:rsidRPr="00B943CA">
        <w:noBreakHyphen/>
        <w:t>743/18</w:t>
      </w:r>
      <w:bookmarkEnd w:id="63"/>
      <w:bookmarkEnd w:id="64"/>
      <w:r w:rsidRPr="00B943CA">
        <w:t xml:space="preserve"> </w:t>
      </w:r>
    </w:p>
    <w:p w14:paraId="3FCBD3AE" w14:textId="77777777" w:rsidR="00C80B96" w:rsidRPr="00B943CA" w:rsidRDefault="00C80B96" w:rsidP="00E10062">
      <w:pPr>
        <w:pStyle w:val="c02alineaalta"/>
        <w:spacing w:before="0" w:beforeAutospacing="0" w:after="240" w:afterAutospacing="0"/>
        <w:jc w:val="center"/>
        <w:rPr>
          <w:rFonts w:asciiTheme="minorHAnsi" w:hAnsiTheme="minorHAnsi" w:cstheme="minorHAnsi"/>
          <w:b/>
          <w:bCs/>
          <w:i/>
          <w:sz w:val="22"/>
          <w:szCs w:val="22"/>
        </w:rPr>
      </w:pPr>
      <w:r w:rsidRPr="00B943CA">
        <w:rPr>
          <w:rFonts w:asciiTheme="minorHAnsi" w:hAnsiTheme="minorHAnsi" w:cstheme="minorHAnsi"/>
          <w:b/>
          <w:bCs/>
          <w:i/>
          <w:sz w:val="22"/>
          <w:szCs w:val="22"/>
        </w:rPr>
        <w:t>LSEZ SIA „Elme Messer Metalurgs“ prieš Latvijas Investīciju un attīstības aģentūra</w:t>
      </w:r>
    </w:p>
    <w:p w14:paraId="0984A1E8" w14:textId="77777777" w:rsidR="00C80B96" w:rsidRPr="00B943CA" w:rsidRDefault="00C80B96" w:rsidP="00C80B96">
      <w:pPr>
        <w:ind w:firstLine="540"/>
        <w:rPr>
          <w:rFonts w:asciiTheme="minorHAnsi" w:hAnsiTheme="minorHAnsi" w:cstheme="minorHAnsi"/>
        </w:rPr>
      </w:pPr>
    </w:p>
    <w:p w14:paraId="4043F475"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Prašymas priimti prejudicinį sprendimą pateiktas dėl 2006 m. liepos 11 d. Tarybos reglamento (EB) Nr. 1083/2006, nustatančio bendrąsias nuostatas dėl Europos regioninės plėtros fondo, Europos socialinio fondo ir Sanglaudos fondo bei panaikinančio Reglamentą (EB) Nr. 1260/1999 (OL L 210, 2006, p. 25), iš dalies pakeisto 2010 m. birželio 16 d. Europos Parlamento ir Tarybos reglamentu (ES) Nr. 539/2010 (OL L 158, 2010, p. 1) (toliau – Reglamentas 1083/2006), 2 straipsnio 7 punkto išaiškinimo (1 punktas).</w:t>
      </w:r>
    </w:p>
    <w:p w14:paraId="0A0608AB"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 Šis prašymas pateiktas nagrinėjant </w:t>
      </w:r>
      <w:r w:rsidRPr="00B943CA">
        <w:rPr>
          <w:rFonts w:asciiTheme="minorHAnsi" w:hAnsiTheme="minorHAnsi" w:cstheme="minorHAnsi"/>
          <w:i/>
          <w:iCs/>
          <w:color w:val="000000"/>
        </w:rPr>
        <w:t>LSEZ SIA „Elme Messer Metalurgs“</w:t>
      </w:r>
      <w:r w:rsidRPr="00B943CA">
        <w:rPr>
          <w:rFonts w:asciiTheme="minorHAnsi" w:hAnsiTheme="minorHAnsi" w:cstheme="minorHAnsi"/>
          <w:color w:val="000000"/>
        </w:rPr>
        <w:t xml:space="preserve"> (toliau – </w:t>
      </w:r>
      <w:r w:rsidRPr="00B943CA">
        <w:rPr>
          <w:rFonts w:asciiTheme="minorHAnsi" w:hAnsiTheme="minorHAnsi" w:cstheme="minorHAnsi"/>
          <w:i/>
          <w:iCs/>
          <w:color w:val="000000"/>
        </w:rPr>
        <w:t>EMM</w:t>
      </w:r>
      <w:r w:rsidRPr="00B943CA">
        <w:rPr>
          <w:rFonts w:asciiTheme="minorHAnsi" w:hAnsiTheme="minorHAnsi" w:cstheme="minorHAnsi"/>
          <w:color w:val="000000"/>
        </w:rPr>
        <w:t xml:space="preserve">) ir Latvijas Investīciju un attīstības aģentūra (Latvijos investicijų ir plėtros agentūra, toliau – Agentūra) ginčą dėl to, kad pastaroji nutraukė su </w:t>
      </w:r>
      <w:r w:rsidRPr="00B943CA">
        <w:rPr>
          <w:rFonts w:asciiTheme="minorHAnsi" w:hAnsiTheme="minorHAnsi" w:cstheme="minorHAnsi"/>
          <w:i/>
          <w:iCs/>
          <w:color w:val="000000"/>
        </w:rPr>
        <w:t>EMM</w:t>
      </w:r>
      <w:r w:rsidRPr="00B943CA">
        <w:rPr>
          <w:rFonts w:asciiTheme="minorHAnsi" w:hAnsiTheme="minorHAnsi" w:cstheme="minorHAnsi"/>
          <w:color w:val="000000"/>
        </w:rPr>
        <w:t xml:space="preserve"> sudarytą sutartį dėl Europos regioninės plėtros fondo (ERPF) bendrai finansuojamos subsidijos skyrimo; nutraukimo motyvas – sunkūs </w:t>
      </w:r>
      <w:r w:rsidRPr="00B943CA">
        <w:rPr>
          <w:rFonts w:asciiTheme="minorHAnsi" w:hAnsiTheme="minorHAnsi" w:cstheme="minorHAnsi"/>
          <w:i/>
          <w:iCs/>
          <w:color w:val="000000"/>
        </w:rPr>
        <w:t>EMM</w:t>
      </w:r>
      <w:r w:rsidRPr="00B943CA">
        <w:rPr>
          <w:rFonts w:asciiTheme="minorHAnsi" w:hAnsiTheme="minorHAnsi" w:cstheme="minorHAnsi"/>
          <w:color w:val="000000"/>
        </w:rPr>
        <w:t xml:space="preserve"> padaryti pažeidimai (2 punktas).</w:t>
      </w:r>
    </w:p>
    <w:p w14:paraId="24874BA2"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 xml:space="preserve">Pagrindinėje byloje 2010 m. balandžio 7 d. </w:t>
      </w:r>
      <w:r w:rsidRPr="00B943CA">
        <w:rPr>
          <w:rFonts w:asciiTheme="minorHAnsi" w:hAnsiTheme="minorHAnsi" w:cstheme="minorHAnsi"/>
          <w:i/>
          <w:iCs/>
          <w:color w:val="000000"/>
        </w:rPr>
        <w:t>EMM</w:t>
      </w:r>
      <w:r w:rsidRPr="00B943CA">
        <w:rPr>
          <w:rFonts w:asciiTheme="minorHAnsi" w:hAnsiTheme="minorHAnsi" w:cstheme="minorHAnsi"/>
          <w:color w:val="000000"/>
        </w:rPr>
        <w:t xml:space="preserve"> sudarė sutartį su Agentūra dėl ERPF bendrai finansuojamos subsidijos projektui, kuriuo siekiama per AS „Liepājas Metalurgs“ kompleksą sukurti pramoninių dujų, naudojamų, be kita ko, metalurgijoje, gamybos padalinį (toliau – sutartis). Pagal sutartį </w:t>
      </w:r>
      <w:r w:rsidRPr="00B943CA">
        <w:rPr>
          <w:rFonts w:asciiTheme="minorHAnsi" w:hAnsiTheme="minorHAnsi" w:cstheme="minorHAnsi"/>
          <w:i/>
          <w:iCs/>
          <w:color w:val="000000"/>
        </w:rPr>
        <w:t xml:space="preserve">EMM </w:t>
      </w:r>
      <w:r w:rsidRPr="00B943CA">
        <w:rPr>
          <w:rFonts w:asciiTheme="minorHAnsi" w:hAnsiTheme="minorHAnsi" w:cstheme="minorHAnsi"/>
          <w:color w:val="000000"/>
        </w:rPr>
        <w:t>privalėjo užtikrinti pramoninių dujų gamybą ir tiekimą Liepājas Metalurgs eksploatuojamai gamyklai, be kurių pastaroji negalėtų veikti (23 punktas).   </w:t>
      </w:r>
    </w:p>
    <w:p w14:paraId="756D5293"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 2013 m. lapkričio 12 d. Liepājas Metalurgs buvo iškelta bankroto byla (26 punktas).</w:t>
      </w:r>
    </w:p>
    <w:p w14:paraId="7E05D19A"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 xml:space="preserve">2016 m. kovo 31 d. Agentūra nusiuntė </w:t>
      </w:r>
      <w:r w:rsidRPr="00B943CA">
        <w:rPr>
          <w:rFonts w:asciiTheme="minorHAnsi" w:hAnsiTheme="minorHAnsi" w:cstheme="minorHAnsi"/>
          <w:i/>
          <w:iCs/>
          <w:color w:val="000000"/>
        </w:rPr>
        <w:t>EMM</w:t>
      </w:r>
      <w:r w:rsidRPr="00B943CA">
        <w:rPr>
          <w:rFonts w:asciiTheme="minorHAnsi" w:hAnsiTheme="minorHAnsi" w:cstheme="minorHAnsi"/>
          <w:color w:val="000000"/>
        </w:rPr>
        <w:t xml:space="preserve"> raštą. Jame, nurodydama Liepājas Metalurgs situaciją, paskelbė vienašališką sutarties nutraukimą, motyvuodama tuo, kad įgyvendindama projektą </w:t>
      </w:r>
      <w:r w:rsidRPr="00B943CA">
        <w:rPr>
          <w:rFonts w:asciiTheme="minorHAnsi" w:hAnsiTheme="minorHAnsi" w:cstheme="minorHAnsi"/>
          <w:i/>
          <w:iCs/>
          <w:color w:val="000000"/>
        </w:rPr>
        <w:t>EMM</w:t>
      </w:r>
      <w:r w:rsidRPr="00B943CA">
        <w:rPr>
          <w:rFonts w:asciiTheme="minorHAnsi" w:hAnsiTheme="minorHAnsi" w:cstheme="minorHAnsi"/>
          <w:color w:val="000000"/>
        </w:rPr>
        <w:t xml:space="preserve"> padarė sunkių pažeidimų – iš esmės nukrypo nuo prisiimtų įsipareigojimų, nes neišlaikė juose numatytos įprastos gamybos apimties (31 punktas).</w:t>
      </w:r>
    </w:p>
    <w:p w14:paraId="4046F90E"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i/>
          <w:iCs/>
          <w:color w:val="000000"/>
        </w:rPr>
        <w:t>EMM</w:t>
      </w:r>
      <w:r w:rsidRPr="00B943CA">
        <w:rPr>
          <w:rFonts w:asciiTheme="minorHAnsi" w:hAnsiTheme="minorHAnsi" w:cstheme="minorHAnsi"/>
          <w:color w:val="000000"/>
        </w:rPr>
        <w:t xml:space="preserve"> pareiškė ieškinį Agentūrai Rēzeknes </w:t>
      </w:r>
      <w:r w:rsidRPr="00B943CA">
        <w:rPr>
          <w:rFonts w:asciiTheme="minorHAnsi" w:hAnsiTheme="minorHAnsi" w:cstheme="minorHAnsi"/>
          <w:i/>
          <w:iCs/>
          <w:color w:val="000000"/>
        </w:rPr>
        <w:t>tiesa</w:t>
      </w:r>
      <w:r w:rsidRPr="00B943CA">
        <w:rPr>
          <w:rFonts w:asciiTheme="minorHAnsi" w:hAnsiTheme="minorHAnsi" w:cstheme="minorHAnsi"/>
          <w:color w:val="000000"/>
        </w:rPr>
        <w:t xml:space="preserve"> (Rėzeknės teismas, Latvija), prašymą priimti prejudicinį sprendimą pateikusiame teisme, siekdama, kad sutarties nutraukimas būtų pripažintas negaliojančiu. </w:t>
      </w:r>
      <w:r w:rsidRPr="00B943CA">
        <w:rPr>
          <w:rFonts w:asciiTheme="minorHAnsi" w:hAnsiTheme="minorHAnsi" w:cstheme="minorHAnsi"/>
          <w:i/>
          <w:iCs/>
          <w:color w:val="000000"/>
        </w:rPr>
        <w:t xml:space="preserve">EMM </w:t>
      </w:r>
      <w:r w:rsidRPr="00B943CA">
        <w:rPr>
          <w:rFonts w:asciiTheme="minorHAnsi" w:hAnsiTheme="minorHAnsi" w:cstheme="minorHAnsi"/>
          <w:color w:val="000000"/>
        </w:rPr>
        <w:t xml:space="preserve">tvirtina, kad paskelbdama apie vienašališką sutarties nutraukimą Agentūra pažeidė sąžiningumo principą, nes </w:t>
      </w:r>
      <w:r w:rsidRPr="00B943CA">
        <w:rPr>
          <w:rFonts w:asciiTheme="minorHAnsi" w:hAnsiTheme="minorHAnsi" w:cstheme="minorHAnsi"/>
          <w:i/>
          <w:iCs/>
          <w:color w:val="000000"/>
        </w:rPr>
        <w:t>EMM</w:t>
      </w:r>
      <w:r w:rsidRPr="00B943CA">
        <w:rPr>
          <w:rFonts w:asciiTheme="minorHAnsi" w:hAnsiTheme="minorHAnsi" w:cstheme="minorHAnsi"/>
          <w:color w:val="000000"/>
        </w:rPr>
        <w:t xml:space="preserve"> nepažeidė sutartinių įsipareigojimų, ir neginčijama, kad ji panaudojo gautą finansinę paramą projekte numatytai veiklai vykdyti (32 punktas).</w:t>
      </w:r>
    </w:p>
    <w:p w14:paraId="7DCD6E84" w14:textId="77777777" w:rsidR="00C80B96" w:rsidRPr="00B943CA" w:rsidRDefault="00C80B96" w:rsidP="00C80B96">
      <w:pPr>
        <w:ind w:firstLine="540"/>
        <w:rPr>
          <w:rFonts w:asciiTheme="minorHAnsi" w:hAnsiTheme="minorHAnsi" w:cstheme="minorHAnsi"/>
          <w:color w:val="000000"/>
        </w:rPr>
      </w:pPr>
      <w:r w:rsidRPr="00B943CA">
        <w:rPr>
          <w:rFonts w:asciiTheme="minorHAnsi" w:eastAsia="Times New Roman" w:hAnsiTheme="minorHAnsi" w:cstheme="minorHAnsi"/>
          <w:color w:val="000000"/>
          <w:lang w:eastAsia="lt-LT"/>
        </w:rPr>
        <w:t xml:space="preserve">Agentūros teigimu, pagrindinėje byloje nagrinėjama situacija turi būti kvalifikuojama kaip „pažeidimas“, kaip tai suprantama pagal Reglamento Nr. 1083/2006 2 straipsnio 7 punktą, todėl ji galėjo pagrįstai susigrąžinti jau suteiktą finansavimą (34 punktas). </w:t>
      </w:r>
      <w:r w:rsidRPr="00B943CA">
        <w:rPr>
          <w:rFonts w:asciiTheme="minorHAnsi" w:hAnsiTheme="minorHAnsi" w:cstheme="minorHAnsi"/>
          <w:i/>
          <w:iCs/>
          <w:color w:val="000000"/>
        </w:rPr>
        <w:t>EMM</w:t>
      </w:r>
      <w:r w:rsidRPr="00B943CA">
        <w:rPr>
          <w:rFonts w:asciiTheme="minorHAnsi" w:hAnsiTheme="minorHAnsi" w:cstheme="minorHAnsi"/>
          <w:color w:val="000000"/>
        </w:rPr>
        <w:t xml:space="preserve"> teigė, kad situacija, dėl kurios negalėjo naudoti gamybos padalinio, vykdydama savo ekonominę veiklą, yra ne jai priskirtinų veiksmų ar neveikimo, o Liepājas Metalurgs veiklos nutraukimo pasekmė (36 punktas).</w:t>
      </w:r>
    </w:p>
    <w:p w14:paraId="4D15B563" w14:textId="77777777" w:rsidR="00C80B96" w:rsidRPr="00B943CA" w:rsidRDefault="00C80B96" w:rsidP="00C80B96">
      <w:pPr>
        <w:ind w:firstLine="567"/>
        <w:rPr>
          <w:rFonts w:asciiTheme="minorHAnsi" w:eastAsia="Times New Roman" w:hAnsiTheme="minorHAnsi" w:cstheme="minorHAnsi"/>
          <w:color w:val="000000"/>
          <w:lang w:eastAsia="lt-LT"/>
        </w:rPr>
      </w:pPr>
      <w:r w:rsidRPr="00B943CA">
        <w:rPr>
          <w:rFonts w:asciiTheme="minorHAnsi" w:eastAsia="Times New Roman" w:hAnsiTheme="minorHAnsi" w:cstheme="minorHAnsi"/>
          <w:color w:val="000000"/>
          <w:lang w:eastAsia="lt-LT"/>
        </w:rPr>
        <w:lastRenderedPageBreak/>
        <w:t xml:space="preserve">Šiomis aplinkybėmis nacionalinis teismas nutarė sustabdyti bylos nagrinėjimą ir pateikti Teisingumo Teismui prejudicinį klausimą, kuriuo iš esmės </w:t>
      </w:r>
      <w:r w:rsidRPr="00B943CA">
        <w:rPr>
          <w:rFonts w:asciiTheme="minorHAnsi" w:hAnsiTheme="minorHAnsi" w:cstheme="minorHAnsi"/>
          <w:color w:val="000000"/>
        </w:rPr>
        <w:t>siekė išsiaiškinti, ar Reglamento Nr. 1083/2006 2 straipsnio 7 punktas turi būti aiškinamas taip, kad „pažeidimu“, kaip jis suprantamas pagal šią nuostatą, turi būti laikoma situacija, kai dėl savo vienintelio verslo partnerio nemokumo ar veiklos nutraukimo ERPF paramos gavėjas atitinkamu laikotarpiu nepasiekia finansuojamame projekte numatyto apyvartos lygio (45 punktas).</w:t>
      </w:r>
    </w:p>
    <w:p w14:paraId="54DC857C" w14:textId="77777777" w:rsidR="00C80B96" w:rsidRPr="00B943CA" w:rsidRDefault="00C80B96" w:rsidP="00C80B96">
      <w:pPr>
        <w:ind w:firstLine="540"/>
        <w:rPr>
          <w:rFonts w:asciiTheme="minorHAnsi" w:eastAsia="Times New Roman" w:hAnsiTheme="minorHAnsi" w:cstheme="minorHAnsi"/>
          <w:color w:val="000000"/>
          <w:lang w:eastAsia="lt-LT"/>
        </w:rPr>
      </w:pPr>
    </w:p>
    <w:p w14:paraId="2AF9BCD1" w14:textId="7294FA0E" w:rsidR="00C80B96" w:rsidRPr="00B943CA" w:rsidRDefault="00C80B96" w:rsidP="00C47F2E">
      <w:pPr>
        <w:pStyle w:val="Antrat3"/>
        <w:ind w:firstLine="567"/>
      </w:pPr>
      <w:bookmarkStart w:id="65" w:name="_Toc67492451"/>
      <w:bookmarkStart w:id="66" w:name="_Toc71819710"/>
      <w:r w:rsidRPr="00B943CA">
        <w:rPr>
          <w:rFonts w:eastAsia="Times New Roman"/>
          <w:lang w:eastAsia="lt-LT"/>
        </w:rPr>
        <w:t xml:space="preserve">Dėl </w:t>
      </w:r>
      <w:r w:rsidR="00E10062">
        <w:t>pažeidimo buvimo</w:t>
      </w:r>
      <w:r w:rsidRPr="00B943CA">
        <w:t>, kai dėl savo vienintelio verslo partnerio nemokumo ar veiklos nutraukimo paramos gavėjas atitinkamu laikotarpiu nepasiekia finansuojamame projekte numatyto apyvartos lygio</w:t>
      </w:r>
      <w:bookmarkEnd w:id="65"/>
      <w:bookmarkEnd w:id="66"/>
    </w:p>
    <w:p w14:paraId="49CD5E70" w14:textId="77777777" w:rsidR="00C80B96" w:rsidRPr="00B943CA" w:rsidRDefault="00C80B96" w:rsidP="00C80B96">
      <w:pPr>
        <w:ind w:firstLine="540"/>
        <w:rPr>
          <w:rFonts w:asciiTheme="minorHAnsi" w:hAnsiTheme="minorHAnsi" w:cstheme="minorHAnsi"/>
          <w:color w:val="000000"/>
        </w:rPr>
      </w:pPr>
    </w:p>
    <w:p w14:paraId="66ACD796"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 Sąvoka „pažeidimas“ Reglamento Nr. 1083/2006 2 straipsnio 7 punkte apibrėžiama kaip Sąjungos teisės nuostatų pažeidimas, susijęs su ūkio subjekto veiksmais ar neveikimu, kai dėl nepagrįstų Sąjungos bendrojo biudžeto išlaidų padaroma arba gali būti padaryta žala bendrajam biudžetui (50 punktas).</w:t>
      </w:r>
    </w:p>
    <w:p w14:paraId="0FD77AB9"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 xml:space="preserve">Taigi tokio </w:t>
      </w:r>
      <w:r w:rsidRPr="00B943CA">
        <w:rPr>
          <w:rFonts w:asciiTheme="minorHAnsi" w:hAnsiTheme="minorHAnsi" w:cstheme="minorHAnsi"/>
          <w:color w:val="000000"/>
          <w:u w:val="single"/>
        </w:rPr>
        <w:t>pažeidimo buvimas reiškia, kad turi būti įvykdytos trys aplinkybės, t. y. pirma, turi būti padarytas Sąjungos teisės pažeidimas, antra, šis pažeidimas turi būti padarytas ūkio subjekto veiksmais ar neveikimu, ir, trečia, padaryta reali ar potenciali žala Sąjungos biudžetui</w:t>
      </w:r>
      <w:r w:rsidRPr="00B943CA">
        <w:rPr>
          <w:rFonts w:asciiTheme="minorHAnsi" w:hAnsiTheme="minorHAnsi" w:cstheme="minorHAnsi"/>
          <w:color w:val="000000"/>
        </w:rPr>
        <w:t xml:space="preserve"> (51 punktas).</w:t>
      </w:r>
    </w:p>
    <w:p w14:paraId="588BCDE4"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Kaip patvirtina suformuota Teisingumo Teismo praktika, Sąjungos teisės aktais sukurta dotacijų sistema grindžiama, be kita ko, tuo, kad naudos gavėjas įvykdo tam tikrus įsipareigojimus, suteikiančius jam teisę gauti numatytą finansinę paramą. Taigi, pagal nacionalinėmis valdymo ir kontrolės sistemomis įtvirtintą tvarką būtent nacionalinės kompetentingos institucijos turi įsitikinti, kad atitinkamas paramos gavėjas prisiima vykdyti savo įsipareigojimus. Šiuo tikslu minėtoms nacionalinėms institucijoms leidžiama reikalauti, kad šis paramos gavėjas tokį įsipareigojimą prisiimtų prieš priskiriant šį projektą prie atitinkamos pagalbos. Be to, iš Reglamento Nr. 1083/2006 60 straipsnio b punkto matyti, kad vadovaujančioji institucija tikrina bendrai finansuojamų produktų ir paslaugų teikimą (54 punktas).</w:t>
      </w:r>
    </w:p>
    <w:p w14:paraId="066696FF" w14:textId="77777777"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Pagrindinėje byloje ERPF paramos gavėjas referenciniu laikotarpiu nepasiekė apyvartos lygio, numatyto projekte, kurį leista bendrai finansuoti. Taigi, priešingai, nei reikalaujama pagal Reglamento Nr. 1083/2006 60 straipsnio b punktą, bendrai finansuojami produktai ar paslaugos nebuvo visiškai suteikti, todėl gavėjas neįvykdė pareigos, suteikiančios jam teisę gauti numatytą finansinę paramą pagal Sąjungos teisę ir taikytiną nacionalinę teisę (55–56 punktai).</w:t>
      </w:r>
    </w:p>
    <w:p w14:paraId="566A8D96" w14:textId="77777777" w:rsidR="00B0210A" w:rsidRPr="00B943CA" w:rsidRDefault="00C80B96" w:rsidP="00C80B96">
      <w:pPr>
        <w:ind w:firstLine="567"/>
        <w:rPr>
          <w:rFonts w:asciiTheme="minorHAnsi" w:hAnsiTheme="minorHAnsi" w:cstheme="minorHAnsi"/>
          <w:color w:val="000000"/>
        </w:rPr>
      </w:pPr>
      <w:r w:rsidRPr="00B943CA">
        <w:rPr>
          <w:rFonts w:asciiTheme="minorHAnsi" w:hAnsiTheme="minorHAnsi" w:cstheme="minorHAnsi"/>
          <w:color w:val="000000"/>
        </w:rPr>
        <w:t>Kiek tai susiję su tuo, kad toks Sąjungos teisės ar taikytinos nacionalinės teisės pažeidimas turi būti padarytas „ūkio subjekto veiksmais ar neveikimu“, Teisingumo Teismas pažymėjo, kad Reglamento Nr. 1083/2006 2 straipsnio 7 punkto formuluotėje nepatikslinama, ar tokie veiksmai arba neveikimas ir galiausiai „pažeidimas“, kaip jis suprantamas pagal šią nuostatą, yra subjektyvus elementas, susijęs su atitinkamo ūkio subjekto ketinimu ar aplaidumu (57 punktas).</w:t>
      </w:r>
    </w:p>
    <w:p w14:paraId="2DD73862" w14:textId="77777777" w:rsidR="00B0210A" w:rsidRPr="00B943CA" w:rsidRDefault="00C80B96" w:rsidP="00C80B96">
      <w:pPr>
        <w:ind w:firstLine="567"/>
        <w:rPr>
          <w:rFonts w:asciiTheme="minorHAnsi" w:hAnsiTheme="minorHAnsi" w:cstheme="minorHAnsi"/>
          <w:color w:val="000000"/>
        </w:rPr>
      </w:pPr>
      <w:r w:rsidRPr="00B943CA">
        <w:rPr>
          <w:rFonts w:asciiTheme="minorHAnsi" w:hAnsiTheme="minorHAnsi" w:cstheme="minorHAnsi"/>
          <w:color w:val="000000"/>
        </w:rPr>
        <w:t xml:space="preserve">Toliau Teisingumo Teismas, remdamasis </w:t>
      </w:r>
      <w:r w:rsidR="00041250" w:rsidRPr="00B943CA">
        <w:rPr>
          <w:rFonts w:asciiTheme="minorHAnsi" w:hAnsiTheme="minorHAnsi" w:cstheme="minorHAnsi"/>
          <w:color w:val="000000"/>
        </w:rPr>
        <w:t xml:space="preserve">2016 m. gegužės 26 d. </w:t>
      </w:r>
      <w:r w:rsidR="00B0210A" w:rsidRPr="00B943CA">
        <w:rPr>
          <w:rFonts w:asciiTheme="minorHAnsi" w:hAnsiTheme="minorHAnsi" w:cstheme="minorHAnsi"/>
          <w:color w:val="000000"/>
        </w:rPr>
        <w:t>S</w:t>
      </w:r>
      <w:r w:rsidR="00041250" w:rsidRPr="00B943CA">
        <w:rPr>
          <w:rFonts w:asciiTheme="minorHAnsi" w:hAnsiTheme="minorHAnsi" w:cstheme="minorHAnsi"/>
          <w:color w:val="000000"/>
        </w:rPr>
        <w:t>prendimo </w:t>
      </w:r>
      <w:r w:rsidR="00041250" w:rsidRPr="00B943CA">
        <w:rPr>
          <w:rFonts w:asciiTheme="minorHAnsi" w:hAnsiTheme="minorHAnsi" w:cstheme="minorHAnsi"/>
          <w:i/>
          <w:iCs/>
          <w:color w:val="000000"/>
        </w:rPr>
        <w:t>Județul Neamț ir Județul Bacău</w:t>
      </w:r>
      <w:r w:rsidR="00041250" w:rsidRPr="00B943CA">
        <w:rPr>
          <w:rFonts w:asciiTheme="minorHAnsi" w:hAnsiTheme="minorHAnsi" w:cstheme="minorHAnsi"/>
          <w:color w:val="000000"/>
        </w:rPr>
        <w:t>, C</w:t>
      </w:r>
      <w:r w:rsidR="00041250" w:rsidRPr="00B943CA">
        <w:rPr>
          <w:rFonts w:asciiTheme="minorHAnsi" w:hAnsiTheme="minorHAnsi" w:cstheme="minorHAnsi"/>
          <w:color w:val="000000"/>
        </w:rPr>
        <w:noBreakHyphen/>
        <w:t>260/14 ir C</w:t>
      </w:r>
      <w:r w:rsidR="00041250" w:rsidRPr="00B943CA">
        <w:rPr>
          <w:rFonts w:asciiTheme="minorHAnsi" w:hAnsiTheme="minorHAnsi" w:cstheme="minorHAnsi"/>
          <w:color w:val="000000"/>
        </w:rPr>
        <w:noBreakHyphen/>
        <w:t xml:space="preserve">261/14, EU:C:2016:360, 34 punktu, </w:t>
      </w:r>
      <w:r w:rsidRPr="00B943CA">
        <w:rPr>
          <w:rFonts w:asciiTheme="minorHAnsi" w:hAnsiTheme="minorHAnsi" w:cstheme="minorHAnsi"/>
          <w:color w:val="000000"/>
        </w:rPr>
        <w:t>atsižvelgė į tai, jog šios nuostatos formuluotė yra labai panaši į Reglamento Nr. 2988/95 1 straipsnio 2 dalies formuluotę. Šie du reglamentai priskiriami prie teisės aktų, kuriais užtikrinamas tinkamas Sąjungos lėšų valdymas ir jos finansinių interesų apsauga, todėl sąvoka „pažeidimas“, kaip ji suprantama pagal Reglamento Nr. 2988/95 1 straipsnio 2 dalį ir pagal Reglamento Nr. 1083/2006 2 straipsnio 7 punktą, turi būti aiškinama vienodai (59 punktas).</w:t>
      </w:r>
    </w:p>
    <w:p w14:paraId="28BB6F15" w14:textId="30DF2ABB" w:rsidR="00C80B96" w:rsidRPr="00B943CA" w:rsidRDefault="00C80B96" w:rsidP="00C80B96">
      <w:pPr>
        <w:ind w:firstLine="567"/>
        <w:rPr>
          <w:rFonts w:asciiTheme="minorHAnsi" w:hAnsiTheme="minorHAnsi" w:cstheme="minorHAnsi"/>
          <w:color w:val="000000"/>
        </w:rPr>
      </w:pPr>
      <w:r w:rsidRPr="00B943CA">
        <w:rPr>
          <w:rFonts w:asciiTheme="minorHAnsi" w:hAnsiTheme="minorHAnsi" w:cstheme="minorHAnsi"/>
          <w:color w:val="000000"/>
        </w:rPr>
        <w:t>Reglamento Nr. 2988/95 4 ir 5 straipsniuose daromas skirtumas tarp, pirma, bendros sąvokos „pažeidimas“ ir, antra, sąvokos „tyčinis pažeidimas arba pažeidimas dėl aplaidumo“, t. y. akivaizdus pažeidimas, už kurį gali būti skirtos administracinės nuobaudos (šiuo klausimu nurodytas</w:t>
      </w:r>
      <w:r w:rsidR="00CB2278" w:rsidRPr="00B943CA">
        <w:rPr>
          <w:rFonts w:asciiTheme="minorHAnsi" w:hAnsiTheme="minorHAnsi" w:cstheme="minorHAnsi"/>
          <w:color w:val="000000"/>
        </w:rPr>
        <w:t xml:space="preserve"> 2019 m. kovo 5 d. </w:t>
      </w:r>
      <w:r w:rsidR="00B0210A" w:rsidRPr="00B943CA">
        <w:rPr>
          <w:rFonts w:asciiTheme="minorHAnsi" w:hAnsiTheme="minorHAnsi" w:cstheme="minorHAnsi"/>
          <w:color w:val="000000"/>
        </w:rPr>
        <w:t>S</w:t>
      </w:r>
      <w:r w:rsidR="00CB2278" w:rsidRPr="00B943CA">
        <w:rPr>
          <w:rFonts w:asciiTheme="minorHAnsi" w:hAnsiTheme="minorHAnsi" w:cstheme="minorHAnsi"/>
          <w:color w:val="000000"/>
        </w:rPr>
        <w:t>prendimo </w:t>
      </w:r>
      <w:r w:rsidR="00CB2278" w:rsidRPr="00B943CA">
        <w:rPr>
          <w:rFonts w:asciiTheme="minorHAnsi" w:hAnsiTheme="minorHAnsi" w:cstheme="minorHAnsi"/>
          <w:i/>
          <w:iCs/>
          <w:color w:val="000000"/>
        </w:rPr>
        <w:t>Eesti Pagar</w:t>
      </w:r>
      <w:r w:rsidR="00CB2278" w:rsidRPr="00B943CA">
        <w:rPr>
          <w:rFonts w:asciiTheme="minorHAnsi" w:hAnsiTheme="minorHAnsi" w:cstheme="minorHAnsi"/>
          <w:color w:val="000000"/>
        </w:rPr>
        <w:t>, C</w:t>
      </w:r>
      <w:r w:rsidR="00CB2278" w:rsidRPr="00B943CA">
        <w:rPr>
          <w:rFonts w:asciiTheme="minorHAnsi" w:hAnsiTheme="minorHAnsi" w:cstheme="minorHAnsi"/>
          <w:color w:val="000000"/>
        </w:rPr>
        <w:noBreakHyphen/>
        <w:t>349/17, EU:C:2019:172, 122 punktas</w:t>
      </w:r>
      <w:r w:rsidR="00041250" w:rsidRPr="00B943CA">
        <w:rPr>
          <w:rFonts w:asciiTheme="minorHAnsi" w:hAnsiTheme="minorHAnsi" w:cstheme="minorHAnsi"/>
          <w:color w:val="000000"/>
        </w:rPr>
        <w:t>)</w:t>
      </w:r>
      <w:r w:rsidRPr="00B943CA">
        <w:rPr>
          <w:rFonts w:asciiTheme="minorHAnsi" w:hAnsiTheme="minorHAnsi" w:cstheme="minorHAnsi"/>
          <w:color w:val="000000"/>
        </w:rPr>
        <w:t>. Reglamento Nr. 1828/2006 28 straipsnio 1 dalies e punkte, siejamame su šio reglamento 27 straipsnio c punktu, kuriame nustatytos Reglamento Nr. 1083/2006 įgyvendinimo taisyklės, taigi su juo sudaro visumą, pabrėžiama, kad elgesys, dėl kurio kilo įtarimas sukčiaujant, yra „tyčinis“, todėl ši sąvoka yra kitas akivaizdaus pažeidimo pavyzdys, kaip nurodyta ankstesniame punkte (60–61 punktai).</w:t>
      </w:r>
    </w:p>
    <w:p w14:paraId="39A1462E" w14:textId="77777777" w:rsidR="00C80B96" w:rsidRPr="00B943CA" w:rsidRDefault="00C80B96" w:rsidP="00C80B96">
      <w:pPr>
        <w:ind w:firstLine="567"/>
        <w:rPr>
          <w:rFonts w:asciiTheme="minorHAnsi" w:hAnsiTheme="minorHAnsi" w:cstheme="minorHAnsi"/>
          <w:color w:val="000000"/>
        </w:rPr>
      </w:pPr>
      <w:r w:rsidRPr="00B943CA">
        <w:rPr>
          <w:rFonts w:asciiTheme="minorHAnsi" w:hAnsiTheme="minorHAnsi" w:cstheme="minorHAnsi"/>
          <w:color w:val="000000"/>
        </w:rPr>
        <w:t xml:space="preserve">Atsižvelgęs į šį skirtumą, atliktą teisės aktų leidybos lygmeniu, ir į tai, kad Reglamento Nr. 1083/2006 2 straipsnio 7 punkte pateiktoje sąvokos „pažeidimas“ apibrėžtyje nėra jokio patikslinimo dėl atitinkamo gavėjo elgesio tyčinio ar aplaidaus pobūdžio, Teisingumo Teismas sprendė, kad toks pobūdis negali būti laikomas būtinu veiksniu, kad būtų galima konstatuoti pažeidimą, kaip jis suprantamas pagal analizuojamą nuostatą (62 punktas). Tokį aiškinimą patvirtina Reglamentu Nr. 1083/2006 siekiamas tikslas užtikrinti tinkamą ir veiksmingą fondų naudojimą siekiant apsaugoti Sąjungos finansinius interesus. Atsižvelgiant į tokį </w:t>
      </w:r>
      <w:r w:rsidRPr="00B943CA">
        <w:rPr>
          <w:rFonts w:asciiTheme="minorHAnsi" w:hAnsiTheme="minorHAnsi" w:cstheme="minorHAnsi"/>
          <w:color w:val="000000"/>
        </w:rPr>
        <w:lastRenderedPageBreak/>
        <w:t xml:space="preserve">tikslą, </w:t>
      </w:r>
      <w:r w:rsidRPr="00B943CA">
        <w:rPr>
          <w:rFonts w:asciiTheme="minorHAnsi" w:hAnsiTheme="minorHAnsi" w:cstheme="minorHAnsi"/>
          <w:color w:val="000000"/>
          <w:u w:val="single"/>
        </w:rPr>
        <w:t>Reglamento Nr. 1083/2006 2 straipsnio 7 punkte nurodytą sąvoką „pažeidimas“ reikia aiškinti plačiai</w:t>
      </w:r>
      <w:r w:rsidRPr="00B943CA">
        <w:rPr>
          <w:rFonts w:asciiTheme="minorHAnsi" w:hAnsiTheme="minorHAnsi" w:cstheme="minorHAnsi"/>
          <w:color w:val="000000"/>
        </w:rPr>
        <w:t xml:space="preserve"> (63 punktas).</w:t>
      </w:r>
    </w:p>
    <w:p w14:paraId="7B0E2C79" w14:textId="77777777" w:rsidR="00C80B96" w:rsidRPr="00B943CA" w:rsidRDefault="00C80B96" w:rsidP="00C80B96">
      <w:pPr>
        <w:ind w:firstLine="567"/>
        <w:rPr>
          <w:rFonts w:asciiTheme="minorHAnsi" w:hAnsiTheme="minorHAnsi" w:cstheme="minorHAnsi"/>
          <w:color w:val="000000"/>
        </w:rPr>
      </w:pPr>
      <w:r w:rsidRPr="00B943CA">
        <w:rPr>
          <w:rFonts w:asciiTheme="minorHAnsi" w:hAnsiTheme="minorHAnsi" w:cstheme="minorHAnsi"/>
          <w:color w:val="000000"/>
          <w:u w:val="single"/>
        </w:rPr>
        <w:t>Taigi net jei ūkio subjektas pažeidė pareigą, suteikiančią jam teisę į fondų paramą dėl savo vienintelio verslo partnerio nemokumo ar veiklos nutraukimo, ši aplinkybė savaime netrukdo tokį pažeidimą laikyti „pažeidimu“, kaip jis suprantamas pagal Reglamento Nr. 1083/2006 2 straipsnio 7 punktą, nes tokio pažeidimo buvimui nėra būtina įrodyti tokio gavėjo tyčios ar aplaidumo</w:t>
      </w:r>
      <w:r w:rsidRPr="00B943CA">
        <w:rPr>
          <w:rFonts w:asciiTheme="minorHAnsi" w:hAnsiTheme="minorHAnsi" w:cstheme="minorHAnsi"/>
          <w:color w:val="000000"/>
        </w:rPr>
        <w:t xml:space="preserve"> (65 punktas).</w:t>
      </w:r>
    </w:p>
    <w:p w14:paraId="0B736384" w14:textId="77777777" w:rsidR="00B0210A"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Dėl žalos, padarytos Sąjungos biudžetui, Teisingumo Teismas nurodė, kad iš Reglamento Nr. 1083/2006 2 straipsnio 7 punkto matyti, jog Sąjungos teisės ar nacionalinės teisės, taikomos operacijoms, kurias remia fondai, pažeidimas yra „pažeidimas“, kaip tai suprantama pagal šią nuostatą, jeigu dėl jo Sąjungos bendrajam biudžetui padaroma arba gali būti padaryta žala dėl nepagrįstų išlaidų šiam biudžetui priskyrimo (66 punktas).</w:t>
      </w:r>
    </w:p>
    <w:p w14:paraId="69CD0F06" w14:textId="49BC99C2" w:rsidR="00C80B96" w:rsidRPr="00B943CA" w:rsidRDefault="00C80B96" w:rsidP="00C80B96">
      <w:pPr>
        <w:ind w:firstLine="540"/>
        <w:rPr>
          <w:rFonts w:asciiTheme="minorHAnsi" w:hAnsiTheme="minorHAnsi" w:cstheme="minorHAnsi"/>
          <w:color w:val="000000"/>
        </w:rPr>
      </w:pPr>
      <w:r w:rsidRPr="00B943CA">
        <w:rPr>
          <w:rFonts w:asciiTheme="minorHAnsi" w:hAnsiTheme="minorHAnsi" w:cstheme="minorHAnsi"/>
          <w:color w:val="000000"/>
        </w:rPr>
        <w:t xml:space="preserve">Šiuo klausimu Teisingumo Teismas yra sprendęs, kad nereikalaujama įrodyti konkretaus finansinio poveikio buvimo. Iš tiesų pakanka to, kad negalima atmesti galimybės, jog tas pažeidimas turėjo poveikį atitinkamo fondo biudžetui (pvz., </w:t>
      </w:r>
      <w:r w:rsidR="00B0210A" w:rsidRPr="00B943CA">
        <w:rPr>
          <w:rFonts w:asciiTheme="minorHAnsi" w:hAnsiTheme="minorHAnsi" w:cstheme="minorHAnsi"/>
          <w:color w:val="000000"/>
        </w:rPr>
        <w:t>S</w:t>
      </w:r>
      <w:r w:rsidRPr="00B943CA">
        <w:rPr>
          <w:rFonts w:asciiTheme="minorHAnsi" w:hAnsiTheme="minorHAnsi" w:cstheme="minorHAnsi"/>
          <w:color w:val="000000"/>
        </w:rPr>
        <w:t>prendim</w:t>
      </w:r>
      <w:r w:rsidR="00CB2278" w:rsidRPr="00B943CA">
        <w:rPr>
          <w:rFonts w:asciiTheme="minorHAnsi" w:hAnsiTheme="minorHAnsi" w:cstheme="minorHAnsi"/>
          <w:color w:val="000000"/>
        </w:rPr>
        <w:t>o</w:t>
      </w:r>
      <w:r w:rsidRPr="00B943CA">
        <w:rPr>
          <w:rFonts w:asciiTheme="minorHAnsi" w:hAnsiTheme="minorHAnsi" w:cstheme="minorHAnsi"/>
          <w:color w:val="000000"/>
        </w:rPr>
        <w:t> </w:t>
      </w:r>
      <w:r w:rsidRPr="00B943CA">
        <w:rPr>
          <w:rFonts w:asciiTheme="minorHAnsi" w:hAnsiTheme="minorHAnsi" w:cstheme="minorHAnsi"/>
          <w:i/>
          <w:iCs/>
          <w:color w:val="000000"/>
        </w:rPr>
        <w:t>Compania Naţională de Administrare a Infrastructurii Rutiere</w:t>
      </w:r>
      <w:r w:rsidR="00CB2278" w:rsidRPr="00B943CA">
        <w:rPr>
          <w:rFonts w:asciiTheme="minorHAnsi" w:hAnsiTheme="minorHAnsi" w:cstheme="minorHAnsi"/>
          <w:i/>
          <w:iCs/>
          <w:color w:val="000000"/>
        </w:rPr>
        <w:t xml:space="preserve">, </w:t>
      </w:r>
      <w:r w:rsidRPr="00B943CA">
        <w:rPr>
          <w:rFonts w:asciiTheme="minorHAnsi" w:hAnsiTheme="minorHAnsi" w:cstheme="minorHAnsi"/>
          <w:color w:val="000000"/>
        </w:rPr>
        <w:t>C</w:t>
      </w:r>
      <w:r w:rsidRPr="00B943CA">
        <w:rPr>
          <w:rFonts w:asciiTheme="minorHAnsi" w:hAnsiTheme="minorHAnsi" w:cstheme="minorHAnsi"/>
          <w:color w:val="000000"/>
        </w:rPr>
        <w:noBreakHyphen/>
        <w:t>408/16</w:t>
      </w:r>
      <w:r w:rsidR="00CB2278" w:rsidRPr="00B943CA">
        <w:rPr>
          <w:rFonts w:asciiTheme="minorHAnsi" w:hAnsiTheme="minorHAnsi" w:cstheme="minorHAnsi"/>
          <w:color w:val="000000"/>
        </w:rPr>
        <w:t>, EU:C:2017:940, 60 ir 61 punktai) (</w:t>
      </w:r>
      <w:r w:rsidRPr="00B943CA">
        <w:rPr>
          <w:rFonts w:asciiTheme="minorHAnsi" w:hAnsiTheme="minorHAnsi" w:cstheme="minorHAnsi"/>
          <w:color w:val="000000"/>
        </w:rPr>
        <w:t xml:space="preserve">67 punktas). Nagrinėtu atveju </w:t>
      </w:r>
      <w:r w:rsidRPr="00B943CA">
        <w:rPr>
          <w:rFonts w:asciiTheme="minorHAnsi" w:hAnsiTheme="minorHAnsi" w:cstheme="minorHAnsi"/>
          <w:color w:val="000000"/>
          <w:u w:val="single"/>
        </w:rPr>
        <w:t xml:space="preserve">tai, kad paramos gavėjas neužtikrino reikiamo minimalaus veiklos kiekio, reiškia, kad Sąjungos suteiktas bendras finansavimas už tokio minimalaus kiekio tiekimą neišvengiamai bent jau iš dalies buvo </w:t>
      </w:r>
      <w:r w:rsidRPr="00E10062">
        <w:rPr>
          <w:rFonts w:asciiTheme="minorHAnsi" w:hAnsiTheme="minorHAnsi" w:cstheme="minorHAnsi"/>
          <w:color w:val="000000"/>
          <w:u w:val="single"/>
        </w:rPr>
        <w:t>pervestas nepagrįstai</w:t>
      </w:r>
      <w:r w:rsidRPr="00B943CA">
        <w:rPr>
          <w:rFonts w:asciiTheme="minorHAnsi" w:hAnsiTheme="minorHAnsi" w:cstheme="minorHAnsi"/>
          <w:color w:val="000000"/>
        </w:rPr>
        <w:t>. Tad dėl tokio Sąjungos teisės ar taikytinos nacionalinės teisės pažeidimo, atsiradusio dėl paramos gavėjo neveikimo, gali būti padaryta žala bendrajam Sąjungos biudžetui (68 punktas). Dėl to EMM gali būti kaltinama „pažeidimu“, kaip jis suprantamas pagal Reglamento Nr. 1083/2006 2 straipsnio 7 punktą, o tai patikrinti turi prašymą priimti prejudicinį sprendimą pateikęs teismas. Jeigu nustatomas pažeidimas, dėl jo pagal Reglamento Nr. 2988/95 4 straipsnio 1 dalį paprastai panaikinama neteisėtai gauta nauda (69 punktas).</w:t>
      </w:r>
    </w:p>
    <w:p w14:paraId="7AC636C3" w14:textId="77777777" w:rsidR="00C80B96" w:rsidRPr="00B943CA" w:rsidRDefault="00C80B96" w:rsidP="00C80B96">
      <w:pPr>
        <w:ind w:firstLine="540"/>
        <w:rPr>
          <w:rFonts w:asciiTheme="minorHAnsi" w:hAnsiTheme="minorHAnsi" w:cstheme="minorHAnsi"/>
          <w:color w:val="000000"/>
        </w:rPr>
      </w:pPr>
    </w:p>
    <w:p w14:paraId="212FD206" w14:textId="77777777" w:rsidR="00C80B96" w:rsidRPr="00B943CA" w:rsidRDefault="00C80B96" w:rsidP="00C80B96">
      <w:pPr>
        <w:ind w:firstLine="540"/>
        <w:rPr>
          <w:rFonts w:asciiTheme="minorHAnsi" w:eastAsia="Times New Roman" w:hAnsiTheme="minorHAnsi" w:cstheme="minorHAnsi"/>
          <w:b/>
          <w:bCs/>
          <w:color w:val="000000"/>
          <w:lang w:eastAsia="lt-LT"/>
        </w:rPr>
      </w:pPr>
      <w:r w:rsidRPr="00B943CA">
        <w:rPr>
          <w:rFonts w:asciiTheme="minorHAnsi" w:eastAsia="Times New Roman" w:hAnsiTheme="minorHAnsi" w:cstheme="minorHAnsi"/>
          <w:b/>
          <w:bCs/>
          <w:color w:val="000000"/>
          <w:lang w:eastAsia="lt-LT"/>
        </w:rPr>
        <w:t>Remdamasis šiais motyvais, Teisingumo Teismas (trečioji kolegija) nusprendė:</w:t>
      </w:r>
    </w:p>
    <w:p w14:paraId="4298FB55" w14:textId="77777777" w:rsidR="00C80B96" w:rsidRPr="00B943CA" w:rsidRDefault="00C80B96" w:rsidP="00C80B96">
      <w:pPr>
        <w:ind w:firstLine="540"/>
        <w:rPr>
          <w:rFonts w:asciiTheme="minorHAnsi" w:eastAsia="Times New Roman" w:hAnsiTheme="minorHAnsi" w:cstheme="minorHAnsi"/>
          <w:b/>
          <w:bCs/>
          <w:color w:val="000000"/>
          <w:lang w:eastAsia="lt-LT"/>
        </w:rPr>
      </w:pPr>
    </w:p>
    <w:p w14:paraId="01EECCD7" w14:textId="77777777" w:rsidR="00C80B96" w:rsidRPr="00B943CA" w:rsidRDefault="00C80B96" w:rsidP="00C80B96">
      <w:pPr>
        <w:ind w:firstLine="567"/>
        <w:rPr>
          <w:rFonts w:asciiTheme="minorHAnsi" w:eastAsia="Times New Roman" w:hAnsiTheme="minorHAnsi" w:cstheme="minorHAnsi"/>
          <w:color w:val="000000"/>
          <w:lang w:eastAsia="lt-LT"/>
        </w:rPr>
      </w:pPr>
      <w:r w:rsidRPr="00B943CA">
        <w:rPr>
          <w:rFonts w:asciiTheme="minorHAnsi" w:eastAsia="Times New Roman" w:hAnsiTheme="minorHAnsi" w:cstheme="minorHAnsi"/>
          <w:color w:val="000000"/>
          <w:lang w:eastAsia="lt-LT"/>
        </w:rPr>
        <w:t>Reglamento Nr. 1083/2006 2 straipsnio 7 punktas turi būti aiškinamas taip, kad „pažeidimu“, kaip jis suprantamas pagal šią nuostatą, laikoma situacija, kai dėl savo vienintelio verslo partnerio nemokumo ar veiklos nutraukimo Europos regioninės plėtros fondo paramos gavėjas atitinkamu laikotarpiu nepasiekia finansuojamame projekte numatyto apyvartos lygio.</w:t>
      </w:r>
    </w:p>
    <w:p w14:paraId="4135093B" w14:textId="77777777" w:rsidR="00C80B96" w:rsidRPr="00B943CA" w:rsidRDefault="00F953EA" w:rsidP="00C80B96">
      <w:pPr>
        <w:ind w:firstLine="567"/>
        <w:rPr>
          <w:rFonts w:asciiTheme="minorHAnsi" w:eastAsia="Times New Roman" w:hAnsiTheme="minorHAnsi" w:cstheme="minorHAnsi"/>
          <w:color w:val="000000"/>
          <w:lang w:eastAsia="lt-LT"/>
        </w:rPr>
      </w:pPr>
      <w:hyperlink r:id="rId19" w:history="1">
        <w:r w:rsidR="00C80B96" w:rsidRPr="00B943CA">
          <w:rPr>
            <w:rStyle w:val="Hipersaitas"/>
            <w:rFonts w:asciiTheme="minorHAnsi" w:eastAsia="Times New Roman" w:hAnsiTheme="minorHAnsi" w:cstheme="minorHAnsi"/>
            <w:lang w:eastAsia="lt-LT"/>
          </w:rPr>
          <w:t>Prieiga internete</w:t>
        </w:r>
      </w:hyperlink>
    </w:p>
    <w:p w14:paraId="77EDD229" w14:textId="77777777" w:rsidR="00A328D0" w:rsidRPr="00B943CA" w:rsidRDefault="00A328D0" w:rsidP="00A328D0">
      <w:pPr>
        <w:rPr>
          <w:rFonts w:asciiTheme="minorHAnsi" w:hAnsiTheme="minorHAnsi" w:cstheme="minorHAnsi"/>
        </w:rPr>
      </w:pPr>
    </w:p>
    <w:p w14:paraId="0741E98B" w14:textId="77777777" w:rsidR="00A328D0" w:rsidRPr="00B943CA" w:rsidRDefault="00A328D0" w:rsidP="00D669E0">
      <w:pPr>
        <w:pStyle w:val="Antrat1"/>
      </w:pPr>
      <w:bookmarkStart w:id="67" w:name="_Toc67492452"/>
      <w:bookmarkStart w:id="68" w:name="_Toc71819711"/>
      <w:r w:rsidRPr="00D669E0">
        <w:t>SVEIKATOS</w:t>
      </w:r>
      <w:r w:rsidRPr="00B943CA">
        <w:t xml:space="preserve"> APSAUGA</w:t>
      </w:r>
      <w:bookmarkEnd w:id="67"/>
      <w:bookmarkEnd w:id="68"/>
    </w:p>
    <w:p w14:paraId="06A93225" w14:textId="77777777" w:rsidR="00A328D0" w:rsidRPr="00B943CA" w:rsidRDefault="00A328D0" w:rsidP="00A328D0">
      <w:pPr>
        <w:pStyle w:val="c01pointnumerotealtn"/>
        <w:shd w:val="clear" w:color="auto" w:fill="FFFFFF"/>
        <w:spacing w:before="0" w:beforeAutospacing="0" w:after="0"/>
        <w:ind w:left="0" w:firstLine="0"/>
        <w:rPr>
          <w:rFonts w:asciiTheme="minorHAnsi" w:hAnsiTheme="minorHAnsi" w:cstheme="minorHAnsi"/>
          <w:color w:val="000000"/>
          <w:sz w:val="22"/>
          <w:szCs w:val="22"/>
          <w:shd w:val="clear" w:color="auto" w:fill="FFFFFF"/>
        </w:rPr>
      </w:pPr>
    </w:p>
    <w:p w14:paraId="23F57535" w14:textId="77777777" w:rsidR="00A328D0" w:rsidRPr="00B943CA" w:rsidRDefault="00A328D0" w:rsidP="00D669E0">
      <w:pPr>
        <w:pStyle w:val="Antrat2"/>
      </w:pPr>
      <w:bookmarkStart w:id="69" w:name="_Toc67492453"/>
      <w:bookmarkStart w:id="70" w:name="_Toc71819712"/>
      <w:r w:rsidRPr="00B943CA">
        <w:t xml:space="preserve">2020 m. rugsėjo </w:t>
      </w:r>
      <w:r w:rsidRPr="00D669E0">
        <w:t>23</w:t>
      </w:r>
      <w:r w:rsidRPr="00B943CA">
        <w:t xml:space="preserve"> d. prejudicinis sprendimas byloje C</w:t>
      </w:r>
      <w:r w:rsidRPr="00B943CA">
        <w:noBreakHyphen/>
        <w:t>777/18</w:t>
      </w:r>
      <w:bookmarkEnd w:id="69"/>
      <w:bookmarkEnd w:id="70"/>
    </w:p>
    <w:p w14:paraId="1A9E3BD6" w14:textId="77777777" w:rsidR="00A328D0" w:rsidRPr="00B943CA" w:rsidRDefault="00A328D0" w:rsidP="00A328D0">
      <w:pPr>
        <w:jc w:val="center"/>
        <w:rPr>
          <w:rFonts w:asciiTheme="minorHAnsi" w:hAnsiTheme="minorHAnsi" w:cstheme="minorHAnsi"/>
          <w:b/>
          <w:bCs/>
          <w:i/>
        </w:rPr>
      </w:pPr>
      <w:r w:rsidRPr="00B943CA">
        <w:rPr>
          <w:rFonts w:asciiTheme="minorHAnsi" w:hAnsiTheme="minorHAnsi" w:cstheme="minorHAnsi"/>
          <w:b/>
          <w:bCs/>
          <w:i/>
        </w:rPr>
        <w:t>WO prieš Vas Megyei Kormányhivatal</w:t>
      </w:r>
    </w:p>
    <w:p w14:paraId="436A4274" w14:textId="77777777" w:rsidR="00A328D0" w:rsidRPr="00B943CA" w:rsidRDefault="00A328D0" w:rsidP="00A328D0">
      <w:pPr>
        <w:jc w:val="center"/>
        <w:rPr>
          <w:rFonts w:asciiTheme="minorHAnsi" w:hAnsiTheme="minorHAnsi" w:cstheme="minorHAnsi"/>
          <w:color w:val="000000"/>
          <w:shd w:val="clear" w:color="auto" w:fill="FFFFFF"/>
        </w:rPr>
      </w:pPr>
    </w:p>
    <w:p w14:paraId="5E844171" w14:textId="5393FF3F"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xml:space="preserve">Prašymas priimti prejudicinį sprendimą pateiktas dėl SESV 56 straipsnio, 2004 m. balandžio 29 d. Europos Parlamento ir Tarybos reglamento (EB) Nr. 883/2004 dėl socialinės apsaugos sistemų koordinavimo 20 straipsnio 1 dalies, 2009 m. rugsėjo 16 d. Europos Parlamento ir Tarybos reglamento (EB) Nr. 987/2009, nustatančio Reglamento Nr. 883/2004 dėl socialinės apsaugos sistemų koordinavimo įgyvendinimo tvarką (OL L 284, 2009, p. 1), 26 straipsnio 1 ir 3 dalių ir 2011 m. kovo 9 d. Europos Parlamento ir Tarybos direktyvos 2011/24/ES dėl pacientų teisių į tarpvalstybines sveikatos priežiūros paslaugas įgyvendinimo (OL L 88, 2011, p. 45) 8 straipsnio 1 dalies ir 9 straipsnio 3 dalies išaiškinimo. Šis prašymas pateiktas nagrinėjant </w:t>
      </w:r>
      <w:r w:rsidRPr="004424BD">
        <w:rPr>
          <w:rFonts w:asciiTheme="minorHAnsi" w:hAnsiTheme="minorHAnsi" w:cstheme="minorHAnsi"/>
          <w:i/>
          <w:iCs/>
          <w:color w:val="000000"/>
          <w:sz w:val="22"/>
          <w:szCs w:val="22"/>
          <w:shd w:val="clear" w:color="auto" w:fill="FFFFFF"/>
        </w:rPr>
        <w:t>WO</w:t>
      </w:r>
      <w:r w:rsidRPr="00B943CA">
        <w:rPr>
          <w:rFonts w:asciiTheme="minorHAnsi" w:hAnsiTheme="minorHAnsi" w:cstheme="minorHAnsi"/>
          <w:color w:val="000000"/>
          <w:sz w:val="22"/>
          <w:szCs w:val="22"/>
          <w:shd w:val="clear" w:color="auto" w:fill="FFFFFF"/>
        </w:rPr>
        <w:t xml:space="preserve"> ir </w:t>
      </w:r>
      <w:r w:rsidRPr="004424BD">
        <w:rPr>
          <w:rFonts w:asciiTheme="minorHAnsi" w:hAnsiTheme="minorHAnsi" w:cstheme="minorHAnsi"/>
          <w:color w:val="000000"/>
          <w:sz w:val="22"/>
          <w:szCs w:val="22"/>
          <w:shd w:val="clear" w:color="auto" w:fill="FFFFFF"/>
        </w:rPr>
        <w:t>Vas Megyei Kormányhivatal</w:t>
      </w:r>
      <w:r w:rsidRPr="00B943CA">
        <w:rPr>
          <w:rFonts w:asciiTheme="minorHAnsi" w:hAnsiTheme="minorHAnsi" w:cstheme="minorHAnsi"/>
          <w:i/>
          <w:iCs/>
          <w:color w:val="000000"/>
          <w:sz w:val="22"/>
          <w:szCs w:val="22"/>
          <w:shd w:val="clear" w:color="auto" w:fill="FFFFFF"/>
        </w:rPr>
        <w:t> </w:t>
      </w:r>
      <w:r w:rsidRPr="00B943CA">
        <w:rPr>
          <w:rFonts w:asciiTheme="minorHAnsi" w:hAnsiTheme="minorHAnsi" w:cstheme="minorHAnsi"/>
          <w:color w:val="000000"/>
          <w:sz w:val="22"/>
          <w:szCs w:val="22"/>
          <w:shd w:val="clear" w:color="auto" w:fill="FFFFFF"/>
        </w:rPr>
        <w:t xml:space="preserve">(Vašo medės administravimo tarnyba, Vengrija, toliau – Administravimo tarnyba) ginčą dėl pastarosios atsisakymo kompensuoti </w:t>
      </w:r>
      <w:r w:rsidRPr="004424BD">
        <w:rPr>
          <w:rFonts w:asciiTheme="minorHAnsi" w:hAnsiTheme="minorHAnsi" w:cstheme="minorHAnsi"/>
          <w:i/>
          <w:iCs/>
          <w:color w:val="000000"/>
          <w:sz w:val="22"/>
          <w:szCs w:val="22"/>
          <w:shd w:val="clear" w:color="auto" w:fill="FFFFFF"/>
        </w:rPr>
        <w:t xml:space="preserve">WO </w:t>
      </w:r>
      <w:r w:rsidRPr="00B943CA">
        <w:rPr>
          <w:rFonts w:asciiTheme="minorHAnsi" w:hAnsiTheme="minorHAnsi" w:cstheme="minorHAnsi"/>
          <w:color w:val="000000"/>
          <w:sz w:val="22"/>
          <w:szCs w:val="22"/>
          <w:shd w:val="clear" w:color="auto" w:fill="FFFFFF"/>
        </w:rPr>
        <w:t>išlaidas dėl Vokietijoje suteiktų tarpvalstybinių sveikatos priežiūros paslaugų (1–2 punktai).</w:t>
      </w:r>
    </w:p>
    <w:p w14:paraId="12CF7C12"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xml:space="preserve">Pagrindinėje byloje susiklostė tokios faktinės aplinkybės: 1987 m. Vengrijos piliečiui </w:t>
      </w:r>
      <w:r w:rsidRPr="004424BD">
        <w:rPr>
          <w:rFonts w:asciiTheme="minorHAnsi" w:hAnsiTheme="minorHAnsi" w:cstheme="minorHAnsi"/>
          <w:i/>
          <w:iCs/>
          <w:color w:val="000000"/>
          <w:sz w:val="22"/>
          <w:szCs w:val="22"/>
          <w:shd w:val="clear" w:color="auto" w:fill="FFFFFF"/>
        </w:rPr>
        <w:t>WO</w:t>
      </w:r>
      <w:r w:rsidRPr="00B943CA">
        <w:rPr>
          <w:rFonts w:asciiTheme="minorHAnsi" w:hAnsiTheme="minorHAnsi" w:cstheme="minorHAnsi"/>
          <w:color w:val="000000"/>
          <w:sz w:val="22"/>
          <w:szCs w:val="22"/>
          <w:shd w:val="clear" w:color="auto" w:fill="FFFFFF"/>
        </w:rPr>
        <w:t xml:space="preserve"> atšoko kairiosios akies tinklainė, dėl ko jis prarado regėjimą ta akimi. 2015 m. </w:t>
      </w:r>
      <w:r w:rsidRPr="004424BD">
        <w:rPr>
          <w:rFonts w:asciiTheme="minorHAnsi" w:hAnsiTheme="minorHAnsi" w:cstheme="minorHAnsi"/>
          <w:i/>
          <w:iCs/>
          <w:color w:val="000000"/>
          <w:sz w:val="22"/>
          <w:szCs w:val="22"/>
          <w:shd w:val="clear" w:color="auto" w:fill="FFFFFF"/>
        </w:rPr>
        <w:t>WO</w:t>
      </w:r>
      <w:r w:rsidRPr="00B943CA">
        <w:rPr>
          <w:rFonts w:asciiTheme="minorHAnsi" w:hAnsiTheme="minorHAnsi" w:cstheme="minorHAnsi"/>
          <w:color w:val="000000"/>
          <w:sz w:val="22"/>
          <w:szCs w:val="22"/>
          <w:shd w:val="clear" w:color="auto" w:fill="FFFFFF"/>
        </w:rPr>
        <w:t xml:space="preserve"> buvo diagnozuota dešinosios akies glaukoma. Jam suteiktas gydymas keliose Vengrijos gydymo įstaigose buvo nesėkmingas, jo regėjimo laukas nenustojo mažėti, o intraokuliarinio spaudimo rodikliai buvo aukšti. 2016 m. rugsėjo 29 d. </w:t>
      </w:r>
      <w:r w:rsidRPr="004424BD">
        <w:rPr>
          <w:rFonts w:asciiTheme="minorHAnsi" w:hAnsiTheme="minorHAnsi" w:cstheme="minorHAnsi"/>
          <w:i/>
          <w:iCs/>
          <w:color w:val="000000"/>
          <w:sz w:val="22"/>
          <w:szCs w:val="22"/>
          <w:shd w:val="clear" w:color="auto" w:fill="FFFFFF"/>
        </w:rPr>
        <w:t>WO</w:t>
      </w:r>
      <w:r w:rsidRPr="00B943CA">
        <w:rPr>
          <w:rFonts w:asciiTheme="minorHAnsi" w:hAnsiTheme="minorHAnsi" w:cstheme="minorHAnsi"/>
          <w:color w:val="000000"/>
          <w:sz w:val="22"/>
          <w:szCs w:val="22"/>
          <w:shd w:val="clear" w:color="auto" w:fill="FFFFFF"/>
        </w:rPr>
        <w:t xml:space="preserve"> susisiekė su Recklinghausen (Vokietija) dirbančiu gydytoju, šis jam 2016 m. spalio 17 d. paskyrė sveikatos patikrą. Gydytojas informavo </w:t>
      </w:r>
      <w:r w:rsidRPr="004424BD">
        <w:rPr>
          <w:rFonts w:asciiTheme="minorHAnsi" w:hAnsiTheme="minorHAnsi" w:cstheme="minorHAnsi"/>
          <w:i/>
          <w:iCs/>
          <w:color w:val="000000"/>
          <w:sz w:val="22"/>
          <w:szCs w:val="22"/>
          <w:shd w:val="clear" w:color="auto" w:fill="FFFFFF"/>
        </w:rPr>
        <w:t>WO</w:t>
      </w:r>
      <w:r w:rsidRPr="00B943CA">
        <w:rPr>
          <w:rFonts w:asciiTheme="minorHAnsi" w:hAnsiTheme="minorHAnsi" w:cstheme="minorHAnsi"/>
          <w:color w:val="000000"/>
          <w:sz w:val="22"/>
          <w:szCs w:val="22"/>
          <w:shd w:val="clear" w:color="auto" w:fill="FFFFFF"/>
        </w:rPr>
        <w:t xml:space="preserve">, kad patikra gali užtrukti ilgiau, nes prireikus 2016 m. spalio 18 d. jam bus atlikta oftalmologinė operacija. Po 2016 m. spalio 17 d. </w:t>
      </w:r>
      <w:r w:rsidRPr="004424BD">
        <w:rPr>
          <w:rFonts w:asciiTheme="minorHAnsi" w:hAnsiTheme="minorHAnsi" w:cstheme="minorHAnsi"/>
          <w:i/>
          <w:iCs/>
          <w:color w:val="000000"/>
          <w:sz w:val="22"/>
          <w:szCs w:val="22"/>
          <w:shd w:val="clear" w:color="auto" w:fill="FFFFFF"/>
        </w:rPr>
        <w:t>WO</w:t>
      </w:r>
      <w:r w:rsidRPr="00B943CA">
        <w:rPr>
          <w:rFonts w:asciiTheme="minorHAnsi" w:hAnsiTheme="minorHAnsi" w:cstheme="minorHAnsi"/>
          <w:color w:val="000000"/>
          <w:sz w:val="22"/>
          <w:szCs w:val="22"/>
          <w:shd w:val="clear" w:color="auto" w:fill="FFFFFF"/>
        </w:rPr>
        <w:t xml:space="preserve"> atliktos patikros Vokietijoje gydytojas nusprendė, kad oftalmologinė operacija turi būti atliekama skubiai, kad būtų išsaugotas </w:t>
      </w:r>
      <w:r w:rsidRPr="004424BD">
        <w:rPr>
          <w:rFonts w:asciiTheme="minorHAnsi" w:hAnsiTheme="minorHAnsi" w:cstheme="minorHAnsi"/>
          <w:i/>
          <w:iCs/>
          <w:color w:val="000000"/>
          <w:sz w:val="22"/>
          <w:szCs w:val="22"/>
          <w:shd w:val="clear" w:color="auto" w:fill="FFFFFF"/>
        </w:rPr>
        <w:t>WO</w:t>
      </w:r>
      <w:r w:rsidRPr="00B943CA">
        <w:rPr>
          <w:rFonts w:asciiTheme="minorHAnsi" w:hAnsiTheme="minorHAnsi" w:cstheme="minorHAnsi"/>
          <w:color w:val="000000"/>
          <w:sz w:val="22"/>
          <w:szCs w:val="22"/>
          <w:shd w:val="clear" w:color="auto" w:fill="FFFFFF"/>
        </w:rPr>
        <w:t xml:space="preserve"> regėjimas. Ji buvo sėkmingai atlikta 2016 m. spalio 18 d. (21–24 punktai).</w:t>
      </w:r>
    </w:p>
    <w:p w14:paraId="3CD78738"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lastRenderedPageBreak/>
        <w:t xml:space="preserve">Administravimo tarnyba atmetė </w:t>
      </w:r>
      <w:r w:rsidRPr="004424BD">
        <w:rPr>
          <w:rFonts w:asciiTheme="minorHAnsi" w:hAnsiTheme="minorHAnsi" w:cstheme="minorHAnsi"/>
          <w:i/>
          <w:iCs/>
          <w:color w:val="000000"/>
          <w:sz w:val="22"/>
          <w:szCs w:val="22"/>
          <w:shd w:val="clear" w:color="auto" w:fill="FFFFFF"/>
        </w:rPr>
        <w:t>WO</w:t>
      </w:r>
      <w:r w:rsidRPr="00B943CA">
        <w:rPr>
          <w:rFonts w:asciiTheme="minorHAnsi" w:hAnsiTheme="minorHAnsi" w:cstheme="minorHAnsi"/>
          <w:color w:val="000000"/>
          <w:sz w:val="22"/>
          <w:szCs w:val="22"/>
          <w:shd w:val="clear" w:color="auto" w:fill="FFFFFF"/>
        </w:rPr>
        <w:t xml:space="preserve"> pateiktą prašymą kompensuoti tarpvalstybines sveikatos priežiūros paslaugų išlaidas, o dėl šio sprendimo pateiktas administracinis skundas buvo atmestas </w:t>
      </w:r>
      <w:r w:rsidRPr="004424BD">
        <w:rPr>
          <w:rFonts w:asciiTheme="minorHAnsi" w:hAnsiTheme="minorHAnsi" w:cstheme="minorHAnsi"/>
          <w:color w:val="000000"/>
          <w:sz w:val="22"/>
          <w:szCs w:val="22"/>
          <w:shd w:val="clear" w:color="auto" w:fill="FFFFFF"/>
        </w:rPr>
        <w:t>Budapest Főváros Kormányhivatala</w:t>
      </w:r>
      <w:r w:rsidRPr="00B943CA">
        <w:rPr>
          <w:rFonts w:asciiTheme="minorHAnsi" w:hAnsiTheme="minorHAnsi" w:cstheme="minorHAnsi"/>
          <w:color w:val="000000"/>
          <w:sz w:val="22"/>
          <w:szCs w:val="22"/>
          <w:shd w:val="clear" w:color="auto" w:fill="FFFFFF"/>
        </w:rPr>
        <w:t> (Budapešto administravimo tarnyba, Vengrija). WO pareiškė ieškinį prašymą priimti prejudicinį sprendimą pateikusiame teisme dėl sprendimo atsisakyti kompensuoti sveikatos priežiūros paslaugas (25–26 punktai).</w:t>
      </w:r>
    </w:p>
    <w:p w14:paraId="336B5087"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4424BD">
        <w:rPr>
          <w:rFonts w:asciiTheme="minorHAnsi" w:hAnsiTheme="minorHAnsi" w:cstheme="minorHAnsi"/>
          <w:color w:val="000000"/>
          <w:sz w:val="22"/>
          <w:szCs w:val="22"/>
          <w:shd w:val="clear" w:color="auto" w:fill="FFFFFF"/>
        </w:rPr>
        <w:t>Szombathelyi Közigazgatási és Munkaügyi Bíróság</w:t>
      </w:r>
      <w:r w:rsidRPr="00B943CA">
        <w:rPr>
          <w:rFonts w:asciiTheme="minorHAnsi" w:hAnsiTheme="minorHAnsi" w:cstheme="minorHAnsi"/>
          <w:color w:val="000000"/>
          <w:sz w:val="22"/>
          <w:szCs w:val="22"/>
          <w:shd w:val="clear" w:color="auto" w:fill="FFFFFF"/>
        </w:rPr>
        <w:t> (Sombathėjaus administracinių ir darbo bylų teismas, Vengrija) nusprendė sustabdyti bylos nagrinėjimą ir pateikti Teisingumo Teismui prejudicinius klausimus dėl SESV 56 straipsnio, kuriame įtvirtinta laisvė teikti paslaugas, ir tam tikrų Sąjungos antrinės teisės nuostatų, t. y. Reglamento Nr. 883/2004 20 straipsnio, Reglamento Nr. 987/2009 26 straipsnio ir Direktyvos 2011/24 8 straipsnio 1 dalies ir 9 straipsnio 3 dalies išaiškinimo (31 punktas).</w:t>
      </w:r>
    </w:p>
    <w:p w14:paraId="36FD1513" w14:textId="77777777" w:rsidR="00A328D0" w:rsidRPr="00B943CA" w:rsidRDefault="00A328D0" w:rsidP="00A328D0">
      <w:pPr>
        <w:pStyle w:val="c01pointnumerotealtn"/>
        <w:shd w:val="clear" w:color="auto" w:fill="FFFFFF"/>
        <w:spacing w:before="0" w:beforeAutospacing="0" w:after="0"/>
        <w:ind w:firstLine="0"/>
        <w:rPr>
          <w:rFonts w:asciiTheme="minorHAnsi" w:hAnsiTheme="minorHAnsi" w:cstheme="minorHAnsi"/>
          <w:color w:val="000000"/>
          <w:sz w:val="22"/>
          <w:szCs w:val="22"/>
          <w:shd w:val="clear" w:color="auto" w:fill="FFFFFF"/>
        </w:rPr>
      </w:pPr>
    </w:p>
    <w:p w14:paraId="261E3F10" w14:textId="77777777" w:rsidR="00A328D0" w:rsidRPr="00C47F2E" w:rsidRDefault="00A328D0" w:rsidP="00C47F2E">
      <w:pPr>
        <w:pStyle w:val="Antrat3"/>
        <w:ind w:firstLine="567"/>
      </w:pPr>
      <w:bookmarkStart w:id="71" w:name="_Toc71819713"/>
      <w:r w:rsidRPr="00C47F2E">
        <w:t>Dėl sąvokos „planinis gydymas“ ir dėl tokio gydymo išlaidų apmokėjimo sąlygų</w:t>
      </w:r>
      <w:bookmarkEnd w:id="71"/>
    </w:p>
    <w:p w14:paraId="71661563" w14:textId="77777777" w:rsidR="00A328D0" w:rsidRPr="00B943CA" w:rsidRDefault="00A328D0" w:rsidP="00A328D0">
      <w:pPr>
        <w:pStyle w:val="c01pointnumerotealtn"/>
        <w:shd w:val="clear" w:color="auto" w:fill="FFFFFF"/>
        <w:spacing w:before="0" w:beforeAutospacing="0" w:after="0"/>
        <w:ind w:left="0" w:firstLine="0"/>
        <w:rPr>
          <w:rFonts w:asciiTheme="minorHAnsi" w:hAnsiTheme="minorHAnsi" w:cstheme="minorHAnsi"/>
          <w:color w:val="000000"/>
          <w:sz w:val="22"/>
          <w:szCs w:val="22"/>
          <w:shd w:val="clear" w:color="auto" w:fill="FFFFFF"/>
        </w:rPr>
      </w:pPr>
    </w:p>
    <w:p w14:paraId="744F693A"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xml:space="preserve">Teisingumo Teismas išaiškino, kad </w:t>
      </w:r>
      <w:r w:rsidRPr="00B943CA">
        <w:rPr>
          <w:rFonts w:asciiTheme="minorHAnsi" w:hAnsiTheme="minorHAnsi" w:cstheme="minorHAnsi"/>
          <w:color w:val="000000"/>
          <w:sz w:val="22"/>
          <w:szCs w:val="22"/>
          <w:u w:val="single"/>
          <w:shd w:val="clear" w:color="auto" w:fill="FFFFFF"/>
        </w:rPr>
        <w:t>kitoje nei apdraustojo gyvenamosios vietos valstybėje narėje tik apdraustojo sprendimu suteiktas gydymas dėl to, kad, jo nuomone, toks gydymas ar toks pat veiksmingas gydymas negalėjo būti suteiktas per mediciniškai pagrįstą laiką jo gyvenamosios vietos valstybėje narėje, patenka į sąvoką „planinis gydymas“, kaip ji suprantama pagal Reglamento Nr. 883/2004 20 straipsnį, siejamą su Reglamento Nr. 987/2009 26 straipsniu.</w:t>
      </w:r>
      <w:r w:rsidRPr="00B943CA">
        <w:rPr>
          <w:rFonts w:asciiTheme="minorHAnsi" w:hAnsiTheme="minorHAnsi" w:cstheme="minorHAnsi"/>
          <w:color w:val="000000"/>
          <w:sz w:val="22"/>
          <w:szCs w:val="22"/>
          <w:shd w:val="clear" w:color="auto" w:fill="FFFFFF"/>
        </w:rPr>
        <w:t xml:space="preserve"> Šiomis sąlygomis toks gydymas, remiantis pirmojo reglamento 20 straipsnio 1 dalimi, suteikiamas gavus gyvenamosios vietos valstybės narės leidimą (44 punktas).</w:t>
      </w:r>
    </w:p>
    <w:p w14:paraId="2584D66D"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7422CCEA" w14:textId="77777777" w:rsidR="00A328D0" w:rsidRPr="00C47F2E" w:rsidRDefault="00A328D0" w:rsidP="00C47F2E">
      <w:pPr>
        <w:pStyle w:val="Antrat3"/>
        <w:ind w:firstLine="567"/>
      </w:pPr>
      <w:bookmarkStart w:id="72" w:name="_Toc67492454"/>
      <w:bookmarkStart w:id="73" w:name="_Toc71819714"/>
      <w:r w:rsidRPr="00C47F2E">
        <w:t>Dėl teisės į planinio gydymo išlaidų kompensavimą neturint išankstinio leidimo</w:t>
      </w:r>
      <w:bookmarkEnd w:id="72"/>
      <w:bookmarkEnd w:id="73"/>
    </w:p>
    <w:p w14:paraId="761C2B7C" w14:textId="77777777" w:rsidR="00A328D0" w:rsidRPr="00B943CA" w:rsidRDefault="00A328D0" w:rsidP="00A328D0">
      <w:pPr>
        <w:pStyle w:val="c01pointnumerotealtn"/>
        <w:shd w:val="clear" w:color="auto" w:fill="FFFFFF"/>
        <w:spacing w:before="0" w:beforeAutospacing="0" w:after="0"/>
        <w:ind w:left="0" w:firstLine="0"/>
        <w:rPr>
          <w:rFonts w:asciiTheme="minorHAnsi" w:hAnsiTheme="minorHAnsi" w:cstheme="minorHAnsi"/>
          <w:color w:val="000000"/>
          <w:sz w:val="22"/>
          <w:szCs w:val="22"/>
          <w:shd w:val="clear" w:color="auto" w:fill="FFFFFF"/>
        </w:rPr>
      </w:pPr>
    </w:p>
    <w:p w14:paraId="31BD2544"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Teisingumo Teismas jau yra nustatęs du atvejus, kada apdraustasis, net neturėdamas tinkamai suteikto leidimo iki numatyto gydymo valstybėje narėje, į kurią jis vyksta, pradžios, turi teisę, kad kompetentinga įstaiga jam tiesiogiai kompensuotų tokią gydymo išlaidų sumą, kurią jis įprastai gautų, jeigu turėtų tokį leidimą (46 punktas).</w:t>
      </w:r>
    </w:p>
    <w:p w14:paraId="404B66DD" w14:textId="2E56FE02"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xml:space="preserve">Pirmuoju atveju </w:t>
      </w:r>
      <w:r w:rsidRPr="00B943CA">
        <w:rPr>
          <w:rFonts w:asciiTheme="minorHAnsi" w:hAnsiTheme="minorHAnsi" w:cstheme="minorHAnsi"/>
          <w:color w:val="000000"/>
          <w:sz w:val="22"/>
          <w:szCs w:val="22"/>
          <w:u w:val="single"/>
          <w:shd w:val="clear" w:color="auto" w:fill="FFFFFF"/>
        </w:rPr>
        <w:t>apdraustasis turi teisę gauti tokią kompensaciją, jei kompetentinga institucija atmetė prašymą suteikti leidimą, o vėliau ta pati institucija arba teismas pripažino tokį sprendimą nepagrįstu</w:t>
      </w:r>
      <w:r w:rsidRPr="00B943CA">
        <w:rPr>
          <w:rFonts w:asciiTheme="minorHAnsi" w:hAnsiTheme="minorHAnsi" w:cstheme="minorHAnsi"/>
          <w:color w:val="000000"/>
          <w:sz w:val="22"/>
          <w:szCs w:val="22"/>
          <w:shd w:val="clear" w:color="auto" w:fill="FFFFFF"/>
        </w:rPr>
        <w:t xml:space="preserve"> (pagal analogiją, kiek tai susiję su Reglamento Nr. 1408/71 22 straipsnio 1 dalies c punktu, žr. 2001 m. liepos 12 d.</w:t>
      </w:r>
      <w:r w:rsidR="008C2145" w:rsidRPr="00B943CA">
        <w:rPr>
          <w:rFonts w:asciiTheme="minorHAnsi" w:hAnsiTheme="minorHAnsi" w:cstheme="minorHAnsi"/>
          <w:color w:val="000000"/>
          <w:sz w:val="22"/>
          <w:szCs w:val="22"/>
          <w:shd w:val="clear" w:color="auto" w:fill="FFFFFF"/>
        </w:rPr>
        <w:t xml:space="preserve"> S</w:t>
      </w:r>
      <w:r w:rsidRPr="00B943CA">
        <w:rPr>
          <w:rFonts w:asciiTheme="minorHAnsi" w:hAnsiTheme="minorHAnsi" w:cstheme="minorHAnsi"/>
          <w:color w:val="000000"/>
          <w:sz w:val="22"/>
          <w:szCs w:val="22"/>
          <w:shd w:val="clear" w:color="auto" w:fill="FFFFFF"/>
        </w:rPr>
        <w:t>prendimo </w:t>
      </w:r>
      <w:r w:rsidRPr="00B943CA">
        <w:rPr>
          <w:rFonts w:asciiTheme="minorHAnsi" w:hAnsiTheme="minorHAnsi" w:cstheme="minorHAnsi"/>
          <w:i/>
          <w:iCs/>
          <w:color w:val="000000"/>
          <w:sz w:val="22"/>
          <w:szCs w:val="22"/>
          <w:shd w:val="clear" w:color="auto" w:fill="FFFFFF"/>
        </w:rPr>
        <w:t>Vanbraekel ir kt.</w:t>
      </w:r>
      <w:r w:rsidRPr="00B943CA">
        <w:rPr>
          <w:rFonts w:asciiTheme="minorHAnsi" w:hAnsiTheme="minorHAnsi" w:cstheme="minorHAnsi"/>
          <w:color w:val="000000"/>
          <w:sz w:val="22"/>
          <w:szCs w:val="22"/>
          <w:shd w:val="clear" w:color="auto" w:fill="FFFFFF"/>
        </w:rPr>
        <w:t>, C</w:t>
      </w:r>
      <w:r w:rsidRPr="00B943CA">
        <w:rPr>
          <w:rFonts w:asciiTheme="minorHAnsi" w:hAnsiTheme="minorHAnsi" w:cstheme="minorHAnsi"/>
          <w:color w:val="000000"/>
          <w:sz w:val="22"/>
          <w:szCs w:val="22"/>
          <w:shd w:val="clear" w:color="auto" w:fill="FFFFFF"/>
        </w:rPr>
        <w:noBreakHyphen/>
        <w:t>368/98, EU:C:2001:400, 34 punktą) (47 punktas).</w:t>
      </w:r>
    </w:p>
    <w:p w14:paraId="27B5F8DD" w14:textId="0B3F4DCE"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xml:space="preserve">Antruoju atveju </w:t>
      </w:r>
      <w:r w:rsidRPr="00B943CA">
        <w:rPr>
          <w:rFonts w:asciiTheme="minorHAnsi" w:hAnsiTheme="minorHAnsi" w:cstheme="minorHAnsi"/>
          <w:color w:val="000000"/>
          <w:sz w:val="22"/>
          <w:szCs w:val="22"/>
          <w:u w:val="single"/>
          <w:shd w:val="clear" w:color="auto" w:fill="FFFFFF"/>
        </w:rPr>
        <w:t>apdraustasis turi teisę, kad kompetentinga įstaiga jam tiesiogiai kompensuotų tokią gydymo išlaidų sumą, kurią jis įprastai gautų, jeigu turėtų leidimą, kai dėl priežasčių, susijusių su sveikatos būkle ar būtinybe skubiai gydytis ligoninėje, neturėjo galimybių pateikti prašymą suteikti leidimą arba negalėjo laukti kompetentingos įstaigos sprendimo dėl pateikto prašymo</w:t>
      </w:r>
      <w:r w:rsidRPr="00B943CA">
        <w:rPr>
          <w:rFonts w:asciiTheme="minorHAnsi" w:hAnsiTheme="minorHAnsi" w:cstheme="minorHAnsi"/>
          <w:color w:val="000000"/>
          <w:sz w:val="22"/>
          <w:szCs w:val="22"/>
          <w:shd w:val="clear" w:color="auto" w:fill="FFFFFF"/>
        </w:rPr>
        <w:t xml:space="preserve">. Šiuo klausimu Teisingumo Teismas yra nusprendęs, kad dėl teisės aktų, pagal kuriuos bet kuriuo atveju draudžiama apmokėti kitoje valstybėje narėje suteikto gydymo ligoninėje išlaidas be leidimo, apdraustasis asmuo netenka teisės į tokio gydymo išlaidų apmokėjimą, net jei visos kitos sąlygos įvykdytos. Tokių nuostatų negalima pateisinti privalomaisiais bendrojo intereso pagrindais ir bet kuriuo atveju jos neatitinka proporcingumo reikalavimo, todėl yra nepateisinamas laisvės teikti paslaugas apribojimas (pagal analogiją, kiek tai susiję su EB 49 straipsniu ir Reglamentu Nr. 1408/71, žr. </w:t>
      </w:r>
      <w:r w:rsidR="008C2145" w:rsidRPr="00B943CA">
        <w:rPr>
          <w:rFonts w:asciiTheme="minorHAnsi" w:hAnsiTheme="minorHAnsi" w:cstheme="minorHAnsi"/>
          <w:color w:val="000000"/>
          <w:sz w:val="22"/>
          <w:szCs w:val="22"/>
          <w:shd w:val="clear" w:color="auto" w:fill="FFFFFF"/>
        </w:rPr>
        <w:t>S</w:t>
      </w:r>
      <w:r w:rsidRPr="00B943CA">
        <w:rPr>
          <w:rFonts w:asciiTheme="minorHAnsi" w:hAnsiTheme="minorHAnsi" w:cstheme="minorHAnsi"/>
          <w:color w:val="000000"/>
          <w:sz w:val="22"/>
          <w:szCs w:val="22"/>
          <w:shd w:val="clear" w:color="auto" w:fill="FFFFFF"/>
        </w:rPr>
        <w:t>prendimo </w:t>
      </w:r>
      <w:r w:rsidRPr="00B943CA">
        <w:rPr>
          <w:rFonts w:asciiTheme="minorHAnsi" w:hAnsiTheme="minorHAnsi" w:cstheme="minorHAnsi"/>
          <w:i/>
          <w:iCs/>
          <w:color w:val="000000"/>
          <w:sz w:val="22"/>
          <w:szCs w:val="22"/>
          <w:shd w:val="clear" w:color="auto" w:fill="FFFFFF"/>
        </w:rPr>
        <w:t>Elchinov</w:t>
      </w:r>
      <w:r w:rsidRPr="00B943CA">
        <w:rPr>
          <w:rFonts w:asciiTheme="minorHAnsi" w:hAnsiTheme="minorHAnsi" w:cstheme="minorHAnsi"/>
          <w:color w:val="000000"/>
          <w:sz w:val="22"/>
          <w:szCs w:val="22"/>
          <w:shd w:val="clear" w:color="auto" w:fill="FFFFFF"/>
        </w:rPr>
        <w:t> 45–47, 51 ir 75 punktus) (48 punktas).</w:t>
      </w:r>
    </w:p>
    <w:p w14:paraId="0B190231"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5975C55A" w14:textId="77777777" w:rsidR="00A328D0" w:rsidRPr="00C47F2E" w:rsidRDefault="00A328D0" w:rsidP="00E10062">
      <w:pPr>
        <w:pStyle w:val="Antrat3"/>
        <w:ind w:firstLine="567"/>
      </w:pPr>
      <w:bookmarkStart w:id="74" w:name="_Toc67492455"/>
      <w:bookmarkStart w:id="75" w:name="_Toc71819715"/>
      <w:r w:rsidRPr="00C47F2E">
        <w:t>Dėl išankstinio leidimo atsižvelgiant į SESV 56 straipsnį ir į Direktyvą 2011/24</w:t>
      </w:r>
      <w:bookmarkEnd w:id="74"/>
      <w:bookmarkEnd w:id="75"/>
    </w:p>
    <w:p w14:paraId="1620E657" w14:textId="77777777" w:rsidR="00A328D0" w:rsidRPr="00B943CA" w:rsidRDefault="00A328D0" w:rsidP="00A328D0">
      <w:pPr>
        <w:pStyle w:val="c01pointnumerotealtn"/>
        <w:shd w:val="clear" w:color="auto" w:fill="FFFFFF"/>
        <w:spacing w:before="0" w:beforeAutospacing="0" w:after="0"/>
        <w:ind w:left="0" w:firstLine="0"/>
        <w:rPr>
          <w:rFonts w:asciiTheme="minorHAnsi" w:hAnsiTheme="minorHAnsi" w:cstheme="minorHAnsi"/>
          <w:color w:val="000000"/>
          <w:sz w:val="22"/>
          <w:szCs w:val="22"/>
          <w:shd w:val="clear" w:color="auto" w:fill="FFFFFF"/>
        </w:rPr>
      </w:pPr>
    </w:p>
    <w:p w14:paraId="07314684" w14:textId="0C7C34A9"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u w:val="single"/>
          <w:shd w:val="clear" w:color="auto" w:fill="FFFFFF"/>
        </w:rPr>
        <w:t xml:space="preserve">Apdraustieji, kurie gydomi kitoje nei draudimo valstybėje narėje be išankstinio leidimo, turi teisę tik į tokių išlaidų, kokios yra numatytos draudimo valstybės narės sveikatos draudimo sistemoje, kompensavimą </w:t>
      </w:r>
      <w:r w:rsidRPr="00B943CA">
        <w:rPr>
          <w:rFonts w:asciiTheme="minorHAnsi" w:hAnsiTheme="minorHAnsi" w:cstheme="minorHAnsi"/>
          <w:color w:val="000000"/>
          <w:sz w:val="22"/>
          <w:szCs w:val="22"/>
          <w:shd w:val="clear" w:color="auto" w:fill="FFFFFF"/>
        </w:rPr>
        <w:t>(pagal analogiją žr. Sprendimo </w:t>
      </w:r>
      <w:r w:rsidRPr="00B943CA">
        <w:rPr>
          <w:rFonts w:asciiTheme="minorHAnsi" w:hAnsiTheme="minorHAnsi" w:cstheme="minorHAnsi"/>
          <w:i/>
          <w:iCs/>
          <w:color w:val="000000"/>
          <w:sz w:val="22"/>
          <w:szCs w:val="22"/>
          <w:shd w:val="clear" w:color="auto" w:fill="FFFFFF"/>
        </w:rPr>
        <w:t>Elchinov</w:t>
      </w:r>
      <w:r w:rsidRPr="00B943CA">
        <w:rPr>
          <w:rFonts w:asciiTheme="minorHAnsi" w:hAnsiTheme="minorHAnsi" w:cstheme="minorHAnsi"/>
          <w:color w:val="000000"/>
          <w:sz w:val="22"/>
          <w:szCs w:val="22"/>
          <w:shd w:val="clear" w:color="auto" w:fill="FFFFFF"/>
        </w:rPr>
        <w:t> 80 punktą ir jame nurodytą jurisprudenciją). Be to, sveikatos priežiūros paslaugų suteikimo sąlygos gali būti taikomos ir kitoje nei draudimo valstybėje narėje, jeigu jos nėra diskriminuojančios ir neriboja laisvo asmenų judėjimo. Tas pats pasakyta, be kita ko, apie reikalavimą iš anksto pasikonsultuoti su bendrosios praktikos gydytoju prieš kreipiantis į gydytoją specialistą (2003</w:t>
      </w:r>
      <w:r w:rsidR="00F013BA" w:rsidRPr="00B943CA">
        <w:rPr>
          <w:rFonts w:asciiTheme="minorHAnsi" w:hAnsiTheme="minorHAnsi" w:cstheme="minorHAnsi"/>
          <w:color w:val="000000"/>
          <w:sz w:val="22"/>
          <w:szCs w:val="22"/>
          <w:shd w:val="clear" w:color="auto" w:fill="FFFFFF"/>
        </w:rPr>
        <w:t> </w:t>
      </w:r>
      <w:r w:rsidRPr="00B943CA">
        <w:rPr>
          <w:rFonts w:asciiTheme="minorHAnsi" w:hAnsiTheme="minorHAnsi" w:cstheme="minorHAnsi"/>
          <w:color w:val="000000"/>
          <w:sz w:val="22"/>
          <w:szCs w:val="22"/>
          <w:shd w:val="clear" w:color="auto" w:fill="FFFFFF"/>
        </w:rPr>
        <w:t>m.</w:t>
      </w:r>
      <w:r w:rsidR="00F013BA" w:rsidRPr="00B943CA">
        <w:rPr>
          <w:rFonts w:asciiTheme="minorHAnsi" w:hAnsiTheme="minorHAnsi" w:cstheme="minorHAnsi"/>
          <w:color w:val="000000"/>
          <w:sz w:val="22"/>
          <w:szCs w:val="22"/>
          <w:shd w:val="clear" w:color="auto" w:fill="FFFFFF"/>
        </w:rPr>
        <w:t> </w:t>
      </w:r>
      <w:r w:rsidRPr="00B943CA">
        <w:rPr>
          <w:rFonts w:asciiTheme="minorHAnsi" w:hAnsiTheme="minorHAnsi" w:cstheme="minorHAnsi"/>
          <w:color w:val="000000"/>
          <w:sz w:val="22"/>
          <w:szCs w:val="22"/>
          <w:shd w:val="clear" w:color="auto" w:fill="FFFFFF"/>
        </w:rPr>
        <w:t>gegužės</w:t>
      </w:r>
      <w:r w:rsidR="00F013BA" w:rsidRPr="00B943CA">
        <w:rPr>
          <w:rFonts w:asciiTheme="minorHAnsi" w:hAnsiTheme="minorHAnsi" w:cstheme="minorHAnsi"/>
          <w:color w:val="000000"/>
          <w:sz w:val="22"/>
          <w:szCs w:val="22"/>
          <w:shd w:val="clear" w:color="auto" w:fill="FFFFFF"/>
        </w:rPr>
        <w:t>  </w:t>
      </w:r>
      <w:r w:rsidRPr="00B943CA">
        <w:rPr>
          <w:rFonts w:asciiTheme="minorHAnsi" w:hAnsiTheme="minorHAnsi" w:cstheme="minorHAnsi"/>
          <w:color w:val="000000"/>
          <w:sz w:val="22"/>
          <w:szCs w:val="22"/>
          <w:shd w:val="clear" w:color="auto" w:fill="FFFFFF"/>
        </w:rPr>
        <w:t>13</w:t>
      </w:r>
      <w:r w:rsidR="00F013BA" w:rsidRPr="00B943CA">
        <w:rPr>
          <w:rFonts w:asciiTheme="minorHAnsi" w:hAnsiTheme="minorHAnsi" w:cstheme="minorHAnsi"/>
          <w:color w:val="000000"/>
          <w:sz w:val="22"/>
          <w:szCs w:val="22"/>
          <w:shd w:val="clear" w:color="auto" w:fill="FFFFFF"/>
        </w:rPr>
        <w:t> </w:t>
      </w:r>
      <w:r w:rsidRPr="00B943CA">
        <w:rPr>
          <w:rFonts w:asciiTheme="minorHAnsi" w:hAnsiTheme="minorHAnsi" w:cstheme="minorHAnsi"/>
          <w:color w:val="000000"/>
          <w:sz w:val="22"/>
          <w:szCs w:val="22"/>
          <w:shd w:val="clear" w:color="auto" w:fill="FFFFFF"/>
        </w:rPr>
        <w:t>d. Sprendimo </w:t>
      </w:r>
      <w:r w:rsidRPr="00B943CA">
        <w:rPr>
          <w:rFonts w:asciiTheme="minorHAnsi" w:hAnsiTheme="minorHAnsi" w:cstheme="minorHAnsi"/>
          <w:i/>
          <w:iCs/>
          <w:color w:val="000000"/>
          <w:sz w:val="22"/>
          <w:szCs w:val="22"/>
          <w:shd w:val="clear" w:color="auto" w:fill="FFFFFF"/>
        </w:rPr>
        <w:t>Müller-Fauré ir van Riet</w:t>
      </w:r>
      <w:r w:rsidRPr="00B943CA">
        <w:rPr>
          <w:rFonts w:asciiTheme="minorHAnsi" w:hAnsiTheme="minorHAnsi" w:cstheme="minorHAnsi"/>
          <w:color w:val="000000"/>
          <w:sz w:val="22"/>
          <w:szCs w:val="22"/>
          <w:shd w:val="clear" w:color="auto" w:fill="FFFFFF"/>
        </w:rPr>
        <w:t>, C</w:t>
      </w:r>
      <w:r w:rsidRPr="00B943CA">
        <w:rPr>
          <w:rFonts w:asciiTheme="minorHAnsi" w:hAnsiTheme="minorHAnsi" w:cstheme="minorHAnsi"/>
          <w:color w:val="000000"/>
          <w:sz w:val="22"/>
          <w:szCs w:val="22"/>
          <w:shd w:val="clear" w:color="auto" w:fill="FFFFFF"/>
        </w:rPr>
        <w:noBreakHyphen/>
        <w:t>385/99, EU:C:2003:270, 98 ir 106 punktai) (63 punktas).</w:t>
      </w:r>
    </w:p>
    <w:p w14:paraId="086ADE31" w14:textId="59B5C562"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xml:space="preserve">Teisingumo Teismas taip pat patikslino, kad </w:t>
      </w:r>
      <w:r w:rsidRPr="00B943CA">
        <w:rPr>
          <w:rFonts w:asciiTheme="minorHAnsi" w:hAnsiTheme="minorHAnsi" w:cstheme="minorHAnsi"/>
          <w:color w:val="000000"/>
          <w:sz w:val="22"/>
          <w:szCs w:val="22"/>
          <w:u w:val="single"/>
          <w:shd w:val="clear" w:color="auto" w:fill="FFFFFF"/>
        </w:rPr>
        <w:t>nedraudžiama valstybei narei nustatyti kompensacijos sumas, į kurias pacientai, kuriems buvo suteiktas gydymas kitoje valstybėje narėje, gali pretenduoti, tačiau jos turi būti pagrįstos objektyviais, nediskriminuojančiais ir skaidriais kriterijais</w:t>
      </w:r>
      <w:r w:rsidRPr="00B943CA">
        <w:rPr>
          <w:rFonts w:asciiTheme="minorHAnsi" w:hAnsiTheme="minorHAnsi" w:cstheme="minorHAnsi"/>
          <w:color w:val="000000"/>
          <w:sz w:val="22"/>
          <w:szCs w:val="22"/>
          <w:shd w:val="clear" w:color="auto" w:fill="FFFFFF"/>
        </w:rPr>
        <w:t xml:space="preserve"> (šiuo klausimu žr. </w:t>
      </w:r>
      <w:r w:rsidRPr="00B943CA">
        <w:rPr>
          <w:rFonts w:asciiTheme="minorHAnsi" w:hAnsiTheme="minorHAnsi" w:cstheme="minorHAnsi"/>
          <w:color w:val="000000"/>
          <w:sz w:val="22"/>
          <w:szCs w:val="22"/>
          <w:shd w:val="clear" w:color="auto" w:fill="FFFFFF"/>
        </w:rPr>
        <w:lastRenderedPageBreak/>
        <w:t>2003</w:t>
      </w:r>
      <w:r w:rsidR="00182063" w:rsidRPr="00B943CA">
        <w:rPr>
          <w:rFonts w:asciiTheme="minorHAnsi" w:hAnsiTheme="minorHAnsi" w:cstheme="minorHAnsi"/>
          <w:color w:val="000000"/>
          <w:sz w:val="22"/>
          <w:szCs w:val="22"/>
          <w:shd w:val="clear" w:color="auto" w:fill="FFFFFF"/>
        </w:rPr>
        <w:t> </w:t>
      </w:r>
      <w:r w:rsidRPr="00B943CA">
        <w:rPr>
          <w:rFonts w:asciiTheme="minorHAnsi" w:hAnsiTheme="minorHAnsi" w:cstheme="minorHAnsi"/>
          <w:color w:val="000000"/>
          <w:sz w:val="22"/>
          <w:szCs w:val="22"/>
          <w:shd w:val="clear" w:color="auto" w:fill="FFFFFF"/>
        </w:rPr>
        <w:t>m.</w:t>
      </w:r>
      <w:r w:rsidR="00182063" w:rsidRPr="00B943CA">
        <w:rPr>
          <w:rFonts w:asciiTheme="minorHAnsi" w:hAnsiTheme="minorHAnsi" w:cstheme="minorHAnsi"/>
          <w:color w:val="000000"/>
          <w:sz w:val="22"/>
          <w:szCs w:val="22"/>
          <w:shd w:val="clear" w:color="auto" w:fill="FFFFFF"/>
        </w:rPr>
        <w:t> </w:t>
      </w:r>
      <w:r w:rsidRPr="00B943CA">
        <w:rPr>
          <w:rFonts w:asciiTheme="minorHAnsi" w:hAnsiTheme="minorHAnsi" w:cstheme="minorHAnsi"/>
          <w:color w:val="000000"/>
          <w:sz w:val="22"/>
          <w:szCs w:val="22"/>
          <w:shd w:val="clear" w:color="auto" w:fill="FFFFFF"/>
        </w:rPr>
        <w:t>gegužės</w:t>
      </w:r>
      <w:r w:rsidR="00182063" w:rsidRPr="00B943CA">
        <w:rPr>
          <w:rFonts w:asciiTheme="minorHAnsi" w:hAnsiTheme="minorHAnsi" w:cstheme="minorHAnsi"/>
          <w:color w:val="000000"/>
          <w:sz w:val="22"/>
          <w:szCs w:val="22"/>
          <w:shd w:val="clear" w:color="auto" w:fill="FFFFFF"/>
        </w:rPr>
        <w:t> </w:t>
      </w:r>
      <w:r w:rsidRPr="00B943CA">
        <w:rPr>
          <w:rFonts w:asciiTheme="minorHAnsi" w:hAnsiTheme="minorHAnsi" w:cstheme="minorHAnsi"/>
          <w:color w:val="000000"/>
          <w:sz w:val="22"/>
          <w:szCs w:val="22"/>
          <w:shd w:val="clear" w:color="auto" w:fill="FFFFFF"/>
        </w:rPr>
        <w:t>13</w:t>
      </w:r>
      <w:r w:rsidR="00182063" w:rsidRPr="00B943CA">
        <w:rPr>
          <w:rFonts w:asciiTheme="minorHAnsi" w:hAnsiTheme="minorHAnsi" w:cstheme="minorHAnsi"/>
          <w:color w:val="000000"/>
          <w:sz w:val="22"/>
          <w:szCs w:val="22"/>
          <w:shd w:val="clear" w:color="auto" w:fill="FFFFFF"/>
        </w:rPr>
        <w:t> </w:t>
      </w:r>
      <w:r w:rsidRPr="00B943CA">
        <w:rPr>
          <w:rFonts w:asciiTheme="minorHAnsi" w:hAnsiTheme="minorHAnsi" w:cstheme="minorHAnsi"/>
          <w:color w:val="000000"/>
          <w:sz w:val="22"/>
          <w:szCs w:val="22"/>
          <w:shd w:val="clear" w:color="auto" w:fill="FFFFFF"/>
        </w:rPr>
        <w:t>d. Sprendimo </w:t>
      </w:r>
      <w:r w:rsidRPr="00B943CA">
        <w:rPr>
          <w:rFonts w:asciiTheme="minorHAnsi" w:hAnsiTheme="minorHAnsi" w:cstheme="minorHAnsi"/>
          <w:i/>
          <w:iCs/>
          <w:color w:val="000000"/>
          <w:sz w:val="22"/>
          <w:szCs w:val="22"/>
          <w:shd w:val="clear" w:color="auto" w:fill="FFFFFF"/>
        </w:rPr>
        <w:t>Müller-Fauré ir van Riet</w:t>
      </w:r>
      <w:r w:rsidRPr="00B943CA">
        <w:rPr>
          <w:rFonts w:asciiTheme="minorHAnsi" w:hAnsiTheme="minorHAnsi" w:cstheme="minorHAnsi"/>
          <w:color w:val="000000"/>
          <w:sz w:val="22"/>
          <w:szCs w:val="22"/>
          <w:shd w:val="clear" w:color="auto" w:fill="FFFFFF"/>
        </w:rPr>
        <w:t>, C</w:t>
      </w:r>
      <w:r w:rsidRPr="00B943CA">
        <w:rPr>
          <w:rFonts w:asciiTheme="minorHAnsi" w:hAnsiTheme="minorHAnsi" w:cstheme="minorHAnsi"/>
          <w:color w:val="000000"/>
          <w:sz w:val="22"/>
          <w:szCs w:val="22"/>
          <w:shd w:val="clear" w:color="auto" w:fill="FFFFFF"/>
        </w:rPr>
        <w:noBreakHyphen/>
        <w:t>385/99, EU:C:2003:270, 107 punktą) (64 punktas).</w:t>
      </w:r>
    </w:p>
    <w:p w14:paraId="06DAC609"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Dėl Direktyvos 2011/24 8 straipsnio, susijusio su „[s]veikatos priežiūros paslaugo[mi]s, kurioms gali būti taikomas išankstinio leidimo reikalavimas“, pažymėtina, kad</w:t>
      </w:r>
      <w:r w:rsidRPr="00B943CA">
        <w:rPr>
          <w:rFonts w:asciiTheme="minorHAnsi" w:hAnsiTheme="minorHAnsi" w:cstheme="minorHAnsi"/>
          <w:color w:val="000000"/>
          <w:sz w:val="22"/>
          <w:szCs w:val="22"/>
          <w:u w:val="single"/>
          <w:shd w:val="clear" w:color="auto" w:fill="FFFFFF"/>
        </w:rPr>
        <w:t xml:space="preserve"> nors šio straipsnio 1 dalyje numatyta, kad draudimo valstybė narė gali numatyti tarpvalstybinių sveikatos priežiūros paslaugų kompensavimo išankstinio leidimo suteikimo sistemą, laikydamasi šio ir 9 straipsnių nuostatų, vis dėlto pagal to paties 8 straipsnio 1 dalį ši sistema, įskaitant atitinkamus kriterijus bei tų kriterijų taikymą ir individualius sprendimus dėl atsisakymo suteikti išankstinį leidimą, turi būti proporcinga siekiamo tikslo atžvilgiu ir negali tapti savavališko diskriminavimo priemone arba nepagrįsta laisvo pacientų judėjimo kliūtimi </w:t>
      </w:r>
      <w:r w:rsidRPr="00B943CA">
        <w:rPr>
          <w:rFonts w:asciiTheme="minorHAnsi" w:hAnsiTheme="minorHAnsi" w:cstheme="minorHAnsi"/>
          <w:color w:val="000000"/>
          <w:sz w:val="22"/>
          <w:szCs w:val="22"/>
          <w:shd w:val="clear" w:color="auto" w:fill="FFFFFF"/>
        </w:rPr>
        <w:t>(71 punktas).</w:t>
      </w:r>
    </w:p>
    <w:p w14:paraId="11EBFEA5"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Nacionalinės teisės nuostatos, pagal kurias kompetentinga įstaiga nekompensuoja išlaidų, susijusių su kitoje valstybėje narėje suteiktu gydymu ligoninėje arba sudėtingu gydymu ne ligoninėje be išankstinio leidimo net ir tais atvejais, kai apdraustasis negalėjo pateikti prašymo suteikti tokį leidimą arba laukti kompetentingos įstaigos sprendimo dėl pateikto prašymo dėl priežasčių, susijusių su jo sveikatos būkle ar būtinybe gauti tokį gydymą skubos tvarka, nors įvykdytos tokio kompensavimo sąlygos, neatitinka proporcingumo reikalavimo. Todėl šiomis nuostatomis neproporcingai apribojama SESV 56 straipsnyje įtvirtinta laisvė teikti paslaugas ir pažeidžiama Direktyvos 2011/24 8 straipsnio 1 dalis (85 punktas).</w:t>
      </w:r>
    </w:p>
    <w:p w14:paraId="2594BC56"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5609F227"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b/>
          <w:bCs/>
          <w:color w:val="000000"/>
          <w:sz w:val="22"/>
          <w:szCs w:val="22"/>
          <w:shd w:val="clear" w:color="auto" w:fill="FFFFFF"/>
        </w:rPr>
      </w:pPr>
      <w:r w:rsidRPr="00B943CA">
        <w:rPr>
          <w:rFonts w:asciiTheme="minorHAnsi" w:hAnsiTheme="minorHAnsi" w:cstheme="minorHAnsi"/>
          <w:b/>
          <w:bCs/>
          <w:color w:val="000000"/>
          <w:sz w:val="22"/>
          <w:szCs w:val="22"/>
          <w:shd w:val="clear" w:color="auto" w:fill="FFFFFF"/>
        </w:rPr>
        <w:t xml:space="preserve">Remdamasis šiais motyvais, Teisingumo Teismas (ketvirtoji kolegija) nusprendė: </w:t>
      </w:r>
    </w:p>
    <w:p w14:paraId="569BA3E0"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2BEA9CD2"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1. Kartu taikomos 2004 m. balandžio 29 d. Europos Parlamento ir Tarybos reglamento (EB) Nr. 883/2004 dėl socialinės apsaugos sistemų koordinavimo 20 straipsnio ir 2009 m. rugsėjo 16 d. Europos Parlamento ir Tarybos reglamento (EB) Nr. 987/2009, nustatančio Reglamento Nr. 883/2004 įgyvendinimo tvarką, 26 straipsnio nuostatos, susijusios su planiniu gydymu ir siejamos su SESV 56 straipsniu, turi būti aiškinamos taip:</w:t>
      </w:r>
    </w:p>
    <w:p w14:paraId="628EF2F6" w14:textId="120AA399"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kitoje nei apdraustojo gyvenamosios vietos valstybėje narėje tik apdraustojo sprendimu suteiktas gydymas dėl to, kad, jo nuomone, toks gydymas ar toks pat veiksmingas gydymas negalėjo būti suteiktas per mediciniškai pagrįstą laiką jo gyvenamosios vietos valstybėje narėje, patenka į sąvoką „planinis gydymas“, kaip ji suprantama pagal šias nuostatas, todėl šis gydymas iš esmės suteikiamas gavus gyvenamosios vietos valstybės narės kompetentingos įstaigos leidimą pagal Reglamente Nr. 883/2004 nustatytas sąlygas,</w:t>
      </w:r>
    </w:p>
    <w:p w14:paraId="1B54749E" w14:textId="3D32E206"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apdraustasis, kuriam buvo suteiktas gydymas kitoje nei jo gyvenamosios vietos valstybėje narėje, nepateikus kompetentingai įstaigai prašymo suteikti leidimą pagal šio reglamento 20 straipsnio 1 dalį, turi teisę į šio gydymo išlaidų kompensavimą pagal šiame reglamente numatytas sąlygas, jei:</w:t>
      </w:r>
    </w:p>
    <w:p w14:paraId="2144EF24" w14:textId="77777777"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pirma, nuo susitarimo dėl susitikimo siekiant atlikti sveikatos patikrą ir galimą gydymą kitoje valstybėje narėje dienos, kol jam buvo suteiktas atitinkamas gydymas toje valstybėje narėje, į kurią turėjo nuvykti, šis asmuo dėl priežasčių, susijusių visų pirma su jo sveikatos būkle ar būtinumu skubiai suteikti šį gydymą, buvo tokioje padėtyje, kad negalėjo pateikti kompetentingai įstaigai prašymo suteikti tokį leidimą arba laukti, kol ši įstaiga priims sprendimą dėl tokio prašymo, ir</w:t>
      </w:r>
    </w:p>
    <w:p w14:paraId="0F4A4C09" w14:textId="6C96EFD3" w:rsidR="00A328D0" w:rsidRPr="00B943CA" w:rsidRDefault="00A328D0"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antra, įvykdytos kitos išmokų natūra gavimo sąlygos pagal to paties reglamento 20 straipsnio 2 dalies antrą sakinį.</w:t>
      </w:r>
    </w:p>
    <w:p w14:paraId="39778F92" w14:textId="39789117" w:rsidR="00A328D0" w:rsidRPr="00B943CA" w:rsidRDefault="00E10062" w:rsidP="00A328D0">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&lt;...&gt;</w:t>
      </w:r>
    </w:p>
    <w:p w14:paraId="3ACBAF4D" w14:textId="77777777" w:rsidR="00A328D0" w:rsidRPr="00B943CA" w:rsidRDefault="00F953EA" w:rsidP="00A328D0">
      <w:pPr>
        <w:pStyle w:val="c01pointnumerotealtn"/>
        <w:shd w:val="clear" w:color="auto" w:fill="FFFFFF"/>
        <w:spacing w:before="0" w:beforeAutospacing="0" w:after="0"/>
        <w:ind w:left="0" w:firstLine="567"/>
        <w:rPr>
          <w:rStyle w:val="Hipersaitas"/>
          <w:rFonts w:asciiTheme="minorHAnsi" w:eastAsia="Calibri" w:hAnsiTheme="minorHAnsi" w:cstheme="minorHAnsi"/>
          <w:sz w:val="22"/>
          <w:szCs w:val="22"/>
          <w:lang w:eastAsia="en-US"/>
        </w:rPr>
      </w:pPr>
      <w:hyperlink r:id="rId20" w:history="1">
        <w:r w:rsidR="00A328D0" w:rsidRPr="00B943CA">
          <w:rPr>
            <w:rStyle w:val="Hipersaitas"/>
            <w:rFonts w:asciiTheme="minorHAnsi" w:eastAsia="Calibri" w:hAnsiTheme="minorHAnsi" w:cstheme="minorHAnsi"/>
            <w:sz w:val="22"/>
            <w:szCs w:val="22"/>
            <w:lang w:eastAsia="en-US"/>
          </w:rPr>
          <w:t>Prieiga internete</w:t>
        </w:r>
      </w:hyperlink>
      <w:r w:rsidR="00A328D0" w:rsidRPr="00B943CA">
        <w:rPr>
          <w:rFonts w:asciiTheme="minorHAnsi" w:eastAsia="Calibri" w:hAnsiTheme="minorHAnsi" w:cstheme="minorHAnsi"/>
          <w:sz w:val="22"/>
          <w:szCs w:val="22"/>
          <w:lang w:eastAsia="en-US"/>
        </w:rPr>
        <w:t xml:space="preserve"> </w:t>
      </w:r>
    </w:p>
    <w:p w14:paraId="3310FFF4" w14:textId="77777777" w:rsidR="00A328D0" w:rsidRPr="00B943CA" w:rsidRDefault="00A328D0" w:rsidP="00A328D0">
      <w:pPr>
        <w:pStyle w:val="c01pointnumerotealtn"/>
        <w:shd w:val="clear" w:color="auto" w:fill="FFFFFF"/>
        <w:spacing w:before="0" w:beforeAutospacing="0" w:after="0"/>
        <w:ind w:left="0" w:firstLine="0"/>
        <w:rPr>
          <w:rFonts w:asciiTheme="minorHAnsi" w:hAnsiTheme="minorHAnsi" w:cstheme="minorHAnsi"/>
          <w:color w:val="000000"/>
          <w:sz w:val="22"/>
          <w:szCs w:val="22"/>
          <w:shd w:val="clear" w:color="auto" w:fill="FFFFFF"/>
        </w:rPr>
      </w:pPr>
    </w:p>
    <w:p w14:paraId="4D89D228" w14:textId="2C3F4FFB" w:rsidR="00F91B65" w:rsidRPr="00B943CA" w:rsidRDefault="00F91B65" w:rsidP="00D669E0">
      <w:pPr>
        <w:pStyle w:val="Antrat1"/>
        <w:rPr>
          <w:caps/>
        </w:rPr>
      </w:pPr>
      <w:bookmarkStart w:id="76" w:name="_Toc67492459"/>
      <w:bookmarkStart w:id="77" w:name="_Toc71819716"/>
      <w:r w:rsidRPr="00D669E0">
        <w:t>VARTOTOJŲ</w:t>
      </w:r>
      <w:r w:rsidRPr="00B943CA">
        <w:t xml:space="preserve"> APSAUGA</w:t>
      </w:r>
      <w:bookmarkEnd w:id="76"/>
      <w:bookmarkEnd w:id="77"/>
    </w:p>
    <w:p w14:paraId="3B501C60" w14:textId="77777777" w:rsidR="00F91B65" w:rsidRPr="00E10062" w:rsidRDefault="00F91B65" w:rsidP="00E10062"/>
    <w:p w14:paraId="0B5D7288" w14:textId="77777777" w:rsidR="00F91B65" w:rsidRPr="00B943CA" w:rsidRDefault="00F91B65" w:rsidP="00D669E0">
      <w:pPr>
        <w:pStyle w:val="Antrat2"/>
      </w:pPr>
      <w:bookmarkStart w:id="78" w:name="_Toc67492460"/>
      <w:bookmarkStart w:id="79" w:name="_Toc71819717"/>
      <w:r w:rsidRPr="00B943CA">
        <w:t xml:space="preserve">2020 m. rugsėjo 3 d. </w:t>
      </w:r>
      <w:r w:rsidRPr="00D669E0">
        <w:t>didžiosios</w:t>
      </w:r>
      <w:r w:rsidRPr="00B943CA">
        <w:t xml:space="preserve"> kolegijos prejudicinis sprendimas sujungtose bylose C</w:t>
      </w:r>
      <w:r w:rsidRPr="00B943CA">
        <w:noBreakHyphen/>
        <w:t>807/18 ir C</w:t>
      </w:r>
      <w:r w:rsidRPr="00B943CA">
        <w:noBreakHyphen/>
        <w:t>39/19</w:t>
      </w:r>
      <w:bookmarkEnd w:id="78"/>
      <w:bookmarkEnd w:id="79"/>
    </w:p>
    <w:p w14:paraId="1AFF9537" w14:textId="77777777" w:rsidR="00F91B65" w:rsidRPr="00B943CA" w:rsidRDefault="00F91B65" w:rsidP="00F91B65">
      <w:pPr>
        <w:jc w:val="center"/>
        <w:rPr>
          <w:rFonts w:asciiTheme="minorHAnsi" w:hAnsiTheme="minorHAnsi" w:cstheme="minorHAnsi"/>
          <w:b/>
          <w:bCs/>
          <w:i/>
          <w:shd w:val="clear" w:color="auto" w:fill="FFFFFF"/>
        </w:rPr>
      </w:pPr>
      <w:r w:rsidRPr="00B943CA">
        <w:rPr>
          <w:rFonts w:asciiTheme="minorHAnsi" w:hAnsiTheme="minorHAnsi" w:cstheme="minorHAnsi"/>
          <w:b/>
          <w:bCs/>
          <w:i/>
          <w:shd w:val="clear" w:color="auto" w:fill="FFFFFF"/>
        </w:rPr>
        <w:t>Telenor Magyarorszįg Zrt. prieš Nemzeti Média- és Hírközlési Hatósįg Elnöke</w:t>
      </w:r>
    </w:p>
    <w:p w14:paraId="5A0C0F3C" w14:textId="77777777" w:rsidR="00F91B65" w:rsidRPr="00B943CA" w:rsidRDefault="00F91B65" w:rsidP="00F91B65">
      <w:pPr>
        <w:jc w:val="center"/>
        <w:rPr>
          <w:rFonts w:asciiTheme="minorHAnsi" w:hAnsiTheme="minorHAnsi" w:cstheme="minorHAnsi"/>
          <w:b/>
          <w:bCs/>
          <w:i/>
          <w:shd w:val="clear" w:color="auto" w:fill="FFFFFF"/>
        </w:rPr>
      </w:pPr>
    </w:p>
    <w:p w14:paraId="1BB149BD" w14:textId="77777777" w:rsidR="00F91B65" w:rsidRPr="00B943CA" w:rsidRDefault="00F91B65" w:rsidP="00F91B65">
      <w:pPr>
        <w:ind w:firstLine="567"/>
        <w:rPr>
          <w:rFonts w:asciiTheme="minorHAnsi" w:hAnsiTheme="minorHAnsi" w:cstheme="minorHAnsi"/>
          <w:iCs/>
          <w:shd w:val="clear" w:color="auto" w:fill="FFFFFF"/>
        </w:rPr>
      </w:pPr>
      <w:r w:rsidRPr="00B943CA">
        <w:rPr>
          <w:rFonts w:asciiTheme="minorHAnsi" w:hAnsiTheme="minorHAnsi" w:cstheme="minorHAnsi"/>
          <w:iCs/>
          <w:shd w:val="clear" w:color="auto" w:fill="FFFFFF"/>
        </w:rPr>
        <w:t>Prašymai priimti prejudicinį sprendimą pateikti dėl 2015 m. lapkričio 25 d. Europos Parlamento ir Tarybos reglamento (ES) 2015/2120, kuriuo nustatomos priemonės, susijusios su atvira interneto prieiga, ir kuriuo iš dalies keičiami Direktyva 2002/22/EB dėl universaliųjų paslaugų ir paslaugų gavėjų teisių, susijusių su elektroninių ryšių tinklais ir paslaugomis, ir Reglamentas (ES) Nr. 531/2012 dėl tarptinklinio ryšio per viešuosius judriojo ryšio tinklus Sąjungoje (OL L 310, 2015, p. 1), 3 straipsnio išaiškinimo (1 punktas).</w:t>
      </w:r>
    </w:p>
    <w:p w14:paraId="7B66A26F" w14:textId="77777777" w:rsidR="00F91B65" w:rsidRPr="00B943CA" w:rsidRDefault="00F91B65" w:rsidP="00F91B65">
      <w:pPr>
        <w:ind w:firstLine="567"/>
        <w:rPr>
          <w:rFonts w:asciiTheme="minorHAnsi" w:hAnsiTheme="minorHAnsi" w:cstheme="minorHAnsi"/>
          <w:iCs/>
          <w:shd w:val="clear" w:color="auto" w:fill="FFFFFF"/>
        </w:rPr>
      </w:pPr>
      <w:r w:rsidRPr="00B943CA">
        <w:rPr>
          <w:rFonts w:asciiTheme="minorHAnsi" w:hAnsiTheme="minorHAnsi" w:cstheme="minorHAnsi"/>
          <w:iCs/>
          <w:shd w:val="clear" w:color="auto" w:fill="FFFFFF"/>
        </w:rPr>
        <w:t xml:space="preserve">Vengrijoje įsteigta </w:t>
      </w:r>
      <w:r w:rsidRPr="00B943CA">
        <w:rPr>
          <w:rFonts w:asciiTheme="minorHAnsi" w:hAnsiTheme="minorHAnsi" w:cstheme="minorHAnsi"/>
          <w:i/>
          <w:iCs/>
          <w:shd w:val="clear" w:color="auto" w:fill="FFFFFF"/>
        </w:rPr>
        <w:t>Telenor Magyarország Zrt.</w:t>
      </w:r>
      <w:r w:rsidRPr="00B943CA">
        <w:rPr>
          <w:rFonts w:asciiTheme="minorHAnsi" w:hAnsiTheme="minorHAnsi" w:cstheme="minorHAnsi"/>
          <w:iCs/>
          <w:shd w:val="clear" w:color="auto" w:fill="FFFFFF"/>
        </w:rPr>
        <w:t xml:space="preserve"> (toliau – </w:t>
      </w:r>
      <w:r w:rsidRPr="00B943CA">
        <w:rPr>
          <w:rFonts w:asciiTheme="minorHAnsi" w:hAnsiTheme="minorHAnsi" w:cstheme="minorHAnsi"/>
          <w:i/>
          <w:iCs/>
          <w:shd w:val="clear" w:color="auto" w:fill="FFFFFF"/>
        </w:rPr>
        <w:t>Telenor</w:t>
      </w:r>
      <w:r w:rsidRPr="00B943CA">
        <w:rPr>
          <w:rFonts w:asciiTheme="minorHAnsi" w:hAnsiTheme="minorHAnsi" w:cstheme="minorHAnsi"/>
          <w:iCs/>
          <w:shd w:val="clear" w:color="auto" w:fill="FFFFFF"/>
        </w:rPr>
        <w:t xml:space="preserve">) yra pagrindinis informacinių technologijų ir ryšių sektoriaus subjektas. Ji teikia, be kita ko, interneto prieigos paslaugas. Tarp potencialiems </w:t>
      </w:r>
      <w:r w:rsidRPr="00B943CA">
        <w:rPr>
          <w:rFonts w:asciiTheme="minorHAnsi" w:hAnsiTheme="minorHAnsi" w:cstheme="minorHAnsi"/>
          <w:iCs/>
          <w:shd w:val="clear" w:color="auto" w:fill="FFFFFF"/>
        </w:rPr>
        <w:lastRenderedPageBreak/>
        <w:t>klientams siūlomų paslaugų yra du privilegijuotosios prieigos (vadinamieji „nulinio tarifo“) paslaugų paketai, kurių ypatumas tas, kad tam tikromis konkrečiomis paslaugomis ir taikomosiomis programomis sugeneruotų duomenų srautas neišskaitomas iš klientų įsigyto sunaudojamo duomenų kiekio. Be to, išnaudojus tą duomenų kiekį, jie gali toliau be apribojimų naudotis šiomis konkrečiomis taikomosiomis programomis ir paslaugomis, o kitoms esamoms taikomosioms programoms ir paslaugoms taikomos priemonės, kuriomis srautas blokuojamas arba sulėtinamas (9–11 punktai).</w:t>
      </w:r>
    </w:p>
    <w:p w14:paraId="2B72872B" w14:textId="77777777" w:rsidR="00F91B65" w:rsidRPr="00B943CA" w:rsidRDefault="00F91B65" w:rsidP="00F91B65">
      <w:pPr>
        <w:ind w:firstLine="567"/>
        <w:rPr>
          <w:rFonts w:asciiTheme="minorHAnsi" w:hAnsiTheme="minorHAnsi" w:cstheme="minorHAnsi"/>
          <w:iCs/>
          <w:shd w:val="clear" w:color="auto" w:fill="FFFFFF"/>
        </w:rPr>
      </w:pPr>
      <w:r w:rsidRPr="00B943CA">
        <w:rPr>
          <w:rFonts w:asciiTheme="minorHAnsi" w:hAnsiTheme="minorHAnsi" w:cstheme="minorHAnsi"/>
          <w:iCs/>
          <w:shd w:val="clear" w:color="auto" w:fill="FFFFFF"/>
        </w:rPr>
        <w:t>Pradėjusi dvi procedūras dėl šių paslaugų paketų atitikties Reglamento 2015/2120 3 straipsniui,</w:t>
      </w:r>
      <w:r w:rsidRPr="00B943CA">
        <w:rPr>
          <w:rFonts w:asciiTheme="minorHAnsi" w:hAnsiTheme="minorHAnsi" w:cstheme="minorHAnsi"/>
        </w:rPr>
        <w:t xml:space="preserve"> </w:t>
      </w:r>
      <w:r w:rsidRPr="004424BD">
        <w:rPr>
          <w:rFonts w:asciiTheme="minorHAnsi" w:hAnsiTheme="minorHAnsi" w:cstheme="minorHAnsi"/>
          <w:shd w:val="clear" w:color="auto" w:fill="FFFFFF"/>
        </w:rPr>
        <w:t>Nemzeti Média- és Hírközlési Hatóság Elnöke</w:t>
      </w:r>
      <w:r w:rsidRPr="00B943CA">
        <w:rPr>
          <w:rFonts w:asciiTheme="minorHAnsi" w:hAnsiTheme="minorHAnsi" w:cstheme="minorHAnsi"/>
          <w:i/>
          <w:iCs/>
          <w:shd w:val="clear" w:color="auto" w:fill="FFFFFF"/>
        </w:rPr>
        <w:t xml:space="preserve"> </w:t>
      </w:r>
      <w:r w:rsidRPr="00B943CA">
        <w:rPr>
          <w:rFonts w:asciiTheme="minorHAnsi" w:hAnsiTheme="minorHAnsi" w:cstheme="minorHAnsi"/>
          <w:iCs/>
          <w:shd w:val="clear" w:color="auto" w:fill="FFFFFF"/>
        </w:rPr>
        <w:t xml:space="preserve">(Nacionalinė ryšių ir žiniasklaidos tarnyba, Vengrija; toliau – NRŽT) priėmė du sprendimus: kad šiais paslaugų paketais buvo įgyvendintos srauto valdymo priemonės, neatitinkančios šio straipsnio 3 dalyje numatytos pareigos taikyti vienodas sąlygas be diskriminacijos; kad </w:t>
      </w:r>
      <w:r w:rsidRPr="00B943CA">
        <w:rPr>
          <w:rFonts w:asciiTheme="minorHAnsi" w:hAnsiTheme="minorHAnsi" w:cstheme="minorHAnsi"/>
          <w:i/>
          <w:iCs/>
          <w:shd w:val="clear" w:color="auto" w:fill="FFFFFF"/>
        </w:rPr>
        <w:t>Telenor</w:t>
      </w:r>
      <w:r w:rsidRPr="00B943CA">
        <w:rPr>
          <w:rFonts w:asciiTheme="minorHAnsi" w:hAnsiTheme="minorHAnsi" w:cstheme="minorHAnsi"/>
          <w:iCs/>
          <w:shd w:val="clear" w:color="auto" w:fill="FFFFFF"/>
        </w:rPr>
        <w:t xml:space="preserve"> privalo šias priemones panaikinti. Šie sprendimai vėliau buvo patvirtinti dviem NRŽT pirmininko sprendimais, kuriuose nurodyta, kad vertinant, ar srauto valdymo priemonės suderinamos su Reglamento 2015/2120 3 straipsnio 3 dalimi, nebūtina įvertinti šių priemonių poveikio galutinių paslaugų gavėjų galimybei naudotis šio reglamento 3 straipsnio 1 dalyje nurodytomis teisėmis (12–13 punktai).</w:t>
      </w:r>
    </w:p>
    <w:p w14:paraId="63B8466C" w14:textId="77777777" w:rsidR="00F91B65" w:rsidRPr="00B943CA" w:rsidRDefault="00F91B65" w:rsidP="00F91B65">
      <w:pPr>
        <w:ind w:firstLine="567"/>
        <w:rPr>
          <w:rFonts w:asciiTheme="minorHAnsi" w:hAnsiTheme="minorHAnsi" w:cstheme="minorHAnsi"/>
          <w:iCs/>
          <w:shd w:val="clear" w:color="auto" w:fill="FFFFFF"/>
        </w:rPr>
      </w:pPr>
      <w:bookmarkStart w:id="80" w:name="_Hlk67490005"/>
      <w:r w:rsidRPr="00B943CA">
        <w:rPr>
          <w:rFonts w:asciiTheme="minorHAnsi" w:hAnsiTheme="minorHAnsi" w:cstheme="minorHAnsi"/>
          <w:i/>
          <w:iCs/>
          <w:shd w:val="clear" w:color="auto" w:fill="FFFFFF"/>
        </w:rPr>
        <w:t>Telenor</w:t>
      </w:r>
      <w:r w:rsidRPr="00B943CA">
        <w:rPr>
          <w:rFonts w:asciiTheme="minorHAnsi" w:hAnsiTheme="minorHAnsi" w:cstheme="minorHAnsi"/>
          <w:iCs/>
          <w:shd w:val="clear" w:color="auto" w:fill="FFFFFF"/>
        </w:rPr>
        <w:t xml:space="preserve"> apskundė nurodytus NRŽT pirmininko sprendimus </w:t>
      </w:r>
      <w:r w:rsidRPr="004424BD">
        <w:rPr>
          <w:rFonts w:asciiTheme="minorHAnsi" w:hAnsiTheme="minorHAnsi" w:cstheme="minorHAnsi"/>
          <w:shd w:val="clear" w:color="auto" w:fill="FFFFFF"/>
        </w:rPr>
        <w:t>Fővárosi Törvényszék</w:t>
      </w:r>
      <w:r w:rsidRPr="00B943CA">
        <w:rPr>
          <w:rFonts w:asciiTheme="minorHAnsi" w:hAnsiTheme="minorHAnsi" w:cstheme="minorHAnsi"/>
          <w:iCs/>
          <w:shd w:val="clear" w:color="auto" w:fill="FFFFFF"/>
        </w:rPr>
        <w:t xml:space="preserve"> (sostinės Budapešto apygardos teismas, Vengrija), </w:t>
      </w:r>
      <w:bookmarkEnd w:id="80"/>
      <w:r w:rsidRPr="00B943CA">
        <w:rPr>
          <w:rFonts w:asciiTheme="minorHAnsi" w:hAnsiTheme="minorHAnsi" w:cstheme="minorHAnsi"/>
          <w:iCs/>
          <w:shd w:val="clear" w:color="auto" w:fill="FFFFFF"/>
        </w:rPr>
        <w:t>kuris nutarė sustabdyti bylos nagrinėjimą ir pateikti Teisingumo Teismui prejudicinius klausimus (14, 20 punktai).</w:t>
      </w:r>
    </w:p>
    <w:p w14:paraId="2F729A37" w14:textId="77777777" w:rsidR="00F91B65" w:rsidRPr="00B943CA" w:rsidRDefault="00F91B65" w:rsidP="00F91B65">
      <w:pPr>
        <w:ind w:firstLine="567"/>
        <w:rPr>
          <w:rFonts w:asciiTheme="minorHAnsi" w:hAnsiTheme="minorHAnsi" w:cstheme="minorHAnsi"/>
          <w:iCs/>
          <w:shd w:val="clear" w:color="auto" w:fill="FFFFFF"/>
        </w:rPr>
      </w:pPr>
    </w:p>
    <w:p w14:paraId="5A9308EB" w14:textId="77777777" w:rsidR="00F91B65" w:rsidRPr="00B943CA" w:rsidRDefault="00F91B65" w:rsidP="00C47F2E">
      <w:pPr>
        <w:pStyle w:val="Antrat3"/>
        <w:ind w:firstLine="567"/>
      </w:pPr>
      <w:bookmarkStart w:id="81" w:name="_Toc67492461"/>
      <w:bookmarkStart w:id="82" w:name="_Toc71819718"/>
      <w:r w:rsidRPr="00B943CA">
        <w:t>Dėl interneto prieigos teikėjo vykdomo privilegijavimo tam tikroms taikomosioms programoms ir paslaugoms prieštaravimo interneto vartotojų teisių apsaugos reikalavimams ir pareigai valdyti srautą be diskriminacijos vertinimo</w:t>
      </w:r>
      <w:bookmarkEnd w:id="81"/>
      <w:bookmarkEnd w:id="82"/>
    </w:p>
    <w:p w14:paraId="55CA1083" w14:textId="67A0F179" w:rsidR="00F91B65" w:rsidRDefault="00F91B65" w:rsidP="00F91B65">
      <w:pPr>
        <w:pStyle w:val="c01pointnumerotealtn"/>
        <w:shd w:val="clear" w:color="auto" w:fill="FFFFFF"/>
        <w:spacing w:before="0" w:beforeAutospacing="0" w:after="0"/>
        <w:ind w:left="0" w:firstLine="567"/>
        <w:rPr>
          <w:rFonts w:asciiTheme="minorHAnsi" w:hAnsiTheme="minorHAnsi" w:cstheme="minorHAnsi"/>
          <w:b/>
          <w:sz w:val="22"/>
          <w:szCs w:val="22"/>
        </w:rPr>
      </w:pPr>
    </w:p>
    <w:p w14:paraId="2CB2556F" w14:textId="77777777" w:rsidR="00E10062" w:rsidRDefault="00E10062" w:rsidP="00E10062">
      <w:pPr>
        <w:ind w:firstLine="567"/>
      </w:pPr>
      <w:r>
        <w:rPr>
          <w:rFonts w:asciiTheme="minorHAnsi" w:hAnsiTheme="minorHAnsi" w:cstheme="minorHAnsi"/>
          <w:iCs/>
          <w:shd w:val="clear" w:color="auto" w:fill="FFFFFF"/>
        </w:rPr>
        <w:t xml:space="preserve">Šiomis aplinkybėmis </w:t>
      </w:r>
      <w:r w:rsidRPr="00E10062">
        <w:rPr>
          <w:rFonts w:asciiTheme="minorHAnsi" w:hAnsiTheme="minorHAnsi" w:cstheme="minorHAnsi"/>
          <w:iCs/>
          <w:shd w:val="clear" w:color="auto" w:fill="FFFFFF"/>
        </w:rPr>
        <w:t>Teisingumo</w:t>
      </w:r>
      <w:r w:rsidRPr="00E10062">
        <w:t xml:space="preserve"> Teismas pirmą kartą aiškin</w:t>
      </w:r>
      <w:r>
        <w:t>o</w:t>
      </w:r>
      <w:r w:rsidRPr="00E10062">
        <w:t xml:space="preserve"> Sąjungos reglamentą, skirtą</w:t>
      </w:r>
      <w:r>
        <w:t xml:space="preserve"> </w:t>
      </w:r>
      <w:r w:rsidRPr="00E10062">
        <w:t xml:space="preserve">„interneto </w:t>
      </w:r>
      <w:r w:rsidRPr="00E10062">
        <w:rPr>
          <w:rFonts w:asciiTheme="minorHAnsi" w:hAnsiTheme="minorHAnsi" w:cstheme="minorHAnsi"/>
          <w:iCs/>
          <w:shd w:val="clear" w:color="auto" w:fill="FFFFFF"/>
        </w:rPr>
        <w:t>neutralumui</w:t>
      </w:r>
      <w:r w:rsidRPr="00E10062">
        <w:t>“</w:t>
      </w:r>
      <w:r>
        <w:t>. Konstatuota, kad i</w:t>
      </w:r>
      <w:r w:rsidRPr="00E10062">
        <w:t>nterneto vartotojų teisių apsaugos reikalavimams ir pareigai valdyti srautą be diskriminacijos prieštarauja tai, kad interneto prieigos teikėjas privilegijuoja tam tikras taikomąsias programas ir paslaugas, teikdamas pasiūlymus, pagal kuriuos toms taikomosioms programoms ir paslaugoms taikomas „nulinis tarifas“, o kitų taikomųjų programų ir paslaugų naudojimui taikomos priemonės, kuriomis blokuojamas arba sulėtinamas srautas</w:t>
      </w:r>
      <w:r>
        <w:t>.</w:t>
      </w:r>
    </w:p>
    <w:p w14:paraId="3AEDB910" w14:textId="77777777" w:rsidR="00E10062" w:rsidRDefault="00E10062" w:rsidP="00E10062">
      <w:pPr>
        <w:ind w:firstLine="567"/>
      </w:pPr>
      <w:r w:rsidRPr="00E10062">
        <w:t>Pirma, dėl Reglamento 2015/2120 3 straipsnio 2 dalies, siejamos su šio reglamento 3 straipsnio 1 dalimi, aiškinimo Teisingumo Teismas pažymėjo, kad antrojoje iš šių nuostatų numatyta, jog šia nuostata užtikrinamomis teisėmis galutiniai interneto prieigos paslaugų gavėjai turi naudotis „naudodamiesi savo interneto prieigos paslauga“, o pagal pirmąją reikalaujama, kad tokia paslauga nereikštų naudojimosi šiomis teisėmis apribojimo. Be to, iš minėto reglamento 3 straipsnio 2 dalies matyti, kad konkretaus interneto prieigos teikėjo paslaugas šio reikalavimo atžvilgiu turi vertinti nacionalinės reguliavimo institucijos, kontroliuojamos kompetentingų nacionalinių teismų, atsižvelgdamos tiek į šio teikėjo su galutiniais paslaugų gavėjais sudarytus susitarimus, tiek į šio teikėjo vykdomą komercinę praktiką.</w:t>
      </w:r>
    </w:p>
    <w:p w14:paraId="093C924F" w14:textId="77777777" w:rsidR="00E10062" w:rsidRDefault="00E10062" w:rsidP="00E10062">
      <w:pPr>
        <w:ind w:firstLine="567"/>
      </w:pPr>
      <w:r w:rsidRPr="00E10062">
        <w:t>Šiomis aplinkybėmis pateikęs bendrus paaiškinimus dėl Reglamente 2015/2120 vartojamų sąvokų „susitarimai“, „komercinė praktika“ ir „galutiniai paslaugų gavėjai“, Teisingumo Teismas nusprendė, kad susitarimų, kuriais atitinkami klientai užsisako paslaugų paketus, apimančius „nulinį tarifą“ ir priemones, kuriomis blokuojamas arba sulėtinamas srautas, susijęs su paslaugų ir taikomųjų programų, kurioms netaikomas „nulinis tarifas“, naudojimu, sudarymas gali apriboti galimybę galutiniams paslaugų gavėjams naudotis teisėmis, kaip tai suprantama pagal šio reglamento 3 straipsnio 2 dalį, didelėje rinkos dalyje. Tokie paslaugų paketai gali išplėsti privilegijuotųjų taikomųjų programų ir paslaugų naudojimą ir atitinkamai padaryti retesnį naudojimąsi kitomis esamomis taikomosiomis programomis ir paslaugomis, atsižvelgiant į priemones, kuriomis interneto prieigos paslaugų teikėjas šį naudojimąsi padaro techniškai sudėtingesnį ar net neįmanomą. Be to, kuo daugiau klientų sudarys tokius susitarimus, tuo labiau tikėtina, kad dėl bendros tokių susitarimų apimties galutinių paslaugų gavėjų galimybė naudotis teisėmis bus labai apribota ar net pažeista pati šių teisių esmė.</w:t>
      </w:r>
    </w:p>
    <w:p w14:paraId="771569FD" w14:textId="77777777" w:rsidR="00E10062" w:rsidRDefault="00E10062" w:rsidP="00E10062">
      <w:pPr>
        <w:ind w:firstLine="567"/>
      </w:pPr>
      <w:r w:rsidRPr="00E10062">
        <w:t xml:space="preserve">Antra, dėl Reglamento 2015/2120 3 straipsnio 3 dalies aiškinimo Teisingumo Teismas pažymėjo, kad nereikia vertinti priemonių, kuriomis blokuojamas arba sulėtinamas srautas, poveikio naudojimuisi galutinių paslaugų gavėjų teisėmis, kad būtų galima konstatuoti nesuderinamumą su šia nuostata. Šioje nuostatoje nenumatytas toks reikalavimas vertinimui, ar laikomasi joje įtvirtintos bendros pareigos srautui taikyti vienodas sąlygas be diskriminavimo. Be to, Teisingumo Teismas nusprendė, kad priemonės, kuriomis srautas blokuojamas arba sulėtinamas, pagrįstos ne tam tikrų konkrečių srauto kategorijų paslaugų kokybės </w:t>
      </w:r>
      <w:r w:rsidRPr="00E10062">
        <w:lastRenderedPageBreak/>
        <w:t>techninių reikalavimų objektyviais skirtumais, bet komerciniais sumetimais, todėl šios priemonės savaime laikytinos nesuderinamomis su minėta nuostata.</w:t>
      </w:r>
    </w:p>
    <w:p w14:paraId="245CAFC3" w14:textId="7E900B7B" w:rsidR="00E10062" w:rsidRPr="00E10062" w:rsidRDefault="00E10062" w:rsidP="00E10062">
      <w:pPr>
        <w:ind w:firstLine="567"/>
      </w:pPr>
      <w:r w:rsidRPr="00E10062">
        <w:t>Vadinasi, paslaugų paketai, kurių kontrolę atlieka prašymą priimti prejudicinį sprendimą pateikęs teismas, apskritai gali pažeisti ir Reglamento 2015/2120 3 straipsnio 2 dalį, ir šio straipsnio 3 dalį; kompetentingos nacionalinės valdžios institucijos ir teismai gali juos iš karto nagrinėti atsižvelgdami į antrąją iš šių nuostatų.</w:t>
      </w:r>
    </w:p>
    <w:p w14:paraId="291951B7" w14:textId="77777777" w:rsidR="00E10062" w:rsidRPr="00B943CA" w:rsidRDefault="00E10062" w:rsidP="00F91B65">
      <w:pPr>
        <w:pStyle w:val="c01pointnumerotealtn"/>
        <w:shd w:val="clear" w:color="auto" w:fill="FFFFFF"/>
        <w:spacing w:before="0" w:beforeAutospacing="0" w:after="0"/>
        <w:ind w:left="0" w:firstLine="567"/>
        <w:rPr>
          <w:rFonts w:asciiTheme="minorHAnsi" w:hAnsiTheme="minorHAnsi" w:cstheme="minorHAnsi"/>
          <w:b/>
          <w:sz w:val="22"/>
          <w:szCs w:val="22"/>
        </w:rPr>
      </w:pPr>
    </w:p>
    <w:p w14:paraId="43E8EDA0" w14:textId="77777777" w:rsidR="00F91B65" w:rsidRPr="00B943CA" w:rsidRDefault="00F91B65" w:rsidP="00F91B65">
      <w:pPr>
        <w:shd w:val="clear" w:color="auto" w:fill="FFFFFF"/>
        <w:ind w:firstLine="567"/>
        <w:rPr>
          <w:rFonts w:asciiTheme="minorHAnsi" w:hAnsiTheme="minorHAnsi" w:cstheme="minorHAnsi"/>
          <w:b/>
        </w:rPr>
      </w:pPr>
      <w:r w:rsidRPr="00B943CA">
        <w:rPr>
          <w:rFonts w:asciiTheme="minorHAnsi" w:hAnsiTheme="minorHAnsi" w:cstheme="minorHAnsi"/>
          <w:b/>
        </w:rPr>
        <w:t>Remdamasis šiais motyvais, Teisingumo Teismas (</w:t>
      </w:r>
      <w:r w:rsidRPr="00B943CA">
        <w:rPr>
          <w:rFonts w:asciiTheme="minorHAnsi" w:hAnsiTheme="minorHAnsi" w:cstheme="minorHAnsi"/>
          <w:b/>
          <w:bCs/>
        </w:rPr>
        <w:t>didžioji kolegija</w:t>
      </w:r>
      <w:r w:rsidRPr="00B943CA">
        <w:rPr>
          <w:rFonts w:asciiTheme="minorHAnsi" w:hAnsiTheme="minorHAnsi" w:cstheme="minorHAnsi"/>
          <w:b/>
        </w:rPr>
        <w:t xml:space="preserve">) </w:t>
      </w:r>
      <w:r w:rsidRPr="00B943CA">
        <w:rPr>
          <w:rFonts w:asciiTheme="minorHAnsi" w:hAnsiTheme="minorHAnsi" w:cstheme="minorHAnsi"/>
          <w:b/>
          <w:bCs/>
          <w:color w:val="000000"/>
          <w:shd w:val="clear" w:color="auto" w:fill="FFFFFF"/>
        </w:rPr>
        <w:t>nusprendė</w:t>
      </w:r>
      <w:r w:rsidRPr="00B943CA">
        <w:rPr>
          <w:rFonts w:asciiTheme="minorHAnsi" w:hAnsiTheme="minorHAnsi" w:cstheme="minorHAnsi"/>
          <w:b/>
        </w:rPr>
        <w:t>:</w:t>
      </w:r>
    </w:p>
    <w:p w14:paraId="59F0E40C" w14:textId="77777777" w:rsidR="00F91B65" w:rsidRPr="00B943CA" w:rsidRDefault="00F91B65" w:rsidP="00F91B65">
      <w:pPr>
        <w:ind w:firstLine="567"/>
        <w:rPr>
          <w:rFonts w:asciiTheme="minorHAnsi" w:eastAsia="Times New Roman" w:hAnsiTheme="minorHAnsi" w:cstheme="minorHAnsi"/>
          <w:bCs/>
          <w:lang w:eastAsia="lt-LT"/>
        </w:rPr>
      </w:pPr>
    </w:p>
    <w:p w14:paraId="096980CC" w14:textId="77777777" w:rsidR="00F91B65" w:rsidRPr="00B943CA" w:rsidRDefault="00F91B65" w:rsidP="00F91B65">
      <w:pPr>
        <w:ind w:firstLine="567"/>
        <w:rPr>
          <w:rFonts w:asciiTheme="minorHAnsi" w:eastAsia="Times New Roman" w:hAnsiTheme="minorHAnsi" w:cstheme="minorHAnsi"/>
          <w:lang w:eastAsia="lt-LT"/>
        </w:rPr>
      </w:pPr>
      <w:r w:rsidRPr="00B943CA">
        <w:rPr>
          <w:rFonts w:asciiTheme="minorHAnsi" w:eastAsia="Times New Roman" w:hAnsiTheme="minorHAnsi" w:cstheme="minorHAnsi"/>
          <w:lang w:eastAsia="lt-LT"/>
        </w:rPr>
        <w:t>2015 m. lapkričio 25 d. Europos Parlamento ir Tarybos reglamento (ES) 2015/2120, kuriuo nustatomos priemonės, susijusios su atvira interneto prieiga, ir kuriuo iš dalies keičiami Direktyva 2002/22/EB dėl universaliųjų paslaugų ir paslaugų gavėjų teisių, susijusių su elektroninių ryšių tinklais ir paslaugomis, ir Reglamentas (ES) Nr. 531/2012 dėl tarptinklinio ryšio per viešuosius judriojo ryšio tinklus Sąjungoje, 3 straipsnį reikia aiškinti taip, kad paslaugų paketai, interneto prieigos paslaugų teikėjo teikiami pagal su galutiniais paslaugų gavėjais sudarytus susitarimus, pagal kuriuos pastarieji įsigyja paslaugų rinkinį, suteikiantį jiems teisę be apribojimų naudotis nustatytu duomenų kiekiu, į kurį neįtraukiamas naudojimasis tam tikromis konkrečiomis taikomosiomis programomis ir paslaugomis, kurioms taikomas „nulinis tarifas“, ir išnaudoję tą duomenų kiekį jie gali toliau be apribojimų naudotis tomis konkrečiomis taikomosiomis programomis ir paslaugomis, o kitoms taikomosioms programoms ir paslaugoms taikomos priemonės, kuriomis blokuojamas arba sulėtinamas srautas, yra nesuderinami su:</w:t>
      </w:r>
    </w:p>
    <w:p w14:paraId="2F7EBCD2" w14:textId="77777777" w:rsidR="00F91B65" w:rsidRPr="00B943CA" w:rsidRDefault="00F91B65" w:rsidP="00F91B65">
      <w:pPr>
        <w:pStyle w:val="Sraopastraipa"/>
        <w:numPr>
          <w:ilvl w:val="0"/>
          <w:numId w:val="12"/>
        </w:numPr>
        <w:tabs>
          <w:tab w:val="left" w:pos="851"/>
        </w:tabs>
        <w:ind w:left="0" w:firstLine="567"/>
        <w:rPr>
          <w:rFonts w:asciiTheme="minorHAnsi" w:eastAsia="Times New Roman" w:hAnsiTheme="minorHAnsi" w:cstheme="minorHAnsi"/>
          <w:lang w:eastAsia="lt-LT"/>
        </w:rPr>
      </w:pPr>
      <w:r w:rsidRPr="00B943CA">
        <w:rPr>
          <w:rFonts w:asciiTheme="minorHAnsi" w:eastAsia="Times New Roman" w:hAnsiTheme="minorHAnsi" w:cstheme="minorHAnsi"/>
          <w:lang w:eastAsia="lt-LT"/>
        </w:rPr>
        <w:t>šio straipsnio 2 dalimi, siejama su jo 1 dalimi, jei šie paslaugų paketai, susitarimai ir priemonės, kuriomis blokuojamas arba sulėtinamas srautas, apriboja galutinių paslaugų gavėjų galimybę naudotis teisėmis, ir</w:t>
      </w:r>
    </w:p>
    <w:p w14:paraId="2C1E8C4C" w14:textId="77777777" w:rsidR="00F91B65" w:rsidRPr="00B943CA" w:rsidRDefault="00F91B65" w:rsidP="00F91B65">
      <w:pPr>
        <w:pStyle w:val="Sraopastraipa"/>
        <w:numPr>
          <w:ilvl w:val="0"/>
          <w:numId w:val="12"/>
        </w:numPr>
        <w:tabs>
          <w:tab w:val="left" w:pos="851"/>
        </w:tabs>
        <w:ind w:left="0" w:firstLine="567"/>
        <w:rPr>
          <w:rFonts w:asciiTheme="minorHAnsi" w:eastAsia="Times New Roman" w:hAnsiTheme="minorHAnsi" w:cstheme="minorHAnsi"/>
          <w:lang w:eastAsia="lt-LT"/>
        </w:rPr>
      </w:pPr>
      <w:r w:rsidRPr="00B943CA">
        <w:rPr>
          <w:rFonts w:asciiTheme="minorHAnsi" w:eastAsia="Times New Roman" w:hAnsiTheme="minorHAnsi" w:cstheme="minorHAnsi"/>
          <w:lang w:eastAsia="lt-LT"/>
        </w:rPr>
        <w:t>šio straipsnio 3 dalimi, jeigu šios priemonės, kuriomis blokuojamas arba sulėtinamas srautas, grindžiamos komerciniais sumetimais.</w:t>
      </w:r>
    </w:p>
    <w:p w14:paraId="2AF90871" w14:textId="0B8FF5F1" w:rsidR="00F91B65" w:rsidRDefault="00F953EA" w:rsidP="00F91B65">
      <w:pPr>
        <w:ind w:firstLine="567"/>
        <w:rPr>
          <w:rStyle w:val="Hipersaitas"/>
          <w:rFonts w:asciiTheme="minorHAnsi" w:hAnsiTheme="minorHAnsi" w:cstheme="minorHAnsi"/>
        </w:rPr>
      </w:pPr>
      <w:hyperlink r:id="rId21" w:history="1">
        <w:r w:rsidR="00F91B65" w:rsidRPr="00B943CA">
          <w:rPr>
            <w:rStyle w:val="Hipersaitas"/>
            <w:rFonts w:asciiTheme="minorHAnsi" w:hAnsiTheme="minorHAnsi" w:cstheme="minorHAnsi"/>
          </w:rPr>
          <w:t>Prieiga internete</w:t>
        </w:r>
      </w:hyperlink>
    </w:p>
    <w:p w14:paraId="2CDAC8BD" w14:textId="7EB3A7D6" w:rsidR="00E10062" w:rsidRPr="00B943CA" w:rsidRDefault="00E10062" w:rsidP="00F91B65">
      <w:pPr>
        <w:ind w:firstLine="567"/>
        <w:rPr>
          <w:rFonts w:asciiTheme="minorHAnsi" w:hAnsiTheme="minorHAnsi" w:cstheme="minorHAnsi"/>
          <w:color w:val="0000FF"/>
          <w:u w:val="single"/>
        </w:rPr>
      </w:pPr>
      <w:r>
        <w:rPr>
          <w:rStyle w:val="Hipersaitas"/>
          <w:rFonts w:asciiTheme="minorHAnsi" w:hAnsiTheme="minorHAnsi" w:cstheme="minorHAnsi"/>
        </w:rPr>
        <w:t>Prieiga internete (</w:t>
      </w:r>
      <w:hyperlink r:id="rId22" w:history="1">
        <w:r w:rsidRPr="00E10062">
          <w:rPr>
            <w:rStyle w:val="Hipersaitas"/>
            <w:rFonts w:asciiTheme="minorHAnsi" w:hAnsiTheme="minorHAnsi" w:cstheme="minorHAnsi"/>
          </w:rPr>
          <w:t>santrauka</w:t>
        </w:r>
      </w:hyperlink>
      <w:r>
        <w:rPr>
          <w:rStyle w:val="Hipersaitas"/>
          <w:rFonts w:asciiTheme="minorHAnsi" w:hAnsiTheme="minorHAnsi" w:cstheme="minorHAnsi"/>
        </w:rPr>
        <w:t>)</w:t>
      </w:r>
    </w:p>
    <w:p w14:paraId="2EC59FCF" w14:textId="77777777" w:rsidR="00F91B65" w:rsidRPr="00B943CA" w:rsidRDefault="00F91B65" w:rsidP="00F91B65">
      <w:pPr>
        <w:rPr>
          <w:rFonts w:asciiTheme="minorHAnsi" w:hAnsiTheme="minorHAnsi" w:cstheme="minorHAnsi"/>
        </w:rPr>
      </w:pPr>
    </w:p>
    <w:p w14:paraId="6E9089FC" w14:textId="77777777" w:rsidR="00F91B65" w:rsidRPr="00B943CA" w:rsidRDefault="00F91B65" w:rsidP="00D669E0">
      <w:pPr>
        <w:pStyle w:val="Antrat2"/>
      </w:pPr>
      <w:bookmarkStart w:id="83" w:name="_Toc67492462"/>
      <w:bookmarkStart w:id="84" w:name="_Toc71819719"/>
      <w:r w:rsidRPr="00B943CA">
        <w:t>2020 m. gruodžio 17 d. prejudicinis sprendimas byloje C</w:t>
      </w:r>
      <w:r w:rsidRPr="00B943CA">
        <w:noBreakHyphen/>
        <w:t>667/19</w:t>
      </w:r>
      <w:bookmarkEnd w:id="83"/>
      <w:bookmarkEnd w:id="84"/>
    </w:p>
    <w:p w14:paraId="3A0A74D2" w14:textId="77777777" w:rsidR="00F91B65" w:rsidRPr="00B943CA" w:rsidRDefault="00F91B65" w:rsidP="00F91B65">
      <w:pPr>
        <w:jc w:val="center"/>
        <w:rPr>
          <w:rFonts w:asciiTheme="minorHAnsi" w:hAnsiTheme="minorHAnsi" w:cstheme="minorHAnsi"/>
          <w:b/>
          <w:bCs/>
          <w:i/>
          <w:iCs/>
          <w:color w:val="000000"/>
        </w:rPr>
      </w:pPr>
      <w:r w:rsidRPr="00B943CA">
        <w:rPr>
          <w:rFonts w:asciiTheme="minorHAnsi" w:hAnsiTheme="minorHAnsi" w:cstheme="minorHAnsi"/>
          <w:b/>
          <w:bCs/>
          <w:i/>
          <w:iCs/>
          <w:color w:val="000000"/>
        </w:rPr>
        <w:t>A.M. prieš E.M.</w:t>
      </w:r>
    </w:p>
    <w:p w14:paraId="3E3061E6" w14:textId="77777777" w:rsidR="00F91B65" w:rsidRPr="00B943CA" w:rsidRDefault="00F91B65" w:rsidP="00F91B65">
      <w:pPr>
        <w:jc w:val="center"/>
        <w:rPr>
          <w:rFonts w:asciiTheme="minorHAnsi" w:eastAsia="Times New Roman" w:hAnsiTheme="minorHAnsi" w:cstheme="minorHAnsi"/>
          <w:b/>
          <w:bCs/>
          <w:i/>
          <w:iCs/>
          <w:color w:val="000000"/>
          <w:lang w:eastAsia="lt-LT"/>
        </w:rPr>
      </w:pPr>
    </w:p>
    <w:p w14:paraId="61288494" w14:textId="77777777"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rPr>
      </w:pPr>
      <w:r w:rsidRPr="00B943CA">
        <w:rPr>
          <w:rFonts w:asciiTheme="minorHAnsi" w:hAnsiTheme="minorHAnsi" w:cstheme="minorHAnsi"/>
          <w:color w:val="000000"/>
          <w:sz w:val="22"/>
          <w:szCs w:val="22"/>
        </w:rPr>
        <w:t>Prašymas priimti prejudicinį sprendimą pateiktas dėl 2009 m. lapkričio 30 d. Europos Parlamento ir Tarybos reglamento (EB) Nr. 1223/2009 dėl kosmetikos gaminių (OL L 342, 2009, p. 59) (toliau – Reglamentas 1223/2009) 19 straipsnio 1 dalies f punkto ir 2 dalies išaiškinimo (1 punktas).</w:t>
      </w:r>
      <w:bookmarkStart w:id="85" w:name="point2"/>
    </w:p>
    <w:bookmarkEnd w:id="85"/>
    <w:p w14:paraId="6A72FB4D" w14:textId="62150843"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Šis prašymas pateiktas nagrinėjant </w:t>
      </w:r>
      <w:r w:rsidRPr="00B943CA">
        <w:rPr>
          <w:rFonts w:asciiTheme="minorHAnsi" w:hAnsiTheme="minorHAnsi" w:cstheme="minorHAnsi"/>
          <w:i/>
          <w:iCs/>
          <w:color w:val="000000"/>
          <w:sz w:val="22"/>
          <w:szCs w:val="22"/>
        </w:rPr>
        <w:t>A. M.</w:t>
      </w:r>
      <w:r w:rsidRPr="00B943CA">
        <w:rPr>
          <w:rFonts w:asciiTheme="minorHAnsi" w:hAnsiTheme="minorHAnsi" w:cstheme="minorHAnsi"/>
          <w:color w:val="000000"/>
          <w:sz w:val="22"/>
          <w:szCs w:val="22"/>
        </w:rPr>
        <w:t xml:space="preserve"> ir </w:t>
      </w:r>
      <w:r w:rsidRPr="005C5D86">
        <w:rPr>
          <w:rFonts w:asciiTheme="minorHAnsi" w:hAnsiTheme="minorHAnsi" w:cstheme="minorHAnsi"/>
          <w:color w:val="000000"/>
          <w:sz w:val="22"/>
          <w:szCs w:val="22"/>
        </w:rPr>
        <w:t>E. M.</w:t>
      </w:r>
      <w:r w:rsidRPr="00B943CA">
        <w:rPr>
          <w:rFonts w:asciiTheme="minorHAnsi" w:hAnsiTheme="minorHAnsi" w:cstheme="minorHAnsi"/>
          <w:color w:val="000000"/>
          <w:sz w:val="22"/>
          <w:szCs w:val="22"/>
        </w:rPr>
        <w:t xml:space="preserve"> ginčą dėl tarp jų sudarytos kosmetikos gaminių pirkimo</w:t>
      </w:r>
      <w:r w:rsidR="00C47F2E">
        <w:rPr>
          <w:rFonts w:asciiTheme="minorHAnsi" w:hAnsiTheme="minorHAnsi" w:cstheme="minorHAnsi"/>
          <w:color w:val="000000"/>
          <w:sz w:val="22"/>
          <w:szCs w:val="22"/>
        </w:rPr>
        <w:t>–</w:t>
      </w:r>
      <w:r w:rsidRPr="00B943CA">
        <w:rPr>
          <w:rFonts w:asciiTheme="minorHAnsi" w:hAnsiTheme="minorHAnsi" w:cstheme="minorHAnsi"/>
          <w:color w:val="000000"/>
          <w:sz w:val="22"/>
          <w:szCs w:val="22"/>
        </w:rPr>
        <w:t>pardavimo sutarties nutraukimo (2 punktas).</w:t>
      </w:r>
    </w:p>
    <w:p w14:paraId="581FBB7F" w14:textId="77777777"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Grožio salono savininkė </w:t>
      </w:r>
      <w:r w:rsidRPr="00B943CA">
        <w:rPr>
          <w:rFonts w:asciiTheme="minorHAnsi" w:hAnsiTheme="minorHAnsi" w:cstheme="minorHAnsi"/>
          <w:i/>
          <w:iCs/>
          <w:color w:val="000000"/>
          <w:sz w:val="22"/>
          <w:szCs w:val="22"/>
        </w:rPr>
        <w:t>A. M.</w:t>
      </w:r>
      <w:r w:rsidRPr="00B943CA">
        <w:rPr>
          <w:rFonts w:asciiTheme="minorHAnsi" w:hAnsiTheme="minorHAnsi" w:cstheme="minorHAnsi"/>
          <w:color w:val="000000"/>
          <w:sz w:val="22"/>
          <w:szCs w:val="22"/>
        </w:rPr>
        <w:t xml:space="preserve"> įsigijo JAV gamintojo kosmetikos gaminių iš jų platintojo </w:t>
      </w:r>
      <w:r w:rsidRPr="005C5D86">
        <w:rPr>
          <w:rFonts w:asciiTheme="minorHAnsi" w:hAnsiTheme="minorHAnsi" w:cstheme="minorHAnsi"/>
          <w:color w:val="000000"/>
          <w:sz w:val="22"/>
          <w:szCs w:val="22"/>
        </w:rPr>
        <w:t>E. M.</w:t>
      </w:r>
      <w:r w:rsidRPr="00B943CA">
        <w:rPr>
          <w:rFonts w:asciiTheme="minorHAnsi" w:hAnsiTheme="minorHAnsi" w:cstheme="minorHAnsi"/>
          <w:i/>
          <w:iCs/>
          <w:color w:val="000000"/>
          <w:sz w:val="22"/>
          <w:szCs w:val="22"/>
        </w:rPr>
        <w:t xml:space="preserve"> A. M</w:t>
      </w:r>
      <w:r w:rsidRPr="00B943CA">
        <w:rPr>
          <w:rFonts w:asciiTheme="minorHAnsi" w:hAnsiTheme="minorHAnsi" w:cstheme="minorHAnsi"/>
          <w:color w:val="000000"/>
          <w:sz w:val="22"/>
          <w:szCs w:val="22"/>
        </w:rPr>
        <w:t xml:space="preserve">. dalyvavo </w:t>
      </w:r>
      <w:r w:rsidRPr="005C5D86">
        <w:rPr>
          <w:rFonts w:asciiTheme="minorHAnsi" w:hAnsiTheme="minorHAnsi" w:cstheme="minorHAnsi"/>
          <w:color w:val="000000"/>
          <w:sz w:val="22"/>
          <w:szCs w:val="22"/>
        </w:rPr>
        <w:t>E. M.</w:t>
      </w:r>
      <w:r w:rsidRPr="00B943CA">
        <w:rPr>
          <w:rFonts w:asciiTheme="minorHAnsi" w:hAnsiTheme="minorHAnsi" w:cstheme="minorHAnsi"/>
          <w:color w:val="000000"/>
          <w:sz w:val="22"/>
          <w:szCs w:val="22"/>
        </w:rPr>
        <w:t xml:space="preserve"> prekybos agento organizuotuose mokymuose dėl E. M. parduodamų gaminių. Per šiuos mokymus jai buvo pristatytas šių gaminių ženklinimas ir paaiškintos kiekvieno iš jų savybės. Šiuo tikslu minėtas agentas jai įteikė lenkų kalba parengtus dokumentus, mažmeninės prekybos informacinius lapelius ir mokymus papildančią medžiagą. Be to, A. M. buvo pranešta, kad kosmetikos gaminiai pagaminti Amerikoje ir ant jų antrinės pakuotės nėra informacijos lenkų kalba apie jų poveikį, bet yra ranką su atversta knyga vaizduojantis simbolis, nurodantis katalogą, kuriame visa informacija apie šiuos gaminius pateikta lenkų kalba (12–13 punktai).</w:t>
      </w:r>
    </w:p>
    <w:p w14:paraId="5468E102" w14:textId="77777777"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Po šių mokymų </w:t>
      </w:r>
      <w:r w:rsidRPr="00B943CA">
        <w:rPr>
          <w:rFonts w:asciiTheme="minorHAnsi" w:hAnsiTheme="minorHAnsi" w:cstheme="minorHAnsi"/>
          <w:i/>
          <w:iCs/>
          <w:color w:val="000000"/>
          <w:sz w:val="22"/>
          <w:szCs w:val="22"/>
        </w:rPr>
        <w:t>A. M.</w:t>
      </w:r>
      <w:r w:rsidRPr="00B943CA">
        <w:rPr>
          <w:rFonts w:asciiTheme="minorHAnsi" w:hAnsiTheme="minorHAnsi" w:cstheme="minorHAnsi"/>
          <w:color w:val="000000"/>
          <w:sz w:val="22"/>
          <w:szCs w:val="22"/>
        </w:rPr>
        <w:t xml:space="preserve"> iš </w:t>
      </w:r>
      <w:r w:rsidRPr="005C5D86">
        <w:rPr>
          <w:rFonts w:asciiTheme="minorHAnsi" w:hAnsiTheme="minorHAnsi" w:cstheme="minorHAnsi"/>
          <w:color w:val="000000"/>
          <w:sz w:val="22"/>
          <w:szCs w:val="22"/>
        </w:rPr>
        <w:t>E. M.</w:t>
      </w:r>
      <w:r w:rsidRPr="00B943CA">
        <w:rPr>
          <w:rFonts w:asciiTheme="minorHAnsi" w:hAnsiTheme="minorHAnsi" w:cstheme="minorHAnsi"/>
          <w:color w:val="000000"/>
          <w:sz w:val="22"/>
          <w:szCs w:val="22"/>
        </w:rPr>
        <w:t xml:space="preserve"> įsigijo 40 mažmeninės prekybos informacinių lapelių, 10 įmonės katalogų, taip pat įvairių kosmetikos gaminių. Ant gaminių pakuočių buvo pateikta informacija apie atsakingą subjektą, originalų kosmetikos gaminio pavadinimą, jo sudėtį, galiojimo terminą ir serijos numerį, taip pat ranką su atversta knyga vaizduojantis simbolis, nurodantis katalogą lenkų kalba (14 punktas).</w:t>
      </w:r>
    </w:p>
    <w:p w14:paraId="568CFCD1" w14:textId="5BAD3B1A"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rPr>
      </w:pPr>
      <w:r w:rsidRPr="005C5D86">
        <w:rPr>
          <w:rFonts w:asciiTheme="minorHAnsi" w:hAnsiTheme="minorHAnsi" w:cstheme="minorHAnsi"/>
          <w:i/>
          <w:iCs/>
          <w:color w:val="000000"/>
          <w:sz w:val="22"/>
          <w:szCs w:val="22"/>
        </w:rPr>
        <w:t>A. M.</w:t>
      </w:r>
      <w:r w:rsidRPr="00B943CA">
        <w:rPr>
          <w:rFonts w:asciiTheme="minorHAnsi" w:hAnsiTheme="minorHAnsi" w:cstheme="minorHAnsi"/>
          <w:color w:val="000000"/>
          <w:sz w:val="22"/>
          <w:szCs w:val="22"/>
        </w:rPr>
        <w:t xml:space="preserve"> nutraukė šių gaminių pirkimo</w:t>
      </w:r>
      <w:r w:rsidR="00C47F2E">
        <w:rPr>
          <w:rFonts w:asciiTheme="minorHAnsi" w:hAnsiTheme="minorHAnsi" w:cstheme="minorHAnsi"/>
          <w:color w:val="000000"/>
          <w:sz w:val="22"/>
          <w:szCs w:val="22"/>
        </w:rPr>
        <w:t>–</w:t>
      </w:r>
      <w:r w:rsidRPr="00B943CA">
        <w:rPr>
          <w:rFonts w:asciiTheme="minorHAnsi" w:hAnsiTheme="minorHAnsi" w:cstheme="minorHAnsi"/>
          <w:color w:val="000000"/>
          <w:sz w:val="22"/>
          <w:szCs w:val="22"/>
        </w:rPr>
        <w:t xml:space="preserve">pardavimo sutartį dėl parduoto daikto trūkumo ir teigė, kad ant pakuotės nebuvo informacijos lenkų kalba apie gaminio funkciją, todėl nebuvo įmanoma jo atpažinti ir sužinoti poveikio, nes iš pateikimo nebuvo aiškiai matyti jo savybės. Ji nurodė, kad ant paskutinį kartą pristatytų mažmeninei prekybai skirtų kosmetikos gaminių antrinių pakuočių nebuvo informacijos lenkų kalba, reikalaujamos pagal Lenkijoje prekybai kosmetikos gaminiais taikomą teisę, t. y. nurodytos Reglamento Nr. 1223/2009 19 straipsnio 1 dalies f punkte ir 5 dalyje. Ji taip pat nurodė, kad įstatyme </w:t>
      </w:r>
      <w:r w:rsidRPr="00B943CA">
        <w:rPr>
          <w:rFonts w:asciiTheme="minorHAnsi" w:hAnsiTheme="minorHAnsi" w:cstheme="minorHAnsi"/>
          <w:color w:val="000000"/>
          <w:sz w:val="22"/>
          <w:szCs w:val="22"/>
        </w:rPr>
        <w:lastRenderedPageBreak/>
        <w:t>reikalaujama informacija lenkų kalba buvo įtraukta tik į katalogą, kuris nebuvo skirtas konkrečiam gaminiui (15 punktas).</w:t>
      </w:r>
    </w:p>
    <w:p w14:paraId="79CBB7C3" w14:textId="77777777" w:rsidR="00F91B65" w:rsidRPr="00B943CA" w:rsidRDefault="00F91B65" w:rsidP="00F91B65">
      <w:pPr>
        <w:pStyle w:val="c01pointnumerotealtn"/>
        <w:spacing w:before="0" w:beforeAutospacing="0" w:after="0"/>
        <w:ind w:left="28" w:firstLine="539"/>
        <w:rPr>
          <w:rFonts w:asciiTheme="minorHAnsi" w:hAnsiTheme="minorHAnsi" w:cstheme="minorHAnsi"/>
          <w:b/>
          <w:bCs/>
          <w:color w:val="000000"/>
          <w:sz w:val="22"/>
          <w:szCs w:val="22"/>
        </w:rPr>
      </w:pPr>
    </w:p>
    <w:p w14:paraId="1755ABE1" w14:textId="6CECF7BC" w:rsidR="00F91B65" w:rsidRPr="00B943CA" w:rsidRDefault="00F91B65" w:rsidP="00C47F2E">
      <w:pPr>
        <w:pStyle w:val="Antrat3"/>
        <w:ind w:firstLine="567"/>
      </w:pPr>
      <w:bookmarkStart w:id="86" w:name="_Toc67492463"/>
      <w:bookmarkStart w:id="87" w:name="_Toc71819720"/>
      <w:r w:rsidRPr="00B943CA">
        <w:t>Dėl informacijos apie kosmetikos gaminio funkciją</w:t>
      </w:r>
      <w:bookmarkEnd w:id="86"/>
      <w:r w:rsidR="00C47F2E">
        <w:t xml:space="preserve"> pateikimo</w:t>
      </w:r>
      <w:bookmarkEnd w:id="87"/>
    </w:p>
    <w:p w14:paraId="4CAF89EA" w14:textId="77777777" w:rsidR="00F91B65" w:rsidRPr="00B943CA" w:rsidRDefault="00F91B65" w:rsidP="00F91B65">
      <w:pPr>
        <w:pStyle w:val="c01pointnumerotealtn"/>
        <w:spacing w:before="0" w:beforeAutospacing="0" w:after="0"/>
        <w:ind w:left="28" w:firstLine="539"/>
        <w:rPr>
          <w:rFonts w:asciiTheme="minorHAnsi" w:hAnsiTheme="minorHAnsi" w:cstheme="minorHAnsi"/>
          <w:b/>
          <w:bCs/>
          <w:color w:val="000000"/>
          <w:sz w:val="22"/>
          <w:szCs w:val="22"/>
        </w:rPr>
      </w:pPr>
    </w:p>
    <w:p w14:paraId="054AB22C" w14:textId="77777777" w:rsidR="00F91B65" w:rsidRPr="00B943CA" w:rsidRDefault="00F91B65" w:rsidP="00F91B65">
      <w:pPr>
        <w:pStyle w:val="c01pointnumerotealtn"/>
        <w:spacing w:before="0" w:beforeAutospacing="0" w:after="0"/>
        <w:ind w:left="0" w:firstLine="567"/>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Pagal Reglamento 1223/2009 19 straipsnio 1 dalies f punktą kosmetikos gaminiai gali būti pateikiami rinkai tik tuomet, kai ant pirminės ir antrinės pakuočių neištrinamomis, lengvai įskaitomomis ir gerai matomomis raidėmis pateikiama informacija apie „kosmetikos gaminio funkciją, nebent tai aišku pagal jo pateikimą“ (21 punktas). </w:t>
      </w:r>
    </w:p>
    <w:p w14:paraId="1DA2057F" w14:textId="77777777" w:rsidR="00F91B65" w:rsidRPr="00B943CA" w:rsidRDefault="00F91B65" w:rsidP="00F91B65">
      <w:pPr>
        <w:pStyle w:val="c01pointnumerotealtn"/>
        <w:spacing w:before="0" w:beforeAutospacing="0" w:after="0"/>
        <w:ind w:left="0" w:firstLine="567"/>
        <w:rPr>
          <w:rFonts w:asciiTheme="minorHAnsi" w:hAnsiTheme="minorHAnsi" w:cstheme="minorHAnsi"/>
          <w:color w:val="000000"/>
          <w:sz w:val="22"/>
          <w:szCs w:val="22"/>
        </w:rPr>
      </w:pPr>
      <w:r w:rsidRPr="00B943CA">
        <w:rPr>
          <w:rFonts w:asciiTheme="minorHAnsi" w:hAnsiTheme="minorHAnsi" w:cstheme="minorHAnsi"/>
          <w:color w:val="000000"/>
          <w:sz w:val="22"/>
          <w:szCs w:val="22"/>
        </w:rPr>
        <w:t>Aiškindamas sąvoką „kosmetikos gaminio funkcija“, Teisingumo Teismas pažymėjo, kad minėtoje reglamento nuostatoje formuluotė „kosmetikos gaminio funkcija“ neapibrėžiama. Be to, šio žodžių junginio nėra kitose Reglamento Nr. 1223/2009 nuostatose (22–23 punktai).</w:t>
      </w:r>
    </w:p>
    <w:p w14:paraId="6BB9A5DC" w14:textId="21E8F6A6"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Reglamento 1223/2009 2 straipsnio 1 dalies a punkte šis gaminys apibrėžiamas nurodant tris kriterijus. Pirmiausia joje numatytas kriterijus, susijęs su nagrinėjamo gaminio pobūdžiu, t. y. kad tai turi būti medžiaga ar medžiagų mišinys, toliau – kriterijus, susijęs su žmogaus kūno dalimi, ant kurios šis gaminys turi būti naudojamas, ir galiausiai kriterijus, susijęs su minėto gaminio naudojimo tikslu (2015 m. rugsėjo 3 d. </w:t>
      </w:r>
      <w:r w:rsidR="00DC1A52" w:rsidRPr="00B943CA">
        <w:rPr>
          <w:rFonts w:asciiTheme="minorHAnsi" w:hAnsiTheme="minorHAnsi" w:cstheme="minorHAnsi"/>
          <w:color w:val="000000"/>
          <w:sz w:val="22"/>
          <w:szCs w:val="22"/>
        </w:rPr>
        <w:t>S</w:t>
      </w:r>
      <w:r w:rsidRPr="00B943CA">
        <w:rPr>
          <w:rFonts w:asciiTheme="minorHAnsi" w:hAnsiTheme="minorHAnsi" w:cstheme="minorHAnsi"/>
          <w:color w:val="000000"/>
          <w:sz w:val="22"/>
          <w:szCs w:val="22"/>
        </w:rPr>
        <w:t>prendimo </w:t>
      </w:r>
      <w:r w:rsidRPr="00B943CA">
        <w:rPr>
          <w:rFonts w:asciiTheme="minorHAnsi" w:hAnsiTheme="minorHAnsi" w:cstheme="minorHAnsi"/>
          <w:i/>
          <w:iCs/>
          <w:color w:val="000000"/>
          <w:sz w:val="22"/>
          <w:szCs w:val="22"/>
        </w:rPr>
        <w:t>Colena</w:t>
      </w:r>
      <w:r w:rsidRPr="00B943CA">
        <w:rPr>
          <w:rFonts w:asciiTheme="minorHAnsi" w:hAnsiTheme="minorHAnsi" w:cstheme="minorHAnsi"/>
          <w:color w:val="000000"/>
          <w:sz w:val="22"/>
          <w:szCs w:val="22"/>
        </w:rPr>
        <w:t>, C</w:t>
      </w:r>
      <w:r w:rsidRPr="00B943CA">
        <w:rPr>
          <w:rFonts w:asciiTheme="minorHAnsi" w:hAnsiTheme="minorHAnsi" w:cstheme="minorHAnsi"/>
          <w:color w:val="000000"/>
          <w:sz w:val="22"/>
          <w:szCs w:val="22"/>
        </w:rPr>
        <w:noBreakHyphen/>
        <w:t>321/14, EU:C:2015:540, 19 punkt</w:t>
      </w:r>
      <w:r w:rsidR="00173FF2" w:rsidRPr="00B943CA">
        <w:rPr>
          <w:rFonts w:asciiTheme="minorHAnsi" w:hAnsiTheme="minorHAnsi" w:cstheme="minorHAnsi"/>
          <w:color w:val="000000"/>
          <w:sz w:val="22"/>
          <w:szCs w:val="22"/>
        </w:rPr>
        <w:t>as</w:t>
      </w:r>
      <w:r w:rsidRPr="00B943CA">
        <w:rPr>
          <w:rFonts w:asciiTheme="minorHAnsi" w:hAnsiTheme="minorHAnsi" w:cstheme="minorHAnsi"/>
          <w:color w:val="000000"/>
          <w:sz w:val="22"/>
          <w:szCs w:val="22"/>
        </w:rPr>
        <w:t>).  Dėl paskutinio kriterijaus minėtoje nuostatoje patikslinta, jog tam, kad kosmetikos gaminys būtų apibrėžtas kaip toks, jis turi būti išimtinai arba daugiausia skirtas kuriai nors iš šioje nuostatoje išvardytų kūno dalių valyti, kvėpinti, pakeisti jos išvaizdai, apsaugoti ją ar išlaikyti gerą būklę arba pašalinti kūno kvapus (24–25 punktai).</w:t>
      </w:r>
    </w:p>
    <w:p w14:paraId="44DA35BE" w14:textId="77777777" w:rsidR="00DC1A52"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Dėl Reglamento 1223/2009 19 straipsnio 1 dalies konteksto ir teisės akto, kuriame ji įtvirtinta, tikslų Teisingumo Teismas pažymėjo, kad šiame straipsnyje, kuris yra pirmasis šio reglamento VI skyriuje „Vartotojų informavimas“, įtvirtintos ženklinimo taisyklės, kurių turi būti laikomasi dėl visų Europos Sąjungos rinkai pateiktų kosmetikos gaminių. Šiuo reglamentu siekiama išsamiai suderinti Sąjungoje galiojančias taisykles, kad būtų sukurta kosmetikos gaminių vidaus rinka, kartu užtikrinant aukštą žmonių sveikatos apsaugos lygį (2018 m. balandžio 12 d. </w:t>
      </w:r>
      <w:r w:rsidR="00DC1A52" w:rsidRPr="00B943CA">
        <w:rPr>
          <w:rFonts w:asciiTheme="minorHAnsi" w:hAnsiTheme="minorHAnsi" w:cstheme="minorHAnsi"/>
          <w:color w:val="000000"/>
          <w:sz w:val="22"/>
          <w:szCs w:val="22"/>
        </w:rPr>
        <w:t>S</w:t>
      </w:r>
      <w:r w:rsidRPr="00B943CA">
        <w:rPr>
          <w:rFonts w:asciiTheme="minorHAnsi" w:hAnsiTheme="minorHAnsi" w:cstheme="minorHAnsi"/>
          <w:color w:val="000000"/>
          <w:sz w:val="22"/>
          <w:szCs w:val="22"/>
        </w:rPr>
        <w:t>prendimo </w:t>
      </w:r>
      <w:r w:rsidRPr="00B943CA">
        <w:rPr>
          <w:rFonts w:asciiTheme="minorHAnsi" w:hAnsiTheme="minorHAnsi" w:cstheme="minorHAnsi"/>
          <w:i/>
          <w:iCs/>
          <w:color w:val="000000"/>
          <w:sz w:val="22"/>
          <w:szCs w:val="22"/>
        </w:rPr>
        <w:t>Fédération des entreprises de la beauté</w:t>
      </w:r>
      <w:r w:rsidRPr="00B943CA">
        <w:rPr>
          <w:rFonts w:asciiTheme="minorHAnsi" w:hAnsiTheme="minorHAnsi" w:cstheme="minorHAnsi"/>
          <w:color w:val="000000"/>
          <w:sz w:val="22"/>
          <w:szCs w:val="22"/>
        </w:rPr>
        <w:t>, C</w:t>
      </w:r>
      <w:r w:rsidRPr="00B943CA">
        <w:rPr>
          <w:rFonts w:asciiTheme="minorHAnsi" w:hAnsiTheme="minorHAnsi" w:cstheme="minorHAnsi"/>
          <w:color w:val="000000"/>
          <w:sz w:val="22"/>
          <w:szCs w:val="22"/>
        </w:rPr>
        <w:noBreakHyphen/>
        <w:t>13/17, EU:C:2018:246, 23–25 punkt</w:t>
      </w:r>
      <w:r w:rsidR="00173FF2" w:rsidRPr="00B943CA">
        <w:rPr>
          <w:rFonts w:asciiTheme="minorHAnsi" w:hAnsiTheme="minorHAnsi" w:cstheme="minorHAnsi"/>
          <w:color w:val="000000"/>
          <w:sz w:val="22"/>
          <w:szCs w:val="22"/>
        </w:rPr>
        <w:t>ai</w:t>
      </w:r>
      <w:r w:rsidRPr="00B943CA">
        <w:rPr>
          <w:rFonts w:asciiTheme="minorHAnsi" w:hAnsiTheme="minorHAnsi" w:cstheme="minorHAnsi"/>
          <w:color w:val="000000"/>
          <w:sz w:val="22"/>
          <w:szCs w:val="22"/>
        </w:rPr>
        <w:t>).</w:t>
      </w:r>
    </w:p>
    <w:p w14:paraId="75E3E729" w14:textId="77777777" w:rsidR="00830705" w:rsidRPr="00B943CA" w:rsidRDefault="00F91B65" w:rsidP="00DC1A52">
      <w:pPr>
        <w:pStyle w:val="c01pointnumerotealtn"/>
        <w:spacing w:before="0" w:beforeAutospacing="0" w:after="0"/>
        <w:ind w:left="28" w:firstLine="539"/>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Svarbu, kad kosmetikos gaminiai būtų saugūs, jei laikomasi įprastų ar pagrįstai numanomų naudojimo sąlygų. Rinkai tiekiamas kosmetikos gaminys turi būti saugus žmonių sveikatai, jei naudojamas „laikantis įprastų ar [pagrįstai] numanomų naudojimo reikalavimų“, ypač atsižvelgiant į jo pateikimą ir ženklinimą. Taigi egzistuoja glaudus ryšys tarp rinkai tiekiamų kosmetikos gaminių saugos ir jų pateikimo bei ženklinimo reikalavimų. Vadinasi, pagal Reglamento 1223/2009 19 straipsnį siekiama išsamiai suderinti taisykles dėl kosmetikos gaminių pakavimo ir ženklinimo, nes, be to, kad toks derinimas padeda pasiekti tikslą prekiauti kosmetikos gaminiais Sąjungoje, juo taip pat siekiama apsaugoti žmonių sveikatą, nes vartotoją galinti suklaidinti informacija apie kosmetikos gaminio savybes taip pat gali turėti įtakos žmonių sveikatai. Taigi </w:t>
      </w:r>
      <w:r w:rsidRPr="00B943CA">
        <w:rPr>
          <w:rFonts w:asciiTheme="minorHAnsi" w:hAnsiTheme="minorHAnsi" w:cstheme="minorHAnsi"/>
          <w:color w:val="000000"/>
          <w:sz w:val="22"/>
          <w:szCs w:val="22"/>
          <w:u w:val="single"/>
        </w:rPr>
        <w:t>Reglamento 1223/2009 19 straipsnio 1 dalies f punkte numatytas reikalavimas ant kosmetikos gaminių pirminės ir antrinės pakuočių neištrinamomis, lengvai įskaitomomis ir gerai matomomis raidėmis pateikti informaciją apie kosmetikos gaminio funkciją negali apsiriboti informavimu tik apie šio reglamento 2 straipsnio 1 dalies a punkte nurodytus tokio gaminio naudojimo tikslus: kuriai nors iš šioje nuostatoje išvardytų kūno dalių valyti, kvėpinti, pakeisti jos išvaizdą, apsaugoti ją ar išlaikyti gerą būklę arba pašalinti kūno kvapus</w:t>
      </w:r>
      <w:r w:rsidRPr="00B943CA">
        <w:rPr>
          <w:rFonts w:asciiTheme="minorHAnsi" w:hAnsiTheme="minorHAnsi" w:cstheme="minorHAnsi"/>
          <w:color w:val="000000"/>
          <w:sz w:val="22"/>
          <w:szCs w:val="22"/>
        </w:rPr>
        <w:t xml:space="preserve"> (26–30 punktai).</w:t>
      </w:r>
    </w:p>
    <w:p w14:paraId="4C1CE920" w14:textId="7202F0FC" w:rsidR="00F91B65" w:rsidRPr="00B943CA" w:rsidRDefault="00F91B65" w:rsidP="00DC1A52">
      <w:pPr>
        <w:pStyle w:val="c01pointnumerotealtn"/>
        <w:spacing w:before="0" w:beforeAutospacing="0" w:after="0"/>
        <w:ind w:left="28" w:firstLine="539"/>
        <w:rPr>
          <w:rFonts w:asciiTheme="minorHAnsi" w:hAnsiTheme="minorHAnsi" w:cstheme="minorHAnsi"/>
          <w:color w:val="000000"/>
          <w:sz w:val="22"/>
          <w:szCs w:val="22"/>
        </w:rPr>
      </w:pPr>
      <w:r w:rsidRPr="00C47F2E">
        <w:rPr>
          <w:rFonts w:asciiTheme="minorHAnsi" w:hAnsiTheme="minorHAnsi" w:cstheme="minorHAnsi"/>
          <w:color w:val="000000"/>
          <w:sz w:val="22"/>
          <w:szCs w:val="22"/>
          <w:u w:val="single"/>
        </w:rPr>
        <w:t>Sąvoka „kosmetikos gaminio funkcija“</w:t>
      </w:r>
      <w:r w:rsidRPr="00B943CA">
        <w:rPr>
          <w:rFonts w:asciiTheme="minorHAnsi" w:hAnsiTheme="minorHAnsi" w:cstheme="minorHAnsi"/>
          <w:color w:val="000000"/>
          <w:sz w:val="22"/>
          <w:szCs w:val="22"/>
        </w:rPr>
        <w:t xml:space="preserve">, kaip ji suprantama pagal šio reglamento 19 straipsnio 1 dalies f punktą, </w:t>
      </w:r>
      <w:r w:rsidRPr="00C47F2E">
        <w:rPr>
          <w:rFonts w:asciiTheme="minorHAnsi" w:hAnsiTheme="minorHAnsi" w:cstheme="minorHAnsi"/>
          <w:color w:val="000000"/>
          <w:sz w:val="22"/>
          <w:szCs w:val="22"/>
          <w:u w:val="single"/>
        </w:rPr>
        <w:t>susijusi su konkretesnių</w:t>
      </w:r>
      <w:r w:rsidRPr="00B943CA">
        <w:rPr>
          <w:rFonts w:asciiTheme="minorHAnsi" w:hAnsiTheme="minorHAnsi" w:cstheme="minorHAnsi"/>
          <w:color w:val="000000"/>
          <w:sz w:val="22"/>
          <w:szCs w:val="22"/>
        </w:rPr>
        <w:t xml:space="preserve"> šio gaminio savybių nurodymu (31 punktas). Jei tai aiškiai neišplaukia iš gaminio pateikimo, </w:t>
      </w:r>
      <w:r w:rsidRPr="00B943CA">
        <w:rPr>
          <w:rFonts w:asciiTheme="minorHAnsi" w:hAnsiTheme="minorHAnsi" w:cstheme="minorHAnsi"/>
          <w:color w:val="000000"/>
          <w:sz w:val="22"/>
          <w:szCs w:val="22"/>
          <w:u w:val="single"/>
        </w:rPr>
        <w:t>toks nurodymas turi leisti vartotojui ant gaminio pirminės ir antrinės pakuočių rasti išsamesnės informacijos apie jo paskirtį ir naudojimo būd</w:t>
      </w:r>
      <w:r w:rsidRPr="00B943CA">
        <w:rPr>
          <w:rFonts w:asciiTheme="minorHAnsi" w:hAnsiTheme="minorHAnsi" w:cstheme="minorHAnsi"/>
          <w:color w:val="000000"/>
          <w:sz w:val="22"/>
          <w:szCs w:val="22"/>
        </w:rPr>
        <w:t>ą. Taigi toks nurodymas leidžia vartotojui rinktis žinant visas aplinkybes, išvengti klaidinimo ir tinkamai naudoti gaminį, kad būtų pasiektas tikslas užtikrinti aukštą žmonių sveikatos apsaugos lygį (32</w:t>
      </w:r>
      <w:r w:rsidR="00FD354D" w:rsidRPr="00B943CA">
        <w:rPr>
          <w:rFonts w:asciiTheme="minorHAnsi" w:hAnsiTheme="minorHAnsi" w:cstheme="minorHAnsi"/>
          <w:color w:val="000000"/>
          <w:sz w:val="22"/>
          <w:szCs w:val="22"/>
        </w:rPr>
        <w:t> </w:t>
      </w:r>
      <w:r w:rsidRPr="00B943CA">
        <w:rPr>
          <w:rFonts w:asciiTheme="minorHAnsi" w:hAnsiTheme="minorHAnsi" w:cstheme="minorHAnsi"/>
          <w:color w:val="000000"/>
          <w:sz w:val="22"/>
          <w:szCs w:val="22"/>
        </w:rPr>
        <w:t>punkta</w:t>
      </w:r>
      <w:r w:rsidR="00830705" w:rsidRPr="00B943CA">
        <w:rPr>
          <w:rFonts w:asciiTheme="minorHAnsi" w:hAnsiTheme="minorHAnsi" w:cstheme="minorHAnsi"/>
          <w:color w:val="000000"/>
          <w:sz w:val="22"/>
          <w:szCs w:val="22"/>
        </w:rPr>
        <w:t>s</w:t>
      </w:r>
      <w:r w:rsidRPr="00B943CA">
        <w:rPr>
          <w:rFonts w:asciiTheme="minorHAnsi" w:hAnsiTheme="minorHAnsi" w:cstheme="minorHAnsi"/>
          <w:color w:val="000000"/>
          <w:sz w:val="22"/>
          <w:szCs w:val="22"/>
        </w:rPr>
        <w:t>).</w:t>
      </w:r>
    </w:p>
    <w:p w14:paraId="0C284260" w14:textId="761B4096"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rPr>
      </w:pPr>
      <w:r w:rsidRPr="00B943CA">
        <w:rPr>
          <w:rFonts w:asciiTheme="minorHAnsi" w:hAnsiTheme="minorHAnsi" w:cstheme="minorHAnsi"/>
          <w:color w:val="000000"/>
          <w:sz w:val="22"/>
          <w:szCs w:val="22"/>
        </w:rPr>
        <w:t>Teisingumo Teismas, atsižvelgęs į tai, kad sąvokos „kosmetikos gaminio funkcija“, kaip ji suprantama pagal Reglamento Nr. 1223/2009 19 straipsnio 1 dalies f punktą, taip pat negalima painioti su šio reglamento 20 straipsnyje nurodytais „teiginiais apie gaminį“, dėl kurių konkrečios taisyklės įtvirtintos</w:t>
      </w:r>
      <w:r w:rsidR="00830705" w:rsidRPr="00B943CA">
        <w:rPr>
          <w:rFonts w:asciiTheme="minorHAnsi" w:hAnsiTheme="minorHAnsi" w:cstheme="minorHAnsi"/>
          <w:color w:val="000000"/>
          <w:sz w:val="22"/>
          <w:szCs w:val="22"/>
        </w:rPr>
        <w:t xml:space="preserve"> </w:t>
      </w:r>
      <w:r w:rsidRPr="00B943CA">
        <w:rPr>
          <w:rFonts w:asciiTheme="minorHAnsi" w:hAnsiTheme="minorHAnsi" w:cstheme="minorHAnsi"/>
          <w:color w:val="000000"/>
          <w:sz w:val="22"/>
          <w:szCs w:val="22"/>
        </w:rPr>
        <w:t>2013</w:t>
      </w:r>
      <w:r w:rsidR="00830705" w:rsidRPr="00B943CA">
        <w:rPr>
          <w:rFonts w:asciiTheme="minorHAnsi" w:hAnsiTheme="minorHAnsi" w:cstheme="minorHAnsi"/>
          <w:color w:val="000000"/>
          <w:sz w:val="22"/>
          <w:szCs w:val="22"/>
        </w:rPr>
        <w:t> </w:t>
      </w:r>
      <w:r w:rsidRPr="00B943CA">
        <w:rPr>
          <w:rFonts w:asciiTheme="minorHAnsi" w:hAnsiTheme="minorHAnsi" w:cstheme="minorHAnsi"/>
          <w:color w:val="000000"/>
          <w:sz w:val="22"/>
          <w:szCs w:val="22"/>
        </w:rPr>
        <w:t>m.</w:t>
      </w:r>
      <w:r w:rsidR="00830705" w:rsidRPr="00B943CA">
        <w:rPr>
          <w:rFonts w:asciiTheme="minorHAnsi" w:hAnsiTheme="minorHAnsi" w:cstheme="minorHAnsi"/>
          <w:color w:val="000000"/>
          <w:sz w:val="22"/>
          <w:szCs w:val="22"/>
        </w:rPr>
        <w:t> </w:t>
      </w:r>
      <w:r w:rsidRPr="00B943CA">
        <w:rPr>
          <w:rFonts w:asciiTheme="minorHAnsi" w:hAnsiTheme="minorHAnsi" w:cstheme="minorHAnsi"/>
          <w:color w:val="000000"/>
          <w:sz w:val="22"/>
          <w:szCs w:val="22"/>
        </w:rPr>
        <w:t>liepos</w:t>
      </w:r>
      <w:r w:rsidR="00830705" w:rsidRPr="00B943CA">
        <w:rPr>
          <w:rFonts w:asciiTheme="minorHAnsi" w:hAnsiTheme="minorHAnsi" w:cstheme="minorHAnsi"/>
          <w:color w:val="000000"/>
          <w:sz w:val="22"/>
          <w:szCs w:val="22"/>
        </w:rPr>
        <w:t> </w:t>
      </w:r>
      <w:r w:rsidRPr="00B943CA">
        <w:rPr>
          <w:rFonts w:asciiTheme="minorHAnsi" w:hAnsiTheme="minorHAnsi" w:cstheme="minorHAnsi"/>
          <w:color w:val="000000"/>
          <w:sz w:val="22"/>
          <w:szCs w:val="22"/>
        </w:rPr>
        <w:t>10</w:t>
      </w:r>
      <w:r w:rsidR="00830705" w:rsidRPr="00B943CA">
        <w:rPr>
          <w:rFonts w:asciiTheme="minorHAnsi" w:hAnsiTheme="minorHAnsi" w:cstheme="minorHAnsi"/>
          <w:color w:val="000000"/>
          <w:sz w:val="22"/>
          <w:szCs w:val="22"/>
        </w:rPr>
        <w:t> </w:t>
      </w:r>
      <w:r w:rsidRPr="00B943CA">
        <w:rPr>
          <w:rFonts w:asciiTheme="minorHAnsi" w:hAnsiTheme="minorHAnsi" w:cstheme="minorHAnsi"/>
          <w:color w:val="000000"/>
          <w:sz w:val="22"/>
          <w:szCs w:val="22"/>
        </w:rPr>
        <w:t xml:space="preserve">d. Komisijos reglamente (ES) Nr. 655/2013, kuriuo nustatomi bendrieji teiginių apie kosmetikos gaminius pagrindimo kriterijai (OL L 190, 2013, p. 31) (tokiais „teiginiais“ objektyviai siekiama pateikti daugiau informacijos apie šių gaminių charakteristikas ar savybes), darė išvadą, kad tarp nuorodų, kurios turi būti paminėtos kaip „kosmetikos gaminio funkcija“, numatyta Reglamento 1223/2009 </w:t>
      </w:r>
      <w:r w:rsidRPr="00B943CA">
        <w:rPr>
          <w:rFonts w:asciiTheme="minorHAnsi" w:hAnsiTheme="minorHAnsi" w:cstheme="minorHAnsi"/>
          <w:color w:val="000000"/>
          <w:sz w:val="22"/>
          <w:szCs w:val="22"/>
        </w:rPr>
        <w:lastRenderedPageBreak/>
        <w:t>19 straipsnio 1 dalies f punkte, nėra išsamios informacijos apie kosmetikos gaminio savybes, be kita ko, apie gaminio siekiamą poveikį ir tikslinę jo adresatų grupę (33–34 punktai).</w:t>
      </w:r>
    </w:p>
    <w:p w14:paraId="7F8716DE" w14:textId="09C24DF9"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u w:val="single"/>
        </w:rPr>
      </w:pPr>
      <w:r w:rsidRPr="00B943CA">
        <w:rPr>
          <w:rFonts w:asciiTheme="minorHAnsi" w:hAnsiTheme="minorHAnsi" w:cstheme="minorHAnsi"/>
          <w:color w:val="000000"/>
          <w:sz w:val="22"/>
          <w:szCs w:val="22"/>
        </w:rPr>
        <w:t xml:space="preserve">Dėl informacijos apie kosmetikos gaminio funkciją, kurią pagal šią nuostatą privalu pateikti ant pirminės ir antrinės pakuočių, pobūdžio ir apimties Teisingumo Teismas pažymėjo, kad šie aspektai turi būti vertinami kiekvienu konkrečiu atveju, remiantis kiekvieno gaminio charakteristikomis ir savybėmis ir atsižvelgiant į vidutinio, pakankamai informuoto, protingai pastabaus ir nuovokaus vartotojo preziumuojamus lūkesčius (2000 m. sausio 13 d. </w:t>
      </w:r>
      <w:r w:rsidR="00830705" w:rsidRPr="00B943CA">
        <w:rPr>
          <w:rFonts w:asciiTheme="minorHAnsi" w:hAnsiTheme="minorHAnsi" w:cstheme="minorHAnsi"/>
          <w:color w:val="000000"/>
          <w:sz w:val="22"/>
          <w:szCs w:val="22"/>
        </w:rPr>
        <w:t>S</w:t>
      </w:r>
      <w:r w:rsidRPr="00B943CA">
        <w:rPr>
          <w:rFonts w:asciiTheme="minorHAnsi" w:hAnsiTheme="minorHAnsi" w:cstheme="minorHAnsi"/>
          <w:color w:val="000000"/>
          <w:sz w:val="22"/>
          <w:szCs w:val="22"/>
        </w:rPr>
        <w:t>prendimo </w:t>
      </w:r>
      <w:r w:rsidRPr="00B943CA">
        <w:rPr>
          <w:rFonts w:asciiTheme="minorHAnsi" w:hAnsiTheme="minorHAnsi" w:cstheme="minorHAnsi"/>
          <w:i/>
          <w:iCs/>
          <w:color w:val="000000"/>
          <w:sz w:val="22"/>
          <w:szCs w:val="22"/>
        </w:rPr>
        <w:t>Estée Lauder</w:t>
      </w:r>
      <w:r w:rsidRPr="00B943CA">
        <w:rPr>
          <w:rFonts w:asciiTheme="minorHAnsi" w:hAnsiTheme="minorHAnsi" w:cstheme="minorHAnsi"/>
          <w:color w:val="000000"/>
          <w:sz w:val="22"/>
          <w:szCs w:val="22"/>
        </w:rPr>
        <w:t>, C</w:t>
      </w:r>
      <w:r w:rsidRPr="00B943CA">
        <w:rPr>
          <w:rFonts w:asciiTheme="minorHAnsi" w:hAnsiTheme="minorHAnsi" w:cstheme="minorHAnsi"/>
          <w:color w:val="000000"/>
          <w:sz w:val="22"/>
          <w:szCs w:val="22"/>
        </w:rPr>
        <w:noBreakHyphen/>
        <w:t>220/98, EU:C:2000:8, 27 ir 28 punkt</w:t>
      </w:r>
      <w:r w:rsidR="00FD354D" w:rsidRPr="00B943CA">
        <w:rPr>
          <w:rFonts w:asciiTheme="minorHAnsi" w:hAnsiTheme="minorHAnsi" w:cstheme="minorHAnsi"/>
          <w:color w:val="000000"/>
          <w:sz w:val="22"/>
          <w:szCs w:val="22"/>
        </w:rPr>
        <w:t>ai</w:t>
      </w:r>
      <w:r w:rsidRPr="00B943CA">
        <w:rPr>
          <w:rFonts w:asciiTheme="minorHAnsi" w:hAnsiTheme="minorHAnsi" w:cstheme="minorHAnsi"/>
          <w:color w:val="000000"/>
          <w:sz w:val="22"/>
          <w:szCs w:val="22"/>
        </w:rPr>
        <w:t xml:space="preserve"> bei juose nurodyt</w:t>
      </w:r>
      <w:r w:rsidR="00FD354D" w:rsidRPr="00B943CA">
        <w:rPr>
          <w:rFonts w:asciiTheme="minorHAnsi" w:hAnsiTheme="minorHAnsi" w:cstheme="minorHAnsi"/>
          <w:color w:val="000000"/>
          <w:sz w:val="22"/>
          <w:szCs w:val="22"/>
        </w:rPr>
        <w:t>a</w:t>
      </w:r>
      <w:r w:rsidRPr="00B943CA">
        <w:rPr>
          <w:rFonts w:asciiTheme="minorHAnsi" w:hAnsiTheme="minorHAnsi" w:cstheme="minorHAnsi"/>
          <w:color w:val="000000"/>
          <w:sz w:val="22"/>
          <w:szCs w:val="22"/>
        </w:rPr>
        <w:t xml:space="preserve"> jurisprudencij</w:t>
      </w:r>
      <w:r w:rsidR="00FD354D" w:rsidRPr="00B943CA">
        <w:rPr>
          <w:rFonts w:asciiTheme="minorHAnsi" w:hAnsiTheme="minorHAnsi" w:cstheme="minorHAnsi"/>
          <w:color w:val="000000"/>
          <w:sz w:val="22"/>
          <w:szCs w:val="22"/>
        </w:rPr>
        <w:t>a</w:t>
      </w:r>
      <w:r w:rsidRPr="00B943CA">
        <w:rPr>
          <w:rFonts w:asciiTheme="minorHAnsi" w:hAnsiTheme="minorHAnsi" w:cstheme="minorHAnsi"/>
          <w:color w:val="000000"/>
          <w:sz w:val="22"/>
          <w:szCs w:val="22"/>
        </w:rPr>
        <w:t xml:space="preserve">). </w:t>
      </w:r>
      <w:r w:rsidRPr="00B943CA">
        <w:rPr>
          <w:rFonts w:asciiTheme="minorHAnsi" w:hAnsiTheme="minorHAnsi" w:cstheme="minorHAnsi"/>
          <w:color w:val="000000"/>
          <w:sz w:val="22"/>
          <w:szCs w:val="22"/>
          <w:u w:val="single"/>
        </w:rPr>
        <w:t xml:space="preserve">Reikalaujama, kad remdamasis ant kosmetikos gaminio pirminės ir antrinės pakuočių esančia informacija – prireikus tai gali būti tiesiog bendrinis ar įprastas gaminio pavadinimas – vidutinis, pakankamai informuotas ir protingai pastabus bei nuovokus vartotojas galėtų aiškiai suprasti atitinkamo gaminio funkciją, kad nebūtų klaidinamas dėl jo paskirties bei naudojimo būdo ir naudotų jį, nekenkdamas savo sveikatai </w:t>
      </w:r>
      <w:r w:rsidRPr="00B943CA">
        <w:rPr>
          <w:rFonts w:asciiTheme="minorHAnsi" w:hAnsiTheme="minorHAnsi" w:cstheme="minorHAnsi"/>
          <w:color w:val="000000"/>
          <w:sz w:val="22"/>
          <w:szCs w:val="22"/>
        </w:rPr>
        <w:t>(35–36 punktai).</w:t>
      </w:r>
    </w:p>
    <w:p w14:paraId="7C85331D" w14:textId="77777777" w:rsidR="00F91B65" w:rsidRPr="00B943CA" w:rsidRDefault="00F91B65" w:rsidP="00F91B65">
      <w:pPr>
        <w:pStyle w:val="c01pointnumerotealtn"/>
        <w:spacing w:before="0" w:beforeAutospacing="0" w:after="0"/>
        <w:ind w:left="28" w:firstLine="539"/>
        <w:rPr>
          <w:rFonts w:asciiTheme="minorHAnsi" w:hAnsiTheme="minorHAnsi" w:cstheme="minorHAnsi"/>
          <w:color w:val="000000"/>
          <w:sz w:val="22"/>
          <w:szCs w:val="22"/>
          <w:u w:val="single"/>
        </w:rPr>
      </w:pPr>
    </w:p>
    <w:p w14:paraId="1D06D21A" w14:textId="77777777" w:rsidR="00F91B65" w:rsidRPr="00B943CA" w:rsidRDefault="00F91B65" w:rsidP="00C47F2E">
      <w:pPr>
        <w:pStyle w:val="Antrat3"/>
        <w:ind w:firstLine="567"/>
      </w:pPr>
      <w:bookmarkStart w:id="88" w:name="_Toc67492464"/>
      <w:bookmarkStart w:id="89" w:name="_Toc71819721"/>
      <w:r w:rsidRPr="00B943CA">
        <w:t>Dėl informacijos apie konkrečias kosmetikos gaminio naudojimo atsargumo priemones, šio gaminio funkciją ir ingredientus nurodymo įmonės kataloge, kuriame taip pat pateikiami kiti gaminiai</w:t>
      </w:r>
      <w:bookmarkEnd w:id="88"/>
      <w:bookmarkEnd w:id="89"/>
    </w:p>
    <w:p w14:paraId="29B6FEF2" w14:textId="77777777" w:rsidR="00F91B65" w:rsidRPr="00B943CA" w:rsidRDefault="00F91B65" w:rsidP="00F91B65">
      <w:pPr>
        <w:pStyle w:val="c01pointnumerotealtn"/>
        <w:spacing w:before="0" w:beforeAutospacing="0" w:after="0"/>
        <w:ind w:left="0" w:firstLine="567"/>
        <w:rPr>
          <w:rFonts w:asciiTheme="minorHAnsi" w:hAnsiTheme="minorHAnsi" w:cstheme="minorHAnsi"/>
          <w:b/>
          <w:bCs/>
          <w:color w:val="000000"/>
          <w:sz w:val="22"/>
          <w:szCs w:val="22"/>
        </w:rPr>
      </w:pPr>
    </w:p>
    <w:p w14:paraId="6C5F5909" w14:textId="77777777" w:rsidR="00F91B65" w:rsidRPr="00B943CA" w:rsidRDefault="00F91B65" w:rsidP="00F91B65">
      <w:pPr>
        <w:pStyle w:val="c01pointnumerotealtn"/>
        <w:spacing w:before="0" w:beforeAutospacing="0" w:after="0"/>
        <w:ind w:left="0" w:firstLine="567"/>
        <w:rPr>
          <w:rFonts w:asciiTheme="minorHAnsi" w:hAnsiTheme="minorHAnsi" w:cstheme="minorHAnsi"/>
          <w:color w:val="000000"/>
          <w:sz w:val="22"/>
          <w:szCs w:val="22"/>
        </w:rPr>
      </w:pPr>
      <w:r w:rsidRPr="00B943CA">
        <w:rPr>
          <w:rFonts w:asciiTheme="minorHAnsi" w:hAnsiTheme="minorHAnsi" w:cstheme="minorHAnsi"/>
          <w:color w:val="000000"/>
          <w:sz w:val="22"/>
          <w:szCs w:val="22"/>
        </w:rPr>
        <w:t>Reglamento Nr. 1223/2009 19 straipsnio 2 dalyje nustatyta, kad šio reglamento 19 straipsnio 1 dalies d ir g punktuose numatyta informacija atitinkamai apie konkrečias atsargumo priemones ir ingredientus pateikiama prie gaminio „pridėtame arba pritvirtintame lapelyje, etiketėje, juostelėje arba kortelėje“, jei dėl praktinių priežasčių jos neįmanoma pateikti ženklinant gaminį. Tokiu atveju ši nuostata įpareigoja, nebent tai praktiškai neįmanoma, nurodyti šią informaciją sutrumpintai arba išspausdinant VII priedo 1 punkte pateiktą simbolį ant pirminės ar antrinės pakuočių (taikoma 1 dalies d punkte nurodytai informacijai) arba tik ant antrinės pakuotės (taikoma 1 dalies g punkte nurodytai informacijai) (39 punktas).</w:t>
      </w:r>
    </w:p>
    <w:p w14:paraId="20E7A748" w14:textId="630391DC" w:rsidR="00F91B65" w:rsidRPr="00B943CA" w:rsidRDefault="00F91B65" w:rsidP="00F91B65">
      <w:pPr>
        <w:pStyle w:val="c01pointnumerotealtn"/>
        <w:spacing w:before="0" w:beforeAutospacing="0" w:after="0"/>
        <w:ind w:left="0" w:firstLine="567"/>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Anot Teisingumo Teismo, iš to matyti, pirma, kad </w:t>
      </w:r>
      <w:r w:rsidRPr="00B943CA">
        <w:rPr>
          <w:rFonts w:asciiTheme="minorHAnsi" w:hAnsiTheme="minorHAnsi" w:cstheme="minorHAnsi"/>
          <w:color w:val="000000"/>
          <w:sz w:val="22"/>
          <w:szCs w:val="22"/>
          <w:u w:val="single"/>
        </w:rPr>
        <w:t>turi būti daromas skirtumas tarp, viena vertus, Reglamento Nr. 1223/2009 19 straipsnio 1 dalies f punkte numatytos informacijos apie gaminio funkciją ir, kita vertus, to paties reglamento 19 straipsnio 1 dalies d ir g punktuose numatytos informacijos apie atsargumo priemones ir ingredientus, nes tik pastaroji gali būti nurodyta ne gaminio etiketėje, laikantis šio straipsnio 2 dalyje numatytų sąlygų</w:t>
      </w:r>
      <w:r w:rsidRPr="00B943CA">
        <w:rPr>
          <w:rFonts w:asciiTheme="minorHAnsi" w:hAnsiTheme="minorHAnsi" w:cstheme="minorHAnsi"/>
          <w:color w:val="000000"/>
          <w:sz w:val="22"/>
          <w:szCs w:val="22"/>
        </w:rPr>
        <w:t>.</w:t>
      </w:r>
      <w:bookmarkStart w:id="90" w:name="point41"/>
      <w:r w:rsidRPr="00B943CA">
        <w:rPr>
          <w:rFonts w:asciiTheme="minorHAnsi" w:hAnsiTheme="minorHAnsi" w:cstheme="minorHAnsi"/>
          <w:color w:val="000000"/>
          <w:sz w:val="22"/>
          <w:szCs w:val="22"/>
        </w:rPr>
        <w:t xml:space="preserve"> </w:t>
      </w:r>
      <w:bookmarkEnd w:id="90"/>
      <w:r w:rsidRPr="00B943CA">
        <w:rPr>
          <w:rFonts w:asciiTheme="minorHAnsi" w:hAnsiTheme="minorHAnsi" w:cstheme="minorHAnsi"/>
          <w:color w:val="000000"/>
          <w:sz w:val="22"/>
          <w:szCs w:val="22"/>
        </w:rPr>
        <w:t xml:space="preserve">Antra, Reglamento Nr. 1223/2009 19 straipsnio 1 dalyje numatytų ženklinimo reikalavimų išimtis, įtvirtinta šio straipsnio 2 dalyje, turi būti aiškinama atsižvelgiant į šio reglamento 46 konstatuojamąją dalį, kurioje nurodyta, kad „[j]ei dėl praktinių priežasčių ingredientų neįmanoma nurodyti ant pakuotės, tokia informacija turėtų būti pridedama, kad vartotojas galėtų gauti šią informaciją“. Taigi Reglamento Nr. 1223/2009 19 straipsnio 2 dalyje įtvirtinta bendros ženklinimo tvarkos išimtis, todėl ši nuostata turi būti aiškinama siaurai (pagal analogiją 2001 m. rugsėjo 13 d. </w:t>
      </w:r>
      <w:r w:rsidR="00830705" w:rsidRPr="00B943CA">
        <w:rPr>
          <w:rFonts w:asciiTheme="minorHAnsi" w:hAnsiTheme="minorHAnsi" w:cstheme="minorHAnsi"/>
          <w:color w:val="000000"/>
          <w:sz w:val="22"/>
          <w:szCs w:val="22"/>
        </w:rPr>
        <w:t>S</w:t>
      </w:r>
      <w:r w:rsidRPr="00B943CA">
        <w:rPr>
          <w:rFonts w:asciiTheme="minorHAnsi" w:hAnsiTheme="minorHAnsi" w:cstheme="minorHAnsi"/>
          <w:color w:val="000000"/>
          <w:sz w:val="22"/>
          <w:szCs w:val="22"/>
        </w:rPr>
        <w:t>prendimo </w:t>
      </w:r>
      <w:r w:rsidRPr="00B943CA">
        <w:rPr>
          <w:rFonts w:asciiTheme="minorHAnsi" w:hAnsiTheme="minorHAnsi" w:cstheme="minorHAnsi"/>
          <w:i/>
          <w:iCs/>
          <w:color w:val="000000"/>
          <w:sz w:val="22"/>
          <w:szCs w:val="22"/>
        </w:rPr>
        <w:t>Schwarzkopf</w:t>
      </w:r>
      <w:r w:rsidRPr="00B943CA">
        <w:rPr>
          <w:rFonts w:asciiTheme="minorHAnsi" w:hAnsiTheme="minorHAnsi" w:cstheme="minorHAnsi"/>
          <w:color w:val="000000"/>
          <w:sz w:val="22"/>
          <w:szCs w:val="22"/>
        </w:rPr>
        <w:t>, C</w:t>
      </w:r>
      <w:r w:rsidRPr="00B943CA">
        <w:rPr>
          <w:rFonts w:asciiTheme="minorHAnsi" w:hAnsiTheme="minorHAnsi" w:cstheme="minorHAnsi"/>
          <w:color w:val="000000"/>
          <w:sz w:val="22"/>
          <w:szCs w:val="22"/>
        </w:rPr>
        <w:noBreakHyphen/>
        <w:t>169/99, EU:C:2001:439, 31 punkt</w:t>
      </w:r>
      <w:r w:rsidR="00FD354D" w:rsidRPr="00B943CA">
        <w:rPr>
          <w:rFonts w:asciiTheme="minorHAnsi" w:hAnsiTheme="minorHAnsi" w:cstheme="minorHAnsi"/>
          <w:color w:val="000000"/>
          <w:sz w:val="22"/>
          <w:szCs w:val="22"/>
        </w:rPr>
        <w:t>as</w:t>
      </w:r>
      <w:r w:rsidRPr="00B943CA">
        <w:rPr>
          <w:rFonts w:asciiTheme="minorHAnsi" w:hAnsiTheme="minorHAnsi" w:cstheme="minorHAnsi"/>
          <w:color w:val="000000"/>
          <w:sz w:val="22"/>
          <w:szCs w:val="22"/>
        </w:rPr>
        <w:t>) (40–42 punktai).</w:t>
      </w:r>
    </w:p>
    <w:p w14:paraId="7209361E" w14:textId="77777777" w:rsidR="00F91B65" w:rsidRPr="00B943CA" w:rsidRDefault="00F91B65" w:rsidP="00F91B65">
      <w:pPr>
        <w:pStyle w:val="c01pointnumerotealtn"/>
        <w:spacing w:before="0" w:beforeAutospacing="0" w:after="0"/>
        <w:ind w:left="0" w:firstLine="567"/>
        <w:rPr>
          <w:rFonts w:asciiTheme="minorHAnsi" w:hAnsiTheme="minorHAnsi" w:cstheme="minorHAnsi"/>
          <w:color w:val="000000"/>
          <w:sz w:val="22"/>
          <w:szCs w:val="22"/>
        </w:rPr>
      </w:pPr>
      <w:r w:rsidRPr="00B943CA">
        <w:rPr>
          <w:rFonts w:asciiTheme="minorHAnsi" w:hAnsiTheme="minorHAnsi" w:cstheme="minorHAnsi"/>
          <w:color w:val="000000"/>
          <w:sz w:val="22"/>
          <w:szCs w:val="22"/>
        </w:rPr>
        <w:t xml:space="preserve">Pagrindinėje byloje tik prašymą priimti prejudicinį sprendimą pateikęs teismas, atsižvelgdamas į nagrinėjamas faktines aplinkybes, kiekvienu konkrečiu atveju turi nustatyti, ar įvykdytos šios nuostatos taikymo sąlygos. Vis dėlto galima pažymėti, kad </w:t>
      </w:r>
      <w:r w:rsidRPr="00B943CA">
        <w:rPr>
          <w:rFonts w:asciiTheme="minorHAnsi" w:hAnsiTheme="minorHAnsi" w:cstheme="minorHAnsi"/>
          <w:color w:val="000000"/>
          <w:sz w:val="22"/>
          <w:szCs w:val="22"/>
          <w:u w:val="single"/>
        </w:rPr>
        <w:t>nuoroda į „atskirą įmonės katalogą, apimantį kelis gaminius“, kaip antai pateiktą parduodant nagrinėjamus gaminius, neatrodo atitinkanti Reglamento Nr. 1223/2009 nuostatas</w:t>
      </w:r>
      <w:r w:rsidRPr="00B943CA">
        <w:rPr>
          <w:rFonts w:asciiTheme="minorHAnsi" w:hAnsiTheme="minorHAnsi" w:cstheme="minorHAnsi"/>
          <w:color w:val="000000"/>
          <w:sz w:val="22"/>
          <w:szCs w:val="22"/>
        </w:rPr>
        <w:t xml:space="preserve">. Pirma, kai daroma tokia nuoroda, pagal šio reglamento 19 straipsnio 2 dalį kaip papildoma išorinė medžiaga apie kosmetikos gaminį gali būti naudojamas prie gaminio „pridėtas arba pritvirtintas lapelis, etiketė, juostelė arba kortelė“. Minėto reglamento VII priede, kuriame nurodyti trys simboliai, galintys būti ant gaminio pirminės ar antrinės pakuotės, aiškiai numatyta, kaip matyti iš jo 1 punkto pavadinimo, „[n]uoroda į prie gaminio pridėtą ar pritvirtintą informaciją“, kurią atitinka simbolis, vaizduojantis ranką su atversta knyga. Atskiras įmonės katalogas, kuriame aprašomas ne tik vienas ar keli nagrinėjami kosmetikos gaminiai, bet ir kiti gamintojo siūlomo asortimento gaminiai, nėra pridėtas ar pritvirtintas prie konkretaus gaminio. Antra, iš Reglamento Nr. 1223/2009 19 straipsnio 2 dalies matyti, kad šio straipsnio 1 dalyje nurodytą informaciją galima pateikti ne ant paties kosmetikos gaminio, tik jeigu „dėl praktinių priežasčių“ jos neįmanoma nurodyti etiketėje. Šis negalėjimas susijęs su atvejais, kai dėl paties gaminio pobūdžio ir pateikimo fiziškai neįmanoma nurodyti tam tikros informacijos. </w:t>
      </w:r>
      <w:r w:rsidRPr="00B943CA">
        <w:rPr>
          <w:rFonts w:asciiTheme="minorHAnsi" w:hAnsiTheme="minorHAnsi" w:cstheme="minorHAnsi"/>
          <w:color w:val="000000"/>
          <w:sz w:val="22"/>
          <w:szCs w:val="22"/>
          <w:u w:val="single"/>
        </w:rPr>
        <w:t xml:space="preserve">Šiomis aplinkybėmis prašymą priimti prejudicinį sprendimą pateikusio teismo nurodyta aplinkybė, kad nagrinėjami kosmetikos gaminiai buvo importuoti, o tai, atsižvelgiant į pareigą pateikti reikalaujamą informaciją pagal Reglamento Nr. 1223/2009 19 straipsnio 5 dalį nustatyta kalba, gali sukelti organizacinio ir finansinio pobūdžio sunkumų, susijusių su būtinybe išversti tam tikrą informaciją ir atlikti pakartotinį ženklinimą ar net perpakavimą, savaime nereiškia praktinių priežasčių, dėl kurių neįmanoma nurodyti šios informacijos etiketėje. Išlaidos, patirtos dėl naujo šių </w:t>
      </w:r>
      <w:r w:rsidRPr="00B943CA">
        <w:rPr>
          <w:rFonts w:asciiTheme="minorHAnsi" w:hAnsiTheme="minorHAnsi" w:cstheme="minorHAnsi"/>
          <w:color w:val="000000"/>
          <w:sz w:val="22"/>
          <w:szCs w:val="22"/>
          <w:u w:val="single"/>
        </w:rPr>
        <w:lastRenderedPageBreak/>
        <w:t>gaminių ženklinimo kita kalba siekiant jais prekiauti kitose valstybėse narėse, niekaip negali būti laikomos pagrindu, pateisinančiu gaminio pirminės ar antrinės pakuotės ženklinimą neišsamiomis etiketėmis</w:t>
      </w:r>
      <w:r w:rsidRPr="00B943CA">
        <w:rPr>
          <w:rFonts w:asciiTheme="minorHAnsi" w:hAnsiTheme="minorHAnsi" w:cstheme="minorHAnsi"/>
          <w:color w:val="000000"/>
          <w:sz w:val="22"/>
          <w:szCs w:val="22"/>
        </w:rPr>
        <w:t xml:space="preserve"> (43–46 punktai).   </w:t>
      </w:r>
    </w:p>
    <w:p w14:paraId="666E093E" w14:textId="77777777" w:rsidR="00F91B65" w:rsidRPr="00B943CA" w:rsidRDefault="00F91B65" w:rsidP="00F91B65">
      <w:pPr>
        <w:pStyle w:val="c41dispositifintroduction"/>
        <w:spacing w:before="0" w:beforeAutospacing="0" w:after="0" w:afterAutospacing="0"/>
        <w:jc w:val="both"/>
        <w:rPr>
          <w:rFonts w:asciiTheme="minorHAnsi" w:hAnsiTheme="minorHAnsi" w:cstheme="minorHAnsi"/>
          <w:b/>
          <w:bCs/>
          <w:color w:val="000000"/>
          <w:sz w:val="22"/>
          <w:szCs w:val="22"/>
        </w:rPr>
      </w:pPr>
    </w:p>
    <w:p w14:paraId="2665828A" w14:textId="77777777" w:rsidR="00F91B65" w:rsidRPr="00B943CA" w:rsidRDefault="00F91B65" w:rsidP="00F91B65">
      <w:pPr>
        <w:pStyle w:val="c41dispositifintroduction"/>
        <w:spacing w:before="0" w:beforeAutospacing="0" w:after="0" w:afterAutospacing="0"/>
        <w:ind w:firstLine="567"/>
        <w:jc w:val="both"/>
        <w:rPr>
          <w:rFonts w:asciiTheme="minorHAnsi" w:hAnsiTheme="minorHAnsi" w:cstheme="minorHAnsi"/>
          <w:b/>
          <w:bCs/>
          <w:color w:val="000000"/>
          <w:sz w:val="22"/>
          <w:szCs w:val="22"/>
        </w:rPr>
      </w:pPr>
      <w:r w:rsidRPr="00B943CA">
        <w:rPr>
          <w:rFonts w:asciiTheme="minorHAnsi" w:hAnsiTheme="minorHAnsi" w:cstheme="minorHAnsi"/>
          <w:b/>
          <w:bCs/>
          <w:color w:val="000000"/>
          <w:sz w:val="22"/>
          <w:szCs w:val="22"/>
        </w:rPr>
        <w:t>Remdamasis šiais motyvais, Teisingumo Teismas (trečioji kolegija) nusprendė:</w:t>
      </w:r>
    </w:p>
    <w:p w14:paraId="1F4DBB01" w14:textId="77777777" w:rsidR="00F91B65" w:rsidRPr="00B943CA" w:rsidRDefault="00F91B65" w:rsidP="00F91B65">
      <w:pPr>
        <w:pStyle w:val="c41dispositifintroduction"/>
        <w:spacing w:before="0" w:beforeAutospacing="0" w:after="0" w:afterAutospacing="0"/>
        <w:jc w:val="both"/>
        <w:rPr>
          <w:rFonts w:asciiTheme="minorHAnsi" w:hAnsiTheme="minorHAnsi" w:cstheme="minorHAnsi"/>
          <w:b/>
          <w:bCs/>
          <w:color w:val="000000"/>
          <w:sz w:val="22"/>
          <w:szCs w:val="22"/>
        </w:rPr>
      </w:pPr>
    </w:p>
    <w:p w14:paraId="040BEB29" w14:textId="77777777" w:rsidR="00F91B65" w:rsidRPr="00B943CA" w:rsidRDefault="00F91B65" w:rsidP="00F91B65">
      <w:pPr>
        <w:pStyle w:val="c41dispositifintroduction"/>
        <w:spacing w:before="0" w:beforeAutospacing="0" w:after="0" w:afterAutospacing="0"/>
        <w:ind w:firstLine="567"/>
        <w:jc w:val="both"/>
        <w:rPr>
          <w:rFonts w:asciiTheme="minorHAnsi" w:hAnsiTheme="minorHAnsi" w:cstheme="minorHAnsi"/>
          <w:color w:val="000000"/>
          <w:sz w:val="22"/>
          <w:szCs w:val="22"/>
        </w:rPr>
      </w:pPr>
      <w:r w:rsidRPr="00B943CA">
        <w:rPr>
          <w:rFonts w:asciiTheme="minorHAnsi" w:hAnsiTheme="minorHAnsi" w:cstheme="minorHAnsi"/>
          <w:color w:val="000000"/>
          <w:sz w:val="22"/>
          <w:szCs w:val="22"/>
        </w:rPr>
        <w:t>1. 2009 m. lapkričio 30 d. Europos Parlamento ir Tarybos reglamento (EB) Nr. 1223/2009 dėl kosmetikos gaminių 19 straipsnio 1 dalies f punktas turi būti aiškinamas taip, kad iš informacijos apie „kosmetikos gaminio funkciją“, kuri pagal šią nuostatą privalo būti ant tokio gaminio pirminės ir antrinės pakuočių, vartotojas turi aiškiai suprasti gaminio paskirtį bei naudojimo būdą, kad galėtų saugiai, nekenkdamas savo sveikatai, jį naudoti, todėl tokia informacija negali apsiriboti tik šio reglamento 2 straipsnio 1 dalies a punkte numatytų tikslų, kurių siekiama naudojant gaminį, nurodymu. Prašymą priimti prejudicinį sprendimą pateikęs teismas, atsižvelgdamas į atitinkamo gaminio charakteristikas bei savybes ir vidutinio, pakankamai informuoto ir protingai pastabaus bei nuovokaus vartotojo lūkesčius, turi patikrinti informacijos, kuri tuo tikslu privalo būti pateikta ant pirminės ir antrinės gaminio pakuočių, pobūdį ir apimtį, kad gaminį būtų galima naudoti nesukeliant pavojaus žmonių sveikatai.</w:t>
      </w:r>
    </w:p>
    <w:p w14:paraId="5849368B" w14:textId="77777777" w:rsidR="00F91B65" w:rsidRPr="00B943CA" w:rsidRDefault="00F91B65" w:rsidP="00F91B65">
      <w:pPr>
        <w:pStyle w:val="c41dispositifintroduction"/>
        <w:spacing w:before="0" w:beforeAutospacing="0" w:after="0" w:afterAutospacing="0"/>
        <w:ind w:firstLine="567"/>
        <w:jc w:val="both"/>
        <w:rPr>
          <w:rFonts w:asciiTheme="minorHAnsi" w:hAnsiTheme="minorHAnsi" w:cstheme="minorHAnsi"/>
          <w:color w:val="000000"/>
          <w:sz w:val="22"/>
          <w:szCs w:val="22"/>
        </w:rPr>
      </w:pPr>
      <w:r w:rsidRPr="00B943CA">
        <w:rPr>
          <w:rFonts w:asciiTheme="minorHAnsi" w:hAnsiTheme="minorHAnsi" w:cstheme="minorHAnsi"/>
          <w:color w:val="000000"/>
          <w:sz w:val="22"/>
          <w:szCs w:val="22"/>
        </w:rPr>
        <w:t>2. Reglamento Nr. 1223/2009 19 straipsnio 2 dalis turi būti aiškinama taip, kad šio reglamento 19 straipsnio 1 dalies d, f ir g punktuose nurodyta informacija, kaip antai apie konkrečias kosmetikos gaminio naudojimo atsargumo priemones, šio gaminio funkciją ir ingredientus, negali būti pateikta įmonės kataloge, į kurį nukreipia ant kosmetikos gaminio antrinės ar pirminės pakuotės esantis šio reglamento VII priedo 1 punkte numatytas simbolis.</w:t>
      </w:r>
    </w:p>
    <w:p w14:paraId="0BBE6A9C" w14:textId="77777777" w:rsidR="00F91B65" w:rsidRPr="00B943CA" w:rsidRDefault="00F953EA" w:rsidP="00F91B65">
      <w:pPr>
        <w:pStyle w:val="c41dispositifintroduction"/>
        <w:spacing w:before="0" w:beforeAutospacing="0" w:after="0" w:afterAutospacing="0"/>
        <w:ind w:firstLine="567"/>
        <w:jc w:val="both"/>
        <w:rPr>
          <w:rFonts w:asciiTheme="minorHAnsi" w:hAnsiTheme="minorHAnsi" w:cstheme="minorHAnsi"/>
          <w:color w:val="000000"/>
          <w:sz w:val="22"/>
          <w:szCs w:val="22"/>
        </w:rPr>
      </w:pPr>
      <w:hyperlink r:id="rId23" w:history="1">
        <w:r w:rsidR="00F91B65" w:rsidRPr="00B943CA">
          <w:rPr>
            <w:rStyle w:val="Hipersaitas"/>
            <w:rFonts w:asciiTheme="minorHAnsi" w:hAnsiTheme="minorHAnsi" w:cstheme="minorHAnsi"/>
            <w:sz w:val="22"/>
            <w:szCs w:val="22"/>
          </w:rPr>
          <w:t>Prieiga internete</w:t>
        </w:r>
      </w:hyperlink>
    </w:p>
    <w:p w14:paraId="7E6E77C1" w14:textId="1D53568D" w:rsidR="006B0782" w:rsidRPr="00B943CA" w:rsidRDefault="006B0782" w:rsidP="00B33A97">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33F5A1C5" w14:textId="77777777" w:rsidR="00C80B96" w:rsidRPr="00B943CA" w:rsidRDefault="00C80B96" w:rsidP="00D669E0">
      <w:pPr>
        <w:pStyle w:val="Antrat1"/>
      </w:pPr>
      <w:bookmarkStart w:id="91" w:name="_Toc67492465"/>
      <w:bookmarkStart w:id="92" w:name="_Toc71819722"/>
      <w:r w:rsidRPr="00B943CA">
        <w:t>TEISĖ GAUTI INFORMACIJĄ</w:t>
      </w:r>
      <w:bookmarkEnd w:id="91"/>
      <w:bookmarkEnd w:id="92"/>
    </w:p>
    <w:p w14:paraId="714BBF7B"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01FDC561" w14:textId="77777777" w:rsidR="00C80B96" w:rsidRPr="00B943CA" w:rsidRDefault="00C80B96" w:rsidP="00D669E0">
      <w:pPr>
        <w:pStyle w:val="Antrat2"/>
      </w:pPr>
      <w:bookmarkStart w:id="93" w:name="_Toc67492466"/>
      <w:bookmarkStart w:id="94" w:name="_Toc71819723"/>
      <w:r w:rsidRPr="00B943CA">
        <w:t xml:space="preserve">2020 m. </w:t>
      </w:r>
      <w:r w:rsidRPr="00D669E0">
        <w:t>gruodžio</w:t>
      </w:r>
      <w:r w:rsidRPr="00B943CA">
        <w:t xml:space="preserve"> 17 d. sprendimas byloje C-342/19 P</w:t>
      </w:r>
      <w:bookmarkEnd w:id="93"/>
      <w:bookmarkEnd w:id="94"/>
    </w:p>
    <w:p w14:paraId="7F89B8BB" w14:textId="77777777" w:rsidR="00C80B96" w:rsidRPr="00B943CA" w:rsidRDefault="00C80B96" w:rsidP="00C80B96">
      <w:pPr>
        <w:jc w:val="center"/>
        <w:rPr>
          <w:rFonts w:asciiTheme="minorHAnsi" w:hAnsiTheme="minorHAnsi" w:cstheme="minorHAnsi"/>
          <w:b/>
          <w:bCs/>
          <w:i/>
        </w:rPr>
      </w:pPr>
      <w:r w:rsidRPr="00B943CA">
        <w:rPr>
          <w:rFonts w:asciiTheme="minorHAnsi" w:hAnsiTheme="minorHAnsi" w:cstheme="minorHAnsi"/>
          <w:b/>
          <w:bCs/>
          <w:i/>
        </w:rPr>
        <w:t>De Masi ir Varoufakis prieš ECB</w:t>
      </w:r>
    </w:p>
    <w:p w14:paraId="6180DB5D" w14:textId="77777777" w:rsidR="00C80B96" w:rsidRPr="00B943CA" w:rsidRDefault="00C80B96" w:rsidP="00C80B96">
      <w:pPr>
        <w:rPr>
          <w:rFonts w:asciiTheme="minorHAnsi" w:hAnsiTheme="minorHAnsi" w:cstheme="minorHAnsi"/>
          <w:i/>
          <w:iCs/>
        </w:rPr>
      </w:pPr>
    </w:p>
    <w:p w14:paraId="276C7240" w14:textId="77777777" w:rsidR="00C80B96" w:rsidRPr="00B943CA" w:rsidRDefault="00C80B96" w:rsidP="00C80B96">
      <w:pPr>
        <w:tabs>
          <w:tab w:val="left" w:pos="567"/>
          <w:tab w:val="left" w:pos="3768"/>
        </w:tabs>
        <w:rPr>
          <w:rFonts w:asciiTheme="minorHAnsi" w:hAnsiTheme="minorHAnsi" w:cstheme="minorHAnsi"/>
          <w:color w:val="000000"/>
          <w:shd w:val="clear" w:color="auto" w:fill="FFFFFF"/>
        </w:rPr>
      </w:pPr>
      <w:r w:rsidRPr="00B943CA">
        <w:rPr>
          <w:rFonts w:asciiTheme="minorHAnsi" w:hAnsiTheme="minorHAnsi" w:cstheme="minorHAnsi"/>
          <w:color w:val="000000"/>
          <w:shd w:val="clear" w:color="auto" w:fill="FFFFFF"/>
        </w:rPr>
        <w:tab/>
        <w:t>Apeliaciniu skundu Fabio De Masi ir Yanis Varoufakis prašė panaikinti 2019 m. kovo 12 d. Europos Sąjungos Bendrojo Teismo sprendimą </w:t>
      </w:r>
      <w:r w:rsidRPr="00B943CA">
        <w:rPr>
          <w:rFonts w:asciiTheme="minorHAnsi" w:hAnsiTheme="minorHAnsi" w:cstheme="minorHAnsi"/>
          <w:i/>
          <w:iCs/>
          <w:color w:val="000000"/>
          <w:shd w:val="clear" w:color="auto" w:fill="FFFFFF"/>
        </w:rPr>
        <w:t>De Masi ir Varoufakis / ECB</w:t>
      </w:r>
      <w:r w:rsidRPr="00B943CA">
        <w:rPr>
          <w:rFonts w:asciiTheme="minorHAnsi" w:hAnsiTheme="minorHAnsi" w:cstheme="minorHAnsi"/>
          <w:color w:val="000000"/>
          <w:shd w:val="clear" w:color="auto" w:fill="FFFFFF"/>
        </w:rPr>
        <w:t> (T-798/17, EU:T:2019:154; toliau – skundžiamas sprendimas), kuriuo tas teismas atmetė ieškinį dėl 2017 m. spalio 16 d. Europos Centrinio Banko (toliau – ECB) sprendimo (toliau – ginčijamas sprendimas) atsisakyti jiems leisti susipažinti su 2015 m. balandžio 23 d. dokumentu „Atsakymai į klausimus dėl Protokolo Nr. 4 dėl Europos centrinių bankų sistemos ir Europos Centrinio Banko statuto 14.4 straipsnio aiškinimo“ (toliau – ginčijamas dokumentas), kurį pateikė išorės paslaugų teikėjas, atsakydamas į ECB prašymą pateikti nuomonę, panaikinimo (1 punktas).</w:t>
      </w:r>
    </w:p>
    <w:p w14:paraId="0667D792" w14:textId="77777777" w:rsidR="00C80B96" w:rsidRPr="00B943CA" w:rsidRDefault="00C80B96" w:rsidP="00C80B96">
      <w:pPr>
        <w:tabs>
          <w:tab w:val="left" w:pos="567"/>
          <w:tab w:val="left" w:pos="3768"/>
        </w:tabs>
        <w:rPr>
          <w:rFonts w:asciiTheme="minorHAnsi" w:hAnsiTheme="minorHAnsi" w:cstheme="minorHAnsi"/>
          <w:color w:val="000000"/>
          <w:shd w:val="clear" w:color="auto" w:fill="FFFFFF"/>
        </w:rPr>
      </w:pPr>
      <w:r w:rsidRPr="00B943CA">
        <w:rPr>
          <w:rFonts w:asciiTheme="minorHAnsi" w:hAnsiTheme="minorHAnsi" w:cstheme="minorHAnsi"/>
          <w:color w:val="000000"/>
          <w:shd w:val="clear" w:color="auto" w:fill="FFFFFF"/>
        </w:rPr>
        <w:tab/>
        <w:t>Pagrindinės ginčo aplinkybės yra šios: 2017 m. balandžio 24 d. raštu F. De Masi ir Y. Varoufakis, remdamiesi 2004 m. kovo 4 d. Europos Centrinio Banko sprendimo 2004/258/EB dėl galimybės visuomenei susipažinti su Europos Centrinio Banko dokumentais (OL L 80, 2004, p. 42; 2004 m. specialusis leidimas lietuvių k., 1 sk., 5t., p. 51), iš dalies pakeisto 2015 m. sausio 21 d. Europos Centrinio Banko sprendimu (ES) (OL L 84, 2015, p. 64) (toliau – Sprendimas 2004/258), paprašė ECB leisti susipažinti su visomis išorės teisinėmis nuomonėmis, kurių ECB paprašė tam, kad būtų išnagrinėti jo 2015 m. vasario 4 d. ir birželio 28 d. sprendimai dėl Graikijos centrinio banko skubios paramos Graikijos bankams likvidumui padidinti.</w:t>
      </w:r>
      <w:r w:rsidRPr="00B943CA">
        <w:rPr>
          <w:rFonts w:asciiTheme="minorHAnsi" w:hAnsiTheme="minorHAnsi" w:cstheme="minorHAnsi"/>
          <w:color w:val="000000"/>
        </w:rPr>
        <w:t xml:space="preserve"> </w:t>
      </w:r>
      <w:r w:rsidRPr="00B943CA">
        <w:rPr>
          <w:rFonts w:asciiTheme="minorHAnsi" w:hAnsiTheme="minorHAnsi" w:cstheme="minorHAnsi"/>
          <w:color w:val="000000"/>
          <w:shd w:val="clear" w:color="auto" w:fill="FFFFFF"/>
        </w:rPr>
        <w:t>2017 m. gegužės 31 d. raštu ECB informavo apeliantus, kad neprašė teisinių nuomonių dėl minėtų sprendimų. Be to, jis juos informavo apie ginčijamo dokumento buvimą. 2017 m. liepos 7 d. raštu apeliantai paprašė ECB leisti susipažinti su ginčijamu dokumentu.</w:t>
      </w:r>
      <w:r w:rsidRPr="00B943CA">
        <w:rPr>
          <w:rFonts w:asciiTheme="minorHAnsi" w:eastAsia="Times New Roman" w:hAnsiTheme="minorHAnsi" w:cstheme="minorHAnsi"/>
          <w:color w:val="000000"/>
          <w:lang w:eastAsia="en-GB"/>
        </w:rPr>
        <w:t xml:space="preserve"> </w:t>
      </w:r>
      <w:r w:rsidRPr="00B943CA">
        <w:rPr>
          <w:rFonts w:asciiTheme="minorHAnsi" w:hAnsiTheme="minorHAnsi" w:cstheme="minorHAnsi"/>
          <w:color w:val="000000"/>
          <w:shd w:val="clear" w:color="auto" w:fill="FFFFFF"/>
        </w:rPr>
        <w:t>2017 m. rugpjūčio 3 d. raštu ECB atsisakė leisti susipažinti su šiuo dokumentu, remdamasis, pirma, Sprendimo 2004/258 4 straipsnio 2 dalies antroje įtraukoje numatyta išimtimi, susijusia su teisinių nuomonių apsauga, ir, antra, to paties sprendimo 4 straipsnio 3 dalies pirmoje pastraipoje numatyta išimtimi, susijusia su vidaus reikmėms skirtų dokumentų apsauga. Pateikus pakartotinį prašymą, jis taip pat buvo netenkintas (9–14 punktai).</w:t>
      </w:r>
    </w:p>
    <w:p w14:paraId="58C5B91B" w14:textId="77777777" w:rsidR="00C80B96" w:rsidRPr="00B943CA" w:rsidRDefault="00C80B96" w:rsidP="00C80B96">
      <w:pPr>
        <w:tabs>
          <w:tab w:val="left" w:pos="567"/>
          <w:tab w:val="left" w:pos="3768"/>
        </w:tabs>
        <w:rPr>
          <w:rFonts w:asciiTheme="minorHAnsi" w:hAnsiTheme="minorHAnsi" w:cstheme="minorHAnsi"/>
          <w:color w:val="000000"/>
          <w:shd w:val="clear" w:color="auto" w:fill="FFFFFF"/>
        </w:rPr>
      </w:pPr>
      <w:r w:rsidRPr="00B943CA">
        <w:rPr>
          <w:rFonts w:asciiTheme="minorHAnsi" w:hAnsiTheme="minorHAnsi" w:cstheme="minorHAnsi"/>
          <w:color w:val="000000"/>
          <w:shd w:val="clear" w:color="auto" w:fill="FFFFFF"/>
        </w:rPr>
        <w:tab/>
        <w:t> 2017 m. gruodžio 8 d. Bendrojo Teismo kanceliarija gavo F. De Masi ir Y. Varoufakis ieškinį dėl ginčijamo sprendimo panaikinimo (15 punktas). Skundžiamu sprendimu Bendrasis Teismas atmetė apeliantų ieškinį kaip nepagrįstą (17 punktas). Apeliantai pateikė apeliacinį skundą Teisingumo Teismui (24 punktas).</w:t>
      </w:r>
    </w:p>
    <w:p w14:paraId="345B1C13" w14:textId="77777777" w:rsidR="00C80B96" w:rsidRPr="00B943CA" w:rsidRDefault="00C80B96" w:rsidP="00C80B96">
      <w:pPr>
        <w:tabs>
          <w:tab w:val="left" w:pos="567"/>
          <w:tab w:val="left" w:pos="3768"/>
        </w:tabs>
        <w:rPr>
          <w:rFonts w:asciiTheme="minorHAnsi" w:hAnsiTheme="minorHAnsi" w:cstheme="minorHAnsi"/>
          <w:color w:val="000000"/>
          <w:shd w:val="clear" w:color="auto" w:fill="FFFFFF"/>
        </w:rPr>
      </w:pPr>
    </w:p>
    <w:p w14:paraId="2650C185" w14:textId="77777777" w:rsidR="00C80B96" w:rsidRPr="00B943CA" w:rsidRDefault="00C80B96" w:rsidP="00035C5C">
      <w:pPr>
        <w:pStyle w:val="Antrat3"/>
        <w:rPr>
          <w:shd w:val="clear" w:color="auto" w:fill="FFFFFF"/>
        </w:rPr>
      </w:pPr>
      <w:bookmarkStart w:id="95" w:name="_Toc67492467"/>
      <w:bookmarkStart w:id="96" w:name="_Toc71819724"/>
      <w:r w:rsidRPr="00B943CA">
        <w:rPr>
          <w:shd w:val="clear" w:color="auto" w:fill="FFFFFF"/>
        </w:rPr>
        <w:lastRenderedPageBreak/>
        <w:t>Dėl susipažinimo su</w:t>
      </w:r>
      <w:r w:rsidRPr="00B943CA">
        <w:rPr>
          <w:rFonts w:eastAsia="Calibri"/>
        </w:rPr>
        <w:t xml:space="preserve"> </w:t>
      </w:r>
      <w:r w:rsidRPr="00B943CA">
        <w:rPr>
          <w:shd w:val="clear" w:color="auto" w:fill="FFFFFF"/>
        </w:rPr>
        <w:t>ECB parengtais ar gautais dokumentais, skirtiems svarstymams ir preliminarioms konsultacijoms šios institucijos viduje, taip pat jam keičiantis nuomonėmis su nacionalinėmis valdžios institucijomis</w:t>
      </w:r>
      <w:bookmarkEnd w:id="95"/>
      <w:bookmarkEnd w:id="96"/>
      <w:r w:rsidRPr="00B943CA">
        <w:rPr>
          <w:shd w:val="clear" w:color="auto" w:fill="FFFFFF"/>
        </w:rPr>
        <w:t xml:space="preserve"> </w:t>
      </w:r>
    </w:p>
    <w:p w14:paraId="031CE323"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064264B3"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 xml:space="preserve">Teisingumo Teismas konstatavo, kad </w:t>
      </w:r>
      <w:r w:rsidRPr="00B943CA">
        <w:rPr>
          <w:rFonts w:asciiTheme="minorHAnsi" w:hAnsiTheme="minorHAnsi" w:cstheme="minorHAnsi"/>
          <w:color w:val="000000"/>
          <w:sz w:val="22"/>
          <w:szCs w:val="22"/>
          <w:u w:val="single"/>
          <w:shd w:val="clear" w:color="auto" w:fill="FFFFFF"/>
        </w:rPr>
        <w:t xml:space="preserve">pagal Sprendimo 2004/258 4 straipsnio 3 dalies pirmą pastraipą galimybė susipažinti su ECB parengtu ar gautu dokumentu, skirtu naudoti per svarstymus ir preliminarias konsultacijas ECB viduje, taip pat ECB keičiantis nuomonėmis su nacionalinėmis valdžios institucijomis, nesuteikiama netgi po to, kai sprendimas jau yra priimtas, nebent tą dokumentą atskleisti reikalautų viršesnis viešasis interesas </w:t>
      </w:r>
      <w:r w:rsidRPr="00B943CA">
        <w:rPr>
          <w:rFonts w:asciiTheme="minorHAnsi" w:hAnsiTheme="minorHAnsi" w:cstheme="minorHAnsi"/>
          <w:color w:val="000000"/>
          <w:sz w:val="22"/>
          <w:szCs w:val="22"/>
          <w:shd w:val="clear" w:color="auto" w:fill="FFFFFF"/>
        </w:rPr>
        <w:t>(66 punktas).</w:t>
      </w:r>
    </w:p>
    <w:p w14:paraId="3C1DD63C"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Dėl sąlygos, susijusios su dokumentų vidiniu naudojimu, pažymėta, kad išorės paslaugų teikėjo buvo paprašyta pateikti ginčijamą dokumentą siekiant papildyti ECB sprendimų priėmimo organų vidaus samprotavimus ir padėti jo svarstymams bei konsultacijoms (67 punktas). Taip pat pažymėta, kad Sprendimo 2004/258 4 straipsnio 3 dalies pirma pastraipa suformuluota taip, kad ja saugomi vidaus parengiamieji dokumentai, net jei ginčijamą dokumentą parengė išorės paslaugų teikėjas, nes šioje nuostatoje aiškiai nurodomas ECB „gautas“ dokumentas (68 punktas). Be to, ginčijamame sprendime teigiama ne tai, kad ginčijamas dokumentas yra vidaus dokumentas, bet tai, kad šis dokumentas skirtas vidaus reikmėms (69 punktas). Taigi Bendrasis Teismas teisingai nusprendė, kad ECB galėjo teisėtai teigti, jog ginčijamas dokumentas buvo skirtas vidaus reikmėms, kaip tai suprantama pagal Sprendimo 2004/258 4 straipsnio 3 dalies pirmą pastraipą (70 punktas).</w:t>
      </w:r>
    </w:p>
    <w:p w14:paraId="5FB096E6"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Sprendimo 2004/258 4 straipsnio 3 dalies pirmos pastraipos formuluotė negali būti aiškinama taip, kad joje numatyta apsauga suteikiama tik dokumentams, susijusiems su konkrečiu sprendimų priėmimo procesu. Iš tiesų šioje nuostatoje daroma prielaida, kad dokumentas „skirtas svarstymams ir preliminarioms konsultacijoms ECB viduje“. Kaip teigia ECB, nors svarstymai ir preliminarios konsultacijos gali būti susiję su konkrečia procedūra, jų dalykas taip pat gali būti platesnis ir jie gali būti susiję su bendro pobūdžio klausimais. Taigi ši nuostata apskritai taikoma dokumentams, susijusiems su ECB vidaus procesais, nes joje daroma nuoroda į dokumentus, skirtus ECB ir nacionalinių valdžios institucijų pasikeitimui nuomonėmis (71 punktas).</w:t>
      </w:r>
    </w:p>
    <w:p w14:paraId="1499E1AE"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ECB pasirinko Sprendimu 2004/258 leisti susipažinti su jo dokumentais, jei tenkinamos jame nustatytos sąlygos ir apribojimai. Taigi minėtu sprendimu siekiama užtikrinti šią teisę susipažinti, kartu atsižvelgiant į šios institucijos, kuri, remdamasi SESV 130 straipsniu, turi veiksmingai siekti numatytų uždavinių tikslų, nepriklausomai naudodamasi konkrečiais įgaliojimais, šiuo tikslu jai suteiktais pagal Sutartį ir Europos centrinių bankų sistemos statutą, specifiką (76 punktas).</w:t>
      </w:r>
    </w:p>
    <w:p w14:paraId="6E7387CE" w14:textId="77777777" w:rsidR="00C80B96" w:rsidRPr="00B943CA" w:rsidRDefault="00C80B96" w:rsidP="00C80B96">
      <w:pPr>
        <w:pStyle w:val="c01pointnumerotealtn"/>
        <w:shd w:val="clear" w:color="auto" w:fill="FFFFFF"/>
        <w:spacing w:before="0" w:beforeAutospacing="0" w:after="0"/>
        <w:ind w:left="0" w:firstLine="567"/>
        <w:rPr>
          <w:rFonts w:asciiTheme="minorHAnsi" w:eastAsia="Calibri" w:hAnsiTheme="minorHAnsi" w:cstheme="minorHAnsi"/>
          <w:color w:val="000000"/>
          <w:sz w:val="22"/>
          <w:szCs w:val="22"/>
          <w:lang w:eastAsia="en-US"/>
        </w:rPr>
      </w:pPr>
      <w:r w:rsidRPr="00B943CA">
        <w:rPr>
          <w:rFonts w:asciiTheme="minorHAnsi" w:hAnsiTheme="minorHAnsi" w:cstheme="minorHAnsi"/>
          <w:color w:val="000000"/>
          <w:sz w:val="22"/>
          <w:szCs w:val="22"/>
          <w:shd w:val="clear" w:color="auto" w:fill="FFFFFF"/>
        </w:rPr>
        <w:t xml:space="preserve">Padaryta išvada, kad </w:t>
      </w:r>
      <w:r w:rsidRPr="00B943CA">
        <w:rPr>
          <w:rFonts w:asciiTheme="minorHAnsi" w:hAnsiTheme="minorHAnsi" w:cstheme="minorHAnsi"/>
          <w:color w:val="000000"/>
          <w:sz w:val="22"/>
          <w:szCs w:val="22"/>
          <w:u w:val="single"/>
          <w:shd w:val="clear" w:color="auto" w:fill="FFFFFF"/>
        </w:rPr>
        <w:t>2001 m. gegužės 30 d. Europos Parlamento ir Tarybos reglamento (EB) Nr. 1049/2001 dėl galimybės visuomenei susipažinti su Europos Parlamento, Tarybos ir Komisijos dokumentais 4 straipsnio 3 dalies antroje pastraipoje numatytas atsisakymas leisti susipažinti su dokumentu tik dėl jo ryšio su konkrečiu sprendimu, o pagal Sprendimo 2004/258 4 straipsnio 3 dalies pirmą pastraipą ECB dokumentų konfidencialumo apsauga užtikrinama net ir tuo atveju, kai šie dokumentai nėra tokio sprendimo priėmimo proceso dalis</w:t>
      </w:r>
      <w:r w:rsidRPr="00B943CA">
        <w:rPr>
          <w:rFonts w:asciiTheme="minorHAnsi" w:hAnsiTheme="minorHAnsi" w:cstheme="minorHAnsi"/>
          <w:color w:val="000000"/>
          <w:sz w:val="22"/>
          <w:szCs w:val="22"/>
          <w:shd w:val="clear" w:color="auto" w:fill="FFFFFF"/>
        </w:rPr>
        <w:t xml:space="preserve"> (78 punktas).</w:t>
      </w:r>
      <w:r w:rsidRPr="00B943CA">
        <w:rPr>
          <w:rFonts w:asciiTheme="minorHAnsi" w:eastAsia="Calibri" w:hAnsiTheme="minorHAnsi" w:cstheme="minorHAnsi"/>
          <w:color w:val="000000"/>
          <w:sz w:val="22"/>
          <w:szCs w:val="22"/>
          <w:lang w:eastAsia="en-US"/>
        </w:rPr>
        <w:t xml:space="preserve"> </w:t>
      </w:r>
    </w:p>
    <w:p w14:paraId="612DE17F"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Bendrasis Teismas, remdamasis Sprendimo 2004/258 4 straipsnio 3 dalies pirmos pastraipos aiškinimu, nepadarė teisės klaidos, kai atmetė apeliantų pirmojoje instancijoje pateiktus argumentus (79 punktas).</w:t>
      </w:r>
    </w:p>
    <w:p w14:paraId="3830A220"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3CC86910"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b/>
          <w:bCs/>
          <w:color w:val="000000"/>
          <w:sz w:val="22"/>
          <w:szCs w:val="22"/>
          <w:shd w:val="clear" w:color="auto" w:fill="FFFFFF"/>
        </w:rPr>
      </w:pPr>
      <w:r w:rsidRPr="00B943CA">
        <w:rPr>
          <w:rFonts w:asciiTheme="minorHAnsi" w:hAnsiTheme="minorHAnsi" w:cstheme="minorHAnsi"/>
          <w:b/>
          <w:bCs/>
          <w:color w:val="000000"/>
          <w:sz w:val="22"/>
          <w:szCs w:val="22"/>
          <w:shd w:val="clear" w:color="auto" w:fill="FFFFFF"/>
        </w:rPr>
        <w:t xml:space="preserve">Remdamasis šiais motyvais, Teisingumo Teismas (pirmoji kolegija) nusprendė: </w:t>
      </w:r>
    </w:p>
    <w:p w14:paraId="6F735091" w14:textId="77777777" w:rsidR="00C80B96" w:rsidRPr="00B943CA" w:rsidRDefault="00C80B96" w:rsidP="00C80B96">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14:paraId="35E6CF00" w14:textId="77777777" w:rsidR="00C80B96" w:rsidRPr="00B943CA" w:rsidRDefault="00C80B96" w:rsidP="00C80B96">
      <w:pPr>
        <w:pStyle w:val="c01pointnumerotealtn"/>
        <w:numPr>
          <w:ilvl w:val="0"/>
          <w:numId w:val="13"/>
        </w:numPr>
        <w:shd w:val="clear" w:color="auto" w:fill="FFFFFF"/>
        <w:spacing w:before="0" w:beforeAutospacing="0" w:after="0"/>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Atmesti apeliacinį skundą.</w:t>
      </w:r>
    </w:p>
    <w:p w14:paraId="72A00472" w14:textId="77777777" w:rsidR="00C80B96" w:rsidRPr="00B943CA" w:rsidRDefault="00C80B96" w:rsidP="00C80B96">
      <w:pPr>
        <w:pStyle w:val="c01pointnumerotealtn"/>
        <w:numPr>
          <w:ilvl w:val="0"/>
          <w:numId w:val="13"/>
        </w:numPr>
        <w:shd w:val="clear" w:color="auto" w:fill="FFFFFF"/>
        <w:spacing w:before="0" w:beforeAutospacing="0" w:after="0"/>
        <w:rPr>
          <w:rFonts w:asciiTheme="minorHAnsi" w:hAnsiTheme="minorHAnsi" w:cstheme="minorHAnsi"/>
          <w:color w:val="000000"/>
          <w:sz w:val="22"/>
          <w:szCs w:val="22"/>
          <w:shd w:val="clear" w:color="auto" w:fill="FFFFFF"/>
        </w:rPr>
      </w:pPr>
      <w:r w:rsidRPr="00B943CA">
        <w:rPr>
          <w:rFonts w:asciiTheme="minorHAnsi" w:hAnsiTheme="minorHAnsi" w:cstheme="minorHAnsi"/>
          <w:color w:val="000000"/>
          <w:sz w:val="22"/>
          <w:szCs w:val="22"/>
          <w:shd w:val="clear" w:color="auto" w:fill="FFFFFF"/>
        </w:rPr>
        <w:t>Priteisti iš Fabio De Masi ir Yanis Varoufakis bylinėjimosi išlaidas.</w:t>
      </w:r>
    </w:p>
    <w:p w14:paraId="7FD77442" w14:textId="77777777" w:rsidR="00C80B96" w:rsidRPr="00B943CA" w:rsidRDefault="00F953EA" w:rsidP="00C80B96">
      <w:pPr>
        <w:pStyle w:val="c01pointnumerotealtn"/>
        <w:shd w:val="clear" w:color="auto" w:fill="FFFFFF"/>
        <w:spacing w:before="0" w:beforeAutospacing="0" w:after="0"/>
        <w:ind w:left="0" w:firstLine="567"/>
        <w:rPr>
          <w:rStyle w:val="Hipersaitas"/>
          <w:rFonts w:asciiTheme="minorHAnsi" w:eastAsia="Calibri" w:hAnsiTheme="minorHAnsi" w:cstheme="minorHAnsi"/>
          <w:sz w:val="22"/>
          <w:szCs w:val="22"/>
          <w:lang w:eastAsia="en-US"/>
        </w:rPr>
      </w:pPr>
      <w:hyperlink r:id="rId24" w:history="1">
        <w:r w:rsidR="00C80B96" w:rsidRPr="00B943CA">
          <w:rPr>
            <w:rStyle w:val="Hipersaitas"/>
            <w:rFonts w:asciiTheme="minorHAnsi" w:eastAsia="Calibri" w:hAnsiTheme="minorHAnsi" w:cstheme="minorHAnsi"/>
            <w:sz w:val="22"/>
            <w:szCs w:val="22"/>
            <w:lang w:eastAsia="en-US"/>
          </w:rPr>
          <w:t>Prieiga internete</w:t>
        </w:r>
      </w:hyperlink>
      <w:r w:rsidR="00C80B96" w:rsidRPr="00B943CA">
        <w:rPr>
          <w:rFonts w:asciiTheme="minorHAnsi" w:eastAsia="Calibri" w:hAnsiTheme="minorHAnsi" w:cstheme="minorHAnsi"/>
          <w:sz w:val="22"/>
          <w:szCs w:val="22"/>
          <w:lang w:eastAsia="en-US"/>
        </w:rPr>
        <w:t xml:space="preserve"> </w:t>
      </w:r>
    </w:p>
    <w:p w14:paraId="07940915" w14:textId="77777777" w:rsidR="00C80B96" w:rsidRPr="00B943CA" w:rsidRDefault="00C80B96" w:rsidP="00C80B96">
      <w:pPr>
        <w:tabs>
          <w:tab w:val="left" w:pos="567"/>
          <w:tab w:val="left" w:pos="3768"/>
        </w:tabs>
        <w:rPr>
          <w:rFonts w:asciiTheme="minorHAnsi" w:hAnsiTheme="minorHAnsi" w:cstheme="minorHAnsi"/>
        </w:rPr>
      </w:pPr>
    </w:p>
    <w:p w14:paraId="3CBE2BB1" w14:textId="2061D5C1" w:rsidR="00F91B65" w:rsidRPr="00B943CA" w:rsidRDefault="00C47F2E" w:rsidP="00D669E0">
      <w:pPr>
        <w:pStyle w:val="Antrat1"/>
        <w:rPr>
          <w:rFonts w:eastAsia="Times New Roman"/>
          <w:lang w:eastAsia="lt-LT"/>
        </w:rPr>
      </w:pPr>
      <w:bookmarkStart w:id="97" w:name="_Toc67492468"/>
      <w:bookmarkStart w:id="98" w:name="_Toc71819725"/>
      <w:r>
        <w:rPr>
          <w:rFonts w:eastAsia="Times New Roman"/>
          <w:lang w:eastAsia="lt-LT"/>
        </w:rPr>
        <w:t>DISKRIMINACIJOS DRAUDIMAS</w:t>
      </w:r>
      <w:bookmarkEnd w:id="97"/>
      <w:bookmarkEnd w:id="98"/>
    </w:p>
    <w:p w14:paraId="669F0A87" w14:textId="77777777" w:rsidR="00F91B65" w:rsidRPr="00B943CA" w:rsidRDefault="00F91B65" w:rsidP="00F91B65">
      <w:pPr>
        <w:jc w:val="center"/>
        <w:rPr>
          <w:rFonts w:asciiTheme="minorHAnsi" w:hAnsiTheme="minorHAnsi" w:cstheme="minorHAnsi"/>
          <w:b/>
        </w:rPr>
      </w:pPr>
    </w:p>
    <w:p w14:paraId="7E63C617" w14:textId="77777777" w:rsidR="00F91B65" w:rsidRPr="00B943CA" w:rsidRDefault="00F91B65" w:rsidP="00D669E0">
      <w:pPr>
        <w:pStyle w:val="Antrat2"/>
        <w:rPr>
          <w:b w:val="0"/>
          <w:bCs w:val="0"/>
          <w:i/>
        </w:rPr>
      </w:pPr>
      <w:bookmarkStart w:id="99" w:name="_Toc66974191"/>
      <w:bookmarkStart w:id="100" w:name="_Toc67492469"/>
      <w:bookmarkStart w:id="101" w:name="_Toc71819726"/>
      <w:r w:rsidRPr="00B943CA">
        <w:t>2020 m. spalio 8 d. prejudicinis sprendimas byloje C</w:t>
      </w:r>
      <w:r w:rsidRPr="00B943CA">
        <w:rPr>
          <w:rFonts w:ascii="Cambria Math" w:hAnsi="Cambria Math" w:cs="Cambria Math"/>
        </w:rPr>
        <w:t>‑</w:t>
      </w:r>
      <w:r w:rsidRPr="00B943CA">
        <w:t>644/19</w:t>
      </w:r>
      <w:bookmarkEnd w:id="99"/>
      <w:bookmarkEnd w:id="100"/>
      <w:bookmarkEnd w:id="101"/>
    </w:p>
    <w:p w14:paraId="54B35385" w14:textId="77777777" w:rsidR="00F91B65" w:rsidRPr="00B943CA" w:rsidRDefault="00F91B65" w:rsidP="00F91B65">
      <w:pPr>
        <w:jc w:val="center"/>
        <w:rPr>
          <w:rFonts w:asciiTheme="minorHAnsi" w:hAnsiTheme="minorHAnsi" w:cstheme="minorHAnsi"/>
          <w:b/>
          <w:bCs/>
          <w:i/>
          <w:iCs/>
        </w:rPr>
      </w:pPr>
      <w:r w:rsidRPr="00B943CA">
        <w:rPr>
          <w:rFonts w:asciiTheme="minorHAnsi" w:hAnsiTheme="minorHAnsi" w:cstheme="minorHAnsi"/>
          <w:b/>
          <w:bCs/>
          <w:i/>
          <w:iCs/>
        </w:rPr>
        <w:t xml:space="preserve">Universitatea "Lucian Blaga" Sibiu ir kt. </w:t>
      </w:r>
    </w:p>
    <w:p w14:paraId="7E97F632" w14:textId="77777777" w:rsidR="00F91B65" w:rsidRPr="00B943CA" w:rsidRDefault="00F91B65" w:rsidP="00F91B65">
      <w:pPr>
        <w:jc w:val="center"/>
        <w:rPr>
          <w:rFonts w:asciiTheme="minorHAnsi" w:hAnsiTheme="minorHAnsi" w:cstheme="minorHAnsi"/>
          <w:b/>
          <w:highlight w:val="yellow"/>
        </w:rPr>
      </w:pPr>
    </w:p>
    <w:p w14:paraId="26CCD70C" w14:textId="3A613300"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 xml:space="preserve">Prašymas priimti prejudicinį sprendimą pateiktas dėl 2000 m. lapkričio 27 d. Tarybos direktyvos 2000/78/EB, nustatančios vienodo požiūrio užimtumo ir profesinėje srityje bendruosius pagrindus, 1 </w:t>
      </w:r>
      <w:r w:rsidRPr="00B943CA">
        <w:rPr>
          <w:rFonts w:asciiTheme="minorHAnsi" w:hAnsiTheme="minorHAnsi" w:cstheme="minorHAnsi"/>
          <w:sz w:val="22"/>
          <w:szCs w:val="22"/>
        </w:rPr>
        <w:lastRenderedPageBreak/>
        <w:t>straipsnio, 2 straipsnio 2 dalies b punkto ir 3 straipsnio bei 1999 m. kovo 18 d. Bendrojo susitarimo dėl darbo pagal terminuotas sutartis, esančio 1999</w:t>
      </w:r>
      <w:r w:rsidR="005C5D86">
        <w:rPr>
          <w:rFonts w:asciiTheme="minorHAnsi" w:hAnsiTheme="minorHAnsi" w:cstheme="minorHAnsi"/>
          <w:sz w:val="22"/>
          <w:szCs w:val="22"/>
        </w:rPr>
        <w:t> </w:t>
      </w:r>
      <w:r w:rsidRPr="00B943CA">
        <w:rPr>
          <w:rFonts w:asciiTheme="minorHAnsi" w:hAnsiTheme="minorHAnsi" w:cstheme="minorHAnsi"/>
          <w:sz w:val="22"/>
          <w:szCs w:val="22"/>
        </w:rPr>
        <w:t>m.</w:t>
      </w:r>
      <w:r w:rsidR="005C5D86">
        <w:rPr>
          <w:rFonts w:asciiTheme="minorHAnsi" w:hAnsiTheme="minorHAnsi" w:cstheme="minorHAnsi"/>
          <w:sz w:val="22"/>
          <w:szCs w:val="22"/>
        </w:rPr>
        <w:t> </w:t>
      </w:r>
      <w:r w:rsidRPr="00B943CA">
        <w:rPr>
          <w:rFonts w:asciiTheme="minorHAnsi" w:hAnsiTheme="minorHAnsi" w:cstheme="minorHAnsi"/>
          <w:sz w:val="22"/>
          <w:szCs w:val="22"/>
        </w:rPr>
        <w:t>birželio</w:t>
      </w:r>
      <w:r w:rsidR="005C5D86">
        <w:rPr>
          <w:rFonts w:asciiTheme="minorHAnsi" w:hAnsiTheme="minorHAnsi" w:cstheme="minorHAnsi"/>
          <w:sz w:val="22"/>
          <w:szCs w:val="22"/>
        </w:rPr>
        <w:t> </w:t>
      </w:r>
      <w:r w:rsidRPr="00B943CA">
        <w:rPr>
          <w:rFonts w:asciiTheme="minorHAnsi" w:hAnsiTheme="minorHAnsi" w:cstheme="minorHAnsi"/>
          <w:sz w:val="22"/>
          <w:szCs w:val="22"/>
        </w:rPr>
        <w:t>28</w:t>
      </w:r>
      <w:r w:rsidR="005C5D86">
        <w:rPr>
          <w:rFonts w:asciiTheme="minorHAnsi" w:hAnsiTheme="minorHAnsi" w:cstheme="minorHAnsi"/>
          <w:sz w:val="22"/>
          <w:szCs w:val="22"/>
        </w:rPr>
        <w:t> </w:t>
      </w:r>
      <w:r w:rsidRPr="00B943CA">
        <w:rPr>
          <w:rFonts w:asciiTheme="minorHAnsi" w:hAnsiTheme="minorHAnsi" w:cstheme="minorHAnsi"/>
          <w:sz w:val="22"/>
          <w:szCs w:val="22"/>
        </w:rPr>
        <w:t>d. Tarybos direktyvos 1999/70/EB dėl Europos profesinių sąjungų konfederacijos (ETUC), Europos pramonės ir darbdavių konfederacijų sąjungos (UNICE) ir Europos įmonių, kuriose dalyvauja valstybė, centro (CEEP) bendrojo susitarimo dėl darbo pagal terminuotas sutartis priede, 4 punkto 1 dalies išaiškinimo (1 punktas).</w:t>
      </w:r>
    </w:p>
    <w:p w14:paraId="6E624E3D" w14:textId="77777777" w:rsidR="00F91B65" w:rsidRPr="00B943CA" w:rsidRDefault="00F91B65" w:rsidP="00F91B65">
      <w:pPr>
        <w:shd w:val="clear" w:color="auto" w:fill="FFFFFF"/>
        <w:ind w:firstLine="567"/>
        <w:rPr>
          <w:rFonts w:asciiTheme="minorHAnsi" w:hAnsiTheme="minorHAnsi" w:cstheme="minorHAnsi"/>
          <w:b/>
        </w:rPr>
      </w:pPr>
    </w:p>
    <w:p w14:paraId="4C6071AC" w14:textId="77777777" w:rsidR="00F91B65" w:rsidRPr="00B943CA" w:rsidRDefault="00F91B65" w:rsidP="00C47F2E">
      <w:pPr>
        <w:pStyle w:val="Antrat3"/>
        <w:ind w:firstLine="567"/>
      </w:pPr>
      <w:bookmarkStart w:id="102" w:name="_Toc67492470"/>
      <w:bookmarkStart w:id="103" w:name="_Toc71819727"/>
      <w:r w:rsidRPr="00B943CA">
        <w:t>Dėl universitetinės įstaigos dėstytojų diskriminavimo juos įdarbinant terminuota sutartimi</w:t>
      </w:r>
      <w:bookmarkEnd w:id="102"/>
      <w:bookmarkEnd w:id="103"/>
    </w:p>
    <w:p w14:paraId="2AF5A289"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p>
    <w:p w14:paraId="2C692D73"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Pirmojo klausimo pirma dalimi prašymą priimti prejudicinį sprendimą pateikęs teismas iš esmės siekė išsiaiškinti, ar Direktyvos 2000/78 1 ir 2 straipsnius reikia aiškinti taip: pagal juos draudžiama taikyti nacionalinės teisės aktus, pagal kuriuos etatinio dėstytojo statusą gali išlaikyti tik tie teisės aktuose nustatyto pensinio amžiaus sulaukę toliau pagal profesiją dirbantys universitetų dėstytojai, kurie turi doktoranto mokslinio vadovo kvalifikaciją, o tokios kvalifikacijos neturintys dėstytojai gali tik sudaryti terminuotas sutartis, pagal kurias taikoma mažesnio nei etatinių dėstytojų atlyginimo sistema (26 punktas).</w:t>
      </w:r>
    </w:p>
    <w:p w14:paraId="5A0159C9" w14:textId="7D5D01C0"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 xml:space="preserve">Pagal Teisingumo Teismo suformuotą jurisprudenciją tiek iš Direktyvos 2000/78 pavadinimo ir preambulės, tiek iš šios direktyvos turinio ir tikslo matyti, kad ja siekiama nustatyti bendruosius pagrindus, kuriais užtikrinamas vienodas požiūris į kiekvieną asmenį „užimtumo ir profesinėje srityje“, suteikiant jam veiksmingą apsaugą nuo diskriminacijos dėl kurios nors iš šios direktyvos 1 straipsnyje nurodytų priežasčių (šiuo klausimu žr. 2009 m. birželio 18 d. Sprendimo </w:t>
      </w:r>
      <w:r w:rsidRPr="00B943CA">
        <w:rPr>
          <w:rFonts w:asciiTheme="minorHAnsi" w:hAnsiTheme="minorHAnsi" w:cstheme="minorHAnsi"/>
          <w:i/>
          <w:iCs/>
          <w:sz w:val="22"/>
          <w:szCs w:val="22"/>
        </w:rPr>
        <w:t>Hütter</w:t>
      </w:r>
      <w:r w:rsidRPr="00B943CA">
        <w:rPr>
          <w:rFonts w:asciiTheme="minorHAnsi" w:hAnsiTheme="minorHAnsi" w:cstheme="minorHAnsi"/>
          <w:sz w:val="22"/>
          <w:szCs w:val="22"/>
        </w:rPr>
        <w:t>, C</w:t>
      </w:r>
      <w:r w:rsidRPr="00B943CA">
        <w:rPr>
          <w:rFonts w:ascii="Cambria Math" w:hAnsi="Cambria Math" w:cs="Cambria Math"/>
          <w:sz w:val="22"/>
          <w:szCs w:val="22"/>
        </w:rPr>
        <w:t>‑</w:t>
      </w:r>
      <w:r w:rsidRPr="00B943CA">
        <w:rPr>
          <w:rFonts w:asciiTheme="minorHAnsi" w:hAnsiTheme="minorHAnsi" w:cstheme="minorHAnsi"/>
          <w:sz w:val="22"/>
          <w:szCs w:val="22"/>
        </w:rPr>
        <w:t>88/08, EU:C:2009:381, 33 punktą ir 2019</w:t>
      </w:r>
      <w:r w:rsidR="00F013BA" w:rsidRPr="00B943CA">
        <w:rPr>
          <w:rFonts w:asciiTheme="minorHAnsi" w:hAnsiTheme="minorHAnsi" w:cstheme="minorHAnsi"/>
          <w:sz w:val="22"/>
          <w:szCs w:val="22"/>
        </w:rPr>
        <w:t> </w:t>
      </w:r>
      <w:r w:rsidRPr="00B943CA">
        <w:rPr>
          <w:rFonts w:asciiTheme="minorHAnsi" w:hAnsiTheme="minorHAnsi" w:cstheme="minorHAnsi"/>
          <w:sz w:val="22"/>
          <w:szCs w:val="22"/>
        </w:rPr>
        <w:t>m.</w:t>
      </w:r>
      <w:r w:rsidR="00F013BA" w:rsidRPr="00B943CA">
        <w:rPr>
          <w:rFonts w:asciiTheme="minorHAnsi" w:hAnsiTheme="minorHAnsi" w:cstheme="minorHAnsi"/>
          <w:sz w:val="22"/>
          <w:szCs w:val="22"/>
        </w:rPr>
        <w:t> </w:t>
      </w:r>
      <w:r w:rsidRPr="00B943CA">
        <w:rPr>
          <w:rFonts w:asciiTheme="minorHAnsi" w:hAnsiTheme="minorHAnsi" w:cstheme="minorHAnsi"/>
          <w:sz w:val="22"/>
          <w:szCs w:val="22"/>
        </w:rPr>
        <w:t>sausio</w:t>
      </w:r>
      <w:r w:rsidR="00F013BA" w:rsidRPr="00B943CA">
        <w:rPr>
          <w:rFonts w:asciiTheme="minorHAnsi" w:hAnsiTheme="minorHAnsi" w:cstheme="minorHAnsi"/>
          <w:sz w:val="22"/>
          <w:szCs w:val="22"/>
        </w:rPr>
        <w:t> </w:t>
      </w:r>
      <w:r w:rsidRPr="00B943CA">
        <w:rPr>
          <w:rFonts w:asciiTheme="minorHAnsi" w:hAnsiTheme="minorHAnsi" w:cstheme="minorHAnsi"/>
          <w:sz w:val="22"/>
          <w:szCs w:val="22"/>
        </w:rPr>
        <w:t>15</w:t>
      </w:r>
      <w:r w:rsidR="00F013BA" w:rsidRPr="00B943CA">
        <w:rPr>
          <w:rFonts w:asciiTheme="minorHAnsi" w:hAnsiTheme="minorHAnsi" w:cstheme="minorHAnsi"/>
          <w:sz w:val="22"/>
          <w:szCs w:val="22"/>
        </w:rPr>
        <w:t> </w:t>
      </w:r>
      <w:r w:rsidRPr="00B943CA">
        <w:rPr>
          <w:rFonts w:asciiTheme="minorHAnsi" w:hAnsiTheme="minorHAnsi" w:cstheme="minorHAnsi"/>
          <w:sz w:val="22"/>
          <w:szCs w:val="22"/>
        </w:rPr>
        <w:t>d. Sprendimo E.B., C</w:t>
      </w:r>
      <w:r w:rsidRPr="00B943CA">
        <w:rPr>
          <w:rFonts w:ascii="Cambria Math" w:hAnsi="Cambria Math" w:cs="Cambria Math"/>
          <w:sz w:val="22"/>
          <w:szCs w:val="22"/>
        </w:rPr>
        <w:t>‑</w:t>
      </w:r>
      <w:r w:rsidRPr="00B943CA">
        <w:rPr>
          <w:rFonts w:asciiTheme="minorHAnsi" w:hAnsiTheme="minorHAnsi" w:cstheme="minorHAnsi"/>
          <w:sz w:val="22"/>
          <w:szCs w:val="22"/>
        </w:rPr>
        <w:t>258/17, EU:C:2019:17, 40 punktą ir jame nurodytą jurisprudenciją) (30</w:t>
      </w:r>
      <w:r w:rsidR="00F013BA" w:rsidRPr="00B943CA">
        <w:rPr>
          <w:rFonts w:asciiTheme="minorHAnsi" w:hAnsiTheme="minorHAnsi" w:cstheme="minorHAnsi"/>
          <w:sz w:val="22"/>
          <w:szCs w:val="22"/>
        </w:rPr>
        <w:t> </w:t>
      </w:r>
      <w:r w:rsidRPr="00B943CA">
        <w:rPr>
          <w:rFonts w:asciiTheme="minorHAnsi" w:hAnsiTheme="minorHAnsi" w:cstheme="minorHAnsi"/>
          <w:sz w:val="22"/>
          <w:szCs w:val="22"/>
        </w:rPr>
        <w:t xml:space="preserve">punktas). Šiuo klausimu Teisingumo Teismas pabrėžė, kad pagal minėtos direktyvos 2 straipsnio 1 dalį jos 1 straipsnyje nurodytų priežasčių sąrašas yra baigtinis (šiuo klausimu žr. 2017 m. kovo 9 d. Sprendimo </w:t>
      </w:r>
      <w:r w:rsidRPr="00B943CA">
        <w:rPr>
          <w:rFonts w:asciiTheme="minorHAnsi" w:hAnsiTheme="minorHAnsi" w:cstheme="minorHAnsi"/>
          <w:i/>
          <w:iCs/>
          <w:sz w:val="22"/>
          <w:szCs w:val="22"/>
        </w:rPr>
        <w:t>Milkova</w:t>
      </w:r>
      <w:r w:rsidRPr="00B943CA">
        <w:rPr>
          <w:rFonts w:asciiTheme="minorHAnsi" w:hAnsiTheme="minorHAnsi" w:cstheme="minorHAnsi"/>
          <w:sz w:val="22"/>
          <w:szCs w:val="22"/>
        </w:rPr>
        <w:t>, C</w:t>
      </w:r>
      <w:r w:rsidRPr="00B943CA">
        <w:rPr>
          <w:rFonts w:ascii="Cambria Math" w:hAnsi="Cambria Math" w:cs="Cambria Math"/>
          <w:sz w:val="22"/>
          <w:szCs w:val="22"/>
        </w:rPr>
        <w:t>‑</w:t>
      </w:r>
      <w:r w:rsidRPr="00B943CA">
        <w:rPr>
          <w:rFonts w:asciiTheme="minorHAnsi" w:hAnsiTheme="minorHAnsi" w:cstheme="minorHAnsi"/>
          <w:sz w:val="22"/>
          <w:szCs w:val="22"/>
        </w:rPr>
        <w:t>406/15, EU:C:2017:198, 34 punktą ir jame nurodytą jurisprudenciją) (31 punktas).</w:t>
      </w:r>
    </w:p>
    <w:p w14:paraId="00DE5907" w14:textId="0A3A4A4A"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 xml:space="preserve">Teismas konstatavo, kad pagrindinėje byloje nagrinėjamas skirtingas požiūris nėra susijęs nė su viena iš 1 straipsnyje išvardytų priežasčių. Toks skirtingas požiūris negali būti (net netiesiogiai) grindžiamas amžiumi, nes ir asmenys, kuriems nacionalinės teisės aktais sudaromos palankesnės sąlygos, ir asmenys, kuriems tokios sąlygos nesudaromos, priklauso tai pačiai teisės aktuose nustatyto pensinio amžiaus sulaukusių asmenų amžiaus grupei (32 punktas). </w:t>
      </w:r>
      <w:r w:rsidRPr="00B943CA">
        <w:rPr>
          <w:rFonts w:asciiTheme="minorHAnsi" w:hAnsiTheme="minorHAnsi" w:cstheme="minorHAnsi"/>
          <w:sz w:val="22"/>
          <w:szCs w:val="22"/>
          <w:u w:val="single"/>
        </w:rPr>
        <w:t>Skirtingas požiūris, atsižvelgiant į tai, ar asmuo turi doktoranto mokslinio vadovo kvalifikaciją, grindžiamas atitinkamų asmenų profesine kategorija. Teisingumo Teismas jau yra nusprendęs, kad Direktyva 2000/78 netaikoma, kai diskriminacija grindžiama tokiu kriterijumi</w:t>
      </w:r>
      <w:r w:rsidRPr="00B943CA">
        <w:rPr>
          <w:rFonts w:asciiTheme="minorHAnsi" w:hAnsiTheme="minorHAnsi" w:cstheme="minorHAnsi"/>
          <w:sz w:val="22"/>
          <w:szCs w:val="22"/>
        </w:rPr>
        <w:t xml:space="preserve"> (šiuo klausimu žr. 2015 m. gegužės 21 d. Sprendimo </w:t>
      </w:r>
      <w:r w:rsidRPr="00B943CA">
        <w:rPr>
          <w:rFonts w:asciiTheme="minorHAnsi" w:hAnsiTheme="minorHAnsi" w:cstheme="minorHAnsi"/>
          <w:i/>
          <w:iCs/>
          <w:sz w:val="22"/>
          <w:szCs w:val="22"/>
        </w:rPr>
        <w:t>SCMD</w:t>
      </w:r>
      <w:r w:rsidRPr="00B943CA">
        <w:rPr>
          <w:rFonts w:asciiTheme="minorHAnsi" w:hAnsiTheme="minorHAnsi" w:cstheme="minorHAnsi"/>
          <w:sz w:val="22"/>
          <w:szCs w:val="22"/>
        </w:rPr>
        <w:t>, C</w:t>
      </w:r>
      <w:r w:rsidRPr="00B943CA">
        <w:rPr>
          <w:rFonts w:ascii="Cambria Math" w:hAnsi="Cambria Math" w:cs="Cambria Math"/>
          <w:sz w:val="22"/>
          <w:szCs w:val="22"/>
        </w:rPr>
        <w:t>‑</w:t>
      </w:r>
      <w:r w:rsidRPr="00B943CA">
        <w:rPr>
          <w:rFonts w:asciiTheme="minorHAnsi" w:hAnsiTheme="minorHAnsi" w:cstheme="minorHAnsi"/>
          <w:sz w:val="22"/>
          <w:szCs w:val="22"/>
        </w:rPr>
        <w:t>262/14, nepaskelbtas Rink., EU:C:2015:336, 29</w:t>
      </w:r>
      <w:r w:rsidR="005C5D86">
        <w:rPr>
          <w:rFonts w:asciiTheme="minorHAnsi" w:hAnsiTheme="minorHAnsi" w:cstheme="minorHAnsi"/>
          <w:sz w:val="22"/>
          <w:szCs w:val="22"/>
        </w:rPr>
        <w:t> p</w:t>
      </w:r>
      <w:r w:rsidRPr="00B943CA">
        <w:rPr>
          <w:rFonts w:asciiTheme="minorHAnsi" w:hAnsiTheme="minorHAnsi" w:cstheme="minorHAnsi"/>
          <w:sz w:val="22"/>
          <w:szCs w:val="22"/>
        </w:rPr>
        <w:t>unktą ir jame nurodytą jurisprudenciją) (33 punktas). Vadinasi, tokiai situacijai, kokia nagrinėjama pagrindinėje byloje, netaikomos Direktyvos 2000/78 2 straipsnio 2 dalyje nustatytos bendrosios kovos su tam tikromis diskriminacijos darbo vietoje formomis nuostatos (34 punktas).</w:t>
      </w:r>
    </w:p>
    <w:p w14:paraId="6D0A0F52"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Pirmojo klausimo antra dalimi prašymą priimti prejudicinį sprendimą pateikęs teismas iš esmės siekė išsiaiškinti, ar Bendrojo susitarimo 4 punkto 1 dalį reikia aiškinti taip: pagal ją draudžiama taikyti nacionalinės teisės aktus, pagal kuriuos etatinio dėstytojo statusą gali išlaikyti tik tie teisės aktuose nustatyto pensinio amžiaus sulaukę toliau pagal profesiją dirbantys universitetų dėstytojai, kurie turi doktoranto mokslinio vadovo kvalifikaciją, o tokios kvalifikacijos neturintys dėstytojai gali tik sudaryti terminuotas sutartis, pagal kurias taikoma mažesnio nei etatinių dėstytojų atlyginimo sistema (36 punktas).</w:t>
      </w:r>
    </w:p>
    <w:p w14:paraId="35FABC52" w14:textId="3D630710"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 xml:space="preserve">Bendrojo susitarimo 4 punkto 1 dalyje, kiek tai susiję su įdarbinimo sąlygomis, numatytas draudimas pagal terminuotas darbo sutartis dirbantiems darbuotojams taikyti mažiau palankias sąlygas negu panašiems nuolatiniams darbuotojams, remiantis vien tuo, kad jie dirba pagal terminuotas sutartis, nebent šis nevienodas požiūris yra objektyviai pagrįstas (38 punktas). Šiuo punktu siekiama taikyti draudimo diskriminuoti principą pagal terminuotas darbo sutartis dirbantiems darbuotojams tam, kad darbdavys negalėtų nustatyti tokių darbo santykių, siekdamas neleisti šiems darbuotojams pasinaudoti teisėmis, kurias turi pagal neterminuotą darbo sutartį dirbantys darbuotojai (2018 m. lapkričio 21 d. Sprendimo </w:t>
      </w:r>
      <w:r w:rsidRPr="00B943CA">
        <w:rPr>
          <w:rFonts w:asciiTheme="minorHAnsi" w:hAnsiTheme="minorHAnsi" w:cstheme="minorHAnsi"/>
          <w:i/>
          <w:iCs/>
          <w:sz w:val="22"/>
          <w:szCs w:val="22"/>
        </w:rPr>
        <w:t>de Diego Porras</w:t>
      </w:r>
      <w:r w:rsidRPr="00B943CA">
        <w:rPr>
          <w:rFonts w:asciiTheme="minorHAnsi" w:hAnsiTheme="minorHAnsi" w:cstheme="minorHAnsi"/>
          <w:sz w:val="22"/>
          <w:szCs w:val="22"/>
        </w:rPr>
        <w:t>, C</w:t>
      </w:r>
      <w:r w:rsidRPr="00B943CA">
        <w:rPr>
          <w:rFonts w:ascii="Cambria Math" w:hAnsi="Cambria Math" w:cs="Cambria Math"/>
          <w:sz w:val="22"/>
          <w:szCs w:val="22"/>
        </w:rPr>
        <w:t>‑</w:t>
      </w:r>
      <w:r w:rsidRPr="00B943CA">
        <w:rPr>
          <w:rFonts w:asciiTheme="minorHAnsi" w:hAnsiTheme="minorHAnsi" w:cstheme="minorHAnsi"/>
          <w:sz w:val="22"/>
          <w:szCs w:val="22"/>
        </w:rPr>
        <w:t xml:space="preserve">619/17, EU:C:2018:936, 55 punktas ir jame nurodyta jurisprudencija) (38 punktas). Jis susijęs ne su pačiu pasirinkimu sudaryti terminuotas darbo sutartis vietoj neterminuotų darbo sutarčių, bet su darbuotojų, sudariusių pirmosios rūšies darbo sutartį, įdarbinimo sąlygomis, palyginti su pagal antros rūšies darbo sutartį įdarbintų darbuotojų darbo sąlygomis, nes sąvoka „darbo sąlygos“ apima priemones, susijusias su darbuotojo ir jo darbdavio nustatytais darbo santykiais (šiuo klausimu žr. 2019 m. birželio 20 d. Sprendimo </w:t>
      </w:r>
      <w:r w:rsidRPr="00B943CA">
        <w:rPr>
          <w:rFonts w:asciiTheme="minorHAnsi" w:hAnsiTheme="minorHAnsi" w:cstheme="minorHAnsi"/>
          <w:i/>
          <w:iCs/>
          <w:sz w:val="22"/>
          <w:szCs w:val="22"/>
        </w:rPr>
        <w:t>Ustariz Aróstegui</w:t>
      </w:r>
      <w:r w:rsidR="00C47F2E">
        <w:rPr>
          <w:rFonts w:asciiTheme="minorHAnsi" w:hAnsiTheme="minorHAnsi" w:cstheme="minorHAnsi"/>
          <w:i/>
          <w:iCs/>
          <w:sz w:val="22"/>
          <w:szCs w:val="22"/>
        </w:rPr>
        <w:t>,</w:t>
      </w:r>
      <w:r w:rsidRPr="00B943CA">
        <w:rPr>
          <w:rFonts w:asciiTheme="minorHAnsi" w:hAnsiTheme="minorHAnsi" w:cstheme="minorHAnsi"/>
          <w:sz w:val="22"/>
          <w:szCs w:val="22"/>
        </w:rPr>
        <w:t xml:space="preserve"> C</w:t>
      </w:r>
      <w:r w:rsidRPr="00B943CA">
        <w:rPr>
          <w:rFonts w:ascii="Cambria Math" w:hAnsi="Cambria Math" w:cs="Cambria Math"/>
          <w:sz w:val="22"/>
          <w:szCs w:val="22"/>
        </w:rPr>
        <w:t>‑</w:t>
      </w:r>
      <w:r w:rsidRPr="00B943CA">
        <w:rPr>
          <w:rFonts w:asciiTheme="minorHAnsi" w:hAnsiTheme="minorHAnsi" w:cstheme="minorHAnsi"/>
          <w:sz w:val="22"/>
          <w:szCs w:val="22"/>
        </w:rPr>
        <w:t>72/18, EU:C:2019:516, 25 punktą ir jame nurodytą jurisprudenciją) (39 punktas).</w:t>
      </w:r>
    </w:p>
    <w:p w14:paraId="6F175AA5" w14:textId="0F9FB74D"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u w:val="single"/>
        </w:rPr>
        <w:lastRenderedPageBreak/>
        <w:t>Taigi reikia išnagrinėti, ar, palyginti su teisės aktuose nustatyto pensinio amžiaus sulaukusių toliau pagal profesiją dirbančių dėstytojų, turinčių doktorantų mokslinio vadovo kvalifikaciją, įdarbinimo sąlygomis, tokios įdarbinimo sąlygos, kokios nustatytos FT sudarytose terminuotose darbo sutartyse, ypač pagal jas taikoma mažesnio darbo užmokesčio sistema, yra skirtingas požiūris, prieštaraujantis Bendrojo susitarimo 4</w:t>
      </w:r>
      <w:r w:rsidR="005C5D86">
        <w:rPr>
          <w:rFonts w:asciiTheme="minorHAnsi" w:hAnsiTheme="minorHAnsi" w:cstheme="minorHAnsi"/>
          <w:sz w:val="22"/>
          <w:szCs w:val="22"/>
          <w:u w:val="single"/>
        </w:rPr>
        <w:t> </w:t>
      </w:r>
      <w:r w:rsidRPr="00B943CA">
        <w:rPr>
          <w:rFonts w:asciiTheme="minorHAnsi" w:hAnsiTheme="minorHAnsi" w:cstheme="minorHAnsi"/>
          <w:sz w:val="22"/>
          <w:szCs w:val="22"/>
          <w:u w:val="single"/>
        </w:rPr>
        <w:t>punkto 1 daliai</w:t>
      </w:r>
      <w:r w:rsidRPr="00B943CA">
        <w:rPr>
          <w:rFonts w:asciiTheme="minorHAnsi" w:hAnsiTheme="minorHAnsi" w:cstheme="minorHAnsi"/>
          <w:sz w:val="22"/>
          <w:szCs w:val="22"/>
        </w:rPr>
        <w:t xml:space="preserve"> (40 punktas). Pirma, reikia nustatyti, ar doktorantų mokslinio vadovo kvalifikaciją turintys dėstytojai, su kurių situacija turi būti lyginama FT situacija, patenka į sąvoką „panašūs nuolatiniai darbuotojai“, kaip ji suprantama pagal šią nuostatą. Pagal Bendrojo susitarimo 3 punkto 2 dalį ši sąvoka apima darbuotojus, kurie „sudarė neterminuotą darbo sutartį arba palaiko neterminuotus darbo santykius toje pačioje įmonėje ir atlieka tą patį ar panašų darbą (profesines pareigas), tinkamai atsižvelgiant į [jų] kvalifikaciją ar įgūdžius“ (41 punktas).</w:t>
      </w:r>
    </w:p>
    <w:p w14:paraId="6DFD695E"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 xml:space="preserve">Jei būtų nuspręsta, kad tie dėstytojai įdarbinami pagal neterminuotą darbo sutartį, reikėtų patikrinti, ar jie yra „panašūs“ nuolatiniai darbuotojai, kaip tai suprantama pagal Bendrojo susitarimo 4 punkto 1 dalį. Šiuo klausimu reikia priminti, kad pagal Teisingumo Teismo suformuotą jurisprudenciją draudimo diskriminuoti principu, kuris konkrečiai išreikštas toje nuostatoje, reikalaujama, kad panašios situacijos nebūtų vertinamos skirtingai, o skirtingos – vienodai, jei toks vertinimas negali būti objektyviai pateisinamas (2018 m. lapkričio 21 d. Sprendimo </w:t>
      </w:r>
      <w:r w:rsidRPr="00B943CA">
        <w:rPr>
          <w:rFonts w:asciiTheme="minorHAnsi" w:hAnsiTheme="minorHAnsi" w:cstheme="minorHAnsi"/>
          <w:i/>
          <w:iCs/>
          <w:sz w:val="22"/>
          <w:szCs w:val="22"/>
        </w:rPr>
        <w:t>de Diego Porras</w:t>
      </w:r>
      <w:r w:rsidRPr="00B943CA">
        <w:rPr>
          <w:rFonts w:asciiTheme="minorHAnsi" w:hAnsiTheme="minorHAnsi" w:cstheme="minorHAnsi"/>
          <w:sz w:val="22"/>
          <w:szCs w:val="22"/>
        </w:rPr>
        <w:t>, C</w:t>
      </w:r>
      <w:r w:rsidRPr="00B943CA">
        <w:rPr>
          <w:rFonts w:ascii="Cambria Math" w:hAnsi="Cambria Math" w:cs="Cambria Math"/>
          <w:sz w:val="22"/>
          <w:szCs w:val="22"/>
        </w:rPr>
        <w:t>‑</w:t>
      </w:r>
      <w:r w:rsidRPr="00B943CA">
        <w:rPr>
          <w:rFonts w:asciiTheme="minorHAnsi" w:hAnsiTheme="minorHAnsi" w:cstheme="minorHAnsi"/>
          <w:sz w:val="22"/>
          <w:szCs w:val="22"/>
        </w:rPr>
        <w:t>619/17, EU:C:2018:936, 60 punktas ir jame nurodyta jurisprudencija) (44 punktas).</w:t>
      </w:r>
    </w:p>
    <w:p w14:paraId="2DC03E0D"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 xml:space="preserve">Draudimo diskriminuoti principas įgyvendintas ir sukonkretintas Bendrajame susitarime tik tiek, kiek tai susiję su skirtingu požiūriu į pagal terminuotas darbo sutartis dirbančius darbuotojus ir panašioje padėtyje esančius pagal neterminuotas darbo sutartis dirbančius darbuotojus (2018 m. lapkričio 21 d. Sprendimo </w:t>
      </w:r>
      <w:r w:rsidRPr="00B943CA">
        <w:rPr>
          <w:rFonts w:asciiTheme="minorHAnsi" w:hAnsiTheme="minorHAnsi" w:cstheme="minorHAnsi"/>
          <w:i/>
          <w:iCs/>
          <w:sz w:val="22"/>
          <w:szCs w:val="22"/>
        </w:rPr>
        <w:t>de Diego Porras</w:t>
      </w:r>
      <w:r w:rsidRPr="00B943CA">
        <w:rPr>
          <w:rFonts w:asciiTheme="minorHAnsi" w:hAnsiTheme="minorHAnsi" w:cstheme="minorHAnsi"/>
          <w:sz w:val="22"/>
          <w:szCs w:val="22"/>
        </w:rPr>
        <w:t>, C</w:t>
      </w:r>
      <w:r w:rsidRPr="00B943CA">
        <w:rPr>
          <w:rFonts w:ascii="Cambria Math" w:hAnsi="Cambria Math" w:cs="Cambria Math"/>
          <w:sz w:val="22"/>
          <w:szCs w:val="22"/>
        </w:rPr>
        <w:t>‑</w:t>
      </w:r>
      <w:r w:rsidRPr="00B943CA">
        <w:rPr>
          <w:rFonts w:asciiTheme="minorHAnsi" w:hAnsiTheme="minorHAnsi" w:cstheme="minorHAnsi"/>
          <w:sz w:val="22"/>
          <w:szCs w:val="22"/>
        </w:rPr>
        <w:t xml:space="preserve">619/17, EU:C:2018:936, 61 punktas ir jame nurodyta jurisprudencija) (45 punktas). </w:t>
      </w:r>
      <w:r w:rsidRPr="00B943CA">
        <w:rPr>
          <w:rFonts w:asciiTheme="minorHAnsi" w:hAnsiTheme="minorHAnsi" w:cstheme="minorHAnsi"/>
          <w:sz w:val="22"/>
          <w:szCs w:val="22"/>
          <w:u w:val="single"/>
        </w:rPr>
        <w:t>Siekiant įvertinti, ar suinteresuotieji asmenys dirba vienodą arba panašų darbą, kaip tai suprantama pagal Bendrąjį susitarimą, vadovaujantis jo 3 punkto 2 dalimi ir 4 punkto 1 dalimi reikia nustatyti, ar atsižvelgiant į visus aspektus, pavyzdžiui, darbo pobūdį, mokymo ir darbo sąlygas, jie gali būti laikomi esančiais panašioje situacijoje</w:t>
      </w:r>
      <w:r w:rsidRPr="00B943CA">
        <w:rPr>
          <w:rFonts w:asciiTheme="minorHAnsi" w:hAnsiTheme="minorHAnsi" w:cstheme="minorHAnsi"/>
          <w:sz w:val="22"/>
          <w:szCs w:val="22"/>
        </w:rPr>
        <w:t xml:space="preserve"> (2018 m. lapkričio 21 d. Sprendimo </w:t>
      </w:r>
      <w:r w:rsidRPr="00B943CA">
        <w:rPr>
          <w:rFonts w:asciiTheme="minorHAnsi" w:hAnsiTheme="minorHAnsi" w:cstheme="minorHAnsi"/>
          <w:i/>
          <w:iCs/>
          <w:sz w:val="22"/>
          <w:szCs w:val="22"/>
        </w:rPr>
        <w:t>de Diego Porras</w:t>
      </w:r>
      <w:r w:rsidRPr="00B943CA">
        <w:rPr>
          <w:rFonts w:asciiTheme="minorHAnsi" w:hAnsiTheme="minorHAnsi" w:cstheme="minorHAnsi"/>
          <w:sz w:val="22"/>
          <w:szCs w:val="22"/>
        </w:rPr>
        <w:t>, C</w:t>
      </w:r>
      <w:r w:rsidRPr="00B943CA">
        <w:rPr>
          <w:rFonts w:ascii="Cambria Math" w:hAnsi="Cambria Math" w:cs="Cambria Math"/>
          <w:sz w:val="22"/>
          <w:szCs w:val="22"/>
        </w:rPr>
        <w:t>‑</w:t>
      </w:r>
      <w:r w:rsidRPr="00B943CA">
        <w:rPr>
          <w:rFonts w:asciiTheme="minorHAnsi" w:hAnsiTheme="minorHAnsi" w:cstheme="minorHAnsi"/>
          <w:sz w:val="22"/>
          <w:szCs w:val="22"/>
        </w:rPr>
        <w:t>619/17, EU:C:2018:936, 62 punktas ir jame nurodyta jurisprudencija) (46 punktas).</w:t>
      </w:r>
    </w:p>
    <w:p w14:paraId="431938C9"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 xml:space="preserve">Šiuo atveju prašymą priimti prejudicinį sprendimą pateikęs teismas, kuris vienintelis kompetentingas įvertinti faktines aplinkybes, turi nustatyti, ar, kai FT buvo įdarbinta Universitete pagal paeiliui sudarytas terminuotas darbo sutartis, jos padėtis buvo panaši į doktorantų mokslinio vadovo kvalifikaciją turinčių dėstytojų, kurie sulaukę teisės aktuose numatyto pensinio amžiaus buvo to paties darbdavio įdarbinti neterminuotai, padėtį (pagal analogiją žr. 2018 m. lapkričio 21 d. Sprendimo </w:t>
      </w:r>
      <w:r w:rsidRPr="00B943CA">
        <w:rPr>
          <w:rFonts w:asciiTheme="minorHAnsi" w:hAnsiTheme="minorHAnsi" w:cstheme="minorHAnsi"/>
          <w:i/>
          <w:iCs/>
          <w:sz w:val="22"/>
          <w:szCs w:val="22"/>
        </w:rPr>
        <w:t>de Diego Porras</w:t>
      </w:r>
      <w:r w:rsidRPr="00B943CA">
        <w:rPr>
          <w:rFonts w:asciiTheme="minorHAnsi" w:hAnsiTheme="minorHAnsi" w:cstheme="minorHAnsi"/>
          <w:sz w:val="22"/>
          <w:szCs w:val="22"/>
        </w:rPr>
        <w:t>, C</w:t>
      </w:r>
      <w:r w:rsidRPr="00B943CA">
        <w:rPr>
          <w:rFonts w:ascii="Cambria Math" w:hAnsi="Cambria Math" w:cs="Cambria Math"/>
          <w:sz w:val="22"/>
          <w:szCs w:val="22"/>
        </w:rPr>
        <w:t>‑</w:t>
      </w:r>
      <w:r w:rsidRPr="00B943CA">
        <w:rPr>
          <w:rFonts w:asciiTheme="minorHAnsi" w:hAnsiTheme="minorHAnsi" w:cstheme="minorHAnsi"/>
          <w:sz w:val="22"/>
          <w:szCs w:val="22"/>
        </w:rPr>
        <w:t>619/17, EU:C:2018:936, 63 punktą) (47 punktas).</w:t>
      </w:r>
    </w:p>
    <w:p w14:paraId="39A45C79"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u w:val="single"/>
        </w:rPr>
        <w:t>Jei šių dviejų kategorijų dėstytojų situacijos būtų laikomos panašiomis, reikėtų išnagrinėti, ar egzistuoja objektyvi priežastis, kaip ji suprantama pagal Bendrojo susitarimo 4 punkto 1 dalį, galinti pateisinti skirtingą požiūrį, susijusį, pirmiausia, su jų atlyginimu</w:t>
      </w:r>
      <w:r w:rsidRPr="00B943CA">
        <w:rPr>
          <w:rFonts w:asciiTheme="minorHAnsi" w:hAnsiTheme="minorHAnsi" w:cstheme="minorHAnsi"/>
          <w:sz w:val="22"/>
          <w:szCs w:val="22"/>
        </w:rPr>
        <w:t xml:space="preserve"> (49 punktas). Iš Teisingumo Teismo suformuotos jurisprudencijos matyti, kad sąvoka „objektyvios priežastys“ apima reikalavimą, kad nustatytas skirtingas požiūris būtų pagrįstas tiksliais ir konkrečiais veiksniais, kurie apibūdina atitinkamą įdarbinimo sąlygą, atsižvelgiant į konkrečias jos taikymo aplinkybes ir remiantis objektyviais ir skaidriais kriterijais tam, kad būtų įvertinta, ar šis skirtingas požiūris atitinka tikrus poreikius, leidžia pasiekti numatytą tikslą ir yra būtinas jam pasiekti. Šiuos veiksnius gali lemti, be kita ko, ypatingas užduočių, kurioms atlikti terminuotos sutartys buvo sudarytos, pobūdis ir savybės arba prireikus teisėto valstybės narės socialinės politikos tikslo siekimas (50 punktas).</w:t>
      </w:r>
    </w:p>
    <w:p w14:paraId="717C658C" w14:textId="77777777" w:rsidR="00F91B65" w:rsidRPr="00B943CA" w:rsidRDefault="00F91B65" w:rsidP="00F91B65">
      <w:pPr>
        <w:pStyle w:val="c01pointnumerotealtn"/>
        <w:shd w:val="clear" w:color="auto" w:fill="FFFFFF"/>
        <w:spacing w:before="0" w:beforeAutospacing="0" w:after="0"/>
        <w:ind w:left="0" w:firstLine="0"/>
        <w:rPr>
          <w:rFonts w:asciiTheme="minorHAnsi" w:hAnsiTheme="minorHAnsi" w:cstheme="minorHAnsi"/>
          <w:sz w:val="22"/>
          <w:szCs w:val="22"/>
        </w:rPr>
      </w:pPr>
    </w:p>
    <w:p w14:paraId="4C5092A9" w14:textId="01B401E7" w:rsidR="00F91B65" w:rsidRPr="00B943CA" w:rsidRDefault="00F91B65" w:rsidP="00F91B65">
      <w:pPr>
        <w:shd w:val="clear" w:color="auto" w:fill="FFFFFF"/>
        <w:ind w:firstLine="567"/>
        <w:rPr>
          <w:rFonts w:asciiTheme="minorHAnsi" w:hAnsiTheme="minorHAnsi" w:cstheme="minorHAnsi"/>
          <w:b/>
        </w:rPr>
      </w:pPr>
      <w:r w:rsidRPr="00B943CA">
        <w:rPr>
          <w:rFonts w:asciiTheme="minorHAnsi" w:hAnsiTheme="minorHAnsi" w:cstheme="minorHAnsi"/>
          <w:b/>
        </w:rPr>
        <w:t xml:space="preserve">Remdamasis šiais motyvais, Teisingumo Teismas </w:t>
      </w:r>
      <w:r w:rsidR="007E21F5" w:rsidRPr="00B943CA">
        <w:rPr>
          <w:rFonts w:asciiTheme="minorHAnsi" w:hAnsiTheme="minorHAnsi" w:cstheme="minorHAnsi"/>
          <w:b/>
        </w:rPr>
        <w:t xml:space="preserve">(penktoji kolegija) </w:t>
      </w:r>
      <w:r w:rsidRPr="00B943CA">
        <w:rPr>
          <w:rFonts w:asciiTheme="minorHAnsi" w:hAnsiTheme="minorHAnsi" w:cstheme="minorHAnsi"/>
          <w:b/>
        </w:rPr>
        <w:t>nusprendė:</w:t>
      </w:r>
    </w:p>
    <w:p w14:paraId="4A173F53"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p>
    <w:p w14:paraId="78E53C80"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2000 m. lapkričio 27 d. Tarybos direktyvos 2000/78/EB, nustatančios vienodo požiūrio užimtumo ir profesinėje srityje bendruosius pagrindus, 1 ir 2 straipsnius reikia aiškinti taip: jie netaikomi nacionalinės teisės aktams, pagal kuriuos etatinio dėstytojo statusą gali išlaikyti tik tie teisės aktuose nustatyto pensinio amžiaus sulaukę toliau pagal profesiją dirbantys universitetinės įstaigos dėstytojai, kurie turi doktoranto mokslinio vadovo kvalifikaciją, o tokios kvalifikacijos neturintys dėstytojai su šia įstaiga gali tik sudaryti terminuotas sutartis, pagal kurias taikoma mažesnio nei etatinių dėstytojų atlyginimo sistema.</w:t>
      </w:r>
    </w:p>
    <w:p w14:paraId="0D4EE32E"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r w:rsidRPr="00B943CA">
        <w:rPr>
          <w:rFonts w:asciiTheme="minorHAnsi" w:hAnsiTheme="minorHAnsi" w:cstheme="minorHAnsi"/>
          <w:sz w:val="22"/>
          <w:szCs w:val="22"/>
        </w:rPr>
        <w:t xml:space="preserve">1999 m. kovo 18 d. Bendrojo susitarimo dėl darbo pagal terminuotas sutartis, esančio 1999 m. birželio 28 d. Tarybos direktyvos 1999/70/EB dėl Europos profesinių sąjungų konfederacijos (ETUC), Europos pramonės ir darbdavių konfederacijų sąjungos (UNICE) ir Europos įmonių, kuriose dalyvauja valstybė, centro (CEEP) bendrojo susitarimo dėl darbo pagal terminuotas sutartis priede, 4 punkto 1 dalį reikia aiškinti taip: </w:t>
      </w:r>
      <w:r w:rsidRPr="00B943CA">
        <w:rPr>
          <w:rFonts w:asciiTheme="minorHAnsi" w:hAnsiTheme="minorHAnsi" w:cstheme="minorHAnsi"/>
          <w:sz w:val="22"/>
          <w:szCs w:val="22"/>
        </w:rPr>
        <w:lastRenderedPageBreak/>
        <w:t>pagal ją draudžiama taikyti nacionalinės teisės aktus, pagal kuriuos etatinio dėstytojo statusą gali išlaikyti tik tie teisės aktuose nustatyto pensinio amžiaus sulaukę toliau pagal profesiją dirbantys universitetinės įstaigos dėstytojai, kurie turi doktoranto mokslinio vadovo kvalifikaciją, o tokios kvalifikacijos neturintys dėstytojai su šia įstaiga gali tik sudaryti terminuotas sutartis, pagal kurias taikoma mažesnio nei etatinių dėstytojų atlyginimo sistema, jei pirmąją dėstytojų kategoriją sudarantys pagal neterminuotą darbo sutartį dirbantys darbuotojai yra panašūs į tuos, kurie sudaro antrąją kategoriją, o skirtingas požiūris į juos, susijęs su minėta atlyginimo sistema, nėra pateisinamas pagrįstomis priežastimis; tai turi patikrinti prašymą priimti prejudicinį sprendimą pateikęs teismas.</w:t>
      </w:r>
    </w:p>
    <w:p w14:paraId="266E05BF" w14:textId="77777777" w:rsidR="00F91B65" w:rsidRPr="00B943CA" w:rsidRDefault="00F953EA" w:rsidP="00F91B65">
      <w:pPr>
        <w:ind w:firstLine="567"/>
        <w:rPr>
          <w:rStyle w:val="Hipersaitas"/>
          <w:rFonts w:asciiTheme="minorHAnsi" w:hAnsiTheme="minorHAnsi" w:cstheme="minorHAnsi"/>
        </w:rPr>
      </w:pPr>
      <w:hyperlink r:id="rId25" w:history="1">
        <w:r w:rsidR="00F91B65" w:rsidRPr="00B943CA">
          <w:rPr>
            <w:rStyle w:val="Hipersaitas"/>
            <w:rFonts w:asciiTheme="minorHAnsi" w:hAnsiTheme="minorHAnsi" w:cstheme="minorHAnsi"/>
          </w:rPr>
          <w:t>Prieiga internete</w:t>
        </w:r>
      </w:hyperlink>
    </w:p>
    <w:p w14:paraId="65DF4667"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p>
    <w:p w14:paraId="419CCB57" w14:textId="77777777" w:rsidR="00F91B65" w:rsidRPr="00B943CA" w:rsidRDefault="00F91B65" w:rsidP="00F91B65">
      <w:pPr>
        <w:pStyle w:val="c01pointnumerotealtn"/>
        <w:shd w:val="clear" w:color="auto" w:fill="FFFFFF"/>
        <w:spacing w:before="0" w:beforeAutospacing="0" w:after="0"/>
        <w:ind w:left="0" w:firstLine="567"/>
        <w:rPr>
          <w:rFonts w:asciiTheme="minorHAnsi" w:hAnsiTheme="minorHAnsi" w:cstheme="minorHAnsi"/>
          <w:sz w:val="22"/>
          <w:szCs w:val="22"/>
        </w:rPr>
      </w:pPr>
    </w:p>
    <w:p w14:paraId="212C1A32" w14:textId="77777777" w:rsidR="00C80B96" w:rsidRPr="00B943CA" w:rsidRDefault="00C80B96" w:rsidP="00B33A97">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sectPr w:rsidR="00C80B96" w:rsidRPr="00B943CA" w:rsidSect="00736158">
      <w:headerReference w:type="default" r:id="rId26"/>
      <w:footerReference w:type="default" r:id="rId2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BB9C9" w14:textId="77777777" w:rsidR="00F953EA" w:rsidRDefault="00F953EA">
      <w:r>
        <w:separator/>
      </w:r>
    </w:p>
  </w:endnote>
  <w:endnote w:type="continuationSeparator" w:id="0">
    <w:p w14:paraId="6CD798B5" w14:textId="77777777" w:rsidR="00F953EA" w:rsidRDefault="00F95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0"/>
        <w:szCs w:val="20"/>
      </w:rPr>
      <w:id w:val="-951236842"/>
      <w:docPartObj>
        <w:docPartGallery w:val="Page Numbers (Bottom of Page)"/>
        <w:docPartUnique/>
      </w:docPartObj>
    </w:sdtPr>
    <w:sdtEndPr/>
    <w:sdtContent>
      <w:sdt>
        <w:sdtPr>
          <w:rPr>
            <w:rFonts w:asciiTheme="minorHAnsi" w:hAnsiTheme="minorHAnsi"/>
            <w:sz w:val="20"/>
            <w:szCs w:val="20"/>
          </w:rPr>
          <w:id w:val="1588040077"/>
          <w:docPartObj>
            <w:docPartGallery w:val="Page Numbers (Top of Page)"/>
            <w:docPartUnique/>
          </w:docPartObj>
        </w:sdtPr>
        <w:sdtEndPr/>
        <w:sdtContent>
          <w:p w14:paraId="68C15003" w14:textId="77777777" w:rsidR="00620683" w:rsidRPr="0078181C" w:rsidRDefault="00620683"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Pr>
                <w:rFonts w:asciiTheme="minorHAnsi" w:hAnsiTheme="minorHAnsi"/>
                <w:bCs/>
                <w:noProof/>
                <w:sz w:val="20"/>
                <w:szCs w:val="20"/>
              </w:rPr>
              <w:t>40</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Pr>
                <w:rFonts w:asciiTheme="minorHAnsi" w:hAnsiTheme="minorHAnsi"/>
                <w:bCs/>
                <w:noProof/>
                <w:sz w:val="20"/>
                <w:szCs w:val="20"/>
              </w:rPr>
              <w:t>40</w:t>
            </w:r>
            <w:r w:rsidRPr="00F15916">
              <w:rPr>
                <w:rFonts w:asciiTheme="minorHAnsi" w:hAnsiTheme="minorHAnsi"/>
                <w:bCs/>
                <w:sz w:val="20"/>
                <w:szCs w:val="20"/>
              </w:rPr>
              <w:fldChar w:fldCharType="end"/>
            </w:r>
          </w:p>
        </w:sdtContent>
      </w:sdt>
    </w:sdtContent>
  </w:sdt>
  <w:p w14:paraId="5B276432" w14:textId="77777777" w:rsidR="00620683" w:rsidRDefault="00620683">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F3D93" w14:textId="77777777" w:rsidR="00F953EA" w:rsidRDefault="00F953EA">
      <w:r>
        <w:separator/>
      </w:r>
    </w:p>
  </w:footnote>
  <w:footnote w:type="continuationSeparator" w:id="0">
    <w:p w14:paraId="28583C7A" w14:textId="77777777" w:rsidR="00F953EA" w:rsidRDefault="00F953EA">
      <w:r>
        <w:continuationSeparator/>
      </w:r>
    </w:p>
  </w:footnote>
  <w:footnote w:id="1">
    <w:p w14:paraId="3D67B220" w14:textId="77777777" w:rsidR="00620683" w:rsidRPr="006B68C8" w:rsidRDefault="00620683" w:rsidP="00C80B96">
      <w:pPr>
        <w:pStyle w:val="Puslapioinaostekstas"/>
        <w:rPr>
          <w:rFonts w:asciiTheme="minorHAnsi" w:hAnsiTheme="minorHAnsi" w:cstheme="minorHAnsi"/>
        </w:rPr>
      </w:pPr>
      <w:r w:rsidRPr="006B68C8">
        <w:rPr>
          <w:rStyle w:val="Puslapioinaosnuoroda"/>
          <w:rFonts w:asciiTheme="minorHAnsi" w:hAnsiTheme="minorHAnsi" w:cstheme="minorHAnsi"/>
        </w:rPr>
        <w:footnoteRef/>
      </w:r>
      <w:r w:rsidRPr="006B68C8">
        <w:rPr>
          <w:rFonts w:asciiTheme="minorHAnsi" w:hAnsiTheme="minorHAnsi" w:cstheme="minorHAnsi"/>
        </w:rPr>
        <w:t xml:space="preserve">  Direktyvos 2011/64 2 straipsnio 2 dalyje nustatyta, kad produktai, kurie yra visiškai arba iš dalies pagaminti ne iš tabako, bet iš kitų medžiagų, tačiau atitinka kitus šios direktyvos 3 straipsnio ar 5 straipsnio 1 dalies kriterijus, yra laikomi cigaretėmis arba rūkomuoju tabaku. Taip pat pastarojoje nuostatoje apibrėžta sąvoka „rūkomasis tabakas“.</w:t>
      </w:r>
    </w:p>
  </w:footnote>
  <w:footnote w:id="2">
    <w:p w14:paraId="4E2953F6" w14:textId="77777777" w:rsidR="00620683" w:rsidRPr="006B68C8" w:rsidRDefault="00620683" w:rsidP="00C80B96">
      <w:pPr>
        <w:pStyle w:val="Puslapioinaostekstas"/>
        <w:rPr>
          <w:rFonts w:asciiTheme="minorHAnsi" w:hAnsiTheme="minorHAnsi" w:cstheme="minorHAnsi"/>
        </w:rPr>
      </w:pPr>
      <w:r w:rsidRPr="006B68C8">
        <w:rPr>
          <w:rStyle w:val="Puslapioinaosnuoroda"/>
          <w:rFonts w:asciiTheme="minorHAnsi" w:hAnsiTheme="minorHAnsi" w:cstheme="minorHAnsi"/>
        </w:rPr>
        <w:footnoteRef/>
      </w:r>
      <w:r w:rsidRPr="006B68C8">
        <w:rPr>
          <w:rFonts w:asciiTheme="minorHAnsi" w:hAnsiTheme="minorHAnsi" w:cstheme="minorHAnsi"/>
        </w:rPr>
        <w:t xml:space="preserve">  Direktyvos 2011/16 5 straipsnis „Keitimosi informacija gavus prašymą tvarka“ suformuluotas taip: „Besikreipiančiosios institucijos prašymu institucija, į kurią kreipiamasi, pateikia besikreipiančiajai institucijai visą 1 straipsnio 1 dalyje nurodytą informaciją, kurią ji turi arba kurią ji gauna atlikusi administracinius tyrimus.“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149"/>
      <w:gridCol w:w="2381"/>
    </w:tblGrid>
    <w:tr w:rsidR="00620683" w:rsidRPr="000967FF" w14:paraId="5CF85821" w14:textId="77777777" w:rsidTr="00736158">
      <w:tc>
        <w:tcPr>
          <w:tcW w:w="7230" w:type="dxa"/>
        </w:tcPr>
        <w:p w14:paraId="5AF2E84B" w14:textId="77777777" w:rsidR="00620683" w:rsidRPr="0021377E" w:rsidRDefault="00620683"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33C66408" w14:textId="3D6D452E" w:rsidR="00620683" w:rsidRPr="0021377E" w:rsidRDefault="00620683" w:rsidP="005A7A21">
          <w:pPr>
            <w:rPr>
              <w:color w:val="323E4F" w:themeColor="text2" w:themeShade="BF"/>
              <w:sz w:val="20"/>
              <w:szCs w:val="20"/>
            </w:rPr>
          </w:pPr>
          <w:r>
            <w:rPr>
              <w:color w:val="323E4F" w:themeColor="text2" w:themeShade="BF"/>
              <w:sz w:val="20"/>
              <w:szCs w:val="20"/>
            </w:rPr>
            <w:t>2020 09</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20 12</w:t>
          </w:r>
          <w:r w:rsidRPr="0021377E">
            <w:rPr>
              <w:color w:val="323E4F" w:themeColor="text2" w:themeShade="BF"/>
              <w:sz w:val="20"/>
              <w:szCs w:val="20"/>
            </w:rPr>
            <w:t xml:space="preserve"> </w:t>
          </w:r>
          <w:r>
            <w:rPr>
              <w:color w:val="323E4F" w:themeColor="text2" w:themeShade="BF"/>
              <w:sz w:val="20"/>
              <w:szCs w:val="20"/>
            </w:rPr>
            <w:t>31</w:t>
          </w:r>
        </w:p>
      </w:tc>
    </w:tr>
  </w:tbl>
  <w:p w14:paraId="3E59BFEE" w14:textId="77777777" w:rsidR="00620683" w:rsidRDefault="00620683"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6"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7" w15:restartNumberingAfterBreak="0">
    <w:nsid w:val="57AC889E"/>
    <w:multiLevelType w:val="singleLevel"/>
    <w:tmpl w:val="57AC889E"/>
    <w:lvl w:ilvl="0">
      <w:start w:val="1"/>
      <w:numFmt w:val="decimal"/>
      <w:suff w:val="space"/>
      <w:lvlText w:val="%1."/>
      <w:lvlJc w:val="left"/>
    </w:lvl>
  </w:abstractNum>
  <w:abstractNum w:abstractNumId="8"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9"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0"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8"/>
  </w:num>
  <w:num w:numId="3">
    <w:abstractNumId w:val="5"/>
  </w:num>
  <w:num w:numId="4">
    <w:abstractNumId w:val="9"/>
  </w:num>
  <w:num w:numId="5">
    <w:abstractNumId w:val="3"/>
  </w:num>
  <w:num w:numId="6">
    <w:abstractNumId w:val="6"/>
  </w:num>
  <w:num w:numId="7">
    <w:abstractNumId w:val="7"/>
  </w:num>
  <w:num w:numId="8">
    <w:abstractNumId w:val="1"/>
  </w:num>
  <w:num w:numId="9">
    <w:abstractNumId w:val="7"/>
    <w:lvlOverride w:ilvl="0">
      <w:startOverride w:val="1"/>
    </w:lvlOverride>
  </w:num>
  <w:num w:numId="10">
    <w:abstractNumId w:val="0"/>
  </w:num>
  <w:num w:numId="11">
    <w:abstractNumId w:val="4"/>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8CD"/>
    <w:rsid w:val="0000101D"/>
    <w:rsid w:val="000016C4"/>
    <w:rsid w:val="000028CD"/>
    <w:rsid w:val="00003825"/>
    <w:rsid w:val="000054F6"/>
    <w:rsid w:val="00005AC8"/>
    <w:rsid w:val="00007E39"/>
    <w:rsid w:val="00007F8E"/>
    <w:rsid w:val="00010C45"/>
    <w:rsid w:val="000226C0"/>
    <w:rsid w:val="00022C49"/>
    <w:rsid w:val="00024262"/>
    <w:rsid w:val="00024C28"/>
    <w:rsid w:val="00027F31"/>
    <w:rsid w:val="00031A6D"/>
    <w:rsid w:val="0003515F"/>
    <w:rsid w:val="00035C5C"/>
    <w:rsid w:val="000367E0"/>
    <w:rsid w:val="000369F2"/>
    <w:rsid w:val="00041250"/>
    <w:rsid w:val="0004127A"/>
    <w:rsid w:val="0004150B"/>
    <w:rsid w:val="000427E6"/>
    <w:rsid w:val="000501D2"/>
    <w:rsid w:val="000531A2"/>
    <w:rsid w:val="000541E2"/>
    <w:rsid w:val="00056454"/>
    <w:rsid w:val="0006076F"/>
    <w:rsid w:val="000612A2"/>
    <w:rsid w:val="000647E8"/>
    <w:rsid w:val="0006577C"/>
    <w:rsid w:val="00066063"/>
    <w:rsid w:val="0006750C"/>
    <w:rsid w:val="00067F84"/>
    <w:rsid w:val="00070AC7"/>
    <w:rsid w:val="000739DF"/>
    <w:rsid w:val="00074760"/>
    <w:rsid w:val="000825EB"/>
    <w:rsid w:val="000829F7"/>
    <w:rsid w:val="00082C77"/>
    <w:rsid w:val="00085476"/>
    <w:rsid w:val="000873EA"/>
    <w:rsid w:val="00090F42"/>
    <w:rsid w:val="00093AD3"/>
    <w:rsid w:val="000961C3"/>
    <w:rsid w:val="0009635E"/>
    <w:rsid w:val="000A2ABB"/>
    <w:rsid w:val="000A56C8"/>
    <w:rsid w:val="000A58AC"/>
    <w:rsid w:val="000A58B1"/>
    <w:rsid w:val="000A7296"/>
    <w:rsid w:val="000B2004"/>
    <w:rsid w:val="000B4A92"/>
    <w:rsid w:val="000B546F"/>
    <w:rsid w:val="000B7303"/>
    <w:rsid w:val="000B7CEB"/>
    <w:rsid w:val="000C2557"/>
    <w:rsid w:val="000C3A69"/>
    <w:rsid w:val="000C6092"/>
    <w:rsid w:val="000E30CB"/>
    <w:rsid w:val="000E4964"/>
    <w:rsid w:val="000E5624"/>
    <w:rsid w:val="000E5A93"/>
    <w:rsid w:val="000F432D"/>
    <w:rsid w:val="000F64EE"/>
    <w:rsid w:val="001002D5"/>
    <w:rsid w:val="00100400"/>
    <w:rsid w:val="001035AD"/>
    <w:rsid w:val="00104D60"/>
    <w:rsid w:val="001069BA"/>
    <w:rsid w:val="00112173"/>
    <w:rsid w:val="00113E89"/>
    <w:rsid w:val="00114D14"/>
    <w:rsid w:val="00116665"/>
    <w:rsid w:val="00117031"/>
    <w:rsid w:val="00120CB7"/>
    <w:rsid w:val="0012395D"/>
    <w:rsid w:val="00125C26"/>
    <w:rsid w:val="00126D28"/>
    <w:rsid w:val="00127C91"/>
    <w:rsid w:val="00131909"/>
    <w:rsid w:val="00133FF5"/>
    <w:rsid w:val="0013714D"/>
    <w:rsid w:val="001373E0"/>
    <w:rsid w:val="00143912"/>
    <w:rsid w:val="001460CF"/>
    <w:rsid w:val="00150238"/>
    <w:rsid w:val="00150D04"/>
    <w:rsid w:val="00160FC7"/>
    <w:rsid w:val="00162CAE"/>
    <w:rsid w:val="00163B3F"/>
    <w:rsid w:val="00165639"/>
    <w:rsid w:val="00167D11"/>
    <w:rsid w:val="0017163B"/>
    <w:rsid w:val="00173517"/>
    <w:rsid w:val="001738B4"/>
    <w:rsid w:val="00173FF2"/>
    <w:rsid w:val="00176687"/>
    <w:rsid w:val="00180D5D"/>
    <w:rsid w:val="001811C1"/>
    <w:rsid w:val="00182063"/>
    <w:rsid w:val="00182587"/>
    <w:rsid w:val="00186F58"/>
    <w:rsid w:val="00187885"/>
    <w:rsid w:val="0019076C"/>
    <w:rsid w:val="00191FB0"/>
    <w:rsid w:val="00193B93"/>
    <w:rsid w:val="00194773"/>
    <w:rsid w:val="00194FF1"/>
    <w:rsid w:val="001A0AD1"/>
    <w:rsid w:val="001A347D"/>
    <w:rsid w:val="001B17EF"/>
    <w:rsid w:val="001B44DB"/>
    <w:rsid w:val="001B5613"/>
    <w:rsid w:val="001B57A7"/>
    <w:rsid w:val="001B795F"/>
    <w:rsid w:val="001C079F"/>
    <w:rsid w:val="001C1373"/>
    <w:rsid w:val="001C4363"/>
    <w:rsid w:val="001C6C9B"/>
    <w:rsid w:val="001D1376"/>
    <w:rsid w:val="001D1BAB"/>
    <w:rsid w:val="001D3B64"/>
    <w:rsid w:val="001D6185"/>
    <w:rsid w:val="001E17E4"/>
    <w:rsid w:val="001E1925"/>
    <w:rsid w:val="001E1D57"/>
    <w:rsid w:val="001E50C2"/>
    <w:rsid w:val="001F3368"/>
    <w:rsid w:val="001F5624"/>
    <w:rsid w:val="002000A6"/>
    <w:rsid w:val="0020111A"/>
    <w:rsid w:val="00203B43"/>
    <w:rsid w:val="002103AD"/>
    <w:rsid w:val="00212842"/>
    <w:rsid w:val="002132F5"/>
    <w:rsid w:val="0021623E"/>
    <w:rsid w:val="00224DAA"/>
    <w:rsid w:val="00225D16"/>
    <w:rsid w:val="002303AE"/>
    <w:rsid w:val="00230D52"/>
    <w:rsid w:val="002353E3"/>
    <w:rsid w:val="0024618F"/>
    <w:rsid w:val="00247D33"/>
    <w:rsid w:val="0025076A"/>
    <w:rsid w:val="002517AE"/>
    <w:rsid w:val="00253D28"/>
    <w:rsid w:val="00256E6C"/>
    <w:rsid w:val="00262FA3"/>
    <w:rsid w:val="00270C43"/>
    <w:rsid w:val="002713C5"/>
    <w:rsid w:val="00275762"/>
    <w:rsid w:val="00275770"/>
    <w:rsid w:val="00276339"/>
    <w:rsid w:val="00287E40"/>
    <w:rsid w:val="002923A0"/>
    <w:rsid w:val="00292973"/>
    <w:rsid w:val="002933A9"/>
    <w:rsid w:val="0029340F"/>
    <w:rsid w:val="00294443"/>
    <w:rsid w:val="0029445C"/>
    <w:rsid w:val="00295C74"/>
    <w:rsid w:val="00296828"/>
    <w:rsid w:val="002A1113"/>
    <w:rsid w:val="002A14B6"/>
    <w:rsid w:val="002A2519"/>
    <w:rsid w:val="002A64B3"/>
    <w:rsid w:val="002A6D4C"/>
    <w:rsid w:val="002A798C"/>
    <w:rsid w:val="002B1F6B"/>
    <w:rsid w:val="002B4105"/>
    <w:rsid w:val="002B5283"/>
    <w:rsid w:val="002B52A0"/>
    <w:rsid w:val="002C41B9"/>
    <w:rsid w:val="002C7B91"/>
    <w:rsid w:val="002D14AC"/>
    <w:rsid w:val="002D1B34"/>
    <w:rsid w:val="002D1F7A"/>
    <w:rsid w:val="002D76E6"/>
    <w:rsid w:val="002E0510"/>
    <w:rsid w:val="002E0A74"/>
    <w:rsid w:val="002E52BD"/>
    <w:rsid w:val="002F09DA"/>
    <w:rsid w:val="002F2EB7"/>
    <w:rsid w:val="002F456B"/>
    <w:rsid w:val="003024E8"/>
    <w:rsid w:val="00303083"/>
    <w:rsid w:val="0030354A"/>
    <w:rsid w:val="00304D50"/>
    <w:rsid w:val="00304ECD"/>
    <w:rsid w:val="00307B73"/>
    <w:rsid w:val="00310DD7"/>
    <w:rsid w:val="00311AA2"/>
    <w:rsid w:val="003135AD"/>
    <w:rsid w:val="003137EE"/>
    <w:rsid w:val="00313DD3"/>
    <w:rsid w:val="00315553"/>
    <w:rsid w:val="00315E2D"/>
    <w:rsid w:val="0032027A"/>
    <w:rsid w:val="00320B72"/>
    <w:rsid w:val="00324E19"/>
    <w:rsid w:val="003265B1"/>
    <w:rsid w:val="0033208A"/>
    <w:rsid w:val="00332700"/>
    <w:rsid w:val="003369EC"/>
    <w:rsid w:val="00337C5A"/>
    <w:rsid w:val="00340E3D"/>
    <w:rsid w:val="0034304A"/>
    <w:rsid w:val="003444ED"/>
    <w:rsid w:val="00344A7E"/>
    <w:rsid w:val="00345EAF"/>
    <w:rsid w:val="00347704"/>
    <w:rsid w:val="0035025B"/>
    <w:rsid w:val="003510B8"/>
    <w:rsid w:val="003550E7"/>
    <w:rsid w:val="00355EE4"/>
    <w:rsid w:val="0036339B"/>
    <w:rsid w:val="0036396E"/>
    <w:rsid w:val="00366E04"/>
    <w:rsid w:val="00367FCF"/>
    <w:rsid w:val="003713B7"/>
    <w:rsid w:val="00373473"/>
    <w:rsid w:val="00374A94"/>
    <w:rsid w:val="0038016D"/>
    <w:rsid w:val="003808C4"/>
    <w:rsid w:val="003919E4"/>
    <w:rsid w:val="0039283F"/>
    <w:rsid w:val="00397750"/>
    <w:rsid w:val="003A02CF"/>
    <w:rsid w:val="003A0DB4"/>
    <w:rsid w:val="003A10AF"/>
    <w:rsid w:val="003A6726"/>
    <w:rsid w:val="003A6ECF"/>
    <w:rsid w:val="003A7994"/>
    <w:rsid w:val="003A7E3C"/>
    <w:rsid w:val="003B046B"/>
    <w:rsid w:val="003B0EE7"/>
    <w:rsid w:val="003B151B"/>
    <w:rsid w:val="003B2280"/>
    <w:rsid w:val="003B3224"/>
    <w:rsid w:val="003B4AA0"/>
    <w:rsid w:val="003B73EA"/>
    <w:rsid w:val="003B7A20"/>
    <w:rsid w:val="003C01A4"/>
    <w:rsid w:val="003C09A0"/>
    <w:rsid w:val="003C2E76"/>
    <w:rsid w:val="003C7A45"/>
    <w:rsid w:val="003D0E1F"/>
    <w:rsid w:val="003D1273"/>
    <w:rsid w:val="003D15C1"/>
    <w:rsid w:val="003D50AE"/>
    <w:rsid w:val="003D6A3B"/>
    <w:rsid w:val="003D6BA5"/>
    <w:rsid w:val="003D6FD6"/>
    <w:rsid w:val="003E12DF"/>
    <w:rsid w:val="003E2DCB"/>
    <w:rsid w:val="003E3F0F"/>
    <w:rsid w:val="003E4A33"/>
    <w:rsid w:val="003E5B49"/>
    <w:rsid w:val="003E5F38"/>
    <w:rsid w:val="003F00E4"/>
    <w:rsid w:val="003F03CD"/>
    <w:rsid w:val="003F04DC"/>
    <w:rsid w:val="003F056F"/>
    <w:rsid w:val="003F2BE9"/>
    <w:rsid w:val="003F2F73"/>
    <w:rsid w:val="003F731D"/>
    <w:rsid w:val="0040040C"/>
    <w:rsid w:val="00400458"/>
    <w:rsid w:val="00400E7C"/>
    <w:rsid w:val="00401F0B"/>
    <w:rsid w:val="00402183"/>
    <w:rsid w:val="00402B3B"/>
    <w:rsid w:val="004038EA"/>
    <w:rsid w:val="00405080"/>
    <w:rsid w:val="00410602"/>
    <w:rsid w:val="004108B2"/>
    <w:rsid w:val="004146C6"/>
    <w:rsid w:val="00415A0B"/>
    <w:rsid w:val="00416E50"/>
    <w:rsid w:val="00423C21"/>
    <w:rsid w:val="00424AC1"/>
    <w:rsid w:val="00426A8E"/>
    <w:rsid w:val="00426FA2"/>
    <w:rsid w:val="00427FB9"/>
    <w:rsid w:val="00430911"/>
    <w:rsid w:val="004374C6"/>
    <w:rsid w:val="00440561"/>
    <w:rsid w:val="00441527"/>
    <w:rsid w:val="004421E1"/>
    <w:rsid w:val="004424BD"/>
    <w:rsid w:val="00442F3B"/>
    <w:rsid w:val="004442DA"/>
    <w:rsid w:val="00445355"/>
    <w:rsid w:val="0044732A"/>
    <w:rsid w:val="00452026"/>
    <w:rsid w:val="004554DB"/>
    <w:rsid w:val="00460E0E"/>
    <w:rsid w:val="0046296C"/>
    <w:rsid w:val="00462F96"/>
    <w:rsid w:val="00463538"/>
    <w:rsid w:val="0046437B"/>
    <w:rsid w:val="0047132C"/>
    <w:rsid w:val="00473E4A"/>
    <w:rsid w:val="004741D7"/>
    <w:rsid w:val="00475FA7"/>
    <w:rsid w:val="0047745B"/>
    <w:rsid w:val="00480AD5"/>
    <w:rsid w:val="00480F1E"/>
    <w:rsid w:val="004820B7"/>
    <w:rsid w:val="0048280B"/>
    <w:rsid w:val="00484BC7"/>
    <w:rsid w:val="00485030"/>
    <w:rsid w:val="00492037"/>
    <w:rsid w:val="004A18FC"/>
    <w:rsid w:val="004A1EF5"/>
    <w:rsid w:val="004A3D36"/>
    <w:rsid w:val="004A6684"/>
    <w:rsid w:val="004A7D3F"/>
    <w:rsid w:val="004B3301"/>
    <w:rsid w:val="004C02B9"/>
    <w:rsid w:val="004C1989"/>
    <w:rsid w:val="004C1F66"/>
    <w:rsid w:val="004C3D0E"/>
    <w:rsid w:val="004C6BE5"/>
    <w:rsid w:val="004D384D"/>
    <w:rsid w:val="004D471B"/>
    <w:rsid w:val="004D4CA8"/>
    <w:rsid w:val="004E150E"/>
    <w:rsid w:val="004E67F5"/>
    <w:rsid w:val="004F103F"/>
    <w:rsid w:val="004F118E"/>
    <w:rsid w:val="004F1C89"/>
    <w:rsid w:val="004F3B57"/>
    <w:rsid w:val="004F56F4"/>
    <w:rsid w:val="00503293"/>
    <w:rsid w:val="005071A7"/>
    <w:rsid w:val="00507A1E"/>
    <w:rsid w:val="0051438A"/>
    <w:rsid w:val="00520A5A"/>
    <w:rsid w:val="0052243C"/>
    <w:rsid w:val="00523518"/>
    <w:rsid w:val="00525E8C"/>
    <w:rsid w:val="00527D0D"/>
    <w:rsid w:val="005304D9"/>
    <w:rsid w:val="005330C1"/>
    <w:rsid w:val="00533408"/>
    <w:rsid w:val="005351F7"/>
    <w:rsid w:val="00536190"/>
    <w:rsid w:val="005374BB"/>
    <w:rsid w:val="00542B4A"/>
    <w:rsid w:val="00544500"/>
    <w:rsid w:val="00545A4B"/>
    <w:rsid w:val="005460CD"/>
    <w:rsid w:val="00552BB7"/>
    <w:rsid w:val="0055387A"/>
    <w:rsid w:val="005548B7"/>
    <w:rsid w:val="00556F14"/>
    <w:rsid w:val="0056116D"/>
    <w:rsid w:val="00562312"/>
    <w:rsid w:val="005646F3"/>
    <w:rsid w:val="005726E6"/>
    <w:rsid w:val="005729FB"/>
    <w:rsid w:val="00575462"/>
    <w:rsid w:val="00582029"/>
    <w:rsid w:val="005826D2"/>
    <w:rsid w:val="00591B13"/>
    <w:rsid w:val="00591C56"/>
    <w:rsid w:val="00593AE3"/>
    <w:rsid w:val="005A5A5D"/>
    <w:rsid w:val="005A7A21"/>
    <w:rsid w:val="005A7D7E"/>
    <w:rsid w:val="005B0607"/>
    <w:rsid w:val="005B0C2C"/>
    <w:rsid w:val="005B0DBF"/>
    <w:rsid w:val="005B263C"/>
    <w:rsid w:val="005B50B5"/>
    <w:rsid w:val="005B7A97"/>
    <w:rsid w:val="005C1696"/>
    <w:rsid w:val="005C4F15"/>
    <w:rsid w:val="005C5C6A"/>
    <w:rsid w:val="005C5D86"/>
    <w:rsid w:val="005C7DAF"/>
    <w:rsid w:val="005D01DA"/>
    <w:rsid w:val="005D1C23"/>
    <w:rsid w:val="005D1F3E"/>
    <w:rsid w:val="005D6968"/>
    <w:rsid w:val="005D71A9"/>
    <w:rsid w:val="005E38BF"/>
    <w:rsid w:val="005E3FA9"/>
    <w:rsid w:val="005E4196"/>
    <w:rsid w:val="005E5E25"/>
    <w:rsid w:val="005E7CA3"/>
    <w:rsid w:val="005F20C1"/>
    <w:rsid w:val="005F2F80"/>
    <w:rsid w:val="005F534F"/>
    <w:rsid w:val="005F61B1"/>
    <w:rsid w:val="0060202F"/>
    <w:rsid w:val="006027E6"/>
    <w:rsid w:val="00602A20"/>
    <w:rsid w:val="00603A73"/>
    <w:rsid w:val="00610307"/>
    <w:rsid w:val="00613863"/>
    <w:rsid w:val="006150A7"/>
    <w:rsid w:val="006160B9"/>
    <w:rsid w:val="0061613B"/>
    <w:rsid w:val="006162D7"/>
    <w:rsid w:val="00620683"/>
    <w:rsid w:val="00621F78"/>
    <w:rsid w:val="0063245A"/>
    <w:rsid w:val="00632BE8"/>
    <w:rsid w:val="00632D46"/>
    <w:rsid w:val="0063410D"/>
    <w:rsid w:val="006349F7"/>
    <w:rsid w:val="00637286"/>
    <w:rsid w:val="00640561"/>
    <w:rsid w:val="0064228E"/>
    <w:rsid w:val="006460C0"/>
    <w:rsid w:val="0065013F"/>
    <w:rsid w:val="00657CFD"/>
    <w:rsid w:val="006641FA"/>
    <w:rsid w:val="00672231"/>
    <w:rsid w:val="00674D4E"/>
    <w:rsid w:val="00675DE8"/>
    <w:rsid w:val="0067624E"/>
    <w:rsid w:val="00680DE9"/>
    <w:rsid w:val="0068181E"/>
    <w:rsid w:val="00681E8B"/>
    <w:rsid w:val="00683D12"/>
    <w:rsid w:val="00686348"/>
    <w:rsid w:val="00687C29"/>
    <w:rsid w:val="00690172"/>
    <w:rsid w:val="00690E33"/>
    <w:rsid w:val="006936A4"/>
    <w:rsid w:val="00693B39"/>
    <w:rsid w:val="006955A2"/>
    <w:rsid w:val="006961AD"/>
    <w:rsid w:val="00697BB5"/>
    <w:rsid w:val="006A0A55"/>
    <w:rsid w:val="006A3D0C"/>
    <w:rsid w:val="006A46A3"/>
    <w:rsid w:val="006B0110"/>
    <w:rsid w:val="006B0782"/>
    <w:rsid w:val="006B1757"/>
    <w:rsid w:val="006B1A16"/>
    <w:rsid w:val="006B27EB"/>
    <w:rsid w:val="006B346C"/>
    <w:rsid w:val="006B34CA"/>
    <w:rsid w:val="006B4794"/>
    <w:rsid w:val="006B4A87"/>
    <w:rsid w:val="006B6EDE"/>
    <w:rsid w:val="006C28D8"/>
    <w:rsid w:val="006C2C99"/>
    <w:rsid w:val="006C771A"/>
    <w:rsid w:val="006D11BC"/>
    <w:rsid w:val="006D2CC1"/>
    <w:rsid w:val="006E7607"/>
    <w:rsid w:val="006F2981"/>
    <w:rsid w:val="006F4200"/>
    <w:rsid w:val="006F4F2C"/>
    <w:rsid w:val="00706A41"/>
    <w:rsid w:val="00707B37"/>
    <w:rsid w:val="0071197C"/>
    <w:rsid w:val="00712802"/>
    <w:rsid w:val="0071486F"/>
    <w:rsid w:val="00716972"/>
    <w:rsid w:val="0072129A"/>
    <w:rsid w:val="007226D0"/>
    <w:rsid w:val="007227E8"/>
    <w:rsid w:val="00723391"/>
    <w:rsid w:val="00724D93"/>
    <w:rsid w:val="0073070A"/>
    <w:rsid w:val="007308DD"/>
    <w:rsid w:val="007330F8"/>
    <w:rsid w:val="00735B72"/>
    <w:rsid w:val="00735E9B"/>
    <w:rsid w:val="00736158"/>
    <w:rsid w:val="007363EE"/>
    <w:rsid w:val="00740071"/>
    <w:rsid w:val="00744C7F"/>
    <w:rsid w:val="00745646"/>
    <w:rsid w:val="00746042"/>
    <w:rsid w:val="00746359"/>
    <w:rsid w:val="007474BB"/>
    <w:rsid w:val="00750406"/>
    <w:rsid w:val="007515BA"/>
    <w:rsid w:val="00755BD0"/>
    <w:rsid w:val="00756427"/>
    <w:rsid w:val="0076500A"/>
    <w:rsid w:val="00766462"/>
    <w:rsid w:val="00774FF7"/>
    <w:rsid w:val="007769FF"/>
    <w:rsid w:val="00780889"/>
    <w:rsid w:val="00781985"/>
    <w:rsid w:val="007836E1"/>
    <w:rsid w:val="00784AA1"/>
    <w:rsid w:val="007923ED"/>
    <w:rsid w:val="007965BF"/>
    <w:rsid w:val="007A1EB8"/>
    <w:rsid w:val="007A5492"/>
    <w:rsid w:val="007B0818"/>
    <w:rsid w:val="007B54D1"/>
    <w:rsid w:val="007B6380"/>
    <w:rsid w:val="007B6FCC"/>
    <w:rsid w:val="007C1244"/>
    <w:rsid w:val="007C21F4"/>
    <w:rsid w:val="007C2305"/>
    <w:rsid w:val="007C39E3"/>
    <w:rsid w:val="007D31B0"/>
    <w:rsid w:val="007D42D4"/>
    <w:rsid w:val="007D6DAA"/>
    <w:rsid w:val="007D6F1E"/>
    <w:rsid w:val="007D76D0"/>
    <w:rsid w:val="007E12EB"/>
    <w:rsid w:val="007E21F5"/>
    <w:rsid w:val="007F0F6B"/>
    <w:rsid w:val="007F1468"/>
    <w:rsid w:val="0080073B"/>
    <w:rsid w:val="00801AC0"/>
    <w:rsid w:val="00804880"/>
    <w:rsid w:val="008058C5"/>
    <w:rsid w:val="00810403"/>
    <w:rsid w:val="00813294"/>
    <w:rsid w:val="00816162"/>
    <w:rsid w:val="00816DBC"/>
    <w:rsid w:val="0081757E"/>
    <w:rsid w:val="00820129"/>
    <w:rsid w:val="00821065"/>
    <w:rsid w:val="00821F04"/>
    <w:rsid w:val="00822356"/>
    <w:rsid w:val="00824030"/>
    <w:rsid w:val="00826592"/>
    <w:rsid w:val="0082773D"/>
    <w:rsid w:val="00830705"/>
    <w:rsid w:val="0083092F"/>
    <w:rsid w:val="008323E4"/>
    <w:rsid w:val="00833512"/>
    <w:rsid w:val="008347BC"/>
    <w:rsid w:val="008347E1"/>
    <w:rsid w:val="00834833"/>
    <w:rsid w:val="00835617"/>
    <w:rsid w:val="0084081F"/>
    <w:rsid w:val="0084200D"/>
    <w:rsid w:val="0084417E"/>
    <w:rsid w:val="0084462F"/>
    <w:rsid w:val="008447C7"/>
    <w:rsid w:val="008448DC"/>
    <w:rsid w:val="008476C1"/>
    <w:rsid w:val="00847DA6"/>
    <w:rsid w:val="00850701"/>
    <w:rsid w:val="00850B00"/>
    <w:rsid w:val="00854762"/>
    <w:rsid w:val="0085519E"/>
    <w:rsid w:val="008626C0"/>
    <w:rsid w:val="00866193"/>
    <w:rsid w:val="00871155"/>
    <w:rsid w:val="00873951"/>
    <w:rsid w:val="00875C5C"/>
    <w:rsid w:val="00880AFF"/>
    <w:rsid w:val="00882528"/>
    <w:rsid w:val="00882925"/>
    <w:rsid w:val="008841A4"/>
    <w:rsid w:val="0088573A"/>
    <w:rsid w:val="00887252"/>
    <w:rsid w:val="0089195A"/>
    <w:rsid w:val="0089231F"/>
    <w:rsid w:val="00895076"/>
    <w:rsid w:val="00896AD7"/>
    <w:rsid w:val="008A0A37"/>
    <w:rsid w:val="008A27A9"/>
    <w:rsid w:val="008A4815"/>
    <w:rsid w:val="008A5FB3"/>
    <w:rsid w:val="008B0B49"/>
    <w:rsid w:val="008B462A"/>
    <w:rsid w:val="008B58BE"/>
    <w:rsid w:val="008B58DB"/>
    <w:rsid w:val="008C01BE"/>
    <w:rsid w:val="008C2145"/>
    <w:rsid w:val="008C5529"/>
    <w:rsid w:val="008C78BA"/>
    <w:rsid w:val="008D19F8"/>
    <w:rsid w:val="008D2E78"/>
    <w:rsid w:val="008D47FD"/>
    <w:rsid w:val="008D5E72"/>
    <w:rsid w:val="008E0941"/>
    <w:rsid w:val="008E0E36"/>
    <w:rsid w:val="008E4394"/>
    <w:rsid w:val="008E44BD"/>
    <w:rsid w:val="008E4AE3"/>
    <w:rsid w:val="008E5CE2"/>
    <w:rsid w:val="008E6DBD"/>
    <w:rsid w:val="008F0B8C"/>
    <w:rsid w:val="008F59FC"/>
    <w:rsid w:val="008F736F"/>
    <w:rsid w:val="0090692D"/>
    <w:rsid w:val="00906F9E"/>
    <w:rsid w:val="00910745"/>
    <w:rsid w:val="00911D7E"/>
    <w:rsid w:val="00912E9A"/>
    <w:rsid w:val="00913489"/>
    <w:rsid w:val="009137BE"/>
    <w:rsid w:val="00914E63"/>
    <w:rsid w:val="0092373B"/>
    <w:rsid w:val="0092562B"/>
    <w:rsid w:val="009259F2"/>
    <w:rsid w:val="00925C25"/>
    <w:rsid w:val="00926C98"/>
    <w:rsid w:val="0092797E"/>
    <w:rsid w:val="0093239A"/>
    <w:rsid w:val="00932B66"/>
    <w:rsid w:val="00934C92"/>
    <w:rsid w:val="00934D33"/>
    <w:rsid w:val="00935F41"/>
    <w:rsid w:val="00936660"/>
    <w:rsid w:val="009404BE"/>
    <w:rsid w:val="0094158D"/>
    <w:rsid w:val="0094198C"/>
    <w:rsid w:val="00942D01"/>
    <w:rsid w:val="00943472"/>
    <w:rsid w:val="00943AF0"/>
    <w:rsid w:val="00944392"/>
    <w:rsid w:val="00945DA3"/>
    <w:rsid w:val="00947CAF"/>
    <w:rsid w:val="00950FE2"/>
    <w:rsid w:val="009515D5"/>
    <w:rsid w:val="009523A7"/>
    <w:rsid w:val="00953F2A"/>
    <w:rsid w:val="0095428C"/>
    <w:rsid w:val="00954C29"/>
    <w:rsid w:val="00955180"/>
    <w:rsid w:val="0095625B"/>
    <w:rsid w:val="00957E32"/>
    <w:rsid w:val="00960F87"/>
    <w:rsid w:val="009666C6"/>
    <w:rsid w:val="00970226"/>
    <w:rsid w:val="009713FC"/>
    <w:rsid w:val="009715B7"/>
    <w:rsid w:val="009715CC"/>
    <w:rsid w:val="00972E19"/>
    <w:rsid w:val="00974EF4"/>
    <w:rsid w:val="00975371"/>
    <w:rsid w:val="00975566"/>
    <w:rsid w:val="0097585A"/>
    <w:rsid w:val="009768D7"/>
    <w:rsid w:val="00976D06"/>
    <w:rsid w:val="00981E9B"/>
    <w:rsid w:val="00982F80"/>
    <w:rsid w:val="009836EC"/>
    <w:rsid w:val="00983A33"/>
    <w:rsid w:val="00984AE0"/>
    <w:rsid w:val="00986131"/>
    <w:rsid w:val="00994C74"/>
    <w:rsid w:val="009A1F4F"/>
    <w:rsid w:val="009A4D00"/>
    <w:rsid w:val="009A5424"/>
    <w:rsid w:val="009A5BB0"/>
    <w:rsid w:val="009A5E79"/>
    <w:rsid w:val="009A6C89"/>
    <w:rsid w:val="009A730F"/>
    <w:rsid w:val="009A7C9C"/>
    <w:rsid w:val="009B4114"/>
    <w:rsid w:val="009B48F9"/>
    <w:rsid w:val="009C0DCD"/>
    <w:rsid w:val="009C1408"/>
    <w:rsid w:val="009C3BF3"/>
    <w:rsid w:val="009C4463"/>
    <w:rsid w:val="009D7522"/>
    <w:rsid w:val="009D7FC3"/>
    <w:rsid w:val="009E0ADD"/>
    <w:rsid w:val="009E13E6"/>
    <w:rsid w:val="009E570C"/>
    <w:rsid w:val="009E64BC"/>
    <w:rsid w:val="009E6B36"/>
    <w:rsid w:val="009F70FE"/>
    <w:rsid w:val="009F7A91"/>
    <w:rsid w:val="00A016CE"/>
    <w:rsid w:val="00A04C9E"/>
    <w:rsid w:val="00A113A5"/>
    <w:rsid w:val="00A11AE7"/>
    <w:rsid w:val="00A11B17"/>
    <w:rsid w:val="00A11F43"/>
    <w:rsid w:val="00A13D5A"/>
    <w:rsid w:val="00A17CA2"/>
    <w:rsid w:val="00A20BC6"/>
    <w:rsid w:val="00A328D0"/>
    <w:rsid w:val="00A336BB"/>
    <w:rsid w:val="00A3505F"/>
    <w:rsid w:val="00A35489"/>
    <w:rsid w:val="00A446DF"/>
    <w:rsid w:val="00A507E9"/>
    <w:rsid w:val="00A565AA"/>
    <w:rsid w:val="00A6253B"/>
    <w:rsid w:val="00A66CF7"/>
    <w:rsid w:val="00A67979"/>
    <w:rsid w:val="00A71FC4"/>
    <w:rsid w:val="00A737A9"/>
    <w:rsid w:val="00A755D7"/>
    <w:rsid w:val="00A75A89"/>
    <w:rsid w:val="00A76D62"/>
    <w:rsid w:val="00A81BB0"/>
    <w:rsid w:val="00A82922"/>
    <w:rsid w:val="00A84A71"/>
    <w:rsid w:val="00A8763F"/>
    <w:rsid w:val="00A92209"/>
    <w:rsid w:val="00A93883"/>
    <w:rsid w:val="00A965DB"/>
    <w:rsid w:val="00A96C90"/>
    <w:rsid w:val="00A9758E"/>
    <w:rsid w:val="00AA3729"/>
    <w:rsid w:val="00AA4967"/>
    <w:rsid w:val="00AB1B33"/>
    <w:rsid w:val="00AC1FD3"/>
    <w:rsid w:val="00AC4995"/>
    <w:rsid w:val="00AC4B42"/>
    <w:rsid w:val="00AD0B10"/>
    <w:rsid w:val="00AD38B7"/>
    <w:rsid w:val="00AD5612"/>
    <w:rsid w:val="00AD747D"/>
    <w:rsid w:val="00AD7572"/>
    <w:rsid w:val="00AE0936"/>
    <w:rsid w:val="00AE44C4"/>
    <w:rsid w:val="00AE4AF2"/>
    <w:rsid w:val="00AE620F"/>
    <w:rsid w:val="00AF0131"/>
    <w:rsid w:val="00AF1376"/>
    <w:rsid w:val="00AF2834"/>
    <w:rsid w:val="00AF3232"/>
    <w:rsid w:val="00AF39FD"/>
    <w:rsid w:val="00AF3A87"/>
    <w:rsid w:val="00AF4067"/>
    <w:rsid w:val="00AF537D"/>
    <w:rsid w:val="00AF59BE"/>
    <w:rsid w:val="00B0210A"/>
    <w:rsid w:val="00B04ABC"/>
    <w:rsid w:val="00B11850"/>
    <w:rsid w:val="00B13841"/>
    <w:rsid w:val="00B13E9D"/>
    <w:rsid w:val="00B2026C"/>
    <w:rsid w:val="00B22BC0"/>
    <w:rsid w:val="00B30346"/>
    <w:rsid w:val="00B33A97"/>
    <w:rsid w:val="00B33B1F"/>
    <w:rsid w:val="00B34191"/>
    <w:rsid w:val="00B351A0"/>
    <w:rsid w:val="00B36012"/>
    <w:rsid w:val="00B45727"/>
    <w:rsid w:val="00B464F2"/>
    <w:rsid w:val="00B47BC3"/>
    <w:rsid w:val="00B5022C"/>
    <w:rsid w:val="00B52948"/>
    <w:rsid w:val="00B5328A"/>
    <w:rsid w:val="00B546F4"/>
    <w:rsid w:val="00B54B15"/>
    <w:rsid w:val="00B5598F"/>
    <w:rsid w:val="00B56040"/>
    <w:rsid w:val="00B573D8"/>
    <w:rsid w:val="00B57BFC"/>
    <w:rsid w:val="00B63311"/>
    <w:rsid w:val="00B636F4"/>
    <w:rsid w:val="00B63C25"/>
    <w:rsid w:val="00B65AA7"/>
    <w:rsid w:val="00B67109"/>
    <w:rsid w:val="00B67178"/>
    <w:rsid w:val="00B67E39"/>
    <w:rsid w:val="00B7117E"/>
    <w:rsid w:val="00B71D62"/>
    <w:rsid w:val="00B73272"/>
    <w:rsid w:val="00B76C83"/>
    <w:rsid w:val="00B83ABE"/>
    <w:rsid w:val="00B9146A"/>
    <w:rsid w:val="00B943CA"/>
    <w:rsid w:val="00B95198"/>
    <w:rsid w:val="00B97152"/>
    <w:rsid w:val="00BA0E45"/>
    <w:rsid w:val="00BA23AC"/>
    <w:rsid w:val="00BA327A"/>
    <w:rsid w:val="00BA486F"/>
    <w:rsid w:val="00BA4E27"/>
    <w:rsid w:val="00BA64BB"/>
    <w:rsid w:val="00BA762F"/>
    <w:rsid w:val="00BB3069"/>
    <w:rsid w:val="00BC218A"/>
    <w:rsid w:val="00BC2FCB"/>
    <w:rsid w:val="00BC31FE"/>
    <w:rsid w:val="00BC4DCD"/>
    <w:rsid w:val="00BC69CD"/>
    <w:rsid w:val="00BC6BE7"/>
    <w:rsid w:val="00BC74DC"/>
    <w:rsid w:val="00BD1DF7"/>
    <w:rsid w:val="00BD23C9"/>
    <w:rsid w:val="00BD2C54"/>
    <w:rsid w:val="00BD6456"/>
    <w:rsid w:val="00BE10B7"/>
    <w:rsid w:val="00BE2BC3"/>
    <w:rsid w:val="00BE4C1F"/>
    <w:rsid w:val="00BF36BC"/>
    <w:rsid w:val="00BF4A2C"/>
    <w:rsid w:val="00BF759C"/>
    <w:rsid w:val="00C0036F"/>
    <w:rsid w:val="00C02C5C"/>
    <w:rsid w:val="00C117A3"/>
    <w:rsid w:val="00C11983"/>
    <w:rsid w:val="00C122C2"/>
    <w:rsid w:val="00C1347A"/>
    <w:rsid w:val="00C15879"/>
    <w:rsid w:val="00C175EE"/>
    <w:rsid w:val="00C24990"/>
    <w:rsid w:val="00C25267"/>
    <w:rsid w:val="00C27A77"/>
    <w:rsid w:val="00C310C7"/>
    <w:rsid w:val="00C32316"/>
    <w:rsid w:val="00C3307C"/>
    <w:rsid w:val="00C401E6"/>
    <w:rsid w:val="00C40585"/>
    <w:rsid w:val="00C43F8E"/>
    <w:rsid w:val="00C44109"/>
    <w:rsid w:val="00C458D5"/>
    <w:rsid w:val="00C46128"/>
    <w:rsid w:val="00C471D1"/>
    <w:rsid w:val="00C47F2E"/>
    <w:rsid w:val="00C527C1"/>
    <w:rsid w:val="00C52E45"/>
    <w:rsid w:val="00C54C57"/>
    <w:rsid w:val="00C56385"/>
    <w:rsid w:val="00C57D12"/>
    <w:rsid w:val="00C61F04"/>
    <w:rsid w:val="00C628D3"/>
    <w:rsid w:val="00C634F3"/>
    <w:rsid w:val="00C72D18"/>
    <w:rsid w:val="00C73B6E"/>
    <w:rsid w:val="00C749C5"/>
    <w:rsid w:val="00C75855"/>
    <w:rsid w:val="00C761B1"/>
    <w:rsid w:val="00C77EE2"/>
    <w:rsid w:val="00C808CA"/>
    <w:rsid w:val="00C80B96"/>
    <w:rsid w:val="00C8481B"/>
    <w:rsid w:val="00C87E7D"/>
    <w:rsid w:val="00C915FB"/>
    <w:rsid w:val="00C939E7"/>
    <w:rsid w:val="00C93CC5"/>
    <w:rsid w:val="00C9440B"/>
    <w:rsid w:val="00C9787D"/>
    <w:rsid w:val="00CA5C34"/>
    <w:rsid w:val="00CA6033"/>
    <w:rsid w:val="00CA6256"/>
    <w:rsid w:val="00CA6E81"/>
    <w:rsid w:val="00CA79D2"/>
    <w:rsid w:val="00CA7CC5"/>
    <w:rsid w:val="00CB0B9D"/>
    <w:rsid w:val="00CB2278"/>
    <w:rsid w:val="00CB316C"/>
    <w:rsid w:val="00CB3434"/>
    <w:rsid w:val="00CB3607"/>
    <w:rsid w:val="00CB3657"/>
    <w:rsid w:val="00CB42CF"/>
    <w:rsid w:val="00CB5C91"/>
    <w:rsid w:val="00CB6EC1"/>
    <w:rsid w:val="00CC008C"/>
    <w:rsid w:val="00CC05C2"/>
    <w:rsid w:val="00CC2631"/>
    <w:rsid w:val="00CC39C1"/>
    <w:rsid w:val="00CD2120"/>
    <w:rsid w:val="00CD647A"/>
    <w:rsid w:val="00CD723A"/>
    <w:rsid w:val="00CD7A1B"/>
    <w:rsid w:val="00CE06B5"/>
    <w:rsid w:val="00CE1B42"/>
    <w:rsid w:val="00CE1E8A"/>
    <w:rsid w:val="00CE3AE5"/>
    <w:rsid w:val="00CE67D3"/>
    <w:rsid w:val="00CE6964"/>
    <w:rsid w:val="00CE6DB7"/>
    <w:rsid w:val="00CF199B"/>
    <w:rsid w:val="00CF25B8"/>
    <w:rsid w:val="00CF4569"/>
    <w:rsid w:val="00CF4E1E"/>
    <w:rsid w:val="00D02A0B"/>
    <w:rsid w:val="00D12072"/>
    <w:rsid w:val="00D16090"/>
    <w:rsid w:val="00D168B9"/>
    <w:rsid w:val="00D20B39"/>
    <w:rsid w:val="00D20E16"/>
    <w:rsid w:val="00D22021"/>
    <w:rsid w:val="00D22202"/>
    <w:rsid w:val="00D222EE"/>
    <w:rsid w:val="00D22BFA"/>
    <w:rsid w:val="00D22EE4"/>
    <w:rsid w:val="00D24F92"/>
    <w:rsid w:val="00D25E4F"/>
    <w:rsid w:val="00D26020"/>
    <w:rsid w:val="00D34E69"/>
    <w:rsid w:val="00D37A90"/>
    <w:rsid w:val="00D416CD"/>
    <w:rsid w:val="00D4302C"/>
    <w:rsid w:val="00D43699"/>
    <w:rsid w:val="00D44A93"/>
    <w:rsid w:val="00D47A49"/>
    <w:rsid w:val="00D50E31"/>
    <w:rsid w:val="00D511A2"/>
    <w:rsid w:val="00D5377B"/>
    <w:rsid w:val="00D5508D"/>
    <w:rsid w:val="00D55271"/>
    <w:rsid w:val="00D569EA"/>
    <w:rsid w:val="00D62307"/>
    <w:rsid w:val="00D652CB"/>
    <w:rsid w:val="00D65A51"/>
    <w:rsid w:val="00D669E0"/>
    <w:rsid w:val="00D73CD6"/>
    <w:rsid w:val="00D76E46"/>
    <w:rsid w:val="00D829CF"/>
    <w:rsid w:val="00D8385A"/>
    <w:rsid w:val="00D9065E"/>
    <w:rsid w:val="00D92EDC"/>
    <w:rsid w:val="00D960F2"/>
    <w:rsid w:val="00D9677B"/>
    <w:rsid w:val="00D972E8"/>
    <w:rsid w:val="00DA1958"/>
    <w:rsid w:val="00DA3F3B"/>
    <w:rsid w:val="00DA6FDF"/>
    <w:rsid w:val="00DA7582"/>
    <w:rsid w:val="00DB0249"/>
    <w:rsid w:val="00DB09F6"/>
    <w:rsid w:val="00DB0DEC"/>
    <w:rsid w:val="00DB257A"/>
    <w:rsid w:val="00DB28E0"/>
    <w:rsid w:val="00DB3BD3"/>
    <w:rsid w:val="00DB65EA"/>
    <w:rsid w:val="00DC1A52"/>
    <w:rsid w:val="00DC1D34"/>
    <w:rsid w:val="00DC2221"/>
    <w:rsid w:val="00DC3149"/>
    <w:rsid w:val="00DC4EC1"/>
    <w:rsid w:val="00DD076F"/>
    <w:rsid w:val="00DD0F7C"/>
    <w:rsid w:val="00DD378E"/>
    <w:rsid w:val="00DD4F81"/>
    <w:rsid w:val="00DD5AAC"/>
    <w:rsid w:val="00DD74DC"/>
    <w:rsid w:val="00DE1666"/>
    <w:rsid w:val="00DE46FC"/>
    <w:rsid w:val="00DE5A4C"/>
    <w:rsid w:val="00DF1E47"/>
    <w:rsid w:val="00DF4AA0"/>
    <w:rsid w:val="00DF6261"/>
    <w:rsid w:val="00E00F16"/>
    <w:rsid w:val="00E018EF"/>
    <w:rsid w:val="00E01912"/>
    <w:rsid w:val="00E02555"/>
    <w:rsid w:val="00E04DD1"/>
    <w:rsid w:val="00E04FA8"/>
    <w:rsid w:val="00E10062"/>
    <w:rsid w:val="00E11F9A"/>
    <w:rsid w:val="00E13DEA"/>
    <w:rsid w:val="00E16739"/>
    <w:rsid w:val="00E21444"/>
    <w:rsid w:val="00E23270"/>
    <w:rsid w:val="00E23642"/>
    <w:rsid w:val="00E252B0"/>
    <w:rsid w:val="00E26E18"/>
    <w:rsid w:val="00E2757D"/>
    <w:rsid w:val="00E32D5F"/>
    <w:rsid w:val="00E35F93"/>
    <w:rsid w:val="00E449B7"/>
    <w:rsid w:val="00E46699"/>
    <w:rsid w:val="00E466E7"/>
    <w:rsid w:val="00E46F9F"/>
    <w:rsid w:val="00E477ED"/>
    <w:rsid w:val="00E52F15"/>
    <w:rsid w:val="00E558AA"/>
    <w:rsid w:val="00E559DF"/>
    <w:rsid w:val="00E55AB2"/>
    <w:rsid w:val="00E613EF"/>
    <w:rsid w:val="00E63C4B"/>
    <w:rsid w:val="00E6673B"/>
    <w:rsid w:val="00E67E0C"/>
    <w:rsid w:val="00E76F93"/>
    <w:rsid w:val="00E80600"/>
    <w:rsid w:val="00E8174E"/>
    <w:rsid w:val="00E81FEB"/>
    <w:rsid w:val="00E83467"/>
    <w:rsid w:val="00E83A39"/>
    <w:rsid w:val="00E84B10"/>
    <w:rsid w:val="00E86436"/>
    <w:rsid w:val="00E869C9"/>
    <w:rsid w:val="00E86A18"/>
    <w:rsid w:val="00E86DDE"/>
    <w:rsid w:val="00E87BB0"/>
    <w:rsid w:val="00E90CCE"/>
    <w:rsid w:val="00E919B5"/>
    <w:rsid w:val="00E92764"/>
    <w:rsid w:val="00E92A0D"/>
    <w:rsid w:val="00E92F78"/>
    <w:rsid w:val="00EA3ED2"/>
    <w:rsid w:val="00EA5DC6"/>
    <w:rsid w:val="00EA7882"/>
    <w:rsid w:val="00EA78E0"/>
    <w:rsid w:val="00EB38E2"/>
    <w:rsid w:val="00EB5439"/>
    <w:rsid w:val="00EB55F2"/>
    <w:rsid w:val="00EC39E7"/>
    <w:rsid w:val="00EC3D2B"/>
    <w:rsid w:val="00EC44EC"/>
    <w:rsid w:val="00EC57A8"/>
    <w:rsid w:val="00EC6506"/>
    <w:rsid w:val="00EC7240"/>
    <w:rsid w:val="00EC753B"/>
    <w:rsid w:val="00EC7C1F"/>
    <w:rsid w:val="00ED0DC3"/>
    <w:rsid w:val="00ED0E41"/>
    <w:rsid w:val="00ED283A"/>
    <w:rsid w:val="00ED51A1"/>
    <w:rsid w:val="00ED7C96"/>
    <w:rsid w:val="00ED7EFB"/>
    <w:rsid w:val="00EE0279"/>
    <w:rsid w:val="00EE1147"/>
    <w:rsid w:val="00EE3EE4"/>
    <w:rsid w:val="00EE45BB"/>
    <w:rsid w:val="00EE7786"/>
    <w:rsid w:val="00EF1D6A"/>
    <w:rsid w:val="00EF2341"/>
    <w:rsid w:val="00EF27B7"/>
    <w:rsid w:val="00EF328F"/>
    <w:rsid w:val="00EF5463"/>
    <w:rsid w:val="00EF6DF8"/>
    <w:rsid w:val="00EF7E2A"/>
    <w:rsid w:val="00F00199"/>
    <w:rsid w:val="00F013BA"/>
    <w:rsid w:val="00F029D5"/>
    <w:rsid w:val="00F02DEE"/>
    <w:rsid w:val="00F03895"/>
    <w:rsid w:val="00F05D0C"/>
    <w:rsid w:val="00F13A97"/>
    <w:rsid w:val="00F14D50"/>
    <w:rsid w:val="00F157A0"/>
    <w:rsid w:val="00F17A8C"/>
    <w:rsid w:val="00F22A30"/>
    <w:rsid w:val="00F27628"/>
    <w:rsid w:val="00F3071C"/>
    <w:rsid w:val="00F34181"/>
    <w:rsid w:val="00F34683"/>
    <w:rsid w:val="00F34DF4"/>
    <w:rsid w:val="00F403FC"/>
    <w:rsid w:val="00F416C6"/>
    <w:rsid w:val="00F42464"/>
    <w:rsid w:val="00F42F3C"/>
    <w:rsid w:val="00F46222"/>
    <w:rsid w:val="00F47029"/>
    <w:rsid w:val="00F52090"/>
    <w:rsid w:val="00F53D35"/>
    <w:rsid w:val="00F614AF"/>
    <w:rsid w:val="00F6197C"/>
    <w:rsid w:val="00F62584"/>
    <w:rsid w:val="00F63F47"/>
    <w:rsid w:val="00F6450E"/>
    <w:rsid w:val="00F65228"/>
    <w:rsid w:val="00F70A40"/>
    <w:rsid w:val="00F710BC"/>
    <w:rsid w:val="00F77E77"/>
    <w:rsid w:val="00F82F7A"/>
    <w:rsid w:val="00F86895"/>
    <w:rsid w:val="00F91B65"/>
    <w:rsid w:val="00F92605"/>
    <w:rsid w:val="00F92704"/>
    <w:rsid w:val="00F953EA"/>
    <w:rsid w:val="00F968D5"/>
    <w:rsid w:val="00FA3C13"/>
    <w:rsid w:val="00FA3ED4"/>
    <w:rsid w:val="00FA52E0"/>
    <w:rsid w:val="00FA68A3"/>
    <w:rsid w:val="00FB0049"/>
    <w:rsid w:val="00FB03D6"/>
    <w:rsid w:val="00FB1885"/>
    <w:rsid w:val="00FB193A"/>
    <w:rsid w:val="00FB1EC7"/>
    <w:rsid w:val="00FB2CDB"/>
    <w:rsid w:val="00FB5CAA"/>
    <w:rsid w:val="00FB66A3"/>
    <w:rsid w:val="00FC1599"/>
    <w:rsid w:val="00FC2622"/>
    <w:rsid w:val="00FC5637"/>
    <w:rsid w:val="00FC6088"/>
    <w:rsid w:val="00FD2B6B"/>
    <w:rsid w:val="00FD354D"/>
    <w:rsid w:val="00FD5B16"/>
    <w:rsid w:val="00FD677B"/>
    <w:rsid w:val="00FD76B4"/>
    <w:rsid w:val="00FE29F8"/>
    <w:rsid w:val="00FF0711"/>
    <w:rsid w:val="00FF0853"/>
    <w:rsid w:val="00FF23A7"/>
    <w:rsid w:val="00FF3664"/>
    <w:rsid w:val="00FF446C"/>
    <w:rsid w:val="00FF6B34"/>
    <w:rsid w:val="00FF7517"/>
    <w:rsid w:val="00FF7D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C89CB"/>
  <w15:chartTrackingRefBased/>
  <w15:docId w15:val="{A3867265-22DB-4866-B207-11658362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rsid w:val="000028CD"/>
    <w:pPr>
      <w:spacing w:after="0" w:line="240" w:lineRule="auto"/>
      <w:jc w:val="both"/>
    </w:pPr>
    <w:rPr>
      <w:rFonts w:ascii="Calibri" w:eastAsia="Calibri" w:hAnsi="Calibri" w:cs="Times New Roman"/>
    </w:rPr>
  </w:style>
  <w:style w:type="paragraph" w:styleId="Antrat1">
    <w:name w:val="heading 1"/>
    <w:basedOn w:val="prastasis"/>
    <w:next w:val="prastasis"/>
    <w:link w:val="Antrat1Diagrama"/>
    <w:qFormat/>
    <w:rsid w:val="007923ED"/>
    <w:pPr>
      <w:keepNext/>
      <w:tabs>
        <w:tab w:val="right" w:leader="dot" w:pos="9639"/>
      </w:tabs>
      <w:jc w:val="center"/>
      <w:outlineLvl w:val="0"/>
    </w:pPr>
    <w:rPr>
      <w:rFonts w:asciiTheme="minorHAnsi" w:eastAsiaTheme="majorEastAsia" w:hAnsiTheme="minorHAnsi" w:cstheme="minorHAnsi"/>
      <w:b/>
      <w:color w:val="323E4F" w:themeColor="text2" w:themeShade="BF"/>
      <w:szCs w:val="32"/>
    </w:rPr>
  </w:style>
  <w:style w:type="paragraph" w:styleId="Antrat2">
    <w:name w:val="heading 2"/>
    <w:basedOn w:val="prastasis"/>
    <w:next w:val="prastasis"/>
    <w:link w:val="Antrat2Diagrama"/>
    <w:qFormat/>
    <w:rsid w:val="000028CD"/>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0028CD"/>
    <w:pPr>
      <w:keepNext/>
      <w:keepLines/>
      <w:tabs>
        <w:tab w:val="left" w:pos="567"/>
      </w:tabs>
      <w:ind w:firstLine="709"/>
      <w:outlineLvl w:val="2"/>
    </w:pPr>
    <w:rPr>
      <w:rFonts w:asciiTheme="minorHAnsi" w:eastAsiaTheme="majorEastAsia" w:hAnsiTheme="minorHAnsi" w:cstheme="majorBidi"/>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23ED"/>
    <w:rPr>
      <w:rFonts w:eastAsiaTheme="majorEastAsia" w:cstheme="minorHAnsi"/>
      <w:b/>
      <w:color w:val="323E4F" w:themeColor="text2" w:themeShade="BF"/>
      <w:szCs w:val="32"/>
    </w:rPr>
  </w:style>
  <w:style w:type="character" w:customStyle="1" w:styleId="Antrat2Diagrama">
    <w:name w:val="Antraštė 2 Diagrama"/>
    <w:basedOn w:val="Numatytasispastraiposriftas"/>
    <w:link w:val="Antrat2"/>
    <w:rsid w:val="000028CD"/>
    <w:rPr>
      <w:rFonts w:eastAsia="Times New Roman" w:cs="Times New Roman"/>
      <w:b/>
      <w:bCs/>
      <w:iCs/>
      <w:szCs w:val="24"/>
      <w:lang w:eastAsia="lt-LT"/>
    </w:rPr>
  </w:style>
  <w:style w:type="character" w:customStyle="1" w:styleId="Antrat3Diagrama">
    <w:name w:val="Antraštė 3 Diagrama"/>
    <w:basedOn w:val="Numatytasispastraiposriftas"/>
    <w:link w:val="Antrat3"/>
    <w:uiPriority w:val="9"/>
    <w:rsid w:val="000028CD"/>
    <w:rPr>
      <w:rFonts w:eastAsiaTheme="majorEastAsia" w:cstheme="majorBidi"/>
      <w:b/>
      <w:bCs/>
    </w:rPr>
  </w:style>
  <w:style w:type="character" w:styleId="Hipersaitas">
    <w:name w:val="Hyperlink"/>
    <w:uiPriority w:val="99"/>
    <w:unhideWhenUsed/>
    <w:rsid w:val="000028CD"/>
    <w:rPr>
      <w:color w:val="0000FF"/>
      <w:u w:val="single"/>
    </w:rPr>
  </w:style>
  <w:style w:type="paragraph" w:customStyle="1" w:styleId="c41dispositifintroduction">
    <w:name w:val="c41dispositifintroduction"/>
    <w:basedOn w:val="prastasis"/>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Antrats">
    <w:name w:val="header"/>
    <w:basedOn w:val="prastasis"/>
    <w:link w:val="AntratsDiagrama"/>
    <w:uiPriority w:val="99"/>
    <w:unhideWhenUsed/>
    <w:rsid w:val="000028CD"/>
    <w:pPr>
      <w:tabs>
        <w:tab w:val="center" w:pos="4819"/>
        <w:tab w:val="right" w:pos="9638"/>
      </w:tabs>
    </w:pPr>
  </w:style>
  <w:style w:type="character" w:customStyle="1" w:styleId="AntratsDiagrama">
    <w:name w:val="Antraštės Diagrama"/>
    <w:basedOn w:val="Numatytasispastraiposriftas"/>
    <w:link w:val="Antrats"/>
    <w:uiPriority w:val="99"/>
    <w:rsid w:val="000028CD"/>
    <w:rPr>
      <w:rFonts w:ascii="Calibri" w:eastAsia="Calibri" w:hAnsi="Calibri" w:cs="Times New Roman"/>
    </w:rPr>
  </w:style>
  <w:style w:type="paragraph" w:styleId="Porat">
    <w:name w:val="footer"/>
    <w:basedOn w:val="prastasis"/>
    <w:link w:val="PoratDiagrama"/>
    <w:uiPriority w:val="99"/>
    <w:unhideWhenUsed/>
    <w:rsid w:val="000028CD"/>
    <w:pPr>
      <w:tabs>
        <w:tab w:val="center" w:pos="4819"/>
        <w:tab w:val="right" w:pos="9638"/>
      </w:tabs>
    </w:pPr>
  </w:style>
  <w:style w:type="character" w:customStyle="1" w:styleId="PoratDiagrama">
    <w:name w:val="Poraštė Diagrama"/>
    <w:basedOn w:val="Numatytasispastraiposriftas"/>
    <w:link w:val="Porat"/>
    <w:uiPriority w:val="99"/>
    <w:rsid w:val="000028CD"/>
    <w:rPr>
      <w:rFonts w:ascii="Calibri" w:eastAsia="Calibri" w:hAnsi="Calibri" w:cs="Times New Roman"/>
    </w:rPr>
  </w:style>
  <w:style w:type="paragraph" w:styleId="Turinioantrat">
    <w:name w:val="TOC Heading"/>
    <w:basedOn w:val="Antrat1"/>
    <w:next w:val="prastasis"/>
    <w:uiPriority w:val="39"/>
    <w:unhideWhenUsed/>
    <w:qFormat/>
    <w:rsid w:val="000028CD"/>
    <w:pPr>
      <w:spacing w:line="259" w:lineRule="auto"/>
      <w:jc w:val="left"/>
      <w:outlineLvl w:val="9"/>
    </w:pPr>
    <w:rPr>
      <w:lang w:eastAsia="lt-LT"/>
    </w:rPr>
  </w:style>
  <w:style w:type="paragraph" w:styleId="Turinys1">
    <w:name w:val="toc 1"/>
    <w:basedOn w:val="prastasis"/>
    <w:next w:val="prastasis"/>
    <w:autoRedefine/>
    <w:uiPriority w:val="39"/>
    <w:unhideWhenUsed/>
    <w:rsid w:val="00C47F2E"/>
    <w:pPr>
      <w:spacing w:before="120"/>
      <w:jc w:val="left"/>
    </w:pPr>
    <w:rPr>
      <w:rFonts w:asciiTheme="minorHAnsi" w:hAnsiTheme="minorHAnsi" w:cstheme="minorHAnsi"/>
      <w:b/>
      <w:bCs/>
      <w:iCs/>
      <w:color w:val="1F3864" w:themeColor="accent5" w:themeShade="80"/>
      <w:szCs w:val="24"/>
    </w:rPr>
  </w:style>
  <w:style w:type="paragraph" w:styleId="Turinys2">
    <w:name w:val="toc 2"/>
    <w:basedOn w:val="prastasis"/>
    <w:next w:val="prastasis"/>
    <w:autoRedefine/>
    <w:uiPriority w:val="39"/>
    <w:unhideWhenUsed/>
    <w:rsid w:val="00C47F2E"/>
    <w:pPr>
      <w:spacing w:before="120"/>
      <w:ind w:left="220"/>
      <w:jc w:val="left"/>
    </w:pPr>
    <w:rPr>
      <w:rFonts w:asciiTheme="minorHAnsi" w:hAnsiTheme="minorHAnsi" w:cstheme="minorHAnsi"/>
      <w:b/>
      <w:bCs/>
      <w:color w:val="1F3864" w:themeColor="accent5" w:themeShade="80"/>
    </w:rPr>
  </w:style>
  <w:style w:type="paragraph" w:styleId="Turinys3">
    <w:name w:val="toc 3"/>
    <w:basedOn w:val="prastasis"/>
    <w:next w:val="prastasis"/>
    <w:autoRedefine/>
    <w:uiPriority w:val="39"/>
    <w:unhideWhenUsed/>
    <w:rsid w:val="00C47F2E"/>
    <w:pPr>
      <w:ind w:left="440"/>
      <w:jc w:val="left"/>
    </w:pPr>
    <w:rPr>
      <w:rFonts w:asciiTheme="minorHAnsi" w:hAnsiTheme="minorHAnsi" w:cstheme="minorHAnsi"/>
      <w:szCs w:val="20"/>
    </w:rPr>
  </w:style>
  <w:style w:type="character" w:styleId="Perirtashipersaitas">
    <w:name w:val="FollowedHyperlink"/>
    <w:basedOn w:val="Numatytasispastraiposriftas"/>
    <w:uiPriority w:val="99"/>
    <w:semiHidden/>
    <w:unhideWhenUsed/>
    <w:rsid w:val="000028CD"/>
    <w:rPr>
      <w:color w:val="954F72" w:themeColor="followedHyperlink"/>
      <w:u w:val="single"/>
    </w:rPr>
  </w:style>
  <w:style w:type="character" w:styleId="Komentaronuoroda">
    <w:name w:val="annotation reference"/>
    <w:basedOn w:val="Numatytasispastraiposriftas"/>
    <w:uiPriority w:val="99"/>
    <w:semiHidden/>
    <w:unhideWhenUsed/>
    <w:rsid w:val="00A93883"/>
    <w:rPr>
      <w:sz w:val="16"/>
      <w:szCs w:val="16"/>
    </w:rPr>
  </w:style>
  <w:style w:type="paragraph" w:styleId="Komentarotekstas">
    <w:name w:val="annotation text"/>
    <w:basedOn w:val="prastasis"/>
    <w:link w:val="KomentarotekstasDiagrama"/>
    <w:uiPriority w:val="99"/>
    <w:semiHidden/>
    <w:unhideWhenUsed/>
    <w:rsid w:val="00A93883"/>
    <w:rPr>
      <w:sz w:val="20"/>
      <w:szCs w:val="20"/>
    </w:rPr>
  </w:style>
  <w:style w:type="character" w:customStyle="1" w:styleId="KomentarotekstasDiagrama">
    <w:name w:val="Komentaro tekstas Diagrama"/>
    <w:basedOn w:val="Numatytasispastraiposriftas"/>
    <w:link w:val="Komentarotekstas"/>
    <w:uiPriority w:val="99"/>
    <w:semiHidden/>
    <w:rsid w:val="00A93883"/>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A93883"/>
    <w:rPr>
      <w:b/>
      <w:bCs/>
    </w:rPr>
  </w:style>
  <w:style w:type="character" w:customStyle="1" w:styleId="KomentarotemaDiagrama">
    <w:name w:val="Komentaro tema Diagrama"/>
    <w:basedOn w:val="KomentarotekstasDiagrama"/>
    <w:link w:val="Komentarotema"/>
    <w:uiPriority w:val="99"/>
    <w:semiHidden/>
    <w:rsid w:val="00A93883"/>
    <w:rPr>
      <w:rFonts w:ascii="Calibri" w:eastAsia="Calibri" w:hAnsi="Calibri" w:cs="Times New Roman"/>
      <w:b/>
      <w:bCs/>
      <w:sz w:val="20"/>
      <w:szCs w:val="20"/>
    </w:rPr>
  </w:style>
  <w:style w:type="paragraph" w:styleId="Debesliotekstas">
    <w:name w:val="Balloon Text"/>
    <w:basedOn w:val="prastasis"/>
    <w:link w:val="DebesliotekstasDiagrama"/>
    <w:uiPriority w:val="99"/>
    <w:semiHidden/>
    <w:unhideWhenUsed/>
    <w:rsid w:val="00A9388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3883"/>
    <w:rPr>
      <w:rFonts w:ascii="Segoe UI" w:eastAsia="Calibri" w:hAnsi="Segoe UI" w:cs="Segoe UI"/>
      <w:sz w:val="18"/>
      <w:szCs w:val="18"/>
    </w:rPr>
  </w:style>
  <w:style w:type="paragraph" w:customStyle="1" w:styleId="c01pointnumerotealtn">
    <w:name w:val="c01pointnumerotealtn"/>
    <w:basedOn w:val="prastasis"/>
    <w:qFormat/>
    <w:rsid w:val="00C32316"/>
    <w:pPr>
      <w:spacing w:before="100" w:beforeAutospacing="1" w:after="240"/>
      <w:ind w:left="567" w:hanging="539"/>
    </w:pPr>
    <w:rPr>
      <w:rFonts w:ascii="Times New Roman" w:eastAsia="Times New Roman" w:hAnsi="Times New Roman"/>
      <w:sz w:val="24"/>
      <w:szCs w:val="24"/>
      <w:lang w:eastAsia="lt-LT"/>
    </w:rPr>
  </w:style>
  <w:style w:type="paragraph" w:styleId="Puslapioinaostekstas">
    <w:name w:val="footnote text"/>
    <w:basedOn w:val="prastasis"/>
    <w:link w:val="PuslapioinaostekstasDiagrama"/>
    <w:unhideWhenUsed/>
    <w:rsid w:val="009C3BF3"/>
    <w:rPr>
      <w:sz w:val="20"/>
      <w:szCs w:val="20"/>
    </w:rPr>
  </w:style>
  <w:style w:type="character" w:customStyle="1" w:styleId="PuslapioinaostekstasDiagrama">
    <w:name w:val="Puslapio išnašos tekstas Diagrama"/>
    <w:basedOn w:val="Numatytasispastraiposriftas"/>
    <w:link w:val="Puslapioinaostekstas"/>
    <w:uiPriority w:val="99"/>
    <w:rsid w:val="009C3BF3"/>
    <w:rPr>
      <w:rFonts w:ascii="Calibri" w:eastAsia="Calibri" w:hAnsi="Calibri" w:cs="Times New Roman"/>
      <w:sz w:val="20"/>
      <w:szCs w:val="20"/>
    </w:rPr>
  </w:style>
  <w:style w:type="character" w:styleId="Puslapioinaosnuoroda">
    <w:name w:val="footnote reference"/>
    <w:basedOn w:val="Numatytasispastraiposriftas"/>
    <w:unhideWhenUsed/>
    <w:rsid w:val="009C3BF3"/>
    <w:rPr>
      <w:vertAlign w:val="superscript"/>
    </w:rPr>
  </w:style>
  <w:style w:type="paragraph" w:styleId="Sraopastraipa">
    <w:name w:val="List Paragraph"/>
    <w:basedOn w:val="prastasis"/>
    <w:uiPriority w:val="34"/>
    <w:qFormat/>
    <w:rsid w:val="0033208A"/>
    <w:pPr>
      <w:ind w:left="720"/>
      <w:contextualSpacing/>
    </w:pPr>
  </w:style>
  <w:style w:type="character" w:customStyle="1" w:styleId="UnresolvedMention1">
    <w:name w:val="Unresolved Mention1"/>
    <w:basedOn w:val="Numatytasispastraiposriftas"/>
    <w:uiPriority w:val="99"/>
    <w:semiHidden/>
    <w:unhideWhenUsed/>
    <w:rsid w:val="00150238"/>
    <w:rPr>
      <w:color w:val="605E5C"/>
      <w:shd w:val="clear" w:color="auto" w:fill="E1DFDD"/>
    </w:rPr>
  </w:style>
  <w:style w:type="character" w:customStyle="1" w:styleId="UnresolvedMention2">
    <w:name w:val="Unresolved Mention2"/>
    <w:basedOn w:val="Numatytasispastraiposriftas"/>
    <w:uiPriority w:val="99"/>
    <w:semiHidden/>
    <w:unhideWhenUsed/>
    <w:rsid w:val="009666C6"/>
    <w:rPr>
      <w:color w:val="605E5C"/>
      <w:shd w:val="clear" w:color="auto" w:fill="E1DFDD"/>
    </w:rPr>
  </w:style>
  <w:style w:type="character" w:customStyle="1" w:styleId="UnresolvedMention3">
    <w:name w:val="Unresolved Mention3"/>
    <w:basedOn w:val="Numatytasispastraiposriftas"/>
    <w:uiPriority w:val="99"/>
    <w:semiHidden/>
    <w:unhideWhenUsed/>
    <w:rsid w:val="00E67E0C"/>
    <w:rPr>
      <w:color w:val="605E5C"/>
      <w:shd w:val="clear" w:color="auto" w:fill="E1DFDD"/>
    </w:rPr>
  </w:style>
  <w:style w:type="character" w:customStyle="1" w:styleId="Neapdorotaspaminjimas1">
    <w:name w:val="Neapdorotas paminėjimas1"/>
    <w:basedOn w:val="Numatytasispastraiposriftas"/>
    <w:uiPriority w:val="99"/>
    <w:semiHidden/>
    <w:unhideWhenUsed/>
    <w:rsid w:val="0004150B"/>
    <w:rPr>
      <w:color w:val="605E5C"/>
      <w:shd w:val="clear" w:color="auto" w:fill="E1DFDD"/>
    </w:rPr>
  </w:style>
  <w:style w:type="paragraph" w:styleId="Turinys4">
    <w:name w:val="toc 4"/>
    <w:basedOn w:val="prastasis"/>
    <w:next w:val="prastasis"/>
    <w:autoRedefine/>
    <w:uiPriority w:val="39"/>
    <w:unhideWhenUsed/>
    <w:rsid w:val="00AD7572"/>
    <w:pPr>
      <w:ind w:left="660"/>
      <w:jc w:val="left"/>
    </w:pPr>
    <w:rPr>
      <w:rFonts w:asciiTheme="minorHAnsi" w:hAnsiTheme="minorHAnsi" w:cstheme="minorHAnsi"/>
      <w:sz w:val="20"/>
      <w:szCs w:val="20"/>
    </w:rPr>
  </w:style>
  <w:style w:type="paragraph" w:styleId="Turinys5">
    <w:name w:val="toc 5"/>
    <w:basedOn w:val="prastasis"/>
    <w:next w:val="prastasis"/>
    <w:autoRedefine/>
    <w:uiPriority w:val="39"/>
    <w:unhideWhenUsed/>
    <w:rsid w:val="00AD7572"/>
    <w:pPr>
      <w:ind w:left="880"/>
      <w:jc w:val="left"/>
    </w:pPr>
    <w:rPr>
      <w:rFonts w:asciiTheme="minorHAnsi" w:hAnsiTheme="minorHAnsi" w:cstheme="minorHAnsi"/>
      <w:sz w:val="20"/>
      <w:szCs w:val="20"/>
    </w:rPr>
  </w:style>
  <w:style w:type="paragraph" w:styleId="Turinys6">
    <w:name w:val="toc 6"/>
    <w:basedOn w:val="prastasis"/>
    <w:next w:val="prastasis"/>
    <w:autoRedefine/>
    <w:uiPriority w:val="39"/>
    <w:unhideWhenUsed/>
    <w:rsid w:val="00AD7572"/>
    <w:pPr>
      <w:ind w:left="1100"/>
      <w:jc w:val="left"/>
    </w:pPr>
    <w:rPr>
      <w:rFonts w:asciiTheme="minorHAnsi" w:hAnsiTheme="minorHAnsi" w:cstheme="minorHAnsi"/>
      <w:sz w:val="20"/>
      <w:szCs w:val="20"/>
    </w:rPr>
  </w:style>
  <w:style w:type="paragraph" w:styleId="Turinys7">
    <w:name w:val="toc 7"/>
    <w:basedOn w:val="prastasis"/>
    <w:next w:val="prastasis"/>
    <w:autoRedefine/>
    <w:uiPriority w:val="39"/>
    <w:unhideWhenUsed/>
    <w:rsid w:val="00AD7572"/>
    <w:pPr>
      <w:ind w:left="1320"/>
      <w:jc w:val="left"/>
    </w:pPr>
    <w:rPr>
      <w:rFonts w:asciiTheme="minorHAnsi" w:hAnsiTheme="minorHAnsi" w:cstheme="minorHAnsi"/>
      <w:sz w:val="20"/>
      <w:szCs w:val="20"/>
    </w:rPr>
  </w:style>
  <w:style w:type="paragraph" w:styleId="Turinys8">
    <w:name w:val="toc 8"/>
    <w:basedOn w:val="prastasis"/>
    <w:next w:val="prastasis"/>
    <w:autoRedefine/>
    <w:uiPriority w:val="39"/>
    <w:unhideWhenUsed/>
    <w:rsid w:val="00AD7572"/>
    <w:pPr>
      <w:ind w:left="1540"/>
      <w:jc w:val="left"/>
    </w:pPr>
    <w:rPr>
      <w:rFonts w:asciiTheme="minorHAnsi" w:hAnsiTheme="minorHAnsi" w:cstheme="minorHAnsi"/>
      <w:sz w:val="20"/>
      <w:szCs w:val="20"/>
    </w:rPr>
  </w:style>
  <w:style w:type="paragraph" w:styleId="Turinys9">
    <w:name w:val="toc 9"/>
    <w:basedOn w:val="prastasis"/>
    <w:next w:val="prastasis"/>
    <w:autoRedefine/>
    <w:uiPriority w:val="39"/>
    <w:unhideWhenUsed/>
    <w:rsid w:val="00AD7572"/>
    <w:pPr>
      <w:ind w:left="1760"/>
      <w:jc w:val="left"/>
    </w:pPr>
    <w:rPr>
      <w:rFonts w:asciiTheme="minorHAnsi" w:hAnsiTheme="minorHAnsi" w:cstheme="minorHAnsi"/>
      <w:sz w:val="20"/>
      <w:szCs w:val="20"/>
    </w:rPr>
  </w:style>
  <w:style w:type="paragraph" w:customStyle="1" w:styleId="c02alineaalta">
    <w:name w:val="c02alineaalta"/>
    <w:basedOn w:val="prastasis"/>
    <w:rsid w:val="00672231"/>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prastasis"/>
    <w:rsid w:val="00194FF1"/>
    <w:pPr>
      <w:spacing w:before="100" w:beforeAutospacing="1" w:after="100" w:afterAutospacing="1"/>
      <w:jc w:val="left"/>
    </w:pPr>
    <w:rPr>
      <w:rFonts w:ascii="Times New Roman" w:eastAsia="Times New Roman" w:hAnsi="Times New Roman"/>
      <w:sz w:val="24"/>
      <w:szCs w:val="24"/>
      <w:lang w:eastAsia="lt-LT"/>
    </w:rPr>
  </w:style>
  <w:style w:type="character" w:styleId="Neapdorotaspaminjimas">
    <w:name w:val="Unresolved Mention"/>
    <w:basedOn w:val="Numatytasispastraiposriftas"/>
    <w:uiPriority w:val="99"/>
    <w:rsid w:val="00165639"/>
    <w:rPr>
      <w:color w:val="605E5C"/>
      <w:shd w:val="clear" w:color="auto" w:fill="E1DFDD"/>
    </w:rPr>
  </w:style>
  <w:style w:type="paragraph" w:customStyle="1" w:styleId="c19centre">
    <w:name w:val="c19centre"/>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FB1EC7"/>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7606">
      <w:bodyDiv w:val="1"/>
      <w:marLeft w:val="0"/>
      <w:marRight w:val="0"/>
      <w:marTop w:val="0"/>
      <w:marBottom w:val="0"/>
      <w:divBdr>
        <w:top w:val="none" w:sz="0" w:space="0" w:color="auto"/>
        <w:left w:val="none" w:sz="0" w:space="0" w:color="auto"/>
        <w:bottom w:val="none" w:sz="0" w:space="0" w:color="auto"/>
        <w:right w:val="none" w:sz="0" w:space="0" w:color="auto"/>
      </w:divBdr>
      <w:divsChild>
        <w:div w:id="461579997">
          <w:marLeft w:val="0"/>
          <w:marRight w:val="0"/>
          <w:marTop w:val="0"/>
          <w:marBottom w:val="0"/>
          <w:divBdr>
            <w:top w:val="none" w:sz="0" w:space="0" w:color="auto"/>
            <w:left w:val="none" w:sz="0" w:space="0" w:color="auto"/>
            <w:bottom w:val="none" w:sz="0" w:space="0" w:color="auto"/>
            <w:right w:val="none" w:sz="0" w:space="0" w:color="auto"/>
          </w:divBdr>
          <w:divsChild>
            <w:div w:id="58210719">
              <w:marLeft w:val="0"/>
              <w:marRight w:val="0"/>
              <w:marTop w:val="0"/>
              <w:marBottom w:val="0"/>
              <w:divBdr>
                <w:top w:val="none" w:sz="0" w:space="0" w:color="auto"/>
                <w:left w:val="none" w:sz="0" w:space="0" w:color="auto"/>
                <w:bottom w:val="none" w:sz="0" w:space="0" w:color="auto"/>
                <w:right w:val="none" w:sz="0" w:space="0" w:color="auto"/>
              </w:divBdr>
              <w:divsChild>
                <w:div w:id="1233849058">
                  <w:marLeft w:val="0"/>
                  <w:marRight w:val="0"/>
                  <w:marTop w:val="0"/>
                  <w:marBottom w:val="0"/>
                  <w:divBdr>
                    <w:top w:val="none" w:sz="0" w:space="0" w:color="auto"/>
                    <w:left w:val="none" w:sz="0" w:space="0" w:color="auto"/>
                    <w:bottom w:val="none" w:sz="0" w:space="0" w:color="auto"/>
                    <w:right w:val="none" w:sz="0" w:space="0" w:color="auto"/>
                  </w:divBdr>
                  <w:divsChild>
                    <w:div w:id="7405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4627">
      <w:bodyDiv w:val="1"/>
      <w:marLeft w:val="0"/>
      <w:marRight w:val="0"/>
      <w:marTop w:val="0"/>
      <w:marBottom w:val="0"/>
      <w:divBdr>
        <w:top w:val="none" w:sz="0" w:space="0" w:color="auto"/>
        <w:left w:val="none" w:sz="0" w:space="0" w:color="auto"/>
        <w:bottom w:val="none" w:sz="0" w:space="0" w:color="auto"/>
        <w:right w:val="none" w:sz="0" w:space="0" w:color="auto"/>
      </w:divBdr>
      <w:divsChild>
        <w:div w:id="525144919">
          <w:marLeft w:val="0"/>
          <w:marRight w:val="0"/>
          <w:marTop w:val="0"/>
          <w:marBottom w:val="0"/>
          <w:divBdr>
            <w:top w:val="none" w:sz="0" w:space="0" w:color="auto"/>
            <w:left w:val="none" w:sz="0" w:space="0" w:color="auto"/>
            <w:bottom w:val="none" w:sz="0" w:space="0" w:color="auto"/>
            <w:right w:val="none" w:sz="0" w:space="0" w:color="auto"/>
          </w:divBdr>
          <w:divsChild>
            <w:div w:id="1139155888">
              <w:marLeft w:val="0"/>
              <w:marRight w:val="0"/>
              <w:marTop w:val="0"/>
              <w:marBottom w:val="0"/>
              <w:divBdr>
                <w:top w:val="none" w:sz="0" w:space="0" w:color="auto"/>
                <w:left w:val="none" w:sz="0" w:space="0" w:color="auto"/>
                <w:bottom w:val="none" w:sz="0" w:space="0" w:color="auto"/>
                <w:right w:val="none" w:sz="0" w:space="0" w:color="auto"/>
              </w:divBdr>
              <w:divsChild>
                <w:div w:id="325405987">
                  <w:marLeft w:val="0"/>
                  <w:marRight w:val="0"/>
                  <w:marTop w:val="0"/>
                  <w:marBottom w:val="0"/>
                  <w:divBdr>
                    <w:top w:val="none" w:sz="0" w:space="0" w:color="auto"/>
                    <w:left w:val="none" w:sz="0" w:space="0" w:color="auto"/>
                    <w:bottom w:val="none" w:sz="0" w:space="0" w:color="auto"/>
                    <w:right w:val="none" w:sz="0" w:space="0" w:color="auto"/>
                  </w:divBdr>
                  <w:divsChild>
                    <w:div w:id="786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22427">
      <w:bodyDiv w:val="1"/>
      <w:marLeft w:val="0"/>
      <w:marRight w:val="0"/>
      <w:marTop w:val="0"/>
      <w:marBottom w:val="0"/>
      <w:divBdr>
        <w:top w:val="none" w:sz="0" w:space="0" w:color="auto"/>
        <w:left w:val="none" w:sz="0" w:space="0" w:color="auto"/>
        <w:bottom w:val="none" w:sz="0" w:space="0" w:color="auto"/>
        <w:right w:val="none" w:sz="0" w:space="0" w:color="auto"/>
      </w:divBdr>
    </w:div>
    <w:div w:id="236208917">
      <w:bodyDiv w:val="1"/>
      <w:marLeft w:val="0"/>
      <w:marRight w:val="0"/>
      <w:marTop w:val="0"/>
      <w:marBottom w:val="0"/>
      <w:divBdr>
        <w:top w:val="none" w:sz="0" w:space="0" w:color="auto"/>
        <w:left w:val="none" w:sz="0" w:space="0" w:color="auto"/>
        <w:bottom w:val="none" w:sz="0" w:space="0" w:color="auto"/>
        <w:right w:val="none" w:sz="0" w:space="0" w:color="auto"/>
      </w:divBdr>
    </w:div>
    <w:div w:id="287931823">
      <w:bodyDiv w:val="1"/>
      <w:marLeft w:val="0"/>
      <w:marRight w:val="0"/>
      <w:marTop w:val="0"/>
      <w:marBottom w:val="0"/>
      <w:divBdr>
        <w:top w:val="none" w:sz="0" w:space="0" w:color="auto"/>
        <w:left w:val="none" w:sz="0" w:space="0" w:color="auto"/>
        <w:bottom w:val="none" w:sz="0" w:space="0" w:color="auto"/>
        <w:right w:val="none" w:sz="0" w:space="0" w:color="auto"/>
      </w:divBdr>
    </w:div>
    <w:div w:id="294801068">
      <w:bodyDiv w:val="1"/>
      <w:marLeft w:val="0"/>
      <w:marRight w:val="0"/>
      <w:marTop w:val="0"/>
      <w:marBottom w:val="0"/>
      <w:divBdr>
        <w:top w:val="none" w:sz="0" w:space="0" w:color="auto"/>
        <w:left w:val="none" w:sz="0" w:space="0" w:color="auto"/>
        <w:bottom w:val="none" w:sz="0" w:space="0" w:color="auto"/>
        <w:right w:val="none" w:sz="0" w:space="0" w:color="auto"/>
      </w:divBdr>
    </w:div>
    <w:div w:id="487134859">
      <w:bodyDiv w:val="1"/>
      <w:marLeft w:val="0"/>
      <w:marRight w:val="0"/>
      <w:marTop w:val="0"/>
      <w:marBottom w:val="0"/>
      <w:divBdr>
        <w:top w:val="none" w:sz="0" w:space="0" w:color="auto"/>
        <w:left w:val="none" w:sz="0" w:space="0" w:color="auto"/>
        <w:bottom w:val="none" w:sz="0" w:space="0" w:color="auto"/>
        <w:right w:val="none" w:sz="0" w:space="0" w:color="auto"/>
      </w:divBdr>
    </w:div>
    <w:div w:id="520240898">
      <w:bodyDiv w:val="1"/>
      <w:marLeft w:val="0"/>
      <w:marRight w:val="0"/>
      <w:marTop w:val="0"/>
      <w:marBottom w:val="0"/>
      <w:divBdr>
        <w:top w:val="none" w:sz="0" w:space="0" w:color="auto"/>
        <w:left w:val="none" w:sz="0" w:space="0" w:color="auto"/>
        <w:bottom w:val="none" w:sz="0" w:space="0" w:color="auto"/>
        <w:right w:val="none" w:sz="0" w:space="0" w:color="auto"/>
      </w:divBdr>
    </w:div>
    <w:div w:id="523206630">
      <w:bodyDiv w:val="1"/>
      <w:marLeft w:val="0"/>
      <w:marRight w:val="0"/>
      <w:marTop w:val="0"/>
      <w:marBottom w:val="0"/>
      <w:divBdr>
        <w:top w:val="none" w:sz="0" w:space="0" w:color="auto"/>
        <w:left w:val="none" w:sz="0" w:space="0" w:color="auto"/>
        <w:bottom w:val="none" w:sz="0" w:space="0" w:color="auto"/>
        <w:right w:val="none" w:sz="0" w:space="0" w:color="auto"/>
      </w:divBdr>
    </w:div>
    <w:div w:id="564684489">
      <w:bodyDiv w:val="1"/>
      <w:marLeft w:val="0"/>
      <w:marRight w:val="0"/>
      <w:marTop w:val="0"/>
      <w:marBottom w:val="0"/>
      <w:divBdr>
        <w:top w:val="none" w:sz="0" w:space="0" w:color="auto"/>
        <w:left w:val="none" w:sz="0" w:space="0" w:color="auto"/>
        <w:bottom w:val="none" w:sz="0" w:space="0" w:color="auto"/>
        <w:right w:val="none" w:sz="0" w:space="0" w:color="auto"/>
      </w:divBdr>
    </w:div>
    <w:div w:id="647321137">
      <w:bodyDiv w:val="1"/>
      <w:marLeft w:val="0"/>
      <w:marRight w:val="0"/>
      <w:marTop w:val="0"/>
      <w:marBottom w:val="0"/>
      <w:divBdr>
        <w:top w:val="none" w:sz="0" w:space="0" w:color="auto"/>
        <w:left w:val="none" w:sz="0" w:space="0" w:color="auto"/>
        <w:bottom w:val="none" w:sz="0" w:space="0" w:color="auto"/>
        <w:right w:val="none" w:sz="0" w:space="0" w:color="auto"/>
      </w:divBdr>
    </w:div>
    <w:div w:id="659894173">
      <w:bodyDiv w:val="1"/>
      <w:marLeft w:val="0"/>
      <w:marRight w:val="0"/>
      <w:marTop w:val="0"/>
      <w:marBottom w:val="0"/>
      <w:divBdr>
        <w:top w:val="none" w:sz="0" w:space="0" w:color="auto"/>
        <w:left w:val="none" w:sz="0" w:space="0" w:color="auto"/>
        <w:bottom w:val="none" w:sz="0" w:space="0" w:color="auto"/>
        <w:right w:val="none" w:sz="0" w:space="0" w:color="auto"/>
      </w:divBdr>
    </w:div>
    <w:div w:id="765728824">
      <w:bodyDiv w:val="1"/>
      <w:marLeft w:val="0"/>
      <w:marRight w:val="0"/>
      <w:marTop w:val="0"/>
      <w:marBottom w:val="0"/>
      <w:divBdr>
        <w:top w:val="none" w:sz="0" w:space="0" w:color="auto"/>
        <w:left w:val="none" w:sz="0" w:space="0" w:color="auto"/>
        <w:bottom w:val="none" w:sz="0" w:space="0" w:color="auto"/>
        <w:right w:val="none" w:sz="0" w:space="0" w:color="auto"/>
      </w:divBdr>
    </w:div>
    <w:div w:id="792014338">
      <w:bodyDiv w:val="1"/>
      <w:marLeft w:val="0"/>
      <w:marRight w:val="0"/>
      <w:marTop w:val="0"/>
      <w:marBottom w:val="0"/>
      <w:divBdr>
        <w:top w:val="none" w:sz="0" w:space="0" w:color="auto"/>
        <w:left w:val="none" w:sz="0" w:space="0" w:color="auto"/>
        <w:bottom w:val="none" w:sz="0" w:space="0" w:color="auto"/>
        <w:right w:val="none" w:sz="0" w:space="0" w:color="auto"/>
      </w:divBdr>
    </w:div>
    <w:div w:id="801920379">
      <w:bodyDiv w:val="1"/>
      <w:marLeft w:val="0"/>
      <w:marRight w:val="0"/>
      <w:marTop w:val="0"/>
      <w:marBottom w:val="0"/>
      <w:divBdr>
        <w:top w:val="none" w:sz="0" w:space="0" w:color="auto"/>
        <w:left w:val="none" w:sz="0" w:space="0" w:color="auto"/>
        <w:bottom w:val="none" w:sz="0" w:space="0" w:color="auto"/>
        <w:right w:val="none" w:sz="0" w:space="0" w:color="auto"/>
      </w:divBdr>
    </w:div>
    <w:div w:id="814101611">
      <w:bodyDiv w:val="1"/>
      <w:marLeft w:val="0"/>
      <w:marRight w:val="0"/>
      <w:marTop w:val="0"/>
      <w:marBottom w:val="0"/>
      <w:divBdr>
        <w:top w:val="none" w:sz="0" w:space="0" w:color="auto"/>
        <w:left w:val="none" w:sz="0" w:space="0" w:color="auto"/>
        <w:bottom w:val="none" w:sz="0" w:space="0" w:color="auto"/>
        <w:right w:val="none" w:sz="0" w:space="0" w:color="auto"/>
      </w:divBdr>
    </w:div>
    <w:div w:id="941911367">
      <w:bodyDiv w:val="1"/>
      <w:marLeft w:val="0"/>
      <w:marRight w:val="0"/>
      <w:marTop w:val="0"/>
      <w:marBottom w:val="0"/>
      <w:divBdr>
        <w:top w:val="none" w:sz="0" w:space="0" w:color="auto"/>
        <w:left w:val="none" w:sz="0" w:space="0" w:color="auto"/>
        <w:bottom w:val="none" w:sz="0" w:space="0" w:color="auto"/>
        <w:right w:val="none" w:sz="0" w:space="0" w:color="auto"/>
      </w:divBdr>
    </w:div>
    <w:div w:id="956792430">
      <w:bodyDiv w:val="1"/>
      <w:marLeft w:val="0"/>
      <w:marRight w:val="0"/>
      <w:marTop w:val="0"/>
      <w:marBottom w:val="0"/>
      <w:divBdr>
        <w:top w:val="none" w:sz="0" w:space="0" w:color="auto"/>
        <w:left w:val="none" w:sz="0" w:space="0" w:color="auto"/>
        <w:bottom w:val="none" w:sz="0" w:space="0" w:color="auto"/>
        <w:right w:val="none" w:sz="0" w:space="0" w:color="auto"/>
      </w:divBdr>
    </w:div>
    <w:div w:id="981883181">
      <w:bodyDiv w:val="1"/>
      <w:marLeft w:val="0"/>
      <w:marRight w:val="0"/>
      <w:marTop w:val="0"/>
      <w:marBottom w:val="0"/>
      <w:divBdr>
        <w:top w:val="none" w:sz="0" w:space="0" w:color="auto"/>
        <w:left w:val="none" w:sz="0" w:space="0" w:color="auto"/>
        <w:bottom w:val="none" w:sz="0" w:space="0" w:color="auto"/>
        <w:right w:val="none" w:sz="0" w:space="0" w:color="auto"/>
      </w:divBdr>
    </w:div>
    <w:div w:id="1002705390">
      <w:bodyDiv w:val="1"/>
      <w:marLeft w:val="0"/>
      <w:marRight w:val="0"/>
      <w:marTop w:val="0"/>
      <w:marBottom w:val="0"/>
      <w:divBdr>
        <w:top w:val="none" w:sz="0" w:space="0" w:color="auto"/>
        <w:left w:val="none" w:sz="0" w:space="0" w:color="auto"/>
        <w:bottom w:val="none" w:sz="0" w:space="0" w:color="auto"/>
        <w:right w:val="none" w:sz="0" w:space="0" w:color="auto"/>
      </w:divBdr>
    </w:div>
    <w:div w:id="1043946445">
      <w:bodyDiv w:val="1"/>
      <w:marLeft w:val="0"/>
      <w:marRight w:val="0"/>
      <w:marTop w:val="0"/>
      <w:marBottom w:val="0"/>
      <w:divBdr>
        <w:top w:val="none" w:sz="0" w:space="0" w:color="auto"/>
        <w:left w:val="none" w:sz="0" w:space="0" w:color="auto"/>
        <w:bottom w:val="none" w:sz="0" w:space="0" w:color="auto"/>
        <w:right w:val="none" w:sz="0" w:space="0" w:color="auto"/>
      </w:divBdr>
    </w:div>
    <w:div w:id="1046300932">
      <w:bodyDiv w:val="1"/>
      <w:marLeft w:val="0"/>
      <w:marRight w:val="0"/>
      <w:marTop w:val="0"/>
      <w:marBottom w:val="0"/>
      <w:divBdr>
        <w:top w:val="none" w:sz="0" w:space="0" w:color="auto"/>
        <w:left w:val="none" w:sz="0" w:space="0" w:color="auto"/>
        <w:bottom w:val="none" w:sz="0" w:space="0" w:color="auto"/>
        <w:right w:val="none" w:sz="0" w:space="0" w:color="auto"/>
      </w:divBdr>
    </w:div>
    <w:div w:id="1197043537">
      <w:bodyDiv w:val="1"/>
      <w:marLeft w:val="0"/>
      <w:marRight w:val="0"/>
      <w:marTop w:val="0"/>
      <w:marBottom w:val="0"/>
      <w:divBdr>
        <w:top w:val="none" w:sz="0" w:space="0" w:color="auto"/>
        <w:left w:val="none" w:sz="0" w:space="0" w:color="auto"/>
        <w:bottom w:val="none" w:sz="0" w:space="0" w:color="auto"/>
        <w:right w:val="none" w:sz="0" w:space="0" w:color="auto"/>
      </w:divBdr>
    </w:div>
    <w:div w:id="1237789845">
      <w:bodyDiv w:val="1"/>
      <w:marLeft w:val="0"/>
      <w:marRight w:val="0"/>
      <w:marTop w:val="0"/>
      <w:marBottom w:val="0"/>
      <w:divBdr>
        <w:top w:val="none" w:sz="0" w:space="0" w:color="auto"/>
        <w:left w:val="none" w:sz="0" w:space="0" w:color="auto"/>
        <w:bottom w:val="none" w:sz="0" w:space="0" w:color="auto"/>
        <w:right w:val="none" w:sz="0" w:space="0" w:color="auto"/>
      </w:divBdr>
    </w:div>
    <w:div w:id="1370953187">
      <w:bodyDiv w:val="1"/>
      <w:marLeft w:val="0"/>
      <w:marRight w:val="0"/>
      <w:marTop w:val="0"/>
      <w:marBottom w:val="0"/>
      <w:divBdr>
        <w:top w:val="none" w:sz="0" w:space="0" w:color="auto"/>
        <w:left w:val="none" w:sz="0" w:space="0" w:color="auto"/>
        <w:bottom w:val="none" w:sz="0" w:space="0" w:color="auto"/>
        <w:right w:val="none" w:sz="0" w:space="0" w:color="auto"/>
      </w:divBdr>
    </w:div>
    <w:div w:id="1384717203">
      <w:bodyDiv w:val="1"/>
      <w:marLeft w:val="0"/>
      <w:marRight w:val="0"/>
      <w:marTop w:val="0"/>
      <w:marBottom w:val="0"/>
      <w:divBdr>
        <w:top w:val="none" w:sz="0" w:space="0" w:color="auto"/>
        <w:left w:val="none" w:sz="0" w:space="0" w:color="auto"/>
        <w:bottom w:val="none" w:sz="0" w:space="0" w:color="auto"/>
        <w:right w:val="none" w:sz="0" w:space="0" w:color="auto"/>
      </w:divBdr>
    </w:div>
    <w:div w:id="1436049740">
      <w:bodyDiv w:val="1"/>
      <w:marLeft w:val="0"/>
      <w:marRight w:val="0"/>
      <w:marTop w:val="0"/>
      <w:marBottom w:val="0"/>
      <w:divBdr>
        <w:top w:val="none" w:sz="0" w:space="0" w:color="auto"/>
        <w:left w:val="none" w:sz="0" w:space="0" w:color="auto"/>
        <w:bottom w:val="none" w:sz="0" w:space="0" w:color="auto"/>
        <w:right w:val="none" w:sz="0" w:space="0" w:color="auto"/>
      </w:divBdr>
    </w:div>
    <w:div w:id="1451709242">
      <w:bodyDiv w:val="1"/>
      <w:marLeft w:val="0"/>
      <w:marRight w:val="0"/>
      <w:marTop w:val="0"/>
      <w:marBottom w:val="0"/>
      <w:divBdr>
        <w:top w:val="none" w:sz="0" w:space="0" w:color="auto"/>
        <w:left w:val="none" w:sz="0" w:space="0" w:color="auto"/>
        <w:bottom w:val="none" w:sz="0" w:space="0" w:color="auto"/>
        <w:right w:val="none" w:sz="0" w:space="0" w:color="auto"/>
      </w:divBdr>
    </w:div>
    <w:div w:id="1472593990">
      <w:bodyDiv w:val="1"/>
      <w:marLeft w:val="0"/>
      <w:marRight w:val="0"/>
      <w:marTop w:val="0"/>
      <w:marBottom w:val="0"/>
      <w:divBdr>
        <w:top w:val="none" w:sz="0" w:space="0" w:color="auto"/>
        <w:left w:val="none" w:sz="0" w:space="0" w:color="auto"/>
        <w:bottom w:val="none" w:sz="0" w:space="0" w:color="auto"/>
        <w:right w:val="none" w:sz="0" w:space="0" w:color="auto"/>
      </w:divBdr>
    </w:div>
    <w:div w:id="1538196767">
      <w:bodyDiv w:val="1"/>
      <w:marLeft w:val="0"/>
      <w:marRight w:val="0"/>
      <w:marTop w:val="0"/>
      <w:marBottom w:val="0"/>
      <w:divBdr>
        <w:top w:val="none" w:sz="0" w:space="0" w:color="auto"/>
        <w:left w:val="none" w:sz="0" w:space="0" w:color="auto"/>
        <w:bottom w:val="none" w:sz="0" w:space="0" w:color="auto"/>
        <w:right w:val="none" w:sz="0" w:space="0" w:color="auto"/>
      </w:divBdr>
    </w:div>
    <w:div w:id="1611206177">
      <w:bodyDiv w:val="1"/>
      <w:marLeft w:val="0"/>
      <w:marRight w:val="0"/>
      <w:marTop w:val="0"/>
      <w:marBottom w:val="0"/>
      <w:divBdr>
        <w:top w:val="none" w:sz="0" w:space="0" w:color="auto"/>
        <w:left w:val="none" w:sz="0" w:space="0" w:color="auto"/>
        <w:bottom w:val="none" w:sz="0" w:space="0" w:color="auto"/>
        <w:right w:val="none" w:sz="0" w:space="0" w:color="auto"/>
      </w:divBdr>
    </w:div>
    <w:div w:id="1691642934">
      <w:bodyDiv w:val="1"/>
      <w:marLeft w:val="0"/>
      <w:marRight w:val="0"/>
      <w:marTop w:val="0"/>
      <w:marBottom w:val="0"/>
      <w:divBdr>
        <w:top w:val="none" w:sz="0" w:space="0" w:color="auto"/>
        <w:left w:val="none" w:sz="0" w:space="0" w:color="auto"/>
        <w:bottom w:val="none" w:sz="0" w:space="0" w:color="auto"/>
        <w:right w:val="none" w:sz="0" w:space="0" w:color="auto"/>
      </w:divBdr>
    </w:div>
    <w:div w:id="1702512669">
      <w:bodyDiv w:val="1"/>
      <w:marLeft w:val="0"/>
      <w:marRight w:val="0"/>
      <w:marTop w:val="0"/>
      <w:marBottom w:val="0"/>
      <w:divBdr>
        <w:top w:val="none" w:sz="0" w:space="0" w:color="auto"/>
        <w:left w:val="none" w:sz="0" w:space="0" w:color="auto"/>
        <w:bottom w:val="none" w:sz="0" w:space="0" w:color="auto"/>
        <w:right w:val="none" w:sz="0" w:space="0" w:color="auto"/>
      </w:divBdr>
    </w:div>
    <w:div w:id="1825464933">
      <w:bodyDiv w:val="1"/>
      <w:marLeft w:val="0"/>
      <w:marRight w:val="0"/>
      <w:marTop w:val="0"/>
      <w:marBottom w:val="0"/>
      <w:divBdr>
        <w:top w:val="none" w:sz="0" w:space="0" w:color="auto"/>
        <w:left w:val="none" w:sz="0" w:space="0" w:color="auto"/>
        <w:bottom w:val="none" w:sz="0" w:space="0" w:color="auto"/>
        <w:right w:val="none" w:sz="0" w:space="0" w:color="auto"/>
      </w:divBdr>
    </w:div>
    <w:div w:id="1854301519">
      <w:bodyDiv w:val="1"/>
      <w:marLeft w:val="0"/>
      <w:marRight w:val="0"/>
      <w:marTop w:val="0"/>
      <w:marBottom w:val="0"/>
      <w:divBdr>
        <w:top w:val="none" w:sz="0" w:space="0" w:color="auto"/>
        <w:left w:val="none" w:sz="0" w:space="0" w:color="auto"/>
        <w:bottom w:val="none" w:sz="0" w:space="0" w:color="auto"/>
        <w:right w:val="none" w:sz="0" w:space="0" w:color="auto"/>
      </w:divBdr>
    </w:div>
    <w:div w:id="1888298363">
      <w:bodyDiv w:val="1"/>
      <w:marLeft w:val="0"/>
      <w:marRight w:val="0"/>
      <w:marTop w:val="0"/>
      <w:marBottom w:val="0"/>
      <w:divBdr>
        <w:top w:val="none" w:sz="0" w:space="0" w:color="auto"/>
        <w:left w:val="none" w:sz="0" w:space="0" w:color="auto"/>
        <w:bottom w:val="none" w:sz="0" w:space="0" w:color="auto"/>
        <w:right w:val="none" w:sz="0" w:space="0" w:color="auto"/>
      </w:divBdr>
    </w:div>
    <w:div w:id="207226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uria.europa.eu/juris/document/document.jsf?text=&amp;docid=230607&amp;pageIndex=0&amp;doclang=lt&amp;mode=lst&amp;dir=&amp;occ=first&amp;part=1&amp;cid=4538002" TargetMode="External"/><Relationship Id="rId18" Type="http://schemas.openxmlformats.org/officeDocument/2006/relationships/hyperlink" Target="https://curia.europa.eu/juris/document/document.jsf?text=&amp;docid=232094&amp;pageIndex=0&amp;doclang=LT&amp;mode=req&amp;dir=&amp;occ=first&amp;part=1&amp;cid=218348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curia.europa.eu/juris/document/document.jsf?text=&amp;docid=231042&amp;pageIndex=0&amp;doclang=LT&amp;mode=lst&amp;dir=&amp;occ=first&amp;part=1&amp;cid=835585" TargetMode="External"/><Relationship Id="rId7" Type="http://schemas.openxmlformats.org/officeDocument/2006/relationships/endnotes" Target="endnotes.xml"/><Relationship Id="rId12" Type="http://schemas.openxmlformats.org/officeDocument/2006/relationships/hyperlink" Target="http://curia.europa.eu/juris/document/document.jsf?text=&amp;docid=234205&amp;pageIndex=0&amp;doclang=LT&amp;mode=lst&amp;dir=&amp;occ=first&amp;part=1&amp;cid=4224072" TargetMode="External"/><Relationship Id="rId17" Type="http://schemas.openxmlformats.org/officeDocument/2006/relationships/hyperlink" Target="https://curia.europa.eu/juris/document/document.jsf?text=&amp;docid=232087&amp;pageIndex=0&amp;doclang=lt&amp;mode=lst&amp;dir=&amp;occ=first&amp;part=1&amp;cid=1732719" TargetMode="External"/><Relationship Id="rId25" Type="http://schemas.openxmlformats.org/officeDocument/2006/relationships/hyperlink" Target="http://curia.europa.eu/juris/document/document.jsf?text=&amp;docid=222588&amp;pageIndex=0&amp;doclang=LT&amp;mode=lst&amp;dir=&amp;occ=first&amp;part=1&amp;cid=1487608" TargetMode="External"/><Relationship Id="rId2" Type="http://schemas.openxmlformats.org/officeDocument/2006/relationships/numbering" Target="numbering.xml"/><Relationship Id="rId16" Type="http://schemas.openxmlformats.org/officeDocument/2006/relationships/hyperlink" Target="https://curia.europa.eu/juris/document/document.jsf?text=&amp;docid=231105&amp;pageIndex=0&amp;doclang=lt&amp;mode=lst&amp;dir=&amp;occ=first&amp;part=1&amp;cid=1732313" TargetMode="External"/><Relationship Id="rId20" Type="http://schemas.openxmlformats.org/officeDocument/2006/relationships/hyperlink" Target="http://curia.europa.eu/juris/document/document.jsf?text=&amp;docid=231481&amp;pageIndex=0&amp;doclang=lt&amp;mode=lst&amp;dir=&amp;occ=first&amp;part=1&amp;cid=70089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a.europa.eu/juris/document/document.jsf?text=&amp;docid=233544&amp;pageIndex=0&amp;doclang=LT&amp;mode=lst&amp;dir=&amp;occ=first&amp;part=1&amp;cid=182664" TargetMode="External"/><Relationship Id="rId24" Type="http://schemas.openxmlformats.org/officeDocument/2006/relationships/hyperlink" Target="http://curia.europa.eu/juris/document/document.jsf?text=&amp;docid=235715&amp;pageIndex=0&amp;doclang=LT&amp;mode=lst&amp;dir=&amp;occ=first&amp;part=1&amp;cid=7008956" TargetMode="External"/><Relationship Id="rId5" Type="http://schemas.openxmlformats.org/officeDocument/2006/relationships/webSettings" Target="webSettings.xml"/><Relationship Id="rId15" Type="http://schemas.openxmlformats.org/officeDocument/2006/relationships/hyperlink" Target="https://curia.europa.eu/juris/document/document.jsf?text=&amp;docid=231106&amp;pageIndex=0&amp;doclang=lt&amp;mode=lst&amp;dir=&amp;occ=first&amp;part=1&amp;cid=1731946" TargetMode="External"/><Relationship Id="rId23" Type="http://schemas.openxmlformats.org/officeDocument/2006/relationships/hyperlink" Target="https://curia.europa.eu/juris/document/document.jsf?text=&amp;docid=235709&amp;pageIndex=0&amp;doclang=LT&amp;mode=lst&amp;dir=&amp;occ=first&amp;part=1&amp;cid=179980" TargetMode="External"/><Relationship Id="rId28" Type="http://schemas.openxmlformats.org/officeDocument/2006/relationships/fontTable" Target="fontTable.xml"/><Relationship Id="rId10" Type="http://schemas.openxmlformats.org/officeDocument/2006/relationships/hyperlink" Target="http://eur-lex.europa.eu/" TargetMode="External"/><Relationship Id="rId19" Type="http://schemas.openxmlformats.org/officeDocument/2006/relationships/hyperlink" Target="http://curia.europa.eu/juris/document/document.jsf?text=&amp;docid=231842&amp;pageIndex=0&amp;doclang=LT&amp;mode=lst&amp;dir=&amp;occ=first&amp;part=1&amp;cid=3648039" TargetMode="Externa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s://curia.europa.eu/juris/document/document.jsf?text=&amp;docid=233584&amp;pageIndex=0&amp;doclang=lt&amp;mode=lst&amp;dir=&amp;occ=first&amp;part=1&amp;cid=1731658" TargetMode="External"/><Relationship Id="rId22" Type="http://schemas.openxmlformats.org/officeDocument/2006/relationships/hyperlink" Target="https://curia.europa.eu/juris/document/document.jsf?text=&amp;docid=231061&amp;pageIndex=0&amp;doclang=LT&amp;mode=req&amp;dir=&amp;occ=first&amp;part=1&amp;cid=2192398" TargetMode="External"/><Relationship Id="rId27"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775E4-0338-3343-9EE0-1B613F33A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29</Pages>
  <Words>19214</Words>
  <Characters>109525</Characters>
  <Application>Microsoft Office Word</Application>
  <DocSecurity>0</DocSecurity>
  <Lines>912</Lines>
  <Paragraphs>256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3</cp:revision>
  <dcterms:created xsi:type="dcterms:W3CDTF">2021-05-18T06:22:00Z</dcterms:created>
  <dcterms:modified xsi:type="dcterms:W3CDTF">2021-05-18T10:13:00Z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