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C15" w:rsidRPr="00B240C0" w:rsidRDefault="003D4C15" w:rsidP="00025BA1">
      <w:pPr>
        <w:pStyle w:val="Betarp"/>
        <w:spacing w:after="240"/>
        <w:jc w:val="both"/>
        <w:rPr>
          <w:rFonts w:asciiTheme="minorHAnsi" w:hAnsiTheme="minorHAnsi" w:cstheme="minorHAnsi"/>
        </w:rPr>
      </w:pPr>
    </w:p>
    <w:p w:rsidR="003D4C15" w:rsidRPr="00B240C0" w:rsidRDefault="003D4C15" w:rsidP="00025BA1">
      <w:pPr>
        <w:pStyle w:val="Betarp"/>
        <w:spacing w:after="240"/>
        <w:jc w:val="both"/>
        <w:rPr>
          <w:rFonts w:asciiTheme="minorHAnsi" w:hAnsiTheme="minorHAnsi" w:cstheme="minorHAnsi"/>
        </w:rPr>
      </w:pPr>
    </w:p>
    <w:p w:rsidR="00A4671F" w:rsidRPr="00B240C0" w:rsidRDefault="00A4671F" w:rsidP="00025BA1">
      <w:pPr>
        <w:pStyle w:val="Betarp"/>
        <w:spacing w:after="1440"/>
        <w:ind w:left="1296" w:hanging="1296"/>
        <w:jc w:val="center"/>
        <w:rPr>
          <w:rFonts w:asciiTheme="minorHAnsi" w:hAnsiTheme="minorHAnsi" w:cstheme="minorHAnsi"/>
          <w:lang w:eastAsia="lt-LT"/>
        </w:rPr>
      </w:pPr>
    </w:p>
    <w:p w:rsidR="003D4C15" w:rsidRPr="00B240C0" w:rsidRDefault="003D4C15" w:rsidP="00025BA1">
      <w:pPr>
        <w:pStyle w:val="Betarp"/>
        <w:spacing w:after="1440"/>
        <w:ind w:left="1296" w:hanging="1296"/>
        <w:jc w:val="center"/>
        <w:rPr>
          <w:rFonts w:asciiTheme="minorHAnsi" w:hAnsiTheme="minorHAnsi" w:cstheme="minorHAnsi"/>
        </w:rPr>
      </w:pPr>
      <w:r w:rsidRPr="00B240C0">
        <w:rPr>
          <w:rFonts w:asciiTheme="minorHAnsi" w:hAnsiTheme="minorHAnsi" w:cstheme="minorHAnsi"/>
          <w:noProof/>
          <w:lang w:eastAsia="lt-LT"/>
        </w:rPr>
        <w:drawing>
          <wp:inline distT="0" distB="0" distL="0" distR="0">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rsidR="003D4C15" w:rsidRPr="00EF63E3" w:rsidRDefault="003D4C15" w:rsidP="00025BA1">
      <w:pPr>
        <w:pStyle w:val="Betarp"/>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rsidR="003D4C15" w:rsidRPr="00EF63E3" w:rsidRDefault="003D4C15" w:rsidP="00025BA1">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9623D0">
        <w:rPr>
          <w:rFonts w:asciiTheme="minorHAnsi" w:hAnsiTheme="minorHAnsi" w:cstheme="minorHAnsi"/>
          <w:b/>
          <w:smallCaps/>
          <w:sz w:val="32"/>
          <w:szCs w:val="32"/>
          <w:u w:val="double"/>
        </w:rPr>
        <w:t>vasario</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9623D0">
        <w:rPr>
          <w:rFonts w:asciiTheme="minorHAnsi" w:hAnsiTheme="minorHAnsi" w:cstheme="minorHAnsi"/>
          <w:b/>
          <w:smallCaps/>
          <w:sz w:val="32"/>
          <w:szCs w:val="32"/>
          <w:u w:val="double"/>
        </w:rPr>
        <w:t>vasario 28</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0"/>
      <w:bookmarkEnd w:id="1"/>
      <w:bookmarkEnd w:id="2"/>
      <w:bookmarkEnd w:id="3"/>
      <w:bookmarkEnd w:id="4"/>
      <w:bookmarkEnd w:id="5"/>
    </w:p>
    <w:p w:rsidR="003D4C15" w:rsidRPr="00EF63E3" w:rsidRDefault="003D4C15" w:rsidP="00025BA1">
      <w:pPr>
        <w:jc w:val="both"/>
        <w:rPr>
          <w:rFonts w:asciiTheme="minorHAnsi" w:hAnsiTheme="minorHAnsi" w:cstheme="minorHAnsi"/>
          <w:b/>
          <w:smallCaps/>
          <w:sz w:val="32"/>
          <w:szCs w:val="3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B240C0" w:rsidRDefault="003D4C15" w:rsidP="00025BA1">
      <w:pPr>
        <w:jc w:val="both"/>
        <w:rPr>
          <w:rFonts w:asciiTheme="minorHAnsi" w:hAnsiTheme="minorHAnsi" w:cstheme="minorHAnsi"/>
          <w:b/>
          <w:smallCaps/>
          <w:sz w:val="22"/>
          <w:szCs w:val="22"/>
        </w:rPr>
      </w:pPr>
    </w:p>
    <w:p w:rsidR="003D4C15" w:rsidRPr="00EF63E3" w:rsidRDefault="003D4C15" w:rsidP="00025BA1">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rsidR="003D4C15" w:rsidRPr="00B240C0" w:rsidRDefault="003D4C15" w:rsidP="00025BA1">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6" w:name="_Hlk529270320"/>
      <w:bookmarkStart w:id="7" w:name="_Toc120597382"/>
      <w:r w:rsidRPr="00B240C0">
        <w:rPr>
          <w:rFonts w:asciiTheme="minorHAnsi" w:hAnsiTheme="minorHAnsi" w:cstheme="minorHAnsi"/>
          <w:b/>
          <w:sz w:val="22"/>
          <w:szCs w:val="22"/>
        </w:rPr>
        <w:lastRenderedPageBreak/>
        <w:t>TURINYS</w:t>
      </w:r>
    </w:p>
    <w:p w:rsidR="00670E7D" w:rsidRDefault="00A364C6">
      <w:pPr>
        <w:pStyle w:val="Turinys1"/>
        <w:rPr>
          <w:rFonts w:eastAsiaTheme="minorEastAsia" w:cstheme="minorBidi"/>
          <w:b w:val="0"/>
          <w:bCs w:val="0"/>
          <w:caps w:val="0"/>
          <w:noProof/>
          <w:szCs w:val="22"/>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7451460" w:history="1">
        <w:r w:rsidR="00670E7D" w:rsidRPr="00713D11">
          <w:rPr>
            <w:rStyle w:val="Hipersaitas"/>
            <w:rFonts w:cstheme="minorHAnsi"/>
            <w:noProof/>
          </w:rPr>
          <w:t>I. Administracinės bylos, kylančios iš ginčų dėl teisės viešojo administravimo srityje</w:t>
        </w:r>
        <w:r w:rsidR="00670E7D">
          <w:rPr>
            <w:noProof/>
            <w:webHidden/>
          </w:rPr>
          <w:tab/>
        </w:r>
        <w:r w:rsidR="00670E7D">
          <w:rPr>
            <w:noProof/>
            <w:webHidden/>
          </w:rPr>
          <w:fldChar w:fldCharType="begin"/>
        </w:r>
        <w:r w:rsidR="00670E7D">
          <w:rPr>
            <w:noProof/>
            <w:webHidden/>
          </w:rPr>
          <w:instrText xml:space="preserve"> PAGEREF _Toc7451460 \h </w:instrText>
        </w:r>
        <w:r w:rsidR="00670E7D">
          <w:rPr>
            <w:noProof/>
            <w:webHidden/>
          </w:rPr>
        </w:r>
        <w:r w:rsidR="00670E7D">
          <w:rPr>
            <w:noProof/>
            <w:webHidden/>
          </w:rPr>
          <w:fldChar w:fldCharType="separate"/>
        </w:r>
        <w:r w:rsidR="00670E7D">
          <w:rPr>
            <w:noProof/>
            <w:webHidden/>
          </w:rPr>
          <w:t>4</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61" w:history="1">
        <w:r w:rsidR="00670E7D" w:rsidRPr="00713D11">
          <w:rPr>
            <w:rStyle w:val="Hipersaitas"/>
            <w:noProof/>
          </w:rPr>
          <w:t>4. Norminių administracinių aktų teisėtumo patikra</w:t>
        </w:r>
        <w:r w:rsidR="00670E7D">
          <w:rPr>
            <w:noProof/>
            <w:webHidden/>
          </w:rPr>
          <w:tab/>
        </w:r>
        <w:r w:rsidR="00670E7D">
          <w:rPr>
            <w:noProof/>
            <w:webHidden/>
          </w:rPr>
          <w:fldChar w:fldCharType="begin"/>
        </w:r>
        <w:r w:rsidR="00670E7D">
          <w:rPr>
            <w:noProof/>
            <w:webHidden/>
          </w:rPr>
          <w:instrText xml:space="preserve"> PAGEREF _Toc7451461 \h </w:instrText>
        </w:r>
        <w:r w:rsidR="00670E7D">
          <w:rPr>
            <w:noProof/>
            <w:webHidden/>
          </w:rPr>
        </w:r>
        <w:r w:rsidR="00670E7D">
          <w:rPr>
            <w:noProof/>
            <w:webHidden/>
          </w:rPr>
          <w:fldChar w:fldCharType="separate"/>
        </w:r>
        <w:r w:rsidR="00670E7D">
          <w:rPr>
            <w:noProof/>
            <w:webHidden/>
          </w:rPr>
          <w:t>4</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62" w:history="1">
        <w:r w:rsidR="00670E7D" w:rsidRPr="00713D11">
          <w:rPr>
            <w:rStyle w:val="Hipersaitas"/>
            <w:noProof/>
          </w:rPr>
          <w:t>Dėl reikalavimo apskaičiuojant palyginamosios šilumos gamybos sąnaudas atsižvelgti į šilumos tiekėjo pastoviosioms priskiriamas sąnaudas</w:t>
        </w:r>
        <w:r w:rsidR="00670E7D">
          <w:rPr>
            <w:noProof/>
            <w:webHidden/>
          </w:rPr>
          <w:tab/>
        </w:r>
        <w:r w:rsidR="00670E7D">
          <w:rPr>
            <w:noProof/>
            <w:webHidden/>
          </w:rPr>
          <w:fldChar w:fldCharType="begin"/>
        </w:r>
        <w:r w:rsidR="00670E7D">
          <w:rPr>
            <w:noProof/>
            <w:webHidden/>
          </w:rPr>
          <w:instrText xml:space="preserve"> PAGEREF _Toc7451462 \h </w:instrText>
        </w:r>
        <w:r w:rsidR="00670E7D">
          <w:rPr>
            <w:noProof/>
            <w:webHidden/>
          </w:rPr>
        </w:r>
        <w:r w:rsidR="00670E7D">
          <w:rPr>
            <w:noProof/>
            <w:webHidden/>
          </w:rPr>
          <w:fldChar w:fldCharType="separate"/>
        </w:r>
        <w:r w:rsidR="00670E7D">
          <w:rPr>
            <w:noProof/>
            <w:webHidden/>
          </w:rPr>
          <w:t>4</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63" w:history="1">
        <w:r w:rsidR="00670E7D" w:rsidRPr="00713D11">
          <w:rPr>
            <w:rStyle w:val="Hipersaitas"/>
            <w:noProof/>
          </w:rPr>
          <w:t>Dėl šilumos kainos pastoviosios dedamosios perskaičiavimo sumažėjus pagamintos šilumos kiekiui dėl konkurencijos šilumos gamybos srityje įtakos</w:t>
        </w:r>
        <w:r w:rsidR="00670E7D">
          <w:rPr>
            <w:noProof/>
            <w:webHidden/>
          </w:rPr>
          <w:tab/>
        </w:r>
        <w:r w:rsidR="00670E7D">
          <w:rPr>
            <w:noProof/>
            <w:webHidden/>
          </w:rPr>
          <w:fldChar w:fldCharType="begin"/>
        </w:r>
        <w:r w:rsidR="00670E7D">
          <w:rPr>
            <w:noProof/>
            <w:webHidden/>
          </w:rPr>
          <w:instrText xml:space="preserve"> PAGEREF _Toc7451463 \h </w:instrText>
        </w:r>
        <w:r w:rsidR="00670E7D">
          <w:rPr>
            <w:noProof/>
            <w:webHidden/>
          </w:rPr>
        </w:r>
        <w:r w:rsidR="00670E7D">
          <w:rPr>
            <w:noProof/>
            <w:webHidden/>
          </w:rPr>
          <w:fldChar w:fldCharType="separate"/>
        </w:r>
        <w:r w:rsidR="00670E7D">
          <w:rPr>
            <w:noProof/>
            <w:webHidden/>
          </w:rPr>
          <w:t>5</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64" w:history="1">
        <w:r w:rsidR="00670E7D" w:rsidRPr="00713D11">
          <w:rPr>
            <w:rStyle w:val="Hipersaitas"/>
            <w:rFonts w:cstheme="minorHAnsi"/>
            <w:noProof/>
          </w:rPr>
          <w:t>5. Rinkimai, referendumai ir politinių partijų veikla</w:t>
        </w:r>
        <w:r w:rsidR="00670E7D">
          <w:rPr>
            <w:noProof/>
            <w:webHidden/>
          </w:rPr>
          <w:tab/>
        </w:r>
        <w:r w:rsidR="00670E7D">
          <w:rPr>
            <w:noProof/>
            <w:webHidden/>
          </w:rPr>
          <w:fldChar w:fldCharType="begin"/>
        </w:r>
        <w:r w:rsidR="00670E7D">
          <w:rPr>
            <w:noProof/>
            <w:webHidden/>
          </w:rPr>
          <w:instrText xml:space="preserve"> PAGEREF _Toc7451464 \h </w:instrText>
        </w:r>
        <w:r w:rsidR="00670E7D">
          <w:rPr>
            <w:noProof/>
            <w:webHidden/>
          </w:rPr>
        </w:r>
        <w:r w:rsidR="00670E7D">
          <w:rPr>
            <w:noProof/>
            <w:webHidden/>
          </w:rPr>
          <w:fldChar w:fldCharType="separate"/>
        </w:r>
        <w:r w:rsidR="00670E7D">
          <w:rPr>
            <w:noProof/>
            <w:webHidden/>
          </w:rPr>
          <w:t>7</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65" w:history="1">
        <w:r w:rsidR="00670E7D" w:rsidRPr="00713D11">
          <w:rPr>
            <w:rStyle w:val="Hipersaitas"/>
            <w:noProof/>
          </w:rPr>
          <w:t xml:space="preserve">Dėl </w:t>
        </w:r>
        <w:r w:rsidR="00670E7D" w:rsidRPr="00713D11">
          <w:rPr>
            <w:rStyle w:val="Hipersaitas"/>
            <w:noProof/>
            <w:lang w:bidi="lt-LT"/>
          </w:rPr>
          <w:t>atsisakymo registruoti visuomeninių rinkimų komitetų keliamus kandidatų sąrašus, kuriuose kandidatų lieka mažiau negu pusė toje savivaldybėje renkamų savivaldybės tarybos narių</w:t>
        </w:r>
        <w:r w:rsidR="00670E7D">
          <w:rPr>
            <w:noProof/>
            <w:webHidden/>
          </w:rPr>
          <w:tab/>
        </w:r>
        <w:r w:rsidR="00670E7D">
          <w:rPr>
            <w:noProof/>
            <w:webHidden/>
          </w:rPr>
          <w:fldChar w:fldCharType="begin"/>
        </w:r>
        <w:r w:rsidR="00670E7D">
          <w:rPr>
            <w:noProof/>
            <w:webHidden/>
          </w:rPr>
          <w:instrText xml:space="preserve"> PAGEREF _Toc7451465 \h </w:instrText>
        </w:r>
        <w:r w:rsidR="00670E7D">
          <w:rPr>
            <w:noProof/>
            <w:webHidden/>
          </w:rPr>
        </w:r>
        <w:r w:rsidR="00670E7D">
          <w:rPr>
            <w:noProof/>
            <w:webHidden/>
          </w:rPr>
          <w:fldChar w:fldCharType="separate"/>
        </w:r>
        <w:r w:rsidR="00670E7D">
          <w:rPr>
            <w:noProof/>
            <w:webHidden/>
          </w:rPr>
          <w:t>7</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66" w:history="1">
        <w:r w:rsidR="00670E7D" w:rsidRPr="00713D11">
          <w:rPr>
            <w:rStyle w:val="Hipersaitas"/>
            <w:rFonts w:cstheme="minorHAnsi"/>
            <w:noProof/>
          </w:rPr>
          <w:t>7. Socialinė apsauga</w:t>
        </w:r>
        <w:r w:rsidR="00670E7D">
          <w:rPr>
            <w:noProof/>
            <w:webHidden/>
          </w:rPr>
          <w:tab/>
        </w:r>
        <w:r w:rsidR="00670E7D">
          <w:rPr>
            <w:noProof/>
            <w:webHidden/>
          </w:rPr>
          <w:fldChar w:fldCharType="begin"/>
        </w:r>
        <w:r w:rsidR="00670E7D">
          <w:rPr>
            <w:noProof/>
            <w:webHidden/>
          </w:rPr>
          <w:instrText xml:space="preserve"> PAGEREF _Toc7451466 \h </w:instrText>
        </w:r>
        <w:r w:rsidR="00670E7D">
          <w:rPr>
            <w:noProof/>
            <w:webHidden/>
          </w:rPr>
        </w:r>
        <w:r w:rsidR="00670E7D">
          <w:rPr>
            <w:noProof/>
            <w:webHidden/>
          </w:rPr>
          <w:fldChar w:fldCharType="separate"/>
        </w:r>
        <w:r w:rsidR="00670E7D">
          <w:rPr>
            <w:noProof/>
            <w:webHidden/>
          </w:rPr>
          <w:t>8</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67" w:history="1">
        <w:r w:rsidR="00670E7D" w:rsidRPr="00713D11">
          <w:rPr>
            <w:rStyle w:val="Hipersaitas"/>
            <w:noProof/>
          </w:rPr>
          <w:t>Dėl atsisakymo skirti pareigūnų ir karių valstybinę pensiją asmeniui, nuteistam už tyčinių nusikaltimų padarymą</w:t>
        </w:r>
        <w:r w:rsidR="00670E7D">
          <w:rPr>
            <w:noProof/>
            <w:webHidden/>
          </w:rPr>
          <w:tab/>
        </w:r>
        <w:r w:rsidR="00670E7D">
          <w:rPr>
            <w:noProof/>
            <w:webHidden/>
          </w:rPr>
          <w:fldChar w:fldCharType="begin"/>
        </w:r>
        <w:r w:rsidR="00670E7D">
          <w:rPr>
            <w:noProof/>
            <w:webHidden/>
          </w:rPr>
          <w:instrText xml:space="preserve"> PAGEREF _Toc7451467 \h </w:instrText>
        </w:r>
        <w:r w:rsidR="00670E7D">
          <w:rPr>
            <w:noProof/>
            <w:webHidden/>
          </w:rPr>
        </w:r>
        <w:r w:rsidR="00670E7D">
          <w:rPr>
            <w:noProof/>
            <w:webHidden/>
          </w:rPr>
          <w:fldChar w:fldCharType="separate"/>
        </w:r>
        <w:r w:rsidR="00670E7D">
          <w:rPr>
            <w:noProof/>
            <w:webHidden/>
          </w:rPr>
          <w:t>8</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68" w:history="1">
        <w:r w:rsidR="00670E7D" w:rsidRPr="00713D11">
          <w:rPr>
            <w:rStyle w:val="Hipersaitas"/>
            <w:rFonts w:cstheme="minorHAnsi"/>
            <w:noProof/>
          </w:rPr>
          <w:t>12. Mokesčiai, įmokos ir kiti privalomieji mokėjimai</w:t>
        </w:r>
        <w:r w:rsidR="00670E7D">
          <w:rPr>
            <w:noProof/>
            <w:webHidden/>
          </w:rPr>
          <w:tab/>
        </w:r>
        <w:r w:rsidR="00670E7D">
          <w:rPr>
            <w:noProof/>
            <w:webHidden/>
          </w:rPr>
          <w:fldChar w:fldCharType="begin"/>
        </w:r>
        <w:r w:rsidR="00670E7D">
          <w:rPr>
            <w:noProof/>
            <w:webHidden/>
          </w:rPr>
          <w:instrText xml:space="preserve"> PAGEREF _Toc7451468 \h </w:instrText>
        </w:r>
        <w:r w:rsidR="00670E7D">
          <w:rPr>
            <w:noProof/>
            <w:webHidden/>
          </w:rPr>
        </w:r>
        <w:r w:rsidR="00670E7D">
          <w:rPr>
            <w:noProof/>
            <w:webHidden/>
          </w:rPr>
          <w:fldChar w:fldCharType="separate"/>
        </w:r>
        <w:r w:rsidR="00670E7D">
          <w:rPr>
            <w:noProof/>
            <w:webHidden/>
          </w:rPr>
          <w:t>9</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69" w:history="1">
        <w:r w:rsidR="00670E7D" w:rsidRPr="00713D11">
          <w:rPr>
            <w:rStyle w:val="Hipersaitas"/>
            <w:noProof/>
          </w:rPr>
          <w:t>Dėl iš vertimosi uždrausta ūkine veikla gautų pajamų apmokestinimo gyventojų pajamų mokesčiu</w:t>
        </w:r>
        <w:r w:rsidR="00670E7D">
          <w:rPr>
            <w:noProof/>
            <w:webHidden/>
          </w:rPr>
          <w:tab/>
        </w:r>
        <w:r w:rsidR="00670E7D">
          <w:rPr>
            <w:noProof/>
            <w:webHidden/>
          </w:rPr>
          <w:fldChar w:fldCharType="begin"/>
        </w:r>
        <w:r w:rsidR="00670E7D">
          <w:rPr>
            <w:noProof/>
            <w:webHidden/>
          </w:rPr>
          <w:instrText xml:space="preserve"> PAGEREF _Toc7451469 \h </w:instrText>
        </w:r>
        <w:r w:rsidR="00670E7D">
          <w:rPr>
            <w:noProof/>
            <w:webHidden/>
          </w:rPr>
        </w:r>
        <w:r w:rsidR="00670E7D">
          <w:rPr>
            <w:noProof/>
            <w:webHidden/>
          </w:rPr>
          <w:fldChar w:fldCharType="separate"/>
        </w:r>
        <w:r w:rsidR="00670E7D">
          <w:rPr>
            <w:noProof/>
            <w:webHidden/>
          </w:rPr>
          <w:t>9</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70" w:history="1">
        <w:r w:rsidR="00670E7D" w:rsidRPr="00713D11">
          <w:rPr>
            <w:rStyle w:val="Hipersaitas"/>
            <w:rFonts w:cstheme="minorHAnsi"/>
            <w:noProof/>
          </w:rPr>
          <w:t>14. Aplinkos apsauga</w:t>
        </w:r>
        <w:r w:rsidR="00670E7D">
          <w:rPr>
            <w:noProof/>
            <w:webHidden/>
          </w:rPr>
          <w:tab/>
        </w:r>
        <w:r w:rsidR="00670E7D">
          <w:rPr>
            <w:noProof/>
            <w:webHidden/>
          </w:rPr>
          <w:fldChar w:fldCharType="begin"/>
        </w:r>
        <w:r w:rsidR="00670E7D">
          <w:rPr>
            <w:noProof/>
            <w:webHidden/>
          </w:rPr>
          <w:instrText xml:space="preserve"> PAGEREF _Toc7451470 \h </w:instrText>
        </w:r>
        <w:r w:rsidR="00670E7D">
          <w:rPr>
            <w:noProof/>
            <w:webHidden/>
          </w:rPr>
        </w:r>
        <w:r w:rsidR="00670E7D">
          <w:rPr>
            <w:noProof/>
            <w:webHidden/>
          </w:rPr>
          <w:fldChar w:fldCharType="separate"/>
        </w:r>
        <w:r w:rsidR="00670E7D">
          <w:rPr>
            <w:noProof/>
            <w:webHidden/>
          </w:rPr>
          <w:t>10</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71" w:history="1">
        <w:r w:rsidR="00670E7D" w:rsidRPr="00713D11">
          <w:rPr>
            <w:rStyle w:val="Hipersaitas"/>
            <w:noProof/>
          </w:rPr>
          <w:t xml:space="preserve">Dėl </w:t>
        </w:r>
        <w:r w:rsidR="00670E7D" w:rsidRPr="00713D11">
          <w:rPr>
            <w:rStyle w:val="Hipersaitas"/>
            <w:iCs/>
            <w:noProof/>
          </w:rPr>
          <w:t>pareigos vertinti oro užterštumą gyvenamosiose patalpose, vertinant užterštumą gyvenamojoje aplinkoje</w:t>
        </w:r>
        <w:r w:rsidR="00670E7D">
          <w:rPr>
            <w:noProof/>
            <w:webHidden/>
          </w:rPr>
          <w:tab/>
        </w:r>
        <w:r w:rsidR="00670E7D">
          <w:rPr>
            <w:noProof/>
            <w:webHidden/>
          </w:rPr>
          <w:fldChar w:fldCharType="begin"/>
        </w:r>
        <w:r w:rsidR="00670E7D">
          <w:rPr>
            <w:noProof/>
            <w:webHidden/>
          </w:rPr>
          <w:instrText xml:space="preserve"> PAGEREF _Toc7451471 \h </w:instrText>
        </w:r>
        <w:r w:rsidR="00670E7D">
          <w:rPr>
            <w:noProof/>
            <w:webHidden/>
          </w:rPr>
        </w:r>
        <w:r w:rsidR="00670E7D">
          <w:rPr>
            <w:noProof/>
            <w:webHidden/>
          </w:rPr>
          <w:fldChar w:fldCharType="separate"/>
        </w:r>
        <w:r w:rsidR="00670E7D">
          <w:rPr>
            <w:noProof/>
            <w:webHidden/>
          </w:rPr>
          <w:t>10</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72" w:history="1">
        <w:r w:rsidR="00670E7D" w:rsidRPr="00713D11">
          <w:rPr>
            <w:rStyle w:val="Hipersaitas"/>
            <w:rFonts w:ascii="Calibri" w:hAnsi="Calibri" w:cs="Calibri"/>
            <w:noProof/>
          </w:rPr>
          <w:t>21. Valstybės tarnautojo statuso įgijimas, pasikeitimas, praradimas ir atsakomybė</w:t>
        </w:r>
        <w:r w:rsidR="00670E7D">
          <w:rPr>
            <w:noProof/>
            <w:webHidden/>
          </w:rPr>
          <w:tab/>
        </w:r>
        <w:r w:rsidR="00670E7D">
          <w:rPr>
            <w:noProof/>
            <w:webHidden/>
          </w:rPr>
          <w:fldChar w:fldCharType="begin"/>
        </w:r>
        <w:r w:rsidR="00670E7D">
          <w:rPr>
            <w:noProof/>
            <w:webHidden/>
          </w:rPr>
          <w:instrText xml:space="preserve"> PAGEREF _Toc7451472 \h </w:instrText>
        </w:r>
        <w:r w:rsidR="00670E7D">
          <w:rPr>
            <w:noProof/>
            <w:webHidden/>
          </w:rPr>
        </w:r>
        <w:r w:rsidR="00670E7D">
          <w:rPr>
            <w:noProof/>
            <w:webHidden/>
          </w:rPr>
          <w:fldChar w:fldCharType="separate"/>
        </w:r>
        <w:r w:rsidR="00670E7D">
          <w:rPr>
            <w:noProof/>
            <w:webHidden/>
          </w:rPr>
          <w:t>10</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73" w:history="1">
        <w:r w:rsidR="00670E7D" w:rsidRPr="00713D11">
          <w:rPr>
            <w:rStyle w:val="Hipersaitas"/>
            <w:rFonts w:ascii="Calibri" w:hAnsi="Calibri" w:cs="Calibri"/>
            <w:noProof/>
          </w:rPr>
          <w:t>Dėl grąžinimo į pareigas likusiam kadencijos laikui</w:t>
        </w:r>
        <w:r w:rsidR="00670E7D">
          <w:rPr>
            <w:noProof/>
            <w:webHidden/>
          </w:rPr>
          <w:tab/>
        </w:r>
        <w:r w:rsidR="00670E7D">
          <w:rPr>
            <w:noProof/>
            <w:webHidden/>
          </w:rPr>
          <w:fldChar w:fldCharType="begin"/>
        </w:r>
        <w:r w:rsidR="00670E7D">
          <w:rPr>
            <w:noProof/>
            <w:webHidden/>
          </w:rPr>
          <w:instrText xml:space="preserve"> PAGEREF _Toc7451473 \h </w:instrText>
        </w:r>
        <w:r w:rsidR="00670E7D">
          <w:rPr>
            <w:noProof/>
            <w:webHidden/>
          </w:rPr>
        </w:r>
        <w:r w:rsidR="00670E7D">
          <w:rPr>
            <w:noProof/>
            <w:webHidden/>
          </w:rPr>
          <w:fldChar w:fldCharType="separate"/>
        </w:r>
        <w:r w:rsidR="00670E7D">
          <w:rPr>
            <w:noProof/>
            <w:webHidden/>
          </w:rPr>
          <w:t>11</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74" w:history="1">
        <w:r w:rsidR="00670E7D" w:rsidRPr="00713D11">
          <w:rPr>
            <w:rStyle w:val="Hipersaitas"/>
            <w:noProof/>
          </w:rPr>
          <w:t>Dėl pareigos siūlyti pareigas, kurioms užimti paskelbtas konkursas</w:t>
        </w:r>
        <w:r w:rsidR="00670E7D">
          <w:rPr>
            <w:noProof/>
            <w:webHidden/>
          </w:rPr>
          <w:tab/>
        </w:r>
        <w:r w:rsidR="00670E7D">
          <w:rPr>
            <w:noProof/>
            <w:webHidden/>
          </w:rPr>
          <w:fldChar w:fldCharType="begin"/>
        </w:r>
        <w:r w:rsidR="00670E7D">
          <w:rPr>
            <w:noProof/>
            <w:webHidden/>
          </w:rPr>
          <w:instrText xml:space="preserve"> PAGEREF _Toc7451474 \h </w:instrText>
        </w:r>
        <w:r w:rsidR="00670E7D">
          <w:rPr>
            <w:noProof/>
            <w:webHidden/>
          </w:rPr>
        </w:r>
        <w:r w:rsidR="00670E7D">
          <w:rPr>
            <w:noProof/>
            <w:webHidden/>
          </w:rPr>
          <w:fldChar w:fldCharType="separate"/>
        </w:r>
        <w:r w:rsidR="00670E7D">
          <w:rPr>
            <w:noProof/>
            <w:webHidden/>
          </w:rPr>
          <w:t>11</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75" w:history="1">
        <w:r w:rsidR="00670E7D" w:rsidRPr="00713D11">
          <w:rPr>
            <w:rStyle w:val="Hipersaitas"/>
            <w:noProof/>
          </w:rPr>
          <w:t>Dėl institucijos, kompetentingos nagrinėti tarnybinius ginčus</w:t>
        </w:r>
        <w:r w:rsidR="00670E7D">
          <w:rPr>
            <w:noProof/>
            <w:webHidden/>
          </w:rPr>
          <w:tab/>
        </w:r>
        <w:r w:rsidR="00670E7D">
          <w:rPr>
            <w:noProof/>
            <w:webHidden/>
          </w:rPr>
          <w:fldChar w:fldCharType="begin"/>
        </w:r>
        <w:r w:rsidR="00670E7D">
          <w:rPr>
            <w:noProof/>
            <w:webHidden/>
          </w:rPr>
          <w:instrText xml:space="preserve"> PAGEREF _Toc7451475 \h </w:instrText>
        </w:r>
        <w:r w:rsidR="00670E7D">
          <w:rPr>
            <w:noProof/>
            <w:webHidden/>
          </w:rPr>
        </w:r>
        <w:r w:rsidR="00670E7D">
          <w:rPr>
            <w:noProof/>
            <w:webHidden/>
          </w:rPr>
          <w:fldChar w:fldCharType="separate"/>
        </w:r>
        <w:r w:rsidR="00670E7D">
          <w:rPr>
            <w:noProof/>
            <w:webHidden/>
          </w:rPr>
          <w:t>12</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76" w:history="1">
        <w:r w:rsidR="00670E7D" w:rsidRPr="00713D11">
          <w:rPr>
            <w:rStyle w:val="Hipersaitas"/>
            <w:rFonts w:cstheme="minorHAnsi"/>
            <w:noProof/>
          </w:rPr>
          <w:t>27. Visuomenės informavimas</w:t>
        </w:r>
        <w:r w:rsidR="00670E7D">
          <w:rPr>
            <w:noProof/>
            <w:webHidden/>
          </w:rPr>
          <w:tab/>
        </w:r>
        <w:r w:rsidR="00670E7D">
          <w:rPr>
            <w:noProof/>
            <w:webHidden/>
          </w:rPr>
          <w:fldChar w:fldCharType="begin"/>
        </w:r>
        <w:r w:rsidR="00670E7D">
          <w:rPr>
            <w:noProof/>
            <w:webHidden/>
          </w:rPr>
          <w:instrText xml:space="preserve"> PAGEREF _Toc7451476 \h </w:instrText>
        </w:r>
        <w:r w:rsidR="00670E7D">
          <w:rPr>
            <w:noProof/>
            <w:webHidden/>
          </w:rPr>
        </w:r>
        <w:r w:rsidR="00670E7D">
          <w:rPr>
            <w:noProof/>
            <w:webHidden/>
          </w:rPr>
          <w:fldChar w:fldCharType="separate"/>
        </w:r>
        <w:r w:rsidR="00670E7D">
          <w:rPr>
            <w:noProof/>
            <w:webHidden/>
          </w:rPr>
          <w:t>13</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77" w:history="1">
        <w:r w:rsidR="00670E7D" w:rsidRPr="00713D11">
          <w:rPr>
            <w:rStyle w:val="Hipersaitas"/>
            <w:rFonts w:cstheme="minorHAnsi"/>
            <w:noProof/>
          </w:rPr>
          <w:t>Dėl Lietuvos radijo ir televizijos komisijos pareigos priimti sprendimą teisės aktų nustatyta tvarka, kai ūkio subjektas įpareigojamas nutraukti neteisėtą televizijos programų platinimo internete paslaugų teikimą</w:t>
        </w:r>
        <w:r w:rsidR="00670E7D">
          <w:rPr>
            <w:noProof/>
            <w:webHidden/>
          </w:rPr>
          <w:tab/>
        </w:r>
        <w:r w:rsidR="00670E7D">
          <w:rPr>
            <w:noProof/>
            <w:webHidden/>
          </w:rPr>
          <w:fldChar w:fldCharType="begin"/>
        </w:r>
        <w:r w:rsidR="00670E7D">
          <w:rPr>
            <w:noProof/>
            <w:webHidden/>
          </w:rPr>
          <w:instrText xml:space="preserve"> PAGEREF _Toc7451477 \h </w:instrText>
        </w:r>
        <w:r w:rsidR="00670E7D">
          <w:rPr>
            <w:noProof/>
            <w:webHidden/>
          </w:rPr>
        </w:r>
        <w:r w:rsidR="00670E7D">
          <w:rPr>
            <w:noProof/>
            <w:webHidden/>
          </w:rPr>
          <w:fldChar w:fldCharType="separate"/>
        </w:r>
        <w:r w:rsidR="00670E7D">
          <w:rPr>
            <w:noProof/>
            <w:webHidden/>
          </w:rPr>
          <w:t>13</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78" w:history="1">
        <w:r w:rsidR="00670E7D" w:rsidRPr="00713D11">
          <w:rPr>
            <w:rStyle w:val="Hipersaitas"/>
            <w:rFonts w:cstheme="minorHAnsi"/>
            <w:noProof/>
          </w:rPr>
          <w:t>41. Kiti ginčai viešojo administravimo srityje</w:t>
        </w:r>
        <w:r w:rsidR="00670E7D">
          <w:rPr>
            <w:noProof/>
            <w:webHidden/>
          </w:rPr>
          <w:tab/>
        </w:r>
        <w:r w:rsidR="00670E7D">
          <w:rPr>
            <w:noProof/>
            <w:webHidden/>
          </w:rPr>
          <w:fldChar w:fldCharType="begin"/>
        </w:r>
        <w:r w:rsidR="00670E7D">
          <w:rPr>
            <w:noProof/>
            <w:webHidden/>
          </w:rPr>
          <w:instrText xml:space="preserve"> PAGEREF _Toc7451478 \h </w:instrText>
        </w:r>
        <w:r w:rsidR="00670E7D">
          <w:rPr>
            <w:noProof/>
            <w:webHidden/>
          </w:rPr>
        </w:r>
        <w:r w:rsidR="00670E7D">
          <w:rPr>
            <w:noProof/>
            <w:webHidden/>
          </w:rPr>
          <w:fldChar w:fldCharType="separate"/>
        </w:r>
        <w:r w:rsidR="00670E7D">
          <w:rPr>
            <w:noProof/>
            <w:webHidden/>
          </w:rPr>
          <w:t>14</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79" w:history="1">
        <w:r w:rsidR="00670E7D" w:rsidRPr="00713D11">
          <w:rPr>
            <w:rStyle w:val="Hipersaitas"/>
            <w:noProof/>
          </w:rPr>
          <w:t>Dėl teisėjo darbo stažo skaičiavimo</w:t>
        </w:r>
        <w:r w:rsidR="00670E7D">
          <w:rPr>
            <w:noProof/>
            <w:webHidden/>
          </w:rPr>
          <w:tab/>
        </w:r>
        <w:r w:rsidR="00670E7D">
          <w:rPr>
            <w:noProof/>
            <w:webHidden/>
          </w:rPr>
          <w:fldChar w:fldCharType="begin"/>
        </w:r>
        <w:r w:rsidR="00670E7D">
          <w:rPr>
            <w:noProof/>
            <w:webHidden/>
          </w:rPr>
          <w:instrText xml:space="preserve"> PAGEREF _Toc7451479 \h </w:instrText>
        </w:r>
        <w:r w:rsidR="00670E7D">
          <w:rPr>
            <w:noProof/>
            <w:webHidden/>
          </w:rPr>
        </w:r>
        <w:r w:rsidR="00670E7D">
          <w:rPr>
            <w:noProof/>
            <w:webHidden/>
          </w:rPr>
          <w:fldChar w:fldCharType="separate"/>
        </w:r>
        <w:r w:rsidR="00670E7D">
          <w:rPr>
            <w:noProof/>
            <w:webHidden/>
          </w:rPr>
          <w:t>14</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80" w:history="1">
        <w:r w:rsidR="00670E7D" w:rsidRPr="00713D11">
          <w:rPr>
            <w:rStyle w:val="Hipersaitas"/>
            <w:rFonts w:cstheme="minorHAnsi"/>
            <w:noProof/>
          </w:rPr>
          <w:t>Dėl nesąžiningos komercinės veiklos vartotojams draudimo</w:t>
        </w:r>
        <w:r w:rsidR="00670E7D">
          <w:rPr>
            <w:noProof/>
            <w:webHidden/>
          </w:rPr>
          <w:tab/>
        </w:r>
        <w:r w:rsidR="00670E7D">
          <w:rPr>
            <w:noProof/>
            <w:webHidden/>
          </w:rPr>
          <w:fldChar w:fldCharType="begin"/>
        </w:r>
        <w:r w:rsidR="00670E7D">
          <w:rPr>
            <w:noProof/>
            <w:webHidden/>
          </w:rPr>
          <w:instrText xml:space="preserve"> PAGEREF _Toc7451480 \h </w:instrText>
        </w:r>
        <w:r w:rsidR="00670E7D">
          <w:rPr>
            <w:noProof/>
            <w:webHidden/>
          </w:rPr>
        </w:r>
        <w:r w:rsidR="00670E7D">
          <w:rPr>
            <w:noProof/>
            <w:webHidden/>
          </w:rPr>
          <w:fldChar w:fldCharType="separate"/>
        </w:r>
        <w:r w:rsidR="00670E7D">
          <w:rPr>
            <w:noProof/>
            <w:webHidden/>
          </w:rPr>
          <w:t>15</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81" w:history="1">
        <w:r w:rsidR="00670E7D" w:rsidRPr="00713D11">
          <w:rPr>
            <w:rStyle w:val="Hipersaitas"/>
            <w:noProof/>
          </w:rPr>
          <w:t xml:space="preserve">Dėl turto ar verslo vertintojo </w:t>
        </w:r>
        <w:r w:rsidR="00FE0B4A">
          <w:rPr>
            <w:rStyle w:val="Hipersaitas"/>
            <w:noProof/>
          </w:rPr>
          <w:t>drausminės</w:t>
        </w:r>
        <w:r w:rsidR="00670E7D" w:rsidRPr="00713D11">
          <w:rPr>
            <w:rStyle w:val="Hipersaitas"/>
            <w:noProof/>
          </w:rPr>
          <w:t xml:space="preserve"> atsakomybės aspektų</w:t>
        </w:r>
        <w:r w:rsidR="00670E7D">
          <w:rPr>
            <w:noProof/>
            <w:webHidden/>
          </w:rPr>
          <w:tab/>
        </w:r>
        <w:r w:rsidR="00670E7D">
          <w:rPr>
            <w:noProof/>
            <w:webHidden/>
          </w:rPr>
          <w:fldChar w:fldCharType="begin"/>
        </w:r>
        <w:r w:rsidR="00670E7D">
          <w:rPr>
            <w:noProof/>
            <w:webHidden/>
          </w:rPr>
          <w:instrText xml:space="preserve"> PAGEREF _Toc7451481 \h </w:instrText>
        </w:r>
        <w:r w:rsidR="00670E7D">
          <w:rPr>
            <w:noProof/>
            <w:webHidden/>
          </w:rPr>
        </w:r>
        <w:r w:rsidR="00670E7D">
          <w:rPr>
            <w:noProof/>
            <w:webHidden/>
          </w:rPr>
          <w:fldChar w:fldCharType="separate"/>
        </w:r>
        <w:r w:rsidR="00670E7D">
          <w:rPr>
            <w:noProof/>
            <w:webHidden/>
          </w:rPr>
          <w:t>16</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82" w:history="1">
        <w:r w:rsidR="00670E7D" w:rsidRPr="00713D11">
          <w:rPr>
            <w:rStyle w:val="Hipersaitas"/>
            <w:rFonts w:cstheme="minorHAnsi"/>
            <w:noProof/>
          </w:rPr>
          <w:t>II. Administracinių bylų teisena</w:t>
        </w:r>
        <w:r w:rsidR="00670E7D">
          <w:rPr>
            <w:noProof/>
            <w:webHidden/>
          </w:rPr>
          <w:tab/>
        </w:r>
        <w:r w:rsidR="00670E7D">
          <w:rPr>
            <w:noProof/>
            <w:webHidden/>
          </w:rPr>
          <w:fldChar w:fldCharType="begin"/>
        </w:r>
        <w:r w:rsidR="00670E7D">
          <w:rPr>
            <w:noProof/>
            <w:webHidden/>
          </w:rPr>
          <w:instrText xml:space="preserve"> PAGEREF _Toc7451482 \h </w:instrText>
        </w:r>
        <w:r w:rsidR="00670E7D">
          <w:rPr>
            <w:noProof/>
            <w:webHidden/>
          </w:rPr>
        </w:r>
        <w:r w:rsidR="00670E7D">
          <w:rPr>
            <w:noProof/>
            <w:webHidden/>
          </w:rPr>
          <w:fldChar w:fldCharType="separate"/>
        </w:r>
        <w:r w:rsidR="00670E7D">
          <w:rPr>
            <w:noProof/>
            <w:webHidden/>
          </w:rPr>
          <w:t>17</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83" w:history="1">
        <w:r w:rsidR="00670E7D" w:rsidRPr="00713D11">
          <w:rPr>
            <w:rStyle w:val="Hipersaitas"/>
            <w:rFonts w:cstheme="minorHAnsi"/>
            <w:noProof/>
          </w:rPr>
          <w:t>43. Teisė kreiptis į teismą ir jos realizavimas</w:t>
        </w:r>
        <w:r w:rsidR="00670E7D">
          <w:rPr>
            <w:noProof/>
            <w:webHidden/>
          </w:rPr>
          <w:tab/>
        </w:r>
        <w:r w:rsidR="00670E7D">
          <w:rPr>
            <w:noProof/>
            <w:webHidden/>
          </w:rPr>
          <w:fldChar w:fldCharType="begin"/>
        </w:r>
        <w:r w:rsidR="00670E7D">
          <w:rPr>
            <w:noProof/>
            <w:webHidden/>
          </w:rPr>
          <w:instrText xml:space="preserve"> PAGEREF _Toc7451483 \h </w:instrText>
        </w:r>
        <w:r w:rsidR="00670E7D">
          <w:rPr>
            <w:noProof/>
            <w:webHidden/>
          </w:rPr>
        </w:r>
        <w:r w:rsidR="00670E7D">
          <w:rPr>
            <w:noProof/>
            <w:webHidden/>
          </w:rPr>
          <w:fldChar w:fldCharType="separate"/>
        </w:r>
        <w:r w:rsidR="00670E7D">
          <w:rPr>
            <w:noProof/>
            <w:webHidden/>
          </w:rPr>
          <w:t>17</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84" w:history="1">
        <w:r w:rsidR="00670E7D" w:rsidRPr="00713D11">
          <w:rPr>
            <w:rStyle w:val="Hipersaitas"/>
            <w:noProof/>
          </w:rPr>
          <w:t>Dėl atstovavimo, kai atstovavimo sutartyje nėra numatyta, kad ji galioja tam tikram terminui</w:t>
        </w:r>
        <w:r w:rsidR="00670E7D">
          <w:rPr>
            <w:noProof/>
            <w:webHidden/>
          </w:rPr>
          <w:tab/>
        </w:r>
        <w:r w:rsidR="00670E7D">
          <w:rPr>
            <w:noProof/>
            <w:webHidden/>
          </w:rPr>
          <w:fldChar w:fldCharType="begin"/>
        </w:r>
        <w:r w:rsidR="00670E7D">
          <w:rPr>
            <w:noProof/>
            <w:webHidden/>
          </w:rPr>
          <w:instrText xml:space="preserve"> PAGEREF _Toc7451484 \h </w:instrText>
        </w:r>
        <w:r w:rsidR="00670E7D">
          <w:rPr>
            <w:noProof/>
            <w:webHidden/>
          </w:rPr>
        </w:r>
        <w:r w:rsidR="00670E7D">
          <w:rPr>
            <w:noProof/>
            <w:webHidden/>
          </w:rPr>
          <w:fldChar w:fldCharType="separate"/>
        </w:r>
        <w:r w:rsidR="00670E7D">
          <w:rPr>
            <w:noProof/>
            <w:webHidden/>
          </w:rPr>
          <w:t>17</w:t>
        </w:r>
        <w:r w:rsidR="00670E7D">
          <w:rPr>
            <w:noProof/>
            <w:webHidden/>
          </w:rPr>
          <w:fldChar w:fldCharType="end"/>
        </w:r>
      </w:hyperlink>
    </w:p>
    <w:p w:rsidR="00670E7D" w:rsidRDefault="004264B2">
      <w:pPr>
        <w:pStyle w:val="Turinys1"/>
        <w:rPr>
          <w:rFonts w:eastAsiaTheme="minorEastAsia" w:cstheme="minorBidi"/>
          <w:b w:val="0"/>
          <w:bCs w:val="0"/>
          <w:caps w:val="0"/>
          <w:noProof/>
          <w:szCs w:val="22"/>
        </w:rPr>
      </w:pPr>
      <w:hyperlink w:anchor="_Toc7451485" w:history="1">
        <w:r w:rsidR="00670E7D" w:rsidRPr="00713D11">
          <w:rPr>
            <w:rStyle w:val="Hipersaitas"/>
            <w:rFonts w:ascii="Calibri" w:hAnsi="Calibri" w:cs="Calibri"/>
            <w:noProof/>
          </w:rPr>
          <w:t>54. Skundo palikimas nenagrinėtu</w:t>
        </w:r>
        <w:r w:rsidR="00670E7D">
          <w:rPr>
            <w:noProof/>
            <w:webHidden/>
          </w:rPr>
          <w:tab/>
        </w:r>
        <w:r w:rsidR="00670E7D">
          <w:rPr>
            <w:noProof/>
            <w:webHidden/>
          </w:rPr>
          <w:fldChar w:fldCharType="begin"/>
        </w:r>
        <w:r w:rsidR="00670E7D">
          <w:rPr>
            <w:noProof/>
            <w:webHidden/>
          </w:rPr>
          <w:instrText xml:space="preserve"> PAGEREF _Toc7451485 \h </w:instrText>
        </w:r>
        <w:r w:rsidR="00670E7D">
          <w:rPr>
            <w:noProof/>
            <w:webHidden/>
          </w:rPr>
        </w:r>
        <w:r w:rsidR="00670E7D">
          <w:rPr>
            <w:noProof/>
            <w:webHidden/>
          </w:rPr>
          <w:fldChar w:fldCharType="separate"/>
        </w:r>
        <w:r w:rsidR="00670E7D">
          <w:rPr>
            <w:noProof/>
            <w:webHidden/>
          </w:rPr>
          <w:t>18</w:t>
        </w:r>
        <w:r w:rsidR="00670E7D">
          <w:rPr>
            <w:noProof/>
            <w:webHidden/>
          </w:rPr>
          <w:fldChar w:fldCharType="end"/>
        </w:r>
      </w:hyperlink>
    </w:p>
    <w:p w:rsidR="00670E7D" w:rsidRDefault="004264B2">
      <w:pPr>
        <w:pStyle w:val="Turinys2"/>
        <w:rPr>
          <w:rFonts w:eastAsiaTheme="minorEastAsia" w:cstheme="minorBidi"/>
          <w:i w:val="0"/>
          <w:noProof/>
          <w:szCs w:val="22"/>
        </w:rPr>
      </w:pPr>
      <w:hyperlink w:anchor="_Toc7451486" w:history="1">
        <w:r w:rsidR="00670E7D" w:rsidRPr="00713D11">
          <w:rPr>
            <w:rStyle w:val="Hipersaitas"/>
            <w:rFonts w:ascii="Calibri" w:hAnsi="Calibri" w:cs="Calibri"/>
            <w:noProof/>
          </w:rPr>
          <w:t>Dėl teismo pareigos išnaudoti procesines galimybes, prieš paliekant skundą nenagrinėtu</w:t>
        </w:r>
        <w:r w:rsidR="00670E7D">
          <w:rPr>
            <w:noProof/>
            <w:webHidden/>
          </w:rPr>
          <w:tab/>
        </w:r>
        <w:r w:rsidR="00670E7D">
          <w:rPr>
            <w:noProof/>
            <w:webHidden/>
          </w:rPr>
          <w:fldChar w:fldCharType="begin"/>
        </w:r>
        <w:r w:rsidR="00670E7D">
          <w:rPr>
            <w:noProof/>
            <w:webHidden/>
          </w:rPr>
          <w:instrText xml:space="preserve"> PAGEREF _Toc7451486 \h </w:instrText>
        </w:r>
        <w:r w:rsidR="00670E7D">
          <w:rPr>
            <w:noProof/>
            <w:webHidden/>
          </w:rPr>
        </w:r>
        <w:r w:rsidR="00670E7D">
          <w:rPr>
            <w:noProof/>
            <w:webHidden/>
          </w:rPr>
          <w:fldChar w:fldCharType="separate"/>
        </w:r>
        <w:r w:rsidR="00670E7D">
          <w:rPr>
            <w:noProof/>
            <w:webHidden/>
          </w:rPr>
          <w:t>18</w:t>
        </w:r>
        <w:r w:rsidR="00670E7D">
          <w:rPr>
            <w:noProof/>
            <w:webHidden/>
          </w:rPr>
          <w:fldChar w:fldCharType="end"/>
        </w:r>
      </w:hyperlink>
    </w:p>
    <w:p w:rsidR="0028287C" w:rsidRDefault="00A364C6" w:rsidP="00025BA1">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6"/>
    </w:p>
    <w:p w:rsidR="00263369" w:rsidRDefault="00263369" w:rsidP="00025BA1">
      <w:pPr>
        <w:spacing w:before="240" w:after="240"/>
        <w:jc w:val="both"/>
        <w:rPr>
          <w:rFonts w:asciiTheme="minorHAnsi" w:hAnsiTheme="minorHAnsi" w:cstheme="minorHAnsi"/>
          <w:sz w:val="22"/>
          <w:szCs w:val="22"/>
        </w:rPr>
      </w:pPr>
    </w:p>
    <w:p w:rsidR="00263369" w:rsidRDefault="00263369" w:rsidP="00025BA1">
      <w:pPr>
        <w:spacing w:before="240" w:after="240"/>
        <w:jc w:val="both"/>
        <w:rPr>
          <w:rFonts w:asciiTheme="minorHAnsi" w:hAnsiTheme="minorHAnsi" w:cstheme="minorHAnsi"/>
          <w:sz w:val="22"/>
          <w:szCs w:val="22"/>
        </w:rPr>
      </w:pPr>
      <w:bookmarkStart w:id="8" w:name="_GoBack"/>
      <w:bookmarkEnd w:id="8"/>
    </w:p>
    <w:p w:rsidR="00990DD5" w:rsidRDefault="00990DD5" w:rsidP="00025BA1">
      <w:pPr>
        <w:spacing w:before="240" w:after="240"/>
        <w:jc w:val="both"/>
        <w:rPr>
          <w:rFonts w:asciiTheme="minorHAnsi" w:hAnsiTheme="minorHAnsi" w:cstheme="minorHAnsi"/>
          <w:sz w:val="22"/>
          <w:szCs w:val="22"/>
        </w:rPr>
      </w:pPr>
    </w:p>
    <w:p w:rsidR="00990DD5" w:rsidRDefault="00990DD5" w:rsidP="00025BA1">
      <w:pPr>
        <w:spacing w:before="240" w:after="240"/>
        <w:jc w:val="both"/>
        <w:rPr>
          <w:rFonts w:asciiTheme="minorHAnsi" w:hAnsiTheme="minorHAnsi" w:cstheme="minorHAnsi"/>
          <w:sz w:val="22"/>
          <w:szCs w:val="22"/>
        </w:rPr>
      </w:pPr>
    </w:p>
    <w:p w:rsidR="00990DD5" w:rsidRDefault="00990DD5" w:rsidP="00025BA1">
      <w:pPr>
        <w:spacing w:before="240" w:after="240"/>
        <w:jc w:val="both"/>
        <w:rPr>
          <w:rFonts w:asciiTheme="minorHAnsi" w:hAnsiTheme="minorHAnsi" w:cstheme="minorHAnsi"/>
          <w:sz w:val="22"/>
          <w:szCs w:val="22"/>
        </w:rPr>
      </w:pPr>
    </w:p>
    <w:p w:rsidR="00293CF6" w:rsidRDefault="00293CF6" w:rsidP="00025BA1">
      <w:pPr>
        <w:jc w:val="both"/>
        <w:rPr>
          <w:rFonts w:asciiTheme="minorHAnsi" w:hAnsiTheme="minorHAnsi" w:cstheme="minorHAnsi"/>
          <w:sz w:val="22"/>
          <w:szCs w:val="22"/>
        </w:rPr>
      </w:pPr>
      <w:r>
        <w:rPr>
          <w:rFonts w:asciiTheme="minorHAnsi" w:hAnsiTheme="minorHAnsi" w:cstheme="minorHAnsi"/>
          <w:sz w:val="22"/>
          <w:szCs w:val="22"/>
        </w:rPr>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rsidR="00293CF6" w:rsidRDefault="00293CF6" w:rsidP="00025BA1">
      <w:pPr>
        <w:jc w:val="both"/>
        <w:rPr>
          <w:rFonts w:asciiTheme="minorHAnsi" w:hAnsiTheme="minorHAnsi" w:cstheme="minorHAnsi"/>
          <w:sz w:val="22"/>
          <w:szCs w:val="22"/>
        </w:rPr>
      </w:pPr>
    </w:p>
    <w:p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Respublikos administracinių bylų teisenos įstatymas – </w:t>
      </w:r>
      <w:r w:rsidRPr="004C384F">
        <w:rPr>
          <w:rFonts w:asciiTheme="minorHAnsi" w:hAnsiTheme="minorHAnsi" w:cstheme="minorHAnsi"/>
          <w:b/>
          <w:sz w:val="22"/>
          <w:szCs w:val="22"/>
        </w:rPr>
        <w:t>ABTĮ</w:t>
      </w:r>
      <w:r w:rsidRPr="004C384F">
        <w:rPr>
          <w:rFonts w:asciiTheme="minorHAnsi" w:hAnsiTheme="minorHAnsi" w:cstheme="minorHAnsi"/>
          <w:sz w:val="22"/>
          <w:szCs w:val="22"/>
        </w:rPr>
        <w:t xml:space="preserve"> </w:t>
      </w:r>
    </w:p>
    <w:p w:rsidR="00293CF6" w:rsidRPr="00841BF3" w:rsidRDefault="00293CF6" w:rsidP="00025BA1">
      <w:pPr>
        <w:jc w:val="both"/>
        <w:rPr>
          <w:rFonts w:asciiTheme="minorHAnsi" w:hAnsiTheme="minorHAnsi" w:cstheme="minorHAnsi"/>
          <w:sz w:val="22"/>
          <w:szCs w:val="22"/>
        </w:rPr>
      </w:pPr>
      <w:r w:rsidRPr="00841BF3">
        <w:rPr>
          <w:rFonts w:asciiTheme="minorHAnsi" w:hAnsiTheme="minorHAnsi" w:cstheme="minorHAnsi"/>
          <w:sz w:val="22"/>
          <w:szCs w:val="22"/>
        </w:rPr>
        <w:t xml:space="preserve">Lietuvos Respublikos civilinis kodeksas – </w:t>
      </w:r>
      <w:r w:rsidRPr="00841BF3">
        <w:rPr>
          <w:rFonts w:asciiTheme="minorHAnsi" w:hAnsiTheme="minorHAnsi" w:cstheme="minorHAnsi"/>
          <w:b/>
          <w:sz w:val="22"/>
          <w:szCs w:val="22"/>
        </w:rPr>
        <w:t>CK</w:t>
      </w:r>
      <w:r w:rsidRPr="00841BF3">
        <w:rPr>
          <w:rFonts w:asciiTheme="minorHAnsi" w:hAnsiTheme="minorHAnsi" w:cstheme="minorHAnsi"/>
          <w:sz w:val="22"/>
          <w:szCs w:val="22"/>
        </w:rPr>
        <w:t xml:space="preserve"> </w:t>
      </w:r>
    </w:p>
    <w:p w:rsidR="004C384F" w:rsidRDefault="004C384F" w:rsidP="00025BA1">
      <w:pPr>
        <w:jc w:val="both"/>
        <w:rPr>
          <w:rFonts w:asciiTheme="minorHAnsi" w:hAnsiTheme="minorHAnsi" w:cstheme="minorHAnsi"/>
          <w:b/>
          <w:bCs/>
          <w:sz w:val="22"/>
          <w:szCs w:val="22"/>
        </w:rPr>
      </w:pPr>
      <w:r w:rsidRPr="00A00FBF">
        <w:rPr>
          <w:rFonts w:asciiTheme="minorHAnsi" w:hAnsiTheme="minorHAnsi" w:cstheme="minorHAnsi"/>
          <w:bCs/>
          <w:sz w:val="22"/>
          <w:szCs w:val="22"/>
        </w:rPr>
        <w:t>Lietuvos Respublikos civilinio proceso ko</w:t>
      </w:r>
      <w:r>
        <w:rPr>
          <w:rFonts w:asciiTheme="minorHAnsi" w:hAnsiTheme="minorHAnsi" w:cstheme="minorHAnsi"/>
          <w:bCs/>
          <w:sz w:val="22"/>
          <w:szCs w:val="22"/>
        </w:rPr>
        <w:t xml:space="preserve">deksas – </w:t>
      </w:r>
      <w:r w:rsidRPr="004C384F">
        <w:rPr>
          <w:rFonts w:asciiTheme="minorHAnsi" w:hAnsiTheme="minorHAnsi" w:cstheme="minorHAnsi"/>
          <w:b/>
          <w:bCs/>
          <w:sz w:val="22"/>
          <w:szCs w:val="22"/>
        </w:rPr>
        <w:t>CPK</w:t>
      </w:r>
    </w:p>
    <w:p w:rsidR="005076B4" w:rsidRPr="00FB305C" w:rsidRDefault="005076B4" w:rsidP="00025BA1">
      <w:pPr>
        <w:jc w:val="both"/>
        <w:rPr>
          <w:rFonts w:asciiTheme="minorHAnsi" w:hAnsiTheme="minorHAnsi" w:cstheme="minorHAnsi"/>
          <w:b/>
          <w:sz w:val="22"/>
          <w:szCs w:val="22"/>
        </w:rPr>
      </w:pPr>
      <w:r w:rsidRPr="005076B4">
        <w:rPr>
          <w:rFonts w:asciiTheme="minorHAnsi" w:hAnsiTheme="minorHAnsi" w:cstheme="minorHAnsi"/>
          <w:sz w:val="22"/>
          <w:szCs w:val="22"/>
        </w:rPr>
        <w:t>Lietuvos Respublikos darbo kodeksas –</w:t>
      </w:r>
      <w:r>
        <w:rPr>
          <w:rFonts w:asciiTheme="minorHAnsi" w:hAnsiTheme="minorHAnsi" w:cstheme="minorHAnsi"/>
          <w:b/>
          <w:sz w:val="22"/>
          <w:szCs w:val="22"/>
        </w:rPr>
        <w:t xml:space="preserve"> DK </w:t>
      </w:r>
    </w:p>
    <w:p w:rsidR="00293CF6" w:rsidRPr="00FB305C" w:rsidRDefault="00293CF6" w:rsidP="00025BA1">
      <w:pPr>
        <w:jc w:val="both"/>
        <w:rPr>
          <w:rFonts w:asciiTheme="minorHAnsi" w:hAnsiTheme="minorHAnsi" w:cstheme="minorHAnsi"/>
          <w:b/>
          <w:sz w:val="22"/>
          <w:szCs w:val="22"/>
        </w:rPr>
      </w:pPr>
      <w:r w:rsidRPr="00FB305C">
        <w:rPr>
          <w:rFonts w:asciiTheme="minorHAnsi" w:hAnsiTheme="minorHAnsi" w:cstheme="minorHAnsi"/>
          <w:sz w:val="22"/>
          <w:szCs w:val="22"/>
        </w:rPr>
        <w:t xml:space="preserve">Uždaroji akcinė bendrovė – </w:t>
      </w:r>
      <w:r w:rsidRPr="00FB305C">
        <w:rPr>
          <w:rFonts w:asciiTheme="minorHAnsi" w:hAnsiTheme="minorHAnsi" w:cstheme="minorHAnsi"/>
          <w:b/>
          <w:sz w:val="22"/>
          <w:szCs w:val="22"/>
        </w:rPr>
        <w:t>UAB</w:t>
      </w:r>
    </w:p>
    <w:p w:rsidR="00841BF3" w:rsidRDefault="00841BF3" w:rsidP="00025BA1">
      <w:pPr>
        <w:jc w:val="both"/>
        <w:rPr>
          <w:rFonts w:asciiTheme="minorHAnsi" w:hAnsiTheme="minorHAnsi" w:cstheme="minorHAnsi"/>
          <w:sz w:val="22"/>
          <w:szCs w:val="22"/>
        </w:rPr>
      </w:pPr>
      <w:r w:rsidRPr="00841BF3">
        <w:rPr>
          <w:rFonts w:asciiTheme="minorHAnsi" w:hAnsiTheme="minorHAnsi" w:cstheme="minorHAnsi"/>
          <w:sz w:val="22"/>
          <w:szCs w:val="22"/>
        </w:rPr>
        <w:t>Lietuvos Aukščiausiasis Teismas –</w:t>
      </w:r>
      <w:r>
        <w:rPr>
          <w:rFonts w:asciiTheme="minorHAnsi" w:hAnsiTheme="minorHAnsi" w:cstheme="minorHAnsi"/>
          <w:b/>
          <w:sz w:val="22"/>
          <w:szCs w:val="22"/>
        </w:rPr>
        <w:t xml:space="preserve"> LAT</w:t>
      </w:r>
    </w:p>
    <w:p w:rsidR="006D2858" w:rsidRDefault="006D2858" w:rsidP="00025BA1">
      <w:pPr>
        <w:spacing w:before="240" w:after="240"/>
        <w:jc w:val="both"/>
        <w:rPr>
          <w:rFonts w:asciiTheme="minorHAnsi" w:hAnsiTheme="minorHAnsi" w:cstheme="minorHAnsi"/>
          <w:b/>
          <w:sz w:val="22"/>
          <w:szCs w:val="22"/>
        </w:rPr>
      </w:pPr>
    </w:p>
    <w:p w:rsidR="004B5E60" w:rsidRDefault="00E227FE" w:rsidP="00025BA1">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9E6C8D" w:rsidRPr="00B240C0">
        <w:rPr>
          <w:rFonts w:asciiTheme="minorHAnsi" w:hAnsiTheme="minorHAnsi" w:cstheme="minorHAnsi"/>
          <w:sz w:val="22"/>
          <w:szCs w:val="22"/>
        </w:rPr>
        <w:t>rm</w:t>
      </w:r>
      <w:r w:rsidR="00563D54">
        <w:rPr>
          <w:rFonts w:asciiTheme="minorHAnsi" w:hAnsiTheme="minorHAnsi" w:cstheme="minorHAnsi"/>
          <w:sz w:val="22"/>
          <w:szCs w:val="22"/>
        </w:rPr>
        <w:t>uoti</w:t>
      </w:r>
      <w:r w:rsidR="003D4C15" w:rsidRPr="00B240C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 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9" w:name="_Toc410389752"/>
      <w:bookmarkStart w:id="10" w:name="_Toc361146890"/>
      <w:bookmarkEnd w:id="7"/>
      <w:r w:rsidR="00CA65D3">
        <w:rPr>
          <w:rFonts w:asciiTheme="minorHAnsi" w:hAnsiTheme="minorHAnsi" w:cstheme="minorHAnsi"/>
          <w:sz w:val="22"/>
          <w:szCs w:val="22"/>
        </w:rPr>
        <w:t xml:space="preserve"> </w:t>
      </w:r>
    </w:p>
    <w:p w:rsidR="00716975" w:rsidRDefault="00716975" w:rsidP="00025BA1">
      <w:pPr>
        <w:jc w:val="both"/>
        <w:rPr>
          <w:rFonts w:asciiTheme="minorHAnsi" w:hAnsiTheme="minorHAnsi" w:cstheme="minorHAnsi"/>
          <w:sz w:val="22"/>
          <w:szCs w:val="22"/>
        </w:rPr>
      </w:pPr>
    </w:p>
    <w:p w:rsidR="0007050C" w:rsidRDefault="0007050C" w:rsidP="00025BA1">
      <w:pPr>
        <w:spacing w:before="240" w:after="240"/>
        <w:jc w:val="both"/>
        <w:rPr>
          <w:rFonts w:asciiTheme="minorHAnsi" w:hAnsiTheme="minorHAnsi" w:cstheme="minorHAnsi"/>
          <w:sz w:val="22"/>
          <w:szCs w:val="22"/>
        </w:rPr>
      </w:pPr>
      <w:r>
        <w:rPr>
          <w:rFonts w:asciiTheme="minorHAnsi" w:hAnsiTheme="minorHAnsi" w:cstheme="minorHAnsi"/>
          <w:sz w:val="22"/>
          <w:szCs w:val="22"/>
        </w:rPr>
        <w:br w:type="page"/>
      </w:r>
    </w:p>
    <w:p w:rsidR="00A84D45" w:rsidRPr="00B240C0" w:rsidRDefault="00A84D45" w:rsidP="00025BA1">
      <w:pPr>
        <w:pStyle w:val="Apzvalgai1"/>
        <w:rPr>
          <w:rFonts w:asciiTheme="minorHAnsi" w:hAnsiTheme="minorHAnsi" w:cstheme="minorHAnsi"/>
        </w:rPr>
      </w:pPr>
      <w:bookmarkStart w:id="11" w:name="_Toc519600852"/>
      <w:bookmarkStart w:id="12" w:name="_Toc7451460"/>
      <w:r w:rsidRPr="00B240C0">
        <w:rPr>
          <w:rFonts w:asciiTheme="minorHAnsi" w:hAnsiTheme="minorHAnsi" w:cstheme="minorHAnsi"/>
        </w:rPr>
        <w:lastRenderedPageBreak/>
        <w:t>I. Administracinės bylos, kylančios iš ginčų dėl teisės viešojo administravimo srityje</w:t>
      </w:r>
      <w:bookmarkEnd w:id="11"/>
      <w:bookmarkEnd w:id="12"/>
    </w:p>
    <w:p w:rsidR="00D70C5F" w:rsidRDefault="00D70C5F" w:rsidP="00025BA1">
      <w:pPr>
        <w:rPr>
          <w:rFonts w:asciiTheme="minorHAnsi" w:hAnsiTheme="minorHAnsi" w:cstheme="minorHAnsi"/>
          <w:b/>
          <w:bCs/>
          <w:sz w:val="22"/>
          <w:szCs w:val="22"/>
          <w:u w:val="single"/>
        </w:rPr>
      </w:pPr>
      <w:bookmarkStart w:id="13" w:name="_Toc462149990"/>
      <w:bookmarkStart w:id="14" w:name="_Toc462150004"/>
      <w:bookmarkStart w:id="15" w:name="_Toc462149971"/>
      <w:bookmarkStart w:id="16" w:name="_Toc462149972"/>
    </w:p>
    <w:p w:rsidR="006E15AD" w:rsidRDefault="006E15AD" w:rsidP="00025BA1">
      <w:pPr>
        <w:pStyle w:val="Antrat1"/>
        <w:rPr>
          <w:rFonts w:asciiTheme="minorHAnsi" w:hAnsiTheme="minorHAnsi"/>
        </w:rPr>
      </w:pPr>
      <w:bookmarkStart w:id="17" w:name="_Toc7451461"/>
      <w:bookmarkEnd w:id="13"/>
      <w:bookmarkEnd w:id="14"/>
      <w:bookmarkEnd w:id="15"/>
      <w:bookmarkEnd w:id="16"/>
      <w:r>
        <w:rPr>
          <w:rFonts w:asciiTheme="minorHAnsi" w:hAnsiTheme="minorHAnsi"/>
        </w:rPr>
        <w:t>4</w:t>
      </w:r>
      <w:r w:rsidRPr="00A06756">
        <w:rPr>
          <w:rFonts w:asciiTheme="minorHAnsi" w:hAnsiTheme="minorHAnsi"/>
        </w:rPr>
        <w:t xml:space="preserve">. </w:t>
      </w:r>
      <w:r w:rsidRPr="00D5035E">
        <w:rPr>
          <w:rFonts w:asciiTheme="minorHAnsi" w:hAnsiTheme="minorHAnsi"/>
        </w:rPr>
        <w:t>Norminių administracinių aktų teisėtumo patikra</w:t>
      </w:r>
      <w:bookmarkEnd w:id="17"/>
    </w:p>
    <w:p w:rsidR="006E15AD" w:rsidRPr="00EC0D17" w:rsidRDefault="006E15AD" w:rsidP="00025BA1">
      <w:pPr>
        <w:ind w:firstLine="567"/>
        <w:rPr>
          <w:rFonts w:asciiTheme="minorHAnsi" w:hAnsiTheme="minorHAnsi"/>
          <w:b/>
          <w:sz w:val="22"/>
          <w:szCs w:val="22"/>
          <w:u w:val="single"/>
        </w:rPr>
      </w:pPr>
      <w:r w:rsidRPr="00EC0D17">
        <w:rPr>
          <w:rFonts w:asciiTheme="minorHAnsi" w:hAnsiTheme="minorHAnsi"/>
          <w:b/>
          <w:sz w:val="22"/>
          <w:szCs w:val="22"/>
          <w:u w:val="single"/>
        </w:rPr>
        <w:t>4.1. Centrinių valstybinio administravimo subjektų norminių administracinių aktų teisėtumas</w:t>
      </w:r>
    </w:p>
    <w:p w:rsidR="006E15AD" w:rsidRDefault="006E15AD" w:rsidP="00025BA1">
      <w:pPr>
        <w:rPr>
          <w:rFonts w:asciiTheme="minorHAnsi" w:hAnsiTheme="minorHAnsi" w:cstheme="minorHAnsi"/>
          <w:sz w:val="22"/>
          <w:szCs w:val="22"/>
        </w:rPr>
      </w:pPr>
    </w:p>
    <w:p w:rsidR="00A40C78" w:rsidRPr="00733E95" w:rsidRDefault="00A40C78" w:rsidP="00A40C78">
      <w:pPr>
        <w:pStyle w:val="Antrat2"/>
        <w:rPr>
          <w:i w:val="0"/>
        </w:rPr>
      </w:pPr>
      <w:bookmarkStart w:id="18" w:name="_Toc7451462"/>
      <w:r w:rsidRPr="00733E95">
        <w:t>Dėl reikalavimo apskaičiuojant palyginamosios šilumos gamybos sąnaudas atsižvelgti į šilumos tiekėjo pastoviosioms priskiriamas sąnaudas</w:t>
      </w:r>
      <w:bookmarkEnd w:id="18"/>
    </w:p>
    <w:p w:rsidR="00A40C78" w:rsidRPr="00733E95" w:rsidRDefault="00A40C78" w:rsidP="00A40C78">
      <w:pPr>
        <w:ind w:firstLine="567"/>
        <w:jc w:val="both"/>
        <w:rPr>
          <w:rFonts w:asciiTheme="minorHAnsi" w:hAnsiTheme="minorHAnsi" w:cstheme="minorHAnsi"/>
          <w:sz w:val="22"/>
          <w:szCs w:val="22"/>
        </w:rPr>
      </w:pP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Apžvelgiamoje byloje bu</w:t>
      </w:r>
      <w:r>
        <w:rPr>
          <w:rFonts w:asciiTheme="minorHAnsi" w:hAnsiTheme="minorHAnsi" w:cstheme="minorHAnsi"/>
          <w:sz w:val="22"/>
          <w:szCs w:val="22"/>
        </w:rPr>
        <w:t>v</w:t>
      </w:r>
      <w:r w:rsidRPr="00733E95">
        <w:rPr>
          <w:rFonts w:asciiTheme="minorHAnsi" w:hAnsiTheme="minorHAnsi" w:cstheme="minorHAnsi"/>
          <w:sz w:val="22"/>
          <w:szCs w:val="22"/>
        </w:rPr>
        <w:t>o nagrinėjamas Lietuvos Respublikos Seimo na</w:t>
      </w:r>
      <w:r>
        <w:rPr>
          <w:rFonts w:asciiTheme="minorHAnsi" w:hAnsiTheme="minorHAnsi" w:cstheme="minorHAnsi"/>
          <w:sz w:val="22"/>
          <w:szCs w:val="22"/>
        </w:rPr>
        <w:t>r</w:t>
      </w:r>
      <w:r w:rsidRPr="00733E95">
        <w:rPr>
          <w:rFonts w:asciiTheme="minorHAnsi" w:hAnsiTheme="minorHAnsi" w:cstheme="minorHAnsi"/>
          <w:sz w:val="22"/>
          <w:szCs w:val="22"/>
        </w:rPr>
        <w:t>i</w:t>
      </w:r>
      <w:r>
        <w:rPr>
          <w:rFonts w:asciiTheme="minorHAnsi" w:hAnsiTheme="minorHAnsi" w:cstheme="minorHAnsi"/>
          <w:sz w:val="22"/>
          <w:szCs w:val="22"/>
        </w:rPr>
        <w:t>o</w:t>
      </w:r>
      <w:r w:rsidRPr="00733E95">
        <w:rPr>
          <w:rFonts w:asciiTheme="minorHAnsi" w:hAnsiTheme="minorHAnsi" w:cstheme="minorHAnsi"/>
          <w:sz w:val="22"/>
          <w:szCs w:val="22"/>
        </w:rPr>
        <w:t xml:space="preserve"> pareiškimas</w:t>
      </w:r>
      <w:r>
        <w:rPr>
          <w:rFonts w:asciiTheme="minorHAnsi" w:hAnsiTheme="minorHAnsi" w:cstheme="minorHAnsi"/>
          <w:sz w:val="22"/>
          <w:szCs w:val="22"/>
        </w:rPr>
        <w:t xml:space="preserve"> </w:t>
      </w:r>
      <w:r w:rsidRPr="00733E95">
        <w:rPr>
          <w:rFonts w:asciiTheme="minorHAnsi" w:hAnsiTheme="minorHAnsi" w:cstheme="minorHAnsi"/>
          <w:sz w:val="22"/>
          <w:szCs w:val="22"/>
        </w:rPr>
        <w:t>dėl Šilumos gamybos ir (ar) supirkimo tvarkos ir sąlygų aprašo, patvirtinto Valstybinės kainų ir energetikos kontrolės komisijos (toliau – ir Komisija) 2010 m. spalio 4 d. nutarimu Nr. O3-202 (Komisijos 2018 m. vasario 28 d. nutarimo Nr. O3E-54, iš dalies pakeisto Komisijos 2018 m. lapkričio 30 d. nutarimu Nr. O3E-433, redakcija; toliau – ir Supirkimo tvarka), 14.2 punkt</w:t>
      </w:r>
      <w:r>
        <w:rPr>
          <w:rFonts w:asciiTheme="minorHAnsi" w:hAnsiTheme="minorHAnsi" w:cstheme="minorHAnsi"/>
          <w:sz w:val="22"/>
          <w:szCs w:val="22"/>
        </w:rPr>
        <w:t>o</w:t>
      </w:r>
      <w:r w:rsidRPr="00733E95">
        <w:rPr>
          <w:rFonts w:asciiTheme="minorHAnsi" w:hAnsiTheme="minorHAnsi" w:cstheme="minorHAnsi"/>
          <w:sz w:val="22"/>
          <w:szCs w:val="22"/>
        </w:rPr>
        <w:t xml:space="preserve"> teisėtumo.</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Šis punktas nustato, kaip apskaičiuojamos palyginamosios šilumos gamybos sąnaudos šaltuoju metų laikotarpiu: numatoma, kad šias sąnaudas sudaro kintamoji ir pastovioji dedamosios bei nustatoma, kaip šios dedamosios apskaičiuojamos. Pareiškėjas šios norminio administracinio akto nuostatos teisėtumu abejojo tik tiek, kiek apskaičiuojant palyginamosios šilumos gamybos sąnaudas yra įtraukiamos pastoviosioms šilumos gamybos sąnaudoms priskiriamos sąnaudos.</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Vadovaujantis Šilumos ūkio įstatymo 10 straipsnio 1 dalimi (2018 m. kovo 29 d. įstatymo Nr. XIII-1062 redakcija), „šilumos tiekėjas šilumos vartotojų poreikiams patenkinti reikalingą šilumos kiekį gamina turimais šilumos gamybos įrenginiais. Jeigu aprūpinimo šiluma sistemoje veikia nors vienas nepriklausomas šilumos gamintojas, prognozuojamas šilumos kiekis, reikalingas šilumos vartotojų poreikiams patenkinti, gaminamas ir (ar) superkamas šilumos aukciono būdu &lt;...&gt;“. Šilumos aukcioną įstatymų leidėjas Šilumo</w:t>
      </w:r>
      <w:r>
        <w:rPr>
          <w:rFonts w:asciiTheme="minorHAnsi" w:hAnsiTheme="minorHAnsi" w:cstheme="minorHAnsi"/>
          <w:sz w:val="22"/>
          <w:szCs w:val="22"/>
        </w:rPr>
        <w:t>s ūkio įstatymo 2 </w:t>
      </w:r>
      <w:r w:rsidRPr="00733E95">
        <w:rPr>
          <w:rFonts w:asciiTheme="minorHAnsi" w:hAnsiTheme="minorHAnsi" w:cstheme="minorHAnsi"/>
          <w:sz w:val="22"/>
          <w:szCs w:val="22"/>
        </w:rPr>
        <w:t>straipsnio 31 dalyje (2018 m. kovo 29 d. įstatymo Nr. XIII-1062 redakcija) apibrėžia kaip „šilumos tiekėjo prognozuojamo šilumos kiekio, gaminamo turimuose šilumos gamybos įrenginiuose ir (ar) superkamo iš nepriklausomų šilumos gamintojų pagal aukciono dalyvių pasiūlytą kainą ir aprūpinimo šiluma sistemos technines galimybes, nustatymo aukciono būdu sistema“. Šioje nuostatoje minimi aukciono dalyviai – „asmuo, &lt;...&gt; nustatyta tvarka teikiantis pasiūlymus gaminti ar parduoti šilumos energiją šilumos aukcione“ (Šilumos ūkio įstatymo 2 str. 32 d. 2018 m. kovo 29 d. įstatymo Nr. XIII-1062 redakcija), t. y. tiek šilumos tiekėjai, tiek nepriklausomi šilumos gamintojai.</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Iš šilumos gamybos ir (ar) supirkimo šilumos aukciono būdu bendruosius principus nustatančio Šilumos ūkio įstatymo 10</w:t>
      </w:r>
      <w:r w:rsidRPr="00733E95">
        <w:rPr>
          <w:rFonts w:asciiTheme="minorHAnsi" w:hAnsiTheme="minorHAnsi" w:cstheme="minorHAnsi"/>
          <w:sz w:val="22"/>
          <w:szCs w:val="22"/>
          <w:vertAlign w:val="superscript"/>
        </w:rPr>
        <w:t>1</w:t>
      </w:r>
      <w:r w:rsidRPr="00733E95">
        <w:rPr>
          <w:rFonts w:asciiTheme="minorHAnsi" w:hAnsiTheme="minorHAnsi" w:cstheme="minorHAnsi"/>
          <w:sz w:val="22"/>
          <w:szCs w:val="22"/>
        </w:rPr>
        <w:t xml:space="preserve"> straipsnio (2018 m. kovo 29 d. įstatymo Nr. XIII-1062 redakcija) matyti, kad pagal bendrą taisyklę gaminant ir (ar) superkant šilumą aukciono būdu prioritetas teikiamas </w:t>
      </w:r>
      <w:r>
        <w:rPr>
          <w:rFonts w:asciiTheme="minorHAnsi" w:hAnsiTheme="minorHAnsi" w:cstheme="minorHAnsi"/>
          <w:sz w:val="22"/>
          <w:szCs w:val="22"/>
        </w:rPr>
        <w:t>mažiausiai pasiūlytai kainai (4 </w:t>
      </w:r>
      <w:r w:rsidRPr="00733E95">
        <w:rPr>
          <w:rFonts w:asciiTheme="minorHAnsi" w:hAnsiTheme="minorHAnsi" w:cstheme="minorHAnsi"/>
          <w:sz w:val="22"/>
          <w:szCs w:val="22"/>
        </w:rPr>
        <w:t>d.), kuri negali būti didesnė nei Komisijos nustatyta tvarka apskaičiuotos palyginamosios šilumos gamybos sąnaudos (3 d.); trūkstamą šilumos kiekį, kuris nebuvo įsigytas aukcione, šilumos tiekėjas gamina turimais gamybos pajėgumais (2 d.).</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Kaip pažymėjo išplėstinė teisėjų kolegija, iš šio reguliavimo yra aiškiai matyti, kad aptariamos palyginamosios šilumos gamybos sąnaudos apskaičiuojamos ir šis dydis naudojamas tik nustatant minėto aukciono būdu gaminamos ir (ar) superkamos šilumos didžiausią galimą (viršutinę) kainą. Be to, nesant jokių kitų (specialių) įstatymo nuostatų, vertintina, jog Šilumos ūkio įstatymo 2 straipsnio 31 dalyje, 10</w:t>
      </w:r>
      <w:r w:rsidRPr="00733E95">
        <w:rPr>
          <w:rFonts w:asciiTheme="minorHAnsi" w:hAnsiTheme="minorHAnsi" w:cstheme="minorHAnsi"/>
          <w:sz w:val="22"/>
          <w:szCs w:val="22"/>
          <w:vertAlign w:val="superscript"/>
        </w:rPr>
        <w:t>1</w:t>
      </w:r>
      <w:r w:rsidRPr="00733E95">
        <w:rPr>
          <w:rFonts w:asciiTheme="minorHAnsi" w:hAnsiTheme="minorHAnsi" w:cstheme="minorHAnsi"/>
          <w:sz w:val="22"/>
          <w:szCs w:val="22"/>
        </w:rPr>
        <w:t xml:space="preserve"> straipsnio 2–4 dalyse (2018 m. kovo 29 d. įstatymo Nr. XIII-1062 redakcija) minimą žodį „kaina“ įstatymų leidėjas akivaizdžiai vartoja pačia bendriausia lingvistine reikšme – tai galutinė šilumos gamybos ir (ar) pardavimo kaina, kurią pasiūlo aukciono dalyvis; įstatymas nenumato, kad mažiausią kainą pasiūliusiam ir aukcioną laimėjusiam dalyviui būtų mokama papildomai už aukciono būdu pagamintą ir (ar) parduotą šilumos kiekį. Kiek tai susiję su aukcione siūloma šilumos gamybos ir (ar) pardavimo kaina, aptariamose Šilumos ūkio įstatymo nuostatose yra vienodai vertinami visi šilumos aukciono dalyviai, t. y. tiek šilumos tiekėjai, tiek nepriklausomi šilumos gamintojai.</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 xml:space="preserve">Šios aplinkybės bei minėta (įstatymų leidėjo nustatyta) palyginamosios šilumos gamybos sąnaudų paskirtis implikuoja, kad </w:t>
      </w:r>
      <w:r w:rsidRPr="00733E95">
        <w:rPr>
          <w:rFonts w:asciiTheme="minorHAnsi" w:hAnsiTheme="minorHAnsi" w:cstheme="minorHAnsi"/>
          <w:sz w:val="22"/>
          <w:szCs w:val="22"/>
          <w:u w:val="single"/>
        </w:rPr>
        <w:t>šis dydis savo struktūra (dedamosiomis) turi atspindėti kainos, pagal kurią nustatomas aptariamą aukcioną laimėjęs jo dalyvis, struktūrą (dedamąsias)</w:t>
      </w:r>
      <w:r w:rsidRPr="00733E95">
        <w:rPr>
          <w:rFonts w:asciiTheme="minorHAnsi" w:hAnsiTheme="minorHAnsi" w:cstheme="minorHAnsi"/>
          <w:sz w:val="22"/>
          <w:szCs w:val="22"/>
        </w:rPr>
        <w:t xml:space="preserve">. Nagrinėtos norminės administracinės bylos kontekste tai reiškė, kad aptariamos </w:t>
      </w:r>
      <w:r w:rsidRPr="00733E95">
        <w:rPr>
          <w:rFonts w:asciiTheme="minorHAnsi" w:hAnsiTheme="minorHAnsi" w:cstheme="minorHAnsi"/>
          <w:sz w:val="22"/>
          <w:szCs w:val="22"/>
          <w:u w:val="single"/>
        </w:rPr>
        <w:t>palyginamosios šilumos gamybos sąnaudos, be kita ko, apima (turi apimti) ir tokio pobūdžio būtinas šilumos gamybos sąnaudas, kokios yra numatytos Šilumos kainos nustatymo metodikos principų aprašo, patvirtinto Lietuvos Respublikos Vyriausybės 2011 m. liepos 13 d. nutarimu Nr. 889, 11.6–11.14 punktuose</w:t>
      </w:r>
      <w:r w:rsidRPr="00733E95">
        <w:rPr>
          <w:rFonts w:asciiTheme="minorHAnsi" w:hAnsiTheme="minorHAnsi" w:cstheme="minorHAnsi"/>
          <w:sz w:val="22"/>
          <w:szCs w:val="22"/>
        </w:rPr>
        <w:t>.</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lastRenderedPageBreak/>
        <w:t xml:space="preserve">Priešingas įstatymo nuostatų vertinimas (aiškinimas), be kita ko, neatitiktų pačios aukciono paskirties, lemtų įstatyme nenumatytą aukciono dalyvių skirtingą vertinimą, paneigtų veiksmingos konkurencijos šilumos gamyboje užtikrinimo principą (Šilumos ūkio įstatymo 1 str. 2 d. 1 p. (2007 m. lapkričio 20 d. įstatymo Nr. X-1329 redakcija), 3 str. 2 d. (2013 m. kovo 14 d. įstatymo Nr. XII-192 redakcija), 10 str. 1 d. (2018 m. kovo 29 d. įstatymo Nr. XIII-1062 redakcija). </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Pasak išplėstinės teisėjų kolegijos, minėtas aiškinimas atitinka ir Šilum</w:t>
      </w:r>
      <w:r>
        <w:rPr>
          <w:rFonts w:asciiTheme="minorHAnsi" w:hAnsiTheme="minorHAnsi" w:cstheme="minorHAnsi"/>
          <w:sz w:val="22"/>
          <w:szCs w:val="22"/>
        </w:rPr>
        <w:t>os ūkio įstatymo 1 straipsnio 2 </w:t>
      </w:r>
      <w:r w:rsidRPr="00733E95">
        <w:rPr>
          <w:rFonts w:asciiTheme="minorHAnsi" w:hAnsiTheme="minorHAnsi" w:cstheme="minorHAnsi"/>
          <w:sz w:val="22"/>
          <w:szCs w:val="22"/>
        </w:rPr>
        <w:t>dalies 1 punkte (2007 m. lapkričio 20 d. įstatymo Nr. X-1329 redakcija) nustatytą vieną iš šio įstatymo tikslų – „mažiausiomis sąnaudomis užtikrinti patikimą ir kokybišką šilumos tiekimą šilumos vartotojams“. Iš tiesų tikrinta palyginamosios šilumos gamybos sąnaudų apskaičiavimo tvarka, vien tuo aspektu, jog atsižvelgiama į pastoviosioms priskiriamas šilumos gamybos sąnaudas, ne tik kad nepaneigia aptariamo tikslo, bet ir akivaizdžiai sudaro didesnes prielaidas kuo mažesnėmis sąnaudomis užtikrinti šilumos tiekimą, kiek tai susiję su pačios šilumos gamyba (gamybos etapu). Atskirai paminėta ir tai, kad Supirkimo tvarkos 22 punkte aiškiai nurodyta, kad „šilumos tiekėjas privalo supirkti nepriklausomų gamintojų pagamintą šilumą, tik atitinkančią kokybės, tiekimo patikimumo, aplinkosaugos reikalavimus &lt;...&gt;“.</w:t>
      </w:r>
    </w:p>
    <w:p w:rsidR="00A40C78" w:rsidRPr="00733E95" w:rsidRDefault="00A40C78" w:rsidP="00A40C78">
      <w:pPr>
        <w:ind w:firstLine="567"/>
        <w:jc w:val="both"/>
        <w:rPr>
          <w:rFonts w:asciiTheme="minorHAnsi" w:hAnsiTheme="minorHAnsi" w:cstheme="minorHAnsi"/>
          <w:sz w:val="22"/>
          <w:szCs w:val="22"/>
        </w:rPr>
      </w:pPr>
      <w:r w:rsidRPr="00733E95">
        <w:rPr>
          <w:rFonts w:asciiTheme="minorHAnsi" w:hAnsiTheme="minorHAnsi" w:cstheme="minorHAnsi"/>
          <w:sz w:val="22"/>
          <w:szCs w:val="22"/>
        </w:rPr>
        <w:t>Be to, kadangi Komisijos kompetenciją nustatyti palyginamosios šilumos gamybos sąnaudų apskaičiavimo tvarką įstatymų leidėjas eksplicitiškai įtvirtino Šilumos ūkio įstatymo 10</w:t>
      </w:r>
      <w:r w:rsidRPr="00733E95">
        <w:rPr>
          <w:rFonts w:asciiTheme="minorHAnsi" w:hAnsiTheme="minorHAnsi" w:cstheme="minorHAnsi"/>
          <w:sz w:val="22"/>
          <w:szCs w:val="22"/>
          <w:vertAlign w:val="superscript"/>
        </w:rPr>
        <w:t>1</w:t>
      </w:r>
      <w:r w:rsidRPr="00733E95">
        <w:rPr>
          <w:rFonts w:asciiTheme="minorHAnsi" w:hAnsiTheme="minorHAnsi" w:cstheme="minorHAnsi"/>
          <w:sz w:val="22"/>
          <w:szCs w:val="22"/>
        </w:rPr>
        <w:t xml:space="preserve"> straipsnio 3 dalyje (2018 m. kovo 29 d. įstatymo Nr. XIII-1062 redakcija), o savivaldybėms nėra Konstitucija ar įstatymu pavesta reglamentuoti šilumos gamybos ir (ar) supirkimo aukciono būdu tvarkos, nagrinėtu atveju nebuvo pagrindo pripažinti, kad Supirkimo tvarkos 14.2 punktas ginčo apimtimi prieštarauja Konstitucijos 120 straipsnio 2 daliai („savivaldybės pagal Konstitucijos bei įstatymų apibrėžtą kompetenciją veikia laisvai ir savarankiškai“) ir Vietos savivaldos įstatymo 6 straipsnio 30 punktui („&lt;...&gt; į savarankiškas (Konstitucijos ir įstatymų nustatytas (priskirtas) savivaldybių funkcijas įeina &lt;...&gt; šilumos &lt;...&gt;tiekimo &lt;...&gt;organizavimas“; 2008 m. rugsėjo 15 d. įstatymo Nr. X-1722 redakcija).</w:t>
      </w:r>
    </w:p>
    <w:p w:rsidR="00A40C78" w:rsidRPr="00733E95" w:rsidRDefault="005B5CD9" w:rsidP="00A40C78">
      <w:pPr>
        <w:ind w:firstLine="567"/>
        <w:jc w:val="both"/>
        <w:rPr>
          <w:rFonts w:asciiTheme="minorHAnsi" w:hAnsiTheme="minorHAnsi" w:cstheme="minorHAnsi"/>
          <w:sz w:val="22"/>
          <w:szCs w:val="22"/>
        </w:rPr>
      </w:pPr>
      <w:r>
        <w:rPr>
          <w:rFonts w:asciiTheme="minorHAnsi" w:hAnsiTheme="minorHAnsi" w:cstheme="minorHAnsi"/>
          <w:sz w:val="22"/>
          <w:szCs w:val="22"/>
        </w:rPr>
        <w:t>Šiomis aplinkybėmis LVAT p</w:t>
      </w:r>
      <w:r w:rsidR="00A40C78" w:rsidRPr="00733E95">
        <w:rPr>
          <w:rFonts w:asciiTheme="minorHAnsi" w:hAnsiTheme="minorHAnsi" w:cstheme="minorHAnsi"/>
          <w:sz w:val="22"/>
          <w:szCs w:val="22"/>
        </w:rPr>
        <w:t>ripažino, kad Supirkimo tvarkos 14.2 punktas (2018 m. vasario 28 d. nutarimo Nr. O3E-54, iš dalies pakeisto 2018 m. lapkričio 30 d. nutarimu Nr. O3E-433, redakcija), tiek, kiek jame nustatyta, kad apskaičiuojant palyginamąsias šilumos gamybos sąnaudas yra atsižvelgiama į pastoviosioms priskiriamas šilumos gamybos sąnaudas, neprieštarauja Konstitucijos 120 straipsnio 2 dalia</w:t>
      </w:r>
      <w:r w:rsidR="00A40C78">
        <w:rPr>
          <w:rFonts w:asciiTheme="minorHAnsi" w:hAnsiTheme="minorHAnsi" w:cstheme="minorHAnsi"/>
          <w:sz w:val="22"/>
          <w:szCs w:val="22"/>
        </w:rPr>
        <w:t>i, Vietos savivaldos įstatymo 6 </w:t>
      </w:r>
      <w:r w:rsidR="00A40C78" w:rsidRPr="00733E95">
        <w:rPr>
          <w:rFonts w:asciiTheme="minorHAnsi" w:hAnsiTheme="minorHAnsi" w:cstheme="minorHAnsi"/>
          <w:sz w:val="22"/>
          <w:szCs w:val="22"/>
        </w:rPr>
        <w:t>straipsnio 30 punktui (2008 m. rugsėjo 15 d. įstatymo Nr. X-1722 redakc</w:t>
      </w:r>
      <w:r>
        <w:rPr>
          <w:rFonts w:asciiTheme="minorHAnsi" w:hAnsiTheme="minorHAnsi" w:cstheme="minorHAnsi"/>
          <w:sz w:val="22"/>
          <w:szCs w:val="22"/>
        </w:rPr>
        <w:t>ija) ir Šilumos ūkio įstatymo 1 </w:t>
      </w:r>
      <w:r w:rsidR="00A40C78" w:rsidRPr="00733E95">
        <w:rPr>
          <w:rFonts w:asciiTheme="minorHAnsi" w:hAnsiTheme="minorHAnsi" w:cstheme="minorHAnsi"/>
          <w:sz w:val="22"/>
          <w:szCs w:val="22"/>
        </w:rPr>
        <w:t>straipsnio 2 dalies 1 punktui (2007 m. lapkričio 20 d. įstatymo Nr. X-1329 redakcija). Likusią norminės administracinės bylos dalį LVAT nutraukė.</w:t>
      </w:r>
    </w:p>
    <w:p w:rsidR="00A40C78" w:rsidRPr="00733E95" w:rsidRDefault="00A40C78" w:rsidP="00A40C78">
      <w:pPr>
        <w:ind w:firstLine="567"/>
        <w:jc w:val="both"/>
        <w:rPr>
          <w:rFonts w:asciiTheme="minorHAnsi" w:hAnsiTheme="minorHAnsi" w:cstheme="minorHAnsi"/>
          <w:sz w:val="22"/>
          <w:szCs w:val="22"/>
        </w:rPr>
      </w:pPr>
    </w:p>
    <w:p w:rsidR="00A40C78" w:rsidRPr="00733E95" w:rsidRDefault="00D40DDF" w:rsidP="00A40C78">
      <w:pPr>
        <w:jc w:val="both"/>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00A40C78" w:rsidRPr="00733E95">
        <w:rPr>
          <w:rFonts w:asciiTheme="minorHAnsi" w:hAnsiTheme="minorHAnsi" w:cstheme="minorHAnsi"/>
          <w:sz w:val="22"/>
          <w:szCs w:val="22"/>
        </w:rPr>
        <w:t>2019 m. vasario 5 d. sprendimas administracinėje byloje Nr. eI-1-629/2019</w:t>
      </w:r>
    </w:p>
    <w:p w:rsidR="00A40C78" w:rsidRPr="00733E95" w:rsidRDefault="00A40C78" w:rsidP="00A40C78">
      <w:pPr>
        <w:jc w:val="both"/>
        <w:rPr>
          <w:rFonts w:asciiTheme="minorHAnsi" w:hAnsiTheme="minorHAnsi" w:cstheme="minorHAnsi"/>
          <w:sz w:val="22"/>
          <w:szCs w:val="22"/>
        </w:rPr>
      </w:pPr>
      <w:r w:rsidRPr="00733E95">
        <w:rPr>
          <w:rFonts w:asciiTheme="minorHAnsi" w:hAnsiTheme="minorHAnsi" w:cstheme="minorHAnsi"/>
          <w:sz w:val="22"/>
          <w:szCs w:val="22"/>
        </w:rPr>
        <w:t>Teisminio proceso Nr. 3-66-3-00026-2018-7</w:t>
      </w:r>
    </w:p>
    <w:p w:rsidR="00A40C78" w:rsidRPr="00733E95" w:rsidRDefault="00A40C78" w:rsidP="00A40C78">
      <w:pPr>
        <w:jc w:val="both"/>
        <w:rPr>
          <w:rFonts w:asciiTheme="minorHAnsi" w:hAnsiTheme="minorHAnsi" w:cstheme="minorHAnsi"/>
          <w:sz w:val="22"/>
          <w:szCs w:val="22"/>
        </w:rPr>
      </w:pPr>
      <w:r w:rsidRPr="00733E95">
        <w:rPr>
          <w:rFonts w:asciiTheme="minorHAnsi" w:hAnsiTheme="minorHAnsi" w:cstheme="minorHAnsi"/>
          <w:sz w:val="22"/>
          <w:szCs w:val="22"/>
        </w:rPr>
        <w:t>Procesinio sprendimo kategorij</w:t>
      </w:r>
      <w:r w:rsidR="007840B9">
        <w:rPr>
          <w:rFonts w:asciiTheme="minorHAnsi" w:hAnsiTheme="minorHAnsi" w:cstheme="minorHAnsi"/>
          <w:sz w:val="22"/>
          <w:szCs w:val="22"/>
        </w:rPr>
        <w:t>os:</w:t>
      </w:r>
      <w:r w:rsidRPr="00733E95">
        <w:rPr>
          <w:rFonts w:asciiTheme="minorHAnsi" w:hAnsiTheme="minorHAnsi" w:cstheme="minorHAnsi"/>
          <w:sz w:val="22"/>
          <w:szCs w:val="22"/>
        </w:rPr>
        <w:t xml:space="preserve"> 4.1; 30.3</w:t>
      </w:r>
    </w:p>
    <w:p w:rsidR="00A40C78" w:rsidRPr="00733E95" w:rsidRDefault="004264B2" w:rsidP="00A40C78">
      <w:pPr>
        <w:jc w:val="both"/>
        <w:rPr>
          <w:rFonts w:asciiTheme="minorHAnsi" w:hAnsiTheme="minorHAnsi" w:cstheme="minorHAnsi"/>
          <w:sz w:val="22"/>
          <w:szCs w:val="22"/>
        </w:rPr>
      </w:pPr>
      <w:hyperlink r:id="rId9" w:history="1">
        <w:r w:rsidR="00A40C78" w:rsidRPr="00733E95">
          <w:rPr>
            <w:rStyle w:val="Hipersaitas"/>
            <w:rFonts w:asciiTheme="minorHAnsi" w:hAnsiTheme="minorHAnsi" w:cstheme="minorHAnsi"/>
            <w:sz w:val="22"/>
            <w:szCs w:val="22"/>
          </w:rPr>
          <w:t>Prieiga internete</w:t>
        </w:r>
      </w:hyperlink>
    </w:p>
    <w:p w:rsidR="00A40C78" w:rsidRDefault="00A40C78" w:rsidP="00A40C78">
      <w:pPr>
        <w:rPr>
          <w:rFonts w:eastAsia="Calibri"/>
          <w:lang w:eastAsia="en-US"/>
        </w:rPr>
      </w:pPr>
    </w:p>
    <w:p w:rsidR="006E15AD" w:rsidRPr="00EC0D17" w:rsidRDefault="006E15AD" w:rsidP="00025BA1">
      <w:pPr>
        <w:pStyle w:val="Antrat2"/>
      </w:pPr>
      <w:bookmarkStart w:id="19" w:name="_Toc7451463"/>
      <w:r w:rsidRPr="00EC0D17">
        <w:t>Dėl šilumos kainos pastoviosios dedamosios perskaičiavimo sumažėjus pagamintos šilumos kiekiui dėl konkurencijos šilumos gamybos srityje įtakos</w:t>
      </w:r>
      <w:bookmarkEnd w:id="19"/>
      <w:r w:rsidRPr="00EC0D17">
        <w:t xml:space="preserve"> </w:t>
      </w:r>
    </w:p>
    <w:p w:rsidR="006E15AD" w:rsidRPr="00EC0D17" w:rsidRDefault="006E15AD" w:rsidP="00025BA1">
      <w:pPr>
        <w:pStyle w:val="prastasiniatinklio"/>
        <w:spacing w:before="0" w:beforeAutospacing="0" w:after="0" w:afterAutospacing="0"/>
        <w:ind w:firstLine="567"/>
        <w:jc w:val="both"/>
        <w:rPr>
          <w:rFonts w:asciiTheme="minorHAnsi" w:hAnsiTheme="minorHAnsi" w:cstheme="minorHAnsi"/>
          <w:sz w:val="22"/>
          <w:szCs w:val="22"/>
          <w:lang w:val="lt-LT" w:eastAsia="lt-LT"/>
        </w:rPr>
      </w:pPr>
    </w:p>
    <w:p w:rsidR="006E15AD" w:rsidRPr="00EC0D17" w:rsidRDefault="006E15AD" w:rsidP="00025BA1">
      <w:pPr>
        <w:ind w:firstLine="567"/>
        <w:jc w:val="both"/>
        <w:rPr>
          <w:rFonts w:asciiTheme="minorHAnsi" w:eastAsia="Calibri" w:hAnsiTheme="minorHAnsi" w:cstheme="minorHAnsi"/>
          <w:bCs/>
          <w:sz w:val="22"/>
          <w:szCs w:val="22"/>
        </w:rPr>
      </w:pPr>
      <w:r w:rsidRPr="00EC0D17">
        <w:rPr>
          <w:rFonts w:asciiTheme="minorHAnsi" w:hAnsiTheme="minorHAnsi" w:cstheme="minorHAnsi"/>
          <w:sz w:val="22"/>
          <w:szCs w:val="22"/>
        </w:rPr>
        <w:t xml:space="preserve">Šioje byloje </w:t>
      </w:r>
      <w:r w:rsidR="00D637D5">
        <w:rPr>
          <w:rFonts w:asciiTheme="minorHAnsi" w:hAnsiTheme="minorHAnsi" w:cstheme="minorHAnsi"/>
          <w:sz w:val="22"/>
          <w:szCs w:val="22"/>
        </w:rPr>
        <w:t>LVAT</w:t>
      </w:r>
      <w:r w:rsidRPr="00EC0D17">
        <w:rPr>
          <w:rFonts w:asciiTheme="minorHAnsi" w:hAnsiTheme="minorHAnsi" w:cstheme="minorHAnsi"/>
          <w:sz w:val="22"/>
          <w:szCs w:val="22"/>
        </w:rPr>
        <w:t xml:space="preserve"> sprendė, ar Valstybinės kainų ir energetikos kontrolės komisijos </w:t>
      </w:r>
      <w:r w:rsidR="00D637D5">
        <w:rPr>
          <w:rFonts w:asciiTheme="minorHAnsi" w:hAnsiTheme="minorHAnsi" w:cstheme="minorHAnsi"/>
          <w:sz w:val="22"/>
          <w:szCs w:val="22"/>
        </w:rPr>
        <w:t>2009 m. liepos 8 </w:t>
      </w:r>
      <w:r w:rsidRPr="00EC0D17">
        <w:rPr>
          <w:rFonts w:asciiTheme="minorHAnsi" w:hAnsiTheme="minorHAnsi" w:cstheme="minorHAnsi"/>
          <w:sz w:val="22"/>
          <w:szCs w:val="22"/>
        </w:rPr>
        <w:t xml:space="preserve">d. nutarimu Nr. O3-96 patvirtintos Šilumos kainų nustatymo metodikos (toliau – Metodika) 74.2.1 papunktis (2013 m. vasario 28 d. nutarimo Nr. O3-73, iš dalies pakeisto 2014 m. gegužės 30 d. nutarimu Nr. O3-153, redakcija) tiek, kiek jame nustatyta, kad neatsižvelgiama į šilumos tiekėjo pagaminto šilumos kiekio neatitikimą tarp nustatyto bazinėje kainoje (kainos dedamosiose) ir faktiškai pagaminto šilumos kiekio šilumos kainos (kainos dedamųjų) perskaičiavimo ataskaitiniu laikotarpiu, kuris (neatitikimas) susidarė dėl konkurencijos šilumos gamybos srityje įtakos, o dėl to pagaminamas šilumos kiekis sumažėjo, neprieštarauja </w:t>
      </w:r>
      <w:r w:rsidR="00D637D5">
        <w:rPr>
          <w:rFonts w:asciiTheme="minorHAnsi" w:hAnsiTheme="minorHAnsi" w:cstheme="minorHAnsi"/>
          <w:sz w:val="22"/>
          <w:szCs w:val="22"/>
        </w:rPr>
        <w:t>E</w:t>
      </w:r>
      <w:r w:rsidRPr="00EC0D17">
        <w:rPr>
          <w:rFonts w:asciiTheme="minorHAnsi" w:hAnsiTheme="minorHAnsi" w:cstheme="minorHAnsi"/>
          <w:sz w:val="22"/>
          <w:szCs w:val="22"/>
        </w:rPr>
        <w:t>nergetikos įstatymo 19 straipsnio 2 daliai (2011 m. gruodžio 22 d. įstatymo Nr. XI</w:t>
      </w:r>
      <w:r w:rsidRPr="00EC0D17">
        <w:rPr>
          <w:rFonts w:asciiTheme="minorHAnsi" w:hAnsiTheme="minorHAnsi" w:cstheme="minorHAnsi"/>
          <w:sz w:val="22"/>
          <w:szCs w:val="22"/>
        </w:rPr>
        <w:noBreakHyphen/>
        <w:t xml:space="preserve">1888 redakcija), </w:t>
      </w:r>
      <w:r w:rsidR="00D637D5">
        <w:rPr>
          <w:rFonts w:asciiTheme="minorHAnsi" w:hAnsiTheme="minorHAnsi" w:cstheme="minorHAnsi"/>
          <w:sz w:val="22"/>
          <w:szCs w:val="22"/>
        </w:rPr>
        <w:t>Š</w:t>
      </w:r>
      <w:r w:rsidRPr="00EC0D17">
        <w:rPr>
          <w:rFonts w:asciiTheme="minorHAnsi" w:hAnsiTheme="minorHAnsi" w:cstheme="minorHAnsi"/>
          <w:sz w:val="22"/>
          <w:szCs w:val="22"/>
        </w:rPr>
        <w:t>ilumos ūkio įstatymo 2 straipsnio 25 daliai (2013 m. liepos 2 d. įstatymo Nr. XII-492 redakcija) ir 32 straipsnio 2 daliai (2011 m. rugsėjo 29 d. įstatymo Nr. XI-1608 redakcija) bei konstituciniam teisinės valstybės principui</w:t>
      </w:r>
      <w:r w:rsidRPr="00EC0D17">
        <w:rPr>
          <w:rFonts w:asciiTheme="minorHAnsi" w:eastAsia="Calibri" w:hAnsiTheme="minorHAnsi" w:cstheme="minorHAnsi"/>
          <w:bCs/>
          <w:sz w:val="22"/>
          <w:szCs w:val="22"/>
        </w:rPr>
        <w:t>.</w:t>
      </w:r>
    </w:p>
    <w:p w:rsidR="006E15AD" w:rsidRPr="00EC0D17" w:rsidRDefault="003F3DDD" w:rsidP="00025BA1">
      <w:pPr>
        <w:ind w:firstLine="567"/>
        <w:jc w:val="both"/>
        <w:rPr>
          <w:rFonts w:asciiTheme="minorHAnsi" w:eastAsia="Calibri" w:hAnsiTheme="minorHAnsi" w:cstheme="minorHAnsi"/>
          <w:bCs/>
          <w:sz w:val="22"/>
          <w:szCs w:val="22"/>
        </w:rPr>
      </w:pPr>
      <w:r>
        <w:rPr>
          <w:rFonts w:asciiTheme="minorHAnsi" w:hAnsiTheme="minorHAnsi" w:cstheme="minorHAnsi"/>
          <w:sz w:val="22"/>
          <w:szCs w:val="22"/>
        </w:rPr>
        <w:t>Tirtam</w:t>
      </w:r>
      <w:r w:rsidR="006E15AD" w:rsidRPr="00EC0D17">
        <w:rPr>
          <w:rFonts w:asciiTheme="minorHAnsi" w:hAnsiTheme="minorHAnsi" w:cstheme="minorHAnsi"/>
          <w:sz w:val="22"/>
          <w:szCs w:val="22"/>
        </w:rPr>
        <w:t>e Metodikos 74.2.1 papunktyje yra reglamentuojamas šilumos bazinės kainos pastoviosios dedamosios perskaičiavimas atsižvelgiant į pagaminto</w:t>
      </w:r>
      <w:r w:rsidR="006E15AD" w:rsidRPr="00EC0D17">
        <w:rPr>
          <w:rFonts w:asciiTheme="minorHAnsi" w:hAnsiTheme="minorHAnsi" w:cstheme="minorHAnsi"/>
          <w:color w:val="000000"/>
          <w:sz w:val="22"/>
          <w:szCs w:val="22"/>
          <w:lang w:bidi="lt-LT"/>
        </w:rPr>
        <w:t xml:space="preserve"> ir realizuoto šilumos kiekio neatitikimą tarp nustatyto ir faktiškai pagaminto ir realizuoto šilumos kiekio. Pagal šį papunktį šilumos (produkto) gamybos ir šilumos (produkto) gamybos (įsigijimo) kainos atveju dedamoji p</w:t>
      </w:r>
      <w:r>
        <w:rPr>
          <w:rFonts w:asciiTheme="minorHAnsi" w:hAnsiTheme="minorHAnsi" w:cstheme="minorHAnsi"/>
          <w:color w:val="000000"/>
          <w:sz w:val="22"/>
          <w:szCs w:val="22"/>
          <w:lang w:bidi="lt-LT"/>
        </w:rPr>
        <w:t>erskaičiuojama atsižvelgiant į ū</w:t>
      </w:r>
      <w:r w:rsidR="006E15AD" w:rsidRPr="00EC0D17">
        <w:rPr>
          <w:rFonts w:asciiTheme="minorHAnsi" w:hAnsiTheme="minorHAnsi" w:cstheme="minorHAnsi"/>
          <w:color w:val="000000"/>
          <w:sz w:val="22"/>
          <w:szCs w:val="22"/>
          <w:lang w:bidi="lt-LT"/>
        </w:rPr>
        <w:t xml:space="preserve">kio subjekto pagaminto šilumos kiekio neatitikimą tarp nustatyto bazinėje kainoje (kainos dedamosiose) ir faktiškai pagaminto šilumos </w:t>
      </w:r>
      <w:r w:rsidR="006E15AD" w:rsidRPr="00EC0D17">
        <w:rPr>
          <w:rFonts w:asciiTheme="minorHAnsi" w:hAnsiTheme="minorHAnsi" w:cstheme="minorHAnsi"/>
          <w:color w:val="000000"/>
          <w:sz w:val="22"/>
          <w:szCs w:val="22"/>
          <w:lang w:bidi="lt-LT"/>
        </w:rPr>
        <w:lastRenderedPageBreak/>
        <w:t xml:space="preserve">kiekio šilumos kainos (kainos dedamųjų) perskaičiavimo ataskaitiniu laikotarpiu, išskyrus, jei pagaminto šilumos kiekio neatitiktis susidarė dėl konkurencijos šilumos gamybos srityje įtakos, o dėl to pagaminamas šilumos kiekis sumažėjo. </w:t>
      </w:r>
      <w:r w:rsidR="006E15AD" w:rsidRPr="00EC0D17">
        <w:rPr>
          <w:rFonts w:asciiTheme="minorHAnsi" w:hAnsiTheme="minorHAnsi" w:cstheme="minorHAnsi"/>
          <w:color w:val="000000"/>
          <w:sz w:val="22"/>
          <w:szCs w:val="22"/>
        </w:rPr>
        <w:t xml:space="preserve">Vadovaujantis </w:t>
      </w:r>
      <w:r w:rsidR="006E15AD" w:rsidRPr="00EC0D17">
        <w:rPr>
          <w:rFonts w:asciiTheme="minorHAnsi" w:hAnsiTheme="minorHAnsi" w:cstheme="minorHAnsi"/>
          <w:color w:val="000000"/>
          <w:sz w:val="22"/>
          <w:szCs w:val="22"/>
          <w:lang w:bidi="lt-LT"/>
        </w:rPr>
        <w:t>Šilumos ūkio įstatymo 2 straipsnio 25 dalimi</w:t>
      </w:r>
      <w:r w:rsidR="006E15AD" w:rsidRPr="00EC0D17">
        <w:rPr>
          <w:rFonts w:asciiTheme="minorHAnsi" w:hAnsiTheme="minorHAnsi" w:cstheme="minorHAnsi"/>
          <w:sz w:val="22"/>
          <w:szCs w:val="22"/>
        </w:rPr>
        <w:t xml:space="preserve">, šilumos bazinės kainos pastovioji dedamoji turi išlikti nepakitusi vienerių metų laikotarpiu ir antraisiais ir kitais jos galiojimo metais taikoma perskaičiuojant pastoviosios dedamosios dydį metams. </w:t>
      </w:r>
      <w:r w:rsidR="006E15AD" w:rsidRPr="00EC0D17">
        <w:rPr>
          <w:rFonts w:asciiTheme="minorHAnsi" w:hAnsiTheme="minorHAnsi" w:cstheme="minorHAnsi"/>
          <w:color w:val="000000"/>
          <w:sz w:val="22"/>
          <w:szCs w:val="22"/>
          <w:lang w:bidi="lt-LT"/>
        </w:rPr>
        <w:t xml:space="preserve">Šilumos ūkio įstatymo 2 straipsnio 25 dalyje įtvirtintas apibrėžimas, interpretuojant jį Šilumos ūkio įstatymo 32 straipsnio ir </w:t>
      </w:r>
      <w:r w:rsidRPr="003F3DDD">
        <w:rPr>
          <w:rFonts w:asciiTheme="minorHAnsi" w:hAnsiTheme="minorHAnsi" w:cstheme="minorHAnsi"/>
          <w:sz w:val="22"/>
          <w:szCs w:val="22"/>
        </w:rPr>
        <w:t>Lietuvos Respublikos Vyriausybės 2011 m. liepos 13 d. nutarimu Nr. 889 patvirtinto Šilumos kainų nustatymo metodikos principų aprašo</w:t>
      </w:r>
      <w:r>
        <w:rPr>
          <w:rFonts w:asciiTheme="minorHAnsi" w:hAnsiTheme="minorHAnsi" w:cstheme="minorHAnsi"/>
          <w:sz w:val="22"/>
          <w:szCs w:val="22"/>
        </w:rPr>
        <w:t xml:space="preserve"> 27 </w:t>
      </w:r>
      <w:r w:rsidR="006E15AD" w:rsidRPr="00EC0D17">
        <w:rPr>
          <w:rFonts w:asciiTheme="minorHAnsi" w:hAnsiTheme="minorHAnsi" w:cstheme="minorHAnsi"/>
          <w:sz w:val="22"/>
          <w:szCs w:val="22"/>
        </w:rPr>
        <w:t>punkto nuostatų kontekste, nedraudžia š</w:t>
      </w:r>
      <w:r w:rsidR="006E15AD" w:rsidRPr="00EC0D17">
        <w:rPr>
          <w:rFonts w:asciiTheme="minorHAnsi" w:hAnsiTheme="minorHAnsi" w:cstheme="minorHAnsi"/>
          <w:color w:val="000000"/>
          <w:sz w:val="22"/>
          <w:szCs w:val="22"/>
          <w:lang w:bidi="lt-LT"/>
        </w:rPr>
        <w:t>ilumos bazinės kainos pastoviąją dedamąją perskaičiuoti.</w:t>
      </w:r>
      <w:r w:rsidR="006E15AD" w:rsidRPr="00EC0D17">
        <w:rPr>
          <w:rFonts w:asciiTheme="minorHAnsi" w:hAnsiTheme="minorHAnsi" w:cstheme="minorHAnsi"/>
          <w:sz w:val="22"/>
          <w:szCs w:val="22"/>
        </w:rPr>
        <w:t xml:space="preserve"> Nors lingvistiškai aiškinant</w:t>
      </w:r>
      <w:r>
        <w:rPr>
          <w:rFonts w:asciiTheme="minorHAnsi" w:hAnsiTheme="minorHAnsi" w:cstheme="minorHAnsi"/>
          <w:sz w:val="22"/>
          <w:szCs w:val="22"/>
        </w:rPr>
        <w:t>,</w:t>
      </w:r>
      <w:r w:rsidR="006E15AD" w:rsidRPr="00EC0D17">
        <w:rPr>
          <w:rFonts w:asciiTheme="minorHAnsi" w:hAnsiTheme="minorHAnsi" w:cstheme="minorHAnsi"/>
          <w:sz w:val="22"/>
          <w:szCs w:val="22"/>
        </w:rPr>
        <w:t xml:space="preserve"> pastovioji šilumos bazinės kainos dedamoji gali būti suprantama kaip nekintanti, tačiau nustatant šios sąvokos prasmę turi būti atsižvelgiama į teisinio reguliavimo kontekstą, kuris patvirtina, kad susiklosčius teisės aktuose nustatytoms aplinkybėms pastovioji šilumos bazinės kainos dedamoji perskaičiuojama teisės aktų nustatyta tvarka.</w:t>
      </w:r>
      <w:r w:rsidR="006E15AD" w:rsidRPr="00EC0D17">
        <w:rPr>
          <w:rFonts w:asciiTheme="minorHAnsi" w:eastAsia="Calibri" w:hAnsiTheme="minorHAnsi" w:cstheme="minorHAnsi"/>
          <w:bCs/>
          <w:sz w:val="22"/>
          <w:szCs w:val="22"/>
        </w:rPr>
        <w:t xml:space="preserve"> </w:t>
      </w:r>
    </w:p>
    <w:p w:rsidR="006E15AD" w:rsidRPr="00EC0D17" w:rsidRDefault="006E15AD" w:rsidP="00025BA1">
      <w:pPr>
        <w:ind w:firstLine="567"/>
        <w:jc w:val="both"/>
        <w:rPr>
          <w:rFonts w:asciiTheme="minorHAnsi" w:hAnsiTheme="minorHAnsi" w:cstheme="minorHAnsi"/>
          <w:color w:val="000000"/>
          <w:sz w:val="22"/>
          <w:szCs w:val="22"/>
          <w:lang w:bidi="lt-LT"/>
        </w:rPr>
      </w:pPr>
      <w:r w:rsidRPr="00EC0D17">
        <w:rPr>
          <w:rFonts w:asciiTheme="minorHAnsi" w:hAnsiTheme="minorHAnsi" w:cstheme="minorHAnsi"/>
          <w:color w:val="000000"/>
          <w:sz w:val="22"/>
          <w:szCs w:val="22"/>
          <w:lang w:bidi="lt-LT"/>
        </w:rPr>
        <w:t>Tiriant Metodikos 74.2.1 papunkčio atitiktį Energetikos įstatymo 19 straipsnio 2 daliai ir Šilumos ūkio įstatymo 32 straipsnio 2 daliai buvo vertinama, ar Metodikos nuostatos sudaro prielaidas neatlyginti šilumos tiekėjui faktiškai patirtų sąnaudų, kurias jis patiria nemokamai užtikrindamas rezervinę šilumos gamybos galią nepriklausomiems šilumos gamintojams.</w:t>
      </w:r>
    </w:p>
    <w:p w:rsidR="006E15AD" w:rsidRPr="00EC0D17" w:rsidRDefault="006E15AD" w:rsidP="00025BA1">
      <w:pPr>
        <w:ind w:firstLine="567"/>
        <w:jc w:val="both"/>
        <w:rPr>
          <w:rFonts w:asciiTheme="minorHAnsi" w:hAnsiTheme="minorHAnsi" w:cstheme="minorHAnsi"/>
          <w:color w:val="000000"/>
          <w:sz w:val="22"/>
          <w:szCs w:val="22"/>
        </w:rPr>
      </w:pPr>
      <w:r w:rsidRPr="00EC0D17">
        <w:rPr>
          <w:rFonts w:asciiTheme="minorHAnsi" w:hAnsiTheme="minorHAnsi" w:cstheme="minorHAnsi"/>
          <w:color w:val="000000"/>
          <w:sz w:val="22"/>
          <w:szCs w:val="22"/>
          <w:lang w:bidi="lt-LT"/>
        </w:rPr>
        <w:t xml:space="preserve">Byloje pažymėta, kad </w:t>
      </w:r>
      <w:r w:rsidRPr="00EC0D17">
        <w:rPr>
          <w:rFonts w:asciiTheme="minorHAnsi" w:hAnsiTheme="minorHAnsi" w:cstheme="minorHAnsi"/>
          <w:sz w:val="22"/>
          <w:szCs w:val="22"/>
        </w:rPr>
        <w:t xml:space="preserve">šilumos tiekėjo teisė gauti vykdant savo veiklą patirtų išlaidų atlyginimą nėra absoliuti. Šilumos ūkio įstatymo 32 straipsnio 2 dalyje nurodyta, kad šilumos kainos yra grindžiamos tik būtinomis išlaidomis. Aplinkybė, kad </w:t>
      </w:r>
      <w:r w:rsidRPr="00EC0D17">
        <w:rPr>
          <w:rFonts w:asciiTheme="minorHAnsi" w:hAnsiTheme="minorHAnsi" w:cstheme="minorHAnsi"/>
          <w:color w:val="000000"/>
          <w:sz w:val="22"/>
          <w:szCs w:val="22"/>
        </w:rPr>
        <w:t>pagamintos šilumos energijos kiekis sumažėja jam dalį šilumos energijos perkant iš nepriklausomų šilumos gamintojų</w:t>
      </w:r>
      <w:r w:rsidR="00306B3B">
        <w:rPr>
          <w:rFonts w:asciiTheme="minorHAnsi" w:hAnsiTheme="minorHAnsi" w:cstheme="minorHAnsi"/>
          <w:color w:val="000000"/>
          <w:sz w:val="22"/>
          <w:szCs w:val="22"/>
        </w:rPr>
        <w:t>,</w:t>
      </w:r>
      <w:r w:rsidRPr="00EC0D17">
        <w:rPr>
          <w:rFonts w:asciiTheme="minorHAnsi" w:hAnsiTheme="minorHAnsi" w:cstheme="minorHAnsi"/>
          <w:color w:val="000000"/>
          <w:sz w:val="22"/>
          <w:szCs w:val="22"/>
        </w:rPr>
        <w:t xml:space="preserve"> savaime nėra lemianti, kad bus realizuotas mažesnis realizuotos šilumos energijos kiekis ir dėl to sumažės piniginių lėšų įplaukos iš vartotojų. Šilumos tiekėjo pagamintos šilumos energijos kiekis gali sumažėti, jam dalį energijos nusipirkus iš nepriklausomų šilumos gamintojų, tačiau realizuotos šilumos energijos kiekis nepasikeistų, jeigu nebuvo sumažėjęs šilumos energijos poreikis dėl aukštesnės vidutinės lauko temperatūros šildymo sezono metu ar nesusiklostė </w:t>
      </w:r>
      <w:r w:rsidR="00306B3B">
        <w:rPr>
          <w:rFonts w:asciiTheme="minorHAnsi" w:hAnsiTheme="minorHAnsi" w:cstheme="minorHAnsi"/>
          <w:color w:val="000000"/>
          <w:sz w:val="22"/>
          <w:szCs w:val="22"/>
        </w:rPr>
        <w:t xml:space="preserve">dėl </w:t>
      </w:r>
      <w:r w:rsidRPr="00EC0D17">
        <w:rPr>
          <w:rFonts w:asciiTheme="minorHAnsi" w:hAnsiTheme="minorHAnsi" w:cstheme="minorHAnsi"/>
          <w:color w:val="000000"/>
          <w:sz w:val="22"/>
          <w:szCs w:val="22"/>
        </w:rPr>
        <w:t xml:space="preserve">kitų reikšmingų aplinkybių. </w:t>
      </w:r>
    </w:p>
    <w:p w:rsidR="006E15AD" w:rsidRPr="00EC0D17" w:rsidRDefault="006E15AD" w:rsidP="00025BA1">
      <w:pPr>
        <w:ind w:firstLine="567"/>
        <w:jc w:val="both"/>
        <w:rPr>
          <w:rFonts w:asciiTheme="minorHAnsi" w:hAnsiTheme="minorHAnsi" w:cstheme="minorHAnsi"/>
          <w:color w:val="000000"/>
          <w:sz w:val="22"/>
          <w:szCs w:val="22"/>
        </w:rPr>
      </w:pPr>
      <w:r w:rsidRPr="00EC0D17">
        <w:rPr>
          <w:rFonts w:asciiTheme="minorHAnsi" w:hAnsiTheme="minorHAnsi" w:cstheme="minorHAnsi"/>
          <w:color w:val="000000"/>
          <w:sz w:val="22"/>
          <w:szCs w:val="22"/>
        </w:rPr>
        <w:t xml:space="preserve">Reguliuodamas šilumos energijos įsigijimą iš nepriklausomų šilumos gamintojų, įstatymų leidėjas Šilumos ūkio įstatymo 10 straipsnio 1 dalyje įtvirtino reikalavimą, kad visais atvejais šiluma, superkama iš nepriklausomų šilumos gamintojų, negali būti brangesnė negu šilumos tiekėjo palyginamosios šilumos gamybos sąnaudos. Atsižvelgiant į teisės aktuose įtvirtintą palyginamųjų šilumos gamybos sąnaudų koncepciją bei Šilumos ūkio įstatymo 1 straipsnio 2 dalyje numatytus tikslus mažiausiomis sąnaudomis užtikrinti patikimą ir kokybišką šilumos tiekimą šilumos vartotojams, šilumos ūkyje įteisinti pagrįstą konkurenciją, ginti šilumos vartotojų teises ir teisėtus interesus bei didinti šilumos gamybos, perdavimo ir vartojimo efektyvumą, darytina išvada, kad šio įstatymo 10 straipsnio 1 dalies nuostata, pagal kurią visais atvejais šiluma, superkama iš nepriklausomų šilumos gamintojų, negali būti brangesnė negu šilumos tiekėjo palyginamosios šilumos gamybos sąnaudos, interpretuotina kaip išreiškianti įstatymų leidėjo ketinimą, kad </w:t>
      </w:r>
      <w:r w:rsidRPr="00EC0D17">
        <w:rPr>
          <w:rFonts w:asciiTheme="minorHAnsi" w:hAnsiTheme="minorHAnsi" w:cstheme="minorHAnsi"/>
          <w:color w:val="000000"/>
          <w:sz w:val="22"/>
          <w:szCs w:val="22"/>
          <w:u w:val="single"/>
        </w:rPr>
        <w:t>šilumos kaina vartotojams neturi būti padidinama vien dėl aplinkybės, jog dalį šilumos energijos šilumos tiekėjas gamina ne savo pajėgumais, o įsigyja ją iš nepriklausomų šilumos gamintojų</w:t>
      </w:r>
      <w:r w:rsidRPr="00EC0D17">
        <w:rPr>
          <w:rFonts w:asciiTheme="minorHAnsi" w:hAnsiTheme="minorHAnsi" w:cstheme="minorHAnsi"/>
          <w:color w:val="000000"/>
          <w:sz w:val="22"/>
          <w:szCs w:val="22"/>
        </w:rPr>
        <w:t>, taigi įstatymas sudaro prielaidas, kad perkant šilumos energiją iš nepriklausomų šilumos gamintojų, bendros realizuotos šilumos gamybos sąnaudos nebūtų didesnės, negu tuo atveju, kada šilumos energija nėra perkama iš nepriklausomų šilumos gamintojų.</w:t>
      </w:r>
    </w:p>
    <w:p w:rsidR="006E15AD" w:rsidRPr="00EC0D17" w:rsidRDefault="006E15AD" w:rsidP="00025BA1">
      <w:pPr>
        <w:ind w:firstLine="567"/>
        <w:jc w:val="both"/>
        <w:rPr>
          <w:rFonts w:asciiTheme="minorHAnsi" w:hAnsiTheme="minorHAnsi" w:cstheme="minorHAnsi"/>
          <w:color w:val="000000"/>
          <w:sz w:val="22"/>
          <w:szCs w:val="22"/>
        </w:rPr>
      </w:pPr>
      <w:r w:rsidRPr="00EC0D17">
        <w:rPr>
          <w:rFonts w:asciiTheme="minorHAnsi" w:hAnsiTheme="minorHAnsi" w:cstheme="minorHAnsi"/>
          <w:color w:val="000000"/>
          <w:sz w:val="22"/>
          <w:szCs w:val="22"/>
        </w:rPr>
        <w:t>Tiriama norma, be kita ko, skirta atvejams, kada šilumos tiekėjas pagamina ir realizuoja mažiau šilumos energijos, negu buvo numatyta</w:t>
      </w:r>
      <w:r w:rsidR="00306B3B">
        <w:rPr>
          <w:rFonts w:asciiTheme="minorHAnsi" w:hAnsiTheme="minorHAnsi" w:cstheme="minorHAnsi"/>
          <w:color w:val="000000"/>
          <w:sz w:val="22"/>
          <w:szCs w:val="22"/>
        </w:rPr>
        <w:t>,</w:t>
      </w:r>
      <w:r w:rsidRPr="00EC0D17">
        <w:rPr>
          <w:rFonts w:asciiTheme="minorHAnsi" w:hAnsiTheme="minorHAnsi" w:cstheme="minorHAnsi"/>
          <w:color w:val="000000"/>
          <w:sz w:val="22"/>
          <w:szCs w:val="22"/>
        </w:rPr>
        <w:t xml:space="preserve"> ir dėl to</w:t>
      </w:r>
      <w:r w:rsidR="00306B3B">
        <w:rPr>
          <w:rFonts w:asciiTheme="minorHAnsi" w:hAnsiTheme="minorHAnsi" w:cstheme="minorHAnsi"/>
          <w:color w:val="000000"/>
          <w:sz w:val="22"/>
          <w:szCs w:val="22"/>
        </w:rPr>
        <w:t>,</w:t>
      </w:r>
      <w:r w:rsidRPr="00EC0D17">
        <w:rPr>
          <w:rFonts w:asciiTheme="minorHAnsi" w:hAnsiTheme="minorHAnsi" w:cstheme="minorHAnsi"/>
          <w:color w:val="000000"/>
          <w:sz w:val="22"/>
          <w:szCs w:val="22"/>
        </w:rPr>
        <w:t xml:space="preserve"> sumažėjus įplaukoms iš vartotojų, surinkta šilumos bazinės kainos pastoviosios dedamosios suma gali būti nepakankama atlyginti šilumos tiekėjo patirtas išlaidas pastoviosioms sąnaudoms. </w:t>
      </w:r>
      <w:r w:rsidR="00D637D5">
        <w:rPr>
          <w:rFonts w:asciiTheme="minorHAnsi" w:hAnsiTheme="minorHAnsi" w:cstheme="minorHAnsi"/>
          <w:color w:val="000000"/>
          <w:sz w:val="22"/>
          <w:szCs w:val="22"/>
        </w:rPr>
        <w:t>Aptariamame</w:t>
      </w:r>
      <w:r w:rsidRPr="00EC0D17">
        <w:rPr>
          <w:rFonts w:asciiTheme="minorHAnsi" w:hAnsiTheme="minorHAnsi" w:cstheme="minorHAnsi"/>
          <w:color w:val="000000"/>
          <w:sz w:val="22"/>
          <w:szCs w:val="22"/>
        </w:rPr>
        <w:t xml:space="preserve"> kontekste rezervinė šilumos gamybos galia turi būti užtikrinama nepriklausomai nuo to, ar šilumos tiekėjas energiją perka iš nepriklausomų šilumos gamintojų – vadovaujantis Šilumos ūkio įstatymo 17 straipsniu, nenutrūkstamo aprūpinimo šiluma vartotojams turi būti užtikrintos techninės nenutrūkstamo šilumos tiekimo galimybės, kai laikinai neįmanoma naudotis pagrindine aprūpinimo šiluma sistema. Tai reiškia, kad šilumos tiekėjui dėl konkurencijos šilumos ūkio srityje pagaminus mažiau šilumos energijos, savaime nesumažėja piniginių lėšų įplaukos iš vartotojų, todėl šios įplaukos yra pakankamos atlyginti visas šilumos tiekėjo ir nepriklausomų šilumos gamintojų patirtas šilumo</w:t>
      </w:r>
      <w:r w:rsidR="00D637D5">
        <w:rPr>
          <w:rFonts w:asciiTheme="minorHAnsi" w:hAnsiTheme="minorHAnsi" w:cstheme="minorHAnsi"/>
          <w:color w:val="000000"/>
          <w:sz w:val="22"/>
          <w:szCs w:val="22"/>
        </w:rPr>
        <w:t>s gamybos sąnaudas. Pažymėt</w:t>
      </w:r>
      <w:r w:rsidRPr="00EC0D17">
        <w:rPr>
          <w:rFonts w:asciiTheme="minorHAnsi" w:hAnsiTheme="minorHAnsi" w:cstheme="minorHAnsi"/>
          <w:color w:val="000000"/>
          <w:sz w:val="22"/>
          <w:szCs w:val="22"/>
        </w:rPr>
        <w:t xml:space="preserve">a, kad ūkio subjektai, veikdami rinkos sąlygomis, turi veikti apdairiai, rūpestingai ir dėl to iš anksto atsižvelgdami į konkurenciją planuoti savo veiklą bei sąnaudas. Taigi, apribojimai iš nepriklausomų šilumos gamintojų perkamos šilumos energijos kainai sudaro prielaidas, kad aptariamu atveju piniginių lėšų įplaukos iš vartotojų būtų pakankamos atlyginti visas būtinas šilumos tiekėjo patirtas išlaidas, todėl sumažėjus šilumos tiekėjo pagamintos šilumos energijos kiekiui dėl konkurencijos šilumos ūkio srityje šios bylose kontekste Metodikos nuostatos sudaro </w:t>
      </w:r>
      <w:r w:rsidRPr="00EC0D17">
        <w:rPr>
          <w:rFonts w:asciiTheme="minorHAnsi" w:hAnsiTheme="minorHAnsi" w:cstheme="minorHAnsi"/>
          <w:color w:val="000000"/>
          <w:sz w:val="22"/>
          <w:szCs w:val="22"/>
        </w:rPr>
        <w:lastRenderedPageBreak/>
        <w:t xml:space="preserve">prielaidas atlyginti šilumos tiekėjui visas patirtas būtinąsias sąnaudas ir nėra pagrindo perskaičiuoti šilumos bazinės kainos pastoviąją dedamąją. </w:t>
      </w:r>
    </w:p>
    <w:p w:rsidR="006E15AD" w:rsidRPr="00EC0D17" w:rsidRDefault="006E15AD" w:rsidP="00025BA1">
      <w:pPr>
        <w:ind w:firstLine="567"/>
        <w:jc w:val="both"/>
        <w:rPr>
          <w:rFonts w:asciiTheme="minorHAnsi" w:hAnsiTheme="minorHAnsi" w:cstheme="minorHAnsi"/>
          <w:color w:val="000000"/>
          <w:sz w:val="22"/>
          <w:szCs w:val="22"/>
        </w:rPr>
      </w:pPr>
      <w:r w:rsidRPr="00EC0D17">
        <w:rPr>
          <w:rFonts w:asciiTheme="minorHAnsi" w:hAnsiTheme="minorHAnsi" w:cstheme="minorHAnsi"/>
          <w:color w:val="000000"/>
          <w:sz w:val="22"/>
          <w:szCs w:val="22"/>
        </w:rPr>
        <w:t xml:space="preserve">Atsižvelgiant į tai, kas išdėstyta, išplėstinė teisėjų kolegija konstatavo, kad Metodikos 74.2.1 papunktis tiek, kiek jame nustatyta, kad neatsižvelgiama į šilumos tiekėjo pagaminto šilumos kiekio neatitikimą tarp nustatyto bazinėje kainoje (kainos dedamosiose) ir faktiškai pagaminto šilumos kiekio šilumos kainos (kainos dedamųjų) perskaičiavimo ataskaitiniu laikotarpiu, kuris (neatitikimas) susidarė dėl konkurencijos šilumos gamybos srityje įtakos, o dėl to pagaminamas šilumos kiekis sumažėjo, neužkerta galimybės šilumos tiekėjui atlyginti visų būtinų jo patirtų šilumos gamybos išlaidų, kurias jis patiria apdairiai ir rūpestingai planuodamas savo veiklą, todėl Metodikos 74.2.1 papunktis pripažintas teisėtu. </w:t>
      </w:r>
    </w:p>
    <w:p w:rsidR="006E15AD" w:rsidRPr="00EC0D17" w:rsidRDefault="006E15AD" w:rsidP="00025BA1">
      <w:pPr>
        <w:ind w:firstLine="567"/>
        <w:jc w:val="both"/>
        <w:rPr>
          <w:rFonts w:asciiTheme="minorHAnsi" w:hAnsiTheme="minorHAnsi" w:cstheme="minorHAnsi"/>
          <w:color w:val="000000"/>
          <w:sz w:val="22"/>
          <w:szCs w:val="22"/>
        </w:rPr>
      </w:pPr>
    </w:p>
    <w:p w:rsidR="006E15AD" w:rsidRPr="00EC0D17" w:rsidRDefault="006E15AD" w:rsidP="00025BA1">
      <w:pPr>
        <w:tabs>
          <w:tab w:val="left" w:pos="142"/>
        </w:tabs>
        <w:jc w:val="both"/>
        <w:rPr>
          <w:rFonts w:asciiTheme="minorHAnsi" w:hAnsiTheme="minorHAnsi" w:cstheme="minorHAnsi"/>
          <w:sz w:val="22"/>
          <w:szCs w:val="22"/>
        </w:rPr>
      </w:pPr>
      <w:r w:rsidRPr="00EC0D17">
        <w:rPr>
          <w:rFonts w:asciiTheme="minorHAnsi" w:hAnsiTheme="minorHAnsi" w:cstheme="minorHAnsi"/>
          <w:bCs/>
          <w:sz w:val="22"/>
          <w:szCs w:val="22"/>
        </w:rPr>
        <w:t xml:space="preserve">Išplėstinės teisėjų kolegijos 2019 m. </w:t>
      </w:r>
      <w:r w:rsidRPr="00EC0D17">
        <w:rPr>
          <w:rFonts w:asciiTheme="minorHAnsi" w:hAnsiTheme="minorHAnsi" w:cstheme="minorHAnsi"/>
          <w:sz w:val="22"/>
          <w:szCs w:val="22"/>
        </w:rPr>
        <w:t xml:space="preserve">vasario 20 </w:t>
      </w:r>
      <w:r w:rsidRPr="00EC0D17">
        <w:rPr>
          <w:rFonts w:asciiTheme="minorHAnsi" w:hAnsiTheme="minorHAnsi" w:cstheme="minorHAnsi"/>
          <w:bCs/>
          <w:sz w:val="22"/>
          <w:szCs w:val="22"/>
        </w:rPr>
        <w:t xml:space="preserve">d. </w:t>
      </w:r>
      <w:r w:rsidR="00D637D5">
        <w:rPr>
          <w:rFonts w:asciiTheme="minorHAnsi" w:hAnsiTheme="minorHAnsi" w:cstheme="minorHAnsi"/>
          <w:bCs/>
          <w:sz w:val="22"/>
          <w:szCs w:val="22"/>
        </w:rPr>
        <w:t>sprendimas</w:t>
      </w:r>
      <w:r w:rsidRPr="00EC0D17">
        <w:rPr>
          <w:rFonts w:asciiTheme="minorHAnsi" w:hAnsiTheme="minorHAnsi" w:cstheme="minorHAnsi"/>
          <w:bCs/>
          <w:sz w:val="22"/>
          <w:szCs w:val="22"/>
        </w:rPr>
        <w:t xml:space="preserve"> administracinėje byloje Nr. I</w:t>
      </w:r>
      <w:r w:rsidRPr="00EC0D17">
        <w:rPr>
          <w:rFonts w:asciiTheme="minorHAnsi" w:hAnsiTheme="minorHAnsi" w:cstheme="minorHAnsi"/>
          <w:sz w:val="22"/>
          <w:szCs w:val="22"/>
        </w:rPr>
        <w:t>-3-556/2019</w:t>
      </w:r>
    </w:p>
    <w:p w:rsidR="006E15AD" w:rsidRPr="00EC0D17" w:rsidRDefault="006E15AD" w:rsidP="00025BA1">
      <w:pPr>
        <w:tabs>
          <w:tab w:val="left" w:pos="142"/>
        </w:tabs>
        <w:jc w:val="both"/>
        <w:rPr>
          <w:rFonts w:asciiTheme="minorHAnsi" w:hAnsiTheme="minorHAnsi" w:cstheme="minorHAnsi"/>
          <w:sz w:val="22"/>
          <w:szCs w:val="22"/>
        </w:rPr>
      </w:pPr>
      <w:r w:rsidRPr="00EC0D17">
        <w:rPr>
          <w:rFonts w:asciiTheme="minorHAnsi" w:hAnsiTheme="minorHAnsi" w:cstheme="minorHAnsi"/>
          <w:sz w:val="22"/>
          <w:szCs w:val="22"/>
        </w:rPr>
        <w:t>Teisminio proceso Nr. 3-61-3-00039-2018-1</w:t>
      </w:r>
    </w:p>
    <w:p w:rsidR="006E15AD" w:rsidRPr="00EC0D17" w:rsidRDefault="006E15AD" w:rsidP="00025BA1">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Procesinio sprendimo kategorija 4.1</w:t>
      </w:r>
    </w:p>
    <w:p w:rsidR="006E15AD" w:rsidRPr="00EC0D17" w:rsidRDefault="004264B2" w:rsidP="00025BA1">
      <w:pPr>
        <w:tabs>
          <w:tab w:val="left" w:pos="142"/>
        </w:tabs>
        <w:jc w:val="both"/>
        <w:rPr>
          <w:rFonts w:asciiTheme="minorHAnsi" w:hAnsiTheme="minorHAnsi" w:cstheme="minorHAnsi"/>
          <w:sz w:val="22"/>
          <w:szCs w:val="22"/>
        </w:rPr>
      </w:pPr>
      <w:hyperlink r:id="rId10" w:history="1">
        <w:r w:rsidR="006E15AD" w:rsidRPr="00EC0D17">
          <w:rPr>
            <w:rStyle w:val="Hipersaitas"/>
            <w:rFonts w:asciiTheme="minorHAnsi" w:hAnsiTheme="minorHAnsi" w:cstheme="minorHAnsi"/>
            <w:sz w:val="22"/>
            <w:szCs w:val="22"/>
          </w:rPr>
          <w:t>Prieiga internete</w:t>
        </w:r>
      </w:hyperlink>
    </w:p>
    <w:p w:rsidR="006E15AD" w:rsidRPr="00EC0D17" w:rsidRDefault="006E15AD" w:rsidP="00025BA1">
      <w:pPr>
        <w:ind w:firstLine="567"/>
        <w:jc w:val="both"/>
        <w:rPr>
          <w:rFonts w:asciiTheme="minorHAnsi" w:hAnsiTheme="minorHAnsi" w:cstheme="minorHAnsi"/>
          <w:sz w:val="22"/>
          <w:szCs w:val="22"/>
        </w:rPr>
      </w:pPr>
    </w:p>
    <w:p w:rsidR="006E15AD" w:rsidRPr="00EC0D17" w:rsidRDefault="006E15AD" w:rsidP="00025BA1">
      <w:pPr>
        <w:pStyle w:val="Antrat1"/>
        <w:rPr>
          <w:rFonts w:asciiTheme="minorHAnsi" w:hAnsiTheme="minorHAnsi" w:cstheme="minorHAnsi"/>
        </w:rPr>
      </w:pPr>
      <w:bookmarkStart w:id="20" w:name="_Toc7451464"/>
      <w:r w:rsidRPr="00EC0D17">
        <w:rPr>
          <w:rFonts w:asciiTheme="minorHAnsi" w:hAnsiTheme="minorHAnsi" w:cstheme="minorHAnsi"/>
        </w:rPr>
        <w:t>5. Rinkimai, referendumai ir politinių partijų veikla</w:t>
      </w:r>
      <w:bookmarkEnd w:id="20"/>
    </w:p>
    <w:p w:rsidR="006E15AD" w:rsidRPr="00EC0D17" w:rsidRDefault="006E15AD" w:rsidP="00025BA1">
      <w:pPr>
        <w:ind w:firstLine="567"/>
        <w:rPr>
          <w:rFonts w:asciiTheme="minorHAnsi" w:hAnsiTheme="minorHAnsi" w:cstheme="minorHAnsi"/>
          <w:b/>
          <w:sz w:val="22"/>
          <w:szCs w:val="22"/>
          <w:u w:val="single"/>
        </w:rPr>
      </w:pPr>
      <w:r w:rsidRPr="00EC0D17">
        <w:rPr>
          <w:rFonts w:asciiTheme="minorHAnsi" w:hAnsiTheme="minorHAnsi" w:cstheme="minorHAnsi"/>
          <w:b/>
          <w:sz w:val="22"/>
          <w:szCs w:val="22"/>
          <w:u w:val="single"/>
        </w:rPr>
        <w:t>5.3. Savivaldybių tarybų rinkimai</w:t>
      </w:r>
    </w:p>
    <w:p w:rsidR="006E15AD" w:rsidRPr="00EC0D17" w:rsidRDefault="006E15AD" w:rsidP="00025BA1">
      <w:pPr>
        <w:ind w:firstLine="1134"/>
        <w:rPr>
          <w:rFonts w:asciiTheme="minorHAnsi" w:hAnsiTheme="minorHAnsi" w:cstheme="minorHAnsi"/>
          <w:b/>
          <w:sz w:val="22"/>
          <w:szCs w:val="22"/>
          <w:u w:val="single"/>
        </w:rPr>
      </w:pPr>
      <w:r w:rsidRPr="00EC0D17">
        <w:rPr>
          <w:rFonts w:asciiTheme="minorHAnsi" w:hAnsiTheme="minorHAnsi" w:cstheme="minorHAnsi"/>
          <w:b/>
          <w:sz w:val="22"/>
          <w:szCs w:val="22"/>
          <w:u w:val="single"/>
        </w:rPr>
        <w:t>5.3.1. Savivaldybės tarybos narių rinkimas</w:t>
      </w:r>
    </w:p>
    <w:p w:rsidR="006E15AD" w:rsidRPr="00EC0D17" w:rsidRDefault="006E15AD" w:rsidP="00025BA1">
      <w:pPr>
        <w:rPr>
          <w:rFonts w:asciiTheme="minorHAnsi" w:hAnsiTheme="minorHAnsi" w:cstheme="minorHAnsi"/>
          <w:sz w:val="22"/>
          <w:szCs w:val="22"/>
        </w:rPr>
      </w:pPr>
    </w:p>
    <w:p w:rsidR="006E15AD" w:rsidRPr="00EC0D17" w:rsidRDefault="006E15AD" w:rsidP="00025BA1">
      <w:pPr>
        <w:pStyle w:val="Antrat2"/>
      </w:pPr>
      <w:bookmarkStart w:id="21" w:name="_Toc7451465"/>
      <w:r w:rsidRPr="00EC0D17">
        <w:t xml:space="preserve">Dėl </w:t>
      </w:r>
      <w:r w:rsidRPr="00EC0D17">
        <w:rPr>
          <w:lang w:bidi="lt-LT"/>
        </w:rPr>
        <w:t>atsisakymo registruoti visuomeninių rinkimų komitetų keliamus kandidatų sąrašus, kuriuose kandidatų lieka mažiau negu pusė toje savivaldybėje renkamų savivaldybės tarybos narių</w:t>
      </w:r>
      <w:bookmarkEnd w:id="21"/>
      <w:r w:rsidRPr="00EC0D17">
        <w:t xml:space="preserve"> </w:t>
      </w:r>
    </w:p>
    <w:p w:rsidR="006E15AD" w:rsidRPr="00EC0D17" w:rsidRDefault="006E15AD" w:rsidP="00025BA1">
      <w:pPr>
        <w:pStyle w:val="prastasiniatinklio"/>
        <w:spacing w:before="0" w:beforeAutospacing="0" w:after="0" w:afterAutospacing="0"/>
        <w:ind w:firstLine="567"/>
        <w:jc w:val="both"/>
        <w:rPr>
          <w:rFonts w:asciiTheme="minorHAnsi" w:hAnsiTheme="minorHAnsi" w:cstheme="minorHAnsi"/>
          <w:sz w:val="22"/>
          <w:szCs w:val="22"/>
          <w:lang w:val="lt-LT" w:eastAsia="lt-LT"/>
        </w:rPr>
      </w:pPr>
    </w:p>
    <w:p w:rsidR="006E15AD" w:rsidRPr="00EC0D17" w:rsidRDefault="006E15AD" w:rsidP="00025BA1">
      <w:pPr>
        <w:ind w:firstLine="567"/>
        <w:jc w:val="both"/>
        <w:rPr>
          <w:rFonts w:asciiTheme="minorHAnsi" w:hAnsiTheme="minorHAnsi" w:cstheme="minorHAnsi"/>
          <w:sz w:val="22"/>
          <w:szCs w:val="22"/>
          <w:lang w:bidi="lt-LT"/>
        </w:rPr>
      </w:pPr>
      <w:r w:rsidRPr="00EC0D17">
        <w:rPr>
          <w:rFonts w:asciiTheme="minorHAnsi" w:hAnsiTheme="minorHAnsi" w:cstheme="minorHAnsi"/>
          <w:sz w:val="22"/>
          <w:szCs w:val="22"/>
        </w:rPr>
        <w:t>Šioje byloje buvo ginčijamas Vyriausiosios rinkimų komisijos (toliau – Komisija) sprendimo, kuriuo</w:t>
      </w:r>
      <w:r w:rsidRPr="00EC0D17">
        <w:rPr>
          <w:rFonts w:asciiTheme="minorHAnsi" w:hAnsiTheme="minorHAnsi" w:cstheme="minorHAnsi"/>
          <w:sz w:val="22"/>
          <w:szCs w:val="22"/>
          <w:lang w:bidi="lt-LT"/>
        </w:rPr>
        <w:t xml:space="preserve"> nuspręsta neregistruoti visuomeninio rinkimų komiteto „Už pokyčius Klaipėdoje“ (toliau – Komitetas) sąrašo ir panaikinti Komiteto registraciją, teisėtumo ir pagrįstumo. </w:t>
      </w:r>
    </w:p>
    <w:p w:rsidR="006E15AD" w:rsidRPr="00EC0D17" w:rsidRDefault="006E15AD" w:rsidP="00025BA1">
      <w:pPr>
        <w:ind w:firstLine="567"/>
        <w:jc w:val="both"/>
        <w:rPr>
          <w:rFonts w:asciiTheme="minorHAnsi" w:hAnsiTheme="minorHAnsi" w:cstheme="minorHAnsi"/>
          <w:sz w:val="22"/>
          <w:szCs w:val="22"/>
          <w:lang w:bidi="lt-LT"/>
        </w:rPr>
      </w:pPr>
      <w:r w:rsidRPr="00EC0D17">
        <w:rPr>
          <w:rFonts w:asciiTheme="minorHAnsi" w:hAnsiTheme="minorHAnsi" w:cstheme="minorHAnsi"/>
          <w:sz w:val="22"/>
          <w:szCs w:val="22"/>
          <w:lang w:bidi="lt-LT"/>
        </w:rPr>
        <w:t xml:space="preserve">Komisija sprendimą grindė </w:t>
      </w:r>
      <w:r w:rsidR="00EA11CA">
        <w:rPr>
          <w:rFonts w:asciiTheme="minorHAnsi" w:hAnsiTheme="minorHAnsi" w:cstheme="minorHAnsi"/>
          <w:sz w:val="22"/>
          <w:szCs w:val="22"/>
          <w:lang w:bidi="lt-LT"/>
        </w:rPr>
        <w:t>S</w:t>
      </w:r>
      <w:r w:rsidRPr="00EC0D17">
        <w:rPr>
          <w:rFonts w:asciiTheme="minorHAnsi" w:hAnsiTheme="minorHAnsi" w:cstheme="minorHAnsi"/>
          <w:sz w:val="22"/>
          <w:szCs w:val="22"/>
          <w:lang w:bidi="lt-LT"/>
        </w:rPr>
        <w:t>avivaldybių tarybų rinkimų įstatymo (toli</w:t>
      </w:r>
      <w:r w:rsidR="00EA11CA">
        <w:rPr>
          <w:rFonts w:asciiTheme="minorHAnsi" w:hAnsiTheme="minorHAnsi" w:cstheme="minorHAnsi"/>
          <w:sz w:val="22"/>
          <w:szCs w:val="22"/>
          <w:lang w:bidi="lt-LT"/>
        </w:rPr>
        <w:t>au – Įstatymas) 34 straipsnio 4 </w:t>
      </w:r>
      <w:r w:rsidRPr="00EC0D17">
        <w:rPr>
          <w:rFonts w:asciiTheme="minorHAnsi" w:hAnsiTheme="minorHAnsi" w:cstheme="minorHAnsi"/>
          <w:sz w:val="22"/>
          <w:szCs w:val="22"/>
          <w:lang w:bidi="lt-LT"/>
        </w:rPr>
        <w:t xml:space="preserve">dalimi, kurioje įtvirtinta, kad partija, rinkimų komitetas kandidatus kelia pateikdami bendrą kandidatų į savivaldybės tarybos narius sąrašą, kuriame kandidatai surašyti pagal partijos nustatytą eilę; iš viso partijos teikiamame kandidatų sąraše kandidatų negali būti mažiau negu pusė ir du kartus daugiau negu iš viso renkama tos savivaldybės tarybos narių. Nors atsakovas pripažįsta, jog minėtose nuostatose nėra </w:t>
      </w:r>
      <w:r w:rsidRPr="00EC0D17">
        <w:rPr>
          <w:rFonts w:asciiTheme="minorHAnsi" w:hAnsiTheme="minorHAnsi" w:cstheme="minorHAnsi"/>
          <w:i/>
          <w:sz w:val="22"/>
          <w:szCs w:val="22"/>
          <w:lang w:bidi="lt-LT"/>
        </w:rPr>
        <w:t>expressis verbis</w:t>
      </w:r>
      <w:r w:rsidR="00EA11CA">
        <w:rPr>
          <w:rFonts w:asciiTheme="minorHAnsi" w:hAnsiTheme="minorHAnsi" w:cstheme="minorHAnsi"/>
          <w:sz w:val="22"/>
          <w:szCs w:val="22"/>
          <w:lang w:bidi="lt-LT"/>
        </w:rPr>
        <w:t xml:space="preserve"> (</w:t>
      </w:r>
      <w:r w:rsidRPr="00EC0D17">
        <w:rPr>
          <w:rFonts w:asciiTheme="minorHAnsi" w:hAnsiTheme="minorHAnsi" w:cstheme="minorHAnsi"/>
          <w:sz w:val="22"/>
          <w:szCs w:val="22"/>
          <w:lang w:bidi="lt-LT"/>
        </w:rPr>
        <w:t>tiesiogiai, aiškiais žodžiais) nurodyta, kad ir visuomeninių rinkimų komitetų teikiamame kandidatų sąraše negali būti mažiau negu pusė ir du kartus daugiau negu iš viso renkama tos savivaldybės tarybos narių, jo nuomone, šioje vietoje įstatymų leidėjas padarė teisės technikos klaidą, kadangi, sistemiškai aiškinant Įstatymo nuostatas (tarp jų – numatytąsias 42 straipsnio 3 dalyje, kad, jeigu, atšaukus pareiškinius dokumentus, kandidatų sąraše kandidatų lieka mažiau negu pusė toje savivaldybėje renkama savivaldybės tarybos narių, panaikinamas visų šio sąrašo kandidatų registravimas), turi būti vienodai traktuojami tiek partijų, tiek visuomeninių rinkimų komitetų teikiami kandidatų sąrašai.</w:t>
      </w:r>
    </w:p>
    <w:p w:rsidR="006E15AD" w:rsidRPr="00EC0D17" w:rsidRDefault="006E15AD" w:rsidP="00025BA1">
      <w:pPr>
        <w:ind w:firstLine="567"/>
        <w:jc w:val="both"/>
        <w:rPr>
          <w:rFonts w:asciiTheme="minorHAnsi" w:hAnsiTheme="minorHAnsi" w:cstheme="minorHAnsi"/>
          <w:sz w:val="22"/>
          <w:szCs w:val="22"/>
        </w:rPr>
      </w:pPr>
      <w:r w:rsidRPr="00EC0D17">
        <w:rPr>
          <w:rFonts w:asciiTheme="minorHAnsi" w:hAnsiTheme="minorHAnsi" w:cstheme="minorHAnsi"/>
          <w:sz w:val="22"/>
          <w:szCs w:val="22"/>
          <w:lang w:bidi="lt-LT"/>
        </w:rPr>
        <w:t xml:space="preserve">Teisėjų kolegija tokią atsakovo poziciją pripažino nepagrįsta. Byloje atsižvelgta į Lietuvos Respublikos Konstitucinio Teismo doktriną, pagal kurią </w:t>
      </w:r>
      <w:r w:rsidRPr="00EC0D17">
        <w:rPr>
          <w:rFonts w:asciiTheme="minorHAnsi" w:hAnsiTheme="minorHAnsi" w:cstheme="minorHAnsi"/>
          <w:sz w:val="22"/>
          <w:szCs w:val="22"/>
        </w:rPr>
        <w:t>įstatymuose ir kituose teisės aktuose nustatytas teisinis reguliavimas turi būti aiškus, suprantamas, neprieštaringas, teisės aktų formuluotės turi būti tikslios, kad teisinių santykių subjektai galėtų savo elgesį orientuoti pagal teisės reikalavimus, turi būti užtikrinami teisės sistemos nuoseklumas ir vidinė darna (žr., pvz., 2004 m. gruodžio 13 d., 2006 m. sausio 16 d., 2013 m. vasario 15 d. nutarimus).</w:t>
      </w:r>
      <w:r w:rsidRPr="00EC0D17">
        <w:rPr>
          <w:rFonts w:asciiTheme="minorHAnsi" w:hAnsiTheme="minorHAnsi" w:cstheme="minorHAnsi"/>
          <w:bCs/>
          <w:iCs/>
          <w:sz w:val="22"/>
          <w:szCs w:val="22"/>
        </w:rPr>
        <w:t xml:space="preserve"> Visuomeninių rinkimų komitetų veiklą ir tokių komitetų teikiamų kandidatų sąrašų registraciją reglamentuojantis teisinis reguliavimas stokoja aiškumo. </w:t>
      </w:r>
      <w:r w:rsidRPr="00EC0D17">
        <w:rPr>
          <w:rFonts w:asciiTheme="minorHAnsi" w:hAnsiTheme="minorHAnsi" w:cstheme="minorHAnsi"/>
          <w:sz w:val="22"/>
          <w:szCs w:val="22"/>
        </w:rPr>
        <w:t xml:space="preserve">Teisės aktų formuluotės nėra pakankamai tikslios, kad teisinių santykių subjektai galėtų savo elgesį aiškiai orientuoti pagal teisės reikalavimus. </w:t>
      </w:r>
      <w:r w:rsidRPr="00EC0D17">
        <w:rPr>
          <w:rFonts w:asciiTheme="minorHAnsi" w:hAnsiTheme="minorHAnsi" w:cstheme="minorHAnsi"/>
          <w:bCs/>
          <w:iCs/>
          <w:sz w:val="22"/>
          <w:szCs w:val="22"/>
          <w:u w:val="single"/>
        </w:rPr>
        <w:t>Atsakovo nuomonė, kad Įstatyme yra tam tikrų redakcinių – loginio pobūdžio klaidų, nėra visiškai nepagrįsta,</w:t>
      </w:r>
      <w:r w:rsidRPr="00EC0D17">
        <w:rPr>
          <w:rFonts w:asciiTheme="minorHAnsi" w:hAnsiTheme="minorHAnsi" w:cstheme="minorHAnsi"/>
          <w:sz w:val="22"/>
          <w:szCs w:val="22"/>
          <w:u w:val="single"/>
        </w:rPr>
        <w:t xml:space="preserve"> tačiau tai nereiškia, kad teisiniame reguliavime galbūt esančius trūkumus šiuo konkrečiu atveju galima ištaisyti plečiamai aiškinant teisės normas, keičiant juose esantį turinį</w:t>
      </w:r>
      <w:r w:rsidRPr="00EC0D17">
        <w:rPr>
          <w:rFonts w:asciiTheme="minorHAnsi" w:hAnsiTheme="minorHAnsi" w:cstheme="minorHAnsi"/>
          <w:sz w:val="22"/>
          <w:szCs w:val="22"/>
        </w:rPr>
        <w:t>.</w:t>
      </w:r>
    </w:p>
    <w:p w:rsidR="006E15AD" w:rsidRPr="00EC0D17" w:rsidRDefault="006E15AD" w:rsidP="00025BA1">
      <w:pPr>
        <w:ind w:firstLine="567"/>
        <w:jc w:val="both"/>
        <w:rPr>
          <w:rFonts w:asciiTheme="minorHAnsi" w:hAnsiTheme="minorHAnsi" w:cstheme="minorHAnsi"/>
          <w:sz w:val="22"/>
          <w:szCs w:val="22"/>
        </w:rPr>
      </w:pPr>
      <w:r w:rsidRPr="00EC0D17">
        <w:rPr>
          <w:rFonts w:asciiTheme="minorHAnsi" w:hAnsiTheme="minorHAnsi" w:cstheme="minorHAnsi"/>
          <w:sz w:val="22"/>
          <w:szCs w:val="22"/>
        </w:rPr>
        <w:t>Teisėjų kolegija, įvertinusi bylos aplinkybes, konstatavo, kad ginčyta Komisijos sprendimo dalis, kurioje nuspręsta neregistruoti Komiteto keliamų kandidatų sąrašo ir panaikinti Komiteto registraciją, neturi teisinio pagrindo, dėl to yra naikintina. Panaikinus ginčijamą sprendimo dalį, kurioje, be kita ko, buvo nuspręsta panaikinti Komiteto registraciją, ši registracija savaime tampa vėl galiojančia, todėl antrasis skundo reikalavimas – įpareigoti atsakovą teisės aktų nustatyta tvarka atkurti Komiteto registracijos pradinę teisinę padėtį – nebeturi teisinės reikšmės ir plačiau nenagrinėtinas. Atsižvelgiant į tai, pareiškėjo skundas patenkintas.</w:t>
      </w:r>
    </w:p>
    <w:p w:rsidR="006E15AD" w:rsidRPr="00EC0D17" w:rsidRDefault="006E15AD" w:rsidP="00025BA1">
      <w:pPr>
        <w:ind w:firstLine="567"/>
        <w:jc w:val="both"/>
        <w:rPr>
          <w:rFonts w:asciiTheme="minorHAnsi" w:hAnsiTheme="minorHAnsi" w:cstheme="minorHAnsi"/>
          <w:sz w:val="22"/>
          <w:szCs w:val="22"/>
        </w:rPr>
      </w:pPr>
    </w:p>
    <w:p w:rsidR="006E15AD" w:rsidRPr="00EC0D17" w:rsidRDefault="006E15AD" w:rsidP="00025BA1">
      <w:pPr>
        <w:tabs>
          <w:tab w:val="left" w:pos="142"/>
        </w:tabs>
        <w:jc w:val="both"/>
        <w:rPr>
          <w:rFonts w:asciiTheme="minorHAnsi" w:hAnsiTheme="minorHAnsi" w:cstheme="minorHAnsi"/>
          <w:sz w:val="22"/>
          <w:szCs w:val="22"/>
        </w:rPr>
      </w:pPr>
      <w:r w:rsidRPr="00EC0D17">
        <w:rPr>
          <w:rFonts w:asciiTheme="minorHAnsi" w:hAnsiTheme="minorHAnsi" w:cstheme="minorHAnsi"/>
          <w:bCs/>
          <w:sz w:val="22"/>
          <w:szCs w:val="22"/>
        </w:rPr>
        <w:t xml:space="preserve">2019 m. </w:t>
      </w:r>
      <w:r w:rsidRPr="00EC0D17">
        <w:rPr>
          <w:rFonts w:asciiTheme="minorHAnsi" w:hAnsiTheme="minorHAnsi" w:cstheme="minorHAnsi"/>
          <w:sz w:val="22"/>
          <w:szCs w:val="22"/>
        </w:rPr>
        <w:t xml:space="preserve">vasario 7 </w:t>
      </w:r>
      <w:r w:rsidRPr="00EC0D17">
        <w:rPr>
          <w:rFonts w:asciiTheme="minorHAnsi" w:hAnsiTheme="minorHAnsi" w:cstheme="minorHAnsi"/>
          <w:bCs/>
          <w:sz w:val="22"/>
          <w:szCs w:val="22"/>
        </w:rPr>
        <w:t xml:space="preserve">d. </w:t>
      </w:r>
      <w:r w:rsidR="00EA11CA">
        <w:rPr>
          <w:rFonts w:asciiTheme="minorHAnsi" w:hAnsiTheme="minorHAnsi" w:cstheme="minorHAnsi"/>
          <w:bCs/>
          <w:sz w:val="22"/>
          <w:szCs w:val="22"/>
        </w:rPr>
        <w:t>sprendimas</w:t>
      </w:r>
      <w:r w:rsidRPr="00EC0D17">
        <w:rPr>
          <w:rFonts w:asciiTheme="minorHAnsi" w:hAnsiTheme="minorHAnsi" w:cstheme="minorHAnsi"/>
          <w:bCs/>
          <w:sz w:val="22"/>
          <w:szCs w:val="22"/>
        </w:rPr>
        <w:t xml:space="preserve"> administracinėje byloje Nr. eR-6-1062</w:t>
      </w:r>
      <w:r w:rsidRPr="00EC0D17">
        <w:rPr>
          <w:rFonts w:asciiTheme="minorHAnsi" w:hAnsiTheme="minorHAnsi" w:cstheme="minorHAnsi"/>
          <w:sz w:val="22"/>
          <w:szCs w:val="22"/>
        </w:rPr>
        <w:t>/2019</w:t>
      </w:r>
    </w:p>
    <w:p w:rsidR="006E15AD" w:rsidRPr="00EC0D17" w:rsidRDefault="006E15AD" w:rsidP="00025BA1">
      <w:pPr>
        <w:tabs>
          <w:tab w:val="left" w:pos="142"/>
        </w:tabs>
        <w:jc w:val="both"/>
        <w:rPr>
          <w:rFonts w:asciiTheme="minorHAnsi" w:hAnsiTheme="minorHAnsi" w:cstheme="minorHAnsi"/>
          <w:sz w:val="22"/>
          <w:szCs w:val="22"/>
        </w:rPr>
      </w:pPr>
      <w:r w:rsidRPr="00EC0D17">
        <w:rPr>
          <w:rFonts w:asciiTheme="minorHAnsi" w:hAnsiTheme="minorHAnsi" w:cstheme="minorHAnsi"/>
          <w:sz w:val="22"/>
          <w:szCs w:val="22"/>
        </w:rPr>
        <w:t>Teisminio proceso Nr. 3-61-3-00006-2019-6</w:t>
      </w:r>
    </w:p>
    <w:p w:rsidR="006E15AD" w:rsidRPr="00EC0D17" w:rsidRDefault="006E15AD" w:rsidP="00025BA1">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Procesinio sprendimo kategorija 5.3.1</w:t>
      </w:r>
    </w:p>
    <w:p w:rsidR="006E15AD" w:rsidRPr="00EC0D17" w:rsidRDefault="004264B2" w:rsidP="00025BA1">
      <w:pPr>
        <w:tabs>
          <w:tab w:val="left" w:pos="142"/>
        </w:tabs>
        <w:jc w:val="both"/>
        <w:rPr>
          <w:rFonts w:asciiTheme="minorHAnsi" w:hAnsiTheme="minorHAnsi" w:cstheme="minorHAnsi"/>
          <w:sz w:val="22"/>
          <w:szCs w:val="22"/>
        </w:rPr>
      </w:pPr>
      <w:hyperlink r:id="rId11" w:history="1">
        <w:r w:rsidR="006E15AD" w:rsidRPr="00EC0D17">
          <w:rPr>
            <w:rStyle w:val="Hipersaitas"/>
            <w:rFonts w:asciiTheme="minorHAnsi" w:hAnsiTheme="minorHAnsi" w:cstheme="minorHAnsi"/>
            <w:sz w:val="22"/>
            <w:szCs w:val="22"/>
          </w:rPr>
          <w:t>Prieiga internete</w:t>
        </w:r>
      </w:hyperlink>
    </w:p>
    <w:p w:rsidR="006E15AD" w:rsidRPr="00EC0D17" w:rsidRDefault="006E15AD" w:rsidP="00025BA1">
      <w:pPr>
        <w:tabs>
          <w:tab w:val="left" w:pos="142"/>
        </w:tabs>
        <w:ind w:firstLine="567"/>
        <w:jc w:val="both"/>
        <w:rPr>
          <w:rFonts w:asciiTheme="minorHAnsi" w:hAnsiTheme="minorHAnsi" w:cstheme="minorHAnsi"/>
          <w:sz w:val="22"/>
          <w:szCs w:val="22"/>
        </w:rPr>
      </w:pPr>
    </w:p>
    <w:p w:rsidR="00B672BA" w:rsidRPr="00730837" w:rsidRDefault="00B672BA" w:rsidP="00025BA1">
      <w:pPr>
        <w:pStyle w:val="Antrat1"/>
        <w:rPr>
          <w:rFonts w:asciiTheme="minorHAnsi" w:eastAsiaTheme="minorEastAsia" w:hAnsiTheme="minorHAnsi" w:cstheme="minorHAnsi"/>
        </w:rPr>
      </w:pPr>
      <w:bookmarkStart w:id="22" w:name="_Toc774915"/>
      <w:bookmarkStart w:id="23" w:name="_Toc7451466"/>
      <w:r w:rsidRPr="00730837">
        <w:rPr>
          <w:rFonts w:asciiTheme="minorHAnsi" w:eastAsiaTheme="minorEastAsia" w:hAnsiTheme="minorHAnsi" w:cstheme="minorHAnsi"/>
        </w:rPr>
        <w:t>7. Socialinė apsauga</w:t>
      </w:r>
      <w:bookmarkEnd w:id="22"/>
      <w:bookmarkEnd w:id="23"/>
    </w:p>
    <w:p w:rsidR="00B672BA" w:rsidRPr="00B672BA" w:rsidRDefault="00B672BA" w:rsidP="00025BA1">
      <w:pPr>
        <w:ind w:firstLine="567"/>
        <w:rPr>
          <w:rFonts w:asciiTheme="minorHAnsi" w:eastAsiaTheme="minorEastAsia" w:hAnsiTheme="minorHAnsi" w:cstheme="minorHAnsi"/>
          <w:b/>
          <w:sz w:val="22"/>
          <w:szCs w:val="22"/>
          <w:u w:val="single"/>
        </w:rPr>
      </w:pPr>
      <w:r w:rsidRPr="00B672BA">
        <w:rPr>
          <w:rFonts w:asciiTheme="minorHAnsi" w:eastAsiaTheme="minorEastAsia" w:hAnsiTheme="minorHAnsi" w:cstheme="minorHAnsi"/>
          <w:b/>
          <w:sz w:val="22"/>
          <w:szCs w:val="22"/>
          <w:u w:val="single"/>
        </w:rPr>
        <w:t>7.5. Valstybinės pensijos</w:t>
      </w:r>
    </w:p>
    <w:p w:rsidR="00B672BA" w:rsidRPr="00B672BA" w:rsidRDefault="00B672BA" w:rsidP="00025BA1">
      <w:pPr>
        <w:ind w:firstLine="1134"/>
        <w:rPr>
          <w:rFonts w:asciiTheme="minorHAnsi" w:eastAsiaTheme="minorEastAsia" w:hAnsiTheme="minorHAnsi" w:cstheme="minorHAnsi"/>
          <w:b/>
          <w:sz w:val="22"/>
          <w:szCs w:val="22"/>
          <w:u w:val="single"/>
        </w:rPr>
      </w:pPr>
      <w:r w:rsidRPr="00B672BA">
        <w:rPr>
          <w:rFonts w:asciiTheme="minorHAnsi" w:eastAsiaTheme="minorEastAsia" w:hAnsiTheme="minorHAnsi" w:cstheme="minorHAnsi"/>
          <w:b/>
          <w:sz w:val="22"/>
          <w:szCs w:val="22"/>
          <w:u w:val="single"/>
        </w:rPr>
        <w:t>7.5.3. Pareigūnų ir karių valstybinės pensijos</w:t>
      </w:r>
    </w:p>
    <w:p w:rsidR="00B672BA" w:rsidRDefault="00B672BA" w:rsidP="00025BA1"/>
    <w:p w:rsidR="00B672BA" w:rsidRPr="005F47C0" w:rsidRDefault="00B672BA" w:rsidP="00025BA1">
      <w:pPr>
        <w:pStyle w:val="Antrat2"/>
        <w:rPr>
          <w:i w:val="0"/>
        </w:rPr>
      </w:pPr>
      <w:bookmarkStart w:id="24" w:name="_Toc7451467"/>
      <w:r w:rsidRPr="005F47C0">
        <w:t xml:space="preserve">Dėl </w:t>
      </w:r>
      <w:r w:rsidR="00FE306F" w:rsidRPr="00FE306F">
        <w:t>atsisakymo skirti pareigūnų ir karių valstybinę pensiją</w:t>
      </w:r>
      <w:r w:rsidR="00FE306F">
        <w:t xml:space="preserve"> asmeniui,</w:t>
      </w:r>
      <w:r w:rsidR="00FE306F" w:rsidRPr="005F47C0">
        <w:t xml:space="preserve"> </w:t>
      </w:r>
      <w:r w:rsidR="00FE306F">
        <w:t>nuteista</w:t>
      </w:r>
      <w:r w:rsidR="003034A4">
        <w:t>m</w:t>
      </w:r>
      <w:r w:rsidR="00FE306F" w:rsidRPr="00FE306F">
        <w:t xml:space="preserve"> už tyčinių nusikaltimų padarymą</w:t>
      </w:r>
      <w:bookmarkEnd w:id="24"/>
      <w:r w:rsidR="00FE306F" w:rsidRPr="00FE306F">
        <w:t xml:space="preserve"> </w:t>
      </w:r>
    </w:p>
    <w:p w:rsidR="00B672BA" w:rsidRDefault="00B672BA" w:rsidP="00025BA1"/>
    <w:p w:rsidR="00E9375C" w:rsidRDefault="001035B6" w:rsidP="00025BA1">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Aptariamu atveju buvo sprendžiamas pirmosios instancijos teismo </w:t>
      </w:r>
      <w:r w:rsidRPr="001035B6">
        <w:rPr>
          <w:rFonts w:asciiTheme="minorHAnsi" w:eastAsiaTheme="minorEastAsia" w:hAnsiTheme="minorHAnsi" w:cstheme="minorHAnsi"/>
          <w:sz w:val="22"/>
          <w:szCs w:val="22"/>
        </w:rPr>
        <w:t>sprendimo, kuriuo pareiškėjo skundas dėl atsisakymo skirti pareiškėjui pareigūnų ir karių valstybinę pensiją buvo atmestas, teisėtumas ir pagrįstumas</w:t>
      </w:r>
      <w:r>
        <w:rPr>
          <w:rFonts w:asciiTheme="minorHAnsi" w:eastAsiaTheme="minorEastAsia" w:hAnsiTheme="minorHAnsi" w:cstheme="minorHAnsi"/>
          <w:sz w:val="22"/>
          <w:szCs w:val="22"/>
        </w:rPr>
        <w:t>.</w:t>
      </w:r>
    </w:p>
    <w:p w:rsidR="008120BF" w:rsidRDefault="00E9375C" w:rsidP="00025BA1">
      <w:pPr>
        <w:ind w:firstLine="567"/>
        <w:jc w:val="both"/>
        <w:rPr>
          <w:rFonts w:asciiTheme="minorHAnsi" w:eastAsiaTheme="minorEastAsia" w:hAnsiTheme="minorHAnsi" w:cstheme="minorHAnsi"/>
          <w:sz w:val="22"/>
          <w:szCs w:val="22"/>
        </w:rPr>
      </w:pPr>
      <w:r w:rsidRPr="00E9375C">
        <w:rPr>
          <w:rFonts w:asciiTheme="minorHAnsi" w:eastAsiaTheme="minorEastAsia" w:hAnsiTheme="minorHAnsi" w:cstheme="minorHAnsi"/>
          <w:sz w:val="22"/>
          <w:szCs w:val="22"/>
        </w:rPr>
        <w:t xml:space="preserve">Pirmosios instancijos teismas pareiškėjo skundą atmetė, konstatavęs, kad Pareigūnų valstybinių pensijų įstatymo 13 straipsnio 3 dalies nuostatos taikymo atveju būtent nuteisimo už tyčinio nusikaltimo padarymą faktas yra esminis, sprendžiant dėl pareigūnų ir karių valstybinės </w:t>
      </w:r>
      <w:r w:rsidR="008120BF">
        <w:rPr>
          <w:rFonts w:asciiTheme="minorHAnsi" w:eastAsiaTheme="minorEastAsia" w:hAnsiTheme="minorHAnsi" w:cstheme="minorHAnsi"/>
          <w:sz w:val="22"/>
          <w:szCs w:val="22"/>
        </w:rPr>
        <w:t xml:space="preserve">pensijos paskyrimo pareiškėjui, dėl to </w:t>
      </w:r>
      <w:r w:rsidRPr="00E9375C">
        <w:rPr>
          <w:rFonts w:asciiTheme="minorHAnsi" w:eastAsiaTheme="minorEastAsia" w:hAnsiTheme="minorHAnsi" w:cstheme="minorHAnsi"/>
          <w:sz w:val="22"/>
          <w:szCs w:val="22"/>
        </w:rPr>
        <w:t>ginčijami atsakovų sprendimai yra teisėti ir jų naikinti nėra pagrindo.</w:t>
      </w:r>
    </w:p>
    <w:p w:rsidR="001F207C" w:rsidRDefault="00E9375C" w:rsidP="00025BA1">
      <w:pPr>
        <w:ind w:firstLine="567"/>
        <w:jc w:val="both"/>
        <w:rPr>
          <w:rFonts w:asciiTheme="minorHAnsi" w:eastAsiaTheme="minorEastAsia" w:hAnsiTheme="minorHAnsi" w:cstheme="minorHAnsi"/>
          <w:sz w:val="22"/>
          <w:szCs w:val="22"/>
        </w:rPr>
      </w:pPr>
      <w:r w:rsidRPr="00E9375C">
        <w:rPr>
          <w:rFonts w:asciiTheme="minorHAnsi" w:eastAsiaTheme="minorEastAsia" w:hAnsiTheme="minorHAnsi" w:cstheme="minorHAnsi"/>
          <w:sz w:val="22"/>
          <w:szCs w:val="22"/>
        </w:rPr>
        <w:t xml:space="preserve">Pareiškėjas apeliaciniame skunde </w:t>
      </w:r>
      <w:r w:rsidR="008120BF">
        <w:rPr>
          <w:rFonts w:asciiTheme="minorHAnsi" w:eastAsiaTheme="minorEastAsia" w:hAnsiTheme="minorHAnsi" w:cstheme="minorHAnsi"/>
          <w:sz w:val="22"/>
          <w:szCs w:val="22"/>
        </w:rPr>
        <w:t>teigė, kad</w:t>
      </w:r>
      <w:r w:rsidRPr="00E9375C">
        <w:rPr>
          <w:rFonts w:asciiTheme="minorHAnsi" w:eastAsiaTheme="minorEastAsia" w:hAnsiTheme="minorHAnsi" w:cstheme="minorHAnsi"/>
          <w:sz w:val="22"/>
          <w:szCs w:val="22"/>
        </w:rPr>
        <w:t xml:space="preserve"> </w:t>
      </w:r>
      <w:r w:rsidR="008120BF">
        <w:rPr>
          <w:rFonts w:asciiTheme="minorHAnsi" w:eastAsiaTheme="minorEastAsia" w:hAnsiTheme="minorHAnsi" w:cstheme="minorHAnsi"/>
          <w:sz w:val="22"/>
          <w:szCs w:val="22"/>
        </w:rPr>
        <w:t>jo</w:t>
      </w:r>
      <w:r w:rsidRPr="00E9375C">
        <w:rPr>
          <w:rFonts w:asciiTheme="minorHAnsi" w:eastAsiaTheme="minorEastAsia" w:hAnsiTheme="minorHAnsi" w:cstheme="minorHAnsi"/>
          <w:sz w:val="22"/>
          <w:szCs w:val="22"/>
        </w:rPr>
        <w:t xml:space="preserve"> teistumas tuo metu</w:t>
      </w:r>
      <w:r w:rsidR="00935B9F">
        <w:rPr>
          <w:rFonts w:asciiTheme="minorHAnsi" w:eastAsiaTheme="minorEastAsia" w:hAnsiTheme="minorHAnsi" w:cstheme="minorHAnsi"/>
          <w:sz w:val="22"/>
          <w:szCs w:val="22"/>
        </w:rPr>
        <w:t>,</w:t>
      </w:r>
      <w:r w:rsidRPr="00E9375C">
        <w:rPr>
          <w:rFonts w:asciiTheme="minorHAnsi" w:eastAsiaTheme="minorEastAsia" w:hAnsiTheme="minorHAnsi" w:cstheme="minorHAnsi"/>
          <w:sz w:val="22"/>
          <w:szCs w:val="22"/>
        </w:rPr>
        <w:t xml:space="preserve"> kai jis kreipėsi į atsakovą dėl pensijos skyrimo</w:t>
      </w:r>
      <w:r w:rsidR="00935B9F">
        <w:rPr>
          <w:rFonts w:asciiTheme="minorHAnsi" w:eastAsiaTheme="minorEastAsia" w:hAnsiTheme="minorHAnsi" w:cstheme="minorHAnsi"/>
          <w:sz w:val="22"/>
          <w:szCs w:val="22"/>
        </w:rPr>
        <w:t>,</w:t>
      </w:r>
      <w:r w:rsidRPr="00E9375C">
        <w:rPr>
          <w:rFonts w:asciiTheme="minorHAnsi" w:eastAsiaTheme="minorEastAsia" w:hAnsiTheme="minorHAnsi" w:cstheme="minorHAnsi"/>
          <w:sz w:val="22"/>
          <w:szCs w:val="22"/>
        </w:rPr>
        <w:t xml:space="preserve"> buvo pasibaigęs. Pensijos neskyrimą vertin</w:t>
      </w:r>
      <w:r w:rsidR="006944E7">
        <w:rPr>
          <w:rFonts w:asciiTheme="minorHAnsi" w:eastAsiaTheme="minorEastAsia" w:hAnsiTheme="minorHAnsi" w:cstheme="minorHAnsi"/>
          <w:sz w:val="22"/>
          <w:szCs w:val="22"/>
        </w:rPr>
        <w:t>o</w:t>
      </w:r>
      <w:r w:rsidRPr="00E9375C">
        <w:rPr>
          <w:rFonts w:asciiTheme="minorHAnsi" w:eastAsiaTheme="minorEastAsia" w:hAnsiTheme="minorHAnsi" w:cstheme="minorHAnsi"/>
          <w:sz w:val="22"/>
          <w:szCs w:val="22"/>
        </w:rPr>
        <w:t xml:space="preserve"> kaip baudimą už tą patį nusikaltimą antrą</w:t>
      </w:r>
      <w:r w:rsidR="001F207C">
        <w:rPr>
          <w:rFonts w:asciiTheme="minorHAnsi" w:eastAsiaTheme="minorEastAsia" w:hAnsiTheme="minorHAnsi" w:cstheme="minorHAnsi"/>
          <w:sz w:val="22"/>
          <w:szCs w:val="22"/>
        </w:rPr>
        <w:t xml:space="preserve"> kartą.</w:t>
      </w:r>
    </w:p>
    <w:p w:rsidR="00367460" w:rsidRPr="00935B9F" w:rsidRDefault="00E9375C" w:rsidP="00025BA1">
      <w:pPr>
        <w:ind w:firstLine="567"/>
        <w:jc w:val="both"/>
        <w:rPr>
          <w:rFonts w:asciiTheme="minorHAnsi" w:eastAsiaTheme="minorEastAsia" w:hAnsiTheme="minorHAnsi" w:cstheme="minorHAnsi"/>
          <w:sz w:val="22"/>
          <w:szCs w:val="22"/>
        </w:rPr>
      </w:pPr>
      <w:r w:rsidRPr="00E9375C">
        <w:rPr>
          <w:rFonts w:asciiTheme="minorHAnsi" w:eastAsiaTheme="minorEastAsia" w:hAnsiTheme="minorHAnsi" w:cstheme="minorHAnsi"/>
          <w:sz w:val="22"/>
          <w:szCs w:val="22"/>
        </w:rPr>
        <w:t>Iš Lietuvos teismų informacinės sistemos Liteko duomenų</w:t>
      </w:r>
      <w:r w:rsidR="001F207C">
        <w:rPr>
          <w:rFonts w:asciiTheme="minorHAnsi" w:eastAsiaTheme="minorEastAsia" w:hAnsiTheme="minorHAnsi" w:cstheme="minorHAnsi"/>
          <w:sz w:val="22"/>
          <w:szCs w:val="22"/>
        </w:rPr>
        <w:t xml:space="preserve"> buvo</w:t>
      </w:r>
      <w:r w:rsidRPr="00E9375C">
        <w:rPr>
          <w:rFonts w:asciiTheme="minorHAnsi" w:eastAsiaTheme="minorEastAsia" w:hAnsiTheme="minorHAnsi" w:cstheme="minorHAnsi"/>
          <w:sz w:val="22"/>
          <w:szCs w:val="22"/>
        </w:rPr>
        <w:t xml:space="preserve"> matyti, kad pareiškėjas Kauno miesto apylinkės teismo 2010 m. spalio 13 d. nuosprendžiu baudžiamojoje byloje (įsiteisėjo 2010 m. gruodžio 30 d.) nuteistas už tyčinių nusikaltimų padarymą.</w:t>
      </w:r>
      <w:r w:rsidR="00935B9F">
        <w:rPr>
          <w:rFonts w:asciiTheme="minorHAnsi" w:eastAsiaTheme="minorEastAsia" w:hAnsiTheme="minorHAnsi" w:cstheme="minorHAnsi"/>
          <w:sz w:val="22"/>
          <w:szCs w:val="22"/>
        </w:rPr>
        <w:t xml:space="preserve"> </w:t>
      </w:r>
      <w:r w:rsidR="00367460">
        <w:rPr>
          <w:rFonts w:asciiTheme="minorHAnsi" w:eastAsiaTheme="minorEastAsia" w:hAnsiTheme="minorHAnsi" w:cstheme="minorHAnsi"/>
          <w:sz w:val="22"/>
          <w:szCs w:val="22"/>
        </w:rPr>
        <w:t>Teisėjų kolegija pažymėjo</w:t>
      </w:r>
      <w:r w:rsidRPr="00E9375C">
        <w:rPr>
          <w:rFonts w:asciiTheme="minorHAnsi" w:eastAsiaTheme="minorEastAsia" w:hAnsiTheme="minorHAnsi" w:cstheme="minorHAnsi"/>
          <w:sz w:val="22"/>
          <w:szCs w:val="22"/>
        </w:rPr>
        <w:t>, kad pareiškėjas teisės į valstybinę pensiją dar nebuvo į</w:t>
      </w:r>
      <w:r w:rsidR="00367460">
        <w:rPr>
          <w:rFonts w:asciiTheme="minorHAnsi" w:eastAsiaTheme="minorEastAsia" w:hAnsiTheme="minorHAnsi" w:cstheme="minorHAnsi"/>
          <w:sz w:val="22"/>
          <w:szCs w:val="22"/>
        </w:rPr>
        <w:t xml:space="preserve">gijęs (ji jam nebuvo paskirta). </w:t>
      </w:r>
    </w:p>
    <w:p w:rsidR="00017230" w:rsidRDefault="00E9375C" w:rsidP="00025BA1">
      <w:pPr>
        <w:ind w:firstLine="567"/>
        <w:jc w:val="both"/>
        <w:rPr>
          <w:rFonts w:asciiTheme="minorHAnsi" w:eastAsiaTheme="minorEastAsia" w:hAnsiTheme="minorHAnsi" w:cstheme="minorHAnsi"/>
          <w:sz w:val="22"/>
          <w:szCs w:val="22"/>
        </w:rPr>
      </w:pPr>
      <w:r w:rsidRPr="00FE306F">
        <w:rPr>
          <w:rFonts w:asciiTheme="minorHAnsi" w:eastAsiaTheme="minorEastAsia" w:hAnsiTheme="minorHAnsi" w:cstheme="minorHAnsi"/>
          <w:sz w:val="22"/>
          <w:szCs w:val="22"/>
        </w:rPr>
        <w:t xml:space="preserve">Konstitucinio Teismo </w:t>
      </w:r>
      <w:bookmarkStart w:id="25" w:name="_Hlk485142208"/>
      <w:r w:rsidRPr="00FE306F">
        <w:rPr>
          <w:rFonts w:asciiTheme="minorHAnsi" w:eastAsiaTheme="minorEastAsia" w:hAnsiTheme="minorHAnsi" w:cstheme="minorHAnsi"/>
          <w:sz w:val="22"/>
          <w:szCs w:val="22"/>
        </w:rPr>
        <w:t xml:space="preserve">2008 m. gruodžio 24 d. </w:t>
      </w:r>
      <w:bookmarkEnd w:id="25"/>
      <w:r w:rsidRPr="00FE306F">
        <w:rPr>
          <w:rFonts w:asciiTheme="minorHAnsi" w:eastAsiaTheme="minorEastAsia" w:hAnsiTheme="minorHAnsi" w:cstheme="minorHAnsi"/>
          <w:sz w:val="22"/>
          <w:szCs w:val="22"/>
        </w:rPr>
        <w:t xml:space="preserve">nutarime pažymėta, jog pareigūnų ir karių statuso bei jiems skiriamos pensijos ypatumai suponuoja tai, kad įstatymų leidėjas gali nustatyti tokį teisinį reguliavimą, pagal kurį pareigūnams ir kariams, atleistiems iš tarnybos dėl to, kad jie pažeidė jų tarnybai keliamus reikalavimus, pareigūnų ir karių valstybinės pensijos skyrimas siejamas su papildomomis pensijos skyrimo ir mokėjimo sąlygomis. Įstatymų leidėjas, atsižvelgdamas į valstybės tarnybos specifiką, taip pat gali nustatyti, kad pareigūnams, </w:t>
      </w:r>
      <w:r w:rsidRPr="00FE306F">
        <w:rPr>
          <w:rFonts w:asciiTheme="minorHAnsi" w:eastAsiaTheme="minorEastAsia" w:hAnsiTheme="minorHAnsi" w:cstheme="minorHAnsi"/>
          <w:i/>
          <w:sz w:val="22"/>
          <w:szCs w:val="22"/>
        </w:rPr>
        <w:t>inter alia</w:t>
      </w:r>
      <w:r w:rsidRPr="00FE306F">
        <w:rPr>
          <w:rFonts w:asciiTheme="minorHAnsi" w:eastAsiaTheme="minorEastAsia" w:hAnsiTheme="minorHAnsi" w:cstheme="minorHAnsi"/>
          <w:sz w:val="22"/>
          <w:szCs w:val="22"/>
        </w:rPr>
        <w:t xml:space="preserve"> šiurkščiai pažeidusiems Konstituciją ar įstatymus, sulaužiusiems priesaiką, padariusiems tyčinį nusikaltimą, pareigūnų ir karių valstybinė pensija neskiriama. Konstitucinio Teismo 2007 m. spalio 22 d</w:t>
      </w:r>
      <w:bookmarkStart w:id="26" w:name="_Hlk485143578"/>
      <w:r w:rsidRPr="00FE306F">
        <w:rPr>
          <w:rFonts w:asciiTheme="minorHAnsi" w:eastAsiaTheme="minorEastAsia" w:hAnsiTheme="minorHAnsi" w:cstheme="minorHAnsi"/>
          <w:sz w:val="22"/>
          <w:szCs w:val="22"/>
        </w:rPr>
        <w:t>., 2008 m. gruodžio 24 d</w:t>
      </w:r>
      <w:bookmarkEnd w:id="26"/>
      <w:r w:rsidRPr="00FE306F">
        <w:rPr>
          <w:rFonts w:asciiTheme="minorHAnsi" w:eastAsiaTheme="minorEastAsia" w:hAnsiTheme="minorHAnsi" w:cstheme="minorHAnsi"/>
          <w:sz w:val="22"/>
          <w:szCs w:val="22"/>
        </w:rPr>
        <w:t xml:space="preserve">. nutarimuose pabrėžta, kad įstatyme, paisant Konstitucijos, galima nustatyti ir atvejus, kai paskirtoji valstybinė pensija nebemokama. Taigi, priešingai nei teigia pareiškėjas, </w:t>
      </w:r>
      <w:r w:rsidRPr="00FE306F">
        <w:rPr>
          <w:rFonts w:asciiTheme="minorHAnsi" w:eastAsiaTheme="minorEastAsia" w:hAnsiTheme="minorHAnsi" w:cstheme="minorHAnsi"/>
          <w:sz w:val="22"/>
          <w:szCs w:val="22"/>
          <w:u w:val="single"/>
        </w:rPr>
        <w:t>Konstitucija nenumato absoliutaus draudimo nutraukti teisės į valstybinę pensiją tolesnį įgyvendinimą, esant kons</w:t>
      </w:r>
      <w:r w:rsidR="00017230" w:rsidRPr="00FE306F">
        <w:rPr>
          <w:rFonts w:asciiTheme="minorHAnsi" w:eastAsiaTheme="minorEastAsia" w:hAnsiTheme="minorHAnsi" w:cstheme="minorHAnsi"/>
          <w:sz w:val="22"/>
          <w:szCs w:val="22"/>
          <w:u w:val="single"/>
        </w:rPr>
        <w:t>tituciškai pagrįstoms sąlygoms.</w:t>
      </w:r>
    </w:p>
    <w:p w:rsidR="00017230" w:rsidRDefault="00E9375C" w:rsidP="00025BA1">
      <w:pPr>
        <w:ind w:firstLine="567"/>
        <w:jc w:val="both"/>
        <w:rPr>
          <w:rFonts w:asciiTheme="minorHAnsi" w:eastAsiaTheme="minorEastAsia" w:hAnsiTheme="minorHAnsi" w:cstheme="minorHAnsi"/>
          <w:sz w:val="22"/>
          <w:szCs w:val="22"/>
        </w:rPr>
      </w:pPr>
      <w:r w:rsidRPr="00E9375C">
        <w:rPr>
          <w:rFonts w:asciiTheme="minorHAnsi" w:eastAsiaTheme="minorEastAsia" w:hAnsiTheme="minorHAnsi" w:cstheme="minorHAnsi"/>
          <w:sz w:val="22"/>
          <w:szCs w:val="22"/>
        </w:rPr>
        <w:t xml:space="preserve">Pareigūnų ir karių valstybinių pensijų įstatymo 13 straipsnio 1 dalis, reglamentuojanti valstybinės pensijos skyrimą, numato, kad pareigūnų ir karių valstybinė pensija skiriama ir mokama nuo teisės į pensiją atsiradimo dienos, tačiau ne daugiau kaip už 12 mėnesių iki dokumentų pensijai skirti gavimo atitinkamoje institucijoje dienos. Minėto straipsnio 3 dalyje nustatyta, kad nuteistiems už tyčinių nusikaltimų padarymą asmenims pareigūnų ir karių valstybinė pensija neskiriama. Sprendimas dėl pareigūnų ir karių valstybinės pensijos skyrimo asmeniui, kuris yra įtariamasis arba kaltinamasis baudžiamajame procese, priimamas nutraukus ikiteisminį tyrimą, baudžiamąją bylą arba įsiteisėjus teismo nuosprendžiui. Nutraukus ikiteisminį tyrimą, baudžiamąją bylą arba įsiteisėjus išteisinamajam nuosprendžiui, pareigūnų ir karių valstybinė pensija skiriama už visą laikotarpį nuo teisės į pensiją atsiradimo dienos (2014 m. balandžio 17 d. įstatymo Nr. XII-837 redakcija). Taigi </w:t>
      </w:r>
      <w:r w:rsidRPr="00750110">
        <w:rPr>
          <w:rFonts w:asciiTheme="minorHAnsi" w:eastAsiaTheme="minorEastAsia" w:hAnsiTheme="minorHAnsi" w:cstheme="minorHAnsi"/>
          <w:sz w:val="22"/>
          <w:szCs w:val="22"/>
          <w:u w:val="single"/>
        </w:rPr>
        <w:t>įstatymų leidėjas, nustatydamas Pareigūnų ir karių valstybinių pensijų įstatymo 13 straipsnio 3 dalyje imperatyvią pareigūno valstybinės pensijos skyrimo sąlygą – nebūti nuteistam už tyčinių nusikaltimų padarymą, siekė, kad statutiniai valstybės tarnautojai, kurie nebuvo lojalūs savo valstybei, nesilaikė jiems keliamų didesnių reikalavimų tiek tarnybos, tiek ne tarnybos metu arba šiurkščiai pažeidė Lietuvos Respublikos Konstituciją ar įstatymus, neturėtų tei</w:t>
      </w:r>
      <w:r w:rsidR="00017230" w:rsidRPr="00750110">
        <w:rPr>
          <w:rFonts w:asciiTheme="minorHAnsi" w:eastAsiaTheme="minorEastAsia" w:hAnsiTheme="minorHAnsi" w:cstheme="minorHAnsi"/>
          <w:sz w:val="22"/>
          <w:szCs w:val="22"/>
          <w:u w:val="single"/>
        </w:rPr>
        <w:t>sės gauti valstybinės pensijos.</w:t>
      </w:r>
    </w:p>
    <w:p w:rsidR="00017230" w:rsidRDefault="00E9375C" w:rsidP="00025BA1">
      <w:pPr>
        <w:ind w:firstLine="567"/>
        <w:jc w:val="both"/>
        <w:rPr>
          <w:rFonts w:asciiTheme="minorHAnsi" w:eastAsiaTheme="minorEastAsia" w:hAnsiTheme="minorHAnsi" w:cstheme="minorHAnsi"/>
          <w:sz w:val="22"/>
          <w:szCs w:val="22"/>
        </w:rPr>
      </w:pPr>
      <w:r w:rsidRPr="00E9375C">
        <w:rPr>
          <w:rFonts w:asciiTheme="minorHAnsi" w:eastAsiaTheme="minorEastAsia" w:hAnsiTheme="minorHAnsi" w:cstheme="minorHAnsi"/>
          <w:sz w:val="22"/>
          <w:szCs w:val="22"/>
        </w:rPr>
        <w:t>Teisėjų kolegija konstat</w:t>
      </w:r>
      <w:r w:rsidR="00017230">
        <w:rPr>
          <w:rFonts w:asciiTheme="minorHAnsi" w:eastAsiaTheme="minorEastAsia" w:hAnsiTheme="minorHAnsi" w:cstheme="minorHAnsi"/>
          <w:sz w:val="22"/>
          <w:szCs w:val="22"/>
        </w:rPr>
        <w:t>avo</w:t>
      </w:r>
      <w:r w:rsidRPr="00E9375C">
        <w:rPr>
          <w:rFonts w:asciiTheme="minorHAnsi" w:eastAsiaTheme="minorEastAsia" w:hAnsiTheme="minorHAnsi" w:cstheme="minorHAnsi"/>
          <w:sz w:val="22"/>
          <w:szCs w:val="22"/>
        </w:rPr>
        <w:t xml:space="preserve">, jog pareigūnams, kurie buvo nuteisti už tyčinių nusikaltimų padarymą, pareigūnų ir karių valstybinė pensija negali būti skiriama net ir išnykus teistumui. Pareiškėjas buvo kaltinamas ir nuteistas už tyčinio nusikaltimo padarymą, todėl pareigūnų ir karių valstybinės pensijos skyrimas asmeniui, kuris nebuvo lojalus valstybei, nesilaikė keliamų didesnių reikalavimų tiek tarnybos, tiek ne tarnybos metu, </w:t>
      </w:r>
      <w:r w:rsidRPr="00E9375C">
        <w:rPr>
          <w:rFonts w:asciiTheme="minorHAnsi" w:eastAsiaTheme="minorEastAsia" w:hAnsiTheme="minorHAnsi" w:cstheme="minorHAnsi"/>
          <w:sz w:val="22"/>
          <w:szCs w:val="22"/>
        </w:rPr>
        <w:lastRenderedPageBreak/>
        <w:t>šiurkščiai pažeidė Lietuvos Respublikos Konstituciją, įstatymus, prieštarautų bendriesiems teisin</w:t>
      </w:r>
      <w:r w:rsidR="00017230">
        <w:rPr>
          <w:rFonts w:asciiTheme="minorHAnsi" w:eastAsiaTheme="minorEastAsia" w:hAnsiTheme="minorHAnsi" w:cstheme="minorHAnsi"/>
          <w:sz w:val="22"/>
          <w:szCs w:val="22"/>
        </w:rPr>
        <w:t xml:space="preserve">gumo ir protingumo principams. </w:t>
      </w:r>
    </w:p>
    <w:p w:rsidR="00E9375C" w:rsidRPr="00E9375C" w:rsidRDefault="00017230" w:rsidP="00025BA1">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P</w:t>
      </w:r>
      <w:r w:rsidR="00E9375C" w:rsidRPr="00E9375C">
        <w:rPr>
          <w:rFonts w:asciiTheme="minorHAnsi" w:eastAsiaTheme="minorEastAsia" w:hAnsiTheme="minorHAnsi" w:cstheme="minorHAnsi"/>
          <w:sz w:val="22"/>
          <w:szCs w:val="22"/>
        </w:rPr>
        <w:t>areiškėjo</w:t>
      </w:r>
      <w:r>
        <w:rPr>
          <w:rFonts w:asciiTheme="minorHAnsi" w:eastAsiaTheme="minorEastAsia" w:hAnsiTheme="minorHAnsi" w:cstheme="minorHAnsi"/>
          <w:sz w:val="22"/>
          <w:szCs w:val="22"/>
        </w:rPr>
        <w:t xml:space="preserve"> apeliacinis skundas netenkint</w:t>
      </w:r>
      <w:r w:rsidR="00E9375C" w:rsidRPr="00E9375C">
        <w:rPr>
          <w:rFonts w:asciiTheme="minorHAnsi" w:eastAsiaTheme="minorEastAsia" w:hAnsiTheme="minorHAnsi" w:cstheme="minorHAnsi"/>
          <w:sz w:val="22"/>
          <w:szCs w:val="22"/>
        </w:rPr>
        <w:t>as, o pirmosios instancijos teismo sprendimas palik</w:t>
      </w:r>
      <w:r>
        <w:rPr>
          <w:rFonts w:asciiTheme="minorHAnsi" w:eastAsiaTheme="minorEastAsia" w:hAnsiTheme="minorHAnsi" w:cstheme="minorHAnsi"/>
          <w:sz w:val="22"/>
          <w:szCs w:val="22"/>
        </w:rPr>
        <w:t>t</w:t>
      </w:r>
      <w:r w:rsidR="00E9375C" w:rsidRPr="00E9375C">
        <w:rPr>
          <w:rFonts w:asciiTheme="minorHAnsi" w:eastAsiaTheme="minorEastAsia" w:hAnsiTheme="minorHAnsi" w:cstheme="minorHAnsi"/>
          <w:sz w:val="22"/>
          <w:szCs w:val="22"/>
        </w:rPr>
        <w:t>as nepakeistas.</w:t>
      </w:r>
    </w:p>
    <w:p w:rsidR="001035B6" w:rsidRDefault="001035B6" w:rsidP="00025BA1"/>
    <w:p w:rsidR="00B672BA" w:rsidRPr="005F47C0" w:rsidRDefault="00B672BA" w:rsidP="00025BA1">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2019 m. vasario </w:t>
      </w:r>
      <w:r>
        <w:rPr>
          <w:rFonts w:asciiTheme="minorHAnsi" w:eastAsiaTheme="minorEastAsia" w:hAnsiTheme="minorHAnsi" w:cstheme="minorHAnsi"/>
          <w:sz w:val="22"/>
          <w:szCs w:val="22"/>
        </w:rPr>
        <w:t>6</w:t>
      </w:r>
      <w:r w:rsidRPr="005F47C0">
        <w:rPr>
          <w:rFonts w:asciiTheme="minorHAnsi" w:eastAsiaTheme="minorEastAsia" w:hAnsiTheme="minorHAnsi" w:cstheme="minorHAnsi"/>
          <w:sz w:val="22"/>
          <w:szCs w:val="22"/>
        </w:rPr>
        <w:t xml:space="preserve"> d. nutartis administracinėje byloje </w:t>
      </w:r>
      <w:r w:rsidRPr="00B672BA">
        <w:rPr>
          <w:rFonts w:asciiTheme="minorHAnsi" w:eastAsiaTheme="minorEastAsia" w:hAnsiTheme="minorHAnsi" w:cstheme="minorHAnsi"/>
          <w:sz w:val="22"/>
          <w:szCs w:val="22"/>
        </w:rPr>
        <w:t>Nr. A-245-822/2019</w:t>
      </w:r>
    </w:p>
    <w:p w:rsidR="00B672BA" w:rsidRPr="005F47C0" w:rsidRDefault="00B672BA" w:rsidP="00025BA1">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Teisminio proceso </w:t>
      </w:r>
      <w:r w:rsidRPr="00B672BA">
        <w:rPr>
          <w:rFonts w:asciiTheme="minorHAnsi" w:eastAsiaTheme="minorEastAsia" w:hAnsiTheme="minorHAnsi" w:cstheme="minorHAnsi"/>
          <w:sz w:val="22"/>
          <w:szCs w:val="22"/>
        </w:rPr>
        <w:t>Nr. 3-65-3-00514-2016-6</w:t>
      </w:r>
    </w:p>
    <w:p w:rsidR="00B672BA" w:rsidRPr="005F47C0" w:rsidRDefault="00B672BA" w:rsidP="00025BA1">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Procesinio sprendimo </w:t>
      </w:r>
      <w:r w:rsidRPr="00B672BA">
        <w:rPr>
          <w:rFonts w:asciiTheme="minorHAnsi" w:eastAsiaTheme="minorEastAsia" w:hAnsiTheme="minorHAnsi" w:cstheme="minorHAnsi"/>
          <w:sz w:val="22"/>
          <w:szCs w:val="22"/>
        </w:rPr>
        <w:t>kategorija 7.5.3</w:t>
      </w:r>
    </w:p>
    <w:p w:rsidR="00B672BA" w:rsidRPr="005F47C0" w:rsidRDefault="004264B2" w:rsidP="00025BA1">
      <w:pPr>
        <w:jc w:val="both"/>
        <w:rPr>
          <w:rFonts w:asciiTheme="minorHAnsi" w:eastAsiaTheme="minorEastAsia" w:hAnsiTheme="minorHAnsi" w:cstheme="minorHAnsi"/>
          <w:sz w:val="22"/>
          <w:szCs w:val="22"/>
        </w:rPr>
      </w:pPr>
      <w:hyperlink r:id="rId12" w:history="1">
        <w:r w:rsidR="00B672BA" w:rsidRPr="00935B9F">
          <w:rPr>
            <w:rStyle w:val="Hipersaitas"/>
            <w:rFonts w:asciiTheme="minorHAnsi" w:eastAsiaTheme="minorEastAsia" w:hAnsiTheme="minorHAnsi" w:cstheme="minorHAnsi"/>
            <w:sz w:val="22"/>
            <w:szCs w:val="22"/>
          </w:rPr>
          <w:t>Prieiga internete</w:t>
        </w:r>
      </w:hyperlink>
      <w:r w:rsidR="00B672BA" w:rsidRPr="005F47C0">
        <w:rPr>
          <w:rFonts w:asciiTheme="minorHAnsi" w:eastAsiaTheme="minorEastAsia" w:hAnsiTheme="minorHAnsi" w:cstheme="minorHAnsi"/>
          <w:sz w:val="22"/>
          <w:szCs w:val="22"/>
        </w:rPr>
        <w:t xml:space="preserve"> </w:t>
      </w:r>
    </w:p>
    <w:p w:rsidR="005A100B" w:rsidRPr="005A100B" w:rsidRDefault="005A100B" w:rsidP="00025BA1">
      <w:pPr>
        <w:rPr>
          <w:b/>
        </w:rPr>
      </w:pPr>
    </w:p>
    <w:p w:rsidR="009D5583" w:rsidRPr="00733E95" w:rsidRDefault="009D5583" w:rsidP="009D5583">
      <w:pPr>
        <w:pStyle w:val="Antrat1"/>
        <w:rPr>
          <w:rFonts w:asciiTheme="minorHAnsi" w:hAnsiTheme="minorHAnsi" w:cstheme="minorHAnsi"/>
        </w:rPr>
      </w:pPr>
      <w:bookmarkStart w:id="27" w:name="_Toc462149976"/>
      <w:bookmarkStart w:id="28" w:name="_Toc7451468"/>
      <w:r w:rsidRPr="00733E95">
        <w:rPr>
          <w:rFonts w:asciiTheme="minorHAnsi" w:hAnsiTheme="minorHAnsi" w:cstheme="minorHAnsi"/>
        </w:rPr>
        <w:t>12. Mokesčiai, įmokos ir kiti privalomieji mokėjimai</w:t>
      </w:r>
      <w:bookmarkEnd w:id="27"/>
      <w:bookmarkEnd w:id="28"/>
    </w:p>
    <w:p w:rsidR="009D5583" w:rsidRPr="00733E95" w:rsidRDefault="009D5583" w:rsidP="009D5583">
      <w:pPr>
        <w:ind w:firstLine="567"/>
        <w:rPr>
          <w:rFonts w:asciiTheme="minorHAnsi" w:hAnsiTheme="minorHAnsi" w:cstheme="minorHAnsi"/>
          <w:b/>
          <w:sz w:val="22"/>
          <w:szCs w:val="22"/>
          <w:u w:val="single"/>
        </w:rPr>
      </w:pPr>
      <w:r w:rsidRPr="00733E95">
        <w:rPr>
          <w:rFonts w:asciiTheme="minorHAnsi" w:hAnsiTheme="minorHAnsi" w:cstheme="minorHAnsi"/>
          <w:b/>
          <w:sz w:val="22"/>
          <w:szCs w:val="22"/>
          <w:u w:val="single"/>
        </w:rPr>
        <w:t>12.13. Gyventojų pajamų mokestis</w:t>
      </w:r>
    </w:p>
    <w:p w:rsidR="009D5583" w:rsidRPr="00733E95" w:rsidRDefault="009D5583" w:rsidP="009D5583">
      <w:pPr>
        <w:ind w:left="567" w:firstLine="567"/>
        <w:rPr>
          <w:rFonts w:asciiTheme="minorHAnsi" w:hAnsiTheme="minorHAnsi" w:cstheme="minorHAnsi"/>
          <w:b/>
          <w:sz w:val="22"/>
          <w:szCs w:val="22"/>
          <w:u w:val="single"/>
        </w:rPr>
      </w:pPr>
      <w:r w:rsidRPr="00733E95">
        <w:rPr>
          <w:rFonts w:asciiTheme="minorHAnsi" w:hAnsiTheme="minorHAnsi" w:cstheme="minorHAnsi"/>
          <w:b/>
          <w:sz w:val="22"/>
          <w:szCs w:val="22"/>
          <w:u w:val="single"/>
        </w:rPr>
        <w:t>12.13.1. Gyventojų pajamų mokesčio objektas</w:t>
      </w:r>
    </w:p>
    <w:p w:rsidR="009D5583" w:rsidRPr="00733E95" w:rsidRDefault="009D5583" w:rsidP="009D5583">
      <w:pPr>
        <w:ind w:firstLine="1701"/>
        <w:jc w:val="both"/>
        <w:rPr>
          <w:rFonts w:asciiTheme="minorHAnsi" w:hAnsiTheme="minorHAnsi" w:cstheme="minorHAnsi"/>
          <w:b/>
          <w:sz w:val="22"/>
          <w:szCs w:val="22"/>
          <w:u w:val="single"/>
        </w:rPr>
      </w:pPr>
      <w:r w:rsidRPr="00733E95">
        <w:rPr>
          <w:rFonts w:asciiTheme="minorHAnsi" w:hAnsiTheme="minorHAnsi" w:cstheme="minorHAnsi"/>
          <w:b/>
          <w:sz w:val="22"/>
          <w:szCs w:val="22"/>
          <w:u w:val="single"/>
        </w:rPr>
        <w:t>12.13.1.1. Pajamų pripažinimas</w:t>
      </w:r>
    </w:p>
    <w:p w:rsidR="009D5583" w:rsidRPr="00733E95" w:rsidRDefault="009D5583" w:rsidP="009D5583">
      <w:pPr>
        <w:ind w:firstLine="567"/>
        <w:jc w:val="both"/>
        <w:rPr>
          <w:rFonts w:asciiTheme="minorHAnsi" w:hAnsiTheme="minorHAnsi" w:cstheme="minorHAnsi"/>
          <w:sz w:val="22"/>
          <w:szCs w:val="22"/>
        </w:rPr>
      </w:pPr>
    </w:p>
    <w:p w:rsidR="009D5583" w:rsidRPr="00733E95" w:rsidRDefault="009D5583" w:rsidP="009D5583">
      <w:pPr>
        <w:pStyle w:val="Antrat2"/>
        <w:rPr>
          <w:i w:val="0"/>
        </w:rPr>
      </w:pPr>
      <w:bookmarkStart w:id="29" w:name="_Toc7451469"/>
      <w:r w:rsidRPr="00733E95">
        <w:t>Dėl iš vertimosi uždrausta ūkine veikla gautų pajamų apmokestinimo gyventojų pajamų mokesčiu</w:t>
      </w:r>
      <w:bookmarkEnd w:id="29"/>
    </w:p>
    <w:p w:rsidR="009D5583" w:rsidRPr="00733E95" w:rsidRDefault="009D5583" w:rsidP="009D5583">
      <w:pPr>
        <w:ind w:firstLine="567"/>
        <w:jc w:val="both"/>
        <w:rPr>
          <w:rFonts w:asciiTheme="minorHAnsi" w:hAnsiTheme="minorHAnsi" w:cstheme="minorHAnsi"/>
          <w:sz w:val="22"/>
          <w:szCs w:val="22"/>
        </w:rPr>
      </w:pPr>
    </w:p>
    <w:p w:rsidR="009D5583" w:rsidRPr="00733E95" w:rsidRDefault="009D5583" w:rsidP="009D5583">
      <w:pPr>
        <w:ind w:firstLine="567"/>
        <w:jc w:val="both"/>
        <w:rPr>
          <w:rFonts w:asciiTheme="minorHAnsi" w:hAnsiTheme="minorHAnsi" w:cstheme="minorHAnsi"/>
          <w:sz w:val="22"/>
          <w:szCs w:val="22"/>
        </w:rPr>
      </w:pPr>
      <w:r w:rsidRPr="00733E95">
        <w:rPr>
          <w:rFonts w:asciiTheme="minorHAnsi" w:hAnsiTheme="minorHAnsi" w:cstheme="minorHAnsi"/>
          <w:sz w:val="22"/>
          <w:szCs w:val="22"/>
        </w:rPr>
        <w:t xml:space="preserve">Ginčas byloje kilo dėl pareiškėjai papildomai apskaičiuoto gyventojų pajamų mokesčio, valstybinio socialinio draudimo ir </w:t>
      </w:r>
      <w:r w:rsidR="005B5CD9">
        <w:rPr>
          <w:rFonts w:asciiTheme="minorHAnsi" w:hAnsiTheme="minorHAnsi" w:cstheme="minorHAnsi"/>
          <w:sz w:val="22"/>
          <w:szCs w:val="22"/>
        </w:rPr>
        <w:t xml:space="preserve">privalomojo sveikatos draudimo </w:t>
      </w:r>
      <w:r w:rsidRPr="00733E95">
        <w:rPr>
          <w:rFonts w:asciiTheme="minorHAnsi" w:hAnsiTheme="minorHAnsi" w:cstheme="minorHAnsi"/>
          <w:sz w:val="22"/>
          <w:szCs w:val="22"/>
        </w:rPr>
        <w:t>įmokų bei su šiais mokesčiais ir įmokomis su</w:t>
      </w:r>
      <w:r>
        <w:rPr>
          <w:rFonts w:asciiTheme="minorHAnsi" w:hAnsiTheme="minorHAnsi" w:cstheme="minorHAnsi"/>
          <w:sz w:val="22"/>
          <w:szCs w:val="22"/>
        </w:rPr>
        <w:t>s</w:t>
      </w:r>
      <w:r w:rsidRPr="00733E95">
        <w:rPr>
          <w:rFonts w:asciiTheme="minorHAnsi" w:hAnsiTheme="minorHAnsi" w:cstheme="minorHAnsi"/>
          <w:sz w:val="22"/>
          <w:szCs w:val="22"/>
        </w:rPr>
        <w:t>ijusių sumų (baudų ir delspinigių). Toks sprendimas buvo priimtas mokestinio patikrinimo metu nustačius, kad pareiškėja savo vardu 2008–2011 m. gavo 149 141,99 Lt perlaidų grynais pinigais. Pagal Lietuvos kriminalinės policijos biuro perduo</w:t>
      </w:r>
      <w:r w:rsidR="005B5CD9">
        <w:rPr>
          <w:rFonts w:asciiTheme="minorHAnsi" w:hAnsiTheme="minorHAnsi" w:cstheme="minorHAnsi"/>
          <w:sz w:val="22"/>
          <w:szCs w:val="22"/>
        </w:rPr>
        <w:t xml:space="preserve">tą atlikto ikiteisminio tyrimo </w:t>
      </w:r>
      <w:r w:rsidRPr="00733E95">
        <w:rPr>
          <w:rFonts w:asciiTheme="minorHAnsi" w:hAnsiTheme="minorHAnsi" w:cstheme="minorHAnsi"/>
          <w:sz w:val="22"/>
          <w:szCs w:val="22"/>
        </w:rPr>
        <w:t xml:space="preserve">medžiagą dėl pelnymosi iš kitų asmenų prostitucijos, įtraukimo asmenis į prostituciją, neteisėto vertimosi ūkine veikla, neteisėto suklastotos elektroninės mokėjimo priemonės disponavimo, bei nusikalstamu būdu įgytų pinigų legalizavimo pareiškėja buvo įtariama padariusi atitinkamas nusikalstamas veikas. Mokesčių administratorius, vadovaujantis Gyventojų pajamų mokesčio įstatymo (toliau – GPM </w:t>
      </w:r>
      <w:r>
        <w:rPr>
          <w:rFonts w:asciiTheme="minorHAnsi" w:hAnsiTheme="minorHAnsi" w:cstheme="minorHAnsi"/>
          <w:sz w:val="22"/>
          <w:szCs w:val="22"/>
        </w:rPr>
        <w:t>į</w:t>
      </w:r>
      <w:r w:rsidRPr="00733E95">
        <w:rPr>
          <w:rFonts w:asciiTheme="minorHAnsi" w:hAnsiTheme="minorHAnsi" w:cstheme="minorHAnsi"/>
          <w:sz w:val="22"/>
          <w:szCs w:val="22"/>
        </w:rPr>
        <w:t>statymo) 3 straipsnio, 5 straipsnio 1 dalimi ir 2 dalimi ir 22 straipsnio 3 dalimi, pareiškėjos iš fizinių asmenų per tarptautines piniginių perlaidų sistemas gautos 149 141,99 Lt pajamas priskyrė apmokestinamoms B klasės pajamoms.</w:t>
      </w:r>
    </w:p>
    <w:p w:rsidR="009D5583" w:rsidRPr="00733E95" w:rsidRDefault="009D5583" w:rsidP="009D5583">
      <w:pPr>
        <w:ind w:firstLine="567"/>
        <w:jc w:val="both"/>
        <w:rPr>
          <w:rFonts w:asciiTheme="minorHAnsi" w:hAnsiTheme="minorHAnsi" w:cstheme="minorHAnsi"/>
          <w:sz w:val="22"/>
          <w:szCs w:val="22"/>
        </w:rPr>
      </w:pPr>
      <w:r w:rsidRPr="00733E95">
        <w:rPr>
          <w:rFonts w:asciiTheme="minorHAnsi" w:hAnsiTheme="minorHAnsi" w:cstheme="minorHAnsi"/>
          <w:sz w:val="22"/>
          <w:szCs w:val="22"/>
        </w:rPr>
        <w:t>Byloje taip pat nustatyta, kad įsiteisėjusiuose teismų sprendimuose pareiškėjos baudžiamojoje b</w:t>
      </w:r>
      <w:r w:rsidR="005B5CD9">
        <w:rPr>
          <w:rFonts w:asciiTheme="minorHAnsi" w:hAnsiTheme="minorHAnsi" w:cstheme="minorHAnsi"/>
          <w:sz w:val="22"/>
          <w:szCs w:val="22"/>
        </w:rPr>
        <w:t>yloje, buvo konstatuota, kad ji</w:t>
      </w:r>
      <w:r w:rsidRPr="00733E95">
        <w:rPr>
          <w:rFonts w:asciiTheme="minorHAnsi" w:hAnsiTheme="minorHAnsi" w:cstheme="minorHAnsi"/>
          <w:sz w:val="22"/>
          <w:szCs w:val="22"/>
        </w:rPr>
        <w:t xml:space="preserve"> bendrininkų grupėje versliškai ir stambiu mastu vertėsi uždrausta ūkine veikla: nuo 2008 m. kovo 13 d. iki 2010 m. balandžio 26 d. veikdami iš savanaudiškų paskatų, turėdami tikslą gauti pajamų, už materialinį atlygį, teikė prostitucija besiverčiančių asmenų reklamos paslaugas. Baudžiamojoje byloje priimti procesiniai sprendimai patvirtina, kad pareiškėja bendrininkų grupėje legalizavo nusikalstamu būdu gautą turtą.</w:t>
      </w:r>
    </w:p>
    <w:p w:rsidR="009D5583" w:rsidRPr="00733E95" w:rsidRDefault="009D5583" w:rsidP="009D5583">
      <w:pPr>
        <w:ind w:firstLine="567"/>
        <w:jc w:val="both"/>
        <w:rPr>
          <w:rFonts w:asciiTheme="minorHAnsi" w:hAnsiTheme="minorHAnsi" w:cstheme="minorHAnsi"/>
          <w:sz w:val="22"/>
          <w:szCs w:val="22"/>
        </w:rPr>
      </w:pPr>
      <w:r w:rsidRPr="00733E95">
        <w:rPr>
          <w:rFonts w:asciiTheme="minorHAnsi" w:hAnsiTheme="minorHAnsi" w:cstheme="minorHAnsi"/>
          <w:sz w:val="22"/>
          <w:szCs w:val="22"/>
        </w:rPr>
        <w:t>Šių aplinkybių kontekste vertindama minėtą mokesčių administratoriaus sprendimą, kurį patvirtino ir mokestinį ginčą nagrinėjusios institucijos, LVAT teisėjų kolegija pirmiausia priminė, kad pagal ginčui aktualiu laikotarpiu galiojusias GPM įstatymo nuostatas, pajamų mokestį moka pajamų gavęs ir (arba) p</w:t>
      </w:r>
      <w:r w:rsidR="005B5CD9">
        <w:rPr>
          <w:rFonts w:asciiTheme="minorHAnsi" w:hAnsiTheme="minorHAnsi" w:cstheme="minorHAnsi"/>
          <w:sz w:val="22"/>
          <w:szCs w:val="22"/>
        </w:rPr>
        <w:t xml:space="preserve">ajamų uždirbęs gyventojas; šio </w:t>
      </w:r>
      <w:r w:rsidRPr="00733E95">
        <w:rPr>
          <w:rFonts w:asciiTheme="minorHAnsi" w:hAnsiTheme="minorHAnsi" w:cstheme="minorHAnsi"/>
          <w:sz w:val="22"/>
          <w:szCs w:val="22"/>
        </w:rPr>
        <w:t>mokesčio objektas – gyventojo pajamos, kurios pagal bendr</w:t>
      </w:r>
      <w:r>
        <w:rPr>
          <w:rFonts w:asciiTheme="minorHAnsi" w:hAnsiTheme="minorHAnsi" w:cstheme="minorHAnsi"/>
          <w:sz w:val="22"/>
          <w:szCs w:val="22"/>
        </w:rPr>
        <w:t>ą</w:t>
      </w:r>
      <w:r w:rsidRPr="00733E95">
        <w:rPr>
          <w:rFonts w:asciiTheme="minorHAnsi" w:hAnsiTheme="minorHAnsi" w:cstheme="minorHAnsi"/>
          <w:sz w:val="22"/>
          <w:szCs w:val="22"/>
        </w:rPr>
        <w:t xml:space="preserve"> taisyklę pripažįstamos jų gavimo momentu. GPM įstatymo normose nėra nurodyta, kad pajamų šaltinis turi būti legalus, teisėtas (apmokestinimas nėra siejamas su aplinkybe, kad pajamos gautos iš teisėtos veiklos). Įstatymas pabrėžia tik galutinį rezultatą – gautą naudą pinigais arba natūra; pajamomis apmokestinimo tikslais mokesčio objektu gali būti laikoma tiek pajamos, gautos iš teisėtų veiklos, tiek pajamos, gautos iš nelegalios (draudžiamos) veiklos. Taigi </w:t>
      </w:r>
      <w:r w:rsidRPr="00733E95">
        <w:rPr>
          <w:rFonts w:asciiTheme="minorHAnsi" w:hAnsiTheme="minorHAnsi" w:cstheme="minorHAnsi"/>
          <w:sz w:val="22"/>
          <w:szCs w:val="22"/>
          <w:u w:val="single"/>
        </w:rPr>
        <w:t>GPM įstatymas įtvirtina mokesčio mokėtojo pareigą mokėti pajamų mokestį, nedarant skirtumo ar pajamos yra gautos, ar uždirbtos iš teisės aktuose įtvirtintos, ar juose neuždraustos veiklos, ar šios pajamos yra gautos, ar uždirbtos iš teisės aktuose uždraustos veiklos, dėl kurios įstatymai nustato atsakomybę</w:t>
      </w:r>
      <w:r w:rsidRPr="00733E95">
        <w:rPr>
          <w:rFonts w:asciiTheme="minorHAnsi" w:hAnsiTheme="minorHAnsi" w:cstheme="minorHAnsi"/>
          <w:sz w:val="22"/>
          <w:szCs w:val="22"/>
        </w:rPr>
        <w:t xml:space="preserve">. </w:t>
      </w:r>
      <w:r w:rsidRPr="00733E95">
        <w:rPr>
          <w:rFonts w:asciiTheme="minorHAnsi" w:hAnsiTheme="minorHAnsi" w:cstheme="minorHAnsi"/>
          <w:sz w:val="22"/>
          <w:szCs w:val="22"/>
          <w:u w:val="single"/>
        </w:rPr>
        <w:t>GPM įstatymas neapsiriboja mokesčio mokėtojo pareiga mokėti pajamų mokestį nuo gautų pajamų tik iš legalios veiklos, taip pat nenustato išimčių, jog neturėtų būti apmokestinamos pajamos gautos iš nelegalios (draudžiamos) veiklos</w:t>
      </w:r>
      <w:r w:rsidRPr="00733E95">
        <w:rPr>
          <w:rFonts w:asciiTheme="minorHAnsi" w:hAnsiTheme="minorHAnsi" w:cstheme="minorHAnsi"/>
          <w:sz w:val="22"/>
          <w:szCs w:val="22"/>
        </w:rPr>
        <w:t>, t. y. veiklos atliktos pažeidžiant teisės normose nustatytas taisykles. Pajamų gavimo ar uždirbimo fakto tiek legalios, tiek nelegalios (draudžiamos) veiklos vienodas vertinimas, be kita ko, grindžiamas ir Mokesčių administravimo įstatyme įtvirtintinais teisingumo ir visuotinio privalomumo principais bei mokesčių mokėtojų lygybės principais. Negalimas yra</w:t>
      </w:r>
      <w:r w:rsidR="005B5CD9">
        <w:rPr>
          <w:rFonts w:asciiTheme="minorHAnsi" w:hAnsiTheme="minorHAnsi" w:cstheme="minorHAnsi"/>
          <w:sz w:val="22"/>
          <w:szCs w:val="22"/>
        </w:rPr>
        <w:t xml:space="preserve"> legalių ir nelegalių sandorių </w:t>
      </w:r>
      <w:r w:rsidRPr="00733E95">
        <w:rPr>
          <w:rFonts w:asciiTheme="minorHAnsi" w:hAnsiTheme="minorHAnsi" w:cstheme="minorHAnsi"/>
          <w:sz w:val="22"/>
          <w:szCs w:val="22"/>
        </w:rPr>
        <w:t xml:space="preserve">skirtingas vertinimas apmokestinimo prasme. Subjektas, besiverčiantis draudžiama veikla ir iš jos gaunantis pajamų, negali atsidurti geresnėje padėtyje </w:t>
      </w:r>
      <w:r w:rsidR="005B5CD9">
        <w:rPr>
          <w:rFonts w:asciiTheme="minorHAnsi" w:hAnsiTheme="minorHAnsi" w:cstheme="minorHAnsi"/>
          <w:sz w:val="22"/>
          <w:szCs w:val="22"/>
        </w:rPr>
        <w:t xml:space="preserve">negu kitas iš teisėtų šaltinių </w:t>
      </w:r>
      <w:r w:rsidRPr="00733E95">
        <w:rPr>
          <w:rFonts w:asciiTheme="minorHAnsi" w:hAnsiTheme="minorHAnsi" w:cstheme="minorHAnsi"/>
          <w:sz w:val="22"/>
          <w:szCs w:val="22"/>
        </w:rPr>
        <w:t>atitinkamas pajamas gaunantis mokesčių mokėtojas. Apmokestinimo tikslais pajamų gavimo ar uždirbimo faktas tiek teisėtos, tiek draudžiamos veiklos atveju turėtų būti vertinamas vienodai.</w:t>
      </w:r>
    </w:p>
    <w:p w:rsidR="009D5583" w:rsidRPr="00733E95" w:rsidRDefault="009D5583" w:rsidP="009D5583">
      <w:pPr>
        <w:ind w:firstLine="567"/>
        <w:jc w:val="both"/>
        <w:rPr>
          <w:rFonts w:asciiTheme="minorHAnsi" w:hAnsiTheme="minorHAnsi" w:cstheme="minorHAnsi"/>
          <w:sz w:val="22"/>
          <w:szCs w:val="22"/>
        </w:rPr>
      </w:pPr>
    </w:p>
    <w:p w:rsidR="009D5583" w:rsidRPr="00733E95" w:rsidRDefault="009D5583" w:rsidP="009D5583">
      <w:pPr>
        <w:jc w:val="both"/>
        <w:rPr>
          <w:rFonts w:asciiTheme="minorHAnsi" w:hAnsiTheme="minorHAnsi" w:cstheme="minorHAnsi"/>
          <w:sz w:val="22"/>
          <w:szCs w:val="22"/>
        </w:rPr>
      </w:pPr>
      <w:r w:rsidRPr="00733E95">
        <w:rPr>
          <w:rFonts w:asciiTheme="minorHAnsi" w:hAnsiTheme="minorHAnsi" w:cstheme="minorHAnsi"/>
          <w:sz w:val="22"/>
          <w:szCs w:val="22"/>
        </w:rPr>
        <w:t>2019 m. vasario 13 d. sprendimas administracinėje byloje Nr. A-312-602/2019</w:t>
      </w:r>
    </w:p>
    <w:p w:rsidR="009D5583" w:rsidRPr="00733E95" w:rsidRDefault="009D5583" w:rsidP="009D5583">
      <w:pPr>
        <w:jc w:val="both"/>
        <w:rPr>
          <w:rFonts w:asciiTheme="minorHAnsi" w:hAnsiTheme="minorHAnsi" w:cstheme="minorHAnsi"/>
          <w:sz w:val="22"/>
          <w:szCs w:val="22"/>
        </w:rPr>
      </w:pPr>
      <w:r w:rsidRPr="00733E95">
        <w:rPr>
          <w:rFonts w:asciiTheme="minorHAnsi" w:hAnsiTheme="minorHAnsi" w:cstheme="minorHAnsi"/>
          <w:sz w:val="22"/>
          <w:szCs w:val="22"/>
        </w:rPr>
        <w:t>Teisminio proceso Nr. 3-61-3-00987-2017-7</w:t>
      </w:r>
    </w:p>
    <w:p w:rsidR="009D5583" w:rsidRPr="00733E95" w:rsidRDefault="009D5583" w:rsidP="009D5583">
      <w:pPr>
        <w:jc w:val="both"/>
        <w:rPr>
          <w:rFonts w:asciiTheme="minorHAnsi" w:hAnsiTheme="minorHAnsi" w:cstheme="minorHAnsi"/>
          <w:sz w:val="22"/>
          <w:szCs w:val="22"/>
        </w:rPr>
      </w:pPr>
      <w:r w:rsidRPr="00733E95">
        <w:rPr>
          <w:rFonts w:asciiTheme="minorHAnsi" w:hAnsiTheme="minorHAnsi" w:cstheme="minorHAnsi"/>
          <w:sz w:val="22"/>
          <w:szCs w:val="22"/>
        </w:rPr>
        <w:t>Procesinio sprendimo kategorijos: 12.13.1.1; 12.19</w:t>
      </w:r>
    </w:p>
    <w:p w:rsidR="009D5583" w:rsidRPr="00733E95" w:rsidRDefault="004264B2" w:rsidP="009D5583">
      <w:pPr>
        <w:jc w:val="both"/>
        <w:rPr>
          <w:rFonts w:asciiTheme="minorHAnsi" w:hAnsiTheme="minorHAnsi" w:cstheme="minorHAnsi"/>
          <w:sz w:val="22"/>
          <w:szCs w:val="22"/>
        </w:rPr>
      </w:pPr>
      <w:hyperlink r:id="rId13" w:history="1">
        <w:r w:rsidR="009D5583" w:rsidRPr="00733E95">
          <w:rPr>
            <w:rStyle w:val="Hipersaitas"/>
            <w:rFonts w:asciiTheme="minorHAnsi" w:hAnsiTheme="minorHAnsi" w:cstheme="minorHAnsi"/>
            <w:sz w:val="22"/>
            <w:szCs w:val="22"/>
          </w:rPr>
          <w:t>Prieiga internete</w:t>
        </w:r>
      </w:hyperlink>
    </w:p>
    <w:p w:rsidR="009D5583" w:rsidRPr="00733E95" w:rsidRDefault="009D5583" w:rsidP="009D5583">
      <w:pPr>
        <w:ind w:firstLine="567"/>
        <w:jc w:val="both"/>
        <w:rPr>
          <w:rFonts w:asciiTheme="minorHAnsi" w:hAnsiTheme="minorHAnsi" w:cstheme="minorHAnsi"/>
          <w:sz w:val="22"/>
          <w:szCs w:val="22"/>
        </w:rPr>
      </w:pPr>
    </w:p>
    <w:p w:rsidR="00CF4F89" w:rsidRPr="005B3F69" w:rsidRDefault="00CF4F89" w:rsidP="00025BA1">
      <w:pPr>
        <w:pStyle w:val="Antrat1"/>
        <w:rPr>
          <w:rFonts w:asciiTheme="minorHAnsi" w:hAnsiTheme="minorHAnsi" w:cstheme="minorHAnsi"/>
          <w:b w:val="0"/>
        </w:rPr>
      </w:pPr>
      <w:bookmarkStart w:id="30" w:name="_Toc7451470"/>
      <w:r w:rsidRPr="005B3F69">
        <w:rPr>
          <w:rFonts w:asciiTheme="minorHAnsi" w:hAnsiTheme="minorHAnsi" w:cstheme="minorHAnsi"/>
        </w:rPr>
        <w:t>14. Aplinkos apsauga</w:t>
      </w:r>
      <w:bookmarkEnd w:id="30"/>
    </w:p>
    <w:p w:rsidR="00CF4F89" w:rsidRPr="005B3F69" w:rsidRDefault="00CF4F89" w:rsidP="00025BA1">
      <w:pPr>
        <w:ind w:firstLine="567"/>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14.4. Racionalus gamtos išteklių naudojimas</w:t>
      </w:r>
    </w:p>
    <w:p w:rsidR="00CF4F89" w:rsidRPr="005B3F69" w:rsidRDefault="00CF4F89" w:rsidP="00025BA1">
      <w:pPr>
        <w:ind w:firstLine="1134"/>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14.4.6. Aplinkos oro apsauga</w:t>
      </w:r>
    </w:p>
    <w:p w:rsidR="00CF4F89" w:rsidRPr="005B3F69" w:rsidRDefault="00CF4F89" w:rsidP="00025BA1">
      <w:pPr>
        <w:rPr>
          <w:rFonts w:asciiTheme="minorHAnsi" w:hAnsiTheme="minorHAnsi" w:cstheme="minorHAnsi"/>
          <w:bCs/>
          <w:sz w:val="22"/>
          <w:szCs w:val="22"/>
        </w:rPr>
      </w:pPr>
    </w:p>
    <w:p w:rsidR="00CF4F89" w:rsidRPr="003D1F45" w:rsidRDefault="00CF4F89" w:rsidP="003D1F45">
      <w:pPr>
        <w:pStyle w:val="Antrat2"/>
        <w:rPr>
          <w:iCs/>
        </w:rPr>
      </w:pPr>
      <w:bookmarkStart w:id="31" w:name="_Toc7451471"/>
      <w:r w:rsidRPr="003D1F45">
        <w:t xml:space="preserve">Dėl </w:t>
      </w:r>
      <w:r w:rsidR="003D1F45" w:rsidRPr="003D1F45">
        <w:rPr>
          <w:iCs/>
        </w:rPr>
        <w:t>pareigos vertinti oro užterštumą gyvenamosiose patalpose, vertinant užterštumą gyvenamojoje aplinkoje</w:t>
      </w:r>
      <w:bookmarkEnd w:id="31"/>
    </w:p>
    <w:p w:rsidR="003D1F45" w:rsidRPr="003D1F45" w:rsidRDefault="003D1F45" w:rsidP="003D1F45">
      <w:pPr>
        <w:rPr>
          <w:highlight w:val="yellow"/>
        </w:rPr>
      </w:pPr>
    </w:p>
    <w:p w:rsidR="00CF4F89" w:rsidRPr="005B3F69" w:rsidRDefault="00CF4F89" w:rsidP="00025BA1">
      <w:pPr>
        <w:ind w:firstLine="567"/>
        <w:jc w:val="both"/>
        <w:rPr>
          <w:rFonts w:asciiTheme="minorHAnsi" w:hAnsiTheme="minorHAnsi" w:cstheme="minorHAnsi"/>
          <w:sz w:val="22"/>
          <w:szCs w:val="22"/>
        </w:rPr>
      </w:pPr>
      <w:r w:rsidRPr="005B3F69">
        <w:rPr>
          <w:rFonts w:asciiTheme="minorHAnsi" w:hAnsiTheme="minorHAnsi" w:cstheme="minorHAnsi"/>
          <w:sz w:val="22"/>
          <w:szCs w:val="22"/>
        </w:rPr>
        <w:t>Apžvelgiamoje byloje buvo išnagrinėtas pareiškėjo UAB „Plastena“ (toliau – ir pareiškėjas) skundas dėl Nacionalinio visuomenės sveikatos centro prie Sveikatos apsaugos ministerijos (toliau – ir atsakovas) Kauno departamento 2016 m. liepos 22 d. patikrinimo akto (toliau – ir Aktas) panaikinimo. Šio patikrinimo tikslas buvo įvertinti 2016 m. birželio 27 d. skunde minimų faktų atitiktį Lietuvos higienos normos HN 121:2010 „Kvapo koncentracijos ribinė vertė gyvenamosios patalpos ore“ (toliau – ir HN 121:2010) bei Kvapų kontrolės gyvenamosios aplinkos ore taisyklių, patvirtintų Lietuvos Respublikos sveikatos apsaugos ministro 2010 m. spalio 4 d. įsakymu Nr. V-885</w:t>
      </w:r>
      <w:r w:rsidR="003C5B50">
        <w:rPr>
          <w:rFonts w:asciiTheme="minorHAnsi" w:hAnsiTheme="minorHAnsi" w:cstheme="minorHAnsi"/>
          <w:sz w:val="22"/>
          <w:szCs w:val="22"/>
        </w:rPr>
        <w:t>,</w:t>
      </w:r>
      <w:r w:rsidRPr="005B3F69">
        <w:rPr>
          <w:rFonts w:asciiTheme="minorHAnsi" w:hAnsiTheme="minorHAnsi" w:cstheme="minorHAnsi"/>
          <w:sz w:val="22"/>
          <w:szCs w:val="22"/>
        </w:rPr>
        <w:t xml:space="preserve"> (toliau – ir Taisyklės) reikalavimams.</w:t>
      </w:r>
    </w:p>
    <w:p w:rsidR="00CF4F89" w:rsidRPr="005B3F69" w:rsidRDefault="00CF4F89" w:rsidP="00025BA1">
      <w:pPr>
        <w:ind w:firstLine="567"/>
        <w:jc w:val="both"/>
        <w:rPr>
          <w:rFonts w:asciiTheme="minorHAnsi" w:hAnsiTheme="minorHAnsi" w:cstheme="minorHAnsi"/>
          <w:sz w:val="22"/>
          <w:szCs w:val="22"/>
        </w:rPr>
      </w:pPr>
      <w:r w:rsidRPr="005B3F69">
        <w:rPr>
          <w:rFonts w:asciiTheme="minorHAnsi" w:hAnsiTheme="minorHAnsi" w:cstheme="minorHAnsi"/>
          <w:sz w:val="22"/>
          <w:szCs w:val="22"/>
        </w:rPr>
        <w:t>Tarpžinybinė kvapų kontrolės komisija (toliau – ir Komisija), atlikusi patikrinimą ir įvertinusi skleidžiamo kvapo gyvenamosios aplinkos ore pobūdį, padarė išvadas, kad gyvenamojoje aplinkoje (ore) kvapas yra jaučiamas ir gali būti siejamas su pareiškėjo vykdoma ūkine komercine veikla. Atsižvelgiant į tai, Komisija surašė 2016 m. liepos 19 d. pažymą „Dėl vykdomos ūkinės-komercinės veiklos“, kurioje nurodė, kad I-ojo kvapų kontrolės etapo metu Komisija nustatė, kad gyvenamosios aplinkos ore kvapas yra jaučiamas ir gali būti siejamas su UAB „Plastena“ plastiko gaminių apdorojimo, lenkimo, pjovimo, klijavimo, frezavimo vykdoma ūkine komercine veikla. II-ojo kvapų kontrolės etapo metu nustatyta, kad minėta įmonė pažeidė technologinį procesą, todėl pareiškėjas privalo įvertinti visus teršalų išsiskyrimo ir išmetimo į aplinkos orą šaltinius, išmetamus į orą teršalų kiekius ir sudėtis. Ginčijamame Akte padaryta išvada, jog pareiškėjas pažeidė Visuomenės sveikatos priežiūros įstatymo 24 straipsnio 1 dalyje numatytą reikalavimą, todėl pareiškėjas buvo įpareigotas iki 2017 m. sausio 20 d., vadovaujantis paminėtu straipsniu, nusistatyti ir įregistruoti sanitarinę apsaugos zoną pagal vykdomą (planuojamą) vykdyti veiklą.</w:t>
      </w:r>
    </w:p>
    <w:p w:rsidR="00CF4F89" w:rsidRPr="005B3F69" w:rsidRDefault="00CF4F89" w:rsidP="00025BA1">
      <w:pPr>
        <w:ind w:firstLine="567"/>
        <w:jc w:val="both"/>
        <w:rPr>
          <w:rFonts w:asciiTheme="minorHAnsi" w:hAnsiTheme="minorHAnsi" w:cstheme="minorHAnsi"/>
          <w:sz w:val="22"/>
          <w:szCs w:val="22"/>
        </w:rPr>
      </w:pPr>
      <w:r w:rsidRPr="005B3F69">
        <w:rPr>
          <w:rFonts w:asciiTheme="minorHAnsi" w:hAnsiTheme="minorHAnsi" w:cstheme="minorHAnsi"/>
          <w:sz w:val="22"/>
          <w:szCs w:val="22"/>
        </w:rPr>
        <w:t>Pirmosios instancijos teismas pareiškėjo skundą dėl nurodyto Akto atmetė. Pareiškėjas apeliaciniame skunde, be kita ko, akcentavo, jog skundą atsakovui dėl skleidžiamo kvapo pateikę asmenys nesutiko, kad kontrolė būtų atliekama gyvenamosiose patalpose, todėl</w:t>
      </w:r>
      <w:r w:rsidRPr="005B3F69">
        <w:rPr>
          <w:rFonts w:asciiTheme="minorHAnsi" w:hAnsiTheme="minorHAnsi" w:cstheme="minorHAnsi" w:hint="eastAsia"/>
          <w:sz w:val="22"/>
          <w:szCs w:val="22"/>
        </w:rPr>
        <w:t xml:space="preserve"> Komisija</w:t>
      </w:r>
      <w:r w:rsidRPr="005B3F69">
        <w:rPr>
          <w:rFonts w:asciiTheme="minorHAnsi" w:hAnsiTheme="minorHAnsi" w:cstheme="minorHAnsi"/>
          <w:sz w:val="22"/>
          <w:szCs w:val="22"/>
        </w:rPr>
        <w:t>,</w:t>
      </w:r>
      <w:r w:rsidRPr="005B3F69">
        <w:rPr>
          <w:rFonts w:asciiTheme="minorHAnsi" w:hAnsiTheme="minorHAnsi" w:cstheme="minorHAnsi" w:hint="eastAsia"/>
          <w:sz w:val="22"/>
          <w:szCs w:val="22"/>
        </w:rPr>
        <w:t xml:space="preserve"> remdamasi </w:t>
      </w:r>
      <w:r w:rsidRPr="005B3F69">
        <w:rPr>
          <w:rFonts w:asciiTheme="minorHAnsi" w:hAnsiTheme="minorHAnsi" w:cstheme="minorHAnsi"/>
          <w:sz w:val="22"/>
          <w:szCs w:val="22"/>
        </w:rPr>
        <w:t xml:space="preserve">Taisyklių </w:t>
      </w:r>
      <w:r w:rsidRPr="005B3F69">
        <w:rPr>
          <w:rFonts w:asciiTheme="minorHAnsi" w:hAnsiTheme="minorHAnsi" w:cstheme="minorHAnsi" w:hint="eastAsia"/>
          <w:sz w:val="22"/>
          <w:szCs w:val="22"/>
        </w:rPr>
        <w:t>8.1.3 punktu</w:t>
      </w:r>
      <w:r w:rsidRPr="005B3F69">
        <w:rPr>
          <w:rFonts w:asciiTheme="minorHAnsi" w:hAnsiTheme="minorHAnsi" w:cstheme="minorHAnsi"/>
          <w:sz w:val="22"/>
          <w:szCs w:val="22"/>
        </w:rPr>
        <w:t>,</w:t>
      </w:r>
      <w:r w:rsidRPr="005B3F69">
        <w:rPr>
          <w:rFonts w:asciiTheme="minorHAnsi" w:hAnsiTheme="minorHAnsi" w:cstheme="minorHAnsi" w:hint="eastAsia"/>
          <w:sz w:val="22"/>
          <w:szCs w:val="22"/>
        </w:rPr>
        <w:t xml:space="preserve"> </w:t>
      </w:r>
      <w:r w:rsidRPr="005B3F69">
        <w:rPr>
          <w:rFonts w:asciiTheme="minorHAnsi" w:hAnsiTheme="minorHAnsi" w:cstheme="minorHAnsi"/>
          <w:sz w:val="22"/>
          <w:szCs w:val="22"/>
        </w:rPr>
        <w:t>š</w:t>
      </w:r>
      <w:r w:rsidRPr="005B3F69">
        <w:rPr>
          <w:rFonts w:asciiTheme="minorHAnsi" w:hAnsiTheme="minorHAnsi" w:cstheme="minorHAnsi" w:hint="eastAsia"/>
          <w:sz w:val="22"/>
          <w:szCs w:val="22"/>
        </w:rPr>
        <w:t>i fakt</w:t>
      </w:r>
      <w:r w:rsidRPr="005B3F69">
        <w:rPr>
          <w:rFonts w:asciiTheme="minorHAnsi" w:hAnsiTheme="minorHAnsi" w:cstheme="minorHAnsi"/>
          <w:sz w:val="22"/>
          <w:szCs w:val="22"/>
        </w:rPr>
        <w:t>ą</w:t>
      </w:r>
      <w:r w:rsidRPr="005B3F69">
        <w:rPr>
          <w:rFonts w:asciiTheme="minorHAnsi" w:hAnsiTheme="minorHAnsi" w:cstheme="minorHAnsi" w:hint="eastAsia"/>
          <w:sz w:val="22"/>
          <w:szCs w:val="22"/>
        </w:rPr>
        <w:t xml:space="preserve"> prival</w:t>
      </w:r>
      <w:r w:rsidRPr="005B3F69">
        <w:rPr>
          <w:rFonts w:asciiTheme="minorHAnsi" w:hAnsiTheme="minorHAnsi" w:cstheme="minorHAnsi"/>
          <w:sz w:val="22"/>
          <w:szCs w:val="22"/>
        </w:rPr>
        <w:t>ė</w:t>
      </w:r>
      <w:r w:rsidRPr="005B3F69">
        <w:rPr>
          <w:rFonts w:asciiTheme="minorHAnsi" w:hAnsiTheme="minorHAnsi" w:cstheme="minorHAnsi" w:hint="eastAsia"/>
          <w:sz w:val="22"/>
          <w:szCs w:val="22"/>
        </w:rPr>
        <w:t>jo u</w:t>
      </w:r>
      <w:r w:rsidRPr="005B3F69">
        <w:rPr>
          <w:rFonts w:asciiTheme="minorHAnsi" w:hAnsiTheme="minorHAnsi" w:cstheme="minorHAnsi"/>
          <w:sz w:val="22"/>
          <w:szCs w:val="22"/>
        </w:rPr>
        <w:t>ž</w:t>
      </w:r>
      <w:r w:rsidRPr="005B3F69">
        <w:rPr>
          <w:rFonts w:asciiTheme="minorHAnsi" w:hAnsiTheme="minorHAnsi" w:cstheme="minorHAnsi" w:hint="eastAsia"/>
          <w:sz w:val="22"/>
          <w:szCs w:val="22"/>
        </w:rPr>
        <w:t>fiksuoti ir perduoti skund</w:t>
      </w:r>
      <w:r w:rsidRPr="005B3F69">
        <w:rPr>
          <w:rFonts w:asciiTheme="minorHAnsi" w:hAnsiTheme="minorHAnsi" w:cstheme="minorHAnsi"/>
          <w:sz w:val="22"/>
          <w:szCs w:val="22"/>
        </w:rPr>
        <w:t>ą</w:t>
      </w:r>
      <w:r w:rsidRPr="005B3F69">
        <w:rPr>
          <w:rFonts w:asciiTheme="minorHAnsi" w:hAnsiTheme="minorHAnsi" w:cstheme="minorHAnsi" w:hint="eastAsia"/>
          <w:sz w:val="22"/>
          <w:szCs w:val="22"/>
        </w:rPr>
        <w:t xml:space="preserve"> nagrin</w:t>
      </w:r>
      <w:r w:rsidRPr="005B3F69">
        <w:rPr>
          <w:rFonts w:asciiTheme="minorHAnsi" w:hAnsiTheme="minorHAnsi" w:cstheme="minorHAnsi"/>
          <w:sz w:val="22"/>
          <w:szCs w:val="22"/>
        </w:rPr>
        <w:t>ė</w:t>
      </w:r>
      <w:r w:rsidRPr="005B3F69">
        <w:rPr>
          <w:rFonts w:asciiTheme="minorHAnsi" w:hAnsiTheme="minorHAnsi" w:cstheme="minorHAnsi" w:hint="eastAsia"/>
          <w:sz w:val="22"/>
          <w:szCs w:val="22"/>
        </w:rPr>
        <w:t>jan</w:t>
      </w:r>
      <w:r w:rsidRPr="005B3F69">
        <w:rPr>
          <w:rFonts w:asciiTheme="minorHAnsi" w:hAnsiTheme="minorHAnsi" w:cstheme="minorHAnsi"/>
          <w:sz w:val="22"/>
          <w:szCs w:val="22"/>
        </w:rPr>
        <w:t>č</w:t>
      </w:r>
      <w:r w:rsidRPr="005B3F69">
        <w:rPr>
          <w:rFonts w:asciiTheme="minorHAnsi" w:hAnsiTheme="minorHAnsi" w:cstheme="minorHAnsi" w:hint="eastAsia"/>
          <w:sz w:val="22"/>
          <w:szCs w:val="22"/>
        </w:rPr>
        <w:t>iai institucijai, kuri tur</w:t>
      </w:r>
      <w:r w:rsidRPr="005B3F69">
        <w:rPr>
          <w:rFonts w:asciiTheme="minorHAnsi" w:hAnsiTheme="minorHAnsi" w:cstheme="minorHAnsi"/>
          <w:sz w:val="22"/>
          <w:szCs w:val="22"/>
        </w:rPr>
        <w:t>ė</w:t>
      </w:r>
      <w:r w:rsidRPr="005B3F69">
        <w:rPr>
          <w:rFonts w:asciiTheme="minorHAnsi" w:hAnsiTheme="minorHAnsi" w:cstheme="minorHAnsi" w:hint="eastAsia"/>
          <w:sz w:val="22"/>
          <w:szCs w:val="22"/>
        </w:rPr>
        <w:t>jo skundo nenagrin</w:t>
      </w:r>
      <w:r w:rsidRPr="005B3F69">
        <w:rPr>
          <w:rFonts w:asciiTheme="minorHAnsi" w:hAnsiTheme="minorHAnsi" w:cstheme="minorHAnsi"/>
          <w:sz w:val="22"/>
          <w:szCs w:val="22"/>
        </w:rPr>
        <w:t>ė</w:t>
      </w:r>
      <w:r w:rsidRPr="005B3F69">
        <w:rPr>
          <w:rFonts w:asciiTheme="minorHAnsi" w:hAnsiTheme="minorHAnsi" w:cstheme="minorHAnsi" w:hint="eastAsia"/>
          <w:sz w:val="22"/>
          <w:szCs w:val="22"/>
        </w:rPr>
        <w:t>ti</w:t>
      </w:r>
      <w:r w:rsidRPr="005B3F69">
        <w:rPr>
          <w:rFonts w:asciiTheme="minorHAnsi" w:hAnsiTheme="minorHAnsi" w:cstheme="minorHAnsi"/>
          <w:sz w:val="22"/>
          <w:szCs w:val="22"/>
        </w:rPr>
        <w:t xml:space="preserve">. Pareiškėjo teigimu, </w:t>
      </w:r>
      <w:r w:rsidRPr="005B3F69">
        <w:rPr>
          <w:rFonts w:asciiTheme="minorHAnsi" w:hAnsiTheme="minorHAnsi" w:cstheme="minorHAnsi" w:hint="eastAsia"/>
          <w:sz w:val="22"/>
          <w:szCs w:val="22"/>
        </w:rPr>
        <w:t>tiriant gyvenamosios aplinkos or</w:t>
      </w:r>
      <w:r w:rsidRPr="005B3F69">
        <w:rPr>
          <w:rFonts w:asciiTheme="minorHAnsi" w:hAnsiTheme="minorHAnsi" w:cstheme="minorHAnsi"/>
          <w:sz w:val="22"/>
          <w:szCs w:val="22"/>
        </w:rPr>
        <w:t>ą</w:t>
      </w:r>
      <w:r w:rsidRPr="005B3F69">
        <w:rPr>
          <w:rFonts w:asciiTheme="minorHAnsi" w:hAnsiTheme="minorHAnsi" w:cstheme="minorHAnsi" w:hint="eastAsia"/>
          <w:sz w:val="22"/>
          <w:szCs w:val="22"/>
        </w:rPr>
        <w:t>, turi b</w:t>
      </w:r>
      <w:r w:rsidRPr="005B3F69">
        <w:rPr>
          <w:rFonts w:asciiTheme="minorHAnsi" w:hAnsiTheme="minorHAnsi" w:cstheme="minorHAnsi"/>
          <w:sz w:val="22"/>
          <w:szCs w:val="22"/>
        </w:rPr>
        <w:t>ū</w:t>
      </w:r>
      <w:r w:rsidRPr="005B3F69">
        <w:rPr>
          <w:rFonts w:asciiTheme="minorHAnsi" w:hAnsiTheme="minorHAnsi" w:cstheme="minorHAnsi" w:hint="eastAsia"/>
          <w:sz w:val="22"/>
          <w:szCs w:val="22"/>
        </w:rPr>
        <w:t>ti tiriamos abi sudedamosios dalys, t.</w:t>
      </w:r>
      <w:r w:rsidRPr="005B3F69">
        <w:rPr>
          <w:rFonts w:asciiTheme="minorHAnsi" w:hAnsiTheme="minorHAnsi" w:cstheme="minorHAnsi"/>
          <w:sz w:val="22"/>
          <w:szCs w:val="22"/>
        </w:rPr>
        <w:t> </w:t>
      </w:r>
      <w:r w:rsidRPr="005B3F69">
        <w:rPr>
          <w:rFonts w:asciiTheme="minorHAnsi" w:hAnsiTheme="minorHAnsi" w:cstheme="minorHAnsi" w:hint="eastAsia"/>
          <w:sz w:val="22"/>
          <w:szCs w:val="22"/>
        </w:rPr>
        <w:t>y. gyvenam</w:t>
      </w:r>
      <w:r w:rsidRPr="005B3F69">
        <w:rPr>
          <w:rFonts w:asciiTheme="minorHAnsi" w:hAnsiTheme="minorHAnsi" w:cstheme="minorHAnsi"/>
          <w:sz w:val="22"/>
          <w:szCs w:val="22"/>
        </w:rPr>
        <w:t>ų</w:t>
      </w:r>
      <w:r w:rsidRPr="005B3F69">
        <w:rPr>
          <w:rFonts w:asciiTheme="minorHAnsi" w:hAnsiTheme="minorHAnsi" w:cstheme="minorHAnsi" w:hint="eastAsia"/>
          <w:sz w:val="22"/>
          <w:szCs w:val="22"/>
        </w:rPr>
        <w:t>j</w:t>
      </w:r>
      <w:r w:rsidRPr="005B3F69">
        <w:rPr>
          <w:rFonts w:asciiTheme="minorHAnsi" w:hAnsiTheme="minorHAnsi" w:cstheme="minorHAnsi"/>
          <w:sz w:val="22"/>
          <w:szCs w:val="22"/>
        </w:rPr>
        <w:t>ų</w:t>
      </w:r>
      <w:r w:rsidRPr="005B3F69">
        <w:rPr>
          <w:rFonts w:asciiTheme="minorHAnsi" w:hAnsiTheme="minorHAnsi" w:cstheme="minorHAnsi" w:hint="eastAsia"/>
          <w:sz w:val="22"/>
          <w:szCs w:val="22"/>
        </w:rPr>
        <w:t xml:space="preserve"> pastatų patalp</w:t>
      </w:r>
      <w:r w:rsidRPr="005B3F69">
        <w:rPr>
          <w:rFonts w:asciiTheme="minorHAnsi" w:hAnsiTheme="minorHAnsi" w:cstheme="minorHAnsi"/>
          <w:sz w:val="22"/>
          <w:szCs w:val="22"/>
        </w:rPr>
        <w:t>ų</w:t>
      </w:r>
      <w:r w:rsidRPr="005B3F69">
        <w:rPr>
          <w:rFonts w:asciiTheme="minorHAnsi" w:hAnsiTheme="minorHAnsi" w:cstheme="minorHAnsi" w:hint="eastAsia"/>
          <w:sz w:val="22"/>
          <w:szCs w:val="22"/>
        </w:rPr>
        <w:t xml:space="preserve"> ir j</w:t>
      </w:r>
      <w:r w:rsidRPr="005B3F69">
        <w:rPr>
          <w:rFonts w:asciiTheme="minorHAnsi" w:hAnsiTheme="minorHAnsi" w:cstheme="minorHAnsi"/>
          <w:sz w:val="22"/>
          <w:szCs w:val="22"/>
        </w:rPr>
        <w:t>ų </w:t>
      </w:r>
      <w:r w:rsidRPr="005B3F69">
        <w:rPr>
          <w:rFonts w:asciiTheme="minorHAnsi" w:hAnsiTheme="minorHAnsi" w:cstheme="minorHAnsi" w:hint="eastAsia"/>
          <w:sz w:val="22"/>
          <w:szCs w:val="22"/>
        </w:rPr>
        <w:t>aplinkos oras.</w:t>
      </w:r>
    </w:p>
    <w:p w:rsidR="00CF4F89" w:rsidRPr="005B3F69" w:rsidRDefault="00CF4F89" w:rsidP="00025BA1">
      <w:pPr>
        <w:ind w:firstLine="567"/>
        <w:jc w:val="both"/>
        <w:rPr>
          <w:rFonts w:asciiTheme="minorHAnsi" w:hAnsiTheme="minorHAnsi" w:cstheme="minorHAnsi"/>
          <w:sz w:val="22"/>
          <w:szCs w:val="22"/>
        </w:rPr>
      </w:pPr>
      <w:r w:rsidRPr="005B3F69">
        <w:rPr>
          <w:rFonts w:asciiTheme="minorHAnsi" w:hAnsiTheme="minorHAnsi" w:cstheme="minorHAnsi"/>
          <w:sz w:val="22"/>
          <w:szCs w:val="22"/>
        </w:rPr>
        <w:t xml:space="preserve">Šiuo klausimu teisėjų kolegija pažymėjo, kad </w:t>
      </w:r>
      <w:r w:rsidRPr="004D2FD4">
        <w:rPr>
          <w:rFonts w:asciiTheme="minorHAnsi" w:hAnsiTheme="minorHAnsi" w:cstheme="minorHAnsi"/>
          <w:sz w:val="22"/>
          <w:szCs w:val="22"/>
          <w:u w:val="single"/>
        </w:rPr>
        <w:t>Taisyklių 8 punkte numatyta procedūra nereikalauja, jog atsakovas, vertindamas oro užterštumą gyvenamosios aplinkos ore, privalomai vertintų ir oro užterštumą gyvenamosiose patalpose. Vien iš HN 121:2010 4 punkto, kuris apibrėžia gyvenamosios aplinkos oro sąvoką kaip gyvenamųjų ir visuomeninių pastatų ir jų aplinkos, nurodytų 1 punkte, orą, negali būti išvesta atsakovo pareiga visuomet vertinti kartu ir pastatų patalpų, ir jų aplinkos orą</w:t>
      </w:r>
      <w:r w:rsidRPr="005B3F69">
        <w:rPr>
          <w:rFonts w:asciiTheme="minorHAnsi" w:hAnsiTheme="minorHAnsi" w:cstheme="minorHAnsi"/>
          <w:sz w:val="22"/>
          <w:szCs w:val="22"/>
        </w:rPr>
        <w:t xml:space="preserve">. </w:t>
      </w:r>
      <w:r w:rsidR="00F35F8B">
        <w:rPr>
          <w:rFonts w:asciiTheme="minorHAnsi" w:hAnsiTheme="minorHAnsi" w:cstheme="minorHAnsi"/>
          <w:sz w:val="22"/>
          <w:szCs w:val="22"/>
        </w:rPr>
        <w:t>A</w:t>
      </w:r>
      <w:r w:rsidRPr="005B3F69">
        <w:rPr>
          <w:rFonts w:asciiTheme="minorHAnsi" w:hAnsiTheme="minorHAnsi" w:cstheme="minorHAnsi"/>
          <w:sz w:val="22"/>
          <w:szCs w:val="22"/>
        </w:rPr>
        <w:t>tsakovas, vadovaudamasis Visuomenės sveikatos priežiūros įstatymo 15 straipsnio 8 punktu, tyrė užterštumą gyvenamosios aplinkos ore, nevertinant oro užterštumo gyvenamosiose patalpose, o toks tyrimas, teisėjų kolegijos vertinimu, yra suderinamas su Taisyklių 8 punkto nuostatomis.</w:t>
      </w:r>
    </w:p>
    <w:p w:rsidR="00CF4F89" w:rsidRPr="005B3F69" w:rsidRDefault="00CF4F89" w:rsidP="00025BA1">
      <w:pPr>
        <w:ind w:firstLine="567"/>
        <w:jc w:val="both"/>
        <w:rPr>
          <w:rFonts w:asciiTheme="minorHAnsi" w:hAnsiTheme="minorHAnsi" w:cstheme="minorHAnsi"/>
          <w:sz w:val="22"/>
          <w:szCs w:val="22"/>
        </w:rPr>
      </w:pPr>
      <w:r w:rsidRPr="005B3F69">
        <w:rPr>
          <w:rFonts w:asciiTheme="minorHAnsi" w:hAnsiTheme="minorHAnsi" w:cstheme="minorHAnsi"/>
          <w:sz w:val="22"/>
          <w:szCs w:val="22"/>
        </w:rPr>
        <w:t>Pareiškėjo apeliacinis skundas atmestas ir pirmosios instancijos teismo sprendimas paliktas nepakeistas.</w:t>
      </w:r>
    </w:p>
    <w:p w:rsidR="00CF4F89" w:rsidRPr="005B3F69" w:rsidRDefault="00CF4F89" w:rsidP="00025BA1">
      <w:pPr>
        <w:rPr>
          <w:rFonts w:asciiTheme="minorHAnsi" w:hAnsiTheme="minorHAnsi" w:cstheme="minorHAnsi"/>
          <w:bCs/>
          <w:sz w:val="22"/>
          <w:szCs w:val="22"/>
        </w:rPr>
      </w:pPr>
    </w:p>
    <w:p w:rsidR="00CF4F89" w:rsidRPr="005B3F69" w:rsidRDefault="00CF4F89" w:rsidP="00025BA1">
      <w:pPr>
        <w:rPr>
          <w:rFonts w:asciiTheme="minorHAnsi" w:hAnsiTheme="minorHAnsi" w:cstheme="minorHAnsi"/>
          <w:sz w:val="22"/>
          <w:szCs w:val="22"/>
        </w:rPr>
      </w:pPr>
      <w:r w:rsidRPr="005B3F69">
        <w:rPr>
          <w:rFonts w:asciiTheme="minorHAnsi" w:hAnsiTheme="minorHAnsi" w:cstheme="minorHAnsi"/>
          <w:sz w:val="22"/>
          <w:szCs w:val="22"/>
        </w:rPr>
        <w:t>2019 m. vasario 19 d. nutartis administracinėje byloje Nr. eA-2422-822/2019</w:t>
      </w:r>
    </w:p>
    <w:p w:rsidR="00CF4F89" w:rsidRPr="005B3F69" w:rsidRDefault="00CF4F89" w:rsidP="00025BA1">
      <w:pPr>
        <w:rPr>
          <w:rFonts w:asciiTheme="minorHAnsi" w:hAnsiTheme="minorHAnsi" w:cstheme="minorHAnsi"/>
          <w:sz w:val="22"/>
          <w:szCs w:val="22"/>
        </w:rPr>
      </w:pPr>
      <w:r w:rsidRPr="005B3F69">
        <w:rPr>
          <w:rFonts w:asciiTheme="minorHAnsi" w:hAnsiTheme="minorHAnsi" w:cstheme="minorHAnsi"/>
          <w:sz w:val="22"/>
          <w:szCs w:val="22"/>
        </w:rPr>
        <w:t xml:space="preserve">Teisminio proceso Nr. </w:t>
      </w:r>
      <w:r w:rsidRPr="005B3F69">
        <w:rPr>
          <w:rFonts w:asciiTheme="minorHAnsi" w:hAnsiTheme="minorHAnsi" w:cstheme="minorHAnsi"/>
          <w:bCs/>
          <w:sz w:val="22"/>
          <w:szCs w:val="22"/>
          <w:lang w:bidi="lt-LT"/>
        </w:rPr>
        <w:t>3-61-3-01638-2016-1</w:t>
      </w:r>
    </w:p>
    <w:p w:rsidR="00CF4F89" w:rsidRPr="005B3F69" w:rsidRDefault="00CF4F89" w:rsidP="00025BA1">
      <w:pPr>
        <w:rPr>
          <w:rFonts w:asciiTheme="minorHAnsi" w:hAnsiTheme="minorHAnsi" w:cstheme="minorHAnsi"/>
          <w:sz w:val="22"/>
          <w:szCs w:val="22"/>
        </w:rPr>
      </w:pPr>
      <w:r w:rsidRPr="005B3F69">
        <w:rPr>
          <w:rFonts w:asciiTheme="minorHAnsi" w:hAnsiTheme="minorHAnsi" w:cstheme="minorHAnsi"/>
          <w:sz w:val="22"/>
          <w:szCs w:val="22"/>
        </w:rPr>
        <w:t>Procesinio sprendimo kategorija 14.4.6</w:t>
      </w:r>
    </w:p>
    <w:p w:rsidR="00CF4F89" w:rsidRPr="005B3F69" w:rsidRDefault="004264B2" w:rsidP="00025BA1">
      <w:pPr>
        <w:rPr>
          <w:rFonts w:asciiTheme="minorHAnsi" w:hAnsiTheme="minorHAnsi" w:cstheme="minorHAnsi"/>
          <w:sz w:val="22"/>
          <w:szCs w:val="22"/>
          <w:u w:val="single"/>
        </w:rPr>
      </w:pPr>
      <w:hyperlink r:id="rId14" w:history="1">
        <w:r w:rsidR="00CF4F89" w:rsidRPr="005B3F69">
          <w:rPr>
            <w:rStyle w:val="Hipersaitas"/>
            <w:rFonts w:asciiTheme="minorHAnsi" w:hAnsiTheme="minorHAnsi" w:cstheme="minorHAnsi"/>
            <w:sz w:val="22"/>
            <w:szCs w:val="22"/>
          </w:rPr>
          <w:t>Prieiga internete</w:t>
        </w:r>
      </w:hyperlink>
    </w:p>
    <w:p w:rsidR="00CF4F89" w:rsidRPr="005B3F69" w:rsidRDefault="00CF4F89" w:rsidP="00025BA1">
      <w:pPr>
        <w:rPr>
          <w:rFonts w:asciiTheme="minorHAnsi" w:hAnsiTheme="minorHAnsi" w:cstheme="minorHAnsi"/>
          <w:bCs/>
          <w:sz w:val="22"/>
          <w:szCs w:val="22"/>
        </w:rPr>
      </w:pPr>
    </w:p>
    <w:p w:rsidR="008A2FA6" w:rsidRPr="008A2FA6" w:rsidRDefault="008A2FA6" w:rsidP="00025BA1">
      <w:pPr>
        <w:pStyle w:val="Antrat1"/>
        <w:rPr>
          <w:rFonts w:ascii="Calibri" w:eastAsiaTheme="minorEastAsia" w:hAnsi="Calibri" w:cs="Calibri"/>
          <w:b w:val="0"/>
        </w:rPr>
      </w:pPr>
      <w:bookmarkStart w:id="32" w:name="_Toc774929"/>
      <w:bookmarkStart w:id="33" w:name="_Toc7451472"/>
      <w:r w:rsidRPr="008A2FA6">
        <w:rPr>
          <w:rFonts w:ascii="Calibri" w:eastAsiaTheme="minorEastAsia" w:hAnsi="Calibri" w:cs="Calibri"/>
        </w:rPr>
        <w:t>21. Valstybės tarnautojo statuso įgijimas, pasikeitimas, praradimas ir atsakomybė</w:t>
      </w:r>
      <w:bookmarkEnd w:id="32"/>
      <w:bookmarkEnd w:id="33"/>
    </w:p>
    <w:p w:rsidR="008A2FA6" w:rsidRPr="008A2FA6" w:rsidRDefault="008A2FA6" w:rsidP="00025BA1">
      <w:pPr>
        <w:ind w:firstLine="567"/>
        <w:jc w:val="both"/>
        <w:rPr>
          <w:rFonts w:ascii="Calibri" w:eastAsiaTheme="minorEastAsia" w:hAnsi="Calibri" w:cs="Calibri"/>
          <w:b/>
          <w:sz w:val="22"/>
          <w:szCs w:val="22"/>
          <w:u w:val="single"/>
        </w:rPr>
      </w:pPr>
      <w:r w:rsidRPr="008A2FA6">
        <w:rPr>
          <w:rFonts w:ascii="Calibri" w:eastAsiaTheme="minorEastAsia" w:hAnsi="Calibri" w:cs="Calibri"/>
          <w:b/>
          <w:sz w:val="22"/>
          <w:szCs w:val="22"/>
          <w:u w:val="single"/>
        </w:rPr>
        <w:t>21.3. Valstybės tarnautojų atleidimas iš pareigų</w:t>
      </w:r>
    </w:p>
    <w:p w:rsidR="008A2FA6" w:rsidRPr="008A2FA6" w:rsidRDefault="008A2FA6" w:rsidP="00025BA1">
      <w:pPr>
        <w:ind w:firstLine="567"/>
        <w:jc w:val="both"/>
        <w:rPr>
          <w:rFonts w:ascii="Calibri" w:hAnsi="Calibri" w:cs="Calibri"/>
          <w:sz w:val="22"/>
          <w:szCs w:val="22"/>
        </w:rPr>
      </w:pPr>
    </w:p>
    <w:p w:rsidR="008A2FA6" w:rsidRPr="008A2FA6" w:rsidRDefault="008A2FA6" w:rsidP="00025BA1">
      <w:pPr>
        <w:pStyle w:val="Antrat2"/>
        <w:rPr>
          <w:rFonts w:ascii="Calibri" w:hAnsi="Calibri" w:cs="Calibri"/>
          <w:i w:val="0"/>
        </w:rPr>
      </w:pPr>
      <w:bookmarkStart w:id="34" w:name="_Toc7451473"/>
      <w:r w:rsidRPr="008A2FA6">
        <w:rPr>
          <w:rFonts w:ascii="Calibri" w:hAnsi="Calibri" w:cs="Calibri"/>
        </w:rPr>
        <w:t>Dėl grąžinimo į pareigas likusiam kadencijos laikui</w:t>
      </w:r>
      <w:bookmarkEnd w:id="34"/>
      <w:r w:rsidRPr="008A2FA6">
        <w:rPr>
          <w:rFonts w:ascii="Calibri" w:hAnsi="Calibri" w:cs="Calibri"/>
        </w:rPr>
        <w:t xml:space="preserve"> </w:t>
      </w:r>
    </w:p>
    <w:p w:rsidR="008A2FA6" w:rsidRPr="008A2FA6" w:rsidRDefault="008A2FA6" w:rsidP="00025BA1">
      <w:pPr>
        <w:ind w:firstLine="567"/>
        <w:jc w:val="both"/>
        <w:rPr>
          <w:rFonts w:ascii="Calibri" w:hAnsi="Calibri" w:cs="Calibri"/>
          <w:sz w:val="22"/>
          <w:szCs w:val="22"/>
        </w:rPr>
      </w:pPr>
    </w:p>
    <w:p w:rsidR="008A2FA6" w:rsidRPr="008A2FA6" w:rsidRDefault="008A2FA6" w:rsidP="00025BA1">
      <w:pPr>
        <w:ind w:firstLine="567"/>
        <w:jc w:val="both"/>
        <w:rPr>
          <w:rFonts w:ascii="Calibri" w:hAnsi="Calibri" w:cs="Calibri"/>
          <w:color w:val="000000"/>
          <w:sz w:val="22"/>
          <w:szCs w:val="22"/>
        </w:rPr>
      </w:pPr>
      <w:r w:rsidRPr="008A2FA6">
        <w:rPr>
          <w:rFonts w:ascii="Calibri" w:hAnsi="Calibri" w:cs="Calibri"/>
          <w:color w:val="000000"/>
          <w:sz w:val="22"/>
          <w:szCs w:val="22"/>
        </w:rPr>
        <w:t>Byloje nagrinėtas ginčas dėl atsakovo</w:t>
      </w:r>
      <w:r w:rsidR="003B542C">
        <w:rPr>
          <w:rFonts w:ascii="Calibri" w:hAnsi="Calibri" w:cs="Calibri"/>
          <w:color w:val="000000"/>
          <w:sz w:val="22"/>
          <w:szCs w:val="22"/>
        </w:rPr>
        <w:t xml:space="preserve"> Sveikatos apsaugos ministerijos</w:t>
      </w:r>
      <w:r w:rsidRPr="008A2FA6">
        <w:rPr>
          <w:rFonts w:ascii="Calibri" w:hAnsi="Calibri" w:cs="Calibri"/>
          <w:color w:val="000000"/>
          <w:sz w:val="22"/>
          <w:szCs w:val="22"/>
        </w:rPr>
        <w:t xml:space="preserve"> </w:t>
      </w:r>
      <w:r w:rsidR="003B542C">
        <w:rPr>
          <w:rFonts w:ascii="Calibri" w:hAnsi="Calibri" w:cs="Calibri"/>
          <w:color w:val="000000"/>
          <w:sz w:val="22"/>
          <w:szCs w:val="22"/>
        </w:rPr>
        <w:t>į</w:t>
      </w:r>
      <w:r w:rsidRPr="008A2FA6">
        <w:rPr>
          <w:rFonts w:ascii="Calibri" w:hAnsi="Calibri" w:cs="Calibri"/>
          <w:color w:val="000000"/>
          <w:sz w:val="22"/>
          <w:szCs w:val="22"/>
        </w:rPr>
        <w:t xml:space="preserve">sakymo dalies, kuria pareiškėjas grąžintas į Valstybinės ligonių kasos (toliau – VLK) direktoriaus pareigas likusiam antrosios ketverių metų </w:t>
      </w:r>
      <w:r w:rsidR="003B542C">
        <w:rPr>
          <w:rFonts w:ascii="Calibri" w:hAnsi="Calibri" w:cs="Calibri"/>
          <w:color w:val="000000"/>
          <w:sz w:val="22"/>
          <w:szCs w:val="22"/>
        </w:rPr>
        <w:t>kadencijos laikui, bei dėl į</w:t>
      </w:r>
      <w:r w:rsidRPr="008A2FA6">
        <w:rPr>
          <w:rFonts w:ascii="Calibri" w:hAnsi="Calibri" w:cs="Calibri"/>
          <w:color w:val="000000"/>
          <w:sz w:val="22"/>
          <w:szCs w:val="22"/>
        </w:rPr>
        <w:t xml:space="preserve">sakymo, kuriuo pareiškėjas atleistas iš VLK direktoriaus pareigų, pasibaigus kadencijos laikui, teisėtumo ir pagrįstumo. </w:t>
      </w:r>
    </w:p>
    <w:p w:rsidR="008A2FA6" w:rsidRPr="008A2FA6" w:rsidRDefault="008A2FA6" w:rsidP="00025BA1">
      <w:pPr>
        <w:ind w:firstLine="567"/>
        <w:jc w:val="both"/>
        <w:rPr>
          <w:rFonts w:ascii="Calibri" w:hAnsi="Calibri" w:cs="Calibri"/>
          <w:color w:val="000000"/>
          <w:sz w:val="22"/>
          <w:szCs w:val="22"/>
        </w:rPr>
      </w:pPr>
      <w:r w:rsidRPr="008A2FA6">
        <w:rPr>
          <w:rFonts w:ascii="Calibri" w:hAnsi="Calibri" w:cs="Calibri"/>
          <w:color w:val="000000"/>
          <w:sz w:val="22"/>
          <w:szCs w:val="22"/>
        </w:rPr>
        <w:t xml:space="preserve">Byloje nustatyta, jog Vilniaus apygardos teismui pareiškėjo atžvilgiu priėmus apkaltinamąjį nuosprendį, </w:t>
      </w:r>
      <w:r w:rsidR="003B542C">
        <w:rPr>
          <w:rFonts w:ascii="Calibri" w:hAnsi="Calibri" w:cs="Calibri"/>
          <w:color w:val="000000"/>
          <w:sz w:val="22"/>
          <w:szCs w:val="22"/>
        </w:rPr>
        <w:t>Sveikatos apsaugos m</w:t>
      </w:r>
      <w:r w:rsidRPr="008A2FA6">
        <w:rPr>
          <w:rFonts w:ascii="Calibri" w:hAnsi="Calibri" w:cs="Calibri"/>
          <w:color w:val="000000"/>
          <w:sz w:val="22"/>
          <w:szCs w:val="22"/>
        </w:rPr>
        <w:t>inistras</w:t>
      </w:r>
      <w:r w:rsidR="003B542C">
        <w:rPr>
          <w:rFonts w:ascii="Calibri" w:hAnsi="Calibri" w:cs="Calibri"/>
          <w:color w:val="000000"/>
          <w:sz w:val="22"/>
          <w:szCs w:val="22"/>
        </w:rPr>
        <w:t xml:space="preserve"> (toliau – ir Ministras)</w:t>
      </w:r>
      <w:r w:rsidRPr="008A2FA6">
        <w:rPr>
          <w:rFonts w:ascii="Calibri" w:hAnsi="Calibri" w:cs="Calibri"/>
          <w:color w:val="000000"/>
          <w:sz w:val="22"/>
          <w:szCs w:val="22"/>
        </w:rPr>
        <w:t xml:space="preserve"> įsakymu nušalino pareiškėją nuo VLK direktoriaus pareigų. Lietuvos apeliaciniam teismui nuosprendžiu palikus galioti Vilniaus apygardos teismo nuosprendį, Ministras įsakymu atleido pareiškėją iš VLK direktoriaus pareigų. Lietuvos Aukščiausiasis Teismas nutartimi panaikino Lietuvos apeliacinio teismo nuosprendį ir bylą perdavė nagrinėti iš naujo apeliacine tvarka. Lietuvos apeliacinis teismas nuosprendžiu panaikino Vilniaus apygardos teismo nuosprendį ir pareiškėją išteisino. Vilniaus apygardos administracinis teismas sprendimu tenkino </w:t>
      </w:r>
      <w:r w:rsidR="003B542C">
        <w:rPr>
          <w:rFonts w:ascii="Calibri" w:hAnsi="Calibri" w:cs="Calibri"/>
          <w:color w:val="000000"/>
          <w:sz w:val="22"/>
          <w:szCs w:val="22"/>
        </w:rPr>
        <w:t>pareiškėjo skundą ir panaikino į</w:t>
      </w:r>
      <w:r w:rsidRPr="008A2FA6">
        <w:rPr>
          <w:rFonts w:ascii="Calibri" w:hAnsi="Calibri" w:cs="Calibri"/>
          <w:color w:val="000000"/>
          <w:sz w:val="22"/>
          <w:szCs w:val="22"/>
        </w:rPr>
        <w:t xml:space="preserve">sakymą bei grąžino pareiškėją į VLK direktoriaus pareigas. </w:t>
      </w:r>
    </w:p>
    <w:p w:rsidR="008A2FA6" w:rsidRPr="008A2FA6" w:rsidRDefault="008A2FA6" w:rsidP="00025BA1">
      <w:pPr>
        <w:ind w:firstLine="567"/>
        <w:jc w:val="both"/>
        <w:rPr>
          <w:rFonts w:ascii="Calibri" w:hAnsi="Calibri" w:cs="Calibri"/>
          <w:color w:val="000000"/>
          <w:sz w:val="22"/>
          <w:szCs w:val="22"/>
        </w:rPr>
      </w:pPr>
      <w:r w:rsidRPr="008A2FA6">
        <w:rPr>
          <w:rFonts w:ascii="Calibri" w:hAnsi="Calibri" w:cs="Calibri"/>
          <w:color w:val="000000"/>
          <w:sz w:val="22"/>
          <w:szCs w:val="22"/>
        </w:rPr>
        <w:t>Šioje byloje</w:t>
      </w:r>
      <w:r w:rsidR="008550C9">
        <w:rPr>
          <w:rFonts w:ascii="Calibri" w:hAnsi="Calibri" w:cs="Calibri"/>
          <w:color w:val="000000"/>
          <w:sz w:val="22"/>
          <w:szCs w:val="22"/>
        </w:rPr>
        <w:t xml:space="preserve"> vieno</w:t>
      </w:r>
      <w:r w:rsidRPr="008A2FA6">
        <w:rPr>
          <w:rFonts w:ascii="Calibri" w:hAnsi="Calibri" w:cs="Calibri"/>
          <w:color w:val="000000"/>
          <w:sz w:val="22"/>
          <w:szCs w:val="22"/>
        </w:rPr>
        <w:t xml:space="preserve"> ginčijamo</w:t>
      </w:r>
      <w:r w:rsidR="003B542C">
        <w:rPr>
          <w:rFonts w:ascii="Calibri" w:hAnsi="Calibri" w:cs="Calibri"/>
          <w:color w:val="000000"/>
          <w:sz w:val="22"/>
          <w:szCs w:val="22"/>
        </w:rPr>
        <w:t xml:space="preserve"> į</w:t>
      </w:r>
      <w:r w:rsidRPr="008A2FA6">
        <w:rPr>
          <w:rFonts w:ascii="Calibri" w:hAnsi="Calibri" w:cs="Calibri"/>
          <w:color w:val="000000"/>
          <w:sz w:val="22"/>
          <w:szCs w:val="22"/>
        </w:rPr>
        <w:t xml:space="preserve">sakymo 1 punktu nutarta grąžinti pareiškėją į VLK direktoriaus pareigas likusiam antrosios ketverių metų kadencijos laikui, o </w:t>
      </w:r>
      <w:r w:rsidR="008550C9">
        <w:rPr>
          <w:rFonts w:ascii="Calibri" w:hAnsi="Calibri" w:cs="Calibri"/>
          <w:color w:val="000000"/>
          <w:sz w:val="22"/>
          <w:szCs w:val="22"/>
        </w:rPr>
        <w:t>kitu</w:t>
      </w:r>
      <w:r w:rsidR="00DE24D9">
        <w:rPr>
          <w:rFonts w:ascii="Calibri" w:hAnsi="Calibri" w:cs="Calibri"/>
          <w:color w:val="000000"/>
          <w:sz w:val="22"/>
          <w:szCs w:val="22"/>
        </w:rPr>
        <w:t xml:space="preserve"> į</w:t>
      </w:r>
      <w:r w:rsidRPr="008A2FA6">
        <w:rPr>
          <w:rFonts w:ascii="Calibri" w:hAnsi="Calibri" w:cs="Calibri"/>
          <w:color w:val="000000"/>
          <w:sz w:val="22"/>
          <w:szCs w:val="22"/>
        </w:rPr>
        <w:t xml:space="preserve">sakymu nutarta pareiškėją atleisti iš VLK direktoriaus pareigų, pasibaigus antrajai kadencijai. </w:t>
      </w:r>
    </w:p>
    <w:p w:rsidR="008A2FA6" w:rsidRPr="008A2FA6" w:rsidRDefault="008A2FA6" w:rsidP="00025BA1">
      <w:pPr>
        <w:ind w:firstLine="567"/>
        <w:jc w:val="both"/>
        <w:rPr>
          <w:rFonts w:ascii="Calibri" w:hAnsi="Calibri" w:cs="Calibri"/>
          <w:color w:val="000000"/>
          <w:sz w:val="22"/>
          <w:szCs w:val="22"/>
        </w:rPr>
      </w:pPr>
      <w:r w:rsidRPr="008A2FA6">
        <w:rPr>
          <w:rFonts w:ascii="Calibri" w:hAnsi="Calibri" w:cs="Calibri"/>
          <w:color w:val="000000"/>
          <w:sz w:val="22"/>
          <w:szCs w:val="22"/>
        </w:rPr>
        <w:t>Pirmosios instancijos teismas pareiškėjo skundą atmetė, konstatavęs, jog Vyriausybės įstatyme imperatyviai įtvirtintas įstaigos vadovo ketverių metų kadencijos terminas, nesuteikiant galimybės jo koregavimui. Pareiškėjas apeliaciniame skunde manė, jog laikotarpiai, kai jis buvo nušalintas nuo VLK direktoriaus pareigų ir atleistas iš minėtų pareigų, turi būti išskaityti iš antrosios kadencijos arba šiuo laikotarpiu turi būti pratęsta antroji kadencija.</w:t>
      </w:r>
    </w:p>
    <w:p w:rsidR="008A2FA6" w:rsidRPr="008A2FA6" w:rsidRDefault="008A2FA6" w:rsidP="00025BA1">
      <w:pPr>
        <w:ind w:firstLine="567"/>
        <w:jc w:val="both"/>
        <w:rPr>
          <w:rFonts w:ascii="Calibri" w:hAnsi="Calibri" w:cs="Calibri"/>
          <w:color w:val="000000"/>
          <w:sz w:val="22"/>
          <w:szCs w:val="22"/>
        </w:rPr>
      </w:pPr>
      <w:r w:rsidRPr="008A2FA6">
        <w:rPr>
          <w:rFonts w:ascii="Calibri" w:hAnsi="Calibri" w:cs="Calibri"/>
          <w:color w:val="000000"/>
          <w:sz w:val="22"/>
          <w:szCs w:val="22"/>
        </w:rPr>
        <w:t>LVAT, įvertinęs Vyriausybės įstatymo 30 straipsnio (2010 m. birželio 3 d. įstatymo Nr. XI-863 re</w:t>
      </w:r>
      <w:r w:rsidR="00DE24D9">
        <w:rPr>
          <w:rFonts w:ascii="Calibri" w:hAnsi="Calibri" w:cs="Calibri"/>
          <w:color w:val="000000"/>
          <w:sz w:val="22"/>
          <w:szCs w:val="22"/>
        </w:rPr>
        <w:t>dakcija) 5 </w:t>
      </w:r>
      <w:r w:rsidRPr="008A2FA6">
        <w:rPr>
          <w:rFonts w:ascii="Calibri" w:hAnsi="Calibri" w:cs="Calibri"/>
          <w:color w:val="000000"/>
          <w:sz w:val="22"/>
          <w:szCs w:val="22"/>
        </w:rPr>
        <w:t xml:space="preserve">dalies, Valstybės tarybos įstatymo 44 straipsnio (2005 m. gruodžio 22 d. įstatymo Nr. X-464 redakcija) 1 dalies 5 punkto nuostatas, sutiko su pirmosios instancijos teismo išvada, jog įstatymai nenustatė kitokios įstaigos prie ministerijos vadovo kadencijos, todėl turėjo būti taikomos būtent Vyriausybės įstatymo 30 straipsnio 5 dalies nuostatos ir jose numatyta 4 metų kadencija. </w:t>
      </w:r>
    </w:p>
    <w:p w:rsidR="008A2FA6" w:rsidRPr="008A2FA6" w:rsidRDefault="008A2FA6" w:rsidP="00025BA1">
      <w:pPr>
        <w:ind w:firstLine="567"/>
        <w:jc w:val="both"/>
        <w:rPr>
          <w:rFonts w:ascii="Calibri" w:hAnsi="Calibri" w:cs="Calibri"/>
          <w:color w:val="000000"/>
          <w:sz w:val="22"/>
          <w:szCs w:val="22"/>
        </w:rPr>
      </w:pPr>
      <w:r w:rsidRPr="008A2FA6">
        <w:rPr>
          <w:rFonts w:ascii="Calibri" w:hAnsi="Calibri" w:cs="Calibri"/>
          <w:color w:val="000000"/>
          <w:sz w:val="22"/>
          <w:szCs w:val="22"/>
        </w:rPr>
        <w:t>Byloje nustatyta, kad pare</w:t>
      </w:r>
      <w:r w:rsidR="00DE24D9">
        <w:rPr>
          <w:rFonts w:ascii="Calibri" w:hAnsi="Calibri" w:cs="Calibri"/>
          <w:color w:val="000000"/>
          <w:sz w:val="22"/>
          <w:szCs w:val="22"/>
        </w:rPr>
        <w:t>iškėjas 2014 m. birželio 30 d. į</w:t>
      </w:r>
      <w:r w:rsidRPr="008A2FA6">
        <w:rPr>
          <w:rFonts w:ascii="Calibri" w:hAnsi="Calibri" w:cs="Calibri"/>
          <w:color w:val="000000"/>
          <w:sz w:val="22"/>
          <w:szCs w:val="22"/>
        </w:rPr>
        <w:t xml:space="preserve">sakymo pagrindu buvo paskirtas antrajai ketverių metų kadencijai į VLK direktoriaus pareigas. Kadencija turėjo pasibaigti 2018 m. birželio 30 d. LVAT pažymėjo, kad </w:t>
      </w:r>
      <w:r w:rsidRPr="008A2FA6">
        <w:rPr>
          <w:rFonts w:ascii="Calibri" w:hAnsi="Calibri" w:cs="Calibri"/>
          <w:color w:val="000000"/>
          <w:sz w:val="22"/>
          <w:szCs w:val="22"/>
          <w:u w:val="single"/>
        </w:rPr>
        <w:t>minėto vertinimo negali pakeisti aplinkybė, kad pareiškėjas tam tikrą laikotarpį šių pareigų nėjo, nes teisės aktuose nėra numatyta galimybė pratęsti Vyriausybės įstatymo 30 straipsnio 5 dalyje įtvirtintą kadenciją</w:t>
      </w:r>
      <w:r w:rsidRPr="008A2FA6">
        <w:rPr>
          <w:rFonts w:ascii="Calibri" w:hAnsi="Calibri" w:cs="Calibri"/>
          <w:color w:val="000000"/>
          <w:sz w:val="22"/>
          <w:szCs w:val="22"/>
        </w:rPr>
        <w:t>. Pareiškėjas teismo sprendimu nebuvo paskirtas naujai kadencijai, o tik grąžintas į pareigas likusiam antrosios kadencijos laikotarpiui. Teisėjų kolegija pažymėjo, kad pareiškėjas negalėtų būti grąžintas į pareigas, jeigu faktinis kadencijos laikas būtų pasibaigęs. Šiuo atveju pareiškėjas grąžintas likusiam antrosios kadencijos laikotarpiui, o Vilniaus apygardos administracinis teismas priteisė vidutinį darbo užmokestį už visą priverstinės pravaikštos laiką nuo atleidimo iš darbo dienos iki teismo sprendimo įvykdymo dienos. Taigi pareiškėjui už visą priverstinės pravaikštos laiką yra tinkamai kompensuota.</w:t>
      </w:r>
    </w:p>
    <w:p w:rsidR="008A2FA6" w:rsidRPr="008A2FA6" w:rsidRDefault="008A2FA6" w:rsidP="00025BA1">
      <w:pPr>
        <w:ind w:firstLine="567"/>
        <w:jc w:val="both"/>
        <w:rPr>
          <w:rFonts w:ascii="Calibri" w:hAnsi="Calibri" w:cs="Calibri"/>
          <w:color w:val="000000"/>
          <w:sz w:val="22"/>
          <w:szCs w:val="22"/>
        </w:rPr>
      </w:pPr>
      <w:r w:rsidRPr="008A2FA6">
        <w:rPr>
          <w:rFonts w:ascii="Calibri" w:hAnsi="Calibri" w:cs="Calibri"/>
          <w:color w:val="000000"/>
          <w:sz w:val="22"/>
          <w:szCs w:val="22"/>
        </w:rPr>
        <w:t>Pareiškėjo apeliacinis skundas atmestas, pirmosios instancijos teismo sprendimas paliktas nepakeistas.</w:t>
      </w:r>
    </w:p>
    <w:p w:rsidR="008A2FA6" w:rsidRPr="008A2FA6" w:rsidRDefault="008A2FA6" w:rsidP="00025BA1">
      <w:pPr>
        <w:ind w:firstLine="567"/>
        <w:jc w:val="both"/>
        <w:rPr>
          <w:rFonts w:ascii="Calibri" w:hAnsi="Calibri" w:cs="Calibri"/>
          <w:color w:val="000000"/>
          <w:sz w:val="22"/>
          <w:szCs w:val="22"/>
        </w:rPr>
      </w:pPr>
    </w:p>
    <w:p w:rsidR="008A2FA6" w:rsidRPr="008A2FA6" w:rsidRDefault="008A2FA6" w:rsidP="00025BA1">
      <w:pPr>
        <w:jc w:val="both"/>
        <w:rPr>
          <w:rFonts w:ascii="Calibri" w:eastAsiaTheme="minorEastAsia" w:hAnsi="Calibri" w:cs="Calibri"/>
          <w:sz w:val="22"/>
          <w:szCs w:val="22"/>
        </w:rPr>
      </w:pPr>
      <w:r w:rsidRPr="008A2FA6">
        <w:rPr>
          <w:rFonts w:ascii="Calibri" w:eastAsiaTheme="minorEastAsia" w:hAnsi="Calibri" w:cs="Calibri"/>
          <w:sz w:val="22"/>
          <w:szCs w:val="22"/>
        </w:rPr>
        <w:t>2019 m. vasario 13 d. nutartis administracinėje byloje Nr. A-3605-556/2019</w:t>
      </w:r>
    </w:p>
    <w:p w:rsidR="008A2FA6" w:rsidRPr="008A2FA6" w:rsidRDefault="008A2FA6" w:rsidP="00025BA1">
      <w:pPr>
        <w:jc w:val="both"/>
        <w:rPr>
          <w:rFonts w:ascii="Calibri" w:eastAsiaTheme="minorEastAsia" w:hAnsi="Calibri" w:cs="Calibri"/>
          <w:sz w:val="22"/>
          <w:szCs w:val="22"/>
        </w:rPr>
      </w:pPr>
      <w:r w:rsidRPr="008A2FA6">
        <w:rPr>
          <w:rFonts w:ascii="Calibri" w:eastAsiaTheme="minorEastAsia" w:hAnsi="Calibri" w:cs="Calibri"/>
          <w:sz w:val="22"/>
          <w:szCs w:val="22"/>
        </w:rPr>
        <w:t>Teisminio proceso Nr. 3-61-3-02116-2018-4</w:t>
      </w:r>
    </w:p>
    <w:p w:rsidR="008A2FA6" w:rsidRPr="008A2FA6" w:rsidRDefault="008A2FA6" w:rsidP="00025BA1">
      <w:pPr>
        <w:jc w:val="both"/>
        <w:rPr>
          <w:rFonts w:ascii="Calibri" w:eastAsiaTheme="minorEastAsia" w:hAnsi="Calibri" w:cs="Calibri"/>
          <w:sz w:val="22"/>
          <w:szCs w:val="22"/>
        </w:rPr>
      </w:pPr>
      <w:r w:rsidRPr="008A2FA6">
        <w:rPr>
          <w:rFonts w:ascii="Calibri" w:eastAsiaTheme="minorEastAsia" w:hAnsi="Calibri" w:cs="Calibri"/>
          <w:sz w:val="22"/>
          <w:szCs w:val="22"/>
        </w:rPr>
        <w:t>Procesinio sprendimo kategorijos: 21.3.3; 22.7</w:t>
      </w:r>
    </w:p>
    <w:p w:rsidR="008A2FA6" w:rsidRPr="008A2FA6" w:rsidRDefault="004264B2" w:rsidP="00025BA1">
      <w:pPr>
        <w:jc w:val="both"/>
        <w:rPr>
          <w:rFonts w:ascii="Calibri" w:hAnsi="Calibri" w:cs="Calibri"/>
          <w:color w:val="000000"/>
          <w:sz w:val="22"/>
          <w:szCs w:val="22"/>
        </w:rPr>
      </w:pPr>
      <w:hyperlink r:id="rId15" w:history="1">
        <w:r w:rsidR="008A2FA6" w:rsidRPr="008A2FA6">
          <w:rPr>
            <w:rStyle w:val="Hipersaitas"/>
            <w:rFonts w:ascii="Calibri" w:eastAsiaTheme="minorEastAsia" w:hAnsi="Calibri" w:cs="Calibri"/>
            <w:sz w:val="22"/>
            <w:szCs w:val="22"/>
          </w:rPr>
          <w:t>Prieiga internete</w:t>
        </w:r>
      </w:hyperlink>
      <w:r w:rsidR="008A2FA6" w:rsidRPr="008A2FA6">
        <w:rPr>
          <w:rFonts w:ascii="Calibri" w:eastAsiaTheme="minorEastAsia" w:hAnsi="Calibri" w:cs="Calibri"/>
          <w:sz w:val="22"/>
          <w:szCs w:val="22"/>
        </w:rPr>
        <w:t xml:space="preserve"> </w:t>
      </w:r>
    </w:p>
    <w:p w:rsidR="00FB2CF2" w:rsidRDefault="00FB2CF2" w:rsidP="00025BA1">
      <w:pPr>
        <w:jc w:val="both"/>
        <w:rPr>
          <w:rFonts w:asciiTheme="minorHAnsi" w:hAnsiTheme="minorHAnsi" w:cstheme="minorHAnsi"/>
          <w:sz w:val="22"/>
          <w:szCs w:val="22"/>
        </w:rPr>
      </w:pPr>
    </w:p>
    <w:p w:rsidR="008A2FA6" w:rsidRPr="008A2FA6" w:rsidRDefault="008A2FA6" w:rsidP="00025BA1">
      <w:pPr>
        <w:pStyle w:val="Antrat2"/>
        <w:rPr>
          <w:i w:val="0"/>
        </w:rPr>
      </w:pPr>
      <w:bookmarkStart w:id="35" w:name="_Toc7451474"/>
      <w:r w:rsidRPr="008A2FA6">
        <w:t>Dėl pareigos siūlyti pareigas, kurioms užimti paskelbtas konkursas</w:t>
      </w:r>
      <w:bookmarkEnd w:id="35"/>
      <w:r w:rsidRPr="008A2FA6">
        <w:t xml:space="preserve"> </w:t>
      </w:r>
    </w:p>
    <w:p w:rsidR="008A2FA6" w:rsidRPr="008A2FA6" w:rsidRDefault="008A2FA6" w:rsidP="00025BA1">
      <w:pPr>
        <w:ind w:firstLine="567"/>
        <w:jc w:val="both"/>
        <w:rPr>
          <w:rFonts w:asciiTheme="minorHAnsi" w:eastAsiaTheme="minorEastAsia" w:hAnsiTheme="minorHAnsi" w:cstheme="minorHAnsi"/>
          <w:sz w:val="22"/>
          <w:szCs w:val="22"/>
        </w:rPr>
      </w:pP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Nagrinėtoje byloje ginčas kilo dėl Lietuvos aplinkos apsaugos investicijų fondo direktoriaus įsakymų, kuriais pareiškėjai buvo atleisti iš Lietuvos aplinkos apsaugos investicijų fonde užimamų pareigų, vadovaujantis Valstybės tarnybos įstatymo (toliau – VTĮ) 44 straipsnio 1 dalies 9 punktu, kai panaikinama valstybės tarnautojo pareigybė, teisėtumo ir pagrįstumo. Šalia kitų argumentų pareiškėjai nurodė, jog jiems nebuvo pasiūlytos Vandentvarkos skyriaus vyriausiojo specialisto pareigos, į kurias buvo paskelbtas ir vyko konkursas.</w:t>
      </w: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LVAT, remdamasis VTĮ 43 straipsnio 1 dalimi, 5 straipsniu, </w:t>
      </w:r>
      <w:r w:rsidR="005076B4">
        <w:rPr>
          <w:rFonts w:asciiTheme="minorHAnsi" w:eastAsiaTheme="minorEastAsia" w:hAnsiTheme="minorHAnsi" w:cstheme="minorHAnsi"/>
          <w:sz w:val="22"/>
          <w:szCs w:val="22"/>
        </w:rPr>
        <w:t>DK</w:t>
      </w:r>
      <w:r w:rsidRPr="008A2FA6">
        <w:rPr>
          <w:rFonts w:asciiTheme="minorHAnsi" w:eastAsiaTheme="minorEastAsia" w:hAnsiTheme="minorHAnsi" w:cstheme="minorHAnsi"/>
          <w:sz w:val="22"/>
          <w:szCs w:val="22"/>
        </w:rPr>
        <w:t xml:space="preserve"> 51 straipsnio 1 dalimi bei įvertinęs byloje surinktus įrodymus, konstatavo, kad </w:t>
      </w:r>
      <w:r w:rsidRPr="008A2FA6">
        <w:rPr>
          <w:rFonts w:asciiTheme="minorHAnsi" w:hAnsiTheme="minorHAnsi" w:cstheme="minorHAnsi"/>
          <w:color w:val="000000"/>
          <w:sz w:val="22"/>
          <w:szCs w:val="22"/>
        </w:rPr>
        <w:t xml:space="preserve">dviejų biudžetinių įstaigų reorganizavimo pagrindu vyko naujų struktūrų </w:t>
      </w:r>
      <w:r w:rsidRPr="008A2FA6">
        <w:rPr>
          <w:rFonts w:asciiTheme="minorHAnsi" w:hAnsiTheme="minorHAnsi" w:cstheme="minorHAnsi"/>
          <w:color w:val="000000"/>
          <w:sz w:val="22"/>
          <w:szCs w:val="22"/>
        </w:rPr>
        <w:lastRenderedPageBreak/>
        <w:t>formavimas įvertinant ir funkcijų įgyvendinimui reikalingus žmogiškuosius išteklius. B</w:t>
      </w:r>
      <w:r w:rsidRPr="008A2FA6">
        <w:rPr>
          <w:rFonts w:asciiTheme="minorHAnsi" w:eastAsiaTheme="minorEastAsia" w:hAnsiTheme="minorHAnsi" w:cstheme="minorHAnsi"/>
          <w:sz w:val="22"/>
          <w:szCs w:val="22"/>
        </w:rPr>
        <w:t xml:space="preserve">yloje nustatyta, kad pareiškėjams buvo siūloma vienintelė laisva pareigybė </w:t>
      </w:r>
      <w:r w:rsidRPr="008A2FA6">
        <w:rPr>
          <w:rFonts w:asciiTheme="minorHAnsi" w:hAnsiTheme="minorHAnsi" w:cstheme="minorHAnsi"/>
          <w:sz w:val="22"/>
          <w:szCs w:val="22"/>
        </w:rPr>
        <w:t xml:space="preserve">Aplinkos projektų valdymo agentūroje (toliau – </w:t>
      </w:r>
      <w:r w:rsidRPr="008A2FA6">
        <w:rPr>
          <w:rFonts w:asciiTheme="minorHAnsi" w:eastAsiaTheme="minorEastAsia" w:hAnsiTheme="minorHAnsi" w:cstheme="minorHAnsi"/>
          <w:sz w:val="22"/>
          <w:szCs w:val="22"/>
        </w:rPr>
        <w:t>APVA), kuri liko ir po įstaigų reorganizavimo. LVAT vertinimu, laisvų APVA buvusių pareigybių panaikinimas reorganizavimo metu sprendžiant dėl naujų struktūrų optimizavimo atsisakant neužimtų pareigybių negali būti v</w:t>
      </w:r>
      <w:r w:rsidR="005076B4">
        <w:rPr>
          <w:rFonts w:asciiTheme="minorHAnsi" w:eastAsiaTheme="minorEastAsia" w:hAnsiTheme="minorHAnsi" w:cstheme="minorHAnsi"/>
          <w:sz w:val="22"/>
          <w:szCs w:val="22"/>
        </w:rPr>
        <w:t>ertinamas</w:t>
      </w:r>
      <w:r w:rsidRPr="008A2FA6">
        <w:rPr>
          <w:rFonts w:asciiTheme="minorHAnsi" w:eastAsiaTheme="minorEastAsia" w:hAnsiTheme="minorHAnsi" w:cstheme="minorHAnsi"/>
          <w:sz w:val="22"/>
          <w:szCs w:val="22"/>
        </w:rPr>
        <w:t xml:space="preserve"> kaip pareiškėjų teisių, kylančių iš </w:t>
      </w:r>
      <w:r w:rsidR="005076B4">
        <w:rPr>
          <w:rFonts w:asciiTheme="minorHAnsi" w:eastAsiaTheme="minorEastAsia" w:hAnsiTheme="minorHAnsi" w:cstheme="minorHAnsi"/>
          <w:sz w:val="22"/>
          <w:szCs w:val="22"/>
        </w:rPr>
        <w:t>VTĮ</w:t>
      </w:r>
      <w:r w:rsidR="00FC4303">
        <w:rPr>
          <w:rFonts w:asciiTheme="minorHAnsi" w:eastAsiaTheme="minorEastAsia" w:hAnsiTheme="minorHAnsi" w:cstheme="minorHAnsi"/>
          <w:sz w:val="22"/>
          <w:szCs w:val="22"/>
        </w:rPr>
        <w:t xml:space="preserve"> </w:t>
      </w:r>
      <w:r w:rsidRPr="008A2FA6">
        <w:rPr>
          <w:rFonts w:asciiTheme="minorHAnsi" w:eastAsiaTheme="minorEastAsia" w:hAnsiTheme="minorHAnsi" w:cstheme="minorHAnsi"/>
          <w:sz w:val="22"/>
          <w:szCs w:val="22"/>
        </w:rPr>
        <w:t>43 straipsnio 1 dalies reikalavimų, pažeidimas. LVAT pažymėjo, kad VTĮ 43 straipsnio 1 dalis karjeros valstybės tarnautojui, kurio pareigybė naikinama, numato garantiją tik paskyrimą į kitas to paties lygio ir kategorijos ar žemesnės kategorijos (valstybės tarnautojo sutikimu) karjeros valstybės tarnautojo pareigas. Todėl siūlyti pareigybių, užimamų pagal darbo sutartį, nebuvo teisinio pagrindo.</w:t>
      </w: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Dėl pareiškėjams nepasiūlytų Vandentvarkos projektų skyriaus vyriausiojo specialisto pareigų LVAT pažymėjo, kad į šias pareigas konkursas vyko 2018 m. sausio 31 d. Pareiškėjai įspėjimo lapelius gavo 2018 m. sausio 29 d. Minėtų teisės normų pagrindu teisėjų kolegija konstatavo, kad </w:t>
      </w:r>
      <w:r w:rsidRPr="008A2FA6">
        <w:rPr>
          <w:rFonts w:asciiTheme="minorHAnsi" w:eastAsiaTheme="minorEastAsia" w:hAnsiTheme="minorHAnsi" w:cstheme="minorHAnsi"/>
          <w:sz w:val="22"/>
          <w:szCs w:val="22"/>
          <w:u w:val="single"/>
        </w:rPr>
        <w:t>konkursas turėjo būti nutrauktas vadovaujantis Konkursų į valstybės tarnautojo pareigas organizavimo tvarkos aprašo 24 punktu</w:t>
      </w:r>
      <w:r w:rsidRPr="008A2FA6">
        <w:rPr>
          <w:rFonts w:asciiTheme="minorHAnsi" w:eastAsiaTheme="minorEastAsia" w:hAnsiTheme="minorHAnsi" w:cstheme="minorHAnsi"/>
          <w:sz w:val="22"/>
          <w:szCs w:val="22"/>
        </w:rPr>
        <w:t>, nustatančiu, kad konkursą organizuojan</w:t>
      </w:r>
      <w:r w:rsidR="005076B4">
        <w:rPr>
          <w:rFonts w:asciiTheme="minorHAnsi" w:eastAsiaTheme="minorEastAsia" w:hAnsiTheme="minorHAnsi" w:cstheme="minorHAnsi"/>
          <w:sz w:val="22"/>
          <w:szCs w:val="22"/>
        </w:rPr>
        <w:t>ti įstaiga konkursą, paskelbtą minėto a</w:t>
      </w:r>
      <w:r w:rsidRPr="008A2FA6">
        <w:rPr>
          <w:rFonts w:asciiTheme="minorHAnsi" w:eastAsiaTheme="minorEastAsia" w:hAnsiTheme="minorHAnsi" w:cstheme="minorHAnsi"/>
          <w:sz w:val="22"/>
          <w:szCs w:val="22"/>
        </w:rPr>
        <w:t xml:space="preserve">prašo 20 punkte nustatyta tvarka, motyvuotu sprendimu gali atšaukti ne vėliau kaip likus vienai darbo dienai iki konkurso pradžios. Apie konkurso atšaukimą įstaiga nedelsdama praneša pretendentams, norintiems dalyvauti konkurse ir pateikusiems dokumentus konkursą organizuojančiai įstaigai, taip pat per Valstybės tarnybos valdymo informacinę sistemą Valstybės tarnybos departamentui. Apie konkurso atšaukimą paskelbiama Valstybės tarnybos departamento ir konkursą organizuojančios įstaigos interneto tinklalapiuose. Tai turėjo būti padaryta, </w:t>
      </w:r>
      <w:r w:rsidRPr="008A2FA6">
        <w:rPr>
          <w:rFonts w:asciiTheme="minorHAnsi" w:eastAsiaTheme="minorEastAsia" w:hAnsiTheme="minorHAnsi" w:cstheme="minorHAnsi"/>
          <w:sz w:val="22"/>
          <w:szCs w:val="22"/>
          <w:u w:val="single"/>
        </w:rPr>
        <w:t xml:space="preserve">nes, atsižvelgiant į šios pareigybės aprašą, pareiškėjas </w:t>
      </w:r>
      <w:bookmarkStart w:id="36" w:name="Buk_31"/>
      <w:r w:rsidRPr="008A2FA6">
        <w:rPr>
          <w:rFonts w:asciiTheme="minorHAnsi" w:eastAsiaTheme="minorEastAsia" w:hAnsiTheme="minorHAnsi" w:cstheme="minorHAnsi"/>
          <w:sz w:val="22"/>
          <w:szCs w:val="22"/>
          <w:u w:val="single"/>
        </w:rPr>
        <w:t xml:space="preserve">A. D. </w:t>
      </w:r>
      <w:bookmarkEnd w:id="36"/>
      <w:r w:rsidRPr="008A2FA6">
        <w:rPr>
          <w:rFonts w:asciiTheme="minorHAnsi" w:eastAsiaTheme="minorEastAsia" w:hAnsiTheme="minorHAnsi" w:cstheme="minorHAnsi"/>
          <w:sz w:val="22"/>
          <w:szCs w:val="22"/>
          <w:u w:val="single"/>
        </w:rPr>
        <w:t>atitiko visus reikalavimus ir jam turėjo būti siūloma užimti šias pareigas</w:t>
      </w:r>
      <w:r w:rsidRPr="008A2FA6">
        <w:rPr>
          <w:rFonts w:asciiTheme="minorHAnsi" w:eastAsiaTheme="minorEastAsia" w:hAnsiTheme="minorHAnsi" w:cstheme="minorHAnsi"/>
          <w:sz w:val="22"/>
          <w:szCs w:val="22"/>
        </w:rPr>
        <w:t xml:space="preserve">. Kitos pareiškėjos pareigybės specialiųjų reikalavimų neatitiko, todėl ši pareigybė joms neturėjo būti siūloma. Kadangi pareiškėjui </w:t>
      </w:r>
      <w:bookmarkStart w:id="37" w:name="Buk_54"/>
      <w:r w:rsidRPr="008A2FA6">
        <w:rPr>
          <w:rFonts w:asciiTheme="minorHAnsi" w:eastAsiaTheme="minorEastAsia" w:hAnsiTheme="minorHAnsi" w:cstheme="minorHAnsi"/>
          <w:sz w:val="22"/>
          <w:szCs w:val="22"/>
        </w:rPr>
        <w:t>A. D.</w:t>
      </w:r>
      <w:bookmarkEnd w:id="37"/>
      <w:r w:rsidRPr="008A2FA6">
        <w:rPr>
          <w:rFonts w:asciiTheme="minorHAnsi" w:eastAsiaTheme="minorEastAsia" w:hAnsiTheme="minorHAnsi" w:cstheme="minorHAnsi"/>
          <w:sz w:val="22"/>
          <w:szCs w:val="22"/>
        </w:rPr>
        <w:t xml:space="preserve"> nebuvo pasiūlytos laisvos žemesnės kategorijos pareigos, atleidimas pripažintas neteisėtu. </w:t>
      </w: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LVAT nutartimi pareiškėjo A. D. apeliacinis skundas tenkintas iš dalies, kitų pareiškėjų apeliacinis skundas atmestas. Pirmosios instancijos teismo sprendimas </w:t>
      </w:r>
      <w:r w:rsidR="001B5075">
        <w:rPr>
          <w:rFonts w:asciiTheme="minorHAnsi" w:eastAsiaTheme="minorEastAsia" w:hAnsiTheme="minorHAnsi" w:cstheme="minorHAnsi"/>
          <w:sz w:val="22"/>
          <w:szCs w:val="22"/>
        </w:rPr>
        <w:t>dėl pareiškėjo A. D. pakeistas –</w:t>
      </w:r>
      <w:r w:rsidRPr="008A2FA6">
        <w:rPr>
          <w:rFonts w:asciiTheme="minorHAnsi" w:eastAsiaTheme="minorEastAsia" w:hAnsiTheme="minorHAnsi" w:cstheme="minorHAnsi"/>
          <w:sz w:val="22"/>
          <w:szCs w:val="22"/>
        </w:rPr>
        <w:t xml:space="preserve"> sprendimo dalis, kuria atmestas pareiškėjo </w:t>
      </w:r>
      <w:bookmarkStart w:id="38" w:name="Buk_47"/>
      <w:r w:rsidRPr="008A2FA6">
        <w:rPr>
          <w:rFonts w:asciiTheme="minorHAnsi" w:eastAsiaTheme="minorEastAsia" w:hAnsiTheme="minorHAnsi" w:cstheme="minorHAnsi"/>
          <w:sz w:val="22"/>
          <w:szCs w:val="22"/>
        </w:rPr>
        <w:t xml:space="preserve">A. D. </w:t>
      </w:r>
      <w:bookmarkEnd w:id="38"/>
      <w:r w:rsidRPr="008A2FA6">
        <w:rPr>
          <w:rFonts w:asciiTheme="minorHAnsi" w:eastAsiaTheme="minorEastAsia" w:hAnsiTheme="minorHAnsi" w:cstheme="minorHAnsi"/>
          <w:sz w:val="22"/>
          <w:szCs w:val="22"/>
        </w:rPr>
        <w:t xml:space="preserve">skundas, panaikintas ir atsakovo įsakymas panaikintas, pareiškėjo atleidimas pripažintas neteisėtu. </w:t>
      </w:r>
    </w:p>
    <w:p w:rsidR="008A2FA6" w:rsidRPr="008A2FA6" w:rsidRDefault="008A2FA6" w:rsidP="00025BA1">
      <w:pPr>
        <w:ind w:firstLine="567"/>
        <w:jc w:val="both"/>
        <w:rPr>
          <w:rFonts w:asciiTheme="minorHAnsi" w:eastAsiaTheme="minorEastAsia" w:hAnsiTheme="minorHAnsi" w:cstheme="minorHAnsi"/>
          <w:sz w:val="22"/>
          <w:szCs w:val="22"/>
        </w:rPr>
      </w:pP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2019 m. vasario 20 d. nutartis administracinėje byloje Nr. A-2045-415/2019</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Teisminio proceso Nr. 3-61-3-01423-2018-4</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Procesinio sprendimo kategorijos: 21.3.7; 20.2.3.2 </w:t>
      </w:r>
    </w:p>
    <w:p w:rsidR="008A2FA6" w:rsidRPr="008A2FA6" w:rsidRDefault="004264B2" w:rsidP="00025BA1">
      <w:pPr>
        <w:jc w:val="both"/>
        <w:rPr>
          <w:rFonts w:asciiTheme="minorHAnsi" w:eastAsiaTheme="minorEastAsia" w:hAnsiTheme="minorHAnsi" w:cstheme="minorHAnsi"/>
          <w:sz w:val="22"/>
          <w:szCs w:val="22"/>
        </w:rPr>
      </w:pPr>
      <w:hyperlink r:id="rId16" w:history="1">
        <w:r w:rsidR="008A2FA6" w:rsidRPr="008A2FA6">
          <w:rPr>
            <w:rStyle w:val="Hipersaitas"/>
            <w:rFonts w:asciiTheme="minorHAnsi" w:eastAsiaTheme="minorEastAsia" w:hAnsiTheme="minorHAnsi" w:cstheme="minorHAnsi"/>
            <w:sz w:val="22"/>
            <w:szCs w:val="22"/>
          </w:rPr>
          <w:t>Prieiga internete</w:t>
        </w:r>
      </w:hyperlink>
      <w:r w:rsidR="008A2FA6" w:rsidRPr="008A2FA6">
        <w:rPr>
          <w:rFonts w:asciiTheme="minorHAnsi" w:eastAsiaTheme="minorEastAsia" w:hAnsiTheme="minorHAnsi" w:cstheme="minorHAnsi"/>
          <w:sz w:val="22"/>
          <w:szCs w:val="22"/>
        </w:rPr>
        <w:t xml:space="preserve"> </w:t>
      </w:r>
    </w:p>
    <w:p w:rsidR="008A2FA6" w:rsidRPr="008A2FA6" w:rsidRDefault="008A2FA6" w:rsidP="00025BA1">
      <w:pPr>
        <w:jc w:val="both"/>
        <w:rPr>
          <w:rFonts w:asciiTheme="minorHAnsi" w:eastAsiaTheme="minorEastAsia" w:hAnsiTheme="minorHAnsi" w:cstheme="minorHAnsi"/>
          <w:sz w:val="22"/>
          <w:szCs w:val="22"/>
        </w:rPr>
      </w:pPr>
    </w:p>
    <w:p w:rsidR="008A2FA6" w:rsidRPr="008A2FA6" w:rsidRDefault="008A2FA6" w:rsidP="00025BA1">
      <w:pPr>
        <w:ind w:firstLine="567"/>
        <w:jc w:val="both"/>
        <w:rPr>
          <w:rFonts w:asciiTheme="minorHAnsi" w:eastAsiaTheme="minorEastAsia" w:hAnsiTheme="minorHAnsi" w:cstheme="minorHAnsi"/>
          <w:b/>
          <w:sz w:val="22"/>
          <w:szCs w:val="22"/>
          <w:u w:val="single"/>
        </w:rPr>
      </w:pPr>
      <w:r w:rsidRPr="008A2FA6">
        <w:rPr>
          <w:rFonts w:asciiTheme="minorHAnsi" w:eastAsiaTheme="minorEastAsia" w:hAnsiTheme="minorHAnsi" w:cstheme="minorHAnsi"/>
          <w:b/>
          <w:sz w:val="22"/>
          <w:szCs w:val="22"/>
          <w:u w:val="single"/>
        </w:rPr>
        <w:t>22.7. Kiti su valstybės tarnyba susiję klausimai</w:t>
      </w:r>
    </w:p>
    <w:p w:rsidR="008A2FA6" w:rsidRPr="008A2FA6" w:rsidRDefault="008A2FA6" w:rsidP="00025BA1">
      <w:pPr>
        <w:ind w:firstLine="567"/>
        <w:jc w:val="both"/>
        <w:rPr>
          <w:rFonts w:asciiTheme="minorHAnsi" w:hAnsiTheme="minorHAnsi" w:cstheme="minorHAnsi"/>
          <w:sz w:val="22"/>
          <w:szCs w:val="22"/>
        </w:rPr>
      </w:pPr>
    </w:p>
    <w:p w:rsidR="008A2FA6" w:rsidRDefault="008A2FA6" w:rsidP="00025BA1">
      <w:pPr>
        <w:pStyle w:val="Antrat2"/>
      </w:pPr>
      <w:bookmarkStart w:id="39" w:name="_Toc7451475"/>
      <w:r>
        <w:t xml:space="preserve">Dėl </w:t>
      </w:r>
      <w:r w:rsidR="00203B59" w:rsidRPr="00203B59">
        <w:t>institucijos, kompete</w:t>
      </w:r>
      <w:r w:rsidR="00203B59">
        <w:t>n</w:t>
      </w:r>
      <w:r w:rsidR="00203B59" w:rsidRPr="00203B59">
        <w:t>tingos nagrinėti tarnybinius ginču</w:t>
      </w:r>
      <w:r w:rsidR="00FC4303">
        <w:t>s</w:t>
      </w:r>
      <w:bookmarkEnd w:id="39"/>
    </w:p>
    <w:p w:rsidR="008A2FA6" w:rsidRDefault="008A2FA6" w:rsidP="00025BA1">
      <w:pPr>
        <w:ind w:firstLine="567"/>
        <w:jc w:val="both"/>
        <w:rPr>
          <w:rFonts w:asciiTheme="minorHAnsi" w:eastAsiaTheme="minorEastAsia" w:hAnsiTheme="minorHAnsi" w:cstheme="minorHAnsi"/>
          <w:sz w:val="22"/>
          <w:szCs w:val="22"/>
        </w:rPr>
      </w:pPr>
    </w:p>
    <w:p w:rsidR="008A2FA6" w:rsidRPr="008A2FA6" w:rsidRDefault="009566DE" w:rsidP="00025BA1">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Aptariamoje</w:t>
      </w:r>
      <w:r w:rsidR="008A2FA6" w:rsidRPr="008A2FA6">
        <w:rPr>
          <w:rFonts w:asciiTheme="minorHAnsi" w:eastAsiaTheme="minorEastAsia" w:hAnsiTheme="minorHAnsi" w:cstheme="minorHAnsi"/>
          <w:sz w:val="22"/>
          <w:szCs w:val="22"/>
        </w:rPr>
        <w:t xml:space="preserve"> byloje ginčas kilo dėl Policijos departamento prie Lietuvos Respublikos vidaus reikalų ministerijos (toliau – Departamentas) rašto (rašte Departamentas nurodė, jog individualūs tarnybiniai ginčai nagrinėjami įstaigose sudarytose individualių ginčų komisijose arba teisme</w:t>
      </w:r>
      <w:r w:rsidR="007056D6">
        <w:rPr>
          <w:rFonts w:asciiTheme="minorHAnsi" w:eastAsiaTheme="minorEastAsia" w:hAnsiTheme="minorHAnsi" w:cstheme="minorHAnsi"/>
          <w:sz w:val="22"/>
          <w:szCs w:val="22"/>
        </w:rPr>
        <w:t>,</w:t>
      </w:r>
      <w:r w:rsidR="008A2FA6" w:rsidRPr="008A2FA6">
        <w:rPr>
          <w:rFonts w:asciiTheme="minorHAnsi" w:eastAsiaTheme="minorEastAsia" w:hAnsiTheme="minorHAnsi" w:cstheme="minorHAnsi"/>
          <w:sz w:val="22"/>
          <w:szCs w:val="22"/>
        </w:rPr>
        <w:t xml:space="preserve"> bei atsižvelgęs į tai, kad pareiškėjas turi teisę pasirinkti ginčą nagrinėjantį subjektą, grąžino nuspręsti dėl tolimesnio teisių gynimo būdo) teisėtumo ir pagrįstumo bei įpareigojimo atlikti veiksmus. Pareiškėjas apeliaciniame skunde nurodė, kad nesutinka su pirmosios instancijos teismo sprendimo dalimi, kuria teismas įpareigojo Departamentą iš naujo įvertinti Profesinės sąjungos prašymo priimtinumą, bei teigė, jog nei Vidaus tarnybos statute (toliau – Statutas), nei Lietuvos Respublikos vidaus reikalų ministro 2016 m. sausio 11 d. įsakymu Nr. 1V-13 patvirtintose Vidaus tarnybos sistemos pareigūnų tarnybos organizavimo taisyklėse (toliau – ir Taisyklės) nėra numatyta, kad individualūs tarnybiniai ginčai sprendžiami tik toje vidaus reikalų įstaigoje, kurioje pareigūnas tarnauja. </w:t>
      </w: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LVAT, įvertinęs Statuto 2 straipsnio 9 dalyje pateiktą sąvokos „vidaus reikalų statutinė įstaiga (toliau – vidaus reikalų įstaiga) apibrėžimą, 4 straipsnį, kuriame išvardintos vidaus reikalų įstaigos, konstatavo, kad šioje Statuto nuostatoje iš esmės yra įtvirtinta vidaus reikalų įstaigų sistema, o vidaus reikalų centrinės įstaigos, kitos vidaus reikalų įstaigos ir vidaus reikalų profesinio mokymo įstaigos sudaro vieningą vidaus reikalų sistemą, t. y., Statute vartojama sąvoka „vidaus reikalų įstaiga“ yra apibendrinanti, apimanti visas anksčiau minėtas vidaus r</w:t>
      </w:r>
      <w:r w:rsidR="00B348B8">
        <w:rPr>
          <w:rFonts w:asciiTheme="minorHAnsi" w:eastAsiaTheme="minorEastAsia" w:hAnsiTheme="minorHAnsi" w:cstheme="minorHAnsi"/>
          <w:sz w:val="22"/>
          <w:szCs w:val="22"/>
        </w:rPr>
        <w:t xml:space="preserve">eikalų įstaigų grupes (rūšis). </w:t>
      </w: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Teisėjų kolegija, įvertinusi Statuto 61 straipsnio 1 ir 2 dalis, konstatavo, kad šiose Statuto nuostatose aiškiai įtvirtinta, </w:t>
      </w:r>
      <w:r w:rsidR="0036064D">
        <w:rPr>
          <w:rFonts w:asciiTheme="minorHAnsi" w:eastAsiaTheme="minorEastAsia" w:hAnsiTheme="minorHAnsi" w:cstheme="minorHAnsi"/>
          <w:sz w:val="22"/>
          <w:szCs w:val="22"/>
        </w:rPr>
        <w:t>jog</w:t>
      </w:r>
      <w:r w:rsidRPr="008A2FA6">
        <w:rPr>
          <w:rFonts w:asciiTheme="minorHAnsi" w:eastAsiaTheme="minorEastAsia" w:hAnsiTheme="minorHAnsi" w:cstheme="minorHAnsi"/>
          <w:sz w:val="22"/>
          <w:szCs w:val="22"/>
        </w:rPr>
        <w:t xml:space="preserve"> </w:t>
      </w:r>
      <w:r w:rsidRPr="008A2FA6">
        <w:rPr>
          <w:rFonts w:asciiTheme="minorHAnsi" w:eastAsiaTheme="minorEastAsia" w:hAnsiTheme="minorHAnsi" w:cstheme="minorHAnsi"/>
          <w:sz w:val="22"/>
          <w:szCs w:val="22"/>
          <w:u w:val="single"/>
        </w:rPr>
        <w:t>individualūs tarnybiniai ginčai, išskyrus ginčus dėl pareigūno atleidimo iš vidaus tarnybos, gali būti sprendžiami ne teismo tvarka vidaus reikalų įstaigoje sudarytoje tarnybinių ginčų komisijoje</w:t>
      </w:r>
      <w:r w:rsidRPr="008A2FA6">
        <w:rPr>
          <w:rFonts w:asciiTheme="minorHAnsi" w:eastAsiaTheme="minorEastAsia" w:hAnsiTheme="minorHAnsi" w:cstheme="minorHAnsi"/>
          <w:sz w:val="22"/>
          <w:szCs w:val="22"/>
        </w:rPr>
        <w:t xml:space="preserve">. Įvertinus </w:t>
      </w:r>
      <w:r w:rsidRPr="008A2FA6">
        <w:rPr>
          <w:rFonts w:asciiTheme="minorHAnsi" w:eastAsiaTheme="minorEastAsia" w:hAnsiTheme="minorHAnsi" w:cstheme="minorHAnsi"/>
          <w:sz w:val="22"/>
          <w:szCs w:val="22"/>
        </w:rPr>
        <w:lastRenderedPageBreak/>
        <w:t xml:space="preserve">Statuto 2 straipsnio 9 dalies, 4 straipsnio, 61 straipsnio 1 ir 2 dalių normų prasmę, vadovaujantis sisteminiu, loginiu ir lingvistiniu teisės normų aiškinimo metodais, darytina išvada, </w:t>
      </w:r>
      <w:r w:rsidRPr="008A2FA6">
        <w:rPr>
          <w:rFonts w:asciiTheme="minorHAnsi" w:eastAsiaTheme="minorEastAsia" w:hAnsiTheme="minorHAnsi" w:cstheme="minorHAnsi"/>
          <w:sz w:val="22"/>
          <w:szCs w:val="22"/>
          <w:u w:val="single"/>
        </w:rPr>
        <w:t>jog kiekvienoje iš vidaus reikalų įstaigų statusą turinčių įstaigų sudaroma tarnybinių ginčų komisija, kuri ne teismo tvarka sprendžia tarp atitinkamos vidaus reikalų įstaigos ir tos įstaigos vidaus tarnybos sistemos pareigūnų kilusius individualaus pobūdžio tarnybinius ginčus</w:t>
      </w:r>
      <w:r w:rsidRPr="008A2FA6">
        <w:rPr>
          <w:rFonts w:asciiTheme="minorHAnsi" w:eastAsiaTheme="minorEastAsia" w:hAnsiTheme="minorHAnsi" w:cstheme="minorHAnsi"/>
          <w:sz w:val="22"/>
          <w:szCs w:val="22"/>
        </w:rPr>
        <w:t xml:space="preserve">. Priešingai nei teigia pareiškėjas, jokių kitų individualaus tarnybinio ginčo nagrinėjimo alternatyvų Statuto 61 straipsnio normos nereglamentuoja, t. y. Departamento tarnybinių ginčų komisijos kompetencijai nepriskirtinas nagrinėti </w:t>
      </w:r>
      <w:bookmarkStart w:id="40" w:name="Buk_10"/>
      <w:r w:rsidRPr="008A2FA6">
        <w:rPr>
          <w:rFonts w:asciiTheme="minorHAnsi" w:eastAsiaTheme="minorEastAsia" w:hAnsiTheme="minorHAnsi" w:cstheme="minorHAnsi"/>
          <w:sz w:val="22"/>
          <w:szCs w:val="22"/>
        </w:rPr>
        <w:t xml:space="preserve">E. S. </w:t>
      </w:r>
      <w:bookmarkEnd w:id="40"/>
      <w:r w:rsidRPr="008A2FA6">
        <w:rPr>
          <w:rFonts w:asciiTheme="minorHAnsi" w:eastAsiaTheme="minorEastAsia" w:hAnsiTheme="minorHAnsi" w:cstheme="minorHAnsi"/>
          <w:sz w:val="22"/>
          <w:szCs w:val="22"/>
        </w:rPr>
        <w:t xml:space="preserve">skundas/prašymas. LVAT konstatavo, kad pirmosios instancijos teismas, įvertinęs teisinį reguliavimą, padarė teisingą išvadą, </w:t>
      </w:r>
      <w:r w:rsidRPr="008A2FA6">
        <w:rPr>
          <w:rFonts w:asciiTheme="minorHAnsi" w:eastAsiaTheme="minorEastAsia" w:hAnsiTheme="minorHAnsi" w:cstheme="minorHAnsi"/>
          <w:sz w:val="22"/>
          <w:szCs w:val="22"/>
          <w:u w:val="single"/>
        </w:rPr>
        <w:t>jog iš Statuto 61 straipsnio 1 ir 2 dalių sektų, kad ginčai nagrinėjami ne bet kokiose įstaigose, o tose, kuriose pareigūnai atlieka tarnybą</w:t>
      </w:r>
      <w:r w:rsidRPr="008A2FA6">
        <w:rPr>
          <w:rFonts w:asciiTheme="minorHAnsi" w:eastAsiaTheme="minorEastAsia" w:hAnsiTheme="minorHAnsi" w:cstheme="minorHAnsi"/>
          <w:sz w:val="22"/>
          <w:szCs w:val="22"/>
        </w:rPr>
        <w:t xml:space="preserve"> (šiuo atveju – Vilniaus apskrities vyriausiajame policijos komisariate). </w:t>
      </w: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LVAT nutartimi pareiškėjo apeliacinis skundas atmestas, pirmosios instancijos teismo sprendimas paliktas nepakeistas.</w:t>
      </w:r>
    </w:p>
    <w:p w:rsidR="008A2FA6" w:rsidRPr="008A2FA6" w:rsidRDefault="008A2FA6" w:rsidP="00025BA1">
      <w:pPr>
        <w:ind w:firstLine="567"/>
        <w:jc w:val="both"/>
        <w:rPr>
          <w:rFonts w:asciiTheme="minorHAnsi" w:eastAsiaTheme="minorEastAsia" w:hAnsiTheme="minorHAnsi" w:cstheme="minorHAnsi"/>
          <w:sz w:val="22"/>
          <w:szCs w:val="22"/>
        </w:rPr>
      </w:pP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2019 m. vasario 14 d. nutartis administracinėje byloje Nr. A-786-662/2019</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Teisminio proceso Nr. 3-61-3-02091-2017-5</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Procesinio sprendimo kategorija 22.7</w:t>
      </w:r>
    </w:p>
    <w:p w:rsidR="008A2FA6" w:rsidRPr="008A2FA6" w:rsidRDefault="004264B2" w:rsidP="00025BA1">
      <w:pPr>
        <w:jc w:val="both"/>
        <w:rPr>
          <w:rFonts w:asciiTheme="minorHAnsi" w:eastAsiaTheme="minorEastAsia" w:hAnsiTheme="minorHAnsi" w:cstheme="minorHAnsi"/>
          <w:sz w:val="22"/>
          <w:szCs w:val="22"/>
        </w:rPr>
      </w:pPr>
      <w:hyperlink r:id="rId17" w:history="1">
        <w:r w:rsidR="008A2FA6" w:rsidRPr="008A2FA6">
          <w:rPr>
            <w:rStyle w:val="Hipersaitas"/>
            <w:rFonts w:asciiTheme="minorHAnsi" w:eastAsiaTheme="minorEastAsia" w:hAnsiTheme="minorHAnsi" w:cstheme="minorHAnsi"/>
            <w:sz w:val="22"/>
            <w:szCs w:val="22"/>
          </w:rPr>
          <w:t>Prieiga internete</w:t>
        </w:r>
      </w:hyperlink>
    </w:p>
    <w:p w:rsidR="008A2FA6" w:rsidRPr="008A2FA6" w:rsidRDefault="008A2FA6" w:rsidP="00025BA1">
      <w:pPr>
        <w:ind w:firstLine="567"/>
        <w:jc w:val="both"/>
        <w:rPr>
          <w:rFonts w:asciiTheme="minorHAnsi" w:hAnsiTheme="minorHAnsi" w:cstheme="minorHAnsi"/>
          <w:sz w:val="22"/>
          <w:szCs w:val="22"/>
        </w:rPr>
      </w:pPr>
    </w:p>
    <w:p w:rsidR="00EC0773" w:rsidRPr="00D3763B" w:rsidRDefault="00EC0773" w:rsidP="00025BA1">
      <w:pPr>
        <w:pStyle w:val="Apzvalgai1"/>
        <w:rPr>
          <w:rFonts w:asciiTheme="minorHAnsi" w:hAnsiTheme="minorHAnsi" w:cstheme="minorHAnsi"/>
        </w:rPr>
      </w:pPr>
      <w:bookmarkStart w:id="41" w:name="_Toc7451476"/>
      <w:r w:rsidRPr="00D3763B">
        <w:rPr>
          <w:rFonts w:asciiTheme="minorHAnsi" w:hAnsiTheme="minorHAnsi" w:cstheme="minorHAnsi"/>
        </w:rPr>
        <w:t>27. Visuomenės informavimas</w:t>
      </w:r>
      <w:bookmarkEnd w:id="41"/>
    </w:p>
    <w:p w:rsidR="00EC0773" w:rsidRPr="00D3763B" w:rsidRDefault="00EC0773" w:rsidP="00025BA1">
      <w:pPr>
        <w:ind w:firstLine="567"/>
        <w:jc w:val="both"/>
        <w:rPr>
          <w:rFonts w:asciiTheme="minorHAnsi" w:hAnsiTheme="minorHAnsi" w:cstheme="minorHAnsi"/>
          <w:i/>
          <w:sz w:val="22"/>
          <w:szCs w:val="22"/>
        </w:rPr>
      </w:pPr>
      <w:r>
        <w:rPr>
          <w:rFonts w:asciiTheme="minorHAnsi" w:hAnsiTheme="minorHAnsi" w:cstheme="minorHAnsi"/>
          <w:b/>
          <w:sz w:val="22"/>
          <w:szCs w:val="22"/>
          <w:u w:val="single"/>
        </w:rPr>
        <w:t>27.2</w:t>
      </w:r>
      <w:r w:rsidRPr="00D3763B">
        <w:rPr>
          <w:rFonts w:asciiTheme="minorHAnsi" w:hAnsiTheme="minorHAnsi" w:cstheme="minorHAnsi"/>
          <w:b/>
          <w:sz w:val="22"/>
          <w:szCs w:val="22"/>
          <w:u w:val="single"/>
        </w:rPr>
        <w:t xml:space="preserve">. </w:t>
      </w:r>
      <w:r>
        <w:rPr>
          <w:rFonts w:asciiTheme="minorHAnsi" w:hAnsiTheme="minorHAnsi" w:cstheme="minorHAnsi"/>
          <w:b/>
          <w:sz w:val="22"/>
          <w:szCs w:val="22"/>
          <w:u w:val="single"/>
        </w:rPr>
        <w:t>Lietuvos radijo ir televizijos komisijos</w:t>
      </w:r>
      <w:r w:rsidRPr="00D3763B">
        <w:rPr>
          <w:rFonts w:asciiTheme="minorHAnsi" w:hAnsiTheme="minorHAnsi" w:cstheme="minorHAnsi"/>
          <w:b/>
          <w:sz w:val="22"/>
          <w:szCs w:val="22"/>
          <w:u w:val="single"/>
        </w:rPr>
        <w:t xml:space="preserve"> sprendimai</w:t>
      </w:r>
    </w:p>
    <w:p w:rsidR="00EC0773" w:rsidRPr="00B542A0" w:rsidRDefault="00EC0773" w:rsidP="00025BA1">
      <w:pPr>
        <w:ind w:firstLine="567"/>
        <w:jc w:val="both"/>
        <w:rPr>
          <w:rFonts w:asciiTheme="minorHAnsi" w:hAnsiTheme="minorHAnsi" w:cstheme="minorHAnsi"/>
          <w:i/>
          <w:sz w:val="22"/>
          <w:szCs w:val="22"/>
        </w:rPr>
      </w:pPr>
    </w:p>
    <w:p w:rsidR="00EC0773" w:rsidRPr="00985325" w:rsidRDefault="00EC0773" w:rsidP="00025BA1">
      <w:pPr>
        <w:pStyle w:val="taltipfb"/>
        <w:shd w:val="clear" w:color="auto" w:fill="FFFFFF"/>
        <w:spacing w:before="0" w:beforeAutospacing="0" w:after="0" w:afterAutospacing="0"/>
        <w:jc w:val="both"/>
        <w:outlineLvl w:val="1"/>
        <w:rPr>
          <w:rFonts w:asciiTheme="minorHAnsi" w:hAnsiTheme="minorHAnsi" w:cstheme="minorHAnsi"/>
          <w:i/>
          <w:sz w:val="22"/>
          <w:szCs w:val="22"/>
        </w:rPr>
      </w:pPr>
      <w:bookmarkStart w:id="42" w:name="_Toc7451477"/>
      <w:r w:rsidRPr="00985325">
        <w:rPr>
          <w:rFonts w:asciiTheme="minorHAnsi" w:hAnsiTheme="minorHAnsi" w:cstheme="minorHAnsi"/>
          <w:i/>
          <w:sz w:val="22"/>
          <w:szCs w:val="22"/>
        </w:rPr>
        <w:t xml:space="preserve">Dėl </w:t>
      </w:r>
      <w:r w:rsidR="00985325" w:rsidRPr="00985325">
        <w:rPr>
          <w:rFonts w:asciiTheme="minorHAnsi" w:hAnsiTheme="minorHAnsi" w:cstheme="minorHAnsi"/>
          <w:i/>
          <w:sz w:val="22"/>
          <w:szCs w:val="22"/>
        </w:rPr>
        <w:t>Lietuvos radijo ir televizijos komisijos pareigos priimti sprendimą teisės aktų nustatyta tvarka, kai ūkio subjektas įpareigojamas nutraukti neteisėtą televizijos programų platinimo internete paslaugų teikimą</w:t>
      </w:r>
      <w:bookmarkEnd w:id="42"/>
    </w:p>
    <w:p w:rsidR="00EC0773" w:rsidRPr="00B542A0" w:rsidRDefault="00EC0773" w:rsidP="00025BA1">
      <w:pPr>
        <w:jc w:val="both"/>
        <w:rPr>
          <w:rFonts w:asciiTheme="minorHAnsi" w:hAnsiTheme="minorHAnsi" w:cstheme="minorHAnsi"/>
          <w:i/>
          <w:sz w:val="22"/>
          <w:szCs w:val="22"/>
          <w:highlight w:val="yellow"/>
        </w:rPr>
      </w:pPr>
    </w:p>
    <w:p w:rsidR="00EC0773" w:rsidRDefault="00EC0773" w:rsidP="00025BA1">
      <w:pPr>
        <w:pStyle w:val="Apzvalgai1"/>
        <w:ind w:firstLine="567"/>
        <w:outlineLvl w:val="9"/>
        <w:rPr>
          <w:rFonts w:asciiTheme="minorHAnsi" w:hAnsiTheme="minorHAnsi" w:cstheme="minorHAnsi"/>
          <w:b w:val="0"/>
          <w:u w:val="none"/>
          <w:lang w:eastAsia="en-US"/>
        </w:rPr>
      </w:pPr>
      <w:r w:rsidRPr="00AC7024">
        <w:rPr>
          <w:rFonts w:asciiTheme="minorHAnsi" w:hAnsiTheme="minorHAnsi" w:cstheme="minorHAnsi"/>
          <w:b w:val="0"/>
          <w:u w:val="none"/>
          <w:lang w:eastAsia="en-US"/>
        </w:rPr>
        <w:t>Pareiškėj</w:t>
      </w:r>
      <w:r>
        <w:rPr>
          <w:rFonts w:asciiTheme="minorHAnsi" w:hAnsiTheme="minorHAnsi" w:cstheme="minorHAnsi"/>
          <w:b w:val="0"/>
          <w:u w:val="none"/>
          <w:lang w:eastAsia="en-US"/>
        </w:rPr>
        <w:t xml:space="preserve">as Lietuvos </w:t>
      </w:r>
      <w:r w:rsidRPr="00AC7024">
        <w:rPr>
          <w:rFonts w:asciiTheme="minorHAnsi" w:hAnsiTheme="minorHAnsi" w:cstheme="minorHAnsi"/>
          <w:b w:val="0"/>
          <w:u w:val="none"/>
          <w:lang w:eastAsia="en-US"/>
        </w:rPr>
        <w:t xml:space="preserve">radijo ir televizijos komisija (toliau – ir </w:t>
      </w:r>
      <w:r>
        <w:rPr>
          <w:rFonts w:asciiTheme="minorHAnsi" w:hAnsiTheme="minorHAnsi" w:cstheme="minorHAnsi"/>
          <w:b w:val="0"/>
          <w:u w:val="none"/>
          <w:lang w:eastAsia="en-US"/>
        </w:rPr>
        <w:t>Komisija</w:t>
      </w:r>
      <w:r w:rsidRPr="00AC7024">
        <w:rPr>
          <w:rFonts w:asciiTheme="minorHAnsi" w:hAnsiTheme="minorHAnsi" w:cstheme="minorHAnsi"/>
          <w:b w:val="0"/>
          <w:u w:val="none"/>
          <w:lang w:eastAsia="en-US"/>
        </w:rPr>
        <w:t>) kreipėsi su prašymu į teismą, prašydamas įpareigoti SIA „Baltijas Mediju Aliance“</w:t>
      </w:r>
      <w:r>
        <w:rPr>
          <w:rFonts w:asciiTheme="minorHAnsi" w:hAnsiTheme="minorHAnsi" w:cstheme="minorHAnsi"/>
          <w:b w:val="0"/>
          <w:u w:val="none"/>
          <w:lang w:eastAsia="en-US"/>
        </w:rPr>
        <w:t xml:space="preserve"> (toliau – ir atsakovas)</w:t>
      </w:r>
      <w:r w:rsidRPr="00AC7024">
        <w:rPr>
          <w:rFonts w:asciiTheme="minorHAnsi" w:hAnsiTheme="minorHAnsi" w:cstheme="minorHAnsi"/>
          <w:b w:val="0"/>
          <w:u w:val="none"/>
          <w:lang w:eastAsia="en-US"/>
        </w:rPr>
        <w:t xml:space="preserve"> nutraukti neteisėtą televizijos programų platinimo internete paslaugų teikimą </w:t>
      </w:r>
      <w:r>
        <w:rPr>
          <w:rFonts w:asciiTheme="minorHAnsi" w:hAnsiTheme="minorHAnsi" w:cstheme="minorHAnsi"/>
          <w:b w:val="0"/>
          <w:u w:val="none"/>
          <w:lang w:eastAsia="en-US"/>
        </w:rPr>
        <w:t>L</w:t>
      </w:r>
      <w:r w:rsidR="00D77910">
        <w:rPr>
          <w:rFonts w:asciiTheme="minorHAnsi" w:hAnsiTheme="minorHAnsi" w:cstheme="minorHAnsi"/>
          <w:b w:val="0"/>
          <w:u w:val="none"/>
          <w:lang w:eastAsia="en-US"/>
        </w:rPr>
        <w:t xml:space="preserve">ietuvos </w:t>
      </w:r>
      <w:r>
        <w:rPr>
          <w:rFonts w:asciiTheme="minorHAnsi" w:hAnsiTheme="minorHAnsi" w:cstheme="minorHAnsi"/>
          <w:b w:val="0"/>
          <w:u w:val="none"/>
          <w:lang w:eastAsia="en-US"/>
        </w:rPr>
        <w:t>R</w:t>
      </w:r>
      <w:r w:rsidR="00D77910">
        <w:rPr>
          <w:rFonts w:asciiTheme="minorHAnsi" w:hAnsiTheme="minorHAnsi" w:cstheme="minorHAnsi"/>
          <w:b w:val="0"/>
          <w:u w:val="none"/>
          <w:lang w:eastAsia="en-US"/>
        </w:rPr>
        <w:t>espublikos</w:t>
      </w:r>
      <w:r w:rsidRPr="00AC7024">
        <w:rPr>
          <w:rFonts w:asciiTheme="minorHAnsi" w:hAnsiTheme="minorHAnsi" w:cstheme="minorHAnsi"/>
          <w:b w:val="0"/>
          <w:u w:val="none"/>
          <w:lang w:eastAsia="en-US"/>
        </w:rPr>
        <w:t xml:space="preserve"> vartotojams</w:t>
      </w:r>
      <w:r>
        <w:rPr>
          <w:rFonts w:asciiTheme="minorHAnsi" w:hAnsiTheme="minorHAnsi" w:cstheme="minorHAnsi"/>
          <w:b w:val="0"/>
          <w:u w:val="none"/>
          <w:lang w:eastAsia="en-US"/>
        </w:rPr>
        <w:t>. Nustačiusi, kad i</w:t>
      </w:r>
      <w:r w:rsidRPr="00AC7024">
        <w:rPr>
          <w:rFonts w:asciiTheme="minorHAnsi" w:hAnsiTheme="minorHAnsi" w:cstheme="minorHAnsi"/>
          <w:b w:val="0"/>
          <w:u w:val="none"/>
          <w:lang w:eastAsia="en-US"/>
        </w:rPr>
        <w:t xml:space="preserve">nterneto svetainėje www.tvdom.tv </w:t>
      </w:r>
      <w:r w:rsidR="00D77910">
        <w:rPr>
          <w:rFonts w:asciiTheme="minorHAnsi" w:hAnsiTheme="minorHAnsi" w:cstheme="minorHAnsi"/>
          <w:b w:val="0"/>
          <w:u w:val="none"/>
          <w:lang w:eastAsia="en-US"/>
        </w:rPr>
        <w:t>Lietuvos Respublikos</w:t>
      </w:r>
      <w:r w:rsidR="00D77910" w:rsidRPr="00AC7024">
        <w:rPr>
          <w:rFonts w:asciiTheme="minorHAnsi" w:hAnsiTheme="minorHAnsi" w:cstheme="minorHAnsi"/>
          <w:b w:val="0"/>
          <w:u w:val="none"/>
          <w:lang w:eastAsia="en-US"/>
        </w:rPr>
        <w:t xml:space="preserve"> </w:t>
      </w:r>
      <w:r w:rsidRPr="00AC7024">
        <w:rPr>
          <w:rFonts w:asciiTheme="minorHAnsi" w:hAnsiTheme="minorHAnsi" w:cstheme="minorHAnsi"/>
          <w:b w:val="0"/>
          <w:u w:val="none"/>
          <w:lang w:eastAsia="en-US"/>
        </w:rPr>
        <w:t>vartotojams teikiamos televizijos programų platinimo internete paslaugos</w:t>
      </w:r>
      <w:r>
        <w:rPr>
          <w:rFonts w:asciiTheme="minorHAnsi" w:hAnsiTheme="minorHAnsi" w:cstheme="minorHAnsi"/>
          <w:b w:val="0"/>
          <w:u w:val="none"/>
          <w:lang w:eastAsia="en-US"/>
        </w:rPr>
        <w:t>, Komisija kelis kartus</w:t>
      </w:r>
      <w:r w:rsidRPr="00AC7024">
        <w:rPr>
          <w:rFonts w:asciiTheme="minorHAnsi" w:hAnsiTheme="minorHAnsi" w:cstheme="minorHAnsi"/>
          <w:b w:val="0"/>
          <w:u w:val="none"/>
          <w:lang w:eastAsia="en-US"/>
        </w:rPr>
        <w:t xml:space="preserve"> raštu kreipėsi į atsakovą, prašydama nedelsiant, bet ne vėliau kaip iki </w:t>
      </w:r>
      <w:r>
        <w:rPr>
          <w:rFonts w:asciiTheme="minorHAnsi" w:hAnsiTheme="minorHAnsi" w:cstheme="minorHAnsi"/>
          <w:b w:val="0"/>
          <w:u w:val="none"/>
          <w:lang w:eastAsia="en-US"/>
        </w:rPr>
        <w:t>nurodyto termino</w:t>
      </w:r>
      <w:r w:rsidRPr="00AC7024">
        <w:rPr>
          <w:rFonts w:asciiTheme="minorHAnsi" w:hAnsiTheme="minorHAnsi" w:cstheme="minorHAnsi"/>
          <w:b w:val="0"/>
          <w:u w:val="none"/>
          <w:lang w:eastAsia="en-US"/>
        </w:rPr>
        <w:t xml:space="preserve">, pateikti pranešimą apie nelicencijuojamos televizijos programų platinimo internete paslaugų teikimo </w:t>
      </w:r>
      <w:r w:rsidR="00D77910">
        <w:rPr>
          <w:rFonts w:asciiTheme="minorHAnsi" w:hAnsiTheme="minorHAnsi" w:cstheme="minorHAnsi"/>
          <w:b w:val="0"/>
          <w:u w:val="none"/>
          <w:lang w:eastAsia="en-US"/>
        </w:rPr>
        <w:t>Lietuvos Respublikos</w:t>
      </w:r>
      <w:r w:rsidR="00D77910" w:rsidRPr="00AC7024">
        <w:rPr>
          <w:rFonts w:asciiTheme="minorHAnsi" w:hAnsiTheme="minorHAnsi" w:cstheme="minorHAnsi"/>
          <w:b w:val="0"/>
          <w:u w:val="none"/>
          <w:lang w:eastAsia="en-US"/>
        </w:rPr>
        <w:t xml:space="preserve"> </w:t>
      </w:r>
      <w:r w:rsidRPr="00AC7024">
        <w:rPr>
          <w:rFonts w:asciiTheme="minorHAnsi" w:hAnsiTheme="minorHAnsi" w:cstheme="minorHAnsi"/>
          <w:b w:val="0"/>
          <w:u w:val="none"/>
          <w:lang w:eastAsia="en-US"/>
        </w:rPr>
        <w:t>vartotojams veiklos pradžią</w:t>
      </w:r>
      <w:r>
        <w:rPr>
          <w:rFonts w:asciiTheme="minorHAnsi" w:hAnsiTheme="minorHAnsi" w:cstheme="minorHAnsi"/>
          <w:b w:val="0"/>
          <w:u w:val="none"/>
          <w:lang w:eastAsia="en-US"/>
        </w:rPr>
        <w:t>, taip pat atliko faktinių aplinkybių konstatavimą dėl interneto svetainėje teikiamų paslaugų, kurio rezultatus užfiksavo faktinių aplinkybių konstatavimo protokole</w:t>
      </w:r>
      <w:r w:rsidRPr="00AC7024">
        <w:rPr>
          <w:rFonts w:asciiTheme="minorHAnsi" w:hAnsiTheme="minorHAnsi" w:cstheme="minorHAnsi"/>
          <w:b w:val="0"/>
          <w:u w:val="none"/>
          <w:lang w:eastAsia="en-US"/>
        </w:rPr>
        <w:t>.</w:t>
      </w:r>
      <w:r>
        <w:rPr>
          <w:rFonts w:asciiTheme="minorHAnsi" w:hAnsiTheme="minorHAnsi" w:cstheme="minorHAnsi"/>
          <w:b w:val="0"/>
          <w:u w:val="none"/>
          <w:lang w:eastAsia="en-US"/>
        </w:rPr>
        <w:t xml:space="preserve"> </w:t>
      </w:r>
      <w:r w:rsidRPr="00AC7024">
        <w:rPr>
          <w:rFonts w:asciiTheme="minorHAnsi" w:hAnsiTheme="minorHAnsi" w:cstheme="minorHAnsi"/>
          <w:b w:val="0"/>
          <w:u w:val="none"/>
          <w:lang w:eastAsia="en-US"/>
        </w:rPr>
        <w:t>Atsakovui iki nustatyto termino pranešimo nepateikus</w:t>
      </w:r>
      <w:r>
        <w:rPr>
          <w:rFonts w:asciiTheme="minorHAnsi" w:hAnsiTheme="minorHAnsi" w:cstheme="minorHAnsi"/>
          <w:b w:val="0"/>
          <w:u w:val="none"/>
          <w:lang w:eastAsia="en-US"/>
        </w:rPr>
        <w:t xml:space="preserve">, Komisija kreipėsi į tesimą. Atsakovas teigė, kad nepatenka į </w:t>
      </w:r>
      <w:r w:rsidR="00D77910">
        <w:rPr>
          <w:rFonts w:asciiTheme="minorHAnsi" w:hAnsiTheme="minorHAnsi" w:cstheme="minorHAnsi"/>
          <w:b w:val="0"/>
          <w:u w:val="none"/>
          <w:lang w:eastAsia="en-US"/>
        </w:rPr>
        <w:t>Lietuvos Respublikos</w:t>
      </w:r>
      <w:r w:rsidR="00D77910" w:rsidRPr="00AC7024">
        <w:rPr>
          <w:rFonts w:asciiTheme="minorHAnsi" w:hAnsiTheme="minorHAnsi" w:cstheme="minorHAnsi"/>
          <w:b w:val="0"/>
          <w:u w:val="none"/>
          <w:lang w:eastAsia="en-US"/>
        </w:rPr>
        <w:t xml:space="preserve"> </w:t>
      </w:r>
      <w:r>
        <w:rPr>
          <w:rFonts w:asciiTheme="minorHAnsi" w:hAnsiTheme="minorHAnsi" w:cstheme="minorHAnsi"/>
          <w:b w:val="0"/>
          <w:u w:val="none"/>
          <w:lang w:eastAsia="en-US"/>
        </w:rPr>
        <w:t>jurisdikciją, nes yra įsisteigęs Latvijoje, Komisijos reikalavimas pažeidžia pagrindines ES nuostatas ir siekia riboti laisvą paslaugą judėjimą tarp valstybių narių, be to, jis pateiktas nesilaikant jokių procedūrinių taisyklių. Pirmosios instancijos teismas Komisijos prašymą tenkino.</w:t>
      </w:r>
    </w:p>
    <w:p w:rsidR="00EC0773" w:rsidRPr="003B6A71" w:rsidRDefault="00EC0773" w:rsidP="00025BA1">
      <w:pPr>
        <w:pStyle w:val="prastasiniatinklio"/>
        <w:spacing w:before="0" w:beforeAutospacing="0" w:after="0" w:afterAutospacing="0"/>
        <w:ind w:firstLine="567"/>
        <w:jc w:val="both"/>
        <w:rPr>
          <w:rFonts w:asciiTheme="minorHAnsi" w:hAnsiTheme="minorHAnsi" w:cstheme="minorHAnsi"/>
          <w:sz w:val="22"/>
          <w:szCs w:val="22"/>
          <w:lang w:val="lt-LT"/>
        </w:rPr>
      </w:pPr>
      <w:r w:rsidRPr="003B6A71">
        <w:rPr>
          <w:rFonts w:asciiTheme="minorHAnsi" w:hAnsiTheme="minorHAnsi" w:cstheme="minorHAnsi"/>
          <w:sz w:val="22"/>
          <w:szCs w:val="22"/>
          <w:lang w:val="lt-LT"/>
        </w:rPr>
        <w:t xml:space="preserve">Įvertinusi </w:t>
      </w:r>
      <w:r>
        <w:rPr>
          <w:rFonts w:asciiTheme="minorHAnsi" w:hAnsiTheme="minorHAnsi" w:cstheme="minorHAnsi"/>
          <w:sz w:val="22"/>
          <w:szCs w:val="22"/>
          <w:lang w:val="lt-LT"/>
        </w:rPr>
        <w:t>V</w:t>
      </w:r>
      <w:r w:rsidRPr="003B6A71">
        <w:rPr>
          <w:rFonts w:asciiTheme="minorHAnsi" w:hAnsiTheme="minorHAnsi" w:cstheme="minorHAnsi"/>
          <w:sz w:val="22"/>
          <w:szCs w:val="22"/>
          <w:lang w:val="lt-LT"/>
        </w:rPr>
        <w:t>isuomenės informavimo įstatymo</w:t>
      </w:r>
      <w:r>
        <w:rPr>
          <w:rFonts w:asciiTheme="minorHAnsi" w:hAnsiTheme="minorHAnsi" w:cstheme="minorHAnsi"/>
          <w:sz w:val="22"/>
          <w:szCs w:val="22"/>
          <w:lang w:val="lt-LT"/>
        </w:rPr>
        <w:t xml:space="preserve"> (toliau – ir Įstatymas)</w:t>
      </w:r>
      <w:r w:rsidRPr="003B6A71">
        <w:rPr>
          <w:rFonts w:asciiTheme="minorHAnsi" w:hAnsiTheme="minorHAnsi" w:cstheme="minorHAnsi"/>
          <w:sz w:val="22"/>
          <w:szCs w:val="22"/>
          <w:lang w:val="lt-LT"/>
        </w:rPr>
        <w:t xml:space="preserve"> normas</w:t>
      </w:r>
      <w:r w:rsidR="00D77910">
        <w:rPr>
          <w:rFonts w:asciiTheme="minorHAnsi" w:hAnsiTheme="minorHAnsi" w:cstheme="minorHAnsi"/>
          <w:sz w:val="22"/>
          <w:szCs w:val="22"/>
          <w:lang w:val="lt-LT"/>
        </w:rPr>
        <w:t>,</w:t>
      </w:r>
      <w:r w:rsidRPr="003B6A71">
        <w:rPr>
          <w:rFonts w:asciiTheme="minorHAnsi" w:hAnsiTheme="minorHAnsi" w:cstheme="minorHAnsi"/>
          <w:sz w:val="22"/>
          <w:szCs w:val="22"/>
          <w:lang w:val="lt-LT"/>
        </w:rPr>
        <w:t xml:space="preserve"> teisėjų kolegija paaiškino, kad </w:t>
      </w:r>
      <w:bookmarkStart w:id="43" w:name="p5"/>
      <w:r w:rsidRPr="003B6A71">
        <w:rPr>
          <w:rFonts w:asciiTheme="minorHAnsi" w:hAnsiTheme="minorHAnsi" w:cstheme="minorHAnsi"/>
          <w:sz w:val="22"/>
          <w:szCs w:val="22"/>
          <w:lang w:val="lt-LT"/>
        </w:rPr>
        <w:t>Komisijos teisės kreiptis su prašymu į Vilniaus apygardos administracinį teismą įgyvendinimas yra detalizuojamas ir kitomis šio straipsnio normomis, </w:t>
      </w:r>
      <w:r w:rsidRPr="003B6A71">
        <w:rPr>
          <w:rFonts w:asciiTheme="minorHAnsi" w:hAnsiTheme="minorHAnsi" w:cstheme="minorHAnsi"/>
          <w:i/>
          <w:sz w:val="22"/>
          <w:szCs w:val="22"/>
          <w:lang w:val="lt-LT"/>
        </w:rPr>
        <w:t>inter alia</w:t>
      </w:r>
      <w:r>
        <w:rPr>
          <w:rFonts w:asciiTheme="minorHAnsi" w:hAnsiTheme="minorHAnsi" w:cstheme="minorHAnsi"/>
          <w:sz w:val="22"/>
          <w:szCs w:val="22"/>
          <w:lang w:val="lt-LT"/>
        </w:rPr>
        <w:t xml:space="preserve"> </w:t>
      </w:r>
      <w:r w:rsidRPr="003B6A71">
        <w:rPr>
          <w:rFonts w:asciiTheme="minorHAnsi" w:hAnsiTheme="minorHAnsi" w:cstheme="minorHAnsi"/>
          <w:sz w:val="22"/>
          <w:szCs w:val="22"/>
          <w:lang w:val="lt-LT"/>
        </w:rPr>
        <w:t>48 straipsnio 10 dalimi, kurioje nurodyta ne tik pareiga priimti sprendimą dėl šio straipsnio poveikio priemonių taikymo, bet ir tai, kad prieš priimdama sprendimą Komisija suinteresuotiems asmenims raštu pateikia tyrimo išvadas ir sudaro galimybes raštu pateikti savo paaiškinimus</w:t>
      </w:r>
      <w:r>
        <w:rPr>
          <w:rFonts w:asciiTheme="minorHAnsi" w:hAnsiTheme="minorHAnsi" w:cstheme="minorHAnsi"/>
          <w:sz w:val="22"/>
          <w:szCs w:val="22"/>
          <w:lang w:val="lt-LT"/>
        </w:rPr>
        <w:t>;</w:t>
      </w:r>
      <w:r w:rsidRPr="003B6A71">
        <w:rPr>
          <w:rFonts w:asciiTheme="minorHAnsi" w:hAnsiTheme="minorHAnsi" w:cstheme="minorHAnsi"/>
          <w:sz w:val="22"/>
          <w:szCs w:val="22"/>
          <w:lang w:val="lt-LT"/>
        </w:rPr>
        <w:t xml:space="preserve"> 48 straipsnio 2 dalimi įtvirtinta, kad Komisija gali taikyti nurodytas poveikio priemones šio Įstatymo nustatyta tvarka atlikusi tyrimą</w:t>
      </w:r>
      <w:r>
        <w:rPr>
          <w:rFonts w:asciiTheme="minorHAnsi" w:hAnsiTheme="minorHAnsi" w:cstheme="minorHAnsi"/>
          <w:sz w:val="22"/>
          <w:szCs w:val="22"/>
          <w:lang w:val="lt-LT"/>
        </w:rPr>
        <w:t>;</w:t>
      </w:r>
      <w:r w:rsidRPr="003B6A71">
        <w:rPr>
          <w:rFonts w:asciiTheme="minorHAnsi" w:hAnsiTheme="minorHAnsi" w:cstheme="minorHAnsi"/>
          <w:sz w:val="22"/>
          <w:szCs w:val="22"/>
          <w:lang w:val="lt-LT"/>
        </w:rPr>
        <w:t xml:space="preserve"> 11–12 dalys detalizuoja pažeidimu įtariamų asmenų teisę susipažinti su tyrimo bylos medžiaga ir duoti paaiškinimus bei būti išklausytiems Komisijos posėdžio metu. </w:t>
      </w:r>
      <w:r>
        <w:rPr>
          <w:rFonts w:asciiTheme="minorHAnsi" w:hAnsiTheme="minorHAnsi" w:cstheme="minorHAnsi"/>
          <w:sz w:val="22"/>
          <w:szCs w:val="22"/>
          <w:lang w:val="lt-LT"/>
        </w:rPr>
        <w:t>I</w:t>
      </w:r>
      <w:r w:rsidRPr="003B6A71">
        <w:rPr>
          <w:rFonts w:asciiTheme="minorHAnsi" w:hAnsiTheme="minorHAnsi" w:cstheme="minorHAnsi"/>
          <w:sz w:val="22"/>
          <w:szCs w:val="22"/>
          <w:lang w:val="lt-LT"/>
        </w:rPr>
        <w:t xml:space="preserve">š šių nuostatų </w:t>
      </w:r>
      <w:r>
        <w:rPr>
          <w:rFonts w:asciiTheme="minorHAnsi" w:hAnsiTheme="minorHAnsi" w:cstheme="minorHAnsi"/>
          <w:sz w:val="22"/>
          <w:szCs w:val="22"/>
          <w:lang w:val="lt-LT"/>
        </w:rPr>
        <w:t>padaryta</w:t>
      </w:r>
      <w:r w:rsidRPr="003B6A71">
        <w:rPr>
          <w:rFonts w:asciiTheme="minorHAnsi" w:hAnsiTheme="minorHAnsi" w:cstheme="minorHAnsi"/>
          <w:sz w:val="22"/>
          <w:szCs w:val="22"/>
          <w:lang w:val="lt-LT"/>
        </w:rPr>
        <w:t xml:space="preserve"> išvada, jog </w:t>
      </w:r>
      <w:r w:rsidRPr="00B77ED3">
        <w:rPr>
          <w:rFonts w:asciiTheme="minorHAnsi" w:hAnsiTheme="minorHAnsi" w:cstheme="minorHAnsi"/>
          <w:sz w:val="22"/>
          <w:szCs w:val="22"/>
          <w:u w:val="single"/>
          <w:lang w:val="lt-LT"/>
        </w:rPr>
        <w:t>viena iš būtinų sąlygų Komisijos kreipimuisi su prašymu į teismą yra tyrimo atlikimas Įstatymo nustatyta tvarka ir terminais.</w:t>
      </w:r>
    </w:p>
    <w:p w:rsidR="00EC0773" w:rsidRPr="003B6A71" w:rsidRDefault="00EC0773" w:rsidP="00025BA1">
      <w:pPr>
        <w:pStyle w:val="prastasiniatinklio"/>
        <w:spacing w:before="0" w:beforeAutospacing="0" w:after="0" w:afterAutospacing="0"/>
        <w:ind w:firstLine="567"/>
        <w:jc w:val="both"/>
        <w:rPr>
          <w:rFonts w:asciiTheme="minorHAnsi" w:hAnsiTheme="minorHAnsi" w:cstheme="minorHAnsi"/>
          <w:sz w:val="22"/>
          <w:szCs w:val="22"/>
          <w:lang w:val="lt-LT"/>
        </w:rPr>
      </w:pPr>
      <w:r w:rsidRPr="003B6A71">
        <w:rPr>
          <w:rFonts w:asciiTheme="minorHAnsi" w:hAnsiTheme="minorHAnsi" w:cstheme="minorHAnsi"/>
          <w:sz w:val="22"/>
          <w:szCs w:val="22"/>
          <w:lang w:val="lt-LT"/>
        </w:rPr>
        <w:t xml:space="preserve">Sistemiškai bei lingvistiškai įvertinusi Įstatymo normas, teisėjų kolegija </w:t>
      </w:r>
      <w:r>
        <w:rPr>
          <w:rFonts w:asciiTheme="minorHAnsi" w:hAnsiTheme="minorHAnsi" w:cstheme="minorHAnsi"/>
          <w:sz w:val="22"/>
          <w:szCs w:val="22"/>
          <w:lang w:val="lt-LT"/>
        </w:rPr>
        <w:t>nusprendė</w:t>
      </w:r>
      <w:r w:rsidRPr="003B6A71">
        <w:rPr>
          <w:rFonts w:asciiTheme="minorHAnsi" w:hAnsiTheme="minorHAnsi" w:cstheme="minorHAnsi"/>
          <w:sz w:val="22"/>
          <w:szCs w:val="22"/>
          <w:lang w:val="lt-LT"/>
        </w:rPr>
        <w:t xml:space="preserve">, jog </w:t>
      </w:r>
      <w:r w:rsidRPr="00B77ED3">
        <w:rPr>
          <w:rFonts w:asciiTheme="minorHAnsi" w:hAnsiTheme="minorHAnsi" w:cstheme="minorHAnsi"/>
          <w:sz w:val="22"/>
          <w:szCs w:val="22"/>
          <w:u w:val="single"/>
          <w:lang w:val="lt-LT"/>
        </w:rPr>
        <w:t>nėra pagrindo sutikti su argumentais, kad Įstatymo 48 straipsnio teisinis reguliavimas nesuponuoja jokio administracinio akto priėmimo būtinumo.</w:t>
      </w:r>
      <w:r w:rsidRPr="003B6A71">
        <w:rPr>
          <w:rFonts w:asciiTheme="minorHAnsi" w:hAnsiTheme="minorHAnsi" w:cstheme="minorHAnsi"/>
          <w:sz w:val="22"/>
          <w:szCs w:val="22"/>
          <w:lang w:val="lt-LT"/>
        </w:rPr>
        <w:t> Pirma, Įstatymo 48 straipsnio 10 dalimi </w:t>
      </w:r>
      <w:r w:rsidRPr="003B6A71">
        <w:rPr>
          <w:rFonts w:asciiTheme="minorHAnsi" w:hAnsiTheme="minorHAnsi" w:cstheme="minorHAnsi"/>
          <w:i/>
          <w:sz w:val="22"/>
          <w:szCs w:val="22"/>
          <w:lang w:val="lt-LT"/>
        </w:rPr>
        <w:t>expressis verbis</w:t>
      </w:r>
      <w:r w:rsidRPr="003B6A71">
        <w:rPr>
          <w:rFonts w:asciiTheme="minorHAnsi" w:hAnsiTheme="minorHAnsi" w:cstheme="minorHAnsi"/>
          <w:sz w:val="22"/>
          <w:szCs w:val="22"/>
          <w:lang w:val="lt-LT"/>
        </w:rPr>
        <w:t> įtvirtinta Komisijos pareiga dėl poveikio priemonių taikymo a</w:t>
      </w:r>
      <w:r w:rsidR="001002EB">
        <w:rPr>
          <w:rFonts w:asciiTheme="minorHAnsi" w:hAnsiTheme="minorHAnsi" w:cstheme="minorHAnsi"/>
          <w:sz w:val="22"/>
          <w:szCs w:val="22"/>
          <w:lang w:val="lt-LT"/>
        </w:rPr>
        <w:t>tlikus tyrimą priimti sprendimą</w:t>
      </w:r>
      <w:r w:rsidRPr="003B6A71">
        <w:rPr>
          <w:rFonts w:asciiTheme="minorHAnsi" w:hAnsiTheme="minorHAnsi" w:cstheme="minorHAnsi"/>
          <w:sz w:val="22"/>
          <w:szCs w:val="22"/>
          <w:lang w:val="lt-LT"/>
        </w:rPr>
        <w:t xml:space="preserve"> bei tokio sprendimo priėmimo</w:t>
      </w:r>
      <w:r w:rsidR="001002EB" w:rsidRPr="001002EB">
        <w:rPr>
          <w:color w:val="000000"/>
          <w:lang w:val="lt-LT" w:eastAsia="lt-LT"/>
        </w:rPr>
        <w:t xml:space="preserve"> </w:t>
      </w:r>
      <w:r w:rsidR="001002EB" w:rsidRPr="001002EB">
        <w:rPr>
          <w:rFonts w:asciiTheme="minorHAnsi" w:hAnsiTheme="minorHAnsi" w:cstheme="minorHAnsi"/>
          <w:sz w:val="22"/>
          <w:szCs w:val="22"/>
          <w:lang w:val="lt-LT"/>
        </w:rPr>
        <w:t>terminas – 20 darbo dienų nuo tyrimo pradžios</w:t>
      </w:r>
      <w:r w:rsidRPr="003B6A71">
        <w:rPr>
          <w:rFonts w:asciiTheme="minorHAnsi" w:hAnsiTheme="minorHAnsi" w:cstheme="minorHAnsi"/>
          <w:sz w:val="22"/>
          <w:szCs w:val="22"/>
          <w:lang w:val="lt-LT"/>
        </w:rPr>
        <w:t>. Be to, prieš priimdama šį sprendimą Komisija turi suinteresuotiesiems asmenims raštu pateikti tyrimo išvadas ir sudaryti galimybes pateikti savo paaiškinimus. </w:t>
      </w:r>
      <w:r>
        <w:rPr>
          <w:rFonts w:asciiTheme="minorHAnsi" w:hAnsiTheme="minorHAnsi" w:cstheme="minorHAnsi"/>
          <w:sz w:val="22"/>
          <w:szCs w:val="22"/>
          <w:lang w:val="lt-LT"/>
        </w:rPr>
        <w:t>Antra, v</w:t>
      </w:r>
      <w:r w:rsidRPr="003B6A71">
        <w:rPr>
          <w:rFonts w:asciiTheme="minorHAnsi" w:hAnsiTheme="minorHAnsi" w:cstheme="minorHAnsi"/>
          <w:sz w:val="22"/>
          <w:szCs w:val="22"/>
          <w:lang w:val="lt-LT"/>
        </w:rPr>
        <w:t>adovaujantis Įstatymo 48 straipsnio 12 dalimi, prieš Komisijai priimant sprendimą dėl Įstatymo pažeidimo, pažeidimu įtariami asmenys ir kiti suinteresuoti asmenys turi teisę duoti paaiškinimus ir būti</w:t>
      </w:r>
      <w:r>
        <w:rPr>
          <w:rFonts w:asciiTheme="minorHAnsi" w:hAnsiTheme="minorHAnsi" w:cstheme="minorHAnsi"/>
          <w:sz w:val="22"/>
          <w:szCs w:val="22"/>
          <w:lang w:val="lt-LT"/>
        </w:rPr>
        <w:t xml:space="preserve"> išklausyti Komisijos posėdžio</w:t>
      </w:r>
      <w:r w:rsidR="00125287">
        <w:rPr>
          <w:rFonts w:asciiTheme="minorHAnsi" w:hAnsiTheme="minorHAnsi" w:cstheme="minorHAnsi"/>
          <w:sz w:val="22"/>
          <w:szCs w:val="22"/>
          <w:lang w:val="lt-LT"/>
        </w:rPr>
        <w:t xml:space="preserve"> </w:t>
      </w:r>
      <w:r w:rsidR="00125287">
        <w:rPr>
          <w:rFonts w:asciiTheme="minorHAnsi" w:hAnsiTheme="minorHAnsi" w:cstheme="minorHAnsi"/>
          <w:sz w:val="22"/>
          <w:szCs w:val="22"/>
          <w:lang w:val="lt-LT"/>
        </w:rPr>
        <w:lastRenderedPageBreak/>
        <w:t>metu. Taigi,</w:t>
      </w:r>
      <w:r w:rsidRPr="003B6A71">
        <w:rPr>
          <w:rFonts w:asciiTheme="minorHAnsi" w:hAnsiTheme="minorHAnsi" w:cstheme="minorHAnsi"/>
          <w:sz w:val="22"/>
          <w:szCs w:val="22"/>
          <w:lang w:val="lt-LT"/>
        </w:rPr>
        <w:t xml:space="preserve"> pačiame Įstatyme eksplicitiškai įtvirtinta, kad Komisija turi priimti sprendimą. </w:t>
      </w:r>
      <w:r>
        <w:rPr>
          <w:rFonts w:asciiTheme="minorHAnsi" w:hAnsiTheme="minorHAnsi" w:cstheme="minorHAnsi"/>
          <w:sz w:val="22"/>
          <w:szCs w:val="22"/>
          <w:lang w:val="lt-LT"/>
        </w:rPr>
        <w:t>Teisėjų kolegija pažymėjo</w:t>
      </w:r>
      <w:r w:rsidRPr="003B6A71">
        <w:rPr>
          <w:rFonts w:asciiTheme="minorHAnsi" w:hAnsiTheme="minorHAnsi" w:cstheme="minorHAnsi"/>
          <w:sz w:val="22"/>
          <w:szCs w:val="22"/>
          <w:lang w:val="lt-LT"/>
        </w:rPr>
        <w:t xml:space="preserve">, kad šiuo konkrečiu atveju Komisijos sprendimas priimtas nebuvo – Komisija vadovavosi </w:t>
      </w:r>
      <w:r>
        <w:rPr>
          <w:rFonts w:asciiTheme="minorHAnsi" w:hAnsiTheme="minorHAnsi" w:cstheme="minorHAnsi"/>
          <w:sz w:val="22"/>
          <w:szCs w:val="22"/>
          <w:lang w:val="lt-LT"/>
        </w:rPr>
        <w:t>f</w:t>
      </w:r>
      <w:r w:rsidRPr="003B6A71">
        <w:rPr>
          <w:rFonts w:asciiTheme="minorHAnsi" w:hAnsiTheme="minorHAnsi" w:cstheme="minorHAnsi"/>
          <w:sz w:val="22"/>
          <w:szCs w:val="22"/>
          <w:lang w:val="lt-LT"/>
        </w:rPr>
        <w:t>aktinių aplinkybių konstatavimo protokolu (patikrinimą atliko ir protokolą pasirašė Ūkio subjektų veiklos reguliavimo ir priežiūros skyriaus Stebėsenos poskyrio vyriausiasis specialistas) ir susirašinėjimu su apeliantu.</w:t>
      </w:r>
    </w:p>
    <w:p w:rsidR="00EC0773" w:rsidRPr="003B6A71" w:rsidRDefault="00EC0773" w:rsidP="00025BA1">
      <w:pPr>
        <w:pStyle w:val="prastasiniatinklio"/>
        <w:spacing w:before="0" w:beforeAutospacing="0" w:after="0" w:afterAutospacing="0"/>
        <w:ind w:firstLine="567"/>
        <w:jc w:val="both"/>
        <w:rPr>
          <w:rFonts w:asciiTheme="minorHAnsi" w:hAnsiTheme="minorHAnsi" w:cstheme="minorHAnsi"/>
          <w:sz w:val="22"/>
          <w:szCs w:val="22"/>
          <w:lang w:val="lt-LT"/>
        </w:rPr>
      </w:pPr>
      <w:r>
        <w:rPr>
          <w:rFonts w:asciiTheme="minorHAnsi" w:hAnsiTheme="minorHAnsi" w:cstheme="minorHAnsi"/>
          <w:sz w:val="22"/>
          <w:szCs w:val="22"/>
          <w:lang w:val="lt-LT"/>
        </w:rPr>
        <w:t>P</w:t>
      </w:r>
      <w:r w:rsidRPr="003B6A71">
        <w:rPr>
          <w:rFonts w:asciiTheme="minorHAnsi" w:hAnsiTheme="minorHAnsi" w:cstheme="minorHAnsi"/>
          <w:sz w:val="22"/>
          <w:szCs w:val="22"/>
          <w:lang w:val="lt-LT"/>
        </w:rPr>
        <w:t>agal Lietuvos radijo ir televizijos komisijos nuostat</w:t>
      </w:r>
      <w:r>
        <w:rPr>
          <w:rFonts w:asciiTheme="minorHAnsi" w:hAnsiTheme="minorHAnsi" w:cstheme="minorHAnsi"/>
          <w:sz w:val="22"/>
          <w:szCs w:val="22"/>
          <w:lang w:val="lt-LT"/>
        </w:rPr>
        <w:t>us</w:t>
      </w:r>
      <w:r w:rsidRPr="003B6A71">
        <w:rPr>
          <w:rFonts w:asciiTheme="minorHAnsi" w:hAnsiTheme="minorHAnsi" w:cstheme="minorHAnsi"/>
          <w:sz w:val="22"/>
          <w:szCs w:val="22"/>
          <w:lang w:val="lt-LT"/>
        </w:rPr>
        <w:t>, kuriais savo veikloje vadovaujasi Komisija, Komisijos veiklos forma yra posėdžiai bei pasitarimai. Komisija posėdžiuose priima sprendimus balsavimu paprasta arba kvalifikuota Komisijos narių balsų dauguma. Iš esmės analogiškas teisinis reguliavimas nustatytas ir Lietuvos radijo ir televizijos komisijos darbo reglamente</w:t>
      </w:r>
      <w:r>
        <w:rPr>
          <w:rFonts w:asciiTheme="minorHAnsi" w:hAnsiTheme="minorHAnsi" w:cstheme="minorHAnsi"/>
          <w:sz w:val="22"/>
          <w:szCs w:val="22"/>
          <w:lang w:val="lt-LT"/>
        </w:rPr>
        <w:t>.</w:t>
      </w:r>
      <w:r w:rsidRPr="003B6A71">
        <w:rPr>
          <w:rFonts w:asciiTheme="minorHAnsi" w:hAnsiTheme="minorHAnsi" w:cstheme="minorHAnsi"/>
          <w:sz w:val="22"/>
          <w:szCs w:val="22"/>
          <w:lang w:val="lt-LT"/>
        </w:rPr>
        <w:t xml:space="preserve"> Taigi, </w:t>
      </w:r>
      <w:r w:rsidRPr="00B77ED3">
        <w:rPr>
          <w:rFonts w:asciiTheme="minorHAnsi" w:hAnsiTheme="minorHAnsi" w:cstheme="minorHAnsi"/>
          <w:sz w:val="22"/>
          <w:szCs w:val="22"/>
          <w:u w:val="single"/>
          <w:lang w:val="lt-LT"/>
        </w:rPr>
        <w:t>tiek Įstatymo, tiek Lietuvos radijo ir televizijos komisijos nuostatų bei darbo reglamento teisinis reguliavimas suponuoja, kad toks Komisijos sprendimas dėl kreipimosi į teismą, siekiant transliavimo, retransliavimo, televizijos programų ir (ar) atskirų programų platinimo internete veiklos, užsakomųjų visuomenės informavimo audiovizualinėmis priemonėmis paslaugų teikimo ir kitokios neteisėtos veiklos nutraukimo, turi būti priimtas Komisijos posėdyje ir tik Įstatymo numatytais terminais bei tvarka atlikus tyrimą</w:t>
      </w:r>
      <w:r w:rsidRPr="003B6A71">
        <w:rPr>
          <w:rFonts w:asciiTheme="minorHAnsi" w:hAnsiTheme="minorHAnsi" w:cstheme="minorHAnsi"/>
          <w:sz w:val="22"/>
          <w:szCs w:val="22"/>
          <w:lang w:val="lt-LT"/>
        </w:rPr>
        <w:t>. Teisėjų kolegija konstat</w:t>
      </w:r>
      <w:r>
        <w:rPr>
          <w:rFonts w:asciiTheme="minorHAnsi" w:hAnsiTheme="minorHAnsi" w:cstheme="minorHAnsi"/>
          <w:sz w:val="22"/>
          <w:szCs w:val="22"/>
          <w:lang w:val="lt-LT"/>
        </w:rPr>
        <w:t>avo</w:t>
      </w:r>
      <w:r w:rsidRPr="003B6A71">
        <w:rPr>
          <w:rFonts w:asciiTheme="minorHAnsi" w:hAnsiTheme="minorHAnsi" w:cstheme="minorHAnsi"/>
          <w:sz w:val="22"/>
          <w:szCs w:val="22"/>
          <w:lang w:val="lt-LT"/>
        </w:rPr>
        <w:t>, kad Komisija, nesilaikydama sprendimo priėmimo tvarkos, nurodytos Įstatyme bei jos pačios nuostatuose, pažeidė teisės aktais įtvirtintus procedūrinius reikalavimus.</w:t>
      </w:r>
    </w:p>
    <w:bookmarkEnd w:id="43"/>
    <w:p w:rsidR="00EC0773" w:rsidRPr="00045641" w:rsidRDefault="00EC0773" w:rsidP="00025BA1">
      <w:pPr>
        <w:pStyle w:val="prastasiniatinklio"/>
        <w:spacing w:before="0" w:beforeAutospacing="0" w:after="0" w:afterAutospacing="0"/>
        <w:ind w:firstLine="567"/>
        <w:jc w:val="both"/>
        <w:rPr>
          <w:rFonts w:asciiTheme="minorHAnsi" w:hAnsiTheme="minorHAnsi" w:cstheme="minorHAnsi"/>
          <w:sz w:val="22"/>
          <w:szCs w:val="22"/>
          <w:lang w:val="lt-LT"/>
        </w:rPr>
      </w:pPr>
      <w:r w:rsidRPr="00045641">
        <w:rPr>
          <w:rFonts w:asciiTheme="minorHAnsi" w:hAnsiTheme="minorHAnsi" w:cstheme="minorHAnsi"/>
          <w:sz w:val="22"/>
          <w:szCs w:val="22"/>
          <w:lang w:val="lt-LT"/>
        </w:rPr>
        <w:t>Pirmosios instancijos teismo sprendimas panaikintas ir priimtas naujas sprendimas atmesti Komisijos prašymą.</w:t>
      </w:r>
    </w:p>
    <w:p w:rsidR="00EC0773" w:rsidRPr="00B542A0" w:rsidRDefault="00EC0773" w:rsidP="00025BA1">
      <w:pPr>
        <w:ind w:firstLine="567"/>
        <w:jc w:val="both"/>
        <w:rPr>
          <w:rFonts w:asciiTheme="minorHAnsi" w:hAnsiTheme="minorHAnsi" w:cstheme="minorHAnsi"/>
          <w:sz w:val="22"/>
          <w:szCs w:val="22"/>
          <w:lang w:eastAsia="en-US"/>
        </w:rPr>
      </w:pPr>
    </w:p>
    <w:p w:rsidR="00EC0773" w:rsidRPr="00B542A0" w:rsidRDefault="00EC0773" w:rsidP="00025BA1">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 xml:space="preserve">2019 m. vasario </w:t>
      </w:r>
      <w:r>
        <w:rPr>
          <w:rFonts w:asciiTheme="minorHAnsi" w:hAnsiTheme="minorHAnsi" w:cstheme="minorHAnsi"/>
          <w:sz w:val="22"/>
          <w:szCs w:val="22"/>
          <w:lang w:eastAsia="en-US"/>
        </w:rPr>
        <w:t>19</w:t>
      </w:r>
      <w:r w:rsidRPr="00B542A0">
        <w:rPr>
          <w:rFonts w:asciiTheme="minorHAnsi" w:hAnsiTheme="minorHAnsi" w:cstheme="minorHAnsi"/>
          <w:sz w:val="22"/>
          <w:szCs w:val="22"/>
          <w:lang w:eastAsia="en-US"/>
        </w:rPr>
        <w:t xml:space="preserve"> d. </w:t>
      </w:r>
      <w:r>
        <w:rPr>
          <w:rFonts w:asciiTheme="minorHAnsi" w:hAnsiTheme="minorHAnsi" w:cstheme="minorHAnsi"/>
          <w:sz w:val="22"/>
          <w:szCs w:val="22"/>
          <w:lang w:eastAsia="en-US"/>
        </w:rPr>
        <w:t>sprendimas</w:t>
      </w:r>
      <w:r w:rsidRPr="00B542A0">
        <w:rPr>
          <w:rFonts w:asciiTheme="minorHAnsi" w:hAnsiTheme="minorHAnsi" w:cstheme="minorHAnsi"/>
          <w:sz w:val="22"/>
          <w:szCs w:val="22"/>
          <w:lang w:eastAsia="en-US"/>
        </w:rPr>
        <w:t xml:space="preserve"> administracinėje byloje Nr. </w:t>
      </w:r>
      <w:r>
        <w:rPr>
          <w:rFonts w:asciiTheme="minorHAnsi" w:hAnsiTheme="minorHAnsi" w:cstheme="minorHAnsi"/>
          <w:sz w:val="22"/>
          <w:szCs w:val="22"/>
          <w:lang w:eastAsia="en-US"/>
        </w:rPr>
        <w:t>e</w:t>
      </w:r>
      <w:r w:rsidRPr="00B542A0">
        <w:rPr>
          <w:rFonts w:asciiTheme="minorHAnsi" w:hAnsiTheme="minorHAnsi" w:cstheme="minorHAnsi"/>
          <w:sz w:val="22"/>
          <w:szCs w:val="22"/>
          <w:lang w:eastAsia="en-US"/>
        </w:rPr>
        <w:t>A-</w:t>
      </w:r>
      <w:r>
        <w:rPr>
          <w:rFonts w:asciiTheme="minorHAnsi" w:hAnsiTheme="minorHAnsi" w:cstheme="minorHAnsi"/>
          <w:sz w:val="22"/>
          <w:szCs w:val="22"/>
          <w:lang w:eastAsia="en-US"/>
        </w:rPr>
        <w:t>3137-525</w:t>
      </w:r>
      <w:r w:rsidRPr="00B542A0">
        <w:rPr>
          <w:rFonts w:asciiTheme="minorHAnsi" w:hAnsiTheme="minorHAnsi" w:cstheme="minorHAnsi"/>
          <w:sz w:val="22"/>
          <w:szCs w:val="22"/>
          <w:lang w:eastAsia="en-US"/>
        </w:rPr>
        <w:t>/2019</w:t>
      </w:r>
    </w:p>
    <w:p w:rsidR="00EC0773" w:rsidRPr="00B542A0" w:rsidRDefault="00EC0773" w:rsidP="00025BA1">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 xml:space="preserve">Teisminio proceso Nr. </w:t>
      </w:r>
      <w:r w:rsidRPr="00AC7024">
        <w:rPr>
          <w:rFonts w:asciiTheme="minorHAnsi" w:hAnsiTheme="minorHAnsi" w:cstheme="minorHAnsi"/>
          <w:sz w:val="22"/>
          <w:szCs w:val="22"/>
          <w:lang w:eastAsia="en-US"/>
        </w:rPr>
        <w:t>3-61-3-00276-2017-8</w:t>
      </w:r>
    </w:p>
    <w:p w:rsidR="00EC0773" w:rsidRPr="00B542A0" w:rsidRDefault="00EC0773" w:rsidP="00025BA1">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Pro</w:t>
      </w:r>
      <w:r w:rsidR="001002EB">
        <w:rPr>
          <w:rFonts w:asciiTheme="minorHAnsi" w:hAnsiTheme="minorHAnsi" w:cstheme="minorHAnsi"/>
          <w:sz w:val="22"/>
          <w:szCs w:val="22"/>
          <w:lang w:eastAsia="en-US"/>
        </w:rPr>
        <w:t>cesinio sprendimo kategorija</w:t>
      </w:r>
      <w:r>
        <w:rPr>
          <w:rFonts w:asciiTheme="minorHAnsi" w:hAnsiTheme="minorHAnsi" w:cstheme="minorHAnsi"/>
          <w:sz w:val="22"/>
          <w:szCs w:val="22"/>
          <w:lang w:eastAsia="en-US"/>
        </w:rPr>
        <w:t xml:space="preserve"> 27.2</w:t>
      </w:r>
    </w:p>
    <w:p w:rsidR="00EC0773" w:rsidRDefault="004264B2" w:rsidP="00025BA1">
      <w:pPr>
        <w:jc w:val="both"/>
      </w:pPr>
      <w:hyperlink r:id="rId18" w:history="1">
        <w:r w:rsidR="00EC0773" w:rsidRPr="00B542A0">
          <w:rPr>
            <w:rStyle w:val="Hipersaitas"/>
            <w:rFonts w:asciiTheme="minorHAnsi" w:hAnsiTheme="minorHAnsi" w:cstheme="minorHAnsi"/>
            <w:sz w:val="22"/>
            <w:szCs w:val="22"/>
          </w:rPr>
          <w:t>Prieiga internete</w:t>
        </w:r>
      </w:hyperlink>
    </w:p>
    <w:p w:rsidR="00EC0773" w:rsidRDefault="00EC0773" w:rsidP="00025BA1">
      <w:pPr>
        <w:pStyle w:val="Apzvalgai1"/>
        <w:outlineLvl w:val="9"/>
        <w:rPr>
          <w:rFonts w:asciiTheme="minorHAnsi" w:hAnsiTheme="minorHAnsi" w:cstheme="minorHAnsi"/>
        </w:rPr>
      </w:pPr>
    </w:p>
    <w:p w:rsidR="00EC0773" w:rsidRPr="00B542A0" w:rsidRDefault="00EC0773" w:rsidP="00025BA1">
      <w:pPr>
        <w:pStyle w:val="Apzvalgai1"/>
        <w:rPr>
          <w:rFonts w:asciiTheme="minorHAnsi" w:hAnsiTheme="minorHAnsi" w:cstheme="minorHAnsi"/>
          <w:b w:val="0"/>
        </w:rPr>
      </w:pPr>
      <w:bookmarkStart w:id="44" w:name="_Toc7451478"/>
      <w:r w:rsidRPr="00B542A0">
        <w:rPr>
          <w:rFonts w:asciiTheme="minorHAnsi" w:hAnsiTheme="minorHAnsi" w:cstheme="minorHAnsi"/>
        </w:rPr>
        <w:t>41. Kiti ginčai viešojo administravimo srityje</w:t>
      </w:r>
      <w:bookmarkEnd w:id="44"/>
    </w:p>
    <w:p w:rsidR="00EC0773" w:rsidRPr="00B542A0" w:rsidRDefault="00EC0773" w:rsidP="00025BA1">
      <w:pPr>
        <w:ind w:firstLine="567"/>
        <w:jc w:val="both"/>
        <w:rPr>
          <w:rFonts w:asciiTheme="minorHAnsi" w:hAnsiTheme="minorHAnsi" w:cstheme="minorHAnsi"/>
          <w:i/>
          <w:sz w:val="22"/>
          <w:szCs w:val="22"/>
        </w:rPr>
      </w:pPr>
    </w:p>
    <w:p w:rsidR="008A2FA6" w:rsidRPr="008A2FA6" w:rsidRDefault="008A2FA6" w:rsidP="00025BA1">
      <w:pPr>
        <w:pStyle w:val="Antrat2"/>
        <w:rPr>
          <w:i w:val="0"/>
        </w:rPr>
      </w:pPr>
      <w:bookmarkStart w:id="45" w:name="_Toc7451479"/>
      <w:r w:rsidRPr="008A2FA6">
        <w:t>Dėl teisėjo darbo stažo skaičiavimo</w:t>
      </w:r>
      <w:bookmarkEnd w:id="45"/>
      <w:r w:rsidRPr="008A2FA6">
        <w:t xml:space="preserve"> </w:t>
      </w:r>
    </w:p>
    <w:p w:rsidR="008A2FA6" w:rsidRPr="008A2FA6" w:rsidRDefault="008A2FA6" w:rsidP="00025BA1">
      <w:pPr>
        <w:ind w:firstLine="567"/>
        <w:jc w:val="both"/>
        <w:rPr>
          <w:rFonts w:asciiTheme="minorHAnsi" w:eastAsiaTheme="minorEastAsia" w:hAnsiTheme="minorHAnsi" w:cstheme="minorHAnsi"/>
          <w:sz w:val="22"/>
          <w:szCs w:val="22"/>
        </w:rPr>
      </w:pP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Nagrinėtoje byloje ginčas kilo dėl to, ar skundžiamu Lietuvos</w:t>
      </w:r>
      <w:r w:rsidR="00966BE3">
        <w:rPr>
          <w:rFonts w:asciiTheme="minorHAnsi" w:hAnsiTheme="minorHAnsi" w:cstheme="minorHAnsi"/>
          <w:sz w:val="22"/>
          <w:szCs w:val="22"/>
        </w:rPr>
        <w:t xml:space="preserve"> apeliacinio teismo pirmininko į</w:t>
      </w:r>
      <w:r w:rsidRPr="008A2FA6">
        <w:rPr>
          <w:rFonts w:asciiTheme="minorHAnsi" w:hAnsiTheme="minorHAnsi" w:cstheme="minorHAnsi"/>
          <w:sz w:val="22"/>
          <w:szCs w:val="22"/>
        </w:rPr>
        <w:t xml:space="preserve">sakymu, kuriuo pareiškėjui apskaičiuotas darbo stažas priedui už ištarnautus Lietuvos valstybei metus, teisėtai ir pagrįstai į stažą nebuvo įtrauktas laikotarpiu nuo 2002 m. liepos 1 d. iki 2007 m. lapkričio 29 d. pareiškėjo įgytas teisės krypties socialinių mokslų daktaro pedagoginis darbo stažas. </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Pirmosios instancijos teismas sprendė, kad į darbo stažą, mokant priedus už ištarnautus Lietuvos valstybei metus, atsakovas pagrįstai neįskaičiavo pareiškėjo pedagoginio darbo stažo laikotarpiu nuo 2002 m. liepos 1 d. iki 2007 m. lapkričio 29 d., kadangi stažas priedui pagrįstai buvo skaičiuojamas vadovaujantis skundžiamo </w:t>
      </w:r>
      <w:r w:rsidR="00966BE3">
        <w:rPr>
          <w:rFonts w:asciiTheme="minorHAnsi" w:hAnsiTheme="minorHAnsi" w:cstheme="minorHAnsi"/>
          <w:sz w:val="22"/>
          <w:szCs w:val="22"/>
        </w:rPr>
        <w:t>į</w:t>
      </w:r>
      <w:r w:rsidRPr="008A2FA6">
        <w:rPr>
          <w:rFonts w:asciiTheme="minorHAnsi" w:hAnsiTheme="minorHAnsi" w:cstheme="minorHAnsi"/>
          <w:sz w:val="22"/>
          <w:szCs w:val="22"/>
        </w:rPr>
        <w:t>sakymo priėmimo metu galiojusiu Teisėjų atlyginimų įstatymu, pagal kurį pedagoginio darbo stažas neįskaičiuojamas į ištarnautus Lietuvos valstybei metus, ir tai nelaikytina įstatymo taikymu atgal. Pareiškėjas, nesutikdamas su pirmosios instancijos teismo spendimu, iš esmės teigė, jog kadangi jis nuo 2007 m. dirbo teisėju Vilniaus apygardos teisme, jam tęsiant tarnybą jau kitame teisme stažas už tarnybą Lietuvos valstybei negali būti skaičiuojamas skirtingai, ir kad buvo pažeisti jo teisėti lūkesčiai.</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Iš atsakovo pateiktos pažymos apie pareiškėjo darbo užmokestį nuo 2016 m. sausio 19 d. iki 2018 m. gruodžio 31 d. ir pareiškėjo teikiamų argumentų matyti, kad iš esmės ginčas kilo dėl pareiškėjo atlyginimo skaičiavimo, kiek tai susiję su teisėjo darbo stažo skaičiavimu.</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LVAT, remdamasis Teismų įstatymo 97 straipsnio 2 dalimi (2003 m. balandžio 3 d. įstatymo Nr. IX-1450 redakcija, galiojusi nuo 2003 m. gegužės 1 d. iki 2008 m. lapkričio 15 d.), konstatavo, kad </w:t>
      </w:r>
      <w:r w:rsidRPr="008A2FA6">
        <w:rPr>
          <w:rFonts w:asciiTheme="minorHAnsi" w:hAnsiTheme="minorHAnsi" w:cstheme="minorHAnsi"/>
          <w:sz w:val="22"/>
          <w:szCs w:val="22"/>
          <w:u w:val="single"/>
        </w:rPr>
        <w:t>iki 2008 m. lapkričio 15 d. asmenų, turinčių teisės krypties mokslų daktaro ar habilituoto daktaro laipsnį, pedagoginis stažas turėjo būti įskaitomas į teisėjo tarnybos stažą atlyginimo priedui apskaičiuoti. Tačiau 2008 m. lapkričio 6 d. įstatymu Nr. X-1772 buvo pakeista Teismų įstatymo 97 straipsnio 2 dalis, ir joje liko tik atostogų trukmės skaičiavimo tvarka, bet ne priedų prie pareiginės algos apskaičiavimo tvarka</w:t>
      </w:r>
      <w:r w:rsidRPr="008A2FA6">
        <w:rPr>
          <w:rFonts w:asciiTheme="minorHAnsi" w:hAnsiTheme="minorHAnsi" w:cstheme="minorHAnsi"/>
          <w:sz w:val="22"/>
          <w:szCs w:val="22"/>
        </w:rPr>
        <w:t>.</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Teisėjų atlyginimų dydžius ir jų skaičiavimo tvarką nuo 2008 m. lapkričio 15 d. nustato specialus </w:t>
      </w:r>
      <w:r w:rsidR="003A1351">
        <w:rPr>
          <w:rFonts w:asciiTheme="minorHAnsi" w:hAnsiTheme="minorHAnsi" w:cstheme="minorHAnsi"/>
          <w:sz w:val="22"/>
          <w:szCs w:val="22"/>
        </w:rPr>
        <w:t>T</w:t>
      </w:r>
      <w:r w:rsidRPr="008A2FA6">
        <w:rPr>
          <w:rFonts w:asciiTheme="minorHAnsi" w:hAnsiTheme="minorHAnsi" w:cstheme="minorHAnsi"/>
          <w:sz w:val="22"/>
          <w:szCs w:val="22"/>
        </w:rPr>
        <w:t>eisėjų atlyginimų įstatymas (toliau – Atlyginimų įstatymas). Įvertinęs A</w:t>
      </w:r>
      <w:r w:rsidR="009566DE">
        <w:rPr>
          <w:rFonts w:asciiTheme="minorHAnsi" w:hAnsiTheme="minorHAnsi" w:cstheme="minorHAnsi"/>
          <w:sz w:val="22"/>
          <w:szCs w:val="22"/>
        </w:rPr>
        <w:t>tlyginimų įstatymo 5 </w:t>
      </w:r>
      <w:r w:rsidRPr="008A2FA6">
        <w:rPr>
          <w:rFonts w:asciiTheme="minorHAnsi" w:hAnsiTheme="minorHAnsi" w:cstheme="minorHAnsi"/>
          <w:sz w:val="22"/>
          <w:szCs w:val="22"/>
        </w:rPr>
        <w:t xml:space="preserve">straipsnio 1 dalies ir </w:t>
      </w:r>
      <w:r w:rsidR="003A1351">
        <w:rPr>
          <w:rFonts w:asciiTheme="minorHAnsi" w:hAnsiTheme="minorHAnsi" w:cstheme="minorHAnsi"/>
          <w:sz w:val="22"/>
          <w:szCs w:val="22"/>
        </w:rPr>
        <w:t>V</w:t>
      </w:r>
      <w:r w:rsidRPr="008A2FA6">
        <w:rPr>
          <w:rFonts w:asciiTheme="minorHAnsi" w:hAnsiTheme="minorHAnsi" w:cstheme="minorHAnsi"/>
          <w:sz w:val="22"/>
          <w:szCs w:val="22"/>
        </w:rPr>
        <w:t>alstybės tarnybos įstatymo 4 strai</w:t>
      </w:r>
      <w:r w:rsidR="009566DE">
        <w:rPr>
          <w:rFonts w:asciiTheme="minorHAnsi" w:hAnsiTheme="minorHAnsi" w:cstheme="minorHAnsi"/>
          <w:sz w:val="22"/>
          <w:szCs w:val="22"/>
        </w:rPr>
        <w:t>psnio 1–4 dalių ir 5 dalies 1–4 </w:t>
      </w:r>
      <w:r w:rsidRPr="008A2FA6">
        <w:rPr>
          <w:rFonts w:asciiTheme="minorHAnsi" w:hAnsiTheme="minorHAnsi" w:cstheme="minorHAnsi"/>
          <w:sz w:val="22"/>
          <w:szCs w:val="22"/>
        </w:rPr>
        <w:t xml:space="preserve">punktų nuostatas, LVAT sutiko su pirmosios instancijos teismo išvada, kad </w:t>
      </w:r>
      <w:r w:rsidRPr="008A2FA6">
        <w:rPr>
          <w:rFonts w:asciiTheme="minorHAnsi" w:hAnsiTheme="minorHAnsi" w:cstheme="minorHAnsi"/>
          <w:sz w:val="22"/>
          <w:szCs w:val="22"/>
          <w:u w:val="single"/>
        </w:rPr>
        <w:t>pagal Atlyginimų įstatymu nustatytą teisinį reguliavimą asmenų, turinčių teisės krypties mokslų daktaro ar habilituoto daktaro laipsnį, pedagoginis stažas neįskaitomos nustatant ištarnautus Lietuvos valstybei metus, skaičiuojamus teisėjų pareiginės algos priedui nustatyti</w:t>
      </w:r>
      <w:r w:rsidRPr="008A2FA6">
        <w:rPr>
          <w:rFonts w:asciiTheme="minorHAnsi" w:hAnsiTheme="minorHAnsi" w:cstheme="minorHAnsi"/>
          <w:sz w:val="22"/>
          <w:szCs w:val="22"/>
        </w:rPr>
        <w:t xml:space="preserve">. </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lastRenderedPageBreak/>
        <w:t xml:space="preserve">Lietuvos apeliacinis teismas apelianto ginčijamą </w:t>
      </w:r>
      <w:r w:rsidR="003A1351">
        <w:rPr>
          <w:rFonts w:asciiTheme="minorHAnsi" w:hAnsiTheme="minorHAnsi" w:cstheme="minorHAnsi"/>
          <w:sz w:val="22"/>
          <w:szCs w:val="22"/>
        </w:rPr>
        <w:t>į</w:t>
      </w:r>
      <w:r w:rsidRPr="008A2FA6">
        <w:rPr>
          <w:rFonts w:asciiTheme="minorHAnsi" w:hAnsiTheme="minorHAnsi" w:cstheme="minorHAnsi"/>
          <w:sz w:val="22"/>
          <w:szCs w:val="22"/>
        </w:rPr>
        <w:t xml:space="preserve">sakymą priėmė 2016 m. sausio 26 d. t. y. pareiškėjui pradėjus dirbti teisėju šiame teisme ir galiojant </w:t>
      </w:r>
      <w:r w:rsidR="004130E1">
        <w:rPr>
          <w:rFonts w:asciiTheme="minorHAnsi" w:hAnsiTheme="minorHAnsi" w:cstheme="minorHAnsi"/>
          <w:sz w:val="22"/>
          <w:szCs w:val="22"/>
        </w:rPr>
        <w:t>T</w:t>
      </w:r>
      <w:r w:rsidRPr="008A2FA6">
        <w:rPr>
          <w:rFonts w:asciiTheme="minorHAnsi" w:hAnsiTheme="minorHAnsi" w:cstheme="minorHAnsi"/>
          <w:sz w:val="22"/>
          <w:szCs w:val="22"/>
        </w:rPr>
        <w:t xml:space="preserve">eisėjų atlyginimo įstatymui. Dėl šios priežasties stažas priedui už ištarnautus Lietuvos valstybei metus buvo pagrįstai skaičiuojamas vadovaujantis galiojančiu įstatymu ir tai nelaikytina įstatymo taikymu atgal. </w:t>
      </w:r>
      <w:r w:rsidRPr="008A2FA6">
        <w:rPr>
          <w:rFonts w:asciiTheme="minorHAnsi" w:hAnsiTheme="minorHAnsi" w:cstheme="minorHAnsi"/>
          <w:sz w:val="22"/>
          <w:szCs w:val="22"/>
          <w:u w:val="single"/>
        </w:rPr>
        <w:t>Aplinkybė, kad ankstesni teisės aktai nustatė, jog atitinkamas darbas yra įskaičiuojamas į darbo stažą, mokant priedus, nesudaro teisinio pagrindo šį laikotarpį įskaityti į darbo stažą, mokant atlyginimą pagal 2008 m. lapkričio 15 d. įsigaliojusį Teisėjų atlyginimo įstatymą</w:t>
      </w:r>
      <w:r w:rsidRPr="008A2FA6">
        <w:rPr>
          <w:rFonts w:asciiTheme="minorHAnsi" w:hAnsiTheme="minorHAnsi" w:cstheme="minorHAnsi"/>
          <w:sz w:val="22"/>
          <w:szCs w:val="22"/>
        </w:rPr>
        <w:t xml:space="preserve">, todėl apelianto argumentai dėl netinkamo šio įstatymo taikymo atmesti. </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Teisėjų kolegija pažymėjo, kad teisėjų darbo stažo priedui už ištarnautus metus Lietuvos valstybei gauti skaičiavimo pokyčius lėmė ne pareiškėjo dirbamo darbo pobūdžio kaita ir ne priėmimo į teisėjo pareigas data, o pasikeitęs teisinis reguliavimas, įtvirtintas Teisėjų atlyginimų įstatyme, todėl atmesti apelianto argumentai dėl to, kad konstituciškai pateisinamas pagrindas skirtingai reguliuoti vienodoje padėtyje esančių valstybės tarnautojų darbo užmokestį ir socialines garantijas negali būti vien jų priėmimo į valstybinę tarnybą data. Teisėjų kolegijos vertinimu, aplinkybė, kad pareiškėją paskyrus į Lietuvos apeliacinio teismo teisėjus jis teisėju dirbo jau 8 metus, </w:t>
      </w:r>
      <w:r w:rsidR="00D74C28">
        <w:rPr>
          <w:rFonts w:asciiTheme="minorHAnsi" w:hAnsiTheme="minorHAnsi" w:cstheme="minorHAnsi"/>
          <w:sz w:val="22"/>
          <w:szCs w:val="22"/>
        </w:rPr>
        <w:t>nebuvo</w:t>
      </w:r>
      <w:r w:rsidRPr="008A2FA6">
        <w:rPr>
          <w:rFonts w:asciiTheme="minorHAnsi" w:hAnsiTheme="minorHAnsi" w:cstheme="minorHAnsi"/>
          <w:sz w:val="22"/>
          <w:szCs w:val="22"/>
        </w:rPr>
        <w:t xml:space="preserve"> teisiškai reikšminga. </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LVAT nesutiko su apelianto argumentu, kad </w:t>
      </w:r>
      <w:r w:rsidR="00D74C28">
        <w:rPr>
          <w:rFonts w:asciiTheme="minorHAnsi" w:hAnsiTheme="minorHAnsi" w:cstheme="minorHAnsi"/>
          <w:sz w:val="22"/>
          <w:szCs w:val="22"/>
        </w:rPr>
        <w:t>buvo</w:t>
      </w:r>
      <w:r w:rsidRPr="008A2FA6">
        <w:rPr>
          <w:rFonts w:asciiTheme="minorHAnsi" w:hAnsiTheme="minorHAnsi" w:cstheme="minorHAnsi"/>
          <w:sz w:val="22"/>
          <w:szCs w:val="22"/>
        </w:rPr>
        <w:t xml:space="preserve"> pažeistas konstitucinis teisėtų lūkesčių apsaugos principas. Konstitucinis Teismas 2000 m. sausio 12 d., 2006 m. rugpjūčio 8 d. s</w:t>
      </w:r>
      <w:r w:rsidR="00D74C28">
        <w:rPr>
          <w:rFonts w:asciiTheme="minorHAnsi" w:hAnsiTheme="minorHAnsi" w:cstheme="minorHAnsi"/>
          <w:sz w:val="22"/>
          <w:szCs w:val="22"/>
        </w:rPr>
        <w:t>prendimuose, 2011 m. vasario 14 </w:t>
      </w:r>
      <w:r w:rsidRPr="008A2FA6">
        <w:rPr>
          <w:rFonts w:asciiTheme="minorHAnsi" w:hAnsiTheme="minorHAnsi" w:cstheme="minorHAnsi"/>
          <w:sz w:val="22"/>
          <w:szCs w:val="22"/>
        </w:rPr>
        <w:t xml:space="preserve">d. nutarime pažymėjo, kad sąvoka „teisėjo atlyginimas“ apima visas išmokas, mokamas teisėjui iš valstybės biudžeto. Įstatymų leidėjas, reguliuodamas santykius, susijusius su teisėjų atlyginimų nustatymu, gali įtvirtinti, jog atlyginimas – teisėjo socialinė (materialinė) garantija – susideda ne iš vienos, o iš kelių sudedamųjų dalių, </w:t>
      </w:r>
      <w:r w:rsidRPr="008A2FA6">
        <w:rPr>
          <w:rFonts w:asciiTheme="minorHAnsi" w:hAnsiTheme="minorHAnsi" w:cstheme="minorHAnsi"/>
          <w:i/>
          <w:sz w:val="22"/>
          <w:szCs w:val="22"/>
        </w:rPr>
        <w:t>inter alia</w:t>
      </w:r>
      <w:r w:rsidRPr="008A2FA6">
        <w:rPr>
          <w:rFonts w:asciiTheme="minorHAnsi" w:hAnsiTheme="minorHAnsi" w:cstheme="minorHAnsi"/>
          <w:sz w:val="22"/>
          <w:szCs w:val="22"/>
        </w:rPr>
        <w:t xml:space="preserve"> (be kita ko) pareiginės algos, priedų, priemokų. Pagal Konstituciją kurios nors teisėjo atlyginimo sudedamosios dalies mažinimas didinant kitą teisėjo atlyginimo sudedamąją dalį, kai pats teisėjo atlyginimas nemažėja, nereiškia teisėjo atlyginimo, kaip teisėjo socialinės (materialinės) garantijos, mažinimo. Konstitucinis Teismas, tirdamas Atlyginimų įstatymo atitiktį Konstitucijai, konstatavo, kad priėmus Atlyginimų įstatymą teisėjų atlyginimo pagrindinė sudedamoji dalis – teisėjų pareiginė alga padidėjo, o teisėjo atlyginimo sudedamosios dalies – priedo santykinis dydis sumažėjo; iš teisėjų atlyginimų dydžių skaičiavimų pagal Teisėjų darbo užmokesčio apskaičiavimo metodiką, patvirtintą Teismų tarybos 2004 m. balandžio 2 d. priimtu nutarimu Nr. 207 „Dėl pritarimo darbo grupės parengtai Teisėjų darbo užmokesčio apskaičiavimo metodikai“ ir pagal Teisėjų atlyginimų įstatymą matyti, kad teisėjų atlyginimas (pareiginės algos ir priedo suma) priėmus Teisėjų atlyginimų įstatymą padidėjo (Konstitucinio Teismo 2011 m. vasario 14 d. nutarimas). Atsižvelgus į tai, nekonstatuotas pareiškėjo teisėtų lūkesčių pažeidimas. </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LVAT nutartimi apeliacinis skundas atmestas, pirmosios instancijos teismo sprendimas paliktas nepakeistas.</w:t>
      </w:r>
    </w:p>
    <w:p w:rsidR="008A2FA6" w:rsidRPr="008A2FA6" w:rsidRDefault="008A2FA6" w:rsidP="00025BA1">
      <w:pPr>
        <w:ind w:firstLine="567"/>
        <w:jc w:val="both"/>
        <w:rPr>
          <w:rFonts w:asciiTheme="minorHAnsi" w:eastAsiaTheme="minorEastAsia" w:hAnsiTheme="minorHAnsi" w:cstheme="minorHAnsi"/>
          <w:sz w:val="22"/>
          <w:szCs w:val="22"/>
        </w:rPr>
      </w:pP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2019 m. vasario 6 d. nutartis administracinėje byloje Nr. A-3190-261/2019</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Teisminio proceso Nr. 3-61-3-00866-2016-2</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Procesinio sprendimo kategorija 41 </w:t>
      </w:r>
    </w:p>
    <w:p w:rsidR="008A2FA6" w:rsidRPr="008A2FA6" w:rsidRDefault="004264B2" w:rsidP="00025BA1">
      <w:pPr>
        <w:jc w:val="both"/>
        <w:rPr>
          <w:rFonts w:asciiTheme="minorHAnsi" w:eastAsiaTheme="minorEastAsia" w:hAnsiTheme="minorHAnsi" w:cstheme="minorHAnsi"/>
          <w:sz w:val="22"/>
          <w:szCs w:val="22"/>
        </w:rPr>
      </w:pPr>
      <w:hyperlink r:id="rId19" w:history="1">
        <w:r w:rsidR="008A2FA6" w:rsidRPr="008A2FA6">
          <w:rPr>
            <w:rStyle w:val="Hipersaitas"/>
            <w:rFonts w:asciiTheme="minorHAnsi" w:eastAsiaTheme="minorEastAsia" w:hAnsiTheme="minorHAnsi" w:cstheme="minorHAnsi"/>
            <w:sz w:val="22"/>
            <w:szCs w:val="22"/>
          </w:rPr>
          <w:t>Prieiga internete</w:t>
        </w:r>
      </w:hyperlink>
      <w:r w:rsidR="008A2FA6" w:rsidRPr="008A2FA6">
        <w:rPr>
          <w:rFonts w:asciiTheme="minorHAnsi" w:eastAsiaTheme="minorEastAsia" w:hAnsiTheme="minorHAnsi" w:cstheme="minorHAnsi"/>
          <w:sz w:val="22"/>
          <w:szCs w:val="22"/>
        </w:rPr>
        <w:t xml:space="preserve"> </w:t>
      </w:r>
    </w:p>
    <w:p w:rsidR="008A2FA6" w:rsidRDefault="008A2FA6" w:rsidP="00025BA1">
      <w:pPr>
        <w:jc w:val="both"/>
        <w:rPr>
          <w:rFonts w:asciiTheme="minorHAnsi" w:hAnsiTheme="minorHAnsi" w:cstheme="minorHAnsi"/>
          <w:sz w:val="22"/>
          <w:szCs w:val="22"/>
        </w:rPr>
      </w:pPr>
    </w:p>
    <w:p w:rsidR="00EC0773" w:rsidRPr="00B542A0" w:rsidRDefault="00EC0773" w:rsidP="00025BA1">
      <w:pPr>
        <w:pStyle w:val="taltipfb"/>
        <w:shd w:val="clear" w:color="auto" w:fill="FFFFFF"/>
        <w:spacing w:before="0" w:beforeAutospacing="0" w:after="0" w:afterAutospacing="0"/>
        <w:jc w:val="both"/>
        <w:outlineLvl w:val="1"/>
      </w:pPr>
      <w:bookmarkStart w:id="46" w:name="_Toc7451480"/>
      <w:r w:rsidRPr="00985325">
        <w:rPr>
          <w:rFonts w:asciiTheme="minorHAnsi" w:hAnsiTheme="minorHAnsi" w:cstheme="minorHAnsi"/>
          <w:i/>
          <w:sz w:val="22"/>
          <w:szCs w:val="22"/>
        </w:rPr>
        <w:t>Dėl nesąžiningos komercinės veiklos vartotojams draudimo</w:t>
      </w:r>
      <w:bookmarkEnd w:id="46"/>
    </w:p>
    <w:p w:rsidR="00EC0773" w:rsidRPr="00B542A0" w:rsidRDefault="00EC0773" w:rsidP="00025BA1">
      <w:pPr>
        <w:jc w:val="both"/>
        <w:rPr>
          <w:rFonts w:asciiTheme="minorHAnsi" w:hAnsiTheme="minorHAnsi" w:cstheme="minorHAnsi"/>
          <w:i/>
          <w:sz w:val="22"/>
          <w:szCs w:val="22"/>
          <w:highlight w:val="yellow"/>
        </w:rPr>
      </w:pPr>
    </w:p>
    <w:p w:rsidR="00985325" w:rsidRPr="00B542A0" w:rsidRDefault="00985325" w:rsidP="00985325">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sidRPr="00B542A0">
        <w:rPr>
          <w:rFonts w:asciiTheme="minorHAnsi" w:hAnsiTheme="minorHAnsi" w:cstheme="minorHAnsi"/>
          <w:sz w:val="22"/>
          <w:szCs w:val="22"/>
          <w:lang w:val="lt-LT"/>
        </w:rPr>
        <w:t>Pareiškėj</w:t>
      </w:r>
      <w:r>
        <w:rPr>
          <w:rFonts w:asciiTheme="minorHAnsi" w:hAnsiTheme="minorHAnsi" w:cstheme="minorHAnsi"/>
          <w:sz w:val="22"/>
          <w:szCs w:val="22"/>
          <w:lang w:val="lt-LT"/>
        </w:rPr>
        <w:t>o</w:t>
      </w:r>
      <w:r w:rsidRPr="00B542A0">
        <w:rPr>
          <w:rFonts w:asciiTheme="minorHAnsi" w:hAnsiTheme="minorHAnsi" w:cstheme="minorHAnsi"/>
          <w:sz w:val="22"/>
          <w:szCs w:val="22"/>
          <w:lang w:val="lt-LT"/>
        </w:rPr>
        <w:t xml:space="preserve"> UAB „Natural Pharmaceuticals“ atstovai vartotojams telefonu siūl</w:t>
      </w:r>
      <w:r>
        <w:rPr>
          <w:rFonts w:asciiTheme="minorHAnsi" w:hAnsiTheme="minorHAnsi" w:cstheme="minorHAnsi"/>
          <w:sz w:val="22"/>
          <w:szCs w:val="22"/>
          <w:lang w:val="lt-LT"/>
        </w:rPr>
        <w:t>ė</w:t>
      </w:r>
      <w:r w:rsidRPr="00B542A0">
        <w:rPr>
          <w:rFonts w:asciiTheme="minorHAnsi" w:hAnsiTheme="minorHAnsi" w:cstheme="minorHAnsi"/>
          <w:sz w:val="22"/>
          <w:szCs w:val="22"/>
          <w:lang w:val="lt-LT"/>
        </w:rPr>
        <w:t xml:space="preserve"> dalyvauti sveikatinimo programoje, </w:t>
      </w:r>
      <w:r>
        <w:rPr>
          <w:rFonts w:asciiTheme="minorHAnsi" w:hAnsiTheme="minorHAnsi" w:cstheme="minorHAnsi"/>
          <w:sz w:val="22"/>
          <w:szCs w:val="22"/>
          <w:lang w:val="lt-LT"/>
        </w:rPr>
        <w:t>pasireiškusioje</w:t>
      </w:r>
      <w:r w:rsidRPr="00B542A0">
        <w:rPr>
          <w:rFonts w:asciiTheme="minorHAnsi" w:hAnsiTheme="minorHAnsi" w:cstheme="minorHAnsi"/>
          <w:sz w:val="22"/>
          <w:szCs w:val="22"/>
          <w:lang w:val="lt-LT"/>
        </w:rPr>
        <w:t xml:space="preserve"> maisto papildų įsigijimu,</w:t>
      </w:r>
      <w:r>
        <w:rPr>
          <w:rFonts w:asciiTheme="minorHAnsi" w:hAnsiTheme="minorHAnsi" w:cstheme="minorHAnsi"/>
          <w:sz w:val="22"/>
          <w:szCs w:val="22"/>
          <w:lang w:val="lt-LT"/>
        </w:rPr>
        <w:t xml:space="preserve"> siūlydami už pirmąją pakuotę sumokėti</w:t>
      </w:r>
      <w:r w:rsidRPr="00B542A0">
        <w:rPr>
          <w:rFonts w:asciiTheme="minorHAnsi" w:hAnsiTheme="minorHAnsi" w:cstheme="minorHAnsi"/>
          <w:sz w:val="22"/>
          <w:szCs w:val="22"/>
          <w:lang w:val="lt-LT"/>
        </w:rPr>
        <w:t xml:space="preserve"> tik pristatymo paštu išlaidas. </w:t>
      </w:r>
      <w:r>
        <w:rPr>
          <w:rFonts w:asciiTheme="minorHAnsi" w:hAnsiTheme="minorHAnsi" w:cstheme="minorHAnsi"/>
          <w:sz w:val="22"/>
          <w:szCs w:val="22"/>
          <w:lang w:val="lt-LT"/>
        </w:rPr>
        <w:t>T</w:t>
      </w:r>
      <w:r w:rsidRPr="00B542A0">
        <w:rPr>
          <w:rFonts w:asciiTheme="minorHAnsi" w:hAnsiTheme="minorHAnsi" w:cstheme="minorHAnsi"/>
          <w:sz w:val="22"/>
          <w:szCs w:val="22"/>
          <w:lang w:val="lt-LT"/>
        </w:rPr>
        <w:t xml:space="preserve">iek telefoniniuose pokalbiuose, tiek ir kartu </w:t>
      </w:r>
      <w:r>
        <w:rPr>
          <w:rFonts w:asciiTheme="minorHAnsi" w:hAnsiTheme="minorHAnsi" w:cstheme="minorHAnsi"/>
          <w:sz w:val="22"/>
          <w:szCs w:val="22"/>
          <w:lang w:val="lt-LT"/>
        </w:rPr>
        <w:t>su maisto papildų pakuote siųstame rašte</w:t>
      </w:r>
      <w:r w:rsidRPr="00B542A0">
        <w:rPr>
          <w:rFonts w:asciiTheme="minorHAnsi" w:hAnsiTheme="minorHAnsi" w:cstheme="minorHAnsi"/>
          <w:sz w:val="22"/>
          <w:szCs w:val="22"/>
          <w:lang w:val="lt-LT"/>
        </w:rPr>
        <w:t xml:space="preserve"> ,,Terminai ir sąlygos“ nurod</w:t>
      </w:r>
      <w:r>
        <w:rPr>
          <w:rFonts w:asciiTheme="minorHAnsi" w:hAnsiTheme="minorHAnsi" w:cstheme="minorHAnsi"/>
          <w:sz w:val="22"/>
          <w:szCs w:val="22"/>
          <w:lang w:val="lt-LT"/>
        </w:rPr>
        <w:t xml:space="preserve">ė, kad vartotojai </w:t>
      </w:r>
      <w:r w:rsidRPr="00B542A0">
        <w:rPr>
          <w:rFonts w:asciiTheme="minorHAnsi" w:hAnsiTheme="minorHAnsi" w:cstheme="minorHAnsi"/>
          <w:sz w:val="22"/>
          <w:szCs w:val="22"/>
          <w:lang w:val="lt-LT"/>
        </w:rPr>
        <w:t xml:space="preserve">gali bet </w:t>
      </w:r>
      <w:r>
        <w:rPr>
          <w:rFonts w:asciiTheme="minorHAnsi" w:hAnsiTheme="minorHAnsi" w:cstheme="minorHAnsi"/>
          <w:sz w:val="22"/>
          <w:szCs w:val="22"/>
          <w:lang w:val="lt-LT"/>
        </w:rPr>
        <w:t>kada sustabdyti savo dalyvavimą, susisiekę</w:t>
      </w:r>
      <w:r w:rsidRPr="00B542A0">
        <w:rPr>
          <w:rFonts w:asciiTheme="minorHAnsi" w:hAnsiTheme="minorHAnsi" w:cstheme="minorHAnsi"/>
          <w:sz w:val="22"/>
          <w:szCs w:val="22"/>
          <w:lang w:val="lt-LT"/>
        </w:rPr>
        <w:t xml:space="preserve"> nurodytais kontaktais</w:t>
      </w:r>
      <w:r>
        <w:rPr>
          <w:rFonts w:asciiTheme="minorHAnsi" w:hAnsiTheme="minorHAnsi" w:cstheme="minorHAnsi"/>
          <w:sz w:val="22"/>
          <w:szCs w:val="22"/>
          <w:lang w:val="lt-LT"/>
        </w:rPr>
        <w:t>, o n</w:t>
      </w:r>
      <w:r w:rsidRPr="00B542A0">
        <w:rPr>
          <w:rFonts w:asciiTheme="minorHAnsi" w:hAnsiTheme="minorHAnsi" w:cstheme="minorHAnsi"/>
          <w:sz w:val="22"/>
          <w:szCs w:val="22"/>
          <w:lang w:val="lt-LT"/>
        </w:rPr>
        <w:t>uo pranešimo gavimo dalyvavimas programoje bus nutrauktas ir maisto papildai</w:t>
      </w:r>
      <w:r>
        <w:rPr>
          <w:rFonts w:asciiTheme="minorHAnsi" w:hAnsiTheme="minorHAnsi" w:cstheme="minorHAnsi"/>
          <w:sz w:val="22"/>
          <w:szCs w:val="22"/>
          <w:lang w:val="lt-LT"/>
        </w:rPr>
        <w:t xml:space="preserve"> </w:t>
      </w:r>
      <w:r w:rsidRPr="00B542A0">
        <w:rPr>
          <w:rFonts w:asciiTheme="minorHAnsi" w:hAnsiTheme="minorHAnsi" w:cstheme="minorHAnsi"/>
          <w:sz w:val="22"/>
          <w:szCs w:val="22"/>
          <w:lang w:val="lt-LT"/>
        </w:rPr>
        <w:t>nebebus siunčiami. </w:t>
      </w:r>
      <w:r>
        <w:rPr>
          <w:rFonts w:asciiTheme="minorHAnsi" w:hAnsiTheme="minorHAnsi" w:cstheme="minorHAnsi"/>
          <w:sz w:val="22"/>
          <w:szCs w:val="22"/>
          <w:lang w:val="lt-LT"/>
        </w:rPr>
        <w:t xml:space="preserve">Kadangi </w:t>
      </w:r>
      <w:r w:rsidRPr="00B542A0">
        <w:rPr>
          <w:rFonts w:asciiTheme="minorHAnsi" w:hAnsiTheme="minorHAnsi" w:cstheme="minorHAnsi"/>
          <w:sz w:val="22"/>
          <w:szCs w:val="22"/>
          <w:lang w:val="lt-LT"/>
        </w:rPr>
        <w:t>pareiškėjas</w:t>
      </w:r>
      <w:r>
        <w:rPr>
          <w:rFonts w:asciiTheme="minorHAnsi" w:hAnsiTheme="minorHAnsi" w:cstheme="minorHAnsi"/>
          <w:sz w:val="22"/>
          <w:szCs w:val="22"/>
          <w:lang w:val="lt-LT"/>
        </w:rPr>
        <w:t xml:space="preserve">, gavęs vartotojų </w:t>
      </w:r>
      <w:r w:rsidRPr="00B542A0">
        <w:rPr>
          <w:rFonts w:asciiTheme="minorHAnsi" w:hAnsiTheme="minorHAnsi" w:cstheme="minorHAnsi"/>
          <w:sz w:val="22"/>
          <w:szCs w:val="22"/>
          <w:lang w:val="lt-LT"/>
        </w:rPr>
        <w:t xml:space="preserve">atsisakymus telefonu nuo tolimesnio dalyvavimo programoje ir pareiškus apie pageidavimą daugiau </w:t>
      </w:r>
      <w:r>
        <w:rPr>
          <w:rFonts w:asciiTheme="minorHAnsi" w:hAnsiTheme="minorHAnsi" w:cstheme="minorHAnsi"/>
          <w:sz w:val="22"/>
          <w:szCs w:val="22"/>
          <w:lang w:val="lt-LT"/>
        </w:rPr>
        <w:t>ne</w:t>
      </w:r>
      <w:r w:rsidRPr="00B542A0">
        <w:rPr>
          <w:rFonts w:asciiTheme="minorHAnsi" w:hAnsiTheme="minorHAnsi" w:cstheme="minorHAnsi"/>
          <w:sz w:val="22"/>
          <w:szCs w:val="22"/>
          <w:lang w:val="lt-LT"/>
        </w:rPr>
        <w:t xml:space="preserve">gauti maisto papildų, </w:t>
      </w:r>
      <w:r>
        <w:rPr>
          <w:rFonts w:asciiTheme="minorHAnsi" w:hAnsiTheme="minorHAnsi" w:cstheme="minorHAnsi"/>
          <w:sz w:val="22"/>
          <w:szCs w:val="22"/>
          <w:lang w:val="lt-LT"/>
        </w:rPr>
        <w:t>toliau siuntė maisto papildų pakuotes kartu su</w:t>
      </w:r>
      <w:r w:rsidRPr="00B542A0">
        <w:rPr>
          <w:rFonts w:asciiTheme="minorHAnsi" w:hAnsiTheme="minorHAnsi" w:cstheme="minorHAnsi"/>
          <w:sz w:val="22"/>
          <w:szCs w:val="22"/>
          <w:lang w:val="lt-LT"/>
        </w:rPr>
        <w:t xml:space="preserve"> sąskait</w:t>
      </w:r>
      <w:r>
        <w:rPr>
          <w:rFonts w:asciiTheme="minorHAnsi" w:hAnsiTheme="minorHAnsi" w:cstheme="minorHAnsi"/>
          <w:sz w:val="22"/>
          <w:szCs w:val="22"/>
          <w:lang w:val="lt-LT"/>
        </w:rPr>
        <w:t>omis faktūromi</w:t>
      </w:r>
      <w:r w:rsidRPr="00B542A0">
        <w:rPr>
          <w:rFonts w:asciiTheme="minorHAnsi" w:hAnsiTheme="minorHAnsi" w:cstheme="minorHAnsi"/>
          <w:sz w:val="22"/>
          <w:szCs w:val="22"/>
          <w:lang w:val="lt-LT"/>
        </w:rPr>
        <w:t>s</w:t>
      </w:r>
      <w:r>
        <w:rPr>
          <w:rFonts w:asciiTheme="minorHAnsi" w:hAnsiTheme="minorHAnsi" w:cstheme="minorHAnsi"/>
          <w:sz w:val="22"/>
          <w:szCs w:val="22"/>
          <w:lang w:val="lt-LT"/>
        </w:rPr>
        <w:t>, Valstybinė</w:t>
      </w:r>
      <w:r w:rsidRPr="00B542A0">
        <w:rPr>
          <w:rFonts w:asciiTheme="minorHAnsi" w:hAnsiTheme="minorHAnsi" w:cstheme="minorHAnsi"/>
          <w:sz w:val="22"/>
          <w:szCs w:val="22"/>
          <w:lang w:val="lt-LT"/>
        </w:rPr>
        <w:t xml:space="preserve"> va</w:t>
      </w:r>
      <w:r>
        <w:rPr>
          <w:rFonts w:asciiTheme="minorHAnsi" w:hAnsiTheme="minorHAnsi" w:cstheme="minorHAnsi"/>
          <w:sz w:val="22"/>
          <w:szCs w:val="22"/>
          <w:lang w:val="lt-LT"/>
        </w:rPr>
        <w:t>rtotojų teisių apsaugos tarnyba</w:t>
      </w:r>
      <w:r w:rsidRPr="00B542A0">
        <w:rPr>
          <w:rFonts w:asciiTheme="minorHAnsi" w:hAnsiTheme="minorHAnsi" w:cstheme="minorHAnsi"/>
          <w:sz w:val="22"/>
          <w:szCs w:val="22"/>
          <w:lang w:val="lt-LT"/>
        </w:rPr>
        <w:t xml:space="preserve"> (toliau – ir VVTAT) nutarim</w:t>
      </w:r>
      <w:r>
        <w:rPr>
          <w:rFonts w:asciiTheme="minorHAnsi" w:hAnsiTheme="minorHAnsi" w:cstheme="minorHAnsi"/>
          <w:sz w:val="22"/>
          <w:szCs w:val="22"/>
          <w:lang w:val="lt-LT"/>
        </w:rPr>
        <w:t>u nustatė Nesąžiningos komercinės veiklos vartotojams draudimo įstatymo 3 straipsnio 1 dalies pažeidimą ir pareiškėjui skyrė baudą</w:t>
      </w:r>
      <w:r w:rsidRPr="00B542A0">
        <w:rPr>
          <w:rFonts w:asciiTheme="minorHAnsi" w:hAnsiTheme="minorHAnsi" w:cstheme="minorHAnsi"/>
          <w:sz w:val="22"/>
          <w:szCs w:val="22"/>
          <w:lang w:val="lt-LT"/>
        </w:rPr>
        <w:t>.</w:t>
      </w:r>
    </w:p>
    <w:p w:rsidR="00985325" w:rsidRPr="00B542A0" w:rsidRDefault="00985325" w:rsidP="00985325">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Pr>
          <w:rFonts w:asciiTheme="minorHAnsi" w:hAnsiTheme="minorHAnsi" w:cstheme="minorHAnsi"/>
          <w:sz w:val="22"/>
          <w:szCs w:val="22"/>
          <w:lang w:val="lt-LT"/>
        </w:rPr>
        <w:t>T</w:t>
      </w:r>
      <w:r w:rsidRPr="00B542A0">
        <w:rPr>
          <w:rFonts w:asciiTheme="minorHAnsi" w:hAnsiTheme="minorHAnsi" w:cstheme="minorHAnsi"/>
          <w:sz w:val="22"/>
          <w:szCs w:val="22"/>
          <w:lang w:val="lt-LT"/>
        </w:rPr>
        <w:t>eisėjų kolegija konstat</w:t>
      </w:r>
      <w:r>
        <w:rPr>
          <w:rFonts w:asciiTheme="minorHAnsi" w:hAnsiTheme="minorHAnsi" w:cstheme="minorHAnsi"/>
          <w:sz w:val="22"/>
          <w:szCs w:val="22"/>
          <w:lang w:val="lt-LT"/>
        </w:rPr>
        <w:t>avo</w:t>
      </w:r>
      <w:r w:rsidRPr="00B542A0">
        <w:rPr>
          <w:rFonts w:asciiTheme="minorHAnsi" w:hAnsiTheme="minorHAnsi" w:cstheme="minorHAnsi"/>
          <w:sz w:val="22"/>
          <w:szCs w:val="22"/>
          <w:lang w:val="lt-LT"/>
        </w:rPr>
        <w:t>, kad pirmosios instancijos teismas pagrįstai pripažino, kad toks pareiškėjo elgesys neatitinka profesinio atidumo reikalavimų ir iš esmės iškreipia arba gali iš esmės iškreipti vidutinio vartotojo ekonominį elgesį dėl siūlomo produkto, taip pat liudija apie tai, kad pareiškėjas nesilaikė profesinio atidumo reikalavimų, sąlygojusių iškreiptą vidutinio vartotojo elgesį dėl parduodamo produkto.</w:t>
      </w:r>
    </w:p>
    <w:p w:rsidR="00985325" w:rsidRPr="00B542A0" w:rsidRDefault="00985325" w:rsidP="00985325">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sidRPr="00B542A0">
        <w:rPr>
          <w:rFonts w:asciiTheme="minorHAnsi" w:hAnsiTheme="minorHAnsi" w:cstheme="minorHAnsi"/>
          <w:sz w:val="22"/>
          <w:szCs w:val="22"/>
          <w:lang w:val="lt-LT"/>
        </w:rPr>
        <w:lastRenderedPageBreak/>
        <w:t xml:space="preserve">Teisėjų kolegijos vertinimu, </w:t>
      </w:r>
      <w:r>
        <w:rPr>
          <w:rFonts w:asciiTheme="minorHAnsi" w:hAnsiTheme="minorHAnsi" w:cstheme="minorHAnsi"/>
          <w:sz w:val="22"/>
          <w:szCs w:val="22"/>
          <w:lang w:val="lt-LT"/>
        </w:rPr>
        <w:t>VVTAT</w:t>
      </w:r>
      <w:r w:rsidRPr="00B542A0">
        <w:rPr>
          <w:rFonts w:asciiTheme="minorHAnsi" w:hAnsiTheme="minorHAnsi" w:cstheme="minorHAnsi"/>
          <w:sz w:val="22"/>
          <w:szCs w:val="22"/>
          <w:lang w:val="lt-LT"/>
        </w:rPr>
        <w:t xml:space="preserve"> visiškai pagrįstai konstatavo, kad pareiškėjas pažeidė </w:t>
      </w:r>
      <w:r>
        <w:rPr>
          <w:rFonts w:asciiTheme="minorHAnsi" w:hAnsiTheme="minorHAnsi" w:cstheme="minorHAnsi"/>
          <w:sz w:val="22"/>
          <w:szCs w:val="22"/>
          <w:lang w:val="lt-LT"/>
        </w:rPr>
        <w:t>Nesąžiningos komercinės veiklos vartotojams draudimo į</w:t>
      </w:r>
      <w:r w:rsidRPr="00B542A0">
        <w:rPr>
          <w:rFonts w:asciiTheme="minorHAnsi" w:hAnsiTheme="minorHAnsi" w:cstheme="minorHAnsi"/>
          <w:sz w:val="22"/>
          <w:szCs w:val="22"/>
          <w:lang w:val="lt-LT"/>
        </w:rPr>
        <w:t xml:space="preserve">statymo 8 straipsnio 1 dalį. Akivaizdu, jog </w:t>
      </w:r>
      <w:r w:rsidRPr="009E5852">
        <w:rPr>
          <w:rFonts w:asciiTheme="minorHAnsi" w:hAnsiTheme="minorHAnsi" w:cstheme="minorHAnsi"/>
          <w:sz w:val="22"/>
          <w:szCs w:val="22"/>
          <w:u w:val="single"/>
          <w:lang w:val="lt-LT"/>
        </w:rPr>
        <w:t>pareiškėjo veiksmai, kai, vartotojoms aiškiai ir konkrečiai atsisakius joms siunčiamų prekių ir pačiam pareiškėjui pripažįstant buvus tokį atsisakymą, prekės toliau yra siunčiamos, papildomai pateikiant iš dalies grasinančio pobūdžio priminimus apie įsiskolinimą, nors prekių asmenys nepirko ir jų neužsakė, negali būti vertinami niekaip kitaip</w:t>
      </w:r>
      <w:r>
        <w:rPr>
          <w:rFonts w:asciiTheme="minorHAnsi" w:hAnsiTheme="minorHAnsi" w:cstheme="minorHAnsi"/>
          <w:sz w:val="22"/>
          <w:szCs w:val="22"/>
          <w:u w:val="single"/>
          <w:lang w:val="lt-LT"/>
        </w:rPr>
        <w:t>,</w:t>
      </w:r>
      <w:r w:rsidRPr="009E5852">
        <w:rPr>
          <w:rFonts w:asciiTheme="minorHAnsi" w:hAnsiTheme="minorHAnsi" w:cstheme="minorHAnsi"/>
          <w:sz w:val="22"/>
          <w:szCs w:val="22"/>
          <w:u w:val="single"/>
          <w:lang w:val="lt-LT"/>
        </w:rPr>
        <w:t xml:space="preserve"> kaip agresyvi komercinė veikla, atitinkanti </w:t>
      </w:r>
      <w:r w:rsidR="003D1F45">
        <w:rPr>
          <w:rFonts w:asciiTheme="minorHAnsi" w:hAnsiTheme="minorHAnsi" w:cstheme="minorHAnsi"/>
          <w:sz w:val="22"/>
          <w:szCs w:val="22"/>
          <w:u w:val="single"/>
          <w:lang w:val="lt-LT"/>
        </w:rPr>
        <w:t>minėto į</w:t>
      </w:r>
      <w:r w:rsidRPr="009E5852">
        <w:rPr>
          <w:rFonts w:asciiTheme="minorHAnsi" w:hAnsiTheme="minorHAnsi" w:cstheme="minorHAnsi"/>
          <w:sz w:val="22"/>
          <w:szCs w:val="22"/>
          <w:u w:val="single"/>
          <w:lang w:val="lt-LT"/>
        </w:rPr>
        <w:t>statymo 8 straipsnio 1 dalyje nustatytas sąlygas. Tokie veiksmai akivaizdžiai apriboja arba gali labai apriboti vidutinio vartotojo pasirinkimo laisvę arba elgesį dėl produkto, o vidutinis vartotojas skatinamas arba gali būti skatinamas priimti tokį sprendimą dėl sandorio, kurio jis kitomis aplinkybėmis nebūtų priėmęs.</w:t>
      </w:r>
      <w:r w:rsidRPr="00B542A0">
        <w:rPr>
          <w:rFonts w:asciiTheme="minorHAnsi" w:hAnsiTheme="minorHAnsi" w:cstheme="minorHAnsi"/>
          <w:sz w:val="22"/>
          <w:szCs w:val="22"/>
          <w:lang w:val="lt-LT"/>
        </w:rPr>
        <w:t xml:space="preserve"> Pabrėžta ir tai, jog </w:t>
      </w:r>
      <w:r>
        <w:rPr>
          <w:rFonts w:asciiTheme="minorHAnsi" w:hAnsiTheme="minorHAnsi" w:cstheme="minorHAnsi"/>
          <w:sz w:val="22"/>
          <w:szCs w:val="22"/>
          <w:lang w:val="lt-LT"/>
        </w:rPr>
        <w:t>nustatytos aplinkybės patvirtino</w:t>
      </w:r>
      <w:r w:rsidRPr="00B542A0">
        <w:rPr>
          <w:rFonts w:asciiTheme="minorHAnsi" w:hAnsiTheme="minorHAnsi" w:cstheme="minorHAnsi"/>
          <w:sz w:val="22"/>
          <w:szCs w:val="22"/>
          <w:lang w:val="lt-LT"/>
        </w:rPr>
        <w:t>, jog agresyvaus pobūdžio veiksmai, pareiškėjui vykdant veiklą, negali būti vertinami kaip vienkartiniai.</w:t>
      </w:r>
    </w:p>
    <w:p w:rsidR="00985325" w:rsidRPr="00B542A0" w:rsidRDefault="00985325" w:rsidP="00985325">
      <w:pPr>
        <w:ind w:firstLine="567"/>
        <w:jc w:val="both"/>
        <w:rPr>
          <w:rFonts w:asciiTheme="minorHAnsi" w:hAnsiTheme="minorHAnsi" w:cstheme="minorHAnsi"/>
          <w:sz w:val="22"/>
          <w:szCs w:val="22"/>
        </w:rPr>
      </w:pPr>
      <w:r w:rsidRPr="00B542A0">
        <w:rPr>
          <w:rFonts w:asciiTheme="minorHAnsi" w:hAnsiTheme="minorHAnsi" w:cstheme="minorHAnsi"/>
          <w:sz w:val="22"/>
          <w:szCs w:val="22"/>
        </w:rPr>
        <w:t>Pirmosios instancijos teismo sprendimas paliktas nepakeistas.</w:t>
      </w:r>
    </w:p>
    <w:p w:rsidR="00EC0773" w:rsidRPr="00B542A0" w:rsidRDefault="00EC0773" w:rsidP="00025BA1">
      <w:pPr>
        <w:ind w:firstLine="567"/>
        <w:jc w:val="both"/>
        <w:rPr>
          <w:rFonts w:asciiTheme="minorHAnsi" w:hAnsiTheme="minorHAnsi" w:cstheme="minorHAnsi"/>
          <w:sz w:val="22"/>
          <w:szCs w:val="22"/>
        </w:rPr>
      </w:pPr>
    </w:p>
    <w:p w:rsidR="00EC0773" w:rsidRPr="00B542A0" w:rsidRDefault="00EC0773" w:rsidP="00025BA1">
      <w:pPr>
        <w:jc w:val="both"/>
        <w:rPr>
          <w:rFonts w:asciiTheme="minorHAnsi" w:hAnsiTheme="minorHAnsi" w:cstheme="minorHAnsi"/>
          <w:sz w:val="22"/>
          <w:szCs w:val="22"/>
        </w:rPr>
      </w:pPr>
      <w:r w:rsidRPr="00B542A0">
        <w:rPr>
          <w:rFonts w:asciiTheme="minorHAnsi" w:hAnsiTheme="minorHAnsi" w:cstheme="minorHAnsi"/>
          <w:sz w:val="22"/>
          <w:szCs w:val="22"/>
        </w:rPr>
        <w:t>2019 m. vasario 7 d. nutartis administracinėje byloje Nr. A-204-756/2019</w:t>
      </w:r>
    </w:p>
    <w:p w:rsidR="00EC0773" w:rsidRPr="00B542A0" w:rsidRDefault="00EC0773" w:rsidP="00025BA1">
      <w:pPr>
        <w:jc w:val="both"/>
        <w:rPr>
          <w:rFonts w:asciiTheme="minorHAnsi" w:hAnsiTheme="minorHAnsi" w:cstheme="minorHAnsi"/>
          <w:sz w:val="22"/>
          <w:szCs w:val="22"/>
        </w:rPr>
      </w:pPr>
      <w:r w:rsidRPr="00B542A0">
        <w:rPr>
          <w:rFonts w:asciiTheme="minorHAnsi" w:hAnsiTheme="minorHAnsi" w:cstheme="minorHAnsi"/>
          <w:sz w:val="22"/>
          <w:szCs w:val="22"/>
        </w:rPr>
        <w:t>Teisminio proceso Nr. 3-61-3-04238-2016-9</w:t>
      </w:r>
    </w:p>
    <w:p w:rsidR="00EC0773" w:rsidRPr="00B542A0" w:rsidRDefault="00EC0773" w:rsidP="00025BA1">
      <w:pPr>
        <w:jc w:val="both"/>
        <w:rPr>
          <w:rFonts w:asciiTheme="minorHAnsi" w:hAnsiTheme="minorHAnsi" w:cstheme="minorHAnsi"/>
          <w:sz w:val="22"/>
          <w:szCs w:val="22"/>
        </w:rPr>
      </w:pPr>
      <w:r w:rsidRPr="00B542A0">
        <w:rPr>
          <w:rFonts w:asciiTheme="minorHAnsi" w:hAnsiTheme="minorHAnsi" w:cstheme="minorHAnsi"/>
          <w:sz w:val="22"/>
          <w:szCs w:val="22"/>
        </w:rPr>
        <w:t>Procesinio sprendimo kategorija 41</w:t>
      </w:r>
    </w:p>
    <w:p w:rsidR="00EC0773" w:rsidRDefault="004264B2" w:rsidP="00025BA1">
      <w:pPr>
        <w:jc w:val="both"/>
      </w:pPr>
      <w:hyperlink r:id="rId20" w:history="1">
        <w:r w:rsidR="00EC0773" w:rsidRPr="00B542A0">
          <w:rPr>
            <w:rStyle w:val="Hipersaitas"/>
            <w:rFonts w:asciiTheme="minorHAnsi" w:hAnsiTheme="minorHAnsi" w:cstheme="minorHAnsi"/>
            <w:sz w:val="22"/>
            <w:szCs w:val="22"/>
          </w:rPr>
          <w:t>Prieiga internete</w:t>
        </w:r>
      </w:hyperlink>
    </w:p>
    <w:p w:rsidR="00EC0773" w:rsidRDefault="00EC0773" w:rsidP="00025BA1">
      <w:pPr>
        <w:jc w:val="both"/>
        <w:rPr>
          <w:rStyle w:val="Hipersaitas"/>
          <w:rFonts w:asciiTheme="minorHAnsi" w:hAnsiTheme="minorHAnsi" w:cstheme="minorHAnsi"/>
          <w:sz w:val="22"/>
          <w:szCs w:val="22"/>
        </w:rPr>
      </w:pPr>
    </w:p>
    <w:p w:rsidR="008A2FA6" w:rsidRPr="008A2FA6" w:rsidRDefault="008A2FA6" w:rsidP="00025BA1">
      <w:pPr>
        <w:pStyle w:val="Antrat2"/>
        <w:rPr>
          <w:i w:val="0"/>
        </w:rPr>
      </w:pPr>
      <w:bookmarkStart w:id="47" w:name="_Toc7451481"/>
      <w:r w:rsidRPr="008A2FA6">
        <w:t xml:space="preserve">Dėl </w:t>
      </w:r>
      <w:r w:rsidR="00985325">
        <w:t xml:space="preserve">turto ar verslo </w:t>
      </w:r>
      <w:r w:rsidRPr="008A2FA6">
        <w:t xml:space="preserve">vertintojo </w:t>
      </w:r>
      <w:r w:rsidR="00A1773F">
        <w:t>drausminės</w:t>
      </w:r>
      <w:r w:rsidRPr="008A2FA6">
        <w:t xml:space="preserve"> atsakomybės aspektų</w:t>
      </w:r>
      <w:bookmarkEnd w:id="47"/>
      <w:r w:rsidRPr="008A2FA6">
        <w:t xml:space="preserve"> </w:t>
      </w:r>
    </w:p>
    <w:p w:rsidR="008A2FA6" w:rsidRPr="008A2FA6" w:rsidRDefault="008A2FA6" w:rsidP="00025BA1">
      <w:pPr>
        <w:ind w:firstLine="567"/>
        <w:jc w:val="both"/>
        <w:rPr>
          <w:rFonts w:asciiTheme="minorHAnsi" w:eastAsiaTheme="minorEastAsia" w:hAnsiTheme="minorHAnsi" w:cstheme="minorHAnsi"/>
          <w:sz w:val="22"/>
          <w:szCs w:val="22"/>
        </w:rPr>
      </w:pPr>
    </w:p>
    <w:p w:rsidR="008A2FA6" w:rsidRPr="008A2FA6" w:rsidRDefault="008A2FA6" w:rsidP="00025BA1">
      <w:pPr>
        <w:ind w:firstLine="567"/>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Nagrinėtoje byloje buvo keliamas ginčas dėl Turto arba verslo vertintojų garbės teismo sprendimo, kuriuo pareiškėjui skirta drausminė nuobauda – pastaba, pagrįstumo ir teisėtumo. Nuobauda skirta už tai, kad pareiškėjo parengtoje ataskaitoje nebuvo pateikti dviejų taikytų koeficientų pagrindimai, t. y. </w:t>
      </w:r>
      <w:r w:rsidRPr="008A2FA6">
        <w:rPr>
          <w:rFonts w:asciiTheme="minorHAnsi" w:hAnsiTheme="minorHAnsi" w:cstheme="minorHAnsi"/>
          <w:sz w:val="22"/>
          <w:szCs w:val="22"/>
        </w:rPr>
        <w:t>ataskaitoje buvo pateikti ne išsamūs skaičiavimai, kaip to reikalauja įstatymas ir teismų praktika, o nuoroda į konkretų teisės aktą. Atsakovo vertinimu, nuorodos į teisės aktą pateikimas nelaikytinas tinkamu reikalavimo pagrįsti vertės nustatymo dydžius įgyvendinimu.</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eastAsiaTheme="minorEastAsia" w:hAnsiTheme="minorHAnsi" w:cstheme="minorHAnsi"/>
          <w:sz w:val="22"/>
          <w:szCs w:val="22"/>
        </w:rPr>
        <w:t xml:space="preserve">Bylą nagrinėjusi išplėstinė teisėjų kolegija, įvertinusi Turto ir verslo vertinimo pagrindų įstatymo (toliau – Įstatymas) 29 straipsnį, kuriame reglamentuota turto vertintojų drausminė atsakomybė, </w:t>
      </w:r>
      <w:r w:rsidRPr="008A2FA6">
        <w:rPr>
          <w:rFonts w:asciiTheme="minorHAnsi" w:hAnsiTheme="minorHAnsi" w:cstheme="minorHAnsi"/>
          <w:sz w:val="22"/>
          <w:szCs w:val="22"/>
        </w:rPr>
        <w:t xml:space="preserve">konstatavo, kad Įstatymas nenustato jokių specialiųjų drausminės atsakomybės atsiradimo pagrindų ir sąlygų. </w:t>
      </w:r>
      <w:bookmarkStart w:id="48" w:name="part_306bd8cc4f1841f4a3c3942c96674d0a"/>
      <w:bookmarkEnd w:id="48"/>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Išplėstinė teisėjų kolegija konstatavo, kad </w:t>
      </w:r>
      <w:r w:rsidR="00AE3F5C">
        <w:rPr>
          <w:rFonts w:asciiTheme="minorHAnsi" w:hAnsiTheme="minorHAnsi" w:cstheme="minorHAnsi"/>
          <w:sz w:val="22"/>
          <w:szCs w:val="22"/>
        </w:rPr>
        <w:t>LVAT</w:t>
      </w:r>
      <w:r w:rsidRPr="008A2FA6">
        <w:rPr>
          <w:rFonts w:asciiTheme="minorHAnsi" w:hAnsiTheme="minorHAnsi" w:cstheme="minorHAnsi"/>
          <w:sz w:val="22"/>
          <w:szCs w:val="22"/>
        </w:rPr>
        <w:t xml:space="preserve"> praktika aiškinant turto vertintojų drausminės atsakomybės kilimo pagrindus nėra vienoda (pvz., kai kuriose LVAT nutartyse panašiose bylose pateikiamas teisės aiškinimas dėl teisinių pagrindų turto vertintojų drausminei atsakomybei kilti, kuriuo pažeidimo akivaizdumas, jo šiurkštumas ir kylančios pasekmės (žalos padarymas)</w:t>
      </w:r>
      <w:r w:rsidR="00F23A3E">
        <w:rPr>
          <w:rFonts w:asciiTheme="minorHAnsi" w:hAnsiTheme="minorHAnsi" w:cstheme="minorHAnsi"/>
          <w:sz w:val="22"/>
          <w:szCs w:val="22"/>
        </w:rPr>
        <w:t>,</w:t>
      </w:r>
      <w:r w:rsidRPr="008A2FA6">
        <w:rPr>
          <w:rFonts w:asciiTheme="minorHAnsi" w:hAnsiTheme="minorHAnsi" w:cstheme="minorHAnsi"/>
          <w:sz w:val="22"/>
          <w:szCs w:val="22"/>
        </w:rPr>
        <w:t xml:space="preserve"> yra būtini drausminės atsakomybės atsiradimo pagrindai; kitose bylose tos pačios teisės normos aiškintos kitaip), todėl šioje byloje suformulavo vieningą poziciją. </w:t>
      </w:r>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Išplėstinė teisėjų kolegija konstatavo, kad </w:t>
      </w:r>
      <w:bookmarkStart w:id="49" w:name="part_7c2e21d9c7824dd4a9bc509dcbded92a"/>
      <w:bookmarkStart w:id="50" w:name="part_65f5e31dac6d4909b777647dc0f5c1ab"/>
      <w:bookmarkStart w:id="51" w:name="part_5bdd514a957341089fbf31b2be1e182a"/>
      <w:bookmarkStart w:id="52" w:name="part_c7a0c9b8b42045568570e441dca846d2"/>
      <w:bookmarkStart w:id="53" w:name="part_9cc3d95f559342c1ba936a866ad5c7a7"/>
      <w:bookmarkEnd w:id="49"/>
      <w:bookmarkEnd w:id="50"/>
      <w:bookmarkEnd w:id="51"/>
      <w:bookmarkEnd w:id="52"/>
      <w:bookmarkEnd w:id="53"/>
      <w:r w:rsidRPr="008A2FA6">
        <w:rPr>
          <w:rFonts w:asciiTheme="minorHAnsi" w:hAnsiTheme="minorHAnsi" w:cstheme="minorHAnsi"/>
          <w:sz w:val="22"/>
          <w:szCs w:val="22"/>
        </w:rPr>
        <w:t>turto vertintojų profesinės veiklos specifiškumu pagrįstų teismų praktikos formuojamos drausminės</w:t>
      </w:r>
      <w:r w:rsidR="00AE3F5C">
        <w:rPr>
          <w:rFonts w:asciiTheme="minorHAnsi" w:hAnsiTheme="minorHAnsi" w:cstheme="minorHAnsi"/>
          <w:sz w:val="22"/>
          <w:szCs w:val="22"/>
        </w:rPr>
        <w:t xml:space="preserve"> atsakomybės atsiradimo ypatumų,</w:t>
      </w:r>
      <w:r w:rsidRPr="008A2FA6">
        <w:rPr>
          <w:rFonts w:asciiTheme="minorHAnsi" w:hAnsiTheme="minorHAnsi" w:cstheme="minorHAnsi"/>
          <w:sz w:val="22"/>
          <w:szCs w:val="22"/>
        </w:rPr>
        <w:t xml:space="preserve"> nagrinėdama šią bylą, neįžvelgė. LVAT nurodė, jog </w:t>
      </w:r>
      <w:r w:rsidRPr="008A2FA6">
        <w:rPr>
          <w:rFonts w:asciiTheme="minorHAnsi" w:hAnsiTheme="minorHAnsi" w:cstheme="minorHAnsi"/>
          <w:sz w:val="22"/>
          <w:szCs w:val="22"/>
          <w:u w:val="single"/>
        </w:rPr>
        <w:t>iš Įstatymo nekyla prielaidų kitokiai nei ordinarinė drausminės atsakomybės kilimo pagrindų ir sąlygų apibrėžčiai būtent šios profesijos subjektams. Turto vertintojų drausminės atsakomybės pagrindas – teisės pažeidimas, su visais teisės pažeidimui būdingais sudedamaisiais elementais (subjektas, objektas, objektyvioji ir subjektyvioji pusės). Ji galima tik esant neteisėtai veikai, teisinėms pasekmėms – asmenų teisių ar teisėtų interesų pažeidimui ir priežastiniam ryšiui tarp veikos ir pasekmių bei turto vertintojo kaltei. Asmenų teisių ar teisėtų interesų pažeidimas (teisinės pasekmės) šiuo atveju yra formalaus, o ne materialaus pobūdžio, t. y. materialiosios žalos atsiradimas nėra būtinas. Pažeidimo akivaizdumas yra procedūrinio, o ne materialiojo teisinio pobūdžio aplinkybė. Jei pažeidimas akivaizdus, paprastai nereikalingi procedūriniai veiksmai siekiant nustatyti visas reikšmingas aplinkybes, apibūdinančias pažeidimo sudėtį. Pažeidimo vertinimas jo šiurkštumo aspektu, kai įstatymas nenustato tokio veikos pobūdžio, yra taikytinos nuobaudos parinkimą griežtinančia linkme lemianti aplinkybė.</w:t>
      </w:r>
      <w:r w:rsidRPr="008A2FA6">
        <w:rPr>
          <w:rFonts w:asciiTheme="minorHAnsi" w:hAnsiTheme="minorHAnsi" w:cstheme="minorHAnsi"/>
          <w:sz w:val="22"/>
          <w:szCs w:val="22"/>
        </w:rPr>
        <w:t xml:space="preserve"> </w:t>
      </w:r>
    </w:p>
    <w:p w:rsidR="008A2FA6" w:rsidRPr="008A2FA6" w:rsidRDefault="008A2FA6" w:rsidP="00025BA1">
      <w:pPr>
        <w:ind w:firstLine="567"/>
        <w:jc w:val="both"/>
        <w:rPr>
          <w:rFonts w:asciiTheme="minorHAnsi" w:hAnsiTheme="minorHAnsi" w:cstheme="minorHAnsi"/>
          <w:sz w:val="22"/>
          <w:szCs w:val="22"/>
        </w:rPr>
      </w:pPr>
      <w:bookmarkStart w:id="54" w:name="part_55986b773f9c4b2480188d387fb85829"/>
      <w:bookmarkEnd w:id="54"/>
      <w:r w:rsidRPr="008A2FA6">
        <w:rPr>
          <w:rFonts w:asciiTheme="minorHAnsi" w:hAnsiTheme="minorHAnsi" w:cstheme="minorHAnsi"/>
          <w:sz w:val="22"/>
          <w:szCs w:val="22"/>
        </w:rPr>
        <w:t xml:space="preserve">Išplėstinė teisėjų kolegija pažymėjo, kad vadovaujantis Turto arba verslo vertintojų garbės teismo nuostatų 36 punktu, priimdamas sprendimą skirti drausminę nuobaudą Garbės teismas įvertina vertintojo padaryto pažeidimo pobūdį, jo padarymo aplinkybes ir galiojančias vertintojui paskirtas drausmines nuobaudas. </w:t>
      </w:r>
      <w:bookmarkStart w:id="55" w:name="part_2bab30b797d24a13a77916387fafe5db"/>
      <w:bookmarkEnd w:id="55"/>
    </w:p>
    <w:p w:rsidR="008A2FA6" w:rsidRPr="008A2FA6" w:rsidRDefault="008A2FA6" w:rsidP="00025BA1">
      <w:pPr>
        <w:ind w:firstLine="567"/>
        <w:jc w:val="both"/>
        <w:rPr>
          <w:rFonts w:asciiTheme="minorHAnsi" w:hAnsiTheme="minorHAnsi" w:cstheme="minorHAnsi"/>
          <w:sz w:val="22"/>
          <w:szCs w:val="22"/>
        </w:rPr>
      </w:pPr>
      <w:r w:rsidRPr="008A2FA6">
        <w:rPr>
          <w:rFonts w:asciiTheme="minorHAnsi" w:hAnsiTheme="minorHAnsi" w:cstheme="minorHAnsi"/>
          <w:sz w:val="22"/>
          <w:szCs w:val="22"/>
        </w:rPr>
        <w:t xml:space="preserve">Įvertinusi byloje surinktus įrodymus bei padarytas išvadas, išplėstinė teisėjų kolegija konstatavo, kad pirmosios instancijos teismas tinkamai įvertino byloje surinktus įrodymus ir nustatė teisiškai reikšmingas aplinkybes bylai išspręsti, teisingai pritaikė ginčo teisinius santykius reglamentuojančias teisės normas, priėmė pagrįstą ir teisėtą sprendimą. Pareiškėjo apeliacinio skundo argumentai nepaneigė pirmosios instancijos teismo </w:t>
      </w:r>
      <w:r w:rsidRPr="008A2FA6">
        <w:rPr>
          <w:rFonts w:asciiTheme="minorHAnsi" w:hAnsiTheme="minorHAnsi" w:cstheme="minorHAnsi"/>
          <w:sz w:val="22"/>
          <w:szCs w:val="22"/>
        </w:rPr>
        <w:lastRenderedPageBreak/>
        <w:t xml:space="preserve">padarytos išvados dėl </w:t>
      </w:r>
      <w:r w:rsidR="00AE3F5C">
        <w:rPr>
          <w:rFonts w:asciiTheme="minorHAnsi" w:hAnsiTheme="minorHAnsi" w:cstheme="minorHAnsi"/>
          <w:sz w:val="22"/>
          <w:szCs w:val="22"/>
        </w:rPr>
        <w:t>s</w:t>
      </w:r>
      <w:r w:rsidRPr="008A2FA6">
        <w:rPr>
          <w:rFonts w:asciiTheme="minorHAnsi" w:hAnsiTheme="minorHAnsi" w:cstheme="minorHAnsi"/>
          <w:sz w:val="22"/>
          <w:szCs w:val="22"/>
        </w:rPr>
        <w:t>prendimo pagrįstumo ir teisėtumo, todėl pirmosios instancijos teismo sprendimas paliktas nepakeistas, o apeliacinis skundas atmestas.</w:t>
      </w:r>
    </w:p>
    <w:p w:rsidR="008A2FA6" w:rsidRPr="008A2FA6" w:rsidRDefault="008A2FA6" w:rsidP="00025BA1">
      <w:pPr>
        <w:ind w:firstLine="567"/>
        <w:jc w:val="both"/>
        <w:rPr>
          <w:rFonts w:asciiTheme="minorHAnsi" w:eastAsiaTheme="minorEastAsia" w:hAnsiTheme="minorHAnsi" w:cstheme="minorHAnsi"/>
          <w:sz w:val="22"/>
          <w:szCs w:val="22"/>
        </w:rPr>
      </w:pPr>
    </w:p>
    <w:p w:rsidR="008A2FA6" w:rsidRPr="008A2FA6" w:rsidRDefault="0044508C" w:rsidP="00025BA1">
      <w:pPr>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Išplėstinės teisėjų kolegijos </w:t>
      </w:r>
      <w:r w:rsidR="008A2FA6" w:rsidRPr="008A2FA6">
        <w:rPr>
          <w:rFonts w:asciiTheme="minorHAnsi" w:eastAsiaTheme="minorEastAsia" w:hAnsiTheme="minorHAnsi" w:cstheme="minorHAnsi"/>
          <w:sz w:val="22"/>
          <w:szCs w:val="22"/>
        </w:rPr>
        <w:t>2019 m. vasario 20 d. nutartis administracinėje byloje Nr. A-219-415/2019</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Teisminio proceso Nr. 3-61-3-00769-2017-5</w:t>
      </w:r>
    </w:p>
    <w:p w:rsidR="008A2FA6" w:rsidRPr="008A2FA6" w:rsidRDefault="008A2FA6" w:rsidP="00025BA1">
      <w:pPr>
        <w:jc w:val="both"/>
        <w:rPr>
          <w:rFonts w:asciiTheme="minorHAnsi" w:eastAsiaTheme="minorEastAsia" w:hAnsiTheme="minorHAnsi" w:cstheme="minorHAnsi"/>
          <w:sz w:val="22"/>
          <w:szCs w:val="22"/>
        </w:rPr>
      </w:pPr>
      <w:r w:rsidRPr="008A2FA6">
        <w:rPr>
          <w:rFonts w:asciiTheme="minorHAnsi" w:eastAsiaTheme="minorEastAsia" w:hAnsiTheme="minorHAnsi" w:cstheme="minorHAnsi"/>
          <w:sz w:val="22"/>
          <w:szCs w:val="22"/>
        </w:rPr>
        <w:t xml:space="preserve">Procesinio sprendimo kategorija 41 </w:t>
      </w:r>
    </w:p>
    <w:p w:rsidR="008A2FA6" w:rsidRPr="008A2FA6" w:rsidRDefault="004264B2" w:rsidP="00025BA1">
      <w:pPr>
        <w:jc w:val="both"/>
        <w:rPr>
          <w:rFonts w:asciiTheme="minorHAnsi" w:eastAsiaTheme="minorEastAsia" w:hAnsiTheme="minorHAnsi" w:cstheme="minorHAnsi"/>
          <w:sz w:val="22"/>
          <w:szCs w:val="22"/>
        </w:rPr>
      </w:pPr>
      <w:hyperlink r:id="rId21" w:history="1">
        <w:r w:rsidR="008A2FA6" w:rsidRPr="008A2FA6">
          <w:rPr>
            <w:rStyle w:val="Hipersaitas"/>
            <w:rFonts w:asciiTheme="minorHAnsi" w:eastAsiaTheme="minorEastAsia" w:hAnsiTheme="minorHAnsi" w:cstheme="minorHAnsi"/>
            <w:sz w:val="22"/>
            <w:szCs w:val="22"/>
          </w:rPr>
          <w:t>Prieiga internete</w:t>
        </w:r>
      </w:hyperlink>
      <w:r w:rsidR="008A2FA6" w:rsidRPr="008A2FA6">
        <w:rPr>
          <w:rFonts w:asciiTheme="minorHAnsi" w:eastAsiaTheme="minorEastAsia" w:hAnsiTheme="minorHAnsi" w:cstheme="minorHAnsi"/>
          <w:sz w:val="22"/>
          <w:szCs w:val="22"/>
        </w:rPr>
        <w:t xml:space="preserve"> </w:t>
      </w:r>
    </w:p>
    <w:p w:rsidR="008A2FA6" w:rsidRPr="008A2FA6" w:rsidRDefault="008A2FA6" w:rsidP="00025BA1">
      <w:pPr>
        <w:ind w:firstLine="567"/>
        <w:jc w:val="both"/>
        <w:rPr>
          <w:rFonts w:asciiTheme="minorHAnsi" w:eastAsiaTheme="minorEastAsia" w:hAnsiTheme="minorHAnsi" w:cstheme="minorHAnsi"/>
          <w:sz w:val="22"/>
          <w:szCs w:val="22"/>
        </w:rPr>
      </w:pPr>
    </w:p>
    <w:p w:rsidR="00A84D45" w:rsidRDefault="00A84D45" w:rsidP="00025BA1">
      <w:pPr>
        <w:pStyle w:val="Apzvalgai1"/>
        <w:rPr>
          <w:rFonts w:asciiTheme="minorHAnsi" w:hAnsiTheme="minorHAnsi" w:cstheme="minorHAnsi"/>
        </w:rPr>
      </w:pPr>
      <w:bookmarkStart w:id="56" w:name="_Toc519600876"/>
      <w:bookmarkStart w:id="57" w:name="_Toc7451482"/>
      <w:r w:rsidRPr="00B240C0">
        <w:rPr>
          <w:rFonts w:asciiTheme="minorHAnsi" w:hAnsiTheme="minorHAnsi" w:cstheme="minorHAnsi"/>
        </w:rPr>
        <w:t>II. Administracinių bylų teisena</w:t>
      </w:r>
      <w:bookmarkEnd w:id="56"/>
      <w:bookmarkEnd w:id="57"/>
    </w:p>
    <w:p w:rsidR="00D41361" w:rsidRPr="00B240C0" w:rsidRDefault="00D41361" w:rsidP="00025BA1">
      <w:pPr>
        <w:pStyle w:val="Apzvalgai1"/>
        <w:outlineLvl w:val="9"/>
        <w:rPr>
          <w:rFonts w:asciiTheme="minorHAnsi" w:hAnsiTheme="minorHAnsi" w:cstheme="minorHAnsi"/>
        </w:rPr>
      </w:pPr>
    </w:p>
    <w:p w:rsidR="00D41361" w:rsidRPr="00F95E16" w:rsidRDefault="00D41361" w:rsidP="00025BA1">
      <w:pPr>
        <w:pStyle w:val="Antrat1"/>
        <w:rPr>
          <w:rFonts w:asciiTheme="minorHAnsi" w:hAnsiTheme="minorHAnsi" w:cstheme="minorHAnsi"/>
        </w:rPr>
      </w:pPr>
      <w:bookmarkStart w:id="58" w:name="_Toc462150008"/>
      <w:bookmarkStart w:id="59" w:name="_Toc7451483"/>
      <w:r w:rsidRPr="00F95E16">
        <w:rPr>
          <w:rFonts w:asciiTheme="minorHAnsi" w:hAnsiTheme="minorHAnsi" w:cstheme="minorHAnsi"/>
        </w:rPr>
        <w:t>43. Teisė kreiptis į teismą ir jos realizavimas</w:t>
      </w:r>
      <w:bookmarkEnd w:id="58"/>
      <w:bookmarkEnd w:id="59"/>
    </w:p>
    <w:p w:rsidR="00D41361" w:rsidRDefault="00D41361" w:rsidP="00025BA1">
      <w:pPr>
        <w:ind w:left="851" w:hanging="284"/>
        <w:rPr>
          <w:rFonts w:asciiTheme="minorHAnsi" w:hAnsiTheme="minorHAnsi" w:cstheme="minorHAnsi"/>
          <w:b/>
          <w:sz w:val="22"/>
          <w:szCs w:val="22"/>
          <w:u w:val="single"/>
        </w:rPr>
      </w:pPr>
      <w:r w:rsidRPr="00D41361">
        <w:rPr>
          <w:rFonts w:asciiTheme="minorHAnsi" w:hAnsiTheme="minorHAnsi" w:cstheme="minorHAnsi"/>
          <w:b/>
          <w:sz w:val="22"/>
          <w:szCs w:val="22"/>
          <w:u w:val="single"/>
        </w:rPr>
        <w:t>43.5. Atsisakymas priimti skundą</w:t>
      </w:r>
    </w:p>
    <w:p w:rsidR="00A00FBF" w:rsidRPr="00A00FBF" w:rsidRDefault="00A00FBF" w:rsidP="00025BA1">
      <w:pPr>
        <w:ind w:left="851" w:firstLine="283"/>
        <w:jc w:val="both"/>
        <w:rPr>
          <w:rFonts w:asciiTheme="minorHAnsi" w:hAnsiTheme="minorHAnsi" w:cstheme="minorHAnsi"/>
          <w:b/>
          <w:sz w:val="22"/>
          <w:szCs w:val="22"/>
          <w:u w:val="single"/>
        </w:rPr>
      </w:pPr>
      <w:r w:rsidRPr="00A00FBF">
        <w:rPr>
          <w:rFonts w:asciiTheme="minorHAnsi" w:hAnsiTheme="minorHAnsi" w:cstheme="minorHAnsi"/>
          <w:b/>
          <w:sz w:val="22"/>
          <w:szCs w:val="22"/>
          <w:u w:val="single"/>
        </w:rPr>
        <w:t>43.5.8. Kai skundą suinteresuoto asmens vardu paduoda neįgaliotas vesti bylą asmuo</w:t>
      </w:r>
    </w:p>
    <w:p w:rsidR="00A00FBF" w:rsidRDefault="00A00FBF" w:rsidP="00025BA1">
      <w:pPr>
        <w:ind w:left="851" w:firstLine="283"/>
        <w:jc w:val="both"/>
        <w:rPr>
          <w:rFonts w:asciiTheme="minorHAnsi" w:hAnsiTheme="minorHAnsi" w:cstheme="minorHAnsi"/>
          <w:b/>
          <w:sz w:val="22"/>
          <w:szCs w:val="22"/>
          <w:u w:val="single"/>
        </w:rPr>
      </w:pPr>
    </w:p>
    <w:p w:rsidR="00A00FBF" w:rsidRPr="00EC0D17" w:rsidRDefault="00A00FBF" w:rsidP="00025BA1">
      <w:pPr>
        <w:pStyle w:val="Antrat2"/>
      </w:pPr>
      <w:bookmarkStart w:id="60" w:name="_Toc7451484"/>
      <w:r>
        <w:t>Dėl</w:t>
      </w:r>
      <w:r w:rsidR="00866596">
        <w:t xml:space="preserve"> atstovavimo, kai atstovavimo </w:t>
      </w:r>
      <w:r w:rsidR="00866596" w:rsidRPr="00866596">
        <w:t>sutartyje nėra numatyta, kad</w:t>
      </w:r>
      <w:r w:rsidR="00866596">
        <w:t xml:space="preserve"> ji galioja tam tikram terminui</w:t>
      </w:r>
      <w:bookmarkEnd w:id="60"/>
    </w:p>
    <w:p w:rsidR="00A00FBF" w:rsidRPr="00EC0D17" w:rsidRDefault="00A00FBF" w:rsidP="00025BA1">
      <w:pPr>
        <w:ind w:firstLine="567"/>
        <w:jc w:val="both"/>
        <w:rPr>
          <w:rFonts w:asciiTheme="minorHAnsi" w:hAnsiTheme="minorHAnsi" w:cstheme="minorHAnsi"/>
          <w:sz w:val="22"/>
          <w:szCs w:val="22"/>
        </w:rPr>
      </w:pPr>
    </w:p>
    <w:p w:rsidR="00A00FBF" w:rsidRDefault="00A00FBF" w:rsidP="00025BA1">
      <w:pPr>
        <w:ind w:firstLine="567"/>
        <w:jc w:val="both"/>
        <w:rPr>
          <w:rFonts w:asciiTheme="minorHAnsi" w:hAnsiTheme="minorHAnsi" w:cstheme="minorHAnsi"/>
          <w:bCs/>
          <w:sz w:val="22"/>
          <w:szCs w:val="22"/>
        </w:rPr>
      </w:pPr>
      <w:r w:rsidRPr="000664DB">
        <w:rPr>
          <w:rFonts w:asciiTheme="minorHAnsi" w:hAnsiTheme="minorHAnsi" w:cstheme="minorHAnsi"/>
          <w:bCs/>
          <w:sz w:val="22"/>
          <w:szCs w:val="22"/>
        </w:rPr>
        <w:t xml:space="preserve">Pirmosios instancijos teismas pareiškėjo skundą atsisakė priimti </w:t>
      </w:r>
      <w:r w:rsidRPr="00A00FBF">
        <w:rPr>
          <w:rFonts w:asciiTheme="minorHAnsi" w:hAnsiTheme="minorHAnsi" w:cstheme="minorHAnsi"/>
          <w:bCs/>
          <w:sz w:val="22"/>
          <w:szCs w:val="22"/>
        </w:rPr>
        <w:t>konstatavęs, kad skundas paduotas neįgalioto vesti bylą asmens</w:t>
      </w:r>
      <w:r w:rsidR="00DE47DA">
        <w:rPr>
          <w:rFonts w:asciiTheme="minorHAnsi" w:hAnsiTheme="minorHAnsi" w:cstheme="minorHAnsi"/>
          <w:bCs/>
          <w:sz w:val="22"/>
          <w:szCs w:val="22"/>
        </w:rPr>
        <w:t>,</w:t>
      </w:r>
      <w:r w:rsidR="00DE47DA" w:rsidRPr="00DE47DA">
        <w:rPr>
          <w:rFonts w:asciiTheme="minorHAnsi" w:hAnsiTheme="minorHAnsi" w:cstheme="minorHAnsi"/>
          <w:bCs/>
          <w:sz w:val="22"/>
          <w:szCs w:val="22"/>
        </w:rPr>
        <w:t xml:space="preserve"> </w:t>
      </w:r>
      <w:r w:rsidR="00DE47DA">
        <w:rPr>
          <w:rFonts w:asciiTheme="minorHAnsi" w:hAnsiTheme="minorHAnsi" w:cstheme="minorHAnsi"/>
          <w:bCs/>
          <w:sz w:val="22"/>
          <w:szCs w:val="22"/>
        </w:rPr>
        <w:t xml:space="preserve">kadangi </w:t>
      </w:r>
      <w:r w:rsidR="00DE47DA" w:rsidRPr="00A00FBF">
        <w:rPr>
          <w:rFonts w:asciiTheme="minorHAnsi" w:hAnsiTheme="minorHAnsi" w:cstheme="minorHAnsi"/>
          <w:bCs/>
          <w:sz w:val="22"/>
          <w:szCs w:val="22"/>
        </w:rPr>
        <w:t xml:space="preserve">teisinių paslaugų teikimo sutartyje </w:t>
      </w:r>
      <w:r w:rsidR="008E24CC" w:rsidRPr="003D1F45">
        <w:rPr>
          <w:rFonts w:asciiTheme="minorHAnsi" w:hAnsiTheme="minorHAnsi" w:cstheme="minorHAnsi"/>
          <w:bCs/>
          <w:sz w:val="22"/>
          <w:szCs w:val="22"/>
        </w:rPr>
        <w:t>nebuvo aptartas</w:t>
      </w:r>
      <w:r w:rsidR="008E24CC" w:rsidRPr="00A00FBF">
        <w:rPr>
          <w:rFonts w:asciiTheme="minorHAnsi" w:hAnsiTheme="minorHAnsi" w:cstheme="minorHAnsi"/>
          <w:bCs/>
          <w:sz w:val="22"/>
          <w:szCs w:val="22"/>
        </w:rPr>
        <w:t xml:space="preserve"> </w:t>
      </w:r>
      <w:r w:rsidR="00DE47DA" w:rsidRPr="00A00FBF">
        <w:rPr>
          <w:rFonts w:asciiTheme="minorHAnsi" w:hAnsiTheme="minorHAnsi" w:cstheme="minorHAnsi"/>
          <w:bCs/>
          <w:sz w:val="22"/>
          <w:szCs w:val="22"/>
        </w:rPr>
        <w:t>teisinių paslaugų teikimo terminas</w:t>
      </w:r>
      <w:r w:rsidR="00DE47DA">
        <w:rPr>
          <w:rFonts w:asciiTheme="minorHAnsi" w:hAnsiTheme="minorHAnsi" w:cstheme="minorHAnsi"/>
          <w:bCs/>
          <w:sz w:val="22"/>
          <w:szCs w:val="22"/>
        </w:rPr>
        <w:t>.</w:t>
      </w:r>
    </w:p>
    <w:p w:rsidR="00A00FBF" w:rsidRPr="00A00FBF" w:rsidRDefault="00A00FBF" w:rsidP="00025BA1">
      <w:pPr>
        <w:ind w:firstLine="567"/>
        <w:jc w:val="both"/>
        <w:rPr>
          <w:rFonts w:asciiTheme="minorHAnsi" w:hAnsiTheme="minorHAnsi" w:cstheme="minorHAnsi"/>
          <w:bCs/>
          <w:sz w:val="22"/>
          <w:szCs w:val="22"/>
        </w:rPr>
      </w:pPr>
      <w:r w:rsidRPr="00A00FBF">
        <w:rPr>
          <w:rFonts w:asciiTheme="minorHAnsi" w:hAnsiTheme="minorHAnsi" w:cstheme="minorHAnsi"/>
          <w:bCs/>
          <w:sz w:val="22"/>
          <w:szCs w:val="22"/>
        </w:rPr>
        <w:t>Iš byloje esančių duomenų</w:t>
      </w:r>
      <w:r>
        <w:rPr>
          <w:rFonts w:asciiTheme="minorHAnsi" w:hAnsiTheme="minorHAnsi" w:cstheme="minorHAnsi"/>
          <w:bCs/>
          <w:sz w:val="22"/>
          <w:szCs w:val="22"/>
        </w:rPr>
        <w:t xml:space="preserve"> buvo </w:t>
      </w:r>
      <w:r w:rsidRPr="00A00FBF">
        <w:rPr>
          <w:rFonts w:asciiTheme="minorHAnsi" w:hAnsiTheme="minorHAnsi" w:cstheme="minorHAnsi"/>
          <w:bCs/>
          <w:sz w:val="22"/>
          <w:szCs w:val="22"/>
        </w:rPr>
        <w:t>matyti, kad 2018 m. lapkričio 23 d. pareiškėjo vardu advokata</w:t>
      </w:r>
      <w:r>
        <w:rPr>
          <w:rFonts w:asciiTheme="minorHAnsi" w:hAnsiTheme="minorHAnsi" w:cstheme="minorHAnsi"/>
          <w:bCs/>
          <w:sz w:val="22"/>
          <w:szCs w:val="22"/>
        </w:rPr>
        <w:t>s</w:t>
      </w:r>
      <w:r w:rsidRPr="00A00FBF">
        <w:rPr>
          <w:rFonts w:asciiTheme="minorHAnsi" w:hAnsiTheme="minorHAnsi" w:cstheme="minorHAnsi"/>
          <w:bCs/>
          <w:sz w:val="22"/>
          <w:szCs w:val="22"/>
        </w:rPr>
        <w:t xml:space="preserve"> pateikė skundą, kartu su skundu buvo pateikti išrašas iš sutarties dėl teisinių paslaugų teikimo ir pavedimas teikti teisines paslaugas. </w:t>
      </w:r>
    </w:p>
    <w:p w:rsidR="00A00FBF" w:rsidRPr="00A00FBF" w:rsidRDefault="004C384F" w:rsidP="00025BA1">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pažymėjo, kad A</w:t>
      </w:r>
      <w:r w:rsidR="00A00FBF" w:rsidRPr="00A00FBF">
        <w:rPr>
          <w:rFonts w:asciiTheme="minorHAnsi" w:hAnsiTheme="minorHAnsi" w:cstheme="minorHAnsi"/>
          <w:bCs/>
          <w:sz w:val="22"/>
          <w:szCs w:val="22"/>
        </w:rPr>
        <w:t>dvokatūros įstatymo 48 straipsnio 1 dalyje nustatyta, jog klientas su advokatu, advokatais ar advokatų profesine bendrija dėl teisinių paslaugų susitaria pasirašydami sutartį. Atlikdamas pavedimus pagal susitarimą ar paskyrimą, advokatas pateikia sutartį dėl teisinių paslaugų ar šios sutarties išrašą, advokato orderį baudžiamajame procese arba sprendimą dėl valstybės garantuojamos teisinės pagalbos suteikimo (</w:t>
      </w:r>
      <w:r>
        <w:rPr>
          <w:rFonts w:asciiTheme="minorHAnsi" w:hAnsiTheme="minorHAnsi" w:cstheme="minorHAnsi"/>
          <w:bCs/>
          <w:sz w:val="22"/>
          <w:szCs w:val="22"/>
        </w:rPr>
        <w:t>A</w:t>
      </w:r>
      <w:r w:rsidR="00A00FBF" w:rsidRPr="00A00FBF">
        <w:rPr>
          <w:rFonts w:asciiTheme="minorHAnsi" w:hAnsiTheme="minorHAnsi" w:cstheme="minorHAnsi"/>
          <w:bCs/>
          <w:sz w:val="22"/>
          <w:szCs w:val="22"/>
        </w:rPr>
        <w:t>dvokatūros įstatymo 49 str</w:t>
      </w:r>
      <w:r>
        <w:rPr>
          <w:rFonts w:asciiTheme="minorHAnsi" w:hAnsiTheme="minorHAnsi" w:cstheme="minorHAnsi"/>
          <w:bCs/>
          <w:sz w:val="22"/>
          <w:szCs w:val="22"/>
        </w:rPr>
        <w:t>.</w:t>
      </w:r>
      <w:r w:rsidR="00A00FBF" w:rsidRPr="00A00FBF">
        <w:rPr>
          <w:rFonts w:asciiTheme="minorHAnsi" w:hAnsiTheme="minorHAnsi" w:cstheme="minorHAnsi"/>
          <w:bCs/>
          <w:sz w:val="22"/>
          <w:szCs w:val="22"/>
        </w:rPr>
        <w:t xml:space="preserve"> 1 d</w:t>
      </w:r>
      <w:r>
        <w:rPr>
          <w:rFonts w:asciiTheme="minorHAnsi" w:hAnsiTheme="minorHAnsi" w:cstheme="minorHAnsi"/>
          <w:bCs/>
          <w:sz w:val="22"/>
          <w:szCs w:val="22"/>
        </w:rPr>
        <w:t>.</w:t>
      </w:r>
      <w:r w:rsidR="00A00FBF" w:rsidRPr="00A00FBF">
        <w:rPr>
          <w:rFonts w:asciiTheme="minorHAnsi" w:hAnsiTheme="minorHAnsi" w:cstheme="minorHAnsi"/>
          <w:bCs/>
          <w:sz w:val="22"/>
          <w:szCs w:val="22"/>
        </w:rPr>
        <w:t>).</w:t>
      </w:r>
    </w:p>
    <w:p w:rsidR="00A00FBF" w:rsidRPr="00A00FBF" w:rsidRDefault="00A00FBF" w:rsidP="00025BA1">
      <w:pPr>
        <w:ind w:firstLine="567"/>
        <w:jc w:val="both"/>
        <w:rPr>
          <w:rFonts w:asciiTheme="minorHAnsi" w:hAnsiTheme="minorHAnsi" w:cstheme="minorHAnsi"/>
          <w:bCs/>
          <w:sz w:val="22"/>
          <w:szCs w:val="22"/>
        </w:rPr>
      </w:pPr>
      <w:r w:rsidRPr="00A00FBF">
        <w:rPr>
          <w:rFonts w:asciiTheme="minorHAnsi" w:hAnsiTheme="minorHAnsi" w:cstheme="minorHAnsi"/>
          <w:bCs/>
          <w:sz w:val="22"/>
          <w:szCs w:val="22"/>
        </w:rPr>
        <w:t xml:space="preserve">CPK 57 straipsnio 3 dalyje įtvirtina, kad advokato arba advokato padėjėjo teisės ir pareigos bei jų mastas patvirtinami rašytine su klientu sudaryta sutartimi ar jos išrašu. Esant tokiam teisiniam reglamentavimui, kai advokatas klientą teisme atstovauja teisinių paslaugų sutarties, o ne įgaliojimo, išreiškiančio vienašalę atstovaujamo asmens valią (CK 1.63 str. 3 d.), pagrindu, advokato įgaliojimų terminas spręstinas pagal sutarčių galiojimą ir pasibaigimą reglamentuojančias teisės normas. Pasibaigus sutarčiai dėl teisinių paslaugų teikimo (užbaigus teikti teisines paslaugas, klientui nusprendus sutartį nutraukti), pasibaigia ir sutartyje nustatytos advokato teisės atlikti konkrečius veiksmus bylos procese. Dėl to advokato teisės atstovauti klientui teisme ir jo vardu atlikti procesinius veiksmus pabaiga sietina su teisinių paslaugų sutarties pabaiga. </w:t>
      </w:r>
    </w:p>
    <w:p w:rsidR="00A00FBF" w:rsidRPr="00A00FBF" w:rsidRDefault="00A00FBF" w:rsidP="00025BA1">
      <w:pPr>
        <w:ind w:firstLine="567"/>
        <w:jc w:val="both"/>
        <w:rPr>
          <w:rFonts w:asciiTheme="minorHAnsi" w:hAnsiTheme="minorHAnsi" w:cstheme="minorHAnsi"/>
          <w:bCs/>
          <w:sz w:val="22"/>
          <w:szCs w:val="22"/>
        </w:rPr>
      </w:pPr>
      <w:r w:rsidRPr="00A00FBF">
        <w:rPr>
          <w:rFonts w:asciiTheme="minorHAnsi" w:hAnsiTheme="minorHAnsi" w:cstheme="minorHAnsi"/>
          <w:bCs/>
          <w:sz w:val="22"/>
          <w:szCs w:val="22"/>
        </w:rPr>
        <w:t>Byloje nėra duomenų iš kurių būtų galima manyti, kad pareiškėjas ir advokatų profesinė bendrija būtų nutraukusi teisinių paslaugų sutartį ar ji būtų pasibaigusi.</w:t>
      </w:r>
      <w:r w:rsidR="00841BF3">
        <w:rPr>
          <w:rFonts w:asciiTheme="minorHAnsi" w:hAnsiTheme="minorHAnsi" w:cstheme="minorHAnsi"/>
          <w:bCs/>
          <w:sz w:val="22"/>
          <w:szCs w:val="22"/>
        </w:rPr>
        <w:t xml:space="preserve"> Teisėjų kolegija pažymėjo, kad LAT</w:t>
      </w:r>
      <w:r w:rsidRPr="00A00FBF">
        <w:rPr>
          <w:rFonts w:asciiTheme="minorHAnsi" w:hAnsiTheme="minorHAnsi" w:cstheme="minorHAnsi"/>
          <w:bCs/>
          <w:sz w:val="22"/>
          <w:szCs w:val="22"/>
        </w:rPr>
        <w:t xml:space="preserve"> yra išaiškinęs, kad advokatas klientui teisme atstovauja teisinių paslaugų sutarties, o ne įgaliojimo, išreiškiančio vienašalę atstovaujamo asmens valią (CK 1.63 str. 3 d.), pagrindu ir sutartyje nenustačius jos galiojimo termino advokato įgalinimai nesibaigia praėjus vieneriems metams nuo sutarties sudarymo. Advokato įgaliojimų terminas spręstinas pagal sutarčių galiojimą ir pasibaigimą reglamentuojančias teisės normas. Pasibaigus sutarčiai dėl teisinių paslaugų teikimo (užbaigus teikti teisines paslaugas, klientui nusprendus sutartį nutraukti), pasibaigia ir sutartyje nustatytos advokato teisės atlikti konkrečius veiksmus bylos procese (</w:t>
      </w:r>
      <w:r w:rsidR="00841BF3">
        <w:rPr>
          <w:rFonts w:asciiTheme="minorHAnsi" w:hAnsiTheme="minorHAnsi" w:cstheme="minorHAnsi"/>
          <w:bCs/>
          <w:sz w:val="22"/>
          <w:szCs w:val="22"/>
        </w:rPr>
        <w:t>LAT</w:t>
      </w:r>
      <w:r w:rsidRPr="00A00FBF">
        <w:rPr>
          <w:rFonts w:asciiTheme="minorHAnsi" w:hAnsiTheme="minorHAnsi" w:cstheme="minorHAnsi"/>
          <w:bCs/>
          <w:sz w:val="22"/>
          <w:szCs w:val="22"/>
        </w:rPr>
        <w:t xml:space="preserve"> 2007 m. vasario 7 d. nutartis civilinėje byloje Nr. 3K-3-54/2007, Lietuvos apeliacinio teismo 2015 m. spalio 14 d.</w:t>
      </w:r>
      <w:r w:rsidR="00C2415E">
        <w:rPr>
          <w:rFonts w:asciiTheme="minorHAnsi" w:hAnsiTheme="minorHAnsi" w:cstheme="minorHAnsi"/>
          <w:bCs/>
          <w:sz w:val="22"/>
          <w:szCs w:val="22"/>
        </w:rPr>
        <w:t xml:space="preserve"> nutartis civilinėje byloje Nr. </w:t>
      </w:r>
      <w:r w:rsidRPr="00A00FBF">
        <w:rPr>
          <w:rFonts w:asciiTheme="minorHAnsi" w:hAnsiTheme="minorHAnsi" w:cstheme="minorHAnsi"/>
          <w:bCs/>
          <w:sz w:val="22"/>
          <w:szCs w:val="22"/>
        </w:rPr>
        <w:t>e2-1321-117/2015 ir kt.).</w:t>
      </w:r>
    </w:p>
    <w:p w:rsidR="00A00FBF" w:rsidRPr="00A00FBF" w:rsidRDefault="00453BF7" w:rsidP="00025BA1">
      <w:pPr>
        <w:ind w:firstLine="567"/>
        <w:jc w:val="both"/>
        <w:rPr>
          <w:rFonts w:asciiTheme="minorHAnsi" w:hAnsiTheme="minorHAnsi" w:cstheme="minorHAnsi"/>
          <w:bCs/>
          <w:sz w:val="22"/>
          <w:szCs w:val="22"/>
        </w:rPr>
      </w:pPr>
      <w:r>
        <w:rPr>
          <w:rFonts w:asciiTheme="minorHAnsi" w:hAnsiTheme="minorHAnsi" w:cstheme="minorHAnsi"/>
          <w:bCs/>
          <w:sz w:val="22"/>
          <w:szCs w:val="22"/>
        </w:rPr>
        <w:t>Taigi</w:t>
      </w:r>
      <w:r w:rsidR="00A00FBF" w:rsidRPr="00A00FBF">
        <w:rPr>
          <w:rFonts w:asciiTheme="minorHAnsi" w:hAnsiTheme="minorHAnsi" w:cstheme="minorHAnsi"/>
          <w:bCs/>
          <w:sz w:val="22"/>
          <w:szCs w:val="22"/>
        </w:rPr>
        <w:t xml:space="preserve"> </w:t>
      </w:r>
      <w:r w:rsidR="00A00FBF" w:rsidRPr="00DE47DA">
        <w:rPr>
          <w:rFonts w:asciiTheme="minorHAnsi" w:hAnsiTheme="minorHAnsi" w:cstheme="minorHAnsi"/>
          <w:bCs/>
          <w:sz w:val="22"/>
          <w:szCs w:val="22"/>
          <w:u w:val="single"/>
        </w:rPr>
        <w:t>advokatas su klientu gali sudaryti tiek terminuotą, tiek neterminuotą, tiek vienkartinę teisinių paslaugų teikimo sutartį. Jei pasirašytoje atstovavimo sutartyje nėra numatyta, kad ji galioja tam tikram terminui, tuomet ji galioja neterminuotai.</w:t>
      </w:r>
      <w:r w:rsidR="00A00FBF" w:rsidRPr="00A00FBF">
        <w:rPr>
          <w:rFonts w:asciiTheme="minorHAnsi" w:hAnsiTheme="minorHAnsi" w:cstheme="minorHAnsi"/>
          <w:bCs/>
          <w:sz w:val="22"/>
          <w:szCs w:val="22"/>
        </w:rPr>
        <w:t xml:space="preserve"> Atitinkamai </w:t>
      </w:r>
      <w:r>
        <w:rPr>
          <w:rFonts w:asciiTheme="minorHAnsi" w:hAnsiTheme="minorHAnsi" w:cstheme="minorHAnsi"/>
          <w:bCs/>
          <w:sz w:val="22"/>
          <w:szCs w:val="22"/>
        </w:rPr>
        <w:t>aptariamu</w:t>
      </w:r>
      <w:r w:rsidR="00A00FBF" w:rsidRPr="00A00FBF">
        <w:rPr>
          <w:rFonts w:asciiTheme="minorHAnsi" w:hAnsiTheme="minorHAnsi" w:cstheme="minorHAnsi"/>
          <w:bCs/>
          <w:sz w:val="22"/>
          <w:szCs w:val="22"/>
        </w:rPr>
        <w:t xml:space="preserve"> atveju nenustačius, kad teisinių paslaugų teikimo sutartis būtų terminuota, nutraukta ar kitu būdu pasibaigusi, pirmosios instancijos teismas neturėjo pagrindo atsisakyti priimti pareiškėjo skundą kaip pateiktą neįgalioto asmens.</w:t>
      </w:r>
    </w:p>
    <w:p w:rsidR="00A00FBF" w:rsidRPr="00A00FBF" w:rsidRDefault="00453BF7" w:rsidP="00025BA1">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teismo </w:t>
      </w:r>
      <w:r w:rsidR="00A00FBF" w:rsidRPr="00A00FBF">
        <w:rPr>
          <w:rFonts w:asciiTheme="minorHAnsi" w:hAnsiTheme="minorHAnsi" w:cstheme="minorHAnsi"/>
          <w:bCs/>
          <w:sz w:val="22"/>
          <w:szCs w:val="22"/>
        </w:rPr>
        <w:t xml:space="preserve">nutartis </w:t>
      </w:r>
      <w:r>
        <w:rPr>
          <w:rFonts w:asciiTheme="minorHAnsi" w:hAnsiTheme="minorHAnsi" w:cstheme="minorHAnsi"/>
          <w:bCs/>
          <w:sz w:val="22"/>
          <w:szCs w:val="22"/>
        </w:rPr>
        <w:t>panaikint</w:t>
      </w:r>
      <w:r w:rsidR="00A00FBF" w:rsidRPr="00A00FBF">
        <w:rPr>
          <w:rFonts w:asciiTheme="minorHAnsi" w:hAnsiTheme="minorHAnsi" w:cstheme="minorHAnsi"/>
          <w:bCs/>
          <w:sz w:val="22"/>
          <w:szCs w:val="22"/>
        </w:rPr>
        <w:t>a</w:t>
      </w:r>
      <w:r>
        <w:rPr>
          <w:rFonts w:asciiTheme="minorHAnsi" w:hAnsiTheme="minorHAnsi" w:cstheme="minorHAnsi"/>
          <w:bCs/>
          <w:sz w:val="22"/>
          <w:szCs w:val="22"/>
        </w:rPr>
        <w:t>,</w:t>
      </w:r>
      <w:r w:rsidR="00A00FBF" w:rsidRPr="00A00FBF">
        <w:rPr>
          <w:rFonts w:asciiTheme="minorHAnsi" w:hAnsiTheme="minorHAnsi" w:cstheme="minorHAnsi"/>
          <w:bCs/>
          <w:sz w:val="22"/>
          <w:szCs w:val="22"/>
        </w:rPr>
        <w:t xml:space="preserve"> grąžinant skundą tam pačiam teismui spręsti jo priėmimo klausimą iš naujo.</w:t>
      </w:r>
    </w:p>
    <w:p w:rsidR="00A00FBF" w:rsidRPr="00EC0D17" w:rsidRDefault="00A00FBF" w:rsidP="00025BA1">
      <w:pPr>
        <w:ind w:firstLine="567"/>
        <w:jc w:val="both"/>
        <w:rPr>
          <w:rFonts w:asciiTheme="minorHAnsi" w:hAnsiTheme="minorHAnsi" w:cstheme="minorHAnsi"/>
          <w:sz w:val="22"/>
          <w:szCs w:val="22"/>
        </w:rPr>
      </w:pPr>
    </w:p>
    <w:p w:rsidR="00A00FBF" w:rsidRPr="000664DB" w:rsidRDefault="00A00FBF" w:rsidP="00025BA1">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 xml:space="preserve">2019 m. </w:t>
      </w:r>
      <w:r w:rsidRPr="00EC0D17">
        <w:rPr>
          <w:rFonts w:asciiTheme="minorHAnsi" w:hAnsiTheme="minorHAnsi" w:cstheme="minorHAnsi"/>
          <w:sz w:val="22"/>
          <w:szCs w:val="22"/>
        </w:rPr>
        <w:t xml:space="preserve">vasario </w:t>
      </w:r>
      <w:r>
        <w:rPr>
          <w:rFonts w:asciiTheme="minorHAnsi" w:hAnsiTheme="minorHAnsi" w:cstheme="minorHAnsi"/>
          <w:sz w:val="22"/>
          <w:szCs w:val="22"/>
        </w:rPr>
        <w:t>13</w:t>
      </w:r>
      <w:r w:rsidRPr="00EC0D17">
        <w:rPr>
          <w:rFonts w:asciiTheme="minorHAnsi" w:hAnsiTheme="minorHAnsi" w:cstheme="minorHAnsi"/>
          <w:sz w:val="22"/>
          <w:szCs w:val="22"/>
        </w:rPr>
        <w:t xml:space="preserve"> </w:t>
      </w:r>
      <w:r w:rsidRPr="00EC0D17">
        <w:rPr>
          <w:rFonts w:asciiTheme="minorHAnsi" w:hAnsiTheme="minorHAnsi" w:cstheme="minorHAnsi"/>
          <w:bCs/>
          <w:sz w:val="22"/>
          <w:szCs w:val="22"/>
        </w:rPr>
        <w:t xml:space="preserve">d. nutartis administracinėje byloje </w:t>
      </w:r>
      <w:r w:rsidRPr="00A00FBF">
        <w:rPr>
          <w:rFonts w:asciiTheme="minorHAnsi" w:hAnsiTheme="minorHAnsi" w:cstheme="minorHAnsi"/>
          <w:bCs/>
          <w:sz w:val="22"/>
          <w:szCs w:val="22"/>
        </w:rPr>
        <w:t>Nr. eAS-107-822/2019</w:t>
      </w:r>
    </w:p>
    <w:p w:rsidR="00A00FBF" w:rsidRPr="00EC0D17" w:rsidRDefault="00A00FBF" w:rsidP="00025BA1">
      <w:pPr>
        <w:tabs>
          <w:tab w:val="left" w:pos="142"/>
        </w:tabs>
        <w:jc w:val="both"/>
        <w:rPr>
          <w:rFonts w:asciiTheme="minorHAnsi" w:hAnsiTheme="minorHAnsi" w:cstheme="minorHAnsi"/>
          <w:sz w:val="22"/>
          <w:szCs w:val="22"/>
        </w:rPr>
      </w:pPr>
      <w:r w:rsidRPr="00EC0D17">
        <w:rPr>
          <w:rFonts w:asciiTheme="minorHAnsi" w:hAnsiTheme="minorHAnsi" w:cstheme="minorHAnsi"/>
          <w:sz w:val="22"/>
          <w:szCs w:val="22"/>
        </w:rPr>
        <w:lastRenderedPageBreak/>
        <w:t xml:space="preserve">Teisminio proceso </w:t>
      </w:r>
      <w:r w:rsidRPr="00A00FBF">
        <w:rPr>
          <w:rFonts w:asciiTheme="minorHAnsi" w:hAnsiTheme="minorHAnsi" w:cstheme="minorHAnsi"/>
          <w:sz w:val="22"/>
          <w:szCs w:val="22"/>
        </w:rPr>
        <w:t>Nr. 3-61-3-04031-2018-2</w:t>
      </w:r>
    </w:p>
    <w:p w:rsidR="00A00FBF" w:rsidRPr="00EC0D17" w:rsidRDefault="00A00FBF" w:rsidP="00025BA1">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 xml:space="preserve">Procesinio sprendimo kategorija </w:t>
      </w:r>
      <w:r w:rsidR="00C2415E">
        <w:rPr>
          <w:rFonts w:asciiTheme="minorHAnsi" w:hAnsiTheme="minorHAnsi" w:cstheme="minorHAnsi"/>
          <w:bCs/>
          <w:sz w:val="22"/>
          <w:szCs w:val="22"/>
        </w:rPr>
        <w:t>43.5.8</w:t>
      </w:r>
    </w:p>
    <w:p w:rsidR="00A00FBF" w:rsidRPr="00EC0D17" w:rsidRDefault="004264B2" w:rsidP="00025BA1">
      <w:pPr>
        <w:tabs>
          <w:tab w:val="left" w:pos="142"/>
        </w:tabs>
        <w:jc w:val="both"/>
        <w:rPr>
          <w:rFonts w:asciiTheme="minorHAnsi" w:hAnsiTheme="minorHAnsi" w:cstheme="minorHAnsi"/>
          <w:sz w:val="22"/>
          <w:szCs w:val="22"/>
        </w:rPr>
      </w:pPr>
      <w:hyperlink r:id="rId22" w:history="1">
        <w:r w:rsidR="00A00FBF" w:rsidRPr="00A00FBF">
          <w:rPr>
            <w:rStyle w:val="Hipersaitas"/>
            <w:rFonts w:asciiTheme="minorHAnsi" w:hAnsiTheme="minorHAnsi" w:cstheme="minorHAnsi"/>
            <w:sz w:val="22"/>
            <w:szCs w:val="22"/>
          </w:rPr>
          <w:t>Prieiga internete</w:t>
        </w:r>
      </w:hyperlink>
    </w:p>
    <w:p w:rsidR="00A00FBF" w:rsidRDefault="00A00FBF" w:rsidP="00025BA1">
      <w:pPr>
        <w:ind w:left="851" w:firstLine="283"/>
        <w:jc w:val="both"/>
        <w:rPr>
          <w:rFonts w:asciiTheme="minorHAnsi" w:hAnsiTheme="minorHAnsi" w:cstheme="minorHAnsi"/>
          <w:b/>
          <w:sz w:val="22"/>
          <w:szCs w:val="22"/>
          <w:u w:val="single"/>
        </w:rPr>
      </w:pPr>
    </w:p>
    <w:p w:rsidR="008A2FA6" w:rsidRPr="008A2FA6" w:rsidRDefault="008A2FA6" w:rsidP="00025BA1">
      <w:pPr>
        <w:pStyle w:val="Antrat1"/>
        <w:rPr>
          <w:rFonts w:ascii="Calibri" w:eastAsiaTheme="minorEastAsia" w:hAnsi="Calibri" w:cs="Calibri"/>
          <w:b w:val="0"/>
        </w:rPr>
      </w:pPr>
      <w:bookmarkStart w:id="61" w:name="_Toc774963"/>
      <w:bookmarkStart w:id="62" w:name="_Toc7451485"/>
      <w:bookmarkEnd w:id="9"/>
      <w:bookmarkEnd w:id="10"/>
      <w:r w:rsidRPr="008A2FA6">
        <w:rPr>
          <w:rFonts w:ascii="Calibri" w:eastAsiaTheme="minorEastAsia" w:hAnsi="Calibri" w:cs="Calibri"/>
        </w:rPr>
        <w:t>54. Skundo palikimas nenagrinėtu</w:t>
      </w:r>
      <w:bookmarkEnd w:id="61"/>
      <w:bookmarkEnd w:id="62"/>
    </w:p>
    <w:p w:rsidR="008A2FA6" w:rsidRPr="008A2FA6" w:rsidRDefault="008A2FA6" w:rsidP="00025BA1">
      <w:pPr>
        <w:ind w:firstLine="567"/>
        <w:jc w:val="both"/>
        <w:rPr>
          <w:rFonts w:ascii="Calibri" w:eastAsiaTheme="minorEastAsia" w:hAnsi="Calibri" w:cs="Calibri"/>
          <w:b/>
          <w:sz w:val="22"/>
          <w:szCs w:val="22"/>
          <w:u w:val="single"/>
        </w:rPr>
      </w:pPr>
      <w:r w:rsidRPr="008A2FA6">
        <w:rPr>
          <w:rFonts w:ascii="Calibri" w:eastAsiaTheme="minorEastAsia" w:hAnsi="Calibri" w:cs="Calibri"/>
          <w:b/>
          <w:sz w:val="22"/>
          <w:szCs w:val="22"/>
          <w:u w:val="single"/>
        </w:rPr>
        <w:t>54.5. Kai į posėdį neatvyko pareiškėjas, o teismas nelaiko esant galima išspręsti bylą pagal esančią byloje medžiagą, kai apie tai pareiškėjui buvo pranešta</w:t>
      </w:r>
    </w:p>
    <w:p w:rsidR="008A2FA6" w:rsidRPr="008A2FA6" w:rsidRDefault="008A2FA6" w:rsidP="00025BA1">
      <w:pPr>
        <w:ind w:firstLine="567"/>
        <w:jc w:val="both"/>
        <w:rPr>
          <w:rFonts w:ascii="Calibri" w:eastAsiaTheme="minorEastAsia" w:hAnsi="Calibri" w:cs="Calibri"/>
          <w:sz w:val="22"/>
          <w:szCs w:val="22"/>
        </w:rPr>
      </w:pPr>
    </w:p>
    <w:p w:rsidR="008A2FA6" w:rsidRPr="008A2FA6" w:rsidRDefault="008A2FA6" w:rsidP="00025BA1">
      <w:pPr>
        <w:pStyle w:val="Antrat2"/>
        <w:rPr>
          <w:rFonts w:ascii="Calibri" w:hAnsi="Calibri" w:cs="Calibri"/>
          <w:i w:val="0"/>
        </w:rPr>
      </w:pPr>
      <w:bookmarkStart w:id="63" w:name="_Toc7451486"/>
      <w:r w:rsidRPr="008A2FA6">
        <w:rPr>
          <w:rFonts w:ascii="Calibri" w:hAnsi="Calibri" w:cs="Calibri"/>
        </w:rPr>
        <w:t xml:space="preserve">Dėl </w:t>
      </w:r>
      <w:r w:rsidR="003D1F45">
        <w:rPr>
          <w:rFonts w:ascii="Calibri" w:hAnsi="Calibri" w:cs="Calibri"/>
        </w:rPr>
        <w:t xml:space="preserve">teismo pareigos išnaudoti </w:t>
      </w:r>
      <w:r w:rsidR="00AB5784">
        <w:rPr>
          <w:rFonts w:ascii="Calibri" w:hAnsi="Calibri" w:cs="Calibri"/>
        </w:rPr>
        <w:t xml:space="preserve">visas </w:t>
      </w:r>
      <w:r w:rsidR="00A2625A">
        <w:rPr>
          <w:rFonts w:ascii="Calibri" w:hAnsi="Calibri" w:cs="Calibri"/>
        </w:rPr>
        <w:t>procesin</w:t>
      </w:r>
      <w:r w:rsidR="003D1F45">
        <w:rPr>
          <w:rFonts w:ascii="Calibri" w:hAnsi="Calibri" w:cs="Calibri"/>
        </w:rPr>
        <w:t xml:space="preserve">es </w:t>
      </w:r>
      <w:r w:rsidR="00A2625A">
        <w:rPr>
          <w:rFonts w:ascii="Calibri" w:hAnsi="Calibri" w:cs="Calibri"/>
        </w:rPr>
        <w:t>galimyb</w:t>
      </w:r>
      <w:r w:rsidR="003D1F45">
        <w:rPr>
          <w:rFonts w:ascii="Calibri" w:hAnsi="Calibri" w:cs="Calibri"/>
        </w:rPr>
        <w:t>es</w:t>
      </w:r>
      <w:r w:rsidRPr="008A2FA6">
        <w:rPr>
          <w:rFonts w:ascii="Calibri" w:hAnsi="Calibri" w:cs="Calibri"/>
        </w:rPr>
        <w:t>, prieš paliekant skundą nenagrinėtu</w:t>
      </w:r>
      <w:bookmarkEnd w:id="63"/>
      <w:r w:rsidRPr="008A2FA6">
        <w:rPr>
          <w:rFonts w:ascii="Calibri" w:hAnsi="Calibri" w:cs="Calibri"/>
        </w:rPr>
        <w:t xml:space="preserve"> </w:t>
      </w:r>
    </w:p>
    <w:p w:rsidR="008A2FA6" w:rsidRPr="008A2FA6" w:rsidRDefault="008A2FA6" w:rsidP="00025BA1">
      <w:pPr>
        <w:ind w:firstLine="567"/>
        <w:jc w:val="both"/>
        <w:rPr>
          <w:rFonts w:ascii="Calibri" w:eastAsiaTheme="minorEastAsia" w:hAnsi="Calibri" w:cs="Calibri"/>
          <w:sz w:val="22"/>
          <w:szCs w:val="22"/>
        </w:rPr>
      </w:pPr>
    </w:p>
    <w:p w:rsidR="008A2FA6" w:rsidRPr="008A2FA6" w:rsidRDefault="008A2FA6" w:rsidP="00025BA1">
      <w:pPr>
        <w:ind w:firstLine="567"/>
        <w:jc w:val="both"/>
        <w:rPr>
          <w:rFonts w:ascii="Calibri" w:hAnsi="Calibri" w:cs="Calibri"/>
          <w:sz w:val="22"/>
          <w:szCs w:val="22"/>
        </w:rPr>
      </w:pPr>
      <w:r w:rsidRPr="008A2FA6">
        <w:rPr>
          <w:rFonts w:ascii="Calibri" w:hAnsi="Calibri" w:cs="Calibri"/>
          <w:sz w:val="22"/>
          <w:szCs w:val="22"/>
        </w:rPr>
        <w:t xml:space="preserve">Nagrinėto atskirojo skundo dalykas – </w:t>
      </w:r>
      <w:r w:rsidR="00791B5D">
        <w:rPr>
          <w:rFonts w:ascii="Calibri" w:hAnsi="Calibri" w:cs="Calibri"/>
          <w:sz w:val="22"/>
          <w:szCs w:val="22"/>
        </w:rPr>
        <w:t>pirmosios instancijos</w:t>
      </w:r>
      <w:r w:rsidRPr="008A2FA6">
        <w:rPr>
          <w:rFonts w:ascii="Calibri" w:hAnsi="Calibri" w:cs="Calibri"/>
          <w:sz w:val="22"/>
          <w:szCs w:val="22"/>
        </w:rPr>
        <w:t xml:space="preserve"> teismo nutartis, kuria pareiškėjo skundas paliktas nenagrinėtas ABTĮ 105 straipsnio 5 punkto pagrindu (teismas skundą palieka nenagrinėtą, jeigu į posėdį neatvyko pareiškėjas, o teismas nelaiko esant galima išspręsti bylą pagal esančią byloje medžiagą, kai apie tai pareiškėjui buvo pranešta). </w:t>
      </w:r>
    </w:p>
    <w:p w:rsidR="008A2FA6" w:rsidRPr="008A2FA6" w:rsidRDefault="00791B5D" w:rsidP="00025BA1">
      <w:pPr>
        <w:ind w:firstLine="567"/>
        <w:jc w:val="both"/>
        <w:rPr>
          <w:rFonts w:ascii="Calibri" w:hAnsi="Calibri" w:cs="Calibri"/>
          <w:sz w:val="22"/>
          <w:szCs w:val="22"/>
        </w:rPr>
      </w:pPr>
      <w:r>
        <w:rPr>
          <w:rFonts w:ascii="Calibri" w:hAnsi="Calibri" w:cs="Calibri"/>
          <w:sz w:val="22"/>
          <w:szCs w:val="22"/>
        </w:rPr>
        <w:t>Byloje nustatyta, kad</w:t>
      </w:r>
      <w:r w:rsidR="008A2FA6" w:rsidRPr="008A2FA6">
        <w:rPr>
          <w:rFonts w:ascii="Calibri" w:hAnsi="Calibri" w:cs="Calibri"/>
          <w:sz w:val="22"/>
          <w:szCs w:val="22"/>
        </w:rPr>
        <w:t xml:space="preserve"> pirmą kartą nagrinėjant bylą pareiškėjas savo argumentus (poziciją) išdėstė tiek raštu pateiktuose procesiniuose dokumentuose, tiek žodžiu posėdyje vaizdo konferencijos būdu; gavęs Vilniaus apygardos administracinio teismo nutartį dėl paskirto teismo posėdžio, pareiškėjas likus 13 dienų iki teismo posėdžio pateikė prašymą, kuriame pakankamai išsamiai nurodė priežastis, dėl kurių negali atvykti į teismo posėdį, be kita ko, prašė teismo remtis anksčiau jo pateiktais ir išsakytais argumentais, liudytoju apklausti pareiškėjo Komunalinių paslaugų mokymo centro mokytoją; teismas prašymą nagrinėjo tik tą dieną, kurią buvo paskirtas teismo posėdis, ir skundžiama nutartimi sprendė tiek dėl pareiškėjo prašyme nurodytų negalėjimo atvykti į teismo posėdį priežasčių pagrįstumo (jas teismas įvertino kaip nesvarbias), tiek dėl pareiškėjo skundo palikimo nenagrinėtu (teismas konstatavo, kad nėra galimybės išnagrinėti administracinę bylą be pareiškėjo dalyvavimo); kadangi į teismo posėdį neatvyko ne tik pareiškėjas bet ir kiti proceso dalyviai, teismas skundžiamą nutartį priėmė rašytinio proceso tvarka.</w:t>
      </w:r>
    </w:p>
    <w:p w:rsidR="008A2FA6" w:rsidRPr="008A2FA6" w:rsidRDefault="008A2FA6" w:rsidP="00025BA1">
      <w:pPr>
        <w:ind w:firstLine="567"/>
        <w:jc w:val="both"/>
        <w:rPr>
          <w:rFonts w:ascii="Calibri" w:hAnsi="Calibri" w:cs="Calibri"/>
          <w:sz w:val="22"/>
          <w:szCs w:val="22"/>
        </w:rPr>
      </w:pPr>
      <w:r w:rsidRPr="008A2FA6">
        <w:rPr>
          <w:rFonts w:ascii="Calibri" w:hAnsi="Calibri" w:cs="Calibri"/>
          <w:sz w:val="22"/>
          <w:szCs w:val="22"/>
        </w:rPr>
        <w:t xml:space="preserve">Įvertinusi išdėstytas aplinkybes, LVAT teisėjų kolegija konstatavo, kad </w:t>
      </w:r>
      <w:r w:rsidR="00791B5D">
        <w:rPr>
          <w:rFonts w:ascii="Calibri" w:hAnsi="Calibri" w:cs="Calibri"/>
          <w:sz w:val="22"/>
          <w:szCs w:val="22"/>
        </w:rPr>
        <w:t>šiuo</w:t>
      </w:r>
      <w:r w:rsidRPr="008A2FA6">
        <w:rPr>
          <w:rFonts w:ascii="Calibri" w:hAnsi="Calibri" w:cs="Calibri"/>
          <w:sz w:val="22"/>
          <w:szCs w:val="22"/>
        </w:rPr>
        <w:t xml:space="preserve"> atveju teismas pareiškėjo skundą paliko nenagrinėtu prieš tai neišnaudojęs visų procesinių galimybių jį išnagrinėti. Teismas </w:t>
      </w:r>
      <w:r w:rsidRPr="008A2FA6">
        <w:rPr>
          <w:rFonts w:ascii="Calibri" w:hAnsi="Calibri" w:cs="Calibri"/>
          <w:sz w:val="22"/>
          <w:szCs w:val="22"/>
          <w:u w:val="single"/>
        </w:rPr>
        <w:t>pareiškėjo pateiktą prašymą dėl bylos nagrinėjimo pareiškėjui nedalyvaujant vyksiančiame teismo posėdyje išsprendė tik to posėdžio metu, tokiu būdu pareiškėjo skundas paliktas nenagrinėtu, pareiškėjui nežinant, kad jo nurodytas negalėjimo dalyvauti teismo posėdyje priežastis teismas vertina kaip nesvarbias, ir nesudarius galimybės ieškoti galimybių atvykti į teismo posėdį</w:t>
      </w:r>
      <w:r w:rsidRPr="008A2FA6">
        <w:rPr>
          <w:rFonts w:ascii="Calibri" w:hAnsi="Calibri" w:cs="Calibri"/>
          <w:sz w:val="22"/>
          <w:szCs w:val="22"/>
        </w:rPr>
        <w:t xml:space="preserve">. Teismo nutartyje nurodytos </w:t>
      </w:r>
      <w:r w:rsidRPr="008A2FA6">
        <w:rPr>
          <w:rFonts w:ascii="Calibri" w:hAnsi="Calibri" w:cs="Calibri"/>
          <w:sz w:val="22"/>
          <w:szCs w:val="22"/>
          <w:u w:val="single"/>
        </w:rPr>
        <w:t>priežastys, dėl kurių, jo nuomone, nėra galimybės išnagrinėti bylos pareiškėjui nedalyvaujant, nebuvo nurodytos ankstesnėje nutartyje, kuria pareiškėjo dalyvavimas teismo posėdyje pripažintas būtinu, todėl nei pareiškėjui, nei kitiems proceso dalyviams nebuvo suteikta galimybė raštu pateikti papildomus paaiškinimus (juos pagrindžiančius įrodymus) dėl aplinkybių, susijusių su pareiškėjo priklausymu „kastai“ ir diskriminavimu padaryta žala</w:t>
      </w:r>
      <w:r w:rsidRPr="008A2FA6">
        <w:rPr>
          <w:rFonts w:ascii="Calibri" w:hAnsi="Calibri" w:cs="Calibri"/>
          <w:sz w:val="22"/>
          <w:szCs w:val="22"/>
        </w:rPr>
        <w:t xml:space="preserve">. Vadinasi, </w:t>
      </w:r>
      <w:r w:rsidRPr="008A2FA6">
        <w:rPr>
          <w:rFonts w:ascii="Calibri" w:hAnsi="Calibri" w:cs="Calibri"/>
          <w:sz w:val="22"/>
          <w:szCs w:val="22"/>
          <w:u w:val="single"/>
        </w:rPr>
        <w:t>teismas neišnaudojo visų procesinių galimybių gauti pareiškėjo ir kitų proceso dalyvių paaiškinimus (juos pagrindžiančius įrodymus), dėl visų su ginču susijusių aplinkybių</w:t>
      </w:r>
      <w:r w:rsidRPr="008A2FA6">
        <w:rPr>
          <w:rFonts w:ascii="Calibri" w:hAnsi="Calibri" w:cs="Calibri"/>
          <w:sz w:val="22"/>
          <w:szCs w:val="22"/>
        </w:rPr>
        <w:t>.</w:t>
      </w:r>
    </w:p>
    <w:p w:rsidR="008A2FA6" w:rsidRPr="008A2FA6" w:rsidRDefault="008A2FA6" w:rsidP="00025BA1">
      <w:pPr>
        <w:ind w:firstLine="567"/>
        <w:jc w:val="both"/>
        <w:rPr>
          <w:rFonts w:ascii="Calibri" w:hAnsi="Calibri" w:cs="Calibri"/>
          <w:sz w:val="22"/>
          <w:szCs w:val="22"/>
        </w:rPr>
      </w:pPr>
      <w:r w:rsidRPr="008A2FA6">
        <w:rPr>
          <w:rFonts w:ascii="Calibri" w:hAnsi="Calibri" w:cs="Calibri"/>
          <w:sz w:val="22"/>
          <w:szCs w:val="22"/>
        </w:rPr>
        <w:t>LVAT nutartimi pareiškėjo atskirasis skundas tenkintas, pirmosios instancijos teismo nutartis panaikinta ir byla perduota šiam teismui nagrinėti iš naujo.</w:t>
      </w:r>
    </w:p>
    <w:p w:rsidR="008A2FA6" w:rsidRPr="008A2FA6" w:rsidRDefault="008A2FA6" w:rsidP="00025BA1">
      <w:pPr>
        <w:ind w:firstLine="567"/>
        <w:jc w:val="both"/>
        <w:rPr>
          <w:rFonts w:ascii="Calibri" w:eastAsiaTheme="minorEastAsia" w:hAnsi="Calibri" w:cs="Calibri"/>
          <w:sz w:val="22"/>
          <w:szCs w:val="22"/>
        </w:rPr>
      </w:pPr>
    </w:p>
    <w:p w:rsidR="008A2FA6" w:rsidRPr="008A2FA6" w:rsidRDefault="008A2FA6" w:rsidP="00025BA1">
      <w:pPr>
        <w:jc w:val="both"/>
        <w:rPr>
          <w:rFonts w:ascii="Calibri" w:eastAsiaTheme="minorEastAsia" w:hAnsi="Calibri" w:cs="Calibri"/>
          <w:sz w:val="22"/>
          <w:szCs w:val="22"/>
        </w:rPr>
      </w:pPr>
      <w:r w:rsidRPr="008A2FA6">
        <w:rPr>
          <w:rFonts w:ascii="Calibri" w:eastAsiaTheme="minorEastAsia" w:hAnsi="Calibri" w:cs="Calibri"/>
          <w:sz w:val="22"/>
          <w:szCs w:val="22"/>
        </w:rPr>
        <w:t>2019 m. vasario 6 d. nutartis administracinėje byloje Nr. AS-102-968/2019</w:t>
      </w:r>
    </w:p>
    <w:p w:rsidR="008A2FA6" w:rsidRPr="008A2FA6" w:rsidRDefault="008A2FA6" w:rsidP="00025BA1">
      <w:pPr>
        <w:jc w:val="both"/>
        <w:rPr>
          <w:rFonts w:ascii="Calibri" w:eastAsiaTheme="minorEastAsia" w:hAnsi="Calibri" w:cs="Calibri"/>
          <w:sz w:val="22"/>
          <w:szCs w:val="22"/>
        </w:rPr>
      </w:pPr>
      <w:r w:rsidRPr="008A2FA6">
        <w:rPr>
          <w:rFonts w:ascii="Calibri" w:eastAsiaTheme="minorEastAsia" w:hAnsi="Calibri" w:cs="Calibri"/>
          <w:sz w:val="22"/>
          <w:szCs w:val="22"/>
        </w:rPr>
        <w:t>Teisminio proceso Nr. 3-61-02853-2016-0</w:t>
      </w:r>
    </w:p>
    <w:p w:rsidR="008A2FA6" w:rsidRPr="008A2FA6" w:rsidRDefault="008A2FA6" w:rsidP="00025BA1">
      <w:pPr>
        <w:jc w:val="both"/>
        <w:rPr>
          <w:rFonts w:ascii="Calibri" w:eastAsiaTheme="minorEastAsia" w:hAnsi="Calibri" w:cs="Calibri"/>
          <w:sz w:val="22"/>
          <w:szCs w:val="22"/>
        </w:rPr>
      </w:pPr>
      <w:r w:rsidRPr="008A2FA6">
        <w:rPr>
          <w:rFonts w:ascii="Calibri" w:eastAsiaTheme="minorEastAsia" w:hAnsi="Calibri" w:cs="Calibri"/>
          <w:sz w:val="22"/>
          <w:szCs w:val="22"/>
        </w:rPr>
        <w:t>Proce</w:t>
      </w:r>
      <w:r w:rsidR="00453353">
        <w:rPr>
          <w:rFonts w:ascii="Calibri" w:eastAsiaTheme="minorEastAsia" w:hAnsi="Calibri" w:cs="Calibri"/>
          <w:sz w:val="22"/>
          <w:szCs w:val="22"/>
        </w:rPr>
        <w:t>sinio sprendimo kategorija 54.5</w:t>
      </w:r>
    </w:p>
    <w:p w:rsidR="008A2FA6" w:rsidRPr="008A2FA6" w:rsidRDefault="004264B2" w:rsidP="00025BA1">
      <w:pPr>
        <w:jc w:val="both"/>
        <w:rPr>
          <w:rFonts w:ascii="Calibri" w:eastAsiaTheme="minorEastAsia" w:hAnsi="Calibri" w:cs="Calibri"/>
          <w:sz w:val="22"/>
          <w:szCs w:val="22"/>
        </w:rPr>
      </w:pPr>
      <w:hyperlink r:id="rId23" w:history="1">
        <w:r w:rsidR="008A2FA6" w:rsidRPr="00453353">
          <w:rPr>
            <w:rStyle w:val="Hipersaitas"/>
            <w:rFonts w:ascii="Calibri" w:eastAsiaTheme="minorEastAsia" w:hAnsi="Calibri" w:cs="Calibri"/>
            <w:sz w:val="22"/>
            <w:szCs w:val="22"/>
          </w:rPr>
          <w:t xml:space="preserve">Prieiga internete </w:t>
        </w:r>
      </w:hyperlink>
      <w:r w:rsidR="008A2FA6" w:rsidRPr="008A2FA6">
        <w:rPr>
          <w:rFonts w:ascii="Calibri" w:eastAsiaTheme="minorEastAsia" w:hAnsi="Calibri" w:cs="Calibri"/>
          <w:sz w:val="22"/>
          <w:szCs w:val="22"/>
        </w:rPr>
        <w:t xml:space="preserve"> </w:t>
      </w:r>
    </w:p>
    <w:p w:rsidR="000664DB" w:rsidRPr="00B240C0" w:rsidRDefault="000664DB" w:rsidP="00025BA1">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p w:rsidR="000664DB" w:rsidRDefault="000664DB" w:rsidP="00025BA1">
      <w:pPr>
        <w:ind w:left="851" w:firstLine="283"/>
        <w:jc w:val="both"/>
        <w:rPr>
          <w:rFonts w:asciiTheme="minorHAnsi" w:hAnsiTheme="minorHAnsi" w:cstheme="minorHAnsi"/>
          <w:b/>
          <w:sz w:val="22"/>
          <w:szCs w:val="22"/>
          <w:u w:val="single"/>
        </w:rPr>
      </w:pPr>
    </w:p>
    <w:sectPr w:rsidR="000664DB" w:rsidSect="00EF63E3">
      <w:headerReference w:type="default" r:id="rId24"/>
      <w:footerReference w:type="even" r:id="rId25"/>
      <w:footerReference w:type="default" r:id="rId26"/>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64B2" w:rsidRDefault="004264B2" w:rsidP="003D4C15">
      <w:r>
        <w:separator/>
      </w:r>
    </w:p>
  </w:endnote>
  <w:endnote w:type="continuationSeparator" w:id="0">
    <w:p w:rsidR="004264B2" w:rsidRDefault="004264B2"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325" w:rsidRDefault="00985325">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985325" w:rsidRDefault="0098532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325" w:rsidRPr="00386C1C" w:rsidRDefault="00985325">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AB5784">
      <w:rPr>
        <w:rStyle w:val="Puslapionumeris"/>
        <w:rFonts w:asciiTheme="minorHAnsi" w:hAnsiTheme="minorHAnsi"/>
        <w:noProof/>
        <w:sz w:val="20"/>
        <w:szCs w:val="20"/>
      </w:rPr>
      <w:t>4</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AB5784">
      <w:rPr>
        <w:rStyle w:val="Puslapionumeris"/>
        <w:rFonts w:asciiTheme="minorHAnsi" w:hAnsiTheme="minorHAnsi"/>
        <w:noProof/>
        <w:sz w:val="20"/>
        <w:szCs w:val="20"/>
      </w:rPr>
      <w:t>18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64B2" w:rsidRDefault="004264B2" w:rsidP="003D4C15">
      <w:r>
        <w:separator/>
      </w:r>
    </w:p>
  </w:footnote>
  <w:footnote w:type="continuationSeparator" w:id="0">
    <w:p w:rsidR="004264B2" w:rsidRDefault="004264B2"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985325" w:rsidRPr="000967FF" w:rsidTr="00125BDC">
      <w:tc>
        <w:tcPr>
          <w:tcW w:w="7230" w:type="dxa"/>
        </w:tcPr>
        <w:p w:rsidR="00985325" w:rsidRPr="0021377E" w:rsidRDefault="00985325"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rsidR="00985325" w:rsidRPr="0021377E" w:rsidRDefault="00985325" w:rsidP="00342FB8">
          <w:pPr>
            <w:rPr>
              <w:rFonts w:ascii="Calibri" w:hAnsi="Calibri"/>
              <w:color w:val="323E4F" w:themeColor="text2" w:themeShade="BF"/>
              <w:sz w:val="20"/>
              <w:szCs w:val="20"/>
            </w:rPr>
          </w:pPr>
          <w:r>
            <w:rPr>
              <w:rFonts w:ascii="Calibri" w:hAnsi="Calibri"/>
              <w:color w:val="323E4F" w:themeColor="text2" w:themeShade="BF"/>
              <w:sz w:val="20"/>
              <w:szCs w:val="20"/>
            </w:rPr>
            <w:t xml:space="preserve">      2019 02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9 02 28 </w:t>
          </w:r>
        </w:p>
      </w:tc>
    </w:tr>
  </w:tbl>
  <w:p w:rsidR="00985325" w:rsidRPr="008A0597" w:rsidRDefault="00985325">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7E34624"/>
    <w:multiLevelType w:val="hybridMultilevel"/>
    <w:tmpl w:val="7D28F59C"/>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610B6"/>
    <w:multiLevelType w:val="hybridMultilevel"/>
    <w:tmpl w:val="5F70E49A"/>
    <w:lvl w:ilvl="0" w:tplc="730C2E1A">
      <w:start w:val="1"/>
      <w:numFmt w:val="decimal"/>
      <w:lvlText w:val="%1."/>
      <w:lvlJc w:val="left"/>
      <w:pPr>
        <w:ind w:left="1428" w:hanging="435"/>
      </w:pPr>
      <w:rPr>
        <w:i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6" w15:restartNumberingAfterBreak="0">
    <w:nsid w:val="13A149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F9E1A1C"/>
    <w:multiLevelType w:val="multilevel"/>
    <w:tmpl w:val="0B0C33F0"/>
    <w:lvl w:ilvl="0">
      <w:start w:val="1"/>
      <w:numFmt w:val="decimal"/>
      <w:lvlText w:val="%1."/>
      <w:lvlJc w:val="left"/>
      <w:pPr>
        <w:ind w:left="1070" w:hanging="360"/>
      </w:pPr>
      <w:rPr>
        <w:b w:val="0"/>
        <w:sz w:val="24"/>
        <w:szCs w:val="24"/>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2"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3" w15:restartNumberingAfterBreak="0">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8F6AD5"/>
    <w:multiLevelType w:val="multilevel"/>
    <w:tmpl w:val="39CCC646"/>
    <w:lvl w:ilvl="0">
      <w:start w:val="1"/>
      <w:numFmt w:val="decimal"/>
      <w:lvlText w:val="%1."/>
      <w:lvlJc w:val="left"/>
      <w:pPr>
        <w:ind w:left="360" w:hanging="360"/>
      </w:pPr>
    </w:lvl>
    <w:lvl w:ilvl="1">
      <w:start w:val="1"/>
      <w:numFmt w:val="decimal"/>
      <w:isLgl/>
      <w:lvlText w:val="%1.%2."/>
      <w:lvlJc w:val="left"/>
      <w:pPr>
        <w:ind w:left="4045"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6" w15:restartNumberingAfterBreak="0">
    <w:nsid w:val="402468C9"/>
    <w:multiLevelType w:val="hybridMultilevel"/>
    <w:tmpl w:val="7B26C020"/>
    <w:lvl w:ilvl="0" w:tplc="022C9E5A">
      <w:start w:val="1"/>
      <w:numFmt w:val="decimal"/>
      <w:lvlText w:val="%1."/>
      <w:lvlJc w:val="left"/>
      <w:pPr>
        <w:ind w:left="107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0426C00"/>
    <w:multiLevelType w:val="multilevel"/>
    <w:tmpl w:val="AA889FDE"/>
    <w:lvl w:ilvl="0">
      <w:start w:val="1"/>
      <w:numFmt w:val="decimal"/>
      <w:lvlText w:val="%1."/>
      <w:lvlJc w:val="left"/>
      <w:pPr>
        <w:ind w:left="1440" w:hanging="360"/>
      </w:pPr>
      <w:rPr>
        <w:color w:val="auto"/>
      </w:rPr>
    </w:lvl>
    <w:lvl w:ilvl="1">
      <w:start w:val="1"/>
      <w:numFmt w:val="decimal"/>
      <w:isLgl/>
      <w:lvlText w:val="%1.%2."/>
      <w:lvlJc w:val="left"/>
      <w:pPr>
        <w:ind w:left="1560" w:hanging="48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8" w15:restartNumberingAfterBreak="0">
    <w:nsid w:val="48EE188B"/>
    <w:multiLevelType w:val="hybridMultilevel"/>
    <w:tmpl w:val="4B903B2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9"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E332FF5"/>
    <w:multiLevelType w:val="hybridMultilevel"/>
    <w:tmpl w:val="705A9608"/>
    <w:lvl w:ilvl="0" w:tplc="515456B2">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1" w15:restartNumberingAfterBreak="0">
    <w:nsid w:val="4EBB13C1"/>
    <w:multiLevelType w:val="hybridMultilevel"/>
    <w:tmpl w:val="04C44C02"/>
    <w:lvl w:ilvl="0" w:tplc="4EDEE964">
      <w:start w:val="1"/>
      <w:numFmt w:val="decimal"/>
      <w:lvlText w:val="%1."/>
      <w:lvlJc w:val="left"/>
      <w:pPr>
        <w:ind w:left="1070" w:hanging="360"/>
      </w:pPr>
      <w:rPr>
        <w:sz w:val="24"/>
        <w:szCs w:val="24"/>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2" w15:restartNumberingAfterBreak="0">
    <w:nsid w:val="52026ACC"/>
    <w:multiLevelType w:val="hybridMultilevel"/>
    <w:tmpl w:val="F0BC1256"/>
    <w:lvl w:ilvl="0" w:tplc="C3C01E66">
      <w:start w:val="1"/>
      <w:numFmt w:val="decimal"/>
      <w:lvlText w:val="%1."/>
      <w:lvlJc w:val="left"/>
      <w:pPr>
        <w:ind w:left="1070" w:hanging="360"/>
      </w:pPr>
      <w:rPr>
        <w:rFonts w:ascii="Times New Roman" w:eastAsia="Times New Roman" w:hAnsi="Times New Roman" w:cs="Times New Roman"/>
        <w:i w:val="0"/>
      </w:rPr>
    </w:lvl>
    <w:lvl w:ilvl="1" w:tplc="04270019">
      <w:start w:val="1"/>
      <w:numFmt w:val="lowerLetter"/>
      <w:lvlText w:val="%2."/>
      <w:lvlJc w:val="left"/>
      <w:pPr>
        <w:ind w:left="1817" w:hanging="360"/>
      </w:pPr>
    </w:lvl>
    <w:lvl w:ilvl="2" w:tplc="0427001B">
      <w:start w:val="1"/>
      <w:numFmt w:val="lowerRoman"/>
      <w:lvlText w:val="%3."/>
      <w:lvlJc w:val="right"/>
      <w:pPr>
        <w:ind w:left="2537" w:hanging="180"/>
      </w:pPr>
    </w:lvl>
    <w:lvl w:ilvl="3" w:tplc="0427000F">
      <w:start w:val="1"/>
      <w:numFmt w:val="decimal"/>
      <w:lvlText w:val="%4."/>
      <w:lvlJc w:val="left"/>
      <w:pPr>
        <w:ind w:left="3257" w:hanging="360"/>
      </w:pPr>
    </w:lvl>
    <w:lvl w:ilvl="4" w:tplc="04270019">
      <w:start w:val="1"/>
      <w:numFmt w:val="lowerLetter"/>
      <w:lvlText w:val="%5."/>
      <w:lvlJc w:val="left"/>
      <w:pPr>
        <w:ind w:left="3977" w:hanging="360"/>
      </w:pPr>
    </w:lvl>
    <w:lvl w:ilvl="5" w:tplc="0427001B">
      <w:start w:val="1"/>
      <w:numFmt w:val="lowerRoman"/>
      <w:lvlText w:val="%6."/>
      <w:lvlJc w:val="right"/>
      <w:pPr>
        <w:ind w:left="4697" w:hanging="180"/>
      </w:pPr>
    </w:lvl>
    <w:lvl w:ilvl="6" w:tplc="0427000F">
      <w:start w:val="1"/>
      <w:numFmt w:val="decimal"/>
      <w:lvlText w:val="%7."/>
      <w:lvlJc w:val="left"/>
      <w:pPr>
        <w:ind w:left="5417" w:hanging="360"/>
      </w:pPr>
    </w:lvl>
    <w:lvl w:ilvl="7" w:tplc="04270019">
      <w:start w:val="1"/>
      <w:numFmt w:val="lowerLetter"/>
      <w:lvlText w:val="%8."/>
      <w:lvlJc w:val="left"/>
      <w:pPr>
        <w:ind w:left="6137" w:hanging="360"/>
      </w:pPr>
    </w:lvl>
    <w:lvl w:ilvl="8" w:tplc="0427001B">
      <w:start w:val="1"/>
      <w:numFmt w:val="lowerRoman"/>
      <w:lvlText w:val="%9."/>
      <w:lvlJc w:val="right"/>
      <w:pPr>
        <w:ind w:left="6857" w:hanging="180"/>
      </w:pPr>
    </w:lvl>
  </w:abstractNum>
  <w:abstractNum w:abstractNumId="23"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4"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27"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487683C"/>
    <w:multiLevelType w:val="multilevel"/>
    <w:tmpl w:val="601C6C26"/>
    <w:lvl w:ilvl="0">
      <w:start w:val="1"/>
      <w:numFmt w:val="decimal"/>
      <w:lvlText w:val="%1."/>
      <w:lvlJc w:val="left"/>
      <w:pPr>
        <w:ind w:left="6173" w:hanging="360"/>
      </w:pPr>
      <w:rPr>
        <w:b w:val="0"/>
        <w:b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D635AE"/>
    <w:multiLevelType w:val="hybridMultilevel"/>
    <w:tmpl w:val="59765B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0"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33"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35"/>
  </w:num>
  <w:num w:numId="2">
    <w:abstractNumId w:val="33"/>
  </w:num>
  <w:num w:numId="3">
    <w:abstractNumId w:val="37"/>
  </w:num>
  <w:num w:numId="4">
    <w:abstractNumId w:val="31"/>
  </w:num>
  <w:num w:numId="5">
    <w:abstractNumId w:val="23"/>
  </w:num>
  <w:num w:numId="6">
    <w:abstractNumId w:val="9"/>
  </w:num>
  <w:num w:numId="7">
    <w:abstractNumId w:val="3"/>
  </w:num>
  <w:num w:numId="8">
    <w:abstractNumId w:val="27"/>
  </w:num>
  <w:num w:numId="9">
    <w:abstractNumId w:val="25"/>
  </w:num>
  <w:num w:numId="10">
    <w:abstractNumId w:val="24"/>
  </w:num>
  <w:num w:numId="11">
    <w:abstractNumId w:val="12"/>
  </w:num>
  <w:num w:numId="12">
    <w:abstractNumId w:val="8"/>
  </w:num>
  <w:num w:numId="13">
    <w:abstractNumId w:val="13"/>
  </w:num>
  <w:num w:numId="14">
    <w:abstractNumId w:val="0"/>
  </w:num>
  <w:num w:numId="15">
    <w:abstractNumId w:val="1"/>
  </w:num>
  <w:num w:numId="16">
    <w:abstractNumId w:val="30"/>
  </w:num>
  <w:num w:numId="17">
    <w:abstractNumId w:val="11"/>
  </w:num>
  <w:num w:numId="18">
    <w:abstractNumId w:val="19"/>
  </w:num>
  <w:num w:numId="19">
    <w:abstractNumId w:val="14"/>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7"/>
  </w:num>
  <w:num w:numId="24">
    <w:abstractNumId w:val="36"/>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9"/>
  </w:num>
  <w:num w:numId="29">
    <w:abstractNumId w:val="6"/>
  </w:num>
  <w:num w:numId="30">
    <w:abstractNumId w:val="17"/>
  </w:num>
  <w:num w:numId="31">
    <w:abstractNumId w:val="22"/>
  </w:num>
  <w:num w:numId="32">
    <w:abstractNumId w:val="20"/>
  </w:num>
  <w:num w:numId="33">
    <w:abstractNumId w:val="32"/>
  </w:num>
  <w:num w:numId="34">
    <w:abstractNumId w:val="28"/>
  </w:num>
  <w:num w:numId="35">
    <w:abstractNumId w:val="16"/>
  </w:num>
  <w:num w:numId="36">
    <w:abstractNumId w:val="21"/>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CB5"/>
    <w:rsid w:val="00002F90"/>
    <w:rsid w:val="000046DE"/>
    <w:rsid w:val="00005391"/>
    <w:rsid w:val="00005A36"/>
    <w:rsid w:val="000064C2"/>
    <w:rsid w:val="000075AF"/>
    <w:rsid w:val="00007A79"/>
    <w:rsid w:val="00007AE0"/>
    <w:rsid w:val="00010516"/>
    <w:rsid w:val="0001338B"/>
    <w:rsid w:val="00014130"/>
    <w:rsid w:val="00014148"/>
    <w:rsid w:val="00014C00"/>
    <w:rsid w:val="0001541F"/>
    <w:rsid w:val="00016443"/>
    <w:rsid w:val="00017230"/>
    <w:rsid w:val="00017C67"/>
    <w:rsid w:val="00017F45"/>
    <w:rsid w:val="00020BE8"/>
    <w:rsid w:val="00021869"/>
    <w:rsid w:val="000232BE"/>
    <w:rsid w:val="000238BA"/>
    <w:rsid w:val="00024FF5"/>
    <w:rsid w:val="00025504"/>
    <w:rsid w:val="000256A0"/>
    <w:rsid w:val="00025BA1"/>
    <w:rsid w:val="000262CF"/>
    <w:rsid w:val="00027DF8"/>
    <w:rsid w:val="00030179"/>
    <w:rsid w:val="00030614"/>
    <w:rsid w:val="00031F67"/>
    <w:rsid w:val="00033126"/>
    <w:rsid w:val="00033C55"/>
    <w:rsid w:val="00034291"/>
    <w:rsid w:val="00035916"/>
    <w:rsid w:val="00035BB7"/>
    <w:rsid w:val="00035E28"/>
    <w:rsid w:val="000361AE"/>
    <w:rsid w:val="00037D5F"/>
    <w:rsid w:val="0004324F"/>
    <w:rsid w:val="00043CD9"/>
    <w:rsid w:val="00043FA6"/>
    <w:rsid w:val="000446AC"/>
    <w:rsid w:val="00044F1B"/>
    <w:rsid w:val="000458C0"/>
    <w:rsid w:val="00045C20"/>
    <w:rsid w:val="00046189"/>
    <w:rsid w:val="00046E01"/>
    <w:rsid w:val="00047043"/>
    <w:rsid w:val="00047F10"/>
    <w:rsid w:val="00050321"/>
    <w:rsid w:val="00050B91"/>
    <w:rsid w:val="00051F4C"/>
    <w:rsid w:val="00051FCA"/>
    <w:rsid w:val="00052995"/>
    <w:rsid w:val="00052FC4"/>
    <w:rsid w:val="000532AC"/>
    <w:rsid w:val="000545FE"/>
    <w:rsid w:val="000546B9"/>
    <w:rsid w:val="000546D1"/>
    <w:rsid w:val="0005480A"/>
    <w:rsid w:val="0005601D"/>
    <w:rsid w:val="000608A3"/>
    <w:rsid w:val="000611FF"/>
    <w:rsid w:val="0006157E"/>
    <w:rsid w:val="0006163D"/>
    <w:rsid w:val="00061B35"/>
    <w:rsid w:val="00061D97"/>
    <w:rsid w:val="000641D7"/>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38BB"/>
    <w:rsid w:val="00073B21"/>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C5A"/>
    <w:rsid w:val="00081734"/>
    <w:rsid w:val="00082913"/>
    <w:rsid w:val="00082A2D"/>
    <w:rsid w:val="0008302F"/>
    <w:rsid w:val="00084172"/>
    <w:rsid w:val="00084D99"/>
    <w:rsid w:val="000853D2"/>
    <w:rsid w:val="0008597D"/>
    <w:rsid w:val="00086F37"/>
    <w:rsid w:val="00087F0A"/>
    <w:rsid w:val="000903B8"/>
    <w:rsid w:val="000904B8"/>
    <w:rsid w:val="00091B33"/>
    <w:rsid w:val="00091EE2"/>
    <w:rsid w:val="00092976"/>
    <w:rsid w:val="00092E83"/>
    <w:rsid w:val="000977FE"/>
    <w:rsid w:val="000A1143"/>
    <w:rsid w:val="000A2ACD"/>
    <w:rsid w:val="000A3A7B"/>
    <w:rsid w:val="000A48C7"/>
    <w:rsid w:val="000A533A"/>
    <w:rsid w:val="000A5DF8"/>
    <w:rsid w:val="000A6981"/>
    <w:rsid w:val="000A7295"/>
    <w:rsid w:val="000A7A94"/>
    <w:rsid w:val="000B0DB3"/>
    <w:rsid w:val="000B0F96"/>
    <w:rsid w:val="000B15D3"/>
    <w:rsid w:val="000B1AF3"/>
    <w:rsid w:val="000B200F"/>
    <w:rsid w:val="000B29D3"/>
    <w:rsid w:val="000B2EF7"/>
    <w:rsid w:val="000B466D"/>
    <w:rsid w:val="000B4BA2"/>
    <w:rsid w:val="000B4F48"/>
    <w:rsid w:val="000B53F8"/>
    <w:rsid w:val="000B6099"/>
    <w:rsid w:val="000B630C"/>
    <w:rsid w:val="000B6917"/>
    <w:rsid w:val="000B7172"/>
    <w:rsid w:val="000B7B87"/>
    <w:rsid w:val="000C0EFB"/>
    <w:rsid w:val="000C0FC4"/>
    <w:rsid w:val="000C3364"/>
    <w:rsid w:val="000C338C"/>
    <w:rsid w:val="000C45A4"/>
    <w:rsid w:val="000C45FB"/>
    <w:rsid w:val="000C46F2"/>
    <w:rsid w:val="000C523F"/>
    <w:rsid w:val="000C5D18"/>
    <w:rsid w:val="000C6090"/>
    <w:rsid w:val="000C7D39"/>
    <w:rsid w:val="000D0F76"/>
    <w:rsid w:val="000D42DA"/>
    <w:rsid w:val="000D607E"/>
    <w:rsid w:val="000D613F"/>
    <w:rsid w:val="000D6259"/>
    <w:rsid w:val="000D641E"/>
    <w:rsid w:val="000D6B6F"/>
    <w:rsid w:val="000D7545"/>
    <w:rsid w:val="000D7B2B"/>
    <w:rsid w:val="000D7E2A"/>
    <w:rsid w:val="000E00E4"/>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C77"/>
    <w:rsid w:val="000F27F0"/>
    <w:rsid w:val="000F3F88"/>
    <w:rsid w:val="000F4990"/>
    <w:rsid w:val="000F5D10"/>
    <w:rsid w:val="000F6E87"/>
    <w:rsid w:val="000F7F53"/>
    <w:rsid w:val="001002EB"/>
    <w:rsid w:val="00100755"/>
    <w:rsid w:val="001018C5"/>
    <w:rsid w:val="00101B47"/>
    <w:rsid w:val="00101C1A"/>
    <w:rsid w:val="00101C75"/>
    <w:rsid w:val="001025CD"/>
    <w:rsid w:val="001029F4"/>
    <w:rsid w:val="00102FB6"/>
    <w:rsid w:val="001035B6"/>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43E"/>
    <w:rsid w:val="001224BE"/>
    <w:rsid w:val="001242A9"/>
    <w:rsid w:val="00125287"/>
    <w:rsid w:val="00125BDC"/>
    <w:rsid w:val="00125FC8"/>
    <w:rsid w:val="00126DDF"/>
    <w:rsid w:val="001276F1"/>
    <w:rsid w:val="00127767"/>
    <w:rsid w:val="00127D7A"/>
    <w:rsid w:val="001304C9"/>
    <w:rsid w:val="001315C0"/>
    <w:rsid w:val="00132328"/>
    <w:rsid w:val="00132B36"/>
    <w:rsid w:val="00132ED5"/>
    <w:rsid w:val="00134825"/>
    <w:rsid w:val="00134881"/>
    <w:rsid w:val="00134F11"/>
    <w:rsid w:val="001364B3"/>
    <w:rsid w:val="00137FBD"/>
    <w:rsid w:val="00140059"/>
    <w:rsid w:val="00141524"/>
    <w:rsid w:val="00141536"/>
    <w:rsid w:val="00141DE3"/>
    <w:rsid w:val="00141E16"/>
    <w:rsid w:val="00141ED3"/>
    <w:rsid w:val="00142479"/>
    <w:rsid w:val="00142B27"/>
    <w:rsid w:val="0014360F"/>
    <w:rsid w:val="00144240"/>
    <w:rsid w:val="001448A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6AC"/>
    <w:rsid w:val="00155EAA"/>
    <w:rsid w:val="00156AFE"/>
    <w:rsid w:val="00157368"/>
    <w:rsid w:val="00160700"/>
    <w:rsid w:val="00162692"/>
    <w:rsid w:val="00162DD2"/>
    <w:rsid w:val="00162DE5"/>
    <w:rsid w:val="00163F5B"/>
    <w:rsid w:val="0016628D"/>
    <w:rsid w:val="00166EB9"/>
    <w:rsid w:val="001671AE"/>
    <w:rsid w:val="0016762E"/>
    <w:rsid w:val="001707A2"/>
    <w:rsid w:val="00170CDB"/>
    <w:rsid w:val="00171042"/>
    <w:rsid w:val="00172A8F"/>
    <w:rsid w:val="00172D2B"/>
    <w:rsid w:val="001738F3"/>
    <w:rsid w:val="0017480C"/>
    <w:rsid w:val="001756EA"/>
    <w:rsid w:val="0018007F"/>
    <w:rsid w:val="00180278"/>
    <w:rsid w:val="00181674"/>
    <w:rsid w:val="00181CED"/>
    <w:rsid w:val="00181E4B"/>
    <w:rsid w:val="00182145"/>
    <w:rsid w:val="00182789"/>
    <w:rsid w:val="001828DD"/>
    <w:rsid w:val="00182986"/>
    <w:rsid w:val="0018451A"/>
    <w:rsid w:val="00184EE7"/>
    <w:rsid w:val="001853A2"/>
    <w:rsid w:val="001853F7"/>
    <w:rsid w:val="001857DA"/>
    <w:rsid w:val="00185D79"/>
    <w:rsid w:val="001867B8"/>
    <w:rsid w:val="0018716C"/>
    <w:rsid w:val="00187B29"/>
    <w:rsid w:val="00187E5E"/>
    <w:rsid w:val="00190668"/>
    <w:rsid w:val="00190D8E"/>
    <w:rsid w:val="0019118E"/>
    <w:rsid w:val="001921AE"/>
    <w:rsid w:val="00192542"/>
    <w:rsid w:val="00193329"/>
    <w:rsid w:val="00193907"/>
    <w:rsid w:val="001942E9"/>
    <w:rsid w:val="00195E5C"/>
    <w:rsid w:val="00196BE4"/>
    <w:rsid w:val="001979F8"/>
    <w:rsid w:val="001A0189"/>
    <w:rsid w:val="001A0565"/>
    <w:rsid w:val="001A0A78"/>
    <w:rsid w:val="001A0B5D"/>
    <w:rsid w:val="001A0CA7"/>
    <w:rsid w:val="001A1FA5"/>
    <w:rsid w:val="001A5310"/>
    <w:rsid w:val="001A59DF"/>
    <w:rsid w:val="001A6208"/>
    <w:rsid w:val="001A6277"/>
    <w:rsid w:val="001A6C29"/>
    <w:rsid w:val="001A7289"/>
    <w:rsid w:val="001B04D7"/>
    <w:rsid w:val="001B1824"/>
    <w:rsid w:val="001B1CF4"/>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96B"/>
    <w:rsid w:val="001C2CF1"/>
    <w:rsid w:val="001C36A5"/>
    <w:rsid w:val="001C3F98"/>
    <w:rsid w:val="001C40C6"/>
    <w:rsid w:val="001C482B"/>
    <w:rsid w:val="001C5364"/>
    <w:rsid w:val="001C55DF"/>
    <w:rsid w:val="001C5A1C"/>
    <w:rsid w:val="001C5B7F"/>
    <w:rsid w:val="001C656F"/>
    <w:rsid w:val="001C6C69"/>
    <w:rsid w:val="001C6DCE"/>
    <w:rsid w:val="001C7EF0"/>
    <w:rsid w:val="001D0441"/>
    <w:rsid w:val="001D12CB"/>
    <w:rsid w:val="001D1734"/>
    <w:rsid w:val="001D1B05"/>
    <w:rsid w:val="001D2D45"/>
    <w:rsid w:val="001D32CA"/>
    <w:rsid w:val="001D3FB2"/>
    <w:rsid w:val="001D636C"/>
    <w:rsid w:val="001D6386"/>
    <w:rsid w:val="001D64D2"/>
    <w:rsid w:val="001D7408"/>
    <w:rsid w:val="001E0CA3"/>
    <w:rsid w:val="001E11D8"/>
    <w:rsid w:val="001E13E4"/>
    <w:rsid w:val="001E27E5"/>
    <w:rsid w:val="001E4460"/>
    <w:rsid w:val="001E44D3"/>
    <w:rsid w:val="001E45B4"/>
    <w:rsid w:val="001E57E3"/>
    <w:rsid w:val="001E6108"/>
    <w:rsid w:val="001E64EE"/>
    <w:rsid w:val="001E6B93"/>
    <w:rsid w:val="001F0A80"/>
    <w:rsid w:val="001F122F"/>
    <w:rsid w:val="001F14F6"/>
    <w:rsid w:val="001F207C"/>
    <w:rsid w:val="001F2C3C"/>
    <w:rsid w:val="001F2E5F"/>
    <w:rsid w:val="001F3487"/>
    <w:rsid w:val="001F376B"/>
    <w:rsid w:val="001F382F"/>
    <w:rsid w:val="001F4C1C"/>
    <w:rsid w:val="001F5959"/>
    <w:rsid w:val="001F5B62"/>
    <w:rsid w:val="001F6068"/>
    <w:rsid w:val="001F7D80"/>
    <w:rsid w:val="0020035C"/>
    <w:rsid w:val="002003FC"/>
    <w:rsid w:val="0020061B"/>
    <w:rsid w:val="00203A1F"/>
    <w:rsid w:val="00203B59"/>
    <w:rsid w:val="00205621"/>
    <w:rsid w:val="00207EE9"/>
    <w:rsid w:val="00210172"/>
    <w:rsid w:val="002114C4"/>
    <w:rsid w:val="00211A1D"/>
    <w:rsid w:val="00212775"/>
    <w:rsid w:val="00212E45"/>
    <w:rsid w:val="002139E6"/>
    <w:rsid w:val="00214621"/>
    <w:rsid w:val="00217AFE"/>
    <w:rsid w:val="00220323"/>
    <w:rsid w:val="002205E6"/>
    <w:rsid w:val="0022124C"/>
    <w:rsid w:val="002212C4"/>
    <w:rsid w:val="0022178B"/>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1487"/>
    <w:rsid w:val="0023257B"/>
    <w:rsid w:val="00232754"/>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0E"/>
    <w:rsid w:val="0024119E"/>
    <w:rsid w:val="002417A7"/>
    <w:rsid w:val="002427B8"/>
    <w:rsid w:val="00242839"/>
    <w:rsid w:val="00242DA7"/>
    <w:rsid w:val="00243C8E"/>
    <w:rsid w:val="002450A6"/>
    <w:rsid w:val="00245F2C"/>
    <w:rsid w:val="0024642C"/>
    <w:rsid w:val="00246AAC"/>
    <w:rsid w:val="002507A6"/>
    <w:rsid w:val="0025160A"/>
    <w:rsid w:val="00251841"/>
    <w:rsid w:val="00251873"/>
    <w:rsid w:val="00251889"/>
    <w:rsid w:val="002522BC"/>
    <w:rsid w:val="00252880"/>
    <w:rsid w:val="00252FE9"/>
    <w:rsid w:val="00253D0F"/>
    <w:rsid w:val="00255A8F"/>
    <w:rsid w:val="00255CED"/>
    <w:rsid w:val="00256465"/>
    <w:rsid w:val="00256EFF"/>
    <w:rsid w:val="00257271"/>
    <w:rsid w:val="00260C34"/>
    <w:rsid w:val="002618A4"/>
    <w:rsid w:val="002620FA"/>
    <w:rsid w:val="00263369"/>
    <w:rsid w:val="00264394"/>
    <w:rsid w:val="002645CF"/>
    <w:rsid w:val="002647B9"/>
    <w:rsid w:val="002649B3"/>
    <w:rsid w:val="00264D05"/>
    <w:rsid w:val="00266B8C"/>
    <w:rsid w:val="00267A2E"/>
    <w:rsid w:val="00267F26"/>
    <w:rsid w:val="0027063B"/>
    <w:rsid w:val="00270E53"/>
    <w:rsid w:val="002714CD"/>
    <w:rsid w:val="00271EA9"/>
    <w:rsid w:val="00272D4C"/>
    <w:rsid w:val="00272F51"/>
    <w:rsid w:val="00273165"/>
    <w:rsid w:val="00273253"/>
    <w:rsid w:val="002748FE"/>
    <w:rsid w:val="00274E29"/>
    <w:rsid w:val="00275812"/>
    <w:rsid w:val="00275C6A"/>
    <w:rsid w:val="002775AC"/>
    <w:rsid w:val="00277E58"/>
    <w:rsid w:val="00277F81"/>
    <w:rsid w:val="00280046"/>
    <w:rsid w:val="00280957"/>
    <w:rsid w:val="0028146D"/>
    <w:rsid w:val="0028287C"/>
    <w:rsid w:val="00282A32"/>
    <w:rsid w:val="00283C1E"/>
    <w:rsid w:val="00285459"/>
    <w:rsid w:val="002855BC"/>
    <w:rsid w:val="00286051"/>
    <w:rsid w:val="00286052"/>
    <w:rsid w:val="00286145"/>
    <w:rsid w:val="002878C3"/>
    <w:rsid w:val="00291483"/>
    <w:rsid w:val="00292002"/>
    <w:rsid w:val="00292619"/>
    <w:rsid w:val="002926CC"/>
    <w:rsid w:val="00293CF6"/>
    <w:rsid w:val="0029551E"/>
    <w:rsid w:val="00296428"/>
    <w:rsid w:val="002A042D"/>
    <w:rsid w:val="002A1172"/>
    <w:rsid w:val="002A18B0"/>
    <w:rsid w:val="002A3987"/>
    <w:rsid w:val="002A5132"/>
    <w:rsid w:val="002A5297"/>
    <w:rsid w:val="002A62C6"/>
    <w:rsid w:val="002A7AD6"/>
    <w:rsid w:val="002A7B7C"/>
    <w:rsid w:val="002A7FDC"/>
    <w:rsid w:val="002B01D5"/>
    <w:rsid w:val="002B1C54"/>
    <w:rsid w:val="002B4371"/>
    <w:rsid w:val="002B498D"/>
    <w:rsid w:val="002B49B9"/>
    <w:rsid w:val="002B4AE4"/>
    <w:rsid w:val="002B4BAE"/>
    <w:rsid w:val="002B4E18"/>
    <w:rsid w:val="002B52C9"/>
    <w:rsid w:val="002B52FE"/>
    <w:rsid w:val="002B57B3"/>
    <w:rsid w:val="002B62EC"/>
    <w:rsid w:val="002B6379"/>
    <w:rsid w:val="002B672A"/>
    <w:rsid w:val="002B6D23"/>
    <w:rsid w:val="002B6DAA"/>
    <w:rsid w:val="002B75FF"/>
    <w:rsid w:val="002C1E20"/>
    <w:rsid w:val="002C2502"/>
    <w:rsid w:val="002C37D9"/>
    <w:rsid w:val="002C413A"/>
    <w:rsid w:val="002C44ED"/>
    <w:rsid w:val="002C55C3"/>
    <w:rsid w:val="002C5898"/>
    <w:rsid w:val="002C6581"/>
    <w:rsid w:val="002C6696"/>
    <w:rsid w:val="002C78B1"/>
    <w:rsid w:val="002D027C"/>
    <w:rsid w:val="002D03ED"/>
    <w:rsid w:val="002D1129"/>
    <w:rsid w:val="002D14DB"/>
    <w:rsid w:val="002D2404"/>
    <w:rsid w:val="002D25E7"/>
    <w:rsid w:val="002D31DA"/>
    <w:rsid w:val="002D3B15"/>
    <w:rsid w:val="002D47EA"/>
    <w:rsid w:val="002D65CE"/>
    <w:rsid w:val="002D67E5"/>
    <w:rsid w:val="002D690D"/>
    <w:rsid w:val="002D6A59"/>
    <w:rsid w:val="002D7086"/>
    <w:rsid w:val="002E0E0E"/>
    <w:rsid w:val="002E180F"/>
    <w:rsid w:val="002E1CD9"/>
    <w:rsid w:val="002E1D17"/>
    <w:rsid w:val="002E55E3"/>
    <w:rsid w:val="002E688F"/>
    <w:rsid w:val="002E704F"/>
    <w:rsid w:val="002F0DB5"/>
    <w:rsid w:val="002F14AC"/>
    <w:rsid w:val="002F182D"/>
    <w:rsid w:val="002F1872"/>
    <w:rsid w:val="002F1C5B"/>
    <w:rsid w:val="002F1FCF"/>
    <w:rsid w:val="002F353F"/>
    <w:rsid w:val="002F3CC8"/>
    <w:rsid w:val="002F4CE9"/>
    <w:rsid w:val="002F5053"/>
    <w:rsid w:val="002F56D1"/>
    <w:rsid w:val="002F7489"/>
    <w:rsid w:val="0030011E"/>
    <w:rsid w:val="00300253"/>
    <w:rsid w:val="003002D9"/>
    <w:rsid w:val="00301E35"/>
    <w:rsid w:val="003034A4"/>
    <w:rsid w:val="00303D8F"/>
    <w:rsid w:val="00305485"/>
    <w:rsid w:val="00306897"/>
    <w:rsid w:val="00306A83"/>
    <w:rsid w:val="00306B3B"/>
    <w:rsid w:val="00307269"/>
    <w:rsid w:val="003072D1"/>
    <w:rsid w:val="00307874"/>
    <w:rsid w:val="00307B39"/>
    <w:rsid w:val="003106C2"/>
    <w:rsid w:val="00310F4E"/>
    <w:rsid w:val="0031142B"/>
    <w:rsid w:val="0031264E"/>
    <w:rsid w:val="00312D45"/>
    <w:rsid w:val="0031324D"/>
    <w:rsid w:val="003133B6"/>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717"/>
    <w:rsid w:val="003247F9"/>
    <w:rsid w:val="003263AE"/>
    <w:rsid w:val="00326CC4"/>
    <w:rsid w:val="0032755B"/>
    <w:rsid w:val="00330656"/>
    <w:rsid w:val="00330ACD"/>
    <w:rsid w:val="00331929"/>
    <w:rsid w:val="00333C7E"/>
    <w:rsid w:val="00333D04"/>
    <w:rsid w:val="00334499"/>
    <w:rsid w:val="00335240"/>
    <w:rsid w:val="003365EF"/>
    <w:rsid w:val="003375D7"/>
    <w:rsid w:val="00337EAA"/>
    <w:rsid w:val="003408B3"/>
    <w:rsid w:val="00341159"/>
    <w:rsid w:val="00341604"/>
    <w:rsid w:val="00341709"/>
    <w:rsid w:val="00341A92"/>
    <w:rsid w:val="00342FB8"/>
    <w:rsid w:val="0034305E"/>
    <w:rsid w:val="00347E25"/>
    <w:rsid w:val="00347FEC"/>
    <w:rsid w:val="0035019E"/>
    <w:rsid w:val="003517E0"/>
    <w:rsid w:val="00351C84"/>
    <w:rsid w:val="00352140"/>
    <w:rsid w:val="00352362"/>
    <w:rsid w:val="003531F4"/>
    <w:rsid w:val="00353876"/>
    <w:rsid w:val="00353DA0"/>
    <w:rsid w:val="00354FA7"/>
    <w:rsid w:val="003560F2"/>
    <w:rsid w:val="00356741"/>
    <w:rsid w:val="00357B24"/>
    <w:rsid w:val="00360377"/>
    <w:rsid w:val="0036064D"/>
    <w:rsid w:val="00361B99"/>
    <w:rsid w:val="00361E20"/>
    <w:rsid w:val="00362B25"/>
    <w:rsid w:val="00363C0B"/>
    <w:rsid w:val="00363DFB"/>
    <w:rsid w:val="003648AD"/>
    <w:rsid w:val="00364B72"/>
    <w:rsid w:val="00365626"/>
    <w:rsid w:val="00367460"/>
    <w:rsid w:val="00367B9A"/>
    <w:rsid w:val="00367FE7"/>
    <w:rsid w:val="00371002"/>
    <w:rsid w:val="00371890"/>
    <w:rsid w:val="003719D4"/>
    <w:rsid w:val="00371C07"/>
    <w:rsid w:val="00372164"/>
    <w:rsid w:val="0037284B"/>
    <w:rsid w:val="003747B8"/>
    <w:rsid w:val="00374FE2"/>
    <w:rsid w:val="00375DFD"/>
    <w:rsid w:val="003763C2"/>
    <w:rsid w:val="0037652F"/>
    <w:rsid w:val="00377725"/>
    <w:rsid w:val="00377E40"/>
    <w:rsid w:val="003808A3"/>
    <w:rsid w:val="00381934"/>
    <w:rsid w:val="00383C62"/>
    <w:rsid w:val="00383C95"/>
    <w:rsid w:val="0038475E"/>
    <w:rsid w:val="00385D9C"/>
    <w:rsid w:val="003864BE"/>
    <w:rsid w:val="00386EB6"/>
    <w:rsid w:val="003877F6"/>
    <w:rsid w:val="00387860"/>
    <w:rsid w:val="003904A9"/>
    <w:rsid w:val="00390826"/>
    <w:rsid w:val="00390FDB"/>
    <w:rsid w:val="0039197D"/>
    <w:rsid w:val="00391CE9"/>
    <w:rsid w:val="00391FFB"/>
    <w:rsid w:val="003923B3"/>
    <w:rsid w:val="0039476B"/>
    <w:rsid w:val="00394918"/>
    <w:rsid w:val="0039493F"/>
    <w:rsid w:val="00394B29"/>
    <w:rsid w:val="0039508B"/>
    <w:rsid w:val="003955C7"/>
    <w:rsid w:val="00395CBF"/>
    <w:rsid w:val="00396123"/>
    <w:rsid w:val="00396D07"/>
    <w:rsid w:val="00397572"/>
    <w:rsid w:val="003A013A"/>
    <w:rsid w:val="003A0965"/>
    <w:rsid w:val="003A1185"/>
    <w:rsid w:val="003A1300"/>
    <w:rsid w:val="003A1342"/>
    <w:rsid w:val="003A1351"/>
    <w:rsid w:val="003A15BC"/>
    <w:rsid w:val="003A1A4F"/>
    <w:rsid w:val="003A31D9"/>
    <w:rsid w:val="003A4135"/>
    <w:rsid w:val="003A49A2"/>
    <w:rsid w:val="003A53BD"/>
    <w:rsid w:val="003A5401"/>
    <w:rsid w:val="003A5FA5"/>
    <w:rsid w:val="003B2ADF"/>
    <w:rsid w:val="003B2EED"/>
    <w:rsid w:val="003B2FB5"/>
    <w:rsid w:val="003B3330"/>
    <w:rsid w:val="003B38A2"/>
    <w:rsid w:val="003B4244"/>
    <w:rsid w:val="003B4A3F"/>
    <w:rsid w:val="003B542C"/>
    <w:rsid w:val="003B560D"/>
    <w:rsid w:val="003B5C0F"/>
    <w:rsid w:val="003B5D78"/>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3A92"/>
    <w:rsid w:val="003C4F1D"/>
    <w:rsid w:val="003C519C"/>
    <w:rsid w:val="003C5B50"/>
    <w:rsid w:val="003C7A86"/>
    <w:rsid w:val="003C7ABB"/>
    <w:rsid w:val="003C7B94"/>
    <w:rsid w:val="003D0F12"/>
    <w:rsid w:val="003D1AFE"/>
    <w:rsid w:val="003D1F45"/>
    <w:rsid w:val="003D1FFC"/>
    <w:rsid w:val="003D22DF"/>
    <w:rsid w:val="003D22F4"/>
    <w:rsid w:val="003D2333"/>
    <w:rsid w:val="003D3366"/>
    <w:rsid w:val="003D409B"/>
    <w:rsid w:val="003D4945"/>
    <w:rsid w:val="003D4C15"/>
    <w:rsid w:val="003D57E0"/>
    <w:rsid w:val="003D58F9"/>
    <w:rsid w:val="003D751E"/>
    <w:rsid w:val="003D7F25"/>
    <w:rsid w:val="003E18A8"/>
    <w:rsid w:val="003E2306"/>
    <w:rsid w:val="003E42E1"/>
    <w:rsid w:val="003E462E"/>
    <w:rsid w:val="003E5ACE"/>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A67"/>
    <w:rsid w:val="003F6B62"/>
    <w:rsid w:val="003F6CCE"/>
    <w:rsid w:val="003F737D"/>
    <w:rsid w:val="003F7679"/>
    <w:rsid w:val="004002E2"/>
    <w:rsid w:val="00400C83"/>
    <w:rsid w:val="00400E3E"/>
    <w:rsid w:val="0040129C"/>
    <w:rsid w:val="004014F0"/>
    <w:rsid w:val="0040196F"/>
    <w:rsid w:val="00402145"/>
    <w:rsid w:val="004021A1"/>
    <w:rsid w:val="0040227C"/>
    <w:rsid w:val="00402CA9"/>
    <w:rsid w:val="00402E1A"/>
    <w:rsid w:val="00403102"/>
    <w:rsid w:val="00403775"/>
    <w:rsid w:val="00403923"/>
    <w:rsid w:val="00403A62"/>
    <w:rsid w:val="0040441F"/>
    <w:rsid w:val="00404769"/>
    <w:rsid w:val="0040499B"/>
    <w:rsid w:val="0040543F"/>
    <w:rsid w:val="00405B3B"/>
    <w:rsid w:val="00406A4D"/>
    <w:rsid w:val="004072D6"/>
    <w:rsid w:val="00410BC0"/>
    <w:rsid w:val="00410BEF"/>
    <w:rsid w:val="00411379"/>
    <w:rsid w:val="004113A8"/>
    <w:rsid w:val="00411EE2"/>
    <w:rsid w:val="00412280"/>
    <w:rsid w:val="00412F8F"/>
    <w:rsid w:val="0041300A"/>
    <w:rsid w:val="004130E1"/>
    <w:rsid w:val="00413C16"/>
    <w:rsid w:val="00414C9A"/>
    <w:rsid w:val="00415054"/>
    <w:rsid w:val="004157F5"/>
    <w:rsid w:val="00415F2B"/>
    <w:rsid w:val="00417C69"/>
    <w:rsid w:val="004206A7"/>
    <w:rsid w:val="00421A43"/>
    <w:rsid w:val="00421AC2"/>
    <w:rsid w:val="00422599"/>
    <w:rsid w:val="0042294F"/>
    <w:rsid w:val="0042457D"/>
    <w:rsid w:val="00424F97"/>
    <w:rsid w:val="004251BE"/>
    <w:rsid w:val="00425FD2"/>
    <w:rsid w:val="004264B2"/>
    <w:rsid w:val="00427118"/>
    <w:rsid w:val="00430459"/>
    <w:rsid w:val="00430A8A"/>
    <w:rsid w:val="004319CA"/>
    <w:rsid w:val="00432416"/>
    <w:rsid w:val="00432B47"/>
    <w:rsid w:val="00434B6D"/>
    <w:rsid w:val="00434E04"/>
    <w:rsid w:val="0043583D"/>
    <w:rsid w:val="00435E75"/>
    <w:rsid w:val="00435ECC"/>
    <w:rsid w:val="0043602E"/>
    <w:rsid w:val="0044110A"/>
    <w:rsid w:val="004413F3"/>
    <w:rsid w:val="0044153D"/>
    <w:rsid w:val="0044161E"/>
    <w:rsid w:val="00443675"/>
    <w:rsid w:val="00444BF0"/>
    <w:rsid w:val="00444DF8"/>
    <w:rsid w:val="0044508C"/>
    <w:rsid w:val="00445487"/>
    <w:rsid w:val="00445591"/>
    <w:rsid w:val="0044587B"/>
    <w:rsid w:val="004459C2"/>
    <w:rsid w:val="00445FE3"/>
    <w:rsid w:val="00446B3B"/>
    <w:rsid w:val="0045043D"/>
    <w:rsid w:val="0045045E"/>
    <w:rsid w:val="00450E9E"/>
    <w:rsid w:val="00450FD2"/>
    <w:rsid w:val="0045102F"/>
    <w:rsid w:val="00451D32"/>
    <w:rsid w:val="0045229B"/>
    <w:rsid w:val="00452BFB"/>
    <w:rsid w:val="00452BFE"/>
    <w:rsid w:val="0045327E"/>
    <w:rsid w:val="00453353"/>
    <w:rsid w:val="0045349D"/>
    <w:rsid w:val="004534B5"/>
    <w:rsid w:val="00453996"/>
    <w:rsid w:val="00453BF7"/>
    <w:rsid w:val="0045484A"/>
    <w:rsid w:val="00455127"/>
    <w:rsid w:val="00455EDE"/>
    <w:rsid w:val="00456C71"/>
    <w:rsid w:val="00456EA3"/>
    <w:rsid w:val="0046020B"/>
    <w:rsid w:val="004602FF"/>
    <w:rsid w:val="00463ABF"/>
    <w:rsid w:val="00463F44"/>
    <w:rsid w:val="00464780"/>
    <w:rsid w:val="004658A0"/>
    <w:rsid w:val="00465FE2"/>
    <w:rsid w:val="00466CDA"/>
    <w:rsid w:val="004671D5"/>
    <w:rsid w:val="00467BA9"/>
    <w:rsid w:val="004701DC"/>
    <w:rsid w:val="00470ACA"/>
    <w:rsid w:val="00470BA4"/>
    <w:rsid w:val="0047110E"/>
    <w:rsid w:val="004712E6"/>
    <w:rsid w:val="00474B7C"/>
    <w:rsid w:val="00474FE7"/>
    <w:rsid w:val="004752AE"/>
    <w:rsid w:val="00475DDF"/>
    <w:rsid w:val="00476323"/>
    <w:rsid w:val="0047662E"/>
    <w:rsid w:val="00477D6B"/>
    <w:rsid w:val="00480B1D"/>
    <w:rsid w:val="00481AF1"/>
    <w:rsid w:val="00481C2B"/>
    <w:rsid w:val="00481D41"/>
    <w:rsid w:val="0048200F"/>
    <w:rsid w:val="0048238C"/>
    <w:rsid w:val="00483875"/>
    <w:rsid w:val="004838FD"/>
    <w:rsid w:val="00483BE4"/>
    <w:rsid w:val="0048426B"/>
    <w:rsid w:val="00484568"/>
    <w:rsid w:val="00484A6D"/>
    <w:rsid w:val="0048517A"/>
    <w:rsid w:val="00485831"/>
    <w:rsid w:val="0048588F"/>
    <w:rsid w:val="004865DC"/>
    <w:rsid w:val="00487F8E"/>
    <w:rsid w:val="00490F4A"/>
    <w:rsid w:val="00490FF4"/>
    <w:rsid w:val="004912CF"/>
    <w:rsid w:val="00492166"/>
    <w:rsid w:val="00492369"/>
    <w:rsid w:val="004926E5"/>
    <w:rsid w:val="00492DAB"/>
    <w:rsid w:val="00493777"/>
    <w:rsid w:val="00493CBB"/>
    <w:rsid w:val="00493D19"/>
    <w:rsid w:val="0049521F"/>
    <w:rsid w:val="00495317"/>
    <w:rsid w:val="00495F18"/>
    <w:rsid w:val="00496C0B"/>
    <w:rsid w:val="004A01E0"/>
    <w:rsid w:val="004A10F4"/>
    <w:rsid w:val="004A2AC7"/>
    <w:rsid w:val="004A40C5"/>
    <w:rsid w:val="004A4FC9"/>
    <w:rsid w:val="004A52B7"/>
    <w:rsid w:val="004A568A"/>
    <w:rsid w:val="004A57ED"/>
    <w:rsid w:val="004A5D53"/>
    <w:rsid w:val="004A7AEF"/>
    <w:rsid w:val="004B0180"/>
    <w:rsid w:val="004B04DE"/>
    <w:rsid w:val="004B07F1"/>
    <w:rsid w:val="004B0ACF"/>
    <w:rsid w:val="004B1006"/>
    <w:rsid w:val="004B1E83"/>
    <w:rsid w:val="004B219C"/>
    <w:rsid w:val="004B2D88"/>
    <w:rsid w:val="004B3C37"/>
    <w:rsid w:val="004B591E"/>
    <w:rsid w:val="004B5E60"/>
    <w:rsid w:val="004B76A5"/>
    <w:rsid w:val="004C0F42"/>
    <w:rsid w:val="004C24BB"/>
    <w:rsid w:val="004C353A"/>
    <w:rsid w:val="004C384F"/>
    <w:rsid w:val="004C3C90"/>
    <w:rsid w:val="004C429F"/>
    <w:rsid w:val="004C4CD4"/>
    <w:rsid w:val="004C554E"/>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CE0"/>
    <w:rsid w:val="004D425C"/>
    <w:rsid w:val="004D55E5"/>
    <w:rsid w:val="004D5E41"/>
    <w:rsid w:val="004E00D2"/>
    <w:rsid w:val="004E016F"/>
    <w:rsid w:val="004E06C1"/>
    <w:rsid w:val="004E193F"/>
    <w:rsid w:val="004E19C8"/>
    <w:rsid w:val="004E285C"/>
    <w:rsid w:val="004E4993"/>
    <w:rsid w:val="004E6606"/>
    <w:rsid w:val="004E7998"/>
    <w:rsid w:val="004E7B84"/>
    <w:rsid w:val="004E7ED8"/>
    <w:rsid w:val="004F197F"/>
    <w:rsid w:val="004F1F20"/>
    <w:rsid w:val="004F2902"/>
    <w:rsid w:val="004F5DE7"/>
    <w:rsid w:val="004F7233"/>
    <w:rsid w:val="004F7D37"/>
    <w:rsid w:val="005008C6"/>
    <w:rsid w:val="00501257"/>
    <w:rsid w:val="00501B2C"/>
    <w:rsid w:val="00501F18"/>
    <w:rsid w:val="00504E8E"/>
    <w:rsid w:val="005067A5"/>
    <w:rsid w:val="005068C3"/>
    <w:rsid w:val="00506B5A"/>
    <w:rsid w:val="00506E99"/>
    <w:rsid w:val="005076B4"/>
    <w:rsid w:val="00510377"/>
    <w:rsid w:val="005107AE"/>
    <w:rsid w:val="00510A5D"/>
    <w:rsid w:val="0051130E"/>
    <w:rsid w:val="0051135B"/>
    <w:rsid w:val="00511ABE"/>
    <w:rsid w:val="00512C11"/>
    <w:rsid w:val="00513529"/>
    <w:rsid w:val="005149FA"/>
    <w:rsid w:val="00516B1F"/>
    <w:rsid w:val="00517D30"/>
    <w:rsid w:val="00520005"/>
    <w:rsid w:val="005202B9"/>
    <w:rsid w:val="0052069E"/>
    <w:rsid w:val="00525772"/>
    <w:rsid w:val="00527E81"/>
    <w:rsid w:val="00530A65"/>
    <w:rsid w:val="0053170A"/>
    <w:rsid w:val="005325F6"/>
    <w:rsid w:val="005330CB"/>
    <w:rsid w:val="005336CE"/>
    <w:rsid w:val="00533DEA"/>
    <w:rsid w:val="00534BEF"/>
    <w:rsid w:val="00536C11"/>
    <w:rsid w:val="00536CB0"/>
    <w:rsid w:val="005401AA"/>
    <w:rsid w:val="005405F3"/>
    <w:rsid w:val="00540775"/>
    <w:rsid w:val="00540B88"/>
    <w:rsid w:val="00540D00"/>
    <w:rsid w:val="00540EB7"/>
    <w:rsid w:val="0054125B"/>
    <w:rsid w:val="00541934"/>
    <w:rsid w:val="00541D56"/>
    <w:rsid w:val="00542220"/>
    <w:rsid w:val="005427EA"/>
    <w:rsid w:val="00542D1B"/>
    <w:rsid w:val="005430ED"/>
    <w:rsid w:val="00545753"/>
    <w:rsid w:val="00545936"/>
    <w:rsid w:val="00546207"/>
    <w:rsid w:val="0054767E"/>
    <w:rsid w:val="00547BEA"/>
    <w:rsid w:val="005505E4"/>
    <w:rsid w:val="00550FE3"/>
    <w:rsid w:val="00551AB7"/>
    <w:rsid w:val="005522F1"/>
    <w:rsid w:val="00552CA9"/>
    <w:rsid w:val="00552D3B"/>
    <w:rsid w:val="0055435B"/>
    <w:rsid w:val="00555D66"/>
    <w:rsid w:val="005560AA"/>
    <w:rsid w:val="00556774"/>
    <w:rsid w:val="00560F15"/>
    <w:rsid w:val="00561570"/>
    <w:rsid w:val="00561F60"/>
    <w:rsid w:val="00562D1C"/>
    <w:rsid w:val="0056396E"/>
    <w:rsid w:val="00563D54"/>
    <w:rsid w:val="00564490"/>
    <w:rsid w:val="005648CB"/>
    <w:rsid w:val="005656A9"/>
    <w:rsid w:val="005657D8"/>
    <w:rsid w:val="0056682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59A2"/>
    <w:rsid w:val="005769C7"/>
    <w:rsid w:val="00576AEE"/>
    <w:rsid w:val="00577D3D"/>
    <w:rsid w:val="005802C7"/>
    <w:rsid w:val="00583182"/>
    <w:rsid w:val="005831CC"/>
    <w:rsid w:val="005835CE"/>
    <w:rsid w:val="005853AC"/>
    <w:rsid w:val="00585D53"/>
    <w:rsid w:val="00585EAE"/>
    <w:rsid w:val="0058699F"/>
    <w:rsid w:val="00587617"/>
    <w:rsid w:val="00587725"/>
    <w:rsid w:val="00587897"/>
    <w:rsid w:val="00592D6F"/>
    <w:rsid w:val="00593161"/>
    <w:rsid w:val="00594017"/>
    <w:rsid w:val="00594BC7"/>
    <w:rsid w:val="00594DA1"/>
    <w:rsid w:val="00595C1F"/>
    <w:rsid w:val="0059624E"/>
    <w:rsid w:val="00596D9C"/>
    <w:rsid w:val="0059787E"/>
    <w:rsid w:val="00597CF4"/>
    <w:rsid w:val="005A0793"/>
    <w:rsid w:val="005A100B"/>
    <w:rsid w:val="005A23E7"/>
    <w:rsid w:val="005A2A38"/>
    <w:rsid w:val="005A2E58"/>
    <w:rsid w:val="005A48D2"/>
    <w:rsid w:val="005A5097"/>
    <w:rsid w:val="005A645A"/>
    <w:rsid w:val="005A6F02"/>
    <w:rsid w:val="005A6F71"/>
    <w:rsid w:val="005A7B9B"/>
    <w:rsid w:val="005B0561"/>
    <w:rsid w:val="005B05D5"/>
    <w:rsid w:val="005B1796"/>
    <w:rsid w:val="005B3785"/>
    <w:rsid w:val="005B466F"/>
    <w:rsid w:val="005B4CA6"/>
    <w:rsid w:val="005B5CD9"/>
    <w:rsid w:val="005C0A8B"/>
    <w:rsid w:val="005C0F8E"/>
    <w:rsid w:val="005C2FF9"/>
    <w:rsid w:val="005C58A5"/>
    <w:rsid w:val="005C618A"/>
    <w:rsid w:val="005C632B"/>
    <w:rsid w:val="005C6B95"/>
    <w:rsid w:val="005C6CDA"/>
    <w:rsid w:val="005C6F62"/>
    <w:rsid w:val="005C6FFB"/>
    <w:rsid w:val="005C7A09"/>
    <w:rsid w:val="005C7FA2"/>
    <w:rsid w:val="005D013B"/>
    <w:rsid w:val="005D01B3"/>
    <w:rsid w:val="005D08D3"/>
    <w:rsid w:val="005D1203"/>
    <w:rsid w:val="005D166D"/>
    <w:rsid w:val="005D337D"/>
    <w:rsid w:val="005D4770"/>
    <w:rsid w:val="005D53CE"/>
    <w:rsid w:val="005D5EF9"/>
    <w:rsid w:val="005D6986"/>
    <w:rsid w:val="005D7148"/>
    <w:rsid w:val="005D75FE"/>
    <w:rsid w:val="005D76E1"/>
    <w:rsid w:val="005D7AAE"/>
    <w:rsid w:val="005E05ED"/>
    <w:rsid w:val="005E063D"/>
    <w:rsid w:val="005E1269"/>
    <w:rsid w:val="005E1A50"/>
    <w:rsid w:val="005E2549"/>
    <w:rsid w:val="005E31F4"/>
    <w:rsid w:val="005E3315"/>
    <w:rsid w:val="005E3EFB"/>
    <w:rsid w:val="005E4055"/>
    <w:rsid w:val="005E4471"/>
    <w:rsid w:val="005E4499"/>
    <w:rsid w:val="005E5E42"/>
    <w:rsid w:val="005E7647"/>
    <w:rsid w:val="005E7A8F"/>
    <w:rsid w:val="005E7EFC"/>
    <w:rsid w:val="005F2673"/>
    <w:rsid w:val="005F2F6A"/>
    <w:rsid w:val="005F32CB"/>
    <w:rsid w:val="005F47C0"/>
    <w:rsid w:val="005F4BD8"/>
    <w:rsid w:val="005F4E01"/>
    <w:rsid w:val="005F52A0"/>
    <w:rsid w:val="005F5326"/>
    <w:rsid w:val="005F539A"/>
    <w:rsid w:val="005F5BBA"/>
    <w:rsid w:val="005F63E4"/>
    <w:rsid w:val="005F64C2"/>
    <w:rsid w:val="005F675D"/>
    <w:rsid w:val="005F6B9A"/>
    <w:rsid w:val="005F6D3C"/>
    <w:rsid w:val="005F7412"/>
    <w:rsid w:val="006004F5"/>
    <w:rsid w:val="00600B6A"/>
    <w:rsid w:val="00601146"/>
    <w:rsid w:val="0060196B"/>
    <w:rsid w:val="0060279A"/>
    <w:rsid w:val="006028A1"/>
    <w:rsid w:val="006029D3"/>
    <w:rsid w:val="00603233"/>
    <w:rsid w:val="006035A8"/>
    <w:rsid w:val="0060409F"/>
    <w:rsid w:val="0060506E"/>
    <w:rsid w:val="00605186"/>
    <w:rsid w:val="006054C7"/>
    <w:rsid w:val="00605679"/>
    <w:rsid w:val="00606901"/>
    <w:rsid w:val="00606AC1"/>
    <w:rsid w:val="006071FA"/>
    <w:rsid w:val="00607B01"/>
    <w:rsid w:val="00607CB5"/>
    <w:rsid w:val="0061062F"/>
    <w:rsid w:val="00610A09"/>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28B1"/>
    <w:rsid w:val="00622BC8"/>
    <w:rsid w:val="0062311B"/>
    <w:rsid w:val="0062369B"/>
    <w:rsid w:val="00624DBA"/>
    <w:rsid w:val="00625DDD"/>
    <w:rsid w:val="00626D2F"/>
    <w:rsid w:val="0062709E"/>
    <w:rsid w:val="0062768A"/>
    <w:rsid w:val="00627953"/>
    <w:rsid w:val="00627D18"/>
    <w:rsid w:val="00630467"/>
    <w:rsid w:val="006310B1"/>
    <w:rsid w:val="00631657"/>
    <w:rsid w:val="00631C54"/>
    <w:rsid w:val="00631DF1"/>
    <w:rsid w:val="006324ED"/>
    <w:rsid w:val="006328BA"/>
    <w:rsid w:val="00633EBE"/>
    <w:rsid w:val="00635BF9"/>
    <w:rsid w:val="0063601D"/>
    <w:rsid w:val="006362EE"/>
    <w:rsid w:val="00636A8E"/>
    <w:rsid w:val="006376CD"/>
    <w:rsid w:val="0063791D"/>
    <w:rsid w:val="00640635"/>
    <w:rsid w:val="0064067E"/>
    <w:rsid w:val="00641620"/>
    <w:rsid w:val="00641C8C"/>
    <w:rsid w:val="006426CA"/>
    <w:rsid w:val="006438B0"/>
    <w:rsid w:val="00644B78"/>
    <w:rsid w:val="00646C8B"/>
    <w:rsid w:val="00650140"/>
    <w:rsid w:val="006507CC"/>
    <w:rsid w:val="00650AAB"/>
    <w:rsid w:val="00651196"/>
    <w:rsid w:val="0065155B"/>
    <w:rsid w:val="0065190B"/>
    <w:rsid w:val="006520CB"/>
    <w:rsid w:val="00652555"/>
    <w:rsid w:val="00652AF6"/>
    <w:rsid w:val="0065381F"/>
    <w:rsid w:val="006540E2"/>
    <w:rsid w:val="00655886"/>
    <w:rsid w:val="00657160"/>
    <w:rsid w:val="006579B5"/>
    <w:rsid w:val="00660B0B"/>
    <w:rsid w:val="00661021"/>
    <w:rsid w:val="00661189"/>
    <w:rsid w:val="00661B6C"/>
    <w:rsid w:val="0066248C"/>
    <w:rsid w:val="0066463D"/>
    <w:rsid w:val="00664D37"/>
    <w:rsid w:val="0066500F"/>
    <w:rsid w:val="00665170"/>
    <w:rsid w:val="006655D7"/>
    <w:rsid w:val="00665E1F"/>
    <w:rsid w:val="00666C88"/>
    <w:rsid w:val="00667C13"/>
    <w:rsid w:val="00667F8A"/>
    <w:rsid w:val="006703B4"/>
    <w:rsid w:val="00670E4D"/>
    <w:rsid w:val="00670E7D"/>
    <w:rsid w:val="00672609"/>
    <w:rsid w:val="006734AC"/>
    <w:rsid w:val="00674C50"/>
    <w:rsid w:val="0067530C"/>
    <w:rsid w:val="00676716"/>
    <w:rsid w:val="006767D9"/>
    <w:rsid w:val="00676F65"/>
    <w:rsid w:val="006770E7"/>
    <w:rsid w:val="00677510"/>
    <w:rsid w:val="00677BEF"/>
    <w:rsid w:val="0068158A"/>
    <w:rsid w:val="006817AB"/>
    <w:rsid w:val="006826CC"/>
    <w:rsid w:val="00682D30"/>
    <w:rsid w:val="00684D91"/>
    <w:rsid w:val="006909CF"/>
    <w:rsid w:val="006915E9"/>
    <w:rsid w:val="0069190D"/>
    <w:rsid w:val="00693148"/>
    <w:rsid w:val="006944E7"/>
    <w:rsid w:val="0069541C"/>
    <w:rsid w:val="0069785F"/>
    <w:rsid w:val="006A0CF1"/>
    <w:rsid w:val="006A1802"/>
    <w:rsid w:val="006A2576"/>
    <w:rsid w:val="006A4C3B"/>
    <w:rsid w:val="006A4D40"/>
    <w:rsid w:val="006A6949"/>
    <w:rsid w:val="006B11F1"/>
    <w:rsid w:val="006B3F4C"/>
    <w:rsid w:val="006B423B"/>
    <w:rsid w:val="006B44B9"/>
    <w:rsid w:val="006B4E65"/>
    <w:rsid w:val="006B74FC"/>
    <w:rsid w:val="006B772F"/>
    <w:rsid w:val="006B7D8C"/>
    <w:rsid w:val="006B7D97"/>
    <w:rsid w:val="006C0EDA"/>
    <w:rsid w:val="006C1C1A"/>
    <w:rsid w:val="006C1FC9"/>
    <w:rsid w:val="006C29E3"/>
    <w:rsid w:val="006C2ED4"/>
    <w:rsid w:val="006C3031"/>
    <w:rsid w:val="006C3C83"/>
    <w:rsid w:val="006C3DFF"/>
    <w:rsid w:val="006C3E63"/>
    <w:rsid w:val="006C46E6"/>
    <w:rsid w:val="006C492D"/>
    <w:rsid w:val="006C59C5"/>
    <w:rsid w:val="006C7064"/>
    <w:rsid w:val="006C7ECD"/>
    <w:rsid w:val="006D0061"/>
    <w:rsid w:val="006D0697"/>
    <w:rsid w:val="006D1747"/>
    <w:rsid w:val="006D1B8A"/>
    <w:rsid w:val="006D235E"/>
    <w:rsid w:val="006D2858"/>
    <w:rsid w:val="006D323D"/>
    <w:rsid w:val="006D36D2"/>
    <w:rsid w:val="006D4687"/>
    <w:rsid w:val="006D5E0E"/>
    <w:rsid w:val="006D63B3"/>
    <w:rsid w:val="006D6E91"/>
    <w:rsid w:val="006D75D8"/>
    <w:rsid w:val="006E038A"/>
    <w:rsid w:val="006E0DFB"/>
    <w:rsid w:val="006E15AD"/>
    <w:rsid w:val="006E2475"/>
    <w:rsid w:val="006E2CF0"/>
    <w:rsid w:val="006E3339"/>
    <w:rsid w:val="006E4371"/>
    <w:rsid w:val="006E4563"/>
    <w:rsid w:val="006E6F4A"/>
    <w:rsid w:val="006F005D"/>
    <w:rsid w:val="006F0AD2"/>
    <w:rsid w:val="006F0BF6"/>
    <w:rsid w:val="006F0DEB"/>
    <w:rsid w:val="006F1327"/>
    <w:rsid w:val="006F2E74"/>
    <w:rsid w:val="006F39C3"/>
    <w:rsid w:val="006F4129"/>
    <w:rsid w:val="006F4692"/>
    <w:rsid w:val="006F4E6C"/>
    <w:rsid w:val="006F4FF9"/>
    <w:rsid w:val="006F58AD"/>
    <w:rsid w:val="006F6629"/>
    <w:rsid w:val="006F6F12"/>
    <w:rsid w:val="006F71CA"/>
    <w:rsid w:val="00700E79"/>
    <w:rsid w:val="00702761"/>
    <w:rsid w:val="00704596"/>
    <w:rsid w:val="00704DE4"/>
    <w:rsid w:val="00705529"/>
    <w:rsid w:val="007056D6"/>
    <w:rsid w:val="00705711"/>
    <w:rsid w:val="007070B2"/>
    <w:rsid w:val="00707427"/>
    <w:rsid w:val="007110B4"/>
    <w:rsid w:val="007118EF"/>
    <w:rsid w:val="00711A2D"/>
    <w:rsid w:val="007129A3"/>
    <w:rsid w:val="00713110"/>
    <w:rsid w:val="00713111"/>
    <w:rsid w:val="00713552"/>
    <w:rsid w:val="0071366B"/>
    <w:rsid w:val="00715AA9"/>
    <w:rsid w:val="00715D91"/>
    <w:rsid w:val="00715E86"/>
    <w:rsid w:val="00716975"/>
    <w:rsid w:val="007177DA"/>
    <w:rsid w:val="007178B2"/>
    <w:rsid w:val="00720086"/>
    <w:rsid w:val="00720C1F"/>
    <w:rsid w:val="00720E4D"/>
    <w:rsid w:val="007211AA"/>
    <w:rsid w:val="007214FF"/>
    <w:rsid w:val="00722089"/>
    <w:rsid w:val="00722D86"/>
    <w:rsid w:val="0072316B"/>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46E"/>
    <w:rsid w:val="007476CD"/>
    <w:rsid w:val="007477E3"/>
    <w:rsid w:val="00750110"/>
    <w:rsid w:val="007505EE"/>
    <w:rsid w:val="00750BEF"/>
    <w:rsid w:val="00750E90"/>
    <w:rsid w:val="007512D7"/>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C9"/>
    <w:rsid w:val="007651ED"/>
    <w:rsid w:val="00765CDE"/>
    <w:rsid w:val="00765DB8"/>
    <w:rsid w:val="00766ECE"/>
    <w:rsid w:val="00766FF2"/>
    <w:rsid w:val="00767171"/>
    <w:rsid w:val="0077118A"/>
    <w:rsid w:val="00771D70"/>
    <w:rsid w:val="00772561"/>
    <w:rsid w:val="007728B6"/>
    <w:rsid w:val="0077364E"/>
    <w:rsid w:val="00773B26"/>
    <w:rsid w:val="00773B4A"/>
    <w:rsid w:val="007740E5"/>
    <w:rsid w:val="00776134"/>
    <w:rsid w:val="00777349"/>
    <w:rsid w:val="0077757C"/>
    <w:rsid w:val="00780481"/>
    <w:rsid w:val="00780792"/>
    <w:rsid w:val="00780FF2"/>
    <w:rsid w:val="00782294"/>
    <w:rsid w:val="0078338D"/>
    <w:rsid w:val="00783C8F"/>
    <w:rsid w:val="007840B9"/>
    <w:rsid w:val="00784780"/>
    <w:rsid w:val="0078578C"/>
    <w:rsid w:val="007858EB"/>
    <w:rsid w:val="0078625E"/>
    <w:rsid w:val="00786A02"/>
    <w:rsid w:val="00787462"/>
    <w:rsid w:val="00787614"/>
    <w:rsid w:val="00790DA3"/>
    <w:rsid w:val="00791116"/>
    <w:rsid w:val="00791B5D"/>
    <w:rsid w:val="0079287A"/>
    <w:rsid w:val="00793129"/>
    <w:rsid w:val="00793AAE"/>
    <w:rsid w:val="00794D8F"/>
    <w:rsid w:val="0079503B"/>
    <w:rsid w:val="00795175"/>
    <w:rsid w:val="0079572E"/>
    <w:rsid w:val="007958FA"/>
    <w:rsid w:val="00796B08"/>
    <w:rsid w:val="0079761E"/>
    <w:rsid w:val="00797651"/>
    <w:rsid w:val="007A0356"/>
    <w:rsid w:val="007A1688"/>
    <w:rsid w:val="007A234C"/>
    <w:rsid w:val="007A25C9"/>
    <w:rsid w:val="007A2631"/>
    <w:rsid w:val="007A283A"/>
    <w:rsid w:val="007A3895"/>
    <w:rsid w:val="007A3F12"/>
    <w:rsid w:val="007A4063"/>
    <w:rsid w:val="007A46EF"/>
    <w:rsid w:val="007A48DF"/>
    <w:rsid w:val="007A689D"/>
    <w:rsid w:val="007A68C3"/>
    <w:rsid w:val="007B0044"/>
    <w:rsid w:val="007B082A"/>
    <w:rsid w:val="007B0833"/>
    <w:rsid w:val="007B1A08"/>
    <w:rsid w:val="007B1D07"/>
    <w:rsid w:val="007B3793"/>
    <w:rsid w:val="007B3F67"/>
    <w:rsid w:val="007B49B6"/>
    <w:rsid w:val="007B4D12"/>
    <w:rsid w:val="007B659E"/>
    <w:rsid w:val="007B667D"/>
    <w:rsid w:val="007B6731"/>
    <w:rsid w:val="007B6F7C"/>
    <w:rsid w:val="007C1FFB"/>
    <w:rsid w:val="007C2717"/>
    <w:rsid w:val="007C2F22"/>
    <w:rsid w:val="007C3224"/>
    <w:rsid w:val="007C3F6E"/>
    <w:rsid w:val="007C4A7F"/>
    <w:rsid w:val="007C4D8C"/>
    <w:rsid w:val="007C6259"/>
    <w:rsid w:val="007C77D8"/>
    <w:rsid w:val="007C7BF4"/>
    <w:rsid w:val="007D1CA6"/>
    <w:rsid w:val="007D1CF5"/>
    <w:rsid w:val="007D350C"/>
    <w:rsid w:val="007D4816"/>
    <w:rsid w:val="007D52BE"/>
    <w:rsid w:val="007D59DA"/>
    <w:rsid w:val="007D62BB"/>
    <w:rsid w:val="007D6F58"/>
    <w:rsid w:val="007E0BAB"/>
    <w:rsid w:val="007E1059"/>
    <w:rsid w:val="007E11B4"/>
    <w:rsid w:val="007E14BA"/>
    <w:rsid w:val="007E1F71"/>
    <w:rsid w:val="007E2BEA"/>
    <w:rsid w:val="007E4613"/>
    <w:rsid w:val="007E4D69"/>
    <w:rsid w:val="007E688F"/>
    <w:rsid w:val="007E6C35"/>
    <w:rsid w:val="007F0FCD"/>
    <w:rsid w:val="007F3058"/>
    <w:rsid w:val="007F3163"/>
    <w:rsid w:val="007F4230"/>
    <w:rsid w:val="007F6D13"/>
    <w:rsid w:val="00800B88"/>
    <w:rsid w:val="00800E30"/>
    <w:rsid w:val="008015F8"/>
    <w:rsid w:val="008017E8"/>
    <w:rsid w:val="008024B7"/>
    <w:rsid w:val="00802F26"/>
    <w:rsid w:val="0080333D"/>
    <w:rsid w:val="00804507"/>
    <w:rsid w:val="008058C0"/>
    <w:rsid w:val="00805EF4"/>
    <w:rsid w:val="00806202"/>
    <w:rsid w:val="008062F1"/>
    <w:rsid w:val="00807E53"/>
    <w:rsid w:val="00811541"/>
    <w:rsid w:val="008120BF"/>
    <w:rsid w:val="00812422"/>
    <w:rsid w:val="00812C7B"/>
    <w:rsid w:val="00813258"/>
    <w:rsid w:val="00813512"/>
    <w:rsid w:val="00813E7C"/>
    <w:rsid w:val="0081470A"/>
    <w:rsid w:val="00814EBD"/>
    <w:rsid w:val="0081523C"/>
    <w:rsid w:val="00815672"/>
    <w:rsid w:val="00816C5A"/>
    <w:rsid w:val="00820A62"/>
    <w:rsid w:val="0082193D"/>
    <w:rsid w:val="00822B4B"/>
    <w:rsid w:val="008241F7"/>
    <w:rsid w:val="00825A1D"/>
    <w:rsid w:val="00825E39"/>
    <w:rsid w:val="008266B5"/>
    <w:rsid w:val="00826BD9"/>
    <w:rsid w:val="0083042E"/>
    <w:rsid w:val="00830785"/>
    <w:rsid w:val="0083103A"/>
    <w:rsid w:val="00831B96"/>
    <w:rsid w:val="0083223A"/>
    <w:rsid w:val="00833983"/>
    <w:rsid w:val="00834E84"/>
    <w:rsid w:val="008355B3"/>
    <w:rsid w:val="00835612"/>
    <w:rsid w:val="008374FB"/>
    <w:rsid w:val="00837545"/>
    <w:rsid w:val="0084001D"/>
    <w:rsid w:val="00840EEF"/>
    <w:rsid w:val="0084131F"/>
    <w:rsid w:val="00841505"/>
    <w:rsid w:val="008416FE"/>
    <w:rsid w:val="00841BF3"/>
    <w:rsid w:val="00841EE9"/>
    <w:rsid w:val="008432F7"/>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B62"/>
    <w:rsid w:val="00854FD3"/>
    <w:rsid w:val="008550C9"/>
    <w:rsid w:val="00855411"/>
    <w:rsid w:val="00855443"/>
    <w:rsid w:val="00855502"/>
    <w:rsid w:val="00855BC8"/>
    <w:rsid w:val="00861DA7"/>
    <w:rsid w:val="00862555"/>
    <w:rsid w:val="008625E8"/>
    <w:rsid w:val="0086364E"/>
    <w:rsid w:val="008646D8"/>
    <w:rsid w:val="0086480D"/>
    <w:rsid w:val="008653D7"/>
    <w:rsid w:val="00865513"/>
    <w:rsid w:val="00866061"/>
    <w:rsid w:val="0086625E"/>
    <w:rsid w:val="00866596"/>
    <w:rsid w:val="00866860"/>
    <w:rsid w:val="008714D9"/>
    <w:rsid w:val="00871E43"/>
    <w:rsid w:val="008722D9"/>
    <w:rsid w:val="00872AEA"/>
    <w:rsid w:val="00872AED"/>
    <w:rsid w:val="008730B0"/>
    <w:rsid w:val="008734AF"/>
    <w:rsid w:val="008745C7"/>
    <w:rsid w:val="0087490B"/>
    <w:rsid w:val="00875992"/>
    <w:rsid w:val="00875F4E"/>
    <w:rsid w:val="008772AD"/>
    <w:rsid w:val="00877D02"/>
    <w:rsid w:val="00881A27"/>
    <w:rsid w:val="008826CF"/>
    <w:rsid w:val="008828CF"/>
    <w:rsid w:val="008831FC"/>
    <w:rsid w:val="00883A14"/>
    <w:rsid w:val="00884619"/>
    <w:rsid w:val="008849FF"/>
    <w:rsid w:val="00886320"/>
    <w:rsid w:val="00887183"/>
    <w:rsid w:val="00887ACA"/>
    <w:rsid w:val="00887CCE"/>
    <w:rsid w:val="00890514"/>
    <w:rsid w:val="0089166D"/>
    <w:rsid w:val="00892DFB"/>
    <w:rsid w:val="00893884"/>
    <w:rsid w:val="00893A9E"/>
    <w:rsid w:val="00893E6F"/>
    <w:rsid w:val="0089418C"/>
    <w:rsid w:val="00894B1D"/>
    <w:rsid w:val="00897C7E"/>
    <w:rsid w:val="008A0601"/>
    <w:rsid w:val="008A087E"/>
    <w:rsid w:val="008A14FE"/>
    <w:rsid w:val="008A1B44"/>
    <w:rsid w:val="008A28FA"/>
    <w:rsid w:val="008A2FA6"/>
    <w:rsid w:val="008A3337"/>
    <w:rsid w:val="008A4843"/>
    <w:rsid w:val="008A55DD"/>
    <w:rsid w:val="008A5947"/>
    <w:rsid w:val="008A5AC8"/>
    <w:rsid w:val="008A5B90"/>
    <w:rsid w:val="008A657C"/>
    <w:rsid w:val="008A6C85"/>
    <w:rsid w:val="008B020D"/>
    <w:rsid w:val="008B122E"/>
    <w:rsid w:val="008B1601"/>
    <w:rsid w:val="008B223F"/>
    <w:rsid w:val="008B2D4D"/>
    <w:rsid w:val="008B410D"/>
    <w:rsid w:val="008B6221"/>
    <w:rsid w:val="008B65A5"/>
    <w:rsid w:val="008B6D0A"/>
    <w:rsid w:val="008B6D39"/>
    <w:rsid w:val="008B6D51"/>
    <w:rsid w:val="008B729D"/>
    <w:rsid w:val="008B76BA"/>
    <w:rsid w:val="008C111C"/>
    <w:rsid w:val="008C37F0"/>
    <w:rsid w:val="008C556C"/>
    <w:rsid w:val="008C5E2F"/>
    <w:rsid w:val="008C6E48"/>
    <w:rsid w:val="008C6FE9"/>
    <w:rsid w:val="008D0662"/>
    <w:rsid w:val="008D091B"/>
    <w:rsid w:val="008D13E6"/>
    <w:rsid w:val="008D18F4"/>
    <w:rsid w:val="008D1E89"/>
    <w:rsid w:val="008D2A6C"/>
    <w:rsid w:val="008D2DD7"/>
    <w:rsid w:val="008D3A99"/>
    <w:rsid w:val="008D3C7D"/>
    <w:rsid w:val="008D4115"/>
    <w:rsid w:val="008D5679"/>
    <w:rsid w:val="008D5A54"/>
    <w:rsid w:val="008D5BD2"/>
    <w:rsid w:val="008D724C"/>
    <w:rsid w:val="008D7DA8"/>
    <w:rsid w:val="008E03B4"/>
    <w:rsid w:val="008E24CC"/>
    <w:rsid w:val="008E344F"/>
    <w:rsid w:val="008E347E"/>
    <w:rsid w:val="008E3815"/>
    <w:rsid w:val="008E3F3E"/>
    <w:rsid w:val="008E4BBE"/>
    <w:rsid w:val="008E4F26"/>
    <w:rsid w:val="008E544D"/>
    <w:rsid w:val="008E5502"/>
    <w:rsid w:val="008E5F7B"/>
    <w:rsid w:val="008E7AD6"/>
    <w:rsid w:val="008F0744"/>
    <w:rsid w:val="008F0BAB"/>
    <w:rsid w:val="008F23BF"/>
    <w:rsid w:val="008F2C31"/>
    <w:rsid w:val="008F2CD5"/>
    <w:rsid w:val="008F32BE"/>
    <w:rsid w:val="008F5ACD"/>
    <w:rsid w:val="008F5F0D"/>
    <w:rsid w:val="00901142"/>
    <w:rsid w:val="00901393"/>
    <w:rsid w:val="00901D29"/>
    <w:rsid w:val="00902046"/>
    <w:rsid w:val="00903F2E"/>
    <w:rsid w:val="0090420E"/>
    <w:rsid w:val="00904419"/>
    <w:rsid w:val="009045BF"/>
    <w:rsid w:val="0090486F"/>
    <w:rsid w:val="0090542A"/>
    <w:rsid w:val="00905525"/>
    <w:rsid w:val="00905616"/>
    <w:rsid w:val="00905F4D"/>
    <w:rsid w:val="009062D3"/>
    <w:rsid w:val="0090683E"/>
    <w:rsid w:val="00906A56"/>
    <w:rsid w:val="009074F0"/>
    <w:rsid w:val="00910DC3"/>
    <w:rsid w:val="00912168"/>
    <w:rsid w:val="00912C14"/>
    <w:rsid w:val="0091339B"/>
    <w:rsid w:val="0091385F"/>
    <w:rsid w:val="0091405D"/>
    <w:rsid w:val="00914CD9"/>
    <w:rsid w:val="0091614D"/>
    <w:rsid w:val="00916D1A"/>
    <w:rsid w:val="00916FB6"/>
    <w:rsid w:val="0091705E"/>
    <w:rsid w:val="009170D4"/>
    <w:rsid w:val="009177AD"/>
    <w:rsid w:val="009202C7"/>
    <w:rsid w:val="009212CD"/>
    <w:rsid w:val="00922A23"/>
    <w:rsid w:val="00923FAE"/>
    <w:rsid w:val="00924502"/>
    <w:rsid w:val="009267A6"/>
    <w:rsid w:val="00927230"/>
    <w:rsid w:val="00930748"/>
    <w:rsid w:val="00932778"/>
    <w:rsid w:val="00933030"/>
    <w:rsid w:val="00934914"/>
    <w:rsid w:val="00935A38"/>
    <w:rsid w:val="00935B9F"/>
    <w:rsid w:val="0093657E"/>
    <w:rsid w:val="00940631"/>
    <w:rsid w:val="00942091"/>
    <w:rsid w:val="009425EE"/>
    <w:rsid w:val="00944928"/>
    <w:rsid w:val="00944A9B"/>
    <w:rsid w:val="0094516F"/>
    <w:rsid w:val="00945315"/>
    <w:rsid w:val="00946506"/>
    <w:rsid w:val="0095060C"/>
    <w:rsid w:val="009511A9"/>
    <w:rsid w:val="009512A0"/>
    <w:rsid w:val="00951E8F"/>
    <w:rsid w:val="00952E84"/>
    <w:rsid w:val="00953D58"/>
    <w:rsid w:val="00955079"/>
    <w:rsid w:val="00955481"/>
    <w:rsid w:val="009554C7"/>
    <w:rsid w:val="009557EE"/>
    <w:rsid w:val="00955EC5"/>
    <w:rsid w:val="009561DC"/>
    <w:rsid w:val="009566DE"/>
    <w:rsid w:val="00957756"/>
    <w:rsid w:val="00961D41"/>
    <w:rsid w:val="009623D0"/>
    <w:rsid w:val="009626E1"/>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30C2"/>
    <w:rsid w:val="00973B64"/>
    <w:rsid w:val="00974B1F"/>
    <w:rsid w:val="009752C9"/>
    <w:rsid w:val="009752DB"/>
    <w:rsid w:val="0097605E"/>
    <w:rsid w:val="00976D96"/>
    <w:rsid w:val="0097775B"/>
    <w:rsid w:val="00977E36"/>
    <w:rsid w:val="0098087E"/>
    <w:rsid w:val="00980BD0"/>
    <w:rsid w:val="00981821"/>
    <w:rsid w:val="009825C4"/>
    <w:rsid w:val="009833C9"/>
    <w:rsid w:val="00985325"/>
    <w:rsid w:val="009863C6"/>
    <w:rsid w:val="009865B4"/>
    <w:rsid w:val="00986C49"/>
    <w:rsid w:val="00986CD7"/>
    <w:rsid w:val="009877FB"/>
    <w:rsid w:val="00990DD5"/>
    <w:rsid w:val="00991022"/>
    <w:rsid w:val="00991B71"/>
    <w:rsid w:val="00992AC4"/>
    <w:rsid w:val="00994350"/>
    <w:rsid w:val="00994CF8"/>
    <w:rsid w:val="00995485"/>
    <w:rsid w:val="00995B17"/>
    <w:rsid w:val="00995F45"/>
    <w:rsid w:val="009964F2"/>
    <w:rsid w:val="00996A2A"/>
    <w:rsid w:val="009A17DF"/>
    <w:rsid w:val="009A3486"/>
    <w:rsid w:val="009A5B39"/>
    <w:rsid w:val="009A6362"/>
    <w:rsid w:val="009A7664"/>
    <w:rsid w:val="009A7F41"/>
    <w:rsid w:val="009A7FC5"/>
    <w:rsid w:val="009B0627"/>
    <w:rsid w:val="009B09C2"/>
    <w:rsid w:val="009B156B"/>
    <w:rsid w:val="009B1B09"/>
    <w:rsid w:val="009B22C9"/>
    <w:rsid w:val="009B379A"/>
    <w:rsid w:val="009B40C4"/>
    <w:rsid w:val="009B4173"/>
    <w:rsid w:val="009B4C40"/>
    <w:rsid w:val="009B4D84"/>
    <w:rsid w:val="009B5E37"/>
    <w:rsid w:val="009B6192"/>
    <w:rsid w:val="009B6E8F"/>
    <w:rsid w:val="009B724B"/>
    <w:rsid w:val="009C0D58"/>
    <w:rsid w:val="009C115C"/>
    <w:rsid w:val="009C1A62"/>
    <w:rsid w:val="009C3697"/>
    <w:rsid w:val="009C3FE7"/>
    <w:rsid w:val="009C51CF"/>
    <w:rsid w:val="009C5585"/>
    <w:rsid w:val="009C6FEA"/>
    <w:rsid w:val="009C78AD"/>
    <w:rsid w:val="009D1F1A"/>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FA0"/>
    <w:rsid w:val="009E559A"/>
    <w:rsid w:val="009E5B2C"/>
    <w:rsid w:val="009E6C8D"/>
    <w:rsid w:val="009F010A"/>
    <w:rsid w:val="009F0309"/>
    <w:rsid w:val="009F0988"/>
    <w:rsid w:val="009F0A7F"/>
    <w:rsid w:val="009F10AC"/>
    <w:rsid w:val="009F2AC4"/>
    <w:rsid w:val="009F3012"/>
    <w:rsid w:val="009F32FF"/>
    <w:rsid w:val="009F48C5"/>
    <w:rsid w:val="009F535A"/>
    <w:rsid w:val="009F7441"/>
    <w:rsid w:val="009F7A29"/>
    <w:rsid w:val="009F7B35"/>
    <w:rsid w:val="00A00FBF"/>
    <w:rsid w:val="00A013A2"/>
    <w:rsid w:val="00A01F93"/>
    <w:rsid w:val="00A01FE0"/>
    <w:rsid w:val="00A022DC"/>
    <w:rsid w:val="00A02537"/>
    <w:rsid w:val="00A02825"/>
    <w:rsid w:val="00A02C47"/>
    <w:rsid w:val="00A031FA"/>
    <w:rsid w:val="00A04299"/>
    <w:rsid w:val="00A042E3"/>
    <w:rsid w:val="00A04812"/>
    <w:rsid w:val="00A05CE0"/>
    <w:rsid w:val="00A05DAA"/>
    <w:rsid w:val="00A064C9"/>
    <w:rsid w:val="00A066F9"/>
    <w:rsid w:val="00A07044"/>
    <w:rsid w:val="00A1040F"/>
    <w:rsid w:val="00A10A36"/>
    <w:rsid w:val="00A11463"/>
    <w:rsid w:val="00A11E24"/>
    <w:rsid w:val="00A1362D"/>
    <w:rsid w:val="00A136F5"/>
    <w:rsid w:val="00A13D37"/>
    <w:rsid w:val="00A1543D"/>
    <w:rsid w:val="00A154EE"/>
    <w:rsid w:val="00A155E8"/>
    <w:rsid w:val="00A1594F"/>
    <w:rsid w:val="00A15C6D"/>
    <w:rsid w:val="00A16894"/>
    <w:rsid w:val="00A171EC"/>
    <w:rsid w:val="00A172B7"/>
    <w:rsid w:val="00A17393"/>
    <w:rsid w:val="00A1773F"/>
    <w:rsid w:val="00A213E6"/>
    <w:rsid w:val="00A21992"/>
    <w:rsid w:val="00A21AE4"/>
    <w:rsid w:val="00A21C17"/>
    <w:rsid w:val="00A21CC6"/>
    <w:rsid w:val="00A22BCB"/>
    <w:rsid w:val="00A22CF7"/>
    <w:rsid w:val="00A2477C"/>
    <w:rsid w:val="00A256B2"/>
    <w:rsid w:val="00A26201"/>
    <w:rsid w:val="00A2625A"/>
    <w:rsid w:val="00A26CE2"/>
    <w:rsid w:val="00A26EB1"/>
    <w:rsid w:val="00A2717F"/>
    <w:rsid w:val="00A274A8"/>
    <w:rsid w:val="00A27A86"/>
    <w:rsid w:val="00A30126"/>
    <w:rsid w:val="00A302F9"/>
    <w:rsid w:val="00A30627"/>
    <w:rsid w:val="00A30F77"/>
    <w:rsid w:val="00A3119B"/>
    <w:rsid w:val="00A31966"/>
    <w:rsid w:val="00A331AA"/>
    <w:rsid w:val="00A336E2"/>
    <w:rsid w:val="00A33852"/>
    <w:rsid w:val="00A34114"/>
    <w:rsid w:val="00A3477B"/>
    <w:rsid w:val="00A34A59"/>
    <w:rsid w:val="00A364C6"/>
    <w:rsid w:val="00A36E61"/>
    <w:rsid w:val="00A36E93"/>
    <w:rsid w:val="00A37551"/>
    <w:rsid w:val="00A40C78"/>
    <w:rsid w:val="00A4107C"/>
    <w:rsid w:val="00A41945"/>
    <w:rsid w:val="00A43051"/>
    <w:rsid w:val="00A43EC3"/>
    <w:rsid w:val="00A448C8"/>
    <w:rsid w:val="00A45076"/>
    <w:rsid w:val="00A457FF"/>
    <w:rsid w:val="00A45854"/>
    <w:rsid w:val="00A45997"/>
    <w:rsid w:val="00A4671F"/>
    <w:rsid w:val="00A46B66"/>
    <w:rsid w:val="00A501D1"/>
    <w:rsid w:val="00A5082B"/>
    <w:rsid w:val="00A5163A"/>
    <w:rsid w:val="00A53138"/>
    <w:rsid w:val="00A5327A"/>
    <w:rsid w:val="00A53B57"/>
    <w:rsid w:val="00A5434C"/>
    <w:rsid w:val="00A54F96"/>
    <w:rsid w:val="00A55307"/>
    <w:rsid w:val="00A555D1"/>
    <w:rsid w:val="00A57B45"/>
    <w:rsid w:val="00A60E22"/>
    <w:rsid w:val="00A616AA"/>
    <w:rsid w:val="00A62E16"/>
    <w:rsid w:val="00A636F2"/>
    <w:rsid w:val="00A643C1"/>
    <w:rsid w:val="00A645B2"/>
    <w:rsid w:val="00A6501C"/>
    <w:rsid w:val="00A65089"/>
    <w:rsid w:val="00A652E8"/>
    <w:rsid w:val="00A65DD7"/>
    <w:rsid w:val="00A66184"/>
    <w:rsid w:val="00A67124"/>
    <w:rsid w:val="00A67CB1"/>
    <w:rsid w:val="00A67EAB"/>
    <w:rsid w:val="00A67EBF"/>
    <w:rsid w:val="00A71B28"/>
    <w:rsid w:val="00A72307"/>
    <w:rsid w:val="00A72C40"/>
    <w:rsid w:val="00A7332D"/>
    <w:rsid w:val="00A74218"/>
    <w:rsid w:val="00A74B97"/>
    <w:rsid w:val="00A77B15"/>
    <w:rsid w:val="00A77E0B"/>
    <w:rsid w:val="00A81458"/>
    <w:rsid w:val="00A81501"/>
    <w:rsid w:val="00A82368"/>
    <w:rsid w:val="00A83A21"/>
    <w:rsid w:val="00A83A24"/>
    <w:rsid w:val="00A83A66"/>
    <w:rsid w:val="00A83B60"/>
    <w:rsid w:val="00A84273"/>
    <w:rsid w:val="00A84D45"/>
    <w:rsid w:val="00A85A60"/>
    <w:rsid w:val="00A85DA0"/>
    <w:rsid w:val="00A871A4"/>
    <w:rsid w:val="00A8767B"/>
    <w:rsid w:val="00A90540"/>
    <w:rsid w:val="00A91A45"/>
    <w:rsid w:val="00A94378"/>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D0C"/>
    <w:rsid w:val="00AB2449"/>
    <w:rsid w:val="00AB362A"/>
    <w:rsid w:val="00AB4B64"/>
    <w:rsid w:val="00AB5784"/>
    <w:rsid w:val="00AB647E"/>
    <w:rsid w:val="00AB6AC5"/>
    <w:rsid w:val="00AB73D0"/>
    <w:rsid w:val="00AC011D"/>
    <w:rsid w:val="00AC0408"/>
    <w:rsid w:val="00AC112C"/>
    <w:rsid w:val="00AC1639"/>
    <w:rsid w:val="00AC2BC0"/>
    <w:rsid w:val="00AC3611"/>
    <w:rsid w:val="00AC3A8C"/>
    <w:rsid w:val="00AC60A6"/>
    <w:rsid w:val="00AC6CD5"/>
    <w:rsid w:val="00AC6D80"/>
    <w:rsid w:val="00AC73BF"/>
    <w:rsid w:val="00AC74D0"/>
    <w:rsid w:val="00AC7E2D"/>
    <w:rsid w:val="00AD0068"/>
    <w:rsid w:val="00AD0374"/>
    <w:rsid w:val="00AD0483"/>
    <w:rsid w:val="00AD05D3"/>
    <w:rsid w:val="00AD0758"/>
    <w:rsid w:val="00AD0EB1"/>
    <w:rsid w:val="00AD1EB2"/>
    <w:rsid w:val="00AD358D"/>
    <w:rsid w:val="00AD382E"/>
    <w:rsid w:val="00AD44A7"/>
    <w:rsid w:val="00AD4F42"/>
    <w:rsid w:val="00AD6CAB"/>
    <w:rsid w:val="00AD6CFC"/>
    <w:rsid w:val="00AD7FF1"/>
    <w:rsid w:val="00AE0793"/>
    <w:rsid w:val="00AE0896"/>
    <w:rsid w:val="00AE1712"/>
    <w:rsid w:val="00AE2B40"/>
    <w:rsid w:val="00AE3076"/>
    <w:rsid w:val="00AE38AA"/>
    <w:rsid w:val="00AE391A"/>
    <w:rsid w:val="00AE3F5C"/>
    <w:rsid w:val="00AE41C4"/>
    <w:rsid w:val="00AE4D0A"/>
    <w:rsid w:val="00AE4EF0"/>
    <w:rsid w:val="00AE519F"/>
    <w:rsid w:val="00AE56F6"/>
    <w:rsid w:val="00AE6B4D"/>
    <w:rsid w:val="00AE73FF"/>
    <w:rsid w:val="00AE7684"/>
    <w:rsid w:val="00AF1033"/>
    <w:rsid w:val="00AF13E5"/>
    <w:rsid w:val="00AF1F76"/>
    <w:rsid w:val="00AF4396"/>
    <w:rsid w:val="00AF50C1"/>
    <w:rsid w:val="00AF61E9"/>
    <w:rsid w:val="00AF659D"/>
    <w:rsid w:val="00AF6666"/>
    <w:rsid w:val="00B00D0F"/>
    <w:rsid w:val="00B028AE"/>
    <w:rsid w:val="00B03C68"/>
    <w:rsid w:val="00B03D12"/>
    <w:rsid w:val="00B051BF"/>
    <w:rsid w:val="00B059CC"/>
    <w:rsid w:val="00B07D7E"/>
    <w:rsid w:val="00B10924"/>
    <w:rsid w:val="00B10CCE"/>
    <w:rsid w:val="00B11033"/>
    <w:rsid w:val="00B11899"/>
    <w:rsid w:val="00B118BB"/>
    <w:rsid w:val="00B11FE2"/>
    <w:rsid w:val="00B12700"/>
    <w:rsid w:val="00B12F1A"/>
    <w:rsid w:val="00B143AF"/>
    <w:rsid w:val="00B159DE"/>
    <w:rsid w:val="00B15A49"/>
    <w:rsid w:val="00B15DBA"/>
    <w:rsid w:val="00B15E9C"/>
    <w:rsid w:val="00B16455"/>
    <w:rsid w:val="00B16FFA"/>
    <w:rsid w:val="00B1704B"/>
    <w:rsid w:val="00B22F87"/>
    <w:rsid w:val="00B240C0"/>
    <w:rsid w:val="00B243FF"/>
    <w:rsid w:val="00B254C2"/>
    <w:rsid w:val="00B260E2"/>
    <w:rsid w:val="00B30249"/>
    <w:rsid w:val="00B30355"/>
    <w:rsid w:val="00B30A5A"/>
    <w:rsid w:val="00B34102"/>
    <w:rsid w:val="00B348B8"/>
    <w:rsid w:val="00B3715A"/>
    <w:rsid w:val="00B377FF"/>
    <w:rsid w:val="00B407D7"/>
    <w:rsid w:val="00B40843"/>
    <w:rsid w:val="00B42053"/>
    <w:rsid w:val="00B420CC"/>
    <w:rsid w:val="00B42228"/>
    <w:rsid w:val="00B42721"/>
    <w:rsid w:val="00B4287A"/>
    <w:rsid w:val="00B42A6F"/>
    <w:rsid w:val="00B43164"/>
    <w:rsid w:val="00B433AD"/>
    <w:rsid w:val="00B43ED0"/>
    <w:rsid w:val="00B461A1"/>
    <w:rsid w:val="00B46D95"/>
    <w:rsid w:val="00B47785"/>
    <w:rsid w:val="00B47A65"/>
    <w:rsid w:val="00B51157"/>
    <w:rsid w:val="00B512D4"/>
    <w:rsid w:val="00B51BEF"/>
    <w:rsid w:val="00B52B38"/>
    <w:rsid w:val="00B534E1"/>
    <w:rsid w:val="00B548AF"/>
    <w:rsid w:val="00B55123"/>
    <w:rsid w:val="00B5554F"/>
    <w:rsid w:val="00B55BB5"/>
    <w:rsid w:val="00B563D1"/>
    <w:rsid w:val="00B56B3F"/>
    <w:rsid w:val="00B56D8A"/>
    <w:rsid w:val="00B57A81"/>
    <w:rsid w:val="00B62881"/>
    <w:rsid w:val="00B62B73"/>
    <w:rsid w:val="00B64450"/>
    <w:rsid w:val="00B649F0"/>
    <w:rsid w:val="00B651D1"/>
    <w:rsid w:val="00B65277"/>
    <w:rsid w:val="00B65F58"/>
    <w:rsid w:val="00B65FCB"/>
    <w:rsid w:val="00B6659A"/>
    <w:rsid w:val="00B672BA"/>
    <w:rsid w:val="00B673D1"/>
    <w:rsid w:val="00B67E14"/>
    <w:rsid w:val="00B67E88"/>
    <w:rsid w:val="00B718DE"/>
    <w:rsid w:val="00B72C63"/>
    <w:rsid w:val="00B7368F"/>
    <w:rsid w:val="00B74584"/>
    <w:rsid w:val="00B75A1D"/>
    <w:rsid w:val="00B75F30"/>
    <w:rsid w:val="00B75F79"/>
    <w:rsid w:val="00B832D8"/>
    <w:rsid w:val="00B8381C"/>
    <w:rsid w:val="00B840AA"/>
    <w:rsid w:val="00B84558"/>
    <w:rsid w:val="00B8498F"/>
    <w:rsid w:val="00B85618"/>
    <w:rsid w:val="00B86858"/>
    <w:rsid w:val="00B875E7"/>
    <w:rsid w:val="00B90026"/>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A04BF"/>
    <w:rsid w:val="00BA0C07"/>
    <w:rsid w:val="00BA0EFB"/>
    <w:rsid w:val="00BA1614"/>
    <w:rsid w:val="00BA21D1"/>
    <w:rsid w:val="00BA370C"/>
    <w:rsid w:val="00BA3763"/>
    <w:rsid w:val="00BA3E9E"/>
    <w:rsid w:val="00BA4429"/>
    <w:rsid w:val="00BA45C1"/>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C042A"/>
    <w:rsid w:val="00BC0598"/>
    <w:rsid w:val="00BC0C3E"/>
    <w:rsid w:val="00BC1012"/>
    <w:rsid w:val="00BC1BCD"/>
    <w:rsid w:val="00BC22F0"/>
    <w:rsid w:val="00BC29CD"/>
    <w:rsid w:val="00BC29EA"/>
    <w:rsid w:val="00BC34EB"/>
    <w:rsid w:val="00BC4323"/>
    <w:rsid w:val="00BC4DF5"/>
    <w:rsid w:val="00BC7953"/>
    <w:rsid w:val="00BD0B7D"/>
    <w:rsid w:val="00BD12E7"/>
    <w:rsid w:val="00BD1C50"/>
    <w:rsid w:val="00BD3925"/>
    <w:rsid w:val="00BD3A86"/>
    <w:rsid w:val="00BD466F"/>
    <w:rsid w:val="00BD5AD0"/>
    <w:rsid w:val="00BD5DA9"/>
    <w:rsid w:val="00BD6B2D"/>
    <w:rsid w:val="00BD6F78"/>
    <w:rsid w:val="00BD70BD"/>
    <w:rsid w:val="00BD719D"/>
    <w:rsid w:val="00BE0258"/>
    <w:rsid w:val="00BE1447"/>
    <w:rsid w:val="00BE215D"/>
    <w:rsid w:val="00BE37E5"/>
    <w:rsid w:val="00BE3C1E"/>
    <w:rsid w:val="00BE5587"/>
    <w:rsid w:val="00BE57DD"/>
    <w:rsid w:val="00BE76CB"/>
    <w:rsid w:val="00BE7A59"/>
    <w:rsid w:val="00BF0A1F"/>
    <w:rsid w:val="00BF0AF1"/>
    <w:rsid w:val="00BF0D0D"/>
    <w:rsid w:val="00BF1809"/>
    <w:rsid w:val="00BF182B"/>
    <w:rsid w:val="00BF1A41"/>
    <w:rsid w:val="00BF2598"/>
    <w:rsid w:val="00BF2F22"/>
    <w:rsid w:val="00BF3C0D"/>
    <w:rsid w:val="00BF3FDF"/>
    <w:rsid w:val="00BF4F68"/>
    <w:rsid w:val="00BF50B5"/>
    <w:rsid w:val="00BF5F22"/>
    <w:rsid w:val="00BF685D"/>
    <w:rsid w:val="00BF71C6"/>
    <w:rsid w:val="00BF72CA"/>
    <w:rsid w:val="00BF7CD8"/>
    <w:rsid w:val="00C00849"/>
    <w:rsid w:val="00C02BE9"/>
    <w:rsid w:val="00C02CE1"/>
    <w:rsid w:val="00C0309A"/>
    <w:rsid w:val="00C035B9"/>
    <w:rsid w:val="00C036F3"/>
    <w:rsid w:val="00C03923"/>
    <w:rsid w:val="00C04B21"/>
    <w:rsid w:val="00C0563C"/>
    <w:rsid w:val="00C06136"/>
    <w:rsid w:val="00C069D8"/>
    <w:rsid w:val="00C06DC5"/>
    <w:rsid w:val="00C07BAE"/>
    <w:rsid w:val="00C07C15"/>
    <w:rsid w:val="00C1064A"/>
    <w:rsid w:val="00C13270"/>
    <w:rsid w:val="00C1346A"/>
    <w:rsid w:val="00C13818"/>
    <w:rsid w:val="00C14BA3"/>
    <w:rsid w:val="00C150AD"/>
    <w:rsid w:val="00C156BF"/>
    <w:rsid w:val="00C166C1"/>
    <w:rsid w:val="00C17602"/>
    <w:rsid w:val="00C20026"/>
    <w:rsid w:val="00C2023E"/>
    <w:rsid w:val="00C208C0"/>
    <w:rsid w:val="00C216C2"/>
    <w:rsid w:val="00C21B4F"/>
    <w:rsid w:val="00C21E41"/>
    <w:rsid w:val="00C235EA"/>
    <w:rsid w:val="00C23670"/>
    <w:rsid w:val="00C2371B"/>
    <w:rsid w:val="00C2415E"/>
    <w:rsid w:val="00C2552B"/>
    <w:rsid w:val="00C25DC1"/>
    <w:rsid w:val="00C25ECF"/>
    <w:rsid w:val="00C25FA6"/>
    <w:rsid w:val="00C2685E"/>
    <w:rsid w:val="00C2687B"/>
    <w:rsid w:val="00C26B59"/>
    <w:rsid w:val="00C27CB3"/>
    <w:rsid w:val="00C27E89"/>
    <w:rsid w:val="00C309E1"/>
    <w:rsid w:val="00C30A95"/>
    <w:rsid w:val="00C31397"/>
    <w:rsid w:val="00C34B06"/>
    <w:rsid w:val="00C35384"/>
    <w:rsid w:val="00C35CA3"/>
    <w:rsid w:val="00C35DDE"/>
    <w:rsid w:val="00C36163"/>
    <w:rsid w:val="00C40212"/>
    <w:rsid w:val="00C41B9B"/>
    <w:rsid w:val="00C42B7B"/>
    <w:rsid w:val="00C43441"/>
    <w:rsid w:val="00C450C9"/>
    <w:rsid w:val="00C45DB2"/>
    <w:rsid w:val="00C46745"/>
    <w:rsid w:val="00C46F16"/>
    <w:rsid w:val="00C47C07"/>
    <w:rsid w:val="00C501AA"/>
    <w:rsid w:val="00C50961"/>
    <w:rsid w:val="00C50979"/>
    <w:rsid w:val="00C517BE"/>
    <w:rsid w:val="00C5294A"/>
    <w:rsid w:val="00C53CF7"/>
    <w:rsid w:val="00C54128"/>
    <w:rsid w:val="00C5419F"/>
    <w:rsid w:val="00C55F0D"/>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48E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5933"/>
    <w:rsid w:val="00C75D0A"/>
    <w:rsid w:val="00C77C8A"/>
    <w:rsid w:val="00C77D06"/>
    <w:rsid w:val="00C80FC3"/>
    <w:rsid w:val="00C81927"/>
    <w:rsid w:val="00C81E36"/>
    <w:rsid w:val="00C85E07"/>
    <w:rsid w:val="00C86604"/>
    <w:rsid w:val="00C867BB"/>
    <w:rsid w:val="00C90AD6"/>
    <w:rsid w:val="00C90BF4"/>
    <w:rsid w:val="00C90E41"/>
    <w:rsid w:val="00C91632"/>
    <w:rsid w:val="00C9277D"/>
    <w:rsid w:val="00C92B09"/>
    <w:rsid w:val="00C92FAE"/>
    <w:rsid w:val="00C9486A"/>
    <w:rsid w:val="00C969EE"/>
    <w:rsid w:val="00C96A1F"/>
    <w:rsid w:val="00C96E2E"/>
    <w:rsid w:val="00CA1649"/>
    <w:rsid w:val="00CA2193"/>
    <w:rsid w:val="00CA38F0"/>
    <w:rsid w:val="00CA46C8"/>
    <w:rsid w:val="00CA52AB"/>
    <w:rsid w:val="00CA564E"/>
    <w:rsid w:val="00CA56A3"/>
    <w:rsid w:val="00CA5AD0"/>
    <w:rsid w:val="00CA64CD"/>
    <w:rsid w:val="00CA65D3"/>
    <w:rsid w:val="00CB0E29"/>
    <w:rsid w:val="00CB17FA"/>
    <w:rsid w:val="00CB1902"/>
    <w:rsid w:val="00CB2E57"/>
    <w:rsid w:val="00CB2F1E"/>
    <w:rsid w:val="00CB46BE"/>
    <w:rsid w:val="00CB5662"/>
    <w:rsid w:val="00CB67F0"/>
    <w:rsid w:val="00CC0C38"/>
    <w:rsid w:val="00CC1259"/>
    <w:rsid w:val="00CC153F"/>
    <w:rsid w:val="00CC197F"/>
    <w:rsid w:val="00CC210C"/>
    <w:rsid w:val="00CC2999"/>
    <w:rsid w:val="00CC39E2"/>
    <w:rsid w:val="00CC3E85"/>
    <w:rsid w:val="00CC577A"/>
    <w:rsid w:val="00CC5DE5"/>
    <w:rsid w:val="00CC5F29"/>
    <w:rsid w:val="00CC6707"/>
    <w:rsid w:val="00CC7E42"/>
    <w:rsid w:val="00CD0B56"/>
    <w:rsid w:val="00CD0D8B"/>
    <w:rsid w:val="00CD1301"/>
    <w:rsid w:val="00CD1CFE"/>
    <w:rsid w:val="00CD1E63"/>
    <w:rsid w:val="00CD2007"/>
    <w:rsid w:val="00CD2BAD"/>
    <w:rsid w:val="00CD31FF"/>
    <w:rsid w:val="00CD368F"/>
    <w:rsid w:val="00CD3BF2"/>
    <w:rsid w:val="00CD4573"/>
    <w:rsid w:val="00CD5846"/>
    <w:rsid w:val="00CD59C8"/>
    <w:rsid w:val="00CD6A47"/>
    <w:rsid w:val="00CD6A87"/>
    <w:rsid w:val="00CD6F6F"/>
    <w:rsid w:val="00CD7749"/>
    <w:rsid w:val="00CE2293"/>
    <w:rsid w:val="00CE2DE3"/>
    <w:rsid w:val="00CE34D2"/>
    <w:rsid w:val="00CE656C"/>
    <w:rsid w:val="00CF1386"/>
    <w:rsid w:val="00CF1C54"/>
    <w:rsid w:val="00CF1F53"/>
    <w:rsid w:val="00CF2169"/>
    <w:rsid w:val="00CF2A56"/>
    <w:rsid w:val="00CF2BD1"/>
    <w:rsid w:val="00CF388F"/>
    <w:rsid w:val="00CF4F89"/>
    <w:rsid w:val="00CF5BB1"/>
    <w:rsid w:val="00CF6239"/>
    <w:rsid w:val="00CF67D9"/>
    <w:rsid w:val="00CF758B"/>
    <w:rsid w:val="00D020F2"/>
    <w:rsid w:val="00D021A3"/>
    <w:rsid w:val="00D02863"/>
    <w:rsid w:val="00D028F2"/>
    <w:rsid w:val="00D03772"/>
    <w:rsid w:val="00D03F6B"/>
    <w:rsid w:val="00D04F40"/>
    <w:rsid w:val="00D05BF3"/>
    <w:rsid w:val="00D10CBA"/>
    <w:rsid w:val="00D1108C"/>
    <w:rsid w:val="00D11159"/>
    <w:rsid w:val="00D11AB2"/>
    <w:rsid w:val="00D1245B"/>
    <w:rsid w:val="00D1293C"/>
    <w:rsid w:val="00D12E56"/>
    <w:rsid w:val="00D12F96"/>
    <w:rsid w:val="00D13DC5"/>
    <w:rsid w:val="00D16124"/>
    <w:rsid w:val="00D1709C"/>
    <w:rsid w:val="00D17AEB"/>
    <w:rsid w:val="00D2083A"/>
    <w:rsid w:val="00D226BA"/>
    <w:rsid w:val="00D22D42"/>
    <w:rsid w:val="00D23CBA"/>
    <w:rsid w:val="00D25E98"/>
    <w:rsid w:val="00D27023"/>
    <w:rsid w:val="00D31576"/>
    <w:rsid w:val="00D316C0"/>
    <w:rsid w:val="00D33058"/>
    <w:rsid w:val="00D34E98"/>
    <w:rsid w:val="00D35C5E"/>
    <w:rsid w:val="00D3685D"/>
    <w:rsid w:val="00D3763B"/>
    <w:rsid w:val="00D37ACD"/>
    <w:rsid w:val="00D404CF"/>
    <w:rsid w:val="00D40A4C"/>
    <w:rsid w:val="00D40DDF"/>
    <w:rsid w:val="00D41361"/>
    <w:rsid w:val="00D41511"/>
    <w:rsid w:val="00D41693"/>
    <w:rsid w:val="00D416F4"/>
    <w:rsid w:val="00D427CB"/>
    <w:rsid w:val="00D42BC1"/>
    <w:rsid w:val="00D44AD8"/>
    <w:rsid w:val="00D451B2"/>
    <w:rsid w:val="00D45229"/>
    <w:rsid w:val="00D4790F"/>
    <w:rsid w:val="00D47DB5"/>
    <w:rsid w:val="00D47DCF"/>
    <w:rsid w:val="00D50361"/>
    <w:rsid w:val="00D512CF"/>
    <w:rsid w:val="00D52663"/>
    <w:rsid w:val="00D52DC7"/>
    <w:rsid w:val="00D52E26"/>
    <w:rsid w:val="00D539E3"/>
    <w:rsid w:val="00D53C40"/>
    <w:rsid w:val="00D53ED2"/>
    <w:rsid w:val="00D54C7D"/>
    <w:rsid w:val="00D556AE"/>
    <w:rsid w:val="00D55F63"/>
    <w:rsid w:val="00D567E2"/>
    <w:rsid w:val="00D56F2D"/>
    <w:rsid w:val="00D6054D"/>
    <w:rsid w:val="00D60993"/>
    <w:rsid w:val="00D60C79"/>
    <w:rsid w:val="00D60C9C"/>
    <w:rsid w:val="00D61381"/>
    <w:rsid w:val="00D616BB"/>
    <w:rsid w:val="00D62E2C"/>
    <w:rsid w:val="00D631D5"/>
    <w:rsid w:val="00D637D5"/>
    <w:rsid w:val="00D63E56"/>
    <w:rsid w:val="00D6443A"/>
    <w:rsid w:val="00D6758D"/>
    <w:rsid w:val="00D67A83"/>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358"/>
    <w:rsid w:val="00D8184B"/>
    <w:rsid w:val="00D82D3E"/>
    <w:rsid w:val="00D834F1"/>
    <w:rsid w:val="00D83EFE"/>
    <w:rsid w:val="00D85A0F"/>
    <w:rsid w:val="00D86F4A"/>
    <w:rsid w:val="00D87081"/>
    <w:rsid w:val="00D871B9"/>
    <w:rsid w:val="00D8791F"/>
    <w:rsid w:val="00D90DC1"/>
    <w:rsid w:val="00D913F3"/>
    <w:rsid w:val="00D917BB"/>
    <w:rsid w:val="00D92232"/>
    <w:rsid w:val="00D92E25"/>
    <w:rsid w:val="00D93252"/>
    <w:rsid w:val="00D9396A"/>
    <w:rsid w:val="00D94756"/>
    <w:rsid w:val="00D963BB"/>
    <w:rsid w:val="00D97F80"/>
    <w:rsid w:val="00D97FAD"/>
    <w:rsid w:val="00DA01C5"/>
    <w:rsid w:val="00DA09DD"/>
    <w:rsid w:val="00DA1670"/>
    <w:rsid w:val="00DA2462"/>
    <w:rsid w:val="00DA278E"/>
    <w:rsid w:val="00DA2E17"/>
    <w:rsid w:val="00DA390A"/>
    <w:rsid w:val="00DA638C"/>
    <w:rsid w:val="00DA7694"/>
    <w:rsid w:val="00DA78A6"/>
    <w:rsid w:val="00DB010F"/>
    <w:rsid w:val="00DB0C69"/>
    <w:rsid w:val="00DB1089"/>
    <w:rsid w:val="00DB10DC"/>
    <w:rsid w:val="00DB2689"/>
    <w:rsid w:val="00DB2807"/>
    <w:rsid w:val="00DB2A1B"/>
    <w:rsid w:val="00DB2E4D"/>
    <w:rsid w:val="00DB438F"/>
    <w:rsid w:val="00DB5238"/>
    <w:rsid w:val="00DB55E9"/>
    <w:rsid w:val="00DB5859"/>
    <w:rsid w:val="00DB5B21"/>
    <w:rsid w:val="00DB5FF2"/>
    <w:rsid w:val="00DB70E7"/>
    <w:rsid w:val="00DC10DE"/>
    <w:rsid w:val="00DC15A3"/>
    <w:rsid w:val="00DC163C"/>
    <w:rsid w:val="00DC1ED0"/>
    <w:rsid w:val="00DC273C"/>
    <w:rsid w:val="00DC2E82"/>
    <w:rsid w:val="00DC2FEB"/>
    <w:rsid w:val="00DC3301"/>
    <w:rsid w:val="00DC37CA"/>
    <w:rsid w:val="00DC3C20"/>
    <w:rsid w:val="00DC48F0"/>
    <w:rsid w:val="00DC49E4"/>
    <w:rsid w:val="00DC4FAA"/>
    <w:rsid w:val="00DC59EB"/>
    <w:rsid w:val="00DC5F6A"/>
    <w:rsid w:val="00DC613E"/>
    <w:rsid w:val="00DC617A"/>
    <w:rsid w:val="00DC65F1"/>
    <w:rsid w:val="00DC7172"/>
    <w:rsid w:val="00DC73A3"/>
    <w:rsid w:val="00DC757A"/>
    <w:rsid w:val="00DD0886"/>
    <w:rsid w:val="00DD1B1C"/>
    <w:rsid w:val="00DD2F75"/>
    <w:rsid w:val="00DD2F9E"/>
    <w:rsid w:val="00DD46BE"/>
    <w:rsid w:val="00DD47A3"/>
    <w:rsid w:val="00DD4C66"/>
    <w:rsid w:val="00DD4F0A"/>
    <w:rsid w:val="00DD511E"/>
    <w:rsid w:val="00DD57D9"/>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907"/>
    <w:rsid w:val="00DE6794"/>
    <w:rsid w:val="00DE6FE1"/>
    <w:rsid w:val="00DE74F5"/>
    <w:rsid w:val="00DE7745"/>
    <w:rsid w:val="00DF07E8"/>
    <w:rsid w:val="00DF0D25"/>
    <w:rsid w:val="00DF1291"/>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15F4"/>
    <w:rsid w:val="00E019FE"/>
    <w:rsid w:val="00E02344"/>
    <w:rsid w:val="00E027E9"/>
    <w:rsid w:val="00E028EF"/>
    <w:rsid w:val="00E02A91"/>
    <w:rsid w:val="00E04804"/>
    <w:rsid w:val="00E05552"/>
    <w:rsid w:val="00E05A87"/>
    <w:rsid w:val="00E06190"/>
    <w:rsid w:val="00E06330"/>
    <w:rsid w:val="00E06ABC"/>
    <w:rsid w:val="00E06DB2"/>
    <w:rsid w:val="00E0734A"/>
    <w:rsid w:val="00E078AA"/>
    <w:rsid w:val="00E10CE7"/>
    <w:rsid w:val="00E1216F"/>
    <w:rsid w:val="00E12921"/>
    <w:rsid w:val="00E134EE"/>
    <w:rsid w:val="00E13649"/>
    <w:rsid w:val="00E158DB"/>
    <w:rsid w:val="00E1591F"/>
    <w:rsid w:val="00E16377"/>
    <w:rsid w:val="00E1700C"/>
    <w:rsid w:val="00E20A94"/>
    <w:rsid w:val="00E227FE"/>
    <w:rsid w:val="00E2368D"/>
    <w:rsid w:val="00E238A7"/>
    <w:rsid w:val="00E23D8B"/>
    <w:rsid w:val="00E246AA"/>
    <w:rsid w:val="00E2509C"/>
    <w:rsid w:val="00E26014"/>
    <w:rsid w:val="00E26150"/>
    <w:rsid w:val="00E300B7"/>
    <w:rsid w:val="00E32DE0"/>
    <w:rsid w:val="00E32E5D"/>
    <w:rsid w:val="00E32F37"/>
    <w:rsid w:val="00E33007"/>
    <w:rsid w:val="00E34122"/>
    <w:rsid w:val="00E34AC0"/>
    <w:rsid w:val="00E34F2E"/>
    <w:rsid w:val="00E37A7E"/>
    <w:rsid w:val="00E37CAE"/>
    <w:rsid w:val="00E37EEE"/>
    <w:rsid w:val="00E40323"/>
    <w:rsid w:val="00E43089"/>
    <w:rsid w:val="00E4420E"/>
    <w:rsid w:val="00E443CE"/>
    <w:rsid w:val="00E44F10"/>
    <w:rsid w:val="00E456B4"/>
    <w:rsid w:val="00E4582D"/>
    <w:rsid w:val="00E45A08"/>
    <w:rsid w:val="00E46A4F"/>
    <w:rsid w:val="00E50882"/>
    <w:rsid w:val="00E50C75"/>
    <w:rsid w:val="00E51895"/>
    <w:rsid w:val="00E51B4D"/>
    <w:rsid w:val="00E51F04"/>
    <w:rsid w:val="00E52CB9"/>
    <w:rsid w:val="00E52F40"/>
    <w:rsid w:val="00E548EA"/>
    <w:rsid w:val="00E55045"/>
    <w:rsid w:val="00E55966"/>
    <w:rsid w:val="00E55C07"/>
    <w:rsid w:val="00E55CD5"/>
    <w:rsid w:val="00E56970"/>
    <w:rsid w:val="00E577F5"/>
    <w:rsid w:val="00E57B51"/>
    <w:rsid w:val="00E57E79"/>
    <w:rsid w:val="00E600B9"/>
    <w:rsid w:val="00E612ED"/>
    <w:rsid w:val="00E61B05"/>
    <w:rsid w:val="00E6347B"/>
    <w:rsid w:val="00E63CA9"/>
    <w:rsid w:val="00E64075"/>
    <w:rsid w:val="00E654DC"/>
    <w:rsid w:val="00E65B8E"/>
    <w:rsid w:val="00E67128"/>
    <w:rsid w:val="00E70FA5"/>
    <w:rsid w:val="00E735DD"/>
    <w:rsid w:val="00E73EA5"/>
    <w:rsid w:val="00E74650"/>
    <w:rsid w:val="00E74EE3"/>
    <w:rsid w:val="00E751E5"/>
    <w:rsid w:val="00E7680C"/>
    <w:rsid w:val="00E768C5"/>
    <w:rsid w:val="00E77259"/>
    <w:rsid w:val="00E77D6C"/>
    <w:rsid w:val="00E80E8B"/>
    <w:rsid w:val="00E82BB6"/>
    <w:rsid w:val="00E8394A"/>
    <w:rsid w:val="00E909E8"/>
    <w:rsid w:val="00E91D12"/>
    <w:rsid w:val="00E93001"/>
    <w:rsid w:val="00E931F6"/>
    <w:rsid w:val="00E9375C"/>
    <w:rsid w:val="00E941C0"/>
    <w:rsid w:val="00E9429D"/>
    <w:rsid w:val="00E9466D"/>
    <w:rsid w:val="00E94829"/>
    <w:rsid w:val="00E94EE3"/>
    <w:rsid w:val="00E950C5"/>
    <w:rsid w:val="00E96936"/>
    <w:rsid w:val="00E96B4D"/>
    <w:rsid w:val="00E970F6"/>
    <w:rsid w:val="00E975C6"/>
    <w:rsid w:val="00EA11CA"/>
    <w:rsid w:val="00EA1878"/>
    <w:rsid w:val="00EA31F2"/>
    <w:rsid w:val="00EA388C"/>
    <w:rsid w:val="00EA4463"/>
    <w:rsid w:val="00EA58E4"/>
    <w:rsid w:val="00EA6760"/>
    <w:rsid w:val="00EA6CE0"/>
    <w:rsid w:val="00EB0434"/>
    <w:rsid w:val="00EB11F9"/>
    <w:rsid w:val="00EB1D30"/>
    <w:rsid w:val="00EB26BA"/>
    <w:rsid w:val="00EB2BFC"/>
    <w:rsid w:val="00EB2EE8"/>
    <w:rsid w:val="00EB3C7A"/>
    <w:rsid w:val="00EB4060"/>
    <w:rsid w:val="00EB5578"/>
    <w:rsid w:val="00EB76DB"/>
    <w:rsid w:val="00EB7759"/>
    <w:rsid w:val="00EC0773"/>
    <w:rsid w:val="00EC0941"/>
    <w:rsid w:val="00EC0BA7"/>
    <w:rsid w:val="00EC0C40"/>
    <w:rsid w:val="00EC0D17"/>
    <w:rsid w:val="00EC0FA6"/>
    <w:rsid w:val="00EC1039"/>
    <w:rsid w:val="00EC2144"/>
    <w:rsid w:val="00EC4063"/>
    <w:rsid w:val="00EC46F7"/>
    <w:rsid w:val="00EC59F7"/>
    <w:rsid w:val="00EC794D"/>
    <w:rsid w:val="00ED2167"/>
    <w:rsid w:val="00ED3419"/>
    <w:rsid w:val="00ED381B"/>
    <w:rsid w:val="00ED3984"/>
    <w:rsid w:val="00ED5228"/>
    <w:rsid w:val="00EE1237"/>
    <w:rsid w:val="00EE292E"/>
    <w:rsid w:val="00EE3234"/>
    <w:rsid w:val="00EE38C2"/>
    <w:rsid w:val="00EE4195"/>
    <w:rsid w:val="00EE4556"/>
    <w:rsid w:val="00EE5C15"/>
    <w:rsid w:val="00EF000F"/>
    <w:rsid w:val="00EF10CD"/>
    <w:rsid w:val="00EF1271"/>
    <w:rsid w:val="00EF37F5"/>
    <w:rsid w:val="00EF48A5"/>
    <w:rsid w:val="00EF4FA5"/>
    <w:rsid w:val="00EF56A5"/>
    <w:rsid w:val="00EF56C4"/>
    <w:rsid w:val="00EF63E3"/>
    <w:rsid w:val="00EF6ADC"/>
    <w:rsid w:val="00F00AA5"/>
    <w:rsid w:val="00F01286"/>
    <w:rsid w:val="00F012C9"/>
    <w:rsid w:val="00F0142B"/>
    <w:rsid w:val="00F01700"/>
    <w:rsid w:val="00F037E0"/>
    <w:rsid w:val="00F0462D"/>
    <w:rsid w:val="00F048E8"/>
    <w:rsid w:val="00F06377"/>
    <w:rsid w:val="00F06EB8"/>
    <w:rsid w:val="00F076D9"/>
    <w:rsid w:val="00F10015"/>
    <w:rsid w:val="00F110A5"/>
    <w:rsid w:val="00F11D6A"/>
    <w:rsid w:val="00F12EEB"/>
    <w:rsid w:val="00F134C1"/>
    <w:rsid w:val="00F13630"/>
    <w:rsid w:val="00F143CD"/>
    <w:rsid w:val="00F16342"/>
    <w:rsid w:val="00F16B34"/>
    <w:rsid w:val="00F173FA"/>
    <w:rsid w:val="00F17769"/>
    <w:rsid w:val="00F179DA"/>
    <w:rsid w:val="00F20464"/>
    <w:rsid w:val="00F207BE"/>
    <w:rsid w:val="00F20BF9"/>
    <w:rsid w:val="00F2130B"/>
    <w:rsid w:val="00F21D76"/>
    <w:rsid w:val="00F22641"/>
    <w:rsid w:val="00F2341C"/>
    <w:rsid w:val="00F239F8"/>
    <w:rsid w:val="00F23A3E"/>
    <w:rsid w:val="00F24296"/>
    <w:rsid w:val="00F24442"/>
    <w:rsid w:val="00F247B2"/>
    <w:rsid w:val="00F249B6"/>
    <w:rsid w:val="00F26326"/>
    <w:rsid w:val="00F26E25"/>
    <w:rsid w:val="00F27758"/>
    <w:rsid w:val="00F27B0E"/>
    <w:rsid w:val="00F27D63"/>
    <w:rsid w:val="00F30185"/>
    <w:rsid w:val="00F30C27"/>
    <w:rsid w:val="00F3260A"/>
    <w:rsid w:val="00F33832"/>
    <w:rsid w:val="00F33882"/>
    <w:rsid w:val="00F33D1D"/>
    <w:rsid w:val="00F33F81"/>
    <w:rsid w:val="00F34212"/>
    <w:rsid w:val="00F35D89"/>
    <w:rsid w:val="00F35F8B"/>
    <w:rsid w:val="00F3676F"/>
    <w:rsid w:val="00F36ABF"/>
    <w:rsid w:val="00F40974"/>
    <w:rsid w:val="00F40C34"/>
    <w:rsid w:val="00F4115B"/>
    <w:rsid w:val="00F415E9"/>
    <w:rsid w:val="00F41E76"/>
    <w:rsid w:val="00F4206B"/>
    <w:rsid w:val="00F4254B"/>
    <w:rsid w:val="00F4290E"/>
    <w:rsid w:val="00F43108"/>
    <w:rsid w:val="00F4547B"/>
    <w:rsid w:val="00F45B45"/>
    <w:rsid w:val="00F468EC"/>
    <w:rsid w:val="00F47242"/>
    <w:rsid w:val="00F500DF"/>
    <w:rsid w:val="00F51852"/>
    <w:rsid w:val="00F518BE"/>
    <w:rsid w:val="00F51AAE"/>
    <w:rsid w:val="00F51FF4"/>
    <w:rsid w:val="00F541F6"/>
    <w:rsid w:val="00F54B42"/>
    <w:rsid w:val="00F54D75"/>
    <w:rsid w:val="00F5508A"/>
    <w:rsid w:val="00F551E8"/>
    <w:rsid w:val="00F56C76"/>
    <w:rsid w:val="00F56FEA"/>
    <w:rsid w:val="00F6150D"/>
    <w:rsid w:val="00F61692"/>
    <w:rsid w:val="00F616AB"/>
    <w:rsid w:val="00F61AFD"/>
    <w:rsid w:val="00F6208A"/>
    <w:rsid w:val="00F620E1"/>
    <w:rsid w:val="00F62B55"/>
    <w:rsid w:val="00F62EAE"/>
    <w:rsid w:val="00F637F1"/>
    <w:rsid w:val="00F63C51"/>
    <w:rsid w:val="00F64403"/>
    <w:rsid w:val="00F64927"/>
    <w:rsid w:val="00F64F25"/>
    <w:rsid w:val="00F65246"/>
    <w:rsid w:val="00F6570B"/>
    <w:rsid w:val="00F702BE"/>
    <w:rsid w:val="00F718A9"/>
    <w:rsid w:val="00F71FC0"/>
    <w:rsid w:val="00F72E06"/>
    <w:rsid w:val="00F73A4E"/>
    <w:rsid w:val="00F73B7F"/>
    <w:rsid w:val="00F73D6C"/>
    <w:rsid w:val="00F74210"/>
    <w:rsid w:val="00F74B75"/>
    <w:rsid w:val="00F75829"/>
    <w:rsid w:val="00F76B31"/>
    <w:rsid w:val="00F76CB6"/>
    <w:rsid w:val="00F777B5"/>
    <w:rsid w:val="00F77968"/>
    <w:rsid w:val="00F80139"/>
    <w:rsid w:val="00F83201"/>
    <w:rsid w:val="00F842B8"/>
    <w:rsid w:val="00F850E5"/>
    <w:rsid w:val="00F85151"/>
    <w:rsid w:val="00F855AC"/>
    <w:rsid w:val="00F858F5"/>
    <w:rsid w:val="00F87488"/>
    <w:rsid w:val="00F87F56"/>
    <w:rsid w:val="00F91483"/>
    <w:rsid w:val="00F91E56"/>
    <w:rsid w:val="00F923D1"/>
    <w:rsid w:val="00F93DF3"/>
    <w:rsid w:val="00F94FD7"/>
    <w:rsid w:val="00F95170"/>
    <w:rsid w:val="00F95E16"/>
    <w:rsid w:val="00F96912"/>
    <w:rsid w:val="00F97730"/>
    <w:rsid w:val="00FA0393"/>
    <w:rsid w:val="00FA0F03"/>
    <w:rsid w:val="00FA115C"/>
    <w:rsid w:val="00FA1D37"/>
    <w:rsid w:val="00FA3839"/>
    <w:rsid w:val="00FA4F3D"/>
    <w:rsid w:val="00FA52DE"/>
    <w:rsid w:val="00FA6C0A"/>
    <w:rsid w:val="00FA73BF"/>
    <w:rsid w:val="00FA7897"/>
    <w:rsid w:val="00FB0A21"/>
    <w:rsid w:val="00FB1EE0"/>
    <w:rsid w:val="00FB2144"/>
    <w:rsid w:val="00FB2CF2"/>
    <w:rsid w:val="00FB305C"/>
    <w:rsid w:val="00FB319A"/>
    <w:rsid w:val="00FB34E9"/>
    <w:rsid w:val="00FB4300"/>
    <w:rsid w:val="00FB56C0"/>
    <w:rsid w:val="00FB5836"/>
    <w:rsid w:val="00FB595F"/>
    <w:rsid w:val="00FB5B90"/>
    <w:rsid w:val="00FB6271"/>
    <w:rsid w:val="00FB6415"/>
    <w:rsid w:val="00FB68B7"/>
    <w:rsid w:val="00FB7462"/>
    <w:rsid w:val="00FC0FE2"/>
    <w:rsid w:val="00FC117D"/>
    <w:rsid w:val="00FC2177"/>
    <w:rsid w:val="00FC231D"/>
    <w:rsid w:val="00FC4303"/>
    <w:rsid w:val="00FC588D"/>
    <w:rsid w:val="00FC6564"/>
    <w:rsid w:val="00FC6E1C"/>
    <w:rsid w:val="00FD0166"/>
    <w:rsid w:val="00FD0DB1"/>
    <w:rsid w:val="00FD196F"/>
    <w:rsid w:val="00FD3BE0"/>
    <w:rsid w:val="00FD4395"/>
    <w:rsid w:val="00FD4AE4"/>
    <w:rsid w:val="00FD4CA0"/>
    <w:rsid w:val="00FD55FB"/>
    <w:rsid w:val="00FD5D3C"/>
    <w:rsid w:val="00FD6CB3"/>
    <w:rsid w:val="00FD6CE2"/>
    <w:rsid w:val="00FD6E3E"/>
    <w:rsid w:val="00FD7C6B"/>
    <w:rsid w:val="00FE0B4A"/>
    <w:rsid w:val="00FE0B81"/>
    <w:rsid w:val="00FE0D3E"/>
    <w:rsid w:val="00FE10A1"/>
    <w:rsid w:val="00FE10F6"/>
    <w:rsid w:val="00FE180F"/>
    <w:rsid w:val="00FE209B"/>
    <w:rsid w:val="00FE306F"/>
    <w:rsid w:val="00FE316C"/>
    <w:rsid w:val="00FE495D"/>
    <w:rsid w:val="00FE4C64"/>
    <w:rsid w:val="00FE5578"/>
    <w:rsid w:val="00FE5FD7"/>
    <w:rsid w:val="00FE5FED"/>
    <w:rsid w:val="00FE6B6C"/>
    <w:rsid w:val="00FE7FA5"/>
    <w:rsid w:val="00FF0B2E"/>
    <w:rsid w:val="00FF25F8"/>
    <w:rsid w:val="00FF35AF"/>
    <w:rsid w:val="00FF3AD8"/>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3B2FB"/>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043FA6"/>
    <w:pPr>
      <w:shd w:val="clear" w:color="auto" w:fill="FFFFFF"/>
      <w:tabs>
        <w:tab w:val="left" w:pos="567"/>
      </w:tabs>
      <w:jc w:val="both"/>
      <w:outlineLvl w:val="1"/>
    </w:pPr>
    <w:rPr>
      <w:rFonts w:asciiTheme="minorHAnsi" w:eastAsiaTheme="minorEastAsia" w:hAnsiTheme="minorHAnsi" w:cstheme="minorHAnsi"/>
      <w:bCs/>
      <w:i/>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043FA6"/>
    <w:rPr>
      <w:rFonts w:eastAsiaTheme="minorEastAsia" w:cstheme="minorHAnsi"/>
      <w:bCs/>
      <w:i/>
      <w:shd w:val="clear" w:color="auto" w:fill="FFFFFF"/>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eastAsia="Arial Unicode MS" w:cs="Times New Roman"/>
      <w:bCs/>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eapdorotaspaminjimas4">
    <w:name w:val="Neapdorotas paminėjimas4"/>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4440061">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2bf2c1b0353111e99595d005d42b863e" TargetMode="External"/><Relationship Id="rId18" Type="http://schemas.openxmlformats.org/officeDocument/2006/relationships/hyperlink" Target="https://www.e-tar.lt/portal/lt/legalAct/4ad2d870517b11e9975f9c35aedfe438"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tar.lt/portal/lt/legalAct/f88c2b8050b111e9975f9c35aedfe438" TargetMode="External"/><Relationship Id="rId7" Type="http://schemas.openxmlformats.org/officeDocument/2006/relationships/endnotes" Target="endnotes.xml"/><Relationship Id="rId12" Type="http://schemas.openxmlformats.org/officeDocument/2006/relationships/hyperlink" Target="https://www.e-tar.lt/portal/lt/legalAct/e6e29890339e11e99595d005d42b863e" TargetMode="External"/><Relationship Id="rId17" Type="http://schemas.openxmlformats.org/officeDocument/2006/relationships/hyperlink" Target="https://www.e-tar.lt/portal/lt/legalAct/e37ccd80391e11e99595d005d42b863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593dde403ab111e99595d005d42b863e" TargetMode="External"/><Relationship Id="rId20" Type="http://schemas.openxmlformats.org/officeDocument/2006/relationships/hyperlink" Target="https://www.e-tar.lt/portal/lt/legalAct/e21e59c0339e11e99595d005d42b863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0a952280307a11e9b66f85227a03f7a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tar.lt/portal/lt/legalAct/2ed54830353111e99595d005d42b863e" TargetMode="External"/><Relationship Id="rId23" Type="http://schemas.openxmlformats.org/officeDocument/2006/relationships/hyperlink" Target="https://eteismai.lt/byla/262448579045107/AS-102-968/2019?word=skundai.lt%20auk&#353;&#269;iausiasis%20teismas" TargetMode="External"/><Relationship Id="rId28" Type="http://schemas.openxmlformats.org/officeDocument/2006/relationships/theme" Target="theme/theme1.xml"/><Relationship Id="rId10" Type="http://schemas.openxmlformats.org/officeDocument/2006/relationships/hyperlink" Target="https://www.e-tar.lt/portal/lt/legalAct/3adbb3503ab111e99595d005d42b863e" TargetMode="External"/><Relationship Id="rId19" Type="http://schemas.openxmlformats.org/officeDocument/2006/relationships/hyperlink" Target="https://www.e-tar.lt/portal/lt/legalAct/27eeb710307a11e9b66f85227a03f7a3" TargetMode="External"/><Relationship Id="rId4" Type="http://schemas.openxmlformats.org/officeDocument/2006/relationships/settings" Target="settings.xml"/><Relationship Id="rId9" Type="http://schemas.openxmlformats.org/officeDocument/2006/relationships/hyperlink" Target="https://www.e-tar.lt/portal/lt/legalAct/034cc3302fb111e9b66f85227a03f7a3" TargetMode="External"/><Relationship Id="rId14" Type="http://schemas.openxmlformats.org/officeDocument/2006/relationships/hyperlink" Target="https://www.e-tar.lt/portal/lt/legalAct/448ada503f6811e9aeacc8204ccfc06d" TargetMode="External"/><Relationship Id="rId22" Type="http://schemas.openxmlformats.org/officeDocument/2006/relationships/hyperlink" Target="https://www.e-tar.lt/portal/lt/legalAct/790aae3035fa11e99595d005d42b863e"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DDDEBB-9BF0-4363-8069-6ABBFA50E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11267</Words>
  <Characters>64222</Characters>
  <Application>Microsoft Office Word</Application>
  <DocSecurity>0</DocSecurity>
  <Lines>535</Lines>
  <Paragraphs>150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75339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3</cp:revision>
  <cp:lastPrinted>2018-07-19T07:34:00Z</cp:lastPrinted>
  <dcterms:created xsi:type="dcterms:W3CDTF">2019-05-07T11:42:00Z</dcterms:created>
  <dcterms:modified xsi:type="dcterms:W3CDTF">2019-05-07T11:42:00Z</dcterms:modified>
</cp:coreProperties>
</file>