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B8F9E" w14:textId="77777777" w:rsidR="009A1625" w:rsidRPr="00344EA2" w:rsidRDefault="009A1625" w:rsidP="009A1625">
      <w:pPr>
        <w:pStyle w:val="NoSpacing1"/>
        <w:ind w:firstLine="0"/>
        <w:jc w:val="center"/>
        <w:rPr>
          <w:rFonts w:asciiTheme="minorHAnsi" w:hAnsiTheme="minorHAnsi" w:cstheme="minorHAnsi"/>
        </w:rPr>
      </w:pPr>
    </w:p>
    <w:p w14:paraId="7AC16C13" w14:textId="77777777" w:rsidR="009A1625" w:rsidRPr="00344EA2" w:rsidRDefault="009A1625" w:rsidP="009A1625">
      <w:pPr>
        <w:pStyle w:val="NoSpacing1"/>
        <w:ind w:firstLine="0"/>
        <w:jc w:val="center"/>
        <w:rPr>
          <w:rFonts w:asciiTheme="minorHAnsi" w:hAnsiTheme="minorHAnsi" w:cstheme="minorHAnsi"/>
        </w:rPr>
      </w:pPr>
    </w:p>
    <w:p w14:paraId="695C0046" w14:textId="77777777" w:rsidR="009A1625" w:rsidRPr="00344EA2" w:rsidRDefault="009A1625" w:rsidP="009A1625">
      <w:pPr>
        <w:pStyle w:val="NoSpacing1"/>
        <w:ind w:firstLine="0"/>
        <w:jc w:val="center"/>
        <w:rPr>
          <w:rFonts w:asciiTheme="minorHAnsi" w:hAnsiTheme="minorHAnsi" w:cstheme="minorHAnsi"/>
        </w:rPr>
      </w:pPr>
    </w:p>
    <w:p w14:paraId="09836283" w14:textId="77777777" w:rsidR="009A1625" w:rsidRPr="00344EA2" w:rsidRDefault="009A1625" w:rsidP="009A1625">
      <w:pPr>
        <w:pStyle w:val="NoSpacing1"/>
        <w:ind w:firstLine="0"/>
        <w:jc w:val="center"/>
        <w:rPr>
          <w:rFonts w:asciiTheme="minorHAnsi" w:hAnsiTheme="minorHAnsi" w:cstheme="minorHAnsi"/>
        </w:rPr>
      </w:pPr>
    </w:p>
    <w:p w14:paraId="1066F058" w14:textId="77777777" w:rsidR="009A1625" w:rsidRPr="00344EA2" w:rsidRDefault="009A1625" w:rsidP="009A1625">
      <w:pPr>
        <w:pStyle w:val="NoSpacing1"/>
        <w:ind w:firstLine="0"/>
        <w:jc w:val="center"/>
        <w:rPr>
          <w:rFonts w:asciiTheme="minorHAnsi" w:hAnsiTheme="minorHAnsi" w:cstheme="minorHAnsi"/>
        </w:rPr>
      </w:pPr>
    </w:p>
    <w:p w14:paraId="581F0EA6" w14:textId="77777777" w:rsidR="009A1625" w:rsidRPr="00344EA2" w:rsidRDefault="009A1625" w:rsidP="009A1625">
      <w:pPr>
        <w:pStyle w:val="NoSpacing1"/>
        <w:ind w:firstLine="0"/>
        <w:jc w:val="center"/>
        <w:rPr>
          <w:rFonts w:asciiTheme="minorHAnsi" w:hAnsiTheme="minorHAnsi" w:cstheme="minorHAnsi"/>
        </w:rPr>
      </w:pPr>
    </w:p>
    <w:p w14:paraId="3A81D65D" w14:textId="77777777" w:rsidR="009A1625" w:rsidRPr="00344EA2" w:rsidRDefault="009A1625" w:rsidP="009A1625">
      <w:pPr>
        <w:pStyle w:val="NoSpacing1"/>
        <w:ind w:firstLine="0"/>
        <w:jc w:val="center"/>
        <w:rPr>
          <w:rFonts w:asciiTheme="minorHAnsi" w:hAnsiTheme="minorHAnsi" w:cstheme="minorHAnsi"/>
        </w:rPr>
      </w:pPr>
    </w:p>
    <w:p w14:paraId="22098262" w14:textId="77777777" w:rsidR="009A1625" w:rsidRPr="00344EA2" w:rsidRDefault="009A1625" w:rsidP="009A1625">
      <w:pPr>
        <w:pStyle w:val="NoSpacing1"/>
        <w:ind w:firstLine="0"/>
        <w:jc w:val="center"/>
        <w:rPr>
          <w:rFonts w:asciiTheme="minorHAnsi" w:hAnsiTheme="minorHAnsi" w:cstheme="minorHAnsi"/>
        </w:rPr>
      </w:pPr>
    </w:p>
    <w:p w14:paraId="61DB9FD9" w14:textId="77777777" w:rsidR="009A1625" w:rsidRPr="00344EA2" w:rsidRDefault="009A1625" w:rsidP="009A1625">
      <w:pPr>
        <w:pStyle w:val="NoSpacing1"/>
        <w:ind w:firstLine="0"/>
        <w:jc w:val="center"/>
        <w:rPr>
          <w:rFonts w:asciiTheme="minorHAnsi" w:hAnsiTheme="minorHAnsi" w:cstheme="minorHAnsi"/>
        </w:rPr>
      </w:pPr>
    </w:p>
    <w:p w14:paraId="41903527" w14:textId="77777777" w:rsidR="009A1625" w:rsidRPr="00344EA2" w:rsidRDefault="009A1625" w:rsidP="009A1625">
      <w:pPr>
        <w:pStyle w:val="NoSpacing1"/>
        <w:ind w:firstLine="0"/>
        <w:jc w:val="center"/>
        <w:rPr>
          <w:rFonts w:asciiTheme="minorHAnsi" w:hAnsiTheme="minorHAnsi" w:cstheme="minorHAnsi"/>
        </w:rPr>
      </w:pPr>
      <w:r w:rsidRPr="00344EA2">
        <w:rPr>
          <w:rFonts w:asciiTheme="minorHAnsi" w:hAnsiTheme="minorHAnsi" w:cstheme="minorHAnsi"/>
          <w:noProof/>
          <w:lang w:eastAsia="lt-LT"/>
        </w:rPr>
        <w:drawing>
          <wp:inline distT="0" distB="0" distL="0" distR="0" wp14:anchorId="1C59E51E" wp14:editId="3FB76B2B">
            <wp:extent cx="3084195" cy="2087880"/>
            <wp:effectExtent l="19050" t="0" r="1905" b="0"/>
            <wp:docPr id="1" name="Paveikslėlis 1" descr="Paveikslėlis, kuriame yra tekstas, Šriftas, apskritimas, logotip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Šriftas, apskritimas, logotipas&#10;&#10;Automatiškai sugeneruotas aprašymas"/>
                    <pic:cNvPicPr>
                      <a:picLocks noChangeAspect="1" noChangeArrowheads="1"/>
                    </pic:cNvPicPr>
                  </pic:nvPicPr>
                  <pic:blipFill>
                    <a:blip r:embed="rId7"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5453F388" w14:textId="77777777" w:rsidR="009A1625" w:rsidRPr="00344EA2" w:rsidRDefault="009A1625" w:rsidP="009A1625">
      <w:pPr>
        <w:pStyle w:val="NoSpacing1"/>
        <w:ind w:firstLine="0"/>
        <w:jc w:val="center"/>
        <w:rPr>
          <w:rFonts w:asciiTheme="minorHAnsi" w:hAnsiTheme="minorHAnsi" w:cstheme="minorHAnsi"/>
        </w:rPr>
      </w:pPr>
    </w:p>
    <w:p w14:paraId="33B2847F" w14:textId="77777777" w:rsidR="009A1625" w:rsidRPr="00344EA2" w:rsidRDefault="009A1625" w:rsidP="009A1625">
      <w:pPr>
        <w:pStyle w:val="NoSpacing1"/>
        <w:ind w:firstLine="0"/>
        <w:jc w:val="center"/>
        <w:rPr>
          <w:rFonts w:asciiTheme="minorHAnsi" w:hAnsiTheme="minorHAnsi" w:cstheme="minorHAnsi"/>
        </w:rPr>
      </w:pPr>
    </w:p>
    <w:p w14:paraId="6291B8AD" w14:textId="77777777" w:rsidR="009A1625" w:rsidRPr="00344EA2" w:rsidRDefault="009A1625" w:rsidP="009A1625">
      <w:pPr>
        <w:pStyle w:val="NoSpacing1"/>
        <w:ind w:firstLine="0"/>
        <w:jc w:val="center"/>
        <w:rPr>
          <w:rFonts w:asciiTheme="minorHAnsi" w:hAnsiTheme="minorHAnsi" w:cstheme="minorHAnsi"/>
        </w:rPr>
      </w:pPr>
    </w:p>
    <w:p w14:paraId="0B66BC10" w14:textId="77777777" w:rsidR="009A1625" w:rsidRPr="00344EA2" w:rsidRDefault="009A1625" w:rsidP="009A1625">
      <w:pPr>
        <w:pStyle w:val="NoSpacing1"/>
        <w:ind w:firstLine="0"/>
        <w:jc w:val="center"/>
        <w:rPr>
          <w:rFonts w:asciiTheme="minorHAnsi" w:hAnsiTheme="minorHAnsi" w:cstheme="minorHAnsi"/>
        </w:rPr>
      </w:pPr>
      <w:r w:rsidRPr="00344EA2">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7A971E18" wp14:editId="126A77E2">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22DB3"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1985C1A4" wp14:editId="3B626E52">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EE4BA"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4A2F0D0A" wp14:editId="0A141CE4">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27B79"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40A50BA7" wp14:editId="16BCE1A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2E000"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7F4964E9" w14:textId="77777777" w:rsidR="009A1625" w:rsidRPr="00344EA2" w:rsidRDefault="009A1625" w:rsidP="009A1625">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 xml:space="preserve">Europos Sąjungos Teisingumo Teismo </w:t>
      </w:r>
    </w:p>
    <w:p w14:paraId="3DB13A34" w14:textId="77777777" w:rsidR="009A1625" w:rsidRPr="00344EA2" w:rsidRDefault="009A1625" w:rsidP="009A1625">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praktikos apžvalga</w:t>
      </w:r>
    </w:p>
    <w:p w14:paraId="5312A499" w14:textId="7B00E684" w:rsidR="009A1625" w:rsidRPr="00344EA2" w:rsidRDefault="009A1625" w:rsidP="009A1625">
      <w:pPr>
        <w:pStyle w:val="NoSpacing1"/>
        <w:tabs>
          <w:tab w:val="left" w:pos="1848"/>
          <w:tab w:val="center" w:pos="4819"/>
        </w:tabs>
        <w:ind w:firstLine="0"/>
        <w:rPr>
          <w:rFonts w:asciiTheme="minorHAnsi" w:hAnsiTheme="minorHAnsi" w:cstheme="minorHAnsi"/>
          <w:b/>
          <w:smallCaps/>
          <w:sz w:val="32"/>
          <w:szCs w:val="32"/>
          <w:u w:val="single"/>
        </w:rPr>
      </w:pPr>
      <w:r w:rsidRPr="00344EA2">
        <w:rPr>
          <w:rFonts w:asciiTheme="minorHAnsi" w:hAnsiTheme="minorHAnsi" w:cstheme="minorHAnsi"/>
          <w:b/>
          <w:smallCaps/>
        </w:rPr>
        <w:tab/>
      </w:r>
      <w:r w:rsidRPr="00344EA2">
        <w:rPr>
          <w:rFonts w:asciiTheme="minorHAnsi" w:hAnsiTheme="minorHAnsi" w:cstheme="minorHAnsi"/>
          <w:b/>
          <w:smallCaps/>
        </w:rPr>
        <w:tab/>
      </w:r>
      <w:r w:rsidRPr="00344EA2">
        <w:rPr>
          <w:rFonts w:asciiTheme="minorHAnsi" w:hAnsiTheme="minorHAnsi" w:cstheme="minorHAnsi"/>
          <w:b/>
          <w:smallCaps/>
          <w:sz w:val="32"/>
          <w:szCs w:val="32"/>
          <w:u w:val="single"/>
        </w:rPr>
        <w:t>202</w:t>
      </w:r>
      <w:r>
        <w:rPr>
          <w:rFonts w:asciiTheme="minorHAnsi" w:hAnsiTheme="minorHAnsi" w:cstheme="minorHAnsi"/>
          <w:b/>
          <w:smallCaps/>
          <w:sz w:val="32"/>
          <w:szCs w:val="32"/>
          <w:u w:val="single"/>
        </w:rPr>
        <w:t>3</w:t>
      </w:r>
      <w:r w:rsidRPr="00344EA2">
        <w:rPr>
          <w:rFonts w:asciiTheme="minorHAnsi" w:hAnsiTheme="minorHAnsi" w:cstheme="minorHAnsi"/>
          <w:b/>
          <w:smallCaps/>
          <w:sz w:val="32"/>
          <w:szCs w:val="32"/>
          <w:u w:val="single"/>
        </w:rPr>
        <w:t xml:space="preserve"> m. sausio 1 d.–202</w:t>
      </w:r>
      <w:r>
        <w:rPr>
          <w:rFonts w:asciiTheme="minorHAnsi" w:hAnsiTheme="minorHAnsi" w:cstheme="minorHAnsi"/>
          <w:b/>
          <w:smallCaps/>
          <w:sz w:val="32"/>
          <w:szCs w:val="32"/>
          <w:u w:val="single"/>
        </w:rPr>
        <w:t>3</w:t>
      </w:r>
      <w:r w:rsidRPr="00344EA2">
        <w:rPr>
          <w:rFonts w:asciiTheme="minorHAnsi" w:hAnsiTheme="minorHAnsi" w:cstheme="minorHAnsi"/>
          <w:b/>
          <w:smallCaps/>
          <w:sz w:val="32"/>
          <w:szCs w:val="32"/>
          <w:u w:val="single"/>
        </w:rPr>
        <w:t xml:space="preserve"> m. birželio 30 d.</w:t>
      </w:r>
    </w:p>
    <w:p w14:paraId="0D4154E8" w14:textId="77777777" w:rsidR="009A1625" w:rsidRPr="00344EA2" w:rsidRDefault="009A1625" w:rsidP="009A1625">
      <w:pPr>
        <w:jc w:val="center"/>
        <w:rPr>
          <w:rFonts w:asciiTheme="minorHAnsi" w:hAnsiTheme="minorHAnsi" w:cstheme="minorHAnsi"/>
          <w:b/>
          <w:smallCaps/>
        </w:rPr>
      </w:pPr>
    </w:p>
    <w:p w14:paraId="1E62FB29" w14:textId="77777777" w:rsidR="009A1625" w:rsidRPr="00344EA2" w:rsidRDefault="009A1625" w:rsidP="009A1625">
      <w:pPr>
        <w:jc w:val="center"/>
        <w:rPr>
          <w:rFonts w:asciiTheme="minorHAnsi" w:hAnsiTheme="minorHAnsi" w:cstheme="minorHAnsi"/>
          <w:b/>
          <w:smallCaps/>
        </w:rPr>
      </w:pPr>
    </w:p>
    <w:p w14:paraId="564A142F" w14:textId="77777777" w:rsidR="009A1625" w:rsidRPr="00344EA2" w:rsidRDefault="009A1625" w:rsidP="009A1625">
      <w:pPr>
        <w:jc w:val="center"/>
        <w:rPr>
          <w:rFonts w:asciiTheme="minorHAnsi" w:hAnsiTheme="minorHAnsi" w:cstheme="minorHAnsi"/>
          <w:b/>
          <w:smallCaps/>
        </w:rPr>
      </w:pPr>
    </w:p>
    <w:p w14:paraId="72F52311" w14:textId="77777777" w:rsidR="009A1625" w:rsidRPr="00344EA2" w:rsidRDefault="009A1625" w:rsidP="009A1625">
      <w:pPr>
        <w:jc w:val="center"/>
        <w:rPr>
          <w:rFonts w:asciiTheme="minorHAnsi" w:hAnsiTheme="minorHAnsi" w:cstheme="minorHAnsi"/>
          <w:b/>
          <w:smallCaps/>
        </w:rPr>
      </w:pPr>
    </w:p>
    <w:p w14:paraId="414F34C4" w14:textId="77777777" w:rsidR="009A1625" w:rsidRPr="00344EA2" w:rsidRDefault="009A1625" w:rsidP="009A1625">
      <w:pPr>
        <w:jc w:val="center"/>
        <w:rPr>
          <w:rFonts w:asciiTheme="minorHAnsi" w:hAnsiTheme="minorHAnsi" w:cstheme="minorHAnsi"/>
          <w:b/>
          <w:smallCaps/>
        </w:rPr>
      </w:pPr>
    </w:p>
    <w:p w14:paraId="16A82B22" w14:textId="77777777" w:rsidR="009A1625" w:rsidRPr="00344EA2" w:rsidRDefault="009A1625" w:rsidP="009A1625">
      <w:pPr>
        <w:jc w:val="center"/>
        <w:rPr>
          <w:rFonts w:asciiTheme="minorHAnsi" w:hAnsiTheme="minorHAnsi" w:cstheme="minorHAnsi"/>
          <w:b/>
          <w:smallCaps/>
        </w:rPr>
      </w:pPr>
    </w:p>
    <w:p w14:paraId="4C8B685B" w14:textId="77777777" w:rsidR="009A1625" w:rsidRPr="00344EA2" w:rsidRDefault="009A1625" w:rsidP="009A1625">
      <w:pPr>
        <w:jc w:val="center"/>
        <w:rPr>
          <w:rFonts w:asciiTheme="minorHAnsi" w:hAnsiTheme="minorHAnsi" w:cstheme="minorHAnsi"/>
          <w:b/>
          <w:smallCaps/>
        </w:rPr>
      </w:pPr>
    </w:p>
    <w:p w14:paraId="1B2F3CF5" w14:textId="77777777" w:rsidR="009A1625" w:rsidRPr="00344EA2" w:rsidRDefault="009A1625" w:rsidP="009A1625">
      <w:pPr>
        <w:jc w:val="center"/>
        <w:rPr>
          <w:rFonts w:asciiTheme="minorHAnsi" w:hAnsiTheme="minorHAnsi" w:cstheme="minorHAnsi"/>
          <w:b/>
          <w:smallCaps/>
        </w:rPr>
      </w:pPr>
    </w:p>
    <w:p w14:paraId="7E424AEE" w14:textId="77777777" w:rsidR="009A1625" w:rsidRPr="00344EA2" w:rsidRDefault="009A1625" w:rsidP="009A1625">
      <w:pPr>
        <w:jc w:val="center"/>
        <w:rPr>
          <w:rFonts w:asciiTheme="minorHAnsi" w:hAnsiTheme="minorHAnsi" w:cstheme="minorHAnsi"/>
          <w:b/>
          <w:smallCaps/>
        </w:rPr>
      </w:pPr>
    </w:p>
    <w:p w14:paraId="50419B0C" w14:textId="77777777" w:rsidR="009A1625" w:rsidRPr="00344EA2" w:rsidRDefault="009A1625" w:rsidP="009A1625">
      <w:pPr>
        <w:jc w:val="center"/>
        <w:rPr>
          <w:rFonts w:asciiTheme="minorHAnsi" w:hAnsiTheme="minorHAnsi" w:cstheme="minorHAnsi"/>
          <w:b/>
          <w:smallCaps/>
        </w:rPr>
      </w:pPr>
    </w:p>
    <w:p w14:paraId="7FE60EAC" w14:textId="77777777" w:rsidR="009A1625" w:rsidRPr="00344EA2" w:rsidRDefault="009A1625" w:rsidP="009A1625">
      <w:pPr>
        <w:jc w:val="center"/>
        <w:rPr>
          <w:rFonts w:asciiTheme="minorHAnsi" w:hAnsiTheme="minorHAnsi" w:cstheme="minorHAnsi"/>
          <w:b/>
          <w:smallCaps/>
        </w:rPr>
      </w:pPr>
    </w:p>
    <w:p w14:paraId="37CDCB3B" w14:textId="77777777" w:rsidR="009A1625" w:rsidRPr="00344EA2" w:rsidRDefault="009A1625" w:rsidP="009A1625">
      <w:pPr>
        <w:jc w:val="center"/>
        <w:rPr>
          <w:rFonts w:asciiTheme="minorHAnsi" w:hAnsiTheme="minorHAnsi" w:cstheme="minorHAnsi"/>
          <w:b/>
          <w:smallCaps/>
        </w:rPr>
      </w:pPr>
    </w:p>
    <w:p w14:paraId="6CFA5BE4" w14:textId="77777777" w:rsidR="009A1625" w:rsidRPr="00344EA2" w:rsidRDefault="009A1625" w:rsidP="009A1625">
      <w:pPr>
        <w:jc w:val="center"/>
        <w:rPr>
          <w:rFonts w:asciiTheme="minorHAnsi" w:hAnsiTheme="minorHAnsi" w:cstheme="minorHAnsi"/>
          <w:b/>
          <w:smallCaps/>
        </w:rPr>
      </w:pPr>
    </w:p>
    <w:p w14:paraId="5BA42247" w14:textId="77777777" w:rsidR="009A1625" w:rsidRPr="00344EA2" w:rsidRDefault="009A1625" w:rsidP="009A1625">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Apžvalgą parengė </w:t>
      </w:r>
    </w:p>
    <w:p w14:paraId="42C3DFB9" w14:textId="77777777" w:rsidR="009A1625" w:rsidRPr="00344EA2" w:rsidRDefault="009A1625" w:rsidP="009A1625">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Lietuvos vyriausiojo administracinio teismo </w:t>
      </w:r>
    </w:p>
    <w:p w14:paraId="6F6AA58E" w14:textId="77777777" w:rsidR="009A1625" w:rsidRPr="00344EA2" w:rsidRDefault="009A1625" w:rsidP="009A1625">
      <w:pPr>
        <w:jc w:val="center"/>
        <w:rPr>
          <w:rFonts w:asciiTheme="minorHAnsi" w:hAnsiTheme="minorHAnsi" w:cstheme="minorHAnsi"/>
          <w:b/>
          <w:color w:val="000000"/>
        </w:rPr>
      </w:pPr>
      <w:r w:rsidRPr="00344EA2">
        <w:rPr>
          <w:rFonts w:asciiTheme="minorHAnsi" w:hAnsiTheme="minorHAnsi" w:cstheme="minorHAnsi"/>
          <w:b/>
          <w:smallCaps/>
          <w:sz w:val="28"/>
          <w:szCs w:val="28"/>
        </w:rPr>
        <w:t>Teismų praktikos departamentas</w:t>
      </w:r>
      <w:r w:rsidRPr="00344EA2">
        <w:rPr>
          <w:rFonts w:asciiTheme="minorHAnsi" w:hAnsiTheme="minorHAnsi" w:cstheme="minorHAnsi"/>
          <w:b/>
          <w:smallCaps/>
        </w:rPr>
        <w:t xml:space="preserve"> </w:t>
      </w:r>
      <w:r w:rsidRPr="00344EA2">
        <w:rPr>
          <w:rFonts w:asciiTheme="minorHAnsi" w:hAnsiTheme="minorHAnsi" w:cstheme="minorHAnsi"/>
          <w:b/>
          <w:color w:val="000000"/>
        </w:rPr>
        <w:br w:type="page"/>
      </w:r>
    </w:p>
    <w:p w14:paraId="695E2142" w14:textId="77777777" w:rsidR="009A1625" w:rsidRPr="00344EA2" w:rsidRDefault="009A1625" w:rsidP="009A1625">
      <w:pPr>
        <w:jc w:val="center"/>
        <w:rPr>
          <w:rFonts w:asciiTheme="minorHAnsi" w:hAnsiTheme="minorHAnsi" w:cstheme="minorHAnsi"/>
          <w:b/>
          <w:color w:val="323E4F" w:themeColor="text2" w:themeShade="BF"/>
        </w:rPr>
      </w:pPr>
      <w:r w:rsidRPr="00344EA2">
        <w:rPr>
          <w:rFonts w:asciiTheme="minorHAnsi" w:hAnsiTheme="minorHAnsi" w:cstheme="minorHAnsi"/>
          <w:b/>
          <w:color w:val="323E4F" w:themeColor="text2" w:themeShade="BF"/>
        </w:rPr>
        <w:lastRenderedPageBreak/>
        <w:t>EUROPOS SĄJUNGOS TEISINGUMO TEISMO PRAKTIKOS APŽVALGA</w:t>
      </w:r>
    </w:p>
    <w:p w14:paraId="5B2ED7BD" w14:textId="1E0BF0F0" w:rsidR="009A1625" w:rsidRPr="00344EA2" w:rsidRDefault="009A1625" w:rsidP="009A1625">
      <w:pPr>
        <w:jc w:val="center"/>
        <w:rPr>
          <w:rFonts w:asciiTheme="minorHAnsi" w:hAnsiTheme="minorHAnsi" w:cstheme="minorHAnsi"/>
          <w:color w:val="323E4F" w:themeColor="text2" w:themeShade="BF"/>
        </w:rPr>
      </w:pPr>
      <w:r w:rsidRPr="00344EA2">
        <w:rPr>
          <w:rFonts w:asciiTheme="minorHAnsi" w:hAnsiTheme="minorHAnsi" w:cstheme="minorHAnsi"/>
          <w:color w:val="323E4F" w:themeColor="text2" w:themeShade="BF"/>
        </w:rPr>
        <w:t>(202</w:t>
      </w:r>
      <w:r>
        <w:rPr>
          <w:rFonts w:asciiTheme="minorHAnsi" w:hAnsiTheme="minorHAnsi" w:cstheme="minorHAnsi"/>
          <w:color w:val="323E4F" w:themeColor="text2" w:themeShade="BF"/>
        </w:rPr>
        <w:t>3</w:t>
      </w:r>
      <w:r w:rsidRPr="00344EA2">
        <w:rPr>
          <w:rFonts w:asciiTheme="minorHAnsi" w:hAnsiTheme="minorHAnsi" w:cstheme="minorHAnsi"/>
          <w:color w:val="323E4F" w:themeColor="text2" w:themeShade="BF"/>
        </w:rPr>
        <w:t xml:space="preserve"> m. sausio 1 d.–202</w:t>
      </w:r>
      <w:r>
        <w:rPr>
          <w:rFonts w:asciiTheme="minorHAnsi" w:hAnsiTheme="minorHAnsi" w:cstheme="minorHAnsi"/>
          <w:color w:val="323E4F" w:themeColor="text2" w:themeShade="BF"/>
        </w:rPr>
        <w:t>3</w:t>
      </w:r>
      <w:r w:rsidRPr="00344EA2">
        <w:rPr>
          <w:rFonts w:asciiTheme="minorHAnsi" w:hAnsiTheme="minorHAnsi" w:cstheme="minorHAnsi"/>
          <w:color w:val="323E4F" w:themeColor="text2" w:themeShade="BF"/>
        </w:rPr>
        <w:t xml:space="preserve"> m. birželio 30 d.)</w:t>
      </w:r>
    </w:p>
    <w:p w14:paraId="2F1743AE" w14:textId="77777777" w:rsidR="009A1625" w:rsidRPr="00344EA2" w:rsidRDefault="009A1625" w:rsidP="009A1625">
      <w:pPr>
        <w:pStyle w:val="Turinioantrat"/>
        <w:spacing w:line="240" w:lineRule="auto"/>
        <w:rPr>
          <w:szCs w:val="22"/>
        </w:rPr>
      </w:pPr>
    </w:p>
    <w:bookmarkStart w:id="0" w:name="_Hlk114149054"/>
    <w:p w14:paraId="3E4FFBCF" w14:textId="1344B478" w:rsidR="00F13D19" w:rsidRDefault="009A1625">
      <w:pPr>
        <w:pStyle w:val="Turinys1"/>
        <w:rPr>
          <w:rFonts w:eastAsiaTheme="minorEastAsia" w:cstheme="minorBidi"/>
          <w:b w:val="0"/>
          <w:bCs w:val="0"/>
          <w:color w:val="auto"/>
          <w:kern w:val="2"/>
          <w:sz w:val="22"/>
          <w:szCs w:val="22"/>
          <w:lang w:val="en-GB" w:eastAsia="en-GB"/>
          <w14:ligatures w14:val="standardContextual"/>
        </w:rPr>
      </w:pPr>
      <w:r w:rsidRPr="00344EA2">
        <w:fldChar w:fldCharType="begin"/>
      </w:r>
      <w:r w:rsidRPr="00344EA2">
        <w:instrText xml:space="preserve"> TOC \o "1-3" \h \z \u </w:instrText>
      </w:r>
      <w:r w:rsidRPr="00344EA2">
        <w:fldChar w:fldCharType="separate"/>
      </w:r>
      <w:hyperlink w:anchor="_Toc148375036" w:history="1">
        <w:r w:rsidR="00F13D19" w:rsidRPr="00E80E23">
          <w:rPr>
            <w:rStyle w:val="Hipersaitas"/>
          </w:rPr>
          <w:t>SOCIALINĖ POLITIKA</w:t>
        </w:r>
        <w:r w:rsidR="00F13D19">
          <w:rPr>
            <w:webHidden/>
          </w:rPr>
          <w:tab/>
        </w:r>
        <w:r w:rsidR="00F13D19">
          <w:rPr>
            <w:webHidden/>
          </w:rPr>
          <w:fldChar w:fldCharType="begin"/>
        </w:r>
        <w:r w:rsidR="00F13D19">
          <w:rPr>
            <w:webHidden/>
          </w:rPr>
          <w:instrText xml:space="preserve"> PAGEREF _Toc148375036 \h </w:instrText>
        </w:r>
        <w:r w:rsidR="00F13D19">
          <w:rPr>
            <w:webHidden/>
          </w:rPr>
        </w:r>
        <w:r w:rsidR="00F13D19">
          <w:rPr>
            <w:webHidden/>
          </w:rPr>
          <w:fldChar w:fldCharType="separate"/>
        </w:r>
        <w:r w:rsidR="00F13D19">
          <w:rPr>
            <w:webHidden/>
          </w:rPr>
          <w:t>5</w:t>
        </w:r>
        <w:r w:rsidR="00F13D19">
          <w:rPr>
            <w:webHidden/>
          </w:rPr>
          <w:fldChar w:fldCharType="end"/>
        </w:r>
      </w:hyperlink>
    </w:p>
    <w:p w14:paraId="1D7C0B6B" w14:textId="33527E8A" w:rsidR="00F13D19" w:rsidRDefault="00000000">
      <w:pPr>
        <w:pStyle w:val="Turinys2"/>
        <w:rPr>
          <w:rFonts w:eastAsiaTheme="minorEastAsia" w:cstheme="minorBidi"/>
          <w:b w:val="0"/>
          <w:bCs w:val="0"/>
          <w:color w:val="auto"/>
          <w:kern w:val="2"/>
          <w:lang w:val="en-GB" w:eastAsia="en-GB"/>
          <w14:ligatures w14:val="standardContextual"/>
        </w:rPr>
      </w:pPr>
      <w:hyperlink w:anchor="_Toc148375037" w:history="1">
        <w:r w:rsidR="00F13D19" w:rsidRPr="00E80E23">
          <w:rPr>
            <w:rStyle w:val="Hipersaitas"/>
          </w:rPr>
          <w:t>2023 m. balandžio 27 d. sprendimas byloje</w:t>
        </w:r>
        <w:r w:rsidR="00F13D19" w:rsidRPr="00E80E23">
          <w:rPr>
            <w:rStyle w:val="Hipersaitas"/>
            <w:i/>
          </w:rPr>
          <w:t xml:space="preserve"> BVAEB (Montant de la pension de retraite)</w:t>
        </w:r>
        <w:r w:rsidR="00F13D19" w:rsidRPr="00E80E23">
          <w:rPr>
            <w:rStyle w:val="Hipersaitas"/>
          </w:rPr>
          <w:t>, C</w:t>
        </w:r>
        <w:r w:rsidR="00F13D19" w:rsidRPr="00E80E23">
          <w:rPr>
            <w:rStyle w:val="Hipersaitas"/>
          </w:rPr>
          <w:noBreakHyphen/>
          <w:t>681/21</w:t>
        </w:r>
        <w:r w:rsidR="00F13D19">
          <w:rPr>
            <w:webHidden/>
          </w:rPr>
          <w:tab/>
        </w:r>
        <w:r w:rsidR="00F13D19">
          <w:rPr>
            <w:webHidden/>
          </w:rPr>
          <w:fldChar w:fldCharType="begin"/>
        </w:r>
        <w:r w:rsidR="00F13D19">
          <w:rPr>
            <w:webHidden/>
          </w:rPr>
          <w:instrText xml:space="preserve"> PAGEREF _Toc148375037 \h </w:instrText>
        </w:r>
        <w:r w:rsidR="00F13D19">
          <w:rPr>
            <w:webHidden/>
          </w:rPr>
        </w:r>
        <w:r w:rsidR="00F13D19">
          <w:rPr>
            <w:webHidden/>
          </w:rPr>
          <w:fldChar w:fldCharType="separate"/>
        </w:r>
        <w:r w:rsidR="00F13D19">
          <w:rPr>
            <w:webHidden/>
          </w:rPr>
          <w:t>5</w:t>
        </w:r>
        <w:r w:rsidR="00F13D19">
          <w:rPr>
            <w:webHidden/>
          </w:rPr>
          <w:fldChar w:fldCharType="end"/>
        </w:r>
      </w:hyperlink>
    </w:p>
    <w:p w14:paraId="3ACECBD5" w14:textId="6D7FE610"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38" w:history="1">
        <w:r w:rsidR="00F13D19" w:rsidRPr="00E80E23">
          <w:rPr>
            <w:rStyle w:val="Hipersaitas"/>
            <w:rFonts w:eastAsia="Times New Roman"/>
            <w:bCs/>
          </w:rPr>
          <w:t>Dėl nacionalinės teisės nuostatų, kuriose numatyta atgaline data tam tikros kategorijos valstybės tarnautojų pensijų sistemą prilyginti anksčiau nepalankioje padėtyje buvusios valstybės pareigūnų kategorijos pensijų sistemai</w:t>
        </w:r>
        <w:r w:rsidR="00F13D19">
          <w:rPr>
            <w:webHidden/>
          </w:rPr>
          <w:tab/>
        </w:r>
        <w:r w:rsidR="00F13D19">
          <w:rPr>
            <w:webHidden/>
          </w:rPr>
          <w:fldChar w:fldCharType="begin"/>
        </w:r>
        <w:r w:rsidR="00F13D19">
          <w:rPr>
            <w:webHidden/>
          </w:rPr>
          <w:instrText xml:space="preserve"> PAGEREF _Toc148375038 \h </w:instrText>
        </w:r>
        <w:r w:rsidR="00F13D19">
          <w:rPr>
            <w:webHidden/>
          </w:rPr>
        </w:r>
        <w:r w:rsidR="00F13D19">
          <w:rPr>
            <w:webHidden/>
          </w:rPr>
          <w:fldChar w:fldCharType="separate"/>
        </w:r>
        <w:r w:rsidR="00F13D19">
          <w:rPr>
            <w:webHidden/>
          </w:rPr>
          <w:t>5</w:t>
        </w:r>
        <w:r w:rsidR="00F13D19">
          <w:rPr>
            <w:webHidden/>
          </w:rPr>
          <w:fldChar w:fldCharType="end"/>
        </w:r>
      </w:hyperlink>
    </w:p>
    <w:p w14:paraId="2A6E7A8E" w14:textId="202D24D7"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39" w:history="1">
        <w:r w:rsidR="00F13D19" w:rsidRPr="00E80E23">
          <w:rPr>
            <w:rStyle w:val="Hipersaitas"/>
          </w:rPr>
          <w:t>UŽSIENIEČIŲ TEISINĖ PADĖTIS</w:t>
        </w:r>
        <w:r w:rsidR="00F13D19">
          <w:rPr>
            <w:webHidden/>
          </w:rPr>
          <w:tab/>
        </w:r>
        <w:r w:rsidR="00F13D19">
          <w:rPr>
            <w:webHidden/>
          </w:rPr>
          <w:fldChar w:fldCharType="begin"/>
        </w:r>
        <w:r w:rsidR="00F13D19">
          <w:rPr>
            <w:webHidden/>
          </w:rPr>
          <w:instrText xml:space="preserve"> PAGEREF _Toc148375039 \h </w:instrText>
        </w:r>
        <w:r w:rsidR="00F13D19">
          <w:rPr>
            <w:webHidden/>
          </w:rPr>
        </w:r>
        <w:r w:rsidR="00F13D19">
          <w:rPr>
            <w:webHidden/>
          </w:rPr>
          <w:fldChar w:fldCharType="separate"/>
        </w:r>
        <w:r w:rsidR="00F13D19">
          <w:rPr>
            <w:webHidden/>
          </w:rPr>
          <w:t>6</w:t>
        </w:r>
        <w:r w:rsidR="00F13D19">
          <w:rPr>
            <w:webHidden/>
          </w:rPr>
          <w:fldChar w:fldCharType="end"/>
        </w:r>
      </w:hyperlink>
    </w:p>
    <w:p w14:paraId="6B605AB2" w14:textId="2F11ECF9" w:rsidR="00F13D19" w:rsidRDefault="00000000">
      <w:pPr>
        <w:pStyle w:val="Turinys2"/>
        <w:rPr>
          <w:rFonts w:eastAsiaTheme="minorEastAsia" w:cstheme="minorBidi"/>
          <w:b w:val="0"/>
          <w:bCs w:val="0"/>
          <w:color w:val="auto"/>
          <w:kern w:val="2"/>
          <w:lang w:val="en-GB" w:eastAsia="en-GB"/>
          <w14:ligatures w14:val="standardContextual"/>
        </w:rPr>
      </w:pPr>
      <w:hyperlink w:anchor="_Toc148375040" w:history="1">
        <w:r w:rsidR="00F13D19" w:rsidRPr="00E80E23">
          <w:rPr>
            <w:rStyle w:val="Hipersaitas"/>
          </w:rPr>
          <w:t xml:space="preserve">2023 m. sausio 12 d. sprendimas byloje </w:t>
        </w:r>
        <w:r w:rsidR="00F13D19" w:rsidRPr="00E80E23">
          <w:rPr>
            <w:rStyle w:val="Hipersaitas"/>
            <w:i/>
          </w:rPr>
          <w:t>Migracijos departamentas</w:t>
        </w:r>
        <w:r w:rsidR="00F13D19" w:rsidRPr="00E80E23">
          <w:rPr>
            <w:rStyle w:val="Hipersaitas"/>
          </w:rPr>
          <w:t xml:space="preserve"> </w:t>
        </w:r>
        <w:r w:rsidR="00F13D19" w:rsidRPr="00E80E23">
          <w:rPr>
            <w:rStyle w:val="Hipersaitas"/>
            <w:i/>
          </w:rPr>
          <w:t>(Motifs de persécution fondés sur des opinions politiques)</w:t>
        </w:r>
        <w:r w:rsidR="00F13D19" w:rsidRPr="00E80E23">
          <w:rPr>
            <w:rStyle w:val="Hipersaitas"/>
          </w:rPr>
          <w:t>, C-280/21</w:t>
        </w:r>
        <w:r w:rsidR="00F13D19">
          <w:rPr>
            <w:webHidden/>
          </w:rPr>
          <w:tab/>
        </w:r>
        <w:r w:rsidR="00F13D19">
          <w:rPr>
            <w:webHidden/>
          </w:rPr>
          <w:fldChar w:fldCharType="begin"/>
        </w:r>
        <w:r w:rsidR="00F13D19">
          <w:rPr>
            <w:webHidden/>
          </w:rPr>
          <w:instrText xml:space="preserve"> PAGEREF _Toc148375040 \h </w:instrText>
        </w:r>
        <w:r w:rsidR="00F13D19">
          <w:rPr>
            <w:webHidden/>
          </w:rPr>
        </w:r>
        <w:r w:rsidR="00F13D19">
          <w:rPr>
            <w:webHidden/>
          </w:rPr>
          <w:fldChar w:fldCharType="separate"/>
        </w:r>
        <w:r w:rsidR="00F13D19">
          <w:rPr>
            <w:webHidden/>
          </w:rPr>
          <w:t>6</w:t>
        </w:r>
        <w:r w:rsidR="00F13D19">
          <w:rPr>
            <w:webHidden/>
          </w:rPr>
          <w:fldChar w:fldCharType="end"/>
        </w:r>
      </w:hyperlink>
    </w:p>
    <w:p w14:paraId="6A8458F2" w14:textId="4247BCF4"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41" w:history="1">
        <w:r w:rsidR="00F13D19" w:rsidRPr="00E80E23">
          <w:rPr>
            <w:rStyle w:val="Hipersaitas"/>
          </w:rPr>
          <w:t>Dėl „politinių pažiūrų“ sąvokos</w:t>
        </w:r>
        <w:r w:rsidR="00F13D19">
          <w:rPr>
            <w:webHidden/>
          </w:rPr>
          <w:tab/>
        </w:r>
        <w:r w:rsidR="00F13D19">
          <w:rPr>
            <w:webHidden/>
          </w:rPr>
          <w:fldChar w:fldCharType="begin"/>
        </w:r>
        <w:r w:rsidR="00F13D19">
          <w:rPr>
            <w:webHidden/>
          </w:rPr>
          <w:instrText xml:space="preserve"> PAGEREF _Toc148375041 \h </w:instrText>
        </w:r>
        <w:r w:rsidR="00F13D19">
          <w:rPr>
            <w:webHidden/>
          </w:rPr>
        </w:r>
        <w:r w:rsidR="00F13D19">
          <w:rPr>
            <w:webHidden/>
          </w:rPr>
          <w:fldChar w:fldCharType="separate"/>
        </w:r>
        <w:r w:rsidR="00F13D19">
          <w:rPr>
            <w:webHidden/>
          </w:rPr>
          <w:t>6</w:t>
        </w:r>
        <w:r w:rsidR="00F13D19">
          <w:rPr>
            <w:webHidden/>
          </w:rPr>
          <w:fldChar w:fldCharType="end"/>
        </w:r>
      </w:hyperlink>
    </w:p>
    <w:p w14:paraId="72552689" w14:textId="04FFF186" w:rsidR="00F13D19" w:rsidRDefault="00000000">
      <w:pPr>
        <w:pStyle w:val="Turinys2"/>
        <w:rPr>
          <w:rFonts w:eastAsiaTheme="minorEastAsia" w:cstheme="minorBidi"/>
          <w:b w:val="0"/>
          <w:bCs w:val="0"/>
          <w:color w:val="auto"/>
          <w:kern w:val="2"/>
          <w:lang w:val="en-GB" w:eastAsia="en-GB"/>
          <w14:ligatures w14:val="standardContextual"/>
        </w:rPr>
      </w:pPr>
      <w:hyperlink w:anchor="_Toc148375042" w:history="1">
        <w:r w:rsidR="00F13D19" w:rsidRPr="00E80E23">
          <w:rPr>
            <w:rStyle w:val="Hipersaitas"/>
          </w:rPr>
          <w:t xml:space="preserve">2023 m. balandžio 27 d. sprendimas byloje </w:t>
        </w:r>
        <w:r w:rsidR="00F13D19" w:rsidRPr="00E80E23">
          <w:rPr>
            <w:rStyle w:val="Hipersaitas"/>
            <w:i/>
          </w:rPr>
          <w:t>M.D. (Interdiction d’entrée en Hongrie)</w:t>
        </w:r>
        <w:r w:rsidR="00F13D19" w:rsidRPr="00E80E23">
          <w:rPr>
            <w:rStyle w:val="Hipersaitas"/>
          </w:rPr>
          <w:t>, C-528/21</w:t>
        </w:r>
        <w:r w:rsidR="00F13D19">
          <w:rPr>
            <w:webHidden/>
          </w:rPr>
          <w:tab/>
        </w:r>
        <w:r w:rsidR="00F13D19">
          <w:rPr>
            <w:webHidden/>
          </w:rPr>
          <w:fldChar w:fldCharType="begin"/>
        </w:r>
        <w:r w:rsidR="00F13D19">
          <w:rPr>
            <w:webHidden/>
          </w:rPr>
          <w:instrText xml:space="preserve"> PAGEREF _Toc148375042 \h </w:instrText>
        </w:r>
        <w:r w:rsidR="00F13D19">
          <w:rPr>
            <w:webHidden/>
          </w:rPr>
        </w:r>
        <w:r w:rsidR="00F13D19">
          <w:rPr>
            <w:webHidden/>
          </w:rPr>
          <w:fldChar w:fldCharType="separate"/>
        </w:r>
        <w:r w:rsidR="00F13D19">
          <w:rPr>
            <w:webHidden/>
          </w:rPr>
          <w:t>7</w:t>
        </w:r>
        <w:r w:rsidR="00F13D19">
          <w:rPr>
            <w:webHidden/>
          </w:rPr>
          <w:fldChar w:fldCharType="end"/>
        </w:r>
      </w:hyperlink>
    </w:p>
    <w:p w14:paraId="47B441D1" w14:textId="57BCCF8B"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43" w:history="1">
        <w:r w:rsidR="00F13D19" w:rsidRPr="00E80E23">
          <w:rPr>
            <w:rStyle w:val="Hipersaitas"/>
          </w:rPr>
          <w:t>Dėl pareigos atsižvelgti į sveikatos būklę, šeimos gyvenimą ir nepilnamečio vaiko interesus, kai nacionalinio saugumo sumetimais priimamas sprendimas uždrausti trečiosios šalies piliečiui atvykti į valstybės teritoriją</w:t>
        </w:r>
        <w:r w:rsidR="00F13D19">
          <w:rPr>
            <w:webHidden/>
          </w:rPr>
          <w:tab/>
        </w:r>
        <w:r w:rsidR="00F13D19">
          <w:rPr>
            <w:webHidden/>
          </w:rPr>
          <w:fldChar w:fldCharType="begin"/>
        </w:r>
        <w:r w:rsidR="00F13D19">
          <w:rPr>
            <w:webHidden/>
          </w:rPr>
          <w:instrText xml:space="preserve"> PAGEREF _Toc148375043 \h </w:instrText>
        </w:r>
        <w:r w:rsidR="00F13D19">
          <w:rPr>
            <w:webHidden/>
          </w:rPr>
        </w:r>
        <w:r w:rsidR="00F13D19">
          <w:rPr>
            <w:webHidden/>
          </w:rPr>
          <w:fldChar w:fldCharType="separate"/>
        </w:r>
        <w:r w:rsidR="00F13D19">
          <w:rPr>
            <w:webHidden/>
          </w:rPr>
          <w:t>7</w:t>
        </w:r>
        <w:r w:rsidR="00F13D19">
          <w:rPr>
            <w:webHidden/>
          </w:rPr>
          <w:fldChar w:fldCharType="end"/>
        </w:r>
      </w:hyperlink>
    </w:p>
    <w:p w14:paraId="694DC611" w14:textId="5F1CF9AF"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44" w:history="1">
        <w:r w:rsidR="00F13D19" w:rsidRPr="00E80E23">
          <w:rPr>
            <w:rStyle w:val="Hipersaitas"/>
          </w:rPr>
          <w:t>Dėl Direktyvos 2008/115 5 straipsnio tiesioginio veikimo</w:t>
        </w:r>
        <w:r w:rsidR="00F13D19">
          <w:rPr>
            <w:webHidden/>
          </w:rPr>
          <w:tab/>
        </w:r>
        <w:r w:rsidR="00F13D19">
          <w:rPr>
            <w:webHidden/>
          </w:rPr>
          <w:fldChar w:fldCharType="begin"/>
        </w:r>
        <w:r w:rsidR="00F13D19">
          <w:rPr>
            <w:webHidden/>
          </w:rPr>
          <w:instrText xml:space="preserve"> PAGEREF _Toc148375044 \h </w:instrText>
        </w:r>
        <w:r w:rsidR="00F13D19">
          <w:rPr>
            <w:webHidden/>
          </w:rPr>
        </w:r>
        <w:r w:rsidR="00F13D19">
          <w:rPr>
            <w:webHidden/>
          </w:rPr>
          <w:fldChar w:fldCharType="separate"/>
        </w:r>
        <w:r w:rsidR="00F13D19">
          <w:rPr>
            <w:webHidden/>
          </w:rPr>
          <w:t>8</w:t>
        </w:r>
        <w:r w:rsidR="00F13D19">
          <w:rPr>
            <w:webHidden/>
          </w:rPr>
          <w:fldChar w:fldCharType="end"/>
        </w:r>
      </w:hyperlink>
    </w:p>
    <w:p w14:paraId="67B45D87" w14:textId="00931EC0"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45" w:history="1">
        <w:r w:rsidR="00F13D19" w:rsidRPr="00E80E23">
          <w:rPr>
            <w:rStyle w:val="Hipersaitas"/>
          </w:rPr>
          <w:t>PIKTNAUDŽIAVIMAS DOMINUOJANČIA PADĖTIMI</w:t>
        </w:r>
        <w:r w:rsidR="00F13D19">
          <w:rPr>
            <w:webHidden/>
          </w:rPr>
          <w:tab/>
        </w:r>
        <w:r w:rsidR="00F13D19">
          <w:rPr>
            <w:webHidden/>
          </w:rPr>
          <w:fldChar w:fldCharType="begin"/>
        </w:r>
        <w:r w:rsidR="00F13D19">
          <w:rPr>
            <w:webHidden/>
          </w:rPr>
          <w:instrText xml:space="preserve"> PAGEREF _Toc148375045 \h </w:instrText>
        </w:r>
        <w:r w:rsidR="00F13D19">
          <w:rPr>
            <w:webHidden/>
          </w:rPr>
        </w:r>
        <w:r w:rsidR="00F13D19">
          <w:rPr>
            <w:webHidden/>
          </w:rPr>
          <w:fldChar w:fldCharType="separate"/>
        </w:r>
        <w:r w:rsidR="00F13D19">
          <w:rPr>
            <w:webHidden/>
          </w:rPr>
          <w:t>9</w:t>
        </w:r>
        <w:r w:rsidR="00F13D19">
          <w:rPr>
            <w:webHidden/>
          </w:rPr>
          <w:fldChar w:fldCharType="end"/>
        </w:r>
      </w:hyperlink>
    </w:p>
    <w:p w14:paraId="0D74FEB4" w14:textId="571B34B7" w:rsidR="00F13D19" w:rsidRDefault="00000000">
      <w:pPr>
        <w:pStyle w:val="Turinys2"/>
        <w:rPr>
          <w:rFonts w:eastAsiaTheme="minorEastAsia" w:cstheme="minorBidi"/>
          <w:b w:val="0"/>
          <w:bCs w:val="0"/>
          <w:color w:val="auto"/>
          <w:kern w:val="2"/>
          <w:lang w:val="en-GB" w:eastAsia="en-GB"/>
          <w14:ligatures w14:val="standardContextual"/>
        </w:rPr>
      </w:pPr>
      <w:hyperlink w:anchor="_Toc148375046" w:history="1">
        <w:r w:rsidR="00F13D19" w:rsidRPr="00E80E23">
          <w:rPr>
            <w:rStyle w:val="Hipersaitas"/>
          </w:rPr>
          <w:t xml:space="preserve">2023 m. sausio 12 d. sprendimas byloje </w:t>
        </w:r>
        <w:r w:rsidR="00F13D19" w:rsidRPr="00E80E23">
          <w:rPr>
            <w:rStyle w:val="Hipersaitas"/>
            <w:i/>
          </w:rPr>
          <w:t>Lietuvos geležinkeliai prieš Komisiją</w:t>
        </w:r>
        <w:r w:rsidR="00F13D19" w:rsidRPr="00E80E23">
          <w:rPr>
            <w:rStyle w:val="Hipersaitas"/>
          </w:rPr>
          <w:t>, C-</w:t>
        </w:r>
        <w:r w:rsidR="00F13D19" w:rsidRPr="00E80E23">
          <w:rPr>
            <w:rStyle w:val="Hipersaitas"/>
            <w:lang w:val="en-US"/>
          </w:rPr>
          <w:t>42/21 P</w:t>
        </w:r>
        <w:r w:rsidR="00F13D19">
          <w:rPr>
            <w:webHidden/>
          </w:rPr>
          <w:tab/>
        </w:r>
        <w:r w:rsidR="00F13D19">
          <w:rPr>
            <w:webHidden/>
          </w:rPr>
          <w:fldChar w:fldCharType="begin"/>
        </w:r>
        <w:r w:rsidR="00F13D19">
          <w:rPr>
            <w:webHidden/>
          </w:rPr>
          <w:instrText xml:space="preserve"> PAGEREF _Toc148375046 \h </w:instrText>
        </w:r>
        <w:r w:rsidR="00F13D19">
          <w:rPr>
            <w:webHidden/>
          </w:rPr>
        </w:r>
        <w:r w:rsidR="00F13D19">
          <w:rPr>
            <w:webHidden/>
          </w:rPr>
          <w:fldChar w:fldCharType="separate"/>
        </w:r>
        <w:r w:rsidR="00F13D19">
          <w:rPr>
            <w:webHidden/>
          </w:rPr>
          <w:t>9</w:t>
        </w:r>
        <w:r w:rsidR="00F13D19">
          <w:rPr>
            <w:webHidden/>
          </w:rPr>
          <w:fldChar w:fldCharType="end"/>
        </w:r>
      </w:hyperlink>
    </w:p>
    <w:p w14:paraId="5C5C0021" w14:textId="342AD6BE"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47" w:history="1">
        <w:r w:rsidR="00F13D19" w:rsidRPr="00E80E23">
          <w:rPr>
            <w:rStyle w:val="Hipersaitas"/>
            <w:rFonts w:cs="Calibri"/>
          </w:rPr>
          <w:t xml:space="preserve">Dėl išardyto </w:t>
        </w:r>
        <w:r w:rsidR="00F13D19" w:rsidRPr="00E80E23">
          <w:rPr>
            <w:rStyle w:val="Hipersaitas"/>
          </w:rPr>
          <w:t>geležinkelio</w:t>
        </w:r>
        <w:r w:rsidR="00F13D19" w:rsidRPr="00E80E23">
          <w:rPr>
            <w:rStyle w:val="Hipersaitas"/>
            <w:rFonts w:cs="Calibri"/>
          </w:rPr>
          <w:t xml:space="preserve"> kelio, kaip piktnaudžiavimo dominuojančia padėtimi formos</w:t>
        </w:r>
        <w:r w:rsidR="00F13D19">
          <w:rPr>
            <w:webHidden/>
          </w:rPr>
          <w:tab/>
        </w:r>
        <w:r w:rsidR="00F13D19">
          <w:rPr>
            <w:webHidden/>
          </w:rPr>
          <w:fldChar w:fldCharType="begin"/>
        </w:r>
        <w:r w:rsidR="00F13D19">
          <w:rPr>
            <w:webHidden/>
          </w:rPr>
          <w:instrText xml:space="preserve"> PAGEREF _Toc148375047 \h </w:instrText>
        </w:r>
        <w:r w:rsidR="00F13D19">
          <w:rPr>
            <w:webHidden/>
          </w:rPr>
        </w:r>
        <w:r w:rsidR="00F13D19">
          <w:rPr>
            <w:webHidden/>
          </w:rPr>
          <w:fldChar w:fldCharType="separate"/>
        </w:r>
        <w:r w:rsidR="00F13D19">
          <w:rPr>
            <w:webHidden/>
          </w:rPr>
          <w:t>9</w:t>
        </w:r>
        <w:r w:rsidR="00F13D19">
          <w:rPr>
            <w:webHidden/>
          </w:rPr>
          <w:fldChar w:fldCharType="end"/>
        </w:r>
      </w:hyperlink>
    </w:p>
    <w:p w14:paraId="507DC96E" w14:textId="0BB18E23"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48" w:history="1">
        <w:r w:rsidR="00F13D19" w:rsidRPr="00E80E23">
          <w:rPr>
            <w:rStyle w:val="Hipersaitas"/>
          </w:rPr>
          <w:t>APMOKESTINIMAS</w:t>
        </w:r>
        <w:r w:rsidR="00F13D19">
          <w:rPr>
            <w:webHidden/>
          </w:rPr>
          <w:tab/>
        </w:r>
        <w:r w:rsidR="00F13D19">
          <w:rPr>
            <w:webHidden/>
          </w:rPr>
          <w:fldChar w:fldCharType="begin"/>
        </w:r>
        <w:r w:rsidR="00F13D19">
          <w:rPr>
            <w:webHidden/>
          </w:rPr>
          <w:instrText xml:space="preserve"> PAGEREF _Toc148375048 \h </w:instrText>
        </w:r>
        <w:r w:rsidR="00F13D19">
          <w:rPr>
            <w:webHidden/>
          </w:rPr>
        </w:r>
        <w:r w:rsidR="00F13D19">
          <w:rPr>
            <w:webHidden/>
          </w:rPr>
          <w:fldChar w:fldCharType="separate"/>
        </w:r>
        <w:r w:rsidR="00F13D19">
          <w:rPr>
            <w:webHidden/>
          </w:rPr>
          <w:t>11</w:t>
        </w:r>
        <w:r w:rsidR="00F13D19">
          <w:rPr>
            <w:webHidden/>
          </w:rPr>
          <w:fldChar w:fldCharType="end"/>
        </w:r>
      </w:hyperlink>
    </w:p>
    <w:p w14:paraId="04A559D4" w14:textId="7FE1C8F6" w:rsidR="00F13D19" w:rsidRDefault="00000000">
      <w:pPr>
        <w:pStyle w:val="Turinys2"/>
        <w:rPr>
          <w:rFonts w:eastAsiaTheme="minorEastAsia" w:cstheme="minorBidi"/>
          <w:b w:val="0"/>
          <w:bCs w:val="0"/>
          <w:color w:val="auto"/>
          <w:kern w:val="2"/>
          <w:lang w:val="en-GB" w:eastAsia="en-GB"/>
          <w14:ligatures w14:val="standardContextual"/>
        </w:rPr>
      </w:pPr>
      <w:hyperlink w:anchor="_Toc148375049" w:history="1">
        <w:r w:rsidR="00F13D19" w:rsidRPr="00E80E23">
          <w:rPr>
            <w:rStyle w:val="Hipersaitas"/>
          </w:rPr>
          <w:t xml:space="preserve">2023 m. kovo 9 d. sprendimas byloje </w:t>
        </w:r>
        <w:r w:rsidR="00F13D19" w:rsidRPr="00E80E23">
          <w:rPr>
            <w:rStyle w:val="Hipersaitas"/>
            <w:i/>
          </w:rPr>
          <w:t>Belgijos valstybė ir Promo 54</w:t>
        </w:r>
        <w:r w:rsidR="00F13D19" w:rsidRPr="00E80E23">
          <w:rPr>
            <w:rStyle w:val="Hipersaitas"/>
          </w:rPr>
          <w:t>, C</w:t>
        </w:r>
        <w:r w:rsidR="00F13D19" w:rsidRPr="00E80E23">
          <w:rPr>
            <w:rStyle w:val="Hipersaitas"/>
            <w:rFonts w:ascii="Cambria Math" w:hAnsi="Cambria Math" w:cs="Cambria Math"/>
          </w:rPr>
          <w:t>‑</w:t>
        </w:r>
        <w:r w:rsidR="00F13D19" w:rsidRPr="00E80E23">
          <w:rPr>
            <w:rStyle w:val="Hipersaitas"/>
          </w:rPr>
          <w:t>239/22</w:t>
        </w:r>
        <w:r w:rsidR="00F13D19">
          <w:rPr>
            <w:webHidden/>
          </w:rPr>
          <w:tab/>
        </w:r>
        <w:r w:rsidR="00F13D19">
          <w:rPr>
            <w:webHidden/>
          </w:rPr>
          <w:fldChar w:fldCharType="begin"/>
        </w:r>
        <w:r w:rsidR="00F13D19">
          <w:rPr>
            <w:webHidden/>
          </w:rPr>
          <w:instrText xml:space="preserve"> PAGEREF _Toc148375049 \h </w:instrText>
        </w:r>
        <w:r w:rsidR="00F13D19">
          <w:rPr>
            <w:webHidden/>
          </w:rPr>
        </w:r>
        <w:r w:rsidR="00F13D19">
          <w:rPr>
            <w:webHidden/>
          </w:rPr>
          <w:fldChar w:fldCharType="separate"/>
        </w:r>
        <w:r w:rsidR="00F13D19">
          <w:rPr>
            <w:webHidden/>
          </w:rPr>
          <w:t>11</w:t>
        </w:r>
        <w:r w:rsidR="00F13D19">
          <w:rPr>
            <w:webHidden/>
          </w:rPr>
          <w:fldChar w:fldCharType="end"/>
        </w:r>
      </w:hyperlink>
    </w:p>
    <w:p w14:paraId="5673DDD3" w14:textId="5A224C96"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50" w:history="1">
        <w:r w:rsidR="00F13D19" w:rsidRPr="00E80E23">
          <w:rPr>
            <w:rStyle w:val="Hipersaitas"/>
          </w:rPr>
          <w:t>Dėl iš esmės pagerinto seno pastato tiekimo (ne)apmokestinimo PVM</w:t>
        </w:r>
        <w:r w:rsidR="00F13D19">
          <w:rPr>
            <w:webHidden/>
          </w:rPr>
          <w:tab/>
        </w:r>
        <w:r w:rsidR="00F13D19">
          <w:rPr>
            <w:webHidden/>
          </w:rPr>
          <w:fldChar w:fldCharType="begin"/>
        </w:r>
        <w:r w:rsidR="00F13D19">
          <w:rPr>
            <w:webHidden/>
          </w:rPr>
          <w:instrText xml:space="preserve"> PAGEREF _Toc148375050 \h </w:instrText>
        </w:r>
        <w:r w:rsidR="00F13D19">
          <w:rPr>
            <w:webHidden/>
          </w:rPr>
        </w:r>
        <w:r w:rsidR="00F13D19">
          <w:rPr>
            <w:webHidden/>
          </w:rPr>
          <w:fldChar w:fldCharType="separate"/>
        </w:r>
        <w:r w:rsidR="00F13D19">
          <w:rPr>
            <w:webHidden/>
          </w:rPr>
          <w:t>11</w:t>
        </w:r>
        <w:r w:rsidR="00F13D19">
          <w:rPr>
            <w:webHidden/>
          </w:rPr>
          <w:fldChar w:fldCharType="end"/>
        </w:r>
      </w:hyperlink>
    </w:p>
    <w:p w14:paraId="3611D041" w14:textId="7F9051F8" w:rsidR="00F13D19" w:rsidRDefault="00000000">
      <w:pPr>
        <w:pStyle w:val="Turinys2"/>
        <w:rPr>
          <w:rFonts w:eastAsiaTheme="minorEastAsia" w:cstheme="minorBidi"/>
          <w:b w:val="0"/>
          <w:bCs w:val="0"/>
          <w:color w:val="auto"/>
          <w:kern w:val="2"/>
          <w:lang w:val="en-GB" w:eastAsia="en-GB"/>
          <w14:ligatures w14:val="standardContextual"/>
        </w:rPr>
      </w:pPr>
      <w:hyperlink w:anchor="_Toc148375051" w:history="1">
        <w:r w:rsidR="00F13D19" w:rsidRPr="00E80E23">
          <w:rPr>
            <w:rStyle w:val="Hipersaitas"/>
          </w:rPr>
          <w:t xml:space="preserve">2023 m. gegužės 4 d. sprendimas byloje </w:t>
        </w:r>
        <w:r w:rsidR="00F13D19" w:rsidRPr="00E80E23">
          <w:rPr>
            <w:rStyle w:val="Hipersaitas"/>
            <w:i/>
          </w:rPr>
          <w:t>Balgarska telekomunikatsionna kompania</w:t>
        </w:r>
        <w:r w:rsidR="00F13D19" w:rsidRPr="00E80E23">
          <w:rPr>
            <w:rStyle w:val="Hipersaitas"/>
          </w:rPr>
          <w:t>, C</w:t>
        </w:r>
        <w:r w:rsidR="00F13D19" w:rsidRPr="00E80E23">
          <w:rPr>
            <w:rStyle w:val="Hipersaitas"/>
            <w:rFonts w:ascii="Cambria Math" w:hAnsi="Cambria Math" w:cs="Cambria Math"/>
          </w:rPr>
          <w:t>‑</w:t>
        </w:r>
        <w:r w:rsidR="00F13D19" w:rsidRPr="00E80E23">
          <w:rPr>
            <w:rStyle w:val="Hipersaitas"/>
          </w:rPr>
          <w:t>127/22</w:t>
        </w:r>
        <w:r w:rsidR="00F13D19">
          <w:rPr>
            <w:webHidden/>
          </w:rPr>
          <w:tab/>
        </w:r>
        <w:r w:rsidR="00F13D19">
          <w:rPr>
            <w:webHidden/>
          </w:rPr>
          <w:fldChar w:fldCharType="begin"/>
        </w:r>
        <w:r w:rsidR="00F13D19">
          <w:rPr>
            <w:webHidden/>
          </w:rPr>
          <w:instrText xml:space="preserve"> PAGEREF _Toc148375051 \h </w:instrText>
        </w:r>
        <w:r w:rsidR="00F13D19">
          <w:rPr>
            <w:webHidden/>
          </w:rPr>
        </w:r>
        <w:r w:rsidR="00F13D19">
          <w:rPr>
            <w:webHidden/>
          </w:rPr>
          <w:fldChar w:fldCharType="separate"/>
        </w:r>
        <w:r w:rsidR="00F13D19">
          <w:rPr>
            <w:webHidden/>
          </w:rPr>
          <w:t>12</w:t>
        </w:r>
        <w:r w:rsidR="00F13D19">
          <w:rPr>
            <w:webHidden/>
          </w:rPr>
          <w:fldChar w:fldCharType="end"/>
        </w:r>
      </w:hyperlink>
    </w:p>
    <w:p w14:paraId="646F16F7" w14:textId="48AE8CF3"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52" w:history="1">
        <w:r w:rsidR="00F13D19" w:rsidRPr="00E80E23">
          <w:rPr>
            <w:rStyle w:val="Hipersaitas"/>
          </w:rPr>
          <w:t>Dėl pirminės PVM atskaitos tikslinimo atveju, kai prekės, kurių pirkimo PVM buvo atskaitytas, yra parduodamos kaip atliekos kitam apmokestinamajam asmeniui</w:t>
        </w:r>
        <w:r w:rsidR="00F13D19">
          <w:rPr>
            <w:webHidden/>
          </w:rPr>
          <w:tab/>
        </w:r>
        <w:r w:rsidR="00F13D19">
          <w:rPr>
            <w:webHidden/>
          </w:rPr>
          <w:fldChar w:fldCharType="begin"/>
        </w:r>
        <w:r w:rsidR="00F13D19">
          <w:rPr>
            <w:webHidden/>
          </w:rPr>
          <w:instrText xml:space="preserve"> PAGEREF _Toc148375052 \h </w:instrText>
        </w:r>
        <w:r w:rsidR="00F13D19">
          <w:rPr>
            <w:webHidden/>
          </w:rPr>
        </w:r>
        <w:r w:rsidR="00F13D19">
          <w:rPr>
            <w:webHidden/>
          </w:rPr>
          <w:fldChar w:fldCharType="separate"/>
        </w:r>
        <w:r w:rsidR="00F13D19">
          <w:rPr>
            <w:webHidden/>
          </w:rPr>
          <w:t>12</w:t>
        </w:r>
        <w:r w:rsidR="00F13D19">
          <w:rPr>
            <w:webHidden/>
          </w:rPr>
          <w:fldChar w:fldCharType="end"/>
        </w:r>
      </w:hyperlink>
    </w:p>
    <w:p w14:paraId="14D0FB44" w14:textId="399E65C6"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53" w:history="1">
        <w:r w:rsidR="00F13D19" w:rsidRPr="00E80E23">
          <w:rPr>
            <w:rStyle w:val="Hipersaitas"/>
          </w:rPr>
          <w:t>Dėl pareigos patikslinti pirminę PVM atskaitą, kai prekės, kurių pirkimo PVM buvo atskaitytas, buvo sunaikintos, apmokestinamajam asmeniui nusprendus, kad jos nebetinkamos naudoti jo apmokestinamoje (ekonominėje) veikloje</w:t>
        </w:r>
        <w:r w:rsidR="00F13D19">
          <w:rPr>
            <w:webHidden/>
          </w:rPr>
          <w:tab/>
        </w:r>
        <w:r w:rsidR="00F13D19">
          <w:rPr>
            <w:webHidden/>
          </w:rPr>
          <w:fldChar w:fldCharType="begin"/>
        </w:r>
        <w:r w:rsidR="00F13D19">
          <w:rPr>
            <w:webHidden/>
          </w:rPr>
          <w:instrText xml:space="preserve"> PAGEREF _Toc148375053 \h </w:instrText>
        </w:r>
        <w:r w:rsidR="00F13D19">
          <w:rPr>
            <w:webHidden/>
          </w:rPr>
        </w:r>
        <w:r w:rsidR="00F13D19">
          <w:rPr>
            <w:webHidden/>
          </w:rPr>
          <w:fldChar w:fldCharType="separate"/>
        </w:r>
        <w:r w:rsidR="00F13D19">
          <w:rPr>
            <w:webHidden/>
          </w:rPr>
          <w:t>13</w:t>
        </w:r>
        <w:r w:rsidR="00F13D19">
          <w:rPr>
            <w:webHidden/>
          </w:rPr>
          <w:fldChar w:fldCharType="end"/>
        </w:r>
      </w:hyperlink>
    </w:p>
    <w:p w14:paraId="30442B02" w14:textId="7B934A37"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54" w:history="1">
        <w:r w:rsidR="00F13D19" w:rsidRPr="00E80E23">
          <w:rPr>
            <w:rStyle w:val="Hipersaitas"/>
          </w:rPr>
          <w:t>MUITINĖS VEIKLA</w:t>
        </w:r>
        <w:r w:rsidR="00F13D19">
          <w:rPr>
            <w:webHidden/>
          </w:rPr>
          <w:tab/>
        </w:r>
        <w:r w:rsidR="00F13D19">
          <w:rPr>
            <w:webHidden/>
          </w:rPr>
          <w:fldChar w:fldCharType="begin"/>
        </w:r>
        <w:r w:rsidR="00F13D19">
          <w:rPr>
            <w:webHidden/>
          </w:rPr>
          <w:instrText xml:space="preserve"> PAGEREF _Toc148375054 \h </w:instrText>
        </w:r>
        <w:r w:rsidR="00F13D19">
          <w:rPr>
            <w:webHidden/>
          </w:rPr>
        </w:r>
        <w:r w:rsidR="00F13D19">
          <w:rPr>
            <w:webHidden/>
          </w:rPr>
          <w:fldChar w:fldCharType="separate"/>
        </w:r>
        <w:r w:rsidR="00F13D19">
          <w:rPr>
            <w:webHidden/>
          </w:rPr>
          <w:t>13</w:t>
        </w:r>
        <w:r w:rsidR="00F13D19">
          <w:rPr>
            <w:webHidden/>
          </w:rPr>
          <w:fldChar w:fldCharType="end"/>
        </w:r>
      </w:hyperlink>
    </w:p>
    <w:p w14:paraId="4232B442" w14:textId="207889F4" w:rsidR="00F13D19" w:rsidRDefault="00000000">
      <w:pPr>
        <w:pStyle w:val="Turinys2"/>
        <w:rPr>
          <w:rFonts w:eastAsiaTheme="minorEastAsia" w:cstheme="minorBidi"/>
          <w:b w:val="0"/>
          <w:bCs w:val="0"/>
          <w:color w:val="auto"/>
          <w:kern w:val="2"/>
          <w:lang w:val="en-GB" w:eastAsia="en-GB"/>
          <w14:ligatures w14:val="standardContextual"/>
        </w:rPr>
      </w:pPr>
      <w:hyperlink w:anchor="_Toc148375055" w:history="1">
        <w:r w:rsidR="00F13D19" w:rsidRPr="00E80E23">
          <w:rPr>
            <w:rStyle w:val="Hipersaitas"/>
          </w:rPr>
          <w:t xml:space="preserve">2023 m. kovo 9 d. sprendimas byloje </w:t>
        </w:r>
        <w:r w:rsidR="00F13D19" w:rsidRPr="00E80E23">
          <w:rPr>
            <w:rStyle w:val="Hipersaitas"/>
            <w:i/>
          </w:rPr>
          <w:t>Bolloré Logistics</w:t>
        </w:r>
        <w:r w:rsidR="00F13D19" w:rsidRPr="00E80E23">
          <w:rPr>
            <w:rStyle w:val="Hipersaitas"/>
          </w:rPr>
          <w:t>, C</w:t>
        </w:r>
        <w:r w:rsidR="00F13D19" w:rsidRPr="00E80E23">
          <w:rPr>
            <w:rStyle w:val="Hipersaitas"/>
            <w:rFonts w:ascii="Cambria Math" w:hAnsi="Cambria Math" w:cs="Cambria Math"/>
          </w:rPr>
          <w:t>‑</w:t>
        </w:r>
        <w:r w:rsidR="00F13D19" w:rsidRPr="00E80E23">
          <w:rPr>
            <w:rStyle w:val="Hipersaitas"/>
          </w:rPr>
          <w:t>358/22</w:t>
        </w:r>
        <w:r w:rsidR="00F13D19">
          <w:rPr>
            <w:webHidden/>
          </w:rPr>
          <w:tab/>
        </w:r>
        <w:r w:rsidR="00F13D19">
          <w:rPr>
            <w:webHidden/>
          </w:rPr>
          <w:fldChar w:fldCharType="begin"/>
        </w:r>
        <w:r w:rsidR="00F13D19">
          <w:rPr>
            <w:webHidden/>
          </w:rPr>
          <w:instrText xml:space="preserve"> PAGEREF _Toc148375055 \h </w:instrText>
        </w:r>
        <w:r w:rsidR="00F13D19">
          <w:rPr>
            <w:webHidden/>
          </w:rPr>
        </w:r>
        <w:r w:rsidR="00F13D19">
          <w:rPr>
            <w:webHidden/>
          </w:rPr>
          <w:fldChar w:fldCharType="separate"/>
        </w:r>
        <w:r w:rsidR="00F13D19">
          <w:rPr>
            <w:webHidden/>
          </w:rPr>
          <w:t>13</w:t>
        </w:r>
        <w:r w:rsidR="00F13D19">
          <w:rPr>
            <w:webHidden/>
          </w:rPr>
          <w:fldChar w:fldCharType="end"/>
        </w:r>
      </w:hyperlink>
    </w:p>
    <w:p w14:paraId="2E3A1B39" w14:textId="27B810F6"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56" w:history="1">
        <w:r w:rsidR="00F13D19" w:rsidRPr="00E80E23">
          <w:rPr>
            <w:rStyle w:val="Hipersaitas"/>
          </w:rPr>
          <w:t>Dėl garanto pareigos sumokėti muitinės skolą, kai apie šią skolą nebuvo tinkamai pranešta muitinės skolininkui, kurio prievolių įvykdymas buvo užtikrintas išduota garantija</w:t>
        </w:r>
        <w:r w:rsidR="00F13D19">
          <w:rPr>
            <w:webHidden/>
          </w:rPr>
          <w:tab/>
        </w:r>
        <w:r w:rsidR="00F13D19">
          <w:rPr>
            <w:webHidden/>
          </w:rPr>
          <w:fldChar w:fldCharType="begin"/>
        </w:r>
        <w:r w:rsidR="00F13D19">
          <w:rPr>
            <w:webHidden/>
          </w:rPr>
          <w:instrText xml:space="preserve"> PAGEREF _Toc148375056 \h </w:instrText>
        </w:r>
        <w:r w:rsidR="00F13D19">
          <w:rPr>
            <w:webHidden/>
          </w:rPr>
        </w:r>
        <w:r w:rsidR="00F13D19">
          <w:rPr>
            <w:webHidden/>
          </w:rPr>
          <w:fldChar w:fldCharType="separate"/>
        </w:r>
        <w:r w:rsidR="00F13D19">
          <w:rPr>
            <w:webHidden/>
          </w:rPr>
          <w:t>14</w:t>
        </w:r>
        <w:r w:rsidR="00F13D19">
          <w:rPr>
            <w:webHidden/>
          </w:rPr>
          <w:fldChar w:fldCharType="end"/>
        </w:r>
      </w:hyperlink>
    </w:p>
    <w:p w14:paraId="06332BFB" w14:textId="63262EFA"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57" w:history="1">
        <w:r w:rsidR="00F13D19" w:rsidRPr="00E80E23">
          <w:rPr>
            <w:rStyle w:val="Hipersaitas"/>
          </w:rPr>
          <w:t>APLINKA</w:t>
        </w:r>
        <w:r w:rsidR="00F13D19">
          <w:rPr>
            <w:webHidden/>
          </w:rPr>
          <w:tab/>
        </w:r>
        <w:r w:rsidR="00F13D19">
          <w:rPr>
            <w:webHidden/>
          </w:rPr>
          <w:fldChar w:fldCharType="begin"/>
        </w:r>
        <w:r w:rsidR="00F13D19">
          <w:rPr>
            <w:webHidden/>
          </w:rPr>
          <w:instrText xml:space="preserve"> PAGEREF _Toc148375057 \h </w:instrText>
        </w:r>
        <w:r w:rsidR="00F13D19">
          <w:rPr>
            <w:webHidden/>
          </w:rPr>
        </w:r>
        <w:r w:rsidR="00F13D19">
          <w:rPr>
            <w:webHidden/>
          </w:rPr>
          <w:fldChar w:fldCharType="separate"/>
        </w:r>
        <w:r w:rsidR="00F13D19">
          <w:rPr>
            <w:webHidden/>
          </w:rPr>
          <w:t>14</w:t>
        </w:r>
        <w:r w:rsidR="00F13D19">
          <w:rPr>
            <w:webHidden/>
          </w:rPr>
          <w:fldChar w:fldCharType="end"/>
        </w:r>
      </w:hyperlink>
    </w:p>
    <w:p w14:paraId="742B0097" w14:textId="6C728207" w:rsidR="00F13D19" w:rsidRDefault="00000000">
      <w:pPr>
        <w:pStyle w:val="Turinys2"/>
        <w:rPr>
          <w:rFonts w:eastAsiaTheme="minorEastAsia" w:cstheme="minorBidi"/>
          <w:b w:val="0"/>
          <w:bCs w:val="0"/>
          <w:color w:val="auto"/>
          <w:kern w:val="2"/>
          <w:lang w:val="en-GB" w:eastAsia="en-GB"/>
          <w14:ligatures w14:val="standardContextual"/>
        </w:rPr>
      </w:pPr>
      <w:hyperlink w:anchor="_Toc148375058" w:history="1">
        <w:r w:rsidR="00F13D19" w:rsidRPr="00E80E23">
          <w:rPr>
            <w:rStyle w:val="Hipersaitas"/>
          </w:rPr>
          <w:t xml:space="preserve">2023 m. gegužės 25 d. sprendimas byloje </w:t>
        </w:r>
        <w:r w:rsidR="00F13D19" w:rsidRPr="00E80E23">
          <w:rPr>
            <w:rStyle w:val="Hipersaitas"/>
            <w:i/>
          </w:rPr>
          <w:t>WertInvest Hotelbetrieb</w:t>
        </w:r>
        <w:r w:rsidR="00F13D19" w:rsidRPr="00E80E23">
          <w:rPr>
            <w:rStyle w:val="Hipersaitas"/>
          </w:rPr>
          <w:t>, C</w:t>
        </w:r>
        <w:r w:rsidR="00F13D19" w:rsidRPr="00E80E23">
          <w:rPr>
            <w:rStyle w:val="Hipersaitas"/>
            <w:rFonts w:ascii="Cambria Math" w:hAnsi="Cambria Math" w:cs="Cambria Math"/>
          </w:rPr>
          <w:t>‑</w:t>
        </w:r>
        <w:r w:rsidR="00F13D19" w:rsidRPr="00E80E23">
          <w:rPr>
            <w:rStyle w:val="Hipersaitas"/>
          </w:rPr>
          <w:t>575/21</w:t>
        </w:r>
        <w:r w:rsidR="00F13D19">
          <w:rPr>
            <w:webHidden/>
          </w:rPr>
          <w:tab/>
        </w:r>
        <w:r w:rsidR="00F13D19">
          <w:rPr>
            <w:webHidden/>
          </w:rPr>
          <w:fldChar w:fldCharType="begin"/>
        </w:r>
        <w:r w:rsidR="00F13D19">
          <w:rPr>
            <w:webHidden/>
          </w:rPr>
          <w:instrText xml:space="preserve"> PAGEREF _Toc148375058 \h </w:instrText>
        </w:r>
        <w:r w:rsidR="00F13D19">
          <w:rPr>
            <w:webHidden/>
          </w:rPr>
        </w:r>
        <w:r w:rsidR="00F13D19">
          <w:rPr>
            <w:webHidden/>
          </w:rPr>
          <w:fldChar w:fldCharType="separate"/>
        </w:r>
        <w:r w:rsidR="00F13D19">
          <w:rPr>
            <w:webHidden/>
          </w:rPr>
          <w:t>14</w:t>
        </w:r>
        <w:r w:rsidR="00F13D19">
          <w:rPr>
            <w:webHidden/>
          </w:rPr>
          <w:fldChar w:fldCharType="end"/>
        </w:r>
      </w:hyperlink>
    </w:p>
    <w:p w14:paraId="30C29AD7" w14:textId="246A51FE"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59" w:history="1">
        <w:r w:rsidR="00F13D19" w:rsidRPr="00E80E23">
          <w:rPr>
            <w:rStyle w:val="Hipersaitas"/>
          </w:rPr>
          <w:t>Dėl reikalavimo atlikti miesto plėtros projekto poveikio aplinkai vertinimą priklausymo tik nuo projekto dydžio</w:t>
        </w:r>
        <w:r w:rsidR="00F13D19">
          <w:rPr>
            <w:webHidden/>
          </w:rPr>
          <w:tab/>
        </w:r>
        <w:r w:rsidR="00F13D19">
          <w:rPr>
            <w:webHidden/>
          </w:rPr>
          <w:fldChar w:fldCharType="begin"/>
        </w:r>
        <w:r w:rsidR="00F13D19">
          <w:rPr>
            <w:webHidden/>
          </w:rPr>
          <w:instrText xml:space="preserve"> PAGEREF _Toc148375059 \h </w:instrText>
        </w:r>
        <w:r w:rsidR="00F13D19">
          <w:rPr>
            <w:webHidden/>
          </w:rPr>
        </w:r>
        <w:r w:rsidR="00F13D19">
          <w:rPr>
            <w:webHidden/>
          </w:rPr>
          <w:fldChar w:fldCharType="separate"/>
        </w:r>
        <w:r w:rsidR="00F13D19">
          <w:rPr>
            <w:webHidden/>
          </w:rPr>
          <w:t>15</w:t>
        </w:r>
        <w:r w:rsidR="00F13D19">
          <w:rPr>
            <w:webHidden/>
          </w:rPr>
          <w:fldChar w:fldCharType="end"/>
        </w:r>
      </w:hyperlink>
    </w:p>
    <w:p w14:paraId="34BAF8DB" w14:textId="6E16FD83"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60" w:history="1">
        <w:r w:rsidR="00F13D19" w:rsidRPr="00E80E23">
          <w:rPr>
            <w:rStyle w:val="Hipersaitas"/>
          </w:rPr>
          <w:t>REGISTRAI</w:t>
        </w:r>
        <w:r w:rsidR="00F13D19">
          <w:rPr>
            <w:webHidden/>
          </w:rPr>
          <w:tab/>
        </w:r>
        <w:r w:rsidR="00F13D19">
          <w:rPr>
            <w:webHidden/>
          </w:rPr>
          <w:fldChar w:fldCharType="begin"/>
        </w:r>
        <w:r w:rsidR="00F13D19">
          <w:rPr>
            <w:webHidden/>
          </w:rPr>
          <w:instrText xml:space="preserve"> PAGEREF _Toc148375060 \h </w:instrText>
        </w:r>
        <w:r w:rsidR="00F13D19">
          <w:rPr>
            <w:webHidden/>
          </w:rPr>
        </w:r>
        <w:r w:rsidR="00F13D19">
          <w:rPr>
            <w:webHidden/>
          </w:rPr>
          <w:fldChar w:fldCharType="separate"/>
        </w:r>
        <w:r w:rsidR="00F13D19">
          <w:rPr>
            <w:webHidden/>
          </w:rPr>
          <w:t>15</w:t>
        </w:r>
        <w:r w:rsidR="00F13D19">
          <w:rPr>
            <w:webHidden/>
          </w:rPr>
          <w:fldChar w:fldCharType="end"/>
        </w:r>
      </w:hyperlink>
    </w:p>
    <w:p w14:paraId="03E9BFBB" w14:textId="6D373988" w:rsidR="00F13D19" w:rsidRDefault="00000000">
      <w:pPr>
        <w:pStyle w:val="Turinys2"/>
        <w:rPr>
          <w:rFonts w:eastAsiaTheme="minorEastAsia" w:cstheme="minorBidi"/>
          <w:b w:val="0"/>
          <w:bCs w:val="0"/>
          <w:color w:val="auto"/>
          <w:kern w:val="2"/>
          <w:lang w:val="en-GB" w:eastAsia="en-GB"/>
          <w14:ligatures w14:val="standardContextual"/>
        </w:rPr>
      </w:pPr>
      <w:hyperlink w:anchor="_Toc148375061" w:history="1">
        <w:r w:rsidR="00F13D19" w:rsidRPr="00E80E23">
          <w:rPr>
            <w:rStyle w:val="Hipersaitas"/>
          </w:rPr>
          <w:t xml:space="preserve">2023 m. kovo 9 d. sprendimas byloje </w:t>
        </w:r>
        <w:r w:rsidR="00F13D19" w:rsidRPr="00E80E23">
          <w:rPr>
            <w:rStyle w:val="Hipersaitas"/>
            <w:i/>
          </w:rPr>
          <w:t>Registrų centras</w:t>
        </w:r>
        <w:r w:rsidR="00F13D19" w:rsidRPr="00E80E23">
          <w:rPr>
            <w:rStyle w:val="Hipersaitas"/>
          </w:rPr>
          <w:t>, C</w:t>
        </w:r>
        <w:r w:rsidR="00F13D19" w:rsidRPr="00E80E23">
          <w:rPr>
            <w:rStyle w:val="Hipersaitas"/>
            <w:rFonts w:ascii="Cambria Math" w:hAnsi="Cambria Math" w:cs="Cambria Math"/>
          </w:rPr>
          <w:t>‑</w:t>
        </w:r>
        <w:r w:rsidR="00F13D19" w:rsidRPr="00E80E23">
          <w:rPr>
            <w:rStyle w:val="Hipersaitas"/>
          </w:rPr>
          <w:t>354/21</w:t>
        </w:r>
        <w:r w:rsidR="00F13D19">
          <w:rPr>
            <w:webHidden/>
          </w:rPr>
          <w:tab/>
        </w:r>
        <w:r w:rsidR="00F13D19">
          <w:rPr>
            <w:webHidden/>
          </w:rPr>
          <w:fldChar w:fldCharType="begin"/>
        </w:r>
        <w:r w:rsidR="00F13D19">
          <w:rPr>
            <w:webHidden/>
          </w:rPr>
          <w:instrText xml:space="preserve"> PAGEREF _Toc148375061 \h </w:instrText>
        </w:r>
        <w:r w:rsidR="00F13D19">
          <w:rPr>
            <w:webHidden/>
          </w:rPr>
        </w:r>
        <w:r w:rsidR="00F13D19">
          <w:rPr>
            <w:webHidden/>
          </w:rPr>
          <w:fldChar w:fldCharType="separate"/>
        </w:r>
        <w:r w:rsidR="00F13D19">
          <w:rPr>
            <w:webHidden/>
          </w:rPr>
          <w:t>15</w:t>
        </w:r>
        <w:r w:rsidR="00F13D19">
          <w:rPr>
            <w:webHidden/>
          </w:rPr>
          <w:fldChar w:fldCharType="end"/>
        </w:r>
      </w:hyperlink>
    </w:p>
    <w:p w14:paraId="396D1810" w14:textId="1A9B709D"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62" w:history="1">
        <w:r w:rsidR="00F13D19" w:rsidRPr="00E80E23">
          <w:rPr>
            <w:rStyle w:val="Hipersaitas"/>
          </w:rPr>
          <w:t>Dėl visų Lietuvoje esančiam paveldimam nekilnojamajam turtui identifikuoti reikalingų duomenų nurodymo Europos paveldėjimo pažymėjime, siekiant šio pažymėjimo pagrindu įregistruoti nuosavybės teises Lietuvos Respublikos Nekilnojamojo turto registre</w:t>
        </w:r>
        <w:r w:rsidR="00F13D19">
          <w:rPr>
            <w:webHidden/>
          </w:rPr>
          <w:tab/>
        </w:r>
        <w:r w:rsidR="00F13D19">
          <w:rPr>
            <w:webHidden/>
          </w:rPr>
          <w:fldChar w:fldCharType="begin"/>
        </w:r>
        <w:r w:rsidR="00F13D19">
          <w:rPr>
            <w:webHidden/>
          </w:rPr>
          <w:instrText xml:space="preserve"> PAGEREF _Toc148375062 \h </w:instrText>
        </w:r>
        <w:r w:rsidR="00F13D19">
          <w:rPr>
            <w:webHidden/>
          </w:rPr>
        </w:r>
        <w:r w:rsidR="00F13D19">
          <w:rPr>
            <w:webHidden/>
          </w:rPr>
          <w:fldChar w:fldCharType="separate"/>
        </w:r>
        <w:r w:rsidR="00F13D19">
          <w:rPr>
            <w:webHidden/>
          </w:rPr>
          <w:t>16</w:t>
        </w:r>
        <w:r w:rsidR="00F13D19">
          <w:rPr>
            <w:webHidden/>
          </w:rPr>
          <w:fldChar w:fldCharType="end"/>
        </w:r>
      </w:hyperlink>
    </w:p>
    <w:p w14:paraId="29410152" w14:textId="78F56DFC"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63" w:history="1">
        <w:r w:rsidR="00F13D19" w:rsidRPr="00E80E23">
          <w:rPr>
            <w:rStyle w:val="Hipersaitas"/>
          </w:rPr>
          <w:t>DUOMENŲ APSAUGA</w:t>
        </w:r>
        <w:r w:rsidR="00F13D19">
          <w:rPr>
            <w:webHidden/>
          </w:rPr>
          <w:tab/>
        </w:r>
        <w:r w:rsidR="00F13D19">
          <w:rPr>
            <w:webHidden/>
          </w:rPr>
          <w:fldChar w:fldCharType="begin"/>
        </w:r>
        <w:r w:rsidR="00F13D19">
          <w:rPr>
            <w:webHidden/>
          </w:rPr>
          <w:instrText xml:space="preserve"> PAGEREF _Toc148375063 \h </w:instrText>
        </w:r>
        <w:r w:rsidR="00F13D19">
          <w:rPr>
            <w:webHidden/>
          </w:rPr>
        </w:r>
        <w:r w:rsidR="00F13D19">
          <w:rPr>
            <w:webHidden/>
          </w:rPr>
          <w:fldChar w:fldCharType="separate"/>
        </w:r>
        <w:r w:rsidR="00F13D19">
          <w:rPr>
            <w:webHidden/>
          </w:rPr>
          <w:t>17</w:t>
        </w:r>
        <w:r w:rsidR="00F13D19">
          <w:rPr>
            <w:webHidden/>
          </w:rPr>
          <w:fldChar w:fldCharType="end"/>
        </w:r>
      </w:hyperlink>
    </w:p>
    <w:p w14:paraId="3DDC62A8" w14:textId="082CA0E6" w:rsidR="00F13D19" w:rsidRDefault="00000000">
      <w:pPr>
        <w:pStyle w:val="Turinys2"/>
        <w:rPr>
          <w:rFonts w:eastAsiaTheme="minorEastAsia" w:cstheme="minorBidi"/>
          <w:b w:val="0"/>
          <w:bCs w:val="0"/>
          <w:color w:val="auto"/>
          <w:kern w:val="2"/>
          <w:lang w:val="en-GB" w:eastAsia="en-GB"/>
          <w14:ligatures w14:val="standardContextual"/>
        </w:rPr>
      </w:pPr>
      <w:hyperlink w:anchor="_Toc148375064" w:history="1">
        <w:r w:rsidR="00F13D19" w:rsidRPr="00E80E23">
          <w:rPr>
            <w:rStyle w:val="Hipersaitas"/>
          </w:rPr>
          <w:t xml:space="preserve">2023 m. gegužės 4 d. sprendimas byloje </w:t>
        </w:r>
        <w:r w:rsidR="00F13D19" w:rsidRPr="00E80E23">
          <w:rPr>
            <w:rStyle w:val="Hipersaitas"/>
            <w:i/>
          </w:rPr>
          <w:t>Österreichische Datenschutzbehörde</w:t>
        </w:r>
        <w:r w:rsidR="00F13D19" w:rsidRPr="00E80E23">
          <w:rPr>
            <w:rStyle w:val="Hipersaitas"/>
          </w:rPr>
          <w:t>, C-487/21</w:t>
        </w:r>
        <w:r w:rsidR="00F13D19">
          <w:rPr>
            <w:webHidden/>
          </w:rPr>
          <w:tab/>
        </w:r>
        <w:r w:rsidR="00F13D19">
          <w:rPr>
            <w:webHidden/>
          </w:rPr>
          <w:fldChar w:fldCharType="begin"/>
        </w:r>
        <w:r w:rsidR="00F13D19">
          <w:rPr>
            <w:webHidden/>
          </w:rPr>
          <w:instrText xml:space="preserve"> PAGEREF _Toc148375064 \h </w:instrText>
        </w:r>
        <w:r w:rsidR="00F13D19">
          <w:rPr>
            <w:webHidden/>
          </w:rPr>
        </w:r>
        <w:r w:rsidR="00F13D19">
          <w:rPr>
            <w:webHidden/>
          </w:rPr>
          <w:fldChar w:fldCharType="separate"/>
        </w:r>
        <w:r w:rsidR="00F13D19">
          <w:rPr>
            <w:webHidden/>
          </w:rPr>
          <w:t>17</w:t>
        </w:r>
        <w:r w:rsidR="00F13D19">
          <w:rPr>
            <w:webHidden/>
          </w:rPr>
          <w:fldChar w:fldCharType="end"/>
        </w:r>
      </w:hyperlink>
    </w:p>
    <w:p w14:paraId="4AC1A5E4" w14:textId="2EA30B1D"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65" w:history="1">
        <w:r w:rsidR="00F13D19" w:rsidRPr="00E80E23">
          <w:rPr>
            <w:rStyle w:val="Hipersaitas"/>
          </w:rPr>
          <w:t xml:space="preserve">Dėl tvarkomų </w:t>
        </w:r>
        <w:r w:rsidR="00F13D19" w:rsidRPr="00E80E23">
          <w:rPr>
            <w:rStyle w:val="Hipersaitas"/>
            <w:rFonts w:eastAsia="Times New Roman"/>
            <w:lang w:eastAsia="lt-LT"/>
          </w:rPr>
          <w:t>asmens</w:t>
        </w:r>
        <w:r w:rsidR="00F13D19" w:rsidRPr="00E80E23">
          <w:rPr>
            <w:rStyle w:val="Hipersaitas"/>
          </w:rPr>
          <w:t xml:space="preserve"> duomenų kopijos pagal BDAR 15 straipsnio 3 dalies 1 sakinį</w:t>
        </w:r>
        <w:r w:rsidR="00F13D19">
          <w:rPr>
            <w:webHidden/>
          </w:rPr>
          <w:tab/>
        </w:r>
        <w:r w:rsidR="00F13D19">
          <w:rPr>
            <w:webHidden/>
          </w:rPr>
          <w:fldChar w:fldCharType="begin"/>
        </w:r>
        <w:r w:rsidR="00F13D19">
          <w:rPr>
            <w:webHidden/>
          </w:rPr>
          <w:instrText xml:space="preserve"> PAGEREF _Toc148375065 \h </w:instrText>
        </w:r>
        <w:r w:rsidR="00F13D19">
          <w:rPr>
            <w:webHidden/>
          </w:rPr>
        </w:r>
        <w:r w:rsidR="00F13D19">
          <w:rPr>
            <w:webHidden/>
          </w:rPr>
          <w:fldChar w:fldCharType="separate"/>
        </w:r>
        <w:r w:rsidR="00F13D19">
          <w:rPr>
            <w:webHidden/>
          </w:rPr>
          <w:t>18</w:t>
        </w:r>
        <w:r w:rsidR="00F13D19">
          <w:rPr>
            <w:webHidden/>
          </w:rPr>
          <w:fldChar w:fldCharType="end"/>
        </w:r>
      </w:hyperlink>
    </w:p>
    <w:p w14:paraId="0205F406" w14:textId="666201A0"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66" w:history="1">
        <w:r w:rsidR="00F13D19" w:rsidRPr="00E80E23">
          <w:rPr>
            <w:rStyle w:val="Hipersaitas"/>
          </w:rPr>
          <w:t>VARTOTOJAI</w:t>
        </w:r>
        <w:r w:rsidR="00F13D19">
          <w:rPr>
            <w:webHidden/>
          </w:rPr>
          <w:tab/>
        </w:r>
        <w:r w:rsidR="00F13D19">
          <w:rPr>
            <w:webHidden/>
          </w:rPr>
          <w:fldChar w:fldCharType="begin"/>
        </w:r>
        <w:r w:rsidR="00F13D19">
          <w:rPr>
            <w:webHidden/>
          </w:rPr>
          <w:instrText xml:space="preserve"> PAGEREF _Toc148375066 \h </w:instrText>
        </w:r>
        <w:r w:rsidR="00F13D19">
          <w:rPr>
            <w:webHidden/>
          </w:rPr>
        </w:r>
        <w:r w:rsidR="00F13D19">
          <w:rPr>
            <w:webHidden/>
          </w:rPr>
          <w:fldChar w:fldCharType="separate"/>
        </w:r>
        <w:r w:rsidR="00F13D19">
          <w:rPr>
            <w:webHidden/>
          </w:rPr>
          <w:t>19</w:t>
        </w:r>
        <w:r w:rsidR="00F13D19">
          <w:rPr>
            <w:webHidden/>
          </w:rPr>
          <w:fldChar w:fldCharType="end"/>
        </w:r>
      </w:hyperlink>
    </w:p>
    <w:p w14:paraId="396F35A4" w14:textId="242C6EB9" w:rsidR="00F13D19" w:rsidRDefault="00000000">
      <w:pPr>
        <w:pStyle w:val="Turinys2"/>
        <w:rPr>
          <w:rFonts w:eastAsiaTheme="minorEastAsia" w:cstheme="minorBidi"/>
          <w:b w:val="0"/>
          <w:bCs w:val="0"/>
          <w:color w:val="auto"/>
          <w:kern w:val="2"/>
          <w:lang w:val="en-GB" w:eastAsia="en-GB"/>
          <w14:ligatures w14:val="standardContextual"/>
        </w:rPr>
      </w:pPr>
      <w:hyperlink w:anchor="_Toc148375067" w:history="1">
        <w:r w:rsidR="00F13D19" w:rsidRPr="00E80E23">
          <w:rPr>
            <w:rStyle w:val="Hipersaitas"/>
          </w:rPr>
          <w:t xml:space="preserve">2023 m. birželio 29 d. sprendimas byloje </w:t>
        </w:r>
        <w:r w:rsidR="00F13D19" w:rsidRPr="00E80E23">
          <w:rPr>
            <w:rStyle w:val="Hipersaitas"/>
            <w:i/>
          </w:rPr>
          <w:t>Verband Sozialer Wettbewerb (Contenants consignés)</w:t>
        </w:r>
        <w:r w:rsidR="00F13D19" w:rsidRPr="00E80E23">
          <w:rPr>
            <w:rStyle w:val="Hipersaitas"/>
          </w:rPr>
          <w:t>, C-543/21</w:t>
        </w:r>
        <w:r w:rsidR="00F13D19">
          <w:rPr>
            <w:webHidden/>
          </w:rPr>
          <w:tab/>
        </w:r>
        <w:r w:rsidR="00F13D19">
          <w:rPr>
            <w:webHidden/>
          </w:rPr>
          <w:fldChar w:fldCharType="begin"/>
        </w:r>
        <w:r w:rsidR="00F13D19">
          <w:rPr>
            <w:webHidden/>
          </w:rPr>
          <w:instrText xml:space="preserve"> PAGEREF _Toc148375067 \h </w:instrText>
        </w:r>
        <w:r w:rsidR="00F13D19">
          <w:rPr>
            <w:webHidden/>
          </w:rPr>
        </w:r>
        <w:r w:rsidR="00F13D19">
          <w:rPr>
            <w:webHidden/>
          </w:rPr>
          <w:fldChar w:fldCharType="separate"/>
        </w:r>
        <w:r w:rsidR="00F13D19">
          <w:rPr>
            <w:webHidden/>
          </w:rPr>
          <w:t>19</w:t>
        </w:r>
        <w:r w:rsidR="00F13D19">
          <w:rPr>
            <w:webHidden/>
          </w:rPr>
          <w:fldChar w:fldCharType="end"/>
        </w:r>
      </w:hyperlink>
    </w:p>
    <w:p w14:paraId="7A69958A" w14:textId="6DC828A6"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68" w:history="1">
        <w:r w:rsidR="00F13D19" w:rsidRPr="00E80E23">
          <w:rPr>
            <w:rStyle w:val="Hipersaitas"/>
          </w:rPr>
          <w:t>Dėl užstato, kurį vartotojas turi sumokėti pirkdamas prekes, sumos įtraukimo į „pardavimo kainą“</w:t>
        </w:r>
        <w:r w:rsidR="00F13D19">
          <w:rPr>
            <w:webHidden/>
          </w:rPr>
          <w:tab/>
        </w:r>
        <w:r w:rsidR="00F13D19">
          <w:rPr>
            <w:webHidden/>
          </w:rPr>
          <w:fldChar w:fldCharType="begin"/>
        </w:r>
        <w:r w:rsidR="00F13D19">
          <w:rPr>
            <w:webHidden/>
          </w:rPr>
          <w:instrText xml:space="preserve"> PAGEREF _Toc148375068 \h </w:instrText>
        </w:r>
        <w:r w:rsidR="00F13D19">
          <w:rPr>
            <w:webHidden/>
          </w:rPr>
        </w:r>
        <w:r w:rsidR="00F13D19">
          <w:rPr>
            <w:webHidden/>
          </w:rPr>
          <w:fldChar w:fldCharType="separate"/>
        </w:r>
        <w:r w:rsidR="00F13D19">
          <w:rPr>
            <w:webHidden/>
          </w:rPr>
          <w:t>19</w:t>
        </w:r>
        <w:r w:rsidR="00F13D19">
          <w:rPr>
            <w:webHidden/>
          </w:rPr>
          <w:fldChar w:fldCharType="end"/>
        </w:r>
      </w:hyperlink>
    </w:p>
    <w:p w14:paraId="3F9AD27C" w14:textId="10D81AC6" w:rsidR="00F13D19" w:rsidRDefault="00000000">
      <w:pPr>
        <w:pStyle w:val="Turinys2"/>
        <w:rPr>
          <w:rFonts w:eastAsiaTheme="minorEastAsia" w:cstheme="minorBidi"/>
          <w:b w:val="0"/>
          <w:bCs w:val="0"/>
          <w:color w:val="auto"/>
          <w:kern w:val="2"/>
          <w:lang w:val="en-GB" w:eastAsia="en-GB"/>
          <w14:ligatures w14:val="standardContextual"/>
        </w:rPr>
      </w:pPr>
      <w:hyperlink w:anchor="_Toc148375069" w:history="1">
        <w:r w:rsidR="00F13D19" w:rsidRPr="00E80E23">
          <w:rPr>
            <w:rStyle w:val="Hipersaitas"/>
          </w:rPr>
          <w:t xml:space="preserve">2023 m. sausio 12 d. sprendimas byloje </w:t>
        </w:r>
        <w:r w:rsidR="00F13D19" w:rsidRPr="00E80E23">
          <w:rPr>
            <w:rStyle w:val="Hipersaitas"/>
            <w:i/>
          </w:rPr>
          <w:t>D.V. (Honoraires d’avocat - Principe du tarif horaire)</w:t>
        </w:r>
        <w:r w:rsidR="00F13D19" w:rsidRPr="00E80E23">
          <w:rPr>
            <w:rStyle w:val="Hipersaitas"/>
          </w:rPr>
          <w:t>, C-395/21</w:t>
        </w:r>
        <w:r w:rsidR="00F13D19">
          <w:rPr>
            <w:webHidden/>
          </w:rPr>
          <w:tab/>
        </w:r>
        <w:r w:rsidR="00F13D19">
          <w:rPr>
            <w:webHidden/>
          </w:rPr>
          <w:fldChar w:fldCharType="begin"/>
        </w:r>
        <w:r w:rsidR="00F13D19">
          <w:rPr>
            <w:webHidden/>
          </w:rPr>
          <w:instrText xml:space="preserve"> PAGEREF _Toc148375069 \h </w:instrText>
        </w:r>
        <w:r w:rsidR="00F13D19">
          <w:rPr>
            <w:webHidden/>
          </w:rPr>
        </w:r>
        <w:r w:rsidR="00F13D19">
          <w:rPr>
            <w:webHidden/>
          </w:rPr>
          <w:fldChar w:fldCharType="separate"/>
        </w:r>
        <w:r w:rsidR="00F13D19">
          <w:rPr>
            <w:webHidden/>
          </w:rPr>
          <w:t>20</w:t>
        </w:r>
        <w:r w:rsidR="00F13D19">
          <w:rPr>
            <w:webHidden/>
          </w:rPr>
          <w:fldChar w:fldCharType="end"/>
        </w:r>
      </w:hyperlink>
    </w:p>
    <w:p w14:paraId="3189A28F" w14:textId="25B907A2"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70" w:history="1">
        <w:r w:rsidR="00F13D19" w:rsidRPr="00E80E23">
          <w:rPr>
            <w:rStyle w:val="Hipersaitas"/>
          </w:rPr>
          <w:t>Dėl advokato ir vartotojo sudarytos teisinių paslaugų teikimo sutarties atskirai neaptartos sąlygos, kurioje teikiamų paslaugų kaina nustatyta remiantis valandinio įkainio principu, patekimo į Direktyvos taikymo sritį</w:t>
        </w:r>
        <w:r w:rsidR="00F13D19">
          <w:rPr>
            <w:webHidden/>
          </w:rPr>
          <w:tab/>
        </w:r>
        <w:r w:rsidR="00F13D19">
          <w:rPr>
            <w:webHidden/>
          </w:rPr>
          <w:fldChar w:fldCharType="begin"/>
        </w:r>
        <w:r w:rsidR="00F13D19">
          <w:rPr>
            <w:webHidden/>
          </w:rPr>
          <w:instrText xml:space="preserve"> PAGEREF _Toc148375070 \h </w:instrText>
        </w:r>
        <w:r w:rsidR="00F13D19">
          <w:rPr>
            <w:webHidden/>
          </w:rPr>
        </w:r>
        <w:r w:rsidR="00F13D19">
          <w:rPr>
            <w:webHidden/>
          </w:rPr>
          <w:fldChar w:fldCharType="separate"/>
        </w:r>
        <w:r w:rsidR="00F13D19">
          <w:rPr>
            <w:webHidden/>
          </w:rPr>
          <w:t>20</w:t>
        </w:r>
        <w:r w:rsidR="00F13D19">
          <w:rPr>
            <w:webHidden/>
          </w:rPr>
          <w:fldChar w:fldCharType="end"/>
        </w:r>
      </w:hyperlink>
    </w:p>
    <w:p w14:paraId="082E14AE" w14:textId="058B2D27"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71" w:history="1">
        <w:r w:rsidR="00F13D19" w:rsidRPr="00E80E23">
          <w:rPr>
            <w:rStyle w:val="Hipersaitas"/>
          </w:rPr>
          <w:t>Dėl sąlygos aiškumo ir suprantamumo reikalavimo tenkinimo, kai paslaugų kaina apibrėžiama vien taikomu valandiniu įkainiu</w:t>
        </w:r>
        <w:r w:rsidR="00F13D19">
          <w:rPr>
            <w:webHidden/>
          </w:rPr>
          <w:tab/>
        </w:r>
        <w:r w:rsidR="00F13D19">
          <w:rPr>
            <w:webHidden/>
          </w:rPr>
          <w:fldChar w:fldCharType="begin"/>
        </w:r>
        <w:r w:rsidR="00F13D19">
          <w:rPr>
            <w:webHidden/>
          </w:rPr>
          <w:instrText xml:space="preserve"> PAGEREF _Toc148375071 \h </w:instrText>
        </w:r>
        <w:r w:rsidR="00F13D19">
          <w:rPr>
            <w:webHidden/>
          </w:rPr>
        </w:r>
        <w:r w:rsidR="00F13D19">
          <w:rPr>
            <w:webHidden/>
          </w:rPr>
          <w:fldChar w:fldCharType="separate"/>
        </w:r>
        <w:r w:rsidR="00F13D19">
          <w:rPr>
            <w:webHidden/>
          </w:rPr>
          <w:t>20</w:t>
        </w:r>
        <w:r w:rsidR="00F13D19">
          <w:rPr>
            <w:webHidden/>
          </w:rPr>
          <w:fldChar w:fldCharType="end"/>
        </w:r>
      </w:hyperlink>
    </w:p>
    <w:p w14:paraId="6ADC0AAF" w14:textId="48BED8F1"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72" w:history="1">
        <w:r w:rsidR="00F13D19" w:rsidRPr="00E80E23">
          <w:rPr>
            <w:rStyle w:val="Hipersaitas"/>
          </w:rPr>
          <w:t>Dėl sutarties sąlygos pripažinimo nesąžininga vien dėl skaidrumo reikalavimo nesilaikymo</w:t>
        </w:r>
        <w:r w:rsidR="00F13D19">
          <w:rPr>
            <w:webHidden/>
          </w:rPr>
          <w:tab/>
        </w:r>
        <w:r w:rsidR="00F13D19">
          <w:rPr>
            <w:webHidden/>
          </w:rPr>
          <w:fldChar w:fldCharType="begin"/>
        </w:r>
        <w:r w:rsidR="00F13D19">
          <w:rPr>
            <w:webHidden/>
          </w:rPr>
          <w:instrText xml:space="preserve"> PAGEREF _Toc148375072 \h </w:instrText>
        </w:r>
        <w:r w:rsidR="00F13D19">
          <w:rPr>
            <w:webHidden/>
          </w:rPr>
        </w:r>
        <w:r w:rsidR="00F13D19">
          <w:rPr>
            <w:webHidden/>
          </w:rPr>
          <w:fldChar w:fldCharType="separate"/>
        </w:r>
        <w:r w:rsidR="00F13D19">
          <w:rPr>
            <w:webHidden/>
          </w:rPr>
          <w:t>21</w:t>
        </w:r>
        <w:r w:rsidR="00F13D19">
          <w:rPr>
            <w:webHidden/>
          </w:rPr>
          <w:fldChar w:fldCharType="end"/>
        </w:r>
      </w:hyperlink>
    </w:p>
    <w:p w14:paraId="1692D39D" w14:textId="73C284EB"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73" w:history="1">
        <w:r w:rsidR="00F13D19" w:rsidRPr="00E80E23">
          <w:rPr>
            <w:rStyle w:val="Hipersaitas"/>
          </w:rPr>
          <w:t>Dėl pasekmių panaikinus nesąžininga pripažintą sąlygą</w:t>
        </w:r>
        <w:r w:rsidR="00F13D19">
          <w:rPr>
            <w:webHidden/>
          </w:rPr>
          <w:tab/>
        </w:r>
        <w:r w:rsidR="00F13D19">
          <w:rPr>
            <w:webHidden/>
          </w:rPr>
          <w:fldChar w:fldCharType="begin"/>
        </w:r>
        <w:r w:rsidR="00F13D19">
          <w:rPr>
            <w:webHidden/>
          </w:rPr>
          <w:instrText xml:space="preserve"> PAGEREF _Toc148375073 \h </w:instrText>
        </w:r>
        <w:r w:rsidR="00F13D19">
          <w:rPr>
            <w:webHidden/>
          </w:rPr>
        </w:r>
        <w:r w:rsidR="00F13D19">
          <w:rPr>
            <w:webHidden/>
          </w:rPr>
          <w:fldChar w:fldCharType="separate"/>
        </w:r>
        <w:r w:rsidR="00F13D19">
          <w:rPr>
            <w:webHidden/>
          </w:rPr>
          <w:t>21</w:t>
        </w:r>
        <w:r w:rsidR="00F13D19">
          <w:rPr>
            <w:webHidden/>
          </w:rPr>
          <w:fldChar w:fldCharType="end"/>
        </w:r>
      </w:hyperlink>
    </w:p>
    <w:p w14:paraId="19CCE137" w14:textId="7DBBDFAA"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74" w:history="1">
        <w:r w:rsidR="00F13D19" w:rsidRPr="00E80E23">
          <w:rPr>
            <w:rStyle w:val="Hipersaitas"/>
          </w:rPr>
          <w:t>EUROPOS SĄJUNGOS STRUKTŪRINIAI FONDAI</w:t>
        </w:r>
        <w:r w:rsidR="00F13D19">
          <w:rPr>
            <w:webHidden/>
          </w:rPr>
          <w:tab/>
        </w:r>
        <w:r w:rsidR="00F13D19">
          <w:rPr>
            <w:webHidden/>
          </w:rPr>
          <w:fldChar w:fldCharType="begin"/>
        </w:r>
        <w:r w:rsidR="00F13D19">
          <w:rPr>
            <w:webHidden/>
          </w:rPr>
          <w:instrText xml:space="preserve"> PAGEREF _Toc148375074 \h </w:instrText>
        </w:r>
        <w:r w:rsidR="00F13D19">
          <w:rPr>
            <w:webHidden/>
          </w:rPr>
        </w:r>
        <w:r w:rsidR="00F13D19">
          <w:rPr>
            <w:webHidden/>
          </w:rPr>
          <w:fldChar w:fldCharType="separate"/>
        </w:r>
        <w:r w:rsidR="00F13D19">
          <w:rPr>
            <w:webHidden/>
          </w:rPr>
          <w:t>21</w:t>
        </w:r>
        <w:r w:rsidR="00F13D19">
          <w:rPr>
            <w:webHidden/>
          </w:rPr>
          <w:fldChar w:fldCharType="end"/>
        </w:r>
      </w:hyperlink>
    </w:p>
    <w:p w14:paraId="63E8B0C7" w14:textId="24F50E5B" w:rsidR="00F13D19" w:rsidRDefault="00000000">
      <w:pPr>
        <w:pStyle w:val="Turinys2"/>
        <w:rPr>
          <w:rFonts w:eastAsiaTheme="minorEastAsia" w:cstheme="minorBidi"/>
          <w:b w:val="0"/>
          <w:bCs w:val="0"/>
          <w:color w:val="auto"/>
          <w:kern w:val="2"/>
          <w:lang w:val="en-GB" w:eastAsia="en-GB"/>
          <w14:ligatures w14:val="standardContextual"/>
        </w:rPr>
      </w:pPr>
      <w:hyperlink w:anchor="_Toc148375075" w:history="1">
        <w:r w:rsidR="00F13D19" w:rsidRPr="00E80E23">
          <w:rPr>
            <w:rStyle w:val="Hipersaitas"/>
          </w:rPr>
          <w:t xml:space="preserve">2023 m. kovo 2 d. sprendimas byloje </w:t>
        </w:r>
        <w:r w:rsidR="00F13D19" w:rsidRPr="00E80E23">
          <w:rPr>
            <w:rStyle w:val="Hipersaitas"/>
            <w:i/>
          </w:rPr>
          <w:t>Eurocostruzioni</w:t>
        </w:r>
        <w:r w:rsidR="00F13D19" w:rsidRPr="00E80E23">
          <w:rPr>
            <w:rStyle w:val="Hipersaitas"/>
          </w:rPr>
          <w:t>, C-31/21</w:t>
        </w:r>
        <w:r w:rsidR="00F13D19">
          <w:rPr>
            <w:webHidden/>
          </w:rPr>
          <w:tab/>
        </w:r>
        <w:r w:rsidR="00F13D19">
          <w:rPr>
            <w:webHidden/>
          </w:rPr>
          <w:fldChar w:fldCharType="begin"/>
        </w:r>
        <w:r w:rsidR="00F13D19">
          <w:rPr>
            <w:webHidden/>
          </w:rPr>
          <w:instrText xml:space="preserve"> PAGEREF _Toc148375075 \h </w:instrText>
        </w:r>
        <w:r w:rsidR="00F13D19">
          <w:rPr>
            <w:webHidden/>
          </w:rPr>
        </w:r>
        <w:r w:rsidR="00F13D19">
          <w:rPr>
            <w:webHidden/>
          </w:rPr>
          <w:fldChar w:fldCharType="separate"/>
        </w:r>
        <w:r w:rsidR="00F13D19">
          <w:rPr>
            <w:webHidden/>
          </w:rPr>
          <w:t>22</w:t>
        </w:r>
        <w:r w:rsidR="00F13D19">
          <w:rPr>
            <w:webHidden/>
          </w:rPr>
          <w:fldChar w:fldCharType="end"/>
        </w:r>
      </w:hyperlink>
    </w:p>
    <w:p w14:paraId="70D2AC2A" w14:textId="7A3DE4C1"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76" w:history="1">
        <w:r w:rsidR="00F13D19" w:rsidRPr="00E80E23">
          <w:rPr>
            <w:rStyle w:val="Hipersaitas"/>
            <w:rFonts w:cs="Calibri"/>
          </w:rPr>
          <w:t xml:space="preserve">Dėl </w:t>
        </w:r>
        <w:r w:rsidR="00F13D19" w:rsidRPr="00E80E23">
          <w:rPr>
            <w:rStyle w:val="Hipersaitas"/>
            <w:rFonts w:eastAsia="Times New Roman"/>
            <w:lang w:eastAsia="lt-LT"/>
          </w:rPr>
          <w:t>sąvokos</w:t>
        </w:r>
        <w:r w:rsidR="00F13D19" w:rsidRPr="00E80E23">
          <w:rPr>
            <w:rStyle w:val="Hipersaitas"/>
            <w:rFonts w:cs="Calibri"/>
          </w:rPr>
          <w:t xml:space="preserve"> „lygiavertės įrodomosios vertės apskaitos dokumentai“ turinio</w:t>
        </w:r>
        <w:r w:rsidR="00F13D19">
          <w:rPr>
            <w:webHidden/>
          </w:rPr>
          <w:tab/>
        </w:r>
        <w:r w:rsidR="00F13D19">
          <w:rPr>
            <w:webHidden/>
          </w:rPr>
          <w:fldChar w:fldCharType="begin"/>
        </w:r>
        <w:r w:rsidR="00F13D19">
          <w:rPr>
            <w:webHidden/>
          </w:rPr>
          <w:instrText xml:space="preserve"> PAGEREF _Toc148375076 \h </w:instrText>
        </w:r>
        <w:r w:rsidR="00F13D19">
          <w:rPr>
            <w:webHidden/>
          </w:rPr>
        </w:r>
        <w:r w:rsidR="00F13D19">
          <w:rPr>
            <w:webHidden/>
          </w:rPr>
          <w:fldChar w:fldCharType="separate"/>
        </w:r>
        <w:r w:rsidR="00F13D19">
          <w:rPr>
            <w:webHidden/>
          </w:rPr>
          <w:t>22</w:t>
        </w:r>
        <w:r w:rsidR="00F13D19">
          <w:rPr>
            <w:webHidden/>
          </w:rPr>
          <w:fldChar w:fldCharType="end"/>
        </w:r>
      </w:hyperlink>
    </w:p>
    <w:p w14:paraId="5D23BA59" w14:textId="320D5CFC"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77" w:history="1">
        <w:r w:rsidR="00F13D19" w:rsidRPr="00E80E23">
          <w:rPr>
            <w:rStyle w:val="Hipersaitas"/>
          </w:rPr>
          <w:t>VALSTYBĖS PAGALBA</w:t>
        </w:r>
        <w:r w:rsidR="00F13D19">
          <w:rPr>
            <w:webHidden/>
          </w:rPr>
          <w:tab/>
        </w:r>
        <w:r w:rsidR="00F13D19">
          <w:rPr>
            <w:webHidden/>
          </w:rPr>
          <w:fldChar w:fldCharType="begin"/>
        </w:r>
        <w:r w:rsidR="00F13D19">
          <w:rPr>
            <w:webHidden/>
          </w:rPr>
          <w:instrText xml:space="preserve"> PAGEREF _Toc148375077 \h </w:instrText>
        </w:r>
        <w:r w:rsidR="00F13D19">
          <w:rPr>
            <w:webHidden/>
          </w:rPr>
        </w:r>
        <w:r w:rsidR="00F13D19">
          <w:rPr>
            <w:webHidden/>
          </w:rPr>
          <w:fldChar w:fldCharType="separate"/>
        </w:r>
        <w:r w:rsidR="00F13D19">
          <w:rPr>
            <w:webHidden/>
          </w:rPr>
          <w:t>23</w:t>
        </w:r>
        <w:r w:rsidR="00F13D19">
          <w:rPr>
            <w:webHidden/>
          </w:rPr>
          <w:fldChar w:fldCharType="end"/>
        </w:r>
      </w:hyperlink>
    </w:p>
    <w:p w14:paraId="3EB0C22C" w14:textId="6BDC92E9" w:rsidR="00F13D19" w:rsidRDefault="00000000">
      <w:pPr>
        <w:pStyle w:val="Turinys2"/>
        <w:rPr>
          <w:rFonts w:eastAsiaTheme="minorEastAsia" w:cstheme="minorBidi"/>
          <w:b w:val="0"/>
          <w:bCs w:val="0"/>
          <w:color w:val="auto"/>
          <w:kern w:val="2"/>
          <w:lang w:val="en-GB" w:eastAsia="en-GB"/>
          <w14:ligatures w14:val="standardContextual"/>
        </w:rPr>
      </w:pPr>
      <w:hyperlink w:anchor="_Toc148375078" w:history="1">
        <w:r w:rsidR="00F13D19" w:rsidRPr="00E80E23">
          <w:rPr>
            <w:rStyle w:val="Hipersaitas"/>
          </w:rPr>
          <w:t xml:space="preserve">Didžiosios kolegijos 2023 m. sausio 12 d. sprendimas byloje </w:t>
        </w:r>
        <w:r w:rsidR="00F13D19" w:rsidRPr="00E80E23">
          <w:rPr>
            <w:rStyle w:val="Hipersaitas"/>
            <w:i/>
          </w:rPr>
          <w:t>DOBELES HES</w:t>
        </w:r>
        <w:r w:rsidR="00F13D19" w:rsidRPr="00E80E23">
          <w:rPr>
            <w:rStyle w:val="Hipersaitas"/>
          </w:rPr>
          <w:t>, C-702/20 ir C-17/21</w:t>
        </w:r>
        <w:r w:rsidR="00F13D19">
          <w:rPr>
            <w:webHidden/>
          </w:rPr>
          <w:tab/>
        </w:r>
        <w:r w:rsidR="00F13D19">
          <w:rPr>
            <w:webHidden/>
          </w:rPr>
          <w:fldChar w:fldCharType="begin"/>
        </w:r>
        <w:r w:rsidR="00F13D19">
          <w:rPr>
            <w:webHidden/>
          </w:rPr>
          <w:instrText xml:space="preserve"> PAGEREF _Toc148375078 \h </w:instrText>
        </w:r>
        <w:r w:rsidR="00F13D19">
          <w:rPr>
            <w:webHidden/>
          </w:rPr>
        </w:r>
        <w:r w:rsidR="00F13D19">
          <w:rPr>
            <w:webHidden/>
          </w:rPr>
          <w:fldChar w:fldCharType="separate"/>
        </w:r>
        <w:r w:rsidR="00F13D19">
          <w:rPr>
            <w:webHidden/>
          </w:rPr>
          <w:t>23</w:t>
        </w:r>
        <w:r w:rsidR="00F13D19">
          <w:rPr>
            <w:webHidden/>
          </w:rPr>
          <w:fldChar w:fldCharType="end"/>
        </w:r>
      </w:hyperlink>
    </w:p>
    <w:p w14:paraId="1E15E3A9" w14:textId="5EC87CC4"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79" w:history="1">
        <w:r w:rsidR="00F13D19" w:rsidRPr="00E80E23">
          <w:rPr>
            <w:rStyle w:val="Hipersaitas"/>
          </w:rPr>
          <w:t>Dėl analizuojamos nacionalinės priemonės kvalifikavimo kaip ,,valstybės pagalba“ kaip tai suprantama pagal SESV 107 straipsnio 1 dalį</w:t>
        </w:r>
        <w:r w:rsidR="00F13D19">
          <w:rPr>
            <w:webHidden/>
          </w:rPr>
          <w:tab/>
        </w:r>
        <w:r w:rsidR="00F13D19">
          <w:rPr>
            <w:webHidden/>
          </w:rPr>
          <w:fldChar w:fldCharType="begin"/>
        </w:r>
        <w:r w:rsidR="00F13D19">
          <w:rPr>
            <w:webHidden/>
          </w:rPr>
          <w:instrText xml:space="preserve"> PAGEREF _Toc148375079 \h </w:instrText>
        </w:r>
        <w:r w:rsidR="00F13D19">
          <w:rPr>
            <w:webHidden/>
          </w:rPr>
        </w:r>
        <w:r w:rsidR="00F13D19">
          <w:rPr>
            <w:webHidden/>
          </w:rPr>
          <w:fldChar w:fldCharType="separate"/>
        </w:r>
        <w:r w:rsidR="00F13D19">
          <w:rPr>
            <w:webHidden/>
          </w:rPr>
          <w:t>24</w:t>
        </w:r>
        <w:r w:rsidR="00F13D19">
          <w:rPr>
            <w:webHidden/>
          </w:rPr>
          <w:fldChar w:fldCharType="end"/>
        </w:r>
      </w:hyperlink>
    </w:p>
    <w:p w14:paraId="48CB7D6C" w14:textId="09A7FB0E"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80" w:history="1">
        <w:r w:rsidR="00F13D19" w:rsidRPr="00E80E23">
          <w:rPr>
            <w:rStyle w:val="Hipersaitas"/>
          </w:rPr>
          <w:t>Dėl priemokos kvalifikavimo kaip „valstybės pagalba“ ir atitinkamos rinkos visiško liberalizavimo</w:t>
        </w:r>
        <w:r w:rsidR="00F13D19">
          <w:rPr>
            <w:webHidden/>
          </w:rPr>
          <w:tab/>
        </w:r>
        <w:r w:rsidR="00F13D19">
          <w:rPr>
            <w:webHidden/>
          </w:rPr>
          <w:fldChar w:fldCharType="begin"/>
        </w:r>
        <w:r w:rsidR="00F13D19">
          <w:rPr>
            <w:webHidden/>
          </w:rPr>
          <w:instrText xml:space="preserve"> PAGEREF _Toc148375080 \h </w:instrText>
        </w:r>
        <w:r w:rsidR="00F13D19">
          <w:rPr>
            <w:webHidden/>
          </w:rPr>
        </w:r>
        <w:r w:rsidR="00F13D19">
          <w:rPr>
            <w:webHidden/>
          </w:rPr>
          <w:fldChar w:fldCharType="separate"/>
        </w:r>
        <w:r w:rsidR="00F13D19">
          <w:rPr>
            <w:webHidden/>
          </w:rPr>
          <w:t>24</w:t>
        </w:r>
        <w:r w:rsidR="00F13D19">
          <w:rPr>
            <w:webHidden/>
          </w:rPr>
          <w:fldChar w:fldCharType="end"/>
        </w:r>
      </w:hyperlink>
    </w:p>
    <w:p w14:paraId="41976676" w14:textId="18D0338D"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81" w:history="1">
        <w:r w:rsidR="00F13D19" w:rsidRPr="00E80E23">
          <w:rPr>
            <w:rStyle w:val="Hipersaitas"/>
          </w:rPr>
          <w:t>Dėl pareiškėjų pagrindinėje byloje reikalaujamų sumų sumokėjimo vertinimo kaip „pagalbos“ išmokėjimo</w:t>
        </w:r>
        <w:r w:rsidR="00F13D19">
          <w:rPr>
            <w:webHidden/>
          </w:rPr>
          <w:tab/>
        </w:r>
        <w:r w:rsidR="00F13D19">
          <w:rPr>
            <w:webHidden/>
          </w:rPr>
          <w:fldChar w:fldCharType="begin"/>
        </w:r>
        <w:r w:rsidR="00F13D19">
          <w:rPr>
            <w:webHidden/>
          </w:rPr>
          <w:instrText xml:space="preserve"> PAGEREF _Toc148375081 \h </w:instrText>
        </w:r>
        <w:r w:rsidR="00F13D19">
          <w:rPr>
            <w:webHidden/>
          </w:rPr>
        </w:r>
        <w:r w:rsidR="00F13D19">
          <w:rPr>
            <w:webHidden/>
          </w:rPr>
          <w:fldChar w:fldCharType="separate"/>
        </w:r>
        <w:r w:rsidR="00F13D19">
          <w:rPr>
            <w:webHidden/>
          </w:rPr>
          <w:t>24</w:t>
        </w:r>
        <w:r w:rsidR="00F13D19">
          <w:rPr>
            <w:webHidden/>
          </w:rPr>
          <w:fldChar w:fldCharType="end"/>
        </w:r>
      </w:hyperlink>
    </w:p>
    <w:p w14:paraId="6842889E" w14:textId="7D09E29D"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82" w:history="1">
        <w:r w:rsidR="00F13D19" w:rsidRPr="00E80E23">
          <w:rPr>
            <w:rStyle w:val="Hipersaitas"/>
          </w:rPr>
          <w:t>Dėl de minimis pagalbos kriterijų nagrinėtu atveju</w:t>
        </w:r>
        <w:r w:rsidR="00F13D19">
          <w:rPr>
            <w:webHidden/>
          </w:rPr>
          <w:tab/>
        </w:r>
        <w:r w:rsidR="00F13D19">
          <w:rPr>
            <w:webHidden/>
          </w:rPr>
          <w:fldChar w:fldCharType="begin"/>
        </w:r>
        <w:r w:rsidR="00F13D19">
          <w:rPr>
            <w:webHidden/>
          </w:rPr>
          <w:instrText xml:space="preserve"> PAGEREF _Toc148375082 \h </w:instrText>
        </w:r>
        <w:r w:rsidR="00F13D19">
          <w:rPr>
            <w:webHidden/>
          </w:rPr>
        </w:r>
        <w:r w:rsidR="00F13D19">
          <w:rPr>
            <w:webHidden/>
          </w:rPr>
          <w:fldChar w:fldCharType="separate"/>
        </w:r>
        <w:r w:rsidR="00F13D19">
          <w:rPr>
            <w:webHidden/>
          </w:rPr>
          <w:t>25</w:t>
        </w:r>
        <w:r w:rsidR="00F13D19">
          <w:rPr>
            <w:webHidden/>
          </w:rPr>
          <w:fldChar w:fldCharType="end"/>
        </w:r>
      </w:hyperlink>
    </w:p>
    <w:p w14:paraId="5B8007BD" w14:textId="3FE0F904"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83" w:history="1">
        <w:r w:rsidR="00F13D19" w:rsidRPr="00E80E23">
          <w:rPr>
            <w:rStyle w:val="Hipersaitas"/>
            <w:rFonts w:eastAsia="Times New Roman"/>
            <w:lang w:eastAsia="lt-LT"/>
          </w:rPr>
          <w:t>D</w:t>
        </w:r>
        <w:r w:rsidR="00F13D19" w:rsidRPr="00E80E23">
          <w:rPr>
            <w:rStyle w:val="Hipersaitas"/>
          </w:rPr>
          <w:t>ėl atitinkamų nacionalinio teismo ir Komisijos prerogatyvų santykio tuo atveju, jei su pagrindinėmis bylomis susijusių gamintojų prašomos sumos yra valstybės pagalba</w:t>
        </w:r>
        <w:r w:rsidR="00F13D19">
          <w:rPr>
            <w:webHidden/>
          </w:rPr>
          <w:tab/>
        </w:r>
        <w:r w:rsidR="00F13D19">
          <w:rPr>
            <w:webHidden/>
          </w:rPr>
          <w:fldChar w:fldCharType="begin"/>
        </w:r>
        <w:r w:rsidR="00F13D19">
          <w:rPr>
            <w:webHidden/>
          </w:rPr>
          <w:instrText xml:space="preserve"> PAGEREF _Toc148375083 \h </w:instrText>
        </w:r>
        <w:r w:rsidR="00F13D19">
          <w:rPr>
            <w:webHidden/>
          </w:rPr>
        </w:r>
        <w:r w:rsidR="00F13D19">
          <w:rPr>
            <w:webHidden/>
          </w:rPr>
          <w:fldChar w:fldCharType="separate"/>
        </w:r>
        <w:r w:rsidR="00F13D19">
          <w:rPr>
            <w:webHidden/>
          </w:rPr>
          <w:t>25</w:t>
        </w:r>
        <w:r w:rsidR="00F13D19">
          <w:rPr>
            <w:webHidden/>
          </w:rPr>
          <w:fldChar w:fldCharType="end"/>
        </w:r>
      </w:hyperlink>
    </w:p>
    <w:p w14:paraId="59B5BE8B" w14:textId="7FE0378F"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84" w:history="1">
        <w:r w:rsidR="00F13D19" w:rsidRPr="00E80E23">
          <w:rPr>
            <w:rStyle w:val="Hipersaitas"/>
          </w:rPr>
          <w:t>TELEKOMUNIKACIJOS</w:t>
        </w:r>
        <w:r w:rsidR="00F13D19">
          <w:rPr>
            <w:webHidden/>
          </w:rPr>
          <w:tab/>
        </w:r>
        <w:r w:rsidR="00F13D19">
          <w:rPr>
            <w:webHidden/>
          </w:rPr>
          <w:fldChar w:fldCharType="begin"/>
        </w:r>
        <w:r w:rsidR="00F13D19">
          <w:rPr>
            <w:webHidden/>
          </w:rPr>
          <w:instrText xml:space="preserve"> PAGEREF _Toc148375084 \h </w:instrText>
        </w:r>
        <w:r w:rsidR="00F13D19">
          <w:rPr>
            <w:webHidden/>
          </w:rPr>
        </w:r>
        <w:r w:rsidR="00F13D19">
          <w:rPr>
            <w:webHidden/>
          </w:rPr>
          <w:fldChar w:fldCharType="separate"/>
        </w:r>
        <w:r w:rsidR="00F13D19">
          <w:rPr>
            <w:webHidden/>
          </w:rPr>
          <w:t>25</w:t>
        </w:r>
        <w:r w:rsidR="00F13D19">
          <w:rPr>
            <w:webHidden/>
          </w:rPr>
          <w:fldChar w:fldCharType="end"/>
        </w:r>
      </w:hyperlink>
    </w:p>
    <w:p w14:paraId="2C5BAF04" w14:textId="2C2FF845" w:rsidR="00F13D19" w:rsidRDefault="00000000">
      <w:pPr>
        <w:pStyle w:val="Turinys2"/>
        <w:rPr>
          <w:rFonts w:eastAsiaTheme="minorEastAsia" w:cstheme="minorBidi"/>
          <w:b w:val="0"/>
          <w:bCs w:val="0"/>
          <w:color w:val="auto"/>
          <w:kern w:val="2"/>
          <w:lang w:val="en-GB" w:eastAsia="en-GB"/>
          <w14:ligatures w14:val="standardContextual"/>
        </w:rPr>
      </w:pPr>
      <w:hyperlink w:anchor="_Toc148375085" w:history="1">
        <w:r w:rsidR="00F13D19" w:rsidRPr="00E80E23">
          <w:rPr>
            <w:rStyle w:val="Hipersaitas"/>
          </w:rPr>
          <w:t xml:space="preserve">2023 m. kovo 16 d. sprendimas byloje </w:t>
        </w:r>
        <w:r w:rsidR="00F13D19" w:rsidRPr="00E80E23">
          <w:rPr>
            <w:rStyle w:val="Hipersaitas"/>
            <w:i/>
          </w:rPr>
          <w:t>Colt Technology Services ir kt.</w:t>
        </w:r>
        <w:r w:rsidR="00F13D19" w:rsidRPr="00E80E23">
          <w:rPr>
            <w:rStyle w:val="Hipersaitas"/>
          </w:rPr>
          <w:t>, C</w:t>
        </w:r>
        <w:r w:rsidR="00F13D19" w:rsidRPr="00E80E23">
          <w:rPr>
            <w:rStyle w:val="Hipersaitas"/>
            <w:rFonts w:ascii="Cambria Math" w:hAnsi="Cambria Math" w:cs="Cambria Math"/>
          </w:rPr>
          <w:t>‑</w:t>
        </w:r>
        <w:r w:rsidR="00F13D19" w:rsidRPr="00E80E23">
          <w:rPr>
            <w:rStyle w:val="Hipersaitas"/>
          </w:rPr>
          <w:t>339/21</w:t>
        </w:r>
        <w:r w:rsidR="00F13D19">
          <w:rPr>
            <w:webHidden/>
          </w:rPr>
          <w:tab/>
        </w:r>
        <w:r w:rsidR="00F13D19">
          <w:rPr>
            <w:webHidden/>
          </w:rPr>
          <w:fldChar w:fldCharType="begin"/>
        </w:r>
        <w:r w:rsidR="00F13D19">
          <w:rPr>
            <w:webHidden/>
          </w:rPr>
          <w:instrText xml:space="preserve"> PAGEREF _Toc148375085 \h </w:instrText>
        </w:r>
        <w:r w:rsidR="00F13D19">
          <w:rPr>
            <w:webHidden/>
          </w:rPr>
        </w:r>
        <w:r w:rsidR="00F13D19">
          <w:rPr>
            <w:webHidden/>
          </w:rPr>
          <w:fldChar w:fldCharType="separate"/>
        </w:r>
        <w:r w:rsidR="00F13D19">
          <w:rPr>
            <w:webHidden/>
          </w:rPr>
          <w:t>25</w:t>
        </w:r>
        <w:r w:rsidR="00F13D19">
          <w:rPr>
            <w:webHidden/>
          </w:rPr>
          <w:fldChar w:fldCharType="end"/>
        </w:r>
      </w:hyperlink>
    </w:p>
    <w:p w14:paraId="54560218" w14:textId="6EB5F284"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86" w:history="1">
        <w:r w:rsidR="00F13D19" w:rsidRPr="00E80E23">
          <w:rPr>
            <w:rStyle w:val="Hipersaitas"/>
          </w:rPr>
          <w:t>Dėl telekomunikacijų operatorių kaštų, patiriamų teisminių institucijų reikalavimu teikiant ryšių perėmimo paslaugas, nevisiško kompensavimo</w:t>
        </w:r>
        <w:r w:rsidR="00F13D19">
          <w:rPr>
            <w:webHidden/>
          </w:rPr>
          <w:tab/>
        </w:r>
        <w:r w:rsidR="00F13D19">
          <w:rPr>
            <w:webHidden/>
          </w:rPr>
          <w:fldChar w:fldCharType="begin"/>
        </w:r>
        <w:r w:rsidR="00F13D19">
          <w:rPr>
            <w:webHidden/>
          </w:rPr>
          <w:instrText xml:space="preserve"> PAGEREF _Toc148375086 \h </w:instrText>
        </w:r>
        <w:r w:rsidR="00F13D19">
          <w:rPr>
            <w:webHidden/>
          </w:rPr>
        </w:r>
        <w:r w:rsidR="00F13D19">
          <w:rPr>
            <w:webHidden/>
          </w:rPr>
          <w:fldChar w:fldCharType="separate"/>
        </w:r>
        <w:r w:rsidR="00F13D19">
          <w:rPr>
            <w:webHidden/>
          </w:rPr>
          <w:t>26</w:t>
        </w:r>
        <w:r w:rsidR="00F13D19">
          <w:rPr>
            <w:webHidden/>
          </w:rPr>
          <w:fldChar w:fldCharType="end"/>
        </w:r>
      </w:hyperlink>
    </w:p>
    <w:p w14:paraId="029B442A" w14:textId="4E928EBB"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87" w:history="1">
        <w:r w:rsidR="00F13D19" w:rsidRPr="00E80E23">
          <w:rPr>
            <w:rStyle w:val="Hipersaitas"/>
            <w:rFonts w:eastAsia="Times New Roman"/>
          </w:rPr>
          <w:t>FINANSŲ RINKŲ PRIEŽIŪRA</w:t>
        </w:r>
        <w:r w:rsidR="00F13D19">
          <w:rPr>
            <w:webHidden/>
          </w:rPr>
          <w:tab/>
        </w:r>
        <w:r w:rsidR="00F13D19">
          <w:rPr>
            <w:webHidden/>
          </w:rPr>
          <w:fldChar w:fldCharType="begin"/>
        </w:r>
        <w:r w:rsidR="00F13D19">
          <w:rPr>
            <w:webHidden/>
          </w:rPr>
          <w:instrText xml:space="preserve"> PAGEREF _Toc148375087 \h </w:instrText>
        </w:r>
        <w:r w:rsidR="00F13D19">
          <w:rPr>
            <w:webHidden/>
          </w:rPr>
        </w:r>
        <w:r w:rsidR="00F13D19">
          <w:rPr>
            <w:webHidden/>
          </w:rPr>
          <w:fldChar w:fldCharType="separate"/>
        </w:r>
        <w:r w:rsidR="00F13D19">
          <w:rPr>
            <w:webHidden/>
          </w:rPr>
          <w:t>27</w:t>
        </w:r>
        <w:r w:rsidR="00F13D19">
          <w:rPr>
            <w:webHidden/>
          </w:rPr>
          <w:fldChar w:fldCharType="end"/>
        </w:r>
      </w:hyperlink>
    </w:p>
    <w:p w14:paraId="1992B2E3" w14:textId="6FB5D88E" w:rsidR="00F13D19" w:rsidRDefault="00000000">
      <w:pPr>
        <w:pStyle w:val="Turinys2"/>
        <w:rPr>
          <w:rFonts w:eastAsiaTheme="minorEastAsia" w:cstheme="minorBidi"/>
          <w:b w:val="0"/>
          <w:bCs w:val="0"/>
          <w:color w:val="auto"/>
          <w:kern w:val="2"/>
          <w:lang w:val="en-GB" w:eastAsia="en-GB"/>
          <w14:ligatures w14:val="standardContextual"/>
        </w:rPr>
      </w:pPr>
      <w:hyperlink w:anchor="_Toc148375088" w:history="1">
        <w:r w:rsidR="00F13D19" w:rsidRPr="00E80E23">
          <w:rPr>
            <w:rStyle w:val="Hipersaitas"/>
          </w:rPr>
          <w:t xml:space="preserve">2023 m. kovo 2 d. sprendimas byloje </w:t>
        </w:r>
        <w:r w:rsidR="00F13D19" w:rsidRPr="00E80E23">
          <w:rPr>
            <w:rStyle w:val="Hipersaitas"/>
            <w:i/>
          </w:rPr>
          <w:t>PrivatBank ir kt.</w:t>
        </w:r>
        <w:r w:rsidR="00F13D19" w:rsidRPr="00E80E23">
          <w:rPr>
            <w:rStyle w:val="Hipersaitas"/>
          </w:rPr>
          <w:t>, C</w:t>
        </w:r>
        <w:r w:rsidR="00F13D19" w:rsidRPr="00E80E23">
          <w:rPr>
            <w:rStyle w:val="Hipersaitas"/>
          </w:rPr>
          <w:noBreakHyphen/>
          <w:t>78/21</w:t>
        </w:r>
        <w:r w:rsidR="00F13D19">
          <w:rPr>
            <w:webHidden/>
          </w:rPr>
          <w:tab/>
        </w:r>
        <w:r w:rsidR="00F13D19">
          <w:rPr>
            <w:webHidden/>
          </w:rPr>
          <w:fldChar w:fldCharType="begin"/>
        </w:r>
        <w:r w:rsidR="00F13D19">
          <w:rPr>
            <w:webHidden/>
          </w:rPr>
          <w:instrText xml:space="preserve"> PAGEREF _Toc148375088 \h </w:instrText>
        </w:r>
        <w:r w:rsidR="00F13D19">
          <w:rPr>
            <w:webHidden/>
          </w:rPr>
        </w:r>
        <w:r w:rsidR="00F13D19">
          <w:rPr>
            <w:webHidden/>
          </w:rPr>
          <w:fldChar w:fldCharType="separate"/>
        </w:r>
        <w:r w:rsidR="00F13D19">
          <w:rPr>
            <w:webHidden/>
          </w:rPr>
          <w:t>27</w:t>
        </w:r>
        <w:r w:rsidR="00F13D19">
          <w:rPr>
            <w:webHidden/>
          </w:rPr>
          <w:fldChar w:fldCharType="end"/>
        </w:r>
      </w:hyperlink>
    </w:p>
    <w:p w14:paraId="2BE567B7" w14:textId="7396593F"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89" w:history="1">
        <w:r w:rsidR="00F13D19" w:rsidRPr="00E80E23">
          <w:rPr>
            <w:rStyle w:val="Hipersaitas"/>
            <w:rFonts w:eastAsia="Times New Roman"/>
            <w:bCs/>
          </w:rPr>
          <w:t>Dėl finansinių paskolų ir kreditų, taip pat einamųjų ir depozitų sąskaitų finansinėse įstaigose operacijų laikymo kapitalo judėjimu</w:t>
        </w:r>
        <w:r w:rsidR="00F13D19">
          <w:rPr>
            <w:webHidden/>
          </w:rPr>
          <w:tab/>
        </w:r>
        <w:r w:rsidR="00F13D19">
          <w:rPr>
            <w:webHidden/>
          </w:rPr>
          <w:fldChar w:fldCharType="begin"/>
        </w:r>
        <w:r w:rsidR="00F13D19">
          <w:rPr>
            <w:webHidden/>
          </w:rPr>
          <w:instrText xml:space="preserve"> PAGEREF _Toc148375089 \h </w:instrText>
        </w:r>
        <w:r w:rsidR="00F13D19">
          <w:rPr>
            <w:webHidden/>
          </w:rPr>
        </w:r>
        <w:r w:rsidR="00F13D19">
          <w:rPr>
            <w:webHidden/>
          </w:rPr>
          <w:fldChar w:fldCharType="separate"/>
        </w:r>
        <w:r w:rsidR="00F13D19">
          <w:rPr>
            <w:webHidden/>
          </w:rPr>
          <w:t>28</w:t>
        </w:r>
        <w:r w:rsidR="00F13D19">
          <w:rPr>
            <w:webHidden/>
          </w:rPr>
          <w:fldChar w:fldCharType="end"/>
        </w:r>
      </w:hyperlink>
    </w:p>
    <w:p w14:paraId="1AC89945" w14:textId="35081C06"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90" w:history="1">
        <w:r w:rsidR="00F13D19" w:rsidRPr="00E80E23">
          <w:rPr>
            <w:rStyle w:val="Hipersaitas"/>
            <w:rFonts w:eastAsia="Times New Roman"/>
            <w:bCs/>
          </w:rPr>
          <w:t>Dėl administracinės priemonės, kuria kompetentinga nacionalinė institucija kredito įstaigai, pirma, uždraudžia užmegzti verslo santykius su asmenimis, kurie nėra Latvijos Respublikos piliečiai, ir, antra, įpareigoja ją nutraukti esamus verslo santykius su tokiais asmenimis, vertinimo</w:t>
        </w:r>
        <w:r w:rsidR="00F13D19">
          <w:rPr>
            <w:webHidden/>
          </w:rPr>
          <w:tab/>
        </w:r>
        <w:r w:rsidR="00F13D19">
          <w:rPr>
            <w:webHidden/>
          </w:rPr>
          <w:fldChar w:fldCharType="begin"/>
        </w:r>
        <w:r w:rsidR="00F13D19">
          <w:rPr>
            <w:webHidden/>
          </w:rPr>
          <w:instrText xml:space="preserve"> PAGEREF _Toc148375090 \h </w:instrText>
        </w:r>
        <w:r w:rsidR="00F13D19">
          <w:rPr>
            <w:webHidden/>
          </w:rPr>
        </w:r>
        <w:r w:rsidR="00F13D19">
          <w:rPr>
            <w:webHidden/>
          </w:rPr>
          <w:fldChar w:fldCharType="separate"/>
        </w:r>
        <w:r w:rsidR="00F13D19">
          <w:rPr>
            <w:webHidden/>
          </w:rPr>
          <w:t>28</w:t>
        </w:r>
        <w:r w:rsidR="00F13D19">
          <w:rPr>
            <w:webHidden/>
          </w:rPr>
          <w:fldChar w:fldCharType="end"/>
        </w:r>
      </w:hyperlink>
    </w:p>
    <w:p w14:paraId="1CACB1FA" w14:textId="45A48DDB"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91" w:history="1">
        <w:r w:rsidR="00F13D19" w:rsidRPr="00E80E23">
          <w:rPr>
            <w:rStyle w:val="Hipersaitas"/>
            <w:rFonts w:eastAsia="Times New Roman"/>
            <w:bCs/>
          </w:rPr>
          <w:t>Dėl laisvo kapitalo judėjimo ribojimą pateisinančių sąlygų</w:t>
        </w:r>
        <w:r w:rsidR="00F13D19">
          <w:rPr>
            <w:webHidden/>
          </w:rPr>
          <w:tab/>
        </w:r>
        <w:r w:rsidR="00F13D19">
          <w:rPr>
            <w:webHidden/>
          </w:rPr>
          <w:fldChar w:fldCharType="begin"/>
        </w:r>
        <w:r w:rsidR="00F13D19">
          <w:rPr>
            <w:webHidden/>
          </w:rPr>
          <w:instrText xml:space="preserve"> PAGEREF _Toc148375091 \h </w:instrText>
        </w:r>
        <w:r w:rsidR="00F13D19">
          <w:rPr>
            <w:webHidden/>
          </w:rPr>
        </w:r>
        <w:r w:rsidR="00F13D19">
          <w:rPr>
            <w:webHidden/>
          </w:rPr>
          <w:fldChar w:fldCharType="separate"/>
        </w:r>
        <w:r w:rsidR="00F13D19">
          <w:rPr>
            <w:webHidden/>
          </w:rPr>
          <w:t>29</w:t>
        </w:r>
        <w:r w:rsidR="00F13D19">
          <w:rPr>
            <w:webHidden/>
          </w:rPr>
          <w:fldChar w:fldCharType="end"/>
        </w:r>
      </w:hyperlink>
    </w:p>
    <w:p w14:paraId="2834895B" w14:textId="51700C1B"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92" w:history="1">
        <w:r w:rsidR="00F13D19" w:rsidRPr="00E80E23">
          <w:rPr>
            <w:rStyle w:val="Hipersaitas"/>
          </w:rPr>
          <w:t>EKONOMINĖ IR PINIGŲ SĄJUNGA</w:t>
        </w:r>
        <w:r w:rsidR="00F13D19">
          <w:rPr>
            <w:webHidden/>
          </w:rPr>
          <w:tab/>
        </w:r>
        <w:r w:rsidR="00F13D19">
          <w:rPr>
            <w:webHidden/>
          </w:rPr>
          <w:fldChar w:fldCharType="begin"/>
        </w:r>
        <w:r w:rsidR="00F13D19">
          <w:rPr>
            <w:webHidden/>
          </w:rPr>
          <w:instrText xml:space="preserve"> PAGEREF _Toc148375092 \h </w:instrText>
        </w:r>
        <w:r w:rsidR="00F13D19">
          <w:rPr>
            <w:webHidden/>
          </w:rPr>
        </w:r>
        <w:r w:rsidR="00F13D19">
          <w:rPr>
            <w:webHidden/>
          </w:rPr>
          <w:fldChar w:fldCharType="separate"/>
        </w:r>
        <w:r w:rsidR="00F13D19">
          <w:rPr>
            <w:webHidden/>
          </w:rPr>
          <w:t>30</w:t>
        </w:r>
        <w:r w:rsidR="00F13D19">
          <w:rPr>
            <w:webHidden/>
          </w:rPr>
          <w:fldChar w:fldCharType="end"/>
        </w:r>
      </w:hyperlink>
    </w:p>
    <w:p w14:paraId="0286311E" w14:textId="2A9832F4" w:rsidR="00F13D19" w:rsidRDefault="00000000">
      <w:pPr>
        <w:pStyle w:val="Turinys2"/>
        <w:rPr>
          <w:rFonts w:eastAsiaTheme="minorEastAsia" w:cstheme="minorBidi"/>
          <w:b w:val="0"/>
          <w:bCs w:val="0"/>
          <w:color w:val="auto"/>
          <w:kern w:val="2"/>
          <w:lang w:val="en-GB" w:eastAsia="en-GB"/>
          <w14:ligatures w14:val="standardContextual"/>
        </w:rPr>
      </w:pPr>
      <w:hyperlink w:anchor="_Toc148375093" w:history="1">
        <w:r w:rsidR="00F13D19" w:rsidRPr="00E80E23">
          <w:rPr>
            <w:rStyle w:val="Hipersaitas"/>
          </w:rPr>
          <w:t xml:space="preserve">2023 m. balandžio 20 d. sprendimas byloje </w:t>
        </w:r>
        <w:r w:rsidR="00F13D19" w:rsidRPr="00E80E23">
          <w:rPr>
            <w:rStyle w:val="Hipersaitas"/>
            <w:i/>
          </w:rPr>
          <w:t>Brink’s Lithuania</w:t>
        </w:r>
        <w:r w:rsidR="00F13D19" w:rsidRPr="00E80E23">
          <w:rPr>
            <w:rStyle w:val="Hipersaitas"/>
          </w:rPr>
          <w:t>, C</w:t>
        </w:r>
        <w:r w:rsidR="00F13D19" w:rsidRPr="00E80E23">
          <w:rPr>
            <w:rStyle w:val="Hipersaitas"/>
          </w:rPr>
          <w:noBreakHyphen/>
          <w:t>772/21</w:t>
        </w:r>
        <w:r w:rsidR="00F13D19">
          <w:rPr>
            <w:webHidden/>
          </w:rPr>
          <w:tab/>
        </w:r>
        <w:r w:rsidR="00F13D19">
          <w:rPr>
            <w:webHidden/>
          </w:rPr>
          <w:fldChar w:fldCharType="begin"/>
        </w:r>
        <w:r w:rsidR="00F13D19">
          <w:rPr>
            <w:webHidden/>
          </w:rPr>
          <w:instrText xml:space="preserve"> PAGEREF _Toc148375093 \h </w:instrText>
        </w:r>
        <w:r w:rsidR="00F13D19">
          <w:rPr>
            <w:webHidden/>
          </w:rPr>
        </w:r>
        <w:r w:rsidR="00F13D19">
          <w:rPr>
            <w:webHidden/>
          </w:rPr>
          <w:fldChar w:fldCharType="separate"/>
        </w:r>
        <w:r w:rsidR="00F13D19">
          <w:rPr>
            <w:webHidden/>
          </w:rPr>
          <w:t>30</w:t>
        </w:r>
        <w:r w:rsidR="00F13D19">
          <w:rPr>
            <w:webHidden/>
          </w:rPr>
          <w:fldChar w:fldCharType="end"/>
        </w:r>
      </w:hyperlink>
    </w:p>
    <w:p w14:paraId="71170331" w14:textId="1F720313"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94" w:history="1">
        <w:r w:rsidR="00F13D19" w:rsidRPr="00E80E23">
          <w:rPr>
            <w:rStyle w:val="Hipersaitas"/>
            <w:rFonts w:eastAsia="Times New Roman"/>
            <w:bCs/>
          </w:rPr>
          <w:t>Dėl grynųjų pinigų tvarkytojams (ne)taikomų pareigų, naudojant banknotų tvarkymo aparatus</w:t>
        </w:r>
        <w:r w:rsidR="00F13D19">
          <w:rPr>
            <w:webHidden/>
          </w:rPr>
          <w:tab/>
        </w:r>
        <w:r w:rsidR="00F13D19">
          <w:rPr>
            <w:webHidden/>
          </w:rPr>
          <w:fldChar w:fldCharType="begin"/>
        </w:r>
        <w:r w:rsidR="00F13D19">
          <w:rPr>
            <w:webHidden/>
          </w:rPr>
          <w:instrText xml:space="preserve"> PAGEREF _Toc148375094 \h </w:instrText>
        </w:r>
        <w:r w:rsidR="00F13D19">
          <w:rPr>
            <w:webHidden/>
          </w:rPr>
        </w:r>
        <w:r w:rsidR="00F13D19">
          <w:rPr>
            <w:webHidden/>
          </w:rPr>
          <w:fldChar w:fldCharType="separate"/>
        </w:r>
        <w:r w:rsidR="00F13D19">
          <w:rPr>
            <w:webHidden/>
          </w:rPr>
          <w:t>30</w:t>
        </w:r>
        <w:r w:rsidR="00F13D19">
          <w:rPr>
            <w:webHidden/>
          </w:rPr>
          <w:fldChar w:fldCharType="end"/>
        </w:r>
      </w:hyperlink>
    </w:p>
    <w:p w14:paraId="1AE270F5" w14:textId="5F14E303"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95" w:history="1">
        <w:r w:rsidR="00F13D19" w:rsidRPr="00E80E23">
          <w:rPr>
            <w:rStyle w:val="Hipersaitas"/>
            <w:rFonts w:eastAsia="Times New Roman"/>
          </w:rPr>
          <w:t>AZARTINIŲ LOŠIMŲ PRIEŽIŪRA</w:t>
        </w:r>
        <w:r w:rsidR="00F13D19">
          <w:rPr>
            <w:webHidden/>
          </w:rPr>
          <w:tab/>
        </w:r>
        <w:r w:rsidR="00F13D19">
          <w:rPr>
            <w:webHidden/>
          </w:rPr>
          <w:fldChar w:fldCharType="begin"/>
        </w:r>
        <w:r w:rsidR="00F13D19">
          <w:rPr>
            <w:webHidden/>
          </w:rPr>
          <w:instrText xml:space="preserve"> PAGEREF _Toc148375095 \h </w:instrText>
        </w:r>
        <w:r w:rsidR="00F13D19">
          <w:rPr>
            <w:webHidden/>
          </w:rPr>
        </w:r>
        <w:r w:rsidR="00F13D19">
          <w:rPr>
            <w:webHidden/>
          </w:rPr>
          <w:fldChar w:fldCharType="separate"/>
        </w:r>
        <w:r w:rsidR="00F13D19">
          <w:rPr>
            <w:webHidden/>
          </w:rPr>
          <w:t>31</w:t>
        </w:r>
        <w:r w:rsidR="00F13D19">
          <w:rPr>
            <w:webHidden/>
          </w:rPr>
          <w:fldChar w:fldCharType="end"/>
        </w:r>
      </w:hyperlink>
    </w:p>
    <w:p w14:paraId="7C141EAC" w14:textId="736AA589" w:rsidR="00F13D19" w:rsidRDefault="00000000">
      <w:pPr>
        <w:pStyle w:val="Turinys2"/>
        <w:rPr>
          <w:rFonts w:eastAsiaTheme="minorEastAsia" w:cstheme="minorBidi"/>
          <w:b w:val="0"/>
          <w:bCs w:val="0"/>
          <w:color w:val="auto"/>
          <w:kern w:val="2"/>
          <w:lang w:val="en-GB" w:eastAsia="en-GB"/>
          <w14:ligatures w14:val="standardContextual"/>
        </w:rPr>
      </w:pPr>
      <w:hyperlink w:anchor="_Toc148375096" w:history="1">
        <w:r w:rsidR="00F13D19" w:rsidRPr="00E80E23">
          <w:rPr>
            <w:rStyle w:val="Hipersaitas"/>
          </w:rPr>
          <w:t xml:space="preserve">2023 m. kovo 2 d. sprendimas byloje </w:t>
        </w:r>
        <w:r w:rsidR="00F13D19" w:rsidRPr="00E80E23">
          <w:rPr>
            <w:rStyle w:val="Hipersaitas"/>
            <w:i/>
          </w:rPr>
          <w:t>Recreatieprojecten Zeeland ir kt.</w:t>
        </w:r>
        <w:r w:rsidR="00F13D19" w:rsidRPr="00E80E23">
          <w:rPr>
            <w:rStyle w:val="Hipersaitas"/>
          </w:rPr>
          <w:t>, C</w:t>
        </w:r>
        <w:r w:rsidR="00F13D19" w:rsidRPr="00E80E23">
          <w:rPr>
            <w:rStyle w:val="Hipersaitas"/>
          </w:rPr>
          <w:noBreakHyphen/>
          <w:t>695/21</w:t>
        </w:r>
        <w:r w:rsidR="00F13D19">
          <w:rPr>
            <w:webHidden/>
          </w:rPr>
          <w:tab/>
        </w:r>
        <w:r w:rsidR="00F13D19">
          <w:rPr>
            <w:webHidden/>
          </w:rPr>
          <w:fldChar w:fldCharType="begin"/>
        </w:r>
        <w:r w:rsidR="00F13D19">
          <w:rPr>
            <w:webHidden/>
          </w:rPr>
          <w:instrText xml:space="preserve"> PAGEREF _Toc148375096 \h </w:instrText>
        </w:r>
        <w:r w:rsidR="00F13D19">
          <w:rPr>
            <w:webHidden/>
          </w:rPr>
        </w:r>
        <w:r w:rsidR="00F13D19">
          <w:rPr>
            <w:webHidden/>
          </w:rPr>
          <w:fldChar w:fldCharType="separate"/>
        </w:r>
        <w:r w:rsidR="00F13D19">
          <w:rPr>
            <w:webHidden/>
          </w:rPr>
          <w:t>31</w:t>
        </w:r>
        <w:r w:rsidR="00F13D19">
          <w:rPr>
            <w:webHidden/>
          </w:rPr>
          <w:fldChar w:fldCharType="end"/>
        </w:r>
      </w:hyperlink>
    </w:p>
    <w:p w14:paraId="2AE9AB1D" w14:textId="31D0E02F"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097" w:history="1">
        <w:r w:rsidR="00F13D19" w:rsidRPr="00E80E23">
          <w:rPr>
            <w:rStyle w:val="Hipersaitas"/>
            <w:rFonts w:eastAsia="Times New Roman"/>
            <w:bCs/>
          </w:rPr>
          <w:t>Dėl draudimo suteikti azartinių lošimų įstaigų valdytojams bendrai taikytino reklamos draudimo išimtis, nenumatant galimybės tuo pačiu tikslu taikyti šios išimties kitoje valstybėje narėje esančių azartinių lošimų įstaigų valdytojams</w:t>
        </w:r>
        <w:r w:rsidR="00F13D19">
          <w:rPr>
            <w:webHidden/>
          </w:rPr>
          <w:tab/>
        </w:r>
        <w:r w:rsidR="00F13D19">
          <w:rPr>
            <w:webHidden/>
          </w:rPr>
          <w:fldChar w:fldCharType="begin"/>
        </w:r>
        <w:r w:rsidR="00F13D19">
          <w:rPr>
            <w:webHidden/>
          </w:rPr>
          <w:instrText xml:space="preserve"> PAGEREF _Toc148375097 \h </w:instrText>
        </w:r>
        <w:r w:rsidR="00F13D19">
          <w:rPr>
            <w:webHidden/>
          </w:rPr>
        </w:r>
        <w:r w:rsidR="00F13D19">
          <w:rPr>
            <w:webHidden/>
          </w:rPr>
          <w:fldChar w:fldCharType="separate"/>
        </w:r>
        <w:r w:rsidR="00F13D19">
          <w:rPr>
            <w:webHidden/>
          </w:rPr>
          <w:t>31</w:t>
        </w:r>
        <w:r w:rsidR="00F13D19">
          <w:rPr>
            <w:webHidden/>
          </w:rPr>
          <w:fldChar w:fldCharType="end"/>
        </w:r>
      </w:hyperlink>
    </w:p>
    <w:p w14:paraId="61565079" w14:textId="22A88440" w:rsidR="00F13D19" w:rsidRDefault="00000000">
      <w:pPr>
        <w:pStyle w:val="Turinys1"/>
        <w:rPr>
          <w:rFonts w:eastAsiaTheme="minorEastAsia" w:cstheme="minorBidi"/>
          <w:b w:val="0"/>
          <w:bCs w:val="0"/>
          <w:color w:val="auto"/>
          <w:kern w:val="2"/>
          <w:sz w:val="22"/>
          <w:szCs w:val="22"/>
          <w:lang w:val="en-GB" w:eastAsia="en-GB"/>
          <w14:ligatures w14:val="standardContextual"/>
        </w:rPr>
      </w:pPr>
      <w:hyperlink w:anchor="_Toc148375098" w:history="1">
        <w:r w:rsidR="00F13D19" w:rsidRPr="00E80E23">
          <w:rPr>
            <w:rStyle w:val="Hipersaitas"/>
          </w:rPr>
          <w:t>LAISVĖS, SAUGUMO IR TEISINGUMO ERDVĖ</w:t>
        </w:r>
        <w:r w:rsidR="00F13D19">
          <w:rPr>
            <w:webHidden/>
          </w:rPr>
          <w:tab/>
        </w:r>
        <w:r w:rsidR="00F13D19">
          <w:rPr>
            <w:webHidden/>
          </w:rPr>
          <w:fldChar w:fldCharType="begin"/>
        </w:r>
        <w:r w:rsidR="00F13D19">
          <w:rPr>
            <w:webHidden/>
          </w:rPr>
          <w:instrText xml:space="preserve"> PAGEREF _Toc148375098 \h </w:instrText>
        </w:r>
        <w:r w:rsidR="00F13D19">
          <w:rPr>
            <w:webHidden/>
          </w:rPr>
        </w:r>
        <w:r w:rsidR="00F13D19">
          <w:rPr>
            <w:webHidden/>
          </w:rPr>
          <w:fldChar w:fldCharType="separate"/>
        </w:r>
        <w:r w:rsidR="00F13D19">
          <w:rPr>
            <w:webHidden/>
          </w:rPr>
          <w:t>32</w:t>
        </w:r>
        <w:r w:rsidR="00F13D19">
          <w:rPr>
            <w:webHidden/>
          </w:rPr>
          <w:fldChar w:fldCharType="end"/>
        </w:r>
      </w:hyperlink>
    </w:p>
    <w:p w14:paraId="475A2319" w14:textId="003CDA2B" w:rsidR="00F13D19" w:rsidRDefault="00000000">
      <w:pPr>
        <w:pStyle w:val="Turinys2"/>
        <w:rPr>
          <w:rFonts w:eastAsiaTheme="minorEastAsia" w:cstheme="minorBidi"/>
          <w:b w:val="0"/>
          <w:bCs w:val="0"/>
          <w:color w:val="auto"/>
          <w:kern w:val="2"/>
          <w:lang w:val="en-GB" w:eastAsia="en-GB"/>
          <w14:ligatures w14:val="standardContextual"/>
        </w:rPr>
      </w:pPr>
      <w:hyperlink w:anchor="_Toc148375099" w:history="1">
        <w:r w:rsidR="00F13D19" w:rsidRPr="00E80E23">
          <w:rPr>
            <w:rStyle w:val="Hipersaitas"/>
          </w:rPr>
          <w:t xml:space="preserve">2023 m. gegužės 4 d. sprendimas byloje </w:t>
        </w:r>
        <w:r w:rsidR="00F13D19" w:rsidRPr="00E80E23">
          <w:rPr>
            <w:rStyle w:val="Hipersaitas"/>
            <w:i/>
          </w:rPr>
          <w:t>Agenția Națională de Integritate</w:t>
        </w:r>
        <w:r w:rsidR="00F13D19" w:rsidRPr="00E80E23">
          <w:rPr>
            <w:rStyle w:val="Hipersaitas"/>
          </w:rPr>
          <w:t>, C-40/21</w:t>
        </w:r>
        <w:r w:rsidR="00F13D19">
          <w:rPr>
            <w:webHidden/>
          </w:rPr>
          <w:tab/>
        </w:r>
        <w:r w:rsidR="00F13D19">
          <w:rPr>
            <w:webHidden/>
          </w:rPr>
          <w:fldChar w:fldCharType="begin"/>
        </w:r>
        <w:r w:rsidR="00F13D19">
          <w:rPr>
            <w:webHidden/>
          </w:rPr>
          <w:instrText xml:space="preserve"> PAGEREF _Toc148375099 \h </w:instrText>
        </w:r>
        <w:r w:rsidR="00F13D19">
          <w:rPr>
            <w:webHidden/>
          </w:rPr>
        </w:r>
        <w:r w:rsidR="00F13D19">
          <w:rPr>
            <w:webHidden/>
          </w:rPr>
          <w:fldChar w:fldCharType="separate"/>
        </w:r>
        <w:r w:rsidR="00F13D19">
          <w:rPr>
            <w:webHidden/>
          </w:rPr>
          <w:t>32</w:t>
        </w:r>
        <w:r w:rsidR="00F13D19">
          <w:rPr>
            <w:webHidden/>
          </w:rPr>
          <w:fldChar w:fldCharType="end"/>
        </w:r>
      </w:hyperlink>
    </w:p>
    <w:p w14:paraId="68015A8F" w14:textId="4A30DE01" w:rsidR="00F13D19" w:rsidRDefault="00000000">
      <w:pPr>
        <w:pStyle w:val="Turinys3"/>
        <w:rPr>
          <w:rFonts w:eastAsiaTheme="minorEastAsia" w:cstheme="minorBidi"/>
          <w:i w:val="0"/>
          <w:iCs w:val="0"/>
          <w:kern w:val="2"/>
          <w:sz w:val="22"/>
          <w:szCs w:val="22"/>
          <w:lang w:val="en-GB" w:eastAsia="en-GB"/>
          <w14:ligatures w14:val="standardContextual"/>
        </w:rPr>
      </w:pPr>
      <w:hyperlink w:anchor="_Toc148375100" w:history="1">
        <w:r w:rsidR="00F13D19" w:rsidRPr="00E80E23">
          <w:rPr>
            <w:rStyle w:val="Hipersaitas"/>
            <w:rFonts w:cs="Calibri"/>
          </w:rPr>
          <w:t xml:space="preserve">Dėl </w:t>
        </w:r>
        <w:r w:rsidR="00F13D19" w:rsidRPr="00E80E23">
          <w:rPr>
            <w:rStyle w:val="Hipersaitas"/>
            <w:rFonts w:eastAsia="Times New Roman"/>
            <w:lang w:eastAsia="lt-LT"/>
          </w:rPr>
          <w:t>nacionalinės</w:t>
        </w:r>
        <w:r w:rsidR="00F13D19" w:rsidRPr="00E80E23">
          <w:rPr>
            <w:rStyle w:val="Hipersaitas"/>
            <w:rFonts w:cs="Calibri"/>
          </w:rPr>
          <w:t xml:space="preserve"> teisės nuostatų, </w:t>
        </w:r>
        <w:r w:rsidR="00F13D19" w:rsidRPr="00E80E23">
          <w:rPr>
            <w:rStyle w:val="Hipersaitas"/>
          </w:rPr>
          <w:t xml:space="preserve">nustatančių </w:t>
        </w:r>
        <w:r w:rsidR="00F13D19" w:rsidRPr="00E80E23">
          <w:rPr>
            <w:rStyle w:val="Hipersaitas"/>
            <w:rFonts w:cs="Calibri"/>
          </w:rPr>
          <w:t>automatinį rinkimų būdu įgytų įgaliojimų nutrūkimą ir papildomai taikomą draudimą eiti bet kokias renkamas viešąsias pareigas</w:t>
        </w:r>
        <w:r w:rsidR="00F13D19">
          <w:rPr>
            <w:webHidden/>
          </w:rPr>
          <w:tab/>
        </w:r>
        <w:r w:rsidR="00F13D19">
          <w:rPr>
            <w:webHidden/>
          </w:rPr>
          <w:fldChar w:fldCharType="begin"/>
        </w:r>
        <w:r w:rsidR="00F13D19">
          <w:rPr>
            <w:webHidden/>
          </w:rPr>
          <w:instrText xml:space="preserve"> PAGEREF _Toc148375100 \h </w:instrText>
        </w:r>
        <w:r w:rsidR="00F13D19">
          <w:rPr>
            <w:webHidden/>
          </w:rPr>
        </w:r>
        <w:r w:rsidR="00F13D19">
          <w:rPr>
            <w:webHidden/>
          </w:rPr>
          <w:fldChar w:fldCharType="separate"/>
        </w:r>
        <w:r w:rsidR="00F13D19">
          <w:rPr>
            <w:webHidden/>
          </w:rPr>
          <w:t>33</w:t>
        </w:r>
        <w:r w:rsidR="00F13D19">
          <w:rPr>
            <w:webHidden/>
          </w:rPr>
          <w:fldChar w:fldCharType="end"/>
        </w:r>
      </w:hyperlink>
    </w:p>
    <w:p w14:paraId="26C57CB4" w14:textId="16FC100B" w:rsidR="009A1625" w:rsidRPr="00344EA2" w:rsidRDefault="009A1625" w:rsidP="009A1625">
      <w:pPr>
        <w:rPr>
          <w:rFonts w:asciiTheme="minorHAnsi" w:hAnsiTheme="minorHAnsi" w:cstheme="minorHAnsi"/>
          <w:b/>
          <w:iCs/>
          <w:color w:val="44546A" w:themeColor="text2"/>
        </w:rPr>
      </w:pPr>
      <w:r w:rsidRPr="00344EA2">
        <w:rPr>
          <w:rFonts w:asciiTheme="minorHAnsi" w:hAnsiTheme="minorHAnsi" w:cstheme="minorHAnsi"/>
          <w:b/>
          <w:iCs/>
          <w:color w:val="44546A" w:themeColor="text2"/>
        </w:rPr>
        <w:fldChar w:fldCharType="end"/>
      </w:r>
      <w:bookmarkEnd w:id="0"/>
    </w:p>
    <w:p w14:paraId="014DBC04" w14:textId="77777777" w:rsidR="009A1625" w:rsidRPr="00344EA2" w:rsidRDefault="009A1625" w:rsidP="009A1625">
      <w:pPr>
        <w:rPr>
          <w:rFonts w:asciiTheme="minorHAnsi" w:hAnsiTheme="minorHAnsi" w:cstheme="minorHAnsi"/>
          <w:b/>
          <w:iCs/>
          <w:color w:val="44546A" w:themeColor="text2"/>
        </w:rPr>
      </w:pPr>
    </w:p>
    <w:p w14:paraId="1E32A8E4" w14:textId="77777777" w:rsidR="009A1625" w:rsidRPr="00344EA2" w:rsidRDefault="009A1625" w:rsidP="009A1625">
      <w:pPr>
        <w:rPr>
          <w:rFonts w:asciiTheme="minorHAnsi" w:hAnsiTheme="minorHAnsi" w:cstheme="minorHAnsi"/>
          <w:i/>
          <w:color w:val="44546A" w:themeColor="text2"/>
        </w:rPr>
      </w:pPr>
      <w:r w:rsidRPr="00344EA2">
        <w:rPr>
          <w:rFonts w:asciiTheme="minorHAnsi" w:hAnsiTheme="minorHAnsi" w:cstheme="minorHAnsi"/>
          <w:b/>
          <w:i/>
          <w:color w:val="44546A" w:themeColor="text2"/>
        </w:rPr>
        <w:lastRenderedPageBreak/>
        <w:t>Pastaba.</w:t>
      </w:r>
      <w:r w:rsidRPr="00344EA2">
        <w:rPr>
          <w:rFonts w:asciiTheme="minorHAnsi" w:hAnsiTheme="minorHAnsi" w:cstheme="minorHAnsi"/>
          <w:i/>
        </w:rPr>
        <w:t xml:space="preserve"> Šioje apžvalgoje pateikiamos neoficialios Europos Sąjungos Teisingumo Teismo (toliau – ir Teisingumo Teismas, ESTT) procesinių sprendimų apžvalgos. Apžvalgos rengiamos, be kita ko, atsižvelgiant į Europos Sąjungos Tyrimų ir dokumentacijos direktorato parengtas teismo sprendimų ir nutarčių santraukas. 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8" w:history="1">
        <w:r w:rsidRPr="00344EA2">
          <w:rPr>
            <w:rStyle w:val="Hipersaitas"/>
            <w:rFonts w:asciiTheme="minorHAnsi" w:hAnsiTheme="minorHAnsi" w:cstheme="minorHAnsi"/>
            <w:i/>
            <w:color w:val="44546A" w:themeColor="text2"/>
          </w:rPr>
          <w:t>http://curia.europa.eu/</w:t>
        </w:r>
      </w:hyperlink>
      <w:r w:rsidRPr="00344EA2">
        <w:rPr>
          <w:rFonts w:asciiTheme="minorHAnsi" w:hAnsiTheme="minorHAnsi" w:cstheme="minorHAnsi"/>
          <w:i/>
        </w:rPr>
        <w:t xml:space="preserve"> ir Europos Sąjungos teisės interneto svetainėje </w:t>
      </w:r>
      <w:hyperlink r:id="rId9" w:history="1">
        <w:r w:rsidRPr="00344EA2">
          <w:rPr>
            <w:rStyle w:val="Hipersaitas"/>
            <w:rFonts w:asciiTheme="minorHAnsi" w:hAnsiTheme="minorHAnsi" w:cstheme="minorHAnsi"/>
            <w:i/>
            <w:color w:val="44546A" w:themeColor="text2"/>
          </w:rPr>
          <w:t>http://eur-lex.europa.eu/</w:t>
        </w:r>
      </w:hyperlink>
      <w:r w:rsidRPr="00344EA2">
        <w:rPr>
          <w:rFonts w:asciiTheme="minorHAnsi" w:hAnsiTheme="minorHAnsi" w:cstheme="minorHAnsi"/>
          <w:i/>
          <w:color w:val="44546A" w:themeColor="text2"/>
        </w:rPr>
        <w:t>.</w:t>
      </w:r>
    </w:p>
    <w:p w14:paraId="1885F897" w14:textId="77777777" w:rsidR="009A1625" w:rsidRPr="00344EA2" w:rsidRDefault="009A1625" w:rsidP="009A1625">
      <w:pPr>
        <w:spacing w:after="160" w:line="259" w:lineRule="auto"/>
        <w:jc w:val="left"/>
        <w:rPr>
          <w:rFonts w:asciiTheme="minorHAnsi" w:hAnsiTheme="minorHAnsi" w:cstheme="minorHAnsi"/>
          <w:i/>
          <w:color w:val="44546A" w:themeColor="text2"/>
        </w:rPr>
      </w:pPr>
      <w:r w:rsidRPr="00344EA2">
        <w:rPr>
          <w:rFonts w:asciiTheme="minorHAnsi" w:hAnsiTheme="minorHAnsi" w:cstheme="minorHAnsi"/>
          <w:i/>
          <w:color w:val="44546A" w:themeColor="text2"/>
        </w:rPr>
        <w:br w:type="page"/>
      </w:r>
      <w:bookmarkStart w:id="1" w:name="_Toc456193188"/>
      <w:bookmarkStart w:id="2" w:name="_Hlk56233897"/>
      <w:bookmarkStart w:id="3" w:name="_Toc11232456"/>
      <w:bookmarkStart w:id="4" w:name="_Toc11232747"/>
      <w:bookmarkStart w:id="5" w:name="_Toc11757983"/>
      <w:bookmarkStart w:id="6" w:name="_Toc497144232"/>
    </w:p>
    <w:p w14:paraId="7B552F11" w14:textId="77777777" w:rsidR="00431AFC" w:rsidRDefault="00431AFC" w:rsidP="00431AFC">
      <w:pPr>
        <w:pStyle w:val="Antrat1"/>
      </w:pPr>
      <w:bookmarkStart w:id="7" w:name="_Toc148375036"/>
      <w:bookmarkStart w:id="8" w:name="_Toc110010958"/>
      <w:bookmarkStart w:id="9" w:name="_Toc78824503"/>
      <w:r w:rsidRPr="00344EA2">
        <w:lastRenderedPageBreak/>
        <w:t xml:space="preserve">SOCIALINĖ </w:t>
      </w:r>
      <w:r>
        <w:t>POLITIKA</w:t>
      </w:r>
      <w:bookmarkEnd w:id="7"/>
    </w:p>
    <w:p w14:paraId="0DFB8A54" w14:textId="77777777" w:rsidR="00431AFC" w:rsidRPr="004611B7" w:rsidRDefault="00431AFC" w:rsidP="00431AFC"/>
    <w:p w14:paraId="05F66DCB" w14:textId="77777777" w:rsidR="00431AFC" w:rsidRPr="006A3B77" w:rsidRDefault="00431AFC" w:rsidP="00431AFC">
      <w:pPr>
        <w:pStyle w:val="Antrat2"/>
        <w:rPr>
          <w:color w:val="323E4F" w:themeColor="text2" w:themeShade="BF"/>
        </w:rPr>
      </w:pPr>
      <w:bookmarkStart w:id="10" w:name="_Toc148375037"/>
      <w:r w:rsidRPr="006A3B77">
        <w:rPr>
          <w:color w:val="323E4F" w:themeColor="text2" w:themeShade="BF"/>
        </w:rPr>
        <w:t>2023 m. balandžio 27 d. sprendimas byloje</w:t>
      </w:r>
      <w:r w:rsidRPr="006A3B77">
        <w:rPr>
          <w:i/>
          <w:iCs w:val="0"/>
          <w:color w:val="323E4F" w:themeColor="text2" w:themeShade="BF"/>
        </w:rPr>
        <w:t xml:space="preserve"> </w:t>
      </w:r>
      <w:r w:rsidRPr="00024C4F">
        <w:rPr>
          <w:i/>
          <w:iCs w:val="0"/>
          <w:color w:val="323E4F" w:themeColor="text2" w:themeShade="BF"/>
        </w:rPr>
        <w:t>BVAEB (Montant de la pension de retraite)</w:t>
      </w:r>
      <w:r w:rsidRPr="006A3B77">
        <w:rPr>
          <w:color w:val="323E4F" w:themeColor="text2" w:themeShade="BF"/>
        </w:rPr>
        <w:t>, C</w:t>
      </w:r>
      <w:r w:rsidRPr="006A3B77">
        <w:rPr>
          <w:color w:val="323E4F" w:themeColor="text2" w:themeShade="BF"/>
        </w:rPr>
        <w:noBreakHyphen/>
        <w:t>681/21</w:t>
      </w:r>
      <w:bookmarkEnd w:id="10"/>
    </w:p>
    <w:p w14:paraId="59DEBDD7" w14:textId="77777777" w:rsidR="00431AFC" w:rsidRPr="006A3B77" w:rsidRDefault="00431AFC" w:rsidP="00431AFC">
      <w:pPr>
        <w:ind w:firstLine="567"/>
        <w:jc w:val="center"/>
        <w:rPr>
          <w:rFonts w:cs="Calibri"/>
          <w:b/>
          <w:bCs/>
          <w:i/>
          <w:shd w:val="clear" w:color="auto" w:fill="FFFFFF"/>
        </w:rPr>
      </w:pPr>
    </w:p>
    <w:p w14:paraId="5125CAAE" w14:textId="490E84E6" w:rsidR="00431AFC" w:rsidRPr="006A3B77" w:rsidRDefault="00431AFC" w:rsidP="00431AFC">
      <w:pPr>
        <w:tabs>
          <w:tab w:val="left" w:pos="6379"/>
        </w:tabs>
        <w:ind w:firstLine="540"/>
        <w:rPr>
          <w:rFonts w:cs="Calibri"/>
          <w:iCs/>
        </w:rPr>
      </w:pPr>
      <w:r w:rsidRPr="006A3B77">
        <w:rPr>
          <w:rFonts w:cs="Calibri"/>
          <w:iCs/>
        </w:rPr>
        <w:t>Socialinė politika</w:t>
      </w:r>
      <w:r w:rsidR="00CA04FE">
        <w:rPr>
          <w:rFonts w:cs="Calibri"/>
          <w:iCs/>
        </w:rPr>
        <w:t xml:space="preserve"> </w:t>
      </w:r>
      <w:r w:rsidRPr="006A3B77">
        <w:rPr>
          <w:rFonts w:cs="Calibri"/>
          <w:iCs/>
        </w:rPr>
        <w:t>– Vienodas požiūris užimtumo ir profesinėje srityje</w:t>
      </w:r>
      <w:r w:rsidR="00CA04FE">
        <w:rPr>
          <w:rFonts w:cs="Calibri"/>
          <w:iCs/>
        </w:rPr>
        <w:t xml:space="preserve"> </w:t>
      </w:r>
      <w:r w:rsidRPr="006A3B77">
        <w:rPr>
          <w:rFonts w:cs="Calibri"/>
          <w:iCs/>
        </w:rPr>
        <w:t>– Direktyva 2000/78/EB</w:t>
      </w:r>
      <w:r w:rsidR="00CA04FE">
        <w:rPr>
          <w:rFonts w:cs="Calibri"/>
          <w:iCs/>
        </w:rPr>
        <w:t xml:space="preserve"> </w:t>
      </w:r>
      <w:r w:rsidRPr="006A3B77">
        <w:rPr>
          <w:rFonts w:cs="Calibri"/>
          <w:iCs/>
        </w:rPr>
        <w:t>– Diskriminacijos dėl amžiaus draudimas</w:t>
      </w:r>
      <w:r w:rsidR="00CA04FE">
        <w:rPr>
          <w:rFonts w:cs="Calibri"/>
          <w:iCs/>
        </w:rPr>
        <w:t xml:space="preserve"> </w:t>
      </w:r>
      <w:r w:rsidRPr="006A3B77">
        <w:rPr>
          <w:rFonts w:cs="Calibri"/>
          <w:iCs/>
        </w:rPr>
        <w:t>– Senatvės pensija</w:t>
      </w:r>
      <w:r w:rsidR="00CA04FE">
        <w:rPr>
          <w:rFonts w:cs="Calibri"/>
          <w:iCs/>
        </w:rPr>
        <w:t xml:space="preserve"> </w:t>
      </w:r>
      <w:r w:rsidRPr="006A3B77">
        <w:rPr>
          <w:rFonts w:cs="Calibri"/>
          <w:iCs/>
        </w:rPr>
        <w:t>– Nacionalinės teisės aktai, kuriuose numatyta atgaline data pareigūnų kategoriją, kuriai anksčiau buvo sudarytos palankios sąlygos pagal nacionalinės teisės aktus dėl teisės į senatvės pensiją, prilyginti pareigūnų kategorijai, kuriai anksčiau pagal tuos pačius teisės aktus buvo sudarytos nepalankios sąlygos</w:t>
      </w:r>
    </w:p>
    <w:p w14:paraId="31DD4C6E" w14:textId="77777777" w:rsidR="00431AFC" w:rsidRPr="006A3B77" w:rsidRDefault="00431AFC" w:rsidP="00431AFC">
      <w:pPr>
        <w:tabs>
          <w:tab w:val="left" w:pos="6379"/>
        </w:tabs>
        <w:ind w:firstLine="540"/>
        <w:rPr>
          <w:rFonts w:cs="Calibri"/>
          <w:b/>
        </w:rPr>
      </w:pPr>
    </w:p>
    <w:p w14:paraId="11C9DBED" w14:textId="77777777" w:rsidR="00431AFC" w:rsidRPr="006A3B77" w:rsidRDefault="00431AFC" w:rsidP="00431AFC">
      <w:pPr>
        <w:tabs>
          <w:tab w:val="left" w:pos="6379"/>
        </w:tabs>
        <w:jc w:val="center"/>
        <w:rPr>
          <w:rFonts w:cs="Calibri"/>
          <w:b/>
        </w:rPr>
      </w:pPr>
      <w:r w:rsidRPr="006A3B77">
        <w:rPr>
          <w:rFonts w:cs="Calibri"/>
          <w:b/>
        </w:rPr>
        <w:t>Bylos aplinkybės</w:t>
      </w:r>
    </w:p>
    <w:p w14:paraId="0806BCE9" w14:textId="77777777" w:rsidR="00431AFC" w:rsidRPr="006A3B77" w:rsidRDefault="00431AFC" w:rsidP="00431AFC">
      <w:pPr>
        <w:shd w:val="clear" w:color="auto" w:fill="FFFFFF"/>
        <w:tabs>
          <w:tab w:val="left" w:pos="2655"/>
        </w:tabs>
        <w:ind w:firstLine="567"/>
        <w:rPr>
          <w:rFonts w:eastAsia="Times New Roman" w:cs="Calibri"/>
          <w:b/>
          <w:bCs/>
          <w:lang w:eastAsia="lt-LT"/>
        </w:rPr>
      </w:pPr>
    </w:p>
    <w:p w14:paraId="0589F7C3" w14:textId="18C873B3" w:rsidR="00431AFC" w:rsidRPr="006A3B77" w:rsidRDefault="00431AFC" w:rsidP="00431AFC">
      <w:pPr>
        <w:ind w:firstLine="567"/>
        <w:rPr>
          <w:rFonts w:cs="Calibri"/>
          <w:iCs/>
          <w:shd w:val="clear" w:color="auto" w:fill="FFFFFF"/>
        </w:rPr>
      </w:pPr>
      <w:r w:rsidRPr="006A3B77">
        <w:rPr>
          <w:rFonts w:cs="Calibri"/>
          <w:iCs/>
          <w:shd w:val="clear" w:color="auto" w:fill="FFFFFF"/>
        </w:rPr>
        <w:t>Prašymas priimti prejudicinį sprendimą pateiktas dėl Direktyvos 2000/78/EB</w:t>
      </w:r>
      <w:r w:rsidRPr="006A3B77">
        <w:rPr>
          <w:rFonts w:cs="Calibri"/>
          <w:iCs/>
          <w:shd w:val="clear" w:color="auto" w:fill="FFFFFF"/>
          <w:vertAlign w:val="superscript"/>
        </w:rPr>
        <w:footnoteReference w:id="1"/>
      </w:r>
      <w:r w:rsidRPr="006A3B77">
        <w:rPr>
          <w:rFonts w:cs="Calibri"/>
          <w:iCs/>
          <w:shd w:val="clear" w:color="auto" w:fill="FFFFFF"/>
        </w:rPr>
        <w:t xml:space="preserve"> 2 straipsnio 1 dalies ir 2 dalies a punkto ir 6 straipsnio 1 dalies išaiškinimo.</w:t>
      </w:r>
      <w:r w:rsidRPr="006A3B77">
        <w:rPr>
          <w:rFonts w:ascii="Open Sans" w:hAnsi="Open Sans" w:cs="Open Sans"/>
          <w:color w:val="000000"/>
          <w:sz w:val="18"/>
          <w:szCs w:val="18"/>
        </w:rPr>
        <w:t xml:space="preserve"> </w:t>
      </w:r>
      <w:r w:rsidRPr="006A3B77">
        <w:rPr>
          <w:rFonts w:cs="Calibri"/>
          <w:iCs/>
          <w:shd w:val="clear" w:color="auto" w:fill="FFFFFF"/>
        </w:rPr>
        <w:t>Šis prašymas pateiktas nagrinėjant</w:t>
      </w:r>
      <w:r w:rsidR="005D6080">
        <w:rPr>
          <w:rFonts w:cs="Calibri"/>
          <w:iCs/>
          <w:shd w:val="clear" w:color="auto" w:fill="FFFFFF"/>
        </w:rPr>
        <w:t xml:space="preserve"> </w:t>
      </w:r>
      <w:r w:rsidRPr="006A3B77">
        <w:rPr>
          <w:rFonts w:cs="Calibri"/>
          <w:iCs/>
          <w:shd w:val="clear" w:color="auto" w:fill="FFFFFF"/>
        </w:rPr>
        <w:t>Austrijos Valdžios institucijų, geležinkelių ir kasybos sektoriaus pareigūnų ir tarnautojų ligonių kasos ir BB ginčą dėl pastarosios senatvės pensijos dydžio nustatymo.</w:t>
      </w:r>
    </w:p>
    <w:p w14:paraId="18F2A166" w14:textId="65069796" w:rsidR="00431AFC" w:rsidRPr="006A3B77" w:rsidRDefault="00431AFC" w:rsidP="00431AFC">
      <w:pPr>
        <w:ind w:firstLine="567"/>
        <w:rPr>
          <w:color w:val="000000"/>
          <w:shd w:val="clear" w:color="auto" w:fill="FFFFFF"/>
        </w:rPr>
      </w:pPr>
      <w:r w:rsidRPr="006A3B77">
        <w:rPr>
          <w:color w:val="000000"/>
          <w:shd w:val="clear" w:color="auto" w:fill="FFFFFF"/>
        </w:rPr>
        <w:t>Savo klausimu prašymą priimti prejudicinį sprendimą pateikęs teismas iš esmės siekė išsiaiškinti, ar Direktyvos 2000/78</w:t>
      </w:r>
      <w:r w:rsidR="0048402B">
        <w:rPr>
          <w:color w:val="000000"/>
          <w:shd w:val="clear" w:color="auto" w:fill="FFFFFF"/>
        </w:rPr>
        <w:t xml:space="preserve"> </w:t>
      </w:r>
      <w:r w:rsidRPr="006A3B77">
        <w:rPr>
          <w:color w:val="000000"/>
          <w:shd w:val="clear" w:color="auto" w:fill="FFFFFF"/>
        </w:rPr>
        <w:t>2 straipsnio 1 dalis, 2 dalies a punktas ir 6 straipsnio 1 dalis turi būti aiškinami taip, kad pagal juos draudžiamos nacionalinės teisės nuostatos, kuriose, siekiant nutraukti diskriminaciją dėl amžiaus, numatyta atgaline data tam tikros kategorijos valstybės tarnautojų, kuriems anksčiau buvo sudarytos palankesnės sąlygos, pensijų sistemą prilyginti anksčiau nepalankioje padėtyje buvusios valstybės tarnautojų kategorijos pensijų sistemai.</w:t>
      </w:r>
    </w:p>
    <w:p w14:paraId="2F268A51" w14:textId="77777777" w:rsidR="00431AFC" w:rsidRPr="006A3B77" w:rsidRDefault="00431AFC" w:rsidP="00431AFC">
      <w:pPr>
        <w:ind w:firstLine="567"/>
        <w:rPr>
          <w:color w:val="000000"/>
          <w:shd w:val="clear" w:color="auto" w:fill="FFFFFF"/>
        </w:rPr>
      </w:pPr>
    </w:p>
    <w:p w14:paraId="74950B1B" w14:textId="77777777" w:rsidR="00431AFC" w:rsidRPr="006A3B77" w:rsidRDefault="00431AFC" w:rsidP="00431AFC">
      <w:pPr>
        <w:jc w:val="center"/>
        <w:rPr>
          <w:b/>
          <w:bCs/>
          <w:color w:val="000000"/>
          <w:shd w:val="clear" w:color="auto" w:fill="FFFFFF"/>
        </w:rPr>
      </w:pPr>
      <w:r w:rsidRPr="006A3B77">
        <w:rPr>
          <w:b/>
          <w:bCs/>
          <w:color w:val="000000"/>
          <w:shd w:val="clear" w:color="auto" w:fill="FFFFFF"/>
        </w:rPr>
        <w:t>Teisingumo Teismo vertinimas</w:t>
      </w:r>
    </w:p>
    <w:p w14:paraId="14D8082B" w14:textId="77777777" w:rsidR="00431AFC" w:rsidRPr="006A3B77" w:rsidRDefault="00431AFC" w:rsidP="00431AFC">
      <w:pPr>
        <w:ind w:firstLine="567"/>
        <w:rPr>
          <w:rFonts w:cs="Calibri"/>
        </w:rPr>
      </w:pPr>
    </w:p>
    <w:p w14:paraId="3EBE08C0" w14:textId="77777777" w:rsidR="00431AFC" w:rsidRPr="006A3B77" w:rsidRDefault="00431AFC" w:rsidP="00431AFC">
      <w:pPr>
        <w:keepNext/>
        <w:keepLines/>
        <w:tabs>
          <w:tab w:val="left" w:pos="426"/>
        </w:tabs>
        <w:ind w:firstLine="567"/>
        <w:outlineLvl w:val="2"/>
        <w:rPr>
          <w:rFonts w:eastAsia="Times New Roman"/>
          <w:bCs/>
          <w:i/>
        </w:rPr>
      </w:pPr>
      <w:bookmarkStart w:id="11" w:name="_Toc148375038"/>
      <w:r w:rsidRPr="006A3B77">
        <w:rPr>
          <w:rFonts w:eastAsia="Times New Roman"/>
          <w:bCs/>
          <w:i/>
        </w:rPr>
        <w:t>Dėl nacionalinės teisės nuostatų, kuriose numatyta atgaline data tam tikros kategorijos valstybės tarnautojų pensijų sistemą prilyginti anksčiau nepalankioje padėtyje buvusios valstybės pareigūnų kategorijos pensijų sistemai</w:t>
      </w:r>
      <w:bookmarkEnd w:id="11"/>
    </w:p>
    <w:p w14:paraId="1B629142" w14:textId="77777777" w:rsidR="00431AFC" w:rsidRPr="006A3B77" w:rsidRDefault="00431AFC" w:rsidP="00431AFC">
      <w:pPr>
        <w:jc w:val="left"/>
        <w:rPr>
          <w:color w:val="000000"/>
          <w:shd w:val="clear" w:color="auto" w:fill="FFFFFF"/>
        </w:rPr>
      </w:pPr>
    </w:p>
    <w:p w14:paraId="2F6B4CD8" w14:textId="77777777" w:rsidR="00431AFC" w:rsidRPr="006A3B77" w:rsidRDefault="00431AFC" w:rsidP="00431AFC">
      <w:pPr>
        <w:ind w:firstLine="567"/>
        <w:rPr>
          <w:color w:val="000000"/>
          <w:shd w:val="clear" w:color="auto" w:fill="FFFFFF"/>
        </w:rPr>
      </w:pPr>
      <w:r w:rsidRPr="006A3B77">
        <w:rPr>
          <w:color w:val="000000"/>
          <w:shd w:val="clear" w:color="auto" w:fill="FFFFFF"/>
        </w:rPr>
        <w:t>Teisingumo Teismas pažymėjo, kad darbo sąlygų suvienodinimo tikslui ir teisinio saugumo principui prieštarautų tai, jei už atitinkamą pensijų sistemą atsakingiems asmenims būtų leista panaikinti diskriminaciją priimant priemonę, kuria atgaline data suvienodinama anksčiau privilegijuotiems asmenims taikyta sistema su anksčiau nepalankioje padėtyje buvusiems asmenims taikyta sistema. Iš tiesų, priėmus tokį sprendimą, atsakingi asmenys būtų atleisti nuo pareigos, nustačius diskriminacijos faktą, nedelsiant ir visiškai pašalinti šią diskriminaciją.</w:t>
      </w:r>
    </w:p>
    <w:p w14:paraId="426FD954" w14:textId="77777777" w:rsidR="00431AFC" w:rsidRPr="006A3B77" w:rsidRDefault="00431AFC" w:rsidP="00431AFC">
      <w:pPr>
        <w:ind w:firstLine="567"/>
        <w:rPr>
          <w:color w:val="000000"/>
          <w:shd w:val="clear" w:color="auto" w:fill="FFFFFF"/>
        </w:rPr>
      </w:pPr>
      <w:r w:rsidRPr="006A3B77">
        <w:rPr>
          <w:color w:val="000000"/>
          <w:shd w:val="clear" w:color="auto" w:fill="FFFFFF"/>
        </w:rPr>
        <w:t>Nors pagal Direktyvos 2000/78 16 straipsnį valstybės narės privalo panaikinti įstatymus ir kitus teisės aktus, kurie prieštarauja vienodo požiūrio principui, šiame straipsnyje jos neįpareigojamos imtis tam tikrų priemonių diskriminacijos draudimo pažeidimo atveju; joms paliekama laisvė pasirinkti geriausią iš įvairių galimybių, tinkamų šiame straipsnyje nustatytam tikslui pasiekti, atsižvelgiant į galimas skirtingas situacijas.</w:t>
      </w:r>
    </w:p>
    <w:p w14:paraId="57F143B5" w14:textId="77777777" w:rsidR="00431AFC" w:rsidRPr="006A3B77" w:rsidRDefault="00431AFC" w:rsidP="00431AFC">
      <w:pPr>
        <w:ind w:firstLine="567"/>
        <w:rPr>
          <w:color w:val="000000"/>
          <w:shd w:val="clear" w:color="auto" w:fill="FFFFFF"/>
        </w:rPr>
      </w:pPr>
      <w:r w:rsidRPr="006A3B77">
        <w:rPr>
          <w:color w:val="000000"/>
          <w:shd w:val="clear" w:color="auto" w:fill="FFFFFF"/>
        </w:rPr>
        <w:t>Vis dėlto pagal teisinio saugumo principą apskritai draudžiama aktą, kuriuo įgyvendinama Sąjungos teisė, taikyti atgaline data. Pagal teisinio saugumo principą, kuris yra vienas iš bendrųjų Sąjungos teisės principų, reikalaujama, kad teisės aktai būtų aiškūs, tikslūs ir kad būtų galima numatyti jų poveikį. Tik išimtiniais atvejais teisės aktą, kuriuo įgyvendinama Sąjungos teisė, galima taikyti atgaline data, kai to reikalauja privalomasis bendrojo intereso pagrindas ir kai tinkamai užtikrinami suinteresuotųjų asmenų teisėti lūkesčiai.</w:t>
      </w:r>
    </w:p>
    <w:p w14:paraId="5DBF4893" w14:textId="77777777" w:rsidR="00431AFC" w:rsidRPr="006A3B77" w:rsidRDefault="00431AFC" w:rsidP="00431AFC">
      <w:pPr>
        <w:ind w:firstLine="567"/>
        <w:rPr>
          <w:color w:val="000000"/>
          <w:u w:val="single"/>
          <w:shd w:val="clear" w:color="auto" w:fill="FFFFFF"/>
        </w:rPr>
      </w:pPr>
      <w:r w:rsidRPr="006A3B77">
        <w:rPr>
          <w:color w:val="000000"/>
          <w:shd w:val="clear" w:color="auto" w:fill="FFFFFF"/>
        </w:rPr>
        <w:t xml:space="preserve">Teisingumo Teismas išaiškino, kad </w:t>
      </w:r>
      <w:r w:rsidRPr="006A3B77">
        <w:rPr>
          <w:color w:val="000000"/>
          <w:u w:val="single"/>
          <w:shd w:val="clear" w:color="auto" w:fill="FFFFFF"/>
        </w:rPr>
        <w:t xml:space="preserve">Direktyvos 2000/78/EB 2 straipsnio 1 dalis, 2 dalies a punktas ir 6 straipsnio 1 dalis turi būti aiškinami taip: nesant privalomojo bendrojo intereso pagrindo, pagal juos draudžiamos nacionalinės teisės nuostatos, kuriose, siekiant nutraukti diskriminaciją dėl amžiaus, numatyta atgaline data tam tikros kategorijos valstybės tarnautojų, kuriems anksčiau buvo sudarytos palankesnės sąlygos pagal nacionalinės teisės aktus, susijusius su teisėmis į senatvės pensiją, pensijų </w:t>
      </w:r>
      <w:r w:rsidRPr="006A3B77">
        <w:rPr>
          <w:color w:val="000000"/>
          <w:u w:val="single"/>
          <w:shd w:val="clear" w:color="auto" w:fill="FFFFFF"/>
        </w:rPr>
        <w:lastRenderedPageBreak/>
        <w:t>sistemą prilyginti anksčiau pagal tuos pačius teisės aktus buvusios nepalankioje padėtyje valstybės pareigūnų kategorijos pensijų sistemai.</w:t>
      </w:r>
    </w:p>
    <w:p w14:paraId="007A9FE8" w14:textId="433B3ABC" w:rsidR="00431AFC" w:rsidRDefault="00000000" w:rsidP="00431AFC">
      <w:pPr>
        <w:ind w:firstLine="567"/>
        <w:rPr>
          <w:rFonts w:cs="Calibri"/>
          <w:color w:val="0000FF"/>
          <w:u w:val="single"/>
        </w:rPr>
      </w:pPr>
      <w:hyperlink r:id="rId10" w:history="1">
        <w:r w:rsidR="00431AFC" w:rsidRPr="006A3B77">
          <w:rPr>
            <w:rFonts w:cs="Calibri"/>
            <w:color w:val="0000FF"/>
            <w:u w:val="single"/>
          </w:rPr>
          <w:t>Prieiga internete</w:t>
        </w:r>
      </w:hyperlink>
    </w:p>
    <w:p w14:paraId="58F64AF9" w14:textId="77777777" w:rsidR="00431AFC" w:rsidRPr="00431AFC" w:rsidRDefault="00431AFC" w:rsidP="00431AFC">
      <w:pPr>
        <w:ind w:firstLine="567"/>
        <w:rPr>
          <w:rFonts w:cs="Calibri"/>
          <w:u w:val="single"/>
        </w:rPr>
      </w:pPr>
    </w:p>
    <w:p w14:paraId="669E7BF4" w14:textId="25672171" w:rsidR="009A1625" w:rsidRDefault="009A1625" w:rsidP="009A1625">
      <w:pPr>
        <w:pStyle w:val="Antrat1"/>
      </w:pPr>
      <w:bookmarkStart w:id="12" w:name="_Toc148375039"/>
      <w:r>
        <w:t>UŽSIENIEČIŲ TEISINĖ PADĖTIS</w:t>
      </w:r>
      <w:bookmarkEnd w:id="12"/>
    </w:p>
    <w:p w14:paraId="4B7D11E4" w14:textId="77777777" w:rsidR="005D34B8" w:rsidRDefault="005D34B8" w:rsidP="005D34B8"/>
    <w:p w14:paraId="42FFC284" w14:textId="3CADB526" w:rsidR="005D34B8" w:rsidRPr="005D34B8" w:rsidRDefault="005D34B8" w:rsidP="005D34B8">
      <w:pPr>
        <w:pStyle w:val="Antrat2"/>
        <w:rPr>
          <w:color w:val="323E4F" w:themeColor="text2" w:themeShade="BF"/>
        </w:rPr>
      </w:pPr>
      <w:bookmarkStart w:id="13" w:name="_Toc148375040"/>
      <w:r w:rsidRPr="005D34B8">
        <w:rPr>
          <w:color w:val="323E4F" w:themeColor="text2" w:themeShade="BF"/>
        </w:rPr>
        <w:t xml:space="preserve">2023 m. sausio 12 d. sprendimas byloje </w:t>
      </w:r>
      <w:r w:rsidR="00A70E2F" w:rsidRPr="00A70E2F">
        <w:rPr>
          <w:i/>
          <w:iCs w:val="0"/>
          <w:color w:val="323E4F" w:themeColor="text2" w:themeShade="BF"/>
        </w:rPr>
        <w:t>Migracijos departamentas</w:t>
      </w:r>
      <w:r w:rsidR="009078E3" w:rsidRPr="009078E3">
        <w:t xml:space="preserve"> </w:t>
      </w:r>
      <w:r w:rsidR="009078E3" w:rsidRPr="009078E3">
        <w:rPr>
          <w:i/>
          <w:iCs w:val="0"/>
          <w:color w:val="323E4F" w:themeColor="text2" w:themeShade="BF"/>
        </w:rPr>
        <w:t>(Motifs de persécution fondés sur des opinions politiques)</w:t>
      </w:r>
      <w:r w:rsidRPr="005D34B8">
        <w:rPr>
          <w:color w:val="323E4F" w:themeColor="text2" w:themeShade="BF"/>
        </w:rPr>
        <w:t>, C-280/21</w:t>
      </w:r>
      <w:bookmarkEnd w:id="13"/>
    </w:p>
    <w:p w14:paraId="68D6083C" w14:textId="77777777" w:rsidR="005D34B8" w:rsidRPr="005D34B8" w:rsidRDefault="005D34B8" w:rsidP="005D34B8">
      <w:pPr>
        <w:tabs>
          <w:tab w:val="left" w:pos="6379"/>
        </w:tabs>
        <w:ind w:firstLine="540"/>
        <w:rPr>
          <w:rFonts w:eastAsia="Times New Roman" w:cs="Calibri"/>
          <w:lang w:eastAsia="lt-LT"/>
        </w:rPr>
      </w:pPr>
    </w:p>
    <w:p w14:paraId="7606CE2B" w14:textId="40FA4A4C" w:rsidR="005D34B8" w:rsidRPr="005D34B8" w:rsidRDefault="005D34B8" w:rsidP="005D34B8">
      <w:pPr>
        <w:tabs>
          <w:tab w:val="left" w:pos="6379"/>
        </w:tabs>
        <w:ind w:firstLine="540"/>
        <w:rPr>
          <w:rFonts w:asciiTheme="minorHAnsi" w:hAnsiTheme="minorHAnsi" w:cstheme="minorHAnsi"/>
        </w:rPr>
      </w:pPr>
      <w:r w:rsidRPr="005D34B8">
        <w:rPr>
          <w:rFonts w:asciiTheme="minorHAnsi" w:hAnsiTheme="minorHAnsi" w:cstheme="minorHAnsi"/>
        </w:rPr>
        <w:t>Bendra prieglobsčio ir imigracijos politika – Pabėgėlio statuso suteikimo sąlygos – Direktyva 2011/95/ES</w:t>
      </w:r>
      <w:r w:rsidRPr="005D34B8">
        <w:rPr>
          <w:rFonts w:asciiTheme="minorHAnsi" w:hAnsiTheme="minorHAnsi" w:cstheme="minorHAnsi"/>
          <w:vertAlign w:val="superscript"/>
        </w:rPr>
        <w:footnoteReference w:id="2"/>
      </w:r>
      <w:r w:rsidRPr="005D34B8">
        <w:rPr>
          <w:rFonts w:asciiTheme="minorHAnsi" w:hAnsiTheme="minorHAnsi" w:cstheme="minorHAnsi"/>
        </w:rPr>
        <w:t xml:space="preserve"> – Persekiojimo priežastys – „Politinių pažiūrų“ ir „priskiriamų politinių pažiūrų“ sąvokos – Prieglobsčio prašytojo bandymai kilmės šalyje teisinėmis priemonėmis gintis nuo neteisėtai veikiančių nevalstybinių subjektų, netgi pasitelkiančių atitinkamos valstybės teisėsaugą  </w:t>
      </w:r>
    </w:p>
    <w:p w14:paraId="7E2048CB" w14:textId="77777777" w:rsidR="005D34B8" w:rsidRPr="005D34B8" w:rsidRDefault="005D34B8" w:rsidP="005D34B8">
      <w:pPr>
        <w:tabs>
          <w:tab w:val="left" w:pos="6379"/>
        </w:tabs>
        <w:jc w:val="center"/>
        <w:rPr>
          <w:rFonts w:eastAsia="Times New Roman" w:cs="Calibri"/>
          <w:b/>
          <w:bCs/>
          <w:lang w:eastAsia="lt-LT"/>
        </w:rPr>
      </w:pPr>
    </w:p>
    <w:p w14:paraId="379599A5" w14:textId="77777777" w:rsidR="005D34B8" w:rsidRPr="005D34B8" w:rsidRDefault="005D34B8" w:rsidP="005D34B8">
      <w:pPr>
        <w:tabs>
          <w:tab w:val="left" w:pos="6379"/>
        </w:tabs>
        <w:jc w:val="center"/>
        <w:rPr>
          <w:rFonts w:eastAsia="Times New Roman" w:cs="Calibri"/>
          <w:b/>
          <w:bCs/>
          <w:lang w:eastAsia="lt-LT"/>
        </w:rPr>
      </w:pPr>
      <w:r w:rsidRPr="005D34B8">
        <w:rPr>
          <w:rFonts w:eastAsia="Times New Roman" w:cs="Calibri"/>
          <w:b/>
          <w:bCs/>
          <w:lang w:eastAsia="lt-LT"/>
        </w:rPr>
        <w:t>Bylos aplinkybės</w:t>
      </w:r>
    </w:p>
    <w:p w14:paraId="01341933" w14:textId="77777777" w:rsidR="005D34B8" w:rsidRPr="005D34B8" w:rsidRDefault="005D34B8" w:rsidP="005D34B8">
      <w:pPr>
        <w:tabs>
          <w:tab w:val="left" w:pos="6379"/>
        </w:tabs>
        <w:ind w:firstLine="540"/>
        <w:rPr>
          <w:rFonts w:eastAsia="Times New Roman" w:cs="Calibri"/>
          <w:lang w:eastAsia="lt-LT"/>
        </w:rPr>
      </w:pPr>
    </w:p>
    <w:p w14:paraId="46B76D3A"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Trečiosios šalies pilietis P.I. pateikė Migracijos departamentui prieglobsčio prašymą. Per visą tyrimą jis nuosekliai tvirtino, jog su valdžia korupciniais ryšiais susiję verslininkai perėmė jo turtą, o po to, kai jis pasipriešino, vieno iš šių verslininkų iniciatyva jam buvo iškelta baudžiamoji byla siekiant įbauginti; nutraukus šią bylą, ji buvo atnaujinta po to, kai P.I. pabandė gintis kilmės valstybės teismuose, ir joje, be kita ko, buvo priimtas nutarimas jį suimti. Migracijos departamentas atmetė P.I. prašymą suteikti pabėgėlio statusą, nusprendęs, kad nors motyvai, dėl kurių kilo baudžiamojo persekiojimo ir sulaikymo grėsmė, buvo nustatyti ir laikomi tikėtinais, jie neatitinka nė vieno Ženevos konvencijoje nurodyto motyvo, įskaitant, be kita ko, motyvą, grindžiamą „politinių pažiūrų“ sąvoka.</w:t>
      </w:r>
    </w:p>
    <w:p w14:paraId="05E630A7"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 xml:space="preserve">Taigi proceso šalys iš esmės nesutarė dėl „politinių pažiūrų“ </w:t>
      </w:r>
      <w:r w:rsidRPr="005D34B8">
        <w:rPr>
          <w:rFonts w:eastAsia="Times New Roman" w:cs="Calibri"/>
          <w:color w:val="000000"/>
          <w:lang w:eastAsia="lt-LT"/>
        </w:rPr>
        <w:t>sąvokos Direktyvos 2011/95 10 straipsnio prasme aiškinimo.</w:t>
      </w:r>
    </w:p>
    <w:p w14:paraId="6AE528CB" w14:textId="77777777" w:rsidR="005D34B8" w:rsidRPr="005D34B8" w:rsidRDefault="005D34B8" w:rsidP="005D34B8">
      <w:pPr>
        <w:tabs>
          <w:tab w:val="left" w:pos="6379"/>
        </w:tabs>
        <w:ind w:firstLine="540"/>
        <w:rPr>
          <w:rFonts w:eastAsia="Times New Roman" w:cs="Calibri"/>
          <w:lang w:eastAsia="lt-LT"/>
        </w:rPr>
      </w:pPr>
    </w:p>
    <w:p w14:paraId="745AE170" w14:textId="77777777" w:rsidR="005D34B8" w:rsidRPr="005D34B8" w:rsidRDefault="005D34B8" w:rsidP="005D34B8">
      <w:pPr>
        <w:tabs>
          <w:tab w:val="left" w:pos="6379"/>
        </w:tabs>
        <w:jc w:val="center"/>
        <w:rPr>
          <w:rFonts w:eastAsia="Times New Roman" w:cs="Calibri"/>
          <w:b/>
          <w:bCs/>
          <w:lang w:eastAsia="lt-LT"/>
        </w:rPr>
      </w:pPr>
      <w:r w:rsidRPr="005D34B8">
        <w:rPr>
          <w:rFonts w:eastAsia="Times New Roman" w:cs="Calibri"/>
          <w:b/>
          <w:bCs/>
          <w:lang w:eastAsia="lt-LT"/>
        </w:rPr>
        <w:t>Teisingumo Teismo vertinimas</w:t>
      </w:r>
    </w:p>
    <w:p w14:paraId="5D8782E4" w14:textId="77777777" w:rsidR="005D34B8" w:rsidRPr="005D34B8" w:rsidRDefault="005D34B8" w:rsidP="005D34B8">
      <w:pPr>
        <w:tabs>
          <w:tab w:val="left" w:pos="6379"/>
        </w:tabs>
        <w:jc w:val="center"/>
        <w:rPr>
          <w:rFonts w:eastAsia="Times New Roman" w:cs="Calibri"/>
          <w:lang w:eastAsia="lt-LT"/>
        </w:rPr>
      </w:pPr>
    </w:p>
    <w:p w14:paraId="32B552C0" w14:textId="77777777" w:rsidR="005D34B8" w:rsidRPr="005D34B8" w:rsidRDefault="005D34B8" w:rsidP="00487814">
      <w:pPr>
        <w:pStyle w:val="Antrat3"/>
        <w:ind w:firstLine="567"/>
        <w:rPr>
          <w:rFonts w:cstheme="minorHAnsi"/>
          <w:iCs/>
        </w:rPr>
      </w:pPr>
      <w:bookmarkStart w:id="14" w:name="_Toc148375041"/>
      <w:r w:rsidRPr="005D34B8">
        <w:rPr>
          <w:rFonts w:cstheme="minorHAnsi"/>
          <w:iCs/>
        </w:rPr>
        <w:t>Dėl „politinių pažiūrų“ sąvokos</w:t>
      </w:r>
      <w:bookmarkEnd w:id="14"/>
      <w:r w:rsidRPr="005D34B8">
        <w:rPr>
          <w:rFonts w:cstheme="minorHAnsi"/>
          <w:iCs/>
        </w:rPr>
        <w:t xml:space="preserve">  </w:t>
      </w:r>
    </w:p>
    <w:p w14:paraId="71345522" w14:textId="77777777" w:rsidR="005D34B8" w:rsidRPr="005D34B8" w:rsidRDefault="005D34B8" w:rsidP="005D34B8">
      <w:pPr>
        <w:tabs>
          <w:tab w:val="left" w:pos="6379"/>
        </w:tabs>
        <w:rPr>
          <w:rFonts w:eastAsia="Times New Roman" w:cs="Calibri"/>
          <w:lang w:eastAsia="lt-LT"/>
        </w:rPr>
      </w:pPr>
    </w:p>
    <w:p w14:paraId="7FB2DAD4"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Lietuvos vyriausiasis administracinis teismas iš esmės siekė išsiaiškinti, ar Direktyvos 2011/95 10 straipsnio 1 dalies e punktas ir 2 dalis turi būti aiškinami taip, kad sąvoka „politinės pažiūros“ apima tarptautinės apsaugos prašytojo, kaip tai suprantama pagal šios direktyvos 2 straipsnio h ir i punktus, bandymus teisinėmis priemonėmis apginti savo asmeninius turtinius ir ekonominius interesus nuo neteisėtai veikiančių nevalstybinių subjektų, kai šie dėl su atitinkama valstybe palaikomų korupcinių ryšių prieš prašytoją pasitelkia netgi jos teisėsaugą.</w:t>
      </w:r>
    </w:p>
    <w:p w14:paraId="0B82035C" w14:textId="01B1BCD6"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Teisingumo Teismas nurodė, kad sąvoka „politinės pažiūros“ turi būti aiškinama plačiai. Ši sąvoka apima bet kokias pažiūras, įsitikinimus ar tikėjimą, kurie nebūtinai yra tiesioginio ir betarpiško politinio pobūdžio, tačiau pasireiškia veiksmais ar neveikimu, kuriuos šios direktyvos 6 straipsnyje nurodyti persekiojimo vykdytojai suvokia kaip patenkančius į su jais pačiais ar jų politika ir (arba) jų metodais susijusią sritį ir atspindinčius prieštaravimą ar pasipriešinimą jiems.</w:t>
      </w:r>
    </w:p>
    <w:p w14:paraId="15C79C25"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 xml:space="preserve">Taigi sąvoka „politinės pažiūros“ apima tarptautinės apsaugos prašytojo, kaip tai suprantama pagal šios direktyvos 2 straipsnio h ir i punktus, bandymus teisinėmis priemonėmis apginti savo asmeninius turtinius ir ekonominius interesus nuo neteisėtai veikiančių nevalstybinių subjektų, kai šie dėl su atitinkama valstybe palaikomų korupcinių ryšių prieš prašytoją pasitelkia netgi jos teisėsaugą, jeigu persekiojimo vykdytojai šiuos bandymus suvokia kaip prieštaravimą ar pasipriešinimą su jais pačiais ar jų politika ir (arba) jų metodais susijusioje srityje. </w:t>
      </w:r>
    </w:p>
    <w:p w14:paraId="25BDE201"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 xml:space="preserve">Teisingumo Teismas taip pat pabrėžė, kad siekdamos nustatyti tokių pažiūrų egzistavimą ir priežastinį ryšį tarp jų ir persekiojimo veiksmų, kompetentingos valstybių narių institucijos turi atsižvelgti </w:t>
      </w:r>
      <w:r w:rsidRPr="005D34B8">
        <w:rPr>
          <w:rFonts w:eastAsia="Times New Roman" w:cs="Calibri"/>
          <w:lang w:eastAsia="lt-LT"/>
        </w:rPr>
        <w:lastRenderedPageBreak/>
        <w:t>į bendrą pabėgėlio statuso prašytojo kilmės šalies kontekstą, be kita ko, politiniu, teisiniu, teismų, istoriniu ir sociokultūriniu aspektais. Vertindamos Direktyvos 2011/95 4 straipsnyje nurodytus faktus ir aplinkybes bei atsižvelgdamos į visus svarbius faktus, valstybės narės kompetentingos institucijos turi turėti omenyje tai, kad gali būti labai sunku pateikti tiesioginių įrodymų, jog kilmės valstybės valdžios institucijos tam tikrą prašytojo veiksmą ar neveikimą gali suvokti kaip „politinių pažiūrų“ išraišką. Dėl to šios valdžios institucijos, atsižvelgdamos į visas aplinkybes, turi įvertinti, ar politinės pažiūros, kurias persekiojimo vykdytojai priskiria prašytojui, yra tikėtinos.</w:t>
      </w:r>
    </w:p>
    <w:p w14:paraId="0DA22211" w14:textId="77777777" w:rsidR="005D34B8" w:rsidRPr="005D34B8" w:rsidRDefault="005D34B8" w:rsidP="005D34B8">
      <w:pPr>
        <w:tabs>
          <w:tab w:val="left" w:pos="6379"/>
        </w:tabs>
        <w:ind w:firstLine="540"/>
        <w:rPr>
          <w:rFonts w:eastAsia="Times New Roman" w:cs="Calibri"/>
          <w:color w:val="0000FF"/>
          <w:u w:val="single"/>
          <w:lang w:eastAsia="lt-LT"/>
        </w:rPr>
      </w:pPr>
      <w:r w:rsidRPr="005D34B8">
        <w:rPr>
          <w:rFonts w:eastAsia="Times New Roman" w:cs="Calibri"/>
          <w:lang w:eastAsia="lt-LT"/>
        </w:rPr>
        <w:fldChar w:fldCharType="begin"/>
      </w:r>
      <w:r w:rsidRPr="005D34B8">
        <w:rPr>
          <w:rFonts w:eastAsia="Times New Roman" w:cs="Calibri"/>
          <w:lang w:eastAsia="lt-LT"/>
        </w:rPr>
        <w:instrText>HYPERLINK "https://curia.europa.eu/juris/document/document.jsf?text=&amp;docid=269147&amp;pageIndex=0&amp;doclang=LT&amp;mode=lst&amp;dir=&amp;occ=first&amp;part=1&amp;cid=272650"</w:instrText>
      </w:r>
      <w:r w:rsidRPr="005D34B8">
        <w:rPr>
          <w:rFonts w:eastAsia="Times New Roman" w:cs="Calibri"/>
          <w:lang w:eastAsia="lt-LT"/>
        </w:rPr>
      </w:r>
      <w:r w:rsidRPr="005D34B8">
        <w:rPr>
          <w:rFonts w:eastAsia="Times New Roman" w:cs="Calibri"/>
          <w:lang w:eastAsia="lt-LT"/>
        </w:rPr>
        <w:fldChar w:fldCharType="separate"/>
      </w:r>
      <w:r w:rsidRPr="005D34B8">
        <w:rPr>
          <w:rFonts w:eastAsia="Times New Roman" w:cs="Calibri"/>
          <w:color w:val="0000FF"/>
          <w:u w:val="single"/>
          <w:lang w:eastAsia="lt-LT"/>
        </w:rPr>
        <w:t>Prieiga internete</w:t>
      </w:r>
    </w:p>
    <w:p w14:paraId="2001941C"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fldChar w:fldCharType="end"/>
      </w:r>
    </w:p>
    <w:p w14:paraId="2C598F9B" w14:textId="2ECED7AE" w:rsidR="005D34B8" w:rsidRPr="005D34B8" w:rsidRDefault="005D34B8" w:rsidP="005D34B8">
      <w:pPr>
        <w:pStyle w:val="Antrat2"/>
        <w:rPr>
          <w:color w:val="323E4F" w:themeColor="text2" w:themeShade="BF"/>
        </w:rPr>
      </w:pPr>
      <w:bookmarkStart w:id="15" w:name="_Toc148375042"/>
      <w:r w:rsidRPr="005D34B8">
        <w:rPr>
          <w:color w:val="323E4F" w:themeColor="text2" w:themeShade="BF"/>
        </w:rPr>
        <w:t xml:space="preserve">2023 m. balandžio 27 d. sprendimas byloje </w:t>
      </w:r>
      <w:r w:rsidR="000F3571" w:rsidRPr="000F3571">
        <w:rPr>
          <w:i/>
          <w:iCs w:val="0"/>
          <w:color w:val="323E4F" w:themeColor="text2" w:themeShade="BF"/>
        </w:rPr>
        <w:t>M.D. (Interdiction d’entrée en Hongrie)</w:t>
      </w:r>
      <w:r w:rsidRPr="005D34B8">
        <w:rPr>
          <w:color w:val="323E4F" w:themeColor="text2" w:themeShade="BF"/>
        </w:rPr>
        <w:t>, C-528/21</w:t>
      </w:r>
      <w:bookmarkEnd w:id="15"/>
    </w:p>
    <w:p w14:paraId="02E6EB6E" w14:textId="77777777" w:rsidR="005D34B8" w:rsidRPr="005D34B8" w:rsidRDefault="005D34B8" w:rsidP="005D34B8">
      <w:pPr>
        <w:tabs>
          <w:tab w:val="left" w:pos="6379"/>
        </w:tabs>
        <w:ind w:firstLine="540"/>
        <w:rPr>
          <w:rFonts w:eastAsia="Times New Roman" w:cs="Calibri"/>
          <w:lang w:eastAsia="lt-LT"/>
        </w:rPr>
      </w:pPr>
    </w:p>
    <w:p w14:paraId="6FE27E53" w14:textId="3ED24C41" w:rsidR="005D34B8" w:rsidRPr="005D34B8" w:rsidRDefault="005D34B8" w:rsidP="005D34B8">
      <w:pPr>
        <w:tabs>
          <w:tab w:val="left" w:pos="6379"/>
        </w:tabs>
        <w:ind w:firstLine="540"/>
        <w:rPr>
          <w:rFonts w:asciiTheme="minorHAnsi" w:hAnsiTheme="minorHAnsi" w:cstheme="minorHAnsi"/>
        </w:rPr>
      </w:pPr>
      <w:r w:rsidRPr="005D34B8">
        <w:rPr>
          <w:rFonts w:asciiTheme="minorHAnsi" w:hAnsiTheme="minorHAnsi" w:cstheme="minorHAnsi"/>
        </w:rPr>
        <w:t>Imigracijos politika</w:t>
      </w:r>
      <w:r w:rsidR="00CA3CA1">
        <w:rPr>
          <w:rFonts w:asciiTheme="minorHAnsi" w:hAnsiTheme="minorHAnsi" w:cstheme="minorHAnsi"/>
        </w:rPr>
        <w:t xml:space="preserve"> </w:t>
      </w:r>
      <w:r w:rsidRPr="005D34B8">
        <w:rPr>
          <w:rFonts w:asciiTheme="minorHAnsi" w:hAnsiTheme="minorHAnsi" w:cstheme="minorHAnsi"/>
        </w:rPr>
        <w:t>– SESV 20 straipsnis</w:t>
      </w:r>
      <w:r w:rsidR="00CA3CA1">
        <w:rPr>
          <w:rFonts w:asciiTheme="minorHAnsi" w:hAnsiTheme="minorHAnsi" w:cstheme="minorHAnsi"/>
        </w:rPr>
        <w:t xml:space="preserve"> </w:t>
      </w:r>
      <w:r w:rsidRPr="005D34B8">
        <w:rPr>
          <w:rFonts w:asciiTheme="minorHAnsi" w:hAnsiTheme="minorHAnsi" w:cstheme="minorHAnsi"/>
        </w:rPr>
        <w:t>– Veiksmingas naudojimasis pagrindinėmis Sąjungos piliečio statuso suteikiamomis teisėmis</w:t>
      </w:r>
      <w:r w:rsidR="00CA3CA1">
        <w:rPr>
          <w:rFonts w:asciiTheme="minorHAnsi" w:hAnsiTheme="minorHAnsi" w:cstheme="minorHAnsi"/>
        </w:rPr>
        <w:t xml:space="preserve"> </w:t>
      </w:r>
      <w:r w:rsidRPr="005D34B8">
        <w:rPr>
          <w:rFonts w:asciiTheme="minorHAnsi" w:hAnsiTheme="minorHAnsi" w:cstheme="minorHAnsi"/>
        </w:rPr>
        <w:t>– Direktyva 2008/115/EB</w:t>
      </w:r>
      <w:r w:rsidRPr="005D34B8">
        <w:rPr>
          <w:rFonts w:asciiTheme="minorHAnsi" w:hAnsiTheme="minorHAnsi" w:cstheme="minorHAnsi"/>
          <w:vertAlign w:val="superscript"/>
        </w:rPr>
        <w:footnoteReference w:id="3"/>
      </w:r>
      <w:r w:rsidR="00CA3CA1">
        <w:rPr>
          <w:rFonts w:asciiTheme="minorHAnsi" w:hAnsiTheme="minorHAnsi" w:cstheme="minorHAnsi"/>
        </w:rPr>
        <w:t xml:space="preserve"> </w:t>
      </w:r>
      <w:r w:rsidRPr="005D34B8">
        <w:rPr>
          <w:rFonts w:asciiTheme="minorHAnsi" w:hAnsiTheme="minorHAnsi" w:cstheme="minorHAnsi"/>
        </w:rPr>
        <w:t>– Bendri neteisėtai esančių trečiųjų šalių piliečių grąžinimo standartai ir tvarka</w:t>
      </w:r>
      <w:r w:rsidR="00CA3CA1">
        <w:rPr>
          <w:rFonts w:asciiTheme="minorHAnsi" w:hAnsiTheme="minorHAnsi" w:cstheme="minorHAnsi"/>
        </w:rPr>
        <w:t xml:space="preserve"> </w:t>
      </w:r>
      <w:r w:rsidRPr="005D34B8">
        <w:rPr>
          <w:rFonts w:asciiTheme="minorHAnsi" w:hAnsiTheme="minorHAnsi" w:cstheme="minorHAnsi"/>
        </w:rPr>
        <w:t>valstybėse narėse</w:t>
      </w:r>
      <w:r w:rsidR="00CA3CA1">
        <w:rPr>
          <w:rFonts w:asciiTheme="minorHAnsi" w:hAnsiTheme="minorHAnsi" w:cstheme="minorHAnsi"/>
        </w:rPr>
        <w:t xml:space="preserve"> </w:t>
      </w:r>
      <w:r w:rsidRPr="005D34B8">
        <w:rPr>
          <w:rFonts w:asciiTheme="minorHAnsi" w:hAnsiTheme="minorHAnsi" w:cstheme="minorHAnsi"/>
        </w:rPr>
        <w:t>– Tiesioginis veikimas</w:t>
      </w:r>
      <w:r w:rsidR="00CA3CA1">
        <w:rPr>
          <w:rFonts w:asciiTheme="minorHAnsi" w:hAnsiTheme="minorHAnsi" w:cstheme="minorHAnsi"/>
        </w:rPr>
        <w:t xml:space="preserve"> </w:t>
      </w:r>
      <w:r w:rsidRPr="005D34B8">
        <w:rPr>
          <w:rFonts w:asciiTheme="minorHAnsi" w:hAnsiTheme="minorHAnsi" w:cstheme="minorHAnsi"/>
        </w:rPr>
        <w:t>– Teisė į veiksmingą teisminę gynybą</w:t>
      </w:r>
      <w:r w:rsidR="00CA3CA1">
        <w:rPr>
          <w:rFonts w:asciiTheme="minorHAnsi" w:hAnsiTheme="minorHAnsi" w:cstheme="minorHAnsi"/>
        </w:rPr>
        <w:t xml:space="preserve"> </w:t>
      </w:r>
      <w:r w:rsidRPr="005D34B8">
        <w:rPr>
          <w:rFonts w:asciiTheme="minorHAnsi" w:hAnsiTheme="minorHAnsi" w:cstheme="minorHAnsi"/>
        </w:rPr>
        <w:t>– Sprendimas uždrausti atvykti į šalį ir joje būti, priimtas dėl trečiosios šalies piliečio, nepilnamečio Sąjungos piliečio, šeimos nario</w:t>
      </w:r>
      <w:r w:rsidR="00CA3CA1">
        <w:rPr>
          <w:rFonts w:asciiTheme="minorHAnsi" w:hAnsiTheme="minorHAnsi" w:cstheme="minorHAnsi"/>
        </w:rPr>
        <w:t xml:space="preserve"> </w:t>
      </w:r>
      <w:r w:rsidRPr="005D34B8">
        <w:rPr>
          <w:rFonts w:asciiTheme="minorHAnsi" w:hAnsiTheme="minorHAnsi" w:cstheme="minorHAnsi"/>
        </w:rPr>
        <w:t>– Grėsmė nacionaliniam saugumui</w:t>
      </w:r>
      <w:r w:rsidR="00CA3CA1">
        <w:rPr>
          <w:rFonts w:asciiTheme="minorHAnsi" w:hAnsiTheme="minorHAnsi" w:cstheme="minorHAnsi"/>
        </w:rPr>
        <w:t xml:space="preserve"> </w:t>
      </w:r>
      <w:r w:rsidRPr="005D34B8">
        <w:rPr>
          <w:rFonts w:asciiTheme="minorHAnsi" w:hAnsiTheme="minorHAnsi" w:cstheme="minorHAnsi"/>
        </w:rPr>
        <w:t>– Neatsižvelgimas į individualią šio trečiosios šalies piliečio padėtį</w:t>
      </w:r>
    </w:p>
    <w:p w14:paraId="5F152C2A" w14:textId="77777777" w:rsidR="005D34B8" w:rsidRPr="005D34B8" w:rsidRDefault="005D34B8" w:rsidP="005D34B8">
      <w:pPr>
        <w:tabs>
          <w:tab w:val="left" w:pos="6379"/>
        </w:tabs>
        <w:rPr>
          <w:rFonts w:eastAsia="Times New Roman" w:cs="Calibri"/>
          <w:lang w:eastAsia="lt-LT"/>
        </w:rPr>
      </w:pPr>
    </w:p>
    <w:p w14:paraId="4A4C3B52" w14:textId="77777777" w:rsidR="005D34B8" w:rsidRPr="005D34B8" w:rsidRDefault="005D34B8" w:rsidP="005D34B8">
      <w:pPr>
        <w:tabs>
          <w:tab w:val="left" w:pos="6379"/>
        </w:tabs>
        <w:jc w:val="center"/>
        <w:rPr>
          <w:rFonts w:eastAsia="Times New Roman" w:cs="Calibri"/>
          <w:b/>
          <w:bCs/>
          <w:lang w:eastAsia="lt-LT"/>
        </w:rPr>
      </w:pPr>
      <w:r w:rsidRPr="005D34B8">
        <w:rPr>
          <w:rFonts w:eastAsia="Times New Roman" w:cs="Calibri"/>
          <w:b/>
          <w:bCs/>
          <w:lang w:eastAsia="lt-LT"/>
        </w:rPr>
        <w:t>Bylos aplinkybės</w:t>
      </w:r>
    </w:p>
    <w:p w14:paraId="698CA07D" w14:textId="77777777" w:rsidR="005D34B8" w:rsidRPr="005D34B8" w:rsidRDefault="005D34B8" w:rsidP="005D34B8">
      <w:pPr>
        <w:tabs>
          <w:tab w:val="left" w:pos="6379"/>
        </w:tabs>
        <w:rPr>
          <w:rFonts w:eastAsia="Times New Roman" w:cs="Calibri"/>
          <w:lang w:eastAsia="lt-LT"/>
        </w:rPr>
      </w:pPr>
    </w:p>
    <w:p w14:paraId="52F5C43C" w14:textId="1950E99C"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 xml:space="preserve">M. D. yra trečiosios šalies pilietis, atvykęs į Vengriją 2002 m. Šioje valstybėje narėje leidimo gyventi pagrindu (kuris kelis kartus buvo pratęstas) jis gyveno su savo motina bei Vengrijos pilietybę turinčiais partnere ir nepilnamečiu sūnumi. Visi trys asmenys buvo finansiškai priklausomi nuo M. D. Jis dirbo kepykloje, kurią pats valdė. Jam priklauso dar keturios kepyklos Vengrijoje, be to, jis įsteigė savo įmonę Slovakijoje. </w:t>
      </w:r>
    </w:p>
    <w:p w14:paraId="3976100F"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 xml:space="preserve">Už neteisėtą migrantų gabenimą M. D. buvo paskirta laisvės atėmimo bausmė, o jam paprašius išduoti leidimo nuolat gyventi šalyje kortelę, Migracijos policija tokį prašymą atmetė. Konstitucijos apsaugos tarnyba pripažino esant pagrindo teigti, kad M. D. veiksmai kelia realią, tiesioginę ir didelę grėsmę nacionaliniam saugumui. Remdamasi šia nuomone Migracijos policija konstatavo, kad M. D. teisė gyventi šalyje yra pasibaigusi, taip pat nusprendė grąžinti M. D. į kilmės šalį ir kartu uždraudė jam atvykti į šalį ir joje gyventi penkerius metus. Sostinės administracinių ir darbo bylų teismas sprendimą panaikino ir įpareigojo tą pačią instituciją pradėti naują procedūrą ir įvertinti visas bylos aplinkybes, visų pirma tai, kad M. D. kartu su partnere ir jų nepilnamečiu vaiku, Vengrijos piliečiu, toje šalyje gyveno kaip šeima. </w:t>
      </w:r>
    </w:p>
    <w:p w14:paraId="0152D643"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Pasibaigus šiai naujai procedūrai, Migracijos policija sprendimu atsisakė išduoti M. D. leidimo gyventi šalyje kortelę, remdamasi Konstitucijos apsaugos tarnybos ir Pešto medės vyriausiojo komisariato nuomone, kad M. D. asmeninis elgesys kelia realią, tiesioginę ir didelę grėsmę nacionaliniam saugumui. Be kita ko, buvo nurodyta, kad pagal nacionalinę teisę ji negalėjusi nukrypti nuo šios nuomonės. Migracijos policija M. D. uždraudė atvykti į Vengriją ir joje gyventi trejus metus ir nurodė į Šengeno informacinę sistemą (toliau – SIS) įvesti perspėjimą dėl šio draudimo. Pažymėta, kad Slovakijos institucijos suteikė M. D. leidimą gyventi šalyje dvejus metus. Prieš priimant sprendimą, kuriuo M. D. uždrausta atvykti į šalį ir joje gyventi, nebuvo priimta sprendimo grąžinti, nes M. D. jau buvo išvykęs iš Vengrijos.</w:t>
      </w:r>
    </w:p>
    <w:p w14:paraId="61F26E67" w14:textId="77777777" w:rsidR="005D34B8" w:rsidRPr="005D34B8" w:rsidRDefault="005D34B8" w:rsidP="005D34B8">
      <w:pPr>
        <w:tabs>
          <w:tab w:val="left" w:pos="6379"/>
        </w:tabs>
        <w:rPr>
          <w:rFonts w:eastAsia="Times New Roman" w:cs="Calibri"/>
          <w:lang w:eastAsia="lt-LT"/>
        </w:rPr>
      </w:pPr>
    </w:p>
    <w:p w14:paraId="2C8249C0" w14:textId="77777777" w:rsidR="005D34B8" w:rsidRPr="005D34B8" w:rsidRDefault="005D34B8" w:rsidP="005D34B8">
      <w:pPr>
        <w:tabs>
          <w:tab w:val="left" w:pos="6379"/>
        </w:tabs>
        <w:jc w:val="center"/>
        <w:rPr>
          <w:rFonts w:eastAsia="Times New Roman" w:cs="Calibri"/>
          <w:b/>
          <w:bCs/>
          <w:lang w:eastAsia="lt-LT"/>
        </w:rPr>
      </w:pPr>
      <w:r w:rsidRPr="005D34B8">
        <w:rPr>
          <w:rFonts w:eastAsia="Times New Roman" w:cs="Calibri"/>
          <w:b/>
          <w:bCs/>
          <w:lang w:eastAsia="lt-LT"/>
        </w:rPr>
        <w:t>Teisingumo Teismo vertinimas</w:t>
      </w:r>
    </w:p>
    <w:p w14:paraId="1D541202" w14:textId="77777777" w:rsidR="005D34B8" w:rsidRPr="005D34B8" w:rsidRDefault="005D34B8" w:rsidP="005D34B8">
      <w:pPr>
        <w:tabs>
          <w:tab w:val="left" w:pos="6379"/>
        </w:tabs>
        <w:ind w:firstLine="540"/>
        <w:rPr>
          <w:rFonts w:eastAsia="Times New Roman" w:cs="Calibri"/>
          <w:lang w:eastAsia="lt-LT"/>
        </w:rPr>
      </w:pPr>
    </w:p>
    <w:p w14:paraId="3D43A69A" w14:textId="77777777" w:rsidR="005D34B8" w:rsidRPr="005D34B8" w:rsidRDefault="005D34B8" w:rsidP="00487814">
      <w:pPr>
        <w:pStyle w:val="Antrat3"/>
        <w:ind w:firstLine="567"/>
        <w:rPr>
          <w:rFonts w:cstheme="minorHAnsi"/>
          <w:iCs/>
        </w:rPr>
      </w:pPr>
      <w:bookmarkStart w:id="16" w:name="_Toc148375043"/>
      <w:r w:rsidRPr="005D34B8">
        <w:rPr>
          <w:rFonts w:cstheme="minorHAnsi"/>
          <w:iCs/>
        </w:rPr>
        <w:t>Dėl pareigos atsižvelgti į sveikatos būklę, šeimos gyvenimą ir nepilnamečio vaiko interesus, kai nacionalinio saugumo sumetimais priimamas sprendimas uždrausti trečiosios šalies piliečiui atvykti į valstybės teritoriją</w:t>
      </w:r>
      <w:bookmarkEnd w:id="16"/>
    </w:p>
    <w:p w14:paraId="675B2D8C" w14:textId="05349AED" w:rsidR="005D34B8" w:rsidRPr="005D34B8" w:rsidRDefault="005D34B8" w:rsidP="005D34B8">
      <w:pPr>
        <w:tabs>
          <w:tab w:val="left" w:pos="6379"/>
        </w:tabs>
        <w:rPr>
          <w:rFonts w:eastAsia="Times New Roman" w:cs="Calibri"/>
          <w:lang w:eastAsia="lt-LT"/>
        </w:rPr>
      </w:pPr>
    </w:p>
    <w:p w14:paraId="2FEF3844"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 xml:space="preserve">Prašymą priimti prejudicinį sprendimą pateikęs teismas siekė sužinoti, ar SESV 20 straipsnis ir Direktyvos 2008/115 5 ir 11 straipsniai, siejami su Chartijos 7, 20, 24 ir 47 straipsniais, turi būti aiškinami taip, kad pagal juos valstybei narei draudžiama priimti sprendimą, kuriuo į Sąjungą uždraudžiama atvykti </w:t>
      </w:r>
      <w:r w:rsidRPr="005D34B8">
        <w:rPr>
          <w:rFonts w:eastAsia="Times New Roman" w:cs="Calibri"/>
          <w:lang w:eastAsia="lt-LT"/>
        </w:rPr>
        <w:lastRenderedPageBreak/>
        <w:t>trečiosios šalies piliečiui, Sąjungos ir šios valstybės narės piliečio, nepasinaudojusio judėjimo laisve, šeimos nariui, remiantis tuo, kad šio trečiosios šalies piliečio elgesys kelia realią, tiesioginę ir didelę grėsmę minėtos valstybės narės nacionaliniam saugumui, neišnagrinėjus šio trečiosios šalies piliečio asmeninės ir šeiminės padėties.</w:t>
      </w:r>
    </w:p>
    <w:p w14:paraId="074E4B78"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Teisingumo Teismas pažymėjo, kad Vengrijos institucijos, priimdamos pagrindinėje byloje nagrinėjamą sprendimą, kuriuo uždraudžiama atvykti į šalį ir joje gyventi (šis sprendimas sukelia poveikį Europos mastu), iš M. D. atėmė teisę gyventi visų valstybių narių teritorijoje. Teisingumo Teismo vertinimu, valstybė narė negali uždrausti atvykti į Sąjungos teritoriją trečiosios šalies piliečiui, kurio šeimos narys yra Sąjungos pilietis, niekada nesinaudojęs judėjimo laisve, nenustačiusi priklausomumo santykio tarp šio trečiosios šalies piliečio ir jo šeimos nario. Priešingai, nacionalinės kompetentingos institucijos privalo, visų pirma remdamosi įrodymais, kuriuos atitinkamas trečiosios šalies pilietis ir Sąjungos pilietis turi galėti laisvai joms pateikti, ir prireikus atlikusios būtiną paiešką, įvertinti, ar šiuos du asmenis sieja toks priklausomumo santykis.</w:t>
      </w:r>
    </w:p>
    <w:p w14:paraId="61B1E800"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Buvo atkreiptas dėmesys, kad valstybės narės, siekdamos palaikyti viešąją tvarką ar užtikrinti visuomenės saugumą, gali, laikydamosi tam tikrų sąlygų, nukrypti nuo išvestinės teisės gyventi šalyje, kylančios iš SESV 20 straipsnio, Sąjungos piliečio šeimos nario atžvilgiu. Taip gali būti tuo atveju, kai šis trečiosios šalies pilietis kelia tikrą, esamą ir pakankamai rimtą grėsmę viešajai tvarkai arba visuomenės ar nacionaliniam saugumui. Vis dėlto, Teisingumo Teismo vertinimu, tokios išimties taikymas negali būti grindžiamas vien atitinkamo trečiosios šalies piliečio teistumu. Ją galima taikyti tik konkrečiai įvertinus visas reikšmingas bylos aplinkybes ir atsižvelgiant į proporcingumo principą, į pagrindines teises, kurių laikymąsi užtikrina Teisingumo Teismas, ir, be kita ko, į nepilnamečio vaiko, Sąjungos piliečio, interesus. Taigi kompetentinga nacionalinė institucija, be kita ko, gali atsižvelgti į padarytų nusikaltimų sunkumą ir šių apkaltinamųjų nuosprendžių griežtumo laipsnį, taip pat laikotarpį nuo jų paskelbimo dienos iki tos dienos, kai priima sprendimą. Kai priklausomumo santykį tarp šio trečiosios šalies piliečio ir nepilnamečio Sąjungos piliečio lemia tai, kad pirmasis yra antrojo vienas iš tėvų, dar reikia atsižvelgti į šio nepilnamečio Sąjungos piliečio amžių ir sveikatos būklę, taip pat jo šeiminę ir ekonominę padėtį. Taigi, kai atitinkamą trečiosios šalies pilietį ir jo šeimos narį, Sąjungos pilietį, sieja priklausomumo santykis, atitinkama valstybė narė gali uždrausti šiam piliečiui atvykti į Sąjungos teritoriją ir joje gyventi viešosios tvarkos ar nacionalinio saugumo sumetimais tik atsižvelgusi į visas reikšmingas aplinkybes, visų pirma, į jo nepilnamečio vaiko, Sąjungos piliečio, interesus.</w:t>
      </w:r>
    </w:p>
    <w:p w14:paraId="011E24B1"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Teisingumo Teismas taip pat pažymėjo, kad Direktyvos 2008/115 tikslui ir bendrai struktūrai prieštarautų pozicija, kad nacionalinio saugumo sumetimais priimtas sprendimas uždrausti trečiosios šalies piliečiui atvykti į Sąjungos teritoriją nepatenka į šios direktyvos taikymo sritį, nes pirma nebuvo priimta sprendimo dėl šio trečiosios šalies piliečio grąžinimo. Taigi, Direktyvos 2008/115 5 straipsnyje įtvirtinta bendroji taisyklė, privaloma valstybėms narėms, kai tik jos įgyvendina šią direktyvą, ir pagal ją jos privalo tinkamai atsižvelgti į vaiko interesus, šeimos gyvenimą ir atitinkamo trečiosios šalies piliečio sveikatos būklę. Todėl tokia pareiga joms taip pat taikoma, kai jos ketina priimti sprendimą uždrausti atvykti, kaip tai suprantama pagal minėtos direktyvos 11 straipsnį. Taigi pagal minėtą 5 straipsnį draudžiama dėl trečiosios šalies piliečio priimti sprendimą uždrausti atvykti, kaip tai suprantama pagal Direktyvos 2008/115 11 straipsnį, prieš tai neatsižvelgus į jo sveikatos būklę ir prireikus – į jo šeimos gyvenimą ir jo nepilnamečio vaiko interesus.</w:t>
      </w:r>
    </w:p>
    <w:p w14:paraId="7C7241DC" w14:textId="77777777" w:rsidR="005D34B8" w:rsidRPr="005D34B8" w:rsidRDefault="005D34B8" w:rsidP="005D34B8">
      <w:pPr>
        <w:tabs>
          <w:tab w:val="left" w:pos="6379"/>
        </w:tabs>
        <w:ind w:firstLine="540"/>
        <w:rPr>
          <w:rFonts w:eastAsia="Times New Roman" w:cs="Calibri"/>
          <w:lang w:eastAsia="lt-LT"/>
        </w:rPr>
      </w:pPr>
    </w:p>
    <w:p w14:paraId="46559187" w14:textId="77777777" w:rsidR="005D34B8" w:rsidRPr="005D34B8" w:rsidRDefault="005D34B8" w:rsidP="00487814">
      <w:pPr>
        <w:pStyle w:val="Antrat3"/>
        <w:ind w:firstLine="567"/>
        <w:rPr>
          <w:rFonts w:cstheme="minorHAnsi"/>
          <w:iCs/>
        </w:rPr>
      </w:pPr>
      <w:bookmarkStart w:id="17" w:name="_Toc148375044"/>
      <w:r w:rsidRPr="005D34B8">
        <w:rPr>
          <w:rFonts w:cstheme="minorHAnsi"/>
          <w:iCs/>
        </w:rPr>
        <w:t>Dėl Direktyvos 2008/115 5 straipsnio tiesioginio veikimo</w:t>
      </w:r>
      <w:bookmarkEnd w:id="17"/>
    </w:p>
    <w:p w14:paraId="5BBCD01E" w14:textId="77777777" w:rsidR="005D34B8" w:rsidRPr="005D34B8" w:rsidRDefault="005D34B8" w:rsidP="005D34B8">
      <w:pPr>
        <w:tabs>
          <w:tab w:val="left" w:pos="6379"/>
        </w:tabs>
        <w:rPr>
          <w:rFonts w:eastAsia="Times New Roman" w:cs="Calibri"/>
          <w:lang w:eastAsia="lt-LT"/>
        </w:rPr>
      </w:pPr>
      <w:r w:rsidRPr="005D34B8">
        <w:rPr>
          <w:rFonts w:eastAsia="Times New Roman" w:cs="Calibri"/>
          <w:i/>
          <w:iCs/>
          <w:lang w:eastAsia="lt-LT"/>
        </w:rPr>
        <w:t xml:space="preserve"> </w:t>
      </w:r>
    </w:p>
    <w:p w14:paraId="7588F433"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t>Prašymą priimti prejudicinį sprendimą pateikęs teismas taip pat siekė išsiaiškinti, ar SESV 20 straipsnis ir Direktyvos 2008/115 5 ir 13 straipsniai, siejami su Chartijos 20 ir 47 straipsniais, turi būti aiškinami taip, kad, kai nacionaliniam teismui pateikiamas skundas dėl sprendimo uždrausti atvykti, priimto pagal nacionalinės teisės aktus, kurie nesuderinami su šiuo 5 straipsniu, tas teismas gali vadovautis ankstesniais nacionalinės teisės aktais arba privalo tiesiogiai taikyti minėtą 5 straipsnį. Šis klausimas  grindžiamas prielaida, kad Vengrijos teisės aktų leidėjas nepaisė Direktyvos 2008/115 5 straipsnyje numatytų garantijų, nes neįpareigojo nacionalinės kompetentingos institucijos, prieš trečiosios šalies piliečiui uždraudžiant atvykti nacionalinio saugumo sumetimais, tinkamai atsižvelgti į atitinkamo asmens sveikatos būklę ir prireikus – į jo šeimos gyvenimą bei vaiko interesus.</w:t>
      </w:r>
    </w:p>
    <w:p w14:paraId="220D388C" w14:textId="77777777" w:rsidR="005D34B8" w:rsidRPr="005D34B8" w:rsidRDefault="005D34B8" w:rsidP="005D34B8">
      <w:pPr>
        <w:tabs>
          <w:tab w:val="left" w:pos="6379"/>
        </w:tabs>
        <w:ind w:firstLine="540"/>
        <w:rPr>
          <w:rFonts w:eastAsia="Times New Roman" w:cs="Calibri"/>
          <w:lang w:eastAsia="lt-LT"/>
        </w:rPr>
      </w:pPr>
      <w:r w:rsidRPr="005D34B8">
        <w:rPr>
          <w:rFonts w:eastAsia="Times New Roman" w:cs="Calibri"/>
          <w:lang w:eastAsia="lt-LT"/>
        </w:rPr>
        <w:lastRenderedPageBreak/>
        <w:t>Teisingumo Teismas nurodė, kad, kai asmuo nacionaliniame teisme remiasi Direktyvos 2008/115 5 straipsniu prieš valstybę narę, kuri netinkamai perkėlė jį į nacionalinę teisę, šis teismas turi užtikrinti visišką tiesiogiai veikiančios Sąjungos teisės nuostatos veiksmingumą, ir, jei negali išaiškinti nacionalinės teisės aktų taip, kad jie atitiktų 5 straipsnį, savo iniciatyva netaikyti nacionalinių nuostatų, nesuderinamų su minėtu 5 straipsniu. Vadinasi, siekdamas užtikrinti veiksmingą pareigos tinkamai atsižvelgti į atitinkamo trečiosios šalies piliečio sveikatos būklę ir prireikus – į jo šeimos gyvenimą ir vaiko interesus įgyvendinimą, nacionalinis teismas, nagrinėjantis skundą dėl sprendimo uždrausti atvykti, priimto remiantis nacionalinės teisės aktais, kurie negali būti aiškinami laikantis iš Direktyvos 2008/115 5 straipsnio kylančių reikalavimų, turi išsiaiškinti, ar gali nukrypti tik nuo tos šių teisės aktų dalies, kuri trukdo tinkamai atsižvelgti į šiuos reikalavimus. Antraip nacionalinis teismas turėtų nesivadovauti visais minėtais teisės aktais ir savo sprendimą tiesiogiai grįsti šiuo 5 straipsniu. Direktyvos 2008/115 5 straipsnį pripažinus tiesiogiai veikiančiu, nacionaliniam teismui, netaikiusiam šiam 5 straipsniui prieštaraujančių nacionalinės teisės aktų, nekyla pareigos taikyti ankstesnių nacionalinės teisės aktų, kuriais suteikiamos papildomos garantijos (be garantijų minėto 5 straipsnio pagrindu).</w:t>
      </w:r>
    </w:p>
    <w:p w14:paraId="40133E30" w14:textId="77777777" w:rsidR="005D34B8" w:rsidRPr="005D34B8" w:rsidRDefault="005D34B8" w:rsidP="005D34B8">
      <w:pPr>
        <w:tabs>
          <w:tab w:val="left" w:pos="6379"/>
        </w:tabs>
        <w:ind w:firstLine="540"/>
        <w:rPr>
          <w:rFonts w:eastAsia="Times New Roman" w:cs="Calibri"/>
          <w:color w:val="0000FF"/>
          <w:u w:val="single"/>
          <w:lang w:eastAsia="lt-LT"/>
        </w:rPr>
      </w:pPr>
      <w:r w:rsidRPr="005D34B8">
        <w:rPr>
          <w:rFonts w:eastAsia="Times New Roman" w:cs="Calibri"/>
          <w:lang w:eastAsia="lt-LT"/>
        </w:rPr>
        <w:fldChar w:fldCharType="begin"/>
      </w:r>
      <w:r w:rsidRPr="005D34B8">
        <w:rPr>
          <w:rFonts w:eastAsia="Times New Roman" w:cs="Calibri"/>
          <w:lang w:eastAsia="lt-LT"/>
        </w:rPr>
        <w:instrText>HYPERLINK "https://curia.europa.eu/juris/document/document.jsf?text=&amp;docid=272966&amp;pageIndex=0&amp;doclang=LT&amp;mode=lst&amp;dir=&amp;occ=first&amp;part=1&amp;cid=384721"</w:instrText>
      </w:r>
      <w:r w:rsidRPr="005D34B8">
        <w:rPr>
          <w:rFonts w:eastAsia="Times New Roman" w:cs="Calibri"/>
          <w:lang w:eastAsia="lt-LT"/>
        </w:rPr>
      </w:r>
      <w:r w:rsidRPr="005D34B8">
        <w:rPr>
          <w:rFonts w:eastAsia="Times New Roman" w:cs="Calibri"/>
          <w:lang w:eastAsia="lt-LT"/>
        </w:rPr>
        <w:fldChar w:fldCharType="separate"/>
      </w:r>
      <w:r w:rsidRPr="005D34B8">
        <w:rPr>
          <w:rFonts w:eastAsia="Times New Roman" w:cs="Calibri"/>
          <w:color w:val="0000FF"/>
          <w:u w:val="single"/>
          <w:lang w:eastAsia="lt-LT"/>
        </w:rPr>
        <w:t>Prieiga internete</w:t>
      </w:r>
    </w:p>
    <w:p w14:paraId="3F4D41E6" w14:textId="3D457D7F" w:rsidR="005D34B8" w:rsidRDefault="005D34B8" w:rsidP="005D34B8">
      <w:pPr>
        <w:rPr>
          <w:rFonts w:eastAsia="Times New Roman" w:cs="Calibri"/>
          <w:lang w:eastAsia="lt-LT"/>
        </w:rPr>
      </w:pPr>
      <w:r w:rsidRPr="005D34B8">
        <w:rPr>
          <w:rFonts w:eastAsia="Times New Roman" w:cs="Calibri"/>
          <w:lang w:eastAsia="lt-LT"/>
        </w:rPr>
        <w:fldChar w:fldCharType="end"/>
      </w:r>
    </w:p>
    <w:p w14:paraId="291C45F5" w14:textId="77777777" w:rsidR="007F29E2" w:rsidRDefault="007F29E2" w:rsidP="007F29E2">
      <w:pPr>
        <w:pStyle w:val="Antrat1"/>
        <w:rPr>
          <w:szCs w:val="22"/>
        </w:rPr>
      </w:pPr>
      <w:bookmarkStart w:id="18" w:name="_Toc148375045"/>
      <w:r w:rsidRPr="00D30F5E">
        <w:rPr>
          <w:szCs w:val="22"/>
        </w:rPr>
        <w:t>PIKTNAUDŽIAVIMAS DOMINUOJANČIA PADĖTIMI</w:t>
      </w:r>
      <w:bookmarkEnd w:id="18"/>
      <w:r w:rsidRPr="00D30F5E">
        <w:rPr>
          <w:szCs w:val="22"/>
        </w:rPr>
        <w:t xml:space="preserve"> </w:t>
      </w:r>
    </w:p>
    <w:p w14:paraId="3CB49D7F" w14:textId="77777777" w:rsidR="007F29E2" w:rsidRPr="00100405" w:rsidRDefault="007F29E2" w:rsidP="007F29E2"/>
    <w:p w14:paraId="780AF4A3" w14:textId="77777777" w:rsidR="007F29E2" w:rsidRPr="00D30F5E" w:rsidRDefault="007F29E2" w:rsidP="007F29E2">
      <w:pPr>
        <w:pStyle w:val="Antrat2"/>
        <w:rPr>
          <w:rFonts w:cstheme="minorHAnsi"/>
          <w:color w:val="323E4F" w:themeColor="text2" w:themeShade="BF"/>
          <w:szCs w:val="22"/>
          <w:lang w:val="en-US"/>
        </w:rPr>
      </w:pPr>
      <w:bookmarkStart w:id="19" w:name="_Toc148375046"/>
      <w:r w:rsidRPr="00D30F5E">
        <w:rPr>
          <w:rFonts w:cstheme="minorHAnsi"/>
          <w:color w:val="323E4F" w:themeColor="text2" w:themeShade="BF"/>
          <w:szCs w:val="22"/>
        </w:rPr>
        <w:t xml:space="preserve">2023 m. sausio 12 d. </w:t>
      </w:r>
      <w:r w:rsidRPr="00100405">
        <w:rPr>
          <w:color w:val="323E4F" w:themeColor="text2" w:themeShade="BF"/>
        </w:rPr>
        <w:t>sprendimas</w:t>
      </w:r>
      <w:r w:rsidRPr="00D30F5E">
        <w:rPr>
          <w:rFonts w:cstheme="minorHAnsi"/>
          <w:color w:val="323E4F" w:themeColor="text2" w:themeShade="BF"/>
          <w:szCs w:val="22"/>
        </w:rPr>
        <w:t xml:space="preserve"> byloje </w:t>
      </w:r>
      <w:r w:rsidRPr="00A2387D">
        <w:rPr>
          <w:rFonts w:cstheme="minorHAnsi"/>
          <w:i/>
          <w:iCs w:val="0"/>
          <w:color w:val="323E4F" w:themeColor="text2" w:themeShade="BF"/>
          <w:szCs w:val="22"/>
        </w:rPr>
        <w:t>Lietuvos geležinkeliai prieš Komisiją</w:t>
      </w:r>
      <w:r w:rsidRPr="00D30F5E">
        <w:rPr>
          <w:rFonts w:cstheme="minorHAnsi"/>
          <w:color w:val="323E4F" w:themeColor="text2" w:themeShade="BF"/>
          <w:szCs w:val="22"/>
        </w:rPr>
        <w:t>, C-</w:t>
      </w:r>
      <w:r w:rsidRPr="00D30F5E">
        <w:rPr>
          <w:rFonts w:cstheme="minorHAnsi"/>
          <w:color w:val="323E4F" w:themeColor="text2" w:themeShade="BF"/>
          <w:szCs w:val="22"/>
          <w:lang w:val="en-US"/>
        </w:rPr>
        <w:t>42/21 P</w:t>
      </w:r>
      <w:bookmarkEnd w:id="19"/>
    </w:p>
    <w:p w14:paraId="575819CF" w14:textId="77777777" w:rsidR="007F29E2" w:rsidRPr="00D30F5E" w:rsidRDefault="007F29E2" w:rsidP="007F29E2">
      <w:pPr>
        <w:rPr>
          <w:rFonts w:asciiTheme="minorHAnsi" w:hAnsiTheme="minorHAnsi" w:cstheme="minorHAnsi"/>
          <w:lang w:val="en-US" w:eastAsia="lt-LT"/>
        </w:rPr>
      </w:pPr>
    </w:p>
    <w:p w14:paraId="69E2F922" w14:textId="6E2952BA" w:rsidR="007F29E2" w:rsidRPr="00D30F5E" w:rsidRDefault="007F29E2" w:rsidP="007F29E2">
      <w:pPr>
        <w:ind w:firstLine="567"/>
        <w:rPr>
          <w:rFonts w:asciiTheme="minorHAnsi" w:hAnsiTheme="minorHAnsi" w:cstheme="minorHAnsi"/>
          <w:color w:val="000000"/>
        </w:rPr>
      </w:pPr>
      <w:r w:rsidRPr="00D30F5E">
        <w:rPr>
          <w:rFonts w:asciiTheme="minorHAnsi" w:hAnsiTheme="minorHAnsi" w:cstheme="minorHAnsi"/>
          <w:color w:val="000000"/>
        </w:rPr>
        <w:t>Apeliacinis skundas</w:t>
      </w:r>
      <w:r w:rsidR="006B792A">
        <w:rPr>
          <w:rFonts w:asciiTheme="minorHAnsi" w:hAnsiTheme="minorHAnsi" w:cstheme="minorHAnsi"/>
          <w:color w:val="000000"/>
        </w:rPr>
        <w:t xml:space="preserve"> </w:t>
      </w:r>
      <w:r w:rsidRPr="00D30F5E">
        <w:rPr>
          <w:rFonts w:asciiTheme="minorHAnsi" w:hAnsiTheme="minorHAnsi" w:cstheme="minorHAnsi"/>
          <w:color w:val="000000"/>
        </w:rPr>
        <w:t>– Konkurencija</w:t>
      </w:r>
      <w:r w:rsidR="006B792A">
        <w:rPr>
          <w:rFonts w:asciiTheme="minorHAnsi" w:hAnsiTheme="minorHAnsi" w:cstheme="minorHAnsi"/>
          <w:color w:val="000000"/>
        </w:rPr>
        <w:t xml:space="preserve"> </w:t>
      </w:r>
      <w:r w:rsidRPr="00D30F5E">
        <w:rPr>
          <w:rFonts w:asciiTheme="minorHAnsi" w:hAnsiTheme="minorHAnsi" w:cstheme="minorHAnsi"/>
          <w:color w:val="000000"/>
        </w:rPr>
        <w:t>– Piktnaudžiavimas dominuojančia padėtimi</w:t>
      </w:r>
      <w:r w:rsidR="006B792A">
        <w:rPr>
          <w:rFonts w:asciiTheme="minorHAnsi" w:hAnsiTheme="minorHAnsi" w:cstheme="minorHAnsi"/>
          <w:color w:val="000000"/>
        </w:rPr>
        <w:t xml:space="preserve"> </w:t>
      </w:r>
      <w:r w:rsidRPr="00D30F5E">
        <w:rPr>
          <w:rFonts w:asciiTheme="minorHAnsi" w:hAnsiTheme="minorHAnsi" w:cstheme="minorHAnsi"/>
          <w:color w:val="000000"/>
        </w:rPr>
        <w:t>– Krovinių vežimo geležinkeliais rinka</w:t>
      </w:r>
      <w:r w:rsidR="006B792A">
        <w:rPr>
          <w:rFonts w:asciiTheme="minorHAnsi" w:hAnsiTheme="minorHAnsi" w:cstheme="minorHAnsi"/>
          <w:color w:val="000000"/>
        </w:rPr>
        <w:t xml:space="preserve"> </w:t>
      </w:r>
      <w:r w:rsidRPr="00D30F5E">
        <w:rPr>
          <w:rFonts w:asciiTheme="minorHAnsi" w:hAnsiTheme="minorHAnsi" w:cstheme="minorHAnsi"/>
          <w:color w:val="000000"/>
        </w:rPr>
        <w:t>– Sprendimas, kuriuo konstatuotas SESV 102 straipsnio pažeidimas</w:t>
      </w:r>
      <w:r w:rsidR="006B792A">
        <w:rPr>
          <w:rFonts w:asciiTheme="minorHAnsi" w:hAnsiTheme="minorHAnsi" w:cstheme="minorHAnsi"/>
          <w:color w:val="000000"/>
        </w:rPr>
        <w:t xml:space="preserve"> </w:t>
      </w:r>
      <w:r w:rsidRPr="00D30F5E">
        <w:rPr>
          <w:rFonts w:asciiTheme="minorHAnsi" w:hAnsiTheme="minorHAnsi" w:cstheme="minorHAnsi"/>
          <w:color w:val="000000"/>
        </w:rPr>
        <w:t>– Trečiųjų įmonių prieiga prie Lietuvos nacionalinės geležinkelių bendrovės valdomos infrastruktūros</w:t>
      </w:r>
      <w:r w:rsidR="006B792A">
        <w:rPr>
          <w:rFonts w:asciiTheme="minorHAnsi" w:hAnsiTheme="minorHAnsi" w:cstheme="minorHAnsi"/>
          <w:color w:val="000000"/>
        </w:rPr>
        <w:t xml:space="preserve"> </w:t>
      </w:r>
      <w:r w:rsidRPr="00D30F5E">
        <w:rPr>
          <w:rFonts w:asciiTheme="minorHAnsi" w:hAnsiTheme="minorHAnsi" w:cstheme="minorHAnsi"/>
          <w:color w:val="000000"/>
        </w:rPr>
        <w:t>– Geležinkelio ruožo išardymas</w:t>
      </w:r>
      <w:r w:rsidR="006B792A">
        <w:rPr>
          <w:rFonts w:asciiTheme="minorHAnsi" w:hAnsiTheme="minorHAnsi" w:cstheme="minorHAnsi"/>
          <w:color w:val="000000"/>
        </w:rPr>
        <w:t xml:space="preserve"> </w:t>
      </w:r>
      <w:r w:rsidRPr="00D30F5E">
        <w:rPr>
          <w:rFonts w:asciiTheme="minorHAnsi" w:hAnsiTheme="minorHAnsi" w:cstheme="minorHAnsi"/>
          <w:color w:val="000000"/>
        </w:rPr>
        <w:t>– Sąvoka „piktnaudžiavimas“</w:t>
      </w:r>
      <w:r w:rsidR="006B792A">
        <w:rPr>
          <w:rFonts w:asciiTheme="minorHAnsi" w:hAnsiTheme="minorHAnsi" w:cstheme="minorHAnsi"/>
          <w:color w:val="000000"/>
        </w:rPr>
        <w:t xml:space="preserve"> </w:t>
      </w:r>
      <w:r w:rsidRPr="00D30F5E">
        <w:rPr>
          <w:rFonts w:asciiTheme="minorHAnsi" w:hAnsiTheme="minorHAnsi" w:cstheme="minorHAnsi"/>
          <w:color w:val="000000"/>
        </w:rPr>
        <w:t>– Realus ar tikėtinas konkurento išstūmimas</w:t>
      </w:r>
      <w:r w:rsidR="006B792A">
        <w:rPr>
          <w:rFonts w:asciiTheme="minorHAnsi" w:hAnsiTheme="minorHAnsi" w:cstheme="minorHAnsi"/>
          <w:color w:val="000000"/>
        </w:rPr>
        <w:t xml:space="preserve"> </w:t>
      </w:r>
      <w:r w:rsidRPr="00D30F5E">
        <w:rPr>
          <w:rFonts w:asciiTheme="minorHAnsi" w:hAnsiTheme="minorHAnsi" w:cstheme="minorHAnsi"/>
          <w:color w:val="000000"/>
        </w:rPr>
        <w:t>– Bendrojo Teismo naudojimasis neribota jurisdikcija</w:t>
      </w:r>
      <w:r w:rsidR="006B792A">
        <w:rPr>
          <w:rFonts w:asciiTheme="minorHAnsi" w:hAnsiTheme="minorHAnsi" w:cstheme="minorHAnsi"/>
          <w:color w:val="000000"/>
        </w:rPr>
        <w:t xml:space="preserve"> </w:t>
      </w:r>
      <w:r w:rsidRPr="00D30F5E">
        <w:rPr>
          <w:rFonts w:asciiTheme="minorHAnsi" w:hAnsiTheme="minorHAnsi" w:cstheme="minorHAnsi"/>
          <w:color w:val="000000"/>
        </w:rPr>
        <w:t>– Baudos sumažinimas</w:t>
      </w:r>
    </w:p>
    <w:p w14:paraId="437C6C83" w14:textId="77777777" w:rsidR="007F29E2" w:rsidRPr="00D30F5E" w:rsidRDefault="007F29E2" w:rsidP="007F29E2">
      <w:pPr>
        <w:rPr>
          <w:rFonts w:asciiTheme="minorHAnsi" w:hAnsiTheme="minorHAnsi" w:cstheme="minorHAnsi"/>
          <w:lang w:val="en-US" w:eastAsia="lt-LT"/>
        </w:rPr>
      </w:pPr>
    </w:p>
    <w:p w14:paraId="175BAB4B" w14:textId="77777777" w:rsidR="007F29E2" w:rsidRPr="00D30F5E" w:rsidRDefault="007F29E2" w:rsidP="007F29E2">
      <w:pPr>
        <w:tabs>
          <w:tab w:val="left" w:pos="6379"/>
        </w:tabs>
        <w:jc w:val="center"/>
        <w:rPr>
          <w:rFonts w:asciiTheme="minorHAnsi" w:hAnsiTheme="minorHAnsi" w:cstheme="minorHAnsi"/>
          <w:b/>
        </w:rPr>
      </w:pPr>
      <w:r w:rsidRPr="00D30F5E">
        <w:rPr>
          <w:rFonts w:asciiTheme="minorHAnsi" w:hAnsiTheme="minorHAnsi" w:cstheme="minorHAnsi"/>
          <w:b/>
        </w:rPr>
        <w:t>Bylos aplinkybės</w:t>
      </w:r>
    </w:p>
    <w:p w14:paraId="32C71D96" w14:textId="77777777" w:rsidR="007F29E2" w:rsidRPr="00D30F5E" w:rsidRDefault="007F29E2" w:rsidP="007F29E2">
      <w:pPr>
        <w:rPr>
          <w:rFonts w:asciiTheme="minorHAnsi" w:hAnsiTheme="minorHAnsi" w:cstheme="minorHAnsi"/>
        </w:rPr>
      </w:pPr>
    </w:p>
    <w:p w14:paraId="1BC6C5F5" w14:textId="77777777" w:rsidR="007F29E2" w:rsidRPr="00D30F5E" w:rsidRDefault="007F29E2" w:rsidP="007F29E2">
      <w:pPr>
        <w:ind w:firstLine="567"/>
        <w:rPr>
          <w:rFonts w:asciiTheme="minorHAnsi" w:hAnsiTheme="minorHAnsi" w:cstheme="minorHAnsi"/>
        </w:rPr>
      </w:pPr>
      <w:r w:rsidRPr="00D30F5E">
        <w:rPr>
          <w:rFonts w:asciiTheme="minorHAnsi" w:hAnsiTheme="minorHAnsi" w:cstheme="minorHAnsi"/>
        </w:rPr>
        <w:t>Lietuvos nacionalinė geležinkelių bendrovė AB „Lietuvos geležinkeliai“ (toliau – LG) yra ir geležinkelių infrastruktūros valdytoja, ir krovinių vežimo geležinkeliu paslaugų teikėja Lietuvoje.</w:t>
      </w:r>
    </w:p>
    <w:p w14:paraId="33A4FFE7" w14:textId="4D76B83E" w:rsidR="007F29E2" w:rsidRPr="00D30F5E" w:rsidRDefault="007F29E2" w:rsidP="007F29E2">
      <w:pPr>
        <w:ind w:firstLine="567"/>
        <w:rPr>
          <w:rFonts w:asciiTheme="minorHAnsi" w:hAnsiTheme="minorHAnsi" w:cstheme="minorHAnsi"/>
        </w:rPr>
      </w:pPr>
      <w:r w:rsidRPr="00D30F5E">
        <w:rPr>
          <w:rFonts w:asciiTheme="minorHAnsi" w:hAnsiTheme="minorHAnsi" w:cstheme="minorHAnsi"/>
        </w:rPr>
        <w:t>1999 m. LG sudarė komercinį susitarimą su AB „ORLEN Lietuva“ (toliau – Orlen), Lenkijos naftos įmonei PKN Orlen SA priklausančia Lietuvos naftos bendrove, kad jai teiktų vežimo geležinkeliais paslaugas Lietuvos teritorijoje. Šis susitarimas, be kita ko, buvo skirtas naftos produktams vežti iš Orlen priklausančios didelės naftos perdirbimo gamyklos, esančios Bugeniuose, Lietuvos šiaurės rytuose, netoli sienos su Latvija, į Klaipėdos (Lietuva) jūrų terminalą. 2008 m. kilus LG ir Orlen ginčui pastaroji bendrovė numatė galimybę jūrų eksporto iš Klaipėdos veiklą perkelti į Rygos ir Ventspilio (Latvija) jūrų terminalus ir tokiomis aplinkybėmis šių produktų iš Bugenių naftos perdirbimo gamyklos vežimą patikėti Latvijos nacionalinei geležinkelių bendrovei Latvijas dzelzceļš (toliau – LDZ). Dėl kelių dešimčių metrų geležinkelio trumpajame maršrute į Latviją deformacijos LG sustabdė eismą 19 km ilgio atkarpa tarp Mažeikių (Lietuva) ir sienos su Latvija. Nuo 2008 m. spalio 3 d. LG pradėjo išmontuoti aptariamą geležinkelio kelią, o 2008 m. spalio mėn. pabaigoje jis buvo visiškai išmontuotas. Manydama, kad LG neketina trumpuoju laikotarpiu suremontuoti aptariamo geležinkelio kelio, Orlen turėjo atsisakyti planų naudotis LDZ paslaugomis. 2017</w:t>
      </w:r>
      <w:r w:rsidR="0030303A">
        <w:rPr>
          <w:rFonts w:asciiTheme="minorHAnsi" w:hAnsiTheme="minorHAnsi" w:cstheme="minorHAnsi"/>
        </w:rPr>
        <w:t> </w:t>
      </w:r>
      <w:r w:rsidRPr="00D30F5E">
        <w:rPr>
          <w:rFonts w:asciiTheme="minorHAnsi" w:hAnsiTheme="minorHAnsi" w:cstheme="minorHAnsi"/>
        </w:rPr>
        <w:t>m. spalio 2 d. sprendimu Komisija skyrė LG beveik 28 mln. EUR baudą už piktnaudžiavimą dominuojančia padėtimi Lietuvos krovinių vežimo rinkoje. Tuomet LG pareiškė Bendrajame Teisme ieškinį dėl ginčijamo sprendimo panaikinimo ir baudos sumažinimo. 2020 m. lapkričio 18 d. sprendimu Bendrasis Teismas atmetė LG ieškinį ir sumažino baudą iki 20 068 650 EUR. LG pateikė Teisingumo Teismui apeliacinį skundą dėl Bendrojo Teismo sprendimo panaikinimo.</w:t>
      </w:r>
    </w:p>
    <w:p w14:paraId="5BFA07B9" w14:textId="77777777" w:rsidR="007F29E2" w:rsidRPr="00D30F5E" w:rsidRDefault="007F29E2" w:rsidP="007F29E2">
      <w:pPr>
        <w:ind w:firstLine="567"/>
        <w:rPr>
          <w:rFonts w:asciiTheme="minorHAnsi" w:hAnsiTheme="minorHAnsi" w:cstheme="minorHAnsi"/>
        </w:rPr>
      </w:pPr>
    </w:p>
    <w:p w14:paraId="22073700" w14:textId="77777777" w:rsidR="007F29E2" w:rsidRPr="00D30F5E" w:rsidRDefault="007F29E2" w:rsidP="007F29E2">
      <w:pPr>
        <w:ind w:firstLine="567"/>
        <w:jc w:val="center"/>
        <w:rPr>
          <w:rFonts w:asciiTheme="minorHAnsi" w:hAnsiTheme="minorHAnsi" w:cstheme="minorHAnsi"/>
          <w:b/>
          <w:bCs/>
        </w:rPr>
      </w:pPr>
      <w:r w:rsidRPr="00D30F5E">
        <w:rPr>
          <w:rFonts w:asciiTheme="minorHAnsi" w:hAnsiTheme="minorHAnsi" w:cstheme="minorHAnsi"/>
          <w:b/>
          <w:bCs/>
        </w:rPr>
        <w:t>Teisingumo Teismo vertinimas</w:t>
      </w:r>
    </w:p>
    <w:p w14:paraId="09D5B8F8" w14:textId="77777777" w:rsidR="007F29E2" w:rsidRDefault="007F29E2" w:rsidP="007F29E2">
      <w:pPr>
        <w:ind w:firstLine="567"/>
        <w:rPr>
          <w:rFonts w:asciiTheme="minorHAnsi" w:hAnsiTheme="minorHAnsi" w:cstheme="minorHAnsi"/>
        </w:rPr>
      </w:pPr>
    </w:p>
    <w:p w14:paraId="6DE585E1" w14:textId="77777777" w:rsidR="007F717D" w:rsidRPr="007F717D" w:rsidRDefault="007F717D" w:rsidP="007F717D">
      <w:pPr>
        <w:pStyle w:val="Antrat3"/>
        <w:ind w:firstLine="567"/>
        <w:rPr>
          <w:rFonts w:cs="Calibri"/>
        </w:rPr>
      </w:pPr>
      <w:bookmarkStart w:id="20" w:name="_Toc148375047"/>
      <w:r w:rsidRPr="007F717D">
        <w:rPr>
          <w:rFonts w:cs="Calibri"/>
          <w14:ligatures w14:val="standardContextual"/>
        </w:rPr>
        <w:t xml:space="preserve">Dėl išardyto </w:t>
      </w:r>
      <w:r w:rsidRPr="007F717D">
        <w:rPr>
          <w:rFonts w:cstheme="minorHAnsi"/>
          <w:iCs/>
        </w:rPr>
        <w:t>geležinkelio</w:t>
      </w:r>
      <w:r w:rsidRPr="007F717D">
        <w:rPr>
          <w:rFonts w:cs="Calibri"/>
          <w14:ligatures w14:val="standardContextual"/>
        </w:rPr>
        <w:t xml:space="preserve"> kelio, kaip piktnaudžiavimo dominuojančia padėtimi formos</w:t>
      </w:r>
      <w:bookmarkEnd w:id="20"/>
    </w:p>
    <w:p w14:paraId="3FE47910" w14:textId="77777777" w:rsidR="007F717D" w:rsidRPr="00D30F5E" w:rsidRDefault="007F717D" w:rsidP="007F29E2">
      <w:pPr>
        <w:ind w:firstLine="567"/>
        <w:rPr>
          <w:rFonts w:asciiTheme="minorHAnsi" w:hAnsiTheme="minorHAnsi" w:cstheme="minorHAnsi"/>
        </w:rPr>
      </w:pPr>
    </w:p>
    <w:p w14:paraId="6725BDE2" w14:textId="2D78C128" w:rsidR="007F29E2" w:rsidRPr="00D30F5E" w:rsidRDefault="007F29E2" w:rsidP="007F29E2">
      <w:pPr>
        <w:ind w:firstLine="567"/>
        <w:rPr>
          <w:rFonts w:asciiTheme="minorHAnsi" w:hAnsiTheme="minorHAnsi" w:cstheme="minorHAnsi"/>
        </w:rPr>
      </w:pPr>
      <w:r w:rsidRPr="00D30F5E">
        <w:rPr>
          <w:rFonts w:asciiTheme="minorHAnsi" w:hAnsiTheme="minorHAnsi" w:cstheme="minorHAnsi"/>
        </w:rPr>
        <w:t xml:space="preserve">Teisingumo Teismas pirmiausia priminė, kad </w:t>
      </w:r>
      <w:r w:rsidRPr="00D30F5E">
        <w:rPr>
          <w:rFonts w:asciiTheme="minorHAnsi" w:hAnsiTheme="minorHAnsi" w:cstheme="minorHAnsi"/>
          <w:color w:val="000000"/>
        </w:rPr>
        <w:t>pagal SESV</w:t>
      </w:r>
      <w:r w:rsidR="00727B66">
        <w:rPr>
          <w:rFonts w:asciiTheme="minorHAnsi" w:hAnsiTheme="minorHAnsi" w:cstheme="minorHAnsi"/>
          <w:color w:val="000000"/>
        </w:rPr>
        <w:t xml:space="preserve"> </w:t>
      </w:r>
      <w:r w:rsidRPr="00D30F5E">
        <w:rPr>
          <w:rFonts w:asciiTheme="minorHAnsi" w:hAnsiTheme="minorHAnsi" w:cstheme="minorHAnsi"/>
          <w:color w:val="000000"/>
        </w:rPr>
        <w:t xml:space="preserve">102 straipsnį draudžiamas bet koks vienos ar kelių įmonių piktnaudžiavimas dominuojančia padėtimi vidaus rinkoje arba didelėje jos dalyje, galintis </w:t>
      </w:r>
      <w:r w:rsidRPr="00D30F5E">
        <w:rPr>
          <w:rFonts w:asciiTheme="minorHAnsi" w:hAnsiTheme="minorHAnsi" w:cstheme="minorHAnsi"/>
          <w:color w:val="000000"/>
        </w:rPr>
        <w:lastRenderedPageBreak/>
        <w:t>paveikti valstybių narių tarpusavio prekybą. Taigi dominuojančią padėtį užimanti įmonė turi ypatingą pareigą savo elgesiu nepažeisti veiksmingos ir neiškraipytos konkurencijos vidaus rinkoje</w:t>
      </w:r>
      <w:r w:rsidRPr="00D30F5E">
        <w:rPr>
          <w:rFonts w:asciiTheme="minorHAnsi" w:hAnsiTheme="minorHAnsi" w:cstheme="minorHAnsi"/>
        </w:rPr>
        <w:t xml:space="preserve">. „Piktnaudžiavimo dominuojančia padėtimi“, kaip tai suprantama pagal Sąjungos teisę, kvalifikavimas apima dominuojančią padėtį užimančios įmonės veiksmus, kurie gali trukdyti išlaikyti šios konkurencijos lygį arba neleisti jai vystytis. </w:t>
      </w:r>
      <w:r w:rsidRPr="00D30F5E">
        <w:rPr>
          <w:rFonts w:asciiTheme="minorHAnsi" w:hAnsiTheme="minorHAnsi" w:cstheme="minorHAnsi"/>
          <w:color w:val="000000"/>
        </w:rPr>
        <w:t xml:space="preserve">Kalbėdamas apie veiksmus, kuriais atsisakoma suteikti prieigą prie dominuojančią padėtį užimančios įmonės savo veiklai sukurtos ir jai priklausančios infrastruktūros, Teisingumo Teismo pažymėjo, kad iš jo jurisprudencijos matyti, jog toks atsisakymas gali būti laikomas piktnaudžiavimu dominuojančia padėtimi, jei dėl šio atsisakymo ne tik galėjo būti pašalinta bet kokia prieigos prašančio asmens konkurencija atitinkamoje rinkoje ir jo nebuvo galima objektyviai pateisinti, bet ir jei pati infrastruktūra buvo būtina jo veiklai vykdyti, nes šiai infrastruktūrai nebuvo faktinės ar potencialios alternatyvos. </w:t>
      </w:r>
    </w:p>
    <w:p w14:paraId="2DF2855B" w14:textId="77777777" w:rsidR="007F29E2" w:rsidRPr="00D30F5E" w:rsidRDefault="007F29E2" w:rsidP="007F29E2">
      <w:pPr>
        <w:ind w:firstLine="567"/>
        <w:rPr>
          <w:rFonts w:asciiTheme="minorHAnsi" w:hAnsiTheme="minorHAnsi" w:cstheme="minorHAnsi"/>
        </w:rPr>
      </w:pPr>
      <w:r w:rsidRPr="00D30F5E">
        <w:rPr>
          <w:rFonts w:asciiTheme="minorHAnsi" w:hAnsiTheme="minorHAnsi" w:cstheme="minorHAnsi"/>
        </w:rPr>
        <w:t xml:space="preserve">Vis dėlto Teisingumo Teismas pažymėjo, jog tai, kad buvo išardytas geležinkelio kelias, kuriuo neišvengiamai nebegali naudotis ne tik konkurentai, bet ir pati dominuojančią padėtį užimanti įmonė, neturi būti vertinama kaip atsisakymas suteikti prieigą. Tai gali būti laikoma savarankiška piktnaudžiavimo forma. </w:t>
      </w:r>
    </w:p>
    <w:p w14:paraId="4BF2D05F" w14:textId="5EDD171A" w:rsidR="007F29E2" w:rsidRPr="00D30F5E" w:rsidRDefault="007F29E2" w:rsidP="007F29E2">
      <w:pPr>
        <w:ind w:firstLine="567"/>
        <w:rPr>
          <w:rFonts w:asciiTheme="minorHAnsi" w:hAnsiTheme="minorHAnsi" w:cstheme="minorHAnsi"/>
          <w:color w:val="000000"/>
        </w:rPr>
      </w:pPr>
      <w:r w:rsidRPr="00D30F5E">
        <w:rPr>
          <w:rFonts w:asciiTheme="minorHAnsi" w:hAnsiTheme="minorHAnsi" w:cstheme="minorHAnsi"/>
        </w:rPr>
        <w:t xml:space="preserve">Grįsdama reikalavimą panaikinti pirminį sprendimą, LG priekaištavo Bendrajam Teismui, kad jis padarė teisės klaidą, kai patvirtino tai, kad Komisija geležinkelio kelio išardymą kvalifikavo kaip „piktnaudžiavimą dominuojančia padėtimi“, remdamasi dviem kumuliaciniais veiksniais: </w:t>
      </w:r>
      <w:r w:rsidRPr="00D30F5E">
        <w:rPr>
          <w:rFonts w:asciiTheme="minorHAnsi" w:hAnsiTheme="minorHAnsi" w:cstheme="minorHAnsi"/>
          <w:color w:val="000000"/>
        </w:rPr>
        <w:t>t. y. aplinkybe, kad geležinkelio kelias buvo išardytas „skubiai“, ir aplinkybe, kad kelias buvo išardytas LG „iš anksto negavus reikalingų lėšų“.</w:t>
      </w:r>
      <w:r w:rsidRPr="00D30F5E">
        <w:rPr>
          <w:rFonts w:asciiTheme="minorHAnsi" w:hAnsiTheme="minorHAnsi" w:cstheme="minorHAnsi"/>
        </w:rPr>
        <w:t xml:space="preserve"> Šiuo aspektu Teisingumo Teismas atmetė šį pagrindą kaip nepagrįstą, nes jis grindžiamas klaidingu skundžiamo sprendimo aiškinimu. </w:t>
      </w:r>
      <w:r w:rsidRPr="00D30F5E">
        <w:rPr>
          <w:rFonts w:asciiTheme="minorHAnsi" w:hAnsiTheme="minorHAnsi" w:cstheme="minorHAnsi"/>
          <w:color w:val="000000"/>
        </w:rPr>
        <w:t>Iš tiesų iš viso skundžiamo sprendimo aiškiai buvo matyti, jog Bendrasis Teismas pažymėjo, kad būtent atsižvelgdama į visas geležinkelio kelio išardymo faktines ir teisines aplinkybes Komisija ginčijamame sprendime padarė išvadą, kad šis išardymas yra „piktnaudžiavimas dominuojančia padėtimi“, kaip tai suprantama pagal SESV</w:t>
      </w:r>
      <w:r w:rsidR="00400ACD">
        <w:rPr>
          <w:rFonts w:asciiTheme="minorHAnsi" w:hAnsiTheme="minorHAnsi" w:cstheme="minorHAnsi"/>
          <w:color w:val="000000"/>
        </w:rPr>
        <w:t xml:space="preserve"> </w:t>
      </w:r>
      <w:r w:rsidRPr="00D30F5E">
        <w:rPr>
          <w:rFonts w:asciiTheme="minorHAnsi" w:hAnsiTheme="minorHAnsi" w:cstheme="minorHAnsi"/>
          <w:color w:val="000000"/>
        </w:rPr>
        <w:t>102 straipsnį. Šios aplinkybės susijusios su tuo, kad: LG žinojo apie</w:t>
      </w:r>
      <w:r w:rsidR="00400ACD">
        <w:rPr>
          <w:rFonts w:asciiTheme="minorHAnsi" w:hAnsiTheme="minorHAnsi" w:cstheme="minorHAnsi"/>
          <w:color w:val="000000"/>
        </w:rPr>
        <w:t xml:space="preserve"> </w:t>
      </w:r>
      <w:r w:rsidRPr="00D30F5E">
        <w:rPr>
          <w:rFonts w:asciiTheme="minorHAnsi" w:hAnsiTheme="minorHAnsi" w:cstheme="minorHAnsi"/>
          <w:i/>
          <w:iCs/>
          <w:color w:val="000000"/>
        </w:rPr>
        <w:t>Orlen</w:t>
      </w:r>
      <w:r w:rsidR="00400ACD">
        <w:rPr>
          <w:rFonts w:asciiTheme="minorHAnsi" w:hAnsiTheme="minorHAnsi" w:cstheme="minorHAnsi"/>
          <w:color w:val="000000"/>
        </w:rPr>
        <w:t xml:space="preserve"> </w:t>
      </w:r>
      <w:r w:rsidRPr="00D30F5E">
        <w:rPr>
          <w:rFonts w:asciiTheme="minorHAnsi" w:hAnsiTheme="minorHAnsi" w:cstheme="minorHAnsi"/>
          <w:color w:val="000000"/>
        </w:rPr>
        <w:t>ketinimą pereiti prie Latvijos jūrų terminalų naudojantis LDZ paslaugomis; ji skubiai visiškai išardė kelią, neužsitikrindama reikalingo finansavimo ir nesiimdama jokių įprastų pasirengimo jį atstatyti priemonių; kelio išardymas prieštaravo įprastai sektoriaus praktikai; LG žinojo apie riziką netekti visos</w:t>
      </w:r>
      <w:r w:rsidR="00400ACD">
        <w:rPr>
          <w:rFonts w:asciiTheme="minorHAnsi" w:hAnsiTheme="minorHAnsi" w:cstheme="minorHAnsi"/>
          <w:color w:val="000000"/>
        </w:rPr>
        <w:t xml:space="preserve"> </w:t>
      </w:r>
      <w:r w:rsidRPr="00D30F5E">
        <w:rPr>
          <w:rFonts w:asciiTheme="minorHAnsi" w:hAnsiTheme="minorHAnsi" w:cstheme="minorHAnsi"/>
          <w:i/>
          <w:iCs/>
          <w:color w:val="000000"/>
        </w:rPr>
        <w:t>Orlen</w:t>
      </w:r>
      <w:r w:rsidR="00400ACD">
        <w:rPr>
          <w:rFonts w:asciiTheme="minorHAnsi" w:hAnsiTheme="minorHAnsi" w:cstheme="minorHAnsi"/>
          <w:color w:val="000000"/>
        </w:rPr>
        <w:t xml:space="preserve"> </w:t>
      </w:r>
      <w:r w:rsidRPr="00D30F5E">
        <w:rPr>
          <w:rFonts w:asciiTheme="minorHAnsi" w:hAnsiTheme="minorHAnsi" w:cstheme="minorHAnsi"/>
          <w:color w:val="000000"/>
        </w:rPr>
        <w:t>produktų vežimo veiklos ir LG stengėsi įtikinti Lietuvos vyriausybę neatstatyti geležinkelio kelio. Tik atmetęs visus LG argumentus, kuriais buvo ginčijami šie vertinimai, Bendrasis Teismas patvirtino Komisijos vertinimų pagrįstumą.</w:t>
      </w:r>
    </w:p>
    <w:p w14:paraId="3D309DF6" w14:textId="7C5B224C" w:rsidR="007F29E2" w:rsidRPr="00D30F5E" w:rsidRDefault="007F29E2" w:rsidP="007F29E2">
      <w:pPr>
        <w:ind w:firstLine="567"/>
        <w:rPr>
          <w:rFonts w:asciiTheme="minorHAnsi" w:hAnsiTheme="minorHAnsi" w:cstheme="minorHAnsi"/>
          <w:color w:val="000000"/>
        </w:rPr>
      </w:pPr>
      <w:r w:rsidRPr="00D30F5E">
        <w:rPr>
          <w:rFonts w:asciiTheme="minorHAnsi" w:hAnsiTheme="minorHAnsi" w:cstheme="minorHAnsi"/>
          <w:color w:val="000000"/>
        </w:rPr>
        <w:t xml:space="preserve">Teisingumo Teismas priminė, kad </w:t>
      </w:r>
      <w:r w:rsidRPr="00E35AAA">
        <w:rPr>
          <w:rFonts w:asciiTheme="minorHAnsi" w:eastAsia="Times New Roman" w:hAnsiTheme="minorHAnsi" w:cstheme="minorHAnsi"/>
          <w:color w:val="000000"/>
          <w:lang w:eastAsia="lt-LT"/>
        </w:rPr>
        <w:t xml:space="preserve">Bendrasis Teismas konstatavo, </w:t>
      </w:r>
      <w:r w:rsidRPr="00D30F5E">
        <w:rPr>
          <w:rFonts w:asciiTheme="minorHAnsi" w:eastAsia="Times New Roman" w:hAnsiTheme="minorHAnsi" w:cstheme="minorHAnsi"/>
          <w:color w:val="000000"/>
          <w:lang w:eastAsia="lt-LT"/>
        </w:rPr>
        <w:t xml:space="preserve">jog </w:t>
      </w:r>
      <w:r w:rsidRPr="00E35AAA">
        <w:rPr>
          <w:rFonts w:asciiTheme="minorHAnsi" w:eastAsia="Times New Roman" w:hAnsiTheme="minorHAnsi" w:cstheme="minorHAnsi"/>
          <w:color w:val="000000"/>
          <w:lang w:eastAsia="lt-LT"/>
        </w:rPr>
        <w:t>LG, kaip geležinkelių infrastruktūros valdytoja, turi ne tik teisės aktuose nustatytą pareigą užtikrinti eismo saugą, bet ir teisės aktuose nustatytą pareigą kuo labiau sumažinti geležinkelių tinklo sutrikimus ir gerinti jo veikimą. Bendrasis Teismas pažymėjo, kad LG, kaip dominuojančią padėtį atitinkamoje rinkoje užimančiai įmonei, taip pat teko ypatinga atsakomybė savo elgesiu nepažeisti veiksmingos ir neiškreiptos konkurencijos. Bendrojo Teismo teigimu, LG turėjo atsižvelgti į bet kokią galimybę trumpuoju laikotarpiu vėl leisti eksploatuoti geležinkelio kelią, rekonstrukciją vykdant etapais, ir vengti pašalinti šią galimybę. Tuo remdamasis</w:t>
      </w:r>
      <w:r w:rsidRPr="00D30F5E">
        <w:rPr>
          <w:rFonts w:asciiTheme="minorHAnsi" w:eastAsia="Times New Roman" w:hAnsiTheme="minorHAnsi" w:cstheme="minorHAnsi"/>
          <w:color w:val="000000"/>
          <w:lang w:eastAsia="lt-LT"/>
        </w:rPr>
        <w:t xml:space="preserve">, </w:t>
      </w:r>
      <w:r w:rsidRPr="00E35AAA">
        <w:rPr>
          <w:rFonts w:asciiTheme="minorHAnsi" w:eastAsia="Times New Roman" w:hAnsiTheme="minorHAnsi" w:cstheme="minorHAnsi"/>
          <w:color w:val="000000"/>
          <w:lang w:eastAsia="lt-LT"/>
        </w:rPr>
        <w:t>Bendrasis Teismas padarė išvadą, kad išardydama visą geležinkelio kelią nagrinėjamo atvejo aplinkybėmis LG neatsižvelgė į ypatingą atsakomybę, kuri jai teko pagal SESV</w:t>
      </w:r>
      <w:r w:rsidR="00E503D9">
        <w:rPr>
          <w:rFonts w:asciiTheme="minorHAnsi" w:eastAsia="Times New Roman" w:hAnsiTheme="minorHAnsi" w:cstheme="minorHAnsi"/>
          <w:color w:val="000000"/>
          <w:lang w:eastAsia="lt-LT"/>
        </w:rPr>
        <w:t xml:space="preserve"> </w:t>
      </w:r>
      <w:r w:rsidRPr="00E35AAA">
        <w:rPr>
          <w:rFonts w:asciiTheme="minorHAnsi" w:eastAsia="Times New Roman" w:hAnsiTheme="minorHAnsi" w:cstheme="minorHAnsi"/>
          <w:color w:val="000000"/>
          <w:lang w:eastAsia="lt-LT"/>
        </w:rPr>
        <w:t>102 straipsnį.</w:t>
      </w:r>
      <w:r w:rsidRPr="00D30F5E">
        <w:rPr>
          <w:rFonts w:asciiTheme="minorHAnsi" w:eastAsia="Times New Roman" w:hAnsiTheme="minorHAnsi" w:cstheme="minorHAnsi"/>
          <w:color w:val="000000"/>
          <w:lang w:eastAsia="lt-LT"/>
        </w:rPr>
        <w:t xml:space="preserve"> </w:t>
      </w:r>
      <w:r w:rsidRPr="00E35AAA">
        <w:rPr>
          <w:rFonts w:asciiTheme="minorHAnsi" w:eastAsia="Times New Roman" w:hAnsiTheme="minorHAnsi" w:cstheme="minorHAnsi"/>
          <w:color w:val="000000"/>
          <w:lang w:eastAsia="lt-LT"/>
        </w:rPr>
        <w:t>Be to, iš skundžiamo sprendimo matyti, jog išvada, kad šis išardymas galėjo sukelti antikonkurencinį išstūmimo iš rinkos poveikį, grindžiama, viena vertus, aplinkybe, kad dėl šio išardymo LG pablogino padėtį, kuri buvo susidariusi sustabdžius eismą šiuo keliu, ir, kita vertus, 2 galimybės</w:t>
      </w:r>
      <w:r w:rsidRPr="00D30F5E">
        <w:rPr>
          <w:rFonts w:asciiTheme="minorHAnsi" w:eastAsia="Times New Roman" w:hAnsiTheme="minorHAnsi" w:cstheme="minorHAnsi"/>
          <w:color w:val="000000"/>
          <w:lang w:eastAsia="lt-LT"/>
        </w:rPr>
        <w:t xml:space="preserve"> (</w:t>
      </w:r>
      <w:r w:rsidRPr="00D30F5E">
        <w:rPr>
          <w:rFonts w:asciiTheme="minorHAnsi" w:hAnsiTheme="minorHAnsi" w:cstheme="minorHAnsi"/>
          <w:color w:val="000000"/>
        </w:rPr>
        <w:t xml:space="preserve">apimančios visišką ir nedelsiamą geležinkelio kelio rekonstrukciją, kaip vienintelės tinkamos ir ekonomiškai pagrįstos galimybės) </w:t>
      </w:r>
      <w:r w:rsidRPr="00E35AAA">
        <w:rPr>
          <w:rFonts w:asciiTheme="minorHAnsi" w:eastAsia="Times New Roman" w:hAnsiTheme="minorHAnsi" w:cstheme="minorHAnsi"/>
          <w:color w:val="000000"/>
          <w:lang w:eastAsia="lt-LT"/>
        </w:rPr>
        <w:t>įgyvendinimo tvarka, o ne pačiu šios galimybės, o ne 1</w:t>
      </w:r>
      <w:r w:rsidR="00E503D9">
        <w:rPr>
          <w:rFonts w:asciiTheme="minorHAnsi" w:eastAsia="Times New Roman" w:hAnsiTheme="minorHAnsi" w:cstheme="minorHAnsi"/>
          <w:color w:val="000000"/>
          <w:lang w:eastAsia="lt-LT"/>
        </w:rPr>
        <w:t xml:space="preserve"> </w:t>
      </w:r>
      <w:r w:rsidRPr="00E35AAA">
        <w:rPr>
          <w:rFonts w:asciiTheme="minorHAnsi" w:eastAsia="Times New Roman" w:hAnsiTheme="minorHAnsi" w:cstheme="minorHAnsi"/>
          <w:color w:val="000000"/>
          <w:lang w:eastAsia="lt-LT"/>
        </w:rPr>
        <w:t>galimybės</w:t>
      </w:r>
      <w:r w:rsidRPr="00D30F5E">
        <w:rPr>
          <w:rFonts w:asciiTheme="minorHAnsi" w:eastAsia="Times New Roman" w:hAnsiTheme="minorHAnsi" w:cstheme="minorHAnsi"/>
          <w:color w:val="000000"/>
          <w:lang w:eastAsia="lt-LT"/>
        </w:rPr>
        <w:t xml:space="preserve"> (</w:t>
      </w:r>
      <w:r w:rsidRPr="00D30F5E">
        <w:rPr>
          <w:rFonts w:asciiTheme="minorHAnsi" w:hAnsiTheme="minorHAnsi" w:cstheme="minorHAnsi"/>
          <w:color w:val="000000"/>
        </w:rPr>
        <w:t>per penkerių metų terminą atlikti pirminius tikslinius remonto darbus ir tada</w:t>
      </w:r>
      <w:r w:rsidR="00E503D9">
        <w:rPr>
          <w:rFonts w:asciiTheme="minorHAnsi" w:hAnsiTheme="minorHAnsi" w:cstheme="minorHAnsi"/>
          <w:color w:val="000000"/>
        </w:rPr>
        <w:t xml:space="preserve"> </w:t>
      </w:r>
      <w:r w:rsidRPr="00D30F5E">
        <w:rPr>
          <w:rFonts w:asciiTheme="minorHAnsi" w:hAnsiTheme="minorHAnsi" w:cstheme="minorHAnsi"/>
          <w:color w:val="000000"/>
        </w:rPr>
        <w:t>– išsamią viso geležinkeli kelio rekonstrukciją)</w:t>
      </w:r>
      <w:r w:rsidRPr="00E35AAA">
        <w:rPr>
          <w:rFonts w:asciiTheme="minorHAnsi" w:eastAsia="Times New Roman" w:hAnsiTheme="minorHAnsi" w:cstheme="minorHAnsi"/>
          <w:color w:val="000000"/>
          <w:lang w:eastAsia="lt-LT"/>
        </w:rPr>
        <w:t>, pasirinkimu.</w:t>
      </w:r>
      <w:r w:rsidRPr="00D30F5E">
        <w:rPr>
          <w:rFonts w:asciiTheme="minorHAnsi" w:eastAsia="Times New Roman" w:hAnsiTheme="minorHAnsi" w:cstheme="minorHAnsi"/>
          <w:color w:val="000000"/>
          <w:lang w:eastAsia="lt-LT"/>
        </w:rPr>
        <w:t xml:space="preserve"> </w:t>
      </w:r>
      <w:r w:rsidRPr="00D30F5E">
        <w:rPr>
          <w:rFonts w:asciiTheme="minorHAnsi" w:hAnsiTheme="minorHAnsi" w:cstheme="minorHAnsi"/>
          <w:color w:val="000000"/>
        </w:rPr>
        <w:t>Be to, priešingai, nei teigė LG, Bendrasis Teismas jai nenustatė „absoliučios teisinės pareigos“ atkurti įprastą geležinkelio kelio padėtį vykdant pradinius remonto darbus. Priešingai, antikonkurencinis poveikis konstatuotas remiantis konkrečia 2</w:t>
      </w:r>
      <w:r w:rsidR="009E0536">
        <w:rPr>
          <w:rFonts w:asciiTheme="minorHAnsi" w:hAnsiTheme="minorHAnsi" w:cstheme="minorHAnsi"/>
          <w:color w:val="000000"/>
        </w:rPr>
        <w:t xml:space="preserve"> </w:t>
      </w:r>
      <w:r w:rsidRPr="00D30F5E">
        <w:rPr>
          <w:rFonts w:asciiTheme="minorHAnsi" w:hAnsiTheme="minorHAnsi" w:cstheme="minorHAnsi"/>
          <w:color w:val="000000"/>
        </w:rPr>
        <w:t xml:space="preserve">galimybės įgyvendinimo tvarka ir geležinkelio kelio išardymo poveikiu. </w:t>
      </w:r>
      <w:r w:rsidRPr="00D30F5E">
        <w:rPr>
          <w:rFonts w:asciiTheme="minorHAnsi" w:eastAsia="Times New Roman" w:hAnsiTheme="minorHAnsi" w:cstheme="minorHAnsi"/>
          <w:color w:val="000000"/>
          <w:lang w:eastAsia="lt-LT"/>
        </w:rPr>
        <w:t>Taigi i</w:t>
      </w:r>
      <w:r w:rsidRPr="00D30F5E">
        <w:rPr>
          <w:rFonts w:asciiTheme="minorHAnsi" w:hAnsiTheme="minorHAnsi" w:cstheme="minorHAnsi"/>
        </w:rPr>
        <w:t>šnagrinėjęs pagrindą, kuriuo siekta ginčyti Komisijos vertinimą, kad išardžius geležinkelio kelią buvo sukeltas antikonkurencinis poveikis, Teisingumo Teismas jį visą atmetė.</w:t>
      </w:r>
    </w:p>
    <w:p w14:paraId="0D28AADB" w14:textId="5A451309" w:rsidR="007F29E2" w:rsidRDefault="007F29E2" w:rsidP="007F29E2">
      <w:pPr>
        <w:ind w:firstLine="567"/>
        <w:rPr>
          <w:rFonts w:asciiTheme="minorHAnsi" w:hAnsiTheme="minorHAnsi" w:cstheme="minorHAnsi"/>
        </w:rPr>
      </w:pPr>
      <w:r w:rsidRPr="00D30F5E">
        <w:rPr>
          <w:rFonts w:asciiTheme="minorHAnsi" w:hAnsiTheme="minorHAnsi" w:cstheme="minorHAnsi"/>
          <w:color w:val="000000"/>
        </w:rPr>
        <w:t>Dėl skirtos baudos Teisingumo Teismas priminė, kad pagal SESV</w:t>
      </w:r>
      <w:r w:rsidR="009E0536">
        <w:rPr>
          <w:rFonts w:asciiTheme="minorHAnsi" w:hAnsiTheme="minorHAnsi" w:cstheme="minorHAnsi"/>
          <w:color w:val="000000"/>
        </w:rPr>
        <w:t xml:space="preserve"> </w:t>
      </w:r>
      <w:r w:rsidRPr="00D30F5E">
        <w:rPr>
          <w:rFonts w:asciiTheme="minorHAnsi" w:hAnsiTheme="minorHAnsi" w:cstheme="minorHAnsi"/>
          <w:color w:val="000000"/>
        </w:rPr>
        <w:t xml:space="preserve">261 straipsnį ir Reglamento Nr. 1/2003 31 straipsnį Bendrasis Teismas naudojasi neribota jurisdikcija dėl Komisijos nustatytų baudų. Savo ruožtu apeliacinėje byloje priimdamas sprendimą teisės klausimais, Teisingumo Teismas negali teisingumo sumetimais savo vertinimu pakeisti Bendrojo Teismo įgyvendinant neribotą jurisdikciją </w:t>
      </w:r>
      <w:r w:rsidRPr="00D30F5E">
        <w:rPr>
          <w:rFonts w:asciiTheme="minorHAnsi" w:hAnsiTheme="minorHAnsi" w:cstheme="minorHAnsi"/>
          <w:color w:val="000000"/>
        </w:rPr>
        <w:lastRenderedPageBreak/>
        <w:t>pateikto vertinimo dėl įmonėms už Sąjungos teisės pažeidimą paskirtų baudų dydžio. Tik tuo atveju, jeigu Teisingumo Teismas manytų, kad sankcijos dydis yra ne tik netinkamas, bet ir toks didelis, kad jį galima laikyti neproporcingu, reikėtų konstatuoti, kad Bendrasis Teismas padarė teisės klaidą dėl to, kad baudos dydis yra netinkamas. N</w:t>
      </w:r>
      <w:r w:rsidRPr="00D30F5E">
        <w:rPr>
          <w:rFonts w:asciiTheme="minorHAnsi" w:eastAsia="Times New Roman" w:hAnsiTheme="minorHAnsi" w:cstheme="minorHAnsi"/>
          <w:color w:val="000000"/>
          <w:lang w:eastAsia="lt-LT"/>
        </w:rPr>
        <w:t>agrinėtu atveju pagal Reglamento Nr. 1/2003 23 straipsnio 3 dalį Bendrasis Teismas, nustatydamas baudos dydį, atsižvelgė į padaryto pažeidimo sunkumą ir trukmę. Bendrasis Teismas dėl nagrinėjamo pažeidimo sunkumo atsižvelgė į šio pažeidimo pobūdį, LG padėtį atitinkamose rinkose ir šio pažeidimo geografinę aprėptį. Baudos dydžio įvertinimas iš naujo visiškai nėra pagrįstas atsižvelgimu į kokį nors antikonkurencinį ketinimą. Taigi d</w:t>
      </w:r>
      <w:r w:rsidRPr="00D30F5E">
        <w:rPr>
          <w:rFonts w:asciiTheme="minorHAnsi" w:hAnsiTheme="minorHAnsi" w:cstheme="minorHAnsi"/>
        </w:rPr>
        <w:t>ėl LG skirtos baudos apskaičiavimo Teisingumo Teismas konstatavo, kad Bendrasis Teismas įgyvendino savo neribotą jurisdikciją, kai iš naujo įvertino baudos dydį ir sumažino Komisijos skirtą baudą.</w:t>
      </w:r>
    </w:p>
    <w:p w14:paraId="6C2F47C8" w14:textId="77777777" w:rsidR="007F29E2" w:rsidRPr="00D30F5E" w:rsidRDefault="00000000" w:rsidP="007F29E2">
      <w:pPr>
        <w:ind w:firstLine="567"/>
        <w:rPr>
          <w:rFonts w:asciiTheme="minorHAnsi" w:hAnsiTheme="minorHAnsi" w:cstheme="minorHAnsi"/>
        </w:rPr>
      </w:pPr>
      <w:hyperlink r:id="rId11" w:history="1">
        <w:r w:rsidR="007F29E2" w:rsidRPr="00D30F5E">
          <w:rPr>
            <w:rStyle w:val="Hipersaitas"/>
            <w:rFonts w:asciiTheme="minorHAnsi" w:hAnsiTheme="minorHAnsi" w:cstheme="minorHAnsi"/>
          </w:rPr>
          <w:t>Prieiga internete</w:t>
        </w:r>
      </w:hyperlink>
    </w:p>
    <w:p w14:paraId="06D15E53" w14:textId="77777777" w:rsidR="007F29E2" w:rsidRDefault="007F29E2" w:rsidP="005D34B8">
      <w:pPr>
        <w:rPr>
          <w:rFonts w:eastAsia="Times New Roman" w:cs="Calibri"/>
          <w:lang w:eastAsia="lt-LT"/>
        </w:rPr>
      </w:pPr>
    </w:p>
    <w:p w14:paraId="5E7DECFA" w14:textId="77777777" w:rsidR="007F29E2" w:rsidRPr="00344EA2" w:rsidRDefault="007F29E2" w:rsidP="007F29E2">
      <w:pPr>
        <w:pStyle w:val="Antrat1"/>
      </w:pPr>
      <w:bookmarkStart w:id="21" w:name="_Toc110010963"/>
      <w:bookmarkStart w:id="22" w:name="_Toc148375048"/>
      <w:r w:rsidRPr="00344EA2">
        <w:t>APMOKESTINIMAS</w:t>
      </w:r>
      <w:bookmarkEnd w:id="21"/>
      <w:bookmarkEnd w:id="22"/>
    </w:p>
    <w:p w14:paraId="1FF917C0" w14:textId="77777777" w:rsidR="007F29E2" w:rsidRDefault="007F29E2" w:rsidP="007F29E2">
      <w:pPr>
        <w:tabs>
          <w:tab w:val="left" w:pos="6379"/>
        </w:tabs>
        <w:jc w:val="center"/>
        <w:rPr>
          <w:rFonts w:asciiTheme="minorHAnsi" w:hAnsiTheme="minorHAnsi" w:cstheme="minorHAnsi"/>
          <w:b/>
          <w:bCs/>
          <w:color w:val="002060"/>
        </w:rPr>
      </w:pPr>
    </w:p>
    <w:p w14:paraId="3210EDED" w14:textId="77777777" w:rsidR="007F29E2" w:rsidRPr="00EA2A06" w:rsidRDefault="007F29E2" w:rsidP="007F29E2">
      <w:pPr>
        <w:pStyle w:val="Antrat2"/>
        <w:rPr>
          <w:color w:val="323E4F" w:themeColor="text2" w:themeShade="BF"/>
        </w:rPr>
      </w:pPr>
      <w:bookmarkStart w:id="23" w:name="_Toc148375049"/>
      <w:r w:rsidRPr="00EA2A06">
        <w:rPr>
          <w:color w:val="323E4F" w:themeColor="text2" w:themeShade="BF"/>
        </w:rPr>
        <w:t xml:space="preserve">2023 m. kovo 9 d. sprendimas </w:t>
      </w:r>
      <w:r>
        <w:rPr>
          <w:color w:val="323E4F" w:themeColor="text2" w:themeShade="BF"/>
        </w:rPr>
        <w:t>b</w:t>
      </w:r>
      <w:r w:rsidRPr="00EA2A06">
        <w:rPr>
          <w:color w:val="323E4F" w:themeColor="text2" w:themeShade="BF"/>
        </w:rPr>
        <w:t xml:space="preserve">yloje </w:t>
      </w:r>
      <w:r w:rsidRPr="007760F4">
        <w:rPr>
          <w:i/>
          <w:iCs w:val="0"/>
          <w:color w:val="323E4F" w:themeColor="text2" w:themeShade="BF"/>
        </w:rPr>
        <w:t>Belgijos valstybė ir Promo 54</w:t>
      </w:r>
      <w:r w:rsidRPr="00EA2A06">
        <w:rPr>
          <w:color w:val="323E4F" w:themeColor="text2" w:themeShade="BF"/>
        </w:rPr>
        <w:t>, C</w:t>
      </w:r>
      <w:r w:rsidRPr="00EA2A06">
        <w:rPr>
          <w:rFonts w:ascii="Cambria Math" w:hAnsi="Cambria Math" w:cs="Cambria Math"/>
          <w:color w:val="323E4F" w:themeColor="text2" w:themeShade="BF"/>
        </w:rPr>
        <w:t>‑</w:t>
      </w:r>
      <w:r w:rsidRPr="00EA2A06">
        <w:rPr>
          <w:color w:val="323E4F" w:themeColor="text2" w:themeShade="BF"/>
        </w:rPr>
        <w:t>239/22</w:t>
      </w:r>
      <w:bookmarkEnd w:id="23"/>
    </w:p>
    <w:p w14:paraId="4E847A62" w14:textId="77777777" w:rsidR="007F29E2" w:rsidRPr="00EA2A06" w:rsidRDefault="007F29E2" w:rsidP="007F29E2">
      <w:pPr>
        <w:tabs>
          <w:tab w:val="left" w:pos="6379"/>
        </w:tabs>
        <w:ind w:firstLine="540"/>
        <w:rPr>
          <w:rFonts w:eastAsia="Times New Roman" w:cs="Calibri"/>
          <w:lang w:eastAsia="lt-LT"/>
        </w:rPr>
      </w:pPr>
    </w:p>
    <w:p w14:paraId="4B57E0E9" w14:textId="2B1D313F"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Direktyva 2006/112/EB (PVM direktyva)</w:t>
      </w:r>
      <w:r w:rsidRPr="00EA2A06">
        <w:rPr>
          <w:rFonts w:eastAsia="Times New Roman" w:cs="Calibri"/>
          <w:vertAlign w:val="superscript"/>
          <w:lang w:eastAsia="lt-LT"/>
        </w:rPr>
        <w:footnoteReference w:id="4"/>
      </w:r>
      <w:r w:rsidRPr="00EA2A06">
        <w:rPr>
          <w:rFonts w:eastAsia="Times New Roman" w:cs="Calibri"/>
          <w:lang w:eastAsia="lt-LT"/>
        </w:rPr>
        <w:t xml:space="preserve"> – 12 straipsnio 1 ir 2 dalys – Pastatų ar jų dalių ir žemės, ant kurios jie pastatyti, tiekimas iki pirmo pastato panaudojimo – Vidaus teisės nuostatų, numatančių kriterijaus, susijusio su pirmu pastato panaudojimu, taikymą, nebuvimas – 135 straipsnio 1 dalies j punktas – Neapmokestinimas – Pastato, pirmą kartą panaudoto iki pertvarkymo, tiekimas po pertvarkymo – Nacionalinė administracinė doktrina, pagal kurią iš esmės pertvarkyti pastatai laikomi naujais pastatais</w:t>
      </w:r>
    </w:p>
    <w:p w14:paraId="055C2649" w14:textId="77777777" w:rsidR="007F29E2" w:rsidRPr="00EA2A06" w:rsidRDefault="007F29E2" w:rsidP="007F29E2">
      <w:pPr>
        <w:tabs>
          <w:tab w:val="left" w:pos="6379"/>
        </w:tabs>
        <w:rPr>
          <w:rFonts w:eastAsia="Times New Roman" w:cs="Calibri"/>
          <w:lang w:eastAsia="lt-LT"/>
        </w:rPr>
      </w:pPr>
    </w:p>
    <w:p w14:paraId="3B35779E" w14:textId="77777777" w:rsidR="007F29E2" w:rsidRPr="00EA2A06" w:rsidRDefault="007F29E2" w:rsidP="007F29E2">
      <w:pPr>
        <w:tabs>
          <w:tab w:val="left" w:pos="6379"/>
        </w:tabs>
        <w:jc w:val="center"/>
        <w:rPr>
          <w:rFonts w:eastAsia="Times New Roman" w:cs="Calibri"/>
          <w:b/>
          <w:bCs/>
          <w:lang w:eastAsia="lt-LT"/>
        </w:rPr>
      </w:pPr>
      <w:r w:rsidRPr="00EA2A06">
        <w:rPr>
          <w:rFonts w:eastAsia="Times New Roman" w:cs="Calibri"/>
          <w:b/>
          <w:bCs/>
          <w:lang w:eastAsia="lt-LT"/>
        </w:rPr>
        <w:t>Bylos aplinkybės</w:t>
      </w:r>
    </w:p>
    <w:p w14:paraId="0D3AAB9D" w14:textId="77777777" w:rsidR="007F29E2" w:rsidRPr="00EA2A06" w:rsidRDefault="007F29E2" w:rsidP="007F29E2">
      <w:pPr>
        <w:tabs>
          <w:tab w:val="left" w:pos="6379"/>
        </w:tabs>
        <w:rPr>
          <w:rFonts w:eastAsia="Times New Roman" w:cs="Calibri"/>
          <w:lang w:eastAsia="lt-LT"/>
        </w:rPr>
      </w:pPr>
    </w:p>
    <w:p w14:paraId="1ED656E4" w14:textId="77777777"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 xml:space="preserve">Prašymas priimti prejudicinį sprendimą pateiktas nagrinėjant </w:t>
      </w:r>
      <w:r w:rsidRPr="00EA2A06">
        <w:rPr>
          <w:rFonts w:eastAsia="Times New Roman" w:cs="Calibri"/>
          <w:i/>
          <w:iCs/>
          <w:lang w:eastAsia="lt-LT"/>
        </w:rPr>
        <w:t>Promo 54 SA</w:t>
      </w:r>
      <w:r w:rsidRPr="00EA2A06">
        <w:rPr>
          <w:rFonts w:eastAsia="Times New Roman" w:cs="Calibri"/>
          <w:lang w:eastAsia="lt-LT"/>
        </w:rPr>
        <w:t>, veikiančios nekilnojamojo turto projektų vystymo srityje, ir Belgijos valstybės ginčą dėl pridėtinės vertės mokesčio (PVM), kurį ši bendrovė turėjo sumokėti už buvusios mokyklos pertvarkymą į butus ir biurus, sumos.</w:t>
      </w:r>
    </w:p>
    <w:p w14:paraId="1FD02CCA" w14:textId="13DAC2D9"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Nustatyta, kad 2008 m. birželio 6 d.</w:t>
      </w:r>
      <w:r w:rsidR="0095122F">
        <w:rPr>
          <w:rFonts w:eastAsia="Times New Roman" w:cs="Calibri"/>
          <w:lang w:eastAsia="lt-LT"/>
        </w:rPr>
        <w:t xml:space="preserve"> </w:t>
      </w:r>
      <w:r w:rsidRPr="00EA2A06">
        <w:rPr>
          <w:rFonts w:eastAsia="Times New Roman" w:cs="Calibri"/>
          <w:i/>
          <w:iCs/>
          <w:lang w:eastAsia="lt-LT"/>
        </w:rPr>
        <w:t>Promo 54</w:t>
      </w:r>
      <w:r w:rsidRPr="00EA2A06">
        <w:rPr>
          <w:rFonts w:eastAsia="Times New Roman" w:cs="Calibri"/>
          <w:lang w:eastAsia="lt-LT"/>
        </w:rPr>
        <w:t xml:space="preserve"> ir kita bendrovė </w:t>
      </w:r>
      <w:r w:rsidRPr="00EA2A06">
        <w:rPr>
          <w:rFonts w:eastAsia="Times New Roman" w:cs="Calibri"/>
          <w:i/>
          <w:iCs/>
          <w:lang w:eastAsia="lt-LT"/>
        </w:rPr>
        <w:t>Immo</w:t>
      </w:r>
      <w:r w:rsidRPr="00EA2A06">
        <w:rPr>
          <w:rFonts w:eastAsia="Times New Roman" w:cs="Calibri"/>
          <w:lang w:eastAsia="lt-LT"/>
        </w:rPr>
        <w:t xml:space="preserve"> </w:t>
      </w:r>
      <w:r w:rsidRPr="00EA2A06">
        <w:rPr>
          <w:rFonts w:eastAsia="Times New Roman" w:cs="Calibri"/>
          <w:i/>
          <w:iCs/>
          <w:lang w:eastAsia="lt-LT"/>
        </w:rPr>
        <w:t>2020</w:t>
      </w:r>
      <w:r w:rsidRPr="00EA2A06">
        <w:rPr>
          <w:rFonts w:eastAsia="Times New Roman" w:cs="Calibri"/>
          <w:lang w:eastAsia="lt-LT"/>
        </w:rPr>
        <w:t xml:space="preserve"> sudarė bendradarbiavimo sutartį, pagal kurią </w:t>
      </w:r>
      <w:r w:rsidRPr="00EA2A06">
        <w:rPr>
          <w:rFonts w:eastAsia="Times New Roman" w:cs="Calibri"/>
          <w:i/>
          <w:iCs/>
          <w:lang w:eastAsia="lt-LT"/>
        </w:rPr>
        <w:t>Immo 2020</w:t>
      </w:r>
      <w:r w:rsidRPr="00EA2A06">
        <w:rPr>
          <w:rFonts w:eastAsia="Times New Roman" w:cs="Calibri"/>
          <w:lang w:eastAsia="lt-LT"/>
        </w:rPr>
        <w:t xml:space="preserve">, žemės sklypo, kuriame buvo pastatyta buvusi mokykla, šiuo atveju kolegija, savininkė, pavedė </w:t>
      </w:r>
      <w:r w:rsidRPr="00EA2A06">
        <w:rPr>
          <w:rFonts w:eastAsia="Times New Roman" w:cs="Calibri"/>
          <w:i/>
          <w:iCs/>
          <w:lang w:eastAsia="lt-LT"/>
        </w:rPr>
        <w:t>Promo 54</w:t>
      </w:r>
      <w:r w:rsidRPr="00EA2A06">
        <w:rPr>
          <w:rFonts w:eastAsia="Times New Roman" w:cs="Calibri"/>
          <w:lang w:eastAsia="lt-LT"/>
        </w:rPr>
        <w:t xml:space="preserve"> užduotį prižiūrėti šios kolegijos pertvarkymą į butus ir biurus ir šio nekilnojamojo turto pardavimą. </w:t>
      </w:r>
      <w:r w:rsidRPr="00EA2A06">
        <w:rPr>
          <w:rFonts w:eastAsia="Times New Roman" w:cs="Calibri"/>
          <w:i/>
          <w:iCs/>
          <w:lang w:eastAsia="lt-LT"/>
        </w:rPr>
        <w:t>Immo 2020</w:t>
      </w:r>
      <w:r w:rsidRPr="00EA2A06">
        <w:rPr>
          <w:rFonts w:eastAsia="Times New Roman" w:cs="Calibri"/>
          <w:lang w:eastAsia="lt-LT"/>
        </w:rPr>
        <w:t xml:space="preserve"> taip pat atsisakė teisės į daikto pagerinimą </w:t>
      </w:r>
      <w:r w:rsidRPr="00EA2A06">
        <w:rPr>
          <w:rFonts w:eastAsia="Times New Roman" w:cs="Calibri"/>
          <w:i/>
          <w:iCs/>
          <w:lang w:eastAsia="lt-LT"/>
        </w:rPr>
        <w:t>Promo 54</w:t>
      </w:r>
      <w:r w:rsidRPr="00EA2A06">
        <w:rPr>
          <w:rFonts w:eastAsia="Times New Roman" w:cs="Calibri"/>
          <w:lang w:eastAsia="lt-LT"/>
        </w:rPr>
        <w:t xml:space="preserve"> naudai. </w:t>
      </w:r>
    </w:p>
    <w:p w14:paraId="1053118F" w14:textId="77777777"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 xml:space="preserve">Šių būsimų butų juridinį pardavimo sandorį sudarė dvi atskiros su pirkėjais sudarytos sutartys. Pirma, pirkėjai sudarė sutartį su </w:t>
      </w:r>
      <w:r w:rsidRPr="00EA2A06">
        <w:rPr>
          <w:rFonts w:eastAsia="Times New Roman" w:cs="Calibri"/>
          <w:i/>
          <w:iCs/>
          <w:lang w:eastAsia="lt-LT"/>
        </w:rPr>
        <w:t>Immo 2020</w:t>
      </w:r>
      <w:r w:rsidRPr="00EA2A06">
        <w:rPr>
          <w:rFonts w:eastAsia="Times New Roman" w:cs="Calibri"/>
          <w:lang w:eastAsia="lt-LT"/>
        </w:rPr>
        <w:t xml:space="preserve"> dėl dalies pertvarkytino buvusios mokyklos pastato ir dalies žemės sklypo, kuriame jis pastatytas, pardavimo. Antra, tą pačią dieną </w:t>
      </w:r>
      <w:r w:rsidRPr="00EA2A06">
        <w:rPr>
          <w:rFonts w:eastAsia="Times New Roman" w:cs="Calibri"/>
          <w:i/>
          <w:iCs/>
          <w:lang w:eastAsia="lt-LT"/>
        </w:rPr>
        <w:t>Promo 54</w:t>
      </w:r>
      <w:r w:rsidRPr="00EA2A06">
        <w:rPr>
          <w:rFonts w:eastAsia="Times New Roman" w:cs="Calibri"/>
          <w:lang w:eastAsia="lt-LT"/>
        </w:rPr>
        <w:t xml:space="preserve"> su pirkėjais sudarė renovacijos darbų atlikimo sutartį.</w:t>
      </w:r>
    </w:p>
    <w:p w14:paraId="5DD55C0F" w14:textId="35A7D3C8" w:rsidR="007F29E2" w:rsidRPr="00E040A7" w:rsidRDefault="007F29E2" w:rsidP="007F29E2">
      <w:pPr>
        <w:tabs>
          <w:tab w:val="left" w:pos="6379"/>
        </w:tabs>
        <w:ind w:firstLine="540"/>
        <w:rPr>
          <w:rFonts w:eastAsia="Times New Roman" w:cs="Calibri"/>
          <w:lang w:eastAsia="lt-LT"/>
        </w:rPr>
      </w:pPr>
      <w:r w:rsidRPr="00EA2A06">
        <w:rPr>
          <w:rFonts w:eastAsia="Times New Roman" w:cs="Calibri"/>
          <w:lang w:eastAsia="lt-LT"/>
        </w:rPr>
        <w:t>Belgijos mokesčių administratorius nusprendė, kad tai yra dirbtinai išskaidytas sandoris, siekiant piktnaudžiaujant gauti mokesčio lengvat</w:t>
      </w:r>
      <w:r w:rsidR="008B2282">
        <w:rPr>
          <w:rFonts w:eastAsia="Times New Roman" w:cs="Calibri"/>
          <w:lang w:eastAsia="lt-LT"/>
        </w:rPr>
        <w:t>ą</w:t>
      </w:r>
      <w:r w:rsidRPr="00EA2A06">
        <w:rPr>
          <w:rFonts w:eastAsia="Times New Roman" w:cs="Calibri"/>
          <w:lang w:eastAsia="lt-LT"/>
        </w:rPr>
        <w:t>. Iš tikrųjų šis sandoris buvo vienas naujų butų tiekimo sandoris, apmokestinamas 21 % PVM tarifu, o ne seno pastato ir žemės sklypo, kuriame jis pastatytas, pardavimo sandoris, po pastato renovacijos apmokestinamas lengvatiniu 6 % tarifu.</w:t>
      </w:r>
    </w:p>
    <w:p w14:paraId="5D39A5BB" w14:textId="77777777" w:rsidR="007F29E2" w:rsidRPr="00EA2A06" w:rsidRDefault="007F29E2" w:rsidP="007F29E2">
      <w:pPr>
        <w:tabs>
          <w:tab w:val="left" w:pos="6379"/>
        </w:tabs>
        <w:rPr>
          <w:rFonts w:eastAsia="Times New Roman" w:cs="Calibri"/>
          <w:lang w:eastAsia="lt-LT"/>
        </w:rPr>
      </w:pPr>
    </w:p>
    <w:p w14:paraId="0797E18F" w14:textId="77777777" w:rsidR="007F29E2" w:rsidRPr="00EA2A06" w:rsidRDefault="007F29E2" w:rsidP="007F29E2">
      <w:pPr>
        <w:tabs>
          <w:tab w:val="left" w:pos="6379"/>
        </w:tabs>
        <w:jc w:val="center"/>
        <w:rPr>
          <w:rFonts w:eastAsia="Times New Roman" w:cs="Calibri"/>
          <w:b/>
          <w:bCs/>
          <w:lang w:eastAsia="lt-LT"/>
        </w:rPr>
      </w:pPr>
      <w:r w:rsidRPr="00EA2A06">
        <w:rPr>
          <w:rFonts w:eastAsia="Times New Roman" w:cs="Calibri"/>
          <w:b/>
          <w:bCs/>
          <w:lang w:eastAsia="lt-LT"/>
        </w:rPr>
        <w:t>Teisingumo Teismo vertinimas</w:t>
      </w:r>
    </w:p>
    <w:p w14:paraId="68B4F0A1" w14:textId="77777777" w:rsidR="007F29E2" w:rsidRPr="00EA2A06" w:rsidRDefault="007F29E2" w:rsidP="007F29E2">
      <w:pPr>
        <w:tabs>
          <w:tab w:val="left" w:pos="6379"/>
        </w:tabs>
        <w:jc w:val="center"/>
        <w:rPr>
          <w:rFonts w:eastAsia="Times New Roman" w:cs="Calibri"/>
          <w:b/>
          <w:bCs/>
          <w:lang w:eastAsia="lt-LT"/>
        </w:rPr>
      </w:pPr>
    </w:p>
    <w:p w14:paraId="00804DD9" w14:textId="77777777"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Nacionalinis teismas iš esmės siekia sužinoti, ar PVM direktyvos 135 straipsnio 1 dalies j punktas, siejamas su šios direktyvos 12 straipsnio 1 ir 2 dalimis, turi būti aiškinamas taip, kad pirmojoje nuostatoje numatytas neapmokestinimas, taikomas pastatų ar jų dalių ir žemės, ant kurios jie pastatyti, tiekimui, išskyrus tų, kurie buvo patiekti iki pirmo jų panaudojimo, taip pat taikomas pastato, kuris buvo pirmą kartą panaudotas iki jo pertvarkymo, tiekimui, net jei atitinkama valstybė narė vidaus teisėje nenustatė pirmo pastato panaudojimo kriterijaus taikymo pertvarkytiems pastatams tvarkos, kaip tai leidžia padaryti minėta antroji nuostata.</w:t>
      </w:r>
    </w:p>
    <w:p w14:paraId="55372CE3" w14:textId="77777777" w:rsidR="007F29E2" w:rsidRPr="00EA2A06" w:rsidRDefault="007F29E2" w:rsidP="007F29E2">
      <w:pPr>
        <w:tabs>
          <w:tab w:val="left" w:pos="6379"/>
        </w:tabs>
        <w:ind w:firstLine="540"/>
        <w:rPr>
          <w:rFonts w:eastAsia="Times New Roman" w:cs="Calibri"/>
          <w:lang w:eastAsia="lt-LT"/>
        </w:rPr>
      </w:pPr>
    </w:p>
    <w:p w14:paraId="40C1DD01" w14:textId="77777777" w:rsidR="007F29E2" w:rsidRPr="00EA2A06" w:rsidRDefault="007F29E2" w:rsidP="007F29E2">
      <w:pPr>
        <w:pStyle w:val="Antrat3"/>
        <w:ind w:firstLine="567"/>
      </w:pPr>
      <w:bookmarkStart w:id="24" w:name="_Toc148375050"/>
      <w:r w:rsidRPr="00EA2A06">
        <w:t>Dėl iš esmės pagerinto seno pastato tiekimo (ne)apmokestinimo PVM</w:t>
      </w:r>
      <w:bookmarkEnd w:id="24"/>
    </w:p>
    <w:p w14:paraId="68483AD0" w14:textId="77777777" w:rsidR="007F29E2" w:rsidRPr="00EA2A06" w:rsidRDefault="007F29E2" w:rsidP="007F29E2">
      <w:pPr>
        <w:tabs>
          <w:tab w:val="left" w:pos="6379"/>
        </w:tabs>
        <w:ind w:firstLine="540"/>
        <w:rPr>
          <w:rFonts w:eastAsia="Times New Roman" w:cs="Calibri"/>
          <w:lang w:eastAsia="lt-LT"/>
        </w:rPr>
      </w:pPr>
    </w:p>
    <w:p w14:paraId="3ADFA9F8" w14:textId="77777777" w:rsidR="00615F6D" w:rsidRDefault="007F29E2" w:rsidP="00615F6D">
      <w:pPr>
        <w:tabs>
          <w:tab w:val="left" w:pos="6379"/>
        </w:tabs>
        <w:ind w:firstLine="540"/>
        <w:rPr>
          <w:rFonts w:eastAsia="Times New Roman" w:cs="Calibri"/>
          <w:lang w:eastAsia="lt-LT"/>
        </w:rPr>
      </w:pPr>
      <w:r w:rsidRPr="00EA2A06">
        <w:rPr>
          <w:rFonts w:eastAsia="Times New Roman" w:cs="Calibri"/>
          <w:lang w:eastAsia="lt-LT"/>
        </w:rPr>
        <w:lastRenderedPageBreak/>
        <w:t>Kaip pažymėjo Teisingumo Teismas, nacionalinio teismo nurodytomis nuostatomis</w:t>
      </w:r>
      <w:r w:rsidRPr="00EA2A06">
        <w:rPr>
          <w:rFonts w:eastAsia="Times New Roman" w:cs="Calibri"/>
          <w:vertAlign w:val="superscript"/>
          <w:lang w:eastAsia="lt-LT"/>
        </w:rPr>
        <w:footnoteReference w:id="5"/>
      </w:r>
      <w:r w:rsidRPr="00EA2A06">
        <w:rPr>
          <w:rFonts w:eastAsia="Times New Roman" w:cs="Calibri"/>
          <w:lang w:eastAsia="lt-LT"/>
        </w:rPr>
        <w:t xml:space="preserve"> daromas skirtumas tarp senų pastatų, kurių pardavimas iš esmės neapmokestinamas PVM, ir naujų pastatų, kurių pardavimui PVM taikomas, neatsižvelgiant į tai, ar vykdoma nuolatinė ekonominė veikla, ar ji vykdoma tik retkarčiais. </w:t>
      </w:r>
      <w:r w:rsidRPr="00EA2A06">
        <w:rPr>
          <w:rFonts w:eastAsia="Times New Roman" w:cs="Calibri"/>
          <w:u w:val="single"/>
          <w:lang w:eastAsia="lt-LT"/>
        </w:rPr>
        <w:t>Taigi apmokestinamojo asmens atliekamas pastato tiekimas iki jo „pirmo panaudojimo“ apmokestinamas, o pastato tiekimas po jo „pirmo panaudojimo“ galutiniam vartotojui yra neapmokestinamas</w:t>
      </w:r>
      <w:r w:rsidRPr="00EA2A06">
        <w:rPr>
          <w:rFonts w:eastAsia="Times New Roman" w:cs="Calibri"/>
          <w:lang w:eastAsia="lt-LT"/>
        </w:rPr>
        <w:t>.</w:t>
      </w:r>
    </w:p>
    <w:p w14:paraId="019DFFB3" w14:textId="47DB15C9" w:rsidR="007F29E2" w:rsidRPr="00EA2A06" w:rsidRDefault="007F29E2" w:rsidP="00615F6D">
      <w:pPr>
        <w:tabs>
          <w:tab w:val="left" w:pos="6379"/>
        </w:tabs>
        <w:ind w:firstLine="540"/>
        <w:rPr>
          <w:rFonts w:eastAsia="Times New Roman" w:cs="Calibri"/>
          <w:lang w:eastAsia="lt-LT"/>
        </w:rPr>
      </w:pPr>
      <w:r w:rsidRPr="00EA2A06">
        <w:rPr>
          <w:rFonts w:eastAsia="Times New Roman" w:cs="Calibri"/>
          <w:lang w:eastAsia="lt-LT"/>
        </w:rPr>
        <w:t xml:space="preserve">Šių nuostatų </w:t>
      </w:r>
      <w:r w:rsidRPr="00EA2A06">
        <w:rPr>
          <w:rFonts w:eastAsia="Times New Roman" w:cs="Calibri"/>
          <w:i/>
          <w:iCs/>
          <w:lang w:eastAsia="lt-LT"/>
        </w:rPr>
        <w:t>ratio legis</w:t>
      </w:r>
      <w:r w:rsidRPr="00EA2A06">
        <w:rPr>
          <w:rFonts w:eastAsia="Times New Roman" w:cs="Calibri"/>
          <w:lang w:eastAsia="lt-LT"/>
        </w:rPr>
        <w:t xml:space="preserve"> yra santykinis seno pastato pardavimu sukurtos pridėtinės vertės nebuvimas. Iš tiesų pastato pardavimas galutiniam vartotojui po jo pirmo tiekimo, kuris reiškia gamybos proceso pabaigą, nesukuria didelės pridėtinės vertės, todėl iš principo turi būti neapmokestinamas.</w:t>
      </w:r>
    </w:p>
    <w:p w14:paraId="256722B0" w14:textId="4595D42F" w:rsidR="007F29E2" w:rsidRPr="00EA2A06" w:rsidRDefault="007F29E2" w:rsidP="007F29E2">
      <w:pPr>
        <w:tabs>
          <w:tab w:val="left" w:pos="6379"/>
        </w:tabs>
        <w:ind w:firstLine="540"/>
        <w:rPr>
          <w:rFonts w:eastAsia="Times New Roman" w:cs="Calibri"/>
          <w:lang w:eastAsia="lt-LT"/>
        </w:rPr>
      </w:pPr>
      <w:r w:rsidRPr="00EA2A06">
        <w:rPr>
          <w:rFonts w:eastAsia="Times New Roman" w:cs="Calibri"/>
          <w:u w:val="single"/>
          <w:lang w:eastAsia="lt-LT"/>
        </w:rPr>
        <w:t xml:space="preserve">Tačiau </w:t>
      </w:r>
      <w:r w:rsidR="0062458E">
        <w:rPr>
          <w:rFonts w:eastAsia="Times New Roman" w:cs="Calibri"/>
          <w:u w:val="single"/>
          <w:lang w:eastAsia="lt-LT"/>
        </w:rPr>
        <w:t>k</w:t>
      </w:r>
      <w:r w:rsidRPr="00EA2A06">
        <w:rPr>
          <w:rFonts w:eastAsia="Times New Roman" w:cs="Calibri"/>
          <w:u w:val="single"/>
          <w:lang w:eastAsia="lt-LT"/>
        </w:rPr>
        <w:t>adangi pertvarkyto</w:t>
      </w:r>
      <w:r w:rsidRPr="00EA2A06">
        <w:rPr>
          <w:rFonts w:eastAsia="Times New Roman" w:cs="Calibri"/>
          <w:u w:val="single"/>
          <w:vertAlign w:val="superscript"/>
          <w:lang w:eastAsia="lt-LT"/>
        </w:rPr>
        <w:footnoteReference w:id="6"/>
      </w:r>
      <w:r w:rsidRPr="00EA2A06">
        <w:rPr>
          <w:rFonts w:eastAsia="Times New Roman" w:cs="Calibri"/>
          <w:u w:val="single"/>
          <w:lang w:eastAsia="lt-LT"/>
        </w:rPr>
        <w:t xml:space="preserve"> seno pastato tiekimas, kaip ir naujo pastato tiekimas iki pirmo jo panaudojimo, sukuria pridėtinę vertę, jis atitinka PVM direktyvos 12 straipsnio 1 dalies a punkte numatytą „pirmo pastato panaudojimo“ kriterijų ir lemia apmokestinamąjį sandorį</w:t>
      </w:r>
      <w:r w:rsidRPr="00EA2A06">
        <w:rPr>
          <w:rFonts w:eastAsia="Times New Roman" w:cs="Calibri"/>
          <w:lang w:eastAsia="lt-LT"/>
        </w:rPr>
        <w:t>. Nors valstybės narės pagal PVM direktyvos 12 straipsnio 2 dalies antrą pastraipą turi teisę nustatyti „pirmo pastato panaudojimo“ kriterijaus taikymo pastatų pertvarkymui tvarką, ši nuostata negali būti aiškinama taip, kad taip narėms leidžiama savo nacionalinės teisės aktuose pakeisti pačią sąvoką „pirmas pastato panaudojimas“.</w:t>
      </w:r>
    </w:p>
    <w:p w14:paraId="00AA774F" w14:textId="77777777" w:rsidR="007F29E2" w:rsidRPr="00EA2A06" w:rsidRDefault="00000000" w:rsidP="007F29E2">
      <w:pPr>
        <w:tabs>
          <w:tab w:val="left" w:pos="6379"/>
        </w:tabs>
        <w:ind w:firstLine="540"/>
        <w:rPr>
          <w:rFonts w:eastAsia="Times New Roman" w:cs="Calibri"/>
          <w:lang w:eastAsia="lt-LT"/>
        </w:rPr>
      </w:pPr>
      <w:hyperlink r:id="rId12" w:history="1">
        <w:r w:rsidR="007F29E2" w:rsidRPr="00EA2A06">
          <w:rPr>
            <w:rFonts w:eastAsia="Times New Roman" w:cs="Calibri"/>
            <w:color w:val="0000FF"/>
            <w:u w:val="single"/>
            <w:lang w:eastAsia="lt-LT"/>
          </w:rPr>
          <w:t>Prieiga internete</w:t>
        </w:r>
      </w:hyperlink>
    </w:p>
    <w:p w14:paraId="26AFC79D" w14:textId="77777777" w:rsidR="007F29E2" w:rsidRPr="00EA2A06" w:rsidRDefault="007F29E2" w:rsidP="007F29E2">
      <w:pPr>
        <w:tabs>
          <w:tab w:val="left" w:pos="6379"/>
        </w:tabs>
        <w:ind w:firstLine="540"/>
        <w:rPr>
          <w:rFonts w:eastAsia="Times New Roman" w:cs="Calibri"/>
          <w:lang w:eastAsia="lt-LT"/>
        </w:rPr>
      </w:pPr>
    </w:p>
    <w:p w14:paraId="40898CD1" w14:textId="77777777" w:rsidR="007F29E2" w:rsidRPr="00EA2A06" w:rsidRDefault="007F29E2" w:rsidP="007F29E2">
      <w:pPr>
        <w:pStyle w:val="Antrat2"/>
        <w:rPr>
          <w:color w:val="323E4F" w:themeColor="text2" w:themeShade="BF"/>
        </w:rPr>
      </w:pPr>
      <w:bookmarkStart w:id="25" w:name="_Toc148375051"/>
      <w:r w:rsidRPr="00EA2A06">
        <w:rPr>
          <w:color w:val="323E4F" w:themeColor="text2" w:themeShade="BF"/>
        </w:rPr>
        <w:t xml:space="preserve">2023 m. gegužės 4 d. sprendimas byloje </w:t>
      </w:r>
      <w:r w:rsidRPr="00324130">
        <w:rPr>
          <w:i/>
          <w:iCs w:val="0"/>
          <w:color w:val="323E4F" w:themeColor="text2" w:themeShade="BF"/>
        </w:rPr>
        <w:t>Balgarska telekomunikatsionna kompania</w:t>
      </w:r>
      <w:r w:rsidRPr="00EA2A06">
        <w:rPr>
          <w:color w:val="323E4F" w:themeColor="text2" w:themeShade="BF"/>
        </w:rPr>
        <w:t>, C</w:t>
      </w:r>
      <w:r w:rsidRPr="00EA2A06">
        <w:rPr>
          <w:rFonts w:ascii="Cambria Math" w:hAnsi="Cambria Math" w:cs="Cambria Math"/>
          <w:color w:val="323E4F" w:themeColor="text2" w:themeShade="BF"/>
        </w:rPr>
        <w:t>‑</w:t>
      </w:r>
      <w:r w:rsidRPr="00EA2A06">
        <w:rPr>
          <w:color w:val="323E4F" w:themeColor="text2" w:themeShade="BF"/>
        </w:rPr>
        <w:t>127/22</w:t>
      </w:r>
      <w:bookmarkEnd w:id="25"/>
    </w:p>
    <w:p w14:paraId="77EC1327" w14:textId="77777777" w:rsidR="007F29E2" w:rsidRPr="00EA2A06" w:rsidRDefault="007F29E2" w:rsidP="007F29E2">
      <w:pPr>
        <w:tabs>
          <w:tab w:val="left" w:pos="6379"/>
        </w:tabs>
        <w:ind w:firstLine="540"/>
        <w:rPr>
          <w:rFonts w:eastAsia="Times New Roman" w:cs="Calibri"/>
          <w:lang w:eastAsia="lt-LT"/>
        </w:rPr>
      </w:pPr>
    </w:p>
    <w:p w14:paraId="36A7A838" w14:textId="1C236E52"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Direktyva 2006/112/EB (PVM direktyva)</w:t>
      </w:r>
      <w:r w:rsidRPr="00EA2A06">
        <w:rPr>
          <w:rFonts w:eastAsia="Times New Roman" w:cs="Calibri"/>
          <w:vertAlign w:val="superscript"/>
          <w:lang w:eastAsia="lt-LT"/>
        </w:rPr>
        <w:footnoteReference w:id="7"/>
      </w:r>
      <w:r w:rsidRPr="00EA2A06">
        <w:rPr>
          <w:rFonts w:eastAsia="Times New Roman" w:cs="Calibri"/>
          <w:lang w:eastAsia="lt-LT"/>
        </w:rPr>
        <w:t xml:space="preserve"> – 185 straipsnis – Pirkimo PVM atskaitos tikslinimas – Nurašytas turtas – Vėlesnė vertė kaip atliekų – Tinkamai įrodytas ar patvirtintas sunaikinimas arba pašalinimas</w:t>
      </w:r>
    </w:p>
    <w:p w14:paraId="58ED394B" w14:textId="77777777" w:rsidR="007F29E2" w:rsidRPr="00EA2A06" w:rsidRDefault="007F29E2" w:rsidP="007F29E2">
      <w:pPr>
        <w:tabs>
          <w:tab w:val="left" w:pos="6379"/>
        </w:tabs>
        <w:rPr>
          <w:rFonts w:eastAsia="Times New Roman" w:cs="Calibri"/>
          <w:lang w:eastAsia="lt-LT"/>
        </w:rPr>
      </w:pPr>
    </w:p>
    <w:p w14:paraId="1FBBE0FE" w14:textId="77777777" w:rsidR="007F29E2" w:rsidRPr="00EA2A06" w:rsidRDefault="007F29E2" w:rsidP="007F29E2">
      <w:pPr>
        <w:tabs>
          <w:tab w:val="left" w:pos="6379"/>
        </w:tabs>
        <w:jc w:val="center"/>
        <w:rPr>
          <w:rFonts w:eastAsia="Times New Roman" w:cs="Calibri"/>
          <w:b/>
          <w:bCs/>
          <w:lang w:eastAsia="lt-LT"/>
        </w:rPr>
      </w:pPr>
      <w:r w:rsidRPr="00EA2A06">
        <w:rPr>
          <w:rFonts w:eastAsia="Times New Roman" w:cs="Calibri"/>
          <w:b/>
          <w:bCs/>
          <w:lang w:eastAsia="lt-LT"/>
        </w:rPr>
        <w:t>Bylos aplinkybės</w:t>
      </w:r>
    </w:p>
    <w:p w14:paraId="05B33596" w14:textId="77777777" w:rsidR="007F29E2" w:rsidRPr="00EA2A06" w:rsidRDefault="007F29E2" w:rsidP="007F29E2">
      <w:pPr>
        <w:tabs>
          <w:tab w:val="left" w:pos="6379"/>
        </w:tabs>
        <w:rPr>
          <w:rFonts w:eastAsia="Times New Roman" w:cs="Calibri"/>
          <w:lang w:eastAsia="lt-LT"/>
        </w:rPr>
      </w:pPr>
    </w:p>
    <w:p w14:paraId="471B6FA4" w14:textId="2BEC71FA"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 xml:space="preserve">Prašymas priimti prejudicinį sprendimą pateiktas nagrinėjant </w:t>
      </w:r>
      <w:r w:rsidRPr="00EA2A06">
        <w:rPr>
          <w:rFonts w:eastAsia="Times New Roman" w:cs="Calibri"/>
          <w:i/>
          <w:iCs/>
          <w:lang w:eastAsia="lt-LT"/>
        </w:rPr>
        <w:t>„Balgarska telekomunikatsionna kompania“</w:t>
      </w:r>
      <w:r w:rsidR="00FD1AC8">
        <w:rPr>
          <w:rFonts w:eastAsia="Times New Roman" w:cs="Calibri"/>
          <w:i/>
          <w:iCs/>
          <w:lang w:eastAsia="lt-LT"/>
        </w:rPr>
        <w:t xml:space="preserve"> </w:t>
      </w:r>
      <w:r w:rsidRPr="00EA2A06">
        <w:rPr>
          <w:rFonts w:eastAsia="Times New Roman" w:cs="Calibri"/>
          <w:i/>
          <w:iCs/>
          <w:lang w:eastAsia="lt-LT"/>
        </w:rPr>
        <w:t>EAD</w:t>
      </w:r>
      <w:r w:rsidRPr="00EA2A06">
        <w:rPr>
          <w:rFonts w:eastAsia="Times New Roman" w:cs="Calibri"/>
          <w:lang w:eastAsia="lt-LT"/>
        </w:rPr>
        <w:t xml:space="preserve"> (toliau – BTK) ir Bulgarijos mokesčių administratoriaus ginčą </w:t>
      </w:r>
      <w:r w:rsidR="00EF2CEA">
        <w:rPr>
          <w:rFonts w:eastAsia="Times New Roman" w:cs="Calibri"/>
          <w:lang w:eastAsia="lt-LT"/>
        </w:rPr>
        <w:t>d</w:t>
      </w:r>
      <w:r w:rsidRPr="00EA2A06">
        <w:rPr>
          <w:rFonts w:eastAsia="Times New Roman" w:cs="Calibri"/>
          <w:lang w:eastAsia="lt-LT"/>
        </w:rPr>
        <w:t>ėl sprendimo, kuriuo atmestas BTK prašymas grąžinti sumas, sumokėtas už iš pradžių atliktus pridėtinės vertės mokesčio (PVM) atskaitos patikslinimus dėl įvairių ilgalaikio turto vienetų ir atsargų nurašymo 2014–2017 m.</w:t>
      </w:r>
    </w:p>
    <w:p w14:paraId="0296D09B" w14:textId="77777777"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Ginčo laikotarpiu bendrovė BTK nurašė įvairų turtą, pavyzdžiui, įrenginius, įrangą ar prietaisus, kurie dėl įvairių priežasčių, įskaitant nusidėvėjimą, defektus, ilgą naudojimo laiką ar netinkamumą, buvo laikomi netinkamais naudoti ar parduoti. Šis nurašymas atliktas laikantis taikytinų nacionalinės teisės aktų. Konkrečiai kalbant, jį sudarė atitinkamo turto išbraukimas iš bendrovės balanso. Be to, kai kurie šie daiktai kaip atliekos buvo parduoti apmokestinamoms trečiosioms įmonėms, o kiti – sunaikinti arba pašalinti. Šios nurašymo operacijos lėmė tikslinimus, susijusius su už atitinkamas prekes atskaityto pirkimo PVM grąžinimu į valstybės biudžetą.</w:t>
      </w:r>
    </w:p>
    <w:p w14:paraId="6ECD7E9B" w14:textId="77777777" w:rsidR="007F29E2" w:rsidRPr="00EA2A06" w:rsidRDefault="007F29E2" w:rsidP="007F29E2">
      <w:pPr>
        <w:tabs>
          <w:tab w:val="left" w:pos="6379"/>
        </w:tabs>
        <w:ind w:firstLine="540"/>
        <w:rPr>
          <w:rFonts w:eastAsia="Times New Roman" w:cs="Calibri"/>
          <w:lang w:eastAsia="lt-LT"/>
        </w:rPr>
      </w:pPr>
      <w:r w:rsidRPr="00EA2A06">
        <w:rPr>
          <w:rFonts w:eastAsia="Times New Roman" w:cs="Calibri"/>
          <w:lang w:eastAsia="lt-LT"/>
        </w:rPr>
        <w:t>Visgi vėliau BTK pateikė prašymą grąžinti sumas, sumokėtas atliekant minėtus tikslinimus. Ji teigė, kad nacionalinės nuostatos, pagal kurias buvo atlikti minėti tikslinimai, yra nesuderinamos su PVM direktyvos nuostatomis. Šis prašymas grąžinti buvo atmestas.</w:t>
      </w:r>
    </w:p>
    <w:p w14:paraId="5C7EF845" w14:textId="77777777" w:rsidR="007F29E2" w:rsidRPr="00EA2A06" w:rsidRDefault="007F29E2" w:rsidP="007F29E2">
      <w:pPr>
        <w:tabs>
          <w:tab w:val="left" w:pos="6379"/>
        </w:tabs>
        <w:ind w:firstLine="540"/>
        <w:rPr>
          <w:rFonts w:eastAsia="Times New Roman" w:cs="Calibri"/>
          <w:lang w:eastAsia="lt-LT"/>
        </w:rPr>
      </w:pPr>
    </w:p>
    <w:p w14:paraId="0E07587E" w14:textId="77777777" w:rsidR="007F29E2" w:rsidRPr="00EA2A06" w:rsidRDefault="007F29E2" w:rsidP="007F29E2">
      <w:pPr>
        <w:tabs>
          <w:tab w:val="left" w:pos="6379"/>
        </w:tabs>
        <w:jc w:val="center"/>
        <w:rPr>
          <w:rFonts w:eastAsia="Times New Roman" w:cs="Calibri"/>
          <w:b/>
          <w:bCs/>
          <w:lang w:eastAsia="lt-LT"/>
        </w:rPr>
      </w:pPr>
      <w:r w:rsidRPr="00EA2A06">
        <w:rPr>
          <w:rFonts w:eastAsia="Times New Roman" w:cs="Calibri"/>
          <w:b/>
          <w:bCs/>
          <w:lang w:eastAsia="lt-LT"/>
        </w:rPr>
        <w:t>Teisingumo Teismo vertinimas</w:t>
      </w:r>
    </w:p>
    <w:p w14:paraId="4ADAA30E" w14:textId="77777777" w:rsidR="007F29E2" w:rsidRPr="00EA2A06" w:rsidRDefault="007F29E2" w:rsidP="007F29E2">
      <w:pPr>
        <w:tabs>
          <w:tab w:val="left" w:pos="6379"/>
        </w:tabs>
        <w:ind w:firstLine="540"/>
        <w:rPr>
          <w:rFonts w:eastAsia="Times New Roman" w:cs="Calibri"/>
          <w:lang w:eastAsia="lt-LT"/>
        </w:rPr>
      </w:pPr>
    </w:p>
    <w:p w14:paraId="40AE1C4A" w14:textId="77777777" w:rsidR="007F29E2" w:rsidRPr="00EA2A06" w:rsidRDefault="007F29E2" w:rsidP="007F29E2">
      <w:pPr>
        <w:pStyle w:val="Antrat3"/>
        <w:ind w:firstLine="567"/>
      </w:pPr>
      <w:bookmarkStart w:id="26" w:name="_Toc148375052"/>
      <w:r w:rsidRPr="00EA2A06">
        <w:t>Dėl pirminės PVM atskaitos tikslinimo atveju, kai prekės, kurių pirkimo PVM buvo atskaitytas, yra parduodamos kaip atliekos kitam apmokestinamajam asmeniui</w:t>
      </w:r>
      <w:bookmarkEnd w:id="26"/>
    </w:p>
    <w:p w14:paraId="7280124E" w14:textId="7B537385" w:rsidR="007F29E2" w:rsidRPr="00EA2A06" w:rsidRDefault="007F29E2" w:rsidP="007F29E2">
      <w:pPr>
        <w:tabs>
          <w:tab w:val="left" w:pos="6379"/>
        </w:tabs>
        <w:ind w:firstLine="567"/>
        <w:rPr>
          <w:rFonts w:eastAsia="Times New Roman" w:cs="Calibri"/>
          <w:lang w:eastAsia="lt-LT"/>
        </w:rPr>
      </w:pPr>
    </w:p>
    <w:p w14:paraId="364B28DB" w14:textId="77777777" w:rsidR="007F29E2" w:rsidRPr="00EA2A06" w:rsidRDefault="007F29E2" w:rsidP="007F29E2">
      <w:pPr>
        <w:tabs>
          <w:tab w:val="left" w:pos="6379"/>
        </w:tabs>
        <w:ind w:firstLine="567"/>
        <w:rPr>
          <w:rFonts w:eastAsia="Times New Roman" w:cs="Calibri"/>
          <w:lang w:eastAsia="lt-LT"/>
        </w:rPr>
      </w:pPr>
      <w:r w:rsidRPr="00EA2A06">
        <w:rPr>
          <w:rFonts w:eastAsia="Times New Roman" w:cs="Calibri"/>
          <w:lang w:eastAsia="lt-LT"/>
        </w:rPr>
        <w:lastRenderedPageBreak/>
        <w:t>Nacionalinis teismas siekė išsiaiškinti, ar PVM direktyvos 185 straipsnio 1 dalį</w:t>
      </w:r>
      <w:r w:rsidRPr="00EA2A06">
        <w:rPr>
          <w:rFonts w:eastAsia="Times New Roman" w:cs="Calibri"/>
          <w:vertAlign w:val="superscript"/>
          <w:lang w:eastAsia="lt-LT"/>
        </w:rPr>
        <w:footnoteReference w:id="8"/>
      </w:r>
      <w:r w:rsidRPr="00EA2A06">
        <w:rPr>
          <w:rFonts w:eastAsia="Times New Roman" w:cs="Calibri"/>
          <w:lang w:eastAsia="lt-LT"/>
        </w:rPr>
        <w:t xml:space="preserve"> reikia aiškinti taip, kad turto, kuris, asmens nuomone, tapo nebenaudotinas vykdant įprastą ekonominę veiklą, nurašymas ir šio turto, kaip atliekų, pardavimas, kuris buvo apmokestintas PVM, yra „veiksnių, kuriais remiantis buvo apskaičiuota atskaitytina PVM suma, pasikeitimas“, kaip tai suprantama pagal šią nuostatą.</w:t>
      </w:r>
    </w:p>
    <w:p w14:paraId="7C6B3066" w14:textId="53ADA6D9" w:rsidR="007F29E2" w:rsidRPr="00EA2A06" w:rsidRDefault="007F29E2" w:rsidP="007F29E2">
      <w:pPr>
        <w:tabs>
          <w:tab w:val="left" w:pos="6379"/>
        </w:tabs>
        <w:ind w:firstLine="567"/>
        <w:rPr>
          <w:rFonts w:eastAsia="Times New Roman" w:cs="Calibri"/>
          <w:lang w:eastAsia="lt-LT"/>
        </w:rPr>
      </w:pPr>
      <w:r w:rsidRPr="00EA2A06">
        <w:rPr>
          <w:rFonts w:eastAsia="Times New Roman" w:cs="Calibri"/>
          <w:lang w:eastAsia="lt-LT"/>
        </w:rPr>
        <w:t xml:space="preserve">Teisingumo Teismas nurodė, kad </w:t>
      </w:r>
      <w:r w:rsidRPr="00EA2A06">
        <w:rPr>
          <w:rFonts w:eastAsia="Times New Roman" w:cs="Calibri"/>
          <w:u w:val="single"/>
          <w:lang w:eastAsia="lt-LT"/>
        </w:rPr>
        <w:t>PVM direktyvos 185 straipsnio 1 dalį reikia aiškinti taip, kad turto, kuris, apmokestinamojo asmens nuomone, tapo nebenaudotinas vykdant įprastą ekonominę veiklą, nurašymas ir šio turto, kaip atliekų, pardavimas, kuris buvo apmokestintas PVM, nėra „veiksnių, kuriais remiantis buvo apskaičiuota atskaitytina PVM suma, pasikeitimas“, kaip tai suprantama pagal šią nuostatą</w:t>
      </w:r>
      <w:r w:rsidRPr="00EA2A06">
        <w:rPr>
          <w:rFonts w:eastAsia="Times New Roman" w:cs="Calibri"/>
          <w:lang w:eastAsia="lt-LT"/>
        </w:rPr>
        <w:t>. Šiuo klausimu neturi reikšmės tai, kad atliekų pardavimas nepriskiriamas prie apmokestinamojo asmens, kuris vykdo tokį pardavimą, įprastos ekonominės veiklos arba kad atitinkamo turto pardavimo vertė yra mažesnė, palyginti su jo pradine verte, dėl to, kad jis parduodamas kaip atliekos, ar dėl tos pačios priežasties pasikeitė jo pirminis pobūdis.</w:t>
      </w:r>
    </w:p>
    <w:p w14:paraId="372CA6E7" w14:textId="77777777" w:rsidR="007F29E2" w:rsidRPr="00EA2A06" w:rsidRDefault="007F29E2" w:rsidP="007F29E2">
      <w:pPr>
        <w:tabs>
          <w:tab w:val="left" w:pos="6379"/>
        </w:tabs>
        <w:ind w:firstLine="567"/>
        <w:rPr>
          <w:rFonts w:eastAsia="Times New Roman" w:cs="Calibri"/>
          <w:lang w:eastAsia="lt-LT"/>
        </w:rPr>
      </w:pPr>
    </w:p>
    <w:p w14:paraId="470BAA7C" w14:textId="7CD7B91E" w:rsidR="007F29E2" w:rsidRPr="00EA2A06" w:rsidRDefault="007F29E2" w:rsidP="007F29E2">
      <w:pPr>
        <w:pStyle w:val="Antrat3"/>
        <w:ind w:firstLine="567"/>
      </w:pPr>
      <w:bookmarkStart w:id="27" w:name="_Toc148375053"/>
      <w:r w:rsidRPr="00EA2A06">
        <w:t>Dėl pareigos patikslinti pirmin</w:t>
      </w:r>
      <w:r w:rsidR="00B3129F">
        <w:t>ę</w:t>
      </w:r>
      <w:r w:rsidRPr="00EA2A06">
        <w:t xml:space="preserve"> PVM atskaitą, kai prekės, kurių pirkimo PVM buvo atskaitytas, buvo sunaikintos, apmokestinamajam asmeniui nusprendus, kad jos nebetinkamos naudoti jo apmokestinamoje (ekonominėje) veikloje</w:t>
      </w:r>
      <w:bookmarkEnd w:id="27"/>
    </w:p>
    <w:p w14:paraId="2598243A" w14:textId="77777777" w:rsidR="007F29E2" w:rsidRPr="00EA2A06" w:rsidRDefault="007F29E2" w:rsidP="007F29E2">
      <w:pPr>
        <w:tabs>
          <w:tab w:val="left" w:pos="6379"/>
        </w:tabs>
        <w:ind w:firstLine="567"/>
        <w:rPr>
          <w:rFonts w:eastAsia="Times New Roman" w:cs="Calibri"/>
          <w:lang w:eastAsia="lt-LT"/>
        </w:rPr>
      </w:pPr>
    </w:p>
    <w:p w14:paraId="58B27BFE" w14:textId="77777777" w:rsidR="007F29E2" w:rsidRPr="00EA2A06" w:rsidRDefault="007F29E2" w:rsidP="007F29E2">
      <w:pPr>
        <w:tabs>
          <w:tab w:val="left" w:pos="6379"/>
        </w:tabs>
        <w:ind w:firstLine="567"/>
        <w:rPr>
          <w:rFonts w:eastAsia="Times New Roman" w:cs="Calibri"/>
          <w:lang w:eastAsia="lt-LT"/>
        </w:rPr>
      </w:pPr>
      <w:r w:rsidRPr="00EA2A06">
        <w:rPr>
          <w:rFonts w:eastAsia="Times New Roman" w:cs="Calibri"/>
          <w:lang w:eastAsia="lt-LT"/>
        </w:rPr>
        <w:t>Kiek tai susiję su sunaikintu turtu, prašymą priimti prejudicinį sprendimą pateikęs teismas iš esmės siekė išsiaiškinti, ar PVM direktyvos 185 straipsnis turi būti aiškinamas taip, kad turto, kurį apmokestinamasis asmuo laikė netinkamu naudoti vykdant įprastą ekonominę veiklą, nurašymas, po kurio šis turtas buvo savanoriškai sunaikintas, yra „veiksnių, kuriais remiantis buvo apskaičiuota atskaitytina PVM suma, pasikeitimas“, kaip tai suprantama pagal šio straipsnio 1 dalį, ir, jei taip, ar šio turto nurašymas tokiomis aplinkybėmis yra „deramas įrodymas ir patvirtinimas, kad turtas yra sunaikintas“, arba „deramas įrodymas ir patvirtinimas, kad turtas yra prarastas“, kaip tai suprantama pagal šio straipsnio 2 dalį, nors tai nėra įvykis, kuris nepriklauso nuo apmokestinamojo asmens valios ir kurio jis negalėjo nei numatyti, nei išvengti.</w:t>
      </w:r>
    </w:p>
    <w:p w14:paraId="524B9E95" w14:textId="0F28F5A8" w:rsidR="007F29E2" w:rsidRPr="00EA2A06" w:rsidRDefault="007F29E2" w:rsidP="007F29E2">
      <w:pPr>
        <w:tabs>
          <w:tab w:val="left" w:pos="6379"/>
        </w:tabs>
        <w:ind w:firstLine="567"/>
        <w:rPr>
          <w:rFonts w:eastAsia="Times New Roman" w:cs="Calibri"/>
          <w:lang w:eastAsia="lt-LT"/>
        </w:rPr>
      </w:pPr>
      <w:r w:rsidRPr="00EA2A06">
        <w:rPr>
          <w:rFonts w:eastAsia="Times New Roman" w:cs="Calibri"/>
          <w:lang w:eastAsia="lt-LT"/>
        </w:rPr>
        <w:t xml:space="preserve">Šiuo klausimu Teisingumo Teismas nurodė, </w:t>
      </w:r>
      <w:r w:rsidR="00D75FCD">
        <w:rPr>
          <w:rFonts w:eastAsia="Times New Roman" w:cs="Calibri"/>
          <w:lang w:eastAsia="lt-LT"/>
        </w:rPr>
        <w:t>p</w:t>
      </w:r>
      <w:r w:rsidRPr="00EA2A06">
        <w:rPr>
          <w:rFonts w:eastAsia="Times New Roman" w:cs="Calibri"/>
          <w:lang w:eastAsia="lt-LT"/>
        </w:rPr>
        <w:t xml:space="preserve">irma, kad sunaikinus turtą neišvengiamai išnyksta bet kokia galimybė jį panaudoti apmokestinamiesiems sandoriams. </w:t>
      </w:r>
      <w:r w:rsidRPr="00EA2A06">
        <w:rPr>
          <w:rFonts w:eastAsia="Times New Roman" w:cs="Calibri"/>
          <w:u w:val="single"/>
          <w:lang w:eastAsia="lt-LT"/>
        </w:rPr>
        <w:t>Vadinasi, dėl šios aplinkybės nutrūksta glaudus ir tiesioginis teisės į pirkimo PVM atskaitą ir atitinkamo turto naudojimo apmokestinamiesiems pardavimo sandoriams ryšys, todėl tai yra „veiksnių, kuriais remiantis buvo apskaičiuota atskaitytina PVM suma, pasikeitimas“, kaip tai suprantama pagal PVM direktyvos 185 straipsnio 1 dalį</w:t>
      </w:r>
      <w:r w:rsidRPr="00EA2A06">
        <w:rPr>
          <w:rFonts w:eastAsia="Times New Roman" w:cs="Calibri"/>
          <w:lang w:eastAsia="lt-LT"/>
        </w:rPr>
        <w:t>.</w:t>
      </w:r>
    </w:p>
    <w:p w14:paraId="3A0F95C4" w14:textId="74BCEE02" w:rsidR="007F29E2" w:rsidRPr="00EA2A06" w:rsidRDefault="007F29E2" w:rsidP="007F29E2">
      <w:pPr>
        <w:tabs>
          <w:tab w:val="left" w:pos="6379"/>
        </w:tabs>
        <w:ind w:firstLine="567"/>
        <w:rPr>
          <w:rFonts w:eastAsia="Times New Roman" w:cs="Calibri"/>
          <w:lang w:eastAsia="lt-LT"/>
        </w:rPr>
      </w:pPr>
      <w:r w:rsidRPr="00EA2A06">
        <w:rPr>
          <w:rFonts w:eastAsia="Times New Roman" w:cs="Calibri"/>
          <w:lang w:eastAsia="lt-LT"/>
        </w:rPr>
        <w:t>Antra, dėl žodžių „sunaikinimas“ ir „praradimas“ reikšmės ir apimties, kaip tai suprantama pagal PVM direktyvos 185 straipsnio 2 dalį, pažymėta</w:t>
      </w:r>
      <w:r w:rsidR="004541E3">
        <w:rPr>
          <w:rFonts w:eastAsia="Times New Roman" w:cs="Calibri"/>
          <w:lang w:eastAsia="lt-LT"/>
        </w:rPr>
        <w:t>,</w:t>
      </w:r>
      <w:r w:rsidRPr="00EA2A06">
        <w:rPr>
          <w:rFonts w:eastAsia="Times New Roman" w:cs="Calibri"/>
          <w:lang w:eastAsia="lt-LT"/>
        </w:rPr>
        <w:t xml:space="preserve"> kad </w:t>
      </w:r>
      <w:r w:rsidRPr="00EA2A06">
        <w:rPr>
          <w:rFonts w:eastAsia="Times New Roman" w:cs="Calibri"/>
          <w:u w:val="single"/>
          <w:lang w:eastAsia="lt-LT"/>
        </w:rPr>
        <w:t>turtas negali būti prarastas dėl savanoriškų savininko ar naudotojo veiksmų, nors sunaikinimo atveju to negalima atmesti</w:t>
      </w:r>
      <w:r w:rsidRPr="00EA2A06">
        <w:rPr>
          <w:rFonts w:eastAsia="Times New Roman" w:cs="Calibri"/>
          <w:lang w:eastAsia="lt-LT"/>
        </w:rPr>
        <w:t xml:space="preserve">. Šiuo atveju, kadangi atitinkamas prekes sunaikino apmokestinamasis asmuo, reikia konstatuoti, kad tai yra „sunaikinimas“, o ne „praradimas“, kaip tai suprantama pagal PVM direktyvos 185 straipsnio 2 dalį. </w:t>
      </w:r>
      <w:r w:rsidRPr="00EA2A06">
        <w:rPr>
          <w:rFonts w:eastAsia="Times New Roman" w:cs="Calibri"/>
          <w:u w:val="single"/>
          <w:lang w:eastAsia="lt-LT"/>
        </w:rPr>
        <w:t xml:space="preserve">Be to, iš šios nuostatos nematyti, kad turto sunaikinimas turi visiškai priklausyti nuo apmokestinamojo asmens valios. </w:t>
      </w:r>
    </w:p>
    <w:p w14:paraId="02F15FAA" w14:textId="77777777" w:rsidR="007F29E2" w:rsidRPr="00EA2A06" w:rsidRDefault="007F29E2" w:rsidP="007F29E2">
      <w:pPr>
        <w:tabs>
          <w:tab w:val="left" w:pos="6379"/>
        </w:tabs>
        <w:ind w:firstLine="567"/>
        <w:rPr>
          <w:rFonts w:eastAsia="Times New Roman" w:cs="Calibri"/>
          <w:lang w:eastAsia="lt-LT"/>
        </w:rPr>
      </w:pPr>
      <w:r w:rsidRPr="00EA2A06">
        <w:rPr>
          <w:rFonts w:eastAsia="Times New Roman" w:cs="Calibri"/>
          <w:u w:val="single"/>
          <w:lang w:eastAsia="lt-LT"/>
        </w:rPr>
        <w:t xml:space="preserve">Vis dėlto tam, kad būtų taikoma PVM direktyvos 185 straipsnio 2 dalis, turto, kuris yra apmokestinamojo asmens turto dalis, sunaikinimas turi būti tinkamai įrodytas arba patvirtinamas ir </w:t>
      </w:r>
      <w:r w:rsidRPr="00EA2A06">
        <w:rPr>
          <w:rFonts w:eastAsia="Times New Roman" w:cs="Calibri"/>
          <w:b/>
          <w:bCs/>
          <w:u w:val="single"/>
          <w:lang w:eastAsia="lt-LT"/>
        </w:rPr>
        <w:t>gali būti atsižvelgiama tik į turto sunaikinimą, dėl kurio nuspręsta, kad šis turtas objektyviai yra praradęs savo naudą apmokestinamajam asmeniui vykdant įprastą ekonominę veiklą</w:t>
      </w:r>
      <w:r w:rsidRPr="00EA2A06">
        <w:rPr>
          <w:rFonts w:eastAsia="Times New Roman" w:cs="Calibri"/>
          <w:u w:val="single"/>
          <w:lang w:eastAsia="lt-LT"/>
        </w:rPr>
        <w:t xml:space="preserve">. </w:t>
      </w:r>
      <w:r w:rsidRPr="00EA2A06">
        <w:rPr>
          <w:rFonts w:eastAsia="Times New Roman" w:cs="Calibri"/>
          <w:lang w:eastAsia="lt-LT"/>
        </w:rPr>
        <w:t>Turto šalinimo būdai, kaip antai išvežimas į sąvartyną, turi būti laikomi vedančiais prie jo „sunaikinimo“, kaip tai suprantama pagal PVM direktyvos 185 straipsnio 2 dalies pirmą pastraipą, kai dėl jų šis turtas iš tikrųjų negrįžtamai išnyksta.</w:t>
      </w:r>
    </w:p>
    <w:p w14:paraId="00EFBFF9" w14:textId="77777777" w:rsidR="007F29E2" w:rsidRPr="00EA2A06" w:rsidRDefault="00000000" w:rsidP="007F29E2">
      <w:pPr>
        <w:tabs>
          <w:tab w:val="left" w:pos="6379"/>
        </w:tabs>
        <w:ind w:firstLine="567"/>
        <w:rPr>
          <w:rFonts w:eastAsia="Times New Roman" w:cs="Calibri"/>
          <w:lang w:eastAsia="lt-LT"/>
        </w:rPr>
      </w:pPr>
      <w:hyperlink r:id="rId13" w:history="1">
        <w:r w:rsidR="007F29E2" w:rsidRPr="00EA2A06">
          <w:rPr>
            <w:rFonts w:eastAsia="Times New Roman" w:cs="Calibri"/>
            <w:color w:val="0000FF"/>
            <w:u w:val="single"/>
            <w:lang w:eastAsia="lt-LT"/>
          </w:rPr>
          <w:t>Prieiga internete</w:t>
        </w:r>
      </w:hyperlink>
    </w:p>
    <w:p w14:paraId="7D707679" w14:textId="77777777" w:rsidR="007F29E2" w:rsidRDefault="007F29E2" w:rsidP="005D34B8">
      <w:pPr>
        <w:rPr>
          <w:rFonts w:eastAsia="Times New Roman" w:cs="Calibri"/>
          <w:lang w:eastAsia="lt-LT"/>
        </w:rPr>
      </w:pPr>
    </w:p>
    <w:p w14:paraId="176F73D8" w14:textId="77777777" w:rsidR="00703818" w:rsidRPr="00344EA2" w:rsidRDefault="00703818" w:rsidP="00703818">
      <w:pPr>
        <w:pStyle w:val="Antrat1"/>
      </w:pPr>
      <w:bookmarkStart w:id="28" w:name="_Toc148375054"/>
      <w:r w:rsidRPr="00344EA2">
        <w:t>MUITINĖS VEIKLA</w:t>
      </w:r>
      <w:bookmarkEnd w:id="28"/>
    </w:p>
    <w:p w14:paraId="29BBF0D9" w14:textId="77777777" w:rsidR="00703818" w:rsidRDefault="00703818" w:rsidP="00703818"/>
    <w:p w14:paraId="2A138455" w14:textId="77777777" w:rsidR="00703818" w:rsidRPr="008B2A3E" w:rsidRDefault="00703818" w:rsidP="00703818">
      <w:pPr>
        <w:pStyle w:val="Antrat2"/>
        <w:rPr>
          <w:color w:val="323E4F" w:themeColor="text2" w:themeShade="BF"/>
        </w:rPr>
      </w:pPr>
      <w:bookmarkStart w:id="29" w:name="_Toc148375055"/>
      <w:r w:rsidRPr="008B2A3E">
        <w:rPr>
          <w:color w:val="323E4F" w:themeColor="text2" w:themeShade="BF"/>
        </w:rPr>
        <w:t xml:space="preserve">2023 m. kovo 9 d. sprendimas byloje </w:t>
      </w:r>
      <w:r w:rsidRPr="008B2A3E">
        <w:rPr>
          <w:i/>
          <w:iCs w:val="0"/>
          <w:color w:val="323E4F" w:themeColor="text2" w:themeShade="BF"/>
        </w:rPr>
        <w:t>Bolloré Logistics</w:t>
      </w:r>
      <w:r w:rsidRPr="008B2A3E">
        <w:rPr>
          <w:color w:val="323E4F" w:themeColor="text2" w:themeShade="BF"/>
        </w:rPr>
        <w:t>, C</w:t>
      </w:r>
      <w:r w:rsidRPr="008B2A3E">
        <w:rPr>
          <w:rFonts w:ascii="Cambria Math" w:hAnsi="Cambria Math" w:cs="Cambria Math"/>
          <w:color w:val="323E4F" w:themeColor="text2" w:themeShade="BF"/>
        </w:rPr>
        <w:t>‑</w:t>
      </w:r>
      <w:r w:rsidRPr="008B2A3E">
        <w:rPr>
          <w:color w:val="323E4F" w:themeColor="text2" w:themeShade="BF"/>
        </w:rPr>
        <w:t>358/22</w:t>
      </w:r>
      <w:bookmarkEnd w:id="29"/>
    </w:p>
    <w:p w14:paraId="49C88001" w14:textId="77777777" w:rsidR="00703818" w:rsidRPr="008B2A3E" w:rsidRDefault="00703818" w:rsidP="00703818">
      <w:pPr>
        <w:tabs>
          <w:tab w:val="left" w:pos="6379"/>
        </w:tabs>
        <w:ind w:firstLine="540"/>
        <w:rPr>
          <w:rFonts w:eastAsia="Times New Roman" w:cs="Calibri"/>
          <w:lang w:eastAsia="lt-LT"/>
        </w:rPr>
      </w:pPr>
    </w:p>
    <w:p w14:paraId="2BE37903" w14:textId="454B8ABB"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lastRenderedPageBreak/>
        <w:t>Bendrijos muitinės kodeksas</w:t>
      </w:r>
      <w:r w:rsidRPr="008B2A3E">
        <w:rPr>
          <w:rFonts w:eastAsia="Times New Roman" w:cs="Calibri"/>
          <w:vertAlign w:val="superscript"/>
          <w:lang w:eastAsia="lt-LT"/>
        </w:rPr>
        <w:footnoteReference w:id="9"/>
      </w:r>
      <w:r w:rsidRPr="008B2A3E">
        <w:rPr>
          <w:rFonts w:eastAsia="Times New Roman" w:cs="Calibri"/>
          <w:lang w:eastAsia="lt-LT"/>
        </w:rPr>
        <w:t xml:space="preserve"> – 195 straipsnis – 217 straipsnio 1 dalis – 221 straipsnio 1 dalis – Bendrasis muitų tarifas – Muitinės skolininko garanto prievolės – Pranešimo apie skolą muitinei procedūra – Su šia skola susiję muitai, apie kuriuos skolininkui tinkamai nepranešta – Solidariojo garanto prievolė sumokėti skolą muitinei</w:t>
      </w:r>
    </w:p>
    <w:p w14:paraId="50A628FA" w14:textId="77777777" w:rsidR="00703818" w:rsidRPr="008B2A3E" w:rsidRDefault="00703818" w:rsidP="00703818">
      <w:pPr>
        <w:tabs>
          <w:tab w:val="left" w:pos="6379"/>
        </w:tabs>
        <w:rPr>
          <w:rFonts w:eastAsia="Times New Roman" w:cs="Calibri"/>
          <w:lang w:eastAsia="lt-LT"/>
        </w:rPr>
      </w:pPr>
    </w:p>
    <w:p w14:paraId="117EE434" w14:textId="77777777" w:rsidR="00703818" w:rsidRPr="008B2A3E" w:rsidRDefault="00703818" w:rsidP="00703818">
      <w:pPr>
        <w:tabs>
          <w:tab w:val="left" w:pos="6379"/>
        </w:tabs>
        <w:jc w:val="center"/>
        <w:rPr>
          <w:rFonts w:eastAsia="Times New Roman" w:cs="Calibri"/>
          <w:b/>
          <w:bCs/>
          <w:lang w:eastAsia="lt-LT"/>
        </w:rPr>
      </w:pPr>
      <w:r w:rsidRPr="008B2A3E">
        <w:rPr>
          <w:rFonts w:eastAsia="Times New Roman" w:cs="Calibri"/>
          <w:b/>
          <w:bCs/>
          <w:lang w:eastAsia="lt-LT"/>
        </w:rPr>
        <w:t>Bylos aplinkybės</w:t>
      </w:r>
    </w:p>
    <w:p w14:paraId="4C054926" w14:textId="77777777" w:rsidR="00703818" w:rsidRPr="008B2A3E" w:rsidRDefault="00703818" w:rsidP="00703818">
      <w:pPr>
        <w:tabs>
          <w:tab w:val="left" w:pos="6379"/>
        </w:tabs>
        <w:rPr>
          <w:rFonts w:eastAsia="Times New Roman" w:cs="Calibri"/>
          <w:lang w:eastAsia="lt-LT"/>
        </w:rPr>
      </w:pPr>
    </w:p>
    <w:p w14:paraId="01D421BB" w14:textId="77777777"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 xml:space="preserve">Prašymas priimti prejudicinį sprendimą pateiktas nagrinėjant </w:t>
      </w:r>
      <w:r w:rsidRPr="008B2A3E">
        <w:rPr>
          <w:rFonts w:eastAsia="Times New Roman" w:cs="Calibri"/>
          <w:i/>
          <w:iCs/>
          <w:lang w:eastAsia="lt-LT"/>
        </w:rPr>
        <w:t>Bolloré Logistics SA</w:t>
      </w:r>
      <w:r w:rsidRPr="008B2A3E">
        <w:rPr>
          <w:rFonts w:eastAsia="Times New Roman" w:cs="Calibri"/>
          <w:lang w:eastAsia="lt-LT"/>
        </w:rPr>
        <w:t xml:space="preserve"> ir Prancūzijos mokesčių administratoriaus bei </w:t>
      </w:r>
      <w:r w:rsidRPr="008B2A3E">
        <w:rPr>
          <w:rFonts w:eastAsia="Times New Roman" w:cs="Calibri"/>
          <w:i/>
          <w:iCs/>
          <w:lang w:eastAsia="lt-LT"/>
        </w:rPr>
        <w:t>Bolloré Ports de Cherbourg SAS</w:t>
      </w:r>
      <w:r w:rsidRPr="008B2A3E">
        <w:rPr>
          <w:rFonts w:eastAsia="Times New Roman" w:cs="Calibri"/>
          <w:lang w:eastAsia="lt-LT"/>
        </w:rPr>
        <w:t xml:space="preserve"> (BPC) ginčą dėl skolos muitinei, dėl kurios ieškovė pagrindinėje byloje buvo BPC garantas, sumokėjimo.</w:t>
      </w:r>
    </w:p>
    <w:p w14:paraId="421EBE21" w14:textId="77777777"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 xml:space="preserve">Nustatyta, kad bendrovė </w:t>
      </w:r>
      <w:r w:rsidRPr="008B2A3E">
        <w:rPr>
          <w:rFonts w:eastAsia="Times New Roman" w:cs="Calibri"/>
          <w:i/>
          <w:iCs/>
          <w:lang w:eastAsia="lt-LT"/>
        </w:rPr>
        <w:t>Alpha Commodities</w:t>
      </w:r>
      <w:r w:rsidRPr="008B2A3E">
        <w:rPr>
          <w:rFonts w:eastAsia="Times New Roman" w:cs="Calibri"/>
          <w:lang w:eastAsia="lt-LT"/>
        </w:rPr>
        <w:t xml:space="preserve"> į Šerbūro uostą (Prancūzija) importavo ir iškrovė 46000 tonų Australijos druskos. Laukdama, kol šios prekės bus reeksportuotos, ji su BPC, transporto ir logistikos operatore, sudarė sandėliavimo sutartį. BPC prekėms pritaikė muitinio sandėliavimo procedūrą.</w:t>
      </w:r>
    </w:p>
    <w:p w14:paraId="3070BE80" w14:textId="77777777"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Manydama, kad BPC nebeturi galiojančios laikino sandėliavimo sutarties, muitinės administracija pranešė šiai bendrovei, kad nedelsiant panaikinamas leidimas taikyti muitinės sandėliavimo procedūrą ir kad ji ketina pranešti jai apie skolą muitinei, atsiradusią dėl šios procedūros negaliojimo.</w:t>
      </w:r>
    </w:p>
    <w:p w14:paraId="7048FC0E" w14:textId="77777777"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2016 m. kovo 9 d. muitinės administracija pranešė BPC apie galutinį sprendimą dėl skolos muitinei nustatymo ir mokėjimo pranešimą. 2016 m. kovo 21 d. muitinės administracija įtraukė į apskaitą šią skolą ir išsiuntė BPC pranešimą apie išieškojimą. 2016 m. kovo 21 d. ir birželio 21 d. ši administracija pateikė ieškovei pagrindinėje byloje, kaip BPC garantui, du pranešimus apie išieškojimą bendrai 104265 EUR sumai, atitinkančiai garantuotus muitus.</w:t>
      </w:r>
    </w:p>
    <w:p w14:paraId="3AFA90D5" w14:textId="77777777" w:rsidR="00703818" w:rsidRPr="008B2A3E" w:rsidRDefault="00703818" w:rsidP="00703818">
      <w:pPr>
        <w:tabs>
          <w:tab w:val="left" w:pos="6379"/>
        </w:tabs>
        <w:ind w:firstLine="540"/>
        <w:rPr>
          <w:rFonts w:eastAsia="Times New Roman" w:cs="Calibri"/>
          <w:lang w:eastAsia="lt-LT"/>
        </w:rPr>
      </w:pPr>
    </w:p>
    <w:p w14:paraId="39931D03" w14:textId="77777777" w:rsidR="00703818" w:rsidRPr="008B2A3E" w:rsidRDefault="00703818" w:rsidP="00703818">
      <w:pPr>
        <w:tabs>
          <w:tab w:val="left" w:pos="6379"/>
        </w:tabs>
        <w:jc w:val="center"/>
        <w:rPr>
          <w:rFonts w:eastAsia="Times New Roman" w:cs="Calibri"/>
          <w:b/>
          <w:bCs/>
          <w:lang w:eastAsia="lt-LT"/>
        </w:rPr>
      </w:pPr>
      <w:r w:rsidRPr="008B2A3E">
        <w:rPr>
          <w:rFonts w:eastAsia="Times New Roman" w:cs="Calibri"/>
          <w:b/>
          <w:bCs/>
          <w:lang w:eastAsia="lt-LT"/>
        </w:rPr>
        <w:t>Teisingumo Teismo vertinimas</w:t>
      </w:r>
    </w:p>
    <w:p w14:paraId="5BCCC990" w14:textId="77777777" w:rsidR="00703818" w:rsidRPr="008B2A3E" w:rsidRDefault="00703818" w:rsidP="00703818">
      <w:pPr>
        <w:tabs>
          <w:tab w:val="left" w:pos="6379"/>
        </w:tabs>
        <w:ind w:firstLine="540"/>
        <w:rPr>
          <w:rFonts w:eastAsia="Times New Roman" w:cs="Calibri"/>
          <w:lang w:eastAsia="lt-LT"/>
        </w:rPr>
      </w:pPr>
    </w:p>
    <w:p w14:paraId="5A5D9278" w14:textId="26D4B3D5"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Nacionalinis teismas, be kita ko, siekė sužinoti, ar Muitinės kodekso 195 straipsnis, 217 straipsnio 1 dalis ir 221 straipsnio 1 dalis turi būti aiškinami taip, kad muitinė neturi teisės reikalauti iš 195 straipsnyje numatyto garanto sumokėti skolą muitinei tol, kol skolininkui nebuvo tinkamai pranešta apie muitų sumą</w:t>
      </w:r>
      <w:r w:rsidR="00B32EF8">
        <w:rPr>
          <w:rFonts w:eastAsia="Times New Roman" w:cs="Calibri"/>
          <w:lang w:eastAsia="lt-LT"/>
        </w:rPr>
        <w:t>.</w:t>
      </w:r>
    </w:p>
    <w:p w14:paraId="52C8FAC8" w14:textId="77777777" w:rsidR="00703818" w:rsidRPr="008B2A3E" w:rsidRDefault="00703818" w:rsidP="00703818">
      <w:pPr>
        <w:tabs>
          <w:tab w:val="left" w:pos="6379"/>
        </w:tabs>
        <w:ind w:firstLine="540"/>
        <w:rPr>
          <w:rFonts w:eastAsia="Times New Roman" w:cs="Calibri"/>
          <w:lang w:eastAsia="lt-LT"/>
        </w:rPr>
      </w:pPr>
    </w:p>
    <w:p w14:paraId="0349A7CC" w14:textId="77777777" w:rsidR="00703818" w:rsidRPr="008B2A3E" w:rsidRDefault="00703818" w:rsidP="00703818">
      <w:pPr>
        <w:pStyle w:val="Antrat3"/>
        <w:ind w:firstLine="567"/>
      </w:pPr>
      <w:bookmarkStart w:id="30" w:name="_Toc148375056"/>
      <w:r w:rsidRPr="008B2A3E">
        <w:t>Dėl garanto pareigos sumokėti muitinės skolą, kai apie šią skolą nebuvo tinkamai pranešta muitinės skolininkui, kurio prievolių įvykdymas buvo užtikrintas išduota garantija</w:t>
      </w:r>
      <w:bookmarkEnd w:id="30"/>
    </w:p>
    <w:p w14:paraId="3BB6E81E" w14:textId="77777777" w:rsidR="00703818" w:rsidRPr="008B2A3E" w:rsidRDefault="00703818" w:rsidP="00703818">
      <w:pPr>
        <w:tabs>
          <w:tab w:val="left" w:pos="6379"/>
        </w:tabs>
        <w:ind w:firstLine="540"/>
        <w:rPr>
          <w:rFonts w:eastAsia="Times New Roman" w:cs="Calibri"/>
          <w:lang w:eastAsia="lt-LT"/>
        </w:rPr>
      </w:pPr>
    </w:p>
    <w:p w14:paraId="72F3AAC7" w14:textId="77777777"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 xml:space="preserve">Teisingumo Teismas pirmiausia priminė, kad Muitinės kodekso 221 straipsnio 1 dalis turi būti aiškinama taip, kad taikant atitinkamą procedūrą muitinės tarnybų pateiktas pranešimas skolininkui apie mokėtiną importo arba eksporto muitų sumą yra galiojantis tik jei prieš tai minėtos tarnybos šių muitų sumą įtraukė į apskaitą. </w:t>
      </w:r>
      <w:r w:rsidRPr="008B2A3E">
        <w:rPr>
          <w:rFonts w:eastAsia="Times New Roman" w:cs="Calibri"/>
          <w:u w:val="single"/>
          <w:lang w:eastAsia="lt-LT"/>
        </w:rPr>
        <w:t>Jeigu apie muito sumą skolininkui nebuvo tinkamai pranešta, nes ji nebuvo tinkamai įtraukta į apskaitą (pagrindinėje byloje nagrinėtu atveju įtraukimas į apskaitą buvo atliktas po to, kai BPC buvo pranešta apie muito sumą), skolininkas neturi prievolės sumokėti skolą.</w:t>
      </w:r>
    </w:p>
    <w:p w14:paraId="08EB8A02" w14:textId="4903B849" w:rsidR="00703818" w:rsidRPr="008B2A3E" w:rsidRDefault="00703818" w:rsidP="00703818">
      <w:pPr>
        <w:tabs>
          <w:tab w:val="left" w:pos="6379"/>
        </w:tabs>
        <w:ind w:firstLine="540"/>
        <w:rPr>
          <w:rFonts w:eastAsia="Times New Roman" w:cs="Calibri"/>
          <w:lang w:eastAsia="lt-LT"/>
        </w:rPr>
      </w:pPr>
      <w:r w:rsidRPr="008B2A3E">
        <w:rPr>
          <w:rFonts w:eastAsia="Times New Roman" w:cs="Calibri"/>
          <w:lang w:eastAsia="lt-LT"/>
        </w:rPr>
        <w:t xml:space="preserve">Dėl klausimo, ar vis dėlto galima reikalauti, kad garantas sumokėtų skolą muitinei, kurios skolininkas neprivalo mokėti, Teisingumo Teismas pažymėjo, kad, nors garantijos sutarties nereglamentuoja Sąjungos teisė, </w:t>
      </w:r>
      <w:r w:rsidRPr="008B2A3E">
        <w:rPr>
          <w:rFonts w:eastAsia="Times New Roman" w:cs="Calibri"/>
          <w:u w:val="single"/>
          <w:lang w:eastAsia="lt-LT"/>
        </w:rPr>
        <w:t>tik tuo atveju, kai skolininkas turi sumokėti skolą, kreditorius gali reikalauti šio skolininko garanto garantijos.</w:t>
      </w:r>
      <w:r w:rsidRPr="008B2A3E">
        <w:rPr>
          <w:rFonts w:eastAsia="Times New Roman" w:cs="Calibri"/>
          <w:lang w:eastAsia="lt-LT"/>
        </w:rPr>
        <w:t xml:space="preserve"> Taigi, pirma, skolos muitinei skolininkas neprivalo mokėti, jei muito suma iš anksto neįtraukta į apskaitą, dėl ko pranešimas apie šią sumą šiam skolininkui nėra tinkamas, ir, antra, garantas neprivalo užtikrinti šios skolos sumokėjimo, nes skolininkas jos neprivalo sumokėti.</w:t>
      </w:r>
    </w:p>
    <w:p w14:paraId="4F1A2FFD" w14:textId="77777777" w:rsidR="00703818" w:rsidRDefault="00000000" w:rsidP="00703818">
      <w:pPr>
        <w:tabs>
          <w:tab w:val="left" w:pos="6379"/>
        </w:tabs>
        <w:ind w:firstLine="540"/>
        <w:rPr>
          <w:rFonts w:eastAsia="Times New Roman" w:cs="Calibri"/>
          <w:color w:val="0000FF"/>
          <w:u w:val="single"/>
          <w:lang w:eastAsia="lt-LT"/>
        </w:rPr>
      </w:pPr>
      <w:hyperlink r:id="rId14" w:history="1">
        <w:r w:rsidR="00703818" w:rsidRPr="008B2A3E">
          <w:rPr>
            <w:rFonts w:eastAsia="Times New Roman" w:cs="Calibri"/>
            <w:color w:val="0000FF"/>
            <w:u w:val="single"/>
            <w:lang w:eastAsia="lt-LT"/>
          </w:rPr>
          <w:t>Prieiga internete</w:t>
        </w:r>
      </w:hyperlink>
    </w:p>
    <w:p w14:paraId="3AAFDEC4" w14:textId="77777777" w:rsidR="00703818" w:rsidRDefault="00703818" w:rsidP="00703818">
      <w:pPr>
        <w:tabs>
          <w:tab w:val="left" w:pos="6379"/>
        </w:tabs>
        <w:rPr>
          <w:rFonts w:asciiTheme="minorHAnsi" w:hAnsiTheme="minorHAnsi" w:cstheme="minorHAnsi"/>
        </w:rPr>
      </w:pPr>
    </w:p>
    <w:p w14:paraId="0801E796" w14:textId="77777777" w:rsidR="00703818" w:rsidRPr="00236B96" w:rsidRDefault="00703818" w:rsidP="00703818">
      <w:pPr>
        <w:pStyle w:val="Antrat1"/>
        <w:rPr>
          <w:szCs w:val="22"/>
        </w:rPr>
      </w:pPr>
      <w:bookmarkStart w:id="31" w:name="_Toc148375057"/>
      <w:r>
        <w:rPr>
          <w:szCs w:val="22"/>
        </w:rPr>
        <w:t>APLINKA</w:t>
      </w:r>
      <w:bookmarkEnd w:id="31"/>
    </w:p>
    <w:p w14:paraId="4C1E2BED" w14:textId="77777777" w:rsidR="00703818" w:rsidRPr="00236B96" w:rsidRDefault="00703818" w:rsidP="00703818">
      <w:pPr>
        <w:tabs>
          <w:tab w:val="left" w:pos="6379"/>
        </w:tabs>
        <w:jc w:val="center"/>
        <w:rPr>
          <w:rFonts w:asciiTheme="minorHAnsi" w:hAnsiTheme="minorHAnsi" w:cstheme="minorHAnsi"/>
          <w:b/>
          <w:bCs/>
          <w:color w:val="002060"/>
        </w:rPr>
      </w:pPr>
    </w:p>
    <w:p w14:paraId="3C87F30C" w14:textId="77777777" w:rsidR="00703818" w:rsidRPr="00236B96" w:rsidRDefault="00703818" w:rsidP="00703818">
      <w:pPr>
        <w:pStyle w:val="Antrat2"/>
        <w:rPr>
          <w:szCs w:val="22"/>
        </w:rPr>
      </w:pPr>
      <w:bookmarkStart w:id="32" w:name="_Toc148375058"/>
      <w:r w:rsidRPr="00685154">
        <w:rPr>
          <w:color w:val="323E4F" w:themeColor="text2" w:themeShade="BF"/>
        </w:rPr>
        <w:t xml:space="preserve">2023 m. gegužės 25 d. sprendimas byloje </w:t>
      </w:r>
      <w:r w:rsidRPr="00685154">
        <w:rPr>
          <w:i/>
          <w:iCs w:val="0"/>
          <w:color w:val="323E4F" w:themeColor="text2" w:themeShade="BF"/>
        </w:rPr>
        <w:t>WertInvest Hotelbetrieb</w:t>
      </w:r>
      <w:r w:rsidRPr="00685154">
        <w:rPr>
          <w:color w:val="323E4F" w:themeColor="text2" w:themeShade="BF"/>
        </w:rPr>
        <w:t>, C</w:t>
      </w:r>
      <w:r w:rsidRPr="00685154">
        <w:rPr>
          <w:rFonts w:ascii="Cambria Math" w:hAnsi="Cambria Math" w:cs="Cambria Math"/>
          <w:color w:val="323E4F" w:themeColor="text2" w:themeShade="BF"/>
        </w:rPr>
        <w:t>‑</w:t>
      </w:r>
      <w:r w:rsidRPr="00685154">
        <w:rPr>
          <w:color w:val="323E4F" w:themeColor="text2" w:themeShade="BF"/>
        </w:rPr>
        <w:t>575/21</w:t>
      </w:r>
      <w:r>
        <w:rPr>
          <w:rStyle w:val="Puslapioinaosnuoroda"/>
          <w:szCs w:val="22"/>
        </w:rPr>
        <w:footnoteReference w:id="10"/>
      </w:r>
      <w:bookmarkEnd w:id="32"/>
    </w:p>
    <w:p w14:paraId="4683E5EE" w14:textId="77777777" w:rsidR="00703818" w:rsidRPr="00236B96" w:rsidRDefault="00703818" w:rsidP="00703818">
      <w:pPr>
        <w:tabs>
          <w:tab w:val="left" w:pos="6379"/>
        </w:tabs>
        <w:ind w:firstLine="540"/>
        <w:rPr>
          <w:rFonts w:asciiTheme="minorHAnsi" w:hAnsiTheme="minorHAnsi" w:cstheme="minorHAnsi"/>
        </w:rPr>
      </w:pPr>
    </w:p>
    <w:p w14:paraId="4D18BBBE" w14:textId="77777777" w:rsidR="00703818" w:rsidRDefault="00703818" w:rsidP="00703818">
      <w:pPr>
        <w:tabs>
          <w:tab w:val="left" w:pos="6379"/>
        </w:tabs>
        <w:ind w:firstLine="540"/>
        <w:rPr>
          <w:rFonts w:asciiTheme="minorHAnsi" w:hAnsiTheme="minorHAnsi" w:cstheme="minorHAnsi"/>
        </w:rPr>
      </w:pPr>
      <w:r w:rsidRPr="003A472C">
        <w:rPr>
          <w:rFonts w:asciiTheme="minorHAnsi" w:hAnsiTheme="minorHAnsi" w:cstheme="minorHAnsi"/>
        </w:rPr>
        <w:t xml:space="preserve">Prašymas priimti prejudicinį sprendimą – Aplinka – Direktyva 2011/92/ES – Tam tikrų valstybės ir privačių projektų poveikio aplinkai vertinimas – 2 straipsnio 1 dalis ir 4 straipsnio 2 dalis – II priedui </w:t>
      </w:r>
      <w:r w:rsidRPr="003A472C">
        <w:rPr>
          <w:rFonts w:asciiTheme="minorHAnsi" w:hAnsiTheme="minorHAnsi" w:cstheme="minorHAnsi"/>
        </w:rPr>
        <w:lastRenderedPageBreak/>
        <w:t>priskirtini projektai – Miestų urbanizavimo projektai – Nagrinėjimas atsižvelgiant į ribines vertes arba kriterijus – 4 straipsnio 3 dalis – III priede nustatyti atitinkami atrankos kriterijai – 11 straipsnis – Teisė kreiptis į teismą</w:t>
      </w:r>
    </w:p>
    <w:p w14:paraId="48E75186" w14:textId="77777777" w:rsidR="00703818" w:rsidRPr="002666C4" w:rsidRDefault="00703818" w:rsidP="00703818">
      <w:pPr>
        <w:tabs>
          <w:tab w:val="left" w:pos="6379"/>
        </w:tabs>
        <w:ind w:firstLine="540"/>
        <w:rPr>
          <w:rFonts w:asciiTheme="minorHAnsi" w:hAnsiTheme="minorHAnsi" w:cstheme="minorHAnsi"/>
        </w:rPr>
      </w:pPr>
    </w:p>
    <w:p w14:paraId="6D2F51ED" w14:textId="77777777" w:rsidR="00703818" w:rsidRPr="002666C4" w:rsidRDefault="00703818" w:rsidP="00703818">
      <w:pPr>
        <w:tabs>
          <w:tab w:val="left" w:pos="6379"/>
        </w:tabs>
        <w:jc w:val="center"/>
        <w:rPr>
          <w:rFonts w:asciiTheme="minorHAnsi" w:hAnsiTheme="minorHAnsi" w:cstheme="minorHAnsi"/>
          <w:b/>
          <w:bCs/>
        </w:rPr>
      </w:pPr>
      <w:r w:rsidRPr="002666C4">
        <w:rPr>
          <w:rFonts w:asciiTheme="minorHAnsi" w:hAnsiTheme="minorHAnsi" w:cstheme="minorHAnsi"/>
          <w:b/>
          <w:bCs/>
        </w:rPr>
        <w:t>Bylos aplinkybės</w:t>
      </w:r>
    </w:p>
    <w:p w14:paraId="4B66DF8B" w14:textId="77777777" w:rsidR="00703818" w:rsidRDefault="00703818" w:rsidP="00703818">
      <w:pPr>
        <w:tabs>
          <w:tab w:val="left" w:pos="6379"/>
        </w:tabs>
        <w:ind w:firstLine="540"/>
        <w:rPr>
          <w:rFonts w:asciiTheme="minorHAnsi" w:hAnsiTheme="minorHAnsi" w:cstheme="minorHAnsi"/>
        </w:rPr>
      </w:pPr>
    </w:p>
    <w:p w14:paraId="449AA772" w14:textId="77777777" w:rsidR="00703818" w:rsidRPr="00E83DCF" w:rsidRDefault="00703818" w:rsidP="00703818">
      <w:pPr>
        <w:tabs>
          <w:tab w:val="left" w:pos="6379"/>
        </w:tabs>
        <w:ind w:firstLine="540"/>
        <w:rPr>
          <w:rFonts w:asciiTheme="minorHAnsi" w:hAnsiTheme="minorHAnsi" w:cstheme="minorHAnsi"/>
        </w:rPr>
      </w:pPr>
      <w:r w:rsidRPr="00E83DCF">
        <w:rPr>
          <w:rFonts w:asciiTheme="minorHAnsi" w:hAnsiTheme="minorHAnsi" w:cstheme="minorHAnsi"/>
        </w:rPr>
        <w:t>Įmonė WertInvest Hotelbetrieb kreipėsi į Vienos (Austrija) miest</w:t>
      </w:r>
      <w:r>
        <w:rPr>
          <w:rFonts w:asciiTheme="minorHAnsi" w:hAnsiTheme="minorHAnsi" w:cstheme="minorHAnsi"/>
        </w:rPr>
        <w:t>o savivaldybės administraciją</w:t>
      </w:r>
      <w:r w:rsidRPr="00E83DCF">
        <w:rPr>
          <w:rFonts w:asciiTheme="minorHAnsi" w:hAnsiTheme="minorHAnsi" w:cstheme="minorHAnsi"/>
        </w:rPr>
        <w:t xml:space="preserve"> dėl statybos leidimo projektui „Heumarkt Neu“. Šis projektas yra centrinėje UNESCO pasaulio paveldo objekto, žinomo kaip „Vienos istorinis centras“, zonoje. Jį sudaro aptariamo sklypo pertvarkymas, nugriaunant esamą „InterContinental“ viešbutį ir statant kelis naujus pastatus, kuriuose numatomos viešbučių, komercinės, konferencijų, renginių, gyvenamosios ar biurų patalpos. </w:t>
      </w:r>
      <w:r>
        <w:rPr>
          <w:rFonts w:asciiTheme="minorHAnsi" w:hAnsiTheme="minorHAnsi" w:cstheme="minorHAnsi"/>
        </w:rPr>
        <w:t>Projektas</w:t>
      </w:r>
      <w:r w:rsidRPr="00E83DCF">
        <w:rPr>
          <w:rFonts w:asciiTheme="minorHAnsi" w:hAnsiTheme="minorHAnsi" w:cstheme="minorHAnsi"/>
        </w:rPr>
        <w:t xml:space="preserve"> taip pat apima požeminės čiuožyklos (pakeičiančios esamą), požeminės sporto salės su baseinu ir požeminės automobilių stovėjimo aikštelės statybą. Projektas užima apie 1,55 ha plotą, o bendras</w:t>
      </w:r>
      <w:r>
        <w:rPr>
          <w:rFonts w:asciiTheme="minorHAnsi" w:hAnsiTheme="minorHAnsi" w:cstheme="minorHAnsi"/>
        </w:rPr>
        <w:t xml:space="preserve"> patalpų</w:t>
      </w:r>
      <w:r w:rsidRPr="00E83DCF">
        <w:rPr>
          <w:rFonts w:asciiTheme="minorHAnsi" w:hAnsiTheme="minorHAnsi" w:cstheme="minorHAnsi"/>
        </w:rPr>
        <w:t xml:space="preserve"> plotas – 89 000 m</w:t>
      </w:r>
      <w:r w:rsidRPr="00353C14">
        <w:rPr>
          <w:rFonts w:asciiTheme="minorHAnsi" w:hAnsiTheme="minorHAnsi" w:cstheme="minorHAnsi"/>
          <w:vertAlign w:val="superscript"/>
        </w:rPr>
        <w:t>2</w:t>
      </w:r>
      <w:r w:rsidRPr="00E83DCF">
        <w:rPr>
          <w:rFonts w:asciiTheme="minorHAnsi" w:hAnsiTheme="minorHAnsi" w:cstheme="minorHAnsi"/>
        </w:rPr>
        <w:t>.</w:t>
      </w:r>
    </w:p>
    <w:p w14:paraId="7C1692FB" w14:textId="77777777" w:rsidR="00703818" w:rsidRPr="00E83DCF" w:rsidRDefault="00703818" w:rsidP="00703818">
      <w:pPr>
        <w:tabs>
          <w:tab w:val="left" w:pos="6379"/>
        </w:tabs>
        <w:ind w:firstLine="540"/>
        <w:rPr>
          <w:rFonts w:asciiTheme="minorHAnsi" w:hAnsiTheme="minorHAnsi" w:cstheme="minorHAnsi"/>
        </w:rPr>
      </w:pPr>
      <w:r w:rsidRPr="00E83DCF">
        <w:rPr>
          <w:rFonts w:asciiTheme="minorHAnsi" w:hAnsiTheme="minorHAnsi" w:cstheme="minorHAnsi"/>
        </w:rPr>
        <w:t>Atsižvelgdama į tai, kad miest</w:t>
      </w:r>
      <w:r>
        <w:rPr>
          <w:rFonts w:asciiTheme="minorHAnsi" w:hAnsiTheme="minorHAnsi" w:cstheme="minorHAnsi"/>
        </w:rPr>
        <w:t>o savivaldybės administracija</w:t>
      </w:r>
      <w:r w:rsidRPr="00E83DCF">
        <w:rPr>
          <w:rFonts w:asciiTheme="minorHAnsi" w:hAnsiTheme="minorHAnsi" w:cstheme="minorHAnsi"/>
        </w:rPr>
        <w:t xml:space="preserve"> nepriėmė sprendimo dėl šio prašymo, WertInvest Hotelbetrieb pateikė ieškinį dėl neveikimo Vienos administraciniam teismui, kuriuo prašo šio teismo išduoti prašomą statybos leidimą. Ji teigia, kad, atsižvelgiant į Austrijos teisėje nustatytas ribas ir kriterijus, projektui netaikomas reikalavimas atlikti poveikio aplinkai vertinimą. </w:t>
      </w:r>
    </w:p>
    <w:p w14:paraId="0911ADD5" w14:textId="1E011931" w:rsidR="00703818" w:rsidRDefault="00703818" w:rsidP="00703818">
      <w:pPr>
        <w:tabs>
          <w:tab w:val="left" w:pos="6379"/>
        </w:tabs>
        <w:ind w:firstLine="540"/>
        <w:rPr>
          <w:rFonts w:asciiTheme="minorHAnsi" w:hAnsiTheme="minorHAnsi" w:cstheme="minorHAnsi"/>
        </w:rPr>
      </w:pPr>
      <w:r w:rsidRPr="00E83DCF">
        <w:rPr>
          <w:rFonts w:asciiTheme="minorHAnsi" w:hAnsiTheme="minorHAnsi" w:cstheme="minorHAnsi"/>
        </w:rPr>
        <w:t xml:space="preserve">Vienos administracinis teismas, kuris mano, kad pirmiausia turi nuspręsti, ar toks vertinimas turi būti atliktas, ar ne, abejoja, </w:t>
      </w:r>
      <w:r w:rsidRPr="00CB237E">
        <w:rPr>
          <w:rFonts w:asciiTheme="minorHAnsi" w:hAnsiTheme="minorHAnsi" w:cstheme="minorHAnsi"/>
        </w:rPr>
        <w:t>ar Austrijos teisės aktai yra suderinami su Direktyva 2011/92 dėl tam tikrų viešųjų ir privačių projektų poveikio aplinkai vertinimo</w:t>
      </w:r>
      <w:r>
        <w:rPr>
          <w:rFonts w:asciiTheme="minorHAnsi" w:hAnsiTheme="minorHAnsi" w:cstheme="minorHAnsi"/>
        </w:rPr>
        <w:t xml:space="preserve"> (toliau – Direktyva)</w:t>
      </w:r>
      <w:r w:rsidRPr="00CB237E">
        <w:rPr>
          <w:rFonts w:asciiTheme="minorHAnsi" w:hAnsiTheme="minorHAnsi" w:cstheme="minorHAnsi"/>
        </w:rPr>
        <w:t>.</w:t>
      </w:r>
      <w:r w:rsidRPr="00E83DCF">
        <w:rPr>
          <w:rFonts w:asciiTheme="minorHAnsi" w:hAnsiTheme="minorHAnsi" w:cstheme="minorHAnsi"/>
        </w:rPr>
        <w:t xml:space="preserve"> Šios abejonės k</w:t>
      </w:r>
      <w:r>
        <w:rPr>
          <w:rFonts w:asciiTheme="minorHAnsi" w:hAnsiTheme="minorHAnsi" w:cstheme="minorHAnsi"/>
        </w:rPr>
        <w:t>ilo</w:t>
      </w:r>
      <w:r w:rsidRPr="00E83DCF">
        <w:rPr>
          <w:rFonts w:asciiTheme="minorHAnsi" w:hAnsiTheme="minorHAnsi" w:cstheme="minorHAnsi"/>
        </w:rPr>
        <w:t xml:space="preserve"> visų pirma dėl to, kad pagal Austrijos įstatymus „miesto plėtros projektų“ (tokių kaip nagrinėjam</w:t>
      </w:r>
      <w:r>
        <w:rPr>
          <w:rFonts w:asciiTheme="minorHAnsi" w:hAnsiTheme="minorHAnsi" w:cstheme="minorHAnsi"/>
        </w:rPr>
        <w:t>as</w:t>
      </w:r>
      <w:r w:rsidRPr="00E83DCF">
        <w:rPr>
          <w:rFonts w:asciiTheme="minorHAnsi" w:hAnsiTheme="minorHAnsi" w:cstheme="minorHAnsi"/>
        </w:rPr>
        <w:t xml:space="preserve">) poveikio aplinkai vertinimas priklauso nuo to, ar </w:t>
      </w:r>
      <w:r w:rsidRPr="009E60A5">
        <w:rPr>
          <w:rFonts w:asciiTheme="minorHAnsi" w:hAnsiTheme="minorHAnsi" w:cstheme="minorHAnsi"/>
        </w:rPr>
        <w:t>bus pasiektas ne mažesnis kaip 15 ha žemės plotas ir didesnis nei 150</w:t>
      </w:r>
      <w:r w:rsidR="00240D7D">
        <w:rPr>
          <w:rFonts w:asciiTheme="minorHAnsi" w:hAnsiTheme="minorHAnsi" w:cstheme="minorHAnsi"/>
        </w:rPr>
        <w:t> </w:t>
      </w:r>
      <w:r w:rsidRPr="009E60A5">
        <w:rPr>
          <w:rFonts w:asciiTheme="minorHAnsi" w:hAnsiTheme="minorHAnsi" w:cstheme="minorHAnsi"/>
        </w:rPr>
        <w:t>000</w:t>
      </w:r>
      <w:r w:rsidR="00240D7D">
        <w:rPr>
          <w:rFonts w:asciiTheme="minorHAnsi" w:hAnsiTheme="minorHAnsi" w:cstheme="minorHAnsi"/>
        </w:rPr>
        <w:t> </w:t>
      </w:r>
      <w:r w:rsidRPr="009E60A5">
        <w:rPr>
          <w:rFonts w:asciiTheme="minorHAnsi" w:hAnsiTheme="minorHAnsi" w:cstheme="minorHAnsi"/>
        </w:rPr>
        <w:t>m</w:t>
      </w:r>
      <w:r>
        <w:rPr>
          <w:rFonts w:asciiTheme="minorHAnsi" w:hAnsiTheme="minorHAnsi" w:cstheme="minorHAnsi"/>
          <w:vertAlign w:val="superscript"/>
        </w:rPr>
        <w:t>2</w:t>
      </w:r>
      <w:r w:rsidRPr="009E60A5">
        <w:rPr>
          <w:rFonts w:asciiTheme="minorHAnsi" w:hAnsiTheme="minorHAnsi" w:cstheme="minorHAnsi"/>
        </w:rPr>
        <w:t xml:space="preserve"> bendras </w:t>
      </w:r>
      <w:r>
        <w:rPr>
          <w:rFonts w:asciiTheme="minorHAnsi" w:hAnsiTheme="minorHAnsi" w:cstheme="minorHAnsi"/>
        </w:rPr>
        <w:t xml:space="preserve">patalpų </w:t>
      </w:r>
      <w:r w:rsidRPr="009E60A5">
        <w:rPr>
          <w:rFonts w:asciiTheme="minorHAnsi" w:hAnsiTheme="minorHAnsi" w:cstheme="minorHAnsi"/>
        </w:rPr>
        <w:t>plotas.</w:t>
      </w:r>
    </w:p>
    <w:p w14:paraId="06468798" w14:textId="77777777" w:rsidR="00703818" w:rsidRPr="002666C4" w:rsidRDefault="00703818" w:rsidP="00703818">
      <w:pPr>
        <w:tabs>
          <w:tab w:val="left" w:pos="6379"/>
        </w:tabs>
        <w:jc w:val="center"/>
        <w:rPr>
          <w:rFonts w:asciiTheme="minorHAnsi" w:hAnsiTheme="minorHAnsi" w:cstheme="minorHAnsi"/>
          <w:b/>
          <w:bCs/>
        </w:rPr>
      </w:pPr>
    </w:p>
    <w:p w14:paraId="5ACC8312" w14:textId="77777777" w:rsidR="00703818" w:rsidRPr="002666C4" w:rsidRDefault="00703818" w:rsidP="00703818">
      <w:pPr>
        <w:tabs>
          <w:tab w:val="left" w:pos="6379"/>
        </w:tabs>
        <w:jc w:val="center"/>
        <w:rPr>
          <w:rFonts w:asciiTheme="minorHAnsi" w:hAnsiTheme="minorHAnsi" w:cstheme="minorHAnsi"/>
          <w:b/>
          <w:bCs/>
        </w:rPr>
      </w:pPr>
      <w:r w:rsidRPr="002666C4">
        <w:rPr>
          <w:rFonts w:asciiTheme="minorHAnsi" w:hAnsiTheme="minorHAnsi" w:cstheme="minorHAnsi"/>
          <w:b/>
          <w:bCs/>
        </w:rPr>
        <w:t>Teisingumo Teismo vertinimas</w:t>
      </w:r>
    </w:p>
    <w:p w14:paraId="72CD33DC" w14:textId="77777777" w:rsidR="00703818" w:rsidRPr="002666C4" w:rsidRDefault="00703818" w:rsidP="00703818">
      <w:pPr>
        <w:tabs>
          <w:tab w:val="left" w:pos="6379"/>
        </w:tabs>
        <w:ind w:firstLine="540"/>
        <w:rPr>
          <w:rFonts w:asciiTheme="minorHAnsi" w:hAnsiTheme="minorHAnsi" w:cstheme="minorHAnsi"/>
        </w:rPr>
      </w:pPr>
    </w:p>
    <w:p w14:paraId="454B7575" w14:textId="77777777" w:rsidR="00703818" w:rsidRPr="00CF3F33" w:rsidRDefault="00703818" w:rsidP="00703818">
      <w:pPr>
        <w:pStyle w:val="Antrat3"/>
        <w:ind w:firstLine="567"/>
        <w:rPr>
          <w:rFonts w:cstheme="minorHAnsi"/>
          <w:i w:val="0"/>
          <w:iCs/>
        </w:rPr>
      </w:pPr>
      <w:bookmarkStart w:id="33" w:name="_Toc148375059"/>
      <w:r w:rsidRPr="00CF3F33">
        <w:rPr>
          <w:rFonts w:cstheme="minorHAnsi"/>
          <w:iCs/>
          <w:color w:val="000000"/>
        </w:rPr>
        <w:t>Dėl reikalavimo atlikti miesto plėtros projekto poveikio aplinkai vertinimą priklausymo tik nuo projekto dydžio</w:t>
      </w:r>
      <w:bookmarkEnd w:id="33"/>
    </w:p>
    <w:p w14:paraId="7AE5F120" w14:textId="77777777" w:rsidR="00703818" w:rsidRPr="006764DC" w:rsidRDefault="00703818" w:rsidP="00703818">
      <w:pPr>
        <w:ind w:firstLine="567"/>
        <w:rPr>
          <w:rFonts w:asciiTheme="minorHAnsi" w:hAnsiTheme="minorHAnsi" w:cstheme="minorHAnsi"/>
        </w:rPr>
      </w:pPr>
    </w:p>
    <w:p w14:paraId="626060D8" w14:textId="77777777" w:rsidR="00703818" w:rsidRDefault="00703818" w:rsidP="00703818">
      <w:pPr>
        <w:tabs>
          <w:tab w:val="left" w:pos="6379"/>
        </w:tabs>
        <w:ind w:firstLine="540"/>
        <w:rPr>
          <w:rFonts w:asciiTheme="minorHAnsi" w:hAnsiTheme="minorHAnsi" w:cstheme="minorHAnsi"/>
        </w:rPr>
      </w:pPr>
      <w:r w:rsidRPr="006764DC">
        <w:rPr>
          <w:rFonts w:asciiTheme="minorHAnsi" w:hAnsiTheme="minorHAnsi" w:cstheme="minorHAnsi"/>
        </w:rPr>
        <w:t xml:space="preserve">Teisingumo Teismas pasisakė, kad </w:t>
      </w:r>
      <w:r>
        <w:rPr>
          <w:rFonts w:asciiTheme="minorHAnsi" w:hAnsiTheme="minorHAnsi" w:cstheme="minorHAnsi"/>
        </w:rPr>
        <w:t>D</w:t>
      </w:r>
      <w:r w:rsidRPr="00102035">
        <w:rPr>
          <w:rFonts w:asciiTheme="minorHAnsi" w:hAnsiTheme="minorHAnsi" w:cstheme="minorHAnsi"/>
        </w:rPr>
        <w:t xml:space="preserve">irektyva draudžia nacionalinės teisės aktus, pagal kuriuos tam tikrų „miesto plėtros projektų“, kaip antai nagrinėjamųjų, poveikio aplinkai vertinimas priklauso nuo to, ar bus pasiektas ne mažesnis kaip 15 ha žemės plotas ir </w:t>
      </w:r>
      <w:r w:rsidRPr="009E60A5">
        <w:rPr>
          <w:rFonts w:asciiTheme="minorHAnsi" w:hAnsiTheme="minorHAnsi" w:cstheme="minorHAnsi"/>
        </w:rPr>
        <w:t>didesnis nei 150 000 m</w:t>
      </w:r>
      <w:r>
        <w:rPr>
          <w:rFonts w:asciiTheme="minorHAnsi" w:hAnsiTheme="minorHAnsi" w:cstheme="minorHAnsi"/>
          <w:vertAlign w:val="superscript"/>
        </w:rPr>
        <w:t>2</w:t>
      </w:r>
      <w:r w:rsidRPr="009E60A5">
        <w:rPr>
          <w:rFonts w:asciiTheme="minorHAnsi" w:hAnsiTheme="minorHAnsi" w:cstheme="minorHAnsi"/>
        </w:rPr>
        <w:t xml:space="preserve"> bendras </w:t>
      </w:r>
      <w:r>
        <w:rPr>
          <w:rFonts w:asciiTheme="minorHAnsi" w:hAnsiTheme="minorHAnsi" w:cstheme="minorHAnsi"/>
        </w:rPr>
        <w:t xml:space="preserve">patalpų </w:t>
      </w:r>
      <w:r w:rsidRPr="009E60A5">
        <w:rPr>
          <w:rFonts w:asciiTheme="minorHAnsi" w:hAnsiTheme="minorHAnsi" w:cstheme="minorHAnsi"/>
        </w:rPr>
        <w:t>plotas.</w:t>
      </w:r>
    </w:p>
    <w:p w14:paraId="26702100" w14:textId="77777777" w:rsidR="00703818" w:rsidRDefault="00703818" w:rsidP="00703818">
      <w:pPr>
        <w:ind w:firstLine="567"/>
        <w:rPr>
          <w:rFonts w:asciiTheme="minorHAnsi" w:hAnsiTheme="minorHAnsi" w:cstheme="minorHAnsi"/>
        </w:rPr>
      </w:pPr>
      <w:r w:rsidRPr="0015569C">
        <w:rPr>
          <w:rFonts w:asciiTheme="minorHAnsi" w:hAnsiTheme="minorHAnsi" w:cstheme="minorHAnsi"/>
        </w:rPr>
        <w:t>Jei valstybė narė taiko slenksčius, kad įvertintų, ar reikia atlikti poveikio aplinkai vertinimą, būtina atsižvelgti į tokius veiksnius kaip projektų vieta, pavyzdžiui, nustatant ribines vertes, atitinkančias skirtingą projektų dydį, atsižvelgiant į projektų pobūd</w:t>
      </w:r>
      <w:r>
        <w:rPr>
          <w:rFonts w:asciiTheme="minorHAnsi" w:hAnsiTheme="minorHAnsi" w:cstheme="minorHAnsi"/>
        </w:rPr>
        <w:t>į</w:t>
      </w:r>
      <w:r w:rsidRPr="0015569C">
        <w:rPr>
          <w:rFonts w:asciiTheme="minorHAnsi" w:hAnsiTheme="minorHAnsi" w:cstheme="minorHAnsi"/>
        </w:rPr>
        <w:t xml:space="preserve"> ar viet</w:t>
      </w:r>
      <w:r>
        <w:rPr>
          <w:rFonts w:asciiTheme="minorHAnsi" w:hAnsiTheme="minorHAnsi" w:cstheme="minorHAnsi"/>
        </w:rPr>
        <w:t>ą</w:t>
      </w:r>
      <w:r w:rsidRPr="0015569C">
        <w:rPr>
          <w:rFonts w:asciiTheme="minorHAnsi" w:hAnsiTheme="minorHAnsi" w:cstheme="minorHAnsi"/>
        </w:rPr>
        <w:t>. Jei projektas, kaip antai nagrinėjamas, yra centrinėje UNESCO pasaulio paveldo vietovėje, su projekto vieta susijęs kriterijus yra ypač svarbus.</w:t>
      </w:r>
    </w:p>
    <w:p w14:paraId="36AED15F" w14:textId="5CA5845E" w:rsidR="00703818" w:rsidRDefault="00703818" w:rsidP="00703818">
      <w:pPr>
        <w:ind w:firstLine="567"/>
        <w:rPr>
          <w:rFonts w:asciiTheme="minorHAnsi" w:hAnsiTheme="minorHAnsi" w:cstheme="minorHAnsi"/>
        </w:rPr>
      </w:pPr>
      <w:r w:rsidRPr="000D3EE6">
        <w:rPr>
          <w:rFonts w:asciiTheme="minorHAnsi" w:hAnsiTheme="minorHAnsi" w:cstheme="minorHAnsi"/>
        </w:rPr>
        <w:t>Miesto aplinkoje, kurioje erdvė yra ribota, ne mažesnio kaip 15 ha žemės ploto ir didesnio kaip 150</w:t>
      </w:r>
      <w:r w:rsidR="00DE030E">
        <w:rPr>
          <w:rFonts w:asciiTheme="minorHAnsi" w:hAnsiTheme="minorHAnsi" w:cstheme="minorHAnsi"/>
        </w:rPr>
        <w:t> </w:t>
      </w:r>
      <w:r w:rsidRPr="000D3EE6">
        <w:rPr>
          <w:rFonts w:asciiTheme="minorHAnsi" w:hAnsiTheme="minorHAnsi" w:cstheme="minorHAnsi"/>
        </w:rPr>
        <w:t>000 m² bendrojo ploto ribos yra tokios aukštos, kad praktiškai daugumai miesto plėtros projektų iš anksto netaikomas reikalavimas atlikti poveikio aplinkai vertinimą. Galiausiai Vienos administracinis teismas turi įvertinti, ar visiems arba beveik visiems atitinkamiems projektams šis reikalavimas netaikomas iš anksto. Tai iš esmės nebūtų suderinama su direktyva.</w:t>
      </w:r>
    </w:p>
    <w:p w14:paraId="6BA2F137" w14:textId="77777777" w:rsidR="00703818" w:rsidRDefault="00703818" w:rsidP="00703818">
      <w:pPr>
        <w:ind w:firstLine="567"/>
        <w:rPr>
          <w:rFonts w:asciiTheme="minorHAnsi" w:hAnsiTheme="minorHAnsi" w:cstheme="minorHAnsi"/>
        </w:rPr>
      </w:pPr>
      <w:r w:rsidRPr="000818AC">
        <w:rPr>
          <w:rFonts w:asciiTheme="minorHAnsi" w:hAnsiTheme="minorHAnsi" w:cstheme="minorHAnsi"/>
        </w:rPr>
        <w:t xml:space="preserve">Be to, </w:t>
      </w:r>
      <w:r>
        <w:rPr>
          <w:rFonts w:asciiTheme="minorHAnsi" w:hAnsiTheme="minorHAnsi" w:cstheme="minorHAnsi"/>
        </w:rPr>
        <w:t>D</w:t>
      </w:r>
      <w:r w:rsidRPr="000818AC">
        <w:rPr>
          <w:rFonts w:asciiTheme="minorHAnsi" w:hAnsiTheme="minorHAnsi" w:cstheme="minorHAnsi"/>
        </w:rPr>
        <w:t xml:space="preserve">irektyva draudžia prieš atliekant </w:t>
      </w:r>
      <w:r>
        <w:rPr>
          <w:rFonts w:asciiTheme="minorHAnsi" w:hAnsiTheme="minorHAnsi" w:cstheme="minorHAnsi"/>
        </w:rPr>
        <w:t>būtiną</w:t>
      </w:r>
      <w:r w:rsidRPr="000818AC">
        <w:rPr>
          <w:rFonts w:asciiTheme="minorHAnsi" w:hAnsiTheme="minorHAnsi" w:cstheme="minorHAnsi"/>
        </w:rPr>
        <w:t xml:space="preserve"> poveikio aplinkai vertinimą ar</w:t>
      </w:r>
      <w:r>
        <w:rPr>
          <w:rFonts w:asciiTheme="minorHAnsi" w:hAnsiTheme="minorHAnsi" w:cstheme="minorHAnsi"/>
        </w:rPr>
        <w:t>ba</w:t>
      </w:r>
      <w:r w:rsidRPr="000818AC">
        <w:rPr>
          <w:rFonts w:asciiTheme="minorHAnsi" w:hAnsiTheme="minorHAnsi" w:cstheme="minorHAnsi"/>
        </w:rPr>
        <w:t xml:space="preserve"> jo metu ar prieš </w:t>
      </w:r>
      <w:r>
        <w:rPr>
          <w:rFonts w:asciiTheme="minorHAnsi" w:hAnsiTheme="minorHAnsi" w:cstheme="minorHAnsi"/>
        </w:rPr>
        <w:t>užbaigiant</w:t>
      </w:r>
      <w:r w:rsidRPr="000818AC">
        <w:rPr>
          <w:rFonts w:asciiTheme="minorHAnsi" w:hAnsiTheme="minorHAnsi" w:cstheme="minorHAnsi"/>
        </w:rPr>
        <w:t xml:space="preserve"> </w:t>
      </w:r>
      <w:r>
        <w:rPr>
          <w:rFonts w:asciiTheme="minorHAnsi" w:hAnsiTheme="minorHAnsi" w:cstheme="minorHAnsi"/>
        </w:rPr>
        <w:t>poveikio aplinkai nagrinėjimą konkrečiu atveju</w:t>
      </w:r>
      <w:r w:rsidRPr="000818AC">
        <w:rPr>
          <w:rFonts w:asciiTheme="minorHAnsi" w:hAnsiTheme="minorHAnsi" w:cstheme="minorHAnsi"/>
        </w:rPr>
        <w:t xml:space="preserve">, </w:t>
      </w:r>
      <w:r>
        <w:rPr>
          <w:rFonts w:asciiTheme="minorHAnsi" w:hAnsiTheme="minorHAnsi" w:cstheme="minorHAnsi"/>
        </w:rPr>
        <w:t xml:space="preserve">kurio tikslas – </w:t>
      </w:r>
      <w:r w:rsidRPr="000818AC">
        <w:rPr>
          <w:rFonts w:asciiTheme="minorHAnsi" w:hAnsiTheme="minorHAnsi" w:cstheme="minorHAnsi"/>
        </w:rPr>
        <w:t xml:space="preserve">išsiaiškinti, ar </w:t>
      </w:r>
      <w:r>
        <w:rPr>
          <w:rFonts w:asciiTheme="minorHAnsi" w:hAnsiTheme="minorHAnsi" w:cstheme="minorHAnsi"/>
        </w:rPr>
        <w:t>būtinas</w:t>
      </w:r>
      <w:r w:rsidRPr="000818AC">
        <w:rPr>
          <w:rFonts w:asciiTheme="minorHAnsi" w:hAnsiTheme="minorHAnsi" w:cstheme="minorHAnsi"/>
        </w:rPr>
        <w:t xml:space="preserve"> poveikio aplinkai vertinim</w:t>
      </w:r>
      <w:r>
        <w:rPr>
          <w:rFonts w:asciiTheme="minorHAnsi" w:hAnsiTheme="minorHAnsi" w:cstheme="minorHAnsi"/>
        </w:rPr>
        <w:t>as</w:t>
      </w:r>
      <w:r w:rsidRPr="000818AC">
        <w:rPr>
          <w:rFonts w:asciiTheme="minorHAnsi" w:hAnsiTheme="minorHAnsi" w:cstheme="minorHAnsi"/>
        </w:rPr>
        <w:t xml:space="preserve">, </w:t>
      </w:r>
      <w:r>
        <w:rPr>
          <w:rFonts w:asciiTheme="minorHAnsi" w:hAnsiTheme="minorHAnsi" w:cstheme="minorHAnsi"/>
        </w:rPr>
        <w:t xml:space="preserve">išduoti </w:t>
      </w:r>
      <w:r w:rsidRPr="000818AC">
        <w:rPr>
          <w:rFonts w:asciiTheme="minorHAnsi" w:hAnsiTheme="minorHAnsi" w:cstheme="minorHAnsi"/>
        </w:rPr>
        <w:t>statybos leidimus atskiro</w:t>
      </w:r>
      <w:r>
        <w:rPr>
          <w:rFonts w:asciiTheme="minorHAnsi" w:hAnsiTheme="minorHAnsi" w:cstheme="minorHAnsi"/>
        </w:rPr>
        <w:t>m</w:t>
      </w:r>
      <w:r w:rsidRPr="000818AC">
        <w:rPr>
          <w:rFonts w:asciiTheme="minorHAnsi" w:hAnsiTheme="minorHAnsi" w:cstheme="minorHAnsi"/>
        </w:rPr>
        <w:t xml:space="preserve">s statybos </w:t>
      </w:r>
      <w:r>
        <w:rPr>
          <w:rFonts w:asciiTheme="minorHAnsi" w:hAnsiTheme="minorHAnsi" w:cstheme="minorHAnsi"/>
        </w:rPr>
        <w:t>veiklos rūšims</w:t>
      </w:r>
      <w:r w:rsidRPr="000818AC">
        <w:rPr>
          <w:rFonts w:asciiTheme="minorHAnsi" w:hAnsiTheme="minorHAnsi" w:cstheme="minorHAnsi"/>
        </w:rPr>
        <w:t xml:space="preserve">, kurios yra </w:t>
      </w:r>
      <w:r>
        <w:rPr>
          <w:rFonts w:asciiTheme="minorHAnsi" w:hAnsiTheme="minorHAnsi" w:cstheme="minorHAnsi"/>
        </w:rPr>
        <w:t xml:space="preserve">bendro urbanizavimo </w:t>
      </w:r>
      <w:r w:rsidRPr="000818AC">
        <w:rPr>
          <w:rFonts w:asciiTheme="minorHAnsi" w:hAnsiTheme="minorHAnsi" w:cstheme="minorHAnsi"/>
        </w:rPr>
        <w:t>projekt</w:t>
      </w:r>
      <w:r>
        <w:rPr>
          <w:rFonts w:asciiTheme="minorHAnsi" w:hAnsiTheme="minorHAnsi" w:cstheme="minorHAnsi"/>
        </w:rPr>
        <w:t>o</w:t>
      </w:r>
      <w:r w:rsidRPr="000818AC">
        <w:rPr>
          <w:rFonts w:asciiTheme="minorHAnsi" w:hAnsiTheme="minorHAnsi" w:cstheme="minorHAnsi"/>
        </w:rPr>
        <w:t xml:space="preserve"> dalis.</w:t>
      </w:r>
    </w:p>
    <w:p w14:paraId="650CC4A9" w14:textId="77777777" w:rsidR="00703818" w:rsidRPr="006764DC" w:rsidRDefault="00000000" w:rsidP="00703818">
      <w:pPr>
        <w:ind w:firstLine="567"/>
        <w:rPr>
          <w:rFonts w:asciiTheme="minorHAnsi" w:hAnsiTheme="minorHAnsi" w:cstheme="minorHAnsi"/>
        </w:rPr>
      </w:pPr>
      <w:hyperlink r:id="rId15" w:history="1">
        <w:r w:rsidR="00703818">
          <w:rPr>
            <w:rStyle w:val="Hipersaitas"/>
            <w:rFonts w:asciiTheme="minorHAnsi" w:hAnsiTheme="minorHAnsi" w:cstheme="minorHAnsi"/>
          </w:rPr>
          <w:t>Prieiga internete</w:t>
        </w:r>
      </w:hyperlink>
      <w:r w:rsidR="00703818">
        <w:rPr>
          <w:rFonts w:asciiTheme="minorHAnsi" w:hAnsiTheme="minorHAnsi" w:cstheme="minorHAnsi"/>
        </w:rPr>
        <w:t xml:space="preserve"> </w:t>
      </w:r>
    </w:p>
    <w:p w14:paraId="4D6E318B" w14:textId="77777777" w:rsidR="00703818" w:rsidRDefault="00703818" w:rsidP="005D34B8">
      <w:pPr>
        <w:rPr>
          <w:rFonts w:eastAsia="Times New Roman" w:cs="Calibri"/>
          <w:lang w:eastAsia="lt-LT"/>
        </w:rPr>
      </w:pPr>
    </w:p>
    <w:p w14:paraId="0A71D64B" w14:textId="77777777" w:rsidR="006A2BA3" w:rsidRPr="006A2BA3" w:rsidRDefault="006A2BA3" w:rsidP="006A2BA3">
      <w:pPr>
        <w:pStyle w:val="Antrat1"/>
        <w:rPr>
          <w:szCs w:val="22"/>
        </w:rPr>
      </w:pPr>
      <w:bookmarkStart w:id="34" w:name="_Toc148375060"/>
      <w:bookmarkStart w:id="35" w:name="_Toc517273014"/>
      <w:r w:rsidRPr="006A2BA3">
        <w:rPr>
          <w:szCs w:val="22"/>
        </w:rPr>
        <w:t>REGISTRAI</w:t>
      </w:r>
      <w:bookmarkEnd w:id="34"/>
    </w:p>
    <w:p w14:paraId="4C36BF6E" w14:textId="77777777" w:rsidR="006A2BA3" w:rsidRPr="006A2BA3" w:rsidRDefault="006A2BA3" w:rsidP="006A2BA3">
      <w:pPr>
        <w:jc w:val="center"/>
        <w:rPr>
          <w:rFonts w:cs="Calibri"/>
          <w:b/>
          <w:bCs/>
          <w:lang w:eastAsia="lt-LT"/>
        </w:rPr>
      </w:pPr>
    </w:p>
    <w:p w14:paraId="6B5AC409" w14:textId="77777777" w:rsidR="006A2BA3" w:rsidRPr="006A2BA3" w:rsidRDefault="006A2BA3" w:rsidP="00153DA9">
      <w:pPr>
        <w:pStyle w:val="Antrat2"/>
        <w:rPr>
          <w:color w:val="323E4F" w:themeColor="text2" w:themeShade="BF"/>
        </w:rPr>
      </w:pPr>
      <w:bookmarkStart w:id="36" w:name="_Toc148375061"/>
      <w:r w:rsidRPr="006A2BA3">
        <w:rPr>
          <w:color w:val="323E4F" w:themeColor="text2" w:themeShade="BF"/>
        </w:rPr>
        <w:t xml:space="preserve">2023 m. kovo 9 d. sprendimas </w:t>
      </w:r>
      <w:bookmarkEnd w:id="35"/>
      <w:r w:rsidRPr="006A2BA3">
        <w:rPr>
          <w:color w:val="323E4F" w:themeColor="text2" w:themeShade="BF"/>
        </w:rPr>
        <w:t xml:space="preserve">byloje </w:t>
      </w:r>
      <w:r w:rsidRPr="006A2BA3">
        <w:rPr>
          <w:i/>
          <w:iCs w:val="0"/>
          <w:color w:val="323E4F" w:themeColor="text2" w:themeShade="BF"/>
        </w:rPr>
        <w:t>Registrų centras</w:t>
      </w:r>
      <w:r w:rsidRPr="006A2BA3">
        <w:rPr>
          <w:color w:val="323E4F" w:themeColor="text2" w:themeShade="BF"/>
        </w:rPr>
        <w:t>, C</w:t>
      </w:r>
      <w:r w:rsidRPr="006A2BA3">
        <w:rPr>
          <w:rFonts w:ascii="Cambria Math" w:hAnsi="Cambria Math" w:cs="Cambria Math"/>
          <w:color w:val="323E4F" w:themeColor="text2" w:themeShade="BF"/>
        </w:rPr>
        <w:t>‑</w:t>
      </w:r>
      <w:r w:rsidRPr="006A2BA3">
        <w:rPr>
          <w:color w:val="323E4F" w:themeColor="text2" w:themeShade="BF"/>
        </w:rPr>
        <w:t>354/21</w:t>
      </w:r>
      <w:bookmarkEnd w:id="36"/>
    </w:p>
    <w:p w14:paraId="141F8EC0" w14:textId="77777777" w:rsidR="006A2BA3" w:rsidRPr="006A2BA3" w:rsidRDefault="006A2BA3" w:rsidP="006A2BA3">
      <w:pPr>
        <w:jc w:val="center"/>
        <w:rPr>
          <w:rFonts w:cs="Calibri"/>
          <w:b/>
          <w:bCs/>
          <w:iCs/>
          <w:shd w:val="clear" w:color="auto" w:fill="FFFFFF"/>
        </w:rPr>
      </w:pPr>
    </w:p>
    <w:p w14:paraId="19B40A6F" w14:textId="77777777" w:rsidR="006A2BA3" w:rsidRPr="006A2BA3" w:rsidRDefault="006A2BA3" w:rsidP="006A2BA3">
      <w:pPr>
        <w:shd w:val="clear" w:color="auto" w:fill="FFFFFF"/>
        <w:ind w:firstLine="567"/>
        <w:rPr>
          <w:rFonts w:eastAsia="Times New Roman" w:cs="Calibri"/>
          <w:lang w:eastAsia="lt-LT"/>
        </w:rPr>
      </w:pPr>
      <w:r w:rsidRPr="006A2BA3">
        <w:rPr>
          <w:rFonts w:eastAsia="Times New Roman" w:cs="Calibri"/>
          <w:lang w:eastAsia="lt-LT"/>
        </w:rPr>
        <w:t xml:space="preserve">Prašymas priimti prejudicinį sprendimą – Teismų bendradarbiavimas civilinėse bylose – Europos paveldėjimo pažymėjimas – Reglamentas (ES) Nr. 650/2012 – 1 straipsnio 2 dalies l punktas – Taikymo sritis – 68 straipsnis – Europos paveldėjimo pažymėjimo turinys – 69 straipsnio 5 dalis – Europos </w:t>
      </w:r>
      <w:r w:rsidRPr="006A2BA3">
        <w:rPr>
          <w:rFonts w:eastAsia="Times New Roman" w:cs="Calibri"/>
          <w:lang w:eastAsia="lt-LT"/>
        </w:rPr>
        <w:lastRenderedPageBreak/>
        <w:t>paveldėjimo pažymėjimo pasekmės – Nekilnojamasis turtas, esantis kitoje valstybėje narėje nei paveldėjimo valstybė narė – To nekilnojamojo turto įregistravimas tos valstybės narės nekilnojamojo turto registre – Tokiam įregistravimui taikomi teisiniai reikalavimai pagal tos valstybės narės teisę – Įgyvendinimo reglamentas (ES) Nr. 1329/2014 – Šio įgyvendinimo reglamento 5 priede pateiktos V formos privalomasis pobūdis</w:t>
      </w:r>
    </w:p>
    <w:p w14:paraId="2B00FE05" w14:textId="77777777" w:rsidR="006A2BA3" w:rsidRPr="006A2BA3" w:rsidRDefault="006A2BA3" w:rsidP="006A2BA3">
      <w:pPr>
        <w:shd w:val="clear" w:color="auto" w:fill="FFFFFF"/>
        <w:ind w:firstLine="567"/>
        <w:rPr>
          <w:rFonts w:eastAsia="Times New Roman" w:cs="Calibri"/>
          <w:lang w:eastAsia="lt-LT"/>
        </w:rPr>
      </w:pPr>
    </w:p>
    <w:p w14:paraId="601DDA69" w14:textId="77777777" w:rsidR="006A2BA3" w:rsidRPr="006A2BA3" w:rsidRDefault="006A2BA3" w:rsidP="006A2BA3">
      <w:pPr>
        <w:jc w:val="center"/>
        <w:rPr>
          <w:rFonts w:cs="Calibri"/>
          <w:b/>
          <w:bCs/>
          <w:color w:val="000000"/>
          <w:shd w:val="clear" w:color="auto" w:fill="FFFFFF"/>
        </w:rPr>
      </w:pPr>
      <w:r w:rsidRPr="006A2BA3">
        <w:rPr>
          <w:rFonts w:cs="Calibri"/>
          <w:b/>
          <w:bCs/>
          <w:color w:val="000000"/>
          <w:shd w:val="clear" w:color="auto" w:fill="FFFFFF"/>
        </w:rPr>
        <w:t>Bylos aplinkybės</w:t>
      </w:r>
    </w:p>
    <w:p w14:paraId="7450CAC1" w14:textId="77777777" w:rsidR="006A2BA3" w:rsidRPr="006A2BA3" w:rsidRDefault="006A2BA3" w:rsidP="006A2BA3">
      <w:pPr>
        <w:shd w:val="clear" w:color="auto" w:fill="FFFFFF"/>
        <w:ind w:firstLine="567"/>
        <w:rPr>
          <w:rFonts w:eastAsia="Times New Roman" w:cs="Calibri"/>
          <w:b/>
          <w:bCs/>
          <w:lang w:eastAsia="lt-LT"/>
        </w:rPr>
      </w:pPr>
    </w:p>
    <w:p w14:paraId="5A7F3B6F"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Prašymas priimti prejudicinį sprendimą pateiktas Lietuvos vyriausiajame administraciniame teisme nagrinėjant R. J. R. ir VĮ Registrų centro (Lietuva) ginčą dėl nuosavybės teisės į Lietuvoje esantį nekilnojamąjį turtą, kurio paveldėtojas yra R. J. R., įregistravimo Nekilnojamojo turto registre.</w:t>
      </w:r>
    </w:p>
    <w:p w14:paraId="5E17EBC3"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Pareiškėjas pagrindinėje byloje R. J. R. gyvena Vokietijoje. 2015 metais mirė jo motina (toliau – palikėja), tuo metu jos įprastinė gyvenamoji vieta taip pat buvo Vokietijoje. R. J. R., vienintelis palikėjos įpėdinis, Vokietijoje be išlygų priėmė visą jos palikimą. Jis kreipėsi į jurisdikciją turintį Vokietijos teismą, prašydamas išduoti Europos paveldėjimo pažymėjimą, nes tą palikimą sudarė ne tik Vokietijoje, bet ir Lietuvoje esantis turtas.</w:t>
      </w:r>
    </w:p>
    <w:p w14:paraId="56BC7AE5"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Pareiškėjui pagrindinėje byloje buvo išduotas paveldėjimo teisės liudijimas, kuriame nurodyta, kad G. R., miręs 2014 metais, paliko palikimą palikėjai, vienintelei savo įpėdinei, ir Europos paveldėjimo pažymėjimas, kuriame nurodyta, kad palikėja paliko palikimą pareiškėjui pagrindinėje byloje ir kad jis yra vienintelis jos įpėdinis ir priėmė palikimą be išlygų. R. J. R. šiuos dokumentus kartu su prašymu įregistruoti jo nuosavybės teises į Lietuvoje esantį palikėjai priklausiusį nekilnojamąjį turtą pateikė VĮ Registrų centrui, atsakingam už nekilnojamojo turto kadastro ir registro tvarkymą Lietuvoje.</w:t>
      </w:r>
    </w:p>
    <w:p w14:paraId="17C381FA"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VĮ Registrų centro Turto registrų tvarkymo tarnybos Nekilnojamojo turto registro departamento Tauragės skyrius minėtą prašymą atmetė, nurodęs, kad Europos paveldėjimo pažymėjime nėra nekilnojamajam turtui identifikuoti reikalingų duomenų, numatytų Lietuvos Respublikos nekilnojamojo turto registro įstatyme, t. y. jame nėra išvardyto pareiškėjo pagrindinėje byloje paveldėto turto. Šį sprendimą R. J. R. apskundė VĮ Registrų centro Centrinio registratoriaus ginčų nagrinėjimo komisijai, tačiau jo skundas nebuvo tenkintas. Dėl šių sprendimų R. J. R. pateikė skundą Regionų apygardos administracinio teismo Klaipėdos rūmams, tačiau teismas jo skundą taip pat atmetė kaip nepagrįstą. Todėl R. J. R. pateikė apeliacinį skundą prašymą priimti prejudicinį sprendimą pateikusiam Lietuvos vyriausiajam administraciniam teismui.</w:t>
      </w:r>
    </w:p>
    <w:p w14:paraId="425E250B"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Šiomis aplinkybėmis Lietuvos vyriausiasis administracinis teismas nutarė sustabdyti bylos nagrinėjimą ir pateikti Teisingumo Teismui prejudicinį klausimą, kuriuo siekė išsiaiškinti, ar Reglamento Nr. 650/2012</w:t>
      </w:r>
      <w:r w:rsidRPr="006A2BA3">
        <w:rPr>
          <w:rFonts w:cs="Calibri"/>
          <w:iCs/>
          <w:shd w:val="clear" w:color="auto" w:fill="FFFFFF"/>
          <w:vertAlign w:val="superscript"/>
        </w:rPr>
        <w:footnoteReference w:id="11"/>
      </w:r>
      <w:r w:rsidRPr="006A2BA3">
        <w:rPr>
          <w:rFonts w:cs="Calibri"/>
          <w:color w:val="000000"/>
          <w:shd w:val="clear" w:color="auto" w:fill="FFFFFF"/>
        </w:rPr>
        <w:t xml:space="preserve"> 1 straipsnio 2 dalies l punktą, 68 straipsnio l punktą ir 69 straipsnio 5 dalį reikia aiškinti taip, jog pagal juos draudžiamos valstybės narės teisės normos, pagal kurias numatyta, kad prašymas įregistruoti nekilnojamąjį turtą šios valstybės narės nekilnojamojo turto registre gali būti atmestas, kai vienintelis šiam prašymui pagrįsti pateiktas dokumentas yra Europos paveldėjimo pažymėjimas, kuriame tas nekilnojamasis turtas nėra nurodytas.</w:t>
      </w:r>
    </w:p>
    <w:p w14:paraId="30BFECF1" w14:textId="77777777" w:rsidR="006A2BA3" w:rsidRPr="006A2BA3" w:rsidRDefault="006A2BA3" w:rsidP="006A2BA3">
      <w:pPr>
        <w:ind w:firstLine="567"/>
        <w:rPr>
          <w:rFonts w:cs="Calibri"/>
          <w:color w:val="000000"/>
          <w:shd w:val="clear" w:color="auto" w:fill="FFFFFF"/>
        </w:rPr>
      </w:pPr>
    </w:p>
    <w:p w14:paraId="4DF19A23" w14:textId="77777777" w:rsidR="006A2BA3" w:rsidRPr="006A2BA3" w:rsidRDefault="006A2BA3" w:rsidP="006A2BA3">
      <w:pPr>
        <w:jc w:val="center"/>
        <w:rPr>
          <w:rFonts w:cs="Calibri"/>
          <w:b/>
          <w:bCs/>
          <w:color w:val="000000"/>
          <w:shd w:val="clear" w:color="auto" w:fill="FFFFFF"/>
        </w:rPr>
      </w:pPr>
      <w:r w:rsidRPr="006A2BA3">
        <w:rPr>
          <w:rFonts w:cs="Calibri"/>
          <w:b/>
          <w:bCs/>
          <w:color w:val="000000"/>
          <w:shd w:val="clear" w:color="auto" w:fill="FFFFFF"/>
        </w:rPr>
        <w:t>Teisingumo Teismo vertinimas</w:t>
      </w:r>
    </w:p>
    <w:p w14:paraId="48B32095" w14:textId="77777777" w:rsidR="006A2BA3" w:rsidRPr="006A2BA3" w:rsidRDefault="006A2BA3" w:rsidP="006A2BA3">
      <w:pPr>
        <w:ind w:firstLine="567"/>
        <w:rPr>
          <w:rFonts w:cs="Calibri"/>
          <w:color w:val="000000"/>
          <w:shd w:val="clear" w:color="auto" w:fill="FFFFFF"/>
        </w:rPr>
      </w:pPr>
    </w:p>
    <w:p w14:paraId="1AF5D53D" w14:textId="77777777" w:rsidR="006A2BA3" w:rsidRPr="006A2BA3" w:rsidRDefault="006A2BA3" w:rsidP="00153DA9">
      <w:pPr>
        <w:pStyle w:val="Antrat3"/>
        <w:ind w:firstLine="567"/>
        <w:rPr>
          <w:rFonts w:cstheme="minorHAnsi"/>
          <w:iCs/>
          <w:color w:val="000000"/>
        </w:rPr>
      </w:pPr>
      <w:bookmarkStart w:id="37" w:name="_Toc148375062"/>
      <w:r w:rsidRPr="006A2BA3">
        <w:rPr>
          <w:rFonts w:cstheme="minorHAnsi"/>
          <w:iCs/>
          <w:color w:val="000000"/>
        </w:rPr>
        <w:t>Dėl visų Lietuvoje esančiam paveldimam nekilnojamajam turtui identifikuoti reikalingų duomenų nurodymo Europos paveldėjimo pažymėjime, siekiant šio pažymėjimo pagrindu įregistruoti nuosavybės teises Lietuvos Respublikos Nekilnojamojo turto registre</w:t>
      </w:r>
      <w:bookmarkEnd w:id="37"/>
    </w:p>
    <w:p w14:paraId="64024838" w14:textId="77777777" w:rsidR="006A2BA3" w:rsidRPr="006A2BA3" w:rsidRDefault="006A2BA3" w:rsidP="006A2BA3">
      <w:pPr>
        <w:ind w:firstLine="567"/>
        <w:rPr>
          <w:rFonts w:cs="Calibri"/>
          <w:color w:val="000000"/>
          <w:shd w:val="clear" w:color="auto" w:fill="FFFFFF"/>
        </w:rPr>
      </w:pPr>
    </w:p>
    <w:p w14:paraId="46997BFD"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 xml:space="preserve">Teisingumo Teismas pažymėjo, kad Europos paveldėjimo pažymėjimas yra savarankiška Sąjungos teisės priemonė, kurios naudojimas ir poveikis išsamiai reglamentuojamas Reglamento Nr. 650/2012 nuostatomis. Europos paveldėjimo pažymėjimo tikslas, kaip nurodyta Reglamento Nr. 650/2012 67 konstatuojamojoje dalyje, įpėdiniams suteikti galimybę lengvai įrodyti savo statusą ir (arba) teises bei </w:t>
      </w:r>
      <w:r w:rsidRPr="006A2BA3">
        <w:rPr>
          <w:rFonts w:cs="Calibri"/>
          <w:color w:val="000000"/>
          <w:shd w:val="clear" w:color="auto" w:fill="FFFFFF"/>
        </w:rPr>
        <w:lastRenderedPageBreak/>
        <w:t>įgaliojimus kitoje valstybėje narėje ir užtikrinti, kad tarpvalstybinio pobūdžio paveldėjimo klausimai Sąjungoje būtų sprendžiami greitai, sklandžiai ir veiksmingai.</w:t>
      </w:r>
    </w:p>
    <w:p w14:paraId="0936651E"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Asmuo, pažymėjime nurodytas kaip įpėdinis, laikomas turinčiu tame pažymėjime nurodytą statusą ir (arba) jame nurodytas teises arba įgaliojimus, ir preziumuojama, kad nėra jokių kitų sąlygų ir (arba) apribojimų, susijusių su tomis teisėmis arba įgaliojimais, nei nurodyta tame pažymėjime. Taigi, kai Europos paveldėjimo pažymėjimas išduodamas įpėdiniui palikėjo nuolatinės gyvenamosios vietos valstybėje narėje, įpėdinis gali juo naudotis kitose valstybėse narėse, kuriose yra palikėjo turto.</w:t>
      </w:r>
    </w:p>
    <w:p w14:paraId="06D1D8F7"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Kai Europos paveldėjimo pažymėjimas pateikiamas kaip dokumentas, kuriuo remiantis prašoma įregistruoti paveldėtą nekilnojamąjį turtą, Reglamento Nr. 650/2012 68 straipsnyje numatyta, jog šiame pažymėjime turi būti pateikta būtiniausia informacija. Vis dėlto pažymėjimo turinys kiekvienu atveju gali skirtis priklausomai nuo to, kokiu tikslu jis išduodamas.</w:t>
      </w:r>
    </w:p>
    <w:p w14:paraId="3B7D1D86"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 xml:space="preserve">Reglamento Nr. 650/2012 69 straipsnio 5 dalyje nustatyta, jog Europos paveldėjimo pažymėjimas yra galiojantis dokumentas, kuriuo remiantis paveldimas turtas įregistruojamas valstybės narės atitinkamame registre, nedarant poveikio, be kita ko, šio reglamento 1 straipsnio 2 dalies l punkto taikymui, nes, kaip jau yra nusprendęs Teisingumo Teismas, toje nuostatoje numatyta, kad šis reglamentas netaikomas visoms registre įregistruotoms teisėms į nekilnojamąjį ar kilnojamąjį turtą, įskaitant tokių teisių įregistravimui keliamus teisinius reikalavimus, ir tokių teisių įregistravimo arba jų neįregistravimo registre pasekmėms (šiuo klausimu žr. 2017 m. spalio 12 d. sprendimo byloje </w:t>
      </w:r>
      <w:r w:rsidRPr="006A2BA3">
        <w:rPr>
          <w:rFonts w:cs="Calibri"/>
          <w:i/>
          <w:iCs/>
          <w:color w:val="000000"/>
          <w:shd w:val="clear" w:color="auto" w:fill="FFFFFF"/>
        </w:rPr>
        <w:t>Kubicka</w:t>
      </w:r>
      <w:r w:rsidRPr="006A2BA3">
        <w:rPr>
          <w:rFonts w:cs="Calibri"/>
          <w:color w:val="000000"/>
          <w:shd w:val="clear" w:color="auto" w:fill="FFFFFF"/>
        </w:rPr>
        <w:t>, C</w:t>
      </w:r>
      <w:r w:rsidRPr="006A2BA3">
        <w:rPr>
          <w:rFonts w:cs="Calibri"/>
          <w:color w:val="000000"/>
          <w:shd w:val="clear" w:color="auto" w:fill="FFFFFF"/>
        </w:rPr>
        <w:noBreakHyphen/>
        <w:t>218/16, EU:C:2017:755, 54 punktą).</w:t>
      </w:r>
    </w:p>
    <w:p w14:paraId="49E27472" w14:textId="77777777" w:rsidR="006A2BA3" w:rsidRPr="006A2BA3" w:rsidRDefault="006A2BA3" w:rsidP="006A2BA3">
      <w:pPr>
        <w:ind w:firstLine="567"/>
        <w:rPr>
          <w:rFonts w:cs="Calibri"/>
          <w:color w:val="000000"/>
          <w:shd w:val="clear" w:color="auto" w:fill="FFFFFF"/>
        </w:rPr>
      </w:pPr>
      <w:r w:rsidRPr="006A2BA3">
        <w:rPr>
          <w:rFonts w:cs="Calibri"/>
          <w:color w:val="000000"/>
          <w:shd w:val="clear" w:color="auto" w:fill="FFFFFF"/>
        </w:rPr>
        <w:t xml:space="preserve">Tai, kad tokie teisiniai reikalavimai reglamentuojami nacionalinėje teisėje, matyti ir iš Reglamento Nr. 650/2012 18 konstatuojamosios dalies, pagal kurią šis reglamentas netaikomas reikalavimams įregistruoti registre teisę į nekilnojamąjį arba kilnojamąjį turtą, todėl įregistravimo teisinės sąlygos ir būdas bei institucijos (pvz., žemės kadastrai arba notarai), kurios privalo tikrinti, kad būtų laikomasi visų reikalavimų ir pateikta ar parengta pakankamai dokumentų arba juose nurodyta reikiama informacija, turėtų būti nustatomi pagal valstybės narės, kurioje tvarkomas registras, teisę. Taigi </w:t>
      </w:r>
      <w:r w:rsidRPr="006A2BA3">
        <w:rPr>
          <w:rFonts w:cs="Calibri"/>
          <w:color w:val="000000"/>
          <w:u w:val="single"/>
          <w:shd w:val="clear" w:color="auto" w:fill="FFFFFF"/>
        </w:rPr>
        <w:t>Reglamento Nr. 650/2012, kuriuo sukuriamas Europos paveldėjimo pažymėjimas, nuostatomis, konkrečiai – šio reglamento 69 straipsnio 5 dalimi, kartu su jo 1 straipsnio 2 dalies l punktu, į kurį daroma nuoroda pirmojoje nuostatoje, nedraudžiama valstybei narei nustatyti ar taikyti reikalavimus, kurių reikia laikytis registruojant daiktines teises į nekilnojamąjį turtą</w:t>
      </w:r>
      <w:r w:rsidRPr="006A2BA3">
        <w:rPr>
          <w:rFonts w:cs="Calibri"/>
          <w:color w:val="000000"/>
          <w:shd w:val="clear" w:color="auto" w:fill="FFFFFF"/>
        </w:rPr>
        <w:t>.</w:t>
      </w:r>
    </w:p>
    <w:p w14:paraId="0F9A204B" w14:textId="77777777" w:rsidR="006A2BA3" w:rsidRPr="006A2BA3" w:rsidRDefault="006A2BA3" w:rsidP="006A2BA3">
      <w:pPr>
        <w:ind w:firstLine="567"/>
        <w:rPr>
          <w:rFonts w:cs="Calibri"/>
          <w:color w:val="000000"/>
          <w:shd w:val="clear" w:color="auto" w:fill="FFFFFF"/>
        </w:rPr>
      </w:pPr>
      <w:r w:rsidRPr="006A2BA3">
        <w:rPr>
          <w:rFonts w:cs="Calibri"/>
          <w:color w:val="000000"/>
          <w:u w:val="single"/>
          <w:shd w:val="clear" w:color="auto" w:fill="FFFFFF"/>
        </w:rPr>
        <w:t>Kiekviena valstybė narė, kurioje numatytas toks daiktinių teisių į nekilnojamąjį turtą registravimas, gali laisvai nustatyti tokio registravimo sąlygas ir tvarką, įskaitant reikalavimą, kad paraiškoje arba prie jos pridedamuose dokumentuose būtų nurodyti visi nekilnojamojo turto, dėl kurio pateikiamas prašymas registruoti, identifikavimo duomenys</w:t>
      </w:r>
      <w:r w:rsidRPr="006A2BA3">
        <w:rPr>
          <w:rFonts w:cs="Calibri"/>
          <w:color w:val="000000"/>
          <w:shd w:val="clear" w:color="auto" w:fill="FFFFFF"/>
        </w:rPr>
        <w:t>. Todėl, kai už daiktinių teisių į nekilnojamąjį turtą registravimą atsakinga institucija gauna prašymą įregistruoti paveldėtą nekilnojamąjį turtą, tačiau šis turtas nėra nurodytas dokumente, kuriuo remiantis prašoma jį įregistruoti, įskaitant pateiktą Europos paveldėjimo pažymėjimą, ši institucija gali atmesti tokį prašymą. Šiuo aspektu Teisingumo Teismas pažymėjo, kad prašymo įregistruoti nekilnojamąjį turtą valstybės narės nekilnojamojo turto registre remiantis Europos paveldėjimo pažymėjimu atmetimas, motyvuojant tuo, kad jame nėra duomenų šiam turtui identifikuoti, nekelia abejonių dėl šio pažymėjimo galiojimo, kiek tai susiję su kitais jame patvirtintais elementais, pavyzdžiui, įpėdinio statusu.</w:t>
      </w:r>
    </w:p>
    <w:p w14:paraId="26D59FC9" w14:textId="77777777" w:rsidR="006A2BA3" w:rsidRPr="006A2BA3" w:rsidRDefault="006A2BA3" w:rsidP="006A2BA3">
      <w:pPr>
        <w:ind w:firstLine="567"/>
        <w:rPr>
          <w:rFonts w:cs="Calibri"/>
          <w:iCs/>
          <w:color w:val="000000"/>
          <w:shd w:val="clear" w:color="auto" w:fill="FFFFFF"/>
        </w:rPr>
      </w:pPr>
      <w:r w:rsidRPr="006A2BA3">
        <w:rPr>
          <w:rFonts w:cs="Calibri"/>
          <w:iCs/>
          <w:color w:val="000000"/>
          <w:shd w:val="clear" w:color="auto" w:fill="FFFFFF"/>
        </w:rPr>
        <w:t xml:space="preserve">Atsižvelgęs į tai, Teisingumo Teismas konstatavo, kad Reglamento Nr. 650/2012 1 straipsnio 2 dalies l punktą, 68 straipsnio l punktą ir 69 straipsnio 5 dalį reikia aiškinti taip, jog pagal juos </w:t>
      </w:r>
      <w:r w:rsidRPr="006A2BA3">
        <w:rPr>
          <w:rFonts w:cs="Calibri"/>
          <w:iCs/>
          <w:color w:val="000000"/>
          <w:u w:val="single"/>
          <w:shd w:val="clear" w:color="auto" w:fill="FFFFFF"/>
        </w:rPr>
        <w:t>nedraudžiamos valstybės narės teisės normos, kuriose numatyta, kad prašymas įregistruoti nekilnojamąjį turtą šios valstybės narės nekilnojamojo turto registre gali būti atmestas, kai vienintelis šiam prašymui pagrįsti pateiktas dokumentas yra Europos paveldėjimo pažymėjimas, kuriame tas nekilnojamasis turtas nėra nurodytas</w:t>
      </w:r>
      <w:r w:rsidRPr="006A2BA3">
        <w:rPr>
          <w:rFonts w:cs="Calibri"/>
          <w:iCs/>
          <w:color w:val="000000"/>
          <w:shd w:val="clear" w:color="auto" w:fill="FFFFFF"/>
        </w:rPr>
        <w:t>.</w:t>
      </w:r>
    </w:p>
    <w:p w14:paraId="6C5FA0E2" w14:textId="77777777" w:rsidR="006A2BA3" w:rsidRPr="006A2BA3" w:rsidRDefault="00000000" w:rsidP="006A2BA3">
      <w:pPr>
        <w:ind w:firstLine="567"/>
        <w:rPr>
          <w:rFonts w:cs="Calibri"/>
          <w:color w:val="0000FF"/>
          <w:u w:val="single"/>
        </w:rPr>
      </w:pPr>
      <w:hyperlink r:id="rId16" w:history="1">
        <w:r w:rsidR="006A2BA3" w:rsidRPr="006A2BA3">
          <w:rPr>
            <w:rFonts w:cs="Calibri"/>
            <w:color w:val="0000FF"/>
            <w:u w:val="single"/>
          </w:rPr>
          <w:t>Prieiga internete</w:t>
        </w:r>
      </w:hyperlink>
    </w:p>
    <w:p w14:paraId="6A3CE7F7" w14:textId="77777777" w:rsidR="00703818" w:rsidRDefault="00703818" w:rsidP="005D34B8">
      <w:pPr>
        <w:rPr>
          <w:rFonts w:eastAsia="Times New Roman" w:cs="Calibri"/>
          <w:lang w:eastAsia="lt-LT"/>
        </w:rPr>
      </w:pPr>
    </w:p>
    <w:p w14:paraId="67B74CE1" w14:textId="77777777" w:rsidR="009976CB" w:rsidRPr="00344EA2" w:rsidRDefault="009976CB" w:rsidP="009976CB">
      <w:pPr>
        <w:pStyle w:val="Antrat1"/>
      </w:pPr>
      <w:bookmarkStart w:id="38" w:name="_Toc148375063"/>
      <w:r w:rsidRPr="00344EA2">
        <w:t>DUOMENŲ APSAUGA</w:t>
      </w:r>
      <w:bookmarkEnd w:id="38"/>
    </w:p>
    <w:p w14:paraId="7E0D3EA8" w14:textId="77777777" w:rsidR="009976CB" w:rsidRDefault="009976CB" w:rsidP="009976CB">
      <w:pPr>
        <w:tabs>
          <w:tab w:val="left" w:pos="6379"/>
        </w:tabs>
        <w:jc w:val="center"/>
        <w:rPr>
          <w:rFonts w:asciiTheme="minorHAnsi" w:hAnsiTheme="minorHAnsi" w:cstheme="minorHAnsi"/>
          <w:b/>
          <w:bCs/>
          <w:color w:val="002060"/>
        </w:rPr>
      </w:pPr>
    </w:p>
    <w:p w14:paraId="5D29BAF3" w14:textId="77777777" w:rsidR="009976CB" w:rsidRPr="009B17F8" w:rsidRDefault="009976CB" w:rsidP="009976CB">
      <w:pPr>
        <w:pStyle w:val="Antrat2"/>
        <w:rPr>
          <w:color w:val="323E4F" w:themeColor="text2" w:themeShade="BF"/>
        </w:rPr>
      </w:pPr>
      <w:bookmarkStart w:id="39" w:name="_Toc148375064"/>
      <w:r w:rsidRPr="009B17F8">
        <w:rPr>
          <w:color w:val="323E4F" w:themeColor="text2" w:themeShade="BF"/>
        </w:rPr>
        <w:t xml:space="preserve">2023 m. gegužės 4 d. sprendimas byloje </w:t>
      </w:r>
      <w:r w:rsidRPr="00FA236B">
        <w:rPr>
          <w:i/>
          <w:iCs w:val="0"/>
          <w:color w:val="323E4F" w:themeColor="text2" w:themeShade="BF"/>
        </w:rPr>
        <w:t>Österreichische Datenschutzbehörde</w:t>
      </w:r>
      <w:r w:rsidRPr="009B17F8">
        <w:rPr>
          <w:color w:val="323E4F" w:themeColor="text2" w:themeShade="BF"/>
        </w:rPr>
        <w:t>, C-487/21</w:t>
      </w:r>
      <w:bookmarkEnd w:id="39"/>
    </w:p>
    <w:p w14:paraId="24F5E94D" w14:textId="77777777" w:rsidR="009976CB" w:rsidRDefault="009976CB" w:rsidP="009976CB"/>
    <w:p w14:paraId="0903ED77" w14:textId="04624C11" w:rsidR="009976CB" w:rsidRDefault="009976CB" w:rsidP="009976CB">
      <w:pPr>
        <w:ind w:firstLine="567"/>
      </w:pPr>
      <w:r w:rsidRPr="005A6964">
        <w:lastRenderedPageBreak/>
        <w:t>Asmens duomenų apsauga</w:t>
      </w:r>
      <w:r w:rsidR="00253467">
        <w:t xml:space="preserve"> </w:t>
      </w:r>
      <w:r w:rsidRPr="005A6964">
        <w:t>– Reglamentas (ES) 2016/679</w:t>
      </w:r>
      <w:r w:rsidR="00253467">
        <w:t xml:space="preserve"> </w:t>
      </w:r>
      <w:r w:rsidRPr="005A6964">
        <w:t>– Duomenų subjekto teisė susipažinti su tvarkomais jo asmens duomenimis</w:t>
      </w:r>
      <w:r w:rsidR="00253467">
        <w:t xml:space="preserve"> </w:t>
      </w:r>
      <w:r w:rsidRPr="005A6964">
        <w:t>– 15 straipsnio 3 dalis</w:t>
      </w:r>
      <w:r w:rsidR="00253467">
        <w:t xml:space="preserve"> </w:t>
      </w:r>
      <w:r w:rsidRPr="005A6964">
        <w:t>– Duomenų kopijos pateikimas</w:t>
      </w:r>
      <w:r w:rsidR="00253467">
        <w:t xml:space="preserve"> </w:t>
      </w:r>
      <w:r w:rsidRPr="005A6964">
        <w:t>– Sąvoka „kopija“</w:t>
      </w:r>
      <w:r w:rsidR="00253467">
        <w:t xml:space="preserve"> </w:t>
      </w:r>
      <w:r w:rsidRPr="005A6964">
        <w:t>– Sąvoka „informacija“</w:t>
      </w:r>
    </w:p>
    <w:p w14:paraId="76B9B46F" w14:textId="77777777" w:rsidR="009976CB" w:rsidRDefault="009976CB" w:rsidP="009976CB">
      <w:pPr>
        <w:ind w:firstLine="567"/>
      </w:pPr>
    </w:p>
    <w:p w14:paraId="4D4C0E18" w14:textId="77777777" w:rsidR="009976CB" w:rsidRPr="001B694C" w:rsidRDefault="009976CB" w:rsidP="009976CB">
      <w:pPr>
        <w:jc w:val="center"/>
        <w:rPr>
          <w:b/>
          <w:bCs/>
        </w:rPr>
      </w:pPr>
      <w:r w:rsidRPr="001B694C">
        <w:rPr>
          <w:b/>
          <w:bCs/>
        </w:rPr>
        <w:t>Bylos aplinkybės</w:t>
      </w:r>
    </w:p>
    <w:p w14:paraId="79C58DA6" w14:textId="77777777" w:rsidR="009976CB" w:rsidRDefault="009976CB" w:rsidP="009976CB">
      <w:pPr>
        <w:ind w:firstLine="567"/>
      </w:pPr>
    </w:p>
    <w:p w14:paraId="2AD81ED4" w14:textId="77777777" w:rsidR="009976CB" w:rsidRDefault="009976CB" w:rsidP="009976CB">
      <w:pPr>
        <w:ind w:firstLine="567"/>
      </w:pPr>
      <w:r w:rsidRPr="001E2639">
        <w:t xml:space="preserve">Prašymas priimti prejudicinį sprendimą pateiktas nagrinėjant F.F. ir </w:t>
      </w:r>
      <w:r w:rsidRPr="001E2639">
        <w:rPr>
          <w:i/>
          <w:iCs/>
        </w:rPr>
        <w:t xml:space="preserve">Österreichische Datenschutzbehörde </w:t>
      </w:r>
      <w:r w:rsidRPr="001E2639">
        <w:t>(Austrijos duomenų apsaugos tarnyba, toliau – DSB) ginčą dėl pastarosios atsisakymo įpareigoti CRIF GmbH perduoti F.F. dokumentų ir išrašų iš duomenų bazių, kuriuose, be kita ko, yra tvarkomi jo asmens duomenys, kopijas.</w:t>
      </w:r>
    </w:p>
    <w:p w14:paraId="402378DE" w14:textId="77777777" w:rsidR="009976CB" w:rsidRPr="006A183E" w:rsidRDefault="009976CB" w:rsidP="009976CB">
      <w:pPr>
        <w:ind w:firstLine="567"/>
      </w:pPr>
      <w:r w:rsidRPr="006A183E">
        <w:t>CRIF yra verslo konsultacijų įmonė, kuri klientų prašymu teikia informaciją apie trečiųjų šalių mokumą. Šiuo tikslu ji tvarkė pareiškėjo pagrindinėje byloje asmens duomenis.</w:t>
      </w:r>
      <w:r>
        <w:t xml:space="preserve"> </w:t>
      </w:r>
      <w:r w:rsidRPr="006A183E">
        <w:t>2018 m. gruodžio 20 d. pareiškėjas pagrindinėje byloje, remdamasis BDAR</w:t>
      </w:r>
      <w:r>
        <w:rPr>
          <w:rStyle w:val="Puslapioinaosnuoroda"/>
        </w:rPr>
        <w:footnoteReference w:id="12"/>
      </w:r>
      <w:r w:rsidRPr="006A183E">
        <w:t xml:space="preserve"> 15 straipsniu, paprašė CRIF leisti susipažinti su savo asmens duomenimis. Be to, jis paprašė pateikti dokumentų, t. y. elektroninių laiškų ir išrašų iš duomenų bazių, kuriuose, be kita ko, yra jo duomenų, kopijas „įprastu techniniu formatu“.</w:t>
      </w:r>
      <w:r>
        <w:t xml:space="preserve"> </w:t>
      </w:r>
      <w:r w:rsidRPr="006A183E">
        <w:t>Atsakydama į šį prašymą CRIF pateikė pareiškėjui pagrindinėje byloje apibendrintą jo tvarkomų asmens duomenų sąrašą.</w:t>
      </w:r>
      <w:r>
        <w:t xml:space="preserve"> </w:t>
      </w:r>
      <w:r w:rsidRPr="006A183E">
        <w:t>Manydamas, kad CRIF turėjo jam perduoti visų dokumentų, kuriuose yra jo duomenų, kaip antai elektroninių laiškų ir duomenų bazių išrašų, kopijas, pareiškėjas pagrindinėje byloje pateikė DSB skundą.</w:t>
      </w:r>
    </w:p>
    <w:p w14:paraId="2BE0ABED" w14:textId="77777777" w:rsidR="009976CB" w:rsidRPr="006A183E" w:rsidRDefault="009976CB" w:rsidP="009976CB">
      <w:pPr>
        <w:ind w:firstLine="567"/>
      </w:pPr>
      <w:r w:rsidRPr="006A183E">
        <w:t>2019 m. rugsėjo 11 d. sprendimu DSB atmetė tą skundą ir konstatavo, kad CRIF nepažeidė pareiškėjo pagrindinėje byloje teisės susipažinti su asmens duomenimis.</w:t>
      </w:r>
    </w:p>
    <w:p w14:paraId="65305D51" w14:textId="77777777" w:rsidR="009976CB" w:rsidRPr="006A183E" w:rsidRDefault="009976CB" w:rsidP="009976CB">
      <w:pPr>
        <w:ind w:firstLine="567"/>
      </w:pPr>
      <w:r w:rsidRPr="006A183E">
        <w:t>Prašymą priimti prejudicinį sprendimą pateikusiam teismui, kuriam pareiškėjas pagrindinėje byloje pateikė skundą dėl to sprendimo, k</w:t>
      </w:r>
      <w:r>
        <w:t>ilo</w:t>
      </w:r>
      <w:r w:rsidRPr="006A183E">
        <w:t xml:space="preserve"> klausimas dėl BDAR 15 straipsnio 3 dalies pirmo sakinio taikymo srities.</w:t>
      </w:r>
    </w:p>
    <w:p w14:paraId="0B78CB70" w14:textId="77777777" w:rsidR="009976CB" w:rsidRDefault="009976CB" w:rsidP="009976CB">
      <w:pPr>
        <w:ind w:firstLine="567"/>
      </w:pPr>
    </w:p>
    <w:p w14:paraId="34214774" w14:textId="77777777" w:rsidR="009976CB" w:rsidRPr="001B694C" w:rsidRDefault="009976CB" w:rsidP="009976CB">
      <w:pPr>
        <w:jc w:val="center"/>
        <w:rPr>
          <w:b/>
          <w:bCs/>
        </w:rPr>
      </w:pPr>
      <w:r w:rsidRPr="001B694C">
        <w:rPr>
          <w:b/>
          <w:bCs/>
        </w:rPr>
        <w:t>Teisingumo Teismo vertinimas</w:t>
      </w:r>
    </w:p>
    <w:p w14:paraId="7BBEF6B8" w14:textId="77777777" w:rsidR="009976CB" w:rsidRDefault="009976CB" w:rsidP="009976CB">
      <w:pPr>
        <w:ind w:firstLine="720"/>
      </w:pPr>
    </w:p>
    <w:p w14:paraId="680BD8EB" w14:textId="77777777" w:rsidR="009976CB" w:rsidRPr="00C92593" w:rsidRDefault="009976CB" w:rsidP="009976CB">
      <w:pPr>
        <w:pStyle w:val="Antrat3"/>
        <w:ind w:firstLine="567"/>
        <w:rPr>
          <w:i w:val="0"/>
          <w:iCs/>
        </w:rPr>
      </w:pPr>
      <w:bookmarkStart w:id="40" w:name="_Toc148375065"/>
      <w:r w:rsidRPr="00C92593">
        <w:rPr>
          <w:iCs/>
        </w:rPr>
        <w:t xml:space="preserve">Dėl tvarkomų </w:t>
      </w:r>
      <w:r w:rsidRPr="00FA236B">
        <w:rPr>
          <w:rFonts w:eastAsia="Times New Roman" w:cstheme="minorHAnsi"/>
          <w:iCs/>
          <w:color w:val="000000"/>
          <w:lang w:eastAsia="lt-LT"/>
        </w:rPr>
        <w:t>asmens</w:t>
      </w:r>
      <w:r w:rsidRPr="00C92593">
        <w:rPr>
          <w:iCs/>
        </w:rPr>
        <w:t xml:space="preserve"> duomenų kopijos pagal BDAR 15 straipsnio 3 dalies 1 sakinį</w:t>
      </w:r>
      <w:bookmarkEnd w:id="40"/>
    </w:p>
    <w:p w14:paraId="298D94C0" w14:textId="77777777" w:rsidR="009976CB" w:rsidRDefault="009976CB" w:rsidP="009976CB">
      <w:pPr>
        <w:ind w:firstLine="567"/>
      </w:pPr>
    </w:p>
    <w:p w14:paraId="37905A60" w14:textId="77777777" w:rsidR="009976CB" w:rsidRPr="003B6B5A" w:rsidRDefault="009976CB" w:rsidP="009976CB">
      <w:pPr>
        <w:ind w:firstLine="567"/>
      </w:pPr>
      <w:r>
        <w:t>Teisingumo Teismas sprendė</w:t>
      </w:r>
      <w:r w:rsidRPr="003B6B5A">
        <w:t>, kad tvarkomų asmens duomenų kopija, kurią duomenų valdytojas turi pateikti pagal BDAR 15 straipsnio 3 dalies pirmą sakinį, turi atitikti visus požymius, leidžiančius duomenų subjektui veiksmingai įgyvendinti savo teises pagal šį reglamentą, todėl joje turi būti visiškai ir tiksliai atgaminti šie duomenys.</w:t>
      </w:r>
    </w:p>
    <w:p w14:paraId="37E7D96F" w14:textId="77777777" w:rsidR="009976CB" w:rsidRPr="003B6B5A" w:rsidRDefault="009976CB" w:rsidP="009976CB">
      <w:pPr>
        <w:ind w:firstLine="567"/>
      </w:pPr>
      <w:r>
        <w:t>Teisingumo Teismas paaiškino</w:t>
      </w:r>
      <w:r w:rsidRPr="003B6B5A">
        <w:t>,</w:t>
      </w:r>
      <w:r>
        <w:t xml:space="preserve"> jog</w:t>
      </w:r>
      <w:r w:rsidRPr="003B6B5A">
        <w:t xml:space="preserve"> siekiant užtikrinti, kad taip pateiktą informaciją būtų lengva suprasti, kaip to reikalaujama pagal BDAR 12 straipsnio 1 dalį, siejamą su šio reglamento 58</w:t>
      </w:r>
      <w:r>
        <w:t> </w:t>
      </w:r>
      <w:r w:rsidRPr="003B6B5A">
        <w:t>konstatuojamąja dalimi, dokumentų ištraukų ar net visos apimties dokumentų ar išrašų iš duomenų bazių, kuriuose, be kita ko, yra tvarkomų asmens duomenų, atgaminimas gali būti būtinas</w:t>
      </w:r>
      <w:r>
        <w:t xml:space="preserve"> </w:t>
      </w:r>
      <w:r w:rsidRPr="003B6B5A">
        <w:t>tuo atveju, kai tvarkomų asmens duomenų kontekstas yra būtinas, siekiant užtikrinti, kad jie būtų suprantami.</w:t>
      </w:r>
      <w:r>
        <w:t xml:space="preserve"> </w:t>
      </w:r>
      <w:r w:rsidRPr="003B6B5A">
        <w:t>Konkrečiai kalbant, kai asmens duomenys generuojami remiantis kitais duomenimis arba kai tokie duomenys gaunami iš laisvų laukelių, t. y. kai nesant nuorodų atskleidžiama informacija apie duomenų subjektą, tokių duomenų tvarkymo kontekstas yra būtinas elementas, kad duomenų subjektas galėtų turėti skaidrią prieigą ir kad šie duomenys būtų jam pateikti suprantamai.</w:t>
      </w:r>
    </w:p>
    <w:p w14:paraId="548D58E1" w14:textId="77777777" w:rsidR="009976CB" w:rsidRDefault="009976CB" w:rsidP="009976CB">
      <w:pPr>
        <w:ind w:firstLine="567"/>
      </w:pPr>
      <w:r>
        <w:t>Teisingumo Teismas pažymėjo, jog t</w:t>
      </w:r>
      <w:r w:rsidRPr="003B6B5A">
        <w:t>ais atvejais, kai teisės visapusiškai susipažinti su asmens duomenimis įgyvendinimas prieštarauja kitų asmenų teisėms ir laisvėms, reikia užtikrinti nagrinėjamų teisių ir laisvių pusiausvyrą. Kai įmanoma, turėtų būti pasirenkami tokie asmens duomenų perdavimo būdai, kuriais nebūtų pažeistos kitų asmenų teisės ar laisvės, atsižvelgiant į tai, kad, kaip nurodyta BDAR 63 konstatuojamojoje dalyje, tokie argumentai neturėtų „lemti, kad duomenų subjektui būtų atsisakyta suteikti visą informaciją“.</w:t>
      </w:r>
    </w:p>
    <w:p w14:paraId="4D979C9C" w14:textId="77777777" w:rsidR="009976CB" w:rsidRDefault="009976CB" w:rsidP="009976CB">
      <w:pPr>
        <w:ind w:firstLine="567"/>
      </w:pPr>
      <w:r>
        <w:t>P</w:t>
      </w:r>
      <w:r w:rsidRPr="003B6B5A">
        <w:t xml:space="preserve">rašymą priimti prejudicinį sprendimą pateikęs teismas </w:t>
      </w:r>
      <w:r>
        <w:t>taip pat</w:t>
      </w:r>
      <w:r w:rsidRPr="003B6B5A">
        <w:t xml:space="preserve"> siek</w:t>
      </w:r>
      <w:r>
        <w:t>ė</w:t>
      </w:r>
      <w:r w:rsidRPr="003B6B5A">
        <w:t xml:space="preserve"> išsiaiškinti, ar BDAR 15</w:t>
      </w:r>
      <w:r>
        <w:t> </w:t>
      </w:r>
      <w:r w:rsidRPr="003B6B5A">
        <w:t>straipsnio 3</w:t>
      </w:r>
      <w:r>
        <w:t> </w:t>
      </w:r>
      <w:r w:rsidRPr="003B6B5A">
        <w:t xml:space="preserve">dalies trečias sakinys turi būti aiškinamas taip, kad jame vartojama sąvoka „informacija“ </w:t>
      </w:r>
      <w:r w:rsidRPr="003B6B5A">
        <w:lastRenderedPageBreak/>
        <w:t>susijusi tik su asmens duomenimis, kurių kopiją pagal šios dalies pirmą sakinį turi pateikti duomenų valdytojas, ar ji taip pat apima visą šio straipsnio 1 dalyje nurodytą informaciją, t. y. net ir kitus elementus, kaip antai metaduomenis.</w:t>
      </w:r>
    </w:p>
    <w:p w14:paraId="4C5FE397" w14:textId="77777777" w:rsidR="009976CB" w:rsidRDefault="009976CB" w:rsidP="009976CB">
      <w:pPr>
        <w:ind w:firstLine="567"/>
      </w:pPr>
      <w:r>
        <w:t xml:space="preserve">Teisingumo Teismas nusprendė, jog </w:t>
      </w:r>
      <w:r w:rsidRPr="00D26E09">
        <w:t>BDAR 15 straipsnio 3 dalies trečia</w:t>
      </w:r>
      <w:r>
        <w:t>me</w:t>
      </w:r>
      <w:r w:rsidRPr="00D26E09">
        <w:t xml:space="preserve"> sakiny</w:t>
      </w:r>
      <w:r>
        <w:t xml:space="preserve">je </w:t>
      </w:r>
      <w:r w:rsidRPr="00D26E09">
        <w:t>vartojama sąvoka „informacija“ susijusi tik su asmens duomenimis, kurių kopiją pagal šios dalies pirmą sakinį turi pateikti duomenų valdytojas.</w:t>
      </w:r>
      <w:r>
        <w:t xml:space="preserve"> </w:t>
      </w:r>
    </w:p>
    <w:p w14:paraId="15AAE64F" w14:textId="77777777" w:rsidR="009976CB" w:rsidRPr="006A183E" w:rsidRDefault="00000000" w:rsidP="009976CB">
      <w:pPr>
        <w:ind w:firstLine="567"/>
      </w:pPr>
      <w:hyperlink r:id="rId17" w:history="1">
        <w:r w:rsidR="009976CB" w:rsidRPr="003B6B5A">
          <w:rPr>
            <w:rStyle w:val="Hipersaitas"/>
          </w:rPr>
          <w:t>Prieiga internete</w:t>
        </w:r>
      </w:hyperlink>
    </w:p>
    <w:p w14:paraId="1E86C266" w14:textId="77777777" w:rsidR="00703818" w:rsidRDefault="00703818" w:rsidP="005D34B8">
      <w:pPr>
        <w:rPr>
          <w:rFonts w:eastAsia="Times New Roman" w:cs="Calibri"/>
          <w:lang w:eastAsia="lt-LT"/>
        </w:rPr>
      </w:pPr>
    </w:p>
    <w:p w14:paraId="727D1AC2" w14:textId="77777777" w:rsidR="009976CB" w:rsidRPr="00344EA2" w:rsidRDefault="009976CB" w:rsidP="009976CB">
      <w:pPr>
        <w:pStyle w:val="Antrat1"/>
      </w:pPr>
      <w:bookmarkStart w:id="41" w:name="_Toc110010969"/>
      <w:bookmarkStart w:id="42" w:name="_Toc148375066"/>
      <w:r w:rsidRPr="00344EA2">
        <w:t>VARTOTOJAI</w:t>
      </w:r>
      <w:bookmarkEnd w:id="41"/>
      <w:bookmarkEnd w:id="42"/>
    </w:p>
    <w:p w14:paraId="4478729F" w14:textId="77777777" w:rsidR="009976CB" w:rsidRDefault="009976CB" w:rsidP="009976CB"/>
    <w:p w14:paraId="5BD21833" w14:textId="77777777" w:rsidR="009976CB" w:rsidRPr="00250E4D" w:rsidRDefault="009976CB" w:rsidP="009976CB">
      <w:pPr>
        <w:pStyle w:val="Antrat2"/>
        <w:rPr>
          <w:color w:val="323E4F" w:themeColor="text2" w:themeShade="BF"/>
        </w:rPr>
      </w:pPr>
      <w:bookmarkStart w:id="43" w:name="_Toc148375067"/>
      <w:r w:rsidRPr="00250E4D">
        <w:rPr>
          <w:color w:val="323E4F" w:themeColor="text2" w:themeShade="BF"/>
        </w:rPr>
        <w:t xml:space="preserve">2023 m. birželio 29 d. sprendimas byloje </w:t>
      </w:r>
      <w:r w:rsidRPr="00045121">
        <w:rPr>
          <w:i/>
          <w:iCs w:val="0"/>
          <w:color w:val="323E4F" w:themeColor="text2" w:themeShade="BF"/>
        </w:rPr>
        <w:t>Verband Sozialer Wettbewerb (Contenants consignés)</w:t>
      </w:r>
      <w:r w:rsidRPr="00250E4D">
        <w:rPr>
          <w:color w:val="323E4F" w:themeColor="text2" w:themeShade="BF"/>
        </w:rPr>
        <w:t>, C-543/21</w:t>
      </w:r>
      <w:bookmarkEnd w:id="43"/>
    </w:p>
    <w:p w14:paraId="25F73F96" w14:textId="77777777" w:rsidR="009976CB" w:rsidRPr="00250E4D" w:rsidRDefault="009976CB" w:rsidP="009976CB">
      <w:pPr>
        <w:ind w:firstLine="567"/>
        <w:jc w:val="center"/>
        <w:rPr>
          <w:rFonts w:cs="Calibri"/>
          <w:b/>
          <w:bCs/>
          <w:i/>
          <w:shd w:val="clear" w:color="auto" w:fill="FFFFFF"/>
        </w:rPr>
      </w:pPr>
    </w:p>
    <w:p w14:paraId="194F15EA" w14:textId="77777777" w:rsidR="009976CB" w:rsidRPr="00250E4D" w:rsidRDefault="009976CB" w:rsidP="009976CB">
      <w:pPr>
        <w:tabs>
          <w:tab w:val="left" w:pos="6379"/>
        </w:tabs>
        <w:ind w:firstLine="540"/>
        <w:rPr>
          <w:rFonts w:cs="Calibri"/>
          <w:iCs/>
        </w:rPr>
      </w:pPr>
      <w:r w:rsidRPr="00250E4D">
        <w:rPr>
          <w:rFonts w:cs="Calibri"/>
          <w:iCs/>
        </w:rPr>
        <w:t>Vartotojų apsauga – Prekių kainų nurodymas – Direktyva 98/6/EB – 2 straipsnio a punktas – Sąvoka „pardavimo kaina“ – Prekės, parduodamos supakuotos į grąžinamą tarą – Nacionalinės teisės aktai, pagal kuriuos užstato sumą privaloma nurodyti atskirai nuo pardavimo kainos</w:t>
      </w:r>
    </w:p>
    <w:p w14:paraId="0A08833C" w14:textId="77777777" w:rsidR="009976CB" w:rsidRPr="00250E4D" w:rsidRDefault="009976CB" w:rsidP="009976CB">
      <w:pPr>
        <w:tabs>
          <w:tab w:val="left" w:pos="6379"/>
        </w:tabs>
        <w:ind w:firstLine="540"/>
        <w:jc w:val="center"/>
        <w:rPr>
          <w:rFonts w:cs="Calibri"/>
          <w:b/>
        </w:rPr>
      </w:pPr>
    </w:p>
    <w:p w14:paraId="039F4461" w14:textId="77777777" w:rsidR="009976CB" w:rsidRPr="00250E4D" w:rsidRDefault="009976CB" w:rsidP="009976CB">
      <w:pPr>
        <w:tabs>
          <w:tab w:val="left" w:pos="6379"/>
        </w:tabs>
        <w:jc w:val="center"/>
        <w:rPr>
          <w:rFonts w:cs="Calibri"/>
          <w:b/>
        </w:rPr>
      </w:pPr>
      <w:r w:rsidRPr="00250E4D">
        <w:rPr>
          <w:rFonts w:cs="Calibri"/>
          <w:b/>
        </w:rPr>
        <w:t>Bylos aplinkybės</w:t>
      </w:r>
    </w:p>
    <w:p w14:paraId="100EFDD4" w14:textId="77777777" w:rsidR="009976CB" w:rsidRPr="00250E4D" w:rsidRDefault="009976CB" w:rsidP="009976CB">
      <w:pPr>
        <w:shd w:val="clear" w:color="auto" w:fill="FFFFFF"/>
        <w:tabs>
          <w:tab w:val="left" w:pos="2655"/>
        </w:tabs>
        <w:ind w:firstLine="567"/>
        <w:rPr>
          <w:rFonts w:eastAsia="Times New Roman" w:cs="Calibri"/>
          <w:b/>
          <w:bCs/>
          <w:lang w:eastAsia="lt-LT"/>
        </w:rPr>
      </w:pPr>
    </w:p>
    <w:p w14:paraId="2A2C7786" w14:textId="77777777" w:rsidR="009976CB" w:rsidRPr="00250E4D" w:rsidRDefault="009976CB" w:rsidP="009976CB">
      <w:pPr>
        <w:ind w:firstLine="567"/>
        <w:rPr>
          <w:rFonts w:cs="Calibri"/>
          <w:iCs/>
          <w:shd w:val="clear" w:color="auto" w:fill="FFFFFF"/>
        </w:rPr>
      </w:pPr>
      <w:r w:rsidRPr="00250E4D">
        <w:rPr>
          <w:rFonts w:cs="Calibri"/>
          <w:iCs/>
          <w:shd w:val="clear" w:color="auto" w:fill="FFFFFF"/>
        </w:rPr>
        <w:t>Prašymas priimti prejudicinį sprendimą pateiktas dėl Direktyvos 98/6/EB</w:t>
      </w:r>
      <w:r w:rsidRPr="00250E4D">
        <w:rPr>
          <w:rFonts w:cs="Calibri"/>
          <w:iCs/>
          <w:shd w:val="clear" w:color="auto" w:fill="FFFFFF"/>
          <w:vertAlign w:val="superscript"/>
        </w:rPr>
        <w:footnoteReference w:id="13"/>
      </w:r>
      <w:r w:rsidRPr="00250E4D">
        <w:rPr>
          <w:rFonts w:cs="Calibri"/>
          <w:iCs/>
          <w:shd w:val="clear" w:color="auto" w:fill="FFFFFF"/>
        </w:rPr>
        <w:t xml:space="preserve"> (toliau – Direktyva) 2 straipsnio a punkto, nagrinėjant asociacijos </w:t>
      </w:r>
      <w:r w:rsidRPr="00250E4D">
        <w:rPr>
          <w:rFonts w:cs="Calibri"/>
          <w:i/>
          <w:shd w:val="clear" w:color="auto" w:fill="FFFFFF"/>
        </w:rPr>
        <w:t>Verband Sozialer Wettbewerb eV</w:t>
      </w:r>
      <w:r w:rsidRPr="00250E4D">
        <w:rPr>
          <w:rFonts w:cs="Calibri"/>
          <w:iCs/>
          <w:shd w:val="clear" w:color="auto" w:fill="FFFFFF"/>
        </w:rPr>
        <w:t>, kurios tikslas – užtikrinti konkurencijos teisės laikymąsi, ir maisto produktus platinančios komercinės bendrovės ginčą dėl įpareigojimo ar neįpareigojimo įtraukti vartotojų mokėtino užstato sumą į prekių, supakuotų į grąžinamą tarą, pardavimo kainą.</w:t>
      </w:r>
    </w:p>
    <w:p w14:paraId="06F20A6D" w14:textId="77777777" w:rsidR="009976CB" w:rsidRPr="00250E4D" w:rsidRDefault="009976CB" w:rsidP="009976CB">
      <w:pPr>
        <w:ind w:firstLine="567"/>
        <w:rPr>
          <w:rFonts w:cs="Calibri"/>
          <w:iCs/>
          <w:shd w:val="clear" w:color="auto" w:fill="FFFFFF"/>
        </w:rPr>
      </w:pPr>
      <w:r w:rsidRPr="00250E4D">
        <w:rPr>
          <w:rFonts w:cs="Calibri"/>
          <w:iCs/>
          <w:shd w:val="clear" w:color="auto" w:fill="FFFFFF"/>
        </w:rPr>
        <w:t>Bendrovė pradėjo reklamuoti gėrimus ir jogurtą, išpilstytus į stiklinius butelius ir indelius, kuriuos galima grąžinti už užstatą, lankstinuke, kuriame užstato už šią tarą dydis buvo nurodytas papildomais žodžiais „ir &lt;...&gt; EUR užstatas“. Manydama, kad tokia reklama yra neteisėta, nes joje nenurodyta bendra prekių kaina (su užstatu), asociacija teismo prašė nutraukti tokią reklamą. Bylai pasiekus aukščiausiąjį teismą, šiam kilo klausimas, ar sąvoka „pardavimo kaina“ apima užstato, kurį vartotojas turi sumokėti pirkdamas prekes, supakuotas į tarą, kuri įtraukta į užstato sistemą, sumą.</w:t>
      </w:r>
    </w:p>
    <w:p w14:paraId="0E86BAA9" w14:textId="77777777" w:rsidR="009976CB" w:rsidRPr="00250E4D" w:rsidRDefault="009976CB" w:rsidP="009976CB">
      <w:pPr>
        <w:ind w:firstLine="567"/>
        <w:rPr>
          <w:color w:val="000000"/>
          <w:shd w:val="clear" w:color="auto" w:fill="FFFFFF"/>
        </w:rPr>
      </w:pPr>
    </w:p>
    <w:p w14:paraId="61B3AEAC" w14:textId="77777777" w:rsidR="009976CB" w:rsidRPr="00250E4D" w:rsidRDefault="009976CB" w:rsidP="009976CB">
      <w:pPr>
        <w:jc w:val="center"/>
        <w:rPr>
          <w:b/>
          <w:bCs/>
          <w:color w:val="000000"/>
          <w:shd w:val="clear" w:color="auto" w:fill="FFFFFF"/>
        </w:rPr>
      </w:pPr>
      <w:r w:rsidRPr="00250E4D">
        <w:rPr>
          <w:b/>
          <w:bCs/>
          <w:color w:val="000000"/>
          <w:shd w:val="clear" w:color="auto" w:fill="FFFFFF"/>
        </w:rPr>
        <w:t>Teisingumo Teismo vertinimas</w:t>
      </w:r>
    </w:p>
    <w:p w14:paraId="4540EF0D" w14:textId="77777777" w:rsidR="009976CB" w:rsidRPr="00250E4D" w:rsidRDefault="009976CB" w:rsidP="009976CB">
      <w:pPr>
        <w:ind w:firstLine="567"/>
        <w:rPr>
          <w:rFonts w:cs="Calibri"/>
        </w:rPr>
      </w:pPr>
    </w:p>
    <w:p w14:paraId="671F9525" w14:textId="77777777" w:rsidR="009976CB" w:rsidRPr="00250E4D" w:rsidRDefault="009976CB" w:rsidP="009976CB">
      <w:pPr>
        <w:pStyle w:val="Antrat3"/>
        <w:ind w:firstLine="567"/>
      </w:pPr>
      <w:bookmarkStart w:id="44" w:name="_Toc148375068"/>
      <w:r w:rsidRPr="00250E4D">
        <w:t>Dėl užstato, kurį vartotojas turi sumokėti pirkdamas prekes, sumos įtraukimo į „pardavimo kainą“</w:t>
      </w:r>
      <w:bookmarkEnd w:id="44"/>
    </w:p>
    <w:p w14:paraId="41A99AF6" w14:textId="77777777" w:rsidR="009976CB" w:rsidRPr="00250E4D" w:rsidRDefault="009976CB" w:rsidP="009976CB">
      <w:pPr>
        <w:jc w:val="left"/>
        <w:rPr>
          <w:color w:val="000000"/>
          <w:highlight w:val="yellow"/>
          <w:shd w:val="clear" w:color="auto" w:fill="FFFFFF"/>
        </w:rPr>
      </w:pPr>
    </w:p>
    <w:p w14:paraId="22AAA623" w14:textId="77777777" w:rsidR="009976CB" w:rsidRPr="00250E4D" w:rsidRDefault="009976CB" w:rsidP="009976CB">
      <w:pPr>
        <w:ind w:firstLine="567"/>
        <w:rPr>
          <w:color w:val="000000"/>
          <w:shd w:val="clear" w:color="auto" w:fill="FFFFFF"/>
        </w:rPr>
      </w:pPr>
      <w:r w:rsidRPr="00250E4D">
        <w:rPr>
          <w:color w:val="000000"/>
          <w:shd w:val="clear" w:color="auto" w:fill="FFFFFF"/>
        </w:rPr>
        <w:t xml:space="preserve">Teisingumo Teismas paaiškino, kad, pirma, užstatas negali būti prilyginamas „mokesčiui“, kaip jis suprantamas pagal Direktyvos 2 straipsnio a punktą, nes užstato suma neturi jokių mokesčio požymių; ir antra, į pardavimo kainą, kaip galutinę kainą, būtinai turi būti įtrauktos kainos sudedamosios dalys, kurių neįmanoma išvengti ir kurias galima iš anksto numatyti; šias kainos sudedamąsias dalis vartotojas privalo sumokėti ir jos yra piniginis atlygis įsigyjant atitinkamą prekę. Į grąžinamą tarą supakuota prekė negali būti įsigyta be šios taros, todėl užstato suma yra „neišvengiama pardavimo kainos sudedamoji dalis“, tačiau </w:t>
      </w:r>
      <w:r w:rsidRPr="00250E4D">
        <w:rPr>
          <w:color w:val="000000"/>
          <w:u w:val="single"/>
          <w:shd w:val="clear" w:color="auto" w:fill="FFFFFF"/>
        </w:rPr>
        <w:t>tai, kad vartotojas grąžina tarą pardavimo vietoje, suteikia šiam vartotojui teisę į užstato sumos grąžinimą. Dėl tokios teisės ši suma nėra „privaloma“ vartotojui, todėl negali būti laikoma „galutine“</w:t>
      </w:r>
      <w:r w:rsidRPr="00250E4D">
        <w:rPr>
          <w:color w:val="000000"/>
          <w:shd w:val="clear" w:color="auto" w:fill="FFFFFF"/>
        </w:rPr>
        <w:t>, kaip tai suprantama pagal Direktyvos 2 straipsnio a punktą.</w:t>
      </w:r>
    </w:p>
    <w:p w14:paraId="07B44D3B" w14:textId="77777777" w:rsidR="009976CB" w:rsidRPr="00250E4D" w:rsidRDefault="009976CB" w:rsidP="009976CB">
      <w:pPr>
        <w:ind w:firstLine="567"/>
        <w:rPr>
          <w:color w:val="000000"/>
          <w:shd w:val="clear" w:color="auto" w:fill="FFFFFF"/>
        </w:rPr>
      </w:pPr>
      <w:r w:rsidRPr="00250E4D">
        <w:rPr>
          <w:color w:val="000000"/>
          <w:u w:val="single"/>
          <w:shd w:val="clear" w:color="auto" w:fill="FFFFFF"/>
        </w:rPr>
        <w:t>Nors vartotojas savo noru ir negrąžina grąžinamos taros, todėl su ja susijusi sumokėta suma šiam vartotojui tampa galutine ekonomine našta, vis dėlto užstato grąžinimo sistema reiškia, kad ši suma iš principo gali būti grąžinta, ir tikimasi, kad bus grąžinta</w:t>
      </w:r>
      <w:r w:rsidRPr="00250E4D">
        <w:rPr>
          <w:color w:val="000000"/>
          <w:shd w:val="clear" w:color="auto" w:fill="FFFFFF"/>
        </w:rPr>
        <w:t>. Teisingumo Teismas padarė išvadą, kad užstato, kurį vartotojas turi sumokėti pirkdamas prekę, supakuotą į grąžinamą tarą, suma nėra pardavimo kainos sudedamoji dalis, kaip tai suprantama pagal Direktyvos 2 straipsnio a punktą. Tą patvirtina ir Direktyva siekiami tikslai, t. y. pagerinti vartotojui teikiamos informacijos kokybę ir palengvinti galimybę palyginti prekybininkų vartotojams siūlomų prekių pardavimo kainas.</w:t>
      </w:r>
    </w:p>
    <w:p w14:paraId="2B0392F9" w14:textId="77777777" w:rsidR="009976CB" w:rsidRPr="00250E4D" w:rsidRDefault="009976CB" w:rsidP="009976CB">
      <w:pPr>
        <w:ind w:firstLine="567"/>
        <w:rPr>
          <w:color w:val="000000"/>
          <w:highlight w:val="yellow"/>
          <w:shd w:val="clear" w:color="auto" w:fill="FFFFFF"/>
        </w:rPr>
      </w:pPr>
      <w:r w:rsidRPr="00250E4D">
        <w:rPr>
          <w:color w:val="000000"/>
          <w:u w:val="single"/>
          <w:shd w:val="clear" w:color="auto" w:fill="FFFFFF"/>
        </w:rPr>
        <w:lastRenderedPageBreak/>
        <w:t>Užstato sumos nurodymas atskirai, šalia prekės, supakuotos į grąžinamą tarą, pardavimo kainos, leidžia vartotojams įvertinti ir palyginti prekės kainas bei pasirinkti remiantis paprastu palyginimu</w:t>
      </w:r>
      <w:r w:rsidRPr="00250E4D">
        <w:rPr>
          <w:color w:val="000000"/>
          <w:shd w:val="clear" w:color="auto" w:fill="FFFFFF"/>
        </w:rPr>
        <w:t xml:space="preserve">. Tokiomis aplinkybėmis vidutinis vartotojas, kuris yra pakankamai informuotas ir protingai pastabus bei nuovokus, gali sudėti prekės kainą ir užstato sumą, kad nustatytų bendrą sumą, kurią jis turi sumokėti pirkimo dieną. </w:t>
      </w:r>
      <w:r w:rsidRPr="00250E4D">
        <w:rPr>
          <w:color w:val="000000"/>
          <w:u w:val="single"/>
          <w:shd w:val="clear" w:color="auto" w:fill="FFFFFF"/>
        </w:rPr>
        <w:t>Direktyvos 2 straipsnio a punktas turi būti aiškinamas taip, kad jame esanti sąvoka „pardavimo kaina“ neapima užstato, kurį vartotojas turi sumokėti pirkdamas prekes, supakuotas į tarą, kuri įtraukta į užstato sistemą, sumos</w:t>
      </w:r>
      <w:r w:rsidRPr="00250E4D">
        <w:rPr>
          <w:color w:val="000000"/>
          <w:shd w:val="clear" w:color="auto" w:fill="FFFFFF"/>
        </w:rPr>
        <w:t>.</w:t>
      </w:r>
    </w:p>
    <w:p w14:paraId="432A1952" w14:textId="77777777" w:rsidR="009976CB" w:rsidRDefault="00000000" w:rsidP="009976CB">
      <w:pPr>
        <w:ind w:firstLine="567"/>
        <w:rPr>
          <w:rFonts w:cs="Calibri"/>
          <w:color w:val="0000FF"/>
          <w:u w:val="single"/>
        </w:rPr>
      </w:pPr>
      <w:hyperlink r:id="rId18" w:history="1">
        <w:r w:rsidR="009976CB" w:rsidRPr="00250E4D">
          <w:rPr>
            <w:rFonts w:cs="Calibri"/>
            <w:color w:val="0000FF"/>
            <w:u w:val="single"/>
          </w:rPr>
          <w:t>Prieiga internete</w:t>
        </w:r>
      </w:hyperlink>
    </w:p>
    <w:p w14:paraId="411A47D7" w14:textId="77777777" w:rsidR="009976CB" w:rsidRPr="00250E4D" w:rsidRDefault="009976CB" w:rsidP="009976CB">
      <w:pPr>
        <w:ind w:firstLine="567"/>
        <w:rPr>
          <w:rFonts w:cs="Calibri"/>
          <w:u w:val="single"/>
        </w:rPr>
      </w:pPr>
    </w:p>
    <w:p w14:paraId="2842CFE9" w14:textId="77777777" w:rsidR="009976CB" w:rsidRPr="00250E4D" w:rsidRDefault="009976CB" w:rsidP="009976CB">
      <w:pPr>
        <w:pStyle w:val="Antrat2"/>
        <w:rPr>
          <w:color w:val="323E4F" w:themeColor="text2" w:themeShade="BF"/>
        </w:rPr>
      </w:pPr>
      <w:bookmarkStart w:id="45" w:name="_Toc148375069"/>
      <w:r w:rsidRPr="00250E4D">
        <w:rPr>
          <w:color w:val="323E4F" w:themeColor="text2" w:themeShade="BF"/>
        </w:rPr>
        <w:t xml:space="preserve">2023 m. sausio 12 d. sprendimas byloje </w:t>
      </w:r>
      <w:r w:rsidRPr="00250E4D">
        <w:rPr>
          <w:i/>
          <w:iCs w:val="0"/>
          <w:color w:val="323E4F" w:themeColor="text2" w:themeShade="BF"/>
        </w:rPr>
        <w:t>D.V. (Honoraires d’avocat - Principe du tarif horaire)</w:t>
      </w:r>
      <w:r w:rsidRPr="00250E4D">
        <w:rPr>
          <w:color w:val="323E4F" w:themeColor="text2" w:themeShade="BF"/>
        </w:rPr>
        <w:t>, C-395/21</w:t>
      </w:r>
      <w:bookmarkEnd w:id="45"/>
    </w:p>
    <w:p w14:paraId="262ED817" w14:textId="77777777" w:rsidR="009976CB" w:rsidRPr="00250E4D" w:rsidRDefault="009976CB" w:rsidP="009976CB">
      <w:pPr>
        <w:ind w:firstLine="567"/>
        <w:jc w:val="center"/>
        <w:rPr>
          <w:rFonts w:cs="Calibri"/>
          <w:b/>
          <w:bCs/>
          <w:i/>
          <w:shd w:val="clear" w:color="auto" w:fill="FFFFFF"/>
        </w:rPr>
      </w:pPr>
    </w:p>
    <w:p w14:paraId="6E24B7E7" w14:textId="77777777" w:rsidR="009976CB" w:rsidRPr="00250E4D" w:rsidRDefault="009976CB" w:rsidP="009976CB">
      <w:pPr>
        <w:tabs>
          <w:tab w:val="left" w:pos="6379"/>
        </w:tabs>
        <w:ind w:firstLine="540"/>
        <w:rPr>
          <w:rFonts w:cs="Calibri"/>
          <w:iCs/>
        </w:rPr>
      </w:pPr>
      <w:r w:rsidRPr="00250E4D">
        <w:rPr>
          <w:rFonts w:cs="Calibri"/>
          <w:iCs/>
        </w:rPr>
        <w:t>Nesąžiningos sąlygos sutartyse su vartotojais – Direktyva 93/13/EEB – Advokato su vartotoju sudaryta teisinių paslaugų teikimo sutartis – 4 straipsnio 2 dalis – Sutarties sąlygų nesąžiningumo vertinimas – Pagrindinį sutarties dalyką sudarančių sąlygų neįtraukimas – Sąlyga, pagal kurią advokato užmokestis mokamas taikant valandinio įkainio principą – 6 straipsnio 1 dalis – Nacionalinio teismo įgaliojimai, kai tam tikra sąlyga kvalifikuojama kaip „nesąžininga“</w:t>
      </w:r>
    </w:p>
    <w:p w14:paraId="11B0190C" w14:textId="77777777" w:rsidR="009976CB" w:rsidRPr="00250E4D" w:rsidRDefault="009976CB" w:rsidP="009976CB">
      <w:pPr>
        <w:tabs>
          <w:tab w:val="left" w:pos="6379"/>
        </w:tabs>
        <w:ind w:firstLine="540"/>
        <w:rPr>
          <w:rFonts w:cs="Calibri"/>
          <w:b/>
        </w:rPr>
      </w:pPr>
    </w:p>
    <w:p w14:paraId="2BBDAC37" w14:textId="77777777" w:rsidR="009976CB" w:rsidRPr="00250E4D" w:rsidRDefault="009976CB" w:rsidP="009976CB">
      <w:pPr>
        <w:tabs>
          <w:tab w:val="left" w:pos="6379"/>
        </w:tabs>
        <w:jc w:val="center"/>
        <w:rPr>
          <w:rFonts w:cs="Calibri"/>
          <w:b/>
        </w:rPr>
      </w:pPr>
      <w:r w:rsidRPr="00250E4D">
        <w:rPr>
          <w:rFonts w:cs="Calibri"/>
          <w:b/>
        </w:rPr>
        <w:t>Bylos aplinkybės</w:t>
      </w:r>
    </w:p>
    <w:p w14:paraId="26847F11" w14:textId="77777777" w:rsidR="009976CB" w:rsidRPr="00250E4D" w:rsidRDefault="009976CB" w:rsidP="009976CB">
      <w:pPr>
        <w:shd w:val="clear" w:color="auto" w:fill="FFFFFF"/>
        <w:tabs>
          <w:tab w:val="left" w:pos="2655"/>
        </w:tabs>
        <w:ind w:firstLine="567"/>
        <w:rPr>
          <w:rFonts w:eastAsia="Times New Roman" w:cs="Calibri"/>
          <w:b/>
          <w:bCs/>
          <w:lang w:eastAsia="lt-LT"/>
        </w:rPr>
      </w:pPr>
    </w:p>
    <w:p w14:paraId="440B74C9" w14:textId="77777777" w:rsidR="009976CB" w:rsidRPr="00250E4D" w:rsidRDefault="009976CB" w:rsidP="009976CB">
      <w:pPr>
        <w:ind w:firstLine="567"/>
        <w:rPr>
          <w:rFonts w:cs="Calibri"/>
          <w:iCs/>
          <w:shd w:val="clear" w:color="auto" w:fill="FFFFFF"/>
        </w:rPr>
      </w:pPr>
      <w:r w:rsidRPr="00250E4D">
        <w:rPr>
          <w:rFonts w:cs="Calibri"/>
          <w:iCs/>
          <w:shd w:val="clear" w:color="auto" w:fill="FFFFFF"/>
        </w:rPr>
        <w:t>Prašymas priimti prejudicinį sprendimą pateiktas dėl Direktyvos 93/13/EEB</w:t>
      </w:r>
      <w:r w:rsidRPr="00250E4D">
        <w:rPr>
          <w:rFonts w:cs="Calibri"/>
          <w:iCs/>
          <w:shd w:val="clear" w:color="auto" w:fill="FFFFFF"/>
          <w:vertAlign w:val="superscript"/>
        </w:rPr>
        <w:footnoteReference w:id="14"/>
      </w:r>
      <w:r w:rsidRPr="00250E4D">
        <w:rPr>
          <w:rFonts w:cs="Calibri"/>
          <w:iCs/>
          <w:shd w:val="clear" w:color="auto" w:fill="FFFFFF"/>
        </w:rPr>
        <w:t xml:space="preserve"> (toliau – Direktyva) 3 straipsnio 1 dalies, 4 straipsnio 2 dalies, 6 straipsnio 1 dalies ir 7 straipsnio 1 dalies išaiškinimo, nagrinėjant advokatės ir jos kliento ginčą dėl suteiktų teisinių paslaugų apmokėjimo.</w:t>
      </w:r>
    </w:p>
    <w:p w14:paraId="068C130C" w14:textId="77777777" w:rsidR="009976CB" w:rsidRPr="00250E4D" w:rsidRDefault="009976CB" w:rsidP="009976CB">
      <w:pPr>
        <w:ind w:firstLine="567"/>
        <w:rPr>
          <w:rFonts w:cs="Calibri"/>
          <w:iCs/>
          <w:shd w:val="clear" w:color="auto" w:fill="FFFFFF"/>
        </w:rPr>
      </w:pPr>
      <w:r w:rsidRPr="00250E4D">
        <w:rPr>
          <w:rFonts w:cs="Calibri"/>
          <w:iCs/>
          <w:shd w:val="clear" w:color="auto" w:fill="FFFFFF"/>
        </w:rPr>
        <w:t>Pagrindinėje byloje klientas, kaip vartotojas, su advokate sudarė penkias atlygintinių teisinių paslaugų teikimo sutartis, pagal kurias advokatės honoraro dydis yra 100 eurų „už kiekvieną klientui teikiamos konsultacijos ar teisinių paslaugų teikimo valandą“, o „nurodyto honoraro dalis sumokama iš karto advokatui pateikus sąskaitą už teisines paslaugas, atsižvelgiant į suteiktų konsultacijų ar teisinių paslaugų teikimo valandas“. Nors klientas sumokėjo užmokesčio avansines įmokas, jis neapmokėjo pateiktos sąskaitos už visas suteiktas paslaugas, dėl ko advokatė kreipėsi į teismą. Bylą pasiekus Lietuvos Aukščiausiajam Teismui, šiam kilo klausimas, pirma, dėl pagrindinį teisinių paslaugų teikimo sutarčių dalyką sudarančioms sąlygoms taikomo skaidrumo reikalavimo ir, antra, dėl pasekmių pripažinus sąlygą, kurioje nustatyta šių paslaugų kaina, nesąžininga.</w:t>
      </w:r>
    </w:p>
    <w:p w14:paraId="46C36689" w14:textId="77777777" w:rsidR="009976CB" w:rsidRPr="00250E4D" w:rsidRDefault="009976CB" w:rsidP="009976CB">
      <w:pPr>
        <w:ind w:firstLine="567"/>
        <w:rPr>
          <w:rFonts w:cs="Calibri"/>
          <w:iCs/>
          <w:highlight w:val="yellow"/>
          <w:shd w:val="clear" w:color="auto" w:fill="FFFFFF"/>
        </w:rPr>
      </w:pPr>
    </w:p>
    <w:p w14:paraId="514171EE" w14:textId="77777777" w:rsidR="009976CB" w:rsidRPr="00250E4D" w:rsidRDefault="009976CB" w:rsidP="009976CB">
      <w:pPr>
        <w:jc w:val="center"/>
        <w:rPr>
          <w:b/>
          <w:bCs/>
          <w:color w:val="000000"/>
          <w:shd w:val="clear" w:color="auto" w:fill="FFFFFF"/>
        </w:rPr>
      </w:pPr>
      <w:r w:rsidRPr="00250E4D">
        <w:rPr>
          <w:b/>
          <w:bCs/>
          <w:color w:val="000000"/>
          <w:shd w:val="clear" w:color="auto" w:fill="FFFFFF"/>
        </w:rPr>
        <w:t>Teisingumo Teismo vertinimas</w:t>
      </w:r>
    </w:p>
    <w:p w14:paraId="56BCA155" w14:textId="77777777" w:rsidR="009976CB" w:rsidRPr="00250E4D" w:rsidRDefault="009976CB" w:rsidP="009976CB">
      <w:pPr>
        <w:ind w:firstLine="567"/>
        <w:jc w:val="center"/>
        <w:rPr>
          <w:b/>
          <w:bCs/>
          <w:color w:val="000000"/>
          <w:shd w:val="clear" w:color="auto" w:fill="FFFFFF"/>
        </w:rPr>
      </w:pPr>
    </w:p>
    <w:p w14:paraId="1D862CF9" w14:textId="77777777" w:rsidR="009976CB" w:rsidRPr="00250E4D" w:rsidRDefault="009976CB" w:rsidP="009976CB">
      <w:pPr>
        <w:pStyle w:val="Antrat3"/>
        <w:ind w:firstLine="567"/>
      </w:pPr>
      <w:bookmarkStart w:id="46" w:name="_Toc148375070"/>
      <w:r w:rsidRPr="00250E4D">
        <w:t>Dėl advokato ir vartotojo sudarytos teisinių paslaugų teikimo sutarties atskirai neaptartos sąlygos, kurioje teikiamų paslaugų kaina nustatyta remiantis valandinio įkainio principu, patekimo į Direktyvos taikymo sritį</w:t>
      </w:r>
      <w:bookmarkEnd w:id="46"/>
    </w:p>
    <w:p w14:paraId="3F77FFEF" w14:textId="77777777" w:rsidR="009976CB" w:rsidRDefault="009976CB" w:rsidP="009976CB">
      <w:pPr>
        <w:ind w:firstLine="567"/>
        <w:rPr>
          <w:bCs/>
          <w:color w:val="000000"/>
          <w:shd w:val="clear" w:color="auto" w:fill="FFFFFF"/>
        </w:rPr>
      </w:pPr>
    </w:p>
    <w:p w14:paraId="79A2457E" w14:textId="77777777" w:rsidR="009976CB" w:rsidRPr="00250E4D" w:rsidRDefault="009976CB" w:rsidP="009976CB">
      <w:pPr>
        <w:ind w:firstLine="567"/>
        <w:rPr>
          <w:bCs/>
          <w:color w:val="000000"/>
          <w:shd w:val="clear" w:color="auto" w:fill="FFFFFF"/>
        </w:rPr>
      </w:pPr>
      <w:r w:rsidRPr="00250E4D">
        <w:rPr>
          <w:bCs/>
          <w:color w:val="000000"/>
          <w:shd w:val="clear" w:color="auto" w:fill="FFFFFF"/>
        </w:rPr>
        <w:t xml:space="preserve">Teisingumo Teismas priminė, kad „pagrindinio sutarties dalyko“ sąvoka negali apimti sąlygų, kurios papildo pačią sutartinių santykių esmę apibrėžiančias sąlygas, tačiau </w:t>
      </w:r>
      <w:r w:rsidRPr="00250E4D">
        <w:rPr>
          <w:bCs/>
          <w:color w:val="000000"/>
          <w:u w:val="single"/>
          <w:shd w:val="clear" w:color="auto" w:fill="FFFFFF"/>
        </w:rPr>
        <w:t>sąlyga, kurioje nustatyta įgaliotojo pareiga sumokėti advokato honorarus ir nurodytas jų dydis, yra viena iš sąlygų, kuriose apibrėžiama pati sutartinių santykių esmė, nes akivaizdus šių santykių požymis – atlygintinis teisinių paslaugų teikimas</w:t>
      </w:r>
      <w:r w:rsidRPr="00250E4D">
        <w:rPr>
          <w:bCs/>
          <w:color w:val="000000"/>
          <w:shd w:val="clear" w:color="auto" w:fill="FFFFFF"/>
        </w:rPr>
        <w:t xml:space="preserve">. Todėl ją apima „pagrindinio sutarties dalyko“ sąvoka, kaip ji suprantama pagal Direktyvos 4 straipsnio 2 dalį. Teismas taip pat nurodė, kad tada, </w:t>
      </w:r>
      <w:r w:rsidRPr="00250E4D">
        <w:rPr>
          <w:bCs/>
          <w:color w:val="000000"/>
          <w:u w:val="single"/>
          <w:shd w:val="clear" w:color="auto" w:fill="FFFFFF"/>
        </w:rPr>
        <w:t>kai sutarties sąlyga yra viena iš tų, kurios apibrėžia pačią sutartinių santykių esmę, toks aiškinimas galioja ir tuo atveju, kai ši sąlyga atskirai aptarta, ir tuo atveju, kai ji taip neaptarta</w:t>
      </w:r>
      <w:r w:rsidRPr="00250E4D">
        <w:rPr>
          <w:bCs/>
          <w:color w:val="000000"/>
          <w:shd w:val="clear" w:color="auto" w:fill="FFFFFF"/>
        </w:rPr>
        <w:t>.</w:t>
      </w:r>
    </w:p>
    <w:p w14:paraId="6150F286" w14:textId="77777777" w:rsidR="009976CB" w:rsidRPr="00250E4D" w:rsidRDefault="009976CB" w:rsidP="009976CB">
      <w:pPr>
        <w:ind w:firstLine="567"/>
        <w:rPr>
          <w:bCs/>
          <w:color w:val="000000"/>
          <w:shd w:val="clear" w:color="auto" w:fill="FFFFFF"/>
        </w:rPr>
      </w:pPr>
    </w:p>
    <w:p w14:paraId="7974F357" w14:textId="2A9FF161" w:rsidR="009976CB" w:rsidRPr="00250E4D" w:rsidRDefault="009976CB" w:rsidP="009976CB">
      <w:pPr>
        <w:pStyle w:val="Antrat3"/>
        <w:ind w:firstLine="567"/>
      </w:pPr>
      <w:bookmarkStart w:id="47" w:name="_Toc148375071"/>
      <w:r w:rsidRPr="00250E4D">
        <w:t>Dėl</w:t>
      </w:r>
      <w:r w:rsidR="00935A37">
        <w:t xml:space="preserve"> </w:t>
      </w:r>
      <w:r w:rsidRPr="00250E4D">
        <w:t>sąlygos aiškumo ir suprantamumo reikalavimo tenkinimo, kai paslaugų kaina apibrėžiama vien taikomu valandiniu įkainiu</w:t>
      </w:r>
      <w:bookmarkEnd w:id="47"/>
    </w:p>
    <w:p w14:paraId="16A849B1" w14:textId="77777777" w:rsidR="009976CB" w:rsidRPr="00250E4D" w:rsidRDefault="009976CB" w:rsidP="009976CB">
      <w:pPr>
        <w:ind w:firstLine="567"/>
        <w:rPr>
          <w:bCs/>
          <w:color w:val="000000"/>
          <w:highlight w:val="yellow"/>
          <w:shd w:val="clear" w:color="auto" w:fill="FFFFFF"/>
        </w:rPr>
      </w:pPr>
    </w:p>
    <w:p w14:paraId="511FD328" w14:textId="77777777" w:rsidR="009976CB" w:rsidRPr="00250E4D" w:rsidRDefault="009976CB" w:rsidP="009976CB">
      <w:pPr>
        <w:ind w:firstLine="567"/>
        <w:rPr>
          <w:bCs/>
          <w:color w:val="000000"/>
          <w:shd w:val="clear" w:color="auto" w:fill="FFFFFF"/>
        </w:rPr>
      </w:pPr>
      <w:r w:rsidRPr="00250E4D">
        <w:rPr>
          <w:bCs/>
          <w:color w:val="000000"/>
          <w:shd w:val="clear" w:color="auto" w:fill="FFFFFF"/>
        </w:rPr>
        <w:lastRenderedPageBreak/>
        <w:t>Sutarties sąlygos aiškumo ir suprantamumo reikalavimą reikia suprasti kaip reiškiantį ir tai, kad sutartyje turi būti skaidriai nurodyta, kaip konkrečiai veikia atitinkamoje sąlygoje nurodytas mechanizmas, taip pat prireikus šio mechanizmo ryšys su kitose sąlygose nustatytu mechanizmu, kad šiam vartotojui būtų sudaryta galimybė pagal tikslius ir suprantamus kriterijus numatyti ekonomines pasekmes, kurių jam atsiranda dėl tokios sąlygos. Informacijos apie sutarties sąlygas ir jos sudarymo pasekmes vartotojui pateikimas prieš sudarant sutartį yra ypač svarbus. Būtent remdamasis šia informacija jis nusprendžia, ar nori būti saistomas sąlygų, kurias iš anksto suformuluoja verslininkas.</w:t>
      </w:r>
    </w:p>
    <w:p w14:paraId="4CF486CA" w14:textId="77777777" w:rsidR="009976CB" w:rsidRPr="00250E4D" w:rsidRDefault="009976CB" w:rsidP="009976CB">
      <w:pPr>
        <w:ind w:firstLine="567"/>
        <w:rPr>
          <w:bCs/>
          <w:color w:val="000000"/>
          <w:shd w:val="clear" w:color="auto" w:fill="FFFFFF"/>
        </w:rPr>
      </w:pPr>
      <w:r w:rsidRPr="00250E4D">
        <w:rPr>
          <w:bCs/>
          <w:color w:val="000000"/>
          <w:shd w:val="clear" w:color="auto" w:fill="FFFFFF"/>
        </w:rPr>
        <w:t xml:space="preserve">Nagrinėtu atveju sąlygoje dėl kainos tik nurodyta, kad advokato honoraro dydis yra 100 eurų už kiekvieną teisinių paslaugų teikimo valandą. Kadangi advokatas jokios kitos informacijos nepateikia, </w:t>
      </w:r>
      <w:r w:rsidRPr="00250E4D">
        <w:rPr>
          <w:bCs/>
          <w:color w:val="000000"/>
          <w:u w:val="single"/>
          <w:shd w:val="clear" w:color="auto" w:fill="FFFFFF"/>
        </w:rPr>
        <w:t>toks kainos nustatymo mechanizmas neleidžia vidutiniam pakankamai informuotam ir protingai pastabiam bei nuovokiam vartotojui įvertinti dėl šios sąlygos atsirandančių finansinių pasekmių, t. y. sužinoti bendros už šias paslaugas mokėtinos sumos</w:t>
      </w:r>
      <w:r w:rsidRPr="00250E4D">
        <w:rPr>
          <w:bCs/>
          <w:color w:val="000000"/>
          <w:shd w:val="clear" w:color="auto" w:fill="FFFFFF"/>
        </w:rPr>
        <w:t xml:space="preserve">. </w:t>
      </w:r>
      <w:r w:rsidRPr="00250E4D">
        <w:rPr>
          <w:bCs/>
          <w:color w:val="000000"/>
          <w:u w:val="single"/>
          <w:shd w:val="clear" w:color="auto" w:fill="FFFFFF"/>
        </w:rPr>
        <w:t>Nors negalima reikalauti, kad verslininkas informuotų vartotoją apie galutines jo prisiimto įsipareigojimo finansines pasekmes (jos priklauso nuo būsimų, nenumatomų ir nuo verslininko valios nepriklausančių įvykių), informacija, kurią jis privalo pateikti prieš sudarant sutartį, turi padėti vartotojui priimti atsargų sprendimą ir suprasti, kad, pirma, tokie įvykiai galimi ir, antra, jie gali turėti įtakos atitinkamo teisinių paslaugų teikimo trukmei</w:t>
      </w:r>
      <w:r w:rsidRPr="00250E4D">
        <w:rPr>
          <w:bCs/>
          <w:color w:val="000000"/>
          <w:shd w:val="clear" w:color="auto" w:fill="FFFFFF"/>
        </w:rPr>
        <w:t>.</w:t>
      </w:r>
    </w:p>
    <w:p w14:paraId="5BE3C461" w14:textId="77777777" w:rsidR="009976CB" w:rsidRPr="00250E4D" w:rsidRDefault="009976CB" w:rsidP="009976CB">
      <w:pPr>
        <w:ind w:firstLine="567"/>
        <w:rPr>
          <w:bCs/>
          <w:color w:val="000000"/>
          <w:highlight w:val="yellow"/>
          <w:shd w:val="clear" w:color="auto" w:fill="FFFFFF"/>
        </w:rPr>
      </w:pPr>
      <w:r w:rsidRPr="00250E4D">
        <w:rPr>
          <w:bCs/>
          <w:color w:val="000000"/>
          <w:shd w:val="clear" w:color="auto" w:fill="FFFFFF"/>
        </w:rPr>
        <w:t xml:space="preserve">Ši informacija, kuri gali skirtis atsižvelgiant į, pirma, teisinių paslaugų sutartyje numatytų paslaugų dalyką ir pobūdį ir, antra, taikytinas profesines ir profesinės etikos taisykles, </w:t>
      </w:r>
      <w:r w:rsidRPr="00250E4D">
        <w:rPr>
          <w:bCs/>
          <w:color w:val="000000"/>
          <w:u w:val="single"/>
          <w:shd w:val="clear" w:color="auto" w:fill="FFFFFF"/>
        </w:rPr>
        <w:t>turi apimti duomenis, padedančius vartotojui apytikriai įvertinti bendrą šių paslaugų kainą</w:t>
      </w:r>
      <w:r w:rsidRPr="00250E4D">
        <w:rPr>
          <w:bCs/>
          <w:color w:val="000000"/>
          <w:shd w:val="clear" w:color="auto" w:fill="FFFFFF"/>
        </w:rPr>
        <w:t>. Tai gali būti numatomų dirbti valandų siekiant suteikti tam tikrą paslaugą skaičiaus ar minimalaus jų skaičiaus prognozė arba įsipareigojimas pagrįstais intervalais atsiųsti sąskaitas ar periodines ataskaitas, kuriose būtų nurodytas dirbtų valandų skaičius.</w:t>
      </w:r>
    </w:p>
    <w:p w14:paraId="4BF1A4A4" w14:textId="77777777" w:rsidR="009976CB" w:rsidRPr="00250E4D" w:rsidRDefault="009976CB" w:rsidP="009976CB">
      <w:pPr>
        <w:ind w:firstLine="567"/>
        <w:rPr>
          <w:bCs/>
          <w:color w:val="000000"/>
          <w:highlight w:val="yellow"/>
          <w:shd w:val="clear" w:color="auto" w:fill="FFFFFF"/>
        </w:rPr>
      </w:pPr>
    </w:p>
    <w:p w14:paraId="1045F488" w14:textId="77777777" w:rsidR="009976CB" w:rsidRPr="00250E4D" w:rsidRDefault="009976CB" w:rsidP="009976CB">
      <w:pPr>
        <w:pStyle w:val="Antrat3"/>
        <w:ind w:firstLine="567"/>
      </w:pPr>
      <w:bookmarkStart w:id="48" w:name="_Toc148375072"/>
      <w:r w:rsidRPr="00250E4D">
        <w:t>Dėl sutarties sąlygos pripažinimo nesąžininga vien dėl skaidrumo reikalavimo nesilaikymo</w:t>
      </w:r>
      <w:bookmarkEnd w:id="48"/>
    </w:p>
    <w:p w14:paraId="66C2CDC9" w14:textId="77777777" w:rsidR="009976CB" w:rsidRPr="00250E4D" w:rsidRDefault="009976CB" w:rsidP="009976CB">
      <w:pPr>
        <w:ind w:firstLine="567"/>
        <w:rPr>
          <w:bCs/>
          <w:color w:val="000000"/>
          <w:highlight w:val="yellow"/>
          <w:shd w:val="clear" w:color="auto" w:fill="FFFFFF"/>
        </w:rPr>
      </w:pPr>
    </w:p>
    <w:p w14:paraId="5A5D83B1" w14:textId="77777777" w:rsidR="009976CB" w:rsidRPr="00250E4D" w:rsidRDefault="009976CB" w:rsidP="009976CB">
      <w:pPr>
        <w:ind w:firstLine="567"/>
        <w:rPr>
          <w:bCs/>
          <w:color w:val="000000"/>
          <w:shd w:val="clear" w:color="auto" w:fill="FFFFFF"/>
        </w:rPr>
      </w:pPr>
      <w:r w:rsidRPr="00250E4D">
        <w:rPr>
          <w:bCs/>
          <w:color w:val="000000"/>
          <w:u w:val="single"/>
          <w:shd w:val="clear" w:color="auto" w:fill="FFFFFF"/>
        </w:rPr>
        <w:t>Kadangi valstybės narės turi diskreciją savo nacionalinėje teisėje numatyti aukštesnį vartotojų apsaugos lygį, pagal Direktyvą, nors joje nereikalaujama, kad su vartotoju sudarytos sutarties neskaidri sąlyga automatiškai būtų pripažinta nesąžininga, nedraudžiama, kad tokia pasekmė kiltų pagal nacionalinę teisę</w:t>
      </w:r>
      <w:r w:rsidRPr="00250E4D">
        <w:rPr>
          <w:bCs/>
          <w:color w:val="000000"/>
          <w:shd w:val="clear" w:color="auto" w:fill="FFFFFF"/>
        </w:rPr>
        <w:t>.</w:t>
      </w:r>
    </w:p>
    <w:p w14:paraId="5091F7D0" w14:textId="77777777" w:rsidR="009976CB" w:rsidRPr="00250E4D" w:rsidRDefault="009976CB" w:rsidP="009976CB">
      <w:pPr>
        <w:ind w:firstLine="567"/>
        <w:rPr>
          <w:bCs/>
          <w:color w:val="000000"/>
          <w:shd w:val="clear" w:color="auto" w:fill="FFFFFF"/>
        </w:rPr>
      </w:pPr>
    </w:p>
    <w:p w14:paraId="0ADCD097" w14:textId="6D521692" w:rsidR="009976CB" w:rsidRPr="00250E4D" w:rsidRDefault="009976CB" w:rsidP="009976CB">
      <w:pPr>
        <w:pStyle w:val="Antrat3"/>
        <w:ind w:firstLine="567"/>
      </w:pPr>
      <w:bookmarkStart w:id="49" w:name="_Toc148375073"/>
      <w:r w:rsidRPr="00250E4D">
        <w:t>Dėl</w:t>
      </w:r>
      <w:r w:rsidR="00113E1F">
        <w:t xml:space="preserve"> </w:t>
      </w:r>
      <w:r w:rsidRPr="00250E4D">
        <w:t>pasekmių panaikinus nesąžininga pripažintą sąlygą</w:t>
      </w:r>
      <w:bookmarkEnd w:id="49"/>
    </w:p>
    <w:p w14:paraId="543AE528" w14:textId="77777777" w:rsidR="009976CB" w:rsidRPr="00250E4D" w:rsidRDefault="009976CB" w:rsidP="009976CB">
      <w:pPr>
        <w:ind w:firstLine="567"/>
        <w:rPr>
          <w:bCs/>
          <w:color w:val="000000"/>
          <w:shd w:val="clear" w:color="auto" w:fill="FFFFFF"/>
        </w:rPr>
      </w:pPr>
    </w:p>
    <w:p w14:paraId="72760120" w14:textId="77777777" w:rsidR="009976CB" w:rsidRPr="00250E4D" w:rsidRDefault="009976CB" w:rsidP="009976CB">
      <w:pPr>
        <w:ind w:firstLine="567"/>
        <w:rPr>
          <w:bCs/>
          <w:color w:val="000000"/>
          <w:shd w:val="clear" w:color="auto" w:fill="FFFFFF"/>
        </w:rPr>
      </w:pPr>
      <w:r w:rsidRPr="00250E4D">
        <w:rPr>
          <w:bCs/>
          <w:color w:val="000000"/>
          <w:shd w:val="clear" w:color="auto" w:fill="FFFFFF"/>
        </w:rPr>
        <w:t xml:space="preserve">Teisingumo Teismas priminė, kad tam tikros sutarties sąlygos pripažinimas nesąžininga turi leisti atkurti teisinę ir faktinę padėtį, kurioje būtų vartotojas, jei nebūtų šios nesąžiningos sąlygos. Sąlygą dėl kainos pripažinus nesąžininga, nacionalinis teismas privalo jos nebetaikyti, nebent tam prieštarautų vartotojas. Padėties, kurioje būtų atsidūręs vartotojas, jei nebūtų buvę šios sąlygos, atkūrimas iš esmės reiškia, įskaitant atvejus, kai paslaugos buvo suteiktos, kad jis atleidžiamas nuo pareigos sumokėti remiantis šia sąlyga nustatytą užmokestį. Taigi tuo atveju, </w:t>
      </w:r>
      <w:r w:rsidRPr="00250E4D">
        <w:rPr>
          <w:bCs/>
          <w:color w:val="000000"/>
          <w:u w:val="single"/>
          <w:shd w:val="clear" w:color="auto" w:fill="FFFFFF"/>
        </w:rPr>
        <w:t>jei prašymą priimti prejudicinį sprendimą pateikęs teismas nuspręstų, kad, taikant atitinkamas vidaus teisės nuostatas, sutartys negali išlikti panaikinus sąlygą dėl kainos, pagal Direktyvos 6 straipsnio 1 dalį nedraudžiama tų sutarčių pripažinti negaliojančiomis, net jeigu dėl to verslininkas negautų jokio atlygio už savo paslaugas. Tik tuo atveju, jei dėl visų sutarčių pripažinimo negaliojančiomis vartotojui kiltų ypač nepalankių pasekmių, dėl kurių jis nukentėtų, prašymą priimti prejudicinį sprendimą pateikęs teismas turi išimtinę galimybę negaliojančia pripažintą nesąžiningą sąlygą pakeisti dispozityviąja arba bendru atitinkamos sutarties šalių susitarimu taikoma nacionalinės teisės nuostata</w:t>
      </w:r>
      <w:r w:rsidRPr="00250E4D">
        <w:rPr>
          <w:bCs/>
          <w:color w:val="000000"/>
          <w:shd w:val="clear" w:color="auto" w:fill="FFFFFF"/>
        </w:rPr>
        <w:t xml:space="preserve">. Vis dėlto svarbu, kad tokia nuostata būtų konkrečiai skirta verslininko su vartotoju sudarytoms sutartims ir turinio aspektu nebūtų tokio bendro pobūdžio, kad ją taikydamas nacionalinis teismas iš esmės pats galėtų nustatyti už suteiktas paslaugas mokėtiną užmokestį. </w:t>
      </w:r>
      <w:r w:rsidRPr="00250E4D">
        <w:rPr>
          <w:bCs/>
          <w:color w:val="000000"/>
          <w:u w:val="single"/>
          <w:shd w:val="clear" w:color="auto" w:fill="FFFFFF"/>
        </w:rPr>
        <w:t>Teismas negali papildyti pagrindinėje byloje nagrinėjamų sutarčių ir pats nustatyti, kaip jis mano, protingo užmokesčio už suteiktas paslaugas dydžio</w:t>
      </w:r>
      <w:r w:rsidRPr="00250E4D">
        <w:rPr>
          <w:bCs/>
          <w:color w:val="000000"/>
          <w:shd w:val="clear" w:color="auto" w:fill="FFFFFF"/>
        </w:rPr>
        <w:t>.</w:t>
      </w:r>
    </w:p>
    <w:p w14:paraId="34162169" w14:textId="77777777" w:rsidR="009976CB" w:rsidRDefault="00000000" w:rsidP="009976CB">
      <w:pPr>
        <w:ind w:firstLine="567"/>
        <w:rPr>
          <w:rFonts w:cs="Calibri"/>
          <w:color w:val="0000FF"/>
          <w:u w:val="single"/>
        </w:rPr>
      </w:pPr>
      <w:hyperlink r:id="rId19" w:history="1">
        <w:r w:rsidR="009976CB" w:rsidRPr="00250E4D">
          <w:rPr>
            <w:rFonts w:cs="Calibri"/>
            <w:color w:val="0000FF"/>
            <w:u w:val="single"/>
          </w:rPr>
          <w:t>Prieiga internete</w:t>
        </w:r>
      </w:hyperlink>
    </w:p>
    <w:p w14:paraId="5E34FE94" w14:textId="77777777" w:rsidR="00703818" w:rsidRDefault="00703818" w:rsidP="005D34B8">
      <w:pPr>
        <w:rPr>
          <w:rFonts w:eastAsia="Times New Roman" w:cs="Calibri"/>
          <w:lang w:eastAsia="lt-LT"/>
        </w:rPr>
      </w:pPr>
    </w:p>
    <w:p w14:paraId="3109D21C" w14:textId="77777777" w:rsidR="000D10D8" w:rsidRPr="00E8511F" w:rsidRDefault="000D10D8" w:rsidP="000D10D8">
      <w:pPr>
        <w:pStyle w:val="Antrat1"/>
        <w:rPr>
          <w:szCs w:val="22"/>
        </w:rPr>
      </w:pPr>
      <w:bookmarkStart w:id="50" w:name="_Toc148375074"/>
      <w:r w:rsidRPr="00E8511F">
        <w:rPr>
          <w:szCs w:val="22"/>
        </w:rPr>
        <w:t>EUROPOS SĄJUNGOS STRUKTŪRINIAI FONDAI</w:t>
      </w:r>
      <w:bookmarkEnd w:id="50"/>
    </w:p>
    <w:p w14:paraId="60CE40BB" w14:textId="77777777" w:rsidR="000D10D8" w:rsidRPr="00E8511F" w:rsidRDefault="000D10D8" w:rsidP="000D10D8">
      <w:pPr>
        <w:jc w:val="center"/>
        <w:rPr>
          <w:rFonts w:cs="Calibri"/>
          <w:b/>
          <w:bCs/>
        </w:rPr>
      </w:pPr>
    </w:p>
    <w:p w14:paraId="6396277D" w14:textId="77777777" w:rsidR="000D10D8" w:rsidRPr="00E8511F" w:rsidRDefault="000D10D8" w:rsidP="000D10D8">
      <w:pPr>
        <w:pStyle w:val="Antrat2"/>
        <w:rPr>
          <w:rFonts w:cstheme="minorHAnsi"/>
          <w:color w:val="323E4F" w:themeColor="text2" w:themeShade="BF"/>
          <w:szCs w:val="22"/>
        </w:rPr>
      </w:pPr>
      <w:bookmarkStart w:id="51" w:name="_Toc148375075"/>
      <w:r w:rsidRPr="00E8511F">
        <w:rPr>
          <w:rFonts w:cstheme="minorHAnsi"/>
          <w:color w:val="323E4F" w:themeColor="text2" w:themeShade="BF"/>
          <w:szCs w:val="22"/>
        </w:rPr>
        <w:lastRenderedPageBreak/>
        <w:t xml:space="preserve">2023 m. kovo 2 d. sprendimas byloje </w:t>
      </w:r>
      <w:r w:rsidRPr="00E8511F">
        <w:rPr>
          <w:rFonts w:cstheme="minorHAnsi"/>
          <w:i/>
          <w:iCs w:val="0"/>
          <w:color w:val="323E4F" w:themeColor="text2" w:themeShade="BF"/>
          <w:szCs w:val="22"/>
        </w:rPr>
        <w:t>Eurocostruzioni</w:t>
      </w:r>
      <w:r w:rsidRPr="00E8511F">
        <w:rPr>
          <w:rFonts w:cstheme="minorHAnsi"/>
          <w:color w:val="323E4F" w:themeColor="text2" w:themeShade="BF"/>
          <w:szCs w:val="22"/>
        </w:rPr>
        <w:t>, C-31/21</w:t>
      </w:r>
      <w:bookmarkEnd w:id="51"/>
    </w:p>
    <w:p w14:paraId="1275D349" w14:textId="77777777" w:rsidR="000D10D8" w:rsidRPr="00E8511F" w:rsidRDefault="000D10D8" w:rsidP="000D10D8">
      <w:pPr>
        <w:jc w:val="center"/>
        <w:rPr>
          <w:rFonts w:cs="Calibri"/>
          <w:b/>
          <w:bCs/>
        </w:rPr>
      </w:pPr>
    </w:p>
    <w:p w14:paraId="4D374813" w14:textId="77777777" w:rsidR="000D10D8" w:rsidRPr="00E8511F" w:rsidRDefault="000D10D8" w:rsidP="000D10D8">
      <w:pPr>
        <w:ind w:firstLine="567"/>
        <w:rPr>
          <w:rFonts w:cs="Calibri"/>
          <w:bCs/>
        </w:rPr>
      </w:pPr>
      <w:r w:rsidRPr="00E8511F">
        <w:rPr>
          <w:rFonts w:cs="Calibri"/>
          <w:bCs/>
        </w:rPr>
        <w:t>Struktūriniai fondai – Reglamentas (EB) Nr. 1685/2000 – Išlaidų tinkamumas finansuoti – Pareiga įrodyti apmokėjimą – Apmokėtos sąskaitos faktūros – Lygiavertės įrodomosios vertės apskaitos dokumentai – Tiesiogiai galutinio naudos gavėjo vykdomi statybos darbai</w:t>
      </w:r>
    </w:p>
    <w:p w14:paraId="5CD4CF5A" w14:textId="77777777" w:rsidR="000D10D8" w:rsidRPr="00E8511F" w:rsidRDefault="000D10D8" w:rsidP="000D10D8">
      <w:pPr>
        <w:ind w:firstLine="567"/>
        <w:rPr>
          <w:rFonts w:cs="Calibri"/>
          <w:bCs/>
        </w:rPr>
      </w:pPr>
    </w:p>
    <w:p w14:paraId="6B23905A" w14:textId="77777777" w:rsidR="000D10D8" w:rsidRPr="00E8511F" w:rsidRDefault="000D10D8" w:rsidP="000D10D8">
      <w:pPr>
        <w:jc w:val="center"/>
        <w:rPr>
          <w:rFonts w:cs="Calibri"/>
          <w:b/>
        </w:rPr>
      </w:pPr>
      <w:r w:rsidRPr="00E8511F">
        <w:rPr>
          <w:rFonts w:cs="Calibri"/>
          <w:b/>
        </w:rPr>
        <w:t>Bylos aplinkybės</w:t>
      </w:r>
    </w:p>
    <w:p w14:paraId="4E65B2AC" w14:textId="77777777" w:rsidR="000D10D8" w:rsidRPr="00E8511F" w:rsidRDefault="000D10D8" w:rsidP="000D10D8">
      <w:pPr>
        <w:jc w:val="center"/>
        <w:rPr>
          <w:rFonts w:cs="Calibri"/>
          <w:bCs/>
        </w:rPr>
      </w:pPr>
    </w:p>
    <w:p w14:paraId="2E845291" w14:textId="77777777" w:rsidR="000D10D8" w:rsidRPr="00E8511F" w:rsidRDefault="000D10D8" w:rsidP="000D10D8">
      <w:pPr>
        <w:ind w:firstLine="567"/>
      </w:pPr>
      <w:r w:rsidRPr="00E8511F">
        <w:t>Pareiškėjui pagrindinėje byloje – statybos sektoriuje veiklą vykdančiai įmonei – skirtas finansavimas viešbučiui ir jam priklausantiems sporto įrenginiams statyti ir įrengti. Dėl galutinio naudos gavėjo savo priemonėmis atliktų darbų nutarime skirti subsidiją jis įpareigotas pateikti su darbų apskaita susijusius dokumentus – statybos darbų žurnalą ir apskaitos registrą. Įmonė atliko numatytus darbus ir pateikė nutarime skirti subsidiją nurodytus dokumentus, tačiau kompetentinga institucija atsisakė išmokėti darbams skirtos subsidijos likutį, motyvuodama, kad įmonė nepateikė sąskaitų faktūrų arba lygiavertės įrodomosios vertės apskaitos dokumentų pagal Reglamento Nr. 1685/2000</w:t>
      </w:r>
      <w:r w:rsidRPr="00E8511F">
        <w:rPr>
          <w:vertAlign w:val="superscript"/>
        </w:rPr>
        <w:footnoteReference w:id="15"/>
      </w:r>
      <w:r w:rsidRPr="00E8511F">
        <w:t xml:space="preserve"> priedo 1 taisyklės 2.1 punktą. Įmonė inicijavo mokėjimo įsakymo procedūrą teisme, prašydama priteisti jai subsidijos likutį.</w:t>
      </w:r>
    </w:p>
    <w:p w14:paraId="2560559A" w14:textId="6B376493" w:rsidR="000D10D8" w:rsidRPr="00E8511F" w:rsidRDefault="000D10D8" w:rsidP="000D10D8">
      <w:pPr>
        <w:ind w:firstLine="567"/>
      </w:pPr>
      <w:r w:rsidRPr="00E8511F">
        <w:t>Bylą nagrinėjantis nacionalinis teismas kreipėsi į ESTT teiraudamasis: 1) ar pagal Reglamentą Nr. 1685/2000 galutinių naudos gavėjų mokėjimai būtinai turi būti pagrįsti apmokėtomis sąskaitomis faktūromis, net tuo atveju, kai finansavimas naudos gavėjui buvo suteiktas tam, kad jis nekilnojamojo turto objektą pastatytų panaudodamas savo medžiagas, įrangą ir darbo jėgą, ar nuo jų galima nukrypti pagal kitą nuostatą nei ta, kuri yra aiškiai numatyta tuomet, kai tokių įrodymų pateikti nėra galimybės, ir kuria reikalaujama pateikti „lygiavertės įrodomosios vertės apskaitos dokumentus“; 2) ar Reglamento Nr. 1685/2000 priedo 1 taisyklės 2.1 punktas turi būti aiškinamas taip, kad galutinio pastato statybos finansavimo gavėjo, statybos darbus atlikusio savo priemonėmis, atveju statybos darbų žurnalas ir apskaitos registras gali būti laikomi „lygiavertės įrodomosios vertės apskaitos dokumentais“, kaip tai suprantama pagal šią nuostatą.</w:t>
      </w:r>
    </w:p>
    <w:p w14:paraId="7BC0AF03" w14:textId="77777777" w:rsidR="000D10D8" w:rsidRPr="00E8511F" w:rsidRDefault="000D10D8" w:rsidP="000D10D8">
      <w:pPr>
        <w:rPr>
          <w:rFonts w:cs="Calibri"/>
          <w:bCs/>
        </w:rPr>
      </w:pPr>
    </w:p>
    <w:p w14:paraId="2A06FD87" w14:textId="77777777" w:rsidR="000D10D8" w:rsidRPr="00E8511F" w:rsidRDefault="000D10D8" w:rsidP="000D10D8">
      <w:pPr>
        <w:jc w:val="center"/>
        <w:rPr>
          <w:rFonts w:cs="Calibri"/>
        </w:rPr>
      </w:pPr>
      <w:r w:rsidRPr="00E8511F">
        <w:rPr>
          <w:rFonts w:cs="Calibri"/>
          <w:b/>
        </w:rPr>
        <w:t>Teisingumo Teismo vertinimas</w:t>
      </w:r>
    </w:p>
    <w:p w14:paraId="6938EC32" w14:textId="77777777" w:rsidR="000D10D8" w:rsidRPr="00E8511F" w:rsidRDefault="000D10D8" w:rsidP="000D10D8">
      <w:pPr>
        <w:rPr>
          <w:rFonts w:cs="Calibri"/>
        </w:rPr>
      </w:pPr>
    </w:p>
    <w:p w14:paraId="47CA374B" w14:textId="77777777" w:rsidR="000D10D8" w:rsidRPr="00E8511F" w:rsidRDefault="000D10D8" w:rsidP="000D10D8">
      <w:pPr>
        <w:pStyle w:val="Antrat3"/>
        <w:ind w:firstLine="567"/>
        <w:rPr>
          <w:rFonts w:cs="Calibri"/>
        </w:rPr>
      </w:pPr>
      <w:bookmarkStart w:id="52" w:name="_Toc148375076"/>
      <w:r w:rsidRPr="00E8511F">
        <w:rPr>
          <w:rFonts w:cs="Calibri"/>
        </w:rPr>
        <w:t xml:space="preserve">Dėl </w:t>
      </w:r>
      <w:r w:rsidRPr="00E8511F">
        <w:rPr>
          <w:rFonts w:eastAsia="Times New Roman" w:cstheme="minorHAnsi"/>
          <w:iCs/>
          <w:color w:val="000000"/>
          <w:lang w:eastAsia="lt-LT"/>
        </w:rPr>
        <w:t>sąvokos</w:t>
      </w:r>
      <w:r w:rsidRPr="00E8511F">
        <w:rPr>
          <w:rFonts w:cs="Calibri"/>
        </w:rPr>
        <w:t xml:space="preserve"> „lygiavertės įrodomosios vertės apskaitos dokumentai“ turinio</w:t>
      </w:r>
      <w:bookmarkEnd w:id="52"/>
    </w:p>
    <w:p w14:paraId="33B81F20" w14:textId="77777777" w:rsidR="000D10D8" w:rsidRPr="00E8511F" w:rsidRDefault="000D10D8" w:rsidP="000D10D8">
      <w:pPr>
        <w:rPr>
          <w:rFonts w:cs="Calibri"/>
          <w:bCs/>
        </w:rPr>
      </w:pPr>
    </w:p>
    <w:p w14:paraId="398ED129" w14:textId="77777777" w:rsidR="000D10D8" w:rsidRPr="00E8511F" w:rsidRDefault="000D10D8" w:rsidP="000D10D8">
      <w:pPr>
        <w:ind w:firstLine="567"/>
      </w:pPr>
      <w:r w:rsidRPr="00E8511F">
        <w:t xml:space="preserve">Teisingumo Teismas pažymėjo, jog iš Reglamento Nr. 1685/2000 priedo 1 taisyklės 2.1 punkto formuluotės matyti, jog tam, kad būtų laikomos tinkamomis finansuoti, </w:t>
      </w:r>
      <w:r w:rsidRPr="00E8511F">
        <w:rPr>
          <w:u w:val="single"/>
        </w:rPr>
        <w:t>galutinių naudos gavėjų patirtos išlaidos „paprastai“ turi būti pagrįstos apmokėtomis sąskaitomis faktūromis, o jeigu to negalima padaryti – lygiavertės įrodomosios vertės apskaitos dokumentais. Žodis „paprastai“ aiškiai reiškia pareigą pateikti apmokėtas sąskaitas faktūras, o lygiavertės įrodomosios vertės apskaitos dokumentų pateikimas yra šios bendrosios taisyklės išimtis. Reglamento Nr. 1685/2000 priedo 1 taisyklės 2.1 punkte nėra numatyta galimybė taikyti kitas išimtis, išskyrus joje aiškiai nurodytąją, kurią reikia aiškinti siaurai</w:t>
      </w:r>
      <w:r w:rsidRPr="00E8511F">
        <w:t>. Toks aiškinimas atitinka patikimo finansų valdymo tikslą, nurodytą Reglamento Nr. 1260/1999</w:t>
      </w:r>
      <w:r w:rsidRPr="00E8511F">
        <w:rPr>
          <w:vertAlign w:val="superscript"/>
        </w:rPr>
        <w:footnoteReference w:id="16"/>
      </w:r>
      <w:r w:rsidRPr="00E8511F">
        <w:t xml:space="preserve"> 35 ir 43 konstatuojamosiose dalyse bei 38 straipsnio 1 dalies c ir d punktuose. Pagal pastarąsias nuostatas valstybės narės, be kita ko, užtikrina, kad joms perduotos lėšos būtų naudojamos laikantis patikimo finansų valdymo principų, o išlaidų deklaracijos būtų rengiamos naudojant apskaitos sistemas pagal patvirtinamuosius dokumentus, kuriuos galima patikrinti.</w:t>
      </w:r>
    </w:p>
    <w:p w14:paraId="36FAF720" w14:textId="77777777" w:rsidR="000D10D8" w:rsidRPr="00E8511F" w:rsidRDefault="000D10D8" w:rsidP="000D10D8">
      <w:pPr>
        <w:ind w:firstLine="567"/>
      </w:pPr>
      <w:r w:rsidRPr="00E8511F">
        <w:t>ESTT pabrėžė, jog atlyginti galima tik faktiškai patirtas ir tinkamai pagrįstas išlaidas. Bet koks kitas reikalavimo pagrįsti tokias išlaidas aiškinimas gali pakenkti patikimam struktūrinių fondų finansų valdymui. Tai, kad naudos gavėjas statybos darbus atliko savo priemonėmis, jo neatleidžia nuo Reglamentuose Nr. 1260/1999 ir Nr. 1685/2000 numatytų pagrindimo reikalavimų.</w:t>
      </w:r>
    </w:p>
    <w:p w14:paraId="54E7494F" w14:textId="77777777" w:rsidR="000D10D8" w:rsidRPr="00E8511F" w:rsidRDefault="000D10D8" w:rsidP="000D10D8">
      <w:pPr>
        <w:ind w:firstLine="567"/>
      </w:pPr>
      <w:r w:rsidRPr="00E8511F">
        <w:t xml:space="preserve">Vertindamas sąvokos „lygiavertės įrodomosios vertės apskaitos dokumentai“ turinį, ESTT nurodė, jog įprastinė šio žodžių junginio reikšmė bendrinėje kalboje apima bet kokius apskaitos dokumentus, jeigu </w:t>
      </w:r>
      <w:r w:rsidRPr="00E8511F">
        <w:lastRenderedPageBreak/>
        <w:t xml:space="preserve">jie, kaip ir apmokėtos sąskaitos faktūros, įrodo galutinio naudos gavėjo realiai patirtas išlaidas, todėl tokie dokumentai laikomi turinčiais panašią įrodomąją vertę kaip ir apmokėtos sąskaitos faktūros. Reglamento Nr. 1260/1999 32 straipsnio 1 dalies trečios pastraipos antrame sakinyje įtvirtintas reikalavimas, kad tarpiniai mokėjimai ir likučio apmokėjimas būtų susiję su „faktiškai sumokėtomis išlaidomis, kurios turi atitikti galutinių naudos gavėjų mokėjimus“. Siekiant paisyti šio reikalavimo, </w:t>
      </w:r>
      <w:r w:rsidRPr="00E8511F">
        <w:rPr>
          <w:u w:val="single"/>
        </w:rPr>
        <w:t>sąvokos „lygiavertės įrodomosios vertės apskaitos dokumentai“ taikymo sritis turi apimti tik tuos apskaitos dokumentus, kurie įrodo patirtų išlaidų realumą ir teisingai bei tiksliai jas atspindi; jie taip pat turi atitikti atitinkamo galutinio naudos gavėjo atliktus mokėjimus</w:t>
      </w:r>
      <w:r w:rsidRPr="00E8511F">
        <w:t>.</w:t>
      </w:r>
    </w:p>
    <w:p w14:paraId="47F44EDD" w14:textId="77777777" w:rsidR="000D10D8" w:rsidRPr="00E8511F" w:rsidRDefault="000D10D8" w:rsidP="000D10D8">
      <w:pPr>
        <w:ind w:firstLine="567"/>
      </w:pPr>
      <w:r w:rsidRPr="00E8511F">
        <w:t xml:space="preserve">Šiuo aspektu taip pat akcentuota, kad kvietime teikti paraiškas, apibrėžiant tinkamas finansuoti išlaidas, buvo padaryta aiški nuoroda į Reglamentą Nr. 1685/2000. Todėl tai, kad nutarime skirti subsidiją nebuvo įpareigojimo pateikti apmokėtas sąskaitas faktūras ir (arba) lygiavertės įrodomosios vertės apskaitos dokumentus statybos darbų išlaidoms pagrįsti, neturi įtakos minėto reglamento taikymui. </w:t>
      </w:r>
    </w:p>
    <w:p w14:paraId="02825519" w14:textId="77777777" w:rsidR="000D10D8" w:rsidRPr="00E8511F" w:rsidRDefault="000D10D8" w:rsidP="000D10D8">
      <w:pPr>
        <w:ind w:firstLine="567"/>
      </w:pPr>
      <w:r w:rsidRPr="00E8511F">
        <w:t>Atsižvelgęs į nustatytas aplinkybes, ESTT konstatavo, jog prašymą priimti prejudicinį sprendimą pateikęs teismas turi patikrinti, ar pareiškėjas pagrindinėje byloje galėjo patirtas išlaidas pagrįsti apmokėtomis sąskaitomis faktūromis, o jei tokios galimybės nebuvo, – įvertinti, ar pateiktus statybos darbų žurnalą ir apskaitos registrą (atsižvelgiant į jų konkretų turinį ir atitinkamas nacionalines nuostatas) galima laikyti „lygiavertės įrodomosios vertės apskaitos dokumentais“. Taip būtų galima konstatuoti tuo atveju, jei šie dokumentai įrodytų realiai patirtas išlaidas, atitinkančias atliktus mokėjimus, taip pat teisingai ir tiksliai tas išlaidas atspindėtų; ir priešingai – jei statybos darbų žurnalas ir apskaitos registras apsiribotų tik darbų eigos ataskaita, nurodant tik išankstinį darbų apimties nustatymą pagal standartinį kainoraštį, kuris yra abstraktus ir objektyviai nesusijęs su faktinėmis išlaidomis, šių dokumentų nebūtų galima laikyti „lygiavertės įrodomosios vertės apskaitos dokumentais“, kaip tai suprantama pagal Reglamento Nr. 1685/2000 priedo 1 taisyklės 2.1 punktą.</w:t>
      </w:r>
    </w:p>
    <w:p w14:paraId="5D074745" w14:textId="77777777" w:rsidR="000D10D8" w:rsidRPr="00E8511F" w:rsidRDefault="00000000" w:rsidP="000D10D8">
      <w:pPr>
        <w:ind w:firstLine="567"/>
        <w:rPr>
          <w:rFonts w:cs="Calibri"/>
          <w:bCs/>
        </w:rPr>
      </w:pPr>
      <w:hyperlink r:id="rId20" w:history="1">
        <w:r w:rsidR="000D10D8" w:rsidRPr="00E8511F">
          <w:rPr>
            <w:rFonts w:cs="Calibri"/>
            <w:bCs/>
            <w:color w:val="0563C1"/>
            <w:u w:val="single"/>
          </w:rPr>
          <w:t>Prieiga internete</w:t>
        </w:r>
      </w:hyperlink>
    </w:p>
    <w:p w14:paraId="49A2CA9C" w14:textId="77777777" w:rsidR="00703818" w:rsidRDefault="00703818" w:rsidP="005D34B8">
      <w:pPr>
        <w:rPr>
          <w:rFonts w:eastAsia="Times New Roman" w:cs="Calibri"/>
          <w:lang w:eastAsia="lt-LT"/>
        </w:rPr>
      </w:pPr>
    </w:p>
    <w:p w14:paraId="591B7FFC" w14:textId="77777777" w:rsidR="00E22B2B" w:rsidRPr="00D30F5E" w:rsidRDefault="00E22B2B" w:rsidP="00E22B2B">
      <w:pPr>
        <w:pStyle w:val="Antrat1"/>
        <w:rPr>
          <w:szCs w:val="22"/>
        </w:rPr>
      </w:pPr>
      <w:bookmarkStart w:id="53" w:name="_Toc134800676"/>
      <w:bookmarkStart w:id="54" w:name="_Toc148375077"/>
      <w:r w:rsidRPr="00D30F5E">
        <w:rPr>
          <w:szCs w:val="22"/>
        </w:rPr>
        <w:t>VALSTYBĖS PAGALBA</w:t>
      </w:r>
      <w:bookmarkEnd w:id="53"/>
      <w:bookmarkEnd w:id="54"/>
    </w:p>
    <w:p w14:paraId="0F09C376" w14:textId="77777777" w:rsidR="00E22B2B" w:rsidRPr="00D30F5E" w:rsidRDefault="00E22B2B" w:rsidP="00E22B2B">
      <w:pPr>
        <w:rPr>
          <w:rFonts w:asciiTheme="minorHAnsi" w:hAnsiTheme="minorHAnsi" w:cstheme="minorHAnsi"/>
          <w:lang w:eastAsia="lt-LT"/>
        </w:rPr>
      </w:pPr>
    </w:p>
    <w:p w14:paraId="049C4257" w14:textId="24DD5D73" w:rsidR="00E22B2B" w:rsidRPr="00D30F5E" w:rsidRDefault="00E22B2B" w:rsidP="00E22B2B">
      <w:pPr>
        <w:pStyle w:val="Antrat2"/>
        <w:rPr>
          <w:rFonts w:cstheme="minorHAnsi"/>
          <w:color w:val="323E4F" w:themeColor="text2" w:themeShade="BF"/>
          <w:szCs w:val="22"/>
        </w:rPr>
      </w:pPr>
      <w:bookmarkStart w:id="55" w:name="_Toc134800677"/>
      <w:bookmarkStart w:id="56" w:name="_Toc148375078"/>
      <w:r w:rsidRPr="002F568E">
        <w:rPr>
          <w:color w:val="323E4F" w:themeColor="text2" w:themeShade="BF"/>
        </w:rPr>
        <w:t xml:space="preserve">Didžiosios kolegijos 2023 m. sausio 12 d. sprendimas byloje </w:t>
      </w:r>
      <w:r w:rsidR="00100405" w:rsidRPr="00100405">
        <w:rPr>
          <w:i/>
          <w:iCs w:val="0"/>
          <w:color w:val="323E4F" w:themeColor="text2" w:themeShade="BF"/>
        </w:rPr>
        <w:t>DOBELES HES</w:t>
      </w:r>
      <w:r w:rsidRPr="002F568E">
        <w:rPr>
          <w:color w:val="323E4F" w:themeColor="text2" w:themeShade="BF"/>
        </w:rPr>
        <w:t>, C-702/20 ir C-17/21</w:t>
      </w:r>
      <w:r w:rsidRPr="00D30F5E">
        <w:rPr>
          <w:rFonts w:cstheme="minorHAnsi"/>
          <w:color w:val="323E4F" w:themeColor="text2" w:themeShade="BF"/>
          <w:szCs w:val="22"/>
          <w:vertAlign w:val="superscript"/>
        </w:rPr>
        <w:footnoteReference w:id="17"/>
      </w:r>
      <w:bookmarkEnd w:id="55"/>
      <w:bookmarkEnd w:id="56"/>
    </w:p>
    <w:p w14:paraId="79A9A71E" w14:textId="77777777" w:rsidR="00E22B2B" w:rsidRPr="00D30F5E" w:rsidRDefault="00E22B2B" w:rsidP="00E22B2B">
      <w:pPr>
        <w:ind w:firstLine="567"/>
        <w:jc w:val="center"/>
        <w:rPr>
          <w:rFonts w:asciiTheme="minorHAnsi" w:hAnsiTheme="minorHAnsi" w:cstheme="minorHAnsi"/>
          <w:b/>
          <w:bCs/>
          <w:i/>
          <w:shd w:val="clear" w:color="auto" w:fill="FFFFFF"/>
        </w:rPr>
      </w:pPr>
    </w:p>
    <w:p w14:paraId="7C7D2DD8" w14:textId="06EAA1D5" w:rsidR="00E22B2B" w:rsidRPr="00D30F5E" w:rsidRDefault="00E22B2B" w:rsidP="00E22B2B">
      <w:pPr>
        <w:tabs>
          <w:tab w:val="left" w:pos="6379"/>
        </w:tabs>
        <w:ind w:firstLine="540"/>
        <w:rPr>
          <w:rFonts w:asciiTheme="minorHAnsi" w:hAnsiTheme="minorHAnsi" w:cstheme="minorHAnsi"/>
          <w:iCs/>
        </w:rPr>
      </w:pPr>
      <w:r w:rsidRPr="00D30F5E">
        <w:rPr>
          <w:rFonts w:asciiTheme="minorHAnsi" w:hAnsiTheme="minorHAnsi" w:cstheme="minorHAnsi"/>
          <w:color w:val="000000"/>
        </w:rPr>
        <w:t>Valstybės pagalba</w:t>
      </w:r>
      <w:r w:rsidR="002A340A">
        <w:rPr>
          <w:rFonts w:asciiTheme="minorHAnsi" w:hAnsiTheme="minorHAnsi" w:cstheme="minorHAnsi"/>
          <w:color w:val="000000"/>
        </w:rPr>
        <w:t xml:space="preserve"> </w:t>
      </w:r>
      <w:r w:rsidRPr="00D30F5E">
        <w:rPr>
          <w:rFonts w:asciiTheme="minorHAnsi" w:hAnsiTheme="minorHAnsi" w:cstheme="minorHAnsi"/>
          <w:color w:val="000000"/>
        </w:rPr>
        <w:t>– SESV</w:t>
      </w:r>
      <w:r w:rsidR="004268A4">
        <w:rPr>
          <w:rFonts w:asciiTheme="minorHAnsi" w:hAnsiTheme="minorHAnsi" w:cstheme="minorHAnsi"/>
          <w:color w:val="000000"/>
        </w:rPr>
        <w:t xml:space="preserve"> </w:t>
      </w:r>
      <w:r w:rsidRPr="00D30F5E">
        <w:rPr>
          <w:rFonts w:asciiTheme="minorHAnsi" w:hAnsiTheme="minorHAnsi" w:cstheme="minorHAnsi"/>
          <w:color w:val="000000"/>
        </w:rPr>
        <w:t>107 straipsnio 1 dalis</w:t>
      </w:r>
      <w:r w:rsidR="002A340A">
        <w:rPr>
          <w:rFonts w:asciiTheme="minorHAnsi" w:hAnsiTheme="minorHAnsi" w:cstheme="minorHAnsi"/>
          <w:color w:val="000000"/>
        </w:rPr>
        <w:t xml:space="preserve"> </w:t>
      </w:r>
      <w:r w:rsidRPr="00D30F5E">
        <w:rPr>
          <w:rFonts w:asciiTheme="minorHAnsi" w:hAnsiTheme="minorHAnsi" w:cstheme="minorHAnsi"/>
          <w:color w:val="000000"/>
        </w:rPr>
        <w:t>– Nacionalinės teisės aktai, pagal kuriuos viešajam operatoriui nustatyta pareiga vykdyti įsigijimus iš atsinaujinančios energijos gamintojų didesne nei rinkos kaina</w:t>
      </w:r>
      <w:r w:rsidR="002A340A">
        <w:rPr>
          <w:rFonts w:asciiTheme="minorHAnsi" w:hAnsiTheme="minorHAnsi" w:cstheme="minorHAnsi"/>
          <w:color w:val="000000"/>
        </w:rPr>
        <w:t xml:space="preserve"> </w:t>
      </w:r>
      <w:r w:rsidRPr="00D30F5E">
        <w:rPr>
          <w:rFonts w:asciiTheme="minorHAnsi" w:hAnsiTheme="minorHAnsi" w:cstheme="minorHAnsi"/>
          <w:color w:val="000000"/>
        </w:rPr>
        <w:t>– Dalies aptariamos pagalbos neišmokėjimas</w:t>
      </w:r>
      <w:r w:rsidR="002A340A">
        <w:rPr>
          <w:rFonts w:asciiTheme="minorHAnsi" w:hAnsiTheme="minorHAnsi" w:cstheme="minorHAnsi"/>
          <w:color w:val="000000"/>
        </w:rPr>
        <w:t xml:space="preserve"> </w:t>
      </w:r>
      <w:r w:rsidRPr="00D30F5E">
        <w:rPr>
          <w:rFonts w:asciiTheme="minorHAnsi" w:hAnsiTheme="minorHAnsi" w:cstheme="minorHAnsi"/>
          <w:color w:val="000000"/>
        </w:rPr>
        <w:t>– Nauja pagalba</w:t>
      </w:r>
      <w:r w:rsidR="002A340A">
        <w:rPr>
          <w:rFonts w:asciiTheme="minorHAnsi" w:hAnsiTheme="minorHAnsi" w:cstheme="minorHAnsi"/>
          <w:color w:val="000000"/>
        </w:rPr>
        <w:t xml:space="preserve"> </w:t>
      </w:r>
      <w:r w:rsidRPr="00D30F5E">
        <w:rPr>
          <w:rFonts w:asciiTheme="minorHAnsi" w:hAnsiTheme="minorHAnsi" w:cstheme="minorHAnsi"/>
          <w:color w:val="000000"/>
        </w:rPr>
        <w:t>– Pareiga pranešti</w:t>
      </w:r>
      <w:r w:rsidR="002A340A">
        <w:rPr>
          <w:rFonts w:asciiTheme="minorHAnsi" w:hAnsiTheme="minorHAnsi" w:cstheme="minorHAnsi"/>
          <w:color w:val="000000"/>
        </w:rPr>
        <w:t xml:space="preserve"> </w:t>
      </w:r>
      <w:r w:rsidRPr="00D30F5E">
        <w:rPr>
          <w:rFonts w:asciiTheme="minorHAnsi" w:hAnsiTheme="minorHAnsi" w:cstheme="minorHAnsi"/>
          <w:color w:val="000000"/>
        </w:rPr>
        <w:t xml:space="preserve">– </w:t>
      </w:r>
      <w:r w:rsidRPr="00D30F5E">
        <w:rPr>
          <w:rFonts w:asciiTheme="minorHAnsi" w:hAnsiTheme="minorHAnsi" w:cstheme="minorHAnsi"/>
          <w:i/>
          <w:iCs/>
          <w:color w:val="000000"/>
        </w:rPr>
        <w:t>De minimis</w:t>
      </w:r>
      <w:r w:rsidRPr="00D30F5E">
        <w:rPr>
          <w:rFonts w:asciiTheme="minorHAnsi" w:hAnsiTheme="minorHAnsi" w:cstheme="minorHAnsi"/>
          <w:color w:val="000000"/>
        </w:rPr>
        <w:t xml:space="preserve"> pagalba</w:t>
      </w:r>
    </w:p>
    <w:p w14:paraId="6954B2B9" w14:textId="77777777" w:rsidR="00E22B2B" w:rsidRPr="00D30F5E" w:rsidRDefault="00E22B2B" w:rsidP="00E22B2B">
      <w:pPr>
        <w:tabs>
          <w:tab w:val="left" w:pos="6379"/>
        </w:tabs>
        <w:ind w:firstLine="540"/>
        <w:rPr>
          <w:rFonts w:asciiTheme="minorHAnsi" w:hAnsiTheme="minorHAnsi" w:cstheme="minorHAnsi"/>
          <w:iCs/>
        </w:rPr>
      </w:pPr>
    </w:p>
    <w:p w14:paraId="71595BC4" w14:textId="77777777" w:rsidR="00E22B2B" w:rsidRPr="00D30F5E" w:rsidRDefault="00E22B2B" w:rsidP="00E22B2B">
      <w:pPr>
        <w:tabs>
          <w:tab w:val="left" w:pos="6379"/>
        </w:tabs>
        <w:jc w:val="center"/>
        <w:rPr>
          <w:rFonts w:asciiTheme="minorHAnsi" w:hAnsiTheme="minorHAnsi" w:cstheme="minorHAnsi"/>
          <w:b/>
        </w:rPr>
      </w:pPr>
      <w:r w:rsidRPr="00D30F5E">
        <w:rPr>
          <w:rFonts w:asciiTheme="minorHAnsi" w:hAnsiTheme="minorHAnsi" w:cstheme="minorHAnsi"/>
          <w:b/>
        </w:rPr>
        <w:t>Bylos aplinkybės</w:t>
      </w:r>
    </w:p>
    <w:p w14:paraId="0C225203" w14:textId="77777777" w:rsidR="00E22B2B" w:rsidRPr="00D30F5E" w:rsidRDefault="00E22B2B" w:rsidP="00E22B2B">
      <w:pPr>
        <w:pStyle w:val="c01pointnumerotealtn"/>
        <w:shd w:val="clear" w:color="auto" w:fill="FFFFFF"/>
        <w:tabs>
          <w:tab w:val="left" w:pos="2655"/>
        </w:tabs>
        <w:spacing w:before="0" w:beforeAutospacing="0" w:after="0"/>
        <w:ind w:left="0" w:firstLine="540"/>
        <w:rPr>
          <w:rFonts w:asciiTheme="minorHAnsi" w:hAnsiTheme="minorHAnsi" w:cstheme="minorHAnsi"/>
          <w:b/>
          <w:bCs/>
          <w:sz w:val="22"/>
          <w:szCs w:val="22"/>
        </w:rPr>
      </w:pPr>
    </w:p>
    <w:p w14:paraId="1BB0EE78" w14:textId="7D88F646"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iCs/>
          <w:shd w:val="clear" w:color="auto" w:fill="FFFFFF"/>
        </w:rPr>
        <w:t xml:space="preserve">Prašymas priimti prejudicinį sprendimą pateiktas </w:t>
      </w:r>
      <w:r w:rsidRPr="00D30F5E">
        <w:rPr>
          <w:rFonts w:asciiTheme="minorHAnsi" w:hAnsiTheme="minorHAnsi" w:cstheme="minorHAnsi"/>
          <w:color w:val="000000"/>
        </w:rPr>
        <w:t>nagrinėjant atitinkamai „DOBELES HES“ SIA ir „GM“ SIA (toliau kartu</w:t>
      </w:r>
      <w:r w:rsidR="004268A4">
        <w:rPr>
          <w:rFonts w:asciiTheme="minorHAnsi" w:hAnsiTheme="minorHAnsi" w:cstheme="minorHAnsi"/>
          <w:color w:val="000000"/>
        </w:rPr>
        <w:t xml:space="preserve"> </w:t>
      </w:r>
      <w:r w:rsidRPr="00D30F5E">
        <w:rPr>
          <w:rFonts w:asciiTheme="minorHAnsi" w:hAnsiTheme="minorHAnsi" w:cstheme="minorHAnsi"/>
          <w:color w:val="000000"/>
        </w:rPr>
        <w:t>– įmonės pareiškėjos, suinteresuotieji gamintojai) ir</w:t>
      </w:r>
      <w:r w:rsidR="004268A4">
        <w:rPr>
          <w:rFonts w:asciiTheme="minorHAnsi" w:hAnsiTheme="minorHAnsi" w:cstheme="minorHAnsi"/>
          <w:color w:val="000000"/>
        </w:rPr>
        <w:t xml:space="preserve"> </w:t>
      </w:r>
      <w:r w:rsidRPr="00D30F5E">
        <w:rPr>
          <w:rFonts w:asciiTheme="minorHAnsi" w:hAnsiTheme="minorHAnsi" w:cstheme="minorHAnsi"/>
          <w:i/>
          <w:iCs/>
          <w:color w:val="000000"/>
        </w:rPr>
        <w:t>Sabiedrisko pakalpojumu regulēšanas komisija</w:t>
      </w:r>
      <w:r w:rsidR="004268A4">
        <w:rPr>
          <w:rFonts w:asciiTheme="minorHAnsi" w:hAnsiTheme="minorHAnsi" w:cstheme="minorHAnsi"/>
          <w:i/>
          <w:iCs/>
          <w:color w:val="000000"/>
        </w:rPr>
        <w:t xml:space="preserve"> </w:t>
      </w:r>
      <w:r w:rsidRPr="00D30F5E">
        <w:rPr>
          <w:rFonts w:asciiTheme="minorHAnsi" w:hAnsiTheme="minorHAnsi" w:cstheme="minorHAnsi"/>
          <w:color w:val="000000"/>
        </w:rPr>
        <w:t>(Viešųjų paslaugų reguliavimo komisija, Latvija, toliau</w:t>
      </w:r>
      <w:r w:rsidR="004268A4">
        <w:rPr>
          <w:rFonts w:asciiTheme="minorHAnsi" w:hAnsiTheme="minorHAnsi" w:cstheme="minorHAnsi"/>
          <w:color w:val="000000"/>
        </w:rPr>
        <w:t xml:space="preserve"> </w:t>
      </w:r>
      <w:r w:rsidRPr="00D30F5E">
        <w:rPr>
          <w:rFonts w:asciiTheme="minorHAnsi" w:hAnsiTheme="minorHAnsi" w:cstheme="minorHAnsi"/>
          <w:color w:val="000000"/>
        </w:rPr>
        <w:t>– reguliavimo institucija) ginčą dėl patvirtintos skirstymo bendrovės superkamos elektros energijos kainos pernelyg mažo tarifo nustatymo.</w:t>
      </w:r>
    </w:p>
    <w:p w14:paraId="6DB93FF7" w14:textId="77777777" w:rsidR="00E22B2B" w:rsidRPr="00D30F5E" w:rsidRDefault="00E22B2B" w:rsidP="00E22B2B">
      <w:pPr>
        <w:ind w:firstLine="540"/>
        <w:rPr>
          <w:rFonts w:asciiTheme="minorHAnsi" w:hAnsiTheme="minorHAnsi" w:cstheme="minorHAnsi"/>
        </w:rPr>
      </w:pPr>
      <w:r w:rsidRPr="00D30F5E">
        <w:rPr>
          <w:rFonts w:asciiTheme="minorHAnsi" w:hAnsiTheme="minorHAnsi" w:cstheme="minorHAnsi"/>
        </w:rPr>
        <w:t>2005 m. gegužės 5 d. Latvija priėmė įstatymą (galiojo nuo 2005 m. birželio 8 d. iki 2014 m. gruodžio 31 d.), kuriuo keičiama elektros energijos gamintojų pagaminto elektros energijos pertekliaus pardavimo padidintu tarifu tvarka. Tame įstatyme pažymėta, kad elektros energijos iš atsinaujinančių energijos šaltinių gamintojai, kurie tuo metu jau buvo pradėję veiklą, išsaugojo teisę pasinaudoti ankstesnėmis sąlygomis, kurios iš esmės buvo palankesnės, kiek tai susiję su taikomomis pardavimo padidintu tarifu kainomis.</w:t>
      </w:r>
    </w:p>
    <w:p w14:paraId="76D7E6C8" w14:textId="77777777"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rPr>
        <w:t xml:space="preserve">DOBELES HES SIA ir GM SIA yra dvi Latvijos įmonės, eksploatuojančios hidroelektrines, kuriose elektros energija gaminama iš atsinaujinančių energijos šaltinių. Įsigaliojus šiam įstatymui, Latvijos reguliavimo institucija, turinti įgaliojimus nustatyti vidutinį elektros energijos tarifą, tą įstatymą išaiškino taip, kad juo tiems gamintojams užfiksuojamas 2005 m. birželio 7 d. galiojusio dydžio vidutinis elektros energijos pardavimo tarifas. Todėl ši institucija nustojo perskaičiuoti tą tarifą. Tai įmones pareiškėjas </w:t>
      </w:r>
      <w:r w:rsidRPr="00D30F5E">
        <w:rPr>
          <w:rFonts w:asciiTheme="minorHAnsi" w:hAnsiTheme="minorHAnsi" w:cstheme="minorHAnsi"/>
        </w:rPr>
        <w:lastRenderedPageBreak/>
        <w:t xml:space="preserve">paskatino pareikalauti, kad reguliavimo institucija atlygintų „žalą“ ir kompensuotų nuostolius, patirtus dėl to, kad tarifas tapo fiksuotas. Reguliavimo institucija atsisakė tenkinti šiuos reikalavimus, tačiau Latvijos administracinis teismas iš dalies patenkino jų ieškinius. Administracinis teismas </w:t>
      </w:r>
      <w:r w:rsidRPr="00D30F5E">
        <w:rPr>
          <w:rFonts w:asciiTheme="minorHAnsi" w:hAnsiTheme="minorHAnsi" w:cstheme="minorHAnsi"/>
          <w:color w:val="000000"/>
        </w:rPr>
        <w:t>nustatė sąlygą, kad sumos, kurias reguliavimo institucija turi sumokėti kaip valstybės pagalbą, gali būti išmokėtos tik tuo atveju, jeigu Europos Komisija priims sprendimą, kuriuo patvirtinama tokia pagalba. Reguliavimo institucija dėl šių sprendimų pateikė kasacinį skundą Latvijos Aukščiausiajam Teismui, kuriam kilo abejonių ir klausimas, kaip konkrečiai kvalifikuoti ginčijamą žalos atlyginimą, atsižvelgiant į „valstybės pagalbos“ sąvoką, ir, vertinant Komisijos prerogatyvas valstybės pagalbos srityje, kokius reikalavimus, jei reikia, būtina tenkinti, kad tas sumas būtų galima išmokėti. Latvijos Aukščiausiasis Teismas nusprendė sustabdyti bylos nagrinėjimą ir savo ruožtu pateikti Teisingumo Teismui prejudicinius klausimus.</w:t>
      </w:r>
    </w:p>
    <w:p w14:paraId="53BD70D4" w14:textId="77777777" w:rsidR="00E22B2B" w:rsidRPr="00D30F5E" w:rsidRDefault="00E22B2B" w:rsidP="00E22B2B">
      <w:pPr>
        <w:ind w:firstLine="540"/>
        <w:rPr>
          <w:rFonts w:asciiTheme="minorHAnsi" w:hAnsiTheme="minorHAnsi" w:cstheme="minorHAnsi"/>
        </w:rPr>
      </w:pPr>
    </w:p>
    <w:p w14:paraId="259E5DB1" w14:textId="77777777" w:rsidR="00E22B2B" w:rsidRPr="00D30F5E" w:rsidRDefault="00E22B2B" w:rsidP="00E22B2B">
      <w:pPr>
        <w:ind w:firstLine="540"/>
        <w:jc w:val="center"/>
        <w:rPr>
          <w:rFonts w:asciiTheme="minorHAnsi" w:hAnsiTheme="minorHAnsi" w:cstheme="minorHAnsi"/>
          <w:b/>
          <w:bCs/>
        </w:rPr>
      </w:pPr>
      <w:r w:rsidRPr="00D30F5E">
        <w:rPr>
          <w:rFonts w:asciiTheme="minorHAnsi" w:hAnsiTheme="minorHAnsi" w:cstheme="minorHAnsi"/>
          <w:b/>
          <w:bCs/>
        </w:rPr>
        <w:t>Teisingumo Teismo vertinimas</w:t>
      </w:r>
    </w:p>
    <w:p w14:paraId="477D1FA0" w14:textId="77777777" w:rsidR="00E22B2B" w:rsidRPr="00D30F5E" w:rsidRDefault="00E22B2B" w:rsidP="00E22B2B">
      <w:pPr>
        <w:ind w:firstLine="540"/>
        <w:rPr>
          <w:rFonts w:asciiTheme="minorHAnsi" w:hAnsiTheme="minorHAnsi" w:cstheme="minorHAnsi"/>
        </w:rPr>
      </w:pPr>
      <w:r w:rsidRPr="00D30F5E">
        <w:rPr>
          <w:rFonts w:asciiTheme="minorHAnsi" w:hAnsiTheme="minorHAnsi" w:cstheme="minorHAnsi"/>
        </w:rPr>
        <w:t xml:space="preserve"> </w:t>
      </w:r>
    </w:p>
    <w:p w14:paraId="26330C2D" w14:textId="422BE5C2" w:rsidR="00E22B2B" w:rsidRPr="00100405" w:rsidRDefault="00E22B2B" w:rsidP="00100405">
      <w:pPr>
        <w:pStyle w:val="Antrat3"/>
        <w:ind w:firstLine="567"/>
        <w:rPr>
          <w:rFonts w:cstheme="minorHAnsi"/>
          <w:iCs/>
        </w:rPr>
      </w:pPr>
      <w:bookmarkStart w:id="57" w:name="_Toc148375079"/>
      <w:r w:rsidRPr="00D30F5E">
        <w:rPr>
          <w:rFonts w:cstheme="minorHAnsi"/>
          <w:iCs/>
        </w:rPr>
        <w:t xml:space="preserve">Dėl analizuojamos nacionalinės priemonės kvalifikavimo kaip ,,valstybės pagalba“ </w:t>
      </w:r>
      <w:r w:rsidRPr="00100405">
        <w:rPr>
          <w:rFonts w:cstheme="minorHAnsi"/>
          <w:iCs/>
        </w:rPr>
        <w:t>kaip tai suprantama pagal SESV</w:t>
      </w:r>
      <w:r w:rsidR="00DD58F3">
        <w:rPr>
          <w:rFonts w:cstheme="minorHAnsi"/>
          <w:iCs/>
        </w:rPr>
        <w:t xml:space="preserve"> </w:t>
      </w:r>
      <w:r w:rsidRPr="00100405">
        <w:rPr>
          <w:rFonts w:cstheme="minorHAnsi"/>
          <w:iCs/>
        </w:rPr>
        <w:t>107 straipsnio 1 dalį</w:t>
      </w:r>
      <w:bookmarkEnd w:id="57"/>
    </w:p>
    <w:p w14:paraId="0F66E607" w14:textId="77777777" w:rsidR="00E22B2B" w:rsidRPr="00D30F5E" w:rsidRDefault="00E22B2B" w:rsidP="00E22B2B">
      <w:pPr>
        <w:ind w:firstLine="540"/>
        <w:rPr>
          <w:rFonts w:asciiTheme="minorHAnsi" w:hAnsiTheme="minorHAnsi" w:cstheme="minorHAnsi"/>
          <w:color w:val="000000"/>
        </w:rPr>
      </w:pPr>
    </w:p>
    <w:p w14:paraId="79935F8C" w14:textId="4C037BF4"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color w:val="000000"/>
        </w:rPr>
        <w:t>Nagrinėdamas klausimą, ar nacionalinės teisės aktai, pagal kuriuos patvirtinta elektros energijos skirstymo bendrovė įpareigojama pirkti elektros energiją, pagamintą iš atsinaujinančių energijos šaltinių, už didesnę nei rinkos kainą ir kuriuose nustatyta, kad dėl to susidariusios papildomos sąnaudos finansuojamos iš galutinių vartotojų mokamų privalomų mokėjimų, yra priemonė „iš valstybės išteklių“, Teisingumo Teismas priminė, kad lėšos iš mokėjimų, kuriuos iš tiesų turi mokėti apibrėžta asmenų kategorija, gali būti laikomos „valstybės ištekliais“ tik tada, kai toks mokėjimas yra privalomas pagal nacionalinę teisę. Taigi lėšos, gaunamos iš mokesčio ar kitų privalomų mokėjimų pagal nacionalinės teisės aktus ir administruojamos bei paskirstomos pagal šiuos teisės aktus, yra „valstybės ištekliai“, kaip tai suprantama pagal SESV</w:t>
      </w:r>
      <w:r w:rsidR="00356F8F">
        <w:rPr>
          <w:rFonts w:asciiTheme="minorHAnsi" w:hAnsiTheme="minorHAnsi" w:cstheme="minorHAnsi"/>
          <w:color w:val="000000"/>
        </w:rPr>
        <w:t xml:space="preserve"> </w:t>
      </w:r>
      <w:r w:rsidRPr="00D30F5E">
        <w:rPr>
          <w:rFonts w:asciiTheme="minorHAnsi" w:hAnsiTheme="minorHAnsi" w:cstheme="minorHAnsi"/>
          <w:color w:val="000000"/>
        </w:rPr>
        <w:t xml:space="preserve">107 straipsnio 1 dalį. </w:t>
      </w:r>
    </w:p>
    <w:p w14:paraId="25C5893A" w14:textId="1019E0F0"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color w:val="000000"/>
        </w:rPr>
        <w:t xml:space="preserve">Tačiau tai, kad </w:t>
      </w:r>
      <w:r w:rsidRPr="00D30F5E">
        <w:rPr>
          <w:rFonts w:asciiTheme="minorHAnsi" w:hAnsiTheme="minorHAnsi" w:cstheme="minorHAnsi"/>
          <w:color w:val="000000"/>
          <w:u w:val="single"/>
        </w:rPr>
        <w:t>sumos nuolat yra valstybės žinioje, taigi jomis disponuoja kompetentingos nacionalinės valdžios institucijos, pakanka, kad jos būtų kvalifikuojamos kaip „valstybės ištekliai“</w:t>
      </w:r>
      <w:r w:rsidRPr="00D30F5E">
        <w:rPr>
          <w:rFonts w:asciiTheme="minorHAnsi" w:hAnsiTheme="minorHAnsi" w:cstheme="minorHAnsi"/>
          <w:color w:val="000000"/>
        </w:rPr>
        <w:t>. Taigi lėšos, kurias naudojant pagal atitinkamus Latvijos teisės aktus elektros energijos iš atsinaujinančių energijos šaltinių gamintojams taikoma tarifo priemoka, yra „valstybės ištekliai“, kaip tai suprantama pagal SESV</w:t>
      </w:r>
      <w:r w:rsidR="00224E71">
        <w:rPr>
          <w:rFonts w:asciiTheme="minorHAnsi" w:hAnsiTheme="minorHAnsi" w:cstheme="minorHAnsi"/>
          <w:color w:val="000000"/>
        </w:rPr>
        <w:t xml:space="preserve"> </w:t>
      </w:r>
      <w:r w:rsidRPr="00D30F5E">
        <w:rPr>
          <w:rFonts w:asciiTheme="minorHAnsi" w:hAnsiTheme="minorHAnsi" w:cstheme="minorHAnsi"/>
          <w:color w:val="000000"/>
        </w:rPr>
        <w:t>107 straipsnio 1 dalį, atsižvelgiant į du alternatyvius šios sąvokos kriterijus, tačiau tai turi patikrinti prašymą priimti prejudicinį sprendimą pateikęs teismas.</w:t>
      </w:r>
    </w:p>
    <w:p w14:paraId="262E4A37" w14:textId="77777777" w:rsidR="00E22B2B" w:rsidRPr="00D30F5E" w:rsidRDefault="00E22B2B" w:rsidP="00E22B2B">
      <w:pPr>
        <w:ind w:firstLine="540"/>
        <w:rPr>
          <w:rFonts w:asciiTheme="minorHAnsi" w:hAnsiTheme="minorHAnsi" w:cstheme="minorHAnsi"/>
          <w:color w:val="000000"/>
        </w:rPr>
      </w:pPr>
    </w:p>
    <w:p w14:paraId="58E1F925" w14:textId="085E1C22" w:rsidR="00E22B2B" w:rsidRPr="00D30F5E" w:rsidRDefault="00E22B2B" w:rsidP="00100405">
      <w:pPr>
        <w:pStyle w:val="Antrat3"/>
        <w:ind w:firstLine="567"/>
        <w:rPr>
          <w:rFonts w:cstheme="minorHAnsi"/>
          <w:i w:val="0"/>
          <w:iCs/>
          <w:color w:val="000000"/>
        </w:rPr>
      </w:pPr>
      <w:bookmarkStart w:id="58" w:name="_Toc148375080"/>
      <w:r w:rsidRPr="00D30F5E">
        <w:rPr>
          <w:rFonts w:cstheme="minorHAnsi"/>
          <w:iCs/>
          <w:color w:val="000000"/>
        </w:rPr>
        <w:t xml:space="preserve">Dėl </w:t>
      </w:r>
      <w:r w:rsidRPr="00100405">
        <w:rPr>
          <w:rFonts w:cstheme="minorHAnsi"/>
          <w:iCs/>
        </w:rPr>
        <w:t>priemokos</w:t>
      </w:r>
      <w:r w:rsidRPr="00D30F5E">
        <w:rPr>
          <w:rFonts w:cstheme="minorHAnsi"/>
          <w:iCs/>
          <w:color w:val="000000"/>
        </w:rPr>
        <w:t xml:space="preserve"> kvalifikavimo kaip „valstybės pagalb</w:t>
      </w:r>
      <w:r w:rsidR="00831E74">
        <w:rPr>
          <w:rFonts w:cstheme="minorHAnsi"/>
          <w:iCs/>
          <w:color w:val="000000"/>
        </w:rPr>
        <w:t>a</w:t>
      </w:r>
      <w:r w:rsidRPr="00D30F5E">
        <w:rPr>
          <w:rFonts w:cstheme="minorHAnsi"/>
          <w:iCs/>
          <w:color w:val="000000"/>
        </w:rPr>
        <w:t>“ ir atitinkamos rinkos visiško liberalizavimo</w:t>
      </w:r>
      <w:bookmarkEnd w:id="58"/>
    </w:p>
    <w:p w14:paraId="701FE01F" w14:textId="77777777" w:rsidR="00E22B2B" w:rsidRPr="00D30F5E" w:rsidRDefault="00E22B2B" w:rsidP="00E22B2B">
      <w:pPr>
        <w:ind w:firstLine="540"/>
        <w:rPr>
          <w:rFonts w:asciiTheme="minorHAnsi" w:hAnsiTheme="minorHAnsi" w:cstheme="minorHAnsi"/>
          <w:i/>
          <w:iCs/>
          <w:color w:val="000000"/>
        </w:rPr>
      </w:pPr>
    </w:p>
    <w:p w14:paraId="11E603BE" w14:textId="77777777" w:rsidR="00E22B2B" w:rsidRPr="00D30F5E" w:rsidRDefault="00E22B2B" w:rsidP="00E22B2B">
      <w:pPr>
        <w:ind w:firstLine="540"/>
        <w:rPr>
          <w:rFonts w:asciiTheme="minorHAnsi" w:hAnsiTheme="minorHAnsi" w:cstheme="minorHAnsi"/>
          <w:color w:val="000000"/>
          <w:u w:val="single"/>
        </w:rPr>
      </w:pPr>
      <w:r w:rsidRPr="00D30F5E">
        <w:rPr>
          <w:rFonts w:asciiTheme="minorHAnsi" w:eastAsia="Times New Roman" w:hAnsiTheme="minorHAnsi" w:cstheme="minorHAnsi"/>
          <w:color w:val="000000"/>
          <w:lang w:eastAsia="lt-LT"/>
        </w:rPr>
        <w:t xml:space="preserve">Dėl atitinkamos rinkos liberalizavimo įtakos pagalbos buvimo vertinimui Teisingumo Teismui buvo svarbu priminti, kad valstybės pagalba gali daryti poveikį valstybių narių tarpusavio prekybai ir iškraipyti konkurenciją arba kelti grėsmę, kad ji bus iškraipyta, net jeigu atitinkama rinka tik iš dalies atverta konkurencijai. Pakanka, kad pagalbos priemonės suteikimo momentu atitinkamoje rinkoje būtų realios konkurencijos situacija, kad valstybės arba iš valstybinių išteklių suteikta pagalba galėtų daryti poveikį valstybių narių tarpusavio prekybai ir iškraipyti konkurenciją arba kelti grėsmę, kad ji bus iškraipyta. Taigi tam tikroms įmonėms taikoma priemoka gali daryti poveikį valstybių narių tarpusavio prekybai ir iškraipyti konkurenciją net prieš visišką šios rinkos liberalizavimą, todėl </w:t>
      </w:r>
      <w:r w:rsidRPr="00D30F5E">
        <w:rPr>
          <w:rFonts w:asciiTheme="minorHAnsi" w:eastAsia="Times New Roman" w:hAnsiTheme="minorHAnsi" w:cstheme="minorHAnsi"/>
          <w:color w:val="000000"/>
          <w:u w:val="single"/>
          <w:lang w:eastAsia="lt-LT"/>
        </w:rPr>
        <w:t>visiško elektros energijos rinkos liberalizavimo data neturi reikšmės vertinant, ar viešojo subjekto šioje valstybėje narėje suteikta pagalba perkant iš atsinaujinančių energijos šaltinių pagamintą elektros energiją už didesnę nei rinkos kainą turi būti laikoma valstybės pagalba</w:t>
      </w:r>
      <w:r w:rsidRPr="00D30F5E">
        <w:rPr>
          <w:rFonts w:asciiTheme="minorHAnsi" w:eastAsia="Times New Roman" w:hAnsiTheme="minorHAnsi" w:cstheme="minorHAnsi"/>
          <w:color w:val="000000"/>
          <w:lang w:eastAsia="lt-LT"/>
        </w:rPr>
        <w:t>.</w:t>
      </w:r>
      <w:r w:rsidRPr="00D30F5E">
        <w:rPr>
          <w:rFonts w:asciiTheme="minorHAnsi" w:hAnsiTheme="minorHAnsi" w:cstheme="minorHAnsi"/>
          <w:color w:val="000000"/>
        </w:rPr>
        <w:t xml:space="preserve"> </w:t>
      </w:r>
      <w:r w:rsidRPr="00D30F5E">
        <w:rPr>
          <w:rFonts w:asciiTheme="minorHAnsi" w:hAnsiTheme="minorHAnsi" w:cstheme="minorHAnsi"/>
          <w:color w:val="000000"/>
          <w:u w:val="single"/>
        </w:rPr>
        <w:t>P</w:t>
      </w:r>
      <w:r w:rsidRPr="00D30F5E">
        <w:rPr>
          <w:rFonts w:asciiTheme="minorHAnsi" w:eastAsia="Times New Roman" w:hAnsiTheme="minorHAnsi" w:cstheme="minorHAnsi"/>
          <w:color w:val="000000"/>
          <w:u w:val="single"/>
          <w:lang w:eastAsia="lt-LT"/>
        </w:rPr>
        <w:t>riemoką kvalifikuojant kaip „valstybės pagalbą“, kaip tai suprantama pagal šią nuostatą, netaikoma sąlyga, kad atitinkama rinka turi būti prieš tai visiškai liberalizuota.</w:t>
      </w:r>
    </w:p>
    <w:p w14:paraId="402A5AE1" w14:textId="77777777" w:rsidR="00E22B2B" w:rsidRPr="00D30F5E" w:rsidRDefault="00E22B2B" w:rsidP="00E22B2B">
      <w:pPr>
        <w:ind w:firstLine="540"/>
        <w:rPr>
          <w:rFonts w:asciiTheme="minorHAnsi" w:hAnsiTheme="minorHAnsi" w:cstheme="minorHAnsi"/>
          <w:color w:val="000000"/>
        </w:rPr>
      </w:pPr>
    </w:p>
    <w:p w14:paraId="33ED2ED3" w14:textId="77777777" w:rsidR="00E22B2B" w:rsidRPr="00D30F5E" w:rsidRDefault="00E22B2B" w:rsidP="00100405">
      <w:pPr>
        <w:pStyle w:val="Antrat3"/>
        <w:ind w:firstLine="567"/>
        <w:rPr>
          <w:rFonts w:cstheme="minorHAnsi"/>
          <w:color w:val="000000"/>
        </w:rPr>
      </w:pPr>
      <w:bookmarkStart w:id="59" w:name="_Toc148375081"/>
      <w:r w:rsidRPr="00D30F5E">
        <w:rPr>
          <w:rFonts w:cstheme="minorHAnsi"/>
          <w:iCs/>
          <w:color w:val="000000"/>
        </w:rPr>
        <w:t>Dėl pareiškėjų pagrindinėje byloje reikalaujamų sumų sumokėjimo vertinimo kaip „pagalbos“ išmokėjimo</w:t>
      </w:r>
      <w:bookmarkEnd w:id="59"/>
      <w:r w:rsidRPr="00D30F5E">
        <w:rPr>
          <w:rFonts w:cstheme="minorHAnsi"/>
          <w:iCs/>
          <w:color w:val="000000"/>
        </w:rPr>
        <w:t xml:space="preserve"> </w:t>
      </w:r>
    </w:p>
    <w:p w14:paraId="2D2A1A43" w14:textId="77777777" w:rsidR="00E22B2B" w:rsidRPr="00D30F5E" w:rsidRDefault="00E22B2B" w:rsidP="00E22B2B">
      <w:pPr>
        <w:ind w:firstLine="540"/>
        <w:rPr>
          <w:rFonts w:asciiTheme="minorHAnsi" w:hAnsiTheme="minorHAnsi" w:cstheme="minorHAnsi"/>
          <w:color w:val="000000"/>
        </w:rPr>
      </w:pPr>
    </w:p>
    <w:p w14:paraId="433E4C5D" w14:textId="1BC2EDC5"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color w:val="000000"/>
        </w:rPr>
        <w:t xml:space="preserve">Teisingumo Teismas pažymėjo, kad </w:t>
      </w:r>
      <w:r w:rsidRPr="00D30F5E">
        <w:rPr>
          <w:rFonts w:asciiTheme="minorHAnsi" w:hAnsiTheme="minorHAnsi" w:cstheme="minorHAnsi"/>
          <w:color w:val="000000"/>
          <w:u w:val="single"/>
        </w:rPr>
        <w:t xml:space="preserve">jeigu nacionalinės teisės aktuose nustatyta „valstybės pagalba“, pagal tuos teisės aktus teisme reikalaujama sumokėti suma taip pat yra tokia pagalba. Pasak Teisingumo Teismo, nustatant, ar sumos yra „valstybės pagalba“, nėra jokio skirtumo, ar skundai dėl neišmokėjimo kvalifikuojami kaip „reikalavimai dėl kompensacijos“, ar „reikalavimai dėl žalos atlyginimo“ pagal </w:t>
      </w:r>
      <w:r w:rsidRPr="00D30F5E">
        <w:rPr>
          <w:rFonts w:asciiTheme="minorHAnsi" w:hAnsiTheme="minorHAnsi" w:cstheme="minorHAnsi"/>
          <w:color w:val="000000"/>
          <w:u w:val="single"/>
        </w:rPr>
        <w:lastRenderedPageBreak/>
        <w:t>nacionalinę teisę</w:t>
      </w:r>
      <w:r w:rsidRPr="00D30F5E">
        <w:rPr>
          <w:rFonts w:asciiTheme="minorHAnsi" w:hAnsiTheme="minorHAnsi" w:cstheme="minorHAnsi"/>
          <w:color w:val="000000"/>
        </w:rPr>
        <w:t xml:space="preserve">. </w:t>
      </w:r>
      <w:r w:rsidRPr="00D30F5E">
        <w:rPr>
          <w:rFonts w:asciiTheme="minorHAnsi" w:hAnsiTheme="minorHAnsi" w:cstheme="minorHAnsi"/>
          <w:color w:val="000000"/>
          <w:u w:val="single"/>
        </w:rPr>
        <w:t>Nors nacionalinis teismas prireikus gali priimti sprendimą, pagal kurį viena iš šalių pagal nacionalinę teisę turi gauti sumą, laikomą valstybės pagalba, tai visiškai nereiškia, kad tokiu atveju jis pats skiria šią pagalbą</w:t>
      </w:r>
      <w:r w:rsidRPr="00D30F5E">
        <w:rPr>
          <w:rFonts w:asciiTheme="minorHAnsi" w:hAnsiTheme="minorHAnsi" w:cstheme="minorHAnsi"/>
          <w:color w:val="000000"/>
        </w:rPr>
        <w:t xml:space="preserve">. </w:t>
      </w:r>
      <w:r w:rsidRPr="00D30F5E">
        <w:rPr>
          <w:rFonts w:asciiTheme="minorHAnsi" w:hAnsiTheme="minorHAnsi" w:cstheme="minorHAnsi"/>
          <w:color w:val="000000"/>
          <w:u w:val="single"/>
        </w:rPr>
        <w:t>Iš tiesų pati valstybės pagalba negali būti nustatyta teismo sprendimu, nes nustatant pagalbą turi būti atliekamas galimybių vertinimas, kuris nepriskiriamas teismo iniciatyvai</w:t>
      </w:r>
      <w:r w:rsidRPr="00D30F5E">
        <w:rPr>
          <w:rFonts w:asciiTheme="minorHAnsi" w:hAnsiTheme="minorHAnsi" w:cstheme="minorHAnsi"/>
          <w:color w:val="000000"/>
        </w:rPr>
        <w:t>. Tuo remdamasis Teisingumo Teismas nusprendė, kad jeigu nacionalinės teisės aktai, kuriuose įstatymu nustatyta teisė į padidintą mokėjimą už elektros energiją, pagamintą iš atsinaujinančių energijos šaltinių, yra „valstybės pagalba“, kaip ji suprantama pagal SESV</w:t>
      </w:r>
      <w:r w:rsidR="00A15DC1">
        <w:rPr>
          <w:rFonts w:asciiTheme="minorHAnsi" w:hAnsiTheme="minorHAnsi" w:cstheme="minorHAnsi"/>
          <w:color w:val="000000"/>
        </w:rPr>
        <w:t xml:space="preserve"> </w:t>
      </w:r>
      <w:r w:rsidRPr="00D30F5E">
        <w:rPr>
          <w:rFonts w:asciiTheme="minorHAnsi" w:hAnsiTheme="minorHAnsi" w:cstheme="minorHAnsi"/>
          <w:color w:val="000000"/>
        </w:rPr>
        <w:t xml:space="preserve">107 straipsnio 1 dalį, teisme pareikšti reikalavimai leisti visiškai pasinaudoti ta teise turi būti laikomi reikalavimais išmokėti šios negautos valstybės pagalbos dalį, o ne reikalavimais, kad teismo sprendimu būtų skirta atskira valstybės pagalba. </w:t>
      </w:r>
    </w:p>
    <w:p w14:paraId="48046553" w14:textId="77777777" w:rsidR="00E22B2B" w:rsidRPr="00D30F5E" w:rsidRDefault="00E22B2B" w:rsidP="00E22B2B">
      <w:pPr>
        <w:ind w:firstLine="540"/>
        <w:rPr>
          <w:rFonts w:asciiTheme="minorHAnsi" w:hAnsiTheme="minorHAnsi" w:cstheme="minorHAnsi"/>
          <w:color w:val="000000"/>
        </w:rPr>
      </w:pPr>
    </w:p>
    <w:p w14:paraId="6BAFFD50" w14:textId="0BAD4E4F" w:rsidR="00E22B2B" w:rsidRPr="00D30F5E" w:rsidRDefault="00E22B2B" w:rsidP="00100405">
      <w:pPr>
        <w:pStyle w:val="Antrat3"/>
        <w:ind w:firstLine="567"/>
        <w:rPr>
          <w:rFonts w:cstheme="minorHAnsi"/>
          <w:i w:val="0"/>
          <w:iCs/>
          <w:color w:val="000000"/>
        </w:rPr>
      </w:pPr>
      <w:bookmarkStart w:id="60" w:name="_Toc148375082"/>
      <w:r w:rsidRPr="00D30F5E">
        <w:rPr>
          <w:rFonts w:cstheme="minorHAnsi"/>
          <w:iCs/>
          <w:color w:val="000000"/>
        </w:rPr>
        <w:t>Dėl de minimis</w:t>
      </w:r>
      <w:r w:rsidR="0043688B">
        <w:rPr>
          <w:rFonts w:cstheme="minorHAnsi"/>
          <w:iCs/>
          <w:color w:val="000000"/>
        </w:rPr>
        <w:t xml:space="preserve"> </w:t>
      </w:r>
      <w:r w:rsidRPr="00D30F5E">
        <w:rPr>
          <w:rFonts w:cstheme="minorHAnsi"/>
          <w:iCs/>
          <w:color w:val="000000"/>
        </w:rPr>
        <w:t>pagalbos kriterijų nagrinėtu atveju</w:t>
      </w:r>
      <w:bookmarkEnd w:id="60"/>
      <w:r w:rsidRPr="00D30F5E">
        <w:rPr>
          <w:rFonts w:cstheme="minorHAnsi"/>
          <w:iCs/>
          <w:color w:val="000000"/>
        </w:rPr>
        <w:t xml:space="preserve"> </w:t>
      </w:r>
    </w:p>
    <w:p w14:paraId="5995CFEF" w14:textId="77777777" w:rsidR="00E22B2B" w:rsidRPr="00D30F5E" w:rsidRDefault="00E22B2B" w:rsidP="00E22B2B">
      <w:pPr>
        <w:ind w:firstLine="540"/>
        <w:rPr>
          <w:rFonts w:asciiTheme="minorHAnsi" w:hAnsiTheme="minorHAnsi" w:cstheme="minorHAnsi"/>
          <w:color w:val="000000"/>
        </w:rPr>
      </w:pPr>
    </w:p>
    <w:p w14:paraId="6356F6FD" w14:textId="4E56FB13"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color w:val="000000"/>
        </w:rPr>
        <w:t>Teisingumo Teismas patikslino Reglamente Nr. 1407/2013 nustatytų</w:t>
      </w:r>
      <w:r w:rsidR="00EA4B74">
        <w:rPr>
          <w:rFonts w:asciiTheme="minorHAnsi" w:hAnsiTheme="minorHAnsi" w:cstheme="minorHAnsi"/>
          <w:color w:val="000000"/>
        </w:rPr>
        <w:t xml:space="preserve"> </w:t>
      </w:r>
      <w:r w:rsidRPr="00D30F5E">
        <w:rPr>
          <w:rFonts w:asciiTheme="minorHAnsi" w:hAnsiTheme="minorHAnsi" w:cstheme="minorHAnsi"/>
          <w:i/>
          <w:iCs/>
          <w:color w:val="000000"/>
        </w:rPr>
        <w:t>de minimis</w:t>
      </w:r>
      <w:r w:rsidR="00EA4B74">
        <w:rPr>
          <w:rFonts w:asciiTheme="minorHAnsi" w:hAnsiTheme="minorHAnsi" w:cstheme="minorHAnsi"/>
          <w:i/>
          <w:iCs/>
          <w:color w:val="000000"/>
        </w:rPr>
        <w:t xml:space="preserve"> </w:t>
      </w:r>
      <w:r w:rsidRPr="00D30F5E">
        <w:rPr>
          <w:rFonts w:asciiTheme="minorHAnsi" w:hAnsiTheme="minorHAnsi" w:cstheme="minorHAnsi"/>
          <w:color w:val="000000"/>
        </w:rPr>
        <w:t>pagalbos, kuriai netaikoma SESV</w:t>
      </w:r>
      <w:r w:rsidR="00EA4B74">
        <w:rPr>
          <w:rFonts w:asciiTheme="minorHAnsi" w:hAnsiTheme="minorHAnsi" w:cstheme="minorHAnsi"/>
          <w:color w:val="000000"/>
        </w:rPr>
        <w:t xml:space="preserve"> </w:t>
      </w:r>
      <w:r w:rsidRPr="00D30F5E">
        <w:rPr>
          <w:rFonts w:asciiTheme="minorHAnsi" w:hAnsiTheme="minorHAnsi" w:cstheme="minorHAnsi"/>
          <w:color w:val="000000"/>
        </w:rPr>
        <w:t>108 straipsnio 3 dalyje įtvirtinta pareiga pranešti, kriterijų taikymą. Dėl šio aspekto Teisingumo Teismas nusprendė, kad to reglamento 3 straipsnio 2 dalyje nustatytos</w:t>
      </w:r>
      <w:r w:rsidR="00EA4B74">
        <w:rPr>
          <w:rFonts w:asciiTheme="minorHAnsi" w:hAnsiTheme="minorHAnsi" w:cstheme="minorHAnsi"/>
          <w:color w:val="000000"/>
        </w:rPr>
        <w:t xml:space="preserve"> </w:t>
      </w:r>
      <w:r w:rsidRPr="00D30F5E">
        <w:rPr>
          <w:rFonts w:asciiTheme="minorHAnsi" w:hAnsiTheme="minorHAnsi" w:cstheme="minorHAnsi"/>
          <w:i/>
          <w:iCs/>
          <w:color w:val="000000"/>
        </w:rPr>
        <w:t>de minimis</w:t>
      </w:r>
      <w:r w:rsidR="00EA4B74">
        <w:rPr>
          <w:rFonts w:asciiTheme="minorHAnsi" w:hAnsiTheme="minorHAnsi" w:cstheme="minorHAnsi"/>
          <w:color w:val="000000"/>
        </w:rPr>
        <w:t xml:space="preserve"> </w:t>
      </w:r>
      <w:r w:rsidRPr="00D30F5E">
        <w:rPr>
          <w:rFonts w:asciiTheme="minorHAnsi" w:hAnsiTheme="minorHAnsi" w:cstheme="minorHAnsi"/>
          <w:color w:val="000000"/>
        </w:rPr>
        <w:t>ribos laikymasis turi būti vertinamas atsižvelgiant į pagal atitinkamus nacionalinės teisės aktus reikalaujamos pagalbos dydį, sumuojamą su per referencinį laikotarpį pagal tuos pačius teisės aktus jau gautų mokėjimų dydžiu.</w:t>
      </w:r>
    </w:p>
    <w:p w14:paraId="1A4E28B8" w14:textId="64BCC2AC" w:rsidR="00E22B2B" w:rsidRPr="00D30F5E" w:rsidRDefault="00E22B2B" w:rsidP="00E22B2B">
      <w:pPr>
        <w:ind w:firstLine="540"/>
        <w:rPr>
          <w:rFonts w:asciiTheme="minorHAnsi" w:hAnsiTheme="minorHAnsi" w:cstheme="minorHAnsi"/>
          <w:color w:val="000000"/>
        </w:rPr>
      </w:pPr>
      <w:r w:rsidRPr="00D30F5E">
        <w:rPr>
          <w:rFonts w:asciiTheme="minorHAnsi" w:eastAsia="Times New Roman" w:hAnsiTheme="minorHAnsi" w:cstheme="minorHAnsi"/>
          <w:color w:val="000000"/>
          <w:lang w:eastAsia="lt-LT"/>
        </w:rPr>
        <w:t>Pareiškėjoms pagrindinėje byloje skirtos sumos yra bendro jau gautų ir jų dar reikalautų sumų už 2006 m.–2008 m. dydžio ištaisymas pagal Elektros energijos rinkos įstatymo 30 straipsnio 1 dalį. Todėl pagrindinėje byloje aptariamos</w:t>
      </w:r>
      <w:r w:rsidR="00E562B9">
        <w:rPr>
          <w:rFonts w:asciiTheme="minorHAnsi" w:eastAsia="Times New Roman" w:hAnsiTheme="minorHAnsi" w:cstheme="minorHAnsi"/>
          <w:color w:val="000000"/>
          <w:lang w:eastAsia="lt-LT"/>
        </w:rPr>
        <w:t xml:space="preserve"> </w:t>
      </w:r>
      <w:r w:rsidRPr="00D30F5E">
        <w:rPr>
          <w:rFonts w:asciiTheme="minorHAnsi" w:eastAsia="Times New Roman" w:hAnsiTheme="minorHAnsi" w:cstheme="minorHAnsi"/>
          <w:i/>
          <w:iCs/>
          <w:color w:val="000000"/>
          <w:lang w:eastAsia="lt-LT"/>
        </w:rPr>
        <w:t>de minimis</w:t>
      </w:r>
      <w:r w:rsidR="00E562B9">
        <w:rPr>
          <w:rFonts w:asciiTheme="minorHAnsi" w:eastAsia="Times New Roman" w:hAnsiTheme="minorHAnsi" w:cstheme="minorHAnsi"/>
          <w:color w:val="000000"/>
          <w:lang w:eastAsia="lt-LT"/>
        </w:rPr>
        <w:t xml:space="preserve"> </w:t>
      </w:r>
      <w:r w:rsidRPr="00D30F5E">
        <w:rPr>
          <w:rFonts w:asciiTheme="minorHAnsi" w:eastAsia="Times New Roman" w:hAnsiTheme="minorHAnsi" w:cstheme="minorHAnsi"/>
          <w:color w:val="000000"/>
          <w:lang w:eastAsia="lt-LT"/>
        </w:rPr>
        <w:t>pagalbos pobūdį reikia vertinti atsižvelgiant į bendrą per referencinį laikotarpį tuo pagrindu jau gautų ir pareiškėjų pagrindinėje byloje dar reikalaujamų sumų dydį, jei tai yra valstybės pagalba.</w:t>
      </w:r>
      <w:r w:rsidRPr="00D30F5E">
        <w:rPr>
          <w:rFonts w:asciiTheme="minorHAnsi" w:hAnsiTheme="minorHAnsi" w:cstheme="minorHAnsi"/>
          <w:color w:val="000000"/>
        </w:rPr>
        <w:t xml:space="preserve"> </w:t>
      </w:r>
      <w:r w:rsidRPr="00D30F5E">
        <w:rPr>
          <w:rFonts w:asciiTheme="minorHAnsi" w:eastAsia="Times New Roman" w:hAnsiTheme="minorHAnsi" w:cstheme="minorHAnsi"/>
          <w:color w:val="000000"/>
          <w:lang w:eastAsia="lt-LT"/>
        </w:rPr>
        <w:t xml:space="preserve">Taigi </w:t>
      </w:r>
      <w:r w:rsidRPr="00D30F5E">
        <w:rPr>
          <w:rFonts w:asciiTheme="minorHAnsi" w:hAnsiTheme="minorHAnsi" w:cstheme="minorHAnsi"/>
          <w:color w:val="000000"/>
          <w:u w:val="single"/>
        </w:rPr>
        <w:t xml:space="preserve">Reglamento Nr. 1407/2013 </w:t>
      </w:r>
      <w:r w:rsidRPr="00D30F5E">
        <w:rPr>
          <w:rFonts w:asciiTheme="minorHAnsi" w:eastAsia="Times New Roman" w:hAnsiTheme="minorHAnsi" w:cstheme="minorHAnsi"/>
          <w:color w:val="000000"/>
          <w:u w:val="single"/>
          <w:lang w:eastAsia="lt-LT"/>
        </w:rPr>
        <w:t>3 straipsnio 2 dalyje nustatytos</w:t>
      </w:r>
      <w:r w:rsidR="00E562B9">
        <w:rPr>
          <w:rFonts w:asciiTheme="minorHAnsi" w:eastAsia="Times New Roman" w:hAnsiTheme="minorHAnsi" w:cstheme="minorHAnsi"/>
          <w:color w:val="000000"/>
          <w:u w:val="single"/>
          <w:lang w:eastAsia="lt-LT"/>
        </w:rPr>
        <w:t xml:space="preserve"> </w:t>
      </w:r>
      <w:r w:rsidRPr="00D30F5E">
        <w:rPr>
          <w:rFonts w:asciiTheme="minorHAnsi" w:eastAsia="Times New Roman" w:hAnsiTheme="minorHAnsi" w:cstheme="minorHAnsi"/>
          <w:i/>
          <w:iCs/>
          <w:color w:val="000000"/>
          <w:u w:val="single"/>
          <w:lang w:eastAsia="lt-LT"/>
        </w:rPr>
        <w:t>de minimi</w:t>
      </w:r>
      <w:r w:rsidR="0080441E">
        <w:rPr>
          <w:rFonts w:asciiTheme="minorHAnsi" w:eastAsia="Times New Roman" w:hAnsiTheme="minorHAnsi" w:cstheme="minorHAnsi"/>
          <w:i/>
          <w:iCs/>
          <w:color w:val="000000"/>
          <w:u w:val="single"/>
          <w:lang w:eastAsia="lt-LT"/>
        </w:rPr>
        <w:t xml:space="preserve">s </w:t>
      </w:r>
      <w:r w:rsidRPr="00D30F5E">
        <w:rPr>
          <w:rFonts w:asciiTheme="minorHAnsi" w:eastAsia="Times New Roman" w:hAnsiTheme="minorHAnsi" w:cstheme="minorHAnsi"/>
          <w:color w:val="000000"/>
          <w:u w:val="single"/>
          <w:lang w:eastAsia="lt-LT"/>
        </w:rPr>
        <w:t>ribos laikymasis turi būti vertinamas atsižvelgiant į pagal atitinkamus nacionalinės teisės aktus reikalaujamos pagalbos dydį, sumuojamą su per referencinį laikotarpį pagal tuos pačius teisės aktus jau gautų mokėjimų dydžiu</w:t>
      </w:r>
      <w:r w:rsidRPr="00D30F5E">
        <w:rPr>
          <w:rFonts w:asciiTheme="minorHAnsi" w:eastAsia="Times New Roman" w:hAnsiTheme="minorHAnsi" w:cstheme="minorHAnsi"/>
          <w:color w:val="000000"/>
          <w:lang w:eastAsia="lt-LT"/>
        </w:rPr>
        <w:t>.</w:t>
      </w:r>
    </w:p>
    <w:p w14:paraId="437CE865" w14:textId="77777777" w:rsidR="00E22B2B" w:rsidRPr="00D30F5E" w:rsidRDefault="00E22B2B" w:rsidP="00E22B2B">
      <w:pPr>
        <w:ind w:firstLine="540"/>
        <w:rPr>
          <w:rFonts w:asciiTheme="minorHAnsi" w:eastAsia="Times New Roman" w:hAnsiTheme="minorHAnsi" w:cstheme="minorHAnsi"/>
          <w:color w:val="000000"/>
          <w:lang w:eastAsia="lt-LT"/>
        </w:rPr>
      </w:pPr>
    </w:p>
    <w:p w14:paraId="29EC4475" w14:textId="77777777" w:rsidR="00E22B2B" w:rsidRPr="00D30F5E" w:rsidRDefault="00E22B2B" w:rsidP="00100405">
      <w:pPr>
        <w:pStyle w:val="Antrat3"/>
        <w:ind w:firstLine="567"/>
        <w:rPr>
          <w:rFonts w:cstheme="minorHAnsi"/>
          <w:i w:val="0"/>
          <w:iCs/>
          <w:color w:val="000000"/>
        </w:rPr>
      </w:pPr>
      <w:bookmarkStart w:id="61" w:name="_Toc148375083"/>
      <w:r w:rsidRPr="00D30F5E">
        <w:rPr>
          <w:rFonts w:eastAsia="Times New Roman" w:cstheme="minorHAnsi"/>
          <w:iCs/>
          <w:color w:val="000000"/>
          <w:lang w:eastAsia="lt-LT"/>
        </w:rPr>
        <w:t>D</w:t>
      </w:r>
      <w:r w:rsidRPr="00D30F5E">
        <w:rPr>
          <w:rFonts w:cstheme="minorHAnsi"/>
          <w:iCs/>
          <w:color w:val="000000"/>
        </w:rPr>
        <w:t>ėl atitinkamų nacionalinio teismo ir Komisijos prerogatyvų santykio tuo atveju, jei su pagrindinėmis bylomis susijusių gamintojų prašomos sumos yra valstybės pagalba</w:t>
      </w:r>
      <w:bookmarkEnd w:id="61"/>
    </w:p>
    <w:p w14:paraId="680B0735" w14:textId="77777777" w:rsidR="00E22B2B" w:rsidRPr="00D30F5E" w:rsidRDefault="00E22B2B" w:rsidP="00E22B2B">
      <w:pPr>
        <w:ind w:firstLine="540"/>
        <w:rPr>
          <w:rFonts w:asciiTheme="minorHAnsi" w:hAnsiTheme="minorHAnsi" w:cstheme="minorHAnsi"/>
          <w:color w:val="000000"/>
        </w:rPr>
      </w:pPr>
    </w:p>
    <w:p w14:paraId="0A2059C5" w14:textId="7B98E559" w:rsidR="00E22B2B" w:rsidRPr="00D30F5E" w:rsidRDefault="00E22B2B" w:rsidP="00E22B2B">
      <w:pPr>
        <w:ind w:firstLine="540"/>
        <w:rPr>
          <w:rFonts w:asciiTheme="minorHAnsi" w:hAnsiTheme="minorHAnsi" w:cstheme="minorHAnsi"/>
          <w:color w:val="000000"/>
        </w:rPr>
      </w:pPr>
      <w:r w:rsidRPr="00D30F5E">
        <w:rPr>
          <w:rFonts w:asciiTheme="minorHAnsi" w:hAnsiTheme="minorHAnsi" w:cstheme="minorHAnsi"/>
          <w:color w:val="000000"/>
        </w:rPr>
        <w:t>Teisingumo Teismas darė išvadą, kad nagrinėjama parama, įskaitant jos dalį, kurią vėliau prašoma išmokėti, turi būti kvalifikuojama kaip „nauja pagalba“. Atsižvelgdamas į tai, kas išdėstyta</w:t>
      </w:r>
      <w:r w:rsidR="0080441E">
        <w:rPr>
          <w:rFonts w:asciiTheme="minorHAnsi" w:hAnsiTheme="minorHAnsi" w:cstheme="minorHAnsi"/>
          <w:color w:val="000000"/>
        </w:rPr>
        <w:t>,</w:t>
      </w:r>
      <w:r w:rsidRPr="00D30F5E">
        <w:rPr>
          <w:rFonts w:asciiTheme="minorHAnsi" w:hAnsiTheme="minorHAnsi" w:cstheme="minorHAnsi"/>
          <w:color w:val="000000"/>
        </w:rPr>
        <w:t xml:space="preserve"> ir darydamas prielaidą, kad nacionaliniam teismui pateikiamas nagrinėti reikalavimas, kad būtų išmokėta neteisėta pagalba, nes apie ją nebuvo pranešta Komisijai, Teisingumo Teismas pažymi, kad vykdydamas Sąjungos teisėje jam pavestą valstybės pagalbos kontrolės užduotį tas teismas iš principo tokį reikalavimą turi atmesti. Tačiau Teisingumo Teismas pripažįsta, kad nacionalinio teismo sprendimu, kuriuo kita administracinio proceso šalis įpareigojama išmokėti nagrinėjamą pagalbą, jeigu atitinkamos nacionalinės valdžios institucijos iš anksto apie ją yra pranešusios Komisijai ir jeigu ši institucija pritarė arba laikoma pritarusia, taip pat galima išvengti naujos pagalbos išmokėjimo pažeidžiant SESV</w:t>
      </w:r>
      <w:r w:rsidR="00B417DD">
        <w:rPr>
          <w:rFonts w:asciiTheme="minorHAnsi" w:hAnsiTheme="minorHAnsi" w:cstheme="minorHAnsi"/>
          <w:color w:val="000000"/>
        </w:rPr>
        <w:t xml:space="preserve"> </w:t>
      </w:r>
      <w:r w:rsidRPr="00D30F5E">
        <w:rPr>
          <w:rFonts w:asciiTheme="minorHAnsi" w:hAnsiTheme="minorHAnsi" w:cstheme="minorHAnsi"/>
          <w:color w:val="000000"/>
        </w:rPr>
        <w:t>108 straipsnio 3 dalį, Reglamento 2015/1589 2 straipsnio 1 dalį ir 3 straipsnį.</w:t>
      </w:r>
    </w:p>
    <w:p w14:paraId="1620820E" w14:textId="77777777" w:rsidR="00E22B2B" w:rsidRPr="00D30F5E" w:rsidRDefault="00000000" w:rsidP="00E22B2B">
      <w:pPr>
        <w:ind w:firstLine="540"/>
        <w:rPr>
          <w:rFonts w:asciiTheme="minorHAnsi" w:hAnsiTheme="minorHAnsi" w:cstheme="minorHAnsi"/>
          <w:color w:val="000000"/>
          <w:lang w:val="en-US"/>
        </w:rPr>
      </w:pPr>
      <w:hyperlink r:id="rId21" w:history="1">
        <w:r w:rsidR="00E22B2B" w:rsidRPr="00D30F5E">
          <w:rPr>
            <w:rStyle w:val="Hipersaitas"/>
            <w:rFonts w:asciiTheme="minorHAnsi" w:hAnsiTheme="minorHAnsi" w:cstheme="minorHAnsi"/>
          </w:rPr>
          <w:t>Prieiga internete</w:t>
        </w:r>
      </w:hyperlink>
      <w:r w:rsidR="00E22B2B" w:rsidRPr="00D30F5E">
        <w:rPr>
          <w:rFonts w:asciiTheme="minorHAnsi" w:hAnsiTheme="minorHAnsi" w:cstheme="minorHAnsi"/>
          <w:color w:val="000000"/>
        </w:rPr>
        <w:t xml:space="preserve">   </w:t>
      </w:r>
    </w:p>
    <w:p w14:paraId="3E7F6699" w14:textId="77777777" w:rsidR="00E22B2B" w:rsidRDefault="00E22B2B" w:rsidP="005D34B8"/>
    <w:p w14:paraId="65AB6316" w14:textId="77777777" w:rsidR="0073229D" w:rsidRPr="007A7657" w:rsidRDefault="0073229D" w:rsidP="007A7657">
      <w:pPr>
        <w:pStyle w:val="Antrat1"/>
        <w:rPr>
          <w:szCs w:val="22"/>
        </w:rPr>
      </w:pPr>
      <w:bookmarkStart w:id="62" w:name="_Toc148375084"/>
      <w:r w:rsidRPr="007A7657">
        <w:rPr>
          <w:szCs w:val="22"/>
        </w:rPr>
        <w:t>TELEKOMUNIKACIJOS</w:t>
      </w:r>
      <w:bookmarkEnd w:id="62"/>
    </w:p>
    <w:p w14:paraId="7B052059" w14:textId="77777777" w:rsidR="0073229D" w:rsidRPr="004256B6" w:rsidRDefault="0073229D" w:rsidP="0073229D">
      <w:pPr>
        <w:jc w:val="center"/>
        <w:rPr>
          <w:rFonts w:asciiTheme="minorHAnsi" w:hAnsiTheme="minorHAnsi" w:cstheme="minorHAnsi"/>
          <w:b/>
          <w:bCs/>
          <w:lang w:eastAsia="lt-LT"/>
        </w:rPr>
      </w:pPr>
    </w:p>
    <w:p w14:paraId="0EB702FA" w14:textId="5482CA2C" w:rsidR="0073229D" w:rsidRPr="0073229D" w:rsidRDefault="0073229D" w:rsidP="0073229D">
      <w:pPr>
        <w:pStyle w:val="Antrat2"/>
        <w:rPr>
          <w:color w:val="323E4F" w:themeColor="text2" w:themeShade="BF"/>
        </w:rPr>
      </w:pPr>
      <w:bookmarkStart w:id="63" w:name="_Toc148375085"/>
      <w:r w:rsidRPr="00775023">
        <w:rPr>
          <w:color w:val="323E4F" w:themeColor="text2" w:themeShade="BF"/>
        </w:rPr>
        <w:t xml:space="preserve">2023 m. kovo </w:t>
      </w:r>
      <w:r>
        <w:rPr>
          <w:color w:val="323E4F" w:themeColor="text2" w:themeShade="BF"/>
        </w:rPr>
        <w:t>16</w:t>
      </w:r>
      <w:r w:rsidRPr="00775023">
        <w:rPr>
          <w:color w:val="323E4F" w:themeColor="text2" w:themeShade="BF"/>
        </w:rPr>
        <w:t xml:space="preserve"> d. sprendimas byloje </w:t>
      </w:r>
      <w:r w:rsidR="007E5120" w:rsidRPr="007E5120">
        <w:rPr>
          <w:i/>
          <w:iCs w:val="0"/>
          <w:color w:val="323E4F" w:themeColor="text2" w:themeShade="BF"/>
        </w:rPr>
        <w:t>Colt Technology Services ir kt.</w:t>
      </w:r>
      <w:r w:rsidRPr="007E5120">
        <w:rPr>
          <w:color w:val="323E4F" w:themeColor="text2" w:themeShade="BF"/>
        </w:rPr>
        <w:t xml:space="preserve">, </w:t>
      </w:r>
      <w:r w:rsidRPr="00775023">
        <w:rPr>
          <w:color w:val="323E4F" w:themeColor="text2" w:themeShade="BF"/>
        </w:rPr>
        <w:t>C</w:t>
      </w:r>
      <w:r w:rsidRPr="0073229D">
        <w:rPr>
          <w:rFonts w:ascii="Cambria Math" w:hAnsi="Cambria Math" w:cs="Cambria Math"/>
          <w:color w:val="323E4F" w:themeColor="text2" w:themeShade="BF"/>
        </w:rPr>
        <w:t>‑</w:t>
      </w:r>
      <w:r w:rsidRPr="00775023">
        <w:rPr>
          <w:color w:val="323E4F" w:themeColor="text2" w:themeShade="BF"/>
        </w:rPr>
        <w:t>3</w:t>
      </w:r>
      <w:r>
        <w:rPr>
          <w:color w:val="323E4F" w:themeColor="text2" w:themeShade="BF"/>
        </w:rPr>
        <w:t>39</w:t>
      </w:r>
      <w:r w:rsidRPr="00775023">
        <w:rPr>
          <w:color w:val="323E4F" w:themeColor="text2" w:themeShade="BF"/>
        </w:rPr>
        <w:t>/21</w:t>
      </w:r>
      <w:bookmarkEnd w:id="63"/>
    </w:p>
    <w:p w14:paraId="1DF9E20D" w14:textId="77777777" w:rsidR="0073229D" w:rsidRPr="004256B6" w:rsidRDefault="0073229D" w:rsidP="0073229D">
      <w:pPr>
        <w:jc w:val="center"/>
        <w:rPr>
          <w:rFonts w:asciiTheme="minorHAnsi" w:hAnsiTheme="minorHAnsi" w:cstheme="minorHAnsi"/>
          <w:b/>
          <w:bCs/>
          <w:iCs/>
          <w:shd w:val="clear" w:color="auto" w:fill="FFFFFF"/>
        </w:rPr>
      </w:pPr>
    </w:p>
    <w:p w14:paraId="1661CD2A" w14:textId="77777777" w:rsidR="0073229D" w:rsidRPr="004256B6" w:rsidRDefault="0073229D" w:rsidP="0073229D">
      <w:pPr>
        <w:pStyle w:val="c01pointnumerotealtn"/>
        <w:shd w:val="clear" w:color="auto" w:fill="FFFFFF"/>
        <w:spacing w:before="0" w:beforeAutospacing="0" w:after="0"/>
        <w:ind w:left="0" w:firstLine="567"/>
        <w:rPr>
          <w:rFonts w:asciiTheme="minorHAnsi" w:hAnsiTheme="minorHAnsi" w:cstheme="minorHAnsi"/>
          <w:sz w:val="22"/>
          <w:szCs w:val="22"/>
        </w:rPr>
      </w:pPr>
      <w:r w:rsidRPr="003E5851">
        <w:rPr>
          <w:rFonts w:asciiTheme="minorHAnsi" w:hAnsiTheme="minorHAnsi" w:cstheme="minorHAnsi"/>
          <w:sz w:val="22"/>
          <w:szCs w:val="22"/>
        </w:rPr>
        <w:t>Prašymas</w:t>
      </w:r>
      <w:r>
        <w:rPr>
          <w:rFonts w:asciiTheme="minorHAnsi" w:hAnsiTheme="minorHAnsi" w:cstheme="minorHAnsi"/>
          <w:sz w:val="22"/>
          <w:szCs w:val="22"/>
        </w:rPr>
        <w:t xml:space="preserve"> </w:t>
      </w:r>
      <w:r w:rsidRPr="003E5851">
        <w:rPr>
          <w:rFonts w:asciiTheme="minorHAnsi" w:hAnsiTheme="minorHAnsi" w:cstheme="minorHAnsi"/>
          <w:sz w:val="22"/>
          <w:szCs w:val="22"/>
        </w:rPr>
        <w:t>priimti</w:t>
      </w:r>
      <w:r>
        <w:rPr>
          <w:rFonts w:asciiTheme="minorHAnsi" w:hAnsiTheme="minorHAnsi" w:cstheme="minorHAnsi"/>
          <w:sz w:val="22"/>
          <w:szCs w:val="22"/>
        </w:rPr>
        <w:t xml:space="preserve"> </w:t>
      </w:r>
      <w:r w:rsidRPr="003E5851">
        <w:rPr>
          <w:rFonts w:asciiTheme="minorHAnsi" w:hAnsiTheme="minorHAnsi" w:cstheme="minorHAnsi"/>
          <w:sz w:val="22"/>
          <w:szCs w:val="22"/>
        </w:rPr>
        <w:t>prejudicinį</w:t>
      </w:r>
      <w:r>
        <w:rPr>
          <w:rFonts w:asciiTheme="minorHAnsi" w:hAnsiTheme="minorHAnsi" w:cstheme="minorHAnsi"/>
          <w:sz w:val="22"/>
          <w:szCs w:val="22"/>
        </w:rPr>
        <w:t xml:space="preserve"> </w:t>
      </w:r>
      <w:r w:rsidRPr="003E5851">
        <w:rPr>
          <w:rFonts w:asciiTheme="minorHAnsi" w:hAnsiTheme="minorHAnsi" w:cstheme="minorHAnsi"/>
          <w:sz w:val="22"/>
          <w:szCs w:val="22"/>
        </w:rPr>
        <w:t>sprendimą</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Elektroninių</w:t>
      </w:r>
      <w:r>
        <w:rPr>
          <w:rFonts w:asciiTheme="minorHAnsi" w:hAnsiTheme="minorHAnsi" w:cstheme="minorHAnsi"/>
          <w:sz w:val="22"/>
          <w:szCs w:val="22"/>
        </w:rPr>
        <w:t xml:space="preserve"> </w:t>
      </w:r>
      <w:r w:rsidRPr="003E5851">
        <w:rPr>
          <w:rFonts w:asciiTheme="minorHAnsi" w:hAnsiTheme="minorHAnsi" w:cstheme="minorHAnsi"/>
          <w:sz w:val="22"/>
          <w:szCs w:val="22"/>
        </w:rPr>
        <w:t>ryšių</w:t>
      </w:r>
      <w:r>
        <w:rPr>
          <w:rFonts w:asciiTheme="minorHAnsi" w:hAnsiTheme="minorHAnsi" w:cstheme="minorHAnsi"/>
          <w:sz w:val="22"/>
          <w:szCs w:val="22"/>
        </w:rPr>
        <w:t xml:space="preserve"> </w:t>
      </w:r>
      <w:r w:rsidRPr="003E5851">
        <w:rPr>
          <w:rFonts w:asciiTheme="minorHAnsi" w:hAnsiTheme="minorHAnsi" w:cstheme="minorHAnsi"/>
          <w:sz w:val="22"/>
          <w:szCs w:val="22"/>
        </w:rPr>
        <w:t>tinklai</w:t>
      </w:r>
      <w:r>
        <w:rPr>
          <w:rFonts w:asciiTheme="minorHAnsi" w:hAnsiTheme="minorHAnsi" w:cstheme="minorHAnsi"/>
          <w:sz w:val="22"/>
          <w:szCs w:val="22"/>
        </w:rPr>
        <w:t xml:space="preserve"> </w:t>
      </w:r>
      <w:r w:rsidRPr="003E5851">
        <w:rPr>
          <w:rFonts w:asciiTheme="minorHAnsi" w:hAnsiTheme="minorHAnsi" w:cstheme="minorHAnsi"/>
          <w:sz w:val="22"/>
          <w:szCs w:val="22"/>
        </w:rPr>
        <w:t>ir</w:t>
      </w:r>
      <w:r>
        <w:rPr>
          <w:rFonts w:asciiTheme="minorHAnsi" w:hAnsiTheme="minorHAnsi" w:cstheme="minorHAnsi"/>
          <w:sz w:val="22"/>
          <w:szCs w:val="22"/>
        </w:rPr>
        <w:t xml:space="preserve"> </w:t>
      </w:r>
      <w:r w:rsidRPr="003E5851">
        <w:rPr>
          <w:rFonts w:asciiTheme="minorHAnsi" w:hAnsiTheme="minorHAnsi" w:cstheme="minorHAnsi"/>
          <w:sz w:val="22"/>
          <w:szCs w:val="22"/>
        </w:rPr>
        <w:t>paslaugos</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Direktyva</w:t>
      </w:r>
      <w:r>
        <w:rPr>
          <w:rFonts w:asciiTheme="minorHAnsi" w:hAnsiTheme="minorHAnsi" w:cstheme="minorHAnsi"/>
          <w:sz w:val="22"/>
          <w:szCs w:val="22"/>
        </w:rPr>
        <w:t xml:space="preserve"> </w:t>
      </w:r>
      <w:r w:rsidRPr="003E5851">
        <w:rPr>
          <w:rFonts w:asciiTheme="minorHAnsi" w:hAnsiTheme="minorHAnsi" w:cstheme="minorHAnsi"/>
          <w:sz w:val="22"/>
          <w:szCs w:val="22"/>
        </w:rPr>
        <w:t>(ES)</w:t>
      </w:r>
      <w:r>
        <w:rPr>
          <w:rFonts w:asciiTheme="minorHAnsi" w:hAnsiTheme="minorHAnsi" w:cstheme="minorHAnsi"/>
          <w:sz w:val="22"/>
          <w:szCs w:val="22"/>
        </w:rPr>
        <w:t xml:space="preserve"> </w:t>
      </w:r>
      <w:r w:rsidRPr="003E5851">
        <w:rPr>
          <w:rFonts w:asciiTheme="minorHAnsi" w:hAnsiTheme="minorHAnsi" w:cstheme="minorHAnsi"/>
          <w:sz w:val="22"/>
          <w:szCs w:val="22"/>
        </w:rPr>
        <w:t>2018/1972</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13</w:t>
      </w:r>
      <w:r>
        <w:rPr>
          <w:rFonts w:asciiTheme="minorHAnsi" w:hAnsiTheme="minorHAnsi" w:cstheme="minorHAnsi"/>
          <w:sz w:val="22"/>
          <w:szCs w:val="22"/>
        </w:rPr>
        <w:t xml:space="preserve"> </w:t>
      </w:r>
      <w:r w:rsidRPr="003E5851">
        <w:rPr>
          <w:rFonts w:asciiTheme="minorHAnsi" w:hAnsiTheme="minorHAnsi" w:cstheme="minorHAnsi"/>
          <w:sz w:val="22"/>
          <w:szCs w:val="22"/>
        </w:rPr>
        <w:t>straipsnis</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Sąlygos,</w:t>
      </w:r>
      <w:r>
        <w:rPr>
          <w:rFonts w:asciiTheme="minorHAnsi" w:hAnsiTheme="minorHAnsi" w:cstheme="minorHAnsi"/>
          <w:sz w:val="22"/>
          <w:szCs w:val="22"/>
        </w:rPr>
        <w:t xml:space="preserve"> </w:t>
      </w:r>
      <w:r w:rsidRPr="003E5851">
        <w:rPr>
          <w:rFonts w:asciiTheme="minorHAnsi" w:hAnsiTheme="minorHAnsi" w:cstheme="minorHAnsi"/>
          <w:sz w:val="22"/>
          <w:szCs w:val="22"/>
        </w:rPr>
        <w:t>kurias</w:t>
      </w:r>
      <w:r>
        <w:rPr>
          <w:rFonts w:asciiTheme="minorHAnsi" w:hAnsiTheme="minorHAnsi" w:cstheme="minorHAnsi"/>
          <w:sz w:val="22"/>
          <w:szCs w:val="22"/>
        </w:rPr>
        <w:t xml:space="preserve"> </w:t>
      </w:r>
      <w:r w:rsidRPr="003E5851">
        <w:rPr>
          <w:rFonts w:asciiTheme="minorHAnsi" w:hAnsiTheme="minorHAnsi" w:cstheme="minorHAnsi"/>
          <w:sz w:val="22"/>
          <w:szCs w:val="22"/>
        </w:rPr>
        <w:t>galima</w:t>
      </w:r>
      <w:r>
        <w:rPr>
          <w:rFonts w:asciiTheme="minorHAnsi" w:hAnsiTheme="minorHAnsi" w:cstheme="minorHAnsi"/>
          <w:sz w:val="22"/>
          <w:szCs w:val="22"/>
        </w:rPr>
        <w:t xml:space="preserve"> </w:t>
      </w:r>
      <w:r w:rsidRPr="003E5851">
        <w:rPr>
          <w:rFonts w:asciiTheme="minorHAnsi" w:hAnsiTheme="minorHAnsi" w:cstheme="minorHAnsi"/>
          <w:sz w:val="22"/>
          <w:szCs w:val="22"/>
        </w:rPr>
        <w:t>nustatyti</w:t>
      </w:r>
      <w:r>
        <w:rPr>
          <w:rFonts w:asciiTheme="minorHAnsi" w:hAnsiTheme="minorHAnsi" w:cstheme="minorHAnsi"/>
          <w:sz w:val="22"/>
          <w:szCs w:val="22"/>
        </w:rPr>
        <w:t xml:space="preserve"> </w:t>
      </w:r>
      <w:r w:rsidRPr="003E5851">
        <w:rPr>
          <w:rFonts w:asciiTheme="minorHAnsi" w:hAnsiTheme="minorHAnsi" w:cstheme="minorHAnsi"/>
          <w:sz w:val="22"/>
          <w:szCs w:val="22"/>
        </w:rPr>
        <w:t>bendrajam</w:t>
      </w:r>
      <w:r>
        <w:rPr>
          <w:rFonts w:asciiTheme="minorHAnsi" w:hAnsiTheme="minorHAnsi" w:cstheme="minorHAnsi"/>
          <w:sz w:val="22"/>
          <w:szCs w:val="22"/>
        </w:rPr>
        <w:t xml:space="preserve"> </w:t>
      </w:r>
      <w:r w:rsidRPr="003E5851">
        <w:rPr>
          <w:rFonts w:asciiTheme="minorHAnsi" w:hAnsiTheme="minorHAnsi" w:cstheme="minorHAnsi"/>
          <w:sz w:val="22"/>
          <w:szCs w:val="22"/>
        </w:rPr>
        <w:t>leidimui</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I</w:t>
      </w:r>
      <w:r>
        <w:rPr>
          <w:rFonts w:asciiTheme="minorHAnsi" w:hAnsiTheme="minorHAnsi" w:cstheme="minorHAnsi"/>
          <w:sz w:val="22"/>
          <w:szCs w:val="22"/>
        </w:rPr>
        <w:t xml:space="preserve"> </w:t>
      </w:r>
      <w:r w:rsidRPr="003E5851">
        <w:rPr>
          <w:rFonts w:asciiTheme="minorHAnsi" w:hAnsiTheme="minorHAnsi" w:cstheme="minorHAnsi"/>
          <w:sz w:val="22"/>
          <w:szCs w:val="22"/>
        </w:rPr>
        <w:t>priedo</w:t>
      </w:r>
      <w:r>
        <w:rPr>
          <w:rFonts w:asciiTheme="minorHAnsi" w:hAnsiTheme="minorHAnsi" w:cstheme="minorHAnsi"/>
          <w:sz w:val="22"/>
          <w:szCs w:val="22"/>
        </w:rPr>
        <w:t xml:space="preserve"> </w:t>
      </w:r>
      <w:r w:rsidRPr="003E5851">
        <w:rPr>
          <w:rFonts w:asciiTheme="minorHAnsi" w:hAnsiTheme="minorHAnsi" w:cstheme="minorHAnsi"/>
          <w:sz w:val="22"/>
          <w:szCs w:val="22"/>
        </w:rPr>
        <w:t>A</w:t>
      </w:r>
      <w:r>
        <w:rPr>
          <w:rFonts w:asciiTheme="minorHAnsi" w:hAnsiTheme="minorHAnsi" w:cstheme="minorHAnsi"/>
          <w:sz w:val="22"/>
          <w:szCs w:val="22"/>
        </w:rPr>
        <w:t xml:space="preserve"> </w:t>
      </w:r>
      <w:r w:rsidRPr="003E5851">
        <w:rPr>
          <w:rFonts w:asciiTheme="minorHAnsi" w:hAnsiTheme="minorHAnsi" w:cstheme="minorHAnsi"/>
          <w:sz w:val="22"/>
          <w:szCs w:val="22"/>
        </w:rPr>
        <w:t>dalies</w:t>
      </w:r>
      <w:r>
        <w:rPr>
          <w:rFonts w:asciiTheme="minorHAnsi" w:hAnsiTheme="minorHAnsi" w:cstheme="minorHAnsi"/>
          <w:sz w:val="22"/>
          <w:szCs w:val="22"/>
        </w:rPr>
        <w:t xml:space="preserve"> </w:t>
      </w:r>
      <w:r w:rsidRPr="003E5851">
        <w:rPr>
          <w:rFonts w:asciiTheme="minorHAnsi" w:hAnsiTheme="minorHAnsi" w:cstheme="minorHAnsi"/>
          <w:sz w:val="22"/>
          <w:szCs w:val="22"/>
        </w:rPr>
        <w:t>4</w:t>
      </w:r>
      <w:r>
        <w:rPr>
          <w:rFonts w:asciiTheme="minorHAnsi" w:hAnsiTheme="minorHAnsi" w:cstheme="minorHAnsi"/>
          <w:sz w:val="22"/>
          <w:szCs w:val="22"/>
        </w:rPr>
        <w:t xml:space="preserve"> </w:t>
      </w:r>
      <w:r w:rsidRPr="003E5851">
        <w:rPr>
          <w:rFonts w:asciiTheme="minorHAnsi" w:hAnsiTheme="minorHAnsi" w:cstheme="minorHAnsi"/>
          <w:sz w:val="22"/>
          <w:szCs w:val="22"/>
        </w:rPr>
        <w:t>punktas</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Leidimas</w:t>
      </w:r>
      <w:r>
        <w:rPr>
          <w:rFonts w:asciiTheme="minorHAnsi" w:hAnsiTheme="minorHAnsi" w:cstheme="minorHAnsi"/>
          <w:sz w:val="22"/>
          <w:szCs w:val="22"/>
        </w:rPr>
        <w:t xml:space="preserve"> </w:t>
      </w:r>
      <w:r w:rsidRPr="003E5851">
        <w:rPr>
          <w:rFonts w:asciiTheme="minorHAnsi" w:hAnsiTheme="minorHAnsi" w:cstheme="minorHAnsi"/>
          <w:sz w:val="22"/>
          <w:szCs w:val="22"/>
        </w:rPr>
        <w:t>nacionalinėms</w:t>
      </w:r>
      <w:r>
        <w:rPr>
          <w:rFonts w:asciiTheme="minorHAnsi" w:hAnsiTheme="minorHAnsi" w:cstheme="minorHAnsi"/>
          <w:sz w:val="22"/>
          <w:szCs w:val="22"/>
        </w:rPr>
        <w:t xml:space="preserve"> </w:t>
      </w:r>
      <w:r w:rsidRPr="003E5851">
        <w:rPr>
          <w:rFonts w:asciiTheme="minorHAnsi" w:hAnsiTheme="minorHAnsi" w:cstheme="minorHAnsi"/>
          <w:sz w:val="22"/>
          <w:szCs w:val="22"/>
        </w:rPr>
        <w:t>kompetentingoms</w:t>
      </w:r>
      <w:r>
        <w:rPr>
          <w:rFonts w:asciiTheme="minorHAnsi" w:hAnsiTheme="minorHAnsi" w:cstheme="minorHAnsi"/>
          <w:sz w:val="22"/>
          <w:szCs w:val="22"/>
        </w:rPr>
        <w:t xml:space="preserve"> </w:t>
      </w:r>
      <w:r w:rsidRPr="003E5851">
        <w:rPr>
          <w:rFonts w:asciiTheme="minorHAnsi" w:hAnsiTheme="minorHAnsi" w:cstheme="minorHAnsi"/>
          <w:sz w:val="22"/>
          <w:szCs w:val="22"/>
        </w:rPr>
        <w:t>institucijoms</w:t>
      </w:r>
      <w:r>
        <w:rPr>
          <w:rFonts w:asciiTheme="minorHAnsi" w:hAnsiTheme="minorHAnsi" w:cstheme="minorHAnsi"/>
          <w:sz w:val="22"/>
          <w:szCs w:val="22"/>
        </w:rPr>
        <w:t xml:space="preserve"> </w:t>
      </w:r>
      <w:r w:rsidRPr="003E5851">
        <w:rPr>
          <w:rFonts w:asciiTheme="minorHAnsi" w:hAnsiTheme="minorHAnsi" w:cstheme="minorHAnsi"/>
          <w:sz w:val="22"/>
          <w:szCs w:val="22"/>
        </w:rPr>
        <w:t>teisėtai</w:t>
      </w:r>
      <w:r>
        <w:rPr>
          <w:rFonts w:asciiTheme="minorHAnsi" w:hAnsiTheme="minorHAnsi" w:cstheme="minorHAnsi"/>
          <w:sz w:val="22"/>
          <w:szCs w:val="22"/>
        </w:rPr>
        <w:t xml:space="preserve"> </w:t>
      </w:r>
      <w:r w:rsidRPr="003E5851">
        <w:rPr>
          <w:rFonts w:asciiTheme="minorHAnsi" w:hAnsiTheme="minorHAnsi" w:cstheme="minorHAnsi"/>
          <w:sz w:val="22"/>
          <w:szCs w:val="22"/>
        </w:rPr>
        <w:t>perimti</w:t>
      </w:r>
      <w:r>
        <w:rPr>
          <w:rFonts w:asciiTheme="minorHAnsi" w:hAnsiTheme="minorHAnsi" w:cstheme="minorHAnsi"/>
          <w:sz w:val="22"/>
          <w:szCs w:val="22"/>
        </w:rPr>
        <w:t xml:space="preserve"> </w:t>
      </w:r>
      <w:r w:rsidRPr="003E5851">
        <w:rPr>
          <w:rFonts w:asciiTheme="minorHAnsi" w:hAnsiTheme="minorHAnsi" w:cstheme="minorHAnsi"/>
          <w:sz w:val="22"/>
          <w:szCs w:val="22"/>
        </w:rPr>
        <w:t>informaciją</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3</w:t>
      </w:r>
      <w:r>
        <w:rPr>
          <w:rFonts w:asciiTheme="minorHAnsi" w:hAnsiTheme="minorHAnsi" w:cstheme="minorHAnsi"/>
          <w:sz w:val="22"/>
          <w:szCs w:val="22"/>
        </w:rPr>
        <w:t xml:space="preserve"> </w:t>
      </w:r>
      <w:r w:rsidRPr="003E5851">
        <w:rPr>
          <w:rFonts w:asciiTheme="minorHAnsi" w:hAnsiTheme="minorHAnsi" w:cstheme="minorHAnsi"/>
          <w:sz w:val="22"/>
          <w:szCs w:val="22"/>
        </w:rPr>
        <w:t>straipsnis</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Bendrieji</w:t>
      </w:r>
      <w:r>
        <w:rPr>
          <w:rFonts w:asciiTheme="minorHAnsi" w:hAnsiTheme="minorHAnsi" w:cstheme="minorHAnsi"/>
          <w:sz w:val="22"/>
          <w:szCs w:val="22"/>
        </w:rPr>
        <w:t xml:space="preserve"> </w:t>
      </w:r>
      <w:r w:rsidRPr="003E5851">
        <w:rPr>
          <w:rFonts w:asciiTheme="minorHAnsi" w:hAnsiTheme="minorHAnsi" w:cstheme="minorHAnsi"/>
          <w:sz w:val="22"/>
          <w:szCs w:val="22"/>
        </w:rPr>
        <w:t>tikslai</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Nacionalinės</w:t>
      </w:r>
      <w:r>
        <w:rPr>
          <w:rFonts w:asciiTheme="minorHAnsi" w:hAnsiTheme="minorHAnsi" w:cstheme="minorHAnsi"/>
          <w:sz w:val="22"/>
          <w:szCs w:val="22"/>
        </w:rPr>
        <w:t xml:space="preserve"> </w:t>
      </w:r>
      <w:r w:rsidRPr="003E5851">
        <w:rPr>
          <w:rFonts w:asciiTheme="minorHAnsi" w:hAnsiTheme="minorHAnsi" w:cstheme="minorHAnsi"/>
          <w:sz w:val="22"/>
          <w:szCs w:val="22"/>
        </w:rPr>
        <w:t>teisės</w:t>
      </w:r>
      <w:r>
        <w:rPr>
          <w:rFonts w:asciiTheme="minorHAnsi" w:hAnsiTheme="minorHAnsi" w:cstheme="minorHAnsi"/>
          <w:sz w:val="22"/>
          <w:szCs w:val="22"/>
        </w:rPr>
        <w:t xml:space="preserve"> </w:t>
      </w:r>
      <w:r w:rsidRPr="003E5851">
        <w:rPr>
          <w:rFonts w:asciiTheme="minorHAnsi" w:hAnsiTheme="minorHAnsi" w:cstheme="minorHAnsi"/>
          <w:sz w:val="22"/>
          <w:szCs w:val="22"/>
        </w:rPr>
        <w:t>aktai,</w:t>
      </w:r>
      <w:r>
        <w:rPr>
          <w:rFonts w:asciiTheme="minorHAnsi" w:hAnsiTheme="minorHAnsi" w:cstheme="minorHAnsi"/>
          <w:sz w:val="22"/>
          <w:szCs w:val="22"/>
        </w:rPr>
        <w:t xml:space="preserve"> </w:t>
      </w:r>
      <w:r w:rsidRPr="003E5851">
        <w:rPr>
          <w:rFonts w:asciiTheme="minorHAnsi" w:hAnsiTheme="minorHAnsi" w:cstheme="minorHAnsi"/>
          <w:sz w:val="22"/>
          <w:szCs w:val="22"/>
        </w:rPr>
        <w:t>reglamentuojantys</w:t>
      </w:r>
      <w:r>
        <w:rPr>
          <w:rFonts w:asciiTheme="minorHAnsi" w:hAnsiTheme="minorHAnsi" w:cstheme="minorHAnsi"/>
          <w:sz w:val="22"/>
          <w:szCs w:val="22"/>
        </w:rPr>
        <w:t xml:space="preserve"> </w:t>
      </w:r>
      <w:r w:rsidRPr="003E5851">
        <w:rPr>
          <w:rFonts w:asciiTheme="minorHAnsi" w:hAnsiTheme="minorHAnsi" w:cstheme="minorHAnsi"/>
          <w:sz w:val="22"/>
          <w:szCs w:val="22"/>
        </w:rPr>
        <w:t>sąnaudų,</w:t>
      </w:r>
      <w:r>
        <w:rPr>
          <w:rFonts w:asciiTheme="minorHAnsi" w:hAnsiTheme="minorHAnsi" w:cstheme="minorHAnsi"/>
          <w:sz w:val="22"/>
          <w:szCs w:val="22"/>
        </w:rPr>
        <w:t xml:space="preserve"> </w:t>
      </w:r>
      <w:r w:rsidRPr="003E5851">
        <w:rPr>
          <w:rFonts w:asciiTheme="minorHAnsi" w:hAnsiTheme="minorHAnsi" w:cstheme="minorHAnsi"/>
          <w:sz w:val="22"/>
          <w:szCs w:val="22"/>
        </w:rPr>
        <w:t>patirtų</w:t>
      </w:r>
      <w:r>
        <w:rPr>
          <w:rFonts w:asciiTheme="minorHAnsi" w:hAnsiTheme="minorHAnsi" w:cstheme="minorHAnsi"/>
          <w:sz w:val="22"/>
          <w:szCs w:val="22"/>
        </w:rPr>
        <w:t xml:space="preserve"> </w:t>
      </w:r>
      <w:r w:rsidRPr="003E5851">
        <w:rPr>
          <w:rFonts w:asciiTheme="minorHAnsi" w:hAnsiTheme="minorHAnsi" w:cstheme="minorHAnsi"/>
          <w:sz w:val="22"/>
          <w:szCs w:val="22"/>
        </w:rPr>
        <w:t>telekomunikacijų</w:t>
      </w:r>
      <w:r>
        <w:rPr>
          <w:rFonts w:asciiTheme="minorHAnsi" w:hAnsiTheme="minorHAnsi" w:cstheme="minorHAnsi"/>
          <w:sz w:val="22"/>
          <w:szCs w:val="22"/>
        </w:rPr>
        <w:t xml:space="preserve"> </w:t>
      </w:r>
      <w:r w:rsidRPr="003E5851">
        <w:rPr>
          <w:rFonts w:asciiTheme="minorHAnsi" w:hAnsiTheme="minorHAnsi" w:cstheme="minorHAnsi"/>
          <w:sz w:val="22"/>
          <w:szCs w:val="22"/>
        </w:rPr>
        <w:t>operatoriams</w:t>
      </w:r>
      <w:r>
        <w:rPr>
          <w:rFonts w:asciiTheme="minorHAnsi" w:hAnsiTheme="minorHAnsi" w:cstheme="minorHAnsi"/>
          <w:sz w:val="22"/>
          <w:szCs w:val="22"/>
        </w:rPr>
        <w:t xml:space="preserve"> </w:t>
      </w:r>
      <w:r w:rsidRPr="003E5851">
        <w:rPr>
          <w:rFonts w:asciiTheme="minorHAnsi" w:hAnsiTheme="minorHAnsi" w:cstheme="minorHAnsi"/>
          <w:sz w:val="22"/>
          <w:szCs w:val="22"/>
        </w:rPr>
        <w:t>teisminių</w:t>
      </w:r>
      <w:r>
        <w:rPr>
          <w:rFonts w:asciiTheme="minorHAnsi" w:hAnsiTheme="minorHAnsi" w:cstheme="minorHAnsi"/>
          <w:sz w:val="22"/>
          <w:szCs w:val="22"/>
        </w:rPr>
        <w:t xml:space="preserve"> </w:t>
      </w:r>
      <w:r w:rsidRPr="003E5851">
        <w:rPr>
          <w:rFonts w:asciiTheme="minorHAnsi" w:hAnsiTheme="minorHAnsi" w:cstheme="minorHAnsi"/>
          <w:sz w:val="22"/>
          <w:szCs w:val="22"/>
        </w:rPr>
        <w:t>institucijų</w:t>
      </w:r>
      <w:r>
        <w:rPr>
          <w:rFonts w:asciiTheme="minorHAnsi" w:hAnsiTheme="minorHAnsi" w:cstheme="minorHAnsi"/>
          <w:sz w:val="22"/>
          <w:szCs w:val="22"/>
        </w:rPr>
        <w:t xml:space="preserve"> </w:t>
      </w:r>
      <w:r w:rsidRPr="003E5851">
        <w:rPr>
          <w:rFonts w:asciiTheme="minorHAnsi" w:hAnsiTheme="minorHAnsi" w:cstheme="minorHAnsi"/>
          <w:sz w:val="22"/>
          <w:szCs w:val="22"/>
        </w:rPr>
        <w:t>nurodymu</w:t>
      </w:r>
      <w:r>
        <w:rPr>
          <w:rFonts w:asciiTheme="minorHAnsi" w:hAnsiTheme="minorHAnsi" w:cstheme="minorHAnsi"/>
          <w:sz w:val="22"/>
          <w:szCs w:val="22"/>
        </w:rPr>
        <w:t xml:space="preserve"> </w:t>
      </w:r>
      <w:r w:rsidRPr="003E5851">
        <w:rPr>
          <w:rFonts w:asciiTheme="minorHAnsi" w:hAnsiTheme="minorHAnsi" w:cstheme="minorHAnsi"/>
          <w:sz w:val="22"/>
          <w:szCs w:val="22"/>
        </w:rPr>
        <w:t>vykdant</w:t>
      </w:r>
      <w:r>
        <w:rPr>
          <w:rFonts w:asciiTheme="minorHAnsi" w:hAnsiTheme="minorHAnsi" w:cstheme="minorHAnsi"/>
          <w:sz w:val="22"/>
          <w:szCs w:val="22"/>
        </w:rPr>
        <w:t xml:space="preserve"> </w:t>
      </w:r>
      <w:r w:rsidRPr="003E5851">
        <w:rPr>
          <w:rFonts w:asciiTheme="minorHAnsi" w:hAnsiTheme="minorHAnsi" w:cstheme="minorHAnsi"/>
          <w:sz w:val="22"/>
          <w:szCs w:val="22"/>
        </w:rPr>
        <w:t>perimties</w:t>
      </w:r>
      <w:r>
        <w:rPr>
          <w:rFonts w:asciiTheme="minorHAnsi" w:hAnsiTheme="minorHAnsi" w:cstheme="minorHAnsi"/>
          <w:sz w:val="22"/>
          <w:szCs w:val="22"/>
        </w:rPr>
        <w:t xml:space="preserve"> </w:t>
      </w:r>
      <w:r w:rsidRPr="003E5851">
        <w:rPr>
          <w:rFonts w:asciiTheme="minorHAnsi" w:hAnsiTheme="minorHAnsi" w:cstheme="minorHAnsi"/>
          <w:sz w:val="22"/>
          <w:szCs w:val="22"/>
        </w:rPr>
        <w:t>veiklą,</w:t>
      </w:r>
      <w:r>
        <w:rPr>
          <w:rFonts w:asciiTheme="minorHAnsi" w:hAnsiTheme="minorHAnsi" w:cstheme="minorHAnsi"/>
          <w:sz w:val="22"/>
          <w:szCs w:val="22"/>
        </w:rPr>
        <w:t xml:space="preserve"> </w:t>
      </w:r>
      <w:r w:rsidRPr="003E5851">
        <w:rPr>
          <w:rFonts w:asciiTheme="minorHAnsi" w:hAnsiTheme="minorHAnsi" w:cstheme="minorHAnsi"/>
          <w:sz w:val="22"/>
          <w:szCs w:val="22"/>
        </w:rPr>
        <w:t>kompensavimą</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Visiško</w:t>
      </w:r>
      <w:r>
        <w:rPr>
          <w:rFonts w:asciiTheme="minorHAnsi" w:hAnsiTheme="minorHAnsi" w:cstheme="minorHAnsi"/>
          <w:sz w:val="22"/>
          <w:szCs w:val="22"/>
        </w:rPr>
        <w:t xml:space="preserve"> </w:t>
      </w:r>
      <w:r w:rsidRPr="003E5851">
        <w:rPr>
          <w:rFonts w:asciiTheme="minorHAnsi" w:hAnsiTheme="minorHAnsi" w:cstheme="minorHAnsi"/>
          <w:sz w:val="22"/>
          <w:szCs w:val="22"/>
        </w:rPr>
        <w:t>kompensavimo</w:t>
      </w:r>
      <w:r>
        <w:rPr>
          <w:rFonts w:asciiTheme="minorHAnsi" w:hAnsiTheme="minorHAnsi" w:cstheme="minorHAnsi"/>
          <w:sz w:val="22"/>
          <w:szCs w:val="22"/>
        </w:rPr>
        <w:t xml:space="preserve"> </w:t>
      </w:r>
      <w:r w:rsidRPr="003E5851">
        <w:rPr>
          <w:rFonts w:asciiTheme="minorHAnsi" w:hAnsiTheme="minorHAnsi" w:cstheme="minorHAnsi"/>
          <w:sz w:val="22"/>
          <w:szCs w:val="22"/>
        </w:rPr>
        <w:t>mechanizmo</w:t>
      </w:r>
      <w:r>
        <w:rPr>
          <w:rFonts w:asciiTheme="minorHAnsi" w:hAnsiTheme="minorHAnsi" w:cstheme="minorHAnsi"/>
          <w:sz w:val="22"/>
          <w:szCs w:val="22"/>
        </w:rPr>
        <w:t xml:space="preserve"> </w:t>
      </w:r>
      <w:r w:rsidRPr="003E5851">
        <w:rPr>
          <w:rFonts w:asciiTheme="minorHAnsi" w:hAnsiTheme="minorHAnsi" w:cstheme="minorHAnsi"/>
          <w:sz w:val="22"/>
          <w:szCs w:val="22"/>
        </w:rPr>
        <w:t>nebuvimas</w:t>
      </w:r>
      <w:r>
        <w:rPr>
          <w:rFonts w:asciiTheme="minorHAnsi" w:hAnsiTheme="minorHAnsi" w:cstheme="minorHAnsi"/>
          <w:sz w:val="22"/>
          <w:szCs w:val="22"/>
        </w:rPr>
        <w:t xml:space="preserve"> </w:t>
      </w:r>
      <w:r w:rsidRPr="003E5851">
        <w:rPr>
          <w:rFonts w:asciiTheme="minorHAnsi" w:hAnsiTheme="minorHAnsi" w:cstheme="minorHAnsi"/>
          <w:sz w:val="22"/>
          <w:szCs w:val="22"/>
        </w:rPr>
        <w:t>–</w:t>
      </w:r>
      <w:r>
        <w:rPr>
          <w:rFonts w:asciiTheme="minorHAnsi" w:hAnsiTheme="minorHAnsi" w:cstheme="minorHAnsi"/>
          <w:sz w:val="22"/>
          <w:szCs w:val="22"/>
        </w:rPr>
        <w:t xml:space="preserve"> </w:t>
      </w:r>
      <w:r w:rsidRPr="003E5851">
        <w:rPr>
          <w:rFonts w:asciiTheme="minorHAnsi" w:hAnsiTheme="minorHAnsi" w:cstheme="minorHAnsi"/>
          <w:sz w:val="22"/>
          <w:szCs w:val="22"/>
        </w:rPr>
        <w:t>Nediskriminavimo,</w:t>
      </w:r>
      <w:r>
        <w:rPr>
          <w:rFonts w:asciiTheme="minorHAnsi" w:hAnsiTheme="minorHAnsi" w:cstheme="minorHAnsi"/>
          <w:sz w:val="22"/>
          <w:szCs w:val="22"/>
        </w:rPr>
        <w:t xml:space="preserve"> </w:t>
      </w:r>
      <w:r w:rsidRPr="003E5851">
        <w:rPr>
          <w:rFonts w:asciiTheme="minorHAnsi" w:hAnsiTheme="minorHAnsi" w:cstheme="minorHAnsi"/>
          <w:sz w:val="22"/>
          <w:szCs w:val="22"/>
        </w:rPr>
        <w:t>proporcingumo</w:t>
      </w:r>
      <w:r>
        <w:rPr>
          <w:rFonts w:asciiTheme="minorHAnsi" w:hAnsiTheme="minorHAnsi" w:cstheme="minorHAnsi"/>
          <w:sz w:val="22"/>
          <w:szCs w:val="22"/>
        </w:rPr>
        <w:t xml:space="preserve"> </w:t>
      </w:r>
      <w:r w:rsidRPr="003E5851">
        <w:rPr>
          <w:rFonts w:asciiTheme="minorHAnsi" w:hAnsiTheme="minorHAnsi" w:cstheme="minorHAnsi"/>
          <w:sz w:val="22"/>
          <w:szCs w:val="22"/>
        </w:rPr>
        <w:t>ir</w:t>
      </w:r>
      <w:r>
        <w:rPr>
          <w:rFonts w:asciiTheme="minorHAnsi" w:hAnsiTheme="minorHAnsi" w:cstheme="minorHAnsi"/>
          <w:sz w:val="22"/>
          <w:szCs w:val="22"/>
        </w:rPr>
        <w:t xml:space="preserve"> </w:t>
      </w:r>
      <w:r w:rsidRPr="003E5851">
        <w:rPr>
          <w:rFonts w:asciiTheme="minorHAnsi" w:hAnsiTheme="minorHAnsi" w:cstheme="minorHAnsi"/>
          <w:sz w:val="22"/>
          <w:szCs w:val="22"/>
        </w:rPr>
        <w:t>skaidrumo</w:t>
      </w:r>
      <w:r>
        <w:rPr>
          <w:rFonts w:asciiTheme="minorHAnsi" w:hAnsiTheme="minorHAnsi" w:cstheme="minorHAnsi"/>
          <w:sz w:val="22"/>
          <w:szCs w:val="22"/>
        </w:rPr>
        <w:t xml:space="preserve"> </w:t>
      </w:r>
      <w:r w:rsidRPr="003E5851">
        <w:rPr>
          <w:rFonts w:asciiTheme="minorHAnsi" w:hAnsiTheme="minorHAnsi" w:cstheme="minorHAnsi"/>
          <w:sz w:val="22"/>
          <w:szCs w:val="22"/>
        </w:rPr>
        <w:t>principai</w:t>
      </w:r>
    </w:p>
    <w:p w14:paraId="41087FD3" w14:textId="77777777" w:rsidR="0073229D" w:rsidRPr="004256B6" w:rsidRDefault="0073229D" w:rsidP="0073229D">
      <w:pPr>
        <w:pStyle w:val="c01pointnumerotealtn"/>
        <w:shd w:val="clear" w:color="auto" w:fill="FFFFFF"/>
        <w:spacing w:before="0" w:beforeAutospacing="0" w:after="0"/>
        <w:ind w:left="0" w:firstLine="567"/>
        <w:rPr>
          <w:rFonts w:asciiTheme="minorHAnsi" w:hAnsiTheme="minorHAnsi" w:cstheme="minorHAnsi"/>
          <w:sz w:val="22"/>
          <w:szCs w:val="22"/>
        </w:rPr>
      </w:pPr>
    </w:p>
    <w:p w14:paraId="7E1CAB00" w14:textId="77777777" w:rsidR="0073229D" w:rsidRPr="004256B6" w:rsidRDefault="0073229D" w:rsidP="0073229D">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lastRenderedPageBreak/>
        <w:t>Bylos</w:t>
      </w:r>
      <w:r>
        <w:rPr>
          <w:rFonts w:asciiTheme="minorHAnsi" w:hAnsiTheme="minorHAnsi" w:cstheme="minorHAnsi"/>
          <w:b/>
          <w:bCs/>
          <w:color w:val="000000"/>
          <w:shd w:val="clear" w:color="auto" w:fill="FFFFFF"/>
        </w:rPr>
        <w:t xml:space="preserve"> </w:t>
      </w:r>
      <w:r w:rsidRPr="004256B6">
        <w:rPr>
          <w:rFonts w:asciiTheme="minorHAnsi" w:hAnsiTheme="minorHAnsi" w:cstheme="minorHAnsi"/>
          <w:b/>
          <w:bCs/>
          <w:color w:val="000000"/>
          <w:shd w:val="clear" w:color="auto" w:fill="FFFFFF"/>
        </w:rPr>
        <w:t>aplinkybės</w:t>
      </w:r>
    </w:p>
    <w:p w14:paraId="2CD907AD" w14:textId="77777777" w:rsidR="0073229D" w:rsidRPr="004256B6" w:rsidRDefault="0073229D" w:rsidP="0073229D">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1D084840" w14:textId="77777777" w:rsidR="0073229D" w:rsidRDefault="0073229D" w:rsidP="0073229D">
      <w:pPr>
        <w:ind w:firstLine="567"/>
        <w:rPr>
          <w:rFonts w:asciiTheme="minorHAnsi" w:hAnsiTheme="minorHAnsi" w:cstheme="minorHAnsi"/>
          <w:color w:val="000000"/>
          <w:shd w:val="clear" w:color="auto" w:fill="FFFFFF"/>
        </w:rPr>
      </w:pPr>
      <w:r w:rsidRPr="0054625C">
        <w:rPr>
          <w:rFonts w:asciiTheme="minorHAnsi" w:hAnsiTheme="minorHAnsi" w:cstheme="minorHAnsi"/>
          <w:color w:val="000000"/>
          <w:shd w:val="clear" w:color="auto" w:fill="FFFFFF"/>
        </w:rPr>
        <w:t>Prašymas</w:t>
      </w:r>
      <w:r>
        <w:rPr>
          <w:rFonts w:asciiTheme="minorHAnsi" w:hAnsiTheme="minorHAnsi" w:cstheme="minorHAnsi"/>
          <w:color w:val="000000"/>
          <w:shd w:val="clear" w:color="auto" w:fill="FFFFFF"/>
        </w:rPr>
        <w:t xml:space="preserve"> </w:t>
      </w:r>
      <w:r w:rsidRPr="0054625C">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54625C">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54625C">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54625C">
        <w:rPr>
          <w:rFonts w:asciiTheme="minorHAnsi" w:hAnsiTheme="minorHAnsi" w:cstheme="minorHAnsi"/>
          <w:color w:val="000000"/>
          <w:shd w:val="clear" w:color="auto" w:fill="FFFFFF"/>
        </w:rPr>
        <w:t>pateiktas</w:t>
      </w:r>
      <w:r>
        <w:rPr>
          <w:rFonts w:asciiTheme="minorHAnsi" w:hAnsiTheme="minorHAnsi" w:cstheme="minorHAnsi"/>
          <w:color w:val="000000"/>
          <w:shd w:val="clear" w:color="auto" w:fill="FFFFFF"/>
        </w:rPr>
        <w:t xml:space="preserve"> </w:t>
      </w:r>
      <w:r w:rsidRPr="0054625C">
        <w:rPr>
          <w:rFonts w:asciiTheme="minorHAnsi" w:hAnsiTheme="minorHAnsi" w:cstheme="minorHAnsi"/>
          <w:color w:val="000000"/>
          <w:shd w:val="clear" w:color="auto" w:fill="FFFFFF"/>
        </w:rPr>
        <w:t>nagrinėjant</w:t>
      </w:r>
      <w:r>
        <w:rPr>
          <w:rFonts w:asciiTheme="minorHAnsi" w:hAnsiTheme="minorHAnsi" w:cstheme="minorHAnsi"/>
          <w:color w:val="000000"/>
          <w:shd w:val="clear" w:color="auto" w:fill="FFFFFF"/>
        </w:rPr>
        <w:t xml:space="preserve"> keturių </w:t>
      </w:r>
      <w:r w:rsidRPr="00EB21E5">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EB21E5">
        <w:rPr>
          <w:rFonts w:asciiTheme="minorHAnsi" w:hAnsiTheme="minorHAnsi" w:cstheme="minorHAnsi"/>
          <w:color w:val="000000"/>
          <w:shd w:val="clear" w:color="auto" w:fill="FFFFFF"/>
        </w:rPr>
        <w:t>operatori</w:t>
      </w:r>
      <w:r>
        <w:rPr>
          <w:rFonts w:asciiTheme="minorHAnsi" w:hAnsiTheme="minorHAnsi" w:cstheme="minorHAnsi"/>
          <w:color w:val="000000"/>
          <w:shd w:val="clear" w:color="auto" w:fill="FFFFFF"/>
        </w:rPr>
        <w:t>ų (toliau – s</w:t>
      </w:r>
      <w:r w:rsidRPr="006B796B">
        <w:rPr>
          <w:rFonts w:asciiTheme="minorHAnsi" w:hAnsiTheme="minorHAnsi" w:cstheme="minorHAnsi"/>
          <w:color w:val="000000"/>
          <w:shd w:val="clear" w:color="auto" w:fill="FFFFFF"/>
        </w:rPr>
        <w:t>uinteresuotieji</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operatoriai</w:t>
      </w:r>
      <w:r>
        <w:rPr>
          <w:rFonts w:asciiTheme="minorHAnsi" w:hAnsiTheme="minorHAnsi" w:cstheme="minorHAnsi"/>
          <w:color w:val="000000"/>
          <w:shd w:val="clear" w:color="auto" w:fill="FFFFFF"/>
        </w:rPr>
        <w:t xml:space="preserve">) </w:t>
      </w:r>
      <w:r w:rsidRPr="00EB21E5">
        <w:rPr>
          <w:rFonts w:asciiTheme="minorHAnsi" w:hAnsiTheme="minorHAnsi" w:cstheme="minorHAnsi"/>
          <w:color w:val="000000"/>
          <w:shd w:val="clear" w:color="auto" w:fill="FFFFFF"/>
        </w:rPr>
        <w:t>ginč</w:t>
      </w:r>
      <w:r>
        <w:rPr>
          <w:rFonts w:asciiTheme="minorHAnsi" w:hAnsiTheme="minorHAnsi" w:cstheme="minorHAnsi"/>
          <w:color w:val="000000"/>
          <w:shd w:val="clear" w:color="auto" w:fill="FFFFFF"/>
        </w:rPr>
        <w:t xml:space="preserve">us </w:t>
      </w:r>
      <w:r w:rsidRPr="00EB21E5">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įvairiomis Italijos valstybinėmis institucijomis </w:t>
      </w:r>
      <w:r w:rsidRPr="009F7C05">
        <w:rPr>
          <w:rFonts w:asciiTheme="minorHAnsi" w:hAnsiTheme="minorHAnsi" w:cstheme="minorHAnsi"/>
          <w:color w:val="000000"/>
          <w:shd w:val="clear" w:color="auto" w:fill="FFFFFF"/>
        </w:rPr>
        <w:t>dėl</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nacionalinės</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aktų,</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kuriais</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visi</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nacionalinėje</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teritorijoje</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veikiantys</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operatoriai,</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teisminių</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institucijų</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reikalavimu,</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įpareigojami</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už</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metinį</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fiksuotą</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mokestį</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teikti</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perimties</w:t>
      </w:r>
      <w:r>
        <w:rPr>
          <w:rFonts w:asciiTheme="minorHAnsi" w:hAnsiTheme="minorHAnsi" w:cstheme="minorHAnsi"/>
          <w:color w:val="000000"/>
          <w:shd w:val="clear" w:color="auto" w:fill="FFFFFF"/>
        </w:rPr>
        <w:t xml:space="preserve"> </w:t>
      </w:r>
      <w:r w:rsidRPr="009F7C05">
        <w:rPr>
          <w:rFonts w:asciiTheme="minorHAnsi" w:hAnsiTheme="minorHAnsi" w:cstheme="minorHAnsi"/>
          <w:color w:val="000000"/>
          <w:shd w:val="clear" w:color="auto" w:fill="FFFFFF"/>
        </w:rPr>
        <w:t>paslaugas.</w:t>
      </w:r>
    </w:p>
    <w:p w14:paraId="61C86EE7" w14:textId="77777777" w:rsidR="0073229D" w:rsidRDefault="0073229D" w:rsidP="0073229D">
      <w:pPr>
        <w:ind w:firstLine="567"/>
        <w:rPr>
          <w:rFonts w:asciiTheme="minorHAnsi" w:hAnsiTheme="minorHAnsi" w:cstheme="minorHAnsi"/>
          <w:color w:val="000000"/>
          <w:shd w:val="clear" w:color="auto" w:fill="FFFFFF"/>
        </w:rPr>
      </w:pPr>
      <w:r w:rsidRPr="00357C65">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Italijos</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teisę,</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teisminių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institucijų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reikalavimu,</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operatoriai</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privalo</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vykdyti</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(balso,</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kompiuterinių,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telematinių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duomenų)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srautų</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perimties</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operacijas</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už</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metinį</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fiksuotą</w:t>
      </w:r>
      <w:r>
        <w:rPr>
          <w:rFonts w:asciiTheme="minorHAnsi" w:hAnsiTheme="minorHAnsi" w:cstheme="minorHAnsi"/>
          <w:color w:val="000000"/>
          <w:shd w:val="clear" w:color="auto" w:fill="FFFFFF"/>
        </w:rPr>
        <w:t xml:space="preserve"> </w:t>
      </w:r>
      <w:r w:rsidRPr="00357C65">
        <w:rPr>
          <w:rFonts w:asciiTheme="minorHAnsi" w:hAnsiTheme="minorHAnsi" w:cstheme="minorHAnsi"/>
          <w:color w:val="000000"/>
          <w:shd w:val="clear" w:color="auto" w:fill="FFFFFF"/>
        </w:rPr>
        <w:t>mokestį.</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Vykdydami</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savo</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veiklą</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suinteresuotieji</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operatoriai</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privalėjo</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atlikti</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tokias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perimties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operacijas.</w:t>
      </w:r>
      <w:r>
        <w:rPr>
          <w:rFonts w:asciiTheme="minorHAnsi" w:hAnsiTheme="minorHAnsi" w:cstheme="minorHAnsi"/>
          <w:color w:val="000000"/>
          <w:shd w:val="clear" w:color="auto" w:fill="FFFFFF"/>
        </w:rPr>
        <w:t xml:space="preserve"> U</w:t>
      </w:r>
      <w:r w:rsidRPr="004070AB">
        <w:rPr>
          <w:rFonts w:asciiTheme="minorHAnsi" w:hAnsiTheme="minorHAnsi" w:cstheme="minorHAnsi"/>
          <w:color w:val="000000"/>
          <w:shd w:val="clear" w:color="auto" w:fill="FFFFFF"/>
        </w:rPr>
        <w:t>ž</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šias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paslaugas</w:t>
      </w:r>
      <w:r>
        <w:rPr>
          <w:rFonts w:asciiTheme="minorHAnsi" w:hAnsiTheme="minorHAnsi" w:cstheme="minorHAnsi"/>
          <w:color w:val="000000"/>
          <w:shd w:val="clear" w:color="auto" w:fill="FFFFFF"/>
        </w:rPr>
        <w:t xml:space="preserve"> mokėtinos </w:t>
      </w:r>
      <w:r w:rsidRPr="004070AB">
        <w:rPr>
          <w:rFonts w:asciiTheme="minorHAnsi" w:hAnsiTheme="minorHAnsi" w:cstheme="minorHAnsi"/>
          <w:color w:val="000000"/>
          <w:shd w:val="clear" w:color="auto" w:fill="FFFFFF"/>
        </w:rPr>
        <w:t>sumos,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pradžių</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nustatytos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ministro</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dekretu,</w:t>
      </w:r>
      <w:r>
        <w:rPr>
          <w:rFonts w:asciiTheme="minorHAnsi" w:hAnsiTheme="minorHAnsi" w:cstheme="minorHAnsi"/>
          <w:color w:val="000000"/>
          <w:shd w:val="clear" w:color="auto" w:fill="FFFFFF"/>
        </w:rPr>
        <w:t xml:space="preserve"> vėliau </w:t>
      </w:r>
      <w:r w:rsidRPr="004070AB">
        <w:rPr>
          <w:rFonts w:asciiTheme="minorHAnsi" w:hAnsiTheme="minorHAnsi" w:cstheme="minorHAnsi"/>
          <w:color w:val="000000"/>
          <w:shd w:val="clear" w:color="auto" w:fill="FFFFFF"/>
        </w:rPr>
        <w:t>buvo</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pakeistos</w:t>
      </w:r>
      <w:r>
        <w:rPr>
          <w:rFonts w:asciiTheme="minorHAnsi" w:hAnsiTheme="minorHAnsi" w:cstheme="minorHAnsi"/>
          <w:color w:val="000000"/>
          <w:shd w:val="clear" w:color="auto" w:fill="FFFFFF"/>
        </w:rPr>
        <w:t xml:space="preserve"> </w:t>
      </w:r>
      <w:r w:rsidRPr="003B4742">
        <w:rPr>
          <w:rFonts w:asciiTheme="minorHAnsi" w:hAnsiTheme="minorHAnsi" w:cstheme="minorHAnsi"/>
          <w:color w:val="000000"/>
          <w:shd w:val="clear" w:color="auto" w:fill="FFFFFF"/>
        </w:rPr>
        <w:t>2017</w:t>
      </w:r>
      <w:r>
        <w:rPr>
          <w:rFonts w:asciiTheme="minorHAnsi" w:hAnsiTheme="minorHAnsi" w:cstheme="minorHAnsi"/>
          <w:color w:val="000000"/>
          <w:shd w:val="clear" w:color="auto" w:fill="FFFFFF"/>
        </w:rPr>
        <w:t xml:space="preserve"> </w:t>
      </w:r>
      <w:r w:rsidRPr="003B4742">
        <w:rPr>
          <w:rFonts w:asciiTheme="minorHAnsi" w:hAnsiTheme="minorHAnsi" w:cstheme="minorHAnsi"/>
          <w:color w:val="000000"/>
          <w:shd w:val="clear" w:color="auto" w:fill="FFFFFF"/>
        </w:rPr>
        <w:t>m.</w:t>
      </w:r>
      <w:r>
        <w:rPr>
          <w:rFonts w:asciiTheme="minorHAnsi" w:hAnsiTheme="minorHAnsi" w:cstheme="minorHAnsi"/>
          <w:color w:val="000000"/>
          <w:shd w:val="clear" w:color="auto" w:fill="FFFFFF"/>
        </w:rPr>
        <w:t xml:space="preserve"> </w:t>
      </w:r>
      <w:r w:rsidRPr="003B4742">
        <w:rPr>
          <w:rFonts w:asciiTheme="minorHAnsi" w:hAnsiTheme="minorHAnsi" w:cstheme="minorHAnsi"/>
          <w:color w:val="000000"/>
          <w:shd w:val="clear" w:color="auto" w:fill="FFFFFF"/>
        </w:rPr>
        <w:t>gruodžio</w:t>
      </w:r>
      <w:r>
        <w:rPr>
          <w:rFonts w:asciiTheme="minorHAnsi" w:hAnsiTheme="minorHAnsi" w:cstheme="minorHAnsi"/>
          <w:color w:val="000000"/>
          <w:shd w:val="clear" w:color="auto" w:fill="FFFFFF"/>
        </w:rPr>
        <w:t xml:space="preserve"> </w:t>
      </w:r>
      <w:r w:rsidRPr="003B4742">
        <w:rPr>
          <w:rFonts w:asciiTheme="minorHAnsi" w:hAnsiTheme="minorHAnsi" w:cstheme="minorHAnsi"/>
          <w:color w:val="000000"/>
          <w:shd w:val="clear" w:color="auto" w:fill="FFFFFF"/>
        </w:rPr>
        <w:t>28</w:t>
      </w:r>
      <w:r>
        <w:rPr>
          <w:rFonts w:asciiTheme="minorHAnsi" w:hAnsiTheme="minorHAnsi" w:cstheme="minorHAnsi"/>
          <w:color w:val="000000"/>
          <w:shd w:val="clear" w:color="auto" w:fill="FFFFFF"/>
        </w:rPr>
        <w:t xml:space="preserve"> </w:t>
      </w:r>
      <w:r w:rsidRPr="003B4742">
        <w:rPr>
          <w:rFonts w:asciiTheme="minorHAnsi" w:hAnsiTheme="minorHAnsi" w:cstheme="minorHAnsi"/>
          <w:color w:val="000000"/>
          <w:shd w:val="clear" w:color="auto" w:fill="FFFFFF"/>
        </w:rPr>
        <w:t>d.</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tarpministeriniu</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dekretu</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sumažin</w:t>
      </w:r>
      <w:r>
        <w:rPr>
          <w:rFonts w:asciiTheme="minorHAnsi" w:hAnsiTheme="minorHAnsi" w:cstheme="minorHAnsi"/>
          <w:color w:val="000000"/>
          <w:shd w:val="clear" w:color="auto" w:fill="FFFFFF"/>
        </w:rPr>
        <w:t xml:space="preserve">ant </w:t>
      </w:r>
      <w:r w:rsidRPr="004070AB">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nurodytomis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perimties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operacijomis</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susijusių</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sąnaudų</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kompensavimą</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mažiausiai</w:t>
      </w:r>
      <w:r>
        <w:rPr>
          <w:rFonts w:asciiTheme="minorHAnsi" w:hAnsiTheme="minorHAnsi" w:cstheme="minorHAnsi"/>
          <w:color w:val="000000"/>
          <w:shd w:val="clear" w:color="auto" w:fill="FFFFFF"/>
        </w:rPr>
        <w:t xml:space="preserve"> </w:t>
      </w:r>
      <w:r w:rsidRPr="004070AB">
        <w:rPr>
          <w:rFonts w:asciiTheme="minorHAnsi" w:hAnsiTheme="minorHAnsi" w:cstheme="minorHAnsi"/>
          <w:color w:val="000000"/>
          <w:shd w:val="clear" w:color="auto" w:fill="FFFFFF"/>
        </w:rPr>
        <w:t>50</w:t>
      </w:r>
      <w:r>
        <w:rPr>
          <w:rFonts w:asciiTheme="minorHAnsi" w:hAnsiTheme="minorHAnsi" w:cstheme="minorHAnsi"/>
          <w:color w:val="000000"/>
          <w:shd w:val="clear" w:color="auto" w:fill="FFFFFF"/>
        </w:rPr>
        <w:t xml:space="preserve"> proc.</w:t>
      </w:r>
    </w:p>
    <w:p w14:paraId="615381D6" w14:textId="302C47B3" w:rsidR="0073229D" w:rsidRDefault="0073229D" w:rsidP="0073229D">
      <w:pPr>
        <w:ind w:firstLine="567"/>
        <w:rPr>
          <w:rFonts w:asciiTheme="minorHAnsi" w:hAnsiTheme="minorHAnsi" w:cstheme="minorHAnsi"/>
          <w:color w:val="000000"/>
          <w:shd w:val="clear" w:color="auto" w:fill="FFFFFF"/>
        </w:rPr>
      </w:pPr>
      <w:r w:rsidRPr="006B796B">
        <w:rPr>
          <w:rFonts w:asciiTheme="minorHAnsi" w:hAnsiTheme="minorHAnsi" w:cstheme="minorHAnsi"/>
          <w:color w:val="000000"/>
          <w:shd w:val="clear" w:color="auto" w:fill="FFFFFF"/>
        </w:rPr>
        <w:t>Suinteresuotieji</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operatoriai</w:t>
      </w:r>
      <w:r>
        <w:rPr>
          <w:rFonts w:asciiTheme="minorHAnsi" w:hAnsiTheme="minorHAnsi" w:cstheme="minorHAnsi"/>
          <w:color w:val="000000"/>
          <w:shd w:val="clear" w:color="auto" w:fill="FFFFFF"/>
        </w:rPr>
        <w:t xml:space="preserve"> </w:t>
      </w:r>
      <w:r w:rsidRPr="006B796B">
        <w:rPr>
          <w:rFonts w:asciiTheme="minorHAnsi" w:hAnsiTheme="minorHAnsi" w:cstheme="minorHAnsi"/>
          <w:i/>
          <w:iCs/>
          <w:color w:val="000000"/>
          <w:shd w:val="clear" w:color="auto" w:fill="FFFFFF"/>
        </w:rPr>
        <w:t>Tribunale</w:t>
      </w:r>
      <w:r>
        <w:rPr>
          <w:rFonts w:asciiTheme="minorHAnsi" w:hAnsiTheme="minorHAnsi" w:cstheme="minorHAnsi"/>
          <w:i/>
          <w:iCs/>
          <w:color w:val="000000"/>
          <w:shd w:val="clear" w:color="auto" w:fill="FFFFFF"/>
        </w:rPr>
        <w:t xml:space="preserve"> </w:t>
      </w:r>
      <w:r w:rsidRPr="006B796B">
        <w:rPr>
          <w:rFonts w:asciiTheme="minorHAnsi" w:hAnsiTheme="minorHAnsi" w:cstheme="minorHAnsi"/>
          <w:i/>
          <w:iCs/>
          <w:color w:val="000000"/>
          <w:shd w:val="clear" w:color="auto" w:fill="FFFFFF"/>
        </w:rPr>
        <w:t>amministrativo</w:t>
      </w:r>
      <w:r>
        <w:rPr>
          <w:rFonts w:asciiTheme="minorHAnsi" w:hAnsiTheme="minorHAnsi" w:cstheme="minorHAnsi"/>
          <w:i/>
          <w:iCs/>
          <w:color w:val="000000"/>
          <w:shd w:val="clear" w:color="auto" w:fill="FFFFFF"/>
        </w:rPr>
        <w:t xml:space="preserve"> </w:t>
      </w:r>
      <w:r w:rsidRPr="006B796B">
        <w:rPr>
          <w:rFonts w:asciiTheme="minorHAnsi" w:hAnsiTheme="minorHAnsi" w:cstheme="minorHAnsi"/>
          <w:i/>
          <w:iCs/>
          <w:color w:val="000000"/>
          <w:shd w:val="clear" w:color="auto" w:fill="FFFFFF"/>
        </w:rPr>
        <w:t>regionale</w:t>
      </w:r>
      <w:r>
        <w:rPr>
          <w:rFonts w:asciiTheme="minorHAnsi" w:hAnsiTheme="minorHAnsi" w:cstheme="minorHAnsi"/>
          <w:i/>
          <w:iCs/>
          <w:color w:val="000000"/>
          <w:shd w:val="clear" w:color="auto" w:fill="FFFFFF"/>
        </w:rPr>
        <w:t xml:space="preserve"> </w:t>
      </w:r>
      <w:r w:rsidRPr="006B796B">
        <w:rPr>
          <w:rFonts w:asciiTheme="minorHAnsi" w:hAnsiTheme="minorHAnsi" w:cstheme="minorHAnsi"/>
          <w:i/>
          <w:iCs/>
          <w:color w:val="000000"/>
          <w:shd w:val="clear" w:color="auto" w:fill="FFFFFF"/>
        </w:rPr>
        <w:t>per</w:t>
      </w:r>
      <w:r>
        <w:rPr>
          <w:rFonts w:asciiTheme="minorHAnsi" w:hAnsiTheme="minorHAnsi" w:cstheme="minorHAnsi"/>
          <w:i/>
          <w:iCs/>
          <w:color w:val="000000"/>
          <w:shd w:val="clear" w:color="auto" w:fill="FFFFFF"/>
        </w:rPr>
        <w:t xml:space="preserve"> </w:t>
      </w:r>
      <w:r w:rsidRPr="006B796B">
        <w:rPr>
          <w:rFonts w:asciiTheme="minorHAnsi" w:hAnsiTheme="minorHAnsi" w:cstheme="minorHAnsi"/>
          <w:i/>
          <w:iCs/>
          <w:color w:val="000000"/>
          <w:shd w:val="clear" w:color="auto" w:fill="FFFFFF"/>
        </w:rPr>
        <w:t>il</w:t>
      </w:r>
      <w:r>
        <w:rPr>
          <w:rFonts w:asciiTheme="minorHAnsi" w:hAnsiTheme="minorHAnsi" w:cstheme="minorHAnsi"/>
          <w:i/>
          <w:iCs/>
          <w:color w:val="000000"/>
          <w:shd w:val="clear" w:color="auto" w:fill="FFFFFF"/>
        </w:rPr>
        <w:t xml:space="preserve"> </w:t>
      </w:r>
      <w:r w:rsidRPr="006B796B">
        <w:rPr>
          <w:rFonts w:asciiTheme="minorHAnsi" w:hAnsiTheme="minorHAnsi" w:cstheme="minorHAnsi"/>
          <w:i/>
          <w:iCs/>
          <w:color w:val="000000"/>
          <w:shd w:val="clear" w:color="auto" w:fill="FFFFFF"/>
        </w:rPr>
        <w:t>Lazio</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(Lacijaus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regiono</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administracinis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Italija)</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paduotais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skundais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prašė</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panaikinti</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2017</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m.</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gruodžio</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28</w:t>
      </w:r>
      <w:r w:rsidR="0041251F">
        <w:rPr>
          <w:rFonts w:asciiTheme="minorHAnsi" w:hAnsiTheme="minorHAnsi" w:cstheme="minorHAnsi"/>
          <w:color w:val="000000"/>
          <w:shd w:val="clear" w:color="auto" w:fill="FFFFFF"/>
        </w:rPr>
        <w:t> </w:t>
      </w:r>
      <w:r w:rsidRPr="006B796B">
        <w:rPr>
          <w:rFonts w:asciiTheme="minorHAnsi" w:hAnsiTheme="minorHAnsi" w:cstheme="minorHAnsi"/>
          <w:color w:val="000000"/>
          <w:shd w:val="clear" w:color="auto" w:fill="FFFFFF"/>
        </w:rPr>
        <w:t>d.</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tarpministerinį</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dekretą</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teig</w:t>
      </w:r>
      <w:r>
        <w:rPr>
          <w:rFonts w:asciiTheme="minorHAnsi" w:hAnsiTheme="minorHAnsi" w:cstheme="minorHAnsi"/>
          <w:color w:val="000000"/>
          <w:shd w:val="clear" w:color="auto" w:fill="FFFFFF"/>
        </w:rPr>
        <w:t>dami</w:t>
      </w:r>
      <w:r w:rsidRPr="006B796B">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kompensacijos,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kurias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Italijos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valdžios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institucijos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jiems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skirti</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šį</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dekretą,</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nepadengia</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visų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sąnaudų,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patiriamų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teikiant</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privalomas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paslaugas,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susijusias</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kompetentingų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nacionalinių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teisminių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institucijų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nurodymu</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atliekamu</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6B796B">
        <w:rPr>
          <w:rFonts w:asciiTheme="minorHAnsi" w:hAnsiTheme="minorHAnsi" w:cstheme="minorHAnsi"/>
          <w:color w:val="000000"/>
          <w:shd w:val="clear" w:color="auto" w:fill="FFFFFF"/>
        </w:rPr>
        <w:t>perėmimu.</w:t>
      </w:r>
      <w:r>
        <w:rPr>
          <w:rFonts w:asciiTheme="minorHAnsi" w:hAnsiTheme="minorHAnsi" w:cstheme="minorHAnsi"/>
          <w:color w:val="000000"/>
          <w:shd w:val="clear" w:color="auto" w:fill="FFFFFF"/>
        </w:rPr>
        <w:t xml:space="preserve"> Tačiau teismas minėtus skundus </w:t>
      </w:r>
      <w:r w:rsidRPr="00A314E9">
        <w:rPr>
          <w:rFonts w:asciiTheme="minorHAnsi" w:hAnsiTheme="minorHAnsi" w:cstheme="minorHAnsi"/>
          <w:color w:val="000000"/>
          <w:shd w:val="clear" w:color="auto" w:fill="FFFFFF"/>
        </w:rPr>
        <w:t>atmetė,</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motyvuodamas</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tuo,</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jog</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neįrodyta,</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šiame</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dekrete</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nustatytų</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tarifų</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nepakanka</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vykdant</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perimties</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operacijas</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operatorių</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patiriamoms</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sąnaudoms</w:t>
      </w:r>
      <w:r>
        <w:rPr>
          <w:rFonts w:asciiTheme="minorHAnsi" w:hAnsiTheme="minorHAnsi" w:cstheme="minorHAnsi"/>
          <w:color w:val="000000"/>
          <w:shd w:val="clear" w:color="auto" w:fill="FFFFFF"/>
        </w:rPr>
        <w:t xml:space="preserve"> </w:t>
      </w:r>
      <w:r w:rsidRPr="00A314E9">
        <w:rPr>
          <w:rFonts w:asciiTheme="minorHAnsi" w:hAnsiTheme="minorHAnsi" w:cstheme="minorHAnsi"/>
          <w:color w:val="000000"/>
          <w:shd w:val="clear" w:color="auto" w:fill="FFFFFF"/>
        </w:rPr>
        <w:t>kompensuoti.</w:t>
      </w:r>
    </w:p>
    <w:p w14:paraId="5BA8DA7D" w14:textId="77777777" w:rsidR="0073229D" w:rsidRDefault="0073229D" w:rsidP="0073229D">
      <w:pPr>
        <w:ind w:firstLine="567"/>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Šie sprendimai apeliacine tvarka buvo apskųsti </w:t>
      </w:r>
      <w:r w:rsidRPr="00801ADF">
        <w:rPr>
          <w:rFonts w:asciiTheme="minorHAnsi" w:hAnsiTheme="minorHAnsi" w:cstheme="minorHAnsi"/>
          <w:i/>
          <w:iCs/>
          <w:color w:val="000000"/>
          <w:shd w:val="clear" w:color="auto" w:fill="FFFFFF"/>
        </w:rPr>
        <w:t>Consiglio</w:t>
      </w:r>
      <w:r>
        <w:rPr>
          <w:rFonts w:asciiTheme="minorHAnsi" w:hAnsiTheme="minorHAnsi" w:cstheme="minorHAnsi"/>
          <w:i/>
          <w:iCs/>
          <w:color w:val="000000"/>
          <w:shd w:val="clear" w:color="auto" w:fill="FFFFFF"/>
        </w:rPr>
        <w:t xml:space="preserve"> </w:t>
      </w:r>
      <w:r w:rsidRPr="00801ADF">
        <w:rPr>
          <w:rFonts w:asciiTheme="minorHAnsi" w:hAnsiTheme="minorHAnsi" w:cstheme="minorHAnsi"/>
          <w:i/>
          <w:iCs/>
          <w:color w:val="000000"/>
          <w:shd w:val="clear" w:color="auto" w:fill="FFFFFF"/>
        </w:rPr>
        <w:t>di</w:t>
      </w:r>
      <w:r>
        <w:rPr>
          <w:rFonts w:asciiTheme="minorHAnsi" w:hAnsiTheme="minorHAnsi" w:cstheme="minorHAnsi"/>
          <w:i/>
          <w:iCs/>
          <w:color w:val="000000"/>
          <w:shd w:val="clear" w:color="auto" w:fill="FFFFFF"/>
        </w:rPr>
        <w:t xml:space="preserve"> </w:t>
      </w:r>
      <w:r w:rsidRPr="00801ADF">
        <w:rPr>
          <w:rFonts w:asciiTheme="minorHAnsi" w:hAnsiTheme="minorHAnsi" w:cstheme="minorHAnsi"/>
          <w:i/>
          <w:iCs/>
          <w:color w:val="000000"/>
          <w:shd w:val="clear" w:color="auto" w:fill="FFFFFF"/>
        </w:rPr>
        <w:t>Stato</w:t>
      </w:r>
      <w:r>
        <w:rPr>
          <w:rFonts w:asciiTheme="minorHAnsi" w:hAnsiTheme="minorHAnsi" w:cstheme="minorHAnsi"/>
          <w:color w:val="000000"/>
          <w:shd w:val="clear" w:color="auto" w:fill="FFFFFF"/>
        </w:rPr>
        <w:t xml:space="preserve"> </w:t>
      </w:r>
      <w:r w:rsidRPr="00801ADF">
        <w:rPr>
          <w:rFonts w:asciiTheme="minorHAnsi" w:hAnsiTheme="minorHAnsi" w:cstheme="minorHAnsi"/>
          <w:color w:val="000000"/>
          <w:shd w:val="clear" w:color="auto" w:fill="FFFFFF"/>
        </w:rPr>
        <w:t>(Valstybės</w:t>
      </w:r>
      <w:r>
        <w:rPr>
          <w:rFonts w:asciiTheme="minorHAnsi" w:hAnsiTheme="minorHAnsi" w:cstheme="minorHAnsi"/>
          <w:color w:val="000000"/>
          <w:shd w:val="clear" w:color="auto" w:fill="FFFFFF"/>
        </w:rPr>
        <w:t xml:space="preserve"> </w:t>
      </w:r>
      <w:r w:rsidRPr="00801ADF">
        <w:rPr>
          <w:rFonts w:asciiTheme="minorHAnsi" w:hAnsiTheme="minorHAnsi" w:cstheme="minorHAnsi"/>
          <w:color w:val="000000"/>
          <w:shd w:val="clear" w:color="auto" w:fill="FFFFFF"/>
        </w:rPr>
        <w:t>Taryba,</w:t>
      </w:r>
      <w:r>
        <w:rPr>
          <w:rFonts w:asciiTheme="minorHAnsi" w:hAnsiTheme="minorHAnsi" w:cstheme="minorHAnsi"/>
          <w:color w:val="000000"/>
          <w:shd w:val="clear" w:color="auto" w:fill="FFFFFF"/>
        </w:rPr>
        <w:t xml:space="preserve"> </w:t>
      </w:r>
      <w:r w:rsidRPr="00801ADF">
        <w:rPr>
          <w:rFonts w:asciiTheme="minorHAnsi" w:hAnsiTheme="minorHAnsi" w:cstheme="minorHAnsi"/>
          <w:color w:val="000000"/>
          <w:shd w:val="clear" w:color="auto" w:fill="FFFFFF"/>
        </w:rPr>
        <w:t>Italija)</w:t>
      </w:r>
      <w:r>
        <w:rPr>
          <w:rFonts w:asciiTheme="minorHAnsi" w:hAnsiTheme="minorHAnsi" w:cstheme="minorHAnsi"/>
          <w:color w:val="000000"/>
          <w:shd w:val="clear" w:color="auto" w:fill="FFFFFF"/>
        </w:rPr>
        <w:t xml:space="preserve">, kuri </w:t>
      </w:r>
      <w:r w:rsidRPr="00F768BC">
        <w:rPr>
          <w:rFonts w:asciiTheme="minorHAnsi" w:hAnsiTheme="minorHAnsi" w:cstheme="minorHAnsi"/>
          <w:color w:val="000000"/>
          <w:shd w:val="clear" w:color="auto" w:fill="FFFFFF"/>
        </w:rPr>
        <w:t>nutarė</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sustabdyti</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bylos</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nagrinėjimą</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pateikti</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Teisingumo</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Teismui</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F768BC">
        <w:rPr>
          <w:rFonts w:asciiTheme="minorHAnsi" w:hAnsiTheme="minorHAnsi" w:cstheme="minorHAnsi"/>
          <w:color w:val="000000"/>
          <w:shd w:val="clear" w:color="auto" w:fill="FFFFFF"/>
        </w:rPr>
        <w:t>klausimą</w:t>
      </w:r>
      <w:r>
        <w:rPr>
          <w:rFonts w:asciiTheme="minorHAnsi" w:hAnsiTheme="minorHAnsi" w:cstheme="minorHAnsi"/>
          <w:color w:val="000000"/>
          <w:shd w:val="clear" w:color="auto" w:fill="FFFFFF"/>
        </w:rPr>
        <w:t>, siekdama išsiaiškinti,</w:t>
      </w:r>
      <w:r>
        <w:rPr>
          <w:rFonts w:ascii="Times New Roman" w:eastAsia="Times New Roman" w:hAnsi="Times New Roman"/>
          <w:color w:val="000000"/>
          <w:sz w:val="24"/>
          <w:szCs w:val="24"/>
        </w:rPr>
        <w:t xml:space="preserve"> </w:t>
      </w:r>
      <w:r w:rsidRPr="002B123D">
        <w:rPr>
          <w:rFonts w:asciiTheme="minorHAnsi" w:hAnsiTheme="minorHAnsi" w:cstheme="minorHAnsi"/>
          <w:color w:val="000000"/>
          <w:shd w:val="clear" w:color="auto" w:fill="FFFFFF"/>
        </w:rPr>
        <w:t>ar</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2018/1972</w:t>
      </w:r>
      <w:r>
        <w:rPr>
          <w:rStyle w:val="Puslapioinaosnuoroda"/>
          <w:rFonts w:cstheme="minorHAnsi"/>
          <w:iCs/>
          <w:shd w:val="clear" w:color="auto" w:fill="FFFFFF"/>
        </w:rPr>
        <w:footnoteReference w:id="18"/>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13</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straipsnis,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siejamas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jos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3</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straipsniu,</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priedo</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A</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4</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punktas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aiškinami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taip,</w:t>
      </w:r>
      <w:r>
        <w:rPr>
          <w:rFonts w:asciiTheme="minorHAnsi" w:hAnsiTheme="minorHAnsi" w:cstheme="minorHAnsi"/>
          <w:color w:val="000000"/>
          <w:shd w:val="clear" w:color="auto" w:fill="FFFFFF"/>
        </w:rPr>
        <w:t xml:space="preserve"> jog </w:t>
      </w:r>
      <w:r w:rsidRPr="002B123D">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juos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draudžiami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nacionalinės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aktai,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kuriuos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nereikalaujama</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visiškai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kompensuoti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sąnaud</w:t>
      </w:r>
      <w:r>
        <w:rPr>
          <w:rFonts w:asciiTheme="minorHAnsi" w:hAnsiTheme="minorHAnsi" w:cstheme="minorHAnsi"/>
          <w:color w:val="000000"/>
          <w:shd w:val="clear" w:color="auto" w:fill="FFFFFF"/>
        </w:rPr>
        <w:t>as</w:t>
      </w:r>
      <w:r w:rsidRPr="002B123D">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kuri</w:t>
      </w:r>
      <w:r>
        <w:rPr>
          <w:rFonts w:asciiTheme="minorHAnsi" w:hAnsiTheme="minorHAnsi" w:cstheme="minorHAnsi"/>
          <w:color w:val="000000"/>
          <w:shd w:val="clear" w:color="auto" w:fill="FFFFFF"/>
        </w:rPr>
        <w:t xml:space="preserve">as </w:t>
      </w:r>
      <w:r w:rsidRPr="002B123D">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paslaugų</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teikėjai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faktiškai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patiria</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sudarydami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sąlygas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kompetentingoms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nacionalinėms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institucijoms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teisėtai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perimti</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elektroninius</w:t>
      </w:r>
      <w:r>
        <w:rPr>
          <w:rFonts w:asciiTheme="minorHAnsi" w:hAnsiTheme="minorHAnsi" w:cstheme="minorHAnsi"/>
          <w:color w:val="000000"/>
          <w:shd w:val="clear" w:color="auto" w:fill="FFFFFF"/>
        </w:rPr>
        <w:t xml:space="preserve"> </w:t>
      </w:r>
      <w:r w:rsidRPr="002B123D">
        <w:rPr>
          <w:rFonts w:asciiTheme="minorHAnsi" w:hAnsiTheme="minorHAnsi" w:cstheme="minorHAnsi"/>
          <w:color w:val="000000"/>
          <w:shd w:val="clear" w:color="auto" w:fill="FFFFFF"/>
        </w:rPr>
        <w:t>pranešimus.</w:t>
      </w:r>
    </w:p>
    <w:p w14:paraId="77D2CEE4" w14:textId="77777777" w:rsidR="0073229D" w:rsidRPr="00634BB5" w:rsidRDefault="0073229D" w:rsidP="0073229D">
      <w:pPr>
        <w:ind w:firstLine="567"/>
        <w:rPr>
          <w:rFonts w:asciiTheme="minorHAnsi" w:hAnsiTheme="minorHAnsi" w:cstheme="minorHAnsi"/>
          <w:color w:val="000000"/>
          <w:shd w:val="clear" w:color="auto" w:fill="FFFFFF"/>
        </w:rPr>
      </w:pPr>
    </w:p>
    <w:p w14:paraId="6D57E6BA" w14:textId="77777777" w:rsidR="0073229D" w:rsidRPr="004256B6" w:rsidRDefault="0073229D" w:rsidP="0073229D">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Teisingumo Teismo vertinimas</w:t>
      </w:r>
    </w:p>
    <w:p w14:paraId="603B6EF8" w14:textId="77777777" w:rsidR="0073229D" w:rsidRPr="004256B6" w:rsidRDefault="0073229D" w:rsidP="0073229D">
      <w:pPr>
        <w:ind w:firstLine="567"/>
        <w:rPr>
          <w:rFonts w:asciiTheme="minorHAnsi" w:hAnsiTheme="minorHAnsi" w:cstheme="minorHAnsi"/>
          <w:color w:val="000000"/>
          <w:shd w:val="clear" w:color="auto" w:fill="FFFFFF"/>
        </w:rPr>
      </w:pPr>
    </w:p>
    <w:p w14:paraId="631D149B" w14:textId="77777777" w:rsidR="0073229D" w:rsidRDefault="0073229D" w:rsidP="0073229D">
      <w:pPr>
        <w:pStyle w:val="Antrat3"/>
        <w:ind w:firstLine="567"/>
        <w:rPr>
          <w:rFonts w:cstheme="minorHAnsi"/>
          <w:i w:val="0"/>
          <w:iCs/>
        </w:rPr>
      </w:pPr>
      <w:bookmarkStart w:id="64" w:name="_Toc148375086"/>
      <w:r w:rsidRPr="004256B6">
        <w:rPr>
          <w:rFonts w:cstheme="minorHAnsi"/>
          <w:iCs/>
        </w:rPr>
        <w:t xml:space="preserve">Dėl </w:t>
      </w:r>
      <w:r w:rsidRPr="0073229D">
        <w:rPr>
          <w:rFonts w:cstheme="minorHAnsi"/>
          <w:iCs/>
          <w:color w:val="000000"/>
        </w:rPr>
        <w:t>telekomunikacijų</w:t>
      </w:r>
      <w:r w:rsidRPr="007D022D">
        <w:rPr>
          <w:rFonts w:cstheme="minorHAnsi"/>
          <w:iCs/>
        </w:rPr>
        <w:t xml:space="preserve"> operatori</w:t>
      </w:r>
      <w:r>
        <w:rPr>
          <w:rFonts w:cstheme="minorHAnsi"/>
          <w:iCs/>
        </w:rPr>
        <w:t>ų kaštų,</w:t>
      </w:r>
      <w:r w:rsidRPr="007D022D">
        <w:rPr>
          <w:rFonts w:cstheme="minorHAnsi"/>
          <w:iCs/>
        </w:rPr>
        <w:t xml:space="preserve"> </w:t>
      </w:r>
      <w:r>
        <w:rPr>
          <w:rFonts w:cstheme="minorHAnsi"/>
          <w:iCs/>
        </w:rPr>
        <w:t xml:space="preserve">patiriamų </w:t>
      </w:r>
      <w:r w:rsidRPr="007D022D">
        <w:rPr>
          <w:rFonts w:cstheme="minorHAnsi"/>
          <w:iCs/>
        </w:rPr>
        <w:t>teismin</w:t>
      </w:r>
      <w:r>
        <w:rPr>
          <w:rFonts w:cstheme="minorHAnsi"/>
          <w:iCs/>
        </w:rPr>
        <w:t xml:space="preserve">ių </w:t>
      </w:r>
      <w:r w:rsidRPr="007D022D">
        <w:rPr>
          <w:rFonts w:cstheme="minorHAnsi"/>
          <w:iCs/>
        </w:rPr>
        <w:t>institucij</w:t>
      </w:r>
      <w:r>
        <w:rPr>
          <w:rFonts w:cstheme="minorHAnsi"/>
          <w:iCs/>
        </w:rPr>
        <w:t>ų reikalavimu</w:t>
      </w:r>
      <w:r w:rsidRPr="007D022D">
        <w:rPr>
          <w:rFonts w:cstheme="minorHAnsi"/>
          <w:iCs/>
        </w:rPr>
        <w:t xml:space="preserve"> teik</w:t>
      </w:r>
      <w:r>
        <w:rPr>
          <w:rFonts w:cstheme="minorHAnsi"/>
          <w:iCs/>
        </w:rPr>
        <w:t>ian</w:t>
      </w:r>
      <w:r w:rsidRPr="007D022D">
        <w:rPr>
          <w:rFonts w:cstheme="minorHAnsi"/>
          <w:iCs/>
        </w:rPr>
        <w:t>t ryši</w:t>
      </w:r>
      <w:r>
        <w:rPr>
          <w:rFonts w:cstheme="minorHAnsi"/>
          <w:iCs/>
        </w:rPr>
        <w:t>ų</w:t>
      </w:r>
      <w:r w:rsidRPr="007D022D">
        <w:rPr>
          <w:rFonts w:cstheme="minorHAnsi"/>
          <w:iCs/>
        </w:rPr>
        <w:t xml:space="preserve"> perėmimo </w:t>
      </w:r>
      <w:r>
        <w:rPr>
          <w:rFonts w:cstheme="minorHAnsi"/>
          <w:iCs/>
        </w:rPr>
        <w:t>paslaugas, nevisiško kompensavimo</w:t>
      </w:r>
      <w:bookmarkEnd w:id="64"/>
    </w:p>
    <w:p w14:paraId="6DAC6974" w14:textId="77777777" w:rsidR="0073229D" w:rsidRPr="004256B6" w:rsidRDefault="0073229D" w:rsidP="0073229D">
      <w:pPr>
        <w:ind w:firstLine="567"/>
        <w:rPr>
          <w:rFonts w:asciiTheme="minorHAnsi" w:hAnsiTheme="minorHAnsi" w:cstheme="minorHAnsi"/>
          <w:color w:val="000000"/>
          <w:shd w:val="clear" w:color="auto" w:fill="FFFFFF"/>
        </w:rPr>
      </w:pPr>
    </w:p>
    <w:p w14:paraId="0A567D9B" w14:textId="77777777" w:rsidR="0073229D" w:rsidRDefault="0073229D" w:rsidP="0073229D">
      <w:pPr>
        <w:ind w:firstLine="567"/>
        <w:rPr>
          <w:rFonts w:asciiTheme="minorHAnsi" w:hAnsiTheme="minorHAnsi" w:cstheme="minorHAnsi"/>
          <w:color w:val="000000"/>
          <w:shd w:val="clear" w:color="auto" w:fill="FFFFFF"/>
        </w:rPr>
      </w:pPr>
      <w:r w:rsidRPr="0029700B">
        <w:rPr>
          <w:rFonts w:asciiTheme="minorHAnsi" w:hAnsiTheme="minorHAnsi" w:cstheme="minorHAnsi"/>
          <w:color w:val="000000"/>
          <w:shd w:val="clear" w:color="auto" w:fill="FFFFFF"/>
        </w:rPr>
        <w:t>Teisingumo</w:t>
      </w:r>
      <w:r>
        <w:rPr>
          <w:rFonts w:asciiTheme="minorHAnsi" w:hAnsiTheme="minorHAnsi" w:cstheme="minorHAnsi"/>
          <w:color w:val="000000"/>
          <w:shd w:val="clear" w:color="auto" w:fill="FFFFFF"/>
        </w:rPr>
        <w:t xml:space="preserve"> </w:t>
      </w:r>
      <w:r w:rsidRPr="0029700B">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pažymėjo, kad </w:t>
      </w:r>
      <w:r w:rsidRPr="006D736D">
        <w:rPr>
          <w:rFonts w:asciiTheme="minorHAnsi" w:hAnsiTheme="minorHAnsi" w:cstheme="minorHAnsi"/>
          <w:color w:val="000000"/>
          <w:shd w:val="clear" w:color="auto" w:fill="FFFFFF"/>
        </w:rPr>
        <w:t>be</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valstybėms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narėms,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kurios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nusprendžia</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bendrąjį</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leidimą</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teikti</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tinklus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arba</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paslaugas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susieti</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priedo</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A</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4</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punkte</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įtvirtinta</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sąlyga</w:t>
      </w:r>
      <w:r>
        <w:rPr>
          <w:rFonts w:asciiTheme="minorHAnsi" w:hAnsiTheme="minorHAnsi" w:cstheme="minorHAnsi"/>
          <w:color w:val="000000"/>
          <w:shd w:val="clear" w:color="auto" w:fill="FFFFFF"/>
        </w:rPr>
        <w:t xml:space="preserve"> (</w:t>
      </w:r>
      <w:r w:rsidRPr="004A2AF2">
        <w:rPr>
          <w:rFonts w:asciiTheme="minorHAnsi" w:hAnsiTheme="minorHAnsi" w:cstheme="minorHAnsi"/>
          <w:color w:val="000000"/>
          <w:shd w:val="clear" w:color="auto" w:fill="FFFFFF"/>
        </w:rPr>
        <w:t>leidim</w:t>
      </w:r>
      <w:r>
        <w:rPr>
          <w:rFonts w:asciiTheme="minorHAnsi" w:hAnsiTheme="minorHAnsi" w:cstheme="minorHAnsi"/>
          <w:color w:val="000000"/>
          <w:shd w:val="clear" w:color="auto" w:fill="FFFFFF"/>
        </w:rPr>
        <w:t xml:space="preserve">u </w:t>
      </w:r>
      <w:r w:rsidRPr="004A2AF2">
        <w:rPr>
          <w:rFonts w:asciiTheme="minorHAnsi" w:hAnsiTheme="minorHAnsi" w:cstheme="minorHAnsi"/>
          <w:color w:val="000000"/>
          <w:shd w:val="clear" w:color="auto" w:fill="FFFFFF"/>
        </w:rPr>
        <w:t>kompetentingoms</w:t>
      </w:r>
      <w:r>
        <w:rPr>
          <w:rFonts w:asciiTheme="minorHAnsi" w:hAnsiTheme="minorHAnsi" w:cstheme="minorHAnsi"/>
          <w:color w:val="000000"/>
          <w:shd w:val="clear" w:color="auto" w:fill="FFFFFF"/>
        </w:rPr>
        <w:t xml:space="preserve"> </w:t>
      </w:r>
      <w:r w:rsidRPr="004A2AF2">
        <w:rPr>
          <w:rFonts w:asciiTheme="minorHAnsi" w:hAnsiTheme="minorHAnsi" w:cstheme="minorHAnsi"/>
          <w:color w:val="000000"/>
          <w:shd w:val="clear" w:color="auto" w:fill="FFFFFF"/>
        </w:rPr>
        <w:t>nacionalinėms</w:t>
      </w:r>
      <w:r>
        <w:rPr>
          <w:rFonts w:asciiTheme="minorHAnsi" w:hAnsiTheme="minorHAnsi" w:cstheme="minorHAnsi"/>
          <w:color w:val="000000"/>
          <w:shd w:val="clear" w:color="auto" w:fill="FFFFFF"/>
        </w:rPr>
        <w:t xml:space="preserve"> </w:t>
      </w:r>
      <w:r w:rsidRPr="004A2AF2">
        <w:rPr>
          <w:rFonts w:asciiTheme="minorHAnsi" w:hAnsiTheme="minorHAnsi" w:cstheme="minorHAnsi"/>
          <w:color w:val="000000"/>
          <w:shd w:val="clear" w:color="auto" w:fill="FFFFFF"/>
        </w:rPr>
        <w:t>institucijoms</w:t>
      </w:r>
      <w:r>
        <w:rPr>
          <w:rFonts w:asciiTheme="minorHAnsi" w:hAnsiTheme="minorHAnsi" w:cstheme="minorHAnsi"/>
          <w:color w:val="000000"/>
          <w:shd w:val="clear" w:color="auto" w:fill="FFFFFF"/>
        </w:rPr>
        <w:t xml:space="preserve"> </w:t>
      </w:r>
      <w:r w:rsidRPr="004A2AF2">
        <w:rPr>
          <w:rFonts w:asciiTheme="minorHAnsi" w:hAnsiTheme="minorHAnsi" w:cstheme="minorHAnsi"/>
          <w:color w:val="000000"/>
          <w:shd w:val="clear" w:color="auto" w:fill="FFFFFF"/>
        </w:rPr>
        <w:t>teisėtai</w:t>
      </w:r>
      <w:r>
        <w:rPr>
          <w:rFonts w:asciiTheme="minorHAnsi" w:hAnsiTheme="minorHAnsi" w:cstheme="minorHAnsi"/>
          <w:color w:val="000000"/>
          <w:shd w:val="clear" w:color="auto" w:fill="FFFFFF"/>
        </w:rPr>
        <w:t xml:space="preserve"> </w:t>
      </w:r>
      <w:r w:rsidRPr="004A2AF2">
        <w:rPr>
          <w:rFonts w:asciiTheme="minorHAnsi" w:hAnsiTheme="minorHAnsi" w:cstheme="minorHAnsi"/>
          <w:color w:val="000000"/>
          <w:shd w:val="clear" w:color="auto" w:fill="FFFFFF"/>
        </w:rPr>
        <w:t>perimti</w:t>
      </w:r>
      <w:r>
        <w:rPr>
          <w:rFonts w:asciiTheme="minorHAnsi" w:hAnsiTheme="minorHAnsi" w:cstheme="minorHAnsi"/>
          <w:color w:val="000000"/>
          <w:shd w:val="clear" w:color="auto" w:fill="FFFFFF"/>
        </w:rPr>
        <w:t xml:space="preserve"> </w:t>
      </w:r>
      <w:r w:rsidRPr="004A2AF2">
        <w:rPr>
          <w:rFonts w:asciiTheme="minorHAnsi" w:hAnsiTheme="minorHAnsi" w:cstheme="minorHAnsi"/>
          <w:color w:val="000000"/>
          <w:shd w:val="clear" w:color="auto" w:fill="FFFFFF"/>
        </w:rPr>
        <w:t>informaciją</w:t>
      </w:r>
      <w:r>
        <w:rPr>
          <w:rFonts w:asciiTheme="minorHAnsi" w:hAnsiTheme="minorHAnsi" w:cstheme="minorHAnsi"/>
          <w:color w:val="000000"/>
          <w:shd w:val="clear" w:color="auto" w:fill="FFFFFF"/>
        </w:rPr>
        <w:t>)</w:t>
      </w:r>
      <w:r w:rsidRPr="006D736D">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nustatytos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pareigos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užtikrinti</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nediskriminacinį,</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proporcingą</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skaidrų</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sąlygos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taikymą,</w:t>
      </w:r>
      <w:r>
        <w:rPr>
          <w:rFonts w:asciiTheme="minorHAnsi" w:hAnsiTheme="minorHAnsi" w:cstheme="minorHAnsi"/>
          <w:color w:val="000000"/>
          <w:shd w:val="clear" w:color="auto" w:fill="FFFFFF"/>
        </w:rPr>
        <w:t xml:space="preserve"> </w:t>
      </w:r>
      <w:r w:rsidRPr="006C41B0">
        <w:rPr>
          <w:rFonts w:asciiTheme="minorHAnsi" w:hAnsiTheme="minorHAnsi" w:cstheme="minorHAnsi"/>
          <w:color w:val="000000"/>
          <w:u w:val="single"/>
          <w:shd w:val="clear" w:color="auto" w:fill="FFFFFF"/>
        </w:rPr>
        <w:t>Sąjungos teisės aktų leidėjas atitinkamoms valstybėms narėms nenustatė pareigos ir neatmetė galimybės kompensuoti sąnaudas, kurių suinteresuotosios įmonės galėtų patirti sudarydamos sąlygas šioje nuostatoje numatytam teisėtam perėmimui</w:t>
      </w:r>
      <w:r w:rsidRPr="006D736D">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K</w:t>
      </w:r>
      <w:r w:rsidRPr="002E6325">
        <w:rPr>
          <w:rFonts w:asciiTheme="minorHAnsi" w:hAnsiTheme="minorHAnsi" w:cstheme="minorHAnsi"/>
          <w:color w:val="000000"/>
          <w:shd w:val="clear" w:color="auto" w:fill="FFFFFF"/>
        </w:rPr>
        <w:t>adangi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Direktyvoje</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šiuo</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klausimu</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nieko</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nepatikslina,</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valstybės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narės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diskreciją</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šioje</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srityje.</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Vadinasi,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13</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straipsnis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jos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priedo</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A</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4</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punktas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negali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aiškinami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taip,</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šias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nuostatas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valstybės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narės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įpareigotos</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numatyti</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šių</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galimų</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sąnaudų</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kompensavimą,</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juo</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labiau</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2E6325">
        <w:rPr>
          <w:rFonts w:asciiTheme="minorHAnsi" w:hAnsiTheme="minorHAnsi" w:cstheme="minorHAnsi"/>
          <w:color w:val="000000"/>
          <w:shd w:val="clear" w:color="auto" w:fill="FFFFFF"/>
        </w:rPr>
        <w:t>visišką.</w:t>
      </w:r>
    </w:p>
    <w:p w14:paraId="331D5D87" w14:textId="77777777" w:rsidR="0073229D" w:rsidRDefault="0073229D" w:rsidP="0073229D">
      <w:pPr>
        <w:ind w:firstLine="567"/>
        <w:rPr>
          <w:rFonts w:asciiTheme="minorHAnsi" w:hAnsiTheme="minorHAnsi" w:cstheme="minorHAnsi"/>
          <w:color w:val="000000"/>
          <w:shd w:val="clear" w:color="auto" w:fill="FFFFFF"/>
        </w:rPr>
      </w:pPr>
      <w:r w:rsidRPr="00793E03">
        <w:rPr>
          <w:rFonts w:asciiTheme="minorHAnsi" w:hAnsiTheme="minorHAnsi" w:cstheme="minorHAnsi"/>
          <w:color w:val="000000"/>
          <w:shd w:val="clear" w:color="auto" w:fill="FFFFFF"/>
        </w:rPr>
        <w:t>Tokį</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šių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nuostatų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aiškinimą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patvirtina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jų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kontekstas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Direktyva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siekiami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tikslai.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Konkrečiai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kalbant,</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pirma,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nors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12</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straipsnio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1</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pirmame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sakinyje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numatyta,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valstybės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narės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užtikrina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laisvę</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teikti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tinklus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paslaugas,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pačios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nuostatos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formuluotės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matyti,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šia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laisve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galima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naudotis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tik</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laikantis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šioje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direktyvoje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nustatytų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sąlygų.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Taigi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negali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kilti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valstybių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narių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kompensavimo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pareiga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Antra,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tokia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pareiga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taip</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pat</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negali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kildinama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3</w:t>
      </w:r>
      <w:r>
        <w:rPr>
          <w:rFonts w:asciiTheme="minorHAnsi" w:hAnsiTheme="minorHAnsi" w:cstheme="minorHAnsi"/>
          <w:color w:val="000000"/>
          <w:shd w:val="clear" w:color="auto" w:fill="FFFFFF"/>
        </w:rPr>
        <w:t> </w:t>
      </w:r>
      <w:r w:rsidRPr="00793E03">
        <w:rPr>
          <w:rFonts w:asciiTheme="minorHAnsi" w:hAnsiTheme="minorHAnsi" w:cstheme="minorHAnsi"/>
          <w:color w:val="000000"/>
          <w:shd w:val="clear" w:color="auto" w:fill="FFFFFF"/>
        </w:rPr>
        <w:t>straipsnyje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nurodytų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bendrųjų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tikslų,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kurių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įgyvendinimą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valstybės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narės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prižiūrėti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veikdamos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per</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nacionalines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reguliavimo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kitas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kompetentingas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institucijas.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Tai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pasakytina,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be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kita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apie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3</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straipsnio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2</w:t>
      </w:r>
      <w:r>
        <w:rPr>
          <w:rFonts w:asciiTheme="minorHAnsi" w:hAnsiTheme="minorHAnsi" w:cstheme="minorHAnsi"/>
          <w:color w:val="000000"/>
          <w:shd w:val="clear" w:color="auto" w:fill="FFFFFF"/>
        </w:rPr>
        <w:t> </w:t>
      </w:r>
      <w:r w:rsidRPr="00793E03">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b</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punkte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numatytą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tikslą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skatinti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konkurenciją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lastRenderedPageBreak/>
        <w:t>paslaugų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teikimo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srityje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pačios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nuostatos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c</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punkte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numatytą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tikslą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plėsti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vidaus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rinką.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jų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formuluočių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nematyti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jokio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Sąjungos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aktų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leidėjo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ketinimo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apriboti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valstybių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narių</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diskreciją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įgyvendinti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priedo</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A</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4</w:t>
      </w:r>
      <w:r>
        <w:rPr>
          <w:rFonts w:asciiTheme="minorHAnsi" w:hAnsiTheme="minorHAnsi" w:cstheme="minorHAnsi"/>
          <w:color w:val="000000"/>
          <w:shd w:val="clear" w:color="auto" w:fill="FFFFFF"/>
        </w:rPr>
        <w:t> </w:t>
      </w:r>
      <w:r w:rsidRPr="00793E03">
        <w:rPr>
          <w:rFonts w:asciiTheme="minorHAnsi" w:hAnsiTheme="minorHAnsi" w:cstheme="minorHAnsi"/>
          <w:color w:val="000000"/>
          <w:shd w:val="clear" w:color="auto" w:fill="FFFFFF"/>
        </w:rPr>
        <w:t>punkte</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numatytą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sąlygą</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daugiau,</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nei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tai</w:t>
      </w:r>
      <w:r>
        <w:rPr>
          <w:rFonts w:asciiTheme="minorHAnsi" w:hAnsiTheme="minorHAnsi" w:cstheme="minorHAnsi"/>
          <w:color w:val="000000"/>
          <w:shd w:val="clear" w:color="auto" w:fill="FFFFFF"/>
        </w:rPr>
        <w:t xml:space="preserve"> </w:t>
      </w:r>
      <w:r w:rsidRPr="00793E03">
        <w:rPr>
          <w:rFonts w:asciiTheme="minorHAnsi" w:hAnsiTheme="minorHAnsi" w:cstheme="minorHAnsi"/>
          <w:color w:val="000000"/>
          <w:shd w:val="clear" w:color="auto" w:fill="FFFFFF"/>
        </w:rPr>
        <w:t>daroma</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nustatyt</w:t>
      </w:r>
      <w:r>
        <w:rPr>
          <w:rFonts w:asciiTheme="minorHAnsi" w:hAnsiTheme="minorHAnsi" w:cstheme="minorHAnsi"/>
          <w:color w:val="000000"/>
          <w:shd w:val="clear" w:color="auto" w:fill="FFFFFF"/>
        </w:rPr>
        <w:t xml:space="preserve">a </w:t>
      </w:r>
      <w:r w:rsidRPr="006D736D">
        <w:rPr>
          <w:rFonts w:asciiTheme="minorHAnsi" w:hAnsiTheme="minorHAnsi" w:cstheme="minorHAnsi"/>
          <w:color w:val="000000"/>
          <w:shd w:val="clear" w:color="auto" w:fill="FFFFFF"/>
        </w:rPr>
        <w:t>pareig</w:t>
      </w:r>
      <w:r>
        <w:rPr>
          <w:rFonts w:asciiTheme="minorHAnsi" w:hAnsiTheme="minorHAnsi" w:cstheme="minorHAnsi"/>
          <w:color w:val="000000"/>
          <w:shd w:val="clear" w:color="auto" w:fill="FFFFFF"/>
        </w:rPr>
        <w:t xml:space="preserve">a </w:t>
      </w:r>
      <w:r w:rsidRPr="006D736D">
        <w:rPr>
          <w:rFonts w:asciiTheme="minorHAnsi" w:hAnsiTheme="minorHAnsi" w:cstheme="minorHAnsi"/>
          <w:color w:val="000000"/>
          <w:shd w:val="clear" w:color="auto" w:fill="FFFFFF"/>
        </w:rPr>
        <w:t>užtikrinti</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nediskriminacinį,</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proporcingą</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skaidrų</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sąlygos</w:t>
      </w:r>
      <w:r>
        <w:rPr>
          <w:rFonts w:asciiTheme="minorHAnsi" w:hAnsiTheme="minorHAnsi" w:cstheme="minorHAnsi"/>
          <w:color w:val="000000"/>
          <w:shd w:val="clear" w:color="auto" w:fill="FFFFFF"/>
        </w:rPr>
        <w:t xml:space="preserve"> </w:t>
      </w:r>
      <w:r w:rsidRPr="006D736D">
        <w:rPr>
          <w:rFonts w:asciiTheme="minorHAnsi" w:hAnsiTheme="minorHAnsi" w:cstheme="minorHAnsi"/>
          <w:color w:val="000000"/>
          <w:shd w:val="clear" w:color="auto" w:fill="FFFFFF"/>
        </w:rPr>
        <w:t>taikymą</w:t>
      </w:r>
      <w:r>
        <w:rPr>
          <w:rFonts w:asciiTheme="minorHAnsi" w:hAnsiTheme="minorHAnsi" w:cstheme="minorHAnsi"/>
          <w:color w:val="000000"/>
          <w:shd w:val="clear" w:color="auto" w:fill="FFFFFF"/>
        </w:rPr>
        <w:t>. K</w:t>
      </w:r>
      <w:r w:rsidRPr="00D74DB7">
        <w:rPr>
          <w:rFonts w:asciiTheme="minorHAnsi" w:hAnsiTheme="minorHAnsi" w:cstheme="minorHAnsi"/>
          <w:color w:val="000000"/>
          <w:shd w:val="clear" w:color="auto" w:fill="FFFFFF"/>
        </w:rPr>
        <w:t>adangi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šia</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diskrecija</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naudojamasi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laikantis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nediskriminavimo,</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proporcingumo</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skaidrumo</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principų,</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tam,</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13</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straipsnį,</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siejamą</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jos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3</w:t>
      </w:r>
      <w:r>
        <w:rPr>
          <w:rFonts w:asciiTheme="minorHAnsi" w:hAnsiTheme="minorHAnsi" w:cstheme="minorHAnsi"/>
          <w:color w:val="000000"/>
          <w:shd w:val="clear" w:color="auto" w:fill="FFFFFF"/>
        </w:rPr>
        <w:t> </w:t>
      </w:r>
      <w:r w:rsidRPr="00D74DB7">
        <w:rPr>
          <w:rFonts w:asciiTheme="minorHAnsi" w:hAnsiTheme="minorHAnsi" w:cstheme="minorHAnsi"/>
          <w:color w:val="000000"/>
          <w:shd w:val="clear" w:color="auto" w:fill="FFFFFF"/>
        </w:rPr>
        <w:t>straipsniu,</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priedo</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A</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4</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punktą,</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nebūtų</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draudžiami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nacionalinės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aktai,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kaip</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antai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nagrinėjami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pagrindinėse</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bylose,</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kuriuos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nereikalaujama</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visiškai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kompensuoti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sąnaud</w:t>
      </w:r>
      <w:r>
        <w:rPr>
          <w:rFonts w:asciiTheme="minorHAnsi" w:hAnsiTheme="minorHAnsi" w:cstheme="minorHAnsi"/>
          <w:color w:val="000000"/>
          <w:shd w:val="clear" w:color="auto" w:fill="FFFFFF"/>
        </w:rPr>
        <w:t>as</w:t>
      </w:r>
      <w:r w:rsidRPr="00D74DB7">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kuri</w:t>
      </w:r>
      <w:r>
        <w:rPr>
          <w:rFonts w:asciiTheme="minorHAnsi" w:hAnsiTheme="minorHAnsi" w:cstheme="minorHAnsi"/>
          <w:color w:val="000000"/>
          <w:shd w:val="clear" w:color="auto" w:fill="FFFFFF"/>
        </w:rPr>
        <w:t xml:space="preserve">as </w:t>
      </w:r>
      <w:r w:rsidRPr="00D74DB7">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paslaugų</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teikėjai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faktiškai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patiria</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sudarydami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sąlygas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kompetentingoms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nacionalinėms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institucijoms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teisėtai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perimti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elektroninius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pranešimus,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šie</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aktai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D74DB7">
        <w:rPr>
          <w:rFonts w:asciiTheme="minorHAnsi" w:hAnsiTheme="minorHAnsi" w:cstheme="minorHAnsi"/>
          <w:color w:val="000000"/>
          <w:shd w:val="clear" w:color="auto" w:fill="FFFFFF"/>
        </w:rPr>
        <w:t>atitikti</w:t>
      </w:r>
      <w:r>
        <w:rPr>
          <w:rFonts w:asciiTheme="minorHAnsi" w:hAnsiTheme="minorHAnsi" w:cstheme="minorHAnsi"/>
          <w:color w:val="000000"/>
          <w:shd w:val="clear" w:color="auto" w:fill="FFFFFF"/>
        </w:rPr>
        <w:t xml:space="preserve"> nurodytus </w:t>
      </w:r>
      <w:r w:rsidRPr="00D74DB7">
        <w:rPr>
          <w:rFonts w:asciiTheme="minorHAnsi" w:hAnsiTheme="minorHAnsi" w:cstheme="minorHAnsi"/>
          <w:color w:val="000000"/>
          <w:shd w:val="clear" w:color="auto" w:fill="FFFFFF"/>
        </w:rPr>
        <w:t>principus.</w:t>
      </w:r>
    </w:p>
    <w:p w14:paraId="0899E30E" w14:textId="77777777" w:rsidR="0073229D" w:rsidRDefault="0073229D" w:rsidP="0073229D">
      <w:pPr>
        <w:ind w:firstLine="567"/>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I</w:t>
      </w:r>
      <w:r w:rsidRPr="00394867">
        <w:rPr>
          <w:rFonts w:asciiTheme="minorHAnsi" w:hAnsiTheme="minorHAnsi" w:cstheme="minorHAnsi"/>
          <w:color w:val="000000"/>
          <w:shd w:val="clear" w:color="auto" w:fill="FFFFFF"/>
        </w:rPr>
        <w:t>š</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prašymo</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Teisingumo</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Teismo</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turimos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bylos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medžiagos</w:t>
      </w:r>
      <w:r>
        <w:rPr>
          <w:rFonts w:asciiTheme="minorHAnsi" w:hAnsiTheme="minorHAnsi" w:cstheme="minorHAnsi"/>
          <w:color w:val="000000"/>
          <w:shd w:val="clear" w:color="auto" w:fill="FFFFFF"/>
        </w:rPr>
        <w:t xml:space="preserve"> buvo </w:t>
      </w:r>
      <w:r w:rsidRPr="00394867">
        <w:rPr>
          <w:rFonts w:asciiTheme="minorHAnsi" w:hAnsiTheme="minorHAnsi" w:cstheme="minorHAnsi"/>
          <w:color w:val="000000"/>
          <w:shd w:val="clear" w:color="auto" w:fill="FFFFFF"/>
        </w:rPr>
        <w:t>matyti,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pirma,</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pagrindinėse</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bylose</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nagrinėjamuose</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nacionalinės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aktuose</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numatytos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kompensacijos,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susijusios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Italijoje</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bendrajam</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leidimui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nustatyta</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sąlyga</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leisti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teisėtai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perimti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informaciją,</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kurios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atitiktis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Direktyvai</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neginčijama,</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yra</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panašios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visiems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paslaugas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Italijoje</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teikiantiems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ūkio</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subjektams,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nes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kompensacijos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skaičiuojamos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remiantis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fiksuoto</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dydžio</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vienetiniais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tarifais,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nustatytais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suteiktos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perimties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paslaugos</w:t>
      </w:r>
      <w:r>
        <w:rPr>
          <w:rFonts w:asciiTheme="minorHAnsi" w:hAnsiTheme="minorHAnsi" w:cstheme="minorHAnsi"/>
          <w:color w:val="000000"/>
          <w:shd w:val="clear" w:color="auto" w:fill="FFFFFF"/>
        </w:rPr>
        <w:t xml:space="preserve"> </w:t>
      </w:r>
      <w:r w:rsidRPr="00394867">
        <w:rPr>
          <w:rFonts w:asciiTheme="minorHAnsi" w:hAnsiTheme="minorHAnsi" w:cstheme="minorHAnsi"/>
          <w:color w:val="000000"/>
          <w:shd w:val="clear" w:color="auto" w:fill="FFFFFF"/>
        </w:rPr>
        <w:t>rūšį.</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Antra,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kaip</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nurodė</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prašymą</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pateikęs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taikytinus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Italijos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aktus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administracija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apskaičiuoti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šiuos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tarifus,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atsižvelgdama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į</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atitinkamo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sektoriaus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technologijų</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pažangą,</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dėl</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kurios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tam</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tikros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paslaugos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atpigo,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į</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tai,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paslaugos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yra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būtinos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siekiant</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viršesnio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viešojo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intereso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bendrųjų</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tikslų</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jas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gali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teikti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tik</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telekomunikacijų</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operatoriai.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Trečia,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prašymą</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pateikęs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patikslino,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tuos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pačius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aktus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šie</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tarifai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nustatomi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formaliu</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administraciniu</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aktu,</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kuris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yra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skelbiamas</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kuriuo</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galima</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laisvai</w:t>
      </w:r>
      <w:r>
        <w:rPr>
          <w:rFonts w:asciiTheme="minorHAnsi" w:hAnsiTheme="minorHAnsi" w:cstheme="minorHAnsi"/>
          <w:color w:val="000000"/>
          <w:shd w:val="clear" w:color="auto" w:fill="FFFFFF"/>
        </w:rPr>
        <w:t xml:space="preserve"> </w:t>
      </w:r>
      <w:r w:rsidRPr="00092832">
        <w:rPr>
          <w:rFonts w:asciiTheme="minorHAnsi" w:hAnsiTheme="minorHAnsi" w:cstheme="minorHAnsi"/>
          <w:color w:val="000000"/>
          <w:shd w:val="clear" w:color="auto" w:fill="FFFFFF"/>
        </w:rPr>
        <w:t>susipažinti.</w:t>
      </w:r>
    </w:p>
    <w:p w14:paraId="12A84FDA" w14:textId="467C4F8E" w:rsidR="0073229D" w:rsidRPr="00092832" w:rsidRDefault="0073229D" w:rsidP="0073229D">
      <w:pPr>
        <w:ind w:firstLine="567"/>
        <w:rPr>
          <w:rFonts w:asciiTheme="minorHAnsi" w:hAnsiTheme="minorHAnsi" w:cstheme="minorHAnsi"/>
          <w:color w:val="000000"/>
          <w:shd w:val="clear" w:color="auto" w:fill="FFFFFF"/>
        </w:rPr>
      </w:pPr>
      <w:r w:rsidRPr="00AD2704">
        <w:rPr>
          <w:rFonts w:asciiTheme="minorHAnsi" w:hAnsiTheme="minorHAnsi" w:cstheme="minorHAnsi"/>
          <w:color w:val="000000"/>
          <w:shd w:val="clear" w:color="auto" w:fill="FFFFFF"/>
        </w:rPr>
        <w:t>Šiomis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aplinkybėmis</w:t>
      </w:r>
      <w:r>
        <w:rPr>
          <w:rFonts w:asciiTheme="minorHAnsi" w:hAnsiTheme="minorHAnsi" w:cstheme="minorHAnsi"/>
          <w:color w:val="000000"/>
          <w:shd w:val="clear" w:color="auto" w:fill="FFFFFF"/>
        </w:rPr>
        <w:t xml:space="preserve"> Teisingumo Teismas sprendė</w:t>
      </w:r>
      <w:r w:rsidRPr="00AD2704">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pagrindinėse</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bylose</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nagrinėjami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nacionalinės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aktai,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kiek</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juose</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numatytos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ginčijamos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kompensacijos,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tiesų</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yra</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nediskriminaciniai,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proporcingi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skaidrūs,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tačiau</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tai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patikrinti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prašymą</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pateikęs</w:t>
      </w:r>
      <w:r>
        <w:rPr>
          <w:rFonts w:asciiTheme="minorHAnsi" w:hAnsiTheme="minorHAnsi" w:cstheme="minorHAnsi"/>
          <w:color w:val="000000"/>
          <w:shd w:val="clear" w:color="auto" w:fill="FFFFFF"/>
        </w:rPr>
        <w:t xml:space="preserve"> </w:t>
      </w:r>
      <w:r w:rsidRPr="00AD2704">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Be</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to,</w:t>
      </w:r>
      <w:r>
        <w:rPr>
          <w:rFonts w:asciiTheme="minorHAnsi" w:hAnsiTheme="minorHAnsi" w:cstheme="minorHAnsi"/>
          <w:color w:val="000000"/>
          <w:shd w:val="clear" w:color="auto" w:fill="FFFFFF"/>
        </w:rPr>
        <w:t xml:space="preserve"> kiek tai susiję su </w:t>
      </w:r>
      <w:r w:rsidRPr="004F0FFA">
        <w:rPr>
          <w:rFonts w:asciiTheme="minorHAnsi" w:hAnsiTheme="minorHAnsi" w:cstheme="minorHAnsi"/>
          <w:color w:val="000000"/>
          <w:shd w:val="clear" w:color="auto" w:fill="FFFFFF"/>
        </w:rPr>
        <w:t>klausim</w:t>
      </w:r>
      <w:r>
        <w:rPr>
          <w:rFonts w:asciiTheme="minorHAnsi" w:hAnsiTheme="minorHAnsi" w:cstheme="minorHAnsi"/>
          <w:color w:val="000000"/>
          <w:shd w:val="clear" w:color="auto" w:fill="FFFFFF"/>
        </w:rPr>
        <w:t>u</w:t>
      </w:r>
      <w:r w:rsidRPr="004F0FFA">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ar</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valstybė</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narė,</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numačiusi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kompensuoti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ryšių</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paslaugų</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teikėjams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patiriamas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sąnaudas,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kai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Direktyvą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2018/1972</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jie</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sudaro</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sąlygas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teisėtai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perimti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informaciją,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gali,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siekdama</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mažinti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viešąsias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išlaidas,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sumažinti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anksčiau</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patvirtintų</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kompensacijų</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dydį,</w:t>
      </w:r>
      <w:r>
        <w:rPr>
          <w:rFonts w:asciiTheme="minorHAnsi" w:hAnsiTheme="minorHAnsi" w:cstheme="minorHAnsi"/>
          <w:color w:val="000000"/>
          <w:shd w:val="clear" w:color="auto" w:fill="FFFFFF"/>
        </w:rPr>
        <w:t xml:space="preserve"> Teisingumo Teismas </w:t>
      </w:r>
      <w:r w:rsidRPr="004F0FFA">
        <w:rPr>
          <w:rFonts w:asciiTheme="minorHAnsi" w:hAnsiTheme="minorHAnsi" w:cstheme="minorHAnsi"/>
          <w:color w:val="000000"/>
          <w:shd w:val="clear" w:color="auto" w:fill="FFFFFF"/>
        </w:rPr>
        <w:t>prid</w:t>
      </w:r>
      <w:r>
        <w:rPr>
          <w:rFonts w:asciiTheme="minorHAnsi" w:hAnsiTheme="minorHAnsi" w:cstheme="minorHAnsi"/>
          <w:color w:val="000000"/>
          <w:shd w:val="clear" w:color="auto" w:fill="FFFFFF"/>
        </w:rPr>
        <w:t>ūrė</w:t>
      </w:r>
      <w:r w:rsidRPr="004F0FFA">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jog</w:t>
      </w:r>
      <w:r w:rsidRPr="004F0FFA">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atsižvelgiant</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į</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valstybėms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narėms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suteiktą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diskreciją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įgyvendinti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šios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direktyvos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priedo</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A</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4</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punkte</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numatytą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sąlygą,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šią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direktyvą</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nedraudžiamas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toks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sumažinimas,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jeigu</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nagrinėjami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nacionalinės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teisės</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aktai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yra</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nediskriminaciniai,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proporcingi</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4F0FFA">
        <w:rPr>
          <w:rFonts w:asciiTheme="minorHAnsi" w:hAnsiTheme="minorHAnsi" w:cstheme="minorHAnsi"/>
          <w:color w:val="000000"/>
          <w:shd w:val="clear" w:color="auto" w:fill="FFFFFF"/>
        </w:rPr>
        <w:t>skaidrūs.</w:t>
      </w:r>
    </w:p>
    <w:p w14:paraId="5E0C27C6" w14:textId="77777777" w:rsidR="0073229D" w:rsidRPr="00366887" w:rsidRDefault="0073229D" w:rsidP="0073229D">
      <w:pPr>
        <w:ind w:firstLine="567"/>
        <w:rPr>
          <w:rFonts w:asciiTheme="minorHAnsi" w:hAnsiTheme="minorHAnsi" w:cstheme="minorHAnsi"/>
          <w:iCs/>
          <w:color w:val="000000"/>
          <w:shd w:val="clear" w:color="auto" w:fill="FFFFFF"/>
        </w:rPr>
      </w:pPr>
      <w:r w:rsidRPr="0027605C">
        <w:rPr>
          <w:rFonts w:asciiTheme="minorHAnsi" w:hAnsiTheme="minorHAnsi" w:cstheme="minorHAnsi"/>
          <w:iCs/>
          <w:color w:val="000000"/>
          <w:shd w:val="clear" w:color="auto" w:fill="FFFFFF"/>
        </w:rPr>
        <w:t>Atsižvelgęs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į</w:t>
      </w:r>
      <w:r>
        <w:rPr>
          <w:rFonts w:asciiTheme="minorHAnsi" w:hAnsiTheme="minorHAnsi" w:cstheme="minorHAnsi"/>
          <w:iCs/>
          <w:color w:val="000000"/>
          <w:shd w:val="clear" w:color="auto" w:fill="FFFFFF"/>
        </w:rPr>
        <w:t xml:space="preserve"> visa </w:t>
      </w:r>
      <w:r w:rsidRPr="0027605C">
        <w:rPr>
          <w:rFonts w:asciiTheme="minorHAnsi" w:hAnsiTheme="minorHAnsi" w:cstheme="minorHAnsi"/>
          <w:iCs/>
          <w:color w:val="000000"/>
          <w:shd w:val="clear" w:color="auto" w:fill="FFFFFF"/>
        </w:rPr>
        <w:t>tai,</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Teisingumo</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Teismas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konstatavo,</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kad</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Direktyvos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2018/1972</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13</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straipsnis,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siejamas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su</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jos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3</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straipsniu,</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ir</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I</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priedo</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A</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dalies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4</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punktas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turi</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būti</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aiškinami</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taip,</w:t>
      </w:r>
      <w:r>
        <w:rPr>
          <w:rFonts w:asciiTheme="minorHAnsi" w:hAnsiTheme="minorHAnsi" w:cstheme="minorHAnsi"/>
          <w:iCs/>
          <w:color w:val="000000"/>
          <w:shd w:val="clear" w:color="auto" w:fill="FFFFFF"/>
        </w:rPr>
        <w:t xml:space="preserve"> jog </w:t>
      </w:r>
      <w:r w:rsidRPr="0027605C">
        <w:rPr>
          <w:rFonts w:asciiTheme="minorHAnsi" w:hAnsiTheme="minorHAnsi" w:cstheme="minorHAnsi"/>
          <w:iCs/>
          <w:color w:val="000000"/>
          <w:shd w:val="clear" w:color="auto" w:fill="FFFFFF"/>
        </w:rPr>
        <w:t>pagal</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shd w:val="clear" w:color="auto" w:fill="FFFFFF"/>
        </w:rPr>
        <w:t>juos</w:t>
      </w:r>
      <w:r>
        <w:rPr>
          <w:rFonts w:asciiTheme="minorHAnsi" w:hAnsiTheme="minorHAnsi" w:cstheme="minorHAnsi"/>
          <w:iCs/>
          <w:color w:val="000000"/>
          <w:shd w:val="clear" w:color="auto" w:fill="FFFFFF"/>
        </w:rPr>
        <w:t xml:space="preserve"> </w:t>
      </w:r>
      <w:r w:rsidRPr="0027605C">
        <w:rPr>
          <w:rFonts w:asciiTheme="minorHAnsi" w:hAnsiTheme="minorHAnsi" w:cstheme="minorHAnsi"/>
          <w:iCs/>
          <w:color w:val="000000"/>
          <w:u w:val="single"/>
          <w:shd w:val="clear" w:color="auto" w:fill="FFFFFF"/>
        </w:rPr>
        <w:t>nedraudžiami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nacionalinės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teisės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aktai,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pagal</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kuriuos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nereikalaujama</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visiškai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kompensuoti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sąnaud</w:t>
      </w:r>
      <w:r>
        <w:rPr>
          <w:rFonts w:asciiTheme="minorHAnsi" w:hAnsiTheme="minorHAnsi" w:cstheme="minorHAnsi"/>
          <w:iCs/>
          <w:color w:val="000000"/>
          <w:u w:val="single"/>
          <w:shd w:val="clear" w:color="auto" w:fill="FFFFFF"/>
        </w:rPr>
        <w:t>as</w:t>
      </w:r>
      <w:r w:rsidRPr="0027605C">
        <w:rPr>
          <w:rFonts w:asciiTheme="minorHAnsi" w:hAnsiTheme="minorHAnsi" w:cstheme="minorHAnsi"/>
          <w:iCs/>
          <w:color w:val="000000"/>
          <w:u w:val="single"/>
          <w:shd w:val="clear" w:color="auto" w:fill="FFFFFF"/>
        </w:rPr>
        <w:t>,</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kuri</w:t>
      </w:r>
      <w:r>
        <w:rPr>
          <w:rFonts w:asciiTheme="minorHAnsi" w:hAnsiTheme="minorHAnsi" w:cstheme="minorHAnsi"/>
          <w:iCs/>
          <w:color w:val="000000"/>
          <w:u w:val="single"/>
          <w:shd w:val="clear" w:color="auto" w:fill="FFFFFF"/>
        </w:rPr>
        <w:t xml:space="preserve">as </w:t>
      </w:r>
      <w:r w:rsidRPr="0027605C">
        <w:rPr>
          <w:rFonts w:asciiTheme="minorHAnsi" w:hAnsiTheme="minorHAnsi" w:cstheme="minorHAnsi"/>
          <w:iCs/>
          <w:color w:val="000000"/>
          <w:u w:val="single"/>
          <w:shd w:val="clear" w:color="auto" w:fill="FFFFFF"/>
        </w:rPr>
        <w:t>elektroninių</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ryšių</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paslaugų</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teikėjai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faktiškai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patiria</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sudarydami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sąlygas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kompetentingoms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nacionalinėms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institucijoms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teisėtai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perimti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elektroninius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pranešimus,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jeigu</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šie</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teisės</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aktai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yra</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nediskriminaciniai,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proporcingi</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ir</w:t>
      </w:r>
      <w:r>
        <w:rPr>
          <w:rFonts w:asciiTheme="minorHAnsi" w:hAnsiTheme="minorHAnsi" w:cstheme="minorHAnsi"/>
          <w:iCs/>
          <w:color w:val="000000"/>
          <w:u w:val="single"/>
          <w:shd w:val="clear" w:color="auto" w:fill="FFFFFF"/>
        </w:rPr>
        <w:t xml:space="preserve"> </w:t>
      </w:r>
      <w:r w:rsidRPr="0027605C">
        <w:rPr>
          <w:rFonts w:asciiTheme="minorHAnsi" w:hAnsiTheme="minorHAnsi" w:cstheme="minorHAnsi"/>
          <w:iCs/>
          <w:color w:val="000000"/>
          <w:u w:val="single"/>
          <w:shd w:val="clear" w:color="auto" w:fill="FFFFFF"/>
        </w:rPr>
        <w:t>skaidrūs</w:t>
      </w:r>
      <w:r w:rsidRPr="0027605C">
        <w:rPr>
          <w:rFonts w:asciiTheme="minorHAnsi" w:hAnsiTheme="minorHAnsi" w:cstheme="minorHAnsi"/>
          <w:iCs/>
          <w:color w:val="000000"/>
          <w:shd w:val="clear" w:color="auto" w:fill="FFFFFF"/>
        </w:rPr>
        <w:t>.</w:t>
      </w:r>
    </w:p>
    <w:p w14:paraId="135EBF02" w14:textId="77777777" w:rsidR="0073229D" w:rsidRPr="0049665B" w:rsidRDefault="00000000" w:rsidP="0073229D">
      <w:pPr>
        <w:ind w:firstLine="567"/>
        <w:rPr>
          <w:rStyle w:val="Hipersaitas"/>
          <w:rFonts w:asciiTheme="minorHAnsi" w:hAnsiTheme="minorHAnsi" w:cstheme="minorHAnsi"/>
        </w:rPr>
      </w:pPr>
      <w:hyperlink r:id="rId22" w:history="1">
        <w:r w:rsidR="0073229D" w:rsidRPr="004256B6">
          <w:rPr>
            <w:rStyle w:val="Hipersaitas"/>
            <w:rFonts w:asciiTheme="minorHAnsi" w:hAnsiTheme="minorHAnsi" w:cstheme="minorHAnsi"/>
          </w:rPr>
          <w:t>Prieiga internete</w:t>
        </w:r>
      </w:hyperlink>
    </w:p>
    <w:p w14:paraId="40C9CBC2" w14:textId="77777777" w:rsidR="001D7F63" w:rsidRDefault="001D7F63" w:rsidP="005D34B8"/>
    <w:p w14:paraId="2E8FDAE4" w14:textId="77777777" w:rsidR="00C80AE5" w:rsidRPr="006A3B77" w:rsidRDefault="00C80AE5" w:rsidP="00C80AE5">
      <w:pPr>
        <w:keepNext/>
        <w:keepLines/>
        <w:jc w:val="center"/>
        <w:outlineLvl w:val="0"/>
        <w:rPr>
          <w:rFonts w:eastAsia="Times New Roman"/>
          <w:b/>
          <w:color w:val="323E4F"/>
          <w:szCs w:val="32"/>
        </w:rPr>
      </w:pPr>
      <w:bookmarkStart w:id="65" w:name="_Toc148375087"/>
      <w:r w:rsidRPr="006A3B77">
        <w:rPr>
          <w:rFonts w:eastAsia="Times New Roman"/>
          <w:b/>
          <w:color w:val="323E4F"/>
          <w:szCs w:val="32"/>
        </w:rPr>
        <w:t>FINANSŲ RINKŲ PRIEŽIŪRA</w:t>
      </w:r>
      <w:bookmarkEnd w:id="65"/>
    </w:p>
    <w:p w14:paraId="5FCD364A" w14:textId="77777777" w:rsidR="00C80AE5" w:rsidRPr="006A3B77" w:rsidRDefault="00C80AE5" w:rsidP="00C80AE5">
      <w:pPr>
        <w:jc w:val="left"/>
        <w:rPr>
          <w:lang w:eastAsia="lt-LT"/>
        </w:rPr>
      </w:pPr>
    </w:p>
    <w:p w14:paraId="5EA8B070" w14:textId="77777777" w:rsidR="00C80AE5" w:rsidRPr="006A3B77" w:rsidRDefault="00C80AE5" w:rsidP="00C80AE5">
      <w:pPr>
        <w:pStyle w:val="Antrat2"/>
        <w:rPr>
          <w:color w:val="323E4F" w:themeColor="text2" w:themeShade="BF"/>
        </w:rPr>
      </w:pPr>
      <w:bookmarkStart w:id="66" w:name="_Toc148375088"/>
      <w:r w:rsidRPr="006A3B77">
        <w:rPr>
          <w:color w:val="323E4F" w:themeColor="text2" w:themeShade="BF"/>
        </w:rPr>
        <w:t xml:space="preserve">2023 m. kovo 2 d. sprendimas byloje </w:t>
      </w:r>
      <w:r w:rsidRPr="00024C4F">
        <w:rPr>
          <w:i/>
          <w:iCs w:val="0"/>
          <w:color w:val="323E4F" w:themeColor="text2" w:themeShade="BF"/>
        </w:rPr>
        <w:t>PrivatBank ir kt.</w:t>
      </w:r>
      <w:r w:rsidRPr="006A3B77">
        <w:rPr>
          <w:color w:val="323E4F" w:themeColor="text2" w:themeShade="BF"/>
        </w:rPr>
        <w:t>, C</w:t>
      </w:r>
      <w:r w:rsidRPr="006A3B77">
        <w:rPr>
          <w:color w:val="323E4F" w:themeColor="text2" w:themeShade="BF"/>
        </w:rPr>
        <w:noBreakHyphen/>
        <w:t>78/21</w:t>
      </w:r>
      <w:bookmarkEnd w:id="66"/>
    </w:p>
    <w:p w14:paraId="0885A6B0" w14:textId="77777777" w:rsidR="00C80AE5" w:rsidRPr="006A3B77" w:rsidRDefault="00C80AE5" w:rsidP="00C80AE5">
      <w:pPr>
        <w:ind w:firstLine="567"/>
        <w:jc w:val="center"/>
        <w:rPr>
          <w:rFonts w:cs="Calibri"/>
          <w:b/>
          <w:bCs/>
          <w:i/>
          <w:shd w:val="clear" w:color="auto" w:fill="FFFFFF"/>
        </w:rPr>
      </w:pPr>
    </w:p>
    <w:p w14:paraId="0A5853EE" w14:textId="38B0D634" w:rsidR="00C80AE5" w:rsidRPr="006A3B77" w:rsidRDefault="00C80AE5" w:rsidP="00C80AE5">
      <w:pPr>
        <w:tabs>
          <w:tab w:val="left" w:pos="6379"/>
        </w:tabs>
        <w:ind w:firstLine="540"/>
        <w:rPr>
          <w:rFonts w:cs="Calibri"/>
          <w:iCs/>
        </w:rPr>
      </w:pPr>
      <w:r w:rsidRPr="006A3B77">
        <w:rPr>
          <w:rFonts w:cs="Calibri"/>
          <w:iCs/>
        </w:rPr>
        <w:t>SESV</w:t>
      </w:r>
      <w:r w:rsidR="00CF0DD8">
        <w:rPr>
          <w:rFonts w:cs="Calibri"/>
          <w:iCs/>
        </w:rPr>
        <w:t xml:space="preserve"> </w:t>
      </w:r>
      <w:r w:rsidRPr="006A3B77">
        <w:rPr>
          <w:rFonts w:cs="Calibri"/>
          <w:iCs/>
        </w:rPr>
        <w:t>56 ir 63 straipsniai</w:t>
      </w:r>
      <w:r w:rsidR="00CF0DD8">
        <w:rPr>
          <w:rFonts w:cs="Calibri"/>
          <w:iCs/>
        </w:rPr>
        <w:t xml:space="preserve"> </w:t>
      </w:r>
      <w:r w:rsidRPr="006A3B77">
        <w:rPr>
          <w:rFonts w:cs="Calibri"/>
          <w:iCs/>
        </w:rPr>
        <w:t>– Laisvė teikti paslaugas</w:t>
      </w:r>
      <w:r w:rsidR="00CF0DD8">
        <w:rPr>
          <w:rFonts w:cs="Calibri"/>
          <w:iCs/>
        </w:rPr>
        <w:t xml:space="preserve"> </w:t>
      </w:r>
      <w:r w:rsidRPr="006A3B77">
        <w:rPr>
          <w:rFonts w:cs="Calibri"/>
          <w:iCs/>
        </w:rPr>
        <w:t>– Laisvas kapitalo judėjimas</w:t>
      </w:r>
      <w:r w:rsidR="00CF0DD8">
        <w:rPr>
          <w:rFonts w:cs="Calibri"/>
          <w:iCs/>
        </w:rPr>
        <w:t xml:space="preserve"> </w:t>
      </w:r>
      <w:r w:rsidRPr="006A3B77">
        <w:rPr>
          <w:rFonts w:cs="Calibri"/>
          <w:iCs/>
        </w:rPr>
        <w:t>– Nacionalinė priemonė, kuria kredito įstaiga įpareigojama nutraukti verslo santykius arba jų neužmegzti su asmenimis, kurie nėra tos šalies piliečiai</w:t>
      </w:r>
      <w:r w:rsidR="00CF0DD8">
        <w:rPr>
          <w:rFonts w:cs="Calibri"/>
          <w:iCs/>
        </w:rPr>
        <w:t xml:space="preserve"> </w:t>
      </w:r>
      <w:r w:rsidRPr="006A3B77">
        <w:rPr>
          <w:rFonts w:cs="Calibri"/>
          <w:iCs/>
        </w:rPr>
        <w:t>– Apribojimas</w:t>
      </w:r>
      <w:r w:rsidR="00CF0DD8">
        <w:rPr>
          <w:rFonts w:cs="Calibri"/>
          <w:iCs/>
        </w:rPr>
        <w:t xml:space="preserve"> </w:t>
      </w:r>
      <w:r w:rsidRPr="006A3B77">
        <w:rPr>
          <w:rFonts w:cs="Calibri"/>
          <w:iCs/>
        </w:rPr>
        <w:t>– SESV</w:t>
      </w:r>
      <w:r w:rsidR="00CF0DD8">
        <w:rPr>
          <w:rFonts w:cs="Calibri"/>
          <w:iCs/>
        </w:rPr>
        <w:t xml:space="preserve"> </w:t>
      </w:r>
      <w:r w:rsidRPr="006A3B77">
        <w:rPr>
          <w:rFonts w:cs="Calibri"/>
          <w:iCs/>
        </w:rPr>
        <w:t>65 straipsnio 1 dalies b punktas</w:t>
      </w:r>
      <w:r w:rsidR="00CF0DD8">
        <w:rPr>
          <w:rFonts w:cs="Calibri"/>
          <w:iCs/>
        </w:rPr>
        <w:t xml:space="preserve"> </w:t>
      </w:r>
      <w:r w:rsidRPr="006A3B77">
        <w:rPr>
          <w:rFonts w:cs="Calibri"/>
          <w:iCs/>
        </w:rPr>
        <w:t>– Pateisinimas</w:t>
      </w:r>
      <w:r w:rsidR="00CF0DD8">
        <w:rPr>
          <w:rFonts w:cs="Calibri"/>
          <w:iCs/>
        </w:rPr>
        <w:t xml:space="preserve"> </w:t>
      </w:r>
      <w:r w:rsidRPr="006A3B77">
        <w:rPr>
          <w:rFonts w:cs="Calibri"/>
          <w:iCs/>
        </w:rPr>
        <w:t>– Direktyva (ES) 2015/849</w:t>
      </w:r>
      <w:r w:rsidR="00CF0DD8">
        <w:rPr>
          <w:rFonts w:cs="Calibri"/>
          <w:iCs/>
        </w:rPr>
        <w:t xml:space="preserve"> </w:t>
      </w:r>
      <w:r w:rsidRPr="006A3B77">
        <w:rPr>
          <w:rFonts w:cs="Calibri"/>
          <w:iCs/>
        </w:rPr>
        <w:t>– Finansų sistemos naudojimo pinigų plovimui ar teroristų finansavimui prevencija</w:t>
      </w:r>
      <w:r w:rsidR="00CF0DD8">
        <w:rPr>
          <w:rFonts w:cs="Calibri"/>
          <w:iCs/>
        </w:rPr>
        <w:t xml:space="preserve"> </w:t>
      </w:r>
      <w:r w:rsidRPr="006A3B77">
        <w:rPr>
          <w:rFonts w:cs="Calibri"/>
          <w:iCs/>
        </w:rPr>
        <w:t>– Proporcingumas</w:t>
      </w:r>
    </w:p>
    <w:p w14:paraId="79988875" w14:textId="77777777" w:rsidR="00C80AE5" w:rsidRPr="006A3B77" w:rsidRDefault="00C80AE5" w:rsidP="00C80AE5">
      <w:pPr>
        <w:tabs>
          <w:tab w:val="left" w:pos="6379"/>
        </w:tabs>
        <w:ind w:firstLine="540"/>
        <w:rPr>
          <w:rFonts w:cs="Calibri"/>
          <w:b/>
        </w:rPr>
      </w:pPr>
    </w:p>
    <w:p w14:paraId="6BB7D6C7" w14:textId="77777777" w:rsidR="00C80AE5" w:rsidRPr="006A3B77" w:rsidRDefault="00C80AE5" w:rsidP="00C80AE5">
      <w:pPr>
        <w:tabs>
          <w:tab w:val="left" w:pos="6379"/>
        </w:tabs>
        <w:jc w:val="center"/>
        <w:rPr>
          <w:rFonts w:cs="Calibri"/>
          <w:b/>
        </w:rPr>
      </w:pPr>
      <w:r w:rsidRPr="006A3B77">
        <w:rPr>
          <w:rFonts w:cs="Calibri"/>
          <w:b/>
        </w:rPr>
        <w:t>Bylos aplinkybės</w:t>
      </w:r>
    </w:p>
    <w:p w14:paraId="06B78E40" w14:textId="77777777" w:rsidR="00C80AE5" w:rsidRPr="006A3B77" w:rsidRDefault="00C80AE5" w:rsidP="00C80AE5">
      <w:pPr>
        <w:shd w:val="clear" w:color="auto" w:fill="FFFFFF"/>
        <w:tabs>
          <w:tab w:val="left" w:pos="2655"/>
        </w:tabs>
        <w:ind w:firstLine="567"/>
        <w:rPr>
          <w:rFonts w:eastAsia="Times New Roman" w:cs="Calibri"/>
          <w:b/>
          <w:bCs/>
          <w:lang w:eastAsia="lt-LT"/>
        </w:rPr>
      </w:pPr>
    </w:p>
    <w:p w14:paraId="4AD8EDC3" w14:textId="1B2EA6F6" w:rsidR="00C80AE5" w:rsidRPr="006A3B77" w:rsidRDefault="00C80AE5" w:rsidP="00C80AE5">
      <w:pPr>
        <w:ind w:firstLine="567"/>
        <w:rPr>
          <w:rFonts w:cs="Calibri"/>
          <w:iCs/>
          <w:shd w:val="clear" w:color="auto" w:fill="FFFFFF"/>
        </w:rPr>
      </w:pPr>
      <w:r w:rsidRPr="006A3B77">
        <w:rPr>
          <w:rFonts w:cs="Calibri"/>
          <w:iCs/>
          <w:shd w:val="clear" w:color="auto" w:fill="FFFFFF"/>
        </w:rPr>
        <w:lastRenderedPageBreak/>
        <w:t>Prašymas priimti prejudicinį sprendimą pateiktas dėl SESV</w:t>
      </w:r>
      <w:r w:rsidR="00925CC0">
        <w:rPr>
          <w:rFonts w:cs="Calibri"/>
          <w:iCs/>
          <w:shd w:val="clear" w:color="auto" w:fill="FFFFFF"/>
        </w:rPr>
        <w:t xml:space="preserve"> </w:t>
      </w:r>
      <w:r w:rsidRPr="006A3B77">
        <w:rPr>
          <w:rFonts w:cs="Calibri"/>
          <w:iCs/>
          <w:shd w:val="clear" w:color="auto" w:fill="FFFFFF"/>
        </w:rPr>
        <w:t>63 straipsnio 1 dalies ir 65 straipsnio 1 dalies b punkto, dėl Direktyvos</w:t>
      </w:r>
      <w:r w:rsidR="00925CC0">
        <w:rPr>
          <w:rFonts w:cs="Calibri"/>
          <w:iCs/>
          <w:shd w:val="clear" w:color="auto" w:fill="FFFFFF"/>
        </w:rPr>
        <w:t xml:space="preserve"> </w:t>
      </w:r>
      <w:r w:rsidRPr="006A3B77">
        <w:rPr>
          <w:rFonts w:cs="Calibri"/>
          <w:iCs/>
          <w:shd w:val="clear" w:color="auto" w:fill="FFFFFF"/>
        </w:rPr>
        <w:t>88/361/EEB</w:t>
      </w:r>
      <w:r w:rsidRPr="006A3B77">
        <w:rPr>
          <w:rFonts w:cs="Calibri"/>
          <w:iCs/>
          <w:shd w:val="clear" w:color="auto" w:fill="FFFFFF"/>
          <w:vertAlign w:val="superscript"/>
        </w:rPr>
        <w:footnoteReference w:id="19"/>
      </w:r>
      <w:r w:rsidRPr="006A3B77">
        <w:rPr>
          <w:rFonts w:cs="Calibri"/>
          <w:iCs/>
          <w:shd w:val="clear" w:color="auto" w:fill="FFFFFF"/>
        </w:rPr>
        <w:t xml:space="preserve"> I priedo, taip pat dėl Direktyvos (ES) 2015/849</w:t>
      </w:r>
      <w:r w:rsidRPr="006A3B77">
        <w:rPr>
          <w:rFonts w:cs="Calibri"/>
          <w:iCs/>
          <w:shd w:val="clear" w:color="auto" w:fill="FFFFFF"/>
          <w:vertAlign w:val="superscript"/>
        </w:rPr>
        <w:footnoteReference w:id="20"/>
      </w:r>
      <w:r w:rsidRPr="006A3B77">
        <w:rPr>
          <w:rFonts w:cs="Calibri"/>
          <w:iCs/>
          <w:shd w:val="clear" w:color="auto" w:fill="FFFFFF"/>
        </w:rPr>
        <w:t xml:space="preserve"> 1 straipsnio išaiškinimo.</w:t>
      </w:r>
      <w:r w:rsidRPr="006A3B77">
        <w:rPr>
          <w:rFonts w:ascii="Open Sans" w:hAnsi="Open Sans" w:cs="Open Sans"/>
          <w:color w:val="000000"/>
          <w:sz w:val="18"/>
          <w:szCs w:val="18"/>
        </w:rPr>
        <w:t xml:space="preserve"> </w:t>
      </w:r>
      <w:r w:rsidRPr="006A3B77">
        <w:rPr>
          <w:rFonts w:cs="Calibri"/>
          <w:iCs/>
          <w:shd w:val="clear" w:color="auto" w:fill="FFFFFF"/>
        </w:rPr>
        <w:t>Šis prašymas pateiktas nagrinėjant AS „PrivatBank“, A ir B bei</w:t>
      </w:r>
      <w:r w:rsidR="00925CC0">
        <w:rPr>
          <w:rFonts w:cs="Calibri"/>
          <w:iCs/>
          <w:shd w:val="clear" w:color="auto" w:fill="FFFFFF"/>
        </w:rPr>
        <w:t xml:space="preserve"> </w:t>
      </w:r>
      <w:r w:rsidRPr="006A3B77">
        <w:rPr>
          <w:rFonts w:cs="Calibri"/>
          <w:i/>
          <w:iCs/>
          <w:shd w:val="clear" w:color="auto" w:fill="FFFFFF"/>
        </w:rPr>
        <w:t>Unimain Holdings LTD</w:t>
      </w:r>
      <w:r w:rsidR="00925CC0">
        <w:rPr>
          <w:rFonts w:cs="Calibri"/>
          <w:i/>
          <w:iCs/>
          <w:shd w:val="clear" w:color="auto" w:fill="FFFFFF"/>
        </w:rPr>
        <w:t xml:space="preserve"> </w:t>
      </w:r>
      <w:r w:rsidRPr="006A3B77">
        <w:rPr>
          <w:rFonts w:cs="Calibri"/>
          <w:iCs/>
          <w:shd w:val="clear" w:color="auto" w:fill="FFFFFF"/>
        </w:rPr>
        <w:t>ginčą su Latvijos Finansų ir kapitalo rinkų komisija (toliau</w:t>
      </w:r>
      <w:r w:rsidR="00925CC0">
        <w:rPr>
          <w:rFonts w:cs="Calibri"/>
          <w:iCs/>
          <w:shd w:val="clear" w:color="auto" w:fill="FFFFFF"/>
        </w:rPr>
        <w:t xml:space="preserve"> </w:t>
      </w:r>
      <w:r w:rsidRPr="006A3B77">
        <w:rPr>
          <w:rFonts w:cs="Calibri"/>
          <w:iCs/>
          <w:shd w:val="clear" w:color="auto" w:fill="FFFFFF"/>
        </w:rPr>
        <w:t>– FKRK) dėl pastarosios</w:t>
      </w:r>
      <w:r w:rsidR="00925CC0">
        <w:rPr>
          <w:rFonts w:cs="Calibri"/>
          <w:iCs/>
          <w:shd w:val="clear" w:color="auto" w:fill="FFFFFF"/>
        </w:rPr>
        <w:t xml:space="preserve"> </w:t>
      </w:r>
      <w:r w:rsidRPr="006A3B77">
        <w:rPr>
          <w:rFonts w:cs="Calibri"/>
          <w:i/>
          <w:iCs/>
          <w:shd w:val="clear" w:color="auto" w:fill="FFFFFF"/>
        </w:rPr>
        <w:t>PrivatBank</w:t>
      </w:r>
      <w:r w:rsidR="00925CC0">
        <w:rPr>
          <w:rFonts w:cs="Calibri"/>
          <w:iCs/>
          <w:shd w:val="clear" w:color="auto" w:fill="FFFFFF"/>
        </w:rPr>
        <w:t xml:space="preserve"> </w:t>
      </w:r>
      <w:r w:rsidRPr="006A3B77">
        <w:rPr>
          <w:rFonts w:cs="Calibri"/>
          <w:iCs/>
          <w:shd w:val="clear" w:color="auto" w:fill="FFFFFF"/>
        </w:rPr>
        <w:t>taikytos sankcijos ir administracinių priemonių, siekiant užkirsti kelią šios kredito įstaigos dalyvavimo pinigų plovime ir teroristų finansavime rizikai, teisėtumo.</w:t>
      </w:r>
    </w:p>
    <w:p w14:paraId="7F263ABC" w14:textId="6D8BE31C" w:rsidR="00C80AE5" w:rsidRPr="006A3B77" w:rsidRDefault="00C80AE5" w:rsidP="00C80AE5">
      <w:pPr>
        <w:ind w:firstLine="567"/>
        <w:rPr>
          <w:color w:val="000000"/>
          <w:shd w:val="clear" w:color="auto" w:fill="FFFFFF"/>
        </w:rPr>
      </w:pPr>
      <w:r w:rsidRPr="006A3B77">
        <w:rPr>
          <w:color w:val="000000"/>
          <w:shd w:val="clear" w:color="auto" w:fill="FFFFFF"/>
        </w:rPr>
        <w:t>Atlikusi patikrinimą FKRK nustatė, kad</w:t>
      </w:r>
      <w:r w:rsidR="00925CC0">
        <w:rPr>
          <w:color w:val="000000"/>
          <w:shd w:val="clear" w:color="auto" w:fill="FFFFFF"/>
        </w:rPr>
        <w:t xml:space="preserve"> </w:t>
      </w:r>
      <w:r w:rsidRPr="006A3B77">
        <w:rPr>
          <w:i/>
          <w:iCs/>
          <w:color w:val="000000"/>
          <w:shd w:val="clear" w:color="auto" w:fill="FFFFFF"/>
        </w:rPr>
        <w:t>PrivatBank</w:t>
      </w:r>
      <w:r w:rsidR="00925CC0">
        <w:rPr>
          <w:color w:val="000000"/>
          <w:shd w:val="clear" w:color="auto" w:fill="FFFFFF"/>
        </w:rPr>
        <w:t xml:space="preserve"> </w:t>
      </w:r>
      <w:r w:rsidRPr="006A3B77">
        <w:rPr>
          <w:color w:val="000000"/>
          <w:shd w:val="clear" w:color="auto" w:fill="FFFFFF"/>
        </w:rPr>
        <w:t>nesilaikė tam tikrų (visų pirma</w:t>
      </w:r>
      <w:r w:rsidR="00925CC0">
        <w:rPr>
          <w:color w:val="000000"/>
          <w:shd w:val="clear" w:color="auto" w:fill="FFFFFF"/>
        </w:rPr>
        <w:t xml:space="preserve"> </w:t>
      </w:r>
      <w:r w:rsidRPr="006A3B77">
        <w:rPr>
          <w:color w:val="000000"/>
          <w:shd w:val="clear" w:color="auto" w:fill="FFFFFF"/>
        </w:rPr>
        <w:t>– Pinigų plovimo prevencijos įstatyme nustatytų) reikalavimų dėl kovos su pinigų plovimu ir teroristų finansavimu. FKRK teigimu,</w:t>
      </w:r>
      <w:r w:rsidR="00925CC0">
        <w:rPr>
          <w:color w:val="000000"/>
          <w:shd w:val="clear" w:color="auto" w:fill="FFFFFF"/>
        </w:rPr>
        <w:t xml:space="preserve"> </w:t>
      </w:r>
      <w:r w:rsidRPr="006A3B77">
        <w:rPr>
          <w:i/>
          <w:iCs/>
          <w:color w:val="000000"/>
          <w:shd w:val="clear" w:color="auto" w:fill="FFFFFF"/>
        </w:rPr>
        <w:t>PrivatBank</w:t>
      </w:r>
      <w:r w:rsidR="00925CC0">
        <w:rPr>
          <w:color w:val="000000"/>
          <w:shd w:val="clear" w:color="auto" w:fill="FFFFFF"/>
        </w:rPr>
        <w:t xml:space="preserve"> </w:t>
      </w:r>
      <w:r w:rsidRPr="006A3B77">
        <w:rPr>
          <w:color w:val="000000"/>
          <w:shd w:val="clear" w:color="auto" w:fill="FFFFFF"/>
        </w:rPr>
        <w:t>vidaus kontrolės sistema vykdant deramą klientų tikrinimą ir sandorių priežiūrą neleidžia šiai kredito įstaigai užtikrinti veiksmingo šios srities rizikos valdymo. Konkrečiai, daliai klientų</w:t>
      </w:r>
      <w:r w:rsidR="00925CC0">
        <w:rPr>
          <w:color w:val="000000"/>
          <w:shd w:val="clear" w:color="auto" w:fill="FFFFFF"/>
        </w:rPr>
        <w:t xml:space="preserve"> </w:t>
      </w:r>
      <w:r w:rsidRPr="006A3B77">
        <w:rPr>
          <w:i/>
          <w:iCs/>
          <w:color w:val="000000"/>
          <w:shd w:val="clear" w:color="auto" w:fill="FFFFFF"/>
        </w:rPr>
        <w:t>PrivatBank</w:t>
      </w:r>
      <w:r w:rsidR="00925CC0">
        <w:rPr>
          <w:color w:val="000000"/>
          <w:shd w:val="clear" w:color="auto" w:fill="FFFFFF"/>
        </w:rPr>
        <w:t xml:space="preserve"> </w:t>
      </w:r>
      <w:r w:rsidRPr="006A3B77">
        <w:rPr>
          <w:color w:val="000000"/>
          <w:shd w:val="clear" w:color="auto" w:fill="FFFFFF"/>
        </w:rPr>
        <w:t>sudarė palankesnes sąlygas (jomis faktiškai naudojosi jos akcininkai), kiek tai susiję su esamų klientų operacijų priežiūra ir naujų klientų įtraukimu.</w:t>
      </w:r>
    </w:p>
    <w:p w14:paraId="78A849E3" w14:textId="176E9175" w:rsidR="00C80AE5" w:rsidRPr="006A3B77" w:rsidRDefault="00C80AE5" w:rsidP="00C80AE5">
      <w:pPr>
        <w:ind w:firstLine="567"/>
        <w:rPr>
          <w:color w:val="000000"/>
          <w:shd w:val="clear" w:color="auto" w:fill="FFFFFF"/>
        </w:rPr>
      </w:pPr>
      <w:r w:rsidRPr="006A3B77">
        <w:rPr>
          <w:color w:val="000000"/>
          <w:shd w:val="clear" w:color="auto" w:fill="FFFFFF"/>
        </w:rPr>
        <w:t>2019 m. rugsėjo 13 d. FKRK sprendimu</w:t>
      </w:r>
      <w:r w:rsidR="00925CC0">
        <w:rPr>
          <w:color w:val="000000"/>
          <w:shd w:val="clear" w:color="auto" w:fill="FFFFFF"/>
        </w:rPr>
        <w:t xml:space="preserve"> </w:t>
      </w:r>
      <w:r w:rsidRPr="006A3B77">
        <w:rPr>
          <w:i/>
          <w:iCs/>
          <w:color w:val="000000"/>
          <w:shd w:val="clear" w:color="auto" w:fill="FFFFFF"/>
        </w:rPr>
        <w:t>PrivatBank</w:t>
      </w:r>
      <w:r w:rsidR="00925CC0">
        <w:rPr>
          <w:color w:val="000000"/>
          <w:shd w:val="clear" w:color="auto" w:fill="FFFFFF"/>
        </w:rPr>
        <w:t xml:space="preserve"> </w:t>
      </w:r>
      <w:r w:rsidRPr="006A3B77">
        <w:rPr>
          <w:color w:val="000000"/>
          <w:shd w:val="clear" w:color="auto" w:fill="FFFFFF"/>
        </w:rPr>
        <w:t>buvo skirta bauda, taip pat, be kita ko, nustatyta administracinė priemonė, t. y. kol bus įvykdytos tam tikros šiame sprendime nustatytos priemonės ir gautas FKRK patvirtinimas, bankui nuo to sprendimo priėmimo dienos buvo uždrausta užmegzti verslo santykius, taip pat nurodyta nedelsiant nutraukti po šio sprendimo priėmimo užmegztus verslo santykius su atitinkamais fiziniais ir juridiniais asmenimis.</w:t>
      </w:r>
    </w:p>
    <w:p w14:paraId="6B277296" w14:textId="77777777" w:rsidR="00C80AE5" w:rsidRPr="006A3B77" w:rsidRDefault="00C80AE5" w:rsidP="00C80AE5">
      <w:pPr>
        <w:ind w:firstLine="567"/>
        <w:rPr>
          <w:color w:val="000000"/>
          <w:shd w:val="clear" w:color="auto" w:fill="FFFFFF"/>
        </w:rPr>
      </w:pPr>
      <w:r w:rsidRPr="006A3B77">
        <w:rPr>
          <w:color w:val="000000"/>
          <w:shd w:val="clear" w:color="auto" w:fill="FFFFFF"/>
        </w:rPr>
        <w:t>Pareiškėjams pasikreipus į teismą, šiam kilo abejonė dėl taikytos administracinės priemonės suderinamumo su ES teise, dėl to jis nutarė sustabdyti bylos nagrinėjimą ir pateikti Teisingumo Teismui su tuo susijusius prejudicinius klausimus.</w:t>
      </w:r>
    </w:p>
    <w:p w14:paraId="6363DEB3" w14:textId="77777777" w:rsidR="00C80AE5" w:rsidRPr="006A3B77" w:rsidRDefault="00C80AE5" w:rsidP="00C80AE5">
      <w:pPr>
        <w:ind w:firstLine="567"/>
        <w:rPr>
          <w:color w:val="000000"/>
          <w:shd w:val="clear" w:color="auto" w:fill="FFFFFF"/>
        </w:rPr>
      </w:pPr>
    </w:p>
    <w:p w14:paraId="09635CC3" w14:textId="77777777" w:rsidR="00C80AE5" w:rsidRPr="006A3B77" w:rsidRDefault="00C80AE5" w:rsidP="00C80AE5">
      <w:pPr>
        <w:jc w:val="center"/>
        <w:rPr>
          <w:b/>
          <w:bCs/>
          <w:color w:val="000000"/>
          <w:shd w:val="clear" w:color="auto" w:fill="FFFFFF"/>
        </w:rPr>
      </w:pPr>
      <w:r w:rsidRPr="006A3B77">
        <w:rPr>
          <w:b/>
          <w:bCs/>
          <w:color w:val="000000"/>
          <w:shd w:val="clear" w:color="auto" w:fill="FFFFFF"/>
        </w:rPr>
        <w:t>Teisingumo Teismo vertinimas</w:t>
      </w:r>
    </w:p>
    <w:p w14:paraId="43EA4F40" w14:textId="77777777" w:rsidR="00C80AE5" w:rsidRPr="006A3B77" w:rsidRDefault="00C80AE5" w:rsidP="00C80AE5">
      <w:pPr>
        <w:ind w:firstLine="567"/>
        <w:rPr>
          <w:rFonts w:cs="Calibri"/>
        </w:rPr>
      </w:pPr>
    </w:p>
    <w:p w14:paraId="0EEF1CC0" w14:textId="07CEE683" w:rsidR="00C80AE5" w:rsidRPr="006A3B77" w:rsidRDefault="00C80AE5" w:rsidP="00C80AE5">
      <w:pPr>
        <w:keepNext/>
        <w:keepLines/>
        <w:tabs>
          <w:tab w:val="left" w:pos="426"/>
        </w:tabs>
        <w:ind w:firstLine="567"/>
        <w:outlineLvl w:val="2"/>
        <w:rPr>
          <w:rFonts w:eastAsia="Times New Roman"/>
          <w:bCs/>
          <w:i/>
        </w:rPr>
      </w:pPr>
      <w:bookmarkStart w:id="67" w:name="_Toc148375089"/>
      <w:r w:rsidRPr="006A3B77">
        <w:rPr>
          <w:rFonts w:eastAsia="Times New Roman"/>
          <w:bCs/>
          <w:i/>
        </w:rPr>
        <w:t>Dėl finansinių paskolų ir kreditų, taip pat einamųjų ir depozitų sąskaitų finansinėse įstaigose operacijų laikymo kapitalo judėjimu</w:t>
      </w:r>
      <w:bookmarkEnd w:id="67"/>
    </w:p>
    <w:p w14:paraId="062EA4B5" w14:textId="77777777" w:rsidR="00C80AE5" w:rsidRPr="006A3B77" w:rsidRDefault="00C80AE5" w:rsidP="00C80AE5">
      <w:pPr>
        <w:jc w:val="left"/>
        <w:rPr>
          <w:color w:val="000000"/>
          <w:shd w:val="clear" w:color="auto" w:fill="FFFFFF"/>
        </w:rPr>
      </w:pPr>
    </w:p>
    <w:p w14:paraId="467154A6" w14:textId="08F8657A" w:rsidR="00C80AE5" w:rsidRPr="006A3B77" w:rsidRDefault="00C80AE5" w:rsidP="00C80AE5">
      <w:pPr>
        <w:ind w:firstLine="567"/>
        <w:rPr>
          <w:color w:val="000000"/>
          <w:u w:val="single"/>
          <w:shd w:val="clear" w:color="auto" w:fill="FFFFFF"/>
        </w:rPr>
      </w:pPr>
      <w:r w:rsidRPr="006A3B77">
        <w:rPr>
          <w:color w:val="000000"/>
          <w:shd w:val="clear" w:color="auto" w:fill="FFFFFF"/>
        </w:rPr>
        <w:t xml:space="preserve">Teisingumo Teismas išaiškino, kad </w:t>
      </w:r>
      <w:r w:rsidRPr="006A3B77">
        <w:rPr>
          <w:color w:val="000000"/>
          <w:u w:val="single"/>
          <w:shd w:val="clear" w:color="auto" w:fill="FFFFFF"/>
        </w:rPr>
        <w:t>finansinės paskolos ir kreditai, taip pat einamųjų ir depozitų sąskaitų finansinėse įstaigose (visų pirma</w:t>
      </w:r>
      <w:r w:rsidR="00925CC0">
        <w:rPr>
          <w:color w:val="000000"/>
          <w:u w:val="single"/>
          <w:shd w:val="clear" w:color="auto" w:fill="FFFFFF"/>
        </w:rPr>
        <w:t xml:space="preserve"> </w:t>
      </w:r>
      <w:r w:rsidRPr="006A3B77">
        <w:rPr>
          <w:color w:val="000000"/>
          <w:u w:val="single"/>
          <w:shd w:val="clear" w:color="auto" w:fill="FFFFFF"/>
        </w:rPr>
        <w:t>– kredito įstaigose) operacijos laikomos kapitalo judėjimu, kaip tai suprantama pagal SESV</w:t>
      </w:r>
      <w:r w:rsidR="007D47C3">
        <w:rPr>
          <w:color w:val="000000"/>
          <w:u w:val="single"/>
          <w:shd w:val="clear" w:color="auto" w:fill="FFFFFF"/>
        </w:rPr>
        <w:t xml:space="preserve"> </w:t>
      </w:r>
      <w:r w:rsidRPr="006A3B77">
        <w:rPr>
          <w:color w:val="000000"/>
          <w:u w:val="single"/>
          <w:shd w:val="clear" w:color="auto" w:fill="FFFFFF"/>
        </w:rPr>
        <w:t>63 straipsnio 1 dalį.</w:t>
      </w:r>
    </w:p>
    <w:p w14:paraId="04C9342F" w14:textId="77777777" w:rsidR="00C80AE5" w:rsidRPr="006A3B77" w:rsidRDefault="00C80AE5" w:rsidP="00C80AE5">
      <w:pPr>
        <w:ind w:firstLine="567"/>
        <w:rPr>
          <w:color w:val="000000"/>
          <w:shd w:val="clear" w:color="auto" w:fill="FFFFFF"/>
        </w:rPr>
      </w:pPr>
      <w:r w:rsidRPr="006A3B77">
        <w:rPr>
          <w:color w:val="000000"/>
          <w:shd w:val="clear" w:color="auto" w:fill="FFFFFF"/>
        </w:rPr>
        <w:t>Tokią išvadą jis padarė įvertinęs Direktyvos 88/361 I priedo nuostatas ir ankstesnę Teisingumo Teismo praktiką, pagal kurią kreditų teikimas komerciniu pagrindu vertinamas kaip susijęs su laisvu kapitalo judėjimu.</w:t>
      </w:r>
    </w:p>
    <w:p w14:paraId="35E39451" w14:textId="77777777" w:rsidR="00C80AE5" w:rsidRPr="006A3B77" w:rsidRDefault="00C80AE5" w:rsidP="00C80AE5">
      <w:pPr>
        <w:rPr>
          <w:color w:val="000000"/>
          <w:shd w:val="clear" w:color="auto" w:fill="FFFFFF"/>
        </w:rPr>
      </w:pPr>
    </w:p>
    <w:p w14:paraId="76BDA577" w14:textId="77777777" w:rsidR="00C80AE5" w:rsidRPr="006A3B77" w:rsidRDefault="00C80AE5" w:rsidP="00C80AE5">
      <w:pPr>
        <w:keepNext/>
        <w:keepLines/>
        <w:tabs>
          <w:tab w:val="left" w:pos="426"/>
        </w:tabs>
        <w:ind w:firstLine="567"/>
        <w:outlineLvl w:val="2"/>
        <w:rPr>
          <w:rFonts w:eastAsia="Times New Roman"/>
          <w:bCs/>
          <w:i/>
        </w:rPr>
      </w:pPr>
      <w:bookmarkStart w:id="68" w:name="_Toc148375090"/>
      <w:r w:rsidRPr="006A3B77">
        <w:rPr>
          <w:rFonts w:eastAsia="Times New Roman"/>
          <w:bCs/>
          <w:i/>
        </w:rPr>
        <w:t>Dėl administracinės priemonės, kuria kompetentinga nacionalinė institucija kredito įstaigai, pirma, uždraudžia užmegzti verslo santykius su asmenimis, kurie nėra Latvijos Respublikos piliečiai, ir, antra, įpareigoja ją nutraukti esamus verslo santykius su tokiais asmenimis, vertinimo</w:t>
      </w:r>
      <w:bookmarkEnd w:id="68"/>
    </w:p>
    <w:p w14:paraId="6481AF5A" w14:textId="77777777" w:rsidR="00C80AE5" w:rsidRPr="006A3B77" w:rsidRDefault="00C80AE5" w:rsidP="00C80AE5">
      <w:pPr>
        <w:jc w:val="left"/>
        <w:rPr>
          <w:color w:val="000000"/>
          <w:shd w:val="clear" w:color="auto" w:fill="FFFFFF"/>
        </w:rPr>
      </w:pPr>
    </w:p>
    <w:p w14:paraId="5E3109E7" w14:textId="35CD7769" w:rsidR="00C80AE5" w:rsidRPr="006A3B77" w:rsidRDefault="00C80AE5" w:rsidP="00C80AE5">
      <w:pPr>
        <w:ind w:firstLine="567"/>
        <w:rPr>
          <w:color w:val="000000"/>
          <w:shd w:val="clear" w:color="auto" w:fill="FFFFFF"/>
        </w:rPr>
      </w:pPr>
      <w:r w:rsidRPr="006A3B77">
        <w:rPr>
          <w:color w:val="000000"/>
          <w:shd w:val="clear" w:color="auto" w:fill="FFFFFF"/>
        </w:rPr>
        <w:t>Teisingumo Teismas pažymėjo, kad pagrindinėje byloje nagrinėjama administracine priemone</w:t>
      </w:r>
      <w:r w:rsidR="007D47C3">
        <w:rPr>
          <w:color w:val="000000"/>
          <w:shd w:val="clear" w:color="auto" w:fill="FFFFFF"/>
        </w:rPr>
        <w:t xml:space="preserve"> </w:t>
      </w:r>
      <w:r w:rsidRPr="006A3B77">
        <w:rPr>
          <w:i/>
          <w:iCs/>
          <w:color w:val="000000"/>
          <w:shd w:val="clear" w:color="auto" w:fill="FFFFFF"/>
        </w:rPr>
        <w:t>PrivatBank</w:t>
      </w:r>
      <w:r w:rsidR="007D47C3">
        <w:rPr>
          <w:color w:val="000000"/>
          <w:shd w:val="clear" w:color="auto" w:fill="FFFFFF"/>
        </w:rPr>
        <w:t xml:space="preserve"> </w:t>
      </w:r>
      <w:r w:rsidRPr="006A3B77">
        <w:rPr>
          <w:color w:val="000000"/>
          <w:shd w:val="clear" w:color="auto" w:fill="FFFFFF"/>
        </w:rPr>
        <w:t>uždraudžiama teikti tam tikras bankines paslaugas (pavyzdžiui, susijusias su kreditavimu ar lėšų priėmimu) fiziniams asmenims, neturintiems sąsajų su Latvija, arba juridiniams asmenims, kurių ekonominė veikla nesusijusi su šia valstybe nare, jei šių paslaugų vertė viršija šioje priemonėje numatytas sumas. Vadinasi, dėl šios priemonės paslaugų teikimas tarp valstybių narių gali tapti sudėtingesnis, palyginti su jų teikimu tik Latvijos Respublikoje. Tokia administracinė priemonė laikoma laisvės teikti paslaugas apribojimu, o tai iš esmės draudžiama pagal SESV</w:t>
      </w:r>
      <w:r w:rsidR="007D47C3">
        <w:rPr>
          <w:color w:val="000000"/>
          <w:shd w:val="clear" w:color="auto" w:fill="FFFFFF"/>
        </w:rPr>
        <w:t xml:space="preserve"> </w:t>
      </w:r>
      <w:r w:rsidRPr="006A3B77">
        <w:rPr>
          <w:color w:val="000000"/>
          <w:shd w:val="clear" w:color="auto" w:fill="FFFFFF"/>
        </w:rPr>
        <w:t>56 straipsnio pirmą pastraipą.</w:t>
      </w:r>
    </w:p>
    <w:p w14:paraId="1A55C693" w14:textId="77777777" w:rsidR="00C80AE5" w:rsidRPr="006A3B77" w:rsidRDefault="00C80AE5" w:rsidP="00C80AE5">
      <w:pPr>
        <w:ind w:firstLine="567"/>
        <w:rPr>
          <w:color w:val="000000"/>
          <w:shd w:val="clear" w:color="auto" w:fill="FFFFFF"/>
        </w:rPr>
      </w:pPr>
      <w:r w:rsidRPr="006A3B77">
        <w:rPr>
          <w:color w:val="000000"/>
          <w:shd w:val="clear" w:color="auto" w:fill="FFFFFF"/>
        </w:rPr>
        <w:t xml:space="preserve">Nors tokia administracinė priemonė, kurioje tik nurodomas sąsajų su Latvija kriterijus, nėra tiesiogiai susijusi su atitinkamų asmenų pilietybe, vis dėlto ji gali turėti didesnį poveikį ne Latvijos Respublikos, o kitos valstybės narės piliečiams ir tokioje valstybėje narėje įsteigtoms bendrovėms, nes jų </w:t>
      </w:r>
      <w:r w:rsidRPr="006A3B77">
        <w:rPr>
          <w:color w:val="000000"/>
          <w:shd w:val="clear" w:color="auto" w:fill="FFFFFF"/>
        </w:rPr>
        <w:lastRenderedPageBreak/>
        <w:t>sąsajos su Latvijos Respublika yra daug mažiau tikėtinos už Latvijos piliečių ar joje įsteigtų bendrovių sąsajas su ta šalimi.</w:t>
      </w:r>
    </w:p>
    <w:p w14:paraId="67AFBF34" w14:textId="5015E6CD" w:rsidR="00C80AE5" w:rsidRPr="006A3B77" w:rsidRDefault="00C80AE5" w:rsidP="00C80AE5">
      <w:pPr>
        <w:tabs>
          <w:tab w:val="left" w:pos="2552"/>
        </w:tabs>
        <w:ind w:firstLine="567"/>
        <w:rPr>
          <w:color w:val="000000"/>
          <w:shd w:val="clear" w:color="auto" w:fill="FFFFFF"/>
        </w:rPr>
      </w:pPr>
      <w:r w:rsidRPr="006A3B77">
        <w:rPr>
          <w:color w:val="000000"/>
          <w:shd w:val="clear" w:color="auto" w:fill="FFFFFF"/>
        </w:rPr>
        <w:t>Tai, kad klientai, kuriems gali būti taikoma pagrindinėje byloje nagrinėjama administracinė priemonė, gali laisvai atidaryti sąskaitą bet kurioje kitoje kredito įstaigoje, turinčioje leidimą vykdyti veiklą Latvijoje, ir joje deponuoti lėšas (atsižvelgiant į tai, kad ši priemonė taikoma tik</w:t>
      </w:r>
      <w:r w:rsidR="00126DC4">
        <w:rPr>
          <w:color w:val="000000"/>
          <w:shd w:val="clear" w:color="auto" w:fill="FFFFFF"/>
        </w:rPr>
        <w:t xml:space="preserve"> </w:t>
      </w:r>
      <w:r w:rsidRPr="006A3B77">
        <w:rPr>
          <w:i/>
          <w:iCs/>
          <w:color w:val="000000"/>
          <w:shd w:val="clear" w:color="auto" w:fill="FFFFFF"/>
        </w:rPr>
        <w:t>PrivatBank</w:t>
      </w:r>
      <w:r w:rsidR="00126DC4">
        <w:rPr>
          <w:color w:val="000000"/>
          <w:shd w:val="clear" w:color="auto" w:fill="FFFFFF"/>
        </w:rPr>
        <w:t xml:space="preserve"> </w:t>
      </w:r>
      <w:r w:rsidRPr="006A3B77">
        <w:rPr>
          <w:color w:val="000000"/>
          <w:shd w:val="clear" w:color="auto" w:fill="FFFFFF"/>
        </w:rPr>
        <w:t>arba tik laikinai), nesumažina jos ribojamojo pobūdžio.</w:t>
      </w:r>
    </w:p>
    <w:p w14:paraId="5C472ADF" w14:textId="180E496F" w:rsidR="00C80AE5" w:rsidRPr="006A3B77" w:rsidRDefault="00C80AE5" w:rsidP="00C80AE5">
      <w:pPr>
        <w:ind w:firstLine="567"/>
        <w:rPr>
          <w:color w:val="000000"/>
          <w:u w:val="single"/>
          <w:shd w:val="clear" w:color="auto" w:fill="FFFFFF"/>
        </w:rPr>
      </w:pPr>
      <w:r w:rsidRPr="006A3B77">
        <w:rPr>
          <w:color w:val="000000"/>
          <w:shd w:val="clear" w:color="auto" w:fill="FFFFFF"/>
        </w:rPr>
        <w:t>Atsižvelgęs į tai, kas išdėstyta, Teisingumo Teismas išaiškino, kad</w:t>
      </w:r>
      <w:r w:rsidRPr="006A3B77">
        <w:rPr>
          <w:rFonts w:ascii="Open Sans" w:hAnsi="Open Sans" w:cs="Open Sans"/>
          <w:b/>
          <w:bCs/>
          <w:color w:val="000000"/>
          <w:sz w:val="18"/>
          <w:szCs w:val="18"/>
        </w:rPr>
        <w:t xml:space="preserve"> </w:t>
      </w:r>
      <w:r w:rsidRPr="006A3B77">
        <w:rPr>
          <w:color w:val="000000"/>
          <w:u w:val="single"/>
          <w:shd w:val="clear" w:color="auto" w:fill="FFFFFF"/>
        </w:rPr>
        <w:t>SESV</w:t>
      </w:r>
      <w:r w:rsidR="00126DC4">
        <w:rPr>
          <w:color w:val="000000"/>
          <w:u w:val="single"/>
          <w:shd w:val="clear" w:color="auto" w:fill="FFFFFF"/>
        </w:rPr>
        <w:t xml:space="preserve"> </w:t>
      </w:r>
      <w:r w:rsidRPr="006A3B77">
        <w:rPr>
          <w:color w:val="000000"/>
          <w:u w:val="single"/>
          <w:shd w:val="clear" w:color="auto" w:fill="FFFFFF"/>
        </w:rPr>
        <w:t>56 straipsnio pirma pastraipa ir 63 straipsnio 1 dalis turi būti aiškinamos taip: administracinė priemonė, kuria valstybės narės kompetentinga institucija, pirma, uždraudžia kredito įstaigai užmegzti verslo santykius su bet kokiu fiziniu ar juridiniu asmeniu, neturinčiu sąsajų su valstybe nare, kurioje ši įstaiga yra įsteigta, ir kurio mėnesio kredito apyvarta viršija tam tikrą sumą, ir, antra, įpareigoja tokią įstaigą nutraukti tokius priėmus šią priemonę užmegztus verslo santykius, laikoma laisvės teikti paslaugas apribojimu, kaip tai suprantama pagal pirmąją nuostatą, ir kapitalo judėjimo apribojimu, kaip tai suprantama pagal antrąją iš minėtų nuostatų.</w:t>
      </w:r>
    </w:p>
    <w:p w14:paraId="314485F4" w14:textId="77777777" w:rsidR="00C80AE5" w:rsidRPr="006A3B77" w:rsidRDefault="00C80AE5" w:rsidP="00C80AE5">
      <w:pPr>
        <w:ind w:firstLine="567"/>
        <w:rPr>
          <w:color w:val="000000"/>
          <w:shd w:val="clear" w:color="auto" w:fill="FFFFFF"/>
        </w:rPr>
      </w:pPr>
    </w:p>
    <w:p w14:paraId="2CD3AC6C" w14:textId="77777777" w:rsidR="00C80AE5" w:rsidRPr="006A3B77" w:rsidRDefault="00C80AE5" w:rsidP="00C80AE5">
      <w:pPr>
        <w:keepNext/>
        <w:keepLines/>
        <w:tabs>
          <w:tab w:val="left" w:pos="426"/>
        </w:tabs>
        <w:ind w:firstLine="567"/>
        <w:outlineLvl w:val="2"/>
        <w:rPr>
          <w:rFonts w:eastAsia="Times New Roman"/>
          <w:bCs/>
          <w:i/>
        </w:rPr>
      </w:pPr>
      <w:bookmarkStart w:id="69" w:name="_Toc148375091"/>
      <w:r w:rsidRPr="006A3B77">
        <w:rPr>
          <w:rFonts w:eastAsia="Times New Roman"/>
          <w:bCs/>
          <w:i/>
        </w:rPr>
        <w:t>Dėl laisvo kapitalo judėjimo ribojimą pateisinančių sąlygų</w:t>
      </w:r>
      <w:bookmarkEnd w:id="69"/>
    </w:p>
    <w:p w14:paraId="4F8A6959" w14:textId="77777777" w:rsidR="00C80AE5" w:rsidRPr="006A3B77" w:rsidRDefault="00C80AE5" w:rsidP="00C80AE5">
      <w:pPr>
        <w:jc w:val="left"/>
        <w:rPr>
          <w:color w:val="000000"/>
          <w:shd w:val="clear" w:color="auto" w:fill="FFFFFF"/>
        </w:rPr>
      </w:pPr>
    </w:p>
    <w:p w14:paraId="0BF86B6E" w14:textId="4C56C1F1" w:rsidR="00C80AE5" w:rsidRPr="006A3B77" w:rsidRDefault="00C80AE5" w:rsidP="00C80AE5">
      <w:pPr>
        <w:ind w:firstLine="567"/>
        <w:rPr>
          <w:color w:val="000000"/>
          <w:shd w:val="clear" w:color="auto" w:fill="FFFFFF"/>
        </w:rPr>
      </w:pPr>
      <w:r w:rsidRPr="006A3B77">
        <w:rPr>
          <w:color w:val="000000"/>
          <w:shd w:val="clear" w:color="auto" w:fill="FFFFFF"/>
        </w:rPr>
        <w:t>Teisingumo Teismas dėl laisvo kapitalo judėjimo priminė, kad jį galima riboti valstybės priemonėmis tik tuomet, kai jos pateisinamos SESV</w:t>
      </w:r>
      <w:r w:rsidR="00492AF3">
        <w:rPr>
          <w:color w:val="000000"/>
          <w:shd w:val="clear" w:color="auto" w:fill="FFFFFF"/>
        </w:rPr>
        <w:t xml:space="preserve"> </w:t>
      </w:r>
      <w:r w:rsidRPr="006A3B77">
        <w:rPr>
          <w:color w:val="000000"/>
          <w:shd w:val="clear" w:color="auto" w:fill="FFFFFF"/>
        </w:rPr>
        <w:t>65 straipsnyje nurodytais arba svarbiais viešojo intereso pagrindais, kaip tai suprantama pagal Teisingumo Teismo jurisprudenciją, jeigu nėra šių interesų apsaugą užtikrinančios suderinimo priemonės Sąjungos lygmeniu.</w:t>
      </w:r>
    </w:p>
    <w:p w14:paraId="543E043F" w14:textId="2944C581" w:rsidR="00C80AE5" w:rsidRPr="006A3B77" w:rsidRDefault="00C80AE5" w:rsidP="00C80AE5">
      <w:pPr>
        <w:ind w:firstLine="567"/>
        <w:rPr>
          <w:color w:val="000000"/>
          <w:shd w:val="clear" w:color="auto" w:fill="FFFFFF"/>
        </w:rPr>
      </w:pPr>
      <w:r w:rsidRPr="006A3B77">
        <w:rPr>
          <w:color w:val="000000"/>
          <w:shd w:val="clear" w:color="auto" w:fill="FFFFFF"/>
        </w:rPr>
        <w:t>Pagrindinėje byloje nagrinėjama administracinė priemonė buvo priimta siekiant, pirma, nutraukti</w:t>
      </w:r>
      <w:r w:rsidR="00756EC8">
        <w:rPr>
          <w:color w:val="000000"/>
          <w:shd w:val="clear" w:color="auto" w:fill="FFFFFF"/>
        </w:rPr>
        <w:t xml:space="preserve"> </w:t>
      </w:r>
      <w:r w:rsidRPr="006A3B77">
        <w:rPr>
          <w:i/>
          <w:iCs/>
          <w:color w:val="000000"/>
          <w:shd w:val="clear" w:color="auto" w:fill="FFFFFF"/>
        </w:rPr>
        <w:t>PrivatBank</w:t>
      </w:r>
      <w:r w:rsidR="00756EC8">
        <w:rPr>
          <w:color w:val="000000"/>
          <w:shd w:val="clear" w:color="auto" w:fill="FFFFFF"/>
        </w:rPr>
        <w:t xml:space="preserve"> </w:t>
      </w:r>
      <w:r w:rsidRPr="006A3B77">
        <w:rPr>
          <w:color w:val="000000"/>
          <w:shd w:val="clear" w:color="auto" w:fill="FFFFFF"/>
        </w:rPr>
        <w:t>daromus įstatymų ir kitų teisės aktų pažeidimus kovos su pinigų plovimu ir teroristų finansavimu srityje, ir, antra, užkirsti kelią naujiems tos kredito įstaigos daromiems pažeidimams ateityje, nes dėl šių pažeidimų ne tik pats</w:t>
      </w:r>
      <w:r w:rsidR="005B14F8">
        <w:rPr>
          <w:color w:val="000000"/>
          <w:shd w:val="clear" w:color="auto" w:fill="FFFFFF"/>
        </w:rPr>
        <w:t xml:space="preserve"> </w:t>
      </w:r>
      <w:r w:rsidRPr="006A3B77">
        <w:rPr>
          <w:i/>
          <w:iCs/>
          <w:color w:val="000000"/>
          <w:shd w:val="clear" w:color="auto" w:fill="FFFFFF"/>
        </w:rPr>
        <w:t>PrivatBank</w:t>
      </w:r>
      <w:r w:rsidR="005B14F8">
        <w:rPr>
          <w:color w:val="000000"/>
          <w:shd w:val="clear" w:color="auto" w:fill="FFFFFF"/>
        </w:rPr>
        <w:t xml:space="preserve"> </w:t>
      </w:r>
      <w:r w:rsidRPr="006A3B77">
        <w:rPr>
          <w:color w:val="000000"/>
          <w:shd w:val="clear" w:color="auto" w:fill="FFFFFF"/>
        </w:rPr>
        <w:t>gali būti įtrauktas į pinigų plovimą (ar pasikėsinimą tai padaryti), taip pat vengti ar nevykdyti tarptautinių sankcijų, bet ir gali kilti didelis pavojus viso finansų sektoriaus reputacijai.</w:t>
      </w:r>
    </w:p>
    <w:p w14:paraId="6A35C1F2" w14:textId="21C394F7" w:rsidR="00C80AE5" w:rsidRPr="006A3B77" w:rsidRDefault="00C80AE5" w:rsidP="00C80AE5">
      <w:pPr>
        <w:ind w:firstLine="567"/>
        <w:rPr>
          <w:color w:val="000000"/>
          <w:shd w:val="clear" w:color="auto" w:fill="FFFFFF"/>
        </w:rPr>
      </w:pPr>
      <w:r w:rsidRPr="006A3B77">
        <w:rPr>
          <w:color w:val="000000"/>
          <w:shd w:val="clear" w:color="auto" w:fill="FFFFFF"/>
        </w:rPr>
        <w:t>Teisingumo Teismo vertinimu, administracine priemone nustatytas laisvo kapitalo judėjimo apribojimas gali būti pateisinamas, pirma, pagal SESV</w:t>
      </w:r>
      <w:r w:rsidR="00C77A7E">
        <w:rPr>
          <w:color w:val="000000"/>
          <w:shd w:val="clear" w:color="auto" w:fill="FFFFFF"/>
        </w:rPr>
        <w:t xml:space="preserve"> </w:t>
      </w:r>
      <w:r w:rsidRPr="006A3B77">
        <w:rPr>
          <w:color w:val="000000"/>
          <w:shd w:val="clear" w:color="auto" w:fill="FFFFFF"/>
        </w:rPr>
        <w:t>65 straipsnio 1 dalies b punktą, kai tokia priemonė yra reikalinga, kad būtų užkirstas kelias nacionalinių įstatymų ir kitų teisės aktų pažeidimams, visų pirma rizikos ribojimu pagrįstos finansinių įstaigų priežiūros srityje. Antra, toks apribojimas taip pat gali būti pateisinamas būtinybe užkirsti kelią ir kovoti su pinigų plovimu ir teroristų finansavimu. Su viešosios tvarkos apsaugos tikslu sietina kova su pinigų plovimu laikoma teisėtu tikslu, taip pat galinčiu pateisinti laisvės teikti paslaugas kliūtis.</w:t>
      </w:r>
    </w:p>
    <w:p w14:paraId="2B5E51AF" w14:textId="142CC731" w:rsidR="00C80AE5" w:rsidRPr="006A3B77" w:rsidRDefault="00C80AE5" w:rsidP="00C80AE5">
      <w:pPr>
        <w:ind w:firstLine="567"/>
        <w:rPr>
          <w:color w:val="000000"/>
          <w:shd w:val="clear" w:color="auto" w:fill="FFFFFF"/>
        </w:rPr>
      </w:pPr>
      <w:r w:rsidRPr="006A3B77">
        <w:rPr>
          <w:color w:val="000000"/>
          <w:shd w:val="clear" w:color="auto" w:fill="FFFFFF"/>
        </w:rPr>
        <w:t>Atsižvelgdamas į</w:t>
      </w:r>
      <w:r w:rsidR="00267F1F">
        <w:rPr>
          <w:color w:val="000000"/>
          <w:shd w:val="clear" w:color="auto" w:fill="FFFFFF"/>
        </w:rPr>
        <w:t xml:space="preserve"> </w:t>
      </w:r>
      <w:r w:rsidRPr="006A3B77">
        <w:rPr>
          <w:i/>
          <w:iCs/>
          <w:color w:val="000000"/>
          <w:shd w:val="clear" w:color="auto" w:fill="FFFFFF"/>
        </w:rPr>
        <w:t>PrivatBank</w:t>
      </w:r>
      <w:r w:rsidR="00267F1F">
        <w:rPr>
          <w:color w:val="000000"/>
          <w:shd w:val="clear" w:color="auto" w:fill="FFFFFF"/>
        </w:rPr>
        <w:t xml:space="preserve"> </w:t>
      </w:r>
      <w:r w:rsidRPr="006A3B77">
        <w:rPr>
          <w:color w:val="000000"/>
          <w:shd w:val="clear" w:color="auto" w:fill="FFFFFF"/>
        </w:rPr>
        <w:t>rizikos valdymo sistemos trūkumus (juos nurodė pats prašymą priimti prejudicinį sprendimą pateikęs teismas, o pagrindinės bylos šalys jų neginčijo) ir į riziką, kad ši kredito įstaiga gali būti nepajėgi laikytis visų pirma savo pareigos atlikti deramo savo klientų, kurie neturi jokių sąsajų su Latvija ir kurių kredito apyvarta yra didelė, tikrinimo, Teisingumo Teismas vertino, kad pagrindinėje byloje nagrinėjama administracinė priemonė yra tinkama nuosekliai ir sistemingai mažinti pinigų plovimo ir teroristų finansavimo riziką.</w:t>
      </w:r>
    </w:p>
    <w:p w14:paraId="5C706836" w14:textId="2842BE1F" w:rsidR="00C80AE5" w:rsidRPr="006A3B77" w:rsidRDefault="00C80AE5" w:rsidP="00C80AE5">
      <w:pPr>
        <w:ind w:firstLine="567"/>
        <w:rPr>
          <w:color w:val="000000"/>
          <w:u w:val="single"/>
          <w:shd w:val="clear" w:color="auto" w:fill="FFFFFF"/>
        </w:rPr>
      </w:pPr>
      <w:r w:rsidRPr="006A3B77">
        <w:rPr>
          <w:color w:val="000000"/>
          <w:shd w:val="clear" w:color="auto" w:fill="FFFFFF"/>
        </w:rPr>
        <w:t xml:space="preserve">Teisingumo Teismas išaiškino, kad </w:t>
      </w:r>
      <w:r w:rsidRPr="006A3B77">
        <w:rPr>
          <w:color w:val="000000"/>
          <w:u w:val="single"/>
          <w:shd w:val="clear" w:color="auto" w:fill="FFFFFF"/>
        </w:rPr>
        <w:t>SESV</w:t>
      </w:r>
      <w:r w:rsidR="00AB0C64">
        <w:rPr>
          <w:color w:val="000000"/>
          <w:u w:val="single"/>
          <w:shd w:val="clear" w:color="auto" w:fill="FFFFFF"/>
        </w:rPr>
        <w:t xml:space="preserve"> </w:t>
      </w:r>
      <w:r w:rsidRPr="006A3B77">
        <w:rPr>
          <w:color w:val="000000"/>
          <w:u w:val="single"/>
          <w:shd w:val="clear" w:color="auto" w:fill="FFFFFF"/>
        </w:rPr>
        <w:t>56 straipsnio pirma pastraipa ir 63 straipsnio 1 dalis turi būti aiškinamos taip: jomis nedraudžiama administracinė priemonė, kuria valstybės narės kompetentinga institucija, pirma, uždraudžia kredito įstaigai užmegzti verslo santykius su bet kokiu fiziniu asmeniu, neturinčiu sąsajų su valstybe nare, kurioje ta įstaiga yra įsteigta, ir kurio mėnesio kredito apyvarta viršija 15 000 EUR, arba su bet kokiu juridiniu asmeniu, kurio ekonominė veikla nesusijusi su ta valstybe nare ir kurio mėnesio kredito apyvarta viršija 50 000 EUR, ir, antra, įpareigoja tą įstaigą nutraukti tokius po tos priemonės priėmimo užmegztus verslo santykius, su sąlyga, kad ši administracinė priemonė, pirma, yra pateisinama kovos su pinigų plovimu ir teroristų finansavimu tikslu, arba ji yra reikalinga priemonė, kuria siekiama užkirsti kelią nacionalinių įstatymų ir kitų teisės aktų pažeidimams rizikos ribojimu pagrįstos finansinių įstaigų priežiūros srityje, arba ši priemonė yra pateisinama viešosios tvarkos požiūriu, kaip nurodyta SESV</w:t>
      </w:r>
      <w:r w:rsidR="0041536F">
        <w:rPr>
          <w:color w:val="000000"/>
          <w:u w:val="single"/>
          <w:shd w:val="clear" w:color="auto" w:fill="FFFFFF"/>
        </w:rPr>
        <w:t xml:space="preserve"> </w:t>
      </w:r>
      <w:r w:rsidRPr="006A3B77">
        <w:rPr>
          <w:color w:val="000000"/>
          <w:u w:val="single"/>
          <w:shd w:val="clear" w:color="auto" w:fill="FFFFFF"/>
        </w:rPr>
        <w:t>65 straipsnio 1 dalies b punkte, antra, yra tinkama šiems tikslams įgyvendinti, trečia, neviršija to, kas būtina šiems tikslams pasiekti, ir, ketvirta, pernelyg nevaržo pagal SESV</w:t>
      </w:r>
      <w:r w:rsidR="00B33F6F">
        <w:rPr>
          <w:color w:val="000000"/>
          <w:u w:val="single"/>
          <w:shd w:val="clear" w:color="auto" w:fill="FFFFFF"/>
        </w:rPr>
        <w:t xml:space="preserve"> </w:t>
      </w:r>
      <w:r w:rsidRPr="006A3B77">
        <w:rPr>
          <w:color w:val="000000"/>
          <w:u w:val="single"/>
          <w:shd w:val="clear" w:color="auto" w:fill="FFFFFF"/>
        </w:rPr>
        <w:t>56 ir 63 straipsnius saugomų atitinkamos kredito įstaigos ir jos klientų teisių ir interesų.</w:t>
      </w:r>
    </w:p>
    <w:p w14:paraId="5F5ABDF3" w14:textId="77777777" w:rsidR="00C80AE5" w:rsidRDefault="00000000" w:rsidP="00C80AE5">
      <w:pPr>
        <w:ind w:firstLine="567"/>
        <w:rPr>
          <w:rFonts w:cs="Calibri"/>
          <w:color w:val="0000FF"/>
          <w:u w:val="single"/>
        </w:rPr>
      </w:pPr>
      <w:hyperlink r:id="rId23" w:history="1">
        <w:r w:rsidR="00C80AE5" w:rsidRPr="006A3B77">
          <w:rPr>
            <w:rFonts w:cs="Calibri"/>
            <w:color w:val="0000FF"/>
            <w:u w:val="single"/>
          </w:rPr>
          <w:t>Prieiga internete</w:t>
        </w:r>
      </w:hyperlink>
    </w:p>
    <w:p w14:paraId="3736076B" w14:textId="77777777" w:rsidR="00C80AE5" w:rsidRPr="00A36899" w:rsidRDefault="00C80AE5" w:rsidP="00C80AE5">
      <w:pPr>
        <w:ind w:firstLine="567"/>
        <w:rPr>
          <w:rFonts w:cs="Calibri"/>
          <w:u w:val="single"/>
        </w:rPr>
      </w:pPr>
    </w:p>
    <w:p w14:paraId="2EC75C2E" w14:textId="77777777" w:rsidR="00C80AE5" w:rsidRPr="007C4DBF" w:rsidRDefault="00C80AE5" w:rsidP="00C80AE5">
      <w:pPr>
        <w:pStyle w:val="Antrat1"/>
      </w:pPr>
      <w:bookmarkStart w:id="70" w:name="_Toc148375092"/>
      <w:r w:rsidRPr="007C4DBF">
        <w:t>EKONOMINĖ IR PINIGŲ SĄJUNGA</w:t>
      </w:r>
      <w:bookmarkEnd w:id="70"/>
    </w:p>
    <w:p w14:paraId="31280F0D" w14:textId="77777777" w:rsidR="00C80AE5" w:rsidRDefault="00C80AE5" w:rsidP="00C80AE5">
      <w:pPr>
        <w:ind w:firstLine="567"/>
        <w:rPr>
          <w:rFonts w:cs="Calibri"/>
          <w:u w:val="single"/>
        </w:rPr>
      </w:pPr>
    </w:p>
    <w:p w14:paraId="68D6445B" w14:textId="77777777" w:rsidR="00C80AE5" w:rsidRPr="001C0A50" w:rsidRDefault="00C80AE5" w:rsidP="00C80AE5">
      <w:pPr>
        <w:pStyle w:val="Antrat2"/>
        <w:rPr>
          <w:color w:val="323E4F" w:themeColor="text2" w:themeShade="BF"/>
        </w:rPr>
      </w:pPr>
      <w:bookmarkStart w:id="71" w:name="_Toc134800732"/>
      <w:bookmarkStart w:id="72" w:name="_Toc148375093"/>
      <w:bookmarkStart w:id="73" w:name="point50"/>
      <w:r w:rsidRPr="001C0A50">
        <w:rPr>
          <w:color w:val="323E4F" w:themeColor="text2" w:themeShade="BF"/>
        </w:rPr>
        <w:t xml:space="preserve">2023 m. balandžio 20 d. sprendimas byloje </w:t>
      </w:r>
      <w:r w:rsidRPr="007C4DBF">
        <w:rPr>
          <w:i/>
          <w:iCs w:val="0"/>
          <w:color w:val="323E4F" w:themeColor="text2" w:themeShade="BF"/>
        </w:rPr>
        <w:t>Brink’s Lithuania</w:t>
      </w:r>
      <w:r w:rsidRPr="001C0A50">
        <w:rPr>
          <w:color w:val="323E4F" w:themeColor="text2" w:themeShade="BF"/>
        </w:rPr>
        <w:t xml:space="preserve">, </w:t>
      </w:r>
      <w:bookmarkEnd w:id="71"/>
      <w:r w:rsidRPr="001C0A50">
        <w:rPr>
          <w:color w:val="323E4F" w:themeColor="text2" w:themeShade="BF"/>
        </w:rPr>
        <w:t>C</w:t>
      </w:r>
      <w:r w:rsidRPr="001C0A50">
        <w:rPr>
          <w:color w:val="323E4F" w:themeColor="text2" w:themeShade="BF"/>
        </w:rPr>
        <w:noBreakHyphen/>
        <w:t>772/21</w:t>
      </w:r>
      <w:bookmarkEnd w:id="72"/>
    </w:p>
    <w:p w14:paraId="7F0940B4" w14:textId="77777777" w:rsidR="00C80AE5" w:rsidRPr="002E758B" w:rsidRDefault="00C80AE5" w:rsidP="00C80AE5"/>
    <w:p w14:paraId="21043DF1" w14:textId="1DEA0FAB" w:rsidR="00C80AE5" w:rsidRPr="00106F4C" w:rsidRDefault="00C80AE5" w:rsidP="00C80AE5">
      <w:pPr>
        <w:ind w:firstLine="567"/>
      </w:pPr>
      <w:r w:rsidRPr="00106F4C">
        <w:t>Euro apsauga nuo padirbinėjimo</w:t>
      </w:r>
      <w:r w:rsidR="00D818F2">
        <w:t xml:space="preserve"> </w:t>
      </w:r>
      <w:r w:rsidRPr="00106F4C">
        <w:t>– Reglamentas (EB) Nr. 1338/2001</w:t>
      </w:r>
      <w:r w:rsidR="00D818F2">
        <w:t xml:space="preserve"> </w:t>
      </w:r>
      <w:r w:rsidRPr="00106F4C">
        <w:t>– 6 straipsnio 1 dalis</w:t>
      </w:r>
      <w:r w:rsidR="00D818F2">
        <w:t xml:space="preserve"> </w:t>
      </w:r>
      <w:r w:rsidRPr="00106F4C">
        <w:t>– Mokėjimo paslaugų teikėjai, tvarkantys ir platinantys banknotus visuomenei</w:t>
      </w:r>
      <w:r w:rsidR="00D818F2">
        <w:t xml:space="preserve"> </w:t>
      </w:r>
      <w:r w:rsidRPr="00106F4C">
        <w:t>– Sprendimas ECB/2010/14</w:t>
      </w:r>
      <w:r w:rsidR="00D818F2">
        <w:t xml:space="preserve"> </w:t>
      </w:r>
      <w:r w:rsidRPr="00106F4C">
        <w:t>– 6 straipsnio 2 dalis</w:t>
      </w:r>
      <w:r w:rsidR="00D818F2">
        <w:t xml:space="preserve"> </w:t>
      </w:r>
      <w:r w:rsidRPr="00106F4C">
        <w:t>– Netinkamų apyvartai eurų banknotų aptikimas</w:t>
      </w:r>
      <w:r w:rsidR="00D818F2">
        <w:t xml:space="preserve"> </w:t>
      </w:r>
      <w:r w:rsidRPr="00106F4C">
        <w:t>– Automatizuotas banknotų tinkamumo apyvartai tikrinimas</w:t>
      </w:r>
      <w:r w:rsidR="00D818F2">
        <w:t xml:space="preserve"> </w:t>
      </w:r>
      <w:r w:rsidRPr="00106F4C">
        <w:t>– Minimalūs standartai, skelbiami Europos Centrinio Banko (ECB) interneto svetainėje ir kartkartėmis iš dalies pakeičiami</w:t>
      </w:r>
      <w:r w:rsidR="00D818F2">
        <w:t xml:space="preserve"> </w:t>
      </w:r>
      <w:r w:rsidRPr="00106F4C">
        <w:t xml:space="preserve">– Taikymo sritis </w:t>
      </w:r>
      <w:r w:rsidRPr="001E2639">
        <w:rPr>
          <w:i/>
          <w:iCs/>
        </w:rPr>
        <w:t>ratione</w:t>
      </w:r>
      <w:r w:rsidR="00D818F2">
        <w:rPr>
          <w:i/>
          <w:iCs/>
        </w:rPr>
        <w:t xml:space="preserve"> </w:t>
      </w:r>
      <w:r w:rsidRPr="001E2639">
        <w:rPr>
          <w:i/>
          <w:iCs/>
        </w:rPr>
        <w:t>personae</w:t>
      </w:r>
      <w:r w:rsidR="00D818F2">
        <w:t xml:space="preserve"> </w:t>
      </w:r>
      <w:r w:rsidRPr="00106F4C">
        <w:t>– Grynųjų pinigų tvarkytojų pareigų apimtis</w:t>
      </w:r>
      <w:r w:rsidR="00D818F2">
        <w:t xml:space="preserve"> </w:t>
      </w:r>
      <w:r w:rsidRPr="00106F4C">
        <w:t>– Privalomoji galia</w:t>
      </w:r>
      <w:r w:rsidR="00D818F2">
        <w:t xml:space="preserve"> </w:t>
      </w:r>
      <w:r w:rsidRPr="00106F4C">
        <w:t>– Teisinio saugumo principas</w:t>
      </w:r>
    </w:p>
    <w:p w14:paraId="3AC90677" w14:textId="77777777" w:rsidR="00C80AE5" w:rsidRPr="002E758B" w:rsidRDefault="00C80AE5" w:rsidP="00C80AE5"/>
    <w:p w14:paraId="4D09DABF" w14:textId="77777777" w:rsidR="00C80AE5" w:rsidRPr="001B694C" w:rsidRDefault="00C80AE5" w:rsidP="00C80AE5">
      <w:pPr>
        <w:jc w:val="center"/>
        <w:rPr>
          <w:b/>
          <w:bCs/>
        </w:rPr>
      </w:pPr>
      <w:r w:rsidRPr="001B694C">
        <w:rPr>
          <w:b/>
          <w:bCs/>
        </w:rPr>
        <w:t>Bylos aplinkybės</w:t>
      </w:r>
    </w:p>
    <w:p w14:paraId="0E19B139" w14:textId="77777777" w:rsidR="00C80AE5" w:rsidRPr="002E758B" w:rsidRDefault="00C80AE5" w:rsidP="00C80AE5"/>
    <w:p w14:paraId="0AB09766" w14:textId="0818BB47" w:rsidR="00C80AE5" w:rsidRPr="002E758B" w:rsidRDefault="00C80AE5" w:rsidP="00C80AE5">
      <w:pPr>
        <w:ind w:firstLine="567"/>
      </w:pPr>
      <w:r w:rsidRPr="002E758B">
        <w:t>2018 m. gruodžio 18 d. Lietuvos banko tarnautojai atliko</w:t>
      </w:r>
      <w:r w:rsidR="00CC5246">
        <w:t xml:space="preserve"> </w:t>
      </w:r>
      <w:r w:rsidRPr="002E758B">
        <w:rPr>
          <w:i/>
          <w:iCs/>
        </w:rPr>
        <w:t>Brink’s Lithuania</w:t>
      </w:r>
      <w:r w:rsidR="00CC5246">
        <w:t xml:space="preserve"> </w:t>
      </w:r>
      <w:r w:rsidRPr="002E758B">
        <w:t xml:space="preserve">Panevėžio (Lietuva) skyriaus patikrinimą. Tarnautojai tikrino, ar tame skyriuje naudojami banknotų tvarkymo aparatai atitinka grynųjų pinigų, skirtų pakartotinai išleisti į apyvartą, tvarkymo reikalavimus. Jie testavo būtent tų aparatų gebą patikrinti eurų banknotų autentiškumą ir tinkamumą apyvartai. </w:t>
      </w:r>
      <w:bookmarkStart w:id="74" w:name="point21"/>
    </w:p>
    <w:bookmarkEnd w:id="74"/>
    <w:p w14:paraId="33ACE6AB" w14:textId="7FC3282E" w:rsidR="00C80AE5" w:rsidRDefault="00C80AE5" w:rsidP="00C80AE5">
      <w:pPr>
        <w:ind w:firstLine="567"/>
      </w:pPr>
      <w:r w:rsidRPr="002E758B">
        <w:t>Konstatavęs, kad</w:t>
      </w:r>
      <w:r w:rsidR="00CC5246">
        <w:t xml:space="preserve"> </w:t>
      </w:r>
      <w:r w:rsidRPr="002E758B">
        <w:rPr>
          <w:i/>
          <w:iCs/>
        </w:rPr>
        <w:t>Brink’s Lithuania</w:t>
      </w:r>
      <w:r w:rsidR="00CC5246">
        <w:t xml:space="preserve"> </w:t>
      </w:r>
      <w:r w:rsidRPr="002E758B">
        <w:t>pažeidė automatizuoto tikrinimo minimalius standartus</w:t>
      </w:r>
      <w:r>
        <w:rPr>
          <w:rStyle w:val="Puslapioinaosnuoroda"/>
        </w:rPr>
        <w:footnoteReference w:id="21"/>
      </w:r>
      <w:r w:rsidRPr="002E758B">
        <w:t>, pagal kuriuos reikalaujama, kad tolerancijos lygis, tikrinant eurų banknotų tinkamumą apyvartai, neviršytų 5 %, 2019 m. vasario 28 d. sprendimu Lietuvos banko Grynųjų pinigų departamento direktorius nurodė šiai bendrovei per penkias darbo dienas imtis būtinų priemonių šiam pažeidimui nutraukti.</w:t>
      </w:r>
    </w:p>
    <w:p w14:paraId="0B19F3F5" w14:textId="28D25BFB" w:rsidR="00C80AE5" w:rsidRPr="002E758B" w:rsidRDefault="00C80AE5" w:rsidP="00C80AE5">
      <w:pPr>
        <w:ind w:firstLine="567"/>
      </w:pPr>
      <w:r w:rsidRPr="004F0336">
        <w:t>Vilniaus apygardos administraciniam teismui atmetus</w:t>
      </w:r>
      <w:r w:rsidR="00CC5246">
        <w:t xml:space="preserve"> </w:t>
      </w:r>
      <w:r w:rsidRPr="004F0336">
        <w:rPr>
          <w:i/>
          <w:iCs/>
        </w:rPr>
        <w:t>Brink’s Lithuania</w:t>
      </w:r>
      <w:r w:rsidR="00CC5246">
        <w:t xml:space="preserve"> </w:t>
      </w:r>
      <w:r w:rsidRPr="004F0336">
        <w:t>skundą dėl 2019 m. vasario 28 d. sprendimo panaikinimo, ji pateikė apeliacinį skundą Lietuvos vyriausiajam administraciniam teismui, kuris</w:t>
      </w:r>
      <w:r>
        <w:t xml:space="preserve"> Teisingumo Teismui</w:t>
      </w:r>
      <w:r w:rsidRPr="004F0336">
        <w:t xml:space="preserve"> </w:t>
      </w:r>
      <w:r>
        <w:t>pateikė</w:t>
      </w:r>
      <w:r w:rsidRPr="004F0336">
        <w:t xml:space="preserve"> prašymą priimti prejudicinį sprendimą </w:t>
      </w:r>
      <w:r>
        <w:t>dėl</w:t>
      </w:r>
      <w:r w:rsidRPr="004F0336">
        <w:t xml:space="preserve"> Sprendimo ECB/2010/14</w:t>
      </w:r>
      <w:r>
        <w:rPr>
          <w:rStyle w:val="Puslapioinaosnuoroda"/>
        </w:rPr>
        <w:footnoteReference w:id="22"/>
      </w:r>
      <w:r w:rsidRPr="004F0336">
        <w:t xml:space="preserve"> 6 straipsnio 2 dalies aiškinimo ir galiojimo</w:t>
      </w:r>
      <w:r>
        <w:t>.</w:t>
      </w:r>
    </w:p>
    <w:p w14:paraId="7DB0BC91" w14:textId="77777777" w:rsidR="00C80AE5" w:rsidRPr="002E758B" w:rsidRDefault="00C80AE5" w:rsidP="00C80AE5"/>
    <w:p w14:paraId="003EFA38" w14:textId="77777777" w:rsidR="00C80AE5" w:rsidRPr="001B694C" w:rsidRDefault="00C80AE5" w:rsidP="00C80AE5">
      <w:pPr>
        <w:jc w:val="center"/>
        <w:rPr>
          <w:b/>
          <w:bCs/>
        </w:rPr>
      </w:pPr>
      <w:bookmarkStart w:id="75" w:name="_Hlk144384493"/>
      <w:r w:rsidRPr="001B694C">
        <w:rPr>
          <w:b/>
          <w:bCs/>
        </w:rPr>
        <w:t>Teisingumo Teismo vertinimas</w:t>
      </w:r>
    </w:p>
    <w:bookmarkEnd w:id="75"/>
    <w:p w14:paraId="0B11ED6B" w14:textId="77777777" w:rsidR="00C80AE5" w:rsidRPr="002E758B" w:rsidRDefault="00C80AE5" w:rsidP="00C80AE5"/>
    <w:p w14:paraId="49CDE8C1" w14:textId="77777777" w:rsidR="00C80AE5" w:rsidRPr="007C4DBF" w:rsidRDefault="00C80AE5" w:rsidP="00C80AE5">
      <w:pPr>
        <w:keepNext/>
        <w:keepLines/>
        <w:tabs>
          <w:tab w:val="left" w:pos="426"/>
        </w:tabs>
        <w:ind w:firstLine="567"/>
        <w:outlineLvl w:val="2"/>
        <w:rPr>
          <w:rFonts w:eastAsia="Times New Roman"/>
          <w:bCs/>
          <w:i/>
        </w:rPr>
      </w:pPr>
      <w:bookmarkStart w:id="76" w:name="_Toc148375094"/>
      <w:bookmarkEnd w:id="73"/>
      <w:r w:rsidRPr="007C4DBF">
        <w:rPr>
          <w:rFonts w:eastAsia="Times New Roman"/>
          <w:bCs/>
          <w:i/>
        </w:rPr>
        <w:t>Dėl grynųjų pinigų tvarkytojams (ne)taikomų pareigų, naudojant banknotų tvarkymo aparatus</w:t>
      </w:r>
      <w:bookmarkEnd w:id="76"/>
    </w:p>
    <w:p w14:paraId="7B6715E2" w14:textId="77777777" w:rsidR="00C80AE5" w:rsidRDefault="00C80AE5" w:rsidP="00C80AE5">
      <w:pPr>
        <w:ind w:firstLine="567"/>
      </w:pPr>
    </w:p>
    <w:p w14:paraId="3CBF7198" w14:textId="77777777" w:rsidR="00C80AE5" w:rsidRPr="006417DC" w:rsidRDefault="00C80AE5" w:rsidP="00C80AE5">
      <w:pPr>
        <w:ind w:firstLine="567"/>
      </w:pPr>
      <w:r>
        <w:t>Teisingumo Teismas d</w:t>
      </w:r>
      <w:r w:rsidRPr="006417DC">
        <w:t>ar</w:t>
      </w:r>
      <w:r>
        <w:t>ė</w:t>
      </w:r>
      <w:r w:rsidRPr="006417DC">
        <w:t xml:space="preserve"> išvad</w:t>
      </w:r>
      <w:r>
        <w:t>ą</w:t>
      </w:r>
      <w:r w:rsidRPr="006417DC">
        <w:t>,</w:t>
      </w:r>
      <w:r>
        <w:t xml:space="preserve"> jog</w:t>
      </w:r>
      <w:r w:rsidRPr="006417DC">
        <w:t xml:space="preserve"> Sprendimo ECB/2010/14 6 straipsnio 2 dalimi nereikalaujama, kad grynųjų pinigų tvarkytojas, atliekantis automatizuotą eurų banknotų tinkamumo apyvartai tikrinimą, pats užtikrintų, kad automatizuotas tikrinimas būtų atliekamas laikantis šioje nuostatoje numatytų minimalių standartų. Atvirkščiai, tokių standartų turi laikytis gamintojai, jeigu jie nori, kad jų gaminamo aparato modelis būtų įtrauktas į ECB interneto svetainėje pateiktą sąrašą kaip tinkamas atitinkamo nominalo ir serijos banknotų tinkamumui apyvartai ir autentiškumui tikrinti.</w:t>
      </w:r>
    </w:p>
    <w:p w14:paraId="17759CAD" w14:textId="77777777" w:rsidR="00C80AE5" w:rsidRPr="006417DC" w:rsidRDefault="00C80AE5" w:rsidP="00C80AE5">
      <w:pPr>
        <w:ind w:firstLine="567"/>
      </w:pPr>
      <w:r>
        <w:t>Teisingumo Teismas konstatavo, kad v</w:t>
      </w:r>
      <w:r w:rsidRPr="006417DC">
        <w:t>is dėlto minėti grynųjų pinigų tvarkytojai privalo laikytis Sprendimu ECB/2010/14 jiems nustatytų įpareigojimų, be kita ko, kylančių iš šio sprendimo 3 straipsnio 1 dalies ir 10 straipsnio 1 dalies, atlikti automatizuotą tinkamumo apyvartai tikrinimą ir taikyti jų naudojamų banknotų tvarkymo aparatų kontrolės procedūras.</w:t>
      </w:r>
    </w:p>
    <w:p w14:paraId="16086521" w14:textId="77777777" w:rsidR="00C80AE5" w:rsidRPr="006417DC" w:rsidRDefault="00C80AE5" w:rsidP="00C80AE5">
      <w:pPr>
        <w:ind w:firstLine="567"/>
      </w:pPr>
      <w:r w:rsidRPr="006417DC">
        <w:t xml:space="preserve">Šie įpareigojimai neišvengiamai reiškia, kad šie tvarkytojai privalo naudoti banknotų tvarkymo aparatus, kurie būtų tinkami šiam tikrinimui atlikti ir ypač banknotams, kurie netinkami pakartotinai išleisti į apyvartą ar sugadinti, aptikti, vadinasi, reikia įsitikinti, jog naudojami aparatai yra tokios veikimo, priežiūros ir nustatymų būklės, kuri yra tinkama eurų banknotų tinkamumo apyvartai tikrinimui atlikti. </w:t>
      </w:r>
      <w:r w:rsidRPr="006417DC">
        <w:lastRenderedPageBreak/>
        <w:t>Priešingu atveju minėti tvarkytojai neįvykdytų bendresnės pareigos kovoti su pinigų padirbinėjimu, kuri jiems nustatyta Reglamento Nr. 1338/2001</w:t>
      </w:r>
      <w:r>
        <w:rPr>
          <w:rStyle w:val="Puslapioinaosnuoroda"/>
        </w:rPr>
        <w:footnoteReference w:id="23"/>
      </w:r>
      <w:r w:rsidRPr="006417DC">
        <w:t xml:space="preserve"> 6 straipsnio 1 dalyje.</w:t>
      </w:r>
    </w:p>
    <w:p w14:paraId="5B1C5304" w14:textId="77777777" w:rsidR="00C80AE5" w:rsidRPr="006417DC" w:rsidRDefault="00C80AE5" w:rsidP="00C80AE5">
      <w:pPr>
        <w:ind w:firstLine="567"/>
      </w:pPr>
      <w:r w:rsidRPr="006417DC">
        <w:t>Taigi grynųjų pinigų tvarkytojas, kurio banknotų tvarkymo aparatai neatitinka minimaliuose standartuose automatizuotam tikrinimui nustatyto 5 % tolerancijos lygio, negali atsisakyti vykdyti pagal Sprendimo ECB/2010/14 10 straipsnio 3 dalį po patikrinimo jo patalpose NCB jam skirto nurodymo ištaisyti šią padėtį.</w:t>
      </w:r>
    </w:p>
    <w:p w14:paraId="68A9AAD9" w14:textId="77777777" w:rsidR="00C80AE5" w:rsidRDefault="00C80AE5" w:rsidP="00C80AE5">
      <w:pPr>
        <w:ind w:firstLine="567"/>
      </w:pPr>
      <w:r>
        <w:t>Teisingumo Teismas taip pat konstatavo, jog</w:t>
      </w:r>
      <w:r w:rsidRPr="002E758B">
        <w:t xml:space="preserve"> Sprendimo ECB/2010/14 6 straipsnio 2 dalis, siejama su jo 3 straipsnio 5 dalimi, turi būti aiškinama taip, kad pagal ją valstybei narei draudžiama įpareigoti grynųjų pinigų tvarkytojus, kai jie atlieka automatizuotą eurų banknotų tinkamumo apyvartai tikrinimą, laikytis šio 6 straipsnio 2 dalyje nurodytų ECB minimalių standartų.</w:t>
      </w:r>
    </w:p>
    <w:p w14:paraId="500C4456" w14:textId="77777777" w:rsidR="00C80AE5" w:rsidRDefault="00000000" w:rsidP="00C80AE5">
      <w:pPr>
        <w:ind w:firstLine="567"/>
      </w:pPr>
      <w:hyperlink r:id="rId24" w:history="1">
        <w:r w:rsidR="00C80AE5" w:rsidRPr="004F0336">
          <w:rPr>
            <w:rStyle w:val="Hipersaitas"/>
          </w:rPr>
          <w:t>Prieiga internete</w:t>
        </w:r>
      </w:hyperlink>
    </w:p>
    <w:p w14:paraId="7DB21B96" w14:textId="77777777" w:rsidR="001D7F63" w:rsidRDefault="001D7F63" w:rsidP="005D34B8"/>
    <w:p w14:paraId="652FE76B" w14:textId="77777777" w:rsidR="006A3B77" w:rsidRPr="006A3B77" w:rsidRDefault="006A3B77" w:rsidP="006A3B77">
      <w:pPr>
        <w:keepNext/>
        <w:keepLines/>
        <w:jc w:val="center"/>
        <w:outlineLvl w:val="0"/>
        <w:rPr>
          <w:rFonts w:eastAsia="Times New Roman"/>
          <w:b/>
          <w:color w:val="323E4F"/>
          <w:szCs w:val="32"/>
        </w:rPr>
      </w:pPr>
      <w:bookmarkStart w:id="77" w:name="_Toc148375095"/>
      <w:r w:rsidRPr="006A3B77">
        <w:rPr>
          <w:rFonts w:eastAsia="Times New Roman"/>
          <w:b/>
          <w:color w:val="323E4F"/>
          <w:szCs w:val="32"/>
        </w:rPr>
        <w:t>AZARTINIŲ LOŠIMŲ PRIEŽIŪRA</w:t>
      </w:r>
      <w:bookmarkEnd w:id="77"/>
    </w:p>
    <w:p w14:paraId="79CDE5AF" w14:textId="77777777" w:rsidR="006A3B77" w:rsidRPr="006A3B77" w:rsidRDefault="006A3B77" w:rsidP="006A3B77"/>
    <w:p w14:paraId="6AF16767" w14:textId="69F0B5B0" w:rsidR="006A3B77" w:rsidRPr="006A3B77" w:rsidRDefault="006A3B77" w:rsidP="00024C4F">
      <w:pPr>
        <w:pStyle w:val="Antrat2"/>
        <w:rPr>
          <w:color w:val="323E4F" w:themeColor="text2" w:themeShade="BF"/>
        </w:rPr>
      </w:pPr>
      <w:bookmarkStart w:id="78" w:name="_Toc148375096"/>
      <w:r w:rsidRPr="006A3B77">
        <w:rPr>
          <w:color w:val="323E4F" w:themeColor="text2" w:themeShade="BF"/>
        </w:rPr>
        <w:t xml:space="preserve">2023 m. kovo 2 d. sprendimas byloje </w:t>
      </w:r>
      <w:r w:rsidR="006B5838" w:rsidRPr="00024C4F">
        <w:rPr>
          <w:i/>
          <w:iCs w:val="0"/>
          <w:color w:val="323E4F" w:themeColor="text2" w:themeShade="BF"/>
        </w:rPr>
        <w:t>Recreatieprojecten Zeeland ir kt.</w:t>
      </w:r>
      <w:r w:rsidRPr="006A3B77">
        <w:rPr>
          <w:color w:val="323E4F" w:themeColor="text2" w:themeShade="BF"/>
        </w:rPr>
        <w:t>, C</w:t>
      </w:r>
      <w:r w:rsidRPr="006A3B77">
        <w:rPr>
          <w:color w:val="323E4F" w:themeColor="text2" w:themeShade="BF"/>
        </w:rPr>
        <w:noBreakHyphen/>
        <w:t>695/21</w:t>
      </w:r>
      <w:bookmarkEnd w:id="78"/>
    </w:p>
    <w:p w14:paraId="4A18CBEF" w14:textId="77777777" w:rsidR="006A3B77" w:rsidRPr="006A3B77" w:rsidRDefault="006A3B77" w:rsidP="006A3B77">
      <w:pPr>
        <w:ind w:firstLine="567"/>
        <w:jc w:val="center"/>
        <w:rPr>
          <w:rFonts w:cs="Calibri"/>
          <w:b/>
          <w:bCs/>
          <w:i/>
          <w:shd w:val="clear" w:color="auto" w:fill="FFFFFF"/>
        </w:rPr>
      </w:pPr>
    </w:p>
    <w:p w14:paraId="345470DB" w14:textId="5E3AE3C4" w:rsidR="006A3B77" w:rsidRPr="006A3B77" w:rsidRDefault="006A3B77" w:rsidP="00CB5E86">
      <w:pPr>
        <w:tabs>
          <w:tab w:val="left" w:pos="567"/>
          <w:tab w:val="left" w:pos="6379"/>
        </w:tabs>
        <w:ind w:firstLine="567"/>
        <w:rPr>
          <w:rFonts w:cs="Calibri"/>
          <w:iCs/>
        </w:rPr>
      </w:pPr>
      <w:r w:rsidRPr="006A3B77">
        <w:rPr>
          <w:rFonts w:cs="Calibri"/>
          <w:iCs/>
        </w:rPr>
        <w:t>Laisvė teikti paslaugas</w:t>
      </w:r>
      <w:r w:rsidR="009C2122">
        <w:rPr>
          <w:rFonts w:cs="Calibri"/>
          <w:iCs/>
        </w:rPr>
        <w:t xml:space="preserve"> </w:t>
      </w:r>
      <w:r w:rsidRPr="006A3B77">
        <w:rPr>
          <w:rFonts w:cs="Calibri"/>
          <w:iCs/>
        </w:rPr>
        <w:t>– SESV 56 straipsnis</w:t>
      </w:r>
      <w:r w:rsidR="009C2122">
        <w:rPr>
          <w:rFonts w:cs="Calibri"/>
          <w:iCs/>
        </w:rPr>
        <w:t xml:space="preserve"> </w:t>
      </w:r>
      <w:r w:rsidRPr="006A3B77">
        <w:rPr>
          <w:rFonts w:cs="Calibri"/>
          <w:iCs/>
        </w:rPr>
        <w:t>– Laisvės teikti paslaugas apribojimai</w:t>
      </w:r>
      <w:r w:rsidR="009C2122">
        <w:rPr>
          <w:rFonts w:cs="Calibri"/>
          <w:iCs/>
        </w:rPr>
        <w:t xml:space="preserve"> </w:t>
      </w:r>
      <w:r w:rsidRPr="006A3B77">
        <w:rPr>
          <w:rFonts w:cs="Calibri"/>
          <w:iCs/>
        </w:rPr>
        <w:t>– Azartiniai lošimai</w:t>
      </w:r>
      <w:r w:rsidR="009C2122">
        <w:rPr>
          <w:rFonts w:cs="Calibri"/>
          <w:iCs/>
        </w:rPr>
        <w:t xml:space="preserve"> </w:t>
      </w:r>
      <w:r w:rsidRPr="006A3B77">
        <w:rPr>
          <w:rFonts w:cs="Calibri"/>
          <w:iCs/>
        </w:rPr>
        <w:t>– Valstybės narės teisės aktai, kuriuose numatytas bendras lošimo įstaigų reklamos draudimas</w:t>
      </w:r>
      <w:r w:rsidR="009C2122">
        <w:rPr>
          <w:rFonts w:cs="Calibri"/>
          <w:iCs/>
        </w:rPr>
        <w:t xml:space="preserve"> </w:t>
      </w:r>
      <w:r w:rsidRPr="006A3B77">
        <w:rPr>
          <w:rFonts w:cs="Calibri"/>
          <w:iCs/>
        </w:rPr>
        <w:t>– Šio draudimo išimtis pagal įstatymą, taikoma šios valstybės narės valdžios institucijų išduotą veiklos licenciją turinčioms įstaigoms</w:t>
      </w:r>
      <w:r w:rsidR="009C2122">
        <w:rPr>
          <w:rFonts w:cs="Calibri"/>
          <w:iCs/>
        </w:rPr>
        <w:t xml:space="preserve"> </w:t>
      </w:r>
      <w:r w:rsidRPr="006A3B77">
        <w:rPr>
          <w:rFonts w:cs="Calibri"/>
          <w:iCs/>
        </w:rPr>
        <w:t>– Galimybės taikyti išimtį kitoje valstybėje narėje esančioms įstaigoms nebuvimas</w:t>
      </w:r>
    </w:p>
    <w:p w14:paraId="267A6404" w14:textId="77777777" w:rsidR="006A3B77" w:rsidRPr="006A3B77" w:rsidRDefault="006A3B77" w:rsidP="006A3B77">
      <w:pPr>
        <w:tabs>
          <w:tab w:val="left" w:pos="6379"/>
        </w:tabs>
        <w:jc w:val="center"/>
        <w:rPr>
          <w:rFonts w:cs="Calibri"/>
          <w:b/>
        </w:rPr>
      </w:pPr>
    </w:p>
    <w:p w14:paraId="405BBADB" w14:textId="77777777" w:rsidR="006A3B77" w:rsidRPr="006A3B77" w:rsidRDefault="006A3B77" w:rsidP="006A3B77">
      <w:pPr>
        <w:tabs>
          <w:tab w:val="left" w:pos="6379"/>
        </w:tabs>
        <w:jc w:val="center"/>
        <w:rPr>
          <w:rFonts w:cs="Calibri"/>
          <w:b/>
        </w:rPr>
      </w:pPr>
      <w:r w:rsidRPr="006A3B77">
        <w:rPr>
          <w:rFonts w:cs="Calibri"/>
          <w:b/>
        </w:rPr>
        <w:t>Bylos aplinkybės</w:t>
      </w:r>
    </w:p>
    <w:p w14:paraId="1A1C2F63" w14:textId="77777777" w:rsidR="006A3B77" w:rsidRPr="006A3B77" w:rsidRDefault="006A3B77" w:rsidP="006A3B77">
      <w:pPr>
        <w:shd w:val="clear" w:color="auto" w:fill="FFFFFF"/>
        <w:tabs>
          <w:tab w:val="left" w:pos="2655"/>
        </w:tabs>
        <w:ind w:firstLine="567"/>
        <w:rPr>
          <w:rFonts w:eastAsia="Times New Roman" w:cs="Calibri"/>
          <w:lang w:eastAsia="lt-LT"/>
        </w:rPr>
      </w:pPr>
    </w:p>
    <w:p w14:paraId="4652BBE9" w14:textId="5E057A33" w:rsidR="006A3B77" w:rsidRPr="006A3B77" w:rsidRDefault="006A3B77" w:rsidP="006A3B77">
      <w:pPr>
        <w:shd w:val="clear" w:color="auto" w:fill="FFFFFF"/>
        <w:tabs>
          <w:tab w:val="left" w:pos="2655"/>
        </w:tabs>
        <w:ind w:firstLine="567"/>
        <w:rPr>
          <w:rFonts w:eastAsia="Times New Roman" w:cs="Calibri"/>
          <w:lang w:eastAsia="lt-LT"/>
        </w:rPr>
      </w:pPr>
      <w:r w:rsidRPr="006A3B77">
        <w:rPr>
          <w:rFonts w:eastAsia="Times New Roman" w:cs="Calibri"/>
          <w:lang w:eastAsia="lt-LT"/>
        </w:rPr>
        <w:t>Prašymas priimti prejudicinį sprendimą pateiktas dėl SESV</w:t>
      </w:r>
      <w:r w:rsidR="002927D2">
        <w:rPr>
          <w:rFonts w:eastAsia="Times New Roman" w:cs="Calibri"/>
          <w:lang w:eastAsia="lt-LT"/>
        </w:rPr>
        <w:t xml:space="preserve"> </w:t>
      </w:r>
      <w:r w:rsidRPr="006A3B77">
        <w:rPr>
          <w:rFonts w:eastAsia="Times New Roman" w:cs="Calibri"/>
          <w:lang w:eastAsia="lt-LT"/>
        </w:rPr>
        <w:t>56 straipsnio išaiškinimo.</w:t>
      </w:r>
      <w:r w:rsidRPr="006A3B77">
        <w:rPr>
          <w:rFonts w:ascii="Open Sans" w:hAnsi="Open Sans" w:cs="Open Sans"/>
          <w:color w:val="000000"/>
          <w:sz w:val="18"/>
          <w:szCs w:val="18"/>
        </w:rPr>
        <w:t xml:space="preserve"> </w:t>
      </w:r>
      <w:r w:rsidRPr="006A3B77">
        <w:rPr>
          <w:rFonts w:eastAsia="Times New Roman" w:cs="Calibri"/>
          <w:lang w:eastAsia="lt-LT"/>
        </w:rPr>
        <w:t>Šis prašymas pateiktas nagrinėjant trijų Nyderlanduose įsteigtų azartinių lošimų įstaigų valdytojų ginčą su Belgijos valstybe dėl Azartinių lošimų komisijos joms skirtų baudų už savo įstaigų reklamą Belgijos teritorijoje.</w:t>
      </w:r>
    </w:p>
    <w:p w14:paraId="6EFFB667" w14:textId="77777777" w:rsidR="006A3B77" w:rsidRPr="006A3B77" w:rsidRDefault="006A3B77" w:rsidP="006A3B77">
      <w:pPr>
        <w:ind w:firstLine="567"/>
        <w:rPr>
          <w:color w:val="000000"/>
          <w:shd w:val="clear" w:color="auto" w:fill="FFFFFF"/>
        </w:rPr>
      </w:pPr>
      <w:r w:rsidRPr="006A3B77">
        <w:rPr>
          <w:color w:val="000000"/>
          <w:shd w:val="clear" w:color="auto" w:fill="FFFFFF"/>
        </w:rPr>
        <w:t>Azartinių lošimų komisija negali išduoti veiklos licencijos už Belgijos teritorijos ribų esančioms įstaigoms. Belgijos teisėje nenumatyta galimybė tokiems įstaigos valdytojams, kaip pareiškėjai pagrindinėje byloje, leisti Belgijoje reklamuoti kitoje valstybėje narėje esančias azartinių lošimų įstaigas. Be to, Belgijoje galioja bendras draudimas reklamuoti azartinių lošimų įstaigas. Tačiau Belgijoje įsteigtoms azartinių lošimų įstaigoms, turinčioms veiklos licenciją, taikoma šio draudimo išimtis. Taigi šios įstaigos iš tiesų gali būti reklamuojamos Belgijoje. Atvirkščiai, kitoje valstybėje narėje įsteigtoms azartinių lošimų įstaigoms yra ir bet kuriuo atveju liks taikomas reklamos Belgijoje draudimas.</w:t>
      </w:r>
    </w:p>
    <w:p w14:paraId="630588AC" w14:textId="6B47E082" w:rsidR="006A3B77" w:rsidRPr="006A3B77" w:rsidRDefault="006A3B77" w:rsidP="006A3B77">
      <w:pPr>
        <w:ind w:firstLine="567"/>
        <w:rPr>
          <w:color w:val="000000"/>
          <w:shd w:val="clear" w:color="auto" w:fill="FFFFFF"/>
        </w:rPr>
      </w:pPr>
      <w:r w:rsidRPr="006A3B77">
        <w:rPr>
          <w:color w:val="000000"/>
          <w:shd w:val="clear" w:color="auto" w:fill="FFFFFF"/>
        </w:rPr>
        <w:t>Prejudiciniu klausimu prašymą priimti prejudicinį sprendimą pateikęs teismas iš esmės siekė išsiaiškinti, ar SESV</w:t>
      </w:r>
      <w:r w:rsidR="00EC451C">
        <w:rPr>
          <w:color w:val="000000"/>
          <w:shd w:val="clear" w:color="auto" w:fill="FFFFFF"/>
        </w:rPr>
        <w:t xml:space="preserve"> </w:t>
      </w:r>
      <w:r w:rsidRPr="006A3B77">
        <w:rPr>
          <w:color w:val="000000"/>
          <w:shd w:val="clear" w:color="auto" w:fill="FFFFFF"/>
        </w:rPr>
        <w:t>56 straipsnio pirma pastraipa turi būti aiškinama taip, kad pagal ją draudžiami valstybės narės teisės aktai, pagal kuriuos riboto ir kontroliuojamo šios valstybės narės teritorijoje esančių azartinių lošimų įstaigų skaičiaus valdytojams suteikiama šioms įstaigoms bendrai taikytino reklamos draudimo išimtis pagal įstatymą, nenumatant galimybės tuo pačiu tikslu taikyti šios išimties kitoje valstybėje narėje esančių azartinių lošimų įstaigų valdytojams.</w:t>
      </w:r>
    </w:p>
    <w:p w14:paraId="6659270B" w14:textId="77777777" w:rsidR="006A3B77" w:rsidRPr="006A3B77" w:rsidRDefault="006A3B77" w:rsidP="006A3B77">
      <w:pPr>
        <w:ind w:firstLine="567"/>
        <w:rPr>
          <w:color w:val="000000"/>
          <w:shd w:val="clear" w:color="auto" w:fill="FFFFFF"/>
        </w:rPr>
      </w:pPr>
    </w:p>
    <w:p w14:paraId="053BB4CE" w14:textId="77777777" w:rsidR="006A3B77" w:rsidRPr="006A3B77" w:rsidRDefault="006A3B77" w:rsidP="006A3B77">
      <w:pPr>
        <w:jc w:val="center"/>
        <w:rPr>
          <w:b/>
          <w:bCs/>
          <w:color w:val="000000"/>
          <w:shd w:val="clear" w:color="auto" w:fill="FFFFFF"/>
        </w:rPr>
      </w:pPr>
      <w:r w:rsidRPr="006A3B77">
        <w:rPr>
          <w:b/>
          <w:bCs/>
          <w:color w:val="000000"/>
          <w:shd w:val="clear" w:color="auto" w:fill="FFFFFF"/>
        </w:rPr>
        <w:t>Teisingumo Teismo vertinimas</w:t>
      </w:r>
    </w:p>
    <w:p w14:paraId="5E93F436" w14:textId="77777777" w:rsidR="006A3B77" w:rsidRPr="006A3B77" w:rsidRDefault="006A3B77" w:rsidP="006A3B77">
      <w:pPr>
        <w:ind w:firstLine="567"/>
        <w:rPr>
          <w:rFonts w:cs="Calibri"/>
        </w:rPr>
      </w:pPr>
    </w:p>
    <w:p w14:paraId="6D0CB05A" w14:textId="77777777" w:rsidR="006A3B77" w:rsidRPr="006A3B77" w:rsidRDefault="006A3B77" w:rsidP="006A3B77">
      <w:pPr>
        <w:keepNext/>
        <w:keepLines/>
        <w:tabs>
          <w:tab w:val="left" w:pos="426"/>
        </w:tabs>
        <w:ind w:firstLine="567"/>
        <w:outlineLvl w:val="2"/>
        <w:rPr>
          <w:rFonts w:eastAsia="Times New Roman"/>
          <w:bCs/>
          <w:i/>
        </w:rPr>
      </w:pPr>
      <w:bookmarkStart w:id="79" w:name="_Toc148375097"/>
      <w:r w:rsidRPr="006A3B77">
        <w:rPr>
          <w:rFonts w:eastAsia="Times New Roman"/>
          <w:bCs/>
          <w:i/>
        </w:rPr>
        <w:t>Dėl draudimo suteikti azartinių lošimų įstaigų valdytojams bendrai taikytino reklamos draudimo išimtis, nenumatant galimybės tuo pačiu tikslu taikyti šios išimties kitoje valstybėje narėje esančių azartinių lošimų įstaigų valdytojams</w:t>
      </w:r>
      <w:bookmarkEnd w:id="79"/>
    </w:p>
    <w:p w14:paraId="1AD66CC0" w14:textId="77777777" w:rsidR="006A3B77" w:rsidRPr="006A3B77" w:rsidRDefault="006A3B77" w:rsidP="006A3B77">
      <w:pPr>
        <w:jc w:val="left"/>
        <w:rPr>
          <w:color w:val="000000"/>
          <w:shd w:val="clear" w:color="auto" w:fill="FFFFFF"/>
        </w:rPr>
      </w:pPr>
    </w:p>
    <w:p w14:paraId="2F16C590" w14:textId="493BF84B" w:rsidR="006A3B77" w:rsidRPr="006A3B77" w:rsidRDefault="006A3B77" w:rsidP="006A3B77">
      <w:pPr>
        <w:ind w:firstLine="567"/>
        <w:rPr>
          <w:color w:val="000000"/>
          <w:shd w:val="clear" w:color="auto" w:fill="FFFFFF"/>
        </w:rPr>
      </w:pPr>
      <w:r w:rsidRPr="006A3B77">
        <w:rPr>
          <w:color w:val="000000"/>
          <w:shd w:val="clear" w:color="auto" w:fill="FFFFFF"/>
        </w:rPr>
        <w:t xml:space="preserve">Teisingumo Teismas pažymėjo, kad neginčijama, jog pagrindinėje byloje nagrinėjamuose nacionalinės teisės aktuose yra numatytas draudimas (be galimybės taikyti išimtį) Azartinių lošimų komisijos išduotos veiklos licencijos neturinčioms azartinių lošimų įstaigoms reklamuotis Belgijoje. </w:t>
      </w:r>
      <w:r w:rsidRPr="006A3B77">
        <w:rPr>
          <w:color w:val="000000"/>
          <w:shd w:val="clear" w:color="auto" w:fill="FFFFFF"/>
        </w:rPr>
        <w:lastRenderedPageBreak/>
        <w:t>Kadangi ši komisija tokią licenciją gali išduoti tik Belgijoje įsteigtoms azartinių lošimų įstaigoms, pagal minėtus nacionalinės teisės aktus draudžiama šioje valstybėje narėje reklamuoti visas kitose valstybėse narėse esančias azartinių lošimų įstaigas. Tokiu būdu yra taikomas</w:t>
      </w:r>
      <w:r w:rsidRPr="006A3B77">
        <w:rPr>
          <w:rFonts w:ascii="Open Sans" w:hAnsi="Open Sans" w:cs="Open Sans"/>
          <w:color w:val="000000"/>
          <w:sz w:val="18"/>
          <w:szCs w:val="18"/>
        </w:rPr>
        <w:t xml:space="preserve"> </w:t>
      </w:r>
      <w:r w:rsidRPr="006A3B77">
        <w:rPr>
          <w:color w:val="000000"/>
          <w:shd w:val="clear" w:color="auto" w:fill="FFFFFF"/>
        </w:rPr>
        <w:t>laisvės teikti paslaugas apribojimas.</w:t>
      </w:r>
    </w:p>
    <w:p w14:paraId="17A5E78D" w14:textId="6431655F" w:rsidR="006A3B77" w:rsidRPr="006A3B77" w:rsidRDefault="006A3B77" w:rsidP="006A3B77">
      <w:pPr>
        <w:ind w:firstLine="567"/>
        <w:rPr>
          <w:color w:val="000000"/>
          <w:shd w:val="clear" w:color="auto" w:fill="FFFFFF"/>
        </w:rPr>
      </w:pPr>
      <w:r w:rsidRPr="006A3B77">
        <w:rPr>
          <w:color w:val="000000"/>
          <w:shd w:val="clear" w:color="auto" w:fill="FFFFFF"/>
        </w:rPr>
        <w:t>Pastebėta, kad visiškas negalėjimas kitoje valstybėje narėje esančiai azartinių lošimų įstaigai gauti leidimą reklamuotis Belgijoje iš esmės kyla dėl to, kad ši įstaiga yra įsisteigusi už Belgijos teritorijos ribų. Teismo vertinimu, toks apribojimas yra diskriminacinio pobūdžio.</w:t>
      </w:r>
    </w:p>
    <w:p w14:paraId="52B0D594" w14:textId="7B7C8097" w:rsidR="006A3B77" w:rsidRPr="006A3B77" w:rsidRDefault="006A3B77" w:rsidP="006A3B77">
      <w:pPr>
        <w:ind w:firstLine="567"/>
        <w:rPr>
          <w:color w:val="000000"/>
          <w:shd w:val="clear" w:color="auto" w:fill="FFFFFF"/>
        </w:rPr>
      </w:pPr>
      <w:r w:rsidRPr="006A3B77">
        <w:rPr>
          <w:color w:val="000000"/>
          <w:shd w:val="clear" w:color="auto" w:fill="FFFFFF"/>
        </w:rPr>
        <w:t>Belgijos azartinių lošimų politikos tikslai</w:t>
      </w:r>
      <w:r w:rsidR="005B0CBD">
        <w:rPr>
          <w:color w:val="000000"/>
          <w:shd w:val="clear" w:color="auto" w:fill="FFFFFF"/>
        </w:rPr>
        <w:t xml:space="preserve"> </w:t>
      </w:r>
      <w:r w:rsidRPr="006A3B77">
        <w:rPr>
          <w:color w:val="000000"/>
          <w:shd w:val="clear" w:color="auto" w:fill="FFFFFF"/>
        </w:rPr>
        <w:t>– apsaugoti lošėjus, užtikrinti finansinį skaidrumą ir kontroliuoti pinigų srautus, kontroliuoti lošimus ir nustatyti bei kontroliuoti organizatorius. Be to, ši politika taip pat pateisinama vartotojų apsaugos ir kovos su sukčiavimu ir neteisėta azartinių lošimų veikla tikslais. Tačiau Teisingumo Teismas nurodė, kad tokiais nurodytais tikslais (vartotojų apsaugos, sukčiavimo ir piliečių skatinimo pernelyg išlaidauti lošiant prevencijos tikslais ir apskritai socialinės tvarkos sutrikdymo prevencijos tikslais), kiek jie susiję su privalomaisiais bendrojo intereso pagrindais, negali būti remiamasi, siekiant pateisinti diskriminacinio pobūdžio laisvės teikti paslaugas apribojimą.</w:t>
      </w:r>
    </w:p>
    <w:p w14:paraId="64FE61EF" w14:textId="725E1A89" w:rsidR="006A3B77" w:rsidRPr="006A3B77" w:rsidRDefault="006A3B77" w:rsidP="006A3B77">
      <w:pPr>
        <w:ind w:firstLine="567"/>
        <w:rPr>
          <w:color w:val="000000"/>
          <w:shd w:val="clear" w:color="auto" w:fill="FFFFFF"/>
        </w:rPr>
      </w:pPr>
      <w:r w:rsidRPr="006A3B77">
        <w:rPr>
          <w:color w:val="000000"/>
          <w:shd w:val="clear" w:color="auto" w:fill="FFFFFF"/>
        </w:rPr>
        <w:t>Akivaizdu, kad toks apribojimas, pagal kurį tik atitinkamos valstybės narės teritorijoje esančioms azartinių lošimų įstaigoms, turinčioms licenciją verstis azartinių lošimų veikla, suteikiama galimybė reklamuotis toje valstybėje narėje, viršija tai, kas gali būti laikoma proporcinga, nes yra mažiau ribojančių priemonių, leidžiančių pasiekti Belgijos vyriausybės nurodytus tikslus, kaip antai priemonės, pagal kurias ši reklama leidžiama kitoje valstybėje narėje įsteigtoms įstaigoms su sąlyga, kad toje kitoje valstybėje narėje priimtomis ir kontroliuojamomis teisės nuostatomis yra suteikiamos garantijos, iš esmės lygiavertės atitinkamomis tam tikroje valstybėje narėje galiojančiomis teisės nuostatomis teikiamoms garantijoms.</w:t>
      </w:r>
    </w:p>
    <w:p w14:paraId="0DFFFF7E" w14:textId="624CC6BE" w:rsidR="006A3B77" w:rsidRPr="006A3B77" w:rsidRDefault="006A3B77" w:rsidP="006A3B77">
      <w:pPr>
        <w:ind w:firstLine="567"/>
        <w:rPr>
          <w:color w:val="000000"/>
          <w:u w:val="single"/>
          <w:shd w:val="clear" w:color="auto" w:fill="FFFFFF"/>
        </w:rPr>
      </w:pPr>
      <w:r w:rsidRPr="006A3B77">
        <w:rPr>
          <w:color w:val="000000"/>
          <w:shd w:val="clear" w:color="auto" w:fill="FFFFFF"/>
        </w:rPr>
        <w:t xml:space="preserve">Teisingumo Teismas išaiškino, kad </w:t>
      </w:r>
      <w:r w:rsidRPr="006A3B77">
        <w:rPr>
          <w:color w:val="000000"/>
          <w:u w:val="single"/>
          <w:shd w:val="clear" w:color="auto" w:fill="FFFFFF"/>
        </w:rPr>
        <w:t>SESV</w:t>
      </w:r>
      <w:r w:rsidR="00F84999">
        <w:rPr>
          <w:color w:val="000000"/>
          <w:u w:val="single"/>
          <w:shd w:val="clear" w:color="auto" w:fill="FFFFFF"/>
        </w:rPr>
        <w:t xml:space="preserve"> </w:t>
      </w:r>
      <w:r w:rsidRPr="006A3B77">
        <w:rPr>
          <w:color w:val="000000"/>
          <w:u w:val="single"/>
          <w:shd w:val="clear" w:color="auto" w:fill="FFFFFF"/>
        </w:rPr>
        <w:t>56 straipsnio pirma pastraipa turi būti aiškinama taip, kad pagal ją draudžiami valstybės narės teisės aktai, pagal kuriuos riboto ir kontroliuojamo šios valstybės narės teritorijoje esančių azartinių lošimų įstaigų skaičiaus valdytojams suteikiama šioms įstaigoms bendrai taikytino reklamos draudimo išimtis pagal įstatymą, nenumatant galimybės tuo pačiu tikslu taikyti šios išimties kitoje valstybėje narėje esančių azartinių lošimų įstaigų valdytojams</w:t>
      </w:r>
      <w:r w:rsidRPr="006A3B77">
        <w:rPr>
          <w:color w:val="000000"/>
          <w:shd w:val="clear" w:color="auto" w:fill="FFFFFF"/>
        </w:rPr>
        <w:t>.</w:t>
      </w:r>
    </w:p>
    <w:p w14:paraId="30F94D4E" w14:textId="77777777" w:rsidR="006A3B77" w:rsidRPr="006A3B77" w:rsidRDefault="00000000" w:rsidP="006A3B77">
      <w:pPr>
        <w:ind w:firstLine="567"/>
        <w:rPr>
          <w:rFonts w:cs="Calibri"/>
          <w:color w:val="0000FF"/>
          <w:u w:val="single"/>
        </w:rPr>
      </w:pPr>
      <w:hyperlink r:id="rId25" w:history="1">
        <w:r w:rsidR="006A3B77" w:rsidRPr="006A3B77">
          <w:rPr>
            <w:rFonts w:cs="Calibri"/>
            <w:color w:val="0000FF"/>
            <w:u w:val="single"/>
          </w:rPr>
          <w:t>Prieiga internete</w:t>
        </w:r>
      </w:hyperlink>
    </w:p>
    <w:bookmarkEnd w:id="8"/>
    <w:p w14:paraId="70FA373C" w14:textId="77777777" w:rsidR="00C80AE5" w:rsidRDefault="00C80AE5" w:rsidP="00C80AE5"/>
    <w:p w14:paraId="4A25F6E7" w14:textId="77777777" w:rsidR="00C80AE5" w:rsidRPr="00E8511F" w:rsidRDefault="00C80AE5" w:rsidP="00C80AE5">
      <w:pPr>
        <w:pStyle w:val="Antrat1"/>
        <w:rPr>
          <w:szCs w:val="22"/>
        </w:rPr>
      </w:pPr>
      <w:bookmarkStart w:id="80" w:name="_Toc148375098"/>
      <w:r w:rsidRPr="00E8511F">
        <w:rPr>
          <w:szCs w:val="22"/>
        </w:rPr>
        <w:t>LAISVĖS, SAUGUMO IR TEISINGUMO ERDVĖ</w:t>
      </w:r>
      <w:bookmarkEnd w:id="80"/>
    </w:p>
    <w:p w14:paraId="2D7DCA5F" w14:textId="77777777" w:rsidR="00C80AE5" w:rsidRPr="00E8511F" w:rsidRDefault="00C80AE5" w:rsidP="00C80AE5">
      <w:pPr>
        <w:jc w:val="center"/>
        <w:rPr>
          <w:rFonts w:cs="Calibri"/>
          <w:b/>
          <w:bCs/>
        </w:rPr>
      </w:pPr>
    </w:p>
    <w:p w14:paraId="4DC958CE" w14:textId="77777777" w:rsidR="00C80AE5" w:rsidRPr="00E8511F" w:rsidRDefault="00C80AE5" w:rsidP="00C80AE5">
      <w:pPr>
        <w:pStyle w:val="Antrat2"/>
        <w:rPr>
          <w:rFonts w:cstheme="minorHAnsi"/>
          <w:color w:val="323E4F" w:themeColor="text2" w:themeShade="BF"/>
          <w:szCs w:val="22"/>
        </w:rPr>
      </w:pPr>
      <w:bookmarkStart w:id="81" w:name="_Toc148375099"/>
      <w:r w:rsidRPr="00E8511F">
        <w:rPr>
          <w:rFonts w:cstheme="minorHAnsi"/>
          <w:color w:val="323E4F" w:themeColor="text2" w:themeShade="BF"/>
          <w:szCs w:val="22"/>
        </w:rPr>
        <w:t xml:space="preserve">2023 m. gegužės 4 d. sprendimas byloje </w:t>
      </w:r>
      <w:r w:rsidRPr="00E8511F">
        <w:rPr>
          <w:rFonts w:cstheme="minorHAnsi"/>
          <w:i/>
          <w:iCs w:val="0"/>
          <w:color w:val="323E4F" w:themeColor="text2" w:themeShade="BF"/>
          <w:szCs w:val="22"/>
        </w:rPr>
        <w:t>Agenția Națională de Integritate</w:t>
      </w:r>
      <w:r w:rsidRPr="00E8511F">
        <w:rPr>
          <w:rFonts w:cstheme="minorHAnsi"/>
          <w:color w:val="323E4F" w:themeColor="text2" w:themeShade="BF"/>
          <w:szCs w:val="22"/>
        </w:rPr>
        <w:t>, C-40/21</w:t>
      </w:r>
      <w:bookmarkEnd w:id="81"/>
    </w:p>
    <w:p w14:paraId="4060BCD0" w14:textId="77777777" w:rsidR="00C80AE5" w:rsidRPr="00E8511F" w:rsidRDefault="00C80AE5" w:rsidP="00C80AE5">
      <w:pPr>
        <w:rPr>
          <w:rFonts w:cs="Calibri"/>
          <w:b/>
          <w:bCs/>
          <w:u w:val="single"/>
        </w:rPr>
      </w:pPr>
    </w:p>
    <w:p w14:paraId="5A385991" w14:textId="77777777" w:rsidR="00C80AE5" w:rsidRPr="00E8511F" w:rsidRDefault="00C80AE5" w:rsidP="00C80AE5">
      <w:pPr>
        <w:ind w:firstLine="567"/>
        <w:rPr>
          <w:rFonts w:cs="Calibri"/>
        </w:rPr>
      </w:pPr>
      <w:r w:rsidRPr="00E8511F">
        <w:rPr>
          <w:rFonts w:cs="Calibri"/>
        </w:rPr>
        <w:t xml:space="preserve">Sprendimas 2006/928/EB – Bendradarbiavimo su Rumunija ir jos pažangos siekiant orientacinių tikslų teismų reformos ir kovos su korupcija srityse patikrinimo mechanizmas – Europos Sąjungos pagrindinių teisių chartija – 15 straipsnio 1 dalis – 47 straipsnis – 49 straipsnio 3 dalis – Renkamos viešosios pareigos – Interesų konfliktas – Nacionalinės teisės nuostatos, kuriose numatytas draudimas iš anksto nustatytą laikotarpį eiti renkamas viešąsias pareigas – Įgaliojimų nutrūkimas ir papildoma sankcija – Proporcingumo principas </w:t>
      </w:r>
    </w:p>
    <w:p w14:paraId="3ED0FFFE" w14:textId="77777777" w:rsidR="00C80AE5" w:rsidRPr="00E8511F" w:rsidRDefault="00C80AE5" w:rsidP="00C80AE5">
      <w:pPr>
        <w:ind w:firstLine="709"/>
        <w:rPr>
          <w:rFonts w:cs="Calibri"/>
        </w:rPr>
      </w:pPr>
    </w:p>
    <w:p w14:paraId="72F997D3" w14:textId="77777777" w:rsidR="00C80AE5" w:rsidRPr="00E8511F" w:rsidRDefault="00C80AE5" w:rsidP="00C80AE5">
      <w:pPr>
        <w:jc w:val="center"/>
        <w:rPr>
          <w:rFonts w:cs="Calibri"/>
          <w:b/>
        </w:rPr>
      </w:pPr>
      <w:r w:rsidRPr="00E8511F">
        <w:rPr>
          <w:rFonts w:cs="Calibri"/>
          <w:b/>
        </w:rPr>
        <w:t>Bylos aplinkybės</w:t>
      </w:r>
    </w:p>
    <w:p w14:paraId="6C4270B6" w14:textId="77777777" w:rsidR="00C80AE5" w:rsidRPr="00E8511F" w:rsidRDefault="00C80AE5" w:rsidP="00C80AE5">
      <w:pPr>
        <w:jc w:val="center"/>
        <w:rPr>
          <w:rFonts w:cs="Calibri"/>
        </w:rPr>
      </w:pPr>
    </w:p>
    <w:p w14:paraId="4BEAE815" w14:textId="77777777" w:rsidR="00C80AE5" w:rsidRPr="00E8511F" w:rsidRDefault="00C80AE5" w:rsidP="00C80AE5">
      <w:pPr>
        <w:ind w:firstLine="567"/>
        <w:rPr>
          <w:rFonts w:cs="Calibri"/>
        </w:rPr>
      </w:pPr>
      <w:r w:rsidRPr="00E8511F">
        <w:rPr>
          <w:rFonts w:cs="Calibri"/>
        </w:rPr>
        <w:t>Pareiškėjas pagrindinėje byloje buvo išrinktas savivaldybės meru. Rumunijos tarnybinės etikos agentūra (įsteigta įgyvendinant Rumunijai skirto Sprendimo 2006/928</w:t>
      </w:r>
      <w:r w:rsidRPr="00E8511F">
        <w:rPr>
          <w:rFonts w:cs="Calibri"/>
          <w:vertAlign w:val="superscript"/>
        </w:rPr>
        <w:footnoteReference w:id="24"/>
      </w:r>
      <w:r w:rsidRPr="00E8511F">
        <w:rPr>
          <w:rFonts w:cs="Calibri"/>
        </w:rPr>
        <w:t xml:space="preserve"> priede įtvirtintą orientacinį turto, interesų nesuderinamumo ir galimų interesų konfliktų tikrinimo, privalomųjų sprendimų, kurių pagrindu būtų imamasi atgrasančių sankcijų, priėmimo tikslą) vertinimo ataskaitoje pripažino, kad pareiškėjas pagrindinėje byloje nesilaikė interesų konfliktą administravimo srityje reglamentuojančių taisyklių. Pareiškėjas pagrindinėje byloje kreipėsi į nacionalinį teismą dėl minėtos ataskaitos panaikinimo, kadangi ataskaitai tapus galutine, pagal nacionalinę teisę jo įgaliojimai automatiškai nutrūktų ir jam būtų nustatytas papildomas draudimas trejus metus eiti renkamas viešąsias pareigas.</w:t>
      </w:r>
    </w:p>
    <w:p w14:paraId="0DD6521C" w14:textId="77777777" w:rsidR="00C80AE5" w:rsidRPr="00E8511F" w:rsidRDefault="00C80AE5" w:rsidP="00C80AE5">
      <w:pPr>
        <w:ind w:firstLine="567"/>
        <w:rPr>
          <w:rFonts w:cs="Calibri"/>
        </w:rPr>
      </w:pPr>
      <w:r w:rsidRPr="00E8511F">
        <w:rPr>
          <w:rFonts w:cs="Calibri"/>
        </w:rPr>
        <w:lastRenderedPageBreak/>
        <w:t>Atsižvelgęs į tai, kad nacionalinėje teisėje</w:t>
      </w:r>
      <w:r w:rsidRPr="00E8511F">
        <w:t xml:space="preserve"> </w:t>
      </w:r>
      <w:r w:rsidRPr="00E8511F">
        <w:rPr>
          <w:rFonts w:cs="Calibri"/>
        </w:rPr>
        <w:t>numatytas papildomas draudimas taikomas automatiškai, nenagrinėjant jo būtinumo ir nediferencijuojant pagal pažeidimo sunkumą, draudimas apima visas renkamas viešąsias pareigas, be to, nei įgaliojimų nutrūkimas, nei draudimas eiti renkamas viešąsias pareigas negali būti ginčijamas teisme (ataskaitos teisėtumą nagrinėjantis teismas gali tik patikrinti, ar asmeniui inkriminuotos veikos yra interesų konfliktas, tačiau negali priimti sprendimo dėl už jas skiriamų sankcijų), akcentuodamas aplinkybę, kad Baudžiamajame kodekse yra numatyta interesų konflikto nusikalstama veika, už kurią taip pat skiriama papildoma bausmė – draudimas eiti viešąsias pareigas, nacionalinis teismas, į kurį kreipėsi pareiškėjas pagrindinėje byloje, suformulavo ESTT klausimus: 1) ar Europos Sąjungos pagrindinių teisių chartijos (toliau – Chartija) 49 straipsnyje įtvirtintas bausmių proporcingumo principas turi būti aiškinamas taip, kad jis taikomas ir kitoms veikoms nei tos, kurios nacionalinėje teisėje formaliai apibrėžiamos kaip nusikalstamos veikos, tačiau kurios gali būti laikomos „baudžiamojo kaltinimo klausimu“?; 2) ar Chartijos 49 straipsnyje įtvirtintas bausmių proporcingumo principas turi būti aiškinamas taip, kad pagal jį draudžiama nacionalinių įgyvendinimo teisės aktų nuostata, pagal kurią tuo atveju, jei nustatomas asmens, einančio renkamas viešąsias pareigas, interesų konfliktas, remiantis įstatymu automatiškai taikoma papildoma sankcija be galimybės taikyti padarytam pažeidimui proporcingą sankciją?; 3) ar Chartijos 15 straipsnio 1 dalyje garantuojama teisė į darbą, taip pat teisė į veiksmingą teisinę gynybą ir teisingą bylos nagrinėjimą, užtikrinama Chartijos 47 straipsnyje, turi būti aiškinamos taip, kad pagal jas draudžiama nacionalinių įgyvendinimo teisės aktų nuostata, pagal kurią tuo atveju, jei nustatomas asmens, einančio renkamas viešąsias pareigas, interesų konfliktas, remiantis įstatymu automatiškai taikoma papildoma sankcija be galimybės taikyti padarytam pažeidimui proporcingą sankciją?</w:t>
      </w:r>
    </w:p>
    <w:p w14:paraId="7218C5E6" w14:textId="77777777" w:rsidR="00C80AE5" w:rsidRPr="00E8511F" w:rsidRDefault="00C80AE5" w:rsidP="00C80AE5">
      <w:pPr>
        <w:jc w:val="left"/>
        <w:rPr>
          <w:rFonts w:cs="Calibri"/>
          <w:b/>
        </w:rPr>
      </w:pPr>
    </w:p>
    <w:p w14:paraId="3B6CFE91" w14:textId="77777777" w:rsidR="00C80AE5" w:rsidRPr="00E8511F" w:rsidRDefault="00C80AE5" w:rsidP="00C80AE5">
      <w:pPr>
        <w:jc w:val="center"/>
        <w:rPr>
          <w:rFonts w:cs="Calibri"/>
          <w:b/>
        </w:rPr>
      </w:pPr>
      <w:r w:rsidRPr="00E8511F">
        <w:rPr>
          <w:rFonts w:cs="Calibri"/>
          <w:b/>
        </w:rPr>
        <w:t>Teisingumo Teismo vertinimas</w:t>
      </w:r>
    </w:p>
    <w:p w14:paraId="5F6EDDCF" w14:textId="77777777" w:rsidR="00C80AE5" w:rsidRPr="00E8511F" w:rsidRDefault="00C80AE5" w:rsidP="00C80AE5">
      <w:pPr>
        <w:jc w:val="center"/>
        <w:rPr>
          <w:rFonts w:cs="Calibri"/>
          <w:b/>
        </w:rPr>
      </w:pPr>
    </w:p>
    <w:p w14:paraId="3B4045EF" w14:textId="4920EA78" w:rsidR="00C80AE5" w:rsidRPr="00E8511F" w:rsidRDefault="00C80AE5" w:rsidP="00C80AE5">
      <w:pPr>
        <w:pStyle w:val="Antrat3"/>
        <w:ind w:firstLine="567"/>
        <w:rPr>
          <w:rFonts w:cs="Calibri"/>
        </w:rPr>
      </w:pPr>
      <w:bookmarkStart w:id="82" w:name="_Toc148375100"/>
      <w:r w:rsidRPr="00E8511F">
        <w:rPr>
          <w:rFonts w:cs="Calibri"/>
        </w:rPr>
        <w:t xml:space="preserve">Dėl </w:t>
      </w:r>
      <w:r w:rsidRPr="00E8511F">
        <w:rPr>
          <w:rFonts w:eastAsia="Times New Roman" w:cstheme="minorHAnsi"/>
          <w:iCs/>
          <w:color w:val="000000"/>
          <w:lang w:eastAsia="lt-LT"/>
        </w:rPr>
        <w:t>nacionalinės</w:t>
      </w:r>
      <w:r w:rsidRPr="00E8511F">
        <w:rPr>
          <w:rFonts w:cs="Calibri"/>
        </w:rPr>
        <w:t xml:space="preserve"> teisės nuostatų, </w:t>
      </w:r>
      <w:r w:rsidRPr="00E8511F">
        <w:t xml:space="preserve">nustatančių </w:t>
      </w:r>
      <w:r w:rsidRPr="00E8511F">
        <w:rPr>
          <w:rFonts w:cs="Calibri"/>
        </w:rPr>
        <w:t>automatinį rinkimų būdu įgytų įgaliojimų nutrūkimą ir papildomai taikomą draudimą eiti bet kokias renkamas viešąsias pareigas</w:t>
      </w:r>
      <w:bookmarkEnd w:id="82"/>
    </w:p>
    <w:p w14:paraId="2BC7C5B5" w14:textId="77777777" w:rsidR="00C80AE5" w:rsidRPr="00E8511F" w:rsidRDefault="00C80AE5" w:rsidP="00C80AE5">
      <w:pPr>
        <w:ind w:firstLine="567"/>
        <w:rPr>
          <w:rFonts w:cs="Calibri"/>
        </w:rPr>
      </w:pPr>
    </w:p>
    <w:p w14:paraId="29F8691A" w14:textId="77777777" w:rsidR="00C80AE5" w:rsidRPr="00E8511F" w:rsidRDefault="00C80AE5" w:rsidP="00C80AE5">
      <w:pPr>
        <w:ind w:firstLine="567"/>
        <w:rPr>
          <w:rFonts w:cs="Calibri"/>
        </w:rPr>
      </w:pPr>
      <w:r w:rsidRPr="00E8511F">
        <w:rPr>
          <w:rFonts w:cs="Calibri"/>
        </w:rPr>
        <w:t>Vadovaudamasis ankstesne savo suformuota praktika, Teisingumo Teismas priminė, kad Chartijos 50 straipsnio ir 49 straipsnio 3 dalies taikymo prasme, vertinant sankcijos baudžiamąjį pobūdį svarbūs trys kriterijai: 1) teisinis pažeidimo kvalifikavimas pagal nacionalinę teisę; 2) pats pažeidimo pobūdis; 3) suinteresuotajam asmeniui gresiančios sankcijos griežtumo laipsnis.</w:t>
      </w:r>
    </w:p>
    <w:p w14:paraId="39E4D4B3" w14:textId="77777777" w:rsidR="00C80AE5" w:rsidRPr="00E8511F" w:rsidRDefault="00C80AE5" w:rsidP="00C80AE5">
      <w:pPr>
        <w:ind w:firstLine="567"/>
        <w:rPr>
          <w:rFonts w:cs="Calibri"/>
        </w:rPr>
      </w:pPr>
      <w:r w:rsidRPr="00E8511F">
        <w:rPr>
          <w:rFonts w:cs="Calibri"/>
        </w:rPr>
        <w:t xml:space="preserve">Įvertinęs pagrindinėje byloje taikomo nacionalinio įstatymo formuluotę „drausminis nusižengimas“ bei nacionalinę jurisprudenciją, ESTT sprendė, jog pagal Rumunijos teisę nei automatinis įgaliojimų nutrūkimas, kai konstatuojamas interesų konfliktas, nei papildomai taikomas draudimas eiti bet kokias renkamas viešąsias pareigas nelaikomi baudžiamosiomis sankcijomis. </w:t>
      </w:r>
      <w:r w:rsidRPr="00E8511F">
        <w:rPr>
          <w:rFonts w:cs="Calibri"/>
          <w:u w:val="single"/>
        </w:rPr>
        <w:t>Šios priemonės nustatomos taikant administracinę procedūrą, o sankcijos už Rumunijos teisėje numatytą interesų konflikto nusikalstamą veiką skiriamos taikant atskirą savarankišką procedūrą</w:t>
      </w:r>
      <w:r w:rsidRPr="00E8511F">
        <w:rPr>
          <w:rFonts w:cs="Calibri"/>
        </w:rPr>
        <w:t>.</w:t>
      </w:r>
    </w:p>
    <w:p w14:paraId="1AC0B118" w14:textId="77777777" w:rsidR="00C80AE5" w:rsidRPr="00E8511F" w:rsidRDefault="00C80AE5" w:rsidP="00C80AE5">
      <w:pPr>
        <w:ind w:firstLine="567"/>
        <w:rPr>
          <w:rFonts w:cs="Calibri"/>
        </w:rPr>
      </w:pPr>
      <w:r w:rsidRPr="00E8511F">
        <w:rPr>
          <w:rFonts w:cs="Calibri"/>
        </w:rPr>
        <w:t xml:space="preserve">Teisingumo Teismas konstatavo, jog pagrindinėje byloje taikomu nacionaliniu įstatymu siekta užtikrinti sąžiningumą bei skaidrumą vykdant viešąsias funkcijas ir pareigas, taip pat užkirsti kelią institucinei korupcijai, o draudimas eiti renkamas viešąsias pareigas yra platesnio masto priemonių, kuriomis papildant viena kitą siekiama šio tikslo ir galiausiai prisidedama prie Sprendime 2006/928 numatytų orientacinių tikslų įgyvendinimo, dalis. Šio </w:t>
      </w:r>
      <w:r w:rsidRPr="00E8511F">
        <w:rPr>
          <w:rFonts w:cs="Calibri"/>
          <w:u w:val="single"/>
        </w:rPr>
        <w:t>draudimo, kaip ir įgaliojimų automatinio nutrūkimo, tikslas yra ne baudžiamasis, o prevencinis – užtikrinti gerą valstybės veikimą ir skaidrumą, užkertant kelią tolesniems interesų konfliktams. Tokia priemone siekiama ne skirti laisvės atėmimo bausmę ar baudą, o uždrausti ribotai asmenų, turinčių specialų statusą, grupei ateityje vykdyti konkrečią veiklą – eiti renkamas viešąsias pareigas. Šis draudimas yra ribotos trukmės ir netaikomas teisei balsuoti</w:t>
      </w:r>
      <w:r w:rsidRPr="00E8511F">
        <w:rPr>
          <w:rFonts w:cs="Calibri"/>
        </w:rPr>
        <w:t xml:space="preserve">. </w:t>
      </w:r>
    </w:p>
    <w:p w14:paraId="6D56A5EE" w14:textId="77777777" w:rsidR="00C80AE5" w:rsidRPr="00E8511F" w:rsidRDefault="00C80AE5" w:rsidP="00C80AE5">
      <w:pPr>
        <w:ind w:firstLine="567"/>
        <w:rPr>
          <w:rFonts w:cs="Calibri"/>
        </w:rPr>
      </w:pPr>
      <w:r w:rsidRPr="00E8511F">
        <w:rPr>
          <w:rFonts w:cs="Calibri"/>
        </w:rPr>
        <w:t xml:space="preserve">ESTT taip pat pažymėjo, jog automatinis aptariamų sankcijų skyrimas leidžia užkirsti kelią tolesniam paaiškėjusiam interesų konfliktui, užtikrinant, kad veiktų valstybė ir atitinkamos renkamos institucijos. Tai, kad numatytas tiek automatinis įgaliojimų nutrūkimas, tiek automatinis draudimas pakankamai ilgą iš anksto nustatytą laikotarpį eiti bet kokias renkamas viešąsias pareigas, gali atgrasyti rinkėjų mandatą gavusius asmenis nuo patekimo į tokią situaciją ir paskatinti vykdyti savo pareigas šioje srityje. Be to, </w:t>
      </w:r>
      <w:r w:rsidRPr="00E8511F">
        <w:rPr>
          <w:rFonts w:cs="Calibri"/>
          <w:u w:val="single"/>
        </w:rPr>
        <w:t>draudimas nustatytas dėl tokio renkamas viešąsias pareigas einančio asmens padaryto pažeidimo, kuris neabejotinai yra sunkus. Šiuo aspektu Teisingumo Teismas svarbia aplinkybe laikė interesų konfliktų mastą ir korupcijos lygį nacionaliniame viešajame sektoriuje</w:t>
      </w:r>
      <w:r w:rsidRPr="00E8511F">
        <w:rPr>
          <w:rFonts w:cs="Calibri"/>
        </w:rPr>
        <w:t xml:space="preserve">, taip pat tai, kad pagrindinėje byloje taikomu </w:t>
      </w:r>
      <w:r w:rsidRPr="00E8511F">
        <w:rPr>
          <w:rFonts w:cs="Calibri"/>
        </w:rPr>
        <w:lastRenderedPageBreak/>
        <w:t>nacionaliniu įstatymu įgyvendinamas Sprendimas 2006/928, kuriuo Rumunija įpareigota veiksmingai kovoti su korupcija.</w:t>
      </w:r>
      <w:r w:rsidRPr="00E8511F">
        <w:t xml:space="preserve"> </w:t>
      </w:r>
      <w:r w:rsidRPr="00E8511F">
        <w:rPr>
          <w:rFonts w:cs="Calibri"/>
        </w:rPr>
        <w:t xml:space="preserve">Atsižvelgęs į vertintos priemonės prevencinį aspektą, ESTT sprendė, kad iš anksto nustatytas šios priemonės galiojimo laikotarpis tokiomis nacionalinėmis aplinkybėmis buvo būtinas siekiant užtikrinti jos veiksmingumą. Be to, </w:t>
      </w:r>
      <w:r w:rsidRPr="00E8511F">
        <w:rPr>
          <w:rFonts w:cs="Calibri"/>
          <w:u w:val="single"/>
        </w:rPr>
        <w:t>draudimas eiti renkamas viešąsias pareigas buvo laikinas ir taikomas tik tam tikrų kategorijų asmenims, einantiems konkrečias pareigas, draudimas apėmė tik apibrėžtą veiklą, t. y. renkamas viešąsias pareigas, ir netrukdė vykdyti bet kokios kitos profesinės veiklos</w:t>
      </w:r>
      <w:r w:rsidRPr="00E8511F">
        <w:rPr>
          <w:rFonts w:cs="Calibri"/>
        </w:rPr>
        <w:t>, be kita ko, privačiame sektoriuje.</w:t>
      </w:r>
      <w:r w:rsidRPr="00E8511F">
        <w:t xml:space="preserve"> Todėl </w:t>
      </w:r>
      <w:r w:rsidRPr="00E8511F">
        <w:rPr>
          <w:rFonts w:cs="Calibri"/>
        </w:rPr>
        <w:t>nuostatos tiek, kiek jose įtvirtintas iš anksto nustatytos trejų metų trukmės draudimas būti renkamam, neviršijo to, kas būtina jų teisėtam tikslui pasiekti.</w:t>
      </w:r>
      <w:r w:rsidRPr="00E8511F">
        <w:t xml:space="preserve"> </w:t>
      </w:r>
      <w:r w:rsidRPr="00E8511F">
        <w:rPr>
          <w:rFonts w:cs="Calibri"/>
        </w:rPr>
        <w:t xml:space="preserve">Vis dėlto ESTT atkreipė dėmesį, jog </w:t>
      </w:r>
      <w:r w:rsidRPr="00E8511F">
        <w:rPr>
          <w:rFonts w:cs="Calibri"/>
          <w:u w:val="single"/>
        </w:rPr>
        <w:t>aplinkybė, kad visiškai negalima pakeisti šio draudimo trukmės, neleidžia atmesti, kad tam tikrais išimtiniais atvejais ši sankcija galėtų būti neproporcinga pažeidimui, už kurį ji skiriama</w:t>
      </w:r>
      <w:r w:rsidRPr="00E8511F">
        <w:rPr>
          <w:rFonts w:cs="Calibri"/>
        </w:rPr>
        <w:t xml:space="preserve">. Taip galėtų būti išimtiniu atveju, kai, atsižvelgiant į siekiamą tikslą, nustatytas pažeidimas nebūtų sunkus, o sankcijos poveikis atitinkamo asmens asmeninei, profesinei ir ekonominei padėčiai būtų ypač didelis. Todėl atsižvelgdamas į visas reikšmingas aplinkybes, </w:t>
      </w:r>
      <w:r w:rsidRPr="00E8511F">
        <w:rPr>
          <w:rFonts w:cs="Calibri"/>
          <w:u w:val="single"/>
        </w:rPr>
        <w:t>nacionalinis teismas turi patikrinti, ar sankcijos griežtumas atitinka nustatyto interesų konflikto pavojingumą, atsižvelgiant į nacionaliniu įstatymu siekiamą tikslą</w:t>
      </w:r>
      <w:r w:rsidRPr="00E8511F">
        <w:rPr>
          <w:rFonts w:cs="Calibri"/>
        </w:rPr>
        <w:t>; nacionalinis</w:t>
      </w:r>
      <w:r w:rsidRPr="00E8511F">
        <w:t xml:space="preserve"> </w:t>
      </w:r>
      <w:r w:rsidRPr="00E8511F">
        <w:rPr>
          <w:rFonts w:cs="Calibri"/>
        </w:rPr>
        <w:t>teismas šias teisės nuostatas turėtų aiškinti taip, kad, laikantis Sprendimo 2006/928, būtų galima skirti proporcingą, tačiau veiksmingą ir atgrasomąją sankciją.</w:t>
      </w:r>
    </w:p>
    <w:p w14:paraId="30288EDA" w14:textId="77777777" w:rsidR="00C80AE5" w:rsidRPr="00E8511F" w:rsidRDefault="00C80AE5" w:rsidP="00C80AE5">
      <w:pPr>
        <w:ind w:firstLine="567"/>
        <w:rPr>
          <w:rFonts w:cs="Calibri"/>
        </w:rPr>
      </w:pPr>
      <w:r w:rsidRPr="00E8511F">
        <w:rPr>
          <w:rFonts w:cs="Calibri"/>
        </w:rPr>
        <w:t xml:space="preserve">Pasisakydamas dėl Chartijos 15 ir 47 straipsniuose įtvirtintų teisės į darbą, taip pat teisės į veiksmingą teisinę gynybą ir teisingą bylos nagrinėjimą, Teisingumo Teismas pažymėjo, jog </w:t>
      </w:r>
      <w:r w:rsidRPr="00E8511F">
        <w:rPr>
          <w:rFonts w:cs="Calibri"/>
          <w:u w:val="single"/>
        </w:rPr>
        <w:t>teisė naudotis nustatytą laiką rinkėjų mandatu, gautu per demokratinį rinkimų procesą, t. y. teisė eiti renkamas viešąsias pareigas, be kita ko, mero pareigas, nepatenka į Chartijos 15 straipsnio 1 dalies taikymo sritį</w:t>
      </w:r>
      <w:r w:rsidRPr="00E8511F">
        <w:rPr>
          <w:rFonts w:cs="Calibri"/>
        </w:rPr>
        <w:t>; o Chartijos 47 straipsnis nedraudžia nacionalinių teisės nuostatų, pagal kurias asmeniui, pripažintam sukėlusiu interesų konfliktą einant renkamas viešąsias pareigas, uždraudžiama iš anksto nustatytą trejų metų laikotarpį eiti bet kokias tokio pobūdžio pareigas, jeigu šis asmuo turėjo realią galimybę ginčyti ataskaitos, kurioje jis pripažintas sukėlusiu tokį konfliktą, ir ja remiantis skirtos sankcijos teisėtumą, įskaitant jos proporcingumą.</w:t>
      </w:r>
    </w:p>
    <w:p w14:paraId="1EFD108C" w14:textId="77777777" w:rsidR="00C80AE5" w:rsidRPr="00E8511F" w:rsidRDefault="00000000" w:rsidP="00C80AE5">
      <w:pPr>
        <w:ind w:firstLine="567"/>
        <w:jc w:val="left"/>
        <w:rPr>
          <w:rFonts w:cs="Calibri"/>
          <w:b/>
          <w:bCs/>
        </w:rPr>
      </w:pPr>
      <w:hyperlink r:id="rId26" w:history="1">
        <w:r w:rsidR="00C80AE5" w:rsidRPr="00E8511F">
          <w:rPr>
            <w:rFonts w:cs="Calibri"/>
            <w:color w:val="0563C1"/>
            <w:u w:val="single"/>
          </w:rPr>
          <w:t>Prieiga internete</w:t>
        </w:r>
      </w:hyperlink>
    </w:p>
    <w:p w14:paraId="6D708C0B" w14:textId="77777777" w:rsidR="00C80AE5" w:rsidRPr="00E8511F" w:rsidRDefault="00C80AE5" w:rsidP="00C80AE5">
      <w:pPr>
        <w:rPr>
          <w:rFonts w:cs="Calibri"/>
          <w:b/>
          <w:bCs/>
          <w:caps/>
        </w:rPr>
      </w:pPr>
    </w:p>
    <w:p w14:paraId="11B98340" w14:textId="77777777" w:rsidR="00C80AE5" w:rsidRPr="006A3B77" w:rsidRDefault="00C80AE5" w:rsidP="00C80AE5"/>
    <w:bookmarkEnd w:id="1"/>
    <w:bookmarkEnd w:id="2"/>
    <w:bookmarkEnd w:id="3"/>
    <w:bookmarkEnd w:id="4"/>
    <w:bookmarkEnd w:id="5"/>
    <w:bookmarkEnd w:id="6"/>
    <w:bookmarkEnd w:id="9"/>
    <w:p w14:paraId="4B7ACC77" w14:textId="77777777" w:rsidR="00ED503D" w:rsidRDefault="00ED503D" w:rsidP="00FC0CBA">
      <w:pPr>
        <w:tabs>
          <w:tab w:val="left" w:pos="6379"/>
        </w:tabs>
        <w:rPr>
          <w:rFonts w:asciiTheme="minorHAnsi" w:hAnsiTheme="minorHAnsi" w:cstheme="minorHAnsi"/>
        </w:rPr>
      </w:pPr>
    </w:p>
    <w:sectPr w:rsidR="00ED503D" w:rsidSect="001E4308">
      <w:headerReference w:type="default" r:id="rId27"/>
      <w:footerReference w:type="default" r:id="rId28"/>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19638" w14:textId="77777777" w:rsidR="001E4308" w:rsidRDefault="001E4308" w:rsidP="009A1625">
      <w:r>
        <w:separator/>
      </w:r>
    </w:p>
  </w:endnote>
  <w:endnote w:type="continuationSeparator" w:id="0">
    <w:p w14:paraId="74C76E10" w14:textId="77777777" w:rsidR="001E4308" w:rsidRDefault="001E4308" w:rsidP="009A1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0"/>
        <w:szCs w:val="20"/>
      </w:rPr>
      <w:id w:val="-951236842"/>
      <w:docPartObj>
        <w:docPartGallery w:val="Page Numbers (Bottom of Page)"/>
        <w:docPartUnique/>
      </w:docPartObj>
    </w:sdtPr>
    <w:sdtContent>
      <w:sdt>
        <w:sdtPr>
          <w:rPr>
            <w:rFonts w:asciiTheme="minorHAnsi" w:hAnsiTheme="minorHAnsi"/>
            <w:sz w:val="20"/>
            <w:szCs w:val="20"/>
          </w:rPr>
          <w:id w:val="1588040077"/>
          <w:docPartObj>
            <w:docPartGallery w:val="Page Numbers (Top of Page)"/>
            <w:docPartUnique/>
          </w:docPartObj>
        </w:sdtPr>
        <w:sdtContent>
          <w:p w14:paraId="24E7F018" w14:textId="77777777" w:rsidR="00DC1CF2" w:rsidRPr="0078181C" w:rsidRDefault="00DC1CF2"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21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70F29A63" w14:textId="77777777" w:rsidR="00DC1CF2" w:rsidRDefault="00DC1CF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571D5" w14:textId="77777777" w:rsidR="001E4308" w:rsidRDefault="001E4308" w:rsidP="009A1625">
      <w:r>
        <w:separator/>
      </w:r>
    </w:p>
  </w:footnote>
  <w:footnote w:type="continuationSeparator" w:id="0">
    <w:p w14:paraId="247D01A0" w14:textId="77777777" w:rsidR="001E4308" w:rsidRDefault="001E4308" w:rsidP="009A1625">
      <w:r>
        <w:continuationSeparator/>
      </w:r>
    </w:p>
  </w:footnote>
  <w:footnote w:id="1">
    <w:p w14:paraId="3184C9EB" w14:textId="77777777" w:rsidR="00431AFC" w:rsidRPr="00A65662" w:rsidRDefault="00431AFC" w:rsidP="00431AFC">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w:t>
      </w:r>
      <w:r w:rsidRPr="00A65662">
        <w:rPr>
          <w:rFonts w:asciiTheme="minorHAnsi" w:hAnsiTheme="minorHAnsi" w:cstheme="minorHAnsi"/>
          <w:iCs/>
        </w:rPr>
        <w:t>2000 m. lapkričio 27 d. Tarybos direktyva 2000/78/EB, nustatanti vienodo požiūrio užimtumo ir profesinėje srityje bendruosius pagrindus.</w:t>
      </w:r>
    </w:p>
  </w:footnote>
  <w:footnote w:id="2">
    <w:p w14:paraId="2DEC449C" w14:textId="77777777" w:rsidR="005D34B8" w:rsidRPr="00A65662" w:rsidRDefault="005D34B8" w:rsidP="005D34B8">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 (OL L 337, 2011, p. 9).</w:t>
      </w:r>
    </w:p>
  </w:footnote>
  <w:footnote w:id="3">
    <w:p w14:paraId="5C10D57C" w14:textId="77777777" w:rsidR="005D34B8" w:rsidRPr="00A65662" w:rsidRDefault="005D34B8" w:rsidP="005D34B8">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w:t>
      </w:r>
      <w:r w:rsidRPr="00A65662">
        <w:rPr>
          <w:rFonts w:asciiTheme="minorHAnsi" w:hAnsiTheme="minorHAnsi" w:cstheme="minorHAnsi"/>
          <w:color w:val="333333"/>
          <w:shd w:val="clear" w:color="auto" w:fill="FFFFFF"/>
        </w:rPr>
        <w:t>2008 m. gruodžio 16 d. Europos Parlamento ir Tarybos direktyva 2008/115/EB dėl bendrų nelegaliai esančių trečiųjų šalių piliečių grąžinimo standartų ir tvarkos valstybėse narėse</w:t>
      </w:r>
    </w:p>
  </w:footnote>
  <w:footnote w:id="4">
    <w:p w14:paraId="08A46451" w14:textId="6808480D" w:rsidR="007F29E2" w:rsidRPr="00A65662" w:rsidRDefault="007F29E2" w:rsidP="007F29E2">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2006 m. lapkričio 28 d. </w:t>
      </w:r>
      <w:r w:rsidRPr="00A65662">
        <w:rPr>
          <w:rFonts w:asciiTheme="minorHAnsi" w:hAnsiTheme="minorHAnsi" w:cstheme="minorHAnsi"/>
        </w:rPr>
        <w:t>Tarybos direktyva2006/112/EB dėl pridėtinės vertės mokesčio bendros sistemos</w:t>
      </w:r>
      <w:r w:rsidR="00E040A7">
        <w:rPr>
          <w:rFonts w:asciiTheme="minorHAnsi" w:hAnsiTheme="minorHAnsi" w:cstheme="minorHAnsi"/>
        </w:rPr>
        <w:t>.</w:t>
      </w:r>
    </w:p>
  </w:footnote>
  <w:footnote w:id="5">
    <w:p w14:paraId="25A92C06" w14:textId="1FF9DD00" w:rsidR="007F29E2" w:rsidRPr="00A65662" w:rsidRDefault="007F29E2" w:rsidP="007F29E2">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Pagal PVM direktyvos 12 straipsnio 1 dalies a punktą valstybės narės apmokestinamuoju asmeniu gali laikyti bet kurį asmenį, kuris retkarčiais vykdo pastato ar pastato dalių ir žemės, ant kurios jis pastatytas, tiekimą iki pirmo pastato panaudojimo. Šios direktyvos 135 straipsnio 1 dalies j punkte numatytas PVM neapmokestinimas taikomas pastatų tiekimui, išskyrus 12 straipsnio 1 dalies a punkte nurodytą tiekimą, t. y. išskyrus pastatų tiekimą, kuris buvo atliktas iki „pirmo pastato panaudojimo“.</w:t>
      </w:r>
    </w:p>
  </w:footnote>
  <w:footnote w:id="6">
    <w:p w14:paraId="660A9629" w14:textId="77777777" w:rsidR="007F29E2" w:rsidRPr="00A65662" w:rsidRDefault="007F29E2" w:rsidP="007F29E2">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Teisingumo Teismas apibrėžė sąvoką „pastatų pertvarkymas“ ir nusprendė, kad atitinkamas pastatas turi būti iš esmės pakeistas, siekiant pakeisti jo naudojimą arba iš esmės pakeisti jo naudojimo sąlygas.</w:t>
      </w:r>
    </w:p>
  </w:footnote>
  <w:footnote w:id="7">
    <w:p w14:paraId="3F2F86D9" w14:textId="20C113A9" w:rsidR="007F29E2" w:rsidRPr="00A65662" w:rsidRDefault="007F29E2" w:rsidP="007F29E2">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2006 m. lapkričio 28 d. </w:t>
      </w:r>
      <w:r w:rsidRPr="00A65662">
        <w:rPr>
          <w:rFonts w:asciiTheme="minorHAnsi" w:hAnsiTheme="minorHAnsi" w:cstheme="minorHAnsi"/>
        </w:rPr>
        <w:t>Tarybos direktyva2006/112/EB dėl pridėtinės vertės mokesčio bendros sistemos</w:t>
      </w:r>
      <w:r w:rsidR="00E040A7">
        <w:rPr>
          <w:rFonts w:asciiTheme="minorHAnsi" w:hAnsiTheme="minorHAnsi" w:cstheme="minorHAnsi"/>
        </w:rPr>
        <w:t>.</w:t>
      </w:r>
    </w:p>
  </w:footnote>
  <w:footnote w:id="8">
    <w:p w14:paraId="07BFD6A6" w14:textId="1B6C998C" w:rsidR="007F29E2" w:rsidRPr="00A65662" w:rsidRDefault="007F29E2" w:rsidP="007F29E2">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PVM direktyvos 185 straipsnio 1 dalyje įtvirtinta taisyklė, pagal kurią PVM atskaitos tikslinimas turi būti atliekamas, be kita ko, kai pateikus PVM deklaraciją pasikeičia veiksniai, kuriais remiantis buvo apskaičiuota atskaitytina suma.</w:t>
      </w:r>
    </w:p>
  </w:footnote>
  <w:footnote w:id="9">
    <w:p w14:paraId="35E18700" w14:textId="77777777" w:rsidR="00703818" w:rsidRPr="00A65662" w:rsidRDefault="00703818" w:rsidP="00703818">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1992 m. spalio 12 d. Tarybos reglamento (EEB) Nr. 2913/92, nustatančio Bendrijos muitinės kodeksą</w:t>
      </w:r>
    </w:p>
  </w:footnote>
  <w:footnote w:id="10">
    <w:p w14:paraId="2804CB4A" w14:textId="77777777" w:rsidR="00703818" w:rsidRPr="00A65662" w:rsidRDefault="00703818" w:rsidP="00703818">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Šio sprendimo apžvalga parengta sprendimo teksto ir ESTT santraukos pagrindu.</w:t>
      </w:r>
    </w:p>
  </w:footnote>
  <w:footnote w:id="11">
    <w:p w14:paraId="2BABE727" w14:textId="77777777" w:rsidR="006A2BA3" w:rsidRPr="006A2BA3" w:rsidRDefault="006A2BA3" w:rsidP="006A2BA3">
      <w:pPr>
        <w:pStyle w:val="Puslapioinaostekstas"/>
        <w:rPr>
          <w:rFonts w:cs="Calibri"/>
        </w:rPr>
      </w:pPr>
      <w:r w:rsidRPr="006A2BA3">
        <w:rPr>
          <w:rStyle w:val="Puslapioinaosnuoroda"/>
          <w:rFonts w:cs="Calibri"/>
        </w:rPr>
        <w:footnoteRef/>
      </w:r>
      <w:r w:rsidRPr="006A2BA3">
        <w:rPr>
          <w:rFonts w:cs="Calibri"/>
        </w:rPr>
        <w:t xml:space="preserve"> 2012 m. liepos 4 d. Europos Parlamento ir Tarybos reglamentas (ES) Nr. 650/2012 dėl jurisdikcijos, taikytinos teisės, teismo sprendimų paveldėjimo klausimais pripažinimo ir vykdymo bei autentiškų dokumentų paveldėjimo klausimais priėmimo ir vykdymo bei dėl Europos paveldėjimo pažymėjimo sukūrimo (OL L 201, 2012, p. 107).</w:t>
      </w:r>
    </w:p>
  </w:footnote>
  <w:footnote w:id="12">
    <w:p w14:paraId="58521EFE" w14:textId="1A67FD19" w:rsidR="009976CB" w:rsidRPr="001E2639" w:rsidRDefault="009976CB" w:rsidP="009976CB">
      <w:pPr>
        <w:pStyle w:val="Puslapioinaostekstas"/>
      </w:pPr>
      <w:r w:rsidRPr="001E2639">
        <w:rPr>
          <w:rStyle w:val="Puslapioinaosnuoroda"/>
        </w:rPr>
        <w:footnoteRef/>
      </w:r>
      <w:r w:rsidRPr="001E2639">
        <w:t xml:space="preserve"> 2016 m. balandžio 27 d. Europos Parlamento ir Tarybos reglament</w:t>
      </w:r>
      <w:r w:rsidR="00117B8E">
        <w:t>as</w:t>
      </w:r>
      <w:r w:rsidRPr="001E2639">
        <w:t xml:space="preserve"> (ES) 2016/679 dėl fizinių asmenų apsaugos tvarkant asmens duomenis ir dėl laisvo tokių duomenų judėjimo ir kuriuo panaikinama Direktyva 95/46/EB (Bendrasis duomenų apsaugos reglamentas) (OL L 119, 2016, p. 1, klaidų ištaisymai OL L 127, 2018, p. 2 ir OL L 74, 2021, p. 35).</w:t>
      </w:r>
    </w:p>
  </w:footnote>
  <w:footnote w:id="13">
    <w:p w14:paraId="500C8B7D" w14:textId="77777777" w:rsidR="009976CB" w:rsidRPr="00A65662" w:rsidRDefault="009976CB" w:rsidP="009976CB">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1998 m. vasario 16 d. Europos Parlamento ir Tarybos direktyva 98/6/EB dėl vartotojų apsaugos žymint vartotojams siūlomų prekių kainas.</w:t>
      </w:r>
    </w:p>
  </w:footnote>
  <w:footnote w:id="14">
    <w:p w14:paraId="0C502C28" w14:textId="77777777" w:rsidR="009976CB" w:rsidRPr="00A65662" w:rsidRDefault="009976CB" w:rsidP="009976CB">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w:t>
      </w:r>
      <w:r w:rsidRPr="00A65662">
        <w:rPr>
          <w:rFonts w:asciiTheme="minorHAnsi" w:hAnsiTheme="minorHAnsi" w:cstheme="minorHAnsi"/>
          <w:iCs/>
          <w:shd w:val="clear" w:color="auto" w:fill="FFFFFF"/>
        </w:rPr>
        <w:t>1993 m. balandžio 5 d. Tarybos direktyva 93/13/EEB dėl nesąžiningų sąlygų sutartyse su vartotojais, iš dalies pakeista 2011 m. spalio 25 d. Europos Parlamento ir Tarybos direktyva 2011/83/ES.</w:t>
      </w:r>
    </w:p>
  </w:footnote>
  <w:footnote w:id="15">
    <w:p w14:paraId="46DAFC16" w14:textId="77777777" w:rsidR="000D10D8" w:rsidRPr="00A65662" w:rsidRDefault="000D10D8" w:rsidP="000D10D8">
      <w:pPr>
        <w:pStyle w:val="Betarp"/>
        <w:jc w:val="both"/>
        <w:rPr>
          <w:rFonts w:asciiTheme="minorHAnsi" w:hAnsiTheme="minorHAnsi" w:cstheme="minorHAnsi"/>
          <w:bCs/>
          <w:sz w:val="20"/>
          <w:szCs w:val="20"/>
          <w:lang w:val="lt-LT"/>
        </w:rPr>
      </w:pPr>
      <w:r w:rsidRPr="00A65662">
        <w:rPr>
          <w:rStyle w:val="Puslapioinaosnuoroda"/>
          <w:rFonts w:asciiTheme="minorHAnsi" w:hAnsiTheme="minorHAnsi" w:cstheme="minorHAnsi"/>
          <w:sz w:val="20"/>
          <w:szCs w:val="20"/>
          <w:lang w:val="lt-LT"/>
        </w:rPr>
        <w:footnoteRef/>
      </w:r>
      <w:r w:rsidRPr="00A65662">
        <w:rPr>
          <w:rFonts w:asciiTheme="minorHAnsi" w:hAnsiTheme="minorHAnsi" w:cstheme="minorHAnsi"/>
          <w:sz w:val="20"/>
          <w:szCs w:val="20"/>
          <w:lang w:val="lt-LT"/>
        </w:rPr>
        <w:t xml:space="preserve"> </w:t>
      </w:r>
      <w:r w:rsidRPr="00A65662">
        <w:rPr>
          <w:rFonts w:asciiTheme="minorHAnsi" w:hAnsiTheme="minorHAnsi" w:cstheme="minorHAnsi"/>
          <w:bCs/>
          <w:sz w:val="20"/>
          <w:szCs w:val="20"/>
          <w:lang w:val="lt-LT"/>
        </w:rPr>
        <w:t>2000 m. liepos 28 d. Komisijos reglamentas (EB) Nr. 1685/2000, nustatantis išsamias Tarybos reglamento (EB) Nr. 1260/1999 įgyvendinimo taisykles dėl struktūrinių fondų bendrai finansuojamos veiklos išlaidų tinkamumo</w:t>
      </w:r>
    </w:p>
  </w:footnote>
  <w:footnote w:id="16">
    <w:p w14:paraId="5A05AC6F" w14:textId="77777777" w:rsidR="000D10D8" w:rsidRPr="00A65662" w:rsidRDefault="000D10D8" w:rsidP="000D10D8">
      <w:pPr>
        <w:pStyle w:val="Betarp"/>
        <w:jc w:val="both"/>
        <w:rPr>
          <w:rFonts w:asciiTheme="minorHAnsi" w:hAnsiTheme="minorHAnsi" w:cstheme="minorHAnsi"/>
          <w:sz w:val="20"/>
          <w:szCs w:val="20"/>
          <w:lang w:val="lt-LT"/>
        </w:rPr>
      </w:pPr>
      <w:r w:rsidRPr="00A65662">
        <w:rPr>
          <w:rStyle w:val="Puslapioinaosnuoroda"/>
          <w:rFonts w:asciiTheme="minorHAnsi" w:hAnsiTheme="minorHAnsi" w:cstheme="minorHAnsi"/>
          <w:sz w:val="20"/>
          <w:szCs w:val="20"/>
          <w:lang w:val="lt-LT"/>
        </w:rPr>
        <w:footnoteRef/>
      </w:r>
      <w:r w:rsidRPr="00A65662">
        <w:rPr>
          <w:rFonts w:asciiTheme="minorHAnsi" w:hAnsiTheme="minorHAnsi" w:cstheme="minorHAnsi"/>
          <w:sz w:val="20"/>
          <w:szCs w:val="20"/>
          <w:lang w:val="lt-LT"/>
        </w:rPr>
        <w:t xml:space="preserve"> 1999 m. birželio 21 d. Tarybos reglamentas (EB) Nr. 1260/1999, nustatantis bendrąsias nuostatas dėl struktūrinių fondų</w:t>
      </w:r>
    </w:p>
  </w:footnote>
  <w:footnote w:id="17">
    <w:p w14:paraId="28E4EFD6" w14:textId="77777777" w:rsidR="00E22B2B" w:rsidRPr="00A65662" w:rsidRDefault="00E22B2B" w:rsidP="00E22B2B">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Šio sprendimo apžvalga parengta sprendimo teksto ir ESTT sprendimo santraukos pagrindu.</w:t>
      </w:r>
    </w:p>
  </w:footnote>
  <w:footnote w:id="18">
    <w:p w14:paraId="34D26EAB" w14:textId="77777777" w:rsidR="0073229D" w:rsidRPr="00006BB8" w:rsidRDefault="0073229D" w:rsidP="0073229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Pr>
          <w:rFonts w:asciiTheme="minorHAnsi" w:hAnsiTheme="minorHAnsi" w:cstheme="minorHAnsi"/>
        </w:rPr>
        <w:t xml:space="preserve"> </w:t>
      </w:r>
      <w:r w:rsidRPr="00AE321D">
        <w:rPr>
          <w:rFonts w:asciiTheme="minorHAnsi" w:hAnsiTheme="minorHAnsi" w:cstheme="minorHAnsi"/>
        </w:rPr>
        <w:t>2018</w:t>
      </w:r>
      <w:r>
        <w:rPr>
          <w:rFonts w:asciiTheme="minorHAnsi" w:hAnsiTheme="minorHAnsi" w:cstheme="minorHAnsi"/>
        </w:rPr>
        <w:t xml:space="preserve"> </w:t>
      </w:r>
      <w:r w:rsidRPr="00AE321D">
        <w:rPr>
          <w:rFonts w:asciiTheme="minorHAnsi" w:hAnsiTheme="minorHAnsi" w:cstheme="minorHAnsi"/>
        </w:rPr>
        <w:t>m.</w:t>
      </w:r>
      <w:r>
        <w:rPr>
          <w:rFonts w:asciiTheme="minorHAnsi" w:hAnsiTheme="minorHAnsi" w:cstheme="minorHAnsi"/>
        </w:rPr>
        <w:t xml:space="preserve"> </w:t>
      </w:r>
      <w:r w:rsidRPr="00AE321D">
        <w:rPr>
          <w:rFonts w:asciiTheme="minorHAnsi" w:hAnsiTheme="minorHAnsi" w:cstheme="minorHAnsi"/>
        </w:rPr>
        <w:t>gruodžio</w:t>
      </w:r>
      <w:r>
        <w:rPr>
          <w:rFonts w:asciiTheme="minorHAnsi" w:hAnsiTheme="minorHAnsi" w:cstheme="minorHAnsi"/>
        </w:rPr>
        <w:t xml:space="preserve"> </w:t>
      </w:r>
      <w:r w:rsidRPr="00AE321D">
        <w:rPr>
          <w:rFonts w:asciiTheme="minorHAnsi" w:hAnsiTheme="minorHAnsi" w:cstheme="minorHAnsi"/>
        </w:rPr>
        <w:t>11</w:t>
      </w:r>
      <w:r>
        <w:rPr>
          <w:rFonts w:asciiTheme="minorHAnsi" w:hAnsiTheme="minorHAnsi" w:cstheme="minorHAnsi"/>
        </w:rPr>
        <w:t xml:space="preserve"> </w:t>
      </w:r>
      <w:r w:rsidRPr="00AE321D">
        <w:rPr>
          <w:rFonts w:asciiTheme="minorHAnsi" w:hAnsiTheme="minorHAnsi" w:cstheme="minorHAnsi"/>
        </w:rPr>
        <w:t>d.</w:t>
      </w:r>
      <w:r>
        <w:rPr>
          <w:rFonts w:asciiTheme="minorHAnsi" w:hAnsiTheme="minorHAnsi" w:cstheme="minorHAnsi"/>
        </w:rPr>
        <w:t xml:space="preserve"> </w:t>
      </w:r>
      <w:r w:rsidRPr="00AE321D">
        <w:rPr>
          <w:rFonts w:asciiTheme="minorHAnsi" w:hAnsiTheme="minorHAnsi" w:cstheme="minorHAnsi"/>
        </w:rPr>
        <w:t>Europos</w:t>
      </w:r>
      <w:r>
        <w:rPr>
          <w:rFonts w:asciiTheme="minorHAnsi" w:hAnsiTheme="minorHAnsi" w:cstheme="minorHAnsi"/>
        </w:rPr>
        <w:t xml:space="preserve"> </w:t>
      </w:r>
      <w:r w:rsidRPr="00AE321D">
        <w:rPr>
          <w:rFonts w:asciiTheme="minorHAnsi" w:hAnsiTheme="minorHAnsi" w:cstheme="minorHAnsi"/>
        </w:rPr>
        <w:t>Parlamento</w:t>
      </w:r>
      <w:r>
        <w:rPr>
          <w:rFonts w:asciiTheme="minorHAnsi" w:hAnsiTheme="minorHAnsi" w:cstheme="minorHAnsi"/>
        </w:rPr>
        <w:t xml:space="preserve"> </w:t>
      </w:r>
      <w:r w:rsidRPr="00AE321D">
        <w:rPr>
          <w:rFonts w:asciiTheme="minorHAnsi" w:hAnsiTheme="minorHAnsi" w:cstheme="minorHAnsi"/>
        </w:rPr>
        <w:t>ir</w:t>
      </w:r>
      <w:r>
        <w:rPr>
          <w:rFonts w:asciiTheme="minorHAnsi" w:hAnsiTheme="minorHAnsi" w:cstheme="minorHAnsi"/>
        </w:rPr>
        <w:t xml:space="preserve"> </w:t>
      </w:r>
      <w:r w:rsidRPr="00AE321D">
        <w:rPr>
          <w:rFonts w:asciiTheme="minorHAnsi" w:hAnsiTheme="minorHAnsi" w:cstheme="minorHAnsi"/>
        </w:rPr>
        <w:t>Tarybos</w:t>
      </w:r>
      <w:r>
        <w:rPr>
          <w:rFonts w:asciiTheme="minorHAnsi" w:hAnsiTheme="minorHAnsi" w:cstheme="minorHAnsi"/>
        </w:rPr>
        <w:t xml:space="preserve"> </w:t>
      </w:r>
      <w:r w:rsidRPr="00AE321D">
        <w:rPr>
          <w:rFonts w:asciiTheme="minorHAnsi" w:hAnsiTheme="minorHAnsi" w:cstheme="minorHAnsi"/>
        </w:rPr>
        <w:t>direktyv</w:t>
      </w:r>
      <w:r>
        <w:rPr>
          <w:rFonts w:asciiTheme="minorHAnsi" w:hAnsiTheme="minorHAnsi" w:cstheme="minorHAnsi"/>
        </w:rPr>
        <w:t xml:space="preserve">a </w:t>
      </w:r>
      <w:r w:rsidRPr="00AE321D">
        <w:rPr>
          <w:rFonts w:asciiTheme="minorHAnsi" w:hAnsiTheme="minorHAnsi" w:cstheme="minorHAnsi"/>
        </w:rPr>
        <w:t>(ES)</w:t>
      </w:r>
      <w:r>
        <w:rPr>
          <w:rFonts w:asciiTheme="minorHAnsi" w:hAnsiTheme="minorHAnsi" w:cstheme="minorHAnsi"/>
        </w:rPr>
        <w:t xml:space="preserve"> </w:t>
      </w:r>
      <w:r w:rsidRPr="00AE321D">
        <w:rPr>
          <w:rFonts w:asciiTheme="minorHAnsi" w:hAnsiTheme="minorHAnsi" w:cstheme="minorHAnsi"/>
        </w:rPr>
        <w:t>2018/1972,</w:t>
      </w:r>
      <w:r>
        <w:rPr>
          <w:rFonts w:asciiTheme="minorHAnsi" w:hAnsiTheme="minorHAnsi" w:cstheme="minorHAnsi"/>
        </w:rPr>
        <w:t xml:space="preserve"> </w:t>
      </w:r>
      <w:r w:rsidRPr="00AE321D">
        <w:rPr>
          <w:rFonts w:asciiTheme="minorHAnsi" w:hAnsiTheme="minorHAnsi" w:cstheme="minorHAnsi"/>
        </w:rPr>
        <w:t>kuria</w:t>
      </w:r>
      <w:r>
        <w:rPr>
          <w:rFonts w:asciiTheme="minorHAnsi" w:hAnsiTheme="minorHAnsi" w:cstheme="minorHAnsi"/>
        </w:rPr>
        <w:t xml:space="preserve"> </w:t>
      </w:r>
      <w:r w:rsidRPr="00AE321D">
        <w:rPr>
          <w:rFonts w:asciiTheme="minorHAnsi" w:hAnsiTheme="minorHAnsi" w:cstheme="minorHAnsi"/>
        </w:rPr>
        <w:t>nustatomas</w:t>
      </w:r>
      <w:r>
        <w:rPr>
          <w:rFonts w:asciiTheme="minorHAnsi" w:hAnsiTheme="minorHAnsi" w:cstheme="minorHAnsi"/>
        </w:rPr>
        <w:t xml:space="preserve"> </w:t>
      </w:r>
      <w:r w:rsidRPr="00AE321D">
        <w:rPr>
          <w:rFonts w:asciiTheme="minorHAnsi" w:hAnsiTheme="minorHAnsi" w:cstheme="minorHAnsi"/>
        </w:rPr>
        <w:t>Europos</w:t>
      </w:r>
      <w:r>
        <w:rPr>
          <w:rFonts w:asciiTheme="minorHAnsi" w:hAnsiTheme="minorHAnsi" w:cstheme="minorHAnsi"/>
        </w:rPr>
        <w:t xml:space="preserve"> </w:t>
      </w:r>
      <w:r w:rsidRPr="00AE321D">
        <w:rPr>
          <w:rFonts w:asciiTheme="minorHAnsi" w:hAnsiTheme="minorHAnsi" w:cstheme="minorHAnsi"/>
        </w:rPr>
        <w:t>elektroninių</w:t>
      </w:r>
      <w:r>
        <w:rPr>
          <w:rFonts w:asciiTheme="minorHAnsi" w:hAnsiTheme="minorHAnsi" w:cstheme="minorHAnsi"/>
        </w:rPr>
        <w:t xml:space="preserve"> </w:t>
      </w:r>
      <w:r w:rsidRPr="00AE321D">
        <w:rPr>
          <w:rFonts w:asciiTheme="minorHAnsi" w:hAnsiTheme="minorHAnsi" w:cstheme="minorHAnsi"/>
        </w:rPr>
        <w:t>ryšių</w:t>
      </w:r>
      <w:r>
        <w:rPr>
          <w:rFonts w:asciiTheme="minorHAnsi" w:hAnsiTheme="minorHAnsi" w:cstheme="minorHAnsi"/>
        </w:rPr>
        <w:t xml:space="preserve"> </w:t>
      </w:r>
      <w:r w:rsidRPr="00AE321D">
        <w:rPr>
          <w:rFonts w:asciiTheme="minorHAnsi" w:hAnsiTheme="minorHAnsi" w:cstheme="minorHAnsi"/>
        </w:rPr>
        <w:t>kodeksas</w:t>
      </w:r>
      <w:r>
        <w:rPr>
          <w:rFonts w:asciiTheme="minorHAnsi" w:hAnsiTheme="minorHAnsi" w:cstheme="minorHAnsi"/>
        </w:rPr>
        <w:t xml:space="preserve"> </w:t>
      </w:r>
      <w:r w:rsidRPr="00AE321D">
        <w:rPr>
          <w:rFonts w:asciiTheme="minorHAnsi" w:hAnsiTheme="minorHAnsi" w:cstheme="minorHAnsi"/>
        </w:rPr>
        <w:t>(OL</w:t>
      </w:r>
      <w:r>
        <w:rPr>
          <w:rFonts w:asciiTheme="minorHAnsi" w:hAnsiTheme="minorHAnsi" w:cstheme="minorHAnsi"/>
        </w:rPr>
        <w:t xml:space="preserve"> </w:t>
      </w:r>
      <w:r w:rsidRPr="00AE321D">
        <w:rPr>
          <w:rFonts w:asciiTheme="minorHAnsi" w:hAnsiTheme="minorHAnsi" w:cstheme="minorHAnsi"/>
        </w:rPr>
        <w:t>L</w:t>
      </w:r>
      <w:r>
        <w:rPr>
          <w:rFonts w:asciiTheme="minorHAnsi" w:hAnsiTheme="minorHAnsi" w:cstheme="minorHAnsi"/>
        </w:rPr>
        <w:t xml:space="preserve"> </w:t>
      </w:r>
      <w:r w:rsidRPr="00AE321D">
        <w:rPr>
          <w:rFonts w:asciiTheme="minorHAnsi" w:hAnsiTheme="minorHAnsi" w:cstheme="minorHAnsi"/>
        </w:rPr>
        <w:t>321,</w:t>
      </w:r>
      <w:r>
        <w:rPr>
          <w:rFonts w:asciiTheme="minorHAnsi" w:hAnsiTheme="minorHAnsi" w:cstheme="minorHAnsi"/>
        </w:rPr>
        <w:t xml:space="preserve"> </w:t>
      </w:r>
      <w:r w:rsidRPr="00AE321D">
        <w:rPr>
          <w:rFonts w:asciiTheme="minorHAnsi" w:hAnsiTheme="minorHAnsi" w:cstheme="minorHAnsi"/>
        </w:rPr>
        <w:t>2018,</w:t>
      </w:r>
      <w:r>
        <w:rPr>
          <w:rFonts w:asciiTheme="minorHAnsi" w:hAnsiTheme="minorHAnsi" w:cstheme="minorHAnsi"/>
        </w:rPr>
        <w:t xml:space="preserve"> </w:t>
      </w:r>
      <w:r w:rsidRPr="00AE321D">
        <w:rPr>
          <w:rFonts w:asciiTheme="minorHAnsi" w:hAnsiTheme="minorHAnsi" w:cstheme="minorHAnsi"/>
        </w:rPr>
        <w:t>p.</w:t>
      </w:r>
      <w:r>
        <w:rPr>
          <w:rFonts w:asciiTheme="minorHAnsi" w:hAnsiTheme="minorHAnsi" w:cstheme="minorHAnsi"/>
        </w:rPr>
        <w:t xml:space="preserve"> </w:t>
      </w:r>
      <w:r w:rsidRPr="00AE321D">
        <w:rPr>
          <w:rFonts w:asciiTheme="minorHAnsi" w:hAnsiTheme="minorHAnsi" w:cstheme="minorHAnsi"/>
        </w:rPr>
        <w:t>36)</w:t>
      </w:r>
      <w:r>
        <w:rPr>
          <w:rFonts w:asciiTheme="minorHAnsi" w:hAnsiTheme="minorHAnsi" w:cstheme="minorHAnsi"/>
        </w:rPr>
        <w:t>.</w:t>
      </w:r>
    </w:p>
  </w:footnote>
  <w:footnote w:id="19">
    <w:p w14:paraId="6ABA13E0" w14:textId="77777777" w:rsidR="00C80AE5" w:rsidRPr="00A65662" w:rsidRDefault="00C80AE5" w:rsidP="00C80AE5">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w:t>
      </w:r>
      <w:r w:rsidRPr="00A65662">
        <w:rPr>
          <w:rFonts w:asciiTheme="minorHAnsi" w:hAnsiTheme="minorHAnsi" w:cstheme="minorHAnsi"/>
          <w:iCs/>
          <w:shd w:val="clear" w:color="auto" w:fill="FFFFFF"/>
        </w:rPr>
        <w:t>1988 m. birželio 24 d. Tarybos direktyva 88/361/EEB dėl [EB] Sutarties 67 straipsnio [(straipsnis panaikintas Amsterdamo sutartimi)] įgyvendinimo.</w:t>
      </w:r>
    </w:p>
  </w:footnote>
  <w:footnote w:id="20">
    <w:p w14:paraId="7F995F79" w14:textId="77777777" w:rsidR="00C80AE5" w:rsidRPr="00A65662" w:rsidRDefault="00C80AE5" w:rsidP="00C80AE5">
      <w:pPr>
        <w:pStyle w:val="Puslapioinaostekstas"/>
        <w:rPr>
          <w:rFonts w:asciiTheme="minorHAnsi" w:hAnsiTheme="minorHAnsi" w:cstheme="minorHAnsi"/>
        </w:rPr>
      </w:pPr>
      <w:r w:rsidRPr="00A65662">
        <w:rPr>
          <w:rStyle w:val="Puslapioinaosnuoroda"/>
          <w:rFonts w:asciiTheme="minorHAnsi" w:hAnsiTheme="minorHAnsi" w:cstheme="minorHAnsi"/>
        </w:rPr>
        <w:footnoteRef/>
      </w:r>
      <w:r w:rsidRPr="00A65662">
        <w:rPr>
          <w:rFonts w:asciiTheme="minorHAnsi" w:hAnsiTheme="minorHAnsi" w:cstheme="minorHAnsi"/>
        </w:rPr>
        <w:t xml:space="preserve"> </w:t>
      </w:r>
      <w:r w:rsidRPr="00A65662">
        <w:rPr>
          <w:rFonts w:asciiTheme="minorHAnsi" w:hAnsiTheme="minorHAnsi" w:cstheme="minorHAnsi"/>
          <w:iCs/>
          <w:shd w:val="clear" w:color="auto" w:fill="FFFFFF"/>
        </w:rPr>
        <w:t>2015 m. gegužės 20 d. Europos Parlamento ir Tarybos direktyva (ES) 2015/849 dėl finansų sistemos naudojimo pinigų plovimui ar teroristų finansavimui prevencijos, kuria iš dalies keičiamas Europos Parlamento ir Tarybos reglamentas (ES) Nr. 648/2012 ir panaikinama Europos Parlamento ir Tarybos direktyva 2005/60/EB bei Komisijos direktyva 2006/70/EB.</w:t>
      </w:r>
    </w:p>
  </w:footnote>
  <w:footnote w:id="21">
    <w:p w14:paraId="39F0AE3A" w14:textId="329825E4" w:rsidR="00C80AE5" w:rsidRPr="001E2639" w:rsidRDefault="00C80AE5" w:rsidP="00C80AE5">
      <w:pPr>
        <w:pStyle w:val="Puslapioinaostekstas"/>
      </w:pPr>
      <w:r w:rsidRPr="001E2639">
        <w:rPr>
          <w:rStyle w:val="Puslapioinaosnuoroda"/>
        </w:rPr>
        <w:footnoteRef/>
      </w:r>
      <w:r w:rsidRPr="001E2639">
        <w:t xml:space="preserve"> Europos Centrinio Banko (ECB) interneto svetainėje skelbiamas dokumentas „Eurų banknotų tinkamumo apyvartai automatizuoto tikrinimo banknotų tvarkymo aparatais minimalūs standartai“.</w:t>
      </w:r>
    </w:p>
  </w:footnote>
  <w:footnote w:id="22">
    <w:p w14:paraId="6158B7EB" w14:textId="6666B861" w:rsidR="00C80AE5" w:rsidRPr="001E2639" w:rsidRDefault="00C80AE5" w:rsidP="00C80AE5">
      <w:pPr>
        <w:pStyle w:val="Puslapioinaostekstas"/>
      </w:pPr>
      <w:r w:rsidRPr="001E2639">
        <w:rPr>
          <w:rStyle w:val="Puslapioinaosnuoroda"/>
        </w:rPr>
        <w:footnoteRef/>
      </w:r>
      <w:r w:rsidRPr="001E2639">
        <w:t xml:space="preserve"> 2010 m. rugsėjo 16 d. Europos Centrinio Banko sprendim</w:t>
      </w:r>
      <w:r w:rsidR="006B54D3">
        <w:t>as</w:t>
      </w:r>
      <w:r w:rsidRPr="001E2639">
        <w:t xml:space="preserve"> ECB/2010/14 dėl eurų banknotų autentiškumo ir tinkamumo apyvartai tikrinimo bei pakartotinio išleidimo į apyvartą (OL L 267, 2010, p. 1), iš dalies pakeist</w:t>
      </w:r>
      <w:r w:rsidR="006B54D3">
        <w:t>as</w:t>
      </w:r>
      <w:r w:rsidRPr="001E2639">
        <w:t xml:space="preserve"> 2012</w:t>
      </w:r>
      <w:r w:rsidR="006B54D3">
        <w:t> </w:t>
      </w:r>
      <w:r w:rsidRPr="001E2639">
        <w:t>m. rugsėjo 7 d. Europos Centrinio Banko sprendimu ECB/2012/19 (OL L 253, 2012, p. 19).</w:t>
      </w:r>
    </w:p>
  </w:footnote>
  <w:footnote w:id="23">
    <w:p w14:paraId="23948BD6" w14:textId="77777777" w:rsidR="00C80AE5" w:rsidRPr="001E2639" w:rsidRDefault="00C80AE5" w:rsidP="00C80AE5">
      <w:pPr>
        <w:pStyle w:val="Puslapioinaostekstas"/>
      </w:pPr>
      <w:r w:rsidRPr="001E2639">
        <w:rPr>
          <w:rStyle w:val="Puslapioinaosnuoroda"/>
        </w:rPr>
        <w:footnoteRef/>
      </w:r>
      <w:r w:rsidRPr="001E2639">
        <w:t xml:space="preserve"> 2001 m. birželio 28 d. Tarybos reglamento (EB) Nr. 1338/2001, nustatančio priemones, būtinas euro apsaugai nuo padirbinėjimo (OL L 181, 2001, p. 6; 2004 m. specialusis leidimas lietuvių k., 19 sk., 4 t., p. 152 ir klaidų ištaisymas OL L 121, 2006, p. 56), iš dalies pakeisto 2008 m. gruodžio 18 d. Tarybos reglamentu (EB) Nr. 44/2009 (OL L 17, 2009, p. 1).</w:t>
      </w:r>
    </w:p>
  </w:footnote>
  <w:footnote w:id="24">
    <w:p w14:paraId="14ECEE77" w14:textId="77777777" w:rsidR="00C80AE5" w:rsidRPr="00A65662" w:rsidRDefault="00C80AE5" w:rsidP="00C80AE5">
      <w:pPr>
        <w:pStyle w:val="Betarp"/>
        <w:jc w:val="both"/>
        <w:rPr>
          <w:rFonts w:asciiTheme="minorHAnsi" w:hAnsiTheme="minorHAnsi" w:cstheme="minorHAnsi"/>
          <w:sz w:val="20"/>
          <w:szCs w:val="20"/>
          <w:lang w:val="lt-LT"/>
        </w:rPr>
      </w:pPr>
      <w:r w:rsidRPr="00A65662">
        <w:rPr>
          <w:rStyle w:val="Puslapioinaosnuoroda"/>
          <w:rFonts w:asciiTheme="minorHAnsi" w:hAnsiTheme="minorHAnsi" w:cstheme="minorHAnsi"/>
          <w:sz w:val="20"/>
          <w:szCs w:val="20"/>
          <w:lang w:val="lt-LT"/>
        </w:rPr>
        <w:footnoteRef/>
      </w:r>
      <w:r w:rsidRPr="00A65662">
        <w:rPr>
          <w:rFonts w:asciiTheme="minorHAnsi" w:hAnsiTheme="minorHAnsi" w:cstheme="minorHAnsi"/>
          <w:sz w:val="20"/>
          <w:szCs w:val="20"/>
          <w:lang w:val="lt-LT"/>
        </w:rPr>
        <w:t xml:space="preserve"> 2006 m. gruodžio 13 d. Komisijos sprendimas 2006/928/EB, nustatantis bendradarbiavimo su Rumunija ir jos pažangos siekiant orientacinių tikslų teismų reformos ir kovos su korupcija srityse patikrinimo mechanizmą</w:t>
      </w:r>
    </w:p>
    <w:p w14:paraId="60851841" w14:textId="77777777" w:rsidR="00C80AE5" w:rsidRPr="00A65662" w:rsidRDefault="00C80AE5" w:rsidP="00C80AE5">
      <w:pPr>
        <w:pStyle w:val="Puslapioinaostekstas"/>
        <w:rPr>
          <w:rFonts w:asciiTheme="minorHAnsi" w:hAnsiTheme="minorHAnsi" w:cs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3C0ABB" w:rsidRPr="000967FF" w14:paraId="45660BD7" w14:textId="77777777" w:rsidTr="00736158">
      <w:tc>
        <w:tcPr>
          <w:tcW w:w="7230" w:type="dxa"/>
        </w:tcPr>
        <w:p w14:paraId="43E656F1" w14:textId="77777777" w:rsidR="00DC1CF2" w:rsidRPr="0021377E" w:rsidRDefault="00DC1CF2"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76A224AE" w14:textId="74737CE1" w:rsidR="00DC1CF2" w:rsidRPr="0021377E" w:rsidRDefault="00DC1CF2" w:rsidP="005A7A21">
          <w:pPr>
            <w:rPr>
              <w:color w:val="323E4F" w:themeColor="text2" w:themeShade="BF"/>
              <w:sz w:val="20"/>
              <w:szCs w:val="20"/>
            </w:rPr>
          </w:pPr>
          <w:r>
            <w:rPr>
              <w:color w:val="323E4F" w:themeColor="text2" w:themeShade="BF"/>
              <w:sz w:val="20"/>
              <w:szCs w:val="20"/>
            </w:rPr>
            <w:t>202</w:t>
          </w:r>
          <w:r w:rsidR="009A1625">
            <w:rPr>
              <w:color w:val="323E4F" w:themeColor="text2" w:themeShade="BF"/>
              <w:sz w:val="20"/>
              <w:szCs w:val="20"/>
            </w:rPr>
            <w:t>3</w:t>
          </w:r>
          <w:r>
            <w:rPr>
              <w:color w:val="323E4F" w:themeColor="text2" w:themeShade="BF"/>
              <w:sz w:val="20"/>
              <w:szCs w:val="20"/>
            </w:rPr>
            <w:t xml:space="preserve"> 01</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2</w:t>
          </w:r>
          <w:r w:rsidR="009A1625">
            <w:rPr>
              <w:color w:val="323E4F" w:themeColor="text2" w:themeShade="BF"/>
              <w:sz w:val="20"/>
              <w:szCs w:val="20"/>
            </w:rPr>
            <w:t>3</w:t>
          </w:r>
          <w:r>
            <w:rPr>
              <w:color w:val="323E4F" w:themeColor="text2" w:themeShade="BF"/>
              <w:sz w:val="20"/>
              <w:szCs w:val="20"/>
            </w:rPr>
            <w:t xml:space="preserve"> 06</w:t>
          </w:r>
          <w:r w:rsidRPr="0021377E">
            <w:rPr>
              <w:color w:val="323E4F" w:themeColor="text2" w:themeShade="BF"/>
              <w:sz w:val="20"/>
              <w:szCs w:val="20"/>
            </w:rPr>
            <w:t xml:space="preserve"> </w:t>
          </w:r>
          <w:r>
            <w:rPr>
              <w:color w:val="323E4F" w:themeColor="text2" w:themeShade="BF"/>
              <w:sz w:val="20"/>
              <w:szCs w:val="20"/>
            </w:rPr>
            <w:t>30</w:t>
          </w:r>
        </w:p>
      </w:tc>
    </w:tr>
  </w:tbl>
  <w:p w14:paraId="76E10ED8" w14:textId="77777777" w:rsidR="00DC1CF2" w:rsidRDefault="00DC1CF2"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6306FCB"/>
    <w:multiLevelType w:val="hybridMultilevel"/>
    <w:tmpl w:val="FDBE0C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1" w15:restartNumberingAfterBreak="0">
    <w:nsid w:val="57AC889E"/>
    <w:multiLevelType w:val="singleLevel"/>
    <w:tmpl w:val="57AC889E"/>
    <w:lvl w:ilvl="0">
      <w:start w:val="1"/>
      <w:numFmt w:val="decimal"/>
      <w:suff w:val="space"/>
      <w:lvlText w:val="%1."/>
      <w:lvlJc w:val="left"/>
    </w:lvl>
  </w:abstractNum>
  <w:abstractNum w:abstractNumId="12"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4"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974065413">
    <w:abstractNumId w:val="2"/>
  </w:num>
  <w:num w:numId="2" w16cid:durableId="121772219">
    <w:abstractNumId w:val="12"/>
  </w:num>
  <w:num w:numId="3" w16cid:durableId="608464986">
    <w:abstractNumId w:val="7"/>
  </w:num>
  <w:num w:numId="4" w16cid:durableId="920914942">
    <w:abstractNumId w:val="13"/>
  </w:num>
  <w:num w:numId="5" w16cid:durableId="1801918242">
    <w:abstractNumId w:val="4"/>
  </w:num>
  <w:num w:numId="6" w16cid:durableId="270626258">
    <w:abstractNumId w:val="10"/>
  </w:num>
  <w:num w:numId="7" w16cid:durableId="1934195738">
    <w:abstractNumId w:val="11"/>
  </w:num>
  <w:num w:numId="8" w16cid:durableId="1425765747">
    <w:abstractNumId w:val="1"/>
  </w:num>
  <w:num w:numId="9" w16cid:durableId="1056124144">
    <w:abstractNumId w:val="11"/>
    <w:lvlOverride w:ilvl="0">
      <w:startOverride w:val="1"/>
    </w:lvlOverride>
  </w:num>
  <w:num w:numId="10" w16cid:durableId="338774287">
    <w:abstractNumId w:val="0"/>
  </w:num>
  <w:num w:numId="11" w16cid:durableId="1007758057">
    <w:abstractNumId w:val="6"/>
  </w:num>
  <w:num w:numId="12" w16cid:durableId="1282374052">
    <w:abstractNumId w:val="16"/>
  </w:num>
  <w:num w:numId="13" w16cid:durableId="501431841">
    <w:abstractNumId w:val="15"/>
  </w:num>
  <w:num w:numId="14" w16cid:durableId="1782146992">
    <w:abstractNumId w:val="14"/>
  </w:num>
  <w:num w:numId="15" w16cid:durableId="1201094502">
    <w:abstractNumId w:val="5"/>
  </w:num>
  <w:num w:numId="16" w16cid:durableId="1823815977">
    <w:abstractNumId w:val="3"/>
  </w:num>
  <w:num w:numId="17" w16cid:durableId="189495592">
    <w:abstractNumId w:val="8"/>
  </w:num>
  <w:num w:numId="18" w16cid:durableId="21082348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625"/>
    <w:rsid w:val="00024C4F"/>
    <w:rsid w:val="00045121"/>
    <w:rsid w:val="00057036"/>
    <w:rsid w:val="000D10D8"/>
    <w:rsid w:val="000F3571"/>
    <w:rsid w:val="00100405"/>
    <w:rsid w:val="00113E1F"/>
    <w:rsid w:val="00117B8E"/>
    <w:rsid w:val="00126DC4"/>
    <w:rsid w:val="00153DA9"/>
    <w:rsid w:val="001663A0"/>
    <w:rsid w:val="00181389"/>
    <w:rsid w:val="001C0A50"/>
    <w:rsid w:val="001D7F63"/>
    <w:rsid w:val="001E1E69"/>
    <w:rsid w:val="001E4308"/>
    <w:rsid w:val="001F4EE6"/>
    <w:rsid w:val="002168D0"/>
    <w:rsid w:val="00224E71"/>
    <w:rsid w:val="00240D7D"/>
    <w:rsid w:val="00250E4D"/>
    <w:rsid w:val="00253467"/>
    <w:rsid w:val="00267F1F"/>
    <w:rsid w:val="002927D2"/>
    <w:rsid w:val="002A340A"/>
    <w:rsid w:val="002F568E"/>
    <w:rsid w:val="00302358"/>
    <w:rsid w:val="0030303A"/>
    <w:rsid w:val="00324130"/>
    <w:rsid w:val="003502DF"/>
    <w:rsid w:val="00356F8F"/>
    <w:rsid w:val="003A59E4"/>
    <w:rsid w:val="00400ACD"/>
    <w:rsid w:val="00406017"/>
    <w:rsid w:val="0041251F"/>
    <w:rsid w:val="0041536F"/>
    <w:rsid w:val="004268A4"/>
    <w:rsid w:val="00431AFC"/>
    <w:rsid w:val="00434773"/>
    <w:rsid w:val="0043688B"/>
    <w:rsid w:val="004541E3"/>
    <w:rsid w:val="004611B7"/>
    <w:rsid w:val="0048402B"/>
    <w:rsid w:val="00487814"/>
    <w:rsid w:val="00492AF3"/>
    <w:rsid w:val="005635CA"/>
    <w:rsid w:val="005B053C"/>
    <w:rsid w:val="005B0CBD"/>
    <w:rsid w:val="005B14F8"/>
    <w:rsid w:val="005D173E"/>
    <w:rsid w:val="005D34B8"/>
    <w:rsid w:val="005D6080"/>
    <w:rsid w:val="00610129"/>
    <w:rsid w:val="00610D69"/>
    <w:rsid w:val="00615F6D"/>
    <w:rsid w:val="0062458E"/>
    <w:rsid w:val="00641D77"/>
    <w:rsid w:val="006771EA"/>
    <w:rsid w:val="00685154"/>
    <w:rsid w:val="006A2BA3"/>
    <w:rsid w:val="006A3B77"/>
    <w:rsid w:val="006B54D3"/>
    <w:rsid w:val="006B5838"/>
    <w:rsid w:val="006B792A"/>
    <w:rsid w:val="006C573F"/>
    <w:rsid w:val="006E62DC"/>
    <w:rsid w:val="00703818"/>
    <w:rsid w:val="00727B66"/>
    <w:rsid w:val="0073229D"/>
    <w:rsid w:val="00756EC8"/>
    <w:rsid w:val="007760F4"/>
    <w:rsid w:val="00794F45"/>
    <w:rsid w:val="007A31A0"/>
    <w:rsid w:val="007A7657"/>
    <w:rsid w:val="007C4DBF"/>
    <w:rsid w:val="007D47C3"/>
    <w:rsid w:val="007E5120"/>
    <w:rsid w:val="007E730B"/>
    <w:rsid w:val="007F29E2"/>
    <w:rsid w:val="007F717D"/>
    <w:rsid w:val="0080441E"/>
    <w:rsid w:val="00831E74"/>
    <w:rsid w:val="00851014"/>
    <w:rsid w:val="008755DA"/>
    <w:rsid w:val="008B2282"/>
    <w:rsid w:val="008B2377"/>
    <w:rsid w:val="008B2A3E"/>
    <w:rsid w:val="008C10AA"/>
    <w:rsid w:val="008E3DDB"/>
    <w:rsid w:val="009078E3"/>
    <w:rsid w:val="00925CC0"/>
    <w:rsid w:val="00935A37"/>
    <w:rsid w:val="009506D5"/>
    <w:rsid w:val="0095122F"/>
    <w:rsid w:val="00995BDD"/>
    <w:rsid w:val="009976CB"/>
    <w:rsid w:val="009A1625"/>
    <w:rsid w:val="009B17F8"/>
    <w:rsid w:val="009C2122"/>
    <w:rsid w:val="009E0536"/>
    <w:rsid w:val="009F6C76"/>
    <w:rsid w:val="009F7FFB"/>
    <w:rsid w:val="00A15DC1"/>
    <w:rsid w:val="00A2387D"/>
    <w:rsid w:val="00A36899"/>
    <w:rsid w:val="00A40677"/>
    <w:rsid w:val="00A65662"/>
    <w:rsid w:val="00A70E2F"/>
    <w:rsid w:val="00AA4342"/>
    <w:rsid w:val="00AB0C64"/>
    <w:rsid w:val="00AE1F79"/>
    <w:rsid w:val="00AF01D8"/>
    <w:rsid w:val="00B3129F"/>
    <w:rsid w:val="00B32EF8"/>
    <w:rsid w:val="00B33F6F"/>
    <w:rsid w:val="00B417DD"/>
    <w:rsid w:val="00B809B9"/>
    <w:rsid w:val="00B83017"/>
    <w:rsid w:val="00BD7FA4"/>
    <w:rsid w:val="00C23710"/>
    <w:rsid w:val="00C77A7E"/>
    <w:rsid w:val="00C80AE5"/>
    <w:rsid w:val="00CA04FE"/>
    <w:rsid w:val="00CA3CA1"/>
    <w:rsid w:val="00CB5E86"/>
    <w:rsid w:val="00CC5246"/>
    <w:rsid w:val="00CC66A0"/>
    <w:rsid w:val="00CF0DD8"/>
    <w:rsid w:val="00D5715B"/>
    <w:rsid w:val="00D75FCD"/>
    <w:rsid w:val="00D818F2"/>
    <w:rsid w:val="00DC1CF2"/>
    <w:rsid w:val="00DD58F3"/>
    <w:rsid w:val="00DE030E"/>
    <w:rsid w:val="00E040A7"/>
    <w:rsid w:val="00E22B2B"/>
    <w:rsid w:val="00E252EE"/>
    <w:rsid w:val="00E30ED3"/>
    <w:rsid w:val="00E503D9"/>
    <w:rsid w:val="00E514B3"/>
    <w:rsid w:val="00E562B9"/>
    <w:rsid w:val="00E60E68"/>
    <w:rsid w:val="00E8511F"/>
    <w:rsid w:val="00EA1DA6"/>
    <w:rsid w:val="00EA2A06"/>
    <w:rsid w:val="00EA3CB4"/>
    <w:rsid w:val="00EA4B74"/>
    <w:rsid w:val="00EC14F0"/>
    <w:rsid w:val="00EC451C"/>
    <w:rsid w:val="00ED503D"/>
    <w:rsid w:val="00EF2CEA"/>
    <w:rsid w:val="00F13632"/>
    <w:rsid w:val="00F13D19"/>
    <w:rsid w:val="00F84577"/>
    <w:rsid w:val="00F84999"/>
    <w:rsid w:val="00FA0908"/>
    <w:rsid w:val="00FA236B"/>
    <w:rsid w:val="00FC0CBA"/>
    <w:rsid w:val="00FD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8C93"/>
  <w15:chartTrackingRefBased/>
  <w15:docId w15:val="{E3CD9C1B-F3EF-450E-B04D-1BA1A7092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1625"/>
    <w:pPr>
      <w:spacing w:after="0" w:line="240" w:lineRule="auto"/>
      <w:jc w:val="both"/>
    </w:pPr>
    <w:rPr>
      <w:rFonts w:ascii="Calibri" w:eastAsia="Calibri" w:hAnsi="Calibri" w:cs="Times New Roman"/>
      <w:kern w:val="0"/>
      <w:lang w:val="lt-LT"/>
      <w14:ligatures w14:val="none"/>
    </w:rPr>
  </w:style>
  <w:style w:type="paragraph" w:styleId="Antrat1">
    <w:name w:val="heading 1"/>
    <w:basedOn w:val="prastasis"/>
    <w:next w:val="prastasis"/>
    <w:link w:val="Antrat1Diagrama"/>
    <w:uiPriority w:val="9"/>
    <w:qFormat/>
    <w:rsid w:val="009A1625"/>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Antrat2">
    <w:name w:val="heading 2"/>
    <w:basedOn w:val="prastasis"/>
    <w:next w:val="prastasis"/>
    <w:link w:val="Antrat2Diagrama"/>
    <w:qFormat/>
    <w:rsid w:val="009A1625"/>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9A1625"/>
    <w:pPr>
      <w:keepNext/>
      <w:keepLines/>
      <w:tabs>
        <w:tab w:val="left" w:pos="567"/>
      </w:tabs>
      <w:ind w:firstLine="709"/>
      <w:outlineLvl w:val="2"/>
    </w:pPr>
    <w:rPr>
      <w:rFonts w:asciiTheme="minorHAnsi" w:eastAsiaTheme="majorEastAsia" w:hAnsiTheme="minorHAnsi" w:cstheme="majorBidi"/>
      <w:bCs/>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A1625"/>
    <w:rPr>
      <w:rFonts w:eastAsiaTheme="majorEastAsia" w:cstheme="minorHAnsi"/>
      <w:b/>
      <w:color w:val="323E4F" w:themeColor="text2" w:themeShade="BF"/>
      <w:kern w:val="0"/>
      <w:szCs w:val="32"/>
      <w:lang w:val="lt-LT"/>
      <w14:ligatures w14:val="none"/>
    </w:rPr>
  </w:style>
  <w:style w:type="character" w:customStyle="1" w:styleId="Antrat2Diagrama">
    <w:name w:val="Antraštė 2 Diagrama"/>
    <w:basedOn w:val="Numatytasispastraiposriftas"/>
    <w:link w:val="Antrat2"/>
    <w:rsid w:val="009A1625"/>
    <w:rPr>
      <w:rFonts w:eastAsia="Times New Roman" w:cs="Times New Roman"/>
      <w:b/>
      <w:bCs/>
      <w:iCs/>
      <w:kern w:val="0"/>
      <w:szCs w:val="24"/>
      <w:lang w:val="lt-LT" w:eastAsia="lt-LT"/>
      <w14:ligatures w14:val="none"/>
    </w:rPr>
  </w:style>
  <w:style w:type="character" w:customStyle="1" w:styleId="Antrat3Diagrama">
    <w:name w:val="Antraštė 3 Diagrama"/>
    <w:basedOn w:val="Numatytasispastraiposriftas"/>
    <w:link w:val="Antrat3"/>
    <w:uiPriority w:val="9"/>
    <w:rsid w:val="009A1625"/>
    <w:rPr>
      <w:rFonts w:eastAsiaTheme="majorEastAsia" w:cstheme="majorBidi"/>
      <w:bCs/>
      <w:i/>
      <w:kern w:val="0"/>
      <w:lang w:val="lt-LT"/>
      <w14:ligatures w14:val="none"/>
    </w:rPr>
  </w:style>
  <w:style w:type="character" w:styleId="Hipersaitas">
    <w:name w:val="Hyperlink"/>
    <w:uiPriority w:val="99"/>
    <w:unhideWhenUsed/>
    <w:rsid w:val="009A1625"/>
    <w:rPr>
      <w:color w:val="0000FF"/>
      <w:u w:val="single"/>
    </w:rPr>
  </w:style>
  <w:style w:type="paragraph" w:customStyle="1" w:styleId="c41dispositifintroduction">
    <w:name w:val="c41dispositifintroduction"/>
    <w:basedOn w:val="prastasis"/>
    <w:rsid w:val="009A1625"/>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9A1625"/>
    <w:pPr>
      <w:spacing w:after="0" w:line="240" w:lineRule="auto"/>
      <w:ind w:firstLine="720"/>
    </w:pPr>
    <w:rPr>
      <w:rFonts w:ascii="Calibri" w:eastAsia="Times New Roman" w:hAnsi="Calibri" w:cs="Times New Roman"/>
      <w:kern w:val="0"/>
      <w:lang w:val="lt-LT"/>
      <w14:ligatures w14:val="none"/>
    </w:rPr>
  </w:style>
  <w:style w:type="character" w:customStyle="1" w:styleId="NoSpacingChar">
    <w:name w:val="No Spacing Char"/>
    <w:link w:val="NoSpacing1"/>
    <w:uiPriority w:val="99"/>
    <w:locked/>
    <w:rsid w:val="009A1625"/>
    <w:rPr>
      <w:rFonts w:ascii="Calibri" w:eastAsia="Times New Roman" w:hAnsi="Calibri" w:cs="Times New Roman"/>
      <w:kern w:val="0"/>
      <w:lang w:val="lt-LT"/>
      <w14:ligatures w14:val="none"/>
    </w:rPr>
  </w:style>
  <w:style w:type="paragraph" w:styleId="Antrats">
    <w:name w:val="header"/>
    <w:basedOn w:val="prastasis"/>
    <w:link w:val="AntratsDiagrama"/>
    <w:uiPriority w:val="99"/>
    <w:unhideWhenUsed/>
    <w:rsid w:val="009A1625"/>
    <w:pPr>
      <w:tabs>
        <w:tab w:val="center" w:pos="4819"/>
        <w:tab w:val="right" w:pos="9638"/>
      </w:tabs>
    </w:pPr>
  </w:style>
  <w:style w:type="character" w:customStyle="1" w:styleId="AntratsDiagrama">
    <w:name w:val="Antraštės Diagrama"/>
    <w:basedOn w:val="Numatytasispastraiposriftas"/>
    <w:link w:val="Antrats"/>
    <w:uiPriority w:val="99"/>
    <w:rsid w:val="009A1625"/>
    <w:rPr>
      <w:rFonts w:ascii="Calibri" w:eastAsia="Calibri" w:hAnsi="Calibri" w:cs="Times New Roman"/>
      <w:kern w:val="0"/>
      <w:lang w:val="lt-LT"/>
      <w14:ligatures w14:val="none"/>
    </w:rPr>
  </w:style>
  <w:style w:type="paragraph" w:styleId="Porat">
    <w:name w:val="footer"/>
    <w:basedOn w:val="prastasis"/>
    <w:link w:val="PoratDiagrama"/>
    <w:uiPriority w:val="99"/>
    <w:unhideWhenUsed/>
    <w:rsid w:val="009A1625"/>
    <w:pPr>
      <w:tabs>
        <w:tab w:val="center" w:pos="4819"/>
        <w:tab w:val="right" w:pos="9638"/>
      </w:tabs>
    </w:pPr>
  </w:style>
  <w:style w:type="character" w:customStyle="1" w:styleId="PoratDiagrama">
    <w:name w:val="Poraštė Diagrama"/>
    <w:basedOn w:val="Numatytasispastraiposriftas"/>
    <w:link w:val="Porat"/>
    <w:uiPriority w:val="99"/>
    <w:rsid w:val="009A1625"/>
    <w:rPr>
      <w:rFonts w:ascii="Calibri" w:eastAsia="Calibri" w:hAnsi="Calibri" w:cs="Times New Roman"/>
      <w:kern w:val="0"/>
      <w:lang w:val="lt-LT"/>
      <w14:ligatures w14:val="none"/>
    </w:rPr>
  </w:style>
  <w:style w:type="paragraph" w:styleId="Turinioantrat">
    <w:name w:val="TOC Heading"/>
    <w:basedOn w:val="Antrat1"/>
    <w:next w:val="prastasis"/>
    <w:uiPriority w:val="39"/>
    <w:unhideWhenUsed/>
    <w:qFormat/>
    <w:rsid w:val="009A1625"/>
    <w:pPr>
      <w:spacing w:line="259" w:lineRule="auto"/>
      <w:jc w:val="left"/>
      <w:outlineLvl w:val="9"/>
    </w:pPr>
    <w:rPr>
      <w:lang w:eastAsia="lt-LT"/>
    </w:rPr>
  </w:style>
  <w:style w:type="paragraph" w:styleId="Turinys1">
    <w:name w:val="toc 1"/>
    <w:basedOn w:val="prastasis"/>
    <w:next w:val="prastasis"/>
    <w:autoRedefine/>
    <w:uiPriority w:val="39"/>
    <w:unhideWhenUsed/>
    <w:rsid w:val="009A1625"/>
    <w:pPr>
      <w:tabs>
        <w:tab w:val="right" w:leader="dot" w:pos="9344"/>
      </w:tabs>
      <w:spacing w:before="120"/>
      <w:jc w:val="left"/>
    </w:pPr>
    <w:rPr>
      <w:rFonts w:asciiTheme="minorHAnsi" w:hAnsiTheme="minorHAnsi" w:cstheme="minorHAnsi"/>
      <w:b/>
      <w:bCs/>
      <w:noProof/>
      <w:color w:val="1F3864" w:themeColor="accent1" w:themeShade="80"/>
      <w:sz w:val="24"/>
      <w:szCs w:val="24"/>
    </w:rPr>
  </w:style>
  <w:style w:type="paragraph" w:styleId="Turinys2">
    <w:name w:val="toc 2"/>
    <w:basedOn w:val="prastasis"/>
    <w:next w:val="prastasis"/>
    <w:autoRedefine/>
    <w:uiPriority w:val="39"/>
    <w:unhideWhenUsed/>
    <w:rsid w:val="009A1625"/>
    <w:pPr>
      <w:tabs>
        <w:tab w:val="right" w:leader="dot" w:pos="9344"/>
      </w:tabs>
      <w:spacing w:before="120"/>
      <w:ind w:left="220"/>
      <w:jc w:val="left"/>
    </w:pPr>
    <w:rPr>
      <w:rFonts w:asciiTheme="minorHAnsi" w:hAnsiTheme="minorHAnsi" w:cstheme="minorHAnsi"/>
      <w:b/>
      <w:bCs/>
      <w:noProof/>
      <w:color w:val="1F3864" w:themeColor="accent1" w:themeShade="80"/>
    </w:rPr>
  </w:style>
  <w:style w:type="paragraph" w:styleId="Turinys3">
    <w:name w:val="toc 3"/>
    <w:basedOn w:val="prastasis"/>
    <w:next w:val="prastasis"/>
    <w:autoRedefine/>
    <w:uiPriority w:val="39"/>
    <w:unhideWhenUsed/>
    <w:rsid w:val="009A1625"/>
    <w:pPr>
      <w:tabs>
        <w:tab w:val="right" w:leader="dot" w:pos="9344"/>
      </w:tabs>
      <w:ind w:left="440"/>
      <w:jc w:val="left"/>
    </w:pPr>
    <w:rPr>
      <w:rFonts w:asciiTheme="minorHAnsi" w:hAnsiTheme="minorHAnsi" w:cstheme="minorHAnsi"/>
      <w:i/>
      <w:iCs/>
      <w:noProof/>
      <w:sz w:val="20"/>
      <w:szCs w:val="20"/>
    </w:rPr>
  </w:style>
  <w:style w:type="character" w:styleId="Perirtashipersaitas">
    <w:name w:val="FollowedHyperlink"/>
    <w:basedOn w:val="Numatytasispastraiposriftas"/>
    <w:uiPriority w:val="99"/>
    <w:semiHidden/>
    <w:unhideWhenUsed/>
    <w:rsid w:val="009A1625"/>
    <w:rPr>
      <w:color w:val="954F72" w:themeColor="followedHyperlink"/>
      <w:u w:val="single"/>
    </w:rPr>
  </w:style>
  <w:style w:type="character" w:styleId="Komentaronuoroda">
    <w:name w:val="annotation reference"/>
    <w:basedOn w:val="Numatytasispastraiposriftas"/>
    <w:uiPriority w:val="99"/>
    <w:semiHidden/>
    <w:unhideWhenUsed/>
    <w:rsid w:val="009A1625"/>
    <w:rPr>
      <w:sz w:val="16"/>
      <w:szCs w:val="16"/>
    </w:rPr>
  </w:style>
  <w:style w:type="paragraph" w:styleId="Komentarotekstas">
    <w:name w:val="annotation text"/>
    <w:basedOn w:val="prastasis"/>
    <w:link w:val="KomentarotekstasDiagrama"/>
    <w:uiPriority w:val="99"/>
    <w:unhideWhenUsed/>
    <w:rsid w:val="009A1625"/>
    <w:rPr>
      <w:sz w:val="20"/>
      <w:szCs w:val="20"/>
    </w:rPr>
  </w:style>
  <w:style w:type="character" w:customStyle="1" w:styleId="KomentarotekstasDiagrama">
    <w:name w:val="Komentaro tekstas Diagrama"/>
    <w:basedOn w:val="Numatytasispastraiposriftas"/>
    <w:link w:val="Komentarotekstas"/>
    <w:uiPriority w:val="99"/>
    <w:rsid w:val="009A1625"/>
    <w:rPr>
      <w:rFonts w:ascii="Calibri" w:eastAsia="Calibri" w:hAnsi="Calibri" w:cs="Times New Roman"/>
      <w:kern w:val="0"/>
      <w:sz w:val="20"/>
      <w:szCs w:val="20"/>
      <w:lang w:val="lt-LT"/>
      <w14:ligatures w14:val="none"/>
    </w:rPr>
  </w:style>
  <w:style w:type="paragraph" w:styleId="Komentarotema">
    <w:name w:val="annotation subject"/>
    <w:basedOn w:val="Komentarotekstas"/>
    <w:next w:val="Komentarotekstas"/>
    <w:link w:val="KomentarotemaDiagrama"/>
    <w:uiPriority w:val="99"/>
    <w:semiHidden/>
    <w:unhideWhenUsed/>
    <w:rsid w:val="009A1625"/>
    <w:rPr>
      <w:b/>
      <w:bCs/>
    </w:rPr>
  </w:style>
  <w:style w:type="character" w:customStyle="1" w:styleId="KomentarotemaDiagrama">
    <w:name w:val="Komentaro tema Diagrama"/>
    <w:basedOn w:val="KomentarotekstasDiagrama"/>
    <w:link w:val="Komentarotema"/>
    <w:uiPriority w:val="99"/>
    <w:semiHidden/>
    <w:rsid w:val="009A1625"/>
    <w:rPr>
      <w:rFonts w:ascii="Calibri" w:eastAsia="Calibri" w:hAnsi="Calibri" w:cs="Times New Roman"/>
      <w:b/>
      <w:bCs/>
      <w:kern w:val="0"/>
      <w:sz w:val="20"/>
      <w:szCs w:val="20"/>
      <w:lang w:val="lt-LT"/>
      <w14:ligatures w14:val="none"/>
    </w:rPr>
  </w:style>
  <w:style w:type="paragraph" w:styleId="Debesliotekstas">
    <w:name w:val="Balloon Text"/>
    <w:basedOn w:val="prastasis"/>
    <w:link w:val="DebesliotekstasDiagrama"/>
    <w:uiPriority w:val="99"/>
    <w:semiHidden/>
    <w:unhideWhenUsed/>
    <w:rsid w:val="009A162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A1625"/>
    <w:rPr>
      <w:rFonts w:ascii="Segoe UI" w:eastAsia="Calibri" w:hAnsi="Segoe UI" w:cs="Segoe UI"/>
      <w:kern w:val="0"/>
      <w:sz w:val="18"/>
      <w:szCs w:val="18"/>
      <w:lang w:val="lt-LT"/>
      <w14:ligatures w14:val="none"/>
    </w:rPr>
  </w:style>
  <w:style w:type="paragraph" w:customStyle="1" w:styleId="c01pointnumerotealtn">
    <w:name w:val="c01pointnumerotealtn"/>
    <w:basedOn w:val="prastasis"/>
    <w:qFormat/>
    <w:rsid w:val="009A1625"/>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iPriority w:val="99"/>
    <w:unhideWhenUsed/>
    <w:rsid w:val="009A1625"/>
    <w:rPr>
      <w:sz w:val="20"/>
      <w:szCs w:val="20"/>
    </w:rPr>
  </w:style>
  <w:style w:type="character" w:customStyle="1" w:styleId="PuslapioinaostekstasDiagrama">
    <w:name w:val="Puslapio išnašos tekstas Diagrama"/>
    <w:basedOn w:val="Numatytasispastraiposriftas"/>
    <w:link w:val="Puslapioinaostekstas"/>
    <w:uiPriority w:val="99"/>
    <w:rsid w:val="009A1625"/>
    <w:rPr>
      <w:rFonts w:ascii="Calibri" w:eastAsia="Calibri" w:hAnsi="Calibri" w:cs="Times New Roman"/>
      <w:kern w:val="0"/>
      <w:sz w:val="20"/>
      <w:szCs w:val="20"/>
      <w:lang w:val="lt-LT"/>
      <w14:ligatures w14:val="none"/>
    </w:rPr>
  </w:style>
  <w:style w:type="character" w:styleId="Puslapioinaosnuoroda">
    <w:name w:val="footnote reference"/>
    <w:basedOn w:val="Numatytasispastraiposriftas"/>
    <w:uiPriority w:val="99"/>
    <w:unhideWhenUsed/>
    <w:rsid w:val="009A1625"/>
    <w:rPr>
      <w:vertAlign w:val="superscript"/>
    </w:rPr>
  </w:style>
  <w:style w:type="paragraph" w:styleId="Sraopastraipa">
    <w:name w:val="List Paragraph"/>
    <w:basedOn w:val="prastasis"/>
    <w:uiPriority w:val="34"/>
    <w:qFormat/>
    <w:rsid w:val="009A1625"/>
    <w:pPr>
      <w:ind w:left="720"/>
      <w:contextualSpacing/>
    </w:pPr>
  </w:style>
  <w:style w:type="character" w:customStyle="1" w:styleId="UnresolvedMention1">
    <w:name w:val="Unresolved Mention1"/>
    <w:basedOn w:val="Numatytasispastraiposriftas"/>
    <w:uiPriority w:val="99"/>
    <w:semiHidden/>
    <w:unhideWhenUsed/>
    <w:rsid w:val="009A1625"/>
    <w:rPr>
      <w:color w:val="605E5C"/>
      <w:shd w:val="clear" w:color="auto" w:fill="E1DFDD"/>
    </w:rPr>
  </w:style>
  <w:style w:type="character" w:customStyle="1" w:styleId="UnresolvedMention2">
    <w:name w:val="Unresolved Mention2"/>
    <w:basedOn w:val="Numatytasispastraiposriftas"/>
    <w:uiPriority w:val="99"/>
    <w:semiHidden/>
    <w:unhideWhenUsed/>
    <w:rsid w:val="009A1625"/>
    <w:rPr>
      <w:color w:val="605E5C"/>
      <w:shd w:val="clear" w:color="auto" w:fill="E1DFDD"/>
    </w:rPr>
  </w:style>
  <w:style w:type="character" w:customStyle="1" w:styleId="UnresolvedMention3">
    <w:name w:val="Unresolved Mention3"/>
    <w:basedOn w:val="Numatytasispastraiposriftas"/>
    <w:uiPriority w:val="99"/>
    <w:semiHidden/>
    <w:unhideWhenUsed/>
    <w:rsid w:val="009A1625"/>
    <w:rPr>
      <w:color w:val="605E5C"/>
      <w:shd w:val="clear" w:color="auto" w:fill="E1DFDD"/>
    </w:rPr>
  </w:style>
  <w:style w:type="character" w:customStyle="1" w:styleId="Neapdorotaspaminjimas1">
    <w:name w:val="Neapdorotas paminėjimas1"/>
    <w:basedOn w:val="Numatytasispastraiposriftas"/>
    <w:uiPriority w:val="99"/>
    <w:semiHidden/>
    <w:unhideWhenUsed/>
    <w:rsid w:val="009A1625"/>
    <w:rPr>
      <w:color w:val="605E5C"/>
      <w:shd w:val="clear" w:color="auto" w:fill="E1DFDD"/>
    </w:rPr>
  </w:style>
  <w:style w:type="paragraph" w:styleId="Turinys4">
    <w:name w:val="toc 4"/>
    <w:basedOn w:val="prastasis"/>
    <w:next w:val="prastasis"/>
    <w:autoRedefine/>
    <w:uiPriority w:val="39"/>
    <w:unhideWhenUsed/>
    <w:rsid w:val="009A1625"/>
    <w:pPr>
      <w:ind w:left="660"/>
      <w:jc w:val="left"/>
    </w:pPr>
    <w:rPr>
      <w:rFonts w:asciiTheme="minorHAnsi" w:hAnsiTheme="minorHAnsi" w:cstheme="minorHAnsi"/>
      <w:sz w:val="20"/>
      <w:szCs w:val="20"/>
    </w:rPr>
  </w:style>
  <w:style w:type="paragraph" w:styleId="Turinys5">
    <w:name w:val="toc 5"/>
    <w:basedOn w:val="prastasis"/>
    <w:next w:val="prastasis"/>
    <w:autoRedefine/>
    <w:uiPriority w:val="39"/>
    <w:unhideWhenUsed/>
    <w:rsid w:val="009A1625"/>
    <w:pPr>
      <w:ind w:left="880"/>
      <w:jc w:val="left"/>
    </w:pPr>
    <w:rPr>
      <w:rFonts w:asciiTheme="minorHAnsi" w:hAnsiTheme="minorHAnsi" w:cstheme="minorHAnsi"/>
      <w:sz w:val="20"/>
      <w:szCs w:val="20"/>
    </w:rPr>
  </w:style>
  <w:style w:type="paragraph" w:styleId="Turinys6">
    <w:name w:val="toc 6"/>
    <w:basedOn w:val="prastasis"/>
    <w:next w:val="prastasis"/>
    <w:autoRedefine/>
    <w:uiPriority w:val="39"/>
    <w:unhideWhenUsed/>
    <w:rsid w:val="009A1625"/>
    <w:pPr>
      <w:ind w:left="1100"/>
      <w:jc w:val="left"/>
    </w:pPr>
    <w:rPr>
      <w:rFonts w:asciiTheme="minorHAnsi" w:hAnsiTheme="minorHAnsi" w:cstheme="minorHAnsi"/>
      <w:sz w:val="20"/>
      <w:szCs w:val="20"/>
    </w:rPr>
  </w:style>
  <w:style w:type="paragraph" w:styleId="Turinys7">
    <w:name w:val="toc 7"/>
    <w:basedOn w:val="prastasis"/>
    <w:next w:val="prastasis"/>
    <w:autoRedefine/>
    <w:uiPriority w:val="39"/>
    <w:unhideWhenUsed/>
    <w:rsid w:val="009A1625"/>
    <w:pPr>
      <w:ind w:left="1320"/>
      <w:jc w:val="left"/>
    </w:pPr>
    <w:rPr>
      <w:rFonts w:asciiTheme="minorHAnsi" w:hAnsiTheme="minorHAnsi" w:cstheme="minorHAnsi"/>
      <w:sz w:val="20"/>
      <w:szCs w:val="20"/>
    </w:rPr>
  </w:style>
  <w:style w:type="paragraph" w:styleId="Turinys8">
    <w:name w:val="toc 8"/>
    <w:basedOn w:val="prastasis"/>
    <w:next w:val="prastasis"/>
    <w:autoRedefine/>
    <w:uiPriority w:val="39"/>
    <w:unhideWhenUsed/>
    <w:rsid w:val="009A1625"/>
    <w:pPr>
      <w:ind w:left="1540"/>
      <w:jc w:val="left"/>
    </w:pPr>
    <w:rPr>
      <w:rFonts w:asciiTheme="minorHAnsi" w:hAnsiTheme="minorHAnsi" w:cstheme="minorHAnsi"/>
      <w:sz w:val="20"/>
      <w:szCs w:val="20"/>
    </w:rPr>
  </w:style>
  <w:style w:type="paragraph" w:styleId="Turinys9">
    <w:name w:val="toc 9"/>
    <w:basedOn w:val="prastasis"/>
    <w:next w:val="prastasis"/>
    <w:autoRedefine/>
    <w:uiPriority w:val="39"/>
    <w:unhideWhenUsed/>
    <w:rsid w:val="009A1625"/>
    <w:pPr>
      <w:ind w:left="1760"/>
      <w:jc w:val="left"/>
    </w:pPr>
    <w:rPr>
      <w:rFonts w:asciiTheme="minorHAnsi" w:hAnsiTheme="minorHAnsi" w:cstheme="minorHAnsi"/>
      <w:sz w:val="20"/>
      <w:szCs w:val="20"/>
    </w:rPr>
  </w:style>
  <w:style w:type="paragraph" w:customStyle="1" w:styleId="c02alineaalta">
    <w:name w:val="c02alineaalta"/>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Numatytasispastraiposriftas"/>
    <w:uiPriority w:val="99"/>
    <w:rsid w:val="009A1625"/>
    <w:rPr>
      <w:color w:val="605E5C"/>
      <w:shd w:val="clear" w:color="auto" w:fill="E1DFDD"/>
    </w:rPr>
  </w:style>
  <w:style w:type="paragraph" w:customStyle="1" w:styleId="c19centre">
    <w:name w:val="c19centre"/>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9A1625"/>
    <w:pPr>
      <w:autoSpaceDE w:val="0"/>
      <w:autoSpaceDN w:val="0"/>
      <w:adjustRightInd w:val="0"/>
      <w:spacing w:after="0" w:line="240" w:lineRule="auto"/>
    </w:pPr>
    <w:rPr>
      <w:rFonts w:ascii="Arial" w:hAnsi="Arial" w:cs="Arial"/>
      <w:color w:val="000000"/>
      <w:kern w:val="0"/>
      <w:sz w:val="24"/>
      <w:szCs w:val="24"/>
      <w:lang w:val="en-US"/>
      <w14:ligatures w14:val="none"/>
    </w:rPr>
  </w:style>
  <w:style w:type="paragraph" w:customStyle="1" w:styleId="Pagrindinis">
    <w:name w:val="Pagrindinis"/>
    <w:basedOn w:val="Sraopastraipa"/>
    <w:link w:val="PagrindinisChar"/>
    <w:qFormat/>
    <w:rsid w:val="009A1625"/>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Numatytasispastraiposriftas"/>
    <w:link w:val="Pagrindinis"/>
    <w:rsid w:val="009A1625"/>
    <w:rPr>
      <w:rFonts w:ascii="Times New Roman" w:hAnsi="Times New Roman" w:cs="Times New Roman"/>
      <w:b/>
      <w:color w:val="000000" w:themeColor="text1"/>
      <w:kern w:val="0"/>
      <w:sz w:val="24"/>
      <w:szCs w:val="24"/>
      <w14:ligatures w14:val="none"/>
    </w:rPr>
  </w:style>
  <w:style w:type="paragraph" w:styleId="Betarp">
    <w:name w:val="No Spacing"/>
    <w:uiPriority w:val="1"/>
    <w:qFormat/>
    <w:rsid w:val="009A1625"/>
    <w:pPr>
      <w:spacing w:after="0" w:line="240" w:lineRule="auto"/>
    </w:pPr>
    <w:rPr>
      <w:rFonts w:ascii="Times New Roman" w:hAnsi="Times New Roman"/>
      <w:color w:val="000000" w:themeColor="text1"/>
      <w:kern w:val="0"/>
      <w:sz w:val="24"/>
      <w:lang w:val="en-US"/>
      <w14:ligatures w14:val="none"/>
    </w:rPr>
  </w:style>
  <w:style w:type="character" w:customStyle="1" w:styleId="normaltextrun">
    <w:name w:val="normaltextrun"/>
    <w:basedOn w:val="Numatytasispastraiposriftas"/>
    <w:rsid w:val="009A1625"/>
  </w:style>
  <w:style w:type="character" w:customStyle="1" w:styleId="eop">
    <w:name w:val="eop"/>
    <w:basedOn w:val="Numatytasispastraiposriftas"/>
    <w:rsid w:val="009A1625"/>
  </w:style>
  <w:style w:type="character" w:customStyle="1" w:styleId="coj-italic">
    <w:name w:val="coj-italic"/>
    <w:basedOn w:val="Numatytasispastraiposriftas"/>
    <w:rsid w:val="009A1625"/>
  </w:style>
  <w:style w:type="paragraph" w:customStyle="1" w:styleId="coj-normal">
    <w:name w:val="coj-normal"/>
    <w:basedOn w:val="prastasis"/>
    <w:rsid w:val="009A1625"/>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prastasis"/>
    <w:rsid w:val="009A1625"/>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Numatytasispastraiposriftas"/>
    <w:rsid w:val="009A1625"/>
  </w:style>
  <w:style w:type="paragraph" w:customStyle="1" w:styleId="paragraph">
    <w:name w:val="paragraph"/>
    <w:basedOn w:val="prastasis"/>
    <w:rsid w:val="009A1625"/>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prastasis"/>
    <w:rsid w:val="009A1625"/>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5">
    <w:name w:val="Unresolved Mention5"/>
    <w:basedOn w:val="Numatytasispastraiposriftas"/>
    <w:uiPriority w:val="99"/>
    <w:semiHidden/>
    <w:unhideWhenUsed/>
    <w:rsid w:val="009A1625"/>
    <w:rPr>
      <w:color w:val="605E5C"/>
      <w:shd w:val="clear" w:color="auto" w:fill="E1DFDD"/>
    </w:rPr>
  </w:style>
  <w:style w:type="character" w:customStyle="1" w:styleId="apple-converted-space">
    <w:name w:val="apple-converted-space"/>
    <w:basedOn w:val="Numatytasispastraiposriftas"/>
    <w:rsid w:val="009A1625"/>
  </w:style>
  <w:style w:type="character" w:customStyle="1" w:styleId="Neapdorotaspaminjimas2">
    <w:name w:val="Neapdorotas paminėjimas2"/>
    <w:basedOn w:val="Numatytasispastraiposriftas"/>
    <w:uiPriority w:val="99"/>
    <w:semiHidden/>
    <w:unhideWhenUsed/>
    <w:rsid w:val="009A1625"/>
    <w:rPr>
      <w:color w:val="605E5C"/>
      <w:shd w:val="clear" w:color="auto" w:fill="E1DFDD"/>
    </w:rPr>
  </w:style>
  <w:style w:type="character" w:styleId="Neapdorotaspaminjimas">
    <w:name w:val="Unresolved Mention"/>
    <w:basedOn w:val="Numatytasispastraiposriftas"/>
    <w:uiPriority w:val="99"/>
    <w:semiHidden/>
    <w:unhideWhenUsed/>
    <w:rsid w:val="00E22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09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uria.europa.eu/" TargetMode="External"/><Relationship Id="rId13" Type="http://schemas.openxmlformats.org/officeDocument/2006/relationships/hyperlink" Target="https://curia.europa.eu/juris/document/document.jsf?text=&amp;docid=273292&amp;pageIndex=0&amp;doclang=LT&amp;mode=lst&amp;dir=&amp;occ=first&amp;part=1&amp;cid=1421212" TargetMode="External"/><Relationship Id="rId18" Type="http://schemas.openxmlformats.org/officeDocument/2006/relationships/hyperlink" Target="https://curia.europa.eu/juris/document/document.jsf?text=&amp;docid=275029&amp;pageIndex=0&amp;doclang=LT&amp;mode=lst&amp;dir=&amp;occ=first&amp;part=1&amp;cid=2697706" TargetMode="External"/><Relationship Id="rId26" Type="http://schemas.openxmlformats.org/officeDocument/2006/relationships/hyperlink" Target="https://curia.europa.eu/juris/document/document.jsf?text=&amp;docid=273281&amp;pageIndex=0&amp;doclang=lt&amp;mode=lst&amp;dir=&amp;occ=first&amp;part=1&amp;cid=85796" TargetMode="External"/><Relationship Id="rId3" Type="http://schemas.openxmlformats.org/officeDocument/2006/relationships/settings" Target="settings.xml"/><Relationship Id="rId21" Type="http://schemas.openxmlformats.org/officeDocument/2006/relationships/hyperlink" Target="https://curia.europa.eu/juris/document/document.jsf?text=&amp;docid=269142&amp;pageIndex=0&amp;doclang=LT&amp;mode=lst&amp;dir=&amp;occ=first&amp;part=1&amp;cid=857202" TargetMode="External"/><Relationship Id="rId7" Type="http://schemas.openxmlformats.org/officeDocument/2006/relationships/image" Target="media/image1.png"/><Relationship Id="rId12" Type="http://schemas.openxmlformats.org/officeDocument/2006/relationships/hyperlink" Target="https://curia.europa.eu/juris/document/document.jsf?mode=lst&amp;pageIndex=0&amp;docid=271079&amp;part=1&amp;doclang=EN&amp;text=&amp;dir=&amp;occ=first&amp;cid=1418718" TargetMode="External"/><Relationship Id="rId17" Type="http://schemas.openxmlformats.org/officeDocument/2006/relationships/hyperlink" Target="https://curia.europa.eu/juris/document/document.jsf?text=&amp;docid=273286&amp;pageIndex=0&amp;doclang=LT&amp;mode=lst&amp;dir=&amp;occ=first&amp;part=1&amp;cid=2754673" TargetMode="External"/><Relationship Id="rId25" Type="http://schemas.openxmlformats.org/officeDocument/2006/relationships/hyperlink" Target="https://curia.europa.eu/juris/document/document.jsf?text=&amp;docid=270832&amp;pageIndex=0&amp;doclang=LT&amp;mode=lst&amp;dir=&amp;occ=first&amp;part=1&amp;cid=73712" TargetMode="External"/><Relationship Id="rId2" Type="http://schemas.openxmlformats.org/officeDocument/2006/relationships/styles" Target="styles.xml"/><Relationship Id="rId16" Type="http://schemas.openxmlformats.org/officeDocument/2006/relationships/hyperlink" Target="https://curia.europa.eu/juris/document/document.jsf?text=&amp;docid=271069&amp;pageIndex=0&amp;doclang=LT&amp;mode=lst&amp;dir=&amp;occ=first&amp;part=1&amp;cid=213961" TargetMode="External"/><Relationship Id="rId20" Type="http://schemas.openxmlformats.org/officeDocument/2006/relationships/hyperlink" Target="https://curia.europa.eu/juris/document/document.jsf?text=&amp;docid=270821&amp;pageIndex=0&amp;doclang=LT&amp;mode=lst&amp;dir=&amp;occ=first&amp;part=1&amp;cid=33527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ia.europa.eu/juris/document/document.jsf?text=&amp;docid=269143&amp;pageIndex=0&amp;doclang=LT&amp;mode=lst&amp;dir=&amp;occ=first&amp;part=1&amp;cid=857415" TargetMode="External"/><Relationship Id="rId24" Type="http://schemas.openxmlformats.org/officeDocument/2006/relationships/hyperlink" Target="https://curia.europa.eu/juris/document/document.jsf?text=&amp;docid=272687&amp;pageIndex=0&amp;doclang=LT&amp;mode=lst&amp;dir=&amp;occ=first&amp;part=1&amp;cid=2485592" TargetMode="External"/><Relationship Id="rId5" Type="http://schemas.openxmlformats.org/officeDocument/2006/relationships/footnotes" Target="footnotes.xml"/><Relationship Id="rId15" Type="http://schemas.openxmlformats.org/officeDocument/2006/relationships/hyperlink" Target="https://curia.europa.eu/juris/document/document.jsf?text=&amp;docid=274102&amp;pageIndex=0&amp;doclang=LT&amp;mode=lst&amp;dir=&amp;occ=first&amp;part=1&amp;cid=2217708" TargetMode="External"/><Relationship Id="rId23" Type="http://schemas.openxmlformats.org/officeDocument/2006/relationships/hyperlink" Target="https://curia.europa.eu/juris/document/document.jsf?text=&amp;docid=270822&amp;pageIndex=0&amp;doclang=LT&amp;mode=lst&amp;dir=&amp;occ=first&amp;part=1&amp;cid=73901" TargetMode="External"/><Relationship Id="rId28" Type="http://schemas.openxmlformats.org/officeDocument/2006/relationships/footer" Target="footer1.xml"/><Relationship Id="rId10" Type="http://schemas.openxmlformats.org/officeDocument/2006/relationships/hyperlink" Target="https://curia.europa.eu/juris/document/document.jsf?text=&amp;docid=272969&amp;pageIndex=0&amp;doclang=LT&amp;mode=lst&amp;dir=&amp;occ=first&amp;part=1&amp;cid=73780" TargetMode="External"/><Relationship Id="rId19" Type="http://schemas.openxmlformats.org/officeDocument/2006/relationships/hyperlink" Target="https://curia.europa.eu/juris/document/document.jsf?text=&amp;docid=269150&amp;pageIndex=0&amp;doclang=LT&amp;mode=lst&amp;dir=&amp;occ=first&amp;part=1&amp;cid=2697706" TargetMode="External"/><Relationship Id="rId4" Type="http://schemas.openxmlformats.org/officeDocument/2006/relationships/webSettings" Target="webSettings.xml"/><Relationship Id="rId9" Type="http://schemas.openxmlformats.org/officeDocument/2006/relationships/hyperlink" Target="http://eur-lex.europa.eu/" TargetMode="External"/><Relationship Id="rId14" Type="http://schemas.openxmlformats.org/officeDocument/2006/relationships/hyperlink" Target="https://curia.europa.eu/juris/document/document.jsf;jsessionid=EE51974981EBF0AD7653F080D997BC45?text=&amp;docid=271081&amp;pageIndex=0&amp;doclang=en&amp;mode=lst&amp;dir=&amp;occ=first&amp;part=1&amp;cid=1261245" TargetMode="External"/><Relationship Id="rId22" Type="http://schemas.openxmlformats.org/officeDocument/2006/relationships/hyperlink" Target="https://curia.europa.eu/juris/document/document.jsf?text=&amp;docid=271332&amp;pageIndex=0&amp;doclang=LT&amp;mode=lst&amp;dir=&amp;occ=first&amp;part=1&amp;cid=214245"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34</Pages>
  <Words>20063</Words>
  <Characters>114363</Characters>
  <Application>Microsoft Office Word</Application>
  <DocSecurity>0</DocSecurity>
  <Lines>953</Lines>
  <Paragraphs>268</Paragraphs>
  <ScaleCrop>false</ScaleCrop>
  <Company/>
  <LinksUpToDate>false</LinksUpToDate>
  <CharactersWithSpaces>134158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Bielskiene</dc:creator>
  <cp:keywords/>
  <dc:description/>
  <cp:lastModifiedBy>Jurga Marcinkevičiūtė</cp:lastModifiedBy>
  <cp:revision>3</cp:revision>
  <dcterms:created xsi:type="dcterms:W3CDTF">2024-01-22T07:08:00Z</dcterms:created>
  <dcterms:modified xsi:type="dcterms:W3CDTF">2024-01-22T07:12:00Z</dcterms:modified>
</cp:coreProperties>
</file>