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4C15" w:rsidRPr="00D3763B" w:rsidRDefault="003D4C15" w:rsidP="00B91508">
      <w:pPr>
        <w:pStyle w:val="NoSpacing"/>
        <w:spacing w:after="240"/>
        <w:jc w:val="both"/>
        <w:rPr>
          <w:rFonts w:asciiTheme="minorHAnsi" w:hAnsiTheme="minorHAnsi" w:cstheme="minorHAnsi"/>
        </w:rPr>
      </w:pPr>
      <w:bookmarkStart w:id="0" w:name="_GoBack"/>
      <w:bookmarkEnd w:id="0"/>
    </w:p>
    <w:p w:rsidR="003D4C15" w:rsidRPr="00D3763B" w:rsidRDefault="003D4C15" w:rsidP="00B91508">
      <w:pPr>
        <w:pStyle w:val="NoSpacing"/>
        <w:spacing w:after="240"/>
        <w:jc w:val="both"/>
        <w:rPr>
          <w:rFonts w:asciiTheme="minorHAnsi" w:hAnsiTheme="minorHAnsi" w:cstheme="minorHAnsi"/>
        </w:rPr>
      </w:pPr>
    </w:p>
    <w:p w:rsidR="00A4671F" w:rsidRPr="00D3763B" w:rsidRDefault="00A4671F" w:rsidP="00B91508">
      <w:pPr>
        <w:pStyle w:val="NoSpacing"/>
        <w:spacing w:after="1440"/>
        <w:ind w:left="1296" w:hanging="1296"/>
        <w:jc w:val="center"/>
        <w:rPr>
          <w:rFonts w:asciiTheme="minorHAnsi" w:hAnsiTheme="minorHAnsi" w:cstheme="minorHAnsi"/>
          <w:lang w:eastAsia="lt-LT"/>
        </w:rPr>
      </w:pPr>
    </w:p>
    <w:p w:rsidR="003D4C15" w:rsidRPr="00D3763B" w:rsidRDefault="003D4C15" w:rsidP="00B91508">
      <w:pPr>
        <w:pStyle w:val="NoSpacing"/>
        <w:spacing w:after="1440"/>
        <w:ind w:left="1296" w:hanging="1296"/>
        <w:jc w:val="center"/>
        <w:rPr>
          <w:rFonts w:asciiTheme="minorHAnsi" w:hAnsiTheme="minorHAnsi" w:cstheme="minorHAnsi"/>
        </w:rPr>
      </w:pPr>
      <w:r w:rsidRPr="00D3763B">
        <w:rPr>
          <w:rFonts w:asciiTheme="minorHAnsi" w:hAnsiTheme="minorHAnsi" w:cstheme="minorHAnsi"/>
          <w:noProof/>
          <w:lang w:eastAsia="lt-LT"/>
        </w:rPr>
        <w:drawing>
          <wp:inline distT="0" distB="0" distL="0" distR="0">
            <wp:extent cx="3084830" cy="2106930"/>
            <wp:effectExtent l="1905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a:stretch>
                      <a:fillRect/>
                    </a:stretch>
                  </pic:blipFill>
                  <pic:spPr bwMode="auto">
                    <a:xfrm>
                      <a:off x="0" y="0"/>
                      <a:ext cx="3084830" cy="2106930"/>
                    </a:xfrm>
                    <a:prstGeom prst="rect">
                      <a:avLst/>
                    </a:prstGeom>
                    <a:noFill/>
                    <a:ln w="9525">
                      <a:noFill/>
                      <a:miter lim="800000"/>
                      <a:headEnd/>
                      <a:tailEnd/>
                    </a:ln>
                  </pic:spPr>
                </pic:pic>
              </a:graphicData>
            </a:graphic>
          </wp:inline>
        </w:drawing>
      </w:r>
      <w:r w:rsidR="00B649F0" w:rsidRPr="00D3763B">
        <w:rPr>
          <w:rFonts w:asciiTheme="minorHAnsi" w:hAnsiTheme="minorHAnsi" w:cstheme="minorHAnsi"/>
          <w:noProof/>
          <w:lang w:eastAsia="lt-LT"/>
        </w:rPr>
        <mc:AlternateContent>
          <mc:Choice Requires="wps">
            <w:drawing>
              <wp:anchor distT="0" distB="0" distL="114300" distR="114300" simplePos="0" relativeHeight="251660288" behindDoc="0" locked="0" layoutInCell="0" allowOverlap="1">
                <wp:simplePos x="0" y="0"/>
                <wp:positionH relativeFrom="page">
                  <wp:posOffset>-302895</wp:posOffset>
                </wp:positionH>
                <wp:positionV relativeFrom="page">
                  <wp:posOffset>10160</wp:posOffset>
                </wp:positionV>
                <wp:extent cx="7917815" cy="624840"/>
                <wp:effectExtent l="0" t="0" r="5715" b="0"/>
                <wp:wrapNone/>
                <wp:docPr id="5"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17815" cy="624840"/>
                        </a:xfrm>
                        <a:prstGeom prst="rect">
                          <a:avLst/>
                        </a:prstGeom>
                        <a:solidFill>
                          <a:srgbClr val="365F91"/>
                        </a:solidFill>
                        <a:ln w="9525">
                          <a:solidFill>
                            <a:srgbClr val="31849B"/>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24168D3" id="Rectangle 7" o:spid="_x0000_s1026" style="position:absolute;margin-left:-23.85pt;margin-top:.8pt;width:623.45pt;height:49.2pt;z-index:251660288;visibility:visible;mso-wrap-style:square;mso-width-percent:1050;mso-height-percent:900;mso-wrap-distance-left:9pt;mso-wrap-distance-top:0;mso-wrap-distance-right:9pt;mso-wrap-distance-bottom:0;mso-position-horizontal:absolute;mso-position-horizontal-relative:page;mso-position-vertical:absolute;mso-position-vertical-relative:page;mso-width-percent:1050;mso-height-percent:90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" o:allowincell="f" fillcolor="#365f91" strokecolor="#31849b">
                <w10:wrap anchorx="page" anchory="page"/>
              </v:rect>
            </w:pict>
          </mc:Fallback>
        </mc:AlternateContent>
      </w:r>
      <w:r w:rsidR="00B649F0" w:rsidRPr="00D3763B">
        <w:rPr>
          <w:rFonts w:asciiTheme="minorHAnsi" w:hAnsiTheme="minorHAnsi" w:cstheme="minorHAnsi"/>
          <w:noProof/>
          <w:lang w:eastAsia="lt-LT"/>
        </w:rPr>
        <mc:AlternateContent>
          <mc:Choice Requires="wps">
            <w:drawing>
              <wp:anchor distT="0" distB="0" distL="114300" distR="114300" simplePos="0" relativeHeight="251659264" behindDoc="0" locked="0" layoutInCell="0" allowOverlap="1">
                <wp:simplePos x="0" y="0"/>
                <wp:positionH relativeFrom="page">
                  <wp:align>center</wp:align>
                </wp:positionH>
                <wp:positionV relativeFrom="page">
                  <wp:align>bottom</wp:align>
                </wp:positionV>
                <wp:extent cx="7917815" cy="624840"/>
                <wp:effectExtent l="0" t="0" r="5715" b="0"/>
                <wp:wrapNone/>
                <wp:docPr id="4"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17815" cy="624840"/>
                        </a:xfrm>
                        <a:prstGeom prst="rect">
                          <a:avLst/>
                        </a:prstGeom>
                        <a:solidFill>
                          <a:srgbClr val="365F91"/>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F108824" id="Rectangle 6" o:spid="_x0000_s1026" style="position:absolute;margin-left:0;margin-top:0;width:623.45pt;height:49.2pt;z-index:251659264;visibility:visible;mso-wrap-style:square;mso-width-percent:1050;mso-height-percent:900;mso-wrap-distance-left:9pt;mso-wrap-distance-top:0;mso-wrap-distance-right:9pt;mso-wrap-distance-bottom:0;mso-position-horizontal:center;mso-position-horizontal-relative:page;mso-position-vertical:bottom;mso-position-vertical-relative:page;mso-width-percent:1050;mso-height-percent:90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" o:allowincell="f" fillcolor="#365f91" strokecolor="#17365d">
                <w10:wrap anchorx="page" anchory="page"/>
              </v:rect>
            </w:pict>
          </mc:Fallback>
        </mc:AlternateContent>
      </w:r>
      <w:r w:rsidR="00B649F0" w:rsidRPr="00D3763B">
        <w:rPr>
          <w:rFonts w:asciiTheme="minorHAnsi" w:hAnsiTheme="minorHAnsi" w:cstheme="minorHAnsi"/>
          <w:noProof/>
          <w:lang w:eastAsia="lt-LT"/>
        </w:rPr>
        <mc:AlternateContent>
          <mc:Choice Requires="wps">
            <w:drawing>
              <wp:anchor distT="0" distB="0" distL="114300" distR="114300" simplePos="0" relativeHeight="251662336" behindDoc="0" locked="0" layoutInCell="0" allowOverlap="1">
                <wp:simplePos x="0" y="0"/>
                <wp:positionH relativeFrom="page">
                  <wp:posOffset>494665</wp:posOffset>
                </wp:positionH>
                <wp:positionV relativeFrom="page">
                  <wp:posOffset>-262255</wp:posOffset>
                </wp:positionV>
                <wp:extent cx="90805" cy="11202670"/>
                <wp:effectExtent l="0" t="0" r="4445" b="0"/>
                <wp:wrapNone/>
                <wp:docPr id="3"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202670"/>
                        </a:xfrm>
                        <a:prstGeom prst="rect">
                          <a:avLst/>
                        </a:prstGeom>
                        <a:solidFill>
                          <a:srgbClr val="FFFFFF"/>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FF0613C" id="Rectangle 9" o:spid="_x0000_s1026" style="position:absolute;margin-left:38.95pt;margin-top:-20.65pt;width:7.15pt;height:882.1pt;z-index:251662336;visibility:visible;mso-wrap-style:square;mso-width-percent:0;mso-height-percent:1050;mso-wrap-distance-left:9pt;mso-wrap-distance-top:0;mso-wrap-distance-right:9pt;mso-wrap-distance-bottom:0;mso-position-horizontal:absolute;mso-position-horizontal-relative:page;mso-position-vertical:absolute;mso-position-vertical-relative:page;mso-width-percent:0;mso-height-percent:10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" o:allowincell="f" strokecolor="#17365d">
                <w10:wrap anchorx="page" anchory="page"/>
              </v:rect>
            </w:pict>
          </mc:Fallback>
        </mc:AlternateContent>
      </w:r>
      <w:r w:rsidR="00B649F0" w:rsidRPr="00D3763B">
        <w:rPr>
          <w:rFonts w:asciiTheme="minorHAnsi" w:hAnsiTheme="minorHAnsi" w:cstheme="minorHAnsi"/>
          <w:noProof/>
          <w:lang w:eastAsia="lt-LT"/>
        </w:rPr>
        <mc:AlternateContent>
          <mc:Choice Requires="wps">
            <w:drawing>
              <wp:anchor distT="0" distB="0" distL="114300" distR="114300" simplePos="0" relativeHeight="251661312" behindDoc="0" locked="0" layoutInCell="0" allowOverlap="1">
                <wp:simplePos x="0" y="0"/>
                <wp:positionH relativeFrom="page">
                  <wp:posOffset>7244715</wp:posOffset>
                </wp:positionH>
                <wp:positionV relativeFrom="page">
                  <wp:posOffset>-262255</wp:posOffset>
                </wp:positionV>
                <wp:extent cx="90805" cy="11202670"/>
                <wp:effectExtent l="0" t="0" r="4445" b="0"/>
                <wp:wrapNone/>
                <wp:docPr id="2"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202670"/>
                        </a:xfrm>
                        <a:prstGeom prst="rect">
                          <a:avLst/>
                        </a:prstGeom>
                        <a:solidFill>
                          <a:srgbClr val="FFFFFF"/>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1F854FE" id="Rectangle 8" o:spid="_x0000_s1026" style="position:absolute;margin-left:570.45pt;margin-top:-20.65pt;width:7.15pt;height:882.1pt;z-index:251661312;visibility:visible;mso-wrap-style:square;mso-width-percent:0;mso-height-percent:1050;mso-wrap-distance-left:9pt;mso-wrap-distance-top:0;mso-wrap-distance-right:9pt;mso-wrap-distance-bottom:0;mso-position-horizontal:absolute;mso-position-horizontal-relative:page;mso-position-vertical:absolute;mso-position-vertical-relative:page;mso-width-percent:0;mso-height-percent:10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" o:allowincell="f" strokecolor="#17365d">
                <w10:wrap anchorx="page" anchory="page"/>
              </v:rect>
            </w:pict>
          </mc:Fallback>
        </mc:AlternateContent>
      </w:r>
    </w:p>
    <w:p w:rsidR="003D4C15" w:rsidRPr="00341604" w:rsidRDefault="003D4C15" w:rsidP="00B91508">
      <w:pPr>
        <w:pStyle w:val="NoSpacing"/>
        <w:jc w:val="center"/>
        <w:rPr>
          <w:rFonts w:asciiTheme="minorHAnsi" w:hAnsiTheme="minorHAnsi" w:cstheme="minorHAnsi"/>
          <w:smallCaps/>
          <w:sz w:val="52"/>
          <w:szCs w:val="52"/>
        </w:rPr>
      </w:pPr>
      <w:r w:rsidRPr="00341604">
        <w:rPr>
          <w:rFonts w:asciiTheme="minorHAnsi" w:hAnsiTheme="minorHAnsi" w:cstheme="minorHAnsi"/>
          <w:smallCaps/>
          <w:sz w:val="52"/>
          <w:szCs w:val="52"/>
        </w:rPr>
        <w:t>Lietuvos vyriausiojo administracinio teismo praktikos apžvalga</w:t>
      </w:r>
    </w:p>
    <w:p w:rsidR="003D4C15" w:rsidRPr="00341604" w:rsidRDefault="003D4C15" w:rsidP="00B91508">
      <w:pPr>
        <w:pStyle w:val="NoSpacing"/>
        <w:jc w:val="center"/>
        <w:rPr>
          <w:rFonts w:asciiTheme="minorHAnsi" w:hAnsiTheme="minorHAnsi" w:cstheme="minorHAnsi"/>
          <w:b/>
          <w:smallCaps/>
          <w:sz w:val="32"/>
          <w:szCs w:val="32"/>
          <w:u w:val="double"/>
        </w:rPr>
      </w:pPr>
      <w:bookmarkStart w:id="1" w:name="_Toc328035733"/>
      <w:bookmarkStart w:id="2" w:name="_Toc329780677"/>
      <w:bookmarkStart w:id="3" w:name="_Toc329787755"/>
      <w:bookmarkStart w:id="4" w:name="_Toc329790165"/>
      <w:bookmarkStart w:id="5" w:name="_Toc330304784"/>
      <w:bookmarkStart w:id="6" w:name="_Toc331487542"/>
      <w:r w:rsidRPr="00341604">
        <w:rPr>
          <w:rFonts w:asciiTheme="minorHAnsi" w:hAnsiTheme="minorHAnsi" w:cstheme="minorHAnsi"/>
          <w:b/>
          <w:smallCaps/>
          <w:sz w:val="32"/>
          <w:szCs w:val="32"/>
          <w:u w:val="double"/>
        </w:rPr>
        <w:t>201</w:t>
      </w:r>
      <w:r w:rsidR="005F2F6A" w:rsidRPr="00341604">
        <w:rPr>
          <w:rFonts w:asciiTheme="minorHAnsi" w:hAnsiTheme="minorHAnsi" w:cstheme="minorHAnsi"/>
          <w:b/>
          <w:smallCaps/>
          <w:sz w:val="32"/>
          <w:szCs w:val="32"/>
          <w:u w:val="double"/>
        </w:rPr>
        <w:t>8</w:t>
      </w:r>
      <w:r w:rsidRPr="00341604">
        <w:rPr>
          <w:rFonts w:asciiTheme="minorHAnsi" w:hAnsiTheme="minorHAnsi" w:cstheme="minorHAnsi"/>
          <w:b/>
          <w:smallCaps/>
          <w:sz w:val="32"/>
          <w:szCs w:val="32"/>
          <w:u w:val="double"/>
        </w:rPr>
        <w:t xml:space="preserve"> m. </w:t>
      </w:r>
      <w:r w:rsidR="003A53BD" w:rsidRPr="00341604">
        <w:rPr>
          <w:rFonts w:asciiTheme="minorHAnsi" w:hAnsiTheme="minorHAnsi" w:cstheme="minorHAnsi"/>
          <w:b/>
          <w:smallCaps/>
          <w:sz w:val="32"/>
          <w:szCs w:val="32"/>
          <w:u w:val="double"/>
        </w:rPr>
        <w:t>birželio</w:t>
      </w:r>
      <w:r w:rsidR="00AD7FF1" w:rsidRPr="00341604">
        <w:rPr>
          <w:rFonts w:asciiTheme="minorHAnsi" w:hAnsiTheme="minorHAnsi" w:cstheme="minorHAnsi"/>
          <w:b/>
          <w:smallCaps/>
          <w:sz w:val="32"/>
          <w:szCs w:val="32"/>
          <w:u w:val="double"/>
        </w:rPr>
        <w:t xml:space="preserve"> </w:t>
      </w:r>
      <w:r w:rsidRPr="00341604">
        <w:rPr>
          <w:rFonts w:asciiTheme="minorHAnsi" w:hAnsiTheme="minorHAnsi" w:cstheme="minorHAnsi"/>
          <w:b/>
          <w:smallCaps/>
          <w:sz w:val="32"/>
          <w:szCs w:val="32"/>
          <w:u w:val="double"/>
        </w:rPr>
        <w:t>1 d. – 201</w:t>
      </w:r>
      <w:r w:rsidR="005F2F6A" w:rsidRPr="00341604">
        <w:rPr>
          <w:rFonts w:asciiTheme="minorHAnsi" w:hAnsiTheme="minorHAnsi" w:cstheme="minorHAnsi"/>
          <w:b/>
          <w:smallCaps/>
          <w:sz w:val="32"/>
          <w:szCs w:val="32"/>
          <w:u w:val="double"/>
        </w:rPr>
        <w:t>8</w:t>
      </w:r>
      <w:r w:rsidRPr="00341604">
        <w:rPr>
          <w:rFonts w:asciiTheme="minorHAnsi" w:hAnsiTheme="minorHAnsi" w:cstheme="minorHAnsi"/>
          <w:b/>
          <w:smallCaps/>
          <w:sz w:val="32"/>
          <w:szCs w:val="32"/>
          <w:u w:val="double"/>
        </w:rPr>
        <w:t xml:space="preserve"> m.</w:t>
      </w:r>
      <w:r w:rsidR="00AD7FF1" w:rsidRPr="00341604">
        <w:rPr>
          <w:rFonts w:asciiTheme="minorHAnsi" w:hAnsiTheme="minorHAnsi" w:cstheme="minorHAnsi"/>
          <w:b/>
          <w:smallCaps/>
          <w:sz w:val="32"/>
          <w:szCs w:val="32"/>
          <w:u w:val="double"/>
        </w:rPr>
        <w:t xml:space="preserve"> </w:t>
      </w:r>
      <w:r w:rsidR="008D724C" w:rsidRPr="00341604">
        <w:rPr>
          <w:rFonts w:asciiTheme="minorHAnsi" w:hAnsiTheme="minorHAnsi" w:cstheme="minorHAnsi"/>
          <w:b/>
          <w:smallCaps/>
          <w:sz w:val="32"/>
          <w:szCs w:val="32"/>
          <w:u w:val="double"/>
        </w:rPr>
        <w:t xml:space="preserve">liepos </w:t>
      </w:r>
      <w:r w:rsidR="000238BA" w:rsidRPr="00341604">
        <w:rPr>
          <w:rFonts w:asciiTheme="minorHAnsi" w:hAnsiTheme="minorHAnsi" w:cstheme="minorHAnsi"/>
          <w:b/>
          <w:smallCaps/>
          <w:sz w:val="32"/>
          <w:szCs w:val="32"/>
          <w:u w:val="double"/>
        </w:rPr>
        <w:t>3</w:t>
      </w:r>
      <w:r w:rsidR="008D724C" w:rsidRPr="00341604">
        <w:rPr>
          <w:rFonts w:asciiTheme="minorHAnsi" w:hAnsiTheme="minorHAnsi" w:cstheme="minorHAnsi"/>
          <w:b/>
          <w:smallCaps/>
          <w:sz w:val="32"/>
          <w:szCs w:val="32"/>
          <w:u w:val="double"/>
        </w:rPr>
        <w:t>1</w:t>
      </w:r>
      <w:r w:rsidR="00AD7FF1" w:rsidRPr="00341604">
        <w:rPr>
          <w:rFonts w:asciiTheme="minorHAnsi" w:hAnsiTheme="minorHAnsi" w:cstheme="minorHAnsi"/>
          <w:b/>
          <w:smallCaps/>
          <w:sz w:val="32"/>
          <w:szCs w:val="32"/>
          <w:u w:val="double"/>
        </w:rPr>
        <w:t xml:space="preserve"> </w:t>
      </w:r>
      <w:r w:rsidRPr="00341604">
        <w:rPr>
          <w:rFonts w:asciiTheme="minorHAnsi" w:hAnsiTheme="minorHAnsi" w:cstheme="minorHAnsi"/>
          <w:b/>
          <w:smallCaps/>
          <w:sz w:val="32"/>
          <w:szCs w:val="32"/>
          <w:u w:val="double"/>
        </w:rPr>
        <w:t>d.</w:t>
      </w:r>
      <w:bookmarkEnd w:id="1"/>
      <w:bookmarkEnd w:id="2"/>
      <w:bookmarkEnd w:id="3"/>
      <w:bookmarkEnd w:id="4"/>
      <w:bookmarkEnd w:id="5"/>
      <w:bookmarkEnd w:id="6"/>
    </w:p>
    <w:p w:rsidR="003D4C15" w:rsidRPr="00D3763B" w:rsidRDefault="003D4C15" w:rsidP="00B91508">
      <w:pPr>
        <w:jc w:val="both"/>
        <w:rPr>
          <w:rFonts w:asciiTheme="minorHAnsi" w:hAnsiTheme="minorHAnsi" w:cstheme="minorHAnsi"/>
          <w:b/>
          <w:smallCaps/>
          <w:sz w:val="22"/>
          <w:szCs w:val="22"/>
        </w:rPr>
      </w:pPr>
    </w:p>
    <w:p w:rsidR="003D4C15" w:rsidRPr="00D3763B" w:rsidRDefault="003D4C15" w:rsidP="00B91508">
      <w:pPr>
        <w:jc w:val="both"/>
        <w:rPr>
          <w:rFonts w:asciiTheme="minorHAnsi" w:hAnsiTheme="minorHAnsi" w:cstheme="minorHAnsi"/>
          <w:b/>
          <w:smallCaps/>
          <w:sz w:val="22"/>
          <w:szCs w:val="22"/>
        </w:rPr>
      </w:pPr>
    </w:p>
    <w:p w:rsidR="003D4C15" w:rsidRPr="00D3763B" w:rsidRDefault="003D4C15" w:rsidP="00B91508">
      <w:pPr>
        <w:jc w:val="both"/>
        <w:rPr>
          <w:rFonts w:asciiTheme="minorHAnsi" w:hAnsiTheme="minorHAnsi" w:cstheme="minorHAnsi"/>
          <w:b/>
          <w:smallCaps/>
          <w:sz w:val="22"/>
          <w:szCs w:val="22"/>
        </w:rPr>
      </w:pPr>
    </w:p>
    <w:p w:rsidR="003D4C15" w:rsidRPr="00D3763B" w:rsidRDefault="003D4C15" w:rsidP="00B91508">
      <w:pPr>
        <w:jc w:val="both"/>
        <w:rPr>
          <w:rFonts w:asciiTheme="minorHAnsi" w:hAnsiTheme="minorHAnsi" w:cstheme="minorHAnsi"/>
          <w:b/>
          <w:smallCaps/>
          <w:sz w:val="22"/>
          <w:szCs w:val="22"/>
        </w:rPr>
      </w:pPr>
    </w:p>
    <w:p w:rsidR="003D4C15" w:rsidRPr="00D3763B" w:rsidRDefault="003D4C15" w:rsidP="00B91508">
      <w:pPr>
        <w:jc w:val="both"/>
        <w:rPr>
          <w:rFonts w:asciiTheme="minorHAnsi" w:hAnsiTheme="minorHAnsi" w:cstheme="minorHAnsi"/>
          <w:b/>
          <w:smallCaps/>
          <w:sz w:val="22"/>
          <w:szCs w:val="22"/>
        </w:rPr>
      </w:pPr>
    </w:p>
    <w:p w:rsidR="003D4C15" w:rsidRPr="00D3763B" w:rsidRDefault="003D4C15" w:rsidP="00B91508">
      <w:pPr>
        <w:jc w:val="both"/>
        <w:rPr>
          <w:rFonts w:asciiTheme="minorHAnsi" w:hAnsiTheme="minorHAnsi" w:cstheme="minorHAnsi"/>
          <w:b/>
          <w:smallCaps/>
          <w:sz w:val="22"/>
          <w:szCs w:val="22"/>
        </w:rPr>
      </w:pPr>
    </w:p>
    <w:p w:rsidR="003D4C15" w:rsidRPr="00D3763B" w:rsidRDefault="003D4C15" w:rsidP="00B91508">
      <w:pPr>
        <w:jc w:val="both"/>
        <w:rPr>
          <w:rFonts w:asciiTheme="minorHAnsi" w:hAnsiTheme="minorHAnsi" w:cstheme="minorHAnsi"/>
          <w:b/>
          <w:smallCaps/>
          <w:sz w:val="22"/>
          <w:szCs w:val="22"/>
        </w:rPr>
      </w:pPr>
    </w:p>
    <w:p w:rsidR="003D4C15" w:rsidRPr="00D3763B" w:rsidRDefault="003D4C15" w:rsidP="00B91508">
      <w:pPr>
        <w:jc w:val="both"/>
        <w:rPr>
          <w:rFonts w:asciiTheme="minorHAnsi" w:hAnsiTheme="minorHAnsi" w:cstheme="minorHAnsi"/>
          <w:b/>
          <w:smallCaps/>
          <w:sz w:val="22"/>
          <w:szCs w:val="22"/>
        </w:rPr>
      </w:pPr>
    </w:p>
    <w:p w:rsidR="003D4C15" w:rsidRPr="00D3763B" w:rsidRDefault="003D4C15" w:rsidP="00B91508">
      <w:pPr>
        <w:jc w:val="both"/>
        <w:rPr>
          <w:rFonts w:asciiTheme="minorHAnsi" w:hAnsiTheme="minorHAnsi" w:cstheme="minorHAnsi"/>
          <w:b/>
          <w:smallCaps/>
          <w:sz w:val="22"/>
          <w:szCs w:val="22"/>
        </w:rPr>
      </w:pPr>
    </w:p>
    <w:p w:rsidR="003D4C15" w:rsidRPr="00D3763B" w:rsidRDefault="003D4C15" w:rsidP="00B91508">
      <w:pPr>
        <w:jc w:val="both"/>
        <w:rPr>
          <w:rFonts w:asciiTheme="minorHAnsi" w:hAnsiTheme="minorHAnsi" w:cstheme="minorHAnsi"/>
          <w:b/>
          <w:smallCaps/>
          <w:sz w:val="22"/>
          <w:szCs w:val="22"/>
        </w:rPr>
      </w:pPr>
    </w:p>
    <w:p w:rsidR="003D4C15" w:rsidRPr="00D3763B" w:rsidRDefault="003D4C15" w:rsidP="00B91508">
      <w:pPr>
        <w:jc w:val="both"/>
        <w:rPr>
          <w:rFonts w:asciiTheme="minorHAnsi" w:hAnsiTheme="minorHAnsi" w:cstheme="minorHAnsi"/>
          <w:b/>
          <w:smallCaps/>
          <w:sz w:val="22"/>
          <w:szCs w:val="22"/>
        </w:rPr>
      </w:pPr>
    </w:p>
    <w:p w:rsidR="003D4C15" w:rsidRPr="00D3763B" w:rsidRDefault="003D4C15" w:rsidP="00B91508">
      <w:pPr>
        <w:jc w:val="both"/>
        <w:rPr>
          <w:rFonts w:asciiTheme="minorHAnsi" w:hAnsiTheme="minorHAnsi" w:cstheme="minorHAnsi"/>
          <w:b/>
          <w:smallCaps/>
          <w:sz w:val="22"/>
          <w:szCs w:val="22"/>
        </w:rPr>
      </w:pPr>
    </w:p>
    <w:p w:rsidR="003D4C15" w:rsidRPr="00D3763B" w:rsidRDefault="003D4C15" w:rsidP="00B91508">
      <w:pPr>
        <w:jc w:val="both"/>
        <w:rPr>
          <w:rFonts w:asciiTheme="minorHAnsi" w:hAnsiTheme="minorHAnsi" w:cstheme="minorHAnsi"/>
          <w:b/>
          <w:smallCaps/>
          <w:sz w:val="22"/>
          <w:szCs w:val="22"/>
        </w:rPr>
      </w:pPr>
    </w:p>
    <w:p w:rsidR="003D4C15" w:rsidRPr="00D3763B" w:rsidRDefault="003D4C15" w:rsidP="00B91508">
      <w:pPr>
        <w:jc w:val="both"/>
        <w:rPr>
          <w:rFonts w:asciiTheme="minorHAnsi" w:hAnsiTheme="minorHAnsi" w:cstheme="minorHAnsi"/>
          <w:b/>
          <w:smallCaps/>
          <w:sz w:val="22"/>
          <w:szCs w:val="22"/>
        </w:rPr>
      </w:pPr>
    </w:p>
    <w:p w:rsidR="003D4C15" w:rsidRPr="00D3763B" w:rsidRDefault="003D4C15" w:rsidP="00B91508">
      <w:pPr>
        <w:jc w:val="both"/>
        <w:rPr>
          <w:rFonts w:asciiTheme="minorHAnsi" w:hAnsiTheme="minorHAnsi" w:cstheme="minorHAnsi"/>
          <w:b/>
          <w:smallCaps/>
          <w:sz w:val="22"/>
          <w:szCs w:val="22"/>
        </w:rPr>
      </w:pPr>
    </w:p>
    <w:p w:rsidR="003D4C15" w:rsidRPr="00341604" w:rsidRDefault="003D4C15" w:rsidP="00B91508">
      <w:pPr>
        <w:jc w:val="center"/>
        <w:rPr>
          <w:rFonts w:asciiTheme="minorHAnsi" w:hAnsiTheme="minorHAnsi" w:cstheme="minorHAnsi"/>
          <w:b/>
          <w:smallCaps/>
          <w:sz w:val="28"/>
          <w:szCs w:val="28"/>
        </w:rPr>
      </w:pPr>
      <w:r w:rsidRPr="00341604">
        <w:rPr>
          <w:rFonts w:asciiTheme="minorHAnsi" w:hAnsiTheme="minorHAnsi" w:cstheme="minorHAnsi"/>
          <w:b/>
          <w:smallCaps/>
          <w:sz w:val="28"/>
          <w:szCs w:val="28"/>
        </w:rPr>
        <w:t>Apžvalgą parengė Lietuvos vyriausiojo administracinio teismo</w:t>
      </w:r>
    </w:p>
    <w:p w:rsidR="003D4C15" w:rsidRPr="00D3763B" w:rsidRDefault="003D4C15" w:rsidP="00B91508">
      <w:pPr>
        <w:jc w:val="center"/>
        <w:rPr>
          <w:rFonts w:asciiTheme="minorHAnsi" w:hAnsiTheme="minorHAnsi" w:cstheme="minorHAnsi"/>
          <w:sz w:val="22"/>
          <w:szCs w:val="22"/>
        </w:rPr>
      </w:pPr>
      <w:r w:rsidRPr="00341604">
        <w:rPr>
          <w:rFonts w:asciiTheme="minorHAnsi" w:hAnsiTheme="minorHAnsi" w:cstheme="minorHAnsi"/>
          <w:b/>
          <w:smallCaps/>
          <w:sz w:val="28"/>
          <w:szCs w:val="28"/>
        </w:rPr>
        <w:t>T</w:t>
      </w:r>
      <w:r w:rsidR="0016762E" w:rsidRPr="00341604">
        <w:rPr>
          <w:rFonts w:asciiTheme="minorHAnsi" w:hAnsiTheme="minorHAnsi" w:cstheme="minorHAnsi"/>
          <w:b/>
          <w:smallCaps/>
          <w:sz w:val="28"/>
          <w:szCs w:val="28"/>
        </w:rPr>
        <w:t xml:space="preserve">eismų praktikos </w:t>
      </w:r>
      <w:r w:rsidRPr="00341604">
        <w:rPr>
          <w:rFonts w:asciiTheme="minorHAnsi" w:hAnsiTheme="minorHAnsi" w:cstheme="minorHAnsi"/>
          <w:b/>
          <w:smallCaps/>
          <w:sz w:val="28"/>
          <w:szCs w:val="28"/>
        </w:rPr>
        <w:t>departamentas</w:t>
      </w:r>
      <w:r w:rsidRPr="00D3763B">
        <w:rPr>
          <w:rFonts w:asciiTheme="minorHAnsi" w:hAnsiTheme="minorHAnsi" w:cstheme="minorHAnsi"/>
          <w:smallCaps/>
          <w:sz w:val="22"/>
          <w:szCs w:val="22"/>
        </w:rPr>
        <w:br w:type="page"/>
      </w:r>
      <w:bookmarkStart w:id="7" w:name="_Toc120597382"/>
      <w:r w:rsidRPr="00D3763B">
        <w:rPr>
          <w:rFonts w:asciiTheme="minorHAnsi" w:hAnsiTheme="minorHAnsi" w:cstheme="minorHAnsi"/>
          <w:b/>
          <w:sz w:val="22"/>
          <w:szCs w:val="22"/>
        </w:rPr>
        <w:lastRenderedPageBreak/>
        <w:t>TURINYS</w:t>
      </w:r>
    </w:p>
    <w:p w:rsidR="004B5EC9" w:rsidRDefault="003E42E1">
      <w:pPr>
        <w:pStyle w:val="TOC1"/>
        <w:rPr>
          <w:rFonts w:eastAsiaTheme="minorEastAsia" w:cstheme="minorBidi"/>
          <w:b w:val="0"/>
          <w:bCs w:val="0"/>
          <w:caps w:val="0"/>
          <w:noProof/>
          <w:szCs w:val="22"/>
        </w:rPr>
      </w:pPr>
      <w:r w:rsidRPr="00D3763B">
        <w:rPr>
          <w:rFonts w:cstheme="minorHAnsi"/>
          <w:szCs w:val="22"/>
        </w:rPr>
        <w:fldChar w:fldCharType="begin"/>
      </w:r>
      <w:r w:rsidR="003D4C15" w:rsidRPr="00D3763B">
        <w:rPr>
          <w:rFonts w:cstheme="minorHAnsi"/>
          <w:szCs w:val="22"/>
        </w:rPr>
        <w:instrText xml:space="preserve"> TOC \o "1-3" \h \z \u </w:instrText>
      </w:r>
      <w:r w:rsidRPr="00D3763B">
        <w:rPr>
          <w:rFonts w:cstheme="minorHAnsi"/>
          <w:szCs w:val="22"/>
        </w:rPr>
        <w:fldChar w:fldCharType="separate"/>
      </w:r>
      <w:hyperlink w:anchor="_Toc524957029" w:history="1">
        <w:r w:rsidR="004B5EC9" w:rsidRPr="00033072">
          <w:rPr>
            <w:rStyle w:val="Hyperlink"/>
            <w:rFonts w:cstheme="minorHAnsi"/>
            <w:noProof/>
          </w:rPr>
          <w:t>I. Administracinės bylos, kylančios iš ginčų dėl teisės viešojo administravimo srityje</w:t>
        </w:r>
        <w:r w:rsidR="004B5EC9">
          <w:rPr>
            <w:noProof/>
            <w:webHidden/>
          </w:rPr>
          <w:tab/>
        </w:r>
        <w:r w:rsidR="004B5EC9">
          <w:rPr>
            <w:noProof/>
            <w:webHidden/>
          </w:rPr>
          <w:fldChar w:fldCharType="begin"/>
        </w:r>
        <w:r w:rsidR="004B5EC9">
          <w:rPr>
            <w:noProof/>
            <w:webHidden/>
          </w:rPr>
          <w:instrText xml:space="preserve"> PAGEREF _Toc524957029 \h </w:instrText>
        </w:r>
        <w:r w:rsidR="004B5EC9">
          <w:rPr>
            <w:noProof/>
            <w:webHidden/>
          </w:rPr>
        </w:r>
        <w:r w:rsidR="004B5EC9">
          <w:rPr>
            <w:noProof/>
            <w:webHidden/>
          </w:rPr>
          <w:fldChar w:fldCharType="separate"/>
        </w:r>
        <w:r w:rsidR="000220C9">
          <w:rPr>
            <w:noProof/>
            <w:webHidden/>
          </w:rPr>
          <w:t>4</w:t>
        </w:r>
        <w:r w:rsidR="004B5EC9">
          <w:rPr>
            <w:noProof/>
            <w:webHidden/>
          </w:rPr>
          <w:fldChar w:fldCharType="end"/>
        </w:r>
      </w:hyperlink>
    </w:p>
    <w:p w:rsidR="004B5EC9" w:rsidRDefault="000220C9">
      <w:pPr>
        <w:pStyle w:val="TOC1"/>
        <w:rPr>
          <w:rFonts w:eastAsiaTheme="minorEastAsia" w:cstheme="minorBidi"/>
          <w:b w:val="0"/>
          <w:bCs w:val="0"/>
          <w:caps w:val="0"/>
          <w:noProof/>
          <w:szCs w:val="22"/>
        </w:rPr>
      </w:pPr>
      <w:hyperlink w:anchor="_Toc524957030" w:history="1">
        <w:r w:rsidR="004B5EC9" w:rsidRPr="00033072">
          <w:rPr>
            <w:rStyle w:val="Hyperlink"/>
            <w:rFonts w:cstheme="minorHAnsi"/>
            <w:noProof/>
          </w:rPr>
          <w:t>4. Norminių administracinių aktų teisėtumo patikra</w:t>
        </w:r>
        <w:r w:rsidR="004B5EC9">
          <w:rPr>
            <w:noProof/>
            <w:webHidden/>
          </w:rPr>
          <w:tab/>
        </w:r>
        <w:r w:rsidR="004B5EC9">
          <w:rPr>
            <w:noProof/>
            <w:webHidden/>
          </w:rPr>
          <w:fldChar w:fldCharType="begin"/>
        </w:r>
        <w:r w:rsidR="004B5EC9">
          <w:rPr>
            <w:noProof/>
            <w:webHidden/>
          </w:rPr>
          <w:instrText xml:space="preserve"> PAGEREF _Toc524957030 \h </w:instrText>
        </w:r>
        <w:r w:rsidR="004B5EC9">
          <w:rPr>
            <w:noProof/>
            <w:webHidden/>
          </w:rPr>
        </w:r>
        <w:r w:rsidR="004B5EC9">
          <w:rPr>
            <w:noProof/>
            <w:webHidden/>
          </w:rPr>
          <w:fldChar w:fldCharType="separate"/>
        </w:r>
        <w:r>
          <w:rPr>
            <w:noProof/>
            <w:webHidden/>
          </w:rPr>
          <w:t>4</w:t>
        </w:r>
        <w:r w:rsidR="004B5EC9">
          <w:rPr>
            <w:noProof/>
            <w:webHidden/>
          </w:rPr>
          <w:fldChar w:fldCharType="end"/>
        </w:r>
      </w:hyperlink>
    </w:p>
    <w:p w:rsidR="004B5EC9" w:rsidRDefault="000220C9">
      <w:pPr>
        <w:pStyle w:val="TOC2"/>
        <w:rPr>
          <w:rFonts w:eastAsiaTheme="minorEastAsia" w:cstheme="minorBidi"/>
          <w:i w:val="0"/>
          <w:noProof/>
          <w:szCs w:val="22"/>
        </w:rPr>
      </w:pPr>
      <w:hyperlink w:anchor="_Toc524957031" w:history="1">
        <w:r w:rsidR="004B5EC9" w:rsidRPr="00033072">
          <w:rPr>
            <w:rStyle w:val="Hyperlink"/>
            <w:noProof/>
          </w:rPr>
          <w:t xml:space="preserve">Dėl Asmenų </w:t>
        </w:r>
        <w:r w:rsidR="004B5EC9" w:rsidRPr="00033072">
          <w:rPr>
            <w:rStyle w:val="Hyperlink"/>
            <w:iCs/>
            <w:noProof/>
          </w:rPr>
          <w:t>aptarnavimo</w:t>
        </w:r>
        <w:r w:rsidR="004B5EC9" w:rsidRPr="00033072">
          <w:rPr>
            <w:rStyle w:val="Hyperlink"/>
            <w:noProof/>
          </w:rPr>
          <w:t xml:space="preserve"> Lietuvos Respublikos prokuratūroje aprašo 4.13 ir 74 punktų teisėtumo</w:t>
        </w:r>
        <w:r w:rsidR="004B5EC9">
          <w:rPr>
            <w:noProof/>
            <w:webHidden/>
          </w:rPr>
          <w:tab/>
        </w:r>
        <w:r w:rsidR="004B5EC9">
          <w:rPr>
            <w:noProof/>
            <w:webHidden/>
          </w:rPr>
          <w:fldChar w:fldCharType="begin"/>
        </w:r>
        <w:r w:rsidR="004B5EC9">
          <w:rPr>
            <w:noProof/>
            <w:webHidden/>
          </w:rPr>
          <w:instrText xml:space="preserve"> PAGEREF _Toc524957031 \h </w:instrText>
        </w:r>
        <w:r w:rsidR="004B5EC9">
          <w:rPr>
            <w:noProof/>
            <w:webHidden/>
          </w:rPr>
        </w:r>
        <w:r w:rsidR="004B5EC9">
          <w:rPr>
            <w:noProof/>
            <w:webHidden/>
          </w:rPr>
          <w:fldChar w:fldCharType="separate"/>
        </w:r>
        <w:r>
          <w:rPr>
            <w:noProof/>
            <w:webHidden/>
          </w:rPr>
          <w:t>4</w:t>
        </w:r>
        <w:r w:rsidR="004B5EC9">
          <w:rPr>
            <w:noProof/>
            <w:webHidden/>
          </w:rPr>
          <w:fldChar w:fldCharType="end"/>
        </w:r>
      </w:hyperlink>
    </w:p>
    <w:p w:rsidR="004B5EC9" w:rsidRDefault="000220C9">
      <w:pPr>
        <w:pStyle w:val="TOC2"/>
        <w:rPr>
          <w:rFonts w:eastAsiaTheme="minorEastAsia" w:cstheme="minorBidi"/>
          <w:i w:val="0"/>
          <w:noProof/>
          <w:szCs w:val="22"/>
        </w:rPr>
      </w:pPr>
      <w:hyperlink w:anchor="_Toc524957032" w:history="1">
        <w:r w:rsidR="004B5EC9" w:rsidRPr="00033072">
          <w:rPr>
            <w:rStyle w:val="Hyperlink"/>
            <w:noProof/>
          </w:rPr>
          <w:t>Dėl radiologijos paslaugų</w:t>
        </w:r>
        <w:r w:rsidR="004B5EC9">
          <w:rPr>
            <w:noProof/>
            <w:webHidden/>
          </w:rPr>
          <w:tab/>
        </w:r>
        <w:r w:rsidR="004B5EC9">
          <w:rPr>
            <w:noProof/>
            <w:webHidden/>
          </w:rPr>
          <w:fldChar w:fldCharType="begin"/>
        </w:r>
        <w:r w:rsidR="004B5EC9">
          <w:rPr>
            <w:noProof/>
            <w:webHidden/>
          </w:rPr>
          <w:instrText xml:space="preserve"> PAGEREF _Toc524957032 \h </w:instrText>
        </w:r>
        <w:r w:rsidR="004B5EC9">
          <w:rPr>
            <w:noProof/>
            <w:webHidden/>
          </w:rPr>
        </w:r>
        <w:r w:rsidR="004B5EC9">
          <w:rPr>
            <w:noProof/>
            <w:webHidden/>
          </w:rPr>
          <w:fldChar w:fldCharType="separate"/>
        </w:r>
        <w:r>
          <w:rPr>
            <w:noProof/>
            <w:webHidden/>
          </w:rPr>
          <w:t>5</w:t>
        </w:r>
        <w:r w:rsidR="004B5EC9">
          <w:rPr>
            <w:noProof/>
            <w:webHidden/>
          </w:rPr>
          <w:fldChar w:fldCharType="end"/>
        </w:r>
      </w:hyperlink>
    </w:p>
    <w:p w:rsidR="004B5EC9" w:rsidRDefault="000220C9">
      <w:pPr>
        <w:pStyle w:val="TOC2"/>
        <w:rPr>
          <w:rFonts w:eastAsiaTheme="minorEastAsia" w:cstheme="minorBidi"/>
          <w:i w:val="0"/>
          <w:noProof/>
          <w:szCs w:val="22"/>
        </w:rPr>
      </w:pPr>
      <w:hyperlink w:anchor="_Toc524957033" w:history="1">
        <w:r w:rsidR="004B5EC9" w:rsidRPr="00033072">
          <w:rPr>
            <w:rStyle w:val="Hyperlink"/>
            <w:noProof/>
          </w:rPr>
          <w:t>Dėl Turto arba verslo vertintojų garbės teismo nuostatų teisėtumo</w:t>
        </w:r>
        <w:r w:rsidR="004B5EC9">
          <w:rPr>
            <w:noProof/>
            <w:webHidden/>
          </w:rPr>
          <w:tab/>
        </w:r>
        <w:r w:rsidR="004B5EC9">
          <w:rPr>
            <w:noProof/>
            <w:webHidden/>
          </w:rPr>
          <w:fldChar w:fldCharType="begin"/>
        </w:r>
        <w:r w:rsidR="004B5EC9">
          <w:rPr>
            <w:noProof/>
            <w:webHidden/>
          </w:rPr>
          <w:instrText xml:space="preserve"> PAGEREF _Toc524957033 \h </w:instrText>
        </w:r>
        <w:r w:rsidR="004B5EC9">
          <w:rPr>
            <w:noProof/>
            <w:webHidden/>
          </w:rPr>
        </w:r>
        <w:r w:rsidR="004B5EC9">
          <w:rPr>
            <w:noProof/>
            <w:webHidden/>
          </w:rPr>
          <w:fldChar w:fldCharType="separate"/>
        </w:r>
        <w:r>
          <w:rPr>
            <w:noProof/>
            <w:webHidden/>
          </w:rPr>
          <w:t>7</w:t>
        </w:r>
        <w:r w:rsidR="004B5EC9">
          <w:rPr>
            <w:noProof/>
            <w:webHidden/>
          </w:rPr>
          <w:fldChar w:fldCharType="end"/>
        </w:r>
      </w:hyperlink>
    </w:p>
    <w:p w:rsidR="004B5EC9" w:rsidRDefault="000220C9">
      <w:pPr>
        <w:pStyle w:val="TOC1"/>
        <w:rPr>
          <w:rFonts w:eastAsiaTheme="minorEastAsia" w:cstheme="minorBidi"/>
          <w:b w:val="0"/>
          <w:bCs w:val="0"/>
          <w:caps w:val="0"/>
          <w:noProof/>
          <w:szCs w:val="22"/>
        </w:rPr>
      </w:pPr>
      <w:hyperlink w:anchor="_Toc524957034" w:history="1">
        <w:r w:rsidR="004B5EC9" w:rsidRPr="00033072">
          <w:rPr>
            <w:rStyle w:val="Hyperlink"/>
            <w:rFonts w:cstheme="minorHAnsi"/>
            <w:noProof/>
          </w:rPr>
          <w:t>7. Socialinė apsauga</w:t>
        </w:r>
        <w:r w:rsidR="004B5EC9">
          <w:rPr>
            <w:noProof/>
            <w:webHidden/>
          </w:rPr>
          <w:tab/>
        </w:r>
        <w:r w:rsidR="004B5EC9">
          <w:rPr>
            <w:noProof/>
            <w:webHidden/>
          </w:rPr>
          <w:fldChar w:fldCharType="begin"/>
        </w:r>
        <w:r w:rsidR="004B5EC9">
          <w:rPr>
            <w:noProof/>
            <w:webHidden/>
          </w:rPr>
          <w:instrText xml:space="preserve"> PAGEREF _Toc524957034 \h </w:instrText>
        </w:r>
        <w:r w:rsidR="004B5EC9">
          <w:rPr>
            <w:noProof/>
            <w:webHidden/>
          </w:rPr>
        </w:r>
        <w:r w:rsidR="004B5EC9">
          <w:rPr>
            <w:noProof/>
            <w:webHidden/>
          </w:rPr>
          <w:fldChar w:fldCharType="separate"/>
        </w:r>
        <w:r>
          <w:rPr>
            <w:noProof/>
            <w:webHidden/>
          </w:rPr>
          <w:t>9</w:t>
        </w:r>
        <w:r w:rsidR="004B5EC9">
          <w:rPr>
            <w:noProof/>
            <w:webHidden/>
          </w:rPr>
          <w:fldChar w:fldCharType="end"/>
        </w:r>
      </w:hyperlink>
    </w:p>
    <w:p w:rsidR="004B5EC9" w:rsidRDefault="000220C9">
      <w:pPr>
        <w:pStyle w:val="TOC2"/>
        <w:rPr>
          <w:rFonts w:eastAsiaTheme="minorEastAsia" w:cstheme="minorBidi"/>
          <w:i w:val="0"/>
          <w:noProof/>
          <w:szCs w:val="22"/>
        </w:rPr>
      </w:pPr>
      <w:hyperlink w:anchor="_Toc524957035" w:history="1">
        <w:r w:rsidR="004B5EC9" w:rsidRPr="00033072">
          <w:rPr>
            <w:rStyle w:val="Hyperlink"/>
            <w:noProof/>
          </w:rPr>
          <w:t>Dėl eksperto atlygio neprilyginimo pareiginei algai Pareigūnų ir karių valstybinių pensijų įstatymo 7 straipsnio prasme</w:t>
        </w:r>
        <w:r w:rsidR="004B5EC9">
          <w:rPr>
            <w:noProof/>
            <w:webHidden/>
          </w:rPr>
          <w:tab/>
        </w:r>
        <w:r w:rsidR="004B5EC9">
          <w:rPr>
            <w:noProof/>
            <w:webHidden/>
          </w:rPr>
          <w:fldChar w:fldCharType="begin"/>
        </w:r>
        <w:r w:rsidR="004B5EC9">
          <w:rPr>
            <w:noProof/>
            <w:webHidden/>
          </w:rPr>
          <w:instrText xml:space="preserve"> PAGEREF _Toc524957035 \h </w:instrText>
        </w:r>
        <w:r w:rsidR="004B5EC9">
          <w:rPr>
            <w:noProof/>
            <w:webHidden/>
          </w:rPr>
        </w:r>
        <w:r w:rsidR="004B5EC9">
          <w:rPr>
            <w:noProof/>
            <w:webHidden/>
          </w:rPr>
          <w:fldChar w:fldCharType="separate"/>
        </w:r>
        <w:r>
          <w:rPr>
            <w:noProof/>
            <w:webHidden/>
          </w:rPr>
          <w:t>9</w:t>
        </w:r>
        <w:r w:rsidR="004B5EC9">
          <w:rPr>
            <w:noProof/>
            <w:webHidden/>
          </w:rPr>
          <w:fldChar w:fldCharType="end"/>
        </w:r>
      </w:hyperlink>
    </w:p>
    <w:p w:rsidR="004B5EC9" w:rsidRDefault="000220C9">
      <w:pPr>
        <w:pStyle w:val="TOC1"/>
        <w:rPr>
          <w:rFonts w:eastAsiaTheme="minorEastAsia" w:cstheme="minorBidi"/>
          <w:b w:val="0"/>
          <w:bCs w:val="0"/>
          <w:caps w:val="0"/>
          <w:noProof/>
          <w:szCs w:val="22"/>
        </w:rPr>
      </w:pPr>
      <w:hyperlink w:anchor="_Toc524957036" w:history="1">
        <w:r w:rsidR="004B5EC9" w:rsidRPr="00033072">
          <w:rPr>
            <w:rStyle w:val="Hyperlink"/>
            <w:rFonts w:cstheme="minorHAnsi"/>
            <w:noProof/>
          </w:rPr>
          <w:t>9. Prieglobstis</w:t>
        </w:r>
        <w:r w:rsidR="004B5EC9">
          <w:rPr>
            <w:noProof/>
            <w:webHidden/>
          </w:rPr>
          <w:tab/>
        </w:r>
        <w:r w:rsidR="004B5EC9">
          <w:rPr>
            <w:noProof/>
            <w:webHidden/>
          </w:rPr>
          <w:fldChar w:fldCharType="begin"/>
        </w:r>
        <w:r w:rsidR="004B5EC9">
          <w:rPr>
            <w:noProof/>
            <w:webHidden/>
          </w:rPr>
          <w:instrText xml:space="preserve"> PAGEREF _Toc524957036 \h </w:instrText>
        </w:r>
        <w:r w:rsidR="004B5EC9">
          <w:rPr>
            <w:noProof/>
            <w:webHidden/>
          </w:rPr>
        </w:r>
        <w:r w:rsidR="004B5EC9">
          <w:rPr>
            <w:noProof/>
            <w:webHidden/>
          </w:rPr>
          <w:fldChar w:fldCharType="separate"/>
        </w:r>
        <w:r>
          <w:rPr>
            <w:noProof/>
            <w:webHidden/>
          </w:rPr>
          <w:t>10</w:t>
        </w:r>
        <w:r w:rsidR="004B5EC9">
          <w:rPr>
            <w:noProof/>
            <w:webHidden/>
          </w:rPr>
          <w:fldChar w:fldCharType="end"/>
        </w:r>
      </w:hyperlink>
    </w:p>
    <w:p w:rsidR="004B5EC9" w:rsidRDefault="000220C9">
      <w:pPr>
        <w:pStyle w:val="TOC2"/>
        <w:rPr>
          <w:rFonts w:eastAsiaTheme="minorEastAsia" w:cstheme="minorBidi"/>
          <w:i w:val="0"/>
          <w:noProof/>
          <w:szCs w:val="22"/>
        </w:rPr>
      </w:pPr>
      <w:hyperlink w:anchor="_Toc524957037" w:history="1">
        <w:r w:rsidR="004B5EC9" w:rsidRPr="00033072">
          <w:rPr>
            <w:rStyle w:val="Hyperlink"/>
            <w:noProof/>
          </w:rPr>
          <w:t>Dėl pareigos priimant sprendimą dėl prieglobsčio prašytojo perdavimo kitai valstybei narei įvertinti ir motyvuotai pasisakyti dėl tokio asmens situacijos, susijusios su humanitariniais sumetimais ir prieglobsčio prašytojo giminaičių sveikatos būkle, neįgalumu, prieglobsčio prašytojo galimybėmis jais rūpintis</w:t>
        </w:r>
        <w:r w:rsidR="004B5EC9">
          <w:rPr>
            <w:noProof/>
            <w:webHidden/>
          </w:rPr>
          <w:tab/>
        </w:r>
        <w:r w:rsidR="004B5EC9">
          <w:rPr>
            <w:noProof/>
            <w:webHidden/>
          </w:rPr>
          <w:fldChar w:fldCharType="begin"/>
        </w:r>
        <w:r w:rsidR="004B5EC9">
          <w:rPr>
            <w:noProof/>
            <w:webHidden/>
          </w:rPr>
          <w:instrText xml:space="preserve"> PAGEREF _Toc524957037 \h </w:instrText>
        </w:r>
        <w:r w:rsidR="004B5EC9">
          <w:rPr>
            <w:noProof/>
            <w:webHidden/>
          </w:rPr>
        </w:r>
        <w:r w:rsidR="004B5EC9">
          <w:rPr>
            <w:noProof/>
            <w:webHidden/>
          </w:rPr>
          <w:fldChar w:fldCharType="separate"/>
        </w:r>
        <w:r>
          <w:rPr>
            <w:noProof/>
            <w:webHidden/>
          </w:rPr>
          <w:t>11</w:t>
        </w:r>
        <w:r w:rsidR="004B5EC9">
          <w:rPr>
            <w:noProof/>
            <w:webHidden/>
          </w:rPr>
          <w:fldChar w:fldCharType="end"/>
        </w:r>
      </w:hyperlink>
    </w:p>
    <w:p w:rsidR="004B5EC9" w:rsidRDefault="000220C9">
      <w:pPr>
        <w:pStyle w:val="TOC1"/>
        <w:rPr>
          <w:rFonts w:eastAsiaTheme="minorEastAsia" w:cstheme="minorBidi"/>
          <w:b w:val="0"/>
          <w:bCs w:val="0"/>
          <w:caps w:val="0"/>
          <w:noProof/>
          <w:szCs w:val="22"/>
        </w:rPr>
      </w:pPr>
      <w:hyperlink w:anchor="_Toc524957038" w:history="1">
        <w:r w:rsidR="004B5EC9" w:rsidRPr="00033072">
          <w:rPr>
            <w:rStyle w:val="Hyperlink"/>
            <w:rFonts w:cstheme="minorHAnsi"/>
            <w:noProof/>
          </w:rPr>
          <w:t>14. Aplinkos apsauga</w:t>
        </w:r>
        <w:r w:rsidR="004B5EC9">
          <w:rPr>
            <w:noProof/>
            <w:webHidden/>
          </w:rPr>
          <w:tab/>
        </w:r>
        <w:r w:rsidR="004B5EC9">
          <w:rPr>
            <w:noProof/>
            <w:webHidden/>
          </w:rPr>
          <w:fldChar w:fldCharType="begin"/>
        </w:r>
        <w:r w:rsidR="004B5EC9">
          <w:rPr>
            <w:noProof/>
            <w:webHidden/>
          </w:rPr>
          <w:instrText xml:space="preserve"> PAGEREF _Toc524957038 \h </w:instrText>
        </w:r>
        <w:r w:rsidR="004B5EC9">
          <w:rPr>
            <w:noProof/>
            <w:webHidden/>
          </w:rPr>
        </w:r>
        <w:r w:rsidR="004B5EC9">
          <w:rPr>
            <w:noProof/>
            <w:webHidden/>
          </w:rPr>
          <w:fldChar w:fldCharType="separate"/>
        </w:r>
        <w:r>
          <w:rPr>
            <w:noProof/>
            <w:webHidden/>
          </w:rPr>
          <w:t>12</w:t>
        </w:r>
        <w:r w:rsidR="004B5EC9">
          <w:rPr>
            <w:noProof/>
            <w:webHidden/>
          </w:rPr>
          <w:fldChar w:fldCharType="end"/>
        </w:r>
      </w:hyperlink>
    </w:p>
    <w:p w:rsidR="004B5EC9" w:rsidRDefault="000220C9">
      <w:pPr>
        <w:pStyle w:val="TOC2"/>
        <w:rPr>
          <w:rFonts w:eastAsiaTheme="minorEastAsia" w:cstheme="minorBidi"/>
          <w:i w:val="0"/>
          <w:noProof/>
          <w:szCs w:val="22"/>
        </w:rPr>
      </w:pPr>
      <w:hyperlink w:anchor="_Toc524957039" w:history="1">
        <w:r w:rsidR="004B5EC9" w:rsidRPr="00033072">
          <w:rPr>
            <w:rStyle w:val="Hyperlink"/>
            <w:noProof/>
          </w:rPr>
          <w:t>Dėl atsisakymo išduoti taršos integruotos prevencijos ir kontrolės leidimą dėl to, jog nėra nustatytos sanitarinės apsaugos ribos</w:t>
        </w:r>
        <w:r w:rsidR="004B5EC9">
          <w:rPr>
            <w:noProof/>
            <w:webHidden/>
          </w:rPr>
          <w:tab/>
        </w:r>
        <w:r w:rsidR="004B5EC9">
          <w:rPr>
            <w:noProof/>
            <w:webHidden/>
          </w:rPr>
          <w:fldChar w:fldCharType="begin"/>
        </w:r>
        <w:r w:rsidR="004B5EC9">
          <w:rPr>
            <w:noProof/>
            <w:webHidden/>
          </w:rPr>
          <w:instrText xml:space="preserve"> PAGEREF _Toc524957039 \h </w:instrText>
        </w:r>
        <w:r w:rsidR="004B5EC9">
          <w:rPr>
            <w:noProof/>
            <w:webHidden/>
          </w:rPr>
        </w:r>
        <w:r w:rsidR="004B5EC9">
          <w:rPr>
            <w:noProof/>
            <w:webHidden/>
          </w:rPr>
          <w:fldChar w:fldCharType="separate"/>
        </w:r>
        <w:r>
          <w:rPr>
            <w:noProof/>
            <w:webHidden/>
          </w:rPr>
          <w:t>12</w:t>
        </w:r>
        <w:r w:rsidR="004B5EC9">
          <w:rPr>
            <w:noProof/>
            <w:webHidden/>
          </w:rPr>
          <w:fldChar w:fldCharType="end"/>
        </w:r>
      </w:hyperlink>
    </w:p>
    <w:p w:rsidR="004B5EC9" w:rsidRDefault="000220C9">
      <w:pPr>
        <w:pStyle w:val="TOC1"/>
        <w:rPr>
          <w:rFonts w:eastAsiaTheme="minorEastAsia" w:cstheme="minorBidi"/>
          <w:b w:val="0"/>
          <w:bCs w:val="0"/>
          <w:caps w:val="0"/>
          <w:noProof/>
          <w:szCs w:val="22"/>
        </w:rPr>
      </w:pPr>
      <w:hyperlink w:anchor="_Toc524957040" w:history="1">
        <w:r w:rsidR="004B5EC9" w:rsidRPr="00033072">
          <w:rPr>
            <w:rStyle w:val="Hyperlink"/>
            <w:rFonts w:cstheme="minorHAnsi"/>
            <w:noProof/>
          </w:rPr>
          <w:t>17. Statyba</w:t>
        </w:r>
        <w:r w:rsidR="004B5EC9">
          <w:rPr>
            <w:noProof/>
            <w:webHidden/>
          </w:rPr>
          <w:tab/>
        </w:r>
        <w:r w:rsidR="004B5EC9">
          <w:rPr>
            <w:noProof/>
            <w:webHidden/>
          </w:rPr>
          <w:fldChar w:fldCharType="begin"/>
        </w:r>
        <w:r w:rsidR="004B5EC9">
          <w:rPr>
            <w:noProof/>
            <w:webHidden/>
          </w:rPr>
          <w:instrText xml:space="preserve"> PAGEREF _Toc524957040 \h </w:instrText>
        </w:r>
        <w:r w:rsidR="004B5EC9">
          <w:rPr>
            <w:noProof/>
            <w:webHidden/>
          </w:rPr>
        </w:r>
        <w:r w:rsidR="004B5EC9">
          <w:rPr>
            <w:noProof/>
            <w:webHidden/>
          </w:rPr>
          <w:fldChar w:fldCharType="separate"/>
        </w:r>
        <w:r>
          <w:rPr>
            <w:noProof/>
            <w:webHidden/>
          </w:rPr>
          <w:t>13</w:t>
        </w:r>
        <w:r w:rsidR="004B5EC9">
          <w:rPr>
            <w:noProof/>
            <w:webHidden/>
          </w:rPr>
          <w:fldChar w:fldCharType="end"/>
        </w:r>
      </w:hyperlink>
    </w:p>
    <w:p w:rsidR="004B5EC9" w:rsidRDefault="000220C9">
      <w:pPr>
        <w:pStyle w:val="TOC2"/>
        <w:rPr>
          <w:rFonts w:eastAsiaTheme="minorEastAsia" w:cstheme="minorBidi"/>
          <w:i w:val="0"/>
          <w:noProof/>
          <w:szCs w:val="22"/>
        </w:rPr>
      </w:pPr>
      <w:hyperlink w:anchor="_Toc524957041" w:history="1">
        <w:r w:rsidR="004B5EC9" w:rsidRPr="00033072">
          <w:rPr>
            <w:rStyle w:val="Hyperlink"/>
            <w:noProof/>
          </w:rPr>
          <w:t>Dėl statybos leidimo teisėtumo, kai visi pateikti dokumentai nėra patalpinti informacinėje sistemoje „Infostatyba“</w:t>
        </w:r>
        <w:r w:rsidR="004B5EC9">
          <w:rPr>
            <w:noProof/>
            <w:webHidden/>
          </w:rPr>
          <w:tab/>
        </w:r>
        <w:r w:rsidR="004B5EC9">
          <w:rPr>
            <w:noProof/>
            <w:webHidden/>
          </w:rPr>
          <w:fldChar w:fldCharType="begin"/>
        </w:r>
        <w:r w:rsidR="004B5EC9">
          <w:rPr>
            <w:noProof/>
            <w:webHidden/>
          </w:rPr>
          <w:instrText xml:space="preserve"> PAGEREF _Toc524957041 \h </w:instrText>
        </w:r>
        <w:r w:rsidR="004B5EC9">
          <w:rPr>
            <w:noProof/>
            <w:webHidden/>
          </w:rPr>
        </w:r>
        <w:r w:rsidR="004B5EC9">
          <w:rPr>
            <w:noProof/>
            <w:webHidden/>
          </w:rPr>
          <w:fldChar w:fldCharType="separate"/>
        </w:r>
        <w:r>
          <w:rPr>
            <w:noProof/>
            <w:webHidden/>
          </w:rPr>
          <w:t>13</w:t>
        </w:r>
        <w:r w:rsidR="004B5EC9">
          <w:rPr>
            <w:noProof/>
            <w:webHidden/>
          </w:rPr>
          <w:fldChar w:fldCharType="end"/>
        </w:r>
      </w:hyperlink>
    </w:p>
    <w:p w:rsidR="004B5EC9" w:rsidRDefault="000220C9">
      <w:pPr>
        <w:pStyle w:val="TOC1"/>
        <w:rPr>
          <w:rFonts w:eastAsiaTheme="minorEastAsia" w:cstheme="minorBidi"/>
          <w:b w:val="0"/>
          <w:bCs w:val="0"/>
          <w:caps w:val="0"/>
          <w:noProof/>
          <w:szCs w:val="22"/>
        </w:rPr>
      </w:pPr>
      <w:hyperlink w:anchor="_Toc524957042" w:history="1">
        <w:r w:rsidR="004B5EC9" w:rsidRPr="00033072">
          <w:rPr>
            <w:rStyle w:val="Hyperlink"/>
            <w:rFonts w:cstheme="minorHAnsi"/>
            <w:noProof/>
          </w:rPr>
          <w:t>20. Civilinė atsakomybė už žalą, atsiradusią dėl valdžios institucijų neteisėtų veiksmų</w:t>
        </w:r>
        <w:r w:rsidR="004B5EC9">
          <w:rPr>
            <w:noProof/>
            <w:webHidden/>
          </w:rPr>
          <w:tab/>
        </w:r>
        <w:r w:rsidR="004B5EC9">
          <w:rPr>
            <w:noProof/>
            <w:webHidden/>
          </w:rPr>
          <w:fldChar w:fldCharType="begin"/>
        </w:r>
        <w:r w:rsidR="004B5EC9">
          <w:rPr>
            <w:noProof/>
            <w:webHidden/>
          </w:rPr>
          <w:instrText xml:space="preserve"> PAGEREF _Toc524957042 \h </w:instrText>
        </w:r>
        <w:r w:rsidR="004B5EC9">
          <w:rPr>
            <w:noProof/>
            <w:webHidden/>
          </w:rPr>
        </w:r>
        <w:r w:rsidR="004B5EC9">
          <w:rPr>
            <w:noProof/>
            <w:webHidden/>
          </w:rPr>
          <w:fldChar w:fldCharType="separate"/>
        </w:r>
        <w:r>
          <w:rPr>
            <w:noProof/>
            <w:webHidden/>
          </w:rPr>
          <w:t>14</w:t>
        </w:r>
        <w:r w:rsidR="004B5EC9">
          <w:rPr>
            <w:noProof/>
            <w:webHidden/>
          </w:rPr>
          <w:fldChar w:fldCharType="end"/>
        </w:r>
      </w:hyperlink>
    </w:p>
    <w:p w:rsidR="004B5EC9" w:rsidRDefault="000220C9">
      <w:pPr>
        <w:pStyle w:val="TOC2"/>
        <w:rPr>
          <w:rFonts w:eastAsiaTheme="minorEastAsia" w:cstheme="minorBidi"/>
          <w:i w:val="0"/>
          <w:noProof/>
          <w:szCs w:val="22"/>
        </w:rPr>
      </w:pPr>
      <w:hyperlink w:anchor="_Toc524957043" w:history="1">
        <w:r w:rsidR="004B5EC9" w:rsidRPr="00033072">
          <w:rPr>
            <w:rStyle w:val="Hyperlink"/>
            <w:noProof/>
          </w:rPr>
          <w:t>Dėl sprendimo neišleisti nepilnamečio asmens į kelionę su tėvais, nenurodžius tam teisinio pagrindo, neteisėtumo</w:t>
        </w:r>
        <w:r w:rsidR="004B5EC9">
          <w:rPr>
            <w:noProof/>
            <w:webHidden/>
          </w:rPr>
          <w:tab/>
        </w:r>
        <w:r w:rsidR="004B5EC9">
          <w:rPr>
            <w:noProof/>
            <w:webHidden/>
          </w:rPr>
          <w:fldChar w:fldCharType="begin"/>
        </w:r>
        <w:r w:rsidR="004B5EC9">
          <w:rPr>
            <w:noProof/>
            <w:webHidden/>
          </w:rPr>
          <w:instrText xml:space="preserve"> PAGEREF _Toc524957043 \h </w:instrText>
        </w:r>
        <w:r w:rsidR="004B5EC9">
          <w:rPr>
            <w:noProof/>
            <w:webHidden/>
          </w:rPr>
        </w:r>
        <w:r w:rsidR="004B5EC9">
          <w:rPr>
            <w:noProof/>
            <w:webHidden/>
          </w:rPr>
          <w:fldChar w:fldCharType="separate"/>
        </w:r>
        <w:r>
          <w:rPr>
            <w:noProof/>
            <w:webHidden/>
          </w:rPr>
          <w:t>14</w:t>
        </w:r>
        <w:r w:rsidR="004B5EC9">
          <w:rPr>
            <w:noProof/>
            <w:webHidden/>
          </w:rPr>
          <w:fldChar w:fldCharType="end"/>
        </w:r>
      </w:hyperlink>
    </w:p>
    <w:p w:rsidR="004B5EC9" w:rsidRDefault="000220C9">
      <w:pPr>
        <w:pStyle w:val="TOC1"/>
        <w:rPr>
          <w:rFonts w:eastAsiaTheme="minorEastAsia" w:cstheme="minorBidi"/>
          <w:b w:val="0"/>
          <w:bCs w:val="0"/>
          <w:caps w:val="0"/>
          <w:noProof/>
          <w:szCs w:val="22"/>
        </w:rPr>
      </w:pPr>
      <w:hyperlink w:anchor="_Toc524957044" w:history="1">
        <w:r w:rsidR="004B5EC9" w:rsidRPr="00033072">
          <w:rPr>
            <w:rStyle w:val="Hyperlink"/>
            <w:rFonts w:cstheme="minorHAnsi"/>
            <w:noProof/>
          </w:rPr>
          <w:t>22. Kiti su valstybės tarnyba susiję klausimai</w:t>
        </w:r>
        <w:r w:rsidR="004B5EC9">
          <w:rPr>
            <w:noProof/>
            <w:webHidden/>
          </w:rPr>
          <w:tab/>
        </w:r>
        <w:r w:rsidR="004B5EC9">
          <w:rPr>
            <w:noProof/>
            <w:webHidden/>
          </w:rPr>
          <w:fldChar w:fldCharType="begin"/>
        </w:r>
        <w:r w:rsidR="004B5EC9">
          <w:rPr>
            <w:noProof/>
            <w:webHidden/>
          </w:rPr>
          <w:instrText xml:space="preserve"> PAGEREF _Toc524957044 \h </w:instrText>
        </w:r>
        <w:r w:rsidR="004B5EC9">
          <w:rPr>
            <w:noProof/>
            <w:webHidden/>
          </w:rPr>
        </w:r>
        <w:r w:rsidR="004B5EC9">
          <w:rPr>
            <w:noProof/>
            <w:webHidden/>
          </w:rPr>
          <w:fldChar w:fldCharType="separate"/>
        </w:r>
        <w:r>
          <w:rPr>
            <w:noProof/>
            <w:webHidden/>
          </w:rPr>
          <w:t>15</w:t>
        </w:r>
        <w:r w:rsidR="004B5EC9">
          <w:rPr>
            <w:noProof/>
            <w:webHidden/>
          </w:rPr>
          <w:fldChar w:fldCharType="end"/>
        </w:r>
      </w:hyperlink>
    </w:p>
    <w:p w:rsidR="004B5EC9" w:rsidRDefault="000220C9">
      <w:pPr>
        <w:pStyle w:val="TOC2"/>
        <w:rPr>
          <w:rFonts w:eastAsiaTheme="minorEastAsia" w:cstheme="minorBidi"/>
          <w:i w:val="0"/>
          <w:noProof/>
          <w:szCs w:val="22"/>
        </w:rPr>
      </w:pPr>
      <w:hyperlink w:anchor="_Toc524957045" w:history="1">
        <w:r w:rsidR="004B5EC9" w:rsidRPr="00033072">
          <w:rPr>
            <w:rStyle w:val="Hyperlink"/>
            <w:noProof/>
          </w:rPr>
          <w:t>Dėl papildomų atostogų suteikimo už laikotarpį, kurį buvo vėluojama apmokėti už kasmetines atostogas</w:t>
        </w:r>
        <w:r w:rsidR="004B5EC9">
          <w:rPr>
            <w:noProof/>
            <w:webHidden/>
          </w:rPr>
          <w:tab/>
        </w:r>
        <w:r w:rsidR="004B5EC9">
          <w:rPr>
            <w:noProof/>
            <w:webHidden/>
          </w:rPr>
          <w:fldChar w:fldCharType="begin"/>
        </w:r>
        <w:r w:rsidR="004B5EC9">
          <w:rPr>
            <w:noProof/>
            <w:webHidden/>
          </w:rPr>
          <w:instrText xml:space="preserve"> PAGEREF _Toc524957045 \h </w:instrText>
        </w:r>
        <w:r w:rsidR="004B5EC9">
          <w:rPr>
            <w:noProof/>
            <w:webHidden/>
          </w:rPr>
        </w:r>
        <w:r w:rsidR="004B5EC9">
          <w:rPr>
            <w:noProof/>
            <w:webHidden/>
          </w:rPr>
          <w:fldChar w:fldCharType="separate"/>
        </w:r>
        <w:r>
          <w:rPr>
            <w:noProof/>
            <w:webHidden/>
          </w:rPr>
          <w:t>15</w:t>
        </w:r>
        <w:r w:rsidR="004B5EC9">
          <w:rPr>
            <w:noProof/>
            <w:webHidden/>
          </w:rPr>
          <w:fldChar w:fldCharType="end"/>
        </w:r>
      </w:hyperlink>
    </w:p>
    <w:p w:rsidR="004B5EC9" w:rsidRDefault="000220C9">
      <w:pPr>
        <w:pStyle w:val="TOC1"/>
        <w:rPr>
          <w:rFonts w:eastAsiaTheme="minorEastAsia" w:cstheme="minorBidi"/>
          <w:b w:val="0"/>
          <w:bCs w:val="0"/>
          <w:caps w:val="0"/>
          <w:noProof/>
          <w:szCs w:val="22"/>
        </w:rPr>
      </w:pPr>
      <w:hyperlink w:anchor="_Toc524957046" w:history="1">
        <w:r w:rsidR="004B5EC9" w:rsidRPr="00033072">
          <w:rPr>
            <w:rStyle w:val="Hyperlink"/>
            <w:rFonts w:cstheme="minorHAnsi"/>
            <w:noProof/>
          </w:rPr>
          <w:t>27. Visuomenės informavimas</w:t>
        </w:r>
        <w:r w:rsidR="004B5EC9">
          <w:rPr>
            <w:noProof/>
            <w:webHidden/>
          </w:rPr>
          <w:tab/>
        </w:r>
        <w:r w:rsidR="004B5EC9">
          <w:rPr>
            <w:noProof/>
            <w:webHidden/>
          </w:rPr>
          <w:fldChar w:fldCharType="begin"/>
        </w:r>
        <w:r w:rsidR="004B5EC9">
          <w:rPr>
            <w:noProof/>
            <w:webHidden/>
          </w:rPr>
          <w:instrText xml:space="preserve"> PAGEREF _Toc524957046 \h </w:instrText>
        </w:r>
        <w:r w:rsidR="004B5EC9">
          <w:rPr>
            <w:noProof/>
            <w:webHidden/>
          </w:rPr>
        </w:r>
        <w:r w:rsidR="004B5EC9">
          <w:rPr>
            <w:noProof/>
            <w:webHidden/>
          </w:rPr>
          <w:fldChar w:fldCharType="separate"/>
        </w:r>
        <w:r>
          <w:rPr>
            <w:noProof/>
            <w:webHidden/>
          </w:rPr>
          <w:t>16</w:t>
        </w:r>
        <w:r w:rsidR="004B5EC9">
          <w:rPr>
            <w:noProof/>
            <w:webHidden/>
          </w:rPr>
          <w:fldChar w:fldCharType="end"/>
        </w:r>
      </w:hyperlink>
    </w:p>
    <w:p w:rsidR="004B5EC9" w:rsidRDefault="000220C9">
      <w:pPr>
        <w:pStyle w:val="TOC2"/>
        <w:rPr>
          <w:rFonts w:eastAsiaTheme="minorEastAsia" w:cstheme="minorBidi"/>
          <w:i w:val="0"/>
          <w:noProof/>
          <w:szCs w:val="22"/>
        </w:rPr>
      </w:pPr>
      <w:hyperlink w:anchor="_Toc524957047" w:history="1">
        <w:r w:rsidR="004B5EC9" w:rsidRPr="00033072">
          <w:rPr>
            <w:rStyle w:val="Hyperlink"/>
            <w:noProof/>
          </w:rPr>
          <w:t>Dėl savivaldybės interneto svetainės kaip visuomenės informavimo priemonės</w:t>
        </w:r>
        <w:r w:rsidR="004B5EC9">
          <w:rPr>
            <w:noProof/>
            <w:webHidden/>
          </w:rPr>
          <w:tab/>
        </w:r>
        <w:r w:rsidR="004B5EC9">
          <w:rPr>
            <w:noProof/>
            <w:webHidden/>
          </w:rPr>
          <w:fldChar w:fldCharType="begin"/>
        </w:r>
        <w:r w:rsidR="004B5EC9">
          <w:rPr>
            <w:noProof/>
            <w:webHidden/>
          </w:rPr>
          <w:instrText xml:space="preserve"> PAGEREF _Toc524957047 \h </w:instrText>
        </w:r>
        <w:r w:rsidR="004B5EC9">
          <w:rPr>
            <w:noProof/>
            <w:webHidden/>
          </w:rPr>
        </w:r>
        <w:r w:rsidR="004B5EC9">
          <w:rPr>
            <w:noProof/>
            <w:webHidden/>
          </w:rPr>
          <w:fldChar w:fldCharType="separate"/>
        </w:r>
        <w:r>
          <w:rPr>
            <w:noProof/>
            <w:webHidden/>
          </w:rPr>
          <w:t>16</w:t>
        </w:r>
        <w:r w:rsidR="004B5EC9">
          <w:rPr>
            <w:noProof/>
            <w:webHidden/>
          </w:rPr>
          <w:fldChar w:fldCharType="end"/>
        </w:r>
      </w:hyperlink>
    </w:p>
    <w:p w:rsidR="004B5EC9" w:rsidRDefault="000220C9">
      <w:pPr>
        <w:pStyle w:val="TOC1"/>
        <w:rPr>
          <w:rFonts w:eastAsiaTheme="minorEastAsia" w:cstheme="minorBidi"/>
          <w:b w:val="0"/>
          <w:bCs w:val="0"/>
          <w:caps w:val="0"/>
          <w:noProof/>
          <w:szCs w:val="22"/>
        </w:rPr>
      </w:pPr>
      <w:hyperlink w:anchor="_Toc524957048" w:history="1">
        <w:r w:rsidR="004B5EC9" w:rsidRPr="00033072">
          <w:rPr>
            <w:rStyle w:val="Hyperlink"/>
            <w:rFonts w:cstheme="minorHAnsi"/>
            <w:noProof/>
          </w:rPr>
          <w:t>29. Nacionalinių, Europos Sąjungos ir užsienio investicijų finansinė parama</w:t>
        </w:r>
        <w:r w:rsidR="004B5EC9">
          <w:rPr>
            <w:noProof/>
            <w:webHidden/>
          </w:rPr>
          <w:tab/>
        </w:r>
        <w:r w:rsidR="004B5EC9">
          <w:rPr>
            <w:noProof/>
            <w:webHidden/>
          </w:rPr>
          <w:fldChar w:fldCharType="begin"/>
        </w:r>
        <w:r w:rsidR="004B5EC9">
          <w:rPr>
            <w:noProof/>
            <w:webHidden/>
          </w:rPr>
          <w:instrText xml:space="preserve"> PAGEREF _Toc524957048 \h </w:instrText>
        </w:r>
        <w:r w:rsidR="004B5EC9">
          <w:rPr>
            <w:noProof/>
            <w:webHidden/>
          </w:rPr>
        </w:r>
        <w:r w:rsidR="004B5EC9">
          <w:rPr>
            <w:noProof/>
            <w:webHidden/>
          </w:rPr>
          <w:fldChar w:fldCharType="separate"/>
        </w:r>
        <w:r>
          <w:rPr>
            <w:noProof/>
            <w:webHidden/>
          </w:rPr>
          <w:t>16</w:t>
        </w:r>
        <w:r w:rsidR="004B5EC9">
          <w:rPr>
            <w:noProof/>
            <w:webHidden/>
          </w:rPr>
          <w:fldChar w:fldCharType="end"/>
        </w:r>
      </w:hyperlink>
    </w:p>
    <w:p w:rsidR="004B5EC9" w:rsidRDefault="000220C9">
      <w:pPr>
        <w:pStyle w:val="TOC2"/>
        <w:rPr>
          <w:rFonts w:eastAsiaTheme="minorEastAsia" w:cstheme="minorBidi"/>
          <w:i w:val="0"/>
          <w:noProof/>
          <w:szCs w:val="22"/>
        </w:rPr>
      </w:pPr>
      <w:hyperlink w:anchor="_Toc524957049" w:history="1">
        <w:r w:rsidR="004B5EC9" w:rsidRPr="00033072">
          <w:rPr>
            <w:rStyle w:val="Hyperlink"/>
            <w:noProof/>
          </w:rPr>
          <w:t>Dėl viešuosius pirkimus reglamentuojančių teisės aktų pažeidimo, kaip Europos Sąjungos struktūrinių fondų paramos sumažinimo pagrindo</w:t>
        </w:r>
        <w:r w:rsidR="004B5EC9">
          <w:rPr>
            <w:noProof/>
            <w:webHidden/>
          </w:rPr>
          <w:tab/>
        </w:r>
        <w:r w:rsidR="004B5EC9">
          <w:rPr>
            <w:noProof/>
            <w:webHidden/>
          </w:rPr>
          <w:fldChar w:fldCharType="begin"/>
        </w:r>
        <w:r w:rsidR="004B5EC9">
          <w:rPr>
            <w:noProof/>
            <w:webHidden/>
          </w:rPr>
          <w:instrText xml:space="preserve"> PAGEREF _Toc524957049 \h </w:instrText>
        </w:r>
        <w:r w:rsidR="004B5EC9">
          <w:rPr>
            <w:noProof/>
            <w:webHidden/>
          </w:rPr>
        </w:r>
        <w:r w:rsidR="004B5EC9">
          <w:rPr>
            <w:noProof/>
            <w:webHidden/>
          </w:rPr>
          <w:fldChar w:fldCharType="separate"/>
        </w:r>
        <w:r>
          <w:rPr>
            <w:noProof/>
            <w:webHidden/>
          </w:rPr>
          <w:t>17</w:t>
        </w:r>
        <w:r w:rsidR="004B5EC9">
          <w:rPr>
            <w:noProof/>
            <w:webHidden/>
          </w:rPr>
          <w:fldChar w:fldCharType="end"/>
        </w:r>
      </w:hyperlink>
    </w:p>
    <w:p w:rsidR="004B5EC9" w:rsidRDefault="000220C9">
      <w:pPr>
        <w:pStyle w:val="TOC1"/>
        <w:rPr>
          <w:rFonts w:eastAsiaTheme="minorEastAsia" w:cstheme="minorBidi"/>
          <w:b w:val="0"/>
          <w:bCs w:val="0"/>
          <w:caps w:val="0"/>
          <w:noProof/>
          <w:szCs w:val="22"/>
        </w:rPr>
      </w:pPr>
      <w:hyperlink w:anchor="_Toc524957050" w:history="1">
        <w:r w:rsidR="004B5EC9" w:rsidRPr="00033072">
          <w:rPr>
            <w:rStyle w:val="Hyperlink"/>
            <w:rFonts w:cstheme="minorHAnsi"/>
            <w:noProof/>
          </w:rPr>
          <w:t>30. Energetika</w:t>
        </w:r>
        <w:r w:rsidR="004B5EC9">
          <w:rPr>
            <w:noProof/>
            <w:webHidden/>
          </w:rPr>
          <w:tab/>
        </w:r>
        <w:r w:rsidR="004B5EC9">
          <w:rPr>
            <w:noProof/>
            <w:webHidden/>
          </w:rPr>
          <w:fldChar w:fldCharType="begin"/>
        </w:r>
        <w:r w:rsidR="004B5EC9">
          <w:rPr>
            <w:noProof/>
            <w:webHidden/>
          </w:rPr>
          <w:instrText xml:space="preserve"> PAGEREF _Toc524957050 \h </w:instrText>
        </w:r>
        <w:r w:rsidR="004B5EC9">
          <w:rPr>
            <w:noProof/>
            <w:webHidden/>
          </w:rPr>
        </w:r>
        <w:r w:rsidR="004B5EC9">
          <w:rPr>
            <w:noProof/>
            <w:webHidden/>
          </w:rPr>
          <w:fldChar w:fldCharType="separate"/>
        </w:r>
        <w:r>
          <w:rPr>
            <w:noProof/>
            <w:webHidden/>
          </w:rPr>
          <w:t>17</w:t>
        </w:r>
        <w:r w:rsidR="004B5EC9">
          <w:rPr>
            <w:noProof/>
            <w:webHidden/>
          </w:rPr>
          <w:fldChar w:fldCharType="end"/>
        </w:r>
      </w:hyperlink>
    </w:p>
    <w:p w:rsidR="004B5EC9" w:rsidRDefault="000220C9">
      <w:pPr>
        <w:pStyle w:val="TOC2"/>
        <w:rPr>
          <w:rFonts w:eastAsiaTheme="minorEastAsia" w:cstheme="minorBidi"/>
          <w:i w:val="0"/>
          <w:noProof/>
          <w:szCs w:val="22"/>
        </w:rPr>
      </w:pPr>
      <w:hyperlink w:anchor="_Toc524957051" w:history="1">
        <w:r w:rsidR="004B5EC9" w:rsidRPr="00033072">
          <w:rPr>
            <w:rStyle w:val="Hyperlink"/>
            <w:noProof/>
          </w:rPr>
          <w:t>Dėl leidimo gaminti elektros energiją elektrinėje pasikeitus jos savininkui</w:t>
        </w:r>
        <w:r w:rsidR="004B5EC9">
          <w:rPr>
            <w:noProof/>
            <w:webHidden/>
          </w:rPr>
          <w:tab/>
        </w:r>
        <w:r w:rsidR="004B5EC9">
          <w:rPr>
            <w:noProof/>
            <w:webHidden/>
          </w:rPr>
          <w:fldChar w:fldCharType="begin"/>
        </w:r>
        <w:r w:rsidR="004B5EC9">
          <w:rPr>
            <w:noProof/>
            <w:webHidden/>
          </w:rPr>
          <w:instrText xml:space="preserve"> PAGEREF _Toc524957051 \h </w:instrText>
        </w:r>
        <w:r w:rsidR="004B5EC9">
          <w:rPr>
            <w:noProof/>
            <w:webHidden/>
          </w:rPr>
        </w:r>
        <w:r w:rsidR="004B5EC9">
          <w:rPr>
            <w:noProof/>
            <w:webHidden/>
          </w:rPr>
          <w:fldChar w:fldCharType="separate"/>
        </w:r>
        <w:r>
          <w:rPr>
            <w:noProof/>
            <w:webHidden/>
          </w:rPr>
          <w:t>17</w:t>
        </w:r>
        <w:r w:rsidR="004B5EC9">
          <w:rPr>
            <w:noProof/>
            <w:webHidden/>
          </w:rPr>
          <w:fldChar w:fldCharType="end"/>
        </w:r>
      </w:hyperlink>
    </w:p>
    <w:p w:rsidR="004B5EC9" w:rsidRDefault="000220C9">
      <w:pPr>
        <w:pStyle w:val="TOC2"/>
        <w:rPr>
          <w:rFonts w:eastAsiaTheme="minorEastAsia" w:cstheme="minorBidi"/>
          <w:i w:val="0"/>
          <w:noProof/>
          <w:szCs w:val="22"/>
        </w:rPr>
      </w:pPr>
      <w:hyperlink w:anchor="_Toc524957052" w:history="1">
        <w:r w:rsidR="004B5EC9" w:rsidRPr="00033072">
          <w:rPr>
            <w:rStyle w:val="Hyperlink"/>
            <w:noProof/>
          </w:rPr>
          <w:t>Dėl individualaus administracinio akto, kuris grindžiamas nustatyta tvarka nepaskelbtu norminiu administraciniu aktu</w:t>
        </w:r>
        <w:r w:rsidR="004B5EC9">
          <w:rPr>
            <w:noProof/>
            <w:webHidden/>
          </w:rPr>
          <w:tab/>
        </w:r>
        <w:r w:rsidR="004B5EC9">
          <w:rPr>
            <w:noProof/>
            <w:webHidden/>
          </w:rPr>
          <w:fldChar w:fldCharType="begin"/>
        </w:r>
        <w:r w:rsidR="004B5EC9">
          <w:rPr>
            <w:noProof/>
            <w:webHidden/>
          </w:rPr>
          <w:instrText xml:space="preserve"> PAGEREF _Toc524957052 \h </w:instrText>
        </w:r>
        <w:r w:rsidR="004B5EC9">
          <w:rPr>
            <w:noProof/>
            <w:webHidden/>
          </w:rPr>
        </w:r>
        <w:r w:rsidR="004B5EC9">
          <w:rPr>
            <w:noProof/>
            <w:webHidden/>
          </w:rPr>
          <w:fldChar w:fldCharType="separate"/>
        </w:r>
        <w:r>
          <w:rPr>
            <w:noProof/>
            <w:webHidden/>
          </w:rPr>
          <w:t>18</w:t>
        </w:r>
        <w:r w:rsidR="004B5EC9">
          <w:rPr>
            <w:noProof/>
            <w:webHidden/>
          </w:rPr>
          <w:fldChar w:fldCharType="end"/>
        </w:r>
      </w:hyperlink>
    </w:p>
    <w:p w:rsidR="004B5EC9" w:rsidRDefault="000220C9">
      <w:pPr>
        <w:pStyle w:val="TOC1"/>
        <w:rPr>
          <w:rFonts w:eastAsiaTheme="minorEastAsia" w:cstheme="minorBidi"/>
          <w:b w:val="0"/>
          <w:bCs w:val="0"/>
          <w:caps w:val="0"/>
          <w:noProof/>
          <w:szCs w:val="22"/>
        </w:rPr>
      </w:pPr>
      <w:hyperlink w:anchor="_Toc524957053" w:history="1">
        <w:r w:rsidR="004B5EC9" w:rsidRPr="00033072">
          <w:rPr>
            <w:rStyle w:val="Hyperlink"/>
            <w:rFonts w:cstheme="minorHAnsi"/>
            <w:noProof/>
          </w:rPr>
          <w:t>40. Savivaldybės tarybos nario, savivaldybės tarybos nario – mero priesaikos sulaužymas ir įgaliojimų vykdymas</w:t>
        </w:r>
        <w:r w:rsidR="004B5EC9">
          <w:rPr>
            <w:noProof/>
            <w:webHidden/>
          </w:rPr>
          <w:tab/>
        </w:r>
        <w:r w:rsidR="004B5EC9">
          <w:rPr>
            <w:noProof/>
            <w:webHidden/>
          </w:rPr>
          <w:fldChar w:fldCharType="begin"/>
        </w:r>
        <w:r w:rsidR="004B5EC9">
          <w:rPr>
            <w:noProof/>
            <w:webHidden/>
          </w:rPr>
          <w:instrText xml:space="preserve"> PAGEREF _Toc524957053 \h </w:instrText>
        </w:r>
        <w:r w:rsidR="004B5EC9">
          <w:rPr>
            <w:noProof/>
            <w:webHidden/>
          </w:rPr>
        </w:r>
        <w:r w:rsidR="004B5EC9">
          <w:rPr>
            <w:noProof/>
            <w:webHidden/>
          </w:rPr>
          <w:fldChar w:fldCharType="separate"/>
        </w:r>
        <w:r>
          <w:rPr>
            <w:noProof/>
            <w:webHidden/>
          </w:rPr>
          <w:t>19</w:t>
        </w:r>
        <w:r w:rsidR="004B5EC9">
          <w:rPr>
            <w:noProof/>
            <w:webHidden/>
          </w:rPr>
          <w:fldChar w:fldCharType="end"/>
        </w:r>
      </w:hyperlink>
    </w:p>
    <w:p w:rsidR="004B5EC9" w:rsidRDefault="000220C9">
      <w:pPr>
        <w:pStyle w:val="TOC2"/>
        <w:rPr>
          <w:rFonts w:eastAsiaTheme="minorEastAsia" w:cstheme="minorBidi"/>
          <w:i w:val="0"/>
          <w:noProof/>
          <w:szCs w:val="22"/>
        </w:rPr>
      </w:pPr>
      <w:hyperlink w:anchor="_Toc524957054" w:history="1">
        <w:r w:rsidR="004B5EC9" w:rsidRPr="00033072">
          <w:rPr>
            <w:rStyle w:val="Hyperlink"/>
            <w:noProof/>
          </w:rPr>
          <w:t>Dėl apkaltos inicijavimo termino ir reikalavimų tyrimo komisijos sudėčiai</w:t>
        </w:r>
        <w:r w:rsidR="004B5EC9">
          <w:rPr>
            <w:noProof/>
            <w:webHidden/>
          </w:rPr>
          <w:tab/>
        </w:r>
        <w:r w:rsidR="004B5EC9">
          <w:rPr>
            <w:noProof/>
            <w:webHidden/>
          </w:rPr>
          <w:fldChar w:fldCharType="begin"/>
        </w:r>
        <w:r w:rsidR="004B5EC9">
          <w:rPr>
            <w:noProof/>
            <w:webHidden/>
          </w:rPr>
          <w:instrText xml:space="preserve"> PAGEREF _Toc524957054 \h </w:instrText>
        </w:r>
        <w:r w:rsidR="004B5EC9">
          <w:rPr>
            <w:noProof/>
            <w:webHidden/>
          </w:rPr>
        </w:r>
        <w:r w:rsidR="004B5EC9">
          <w:rPr>
            <w:noProof/>
            <w:webHidden/>
          </w:rPr>
          <w:fldChar w:fldCharType="separate"/>
        </w:r>
        <w:r>
          <w:rPr>
            <w:noProof/>
            <w:webHidden/>
          </w:rPr>
          <w:t>19</w:t>
        </w:r>
        <w:r w:rsidR="004B5EC9">
          <w:rPr>
            <w:noProof/>
            <w:webHidden/>
          </w:rPr>
          <w:fldChar w:fldCharType="end"/>
        </w:r>
      </w:hyperlink>
    </w:p>
    <w:p w:rsidR="004B5EC9" w:rsidRDefault="000220C9">
      <w:pPr>
        <w:pStyle w:val="TOC2"/>
        <w:rPr>
          <w:rFonts w:eastAsiaTheme="minorEastAsia" w:cstheme="minorBidi"/>
          <w:i w:val="0"/>
          <w:noProof/>
          <w:szCs w:val="22"/>
        </w:rPr>
      </w:pPr>
      <w:hyperlink w:anchor="_Toc524957055" w:history="1">
        <w:r w:rsidR="004B5EC9" w:rsidRPr="00033072">
          <w:rPr>
            <w:rStyle w:val="Hyperlink"/>
            <w:noProof/>
          </w:rPr>
          <w:t>Dėl išvados pateikimo, ar savivaldybės tarybos nariai nesulaužė priesaikos</w:t>
        </w:r>
        <w:r w:rsidR="003A1B39">
          <w:rPr>
            <w:rStyle w:val="Hyperlink"/>
            <w:noProof/>
          </w:rPr>
          <w:t>,</w:t>
        </w:r>
        <w:r w:rsidR="004B5EC9" w:rsidRPr="00033072">
          <w:rPr>
            <w:rStyle w:val="Hyperlink"/>
            <w:noProof/>
          </w:rPr>
          <w:t xml:space="preserve"> frakcijai nedelegavus savo atstovų į Kontrolės komitetą</w:t>
        </w:r>
        <w:r w:rsidR="004B5EC9">
          <w:rPr>
            <w:noProof/>
            <w:webHidden/>
          </w:rPr>
          <w:tab/>
        </w:r>
        <w:r w:rsidR="004B5EC9">
          <w:rPr>
            <w:noProof/>
            <w:webHidden/>
          </w:rPr>
          <w:fldChar w:fldCharType="begin"/>
        </w:r>
        <w:r w:rsidR="004B5EC9">
          <w:rPr>
            <w:noProof/>
            <w:webHidden/>
          </w:rPr>
          <w:instrText xml:space="preserve"> PAGEREF _Toc524957055 \h </w:instrText>
        </w:r>
        <w:r w:rsidR="004B5EC9">
          <w:rPr>
            <w:noProof/>
            <w:webHidden/>
          </w:rPr>
        </w:r>
        <w:r w:rsidR="004B5EC9">
          <w:rPr>
            <w:noProof/>
            <w:webHidden/>
          </w:rPr>
          <w:fldChar w:fldCharType="separate"/>
        </w:r>
        <w:r>
          <w:rPr>
            <w:noProof/>
            <w:webHidden/>
          </w:rPr>
          <w:t>21</w:t>
        </w:r>
        <w:r w:rsidR="004B5EC9">
          <w:rPr>
            <w:noProof/>
            <w:webHidden/>
          </w:rPr>
          <w:fldChar w:fldCharType="end"/>
        </w:r>
      </w:hyperlink>
    </w:p>
    <w:p w:rsidR="004B5EC9" w:rsidRDefault="000220C9">
      <w:pPr>
        <w:pStyle w:val="TOC1"/>
        <w:rPr>
          <w:rFonts w:eastAsiaTheme="minorEastAsia" w:cstheme="minorBidi"/>
          <w:b w:val="0"/>
          <w:bCs w:val="0"/>
          <w:caps w:val="0"/>
          <w:noProof/>
          <w:szCs w:val="22"/>
        </w:rPr>
      </w:pPr>
      <w:hyperlink w:anchor="_Toc524957056" w:history="1">
        <w:r w:rsidR="004B5EC9" w:rsidRPr="00033072">
          <w:rPr>
            <w:rStyle w:val="Hyperlink"/>
            <w:rFonts w:cstheme="minorHAnsi"/>
            <w:noProof/>
          </w:rPr>
          <w:t>II. Administracinių bylų teisena</w:t>
        </w:r>
        <w:r w:rsidR="004B5EC9">
          <w:rPr>
            <w:noProof/>
            <w:webHidden/>
          </w:rPr>
          <w:tab/>
        </w:r>
        <w:r w:rsidR="004B5EC9">
          <w:rPr>
            <w:noProof/>
            <w:webHidden/>
          </w:rPr>
          <w:fldChar w:fldCharType="begin"/>
        </w:r>
        <w:r w:rsidR="004B5EC9">
          <w:rPr>
            <w:noProof/>
            <w:webHidden/>
          </w:rPr>
          <w:instrText xml:space="preserve"> PAGEREF _Toc524957056 \h </w:instrText>
        </w:r>
        <w:r w:rsidR="004B5EC9">
          <w:rPr>
            <w:noProof/>
            <w:webHidden/>
          </w:rPr>
        </w:r>
        <w:r w:rsidR="004B5EC9">
          <w:rPr>
            <w:noProof/>
            <w:webHidden/>
          </w:rPr>
          <w:fldChar w:fldCharType="separate"/>
        </w:r>
        <w:r>
          <w:rPr>
            <w:noProof/>
            <w:webHidden/>
          </w:rPr>
          <w:t>22</w:t>
        </w:r>
        <w:r w:rsidR="004B5EC9">
          <w:rPr>
            <w:noProof/>
            <w:webHidden/>
          </w:rPr>
          <w:fldChar w:fldCharType="end"/>
        </w:r>
      </w:hyperlink>
    </w:p>
    <w:p w:rsidR="004B5EC9" w:rsidRDefault="000220C9">
      <w:pPr>
        <w:pStyle w:val="TOC1"/>
        <w:rPr>
          <w:rFonts w:eastAsiaTheme="minorEastAsia" w:cstheme="minorBidi"/>
          <w:b w:val="0"/>
          <w:bCs w:val="0"/>
          <w:caps w:val="0"/>
          <w:noProof/>
          <w:szCs w:val="22"/>
        </w:rPr>
      </w:pPr>
      <w:hyperlink w:anchor="_Toc524957057" w:history="1">
        <w:r w:rsidR="004B5EC9" w:rsidRPr="00033072">
          <w:rPr>
            <w:rStyle w:val="Hyperlink"/>
            <w:rFonts w:cstheme="minorHAnsi"/>
            <w:noProof/>
          </w:rPr>
          <w:t>43. Teisė kreiptis į teismą ir jos realizavimas</w:t>
        </w:r>
        <w:r w:rsidR="004B5EC9">
          <w:rPr>
            <w:noProof/>
            <w:webHidden/>
          </w:rPr>
          <w:tab/>
        </w:r>
        <w:r w:rsidR="004B5EC9">
          <w:rPr>
            <w:noProof/>
            <w:webHidden/>
          </w:rPr>
          <w:fldChar w:fldCharType="begin"/>
        </w:r>
        <w:r w:rsidR="004B5EC9">
          <w:rPr>
            <w:noProof/>
            <w:webHidden/>
          </w:rPr>
          <w:instrText xml:space="preserve"> PAGEREF _Toc524957057 \h </w:instrText>
        </w:r>
        <w:r w:rsidR="004B5EC9">
          <w:rPr>
            <w:noProof/>
            <w:webHidden/>
          </w:rPr>
        </w:r>
        <w:r w:rsidR="004B5EC9">
          <w:rPr>
            <w:noProof/>
            <w:webHidden/>
          </w:rPr>
          <w:fldChar w:fldCharType="separate"/>
        </w:r>
        <w:r>
          <w:rPr>
            <w:noProof/>
            <w:webHidden/>
          </w:rPr>
          <w:t>23</w:t>
        </w:r>
        <w:r w:rsidR="004B5EC9">
          <w:rPr>
            <w:noProof/>
            <w:webHidden/>
          </w:rPr>
          <w:fldChar w:fldCharType="end"/>
        </w:r>
      </w:hyperlink>
    </w:p>
    <w:p w:rsidR="004B5EC9" w:rsidRDefault="000220C9">
      <w:pPr>
        <w:pStyle w:val="TOC2"/>
        <w:rPr>
          <w:rFonts w:eastAsiaTheme="minorEastAsia" w:cstheme="minorBidi"/>
          <w:i w:val="0"/>
          <w:noProof/>
          <w:szCs w:val="22"/>
        </w:rPr>
      </w:pPr>
      <w:hyperlink w:anchor="_Toc524957058" w:history="1">
        <w:r w:rsidR="004B5EC9" w:rsidRPr="00033072">
          <w:rPr>
            <w:rStyle w:val="Hyperlink"/>
            <w:noProof/>
          </w:rPr>
          <w:t>Dėl skundo priskirtinumo, esant keliems Lietuvos valstybės atstovams</w:t>
        </w:r>
        <w:r w:rsidR="004B5EC9">
          <w:rPr>
            <w:noProof/>
            <w:webHidden/>
          </w:rPr>
          <w:tab/>
        </w:r>
        <w:r w:rsidR="004B5EC9">
          <w:rPr>
            <w:noProof/>
            <w:webHidden/>
          </w:rPr>
          <w:fldChar w:fldCharType="begin"/>
        </w:r>
        <w:r w:rsidR="004B5EC9">
          <w:rPr>
            <w:noProof/>
            <w:webHidden/>
          </w:rPr>
          <w:instrText xml:space="preserve"> PAGEREF _Toc524957058 \h </w:instrText>
        </w:r>
        <w:r w:rsidR="004B5EC9">
          <w:rPr>
            <w:noProof/>
            <w:webHidden/>
          </w:rPr>
        </w:r>
        <w:r w:rsidR="004B5EC9">
          <w:rPr>
            <w:noProof/>
            <w:webHidden/>
          </w:rPr>
          <w:fldChar w:fldCharType="separate"/>
        </w:r>
        <w:r>
          <w:rPr>
            <w:noProof/>
            <w:webHidden/>
          </w:rPr>
          <w:t>23</w:t>
        </w:r>
        <w:r w:rsidR="004B5EC9">
          <w:rPr>
            <w:noProof/>
            <w:webHidden/>
          </w:rPr>
          <w:fldChar w:fldCharType="end"/>
        </w:r>
      </w:hyperlink>
    </w:p>
    <w:p w:rsidR="004B5EC9" w:rsidRDefault="000220C9">
      <w:pPr>
        <w:pStyle w:val="TOC2"/>
        <w:rPr>
          <w:rFonts w:eastAsiaTheme="minorEastAsia" w:cstheme="minorBidi"/>
          <w:i w:val="0"/>
          <w:noProof/>
          <w:szCs w:val="22"/>
        </w:rPr>
      </w:pPr>
      <w:hyperlink w:anchor="_Toc524957059" w:history="1">
        <w:r w:rsidR="004B5EC9" w:rsidRPr="00033072">
          <w:rPr>
            <w:rStyle w:val="Hyperlink"/>
            <w:noProof/>
          </w:rPr>
          <w:t>Dėl asmenų teisės kreiptis su įpareigojimu pakeisti teisinį reguliavimą</w:t>
        </w:r>
        <w:r w:rsidR="004B5EC9">
          <w:rPr>
            <w:noProof/>
            <w:webHidden/>
          </w:rPr>
          <w:tab/>
        </w:r>
        <w:r w:rsidR="004B5EC9">
          <w:rPr>
            <w:noProof/>
            <w:webHidden/>
          </w:rPr>
          <w:fldChar w:fldCharType="begin"/>
        </w:r>
        <w:r w:rsidR="004B5EC9">
          <w:rPr>
            <w:noProof/>
            <w:webHidden/>
          </w:rPr>
          <w:instrText xml:space="preserve"> PAGEREF _Toc524957059 \h </w:instrText>
        </w:r>
        <w:r w:rsidR="004B5EC9">
          <w:rPr>
            <w:noProof/>
            <w:webHidden/>
          </w:rPr>
        </w:r>
        <w:r w:rsidR="004B5EC9">
          <w:rPr>
            <w:noProof/>
            <w:webHidden/>
          </w:rPr>
          <w:fldChar w:fldCharType="separate"/>
        </w:r>
        <w:r>
          <w:rPr>
            <w:noProof/>
            <w:webHidden/>
          </w:rPr>
          <w:t>23</w:t>
        </w:r>
        <w:r w:rsidR="004B5EC9">
          <w:rPr>
            <w:noProof/>
            <w:webHidden/>
          </w:rPr>
          <w:fldChar w:fldCharType="end"/>
        </w:r>
      </w:hyperlink>
    </w:p>
    <w:p w:rsidR="004B5EC9" w:rsidRDefault="000220C9">
      <w:pPr>
        <w:pStyle w:val="TOC1"/>
        <w:rPr>
          <w:rFonts w:eastAsiaTheme="minorEastAsia" w:cstheme="minorBidi"/>
          <w:b w:val="0"/>
          <w:bCs w:val="0"/>
          <w:caps w:val="0"/>
          <w:noProof/>
          <w:szCs w:val="22"/>
        </w:rPr>
      </w:pPr>
      <w:hyperlink w:anchor="_Toc524957060" w:history="1">
        <w:r w:rsidR="004B5EC9" w:rsidRPr="00033072">
          <w:rPr>
            <w:rStyle w:val="Hyperlink"/>
            <w:rFonts w:cstheme="minorHAnsi"/>
            <w:noProof/>
          </w:rPr>
          <w:t>49. Reikalavimo užtikrinimo priemonių taikymas</w:t>
        </w:r>
        <w:r w:rsidR="004B5EC9">
          <w:rPr>
            <w:noProof/>
            <w:webHidden/>
          </w:rPr>
          <w:tab/>
        </w:r>
        <w:r w:rsidR="004B5EC9">
          <w:rPr>
            <w:noProof/>
            <w:webHidden/>
          </w:rPr>
          <w:fldChar w:fldCharType="begin"/>
        </w:r>
        <w:r w:rsidR="004B5EC9">
          <w:rPr>
            <w:noProof/>
            <w:webHidden/>
          </w:rPr>
          <w:instrText xml:space="preserve"> PAGEREF _Toc524957060 \h </w:instrText>
        </w:r>
        <w:r w:rsidR="004B5EC9">
          <w:rPr>
            <w:noProof/>
            <w:webHidden/>
          </w:rPr>
        </w:r>
        <w:r w:rsidR="004B5EC9">
          <w:rPr>
            <w:noProof/>
            <w:webHidden/>
          </w:rPr>
          <w:fldChar w:fldCharType="separate"/>
        </w:r>
        <w:r>
          <w:rPr>
            <w:noProof/>
            <w:webHidden/>
          </w:rPr>
          <w:t>24</w:t>
        </w:r>
        <w:r w:rsidR="004B5EC9">
          <w:rPr>
            <w:noProof/>
            <w:webHidden/>
          </w:rPr>
          <w:fldChar w:fldCharType="end"/>
        </w:r>
      </w:hyperlink>
    </w:p>
    <w:p w:rsidR="004B5EC9" w:rsidRDefault="000220C9">
      <w:pPr>
        <w:pStyle w:val="TOC2"/>
        <w:rPr>
          <w:rFonts w:eastAsiaTheme="minorEastAsia" w:cstheme="minorBidi"/>
          <w:i w:val="0"/>
          <w:noProof/>
          <w:szCs w:val="22"/>
        </w:rPr>
      </w:pPr>
      <w:hyperlink w:anchor="_Toc524957061" w:history="1">
        <w:r w:rsidR="004B5EC9" w:rsidRPr="00033072">
          <w:rPr>
            <w:rStyle w:val="Hyperlink"/>
            <w:noProof/>
          </w:rPr>
          <w:t>Dėl norminio administracinio akto galiojimo sustabdymo</w:t>
        </w:r>
        <w:r w:rsidR="004B5EC9">
          <w:rPr>
            <w:noProof/>
            <w:webHidden/>
          </w:rPr>
          <w:tab/>
        </w:r>
        <w:r w:rsidR="004B5EC9">
          <w:rPr>
            <w:noProof/>
            <w:webHidden/>
          </w:rPr>
          <w:fldChar w:fldCharType="begin"/>
        </w:r>
        <w:r w:rsidR="004B5EC9">
          <w:rPr>
            <w:noProof/>
            <w:webHidden/>
          </w:rPr>
          <w:instrText xml:space="preserve"> PAGEREF _Toc524957061 \h </w:instrText>
        </w:r>
        <w:r w:rsidR="004B5EC9">
          <w:rPr>
            <w:noProof/>
            <w:webHidden/>
          </w:rPr>
        </w:r>
        <w:r w:rsidR="004B5EC9">
          <w:rPr>
            <w:noProof/>
            <w:webHidden/>
          </w:rPr>
          <w:fldChar w:fldCharType="separate"/>
        </w:r>
        <w:r>
          <w:rPr>
            <w:noProof/>
            <w:webHidden/>
          </w:rPr>
          <w:t>24</w:t>
        </w:r>
        <w:r w:rsidR="004B5EC9">
          <w:rPr>
            <w:noProof/>
            <w:webHidden/>
          </w:rPr>
          <w:fldChar w:fldCharType="end"/>
        </w:r>
      </w:hyperlink>
    </w:p>
    <w:p w:rsidR="004B5EC9" w:rsidRDefault="000220C9">
      <w:pPr>
        <w:pStyle w:val="TOC1"/>
        <w:rPr>
          <w:rFonts w:eastAsiaTheme="minorEastAsia" w:cstheme="minorBidi"/>
          <w:b w:val="0"/>
          <w:bCs w:val="0"/>
          <w:caps w:val="0"/>
          <w:noProof/>
          <w:szCs w:val="22"/>
        </w:rPr>
      </w:pPr>
      <w:hyperlink w:anchor="_Toc524957062" w:history="1">
        <w:r w:rsidR="004B5EC9" w:rsidRPr="00033072">
          <w:rPr>
            <w:rStyle w:val="Hyperlink"/>
            <w:rFonts w:cstheme="minorHAnsi"/>
            <w:noProof/>
          </w:rPr>
          <w:t>57. Bylos nagrinėjimo išlaidos</w:t>
        </w:r>
        <w:r w:rsidR="004B5EC9">
          <w:rPr>
            <w:noProof/>
            <w:webHidden/>
          </w:rPr>
          <w:tab/>
        </w:r>
        <w:r w:rsidR="004B5EC9">
          <w:rPr>
            <w:noProof/>
            <w:webHidden/>
          </w:rPr>
          <w:fldChar w:fldCharType="begin"/>
        </w:r>
        <w:r w:rsidR="004B5EC9">
          <w:rPr>
            <w:noProof/>
            <w:webHidden/>
          </w:rPr>
          <w:instrText xml:space="preserve"> PAGEREF _Toc524957062 \h </w:instrText>
        </w:r>
        <w:r w:rsidR="004B5EC9">
          <w:rPr>
            <w:noProof/>
            <w:webHidden/>
          </w:rPr>
        </w:r>
        <w:r w:rsidR="004B5EC9">
          <w:rPr>
            <w:noProof/>
            <w:webHidden/>
          </w:rPr>
          <w:fldChar w:fldCharType="separate"/>
        </w:r>
        <w:r>
          <w:rPr>
            <w:noProof/>
            <w:webHidden/>
          </w:rPr>
          <w:t>25</w:t>
        </w:r>
        <w:r w:rsidR="004B5EC9">
          <w:rPr>
            <w:noProof/>
            <w:webHidden/>
          </w:rPr>
          <w:fldChar w:fldCharType="end"/>
        </w:r>
      </w:hyperlink>
    </w:p>
    <w:p w:rsidR="004B5EC9" w:rsidRDefault="000220C9">
      <w:pPr>
        <w:pStyle w:val="TOC2"/>
        <w:rPr>
          <w:rFonts w:eastAsiaTheme="minorEastAsia" w:cstheme="minorBidi"/>
          <w:i w:val="0"/>
          <w:noProof/>
          <w:szCs w:val="22"/>
        </w:rPr>
      </w:pPr>
      <w:hyperlink w:anchor="_Toc524957063" w:history="1">
        <w:r w:rsidR="004B5EC9" w:rsidRPr="00033072">
          <w:rPr>
            <w:rStyle w:val="Hyperlink"/>
            <w:noProof/>
          </w:rPr>
          <w:t>Dėl trečiojo suinteresuoto asmens teisės į teismo išlaidų atlyginimą, kai byla nutraukiama pareiškėjui atsisakius skundo</w:t>
        </w:r>
        <w:r w:rsidR="004B5EC9">
          <w:rPr>
            <w:noProof/>
            <w:webHidden/>
          </w:rPr>
          <w:tab/>
        </w:r>
        <w:r w:rsidR="004B5EC9">
          <w:rPr>
            <w:noProof/>
            <w:webHidden/>
          </w:rPr>
          <w:fldChar w:fldCharType="begin"/>
        </w:r>
        <w:r w:rsidR="004B5EC9">
          <w:rPr>
            <w:noProof/>
            <w:webHidden/>
          </w:rPr>
          <w:instrText xml:space="preserve"> PAGEREF _Toc524957063 \h </w:instrText>
        </w:r>
        <w:r w:rsidR="004B5EC9">
          <w:rPr>
            <w:noProof/>
            <w:webHidden/>
          </w:rPr>
        </w:r>
        <w:r w:rsidR="004B5EC9">
          <w:rPr>
            <w:noProof/>
            <w:webHidden/>
          </w:rPr>
          <w:fldChar w:fldCharType="separate"/>
        </w:r>
        <w:r>
          <w:rPr>
            <w:noProof/>
            <w:webHidden/>
          </w:rPr>
          <w:t>25</w:t>
        </w:r>
        <w:r w:rsidR="004B5EC9">
          <w:rPr>
            <w:noProof/>
            <w:webHidden/>
          </w:rPr>
          <w:fldChar w:fldCharType="end"/>
        </w:r>
      </w:hyperlink>
    </w:p>
    <w:p w:rsidR="004B5EC9" w:rsidRDefault="000220C9">
      <w:pPr>
        <w:pStyle w:val="TOC2"/>
        <w:rPr>
          <w:rFonts w:eastAsiaTheme="minorEastAsia" w:cstheme="minorBidi"/>
          <w:i w:val="0"/>
          <w:noProof/>
          <w:szCs w:val="22"/>
        </w:rPr>
      </w:pPr>
      <w:hyperlink w:anchor="_Toc524957064" w:history="1">
        <w:r w:rsidR="004B5EC9" w:rsidRPr="00033072">
          <w:rPr>
            <w:rStyle w:val="Hyperlink"/>
            <w:noProof/>
          </w:rPr>
          <w:t>Dėl teismo išlaidų priteisimo tik įsiteisėjus sprendimui</w:t>
        </w:r>
        <w:r w:rsidR="004B5EC9">
          <w:rPr>
            <w:noProof/>
            <w:webHidden/>
          </w:rPr>
          <w:tab/>
        </w:r>
        <w:r w:rsidR="004B5EC9">
          <w:rPr>
            <w:noProof/>
            <w:webHidden/>
          </w:rPr>
          <w:fldChar w:fldCharType="begin"/>
        </w:r>
        <w:r w:rsidR="004B5EC9">
          <w:rPr>
            <w:noProof/>
            <w:webHidden/>
          </w:rPr>
          <w:instrText xml:space="preserve"> PAGEREF _Toc524957064 \h </w:instrText>
        </w:r>
        <w:r w:rsidR="004B5EC9">
          <w:rPr>
            <w:noProof/>
            <w:webHidden/>
          </w:rPr>
        </w:r>
        <w:r w:rsidR="004B5EC9">
          <w:rPr>
            <w:noProof/>
            <w:webHidden/>
          </w:rPr>
          <w:fldChar w:fldCharType="separate"/>
        </w:r>
        <w:r>
          <w:rPr>
            <w:noProof/>
            <w:webHidden/>
          </w:rPr>
          <w:t>26</w:t>
        </w:r>
        <w:r w:rsidR="004B5EC9">
          <w:rPr>
            <w:noProof/>
            <w:webHidden/>
          </w:rPr>
          <w:fldChar w:fldCharType="end"/>
        </w:r>
      </w:hyperlink>
    </w:p>
    <w:p w:rsidR="009C6F61" w:rsidRDefault="003E42E1" w:rsidP="008C6FE9">
      <w:pPr>
        <w:spacing w:before="240" w:after="240"/>
        <w:jc w:val="both"/>
        <w:rPr>
          <w:rFonts w:asciiTheme="minorHAnsi" w:hAnsiTheme="minorHAnsi" w:cstheme="minorHAnsi"/>
          <w:sz w:val="22"/>
          <w:szCs w:val="22"/>
        </w:rPr>
      </w:pPr>
      <w:r w:rsidRPr="00D3763B">
        <w:rPr>
          <w:rFonts w:asciiTheme="minorHAnsi" w:hAnsiTheme="minorHAnsi" w:cstheme="minorHAnsi"/>
          <w:sz w:val="22"/>
          <w:szCs w:val="22"/>
        </w:rPr>
        <w:fldChar w:fldCharType="end"/>
      </w:r>
    </w:p>
    <w:p w:rsidR="009C6F61" w:rsidRDefault="009C6F61">
      <w:pPr>
        <w:spacing w:after="160" w:line="259" w:lineRule="auto"/>
        <w:rPr>
          <w:rFonts w:asciiTheme="minorHAnsi" w:hAnsiTheme="minorHAnsi" w:cstheme="minorHAnsi"/>
          <w:sz w:val="22"/>
          <w:szCs w:val="22"/>
        </w:rPr>
      </w:pPr>
    </w:p>
    <w:p w:rsidR="009C6F61" w:rsidRDefault="009C6F61">
      <w:pPr>
        <w:spacing w:after="160" w:line="259" w:lineRule="auto"/>
        <w:rPr>
          <w:rFonts w:asciiTheme="minorHAnsi" w:hAnsiTheme="minorHAnsi" w:cstheme="minorHAnsi"/>
          <w:sz w:val="22"/>
          <w:szCs w:val="22"/>
        </w:rPr>
      </w:pPr>
    </w:p>
    <w:p w:rsidR="009C6F61" w:rsidRDefault="009C6F61">
      <w:pPr>
        <w:spacing w:after="160" w:line="259" w:lineRule="auto"/>
        <w:rPr>
          <w:rFonts w:asciiTheme="minorHAnsi" w:hAnsiTheme="minorHAnsi" w:cstheme="minorHAnsi"/>
          <w:sz w:val="22"/>
          <w:szCs w:val="22"/>
        </w:rPr>
      </w:pPr>
    </w:p>
    <w:p w:rsidR="009C6F61" w:rsidRDefault="009C6F61">
      <w:pPr>
        <w:spacing w:after="160" w:line="259" w:lineRule="auto"/>
        <w:rPr>
          <w:rFonts w:asciiTheme="minorHAnsi" w:hAnsiTheme="minorHAnsi" w:cstheme="minorHAnsi"/>
          <w:sz w:val="22"/>
          <w:szCs w:val="22"/>
        </w:rPr>
      </w:pPr>
    </w:p>
    <w:p w:rsidR="009C6F61" w:rsidRDefault="009C6F61">
      <w:pPr>
        <w:spacing w:after="160" w:line="259" w:lineRule="auto"/>
        <w:rPr>
          <w:rFonts w:asciiTheme="minorHAnsi" w:hAnsiTheme="minorHAnsi" w:cstheme="minorHAnsi"/>
          <w:sz w:val="22"/>
          <w:szCs w:val="22"/>
        </w:rPr>
      </w:pPr>
    </w:p>
    <w:p w:rsidR="009C6F61" w:rsidRDefault="009C6F61">
      <w:pPr>
        <w:spacing w:after="160" w:line="259" w:lineRule="auto"/>
        <w:rPr>
          <w:rFonts w:asciiTheme="minorHAnsi" w:hAnsiTheme="minorHAnsi" w:cstheme="minorHAnsi"/>
          <w:sz w:val="22"/>
          <w:szCs w:val="22"/>
        </w:rPr>
      </w:pPr>
    </w:p>
    <w:p w:rsidR="009C6F61" w:rsidRDefault="009C6F61">
      <w:pPr>
        <w:spacing w:after="160" w:line="259" w:lineRule="auto"/>
        <w:rPr>
          <w:rFonts w:asciiTheme="minorHAnsi" w:hAnsiTheme="minorHAnsi" w:cstheme="minorHAnsi"/>
          <w:sz w:val="22"/>
          <w:szCs w:val="22"/>
        </w:rPr>
      </w:pPr>
    </w:p>
    <w:p w:rsidR="009C6F61" w:rsidRDefault="009C6F61">
      <w:pPr>
        <w:spacing w:after="160" w:line="259" w:lineRule="auto"/>
        <w:rPr>
          <w:rFonts w:asciiTheme="minorHAnsi" w:hAnsiTheme="minorHAnsi" w:cstheme="minorHAnsi"/>
          <w:sz w:val="22"/>
          <w:szCs w:val="22"/>
        </w:rPr>
      </w:pPr>
    </w:p>
    <w:p w:rsidR="009C6F61" w:rsidRDefault="009C6F61">
      <w:pPr>
        <w:spacing w:after="160" w:line="259" w:lineRule="auto"/>
        <w:rPr>
          <w:rFonts w:asciiTheme="minorHAnsi" w:hAnsiTheme="minorHAnsi" w:cstheme="minorHAnsi"/>
          <w:sz w:val="22"/>
          <w:szCs w:val="22"/>
        </w:rPr>
      </w:pPr>
    </w:p>
    <w:p w:rsidR="009C6F61" w:rsidRDefault="009C6F61">
      <w:pPr>
        <w:spacing w:after="160" w:line="259" w:lineRule="auto"/>
        <w:rPr>
          <w:rFonts w:asciiTheme="minorHAnsi" w:hAnsiTheme="minorHAnsi" w:cstheme="minorHAnsi"/>
          <w:sz w:val="22"/>
          <w:szCs w:val="22"/>
        </w:rPr>
      </w:pPr>
    </w:p>
    <w:p w:rsidR="009C6F61" w:rsidRDefault="009C6F61">
      <w:pPr>
        <w:spacing w:after="160" w:line="259" w:lineRule="auto"/>
        <w:rPr>
          <w:rFonts w:asciiTheme="minorHAnsi" w:hAnsiTheme="minorHAnsi" w:cstheme="minorHAnsi"/>
          <w:sz w:val="22"/>
          <w:szCs w:val="22"/>
        </w:rPr>
      </w:pPr>
    </w:p>
    <w:p w:rsidR="009C6F61" w:rsidRDefault="009C6F61">
      <w:pPr>
        <w:spacing w:after="160" w:line="259" w:lineRule="auto"/>
        <w:rPr>
          <w:rFonts w:asciiTheme="minorHAnsi" w:hAnsiTheme="minorHAnsi" w:cstheme="minorHAnsi"/>
          <w:sz w:val="22"/>
          <w:szCs w:val="22"/>
        </w:rPr>
      </w:pPr>
    </w:p>
    <w:p w:rsidR="009C6F61" w:rsidRDefault="009C6F61">
      <w:pPr>
        <w:spacing w:after="160" w:line="259" w:lineRule="auto"/>
        <w:rPr>
          <w:rFonts w:asciiTheme="minorHAnsi" w:hAnsiTheme="minorHAnsi" w:cstheme="minorHAnsi"/>
          <w:sz w:val="22"/>
          <w:szCs w:val="22"/>
        </w:rPr>
      </w:pPr>
    </w:p>
    <w:p w:rsidR="009C6F61" w:rsidRDefault="009C6F61">
      <w:pPr>
        <w:spacing w:after="160" w:line="259" w:lineRule="auto"/>
        <w:rPr>
          <w:rFonts w:asciiTheme="minorHAnsi" w:hAnsiTheme="minorHAnsi" w:cstheme="minorHAnsi"/>
          <w:sz w:val="22"/>
          <w:szCs w:val="22"/>
        </w:rPr>
      </w:pPr>
    </w:p>
    <w:p w:rsidR="009C6F61" w:rsidRDefault="009C6F61">
      <w:pPr>
        <w:spacing w:after="160" w:line="259" w:lineRule="auto"/>
        <w:rPr>
          <w:rFonts w:asciiTheme="minorHAnsi" w:hAnsiTheme="minorHAnsi" w:cstheme="minorHAnsi"/>
          <w:sz w:val="22"/>
          <w:szCs w:val="22"/>
        </w:rPr>
      </w:pPr>
    </w:p>
    <w:p w:rsidR="009C6F61" w:rsidRDefault="009C6F61">
      <w:pPr>
        <w:spacing w:after="160" w:line="259" w:lineRule="auto"/>
        <w:rPr>
          <w:rFonts w:asciiTheme="minorHAnsi" w:hAnsiTheme="minorHAnsi" w:cstheme="minorHAnsi"/>
          <w:sz w:val="22"/>
          <w:szCs w:val="22"/>
        </w:rPr>
      </w:pPr>
    </w:p>
    <w:p w:rsidR="009C6F61" w:rsidRDefault="009C6F61">
      <w:pPr>
        <w:spacing w:after="160" w:line="259" w:lineRule="auto"/>
        <w:rPr>
          <w:rFonts w:asciiTheme="minorHAnsi" w:hAnsiTheme="minorHAnsi" w:cstheme="minorHAnsi"/>
          <w:sz w:val="22"/>
          <w:szCs w:val="22"/>
        </w:rPr>
      </w:pPr>
    </w:p>
    <w:p w:rsidR="009C6F61" w:rsidRDefault="009C6F61">
      <w:pPr>
        <w:spacing w:after="160" w:line="259" w:lineRule="auto"/>
        <w:rPr>
          <w:rFonts w:asciiTheme="minorHAnsi" w:hAnsiTheme="minorHAnsi" w:cstheme="minorHAnsi"/>
          <w:sz w:val="22"/>
          <w:szCs w:val="22"/>
        </w:rPr>
      </w:pPr>
    </w:p>
    <w:p w:rsidR="009C6F61" w:rsidRDefault="009C6F61">
      <w:pPr>
        <w:spacing w:after="160" w:line="259" w:lineRule="auto"/>
        <w:rPr>
          <w:rFonts w:asciiTheme="minorHAnsi" w:hAnsiTheme="minorHAnsi" w:cstheme="minorHAnsi"/>
          <w:sz w:val="22"/>
          <w:szCs w:val="22"/>
        </w:rPr>
      </w:pPr>
    </w:p>
    <w:p w:rsidR="009C6F61" w:rsidRDefault="009C6F61">
      <w:pPr>
        <w:spacing w:after="160" w:line="259" w:lineRule="auto"/>
        <w:rPr>
          <w:rFonts w:asciiTheme="minorHAnsi" w:hAnsiTheme="minorHAnsi" w:cstheme="minorHAnsi"/>
          <w:sz w:val="22"/>
          <w:szCs w:val="22"/>
        </w:rPr>
      </w:pPr>
    </w:p>
    <w:p w:rsidR="0083486C" w:rsidRDefault="0083486C">
      <w:pPr>
        <w:spacing w:after="160" w:line="259" w:lineRule="auto"/>
        <w:rPr>
          <w:rFonts w:asciiTheme="minorHAnsi" w:hAnsiTheme="minorHAnsi" w:cstheme="minorHAnsi"/>
          <w:sz w:val="22"/>
          <w:szCs w:val="22"/>
        </w:rPr>
      </w:pPr>
    </w:p>
    <w:p w:rsidR="0083486C" w:rsidRDefault="0083486C">
      <w:pPr>
        <w:spacing w:after="160" w:line="259" w:lineRule="auto"/>
        <w:rPr>
          <w:rFonts w:asciiTheme="minorHAnsi" w:hAnsiTheme="minorHAnsi" w:cstheme="minorHAnsi"/>
          <w:sz w:val="22"/>
          <w:szCs w:val="22"/>
        </w:rPr>
      </w:pPr>
    </w:p>
    <w:p w:rsidR="004B5E60" w:rsidRPr="00D3763B" w:rsidRDefault="00E227FE" w:rsidP="008C6FE9">
      <w:pPr>
        <w:spacing w:before="240" w:after="240"/>
        <w:jc w:val="both"/>
        <w:rPr>
          <w:rFonts w:asciiTheme="minorHAnsi" w:hAnsiTheme="minorHAnsi" w:cstheme="minorHAnsi"/>
          <w:sz w:val="22"/>
          <w:szCs w:val="22"/>
        </w:rPr>
      </w:pPr>
      <w:r w:rsidRPr="00D3763B">
        <w:rPr>
          <w:rFonts w:asciiTheme="minorHAnsi" w:hAnsiTheme="minorHAnsi" w:cstheme="minorHAnsi"/>
          <w:b/>
          <w:sz w:val="22"/>
          <w:szCs w:val="22"/>
        </w:rPr>
        <w:t>P</w:t>
      </w:r>
      <w:r w:rsidR="003D4C15" w:rsidRPr="00D3763B">
        <w:rPr>
          <w:rFonts w:asciiTheme="minorHAnsi" w:hAnsiTheme="minorHAnsi" w:cstheme="minorHAnsi"/>
          <w:b/>
          <w:sz w:val="22"/>
          <w:szCs w:val="22"/>
        </w:rPr>
        <w:t>astaba.</w:t>
      </w:r>
      <w:r w:rsidR="003D4C15" w:rsidRPr="00D3763B">
        <w:rPr>
          <w:rFonts w:asciiTheme="minorHAnsi" w:hAnsiTheme="minorHAnsi" w:cstheme="minorHAnsi"/>
          <w:sz w:val="22"/>
          <w:szCs w:val="22"/>
        </w:rPr>
        <w:t xml:space="preserve"> Šioje apžvalgoje pateikiamos neoficialios Lietuvos vyriausiojo administracinio teismo (toliau – ir LVAT) procesinių sprendimų ir Specialiosios teisėjų kolegijos nutarčių dėl teismingumo santraukos, kurios LVAT nesaisto. Šis dokumentas yra skirtas tik inf</w:t>
      </w:r>
      <w:r w:rsidR="00E7204D">
        <w:rPr>
          <w:rFonts w:asciiTheme="minorHAnsi" w:hAnsiTheme="minorHAnsi" w:cstheme="minorHAnsi"/>
          <w:sz w:val="22"/>
          <w:szCs w:val="22"/>
        </w:rPr>
        <w:t>ormuoti</w:t>
      </w:r>
      <w:r w:rsidR="003D4C15" w:rsidRPr="00D3763B">
        <w:rPr>
          <w:rFonts w:asciiTheme="minorHAnsi" w:hAnsiTheme="minorHAnsi" w:cstheme="minorHAnsi"/>
          <w:sz w:val="22"/>
          <w:szCs w:val="22"/>
        </w:rPr>
        <w:t>. Oficialius nutarčių bei sprendimų tekstus galite rasti pasinaudoję interaktyviomis nuorodomis. Informacija dėstoma remiantis Teisėjų tarybos 20</w:t>
      </w:r>
      <w:r w:rsidR="0045102F" w:rsidRPr="00D3763B">
        <w:rPr>
          <w:rFonts w:asciiTheme="minorHAnsi" w:hAnsiTheme="minorHAnsi" w:cstheme="minorHAnsi"/>
          <w:sz w:val="22"/>
          <w:szCs w:val="22"/>
        </w:rPr>
        <w:t>16</w:t>
      </w:r>
      <w:r w:rsidR="003D4C15" w:rsidRPr="00D3763B">
        <w:rPr>
          <w:rFonts w:asciiTheme="minorHAnsi" w:hAnsiTheme="minorHAnsi" w:cstheme="minorHAnsi"/>
          <w:sz w:val="22"/>
          <w:szCs w:val="22"/>
        </w:rPr>
        <w:t xml:space="preserve"> m. </w:t>
      </w:r>
      <w:r w:rsidR="0045102F" w:rsidRPr="00D3763B">
        <w:rPr>
          <w:rFonts w:asciiTheme="minorHAnsi" w:hAnsiTheme="minorHAnsi" w:cstheme="minorHAnsi"/>
          <w:sz w:val="22"/>
          <w:szCs w:val="22"/>
        </w:rPr>
        <w:t>rugsėjo 30</w:t>
      </w:r>
      <w:r w:rsidR="009E6C8D" w:rsidRPr="00D3763B">
        <w:rPr>
          <w:rFonts w:asciiTheme="minorHAnsi" w:hAnsiTheme="minorHAnsi" w:cstheme="minorHAnsi"/>
          <w:sz w:val="22"/>
          <w:szCs w:val="22"/>
        </w:rPr>
        <w:t> </w:t>
      </w:r>
      <w:r w:rsidR="003D4C15" w:rsidRPr="00D3763B">
        <w:rPr>
          <w:rFonts w:asciiTheme="minorHAnsi" w:hAnsiTheme="minorHAnsi" w:cstheme="minorHAnsi"/>
          <w:sz w:val="22"/>
          <w:szCs w:val="22"/>
        </w:rPr>
        <w:t>d. nutarimu Nr. 13P-</w:t>
      </w:r>
      <w:r w:rsidR="0045102F" w:rsidRPr="00D3763B">
        <w:rPr>
          <w:rFonts w:asciiTheme="minorHAnsi" w:hAnsiTheme="minorHAnsi" w:cstheme="minorHAnsi"/>
          <w:sz w:val="22"/>
          <w:szCs w:val="22"/>
        </w:rPr>
        <w:t>102</w:t>
      </w:r>
      <w:r w:rsidR="003D4C15" w:rsidRPr="00D3763B">
        <w:rPr>
          <w:rFonts w:asciiTheme="minorHAnsi" w:hAnsiTheme="minorHAnsi" w:cstheme="minorHAnsi"/>
          <w:sz w:val="22"/>
          <w:szCs w:val="22"/>
        </w:rPr>
        <w:t>-(7.1.2) patvirtintu Teismų procesinių sprendimų administracinėse bylose kategorijų klasifikatoriumi.</w:t>
      </w:r>
      <w:bookmarkStart w:id="8" w:name="_Toc410389752"/>
      <w:bookmarkStart w:id="9" w:name="_Toc361146890"/>
      <w:bookmarkEnd w:id="7"/>
    </w:p>
    <w:p w:rsidR="00A84D45" w:rsidRPr="00D3763B" w:rsidRDefault="00A84D45" w:rsidP="0014360F">
      <w:pPr>
        <w:pStyle w:val="Apzvalgai1"/>
        <w:rPr>
          <w:rFonts w:asciiTheme="minorHAnsi" w:hAnsiTheme="minorHAnsi" w:cstheme="minorHAnsi"/>
        </w:rPr>
      </w:pPr>
      <w:bookmarkStart w:id="10" w:name="_Toc519600852"/>
      <w:bookmarkStart w:id="11" w:name="_Toc524957029"/>
      <w:r w:rsidRPr="00D3763B">
        <w:rPr>
          <w:rFonts w:asciiTheme="minorHAnsi" w:hAnsiTheme="minorHAnsi" w:cstheme="minorHAnsi"/>
        </w:rPr>
        <w:lastRenderedPageBreak/>
        <w:t>I. Administracinės bylos, kylančios iš ginčų dėl teisės viešojo administravimo srityje</w:t>
      </w:r>
      <w:bookmarkEnd w:id="10"/>
      <w:bookmarkEnd w:id="11"/>
    </w:p>
    <w:p w:rsidR="00D70C5F" w:rsidRPr="00D3763B" w:rsidRDefault="00D70C5F" w:rsidP="00D70C5F">
      <w:pPr>
        <w:rPr>
          <w:rFonts w:asciiTheme="minorHAnsi" w:hAnsiTheme="minorHAnsi" w:cstheme="minorHAnsi"/>
          <w:b/>
          <w:bCs/>
          <w:sz w:val="22"/>
          <w:szCs w:val="22"/>
          <w:u w:val="single"/>
        </w:rPr>
      </w:pPr>
      <w:bookmarkStart w:id="12" w:name="_Toc462149990"/>
      <w:bookmarkStart w:id="13" w:name="_Toc462150004"/>
      <w:bookmarkStart w:id="14" w:name="_Toc462149971"/>
      <w:bookmarkStart w:id="15" w:name="_Toc462149972"/>
    </w:p>
    <w:p w:rsidR="00D70C5F" w:rsidRPr="00D3763B" w:rsidRDefault="00D70C5F" w:rsidP="0014360F">
      <w:pPr>
        <w:pStyle w:val="Apzvalgai1"/>
        <w:rPr>
          <w:rFonts w:asciiTheme="minorHAnsi" w:hAnsiTheme="minorHAnsi" w:cstheme="minorHAnsi"/>
        </w:rPr>
      </w:pPr>
      <w:bookmarkStart w:id="16" w:name="_Toc524957030"/>
      <w:r w:rsidRPr="00D3763B">
        <w:rPr>
          <w:rFonts w:asciiTheme="minorHAnsi" w:hAnsiTheme="minorHAnsi" w:cstheme="minorHAnsi"/>
        </w:rPr>
        <w:t>4. Norminių administracinių aktų teisėtumo patikra</w:t>
      </w:r>
      <w:bookmarkEnd w:id="16"/>
    </w:p>
    <w:p w:rsidR="00D70C5F" w:rsidRPr="00D3763B" w:rsidRDefault="00D70C5F" w:rsidP="00D70C5F">
      <w:pPr>
        <w:ind w:firstLine="567"/>
        <w:rPr>
          <w:rFonts w:asciiTheme="minorHAnsi" w:hAnsiTheme="minorHAnsi" w:cstheme="minorHAnsi"/>
          <w:b/>
          <w:bCs/>
          <w:sz w:val="22"/>
          <w:szCs w:val="22"/>
          <w:u w:val="single"/>
        </w:rPr>
      </w:pPr>
      <w:r w:rsidRPr="00D3763B">
        <w:rPr>
          <w:rFonts w:asciiTheme="minorHAnsi" w:hAnsiTheme="minorHAnsi" w:cstheme="minorHAnsi"/>
          <w:b/>
          <w:bCs/>
          <w:sz w:val="22"/>
          <w:szCs w:val="22"/>
          <w:u w:val="single"/>
        </w:rPr>
        <w:t>4.1. Centrinių valstybinio administravimo subjektų norminių administracinių aktų teisėtumas</w:t>
      </w:r>
    </w:p>
    <w:p w:rsidR="00D70C5F" w:rsidRPr="00D3763B" w:rsidRDefault="00D70C5F" w:rsidP="00D70C5F">
      <w:pPr>
        <w:rPr>
          <w:rFonts w:asciiTheme="minorHAnsi" w:hAnsiTheme="minorHAnsi" w:cstheme="minorHAnsi"/>
          <w:b/>
          <w:bCs/>
          <w:sz w:val="22"/>
          <w:szCs w:val="22"/>
          <w:u w:val="single"/>
        </w:rPr>
      </w:pPr>
    </w:p>
    <w:p w:rsidR="00D70C5F" w:rsidRPr="00D3763B" w:rsidRDefault="00D70C5F" w:rsidP="00D3763B">
      <w:pPr>
        <w:pStyle w:val="Heading2"/>
      </w:pPr>
      <w:bookmarkStart w:id="17" w:name="_Toc524957031"/>
      <w:r w:rsidRPr="00D3763B">
        <w:t xml:space="preserve">Dėl Asmenų </w:t>
      </w:r>
      <w:r w:rsidRPr="00D3763B">
        <w:rPr>
          <w:rStyle w:val="Emphasis"/>
          <w:rFonts w:asciiTheme="minorHAnsi" w:hAnsiTheme="minorHAnsi"/>
          <w:i/>
        </w:rPr>
        <w:t>aptarnavimo</w:t>
      </w:r>
      <w:r w:rsidRPr="00D3763B">
        <w:t xml:space="preserve"> Lietuvos Respublikos prokuratūroje aprašo 4.13 ir 74 punktų teisėtumo</w:t>
      </w:r>
      <w:bookmarkEnd w:id="17"/>
    </w:p>
    <w:p w:rsidR="00D70C5F" w:rsidRPr="00D3763B" w:rsidRDefault="00D70C5F" w:rsidP="00D70C5F">
      <w:pPr>
        <w:rPr>
          <w:rFonts w:asciiTheme="minorHAnsi" w:hAnsiTheme="minorHAnsi" w:cstheme="minorHAnsi"/>
          <w:b/>
          <w:bCs/>
          <w:i/>
          <w:sz w:val="22"/>
          <w:szCs w:val="22"/>
          <w:u w:val="single"/>
        </w:rPr>
      </w:pPr>
    </w:p>
    <w:p w:rsidR="00D70C5F" w:rsidRPr="00D3763B" w:rsidRDefault="00D70C5F" w:rsidP="00D70C5F">
      <w:pPr>
        <w:ind w:firstLine="567"/>
        <w:jc w:val="both"/>
        <w:rPr>
          <w:rFonts w:asciiTheme="minorHAnsi" w:hAnsiTheme="minorHAnsi" w:cstheme="minorHAnsi"/>
          <w:sz w:val="22"/>
          <w:szCs w:val="22"/>
        </w:rPr>
      </w:pPr>
      <w:r w:rsidRPr="00D3763B">
        <w:rPr>
          <w:rFonts w:asciiTheme="minorHAnsi" w:hAnsiTheme="minorHAnsi" w:cstheme="minorHAnsi"/>
          <w:sz w:val="22"/>
          <w:szCs w:val="22"/>
        </w:rPr>
        <w:t>Aptariamoje byloje pareiškėjas Vilniaus apygardos administracinis teismas kreipėsi į Lietuvos vyriausiąjį administracinį teismą prašydamas ištirti, ar Lietuvos Respublikos generalinio prokuroro 2008 m. sausio 3 d. įsakymu Nr. I-3 patvirtinto Asmenų aptarnavimo Lietuvos Respublikos prokuratūroje aprašo (Lietuvos Respublikos generalinio prokuroro 2014 m. spalio 3 d. įsakymo Nr. I-198 redakc</w:t>
      </w:r>
      <w:r w:rsidR="00B13CFA">
        <w:rPr>
          <w:rFonts w:asciiTheme="minorHAnsi" w:hAnsiTheme="minorHAnsi" w:cstheme="minorHAnsi"/>
          <w:sz w:val="22"/>
          <w:szCs w:val="22"/>
        </w:rPr>
        <w:t>ija) (toliau – ir Aprašas) 4.13 </w:t>
      </w:r>
      <w:r w:rsidRPr="00D3763B">
        <w:rPr>
          <w:rFonts w:asciiTheme="minorHAnsi" w:hAnsiTheme="minorHAnsi" w:cstheme="minorHAnsi"/>
          <w:sz w:val="22"/>
          <w:szCs w:val="22"/>
        </w:rPr>
        <w:t xml:space="preserve">punktas ta apimtimi, kuria </w:t>
      </w:r>
      <w:r w:rsidR="00002F90" w:rsidRPr="00D3763B">
        <w:rPr>
          <w:rFonts w:asciiTheme="minorHAnsi" w:hAnsiTheme="minorHAnsi" w:cstheme="minorHAnsi"/>
          <w:sz w:val="22"/>
          <w:szCs w:val="22"/>
        </w:rPr>
        <w:t xml:space="preserve">nustatyta, kad </w:t>
      </w:r>
      <w:r w:rsidRPr="00D3763B">
        <w:rPr>
          <w:rFonts w:asciiTheme="minorHAnsi" w:hAnsiTheme="minorHAnsi" w:cstheme="minorHAnsi"/>
          <w:sz w:val="22"/>
          <w:szCs w:val="22"/>
        </w:rPr>
        <w:t>prie neteikiamos informacijos priskiriamos visos prokuratūroje atlikto vidinio (tarnybinio) patikrinimo metu nustatytos aplinkybės, ir 74 punktas ta apimtimi, kuria numatyta, kad pareiškėjams neteikiami jokie duomenys apie tarnybinius patikrinimus ir kitas su tarnybine atsakomybe susijusias vidaus administravimo procedūras, atitinka aukštesnės galios teisės aktus ir teisės principus.</w:t>
      </w:r>
    </w:p>
    <w:p w:rsidR="00D70C5F" w:rsidRPr="00D3763B" w:rsidRDefault="00D70C5F" w:rsidP="00D70C5F">
      <w:pPr>
        <w:ind w:firstLine="567"/>
        <w:jc w:val="both"/>
        <w:rPr>
          <w:rFonts w:asciiTheme="minorHAnsi" w:hAnsiTheme="minorHAnsi" w:cstheme="minorHAnsi"/>
          <w:sz w:val="22"/>
          <w:szCs w:val="22"/>
        </w:rPr>
      </w:pPr>
      <w:r w:rsidRPr="00D3763B">
        <w:rPr>
          <w:rFonts w:asciiTheme="minorHAnsi" w:hAnsiTheme="minorHAnsi" w:cstheme="minorHAnsi"/>
          <w:sz w:val="22"/>
          <w:szCs w:val="22"/>
        </w:rPr>
        <w:t xml:space="preserve">Aprašo 4.13 punkte pateikta neteikiamos informacijos sąvoka ir toje dalyje, kurios teisėtumas </w:t>
      </w:r>
      <w:r w:rsidR="00002F90" w:rsidRPr="00D3763B">
        <w:rPr>
          <w:rFonts w:asciiTheme="minorHAnsi" w:hAnsiTheme="minorHAnsi" w:cstheme="minorHAnsi"/>
          <w:sz w:val="22"/>
          <w:szCs w:val="22"/>
        </w:rPr>
        <w:t xml:space="preserve">buvo </w:t>
      </w:r>
      <w:r w:rsidRPr="00D3763B">
        <w:rPr>
          <w:rFonts w:asciiTheme="minorHAnsi" w:hAnsiTheme="minorHAnsi" w:cstheme="minorHAnsi"/>
          <w:sz w:val="22"/>
          <w:szCs w:val="22"/>
        </w:rPr>
        <w:t>kvestionuo</w:t>
      </w:r>
      <w:r w:rsidR="00002F90" w:rsidRPr="00D3763B">
        <w:rPr>
          <w:rFonts w:asciiTheme="minorHAnsi" w:hAnsiTheme="minorHAnsi" w:cstheme="minorHAnsi"/>
          <w:sz w:val="22"/>
          <w:szCs w:val="22"/>
        </w:rPr>
        <w:t>tas</w:t>
      </w:r>
      <w:r w:rsidRPr="00D3763B">
        <w:rPr>
          <w:rFonts w:asciiTheme="minorHAnsi" w:hAnsiTheme="minorHAnsi" w:cstheme="minorHAnsi"/>
          <w:sz w:val="22"/>
          <w:szCs w:val="22"/>
        </w:rPr>
        <w:t xml:space="preserve">, prie neteikiamos informacijos priskiriamos prokuratūroje atlikto vidinio (tarnybinio) patikrinimo metu nustatytos aplinkybės. Aprašo 74 punkte numatyta, jog duomenys apie tarnybinius patikrinimus ir kitas su tarnybine atsakomybe susijusias vidaus administravimo procedūras pareiškėjams neteikiami. Duomenys apie paskirtas tarnybines nuobaudas teikiami teisės aktų nustatyta tvarka. Atitikties aukštesnės galios teisės aktams klausimas </w:t>
      </w:r>
      <w:r w:rsidR="00002F90" w:rsidRPr="00D3763B">
        <w:rPr>
          <w:rFonts w:asciiTheme="minorHAnsi" w:hAnsiTheme="minorHAnsi" w:cstheme="minorHAnsi"/>
          <w:sz w:val="22"/>
          <w:szCs w:val="22"/>
        </w:rPr>
        <w:t xml:space="preserve">buvo </w:t>
      </w:r>
      <w:r w:rsidRPr="00D3763B">
        <w:rPr>
          <w:rFonts w:asciiTheme="minorHAnsi" w:hAnsiTheme="minorHAnsi" w:cstheme="minorHAnsi"/>
          <w:sz w:val="22"/>
          <w:szCs w:val="22"/>
        </w:rPr>
        <w:t xml:space="preserve">keliamas tik dėl pirmojo 74 punkto sakinio. </w:t>
      </w:r>
      <w:bookmarkStart w:id="18" w:name="_Hlk520966166"/>
      <w:r w:rsidRPr="00D3763B">
        <w:rPr>
          <w:rFonts w:asciiTheme="minorHAnsi" w:hAnsiTheme="minorHAnsi" w:cstheme="minorHAnsi"/>
          <w:sz w:val="22"/>
          <w:szCs w:val="22"/>
        </w:rPr>
        <w:t>Taigi, kaip matyti iš ginč</w:t>
      </w:r>
      <w:r w:rsidR="00002F90" w:rsidRPr="00D3763B">
        <w:rPr>
          <w:rFonts w:asciiTheme="minorHAnsi" w:hAnsiTheme="minorHAnsi" w:cstheme="minorHAnsi"/>
          <w:sz w:val="22"/>
          <w:szCs w:val="22"/>
        </w:rPr>
        <w:t xml:space="preserve">ytų </w:t>
      </w:r>
      <w:r w:rsidRPr="00D3763B">
        <w:rPr>
          <w:rFonts w:asciiTheme="minorHAnsi" w:hAnsiTheme="minorHAnsi" w:cstheme="minorHAnsi"/>
          <w:sz w:val="22"/>
          <w:szCs w:val="22"/>
        </w:rPr>
        <w:t>Aprašo 4.13 ir 74 punktų kvestionuo</w:t>
      </w:r>
      <w:r w:rsidR="00002F90" w:rsidRPr="00D3763B">
        <w:rPr>
          <w:rFonts w:asciiTheme="minorHAnsi" w:hAnsiTheme="minorHAnsi" w:cstheme="minorHAnsi"/>
          <w:sz w:val="22"/>
          <w:szCs w:val="22"/>
        </w:rPr>
        <w:t>t</w:t>
      </w:r>
      <w:r w:rsidRPr="00D3763B">
        <w:rPr>
          <w:rFonts w:asciiTheme="minorHAnsi" w:hAnsiTheme="minorHAnsi" w:cstheme="minorHAnsi"/>
          <w:sz w:val="22"/>
          <w:szCs w:val="22"/>
        </w:rPr>
        <w:t>os apimties, juose įtvirtintos teisės normos, susijusios su informacijos dėl prokuratūroje atlikto vidinio (tarnybinio) patikrinimo metu nustatytų aplinkybių, taip pat duomenų apie tarnybinius patikrinimus ir kitas su tarnybine atsakomybe susijusias vidaus administravimo procedūras pareiškėjams, t. y. fiziniams asmenims, fizinių asmenų grupei, fizinio asmens ar jų grupės atstovui, juridinio asmens ar kitų subjektų, neturinčių juridinio asmens statuso, atstovui, kuris prokuratūrai pateikia prašymą, pareiškimą ar skundą (Aprašo 4.4 p.), skleidimu ir gavimu.</w:t>
      </w:r>
    </w:p>
    <w:bookmarkEnd w:id="18"/>
    <w:p w:rsidR="00D70C5F" w:rsidRPr="00D3763B" w:rsidRDefault="00D70C5F" w:rsidP="00D70C5F">
      <w:pPr>
        <w:ind w:firstLine="567"/>
        <w:jc w:val="both"/>
        <w:rPr>
          <w:rFonts w:asciiTheme="minorHAnsi" w:hAnsiTheme="minorHAnsi" w:cstheme="minorHAnsi"/>
          <w:sz w:val="22"/>
          <w:szCs w:val="22"/>
        </w:rPr>
      </w:pPr>
      <w:r w:rsidRPr="00D3763B">
        <w:rPr>
          <w:rFonts w:asciiTheme="minorHAnsi" w:hAnsiTheme="minorHAnsi" w:cstheme="minorHAnsi"/>
          <w:sz w:val="22"/>
          <w:szCs w:val="22"/>
        </w:rPr>
        <w:t>LVAT išplėstinė teisėjų kolegija pažymėjo, kad individualioje byloje ginčas kilo dėl atsisakymo pateikti fiziniam asmeniui dėl prokuroro veiksmų atlikto tarnybinio patikrinimo išvadas.</w:t>
      </w:r>
    </w:p>
    <w:p w:rsidR="00D70C5F" w:rsidRPr="00D3763B" w:rsidRDefault="00D70C5F" w:rsidP="00D70C5F">
      <w:pPr>
        <w:ind w:firstLine="567"/>
        <w:jc w:val="both"/>
        <w:rPr>
          <w:rFonts w:asciiTheme="minorHAnsi" w:hAnsiTheme="minorHAnsi" w:cstheme="minorHAnsi"/>
          <w:sz w:val="22"/>
          <w:szCs w:val="22"/>
        </w:rPr>
      </w:pPr>
      <w:r w:rsidRPr="00D3763B">
        <w:rPr>
          <w:rFonts w:asciiTheme="minorHAnsi" w:hAnsiTheme="minorHAnsi" w:cstheme="minorHAnsi"/>
          <w:sz w:val="22"/>
          <w:szCs w:val="22"/>
        </w:rPr>
        <w:t>Atsižvelgiant į tai, jog iš Konstitucijos išplaukia leidimas su informacijos gavimu ir skleidimu susijusius santykius reguliuoti ir (įstatymų įgyvendinamaisiais teisės aktais, buvo pagrindas vertinti, jog kvestionuo</w:t>
      </w:r>
      <w:r w:rsidR="00002F90" w:rsidRPr="00D3763B">
        <w:rPr>
          <w:rFonts w:asciiTheme="minorHAnsi" w:hAnsiTheme="minorHAnsi" w:cstheme="minorHAnsi"/>
          <w:sz w:val="22"/>
          <w:szCs w:val="22"/>
        </w:rPr>
        <w:t>t</w:t>
      </w:r>
      <w:r w:rsidRPr="00D3763B">
        <w:rPr>
          <w:rFonts w:asciiTheme="minorHAnsi" w:hAnsiTheme="minorHAnsi" w:cstheme="minorHAnsi"/>
          <w:sz w:val="22"/>
          <w:szCs w:val="22"/>
        </w:rPr>
        <w:t>ų Aprašo 4.13 ir 74 punktų dalys tiek, kiek juose yra numatytos nuostatos, susijusios su prokuratūroje atlikto vidinio (tarnybinio) patikrinimo metu nustatytų aplinkybių, taip pat duomenų apie tarnybinius patikrinimus ir kitas su tarnybine atsakomybe susijusias vidaus administravimo procedūras gavimu ir skleidimu, atitinka teisinės valstybės principo suponuojamą teisės aktų hierarchijos principą, Konstitucijos 25 straipsnio 3 dalį, Viešojo administravimo įstatymo 3 straipsnio 1 dalies 1 punkte įtvirtintą įstatymo viršenybės principą bei Teisėkūros pagrindų įstatymo 3 straipsnio 2 dalies 3 punkte įtvirtintą pagarbos asmens teisėms ir laisvėms teisėkūros principą.</w:t>
      </w:r>
    </w:p>
    <w:p w:rsidR="00D70C5F" w:rsidRPr="00D3763B" w:rsidRDefault="00D70C5F" w:rsidP="00D70C5F">
      <w:pPr>
        <w:ind w:firstLine="567"/>
        <w:jc w:val="both"/>
        <w:rPr>
          <w:rFonts w:asciiTheme="minorHAnsi" w:hAnsiTheme="minorHAnsi" w:cstheme="minorHAnsi"/>
          <w:sz w:val="22"/>
          <w:szCs w:val="22"/>
        </w:rPr>
      </w:pPr>
      <w:r w:rsidRPr="00D3763B">
        <w:rPr>
          <w:rFonts w:asciiTheme="minorHAnsi" w:hAnsiTheme="minorHAnsi" w:cstheme="minorHAnsi"/>
          <w:sz w:val="22"/>
          <w:szCs w:val="22"/>
        </w:rPr>
        <w:t>LVAT išplėstinė teisėjų kolegija, įvertinusi Tarnybinio patikrinimo atlikimo ir tarnybinės atsakomybės taikymo prokurorams nuostatų, patvirtintų Lietuvos Respublikos generalinio prokuroro 2016 m. liepos 12 d. įsakymu Nr. I-181</w:t>
      </w:r>
      <w:r w:rsidR="00002F90" w:rsidRPr="00D3763B">
        <w:rPr>
          <w:rFonts w:asciiTheme="minorHAnsi" w:hAnsiTheme="minorHAnsi" w:cstheme="minorHAnsi"/>
          <w:sz w:val="22"/>
          <w:szCs w:val="22"/>
        </w:rPr>
        <w:t>,</w:t>
      </w:r>
      <w:r w:rsidRPr="00D3763B">
        <w:rPr>
          <w:rFonts w:asciiTheme="minorHAnsi" w:hAnsiTheme="minorHAnsi" w:cstheme="minorHAnsi"/>
          <w:sz w:val="22"/>
          <w:szCs w:val="22"/>
        </w:rPr>
        <w:t xml:space="preserve"> (toliau – ir Tarnybinio patikrinimo nuostatai) 30, 51 ir 35 punktus nustatė, jog teisė susipažinti su tarnybinio patikrinimo medžiaga, </w:t>
      </w:r>
      <w:proofErr w:type="spellStart"/>
      <w:r w:rsidRPr="00D3763B">
        <w:rPr>
          <w:rFonts w:asciiTheme="minorHAnsi" w:hAnsiTheme="minorHAnsi" w:cstheme="minorHAnsi"/>
          <w:i/>
          <w:sz w:val="22"/>
          <w:szCs w:val="22"/>
        </w:rPr>
        <w:t>inter</w:t>
      </w:r>
      <w:proofErr w:type="spellEnd"/>
      <w:r w:rsidRPr="00D3763B">
        <w:rPr>
          <w:rFonts w:asciiTheme="minorHAnsi" w:hAnsiTheme="minorHAnsi" w:cstheme="minorHAnsi"/>
          <w:i/>
          <w:sz w:val="22"/>
          <w:szCs w:val="22"/>
        </w:rPr>
        <w:t xml:space="preserve"> </w:t>
      </w:r>
      <w:proofErr w:type="spellStart"/>
      <w:r w:rsidRPr="00D3763B">
        <w:rPr>
          <w:rFonts w:asciiTheme="minorHAnsi" w:hAnsiTheme="minorHAnsi" w:cstheme="minorHAnsi"/>
          <w:i/>
          <w:sz w:val="22"/>
          <w:szCs w:val="22"/>
        </w:rPr>
        <w:t>alia</w:t>
      </w:r>
      <w:proofErr w:type="spellEnd"/>
      <w:r w:rsidRPr="00D3763B">
        <w:rPr>
          <w:rFonts w:asciiTheme="minorHAnsi" w:hAnsiTheme="minorHAnsi" w:cstheme="minorHAnsi"/>
          <w:sz w:val="22"/>
          <w:szCs w:val="22"/>
        </w:rPr>
        <w:t xml:space="preserve"> išvada dėl prokuroro gal</w:t>
      </w:r>
      <w:r w:rsidR="00002F90" w:rsidRPr="00D3763B">
        <w:rPr>
          <w:rFonts w:asciiTheme="minorHAnsi" w:hAnsiTheme="minorHAnsi" w:cstheme="minorHAnsi"/>
          <w:sz w:val="22"/>
          <w:szCs w:val="22"/>
        </w:rPr>
        <w:t>būt</w:t>
      </w:r>
      <w:r w:rsidRPr="00D3763B">
        <w:rPr>
          <w:rFonts w:asciiTheme="minorHAnsi" w:hAnsiTheme="minorHAnsi" w:cstheme="minorHAnsi"/>
          <w:sz w:val="22"/>
          <w:szCs w:val="22"/>
        </w:rPr>
        <w:t xml:space="preserve"> padaryto tarnybinio pažeidimo bei generalinio prokuroro sprendimu yra numatyta tik prokurorui, t. y. tam asmeniui, dėl kurio buvo atliktas tarnybinis patikrinimas.</w:t>
      </w:r>
      <w:r w:rsidR="00AD7FF1" w:rsidRPr="00D3763B">
        <w:rPr>
          <w:rFonts w:asciiTheme="minorHAnsi" w:hAnsiTheme="minorHAnsi" w:cstheme="minorHAnsi"/>
          <w:sz w:val="22"/>
          <w:szCs w:val="22"/>
        </w:rPr>
        <w:t xml:space="preserve"> </w:t>
      </w:r>
      <w:r w:rsidR="00002F90" w:rsidRPr="00D3763B">
        <w:rPr>
          <w:rFonts w:asciiTheme="minorHAnsi" w:hAnsiTheme="minorHAnsi" w:cstheme="minorHAnsi"/>
          <w:sz w:val="22"/>
          <w:szCs w:val="22"/>
        </w:rPr>
        <w:t>P</w:t>
      </w:r>
      <w:r w:rsidRPr="00D3763B">
        <w:rPr>
          <w:rFonts w:asciiTheme="minorHAnsi" w:hAnsiTheme="minorHAnsi" w:cstheme="minorHAnsi"/>
          <w:sz w:val="22"/>
          <w:szCs w:val="22"/>
        </w:rPr>
        <w:t>agal Prokurorų etikos komisijos nuostatų, patvirtintų Lietuvos Respublikos generalinio prokuroro 2012 m. sausio 9 d. įsakymu Nr. 1-16, įtvirtintą teisinį reguliavimą</w:t>
      </w:r>
      <w:r w:rsidR="00002F90" w:rsidRPr="00D3763B">
        <w:rPr>
          <w:rFonts w:asciiTheme="minorHAnsi" w:hAnsiTheme="minorHAnsi" w:cstheme="minorHAnsi"/>
          <w:sz w:val="22"/>
          <w:szCs w:val="22"/>
        </w:rPr>
        <w:t>,</w:t>
      </w:r>
      <w:r w:rsidRPr="00D3763B">
        <w:rPr>
          <w:rFonts w:asciiTheme="minorHAnsi" w:hAnsiTheme="minorHAnsi" w:cstheme="minorHAnsi"/>
          <w:sz w:val="22"/>
          <w:szCs w:val="22"/>
        </w:rPr>
        <w:t xml:space="preserve"> su Prokurorų etikos komisijos išvada dėl atlikto tyrimo ir su visa atlikto tyrimo medžiaga </w:t>
      </w:r>
      <w:r w:rsidR="00002F90" w:rsidRPr="00D3763B">
        <w:rPr>
          <w:rFonts w:asciiTheme="minorHAnsi" w:hAnsiTheme="minorHAnsi" w:cstheme="minorHAnsi"/>
          <w:sz w:val="22"/>
          <w:szCs w:val="22"/>
        </w:rPr>
        <w:t xml:space="preserve">taip pat </w:t>
      </w:r>
      <w:r w:rsidRPr="00D3763B">
        <w:rPr>
          <w:rFonts w:asciiTheme="minorHAnsi" w:hAnsiTheme="minorHAnsi" w:cstheme="minorHAnsi"/>
          <w:sz w:val="22"/>
          <w:szCs w:val="22"/>
        </w:rPr>
        <w:t>gali susipažinti tik prokuroras.</w:t>
      </w:r>
    </w:p>
    <w:p w:rsidR="00D70C5F" w:rsidRPr="00D3763B" w:rsidRDefault="00D70C5F" w:rsidP="00D70C5F">
      <w:pPr>
        <w:ind w:firstLine="567"/>
        <w:jc w:val="both"/>
        <w:rPr>
          <w:rFonts w:asciiTheme="minorHAnsi" w:hAnsiTheme="minorHAnsi" w:cstheme="minorHAnsi"/>
          <w:sz w:val="22"/>
          <w:szCs w:val="22"/>
        </w:rPr>
      </w:pPr>
      <w:r w:rsidRPr="00D3763B">
        <w:rPr>
          <w:rFonts w:asciiTheme="minorHAnsi" w:hAnsiTheme="minorHAnsi" w:cstheme="minorHAnsi"/>
          <w:sz w:val="22"/>
          <w:szCs w:val="22"/>
        </w:rPr>
        <w:t>Iš teisės normų, reglamentuojančių prokurorų atžvilgiu atliekamus tarnybinius patikrinimus, matyti, jog išvada dėl prokuroro tarnybinio pažeidimo (nusižengimo), taip pat sprendimas dėl tarnybinės nuobaudos skyrimo yra teikiami tik tiems asmenims, dėl kurių yra atliekamas tarnybinis patikrinimas, t. y. prokurorui. Taigi jokiems kitiems asmenims teisė susipažinti su atlikto tarnybinio patikrinimo išvada ir tyrimo medžiaga nėra numatyta, o fizinio asmens pranešimas gali būti tik vada tarnybiniam patikrinimui atlikti.</w:t>
      </w:r>
    </w:p>
    <w:p w:rsidR="00D70C5F" w:rsidRPr="00D3763B" w:rsidRDefault="00D70C5F" w:rsidP="00D70C5F">
      <w:pPr>
        <w:ind w:firstLine="567"/>
        <w:jc w:val="both"/>
        <w:rPr>
          <w:rFonts w:asciiTheme="minorHAnsi" w:hAnsiTheme="minorHAnsi" w:cstheme="minorHAnsi"/>
          <w:sz w:val="22"/>
          <w:szCs w:val="22"/>
        </w:rPr>
      </w:pPr>
      <w:r w:rsidRPr="00D3763B">
        <w:rPr>
          <w:rFonts w:asciiTheme="minorHAnsi" w:hAnsiTheme="minorHAnsi" w:cstheme="minorHAnsi"/>
          <w:sz w:val="22"/>
          <w:szCs w:val="22"/>
        </w:rPr>
        <w:lastRenderedPageBreak/>
        <w:t>LVAT išplėstinė teisėjų kolegija atkreipė dėmesį į tai, kad Aprašo 4 punkte yra įtvirtintos pagrindinės Apraše vartojamos sąvokos, t. y. Aprašo 4.13 punktas yra definicinė norma, skirta apibrėžti, kas yra laikoma neteikiama informacija. Pažymėta, jog žodis „aplinkybė“ pagal Dabartinės lietuvių kalbos žodyną aiškintinas kaip „sąlyga, veikianti ar lemianti padėtį“, o žodis „duomuo“ – kaip „kas duota, kuo remiamasi, darant išvadas”. Teleologiniu ir lingvistiniu būdu aiškinant Aprašo 4.13 ir 74 punktų dalis</w:t>
      </w:r>
      <w:r w:rsidR="00002F90" w:rsidRPr="00D3763B">
        <w:rPr>
          <w:rFonts w:asciiTheme="minorHAnsi" w:hAnsiTheme="minorHAnsi" w:cstheme="minorHAnsi"/>
          <w:sz w:val="22"/>
          <w:szCs w:val="22"/>
        </w:rPr>
        <w:t>,</w:t>
      </w:r>
      <w:r w:rsidRPr="00D3763B">
        <w:rPr>
          <w:rFonts w:asciiTheme="minorHAnsi" w:hAnsiTheme="minorHAnsi" w:cstheme="minorHAnsi"/>
          <w:sz w:val="22"/>
          <w:szCs w:val="22"/>
        </w:rPr>
        <w:t xml:space="preserve"> spręsta, jog šių normų ginč</w:t>
      </w:r>
      <w:r w:rsidR="003C0A06" w:rsidRPr="00D3763B">
        <w:rPr>
          <w:rFonts w:asciiTheme="minorHAnsi" w:hAnsiTheme="minorHAnsi" w:cstheme="minorHAnsi"/>
          <w:sz w:val="22"/>
          <w:szCs w:val="22"/>
        </w:rPr>
        <w:t xml:space="preserve">ytose </w:t>
      </w:r>
      <w:r w:rsidRPr="00D3763B">
        <w:rPr>
          <w:rFonts w:asciiTheme="minorHAnsi" w:hAnsiTheme="minorHAnsi" w:cstheme="minorHAnsi"/>
          <w:sz w:val="22"/>
          <w:szCs w:val="22"/>
        </w:rPr>
        <w:t xml:space="preserve">dalyse iš esmės yra užfiksuota tapati (vienoda) prasmė. </w:t>
      </w:r>
    </w:p>
    <w:p w:rsidR="00D70C5F" w:rsidRPr="00D3763B" w:rsidRDefault="00D70C5F" w:rsidP="00D70C5F">
      <w:pPr>
        <w:ind w:firstLine="567"/>
        <w:jc w:val="both"/>
        <w:rPr>
          <w:rFonts w:asciiTheme="minorHAnsi" w:hAnsiTheme="minorHAnsi" w:cstheme="minorHAnsi"/>
          <w:sz w:val="22"/>
          <w:szCs w:val="22"/>
        </w:rPr>
      </w:pPr>
      <w:r w:rsidRPr="00D3763B">
        <w:rPr>
          <w:rFonts w:asciiTheme="minorHAnsi" w:hAnsiTheme="minorHAnsi" w:cstheme="minorHAnsi"/>
          <w:sz w:val="22"/>
          <w:szCs w:val="22"/>
        </w:rPr>
        <w:t>Įvertinusi tai, kas išdėstyta, LVAT išplėstinė teisėjų kolegija sprendė, kad Aprašo 4.13 punkte nurodytos vidinio (tarnybinio) patikrinimo metu nustatytos aplinkybės ir Aprašo 74 punkte nurodomi duomenys apie tarnybinius patikrinimus ir kitas su tarnybine atsakomybe susijusias vidaus administravimo procedūras turi būti aiškinami sistemiškai su Tarnybinio patikrinimo nuostat</w:t>
      </w:r>
      <w:r w:rsidR="003C0A06" w:rsidRPr="00D3763B">
        <w:rPr>
          <w:rFonts w:asciiTheme="minorHAnsi" w:hAnsiTheme="minorHAnsi" w:cstheme="minorHAnsi"/>
          <w:sz w:val="22"/>
          <w:szCs w:val="22"/>
        </w:rPr>
        <w:t xml:space="preserve">ais </w:t>
      </w:r>
      <w:r w:rsidRPr="00D3763B">
        <w:rPr>
          <w:rFonts w:asciiTheme="minorHAnsi" w:hAnsiTheme="minorHAnsi" w:cstheme="minorHAnsi"/>
          <w:sz w:val="22"/>
          <w:szCs w:val="22"/>
        </w:rPr>
        <w:t>ir suprantami kaip betarpiškai susiję su duomenimis, pateikiamais atlikus tarnybinį patikrinimą surašomoje motyvuotoje išvadoje dėl prokuroro gal</w:t>
      </w:r>
      <w:r w:rsidR="003C0A06" w:rsidRPr="00D3763B">
        <w:rPr>
          <w:rFonts w:asciiTheme="minorHAnsi" w:hAnsiTheme="minorHAnsi" w:cstheme="minorHAnsi"/>
          <w:sz w:val="22"/>
          <w:szCs w:val="22"/>
        </w:rPr>
        <w:t xml:space="preserve">būt </w:t>
      </w:r>
      <w:r w:rsidRPr="00D3763B">
        <w:rPr>
          <w:rFonts w:asciiTheme="minorHAnsi" w:hAnsiTheme="minorHAnsi" w:cstheme="minorHAnsi"/>
          <w:sz w:val="22"/>
          <w:szCs w:val="22"/>
        </w:rPr>
        <w:t>padaryto tarnybinio pažeidimo. Vadinasi, neteikiama informacija Aprašo 4.13 punkto prasme ir duomenys Aprašo 74 punkto prasme siejami tik su tarnybinio patikrinimo metu nustatytomis aplinkybėmis. Nustačius tai, jog išvada dėl prokuroro gal</w:t>
      </w:r>
      <w:r w:rsidR="003C0A06" w:rsidRPr="00D3763B">
        <w:rPr>
          <w:rFonts w:asciiTheme="minorHAnsi" w:hAnsiTheme="minorHAnsi" w:cstheme="minorHAnsi"/>
          <w:sz w:val="22"/>
          <w:szCs w:val="22"/>
        </w:rPr>
        <w:t xml:space="preserve">būt </w:t>
      </w:r>
      <w:r w:rsidRPr="00D3763B">
        <w:rPr>
          <w:rFonts w:asciiTheme="minorHAnsi" w:hAnsiTheme="minorHAnsi" w:cstheme="minorHAnsi"/>
          <w:sz w:val="22"/>
          <w:szCs w:val="22"/>
        </w:rPr>
        <w:t>padaryto tarnybinio pažeidimo yra teikiama tik prokurorui, taip pat tai, jog Aprašo 4.13 punkte nurodytos vidinio (tarnybinio) patikrinimo metu nustatytos aplinkybės ir Aprašo 74 punkte nurodomi duomenys apie tarnybinius patikrinimus ir kitas su tarnybine atsakomybe susijusias vidaus administravimo procedūras turi būti suprantami kaip atlikus tarnybinį patikrinimą surašomoje motyvuotoje išvadoje dėl prokuroro gal</w:t>
      </w:r>
      <w:r w:rsidR="003C0A06" w:rsidRPr="00D3763B">
        <w:rPr>
          <w:rFonts w:asciiTheme="minorHAnsi" w:hAnsiTheme="minorHAnsi" w:cstheme="minorHAnsi"/>
          <w:sz w:val="22"/>
          <w:szCs w:val="22"/>
        </w:rPr>
        <w:t>būt</w:t>
      </w:r>
      <w:r w:rsidRPr="00D3763B">
        <w:rPr>
          <w:rFonts w:asciiTheme="minorHAnsi" w:hAnsiTheme="minorHAnsi" w:cstheme="minorHAnsi"/>
          <w:sz w:val="22"/>
          <w:szCs w:val="22"/>
        </w:rPr>
        <w:t xml:space="preserve"> padaryto tarnybinio pažeidimo pateikiami duomenys, t. y. tarnybinio patikrinimo metu nustatytos aplinkybės, yra pagrindas vertinti, jog Aprašo 4.13 ir 74 punktuose (ginč</w:t>
      </w:r>
      <w:r w:rsidR="003C0A06" w:rsidRPr="00D3763B">
        <w:rPr>
          <w:rFonts w:asciiTheme="minorHAnsi" w:hAnsiTheme="minorHAnsi" w:cstheme="minorHAnsi"/>
          <w:sz w:val="22"/>
          <w:szCs w:val="22"/>
        </w:rPr>
        <w:t>ytas</w:t>
      </w:r>
      <w:r w:rsidRPr="00D3763B">
        <w:rPr>
          <w:rFonts w:asciiTheme="minorHAnsi" w:hAnsiTheme="minorHAnsi" w:cstheme="minorHAnsi"/>
          <w:sz w:val="22"/>
          <w:szCs w:val="22"/>
        </w:rPr>
        <w:t xml:space="preserve"> teisės normas kvestionuojama apimtimi aiškinant išvados dėl prokuroro gal</w:t>
      </w:r>
      <w:r w:rsidR="003C0A06" w:rsidRPr="00D3763B">
        <w:rPr>
          <w:rFonts w:asciiTheme="minorHAnsi" w:hAnsiTheme="minorHAnsi" w:cstheme="minorHAnsi"/>
          <w:sz w:val="22"/>
          <w:szCs w:val="22"/>
        </w:rPr>
        <w:t>būt</w:t>
      </w:r>
      <w:r w:rsidRPr="00D3763B">
        <w:rPr>
          <w:rFonts w:asciiTheme="minorHAnsi" w:hAnsiTheme="minorHAnsi" w:cstheme="minorHAnsi"/>
          <w:sz w:val="22"/>
          <w:szCs w:val="22"/>
        </w:rPr>
        <w:t xml:space="preserve"> padaryto tarnybinio pažeidimo pateikimo kitam asmeniui kontekste) yra pateikiama detalesnė ir tikslesnė informacija dėl tarnybinio patikrinimo išvadų teikimo suinteresuotiems asmenims, o ne sukuriamas naujas teisinis reguliavimas ar apribojama asmenų teisė gauti informaciją, </w:t>
      </w:r>
      <w:proofErr w:type="spellStart"/>
      <w:r w:rsidRPr="00D3763B">
        <w:rPr>
          <w:rFonts w:asciiTheme="minorHAnsi" w:hAnsiTheme="minorHAnsi" w:cstheme="minorHAnsi"/>
          <w:i/>
          <w:sz w:val="22"/>
          <w:szCs w:val="22"/>
        </w:rPr>
        <w:t>inter</w:t>
      </w:r>
      <w:proofErr w:type="spellEnd"/>
      <w:r w:rsidRPr="00D3763B">
        <w:rPr>
          <w:rFonts w:asciiTheme="minorHAnsi" w:hAnsiTheme="minorHAnsi" w:cstheme="minorHAnsi"/>
          <w:i/>
          <w:sz w:val="22"/>
          <w:szCs w:val="22"/>
        </w:rPr>
        <w:t xml:space="preserve"> </w:t>
      </w:r>
      <w:proofErr w:type="spellStart"/>
      <w:r w:rsidRPr="00D3763B">
        <w:rPr>
          <w:rFonts w:asciiTheme="minorHAnsi" w:hAnsiTheme="minorHAnsi" w:cstheme="minorHAnsi"/>
          <w:i/>
          <w:sz w:val="22"/>
          <w:szCs w:val="22"/>
        </w:rPr>
        <w:t>alia</w:t>
      </w:r>
      <w:proofErr w:type="spellEnd"/>
      <w:r w:rsidRPr="00D3763B">
        <w:rPr>
          <w:rFonts w:asciiTheme="minorHAnsi" w:hAnsiTheme="minorHAnsi" w:cstheme="minorHAnsi"/>
          <w:sz w:val="22"/>
          <w:szCs w:val="22"/>
        </w:rPr>
        <w:t xml:space="preserve"> informaciją apie tarnybinio patikrinimo pradėjimą, nutraukimą ir užbaigimą. </w:t>
      </w:r>
    </w:p>
    <w:p w:rsidR="00D70C5F" w:rsidRPr="00D3763B" w:rsidRDefault="00D70C5F" w:rsidP="00D70C5F">
      <w:pPr>
        <w:ind w:firstLine="567"/>
        <w:jc w:val="both"/>
        <w:rPr>
          <w:rFonts w:asciiTheme="minorHAnsi" w:hAnsiTheme="minorHAnsi" w:cstheme="minorHAnsi"/>
          <w:sz w:val="22"/>
          <w:szCs w:val="22"/>
        </w:rPr>
      </w:pPr>
      <w:r w:rsidRPr="00D3763B">
        <w:rPr>
          <w:rFonts w:asciiTheme="minorHAnsi" w:hAnsiTheme="minorHAnsi" w:cstheme="minorHAnsi"/>
          <w:sz w:val="22"/>
          <w:szCs w:val="22"/>
        </w:rPr>
        <w:t>Atsižvelg</w:t>
      </w:r>
      <w:r w:rsidR="003C0A06" w:rsidRPr="00D3763B">
        <w:rPr>
          <w:rFonts w:asciiTheme="minorHAnsi" w:hAnsiTheme="minorHAnsi" w:cstheme="minorHAnsi"/>
          <w:sz w:val="22"/>
          <w:szCs w:val="22"/>
        </w:rPr>
        <w:t xml:space="preserve">usi </w:t>
      </w:r>
      <w:r w:rsidRPr="00D3763B">
        <w:rPr>
          <w:rFonts w:asciiTheme="minorHAnsi" w:hAnsiTheme="minorHAnsi" w:cstheme="minorHAnsi"/>
          <w:sz w:val="22"/>
          <w:szCs w:val="22"/>
        </w:rPr>
        <w:t>į tai, kas išdėstyta, ir Aprašo 4.13 ir 74 punktus kvestionuo</w:t>
      </w:r>
      <w:r w:rsidR="003C0A06" w:rsidRPr="00D3763B">
        <w:rPr>
          <w:rFonts w:asciiTheme="minorHAnsi" w:hAnsiTheme="minorHAnsi" w:cstheme="minorHAnsi"/>
          <w:sz w:val="22"/>
          <w:szCs w:val="22"/>
        </w:rPr>
        <w:t>t</w:t>
      </w:r>
      <w:r w:rsidRPr="00D3763B">
        <w:rPr>
          <w:rFonts w:asciiTheme="minorHAnsi" w:hAnsiTheme="minorHAnsi" w:cstheme="minorHAnsi"/>
          <w:sz w:val="22"/>
          <w:szCs w:val="22"/>
        </w:rPr>
        <w:t>a apimtimi aiškindama išvados dėl prokuroro gal</w:t>
      </w:r>
      <w:r w:rsidR="003C0A06" w:rsidRPr="00D3763B">
        <w:rPr>
          <w:rFonts w:asciiTheme="minorHAnsi" w:hAnsiTheme="minorHAnsi" w:cstheme="minorHAnsi"/>
          <w:sz w:val="22"/>
          <w:szCs w:val="22"/>
        </w:rPr>
        <w:t>būt</w:t>
      </w:r>
      <w:r w:rsidRPr="00D3763B">
        <w:rPr>
          <w:rFonts w:asciiTheme="minorHAnsi" w:hAnsiTheme="minorHAnsi" w:cstheme="minorHAnsi"/>
          <w:sz w:val="22"/>
          <w:szCs w:val="22"/>
        </w:rPr>
        <w:t xml:space="preserve"> padaryto tarnybinio pažeidimo pateikimo kitam asmeniui kontekste, išplėstinė teisėjų kolegija konstatavo, jog Aprašo 4.13 punktas ta apimtimi, kuria prie neteikiamos informacijos priskiriamos prokuratūroje atlikto vidinio (tarnybinio) patikrinimo metu nustatytos aplinkybės, ir 74 punktas ta apimtimi, kuria numatyta, kad duomenys apie tarnybinius patikrinimus ir kitas su tarnybine atsakomybe susijusias vidaus administravimo procedūras pareiškėjams neteikiami, atitinka konstitucinį teisinės valstybės principą, Konstitucijos 25 straipsnio 3 dalį, Viešojo administravimo įstatymo 3 straipsnio 1 dalies 1 punkte įtvirtintą įstatymo viršenybės principą bei Teisėkūros pagrindų įstatymo 3 straipsnio 2 dalies 3 punkte įtvirtintą pagarbos asmens teisėms ir laisvėms teisėkūros principą.</w:t>
      </w:r>
    </w:p>
    <w:p w:rsidR="00D70C5F" w:rsidRPr="00D3763B" w:rsidRDefault="00D70C5F" w:rsidP="00D70C5F">
      <w:pPr>
        <w:rPr>
          <w:rFonts w:asciiTheme="minorHAnsi" w:hAnsiTheme="minorHAnsi" w:cstheme="minorHAnsi"/>
          <w:b/>
          <w:bCs/>
          <w:sz w:val="22"/>
          <w:szCs w:val="22"/>
          <w:u w:val="single"/>
        </w:rPr>
      </w:pPr>
    </w:p>
    <w:p w:rsidR="00D70C5F" w:rsidRPr="00D3763B" w:rsidRDefault="00D70C5F" w:rsidP="00D70C5F">
      <w:pPr>
        <w:jc w:val="both"/>
        <w:rPr>
          <w:rFonts w:asciiTheme="minorHAnsi" w:hAnsiTheme="minorHAnsi" w:cstheme="minorHAnsi"/>
          <w:sz w:val="22"/>
          <w:szCs w:val="22"/>
        </w:rPr>
      </w:pPr>
      <w:r w:rsidRPr="00D3763B">
        <w:rPr>
          <w:rFonts w:asciiTheme="minorHAnsi" w:hAnsiTheme="minorHAnsi" w:cstheme="minorHAnsi"/>
          <w:sz w:val="22"/>
          <w:szCs w:val="22"/>
        </w:rPr>
        <w:t>Išplėstinės teisėjų kolegijos 2018 m. birželio 1 d. sprendimas administracinėje byloje</w:t>
      </w:r>
      <w:r w:rsidR="00D3763B">
        <w:rPr>
          <w:rFonts w:asciiTheme="minorHAnsi" w:hAnsiTheme="minorHAnsi" w:cstheme="minorHAnsi"/>
          <w:sz w:val="22"/>
          <w:szCs w:val="22"/>
        </w:rPr>
        <w:t xml:space="preserve"> </w:t>
      </w:r>
      <w:r w:rsidRPr="00D3763B">
        <w:rPr>
          <w:rFonts w:asciiTheme="minorHAnsi" w:hAnsiTheme="minorHAnsi" w:cstheme="minorHAnsi"/>
          <w:sz w:val="22"/>
          <w:szCs w:val="22"/>
        </w:rPr>
        <w:t>Nr. I-4-662/2018</w:t>
      </w:r>
    </w:p>
    <w:p w:rsidR="00D70C5F" w:rsidRPr="00D3763B" w:rsidRDefault="00D70C5F" w:rsidP="00D70C5F">
      <w:pPr>
        <w:jc w:val="both"/>
        <w:rPr>
          <w:rFonts w:asciiTheme="minorHAnsi" w:hAnsiTheme="minorHAnsi" w:cstheme="minorHAnsi"/>
          <w:sz w:val="22"/>
          <w:szCs w:val="22"/>
        </w:rPr>
      </w:pPr>
      <w:r w:rsidRPr="00D3763B">
        <w:rPr>
          <w:rFonts w:asciiTheme="minorHAnsi" w:hAnsiTheme="minorHAnsi" w:cstheme="minorHAnsi"/>
          <w:sz w:val="22"/>
          <w:szCs w:val="22"/>
        </w:rPr>
        <w:t>Teisminio proceso Nr. 3-66-3-00029-2017-9</w:t>
      </w:r>
    </w:p>
    <w:p w:rsidR="00D70C5F" w:rsidRPr="00D3763B" w:rsidRDefault="00D70C5F" w:rsidP="00D70C5F">
      <w:pPr>
        <w:jc w:val="both"/>
        <w:rPr>
          <w:rFonts w:asciiTheme="minorHAnsi" w:hAnsiTheme="minorHAnsi" w:cstheme="minorHAnsi"/>
          <w:sz w:val="22"/>
          <w:szCs w:val="22"/>
        </w:rPr>
      </w:pPr>
      <w:r w:rsidRPr="00D3763B">
        <w:rPr>
          <w:rFonts w:asciiTheme="minorHAnsi" w:hAnsiTheme="minorHAnsi" w:cstheme="minorHAnsi"/>
          <w:sz w:val="22"/>
          <w:szCs w:val="22"/>
        </w:rPr>
        <w:t xml:space="preserve">Procesinio sprendimo </w:t>
      </w:r>
      <w:r w:rsidRPr="00D3763B">
        <w:rPr>
          <w:rFonts w:asciiTheme="minorHAnsi" w:hAnsiTheme="minorHAnsi" w:cstheme="minorHAnsi"/>
          <w:bCs/>
          <w:sz w:val="22"/>
          <w:szCs w:val="22"/>
        </w:rPr>
        <w:t>kategorija 4.1</w:t>
      </w:r>
    </w:p>
    <w:p w:rsidR="00D70C5F" w:rsidRPr="00D3763B" w:rsidRDefault="000220C9" w:rsidP="00D70C5F">
      <w:pPr>
        <w:jc w:val="both"/>
        <w:rPr>
          <w:rStyle w:val="Hyperlink"/>
          <w:rFonts w:asciiTheme="minorHAnsi" w:hAnsiTheme="minorHAnsi" w:cstheme="minorHAnsi"/>
          <w:sz w:val="22"/>
          <w:szCs w:val="22"/>
        </w:rPr>
      </w:pPr>
      <w:hyperlink r:id="rId10" w:history="1">
        <w:r w:rsidR="00D70C5F" w:rsidRPr="00D3763B">
          <w:rPr>
            <w:rStyle w:val="Hyperlink"/>
            <w:rFonts w:asciiTheme="minorHAnsi" w:hAnsiTheme="minorHAnsi" w:cstheme="minorHAnsi"/>
            <w:sz w:val="22"/>
            <w:szCs w:val="22"/>
          </w:rPr>
          <w:t>Prieiga internete</w:t>
        </w:r>
      </w:hyperlink>
    </w:p>
    <w:p w:rsidR="00481D41" w:rsidRPr="00D3763B" w:rsidRDefault="00481D41" w:rsidP="00D70C5F">
      <w:pPr>
        <w:jc w:val="both"/>
        <w:rPr>
          <w:rFonts w:asciiTheme="minorHAnsi" w:hAnsiTheme="minorHAnsi" w:cstheme="minorHAnsi"/>
          <w:sz w:val="22"/>
          <w:szCs w:val="22"/>
        </w:rPr>
      </w:pPr>
    </w:p>
    <w:p w:rsidR="00CB46BE" w:rsidRPr="00D3763B" w:rsidRDefault="00CB46BE" w:rsidP="00D3763B">
      <w:pPr>
        <w:pStyle w:val="Heading2"/>
      </w:pPr>
      <w:bookmarkStart w:id="19" w:name="_Toc519690303"/>
      <w:bookmarkStart w:id="20" w:name="_Toc524957032"/>
      <w:r w:rsidRPr="00D3763B">
        <w:t>Dėl radiologijos paslaugų</w:t>
      </w:r>
      <w:bookmarkEnd w:id="19"/>
      <w:bookmarkEnd w:id="20"/>
    </w:p>
    <w:p w:rsidR="00CB46BE" w:rsidRPr="00D3763B" w:rsidRDefault="00CB46BE" w:rsidP="00CB46BE">
      <w:pPr>
        <w:pStyle w:val="ListParagraph"/>
        <w:spacing w:after="0"/>
        <w:ind w:left="0" w:firstLine="851"/>
        <w:jc w:val="both"/>
        <w:rPr>
          <w:rFonts w:asciiTheme="minorHAnsi" w:hAnsiTheme="minorHAnsi" w:cstheme="minorHAnsi"/>
          <w:i/>
          <w:sz w:val="22"/>
        </w:rPr>
      </w:pPr>
    </w:p>
    <w:p w:rsidR="00FC117D" w:rsidRPr="00D3763B" w:rsidRDefault="00CB46BE" w:rsidP="00CB46BE">
      <w:pPr>
        <w:pStyle w:val="ListParagraph"/>
        <w:spacing w:after="0" w:line="240" w:lineRule="auto"/>
        <w:ind w:left="0" w:firstLine="567"/>
        <w:jc w:val="both"/>
        <w:rPr>
          <w:rFonts w:asciiTheme="minorHAnsi" w:eastAsia="Times New Roman" w:hAnsiTheme="minorHAnsi" w:cstheme="minorHAnsi"/>
          <w:sz w:val="22"/>
          <w:lang w:eastAsia="lt-LT"/>
        </w:rPr>
      </w:pPr>
      <w:r w:rsidRPr="00D3763B">
        <w:rPr>
          <w:rFonts w:asciiTheme="minorHAnsi" w:eastAsia="Times New Roman" w:hAnsiTheme="minorHAnsi" w:cstheme="minorHAnsi"/>
          <w:sz w:val="22"/>
          <w:lang w:eastAsia="lt-LT"/>
        </w:rPr>
        <w:t xml:space="preserve">Apžvelgiamoje </w:t>
      </w:r>
      <w:r w:rsidR="00FC117D" w:rsidRPr="00D3763B">
        <w:rPr>
          <w:rFonts w:asciiTheme="minorHAnsi" w:eastAsia="Times New Roman" w:hAnsiTheme="minorHAnsi" w:cstheme="minorHAnsi"/>
          <w:sz w:val="22"/>
          <w:lang w:eastAsia="lt-LT"/>
        </w:rPr>
        <w:t xml:space="preserve">byloje </w:t>
      </w:r>
      <w:r w:rsidRPr="00D3763B">
        <w:rPr>
          <w:rFonts w:asciiTheme="minorHAnsi" w:eastAsia="Times New Roman" w:hAnsiTheme="minorHAnsi" w:cstheme="minorHAnsi"/>
          <w:sz w:val="22"/>
          <w:lang w:eastAsia="lt-LT"/>
        </w:rPr>
        <w:t>pagal pareiškėjo Lietuvos Respublikos Seimo nario pareiškimą buvo tiriama, ar Lietuvos Respublikos sveikatos apsaugos ministro 2015 m. liepos 24 d. įsakymu Nr. V-881 patvirtinto Radiologijos ambulatorinių asmens sveikatos priežiūros paslaugų teikimo reikalavimų aprašo (toliau –</w:t>
      </w:r>
      <w:r w:rsidR="00E301CF">
        <w:rPr>
          <w:rFonts w:asciiTheme="minorHAnsi" w:eastAsia="Times New Roman" w:hAnsiTheme="minorHAnsi" w:cstheme="minorHAnsi"/>
          <w:sz w:val="22"/>
          <w:lang w:eastAsia="lt-LT"/>
        </w:rPr>
        <w:t xml:space="preserve"> </w:t>
      </w:r>
      <w:r w:rsidRPr="00D3763B">
        <w:rPr>
          <w:rFonts w:asciiTheme="minorHAnsi" w:eastAsia="Times New Roman" w:hAnsiTheme="minorHAnsi" w:cstheme="minorHAnsi"/>
          <w:sz w:val="22"/>
          <w:lang w:eastAsia="lt-LT"/>
        </w:rPr>
        <w:t>Aprašas) 13, 14, 15 punktai</w:t>
      </w:r>
      <w:r w:rsidR="00FC117D" w:rsidRPr="00D3763B">
        <w:rPr>
          <w:rFonts w:asciiTheme="minorHAnsi" w:eastAsia="Times New Roman" w:hAnsiTheme="minorHAnsi" w:cstheme="minorHAnsi"/>
          <w:sz w:val="22"/>
          <w:lang w:eastAsia="lt-LT"/>
        </w:rPr>
        <w:t xml:space="preserve"> ta </w:t>
      </w:r>
      <w:r w:rsidRPr="00D3763B">
        <w:rPr>
          <w:rFonts w:asciiTheme="minorHAnsi" w:eastAsia="Times New Roman" w:hAnsiTheme="minorHAnsi" w:cstheme="minorHAnsi"/>
          <w:sz w:val="22"/>
          <w:lang w:eastAsia="lt-LT"/>
        </w:rPr>
        <w:t>apimt</w:t>
      </w:r>
      <w:r w:rsidR="00FC117D" w:rsidRPr="00D3763B">
        <w:rPr>
          <w:rFonts w:asciiTheme="minorHAnsi" w:eastAsia="Times New Roman" w:hAnsiTheme="minorHAnsi" w:cstheme="minorHAnsi"/>
          <w:sz w:val="22"/>
          <w:lang w:eastAsia="lt-LT"/>
        </w:rPr>
        <w:t xml:space="preserve">imi, </w:t>
      </w:r>
      <w:r w:rsidRPr="00D3763B">
        <w:rPr>
          <w:rFonts w:asciiTheme="minorHAnsi" w:eastAsia="Times New Roman" w:hAnsiTheme="minorHAnsi" w:cstheme="minorHAnsi"/>
          <w:sz w:val="22"/>
          <w:lang w:eastAsia="lt-LT"/>
        </w:rPr>
        <w:t>kuri</w:t>
      </w:r>
      <w:r w:rsidR="00FC117D" w:rsidRPr="00D3763B">
        <w:rPr>
          <w:rFonts w:asciiTheme="minorHAnsi" w:eastAsia="Times New Roman" w:hAnsiTheme="minorHAnsi" w:cstheme="minorHAnsi"/>
          <w:sz w:val="22"/>
          <w:lang w:eastAsia="lt-LT"/>
        </w:rPr>
        <w:t xml:space="preserve">a numatytas </w:t>
      </w:r>
      <w:r w:rsidRPr="00D3763B">
        <w:rPr>
          <w:rFonts w:asciiTheme="minorHAnsi" w:eastAsia="Times New Roman" w:hAnsiTheme="minorHAnsi" w:cstheme="minorHAnsi"/>
          <w:sz w:val="22"/>
          <w:lang w:eastAsia="lt-LT"/>
        </w:rPr>
        <w:t>reikalavimas asmens sveikatos priežiūros įstaigai turėti medicinos prietaisus, neprieštarauja Lietuvos Respublikos Konstitucijos 53 straipsniui, konstituciniams ūkinės veiklos laisvės, teisinės valstybės ir proporcingumo principams; ar šio aprašo 18 ir 20 punktai</w:t>
      </w:r>
      <w:r w:rsidR="00FC117D" w:rsidRPr="00D3763B">
        <w:rPr>
          <w:rFonts w:asciiTheme="minorHAnsi" w:eastAsia="Times New Roman" w:hAnsiTheme="minorHAnsi" w:cstheme="minorHAnsi"/>
          <w:sz w:val="22"/>
          <w:lang w:eastAsia="lt-LT"/>
        </w:rPr>
        <w:t xml:space="preserve"> ta apimtimi, kuria </w:t>
      </w:r>
      <w:r w:rsidRPr="00D3763B">
        <w:rPr>
          <w:rFonts w:asciiTheme="minorHAnsi" w:eastAsia="Times New Roman" w:hAnsiTheme="minorHAnsi" w:cstheme="minorHAnsi"/>
          <w:sz w:val="22"/>
          <w:lang w:eastAsia="lt-LT"/>
        </w:rPr>
        <w:t>yra apribojama asmens sveikatos priežiūros įstaigos laisvė sudaryti sutartis su kitomis asmens sveikatos priežiūros įstaigomis dėl radiologinių paslaugų teikimo, numatant ribotą sąrašą tyrimų, dėl kurių tokias sutartis sudaryti yra leidžiama, neprieštarauja Lietuvos Respublikos sveikatos sistemos įstatymo 86 straipsniui, Lietuvos Respublikos Konstitucijos 53 straipsniui ir konstituciniams ūkinės veiklos laisvės, teisinės valstybės ir proporcingumo principams.</w:t>
      </w:r>
    </w:p>
    <w:p w:rsidR="00CB46BE" w:rsidRPr="00D3763B" w:rsidRDefault="00CB46BE" w:rsidP="00CB46BE">
      <w:pPr>
        <w:pStyle w:val="ListParagraph"/>
        <w:spacing w:after="0" w:line="240" w:lineRule="auto"/>
        <w:ind w:left="0" w:firstLine="567"/>
        <w:jc w:val="both"/>
        <w:rPr>
          <w:rFonts w:asciiTheme="minorHAnsi" w:eastAsia="Times New Roman" w:hAnsiTheme="minorHAnsi" w:cstheme="minorHAnsi"/>
          <w:sz w:val="22"/>
          <w:lang w:eastAsia="lt-LT"/>
        </w:rPr>
      </w:pPr>
      <w:r w:rsidRPr="00D3763B">
        <w:rPr>
          <w:rFonts w:asciiTheme="minorHAnsi" w:eastAsia="Times New Roman" w:hAnsiTheme="minorHAnsi" w:cstheme="minorHAnsi"/>
          <w:sz w:val="22"/>
          <w:lang w:eastAsia="lt-LT"/>
        </w:rPr>
        <w:t xml:space="preserve">Byloje pažymėta, kad asmens sveikatos priežiūros įstaigų veikla yra specifinė ūkinė veikla tiek dėl savo paslaugų pobūdžio, tiek dėl įstatymais įtvirtinto šios veiklos reguliavimo modelio. </w:t>
      </w:r>
      <w:r w:rsidR="00FC117D" w:rsidRPr="00D3763B">
        <w:rPr>
          <w:rFonts w:asciiTheme="minorHAnsi" w:eastAsia="Times New Roman" w:hAnsiTheme="minorHAnsi" w:cstheme="minorHAnsi"/>
          <w:sz w:val="22"/>
          <w:lang w:eastAsia="lt-LT"/>
        </w:rPr>
        <w:t xml:space="preserve">Lietuvos Respublikos </w:t>
      </w:r>
      <w:r w:rsidRPr="00D3763B">
        <w:rPr>
          <w:rFonts w:asciiTheme="minorHAnsi" w:eastAsia="Times New Roman" w:hAnsiTheme="minorHAnsi" w:cstheme="minorHAnsi"/>
          <w:sz w:val="22"/>
          <w:lang w:eastAsia="lt-LT"/>
        </w:rPr>
        <w:lastRenderedPageBreak/>
        <w:t>Konstitucinis Teismas yra išaiškinęs, kad sveikatos priežiūros įstaigų veikla yra susijusi su vienos svarbiausių prigimtinių žmogaus teisių įgyvendinimu, todėl ji turi būti valstybės reguliuojama ir prižiūrima.</w:t>
      </w:r>
    </w:p>
    <w:p w:rsidR="00CB46BE" w:rsidRPr="00D3763B" w:rsidRDefault="00CB46BE" w:rsidP="00CB46BE">
      <w:pPr>
        <w:pStyle w:val="ListParagraph"/>
        <w:spacing w:after="0" w:line="240" w:lineRule="auto"/>
        <w:ind w:left="0" w:firstLine="567"/>
        <w:jc w:val="both"/>
        <w:rPr>
          <w:rFonts w:asciiTheme="minorHAnsi" w:eastAsia="Times New Roman" w:hAnsiTheme="minorHAnsi" w:cstheme="minorHAnsi"/>
          <w:sz w:val="22"/>
          <w:lang w:eastAsia="lt-LT"/>
        </w:rPr>
      </w:pPr>
      <w:r w:rsidRPr="00D3763B">
        <w:rPr>
          <w:rFonts w:asciiTheme="minorHAnsi" w:eastAsia="Times New Roman" w:hAnsiTheme="minorHAnsi" w:cstheme="minorHAnsi"/>
          <w:sz w:val="22"/>
          <w:lang w:eastAsia="lt-LT"/>
        </w:rPr>
        <w:t>Medicinos priemonių naudojimas yra detaliai reguliuojamas, be kita ko, Sveikatos sistemos įstatymo 59</w:t>
      </w:r>
      <w:r w:rsidRPr="00D3763B">
        <w:rPr>
          <w:rFonts w:asciiTheme="minorHAnsi" w:eastAsia="Times New Roman" w:hAnsiTheme="minorHAnsi" w:cstheme="minorHAnsi"/>
          <w:sz w:val="22"/>
          <w:vertAlign w:val="superscript"/>
          <w:lang w:eastAsia="lt-LT"/>
        </w:rPr>
        <w:t>2</w:t>
      </w:r>
      <w:r w:rsidR="00B13CFA">
        <w:rPr>
          <w:rFonts w:asciiTheme="minorHAnsi" w:eastAsia="Times New Roman" w:hAnsiTheme="minorHAnsi" w:cstheme="minorHAnsi"/>
          <w:sz w:val="22"/>
          <w:lang w:eastAsia="lt-LT"/>
        </w:rPr>
        <w:t> </w:t>
      </w:r>
      <w:r w:rsidRPr="00D3763B">
        <w:rPr>
          <w:rFonts w:asciiTheme="minorHAnsi" w:eastAsia="Times New Roman" w:hAnsiTheme="minorHAnsi" w:cstheme="minorHAnsi"/>
          <w:sz w:val="22"/>
          <w:lang w:eastAsia="lt-LT"/>
        </w:rPr>
        <w:t xml:space="preserve">straipsnio nuostatomis, kurio 2 dalyje nurodyta, kad medicinos priemonės turi būti naudojamos šio įstatymo ir sveikatos apsaugos ministro nustatyta tvarka. Sveikatos priežiūros paslaugų teikimo rinkai yra taikomi griežtesni reglamentavimo standartai negu kitose ūkinės veiklos srityse. Tiriamu teisiniu reguliavimu yra įtvirtinamos priemonės, kuriomis užtikrinama, kad pacientams gydymas būtų teikiamas operatyviai ir efektyviai – toje pačioje įstaigoje, išvengiant atvejų, kada stacionariai gydomam pacientui dėl tyrimo būtina vykti į kitą įstaigą. Šie reikalavimai visiems subjektams taikytini lygiais pagrindais ir yra pateisinami su sveikatos apsauga susijusiais viešaisiais interesais. Dėl šių sveikatos priežiūros įstaigų </w:t>
      </w:r>
      <w:r w:rsidR="00B13CFA">
        <w:rPr>
          <w:rFonts w:asciiTheme="minorHAnsi" w:eastAsia="Times New Roman" w:hAnsiTheme="minorHAnsi" w:cstheme="minorHAnsi"/>
          <w:sz w:val="22"/>
          <w:lang w:eastAsia="lt-LT"/>
        </w:rPr>
        <w:t>veiklos ypatumų Aprašo 18 ir 20 </w:t>
      </w:r>
      <w:r w:rsidRPr="00D3763B">
        <w:rPr>
          <w:rFonts w:asciiTheme="minorHAnsi" w:eastAsia="Times New Roman" w:hAnsiTheme="minorHAnsi" w:cstheme="minorHAnsi"/>
          <w:sz w:val="22"/>
          <w:lang w:eastAsia="lt-LT"/>
        </w:rPr>
        <w:t>punktuose įtvirtintas teisinis reguliavimas negali būti laikomas iš esmės suvaržančiu ūkinės veiklos laisvę, o jame numatyti reikalavimai gali būti nustatomi žemesnio lygmens ne</w:t>
      </w:r>
      <w:r w:rsidR="00FC117D" w:rsidRPr="00D3763B">
        <w:rPr>
          <w:rFonts w:asciiTheme="minorHAnsi" w:eastAsia="Times New Roman" w:hAnsiTheme="minorHAnsi" w:cstheme="minorHAnsi"/>
          <w:sz w:val="22"/>
          <w:lang w:eastAsia="lt-LT"/>
        </w:rPr>
        <w:t xml:space="preserve">i </w:t>
      </w:r>
      <w:r w:rsidRPr="00D3763B">
        <w:rPr>
          <w:rFonts w:asciiTheme="minorHAnsi" w:eastAsia="Times New Roman" w:hAnsiTheme="minorHAnsi" w:cstheme="minorHAnsi"/>
          <w:sz w:val="22"/>
          <w:lang w:eastAsia="lt-LT"/>
        </w:rPr>
        <w:t>įstatym</w:t>
      </w:r>
      <w:r w:rsidR="00B13CFA">
        <w:rPr>
          <w:rFonts w:asciiTheme="minorHAnsi" w:eastAsia="Times New Roman" w:hAnsiTheme="minorHAnsi" w:cstheme="minorHAnsi"/>
          <w:sz w:val="22"/>
          <w:lang w:eastAsia="lt-LT"/>
        </w:rPr>
        <w:t>as teisės akte –</w:t>
      </w:r>
      <w:r w:rsidR="00FC117D" w:rsidRPr="00D3763B">
        <w:rPr>
          <w:rFonts w:asciiTheme="minorHAnsi" w:eastAsia="Times New Roman" w:hAnsiTheme="minorHAnsi" w:cstheme="minorHAnsi"/>
          <w:sz w:val="22"/>
          <w:lang w:eastAsia="lt-LT"/>
        </w:rPr>
        <w:t xml:space="preserve"> </w:t>
      </w:r>
      <w:r w:rsidRPr="00D3763B">
        <w:rPr>
          <w:rFonts w:asciiTheme="minorHAnsi" w:eastAsia="Times New Roman" w:hAnsiTheme="minorHAnsi" w:cstheme="minorHAnsi"/>
          <w:sz w:val="22"/>
          <w:lang w:eastAsia="lt-LT"/>
        </w:rPr>
        <w:t>normini</w:t>
      </w:r>
      <w:r w:rsidR="00FC117D" w:rsidRPr="00D3763B">
        <w:rPr>
          <w:rFonts w:asciiTheme="minorHAnsi" w:eastAsia="Times New Roman" w:hAnsiTheme="minorHAnsi" w:cstheme="minorHAnsi"/>
          <w:sz w:val="22"/>
          <w:lang w:eastAsia="lt-LT"/>
        </w:rPr>
        <w:t xml:space="preserve">ame </w:t>
      </w:r>
      <w:r w:rsidRPr="00D3763B">
        <w:rPr>
          <w:rFonts w:asciiTheme="minorHAnsi" w:eastAsia="Times New Roman" w:hAnsiTheme="minorHAnsi" w:cstheme="minorHAnsi"/>
          <w:sz w:val="22"/>
          <w:lang w:eastAsia="lt-LT"/>
        </w:rPr>
        <w:t>administracini</w:t>
      </w:r>
      <w:r w:rsidR="00FC117D" w:rsidRPr="00D3763B">
        <w:rPr>
          <w:rFonts w:asciiTheme="minorHAnsi" w:eastAsia="Times New Roman" w:hAnsiTheme="minorHAnsi" w:cstheme="minorHAnsi"/>
          <w:sz w:val="22"/>
          <w:lang w:eastAsia="lt-LT"/>
        </w:rPr>
        <w:t xml:space="preserve">ame </w:t>
      </w:r>
      <w:r w:rsidRPr="00D3763B">
        <w:rPr>
          <w:rFonts w:asciiTheme="minorHAnsi" w:eastAsia="Times New Roman" w:hAnsiTheme="minorHAnsi" w:cstheme="minorHAnsi"/>
          <w:sz w:val="22"/>
          <w:lang w:eastAsia="lt-LT"/>
        </w:rPr>
        <w:t>akt</w:t>
      </w:r>
      <w:r w:rsidR="00FC117D" w:rsidRPr="00D3763B">
        <w:rPr>
          <w:rFonts w:asciiTheme="minorHAnsi" w:eastAsia="Times New Roman" w:hAnsiTheme="minorHAnsi" w:cstheme="minorHAnsi"/>
          <w:sz w:val="22"/>
          <w:lang w:eastAsia="lt-LT"/>
        </w:rPr>
        <w:t>e</w:t>
      </w:r>
      <w:r w:rsidRPr="00D3763B">
        <w:rPr>
          <w:rFonts w:asciiTheme="minorHAnsi" w:eastAsia="Times New Roman" w:hAnsiTheme="minorHAnsi" w:cstheme="minorHAnsi"/>
          <w:sz w:val="22"/>
          <w:lang w:eastAsia="lt-LT"/>
        </w:rPr>
        <w:t>.</w:t>
      </w:r>
    </w:p>
    <w:p w:rsidR="00CB46BE" w:rsidRPr="00D3763B" w:rsidRDefault="00CB46BE" w:rsidP="00CB46BE">
      <w:pPr>
        <w:pStyle w:val="ListParagraph"/>
        <w:spacing w:after="0" w:line="240" w:lineRule="auto"/>
        <w:ind w:left="0" w:firstLine="567"/>
        <w:jc w:val="both"/>
        <w:rPr>
          <w:rFonts w:asciiTheme="minorHAnsi" w:eastAsia="Times New Roman" w:hAnsiTheme="minorHAnsi" w:cstheme="minorHAnsi"/>
          <w:sz w:val="22"/>
          <w:lang w:eastAsia="lt-LT"/>
        </w:rPr>
      </w:pPr>
      <w:r w:rsidRPr="00D3763B">
        <w:rPr>
          <w:rFonts w:asciiTheme="minorHAnsi" w:eastAsia="Times New Roman" w:hAnsiTheme="minorHAnsi" w:cstheme="minorHAnsi"/>
          <w:sz w:val="22"/>
          <w:lang w:eastAsia="lt-LT"/>
        </w:rPr>
        <w:t xml:space="preserve">Iš tirtų Aprašo nuostatų turinio ir sistemiškai vertinamo ginčo santykių teisinio reguliavimo </w:t>
      </w:r>
      <w:r w:rsidR="00FC117D" w:rsidRPr="00D3763B">
        <w:rPr>
          <w:rFonts w:asciiTheme="minorHAnsi" w:eastAsia="Times New Roman" w:hAnsiTheme="minorHAnsi" w:cstheme="minorHAnsi"/>
          <w:sz w:val="22"/>
          <w:lang w:eastAsia="lt-LT"/>
        </w:rPr>
        <w:t xml:space="preserve">buvo </w:t>
      </w:r>
      <w:r w:rsidRPr="00D3763B">
        <w:rPr>
          <w:rFonts w:asciiTheme="minorHAnsi" w:eastAsia="Times New Roman" w:hAnsiTheme="minorHAnsi" w:cstheme="minorHAnsi"/>
          <w:sz w:val="22"/>
          <w:lang w:eastAsia="lt-LT"/>
        </w:rPr>
        <w:t>galima matyti, kad diferencijavimas, kurios radiologijos paslaugos gali būti teikiamos pagal sutartis su kitomis asmens sveikatos priežiūros įstaigomis</w:t>
      </w:r>
      <w:r w:rsidR="00FC117D" w:rsidRPr="00D3763B">
        <w:rPr>
          <w:rFonts w:asciiTheme="minorHAnsi" w:eastAsia="Times New Roman" w:hAnsiTheme="minorHAnsi" w:cstheme="minorHAnsi"/>
          <w:sz w:val="22"/>
          <w:lang w:eastAsia="lt-LT"/>
        </w:rPr>
        <w:t>,</w:t>
      </w:r>
      <w:r w:rsidRPr="00D3763B">
        <w:rPr>
          <w:rFonts w:asciiTheme="minorHAnsi" w:eastAsia="Times New Roman" w:hAnsiTheme="minorHAnsi" w:cstheme="minorHAnsi"/>
          <w:sz w:val="22"/>
          <w:lang w:eastAsia="lt-LT"/>
        </w:rPr>
        <w:t xml:space="preserve"> yra grindžiamas legitimiu siekiu užtikrinti operatyvų paslaugų teikimą ir yra nulemtas brangios įrangos riboto prieinamumo ir teikiamų paslaugų sudėtingumo. Šio diferencijavimo faktinis pagrindas yra reikšmingi ūkio subjektų skirtumai – pajėgumai teikti specifines paslaugas. Šie reikalavimai vienodai taikomi tiek viešiesiems, tiek privatiems asmens sveikatos priežiūros paslaugų rinkoje veikiantiems subjektams, todėl tai negali būti laikoma nepagrįstu ūkio subjektų diskriminavimu. Siekiant, kad stacionariai gydomam asmeniui radiologijos tyrimas būtų atliktas operatyviai ir efektyviai, išdėstytos aplinkybės pagrindžia tir</w:t>
      </w:r>
      <w:r w:rsidR="00FC117D" w:rsidRPr="00D3763B">
        <w:rPr>
          <w:rFonts w:asciiTheme="minorHAnsi" w:eastAsia="Times New Roman" w:hAnsiTheme="minorHAnsi" w:cstheme="minorHAnsi"/>
          <w:sz w:val="22"/>
          <w:lang w:eastAsia="lt-LT"/>
        </w:rPr>
        <w:t xml:space="preserve">tose </w:t>
      </w:r>
      <w:r w:rsidRPr="00D3763B">
        <w:rPr>
          <w:rFonts w:asciiTheme="minorHAnsi" w:eastAsia="Times New Roman" w:hAnsiTheme="minorHAnsi" w:cstheme="minorHAnsi"/>
          <w:sz w:val="22"/>
          <w:lang w:eastAsia="lt-LT"/>
        </w:rPr>
        <w:t xml:space="preserve">nuostatose įtvirtintą teisinį reguliavimą ir patvirtina, jog yra proporcinga įtvirtinti reikalavimą, kad paslauga teikiama toje pačioje įstaigoje, kurioje </w:t>
      </w:r>
      <w:r w:rsidR="00FC117D" w:rsidRPr="00D3763B">
        <w:rPr>
          <w:rFonts w:asciiTheme="minorHAnsi" w:eastAsia="Times New Roman" w:hAnsiTheme="minorHAnsi" w:cstheme="minorHAnsi"/>
          <w:sz w:val="22"/>
          <w:lang w:eastAsia="lt-LT"/>
        </w:rPr>
        <w:t xml:space="preserve">pacientas </w:t>
      </w:r>
      <w:r w:rsidRPr="00D3763B">
        <w:rPr>
          <w:rFonts w:asciiTheme="minorHAnsi" w:eastAsia="Times New Roman" w:hAnsiTheme="minorHAnsi" w:cstheme="minorHAnsi"/>
          <w:sz w:val="22"/>
          <w:lang w:eastAsia="lt-LT"/>
        </w:rPr>
        <w:t>gydomas. Tirtas Aprašo 18 ir 20 punktų reikalavimas yra pateisinamas su viešu interesu susijusiais sveikatos priežiūros paslaugų prieinamumo, veiksmingumo siekiais. Atsižvelgiant į tai, konstatuota, kad Aprašo 18 ir 20 punktais yra tinkamai įgyvendinami Lietuvos Respublikos Konstitucijos 53 straipsnio reikalavimai.</w:t>
      </w:r>
    </w:p>
    <w:p w:rsidR="00CB46BE" w:rsidRPr="00D3763B" w:rsidRDefault="00CB46BE" w:rsidP="00CB46BE">
      <w:pPr>
        <w:pStyle w:val="ListParagraph"/>
        <w:spacing w:after="0" w:line="240" w:lineRule="auto"/>
        <w:ind w:left="0" w:firstLine="567"/>
        <w:jc w:val="both"/>
        <w:rPr>
          <w:rFonts w:asciiTheme="minorHAnsi" w:eastAsia="Times New Roman" w:hAnsiTheme="minorHAnsi" w:cstheme="minorHAnsi"/>
          <w:sz w:val="22"/>
          <w:lang w:eastAsia="lt-LT"/>
        </w:rPr>
      </w:pPr>
      <w:r w:rsidRPr="00D3763B">
        <w:rPr>
          <w:rFonts w:asciiTheme="minorHAnsi" w:eastAsia="Times New Roman" w:hAnsiTheme="minorHAnsi" w:cstheme="minorHAnsi"/>
          <w:sz w:val="22"/>
          <w:lang w:eastAsia="lt-LT"/>
        </w:rPr>
        <w:t>Abejonės Aprašo 13, 14, 15 punktų teisėtumu pareiškime buvo grindžiamos argumentais, kad reikalaujant medicinos prietaisus turėti nuosavybės teise yra nepagrįstai suvaržoma ūkinė veiklos laisvė, pažeidžiamas proporcingumo principas ir Konstitucijos 53 straipsnio reikalavimai. Tai</w:t>
      </w:r>
      <w:r w:rsidR="00940631" w:rsidRPr="00D3763B">
        <w:rPr>
          <w:rFonts w:asciiTheme="minorHAnsi" w:eastAsia="Times New Roman" w:hAnsiTheme="minorHAnsi" w:cstheme="minorHAnsi"/>
          <w:sz w:val="22"/>
          <w:lang w:eastAsia="lt-LT"/>
        </w:rPr>
        <w:t xml:space="preserve">gi </w:t>
      </w:r>
      <w:r w:rsidRPr="00D3763B">
        <w:rPr>
          <w:rFonts w:asciiTheme="minorHAnsi" w:eastAsia="Times New Roman" w:hAnsiTheme="minorHAnsi" w:cstheme="minorHAnsi"/>
          <w:sz w:val="22"/>
          <w:lang w:eastAsia="lt-LT"/>
        </w:rPr>
        <w:t>pareiškėjas iš esmės laikėsi pozicijos, jog pagal minėtus principus ir konstitucines nuostatas Aprašu turi būti leidžiama asmens sveikatos priežiūros įstaigoms eksploatuoti Aprašo 13, 14, 15 punktuose paminėtus medicinos prietaisus kitais teisiniais pagrindais (ne nuosavybės teise). Aprašo 13, 14, 15 punktų bei 18 ir 20 punktų paskirtis ir pobūdis yra analogiškas – visomis šiomis nuostatomis yra siekiama sveikatos priežiūros paslaugų teikimo efektyvumo ir operatyvumo, sudarant prielaidas jas teikti toje pačioje įstaigoje. Dėl to, remiantis motyvais, išdėstytais anksčiau, tiriant Aprašo 18 ir 20 punktų teisėtumą bei atsižvelgiant į tai, kad Aprašo 13, 14, 15 punktais nėra reikalaujama asmens sveikatos priežiūros įstaigai turėti medicinos prietaisus nuosavybės teise, konstatuota, kad Aprašo 13, 14, 15 punktais nėra nepagrįstai suvaržoma ūkinės veiklos laisvė ir jie neprieštarauja proporcingumo principui bei Konstitucijos 53 straipsnio reikalavimams.</w:t>
      </w:r>
    </w:p>
    <w:p w:rsidR="00940631" w:rsidRPr="00D3763B" w:rsidRDefault="00CB46BE" w:rsidP="00CB46BE">
      <w:pPr>
        <w:pStyle w:val="ListParagraph"/>
        <w:spacing w:after="0" w:line="240" w:lineRule="auto"/>
        <w:ind w:left="0" w:firstLine="567"/>
        <w:jc w:val="both"/>
        <w:rPr>
          <w:rFonts w:asciiTheme="minorHAnsi" w:eastAsia="Times New Roman" w:hAnsiTheme="minorHAnsi" w:cstheme="minorHAnsi"/>
          <w:sz w:val="22"/>
          <w:lang w:eastAsia="lt-LT"/>
        </w:rPr>
      </w:pPr>
      <w:r w:rsidRPr="00D3763B">
        <w:rPr>
          <w:rFonts w:asciiTheme="minorHAnsi" w:eastAsia="Times New Roman" w:hAnsiTheme="minorHAnsi" w:cstheme="minorHAnsi"/>
          <w:sz w:val="22"/>
          <w:lang w:eastAsia="lt-LT"/>
        </w:rPr>
        <w:t>Dėl iš konstitucinio teisinės valstybės principo kylančio reikalavimo norminiuose administraciniuose aktuose teisės normas formuluoti aiškiai ir suprantamai pažymėta, kad jis negali būti suprantamas kaip reiškiantis, kad bet koks norminio administracinio akto neaiškumas suponuoja prieštaravimą konstituciniam teisinės valstybės principui. Iš esmės neaiškus ir nesuprantamas teisinis tekstas norminiame administraciniame akte yra neteisėtas, be kita ko, todėl, kad sukelia teisinį neapibrėžtumą, dėl kurio teisinių santykių dalyviams apribojama galimybė numatyti, koks elgesys bus laikomas neteisėtu. Tačiau taikant teisę yra įprasta, kad kartais jos turiniui atskleisti turi būti pasitelkiama profesionalų teisinė pagalba ar, be kita ko, vadovaujantis Lietuvos Respublikos viešojo administravimo įstatymo 36</w:t>
      </w:r>
      <w:r w:rsidRPr="00D3763B">
        <w:rPr>
          <w:rFonts w:asciiTheme="minorHAnsi" w:eastAsia="Times New Roman" w:hAnsiTheme="minorHAnsi" w:cstheme="minorHAnsi"/>
          <w:sz w:val="22"/>
          <w:vertAlign w:val="superscript"/>
          <w:lang w:eastAsia="lt-LT"/>
        </w:rPr>
        <w:t>3</w:t>
      </w:r>
      <w:r w:rsidRPr="00D3763B">
        <w:rPr>
          <w:rFonts w:asciiTheme="minorHAnsi" w:eastAsia="Times New Roman" w:hAnsiTheme="minorHAnsi" w:cstheme="minorHAnsi"/>
          <w:sz w:val="22"/>
          <w:lang w:eastAsia="lt-LT"/>
        </w:rPr>
        <w:t xml:space="preserve"> straipsniu, dėl išaiškinimo kreipiamasi į atsakingą viešojo administravimo subjektą (šiuo atveju – Sveikatos apsaugos ministeriją), kuris turi bendrą pareigą teikti konsultacijas. Kadangi poreikis aiškinti norminius administracinius aktus yra neišvengiamas, kiekvienu atveju turi būti protingai atsižvelgiama į tai, ar teisinis tekstas nėra klaidinantis ir ar jo prasmė gali būti atskleidžiama jį analizuojant sistemiškai. Tai patvirtina ir Europos Žmogaus Teisių Teismo jurisprudencija, iš kurios galima matyti, kad teisės aktui esant ne visiškai aiškiam, Žmogaus teisių ir pagrindinių laisvių apsaugos konvencijos reikalavimai savaime nėra pažeidžiami, jeigu asmuo iš atitinkamos nuostatos formuluotės ir jos aiškinimo teismų praktikoje gali žinoti, kokie veiksmai ar neveikimas prieštarauja šiai teisės normai (Europos Žmogaus Teisių Teismo 2008 m. vasario 12 d. sprendimas byloje </w:t>
      </w:r>
      <w:proofErr w:type="spellStart"/>
      <w:r w:rsidRPr="00D3763B">
        <w:rPr>
          <w:rFonts w:asciiTheme="minorHAnsi" w:eastAsia="Times New Roman" w:hAnsiTheme="minorHAnsi" w:cstheme="minorHAnsi"/>
          <w:i/>
          <w:sz w:val="22"/>
          <w:lang w:eastAsia="lt-LT"/>
        </w:rPr>
        <w:t>Kafkaris</w:t>
      </w:r>
      <w:proofErr w:type="spellEnd"/>
      <w:r w:rsidRPr="00D3763B">
        <w:rPr>
          <w:rFonts w:asciiTheme="minorHAnsi" w:eastAsia="Times New Roman" w:hAnsiTheme="minorHAnsi" w:cstheme="minorHAnsi"/>
          <w:i/>
          <w:sz w:val="22"/>
          <w:lang w:eastAsia="lt-LT"/>
        </w:rPr>
        <w:t xml:space="preserve"> prieš </w:t>
      </w:r>
      <w:r w:rsidRPr="00D3763B">
        <w:rPr>
          <w:rFonts w:asciiTheme="minorHAnsi" w:eastAsia="Times New Roman" w:hAnsiTheme="minorHAnsi" w:cstheme="minorHAnsi"/>
          <w:i/>
          <w:sz w:val="22"/>
          <w:lang w:eastAsia="lt-LT"/>
        </w:rPr>
        <w:lastRenderedPageBreak/>
        <w:t>Kiprą</w:t>
      </w:r>
      <w:r w:rsidR="00940631" w:rsidRPr="00D3763B">
        <w:rPr>
          <w:rFonts w:asciiTheme="minorHAnsi" w:eastAsia="Times New Roman" w:hAnsiTheme="minorHAnsi" w:cstheme="minorHAnsi"/>
          <w:sz w:val="22"/>
          <w:lang w:eastAsia="lt-LT"/>
        </w:rPr>
        <w:t xml:space="preserve">, pareiškimo Nr. 21906/04, </w:t>
      </w:r>
      <w:r w:rsidRPr="00D3763B">
        <w:rPr>
          <w:rFonts w:asciiTheme="minorHAnsi" w:eastAsia="Times New Roman" w:hAnsiTheme="minorHAnsi" w:cstheme="minorHAnsi"/>
          <w:sz w:val="22"/>
          <w:lang w:eastAsia="lt-LT"/>
        </w:rPr>
        <w:t>2012</w:t>
      </w:r>
      <w:r w:rsidR="00AD7FF1" w:rsidRPr="00D3763B">
        <w:rPr>
          <w:rFonts w:asciiTheme="minorHAnsi" w:eastAsia="Times New Roman" w:hAnsiTheme="minorHAnsi" w:cstheme="minorHAnsi"/>
          <w:sz w:val="22"/>
          <w:lang w:eastAsia="lt-LT"/>
        </w:rPr>
        <w:t> </w:t>
      </w:r>
      <w:r w:rsidRPr="00D3763B">
        <w:rPr>
          <w:rFonts w:asciiTheme="minorHAnsi" w:eastAsia="Times New Roman" w:hAnsiTheme="minorHAnsi" w:cstheme="minorHAnsi"/>
          <w:sz w:val="22"/>
          <w:lang w:eastAsia="lt-LT"/>
        </w:rPr>
        <w:t>m.</w:t>
      </w:r>
      <w:r w:rsidR="00AD7FF1" w:rsidRPr="00D3763B">
        <w:rPr>
          <w:rFonts w:asciiTheme="minorHAnsi" w:eastAsia="Times New Roman" w:hAnsiTheme="minorHAnsi" w:cstheme="minorHAnsi"/>
          <w:sz w:val="22"/>
          <w:lang w:eastAsia="lt-LT"/>
        </w:rPr>
        <w:t> </w:t>
      </w:r>
      <w:r w:rsidRPr="00D3763B">
        <w:rPr>
          <w:rFonts w:asciiTheme="minorHAnsi" w:eastAsia="Times New Roman" w:hAnsiTheme="minorHAnsi" w:cstheme="minorHAnsi"/>
          <w:sz w:val="22"/>
          <w:lang w:eastAsia="lt-LT"/>
        </w:rPr>
        <w:t>kovo</w:t>
      </w:r>
      <w:r w:rsidR="00AD7FF1" w:rsidRPr="00D3763B">
        <w:rPr>
          <w:rFonts w:asciiTheme="minorHAnsi" w:eastAsia="Times New Roman" w:hAnsiTheme="minorHAnsi" w:cstheme="minorHAnsi"/>
          <w:sz w:val="22"/>
          <w:lang w:eastAsia="lt-LT"/>
        </w:rPr>
        <w:t> </w:t>
      </w:r>
      <w:r w:rsidRPr="00D3763B">
        <w:rPr>
          <w:rFonts w:asciiTheme="minorHAnsi" w:eastAsia="Times New Roman" w:hAnsiTheme="minorHAnsi" w:cstheme="minorHAnsi"/>
          <w:sz w:val="22"/>
          <w:lang w:eastAsia="lt-LT"/>
        </w:rPr>
        <w:t>6</w:t>
      </w:r>
      <w:r w:rsidR="00AD7FF1" w:rsidRPr="00D3763B">
        <w:rPr>
          <w:rFonts w:asciiTheme="minorHAnsi" w:eastAsia="Times New Roman" w:hAnsiTheme="minorHAnsi" w:cstheme="minorHAnsi"/>
          <w:sz w:val="22"/>
          <w:lang w:eastAsia="lt-LT"/>
        </w:rPr>
        <w:t> </w:t>
      </w:r>
      <w:r w:rsidRPr="00D3763B">
        <w:rPr>
          <w:rFonts w:asciiTheme="minorHAnsi" w:eastAsia="Times New Roman" w:hAnsiTheme="minorHAnsi" w:cstheme="minorHAnsi"/>
          <w:sz w:val="22"/>
          <w:lang w:eastAsia="lt-LT"/>
        </w:rPr>
        <w:t xml:space="preserve">d. sprendimas byloje </w:t>
      </w:r>
      <w:proofErr w:type="spellStart"/>
      <w:r w:rsidRPr="00D3763B">
        <w:rPr>
          <w:rFonts w:asciiTheme="minorHAnsi" w:eastAsia="Times New Roman" w:hAnsiTheme="minorHAnsi" w:cstheme="minorHAnsi"/>
          <w:i/>
          <w:sz w:val="22"/>
          <w:lang w:eastAsia="lt-LT"/>
        </w:rPr>
        <w:t>Huhtamaki</w:t>
      </w:r>
      <w:proofErr w:type="spellEnd"/>
      <w:r w:rsidRPr="00D3763B">
        <w:rPr>
          <w:rFonts w:asciiTheme="minorHAnsi" w:eastAsia="Times New Roman" w:hAnsiTheme="minorHAnsi" w:cstheme="minorHAnsi"/>
          <w:i/>
          <w:sz w:val="22"/>
          <w:lang w:eastAsia="lt-LT"/>
        </w:rPr>
        <w:t xml:space="preserve"> prieš Suomiją</w:t>
      </w:r>
      <w:r w:rsidRPr="00D3763B">
        <w:rPr>
          <w:rFonts w:asciiTheme="minorHAnsi" w:eastAsia="Times New Roman" w:hAnsiTheme="minorHAnsi" w:cstheme="minorHAnsi"/>
          <w:sz w:val="22"/>
          <w:lang w:eastAsia="lt-LT"/>
        </w:rPr>
        <w:t>, pareiškimo Nr. 54468/09</w:t>
      </w:r>
      <w:r w:rsidR="00940631" w:rsidRPr="00D3763B">
        <w:rPr>
          <w:rFonts w:asciiTheme="minorHAnsi" w:eastAsia="Times New Roman" w:hAnsiTheme="minorHAnsi" w:cstheme="minorHAnsi"/>
          <w:sz w:val="22"/>
          <w:lang w:eastAsia="lt-LT"/>
        </w:rPr>
        <w:t xml:space="preserve">, </w:t>
      </w:r>
      <w:r w:rsidRPr="00D3763B">
        <w:rPr>
          <w:rFonts w:asciiTheme="minorHAnsi" w:eastAsia="Times New Roman" w:hAnsiTheme="minorHAnsi" w:cstheme="minorHAnsi"/>
          <w:sz w:val="22"/>
          <w:lang w:eastAsia="lt-LT"/>
        </w:rPr>
        <w:t>2013</w:t>
      </w:r>
      <w:r w:rsidR="00AD7FF1" w:rsidRPr="00D3763B">
        <w:rPr>
          <w:rFonts w:asciiTheme="minorHAnsi" w:eastAsia="Times New Roman" w:hAnsiTheme="minorHAnsi" w:cstheme="minorHAnsi"/>
          <w:sz w:val="22"/>
          <w:lang w:eastAsia="lt-LT"/>
        </w:rPr>
        <w:t> </w:t>
      </w:r>
      <w:r w:rsidRPr="00D3763B">
        <w:rPr>
          <w:rFonts w:asciiTheme="minorHAnsi" w:eastAsia="Times New Roman" w:hAnsiTheme="minorHAnsi" w:cstheme="minorHAnsi"/>
          <w:sz w:val="22"/>
          <w:lang w:eastAsia="lt-LT"/>
        </w:rPr>
        <w:t>m.</w:t>
      </w:r>
      <w:r w:rsidR="00AD7FF1" w:rsidRPr="00D3763B">
        <w:rPr>
          <w:rFonts w:asciiTheme="minorHAnsi" w:eastAsia="Times New Roman" w:hAnsiTheme="minorHAnsi" w:cstheme="minorHAnsi"/>
          <w:sz w:val="22"/>
          <w:lang w:eastAsia="lt-LT"/>
        </w:rPr>
        <w:t> </w:t>
      </w:r>
      <w:r w:rsidRPr="00D3763B">
        <w:rPr>
          <w:rFonts w:asciiTheme="minorHAnsi" w:eastAsia="Times New Roman" w:hAnsiTheme="minorHAnsi" w:cstheme="minorHAnsi"/>
          <w:sz w:val="22"/>
          <w:lang w:eastAsia="lt-LT"/>
        </w:rPr>
        <w:t>balandžio</w:t>
      </w:r>
      <w:r w:rsidR="00AD7FF1" w:rsidRPr="00D3763B">
        <w:rPr>
          <w:rFonts w:asciiTheme="minorHAnsi" w:eastAsia="Times New Roman" w:hAnsiTheme="minorHAnsi" w:cstheme="minorHAnsi"/>
          <w:sz w:val="22"/>
          <w:lang w:eastAsia="lt-LT"/>
        </w:rPr>
        <w:t> </w:t>
      </w:r>
      <w:r w:rsidRPr="00D3763B">
        <w:rPr>
          <w:rFonts w:asciiTheme="minorHAnsi" w:eastAsia="Times New Roman" w:hAnsiTheme="minorHAnsi" w:cstheme="minorHAnsi"/>
          <w:sz w:val="22"/>
          <w:lang w:eastAsia="lt-LT"/>
        </w:rPr>
        <w:t>18</w:t>
      </w:r>
      <w:r w:rsidR="00AD7FF1" w:rsidRPr="00D3763B">
        <w:rPr>
          <w:rFonts w:asciiTheme="minorHAnsi" w:eastAsia="Times New Roman" w:hAnsiTheme="minorHAnsi" w:cstheme="minorHAnsi"/>
          <w:sz w:val="22"/>
          <w:lang w:eastAsia="lt-LT"/>
        </w:rPr>
        <w:t> </w:t>
      </w:r>
      <w:r w:rsidRPr="00D3763B">
        <w:rPr>
          <w:rFonts w:asciiTheme="minorHAnsi" w:eastAsia="Times New Roman" w:hAnsiTheme="minorHAnsi" w:cstheme="minorHAnsi"/>
          <w:sz w:val="22"/>
          <w:lang w:eastAsia="lt-LT"/>
        </w:rPr>
        <w:t xml:space="preserve">d. sprendimas byloje </w:t>
      </w:r>
      <w:proofErr w:type="spellStart"/>
      <w:r w:rsidRPr="00D3763B">
        <w:rPr>
          <w:rFonts w:asciiTheme="minorHAnsi" w:eastAsia="Times New Roman" w:hAnsiTheme="minorHAnsi" w:cstheme="minorHAnsi"/>
          <w:i/>
          <w:sz w:val="22"/>
          <w:lang w:eastAsia="lt-LT"/>
        </w:rPr>
        <w:t>Rohlena</w:t>
      </w:r>
      <w:proofErr w:type="spellEnd"/>
      <w:r w:rsidRPr="00D3763B">
        <w:rPr>
          <w:rFonts w:asciiTheme="minorHAnsi" w:eastAsia="Times New Roman" w:hAnsiTheme="minorHAnsi" w:cstheme="minorHAnsi"/>
          <w:i/>
          <w:sz w:val="22"/>
          <w:lang w:eastAsia="lt-LT"/>
        </w:rPr>
        <w:t xml:space="preserve"> prieš Čekijos Respubliką</w:t>
      </w:r>
      <w:r w:rsidRPr="00D3763B">
        <w:rPr>
          <w:rFonts w:asciiTheme="minorHAnsi" w:eastAsia="Times New Roman" w:hAnsiTheme="minorHAnsi" w:cstheme="minorHAnsi"/>
          <w:sz w:val="22"/>
          <w:lang w:eastAsia="lt-LT"/>
        </w:rPr>
        <w:t>, pareiškimo Nr. 59552/08</w:t>
      </w:r>
      <w:r w:rsidR="00940631" w:rsidRPr="00D3763B">
        <w:rPr>
          <w:rFonts w:asciiTheme="minorHAnsi" w:eastAsia="Times New Roman" w:hAnsiTheme="minorHAnsi" w:cstheme="minorHAnsi"/>
          <w:sz w:val="22"/>
          <w:lang w:eastAsia="lt-LT"/>
        </w:rPr>
        <w:t xml:space="preserve">, </w:t>
      </w:r>
      <w:r w:rsidRPr="00D3763B">
        <w:rPr>
          <w:rFonts w:asciiTheme="minorHAnsi" w:eastAsia="Times New Roman" w:hAnsiTheme="minorHAnsi" w:cstheme="minorHAnsi"/>
          <w:sz w:val="22"/>
          <w:lang w:eastAsia="lt-LT"/>
        </w:rPr>
        <w:t>2015</w:t>
      </w:r>
      <w:r w:rsidR="00AD7FF1" w:rsidRPr="00D3763B">
        <w:rPr>
          <w:rFonts w:asciiTheme="minorHAnsi" w:eastAsia="Times New Roman" w:hAnsiTheme="minorHAnsi" w:cstheme="minorHAnsi"/>
          <w:sz w:val="22"/>
          <w:lang w:eastAsia="lt-LT"/>
        </w:rPr>
        <w:t> </w:t>
      </w:r>
      <w:r w:rsidRPr="00D3763B">
        <w:rPr>
          <w:rFonts w:asciiTheme="minorHAnsi" w:eastAsia="Times New Roman" w:hAnsiTheme="minorHAnsi" w:cstheme="minorHAnsi"/>
          <w:sz w:val="22"/>
          <w:lang w:eastAsia="lt-LT"/>
        </w:rPr>
        <w:t>m.</w:t>
      </w:r>
      <w:r w:rsidR="00AD7FF1" w:rsidRPr="00D3763B">
        <w:rPr>
          <w:rFonts w:asciiTheme="minorHAnsi" w:eastAsia="Times New Roman" w:hAnsiTheme="minorHAnsi" w:cstheme="minorHAnsi"/>
          <w:sz w:val="22"/>
          <w:lang w:eastAsia="lt-LT"/>
        </w:rPr>
        <w:t> </w:t>
      </w:r>
      <w:r w:rsidRPr="00D3763B">
        <w:rPr>
          <w:rFonts w:asciiTheme="minorHAnsi" w:eastAsia="Times New Roman" w:hAnsiTheme="minorHAnsi" w:cstheme="minorHAnsi"/>
          <w:sz w:val="22"/>
          <w:lang w:eastAsia="lt-LT"/>
        </w:rPr>
        <w:t>spalio</w:t>
      </w:r>
      <w:r w:rsidR="00AD7FF1" w:rsidRPr="00D3763B">
        <w:rPr>
          <w:rFonts w:asciiTheme="minorHAnsi" w:eastAsia="Times New Roman" w:hAnsiTheme="minorHAnsi" w:cstheme="minorHAnsi"/>
          <w:sz w:val="22"/>
          <w:lang w:eastAsia="lt-LT"/>
        </w:rPr>
        <w:t> </w:t>
      </w:r>
      <w:r w:rsidRPr="00D3763B">
        <w:rPr>
          <w:rFonts w:asciiTheme="minorHAnsi" w:eastAsia="Times New Roman" w:hAnsiTheme="minorHAnsi" w:cstheme="minorHAnsi"/>
          <w:sz w:val="22"/>
          <w:lang w:eastAsia="lt-LT"/>
        </w:rPr>
        <w:t>20</w:t>
      </w:r>
      <w:r w:rsidR="00AD7FF1" w:rsidRPr="00D3763B">
        <w:rPr>
          <w:rFonts w:asciiTheme="minorHAnsi" w:eastAsia="Times New Roman" w:hAnsiTheme="minorHAnsi" w:cstheme="minorHAnsi"/>
          <w:sz w:val="22"/>
          <w:lang w:eastAsia="lt-LT"/>
        </w:rPr>
        <w:t> </w:t>
      </w:r>
      <w:r w:rsidRPr="00D3763B">
        <w:rPr>
          <w:rFonts w:asciiTheme="minorHAnsi" w:eastAsia="Times New Roman" w:hAnsiTheme="minorHAnsi" w:cstheme="minorHAnsi"/>
          <w:sz w:val="22"/>
          <w:lang w:eastAsia="lt-LT"/>
        </w:rPr>
        <w:t xml:space="preserve">d. sprendimas byloje </w:t>
      </w:r>
      <w:r w:rsidRPr="00D3763B">
        <w:rPr>
          <w:rFonts w:asciiTheme="minorHAnsi" w:eastAsia="Times New Roman" w:hAnsiTheme="minorHAnsi" w:cstheme="minorHAnsi"/>
          <w:i/>
          <w:sz w:val="22"/>
          <w:lang w:eastAsia="lt-LT"/>
        </w:rPr>
        <w:t>Vasiliauskas prieš Lietuvą</w:t>
      </w:r>
      <w:r w:rsidRPr="00D3763B">
        <w:rPr>
          <w:rFonts w:asciiTheme="minorHAnsi" w:eastAsia="Times New Roman" w:hAnsiTheme="minorHAnsi" w:cstheme="minorHAnsi"/>
          <w:sz w:val="22"/>
          <w:lang w:eastAsia="lt-LT"/>
        </w:rPr>
        <w:t>, pareiškimo Nr. 35343/05 ir kt.). Nagrinėjamu atveju</w:t>
      </w:r>
      <w:r w:rsidR="00940631" w:rsidRPr="00D3763B">
        <w:rPr>
          <w:rFonts w:asciiTheme="minorHAnsi" w:eastAsia="Times New Roman" w:hAnsiTheme="minorHAnsi" w:cstheme="minorHAnsi"/>
          <w:sz w:val="22"/>
          <w:lang w:eastAsia="lt-LT"/>
        </w:rPr>
        <w:t xml:space="preserve"> </w:t>
      </w:r>
      <w:r w:rsidRPr="00D3763B">
        <w:rPr>
          <w:rFonts w:asciiTheme="minorHAnsi" w:eastAsia="Times New Roman" w:hAnsiTheme="minorHAnsi" w:cstheme="minorHAnsi"/>
          <w:sz w:val="22"/>
          <w:lang w:eastAsia="lt-LT"/>
        </w:rPr>
        <w:t>Aprašo 13, 14, 15 punktais yra reikalaujama, kad asmens sveikatos priežiūros įstaigos turėtų teisę valdyti, naudoti šiuose punktuose nurodytus prietaisus, todėl tir</w:t>
      </w:r>
      <w:r w:rsidR="00940631" w:rsidRPr="00D3763B">
        <w:rPr>
          <w:rFonts w:asciiTheme="minorHAnsi" w:eastAsia="Times New Roman" w:hAnsiTheme="minorHAnsi" w:cstheme="minorHAnsi"/>
          <w:sz w:val="22"/>
          <w:lang w:eastAsia="lt-LT"/>
        </w:rPr>
        <w:t>to</w:t>
      </w:r>
      <w:r w:rsidRPr="00D3763B">
        <w:rPr>
          <w:rFonts w:asciiTheme="minorHAnsi" w:eastAsia="Times New Roman" w:hAnsiTheme="minorHAnsi" w:cstheme="minorHAnsi"/>
          <w:sz w:val="22"/>
          <w:lang w:eastAsia="lt-LT"/>
        </w:rPr>
        <w:t xml:space="preserve"> teisinio reguliavimo formuluotė yra aiški</w:t>
      </w:r>
      <w:r w:rsidR="00940631" w:rsidRPr="00D3763B">
        <w:rPr>
          <w:rFonts w:asciiTheme="minorHAnsi" w:eastAsia="Times New Roman" w:hAnsiTheme="minorHAnsi" w:cstheme="minorHAnsi"/>
          <w:sz w:val="22"/>
          <w:lang w:eastAsia="lt-LT"/>
        </w:rPr>
        <w:t xml:space="preserve">. Vadinasi, </w:t>
      </w:r>
      <w:r w:rsidRPr="00D3763B">
        <w:rPr>
          <w:rFonts w:asciiTheme="minorHAnsi" w:eastAsia="Times New Roman" w:hAnsiTheme="minorHAnsi" w:cstheme="minorHAnsi"/>
          <w:sz w:val="22"/>
          <w:lang w:eastAsia="lt-LT"/>
        </w:rPr>
        <w:t xml:space="preserve">nėra pagrindo išvadai, </w:t>
      </w:r>
      <w:r w:rsidR="00940631" w:rsidRPr="00D3763B">
        <w:rPr>
          <w:rFonts w:asciiTheme="minorHAnsi" w:eastAsia="Times New Roman" w:hAnsiTheme="minorHAnsi" w:cstheme="minorHAnsi"/>
          <w:sz w:val="22"/>
          <w:lang w:eastAsia="lt-LT"/>
        </w:rPr>
        <w:t xml:space="preserve">kad </w:t>
      </w:r>
      <w:r w:rsidRPr="00D3763B">
        <w:rPr>
          <w:rFonts w:asciiTheme="minorHAnsi" w:eastAsia="Times New Roman" w:hAnsiTheme="minorHAnsi" w:cstheme="minorHAnsi"/>
          <w:sz w:val="22"/>
          <w:lang w:eastAsia="lt-LT"/>
        </w:rPr>
        <w:t>Aprašo 13, 14, 15 punktais pažeidžiamas iš teisinės valstybės kylantis reikalavimas teisinį reguliavimą dėstyti aiškiai ir suprantamai</w:t>
      </w:r>
      <w:r w:rsidR="00940631" w:rsidRPr="00D3763B">
        <w:rPr>
          <w:rFonts w:asciiTheme="minorHAnsi" w:eastAsia="Times New Roman" w:hAnsiTheme="minorHAnsi" w:cstheme="minorHAnsi"/>
          <w:sz w:val="22"/>
          <w:lang w:eastAsia="lt-LT"/>
        </w:rPr>
        <w:t>.</w:t>
      </w:r>
    </w:p>
    <w:p w:rsidR="00CB46BE" w:rsidRPr="00D3763B" w:rsidRDefault="00CB46BE" w:rsidP="00CB46BE">
      <w:pPr>
        <w:pStyle w:val="ListParagraph"/>
        <w:spacing w:after="0" w:line="240" w:lineRule="auto"/>
        <w:ind w:left="0" w:firstLine="567"/>
        <w:jc w:val="both"/>
        <w:rPr>
          <w:rFonts w:asciiTheme="minorHAnsi" w:eastAsia="Times New Roman" w:hAnsiTheme="minorHAnsi" w:cstheme="minorHAnsi"/>
          <w:sz w:val="22"/>
          <w:lang w:eastAsia="lt-LT"/>
        </w:rPr>
      </w:pPr>
      <w:r w:rsidRPr="00D3763B">
        <w:rPr>
          <w:rFonts w:asciiTheme="minorHAnsi" w:eastAsia="Times New Roman" w:hAnsiTheme="minorHAnsi" w:cstheme="minorHAnsi"/>
          <w:sz w:val="22"/>
          <w:lang w:eastAsia="lt-LT"/>
        </w:rPr>
        <w:t>Sistemiškai įvertinus tirtą teisinį reguliavimą ir aukštesnės galios teisės aktų nuostatas, byloje ginčyti normini</w:t>
      </w:r>
      <w:r w:rsidR="00E301CF">
        <w:rPr>
          <w:rFonts w:asciiTheme="minorHAnsi" w:eastAsia="Times New Roman" w:hAnsiTheme="minorHAnsi" w:cstheme="minorHAnsi"/>
          <w:sz w:val="22"/>
          <w:lang w:eastAsia="lt-LT"/>
        </w:rPr>
        <w:t>ai</w:t>
      </w:r>
      <w:r w:rsidRPr="00D3763B">
        <w:rPr>
          <w:rFonts w:asciiTheme="minorHAnsi" w:eastAsia="Times New Roman" w:hAnsiTheme="minorHAnsi" w:cstheme="minorHAnsi"/>
          <w:sz w:val="22"/>
          <w:lang w:eastAsia="lt-LT"/>
        </w:rPr>
        <w:t xml:space="preserve"> administraciniai aktai pripažinti teisėtais.</w:t>
      </w:r>
    </w:p>
    <w:p w:rsidR="00CB46BE" w:rsidRPr="00D3763B" w:rsidRDefault="00CB46BE" w:rsidP="00CB46BE">
      <w:pPr>
        <w:pStyle w:val="ListParagraph"/>
        <w:spacing w:after="0" w:line="240" w:lineRule="auto"/>
        <w:ind w:left="0" w:firstLine="567"/>
        <w:jc w:val="both"/>
        <w:rPr>
          <w:rFonts w:asciiTheme="minorHAnsi" w:eastAsia="Times New Roman" w:hAnsiTheme="minorHAnsi" w:cstheme="minorHAnsi"/>
          <w:sz w:val="22"/>
          <w:lang w:eastAsia="lt-LT"/>
        </w:rPr>
      </w:pPr>
    </w:p>
    <w:p w:rsidR="00CB46BE" w:rsidRPr="00D3763B" w:rsidRDefault="00CB46BE" w:rsidP="00CB46BE">
      <w:pPr>
        <w:tabs>
          <w:tab w:val="left" w:pos="142"/>
        </w:tabs>
        <w:ind w:right="38"/>
        <w:jc w:val="both"/>
        <w:rPr>
          <w:rFonts w:asciiTheme="minorHAnsi" w:eastAsiaTheme="minorHAnsi" w:hAnsiTheme="minorHAnsi" w:cstheme="minorHAnsi"/>
          <w:sz w:val="22"/>
          <w:szCs w:val="22"/>
          <w:lang w:eastAsia="en-US"/>
        </w:rPr>
      </w:pPr>
      <w:r w:rsidRPr="00D3763B">
        <w:rPr>
          <w:rFonts w:asciiTheme="minorHAnsi" w:hAnsiTheme="minorHAnsi" w:cstheme="minorHAnsi"/>
          <w:bCs/>
          <w:sz w:val="22"/>
          <w:szCs w:val="22"/>
        </w:rPr>
        <w:t xml:space="preserve">Išplėstinės teisėjų kolegijos 2018 m. </w:t>
      </w:r>
      <w:r w:rsidRPr="00D3763B">
        <w:rPr>
          <w:rFonts w:asciiTheme="minorHAnsi" w:hAnsiTheme="minorHAnsi" w:cstheme="minorHAnsi"/>
          <w:sz w:val="22"/>
          <w:szCs w:val="22"/>
        </w:rPr>
        <w:t xml:space="preserve">birželio 12 </w:t>
      </w:r>
      <w:r w:rsidRPr="00D3763B">
        <w:rPr>
          <w:rFonts w:asciiTheme="minorHAnsi" w:hAnsiTheme="minorHAnsi" w:cstheme="minorHAnsi"/>
          <w:bCs/>
          <w:sz w:val="22"/>
          <w:szCs w:val="22"/>
        </w:rPr>
        <w:t>d. sprendimas administracinėje byloje Nr. I-10-822</w:t>
      </w:r>
      <w:r w:rsidRPr="00D3763B">
        <w:rPr>
          <w:rFonts w:asciiTheme="minorHAnsi" w:hAnsiTheme="minorHAnsi" w:cstheme="minorHAnsi"/>
          <w:sz w:val="22"/>
          <w:szCs w:val="22"/>
        </w:rPr>
        <w:t>/2018</w:t>
      </w:r>
    </w:p>
    <w:p w:rsidR="00CB46BE" w:rsidRPr="00D3763B" w:rsidRDefault="00CB46BE" w:rsidP="00CB46BE">
      <w:pPr>
        <w:tabs>
          <w:tab w:val="left" w:pos="142"/>
        </w:tabs>
        <w:ind w:right="38"/>
        <w:jc w:val="both"/>
        <w:rPr>
          <w:rFonts w:asciiTheme="minorHAnsi" w:hAnsiTheme="minorHAnsi" w:cstheme="minorHAnsi"/>
          <w:sz w:val="22"/>
          <w:szCs w:val="22"/>
        </w:rPr>
      </w:pPr>
      <w:r w:rsidRPr="00D3763B">
        <w:rPr>
          <w:rFonts w:asciiTheme="minorHAnsi" w:hAnsiTheme="minorHAnsi" w:cstheme="minorHAnsi"/>
          <w:sz w:val="22"/>
          <w:szCs w:val="22"/>
        </w:rPr>
        <w:t xml:space="preserve">Teisminio proceso Nr. </w:t>
      </w:r>
      <w:r w:rsidRPr="00D3763B">
        <w:rPr>
          <w:rFonts w:asciiTheme="minorHAnsi" w:hAnsiTheme="minorHAnsi" w:cstheme="minorHAnsi"/>
          <w:color w:val="000000"/>
          <w:sz w:val="22"/>
          <w:szCs w:val="22"/>
        </w:rPr>
        <w:t>3-61-3-00007-2018-6</w:t>
      </w:r>
    </w:p>
    <w:p w:rsidR="00CB46BE" w:rsidRPr="00D3763B" w:rsidRDefault="00CB46BE" w:rsidP="00CB46BE">
      <w:pPr>
        <w:tabs>
          <w:tab w:val="left" w:pos="142"/>
        </w:tabs>
        <w:ind w:right="38"/>
        <w:jc w:val="both"/>
        <w:rPr>
          <w:rFonts w:asciiTheme="minorHAnsi" w:hAnsiTheme="minorHAnsi" w:cstheme="minorHAnsi"/>
          <w:bCs/>
          <w:sz w:val="22"/>
          <w:szCs w:val="22"/>
        </w:rPr>
      </w:pPr>
      <w:r w:rsidRPr="00D3763B">
        <w:rPr>
          <w:rFonts w:asciiTheme="minorHAnsi" w:hAnsiTheme="minorHAnsi" w:cstheme="minorHAnsi"/>
          <w:bCs/>
          <w:sz w:val="22"/>
          <w:szCs w:val="22"/>
        </w:rPr>
        <w:t>Procesinio sprendimo kategorijos: 4.1; 6.5</w:t>
      </w:r>
    </w:p>
    <w:p w:rsidR="00CB46BE" w:rsidRPr="00D3763B" w:rsidRDefault="000220C9" w:rsidP="00CB46BE">
      <w:pPr>
        <w:tabs>
          <w:tab w:val="left" w:pos="142"/>
        </w:tabs>
        <w:ind w:right="38"/>
        <w:jc w:val="both"/>
        <w:rPr>
          <w:rFonts w:asciiTheme="minorHAnsi" w:hAnsiTheme="minorHAnsi" w:cstheme="minorHAnsi"/>
          <w:sz w:val="22"/>
          <w:szCs w:val="22"/>
        </w:rPr>
      </w:pPr>
      <w:hyperlink r:id="rId11" w:history="1">
        <w:r w:rsidR="00CB46BE" w:rsidRPr="00D3763B">
          <w:rPr>
            <w:rStyle w:val="Hyperlink"/>
            <w:rFonts w:asciiTheme="minorHAnsi" w:hAnsiTheme="minorHAnsi" w:cstheme="minorHAnsi"/>
            <w:sz w:val="22"/>
            <w:szCs w:val="22"/>
          </w:rPr>
          <w:t>Prieiga internete</w:t>
        </w:r>
      </w:hyperlink>
    </w:p>
    <w:p w:rsidR="00CB46BE" w:rsidRPr="00D3763B" w:rsidRDefault="00CB46BE" w:rsidP="00D70C5F">
      <w:pPr>
        <w:jc w:val="both"/>
        <w:rPr>
          <w:rFonts w:asciiTheme="minorHAnsi" w:hAnsiTheme="minorHAnsi" w:cstheme="minorHAnsi"/>
          <w:sz w:val="22"/>
          <w:szCs w:val="22"/>
        </w:rPr>
      </w:pPr>
    </w:p>
    <w:p w:rsidR="00481D41" w:rsidRPr="00D3763B" w:rsidRDefault="00481D41" w:rsidP="00D3763B">
      <w:pPr>
        <w:pStyle w:val="Heading2"/>
      </w:pPr>
      <w:bookmarkStart w:id="21" w:name="_Toc524957033"/>
      <w:r w:rsidRPr="00D3763B">
        <w:t>Dėl Turto arba verslo vertintojų garbės teismo nuostatų teisėtumo</w:t>
      </w:r>
      <w:bookmarkEnd w:id="21"/>
    </w:p>
    <w:p w:rsidR="00481D41" w:rsidRPr="00D3763B" w:rsidRDefault="00481D41" w:rsidP="00D70C5F">
      <w:pPr>
        <w:jc w:val="both"/>
        <w:rPr>
          <w:rFonts w:asciiTheme="minorHAnsi" w:hAnsiTheme="minorHAnsi" w:cstheme="minorHAnsi"/>
          <w:sz w:val="22"/>
          <w:szCs w:val="22"/>
        </w:rPr>
      </w:pPr>
    </w:p>
    <w:p w:rsidR="00BC22F0" w:rsidRPr="00D3763B" w:rsidRDefault="00481D41" w:rsidP="00BC22F0">
      <w:pPr>
        <w:ind w:firstLine="567"/>
        <w:jc w:val="both"/>
        <w:rPr>
          <w:rFonts w:asciiTheme="minorHAnsi" w:hAnsiTheme="minorHAnsi" w:cstheme="minorHAnsi"/>
          <w:color w:val="000000"/>
          <w:sz w:val="22"/>
          <w:szCs w:val="22"/>
          <w:shd w:val="clear" w:color="auto" w:fill="FFFFFF"/>
        </w:rPr>
      </w:pPr>
      <w:r w:rsidRPr="00D3763B">
        <w:rPr>
          <w:rFonts w:asciiTheme="minorHAnsi" w:hAnsiTheme="minorHAnsi" w:cstheme="minorHAnsi"/>
          <w:sz w:val="22"/>
          <w:szCs w:val="22"/>
        </w:rPr>
        <w:t xml:space="preserve">Apžvelgiamu atveju </w:t>
      </w:r>
      <w:r w:rsidR="00BC22F0" w:rsidRPr="00D3763B">
        <w:rPr>
          <w:rFonts w:asciiTheme="minorHAnsi" w:hAnsiTheme="minorHAnsi" w:cstheme="minorHAnsi"/>
          <w:sz w:val="22"/>
          <w:szCs w:val="22"/>
        </w:rPr>
        <w:t>išplėstinė teisėjų kolegija tyrė, ar aukštesnės galios teisės aktams neprieštarauja T</w:t>
      </w:r>
      <w:r w:rsidR="00BC22F0" w:rsidRPr="00D3763B">
        <w:rPr>
          <w:rFonts w:asciiTheme="minorHAnsi" w:hAnsiTheme="minorHAnsi" w:cstheme="minorHAnsi"/>
          <w:color w:val="000000"/>
          <w:sz w:val="22"/>
          <w:szCs w:val="22"/>
          <w:shd w:val="clear" w:color="auto" w:fill="FFFFFF"/>
        </w:rPr>
        <w:t>urto arba verslo vertintojų garbės teismo nuostatai, patvirtinti Lietuvos Respublikos finansų ministro 2012 m. gegužės 17 d. įsakymu Nr. 1K-192 (toliau – Nuostatai), ta apimtimi, kuria nustatyta, kad Turto arba verslo vertintojų garbės teismo (toliau – Garbės teismas) sprendimas yra priimamas ir paskelbiamas nesurašius jo aprašomosios ir motyvuojamosios dalių ir Garbės teismo nariams, dalyvavusiems priimant sprendimą, nepasirašius viso sprendimo, o aprašomoji ir motyvuojamoji Garbės teismo sprendimo dalys surašomos ir visas sprendimas pasirašomas vėliau – ne vėliau kaip per 10 darbo dienų po Garbės teismo sprendimo priėmimo ir paskelbimo Garbės teismo posėdyje dalyvaujantiems asmenims.</w:t>
      </w:r>
    </w:p>
    <w:p w:rsidR="003F567A" w:rsidRPr="00D3763B" w:rsidRDefault="00BC22F0" w:rsidP="003F567A">
      <w:pPr>
        <w:ind w:firstLine="567"/>
        <w:jc w:val="both"/>
        <w:rPr>
          <w:rFonts w:asciiTheme="minorHAnsi" w:hAnsiTheme="minorHAnsi" w:cstheme="minorHAnsi"/>
          <w:color w:val="000000"/>
          <w:sz w:val="22"/>
          <w:szCs w:val="22"/>
          <w:shd w:val="clear" w:color="auto" w:fill="FFFFFF"/>
        </w:rPr>
      </w:pPr>
      <w:r w:rsidRPr="00D3763B">
        <w:rPr>
          <w:rFonts w:asciiTheme="minorHAnsi" w:hAnsiTheme="minorHAnsi" w:cstheme="minorHAnsi"/>
          <w:color w:val="000000"/>
          <w:sz w:val="22"/>
          <w:szCs w:val="22"/>
          <w:shd w:val="clear" w:color="auto" w:fill="FFFFFF"/>
        </w:rPr>
        <w:t>Išplėstinė teisėjų kolegija nurodė, kad nacionalinis teisinis reguliavimas (</w:t>
      </w:r>
      <w:proofErr w:type="spellStart"/>
      <w:r w:rsidRPr="00D3763B">
        <w:rPr>
          <w:rFonts w:asciiTheme="minorHAnsi" w:hAnsiTheme="minorHAnsi" w:cstheme="minorHAnsi"/>
          <w:i/>
          <w:color w:val="000000"/>
          <w:sz w:val="22"/>
          <w:szCs w:val="22"/>
          <w:shd w:val="clear" w:color="auto" w:fill="FFFFFF"/>
        </w:rPr>
        <w:t>inter</w:t>
      </w:r>
      <w:proofErr w:type="spellEnd"/>
      <w:r w:rsidRPr="00D3763B">
        <w:rPr>
          <w:rFonts w:asciiTheme="minorHAnsi" w:hAnsiTheme="minorHAnsi" w:cstheme="minorHAnsi"/>
          <w:i/>
          <w:color w:val="000000"/>
          <w:sz w:val="22"/>
          <w:szCs w:val="22"/>
          <w:shd w:val="clear" w:color="auto" w:fill="FFFFFF"/>
        </w:rPr>
        <w:t xml:space="preserve"> </w:t>
      </w:r>
      <w:proofErr w:type="spellStart"/>
      <w:r w:rsidRPr="00D3763B">
        <w:rPr>
          <w:rFonts w:asciiTheme="minorHAnsi" w:hAnsiTheme="minorHAnsi" w:cstheme="minorHAnsi"/>
          <w:i/>
          <w:color w:val="000000"/>
          <w:sz w:val="22"/>
          <w:szCs w:val="22"/>
          <w:shd w:val="clear" w:color="auto" w:fill="FFFFFF"/>
        </w:rPr>
        <w:t>alia</w:t>
      </w:r>
      <w:proofErr w:type="spellEnd"/>
      <w:r w:rsidRPr="00D3763B">
        <w:rPr>
          <w:rFonts w:asciiTheme="minorHAnsi" w:hAnsiTheme="minorHAnsi" w:cstheme="minorHAnsi"/>
          <w:color w:val="000000"/>
          <w:sz w:val="22"/>
          <w:szCs w:val="22"/>
          <w:shd w:val="clear" w:color="auto" w:fill="FFFFFF"/>
        </w:rPr>
        <w:t xml:space="preserve"> atskleidžiantis Garbės teismo statusą, paskirtį, vykdomų procedūrų, susiklostančių teisinių santykių pobūdį ir reikšmę) ir administracinės jurisprudencijos nuostatos suponuoja išvadą, kad Garbės teismas, spręsdamas turto arba verslo vertintojų drausminės atsakomybės klausimus, veikia kaip teisės taikymo (jurisdikcinė) institucija: nustato konkrečiai turto arba verslo vertintojo drausmės bylai reikšmingas aplinkybes, tiria ir vertina įrodymus, konstatuoja padarytą profesinės veiklos (šiuo atveju turto arba verslo vertinimo veiklos) pažeidimą, remdamasis teise jį kvalifikuoja, skiria įstatyme numatytą drausminę nuobaudą. Garbės teismo sprendimai yra privalomi ir sukelia konkrečias teisines pasekmes turto arba verslo vertintojui, todėl gali iš esmės paveikti turto arba verslo vertintojo statusą (teisių bei pareigų turinį) ir taip sąlygoti teisę užsiimti turto arba verslo vertinimo veikla (tiek dirbti pagal darbo sutartį, tiek veikti savarankiškais pagrindais).</w:t>
      </w:r>
      <w:r w:rsidR="00E301CF">
        <w:rPr>
          <w:rFonts w:asciiTheme="minorHAnsi" w:hAnsiTheme="minorHAnsi" w:cstheme="minorHAnsi"/>
          <w:color w:val="000000"/>
          <w:sz w:val="22"/>
          <w:szCs w:val="22"/>
          <w:shd w:val="clear" w:color="auto" w:fill="FFFFFF"/>
        </w:rPr>
        <w:t xml:space="preserve"> </w:t>
      </w:r>
      <w:r w:rsidRPr="00D3763B">
        <w:rPr>
          <w:rFonts w:asciiTheme="minorHAnsi" w:hAnsiTheme="minorHAnsi" w:cstheme="minorHAnsi"/>
          <w:color w:val="000000"/>
          <w:sz w:val="22"/>
          <w:szCs w:val="22"/>
          <w:shd w:val="clear" w:color="auto" w:fill="FFFFFF"/>
        </w:rPr>
        <w:t xml:space="preserve">Atsižvelgiant į </w:t>
      </w:r>
      <w:r w:rsidR="003F567A" w:rsidRPr="00D3763B">
        <w:rPr>
          <w:rFonts w:asciiTheme="minorHAnsi" w:hAnsiTheme="minorHAnsi" w:cstheme="minorHAnsi"/>
          <w:color w:val="000000"/>
          <w:sz w:val="22"/>
          <w:szCs w:val="22"/>
          <w:shd w:val="clear" w:color="auto" w:fill="FFFFFF"/>
        </w:rPr>
        <w:t>t</w:t>
      </w:r>
      <w:r w:rsidRPr="00D3763B">
        <w:rPr>
          <w:rFonts w:asciiTheme="minorHAnsi" w:hAnsiTheme="minorHAnsi" w:cstheme="minorHAnsi"/>
          <w:color w:val="000000"/>
          <w:sz w:val="22"/>
          <w:szCs w:val="22"/>
          <w:shd w:val="clear" w:color="auto" w:fill="FFFFFF"/>
        </w:rPr>
        <w:t>arptautinių teisės aktų</w:t>
      </w:r>
      <w:r w:rsidR="003F567A" w:rsidRPr="00D3763B">
        <w:rPr>
          <w:rFonts w:asciiTheme="minorHAnsi" w:hAnsiTheme="minorHAnsi" w:cstheme="minorHAnsi"/>
          <w:color w:val="000000"/>
          <w:sz w:val="22"/>
          <w:szCs w:val="22"/>
          <w:shd w:val="clear" w:color="auto" w:fill="FFFFFF"/>
        </w:rPr>
        <w:t xml:space="preserve"> (Žmogaus teisių ir pagrindinių laisvių apsaugos konvencijos, Europos Sąjungos pagrindinių teisių chartijos) </w:t>
      </w:r>
      <w:r w:rsidRPr="00D3763B">
        <w:rPr>
          <w:rFonts w:asciiTheme="minorHAnsi" w:hAnsiTheme="minorHAnsi" w:cstheme="minorHAnsi"/>
          <w:color w:val="000000"/>
          <w:sz w:val="22"/>
          <w:szCs w:val="22"/>
          <w:shd w:val="clear" w:color="auto" w:fill="FFFFFF"/>
        </w:rPr>
        <w:t>nuostatas bei jas aiškinančių teismų (E</w:t>
      </w:r>
      <w:r w:rsidR="003F567A" w:rsidRPr="00D3763B">
        <w:rPr>
          <w:rFonts w:asciiTheme="minorHAnsi" w:hAnsiTheme="minorHAnsi" w:cstheme="minorHAnsi"/>
          <w:color w:val="000000"/>
          <w:sz w:val="22"/>
          <w:szCs w:val="22"/>
          <w:shd w:val="clear" w:color="auto" w:fill="FFFFFF"/>
        </w:rPr>
        <w:t xml:space="preserve">uropos Žmogaus Teisių Teismo, Europos Sąjungos Teisingumo Teismo) </w:t>
      </w:r>
      <w:r w:rsidRPr="00D3763B">
        <w:rPr>
          <w:rFonts w:asciiTheme="minorHAnsi" w:hAnsiTheme="minorHAnsi" w:cstheme="minorHAnsi"/>
          <w:color w:val="000000"/>
          <w:sz w:val="22"/>
          <w:szCs w:val="22"/>
          <w:shd w:val="clear" w:color="auto" w:fill="FFFFFF"/>
        </w:rPr>
        <w:t>praktiką, tokiai Garbės teismo jurisdikcinei veiklai – drausminių nuobaudų skyrimo turto arba verslo vertintojams procedūrai</w:t>
      </w:r>
      <w:r w:rsidR="004F2902" w:rsidRPr="00D3763B">
        <w:rPr>
          <w:rFonts w:asciiTheme="minorHAnsi" w:hAnsiTheme="minorHAnsi" w:cstheme="minorHAnsi"/>
          <w:color w:val="000000"/>
          <w:sz w:val="22"/>
          <w:szCs w:val="22"/>
          <w:shd w:val="clear" w:color="auto" w:fill="FFFFFF"/>
        </w:rPr>
        <w:t>, pasak LVAT,</w:t>
      </w:r>
      <w:r w:rsidRPr="00D3763B">
        <w:rPr>
          <w:rFonts w:asciiTheme="minorHAnsi" w:hAnsiTheme="minorHAnsi" w:cstheme="minorHAnsi"/>
          <w:color w:val="000000"/>
          <w:sz w:val="22"/>
          <w:szCs w:val="22"/>
          <w:shd w:val="clear" w:color="auto" w:fill="FFFFFF"/>
        </w:rPr>
        <w:t xml:space="preserve"> taikomi teisingo bylos nagrinėjimo reikalavimai.</w:t>
      </w:r>
    </w:p>
    <w:p w:rsidR="003F567A" w:rsidRPr="00D3763B" w:rsidRDefault="003F567A" w:rsidP="003F567A">
      <w:pPr>
        <w:ind w:firstLine="567"/>
        <w:jc w:val="both"/>
        <w:rPr>
          <w:rFonts w:asciiTheme="minorHAnsi" w:hAnsiTheme="minorHAnsi" w:cstheme="minorHAnsi"/>
          <w:color w:val="000000"/>
          <w:sz w:val="22"/>
          <w:szCs w:val="22"/>
          <w:shd w:val="clear" w:color="auto" w:fill="FFFFFF"/>
        </w:rPr>
      </w:pPr>
      <w:r w:rsidRPr="00D3763B">
        <w:rPr>
          <w:rFonts w:asciiTheme="minorHAnsi" w:hAnsiTheme="minorHAnsi" w:cstheme="minorHAnsi"/>
          <w:color w:val="000000"/>
          <w:sz w:val="22"/>
          <w:szCs w:val="22"/>
          <w:shd w:val="clear" w:color="auto" w:fill="FFFFFF"/>
        </w:rPr>
        <w:t>Nagrinėtos bylos kontekste tai reiškia, kad teisės aktais reguliuojant turto arba verslo vertintojo drausmės bylos nagrinėjimo Garbės teisme procesą </w:t>
      </w:r>
      <w:proofErr w:type="spellStart"/>
      <w:r w:rsidRPr="00D3763B">
        <w:rPr>
          <w:rFonts w:asciiTheme="minorHAnsi" w:hAnsiTheme="minorHAnsi" w:cstheme="minorHAnsi"/>
          <w:i/>
          <w:iCs/>
          <w:color w:val="000000"/>
          <w:sz w:val="22"/>
          <w:szCs w:val="22"/>
          <w:shd w:val="clear" w:color="auto" w:fill="FFFFFF"/>
        </w:rPr>
        <w:t>inter</w:t>
      </w:r>
      <w:proofErr w:type="spellEnd"/>
      <w:r w:rsidRPr="00D3763B">
        <w:rPr>
          <w:rFonts w:asciiTheme="minorHAnsi" w:hAnsiTheme="minorHAnsi" w:cstheme="minorHAnsi"/>
          <w:i/>
          <w:iCs/>
          <w:color w:val="000000"/>
          <w:sz w:val="22"/>
          <w:szCs w:val="22"/>
          <w:shd w:val="clear" w:color="auto" w:fill="FFFFFF"/>
        </w:rPr>
        <w:t xml:space="preserve"> </w:t>
      </w:r>
      <w:proofErr w:type="spellStart"/>
      <w:r w:rsidRPr="00D3763B">
        <w:rPr>
          <w:rFonts w:asciiTheme="minorHAnsi" w:hAnsiTheme="minorHAnsi" w:cstheme="minorHAnsi"/>
          <w:i/>
          <w:iCs/>
          <w:color w:val="000000"/>
          <w:sz w:val="22"/>
          <w:szCs w:val="22"/>
          <w:shd w:val="clear" w:color="auto" w:fill="FFFFFF"/>
        </w:rPr>
        <w:t>alia</w:t>
      </w:r>
      <w:proofErr w:type="spellEnd"/>
      <w:r w:rsidRPr="00D3763B">
        <w:rPr>
          <w:rFonts w:asciiTheme="minorHAnsi" w:hAnsiTheme="minorHAnsi" w:cstheme="minorHAnsi"/>
          <w:color w:val="000000"/>
          <w:sz w:val="22"/>
          <w:szCs w:val="22"/>
          <w:shd w:val="clear" w:color="auto" w:fill="FFFFFF"/>
        </w:rPr>
        <w:t> Garbės teismo sprendimo turto arba verslo vertintojo drausmės byloje priėmimą, turi būti užtikrinamas tinkamas ir teisingas teisinis procesas Garbės teisme, kuris yra būtina sąlyga drausmės bylai teisingai išnagrinėti ir taip garantuoti asmens teisių bei laisvių apsaugą. Atsižvelgiant į konstitucinį teisinės valstybės principą, </w:t>
      </w:r>
      <w:proofErr w:type="spellStart"/>
      <w:r w:rsidRPr="00D3763B">
        <w:rPr>
          <w:rFonts w:asciiTheme="minorHAnsi" w:hAnsiTheme="minorHAnsi" w:cstheme="minorHAnsi"/>
          <w:i/>
          <w:iCs/>
          <w:color w:val="000000"/>
          <w:sz w:val="22"/>
          <w:szCs w:val="22"/>
          <w:shd w:val="clear" w:color="auto" w:fill="FFFFFF"/>
        </w:rPr>
        <w:t>inter</w:t>
      </w:r>
      <w:proofErr w:type="spellEnd"/>
      <w:r w:rsidRPr="00D3763B">
        <w:rPr>
          <w:rFonts w:asciiTheme="minorHAnsi" w:hAnsiTheme="minorHAnsi" w:cstheme="minorHAnsi"/>
          <w:i/>
          <w:iCs/>
          <w:color w:val="000000"/>
          <w:sz w:val="22"/>
          <w:szCs w:val="22"/>
          <w:shd w:val="clear" w:color="auto" w:fill="FFFFFF"/>
        </w:rPr>
        <w:t xml:space="preserve"> </w:t>
      </w:r>
      <w:proofErr w:type="spellStart"/>
      <w:r w:rsidRPr="00D3763B">
        <w:rPr>
          <w:rFonts w:asciiTheme="minorHAnsi" w:hAnsiTheme="minorHAnsi" w:cstheme="minorHAnsi"/>
          <w:i/>
          <w:iCs/>
          <w:color w:val="000000"/>
          <w:sz w:val="22"/>
          <w:szCs w:val="22"/>
          <w:shd w:val="clear" w:color="auto" w:fill="FFFFFF"/>
        </w:rPr>
        <w:t>alia</w:t>
      </w:r>
      <w:proofErr w:type="spellEnd"/>
      <w:r w:rsidRPr="00D3763B">
        <w:rPr>
          <w:rFonts w:asciiTheme="minorHAnsi" w:hAnsiTheme="minorHAnsi" w:cstheme="minorHAnsi"/>
          <w:color w:val="000000"/>
          <w:sz w:val="22"/>
          <w:szCs w:val="22"/>
          <w:shd w:val="clear" w:color="auto" w:fill="FFFFFF"/>
        </w:rPr>
        <w:t> į apžvelgiamame baigiamajame teismo akte paminėtus šio principo apimamus teisės viešumo, teisingumo, žmogaus teisių ir laisvių gerbimo ir apsaugos, teisinio tikrumo bei teisinio aiškumo reikalavimus, taip pat į Konvencijoje ir Europos Sąjungos teisėje nustatytas teisės į teisingą teismą (teisingą bylos nagrinėjimą) garantijas, teisė į tinkamą ir teisingą procesą Garbės teisme reiškia, kad turi būti užtikrinama, jog, be kita ko:</w:t>
      </w:r>
    </w:p>
    <w:p w:rsidR="003F567A" w:rsidRPr="00D3763B" w:rsidRDefault="003F567A" w:rsidP="003F567A">
      <w:pPr>
        <w:ind w:firstLine="567"/>
        <w:jc w:val="both"/>
        <w:rPr>
          <w:rFonts w:asciiTheme="minorHAnsi" w:hAnsiTheme="minorHAnsi" w:cstheme="minorHAnsi"/>
          <w:color w:val="000000"/>
          <w:sz w:val="22"/>
          <w:szCs w:val="22"/>
        </w:rPr>
      </w:pPr>
      <w:r w:rsidRPr="00D3763B">
        <w:rPr>
          <w:rFonts w:asciiTheme="minorHAnsi" w:hAnsiTheme="minorHAnsi" w:cstheme="minorHAnsi"/>
          <w:color w:val="000000"/>
          <w:sz w:val="22"/>
          <w:szCs w:val="22"/>
        </w:rPr>
        <w:t xml:space="preserve">– Garbės teismo sprendimas būtų priimtas ir paskelbtas, prieš tai visiems Garbės teismo posėdyje dalyvavusiems Garbės teismo nariams, objektyviai nustačius visas drausmės bylai reikšmės turinčias faktines aplinkybes, į jas deramai ir visapusiškai įsigilinus, įvertinus visus įrodymus bei proceso Garbės teisme dalyvių argumentus, nurodžius visus įstatymus ir / arba kitus teisės aktus, kuriais Garbės teismas vadovavosi ir kuriuos taikė spręsdamas atitinkamą drausmės bylą; taip pat visiems turto arba verslo vertintojo drausmės </w:t>
      </w:r>
      <w:r w:rsidRPr="00D3763B">
        <w:rPr>
          <w:rFonts w:asciiTheme="minorHAnsi" w:hAnsiTheme="minorHAnsi" w:cstheme="minorHAnsi"/>
          <w:color w:val="000000"/>
          <w:sz w:val="22"/>
          <w:szCs w:val="22"/>
        </w:rPr>
        <w:lastRenderedPageBreak/>
        <w:t>bylą nagrinėjusiems Garbės teismo nariams vienodai supratus sprendimo motyvus ir patvirtinus, jog jie sutinka su priimtu sprendimu;</w:t>
      </w:r>
    </w:p>
    <w:p w:rsidR="003F567A" w:rsidRPr="00D3763B" w:rsidRDefault="003F567A" w:rsidP="003F567A">
      <w:pPr>
        <w:ind w:firstLine="567"/>
        <w:jc w:val="both"/>
        <w:rPr>
          <w:rFonts w:asciiTheme="minorHAnsi" w:hAnsiTheme="minorHAnsi" w:cstheme="minorHAnsi"/>
          <w:color w:val="000000"/>
          <w:sz w:val="22"/>
          <w:szCs w:val="22"/>
        </w:rPr>
      </w:pPr>
      <w:r w:rsidRPr="00D3763B">
        <w:rPr>
          <w:rFonts w:asciiTheme="minorHAnsi" w:hAnsiTheme="minorHAnsi" w:cstheme="minorHAnsi"/>
          <w:color w:val="000000"/>
          <w:sz w:val="22"/>
          <w:szCs w:val="22"/>
        </w:rPr>
        <w:t>– Garbės teismo sprendimas būtų teisiškai argumentuotas (motyvuotas). Argumentavimas turi būti racionalus – Garbės teismo sprendime turi būti tiek argumentų, kad jų pakaktų šiam sprendimui pagrįsti; Garbės teismo sprendime negali būti nutylėtų argumentų, nenurodytų aplinkybių, turinčių reikšmės teisingo sprendimo priėmimui;</w:t>
      </w:r>
    </w:p>
    <w:p w:rsidR="003F567A" w:rsidRPr="00D3763B" w:rsidRDefault="003F567A" w:rsidP="003F567A">
      <w:pPr>
        <w:ind w:firstLine="567"/>
        <w:jc w:val="both"/>
        <w:rPr>
          <w:rFonts w:asciiTheme="minorHAnsi" w:hAnsiTheme="minorHAnsi" w:cstheme="minorHAnsi"/>
          <w:color w:val="000000"/>
          <w:sz w:val="22"/>
          <w:szCs w:val="22"/>
        </w:rPr>
      </w:pPr>
      <w:r w:rsidRPr="00D3763B">
        <w:rPr>
          <w:rFonts w:asciiTheme="minorHAnsi" w:hAnsiTheme="minorHAnsi" w:cstheme="minorHAnsi"/>
          <w:color w:val="000000"/>
          <w:sz w:val="22"/>
          <w:szCs w:val="22"/>
        </w:rPr>
        <w:t>– Garbės teismo sprendimas būtų nedviprasmiškas ir aiškus byloje dalyvaujantiems ir kitiems asmenims; kad jis būtų aiškus ir suprantamas jau tada, kai yra priimamas ir paskelbiamas, ir nebūtų toks, kuris verstų šalis, kitus proceso Garbės teisme dalyvius, taip pat kitus asmenis spėlioti, kodėl, dėl kokių tikrųjų motyvų buvo priimtas būtent toks, o ne kitoks Garbės teismo sprendimas;</w:t>
      </w:r>
    </w:p>
    <w:p w:rsidR="003F567A" w:rsidRPr="00D3763B" w:rsidRDefault="003F567A" w:rsidP="003F567A">
      <w:pPr>
        <w:ind w:firstLine="567"/>
        <w:jc w:val="both"/>
        <w:rPr>
          <w:rFonts w:asciiTheme="minorHAnsi" w:hAnsiTheme="minorHAnsi" w:cstheme="minorHAnsi"/>
          <w:color w:val="000000"/>
          <w:sz w:val="22"/>
          <w:szCs w:val="22"/>
        </w:rPr>
      </w:pPr>
      <w:r w:rsidRPr="00D3763B">
        <w:rPr>
          <w:rFonts w:asciiTheme="minorHAnsi" w:hAnsiTheme="minorHAnsi" w:cstheme="minorHAnsi"/>
          <w:color w:val="000000"/>
          <w:sz w:val="22"/>
          <w:szCs w:val="22"/>
        </w:rPr>
        <w:t>– priimant Garbės teismo sprendimą, būtų išvengta atsitiktinumų ir savivalės;</w:t>
      </w:r>
    </w:p>
    <w:p w:rsidR="003F567A" w:rsidRPr="00D3763B" w:rsidRDefault="003F567A" w:rsidP="003F567A">
      <w:pPr>
        <w:ind w:firstLine="567"/>
        <w:jc w:val="both"/>
        <w:rPr>
          <w:rFonts w:asciiTheme="minorHAnsi" w:hAnsiTheme="minorHAnsi" w:cstheme="minorHAnsi"/>
          <w:color w:val="000000"/>
          <w:sz w:val="22"/>
          <w:szCs w:val="22"/>
        </w:rPr>
      </w:pPr>
      <w:r w:rsidRPr="00D3763B">
        <w:rPr>
          <w:rFonts w:asciiTheme="minorHAnsi" w:hAnsiTheme="minorHAnsi" w:cstheme="minorHAnsi"/>
          <w:color w:val="000000"/>
          <w:sz w:val="22"/>
          <w:szCs w:val="22"/>
        </w:rPr>
        <w:t>– turto arba verslo vertintojo drausmės bylos nagrinėjimas Garbės teisme nebūtų formalus, o Garbės teismo sprendimas nebūtų vien formalus aktas.</w:t>
      </w:r>
    </w:p>
    <w:p w:rsidR="00BC22F0" w:rsidRPr="00D3763B" w:rsidRDefault="003F567A" w:rsidP="003F567A">
      <w:pPr>
        <w:ind w:firstLine="567"/>
        <w:jc w:val="both"/>
        <w:rPr>
          <w:rFonts w:asciiTheme="minorHAnsi" w:hAnsiTheme="minorHAnsi" w:cstheme="minorHAnsi"/>
          <w:color w:val="000000"/>
          <w:sz w:val="22"/>
          <w:szCs w:val="22"/>
          <w:shd w:val="clear" w:color="auto" w:fill="FFFFFF"/>
        </w:rPr>
      </w:pPr>
      <w:r w:rsidRPr="00D3763B">
        <w:rPr>
          <w:rFonts w:asciiTheme="minorHAnsi" w:hAnsiTheme="minorHAnsi" w:cstheme="minorHAnsi"/>
          <w:color w:val="000000"/>
          <w:sz w:val="22"/>
          <w:szCs w:val="22"/>
          <w:shd w:val="clear" w:color="auto" w:fill="FFFFFF"/>
        </w:rPr>
        <w:t>Teisinio aiškumo, tikrumo, teisės viešumo reikalavimų, taip pat reikalavimo užtikrinti žmogaus teises ir laisves kontekste tinkamas ir teisingas teisinis procesas Garbės teisme suponuoja ir reikalavimą, kad Garbės teismo sprendimas būtų vienas teisės taikymo aktas ir vienas dokumentas, o ne keletas teisės taikymo aktų ir keletas dokumentų, juo labiau ne keletas skirtingu laiku surašytų ir priimtų teisės taikymo aktų ir dokumentų. Garbės teismo sprendimas taip pat turi būti vientisas ir integralus teisės aktas, kuriame rezoliucinė dalis būtų grindžiama aprašomojoje ir motyvuojamojoje dalyje išdėstytomis aplinkybėmis, kurias atsižvelgęs į ištirtus ir įvertintus įrodymus nustatė Garbės teismas, bei teisiniais argumentais. Taigi priimant ir skelbiant Garbės teismo sprendimą, jame turi būti išdėstytos visos aplinkybės ir visi argumentai, kuriais jis grindžiamas. Garbės teismo nustatytos aplinkybės bei sprendimo motyvai (ar jų dalis) negali būti išdėstomi po Garbės teismo sprendimo priėmimo ir paskelbimo.</w:t>
      </w:r>
      <w:r w:rsidR="00AD7FF1" w:rsidRPr="00D3763B">
        <w:rPr>
          <w:rFonts w:asciiTheme="minorHAnsi" w:hAnsiTheme="minorHAnsi" w:cstheme="minorHAnsi"/>
          <w:color w:val="000000"/>
          <w:sz w:val="22"/>
          <w:szCs w:val="22"/>
          <w:shd w:val="clear" w:color="auto" w:fill="FFFFFF"/>
        </w:rPr>
        <w:t xml:space="preserve"> </w:t>
      </w:r>
      <w:r w:rsidRPr="00D3763B">
        <w:rPr>
          <w:rFonts w:asciiTheme="minorHAnsi" w:hAnsiTheme="minorHAnsi" w:cstheme="minorHAnsi"/>
          <w:color w:val="000000"/>
          <w:sz w:val="22"/>
          <w:szCs w:val="22"/>
          <w:shd w:val="clear" w:color="auto" w:fill="FFFFFF"/>
        </w:rPr>
        <w:t>Priėmęs ir paskelbęs sprendimą, Garbės teismas negali keisti ar kitaip koreguoti išdėstytų aplinkybių ir sprendimo teisinių argumentų. Priimant ir skelbiant Garbės teismo sprendimą, jis visuomet privalo būti pasirašytas visų turto arba verslo vertintojo drausmės bylą nagrinėjusių Garbės teismo narių.</w:t>
      </w:r>
    </w:p>
    <w:p w:rsidR="003F567A" w:rsidRPr="00D3763B" w:rsidRDefault="003F567A" w:rsidP="00BC22F0">
      <w:pPr>
        <w:ind w:firstLine="567"/>
        <w:jc w:val="both"/>
        <w:rPr>
          <w:rFonts w:asciiTheme="minorHAnsi" w:hAnsiTheme="minorHAnsi" w:cstheme="minorHAnsi"/>
          <w:color w:val="000000"/>
          <w:sz w:val="22"/>
          <w:szCs w:val="22"/>
          <w:shd w:val="clear" w:color="auto" w:fill="FFFFFF"/>
        </w:rPr>
      </w:pPr>
      <w:r w:rsidRPr="00D3763B">
        <w:rPr>
          <w:rFonts w:asciiTheme="minorHAnsi" w:hAnsiTheme="minorHAnsi" w:cstheme="minorHAnsi"/>
          <w:color w:val="000000"/>
          <w:sz w:val="22"/>
          <w:szCs w:val="22"/>
          <w:shd w:val="clear" w:color="auto" w:fill="FFFFFF"/>
        </w:rPr>
        <w:t>Byloje ginčytas teisinis reguliavimas, kaip nurodė išplėstinė teisėjų kolegija, reiškia, kad priimtas ir paskelbtas Garbės teismo sprendimas nėra grindžiamas tame Garbės teismo sprendime surašytais, t.</w:t>
      </w:r>
      <w:r w:rsidR="004F2902" w:rsidRPr="00D3763B">
        <w:rPr>
          <w:rFonts w:asciiTheme="minorHAnsi" w:hAnsiTheme="minorHAnsi" w:cstheme="minorHAnsi"/>
          <w:color w:val="000000"/>
          <w:sz w:val="22"/>
          <w:szCs w:val="22"/>
          <w:shd w:val="clear" w:color="auto" w:fill="FFFFFF"/>
        </w:rPr>
        <w:t> </w:t>
      </w:r>
      <w:r w:rsidRPr="00D3763B">
        <w:rPr>
          <w:rFonts w:asciiTheme="minorHAnsi" w:hAnsiTheme="minorHAnsi" w:cstheme="minorHAnsi"/>
          <w:color w:val="000000"/>
          <w:sz w:val="22"/>
          <w:szCs w:val="22"/>
          <w:shd w:val="clear" w:color="auto" w:fill="FFFFFF"/>
        </w:rPr>
        <w:t>y. </w:t>
      </w:r>
      <w:proofErr w:type="spellStart"/>
      <w:r w:rsidRPr="00D3763B">
        <w:rPr>
          <w:rFonts w:asciiTheme="minorHAnsi" w:hAnsiTheme="minorHAnsi" w:cstheme="minorHAnsi"/>
          <w:i/>
          <w:iCs/>
          <w:color w:val="000000"/>
          <w:sz w:val="22"/>
          <w:szCs w:val="22"/>
          <w:shd w:val="clear" w:color="auto" w:fill="FFFFFF"/>
        </w:rPr>
        <w:t>expressis</w:t>
      </w:r>
      <w:proofErr w:type="spellEnd"/>
      <w:r w:rsidR="00AD7FF1" w:rsidRPr="00D3763B">
        <w:rPr>
          <w:rFonts w:asciiTheme="minorHAnsi" w:hAnsiTheme="minorHAnsi" w:cstheme="minorHAnsi"/>
          <w:i/>
          <w:iCs/>
          <w:color w:val="000000"/>
          <w:sz w:val="22"/>
          <w:szCs w:val="22"/>
          <w:shd w:val="clear" w:color="auto" w:fill="FFFFFF"/>
        </w:rPr>
        <w:t xml:space="preserve"> </w:t>
      </w:r>
      <w:proofErr w:type="spellStart"/>
      <w:r w:rsidRPr="00D3763B">
        <w:rPr>
          <w:rFonts w:asciiTheme="minorHAnsi" w:hAnsiTheme="minorHAnsi" w:cstheme="minorHAnsi"/>
          <w:i/>
          <w:iCs/>
          <w:color w:val="000000"/>
          <w:sz w:val="22"/>
          <w:szCs w:val="22"/>
          <w:shd w:val="clear" w:color="auto" w:fill="FFFFFF"/>
        </w:rPr>
        <w:t>verbis</w:t>
      </w:r>
      <w:proofErr w:type="spellEnd"/>
      <w:r w:rsidRPr="00D3763B">
        <w:rPr>
          <w:rFonts w:asciiTheme="minorHAnsi" w:hAnsiTheme="minorHAnsi" w:cstheme="minorHAnsi"/>
          <w:color w:val="000000"/>
          <w:sz w:val="22"/>
          <w:szCs w:val="22"/>
          <w:shd w:val="clear" w:color="auto" w:fill="FFFFFF"/>
        </w:rPr>
        <w:t> išdėstytais, teisiniais argumentais ir nustatytomis aplinkybėmis. Pagal ginčytą teisinį reguliavimą, Garbės teismo sprendimas yra priimamas ir paskelbiamas (priimama ir paskelbiama jo aprašomoji ir rezoliucinė dalys) be turto arba verslo vertintojo drausmės bylą Garbės teismo posėdyje nagrinėjusių Garbės teismo narių patvirtinimo, t. y. jų parašo. Šitoks aprašomosios ir motyvuojamosios dalių neturintis Garbės teismo sprendimas, ypač atsižvelgiant į tai, kas pagal Nuostatų 4 priedą turi būti nurodyta Garbės teismo sprendimo aprašomojoje ir motyvuojamojoje dalyse, laikytinas Garbės teismo sprendimu be jį pagrindžiančių argumentų – jo priėmimo motyvų, kadangi tol, kol tą Garbės teismo sprendimą pagrindžiantys argumentai – jo priėmimo motyvai nėra surašyti, jie nėra ir negali būti laikomi išdėstytais kokia nors objektyvuota forma, jie nėra ir negali būti prieinami kitiems asmenims ar jų adekvačiai suvokiami ir (geriausiu atveju) egzistuoja tik tą sprendimą priėmusių Garbės teismo narių sąmonėje, taigi jie yra nevieši. Taip pat Garbės teismo sprendimo priėmimas ir pats sprendimas, kaip teisės taikymo aktas, yra išskaidomas į keletą dalių: pirma, tą pačią dieną išnagrinėjus turto arba verslo vertintojo drausmės bylą Garbės teismo posėdyje priimamas ir paskelbiamas Garbės teismo sprendimas (jo aprašomoji ir rezoliucinė dalys), kuris nėra argumentuojamas; ir antra, tik po to, praėjus kuriam laikui, surašomas ir drausmės bylą nagrinėjusių Garbės teismo narių parašais patvirtinamas jau Garbės teismo priimtas ir paskelbtas sprendimas. Toks Garbės teismo sprendimas nelaikytinas vienu ir vientisu teisės taikymo aktu.</w:t>
      </w:r>
    </w:p>
    <w:p w:rsidR="003F567A" w:rsidRPr="00D3763B" w:rsidRDefault="003F567A" w:rsidP="00BC22F0">
      <w:pPr>
        <w:ind w:firstLine="567"/>
        <w:jc w:val="both"/>
        <w:rPr>
          <w:rFonts w:asciiTheme="minorHAnsi" w:hAnsiTheme="minorHAnsi" w:cstheme="minorHAnsi"/>
          <w:color w:val="000000"/>
          <w:sz w:val="22"/>
          <w:szCs w:val="22"/>
          <w:shd w:val="clear" w:color="auto" w:fill="FFFFFF"/>
        </w:rPr>
      </w:pPr>
      <w:r w:rsidRPr="00D3763B">
        <w:rPr>
          <w:rFonts w:asciiTheme="minorHAnsi" w:hAnsiTheme="minorHAnsi" w:cstheme="minorHAnsi"/>
          <w:color w:val="000000"/>
          <w:sz w:val="22"/>
          <w:szCs w:val="22"/>
          <w:shd w:val="clear" w:color="auto" w:fill="FFFFFF"/>
        </w:rPr>
        <w:t>Ginčytas teisinis reguliavimas, be kita ko, sudaro prielaidas priimti ir paskelbti Garbės teismo sprendimą, prieš tai visiems Garbės teismo posėdyje dalyvavusiems Garbės teismo nariams objektyviai nenustačius visų turto arba verslo vertintojo drausmės bylai turinčių reikšmės aplinkybių ir (arba) į jas deramai neįsigilinus, neįvertinus visų įrodymų bei proceso dalyvių argumentų, nenurodžius visų įstatymų ir (arba) kitų teisės aktų, kuriais Garbės teismas vadovavosi ir kuriuos taikė spręsdamas atitinkamą turto arba verslo vertintojo drausmės bylą, taip pat visiems turto arba verslo vertintojo drausmės bylą nagrinėjusiems Garbės teismo nariams galbūt vienodai nesupratus sprendimo motyvų ir nepatvirtinus, jog jie sutinka su priimtu sprendimu (jo rezoliucine dalimi). </w:t>
      </w:r>
    </w:p>
    <w:p w:rsidR="003F567A" w:rsidRPr="00D3763B" w:rsidRDefault="003F567A" w:rsidP="00BC22F0">
      <w:pPr>
        <w:ind w:firstLine="567"/>
        <w:jc w:val="both"/>
        <w:rPr>
          <w:rFonts w:asciiTheme="minorHAnsi" w:hAnsiTheme="minorHAnsi" w:cstheme="minorHAnsi"/>
          <w:color w:val="000000"/>
          <w:sz w:val="22"/>
          <w:szCs w:val="22"/>
          <w:shd w:val="clear" w:color="auto" w:fill="FFFFFF"/>
        </w:rPr>
      </w:pPr>
      <w:r w:rsidRPr="00D3763B">
        <w:rPr>
          <w:rFonts w:asciiTheme="minorHAnsi" w:hAnsiTheme="minorHAnsi" w:cstheme="minorHAnsi"/>
          <w:color w:val="000000"/>
          <w:sz w:val="22"/>
          <w:szCs w:val="22"/>
          <w:shd w:val="clear" w:color="auto" w:fill="FFFFFF"/>
        </w:rPr>
        <w:t xml:space="preserve">Svarbu ir tai, kad jeigu Garbės teismo sprendimas prieš jį priimant ir paskelbiant yra surašomas ne visas, ypač jeigu jo rezoliucinė dalis yra paskelbiama dar nesurašius tą sprendimą pagrindžiančių argumentų – </w:t>
      </w:r>
      <w:r w:rsidRPr="00D3763B">
        <w:rPr>
          <w:rFonts w:asciiTheme="minorHAnsi" w:hAnsiTheme="minorHAnsi" w:cstheme="minorHAnsi"/>
          <w:color w:val="000000"/>
          <w:sz w:val="22"/>
          <w:szCs w:val="22"/>
          <w:shd w:val="clear" w:color="auto" w:fill="FFFFFF"/>
        </w:rPr>
        <w:lastRenderedPageBreak/>
        <w:t>jo priėmimo motyvų, taip pat jeigu Garbės teismo sprendimas jį priimant ir paskelbiant nėra pasirašomas Garbės teismo narių, dalyvavusių nagrinėjant drausmės bylą, tol, kol tie argumentai (motyvai) bus vėliau surašyti ir kol visas Garbės teismo sprendimas bus pasirašytas, visuomet išlieka tikimybė, kad kuris nors drausmės bylą nagrinėjęs ir sprendimą iš esmės priėmęs Garbės teismo narys dėl tam tikrų gyvenimiškų aplinkybių, kurios visada yra įmanomos ir gali pasitaikyti kiekvienam žmogui</w:t>
      </w:r>
      <w:r w:rsidR="004F2902" w:rsidRPr="00D3763B">
        <w:rPr>
          <w:rFonts w:asciiTheme="minorHAnsi" w:hAnsiTheme="minorHAnsi" w:cstheme="minorHAnsi"/>
          <w:color w:val="000000"/>
          <w:sz w:val="22"/>
          <w:szCs w:val="22"/>
          <w:shd w:val="clear" w:color="auto" w:fill="FFFFFF"/>
        </w:rPr>
        <w:t xml:space="preserve">, </w:t>
      </w:r>
      <w:r w:rsidRPr="00D3763B">
        <w:rPr>
          <w:rFonts w:asciiTheme="minorHAnsi" w:hAnsiTheme="minorHAnsi" w:cstheme="minorHAnsi"/>
          <w:color w:val="000000"/>
          <w:sz w:val="22"/>
          <w:szCs w:val="22"/>
          <w:shd w:val="clear" w:color="auto" w:fill="FFFFFF"/>
        </w:rPr>
        <w:t>negalės toliau dalyvauti surašant argumentus, pagrindžiančius jau priimtą ir paskelbtą Garbės teismo sprendimą ir negalės pasirašyti jau priimto ir paskelbto Garbės teismo sprendimo. Vadinasi, tokiais atvejais Garbės teismo sprendimas apskritai negalės būti surašytas, jis, nors ir paskelbtas, liks nebaigtas, nevisavertis arba minėtus argumentus surašys (ir pasirašys) ne visi, o tik kai kurie Garbės teismo nariai, dalyvavę nagrinėjant turto arba verslo vertintojo drausmės bylą. Tai reiškia, kad tokiais atvejais turto arba verslo vertintojo drausmės byla Garbės teisme bus išnagrinėta tik formaliai.</w:t>
      </w:r>
    </w:p>
    <w:p w:rsidR="004F2902" w:rsidRPr="00D3763B" w:rsidRDefault="004F2902" w:rsidP="00BC22F0">
      <w:pPr>
        <w:ind w:firstLine="567"/>
        <w:jc w:val="both"/>
        <w:rPr>
          <w:rFonts w:asciiTheme="minorHAnsi" w:hAnsiTheme="minorHAnsi" w:cstheme="minorHAnsi"/>
          <w:color w:val="000000"/>
          <w:sz w:val="22"/>
          <w:szCs w:val="22"/>
          <w:shd w:val="clear" w:color="auto" w:fill="FFFFFF"/>
        </w:rPr>
      </w:pPr>
      <w:r w:rsidRPr="00D3763B">
        <w:rPr>
          <w:rFonts w:asciiTheme="minorHAnsi" w:hAnsiTheme="minorHAnsi" w:cstheme="minorHAnsi"/>
          <w:color w:val="000000"/>
          <w:sz w:val="22"/>
          <w:szCs w:val="22"/>
          <w:shd w:val="clear" w:color="auto" w:fill="FFFFFF"/>
        </w:rPr>
        <w:t>Pagal ginčytą teisinį reguliavimą, Garbės teismo sprendimas (jo aprašomoji ir rezoliucinė dalys) tampa žinomas Garbės teismo posėdyje dalyvaujantiems asmenims, jokia objektyvuota forma neišdėsčius priimto ir paskelbto Garbės teismo sprendimo aprašomosios ir motyvuojamosios dalių, kurias leidžiama surašyti vėliau. Vadinasi, priėmus ir paskelbus Garbės teismo sprendimą (jo aprašomąją ir rezoliucinę dalis), to Garbės teismo nustatytos aplinkybės ir sprendimo motyvai tampa žinomi Garbės teismo posėdyje dalyvavusiems ir kitiems asmenims vėliausiai po 10 darbo dienų ar net vėliau. Tokio Garbės teismo sprendimo priėmimas ir paskelbimas posėdyje dalyvaujantiems asmenims bei paviešinimas kitiems asmenims sudaro prielaidas laikyti jį dviprasmišku ir neaiškiu, verčiantis proceso Garbės teisme dalyvius bei kitus asmenis kurį laiką spėlioti, kodėl, dėl kokių tikrųjų motyvų buvo priimtas būtent toks, o ne kitoks Garbės teismo sprendimas, taip pat abejoti, ar jau priimtas ir paskelbtas Garbės teismo sprendimas iš tiesų pagrįstas tais motyvais, kurie surašyti vėliau po Garbės teismo sprendimo priėmimo ir paskelbimo, ar Garbės teismo nariai, pasirašydami visą sprendimą, tikrai turėjo galvoje tuos motyvus, dėl kurių priėmė (balsavo dėl rezoliucinės dalies) jau paskelbtą Garbės teismo sprendimą.</w:t>
      </w:r>
    </w:p>
    <w:p w:rsidR="004F2902" w:rsidRPr="00D3763B" w:rsidRDefault="004F2902" w:rsidP="00BC22F0">
      <w:pPr>
        <w:ind w:firstLine="567"/>
        <w:jc w:val="both"/>
        <w:rPr>
          <w:rFonts w:asciiTheme="minorHAnsi" w:hAnsiTheme="minorHAnsi" w:cstheme="minorHAnsi"/>
          <w:color w:val="000000"/>
          <w:sz w:val="22"/>
          <w:szCs w:val="22"/>
          <w:shd w:val="clear" w:color="auto" w:fill="FFFFFF"/>
        </w:rPr>
      </w:pPr>
      <w:r w:rsidRPr="00D3763B">
        <w:rPr>
          <w:rFonts w:asciiTheme="minorHAnsi" w:hAnsiTheme="minorHAnsi" w:cstheme="minorHAnsi"/>
          <w:color w:val="000000"/>
          <w:sz w:val="22"/>
          <w:szCs w:val="22"/>
          <w:shd w:val="clear" w:color="auto" w:fill="FFFFFF"/>
        </w:rPr>
        <w:t>Apibendrinus daryta išvada, kad ginčytu teisiniu reguliavimu nėra užtikrinamas tinkamas ir teisingas procesas Garbės teisme nagrinėjant turto arba verslo vertintojo drausmės bylą, t. y. nėra užtikrinama, jog teisinis procesas Garbės teisme </w:t>
      </w:r>
      <w:proofErr w:type="spellStart"/>
      <w:r w:rsidRPr="00D3763B">
        <w:rPr>
          <w:rFonts w:asciiTheme="minorHAnsi" w:hAnsiTheme="minorHAnsi" w:cstheme="minorHAnsi"/>
          <w:i/>
          <w:iCs/>
          <w:color w:val="000000"/>
          <w:sz w:val="22"/>
          <w:szCs w:val="22"/>
          <w:shd w:val="clear" w:color="auto" w:fill="FFFFFF"/>
        </w:rPr>
        <w:t>inter</w:t>
      </w:r>
      <w:proofErr w:type="spellEnd"/>
      <w:r w:rsidR="00AD7FF1" w:rsidRPr="00D3763B">
        <w:rPr>
          <w:rFonts w:asciiTheme="minorHAnsi" w:hAnsiTheme="minorHAnsi" w:cstheme="minorHAnsi"/>
          <w:i/>
          <w:iCs/>
          <w:color w:val="000000"/>
          <w:sz w:val="22"/>
          <w:szCs w:val="22"/>
          <w:shd w:val="clear" w:color="auto" w:fill="FFFFFF"/>
        </w:rPr>
        <w:t xml:space="preserve"> </w:t>
      </w:r>
      <w:proofErr w:type="spellStart"/>
      <w:r w:rsidRPr="00D3763B">
        <w:rPr>
          <w:rFonts w:asciiTheme="minorHAnsi" w:hAnsiTheme="minorHAnsi" w:cstheme="minorHAnsi"/>
          <w:i/>
          <w:iCs/>
          <w:color w:val="000000"/>
          <w:sz w:val="22"/>
          <w:szCs w:val="22"/>
          <w:shd w:val="clear" w:color="auto" w:fill="FFFFFF"/>
        </w:rPr>
        <w:t>alia</w:t>
      </w:r>
      <w:proofErr w:type="spellEnd"/>
      <w:r w:rsidR="00AD7FF1" w:rsidRPr="00D3763B">
        <w:rPr>
          <w:rFonts w:asciiTheme="minorHAnsi" w:hAnsiTheme="minorHAnsi" w:cstheme="minorHAnsi"/>
          <w:i/>
          <w:iCs/>
          <w:color w:val="000000"/>
          <w:sz w:val="22"/>
          <w:szCs w:val="22"/>
          <w:shd w:val="clear" w:color="auto" w:fill="FFFFFF"/>
        </w:rPr>
        <w:t xml:space="preserve"> </w:t>
      </w:r>
      <w:r w:rsidRPr="00D3763B">
        <w:rPr>
          <w:rFonts w:asciiTheme="minorHAnsi" w:hAnsiTheme="minorHAnsi" w:cstheme="minorHAnsi"/>
          <w:color w:val="000000"/>
          <w:sz w:val="22"/>
          <w:szCs w:val="22"/>
          <w:shd w:val="clear" w:color="auto" w:fill="FFFFFF"/>
        </w:rPr>
        <w:t>Garbės teismo sprendimo priėmimas atitiktų prieš tai minėtus (baigiamojo teismo akto 39 ir 40 punktuose išvardytus) reikalavimus.</w:t>
      </w:r>
    </w:p>
    <w:p w:rsidR="004F2902" w:rsidRPr="00D3763B" w:rsidRDefault="004F2902" w:rsidP="00BC22F0">
      <w:pPr>
        <w:ind w:firstLine="567"/>
        <w:jc w:val="both"/>
        <w:rPr>
          <w:rFonts w:asciiTheme="minorHAnsi" w:hAnsiTheme="minorHAnsi" w:cstheme="minorHAnsi"/>
          <w:color w:val="000000"/>
          <w:sz w:val="22"/>
          <w:szCs w:val="22"/>
          <w:shd w:val="clear" w:color="auto" w:fill="FFFFFF"/>
        </w:rPr>
      </w:pPr>
      <w:r w:rsidRPr="00D3763B">
        <w:rPr>
          <w:rFonts w:asciiTheme="minorHAnsi" w:hAnsiTheme="minorHAnsi" w:cstheme="minorHAnsi"/>
          <w:color w:val="000000"/>
          <w:sz w:val="22"/>
          <w:szCs w:val="22"/>
          <w:shd w:val="clear" w:color="auto" w:fill="FFFFFF"/>
        </w:rPr>
        <w:t>Konstatuota, kad Nuostatų 40, 41 punktai bei 42 punkto nuostata ,,Garbės teismo sprendimas surašomas &lt;...&gt; ne vėliau kaip per 10 darbo dienų nuo Garbės teismo sprendimo priėmimo dienos“ ta apimtimi, kuria nustatyta, kad Garbės teismo sprendimas yra priimamas ir paskelbiamas Garbės teismo posėdyje dalyvaujantiems asmenims nesurašius jo aprašomosios ir motyvuojamosios dalių, taip pat Garbės teismo nariams, dalyvavusiems priimant sprendimą, nepasirašius viso sprendimo, o aprašomoji ir motyvuojamoji Garbės teismo sprendimo dalys surašomos ir visas sprendimas pasirašomas vėliau – ne vėliau kaip per 10 darbo dienų po Garbės teismo sprendimo priėmimo ir paskelbimo Garbės teismo posėdyje dalyvaujantiems asmenims, prieštarauja konstituciniam teisinės valstybės principui.</w:t>
      </w:r>
    </w:p>
    <w:p w:rsidR="004F2902" w:rsidRPr="00D3763B" w:rsidRDefault="004F2902" w:rsidP="004F2902">
      <w:pPr>
        <w:jc w:val="both"/>
        <w:rPr>
          <w:rFonts w:asciiTheme="minorHAnsi" w:hAnsiTheme="minorHAnsi" w:cstheme="minorHAnsi"/>
          <w:color w:val="000000"/>
          <w:sz w:val="22"/>
          <w:szCs w:val="22"/>
          <w:shd w:val="clear" w:color="auto" w:fill="FFFFFF"/>
        </w:rPr>
      </w:pPr>
    </w:p>
    <w:p w:rsidR="004F2902" w:rsidRPr="00D3763B" w:rsidRDefault="005E05ED" w:rsidP="004F2902">
      <w:pPr>
        <w:jc w:val="both"/>
        <w:rPr>
          <w:rFonts w:asciiTheme="minorHAnsi" w:hAnsiTheme="minorHAnsi" w:cstheme="minorHAnsi"/>
          <w:color w:val="000000"/>
          <w:sz w:val="22"/>
          <w:szCs w:val="22"/>
          <w:shd w:val="clear" w:color="auto" w:fill="FFFFFF"/>
        </w:rPr>
      </w:pPr>
      <w:r w:rsidRPr="00D3763B">
        <w:rPr>
          <w:rFonts w:asciiTheme="minorHAnsi" w:hAnsiTheme="minorHAnsi" w:cstheme="minorHAnsi"/>
          <w:color w:val="000000"/>
          <w:sz w:val="22"/>
          <w:szCs w:val="22"/>
          <w:shd w:val="clear" w:color="auto" w:fill="FFFFFF"/>
        </w:rPr>
        <w:t xml:space="preserve">Išplėstinės teisėjų kolegijos </w:t>
      </w:r>
      <w:r w:rsidR="004F2902" w:rsidRPr="00D3763B">
        <w:rPr>
          <w:rFonts w:asciiTheme="minorHAnsi" w:hAnsiTheme="minorHAnsi" w:cstheme="minorHAnsi"/>
          <w:color w:val="000000"/>
          <w:sz w:val="22"/>
          <w:szCs w:val="22"/>
          <w:shd w:val="clear" w:color="auto" w:fill="FFFFFF"/>
        </w:rPr>
        <w:t>2018 m. liepos 20 d. sprendimas administracinėje byloje Nr. eI-8-662/2018</w:t>
      </w:r>
    </w:p>
    <w:p w:rsidR="004F2902" w:rsidRPr="00D3763B" w:rsidRDefault="004F2902" w:rsidP="004F2902">
      <w:pPr>
        <w:shd w:val="clear" w:color="auto" w:fill="FFFFFF"/>
        <w:rPr>
          <w:rFonts w:asciiTheme="minorHAnsi" w:hAnsiTheme="minorHAnsi" w:cstheme="minorHAnsi"/>
          <w:color w:val="000000"/>
          <w:sz w:val="22"/>
          <w:szCs w:val="22"/>
        </w:rPr>
      </w:pPr>
      <w:r w:rsidRPr="00D3763B">
        <w:rPr>
          <w:rFonts w:asciiTheme="minorHAnsi" w:hAnsiTheme="minorHAnsi" w:cstheme="minorHAnsi"/>
          <w:color w:val="000000"/>
          <w:sz w:val="22"/>
          <w:szCs w:val="22"/>
        </w:rPr>
        <w:t>Teisminio proceso Nr. 3-66-3-00005-2018-4</w:t>
      </w:r>
    </w:p>
    <w:p w:rsidR="004F2902" w:rsidRPr="00D3763B" w:rsidRDefault="004F2902" w:rsidP="004F2902">
      <w:pPr>
        <w:shd w:val="clear" w:color="auto" w:fill="FFFFFF"/>
        <w:rPr>
          <w:rFonts w:asciiTheme="minorHAnsi" w:hAnsiTheme="minorHAnsi" w:cstheme="minorHAnsi"/>
          <w:color w:val="000000"/>
          <w:sz w:val="22"/>
          <w:szCs w:val="22"/>
        </w:rPr>
      </w:pPr>
      <w:r w:rsidRPr="00D3763B">
        <w:rPr>
          <w:rFonts w:asciiTheme="minorHAnsi" w:hAnsiTheme="minorHAnsi" w:cstheme="minorHAnsi"/>
          <w:color w:val="000000"/>
          <w:sz w:val="22"/>
          <w:szCs w:val="22"/>
        </w:rPr>
        <w:t>Procesinio sprendimo kategorija 4.1</w:t>
      </w:r>
    </w:p>
    <w:p w:rsidR="00D70C5F" w:rsidRPr="00D3763B" w:rsidRDefault="000220C9" w:rsidP="005E05ED">
      <w:pPr>
        <w:jc w:val="both"/>
        <w:rPr>
          <w:rFonts w:asciiTheme="minorHAnsi" w:hAnsiTheme="minorHAnsi" w:cstheme="minorHAnsi"/>
          <w:b/>
          <w:bCs/>
          <w:sz w:val="22"/>
          <w:szCs w:val="22"/>
          <w:u w:val="single"/>
        </w:rPr>
      </w:pPr>
      <w:hyperlink r:id="rId12" w:history="1">
        <w:r w:rsidR="004F2902" w:rsidRPr="00D3763B">
          <w:rPr>
            <w:rStyle w:val="Hyperlink"/>
            <w:rFonts w:asciiTheme="minorHAnsi" w:hAnsiTheme="minorHAnsi" w:cstheme="minorHAnsi"/>
            <w:sz w:val="22"/>
            <w:szCs w:val="22"/>
            <w:shd w:val="clear" w:color="auto" w:fill="FFFFFF"/>
          </w:rPr>
          <w:t>Prieiga internete</w:t>
        </w:r>
      </w:hyperlink>
    </w:p>
    <w:p w:rsidR="00A84D45" w:rsidRPr="00D3763B" w:rsidRDefault="00A84D45" w:rsidP="00A84D45">
      <w:pPr>
        <w:ind w:firstLine="567"/>
        <w:jc w:val="both"/>
        <w:rPr>
          <w:rFonts w:asciiTheme="minorHAnsi" w:eastAsia="Arial Unicode MS" w:hAnsiTheme="minorHAnsi" w:cstheme="minorHAnsi"/>
          <w:i/>
          <w:sz w:val="22"/>
          <w:szCs w:val="22"/>
          <w:shd w:val="clear" w:color="auto" w:fill="FFFFFF"/>
        </w:rPr>
      </w:pPr>
    </w:p>
    <w:p w:rsidR="003C0A06" w:rsidRPr="00D3763B" w:rsidRDefault="003C0A06" w:rsidP="0014360F">
      <w:pPr>
        <w:pStyle w:val="Apzvalgai1"/>
        <w:rPr>
          <w:rFonts w:asciiTheme="minorHAnsi" w:hAnsiTheme="minorHAnsi" w:cstheme="minorHAnsi"/>
        </w:rPr>
      </w:pPr>
      <w:bookmarkStart w:id="22" w:name="_Toc524957034"/>
      <w:bookmarkEnd w:id="12"/>
      <w:bookmarkEnd w:id="13"/>
      <w:bookmarkEnd w:id="14"/>
      <w:r w:rsidRPr="00D3763B">
        <w:rPr>
          <w:rFonts w:asciiTheme="minorHAnsi" w:hAnsiTheme="minorHAnsi" w:cstheme="minorHAnsi"/>
        </w:rPr>
        <w:t>7. Socialinė apsauga</w:t>
      </w:r>
      <w:bookmarkEnd w:id="22"/>
    </w:p>
    <w:p w:rsidR="003C0A06" w:rsidRPr="00D3763B" w:rsidRDefault="003C0A06" w:rsidP="003C0A06">
      <w:pPr>
        <w:ind w:firstLine="567"/>
        <w:jc w:val="both"/>
        <w:rPr>
          <w:rFonts w:asciiTheme="minorHAnsi" w:hAnsiTheme="minorHAnsi" w:cstheme="minorHAnsi"/>
          <w:b/>
          <w:bCs/>
          <w:sz w:val="22"/>
          <w:szCs w:val="22"/>
          <w:u w:val="single"/>
        </w:rPr>
      </w:pPr>
      <w:r w:rsidRPr="00D3763B">
        <w:rPr>
          <w:rFonts w:asciiTheme="minorHAnsi" w:hAnsiTheme="minorHAnsi" w:cstheme="minorHAnsi"/>
          <w:b/>
          <w:bCs/>
          <w:sz w:val="22"/>
          <w:szCs w:val="22"/>
          <w:u w:val="single"/>
        </w:rPr>
        <w:t>7.5. Valstybinės pensijos</w:t>
      </w:r>
    </w:p>
    <w:p w:rsidR="003C0A06" w:rsidRPr="00D3763B" w:rsidRDefault="003C0A06" w:rsidP="00211B11">
      <w:pPr>
        <w:tabs>
          <w:tab w:val="left" w:pos="567"/>
        </w:tabs>
        <w:ind w:firstLine="1134"/>
        <w:jc w:val="both"/>
        <w:rPr>
          <w:rFonts w:asciiTheme="minorHAnsi" w:hAnsiTheme="minorHAnsi" w:cstheme="minorHAnsi"/>
          <w:b/>
          <w:bCs/>
          <w:sz w:val="22"/>
          <w:szCs w:val="22"/>
          <w:u w:val="single"/>
        </w:rPr>
      </w:pPr>
      <w:r w:rsidRPr="00D3763B">
        <w:rPr>
          <w:rFonts w:asciiTheme="minorHAnsi" w:hAnsiTheme="minorHAnsi" w:cstheme="minorHAnsi"/>
          <w:b/>
          <w:bCs/>
          <w:sz w:val="22"/>
          <w:szCs w:val="22"/>
          <w:u w:val="single"/>
        </w:rPr>
        <w:t>7.5.3. Pareigūnų ir karių valstybinės pensijos</w:t>
      </w:r>
    </w:p>
    <w:p w:rsidR="003C0A06" w:rsidRPr="00D3763B" w:rsidRDefault="003C0A06" w:rsidP="003C0A06">
      <w:pPr>
        <w:jc w:val="both"/>
        <w:rPr>
          <w:rFonts w:asciiTheme="minorHAnsi" w:eastAsia="Arial Unicode MS" w:hAnsiTheme="minorHAnsi" w:cstheme="minorHAnsi"/>
          <w:i/>
          <w:sz w:val="22"/>
          <w:szCs w:val="22"/>
          <w:shd w:val="clear" w:color="auto" w:fill="FFFFFF"/>
        </w:rPr>
      </w:pPr>
    </w:p>
    <w:p w:rsidR="003C0A06" w:rsidRPr="00D3763B" w:rsidRDefault="003C0A06" w:rsidP="00D3763B">
      <w:pPr>
        <w:pStyle w:val="Heading2"/>
      </w:pPr>
      <w:bookmarkStart w:id="23" w:name="_Toc524957035"/>
      <w:r w:rsidRPr="00D3763B">
        <w:t>Dėl eksperto atlygio neprilyginimo pareiginei algai Pareigūnų ir karių valstybinių pensijų įstatymo 7 straipsnio prasme</w:t>
      </w:r>
      <w:bookmarkEnd w:id="23"/>
    </w:p>
    <w:p w:rsidR="003C0A06" w:rsidRPr="00D3763B" w:rsidRDefault="003C0A06" w:rsidP="003C0A06">
      <w:pPr>
        <w:jc w:val="both"/>
        <w:rPr>
          <w:rFonts w:asciiTheme="minorHAnsi" w:eastAsia="Arial Unicode MS" w:hAnsiTheme="minorHAnsi" w:cstheme="minorHAnsi"/>
          <w:i/>
          <w:sz w:val="22"/>
          <w:szCs w:val="22"/>
          <w:shd w:val="clear" w:color="auto" w:fill="FFFFFF"/>
        </w:rPr>
      </w:pPr>
    </w:p>
    <w:p w:rsidR="003C0A06" w:rsidRPr="00D3763B" w:rsidRDefault="003C0A06" w:rsidP="003C0A06">
      <w:pPr>
        <w:ind w:firstLine="567"/>
        <w:jc w:val="both"/>
        <w:rPr>
          <w:rFonts w:asciiTheme="minorHAnsi" w:hAnsiTheme="minorHAnsi" w:cstheme="minorHAnsi"/>
          <w:sz w:val="22"/>
          <w:szCs w:val="22"/>
        </w:rPr>
      </w:pPr>
      <w:r w:rsidRPr="00D3763B">
        <w:rPr>
          <w:rFonts w:asciiTheme="minorHAnsi" w:hAnsiTheme="minorHAnsi" w:cstheme="minorHAnsi"/>
          <w:sz w:val="22"/>
          <w:szCs w:val="22"/>
        </w:rPr>
        <w:t>Apžvelgiamoje byloje ginčas kilo dėl Lietuvos Respublikos vidaus reikalų ministerijos sprendimo dėl pareigūnų ir karių valstybinės pensijos už tarnybą ir valstybinės socialinio draudimo bazinės pensijos dydžio priedo skyrimo pareiškėjui ir rašto, kuriuo buvo atsisakyta perskaičiuoti paskirtą pareigūnų ir karių valstybinę pensiją, teisėtumo.</w:t>
      </w:r>
    </w:p>
    <w:p w:rsidR="003C0A06" w:rsidRPr="00D3763B" w:rsidRDefault="003C0A06" w:rsidP="003C0A06">
      <w:pPr>
        <w:ind w:firstLine="567"/>
        <w:jc w:val="both"/>
        <w:rPr>
          <w:rFonts w:asciiTheme="minorHAnsi" w:hAnsiTheme="minorHAnsi" w:cstheme="minorHAnsi"/>
          <w:sz w:val="22"/>
          <w:szCs w:val="22"/>
        </w:rPr>
      </w:pPr>
      <w:r w:rsidRPr="00D3763B">
        <w:rPr>
          <w:rFonts w:asciiTheme="minorHAnsi" w:hAnsiTheme="minorHAnsi" w:cstheme="minorHAnsi"/>
          <w:sz w:val="22"/>
          <w:szCs w:val="22"/>
        </w:rPr>
        <w:lastRenderedPageBreak/>
        <w:t>Byloje iškilo klausimas dėl pareigūno valstybinės pensijos dydžio ir pareigūnui mokėtos pareiginės algos dydžio už 2011</w:t>
      </w:r>
      <w:r w:rsidR="004F197F" w:rsidRPr="00D3763B">
        <w:rPr>
          <w:rFonts w:asciiTheme="minorHAnsi" w:hAnsiTheme="minorHAnsi" w:cstheme="minorHAnsi"/>
          <w:sz w:val="22"/>
          <w:szCs w:val="22"/>
        </w:rPr>
        <w:t>–</w:t>
      </w:r>
      <w:r w:rsidRPr="00D3763B">
        <w:rPr>
          <w:rFonts w:asciiTheme="minorHAnsi" w:hAnsiTheme="minorHAnsi" w:cstheme="minorHAnsi"/>
          <w:sz w:val="22"/>
          <w:szCs w:val="22"/>
        </w:rPr>
        <w:t xml:space="preserve">2012 metus, kai pareiškėjas dalyvavo Albanijos Respublikos Dvynių projekto Nr. AL 09 IB JH „Liudininkų ir ypatingų asmenų apsaugos direktorato operatyvinių ir logistinių gebėjimų modernizavimas“ įgyvendinime. </w:t>
      </w:r>
    </w:p>
    <w:p w:rsidR="003C0A06" w:rsidRPr="00D3763B" w:rsidRDefault="003C0A06" w:rsidP="003C0A06">
      <w:pPr>
        <w:ind w:firstLine="567"/>
        <w:jc w:val="both"/>
        <w:rPr>
          <w:rFonts w:asciiTheme="minorHAnsi" w:hAnsiTheme="minorHAnsi" w:cstheme="minorHAnsi"/>
          <w:sz w:val="22"/>
          <w:szCs w:val="22"/>
        </w:rPr>
      </w:pPr>
      <w:r w:rsidRPr="00D3763B">
        <w:rPr>
          <w:rFonts w:asciiTheme="minorHAnsi" w:hAnsiTheme="minorHAnsi" w:cstheme="minorHAnsi"/>
          <w:sz w:val="22"/>
          <w:szCs w:val="22"/>
        </w:rPr>
        <w:t xml:space="preserve">Lietuvos Respublikos pareigūnų ir karių valstybinių pensijų įstatymo 7 straipsnis nustato, kad į darbo užmokestį, pagal kurį nustatomas pareigūnui mokamos pensijos dydis, įskaitoma pareiginė alga (tarnybinis atlyginimas), taip pat priedai už tarnybos Lietuvos valstybei stažą, laipsnį (tarnybinį rangą), kvalifikacinę kategoriją (kvalifikacinį rangą), kai šie priedai mokami įstatymų nustatyta tvarka. </w:t>
      </w:r>
    </w:p>
    <w:p w:rsidR="00501257" w:rsidRPr="00D3763B" w:rsidRDefault="003C0A06" w:rsidP="00501257">
      <w:pPr>
        <w:ind w:firstLine="567"/>
        <w:jc w:val="both"/>
        <w:rPr>
          <w:rFonts w:asciiTheme="minorHAnsi" w:hAnsiTheme="minorHAnsi" w:cstheme="minorHAnsi"/>
          <w:sz w:val="22"/>
          <w:szCs w:val="22"/>
        </w:rPr>
      </w:pPr>
      <w:r w:rsidRPr="00D3763B">
        <w:rPr>
          <w:rFonts w:asciiTheme="minorHAnsi" w:hAnsiTheme="minorHAnsi" w:cstheme="minorHAnsi"/>
          <w:sz w:val="22"/>
          <w:szCs w:val="22"/>
        </w:rPr>
        <w:t>Apžvelgiamoje byloje pagal Policijos departamento prie Lietuvos Respublikos vidaus reikalų ministerijos pateiktą pažymą apie pareiškėjui priskaičiuotą darbo užmokestį nustatyta, kad 2011 m. birželio, spalio ir gruodžio mėnesiais, 2012 m. sausio</w:t>
      </w:r>
      <w:r w:rsidR="004F197F" w:rsidRPr="00D3763B">
        <w:rPr>
          <w:rFonts w:asciiTheme="minorHAnsi" w:hAnsiTheme="minorHAnsi" w:cstheme="minorHAnsi"/>
          <w:sz w:val="22"/>
          <w:szCs w:val="22"/>
        </w:rPr>
        <w:t>–</w:t>
      </w:r>
      <w:r w:rsidRPr="00D3763B">
        <w:rPr>
          <w:rFonts w:asciiTheme="minorHAnsi" w:hAnsiTheme="minorHAnsi" w:cstheme="minorHAnsi"/>
          <w:sz w:val="22"/>
          <w:szCs w:val="22"/>
        </w:rPr>
        <w:t xml:space="preserve">balandžio, 2013 m. lapkričio mėnesiais pareiškėjui buvo mokamas darbo užmokestis ir iš Lietuvos valstybės biudžeto lėšų, ir iš Europos Sąjungos biudžeto lėšų. Byloje ginčas kilo tik dėl sumų, išmokėtų iš Europos Sąjungos biudžeto lėšų. Pirmosios instancijos teismas, vertindamas šias lėšas, pažymėjo, kad jos turi būti įskaitomos į darbo užmokestį, pagal kurį nustatomas pareigūnui mokamos pensijos dydis. </w:t>
      </w:r>
    </w:p>
    <w:p w:rsidR="003C0A06" w:rsidRPr="00D3763B" w:rsidRDefault="00501257" w:rsidP="003C0A06">
      <w:pPr>
        <w:ind w:firstLine="567"/>
        <w:jc w:val="both"/>
        <w:rPr>
          <w:rFonts w:asciiTheme="minorHAnsi" w:hAnsiTheme="minorHAnsi" w:cstheme="minorHAnsi"/>
          <w:sz w:val="22"/>
          <w:szCs w:val="22"/>
        </w:rPr>
      </w:pPr>
      <w:r w:rsidRPr="00D3763B">
        <w:rPr>
          <w:rFonts w:asciiTheme="minorHAnsi" w:hAnsiTheme="minorHAnsi" w:cstheme="minorHAnsi"/>
          <w:sz w:val="22"/>
          <w:szCs w:val="22"/>
        </w:rPr>
        <w:t>Lietuvos Respublikos vidaus tarnybos statuto septintajame skirsnyje yra reglamentuoti pareigūnų pareiginės algos dydžiai: minėto įstatymo 35 straipsnyje (2006 m. liepos 19 d. redakcija) reglamentuoti pareigūnų pareiginės algos priedų už turimus laipsnius koeficientai; minėto įstatymo 36 straipsnyje (2008 m. lapkričio 14 d. redakcija) reglamentuoti pareigūnų kvalifikacinės kategorijos ir priedai už jas; minėto įstatymo 38 straipsnyje reglamentuota priemokos ir apmokėjimas pareigūnams už darbą poilsio ir švenčių dienomis, nakties bei viršvalandinį darbą ir budėjimą.</w:t>
      </w:r>
      <w:bookmarkStart w:id="24" w:name="_Hlk520967649"/>
    </w:p>
    <w:bookmarkEnd w:id="24"/>
    <w:p w:rsidR="003C0A06" w:rsidRPr="00D3763B" w:rsidRDefault="003C0A06" w:rsidP="003C0A06">
      <w:pPr>
        <w:ind w:firstLine="567"/>
        <w:jc w:val="both"/>
        <w:rPr>
          <w:rFonts w:asciiTheme="minorHAnsi" w:hAnsiTheme="minorHAnsi" w:cstheme="minorHAnsi"/>
          <w:sz w:val="22"/>
          <w:szCs w:val="22"/>
        </w:rPr>
      </w:pPr>
      <w:r w:rsidRPr="00D3763B">
        <w:rPr>
          <w:rFonts w:asciiTheme="minorHAnsi" w:hAnsiTheme="minorHAnsi" w:cstheme="minorHAnsi"/>
          <w:sz w:val="22"/>
          <w:szCs w:val="22"/>
        </w:rPr>
        <w:t>Remiantis Lietuvos policijos generalinio komisaro įsakymu „Dėl Albanijos Respublikos Dvynių projekto Nr. AL 09 IB JH „Liudininkų ir ypatingų asmenų apsaugos direktorato operatyvinių ir logistinių gebėjimų modernizavimas“ įgyvendinimo“, padaryta išvada, kad projekto įgyvendinimo grupės nariams ir grupės vadovui galėjo būti mokama už viršvalandinį darbą, o taip pat pareiškėjui, kuris buvo projekto koordinatorius, turėjo būti mokamas eksperto atlygis už projekto įgyvendinimo sutartyje nustatytą laikotarpį (nustatyta tvarka atskaičius privalomus mokesčius ir juos pervedus į atitinkamus biudžetus) bei už šį laikotarpį nebuvo mokamas nustatytas darbo užmokestis.</w:t>
      </w:r>
    </w:p>
    <w:p w:rsidR="003C0A06" w:rsidRPr="00D3763B" w:rsidRDefault="003C0A06" w:rsidP="003C0A06">
      <w:pPr>
        <w:ind w:firstLine="567"/>
        <w:jc w:val="both"/>
        <w:rPr>
          <w:rFonts w:asciiTheme="minorHAnsi" w:hAnsiTheme="minorHAnsi" w:cstheme="minorHAnsi"/>
          <w:sz w:val="22"/>
          <w:szCs w:val="22"/>
        </w:rPr>
      </w:pPr>
      <w:r w:rsidRPr="00D3763B">
        <w:rPr>
          <w:rFonts w:asciiTheme="minorHAnsi" w:hAnsiTheme="minorHAnsi" w:cstheme="minorHAnsi"/>
          <w:sz w:val="22"/>
          <w:szCs w:val="22"/>
        </w:rPr>
        <w:t>Vertinant pareiškėjo dalyvavimą minėtame projekte, atkreiptas dėmesys į tai, kad įgyvendinant projektą pareiškėjas buvo komandiruojamas Lietuvos policijos kriminalinės policijos biuro viršininko įsakymais, kuriuose buvo nustatomas mokėti pareiškėjui nustatyto dydžio eksperto atlygis (nustatyta tvarka išskaičiavus privalomus mokesčius) ir komandiruotės metu nemokant jam nustatyto darbo užmokesčio. LVAT teisėjų kolegija padarė išvadą, kad pareiškėjas aktualių komandiruočių metu gaudavo eksperto atlygį už projekto įgyvendinimo sutartyje nustatytą laikotarpį (nustatyta tvarka atskaičius privalomus mokesčius ir juos pervedus į atitinkamus biudžetus), bet už tą laikotarpį nemokant nustatyto darbo užmokesčio. Taigi aptariamoje byloje aktualių komandiruočių metu pareiškėjas negavo pareiginės algos.</w:t>
      </w:r>
    </w:p>
    <w:p w:rsidR="003C0A06" w:rsidRPr="00D3763B" w:rsidRDefault="003C0A06" w:rsidP="003C0A06">
      <w:pPr>
        <w:ind w:firstLine="567"/>
        <w:jc w:val="both"/>
        <w:rPr>
          <w:rFonts w:asciiTheme="minorHAnsi" w:hAnsiTheme="minorHAnsi" w:cstheme="minorHAnsi"/>
          <w:sz w:val="22"/>
          <w:szCs w:val="22"/>
        </w:rPr>
      </w:pPr>
      <w:r w:rsidRPr="00D3763B">
        <w:rPr>
          <w:rFonts w:asciiTheme="minorHAnsi" w:hAnsiTheme="minorHAnsi" w:cstheme="minorHAnsi"/>
          <w:sz w:val="22"/>
          <w:szCs w:val="22"/>
        </w:rPr>
        <w:t>LVAT teisėjų kolegija, atsižvelgdama į t</w:t>
      </w:r>
      <w:r w:rsidR="00211B11">
        <w:rPr>
          <w:rFonts w:asciiTheme="minorHAnsi" w:hAnsiTheme="minorHAnsi" w:cstheme="minorHAnsi"/>
          <w:sz w:val="22"/>
          <w:szCs w:val="22"/>
        </w:rPr>
        <w:t xml:space="preserve">eisinį reguliavimą ir </w:t>
      </w:r>
      <w:r w:rsidRPr="00D3763B">
        <w:rPr>
          <w:rFonts w:asciiTheme="minorHAnsi" w:hAnsiTheme="minorHAnsi" w:cstheme="minorHAnsi"/>
          <w:sz w:val="22"/>
          <w:szCs w:val="22"/>
        </w:rPr>
        <w:t xml:space="preserve">nustatytas aplinkybes, laikėsi pozicijos, kad konkrečiu atveju </w:t>
      </w:r>
      <w:r w:rsidRPr="00D3763B">
        <w:rPr>
          <w:rFonts w:asciiTheme="minorHAnsi" w:hAnsiTheme="minorHAnsi" w:cstheme="minorHAnsi"/>
          <w:sz w:val="22"/>
          <w:szCs w:val="22"/>
          <w:u w:val="single"/>
        </w:rPr>
        <w:t>pareiškėjas tuo metu, kai būdavo komandiruojamas įgyvendinti Albanijos Respublikos Dvynių projektą Nr. AL 09 IB JH, gaudavo eksperto atlygį, kuris negali būti prilygintas pareiginei algai Pareigūnų ir karių valstybinių pensijų įstatymo 7 straipsnio prasme</w:t>
      </w:r>
      <w:r w:rsidRPr="00D3763B">
        <w:rPr>
          <w:rFonts w:asciiTheme="minorHAnsi" w:hAnsiTheme="minorHAnsi" w:cstheme="minorHAnsi"/>
          <w:sz w:val="22"/>
          <w:szCs w:val="22"/>
        </w:rPr>
        <w:t>. Tokia pozicija taip pat atitinka pasikeitusį Vidaus tarnybos statut</w:t>
      </w:r>
      <w:r w:rsidR="00501257" w:rsidRPr="00D3763B">
        <w:rPr>
          <w:rFonts w:asciiTheme="minorHAnsi" w:hAnsiTheme="minorHAnsi" w:cstheme="minorHAnsi"/>
          <w:sz w:val="22"/>
          <w:szCs w:val="22"/>
        </w:rPr>
        <w:t xml:space="preserve">e įtvirtintą teisinį </w:t>
      </w:r>
      <w:r w:rsidRPr="00D3763B">
        <w:rPr>
          <w:rFonts w:asciiTheme="minorHAnsi" w:hAnsiTheme="minorHAnsi" w:cstheme="minorHAnsi"/>
          <w:sz w:val="22"/>
          <w:szCs w:val="22"/>
        </w:rPr>
        <w:t>reguliavimą nagrinėjamu klausimu. Pirmosios instancijos teismas nepagrįstai tyrė pareiškėjo draudžiamąsias pajamas, nes valstybinių pareigūnų pensijų dydis nėra siejamas su valstybinio socialinio draudimo įmokomis ir draudžiamosiomis pajamomis.</w:t>
      </w:r>
    </w:p>
    <w:p w:rsidR="003C0A06" w:rsidRPr="00D3763B" w:rsidRDefault="003C0A06" w:rsidP="003C0A06">
      <w:pPr>
        <w:ind w:firstLine="567"/>
        <w:jc w:val="both"/>
        <w:rPr>
          <w:rFonts w:asciiTheme="minorHAnsi" w:hAnsiTheme="minorHAnsi" w:cstheme="minorHAnsi"/>
          <w:sz w:val="22"/>
          <w:szCs w:val="22"/>
        </w:rPr>
      </w:pPr>
      <w:r w:rsidRPr="00D3763B">
        <w:rPr>
          <w:rFonts w:asciiTheme="minorHAnsi" w:hAnsiTheme="minorHAnsi" w:cstheme="minorHAnsi"/>
          <w:sz w:val="22"/>
          <w:szCs w:val="22"/>
        </w:rPr>
        <w:t>Pirmosios instancijos teismo sprendimas panaikintas ir priimtas naujas sprendimas, pareiškėjo skundą</w:t>
      </w:r>
      <w:r w:rsidR="00A83A24" w:rsidRPr="00D3763B">
        <w:rPr>
          <w:rFonts w:asciiTheme="minorHAnsi" w:hAnsiTheme="minorHAnsi" w:cstheme="minorHAnsi"/>
          <w:sz w:val="22"/>
          <w:szCs w:val="22"/>
        </w:rPr>
        <w:t xml:space="preserve"> atmetant</w:t>
      </w:r>
      <w:r w:rsidRPr="00D3763B">
        <w:rPr>
          <w:rFonts w:asciiTheme="minorHAnsi" w:hAnsiTheme="minorHAnsi" w:cstheme="minorHAnsi"/>
          <w:sz w:val="22"/>
          <w:szCs w:val="22"/>
        </w:rPr>
        <w:t>.</w:t>
      </w:r>
    </w:p>
    <w:p w:rsidR="003C0A06" w:rsidRPr="00D3763B" w:rsidRDefault="003C0A06" w:rsidP="003C0A06">
      <w:pPr>
        <w:ind w:firstLine="567"/>
        <w:jc w:val="both"/>
        <w:rPr>
          <w:rFonts w:asciiTheme="minorHAnsi" w:hAnsiTheme="minorHAnsi" w:cstheme="minorHAnsi"/>
          <w:sz w:val="22"/>
          <w:szCs w:val="22"/>
        </w:rPr>
      </w:pPr>
    </w:p>
    <w:p w:rsidR="003C0A06" w:rsidRPr="00D3763B" w:rsidRDefault="003C0A06" w:rsidP="003C0A06">
      <w:pPr>
        <w:jc w:val="both"/>
        <w:rPr>
          <w:rFonts w:asciiTheme="minorHAnsi" w:hAnsiTheme="minorHAnsi" w:cstheme="minorHAnsi"/>
          <w:sz w:val="22"/>
          <w:szCs w:val="22"/>
        </w:rPr>
      </w:pPr>
      <w:bookmarkStart w:id="25" w:name="_Hlk520967665"/>
      <w:r w:rsidRPr="00D3763B">
        <w:rPr>
          <w:rFonts w:asciiTheme="minorHAnsi" w:hAnsiTheme="minorHAnsi" w:cstheme="minorHAnsi"/>
          <w:sz w:val="22"/>
          <w:szCs w:val="22"/>
        </w:rPr>
        <w:t>2018 m. birželio 28 d. sprendimas administracinėje byloje</w:t>
      </w:r>
      <w:r w:rsidR="00AD7FF1" w:rsidRPr="00D3763B">
        <w:rPr>
          <w:rFonts w:asciiTheme="minorHAnsi" w:hAnsiTheme="minorHAnsi" w:cstheme="minorHAnsi"/>
          <w:sz w:val="22"/>
          <w:szCs w:val="22"/>
        </w:rPr>
        <w:t xml:space="preserve"> </w:t>
      </w:r>
      <w:r w:rsidRPr="00D3763B">
        <w:rPr>
          <w:rFonts w:asciiTheme="minorHAnsi" w:hAnsiTheme="minorHAnsi" w:cstheme="minorHAnsi"/>
          <w:sz w:val="22"/>
          <w:szCs w:val="22"/>
        </w:rPr>
        <w:t>Nr. eA-318-822/2018</w:t>
      </w:r>
    </w:p>
    <w:bookmarkEnd w:id="25"/>
    <w:p w:rsidR="003C0A06" w:rsidRPr="00D3763B" w:rsidRDefault="003C0A06" w:rsidP="003C0A06">
      <w:pPr>
        <w:jc w:val="both"/>
        <w:rPr>
          <w:rFonts w:asciiTheme="minorHAnsi" w:hAnsiTheme="minorHAnsi" w:cstheme="minorHAnsi"/>
          <w:sz w:val="22"/>
          <w:szCs w:val="22"/>
        </w:rPr>
      </w:pPr>
      <w:r w:rsidRPr="00D3763B">
        <w:rPr>
          <w:rFonts w:asciiTheme="minorHAnsi" w:hAnsiTheme="minorHAnsi" w:cstheme="minorHAnsi"/>
          <w:sz w:val="22"/>
          <w:szCs w:val="22"/>
        </w:rPr>
        <w:t>Teisminio proceso Nr. 3-61-3-05274-2015-9</w:t>
      </w:r>
    </w:p>
    <w:p w:rsidR="003C0A06" w:rsidRPr="00D3763B" w:rsidRDefault="003C0A06" w:rsidP="003C0A06">
      <w:pPr>
        <w:jc w:val="both"/>
        <w:rPr>
          <w:rFonts w:asciiTheme="minorHAnsi" w:hAnsiTheme="minorHAnsi" w:cstheme="minorHAnsi"/>
          <w:bCs/>
          <w:sz w:val="22"/>
          <w:szCs w:val="22"/>
        </w:rPr>
      </w:pPr>
      <w:r w:rsidRPr="00D3763B">
        <w:rPr>
          <w:rFonts w:asciiTheme="minorHAnsi" w:hAnsiTheme="minorHAnsi" w:cstheme="minorHAnsi"/>
          <w:sz w:val="22"/>
          <w:szCs w:val="22"/>
        </w:rPr>
        <w:t xml:space="preserve">Procesinio sprendimo </w:t>
      </w:r>
      <w:r w:rsidRPr="00D3763B">
        <w:rPr>
          <w:rFonts w:asciiTheme="minorHAnsi" w:hAnsiTheme="minorHAnsi" w:cstheme="minorHAnsi"/>
          <w:bCs/>
          <w:sz w:val="22"/>
          <w:szCs w:val="22"/>
        </w:rPr>
        <w:t>kategorija 7.5.3</w:t>
      </w:r>
    </w:p>
    <w:p w:rsidR="00AD7FF1" w:rsidRPr="00D3763B" w:rsidRDefault="000220C9" w:rsidP="003C0A06">
      <w:pPr>
        <w:jc w:val="both"/>
        <w:rPr>
          <w:rFonts w:asciiTheme="minorHAnsi" w:hAnsiTheme="minorHAnsi" w:cstheme="minorHAnsi"/>
          <w:sz w:val="22"/>
          <w:szCs w:val="22"/>
        </w:rPr>
      </w:pPr>
      <w:hyperlink r:id="rId13" w:history="1">
        <w:r w:rsidR="00AD7FF1" w:rsidRPr="00D3763B">
          <w:rPr>
            <w:rStyle w:val="Hyperlink"/>
            <w:rFonts w:asciiTheme="minorHAnsi" w:hAnsiTheme="minorHAnsi" w:cstheme="minorHAnsi"/>
            <w:sz w:val="22"/>
            <w:szCs w:val="22"/>
          </w:rPr>
          <w:t>Prieiga internete</w:t>
        </w:r>
      </w:hyperlink>
    </w:p>
    <w:p w:rsidR="003C0A06" w:rsidRPr="00D3763B" w:rsidRDefault="003C0A06" w:rsidP="009C6F61">
      <w:pPr>
        <w:pStyle w:val="Apzvalgai1"/>
        <w:outlineLvl w:val="9"/>
        <w:rPr>
          <w:rFonts w:asciiTheme="minorHAnsi" w:hAnsiTheme="minorHAnsi" w:cstheme="minorHAnsi"/>
        </w:rPr>
      </w:pPr>
    </w:p>
    <w:p w:rsidR="006D63B3" w:rsidRPr="00D3763B" w:rsidRDefault="006D63B3" w:rsidP="0014360F">
      <w:pPr>
        <w:pStyle w:val="Apzvalgai1"/>
        <w:rPr>
          <w:rFonts w:asciiTheme="minorHAnsi" w:hAnsiTheme="minorHAnsi" w:cstheme="minorHAnsi"/>
        </w:rPr>
      </w:pPr>
      <w:bookmarkStart w:id="26" w:name="_Toc524957036"/>
      <w:bookmarkEnd w:id="15"/>
      <w:r w:rsidRPr="00D3763B">
        <w:rPr>
          <w:rFonts w:asciiTheme="minorHAnsi" w:hAnsiTheme="minorHAnsi" w:cstheme="minorHAnsi"/>
        </w:rPr>
        <w:t>9. Prieglobstis</w:t>
      </w:r>
      <w:bookmarkEnd w:id="26"/>
    </w:p>
    <w:p w:rsidR="006D63B3" w:rsidRPr="00D3763B" w:rsidRDefault="006D63B3" w:rsidP="006D63B3">
      <w:pPr>
        <w:ind w:firstLine="567"/>
        <w:jc w:val="both"/>
        <w:rPr>
          <w:rFonts w:asciiTheme="minorHAnsi" w:hAnsiTheme="minorHAnsi" w:cstheme="minorHAnsi"/>
          <w:i/>
          <w:sz w:val="22"/>
          <w:szCs w:val="22"/>
        </w:rPr>
      </w:pPr>
      <w:r w:rsidRPr="00D3763B">
        <w:rPr>
          <w:rFonts w:asciiTheme="minorHAnsi" w:hAnsiTheme="minorHAnsi" w:cstheme="minorHAnsi"/>
          <w:b/>
          <w:sz w:val="22"/>
          <w:szCs w:val="22"/>
          <w:u w:val="single"/>
        </w:rPr>
        <w:t>9.1. Prieglobsčio prašymo pateikimas ir jo nagrinėjimas</w:t>
      </w:r>
    </w:p>
    <w:p w:rsidR="006D63B3" w:rsidRPr="00D3763B" w:rsidRDefault="006D63B3" w:rsidP="006D63B3">
      <w:pPr>
        <w:ind w:firstLine="567"/>
        <w:jc w:val="both"/>
        <w:rPr>
          <w:rFonts w:asciiTheme="minorHAnsi" w:hAnsiTheme="minorHAnsi" w:cstheme="minorHAnsi"/>
          <w:i/>
          <w:sz w:val="22"/>
          <w:szCs w:val="22"/>
          <w:highlight w:val="yellow"/>
        </w:rPr>
      </w:pPr>
    </w:p>
    <w:p w:rsidR="006D63B3" w:rsidRPr="00D3763B" w:rsidRDefault="006D63B3" w:rsidP="00D3763B">
      <w:pPr>
        <w:pStyle w:val="Heading2"/>
        <w:rPr>
          <w:color w:val="000000"/>
        </w:rPr>
      </w:pPr>
      <w:bookmarkStart w:id="27" w:name="_Toc524957037"/>
      <w:r w:rsidRPr="00D3763B">
        <w:lastRenderedPageBreak/>
        <w:t>Dėl pareigos priimant sprendimą dėl prieglobsčio prašytojo perdavimo kitai valstybei narei įvertinti ir motyvuotai pasisakyti dėl tokio asmens situacijos, susijusios su humanitariniais sumetimais ir prieglobsčio prašytojo giminaičių sveikatos būkle, neįgalumu, prieglobsčio prašytojo galimybėmis jais rūpintis</w:t>
      </w:r>
      <w:bookmarkEnd w:id="27"/>
      <w:r w:rsidRPr="00D3763B">
        <w:t xml:space="preserve"> </w:t>
      </w:r>
    </w:p>
    <w:p w:rsidR="006D63B3" w:rsidRPr="00D3763B" w:rsidRDefault="006D63B3" w:rsidP="006D63B3">
      <w:pPr>
        <w:ind w:firstLine="567"/>
        <w:jc w:val="both"/>
        <w:rPr>
          <w:rFonts w:asciiTheme="minorHAnsi" w:hAnsiTheme="minorHAnsi" w:cstheme="minorHAnsi"/>
          <w:i/>
          <w:color w:val="000000"/>
          <w:sz w:val="22"/>
          <w:szCs w:val="22"/>
        </w:rPr>
      </w:pPr>
    </w:p>
    <w:p w:rsidR="006D63B3" w:rsidRPr="00D3763B" w:rsidRDefault="006D63B3" w:rsidP="006D63B3">
      <w:pPr>
        <w:ind w:firstLine="567"/>
        <w:jc w:val="both"/>
        <w:rPr>
          <w:rFonts w:asciiTheme="minorHAnsi" w:hAnsiTheme="minorHAnsi" w:cstheme="minorHAnsi"/>
          <w:sz w:val="22"/>
          <w:szCs w:val="22"/>
        </w:rPr>
      </w:pPr>
      <w:r w:rsidRPr="00D3763B">
        <w:rPr>
          <w:rFonts w:asciiTheme="minorHAnsi" w:hAnsiTheme="minorHAnsi" w:cstheme="minorHAnsi"/>
          <w:sz w:val="22"/>
          <w:szCs w:val="22"/>
        </w:rPr>
        <w:t xml:space="preserve"> Nagrinėtoje byloje ginčas kilo dėl atsakovo Migracijos departamento prie Lietuvos Respublikos vidaus reikalų ministerijos (toliau – atsakovas) sprendimo „Dėl prieglobsčio prašytojų perdavimo Vokietijos Federacinei Respublikai“ teisėtumo ir pagrįstumo bei atsakovo pareigos nagrinėti pareiškėjų prašymus suteikti prieglobstį Lietuvos Respublikoje iš esmės.</w:t>
      </w:r>
    </w:p>
    <w:p w:rsidR="006D63B3" w:rsidRPr="00D3763B" w:rsidRDefault="006D63B3" w:rsidP="006D63B3">
      <w:pPr>
        <w:ind w:firstLine="567"/>
        <w:jc w:val="both"/>
        <w:rPr>
          <w:rFonts w:asciiTheme="minorHAnsi" w:hAnsiTheme="minorHAnsi" w:cstheme="minorHAnsi"/>
          <w:sz w:val="22"/>
          <w:szCs w:val="22"/>
        </w:rPr>
      </w:pPr>
      <w:r w:rsidRPr="00D3763B">
        <w:rPr>
          <w:rFonts w:asciiTheme="minorHAnsi" w:hAnsiTheme="minorHAnsi" w:cstheme="minorHAnsi"/>
          <w:sz w:val="22"/>
          <w:szCs w:val="22"/>
        </w:rPr>
        <w:t>Pareiškėjai prieglobsčio prašė</w:t>
      </w:r>
      <w:r w:rsidR="00AD7FF1" w:rsidRPr="00D3763B">
        <w:rPr>
          <w:rFonts w:asciiTheme="minorHAnsi" w:hAnsiTheme="minorHAnsi" w:cstheme="minorHAnsi"/>
          <w:sz w:val="22"/>
          <w:szCs w:val="22"/>
        </w:rPr>
        <w:t xml:space="preserve"> </w:t>
      </w:r>
      <w:r w:rsidRPr="00D3763B">
        <w:rPr>
          <w:rFonts w:asciiTheme="minorHAnsi" w:hAnsiTheme="minorHAnsi" w:cstheme="minorHAnsi"/>
          <w:sz w:val="22"/>
          <w:szCs w:val="22"/>
        </w:rPr>
        <w:t>Vokietijos Federacinėje Respublikoje, tačiau atmetus prašymus, jie atvyko į Lietuvos Respubliką ir tuomet prieglobsčio prašymus pateikė atsakovui. Savo prašymus grindė dviem argumentais – kad jie buvo persekiojami savo kilmės šalyje dėl tautybės ir kad Lietuvos Respublikoje gyvena jų artimi giminaičiai. Atsakovas savo sprendimu nusprendė nenagrinėti pareiškėjų prašymų suteikti prieglobstį Lietuvos Respublikoje iš esmės, nes už jų prašymų dėl prieglobsčio suteikimo nagrinėjimą iš esmės gali būti atsakinga kita ES valstybė narė. Po to ginčo sprendimu nusprendė prieglobsčio prašytojus perduoti Vokietijos Federacinei Respublikai, nes ši šalis prisiėmė atsakomybę už pareiškėjų prašymo suteikti prieglobstį nagrinėjimą ir sutiko atsiimti minėtus užsieniečius remdamasi Europos Parlamento ir Tarybos 2013 m. birželio 26 d. reglamento (ES) Nr. 604/2013, kuriuo išdėstomi valstybės narės, atsakingos už trečiosios šalies piliečio arba asmens be pilietybės vienoje iš valstybių narių pateikto tarptautinės apsaugos prašymo nagrinėjimą, nustatymo kriterijai ir mechanizmai, pakeitusio Reglamentą Nr. 343/2003, jį išdėsčius nauja redakcija (toliau – Reglamentas Nr. 604/2013) 18 straipsnio 1 dalies c punktu. Pareiškėjai iš esmės neginčijo, jog už jų prašymo suteikti prieglobstį nagrinėjimą yra atsakinga Vokietijos Federacinė Respublika, tačiau prašė taikyti Reglamento (ES) Nr. 604/2013 16 straipsnį ir 17 straipsnio 1 dalyje numatytą diskrecinę išlygą. Pirmosios instancijos teismas, išnagrinėjęs kilusį ginčą, pareiškėjų skundą atmetė kaip nepagrįstą.</w:t>
      </w:r>
    </w:p>
    <w:p w:rsidR="006D63B3" w:rsidRPr="00D3763B" w:rsidRDefault="006D63B3" w:rsidP="006D63B3">
      <w:pPr>
        <w:ind w:firstLine="567"/>
        <w:jc w:val="both"/>
        <w:rPr>
          <w:rFonts w:asciiTheme="minorHAnsi" w:hAnsiTheme="minorHAnsi" w:cstheme="minorHAnsi"/>
          <w:sz w:val="22"/>
          <w:szCs w:val="22"/>
        </w:rPr>
      </w:pPr>
      <w:r w:rsidRPr="00D3763B">
        <w:rPr>
          <w:rFonts w:asciiTheme="minorHAnsi" w:hAnsiTheme="minorHAnsi" w:cstheme="minorHAnsi"/>
          <w:sz w:val="22"/>
          <w:szCs w:val="22"/>
        </w:rPr>
        <w:t>LVAT</w:t>
      </w:r>
      <w:r w:rsidR="00BC042A" w:rsidRPr="00D3763B">
        <w:rPr>
          <w:rFonts w:asciiTheme="minorHAnsi" w:hAnsiTheme="minorHAnsi" w:cstheme="minorHAnsi"/>
          <w:sz w:val="22"/>
          <w:szCs w:val="22"/>
        </w:rPr>
        <w:t>,</w:t>
      </w:r>
      <w:r w:rsidRPr="00D3763B">
        <w:rPr>
          <w:rFonts w:asciiTheme="minorHAnsi" w:hAnsiTheme="minorHAnsi" w:cstheme="minorHAnsi"/>
          <w:sz w:val="22"/>
          <w:szCs w:val="22"/>
        </w:rPr>
        <w:t xml:space="preserve"> įvertinęs byloje aktualų teisinį reguliavimą</w:t>
      </w:r>
      <w:r w:rsidR="00FE495D" w:rsidRPr="00D3763B">
        <w:rPr>
          <w:rFonts w:asciiTheme="minorHAnsi" w:hAnsiTheme="minorHAnsi" w:cstheme="minorHAnsi"/>
          <w:sz w:val="22"/>
          <w:szCs w:val="22"/>
        </w:rPr>
        <w:t>,</w:t>
      </w:r>
      <w:r w:rsidRPr="00D3763B">
        <w:rPr>
          <w:rFonts w:asciiTheme="minorHAnsi" w:hAnsiTheme="minorHAnsi" w:cstheme="minorHAnsi"/>
          <w:sz w:val="22"/>
          <w:szCs w:val="22"/>
        </w:rPr>
        <w:t xml:space="preserve"> nurodė, kad Reglamento Nr. 604/2013 III skyriuje yra įtvirtinti kriterijai, kurių pagrindu nustatoma už prieglobsčio prašymo nagrinėjimą atsakinga Europos Sąjungos valstybė narė, taip pat nustatoma šių kriterijų tarpusavio hierarchija. Be kita ko, Reglamento (ES) Nr. 604/2013 17 straipsnio 1 dalyje yra įtvirtinta diskrecinė išlyga, numatanti, kad kiekviena valstybė narė</w:t>
      </w:r>
      <w:r w:rsidR="00FE495D" w:rsidRPr="00D3763B">
        <w:rPr>
          <w:rFonts w:asciiTheme="minorHAnsi" w:hAnsiTheme="minorHAnsi" w:cstheme="minorHAnsi"/>
          <w:sz w:val="22"/>
          <w:szCs w:val="22"/>
        </w:rPr>
        <w:t>,</w:t>
      </w:r>
      <w:r w:rsidRPr="00D3763B">
        <w:rPr>
          <w:rFonts w:asciiTheme="minorHAnsi" w:hAnsiTheme="minorHAnsi" w:cstheme="minorHAnsi"/>
          <w:sz w:val="22"/>
          <w:szCs w:val="22"/>
        </w:rPr>
        <w:t xml:space="preserve"> nukrypdama nuo 3 straipsnio 1 dalies</w:t>
      </w:r>
      <w:r w:rsidR="00FE495D" w:rsidRPr="00D3763B">
        <w:rPr>
          <w:rFonts w:asciiTheme="minorHAnsi" w:hAnsiTheme="minorHAnsi" w:cstheme="minorHAnsi"/>
          <w:sz w:val="22"/>
          <w:szCs w:val="22"/>
        </w:rPr>
        <w:t>,</w:t>
      </w:r>
      <w:r w:rsidRPr="00D3763B">
        <w:rPr>
          <w:rFonts w:asciiTheme="minorHAnsi" w:hAnsiTheme="minorHAnsi" w:cstheme="minorHAnsi"/>
          <w:sz w:val="22"/>
          <w:szCs w:val="22"/>
        </w:rPr>
        <w:t xml:space="preserve"> gali nuspręsti nagrinėti trečiosios šalies piliečio arba asmens be pilietybės jai pateiktą tarptautinės apsaugos prašymą net tada, kai ji pagal šiame reglamente nustatytus kriterijus neatsako už tokį nagrinėjimą. Iš esmės tokią galimybę numato ir nacionalinės teisės nuostatos. </w:t>
      </w:r>
    </w:p>
    <w:p w:rsidR="006D63B3" w:rsidRPr="00D3763B" w:rsidRDefault="006D63B3" w:rsidP="006D63B3">
      <w:pPr>
        <w:ind w:firstLine="567"/>
        <w:jc w:val="both"/>
        <w:rPr>
          <w:rFonts w:asciiTheme="minorHAnsi" w:hAnsiTheme="minorHAnsi" w:cstheme="minorHAnsi"/>
          <w:sz w:val="22"/>
          <w:szCs w:val="22"/>
        </w:rPr>
      </w:pPr>
      <w:r w:rsidRPr="00D3763B">
        <w:rPr>
          <w:rFonts w:asciiTheme="minorHAnsi" w:hAnsiTheme="minorHAnsi" w:cstheme="minorHAnsi"/>
          <w:sz w:val="22"/>
          <w:szCs w:val="22"/>
        </w:rPr>
        <w:t>Kiek tai susiję su Reglamento (ES) Nr. 604/2013 17 straipsnio 1 dalies aiškinimu ir taikymu, teisėjų kolegija pabrėžė, jog šioje normoje nustatoma Europos Sąjungos valstybės narės diskrecija priimti sprendimą nagrinėti asmens pateiktą prieglobsčio prašymą, taip nukrypstant nuo 3 straipsnio 1 dalies net tada, kai ji pagal šiame reglamente nustatytus kriterijus neatsako už tokį nagrinėjimą. Teisės aktuose nėra nustatyta detalesnių taisyklių ar kriterijų tokio pobūdžio sprendimui priimti. Tačiau remiantis Reglamento (ES) Nr. 604/2013 nuostatomis, LVAT nuomone, galima daryti išvadą, kad Europos Sąjungos valstybės narės turi teisę, bet ne pareigą nuspręsti nagrinėti prieglobsčio prašymą tuo atveju, jei Reglamente (ES) Nr. 604/2013 įtvirtintų kriterijų pagrindu nustatoma, kad už prieglobsčio prašymo nagrinėjimą yra atsakinga kita ES valstyb</w:t>
      </w:r>
      <w:r w:rsidR="00FE495D" w:rsidRPr="00D3763B">
        <w:rPr>
          <w:rFonts w:asciiTheme="minorHAnsi" w:hAnsiTheme="minorHAnsi" w:cstheme="minorHAnsi"/>
          <w:sz w:val="22"/>
          <w:szCs w:val="22"/>
        </w:rPr>
        <w:t xml:space="preserve">ė narė. Analogiškos pozicijos LVAT </w:t>
      </w:r>
      <w:r w:rsidRPr="00D3763B">
        <w:rPr>
          <w:rFonts w:asciiTheme="minorHAnsi" w:hAnsiTheme="minorHAnsi" w:cstheme="minorHAnsi"/>
          <w:sz w:val="22"/>
          <w:szCs w:val="22"/>
        </w:rPr>
        <w:t>laikėsi</w:t>
      </w:r>
      <w:r w:rsidR="00FE495D" w:rsidRPr="00D3763B">
        <w:rPr>
          <w:rFonts w:asciiTheme="minorHAnsi" w:hAnsiTheme="minorHAnsi" w:cstheme="minorHAnsi"/>
          <w:sz w:val="22"/>
          <w:szCs w:val="22"/>
        </w:rPr>
        <w:t>,</w:t>
      </w:r>
      <w:r w:rsidRPr="00D3763B">
        <w:rPr>
          <w:rFonts w:asciiTheme="minorHAnsi" w:hAnsiTheme="minorHAnsi" w:cstheme="minorHAnsi"/>
          <w:sz w:val="22"/>
          <w:szCs w:val="22"/>
        </w:rPr>
        <w:t xml:space="preserve"> aiškindamas Reglamento Nr. 343/2003 3 straipsnio 2 dalies nuostatą, kuri šį reglamentą išdėsčius nauja redakcija – priėmus šioje byloje taikytiną Reglamentą (ES) Nr. 604/2013, atitinka galiojančio reglamento 17 straipsnio 1 dalį</w:t>
      </w:r>
      <w:r w:rsidR="00211B11">
        <w:rPr>
          <w:rFonts w:asciiTheme="minorHAnsi" w:hAnsiTheme="minorHAnsi" w:cstheme="minorHAnsi"/>
          <w:sz w:val="22"/>
          <w:szCs w:val="22"/>
        </w:rPr>
        <w:t xml:space="preserve"> </w:t>
      </w:r>
      <w:r w:rsidRPr="00D3763B">
        <w:rPr>
          <w:rFonts w:asciiTheme="minorHAnsi" w:hAnsiTheme="minorHAnsi" w:cstheme="minorHAnsi"/>
          <w:sz w:val="22"/>
          <w:szCs w:val="22"/>
        </w:rPr>
        <w:t xml:space="preserve">(Reglamento (ES) Nr. 604/2013 48 str., II priedas). </w:t>
      </w:r>
    </w:p>
    <w:p w:rsidR="006D63B3" w:rsidRPr="00D3763B" w:rsidRDefault="006D63B3" w:rsidP="006D63B3">
      <w:pPr>
        <w:ind w:firstLine="567"/>
        <w:jc w:val="both"/>
        <w:rPr>
          <w:rFonts w:asciiTheme="minorHAnsi" w:hAnsiTheme="minorHAnsi" w:cstheme="minorHAnsi"/>
          <w:sz w:val="22"/>
          <w:szCs w:val="22"/>
        </w:rPr>
      </w:pPr>
      <w:r w:rsidRPr="00D3763B">
        <w:rPr>
          <w:rFonts w:asciiTheme="minorHAnsi" w:hAnsiTheme="minorHAnsi" w:cstheme="minorHAnsi"/>
          <w:sz w:val="22"/>
          <w:szCs w:val="22"/>
        </w:rPr>
        <w:t>Teisėjų kolegijos nuomone, šios bylos kontekste svarbi ir Reglamento (E</w:t>
      </w:r>
      <w:r w:rsidR="00211B11">
        <w:rPr>
          <w:rFonts w:asciiTheme="minorHAnsi" w:hAnsiTheme="minorHAnsi" w:cstheme="minorHAnsi"/>
          <w:sz w:val="22"/>
          <w:szCs w:val="22"/>
        </w:rPr>
        <w:t>S) Nr. 604/2013 16 straipsnio 1 </w:t>
      </w:r>
      <w:r w:rsidRPr="00D3763B">
        <w:rPr>
          <w:rFonts w:asciiTheme="minorHAnsi" w:hAnsiTheme="minorHAnsi" w:cstheme="minorHAnsi"/>
          <w:sz w:val="22"/>
          <w:szCs w:val="22"/>
        </w:rPr>
        <w:t xml:space="preserve">dalis, numatanti, kad kai dėl nėštumo, naujagimio, sunkios ligos, didelės negalios ar senyvo amžiaus prašytojas yra priklausomas nuo savo vaiko, brolio ir (arba) sesers arba tėvo ir (arba) motinos, teisėtai gyvenančių vienoje iš valstybių narių, pagalbos, arba kai prašytojo vaikas, brolis ir (arba) sesuo arba tėvas ir (arba) motina, teisėtai gyvenantys vienoje iš valstybių narių, yra priklausomi nuo prašytojo pagalbos, valstybės narės paprastai laiko kartu arba sujungia prašytoją su tuo vaiku, broliu ir (arba) seserimi ar tėvu ir (arba) motina, jeigu šeimos ryšiai egzistavo kilmės šalyje, jeigu vaikas, brolis ir (arba) sesuo arba tėvas ir (arba) motina arba prašytojas sugeba pasirūpinti priklausomu asmeniu ir jeigu atitinkami asmenys savo pageidavimą išreiškė raštu. Šiame kontekste LVAT atkreipė dėmesį, kad pareiškėjai yra nurodę, jog Lietuvos Respublikoje gyvena pareiškėjo A. A. motina ir brolis, kurių sveikatos būklė yra bloga, jiems pripažintas nedarbingumas arba neįgalumas, o pareiškėjas su šeima galėtų jais rūpintis ir jiems padėti. Tai patvirtino byloje surinkti rašytiniai dokumentai. Šių faktinių aplinkybių atsakovas nevertino ir dėl jų motyvuotai </w:t>
      </w:r>
      <w:r w:rsidRPr="00D3763B">
        <w:rPr>
          <w:rFonts w:asciiTheme="minorHAnsi" w:hAnsiTheme="minorHAnsi" w:cstheme="minorHAnsi"/>
          <w:sz w:val="22"/>
          <w:szCs w:val="22"/>
        </w:rPr>
        <w:lastRenderedPageBreak/>
        <w:t>nepasisakė, argumentuotos pozicijos šiuo aspektu atsakovas nepateikė ir atsiliepimuose į pareiškėjų procesinius dokumentus.</w:t>
      </w:r>
    </w:p>
    <w:p w:rsidR="006D63B3" w:rsidRPr="00D3763B" w:rsidRDefault="006D63B3" w:rsidP="006D63B3">
      <w:pPr>
        <w:ind w:firstLine="567"/>
        <w:jc w:val="both"/>
        <w:rPr>
          <w:rFonts w:asciiTheme="minorHAnsi" w:hAnsiTheme="minorHAnsi" w:cstheme="minorHAnsi"/>
          <w:sz w:val="22"/>
          <w:szCs w:val="22"/>
        </w:rPr>
      </w:pPr>
      <w:r w:rsidRPr="00D3763B">
        <w:rPr>
          <w:rFonts w:asciiTheme="minorHAnsi" w:hAnsiTheme="minorHAnsi" w:cstheme="minorHAnsi"/>
          <w:sz w:val="22"/>
          <w:szCs w:val="22"/>
        </w:rPr>
        <w:t xml:space="preserve">Atsižvelgęs į Viešojo administravimo įstatymo 8 straipsnio 1 dalį, kuria iš esmės yra siekiama užtikrinti, kad asmeniui, dėl kurio yra priimtas individualus administracinis aktas, būtų žinomi šio akto priėmimo teisinis bei faktinis pagrindai, motyvai, LVAT sprendė, kad atsakovas, turintis teisę, o ne pareigą pasinaudoti Reglamento (ES) Nr. 604/2013 17 straipsnyje įtvirtinta diskrecine išlyga, gavęs pareiškėjų prašymą dėl prieglobsčio suteikimo, vis dėlto nepakankamai įvertino pareiškėjų situaciją, ypač susijusią su humanitariniais sumetimais ir pareiškėjų giminaičių sveikatos būkle, neįgalumu, pareiškėjo galimybėmis jais rūpintis. </w:t>
      </w:r>
      <w:r w:rsidRPr="00D3763B">
        <w:rPr>
          <w:rFonts w:asciiTheme="minorHAnsi" w:hAnsiTheme="minorHAnsi" w:cstheme="minorHAnsi"/>
          <w:sz w:val="22"/>
          <w:szCs w:val="22"/>
          <w:u w:val="single"/>
        </w:rPr>
        <w:t>Nors Reglamento (ES) Nr. 604/2013 17 straipsnio 1 dalis neįtvirtina asmens teisės reikalauti, ir atitinkamai – atsakovo pareigos pasinaudoti savo teise nagrinėti šio asmens prieglobsčio prašymą tuo atveju, jei Reglamente (ES) Nr. 604/2013 įtvirtintų kriterijų pagrindu nustatoma, kad už prieglobsčio prašymo nagrinėjimą yra atsakinga kita ES valstybė narė, tačiau, teismo nuomone, tais atvejais, kai prieglobsčio prašytojas savo prašymą grindžia Reglamento 16 straipsnio 1 dalimi, atsakovas, priimdamas sprendimą dėl prieglobsčio prašytojo perdavimo kitai valstybei narei, privalo motyvuotai pasisakyti ir dėl šios teisės normos taikymo galimybės</w:t>
      </w:r>
      <w:r w:rsidRPr="00D3763B">
        <w:rPr>
          <w:rFonts w:asciiTheme="minorHAnsi" w:hAnsiTheme="minorHAnsi" w:cstheme="minorHAnsi"/>
          <w:sz w:val="22"/>
          <w:szCs w:val="22"/>
        </w:rPr>
        <w:t>.</w:t>
      </w:r>
    </w:p>
    <w:p w:rsidR="006D63B3" w:rsidRPr="00D3763B" w:rsidRDefault="006D63B3" w:rsidP="006D63B3">
      <w:pPr>
        <w:ind w:firstLine="567"/>
        <w:jc w:val="both"/>
        <w:rPr>
          <w:rFonts w:asciiTheme="minorHAnsi" w:hAnsiTheme="minorHAnsi" w:cstheme="minorHAnsi"/>
          <w:sz w:val="22"/>
          <w:szCs w:val="22"/>
        </w:rPr>
      </w:pPr>
      <w:r w:rsidRPr="00D3763B">
        <w:rPr>
          <w:rFonts w:asciiTheme="minorHAnsi" w:hAnsiTheme="minorHAnsi" w:cstheme="minorHAnsi"/>
          <w:sz w:val="22"/>
          <w:szCs w:val="22"/>
        </w:rPr>
        <w:t xml:space="preserve">Apeliacinis skundas patenkintas iš dalies, pirmosios instancijos teismo sprendimas panaikintas, priimtas naujas sprendimas, pareiškėjų skundas patenkintas iš dalies, </w:t>
      </w:r>
      <w:r w:rsidR="00FE495D" w:rsidRPr="00D3763B">
        <w:rPr>
          <w:rFonts w:asciiTheme="minorHAnsi" w:hAnsiTheme="minorHAnsi" w:cstheme="minorHAnsi"/>
          <w:sz w:val="22"/>
          <w:szCs w:val="22"/>
        </w:rPr>
        <w:t xml:space="preserve">atsakovo </w:t>
      </w:r>
      <w:r w:rsidRPr="00D3763B">
        <w:rPr>
          <w:rFonts w:asciiTheme="minorHAnsi" w:hAnsiTheme="minorHAnsi" w:cstheme="minorHAnsi"/>
          <w:sz w:val="22"/>
          <w:szCs w:val="22"/>
        </w:rPr>
        <w:t xml:space="preserve">sprendimas „Dėl prieglobsčio prašytojų perdavimo Vokietijos Federacinei Respublikai“ panaikintas, </w:t>
      </w:r>
      <w:r w:rsidR="00FE495D" w:rsidRPr="00D3763B">
        <w:rPr>
          <w:rFonts w:asciiTheme="minorHAnsi" w:hAnsiTheme="minorHAnsi" w:cstheme="minorHAnsi"/>
          <w:sz w:val="22"/>
          <w:szCs w:val="22"/>
        </w:rPr>
        <w:t xml:space="preserve">atsakovas </w:t>
      </w:r>
      <w:r w:rsidRPr="00D3763B">
        <w:rPr>
          <w:rFonts w:asciiTheme="minorHAnsi" w:hAnsiTheme="minorHAnsi" w:cstheme="minorHAnsi"/>
          <w:sz w:val="22"/>
          <w:szCs w:val="22"/>
        </w:rPr>
        <w:t>įpareigotas spręsti valstybės, atsakingos už prašymų suteikti prieglobstį pareiškėja</w:t>
      </w:r>
      <w:r w:rsidR="00FE495D" w:rsidRPr="00D3763B">
        <w:rPr>
          <w:rFonts w:asciiTheme="minorHAnsi" w:hAnsiTheme="minorHAnsi" w:cstheme="minorHAnsi"/>
          <w:sz w:val="22"/>
          <w:szCs w:val="22"/>
        </w:rPr>
        <w:t>m</w:t>
      </w:r>
      <w:r w:rsidRPr="00D3763B">
        <w:rPr>
          <w:rFonts w:asciiTheme="minorHAnsi" w:hAnsiTheme="minorHAnsi" w:cstheme="minorHAnsi"/>
          <w:sz w:val="22"/>
          <w:szCs w:val="22"/>
        </w:rPr>
        <w:t>s nagrinėjimą, nustatymo klausimą iš naujo.</w:t>
      </w:r>
    </w:p>
    <w:p w:rsidR="006D63B3" w:rsidRPr="00D3763B" w:rsidRDefault="006D63B3" w:rsidP="006D63B3">
      <w:pPr>
        <w:jc w:val="both"/>
        <w:rPr>
          <w:rFonts w:asciiTheme="minorHAnsi" w:hAnsiTheme="minorHAnsi" w:cstheme="minorHAnsi"/>
          <w:sz w:val="22"/>
          <w:szCs w:val="22"/>
        </w:rPr>
      </w:pPr>
    </w:p>
    <w:p w:rsidR="006D63B3" w:rsidRPr="00D3763B" w:rsidRDefault="006D63B3" w:rsidP="006D63B3">
      <w:pPr>
        <w:jc w:val="both"/>
        <w:rPr>
          <w:rFonts w:asciiTheme="minorHAnsi" w:hAnsiTheme="minorHAnsi" w:cstheme="minorHAnsi"/>
          <w:sz w:val="22"/>
          <w:szCs w:val="22"/>
        </w:rPr>
      </w:pPr>
      <w:r w:rsidRPr="00D3763B">
        <w:rPr>
          <w:rFonts w:asciiTheme="minorHAnsi" w:hAnsiTheme="minorHAnsi" w:cstheme="minorHAnsi"/>
          <w:sz w:val="22"/>
          <w:szCs w:val="22"/>
        </w:rPr>
        <w:t>2018 m. birželio 13 d. sprendimas administracinėje byloje Nr. eA-4189-552/2018</w:t>
      </w:r>
    </w:p>
    <w:p w:rsidR="006D63B3" w:rsidRPr="00D3763B" w:rsidRDefault="006D63B3" w:rsidP="006D63B3">
      <w:pPr>
        <w:jc w:val="both"/>
        <w:rPr>
          <w:rFonts w:asciiTheme="minorHAnsi" w:hAnsiTheme="minorHAnsi" w:cstheme="minorHAnsi"/>
          <w:sz w:val="22"/>
          <w:szCs w:val="22"/>
        </w:rPr>
      </w:pPr>
      <w:r w:rsidRPr="00D3763B">
        <w:rPr>
          <w:rFonts w:asciiTheme="minorHAnsi" w:hAnsiTheme="minorHAnsi" w:cstheme="minorHAnsi"/>
          <w:sz w:val="22"/>
          <w:szCs w:val="22"/>
        </w:rPr>
        <w:t>Teisminio proceso Nr. 3-61-3-00616-2018-7</w:t>
      </w:r>
    </w:p>
    <w:p w:rsidR="006D63B3" w:rsidRPr="00D3763B" w:rsidRDefault="006D63B3" w:rsidP="006D63B3">
      <w:pPr>
        <w:jc w:val="both"/>
        <w:rPr>
          <w:rFonts w:asciiTheme="minorHAnsi" w:hAnsiTheme="minorHAnsi" w:cstheme="minorHAnsi"/>
          <w:sz w:val="22"/>
          <w:szCs w:val="22"/>
        </w:rPr>
      </w:pPr>
      <w:r w:rsidRPr="00D3763B">
        <w:rPr>
          <w:rFonts w:asciiTheme="minorHAnsi" w:hAnsiTheme="minorHAnsi" w:cstheme="minorHAnsi"/>
          <w:sz w:val="22"/>
          <w:szCs w:val="22"/>
        </w:rPr>
        <w:t>Procesinio sprendimo kategorija 9.1</w:t>
      </w:r>
    </w:p>
    <w:p w:rsidR="006D63B3" w:rsidRPr="00D3763B" w:rsidRDefault="000220C9" w:rsidP="006D63B3">
      <w:pPr>
        <w:jc w:val="both"/>
        <w:rPr>
          <w:rFonts w:asciiTheme="minorHAnsi" w:hAnsiTheme="minorHAnsi" w:cstheme="minorHAnsi"/>
          <w:sz w:val="22"/>
          <w:szCs w:val="22"/>
        </w:rPr>
      </w:pPr>
      <w:hyperlink r:id="rId14" w:history="1">
        <w:r w:rsidR="006D63B3" w:rsidRPr="00D3763B">
          <w:rPr>
            <w:rStyle w:val="Hyperlink"/>
            <w:rFonts w:asciiTheme="minorHAnsi" w:hAnsiTheme="minorHAnsi" w:cstheme="minorHAnsi"/>
            <w:sz w:val="22"/>
            <w:szCs w:val="22"/>
          </w:rPr>
          <w:t>Prieiga internete</w:t>
        </w:r>
      </w:hyperlink>
    </w:p>
    <w:p w:rsidR="008A0601" w:rsidRPr="00D3763B" w:rsidRDefault="008A0601" w:rsidP="009C6F61">
      <w:pPr>
        <w:rPr>
          <w:rFonts w:asciiTheme="minorHAnsi" w:hAnsiTheme="minorHAnsi" w:cstheme="minorHAnsi"/>
        </w:rPr>
      </w:pPr>
      <w:bookmarkStart w:id="28" w:name="_Toc462149976"/>
    </w:p>
    <w:p w:rsidR="007240BC" w:rsidRPr="00D3763B" w:rsidRDefault="007240BC" w:rsidP="0014360F">
      <w:pPr>
        <w:pStyle w:val="Apzvalgai1"/>
        <w:rPr>
          <w:rFonts w:asciiTheme="minorHAnsi" w:hAnsiTheme="minorHAnsi" w:cstheme="minorHAnsi"/>
        </w:rPr>
      </w:pPr>
      <w:bookmarkStart w:id="29" w:name="_Toc524957038"/>
      <w:bookmarkStart w:id="30" w:name="_Toc519600863"/>
      <w:bookmarkEnd w:id="28"/>
      <w:r w:rsidRPr="00D3763B">
        <w:rPr>
          <w:rFonts w:asciiTheme="minorHAnsi" w:hAnsiTheme="minorHAnsi" w:cstheme="minorHAnsi"/>
        </w:rPr>
        <w:t>14. Aplinkos apsauga</w:t>
      </w:r>
      <w:bookmarkEnd w:id="29"/>
    </w:p>
    <w:p w:rsidR="007240BC" w:rsidRPr="00D3763B" w:rsidRDefault="007240BC" w:rsidP="007240BC">
      <w:pPr>
        <w:pStyle w:val="NoSpacing"/>
        <w:ind w:firstLine="567"/>
        <w:rPr>
          <w:rFonts w:asciiTheme="minorHAnsi" w:hAnsiTheme="minorHAnsi" w:cstheme="minorHAnsi"/>
          <w:b/>
          <w:highlight w:val="yellow"/>
          <w:u w:val="single"/>
        </w:rPr>
      </w:pPr>
      <w:r w:rsidRPr="00D3763B">
        <w:rPr>
          <w:rFonts w:asciiTheme="minorHAnsi" w:hAnsiTheme="minorHAnsi" w:cstheme="minorHAnsi"/>
          <w:b/>
          <w:u w:val="single"/>
        </w:rPr>
        <w:t>14.3. Taršos integruotos prevencijos ir kontrolės leidimai, taršos leidimai</w:t>
      </w:r>
    </w:p>
    <w:p w:rsidR="007240BC" w:rsidRPr="00D3763B" w:rsidRDefault="007240BC" w:rsidP="007240BC">
      <w:pPr>
        <w:pStyle w:val="NoSpacing"/>
        <w:ind w:firstLine="851"/>
        <w:jc w:val="both"/>
        <w:rPr>
          <w:rFonts w:asciiTheme="minorHAnsi" w:hAnsiTheme="minorHAnsi" w:cstheme="minorHAnsi"/>
          <w:b/>
          <w:u w:val="single"/>
        </w:rPr>
      </w:pPr>
    </w:p>
    <w:p w:rsidR="007240BC" w:rsidRPr="00D3763B" w:rsidRDefault="007240BC" w:rsidP="00D3763B">
      <w:pPr>
        <w:pStyle w:val="Heading2"/>
      </w:pPr>
      <w:bookmarkStart w:id="31" w:name="_Toc524957039"/>
      <w:r w:rsidRPr="00D3763B">
        <w:t>Dėl atsisakymo išduoti taršos integruotos prevencijos ir kontrolės leidimą dėl to, jog n</w:t>
      </w:r>
      <w:r w:rsidR="008A55DD" w:rsidRPr="00D3763B">
        <w:t xml:space="preserve">ėra </w:t>
      </w:r>
      <w:r w:rsidRPr="00D3763B">
        <w:t>nustatyt</w:t>
      </w:r>
      <w:r w:rsidR="008A55DD" w:rsidRPr="00D3763B">
        <w:t xml:space="preserve">os </w:t>
      </w:r>
      <w:r w:rsidRPr="00D3763B">
        <w:rPr>
          <w:color w:val="000000"/>
        </w:rPr>
        <w:t>sanitarinės apsaugos rib</w:t>
      </w:r>
      <w:r w:rsidR="008A55DD" w:rsidRPr="00D3763B">
        <w:rPr>
          <w:color w:val="000000"/>
        </w:rPr>
        <w:t>os</w:t>
      </w:r>
      <w:bookmarkEnd w:id="31"/>
    </w:p>
    <w:p w:rsidR="007240BC" w:rsidRPr="00D3763B" w:rsidRDefault="007240BC" w:rsidP="007240BC">
      <w:pPr>
        <w:pStyle w:val="NoSpacing"/>
        <w:ind w:firstLine="851"/>
        <w:jc w:val="both"/>
        <w:rPr>
          <w:rFonts w:asciiTheme="minorHAnsi" w:hAnsiTheme="minorHAnsi" w:cstheme="minorHAnsi"/>
          <w:i/>
        </w:rPr>
      </w:pPr>
    </w:p>
    <w:p w:rsidR="007240BC" w:rsidRPr="00D3763B" w:rsidRDefault="007240BC" w:rsidP="007240BC">
      <w:pPr>
        <w:pStyle w:val="NoSpacing"/>
        <w:ind w:firstLine="567"/>
        <w:jc w:val="both"/>
        <w:rPr>
          <w:rFonts w:asciiTheme="minorHAnsi" w:hAnsiTheme="minorHAnsi" w:cstheme="minorHAnsi"/>
        </w:rPr>
      </w:pPr>
      <w:r w:rsidRPr="00D3763B">
        <w:rPr>
          <w:rFonts w:asciiTheme="minorHAnsi" w:hAnsiTheme="minorHAnsi" w:cstheme="minorHAnsi"/>
        </w:rPr>
        <w:t>Apžvelgiamoje byloje ginčas kilo dėl Vilniaus regiono aplinkos apsaugos departamento išduoto (koreguoto) taršos integruotos prevencijos ir kontrolės (toliau – TIPK) leidimo teisėtumo ir pagrįstumo.</w:t>
      </w:r>
    </w:p>
    <w:p w:rsidR="007240BC" w:rsidRPr="00D3763B" w:rsidRDefault="007240BC" w:rsidP="007240BC">
      <w:pPr>
        <w:pStyle w:val="NoSpacing"/>
        <w:ind w:firstLine="567"/>
        <w:jc w:val="both"/>
        <w:rPr>
          <w:rFonts w:asciiTheme="minorHAnsi" w:hAnsiTheme="minorHAnsi" w:cstheme="minorHAnsi"/>
        </w:rPr>
      </w:pPr>
      <w:r w:rsidRPr="00D3763B">
        <w:rPr>
          <w:rFonts w:asciiTheme="minorHAnsi" w:hAnsiTheme="minorHAnsi" w:cstheme="minorHAnsi"/>
        </w:rPr>
        <w:t xml:space="preserve">Pirmosios instancijos teismas, tenkindamas viešąjį interesą gynusios pareiškėjos prokurorės skundą, sprendė, kad 2013 m. kovo 22 d. </w:t>
      </w:r>
      <w:r w:rsidRPr="00D3763B">
        <w:rPr>
          <w:rFonts w:asciiTheme="minorHAnsi" w:hAnsiTheme="minorHAnsi" w:cstheme="minorHAnsi"/>
          <w:color w:val="000000"/>
          <w:spacing w:val="-4"/>
        </w:rPr>
        <w:t xml:space="preserve">TIPK leidimas </w:t>
      </w:r>
      <w:r w:rsidRPr="00D3763B">
        <w:rPr>
          <w:rFonts w:asciiTheme="minorHAnsi" w:hAnsiTheme="minorHAnsi" w:cstheme="minorHAnsi"/>
        </w:rPr>
        <w:t>UAB „</w:t>
      </w:r>
      <w:proofErr w:type="spellStart"/>
      <w:r w:rsidRPr="00D3763B">
        <w:rPr>
          <w:rFonts w:asciiTheme="minorHAnsi" w:hAnsiTheme="minorHAnsi" w:cstheme="minorHAnsi"/>
        </w:rPr>
        <w:t>Biograta</w:t>
      </w:r>
      <w:proofErr w:type="spellEnd"/>
      <w:r w:rsidRPr="00D3763B">
        <w:rPr>
          <w:rFonts w:asciiTheme="minorHAnsi" w:hAnsiTheme="minorHAnsi" w:cstheme="minorHAnsi"/>
        </w:rPr>
        <w:t xml:space="preserve">“ </w:t>
      </w:r>
      <w:r w:rsidRPr="00D3763B">
        <w:rPr>
          <w:rFonts w:asciiTheme="minorHAnsi" w:hAnsiTheme="minorHAnsi" w:cstheme="minorHAnsi"/>
          <w:color w:val="000000"/>
          <w:spacing w:val="-4"/>
        </w:rPr>
        <w:t xml:space="preserve">išduotas laikantis teisės aktų reikalavimų, tačiau panaikino jį, konstatavęs, kad </w:t>
      </w:r>
      <w:r w:rsidRPr="00D3763B">
        <w:rPr>
          <w:rFonts w:asciiTheme="minorHAnsi" w:hAnsiTheme="minorHAnsi" w:cstheme="minorHAnsi"/>
        </w:rPr>
        <w:t>UAB „</w:t>
      </w:r>
      <w:proofErr w:type="spellStart"/>
      <w:r w:rsidRPr="00D3763B">
        <w:rPr>
          <w:rFonts w:asciiTheme="minorHAnsi" w:hAnsiTheme="minorHAnsi" w:cstheme="minorHAnsi"/>
        </w:rPr>
        <w:t>Biograta</w:t>
      </w:r>
      <w:proofErr w:type="spellEnd"/>
      <w:r w:rsidRPr="00D3763B">
        <w:rPr>
          <w:rFonts w:asciiTheme="minorHAnsi" w:hAnsiTheme="minorHAnsi" w:cstheme="minorHAnsi"/>
        </w:rPr>
        <w:t>“ veikla priskirtina prie ūkinės veiklos, kuri gali daryti reikšmingą poveikį aplinkai, o leidimas išduotas nesant nustatytos sanitarinės apsaugos zonos (toliau – SAZ).</w:t>
      </w:r>
    </w:p>
    <w:p w:rsidR="008A55DD" w:rsidRPr="00D3763B" w:rsidRDefault="007240BC" w:rsidP="008A55DD">
      <w:pPr>
        <w:pStyle w:val="NoSpacing"/>
        <w:ind w:firstLine="567"/>
        <w:jc w:val="both"/>
        <w:rPr>
          <w:rFonts w:asciiTheme="minorHAnsi" w:hAnsiTheme="minorHAnsi" w:cstheme="minorHAnsi"/>
          <w:color w:val="000000"/>
          <w:shd w:val="clear" w:color="auto" w:fill="FFFFFF"/>
        </w:rPr>
      </w:pPr>
      <w:r w:rsidRPr="00D3763B">
        <w:rPr>
          <w:rFonts w:asciiTheme="minorHAnsi" w:hAnsiTheme="minorHAnsi" w:cstheme="minorHAnsi"/>
        </w:rPr>
        <w:t>LVAT teisėjų kolegija konstatavo, kad</w:t>
      </w:r>
      <w:r w:rsidR="00AF1F76" w:rsidRPr="00D3763B">
        <w:rPr>
          <w:rFonts w:asciiTheme="minorHAnsi" w:hAnsiTheme="minorHAnsi" w:cstheme="minorHAnsi"/>
        </w:rPr>
        <w:t xml:space="preserve"> </w:t>
      </w:r>
      <w:r w:rsidRPr="00D3763B">
        <w:rPr>
          <w:rFonts w:asciiTheme="minorHAnsi" w:hAnsiTheme="minorHAnsi" w:cstheme="minorHAnsi"/>
        </w:rPr>
        <w:t>UAB „</w:t>
      </w:r>
      <w:proofErr w:type="spellStart"/>
      <w:r w:rsidRPr="00D3763B">
        <w:rPr>
          <w:rFonts w:asciiTheme="minorHAnsi" w:hAnsiTheme="minorHAnsi" w:cstheme="minorHAnsi"/>
        </w:rPr>
        <w:t>Biograta</w:t>
      </w:r>
      <w:proofErr w:type="spellEnd"/>
      <w:r w:rsidRPr="00D3763B">
        <w:rPr>
          <w:rFonts w:asciiTheme="minorHAnsi" w:hAnsiTheme="minorHAnsi" w:cstheme="minorHAnsi"/>
        </w:rPr>
        <w:t xml:space="preserve">“ vykdant nepavojingų ir pavojingų atliekų laikymo veiklą, jos valdomam žemės sklypui ir jame esantiems pastatams turi būti įrengtos sanitarinės apsaugos zonos. Kartu teisėjų kolegija atkreipė dėmesį į tai, kad </w:t>
      </w:r>
      <w:r w:rsidRPr="00D3763B">
        <w:rPr>
          <w:rFonts w:asciiTheme="minorHAnsi" w:hAnsiTheme="minorHAnsi" w:cstheme="minorHAnsi"/>
          <w:u w:val="single"/>
        </w:rPr>
        <w:t>TIPK taisyklėse nenumatytas reikalavimas TIPK leidimus išduodančiai institucijai atsisakyti išduoti leidimą vien tuo pagrindu, jog nėra nustatyta SAZ riba</w:t>
      </w:r>
      <w:r w:rsidRPr="00D3763B">
        <w:rPr>
          <w:rFonts w:asciiTheme="minorHAnsi" w:hAnsiTheme="minorHAnsi" w:cstheme="minorHAnsi"/>
        </w:rPr>
        <w:t xml:space="preserve">. Teisėjų kolegijos vertinimu, TIPK leidimą išduodančiai institucijai kyla pareiga </w:t>
      </w:r>
      <w:r w:rsidRPr="00D3763B">
        <w:rPr>
          <w:rFonts w:asciiTheme="minorHAnsi" w:hAnsiTheme="minorHAnsi" w:cstheme="minorHAnsi"/>
          <w:color w:val="000000"/>
          <w:spacing w:val="-4"/>
        </w:rPr>
        <w:t xml:space="preserve">patikrinti, ar </w:t>
      </w:r>
      <w:r w:rsidRPr="00D3763B">
        <w:rPr>
          <w:rFonts w:asciiTheme="minorHAnsi" w:hAnsiTheme="minorHAnsi" w:cstheme="minorHAnsi"/>
        </w:rPr>
        <w:t>yra atliktos privalomos SAZ nustatymo ir įregistravimo procedūros (jeigu jos būtinos), o nesant nustatytai SAZ ribai, įpareigoti ūkinės veiklos vykdytoją nustatyti sanitarinę apsaugos zoną, tačiau sanitarinės apsaugos zonos nenustatymas ar neįregistravimas pats savaime nesudaro pagrindo neišduoti TIPK leidimo.</w:t>
      </w:r>
      <w:r w:rsidR="00AF1F76" w:rsidRPr="00D3763B">
        <w:rPr>
          <w:rFonts w:asciiTheme="minorHAnsi" w:hAnsiTheme="minorHAnsi" w:cstheme="minorHAnsi"/>
        </w:rPr>
        <w:t xml:space="preserve"> </w:t>
      </w:r>
      <w:r w:rsidRPr="00D3763B">
        <w:rPr>
          <w:rFonts w:asciiTheme="minorHAnsi" w:hAnsiTheme="minorHAnsi" w:cstheme="minorHAnsi"/>
        </w:rPr>
        <w:t>TIPK</w:t>
      </w:r>
      <w:r w:rsidRPr="00D3763B">
        <w:rPr>
          <w:rFonts w:asciiTheme="minorHAnsi" w:hAnsiTheme="minorHAnsi" w:cstheme="minorHAnsi"/>
          <w:color w:val="000000"/>
          <w:shd w:val="clear" w:color="auto" w:fill="FFFFFF"/>
        </w:rPr>
        <w:t xml:space="preserve"> leidimų išdavimas ir sanitarinės apsaugos ribų nustatymas yra dvi savarankiškos administracinės procedūros, todėl pirmosios instancijos teismas nepagrįstai sprendė, </w:t>
      </w:r>
      <w:r w:rsidR="008A55DD" w:rsidRPr="00D3763B">
        <w:rPr>
          <w:rFonts w:asciiTheme="minorHAnsi" w:hAnsiTheme="minorHAnsi" w:cstheme="minorHAnsi"/>
          <w:color w:val="000000"/>
          <w:shd w:val="clear" w:color="auto" w:fill="FFFFFF"/>
        </w:rPr>
        <w:t xml:space="preserve">jog nesant nustatytai SAZ ribai, </w:t>
      </w:r>
      <w:r w:rsidRPr="00D3763B">
        <w:rPr>
          <w:rFonts w:asciiTheme="minorHAnsi" w:hAnsiTheme="minorHAnsi" w:cstheme="minorHAnsi"/>
          <w:color w:val="000000"/>
          <w:shd w:val="clear" w:color="auto" w:fill="FFFFFF"/>
        </w:rPr>
        <w:t>yra pagrindas panaikinti ginč</w:t>
      </w:r>
      <w:r w:rsidR="008A55DD" w:rsidRPr="00D3763B">
        <w:rPr>
          <w:rFonts w:asciiTheme="minorHAnsi" w:hAnsiTheme="minorHAnsi" w:cstheme="minorHAnsi"/>
          <w:color w:val="000000"/>
          <w:shd w:val="clear" w:color="auto" w:fill="FFFFFF"/>
        </w:rPr>
        <w:t xml:space="preserve">ytą </w:t>
      </w:r>
      <w:r w:rsidRPr="00D3763B">
        <w:rPr>
          <w:rFonts w:asciiTheme="minorHAnsi" w:hAnsiTheme="minorHAnsi" w:cstheme="minorHAnsi"/>
          <w:color w:val="000000"/>
          <w:shd w:val="clear" w:color="auto" w:fill="FFFFFF"/>
        </w:rPr>
        <w:t>leidimą.</w:t>
      </w:r>
    </w:p>
    <w:p w:rsidR="007240BC" w:rsidRPr="00D3763B" w:rsidRDefault="007240BC" w:rsidP="008A55DD">
      <w:pPr>
        <w:pStyle w:val="NoSpacing"/>
        <w:ind w:firstLine="567"/>
        <w:jc w:val="both"/>
        <w:rPr>
          <w:rFonts w:asciiTheme="minorHAnsi" w:hAnsiTheme="minorHAnsi" w:cstheme="minorHAnsi"/>
        </w:rPr>
      </w:pPr>
      <w:r w:rsidRPr="00D3763B">
        <w:rPr>
          <w:rFonts w:asciiTheme="minorHAnsi" w:hAnsiTheme="minorHAnsi" w:cstheme="minorHAnsi"/>
        </w:rPr>
        <w:t xml:space="preserve">Pirmosios instancijos teismo sprendimas pakeistas, </w:t>
      </w:r>
      <w:r w:rsidR="008A55DD" w:rsidRPr="00D3763B">
        <w:rPr>
          <w:rFonts w:asciiTheme="minorHAnsi" w:hAnsiTheme="minorHAnsi" w:cstheme="minorHAnsi"/>
        </w:rPr>
        <w:t xml:space="preserve">skundo </w:t>
      </w:r>
      <w:r w:rsidRPr="00D3763B">
        <w:rPr>
          <w:rFonts w:asciiTheme="minorHAnsi" w:hAnsiTheme="minorHAnsi" w:cstheme="minorHAnsi"/>
        </w:rPr>
        <w:t xml:space="preserve">dalį dėl 2013 m. kovo 22 d. </w:t>
      </w:r>
      <w:r w:rsidRPr="00D3763B">
        <w:rPr>
          <w:rFonts w:asciiTheme="minorHAnsi" w:hAnsiTheme="minorHAnsi" w:cstheme="minorHAnsi"/>
          <w:color w:val="000000"/>
          <w:spacing w:val="-4"/>
        </w:rPr>
        <w:t xml:space="preserve">TIPK leidimo </w:t>
      </w:r>
      <w:r w:rsidRPr="00D3763B">
        <w:rPr>
          <w:rFonts w:asciiTheme="minorHAnsi" w:hAnsiTheme="minorHAnsi" w:cstheme="minorHAnsi"/>
        </w:rPr>
        <w:t>panaikinimo atmetant.</w:t>
      </w:r>
    </w:p>
    <w:p w:rsidR="007240BC" w:rsidRPr="00D3763B" w:rsidRDefault="007240BC" w:rsidP="007240BC">
      <w:pPr>
        <w:pStyle w:val="NoSpacing"/>
        <w:ind w:firstLine="851"/>
        <w:jc w:val="both"/>
        <w:rPr>
          <w:rFonts w:asciiTheme="minorHAnsi" w:hAnsiTheme="minorHAnsi" w:cstheme="minorHAnsi"/>
        </w:rPr>
      </w:pPr>
    </w:p>
    <w:p w:rsidR="007240BC" w:rsidRPr="00D3763B" w:rsidRDefault="007240BC" w:rsidP="007240BC">
      <w:pPr>
        <w:pStyle w:val="NoSpacing"/>
        <w:jc w:val="both"/>
        <w:rPr>
          <w:rFonts w:asciiTheme="minorHAnsi" w:hAnsiTheme="minorHAnsi" w:cstheme="minorHAnsi"/>
        </w:rPr>
      </w:pPr>
      <w:r w:rsidRPr="00D3763B">
        <w:rPr>
          <w:rFonts w:asciiTheme="minorHAnsi" w:hAnsiTheme="minorHAnsi" w:cstheme="minorHAnsi"/>
        </w:rPr>
        <w:t>201</w:t>
      </w:r>
      <w:r w:rsidRPr="00D3763B">
        <w:rPr>
          <w:rFonts w:asciiTheme="minorHAnsi" w:hAnsiTheme="minorHAnsi" w:cstheme="minorHAnsi"/>
          <w:lang w:val="en-US"/>
        </w:rPr>
        <w:t>8</w:t>
      </w:r>
      <w:r w:rsidRPr="00D3763B">
        <w:rPr>
          <w:rFonts w:asciiTheme="minorHAnsi" w:hAnsiTheme="minorHAnsi" w:cstheme="minorHAnsi"/>
        </w:rPr>
        <w:t xml:space="preserve"> m. birželio 6 d. nutartis administracinėje byloje Nr. eA-1223-525/2018</w:t>
      </w:r>
    </w:p>
    <w:p w:rsidR="007240BC" w:rsidRPr="00D3763B" w:rsidRDefault="007240BC" w:rsidP="007240BC">
      <w:pPr>
        <w:pStyle w:val="NoSpacing"/>
        <w:jc w:val="both"/>
        <w:rPr>
          <w:rFonts w:asciiTheme="minorHAnsi" w:hAnsiTheme="minorHAnsi" w:cstheme="minorHAnsi"/>
        </w:rPr>
      </w:pPr>
      <w:r w:rsidRPr="00D3763B">
        <w:rPr>
          <w:rFonts w:asciiTheme="minorHAnsi" w:hAnsiTheme="minorHAnsi" w:cstheme="minorHAnsi"/>
        </w:rPr>
        <w:t xml:space="preserve">Teisminio proceso Nr. </w:t>
      </w:r>
      <w:r w:rsidRPr="00D3763B">
        <w:rPr>
          <w:rFonts w:asciiTheme="minorHAnsi" w:hAnsiTheme="minorHAnsi" w:cstheme="minorHAnsi"/>
          <w:color w:val="000000"/>
        </w:rPr>
        <w:t>3-61-3-02401-2016-9</w:t>
      </w:r>
    </w:p>
    <w:p w:rsidR="007240BC" w:rsidRPr="00D3763B" w:rsidRDefault="007240BC" w:rsidP="007240BC">
      <w:pPr>
        <w:pStyle w:val="NoSpacing"/>
        <w:jc w:val="both"/>
        <w:rPr>
          <w:rFonts w:asciiTheme="minorHAnsi" w:hAnsiTheme="minorHAnsi" w:cstheme="minorHAnsi"/>
        </w:rPr>
      </w:pPr>
      <w:r w:rsidRPr="00D3763B">
        <w:rPr>
          <w:rFonts w:asciiTheme="minorHAnsi" w:hAnsiTheme="minorHAnsi" w:cstheme="minorHAnsi"/>
        </w:rPr>
        <w:t>Procesinio sprendimo kategorijos: 14.3; 14.6</w:t>
      </w:r>
    </w:p>
    <w:p w:rsidR="007240BC" w:rsidRPr="00D3763B" w:rsidRDefault="000220C9" w:rsidP="007240BC">
      <w:pPr>
        <w:pStyle w:val="NormalWeb"/>
        <w:shd w:val="clear" w:color="auto" w:fill="FFFFFF"/>
        <w:spacing w:before="0" w:beforeAutospacing="0" w:after="0" w:afterAutospacing="0"/>
        <w:jc w:val="both"/>
        <w:rPr>
          <w:rFonts w:asciiTheme="minorHAnsi" w:hAnsiTheme="minorHAnsi" w:cstheme="minorHAnsi"/>
          <w:sz w:val="22"/>
          <w:szCs w:val="22"/>
          <w:lang w:val="lt-LT"/>
        </w:rPr>
      </w:pPr>
      <w:hyperlink r:id="rId15" w:history="1">
        <w:r w:rsidR="007240BC" w:rsidRPr="00D3763B">
          <w:rPr>
            <w:rStyle w:val="Hyperlink"/>
            <w:rFonts w:asciiTheme="minorHAnsi" w:hAnsiTheme="minorHAnsi" w:cstheme="minorHAnsi"/>
            <w:sz w:val="22"/>
            <w:szCs w:val="22"/>
            <w:lang w:val="lt-LT"/>
          </w:rPr>
          <w:t>Prieiga internete</w:t>
        </w:r>
      </w:hyperlink>
    </w:p>
    <w:p w:rsidR="005E4055" w:rsidRPr="00D3763B" w:rsidRDefault="005E4055" w:rsidP="005E4055">
      <w:pPr>
        <w:pStyle w:val="NoSpacing"/>
        <w:rPr>
          <w:rFonts w:asciiTheme="minorHAnsi" w:hAnsiTheme="minorHAnsi" w:cstheme="minorHAnsi"/>
          <w:b/>
          <w:u w:val="single"/>
        </w:rPr>
      </w:pPr>
    </w:p>
    <w:p w:rsidR="005E4055" w:rsidRPr="00D3763B" w:rsidRDefault="005E4055" w:rsidP="0014360F">
      <w:pPr>
        <w:pStyle w:val="Apzvalgai1"/>
        <w:rPr>
          <w:rFonts w:asciiTheme="minorHAnsi" w:hAnsiTheme="minorHAnsi" w:cstheme="minorHAnsi"/>
        </w:rPr>
      </w:pPr>
      <w:bookmarkStart w:id="32" w:name="_Toc524957040"/>
      <w:r w:rsidRPr="00D3763B">
        <w:rPr>
          <w:rFonts w:asciiTheme="minorHAnsi" w:hAnsiTheme="minorHAnsi" w:cstheme="minorHAnsi"/>
        </w:rPr>
        <w:t>17. Statyba</w:t>
      </w:r>
      <w:bookmarkEnd w:id="32"/>
    </w:p>
    <w:p w:rsidR="007A283A" w:rsidRPr="00D3763B" w:rsidRDefault="007A283A" w:rsidP="007A283A">
      <w:pPr>
        <w:pStyle w:val="NoSpacing"/>
        <w:ind w:firstLine="567"/>
        <w:rPr>
          <w:rFonts w:asciiTheme="minorHAnsi" w:hAnsiTheme="minorHAnsi" w:cstheme="minorHAnsi"/>
          <w:b/>
          <w:u w:val="single"/>
        </w:rPr>
      </w:pPr>
      <w:r w:rsidRPr="00D3763B">
        <w:rPr>
          <w:rFonts w:asciiTheme="minorHAnsi" w:hAnsiTheme="minorHAnsi" w:cstheme="minorHAnsi"/>
          <w:b/>
          <w:u w:val="single"/>
        </w:rPr>
        <w:t>17.3. Statybą leidžiantys dokumentai</w:t>
      </w:r>
    </w:p>
    <w:p w:rsidR="005E4055" w:rsidRPr="00D3763B" w:rsidRDefault="005E4055" w:rsidP="007A283A">
      <w:pPr>
        <w:pStyle w:val="NoSpacing"/>
        <w:ind w:firstLine="1134"/>
        <w:rPr>
          <w:rFonts w:asciiTheme="minorHAnsi" w:hAnsiTheme="minorHAnsi" w:cstheme="minorHAnsi"/>
          <w:b/>
          <w:u w:val="single"/>
        </w:rPr>
      </w:pPr>
      <w:r w:rsidRPr="00D3763B">
        <w:rPr>
          <w:rFonts w:asciiTheme="minorHAnsi" w:hAnsiTheme="minorHAnsi" w:cstheme="minorHAnsi"/>
          <w:b/>
          <w:u w:val="single"/>
        </w:rPr>
        <w:t>17.3.3. Statybą leidžiančio dokumento panaikinimas</w:t>
      </w:r>
    </w:p>
    <w:p w:rsidR="005E4055" w:rsidRPr="00D3763B" w:rsidRDefault="005E4055" w:rsidP="005E4055">
      <w:pPr>
        <w:pStyle w:val="NoSpacing"/>
        <w:rPr>
          <w:rFonts w:asciiTheme="minorHAnsi" w:hAnsiTheme="minorHAnsi" w:cstheme="minorHAnsi"/>
          <w:i/>
        </w:rPr>
      </w:pPr>
    </w:p>
    <w:p w:rsidR="00F0462D" w:rsidRPr="00D3763B" w:rsidRDefault="005E4055" w:rsidP="00D3763B">
      <w:pPr>
        <w:pStyle w:val="Heading2"/>
      </w:pPr>
      <w:bookmarkStart w:id="33" w:name="_Toc524957041"/>
      <w:r w:rsidRPr="00D3763B">
        <w:t>Dėl statybos leidimo teisėtumo</w:t>
      </w:r>
      <w:r w:rsidR="00F0462D" w:rsidRPr="00D3763B">
        <w:t>, kai visi pateikti dokumentai nėra patalpinti informacinėje sistemoje „</w:t>
      </w:r>
      <w:proofErr w:type="spellStart"/>
      <w:r w:rsidR="00F0462D" w:rsidRPr="00D3763B">
        <w:t>Infostatyba</w:t>
      </w:r>
      <w:proofErr w:type="spellEnd"/>
      <w:r w:rsidR="00F0462D" w:rsidRPr="00D3763B">
        <w:t>“</w:t>
      </w:r>
      <w:bookmarkEnd w:id="33"/>
    </w:p>
    <w:p w:rsidR="005E4055" w:rsidRPr="00D3763B" w:rsidRDefault="005E4055" w:rsidP="005E4055">
      <w:pPr>
        <w:pStyle w:val="NoSpacing"/>
        <w:ind w:firstLine="567"/>
        <w:jc w:val="both"/>
        <w:rPr>
          <w:rFonts w:asciiTheme="minorHAnsi" w:hAnsiTheme="minorHAnsi" w:cstheme="minorHAnsi"/>
          <w:i/>
        </w:rPr>
      </w:pPr>
    </w:p>
    <w:p w:rsidR="005E4055" w:rsidRPr="00D3763B" w:rsidRDefault="005E4055" w:rsidP="005E4055">
      <w:pPr>
        <w:pStyle w:val="NoSpacing"/>
        <w:ind w:firstLine="567"/>
        <w:jc w:val="both"/>
        <w:rPr>
          <w:rFonts w:asciiTheme="minorHAnsi" w:hAnsiTheme="minorHAnsi" w:cstheme="minorHAnsi"/>
        </w:rPr>
      </w:pPr>
      <w:r w:rsidRPr="00D3763B">
        <w:rPr>
          <w:rFonts w:asciiTheme="minorHAnsi" w:hAnsiTheme="minorHAnsi" w:cstheme="minorHAnsi"/>
        </w:rPr>
        <w:t>Apžvelgiamoje byloje ginčas kilo dėl savivaldybės administracijos išduoto statybos leidimo teisėtumo.</w:t>
      </w:r>
    </w:p>
    <w:p w:rsidR="00F06EB8" w:rsidRPr="00D3763B" w:rsidRDefault="005E4055" w:rsidP="00F06EB8">
      <w:pPr>
        <w:pStyle w:val="NoSpacing"/>
        <w:ind w:firstLine="567"/>
        <w:jc w:val="both"/>
        <w:rPr>
          <w:rFonts w:asciiTheme="minorHAnsi" w:hAnsiTheme="minorHAnsi" w:cstheme="minorHAnsi"/>
        </w:rPr>
      </w:pPr>
      <w:r w:rsidRPr="00D3763B">
        <w:rPr>
          <w:rFonts w:asciiTheme="minorHAnsi" w:hAnsiTheme="minorHAnsi" w:cstheme="minorHAnsi"/>
        </w:rPr>
        <w:t xml:space="preserve">Pareiškėjas </w:t>
      </w:r>
      <w:r w:rsidRPr="00D3763B">
        <w:rPr>
          <w:rFonts w:asciiTheme="minorHAnsi" w:hAnsiTheme="minorHAnsi" w:cstheme="minorHAnsi"/>
          <w:color w:val="000000"/>
        </w:rPr>
        <w:t>Valstybinė teritorijų planavimo ir statybos inspekcija</w:t>
      </w:r>
      <w:r w:rsidRPr="00D3763B">
        <w:rPr>
          <w:rFonts w:asciiTheme="minorHAnsi" w:hAnsiTheme="minorHAnsi" w:cstheme="minorHAnsi"/>
        </w:rPr>
        <w:t xml:space="preserve"> (toliau – Inspekcija) teismui pateikė skundą, prašydamas pripažinti negaliojančiu atsakovo Elektrėnų savivald</w:t>
      </w:r>
      <w:r w:rsidR="00211B11">
        <w:rPr>
          <w:rFonts w:asciiTheme="minorHAnsi" w:hAnsiTheme="minorHAnsi" w:cstheme="minorHAnsi"/>
        </w:rPr>
        <w:t xml:space="preserve">ybės administracijos (toliau – </w:t>
      </w:r>
      <w:r w:rsidRPr="00D3763B">
        <w:rPr>
          <w:rFonts w:asciiTheme="minorHAnsi" w:hAnsiTheme="minorHAnsi" w:cstheme="minorHAnsi"/>
        </w:rPr>
        <w:t>Savivaldybės administracija) išduotą statybos leidimą. Skundas grindžiamas tuo, kad</w:t>
      </w:r>
      <w:r w:rsidR="00AF1F76" w:rsidRPr="00D3763B">
        <w:rPr>
          <w:rFonts w:asciiTheme="minorHAnsi" w:hAnsiTheme="minorHAnsi" w:cstheme="minorHAnsi"/>
        </w:rPr>
        <w:t xml:space="preserve"> </w:t>
      </w:r>
      <w:r w:rsidRPr="00D3763B">
        <w:rPr>
          <w:rFonts w:asciiTheme="minorHAnsi" w:hAnsiTheme="minorHAnsi" w:cstheme="minorHAnsi"/>
        </w:rPr>
        <w:t>pagal Statybos įstatymo 23 straipsnio 7 dalį reikalaujami pateikti rašytiniai įrodymai (žemės sklypų savininkų (valdytojų) sutikimai, projektuotojo civilinės atsakomybės privalomojo draudimo dokumento kopija ir kt.)nebuvo</w:t>
      </w:r>
      <w:r w:rsidR="00AF1F76" w:rsidRPr="00D3763B">
        <w:rPr>
          <w:rFonts w:asciiTheme="minorHAnsi" w:hAnsiTheme="minorHAnsi" w:cstheme="minorHAnsi"/>
        </w:rPr>
        <w:t xml:space="preserve"> </w:t>
      </w:r>
      <w:r w:rsidRPr="00D3763B">
        <w:rPr>
          <w:rFonts w:asciiTheme="minorHAnsi" w:hAnsiTheme="minorHAnsi" w:cstheme="minorHAnsi"/>
        </w:rPr>
        <w:t>patalpinti Lietuvos Respublikos statybos leidimų ir statybos valstybinės priežiūros informacinėje sistemoje „</w:t>
      </w:r>
      <w:proofErr w:type="spellStart"/>
      <w:r w:rsidRPr="00D3763B">
        <w:rPr>
          <w:rFonts w:asciiTheme="minorHAnsi" w:hAnsiTheme="minorHAnsi" w:cstheme="minorHAnsi"/>
        </w:rPr>
        <w:t>Infostatyba</w:t>
      </w:r>
      <w:proofErr w:type="spellEnd"/>
      <w:r w:rsidRPr="00D3763B">
        <w:rPr>
          <w:rFonts w:asciiTheme="minorHAnsi" w:hAnsiTheme="minorHAnsi" w:cstheme="minorHAnsi"/>
        </w:rPr>
        <w:t>“ (toliau – ir IS „</w:t>
      </w:r>
      <w:proofErr w:type="spellStart"/>
      <w:r w:rsidRPr="00D3763B">
        <w:rPr>
          <w:rFonts w:asciiTheme="minorHAnsi" w:hAnsiTheme="minorHAnsi" w:cstheme="minorHAnsi"/>
        </w:rPr>
        <w:t>Infostatyba</w:t>
      </w:r>
      <w:proofErr w:type="spellEnd"/>
      <w:r w:rsidRPr="00D3763B">
        <w:rPr>
          <w:rFonts w:asciiTheme="minorHAnsi" w:hAnsiTheme="minorHAnsi" w:cstheme="minorHAnsi"/>
        </w:rPr>
        <w:t>“)</w:t>
      </w:r>
      <w:r w:rsidR="00F06EB8" w:rsidRPr="00D3763B">
        <w:rPr>
          <w:rFonts w:asciiTheme="minorHAnsi" w:hAnsiTheme="minorHAnsi" w:cstheme="minorHAnsi"/>
        </w:rPr>
        <w:t xml:space="preserve">. Taip pat </w:t>
      </w:r>
      <w:r w:rsidRPr="00D3763B">
        <w:rPr>
          <w:rFonts w:asciiTheme="minorHAnsi" w:hAnsiTheme="minorHAnsi" w:cstheme="minorHAnsi"/>
        </w:rPr>
        <w:t>pastato aukštis viršija detaliajame plane nustatytą leistiną aukštį.</w:t>
      </w:r>
    </w:p>
    <w:p w:rsidR="00F06EB8" w:rsidRPr="00D3763B" w:rsidRDefault="005E4055" w:rsidP="00F06EB8">
      <w:pPr>
        <w:pStyle w:val="NoSpacing"/>
        <w:ind w:firstLine="567"/>
        <w:jc w:val="both"/>
        <w:rPr>
          <w:rFonts w:asciiTheme="minorHAnsi" w:hAnsiTheme="minorHAnsi" w:cstheme="minorHAnsi"/>
        </w:rPr>
      </w:pPr>
      <w:r w:rsidRPr="00D3763B">
        <w:rPr>
          <w:rFonts w:asciiTheme="minorHAnsi" w:hAnsiTheme="minorHAnsi" w:cstheme="minorHAnsi"/>
        </w:rPr>
        <w:t xml:space="preserve">LVAT teisėjų kolegija atkreipė dėmesį į tai, kad pagal STR 1.07.01:2010 </w:t>
      </w:r>
      <w:r w:rsidRPr="00D3763B">
        <w:rPr>
          <w:rFonts w:asciiTheme="minorHAnsi" w:hAnsiTheme="minorHAnsi" w:cstheme="minorHAnsi"/>
          <w:color w:val="000000"/>
          <w:shd w:val="clear" w:color="auto" w:fill="FFFFFF"/>
        </w:rPr>
        <w:t xml:space="preserve">„Statybą leidžiantys dokumentai“ </w:t>
      </w:r>
      <w:r w:rsidRPr="00D3763B">
        <w:rPr>
          <w:rFonts w:asciiTheme="minorHAnsi" w:hAnsiTheme="minorHAnsi" w:cstheme="minorHAnsi"/>
        </w:rPr>
        <w:t>8 punktą, įgaliotas savivaldybės administracijos valstybės tarnautojas patikrina, ar, be kita ko, pateikti visi privalomi pateikti dokumentai; jei jų trūksta, apie tai prašymo pateikėjas informuojamas per IS „</w:t>
      </w:r>
      <w:proofErr w:type="spellStart"/>
      <w:r w:rsidRPr="00D3763B">
        <w:rPr>
          <w:rFonts w:asciiTheme="minorHAnsi" w:hAnsiTheme="minorHAnsi" w:cstheme="minorHAnsi"/>
        </w:rPr>
        <w:t>Infostatyba</w:t>
      </w:r>
      <w:proofErr w:type="spellEnd"/>
      <w:r w:rsidRPr="00D3763B">
        <w:rPr>
          <w:rFonts w:asciiTheme="minorHAnsi" w:hAnsiTheme="minorHAnsi" w:cstheme="minorHAnsi"/>
        </w:rPr>
        <w:t>“.</w:t>
      </w:r>
    </w:p>
    <w:p w:rsidR="00F06EB8" w:rsidRPr="00D3763B" w:rsidRDefault="005E4055" w:rsidP="00F06EB8">
      <w:pPr>
        <w:pStyle w:val="NoSpacing"/>
        <w:ind w:firstLine="567"/>
        <w:jc w:val="both"/>
        <w:rPr>
          <w:rFonts w:asciiTheme="minorHAnsi" w:hAnsiTheme="minorHAnsi" w:cstheme="minorHAnsi"/>
        </w:rPr>
      </w:pPr>
      <w:r w:rsidRPr="00D3763B">
        <w:rPr>
          <w:rFonts w:asciiTheme="minorHAnsi" w:hAnsiTheme="minorHAnsi" w:cstheme="minorHAnsi"/>
        </w:rPr>
        <w:t>Ištyrusi teisinį reg</w:t>
      </w:r>
      <w:r w:rsidR="00F06EB8" w:rsidRPr="00D3763B">
        <w:rPr>
          <w:rFonts w:asciiTheme="minorHAnsi" w:hAnsiTheme="minorHAnsi" w:cstheme="minorHAnsi"/>
        </w:rPr>
        <w:t>uliavimą</w:t>
      </w:r>
      <w:r w:rsidRPr="00D3763B">
        <w:rPr>
          <w:rFonts w:asciiTheme="minorHAnsi" w:hAnsiTheme="minorHAnsi" w:cstheme="minorHAnsi"/>
        </w:rPr>
        <w:t>, LVAT teisėjų kolegija padarė išvadą, kad prašymą išduoti statybos leidimą teikiantis asmuo kartu su šiuo prašymu turi pateikti visus nurodytus dokumentus, tačiau, nustačius šio prašymo trūkumus, trūkstami dokumentai gali būti pateikiami ir vėliau. Prašymas išduoti statybos leidimą ir visi kartu su juo pateikti dokumentai turi būti patalpinti IS „</w:t>
      </w:r>
      <w:proofErr w:type="spellStart"/>
      <w:r w:rsidRPr="00D3763B">
        <w:rPr>
          <w:rFonts w:asciiTheme="minorHAnsi" w:hAnsiTheme="minorHAnsi" w:cstheme="minorHAnsi"/>
        </w:rPr>
        <w:t>Infostatyba</w:t>
      </w:r>
      <w:proofErr w:type="spellEnd"/>
      <w:r w:rsidRPr="00D3763B">
        <w:rPr>
          <w:rFonts w:asciiTheme="minorHAnsi" w:hAnsiTheme="minorHAnsi" w:cstheme="minorHAnsi"/>
        </w:rPr>
        <w:t>“ arba paties prašymą pateikusio asmens, arba, jei prašymą išduoti statybą leidžiantį dokumentą pateikti nuotoliniu būdu nėra galimybės, savivaldybės administracijos įgalioto valstybės tarnautojo.</w:t>
      </w:r>
    </w:p>
    <w:p w:rsidR="00B46D95" w:rsidRPr="00D3763B" w:rsidRDefault="005E4055" w:rsidP="00B46D95">
      <w:pPr>
        <w:pStyle w:val="NoSpacing"/>
        <w:ind w:firstLine="567"/>
        <w:jc w:val="both"/>
        <w:rPr>
          <w:rFonts w:asciiTheme="minorHAnsi" w:hAnsiTheme="minorHAnsi" w:cstheme="minorHAnsi"/>
        </w:rPr>
      </w:pPr>
      <w:r w:rsidRPr="00D3763B">
        <w:rPr>
          <w:rFonts w:asciiTheme="minorHAnsi" w:hAnsiTheme="minorHAnsi" w:cstheme="minorHAnsi"/>
        </w:rPr>
        <w:t>Dėl aplinkybės, kad n</w:t>
      </w:r>
      <w:r w:rsidR="00F06EB8" w:rsidRPr="00D3763B">
        <w:rPr>
          <w:rFonts w:asciiTheme="minorHAnsi" w:hAnsiTheme="minorHAnsi" w:cstheme="minorHAnsi"/>
        </w:rPr>
        <w:t xml:space="preserve">ėra </w:t>
      </w:r>
      <w:r w:rsidRPr="00D3763B">
        <w:rPr>
          <w:rFonts w:asciiTheme="minorHAnsi" w:hAnsiTheme="minorHAnsi" w:cstheme="minorHAnsi"/>
        </w:rPr>
        <w:t>sudarytos galimybės naudojantis IS „</w:t>
      </w:r>
      <w:proofErr w:type="spellStart"/>
      <w:r w:rsidRPr="00D3763B">
        <w:rPr>
          <w:rFonts w:asciiTheme="minorHAnsi" w:hAnsiTheme="minorHAnsi" w:cstheme="minorHAnsi"/>
        </w:rPr>
        <w:t>Infostatyba</w:t>
      </w:r>
      <w:proofErr w:type="spellEnd"/>
      <w:r w:rsidRPr="00D3763B">
        <w:rPr>
          <w:rFonts w:asciiTheme="minorHAnsi" w:hAnsiTheme="minorHAnsi" w:cstheme="minorHAnsi"/>
        </w:rPr>
        <w:t xml:space="preserve">“ papildomai pateikti </w:t>
      </w:r>
      <w:r w:rsidR="00F06EB8" w:rsidRPr="00D3763B">
        <w:rPr>
          <w:rFonts w:asciiTheme="minorHAnsi" w:hAnsiTheme="minorHAnsi" w:cstheme="minorHAnsi"/>
        </w:rPr>
        <w:t>trūkstamus</w:t>
      </w:r>
      <w:r w:rsidRPr="00D3763B">
        <w:rPr>
          <w:rFonts w:asciiTheme="minorHAnsi" w:hAnsiTheme="minorHAnsi" w:cstheme="minorHAnsi"/>
        </w:rPr>
        <w:t xml:space="preserve"> dokument</w:t>
      </w:r>
      <w:r w:rsidR="00F06EB8" w:rsidRPr="00D3763B">
        <w:rPr>
          <w:rFonts w:asciiTheme="minorHAnsi" w:hAnsiTheme="minorHAnsi" w:cstheme="minorHAnsi"/>
        </w:rPr>
        <w:t>us</w:t>
      </w:r>
      <w:r w:rsidRPr="00D3763B">
        <w:rPr>
          <w:rFonts w:asciiTheme="minorHAnsi" w:hAnsiTheme="minorHAnsi" w:cstheme="minorHAnsi"/>
        </w:rPr>
        <w:t>, teisėjų kolegija atkreipė dėmesį į L</w:t>
      </w:r>
      <w:r w:rsidR="00F06EB8" w:rsidRPr="00D3763B">
        <w:rPr>
          <w:rFonts w:asciiTheme="minorHAnsi" w:hAnsiTheme="minorHAnsi" w:cstheme="minorHAnsi"/>
        </w:rPr>
        <w:t xml:space="preserve">VAT </w:t>
      </w:r>
      <w:r w:rsidRPr="00D3763B">
        <w:rPr>
          <w:rFonts w:asciiTheme="minorHAnsi" w:hAnsiTheme="minorHAnsi" w:cstheme="minorHAnsi"/>
        </w:rPr>
        <w:t>išaiškinimą, jog asmens teisės turi būti ginamos efektyviai, todėl informacinės sistemos nepakankamos techninės galimybės, kurios tiesiogiai susijusios su asmens teisių ir pareigų įgyvendinimu, negali būti kliūtimi įgyvendinti teisės aktais garantuojamas teises. Tam tikro mechanizmo nebuvimas negali būti kliūtimi asmeniui įgyvendinti savo teises, nagrinėjamu atveju</w:t>
      </w:r>
      <w:r w:rsidR="00B46D95" w:rsidRPr="00D3763B">
        <w:rPr>
          <w:rFonts w:asciiTheme="minorHAnsi" w:hAnsiTheme="minorHAnsi" w:cstheme="minorHAnsi"/>
        </w:rPr>
        <w:t xml:space="preserve"> </w:t>
      </w:r>
      <w:r w:rsidR="00AA3AF0">
        <w:rPr>
          <w:rFonts w:asciiTheme="minorHAnsi" w:hAnsiTheme="minorHAnsi" w:cstheme="minorHAnsi"/>
        </w:rPr>
        <w:t>–</w:t>
      </w:r>
      <w:r w:rsidR="00B46D95" w:rsidRPr="00D3763B">
        <w:rPr>
          <w:rFonts w:asciiTheme="minorHAnsi" w:hAnsiTheme="minorHAnsi" w:cstheme="minorHAnsi"/>
        </w:rPr>
        <w:t xml:space="preserve"> </w:t>
      </w:r>
      <w:r w:rsidRPr="00D3763B">
        <w:rPr>
          <w:rFonts w:asciiTheme="minorHAnsi" w:hAnsiTheme="minorHAnsi" w:cstheme="minorHAnsi"/>
        </w:rPr>
        <w:t>įgyvendinti konstitucinę teisę į nuosavybę (žr., pvz., 2014 m. gegužės 19 d. sprendimą administracinėje byloje Nr. A</w:t>
      </w:r>
      <w:r w:rsidRPr="00D3763B">
        <w:rPr>
          <w:rFonts w:asciiTheme="minorHAnsi" w:hAnsiTheme="minorHAnsi" w:cstheme="minorHAnsi"/>
          <w:vertAlign w:val="superscript"/>
        </w:rPr>
        <w:t>602</w:t>
      </w:r>
      <w:r w:rsidRPr="00D3763B">
        <w:rPr>
          <w:rFonts w:asciiTheme="minorHAnsi" w:hAnsiTheme="minorHAnsi" w:cstheme="minorHAnsi"/>
        </w:rPr>
        <w:t xml:space="preserve">-660/2014). </w:t>
      </w:r>
    </w:p>
    <w:p w:rsidR="00B46D95" w:rsidRPr="00AA3AF0" w:rsidRDefault="005E4055" w:rsidP="00B46D95">
      <w:pPr>
        <w:pStyle w:val="NoSpacing"/>
        <w:ind w:firstLine="567"/>
        <w:jc w:val="both"/>
        <w:rPr>
          <w:rFonts w:asciiTheme="minorHAnsi" w:hAnsiTheme="minorHAnsi" w:cstheme="minorHAnsi"/>
          <w:u w:val="single"/>
        </w:rPr>
      </w:pPr>
      <w:r w:rsidRPr="00AA3AF0">
        <w:rPr>
          <w:rFonts w:asciiTheme="minorHAnsi" w:hAnsiTheme="minorHAnsi" w:cstheme="minorHAnsi"/>
        </w:rPr>
        <w:t xml:space="preserve">Nagrinėtoje byloje </w:t>
      </w:r>
      <w:r w:rsidRPr="00AA3AF0">
        <w:rPr>
          <w:rFonts w:asciiTheme="minorHAnsi" w:hAnsiTheme="minorHAnsi" w:cstheme="minorHAnsi"/>
          <w:u w:val="single"/>
        </w:rPr>
        <w:t>prašymo išduoti statybos leidimą tikrinimo metu Savivaldybės administracija visus reikiamus dokumentus turėjo, tačiau ne visi dokumentai buvo patalpinti IS „</w:t>
      </w:r>
      <w:proofErr w:type="spellStart"/>
      <w:r w:rsidRPr="00AA3AF0">
        <w:rPr>
          <w:rFonts w:asciiTheme="minorHAnsi" w:hAnsiTheme="minorHAnsi" w:cstheme="minorHAnsi"/>
          <w:u w:val="single"/>
        </w:rPr>
        <w:t>Infostatyba</w:t>
      </w:r>
      <w:proofErr w:type="spellEnd"/>
      <w:r w:rsidRPr="00AA3AF0">
        <w:rPr>
          <w:rFonts w:asciiTheme="minorHAnsi" w:hAnsiTheme="minorHAnsi" w:cstheme="minorHAnsi"/>
          <w:u w:val="single"/>
        </w:rPr>
        <w:t>“, tai motyvuojant administracinio pobūdžio kliūtimis. Teisėjų kolegija sprendė, kad šios aplinkybės nesudaro pagrindo</w:t>
      </w:r>
      <w:r w:rsidR="00AF1F76" w:rsidRPr="00AA3AF0">
        <w:rPr>
          <w:rFonts w:asciiTheme="minorHAnsi" w:hAnsiTheme="minorHAnsi" w:cstheme="minorHAnsi"/>
          <w:u w:val="single"/>
        </w:rPr>
        <w:t xml:space="preserve"> </w:t>
      </w:r>
      <w:r w:rsidRPr="00AA3AF0">
        <w:rPr>
          <w:rFonts w:asciiTheme="minorHAnsi" w:hAnsiTheme="minorHAnsi" w:cstheme="minorHAnsi"/>
          <w:u w:val="single"/>
        </w:rPr>
        <w:t>statybos leidimą pripažinti neteisėtu ir jį panaikinti.</w:t>
      </w:r>
    </w:p>
    <w:p w:rsidR="00B46D95" w:rsidRPr="00D3763B" w:rsidRDefault="005E4055" w:rsidP="00B46D95">
      <w:pPr>
        <w:pStyle w:val="NoSpacing"/>
        <w:ind w:firstLine="567"/>
        <w:jc w:val="both"/>
        <w:rPr>
          <w:rFonts w:asciiTheme="minorHAnsi" w:hAnsiTheme="minorHAnsi" w:cstheme="minorHAnsi"/>
        </w:rPr>
      </w:pPr>
      <w:r w:rsidRPr="00D3763B">
        <w:rPr>
          <w:rFonts w:asciiTheme="minorHAnsi" w:hAnsiTheme="minorHAnsi" w:cstheme="minorHAnsi"/>
        </w:rPr>
        <w:t>Pirmosios instancijos teismas dėl aplinkybės, kad pastato aukštis 0,75 m viršija detaliajame plane nustatytą leistiną pastato aukštį, atsižvelgęs į pastato ir sklypo specifiką, atsakovo teiginius apie galimybę nustatyt</w:t>
      </w:r>
      <w:r w:rsidR="00B46D95" w:rsidRPr="00D3763B">
        <w:rPr>
          <w:rFonts w:asciiTheme="minorHAnsi" w:hAnsiTheme="minorHAnsi" w:cstheme="minorHAnsi"/>
        </w:rPr>
        <w:t>ą neatitikimą ištaisyti, vadovau</w:t>
      </w:r>
      <w:r w:rsidRPr="00D3763B">
        <w:rPr>
          <w:rFonts w:asciiTheme="minorHAnsi" w:hAnsiTheme="minorHAnsi" w:cstheme="minorHAnsi"/>
        </w:rPr>
        <w:t>damasis teisingumo ir protingumo principais, nusprendė, kad 0,75 m nukrypimas nuo teisės aktuose nustatyto leistino 10 m aukščio nagrinėjamu atveju nelaikytinas dideliu, lemiančiu statybos leidimo neteisėtumą.</w:t>
      </w:r>
    </w:p>
    <w:p w:rsidR="00B46D95" w:rsidRPr="00D3763B" w:rsidRDefault="005E4055" w:rsidP="00B46D95">
      <w:pPr>
        <w:pStyle w:val="NoSpacing"/>
        <w:ind w:firstLine="567"/>
        <w:jc w:val="both"/>
        <w:rPr>
          <w:rFonts w:asciiTheme="minorHAnsi" w:hAnsiTheme="minorHAnsi" w:cstheme="minorHAnsi"/>
        </w:rPr>
      </w:pPr>
      <w:r w:rsidRPr="00D3763B">
        <w:rPr>
          <w:rFonts w:asciiTheme="minorHAnsi" w:hAnsiTheme="minorHAnsi" w:cstheme="minorHAnsi"/>
        </w:rPr>
        <w:t xml:space="preserve">LVAT teisėjų kolegija atkreipė dėmesį į tai, kad detaliajame plane aiškiai ir nedviprasmiškai nustatytas leistinas aukštis – iki 10 m, jokios šios nuostatos išimtys nėra numatytos. </w:t>
      </w:r>
      <w:r w:rsidR="00B46D95" w:rsidRPr="00D3763B">
        <w:rPr>
          <w:rFonts w:asciiTheme="minorHAnsi" w:hAnsiTheme="minorHAnsi" w:cstheme="minorHAnsi"/>
        </w:rPr>
        <w:t>N</w:t>
      </w:r>
      <w:r w:rsidRPr="00D3763B">
        <w:rPr>
          <w:rFonts w:asciiTheme="minorHAnsi" w:hAnsiTheme="minorHAnsi" w:cstheme="minorHAnsi"/>
        </w:rPr>
        <w:t>ei Statyb</w:t>
      </w:r>
      <w:r w:rsidR="00B46D95" w:rsidRPr="00D3763B">
        <w:rPr>
          <w:rFonts w:asciiTheme="minorHAnsi" w:hAnsiTheme="minorHAnsi" w:cstheme="minorHAnsi"/>
        </w:rPr>
        <w:t>os</w:t>
      </w:r>
      <w:r w:rsidRPr="00D3763B">
        <w:rPr>
          <w:rFonts w:asciiTheme="minorHAnsi" w:hAnsiTheme="minorHAnsi" w:cstheme="minorHAnsi"/>
        </w:rPr>
        <w:t xml:space="preserve"> įstatymas, nei kiti teisės aktai statytojui nesuteikė teisės nukrypti nuo teritorijų planavimo dokumentų sprendinių. Kai keičiami privalomi teritorijos tvarkymo ir naudojimo režimo reikalavimai, kurių vienas yra leistinas pastatų aukštis, turi būti rengiamas detalusis planas. Teisėjų kolegija, įvertinusi ginčo statybos leidimo ir pastato projekto turinį, konstatavo, kad nurodytas projektas, kuriame </w:t>
      </w:r>
      <w:r w:rsidRPr="00D3763B">
        <w:rPr>
          <w:rFonts w:asciiTheme="minorHAnsi" w:hAnsiTheme="minorHAnsi" w:cstheme="minorHAnsi"/>
          <w:color w:val="000000"/>
        </w:rPr>
        <w:t>planuojamo</w:t>
      </w:r>
      <w:r w:rsidRPr="00D3763B">
        <w:rPr>
          <w:rFonts w:asciiTheme="minorHAnsi" w:hAnsiTheme="minorHAnsi" w:cstheme="minorHAnsi"/>
        </w:rPr>
        <w:t xml:space="preserve"> statyti pastato aukštis viršija detaliajame plane nustatytą leistiną aukštį, neatitinka Statybos įstatymo 20 straipsnio 3 dalies reikalavimų, todėl, nesant galimybės šį trūkumą ištaisyti neišduodant naujo statybą leidžiančio dokumento, statybos leidimas, kuriuo pastato projektas buvo patvirtintas, laikytinas neteisėtu bei nepagrįstu ir yra naikintinas. </w:t>
      </w:r>
    </w:p>
    <w:p w:rsidR="005E4055" w:rsidRPr="00D3763B" w:rsidRDefault="005E4055" w:rsidP="00B46D95">
      <w:pPr>
        <w:pStyle w:val="NoSpacing"/>
        <w:ind w:firstLine="567"/>
        <w:jc w:val="both"/>
        <w:rPr>
          <w:rFonts w:asciiTheme="minorHAnsi" w:hAnsiTheme="minorHAnsi" w:cstheme="minorHAnsi"/>
        </w:rPr>
      </w:pPr>
      <w:r w:rsidRPr="00D3763B">
        <w:rPr>
          <w:rFonts w:asciiTheme="minorHAnsi" w:hAnsiTheme="minorHAnsi" w:cstheme="minorHAnsi"/>
        </w:rPr>
        <w:lastRenderedPageBreak/>
        <w:t xml:space="preserve">Pirmosios instancijos teismo sprendimas panaikintas ir priimtas naujas sprendimas </w:t>
      </w:r>
      <w:r w:rsidR="00AA3AF0">
        <w:rPr>
          <w:rFonts w:asciiTheme="minorHAnsi" w:hAnsiTheme="minorHAnsi" w:cstheme="minorHAnsi"/>
        </w:rPr>
        <w:t>–</w:t>
      </w:r>
      <w:r w:rsidRPr="00D3763B">
        <w:rPr>
          <w:rFonts w:asciiTheme="minorHAnsi" w:hAnsiTheme="minorHAnsi" w:cstheme="minorHAnsi"/>
        </w:rPr>
        <w:t xml:space="preserve"> panaikinti ginčo statybos leidimą.</w:t>
      </w:r>
    </w:p>
    <w:p w:rsidR="005E4055" w:rsidRPr="00D3763B" w:rsidRDefault="005E4055" w:rsidP="005E4055">
      <w:pPr>
        <w:pStyle w:val="NoSpacing"/>
        <w:ind w:firstLine="851"/>
        <w:jc w:val="both"/>
        <w:rPr>
          <w:rFonts w:asciiTheme="minorHAnsi" w:hAnsiTheme="minorHAnsi" w:cstheme="minorHAnsi"/>
        </w:rPr>
      </w:pPr>
    </w:p>
    <w:p w:rsidR="005E4055" w:rsidRPr="00D3763B" w:rsidRDefault="005E4055" w:rsidP="00B46D95">
      <w:pPr>
        <w:pStyle w:val="NoSpacing"/>
        <w:jc w:val="both"/>
        <w:rPr>
          <w:rFonts w:asciiTheme="minorHAnsi" w:hAnsiTheme="minorHAnsi" w:cstheme="minorHAnsi"/>
        </w:rPr>
      </w:pPr>
      <w:r w:rsidRPr="00D3763B">
        <w:rPr>
          <w:rFonts w:asciiTheme="minorHAnsi" w:hAnsiTheme="minorHAnsi" w:cstheme="minorHAnsi"/>
        </w:rPr>
        <w:t>201</w:t>
      </w:r>
      <w:r w:rsidRPr="00D3763B">
        <w:rPr>
          <w:rFonts w:asciiTheme="minorHAnsi" w:hAnsiTheme="minorHAnsi" w:cstheme="minorHAnsi"/>
          <w:lang w:val="en-US"/>
        </w:rPr>
        <w:t>8</w:t>
      </w:r>
      <w:r w:rsidRPr="00D3763B">
        <w:rPr>
          <w:rFonts w:asciiTheme="minorHAnsi" w:hAnsiTheme="minorHAnsi" w:cstheme="minorHAnsi"/>
        </w:rPr>
        <w:t xml:space="preserve"> m. birželio 13 d. sprendimas administracinėje byloje Nr. eA-586-552/2018</w:t>
      </w:r>
    </w:p>
    <w:p w:rsidR="005E4055" w:rsidRPr="00D3763B" w:rsidRDefault="005E4055" w:rsidP="00B46D95">
      <w:pPr>
        <w:pStyle w:val="NoSpacing"/>
        <w:jc w:val="both"/>
        <w:rPr>
          <w:rFonts w:asciiTheme="minorHAnsi" w:hAnsiTheme="minorHAnsi" w:cstheme="minorHAnsi"/>
        </w:rPr>
      </w:pPr>
      <w:r w:rsidRPr="00D3763B">
        <w:rPr>
          <w:rFonts w:asciiTheme="minorHAnsi" w:hAnsiTheme="minorHAnsi" w:cstheme="minorHAnsi"/>
        </w:rPr>
        <w:t xml:space="preserve">Teisminio proceso Nr. </w:t>
      </w:r>
      <w:r w:rsidRPr="00D3763B">
        <w:rPr>
          <w:rFonts w:asciiTheme="minorHAnsi" w:hAnsiTheme="minorHAnsi" w:cstheme="minorHAnsi"/>
          <w:color w:val="000000"/>
        </w:rPr>
        <w:t>3-61-3-02903-2015-5</w:t>
      </w:r>
    </w:p>
    <w:p w:rsidR="005E4055" w:rsidRPr="00D3763B" w:rsidRDefault="005E4055" w:rsidP="00B46D95">
      <w:pPr>
        <w:pStyle w:val="NoSpacing"/>
        <w:jc w:val="both"/>
        <w:rPr>
          <w:rFonts w:asciiTheme="minorHAnsi" w:hAnsiTheme="minorHAnsi" w:cstheme="minorHAnsi"/>
        </w:rPr>
      </w:pPr>
      <w:r w:rsidRPr="00D3763B">
        <w:rPr>
          <w:rFonts w:asciiTheme="minorHAnsi" w:hAnsiTheme="minorHAnsi" w:cstheme="minorHAnsi"/>
        </w:rPr>
        <w:t>Procesinio sprendimo kategorij</w:t>
      </w:r>
      <w:r w:rsidR="00B46D95" w:rsidRPr="00D3763B">
        <w:rPr>
          <w:rFonts w:asciiTheme="minorHAnsi" w:hAnsiTheme="minorHAnsi" w:cstheme="minorHAnsi"/>
        </w:rPr>
        <w:t xml:space="preserve">a </w:t>
      </w:r>
      <w:r w:rsidRPr="00D3763B">
        <w:rPr>
          <w:rFonts w:asciiTheme="minorHAnsi" w:hAnsiTheme="minorHAnsi" w:cstheme="minorHAnsi"/>
        </w:rPr>
        <w:t>17.3.3</w:t>
      </w:r>
    </w:p>
    <w:p w:rsidR="005E4055" w:rsidRPr="00D3763B" w:rsidRDefault="000220C9" w:rsidP="00B46D95">
      <w:pPr>
        <w:pStyle w:val="NormalWeb"/>
        <w:shd w:val="clear" w:color="auto" w:fill="FFFFFF"/>
        <w:spacing w:before="0" w:beforeAutospacing="0" w:after="0" w:afterAutospacing="0"/>
        <w:jc w:val="both"/>
        <w:rPr>
          <w:rFonts w:asciiTheme="minorHAnsi" w:hAnsiTheme="minorHAnsi" w:cstheme="minorHAnsi"/>
          <w:sz w:val="22"/>
          <w:szCs w:val="22"/>
          <w:lang w:val="lt-LT"/>
        </w:rPr>
      </w:pPr>
      <w:hyperlink r:id="rId16" w:history="1">
        <w:r w:rsidR="005E4055" w:rsidRPr="00D3763B">
          <w:rPr>
            <w:rStyle w:val="Hyperlink"/>
            <w:rFonts w:asciiTheme="minorHAnsi" w:hAnsiTheme="minorHAnsi" w:cstheme="minorHAnsi"/>
            <w:sz w:val="22"/>
            <w:szCs w:val="22"/>
            <w:lang w:val="lt-LT"/>
          </w:rPr>
          <w:t>Prieiga internete</w:t>
        </w:r>
      </w:hyperlink>
    </w:p>
    <w:p w:rsidR="005E4055" w:rsidRPr="00D3763B" w:rsidRDefault="005E4055" w:rsidP="005E4055">
      <w:pPr>
        <w:pStyle w:val="NoSpacing"/>
        <w:jc w:val="both"/>
        <w:rPr>
          <w:rFonts w:asciiTheme="minorHAnsi" w:hAnsiTheme="minorHAnsi" w:cstheme="minorHAnsi"/>
        </w:rPr>
      </w:pPr>
    </w:p>
    <w:p w:rsidR="00A84D45" w:rsidRPr="00D3763B" w:rsidRDefault="00A84D45" w:rsidP="0014360F">
      <w:pPr>
        <w:pStyle w:val="Apzvalgai1"/>
        <w:rPr>
          <w:rFonts w:asciiTheme="minorHAnsi" w:hAnsiTheme="minorHAnsi" w:cstheme="minorHAnsi"/>
          <w:highlight w:val="yellow"/>
        </w:rPr>
      </w:pPr>
      <w:bookmarkStart w:id="34" w:name="_Toc524957042"/>
      <w:r w:rsidRPr="00D3763B">
        <w:rPr>
          <w:rFonts w:asciiTheme="minorHAnsi" w:hAnsiTheme="minorHAnsi" w:cstheme="minorHAnsi"/>
        </w:rPr>
        <w:t>20. Civilinė atsakomybė už žalą, atsiradusią dėl valdžios institucijų neteisėtų veiksmų</w:t>
      </w:r>
      <w:bookmarkEnd w:id="30"/>
      <w:bookmarkEnd w:id="34"/>
    </w:p>
    <w:p w:rsidR="00A84D45" w:rsidRPr="00D3763B" w:rsidRDefault="00A84D45" w:rsidP="00A84D45">
      <w:pPr>
        <w:ind w:firstLine="567"/>
        <w:jc w:val="both"/>
        <w:rPr>
          <w:rFonts w:asciiTheme="minorHAnsi" w:hAnsiTheme="minorHAnsi" w:cstheme="minorHAnsi"/>
          <w:b/>
          <w:sz w:val="22"/>
          <w:szCs w:val="22"/>
          <w:highlight w:val="yellow"/>
          <w:u w:val="single"/>
        </w:rPr>
      </w:pPr>
      <w:r w:rsidRPr="00D3763B">
        <w:rPr>
          <w:rFonts w:asciiTheme="minorHAnsi" w:hAnsiTheme="minorHAnsi" w:cstheme="minorHAnsi"/>
          <w:b/>
          <w:sz w:val="22"/>
          <w:szCs w:val="22"/>
          <w:u w:val="single"/>
        </w:rPr>
        <w:t>20.2. Civilinės atsakomybės sąlygos</w:t>
      </w:r>
    </w:p>
    <w:p w:rsidR="00A84D45" w:rsidRPr="00D3763B" w:rsidRDefault="00A84D45" w:rsidP="00A84D45">
      <w:pPr>
        <w:ind w:firstLine="1134"/>
        <w:jc w:val="both"/>
        <w:rPr>
          <w:rFonts w:asciiTheme="minorHAnsi" w:hAnsiTheme="minorHAnsi" w:cstheme="minorHAnsi"/>
          <w:b/>
          <w:sz w:val="22"/>
          <w:szCs w:val="22"/>
          <w:u w:val="single"/>
        </w:rPr>
      </w:pPr>
      <w:r w:rsidRPr="00D3763B">
        <w:rPr>
          <w:rFonts w:asciiTheme="minorHAnsi" w:hAnsiTheme="minorHAnsi" w:cstheme="minorHAnsi"/>
          <w:b/>
          <w:sz w:val="22"/>
          <w:szCs w:val="22"/>
          <w:u w:val="single"/>
        </w:rPr>
        <w:t>20.2.3. Žala</w:t>
      </w:r>
    </w:p>
    <w:p w:rsidR="00A84D45" w:rsidRPr="00D3763B" w:rsidRDefault="00A84D45" w:rsidP="00A84D45">
      <w:pPr>
        <w:ind w:firstLine="1418"/>
        <w:jc w:val="both"/>
        <w:rPr>
          <w:rFonts w:asciiTheme="minorHAnsi" w:hAnsiTheme="minorHAnsi" w:cstheme="minorHAnsi"/>
          <w:b/>
          <w:sz w:val="22"/>
          <w:szCs w:val="22"/>
          <w:u w:val="single"/>
        </w:rPr>
      </w:pPr>
      <w:r w:rsidRPr="00D3763B">
        <w:rPr>
          <w:rFonts w:asciiTheme="minorHAnsi" w:hAnsiTheme="minorHAnsi" w:cstheme="minorHAnsi"/>
          <w:b/>
          <w:sz w:val="22"/>
          <w:szCs w:val="22"/>
          <w:u w:val="single"/>
        </w:rPr>
        <w:t>20.2.3.1. Turtinė žala</w:t>
      </w:r>
    </w:p>
    <w:p w:rsidR="00CB46BE" w:rsidRPr="00D3763B" w:rsidRDefault="00CB46BE" w:rsidP="00CB46BE">
      <w:pPr>
        <w:jc w:val="both"/>
        <w:rPr>
          <w:rFonts w:asciiTheme="minorHAnsi" w:hAnsiTheme="minorHAnsi" w:cstheme="minorHAnsi"/>
          <w:b/>
          <w:sz w:val="22"/>
          <w:szCs w:val="22"/>
          <w:u w:val="single"/>
        </w:rPr>
      </w:pPr>
    </w:p>
    <w:p w:rsidR="00CB46BE" w:rsidRPr="00D3763B" w:rsidRDefault="00CB46BE" w:rsidP="00D3763B">
      <w:pPr>
        <w:pStyle w:val="Heading2"/>
      </w:pPr>
      <w:bookmarkStart w:id="35" w:name="_Toc524957043"/>
      <w:r w:rsidRPr="00D3763B">
        <w:t>Dėl sprendimo neišleisti nepilnamečio asmens į kelionę su tėvais, nenurodžius tam teisinio pagrindo, neteisėtumo</w:t>
      </w:r>
      <w:bookmarkEnd w:id="35"/>
    </w:p>
    <w:p w:rsidR="00CB46BE" w:rsidRPr="00D3763B" w:rsidRDefault="00CB46BE" w:rsidP="00CB46BE">
      <w:pPr>
        <w:pStyle w:val="NoSpacing"/>
        <w:ind w:firstLine="567"/>
        <w:jc w:val="both"/>
        <w:rPr>
          <w:rFonts w:asciiTheme="minorHAnsi" w:hAnsiTheme="minorHAnsi" w:cstheme="minorHAnsi"/>
        </w:rPr>
      </w:pPr>
    </w:p>
    <w:p w:rsidR="0018007F" w:rsidRPr="00D3763B" w:rsidRDefault="00CB46BE" w:rsidP="00CB46BE">
      <w:pPr>
        <w:pStyle w:val="NoSpacing"/>
        <w:ind w:firstLine="567"/>
        <w:jc w:val="both"/>
        <w:rPr>
          <w:rFonts w:asciiTheme="minorHAnsi" w:hAnsiTheme="minorHAnsi" w:cstheme="minorHAnsi"/>
        </w:rPr>
      </w:pPr>
      <w:r w:rsidRPr="00D3763B">
        <w:rPr>
          <w:rFonts w:asciiTheme="minorHAnsi" w:hAnsiTheme="minorHAnsi" w:cstheme="minorHAnsi"/>
        </w:rPr>
        <w:t>Nagrinė</w:t>
      </w:r>
      <w:r w:rsidR="0018007F" w:rsidRPr="00D3763B">
        <w:rPr>
          <w:rFonts w:asciiTheme="minorHAnsi" w:hAnsiTheme="minorHAnsi" w:cstheme="minorHAnsi"/>
        </w:rPr>
        <w:t>t</w:t>
      </w:r>
      <w:r w:rsidRPr="00D3763B">
        <w:rPr>
          <w:rFonts w:asciiTheme="minorHAnsi" w:hAnsiTheme="minorHAnsi" w:cstheme="minorHAnsi"/>
        </w:rPr>
        <w:t>oje byloje ginčas kilo dėl turtinės ir neturtinės žalos, kurią pareiškėjai kildino iš neteisėtų Valstybės sienos apsaugos tarnybos prie Vidaus reikalų ministerijos Vilniaus rinktinės (toliau – VSAT Vilniaus rinktinė) pareigūnų veiksmų, netinkamai atliekant į ne Šengeno erdvės šalį (į Vietnamą per Maskvą) išvykstančių keleivių dokumentų patikros funkcijas, t. y. neišleidžiant kartu su pareiškėjais į kelionę jų dukros M. D. L., priteisimo.</w:t>
      </w:r>
    </w:p>
    <w:p w:rsidR="00CB46BE" w:rsidRPr="00D3763B" w:rsidRDefault="00CB46BE" w:rsidP="0018007F">
      <w:pPr>
        <w:pStyle w:val="NoSpacing"/>
        <w:ind w:firstLine="567"/>
        <w:jc w:val="both"/>
        <w:rPr>
          <w:rFonts w:asciiTheme="minorHAnsi" w:hAnsiTheme="minorHAnsi" w:cstheme="minorHAnsi"/>
        </w:rPr>
      </w:pPr>
      <w:r w:rsidRPr="00D3763B">
        <w:rPr>
          <w:rFonts w:asciiTheme="minorHAnsi" w:hAnsiTheme="minorHAnsi" w:cstheme="minorHAnsi"/>
        </w:rPr>
        <w:t xml:space="preserve">Oro uoste pasų patikros metu paaiškėjo, kad pareiškėjų dukra yra JAV pilietė. Jei nustatoma, kad asmuo </w:t>
      </w:r>
      <w:r w:rsidR="0018007F" w:rsidRPr="00D3763B">
        <w:rPr>
          <w:rFonts w:asciiTheme="minorHAnsi" w:hAnsiTheme="minorHAnsi" w:cstheme="minorHAnsi"/>
        </w:rPr>
        <w:t xml:space="preserve">yra </w:t>
      </w:r>
      <w:r w:rsidRPr="00D3763B">
        <w:rPr>
          <w:rFonts w:asciiTheme="minorHAnsi" w:hAnsiTheme="minorHAnsi" w:cstheme="minorHAnsi"/>
        </w:rPr>
        <w:t>ne Lietuvos pilietis, būtina įsitikinti, ar ne Lietuvos pilietis Lietuvoje yra ne</w:t>
      </w:r>
      <w:r w:rsidR="00914108">
        <w:rPr>
          <w:rFonts w:asciiTheme="minorHAnsi" w:hAnsiTheme="minorHAnsi" w:cstheme="minorHAnsi"/>
        </w:rPr>
        <w:t xml:space="preserve"> daugiau, kaip 90 dienų per 180 </w:t>
      </w:r>
      <w:r w:rsidRPr="00D3763B">
        <w:rPr>
          <w:rFonts w:asciiTheme="minorHAnsi" w:hAnsiTheme="minorHAnsi" w:cstheme="minorHAnsi"/>
        </w:rPr>
        <w:t>dienų laikotarpį. Mergaitė į Lietuvą atvyko prieš 4 metus. Pareiškėjai nurodė, kad dukra turi dvigubą</w:t>
      </w:r>
      <w:r w:rsidR="0018007F" w:rsidRPr="00D3763B">
        <w:rPr>
          <w:rFonts w:asciiTheme="minorHAnsi" w:hAnsiTheme="minorHAnsi" w:cstheme="minorHAnsi"/>
        </w:rPr>
        <w:t xml:space="preserve"> – </w:t>
      </w:r>
      <w:r w:rsidRPr="00D3763B">
        <w:rPr>
          <w:rFonts w:asciiTheme="minorHAnsi" w:hAnsiTheme="minorHAnsi" w:cstheme="minorHAnsi"/>
        </w:rPr>
        <w:t>Lietuvos ir JAV</w:t>
      </w:r>
      <w:r w:rsidR="0018007F" w:rsidRPr="00D3763B">
        <w:rPr>
          <w:rFonts w:asciiTheme="minorHAnsi" w:hAnsiTheme="minorHAnsi" w:cstheme="minorHAnsi"/>
        </w:rPr>
        <w:t xml:space="preserve"> – </w:t>
      </w:r>
      <w:r w:rsidRPr="00D3763B">
        <w:rPr>
          <w:rFonts w:asciiTheme="minorHAnsi" w:hAnsiTheme="minorHAnsi" w:cstheme="minorHAnsi"/>
        </w:rPr>
        <w:t>pilietybę, tačiau VSAT Vilniaus rinktinės atstovų teigimu</w:t>
      </w:r>
      <w:r w:rsidR="0018007F" w:rsidRPr="00D3763B">
        <w:rPr>
          <w:rFonts w:asciiTheme="minorHAnsi" w:hAnsiTheme="minorHAnsi" w:cstheme="minorHAnsi"/>
        </w:rPr>
        <w:t>,</w:t>
      </w:r>
      <w:r w:rsidRPr="00D3763B">
        <w:rPr>
          <w:rFonts w:asciiTheme="minorHAnsi" w:hAnsiTheme="minorHAnsi" w:cstheme="minorHAnsi"/>
        </w:rPr>
        <w:t xml:space="preserve"> tai patvirtinančių dokumentų nepateikė, nors pareiškėjai teigia, kad į oro uostą buvo skubiai pristatytas ir VSAT Vilniaus rinktinės atstovams pateiktas nepilnametės gimimo liudijimas.</w:t>
      </w:r>
    </w:p>
    <w:p w:rsidR="00CB46BE" w:rsidRPr="00D3763B" w:rsidRDefault="00CB46BE" w:rsidP="00CB46BE">
      <w:pPr>
        <w:pStyle w:val="NoSpacing"/>
        <w:ind w:firstLine="567"/>
        <w:jc w:val="both"/>
        <w:rPr>
          <w:rFonts w:asciiTheme="minorHAnsi" w:hAnsiTheme="minorHAnsi" w:cstheme="minorHAnsi"/>
        </w:rPr>
      </w:pPr>
      <w:r w:rsidRPr="00D3763B">
        <w:rPr>
          <w:rFonts w:asciiTheme="minorHAnsi" w:hAnsiTheme="minorHAnsi" w:cstheme="minorHAnsi"/>
        </w:rPr>
        <w:t xml:space="preserve">Įvertinęs byloje nustatytas aplinkybes, LVAT pažymėjo, kad pirmosios instancijos teismas nepagrįstai vertino, jog iškilusioje ginčo situacijoje joks VSAT Vilniaus rinktinės pareigūnų oficialus sprendimas dėl vaiko neišleidimo į kelionę nebuvo priimtas. Teisėjų kolegijos vertinimu, byloje nustatytos aplinkybės patvirtina priešingą faktą – pareiškėjų nepilnametei dukrai nebuvo leista vykti į kelionę su savo tėvais. Pareiškėjai (tėvai) tikrinimo metu ir bylos nagrinėjimo metu manė, jog turėjo dokumentą, reikalingą ir pakankamą nepilnamečio asmens išvykimui į ne Šengeno zonos valstybę, t. y. užsieniečio pasą, ir ne kartą pareigūnų prašė leisti dukrai vykti į kelionę. Todėl teisėjų kolegijos neįtikino atsakovo gynybinė versija, kad patys pareiškėjai priėmė sprendimą neimti dukros į kelionę. Aplinkybė, kad nebuvo priimtas rašytinis motyvuotas sprendimas neleisti išvykti pareiškėjų dukrai, minėto vertinimo nekeičia, nes šiuo atveju realiai asmeniui nebuvo leista išvykti, reikalaujant pateikti papildomus dokumentus. Pats faktas, jog pareiškėjų dukrai nebuvo leista pereiti per pasų tikrinimo postą, atsižvelgiant į tai, kad byloje nenustatyta jokių aplinkybių, išskyrus atsakovo atstovų paaiškinimus, jog pareiškėjai grįždami į bendrą salę, tai darė savo noru, parodo, jog realiai sprendimas neleisti išvykti buvo priimtas. </w:t>
      </w:r>
    </w:p>
    <w:p w:rsidR="00CB46BE" w:rsidRPr="00D3763B" w:rsidRDefault="00CB46BE" w:rsidP="00CB46BE">
      <w:pPr>
        <w:pStyle w:val="NoSpacing"/>
        <w:ind w:firstLine="567"/>
        <w:jc w:val="both"/>
        <w:rPr>
          <w:rFonts w:asciiTheme="minorHAnsi" w:hAnsiTheme="minorHAnsi" w:cstheme="minorHAnsi"/>
        </w:rPr>
      </w:pPr>
      <w:r w:rsidRPr="00D3763B">
        <w:rPr>
          <w:rFonts w:asciiTheme="minorHAnsi" w:hAnsiTheme="minorHAnsi" w:cstheme="minorHAnsi"/>
        </w:rPr>
        <w:t>Atsižvelgiant į byloje aktualų teisinį reguliavimą, vienas iš galimų pateikti dokumentų vaikui, išvykstančiam į užsienio valstybę, nepriklausančią Šengeno erdvei – užsieniečio pasas. Nagrinė</w:t>
      </w:r>
      <w:r w:rsidR="0018007F" w:rsidRPr="00D3763B">
        <w:rPr>
          <w:rFonts w:asciiTheme="minorHAnsi" w:hAnsiTheme="minorHAnsi" w:cstheme="minorHAnsi"/>
        </w:rPr>
        <w:t>t</w:t>
      </w:r>
      <w:r w:rsidRPr="00D3763B">
        <w:rPr>
          <w:rFonts w:asciiTheme="minorHAnsi" w:hAnsiTheme="minorHAnsi" w:cstheme="minorHAnsi"/>
        </w:rPr>
        <w:t xml:space="preserve">u atveju ginčo </w:t>
      </w:r>
      <w:r w:rsidR="0018007F" w:rsidRPr="00D3763B">
        <w:rPr>
          <w:rFonts w:asciiTheme="minorHAnsi" w:hAnsiTheme="minorHAnsi" w:cstheme="minorHAnsi"/>
        </w:rPr>
        <w:t xml:space="preserve">nebuvo </w:t>
      </w:r>
      <w:r w:rsidRPr="00D3763B">
        <w:rPr>
          <w:rFonts w:asciiTheme="minorHAnsi" w:hAnsiTheme="minorHAnsi" w:cstheme="minorHAnsi"/>
        </w:rPr>
        <w:t>dėl to, kad pasų tikrinimo poste buvo pateiktas pareiškėjų dukros JAV pilietės pasas, atsakovas iš esmės atliko teisės normose reglamentuotus veiksmus dėl minimalaus išvykstančių asmenų patikrinimo.</w:t>
      </w:r>
      <w:r w:rsidR="0018007F" w:rsidRPr="00D3763B">
        <w:rPr>
          <w:rFonts w:asciiTheme="minorHAnsi" w:hAnsiTheme="minorHAnsi" w:cstheme="minorHAnsi"/>
        </w:rPr>
        <w:t xml:space="preserve"> </w:t>
      </w:r>
      <w:r w:rsidRPr="00D3763B">
        <w:rPr>
          <w:rFonts w:asciiTheme="minorHAnsi" w:hAnsiTheme="minorHAnsi" w:cstheme="minorHAnsi"/>
        </w:rPr>
        <w:t>Tačiau vėliau, nurodžius, kad VSAT Vilniaus rinktinės pareigūnams kilo neaiškumų, iš pareiškėjų buvo reikalaujama pateikti papildomus dokumentus. Toks reikalavimas buvo grindžiamas Šengeno sienų kodekso VII priedo 6.1</w:t>
      </w:r>
      <w:r w:rsidR="00914108">
        <w:rPr>
          <w:rFonts w:asciiTheme="minorHAnsi" w:hAnsiTheme="minorHAnsi" w:cstheme="minorHAnsi"/>
        </w:rPr>
        <w:t> </w:t>
      </w:r>
      <w:r w:rsidRPr="00D3763B">
        <w:rPr>
          <w:rFonts w:asciiTheme="minorHAnsi" w:hAnsiTheme="minorHAnsi" w:cstheme="minorHAnsi"/>
        </w:rPr>
        <w:t>ir 6.2</w:t>
      </w:r>
      <w:r w:rsidR="00914108">
        <w:rPr>
          <w:rFonts w:asciiTheme="minorHAnsi" w:hAnsiTheme="minorHAnsi" w:cstheme="minorHAnsi"/>
        </w:rPr>
        <w:t> </w:t>
      </w:r>
      <w:r w:rsidRPr="00D3763B">
        <w:rPr>
          <w:rFonts w:asciiTheme="minorHAnsi" w:hAnsiTheme="minorHAnsi" w:cstheme="minorHAnsi"/>
        </w:rPr>
        <w:t>punktais, nurodant, kad tuo atveju, jei vaikas užsienio pilietis, jo buvimas Lietuvoje yra terminuotas, o duomenų apie vaiko atvykimą į Lietuvą nebuvo, be to, esant skirtingoms tėvų ir vaiko pilietybėms, gali kilti nepatogumų ar nesklandumų grįžtant, nes skrendama per Maskvą. Teisėjų kolegijos vertinimu, priimdamas sprendimą neleisti išvykti pareiškėjų dukrai, atsakovas nenurodė jokios teisės normos, kuri būtų pagrindas priimti aptartą sprendimą. Atsakovo nurodyto Šengeno sienų kodekso VII priedo 6.1 punkte įtvirtinta, kad nepilnamečių patikrinimai atvykstant ir išvykstant yra tokie patys, kaip ir suaugusiųjų, o Šengeno sienų kodekso VII priedo 6.2 punkte numatytas tolesnis tyrimas, kai pareigūnams kyla įtarimų, ar nepilnamečius lydintys asmenys turi tėvų globos teises juos globoti. Nagrinė</w:t>
      </w:r>
      <w:r w:rsidR="0018007F" w:rsidRPr="00D3763B">
        <w:rPr>
          <w:rFonts w:asciiTheme="minorHAnsi" w:hAnsiTheme="minorHAnsi" w:cstheme="minorHAnsi"/>
        </w:rPr>
        <w:t>t</w:t>
      </w:r>
      <w:r w:rsidRPr="00D3763B">
        <w:rPr>
          <w:rFonts w:asciiTheme="minorHAnsi" w:hAnsiTheme="minorHAnsi" w:cstheme="minorHAnsi"/>
        </w:rPr>
        <w:t xml:space="preserve">u atveju tokių aplinkybių, kurios </w:t>
      </w:r>
      <w:r w:rsidRPr="00D3763B">
        <w:rPr>
          <w:rFonts w:asciiTheme="minorHAnsi" w:hAnsiTheme="minorHAnsi" w:cstheme="minorHAnsi"/>
        </w:rPr>
        <w:lastRenderedPageBreak/>
        <w:t>būtų pagrindas kilti abejonėms dėl tėvų globos teisių, atsakovas nenurodė ir jomis nesirėmė priimdamas sprendimą neleisti skristi pareiškėjų dukrai. Aplinkybės, susijusios su nepilnametės pareiškėjų dukters buvimo Lietuvoje terminu ir galimais nesklandumais grįžtant iš kelionės, niekaip nesusiję su atsakovo nurodyto Šengeno sienų kodekso VII priedo 6.2 punkto taikymo sritimi. Atsižvelgdamas į tai, LVAT darė išvadą, kad atsakovas, neleisdamas pareiškėjų dukrai vykti į kelionę su tėvais į užsienio valstybę, nepriklausančią Šengeno erdvei, nenurodęs jokio teisinio pagrindo tokio sprendimo pagrindimui, priėmė neteisėtą ir nepagrįstą sprendimą, o tai yra pagrindas konstatuoti atsakovo pareigūnų neteisėtus veiksmus.</w:t>
      </w:r>
    </w:p>
    <w:p w:rsidR="00CB46BE" w:rsidRPr="00D3763B" w:rsidRDefault="00CB46BE" w:rsidP="000458C0">
      <w:pPr>
        <w:ind w:firstLine="567"/>
        <w:jc w:val="both"/>
        <w:rPr>
          <w:rFonts w:asciiTheme="minorHAnsi" w:hAnsiTheme="minorHAnsi" w:cstheme="minorHAnsi"/>
          <w:sz w:val="22"/>
          <w:szCs w:val="22"/>
        </w:rPr>
      </w:pPr>
      <w:r w:rsidRPr="00D3763B">
        <w:rPr>
          <w:rFonts w:asciiTheme="minorHAnsi" w:hAnsiTheme="minorHAnsi" w:cstheme="minorHAnsi"/>
          <w:sz w:val="22"/>
          <w:szCs w:val="22"/>
        </w:rPr>
        <w:t>Pareiškėjų apeliaciniai skundai patenkinti iš dalies, pirmosios instancijos teismo sprendimas panaikintas ir priimtas naujas sprendimas</w:t>
      </w:r>
      <w:r w:rsidR="000458C0" w:rsidRPr="00D3763B">
        <w:rPr>
          <w:rFonts w:asciiTheme="minorHAnsi" w:hAnsiTheme="minorHAnsi" w:cstheme="minorHAnsi"/>
          <w:sz w:val="22"/>
          <w:szCs w:val="22"/>
        </w:rPr>
        <w:t xml:space="preserve"> – </w:t>
      </w:r>
      <w:r w:rsidRPr="00D3763B">
        <w:rPr>
          <w:rFonts w:asciiTheme="minorHAnsi" w:hAnsiTheme="minorHAnsi" w:cstheme="minorHAnsi"/>
          <w:sz w:val="22"/>
          <w:szCs w:val="22"/>
        </w:rPr>
        <w:t>pareiškėjų skundas patenkintas iš dalies</w:t>
      </w:r>
      <w:r w:rsidR="000458C0" w:rsidRPr="00D3763B">
        <w:rPr>
          <w:rFonts w:asciiTheme="minorHAnsi" w:hAnsiTheme="minorHAnsi" w:cstheme="minorHAnsi"/>
          <w:sz w:val="22"/>
          <w:szCs w:val="22"/>
        </w:rPr>
        <w:t xml:space="preserve">: </w:t>
      </w:r>
      <w:r w:rsidRPr="00D3763B">
        <w:rPr>
          <w:rFonts w:asciiTheme="minorHAnsi" w:hAnsiTheme="minorHAnsi" w:cstheme="minorHAnsi"/>
          <w:sz w:val="22"/>
          <w:szCs w:val="22"/>
        </w:rPr>
        <w:t>pareiškėjui L. L. iš atsakovo Lietuvos valstybės, atstovaujamos</w:t>
      </w:r>
      <w:r w:rsidR="000458C0" w:rsidRPr="00D3763B">
        <w:rPr>
          <w:rFonts w:asciiTheme="minorHAnsi" w:hAnsiTheme="minorHAnsi" w:cstheme="minorHAnsi"/>
          <w:sz w:val="22"/>
          <w:szCs w:val="22"/>
        </w:rPr>
        <w:t xml:space="preserve"> VSAT </w:t>
      </w:r>
      <w:r w:rsidRPr="00D3763B">
        <w:rPr>
          <w:rFonts w:asciiTheme="minorHAnsi" w:hAnsiTheme="minorHAnsi" w:cstheme="minorHAnsi"/>
          <w:sz w:val="22"/>
          <w:szCs w:val="22"/>
        </w:rPr>
        <w:t>Vilniaus rinktinės, priteista 1 086 Eur turtinės žalos, taip pat jam bei pareiškėjai S. L. po 500 Eur neturtinės žalos atlyginimo.</w:t>
      </w:r>
    </w:p>
    <w:p w:rsidR="00CB46BE" w:rsidRPr="00D3763B" w:rsidRDefault="00CB46BE" w:rsidP="00CB46BE">
      <w:pPr>
        <w:jc w:val="both"/>
        <w:rPr>
          <w:rFonts w:asciiTheme="minorHAnsi" w:hAnsiTheme="minorHAnsi" w:cstheme="minorHAnsi"/>
          <w:sz w:val="22"/>
          <w:szCs w:val="22"/>
        </w:rPr>
      </w:pPr>
    </w:p>
    <w:p w:rsidR="00CB46BE" w:rsidRPr="00D3763B" w:rsidRDefault="00CB46BE" w:rsidP="00CB46BE">
      <w:pPr>
        <w:jc w:val="both"/>
        <w:rPr>
          <w:rFonts w:asciiTheme="minorHAnsi" w:hAnsiTheme="minorHAnsi" w:cstheme="minorHAnsi"/>
          <w:sz w:val="22"/>
          <w:szCs w:val="22"/>
        </w:rPr>
      </w:pPr>
      <w:r w:rsidRPr="00D3763B">
        <w:rPr>
          <w:rFonts w:asciiTheme="minorHAnsi" w:hAnsiTheme="minorHAnsi" w:cstheme="minorHAnsi"/>
          <w:sz w:val="22"/>
          <w:szCs w:val="22"/>
        </w:rPr>
        <w:t xml:space="preserve">2018 m. birželio 13 d. sprendimas administracinėje byloje Nr. A-473-822/2018 </w:t>
      </w:r>
    </w:p>
    <w:p w:rsidR="00CB46BE" w:rsidRPr="00D3763B" w:rsidRDefault="00CB46BE" w:rsidP="00CB46BE">
      <w:pPr>
        <w:jc w:val="both"/>
        <w:rPr>
          <w:rFonts w:asciiTheme="minorHAnsi" w:hAnsiTheme="minorHAnsi" w:cstheme="minorHAnsi"/>
          <w:sz w:val="22"/>
          <w:szCs w:val="22"/>
        </w:rPr>
      </w:pPr>
      <w:r w:rsidRPr="00D3763B">
        <w:rPr>
          <w:rFonts w:asciiTheme="minorHAnsi" w:hAnsiTheme="minorHAnsi" w:cstheme="minorHAnsi"/>
          <w:sz w:val="22"/>
          <w:szCs w:val="22"/>
        </w:rPr>
        <w:t>Teisminio proceso Nr. 3-61-3-05892-2015-5</w:t>
      </w:r>
    </w:p>
    <w:p w:rsidR="00CB46BE" w:rsidRPr="00D3763B" w:rsidRDefault="00CB46BE" w:rsidP="00CB46BE">
      <w:pPr>
        <w:jc w:val="both"/>
        <w:rPr>
          <w:rFonts w:asciiTheme="minorHAnsi" w:hAnsiTheme="minorHAnsi" w:cstheme="minorHAnsi"/>
          <w:sz w:val="22"/>
          <w:szCs w:val="22"/>
        </w:rPr>
      </w:pPr>
      <w:r w:rsidRPr="00D3763B">
        <w:rPr>
          <w:rFonts w:asciiTheme="minorHAnsi" w:hAnsiTheme="minorHAnsi" w:cstheme="minorHAnsi"/>
          <w:sz w:val="22"/>
          <w:szCs w:val="22"/>
        </w:rPr>
        <w:t xml:space="preserve">Procesinio sprendimo kategorijos: 20.2.3.1; 20.2.3.2 </w:t>
      </w:r>
    </w:p>
    <w:p w:rsidR="00CB46BE" w:rsidRPr="00D3763B" w:rsidRDefault="000220C9" w:rsidP="00CB46BE">
      <w:pPr>
        <w:jc w:val="both"/>
        <w:rPr>
          <w:rFonts w:asciiTheme="minorHAnsi" w:hAnsiTheme="minorHAnsi" w:cstheme="minorHAnsi"/>
          <w:sz w:val="22"/>
          <w:szCs w:val="22"/>
        </w:rPr>
      </w:pPr>
      <w:hyperlink r:id="rId17" w:history="1">
        <w:r w:rsidR="00CB46BE" w:rsidRPr="00D3763B">
          <w:rPr>
            <w:rStyle w:val="Hyperlink"/>
            <w:rFonts w:asciiTheme="minorHAnsi" w:hAnsiTheme="minorHAnsi" w:cstheme="minorHAnsi"/>
            <w:sz w:val="22"/>
            <w:szCs w:val="22"/>
          </w:rPr>
          <w:t>Prieiga internete</w:t>
        </w:r>
      </w:hyperlink>
    </w:p>
    <w:p w:rsidR="00CB46BE" w:rsidRPr="00D3763B" w:rsidRDefault="00CB46BE" w:rsidP="00CB46BE">
      <w:pPr>
        <w:jc w:val="both"/>
        <w:rPr>
          <w:rFonts w:asciiTheme="minorHAnsi" w:hAnsiTheme="minorHAnsi" w:cstheme="minorHAnsi"/>
          <w:b/>
          <w:sz w:val="22"/>
          <w:szCs w:val="22"/>
          <w:u w:val="single"/>
        </w:rPr>
      </w:pPr>
    </w:p>
    <w:p w:rsidR="00A84D45" w:rsidRPr="00D3763B" w:rsidRDefault="00A84D45" w:rsidP="0014360F">
      <w:pPr>
        <w:pStyle w:val="Apzvalgai1"/>
        <w:rPr>
          <w:rFonts w:asciiTheme="minorHAnsi" w:hAnsiTheme="minorHAnsi" w:cstheme="minorHAnsi"/>
        </w:rPr>
      </w:pPr>
      <w:bookmarkStart w:id="36" w:name="_Toc519600866"/>
      <w:bookmarkStart w:id="37" w:name="_Toc524957044"/>
      <w:r w:rsidRPr="00D3763B">
        <w:rPr>
          <w:rFonts w:asciiTheme="minorHAnsi" w:hAnsiTheme="minorHAnsi" w:cstheme="minorHAnsi"/>
        </w:rPr>
        <w:t>22. Kiti su valstybės tarnyba susiję klausimai</w:t>
      </w:r>
      <w:bookmarkEnd w:id="36"/>
      <w:bookmarkEnd w:id="37"/>
    </w:p>
    <w:p w:rsidR="00A501D1" w:rsidRPr="00D3763B" w:rsidRDefault="00A84D45" w:rsidP="00DC10DE">
      <w:pPr>
        <w:ind w:firstLine="567"/>
        <w:rPr>
          <w:rFonts w:asciiTheme="minorHAnsi" w:hAnsiTheme="minorHAnsi" w:cstheme="minorHAnsi"/>
          <w:b/>
          <w:bCs/>
          <w:sz w:val="22"/>
          <w:szCs w:val="22"/>
          <w:u w:val="single"/>
        </w:rPr>
      </w:pPr>
      <w:r w:rsidRPr="00D3763B">
        <w:rPr>
          <w:rFonts w:asciiTheme="minorHAnsi" w:hAnsiTheme="minorHAnsi" w:cstheme="minorHAnsi"/>
          <w:b/>
          <w:bCs/>
          <w:sz w:val="22"/>
          <w:szCs w:val="22"/>
          <w:u w:val="single"/>
        </w:rPr>
        <w:t>22.</w:t>
      </w:r>
      <w:r w:rsidR="00A501D1" w:rsidRPr="00D3763B">
        <w:rPr>
          <w:rFonts w:asciiTheme="minorHAnsi" w:hAnsiTheme="minorHAnsi" w:cstheme="minorHAnsi"/>
          <w:b/>
          <w:bCs/>
          <w:sz w:val="22"/>
          <w:szCs w:val="22"/>
          <w:u w:val="single"/>
        </w:rPr>
        <w:t>4. Valstybės tarnautojų socialinės ir kitos garantijos</w:t>
      </w:r>
    </w:p>
    <w:p w:rsidR="00A501D1" w:rsidRPr="00D3763B" w:rsidRDefault="00A501D1" w:rsidP="00DC10DE">
      <w:pPr>
        <w:ind w:firstLine="1134"/>
        <w:rPr>
          <w:rFonts w:asciiTheme="minorHAnsi" w:hAnsiTheme="minorHAnsi" w:cstheme="minorHAnsi"/>
          <w:b/>
          <w:bCs/>
          <w:sz w:val="22"/>
          <w:szCs w:val="22"/>
          <w:u w:val="single"/>
        </w:rPr>
      </w:pPr>
      <w:r w:rsidRPr="00D3763B">
        <w:rPr>
          <w:rFonts w:asciiTheme="minorHAnsi" w:hAnsiTheme="minorHAnsi" w:cstheme="minorHAnsi"/>
          <w:b/>
          <w:bCs/>
          <w:sz w:val="22"/>
          <w:szCs w:val="22"/>
          <w:u w:val="single"/>
        </w:rPr>
        <w:t xml:space="preserve">22.4.1 Atostogos </w:t>
      </w:r>
    </w:p>
    <w:p w:rsidR="00A501D1" w:rsidRPr="00D3763B" w:rsidRDefault="00A501D1" w:rsidP="00DC10DE">
      <w:pPr>
        <w:ind w:firstLine="567"/>
        <w:rPr>
          <w:rFonts w:asciiTheme="minorHAnsi" w:hAnsiTheme="minorHAnsi" w:cstheme="minorHAnsi"/>
          <w:b/>
          <w:bCs/>
          <w:sz w:val="22"/>
          <w:szCs w:val="22"/>
          <w:u w:val="single"/>
        </w:rPr>
      </w:pPr>
    </w:p>
    <w:p w:rsidR="00A501D1" w:rsidRPr="00D3763B" w:rsidRDefault="00A501D1" w:rsidP="00D3763B">
      <w:pPr>
        <w:pStyle w:val="Heading2"/>
      </w:pPr>
      <w:bookmarkStart w:id="38" w:name="_Toc524957045"/>
      <w:r w:rsidRPr="00D3763B">
        <w:t>Dėl papildomų atostogų suteikimo už laikotarpį, kurį buvo vėluojama apmokėti už kasmetines atostogas</w:t>
      </w:r>
      <w:bookmarkEnd w:id="38"/>
    </w:p>
    <w:p w:rsidR="00A501D1" w:rsidRPr="00D3763B" w:rsidRDefault="00A501D1" w:rsidP="00A501D1">
      <w:pPr>
        <w:jc w:val="both"/>
        <w:rPr>
          <w:rFonts w:asciiTheme="minorHAnsi" w:hAnsiTheme="minorHAnsi" w:cstheme="minorHAnsi"/>
          <w:b/>
          <w:sz w:val="22"/>
          <w:szCs w:val="22"/>
          <w:u w:val="single"/>
        </w:rPr>
      </w:pPr>
    </w:p>
    <w:p w:rsidR="005C6FFB" w:rsidRPr="00D3763B" w:rsidRDefault="00A501D1" w:rsidP="00A501D1">
      <w:pPr>
        <w:ind w:firstLine="567"/>
        <w:jc w:val="both"/>
        <w:rPr>
          <w:rFonts w:asciiTheme="minorHAnsi" w:hAnsiTheme="minorHAnsi" w:cstheme="minorHAnsi"/>
          <w:color w:val="000000"/>
          <w:sz w:val="22"/>
          <w:szCs w:val="22"/>
          <w:shd w:val="clear" w:color="auto" w:fill="FFFFFF"/>
        </w:rPr>
      </w:pPr>
      <w:r w:rsidRPr="00D3763B">
        <w:rPr>
          <w:rFonts w:asciiTheme="minorHAnsi" w:hAnsiTheme="minorHAnsi" w:cstheme="minorHAnsi"/>
          <w:sz w:val="22"/>
          <w:szCs w:val="22"/>
        </w:rPr>
        <w:t xml:space="preserve">Pareiškėja kreipėsi į teismą, siekdama, jog jai būtų suteiktos papildomos kasmetinės atostogos tiek dienų, kiek atsakovas </w:t>
      </w:r>
      <w:r w:rsidRPr="00D3763B">
        <w:rPr>
          <w:rFonts w:asciiTheme="minorHAnsi" w:hAnsiTheme="minorHAnsi" w:cstheme="minorHAnsi"/>
          <w:color w:val="000000"/>
          <w:sz w:val="22"/>
          <w:szCs w:val="22"/>
          <w:shd w:val="clear" w:color="auto" w:fill="FFFFFF"/>
        </w:rPr>
        <w:t xml:space="preserve">Viešojo saugumo tarnyba prie Vidaus reikalų ministerijos </w:t>
      </w:r>
      <w:r w:rsidR="005C6FFB" w:rsidRPr="00D3763B">
        <w:rPr>
          <w:rFonts w:asciiTheme="minorHAnsi" w:hAnsiTheme="minorHAnsi" w:cstheme="minorHAnsi"/>
          <w:color w:val="000000"/>
          <w:sz w:val="22"/>
          <w:szCs w:val="22"/>
          <w:shd w:val="clear" w:color="auto" w:fill="FFFFFF"/>
        </w:rPr>
        <w:t>vėlavo mokėti darbo užmokestį už kasmetines atostogas.</w:t>
      </w:r>
    </w:p>
    <w:p w:rsidR="005C6FFB" w:rsidRPr="00D3763B" w:rsidRDefault="005C6FFB" w:rsidP="00A501D1">
      <w:pPr>
        <w:ind w:firstLine="567"/>
        <w:jc w:val="both"/>
        <w:rPr>
          <w:rFonts w:asciiTheme="minorHAnsi" w:hAnsiTheme="minorHAnsi" w:cstheme="minorHAnsi"/>
          <w:color w:val="000000"/>
          <w:sz w:val="22"/>
          <w:szCs w:val="22"/>
          <w:shd w:val="clear" w:color="auto" w:fill="FFFFFF"/>
        </w:rPr>
      </w:pPr>
      <w:r w:rsidRPr="00D3763B">
        <w:rPr>
          <w:rFonts w:asciiTheme="minorHAnsi" w:hAnsiTheme="minorHAnsi" w:cstheme="minorHAnsi"/>
          <w:sz w:val="22"/>
          <w:szCs w:val="22"/>
        </w:rPr>
        <w:t>LVAT teisėjų kolegija nurodė, kad pagal Darbo kodekso</w:t>
      </w:r>
      <w:bookmarkStart w:id="39" w:name="pn02b470a7-e832-4589-bc12-1afd3043ef04"/>
      <w:bookmarkStart w:id="40" w:name="pnf5de714c-d753-48d3-a335-92c9523cb58f"/>
      <w:bookmarkEnd w:id="39"/>
      <w:bookmarkEnd w:id="40"/>
      <w:r w:rsidRPr="00D3763B">
        <w:rPr>
          <w:rFonts w:asciiTheme="minorHAnsi" w:hAnsiTheme="minorHAnsi" w:cstheme="minorHAnsi"/>
          <w:sz w:val="22"/>
          <w:szCs w:val="22"/>
        </w:rPr>
        <w:t xml:space="preserve"> 176 </w:t>
      </w:r>
      <w:r w:rsidRPr="00D3763B">
        <w:rPr>
          <w:rFonts w:asciiTheme="minorHAnsi" w:hAnsiTheme="minorHAnsi" w:cstheme="minorHAnsi"/>
          <w:color w:val="000000"/>
          <w:sz w:val="22"/>
          <w:szCs w:val="22"/>
          <w:shd w:val="clear" w:color="auto" w:fill="FFFFFF"/>
        </w:rPr>
        <w:t>straipsnio 2 dalį (redakcija iki 2017</w:t>
      </w:r>
      <w:r w:rsidR="005F539A" w:rsidRPr="00D3763B">
        <w:rPr>
          <w:rFonts w:asciiTheme="minorHAnsi" w:hAnsiTheme="minorHAnsi" w:cstheme="minorHAnsi"/>
          <w:color w:val="000000"/>
          <w:sz w:val="22"/>
          <w:szCs w:val="22"/>
          <w:shd w:val="clear" w:color="auto" w:fill="FFFFFF"/>
        </w:rPr>
        <w:t> </w:t>
      </w:r>
      <w:r w:rsidRPr="00D3763B">
        <w:rPr>
          <w:rFonts w:asciiTheme="minorHAnsi" w:hAnsiTheme="minorHAnsi" w:cstheme="minorHAnsi"/>
          <w:color w:val="000000"/>
          <w:sz w:val="22"/>
          <w:szCs w:val="22"/>
          <w:shd w:val="clear" w:color="auto" w:fill="FFFFFF"/>
        </w:rPr>
        <w:t>m.</w:t>
      </w:r>
      <w:r w:rsidR="005F539A" w:rsidRPr="00D3763B">
        <w:rPr>
          <w:rFonts w:asciiTheme="minorHAnsi" w:hAnsiTheme="minorHAnsi" w:cstheme="minorHAnsi"/>
          <w:color w:val="000000"/>
          <w:sz w:val="22"/>
          <w:szCs w:val="22"/>
          <w:shd w:val="clear" w:color="auto" w:fill="FFFFFF"/>
        </w:rPr>
        <w:t> </w:t>
      </w:r>
      <w:r w:rsidRPr="00D3763B">
        <w:rPr>
          <w:rFonts w:asciiTheme="minorHAnsi" w:hAnsiTheme="minorHAnsi" w:cstheme="minorHAnsi"/>
          <w:color w:val="000000"/>
          <w:sz w:val="22"/>
          <w:szCs w:val="22"/>
          <w:shd w:val="clear" w:color="auto" w:fill="FFFFFF"/>
        </w:rPr>
        <w:t>liepos</w:t>
      </w:r>
      <w:r w:rsidR="005F539A" w:rsidRPr="00D3763B">
        <w:rPr>
          <w:rFonts w:asciiTheme="minorHAnsi" w:hAnsiTheme="minorHAnsi" w:cstheme="minorHAnsi"/>
          <w:color w:val="000000"/>
          <w:sz w:val="22"/>
          <w:szCs w:val="22"/>
          <w:shd w:val="clear" w:color="auto" w:fill="FFFFFF"/>
        </w:rPr>
        <w:t> </w:t>
      </w:r>
      <w:r w:rsidRPr="00D3763B">
        <w:rPr>
          <w:rFonts w:asciiTheme="minorHAnsi" w:hAnsiTheme="minorHAnsi" w:cstheme="minorHAnsi"/>
          <w:color w:val="000000"/>
          <w:sz w:val="22"/>
          <w:szCs w:val="22"/>
          <w:shd w:val="clear" w:color="auto" w:fill="FFFFFF"/>
        </w:rPr>
        <w:t>1</w:t>
      </w:r>
      <w:r w:rsidR="005F539A" w:rsidRPr="00D3763B">
        <w:rPr>
          <w:rFonts w:asciiTheme="minorHAnsi" w:hAnsiTheme="minorHAnsi" w:cstheme="minorHAnsi"/>
          <w:color w:val="000000"/>
          <w:sz w:val="22"/>
          <w:szCs w:val="22"/>
          <w:shd w:val="clear" w:color="auto" w:fill="FFFFFF"/>
        </w:rPr>
        <w:t> </w:t>
      </w:r>
      <w:r w:rsidRPr="00D3763B">
        <w:rPr>
          <w:rFonts w:asciiTheme="minorHAnsi" w:hAnsiTheme="minorHAnsi" w:cstheme="minorHAnsi"/>
          <w:color w:val="000000"/>
          <w:sz w:val="22"/>
          <w:szCs w:val="22"/>
          <w:shd w:val="clear" w:color="auto" w:fill="FFFFFF"/>
        </w:rPr>
        <w:t>d.), darbo užmokestis už kasmetines atostogas mokamas ne vėliau kaip prieš tris kalendorines dienas iki kasmetinių atostogų pradžios. Jeigu darbuotojui priklausantis darbo užmokestis nustatytu laiku nesumokamas ne dėl darbuotojo kaltės, kasmetinės atostogos pratęsiamos tiek dienų, kiek buvo delsiama sumokėti darbo užmokestį, ir už pratęstą laiką mokama kaip už kasmetines atostogas.</w:t>
      </w:r>
    </w:p>
    <w:p w:rsidR="005C6FFB" w:rsidRPr="00D3763B" w:rsidRDefault="005C6FFB" w:rsidP="005C6FFB">
      <w:pPr>
        <w:ind w:firstLine="567"/>
        <w:jc w:val="both"/>
        <w:rPr>
          <w:rFonts w:asciiTheme="minorHAnsi" w:hAnsiTheme="minorHAnsi" w:cstheme="minorHAnsi"/>
          <w:color w:val="000000"/>
          <w:sz w:val="22"/>
          <w:szCs w:val="22"/>
          <w:shd w:val="clear" w:color="auto" w:fill="FFFFFF"/>
        </w:rPr>
      </w:pPr>
      <w:r w:rsidRPr="00D3763B">
        <w:rPr>
          <w:rFonts w:asciiTheme="minorHAnsi" w:hAnsiTheme="minorHAnsi" w:cstheme="minorHAnsi"/>
          <w:color w:val="000000"/>
          <w:sz w:val="22"/>
          <w:szCs w:val="22"/>
          <w:shd w:val="clear" w:color="auto" w:fill="FFFFFF"/>
        </w:rPr>
        <w:t>Atsižvelgęs į Lietuvos Aukščiausiojo Teismo praktiką (2012 m. gegužės 24 d.</w:t>
      </w:r>
      <w:r w:rsidR="00914108">
        <w:rPr>
          <w:rFonts w:asciiTheme="minorHAnsi" w:hAnsiTheme="minorHAnsi" w:cstheme="minorHAnsi"/>
          <w:color w:val="000000"/>
          <w:sz w:val="22"/>
          <w:szCs w:val="22"/>
          <w:shd w:val="clear" w:color="auto" w:fill="FFFFFF"/>
        </w:rPr>
        <w:t xml:space="preserve"> nutartis civilinėje byloje Nr. </w:t>
      </w:r>
      <w:r w:rsidRPr="00D3763B">
        <w:rPr>
          <w:rFonts w:asciiTheme="minorHAnsi" w:hAnsiTheme="minorHAnsi" w:cstheme="minorHAnsi"/>
          <w:color w:val="000000"/>
          <w:sz w:val="22"/>
          <w:szCs w:val="22"/>
          <w:shd w:val="clear" w:color="auto" w:fill="FFFFFF"/>
        </w:rPr>
        <w:t>3K-7-149/2012)</w:t>
      </w:r>
      <w:bookmarkStart w:id="41" w:name="pn3a1fab41-0776-4485-acff-749aefdd1200"/>
      <w:bookmarkEnd w:id="41"/>
      <w:r w:rsidRPr="00D3763B">
        <w:rPr>
          <w:rFonts w:asciiTheme="minorHAnsi" w:hAnsiTheme="minorHAnsi" w:cstheme="minorHAnsi"/>
          <w:color w:val="000000"/>
          <w:sz w:val="22"/>
          <w:szCs w:val="22"/>
          <w:shd w:val="clear" w:color="auto" w:fill="FFFFFF"/>
        </w:rPr>
        <w:t>, LVAT paaiškino, jog minėta teisės norma įtvirtina bendrąją taisyklę, kad už atostogų laikotarpį su darbuotoju atsiskaitoma iki atostogų pradžios. Ja, be kita ko, siekiama įgyvendinti Darbo kodekse</w:t>
      </w:r>
      <w:bookmarkStart w:id="42" w:name="pn7bd643a6-cfab-4f42-b71f-d5a040d32215"/>
      <w:bookmarkStart w:id="43" w:name="pnfc706454-7953-4d63-acf2-d10c83edb068"/>
      <w:bookmarkEnd w:id="42"/>
      <w:bookmarkEnd w:id="43"/>
      <w:r w:rsidRPr="00D3763B">
        <w:rPr>
          <w:rFonts w:asciiTheme="minorHAnsi" w:hAnsiTheme="minorHAnsi" w:cstheme="minorHAnsi"/>
          <w:color w:val="000000"/>
          <w:sz w:val="22"/>
          <w:szCs w:val="22"/>
          <w:shd w:val="clear" w:color="auto" w:fill="FFFFFF"/>
        </w:rPr>
        <w:t xml:space="preserve"> įtvirtintus atostogų tikslus, t. y. užtikrinti, kad darbuotojas turėtų lėšų, reikalingų poilsiui. Atostogų pratęsimas darbdaviui vėluojant sumokėti už jas, yra darbuotojo teisė, derintina su darbdaviu, todėl jis, siekdamas šia teise pasinaudoti, savo valią paprastai turi išreikšti atostogų metu ar per protingą laiką (bet nedelsdamas) joms pasibaigus. Akivaizdu, kad tokią valią darbuotojas gali išreikšti ir dar realiai neprasidėjus atostogoms, bet jau egzistuojant jų apmokėjimo tvarkos, nustatytos Darbo kodekso</w:t>
      </w:r>
      <w:bookmarkStart w:id="44" w:name="pnd91226ca-13e6-4e07-aab2-01fe968dc0ff"/>
      <w:bookmarkStart w:id="45" w:name="pnfc0544b5-a45d-48d7-a94b-660c91ce3ba5"/>
      <w:bookmarkEnd w:id="44"/>
      <w:bookmarkEnd w:id="45"/>
      <w:r w:rsidRPr="00D3763B">
        <w:rPr>
          <w:rFonts w:asciiTheme="minorHAnsi" w:hAnsiTheme="minorHAnsi" w:cstheme="minorHAnsi"/>
          <w:color w:val="000000"/>
          <w:sz w:val="22"/>
          <w:szCs w:val="22"/>
          <w:shd w:val="clear" w:color="auto" w:fill="FFFFFF"/>
        </w:rPr>
        <w:t xml:space="preserve"> 176 straipsnio 2 dalyje, pažeidimui. Jei darbuotojas pageidavimo pratęsti atostogas neišreiškė, vadinasi, jis įstatymo suteikta teise pasinaudoti nenori.</w:t>
      </w:r>
    </w:p>
    <w:p w:rsidR="005C6FFB" w:rsidRPr="00D3763B" w:rsidRDefault="005C6FFB" w:rsidP="005C6FFB">
      <w:pPr>
        <w:ind w:firstLine="567"/>
        <w:jc w:val="both"/>
        <w:rPr>
          <w:rFonts w:asciiTheme="minorHAnsi" w:hAnsiTheme="minorHAnsi" w:cstheme="minorHAnsi"/>
          <w:color w:val="000000"/>
          <w:sz w:val="22"/>
          <w:szCs w:val="22"/>
          <w:shd w:val="clear" w:color="auto" w:fill="FFFFFF"/>
        </w:rPr>
      </w:pPr>
      <w:r w:rsidRPr="00D3763B">
        <w:rPr>
          <w:rFonts w:asciiTheme="minorHAnsi" w:hAnsiTheme="minorHAnsi" w:cstheme="minorHAnsi"/>
          <w:color w:val="000000"/>
          <w:sz w:val="22"/>
          <w:szCs w:val="22"/>
          <w:shd w:val="clear" w:color="auto" w:fill="FFFFFF"/>
        </w:rPr>
        <w:t>Nagrinėtu atveju byloje nustatyta, kad pareiškėja valios dėl atostogų pratęsimo darbdaviui nepareiškė nei prieš atostogas, nors buvo akivaizdu, kad už atostogų laikotarpį su ja nebuvo atsiskaityta iki atostogų pradžios, nei atostogų metu. Valios dėl papildomų atostogų suteikimo pareiškimas 2016 m. liepos 19 d., kai vienos ginčo atostogos baigėsi 2016 m. balandžio 18 d., kitos – 2016 m. birželio 21 d., LVAT vertintas kaip nepagrįstas delsimas, t. y. darbuotojo valia pareikšta ne per protingą terminą.</w:t>
      </w:r>
    </w:p>
    <w:p w:rsidR="005C6FFB" w:rsidRPr="00D3763B" w:rsidRDefault="005C6FFB" w:rsidP="005C6FFB">
      <w:pPr>
        <w:ind w:firstLine="567"/>
        <w:jc w:val="both"/>
        <w:rPr>
          <w:rFonts w:asciiTheme="minorHAnsi" w:hAnsiTheme="minorHAnsi" w:cstheme="minorHAnsi"/>
          <w:color w:val="000000"/>
          <w:sz w:val="22"/>
          <w:szCs w:val="22"/>
          <w:shd w:val="clear" w:color="auto" w:fill="FFFFFF"/>
        </w:rPr>
      </w:pPr>
      <w:r w:rsidRPr="00D3763B">
        <w:rPr>
          <w:rFonts w:asciiTheme="minorHAnsi" w:hAnsiTheme="minorHAnsi" w:cstheme="minorHAnsi"/>
          <w:color w:val="000000"/>
          <w:sz w:val="22"/>
          <w:szCs w:val="22"/>
          <w:shd w:val="clear" w:color="auto" w:fill="FFFFFF"/>
        </w:rPr>
        <w:t>Dėl pareiškėjos reikalavimo įpareigoti atsakovą suteikti pareiškėjai papildomas kasmetines apmokamas atostogas tiek dienų, kiek buvo uždelsta mokėti darbo užmokestį, ar kitaip už jas kompensuoti, pažymėta, kad pagal minėtą Lietuvos Aukščiausiojo Teismo praktiką, nepratęstos atostogos prie kasmetinių atostogų nepridedamos. Teisėjų kolegijos vertinimu, pareigos darbdaviui kitaip kompensuoti nepratęstas atostogas įstatymai</w:t>
      </w:r>
      <w:bookmarkStart w:id="46" w:name="pn8f13b8f6-d91d-4f3c-be8b-554356a05718"/>
      <w:bookmarkEnd w:id="46"/>
      <w:r w:rsidRPr="00D3763B">
        <w:rPr>
          <w:rFonts w:asciiTheme="minorHAnsi" w:hAnsiTheme="minorHAnsi" w:cstheme="minorHAnsi"/>
          <w:color w:val="000000"/>
          <w:sz w:val="22"/>
          <w:szCs w:val="22"/>
          <w:shd w:val="clear" w:color="auto" w:fill="FFFFFF"/>
        </w:rPr>
        <w:t xml:space="preserve"> taip pat nenustato.</w:t>
      </w:r>
    </w:p>
    <w:p w:rsidR="005C6FFB" w:rsidRPr="00D3763B" w:rsidRDefault="005C6FFB" w:rsidP="005C6FFB">
      <w:pPr>
        <w:ind w:firstLine="567"/>
        <w:jc w:val="both"/>
        <w:rPr>
          <w:rFonts w:asciiTheme="minorHAnsi" w:hAnsiTheme="minorHAnsi" w:cstheme="minorHAnsi"/>
          <w:color w:val="000000"/>
          <w:sz w:val="22"/>
          <w:szCs w:val="22"/>
          <w:shd w:val="clear" w:color="auto" w:fill="FFFFFF"/>
        </w:rPr>
      </w:pPr>
      <w:r w:rsidRPr="00D3763B">
        <w:rPr>
          <w:rFonts w:asciiTheme="minorHAnsi" w:hAnsiTheme="minorHAnsi" w:cstheme="minorHAnsi"/>
          <w:color w:val="000000"/>
          <w:sz w:val="22"/>
          <w:szCs w:val="22"/>
          <w:shd w:val="clear" w:color="auto" w:fill="FFFFFF"/>
        </w:rPr>
        <w:t>Dėl šių priežasčių apeliacinis skundas atmestas, pirmosios instancijos teismo sprendimas paliktas nepakeistas.</w:t>
      </w:r>
    </w:p>
    <w:p w:rsidR="005C6FFB" w:rsidRPr="00D3763B" w:rsidRDefault="005C6FFB" w:rsidP="005C6FFB">
      <w:pPr>
        <w:jc w:val="both"/>
        <w:rPr>
          <w:rFonts w:asciiTheme="minorHAnsi" w:hAnsiTheme="minorHAnsi" w:cstheme="minorHAnsi"/>
          <w:color w:val="000000"/>
          <w:sz w:val="22"/>
          <w:szCs w:val="22"/>
          <w:shd w:val="clear" w:color="auto" w:fill="FFFFFF"/>
        </w:rPr>
      </w:pPr>
    </w:p>
    <w:p w:rsidR="005C6FFB" w:rsidRPr="00D3763B" w:rsidRDefault="005C6FFB" w:rsidP="005C6FFB">
      <w:pPr>
        <w:jc w:val="both"/>
        <w:rPr>
          <w:rFonts w:asciiTheme="minorHAnsi" w:hAnsiTheme="minorHAnsi" w:cstheme="minorHAnsi"/>
          <w:color w:val="000000"/>
          <w:sz w:val="22"/>
          <w:szCs w:val="22"/>
          <w:shd w:val="clear" w:color="auto" w:fill="FFFFFF"/>
        </w:rPr>
      </w:pPr>
      <w:r w:rsidRPr="00D3763B">
        <w:rPr>
          <w:rFonts w:asciiTheme="minorHAnsi" w:hAnsiTheme="minorHAnsi" w:cstheme="minorHAnsi"/>
          <w:color w:val="000000"/>
          <w:sz w:val="22"/>
          <w:szCs w:val="22"/>
          <w:shd w:val="clear" w:color="auto" w:fill="FFFFFF"/>
        </w:rPr>
        <w:lastRenderedPageBreak/>
        <w:t>2018 m. birželio 6 d. nutartis administracinėje byloje Nr. eA-851-575/2018</w:t>
      </w:r>
    </w:p>
    <w:p w:rsidR="0057099E" w:rsidRPr="00D3763B" w:rsidRDefault="0057099E" w:rsidP="0057099E">
      <w:pPr>
        <w:shd w:val="clear" w:color="auto" w:fill="FFFFFF"/>
        <w:rPr>
          <w:rFonts w:asciiTheme="minorHAnsi" w:hAnsiTheme="minorHAnsi" w:cstheme="minorHAnsi"/>
          <w:color w:val="000000"/>
          <w:sz w:val="22"/>
          <w:szCs w:val="22"/>
        </w:rPr>
      </w:pPr>
      <w:r w:rsidRPr="00D3763B">
        <w:rPr>
          <w:rFonts w:asciiTheme="minorHAnsi" w:hAnsiTheme="minorHAnsi" w:cstheme="minorHAnsi"/>
          <w:color w:val="000000"/>
          <w:sz w:val="22"/>
          <w:szCs w:val="22"/>
        </w:rPr>
        <w:t>Teisminio proceso Nr. 3-61-3-03570-2016-7</w:t>
      </w:r>
    </w:p>
    <w:p w:rsidR="001242A9" w:rsidRPr="00D3763B" w:rsidRDefault="001242A9" w:rsidP="001242A9">
      <w:pPr>
        <w:rPr>
          <w:rFonts w:asciiTheme="minorHAnsi" w:hAnsiTheme="minorHAnsi" w:cstheme="minorHAnsi"/>
          <w:color w:val="000000"/>
          <w:sz w:val="22"/>
          <w:szCs w:val="22"/>
        </w:rPr>
      </w:pPr>
      <w:r w:rsidRPr="00D3763B">
        <w:rPr>
          <w:rFonts w:asciiTheme="minorHAnsi" w:hAnsiTheme="minorHAnsi" w:cstheme="minorHAnsi"/>
          <w:color w:val="000000"/>
          <w:sz w:val="22"/>
          <w:szCs w:val="22"/>
        </w:rPr>
        <w:t>Procesinio sprendimo kategorija 22.4.1</w:t>
      </w:r>
    </w:p>
    <w:p w:rsidR="0057099E" w:rsidRPr="00D3763B" w:rsidRDefault="000220C9" w:rsidP="005C6FFB">
      <w:pPr>
        <w:jc w:val="both"/>
        <w:rPr>
          <w:rFonts w:asciiTheme="minorHAnsi" w:hAnsiTheme="minorHAnsi" w:cstheme="minorHAnsi"/>
          <w:color w:val="000000"/>
          <w:sz w:val="22"/>
          <w:szCs w:val="22"/>
          <w:shd w:val="clear" w:color="auto" w:fill="FFFFFF"/>
        </w:rPr>
      </w:pPr>
      <w:hyperlink r:id="rId18" w:history="1">
        <w:r w:rsidR="0057099E" w:rsidRPr="00D3763B">
          <w:rPr>
            <w:rStyle w:val="Hyperlink"/>
            <w:rFonts w:asciiTheme="minorHAnsi" w:hAnsiTheme="minorHAnsi" w:cstheme="minorHAnsi"/>
            <w:sz w:val="22"/>
            <w:szCs w:val="22"/>
            <w:shd w:val="clear" w:color="auto" w:fill="FFFFFF"/>
          </w:rPr>
          <w:t>Prieiga internete</w:t>
        </w:r>
      </w:hyperlink>
    </w:p>
    <w:p w:rsidR="00D61381" w:rsidRPr="00D3763B" w:rsidRDefault="00D61381" w:rsidP="005C6FFB">
      <w:pPr>
        <w:jc w:val="both"/>
        <w:rPr>
          <w:rFonts w:asciiTheme="minorHAnsi" w:hAnsiTheme="minorHAnsi" w:cstheme="minorHAnsi"/>
          <w:color w:val="000000"/>
          <w:sz w:val="22"/>
          <w:szCs w:val="22"/>
          <w:shd w:val="clear" w:color="auto" w:fill="FFFFFF"/>
        </w:rPr>
      </w:pPr>
    </w:p>
    <w:p w:rsidR="00CB46BE" w:rsidRPr="00D3763B" w:rsidRDefault="00CB46BE" w:rsidP="0014360F">
      <w:pPr>
        <w:pStyle w:val="Apzvalgai1"/>
        <w:rPr>
          <w:rFonts w:asciiTheme="minorHAnsi" w:hAnsiTheme="minorHAnsi" w:cstheme="minorHAnsi"/>
        </w:rPr>
      </w:pPr>
      <w:bookmarkStart w:id="47" w:name="_Toc519600868"/>
      <w:bookmarkStart w:id="48" w:name="pnf49d57c8-bbe2-477d-b39d-816bf649f008"/>
      <w:bookmarkStart w:id="49" w:name="pn9091b4b3-d523-4f3d-ad4d-96a50e5e6b7b"/>
      <w:bookmarkStart w:id="50" w:name="_Toc524957046"/>
      <w:bookmarkEnd w:id="47"/>
      <w:bookmarkEnd w:id="48"/>
      <w:bookmarkEnd w:id="49"/>
      <w:r w:rsidRPr="00D3763B">
        <w:rPr>
          <w:rFonts w:asciiTheme="minorHAnsi" w:hAnsiTheme="minorHAnsi" w:cstheme="minorHAnsi"/>
        </w:rPr>
        <w:t>27. Visuomenės informavimas</w:t>
      </w:r>
      <w:bookmarkEnd w:id="50"/>
    </w:p>
    <w:p w:rsidR="00CB46BE" w:rsidRPr="00D3763B" w:rsidRDefault="00CB46BE" w:rsidP="00CB46BE">
      <w:pPr>
        <w:ind w:firstLine="567"/>
        <w:jc w:val="both"/>
        <w:rPr>
          <w:rFonts w:asciiTheme="minorHAnsi" w:hAnsiTheme="minorHAnsi" w:cstheme="minorHAnsi"/>
          <w:i/>
          <w:sz w:val="22"/>
          <w:szCs w:val="22"/>
        </w:rPr>
      </w:pPr>
      <w:r w:rsidRPr="00D3763B">
        <w:rPr>
          <w:rFonts w:asciiTheme="minorHAnsi" w:hAnsiTheme="minorHAnsi" w:cstheme="minorHAnsi"/>
          <w:b/>
          <w:sz w:val="22"/>
          <w:szCs w:val="22"/>
          <w:u w:val="single"/>
        </w:rPr>
        <w:t>27.1. Žurnalistų etikos inspektoriaus tarnybos sprendimai</w:t>
      </w:r>
    </w:p>
    <w:p w:rsidR="00CB46BE" w:rsidRPr="00D3763B" w:rsidRDefault="00CB46BE" w:rsidP="00CB46BE">
      <w:pPr>
        <w:ind w:firstLine="567"/>
        <w:jc w:val="both"/>
        <w:rPr>
          <w:rFonts w:asciiTheme="minorHAnsi" w:hAnsiTheme="minorHAnsi" w:cstheme="minorHAnsi"/>
          <w:i/>
          <w:sz w:val="22"/>
          <w:szCs w:val="22"/>
        </w:rPr>
      </w:pPr>
    </w:p>
    <w:p w:rsidR="00CB46BE" w:rsidRPr="00D3763B" w:rsidRDefault="00CB46BE" w:rsidP="00D3763B">
      <w:pPr>
        <w:pStyle w:val="Heading2"/>
      </w:pPr>
      <w:bookmarkStart w:id="51" w:name="_Toc524957047"/>
      <w:r w:rsidRPr="00D3763B">
        <w:t>Dėl savivaldybės interneto svetainės kaip visuomenės informavimo priemonės</w:t>
      </w:r>
      <w:bookmarkEnd w:id="51"/>
    </w:p>
    <w:p w:rsidR="00CB46BE" w:rsidRPr="00D3763B" w:rsidRDefault="00CB46BE" w:rsidP="00CB46BE">
      <w:pPr>
        <w:jc w:val="both"/>
        <w:rPr>
          <w:rFonts w:asciiTheme="minorHAnsi" w:hAnsiTheme="minorHAnsi" w:cstheme="minorHAnsi"/>
          <w:i/>
          <w:sz w:val="22"/>
          <w:szCs w:val="22"/>
        </w:rPr>
      </w:pPr>
    </w:p>
    <w:p w:rsidR="00CB46BE" w:rsidRPr="00D3763B" w:rsidRDefault="00CB46BE" w:rsidP="00CB46BE">
      <w:pPr>
        <w:ind w:firstLine="567"/>
        <w:jc w:val="both"/>
        <w:rPr>
          <w:rFonts w:asciiTheme="minorHAnsi" w:hAnsiTheme="minorHAnsi" w:cstheme="minorHAnsi"/>
          <w:sz w:val="22"/>
          <w:szCs w:val="22"/>
        </w:rPr>
      </w:pPr>
      <w:r w:rsidRPr="00D3763B">
        <w:rPr>
          <w:rFonts w:asciiTheme="minorHAnsi" w:hAnsiTheme="minorHAnsi" w:cstheme="minorHAnsi"/>
          <w:sz w:val="22"/>
          <w:szCs w:val="22"/>
        </w:rPr>
        <w:t xml:space="preserve">Byloje ginčas kilo dėl Žurnalistų etikos inspektoriaus (toliau – Inspektorius) sprendimo „Dėl Druskininkų savivaldybės interneto svetainėje (www.druskininkai.lt) paskelbtos informacijos“ (toliau – Sprendimas) teisėtumo. </w:t>
      </w:r>
    </w:p>
    <w:p w:rsidR="00CB46BE" w:rsidRPr="00D3763B" w:rsidRDefault="00CB46BE" w:rsidP="00CB46BE">
      <w:pPr>
        <w:ind w:firstLine="567"/>
        <w:jc w:val="both"/>
        <w:rPr>
          <w:rFonts w:asciiTheme="minorHAnsi" w:hAnsiTheme="minorHAnsi" w:cstheme="minorHAnsi"/>
          <w:sz w:val="22"/>
          <w:szCs w:val="22"/>
        </w:rPr>
      </w:pPr>
      <w:r w:rsidRPr="00D3763B">
        <w:rPr>
          <w:rFonts w:asciiTheme="minorHAnsi" w:hAnsiTheme="minorHAnsi" w:cstheme="minorHAnsi"/>
          <w:sz w:val="22"/>
          <w:szCs w:val="22"/>
        </w:rPr>
        <w:t>Pirmosios instancijos teismas pareiškėjo skundą tenkino ir Sprendimą panaikino, konstatavęs, kad: (i) pareiškėjo interneto tinklalapis (www.druskininkai.lt) nėra laikomas visuomenės informavimo priemone (Lietuvos Respublikos visuomenės informavimo įstatymo (toliau – VIĮ) prasme)</w:t>
      </w:r>
      <w:r w:rsidR="00363DFB" w:rsidRPr="00D3763B">
        <w:rPr>
          <w:rFonts w:asciiTheme="minorHAnsi" w:hAnsiTheme="minorHAnsi" w:cstheme="minorHAnsi"/>
          <w:sz w:val="22"/>
          <w:szCs w:val="22"/>
        </w:rPr>
        <w:t>;</w:t>
      </w:r>
      <w:r w:rsidRPr="00D3763B">
        <w:rPr>
          <w:rFonts w:asciiTheme="minorHAnsi" w:hAnsiTheme="minorHAnsi" w:cstheme="minorHAnsi"/>
          <w:sz w:val="22"/>
          <w:szCs w:val="22"/>
        </w:rPr>
        <w:t xml:space="preserve"> (ii) Inspektorius neturėjo kompetencijos nagrinėti skundo dėl visuomenės informavimo principų pažeidimo ir dėl trečiųjų suinteresuotų asmenų garbės ir orumo pažeidimo, kuris padarytas ne visuomenės informavimo priemonėje</w:t>
      </w:r>
      <w:r w:rsidR="00363DFB" w:rsidRPr="00D3763B">
        <w:rPr>
          <w:rFonts w:asciiTheme="minorHAnsi" w:hAnsiTheme="minorHAnsi" w:cstheme="minorHAnsi"/>
          <w:sz w:val="22"/>
          <w:szCs w:val="22"/>
        </w:rPr>
        <w:t>;</w:t>
      </w:r>
      <w:r w:rsidRPr="00D3763B">
        <w:rPr>
          <w:rFonts w:asciiTheme="minorHAnsi" w:hAnsiTheme="minorHAnsi" w:cstheme="minorHAnsi"/>
          <w:sz w:val="22"/>
          <w:szCs w:val="22"/>
        </w:rPr>
        <w:t xml:space="preserve"> (iii) Inspektorius neturėjo teisės skirti poveikio priemonės, kuri numatyta VIĮ 50 straipsnio 3 dalies 1 punkte, kadangi ji skiriama tik dėl visuomenės informavimo priemonėse numatytų pažeidimų.</w:t>
      </w:r>
    </w:p>
    <w:p w:rsidR="00CB46BE" w:rsidRPr="00D3763B" w:rsidRDefault="00CB46BE" w:rsidP="00CB46BE">
      <w:pPr>
        <w:ind w:firstLine="567"/>
        <w:jc w:val="both"/>
        <w:rPr>
          <w:rFonts w:asciiTheme="minorHAnsi" w:hAnsiTheme="minorHAnsi" w:cstheme="minorHAnsi"/>
          <w:sz w:val="22"/>
          <w:szCs w:val="22"/>
        </w:rPr>
      </w:pPr>
      <w:r w:rsidRPr="00D3763B">
        <w:rPr>
          <w:rFonts w:asciiTheme="minorHAnsi" w:hAnsiTheme="minorHAnsi" w:cstheme="minorHAnsi"/>
          <w:sz w:val="22"/>
          <w:szCs w:val="22"/>
        </w:rPr>
        <w:t>LVAT teisėjų kolegija su tokiomis teismo išvadomis nesutiko</w:t>
      </w:r>
      <w:r w:rsidR="00363DFB" w:rsidRPr="00D3763B">
        <w:rPr>
          <w:rFonts w:asciiTheme="minorHAnsi" w:hAnsiTheme="minorHAnsi" w:cstheme="minorHAnsi"/>
          <w:sz w:val="22"/>
          <w:szCs w:val="22"/>
        </w:rPr>
        <w:t>,</w:t>
      </w:r>
      <w:r w:rsidRPr="00D3763B">
        <w:rPr>
          <w:rFonts w:asciiTheme="minorHAnsi" w:hAnsiTheme="minorHAnsi" w:cstheme="minorHAnsi"/>
          <w:sz w:val="22"/>
          <w:szCs w:val="22"/>
        </w:rPr>
        <w:t xml:space="preserve"> nurodydama, jog pirmosios instancijos teismas išvadą, kad savivaldybės interneto svetainė iš viso nėra žiniasklaida (visuomenės informavimo priemonė), padarė formaliai, iš esmės vadovaudamasis tik bendra Teisės gauti informaciją iš valstybės ir savivaldybių institucijų ir įstaigų įstatymo norma, kai šis įstatymas nereglamentuoja specifinių visuomenės informavimo klausimų. Šiuo atveju yra svarbu atsižvelgti ir į VIĮ nuostatas, be kita ko, į šiame įstatyme apibrėžtą Žurnalistų etikos inspektoriaus kompetenciją ir jos ribas.</w:t>
      </w:r>
    </w:p>
    <w:p w:rsidR="00CB46BE" w:rsidRPr="00D3763B" w:rsidRDefault="00CB46BE" w:rsidP="00CB46BE">
      <w:pPr>
        <w:ind w:firstLine="567"/>
        <w:jc w:val="both"/>
        <w:rPr>
          <w:rFonts w:asciiTheme="minorHAnsi" w:hAnsiTheme="minorHAnsi" w:cstheme="minorHAnsi"/>
          <w:sz w:val="22"/>
          <w:szCs w:val="22"/>
        </w:rPr>
      </w:pPr>
      <w:r w:rsidRPr="00D3763B">
        <w:rPr>
          <w:rFonts w:asciiTheme="minorHAnsi" w:hAnsiTheme="minorHAnsi" w:cstheme="minorHAnsi"/>
          <w:sz w:val="22"/>
          <w:szCs w:val="22"/>
        </w:rPr>
        <w:t>LVAT nurodė, kad pagal VIĮ</w:t>
      </w:r>
      <w:r w:rsidR="00363DFB" w:rsidRPr="00D3763B">
        <w:rPr>
          <w:rFonts w:asciiTheme="minorHAnsi" w:hAnsiTheme="minorHAnsi" w:cstheme="minorHAnsi"/>
          <w:sz w:val="22"/>
          <w:szCs w:val="22"/>
        </w:rPr>
        <w:t>,</w:t>
      </w:r>
      <w:r w:rsidRPr="00D3763B">
        <w:rPr>
          <w:rFonts w:asciiTheme="minorHAnsi" w:hAnsiTheme="minorHAnsi" w:cstheme="minorHAnsi"/>
          <w:sz w:val="22"/>
          <w:szCs w:val="22"/>
        </w:rPr>
        <w:t xml:space="preserve"> Inspektorius prižiūri iš esmės visos viešosios informacijos skleidimą visuomenės informavimo priemonėse, nepriklausomai nuo to, kas yra jos ren</w:t>
      </w:r>
      <w:r w:rsidR="00914108">
        <w:rPr>
          <w:rFonts w:asciiTheme="minorHAnsi" w:hAnsiTheme="minorHAnsi" w:cstheme="minorHAnsi"/>
          <w:sz w:val="22"/>
          <w:szCs w:val="22"/>
        </w:rPr>
        <w:t>gėjas (skleidėjas). Pagal VIĮ 2 </w:t>
      </w:r>
      <w:r w:rsidRPr="00D3763B">
        <w:rPr>
          <w:rFonts w:asciiTheme="minorHAnsi" w:hAnsiTheme="minorHAnsi" w:cstheme="minorHAnsi"/>
          <w:sz w:val="22"/>
          <w:szCs w:val="22"/>
        </w:rPr>
        <w:t>straipsnio 76 dalį</w:t>
      </w:r>
      <w:r w:rsidR="00363DFB" w:rsidRPr="00D3763B">
        <w:rPr>
          <w:rFonts w:asciiTheme="minorHAnsi" w:hAnsiTheme="minorHAnsi" w:cstheme="minorHAnsi"/>
          <w:sz w:val="22"/>
          <w:szCs w:val="22"/>
        </w:rPr>
        <w:t>,</w:t>
      </w:r>
      <w:r w:rsidRPr="00D3763B">
        <w:rPr>
          <w:rFonts w:asciiTheme="minorHAnsi" w:hAnsiTheme="minorHAnsi" w:cstheme="minorHAnsi"/>
          <w:sz w:val="22"/>
          <w:szCs w:val="22"/>
        </w:rPr>
        <w:t xml:space="preserve"> viešoji informacija – tai informacija, skirta viešai skleisti, išskyrus šio straipsnio 42 dalyje nurodytą informaciją, taip pat informaciją, kuri pagal Lietuvos Respublikos įstatymus negali būti viešai skleidžiama. VIĮ 2 straipsnio 84 dalyje visuomenės informavimo priemonė apibrėžta kaip laikraštis, žurnalas, biuletenis ar kitas leidinys, knyga, televizijos programa, radijo programa, kino ar kita garso ir vaizdo studijų produkcija, informacinės visuomenės informavimo priemonė ir kita priemonė, kuria viešai skleidžiama informacija. Atsižvelgdamas į platų visuomenės informavimo priemonės apibrėžimą VIĮ, LVAT darė išvadą, kad savivaldybės interneto svetainė tam tikrais aspektais taip pat gali būti laikoma visuomenės informavimo priemone. Nors visuomenės informavimas ir nėra pagrindinė savivaldybės funkcija, pirmosios instancijos teismas neįvertino konkrečios situacijos ir aplinkybės, jog Druskininkų savivaldybė savo interneto svetainėje, be kita ko, skleidžia informaciją apie savo veiklą, taigi ši svetainė iš esmės yra priemonė, kuria viešai skleidžiama informacija (VIĮ 2 str. 84 d.). Atsižvelgęs į nurodytas VIĮ apibrėžtas sąvokas ir įvertin</w:t>
      </w:r>
      <w:r w:rsidR="00363DFB" w:rsidRPr="00D3763B">
        <w:rPr>
          <w:rFonts w:asciiTheme="minorHAnsi" w:hAnsiTheme="minorHAnsi" w:cstheme="minorHAnsi"/>
          <w:sz w:val="22"/>
          <w:szCs w:val="22"/>
        </w:rPr>
        <w:t>ę</w:t>
      </w:r>
      <w:r w:rsidRPr="00D3763B">
        <w:rPr>
          <w:rFonts w:asciiTheme="minorHAnsi" w:hAnsiTheme="minorHAnsi" w:cstheme="minorHAnsi"/>
          <w:sz w:val="22"/>
          <w:szCs w:val="22"/>
        </w:rPr>
        <w:t>s tai, kad ginčo atveju Druskininkų savivaldybės interneto svetainėje yra talpinamos publikacijos, kuriose yra viešai skleidžiama informacija apie Druskininkų savivaldybės naujienas, LVAT darė išvadą, kad ir tokioms publikacijoms yra taikomos VIĮ nuostatos, o Inspektorius iš esmės buvo kompetentingas nagrinėti skundą dėl jų.</w:t>
      </w:r>
    </w:p>
    <w:p w:rsidR="00CB46BE" w:rsidRPr="00D3763B" w:rsidRDefault="00CB46BE" w:rsidP="00CB46BE">
      <w:pPr>
        <w:ind w:firstLine="567"/>
        <w:jc w:val="both"/>
        <w:rPr>
          <w:rFonts w:asciiTheme="minorHAnsi" w:hAnsiTheme="minorHAnsi" w:cstheme="minorHAnsi"/>
          <w:sz w:val="22"/>
          <w:szCs w:val="22"/>
        </w:rPr>
      </w:pPr>
    </w:p>
    <w:p w:rsidR="00CB46BE" w:rsidRPr="00D3763B" w:rsidRDefault="00CB46BE" w:rsidP="00CB46BE">
      <w:pPr>
        <w:jc w:val="both"/>
        <w:rPr>
          <w:rFonts w:asciiTheme="minorHAnsi" w:hAnsiTheme="minorHAnsi" w:cstheme="minorHAnsi"/>
          <w:sz w:val="22"/>
          <w:szCs w:val="22"/>
        </w:rPr>
      </w:pPr>
      <w:r w:rsidRPr="00D3763B">
        <w:rPr>
          <w:rFonts w:asciiTheme="minorHAnsi" w:hAnsiTheme="minorHAnsi" w:cstheme="minorHAnsi"/>
          <w:sz w:val="22"/>
          <w:szCs w:val="22"/>
        </w:rPr>
        <w:t>2018 m. liepos 5 d. nutartis administracinėje byloje Nr. eA-854-602/2018</w:t>
      </w:r>
    </w:p>
    <w:p w:rsidR="00CB46BE" w:rsidRPr="00D3763B" w:rsidRDefault="00CB46BE" w:rsidP="00CB46BE">
      <w:pPr>
        <w:jc w:val="both"/>
        <w:rPr>
          <w:rFonts w:asciiTheme="minorHAnsi" w:hAnsiTheme="minorHAnsi" w:cstheme="minorHAnsi"/>
          <w:sz w:val="22"/>
          <w:szCs w:val="22"/>
        </w:rPr>
      </w:pPr>
      <w:r w:rsidRPr="00D3763B">
        <w:rPr>
          <w:rFonts w:asciiTheme="minorHAnsi" w:hAnsiTheme="minorHAnsi" w:cstheme="minorHAnsi"/>
          <w:sz w:val="22"/>
          <w:szCs w:val="22"/>
        </w:rPr>
        <w:t>Teisminio proceso Nr. 3-61-3-00732-2016-4</w:t>
      </w:r>
    </w:p>
    <w:p w:rsidR="00CB46BE" w:rsidRPr="00D3763B" w:rsidRDefault="00CB46BE" w:rsidP="00CB46BE">
      <w:pPr>
        <w:jc w:val="both"/>
        <w:rPr>
          <w:rFonts w:asciiTheme="minorHAnsi" w:hAnsiTheme="minorHAnsi" w:cstheme="minorHAnsi"/>
          <w:sz w:val="22"/>
          <w:szCs w:val="22"/>
        </w:rPr>
      </w:pPr>
      <w:r w:rsidRPr="00D3763B">
        <w:rPr>
          <w:rFonts w:asciiTheme="minorHAnsi" w:hAnsiTheme="minorHAnsi" w:cstheme="minorHAnsi"/>
          <w:sz w:val="22"/>
          <w:szCs w:val="22"/>
        </w:rPr>
        <w:t xml:space="preserve">Procesinio sprendimo kategorijos: 27.1; 45; 59.1.5 </w:t>
      </w:r>
    </w:p>
    <w:p w:rsidR="00CB46BE" w:rsidRPr="00D3763B" w:rsidRDefault="000220C9" w:rsidP="00CB46BE">
      <w:pPr>
        <w:jc w:val="both"/>
        <w:rPr>
          <w:rFonts w:asciiTheme="minorHAnsi" w:hAnsiTheme="minorHAnsi" w:cstheme="minorHAnsi"/>
          <w:sz w:val="22"/>
          <w:szCs w:val="22"/>
        </w:rPr>
      </w:pPr>
      <w:hyperlink r:id="rId19" w:history="1">
        <w:r w:rsidR="00CB46BE" w:rsidRPr="00D3763B">
          <w:rPr>
            <w:rStyle w:val="Hyperlink"/>
            <w:rFonts w:asciiTheme="minorHAnsi" w:hAnsiTheme="minorHAnsi" w:cstheme="minorHAnsi"/>
            <w:sz w:val="22"/>
            <w:szCs w:val="22"/>
          </w:rPr>
          <w:t>Prieiga internete</w:t>
        </w:r>
      </w:hyperlink>
    </w:p>
    <w:p w:rsidR="00CB46BE" w:rsidRPr="00D3763B" w:rsidRDefault="00CB46BE" w:rsidP="009C6F61">
      <w:pPr>
        <w:pStyle w:val="Apzvalgai1"/>
        <w:outlineLvl w:val="9"/>
        <w:rPr>
          <w:rFonts w:asciiTheme="minorHAnsi" w:hAnsiTheme="minorHAnsi" w:cstheme="minorHAnsi"/>
        </w:rPr>
      </w:pPr>
    </w:p>
    <w:p w:rsidR="008D724C" w:rsidRDefault="008D724C" w:rsidP="0014360F">
      <w:pPr>
        <w:pStyle w:val="Apzvalgai1"/>
        <w:rPr>
          <w:rFonts w:asciiTheme="minorHAnsi" w:hAnsiTheme="minorHAnsi" w:cstheme="minorHAnsi"/>
        </w:rPr>
      </w:pPr>
      <w:bookmarkStart w:id="52" w:name="_Toc524957048"/>
      <w:bookmarkStart w:id="53" w:name="_Toc462149998"/>
      <w:bookmarkStart w:id="54" w:name="_Toc519600872"/>
      <w:r w:rsidRPr="00D3763B">
        <w:rPr>
          <w:rFonts w:asciiTheme="minorHAnsi" w:hAnsiTheme="minorHAnsi" w:cstheme="minorHAnsi"/>
        </w:rPr>
        <w:t>29. Nacionalinių, Europos Sąjungos ir užsienio investicijų finansinė parama</w:t>
      </w:r>
      <w:bookmarkEnd w:id="52"/>
    </w:p>
    <w:p w:rsidR="0083486C" w:rsidRPr="0083486C" w:rsidRDefault="0083486C" w:rsidP="0083486C">
      <w:pPr>
        <w:ind w:firstLine="567"/>
        <w:jc w:val="both"/>
        <w:rPr>
          <w:rFonts w:asciiTheme="minorHAnsi" w:hAnsiTheme="minorHAnsi" w:cstheme="minorHAnsi"/>
          <w:b/>
          <w:sz w:val="22"/>
          <w:szCs w:val="22"/>
          <w:u w:val="single"/>
        </w:rPr>
      </w:pPr>
      <w:r w:rsidRPr="0083486C">
        <w:rPr>
          <w:rFonts w:asciiTheme="minorHAnsi" w:hAnsiTheme="minorHAnsi" w:cstheme="minorHAnsi"/>
          <w:b/>
          <w:sz w:val="22"/>
          <w:szCs w:val="22"/>
          <w:u w:val="single"/>
        </w:rPr>
        <w:t>29.1. Paraiškų administravimas</w:t>
      </w:r>
    </w:p>
    <w:p w:rsidR="00D3763B" w:rsidRPr="00D3763B" w:rsidRDefault="00D3763B" w:rsidP="00D3763B">
      <w:pPr>
        <w:ind w:firstLine="1134"/>
        <w:jc w:val="both"/>
        <w:rPr>
          <w:rFonts w:asciiTheme="minorHAnsi" w:hAnsiTheme="minorHAnsi" w:cstheme="minorHAnsi"/>
          <w:b/>
          <w:sz w:val="22"/>
          <w:szCs w:val="22"/>
          <w:u w:val="single"/>
        </w:rPr>
      </w:pPr>
      <w:r w:rsidRPr="00D3763B">
        <w:rPr>
          <w:rFonts w:asciiTheme="minorHAnsi" w:hAnsiTheme="minorHAnsi" w:cstheme="minorHAnsi"/>
          <w:b/>
          <w:sz w:val="22"/>
          <w:szCs w:val="22"/>
          <w:u w:val="single"/>
        </w:rPr>
        <w:t>29.1.2. Išmokų sumažinimas arba neskyrimas, kai nesilaikoma teisės aktų reikalavimų</w:t>
      </w:r>
    </w:p>
    <w:p w:rsidR="005E05ED" w:rsidRPr="00D3763B" w:rsidRDefault="005E05ED" w:rsidP="009C6F61">
      <w:pPr>
        <w:pStyle w:val="Apzvalgai1"/>
        <w:outlineLvl w:val="9"/>
        <w:rPr>
          <w:rFonts w:asciiTheme="minorHAnsi" w:hAnsiTheme="minorHAnsi" w:cstheme="minorHAnsi"/>
          <w:b w:val="0"/>
          <w:color w:val="000000"/>
          <w:u w:val="none"/>
          <w:shd w:val="clear" w:color="auto" w:fill="FFFFFF"/>
        </w:rPr>
      </w:pPr>
    </w:p>
    <w:p w:rsidR="00E577F5" w:rsidRPr="00D3763B" w:rsidRDefault="00E577F5" w:rsidP="00D3763B">
      <w:pPr>
        <w:pStyle w:val="Heading2"/>
      </w:pPr>
      <w:bookmarkStart w:id="55" w:name="_Toc524957049"/>
      <w:r w:rsidRPr="00D3763B">
        <w:lastRenderedPageBreak/>
        <w:t>Dėl viešuosius pirkimus reglamentuojančių teisės aktų pažeidimo</w:t>
      </w:r>
      <w:r w:rsidR="008745C7" w:rsidRPr="00D3763B">
        <w:t>,</w:t>
      </w:r>
      <w:r w:rsidRPr="00D3763B">
        <w:t xml:space="preserve"> kaip Europos Sąjungos struktūrinių fondų paramos sumažinimo pagrindo</w:t>
      </w:r>
      <w:bookmarkEnd w:id="55"/>
    </w:p>
    <w:p w:rsidR="00E577F5" w:rsidRPr="00D3763B" w:rsidRDefault="00E577F5" w:rsidP="00E577F5">
      <w:pPr>
        <w:pStyle w:val="NoSpacing"/>
        <w:ind w:firstLine="851"/>
        <w:jc w:val="both"/>
        <w:rPr>
          <w:rFonts w:asciiTheme="minorHAnsi" w:hAnsiTheme="minorHAnsi" w:cstheme="minorHAnsi"/>
          <w:lang w:eastAsia="lt-LT"/>
        </w:rPr>
      </w:pPr>
    </w:p>
    <w:p w:rsidR="005E4055" w:rsidRPr="00D3763B" w:rsidRDefault="00E577F5" w:rsidP="005E4055">
      <w:pPr>
        <w:pStyle w:val="NoSpacing"/>
        <w:ind w:firstLine="567"/>
        <w:jc w:val="both"/>
        <w:rPr>
          <w:rFonts w:asciiTheme="minorHAnsi" w:hAnsiTheme="minorHAnsi" w:cstheme="minorHAnsi"/>
          <w:lang w:eastAsia="lt-LT"/>
        </w:rPr>
      </w:pPr>
      <w:r w:rsidRPr="00D3763B">
        <w:rPr>
          <w:rFonts w:asciiTheme="minorHAnsi" w:hAnsiTheme="minorHAnsi" w:cstheme="minorHAnsi"/>
          <w:lang w:eastAsia="lt-LT"/>
        </w:rPr>
        <w:t>Apžvelgiamoje byloje ginčas kilo dėl pareiškėjui Elektrėnų savivaldybės administracijai (toliau – Administracija) skirtos Europos Sąjungos struktūrinių fondų paramos sumažinimo (pritaikytos 5 proc. finansinės korekcijos) pagrįstumo, nustačius viešuosius pirkimus reglamentuojančių teisės aktų pažeidimus.</w:t>
      </w:r>
    </w:p>
    <w:p w:rsidR="005E4055" w:rsidRPr="00D3763B" w:rsidRDefault="00E577F5" w:rsidP="005E4055">
      <w:pPr>
        <w:pStyle w:val="NoSpacing"/>
        <w:ind w:firstLine="567"/>
        <w:jc w:val="both"/>
        <w:rPr>
          <w:rFonts w:asciiTheme="minorHAnsi" w:hAnsiTheme="minorHAnsi" w:cstheme="minorHAnsi"/>
          <w:lang w:eastAsia="lt-LT"/>
        </w:rPr>
      </w:pPr>
      <w:r w:rsidRPr="00D3763B">
        <w:rPr>
          <w:rFonts w:asciiTheme="minorHAnsi" w:hAnsiTheme="minorHAnsi" w:cstheme="minorHAnsi"/>
          <w:lang w:eastAsia="lt-LT"/>
        </w:rPr>
        <w:t>Byloje nustatyta, kad pirkimo laimėtojas UAB ,,</w:t>
      </w:r>
      <w:proofErr w:type="spellStart"/>
      <w:r w:rsidRPr="00D3763B">
        <w:rPr>
          <w:rFonts w:asciiTheme="minorHAnsi" w:hAnsiTheme="minorHAnsi" w:cstheme="minorHAnsi"/>
          <w:lang w:eastAsia="lt-LT"/>
        </w:rPr>
        <w:t>Litana</w:t>
      </w:r>
      <w:proofErr w:type="spellEnd"/>
      <w:r w:rsidRPr="00D3763B">
        <w:rPr>
          <w:rFonts w:asciiTheme="minorHAnsi" w:hAnsiTheme="minorHAnsi" w:cstheme="minorHAnsi"/>
          <w:lang w:eastAsia="lt-LT"/>
        </w:rPr>
        <w:t xml:space="preserve"> ir Ko“ neatitiko pirkimo dokumentuose tiekėjui nustatyto minimalaus kvalifikacijos reikalavimo iki pasiūlymo pateikimo dienos būti sėkmingai užbaigusiam bent vieną visuomeninės paskirties pastato rekonstrukcijos ar naujos statybos sutartį, kurios vertė ne mažesnė kaip 11 mln. Lt.</w:t>
      </w:r>
    </w:p>
    <w:p w:rsidR="005E4055" w:rsidRPr="00D3763B" w:rsidRDefault="00E577F5" w:rsidP="005E4055">
      <w:pPr>
        <w:pStyle w:val="NoSpacing"/>
        <w:ind w:firstLine="567"/>
        <w:jc w:val="both"/>
        <w:rPr>
          <w:rFonts w:asciiTheme="minorHAnsi" w:hAnsiTheme="minorHAnsi" w:cstheme="minorHAnsi"/>
          <w:lang w:eastAsia="lt-LT"/>
        </w:rPr>
      </w:pPr>
      <w:r w:rsidRPr="00D3763B">
        <w:rPr>
          <w:rFonts w:asciiTheme="minorHAnsi" w:hAnsiTheme="minorHAnsi" w:cstheme="minorHAnsi"/>
          <w:lang w:eastAsia="lt-LT"/>
        </w:rPr>
        <w:t>LVAT teisėjų kolegija sprendė, kad vien ta aplinkybė, jog Durpių substratų fasavimo gamykla intensyviai vykdo durpių gavybą visuomenės reikmėms ir jomis prekiauja, ne</w:t>
      </w:r>
      <w:r w:rsidR="005E4055" w:rsidRPr="00D3763B">
        <w:rPr>
          <w:rFonts w:asciiTheme="minorHAnsi" w:hAnsiTheme="minorHAnsi" w:cstheme="minorHAnsi"/>
          <w:lang w:eastAsia="lt-LT"/>
        </w:rPr>
        <w:t xml:space="preserve">leidžia daryti </w:t>
      </w:r>
      <w:r w:rsidRPr="00D3763B">
        <w:rPr>
          <w:rFonts w:asciiTheme="minorHAnsi" w:hAnsiTheme="minorHAnsi" w:cstheme="minorHAnsi"/>
          <w:lang w:eastAsia="lt-LT"/>
        </w:rPr>
        <w:t>išvad</w:t>
      </w:r>
      <w:r w:rsidR="005E4055" w:rsidRPr="00D3763B">
        <w:rPr>
          <w:rFonts w:asciiTheme="minorHAnsi" w:hAnsiTheme="minorHAnsi" w:cstheme="minorHAnsi"/>
          <w:lang w:eastAsia="lt-LT"/>
        </w:rPr>
        <w:t>os</w:t>
      </w:r>
      <w:r w:rsidRPr="00D3763B">
        <w:rPr>
          <w:rFonts w:asciiTheme="minorHAnsi" w:hAnsiTheme="minorHAnsi" w:cstheme="minorHAnsi"/>
          <w:lang w:eastAsia="lt-LT"/>
        </w:rPr>
        <w:t>, jog gamykla yra visuomeninės paskirties statinys. Tai, kad pirkimo dokumentuose suma buvo įrašyta ne skaičiais 11 000 000, o simboliu 11 mln., visiškai nereiškia, kad skaičiai 10 575 000,00 litų yra tapatūs 11 mln. litų. Pirkimo sąlygose nebuvo nurodyta, kad tiekėjų įvykdytų sutarčių vertė bus apvalinama 1 mln. Lt tikslumu (virš 10 500 000 vertinant kaip 11 mln., o mažiau 10 500 000 vertinant kaip 10 000 000, ar pan.), to negalėjo žinoti ir potencialūs rangovai, teikdami pasiūlymus konkursui. Pirkimo sąlygų 13.10 punkte buvo aiškiai nurodyta, kad tiekėjo įvykdytos sutarties vertė turi būti ne mažesnė nei 11 mln. Lt, todėl tinkamai įvykdyta sutartis, kurios vertė – 10 575 000 Lt, negalėjo būti pripažinta įrodančia tiekėjo atitiktį nurodytiems minimaliems kvalifikacijos reikalavimams.</w:t>
      </w:r>
    </w:p>
    <w:p w:rsidR="005E4055" w:rsidRPr="00D3763B" w:rsidRDefault="00E577F5" w:rsidP="005E4055">
      <w:pPr>
        <w:pStyle w:val="NoSpacing"/>
        <w:ind w:firstLine="567"/>
        <w:jc w:val="both"/>
        <w:rPr>
          <w:rFonts w:asciiTheme="minorHAnsi" w:hAnsiTheme="minorHAnsi" w:cstheme="minorHAnsi"/>
          <w:lang w:eastAsia="lt-LT"/>
        </w:rPr>
      </w:pPr>
      <w:r w:rsidRPr="00D3763B">
        <w:rPr>
          <w:rFonts w:asciiTheme="minorHAnsi" w:hAnsiTheme="minorHAnsi" w:cstheme="minorHAnsi"/>
          <w:lang w:eastAsia="lt-LT"/>
        </w:rPr>
        <w:t>Pareiškėjo argumentas, kad pirkimo tikslai buvo pasiekti, darbai atlikti tinkamai ir laiku, neturi reikšmės sprendimo taikyti finansinę korekciją pagrįstumui ir teisėtumui. Nustatyti konkrečias neigiamo finansinio poveikio pasekmes, kai pažeidimu buvo ribojama potenciali konkurencija, dažniausiai nėra galimybės, tačiau vien konkurencijos ribojimas, nustatytų konkurso taisyklių nesilaikymas, sutarties sudarymas su dalyviu, su kuriuo ji neturėjo būti sudaryta, pažeidimo neleidžia vertinti kaip formalaus ar mažareikšmio. Pareiškėjui pritaikytas mažiausias Europos Komisijos 2013 m. gruodžio 19 d. sprendimu Nr. C(2013)9527 patvirtintų Gairių dėl Komisijos finansinių korekcijų, taikytinų Sąjungos išlaidoms, valdomoms pagal pasidalijamojo valdymo principą, kai nesilaikyta viešojo pirkimo taisyklių, 13 punkte įtvirtintas 5 proc. finansinės korekcijos dydis, nes pareiškėjas rangos sutartį sudarė nesilaikydamas Viešųjų pirkimų įstatymo 3 straipsnio 1 dalyje įtvirtintų principų ir pažeisdamas 32 straipsnio 6 dalies nuostatas.</w:t>
      </w:r>
    </w:p>
    <w:p w:rsidR="00E577F5" w:rsidRPr="00D3763B" w:rsidRDefault="00E577F5" w:rsidP="005E4055">
      <w:pPr>
        <w:pStyle w:val="NoSpacing"/>
        <w:ind w:firstLine="567"/>
        <w:jc w:val="both"/>
        <w:rPr>
          <w:rFonts w:asciiTheme="minorHAnsi" w:hAnsiTheme="minorHAnsi" w:cstheme="minorHAnsi"/>
          <w:lang w:eastAsia="lt-LT"/>
        </w:rPr>
      </w:pPr>
      <w:r w:rsidRPr="00D3763B">
        <w:rPr>
          <w:rFonts w:asciiTheme="minorHAnsi" w:hAnsiTheme="minorHAnsi" w:cstheme="minorHAnsi"/>
          <w:lang w:eastAsia="lt-LT"/>
        </w:rPr>
        <w:t>Pirmosios instancijos teismo sprendimas paliktas nepakeistas.</w:t>
      </w:r>
    </w:p>
    <w:p w:rsidR="00E577F5" w:rsidRPr="00D3763B" w:rsidRDefault="00E577F5" w:rsidP="00E577F5">
      <w:pPr>
        <w:pStyle w:val="NoSpacing"/>
        <w:ind w:firstLine="851"/>
        <w:jc w:val="both"/>
        <w:rPr>
          <w:rFonts w:asciiTheme="minorHAnsi" w:hAnsiTheme="minorHAnsi" w:cstheme="minorHAnsi"/>
          <w:lang w:eastAsia="lt-LT"/>
        </w:rPr>
      </w:pPr>
    </w:p>
    <w:p w:rsidR="00E577F5" w:rsidRPr="00D3763B" w:rsidRDefault="00E577F5" w:rsidP="00E577F5">
      <w:pPr>
        <w:pStyle w:val="NoSpacing"/>
        <w:jc w:val="both"/>
        <w:rPr>
          <w:rFonts w:asciiTheme="minorHAnsi" w:hAnsiTheme="minorHAnsi" w:cstheme="minorHAnsi"/>
          <w:lang w:eastAsia="lt-LT"/>
        </w:rPr>
      </w:pPr>
      <w:r w:rsidRPr="00D3763B">
        <w:rPr>
          <w:rFonts w:asciiTheme="minorHAnsi" w:hAnsiTheme="minorHAnsi" w:cstheme="minorHAnsi"/>
          <w:lang w:eastAsia="lt-LT"/>
        </w:rPr>
        <w:t>2018 m. birželio 26 d. nutartis administracinėje byloje Nr. eA-380-756/2018</w:t>
      </w:r>
    </w:p>
    <w:p w:rsidR="00E577F5" w:rsidRPr="00D3763B" w:rsidRDefault="00E577F5" w:rsidP="00E577F5">
      <w:pPr>
        <w:pStyle w:val="NoSpacing"/>
        <w:jc w:val="both"/>
        <w:rPr>
          <w:rFonts w:asciiTheme="minorHAnsi" w:hAnsiTheme="minorHAnsi" w:cstheme="minorHAnsi"/>
          <w:lang w:eastAsia="lt-LT"/>
        </w:rPr>
      </w:pPr>
      <w:r w:rsidRPr="00D3763B">
        <w:rPr>
          <w:rFonts w:asciiTheme="minorHAnsi" w:hAnsiTheme="minorHAnsi" w:cstheme="minorHAnsi"/>
          <w:lang w:eastAsia="lt-LT"/>
        </w:rPr>
        <w:t>Teisminio proceso Nr. 3-61-3-00789-2016-6</w:t>
      </w:r>
    </w:p>
    <w:p w:rsidR="00E577F5" w:rsidRDefault="00E577F5" w:rsidP="00E577F5">
      <w:pPr>
        <w:pStyle w:val="NoSpacing"/>
        <w:jc w:val="both"/>
        <w:rPr>
          <w:rFonts w:asciiTheme="minorHAnsi" w:hAnsiTheme="minorHAnsi" w:cstheme="minorHAnsi"/>
          <w:lang w:eastAsia="lt-LT"/>
        </w:rPr>
      </w:pPr>
      <w:r w:rsidRPr="00D3763B">
        <w:rPr>
          <w:rFonts w:asciiTheme="minorHAnsi" w:hAnsiTheme="minorHAnsi" w:cstheme="minorHAnsi"/>
          <w:lang w:eastAsia="lt-LT"/>
        </w:rPr>
        <w:t>Procesinio sprendimo kategorijos: 28.9; 32</w:t>
      </w:r>
    </w:p>
    <w:p w:rsidR="00D3763B" w:rsidRDefault="000220C9" w:rsidP="00D3763B">
      <w:pPr>
        <w:pStyle w:val="NoSpacing"/>
        <w:jc w:val="both"/>
        <w:rPr>
          <w:rFonts w:asciiTheme="minorHAnsi" w:hAnsiTheme="minorHAnsi" w:cstheme="minorHAnsi"/>
          <w:lang w:eastAsia="lt-LT"/>
        </w:rPr>
      </w:pPr>
      <w:hyperlink r:id="rId20" w:history="1">
        <w:r w:rsidR="00D3763B" w:rsidRPr="00D3763B">
          <w:rPr>
            <w:rStyle w:val="Hyperlink"/>
            <w:rFonts w:asciiTheme="minorHAnsi" w:hAnsiTheme="minorHAnsi" w:cstheme="minorHAnsi"/>
            <w:lang w:eastAsia="lt-LT"/>
          </w:rPr>
          <w:t>Prieiga internete</w:t>
        </w:r>
      </w:hyperlink>
    </w:p>
    <w:p w:rsidR="004E7ED8" w:rsidRPr="00D3763B" w:rsidRDefault="004E7ED8" w:rsidP="009C6F61">
      <w:pPr>
        <w:pStyle w:val="Apzvalgai1"/>
        <w:outlineLvl w:val="9"/>
        <w:rPr>
          <w:rFonts w:asciiTheme="minorHAnsi" w:hAnsiTheme="minorHAnsi" w:cstheme="minorHAnsi"/>
          <w:b w:val="0"/>
          <w:color w:val="000000"/>
          <w:u w:val="none"/>
          <w:shd w:val="clear" w:color="auto" w:fill="FFFFFF"/>
        </w:rPr>
      </w:pPr>
    </w:p>
    <w:p w:rsidR="00CB46BE" w:rsidRPr="00D3763B" w:rsidRDefault="00CB46BE" w:rsidP="0014360F">
      <w:pPr>
        <w:pStyle w:val="Apzvalgai1"/>
        <w:rPr>
          <w:rFonts w:asciiTheme="minorHAnsi" w:hAnsiTheme="minorHAnsi" w:cstheme="minorHAnsi"/>
        </w:rPr>
      </w:pPr>
      <w:bookmarkStart w:id="56" w:name="_Toc524957050"/>
      <w:r w:rsidRPr="00D3763B">
        <w:rPr>
          <w:rFonts w:asciiTheme="minorHAnsi" w:hAnsiTheme="minorHAnsi" w:cstheme="minorHAnsi"/>
        </w:rPr>
        <w:t>30. Energetika</w:t>
      </w:r>
      <w:bookmarkEnd w:id="56"/>
    </w:p>
    <w:p w:rsidR="00CB46BE" w:rsidRPr="00D3763B" w:rsidRDefault="00CB46BE" w:rsidP="00CB46BE">
      <w:pPr>
        <w:ind w:firstLine="567"/>
        <w:jc w:val="both"/>
        <w:rPr>
          <w:rFonts w:asciiTheme="minorHAnsi" w:hAnsiTheme="minorHAnsi" w:cstheme="minorHAnsi"/>
          <w:sz w:val="22"/>
          <w:szCs w:val="22"/>
        </w:rPr>
      </w:pPr>
    </w:p>
    <w:p w:rsidR="00CB46BE" w:rsidRPr="00D3763B" w:rsidRDefault="00CB46BE" w:rsidP="00D3763B">
      <w:pPr>
        <w:pStyle w:val="Heading2"/>
      </w:pPr>
      <w:bookmarkStart w:id="57" w:name="_Toc524957051"/>
      <w:r w:rsidRPr="00D3763B">
        <w:t>Dėl leidimo gaminti elektros energiją elektrinėje pasikeitus jos savininkui</w:t>
      </w:r>
      <w:bookmarkEnd w:id="57"/>
      <w:r w:rsidRPr="00D3763B">
        <w:t xml:space="preserve">  </w:t>
      </w:r>
    </w:p>
    <w:p w:rsidR="00CB46BE" w:rsidRPr="00D3763B" w:rsidRDefault="00CB46BE" w:rsidP="00CB46BE">
      <w:pPr>
        <w:ind w:firstLine="567"/>
        <w:jc w:val="both"/>
        <w:rPr>
          <w:rFonts w:asciiTheme="minorHAnsi" w:hAnsiTheme="minorHAnsi" w:cstheme="minorHAnsi"/>
          <w:sz w:val="22"/>
          <w:szCs w:val="22"/>
        </w:rPr>
      </w:pPr>
    </w:p>
    <w:p w:rsidR="00CB46BE" w:rsidRPr="00D3763B" w:rsidRDefault="00CB46BE" w:rsidP="00CB46BE">
      <w:pPr>
        <w:ind w:firstLine="567"/>
        <w:jc w:val="both"/>
        <w:rPr>
          <w:rFonts w:asciiTheme="minorHAnsi" w:hAnsiTheme="minorHAnsi" w:cstheme="minorHAnsi"/>
          <w:sz w:val="22"/>
          <w:szCs w:val="22"/>
        </w:rPr>
      </w:pPr>
      <w:r w:rsidRPr="00D3763B">
        <w:rPr>
          <w:rFonts w:asciiTheme="minorHAnsi" w:hAnsiTheme="minorHAnsi" w:cstheme="minorHAnsi"/>
          <w:sz w:val="22"/>
          <w:szCs w:val="22"/>
        </w:rPr>
        <w:t>Šioje byloje buvo nagrinėjamas apeliacinis skundas byloje dėl</w:t>
      </w:r>
      <w:r w:rsidR="004D0362" w:rsidRPr="00D3763B">
        <w:rPr>
          <w:rFonts w:asciiTheme="minorHAnsi" w:hAnsiTheme="minorHAnsi" w:cstheme="minorHAnsi"/>
          <w:sz w:val="22"/>
          <w:szCs w:val="22"/>
        </w:rPr>
        <w:t xml:space="preserve"> </w:t>
      </w:r>
      <w:r w:rsidRPr="00D3763B">
        <w:rPr>
          <w:rFonts w:asciiTheme="minorHAnsi" w:hAnsiTheme="minorHAnsi" w:cstheme="minorHAnsi"/>
          <w:sz w:val="22"/>
          <w:szCs w:val="22"/>
        </w:rPr>
        <w:t>Valstybinės energetikos inspekcijos prie Energetikos ministerijos (toliau – Inspekcija) 2015 m. lapkričio 9 d. leidimo gaminti elektros energiją panaikinimo.</w:t>
      </w:r>
    </w:p>
    <w:p w:rsidR="00CB46BE" w:rsidRPr="00D3763B" w:rsidRDefault="00CB46BE" w:rsidP="00CB46BE">
      <w:pPr>
        <w:ind w:firstLine="567"/>
        <w:jc w:val="both"/>
        <w:rPr>
          <w:rFonts w:asciiTheme="minorHAnsi" w:hAnsiTheme="minorHAnsi" w:cstheme="minorHAnsi"/>
          <w:sz w:val="22"/>
          <w:szCs w:val="22"/>
        </w:rPr>
      </w:pPr>
      <w:r w:rsidRPr="00D3763B">
        <w:rPr>
          <w:rFonts w:asciiTheme="minorHAnsi" w:hAnsiTheme="minorHAnsi" w:cstheme="minorHAnsi"/>
          <w:sz w:val="22"/>
          <w:szCs w:val="22"/>
        </w:rPr>
        <w:t>Pareiškėjas nurodė, kad 2013 m. liepos 26 d. jam buvo išduotas leidimas gaminti elektros energiją Nr.</w:t>
      </w:r>
      <w:r w:rsidR="004D0362" w:rsidRPr="00D3763B">
        <w:rPr>
          <w:rFonts w:asciiTheme="minorHAnsi" w:hAnsiTheme="minorHAnsi" w:cstheme="minorHAnsi"/>
          <w:sz w:val="22"/>
          <w:szCs w:val="22"/>
        </w:rPr>
        <w:t> </w:t>
      </w:r>
      <w:r w:rsidRPr="00D3763B">
        <w:rPr>
          <w:rFonts w:asciiTheme="minorHAnsi" w:hAnsiTheme="minorHAnsi" w:cstheme="minorHAnsi"/>
          <w:sz w:val="22"/>
          <w:szCs w:val="22"/>
        </w:rPr>
        <w:t>LG-2262, tačiau atsakovas minėtą leidimą perleido UAB „</w:t>
      </w:r>
      <w:proofErr w:type="spellStart"/>
      <w:r w:rsidRPr="00D3763B">
        <w:rPr>
          <w:rFonts w:asciiTheme="minorHAnsi" w:hAnsiTheme="minorHAnsi" w:cstheme="minorHAnsi"/>
          <w:sz w:val="22"/>
          <w:szCs w:val="22"/>
        </w:rPr>
        <w:t>Vaigosta</w:t>
      </w:r>
      <w:proofErr w:type="spellEnd"/>
      <w:r w:rsidRPr="00D3763B">
        <w:rPr>
          <w:rFonts w:asciiTheme="minorHAnsi" w:hAnsiTheme="minorHAnsi" w:cstheme="minorHAnsi"/>
          <w:sz w:val="22"/>
          <w:szCs w:val="22"/>
        </w:rPr>
        <w:t>“, kaip pagrindą nurodydamas Lietuvos Aukščiausiojo Teismo 2015 m. spalio 2 d. nutartį, 2010 m. rugpjūčio 23 d. leidimą plėtoti elektros energijos gamybos pajėgumus Nr. LP-0426 ir 2013 m. liepos 26 d. leidimą gaminti elektros energiją Nr. LG-2262. Pareiškėjas pabrėžė, kad jis iki šiol yra 2010 m. rugpjūčio 23 d. leidimo plėtoti elektros energijos gamybos pajėgumus Nr. LP-0426 turėtojas, todėl šis leidimas negali sudaryti teisinio pagrindo leidimo gaminti elektros energiją turėtojo pakeitimui.</w:t>
      </w:r>
    </w:p>
    <w:p w:rsidR="00CB46BE" w:rsidRPr="00D3763B" w:rsidRDefault="00CB46BE" w:rsidP="00CB46BE">
      <w:pPr>
        <w:ind w:firstLine="567"/>
        <w:jc w:val="both"/>
        <w:rPr>
          <w:rFonts w:asciiTheme="minorHAnsi" w:hAnsiTheme="minorHAnsi" w:cstheme="minorHAnsi"/>
          <w:sz w:val="22"/>
          <w:szCs w:val="22"/>
        </w:rPr>
      </w:pPr>
      <w:r w:rsidRPr="00D3763B">
        <w:rPr>
          <w:rFonts w:asciiTheme="minorHAnsi" w:hAnsiTheme="minorHAnsi" w:cstheme="minorHAnsi"/>
          <w:sz w:val="22"/>
          <w:szCs w:val="22"/>
        </w:rPr>
        <w:t>Byloje nustatyta, kad pareiškėjui UAB „Domus ARX“ 2010 m. rugpjūčio 23 d. buvo išduoti leidimai plėsti elektros energijos gamybos pajėgumus Nr. LP-0426 ir Nr. LG-2262 saulės elektrinėse. Vadovaujantis Klaipėdos apygardos teismo 2013 m. liepos 18 d. nutartimi</w:t>
      </w:r>
      <w:r w:rsidR="004D0362" w:rsidRPr="00D3763B">
        <w:rPr>
          <w:rFonts w:asciiTheme="minorHAnsi" w:hAnsiTheme="minorHAnsi" w:cstheme="minorHAnsi"/>
          <w:sz w:val="22"/>
          <w:szCs w:val="22"/>
        </w:rPr>
        <w:t>,</w:t>
      </w:r>
      <w:r w:rsidRPr="00D3763B">
        <w:rPr>
          <w:rFonts w:asciiTheme="minorHAnsi" w:hAnsiTheme="minorHAnsi" w:cstheme="minorHAnsi"/>
          <w:sz w:val="22"/>
          <w:szCs w:val="22"/>
        </w:rPr>
        <w:t xml:space="preserve"> buvo areštuotas UAB „Domus ARX“ turtas, be </w:t>
      </w:r>
      <w:r w:rsidRPr="00D3763B">
        <w:rPr>
          <w:rFonts w:asciiTheme="minorHAnsi" w:hAnsiTheme="minorHAnsi" w:cstheme="minorHAnsi"/>
          <w:sz w:val="22"/>
          <w:szCs w:val="22"/>
        </w:rPr>
        <w:lastRenderedPageBreak/>
        <w:t>kita ko – saulės elektrinė bei turto disponavimo teisė į 2013 m. liepos 26 d. išduotą leidimą gaminti elektros energiją Nr. LG-2262. Tačiau Lietuvos Aukščiausiojo Teismo 2015 m. spalio 2 d. nutartimi (civilinė byla Nr. 3K-3-519-415/2015) nuosavybės teisė į saulės elektrinę buvo pripažinta UAB „</w:t>
      </w:r>
      <w:proofErr w:type="spellStart"/>
      <w:r w:rsidRPr="00D3763B">
        <w:rPr>
          <w:rFonts w:asciiTheme="minorHAnsi" w:hAnsiTheme="minorHAnsi" w:cstheme="minorHAnsi"/>
          <w:sz w:val="22"/>
          <w:szCs w:val="22"/>
        </w:rPr>
        <w:t>Vaigosta</w:t>
      </w:r>
      <w:proofErr w:type="spellEnd"/>
      <w:r w:rsidRPr="00D3763B">
        <w:rPr>
          <w:rFonts w:asciiTheme="minorHAnsi" w:hAnsiTheme="minorHAnsi" w:cstheme="minorHAnsi"/>
          <w:sz w:val="22"/>
          <w:szCs w:val="22"/>
        </w:rPr>
        <w:t>“. UAB „</w:t>
      </w:r>
      <w:proofErr w:type="spellStart"/>
      <w:r w:rsidRPr="00D3763B">
        <w:rPr>
          <w:rFonts w:asciiTheme="minorHAnsi" w:hAnsiTheme="minorHAnsi" w:cstheme="minorHAnsi"/>
          <w:sz w:val="22"/>
          <w:szCs w:val="22"/>
        </w:rPr>
        <w:t>Vaigosta</w:t>
      </w:r>
      <w:proofErr w:type="spellEnd"/>
      <w:r w:rsidRPr="00D3763B">
        <w:rPr>
          <w:rFonts w:asciiTheme="minorHAnsi" w:hAnsiTheme="minorHAnsi" w:cstheme="minorHAnsi"/>
          <w:sz w:val="22"/>
          <w:szCs w:val="22"/>
        </w:rPr>
        <w:t>“ 2015 m. spalio 8 d. pateikus Inspekcijai prašymą išduoti leidimą vykdyti veiklą elektros energetikos sektoriuje, Inspekcija išdavė šioje byloje ginč</w:t>
      </w:r>
      <w:r w:rsidR="0039508B" w:rsidRPr="00D3763B">
        <w:rPr>
          <w:rFonts w:asciiTheme="minorHAnsi" w:hAnsiTheme="minorHAnsi" w:cstheme="minorHAnsi"/>
          <w:sz w:val="22"/>
          <w:szCs w:val="22"/>
        </w:rPr>
        <w:t>ytą</w:t>
      </w:r>
      <w:r w:rsidRPr="00D3763B">
        <w:rPr>
          <w:rFonts w:asciiTheme="minorHAnsi" w:hAnsiTheme="minorHAnsi" w:cstheme="minorHAnsi"/>
          <w:sz w:val="22"/>
          <w:szCs w:val="22"/>
        </w:rPr>
        <w:t xml:space="preserve"> 2015 m. lapkričio 9 d. leidimą gaminti elektros energiją Nr. L-208.</w:t>
      </w:r>
    </w:p>
    <w:p w:rsidR="00CB46BE" w:rsidRPr="00D3763B" w:rsidRDefault="00CB46BE" w:rsidP="00CB46BE">
      <w:pPr>
        <w:ind w:firstLine="567"/>
        <w:jc w:val="both"/>
        <w:rPr>
          <w:rFonts w:asciiTheme="minorHAnsi" w:hAnsiTheme="minorHAnsi" w:cstheme="minorHAnsi"/>
          <w:sz w:val="22"/>
          <w:szCs w:val="22"/>
        </w:rPr>
      </w:pPr>
      <w:r w:rsidRPr="00D3763B">
        <w:rPr>
          <w:rFonts w:asciiTheme="minorHAnsi" w:hAnsiTheme="minorHAnsi" w:cstheme="minorHAnsi"/>
          <w:sz w:val="22"/>
          <w:szCs w:val="22"/>
        </w:rPr>
        <w:t>Nagrinėtu atveju Lietuvos Aukščiausiojo Teismo 2015 m. spalio 2 d. nutartimi (civilinė byla Nr. 3K-3-519-415/2015) buvo pripažinta, kad saulės elektrinę nuosavybės teise valdo UAB „</w:t>
      </w:r>
      <w:proofErr w:type="spellStart"/>
      <w:r w:rsidRPr="00D3763B">
        <w:rPr>
          <w:rFonts w:asciiTheme="minorHAnsi" w:hAnsiTheme="minorHAnsi" w:cstheme="minorHAnsi"/>
          <w:sz w:val="22"/>
          <w:szCs w:val="22"/>
        </w:rPr>
        <w:t>Vaigosta</w:t>
      </w:r>
      <w:proofErr w:type="spellEnd"/>
      <w:r w:rsidRPr="00D3763B">
        <w:rPr>
          <w:rFonts w:asciiTheme="minorHAnsi" w:hAnsiTheme="minorHAnsi" w:cstheme="minorHAnsi"/>
          <w:sz w:val="22"/>
          <w:szCs w:val="22"/>
        </w:rPr>
        <w:t>“ – ši bendrovė nuosavybės teisę į saulės elektrinę įgijo 2013 m. gegužės 8 d. jungtinės veiklos sutarties pagrindu iš UAB „Domus ARX“, turėjusio leidimą gaminti elektros energiją (Nr. LG-2262). Ši situacija atitiko Lietuvos Respublikos energetiko ministro 2013 m. spalio 22 d. įsakymu Nr. 1-212 patvirtintos Veiklos elektros energetikos sektoriuje leidimų išdavimo taisyklių (toliau – Taisyklės) 8.4 punkto reikalavimus, pagal kuriuos leidimas išduodamas asmeniui, kuris teisės aktų nustatyta tvarka ir sąlygomis nuosavybės ar kita teise valdo veikiantį energetikos objektą (elektrinę), įgytą iš kito asmens, turinčio leidimą gaminti elektros energiją.</w:t>
      </w:r>
    </w:p>
    <w:p w:rsidR="00CB46BE" w:rsidRPr="00D3763B" w:rsidRDefault="00CB46BE" w:rsidP="00CB46BE">
      <w:pPr>
        <w:ind w:firstLine="567"/>
        <w:jc w:val="both"/>
        <w:rPr>
          <w:rFonts w:asciiTheme="minorHAnsi" w:hAnsiTheme="minorHAnsi" w:cstheme="minorHAnsi"/>
          <w:sz w:val="22"/>
          <w:szCs w:val="22"/>
        </w:rPr>
      </w:pPr>
      <w:r w:rsidRPr="00D3763B">
        <w:rPr>
          <w:rFonts w:asciiTheme="minorHAnsi" w:hAnsiTheme="minorHAnsi" w:cstheme="minorHAnsi"/>
          <w:sz w:val="22"/>
          <w:szCs w:val="22"/>
        </w:rPr>
        <w:t xml:space="preserve">Pareiškėjas reikalavimą panaikinti 2015 m. lapkričio 9 d. leidimą gaminti elektros energiją Nr. L-208 iš esmės grindė teiginiu, kad jį išduodant buvo atlikti veiksmai su areštuotu turtu, t. y. su pareiškėjui išduotu 2013 m. liepos 26 d. leidimu gaminti elektros energiją Nr. LG-2262. Šiuo aspektu pažymėta, kad Klaipėdos apygardos teismo 2013 m. liepos 18 d. nutarties pagrindu buvo areštuota turto disponavimo teisė (teisės pakeisti turto teisinę padėtį, teisinį jo likimą – teisės turtą atlygintinai ar neatlygintinai perleisti, įkeisti, išnuomoti, perduoti naudoti kitiems asmenims, nustatyti servitutus ar kitaip šį turtą sutartimi apsunkinti – priverstinis laikinas apribojimas) į Lietuvos Respublikos energetikos ministerijos 2013 m. liepos 26 d. išduotą leidimą gaminti elektros energiją Nr. LG-2262, kuris nuosavybės teise priklauso UAB „Domus ARX“. Taigi </w:t>
      </w:r>
      <w:r w:rsidRPr="00D3763B">
        <w:rPr>
          <w:rFonts w:asciiTheme="minorHAnsi" w:hAnsiTheme="minorHAnsi" w:cstheme="minorHAnsi"/>
          <w:sz w:val="22"/>
          <w:szCs w:val="22"/>
          <w:u w:val="single"/>
        </w:rPr>
        <w:t>turto areštu buvo nustatyti apribojimai atlikti veiksmus su areštuotu turtu (leidimu gaminti elektros energiją) būtent skolininkui</w:t>
      </w:r>
      <w:r w:rsidRPr="00D3763B">
        <w:rPr>
          <w:rFonts w:asciiTheme="minorHAnsi" w:hAnsiTheme="minorHAnsi" w:cstheme="minorHAnsi"/>
          <w:sz w:val="22"/>
          <w:szCs w:val="22"/>
        </w:rPr>
        <w:t xml:space="preserve">, t. y. areštuota UAB „Domus ARX“ turto disponavimo teisė. Be to, </w:t>
      </w:r>
      <w:r w:rsidRPr="00D3763B">
        <w:rPr>
          <w:rFonts w:asciiTheme="minorHAnsi" w:hAnsiTheme="minorHAnsi" w:cstheme="minorHAnsi"/>
          <w:sz w:val="22"/>
          <w:szCs w:val="22"/>
          <w:u w:val="single"/>
        </w:rPr>
        <w:t>ginčo atveju Inspekcija išdavė leidimą gaminti elektros energiją UAB „</w:t>
      </w:r>
      <w:proofErr w:type="spellStart"/>
      <w:r w:rsidRPr="00D3763B">
        <w:rPr>
          <w:rFonts w:asciiTheme="minorHAnsi" w:hAnsiTheme="minorHAnsi" w:cstheme="minorHAnsi"/>
          <w:sz w:val="22"/>
          <w:szCs w:val="22"/>
          <w:u w:val="single"/>
        </w:rPr>
        <w:t>Vaigosta</w:t>
      </w:r>
      <w:proofErr w:type="spellEnd"/>
      <w:r w:rsidRPr="00D3763B">
        <w:rPr>
          <w:rFonts w:asciiTheme="minorHAnsi" w:hAnsiTheme="minorHAnsi" w:cstheme="minorHAnsi"/>
          <w:sz w:val="22"/>
          <w:szCs w:val="22"/>
          <w:u w:val="single"/>
        </w:rPr>
        <w:t>“, o veiksmai tiesiogiai su areštuotu UAB „Domus ARX“ 2013 m. liepos 26 d. leidimu nebuvo atlikti – šis leidimas, priešingai nei teigia pareiškėjas, byloje ginč</w:t>
      </w:r>
      <w:r w:rsidR="0039508B" w:rsidRPr="00D3763B">
        <w:rPr>
          <w:rFonts w:asciiTheme="minorHAnsi" w:hAnsiTheme="minorHAnsi" w:cstheme="minorHAnsi"/>
          <w:sz w:val="22"/>
          <w:szCs w:val="22"/>
          <w:u w:val="single"/>
        </w:rPr>
        <w:t>ytu</w:t>
      </w:r>
      <w:r w:rsidRPr="00D3763B">
        <w:rPr>
          <w:rFonts w:asciiTheme="minorHAnsi" w:hAnsiTheme="minorHAnsi" w:cstheme="minorHAnsi"/>
          <w:sz w:val="22"/>
          <w:szCs w:val="22"/>
          <w:u w:val="single"/>
        </w:rPr>
        <w:t xml:space="preserve"> leidimu nebuvo nei panaikintas, nei perleistas</w:t>
      </w:r>
      <w:r w:rsidRPr="00D3763B">
        <w:rPr>
          <w:rFonts w:asciiTheme="minorHAnsi" w:hAnsiTheme="minorHAnsi" w:cstheme="minorHAnsi"/>
          <w:sz w:val="22"/>
          <w:szCs w:val="22"/>
        </w:rPr>
        <w:t xml:space="preserve">. Byloje pažymėta, jog Taisyklių 45 punkte nustatyta, kad išdavus naują leidimą, anksčiau išduotas leidimas nustoja galioti. Taigi nebuvo pagrindo daryti išvadą apie pareiškėjui taikyto turto arešto pažeidimą. </w:t>
      </w:r>
    </w:p>
    <w:p w:rsidR="00CB46BE" w:rsidRPr="00D3763B" w:rsidRDefault="00CB46BE" w:rsidP="00CB46BE">
      <w:pPr>
        <w:ind w:firstLine="567"/>
        <w:jc w:val="both"/>
        <w:rPr>
          <w:rFonts w:asciiTheme="minorHAnsi" w:hAnsiTheme="minorHAnsi" w:cstheme="minorHAnsi"/>
          <w:sz w:val="22"/>
          <w:szCs w:val="22"/>
        </w:rPr>
      </w:pPr>
      <w:r w:rsidRPr="00D3763B">
        <w:rPr>
          <w:rFonts w:asciiTheme="minorHAnsi" w:hAnsiTheme="minorHAnsi" w:cstheme="minorHAnsi"/>
          <w:sz w:val="22"/>
          <w:szCs w:val="22"/>
        </w:rPr>
        <w:t>Teisėjų kolegija padarė išvadą, kad Inspekcija teisėtai ir pagrįstai UAB „</w:t>
      </w:r>
      <w:proofErr w:type="spellStart"/>
      <w:r w:rsidRPr="00D3763B">
        <w:rPr>
          <w:rFonts w:asciiTheme="minorHAnsi" w:hAnsiTheme="minorHAnsi" w:cstheme="minorHAnsi"/>
          <w:sz w:val="22"/>
          <w:szCs w:val="22"/>
        </w:rPr>
        <w:t>Vaigosta</w:t>
      </w:r>
      <w:proofErr w:type="spellEnd"/>
      <w:r w:rsidRPr="00D3763B">
        <w:rPr>
          <w:rFonts w:asciiTheme="minorHAnsi" w:hAnsiTheme="minorHAnsi" w:cstheme="minorHAnsi"/>
          <w:sz w:val="22"/>
          <w:szCs w:val="22"/>
        </w:rPr>
        <w:t>“ išdavė 2015</w:t>
      </w:r>
      <w:r w:rsidR="0039508B" w:rsidRPr="00D3763B">
        <w:rPr>
          <w:rFonts w:asciiTheme="minorHAnsi" w:hAnsiTheme="minorHAnsi" w:cstheme="minorHAnsi"/>
          <w:sz w:val="22"/>
          <w:szCs w:val="22"/>
        </w:rPr>
        <w:t> </w:t>
      </w:r>
      <w:r w:rsidRPr="00D3763B">
        <w:rPr>
          <w:rFonts w:asciiTheme="minorHAnsi" w:hAnsiTheme="minorHAnsi" w:cstheme="minorHAnsi"/>
          <w:sz w:val="22"/>
          <w:szCs w:val="22"/>
        </w:rPr>
        <w:t>m.</w:t>
      </w:r>
      <w:r w:rsidR="0039508B" w:rsidRPr="00D3763B">
        <w:rPr>
          <w:rFonts w:asciiTheme="minorHAnsi" w:hAnsiTheme="minorHAnsi" w:cstheme="minorHAnsi"/>
          <w:sz w:val="22"/>
          <w:szCs w:val="22"/>
        </w:rPr>
        <w:t> </w:t>
      </w:r>
      <w:r w:rsidRPr="00D3763B">
        <w:rPr>
          <w:rFonts w:asciiTheme="minorHAnsi" w:hAnsiTheme="minorHAnsi" w:cstheme="minorHAnsi"/>
          <w:sz w:val="22"/>
          <w:szCs w:val="22"/>
        </w:rPr>
        <w:t>lapkričio</w:t>
      </w:r>
      <w:r w:rsidR="0039508B" w:rsidRPr="00D3763B">
        <w:rPr>
          <w:rFonts w:asciiTheme="minorHAnsi" w:hAnsiTheme="minorHAnsi" w:cstheme="minorHAnsi"/>
          <w:sz w:val="22"/>
          <w:szCs w:val="22"/>
        </w:rPr>
        <w:t> </w:t>
      </w:r>
      <w:r w:rsidRPr="00D3763B">
        <w:rPr>
          <w:rFonts w:asciiTheme="minorHAnsi" w:hAnsiTheme="minorHAnsi" w:cstheme="minorHAnsi"/>
          <w:sz w:val="22"/>
          <w:szCs w:val="22"/>
        </w:rPr>
        <w:t>9</w:t>
      </w:r>
      <w:r w:rsidR="0039508B" w:rsidRPr="00D3763B">
        <w:rPr>
          <w:rFonts w:asciiTheme="minorHAnsi" w:hAnsiTheme="minorHAnsi" w:cstheme="minorHAnsi"/>
          <w:sz w:val="22"/>
          <w:szCs w:val="22"/>
        </w:rPr>
        <w:t> </w:t>
      </w:r>
      <w:r w:rsidRPr="00D3763B">
        <w:rPr>
          <w:rFonts w:asciiTheme="minorHAnsi" w:hAnsiTheme="minorHAnsi" w:cstheme="minorHAnsi"/>
          <w:sz w:val="22"/>
          <w:szCs w:val="22"/>
        </w:rPr>
        <w:t>d. leidimą gaminti elektros energiją Nr. L-208 ir nenustatyta jokių teisinių pagrindų panaikinti šį leidimą.</w:t>
      </w:r>
    </w:p>
    <w:p w:rsidR="00CB46BE" w:rsidRPr="00D3763B" w:rsidRDefault="00CB46BE" w:rsidP="00CB46BE">
      <w:pPr>
        <w:ind w:firstLine="567"/>
        <w:jc w:val="both"/>
        <w:rPr>
          <w:rFonts w:asciiTheme="minorHAnsi" w:hAnsiTheme="minorHAnsi" w:cstheme="minorHAnsi"/>
          <w:sz w:val="22"/>
          <w:szCs w:val="22"/>
        </w:rPr>
      </w:pPr>
    </w:p>
    <w:p w:rsidR="00CB46BE" w:rsidRPr="00D3763B" w:rsidRDefault="00CB46BE" w:rsidP="00CB46BE">
      <w:pPr>
        <w:tabs>
          <w:tab w:val="left" w:pos="142"/>
        </w:tabs>
        <w:ind w:right="38"/>
        <w:jc w:val="both"/>
        <w:rPr>
          <w:rFonts w:asciiTheme="minorHAnsi" w:hAnsiTheme="minorHAnsi" w:cstheme="minorHAnsi"/>
          <w:sz w:val="22"/>
          <w:szCs w:val="22"/>
        </w:rPr>
      </w:pPr>
      <w:r w:rsidRPr="00D3763B">
        <w:rPr>
          <w:rFonts w:asciiTheme="minorHAnsi" w:hAnsiTheme="minorHAnsi" w:cstheme="minorHAnsi"/>
          <w:bCs/>
          <w:sz w:val="22"/>
          <w:szCs w:val="22"/>
        </w:rPr>
        <w:t xml:space="preserve">2018 m. </w:t>
      </w:r>
      <w:r w:rsidRPr="00D3763B">
        <w:rPr>
          <w:rFonts w:asciiTheme="minorHAnsi" w:hAnsiTheme="minorHAnsi" w:cstheme="minorHAnsi"/>
          <w:sz w:val="22"/>
          <w:szCs w:val="22"/>
        </w:rPr>
        <w:t xml:space="preserve">birželio 13 </w:t>
      </w:r>
      <w:r w:rsidRPr="00D3763B">
        <w:rPr>
          <w:rFonts w:asciiTheme="minorHAnsi" w:hAnsiTheme="minorHAnsi" w:cstheme="minorHAnsi"/>
          <w:bCs/>
          <w:sz w:val="22"/>
          <w:szCs w:val="22"/>
        </w:rPr>
        <w:t>d. nutartis administracinėje byloje Nr. e</w:t>
      </w:r>
      <w:r w:rsidRPr="00D3763B">
        <w:rPr>
          <w:rFonts w:asciiTheme="minorHAnsi" w:hAnsiTheme="minorHAnsi" w:cstheme="minorHAnsi"/>
          <w:sz w:val="22"/>
          <w:szCs w:val="22"/>
        </w:rPr>
        <w:t>AS-389-822/2018</w:t>
      </w:r>
    </w:p>
    <w:p w:rsidR="00CB46BE" w:rsidRPr="00D3763B" w:rsidRDefault="00CB46BE" w:rsidP="00CB46BE">
      <w:pPr>
        <w:tabs>
          <w:tab w:val="left" w:pos="142"/>
        </w:tabs>
        <w:ind w:right="38"/>
        <w:jc w:val="both"/>
        <w:rPr>
          <w:rFonts w:asciiTheme="minorHAnsi" w:hAnsiTheme="minorHAnsi" w:cstheme="minorHAnsi"/>
          <w:sz w:val="22"/>
          <w:szCs w:val="22"/>
        </w:rPr>
      </w:pPr>
      <w:r w:rsidRPr="00D3763B">
        <w:rPr>
          <w:rFonts w:asciiTheme="minorHAnsi" w:hAnsiTheme="minorHAnsi" w:cstheme="minorHAnsi"/>
          <w:sz w:val="22"/>
          <w:szCs w:val="22"/>
        </w:rPr>
        <w:t xml:space="preserve">Teisminio proceso Nr. </w:t>
      </w:r>
      <w:r w:rsidRPr="00D3763B">
        <w:rPr>
          <w:rFonts w:asciiTheme="minorHAnsi" w:hAnsiTheme="minorHAnsi" w:cstheme="minorHAnsi"/>
          <w:color w:val="000000"/>
          <w:sz w:val="22"/>
          <w:szCs w:val="22"/>
        </w:rPr>
        <w:t>3-61-3-00260-2016-0</w:t>
      </w:r>
    </w:p>
    <w:p w:rsidR="00CB46BE" w:rsidRPr="00D3763B" w:rsidRDefault="00CB46BE" w:rsidP="00CB46BE">
      <w:pPr>
        <w:tabs>
          <w:tab w:val="left" w:pos="142"/>
        </w:tabs>
        <w:ind w:right="38"/>
        <w:jc w:val="both"/>
        <w:rPr>
          <w:rFonts w:asciiTheme="minorHAnsi" w:hAnsiTheme="minorHAnsi" w:cstheme="minorHAnsi"/>
          <w:bCs/>
          <w:sz w:val="22"/>
          <w:szCs w:val="22"/>
        </w:rPr>
      </w:pPr>
      <w:r w:rsidRPr="00D3763B">
        <w:rPr>
          <w:rFonts w:asciiTheme="minorHAnsi" w:hAnsiTheme="minorHAnsi" w:cstheme="minorHAnsi"/>
          <w:bCs/>
          <w:sz w:val="22"/>
          <w:szCs w:val="22"/>
        </w:rPr>
        <w:t>Procesinio sprendimo kategorija 30.1</w:t>
      </w:r>
    </w:p>
    <w:p w:rsidR="00CB46BE" w:rsidRPr="00D3763B" w:rsidRDefault="000220C9" w:rsidP="00CB46BE">
      <w:pPr>
        <w:tabs>
          <w:tab w:val="left" w:pos="142"/>
        </w:tabs>
        <w:ind w:right="38"/>
        <w:jc w:val="both"/>
        <w:rPr>
          <w:rFonts w:asciiTheme="minorHAnsi" w:hAnsiTheme="minorHAnsi" w:cstheme="minorHAnsi"/>
          <w:sz w:val="22"/>
          <w:szCs w:val="22"/>
        </w:rPr>
      </w:pPr>
      <w:hyperlink r:id="rId21" w:history="1">
        <w:r w:rsidR="00CB46BE" w:rsidRPr="00D3763B">
          <w:rPr>
            <w:rStyle w:val="Hyperlink"/>
            <w:rFonts w:asciiTheme="minorHAnsi" w:hAnsiTheme="minorHAnsi" w:cstheme="minorHAnsi"/>
            <w:sz w:val="22"/>
            <w:szCs w:val="22"/>
          </w:rPr>
          <w:t>Prieiga internete</w:t>
        </w:r>
      </w:hyperlink>
    </w:p>
    <w:p w:rsidR="00CB46BE" w:rsidRPr="00D3763B" w:rsidRDefault="00CB46BE" w:rsidP="00CB46BE">
      <w:pPr>
        <w:ind w:firstLine="567"/>
        <w:jc w:val="both"/>
        <w:rPr>
          <w:rFonts w:asciiTheme="minorHAnsi" w:hAnsiTheme="minorHAnsi" w:cstheme="minorHAnsi"/>
          <w:sz w:val="22"/>
          <w:szCs w:val="22"/>
        </w:rPr>
      </w:pPr>
    </w:p>
    <w:p w:rsidR="00CB46BE" w:rsidRPr="00D3763B" w:rsidRDefault="00CB46BE" w:rsidP="00D3763B">
      <w:pPr>
        <w:pStyle w:val="Heading2"/>
      </w:pPr>
      <w:bookmarkStart w:id="58" w:name="_Toc524957052"/>
      <w:r w:rsidRPr="00D3763B">
        <w:t>Dėl individualaus administracinio akto, kuris grindžiamas nustatyta tvarka nepaskelbtu norminiu administraciniu aktu</w:t>
      </w:r>
      <w:bookmarkEnd w:id="58"/>
    </w:p>
    <w:p w:rsidR="00CB46BE" w:rsidRPr="00D3763B" w:rsidRDefault="00CB46BE" w:rsidP="00CB46BE">
      <w:pPr>
        <w:ind w:firstLine="567"/>
        <w:jc w:val="both"/>
        <w:rPr>
          <w:rFonts w:asciiTheme="minorHAnsi" w:hAnsiTheme="minorHAnsi" w:cstheme="minorHAnsi"/>
          <w:sz w:val="22"/>
          <w:szCs w:val="22"/>
        </w:rPr>
      </w:pPr>
    </w:p>
    <w:p w:rsidR="00CB46BE" w:rsidRPr="00D3763B" w:rsidRDefault="00CB46BE" w:rsidP="00CB46BE">
      <w:pPr>
        <w:ind w:firstLine="567"/>
        <w:jc w:val="both"/>
        <w:rPr>
          <w:rFonts w:asciiTheme="minorHAnsi" w:eastAsia="Calibri" w:hAnsiTheme="minorHAnsi" w:cstheme="minorHAnsi"/>
          <w:sz w:val="22"/>
          <w:szCs w:val="22"/>
          <w:lang w:eastAsia="ar-SA"/>
        </w:rPr>
      </w:pPr>
      <w:r w:rsidRPr="00D3763B">
        <w:rPr>
          <w:rFonts w:asciiTheme="minorHAnsi" w:hAnsiTheme="minorHAnsi" w:cstheme="minorHAnsi"/>
          <w:sz w:val="22"/>
          <w:szCs w:val="22"/>
        </w:rPr>
        <w:t xml:space="preserve">Byloje buvo nagrinėjamas prašymas panaikinti atsakovo Lietuvos kariuomenės 2015 m. vasario 24 d. sprendimą Nr. KVS-75 „Dėl vėjo elektrinės projektavimo ir statybos vietos derinimo“ (toliau – Sprendimas), kuriuo Lietuvos kariuomenė pareiškėją informavo, kad vėjo elektrinės statyba pasirinktame žemės sklype yra negalima. </w:t>
      </w:r>
      <w:r w:rsidRPr="00D3763B">
        <w:rPr>
          <w:rFonts w:asciiTheme="minorHAnsi" w:eastAsia="Calibri" w:hAnsiTheme="minorHAnsi" w:cstheme="minorHAnsi"/>
          <w:sz w:val="22"/>
          <w:szCs w:val="22"/>
          <w:lang w:eastAsia="ar-SA"/>
        </w:rPr>
        <w:t>Atsakovas Sprendimą grindė tuo, kad, patikrinus planuojamų statyti vėjo elektrinių statybos vietą, nustatyta, jog ši vieta patenka į Lietuvos kariuomenės vado 2014 m. spalio 22 d. įsakymu Nr. V-1088 patvirtintame Žemėlapyje pažymėtą teritoriją, kurioje vėjo elektrinių projektavimo ir statybos darbai draudžiami. Atsakovas taip pat nurodė, jog pareiškėjo prašyme nurodytas žemės sklypas yra apie 2,65 km nutolęs nuo Lietuvos kariuomenės patikėjimo teise valdomo radiolokatoriaus, t. y. patenka į Naudojimo sąlygų LV skyriuje nustatytą specialiąją radiolokatoriaus apsaugos zoną, kurioje statinių ir įrenginių, kurių aukštis virš žemės paviršiaus yra 50 m ir daugiau, statybos, rekonstravimo ar įrengimo darbai turi būti Lietuvos Respublikos Vyriausybės nustatyta tvarka suderinti su Lietuvos kariuomenės vadu.</w:t>
      </w:r>
    </w:p>
    <w:p w:rsidR="00CB46BE" w:rsidRPr="00D3763B" w:rsidRDefault="00CB46BE" w:rsidP="00CB46BE">
      <w:pPr>
        <w:ind w:firstLine="567"/>
        <w:jc w:val="both"/>
        <w:rPr>
          <w:rFonts w:asciiTheme="minorHAnsi" w:eastAsiaTheme="minorHAnsi" w:hAnsiTheme="minorHAnsi" w:cstheme="minorHAnsi"/>
          <w:sz w:val="22"/>
          <w:szCs w:val="22"/>
          <w:lang w:eastAsia="en-US"/>
        </w:rPr>
      </w:pPr>
      <w:r w:rsidRPr="00D3763B">
        <w:rPr>
          <w:rFonts w:asciiTheme="minorHAnsi" w:eastAsia="Calibri" w:hAnsiTheme="minorHAnsi" w:cstheme="minorHAnsi"/>
          <w:sz w:val="22"/>
          <w:szCs w:val="22"/>
          <w:lang w:eastAsia="ar-SA"/>
        </w:rPr>
        <w:t xml:space="preserve">Pareiškėjas nesutiko su Sprendimu, akcentuodamas, kad vėjo elektrinės statybos vietos planavimo sąlygų sąvadas buvo išduotas 2012 m. kovo 26 d., statybos vietos detalusis planas patvirtintas Savivaldybės administracijos direktoriaus 2012 m. liepos 27 d. įsakymu Nr. (7.7)-A3-2012/499, tačiau Žemėlapis </w:t>
      </w:r>
      <w:r w:rsidRPr="00D3763B">
        <w:rPr>
          <w:rFonts w:asciiTheme="minorHAnsi" w:eastAsia="Calibri" w:hAnsiTheme="minorHAnsi" w:cstheme="minorHAnsi"/>
          <w:sz w:val="22"/>
          <w:szCs w:val="22"/>
          <w:lang w:eastAsia="ar-SA"/>
        </w:rPr>
        <w:lastRenderedPageBreak/>
        <w:t>patvirtintas Lietuvos kariuomenės vado 2014 m. spalio 22 d. įsakymu Nr. V-1088. Atsakovas nenurodė nė vienos detaliojo planavimo metu galiojusios teisės normos, kuriai esant (net ir derinant su Lietuvos kariuomenės vadu) būtų buvę negalimi (draudžiami ir / ar ribojami) projektavimo ir statybos darbai, apsiribojo procedūrų pažeidimų konstatavimu. Pareiškėjas taip pat tvirtina, kad atsakovas netinkamai aiškino Naudojimo sąlygų nuostatų, pakeistų Lietuvos Respublikos Vyriausybės 2012 m. gegužės 29 d. nutarimu Nr. 627 ir įsigaliojusių 2012</w:t>
      </w:r>
      <w:r w:rsidR="0039508B" w:rsidRPr="00D3763B">
        <w:rPr>
          <w:rFonts w:asciiTheme="minorHAnsi" w:eastAsia="Calibri" w:hAnsiTheme="minorHAnsi" w:cstheme="minorHAnsi"/>
          <w:sz w:val="22"/>
          <w:szCs w:val="22"/>
          <w:lang w:eastAsia="ar-SA"/>
        </w:rPr>
        <w:t> </w:t>
      </w:r>
      <w:r w:rsidRPr="00D3763B">
        <w:rPr>
          <w:rFonts w:asciiTheme="minorHAnsi" w:eastAsia="Calibri" w:hAnsiTheme="minorHAnsi" w:cstheme="minorHAnsi"/>
          <w:sz w:val="22"/>
          <w:szCs w:val="22"/>
          <w:lang w:eastAsia="ar-SA"/>
        </w:rPr>
        <w:t>m.</w:t>
      </w:r>
      <w:r w:rsidR="0039508B" w:rsidRPr="00D3763B">
        <w:rPr>
          <w:rFonts w:asciiTheme="minorHAnsi" w:eastAsia="Calibri" w:hAnsiTheme="minorHAnsi" w:cstheme="minorHAnsi"/>
          <w:sz w:val="22"/>
          <w:szCs w:val="22"/>
          <w:lang w:eastAsia="ar-SA"/>
        </w:rPr>
        <w:t> </w:t>
      </w:r>
      <w:r w:rsidRPr="00D3763B">
        <w:rPr>
          <w:rFonts w:asciiTheme="minorHAnsi" w:eastAsia="Calibri" w:hAnsiTheme="minorHAnsi" w:cstheme="minorHAnsi"/>
          <w:sz w:val="22"/>
          <w:szCs w:val="22"/>
          <w:lang w:eastAsia="ar-SA"/>
        </w:rPr>
        <w:t>birželio</w:t>
      </w:r>
      <w:r w:rsidR="0039508B" w:rsidRPr="00D3763B">
        <w:rPr>
          <w:rFonts w:asciiTheme="minorHAnsi" w:eastAsia="Calibri" w:hAnsiTheme="minorHAnsi" w:cstheme="minorHAnsi"/>
          <w:sz w:val="22"/>
          <w:szCs w:val="22"/>
          <w:lang w:eastAsia="ar-SA"/>
        </w:rPr>
        <w:t> </w:t>
      </w:r>
      <w:r w:rsidRPr="00D3763B">
        <w:rPr>
          <w:rFonts w:asciiTheme="minorHAnsi" w:eastAsia="Calibri" w:hAnsiTheme="minorHAnsi" w:cstheme="minorHAnsi"/>
          <w:sz w:val="22"/>
          <w:szCs w:val="22"/>
          <w:lang w:eastAsia="ar-SA"/>
        </w:rPr>
        <w:t>8</w:t>
      </w:r>
      <w:r w:rsidR="0039508B" w:rsidRPr="00D3763B">
        <w:rPr>
          <w:rFonts w:asciiTheme="minorHAnsi" w:eastAsia="Calibri" w:hAnsiTheme="minorHAnsi" w:cstheme="minorHAnsi"/>
          <w:sz w:val="22"/>
          <w:szCs w:val="22"/>
          <w:lang w:eastAsia="ar-SA"/>
        </w:rPr>
        <w:t> </w:t>
      </w:r>
      <w:r w:rsidRPr="00D3763B">
        <w:rPr>
          <w:rFonts w:asciiTheme="minorHAnsi" w:eastAsia="Calibri" w:hAnsiTheme="minorHAnsi" w:cstheme="minorHAnsi"/>
          <w:sz w:val="22"/>
          <w:szCs w:val="22"/>
          <w:lang w:eastAsia="ar-SA"/>
        </w:rPr>
        <w:t xml:space="preserve">d., galiojimą laike, t. y. jau pradėtoms teritorijų planavimo ir statybą leidžiančių dokumentų išdavimo procedūroms neturėtų būti keliami nauji (šiuo atveju – įsigalioję 2012 m. birželio 8 d.) reikalavimai. Be to, jokios specialiosios žemės naudojimo sąlygos detaliojo planavimo metu nebuvo ir šiuo metu nėra nurodytos Nekilnojamojo turto kadastre ir registre. </w:t>
      </w:r>
      <w:r w:rsidRPr="00D3763B">
        <w:rPr>
          <w:rFonts w:asciiTheme="minorHAnsi" w:hAnsiTheme="minorHAnsi" w:cstheme="minorHAnsi"/>
          <w:sz w:val="22"/>
          <w:szCs w:val="22"/>
        </w:rPr>
        <w:t>Atsakovas paaiškino, kad jis pareiškėjo prašymą derinti vėjo elektrinės projektavimo ir statybos vietą vertino atsižvelgdamas į prašymo padavimo metu – 2014</w:t>
      </w:r>
      <w:r w:rsidR="0039508B" w:rsidRPr="00D3763B">
        <w:rPr>
          <w:rFonts w:asciiTheme="minorHAnsi" w:hAnsiTheme="minorHAnsi" w:cstheme="minorHAnsi"/>
          <w:sz w:val="22"/>
          <w:szCs w:val="22"/>
        </w:rPr>
        <w:t> </w:t>
      </w:r>
      <w:r w:rsidRPr="00D3763B">
        <w:rPr>
          <w:rFonts w:asciiTheme="minorHAnsi" w:hAnsiTheme="minorHAnsi" w:cstheme="minorHAnsi"/>
          <w:sz w:val="22"/>
          <w:szCs w:val="22"/>
        </w:rPr>
        <w:t>m.</w:t>
      </w:r>
      <w:r w:rsidR="0039508B" w:rsidRPr="00D3763B">
        <w:rPr>
          <w:rFonts w:asciiTheme="minorHAnsi" w:hAnsiTheme="minorHAnsi" w:cstheme="minorHAnsi"/>
          <w:sz w:val="22"/>
          <w:szCs w:val="22"/>
        </w:rPr>
        <w:t> </w:t>
      </w:r>
      <w:r w:rsidRPr="00D3763B">
        <w:rPr>
          <w:rFonts w:asciiTheme="minorHAnsi" w:hAnsiTheme="minorHAnsi" w:cstheme="minorHAnsi"/>
          <w:sz w:val="22"/>
          <w:szCs w:val="22"/>
        </w:rPr>
        <w:t>spalio</w:t>
      </w:r>
      <w:r w:rsidR="0039508B" w:rsidRPr="00D3763B">
        <w:rPr>
          <w:rFonts w:asciiTheme="minorHAnsi" w:hAnsiTheme="minorHAnsi" w:cstheme="minorHAnsi"/>
          <w:sz w:val="22"/>
          <w:szCs w:val="22"/>
        </w:rPr>
        <w:t> </w:t>
      </w:r>
      <w:r w:rsidRPr="00D3763B">
        <w:rPr>
          <w:rFonts w:asciiTheme="minorHAnsi" w:hAnsiTheme="minorHAnsi" w:cstheme="minorHAnsi"/>
          <w:sz w:val="22"/>
          <w:szCs w:val="22"/>
        </w:rPr>
        <w:t>29</w:t>
      </w:r>
      <w:r w:rsidR="0039508B" w:rsidRPr="00D3763B">
        <w:rPr>
          <w:rFonts w:asciiTheme="minorHAnsi" w:hAnsiTheme="minorHAnsi" w:cstheme="minorHAnsi"/>
          <w:sz w:val="22"/>
          <w:szCs w:val="22"/>
        </w:rPr>
        <w:t> </w:t>
      </w:r>
      <w:r w:rsidRPr="00D3763B">
        <w:rPr>
          <w:rFonts w:asciiTheme="minorHAnsi" w:hAnsiTheme="minorHAnsi" w:cstheme="minorHAnsi"/>
          <w:sz w:val="22"/>
          <w:szCs w:val="22"/>
        </w:rPr>
        <w:t>d. – galiojančius teisės aktus, nepaisydamas to, kad atitinkamo sklypo detalusis planas jau yra patvirtintas, jau yra išduotos planavimo sąlygos. Pareiškėjo kreipimosi metu jo nurodyta elektrinės vieta pateko į Žemėlapyje pažymėtą teritoriją, kurioje elektrinės statybos darbai draudžiami. Tai sudarė pagrindą priimti neigiamą sprendimą.</w:t>
      </w:r>
    </w:p>
    <w:p w:rsidR="00CB46BE" w:rsidRPr="00D3763B" w:rsidRDefault="00CB46BE" w:rsidP="00CB46BE">
      <w:pPr>
        <w:ind w:firstLine="567"/>
        <w:jc w:val="both"/>
        <w:rPr>
          <w:rFonts w:asciiTheme="minorHAnsi" w:hAnsiTheme="minorHAnsi" w:cstheme="minorHAnsi"/>
          <w:bCs/>
          <w:sz w:val="22"/>
          <w:szCs w:val="22"/>
        </w:rPr>
      </w:pPr>
      <w:r w:rsidRPr="00D3763B">
        <w:rPr>
          <w:rFonts w:asciiTheme="minorHAnsi" w:hAnsiTheme="minorHAnsi" w:cstheme="minorHAnsi"/>
          <w:sz w:val="22"/>
          <w:szCs w:val="22"/>
        </w:rPr>
        <w:t xml:space="preserve">Teisėjų kolegija pažymėjo, kad </w:t>
      </w:r>
      <w:r w:rsidRPr="00D3763B">
        <w:rPr>
          <w:rFonts w:asciiTheme="minorHAnsi" w:hAnsiTheme="minorHAnsi" w:cstheme="minorHAnsi"/>
          <w:bCs/>
          <w:sz w:val="22"/>
          <w:szCs w:val="22"/>
        </w:rPr>
        <w:t xml:space="preserve">Lietuvos kariuomenės vado 2014 m. spalio 22 d. įsakymas Nr. V-1088 „Dėl Lietuvos Respublikos teritorijų, kuriose gali būti ribojami vėjo jėgainių (aukštų statinių) projektavimo ir statybos darbai, žemėlapio patvirtinimo“ yra norminis administracinis aktas, nes tai nėra vienkartinio taikymo aktas, o aktas, kuris orientuotas į ateitį, t. y. skirtas taikyti daug kartų, ir, įtvirtinus atitinkamą teisinį reguliavimą šiame akte, jis toliau veikia ir yra realizuojamas individualiuose santykiuose bei konkrečių asmenų elgesyje. Šis įsakymas nėra aktas, kuriame išreikštas teisės normų taikymo rezultatas pareiškėjams ir turintis įtakos tik pareiškėjų teisiniam statusui (teisėms ir pareigoms), aktas adresuotas rūšiniais požymiais apibūdintų asmenų ratui, t. y. visiems asmenims, kurie planuoja statyti vėjo elektrines nurodytoje teritorijoje. </w:t>
      </w:r>
      <w:r w:rsidRPr="00D3763B">
        <w:rPr>
          <w:rFonts w:asciiTheme="minorHAnsi" w:hAnsiTheme="minorHAnsi" w:cstheme="minorHAnsi"/>
          <w:bCs/>
          <w:sz w:val="22"/>
          <w:szCs w:val="22"/>
          <w:u w:val="single"/>
        </w:rPr>
        <w:t>Nagrinė</w:t>
      </w:r>
      <w:r w:rsidR="0039508B" w:rsidRPr="00D3763B">
        <w:rPr>
          <w:rFonts w:asciiTheme="minorHAnsi" w:hAnsiTheme="minorHAnsi" w:cstheme="minorHAnsi"/>
          <w:bCs/>
          <w:sz w:val="22"/>
          <w:szCs w:val="22"/>
          <w:u w:val="single"/>
        </w:rPr>
        <w:t>t</w:t>
      </w:r>
      <w:r w:rsidRPr="00D3763B">
        <w:rPr>
          <w:rFonts w:asciiTheme="minorHAnsi" w:hAnsiTheme="minorHAnsi" w:cstheme="minorHAnsi"/>
          <w:bCs/>
          <w:sz w:val="22"/>
          <w:szCs w:val="22"/>
          <w:u w:val="single"/>
        </w:rPr>
        <w:t>oje byloje nebuvo duomenų apie tai, kad Lietuvos kariuomenės vado 2014 m. spalio 22 d. įsakymas Nr. V-1088 yra viešai paskelbtas teisės aktų numatyta tvarka</w:t>
      </w:r>
      <w:r w:rsidRPr="00D3763B">
        <w:rPr>
          <w:rFonts w:asciiTheme="minorHAnsi" w:hAnsiTheme="minorHAnsi" w:cstheme="minorHAnsi"/>
          <w:bCs/>
          <w:sz w:val="22"/>
          <w:szCs w:val="22"/>
        </w:rPr>
        <w:t>.</w:t>
      </w:r>
    </w:p>
    <w:p w:rsidR="00CB46BE" w:rsidRPr="00D3763B" w:rsidRDefault="00CB46BE" w:rsidP="00CB46BE">
      <w:pPr>
        <w:ind w:firstLine="567"/>
        <w:jc w:val="both"/>
        <w:rPr>
          <w:rFonts w:asciiTheme="minorHAnsi" w:eastAsia="Calibri" w:hAnsiTheme="minorHAnsi" w:cstheme="minorHAnsi"/>
          <w:sz w:val="22"/>
          <w:szCs w:val="22"/>
          <w:lang w:eastAsia="ar-SA"/>
        </w:rPr>
      </w:pPr>
      <w:r w:rsidRPr="00D3763B">
        <w:rPr>
          <w:rFonts w:asciiTheme="minorHAnsi" w:hAnsiTheme="minorHAnsi" w:cstheme="minorHAnsi"/>
          <w:sz w:val="22"/>
          <w:szCs w:val="22"/>
        </w:rPr>
        <w:t>Nagrinė</w:t>
      </w:r>
      <w:r w:rsidR="0039508B" w:rsidRPr="00D3763B">
        <w:rPr>
          <w:rFonts w:asciiTheme="minorHAnsi" w:hAnsiTheme="minorHAnsi" w:cstheme="minorHAnsi"/>
          <w:sz w:val="22"/>
          <w:szCs w:val="22"/>
        </w:rPr>
        <w:t>t</w:t>
      </w:r>
      <w:r w:rsidRPr="00D3763B">
        <w:rPr>
          <w:rFonts w:asciiTheme="minorHAnsi" w:hAnsiTheme="minorHAnsi" w:cstheme="minorHAnsi"/>
          <w:sz w:val="22"/>
          <w:szCs w:val="22"/>
        </w:rPr>
        <w:t>u atveju pareiškėjas kreipėsi į atsakovą dėl vėjo elektrinės projektavimo ir statybos vietos suderinimo, tačiau atsakovas ginč</w:t>
      </w:r>
      <w:r w:rsidR="0039508B" w:rsidRPr="00D3763B">
        <w:rPr>
          <w:rFonts w:asciiTheme="minorHAnsi" w:hAnsiTheme="minorHAnsi" w:cstheme="minorHAnsi"/>
          <w:sz w:val="22"/>
          <w:szCs w:val="22"/>
        </w:rPr>
        <w:t>yt</w:t>
      </w:r>
      <w:r w:rsidRPr="00D3763B">
        <w:rPr>
          <w:rFonts w:asciiTheme="minorHAnsi" w:hAnsiTheme="minorHAnsi" w:cstheme="minorHAnsi"/>
          <w:sz w:val="22"/>
          <w:szCs w:val="22"/>
        </w:rPr>
        <w:t xml:space="preserve">u sprendimu atsisakė šią vietą suderinti. Iš Sprendimo turinio galima nustatyti tik vieną tokio sprendimo pagrindą – </w:t>
      </w:r>
      <w:r w:rsidRPr="00D3763B">
        <w:rPr>
          <w:rFonts w:asciiTheme="minorHAnsi" w:eastAsia="Calibri" w:hAnsiTheme="minorHAnsi" w:cstheme="minorHAnsi"/>
          <w:sz w:val="22"/>
          <w:szCs w:val="22"/>
          <w:lang w:eastAsia="ar-SA"/>
        </w:rPr>
        <w:t xml:space="preserve">planuojamų statyti vėjo elektrinių statybos vieta patenka į Lietuvos kariuomenės vado 2014 m. spalio 22 d. įsakymu Nr. V-1088 patvirtintame Žemėlapyje pažymėtą teritoriją, kurioje vėjo elektrinių projektavimo ir statybos darbai draudžiami. </w:t>
      </w:r>
    </w:p>
    <w:p w:rsidR="00CB46BE" w:rsidRPr="00D3763B" w:rsidRDefault="00CB46BE" w:rsidP="00CB46BE">
      <w:pPr>
        <w:ind w:firstLine="567"/>
        <w:jc w:val="both"/>
        <w:rPr>
          <w:rFonts w:asciiTheme="minorHAnsi" w:eastAsia="Calibri" w:hAnsiTheme="minorHAnsi" w:cstheme="minorHAnsi"/>
          <w:sz w:val="22"/>
          <w:szCs w:val="22"/>
          <w:lang w:eastAsia="ar-SA"/>
        </w:rPr>
      </w:pPr>
      <w:r w:rsidRPr="00D3763B">
        <w:rPr>
          <w:rFonts w:asciiTheme="minorHAnsi" w:hAnsiTheme="minorHAnsi" w:cstheme="minorHAnsi"/>
          <w:sz w:val="22"/>
          <w:szCs w:val="22"/>
        </w:rPr>
        <w:t xml:space="preserve">Teisėjų kolegijos vertinimu, </w:t>
      </w:r>
      <w:r w:rsidRPr="00D3763B">
        <w:rPr>
          <w:rFonts w:asciiTheme="minorHAnsi" w:hAnsiTheme="minorHAnsi" w:cstheme="minorHAnsi"/>
          <w:sz w:val="22"/>
          <w:szCs w:val="22"/>
          <w:u w:val="single"/>
        </w:rPr>
        <w:t>Sprendimas negali būti laikomas pagrįstu, kadangi jis nėra tinkamai motyvuotas</w:t>
      </w:r>
      <w:r w:rsidRPr="00D3763B">
        <w:rPr>
          <w:rFonts w:asciiTheme="minorHAnsi" w:hAnsiTheme="minorHAnsi" w:cstheme="minorHAnsi"/>
          <w:sz w:val="22"/>
          <w:szCs w:val="22"/>
        </w:rPr>
        <w:t xml:space="preserve">. Be kita ko, Žemėlapis, patvirtintas </w:t>
      </w:r>
      <w:r w:rsidRPr="00D3763B">
        <w:rPr>
          <w:rFonts w:asciiTheme="minorHAnsi" w:eastAsia="Calibri" w:hAnsiTheme="minorHAnsi" w:cstheme="minorHAnsi"/>
          <w:sz w:val="22"/>
          <w:szCs w:val="22"/>
          <w:lang w:eastAsia="ar-SA"/>
        </w:rPr>
        <w:t>Lietuvos kariuomenės vado 2014 m. spalio 22 d. įsakymu Nr.</w:t>
      </w:r>
      <w:r w:rsidR="0039508B" w:rsidRPr="00D3763B">
        <w:rPr>
          <w:rFonts w:asciiTheme="minorHAnsi" w:eastAsia="Calibri" w:hAnsiTheme="minorHAnsi" w:cstheme="minorHAnsi"/>
          <w:sz w:val="22"/>
          <w:szCs w:val="22"/>
          <w:lang w:eastAsia="ar-SA"/>
        </w:rPr>
        <w:t> </w:t>
      </w:r>
      <w:r w:rsidRPr="00D3763B">
        <w:rPr>
          <w:rFonts w:asciiTheme="minorHAnsi" w:eastAsia="Calibri" w:hAnsiTheme="minorHAnsi" w:cstheme="minorHAnsi"/>
          <w:sz w:val="22"/>
          <w:szCs w:val="22"/>
          <w:lang w:eastAsia="ar-SA"/>
        </w:rPr>
        <w:t>V-1088, pareiškėjui nėra prieinamas, todėl jis negali patikrinti atsakovo išvados, jog planuojamų statyti vėjo elektrinių statybos vieta patenka į Žemėlapyje pažymėtą teritoriją, kurioje vėjo elektrinių projektavimo ir statybos darbai draudžiami, teisingumo ir / ar ginčyti pastarosios teritorijos priskyrimo teritorijoms, kuriose vėjo elektrinių projektavimo ir statybos darbai draudžiami, teisėtumo ir pagrįstumo. Atsižvelgiant į nustatytus Sprendimo trūkumus, konstatuota, jog Sprendimas neatitinka esminių Viešojo administravimo įstatymo 8 straipsnio 1 ir 2 dalies reikalavimų, todėl jis negali būti pripažintas pagrįstu bei teisėtu ir turi būti panaikintas.</w:t>
      </w:r>
    </w:p>
    <w:p w:rsidR="00CB46BE" w:rsidRPr="00D3763B" w:rsidRDefault="00CB46BE" w:rsidP="00CB46BE">
      <w:pPr>
        <w:ind w:firstLine="567"/>
        <w:jc w:val="both"/>
        <w:rPr>
          <w:rFonts w:asciiTheme="minorHAnsi" w:eastAsiaTheme="minorHAnsi" w:hAnsiTheme="minorHAnsi" w:cstheme="minorHAnsi"/>
          <w:sz w:val="22"/>
          <w:szCs w:val="22"/>
          <w:lang w:eastAsia="en-US"/>
        </w:rPr>
      </w:pPr>
      <w:r w:rsidRPr="00D3763B">
        <w:rPr>
          <w:rFonts w:asciiTheme="minorHAnsi" w:hAnsiTheme="minorHAnsi" w:cstheme="minorHAnsi"/>
          <w:sz w:val="22"/>
          <w:szCs w:val="22"/>
        </w:rPr>
        <w:t xml:space="preserve">Pirmosios instancijos teismo sprendimas panaikintas ir priimtas naujas sprendimas – pareiškėjo uždarosios akcinės bendrovės „Vėjo smūgis“ </w:t>
      </w:r>
      <w:r w:rsidRPr="00D3763B">
        <w:rPr>
          <w:rFonts w:asciiTheme="minorHAnsi" w:hAnsiTheme="minorHAnsi" w:cstheme="minorHAnsi"/>
          <w:bCs/>
          <w:sz w:val="22"/>
          <w:szCs w:val="22"/>
        </w:rPr>
        <w:t xml:space="preserve">skundas patenkintas panaikinant </w:t>
      </w:r>
      <w:r w:rsidRPr="00D3763B">
        <w:rPr>
          <w:rFonts w:asciiTheme="minorHAnsi" w:hAnsiTheme="minorHAnsi" w:cstheme="minorHAnsi"/>
          <w:sz w:val="22"/>
          <w:szCs w:val="22"/>
        </w:rPr>
        <w:t>atsakovo Lietuvos kariuomenės 2015 m. vasario 24 d. sprendimą Nr. KVS-75 „Dėl vėjo elektrinės projektavimo ir statybos vietos derinimo“ ir įpareigojant atsakovą Lietuvos kariuomenę išnagrinėti pareiškėjo 2014 m. spalio 29 d. prašymą Nr. SV-1 „Dėl vėjo elektrinės projektavimo ir statybos vietos derinimo“ iš naujo.</w:t>
      </w:r>
    </w:p>
    <w:p w:rsidR="00CB46BE" w:rsidRPr="00D3763B" w:rsidRDefault="00CB46BE" w:rsidP="00CB46BE">
      <w:pPr>
        <w:ind w:firstLine="567"/>
        <w:jc w:val="both"/>
        <w:rPr>
          <w:rFonts w:asciiTheme="minorHAnsi" w:hAnsiTheme="minorHAnsi" w:cstheme="minorHAnsi"/>
          <w:sz w:val="22"/>
          <w:szCs w:val="22"/>
        </w:rPr>
      </w:pPr>
    </w:p>
    <w:p w:rsidR="00CB46BE" w:rsidRPr="00D3763B" w:rsidRDefault="00CB46BE" w:rsidP="00CB46BE">
      <w:pPr>
        <w:tabs>
          <w:tab w:val="left" w:pos="142"/>
        </w:tabs>
        <w:ind w:right="38"/>
        <w:jc w:val="both"/>
        <w:rPr>
          <w:rFonts w:asciiTheme="minorHAnsi" w:hAnsiTheme="minorHAnsi" w:cstheme="minorHAnsi"/>
          <w:sz w:val="22"/>
          <w:szCs w:val="22"/>
        </w:rPr>
      </w:pPr>
      <w:r w:rsidRPr="00D3763B">
        <w:rPr>
          <w:rFonts w:asciiTheme="minorHAnsi" w:hAnsiTheme="minorHAnsi" w:cstheme="minorHAnsi"/>
          <w:bCs/>
          <w:sz w:val="22"/>
          <w:szCs w:val="22"/>
        </w:rPr>
        <w:t xml:space="preserve">2018 m. </w:t>
      </w:r>
      <w:r w:rsidRPr="00D3763B">
        <w:rPr>
          <w:rFonts w:asciiTheme="minorHAnsi" w:hAnsiTheme="minorHAnsi" w:cstheme="minorHAnsi"/>
          <w:sz w:val="22"/>
          <w:szCs w:val="22"/>
        </w:rPr>
        <w:t xml:space="preserve">liepos 26 </w:t>
      </w:r>
      <w:r w:rsidRPr="00D3763B">
        <w:rPr>
          <w:rFonts w:asciiTheme="minorHAnsi" w:hAnsiTheme="minorHAnsi" w:cstheme="minorHAnsi"/>
          <w:bCs/>
          <w:sz w:val="22"/>
          <w:szCs w:val="22"/>
        </w:rPr>
        <w:t xml:space="preserve">d. sprendimas administracinėje byloje Nr. </w:t>
      </w:r>
      <w:r w:rsidRPr="00D3763B">
        <w:rPr>
          <w:rFonts w:asciiTheme="minorHAnsi" w:hAnsiTheme="minorHAnsi" w:cstheme="minorHAnsi"/>
          <w:sz w:val="22"/>
          <w:szCs w:val="22"/>
        </w:rPr>
        <w:t>A-573-822/2018</w:t>
      </w:r>
    </w:p>
    <w:p w:rsidR="00CB46BE" w:rsidRPr="00D3763B" w:rsidRDefault="00CB46BE" w:rsidP="00CB46BE">
      <w:pPr>
        <w:tabs>
          <w:tab w:val="left" w:pos="142"/>
        </w:tabs>
        <w:ind w:right="38"/>
        <w:jc w:val="both"/>
        <w:rPr>
          <w:rFonts w:asciiTheme="minorHAnsi" w:hAnsiTheme="minorHAnsi" w:cstheme="minorHAnsi"/>
          <w:sz w:val="22"/>
          <w:szCs w:val="22"/>
        </w:rPr>
      </w:pPr>
      <w:r w:rsidRPr="00D3763B">
        <w:rPr>
          <w:rFonts w:asciiTheme="minorHAnsi" w:hAnsiTheme="minorHAnsi" w:cstheme="minorHAnsi"/>
          <w:sz w:val="22"/>
          <w:szCs w:val="22"/>
        </w:rPr>
        <w:t>Teisminio proceso Nr. 3-61-3-01850-2015-5</w:t>
      </w:r>
    </w:p>
    <w:p w:rsidR="00CB46BE" w:rsidRPr="00D3763B" w:rsidRDefault="00CB46BE" w:rsidP="00CB46BE">
      <w:pPr>
        <w:tabs>
          <w:tab w:val="left" w:pos="142"/>
        </w:tabs>
        <w:ind w:right="38"/>
        <w:jc w:val="both"/>
        <w:rPr>
          <w:rFonts w:asciiTheme="minorHAnsi" w:hAnsiTheme="minorHAnsi" w:cstheme="minorHAnsi"/>
          <w:bCs/>
          <w:sz w:val="22"/>
          <w:szCs w:val="22"/>
        </w:rPr>
      </w:pPr>
      <w:r w:rsidRPr="00D3763B">
        <w:rPr>
          <w:rFonts w:asciiTheme="minorHAnsi" w:hAnsiTheme="minorHAnsi" w:cstheme="minorHAnsi"/>
          <w:bCs/>
          <w:sz w:val="22"/>
          <w:szCs w:val="22"/>
        </w:rPr>
        <w:t xml:space="preserve">Procesinio sprendimo kategorija </w:t>
      </w:r>
      <w:r w:rsidRPr="00D3763B">
        <w:rPr>
          <w:rFonts w:asciiTheme="minorHAnsi" w:hAnsiTheme="minorHAnsi" w:cstheme="minorHAnsi"/>
          <w:sz w:val="22"/>
          <w:szCs w:val="22"/>
        </w:rPr>
        <w:t>30.4</w:t>
      </w:r>
    </w:p>
    <w:p w:rsidR="00CB46BE" w:rsidRPr="00D3763B" w:rsidRDefault="000220C9" w:rsidP="00CB46BE">
      <w:pPr>
        <w:tabs>
          <w:tab w:val="left" w:pos="142"/>
        </w:tabs>
        <w:ind w:right="38"/>
        <w:jc w:val="both"/>
        <w:rPr>
          <w:rFonts w:asciiTheme="minorHAnsi" w:hAnsiTheme="minorHAnsi" w:cstheme="minorHAnsi"/>
          <w:sz w:val="22"/>
          <w:szCs w:val="22"/>
        </w:rPr>
      </w:pPr>
      <w:hyperlink r:id="rId22" w:history="1">
        <w:r w:rsidR="00CB46BE" w:rsidRPr="00D3763B">
          <w:rPr>
            <w:rStyle w:val="Hyperlink"/>
            <w:rFonts w:asciiTheme="minorHAnsi" w:hAnsiTheme="minorHAnsi" w:cstheme="minorHAnsi"/>
            <w:sz w:val="22"/>
            <w:szCs w:val="22"/>
          </w:rPr>
          <w:t>Prieiga internete</w:t>
        </w:r>
      </w:hyperlink>
    </w:p>
    <w:p w:rsidR="00CB46BE" w:rsidRPr="00D3763B" w:rsidRDefault="00CB46BE" w:rsidP="00CB46BE">
      <w:pPr>
        <w:ind w:firstLine="567"/>
        <w:jc w:val="both"/>
        <w:rPr>
          <w:rFonts w:asciiTheme="minorHAnsi" w:hAnsiTheme="minorHAnsi" w:cstheme="minorHAnsi"/>
          <w:sz w:val="22"/>
          <w:szCs w:val="22"/>
        </w:rPr>
      </w:pPr>
    </w:p>
    <w:p w:rsidR="00A84D45" w:rsidRPr="00D3763B" w:rsidRDefault="00A84D45" w:rsidP="0014360F">
      <w:pPr>
        <w:pStyle w:val="Apzvalgai1"/>
        <w:rPr>
          <w:rFonts w:asciiTheme="minorHAnsi" w:hAnsiTheme="minorHAnsi" w:cstheme="minorHAnsi"/>
        </w:rPr>
      </w:pPr>
      <w:bookmarkStart w:id="59" w:name="_Toc519600873"/>
      <w:bookmarkStart w:id="60" w:name="_Toc524957053"/>
      <w:bookmarkEnd w:id="53"/>
      <w:bookmarkEnd w:id="54"/>
      <w:r w:rsidRPr="00D3763B">
        <w:rPr>
          <w:rFonts w:asciiTheme="minorHAnsi" w:hAnsiTheme="minorHAnsi" w:cstheme="minorHAnsi"/>
        </w:rPr>
        <w:t>40. Savivaldybės tarybos nario, savivaldybės tarybos nario – mero priesaikos sulaužymas ir įgaliojimų vykdymas</w:t>
      </w:r>
      <w:bookmarkEnd w:id="59"/>
      <w:bookmarkEnd w:id="60"/>
    </w:p>
    <w:p w:rsidR="00A84D45" w:rsidRPr="00D3763B" w:rsidRDefault="00A84D45" w:rsidP="00A84D45">
      <w:pPr>
        <w:jc w:val="both"/>
        <w:rPr>
          <w:rFonts w:asciiTheme="minorHAnsi" w:eastAsia="Arial Unicode MS" w:hAnsiTheme="minorHAnsi" w:cstheme="minorHAnsi"/>
          <w:i/>
          <w:sz w:val="22"/>
          <w:szCs w:val="22"/>
          <w:shd w:val="clear" w:color="auto" w:fill="FFFFFF"/>
        </w:rPr>
      </w:pPr>
    </w:p>
    <w:p w:rsidR="00223FBB" w:rsidRPr="00D3763B" w:rsidRDefault="00223FBB" w:rsidP="00D3763B">
      <w:pPr>
        <w:pStyle w:val="Heading2"/>
      </w:pPr>
      <w:bookmarkStart w:id="61" w:name="_Toc524957054"/>
      <w:r w:rsidRPr="00D3763B">
        <w:t>Dėl apkaltos inicijavimo termino ir reikalavimų tyrimo komisijos sudėčiai</w:t>
      </w:r>
      <w:bookmarkEnd w:id="61"/>
      <w:r w:rsidRPr="00D3763B">
        <w:t xml:space="preserve">  </w:t>
      </w:r>
    </w:p>
    <w:p w:rsidR="00223FBB" w:rsidRPr="00D3763B" w:rsidRDefault="00223FBB" w:rsidP="00223FBB">
      <w:pPr>
        <w:pStyle w:val="NormalWeb"/>
        <w:spacing w:before="0" w:beforeAutospacing="0" w:after="0" w:afterAutospacing="0"/>
        <w:ind w:firstLine="567"/>
        <w:jc w:val="both"/>
        <w:rPr>
          <w:rFonts w:asciiTheme="minorHAnsi" w:hAnsiTheme="minorHAnsi" w:cstheme="minorHAnsi"/>
          <w:sz w:val="22"/>
          <w:szCs w:val="22"/>
          <w:lang w:val="lt-LT" w:eastAsia="lt-LT"/>
        </w:rPr>
      </w:pPr>
    </w:p>
    <w:p w:rsidR="00223FBB" w:rsidRPr="00D3763B" w:rsidRDefault="00223FBB" w:rsidP="00223FBB">
      <w:pPr>
        <w:ind w:firstLine="567"/>
        <w:jc w:val="both"/>
        <w:rPr>
          <w:rFonts w:asciiTheme="minorHAnsi" w:hAnsiTheme="minorHAnsi" w:cstheme="minorHAnsi"/>
          <w:sz w:val="22"/>
          <w:szCs w:val="22"/>
          <w:lang w:eastAsia="en-US"/>
        </w:rPr>
      </w:pPr>
      <w:r w:rsidRPr="00D3763B">
        <w:rPr>
          <w:rFonts w:asciiTheme="minorHAnsi" w:hAnsiTheme="minorHAnsi" w:cstheme="minorHAnsi"/>
          <w:sz w:val="22"/>
          <w:szCs w:val="22"/>
        </w:rPr>
        <w:lastRenderedPageBreak/>
        <w:t xml:space="preserve">Šioje byloje išnagrinėtas prašymas pateikti išvadą, ar savivaldybės tarybos narys sulaužė priesaiką ir nevykdė įstatymuose nustatytų įgaliojimų, buvo grindžiamas aplinkybe, kad savivaldybės tarybos narys </w:t>
      </w:r>
      <w:bookmarkStart w:id="62" w:name="Buk_44"/>
      <w:r w:rsidRPr="00333C95">
        <w:rPr>
          <w:rFonts w:asciiTheme="minorHAnsi" w:hAnsiTheme="minorHAnsi" w:cstheme="minorHAnsi"/>
          <w:sz w:val="22"/>
          <w:szCs w:val="22"/>
        </w:rPr>
        <w:t>K. P.</w:t>
      </w:r>
      <w:r w:rsidRPr="00D3763B">
        <w:rPr>
          <w:rFonts w:asciiTheme="minorHAnsi" w:hAnsiTheme="minorHAnsi" w:cstheme="minorHAnsi"/>
          <w:sz w:val="22"/>
          <w:szCs w:val="22"/>
        </w:rPr>
        <w:t xml:space="preserve"> </w:t>
      </w:r>
      <w:bookmarkEnd w:id="62"/>
      <w:r w:rsidR="00F33D1D" w:rsidRPr="00D3763B">
        <w:rPr>
          <w:rFonts w:asciiTheme="minorHAnsi" w:hAnsiTheme="minorHAnsi" w:cstheme="minorHAnsi"/>
          <w:sz w:val="22"/>
          <w:szCs w:val="22"/>
        </w:rPr>
        <w:t>n</w:t>
      </w:r>
      <w:r w:rsidRPr="00D3763B">
        <w:rPr>
          <w:rFonts w:asciiTheme="minorHAnsi" w:hAnsiTheme="minorHAnsi" w:cstheme="minorHAnsi"/>
          <w:color w:val="000000"/>
          <w:sz w:val="22"/>
          <w:szCs w:val="22"/>
          <w:lang w:bidi="lt-LT"/>
        </w:rPr>
        <w:t>eatvyko į Širvintų</w:t>
      </w:r>
      <w:r w:rsidRPr="00D3763B">
        <w:rPr>
          <w:rFonts w:asciiTheme="minorHAnsi" w:hAnsiTheme="minorHAnsi" w:cstheme="minorHAnsi"/>
          <w:sz w:val="22"/>
          <w:szCs w:val="22"/>
        </w:rPr>
        <w:t xml:space="preserve"> rajono savivaldybės tarybos</w:t>
      </w:r>
      <w:r w:rsidRPr="00D3763B">
        <w:rPr>
          <w:rFonts w:asciiTheme="minorHAnsi" w:hAnsiTheme="minorHAnsi" w:cstheme="minorHAnsi"/>
          <w:color w:val="000000"/>
          <w:sz w:val="22"/>
          <w:szCs w:val="22"/>
          <w:lang w:bidi="lt-LT"/>
        </w:rPr>
        <w:t xml:space="preserve"> Finansų, investicijų ir ūkio reikalų komiteto, kurio narys jis buvo,</w:t>
      </w:r>
      <w:r w:rsidRPr="00D3763B">
        <w:rPr>
          <w:rFonts w:asciiTheme="minorHAnsi" w:hAnsiTheme="minorHAnsi" w:cstheme="minorHAnsi"/>
          <w:sz w:val="22"/>
          <w:szCs w:val="22"/>
        </w:rPr>
        <w:t xml:space="preserve"> posėdžius.</w:t>
      </w:r>
    </w:p>
    <w:p w:rsidR="00223FBB" w:rsidRPr="00D3763B" w:rsidRDefault="00223FBB" w:rsidP="00223FBB">
      <w:pPr>
        <w:ind w:firstLine="567"/>
        <w:jc w:val="both"/>
        <w:rPr>
          <w:rFonts w:asciiTheme="minorHAnsi" w:hAnsiTheme="minorHAnsi" w:cstheme="minorHAnsi"/>
          <w:sz w:val="22"/>
          <w:szCs w:val="22"/>
        </w:rPr>
      </w:pPr>
      <w:r w:rsidRPr="00D3763B">
        <w:rPr>
          <w:rFonts w:asciiTheme="minorHAnsi" w:hAnsiTheme="minorHAnsi" w:cstheme="minorHAnsi"/>
          <w:sz w:val="22"/>
          <w:szCs w:val="22"/>
        </w:rPr>
        <w:t>Administracinių bylų teisenos įstatymo 120 straipsnio 2 dalyje numatyta, kad L</w:t>
      </w:r>
      <w:r w:rsidR="00F33D1D" w:rsidRPr="00D3763B">
        <w:rPr>
          <w:rFonts w:asciiTheme="minorHAnsi" w:hAnsiTheme="minorHAnsi" w:cstheme="minorHAnsi"/>
          <w:sz w:val="22"/>
          <w:szCs w:val="22"/>
        </w:rPr>
        <w:t xml:space="preserve">VAT </w:t>
      </w:r>
      <w:r w:rsidRPr="00D3763B">
        <w:rPr>
          <w:rFonts w:asciiTheme="minorHAnsi" w:hAnsiTheme="minorHAnsi" w:cstheme="minorHAnsi"/>
          <w:sz w:val="22"/>
          <w:szCs w:val="22"/>
        </w:rPr>
        <w:t>nepriima nagrinėti prašymo pateikti išvadą, jeigu prašymas paduotas nesilaikant Vietos savivaldos įstatyme nustatytos tvarkos. Nustačius šią aplinkybę, išvada dėl savivaldybės tarybos nario, savivaldybės tarybos nario – mero priesaikos sulaužymo ir įgaliojimų vykdymo nėra teikiama.</w:t>
      </w:r>
    </w:p>
    <w:p w:rsidR="00223FBB" w:rsidRPr="00D3763B" w:rsidRDefault="00223FBB" w:rsidP="00223FBB">
      <w:pPr>
        <w:ind w:firstLine="567"/>
        <w:jc w:val="both"/>
        <w:rPr>
          <w:rFonts w:asciiTheme="minorHAnsi" w:hAnsiTheme="minorHAnsi" w:cstheme="minorHAnsi"/>
          <w:sz w:val="22"/>
          <w:szCs w:val="22"/>
        </w:rPr>
      </w:pPr>
      <w:r w:rsidRPr="00D3763B">
        <w:rPr>
          <w:rFonts w:asciiTheme="minorHAnsi" w:hAnsiTheme="minorHAnsi" w:cstheme="minorHAnsi"/>
          <w:sz w:val="22"/>
          <w:szCs w:val="22"/>
        </w:rPr>
        <w:t xml:space="preserve">Širvintų rajono savivaldybės taryba 2018 m. vasario 22 d. sprendimu Nr. 1-27 sudarė komisiją (toliau – ir Komisija, Tyrimo komisija) teikime pateiktiems faktams ištirti ir pateikti išvadą dėl tarybos nario </w:t>
      </w:r>
      <w:bookmarkStart w:id="63" w:name="Buk_19"/>
      <w:r w:rsidRPr="00D3763B">
        <w:rPr>
          <w:rFonts w:asciiTheme="minorHAnsi" w:hAnsiTheme="minorHAnsi" w:cstheme="minorHAnsi"/>
          <w:sz w:val="22"/>
          <w:szCs w:val="22"/>
        </w:rPr>
        <w:t xml:space="preserve">K. P. </w:t>
      </w:r>
      <w:bookmarkEnd w:id="63"/>
      <w:r w:rsidR="00F33D1D" w:rsidRPr="00D3763B">
        <w:rPr>
          <w:rFonts w:asciiTheme="minorHAnsi" w:hAnsiTheme="minorHAnsi" w:cstheme="minorHAnsi"/>
          <w:sz w:val="22"/>
          <w:szCs w:val="22"/>
        </w:rPr>
        <w:t>v</w:t>
      </w:r>
      <w:r w:rsidRPr="00D3763B">
        <w:rPr>
          <w:rFonts w:asciiTheme="minorHAnsi" w:hAnsiTheme="minorHAnsi" w:cstheme="minorHAnsi"/>
          <w:sz w:val="22"/>
          <w:szCs w:val="22"/>
        </w:rPr>
        <w:t xml:space="preserve">eiksmų, kuri 2018 m. kovo 20 d. pateikė Širvintų rajono savivaldybės tarybai išvadą, kurioje nurodė, kad savivaldybės </w:t>
      </w:r>
      <w:r w:rsidRPr="00D3763B">
        <w:rPr>
          <w:rFonts w:asciiTheme="minorHAnsi" w:hAnsiTheme="minorHAnsi" w:cstheme="minorHAnsi"/>
          <w:color w:val="000000"/>
          <w:sz w:val="22"/>
          <w:szCs w:val="22"/>
        </w:rPr>
        <w:t xml:space="preserve">tarybos narys </w:t>
      </w:r>
      <w:bookmarkStart w:id="64" w:name="Buk_51"/>
      <w:r w:rsidRPr="00D3763B">
        <w:rPr>
          <w:rFonts w:asciiTheme="minorHAnsi" w:hAnsiTheme="minorHAnsi" w:cstheme="minorHAnsi"/>
          <w:sz w:val="22"/>
          <w:szCs w:val="22"/>
        </w:rPr>
        <w:t>K. P.</w:t>
      </w:r>
      <w:r w:rsidR="00F33D1D" w:rsidRPr="00D3763B">
        <w:rPr>
          <w:rFonts w:asciiTheme="minorHAnsi" w:hAnsiTheme="minorHAnsi" w:cstheme="minorHAnsi"/>
          <w:sz w:val="22"/>
          <w:szCs w:val="22"/>
        </w:rPr>
        <w:t>,</w:t>
      </w:r>
      <w:r w:rsidRPr="00D3763B">
        <w:rPr>
          <w:rFonts w:asciiTheme="minorHAnsi" w:hAnsiTheme="minorHAnsi" w:cstheme="minorHAnsi"/>
          <w:sz w:val="22"/>
          <w:szCs w:val="22"/>
        </w:rPr>
        <w:t xml:space="preserve"> </w:t>
      </w:r>
      <w:bookmarkEnd w:id="64"/>
      <w:r w:rsidRPr="00D3763B">
        <w:rPr>
          <w:rFonts w:asciiTheme="minorHAnsi" w:hAnsiTheme="minorHAnsi" w:cstheme="minorHAnsi"/>
          <w:sz w:val="22"/>
          <w:szCs w:val="22"/>
        </w:rPr>
        <w:t>2017 metais nedalyvaudamas Širvintų rajono savivaldybės tarybos Finansų, investicijų ir ūkio reikalų komiteto, kurio narys jis yra, posėdžiuose, sulaužė priesaiką. Širvintų rajono savivaldybės taryba 2018 m. balandžio 10 d. sprendimu Nr. 1-95 pritarė Komisijos išvadai ir nusprendė kreiptis į L</w:t>
      </w:r>
      <w:r w:rsidR="00F33D1D" w:rsidRPr="00D3763B">
        <w:rPr>
          <w:rFonts w:asciiTheme="minorHAnsi" w:hAnsiTheme="minorHAnsi" w:cstheme="minorHAnsi"/>
          <w:sz w:val="22"/>
          <w:szCs w:val="22"/>
        </w:rPr>
        <w:t xml:space="preserve">VAT </w:t>
      </w:r>
      <w:r w:rsidRPr="00D3763B">
        <w:rPr>
          <w:rFonts w:asciiTheme="minorHAnsi" w:hAnsiTheme="minorHAnsi" w:cstheme="minorHAnsi"/>
          <w:sz w:val="22"/>
          <w:szCs w:val="22"/>
        </w:rPr>
        <w:t>su prašymu pateikti išvadą.</w:t>
      </w:r>
    </w:p>
    <w:p w:rsidR="00223FBB" w:rsidRPr="00D3763B" w:rsidRDefault="00223FBB" w:rsidP="00223FBB">
      <w:pPr>
        <w:ind w:firstLine="567"/>
        <w:jc w:val="both"/>
        <w:rPr>
          <w:rFonts w:asciiTheme="minorHAnsi" w:hAnsiTheme="minorHAnsi" w:cstheme="minorHAnsi"/>
          <w:sz w:val="22"/>
          <w:szCs w:val="22"/>
        </w:rPr>
      </w:pPr>
      <w:r w:rsidRPr="00D3763B">
        <w:rPr>
          <w:rFonts w:asciiTheme="minorHAnsi" w:hAnsiTheme="minorHAnsi" w:cstheme="minorHAnsi"/>
          <w:sz w:val="22"/>
          <w:szCs w:val="22"/>
        </w:rPr>
        <w:t>Sprendžiant klausimą, ar savivaldybės taryb</w:t>
      </w:r>
      <w:r w:rsidR="00F33D1D" w:rsidRPr="00D3763B">
        <w:rPr>
          <w:rFonts w:asciiTheme="minorHAnsi" w:hAnsiTheme="minorHAnsi" w:cstheme="minorHAnsi"/>
          <w:sz w:val="22"/>
          <w:szCs w:val="22"/>
        </w:rPr>
        <w:t>os</w:t>
      </w:r>
      <w:r w:rsidRPr="00D3763B">
        <w:rPr>
          <w:rFonts w:asciiTheme="minorHAnsi" w:hAnsiTheme="minorHAnsi" w:cstheme="minorHAnsi"/>
          <w:sz w:val="22"/>
          <w:szCs w:val="22"/>
        </w:rPr>
        <w:t xml:space="preserve"> narių grupė, pateikdama teikimą Širvintų rajono savivaldybės tarybai, nepraleido Vietos savivaldos įstatymo 25</w:t>
      </w:r>
      <w:r w:rsidRPr="00D3763B">
        <w:rPr>
          <w:rFonts w:asciiTheme="minorHAnsi" w:hAnsiTheme="minorHAnsi" w:cstheme="minorHAnsi"/>
          <w:sz w:val="22"/>
          <w:szCs w:val="22"/>
          <w:vertAlign w:val="superscript"/>
        </w:rPr>
        <w:t>1</w:t>
      </w:r>
      <w:r w:rsidRPr="00D3763B">
        <w:rPr>
          <w:rFonts w:asciiTheme="minorHAnsi" w:hAnsiTheme="minorHAnsi" w:cstheme="minorHAnsi"/>
          <w:sz w:val="22"/>
          <w:szCs w:val="22"/>
        </w:rPr>
        <w:t xml:space="preserve"> straipsnio 4 dalyje nustatyto vieno mėnesio termino inicijuoti tarybos nario apkaltos procedūrą</w:t>
      </w:r>
      <w:r w:rsidR="00F33D1D" w:rsidRPr="00D3763B">
        <w:rPr>
          <w:rFonts w:asciiTheme="minorHAnsi" w:hAnsiTheme="minorHAnsi" w:cstheme="minorHAnsi"/>
          <w:sz w:val="22"/>
          <w:szCs w:val="22"/>
        </w:rPr>
        <w:t>,</w:t>
      </w:r>
      <w:r w:rsidRPr="00D3763B">
        <w:rPr>
          <w:rFonts w:asciiTheme="minorHAnsi" w:hAnsiTheme="minorHAnsi" w:cstheme="minorHAnsi"/>
          <w:sz w:val="22"/>
          <w:szCs w:val="22"/>
        </w:rPr>
        <w:t xml:space="preserve"> yra svarbu nustatyti šio termino eigos pradžią. </w:t>
      </w:r>
      <w:r w:rsidRPr="00D3763B">
        <w:rPr>
          <w:rFonts w:asciiTheme="minorHAnsi" w:hAnsiTheme="minorHAnsi" w:cstheme="minorHAnsi"/>
          <w:sz w:val="22"/>
          <w:szCs w:val="22"/>
          <w:u w:val="single"/>
        </w:rPr>
        <w:t>Vietos savivaldos įstatymas termino eigos pradži</w:t>
      </w:r>
      <w:r w:rsidR="00F33D1D" w:rsidRPr="00D3763B">
        <w:rPr>
          <w:rFonts w:asciiTheme="minorHAnsi" w:hAnsiTheme="minorHAnsi" w:cstheme="minorHAnsi"/>
          <w:sz w:val="22"/>
          <w:szCs w:val="22"/>
          <w:u w:val="single"/>
        </w:rPr>
        <w:t>ą</w:t>
      </w:r>
      <w:r w:rsidRPr="00D3763B">
        <w:rPr>
          <w:rFonts w:asciiTheme="minorHAnsi" w:hAnsiTheme="minorHAnsi" w:cstheme="minorHAnsi"/>
          <w:sz w:val="22"/>
          <w:szCs w:val="22"/>
          <w:u w:val="single"/>
        </w:rPr>
        <w:t xml:space="preserve"> apibūdina kaip vieno iš pagrindų paaiškėjimo dieną. </w:t>
      </w:r>
      <w:r w:rsidR="00F33D1D" w:rsidRPr="00D3763B">
        <w:rPr>
          <w:rFonts w:asciiTheme="minorHAnsi" w:hAnsiTheme="minorHAnsi" w:cstheme="minorHAnsi"/>
          <w:sz w:val="22"/>
          <w:szCs w:val="22"/>
          <w:u w:val="single"/>
        </w:rPr>
        <w:t>Teisėjų k</w:t>
      </w:r>
      <w:r w:rsidRPr="00D3763B">
        <w:rPr>
          <w:rFonts w:asciiTheme="minorHAnsi" w:hAnsiTheme="minorHAnsi" w:cstheme="minorHAnsi"/>
          <w:sz w:val="22"/>
          <w:szCs w:val="22"/>
          <w:u w:val="single"/>
        </w:rPr>
        <w:t>olegijos vertinimu</w:t>
      </w:r>
      <w:r w:rsidR="00F33D1D" w:rsidRPr="00D3763B">
        <w:rPr>
          <w:rFonts w:asciiTheme="minorHAnsi" w:hAnsiTheme="minorHAnsi" w:cstheme="minorHAnsi"/>
          <w:sz w:val="22"/>
          <w:szCs w:val="22"/>
          <w:u w:val="single"/>
        </w:rPr>
        <w:t>,</w:t>
      </w:r>
      <w:r w:rsidRPr="00D3763B">
        <w:rPr>
          <w:rFonts w:asciiTheme="minorHAnsi" w:hAnsiTheme="minorHAnsi" w:cstheme="minorHAnsi"/>
          <w:sz w:val="22"/>
          <w:szCs w:val="22"/>
          <w:u w:val="single"/>
        </w:rPr>
        <w:t xml:space="preserve"> terminas „pagrindų paaiškėjimo diena“ neturi formalių kriterijų, todėl pagrindų paaiškėjimo diena turi būti nustatoma kiekvienoje konkrečioje byloje</w:t>
      </w:r>
      <w:r w:rsidR="00F33D1D" w:rsidRPr="00D3763B">
        <w:rPr>
          <w:rFonts w:asciiTheme="minorHAnsi" w:hAnsiTheme="minorHAnsi" w:cstheme="minorHAnsi"/>
          <w:sz w:val="22"/>
          <w:szCs w:val="22"/>
          <w:u w:val="single"/>
        </w:rPr>
        <w:t>,</w:t>
      </w:r>
      <w:r w:rsidRPr="00D3763B">
        <w:rPr>
          <w:rFonts w:asciiTheme="minorHAnsi" w:hAnsiTheme="minorHAnsi" w:cstheme="minorHAnsi"/>
          <w:sz w:val="22"/>
          <w:szCs w:val="22"/>
          <w:u w:val="single"/>
        </w:rPr>
        <w:t xml:space="preserve"> atsižvelgiant į savivaldybės tarybos nario gal</w:t>
      </w:r>
      <w:r w:rsidR="00F33D1D" w:rsidRPr="00D3763B">
        <w:rPr>
          <w:rFonts w:asciiTheme="minorHAnsi" w:hAnsiTheme="minorHAnsi" w:cstheme="minorHAnsi"/>
          <w:sz w:val="22"/>
          <w:szCs w:val="22"/>
          <w:u w:val="single"/>
        </w:rPr>
        <w:t xml:space="preserve">būt </w:t>
      </w:r>
      <w:r w:rsidRPr="00D3763B">
        <w:rPr>
          <w:rFonts w:asciiTheme="minorHAnsi" w:hAnsiTheme="minorHAnsi" w:cstheme="minorHAnsi"/>
          <w:sz w:val="22"/>
          <w:szCs w:val="22"/>
          <w:u w:val="single"/>
        </w:rPr>
        <w:t>padaryto pažeidimo pobūdį</w:t>
      </w:r>
      <w:r w:rsidRPr="00D3763B">
        <w:rPr>
          <w:rFonts w:asciiTheme="minorHAnsi" w:hAnsiTheme="minorHAnsi" w:cstheme="minorHAnsi"/>
          <w:sz w:val="22"/>
          <w:szCs w:val="22"/>
        </w:rPr>
        <w:t>.</w:t>
      </w:r>
    </w:p>
    <w:p w:rsidR="00223FBB" w:rsidRPr="00D3763B" w:rsidRDefault="00223FBB" w:rsidP="00223FBB">
      <w:pPr>
        <w:ind w:firstLine="567"/>
        <w:jc w:val="both"/>
        <w:rPr>
          <w:rFonts w:asciiTheme="minorHAnsi" w:hAnsiTheme="minorHAnsi" w:cstheme="minorHAnsi"/>
          <w:sz w:val="22"/>
          <w:szCs w:val="22"/>
        </w:rPr>
      </w:pPr>
      <w:r w:rsidRPr="00D3763B">
        <w:rPr>
          <w:rFonts w:asciiTheme="minorHAnsi" w:hAnsiTheme="minorHAnsi" w:cstheme="minorHAnsi"/>
          <w:sz w:val="22"/>
          <w:szCs w:val="22"/>
        </w:rPr>
        <w:t>Nagrinė</w:t>
      </w:r>
      <w:r w:rsidR="00F33D1D" w:rsidRPr="00D3763B">
        <w:rPr>
          <w:rFonts w:asciiTheme="minorHAnsi" w:hAnsiTheme="minorHAnsi" w:cstheme="minorHAnsi"/>
          <w:sz w:val="22"/>
          <w:szCs w:val="22"/>
        </w:rPr>
        <w:t xml:space="preserve">tu atveju </w:t>
      </w:r>
      <w:r w:rsidRPr="00D3763B">
        <w:rPr>
          <w:rFonts w:asciiTheme="minorHAnsi" w:hAnsiTheme="minorHAnsi" w:cstheme="minorHAnsi"/>
          <w:sz w:val="22"/>
          <w:szCs w:val="22"/>
        </w:rPr>
        <w:t xml:space="preserve">pareiškėjas pagrindų paaiškėjimo dieną siejo su </w:t>
      </w:r>
      <w:r w:rsidRPr="00D3763B">
        <w:rPr>
          <w:rFonts w:asciiTheme="minorHAnsi" w:hAnsiTheme="minorHAnsi" w:cstheme="minorHAnsi"/>
          <w:color w:val="000000"/>
          <w:sz w:val="22"/>
          <w:szCs w:val="22"/>
          <w:lang w:bidi="lt-LT"/>
        </w:rPr>
        <w:t>Etikos komisijos 2018 m. vasario 1 d. sprendimo Nr. (1.16)-1E-3 (kuriame, be kita ko, nurodyta, kad kaltintas tarybos narys nedalyvavo Finansų, investicijų ir ūkio reikalų komiteto, kurio narys jis yra, posėdžiuose) paviešinimo savivaldybės tarybos nariams momentu. Teisėjų kolegija tokią pareiškėjo poziciją įvertino kritiškai.</w:t>
      </w:r>
    </w:p>
    <w:p w:rsidR="00223FBB" w:rsidRPr="00D3763B" w:rsidRDefault="00223FBB" w:rsidP="00223FBB">
      <w:pPr>
        <w:ind w:firstLine="567"/>
        <w:jc w:val="both"/>
        <w:rPr>
          <w:rFonts w:asciiTheme="minorHAnsi" w:hAnsiTheme="minorHAnsi" w:cstheme="minorHAnsi"/>
          <w:sz w:val="22"/>
          <w:szCs w:val="22"/>
        </w:rPr>
      </w:pPr>
      <w:r w:rsidRPr="00D3763B">
        <w:rPr>
          <w:rFonts w:asciiTheme="minorHAnsi" w:hAnsiTheme="minorHAnsi" w:cstheme="minorHAnsi"/>
          <w:sz w:val="22"/>
          <w:szCs w:val="22"/>
        </w:rPr>
        <w:t xml:space="preserve">Visi Komiteto posėdžiai, dėl kurių nelankymo iškeltas kaltinimas atsakovui, buvo organizuojami kartu su kitais savivaldybės tarybos komitetais – kartu su Kultūros, švietimo, jaunimo ir sporto bei Socialinės, sveikatos apsaugos ir šeimos komitetais, t. y. buvo organizuojami bendri visų trijų komitetų posėdžiai. Teikimą savivaldybės tarybai pasirašė savivaldybės tarybos nariai </w:t>
      </w:r>
      <w:bookmarkStart w:id="65" w:name="Buk_58"/>
      <w:r w:rsidRPr="00D3763B">
        <w:rPr>
          <w:rFonts w:asciiTheme="minorHAnsi" w:hAnsiTheme="minorHAnsi" w:cstheme="minorHAnsi"/>
          <w:sz w:val="22"/>
          <w:szCs w:val="22"/>
        </w:rPr>
        <w:t>M. G.</w:t>
      </w:r>
      <w:bookmarkEnd w:id="65"/>
      <w:r w:rsidRPr="00D3763B">
        <w:rPr>
          <w:rFonts w:asciiTheme="minorHAnsi" w:hAnsiTheme="minorHAnsi" w:cstheme="minorHAnsi"/>
          <w:sz w:val="22"/>
          <w:szCs w:val="22"/>
        </w:rPr>
        <w:t xml:space="preserve">, </w:t>
      </w:r>
      <w:bookmarkStart w:id="66" w:name="Buk_63"/>
      <w:r w:rsidRPr="00D3763B">
        <w:rPr>
          <w:rFonts w:asciiTheme="minorHAnsi" w:hAnsiTheme="minorHAnsi" w:cstheme="minorHAnsi"/>
          <w:sz w:val="22"/>
          <w:szCs w:val="22"/>
        </w:rPr>
        <w:t>Z. M.</w:t>
      </w:r>
      <w:bookmarkEnd w:id="66"/>
      <w:r w:rsidRPr="00D3763B">
        <w:rPr>
          <w:rFonts w:asciiTheme="minorHAnsi" w:hAnsiTheme="minorHAnsi" w:cstheme="minorHAnsi"/>
          <w:sz w:val="22"/>
          <w:szCs w:val="22"/>
        </w:rPr>
        <w:t xml:space="preserve">, </w:t>
      </w:r>
      <w:bookmarkStart w:id="67" w:name="Buk_66"/>
      <w:r w:rsidRPr="00D3763B">
        <w:rPr>
          <w:rFonts w:asciiTheme="minorHAnsi" w:hAnsiTheme="minorHAnsi" w:cstheme="minorHAnsi"/>
          <w:sz w:val="22"/>
          <w:szCs w:val="22"/>
        </w:rPr>
        <w:t>V. B.</w:t>
      </w:r>
      <w:bookmarkEnd w:id="67"/>
      <w:r w:rsidRPr="00D3763B">
        <w:rPr>
          <w:rFonts w:asciiTheme="minorHAnsi" w:hAnsiTheme="minorHAnsi" w:cstheme="minorHAnsi"/>
          <w:sz w:val="22"/>
          <w:szCs w:val="22"/>
        </w:rPr>
        <w:t xml:space="preserve">, </w:t>
      </w:r>
      <w:bookmarkStart w:id="68" w:name="Buk_60"/>
      <w:r w:rsidRPr="00D3763B">
        <w:rPr>
          <w:rFonts w:asciiTheme="minorHAnsi" w:hAnsiTheme="minorHAnsi" w:cstheme="minorHAnsi"/>
          <w:sz w:val="22"/>
          <w:szCs w:val="22"/>
        </w:rPr>
        <w:t>R. S.</w:t>
      </w:r>
      <w:bookmarkEnd w:id="68"/>
      <w:r w:rsidRPr="00D3763B">
        <w:rPr>
          <w:rFonts w:asciiTheme="minorHAnsi" w:hAnsiTheme="minorHAnsi" w:cstheme="minorHAnsi"/>
          <w:sz w:val="22"/>
          <w:szCs w:val="22"/>
        </w:rPr>
        <w:t xml:space="preserve">, </w:t>
      </w:r>
      <w:bookmarkStart w:id="69" w:name="Buk_4"/>
      <w:r w:rsidRPr="00D3763B">
        <w:rPr>
          <w:rFonts w:asciiTheme="minorHAnsi" w:hAnsiTheme="minorHAnsi" w:cstheme="minorHAnsi"/>
          <w:sz w:val="22"/>
          <w:szCs w:val="22"/>
        </w:rPr>
        <w:t>D. P.</w:t>
      </w:r>
      <w:bookmarkEnd w:id="69"/>
      <w:r w:rsidRPr="00D3763B">
        <w:rPr>
          <w:rFonts w:asciiTheme="minorHAnsi" w:hAnsiTheme="minorHAnsi" w:cstheme="minorHAnsi"/>
          <w:sz w:val="22"/>
          <w:szCs w:val="22"/>
        </w:rPr>
        <w:t xml:space="preserve">, </w:t>
      </w:r>
      <w:bookmarkStart w:id="70" w:name="Buk_59"/>
      <w:r w:rsidRPr="00D3763B">
        <w:rPr>
          <w:rFonts w:asciiTheme="minorHAnsi" w:hAnsiTheme="minorHAnsi" w:cstheme="minorHAnsi"/>
          <w:sz w:val="22"/>
          <w:szCs w:val="22"/>
        </w:rPr>
        <w:t>R. B.</w:t>
      </w:r>
      <w:bookmarkEnd w:id="70"/>
      <w:r w:rsidRPr="00D3763B">
        <w:rPr>
          <w:rFonts w:asciiTheme="minorHAnsi" w:hAnsiTheme="minorHAnsi" w:cstheme="minorHAnsi"/>
          <w:sz w:val="22"/>
          <w:szCs w:val="22"/>
        </w:rPr>
        <w:t xml:space="preserve">, A. </w:t>
      </w:r>
      <w:bookmarkStart w:id="71" w:name="Buk_61"/>
      <w:r w:rsidRPr="00D3763B">
        <w:rPr>
          <w:rFonts w:asciiTheme="minorHAnsi" w:hAnsiTheme="minorHAnsi" w:cstheme="minorHAnsi"/>
          <w:sz w:val="22"/>
          <w:szCs w:val="22"/>
        </w:rPr>
        <w:t>R. M.</w:t>
      </w:r>
      <w:bookmarkEnd w:id="71"/>
      <w:r w:rsidRPr="00D3763B">
        <w:rPr>
          <w:rFonts w:asciiTheme="minorHAnsi" w:hAnsiTheme="minorHAnsi" w:cstheme="minorHAnsi"/>
          <w:sz w:val="22"/>
          <w:szCs w:val="22"/>
        </w:rPr>
        <w:t xml:space="preserve">, D. P., </w:t>
      </w:r>
      <w:bookmarkStart w:id="72" w:name="Buk_62"/>
      <w:r w:rsidRPr="00D3763B">
        <w:rPr>
          <w:rFonts w:asciiTheme="minorHAnsi" w:hAnsiTheme="minorHAnsi" w:cstheme="minorHAnsi"/>
          <w:sz w:val="22"/>
          <w:szCs w:val="22"/>
        </w:rPr>
        <w:t xml:space="preserve">R. Z. </w:t>
      </w:r>
      <w:bookmarkEnd w:id="72"/>
      <w:r w:rsidRPr="00D3763B">
        <w:rPr>
          <w:rFonts w:asciiTheme="minorHAnsi" w:hAnsiTheme="minorHAnsi" w:cstheme="minorHAnsi"/>
          <w:sz w:val="22"/>
          <w:szCs w:val="22"/>
        </w:rPr>
        <w:t xml:space="preserve">ir </w:t>
      </w:r>
      <w:bookmarkStart w:id="73" w:name="Buk_7"/>
      <w:r w:rsidRPr="00D3763B">
        <w:rPr>
          <w:rFonts w:asciiTheme="minorHAnsi" w:hAnsiTheme="minorHAnsi" w:cstheme="minorHAnsi"/>
          <w:sz w:val="22"/>
          <w:szCs w:val="22"/>
        </w:rPr>
        <w:t>I. V.</w:t>
      </w:r>
      <w:bookmarkEnd w:id="73"/>
      <w:r w:rsidRPr="00D3763B">
        <w:rPr>
          <w:rFonts w:asciiTheme="minorHAnsi" w:hAnsiTheme="minorHAnsi" w:cstheme="minorHAnsi"/>
          <w:sz w:val="22"/>
          <w:szCs w:val="22"/>
        </w:rPr>
        <w:t xml:space="preserve"> Visi šie teikimą pasirašę savivaldybės tarybos nariai patenka į savivaldybės tarybos komitetus, kurių bendri posėdžiai buvo organizuojami ir dėl kurių nelankymo iškeltas kaltinimas atsakovui.</w:t>
      </w:r>
    </w:p>
    <w:p w:rsidR="00223FBB" w:rsidRPr="00D3763B" w:rsidRDefault="00223FBB" w:rsidP="00223FBB">
      <w:pPr>
        <w:ind w:firstLine="567"/>
        <w:jc w:val="both"/>
        <w:rPr>
          <w:rFonts w:asciiTheme="minorHAnsi" w:hAnsiTheme="minorHAnsi" w:cstheme="minorHAnsi"/>
          <w:color w:val="000000"/>
          <w:sz w:val="22"/>
          <w:szCs w:val="22"/>
          <w:lang w:bidi="lt-LT"/>
        </w:rPr>
      </w:pPr>
      <w:r w:rsidRPr="00D3763B">
        <w:rPr>
          <w:rFonts w:asciiTheme="minorHAnsi" w:hAnsiTheme="minorHAnsi" w:cstheme="minorHAnsi"/>
          <w:sz w:val="22"/>
          <w:szCs w:val="22"/>
        </w:rPr>
        <w:t>Komiteto nario neatvykimas į Komiteto posėdį, tarp jų – ir į bendrą komitetų posėdį, kaip savivaldybės tarybos nario neveikimas, tampa akivaizdžiu kitiems komitetų nariams (savivaldybės tarybos nariams) Komiteto posėdžio dieną. Nagrinė</w:t>
      </w:r>
      <w:r w:rsidR="00F33D1D" w:rsidRPr="00D3763B">
        <w:rPr>
          <w:rFonts w:asciiTheme="minorHAnsi" w:hAnsiTheme="minorHAnsi" w:cstheme="minorHAnsi"/>
          <w:sz w:val="22"/>
          <w:szCs w:val="22"/>
        </w:rPr>
        <w:t>t</w:t>
      </w:r>
      <w:r w:rsidRPr="00D3763B">
        <w:rPr>
          <w:rFonts w:asciiTheme="minorHAnsi" w:hAnsiTheme="minorHAnsi" w:cstheme="minorHAnsi"/>
          <w:sz w:val="22"/>
          <w:szCs w:val="22"/>
        </w:rPr>
        <w:t>u atveju komiteto nario – atsakovo – sistemingas, pasikartojantis neatvykimas nei į vieną 20</w:t>
      </w:r>
      <w:r w:rsidR="00333C95">
        <w:rPr>
          <w:rFonts w:asciiTheme="minorHAnsi" w:hAnsiTheme="minorHAnsi" w:cstheme="minorHAnsi"/>
          <w:sz w:val="22"/>
          <w:szCs w:val="22"/>
        </w:rPr>
        <w:t>1</w:t>
      </w:r>
      <w:r w:rsidRPr="00D3763B">
        <w:rPr>
          <w:rFonts w:asciiTheme="minorHAnsi" w:hAnsiTheme="minorHAnsi" w:cstheme="minorHAnsi"/>
          <w:sz w:val="22"/>
          <w:szCs w:val="22"/>
        </w:rPr>
        <w:t>7 metais organizuotą Komiteto posėdį (bendrą komitetų posėdį) akivaizdžiai turėjo sukelti kitiems komitetų nariams pagrįstą manymą, kad atsakovas gal</w:t>
      </w:r>
      <w:r w:rsidR="00F33D1D" w:rsidRPr="00D3763B">
        <w:rPr>
          <w:rFonts w:asciiTheme="minorHAnsi" w:hAnsiTheme="minorHAnsi" w:cstheme="minorHAnsi"/>
          <w:sz w:val="22"/>
          <w:szCs w:val="22"/>
        </w:rPr>
        <w:t xml:space="preserve">būt </w:t>
      </w:r>
      <w:r w:rsidRPr="00D3763B">
        <w:rPr>
          <w:rFonts w:asciiTheme="minorHAnsi" w:hAnsiTheme="minorHAnsi" w:cstheme="minorHAnsi"/>
          <w:sz w:val="22"/>
          <w:szCs w:val="22"/>
        </w:rPr>
        <w:t>sulaužė priesaiką, kad jis nevykdo jam įstatymuose nustatytų įgaliojimų. Atsižvelgdama į tai, teisėjų kolegija sprend</w:t>
      </w:r>
      <w:r w:rsidR="00F33D1D" w:rsidRPr="00D3763B">
        <w:rPr>
          <w:rFonts w:asciiTheme="minorHAnsi" w:hAnsiTheme="minorHAnsi" w:cstheme="minorHAnsi"/>
          <w:sz w:val="22"/>
          <w:szCs w:val="22"/>
        </w:rPr>
        <w:t>ė</w:t>
      </w:r>
      <w:r w:rsidRPr="00D3763B">
        <w:rPr>
          <w:rFonts w:asciiTheme="minorHAnsi" w:hAnsiTheme="minorHAnsi" w:cstheme="minorHAnsi"/>
          <w:sz w:val="22"/>
          <w:szCs w:val="22"/>
        </w:rPr>
        <w:t xml:space="preserve">, jog </w:t>
      </w:r>
      <w:r w:rsidRPr="00D3763B">
        <w:rPr>
          <w:rFonts w:asciiTheme="minorHAnsi" w:hAnsiTheme="minorHAnsi" w:cstheme="minorHAnsi"/>
          <w:sz w:val="22"/>
          <w:szCs w:val="22"/>
          <w:u w:val="single"/>
        </w:rPr>
        <w:t>Vietos savivaldos įstatymo 25</w:t>
      </w:r>
      <w:r w:rsidRPr="00D3763B">
        <w:rPr>
          <w:rFonts w:asciiTheme="minorHAnsi" w:hAnsiTheme="minorHAnsi" w:cstheme="minorHAnsi"/>
          <w:sz w:val="22"/>
          <w:szCs w:val="22"/>
          <w:u w:val="single"/>
          <w:vertAlign w:val="superscript"/>
        </w:rPr>
        <w:t>1</w:t>
      </w:r>
      <w:r w:rsidRPr="00D3763B">
        <w:rPr>
          <w:rFonts w:asciiTheme="minorHAnsi" w:hAnsiTheme="minorHAnsi" w:cstheme="minorHAnsi"/>
          <w:sz w:val="22"/>
          <w:szCs w:val="22"/>
          <w:u w:val="single"/>
        </w:rPr>
        <w:t xml:space="preserve"> straipsnio 4 dalyje įtvirtintas pagrindo paaiškėjimo momentas, nuo kurio skaičiuotinas vieno mėnesio terminas, yra vėliausia Komiteto posėdžio diena, įtraukta į kaltinimą atsakovui, t. y. </w:t>
      </w:r>
      <w:r w:rsidRPr="00D3763B">
        <w:rPr>
          <w:rFonts w:asciiTheme="minorHAnsi" w:hAnsiTheme="minorHAnsi" w:cstheme="minorHAnsi"/>
          <w:color w:val="000000"/>
          <w:sz w:val="22"/>
          <w:szCs w:val="22"/>
          <w:u w:val="single"/>
          <w:lang w:bidi="lt-LT"/>
        </w:rPr>
        <w:t>2017 m. gruodžio 18 d.</w:t>
      </w:r>
    </w:p>
    <w:p w:rsidR="00223FBB" w:rsidRPr="00D3763B" w:rsidRDefault="00223FBB" w:rsidP="00223FBB">
      <w:pPr>
        <w:ind w:firstLine="567"/>
        <w:jc w:val="both"/>
        <w:rPr>
          <w:rFonts w:asciiTheme="minorHAnsi" w:hAnsiTheme="minorHAnsi" w:cstheme="minorHAnsi"/>
          <w:sz w:val="22"/>
          <w:szCs w:val="22"/>
          <w:lang w:eastAsia="en-US"/>
        </w:rPr>
      </w:pPr>
      <w:r w:rsidRPr="00D3763B">
        <w:rPr>
          <w:rFonts w:asciiTheme="minorHAnsi" w:hAnsiTheme="minorHAnsi" w:cstheme="minorHAnsi"/>
          <w:sz w:val="22"/>
          <w:szCs w:val="22"/>
        </w:rPr>
        <w:t>Būtent nuo šios datos skaičiuotinas Vietos savivaldos įstatymo 25</w:t>
      </w:r>
      <w:r w:rsidRPr="00D3763B">
        <w:rPr>
          <w:rFonts w:asciiTheme="minorHAnsi" w:hAnsiTheme="minorHAnsi" w:cstheme="minorHAnsi"/>
          <w:sz w:val="22"/>
          <w:szCs w:val="22"/>
          <w:vertAlign w:val="superscript"/>
        </w:rPr>
        <w:t>1</w:t>
      </w:r>
      <w:r w:rsidRPr="00D3763B">
        <w:rPr>
          <w:rFonts w:asciiTheme="minorHAnsi" w:hAnsiTheme="minorHAnsi" w:cstheme="minorHAnsi"/>
          <w:sz w:val="22"/>
          <w:szCs w:val="22"/>
        </w:rPr>
        <w:t xml:space="preserve"> straipsnio 4 dalyje numatytas vieno mėnesio terminas grupės savivaldybės tarybos narių teikimui pateikti. Nagrinė</w:t>
      </w:r>
      <w:r w:rsidR="00F33D1D" w:rsidRPr="00D3763B">
        <w:rPr>
          <w:rFonts w:asciiTheme="minorHAnsi" w:hAnsiTheme="minorHAnsi" w:cstheme="minorHAnsi"/>
          <w:sz w:val="22"/>
          <w:szCs w:val="22"/>
        </w:rPr>
        <w:t xml:space="preserve">tu atveju </w:t>
      </w:r>
      <w:r w:rsidRPr="00D3763B">
        <w:rPr>
          <w:rFonts w:asciiTheme="minorHAnsi" w:hAnsiTheme="minorHAnsi" w:cstheme="minorHAnsi"/>
          <w:sz w:val="22"/>
          <w:szCs w:val="22"/>
        </w:rPr>
        <w:t>nustatyta, kad grupė Širvintų rajono savivaldybės tarybos narių teikimą dėl atsakovo padarytų pažeidimų savivaldybės tarybai pateikė 2018 m. vasario 7 d., t. y. praleidus</w:t>
      </w:r>
      <w:r w:rsidR="00F33D1D" w:rsidRPr="00D3763B">
        <w:rPr>
          <w:rFonts w:asciiTheme="minorHAnsi" w:hAnsiTheme="minorHAnsi" w:cstheme="minorHAnsi"/>
          <w:sz w:val="22"/>
          <w:szCs w:val="22"/>
        </w:rPr>
        <w:t>i</w:t>
      </w:r>
      <w:r w:rsidRPr="00D3763B">
        <w:rPr>
          <w:rFonts w:asciiTheme="minorHAnsi" w:hAnsiTheme="minorHAnsi" w:cstheme="minorHAnsi"/>
          <w:sz w:val="22"/>
          <w:szCs w:val="22"/>
        </w:rPr>
        <w:t xml:space="preserve"> Vietos savivaldos įstatymo 25</w:t>
      </w:r>
      <w:r w:rsidRPr="00D3763B">
        <w:rPr>
          <w:rFonts w:asciiTheme="minorHAnsi" w:hAnsiTheme="minorHAnsi" w:cstheme="minorHAnsi"/>
          <w:sz w:val="22"/>
          <w:szCs w:val="22"/>
          <w:vertAlign w:val="superscript"/>
        </w:rPr>
        <w:t>1</w:t>
      </w:r>
      <w:r w:rsidRPr="00D3763B">
        <w:rPr>
          <w:rFonts w:asciiTheme="minorHAnsi" w:hAnsiTheme="minorHAnsi" w:cstheme="minorHAnsi"/>
          <w:sz w:val="22"/>
          <w:szCs w:val="22"/>
        </w:rPr>
        <w:t xml:space="preserve"> straipsnio 4 dalyje numatytą terminą, todėl prašymas teismui buvo paduotas nesilaikant Vietos savivaldos įstatyme nustatytos tvarkos.</w:t>
      </w:r>
    </w:p>
    <w:p w:rsidR="00223FBB" w:rsidRPr="00D3763B" w:rsidRDefault="00223FBB" w:rsidP="00223FBB">
      <w:pPr>
        <w:ind w:firstLine="567"/>
        <w:jc w:val="both"/>
        <w:rPr>
          <w:rFonts w:asciiTheme="minorHAnsi" w:hAnsiTheme="minorHAnsi" w:cstheme="minorHAnsi"/>
          <w:sz w:val="22"/>
          <w:szCs w:val="22"/>
        </w:rPr>
      </w:pPr>
      <w:r w:rsidRPr="00D3763B">
        <w:rPr>
          <w:rFonts w:asciiTheme="minorHAnsi" w:hAnsiTheme="minorHAnsi" w:cstheme="minorHAnsi"/>
          <w:sz w:val="22"/>
          <w:szCs w:val="22"/>
        </w:rPr>
        <w:t>Taip pat byloje pažymėta, kad Vietos savivaldos įstatymo 25</w:t>
      </w:r>
      <w:r w:rsidRPr="00D3763B">
        <w:rPr>
          <w:rFonts w:asciiTheme="minorHAnsi" w:hAnsiTheme="minorHAnsi" w:cstheme="minorHAnsi"/>
          <w:sz w:val="22"/>
          <w:szCs w:val="22"/>
          <w:vertAlign w:val="superscript"/>
        </w:rPr>
        <w:t>1</w:t>
      </w:r>
      <w:r w:rsidRPr="00D3763B">
        <w:rPr>
          <w:rFonts w:asciiTheme="minorHAnsi" w:hAnsiTheme="minorHAnsi" w:cstheme="minorHAnsi"/>
          <w:sz w:val="22"/>
          <w:szCs w:val="22"/>
        </w:rPr>
        <w:t xml:space="preserve"> straipsnio 6 dalis nustato, kad Tyrimo komisija sudaroma iš visų frakcijų atstovų, laikantis proporcingumo principo. Iš šios teisės normos konstrukcijos matyti, kad reikalavimas sudaryti Tyrimo komisiją iš visų frakcijų atstovų, laikantis proporcingumo principo, yra imperatyvaus pobūdžio. Šioje teisės normoje sąlygų, leidžiančių sudaryti kitokios sudėties ar iš mažesnio skaičiaus narių komisiją, nei yra savivaldybės taryboje frakcijų, nėra įtvirtinta. Tai lemia, kad Tyrimo komisija turi būti sudaroma ne mažiau nei iš tiek narių, kiek atitinkamos savivaldybės taryboje yra frakcijų.</w:t>
      </w:r>
    </w:p>
    <w:p w:rsidR="00223FBB" w:rsidRPr="00D3763B" w:rsidRDefault="00223FBB" w:rsidP="00223FBB">
      <w:pPr>
        <w:ind w:firstLine="567"/>
        <w:jc w:val="both"/>
        <w:rPr>
          <w:rFonts w:asciiTheme="minorHAnsi" w:hAnsiTheme="minorHAnsi" w:cstheme="minorHAnsi"/>
          <w:sz w:val="22"/>
          <w:szCs w:val="22"/>
        </w:rPr>
      </w:pPr>
      <w:r w:rsidRPr="00D3763B">
        <w:rPr>
          <w:rFonts w:asciiTheme="minorHAnsi" w:hAnsiTheme="minorHAnsi" w:cstheme="minorHAnsi"/>
          <w:sz w:val="22"/>
          <w:szCs w:val="22"/>
          <w:u w:val="single"/>
        </w:rPr>
        <w:lastRenderedPageBreak/>
        <w:t>Reikalavimas sudaryti Tyrimo komisiją iš visų frakcijų atstovų, laikantis proporcingumo principo, yra skirtas užtikrinti apkaltos proceso bei jo metu atliekamo tyrimo objektyvumą ir nešališkumą, todėl šių reikalavimų nesilaikymas sudaro pagrindą išvadai, kad atlikus tokį tyrimą priimti sprendimai yra neobjektyvūs ir šališki, o tuo pačiu ir neteisėti</w:t>
      </w:r>
      <w:r w:rsidRPr="00D3763B">
        <w:rPr>
          <w:rFonts w:asciiTheme="minorHAnsi" w:hAnsiTheme="minorHAnsi" w:cstheme="minorHAnsi"/>
          <w:sz w:val="22"/>
          <w:szCs w:val="22"/>
        </w:rPr>
        <w:t>.</w:t>
      </w:r>
    </w:p>
    <w:p w:rsidR="00223FBB" w:rsidRPr="00D3763B" w:rsidRDefault="00223FBB" w:rsidP="00223FBB">
      <w:pPr>
        <w:ind w:firstLine="567"/>
        <w:jc w:val="both"/>
        <w:rPr>
          <w:rFonts w:asciiTheme="minorHAnsi" w:hAnsiTheme="minorHAnsi" w:cstheme="minorHAnsi"/>
          <w:sz w:val="22"/>
          <w:szCs w:val="22"/>
        </w:rPr>
      </w:pPr>
      <w:r w:rsidRPr="00D3763B">
        <w:rPr>
          <w:rFonts w:asciiTheme="minorHAnsi" w:hAnsiTheme="minorHAnsi" w:cstheme="minorHAnsi"/>
          <w:color w:val="000000"/>
          <w:sz w:val="22"/>
          <w:szCs w:val="22"/>
        </w:rPr>
        <w:t xml:space="preserve">Byloje šalių pateiktais paaiškinimais nustatyta, kad šioje byloje aptariamu laikotarpiu Širvintų rajono savivaldybės taryboje buvo sudarytos penkios frakcijos. Todėl, atsižvelgiant į savivaldybės tarybos frakcijų skaičių bei į </w:t>
      </w:r>
      <w:r w:rsidRPr="00D3763B">
        <w:rPr>
          <w:rFonts w:asciiTheme="minorHAnsi" w:hAnsiTheme="minorHAnsi" w:cstheme="minorHAnsi"/>
          <w:sz w:val="22"/>
          <w:szCs w:val="22"/>
        </w:rPr>
        <w:t>Vietos savivaldos įstatymo 25</w:t>
      </w:r>
      <w:r w:rsidRPr="00D3763B">
        <w:rPr>
          <w:rFonts w:asciiTheme="minorHAnsi" w:hAnsiTheme="minorHAnsi" w:cstheme="minorHAnsi"/>
          <w:sz w:val="22"/>
          <w:szCs w:val="22"/>
          <w:vertAlign w:val="superscript"/>
        </w:rPr>
        <w:t>1</w:t>
      </w:r>
      <w:r w:rsidRPr="00D3763B">
        <w:rPr>
          <w:rFonts w:asciiTheme="minorHAnsi" w:hAnsiTheme="minorHAnsi" w:cstheme="minorHAnsi"/>
          <w:sz w:val="22"/>
          <w:szCs w:val="22"/>
        </w:rPr>
        <w:t xml:space="preserve"> straipsnio 6 dalyje įtvirtintą reikalavimą dėl Tyrimo komisijos narių skaičiaus, daryta išvada, kad Tyrimo komisija turėjo būti sudaryta iš ne mažiau kaip penkių narių. Nagrinė</w:t>
      </w:r>
      <w:r w:rsidR="00F33D1D" w:rsidRPr="00D3763B">
        <w:rPr>
          <w:rFonts w:asciiTheme="minorHAnsi" w:hAnsiTheme="minorHAnsi" w:cstheme="minorHAnsi"/>
          <w:sz w:val="22"/>
          <w:szCs w:val="22"/>
        </w:rPr>
        <w:t xml:space="preserve">tu atveju </w:t>
      </w:r>
      <w:r w:rsidRPr="00D3763B">
        <w:rPr>
          <w:rFonts w:asciiTheme="minorHAnsi" w:hAnsiTheme="minorHAnsi" w:cstheme="minorHAnsi"/>
          <w:sz w:val="22"/>
          <w:szCs w:val="22"/>
        </w:rPr>
        <w:t>nustatyta, kad Širvintų rajono savivaldybės taryba</w:t>
      </w:r>
      <w:r w:rsidR="00F33D1D" w:rsidRPr="00D3763B">
        <w:rPr>
          <w:rFonts w:asciiTheme="minorHAnsi" w:hAnsiTheme="minorHAnsi" w:cstheme="minorHAnsi"/>
          <w:sz w:val="22"/>
          <w:szCs w:val="22"/>
        </w:rPr>
        <w:t>,</w:t>
      </w:r>
      <w:r w:rsidRPr="00D3763B">
        <w:rPr>
          <w:rFonts w:asciiTheme="minorHAnsi" w:hAnsiTheme="minorHAnsi" w:cstheme="minorHAnsi"/>
          <w:sz w:val="22"/>
          <w:szCs w:val="22"/>
        </w:rPr>
        <w:t xml:space="preserve"> 2018 m. vasario 22 d. sprendimu Nr. 1-27 pradėdama savivaldybės tarybos nario (atsakovo) įgaliojimų netekimo procedūrą, sudarė Tyrimo komisiją iš trijų narių.</w:t>
      </w:r>
    </w:p>
    <w:p w:rsidR="00223FBB" w:rsidRPr="00D3763B" w:rsidRDefault="00223FBB" w:rsidP="00223FBB">
      <w:pPr>
        <w:ind w:firstLine="567"/>
        <w:jc w:val="both"/>
        <w:rPr>
          <w:rFonts w:asciiTheme="minorHAnsi" w:hAnsiTheme="minorHAnsi" w:cstheme="minorHAnsi"/>
          <w:sz w:val="22"/>
          <w:szCs w:val="22"/>
        </w:rPr>
      </w:pPr>
      <w:r w:rsidRPr="00D3763B">
        <w:rPr>
          <w:rFonts w:asciiTheme="minorHAnsi" w:hAnsiTheme="minorHAnsi" w:cstheme="minorHAnsi"/>
          <w:sz w:val="22"/>
          <w:szCs w:val="22"/>
        </w:rPr>
        <w:t xml:space="preserve">Šiuo aspektu pareiškėjas byloje pateikė paaiškinimus, jog sudarant Tyrimo komisiją, dvi frakcijos, t. y. Lietuvos socialdemokratų partijos ir Lietuvos laisvės sąjungos (liberalai), atsisakė deleguoti savo atstovus į </w:t>
      </w:r>
      <w:r w:rsidR="00F33D1D" w:rsidRPr="00D3763B">
        <w:rPr>
          <w:rFonts w:asciiTheme="minorHAnsi" w:hAnsiTheme="minorHAnsi" w:cstheme="minorHAnsi"/>
          <w:sz w:val="22"/>
          <w:szCs w:val="22"/>
        </w:rPr>
        <w:t>T</w:t>
      </w:r>
      <w:r w:rsidRPr="00D3763B">
        <w:rPr>
          <w:rFonts w:asciiTheme="minorHAnsi" w:hAnsiTheme="minorHAnsi" w:cstheme="minorHAnsi"/>
          <w:sz w:val="22"/>
          <w:szCs w:val="22"/>
        </w:rPr>
        <w:t>yrimo komisiją, tačiau išplėstinė teisėjų kolegija pažymėjo, jog Vietos savivaldos įstatymo 25</w:t>
      </w:r>
      <w:r w:rsidRPr="00D3763B">
        <w:rPr>
          <w:rFonts w:asciiTheme="minorHAnsi" w:hAnsiTheme="minorHAnsi" w:cstheme="minorHAnsi"/>
          <w:sz w:val="22"/>
          <w:szCs w:val="22"/>
          <w:vertAlign w:val="superscript"/>
        </w:rPr>
        <w:t>1</w:t>
      </w:r>
      <w:r w:rsidR="00914108">
        <w:rPr>
          <w:rFonts w:asciiTheme="minorHAnsi" w:hAnsiTheme="minorHAnsi" w:cstheme="minorHAnsi"/>
          <w:sz w:val="22"/>
          <w:szCs w:val="22"/>
        </w:rPr>
        <w:t xml:space="preserve"> straipsnio 6 </w:t>
      </w:r>
      <w:r w:rsidRPr="00D3763B">
        <w:rPr>
          <w:rFonts w:asciiTheme="minorHAnsi" w:hAnsiTheme="minorHAnsi" w:cstheme="minorHAnsi"/>
          <w:sz w:val="22"/>
          <w:szCs w:val="22"/>
        </w:rPr>
        <w:t xml:space="preserve">dalies nuostatos dėl Tyrimo komisijos sudėties yra imperatyvios. </w:t>
      </w:r>
      <w:r w:rsidR="00F33D1D" w:rsidRPr="00D3763B">
        <w:rPr>
          <w:rFonts w:asciiTheme="minorHAnsi" w:hAnsiTheme="minorHAnsi" w:cstheme="minorHAnsi"/>
          <w:sz w:val="22"/>
          <w:szCs w:val="22"/>
        </w:rPr>
        <w:t>Ta</w:t>
      </w:r>
      <w:r w:rsidRPr="00D3763B">
        <w:rPr>
          <w:rFonts w:asciiTheme="minorHAnsi" w:hAnsiTheme="minorHAnsi" w:cstheme="minorHAnsi"/>
          <w:sz w:val="22"/>
          <w:szCs w:val="22"/>
        </w:rPr>
        <w:t xml:space="preserve">i reiškia, kad nepaisant to, jog dvi frakcijos atsisakė deleguoti savo atstovus į šią komisiją, Tyrimo komisija vis tiek turėjo būti sudaryta ne mažiau kaip iš penkių narių, nurodant, kad komisijos sudėtyje yra skiriamos dvi vietos Lietuvos socialdemokratų partijos ir Lietuvos laisvės sąjungos (liberalai) frakcijų atstovams, neįvardinant konkrečių šių frakcijų atstovų pavardžių. Atitinkamai šios dvi frakcijos turėjo būti informuojamos apie Tyrimo komisijos posėdžio (-ų) laiką ir vietą, sudarant jiems galimybę į Tyrimo komisijos posėdį atsiųsti savo įgaliotus frakcijos atstovus. </w:t>
      </w:r>
      <w:r w:rsidRPr="00333C95">
        <w:rPr>
          <w:rFonts w:asciiTheme="minorHAnsi" w:hAnsiTheme="minorHAnsi" w:cstheme="minorHAnsi"/>
          <w:sz w:val="22"/>
          <w:szCs w:val="22"/>
        </w:rPr>
        <w:t>Pastariesiems neatvykus į Tyrimo komisijos posėdį, kiti Tyrimo komisijos nariai galėjo priimti sprendimus</w:t>
      </w:r>
      <w:r w:rsidR="00F33D1D" w:rsidRPr="00333C95">
        <w:rPr>
          <w:rFonts w:asciiTheme="minorHAnsi" w:hAnsiTheme="minorHAnsi" w:cstheme="minorHAnsi"/>
          <w:sz w:val="22"/>
          <w:szCs w:val="22"/>
        </w:rPr>
        <w:t>,</w:t>
      </w:r>
      <w:r w:rsidRPr="00333C95">
        <w:rPr>
          <w:rFonts w:asciiTheme="minorHAnsi" w:hAnsiTheme="minorHAnsi" w:cstheme="minorHAnsi"/>
          <w:sz w:val="22"/>
          <w:szCs w:val="22"/>
        </w:rPr>
        <w:t xml:space="preserve"> jeigu jų skaičius atitiko paprastos, sudarytos komisijos iš 5 narių, daugumos (50 procentų +1) reikalavimus.</w:t>
      </w:r>
    </w:p>
    <w:p w:rsidR="00223FBB" w:rsidRPr="00D3763B" w:rsidRDefault="00223FBB" w:rsidP="00223FBB">
      <w:pPr>
        <w:ind w:firstLine="567"/>
        <w:jc w:val="both"/>
        <w:rPr>
          <w:rFonts w:asciiTheme="minorHAnsi" w:hAnsiTheme="minorHAnsi" w:cstheme="minorHAnsi"/>
          <w:sz w:val="22"/>
          <w:szCs w:val="22"/>
        </w:rPr>
      </w:pPr>
      <w:r w:rsidRPr="00D3763B">
        <w:rPr>
          <w:rFonts w:asciiTheme="minorHAnsi" w:hAnsiTheme="minorHAnsi" w:cstheme="minorHAnsi"/>
          <w:sz w:val="22"/>
          <w:szCs w:val="22"/>
        </w:rPr>
        <w:t>Atsižvelgiant į tai, kas išdėstyta, byloje konstatuota, kad pareiškėjas, sudarydamas Tyrimo komisiją iš trijų narių bei neįtraukdamas į jos veiklą Lietuvos socialdemokratų partijos ir Lietuvos laisvės sąjungos (liberalai) frakcijų atstovų, pažeidė Vietos savivaldos įstatymo 25</w:t>
      </w:r>
      <w:r w:rsidRPr="00D3763B">
        <w:rPr>
          <w:rFonts w:asciiTheme="minorHAnsi" w:hAnsiTheme="minorHAnsi" w:cstheme="minorHAnsi"/>
          <w:sz w:val="22"/>
          <w:szCs w:val="22"/>
          <w:vertAlign w:val="superscript"/>
        </w:rPr>
        <w:t>1</w:t>
      </w:r>
      <w:r w:rsidRPr="00D3763B">
        <w:rPr>
          <w:rFonts w:asciiTheme="minorHAnsi" w:hAnsiTheme="minorHAnsi" w:cstheme="minorHAnsi"/>
          <w:sz w:val="22"/>
          <w:szCs w:val="22"/>
        </w:rPr>
        <w:t xml:space="preserve"> straipsnio 6 dalies reikalavimus, o tuo pačiu neužtikrino reikalavimų, susijusių su Tyrimo komisijos priimamų sprendimų (išvadų) objektyvumu ir nešališkumu, todėl byla nutraukta.</w:t>
      </w:r>
    </w:p>
    <w:p w:rsidR="00223FBB" w:rsidRPr="00D3763B" w:rsidRDefault="00223FBB" w:rsidP="00223FBB">
      <w:pPr>
        <w:ind w:firstLine="567"/>
        <w:jc w:val="both"/>
        <w:rPr>
          <w:rFonts w:asciiTheme="minorHAnsi" w:hAnsiTheme="minorHAnsi" w:cstheme="minorHAnsi"/>
          <w:sz w:val="22"/>
          <w:szCs w:val="22"/>
        </w:rPr>
      </w:pPr>
    </w:p>
    <w:p w:rsidR="00223FBB" w:rsidRPr="00D3763B" w:rsidRDefault="00223FBB" w:rsidP="00223FBB">
      <w:pPr>
        <w:tabs>
          <w:tab w:val="left" w:pos="142"/>
        </w:tabs>
        <w:ind w:right="38"/>
        <w:jc w:val="both"/>
        <w:rPr>
          <w:rFonts w:asciiTheme="minorHAnsi" w:hAnsiTheme="minorHAnsi" w:cstheme="minorHAnsi"/>
          <w:sz w:val="22"/>
          <w:szCs w:val="22"/>
        </w:rPr>
      </w:pPr>
      <w:r w:rsidRPr="00D3763B">
        <w:rPr>
          <w:rFonts w:asciiTheme="minorHAnsi" w:hAnsiTheme="minorHAnsi" w:cstheme="minorHAnsi"/>
          <w:bCs/>
          <w:sz w:val="22"/>
          <w:szCs w:val="22"/>
        </w:rPr>
        <w:t>Išplėstinės teisėjų kolegijos 2018 m. birželio 12</w:t>
      </w:r>
      <w:r w:rsidR="00AC1639" w:rsidRPr="00D3763B">
        <w:rPr>
          <w:rFonts w:asciiTheme="minorHAnsi" w:hAnsiTheme="minorHAnsi" w:cstheme="minorHAnsi"/>
          <w:bCs/>
          <w:sz w:val="22"/>
          <w:szCs w:val="22"/>
        </w:rPr>
        <w:t xml:space="preserve"> </w:t>
      </w:r>
      <w:r w:rsidRPr="00D3763B">
        <w:rPr>
          <w:rFonts w:asciiTheme="minorHAnsi" w:hAnsiTheme="minorHAnsi" w:cstheme="minorHAnsi"/>
          <w:bCs/>
          <w:sz w:val="22"/>
          <w:szCs w:val="22"/>
        </w:rPr>
        <w:t>d. nutartis administracinėje byloje Nr. eI-21-525/2018</w:t>
      </w:r>
    </w:p>
    <w:p w:rsidR="00223FBB" w:rsidRPr="00D3763B" w:rsidRDefault="00223FBB" w:rsidP="00223FBB">
      <w:pPr>
        <w:tabs>
          <w:tab w:val="left" w:pos="142"/>
        </w:tabs>
        <w:ind w:right="38"/>
        <w:jc w:val="both"/>
        <w:rPr>
          <w:rFonts w:asciiTheme="minorHAnsi" w:hAnsiTheme="minorHAnsi" w:cstheme="minorHAnsi"/>
          <w:sz w:val="22"/>
          <w:szCs w:val="22"/>
        </w:rPr>
      </w:pPr>
      <w:r w:rsidRPr="00D3763B">
        <w:rPr>
          <w:rFonts w:asciiTheme="minorHAnsi" w:hAnsiTheme="minorHAnsi" w:cstheme="minorHAnsi"/>
          <w:sz w:val="22"/>
          <w:szCs w:val="22"/>
        </w:rPr>
        <w:t>Teisminio proceso Nr. 3-66-3-00023-2018-4</w:t>
      </w:r>
    </w:p>
    <w:p w:rsidR="00223FBB" w:rsidRPr="00D3763B" w:rsidRDefault="00223FBB" w:rsidP="00223FBB">
      <w:pPr>
        <w:tabs>
          <w:tab w:val="left" w:pos="142"/>
        </w:tabs>
        <w:ind w:right="38"/>
        <w:jc w:val="both"/>
        <w:rPr>
          <w:rFonts w:asciiTheme="minorHAnsi" w:hAnsiTheme="minorHAnsi" w:cstheme="minorHAnsi"/>
          <w:bCs/>
          <w:sz w:val="22"/>
          <w:szCs w:val="22"/>
        </w:rPr>
      </w:pPr>
      <w:r w:rsidRPr="00D3763B">
        <w:rPr>
          <w:rFonts w:asciiTheme="minorHAnsi" w:hAnsiTheme="minorHAnsi" w:cstheme="minorHAnsi"/>
          <w:bCs/>
          <w:sz w:val="22"/>
          <w:szCs w:val="22"/>
        </w:rPr>
        <w:t>Procesinio sprendimo kategorija 40</w:t>
      </w:r>
    </w:p>
    <w:p w:rsidR="00223FBB" w:rsidRPr="00D3763B" w:rsidRDefault="000220C9" w:rsidP="00223FBB">
      <w:pPr>
        <w:tabs>
          <w:tab w:val="left" w:pos="142"/>
        </w:tabs>
        <w:ind w:right="38"/>
        <w:jc w:val="both"/>
        <w:rPr>
          <w:rFonts w:asciiTheme="minorHAnsi" w:hAnsiTheme="minorHAnsi" w:cstheme="minorHAnsi"/>
          <w:sz w:val="22"/>
          <w:szCs w:val="22"/>
        </w:rPr>
      </w:pPr>
      <w:hyperlink r:id="rId23" w:history="1">
        <w:r w:rsidR="00223FBB" w:rsidRPr="00D3763B">
          <w:rPr>
            <w:rStyle w:val="Hyperlink"/>
            <w:rFonts w:asciiTheme="minorHAnsi" w:hAnsiTheme="minorHAnsi" w:cstheme="minorHAnsi"/>
            <w:sz w:val="22"/>
            <w:szCs w:val="22"/>
          </w:rPr>
          <w:t>Prieiga internete</w:t>
        </w:r>
      </w:hyperlink>
    </w:p>
    <w:p w:rsidR="00223FBB" w:rsidRPr="00D3763B" w:rsidRDefault="00223FBB" w:rsidP="00223FBB">
      <w:pPr>
        <w:ind w:firstLine="567"/>
        <w:jc w:val="both"/>
        <w:rPr>
          <w:rFonts w:asciiTheme="minorHAnsi" w:hAnsiTheme="minorHAnsi" w:cstheme="minorHAnsi"/>
          <w:sz w:val="22"/>
          <w:szCs w:val="22"/>
        </w:rPr>
      </w:pPr>
    </w:p>
    <w:p w:rsidR="00223FBB" w:rsidRPr="00D3763B" w:rsidRDefault="00223FBB" w:rsidP="00D3763B">
      <w:pPr>
        <w:pStyle w:val="Heading2"/>
      </w:pPr>
      <w:bookmarkStart w:id="74" w:name="_Toc524957055"/>
      <w:r w:rsidRPr="00D3763B">
        <w:t>Dėl išvados pateikimo, ar savivaldybės tarybos nariai nesulaužė priesaikos</w:t>
      </w:r>
      <w:r w:rsidR="00F544A3">
        <w:t>,</w:t>
      </w:r>
      <w:r w:rsidRPr="00D3763B">
        <w:t xml:space="preserve"> frakcijai nedelegavus savo atstovų į Kontrolės komitetą</w:t>
      </w:r>
      <w:bookmarkEnd w:id="74"/>
      <w:r w:rsidRPr="00D3763B">
        <w:t xml:space="preserve"> </w:t>
      </w:r>
    </w:p>
    <w:p w:rsidR="00223FBB" w:rsidRPr="00D3763B" w:rsidRDefault="00223FBB" w:rsidP="00223FBB">
      <w:pPr>
        <w:pStyle w:val="NormalWeb"/>
        <w:spacing w:before="0" w:beforeAutospacing="0" w:after="0" w:afterAutospacing="0"/>
        <w:ind w:firstLine="567"/>
        <w:jc w:val="both"/>
        <w:rPr>
          <w:rFonts w:asciiTheme="minorHAnsi" w:hAnsiTheme="minorHAnsi" w:cstheme="minorHAnsi"/>
          <w:sz w:val="22"/>
          <w:szCs w:val="22"/>
          <w:lang w:val="lt-LT" w:eastAsia="lt-LT"/>
        </w:rPr>
      </w:pPr>
    </w:p>
    <w:p w:rsidR="00223FBB" w:rsidRPr="00D3763B" w:rsidRDefault="00223FBB" w:rsidP="00223FBB">
      <w:pPr>
        <w:ind w:firstLine="567"/>
        <w:jc w:val="both"/>
        <w:rPr>
          <w:rFonts w:asciiTheme="minorHAnsi" w:hAnsiTheme="minorHAnsi" w:cstheme="minorHAnsi"/>
          <w:sz w:val="22"/>
          <w:szCs w:val="22"/>
          <w:lang w:eastAsia="en-US"/>
        </w:rPr>
      </w:pPr>
      <w:r w:rsidRPr="00D3763B">
        <w:rPr>
          <w:rFonts w:asciiTheme="minorHAnsi" w:hAnsiTheme="minorHAnsi" w:cstheme="minorHAnsi"/>
          <w:sz w:val="22"/>
          <w:szCs w:val="22"/>
        </w:rPr>
        <w:t xml:space="preserve">Šioje byloje buvo išnagrinėtas prašymas pateikti išvadą, ar nariai Karolis </w:t>
      </w:r>
      <w:proofErr w:type="spellStart"/>
      <w:r w:rsidRPr="00D3763B">
        <w:rPr>
          <w:rFonts w:asciiTheme="minorHAnsi" w:hAnsiTheme="minorHAnsi" w:cstheme="minorHAnsi"/>
          <w:sz w:val="22"/>
          <w:szCs w:val="22"/>
        </w:rPr>
        <w:t>Kaklys</w:t>
      </w:r>
      <w:proofErr w:type="spellEnd"/>
      <w:r w:rsidRPr="00D3763B">
        <w:rPr>
          <w:rFonts w:asciiTheme="minorHAnsi" w:hAnsiTheme="minorHAnsi" w:cstheme="minorHAnsi"/>
          <w:sz w:val="22"/>
          <w:szCs w:val="22"/>
        </w:rPr>
        <w:t xml:space="preserve">, Juozas Šarkus, Romualdas Domarkas, Vilius </w:t>
      </w:r>
      <w:proofErr w:type="spellStart"/>
      <w:r w:rsidRPr="00D3763B">
        <w:rPr>
          <w:rFonts w:asciiTheme="minorHAnsi" w:hAnsiTheme="minorHAnsi" w:cstheme="minorHAnsi"/>
          <w:sz w:val="22"/>
          <w:szCs w:val="22"/>
        </w:rPr>
        <w:t>Semeška</w:t>
      </w:r>
      <w:proofErr w:type="spellEnd"/>
      <w:r w:rsidRPr="00D3763B">
        <w:rPr>
          <w:rFonts w:asciiTheme="minorHAnsi" w:hAnsiTheme="minorHAnsi" w:cstheme="minorHAnsi"/>
          <w:sz w:val="22"/>
          <w:szCs w:val="22"/>
        </w:rPr>
        <w:t xml:space="preserve"> ir Antanas </w:t>
      </w:r>
      <w:proofErr w:type="spellStart"/>
      <w:r w:rsidRPr="00D3763B">
        <w:rPr>
          <w:rFonts w:asciiTheme="minorHAnsi" w:hAnsiTheme="minorHAnsi" w:cstheme="minorHAnsi"/>
          <w:sz w:val="22"/>
          <w:szCs w:val="22"/>
        </w:rPr>
        <w:t>Balkė</w:t>
      </w:r>
      <w:proofErr w:type="spellEnd"/>
      <w:r w:rsidRPr="00D3763B">
        <w:rPr>
          <w:rFonts w:asciiTheme="minorHAnsi" w:hAnsiTheme="minorHAnsi" w:cstheme="minorHAnsi"/>
          <w:sz w:val="22"/>
          <w:szCs w:val="22"/>
        </w:rPr>
        <w:t xml:space="preserve"> sulaužė priesaiką ir nevykdė jiems Lietuvos Respublikos vietos savivaldos įstatyme (toliau – Vietos savivaldos įstatymas) ir kituose įstatymuose nustatytų įgaliojimų.</w:t>
      </w:r>
    </w:p>
    <w:p w:rsidR="00223FBB" w:rsidRPr="00D3763B" w:rsidRDefault="00223FBB" w:rsidP="00223FBB">
      <w:pPr>
        <w:ind w:firstLine="567"/>
        <w:jc w:val="both"/>
        <w:rPr>
          <w:rFonts w:asciiTheme="minorHAnsi" w:hAnsiTheme="minorHAnsi" w:cstheme="minorHAnsi"/>
          <w:sz w:val="22"/>
          <w:szCs w:val="22"/>
        </w:rPr>
      </w:pPr>
      <w:r w:rsidRPr="00D3763B">
        <w:rPr>
          <w:rFonts w:asciiTheme="minorHAnsi" w:hAnsiTheme="minorHAnsi" w:cstheme="minorHAnsi"/>
          <w:sz w:val="22"/>
          <w:szCs w:val="22"/>
        </w:rPr>
        <w:t>Prašymas buvo grindžiamas aplinkybėmis, kad kaltinami Tarybos nariai (1) nedelegavo atstovų į Tarybos Kontrolės komitetą bei (2) kreipėsi į Lietuvos Respublikos Vyriausybę (toliau – Vyriausybė) su prašymu dėl laikino tiesioginio valdymo įvedimo Druskininkų savivaldybės teritorijoje.</w:t>
      </w:r>
    </w:p>
    <w:p w:rsidR="00223FBB" w:rsidRPr="00D3763B" w:rsidRDefault="00223FBB" w:rsidP="00223FBB">
      <w:pPr>
        <w:ind w:firstLine="567"/>
        <w:jc w:val="both"/>
        <w:rPr>
          <w:rFonts w:asciiTheme="minorHAnsi" w:hAnsiTheme="minorHAnsi" w:cstheme="minorHAnsi"/>
          <w:sz w:val="22"/>
          <w:szCs w:val="22"/>
        </w:rPr>
      </w:pPr>
      <w:r w:rsidRPr="00D3763B">
        <w:rPr>
          <w:rFonts w:asciiTheme="minorHAnsi" w:hAnsiTheme="minorHAnsi" w:cstheme="minorHAnsi"/>
          <w:sz w:val="22"/>
          <w:szCs w:val="22"/>
        </w:rPr>
        <w:t>L</w:t>
      </w:r>
      <w:r w:rsidR="00AC1639" w:rsidRPr="00D3763B">
        <w:rPr>
          <w:rFonts w:asciiTheme="minorHAnsi" w:hAnsiTheme="minorHAnsi" w:cstheme="minorHAnsi"/>
          <w:sz w:val="22"/>
          <w:szCs w:val="22"/>
        </w:rPr>
        <w:t xml:space="preserve">VAT </w:t>
      </w:r>
      <w:r w:rsidRPr="00D3763B">
        <w:rPr>
          <w:rFonts w:asciiTheme="minorHAnsi" w:hAnsiTheme="minorHAnsi" w:cstheme="minorHAnsi"/>
          <w:sz w:val="22"/>
          <w:szCs w:val="22"/>
        </w:rPr>
        <w:t>išvadoje pažymėta, kad pareiga deleguoti atstovus į Kontrolės komitetą yra numatyta frakcijoms, bet ne atskiriems savivaldybės tarybos nariams. Kaip jau buvo konstatuota L</w:t>
      </w:r>
      <w:r w:rsidR="00AC1639" w:rsidRPr="00D3763B">
        <w:rPr>
          <w:rFonts w:asciiTheme="minorHAnsi" w:hAnsiTheme="minorHAnsi" w:cstheme="minorHAnsi"/>
          <w:sz w:val="22"/>
          <w:szCs w:val="22"/>
        </w:rPr>
        <w:t xml:space="preserve">VAT </w:t>
      </w:r>
      <w:r w:rsidRPr="00D3763B">
        <w:rPr>
          <w:rFonts w:asciiTheme="minorHAnsi" w:hAnsiTheme="minorHAnsi" w:cstheme="minorHAnsi"/>
          <w:sz w:val="22"/>
          <w:szCs w:val="22"/>
        </w:rPr>
        <w:t xml:space="preserve">praktikoje, iš Vietos savivaldos įstatymo 14 straipsnio 2 dalies išplaukiančius veiksmus – atstovų delegavimą į Kontrolės komitetą – gali atlikti tik visa opozicinė frakcija </w:t>
      </w:r>
      <w:r w:rsidRPr="00D3763B">
        <w:rPr>
          <w:rFonts w:asciiTheme="minorHAnsi" w:hAnsiTheme="minorHAnsi" w:cstheme="minorHAnsi"/>
          <w:i/>
          <w:sz w:val="22"/>
          <w:szCs w:val="22"/>
        </w:rPr>
        <w:t>in</w:t>
      </w:r>
      <w:r w:rsidR="00363DFB" w:rsidRPr="00D3763B">
        <w:rPr>
          <w:rFonts w:asciiTheme="minorHAnsi" w:hAnsiTheme="minorHAnsi" w:cstheme="minorHAnsi"/>
          <w:i/>
          <w:sz w:val="22"/>
          <w:szCs w:val="22"/>
        </w:rPr>
        <w:t xml:space="preserve"> </w:t>
      </w:r>
      <w:proofErr w:type="spellStart"/>
      <w:r w:rsidRPr="00D3763B">
        <w:rPr>
          <w:rFonts w:asciiTheme="minorHAnsi" w:hAnsiTheme="minorHAnsi" w:cstheme="minorHAnsi"/>
          <w:i/>
          <w:sz w:val="22"/>
          <w:szCs w:val="22"/>
        </w:rPr>
        <w:t>corpore</w:t>
      </w:r>
      <w:proofErr w:type="spellEnd"/>
      <w:r w:rsidRPr="00D3763B">
        <w:rPr>
          <w:rFonts w:asciiTheme="minorHAnsi" w:hAnsiTheme="minorHAnsi" w:cstheme="minorHAnsi"/>
          <w:sz w:val="22"/>
          <w:szCs w:val="22"/>
        </w:rPr>
        <w:t xml:space="preserve"> (visi, </w:t>
      </w:r>
      <w:proofErr w:type="spellStart"/>
      <w:r w:rsidRPr="00D3763B">
        <w:rPr>
          <w:rFonts w:asciiTheme="minorHAnsi" w:hAnsiTheme="minorHAnsi" w:cstheme="minorHAnsi"/>
          <w:sz w:val="22"/>
          <w:szCs w:val="22"/>
        </w:rPr>
        <w:t>visi</w:t>
      </w:r>
      <w:proofErr w:type="spellEnd"/>
      <w:r w:rsidRPr="00D3763B">
        <w:rPr>
          <w:rFonts w:asciiTheme="minorHAnsi" w:hAnsiTheme="minorHAnsi" w:cstheme="minorHAnsi"/>
          <w:sz w:val="22"/>
          <w:szCs w:val="22"/>
        </w:rPr>
        <w:t xml:space="preserve"> drauge), o ne kiekvienas opozicijos narys atskirai (L</w:t>
      </w:r>
      <w:r w:rsidR="00AC1639" w:rsidRPr="00D3763B">
        <w:rPr>
          <w:rFonts w:asciiTheme="minorHAnsi" w:hAnsiTheme="minorHAnsi" w:cstheme="minorHAnsi"/>
          <w:sz w:val="22"/>
          <w:szCs w:val="22"/>
        </w:rPr>
        <w:t xml:space="preserve">VAT </w:t>
      </w:r>
      <w:r w:rsidRPr="00D3763B">
        <w:rPr>
          <w:rFonts w:asciiTheme="minorHAnsi" w:hAnsiTheme="minorHAnsi" w:cstheme="minorHAnsi"/>
          <w:sz w:val="22"/>
          <w:szCs w:val="22"/>
        </w:rPr>
        <w:t>2018</w:t>
      </w:r>
      <w:r w:rsidR="00AC1639" w:rsidRPr="00D3763B">
        <w:rPr>
          <w:rFonts w:asciiTheme="minorHAnsi" w:hAnsiTheme="minorHAnsi" w:cstheme="minorHAnsi"/>
          <w:sz w:val="22"/>
          <w:szCs w:val="22"/>
        </w:rPr>
        <w:t> </w:t>
      </w:r>
      <w:r w:rsidRPr="00D3763B">
        <w:rPr>
          <w:rFonts w:asciiTheme="minorHAnsi" w:hAnsiTheme="minorHAnsi" w:cstheme="minorHAnsi"/>
          <w:sz w:val="22"/>
          <w:szCs w:val="22"/>
        </w:rPr>
        <w:t>m.</w:t>
      </w:r>
      <w:r w:rsidR="00AC1639" w:rsidRPr="00D3763B">
        <w:rPr>
          <w:rFonts w:asciiTheme="minorHAnsi" w:hAnsiTheme="minorHAnsi" w:cstheme="minorHAnsi"/>
          <w:sz w:val="22"/>
          <w:szCs w:val="22"/>
        </w:rPr>
        <w:t> </w:t>
      </w:r>
      <w:r w:rsidRPr="00D3763B">
        <w:rPr>
          <w:rFonts w:asciiTheme="minorHAnsi" w:hAnsiTheme="minorHAnsi" w:cstheme="minorHAnsi"/>
          <w:sz w:val="22"/>
          <w:szCs w:val="22"/>
        </w:rPr>
        <w:t>gegužės</w:t>
      </w:r>
      <w:r w:rsidR="00AC1639" w:rsidRPr="00D3763B">
        <w:rPr>
          <w:rFonts w:asciiTheme="minorHAnsi" w:hAnsiTheme="minorHAnsi" w:cstheme="minorHAnsi"/>
          <w:sz w:val="22"/>
          <w:szCs w:val="22"/>
        </w:rPr>
        <w:t> </w:t>
      </w:r>
      <w:r w:rsidRPr="00D3763B">
        <w:rPr>
          <w:rFonts w:asciiTheme="minorHAnsi" w:hAnsiTheme="minorHAnsi" w:cstheme="minorHAnsi"/>
          <w:sz w:val="22"/>
          <w:szCs w:val="22"/>
        </w:rPr>
        <w:t>30</w:t>
      </w:r>
      <w:r w:rsidR="00AC1639" w:rsidRPr="00D3763B">
        <w:rPr>
          <w:rFonts w:asciiTheme="minorHAnsi" w:hAnsiTheme="minorHAnsi" w:cstheme="minorHAnsi"/>
          <w:sz w:val="22"/>
          <w:szCs w:val="22"/>
        </w:rPr>
        <w:t> </w:t>
      </w:r>
      <w:r w:rsidRPr="00D3763B">
        <w:rPr>
          <w:rFonts w:asciiTheme="minorHAnsi" w:hAnsiTheme="minorHAnsi" w:cstheme="minorHAnsi"/>
          <w:sz w:val="22"/>
          <w:szCs w:val="22"/>
        </w:rPr>
        <w:t>d. išvada administracinėje byloje Nr. eI-15-556/2018). Dėl to nagrinė</w:t>
      </w:r>
      <w:r w:rsidR="00AC1639" w:rsidRPr="00D3763B">
        <w:rPr>
          <w:rFonts w:asciiTheme="minorHAnsi" w:hAnsiTheme="minorHAnsi" w:cstheme="minorHAnsi"/>
          <w:sz w:val="22"/>
          <w:szCs w:val="22"/>
        </w:rPr>
        <w:t xml:space="preserve">toje </w:t>
      </w:r>
      <w:r w:rsidRPr="00D3763B">
        <w:rPr>
          <w:rFonts w:asciiTheme="minorHAnsi" w:hAnsiTheme="minorHAnsi" w:cstheme="minorHAnsi"/>
          <w:sz w:val="22"/>
          <w:szCs w:val="22"/>
        </w:rPr>
        <w:t>byloje negal</w:t>
      </w:r>
      <w:r w:rsidR="00AC1639" w:rsidRPr="00D3763B">
        <w:rPr>
          <w:rFonts w:asciiTheme="minorHAnsi" w:hAnsiTheme="minorHAnsi" w:cstheme="minorHAnsi"/>
          <w:sz w:val="22"/>
          <w:szCs w:val="22"/>
        </w:rPr>
        <w:t>ėjo</w:t>
      </w:r>
      <w:r w:rsidRPr="00D3763B">
        <w:rPr>
          <w:rFonts w:asciiTheme="minorHAnsi" w:hAnsiTheme="minorHAnsi" w:cstheme="minorHAnsi"/>
          <w:sz w:val="22"/>
          <w:szCs w:val="22"/>
        </w:rPr>
        <w:t xml:space="preserve"> būti pripažįstama, kad savivaldybės tarybos narys nevykdė aptariamos pareigos deleguoti kandidatus į Kontrolės komitetą – </w:t>
      </w:r>
      <w:r w:rsidRPr="00D3763B">
        <w:rPr>
          <w:rFonts w:asciiTheme="minorHAnsi" w:hAnsiTheme="minorHAnsi" w:cstheme="minorHAnsi"/>
          <w:sz w:val="22"/>
          <w:szCs w:val="22"/>
          <w:u w:val="single"/>
        </w:rPr>
        <w:t xml:space="preserve">tokia pareiga jam nenumatyta, tai yra frakcijos pareiga. Tačiau iš savivaldybės tarybos nario priesaikos tarybos nariams, be kita ko, kyla elgesio standarto reikalavimai kaip kolegialių organų nariams. Jeigu savivaldybės tarybos narys jų nesilaiko ir dėl to yra sutrikdoma vietos savivaldos organo veikla (be kita ko, frakcija neįvykdo pareigos pateikti kandidatus į Kontrolės komitetą), gali </w:t>
      </w:r>
      <w:r w:rsidRPr="00D3763B">
        <w:rPr>
          <w:rFonts w:asciiTheme="minorHAnsi" w:hAnsiTheme="minorHAnsi" w:cstheme="minorHAnsi"/>
          <w:sz w:val="22"/>
          <w:szCs w:val="22"/>
          <w:u w:val="single"/>
        </w:rPr>
        <w:lastRenderedPageBreak/>
        <w:t>būti pripažįstama, kad savivaldybės tarybos narys sulaužė priesaiką. Tiriant šį klausimą</w:t>
      </w:r>
      <w:r w:rsidR="00AC1639" w:rsidRPr="00D3763B">
        <w:rPr>
          <w:rFonts w:asciiTheme="minorHAnsi" w:hAnsiTheme="minorHAnsi" w:cstheme="minorHAnsi"/>
          <w:sz w:val="22"/>
          <w:szCs w:val="22"/>
          <w:u w:val="single"/>
        </w:rPr>
        <w:t xml:space="preserve">, </w:t>
      </w:r>
      <w:r w:rsidRPr="00D3763B">
        <w:rPr>
          <w:rFonts w:asciiTheme="minorHAnsi" w:hAnsiTheme="minorHAnsi" w:cstheme="minorHAnsi"/>
          <w:sz w:val="22"/>
          <w:szCs w:val="22"/>
          <w:u w:val="single"/>
        </w:rPr>
        <w:t>turi būti atsižvelgiama į konkrečius veiksmus ar neveikimą</w:t>
      </w:r>
      <w:r w:rsidRPr="00D3763B">
        <w:rPr>
          <w:rFonts w:asciiTheme="minorHAnsi" w:hAnsiTheme="minorHAnsi" w:cstheme="minorHAnsi"/>
          <w:sz w:val="22"/>
          <w:szCs w:val="22"/>
        </w:rPr>
        <w:t>.</w:t>
      </w:r>
    </w:p>
    <w:p w:rsidR="00223FBB" w:rsidRPr="00D3763B" w:rsidRDefault="00223FBB" w:rsidP="00223FBB">
      <w:pPr>
        <w:ind w:firstLine="567"/>
        <w:jc w:val="both"/>
        <w:rPr>
          <w:rFonts w:asciiTheme="minorHAnsi" w:hAnsiTheme="minorHAnsi" w:cstheme="minorHAnsi"/>
          <w:sz w:val="22"/>
          <w:szCs w:val="22"/>
        </w:rPr>
      </w:pPr>
      <w:r w:rsidRPr="00D3763B">
        <w:rPr>
          <w:rFonts w:asciiTheme="minorHAnsi" w:hAnsiTheme="minorHAnsi" w:cstheme="minorHAnsi"/>
          <w:sz w:val="22"/>
          <w:szCs w:val="22"/>
        </w:rPr>
        <w:t>Įvertinus bylos aplinkybes</w:t>
      </w:r>
      <w:r w:rsidR="00AC1639" w:rsidRPr="00D3763B">
        <w:rPr>
          <w:rFonts w:asciiTheme="minorHAnsi" w:hAnsiTheme="minorHAnsi" w:cstheme="minorHAnsi"/>
          <w:sz w:val="22"/>
          <w:szCs w:val="22"/>
        </w:rPr>
        <w:t>,</w:t>
      </w:r>
      <w:r w:rsidRPr="00D3763B">
        <w:rPr>
          <w:rFonts w:asciiTheme="minorHAnsi" w:hAnsiTheme="minorHAnsi" w:cstheme="minorHAnsi"/>
          <w:sz w:val="22"/>
          <w:szCs w:val="22"/>
        </w:rPr>
        <w:t xml:space="preserve"> konstatuota, kad kaltin</w:t>
      </w:r>
      <w:r w:rsidR="00AC1639" w:rsidRPr="00D3763B">
        <w:rPr>
          <w:rFonts w:asciiTheme="minorHAnsi" w:hAnsiTheme="minorHAnsi" w:cstheme="minorHAnsi"/>
          <w:sz w:val="22"/>
          <w:szCs w:val="22"/>
        </w:rPr>
        <w:t>t</w:t>
      </w:r>
      <w:r w:rsidRPr="00D3763B">
        <w:rPr>
          <w:rFonts w:asciiTheme="minorHAnsi" w:hAnsiTheme="minorHAnsi" w:cstheme="minorHAnsi"/>
          <w:sz w:val="22"/>
          <w:szCs w:val="22"/>
        </w:rPr>
        <w:t>ų Tarybos narių frakcijos buvo pateikusios savo atstovų kandidatūras į Kontrolės komitetą, tarp jų buvo ir kaltin</w:t>
      </w:r>
      <w:r w:rsidR="00AC1639" w:rsidRPr="00D3763B">
        <w:rPr>
          <w:rFonts w:asciiTheme="minorHAnsi" w:hAnsiTheme="minorHAnsi" w:cstheme="minorHAnsi"/>
          <w:sz w:val="22"/>
          <w:szCs w:val="22"/>
        </w:rPr>
        <w:t>t</w:t>
      </w:r>
      <w:r w:rsidRPr="00D3763B">
        <w:rPr>
          <w:rFonts w:asciiTheme="minorHAnsi" w:hAnsiTheme="minorHAnsi" w:cstheme="minorHAnsi"/>
          <w:sz w:val="22"/>
          <w:szCs w:val="22"/>
        </w:rPr>
        <w:t>i Tarybos nariai, tačiau pateiktų kandidatų nepatvirtino Taryba arba jų nesvarstė motyvuojant tuo, kad yra pakartotinai teikiami tie patys kandidatai. Tai, kad šios frakcijos nepateikė kandidatų 2018 m. kovo 29 d. Tarybos posėdyje, po to, kai anksčiau jie nebuvo patvirtinti Taryboje</w:t>
      </w:r>
      <w:r w:rsidR="00AC1639" w:rsidRPr="00D3763B">
        <w:rPr>
          <w:rFonts w:asciiTheme="minorHAnsi" w:hAnsiTheme="minorHAnsi" w:cstheme="minorHAnsi"/>
          <w:sz w:val="22"/>
          <w:szCs w:val="22"/>
        </w:rPr>
        <w:t>,</w:t>
      </w:r>
      <w:r w:rsidRPr="00D3763B">
        <w:rPr>
          <w:rFonts w:asciiTheme="minorHAnsi" w:hAnsiTheme="minorHAnsi" w:cstheme="minorHAnsi"/>
          <w:sz w:val="22"/>
          <w:szCs w:val="22"/>
        </w:rPr>
        <w:t xml:space="preserve"> savaime paneigia prašyme nurodomą aplinkybę, jog frakcijos, kurių nariai kaltin</w:t>
      </w:r>
      <w:r w:rsidR="00AC1639" w:rsidRPr="00D3763B">
        <w:rPr>
          <w:rFonts w:asciiTheme="minorHAnsi" w:hAnsiTheme="minorHAnsi" w:cstheme="minorHAnsi"/>
          <w:sz w:val="22"/>
          <w:szCs w:val="22"/>
        </w:rPr>
        <w:t>t</w:t>
      </w:r>
      <w:r w:rsidRPr="00D3763B">
        <w:rPr>
          <w:rFonts w:asciiTheme="minorHAnsi" w:hAnsiTheme="minorHAnsi" w:cstheme="minorHAnsi"/>
          <w:sz w:val="22"/>
          <w:szCs w:val="22"/>
        </w:rPr>
        <w:t>i Tarybos nariai, nevykdo pareigos deleguoti savo atstovus į Kontrolės komitetą. Kaltin</w:t>
      </w:r>
      <w:r w:rsidR="00AC1639" w:rsidRPr="00D3763B">
        <w:rPr>
          <w:rFonts w:asciiTheme="minorHAnsi" w:hAnsiTheme="minorHAnsi" w:cstheme="minorHAnsi"/>
          <w:sz w:val="22"/>
          <w:szCs w:val="22"/>
        </w:rPr>
        <w:t>t</w:t>
      </w:r>
      <w:r w:rsidRPr="00D3763B">
        <w:rPr>
          <w:rFonts w:asciiTheme="minorHAnsi" w:hAnsiTheme="minorHAnsi" w:cstheme="minorHAnsi"/>
          <w:sz w:val="22"/>
          <w:szCs w:val="22"/>
        </w:rPr>
        <w:t>ų Tarybos narių atsisakymas 2018</w:t>
      </w:r>
      <w:r w:rsidR="00AC1639" w:rsidRPr="00D3763B">
        <w:rPr>
          <w:rFonts w:asciiTheme="minorHAnsi" w:hAnsiTheme="minorHAnsi" w:cstheme="minorHAnsi"/>
          <w:sz w:val="22"/>
          <w:szCs w:val="22"/>
        </w:rPr>
        <w:t> </w:t>
      </w:r>
      <w:r w:rsidRPr="00D3763B">
        <w:rPr>
          <w:rFonts w:asciiTheme="minorHAnsi" w:hAnsiTheme="minorHAnsi" w:cstheme="minorHAnsi"/>
          <w:sz w:val="22"/>
          <w:szCs w:val="22"/>
        </w:rPr>
        <w:t>m.</w:t>
      </w:r>
      <w:r w:rsidR="00AC1639" w:rsidRPr="00D3763B">
        <w:rPr>
          <w:rFonts w:asciiTheme="minorHAnsi" w:hAnsiTheme="minorHAnsi" w:cstheme="minorHAnsi"/>
          <w:sz w:val="22"/>
          <w:szCs w:val="22"/>
        </w:rPr>
        <w:t> </w:t>
      </w:r>
      <w:r w:rsidRPr="00D3763B">
        <w:rPr>
          <w:rFonts w:asciiTheme="minorHAnsi" w:hAnsiTheme="minorHAnsi" w:cstheme="minorHAnsi"/>
          <w:sz w:val="22"/>
          <w:szCs w:val="22"/>
        </w:rPr>
        <w:t>kovo</w:t>
      </w:r>
      <w:r w:rsidR="00AC1639" w:rsidRPr="00D3763B">
        <w:rPr>
          <w:rFonts w:asciiTheme="minorHAnsi" w:hAnsiTheme="minorHAnsi" w:cstheme="minorHAnsi"/>
          <w:sz w:val="22"/>
          <w:szCs w:val="22"/>
        </w:rPr>
        <w:t> </w:t>
      </w:r>
      <w:r w:rsidRPr="00D3763B">
        <w:rPr>
          <w:rFonts w:asciiTheme="minorHAnsi" w:hAnsiTheme="minorHAnsi" w:cstheme="minorHAnsi"/>
          <w:sz w:val="22"/>
          <w:szCs w:val="22"/>
        </w:rPr>
        <w:t>29</w:t>
      </w:r>
      <w:r w:rsidR="00AC1639" w:rsidRPr="00D3763B">
        <w:rPr>
          <w:rFonts w:asciiTheme="minorHAnsi" w:hAnsiTheme="minorHAnsi" w:cstheme="minorHAnsi"/>
          <w:sz w:val="22"/>
          <w:szCs w:val="22"/>
        </w:rPr>
        <w:t> </w:t>
      </w:r>
      <w:r w:rsidRPr="00D3763B">
        <w:rPr>
          <w:rFonts w:asciiTheme="minorHAnsi" w:hAnsiTheme="minorHAnsi" w:cstheme="minorHAnsi"/>
          <w:sz w:val="22"/>
          <w:szCs w:val="22"/>
        </w:rPr>
        <w:t>d. Tarybos posėdyje pasiūlyti savo frakcijų atstovus į Kontrolės komitetą nepasižym</w:t>
      </w:r>
      <w:r w:rsidR="00AC1639" w:rsidRPr="00D3763B">
        <w:rPr>
          <w:rFonts w:asciiTheme="minorHAnsi" w:hAnsiTheme="minorHAnsi" w:cstheme="minorHAnsi"/>
          <w:sz w:val="22"/>
          <w:szCs w:val="22"/>
        </w:rPr>
        <w:t>ėjo</w:t>
      </w:r>
      <w:r w:rsidRPr="00D3763B">
        <w:rPr>
          <w:rFonts w:asciiTheme="minorHAnsi" w:hAnsiTheme="minorHAnsi" w:cstheme="minorHAnsi"/>
          <w:sz w:val="22"/>
          <w:szCs w:val="22"/>
        </w:rPr>
        <w:t xml:space="preserve"> sistemiškumu ir pakartotinumu. Kaltin</w:t>
      </w:r>
      <w:r w:rsidR="00AC1639" w:rsidRPr="00D3763B">
        <w:rPr>
          <w:rFonts w:asciiTheme="minorHAnsi" w:hAnsiTheme="minorHAnsi" w:cstheme="minorHAnsi"/>
          <w:sz w:val="22"/>
          <w:szCs w:val="22"/>
        </w:rPr>
        <w:t xml:space="preserve">ti </w:t>
      </w:r>
      <w:r w:rsidRPr="00D3763B">
        <w:rPr>
          <w:rFonts w:asciiTheme="minorHAnsi" w:hAnsiTheme="minorHAnsi" w:cstheme="minorHAnsi"/>
          <w:sz w:val="22"/>
          <w:szCs w:val="22"/>
        </w:rPr>
        <w:t>Tarybos nariai nurodė, kad jų veiksmai buvo politinio protesto išraiška obstrukcijos forma prieš Tarybos daugumos veiksmus – atsisakymą tvirtinti jų frakcijų pateiktus kandidatus į Kontrolės komitetą. Tai yra tarybos narių politinės veiklos dalis, kuriai būdinga plati diskrecija – teisės aktai imperatyviai tarybos narių neįpareigoja kiekviename savivaldybės tarybos posėdyje siūlyti kandidatus į Kontrolės komitetą, todėl nagrinė</w:t>
      </w:r>
      <w:r w:rsidR="00AC1639" w:rsidRPr="00D3763B">
        <w:rPr>
          <w:rFonts w:asciiTheme="minorHAnsi" w:hAnsiTheme="minorHAnsi" w:cstheme="minorHAnsi"/>
          <w:sz w:val="22"/>
          <w:szCs w:val="22"/>
        </w:rPr>
        <w:t>t</w:t>
      </w:r>
      <w:r w:rsidRPr="00D3763B">
        <w:rPr>
          <w:rFonts w:asciiTheme="minorHAnsi" w:hAnsiTheme="minorHAnsi" w:cstheme="minorHAnsi"/>
          <w:sz w:val="22"/>
          <w:szCs w:val="22"/>
        </w:rPr>
        <w:t>os bylos aplinkybėmis kaltin</w:t>
      </w:r>
      <w:r w:rsidR="00AC1639" w:rsidRPr="00D3763B">
        <w:rPr>
          <w:rFonts w:asciiTheme="minorHAnsi" w:hAnsiTheme="minorHAnsi" w:cstheme="minorHAnsi"/>
          <w:sz w:val="22"/>
          <w:szCs w:val="22"/>
        </w:rPr>
        <w:t xml:space="preserve">tiems </w:t>
      </w:r>
      <w:r w:rsidRPr="00D3763B">
        <w:rPr>
          <w:rFonts w:asciiTheme="minorHAnsi" w:hAnsiTheme="minorHAnsi" w:cstheme="minorHAnsi"/>
          <w:sz w:val="22"/>
          <w:szCs w:val="22"/>
        </w:rPr>
        <w:t>Tarybos nariams anksčiau ne kartą teikus savo atstovaujamų frakcijų kandidatus į Kontrolės komitetą, bet jų nepasiūlius vėliau, po to, kai Taryba kandidatūrų nepatvirtino, n</w:t>
      </w:r>
      <w:r w:rsidR="00AC1639" w:rsidRPr="00D3763B">
        <w:rPr>
          <w:rFonts w:asciiTheme="minorHAnsi" w:hAnsiTheme="minorHAnsi" w:cstheme="minorHAnsi"/>
          <w:sz w:val="22"/>
          <w:szCs w:val="22"/>
        </w:rPr>
        <w:t>ep</w:t>
      </w:r>
      <w:r w:rsidRPr="00D3763B">
        <w:rPr>
          <w:rFonts w:asciiTheme="minorHAnsi" w:hAnsiTheme="minorHAnsi" w:cstheme="minorHAnsi"/>
          <w:sz w:val="22"/>
          <w:szCs w:val="22"/>
        </w:rPr>
        <w:t>ažeidžiama iš Vietos savivaldos įstatymo kylanti frakcijos pareiga deleguoti savo atstovus.</w:t>
      </w:r>
    </w:p>
    <w:p w:rsidR="00223FBB" w:rsidRPr="00D3763B" w:rsidRDefault="00223FBB" w:rsidP="00223FBB">
      <w:pPr>
        <w:ind w:firstLine="567"/>
        <w:jc w:val="both"/>
        <w:rPr>
          <w:rFonts w:asciiTheme="minorHAnsi" w:hAnsiTheme="minorHAnsi" w:cstheme="minorHAnsi"/>
          <w:sz w:val="22"/>
          <w:szCs w:val="22"/>
        </w:rPr>
      </w:pPr>
      <w:r w:rsidRPr="00D3763B">
        <w:rPr>
          <w:rFonts w:asciiTheme="minorHAnsi" w:hAnsiTheme="minorHAnsi" w:cstheme="minorHAnsi"/>
          <w:sz w:val="22"/>
          <w:szCs w:val="22"/>
        </w:rPr>
        <w:t xml:space="preserve">Dėl kreipimosi į Vyriausybę dėl laikino tiesioginio valdymo įvedimo išaiškinta, kad savivaldybės tarybos nario priesaika, įpareigojanti gerbti ir vykdyti Konstituciją ir įstatymus bei sąžiningai atlikti visas savivaldybės tarybos nario pareigas ir susilaikyti nuo veiksmų, pažeidžiančių gyventojų teises ir viešuosius interesus, reiškia visų įstatymų vykdymą, kurie išleisti balansuojant tiek savivaldybės, tiek viešuosius interesus apskritai, t. y. ne tik konkrečios savivaldybės, bet ir nacionalinius. Laikino tiesioginio valdymo savivaldybės teritorijoje institutas yra viena iš šio derinimo apraiškų, skirta kraštutiniams atvejams, kada jį įvedus yra apsaugomi tiek konkrečios savivaldybės, tiek viešieji interesai apskritai. Susiklosčius aplinkybėms, kuriose laikinas tiesioginis valdymas yra būtinas, tinkamas savivaldybės tarybos nario priesaikos vykdymas reiškia tokio prašymo pateikimą, informuojant Vyriausybę apie susiklosčiusią padėtį, o vengimas kreiptis dėl tiesioginio valdymo įvedimo, kada jis yra neatidėliotinai reikalingas, gali būti su savivaldybės tarybos nario priesaika nesuderinamas. Kartu reikšminga, kad iš savivaldybės tarybos nario nebūtų protinga reikalauti, jog kiekvienas jo teikimas dėl laikino tiesioginio valdymo įvedimo būtų besąlygiškai pagrįstas, t. y. toks, kada vengimas jį pateikti būtų nesuderinamas su tinkamu savivaldybės tarybos nario priesaikos vykdymu, nepaisant to, ar išnagrinėjusi teikimą Vyriausybė tiesioginį valdymą įvedė, ar ne. Savivaldybės tarybos narys turi teisę pateikti kreipimąsi į Vyriausybę dėl laikino tiesioginio valdymo įvedimo ir naudojimasis ja gali būti laikomas nesuderinamu su priesaikos laikymusi tik išimtiniais atvejais, stipriai piktnaudžiaujant šią teisę įtvirtinančiomis teisės normomis. </w:t>
      </w:r>
    </w:p>
    <w:p w:rsidR="00223FBB" w:rsidRPr="00D3763B" w:rsidRDefault="00223FBB" w:rsidP="00223FBB">
      <w:pPr>
        <w:ind w:firstLine="567"/>
        <w:jc w:val="both"/>
        <w:rPr>
          <w:rFonts w:asciiTheme="minorHAnsi" w:hAnsiTheme="minorHAnsi" w:cstheme="minorHAnsi"/>
          <w:sz w:val="22"/>
          <w:szCs w:val="22"/>
        </w:rPr>
      </w:pPr>
      <w:r w:rsidRPr="00D3763B">
        <w:rPr>
          <w:rFonts w:asciiTheme="minorHAnsi" w:hAnsiTheme="minorHAnsi" w:cstheme="minorHAnsi"/>
          <w:sz w:val="22"/>
          <w:szCs w:val="22"/>
        </w:rPr>
        <w:t>Nagrinėtu atveju kaltin</w:t>
      </w:r>
      <w:r w:rsidR="00AC1639" w:rsidRPr="00D3763B">
        <w:rPr>
          <w:rFonts w:asciiTheme="minorHAnsi" w:hAnsiTheme="minorHAnsi" w:cstheme="minorHAnsi"/>
          <w:sz w:val="22"/>
          <w:szCs w:val="22"/>
        </w:rPr>
        <w:t>t</w:t>
      </w:r>
      <w:r w:rsidRPr="00D3763B">
        <w:rPr>
          <w:rFonts w:asciiTheme="minorHAnsi" w:hAnsiTheme="minorHAnsi" w:cstheme="minorHAnsi"/>
          <w:sz w:val="22"/>
          <w:szCs w:val="22"/>
        </w:rPr>
        <w:t>i Tarybos nariai kreipėsi į Vyriausybę remdamiesi objektyviai egzistavusia aplinkybe, kuri Lietuvos Respublikos laikino tiesioginio valdymo savivaldybės teritorijoje įstatymo 2 straipsnio 3 dalies 3 punkte yra numatyta kaip laikino tiesioginio valdymo įvedimo pagrindas. Toks prašymas negali būti laikomas akivaizdžiai nepagrįstu</w:t>
      </w:r>
      <w:r w:rsidR="00AC1639" w:rsidRPr="00D3763B">
        <w:rPr>
          <w:rFonts w:asciiTheme="minorHAnsi" w:hAnsiTheme="minorHAnsi" w:cstheme="minorHAnsi"/>
          <w:sz w:val="22"/>
          <w:szCs w:val="22"/>
        </w:rPr>
        <w:t>. D</w:t>
      </w:r>
      <w:r w:rsidRPr="00D3763B">
        <w:rPr>
          <w:rFonts w:asciiTheme="minorHAnsi" w:hAnsiTheme="minorHAnsi" w:cstheme="minorHAnsi"/>
          <w:sz w:val="22"/>
          <w:szCs w:val="22"/>
        </w:rPr>
        <w:t>uomenų, kad kaltin</w:t>
      </w:r>
      <w:r w:rsidR="00AC1639" w:rsidRPr="00D3763B">
        <w:rPr>
          <w:rFonts w:asciiTheme="minorHAnsi" w:hAnsiTheme="minorHAnsi" w:cstheme="minorHAnsi"/>
          <w:sz w:val="22"/>
          <w:szCs w:val="22"/>
        </w:rPr>
        <w:t>t</w:t>
      </w:r>
      <w:r w:rsidRPr="00D3763B">
        <w:rPr>
          <w:rFonts w:asciiTheme="minorHAnsi" w:hAnsiTheme="minorHAnsi" w:cstheme="minorHAnsi"/>
          <w:sz w:val="22"/>
          <w:szCs w:val="22"/>
        </w:rPr>
        <w:t>i Tarybos nariai būtų veikę nesąžiningai</w:t>
      </w:r>
      <w:r w:rsidR="00AC1639" w:rsidRPr="00D3763B">
        <w:rPr>
          <w:rFonts w:asciiTheme="minorHAnsi" w:hAnsiTheme="minorHAnsi" w:cstheme="minorHAnsi"/>
          <w:sz w:val="22"/>
          <w:szCs w:val="22"/>
        </w:rPr>
        <w:t>, nebuvo</w:t>
      </w:r>
      <w:r w:rsidRPr="00D3763B">
        <w:rPr>
          <w:rFonts w:asciiTheme="minorHAnsi" w:hAnsiTheme="minorHAnsi" w:cstheme="minorHAnsi"/>
          <w:sz w:val="22"/>
          <w:szCs w:val="22"/>
        </w:rPr>
        <w:t>.</w:t>
      </w:r>
    </w:p>
    <w:p w:rsidR="00223FBB" w:rsidRPr="00D3763B" w:rsidRDefault="00223FBB" w:rsidP="00223FBB">
      <w:pPr>
        <w:ind w:firstLine="567"/>
        <w:jc w:val="both"/>
        <w:rPr>
          <w:rFonts w:asciiTheme="minorHAnsi" w:hAnsiTheme="minorHAnsi" w:cstheme="minorHAnsi"/>
          <w:sz w:val="22"/>
          <w:szCs w:val="22"/>
        </w:rPr>
      </w:pPr>
      <w:r w:rsidRPr="00D3763B">
        <w:rPr>
          <w:rFonts w:asciiTheme="minorHAnsi" w:hAnsiTheme="minorHAnsi" w:cstheme="minorHAnsi"/>
          <w:sz w:val="22"/>
          <w:szCs w:val="22"/>
        </w:rPr>
        <w:t>Išnagrinėjusi prašymą</w:t>
      </w:r>
      <w:r w:rsidR="00AC1639" w:rsidRPr="00D3763B">
        <w:rPr>
          <w:rFonts w:asciiTheme="minorHAnsi" w:hAnsiTheme="minorHAnsi" w:cstheme="minorHAnsi"/>
          <w:sz w:val="22"/>
          <w:szCs w:val="22"/>
        </w:rPr>
        <w:t>,</w:t>
      </w:r>
      <w:r w:rsidRPr="00D3763B">
        <w:rPr>
          <w:rFonts w:asciiTheme="minorHAnsi" w:hAnsiTheme="minorHAnsi" w:cstheme="minorHAnsi"/>
          <w:sz w:val="22"/>
          <w:szCs w:val="22"/>
        </w:rPr>
        <w:t xml:space="preserve"> išplėstinė teisėjų kolegija konstatavo, kad frakcijos teikė kandidatus į Kontrolės komitetą ir kaltin</w:t>
      </w:r>
      <w:r w:rsidR="00AC1639" w:rsidRPr="00D3763B">
        <w:rPr>
          <w:rFonts w:asciiTheme="minorHAnsi" w:hAnsiTheme="minorHAnsi" w:cstheme="minorHAnsi"/>
          <w:sz w:val="22"/>
          <w:szCs w:val="22"/>
        </w:rPr>
        <w:t>t</w:t>
      </w:r>
      <w:r w:rsidRPr="00D3763B">
        <w:rPr>
          <w:rFonts w:asciiTheme="minorHAnsi" w:hAnsiTheme="minorHAnsi" w:cstheme="minorHAnsi"/>
          <w:sz w:val="22"/>
          <w:szCs w:val="22"/>
        </w:rPr>
        <w:t>ų Tarybos narių atsisakymas 2018 m. kovo 29 d. Tarybos posėdyje pasiūlyti savo frakcijų atstovus į Kontrolės komitetą negali būti laikomas šiurkščiu savivaldybės tarybos nariams taikomų elgesio standartų pažeidimu, be kita ko, nes nebuvo nustatytas veiksmų sistemingumas ir pakartotinumas. Dėl aplinkybės, kad kaltinti Tarybos nariai kreipėsi į Vyriausybę su prašymu įvesti savivaldybėje laikiną tiesioginį valdymą, pasisakyta, kad Savivaldybės tarybos narys turi teisę pateikti tokį kreipimąsi Vyriausybei ir nagrinėtu atveju nebuvo piktnaudžiaujama šią teisę įtvirtinančiomis teisės normomis. Įvertinusi bylos aplinkybes, išplėstinė teisėjų kolegija pateikė išvadą, kad Druskininkų savivaldybės tarybos nariai nesulaužė savivaldybės tarybos nario priesaikos ir vykdė jiems įstatymuose nustatytus įgaliojimus.</w:t>
      </w:r>
    </w:p>
    <w:p w:rsidR="00223FBB" w:rsidRPr="00D3763B" w:rsidRDefault="00223FBB" w:rsidP="00223FBB">
      <w:pPr>
        <w:ind w:firstLine="567"/>
        <w:jc w:val="both"/>
        <w:rPr>
          <w:rFonts w:asciiTheme="minorHAnsi" w:hAnsiTheme="minorHAnsi" w:cstheme="minorHAnsi"/>
          <w:sz w:val="22"/>
          <w:szCs w:val="22"/>
        </w:rPr>
      </w:pPr>
    </w:p>
    <w:p w:rsidR="00223FBB" w:rsidRPr="00D3763B" w:rsidRDefault="00223FBB" w:rsidP="00223FBB">
      <w:pPr>
        <w:tabs>
          <w:tab w:val="left" w:pos="142"/>
        </w:tabs>
        <w:ind w:right="38"/>
        <w:jc w:val="both"/>
        <w:rPr>
          <w:rFonts w:asciiTheme="minorHAnsi" w:hAnsiTheme="minorHAnsi" w:cstheme="minorHAnsi"/>
          <w:sz w:val="22"/>
          <w:szCs w:val="22"/>
        </w:rPr>
      </w:pPr>
      <w:r w:rsidRPr="00D3763B">
        <w:rPr>
          <w:rFonts w:asciiTheme="minorHAnsi" w:hAnsiTheme="minorHAnsi" w:cstheme="minorHAnsi"/>
          <w:bCs/>
          <w:sz w:val="22"/>
          <w:szCs w:val="22"/>
        </w:rPr>
        <w:t xml:space="preserve">Išplėstinės teisėjų kolegijos 2018 m. </w:t>
      </w:r>
      <w:r w:rsidRPr="00D3763B">
        <w:rPr>
          <w:rFonts w:asciiTheme="minorHAnsi" w:hAnsiTheme="minorHAnsi" w:cstheme="minorHAnsi"/>
          <w:sz w:val="22"/>
          <w:szCs w:val="22"/>
        </w:rPr>
        <w:t xml:space="preserve">liepos 25 </w:t>
      </w:r>
      <w:r w:rsidRPr="00D3763B">
        <w:rPr>
          <w:rFonts w:asciiTheme="minorHAnsi" w:hAnsiTheme="minorHAnsi" w:cstheme="minorHAnsi"/>
          <w:bCs/>
          <w:sz w:val="22"/>
          <w:szCs w:val="22"/>
        </w:rPr>
        <w:t>d. išvada administracinėje byloje Nr. eI-24</w:t>
      </w:r>
      <w:r w:rsidRPr="00D3763B">
        <w:rPr>
          <w:rFonts w:asciiTheme="minorHAnsi" w:hAnsiTheme="minorHAnsi" w:cstheme="minorHAnsi"/>
          <w:sz w:val="22"/>
          <w:szCs w:val="22"/>
        </w:rPr>
        <w:t>-822/2018</w:t>
      </w:r>
    </w:p>
    <w:p w:rsidR="00223FBB" w:rsidRPr="00D3763B" w:rsidRDefault="00223FBB" w:rsidP="00223FBB">
      <w:pPr>
        <w:tabs>
          <w:tab w:val="left" w:pos="142"/>
        </w:tabs>
        <w:ind w:right="38"/>
        <w:jc w:val="both"/>
        <w:rPr>
          <w:rFonts w:asciiTheme="minorHAnsi" w:hAnsiTheme="minorHAnsi" w:cstheme="minorHAnsi"/>
          <w:sz w:val="22"/>
          <w:szCs w:val="22"/>
        </w:rPr>
      </w:pPr>
      <w:r w:rsidRPr="00D3763B">
        <w:rPr>
          <w:rFonts w:asciiTheme="minorHAnsi" w:hAnsiTheme="minorHAnsi" w:cstheme="minorHAnsi"/>
          <w:sz w:val="22"/>
          <w:szCs w:val="22"/>
        </w:rPr>
        <w:t>Teisminio proceso Nr. 3-66-3-00028-2018-9</w:t>
      </w:r>
    </w:p>
    <w:p w:rsidR="00223FBB" w:rsidRPr="00D3763B" w:rsidRDefault="00223FBB" w:rsidP="00223FBB">
      <w:pPr>
        <w:tabs>
          <w:tab w:val="left" w:pos="142"/>
        </w:tabs>
        <w:ind w:right="38"/>
        <w:jc w:val="both"/>
        <w:rPr>
          <w:rFonts w:asciiTheme="minorHAnsi" w:hAnsiTheme="minorHAnsi" w:cstheme="minorHAnsi"/>
          <w:bCs/>
          <w:sz w:val="22"/>
          <w:szCs w:val="22"/>
        </w:rPr>
      </w:pPr>
      <w:r w:rsidRPr="00D3763B">
        <w:rPr>
          <w:rFonts w:asciiTheme="minorHAnsi" w:hAnsiTheme="minorHAnsi" w:cstheme="minorHAnsi"/>
          <w:bCs/>
          <w:sz w:val="22"/>
          <w:szCs w:val="22"/>
        </w:rPr>
        <w:t>Procesinio sprendimo kategorija 40</w:t>
      </w:r>
    </w:p>
    <w:p w:rsidR="00223FBB" w:rsidRPr="00D3763B" w:rsidRDefault="000220C9" w:rsidP="00223FBB">
      <w:pPr>
        <w:tabs>
          <w:tab w:val="left" w:pos="142"/>
        </w:tabs>
        <w:ind w:right="38"/>
        <w:jc w:val="both"/>
        <w:rPr>
          <w:rFonts w:asciiTheme="minorHAnsi" w:hAnsiTheme="minorHAnsi" w:cstheme="minorHAnsi"/>
          <w:sz w:val="22"/>
          <w:szCs w:val="22"/>
        </w:rPr>
      </w:pPr>
      <w:hyperlink r:id="rId24" w:history="1">
        <w:r w:rsidR="00223FBB" w:rsidRPr="00D3763B">
          <w:rPr>
            <w:rStyle w:val="Hyperlink"/>
            <w:rFonts w:asciiTheme="minorHAnsi" w:hAnsiTheme="minorHAnsi" w:cstheme="minorHAnsi"/>
            <w:sz w:val="22"/>
            <w:szCs w:val="22"/>
          </w:rPr>
          <w:t>Prieiga internete</w:t>
        </w:r>
      </w:hyperlink>
    </w:p>
    <w:p w:rsidR="00A84D45" w:rsidRPr="00D3763B" w:rsidRDefault="00A84D45" w:rsidP="00A84D45">
      <w:pPr>
        <w:jc w:val="both"/>
        <w:rPr>
          <w:rFonts w:asciiTheme="minorHAnsi" w:hAnsiTheme="minorHAnsi" w:cstheme="minorHAnsi"/>
          <w:sz w:val="22"/>
          <w:szCs w:val="22"/>
        </w:rPr>
      </w:pPr>
    </w:p>
    <w:p w:rsidR="00A84D45" w:rsidRPr="00D3763B" w:rsidRDefault="00A84D45" w:rsidP="0014360F">
      <w:pPr>
        <w:pStyle w:val="Apzvalgai1"/>
        <w:rPr>
          <w:rFonts w:asciiTheme="minorHAnsi" w:hAnsiTheme="minorHAnsi" w:cstheme="minorHAnsi"/>
        </w:rPr>
      </w:pPr>
      <w:bookmarkStart w:id="75" w:name="_Toc519600876"/>
      <w:bookmarkStart w:id="76" w:name="_Toc524957056"/>
      <w:r w:rsidRPr="00D3763B">
        <w:rPr>
          <w:rFonts w:asciiTheme="minorHAnsi" w:hAnsiTheme="minorHAnsi" w:cstheme="minorHAnsi"/>
        </w:rPr>
        <w:t>II. Administracinių bylų teisena</w:t>
      </w:r>
      <w:bookmarkEnd w:id="75"/>
      <w:bookmarkEnd w:id="76"/>
    </w:p>
    <w:p w:rsidR="00A84D45" w:rsidRPr="00D3763B" w:rsidRDefault="00A84D45" w:rsidP="00A84D45">
      <w:pPr>
        <w:jc w:val="both"/>
        <w:rPr>
          <w:rFonts w:asciiTheme="minorHAnsi" w:hAnsiTheme="minorHAnsi" w:cstheme="minorHAnsi"/>
          <w:b/>
          <w:sz w:val="22"/>
          <w:szCs w:val="22"/>
          <w:u w:val="single"/>
        </w:rPr>
      </w:pPr>
    </w:p>
    <w:p w:rsidR="002D2404" w:rsidRPr="00D3763B" w:rsidRDefault="002D2404" w:rsidP="0014360F">
      <w:pPr>
        <w:pStyle w:val="Apzvalgai1"/>
        <w:rPr>
          <w:rFonts w:asciiTheme="minorHAnsi" w:hAnsiTheme="minorHAnsi" w:cstheme="minorHAnsi"/>
        </w:rPr>
      </w:pPr>
      <w:bookmarkStart w:id="77" w:name="_Toc524957057"/>
      <w:bookmarkStart w:id="78" w:name="_Toc519600877"/>
      <w:r w:rsidRPr="00D3763B">
        <w:rPr>
          <w:rFonts w:asciiTheme="minorHAnsi" w:hAnsiTheme="minorHAnsi" w:cstheme="minorHAnsi"/>
        </w:rPr>
        <w:t>43. Teisė kreiptis į teismą ir jos realizavimas</w:t>
      </w:r>
      <w:bookmarkEnd w:id="77"/>
    </w:p>
    <w:p w:rsidR="005B3785" w:rsidRDefault="005B3785" w:rsidP="00D3763B">
      <w:pPr>
        <w:ind w:firstLine="567"/>
        <w:jc w:val="both"/>
        <w:rPr>
          <w:rFonts w:asciiTheme="minorHAnsi" w:hAnsiTheme="minorHAnsi" w:cstheme="minorHAnsi"/>
          <w:b/>
          <w:sz w:val="22"/>
          <w:szCs w:val="22"/>
          <w:u w:val="single"/>
        </w:rPr>
      </w:pPr>
      <w:bookmarkStart w:id="79" w:name="_Toc516584049"/>
      <w:r>
        <w:rPr>
          <w:rFonts w:asciiTheme="minorHAnsi" w:hAnsiTheme="minorHAnsi" w:cstheme="minorHAnsi"/>
          <w:b/>
          <w:sz w:val="22"/>
          <w:szCs w:val="22"/>
          <w:u w:val="single"/>
        </w:rPr>
        <w:t>43.5. Atsisakymas priimti skundą</w:t>
      </w:r>
    </w:p>
    <w:bookmarkEnd w:id="79"/>
    <w:p w:rsidR="00456EA3" w:rsidRPr="00D3763B" w:rsidRDefault="00456EA3" w:rsidP="00456EA3">
      <w:pPr>
        <w:ind w:firstLine="1134"/>
        <w:rPr>
          <w:rFonts w:asciiTheme="minorHAnsi" w:hAnsiTheme="minorHAnsi" w:cstheme="minorHAnsi"/>
          <w:b/>
          <w:bCs/>
          <w:sz w:val="22"/>
          <w:szCs w:val="22"/>
          <w:u w:val="single"/>
        </w:rPr>
      </w:pPr>
      <w:r w:rsidRPr="00D3763B">
        <w:rPr>
          <w:rFonts w:asciiTheme="minorHAnsi" w:hAnsiTheme="minorHAnsi" w:cstheme="minorHAnsi"/>
          <w:b/>
          <w:bCs/>
          <w:sz w:val="22"/>
          <w:szCs w:val="22"/>
          <w:u w:val="single"/>
        </w:rPr>
        <w:t>43.5.2. Kai byla nepriskirtina tam teismui</w:t>
      </w:r>
    </w:p>
    <w:p w:rsidR="003C0E70" w:rsidRPr="00D3763B" w:rsidRDefault="003C0E70" w:rsidP="009C6F61"/>
    <w:p w:rsidR="00456EA3" w:rsidRPr="00D3763B" w:rsidRDefault="00456EA3" w:rsidP="00D3763B">
      <w:pPr>
        <w:pStyle w:val="Heading2"/>
        <w:rPr>
          <w:b/>
          <w:bCs/>
        </w:rPr>
      </w:pPr>
      <w:bookmarkStart w:id="80" w:name="_Toc524957058"/>
      <w:r w:rsidRPr="00D3763B">
        <w:t>Dėl skundo priskirtinumo, esant keliems Lietuvos valstybės atstovams</w:t>
      </w:r>
      <w:bookmarkEnd w:id="80"/>
    </w:p>
    <w:p w:rsidR="00456EA3" w:rsidRPr="00D3763B" w:rsidRDefault="00456EA3" w:rsidP="00456EA3">
      <w:pPr>
        <w:jc w:val="both"/>
        <w:rPr>
          <w:rFonts w:asciiTheme="minorHAnsi" w:eastAsia="Arial Unicode MS" w:hAnsiTheme="minorHAnsi" w:cstheme="minorHAnsi"/>
          <w:i/>
          <w:sz w:val="22"/>
          <w:szCs w:val="22"/>
          <w:shd w:val="clear" w:color="auto" w:fill="FFFFFF"/>
        </w:rPr>
      </w:pPr>
    </w:p>
    <w:p w:rsidR="00456EA3" w:rsidRPr="00D3763B" w:rsidRDefault="00456EA3" w:rsidP="00456EA3">
      <w:pPr>
        <w:ind w:firstLine="567"/>
        <w:jc w:val="both"/>
        <w:rPr>
          <w:rFonts w:asciiTheme="minorHAnsi" w:hAnsiTheme="minorHAnsi" w:cstheme="minorHAnsi"/>
          <w:sz w:val="22"/>
          <w:szCs w:val="22"/>
        </w:rPr>
      </w:pPr>
      <w:r w:rsidRPr="00D3763B">
        <w:rPr>
          <w:rFonts w:asciiTheme="minorHAnsi" w:hAnsiTheme="minorHAnsi" w:cstheme="minorHAnsi"/>
          <w:sz w:val="22"/>
          <w:szCs w:val="22"/>
        </w:rPr>
        <w:t>Apžvelgiamos bylos dalykas – pirmosios instancijos teismo nutarties dalis, kuria teismas atsisakė priimti pareiškėjo skundo dalį pagal ABTĮ 33 straipsnio 2 dalies 2 punktą, teisėtumas ir pagrįstumas.</w:t>
      </w:r>
    </w:p>
    <w:p w:rsidR="00456EA3" w:rsidRPr="00D3763B" w:rsidRDefault="00456EA3" w:rsidP="00456EA3">
      <w:pPr>
        <w:ind w:firstLine="567"/>
        <w:jc w:val="both"/>
        <w:rPr>
          <w:rFonts w:asciiTheme="minorHAnsi" w:hAnsiTheme="minorHAnsi" w:cstheme="minorHAnsi"/>
          <w:sz w:val="22"/>
          <w:szCs w:val="22"/>
        </w:rPr>
      </w:pPr>
      <w:r w:rsidRPr="00D3763B">
        <w:rPr>
          <w:rFonts w:asciiTheme="minorHAnsi" w:hAnsiTheme="minorHAnsi" w:cstheme="minorHAnsi"/>
          <w:sz w:val="22"/>
          <w:szCs w:val="22"/>
        </w:rPr>
        <w:t>Atitinkamai pagal ABTĮ nuostatas skundas (prašymas, pareiškimas) paduodamas tam administraciniam teismui, kurio veikimo teritorijoje yra atsakovo buveinė (gyvenamoji vieta), o jeigu atsakovas yra valstybė arba savivaldybė, – tam administraciniam teismui, kurio teritorijoje yra atsakovui atstovaujančios institucijos buveinė (31 str. 1 d.). Bylose dėl žalos, atsiradusios dėl viešojo administravimo subjektų neteisėtų veiksmų, atlyginimo, bylose dėl pensijų skyrimo ar atsisakymo jas skirti, taip pat bylose dėl neįgaliųjų teisių gynimo, pareiškėjo pasirinkimu skundas (prašymas) administraciniam teismui gali būti paduodamas pagal 31 straipsnio 1 dalyje nustatytas taisykles arba pagal pareiškėjo gyvenamąją (buveinės) vietą (31 str. 2 d.). Kai byloje yra keli tarpusavyje susiję reikalavimai, iš kurių vieni pagal ABTĮ 20 straipsnio 4 dalį priskirtini Vilniaus apygardos administraciniam teismui, o kiti – Regionų apygardos administraciniam teismui, skundas (prašymas, pareiškimas) turi būti paduodamas Vilniaus apygardos administraciniam teismui. Kitais atvejais, kai yra keli tarpusavyje susiję reikalavimai, kurie gali būti nagrinėjami skirtingų apygardų administraciniuose teismuose, skundas (prašymas, pareiškimas) administraciniam teismui paduodamas pareiškėjo pasirinkimu (31 str. 3 d.). Skundas (prašymas, pareiškimas) keliems atsakovams, gyvenantiems ar esantiems ne toje pačioje vietoje, paduodamas pagal vieno iš atsakovų buveinę pareiškėjo pasirinkimu. Jeigu dėl vieno iš atsakovų byla yra teisminga Vilniaus apygardos administraciniam teismui pagal šio įstatymo 20 straipsnio 4 dalį, skundas (prašymas, pareiškimas) paduodamas Vilniaus apygardos administraciniam teismui (31 str. 4 d.).</w:t>
      </w:r>
    </w:p>
    <w:p w:rsidR="00456EA3" w:rsidRPr="00D3763B" w:rsidRDefault="00456EA3" w:rsidP="00456EA3">
      <w:pPr>
        <w:ind w:firstLine="567"/>
        <w:jc w:val="both"/>
        <w:rPr>
          <w:rFonts w:asciiTheme="minorHAnsi" w:hAnsiTheme="minorHAnsi" w:cstheme="minorHAnsi"/>
          <w:sz w:val="22"/>
          <w:szCs w:val="22"/>
        </w:rPr>
      </w:pPr>
      <w:r w:rsidRPr="00D3763B">
        <w:rPr>
          <w:rFonts w:asciiTheme="minorHAnsi" w:hAnsiTheme="minorHAnsi" w:cstheme="minorHAnsi"/>
          <w:sz w:val="22"/>
          <w:szCs w:val="22"/>
        </w:rPr>
        <w:t xml:space="preserve">Pareiškėjas skunde atsakovu nurodė Lietuvos valstybę, atstovaujamą Lietuvos Respublikos teisingumo ministerijos, Kalėjimų departamento prie Lietuvos Respublikos teisingumo ministerijos ir Šiaulių tardymo izoliatoriaus, t. y. turtinę ir neturtinę žalą kildino iš šių trijų Lietuvos valstybės atstovų, kurių buveinės yra skirtingose teritorijose, veiksmų. LVAT teisėjų kolegija pažymėjo, jog nagrinėjamu atveju bylos teismingumas ABTĮ nėra aiškiai reglamentuotas. </w:t>
      </w:r>
      <w:r w:rsidRPr="00D3763B">
        <w:rPr>
          <w:rFonts w:asciiTheme="minorHAnsi" w:hAnsiTheme="minorHAnsi" w:cstheme="minorHAnsi"/>
          <w:sz w:val="22"/>
          <w:szCs w:val="22"/>
          <w:u w:val="single"/>
        </w:rPr>
        <w:t>Atkreiptas dėmesys į tai, kad pareiškėjas turtinės ir neturtinės žalos atlyginimą prašo priteisti iš atsakovo Lietuvos valstybės, atstovaujamos Lietuvos Respublikos teisingumo ministerijos, Kalėjimų departamento prie Lietuvos Respublikos teisingumo ministerijos ir Šiaulių tardymo izoliatoriaus solidariai. Šiuo konkrečiu atveju taip pat reikšminga tai, jog esminė žala tiesiogiai kildinama iš Šiaulių tardymo izoliatoriaus veiksmų, todėl kitų atsakovo Lietuvos valstybės atstovų įtraukimas į bylą nekeičia jos teismingumo. Taigi sprendžiant pareiškėjo skundo teismingumo klausimą, vadovaujantis proceso operatyvumo ir ekonomiškumo, taip pat protingumo ir teisingumo principais, taikyta ABTĮ 31 straipsnio 1 dalis, kurioje nustatyta, kad jeigu atsakovas yra valstybė arba savivaldybė skundas (prašymas, pareiškimas) paduodamas tam administraciniam teismui, kurio teritorijoje yra atsakovui atstovaujančios institucijos buveinė</w:t>
      </w:r>
      <w:r w:rsidRPr="00D3763B">
        <w:rPr>
          <w:rFonts w:asciiTheme="minorHAnsi" w:hAnsiTheme="minorHAnsi" w:cstheme="minorHAnsi"/>
          <w:sz w:val="22"/>
          <w:szCs w:val="22"/>
        </w:rPr>
        <w:t xml:space="preserve">. Konstatuota, kad byla teisminga Regionų apygardos administracinio teismo Šiaulių rūmams.  </w:t>
      </w:r>
    </w:p>
    <w:p w:rsidR="00456EA3" w:rsidRPr="00D3763B" w:rsidRDefault="00456EA3" w:rsidP="00456EA3">
      <w:pPr>
        <w:ind w:firstLine="567"/>
        <w:jc w:val="both"/>
        <w:rPr>
          <w:rFonts w:asciiTheme="minorHAnsi" w:hAnsiTheme="minorHAnsi" w:cstheme="minorHAnsi"/>
          <w:sz w:val="22"/>
          <w:szCs w:val="22"/>
        </w:rPr>
      </w:pPr>
      <w:r w:rsidRPr="00D3763B">
        <w:rPr>
          <w:rFonts w:asciiTheme="minorHAnsi" w:hAnsiTheme="minorHAnsi" w:cstheme="minorHAnsi"/>
          <w:sz w:val="22"/>
          <w:szCs w:val="22"/>
        </w:rPr>
        <w:t>Pareiškėjo atskirasis skundas tenkintas, o jo skundo priėmimo klausimas grąžintas pirmosios instancijos teismui nagrinėti iš naujo.</w:t>
      </w:r>
    </w:p>
    <w:p w:rsidR="00456EA3" w:rsidRPr="00D3763B" w:rsidRDefault="00456EA3" w:rsidP="00456EA3">
      <w:pPr>
        <w:ind w:firstLine="567"/>
        <w:jc w:val="both"/>
        <w:rPr>
          <w:rFonts w:asciiTheme="minorHAnsi" w:hAnsiTheme="minorHAnsi" w:cstheme="minorHAnsi"/>
          <w:sz w:val="22"/>
          <w:szCs w:val="22"/>
        </w:rPr>
      </w:pPr>
    </w:p>
    <w:p w:rsidR="00456EA3" w:rsidRPr="00D3763B" w:rsidRDefault="00456EA3" w:rsidP="00456EA3">
      <w:pPr>
        <w:jc w:val="both"/>
        <w:rPr>
          <w:rFonts w:asciiTheme="minorHAnsi" w:hAnsiTheme="minorHAnsi" w:cstheme="minorHAnsi"/>
          <w:sz w:val="22"/>
          <w:szCs w:val="22"/>
        </w:rPr>
      </w:pPr>
      <w:r w:rsidRPr="00D3763B">
        <w:rPr>
          <w:rFonts w:asciiTheme="minorHAnsi" w:hAnsiTheme="minorHAnsi" w:cstheme="minorHAnsi"/>
          <w:sz w:val="22"/>
          <w:szCs w:val="22"/>
        </w:rPr>
        <w:t>2018 m. liepos 24 d. nutartis administracinėje byloje Nr. AS-500-662/2018</w:t>
      </w:r>
    </w:p>
    <w:p w:rsidR="00456EA3" w:rsidRPr="00D3763B" w:rsidRDefault="00456EA3" w:rsidP="00456EA3">
      <w:pPr>
        <w:jc w:val="both"/>
        <w:rPr>
          <w:rFonts w:asciiTheme="minorHAnsi" w:hAnsiTheme="minorHAnsi" w:cstheme="minorHAnsi"/>
          <w:bCs/>
          <w:sz w:val="22"/>
          <w:szCs w:val="22"/>
        </w:rPr>
      </w:pPr>
      <w:r w:rsidRPr="00D3763B">
        <w:rPr>
          <w:rFonts w:asciiTheme="minorHAnsi" w:hAnsiTheme="minorHAnsi" w:cstheme="minorHAnsi"/>
          <w:sz w:val="22"/>
          <w:szCs w:val="22"/>
        </w:rPr>
        <w:t>Teisminio proceso Nr. 3-64-3-00845-2018-4</w:t>
      </w:r>
    </w:p>
    <w:p w:rsidR="00456EA3" w:rsidRPr="00D3763B" w:rsidRDefault="00456EA3" w:rsidP="00456EA3">
      <w:pPr>
        <w:jc w:val="both"/>
        <w:rPr>
          <w:rFonts w:asciiTheme="minorHAnsi" w:hAnsiTheme="minorHAnsi" w:cstheme="minorHAnsi"/>
          <w:bCs/>
          <w:sz w:val="22"/>
          <w:szCs w:val="22"/>
        </w:rPr>
      </w:pPr>
      <w:r w:rsidRPr="00D3763B">
        <w:rPr>
          <w:rFonts w:asciiTheme="minorHAnsi" w:hAnsiTheme="minorHAnsi" w:cstheme="minorHAnsi"/>
          <w:sz w:val="22"/>
          <w:szCs w:val="22"/>
        </w:rPr>
        <w:t xml:space="preserve">Procesinio sprendimo </w:t>
      </w:r>
      <w:r w:rsidRPr="00D3763B">
        <w:rPr>
          <w:rFonts w:asciiTheme="minorHAnsi" w:hAnsiTheme="minorHAnsi" w:cstheme="minorHAnsi"/>
          <w:bCs/>
          <w:sz w:val="22"/>
          <w:szCs w:val="22"/>
        </w:rPr>
        <w:t>kategorijos: 43.5.2; 43.5.4</w:t>
      </w:r>
    </w:p>
    <w:p w:rsidR="00456EA3" w:rsidRPr="00D3763B" w:rsidRDefault="000220C9" w:rsidP="00456EA3">
      <w:pPr>
        <w:jc w:val="both"/>
        <w:rPr>
          <w:rFonts w:asciiTheme="minorHAnsi" w:hAnsiTheme="minorHAnsi" w:cstheme="minorHAnsi"/>
          <w:sz w:val="22"/>
          <w:szCs w:val="22"/>
        </w:rPr>
      </w:pPr>
      <w:hyperlink r:id="rId25" w:history="1">
        <w:r w:rsidR="00456EA3" w:rsidRPr="00D3763B">
          <w:rPr>
            <w:rStyle w:val="Hyperlink"/>
            <w:rFonts w:asciiTheme="minorHAnsi" w:hAnsiTheme="minorHAnsi" w:cstheme="minorHAnsi"/>
            <w:sz w:val="22"/>
            <w:szCs w:val="22"/>
          </w:rPr>
          <w:t>Prieiga internete</w:t>
        </w:r>
      </w:hyperlink>
    </w:p>
    <w:p w:rsidR="00456EA3" w:rsidRPr="00D3763B" w:rsidRDefault="00456EA3" w:rsidP="00456EA3">
      <w:pPr>
        <w:ind w:firstLine="1134"/>
        <w:rPr>
          <w:rFonts w:asciiTheme="minorHAnsi" w:hAnsiTheme="minorHAnsi" w:cstheme="minorHAnsi"/>
          <w:b/>
          <w:bCs/>
          <w:sz w:val="22"/>
          <w:szCs w:val="22"/>
          <w:u w:val="single"/>
        </w:rPr>
      </w:pPr>
    </w:p>
    <w:p w:rsidR="002D2404" w:rsidRPr="00D3763B" w:rsidRDefault="002D2404" w:rsidP="002D2404">
      <w:pPr>
        <w:ind w:left="851" w:hanging="284"/>
        <w:rPr>
          <w:rFonts w:asciiTheme="minorHAnsi" w:hAnsiTheme="minorHAnsi" w:cstheme="minorHAnsi"/>
          <w:b/>
          <w:bCs/>
          <w:sz w:val="22"/>
          <w:szCs w:val="22"/>
          <w:u w:val="single"/>
        </w:rPr>
      </w:pPr>
      <w:r w:rsidRPr="00D3763B">
        <w:rPr>
          <w:rFonts w:asciiTheme="minorHAnsi" w:hAnsiTheme="minorHAnsi" w:cstheme="minorHAnsi"/>
          <w:b/>
          <w:bCs/>
          <w:sz w:val="22"/>
          <w:szCs w:val="22"/>
          <w:u w:val="single"/>
        </w:rPr>
        <w:t>43.7. Kreipimasis dėl viešojo intereso gynimo</w:t>
      </w:r>
    </w:p>
    <w:p w:rsidR="002D2404" w:rsidRPr="00D3763B" w:rsidRDefault="002D2404" w:rsidP="002D2404">
      <w:pPr>
        <w:ind w:left="851" w:hanging="284"/>
        <w:rPr>
          <w:rFonts w:asciiTheme="minorHAnsi" w:hAnsiTheme="minorHAnsi" w:cstheme="minorHAnsi"/>
          <w:b/>
          <w:bCs/>
          <w:sz w:val="22"/>
          <w:szCs w:val="22"/>
          <w:u w:val="single"/>
        </w:rPr>
      </w:pPr>
    </w:p>
    <w:p w:rsidR="002D2404" w:rsidRPr="00D3763B" w:rsidRDefault="002D2404" w:rsidP="00D3763B">
      <w:pPr>
        <w:pStyle w:val="Heading2"/>
      </w:pPr>
      <w:bookmarkStart w:id="81" w:name="_Toc524957059"/>
      <w:r w:rsidRPr="00D3763B">
        <w:t>Dėl asmenų teisės kreiptis su įpareigojimu pakeisti teisinį reguliavimą</w:t>
      </w:r>
      <w:bookmarkEnd w:id="81"/>
    </w:p>
    <w:p w:rsidR="002D2404" w:rsidRPr="00D3763B" w:rsidRDefault="002D2404" w:rsidP="002D2404">
      <w:pPr>
        <w:jc w:val="both"/>
        <w:rPr>
          <w:rFonts w:asciiTheme="minorHAnsi" w:eastAsia="Arial Unicode MS" w:hAnsiTheme="minorHAnsi" w:cstheme="minorHAnsi"/>
          <w:i/>
          <w:sz w:val="22"/>
          <w:szCs w:val="22"/>
          <w:shd w:val="clear" w:color="auto" w:fill="FFFFFF"/>
        </w:rPr>
      </w:pPr>
    </w:p>
    <w:p w:rsidR="002D2404" w:rsidRPr="00D3763B" w:rsidRDefault="002D2404" w:rsidP="002D2404">
      <w:pPr>
        <w:ind w:firstLine="567"/>
        <w:jc w:val="both"/>
        <w:rPr>
          <w:rFonts w:asciiTheme="minorHAnsi" w:hAnsiTheme="minorHAnsi" w:cstheme="minorHAnsi"/>
          <w:sz w:val="22"/>
          <w:szCs w:val="22"/>
        </w:rPr>
      </w:pPr>
      <w:r w:rsidRPr="00D3763B">
        <w:rPr>
          <w:rFonts w:asciiTheme="minorHAnsi" w:hAnsiTheme="minorHAnsi" w:cstheme="minorHAnsi"/>
          <w:sz w:val="22"/>
          <w:szCs w:val="22"/>
        </w:rPr>
        <w:t xml:space="preserve">Apžvelgiamoje byloje pareiškėjas </w:t>
      </w:r>
      <w:r w:rsidR="00450FD2" w:rsidRPr="00D3763B">
        <w:rPr>
          <w:rFonts w:asciiTheme="minorHAnsi" w:hAnsiTheme="minorHAnsi" w:cstheme="minorHAnsi"/>
          <w:sz w:val="22"/>
          <w:szCs w:val="22"/>
        </w:rPr>
        <w:t xml:space="preserve">R. Š. </w:t>
      </w:r>
      <w:r w:rsidRPr="00D3763B">
        <w:rPr>
          <w:rFonts w:asciiTheme="minorHAnsi" w:hAnsiTheme="minorHAnsi" w:cstheme="minorHAnsi"/>
          <w:sz w:val="22"/>
          <w:szCs w:val="22"/>
        </w:rPr>
        <w:t>siekė, kad Sveikatos apsaugos ministerija suskirstytų (klasifikuotų) narkotines medžiagas į kategorijas – lengvas, apysunkes ir sunkias narkotines medžiagas, atsižvelgiant į jų rūšį, daromą žalą žmogaus sveikatai.</w:t>
      </w:r>
    </w:p>
    <w:p w:rsidR="002D2404" w:rsidRPr="00D3763B" w:rsidRDefault="002D2404" w:rsidP="00450FD2">
      <w:pPr>
        <w:ind w:firstLine="567"/>
        <w:jc w:val="both"/>
        <w:rPr>
          <w:rFonts w:asciiTheme="minorHAnsi" w:hAnsiTheme="minorHAnsi" w:cstheme="minorHAnsi"/>
          <w:sz w:val="22"/>
          <w:szCs w:val="22"/>
        </w:rPr>
      </w:pPr>
      <w:r w:rsidRPr="00D3763B">
        <w:rPr>
          <w:rFonts w:asciiTheme="minorHAnsi" w:hAnsiTheme="minorHAnsi" w:cstheme="minorHAnsi"/>
          <w:sz w:val="22"/>
          <w:szCs w:val="22"/>
        </w:rPr>
        <w:lastRenderedPageBreak/>
        <w:t>Teisėjų kolegija nurodė, kad Lietuvos Respublikos sveikatos apsaugos ministro 2003 m. balandžio 23 d. įsakymu Nr. V-239 „Dėl narkotinių ir psichotropinių medžiagų nedidelio, didelio ir labai didelio kiekio nustatymo rekomendacijų“ (įsakymas ne kartą buvo keistas) patvirtintos rekomendacijos</w:t>
      </w:r>
      <w:r w:rsidR="00450FD2" w:rsidRPr="00D3763B">
        <w:rPr>
          <w:rFonts w:asciiTheme="minorHAnsi" w:hAnsiTheme="minorHAnsi" w:cstheme="minorHAnsi"/>
          <w:sz w:val="22"/>
          <w:szCs w:val="22"/>
        </w:rPr>
        <w:t xml:space="preserve">, </w:t>
      </w:r>
      <w:r w:rsidRPr="00D3763B">
        <w:rPr>
          <w:rFonts w:asciiTheme="minorHAnsi" w:hAnsiTheme="minorHAnsi" w:cstheme="minorHAnsi"/>
          <w:sz w:val="22"/>
          <w:szCs w:val="22"/>
        </w:rPr>
        <w:t xml:space="preserve">ir medžiagos suskirstytos į tris sąrašus: I sąrašas – narkotinės ir psichotropinės medžiagos, draudžiamos vartoti medicinos tikslams (sudarytas pagal 1961 m. Bendrosios konvencijos I ir IV sąrašus bei 1971 m. Konvencijos I-IV sąrašus); II sąrašas – narkotinės ir psichotropinės medžiagos, leidžiamos vartoti medicinos tikslams (sudarytas pagal 1961 m. Bendrosios konvencijos I sąrašą ir 1971 m. Konvencijos II sąrašą); III sąrašas – psichotropinės medžiagos, leidžiamos vartoti medicinos tikslams (sudarytas pagal 1971 m. Konvencijos III ir IV sąrašus). Šis įsakymas </w:t>
      </w:r>
      <w:r w:rsidR="00450FD2" w:rsidRPr="00D3763B">
        <w:rPr>
          <w:rFonts w:asciiTheme="minorHAnsi" w:hAnsiTheme="minorHAnsi" w:cstheme="minorHAnsi"/>
          <w:sz w:val="22"/>
          <w:szCs w:val="22"/>
        </w:rPr>
        <w:t xml:space="preserve">– </w:t>
      </w:r>
      <w:r w:rsidRPr="00D3763B">
        <w:rPr>
          <w:rFonts w:asciiTheme="minorHAnsi" w:hAnsiTheme="minorHAnsi" w:cstheme="minorHAnsi"/>
          <w:sz w:val="22"/>
          <w:szCs w:val="22"/>
        </w:rPr>
        <w:t>remiantis Baudžiamojo kodekso 269 straipsnio 2 dalimi priimtas norminis aktas (ABTĮ 2 str. 13 d.).</w:t>
      </w:r>
    </w:p>
    <w:p w:rsidR="002D2404" w:rsidRPr="00D3763B" w:rsidRDefault="002D2404" w:rsidP="002D2404">
      <w:pPr>
        <w:ind w:firstLine="567"/>
        <w:jc w:val="both"/>
        <w:rPr>
          <w:rFonts w:asciiTheme="minorHAnsi" w:hAnsiTheme="minorHAnsi" w:cstheme="minorHAnsi"/>
          <w:sz w:val="22"/>
          <w:szCs w:val="22"/>
        </w:rPr>
      </w:pPr>
      <w:r w:rsidRPr="00D3763B">
        <w:rPr>
          <w:rFonts w:asciiTheme="minorHAnsi" w:hAnsiTheme="minorHAnsi" w:cstheme="minorHAnsi"/>
          <w:sz w:val="22"/>
          <w:szCs w:val="22"/>
        </w:rPr>
        <w:t xml:space="preserve">Taigi įstatymų leidėjas </w:t>
      </w:r>
      <w:r w:rsidR="00450FD2" w:rsidRPr="00D3763B">
        <w:rPr>
          <w:rFonts w:asciiTheme="minorHAnsi" w:hAnsiTheme="minorHAnsi" w:cstheme="minorHAnsi"/>
          <w:sz w:val="22"/>
          <w:szCs w:val="22"/>
        </w:rPr>
        <w:t>S</w:t>
      </w:r>
      <w:r w:rsidRPr="00D3763B">
        <w:rPr>
          <w:rFonts w:asciiTheme="minorHAnsi" w:hAnsiTheme="minorHAnsi" w:cstheme="minorHAnsi"/>
          <w:sz w:val="22"/>
          <w:szCs w:val="22"/>
        </w:rPr>
        <w:t>veikatos apsaugos ministerijai yra pavedęs sudaryti narkotinių ir psichotropinių medžiagų sąrašus, atsižvelgiant į tarptautinių sutarčių nuostatas. Pažymėta, kad Jungtinių Tautų Organizacijos 1972 m. Psichotropinių medžiagų konvencija taip pat nedraudžia taikyti griežtesnes, nei nustatyta Konvencijoje, kontrolės priemones, jeigu manoma, kad šios priemonės yra pageidautinos arba būtinos gyventojų sveikatos apsaugai ir jų gerovei (23 str.).</w:t>
      </w:r>
    </w:p>
    <w:p w:rsidR="002D2404" w:rsidRPr="00D3763B" w:rsidRDefault="002D2404" w:rsidP="002D2404">
      <w:pPr>
        <w:ind w:firstLine="567"/>
        <w:jc w:val="both"/>
        <w:rPr>
          <w:rFonts w:asciiTheme="minorHAnsi" w:hAnsiTheme="minorHAnsi" w:cstheme="minorHAnsi"/>
          <w:sz w:val="22"/>
          <w:szCs w:val="22"/>
        </w:rPr>
      </w:pPr>
      <w:r w:rsidRPr="00D3763B">
        <w:rPr>
          <w:rFonts w:asciiTheme="minorHAnsi" w:hAnsiTheme="minorHAnsi" w:cstheme="minorHAnsi"/>
          <w:sz w:val="22"/>
          <w:szCs w:val="22"/>
        </w:rPr>
        <w:t>Iš Teismų informacinės sistemos ,,Liteko“ duomenų buvo matyti, kad R. Š. Kauno apygardos teismo nuosprendžiu buvo pripažintas kaltu pagal Baudžiamojo kodekso 260 straipsnio 3 dalį, 265 straipsnio 1 dalį</w:t>
      </w:r>
      <w:r w:rsidR="00450FD2" w:rsidRPr="00D3763B">
        <w:rPr>
          <w:rFonts w:asciiTheme="minorHAnsi" w:hAnsiTheme="minorHAnsi" w:cstheme="minorHAnsi"/>
          <w:sz w:val="22"/>
          <w:szCs w:val="22"/>
        </w:rPr>
        <w:t>,</w:t>
      </w:r>
      <w:r w:rsidRPr="00D3763B">
        <w:rPr>
          <w:rFonts w:asciiTheme="minorHAnsi" w:hAnsiTheme="minorHAnsi" w:cstheme="minorHAnsi"/>
          <w:sz w:val="22"/>
          <w:szCs w:val="22"/>
        </w:rPr>
        <w:t xml:space="preserve"> ir jam paskirta galutinė 11 metų laisvės atėmimo bausmė. Iš R. Š. skundų ir bylos medžiagos spręsta, kad pareiškėjas, siekdamas pakeisti </w:t>
      </w:r>
      <w:r w:rsidR="00450FD2" w:rsidRPr="00D3763B">
        <w:rPr>
          <w:rFonts w:asciiTheme="minorHAnsi" w:hAnsiTheme="minorHAnsi" w:cstheme="minorHAnsi"/>
          <w:sz w:val="22"/>
          <w:szCs w:val="22"/>
        </w:rPr>
        <w:t>S</w:t>
      </w:r>
      <w:r w:rsidRPr="00D3763B">
        <w:rPr>
          <w:rFonts w:asciiTheme="minorHAnsi" w:hAnsiTheme="minorHAnsi" w:cstheme="minorHAnsi"/>
          <w:sz w:val="22"/>
          <w:szCs w:val="22"/>
        </w:rPr>
        <w:t>veikatos apsaugos ministerijos nustatytas narkotinių ir psichotropinių medžiagų nedidelio, didelio ir labai didelio kiekio rekomendacijas, kurios siejamos su baudžiamosiomis veikomis, t. y. teisinį reguliavimą, iš esmės gina viešąjį interesą.</w:t>
      </w:r>
    </w:p>
    <w:p w:rsidR="002D2404" w:rsidRPr="00D3763B" w:rsidRDefault="002D2404" w:rsidP="002D2404">
      <w:pPr>
        <w:ind w:firstLine="567"/>
        <w:jc w:val="both"/>
        <w:rPr>
          <w:rFonts w:asciiTheme="minorHAnsi" w:hAnsiTheme="minorHAnsi" w:cstheme="minorHAnsi"/>
          <w:sz w:val="22"/>
          <w:szCs w:val="22"/>
        </w:rPr>
      </w:pPr>
      <w:r w:rsidRPr="00D3763B">
        <w:rPr>
          <w:rFonts w:asciiTheme="minorHAnsi" w:hAnsiTheme="minorHAnsi" w:cstheme="minorHAnsi"/>
          <w:sz w:val="22"/>
          <w:szCs w:val="22"/>
        </w:rPr>
        <w:t>Pagal ABTĮ 5 straipsnio nuostatas viešasis interesas teisme gali būti ginamas tik esant dviem sąlygoms: 1) viešieji interesai ginami tik įstatymų numatytiems subjektams kreipiantis į teismą</w:t>
      </w:r>
      <w:r w:rsidR="00450FD2" w:rsidRPr="00D3763B">
        <w:rPr>
          <w:rFonts w:asciiTheme="minorHAnsi" w:hAnsiTheme="minorHAnsi" w:cstheme="minorHAnsi"/>
          <w:sz w:val="22"/>
          <w:szCs w:val="22"/>
        </w:rPr>
        <w:t>;</w:t>
      </w:r>
      <w:r w:rsidRPr="00D3763B">
        <w:rPr>
          <w:rFonts w:asciiTheme="minorHAnsi" w:hAnsiTheme="minorHAnsi" w:cstheme="minorHAnsi"/>
          <w:sz w:val="22"/>
          <w:szCs w:val="22"/>
        </w:rPr>
        <w:t xml:space="preserve"> ir 2) tik įstatymų numatytais atvejais. Bylą nagrinėjantis teismas, spręsdamas dėl viešojo intereso pažeidimo, kiekvienu atveju patikrina, ar subjektas, kuris kreipiasi į teismą, turi įstatyme numatytus įgaliojimus ginti viešąjį interesą. Teisėjų kolegija, patikrinusi bylą, konstatavo, kad pareiškėjui teisės aktais nėra suteikta teisė ginti viešąjį interesą teisinio reguliavimo dėl narkotinių medžiagų naujo suskirstymo į jo norimas kategorijas – lengvas, apysunkes ir sunkias narkotines medžiagas, atsižvelgiant į jų rūšį, daromą žalą žmogaus sveikatai srityje.</w:t>
      </w:r>
    </w:p>
    <w:p w:rsidR="002D2404" w:rsidRPr="00D3763B" w:rsidRDefault="002D2404" w:rsidP="002D2404">
      <w:pPr>
        <w:ind w:firstLine="567"/>
        <w:jc w:val="both"/>
        <w:rPr>
          <w:rFonts w:asciiTheme="minorHAnsi" w:hAnsiTheme="minorHAnsi" w:cstheme="minorHAnsi"/>
          <w:sz w:val="22"/>
          <w:szCs w:val="22"/>
        </w:rPr>
      </w:pPr>
      <w:r w:rsidRPr="00D3763B">
        <w:rPr>
          <w:rFonts w:asciiTheme="minorHAnsi" w:hAnsiTheme="minorHAnsi" w:cstheme="minorHAnsi"/>
          <w:sz w:val="22"/>
          <w:szCs w:val="22"/>
        </w:rPr>
        <w:t xml:space="preserve">Pirmosios instancijos teismo sprendimas, kuriuo administracinė byla dėl reikalavimo panaikinti Sveikatos apsaugos ministerijos raštą, nutraukta, o kita pareiškėjo </w:t>
      </w:r>
      <w:bookmarkStart w:id="82" w:name="Buk_3"/>
      <w:r w:rsidRPr="00D3763B">
        <w:rPr>
          <w:rFonts w:asciiTheme="minorHAnsi" w:hAnsiTheme="minorHAnsi" w:cstheme="minorHAnsi"/>
          <w:sz w:val="22"/>
          <w:szCs w:val="22"/>
        </w:rPr>
        <w:t xml:space="preserve">R. Š. </w:t>
      </w:r>
      <w:bookmarkEnd w:id="82"/>
      <w:r w:rsidRPr="00D3763B">
        <w:rPr>
          <w:rFonts w:asciiTheme="minorHAnsi" w:hAnsiTheme="minorHAnsi" w:cstheme="minorHAnsi"/>
          <w:sz w:val="22"/>
          <w:szCs w:val="22"/>
        </w:rPr>
        <w:t>skundo dalis atmesta kaip nepagrįsta, palikta nepakeista, o pareiškėjo apeliacinis skundas atmestas.</w:t>
      </w:r>
    </w:p>
    <w:p w:rsidR="002D2404" w:rsidRPr="00D3763B" w:rsidRDefault="002D2404" w:rsidP="002D2404">
      <w:pPr>
        <w:ind w:firstLine="567"/>
        <w:jc w:val="both"/>
        <w:rPr>
          <w:rFonts w:asciiTheme="minorHAnsi" w:hAnsiTheme="minorHAnsi" w:cstheme="minorHAnsi"/>
          <w:sz w:val="22"/>
          <w:szCs w:val="22"/>
        </w:rPr>
      </w:pPr>
    </w:p>
    <w:p w:rsidR="002D2404" w:rsidRPr="00D3763B" w:rsidRDefault="002D2404" w:rsidP="002D2404">
      <w:pPr>
        <w:jc w:val="both"/>
        <w:rPr>
          <w:rFonts w:asciiTheme="minorHAnsi" w:hAnsiTheme="minorHAnsi" w:cstheme="minorHAnsi"/>
          <w:sz w:val="22"/>
          <w:szCs w:val="22"/>
        </w:rPr>
      </w:pPr>
      <w:r w:rsidRPr="00D3763B">
        <w:rPr>
          <w:rFonts w:asciiTheme="minorHAnsi" w:hAnsiTheme="minorHAnsi" w:cstheme="minorHAnsi"/>
          <w:sz w:val="22"/>
          <w:szCs w:val="22"/>
        </w:rPr>
        <w:t>2018 m. birželio 13 d. nutartis administracinėje byloje</w:t>
      </w:r>
      <w:r w:rsidR="00195E5C" w:rsidRPr="00D3763B">
        <w:rPr>
          <w:rFonts w:asciiTheme="minorHAnsi" w:hAnsiTheme="minorHAnsi" w:cstheme="minorHAnsi"/>
          <w:sz w:val="22"/>
          <w:szCs w:val="22"/>
        </w:rPr>
        <w:t xml:space="preserve"> </w:t>
      </w:r>
      <w:r w:rsidRPr="00D3763B">
        <w:rPr>
          <w:rFonts w:asciiTheme="minorHAnsi" w:hAnsiTheme="minorHAnsi" w:cstheme="minorHAnsi"/>
          <w:sz w:val="22"/>
          <w:szCs w:val="22"/>
        </w:rPr>
        <w:t>Nr. A-205-756/2018</w:t>
      </w:r>
    </w:p>
    <w:p w:rsidR="002D2404" w:rsidRPr="00D3763B" w:rsidRDefault="002D2404" w:rsidP="002D2404">
      <w:pPr>
        <w:jc w:val="both"/>
        <w:rPr>
          <w:rFonts w:asciiTheme="minorHAnsi" w:hAnsiTheme="minorHAnsi" w:cstheme="minorHAnsi"/>
          <w:sz w:val="22"/>
          <w:szCs w:val="22"/>
        </w:rPr>
      </w:pPr>
      <w:r w:rsidRPr="00D3763B">
        <w:rPr>
          <w:rFonts w:asciiTheme="minorHAnsi" w:hAnsiTheme="minorHAnsi" w:cstheme="minorHAnsi"/>
          <w:sz w:val="22"/>
          <w:szCs w:val="22"/>
        </w:rPr>
        <w:t>Teisminio proceso Nr. 3-61-3-02754-2015-9</w:t>
      </w:r>
    </w:p>
    <w:p w:rsidR="002D2404" w:rsidRPr="00D3763B" w:rsidRDefault="002D2404" w:rsidP="002D2404">
      <w:pPr>
        <w:jc w:val="both"/>
        <w:rPr>
          <w:rFonts w:asciiTheme="minorHAnsi" w:hAnsiTheme="minorHAnsi" w:cstheme="minorHAnsi"/>
          <w:sz w:val="22"/>
          <w:szCs w:val="22"/>
        </w:rPr>
      </w:pPr>
      <w:r w:rsidRPr="00D3763B">
        <w:rPr>
          <w:rFonts w:asciiTheme="minorHAnsi" w:hAnsiTheme="minorHAnsi" w:cstheme="minorHAnsi"/>
          <w:sz w:val="22"/>
          <w:szCs w:val="22"/>
        </w:rPr>
        <w:t xml:space="preserve">Procesinio sprendimo </w:t>
      </w:r>
      <w:r w:rsidRPr="00D3763B">
        <w:rPr>
          <w:rFonts w:asciiTheme="minorHAnsi" w:hAnsiTheme="minorHAnsi" w:cstheme="minorHAnsi"/>
          <w:bCs/>
          <w:sz w:val="22"/>
          <w:szCs w:val="22"/>
        </w:rPr>
        <w:t>kategorija 41</w:t>
      </w:r>
    </w:p>
    <w:p w:rsidR="002D2404" w:rsidRPr="00D3763B" w:rsidRDefault="000220C9" w:rsidP="002D2404">
      <w:pPr>
        <w:jc w:val="both"/>
        <w:rPr>
          <w:rFonts w:asciiTheme="minorHAnsi" w:hAnsiTheme="minorHAnsi" w:cstheme="minorHAnsi"/>
          <w:sz w:val="22"/>
          <w:szCs w:val="22"/>
        </w:rPr>
      </w:pPr>
      <w:hyperlink r:id="rId26" w:history="1">
        <w:r w:rsidR="002D2404" w:rsidRPr="00D3763B">
          <w:rPr>
            <w:rStyle w:val="Hyperlink"/>
            <w:rFonts w:asciiTheme="minorHAnsi" w:hAnsiTheme="minorHAnsi" w:cstheme="minorHAnsi"/>
            <w:sz w:val="22"/>
            <w:szCs w:val="22"/>
          </w:rPr>
          <w:t>Prieiga internete</w:t>
        </w:r>
      </w:hyperlink>
    </w:p>
    <w:p w:rsidR="00A84D45" w:rsidRPr="00D3763B" w:rsidRDefault="00A84D45" w:rsidP="009C6F61">
      <w:bookmarkStart w:id="83" w:name="_Toc462150022"/>
      <w:bookmarkEnd w:id="78"/>
      <w:bookmarkEnd w:id="83"/>
    </w:p>
    <w:p w:rsidR="00A84D45" w:rsidRPr="00D3763B" w:rsidRDefault="00A84D45" w:rsidP="0014360F">
      <w:pPr>
        <w:pStyle w:val="Apzvalgai1"/>
        <w:rPr>
          <w:rFonts w:asciiTheme="minorHAnsi" w:hAnsiTheme="minorHAnsi" w:cstheme="minorHAnsi"/>
        </w:rPr>
      </w:pPr>
      <w:bookmarkStart w:id="84" w:name="_Toc519600879"/>
      <w:bookmarkStart w:id="85" w:name="_Toc524957060"/>
      <w:r w:rsidRPr="00D3763B">
        <w:rPr>
          <w:rFonts w:asciiTheme="minorHAnsi" w:hAnsiTheme="minorHAnsi" w:cstheme="minorHAnsi"/>
        </w:rPr>
        <w:t>49. Reikalavimo užtikrinimo priemonių taikymas</w:t>
      </w:r>
      <w:bookmarkEnd w:id="84"/>
      <w:bookmarkEnd w:id="85"/>
    </w:p>
    <w:p w:rsidR="00223FBB" w:rsidRPr="00D3763B" w:rsidRDefault="00223FBB" w:rsidP="00223FBB">
      <w:pPr>
        <w:ind w:firstLine="567"/>
        <w:jc w:val="both"/>
        <w:rPr>
          <w:rFonts w:asciiTheme="minorHAnsi" w:hAnsiTheme="minorHAnsi" w:cstheme="minorHAnsi"/>
          <w:sz w:val="22"/>
          <w:szCs w:val="22"/>
        </w:rPr>
      </w:pPr>
    </w:p>
    <w:p w:rsidR="00223FBB" w:rsidRPr="00D3763B" w:rsidRDefault="00223FBB" w:rsidP="00D3763B">
      <w:pPr>
        <w:pStyle w:val="Heading2"/>
      </w:pPr>
      <w:bookmarkStart w:id="86" w:name="_Toc524957061"/>
      <w:r w:rsidRPr="00D3763B">
        <w:t>Dėl norminio administracinio akto galiojimo sustabdymo</w:t>
      </w:r>
      <w:bookmarkEnd w:id="86"/>
      <w:r w:rsidRPr="00D3763B">
        <w:t xml:space="preserve"> </w:t>
      </w:r>
    </w:p>
    <w:p w:rsidR="00223FBB" w:rsidRPr="00D3763B" w:rsidRDefault="00223FBB" w:rsidP="00223FBB">
      <w:pPr>
        <w:pStyle w:val="NormalWeb"/>
        <w:spacing w:before="0" w:beforeAutospacing="0" w:after="0" w:afterAutospacing="0"/>
        <w:ind w:firstLine="567"/>
        <w:jc w:val="both"/>
        <w:rPr>
          <w:rFonts w:asciiTheme="minorHAnsi" w:hAnsiTheme="minorHAnsi" w:cstheme="minorHAnsi"/>
          <w:sz w:val="22"/>
          <w:szCs w:val="22"/>
          <w:lang w:val="lt-LT" w:eastAsia="lt-LT"/>
        </w:rPr>
      </w:pPr>
    </w:p>
    <w:p w:rsidR="00223FBB" w:rsidRPr="00D3763B" w:rsidRDefault="00223FBB" w:rsidP="00223FBB">
      <w:pPr>
        <w:ind w:firstLine="567"/>
        <w:jc w:val="both"/>
        <w:rPr>
          <w:rFonts w:asciiTheme="minorHAnsi" w:hAnsiTheme="minorHAnsi" w:cstheme="minorHAnsi"/>
          <w:sz w:val="22"/>
          <w:szCs w:val="22"/>
          <w:lang w:eastAsia="en-US"/>
        </w:rPr>
      </w:pPr>
      <w:r w:rsidRPr="00D3763B">
        <w:rPr>
          <w:rFonts w:asciiTheme="minorHAnsi" w:hAnsiTheme="minorHAnsi" w:cstheme="minorHAnsi"/>
          <w:sz w:val="22"/>
          <w:szCs w:val="22"/>
        </w:rPr>
        <w:t>Apžvelgiamoje byloje buvo išnagrinėtas pareiškėjų prašymas taikyti reikalavimo užtikrinimo priemonę – laikinai sustabdyti Lietuvos Respublikos sveikatos apsaugos ministro 2018 m. gegužės 10 d. įsakymo Nr. V-574 galiojimą byloje dėl Lietuvos Respublikos sveikatos apsaugos ministro 2018 m. gegužės 10 d. įsakymu Nr. V-574 patvirtintų Lietuvos nacionalinės sveikatos sistemos valstybės ir savivaldybių biudžetinių ir viešųjų įstaigų, jų padalinių ir filialų vadovams keliamų kvalifikacinių reikalavimų 4.1 punkto normos, toje dalyje, kurioje yra nustatyta, kad pretendentas turi “&lt;...&gt;</w:t>
      </w:r>
      <w:r w:rsidR="00F35F6F">
        <w:rPr>
          <w:rFonts w:asciiTheme="minorHAnsi" w:hAnsiTheme="minorHAnsi" w:cstheme="minorHAnsi"/>
          <w:sz w:val="22"/>
          <w:szCs w:val="22"/>
        </w:rPr>
        <w:t xml:space="preserve"> </w:t>
      </w:r>
      <w:r w:rsidRPr="00D3763B">
        <w:rPr>
          <w:rFonts w:asciiTheme="minorHAnsi" w:hAnsiTheme="minorHAnsi" w:cstheme="minorHAnsi"/>
          <w:sz w:val="22"/>
          <w:szCs w:val="22"/>
        </w:rPr>
        <w:t>būti Lietuvos Respublikos pilietis arba turėti leidimą nuolat gyventi Lietuvos Respublikoje”, teisėtumo.</w:t>
      </w:r>
    </w:p>
    <w:p w:rsidR="00223FBB" w:rsidRPr="00D3763B" w:rsidRDefault="00223FBB" w:rsidP="00223FBB">
      <w:pPr>
        <w:ind w:firstLine="567"/>
        <w:jc w:val="both"/>
        <w:rPr>
          <w:rFonts w:asciiTheme="minorHAnsi" w:hAnsiTheme="minorHAnsi" w:cstheme="minorHAnsi"/>
          <w:sz w:val="22"/>
          <w:szCs w:val="22"/>
        </w:rPr>
      </w:pPr>
      <w:r w:rsidRPr="00D3763B">
        <w:rPr>
          <w:rFonts w:asciiTheme="minorHAnsi" w:hAnsiTheme="minorHAnsi" w:cstheme="minorHAnsi"/>
          <w:sz w:val="22"/>
          <w:szCs w:val="22"/>
        </w:rPr>
        <w:t>Prašymą pareiškėjai motyvavo tuo, kad 2018 m. birželio 21 d. sveikatos apsaugos ministras paskelbė konkursus užimti 5 šalies ligoninių vadovų pareigas. Europos Sąjungos valstybių narių piliečių ir jų šeimos narių teisę pretenduoti eiti pirmiau nurodytas pareigas riboja byloje tiriama nuostata, pagal kurią pretendentai privalo turėti leidimą nuolat gyventi Lietuvos Respublikoje.</w:t>
      </w:r>
    </w:p>
    <w:p w:rsidR="00223FBB" w:rsidRPr="00D3763B" w:rsidRDefault="00223FBB" w:rsidP="00223FBB">
      <w:pPr>
        <w:ind w:firstLine="567"/>
        <w:jc w:val="both"/>
        <w:rPr>
          <w:rFonts w:asciiTheme="minorHAnsi" w:hAnsiTheme="minorHAnsi" w:cstheme="minorHAnsi"/>
          <w:sz w:val="22"/>
          <w:szCs w:val="22"/>
        </w:rPr>
      </w:pPr>
      <w:r w:rsidRPr="00D3763B">
        <w:rPr>
          <w:rFonts w:asciiTheme="minorHAnsi" w:hAnsiTheme="minorHAnsi" w:cstheme="minorHAnsi"/>
          <w:sz w:val="22"/>
          <w:szCs w:val="22"/>
        </w:rPr>
        <w:t xml:space="preserve">Teisėjų kolegija pažymėjo, kad vertinant prašymo taikyti reikalavimo užtikrinimo priemonę pagrįstumą, šiuo atveju reikšminga tai, kokie padariniai kiltų teismui pripažinus pareiškimą pagrįstu. Teismo sprendimo dėl kvestionuojamos teisės normos teisėtumo paskelbimo metu gali būti pasibaigę pareiškėjų nurodyti </w:t>
      </w:r>
      <w:r w:rsidRPr="00D3763B">
        <w:rPr>
          <w:rFonts w:asciiTheme="minorHAnsi" w:hAnsiTheme="minorHAnsi" w:cstheme="minorHAnsi"/>
          <w:sz w:val="22"/>
          <w:szCs w:val="22"/>
        </w:rPr>
        <w:lastRenderedPageBreak/>
        <w:t>konkursai, be to, iki tol gali būti įvykę daugiau konkursų sveikatos sistemos įstaigų vadovų pareigoms užimti. Tokia padėtis galėtų lemti asmenų teisių, kuriems prašomos ištirti nuostatos užkerta kelią lygiateisiškai dalyvauti konkursuose, pažeidimus, taip pat prievolės atlyginti žalą šiems asmenims atsiradimą, dėl to nukentėtų viešasis interesas.</w:t>
      </w:r>
    </w:p>
    <w:p w:rsidR="00223FBB" w:rsidRPr="00D3763B" w:rsidRDefault="00223FBB" w:rsidP="00223FBB">
      <w:pPr>
        <w:ind w:firstLine="567"/>
        <w:jc w:val="both"/>
        <w:rPr>
          <w:rFonts w:asciiTheme="minorHAnsi" w:hAnsiTheme="minorHAnsi" w:cstheme="minorHAnsi"/>
          <w:sz w:val="22"/>
          <w:szCs w:val="22"/>
        </w:rPr>
      </w:pPr>
      <w:r w:rsidRPr="00D3763B">
        <w:rPr>
          <w:rFonts w:asciiTheme="minorHAnsi" w:hAnsiTheme="minorHAnsi" w:cstheme="minorHAnsi"/>
          <w:sz w:val="22"/>
          <w:szCs w:val="22"/>
        </w:rPr>
        <w:t>Byloje konstatuota, kad nesiėmus užtikrinimo priemonių, gali būti padaryta sunkiai atitaisoma didelė žala, pareiškėjų prašomos reikalavimo užtikrinimo priemonės taikymas kvestionuojamos normos apimtimi šiuo atveju yra adekvatus siekiamam tikslui, nepažeis proporcingumo principo, proceso šalių interesų pusiausvyros, viešojo intereso.</w:t>
      </w:r>
    </w:p>
    <w:p w:rsidR="00223FBB" w:rsidRPr="00D3763B" w:rsidRDefault="00223FBB" w:rsidP="00223FBB">
      <w:pPr>
        <w:ind w:firstLine="567"/>
        <w:jc w:val="both"/>
        <w:rPr>
          <w:rFonts w:asciiTheme="minorHAnsi" w:hAnsiTheme="minorHAnsi" w:cstheme="minorHAnsi"/>
          <w:sz w:val="22"/>
          <w:szCs w:val="22"/>
        </w:rPr>
      </w:pPr>
      <w:r w:rsidRPr="00D3763B">
        <w:rPr>
          <w:rFonts w:asciiTheme="minorHAnsi" w:hAnsiTheme="minorHAnsi" w:cstheme="minorHAnsi"/>
          <w:sz w:val="22"/>
          <w:szCs w:val="22"/>
        </w:rPr>
        <w:t>Atsižvelgusi į išdėstytus argumentus, ginčo santykių teisinį ir faktinį kontekstą, teisėjų kolegija nutarė iki teismo sprendimo šioje byloje paskelbimo sustabdyti Lietuvos Respublikos sveikatos apsaugos ministro 2018</w:t>
      </w:r>
      <w:r w:rsidR="00914108">
        <w:rPr>
          <w:rFonts w:asciiTheme="minorHAnsi" w:hAnsiTheme="minorHAnsi" w:cstheme="minorHAnsi"/>
          <w:sz w:val="22"/>
          <w:szCs w:val="22"/>
        </w:rPr>
        <w:t> </w:t>
      </w:r>
      <w:r w:rsidRPr="00D3763B">
        <w:rPr>
          <w:rFonts w:asciiTheme="minorHAnsi" w:hAnsiTheme="minorHAnsi" w:cstheme="minorHAnsi"/>
          <w:sz w:val="22"/>
          <w:szCs w:val="22"/>
        </w:rPr>
        <w:t>m. gegužės 10 d. įsakymu Nr. V-574 patvirtintų Lietuvos nacionalinės sveikatos sistemos valstybės ir savivaldybių biudžetinių ir viešųjų įstaigų, jų padalinių ir filialų vadovams keliamų</w:t>
      </w:r>
      <w:r w:rsidR="00914108">
        <w:rPr>
          <w:rFonts w:asciiTheme="minorHAnsi" w:hAnsiTheme="minorHAnsi" w:cstheme="minorHAnsi"/>
          <w:sz w:val="22"/>
          <w:szCs w:val="22"/>
        </w:rPr>
        <w:t xml:space="preserve"> kvalifikacinių reikalavimų 4.1 </w:t>
      </w:r>
      <w:r w:rsidRPr="00D3763B">
        <w:rPr>
          <w:rFonts w:asciiTheme="minorHAnsi" w:hAnsiTheme="minorHAnsi" w:cstheme="minorHAnsi"/>
          <w:sz w:val="22"/>
          <w:szCs w:val="22"/>
        </w:rPr>
        <w:t>punkto galiojimą ta apimtimi, kuria turėti leidimą nuolat gyventi Lietuvos Respublikoje reikalaujama iš Europos Sąjungos valstybės narių piliečių ir jų šeimos narių.</w:t>
      </w:r>
    </w:p>
    <w:p w:rsidR="00223FBB" w:rsidRPr="00D3763B" w:rsidRDefault="00223FBB" w:rsidP="00223FBB">
      <w:pPr>
        <w:ind w:firstLine="567"/>
        <w:jc w:val="both"/>
        <w:rPr>
          <w:rFonts w:asciiTheme="minorHAnsi" w:hAnsiTheme="minorHAnsi" w:cstheme="minorHAnsi"/>
          <w:sz w:val="22"/>
          <w:szCs w:val="22"/>
        </w:rPr>
      </w:pPr>
    </w:p>
    <w:p w:rsidR="00223FBB" w:rsidRPr="00D3763B" w:rsidRDefault="00223FBB" w:rsidP="00223FBB">
      <w:pPr>
        <w:tabs>
          <w:tab w:val="left" w:pos="142"/>
        </w:tabs>
        <w:ind w:right="38"/>
        <w:jc w:val="both"/>
        <w:rPr>
          <w:rFonts w:asciiTheme="minorHAnsi" w:hAnsiTheme="minorHAnsi" w:cstheme="minorHAnsi"/>
          <w:sz w:val="22"/>
          <w:szCs w:val="22"/>
        </w:rPr>
      </w:pPr>
      <w:r w:rsidRPr="00D3763B">
        <w:rPr>
          <w:rFonts w:asciiTheme="minorHAnsi" w:hAnsiTheme="minorHAnsi" w:cstheme="minorHAnsi"/>
          <w:bCs/>
          <w:sz w:val="22"/>
          <w:szCs w:val="22"/>
        </w:rPr>
        <w:t xml:space="preserve">2018 m. </w:t>
      </w:r>
      <w:r w:rsidRPr="00D3763B">
        <w:rPr>
          <w:rFonts w:asciiTheme="minorHAnsi" w:hAnsiTheme="minorHAnsi" w:cstheme="minorHAnsi"/>
          <w:sz w:val="22"/>
          <w:szCs w:val="22"/>
        </w:rPr>
        <w:t xml:space="preserve">liepos 9 </w:t>
      </w:r>
      <w:r w:rsidRPr="00D3763B">
        <w:rPr>
          <w:rFonts w:asciiTheme="minorHAnsi" w:hAnsiTheme="minorHAnsi" w:cstheme="minorHAnsi"/>
          <w:bCs/>
          <w:sz w:val="22"/>
          <w:szCs w:val="22"/>
        </w:rPr>
        <w:t xml:space="preserve">d. nutartis administracinėje byloje Nr. </w:t>
      </w:r>
      <w:r w:rsidRPr="00D3763B">
        <w:rPr>
          <w:rFonts w:asciiTheme="minorHAnsi" w:hAnsiTheme="minorHAnsi" w:cstheme="minorHAnsi"/>
          <w:sz w:val="22"/>
          <w:szCs w:val="22"/>
        </w:rPr>
        <w:t>I-25-822/2018</w:t>
      </w:r>
    </w:p>
    <w:p w:rsidR="00223FBB" w:rsidRPr="00D3763B" w:rsidRDefault="00223FBB" w:rsidP="00223FBB">
      <w:pPr>
        <w:tabs>
          <w:tab w:val="left" w:pos="142"/>
        </w:tabs>
        <w:ind w:right="38"/>
        <w:jc w:val="both"/>
        <w:rPr>
          <w:rFonts w:asciiTheme="minorHAnsi" w:hAnsiTheme="minorHAnsi" w:cstheme="minorHAnsi"/>
          <w:sz w:val="22"/>
          <w:szCs w:val="22"/>
        </w:rPr>
      </w:pPr>
      <w:r w:rsidRPr="00D3763B">
        <w:rPr>
          <w:rFonts w:asciiTheme="minorHAnsi" w:hAnsiTheme="minorHAnsi" w:cstheme="minorHAnsi"/>
          <w:sz w:val="22"/>
          <w:szCs w:val="22"/>
        </w:rPr>
        <w:t xml:space="preserve">Teisminio proceso Nr. </w:t>
      </w:r>
      <w:r w:rsidRPr="00D3763B">
        <w:rPr>
          <w:rFonts w:asciiTheme="minorHAnsi" w:hAnsiTheme="minorHAnsi" w:cstheme="minorHAnsi"/>
          <w:bCs/>
          <w:color w:val="000000"/>
          <w:sz w:val="22"/>
          <w:szCs w:val="22"/>
        </w:rPr>
        <w:t>3-66-3-00031-2018-3</w:t>
      </w:r>
    </w:p>
    <w:p w:rsidR="00223FBB" w:rsidRPr="00D3763B" w:rsidRDefault="00223FBB" w:rsidP="00223FBB">
      <w:pPr>
        <w:tabs>
          <w:tab w:val="left" w:pos="142"/>
        </w:tabs>
        <w:ind w:right="38"/>
        <w:jc w:val="both"/>
        <w:rPr>
          <w:rFonts w:asciiTheme="minorHAnsi" w:hAnsiTheme="minorHAnsi" w:cstheme="minorHAnsi"/>
          <w:bCs/>
          <w:sz w:val="22"/>
          <w:szCs w:val="22"/>
        </w:rPr>
      </w:pPr>
      <w:r w:rsidRPr="00D3763B">
        <w:rPr>
          <w:rFonts w:asciiTheme="minorHAnsi" w:hAnsiTheme="minorHAnsi" w:cstheme="minorHAnsi"/>
          <w:bCs/>
          <w:sz w:val="22"/>
          <w:szCs w:val="22"/>
        </w:rPr>
        <w:t>Procesinio sprendimo kategorija 49</w:t>
      </w:r>
    </w:p>
    <w:p w:rsidR="00223FBB" w:rsidRPr="00D3763B" w:rsidRDefault="000220C9" w:rsidP="00223FBB">
      <w:pPr>
        <w:tabs>
          <w:tab w:val="left" w:pos="142"/>
        </w:tabs>
        <w:ind w:right="38"/>
        <w:jc w:val="both"/>
        <w:rPr>
          <w:rFonts w:asciiTheme="minorHAnsi" w:hAnsiTheme="minorHAnsi" w:cstheme="minorHAnsi"/>
          <w:sz w:val="22"/>
          <w:szCs w:val="22"/>
        </w:rPr>
      </w:pPr>
      <w:hyperlink r:id="rId27" w:history="1">
        <w:r w:rsidR="00223FBB" w:rsidRPr="00F35F6F">
          <w:rPr>
            <w:rStyle w:val="Hyperlink"/>
            <w:rFonts w:asciiTheme="minorHAnsi" w:hAnsiTheme="minorHAnsi" w:cstheme="minorHAnsi"/>
            <w:sz w:val="22"/>
            <w:szCs w:val="22"/>
          </w:rPr>
          <w:t>Prieiga internete</w:t>
        </w:r>
      </w:hyperlink>
    </w:p>
    <w:p w:rsidR="00223FBB" w:rsidRPr="00D3763B" w:rsidRDefault="00223FBB" w:rsidP="00223FBB">
      <w:pPr>
        <w:ind w:firstLine="567"/>
        <w:jc w:val="both"/>
        <w:rPr>
          <w:rFonts w:asciiTheme="minorHAnsi" w:hAnsiTheme="minorHAnsi" w:cstheme="minorHAnsi"/>
          <w:sz w:val="22"/>
          <w:szCs w:val="22"/>
        </w:rPr>
      </w:pPr>
    </w:p>
    <w:p w:rsidR="00162692" w:rsidRPr="00D3763B" w:rsidRDefault="00162692" w:rsidP="0014360F">
      <w:pPr>
        <w:pStyle w:val="Apzvalgai1"/>
        <w:rPr>
          <w:rFonts w:asciiTheme="minorHAnsi" w:hAnsiTheme="minorHAnsi" w:cstheme="minorHAnsi"/>
        </w:rPr>
      </w:pPr>
      <w:bookmarkStart w:id="87" w:name="_Toc524957062"/>
      <w:r w:rsidRPr="00D3763B">
        <w:rPr>
          <w:rFonts w:asciiTheme="minorHAnsi" w:hAnsiTheme="minorHAnsi" w:cstheme="minorHAnsi"/>
        </w:rPr>
        <w:t>57. Bylos nagrinėjimo išlaidos</w:t>
      </w:r>
      <w:bookmarkEnd w:id="87"/>
    </w:p>
    <w:p w:rsidR="00162692" w:rsidRPr="00D3763B" w:rsidRDefault="00162692" w:rsidP="00162692">
      <w:pPr>
        <w:ind w:firstLine="567"/>
        <w:jc w:val="both"/>
        <w:rPr>
          <w:rFonts w:asciiTheme="minorHAnsi" w:hAnsiTheme="minorHAnsi" w:cstheme="minorHAnsi"/>
          <w:b/>
          <w:bCs/>
          <w:sz w:val="22"/>
          <w:szCs w:val="22"/>
          <w:u w:val="single"/>
        </w:rPr>
      </w:pPr>
      <w:r w:rsidRPr="00D3763B">
        <w:rPr>
          <w:rFonts w:asciiTheme="minorHAnsi" w:hAnsiTheme="minorHAnsi" w:cstheme="minorHAnsi"/>
          <w:b/>
          <w:bCs/>
          <w:sz w:val="22"/>
          <w:szCs w:val="22"/>
          <w:u w:val="single"/>
        </w:rPr>
        <w:t>57.2. Bylinėjimosi išlaidų paskirstymas</w:t>
      </w:r>
    </w:p>
    <w:p w:rsidR="00162692" w:rsidRPr="00D3763B" w:rsidRDefault="00162692" w:rsidP="00162692">
      <w:pPr>
        <w:ind w:firstLine="1134"/>
        <w:jc w:val="both"/>
        <w:rPr>
          <w:rFonts w:asciiTheme="minorHAnsi" w:hAnsiTheme="minorHAnsi" w:cstheme="minorHAnsi"/>
          <w:b/>
          <w:bCs/>
          <w:sz w:val="22"/>
          <w:szCs w:val="22"/>
          <w:u w:val="single"/>
        </w:rPr>
      </w:pPr>
      <w:r w:rsidRPr="00D3763B">
        <w:rPr>
          <w:rFonts w:asciiTheme="minorHAnsi" w:hAnsiTheme="minorHAnsi" w:cstheme="minorHAnsi"/>
          <w:b/>
          <w:bCs/>
          <w:sz w:val="22"/>
          <w:szCs w:val="22"/>
          <w:u w:val="single"/>
        </w:rPr>
        <w:t>57.2.2. Išlaidų paskirstymas, kai byla užbaigiama nepriėmus teismo sprendimo</w:t>
      </w:r>
    </w:p>
    <w:p w:rsidR="00162692" w:rsidRPr="00D3763B" w:rsidRDefault="00162692" w:rsidP="00162692">
      <w:pPr>
        <w:ind w:firstLine="1134"/>
        <w:jc w:val="both"/>
        <w:rPr>
          <w:rFonts w:asciiTheme="minorHAnsi" w:hAnsiTheme="minorHAnsi" w:cstheme="minorHAnsi"/>
          <w:b/>
          <w:bCs/>
          <w:sz w:val="22"/>
          <w:szCs w:val="22"/>
          <w:u w:val="single"/>
        </w:rPr>
      </w:pPr>
    </w:p>
    <w:p w:rsidR="00162692" w:rsidRPr="00D3763B" w:rsidRDefault="00162692" w:rsidP="00D3763B">
      <w:pPr>
        <w:pStyle w:val="Heading2"/>
      </w:pPr>
      <w:bookmarkStart w:id="88" w:name="_Toc524957063"/>
      <w:r w:rsidRPr="00D3763B">
        <w:t>Dėl trečiojo suinteresuoto asmens teisės į teismo išlaidų atlyginimą, kai byla nutraukiama pareiškėjui atsisakius skundo</w:t>
      </w:r>
      <w:bookmarkEnd w:id="88"/>
    </w:p>
    <w:p w:rsidR="00162692" w:rsidRPr="00D3763B" w:rsidRDefault="00162692" w:rsidP="00162692">
      <w:pPr>
        <w:jc w:val="both"/>
        <w:rPr>
          <w:rFonts w:asciiTheme="minorHAnsi" w:eastAsia="Arial Unicode MS" w:hAnsiTheme="minorHAnsi" w:cstheme="minorHAnsi"/>
          <w:i/>
          <w:sz w:val="22"/>
          <w:szCs w:val="22"/>
          <w:shd w:val="clear" w:color="auto" w:fill="FFFFFF"/>
        </w:rPr>
      </w:pPr>
    </w:p>
    <w:p w:rsidR="00162692" w:rsidRPr="00D3763B" w:rsidRDefault="00162692" w:rsidP="00162692">
      <w:pPr>
        <w:ind w:firstLine="567"/>
        <w:jc w:val="both"/>
        <w:rPr>
          <w:rFonts w:asciiTheme="minorHAnsi" w:hAnsiTheme="minorHAnsi" w:cstheme="minorHAnsi"/>
          <w:sz w:val="22"/>
          <w:szCs w:val="22"/>
        </w:rPr>
      </w:pPr>
      <w:r w:rsidRPr="00D3763B">
        <w:rPr>
          <w:rFonts w:asciiTheme="minorHAnsi" w:hAnsiTheme="minorHAnsi" w:cstheme="minorHAnsi"/>
          <w:sz w:val="22"/>
          <w:szCs w:val="22"/>
        </w:rPr>
        <w:t>Apžvelgiamoje byloje buvo tikrinamas pirmosios instancijos teismo nutarties dalies, kuria trečiojo suinteresuotojo asmens VĮ Klaipėdos valstybinio jūrų uosto direkcijos prašymas dėl patirtų bylinėjimosi išlaidų atlyginimo priteisimo tenkintas iš dalies ir iš pareiškėjo UAB „Senamiesčio investicijos“ trečiajam suinteresuotam asmeniui VĮ Klaipėdos valstybinio jūrų uosto direkcijai priteista 700 Eur bylinėjimosi išlaidų (su kuria atskirajame skunde nesutiko pareiškėjas), teisėtumas ir pagrįstumas.</w:t>
      </w:r>
    </w:p>
    <w:p w:rsidR="00162692" w:rsidRPr="00D3763B" w:rsidRDefault="00162692" w:rsidP="00162692">
      <w:pPr>
        <w:ind w:firstLine="567"/>
        <w:jc w:val="both"/>
        <w:rPr>
          <w:rFonts w:asciiTheme="minorHAnsi" w:hAnsiTheme="minorHAnsi" w:cstheme="minorHAnsi"/>
          <w:sz w:val="22"/>
          <w:szCs w:val="22"/>
        </w:rPr>
      </w:pPr>
      <w:r w:rsidRPr="00D3763B">
        <w:rPr>
          <w:rFonts w:asciiTheme="minorHAnsi" w:hAnsiTheme="minorHAnsi" w:cstheme="minorHAnsi"/>
          <w:sz w:val="22"/>
          <w:szCs w:val="22"/>
        </w:rPr>
        <w:t>Iš bylos medžiagos nustatyta, kad ši administracinė byla buvo nutraukta, nes pareiškėjas atsisakė skundo dėl to, jog jis kreipėsi į Klaipėdos miesto savivaldybės administraciją su prašymu nutraukti atitinkamo detaliojo plano rengimą ir šis prašymas buvo priimtas, ir pareiškėjas tokį sprendimą priėmė po to, kai paaiškėjo, jog šio detaliojo plano pagal išduotas planavimo sąlygas parengti nepavyks ir tolimesnis ginčas teismuose yra beprasmis. Taigi pareiškėjas atsisakė skundo ir byla nutraukta ne dėl to, kad atsakovas geruoju patenkino skundą.</w:t>
      </w:r>
    </w:p>
    <w:p w:rsidR="00162692" w:rsidRPr="00D3763B" w:rsidRDefault="00162692" w:rsidP="00162692">
      <w:pPr>
        <w:ind w:firstLine="567"/>
        <w:jc w:val="both"/>
        <w:rPr>
          <w:rFonts w:asciiTheme="minorHAnsi" w:hAnsiTheme="minorHAnsi" w:cstheme="minorHAnsi"/>
          <w:sz w:val="22"/>
          <w:szCs w:val="22"/>
        </w:rPr>
      </w:pPr>
      <w:r w:rsidRPr="00D3763B">
        <w:rPr>
          <w:rFonts w:asciiTheme="minorHAnsi" w:hAnsiTheme="minorHAnsi" w:cstheme="minorHAnsi"/>
          <w:sz w:val="22"/>
          <w:szCs w:val="22"/>
        </w:rPr>
        <w:t>Su skundo atsisakymu glaudžiai susijęs bylinėjimosi išlaidų atlyginimo klausimas. Vadovaujantis LVAT formuojama praktika, skundo atsisakymas ir bylos nutraukimas pagal savo materialinį ir procesinį teisinį poveikį iš esmės prilygsta teismo sprendimui, priimtam atsakovo naudai, t. y. skundo netenkinimui. Pareiškėjui atsisakius savo reikalavimų ir teismui nutraukus bylą, teisė į teisminę gynybą laikoma realizuota, ir pareiškėjas su tapačiu reikalavimu niekada nebeturės teisės kreiptis į teismą (2008 m. rugsėjo 25 d. nutartis administracinėje byloje Nr. AS</w:t>
      </w:r>
      <w:r w:rsidRPr="00D3763B">
        <w:rPr>
          <w:rFonts w:asciiTheme="minorHAnsi" w:hAnsiTheme="minorHAnsi" w:cstheme="minorHAnsi"/>
          <w:sz w:val="22"/>
          <w:szCs w:val="22"/>
          <w:vertAlign w:val="superscript"/>
        </w:rPr>
        <w:t>143</w:t>
      </w:r>
      <w:r w:rsidRPr="00D3763B">
        <w:rPr>
          <w:rFonts w:asciiTheme="minorHAnsi" w:hAnsiTheme="minorHAnsi" w:cstheme="minorHAnsi"/>
          <w:sz w:val="22"/>
          <w:szCs w:val="22"/>
        </w:rPr>
        <w:t>-375/2008).</w:t>
      </w:r>
    </w:p>
    <w:p w:rsidR="00162692" w:rsidRPr="00D3763B" w:rsidRDefault="00162692" w:rsidP="00162692">
      <w:pPr>
        <w:ind w:firstLine="567"/>
        <w:jc w:val="both"/>
        <w:rPr>
          <w:rFonts w:asciiTheme="minorHAnsi" w:hAnsiTheme="minorHAnsi" w:cstheme="minorHAnsi"/>
          <w:sz w:val="22"/>
          <w:szCs w:val="22"/>
        </w:rPr>
      </w:pPr>
      <w:r w:rsidRPr="00D3763B">
        <w:rPr>
          <w:rFonts w:asciiTheme="minorHAnsi" w:hAnsiTheme="minorHAnsi" w:cstheme="minorHAnsi"/>
          <w:sz w:val="22"/>
          <w:szCs w:val="22"/>
        </w:rPr>
        <w:t>LVAT teisėjų kolegija nesutiko su pareiškėjo argumentacija dėl pareiškėjo negalėjimo būti atsakingu už trečiojo suinteresuoto asmens VĮ Klaipėdos valstybinio jūrų uosto direkcijos patirtas išlaidas. Lietuvos administraciniame procese vyrauja principas „pralaimėjęs moka“. Šį principą išreiškia ABTĮ 40 straipsnio 1 dalis, nustatanti, jog proceso šalis, kurios naudai priimtas sprendimas, turi teisę gauti iš kitos proceso šalies savo išlaidų atlyginimą. Taigi, vadovaujantis ABTĮ 40 straipsnio nuostatomis, šalis, dėl kurios priimtas nepalankus teismo sprendimas, laikytina pralaimėjusia šalimi, todėl ji ne tik neturi teisės į bylinėjimosi išlaidų atlyginimą, bet ir įgyja pareigą atlyginti proceso šalies, kurios naudai priimtas teismo sprendimas, patirtas bylinėjimosi išlaidas.</w:t>
      </w:r>
    </w:p>
    <w:p w:rsidR="00162692" w:rsidRPr="00D3763B" w:rsidRDefault="00162692" w:rsidP="00162692">
      <w:pPr>
        <w:ind w:firstLine="567"/>
        <w:jc w:val="both"/>
        <w:rPr>
          <w:rFonts w:asciiTheme="minorHAnsi" w:hAnsiTheme="minorHAnsi" w:cstheme="minorHAnsi"/>
          <w:sz w:val="22"/>
          <w:szCs w:val="22"/>
        </w:rPr>
      </w:pPr>
      <w:r w:rsidRPr="00D3763B">
        <w:rPr>
          <w:rFonts w:asciiTheme="minorHAnsi" w:hAnsiTheme="minorHAnsi" w:cstheme="minorHAnsi"/>
          <w:sz w:val="22"/>
          <w:szCs w:val="22"/>
        </w:rPr>
        <w:t xml:space="preserve">Vadovaujantis ABTĮ 40 straipsnio 3 dalimi, kai išnagrinėjus bylą yra patenkinamos ar apginamos trečiųjų suinteresuotų asmenų teisės, šie asmenys turi tokias pačias teises į išlaidų atlyginimą, kaip ir proceso </w:t>
      </w:r>
      <w:r w:rsidRPr="00D3763B">
        <w:rPr>
          <w:rFonts w:asciiTheme="minorHAnsi" w:hAnsiTheme="minorHAnsi" w:cstheme="minorHAnsi"/>
          <w:sz w:val="22"/>
          <w:szCs w:val="22"/>
        </w:rPr>
        <w:lastRenderedPageBreak/>
        <w:t>šalis, kurios naudai priimtas sprendimas. Aptariamu atveju išnagrinėjus bylą buvo apgintos trečiojo suinteresuoto asmens VĮ Klaipėdos valstybinio jūrų uosto direkcijos teisės, todėl jis turi teisę į atstovavimo išlaidų atlyginimą (ABTĮ 40 str. 3, 5 d.), o pareiškėjui kyla pareiga atlyginti jos patirtas išlaidas.</w:t>
      </w:r>
    </w:p>
    <w:p w:rsidR="00162692" w:rsidRPr="00D3763B" w:rsidRDefault="00162692" w:rsidP="00162692">
      <w:pPr>
        <w:ind w:firstLine="567"/>
        <w:jc w:val="both"/>
        <w:rPr>
          <w:rFonts w:asciiTheme="minorHAnsi" w:hAnsiTheme="minorHAnsi" w:cstheme="minorHAnsi"/>
          <w:sz w:val="22"/>
          <w:szCs w:val="22"/>
        </w:rPr>
      </w:pPr>
      <w:r w:rsidRPr="00D3763B">
        <w:rPr>
          <w:rFonts w:asciiTheme="minorHAnsi" w:hAnsiTheme="minorHAnsi" w:cstheme="minorHAnsi"/>
          <w:sz w:val="22"/>
          <w:szCs w:val="22"/>
        </w:rPr>
        <w:t>VĮ Klaipėdos valstybinio jūrų uosto direkcijos prašomos priteisti atstovavimo išlaidos buvo pagrįstos įrodymais. Teisėjų kolegija sutiko su pirmosios instancijos teismo skaičiavimais dėl minėtų paslaugų suteikimo. Dar labiau mažinti VĮ Klaipėdos valstybinio jūrų uosto direkcijai priteistiną bylinėjimosi išlaidų sumą nebuvo pagrindo.</w:t>
      </w:r>
    </w:p>
    <w:p w:rsidR="00162692" w:rsidRPr="00D3763B" w:rsidRDefault="00162692" w:rsidP="00162692">
      <w:pPr>
        <w:ind w:firstLine="567"/>
        <w:jc w:val="both"/>
        <w:rPr>
          <w:rFonts w:asciiTheme="minorHAnsi" w:hAnsiTheme="minorHAnsi" w:cstheme="minorHAnsi"/>
          <w:sz w:val="22"/>
          <w:szCs w:val="22"/>
        </w:rPr>
      </w:pPr>
      <w:r w:rsidRPr="00D3763B">
        <w:rPr>
          <w:rFonts w:asciiTheme="minorHAnsi" w:hAnsiTheme="minorHAnsi" w:cstheme="minorHAnsi"/>
          <w:sz w:val="22"/>
          <w:szCs w:val="22"/>
        </w:rPr>
        <w:t>Pirmosios instancijos teismo nutarties dalis palikta nepakeista, o pareiškėjo atskirasis skundas atmestas.</w:t>
      </w:r>
    </w:p>
    <w:p w:rsidR="00162692" w:rsidRPr="00D3763B" w:rsidRDefault="00162692" w:rsidP="00162692">
      <w:pPr>
        <w:ind w:firstLine="567"/>
        <w:jc w:val="both"/>
        <w:rPr>
          <w:rFonts w:asciiTheme="minorHAnsi" w:hAnsiTheme="minorHAnsi" w:cstheme="minorHAnsi"/>
          <w:sz w:val="22"/>
          <w:szCs w:val="22"/>
        </w:rPr>
      </w:pPr>
    </w:p>
    <w:p w:rsidR="00162692" w:rsidRPr="00D3763B" w:rsidRDefault="00162692" w:rsidP="00162692">
      <w:pPr>
        <w:jc w:val="both"/>
        <w:rPr>
          <w:rFonts w:asciiTheme="minorHAnsi" w:hAnsiTheme="minorHAnsi" w:cstheme="minorHAnsi"/>
          <w:sz w:val="22"/>
          <w:szCs w:val="22"/>
        </w:rPr>
      </w:pPr>
      <w:r w:rsidRPr="00D3763B">
        <w:rPr>
          <w:rFonts w:asciiTheme="minorHAnsi" w:hAnsiTheme="minorHAnsi" w:cstheme="minorHAnsi"/>
          <w:sz w:val="22"/>
          <w:szCs w:val="22"/>
        </w:rPr>
        <w:t>2018 m. liepos 24 d. nutartis administracinėje byloje</w:t>
      </w:r>
      <w:r w:rsidR="00195E5C" w:rsidRPr="00D3763B">
        <w:rPr>
          <w:rFonts w:asciiTheme="minorHAnsi" w:hAnsiTheme="minorHAnsi" w:cstheme="minorHAnsi"/>
          <w:sz w:val="22"/>
          <w:szCs w:val="22"/>
        </w:rPr>
        <w:t xml:space="preserve"> </w:t>
      </w:r>
      <w:r w:rsidRPr="00D3763B">
        <w:rPr>
          <w:rFonts w:asciiTheme="minorHAnsi" w:hAnsiTheme="minorHAnsi" w:cstheme="minorHAnsi"/>
          <w:sz w:val="22"/>
          <w:szCs w:val="22"/>
        </w:rPr>
        <w:t>Nr. eAS-514-525/2018</w:t>
      </w:r>
    </w:p>
    <w:p w:rsidR="00162692" w:rsidRPr="00D3763B" w:rsidRDefault="00162692" w:rsidP="00162692">
      <w:pPr>
        <w:jc w:val="both"/>
        <w:rPr>
          <w:rFonts w:asciiTheme="minorHAnsi" w:hAnsiTheme="minorHAnsi" w:cstheme="minorHAnsi"/>
          <w:sz w:val="22"/>
          <w:szCs w:val="22"/>
        </w:rPr>
      </w:pPr>
      <w:r w:rsidRPr="00D3763B">
        <w:rPr>
          <w:rFonts w:asciiTheme="minorHAnsi" w:hAnsiTheme="minorHAnsi" w:cstheme="minorHAnsi"/>
          <w:sz w:val="22"/>
          <w:szCs w:val="22"/>
        </w:rPr>
        <w:t>Teisminio proceso Nr. 3-63-3-01099-2017-4</w:t>
      </w:r>
    </w:p>
    <w:p w:rsidR="00162692" w:rsidRPr="00D3763B" w:rsidRDefault="00162692" w:rsidP="00162692">
      <w:pPr>
        <w:jc w:val="both"/>
        <w:rPr>
          <w:rFonts w:asciiTheme="minorHAnsi" w:hAnsiTheme="minorHAnsi" w:cstheme="minorHAnsi"/>
          <w:sz w:val="22"/>
          <w:szCs w:val="22"/>
        </w:rPr>
      </w:pPr>
      <w:r w:rsidRPr="00D3763B">
        <w:rPr>
          <w:rFonts w:asciiTheme="minorHAnsi" w:hAnsiTheme="minorHAnsi" w:cstheme="minorHAnsi"/>
          <w:sz w:val="22"/>
          <w:szCs w:val="22"/>
        </w:rPr>
        <w:t xml:space="preserve">Procesinio sprendimo </w:t>
      </w:r>
      <w:r w:rsidRPr="00D3763B">
        <w:rPr>
          <w:rFonts w:asciiTheme="minorHAnsi" w:hAnsiTheme="minorHAnsi" w:cstheme="minorHAnsi"/>
          <w:bCs/>
          <w:sz w:val="22"/>
          <w:szCs w:val="22"/>
        </w:rPr>
        <w:t>kategorija 57.2.2</w:t>
      </w:r>
    </w:p>
    <w:p w:rsidR="00162692" w:rsidRPr="00D3763B" w:rsidRDefault="000220C9" w:rsidP="00162692">
      <w:pPr>
        <w:jc w:val="both"/>
        <w:rPr>
          <w:rFonts w:asciiTheme="minorHAnsi" w:hAnsiTheme="minorHAnsi" w:cstheme="minorHAnsi"/>
          <w:sz w:val="22"/>
          <w:szCs w:val="22"/>
        </w:rPr>
      </w:pPr>
      <w:hyperlink r:id="rId28" w:history="1">
        <w:r w:rsidR="00162692" w:rsidRPr="00D3763B">
          <w:rPr>
            <w:rStyle w:val="Hyperlink"/>
            <w:rFonts w:asciiTheme="minorHAnsi" w:hAnsiTheme="minorHAnsi" w:cstheme="minorHAnsi"/>
            <w:sz w:val="22"/>
            <w:szCs w:val="22"/>
          </w:rPr>
          <w:t>Prieiga internete</w:t>
        </w:r>
      </w:hyperlink>
    </w:p>
    <w:p w:rsidR="00162692" w:rsidRPr="00D3763B" w:rsidRDefault="00162692" w:rsidP="00162692">
      <w:pPr>
        <w:ind w:firstLine="1134"/>
        <w:jc w:val="both"/>
        <w:rPr>
          <w:rFonts w:asciiTheme="minorHAnsi" w:hAnsiTheme="minorHAnsi" w:cstheme="minorHAnsi"/>
          <w:b/>
          <w:bCs/>
          <w:sz w:val="22"/>
          <w:szCs w:val="22"/>
          <w:u w:val="single"/>
        </w:rPr>
      </w:pPr>
    </w:p>
    <w:p w:rsidR="00162692" w:rsidRPr="00D3763B" w:rsidRDefault="00162692" w:rsidP="00162692">
      <w:pPr>
        <w:ind w:firstLine="567"/>
        <w:jc w:val="both"/>
        <w:rPr>
          <w:rFonts w:asciiTheme="minorHAnsi" w:hAnsiTheme="minorHAnsi" w:cstheme="minorHAnsi"/>
          <w:b/>
          <w:bCs/>
          <w:sz w:val="22"/>
          <w:szCs w:val="22"/>
          <w:u w:val="single"/>
        </w:rPr>
      </w:pPr>
      <w:r w:rsidRPr="00D3763B">
        <w:rPr>
          <w:rFonts w:asciiTheme="minorHAnsi" w:hAnsiTheme="minorHAnsi" w:cstheme="minorHAnsi"/>
          <w:b/>
          <w:bCs/>
          <w:sz w:val="22"/>
          <w:szCs w:val="22"/>
          <w:u w:val="single"/>
        </w:rPr>
        <w:t>57.6. Kiti su bylos nagrinėjimo išlaidomis susiję klausimai</w:t>
      </w:r>
    </w:p>
    <w:p w:rsidR="00162692" w:rsidRPr="00D3763B" w:rsidRDefault="00162692" w:rsidP="00162692">
      <w:pPr>
        <w:jc w:val="both"/>
        <w:rPr>
          <w:rFonts w:asciiTheme="minorHAnsi" w:eastAsia="Arial Unicode MS" w:hAnsiTheme="minorHAnsi" w:cstheme="minorHAnsi"/>
          <w:i/>
          <w:sz w:val="22"/>
          <w:szCs w:val="22"/>
          <w:shd w:val="clear" w:color="auto" w:fill="FFFFFF"/>
        </w:rPr>
      </w:pPr>
    </w:p>
    <w:p w:rsidR="00162692" w:rsidRPr="00D3763B" w:rsidRDefault="00162692" w:rsidP="00D3763B">
      <w:pPr>
        <w:pStyle w:val="Heading2"/>
      </w:pPr>
      <w:bookmarkStart w:id="89" w:name="_Toc524957064"/>
      <w:r w:rsidRPr="00D3763B">
        <w:t>Dėl teismo išlaidų priteisimo tik įsiteisėjus sprendimui</w:t>
      </w:r>
      <w:bookmarkEnd w:id="89"/>
    </w:p>
    <w:p w:rsidR="00162692" w:rsidRPr="00D3763B" w:rsidRDefault="00162692" w:rsidP="00162692">
      <w:pPr>
        <w:jc w:val="both"/>
        <w:rPr>
          <w:rFonts w:asciiTheme="minorHAnsi" w:eastAsia="Arial Unicode MS" w:hAnsiTheme="minorHAnsi" w:cstheme="minorHAnsi"/>
          <w:i/>
          <w:sz w:val="22"/>
          <w:szCs w:val="22"/>
          <w:shd w:val="clear" w:color="auto" w:fill="FFFFFF"/>
        </w:rPr>
      </w:pPr>
    </w:p>
    <w:p w:rsidR="00162692" w:rsidRPr="00D3763B" w:rsidRDefault="00162692" w:rsidP="00162692">
      <w:pPr>
        <w:ind w:firstLine="567"/>
        <w:jc w:val="both"/>
        <w:rPr>
          <w:rFonts w:asciiTheme="minorHAnsi" w:hAnsiTheme="minorHAnsi" w:cstheme="minorHAnsi"/>
          <w:sz w:val="22"/>
          <w:szCs w:val="22"/>
        </w:rPr>
      </w:pPr>
      <w:r w:rsidRPr="00D3763B">
        <w:rPr>
          <w:rFonts w:asciiTheme="minorHAnsi" w:hAnsiTheme="minorHAnsi" w:cstheme="minorHAnsi"/>
          <w:sz w:val="22"/>
          <w:szCs w:val="22"/>
        </w:rPr>
        <w:t>Apžvelgiamoje byloje atskiraisiais skundais buvo ginčijama pirmosios instancijos teismo nutartis, kuria teismas tenkino iš dalies pareiškėjo prašymą dėl išlaidų advokato pagalbai apmokėti ir priteisė iš atsakovo Nacionalinės mokėjimo agentūros prie Žemės ūkio ministerijos pareiškėjo naudai 1 919,76 Eur bylinėjimosi išlaidų, patirtų bylą nagrinėjant pirmosios instancijos teisme, o pareiškėjo vėlesnį prašymą paliko nenagrinėtą.</w:t>
      </w:r>
    </w:p>
    <w:p w:rsidR="00162692" w:rsidRPr="00D3763B" w:rsidRDefault="00162692" w:rsidP="00162692">
      <w:pPr>
        <w:ind w:firstLine="567"/>
        <w:jc w:val="both"/>
        <w:rPr>
          <w:rFonts w:asciiTheme="minorHAnsi" w:hAnsiTheme="minorHAnsi" w:cstheme="minorHAnsi"/>
          <w:sz w:val="22"/>
          <w:szCs w:val="22"/>
        </w:rPr>
      </w:pPr>
      <w:r w:rsidRPr="00D3763B">
        <w:rPr>
          <w:rFonts w:asciiTheme="minorHAnsi" w:hAnsiTheme="minorHAnsi" w:cstheme="minorHAnsi"/>
          <w:sz w:val="22"/>
          <w:szCs w:val="22"/>
        </w:rPr>
        <w:t xml:space="preserve">Pareiškėjas atskirajame skunde prašė pakeisti pirmosios instancijos teismo nutartį ir priteisti didesnę patirtų teismo išlaidų atlyginimo sumą, o atsakovas prašė panaikinti pirmosios instancijos teismo nutartį ir prašymą dėl bylinėjimosi išlaidų priteisimo palikti nenagrinėtą iki kol įsiteisės galutinis teismo sprendimas. </w:t>
      </w:r>
    </w:p>
    <w:p w:rsidR="00162692" w:rsidRPr="00D3763B" w:rsidRDefault="00162692" w:rsidP="00162692">
      <w:pPr>
        <w:ind w:firstLine="567"/>
        <w:jc w:val="both"/>
        <w:rPr>
          <w:rFonts w:asciiTheme="minorHAnsi" w:hAnsiTheme="minorHAnsi" w:cstheme="minorHAnsi"/>
          <w:sz w:val="22"/>
          <w:szCs w:val="22"/>
        </w:rPr>
      </w:pPr>
      <w:r w:rsidRPr="00D3763B">
        <w:rPr>
          <w:rFonts w:asciiTheme="minorHAnsi" w:hAnsiTheme="minorHAnsi" w:cstheme="minorHAnsi"/>
          <w:sz w:val="22"/>
          <w:szCs w:val="22"/>
        </w:rPr>
        <w:t>Pagal ABTĮ 41 straipsnio 2 dalį, iki bylos nagrinėjimo iš esmės pabaigos administraciniame teisme pateiktus prašymus dėl išlaidų atlyginimo teismas išnagrinėja priimdamas sprendimą dėl administracinės bylos. Kitais atvejais prašymą dėl išlaidų atlyginimo teismas išnagrinėja paprastai rašytinio proceso tvarka priimdamas nutartį.</w:t>
      </w:r>
    </w:p>
    <w:p w:rsidR="00162692" w:rsidRPr="00D3763B" w:rsidRDefault="00162692" w:rsidP="00162692">
      <w:pPr>
        <w:ind w:firstLine="567"/>
        <w:jc w:val="both"/>
        <w:rPr>
          <w:rFonts w:asciiTheme="minorHAnsi" w:hAnsiTheme="minorHAnsi" w:cstheme="minorHAnsi"/>
          <w:sz w:val="22"/>
          <w:szCs w:val="22"/>
        </w:rPr>
      </w:pPr>
      <w:r w:rsidRPr="00D3763B">
        <w:rPr>
          <w:rFonts w:asciiTheme="minorHAnsi" w:hAnsiTheme="minorHAnsi" w:cstheme="minorHAnsi"/>
          <w:sz w:val="22"/>
          <w:szCs w:val="22"/>
        </w:rPr>
        <w:t xml:space="preserve">Aptariamu atveju pareiškėjas pirmą prašymą dėl bylinėjimosi išlaidų priteisimo pateikė iki bylos nagrinėjimo iš esmės pabaigos, teismo posėdyje, tačiau pirmosios instancijos teismas 2018 m. kovo 2 d. sprendimu, tenkindamas pareiškėjo skundą, neišsprendė šio prašymo, pažymėdamas, kad pareiškėjo prašymas dėl bylinėjimosi išlaidų priteisimo bus išspręstas priimant nutartį, suteikiant teisę atsakovui pateikti nuomonę dėl pateikto prašymo.  </w:t>
      </w:r>
    </w:p>
    <w:p w:rsidR="00162692" w:rsidRPr="00D3763B" w:rsidRDefault="00162692" w:rsidP="00162692">
      <w:pPr>
        <w:ind w:firstLine="567"/>
        <w:jc w:val="both"/>
        <w:rPr>
          <w:rFonts w:asciiTheme="minorHAnsi" w:hAnsiTheme="minorHAnsi" w:cstheme="minorHAnsi"/>
          <w:sz w:val="22"/>
          <w:szCs w:val="22"/>
        </w:rPr>
      </w:pPr>
      <w:r w:rsidRPr="00D3763B">
        <w:rPr>
          <w:rFonts w:asciiTheme="minorHAnsi" w:hAnsiTheme="minorHAnsi" w:cstheme="minorHAnsi"/>
          <w:sz w:val="22"/>
          <w:szCs w:val="22"/>
        </w:rPr>
        <w:t>Pagal bylos duomenis nustatyta, kad LVAT teisėjo rezoliucija priimtas Nacionalinės mokėjimo agentūros apeliacinis skundas dėl pirmosios instancijos teismo 2018 m. kovo 2 d. sprendimo, bylai pagal atsakovo apeliacinį skundą LVAT yra suteiktas Nr. eA-4103-858/2018, byla neišnagrinėta.</w:t>
      </w:r>
    </w:p>
    <w:p w:rsidR="00162692" w:rsidRPr="00D3763B" w:rsidRDefault="00162692" w:rsidP="00162692">
      <w:pPr>
        <w:ind w:firstLine="567"/>
        <w:jc w:val="both"/>
        <w:rPr>
          <w:rFonts w:asciiTheme="minorHAnsi" w:hAnsiTheme="minorHAnsi" w:cstheme="minorHAnsi"/>
          <w:sz w:val="22"/>
          <w:szCs w:val="22"/>
        </w:rPr>
      </w:pPr>
      <w:r w:rsidRPr="00D3763B">
        <w:rPr>
          <w:rFonts w:asciiTheme="minorHAnsi" w:hAnsiTheme="minorHAnsi" w:cstheme="minorHAnsi"/>
          <w:sz w:val="22"/>
          <w:szCs w:val="22"/>
        </w:rPr>
        <w:t>Byloje taip pat nustatyta, kad skundžiama pirmosios instancijos teismo nutartis priimta esant jau priimtam atsakovo apeliaciniam skundui, t. y. pirmosios instancijos teismo 2018 m. kovo 2 d. sprendimui dar neįsiteisėjus.</w:t>
      </w:r>
    </w:p>
    <w:p w:rsidR="00162692" w:rsidRPr="00D3763B" w:rsidRDefault="00162692" w:rsidP="00162692">
      <w:pPr>
        <w:ind w:firstLine="567"/>
        <w:jc w:val="both"/>
        <w:rPr>
          <w:rFonts w:asciiTheme="minorHAnsi" w:hAnsiTheme="minorHAnsi" w:cstheme="minorHAnsi"/>
          <w:sz w:val="22"/>
          <w:szCs w:val="22"/>
        </w:rPr>
      </w:pPr>
      <w:r w:rsidRPr="00D3763B">
        <w:rPr>
          <w:rFonts w:asciiTheme="minorHAnsi" w:hAnsiTheme="minorHAnsi" w:cstheme="minorHAnsi"/>
          <w:sz w:val="22"/>
          <w:szCs w:val="22"/>
        </w:rPr>
        <w:t>Teisėjų kolegijos vertinimu,</w:t>
      </w:r>
      <w:r w:rsidRPr="00D3763B">
        <w:rPr>
          <w:rFonts w:asciiTheme="minorHAnsi" w:hAnsiTheme="minorHAnsi" w:cstheme="minorHAnsi"/>
          <w:sz w:val="22"/>
          <w:szCs w:val="22"/>
          <w:u w:val="single"/>
        </w:rPr>
        <w:t xml:space="preserve"> susidarius tokiai situacijai, kai pirmosios in</w:t>
      </w:r>
      <w:r w:rsidR="00914108">
        <w:rPr>
          <w:rFonts w:asciiTheme="minorHAnsi" w:hAnsiTheme="minorHAnsi" w:cstheme="minorHAnsi"/>
          <w:sz w:val="22"/>
          <w:szCs w:val="22"/>
          <w:u w:val="single"/>
        </w:rPr>
        <w:t>stancijos teismo 2018 m. kovo 2 </w:t>
      </w:r>
      <w:r w:rsidRPr="00D3763B">
        <w:rPr>
          <w:rFonts w:asciiTheme="minorHAnsi" w:hAnsiTheme="minorHAnsi" w:cstheme="minorHAnsi"/>
          <w:sz w:val="22"/>
          <w:szCs w:val="22"/>
          <w:u w:val="single"/>
        </w:rPr>
        <w:t>d. sprendimu buvo neišspręstas pareiškėjo pirmasis prašymas dėl bylinėjimosi išlaidų priteisimo, vėlesnis šio prašymo išnagrinėjimas tapo galimas tik pirmosios instancijos teismo sprendimui įsiteisėjus.</w:t>
      </w:r>
    </w:p>
    <w:p w:rsidR="00162692" w:rsidRPr="00D3763B" w:rsidRDefault="00162692" w:rsidP="00162692">
      <w:pPr>
        <w:ind w:firstLine="567"/>
        <w:jc w:val="both"/>
        <w:rPr>
          <w:rFonts w:asciiTheme="minorHAnsi" w:hAnsiTheme="minorHAnsi" w:cstheme="minorHAnsi"/>
          <w:sz w:val="22"/>
          <w:szCs w:val="22"/>
        </w:rPr>
      </w:pPr>
      <w:r w:rsidRPr="00D3763B">
        <w:rPr>
          <w:rFonts w:asciiTheme="minorHAnsi" w:hAnsiTheme="minorHAnsi" w:cstheme="minorHAnsi"/>
          <w:sz w:val="22"/>
          <w:szCs w:val="22"/>
        </w:rPr>
        <w:t>Atsižvelgusi į ABTĮ 41 straipsnio 1, 2 dalių teisines nuostatas, LVAT praktiką (2017 m. kovo 1 d. nutartis administracinėje byloje Nr. eAS-219-438/2017), teisėjų kolegija sprendė, kad pirmosios instancijos teismas neturėjo teisinio pagrindo spręsti dėl bylinėjimosi išlaidų atlyginimo pareiškėjui, kadangi 2018 m. kovo 2 d. sprendimas ginčijamos nutarties priėmimo metu buvo neįsiteisėjęs, todėl pirmosios instancijos teismo nutarties dalis, kuria tenkintas iš dalies pareiškėjo pirmasis prašymas dėl išlaidų advokato pagalbai apmokėti ir priteista iš atsakovo pareiškėjui 1 919,76 Eur bylinėjimosi išlaidų, patirtų bylą nagrinėjant pirmosios instancijos teisme, panaikinta ir pareiškėjo pirmasis prašymas priteisti bylinėjimosi išlaidas paliktas nenagrinėtas iki kol įsiteisės pirmosios instancijos teismo 2018 m. kovo 2 d. sprendimas.</w:t>
      </w:r>
    </w:p>
    <w:p w:rsidR="00162692" w:rsidRPr="00D3763B" w:rsidRDefault="00162692" w:rsidP="00162692">
      <w:pPr>
        <w:ind w:firstLine="567"/>
        <w:jc w:val="both"/>
        <w:rPr>
          <w:rFonts w:asciiTheme="minorHAnsi" w:hAnsiTheme="minorHAnsi" w:cstheme="minorHAnsi"/>
          <w:sz w:val="22"/>
          <w:szCs w:val="22"/>
        </w:rPr>
      </w:pPr>
      <w:r w:rsidRPr="00D3763B">
        <w:rPr>
          <w:rFonts w:asciiTheme="minorHAnsi" w:hAnsiTheme="minorHAnsi" w:cstheme="minorHAnsi"/>
          <w:sz w:val="22"/>
          <w:szCs w:val="22"/>
        </w:rPr>
        <w:lastRenderedPageBreak/>
        <w:t>Teisėjų kolegija nurodė, jog vėlesnis prašymas priteisti bylinėjimosi išlaidas pateiktas po bylos nagrinėjimo iš esmės pabaigos, tačiau teismo sprendimui dar neįsiteisėjus, jis išnagrinėtinas tada, kai teismo sprendimas administracinėje byloje įsiteisės, todėl teismas skundžiamos nutarties dalimi pagrįstai taikė ABTĮ 41 straipsnio 1 dalies nuostatą ir šį prašymą paliko nenagrinėtą.</w:t>
      </w:r>
    </w:p>
    <w:p w:rsidR="00162692" w:rsidRPr="00D3763B" w:rsidRDefault="00162692" w:rsidP="00162692">
      <w:pPr>
        <w:ind w:firstLine="567"/>
        <w:jc w:val="both"/>
        <w:rPr>
          <w:rFonts w:asciiTheme="minorHAnsi" w:hAnsiTheme="minorHAnsi" w:cstheme="minorHAnsi"/>
          <w:sz w:val="22"/>
          <w:szCs w:val="22"/>
        </w:rPr>
      </w:pPr>
      <w:r w:rsidRPr="00D3763B">
        <w:rPr>
          <w:rFonts w:asciiTheme="minorHAnsi" w:hAnsiTheme="minorHAnsi" w:cstheme="minorHAnsi"/>
          <w:sz w:val="22"/>
          <w:szCs w:val="22"/>
        </w:rPr>
        <w:t>Taip pat šiuo metu nespręstas bylinėjimosi išlaidų už atskirojo skundo paruošimą klausimas, kadangi baigiamasis teismo aktas dėl ginčo šioje byloje dar nepriimtas.</w:t>
      </w:r>
    </w:p>
    <w:p w:rsidR="00162692" w:rsidRPr="00D3763B" w:rsidRDefault="00162692" w:rsidP="00162692">
      <w:pPr>
        <w:ind w:firstLine="567"/>
        <w:jc w:val="both"/>
        <w:rPr>
          <w:rFonts w:asciiTheme="minorHAnsi" w:hAnsiTheme="minorHAnsi" w:cstheme="minorHAnsi"/>
          <w:sz w:val="22"/>
          <w:szCs w:val="22"/>
        </w:rPr>
      </w:pPr>
      <w:r w:rsidRPr="00D3763B">
        <w:rPr>
          <w:rFonts w:asciiTheme="minorHAnsi" w:hAnsiTheme="minorHAnsi" w:cstheme="minorHAnsi"/>
          <w:sz w:val="22"/>
          <w:szCs w:val="22"/>
        </w:rPr>
        <w:t>Atsakovo atskirasis skundas tenkintas, o pareiškėjo atskirasis skundas atmestas.</w:t>
      </w:r>
    </w:p>
    <w:p w:rsidR="00162692" w:rsidRPr="00D3763B" w:rsidRDefault="00162692" w:rsidP="00162692">
      <w:pPr>
        <w:ind w:firstLine="567"/>
        <w:jc w:val="both"/>
        <w:rPr>
          <w:rFonts w:asciiTheme="minorHAnsi" w:hAnsiTheme="minorHAnsi" w:cstheme="minorHAnsi"/>
          <w:sz w:val="22"/>
          <w:szCs w:val="22"/>
        </w:rPr>
      </w:pPr>
    </w:p>
    <w:p w:rsidR="00162692" w:rsidRPr="00D3763B" w:rsidRDefault="00162692" w:rsidP="00162692">
      <w:pPr>
        <w:jc w:val="both"/>
        <w:rPr>
          <w:rFonts w:asciiTheme="minorHAnsi" w:hAnsiTheme="minorHAnsi" w:cstheme="minorHAnsi"/>
          <w:sz w:val="22"/>
          <w:szCs w:val="22"/>
        </w:rPr>
      </w:pPr>
      <w:r w:rsidRPr="00D3763B">
        <w:rPr>
          <w:rFonts w:asciiTheme="minorHAnsi" w:hAnsiTheme="minorHAnsi" w:cstheme="minorHAnsi"/>
          <w:sz w:val="22"/>
          <w:szCs w:val="22"/>
        </w:rPr>
        <w:t>2018 m. liepos 17 d. nutartis administracinėje byloje</w:t>
      </w:r>
      <w:r w:rsidR="00195E5C" w:rsidRPr="00D3763B">
        <w:rPr>
          <w:rFonts w:asciiTheme="minorHAnsi" w:hAnsiTheme="minorHAnsi" w:cstheme="minorHAnsi"/>
          <w:sz w:val="22"/>
          <w:szCs w:val="22"/>
        </w:rPr>
        <w:t xml:space="preserve"> </w:t>
      </w:r>
      <w:r w:rsidRPr="00D3763B">
        <w:rPr>
          <w:rFonts w:asciiTheme="minorHAnsi" w:hAnsiTheme="minorHAnsi" w:cstheme="minorHAnsi"/>
          <w:sz w:val="22"/>
          <w:szCs w:val="22"/>
        </w:rPr>
        <w:t>Nr. eAS-497-525/2018</w:t>
      </w:r>
    </w:p>
    <w:p w:rsidR="00162692" w:rsidRPr="00D3763B" w:rsidRDefault="00162692" w:rsidP="00162692">
      <w:pPr>
        <w:jc w:val="both"/>
        <w:rPr>
          <w:rFonts w:asciiTheme="minorHAnsi" w:hAnsiTheme="minorHAnsi" w:cstheme="minorHAnsi"/>
          <w:sz w:val="22"/>
          <w:szCs w:val="22"/>
        </w:rPr>
      </w:pPr>
      <w:r w:rsidRPr="00D3763B">
        <w:rPr>
          <w:rFonts w:asciiTheme="minorHAnsi" w:hAnsiTheme="minorHAnsi" w:cstheme="minorHAnsi"/>
          <w:sz w:val="22"/>
          <w:szCs w:val="22"/>
        </w:rPr>
        <w:t>Teisminio proceso Nr. 3-61-3-03511-2017-3</w:t>
      </w:r>
    </w:p>
    <w:p w:rsidR="00162692" w:rsidRPr="00D3763B" w:rsidRDefault="00162692" w:rsidP="00162692">
      <w:pPr>
        <w:jc w:val="both"/>
        <w:rPr>
          <w:rFonts w:asciiTheme="minorHAnsi" w:hAnsiTheme="minorHAnsi" w:cstheme="minorHAnsi"/>
          <w:sz w:val="22"/>
          <w:szCs w:val="22"/>
        </w:rPr>
      </w:pPr>
      <w:r w:rsidRPr="00D3763B">
        <w:rPr>
          <w:rFonts w:asciiTheme="minorHAnsi" w:hAnsiTheme="minorHAnsi" w:cstheme="minorHAnsi"/>
          <w:sz w:val="22"/>
          <w:szCs w:val="22"/>
        </w:rPr>
        <w:t xml:space="preserve">Procesinio sprendimo </w:t>
      </w:r>
      <w:r w:rsidRPr="00D3763B">
        <w:rPr>
          <w:rFonts w:asciiTheme="minorHAnsi" w:hAnsiTheme="minorHAnsi" w:cstheme="minorHAnsi"/>
          <w:bCs/>
          <w:sz w:val="22"/>
          <w:szCs w:val="22"/>
        </w:rPr>
        <w:t>kategorija 57.6</w:t>
      </w:r>
    </w:p>
    <w:p w:rsidR="00A84D45" w:rsidRPr="00D3763B" w:rsidRDefault="000220C9" w:rsidP="00A84D45">
      <w:pPr>
        <w:jc w:val="both"/>
        <w:rPr>
          <w:rFonts w:asciiTheme="minorHAnsi" w:hAnsiTheme="minorHAnsi" w:cstheme="minorHAnsi"/>
          <w:sz w:val="22"/>
          <w:szCs w:val="22"/>
        </w:rPr>
      </w:pPr>
      <w:hyperlink r:id="rId29" w:history="1">
        <w:r w:rsidR="00162692" w:rsidRPr="00D3763B">
          <w:rPr>
            <w:rStyle w:val="Hyperlink"/>
            <w:rFonts w:asciiTheme="minorHAnsi" w:hAnsiTheme="minorHAnsi" w:cstheme="minorHAnsi"/>
            <w:sz w:val="22"/>
            <w:szCs w:val="22"/>
          </w:rPr>
          <w:t>Prieiga internete</w:t>
        </w:r>
      </w:hyperlink>
    </w:p>
    <w:bookmarkEnd w:id="8"/>
    <w:bookmarkEnd w:id="9"/>
    <w:p w:rsidR="00D16124" w:rsidRPr="00D3763B" w:rsidRDefault="00D16124" w:rsidP="0043602E">
      <w:pPr>
        <w:jc w:val="center"/>
        <w:rPr>
          <w:rFonts w:asciiTheme="minorHAnsi" w:hAnsiTheme="minorHAnsi" w:cstheme="minorHAnsi"/>
          <w:sz w:val="22"/>
          <w:szCs w:val="22"/>
        </w:rPr>
      </w:pPr>
      <w:r w:rsidRPr="00D3763B">
        <w:rPr>
          <w:rFonts w:asciiTheme="minorHAnsi" w:hAnsiTheme="minorHAnsi" w:cstheme="minorHAnsi"/>
          <w:sz w:val="22"/>
          <w:szCs w:val="22"/>
        </w:rPr>
        <w:t>______________</w:t>
      </w:r>
    </w:p>
    <w:sectPr w:rsidR="00D16124" w:rsidRPr="00D3763B" w:rsidSect="000C0EFB">
      <w:headerReference w:type="default" r:id="rId30"/>
      <w:footerReference w:type="even" r:id="rId31"/>
      <w:footerReference w:type="default" r:id="rId32"/>
      <w:pgSz w:w="11906" w:h="16838"/>
      <w:pgMar w:top="1134" w:right="567" w:bottom="1134" w:left="1560" w:header="567" w:footer="567" w:gutter="0"/>
      <w:cols w:space="1296"/>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11B90" w:rsidRDefault="00811B90" w:rsidP="003D4C15">
      <w:r>
        <w:separator/>
      </w:r>
    </w:p>
  </w:endnote>
  <w:endnote w:type="continuationSeparator" w:id="0">
    <w:p w:rsidR="00811B90" w:rsidRDefault="00811B90" w:rsidP="003D4C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00002FF" w:usb1="4000A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BA"/>
    <w:family w:val="roman"/>
    <w:pitch w:val="variable"/>
    <w:sig w:usb0="E00002FF" w:usb1="400004FF" w:usb2="00000000" w:usb3="00000000" w:csb0="0000019F" w:csb1="00000000"/>
  </w:font>
  <w:font w:name="Microsoft Sans Serif">
    <w:panose1 w:val="020B0604020202020204"/>
    <w:charset w:val="BA"/>
    <w:family w:val="swiss"/>
    <w:pitch w:val="variable"/>
    <w:sig w:usb0="E5002EFF" w:usb1="C000605B" w:usb2="00000029" w:usb3="00000000" w:csb0="000101FF" w:csb1="00000000"/>
  </w:font>
  <w:font w:name="Arial">
    <w:panose1 w:val="020B0604020202020204"/>
    <w:charset w:val="BA"/>
    <w:family w:val="swiss"/>
    <w:pitch w:val="variable"/>
    <w:sig w:usb0="E0002AFF" w:usb1="C0007843" w:usb2="00000009" w:usb3="00000000" w:csb0="000001FF" w:csb1="00000000"/>
  </w:font>
  <w:font w:name="TimesLT">
    <w:altName w:val="Times New Roman"/>
    <w:panose1 w:val="00000000000000000000"/>
    <w:charset w:val="BA"/>
    <w:family w:val="roman"/>
    <w:pitch w:val="variable"/>
    <w:sig w:usb0="00000287" w:usb1="00000000" w:usb2="00000000" w:usb3="00000000" w:csb0="0000009F" w:csb1="00000000"/>
  </w:font>
  <w:font w:name="Arial Narrow">
    <w:panose1 w:val="020B0606020202030204"/>
    <w:charset w:val="BA"/>
    <w:family w:val="swiss"/>
    <w:pitch w:val="variable"/>
    <w:sig w:usb0="00000287" w:usb1="00000800" w:usb2="00000000" w:usb3="00000000" w:csb0="0000009F" w:csb1="00000000"/>
  </w:font>
  <w:font w:name="Palatino Linotype">
    <w:panose1 w:val="02040502050505030304"/>
    <w:charset w:val="BA"/>
    <w:family w:val="roman"/>
    <w:pitch w:val="variable"/>
    <w:sig w:usb0="E0000287" w:usb1="40000013" w:usb2="00000000" w:usb3="00000000" w:csb0="0000019F" w:csb1="00000000"/>
  </w:font>
  <w:font w:name="Calibri Light">
    <w:panose1 w:val="020F0302020204030204"/>
    <w:charset w:val="BA"/>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1B39" w:rsidRDefault="003A1B3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3A1B39" w:rsidRDefault="003A1B3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1B39" w:rsidRPr="00386C1C" w:rsidRDefault="003A1B39">
    <w:pPr>
      <w:pStyle w:val="Footer"/>
      <w:jc w:val="center"/>
      <w:rPr>
        <w:rFonts w:asciiTheme="minorHAnsi" w:hAnsiTheme="minorHAnsi"/>
        <w:sz w:val="20"/>
        <w:szCs w:val="20"/>
      </w:rPr>
    </w:pPr>
    <w:r w:rsidRPr="00386C1C">
      <w:rPr>
        <w:rStyle w:val="PageNumber"/>
        <w:rFonts w:asciiTheme="minorHAnsi" w:hAnsiTheme="minorHAnsi"/>
        <w:sz w:val="20"/>
        <w:szCs w:val="20"/>
      </w:rPr>
      <w:fldChar w:fldCharType="begin"/>
    </w:r>
    <w:r w:rsidRPr="00386C1C">
      <w:rPr>
        <w:rStyle w:val="PageNumber"/>
        <w:rFonts w:asciiTheme="minorHAnsi" w:hAnsiTheme="minorHAnsi"/>
        <w:sz w:val="20"/>
        <w:szCs w:val="20"/>
      </w:rPr>
      <w:instrText xml:space="preserve"> PAGE </w:instrText>
    </w:r>
    <w:r w:rsidRPr="00386C1C">
      <w:rPr>
        <w:rStyle w:val="PageNumber"/>
        <w:rFonts w:asciiTheme="minorHAnsi" w:hAnsiTheme="minorHAnsi"/>
        <w:sz w:val="20"/>
        <w:szCs w:val="20"/>
      </w:rPr>
      <w:fldChar w:fldCharType="separate"/>
    </w:r>
    <w:r w:rsidR="000220C9">
      <w:rPr>
        <w:rStyle w:val="PageNumber"/>
        <w:rFonts w:asciiTheme="minorHAnsi" w:hAnsiTheme="minorHAnsi"/>
        <w:noProof/>
        <w:sz w:val="20"/>
        <w:szCs w:val="20"/>
      </w:rPr>
      <w:t>27</w:t>
    </w:r>
    <w:r w:rsidRPr="00386C1C">
      <w:rPr>
        <w:rStyle w:val="PageNumber"/>
        <w:rFonts w:asciiTheme="minorHAnsi" w:hAnsiTheme="minorHAnsi"/>
        <w:sz w:val="20"/>
        <w:szCs w:val="20"/>
      </w:rPr>
      <w:fldChar w:fldCharType="end"/>
    </w:r>
    <w:r w:rsidRPr="00386C1C">
      <w:rPr>
        <w:rStyle w:val="PageNumber"/>
        <w:rFonts w:asciiTheme="minorHAnsi" w:hAnsiTheme="minorHAnsi"/>
        <w:sz w:val="20"/>
        <w:szCs w:val="20"/>
      </w:rPr>
      <w:t xml:space="preserve"> / </w:t>
    </w:r>
    <w:r w:rsidRPr="00386C1C">
      <w:rPr>
        <w:rStyle w:val="PageNumber"/>
        <w:rFonts w:asciiTheme="minorHAnsi" w:hAnsiTheme="minorHAnsi"/>
        <w:sz w:val="20"/>
        <w:szCs w:val="20"/>
      </w:rPr>
      <w:fldChar w:fldCharType="begin"/>
    </w:r>
    <w:r w:rsidRPr="00386C1C">
      <w:rPr>
        <w:rStyle w:val="PageNumber"/>
        <w:rFonts w:asciiTheme="minorHAnsi" w:hAnsiTheme="minorHAnsi"/>
        <w:sz w:val="20"/>
        <w:szCs w:val="20"/>
      </w:rPr>
      <w:instrText xml:space="preserve"> NUMPAGES </w:instrText>
    </w:r>
    <w:r w:rsidRPr="00386C1C">
      <w:rPr>
        <w:rStyle w:val="PageNumber"/>
        <w:rFonts w:asciiTheme="minorHAnsi" w:hAnsiTheme="minorHAnsi"/>
        <w:sz w:val="20"/>
        <w:szCs w:val="20"/>
      </w:rPr>
      <w:fldChar w:fldCharType="separate"/>
    </w:r>
    <w:r w:rsidR="000220C9">
      <w:rPr>
        <w:rStyle w:val="PageNumber"/>
        <w:rFonts w:asciiTheme="minorHAnsi" w:hAnsiTheme="minorHAnsi"/>
        <w:noProof/>
        <w:sz w:val="20"/>
        <w:szCs w:val="20"/>
      </w:rPr>
      <w:t>27</w:t>
    </w:r>
    <w:r w:rsidRPr="00386C1C">
      <w:rPr>
        <w:rStyle w:val="PageNumber"/>
        <w:rFonts w:asciiTheme="minorHAnsi" w:hAnsiTheme="minorHAnsi"/>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11B90" w:rsidRDefault="00811B90" w:rsidP="003D4C15">
      <w:r>
        <w:separator/>
      </w:r>
    </w:p>
  </w:footnote>
  <w:footnote w:type="continuationSeparator" w:id="0">
    <w:p w:rsidR="00811B90" w:rsidRDefault="00811B90" w:rsidP="003D4C1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8" w:type="dxa"/>
      <w:tblBorders>
        <w:bottom w:val="single" w:sz="4" w:space="0" w:color="44546A" w:themeColor="text2"/>
      </w:tblBorders>
      <w:tblLook w:val="04A0" w:firstRow="1" w:lastRow="0" w:firstColumn="1" w:lastColumn="0" w:noHBand="0" w:noVBand="1"/>
    </w:tblPr>
    <w:tblGrid>
      <w:gridCol w:w="7230"/>
      <w:gridCol w:w="2409"/>
    </w:tblGrid>
    <w:tr w:rsidR="003A1B39" w:rsidRPr="000967FF" w:rsidTr="00125BDC">
      <w:tc>
        <w:tcPr>
          <w:tcW w:w="7230" w:type="dxa"/>
        </w:tcPr>
        <w:p w:rsidR="003A1B39" w:rsidRPr="0021377E" w:rsidRDefault="003A1B39" w:rsidP="0016762E">
          <w:pPr>
            <w:rPr>
              <w:rFonts w:ascii="Calibri" w:hAnsi="Calibri"/>
              <w:i/>
              <w:color w:val="323E4F" w:themeColor="text2" w:themeShade="BF"/>
              <w:sz w:val="20"/>
              <w:szCs w:val="20"/>
            </w:rPr>
          </w:pPr>
          <w:r w:rsidRPr="0021377E">
            <w:rPr>
              <w:rFonts w:ascii="Calibri" w:hAnsi="Calibri"/>
              <w:i/>
              <w:color w:val="323E4F" w:themeColor="text2" w:themeShade="BF"/>
              <w:sz w:val="20"/>
              <w:szCs w:val="20"/>
            </w:rPr>
            <w:t>Teis</w:t>
          </w:r>
          <w:r>
            <w:rPr>
              <w:rFonts w:ascii="Calibri" w:hAnsi="Calibri"/>
              <w:i/>
              <w:color w:val="323E4F" w:themeColor="text2" w:themeShade="BF"/>
              <w:sz w:val="20"/>
              <w:szCs w:val="20"/>
            </w:rPr>
            <w:t xml:space="preserve">mų praktikos </w:t>
          </w:r>
          <w:r w:rsidRPr="0021377E">
            <w:rPr>
              <w:rFonts w:ascii="Calibri" w:hAnsi="Calibri"/>
              <w:i/>
              <w:color w:val="323E4F" w:themeColor="text2" w:themeShade="BF"/>
              <w:sz w:val="20"/>
              <w:szCs w:val="20"/>
            </w:rPr>
            <w:t>departamentas</w:t>
          </w:r>
        </w:p>
      </w:tc>
      <w:tc>
        <w:tcPr>
          <w:tcW w:w="2409" w:type="dxa"/>
        </w:tcPr>
        <w:p w:rsidR="003A1B39" w:rsidRPr="0021377E" w:rsidRDefault="003A1B39" w:rsidP="000D7E2A">
          <w:pPr>
            <w:rPr>
              <w:rFonts w:ascii="Calibri" w:hAnsi="Calibri"/>
              <w:color w:val="323E4F" w:themeColor="text2" w:themeShade="BF"/>
              <w:sz w:val="20"/>
              <w:szCs w:val="20"/>
            </w:rPr>
          </w:pPr>
          <w:r>
            <w:rPr>
              <w:rFonts w:ascii="Calibri" w:hAnsi="Calibri"/>
              <w:color w:val="323E4F" w:themeColor="text2" w:themeShade="BF"/>
              <w:sz w:val="20"/>
              <w:szCs w:val="20"/>
            </w:rPr>
            <w:t xml:space="preserve">2018 06 </w:t>
          </w:r>
          <w:r w:rsidRPr="0021377E">
            <w:rPr>
              <w:rFonts w:ascii="Calibri" w:hAnsi="Calibri"/>
              <w:color w:val="323E4F" w:themeColor="text2" w:themeShade="BF"/>
              <w:sz w:val="20"/>
              <w:szCs w:val="20"/>
            </w:rPr>
            <w:t>01–201</w:t>
          </w:r>
          <w:r>
            <w:rPr>
              <w:rFonts w:ascii="Calibri" w:hAnsi="Calibri"/>
              <w:color w:val="323E4F" w:themeColor="text2" w:themeShade="BF"/>
              <w:sz w:val="20"/>
              <w:szCs w:val="20"/>
            </w:rPr>
            <w:t>8 07 31</w:t>
          </w:r>
        </w:p>
      </w:tc>
    </w:tr>
  </w:tbl>
  <w:p w:rsidR="003A1B39" w:rsidRPr="008A0597" w:rsidRDefault="003A1B39">
    <w:pPr>
      <w:pStyle w:val="Header"/>
      <w:rPr>
        <w:sz w:val="20"/>
        <w:szCs w:val="20"/>
        <w:lang w:val="lt-LT"/>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A"/>
    <w:multiLevelType w:val="singleLevel"/>
    <w:tmpl w:val="0000000A"/>
    <w:lvl w:ilvl="0">
      <w:start w:val="18"/>
      <w:numFmt w:val="decimal"/>
      <w:suff w:val="space"/>
      <w:lvlText w:val="%1."/>
      <w:lvlJc w:val="left"/>
    </w:lvl>
  </w:abstractNum>
  <w:abstractNum w:abstractNumId="1">
    <w:nsid w:val="0000000C"/>
    <w:multiLevelType w:val="singleLevel"/>
    <w:tmpl w:val="613EEF74"/>
    <w:lvl w:ilvl="0">
      <w:start w:val="37"/>
      <w:numFmt w:val="decimal"/>
      <w:suff w:val="space"/>
      <w:lvlText w:val="%1."/>
      <w:lvlJc w:val="left"/>
      <w:pPr>
        <w:ind w:left="0" w:firstLine="0"/>
      </w:pPr>
      <w:rPr>
        <w:rFonts w:hint="default"/>
      </w:rPr>
    </w:lvl>
  </w:abstractNum>
  <w:abstractNum w:abstractNumId="2">
    <w:nsid w:val="000A277F"/>
    <w:multiLevelType w:val="multilevel"/>
    <w:tmpl w:val="6AEE8616"/>
    <w:lvl w:ilvl="0">
      <w:start w:val="1"/>
      <w:numFmt w:val="decimal"/>
      <w:lvlText w:val="%1."/>
      <w:lvlJc w:val="left"/>
      <w:pPr>
        <w:ind w:left="928" w:hanging="360"/>
      </w:pPr>
      <w:rPr>
        <w:b w:val="0"/>
        <w:sz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016E781E"/>
    <w:multiLevelType w:val="hybridMultilevel"/>
    <w:tmpl w:val="33581812"/>
    <w:lvl w:ilvl="0" w:tplc="DBB65264">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nsid w:val="14FC3E48"/>
    <w:multiLevelType w:val="hybridMultilevel"/>
    <w:tmpl w:val="5666F116"/>
    <w:lvl w:ilvl="0" w:tplc="16D07E58">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5">
    <w:nsid w:val="18231920"/>
    <w:multiLevelType w:val="hybridMultilevel"/>
    <w:tmpl w:val="FECA2DA2"/>
    <w:lvl w:ilvl="0" w:tplc="F03A83CE">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6">
    <w:nsid w:val="1B024407"/>
    <w:multiLevelType w:val="hybridMultilevel"/>
    <w:tmpl w:val="72DE1BB8"/>
    <w:lvl w:ilvl="0" w:tplc="C2FEFE96">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nsid w:val="2A8C7B45"/>
    <w:multiLevelType w:val="hybridMultilevel"/>
    <w:tmpl w:val="D4D81B88"/>
    <w:lvl w:ilvl="0" w:tplc="EB3AD84E">
      <w:start w:val="1"/>
      <w:numFmt w:val="lowerRoman"/>
      <w:lvlText w:val="(%1)"/>
      <w:lvlJc w:val="left"/>
      <w:pPr>
        <w:ind w:left="1392" w:hanging="825"/>
      </w:pPr>
      <w:rPr>
        <w:rFonts w:hint="default"/>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8">
    <w:nsid w:val="2C974944"/>
    <w:multiLevelType w:val="multilevel"/>
    <w:tmpl w:val="CBDC464E"/>
    <w:lvl w:ilvl="0">
      <w:start w:val="1"/>
      <w:numFmt w:val="decimal"/>
      <w:lvlText w:val="%1."/>
      <w:lvlJc w:val="left"/>
      <w:pPr>
        <w:ind w:left="1570" w:hanging="435"/>
      </w:pPr>
      <w:rPr>
        <w:rFonts w:hint="default"/>
      </w:rPr>
    </w:lvl>
    <w:lvl w:ilvl="1">
      <w:start w:val="1"/>
      <w:numFmt w:val="decimal"/>
      <w:lvlText w:val="%1.%2."/>
      <w:lvlJc w:val="left"/>
      <w:pPr>
        <w:ind w:left="1245" w:hanging="435"/>
      </w:pPr>
      <w:rPr>
        <w:rFonts w:hint="default"/>
      </w:rPr>
    </w:lvl>
    <w:lvl w:ilvl="2">
      <w:start w:val="1"/>
      <w:numFmt w:val="decimal"/>
      <w:lvlText w:val="%1.%2.%3."/>
      <w:lvlJc w:val="left"/>
      <w:pPr>
        <w:ind w:left="2280" w:hanging="720"/>
      </w:pPr>
      <w:rPr>
        <w:rFonts w:hint="default"/>
      </w:rPr>
    </w:lvl>
    <w:lvl w:ilvl="3">
      <w:start w:val="1"/>
      <w:numFmt w:val="decimal"/>
      <w:lvlText w:val="%1.%2.%3.%4."/>
      <w:lvlJc w:val="left"/>
      <w:pPr>
        <w:ind w:left="2430" w:hanging="720"/>
      </w:pPr>
      <w:rPr>
        <w:rFonts w:hint="default"/>
      </w:rPr>
    </w:lvl>
    <w:lvl w:ilvl="4">
      <w:start w:val="1"/>
      <w:numFmt w:val="decimal"/>
      <w:lvlText w:val="%1.%2.%3.%4.%5."/>
      <w:lvlJc w:val="left"/>
      <w:pPr>
        <w:ind w:left="3360" w:hanging="1080"/>
      </w:pPr>
      <w:rPr>
        <w:rFonts w:hint="default"/>
      </w:rPr>
    </w:lvl>
    <w:lvl w:ilvl="5">
      <w:start w:val="1"/>
      <w:numFmt w:val="decimal"/>
      <w:lvlText w:val="%1.%2.%3.%4.%5.%6."/>
      <w:lvlJc w:val="left"/>
      <w:pPr>
        <w:ind w:left="3930" w:hanging="1080"/>
      </w:pPr>
      <w:rPr>
        <w:rFonts w:hint="default"/>
      </w:rPr>
    </w:lvl>
    <w:lvl w:ilvl="6">
      <w:start w:val="1"/>
      <w:numFmt w:val="decimal"/>
      <w:lvlText w:val="%1.%2.%3.%4.%5.%6.%7."/>
      <w:lvlJc w:val="left"/>
      <w:pPr>
        <w:ind w:left="4860" w:hanging="1440"/>
      </w:pPr>
      <w:rPr>
        <w:rFonts w:hint="default"/>
      </w:rPr>
    </w:lvl>
    <w:lvl w:ilvl="7">
      <w:start w:val="1"/>
      <w:numFmt w:val="decimal"/>
      <w:lvlText w:val="%1.%2.%3.%4.%5.%6.%7.%8."/>
      <w:lvlJc w:val="left"/>
      <w:pPr>
        <w:ind w:left="5430" w:hanging="1440"/>
      </w:pPr>
      <w:rPr>
        <w:rFonts w:hint="default"/>
      </w:rPr>
    </w:lvl>
    <w:lvl w:ilvl="8">
      <w:start w:val="1"/>
      <w:numFmt w:val="decimal"/>
      <w:lvlText w:val="%1.%2.%3.%4.%5.%6.%7.%8.%9."/>
      <w:lvlJc w:val="left"/>
      <w:pPr>
        <w:ind w:left="6360" w:hanging="1800"/>
      </w:pPr>
      <w:rPr>
        <w:rFonts w:hint="default"/>
      </w:rPr>
    </w:lvl>
  </w:abstractNum>
  <w:abstractNum w:abstractNumId="9">
    <w:nsid w:val="2E5F3180"/>
    <w:multiLevelType w:val="hybridMultilevel"/>
    <w:tmpl w:val="3886FBC6"/>
    <w:lvl w:ilvl="0" w:tplc="7C540972">
      <w:start w:val="1"/>
      <w:numFmt w:val="decimal"/>
      <w:lvlText w:val="%1."/>
      <w:lvlJc w:val="left"/>
      <w:pPr>
        <w:ind w:left="1211" w:hanging="360"/>
      </w:pPr>
      <w:rPr>
        <w:rFonts w:ascii="Times New Roman" w:hAnsi="Times New Roman" w:cs="Times New Roman" w:hint="default"/>
        <w:color w:val="000000"/>
        <w:sz w:val="24"/>
        <w:szCs w:val="24"/>
      </w:r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0">
    <w:nsid w:val="36D07F5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4CD7134D"/>
    <w:multiLevelType w:val="hybridMultilevel"/>
    <w:tmpl w:val="2FB46ACA"/>
    <w:lvl w:ilvl="0" w:tplc="D2BE4C5E">
      <w:start w:val="1"/>
      <w:numFmt w:val="low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2">
    <w:nsid w:val="57EC476E"/>
    <w:multiLevelType w:val="hybridMultilevel"/>
    <w:tmpl w:val="8B965CB0"/>
    <w:lvl w:ilvl="0" w:tplc="CCCC271A">
      <w:start w:val="1"/>
      <w:numFmt w:val="upperRoman"/>
      <w:lvlText w:val="%1."/>
      <w:lvlJc w:val="left"/>
      <w:pPr>
        <w:ind w:left="1800" w:hanging="720"/>
      </w:pPr>
      <w:rPr>
        <w:rFonts w:hint="default"/>
      </w:r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13">
    <w:nsid w:val="5C197FB9"/>
    <w:multiLevelType w:val="multilevel"/>
    <w:tmpl w:val="5EE04C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5DA55ED6"/>
    <w:multiLevelType w:val="hybridMultilevel"/>
    <w:tmpl w:val="A8EE56C6"/>
    <w:lvl w:ilvl="0" w:tplc="E4148AA6">
      <w:start w:val="201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EF23EFA"/>
    <w:multiLevelType w:val="hybridMultilevel"/>
    <w:tmpl w:val="9CE8E3D4"/>
    <w:lvl w:ilvl="0" w:tplc="DE9EF096">
      <w:start w:val="1"/>
      <w:numFmt w:val="decimal"/>
      <w:lvlText w:val="(%1)"/>
      <w:lvlJc w:val="left"/>
      <w:pPr>
        <w:ind w:left="360" w:hanging="360"/>
      </w:pPr>
      <w:rPr>
        <w:i w:val="0"/>
      </w:rPr>
    </w:lvl>
    <w:lvl w:ilvl="1" w:tplc="04270019">
      <w:start w:val="1"/>
      <w:numFmt w:val="lowerLetter"/>
      <w:lvlText w:val="%2."/>
      <w:lvlJc w:val="left"/>
      <w:pPr>
        <w:ind w:left="1080" w:hanging="360"/>
      </w:pPr>
    </w:lvl>
    <w:lvl w:ilvl="2" w:tplc="0427001B">
      <w:start w:val="1"/>
      <w:numFmt w:val="lowerRoman"/>
      <w:lvlText w:val="%3."/>
      <w:lvlJc w:val="right"/>
      <w:pPr>
        <w:ind w:left="1800" w:hanging="180"/>
      </w:pPr>
    </w:lvl>
    <w:lvl w:ilvl="3" w:tplc="0427000F">
      <w:start w:val="1"/>
      <w:numFmt w:val="decimal"/>
      <w:lvlText w:val="%4."/>
      <w:lvlJc w:val="left"/>
      <w:pPr>
        <w:ind w:left="2520" w:hanging="360"/>
      </w:pPr>
    </w:lvl>
    <w:lvl w:ilvl="4" w:tplc="04270019">
      <w:start w:val="1"/>
      <w:numFmt w:val="lowerLetter"/>
      <w:lvlText w:val="%5."/>
      <w:lvlJc w:val="left"/>
      <w:pPr>
        <w:ind w:left="3240" w:hanging="360"/>
      </w:pPr>
    </w:lvl>
    <w:lvl w:ilvl="5" w:tplc="0427001B">
      <w:start w:val="1"/>
      <w:numFmt w:val="lowerRoman"/>
      <w:lvlText w:val="%6."/>
      <w:lvlJc w:val="right"/>
      <w:pPr>
        <w:ind w:left="3960" w:hanging="180"/>
      </w:pPr>
    </w:lvl>
    <w:lvl w:ilvl="6" w:tplc="0427000F">
      <w:start w:val="1"/>
      <w:numFmt w:val="decimal"/>
      <w:lvlText w:val="%7."/>
      <w:lvlJc w:val="left"/>
      <w:pPr>
        <w:ind w:left="4680" w:hanging="360"/>
      </w:pPr>
    </w:lvl>
    <w:lvl w:ilvl="7" w:tplc="04270019">
      <w:start w:val="1"/>
      <w:numFmt w:val="lowerLetter"/>
      <w:lvlText w:val="%8."/>
      <w:lvlJc w:val="left"/>
      <w:pPr>
        <w:ind w:left="5400" w:hanging="360"/>
      </w:pPr>
    </w:lvl>
    <w:lvl w:ilvl="8" w:tplc="0427001B">
      <w:start w:val="1"/>
      <w:numFmt w:val="lowerRoman"/>
      <w:lvlText w:val="%9."/>
      <w:lvlJc w:val="right"/>
      <w:pPr>
        <w:ind w:left="6120" w:hanging="180"/>
      </w:pPr>
    </w:lvl>
  </w:abstractNum>
  <w:abstractNum w:abstractNumId="16">
    <w:nsid w:val="609758DA"/>
    <w:multiLevelType w:val="hybridMultilevel"/>
    <w:tmpl w:val="33581812"/>
    <w:lvl w:ilvl="0" w:tplc="DBB65264">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7">
    <w:nsid w:val="69EC574E"/>
    <w:multiLevelType w:val="hybridMultilevel"/>
    <w:tmpl w:val="5AD4EF94"/>
    <w:lvl w:ilvl="0" w:tplc="B8F081BA">
      <w:start w:val="33"/>
      <w:numFmt w:val="bullet"/>
      <w:lvlText w:val="-"/>
      <w:lvlJc w:val="left"/>
      <w:pPr>
        <w:ind w:left="720" w:hanging="360"/>
      </w:pPr>
      <w:rPr>
        <w:rFonts w:ascii="Calibri" w:eastAsia="Times New Roman" w:hAnsi="Calibri"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8">
    <w:nsid w:val="6C553D26"/>
    <w:multiLevelType w:val="hybridMultilevel"/>
    <w:tmpl w:val="A0F0C346"/>
    <w:lvl w:ilvl="0" w:tplc="F2E4E054">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9">
    <w:nsid w:val="712C7875"/>
    <w:multiLevelType w:val="hybridMultilevel"/>
    <w:tmpl w:val="7FFEB89E"/>
    <w:lvl w:ilvl="0" w:tplc="9B1CEB54">
      <w:start w:val="2012"/>
      <w:numFmt w:val="decimal"/>
      <w:lvlText w:val="(%1"/>
      <w:lvlJc w:val="left"/>
      <w:pPr>
        <w:ind w:left="915" w:hanging="555"/>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0">
    <w:nsid w:val="71312CF9"/>
    <w:multiLevelType w:val="hybridMultilevel"/>
    <w:tmpl w:val="78EEBA36"/>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1">
    <w:nsid w:val="778614C5"/>
    <w:multiLevelType w:val="hybridMultilevel"/>
    <w:tmpl w:val="EE62B50E"/>
    <w:lvl w:ilvl="0" w:tplc="1C6815C8">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2">
    <w:nsid w:val="7BFD78C4"/>
    <w:multiLevelType w:val="hybridMultilevel"/>
    <w:tmpl w:val="5114C95A"/>
    <w:lvl w:ilvl="0" w:tplc="3356EBCA">
      <w:numFmt w:val="bullet"/>
      <w:lvlText w:val="-"/>
      <w:lvlJc w:val="left"/>
      <w:pPr>
        <w:ind w:left="720" w:hanging="360"/>
      </w:pPr>
      <w:rPr>
        <w:rFonts w:ascii="Times New Roman" w:eastAsia="Calibri"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7DA03DC8"/>
    <w:multiLevelType w:val="hybridMultilevel"/>
    <w:tmpl w:val="BBBCB71C"/>
    <w:lvl w:ilvl="0" w:tplc="7B329A0E">
      <w:start w:val="1"/>
      <w:numFmt w:val="upperRoman"/>
      <w:lvlText w:val="%1."/>
      <w:lvlJc w:val="left"/>
      <w:pPr>
        <w:ind w:left="1800" w:hanging="720"/>
      </w:pPr>
      <w:rPr>
        <w:rFonts w:hint="default"/>
      </w:r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num w:numId="1">
    <w:abstractNumId w:val="21"/>
  </w:num>
  <w:num w:numId="2">
    <w:abstractNumId w:val="19"/>
  </w:num>
  <w:num w:numId="3">
    <w:abstractNumId w:val="23"/>
  </w:num>
  <w:num w:numId="4">
    <w:abstractNumId w:val="18"/>
  </w:num>
  <w:num w:numId="5">
    <w:abstractNumId w:val="12"/>
  </w:num>
  <w:num w:numId="6">
    <w:abstractNumId w:val="6"/>
  </w:num>
  <w:num w:numId="7">
    <w:abstractNumId w:val="3"/>
  </w:num>
  <w:num w:numId="8">
    <w:abstractNumId w:val="16"/>
  </w:num>
  <w:num w:numId="9">
    <w:abstractNumId w:val="14"/>
  </w:num>
  <w:num w:numId="10">
    <w:abstractNumId w:val="13"/>
  </w:num>
  <w:num w:numId="11">
    <w:abstractNumId w:val="8"/>
  </w:num>
  <w:num w:numId="12">
    <w:abstractNumId w:val="5"/>
  </w:num>
  <w:num w:numId="13">
    <w:abstractNumId w:val="9"/>
  </w:num>
  <w:num w:numId="14">
    <w:abstractNumId w:val="0"/>
  </w:num>
  <w:num w:numId="15">
    <w:abstractNumId w:val="1"/>
  </w:num>
  <w:num w:numId="16">
    <w:abstractNumId w:val="17"/>
  </w:num>
  <w:num w:numId="17">
    <w:abstractNumId w:val="7"/>
  </w:num>
  <w:num w:numId="18">
    <w:abstractNumId w:val="11"/>
  </w:num>
  <w:num w:numId="19">
    <w:abstractNumId w:val="10"/>
  </w:num>
  <w:num w:numId="2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0"/>
  </w:num>
  <w:num w:numId="23">
    <w:abstractNumId w:val="4"/>
  </w:num>
  <w:num w:numId="24">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4C15"/>
    <w:rsid w:val="00000CF1"/>
    <w:rsid w:val="00001F07"/>
    <w:rsid w:val="00002966"/>
    <w:rsid w:val="00002CB5"/>
    <w:rsid w:val="00002F90"/>
    <w:rsid w:val="000046DE"/>
    <w:rsid w:val="00005391"/>
    <w:rsid w:val="00005A36"/>
    <w:rsid w:val="000064C2"/>
    <w:rsid w:val="000075AF"/>
    <w:rsid w:val="00007A79"/>
    <w:rsid w:val="00007AE0"/>
    <w:rsid w:val="0001338B"/>
    <w:rsid w:val="00014130"/>
    <w:rsid w:val="00014148"/>
    <w:rsid w:val="0001541F"/>
    <w:rsid w:val="00016443"/>
    <w:rsid w:val="00017C67"/>
    <w:rsid w:val="00017F45"/>
    <w:rsid w:val="00020BE8"/>
    <w:rsid w:val="00021869"/>
    <w:rsid w:val="000220C9"/>
    <w:rsid w:val="000232BE"/>
    <w:rsid w:val="000238BA"/>
    <w:rsid w:val="00024FF5"/>
    <w:rsid w:val="00025504"/>
    <w:rsid w:val="000256A0"/>
    <w:rsid w:val="000262CF"/>
    <w:rsid w:val="00027DF8"/>
    <w:rsid w:val="00030179"/>
    <w:rsid w:val="00030614"/>
    <w:rsid w:val="00031F67"/>
    <w:rsid w:val="00033126"/>
    <w:rsid w:val="00033C55"/>
    <w:rsid w:val="00035916"/>
    <w:rsid w:val="00035BB7"/>
    <w:rsid w:val="00035E28"/>
    <w:rsid w:val="000361AE"/>
    <w:rsid w:val="00037D5F"/>
    <w:rsid w:val="0004324F"/>
    <w:rsid w:val="000446AC"/>
    <w:rsid w:val="00044F1B"/>
    <w:rsid w:val="000458C0"/>
    <w:rsid w:val="00045C20"/>
    <w:rsid w:val="00046189"/>
    <w:rsid w:val="00046E01"/>
    <w:rsid w:val="00047F10"/>
    <w:rsid w:val="00050321"/>
    <w:rsid w:val="00050B91"/>
    <w:rsid w:val="00051FCA"/>
    <w:rsid w:val="00052995"/>
    <w:rsid w:val="00052FC4"/>
    <w:rsid w:val="000532AC"/>
    <w:rsid w:val="000545FE"/>
    <w:rsid w:val="000546B9"/>
    <w:rsid w:val="0005480A"/>
    <w:rsid w:val="0005601D"/>
    <w:rsid w:val="000608A3"/>
    <w:rsid w:val="000611FF"/>
    <w:rsid w:val="0006157E"/>
    <w:rsid w:val="0006163D"/>
    <w:rsid w:val="00061B35"/>
    <w:rsid w:val="00061D97"/>
    <w:rsid w:val="000641D7"/>
    <w:rsid w:val="00064654"/>
    <w:rsid w:val="00064CB1"/>
    <w:rsid w:val="000650DE"/>
    <w:rsid w:val="000660B9"/>
    <w:rsid w:val="00066917"/>
    <w:rsid w:val="00066F18"/>
    <w:rsid w:val="0006729D"/>
    <w:rsid w:val="0006745F"/>
    <w:rsid w:val="000674B2"/>
    <w:rsid w:val="0006759B"/>
    <w:rsid w:val="00067FB8"/>
    <w:rsid w:val="00070B4D"/>
    <w:rsid w:val="000738BB"/>
    <w:rsid w:val="00073B21"/>
    <w:rsid w:val="00073F44"/>
    <w:rsid w:val="000744E9"/>
    <w:rsid w:val="00074E76"/>
    <w:rsid w:val="00075247"/>
    <w:rsid w:val="000752AE"/>
    <w:rsid w:val="0007560C"/>
    <w:rsid w:val="00075877"/>
    <w:rsid w:val="00076920"/>
    <w:rsid w:val="00076972"/>
    <w:rsid w:val="00076D36"/>
    <w:rsid w:val="0007786B"/>
    <w:rsid w:val="00080C5A"/>
    <w:rsid w:val="00082913"/>
    <w:rsid w:val="00082A2D"/>
    <w:rsid w:val="0008302F"/>
    <w:rsid w:val="00084172"/>
    <w:rsid w:val="00084D99"/>
    <w:rsid w:val="000853D2"/>
    <w:rsid w:val="0008597D"/>
    <w:rsid w:val="00087F0A"/>
    <w:rsid w:val="000903B8"/>
    <w:rsid w:val="000904B8"/>
    <w:rsid w:val="00091B33"/>
    <w:rsid w:val="00092E83"/>
    <w:rsid w:val="000977FE"/>
    <w:rsid w:val="000A3A7B"/>
    <w:rsid w:val="000A48C7"/>
    <w:rsid w:val="000A533A"/>
    <w:rsid w:val="000A6981"/>
    <w:rsid w:val="000A7295"/>
    <w:rsid w:val="000A7A94"/>
    <w:rsid w:val="000B0DB3"/>
    <w:rsid w:val="000B0F96"/>
    <w:rsid w:val="000B15D3"/>
    <w:rsid w:val="000B1AF3"/>
    <w:rsid w:val="000B200F"/>
    <w:rsid w:val="000B2EF7"/>
    <w:rsid w:val="000B466D"/>
    <w:rsid w:val="000B4F48"/>
    <w:rsid w:val="000B6099"/>
    <w:rsid w:val="000B630C"/>
    <w:rsid w:val="000B6917"/>
    <w:rsid w:val="000B7172"/>
    <w:rsid w:val="000B7B87"/>
    <w:rsid w:val="000C0EFB"/>
    <w:rsid w:val="000C0FC4"/>
    <w:rsid w:val="000C3364"/>
    <w:rsid w:val="000C338C"/>
    <w:rsid w:val="000C45A4"/>
    <w:rsid w:val="000C45FB"/>
    <w:rsid w:val="000C46F2"/>
    <w:rsid w:val="000C523F"/>
    <w:rsid w:val="000C7D39"/>
    <w:rsid w:val="000D0F76"/>
    <w:rsid w:val="000D42DA"/>
    <w:rsid w:val="000D613F"/>
    <w:rsid w:val="000D641E"/>
    <w:rsid w:val="000D6B6F"/>
    <w:rsid w:val="000D7545"/>
    <w:rsid w:val="000D7E2A"/>
    <w:rsid w:val="000E00E4"/>
    <w:rsid w:val="000E0A69"/>
    <w:rsid w:val="000E124F"/>
    <w:rsid w:val="000E171C"/>
    <w:rsid w:val="000E1FB4"/>
    <w:rsid w:val="000E4080"/>
    <w:rsid w:val="000E43AC"/>
    <w:rsid w:val="000E4B13"/>
    <w:rsid w:val="000E52D8"/>
    <w:rsid w:val="000E5B1F"/>
    <w:rsid w:val="000E733A"/>
    <w:rsid w:val="000F0AC2"/>
    <w:rsid w:val="000F0DB2"/>
    <w:rsid w:val="000F10B9"/>
    <w:rsid w:val="000F3F88"/>
    <w:rsid w:val="000F5D10"/>
    <w:rsid w:val="000F6E87"/>
    <w:rsid w:val="000F7F53"/>
    <w:rsid w:val="001018C5"/>
    <w:rsid w:val="00101B47"/>
    <w:rsid w:val="001025CD"/>
    <w:rsid w:val="001029F4"/>
    <w:rsid w:val="00102FB6"/>
    <w:rsid w:val="001063A0"/>
    <w:rsid w:val="00106A7D"/>
    <w:rsid w:val="00110509"/>
    <w:rsid w:val="00110772"/>
    <w:rsid w:val="00110B80"/>
    <w:rsid w:val="0011266F"/>
    <w:rsid w:val="001132D8"/>
    <w:rsid w:val="00113435"/>
    <w:rsid w:val="001135A4"/>
    <w:rsid w:val="00114CBE"/>
    <w:rsid w:val="0011613B"/>
    <w:rsid w:val="0011627C"/>
    <w:rsid w:val="00117BD5"/>
    <w:rsid w:val="00117D56"/>
    <w:rsid w:val="001200FC"/>
    <w:rsid w:val="001206C8"/>
    <w:rsid w:val="001206FB"/>
    <w:rsid w:val="0012143E"/>
    <w:rsid w:val="001224BE"/>
    <w:rsid w:val="001242A9"/>
    <w:rsid w:val="00125BDC"/>
    <w:rsid w:val="00125FC8"/>
    <w:rsid w:val="00126DDF"/>
    <w:rsid w:val="001276F1"/>
    <w:rsid w:val="00127D7A"/>
    <w:rsid w:val="001304C9"/>
    <w:rsid w:val="001315C0"/>
    <w:rsid w:val="00132328"/>
    <w:rsid w:val="00132B36"/>
    <w:rsid w:val="00132ED5"/>
    <w:rsid w:val="00134825"/>
    <w:rsid w:val="00134881"/>
    <w:rsid w:val="00134F11"/>
    <w:rsid w:val="00137FBD"/>
    <w:rsid w:val="00141524"/>
    <w:rsid w:val="00141536"/>
    <w:rsid w:val="00141DE3"/>
    <w:rsid w:val="00141E16"/>
    <w:rsid w:val="00141ED3"/>
    <w:rsid w:val="00142B27"/>
    <w:rsid w:val="0014360F"/>
    <w:rsid w:val="00144240"/>
    <w:rsid w:val="001448A8"/>
    <w:rsid w:val="00144CAC"/>
    <w:rsid w:val="00144EAC"/>
    <w:rsid w:val="001450EC"/>
    <w:rsid w:val="001454BB"/>
    <w:rsid w:val="00145AF2"/>
    <w:rsid w:val="00145BCF"/>
    <w:rsid w:val="001502B3"/>
    <w:rsid w:val="00151D5D"/>
    <w:rsid w:val="001521A0"/>
    <w:rsid w:val="00152D73"/>
    <w:rsid w:val="00152FD9"/>
    <w:rsid w:val="0015377A"/>
    <w:rsid w:val="001556AC"/>
    <w:rsid w:val="00155EAA"/>
    <w:rsid w:val="00156AFE"/>
    <w:rsid w:val="00157368"/>
    <w:rsid w:val="00162692"/>
    <w:rsid w:val="00162DD2"/>
    <w:rsid w:val="00162DE5"/>
    <w:rsid w:val="00163F5B"/>
    <w:rsid w:val="0016628D"/>
    <w:rsid w:val="001671AE"/>
    <w:rsid w:val="0016762E"/>
    <w:rsid w:val="00170CDB"/>
    <w:rsid w:val="00171042"/>
    <w:rsid w:val="00172A8F"/>
    <w:rsid w:val="00172D2B"/>
    <w:rsid w:val="001738F3"/>
    <w:rsid w:val="001756EA"/>
    <w:rsid w:val="0018007F"/>
    <w:rsid w:val="00181674"/>
    <w:rsid w:val="00181E4B"/>
    <w:rsid w:val="00182145"/>
    <w:rsid w:val="00182789"/>
    <w:rsid w:val="001828DD"/>
    <w:rsid w:val="00182986"/>
    <w:rsid w:val="001853A2"/>
    <w:rsid w:val="001853F7"/>
    <w:rsid w:val="001857DA"/>
    <w:rsid w:val="00185D79"/>
    <w:rsid w:val="001867B8"/>
    <w:rsid w:val="0018716C"/>
    <w:rsid w:val="00187B29"/>
    <w:rsid w:val="00187E5E"/>
    <w:rsid w:val="00190668"/>
    <w:rsid w:val="00190D8E"/>
    <w:rsid w:val="0019118E"/>
    <w:rsid w:val="001921AE"/>
    <w:rsid w:val="00192542"/>
    <w:rsid w:val="00193329"/>
    <w:rsid w:val="00193907"/>
    <w:rsid w:val="001942E9"/>
    <w:rsid w:val="00195E5C"/>
    <w:rsid w:val="001979F8"/>
    <w:rsid w:val="001A0189"/>
    <w:rsid w:val="001A0565"/>
    <w:rsid w:val="001A0A78"/>
    <w:rsid w:val="001A0B5D"/>
    <w:rsid w:val="001A0CA7"/>
    <w:rsid w:val="001A5310"/>
    <w:rsid w:val="001A59DF"/>
    <w:rsid w:val="001A6208"/>
    <w:rsid w:val="001A6277"/>
    <w:rsid w:val="001A7289"/>
    <w:rsid w:val="001B04D7"/>
    <w:rsid w:val="001B1824"/>
    <w:rsid w:val="001B27E9"/>
    <w:rsid w:val="001B2CA1"/>
    <w:rsid w:val="001B3153"/>
    <w:rsid w:val="001B3AE0"/>
    <w:rsid w:val="001B3DC8"/>
    <w:rsid w:val="001B4548"/>
    <w:rsid w:val="001B6E68"/>
    <w:rsid w:val="001B7187"/>
    <w:rsid w:val="001B7319"/>
    <w:rsid w:val="001B7697"/>
    <w:rsid w:val="001C1E42"/>
    <w:rsid w:val="001C296B"/>
    <w:rsid w:val="001C2CF1"/>
    <w:rsid w:val="001C3F98"/>
    <w:rsid w:val="001C40C6"/>
    <w:rsid w:val="001C482B"/>
    <w:rsid w:val="001C5364"/>
    <w:rsid w:val="001C55DF"/>
    <w:rsid w:val="001C5A1C"/>
    <w:rsid w:val="001C5B7F"/>
    <w:rsid w:val="001C656F"/>
    <w:rsid w:val="001C6C69"/>
    <w:rsid w:val="001C6DCE"/>
    <w:rsid w:val="001C7EF0"/>
    <w:rsid w:val="001D0441"/>
    <w:rsid w:val="001D12CB"/>
    <w:rsid w:val="001D1734"/>
    <w:rsid w:val="001D1B05"/>
    <w:rsid w:val="001D2D45"/>
    <w:rsid w:val="001D3FB2"/>
    <w:rsid w:val="001D636C"/>
    <w:rsid w:val="001D64D2"/>
    <w:rsid w:val="001D7408"/>
    <w:rsid w:val="001E0CA3"/>
    <w:rsid w:val="001E11D8"/>
    <w:rsid w:val="001E13E4"/>
    <w:rsid w:val="001E27E5"/>
    <w:rsid w:val="001E4460"/>
    <w:rsid w:val="001E44D3"/>
    <w:rsid w:val="001E45B4"/>
    <w:rsid w:val="001E57E3"/>
    <w:rsid w:val="001E6108"/>
    <w:rsid w:val="001E64EE"/>
    <w:rsid w:val="001E6B93"/>
    <w:rsid w:val="001F0A80"/>
    <w:rsid w:val="001F14F6"/>
    <w:rsid w:val="001F2E5F"/>
    <w:rsid w:val="001F3487"/>
    <w:rsid w:val="001F376B"/>
    <w:rsid w:val="001F382F"/>
    <w:rsid w:val="001F4C1C"/>
    <w:rsid w:val="001F5B62"/>
    <w:rsid w:val="001F6068"/>
    <w:rsid w:val="001F7D80"/>
    <w:rsid w:val="0020035C"/>
    <w:rsid w:val="002003FC"/>
    <w:rsid w:val="00205621"/>
    <w:rsid w:val="00207EE9"/>
    <w:rsid w:val="00210172"/>
    <w:rsid w:val="002114C4"/>
    <w:rsid w:val="00211A1D"/>
    <w:rsid w:val="00211B11"/>
    <w:rsid w:val="00212775"/>
    <w:rsid w:val="00212E45"/>
    <w:rsid w:val="00214621"/>
    <w:rsid w:val="00217AFE"/>
    <w:rsid w:val="00220323"/>
    <w:rsid w:val="002205E6"/>
    <w:rsid w:val="0022124C"/>
    <w:rsid w:val="002212C4"/>
    <w:rsid w:val="0022178B"/>
    <w:rsid w:val="0022247A"/>
    <w:rsid w:val="00222F3F"/>
    <w:rsid w:val="002231BF"/>
    <w:rsid w:val="0022338C"/>
    <w:rsid w:val="00223858"/>
    <w:rsid w:val="00223EF4"/>
    <w:rsid w:val="00223FBB"/>
    <w:rsid w:val="002253D7"/>
    <w:rsid w:val="00225AF5"/>
    <w:rsid w:val="00225FA1"/>
    <w:rsid w:val="0022758F"/>
    <w:rsid w:val="0022777A"/>
    <w:rsid w:val="00227AAC"/>
    <w:rsid w:val="00230824"/>
    <w:rsid w:val="00231487"/>
    <w:rsid w:val="0023257B"/>
    <w:rsid w:val="002328D5"/>
    <w:rsid w:val="002328FF"/>
    <w:rsid w:val="00232BAE"/>
    <w:rsid w:val="00233FF0"/>
    <w:rsid w:val="00234DF2"/>
    <w:rsid w:val="002351C2"/>
    <w:rsid w:val="00235C9E"/>
    <w:rsid w:val="00236946"/>
    <w:rsid w:val="002375C1"/>
    <w:rsid w:val="00237873"/>
    <w:rsid w:val="002378C2"/>
    <w:rsid w:val="00237FCA"/>
    <w:rsid w:val="00240307"/>
    <w:rsid w:val="00240690"/>
    <w:rsid w:val="0024110E"/>
    <w:rsid w:val="0024119E"/>
    <w:rsid w:val="002427B8"/>
    <w:rsid w:val="00242DA7"/>
    <w:rsid w:val="00243C14"/>
    <w:rsid w:val="00243C8E"/>
    <w:rsid w:val="002450A6"/>
    <w:rsid w:val="0024642C"/>
    <w:rsid w:val="00246AAC"/>
    <w:rsid w:val="002507A6"/>
    <w:rsid w:val="0025160A"/>
    <w:rsid w:val="00251873"/>
    <w:rsid w:val="00251889"/>
    <w:rsid w:val="002522BC"/>
    <w:rsid w:val="00252FE9"/>
    <w:rsid w:val="00253D0F"/>
    <w:rsid w:val="00255A8F"/>
    <w:rsid w:val="00255CED"/>
    <w:rsid w:val="00256465"/>
    <w:rsid w:val="00256EFF"/>
    <w:rsid w:val="00257271"/>
    <w:rsid w:val="00260C34"/>
    <w:rsid w:val="002620FA"/>
    <w:rsid w:val="00264394"/>
    <w:rsid w:val="002645CF"/>
    <w:rsid w:val="002647B9"/>
    <w:rsid w:val="002649B3"/>
    <w:rsid w:val="00264D05"/>
    <w:rsid w:val="00266B8C"/>
    <w:rsid w:val="00267A2E"/>
    <w:rsid w:val="00267F26"/>
    <w:rsid w:val="0027063B"/>
    <w:rsid w:val="00270E53"/>
    <w:rsid w:val="002714CD"/>
    <w:rsid w:val="00271EA9"/>
    <w:rsid w:val="00272D4C"/>
    <w:rsid w:val="00272F51"/>
    <w:rsid w:val="00273165"/>
    <w:rsid w:val="00273253"/>
    <w:rsid w:val="002748FE"/>
    <w:rsid w:val="00274E29"/>
    <w:rsid w:val="002775AC"/>
    <w:rsid w:val="00277E58"/>
    <w:rsid w:val="00277F81"/>
    <w:rsid w:val="00280046"/>
    <w:rsid w:val="00280957"/>
    <w:rsid w:val="0028146D"/>
    <w:rsid w:val="00282A32"/>
    <w:rsid w:val="00285459"/>
    <w:rsid w:val="002855BC"/>
    <w:rsid w:val="00286051"/>
    <w:rsid w:val="00286052"/>
    <w:rsid w:val="00286145"/>
    <w:rsid w:val="002878C3"/>
    <w:rsid w:val="00292002"/>
    <w:rsid w:val="002926CC"/>
    <w:rsid w:val="00296428"/>
    <w:rsid w:val="002A042D"/>
    <w:rsid w:val="002A3987"/>
    <w:rsid w:val="002A5132"/>
    <w:rsid w:val="002A5297"/>
    <w:rsid w:val="002A62C6"/>
    <w:rsid w:val="002A7AD6"/>
    <w:rsid w:val="002A7B7C"/>
    <w:rsid w:val="002A7FDC"/>
    <w:rsid w:val="002B1C54"/>
    <w:rsid w:val="002B4371"/>
    <w:rsid w:val="002B498D"/>
    <w:rsid w:val="002B49B9"/>
    <w:rsid w:val="002B4AE4"/>
    <w:rsid w:val="002B4BAE"/>
    <w:rsid w:val="002B4E18"/>
    <w:rsid w:val="002B52FE"/>
    <w:rsid w:val="002B62EC"/>
    <w:rsid w:val="002B6379"/>
    <w:rsid w:val="002B672A"/>
    <w:rsid w:val="002B6DAA"/>
    <w:rsid w:val="002B75FF"/>
    <w:rsid w:val="002C1E20"/>
    <w:rsid w:val="002C2502"/>
    <w:rsid w:val="002C37D9"/>
    <w:rsid w:val="002C413A"/>
    <w:rsid w:val="002C44ED"/>
    <w:rsid w:val="002C55C3"/>
    <w:rsid w:val="002C5898"/>
    <w:rsid w:val="002C6581"/>
    <w:rsid w:val="002C6696"/>
    <w:rsid w:val="002D027C"/>
    <w:rsid w:val="002D03ED"/>
    <w:rsid w:val="002D1129"/>
    <w:rsid w:val="002D14DB"/>
    <w:rsid w:val="002D2404"/>
    <w:rsid w:val="002D25E7"/>
    <w:rsid w:val="002D31DA"/>
    <w:rsid w:val="002D3B15"/>
    <w:rsid w:val="002D47EA"/>
    <w:rsid w:val="002D690D"/>
    <w:rsid w:val="002D6A59"/>
    <w:rsid w:val="002D7086"/>
    <w:rsid w:val="002E0E0E"/>
    <w:rsid w:val="002E180F"/>
    <w:rsid w:val="002E1CD9"/>
    <w:rsid w:val="002E1D17"/>
    <w:rsid w:val="002E55E3"/>
    <w:rsid w:val="002E688F"/>
    <w:rsid w:val="002E704F"/>
    <w:rsid w:val="002F14AC"/>
    <w:rsid w:val="002F182D"/>
    <w:rsid w:val="002F1872"/>
    <w:rsid w:val="002F1C5B"/>
    <w:rsid w:val="002F353F"/>
    <w:rsid w:val="002F3CC8"/>
    <w:rsid w:val="002F4CE9"/>
    <w:rsid w:val="002F5053"/>
    <w:rsid w:val="002F56D1"/>
    <w:rsid w:val="0030011E"/>
    <w:rsid w:val="003002D9"/>
    <w:rsid w:val="00301E35"/>
    <w:rsid w:val="00305485"/>
    <w:rsid w:val="00306897"/>
    <w:rsid w:val="00306A83"/>
    <w:rsid w:val="00307269"/>
    <w:rsid w:val="003072D1"/>
    <w:rsid w:val="003106C2"/>
    <w:rsid w:val="0031142B"/>
    <w:rsid w:val="00312D45"/>
    <w:rsid w:val="003133B6"/>
    <w:rsid w:val="00313ED0"/>
    <w:rsid w:val="003142CA"/>
    <w:rsid w:val="00314DA3"/>
    <w:rsid w:val="00315DE0"/>
    <w:rsid w:val="003168E9"/>
    <w:rsid w:val="00317609"/>
    <w:rsid w:val="00317AB4"/>
    <w:rsid w:val="00317E27"/>
    <w:rsid w:val="003203BE"/>
    <w:rsid w:val="00320907"/>
    <w:rsid w:val="003228AD"/>
    <w:rsid w:val="003230E8"/>
    <w:rsid w:val="00323412"/>
    <w:rsid w:val="003234CC"/>
    <w:rsid w:val="0032355E"/>
    <w:rsid w:val="003235B6"/>
    <w:rsid w:val="00323DD6"/>
    <w:rsid w:val="00324135"/>
    <w:rsid w:val="00324717"/>
    <w:rsid w:val="003263AE"/>
    <w:rsid w:val="0032755B"/>
    <w:rsid w:val="00330656"/>
    <w:rsid w:val="00333C7E"/>
    <w:rsid w:val="00333C95"/>
    <w:rsid w:val="00333D04"/>
    <w:rsid w:val="00334499"/>
    <w:rsid w:val="003365EF"/>
    <w:rsid w:val="003375D7"/>
    <w:rsid w:val="00337EAA"/>
    <w:rsid w:val="003408B3"/>
    <w:rsid w:val="00341159"/>
    <w:rsid w:val="00341604"/>
    <w:rsid w:val="00341709"/>
    <w:rsid w:val="00341A92"/>
    <w:rsid w:val="00347E25"/>
    <w:rsid w:val="00347FEC"/>
    <w:rsid w:val="00351C84"/>
    <w:rsid w:val="00352140"/>
    <w:rsid w:val="003524AA"/>
    <w:rsid w:val="003531F4"/>
    <w:rsid w:val="00353876"/>
    <w:rsid w:val="00353DA0"/>
    <w:rsid w:val="00354FA7"/>
    <w:rsid w:val="003560F2"/>
    <w:rsid w:val="00360377"/>
    <w:rsid w:val="00361B99"/>
    <w:rsid w:val="00361E20"/>
    <w:rsid w:val="00362B25"/>
    <w:rsid w:val="00363C0B"/>
    <w:rsid w:val="00363DFB"/>
    <w:rsid w:val="003648AD"/>
    <w:rsid w:val="00364B72"/>
    <w:rsid w:val="00365626"/>
    <w:rsid w:val="00367B9A"/>
    <w:rsid w:val="00371002"/>
    <w:rsid w:val="00371890"/>
    <w:rsid w:val="003719D4"/>
    <w:rsid w:val="00371C07"/>
    <w:rsid w:val="00372164"/>
    <w:rsid w:val="0037284B"/>
    <w:rsid w:val="003747B8"/>
    <w:rsid w:val="00374FE2"/>
    <w:rsid w:val="003763C2"/>
    <w:rsid w:val="0037652F"/>
    <w:rsid w:val="00377725"/>
    <w:rsid w:val="00377E40"/>
    <w:rsid w:val="003808A3"/>
    <w:rsid w:val="00380C76"/>
    <w:rsid w:val="00383C62"/>
    <w:rsid w:val="00383C95"/>
    <w:rsid w:val="00385D9C"/>
    <w:rsid w:val="003864BE"/>
    <w:rsid w:val="00386EB6"/>
    <w:rsid w:val="003877F6"/>
    <w:rsid w:val="003904A9"/>
    <w:rsid w:val="00390826"/>
    <w:rsid w:val="00390FDB"/>
    <w:rsid w:val="0039197D"/>
    <w:rsid w:val="00391CE9"/>
    <w:rsid w:val="00391FFB"/>
    <w:rsid w:val="003923B3"/>
    <w:rsid w:val="0039476B"/>
    <w:rsid w:val="00394918"/>
    <w:rsid w:val="00394B29"/>
    <w:rsid w:val="0039508B"/>
    <w:rsid w:val="003955C7"/>
    <w:rsid w:val="00395CBF"/>
    <w:rsid w:val="00396123"/>
    <w:rsid w:val="00396D07"/>
    <w:rsid w:val="00397572"/>
    <w:rsid w:val="003A013A"/>
    <w:rsid w:val="003A0965"/>
    <w:rsid w:val="003A1185"/>
    <w:rsid w:val="003A1342"/>
    <w:rsid w:val="003A15BC"/>
    <w:rsid w:val="003A1A4F"/>
    <w:rsid w:val="003A1B39"/>
    <w:rsid w:val="003A31D9"/>
    <w:rsid w:val="003A4135"/>
    <w:rsid w:val="003A49A2"/>
    <w:rsid w:val="003A53BD"/>
    <w:rsid w:val="003A5401"/>
    <w:rsid w:val="003A5FA5"/>
    <w:rsid w:val="003B2ADF"/>
    <w:rsid w:val="003B2EED"/>
    <w:rsid w:val="003B2FB5"/>
    <w:rsid w:val="003B3330"/>
    <w:rsid w:val="003B38A2"/>
    <w:rsid w:val="003B4244"/>
    <w:rsid w:val="003B4A3F"/>
    <w:rsid w:val="003B560D"/>
    <w:rsid w:val="003B5C0F"/>
    <w:rsid w:val="003B5D78"/>
    <w:rsid w:val="003B6F45"/>
    <w:rsid w:val="003B6F81"/>
    <w:rsid w:val="003B72D1"/>
    <w:rsid w:val="003B78D9"/>
    <w:rsid w:val="003C0A06"/>
    <w:rsid w:val="003C0C16"/>
    <w:rsid w:val="003C0DEF"/>
    <w:rsid w:val="003C0E70"/>
    <w:rsid w:val="003C12A9"/>
    <w:rsid w:val="003C1C50"/>
    <w:rsid w:val="003C1CF6"/>
    <w:rsid w:val="003C2BBC"/>
    <w:rsid w:val="003C3A92"/>
    <w:rsid w:val="003C4F1D"/>
    <w:rsid w:val="003C519C"/>
    <w:rsid w:val="003C7A86"/>
    <w:rsid w:val="003C7ABB"/>
    <w:rsid w:val="003C7B94"/>
    <w:rsid w:val="003D0F12"/>
    <w:rsid w:val="003D1AFE"/>
    <w:rsid w:val="003D22DF"/>
    <w:rsid w:val="003D22F4"/>
    <w:rsid w:val="003D2333"/>
    <w:rsid w:val="003D3366"/>
    <w:rsid w:val="003D409B"/>
    <w:rsid w:val="003D4945"/>
    <w:rsid w:val="003D4C15"/>
    <w:rsid w:val="003D57E0"/>
    <w:rsid w:val="003D58F9"/>
    <w:rsid w:val="003D751E"/>
    <w:rsid w:val="003D7F25"/>
    <w:rsid w:val="003E18A8"/>
    <w:rsid w:val="003E2306"/>
    <w:rsid w:val="003E42E1"/>
    <w:rsid w:val="003E462E"/>
    <w:rsid w:val="003E5ACE"/>
    <w:rsid w:val="003E65D0"/>
    <w:rsid w:val="003E67EE"/>
    <w:rsid w:val="003F0005"/>
    <w:rsid w:val="003F07D0"/>
    <w:rsid w:val="003F177F"/>
    <w:rsid w:val="003F1D00"/>
    <w:rsid w:val="003F1E23"/>
    <w:rsid w:val="003F2776"/>
    <w:rsid w:val="003F2CE4"/>
    <w:rsid w:val="003F349F"/>
    <w:rsid w:val="003F386E"/>
    <w:rsid w:val="003F3BCE"/>
    <w:rsid w:val="003F4E0C"/>
    <w:rsid w:val="003F567A"/>
    <w:rsid w:val="003F6B62"/>
    <w:rsid w:val="003F6CCE"/>
    <w:rsid w:val="003F737D"/>
    <w:rsid w:val="003F7679"/>
    <w:rsid w:val="004002E2"/>
    <w:rsid w:val="00400C83"/>
    <w:rsid w:val="00400E3E"/>
    <w:rsid w:val="0040129C"/>
    <w:rsid w:val="00402145"/>
    <w:rsid w:val="004021A1"/>
    <w:rsid w:val="0040227C"/>
    <w:rsid w:val="00402CA9"/>
    <w:rsid w:val="00402E1A"/>
    <w:rsid w:val="00403775"/>
    <w:rsid w:val="00403923"/>
    <w:rsid w:val="0040441F"/>
    <w:rsid w:val="00404769"/>
    <w:rsid w:val="0040499B"/>
    <w:rsid w:val="0040543F"/>
    <w:rsid w:val="00405B3B"/>
    <w:rsid w:val="00406A4D"/>
    <w:rsid w:val="004072D6"/>
    <w:rsid w:val="00410BC0"/>
    <w:rsid w:val="00410BEF"/>
    <w:rsid w:val="00411379"/>
    <w:rsid w:val="004113A8"/>
    <w:rsid w:val="00411EE2"/>
    <w:rsid w:val="00412280"/>
    <w:rsid w:val="00412F8F"/>
    <w:rsid w:val="0041300A"/>
    <w:rsid w:val="00413C16"/>
    <w:rsid w:val="00414C9A"/>
    <w:rsid w:val="00415054"/>
    <w:rsid w:val="004157F5"/>
    <w:rsid w:val="00415F2B"/>
    <w:rsid w:val="00417C69"/>
    <w:rsid w:val="004206A7"/>
    <w:rsid w:val="00421AC2"/>
    <w:rsid w:val="0042294F"/>
    <w:rsid w:val="00424F97"/>
    <w:rsid w:val="004251BE"/>
    <w:rsid w:val="00425FD2"/>
    <w:rsid w:val="00430459"/>
    <w:rsid w:val="00430A8A"/>
    <w:rsid w:val="004319CA"/>
    <w:rsid w:val="00432416"/>
    <w:rsid w:val="00432B47"/>
    <w:rsid w:val="00434B6D"/>
    <w:rsid w:val="00434E04"/>
    <w:rsid w:val="0043583D"/>
    <w:rsid w:val="00435E75"/>
    <w:rsid w:val="00435ECC"/>
    <w:rsid w:val="0043602E"/>
    <w:rsid w:val="0044110A"/>
    <w:rsid w:val="0044153D"/>
    <w:rsid w:val="0044161E"/>
    <w:rsid w:val="00443675"/>
    <w:rsid w:val="00444BF0"/>
    <w:rsid w:val="00444DF8"/>
    <w:rsid w:val="0044587B"/>
    <w:rsid w:val="004459C2"/>
    <w:rsid w:val="00445FE3"/>
    <w:rsid w:val="0045043D"/>
    <w:rsid w:val="0045045E"/>
    <w:rsid w:val="00450E9E"/>
    <w:rsid w:val="00450FD2"/>
    <w:rsid w:val="0045102F"/>
    <w:rsid w:val="00451D32"/>
    <w:rsid w:val="0045229B"/>
    <w:rsid w:val="00452BFE"/>
    <w:rsid w:val="0045349D"/>
    <w:rsid w:val="004534B5"/>
    <w:rsid w:val="00453996"/>
    <w:rsid w:val="0045484A"/>
    <w:rsid w:val="00455127"/>
    <w:rsid w:val="00455EDE"/>
    <w:rsid w:val="00456C71"/>
    <w:rsid w:val="00456EA3"/>
    <w:rsid w:val="0046020B"/>
    <w:rsid w:val="004602FF"/>
    <w:rsid w:val="00463F44"/>
    <w:rsid w:val="00464780"/>
    <w:rsid w:val="00465FE2"/>
    <w:rsid w:val="00466CDA"/>
    <w:rsid w:val="004671D5"/>
    <w:rsid w:val="00467BA9"/>
    <w:rsid w:val="004701DC"/>
    <w:rsid w:val="00470ACA"/>
    <w:rsid w:val="0047110E"/>
    <w:rsid w:val="00474B7C"/>
    <w:rsid w:val="00474FE7"/>
    <w:rsid w:val="004752AE"/>
    <w:rsid w:val="00475DDF"/>
    <w:rsid w:val="00476323"/>
    <w:rsid w:val="0047662E"/>
    <w:rsid w:val="00477D6B"/>
    <w:rsid w:val="00480B1D"/>
    <w:rsid w:val="00481AF1"/>
    <w:rsid w:val="00481C2B"/>
    <w:rsid w:val="00481D41"/>
    <w:rsid w:val="0048200F"/>
    <w:rsid w:val="0048238C"/>
    <w:rsid w:val="00483875"/>
    <w:rsid w:val="004838FD"/>
    <w:rsid w:val="00483BE4"/>
    <w:rsid w:val="0048426B"/>
    <w:rsid w:val="00484568"/>
    <w:rsid w:val="00485831"/>
    <w:rsid w:val="0048588F"/>
    <w:rsid w:val="00487F8E"/>
    <w:rsid w:val="00490FF4"/>
    <w:rsid w:val="004912CF"/>
    <w:rsid w:val="00492166"/>
    <w:rsid w:val="00492369"/>
    <w:rsid w:val="004926E5"/>
    <w:rsid w:val="00493777"/>
    <w:rsid w:val="00493D19"/>
    <w:rsid w:val="0049521F"/>
    <w:rsid w:val="00495F18"/>
    <w:rsid w:val="00496C0B"/>
    <w:rsid w:val="004A01E0"/>
    <w:rsid w:val="004A10F4"/>
    <w:rsid w:val="004A2AC7"/>
    <w:rsid w:val="004A40C5"/>
    <w:rsid w:val="004A4FC9"/>
    <w:rsid w:val="004A52B7"/>
    <w:rsid w:val="004A57ED"/>
    <w:rsid w:val="004A5D53"/>
    <w:rsid w:val="004A7AEF"/>
    <w:rsid w:val="004B0180"/>
    <w:rsid w:val="004B04DE"/>
    <w:rsid w:val="004B07F1"/>
    <w:rsid w:val="004B1006"/>
    <w:rsid w:val="004B1E83"/>
    <w:rsid w:val="004B219C"/>
    <w:rsid w:val="004B3C37"/>
    <w:rsid w:val="004B564A"/>
    <w:rsid w:val="004B591E"/>
    <w:rsid w:val="004B5E60"/>
    <w:rsid w:val="004B5EC9"/>
    <w:rsid w:val="004B76A5"/>
    <w:rsid w:val="004C0F42"/>
    <w:rsid w:val="004C24BB"/>
    <w:rsid w:val="004C3C90"/>
    <w:rsid w:val="004C429F"/>
    <w:rsid w:val="004C4CD4"/>
    <w:rsid w:val="004C55DC"/>
    <w:rsid w:val="004C67BA"/>
    <w:rsid w:val="004C7840"/>
    <w:rsid w:val="004C7CC1"/>
    <w:rsid w:val="004D01A7"/>
    <w:rsid w:val="004D0362"/>
    <w:rsid w:val="004D09C5"/>
    <w:rsid w:val="004D0F2D"/>
    <w:rsid w:val="004D1BBF"/>
    <w:rsid w:val="004D1CE4"/>
    <w:rsid w:val="004D1E09"/>
    <w:rsid w:val="004D23E0"/>
    <w:rsid w:val="004D31C5"/>
    <w:rsid w:val="004D3596"/>
    <w:rsid w:val="004D3CE0"/>
    <w:rsid w:val="004D55E5"/>
    <w:rsid w:val="004E00D2"/>
    <w:rsid w:val="004E016F"/>
    <w:rsid w:val="004E06C1"/>
    <w:rsid w:val="004E193F"/>
    <w:rsid w:val="004E19C8"/>
    <w:rsid w:val="004E285C"/>
    <w:rsid w:val="004E4993"/>
    <w:rsid w:val="004E6606"/>
    <w:rsid w:val="004E7B84"/>
    <w:rsid w:val="004E7ED8"/>
    <w:rsid w:val="004F197F"/>
    <w:rsid w:val="004F1F20"/>
    <w:rsid w:val="004F2902"/>
    <w:rsid w:val="004F5DE7"/>
    <w:rsid w:val="004F7233"/>
    <w:rsid w:val="004F7D37"/>
    <w:rsid w:val="00501257"/>
    <w:rsid w:val="00501B2C"/>
    <w:rsid w:val="00501F18"/>
    <w:rsid w:val="00504E8E"/>
    <w:rsid w:val="005067A5"/>
    <w:rsid w:val="005068C3"/>
    <w:rsid w:val="00510377"/>
    <w:rsid w:val="005107AE"/>
    <w:rsid w:val="00510A5D"/>
    <w:rsid w:val="0051135B"/>
    <w:rsid w:val="00511ABE"/>
    <w:rsid w:val="00512C11"/>
    <w:rsid w:val="00513529"/>
    <w:rsid w:val="005149FA"/>
    <w:rsid w:val="00517D30"/>
    <w:rsid w:val="00520005"/>
    <w:rsid w:val="005202B9"/>
    <w:rsid w:val="00525772"/>
    <w:rsid w:val="00530A65"/>
    <w:rsid w:val="0053170A"/>
    <w:rsid w:val="005325F6"/>
    <w:rsid w:val="005330CB"/>
    <w:rsid w:val="00533DEA"/>
    <w:rsid w:val="00534BEF"/>
    <w:rsid w:val="00536C11"/>
    <w:rsid w:val="00536CB0"/>
    <w:rsid w:val="005401AA"/>
    <w:rsid w:val="005405F3"/>
    <w:rsid w:val="00540B88"/>
    <w:rsid w:val="00540D00"/>
    <w:rsid w:val="0054125B"/>
    <w:rsid w:val="00541934"/>
    <w:rsid w:val="00542220"/>
    <w:rsid w:val="005427EA"/>
    <w:rsid w:val="00542D1B"/>
    <w:rsid w:val="005430ED"/>
    <w:rsid w:val="00545753"/>
    <w:rsid w:val="00545936"/>
    <w:rsid w:val="00546207"/>
    <w:rsid w:val="0054767E"/>
    <w:rsid w:val="00547BEA"/>
    <w:rsid w:val="005505E4"/>
    <w:rsid w:val="00550FE3"/>
    <w:rsid w:val="00551AB7"/>
    <w:rsid w:val="005522F1"/>
    <w:rsid w:val="00552CA9"/>
    <w:rsid w:val="00552D3B"/>
    <w:rsid w:val="0055435B"/>
    <w:rsid w:val="00555D66"/>
    <w:rsid w:val="005560AA"/>
    <w:rsid w:val="00556774"/>
    <w:rsid w:val="00560F15"/>
    <w:rsid w:val="005615D6"/>
    <w:rsid w:val="00561F60"/>
    <w:rsid w:val="00562D1C"/>
    <w:rsid w:val="0056396E"/>
    <w:rsid w:val="00564490"/>
    <w:rsid w:val="005648CB"/>
    <w:rsid w:val="005656A9"/>
    <w:rsid w:val="005657D8"/>
    <w:rsid w:val="00566828"/>
    <w:rsid w:val="00570196"/>
    <w:rsid w:val="0057099E"/>
    <w:rsid w:val="00570A01"/>
    <w:rsid w:val="0057108C"/>
    <w:rsid w:val="00571CA9"/>
    <w:rsid w:val="005720C2"/>
    <w:rsid w:val="00572687"/>
    <w:rsid w:val="00572974"/>
    <w:rsid w:val="005730E3"/>
    <w:rsid w:val="00573771"/>
    <w:rsid w:val="005759A2"/>
    <w:rsid w:val="005769C7"/>
    <w:rsid w:val="00576AEE"/>
    <w:rsid w:val="00577D3D"/>
    <w:rsid w:val="00583182"/>
    <w:rsid w:val="005831CC"/>
    <w:rsid w:val="005835CE"/>
    <w:rsid w:val="00585EAE"/>
    <w:rsid w:val="0058699F"/>
    <w:rsid w:val="00587725"/>
    <w:rsid w:val="00587897"/>
    <w:rsid w:val="00592D6F"/>
    <w:rsid w:val="00593161"/>
    <w:rsid w:val="00594017"/>
    <w:rsid w:val="00594BC7"/>
    <w:rsid w:val="00594DA1"/>
    <w:rsid w:val="00595C1F"/>
    <w:rsid w:val="0059624E"/>
    <w:rsid w:val="00596D9C"/>
    <w:rsid w:val="0059787E"/>
    <w:rsid w:val="00597CF4"/>
    <w:rsid w:val="005A0793"/>
    <w:rsid w:val="005A23E7"/>
    <w:rsid w:val="005A2A38"/>
    <w:rsid w:val="005A2E58"/>
    <w:rsid w:val="005A48D2"/>
    <w:rsid w:val="005A645A"/>
    <w:rsid w:val="005A6F02"/>
    <w:rsid w:val="005A6F71"/>
    <w:rsid w:val="005A7B9B"/>
    <w:rsid w:val="005B0561"/>
    <w:rsid w:val="005B05D5"/>
    <w:rsid w:val="005B1796"/>
    <w:rsid w:val="005B3785"/>
    <w:rsid w:val="005B466F"/>
    <w:rsid w:val="005B4CA6"/>
    <w:rsid w:val="005C0A8B"/>
    <w:rsid w:val="005C0F8E"/>
    <w:rsid w:val="005C2FF9"/>
    <w:rsid w:val="005C58A5"/>
    <w:rsid w:val="005C618A"/>
    <w:rsid w:val="005C632B"/>
    <w:rsid w:val="005C6B95"/>
    <w:rsid w:val="005C6CDA"/>
    <w:rsid w:val="005C6F62"/>
    <w:rsid w:val="005C6FFB"/>
    <w:rsid w:val="005C7A09"/>
    <w:rsid w:val="005C7FA2"/>
    <w:rsid w:val="005D01B3"/>
    <w:rsid w:val="005D08D3"/>
    <w:rsid w:val="005D1203"/>
    <w:rsid w:val="005D166D"/>
    <w:rsid w:val="005D337D"/>
    <w:rsid w:val="005D4770"/>
    <w:rsid w:val="005D53CE"/>
    <w:rsid w:val="005D6986"/>
    <w:rsid w:val="005D7148"/>
    <w:rsid w:val="005D75FE"/>
    <w:rsid w:val="005D76E1"/>
    <w:rsid w:val="005E05ED"/>
    <w:rsid w:val="005E1269"/>
    <w:rsid w:val="005E1A50"/>
    <w:rsid w:val="005E2549"/>
    <w:rsid w:val="005E31F4"/>
    <w:rsid w:val="005E3315"/>
    <w:rsid w:val="005E3EFB"/>
    <w:rsid w:val="005E4055"/>
    <w:rsid w:val="005E4471"/>
    <w:rsid w:val="005E4499"/>
    <w:rsid w:val="005E7647"/>
    <w:rsid w:val="005E7A8F"/>
    <w:rsid w:val="005F2673"/>
    <w:rsid w:val="005F2F6A"/>
    <w:rsid w:val="005F4BD8"/>
    <w:rsid w:val="005F4E01"/>
    <w:rsid w:val="005F52A0"/>
    <w:rsid w:val="005F5326"/>
    <w:rsid w:val="005F539A"/>
    <w:rsid w:val="005F5BBA"/>
    <w:rsid w:val="005F63E4"/>
    <w:rsid w:val="005F64C2"/>
    <w:rsid w:val="005F675D"/>
    <w:rsid w:val="005F6B9A"/>
    <w:rsid w:val="005F6D3C"/>
    <w:rsid w:val="005F7412"/>
    <w:rsid w:val="006004F5"/>
    <w:rsid w:val="00600B6A"/>
    <w:rsid w:val="0060196B"/>
    <w:rsid w:val="0060279A"/>
    <w:rsid w:val="006028A1"/>
    <w:rsid w:val="006029D3"/>
    <w:rsid w:val="00603233"/>
    <w:rsid w:val="0060409F"/>
    <w:rsid w:val="0060506E"/>
    <w:rsid w:val="00605186"/>
    <w:rsid w:val="00605679"/>
    <w:rsid w:val="00606901"/>
    <w:rsid w:val="00606AC1"/>
    <w:rsid w:val="00607B01"/>
    <w:rsid w:val="00607CB5"/>
    <w:rsid w:val="00610A09"/>
    <w:rsid w:val="00611A59"/>
    <w:rsid w:val="006121C6"/>
    <w:rsid w:val="00612FD4"/>
    <w:rsid w:val="00614489"/>
    <w:rsid w:val="00615CF7"/>
    <w:rsid w:val="0061681C"/>
    <w:rsid w:val="0061708C"/>
    <w:rsid w:val="00617685"/>
    <w:rsid w:val="006179A3"/>
    <w:rsid w:val="00617A2E"/>
    <w:rsid w:val="00617F13"/>
    <w:rsid w:val="006201D8"/>
    <w:rsid w:val="00620636"/>
    <w:rsid w:val="00620826"/>
    <w:rsid w:val="00620D58"/>
    <w:rsid w:val="006228B1"/>
    <w:rsid w:val="00622BC8"/>
    <w:rsid w:val="0062369B"/>
    <w:rsid w:val="00624DBA"/>
    <w:rsid w:val="00626D2F"/>
    <w:rsid w:val="0062709E"/>
    <w:rsid w:val="0062768A"/>
    <w:rsid w:val="00627953"/>
    <w:rsid w:val="00627D18"/>
    <w:rsid w:val="00630467"/>
    <w:rsid w:val="006310B1"/>
    <w:rsid w:val="00631657"/>
    <w:rsid w:val="00631C54"/>
    <w:rsid w:val="00631DF1"/>
    <w:rsid w:val="006328BA"/>
    <w:rsid w:val="00635BF9"/>
    <w:rsid w:val="0063601D"/>
    <w:rsid w:val="006362EE"/>
    <w:rsid w:val="00636A8E"/>
    <w:rsid w:val="006376CD"/>
    <w:rsid w:val="0063791D"/>
    <w:rsid w:val="00640635"/>
    <w:rsid w:val="0064067E"/>
    <w:rsid w:val="00641620"/>
    <w:rsid w:val="00641C8C"/>
    <w:rsid w:val="006438B0"/>
    <w:rsid w:val="00646C8B"/>
    <w:rsid w:val="00650140"/>
    <w:rsid w:val="006507CC"/>
    <w:rsid w:val="00650AAB"/>
    <w:rsid w:val="00651196"/>
    <w:rsid w:val="0065155B"/>
    <w:rsid w:val="0065190B"/>
    <w:rsid w:val="006520CB"/>
    <w:rsid w:val="00652555"/>
    <w:rsid w:val="00652AF6"/>
    <w:rsid w:val="0065381F"/>
    <w:rsid w:val="00655886"/>
    <w:rsid w:val="006579B5"/>
    <w:rsid w:val="00660B0B"/>
    <w:rsid w:val="00661021"/>
    <w:rsid w:val="00661189"/>
    <w:rsid w:val="0066248C"/>
    <w:rsid w:val="00662EFF"/>
    <w:rsid w:val="0066463D"/>
    <w:rsid w:val="00664D37"/>
    <w:rsid w:val="0066500F"/>
    <w:rsid w:val="00665170"/>
    <w:rsid w:val="00665E1F"/>
    <w:rsid w:val="00666C88"/>
    <w:rsid w:val="00667C13"/>
    <w:rsid w:val="006703B4"/>
    <w:rsid w:val="00670E4D"/>
    <w:rsid w:val="00672609"/>
    <w:rsid w:val="0067530C"/>
    <w:rsid w:val="00676716"/>
    <w:rsid w:val="00676F65"/>
    <w:rsid w:val="006770E7"/>
    <w:rsid w:val="00677510"/>
    <w:rsid w:val="00677BEF"/>
    <w:rsid w:val="0068158A"/>
    <w:rsid w:val="006817AB"/>
    <w:rsid w:val="006826CC"/>
    <w:rsid w:val="00682D30"/>
    <w:rsid w:val="00684D91"/>
    <w:rsid w:val="006909CF"/>
    <w:rsid w:val="0069190D"/>
    <w:rsid w:val="00693148"/>
    <w:rsid w:val="0069541C"/>
    <w:rsid w:val="0069785F"/>
    <w:rsid w:val="006A0CF1"/>
    <w:rsid w:val="006A2576"/>
    <w:rsid w:val="006A4C3B"/>
    <w:rsid w:val="006A4D40"/>
    <w:rsid w:val="006B3F4C"/>
    <w:rsid w:val="006B423B"/>
    <w:rsid w:val="006B44B9"/>
    <w:rsid w:val="006B4E65"/>
    <w:rsid w:val="006C0EDA"/>
    <w:rsid w:val="006C1C1A"/>
    <w:rsid w:val="006C29E3"/>
    <w:rsid w:val="006C2ED4"/>
    <w:rsid w:val="006C3C83"/>
    <w:rsid w:val="006C3E63"/>
    <w:rsid w:val="006C46E6"/>
    <w:rsid w:val="006C7064"/>
    <w:rsid w:val="006C7ECD"/>
    <w:rsid w:val="006D0061"/>
    <w:rsid w:val="006D0697"/>
    <w:rsid w:val="006D1747"/>
    <w:rsid w:val="006D323D"/>
    <w:rsid w:val="006D36D2"/>
    <w:rsid w:val="006D4687"/>
    <w:rsid w:val="006D5E0E"/>
    <w:rsid w:val="006D63B3"/>
    <w:rsid w:val="006D6E91"/>
    <w:rsid w:val="006D75D8"/>
    <w:rsid w:val="006E0DFB"/>
    <w:rsid w:val="006E3339"/>
    <w:rsid w:val="006E4371"/>
    <w:rsid w:val="006E4563"/>
    <w:rsid w:val="006E6F4A"/>
    <w:rsid w:val="006F005D"/>
    <w:rsid w:val="006F0AD2"/>
    <w:rsid w:val="006F0DEB"/>
    <w:rsid w:val="006F2E74"/>
    <w:rsid w:val="006F39C3"/>
    <w:rsid w:val="006F4129"/>
    <w:rsid w:val="006F4692"/>
    <w:rsid w:val="006F4E6C"/>
    <w:rsid w:val="006F4FF9"/>
    <w:rsid w:val="006F58AD"/>
    <w:rsid w:val="006F6629"/>
    <w:rsid w:val="006F6F12"/>
    <w:rsid w:val="006F71CA"/>
    <w:rsid w:val="00700E79"/>
    <w:rsid w:val="00704596"/>
    <w:rsid w:val="00704DE4"/>
    <w:rsid w:val="00705529"/>
    <w:rsid w:val="00705711"/>
    <w:rsid w:val="007070B2"/>
    <w:rsid w:val="00707427"/>
    <w:rsid w:val="007110B4"/>
    <w:rsid w:val="007118EF"/>
    <w:rsid w:val="00711A2D"/>
    <w:rsid w:val="007129A3"/>
    <w:rsid w:val="00713110"/>
    <w:rsid w:val="00713111"/>
    <w:rsid w:val="00713552"/>
    <w:rsid w:val="00715AA9"/>
    <w:rsid w:val="00715D91"/>
    <w:rsid w:val="00715E86"/>
    <w:rsid w:val="007178B2"/>
    <w:rsid w:val="00720086"/>
    <w:rsid w:val="00720C1F"/>
    <w:rsid w:val="00720E4D"/>
    <w:rsid w:val="007211AA"/>
    <w:rsid w:val="007214FF"/>
    <w:rsid w:val="00722D86"/>
    <w:rsid w:val="00723A88"/>
    <w:rsid w:val="00723B4D"/>
    <w:rsid w:val="00723CC9"/>
    <w:rsid w:val="007240BC"/>
    <w:rsid w:val="00724A4E"/>
    <w:rsid w:val="0072610B"/>
    <w:rsid w:val="00727F44"/>
    <w:rsid w:val="007310B1"/>
    <w:rsid w:val="0073242E"/>
    <w:rsid w:val="0073289D"/>
    <w:rsid w:val="00732958"/>
    <w:rsid w:val="0073374A"/>
    <w:rsid w:val="0073514D"/>
    <w:rsid w:val="0073527E"/>
    <w:rsid w:val="0073556B"/>
    <w:rsid w:val="007357D8"/>
    <w:rsid w:val="0073646B"/>
    <w:rsid w:val="00737455"/>
    <w:rsid w:val="00737964"/>
    <w:rsid w:val="00737BEC"/>
    <w:rsid w:val="007413C3"/>
    <w:rsid w:val="00742D58"/>
    <w:rsid w:val="00742FC7"/>
    <w:rsid w:val="00743130"/>
    <w:rsid w:val="007434CB"/>
    <w:rsid w:val="00743A86"/>
    <w:rsid w:val="00743B19"/>
    <w:rsid w:val="007450AE"/>
    <w:rsid w:val="0074510A"/>
    <w:rsid w:val="00745112"/>
    <w:rsid w:val="007460A5"/>
    <w:rsid w:val="007463FF"/>
    <w:rsid w:val="0074746E"/>
    <w:rsid w:val="007477E3"/>
    <w:rsid w:val="007505EE"/>
    <w:rsid w:val="00750BEF"/>
    <w:rsid w:val="00750E90"/>
    <w:rsid w:val="00751D8C"/>
    <w:rsid w:val="00752E09"/>
    <w:rsid w:val="007539DC"/>
    <w:rsid w:val="00753A9F"/>
    <w:rsid w:val="00754DA7"/>
    <w:rsid w:val="00755366"/>
    <w:rsid w:val="0075550B"/>
    <w:rsid w:val="00755582"/>
    <w:rsid w:val="007556B2"/>
    <w:rsid w:val="007568D1"/>
    <w:rsid w:val="00756EFA"/>
    <w:rsid w:val="00757161"/>
    <w:rsid w:val="00757C14"/>
    <w:rsid w:val="00760314"/>
    <w:rsid w:val="00760523"/>
    <w:rsid w:val="00762606"/>
    <w:rsid w:val="007632E1"/>
    <w:rsid w:val="00764A71"/>
    <w:rsid w:val="00764FC9"/>
    <w:rsid w:val="007651ED"/>
    <w:rsid w:val="00765CDE"/>
    <w:rsid w:val="00765DB8"/>
    <w:rsid w:val="00766ECE"/>
    <w:rsid w:val="00766FF2"/>
    <w:rsid w:val="00767171"/>
    <w:rsid w:val="00772561"/>
    <w:rsid w:val="0077364E"/>
    <w:rsid w:val="00773B26"/>
    <w:rsid w:val="00773B4A"/>
    <w:rsid w:val="00776134"/>
    <w:rsid w:val="0077757C"/>
    <w:rsid w:val="00780792"/>
    <w:rsid w:val="00780FF2"/>
    <w:rsid w:val="00782294"/>
    <w:rsid w:val="0078338D"/>
    <w:rsid w:val="00783C8F"/>
    <w:rsid w:val="0078578C"/>
    <w:rsid w:val="007858EB"/>
    <w:rsid w:val="0078625E"/>
    <w:rsid w:val="00786A02"/>
    <w:rsid w:val="00787462"/>
    <w:rsid w:val="00787614"/>
    <w:rsid w:val="00790DA3"/>
    <w:rsid w:val="0079287A"/>
    <w:rsid w:val="00793129"/>
    <w:rsid w:val="00793AAE"/>
    <w:rsid w:val="00794D8F"/>
    <w:rsid w:val="0079503B"/>
    <w:rsid w:val="00795175"/>
    <w:rsid w:val="0079572E"/>
    <w:rsid w:val="007958FA"/>
    <w:rsid w:val="0079761E"/>
    <w:rsid w:val="00797651"/>
    <w:rsid w:val="007A0356"/>
    <w:rsid w:val="007A1688"/>
    <w:rsid w:val="007A234C"/>
    <w:rsid w:val="007A25C9"/>
    <w:rsid w:val="007A2631"/>
    <w:rsid w:val="007A283A"/>
    <w:rsid w:val="007A3F12"/>
    <w:rsid w:val="007A46EF"/>
    <w:rsid w:val="007A689D"/>
    <w:rsid w:val="007A68C3"/>
    <w:rsid w:val="007B0044"/>
    <w:rsid w:val="007B082A"/>
    <w:rsid w:val="007B0833"/>
    <w:rsid w:val="007B1D07"/>
    <w:rsid w:val="007B3793"/>
    <w:rsid w:val="007B3F67"/>
    <w:rsid w:val="007B4D12"/>
    <w:rsid w:val="007B6731"/>
    <w:rsid w:val="007C1FFB"/>
    <w:rsid w:val="007C2717"/>
    <w:rsid w:val="007C2F22"/>
    <w:rsid w:val="007C4A7F"/>
    <w:rsid w:val="007C4D8C"/>
    <w:rsid w:val="007C6259"/>
    <w:rsid w:val="007D1CA6"/>
    <w:rsid w:val="007D1CF5"/>
    <w:rsid w:val="007D4816"/>
    <w:rsid w:val="007D52BE"/>
    <w:rsid w:val="007D59DA"/>
    <w:rsid w:val="007D62BB"/>
    <w:rsid w:val="007D6F58"/>
    <w:rsid w:val="007E1059"/>
    <w:rsid w:val="007E11B4"/>
    <w:rsid w:val="007E14BA"/>
    <w:rsid w:val="007E1F71"/>
    <w:rsid w:val="007E2BEA"/>
    <w:rsid w:val="007E4D69"/>
    <w:rsid w:val="007E688F"/>
    <w:rsid w:val="007E6C35"/>
    <w:rsid w:val="007F3058"/>
    <w:rsid w:val="007F3163"/>
    <w:rsid w:val="007F412A"/>
    <w:rsid w:val="007F4230"/>
    <w:rsid w:val="007F6D13"/>
    <w:rsid w:val="00800B88"/>
    <w:rsid w:val="00800E30"/>
    <w:rsid w:val="008015F8"/>
    <w:rsid w:val="008017E8"/>
    <w:rsid w:val="008024B7"/>
    <w:rsid w:val="0080333D"/>
    <w:rsid w:val="00804507"/>
    <w:rsid w:val="008058C0"/>
    <w:rsid w:val="00805EF4"/>
    <w:rsid w:val="00806202"/>
    <w:rsid w:val="008062F1"/>
    <w:rsid w:val="00811541"/>
    <w:rsid w:val="00811B90"/>
    <w:rsid w:val="00812422"/>
    <w:rsid w:val="00812C7B"/>
    <w:rsid w:val="00813258"/>
    <w:rsid w:val="00813512"/>
    <w:rsid w:val="0081470A"/>
    <w:rsid w:val="00814EBD"/>
    <w:rsid w:val="0081523C"/>
    <w:rsid w:val="00815672"/>
    <w:rsid w:val="00816C5A"/>
    <w:rsid w:val="00820A62"/>
    <w:rsid w:val="0082193D"/>
    <w:rsid w:val="00822B4B"/>
    <w:rsid w:val="008241F7"/>
    <w:rsid w:val="00825E39"/>
    <w:rsid w:val="008266B5"/>
    <w:rsid w:val="00826BD9"/>
    <w:rsid w:val="0083042E"/>
    <w:rsid w:val="00830785"/>
    <w:rsid w:val="0083103A"/>
    <w:rsid w:val="0083486C"/>
    <w:rsid w:val="008355B3"/>
    <w:rsid w:val="00835612"/>
    <w:rsid w:val="008374FB"/>
    <w:rsid w:val="00837545"/>
    <w:rsid w:val="0084001D"/>
    <w:rsid w:val="00840EEF"/>
    <w:rsid w:val="00841505"/>
    <w:rsid w:val="008416FE"/>
    <w:rsid w:val="00841EE9"/>
    <w:rsid w:val="008432F7"/>
    <w:rsid w:val="00844A42"/>
    <w:rsid w:val="00845FF8"/>
    <w:rsid w:val="0084619F"/>
    <w:rsid w:val="00846ABF"/>
    <w:rsid w:val="00846FDF"/>
    <w:rsid w:val="00850130"/>
    <w:rsid w:val="00851655"/>
    <w:rsid w:val="00851BA1"/>
    <w:rsid w:val="008527CD"/>
    <w:rsid w:val="00852DE1"/>
    <w:rsid w:val="00853CE9"/>
    <w:rsid w:val="00854FD3"/>
    <w:rsid w:val="00855411"/>
    <w:rsid w:val="00855443"/>
    <w:rsid w:val="00855502"/>
    <w:rsid w:val="00855BC8"/>
    <w:rsid w:val="00861DA7"/>
    <w:rsid w:val="00862555"/>
    <w:rsid w:val="008625E8"/>
    <w:rsid w:val="0086480D"/>
    <w:rsid w:val="008653D7"/>
    <w:rsid w:val="00865513"/>
    <w:rsid w:val="00866061"/>
    <w:rsid w:val="00866860"/>
    <w:rsid w:val="008714D9"/>
    <w:rsid w:val="00871E43"/>
    <w:rsid w:val="008722D9"/>
    <w:rsid w:val="00872AEA"/>
    <w:rsid w:val="00872AED"/>
    <w:rsid w:val="008730B0"/>
    <w:rsid w:val="008734AF"/>
    <w:rsid w:val="008745C7"/>
    <w:rsid w:val="0087490B"/>
    <w:rsid w:val="00875992"/>
    <w:rsid w:val="00875F4E"/>
    <w:rsid w:val="008772AD"/>
    <w:rsid w:val="00877D02"/>
    <w:rsid w:val="00881A27"/>
    <w:rsid w:val="008826CF"/>
    <w:rsid w:val="008828CF"/>
    <w:rsid w:val="008831FC"/>
    <w:rsid w:val="00883A14"/>
    <w:rsid w:val="00884619"/>
    <w:rsid w:val="008849FF"/>
    <w:rsid w:val="00887CCE"/>
    <w:rsid w:val="0089166D"/>
    <w:rsid w:val="00892DFB"/>
    <w:rsid w:val="00893884"/>
    <w:rsid w:val="00893A9E"/>
    <w:rsid w:val="00893E6F"/>
    <w:rsid w:val="0089418C"/>
    <w:rsid w:val="00894B1D"/>
    <w:rsid w:val="00897C7E"/>
    <w:rsid w:val="008A0601"/>
    <w:rsid w:val="008A087E"/>
    <w:rsid w:val="008A14FE"/>
    <w:rsid w:val="008A1B44"/>
    <w:rsid w:val="008A3337"/>
    <w:rsid w:val="008A4843"/>
    <w:rsid w:val="008A55DD"/>
    <w:rsid w:val="008A5947"/>
    <w:rsid w:val="008A5B90"/>
    <w:rsid w:val="008A657C"/>
    <w:rsid w:val="008A6C85"/>
    <w:rsid w:val="008B1601"/>
    <w:rsid w:val="008B2D4D"/>
    <w:rsid w:val="008B410D"/>
    <w:rsid w:val="008B6221"/>
    <w:rsid w:val="008B65A5"/>
    <w:rsid w:val="008B6D0A"/>
    <w:rsid w:val="008B6D39"/>
    <w:rsid w:val="008B6D51"/>
    <w:rsid w:val="008B729D"/>
    <w:rsid w:val="008B76BA"/>
    <w:rsid w:val="008C111C"/>
    <w:rsid w:val="008C37F0"/>
    <w:rsid w:val="008C556C"/>
    <w:rsid w:val="008C5E2F"/>
    <w:rsid w:val="008C6E48"/>
    <w:rsid w:val="008C6FE9"/>
    <w:rsid w:val="008D091B"/>
    <w:rsid w:val="008D1E89"/>
    <w:rsid w:val="008D2A6C"/>
    <w:rsid w:val="008D2DD7"/>
    <w:rsid w:val="008D3A99"/>
    <w:rsid w:val="008D3C7D"/>
    <w:rsid w:val="008D5679"/>
    <w:rsid w:val="008D5A54"/>
    <w:rsid w:val="008D724C"/>
    <w:rsid w:val="008D7DA8"/>
    <w:rsid w:val="008E03B4"/>
    <w:rsid w:val="008E344F"/>
    <w:rsid w:val="008E347E"/>
    <w:rsid w:val="008E3815"/>
    <w:rsid w:val="008E544D"/>
    <w:rsid w:val="008E5502"/>
    <w:rsid w:val="008E5F7B"/>
    <w:rsid w:val="008E7AD6"/>
    <w:rsid w:val="008F23BF"/>
    <w:rsid w:val="008F2CD5"/>
    <w:rsid w:val="008F32BE"/>
    <w:rsid w:val="008F5ACD"/>
    <w:rsid w:val="008F5F0D"/>
    <w:rsid w:val="00901393"/>
    <w:rsid w:val="00901D29"/>
    <w:rsid w:val="00902046"/>
    <w:rsid w:val="00903F2E"/>
    <w:rsid w:val="0090420E"/>
    <w:rsid w:val="00904419"/>
    <w:rsid w:val="0090486F"/>
    <w:rsid w:val="00905525"/>
    <w:rsid w:val="00905616"/>
    <w:rsid w:val="00905F4D"/>
    <w:rsid w:val="009062D3"/>
    <w:rsid w:val="0090683E"/>
    <w:rsid w:val="00906A56"/>
    <w:rsid w:val="009074F0"/>
    <w:rsid w:val="00910DC3"/>
    <w:rsid w:val="00912168"/>
    <w:rsid w:val="00912C14"/>
    <w:rsid w:val="0091339B"/>
    <w:rsid w:val="0091385F"/>
    <w:rsid w:val="0091405D"/>
    <w:rsid w:val="00914108"/>
    <w:rsid w:val="0091614D"/>
    <w:rsid w:val="00916D1A"/>
    <w:rsid w:val="00916FB6"/>
    <w:rsid w:val="0091705E"/>
    <w:rsid w:val="009170D4"/>
    <w:rsid w:val="009177AD"/>
    <w:rsid w:val="009202C7"/>
    <w:rsid w:val="009212CD"/>
    <w:rsid w:val="00923FAE"/>
    <w:rsid w:val="00924502"/>
    <w:rsid w:val="009267A6"/>
    <w:rsid w:val="00927230"/>
    <w:rsid w:val="00930748"/>
    <w:rsid w:val="00932778"/>
    <w:rsid w:val="00933030"/>
    <w:rsid w:val="00935A38"/>
    <w:rsid w:val="0093657E"/>
    <w:rsid w:val="00940631"/>
    <w:rsid w:val="00942091"/>
    <w:rsid w:val="00944928"/>
    <w:rsid w:val="00944A9B"/>
    <w:rsid w:val="0094516F"/>
    <w:rsid w:val="00945315"/>
    <w:rsid w:val="00946506"/>
    <w:rsid w:val="0095060C"/>
    <w:rsid w:val="009511A9"/>
    <w:rsid w:val="009512A0"/>
    <w:rsid w:val="00951E8F"/>
    <w:rsid w:val="00955079"/>
    <w:rsid w:val="00955481"/>
    <w:rsid w:val="009554C7"/>
    <w:rsid w:val="009557EE"/>
    <w:rsid w:val="00955EC5"/>
    <w:rsid w:val="009561DC"/>
    <w:rsid w:val="00957756"/>
    <w:rsid w:val="00961D41"/>
    <w:rsid w:val="009626E1"/>
    <w:rsid w:val="00963A33"/>
    <w:rsid w:val="009642AC"/>
    <w:rsid w:val="0096448F"/>
    <w:rsid w:val="00964782"/>
    <w:rsid w:val="00965993"/>
    <w:rsid w:val="0096669C"/>
    <w:rsid w:val="00966905"/>
    <w:rsid w:val="0096707E"/>
    <w:rsid w:val="0096751F"/>
    <w:rsid w:val="00970A28"/>
    <w:rsid w:val="009716DD"/>
    <w:rsid w:val="0097190C"/>
    <w:rsid w:val="00972224"/>
    <w:rsid w:val="00973B64"/>
    <w:rsid w:val="009752C9"/>
    <w:rsid w:val="009752DB"/>
    <w:rsid w:val="0097775B"/>
    <w:rsid w:val="00977E36"/>
    <w:rsid w:val="0098087E"/>
    <w:rsid w:val="00981821"/>
    <w:rsid w:val="009833C9"/>
    <w:rsid w:val="009863C6"/>
    <w:rsid w:val="009865B4"/>
    <w:rsid w:val="00986C49"/>
    <w:rsid w:val="00986CD7"/>
    <w:rsid w:val="009877FB"/>
    <w:rsid w:val="00991022"/>
    <w:rsid w:val="00991B71"/>
    <w:rsid w:val="00992AC4"/>
    <w:rsid w:val="00994350"/>
    <w:rsid w:val="00995485"/>
    <w:rsid w:val="00995B17"/>
    <w:rsid w:val="00995F45"/>
    <w:rsid w:val="009964F2"/>
    <w:rsid w:val="00996A2A"/>
    <w:rsid w:val="009A17DF"/>
    <w:rsid w:val="009A3486"/>
    <w:rsid w:val="009A5B39"/>
    <w:rsid w:val="009A6362"/>
    <w:rsid w:val="009A7664"/>
    <w:rsid w:val="009A7F41"/>
    <w:rsid w:val="009A7FC5"/>
    <w:rsid w:val="009B0627"/>
    <w:rsid w:val="009B09C2"/>
    <w:rsid w:val="009B156B"/>
    <w:rsid w:val="009B1B09"/>
    <w:rsid w:val="009B379A"/>
    <w:rsid w:val="009B40C4"/>
    <w:rsid w:val="009B4173"/>
    <w:rsid w:val="009B4C40"/>
    <w:rsid w:val="009B4D84"/>
    <w:rsid w:val="009B5E37"/>
    <w:rsid w:val="009B6192"/>
    <w:rsid w:val="009B724B"/>
    <w:rsid w:val="009C0D58"/>
    <w:rsid w:val="009C115C"/>
    <w:rsid w:val="009C1A62"/>
    <w:rsid w:val="009C3697"/>
    <w:rsid w:val="009C3FE7"/>
    <w:rsid w:val="009C51CF"/>
    <w:rsid w:val="009C5585"/>
    <w:rsid w:val="009C6F61"/>
    <w:rsid w:val="009C78AD"/>
    <w:rsid w:val="009D456D"/>
    <w:rsid w:val="009D4957"/>
    <w:rsid w:val="009D5905"/>
    <w:rsid w:val="009D5F0D"/>
    <w:rsid w:val="009D63C1"/>
    <w:rsid w:val="009D648F"/>
    <w:rsid w:val="009D66B0"/>
    <w:rsid w:val="009D67FF"/>
    <w:rsid w:val="009D7876"/>
    <w:rsid w:val="009D7BBA"/>
    <w:rsid w:val="009E1F7F"/>
    <w:rsid w:val="009E3FA0"/>
    <w:rsid w:val="009E559A"/>
    <w:rsid w:val="009E5B2C"/>
    <w:rsid w:val="009E6C8D"/>
    <w:rsid w:val="009F0988"/>
    <w:rsid w:val="009F10AC"/>
    <w:rsid w:val="009F2AC4"/>
    <w:rsid w:val="009F3012"/>
    <w:rsid w:val="009F32FF"/>
    <w:rsid w:val="009F48C5"/>
    <w:rsid w:val="009F535A"/>
    <w:rsid w:val="009F7441"/>
    <w:rsid w:val="009F7A29"/>
    <w:rsid w:val="009F7B35"/>
    <w:rsid w:val="00A01F93"/>
    <w:rsid w:val="00A01FE0"/>
    <w:rsid w:val="00A022DC"/>
    <w:rsid w:val="00A02537"/>
    <w:rsid w:val="00A02825"/>
    <w:rsid w:val="00A031FA"/>
    <w:rsid w:val="00A04299"/>
    <w:rsid w:val="00A042E3"/>
    <w:rsid w:val="00A05CE0"/>
    <w:rsid w:val="00A05DAA"/>
    <w:rsid w:val="00A064C9"/>
    <w:rsid w:val="00A066F9"/>
    <w:rsid w:val="00A07044"/>
    <w:rsid w:val="00A1040F"/>
    <w:rsid w:val="00A10A36"/>
    <w:rsid w:val="00A11463"/>
    <w:rsid w:val="00A1362D"/>
    <w:rsid w:val="00A136F5"/>
    <w:rsid w:val="00A13D37"/>
    <w:rsid w:val="00A1543D"/>
    <w:rsid w:val="00A155E8"/>
    <w:rsid w:val="00A1594F"/>
    <w:rsid w:val="00A16894"/>
    <w:rsid w:val="00A171EC"/>
    <w:rsid w:val="00A172B7"/>
    <w:rsid w:val="00A17393"/>
    <w:rsid w:val="00A213E6"/>
    <w:rsid w:val="00A21992"/>
    <w:rsid w:val="00A21AE4"/>
    <w:rsid w:val="00A21C17"/>
    <w:rsid w:val="00A21CC6"/>
    <w:rsid w:val="00A22CF7"/>
    <w:rsid w:val="00A2477C"/>
    <w:rsid w:val="00A256B2"/>
    <w:rsid w:val="00A26201"/>
    <w:rsid w:val="00A2717F"/>
    <w:rsid w:val="00A274A8"/>
    <w:rsid w:val="00A302F9"/>
    <w:rsid w:val="00A30627"/>
    <w:rsid w:val="00A30F77"/>
    <w:rsid w:val="00A3119B"/>
    <w:rsid w:val="00A31966"/>
    <w:rsid w:val="00A331AA"/>
    <w:rsid w:val="00A336E2"/>
    <w:rsid w:val="00A33852"/>
    <w:rsid w:val="00A34114"/>
    <w:rsid w:val="00A3477B"/>
    <w:rsid w:val="00A36E61"/>
    <w:rsid w:val="00A36E93"/>
    <w:rsid w:val="00A37551"/>
    <w:rsid w:val="00A4107C"/>
    <w:rsid w:val="00A41945"/>
    <w:rsid w:val="00A43051"/>
    <w:rsid w:val="00A43EC3"/>
    <w:rsid w:val="00A448C8"/>
    <w:rsid w:val="00A45076"/>
    <w:rsid w:val="00A457FF"/>
    <w:rsid w:val="00A45854"/>
    <w:rsid w:val="00A45997"/>
    <w:rsid w:val="00A4671F"/>
    <w:rsid w:val="00A501D1"/>
    <w:rsid w:val="00A53138"/>
    <w:rsid w:val="00A5327A"/>
    <w:rsid w:val="00A53B57"/>
    <w:rsid w:val="00A54F96"/>
    <w:rsid w:val="00A55307"/>
    <w:rsid w:val="00A555D1"/>
    <w:rsid w:val="00A57B45"/>
    <w:rsid w:val="00A616AA"/>
    <w:rsid w:val="00A643C1"/>
    <w:rsid w:val="00A645B2"/>
    <w:rsid w:val="00A6501C"/>
    <w:rsid w:val="00A65089"/>
    <w:rsid w:val="00A652E8"/>
    <w:rsid w:val="00A65DD7"/>
    <w:rsid w:val="00A66184"/>
    <w:rsid w:val="00A67CB1"/>
    <w:rsid w:val="00A67EAB"/>
    <w:rsid w:val="00A72307"/>
    <w:rsid w:val="00A72C40"/>
    <w:rsid w:val="00A74218"/>
    <w:rsid w:val="00A74B97"/>
    <w:rsid w:val="00A77B15"/>
    <w:rsid w:val="00A77E0B"/>
    <w:rsid w:val="00A81458"/>
    <w:rsid w:val="00A81501"/>
    <w:rsid w:val="00A83A21"/>
    <w:rsid w:val="00A83A24"/>
    <w:rsid w:val="00A83A66"/>
    <w:rsid w:val="00A83B60"/>
    <w:rsid w:val="00A84273"/>
    <w:rsid w:val="00A84D45"/>
    <w:rsid w:val="00A85DA0"/>
    <w:rsid w:val="00A871A4"/>
    <w:rsid w:val="00A8767B"/>
    <w:rsid w:val="00A91A45"/>
    <w:rsid w:val="00A95072"/>
    <w:rsid w:val="00A95457"/>
    <w:rsid w:val="00A95D50"/>
    <w:rsid w:val="00A96883"/>
    <w:rsid w:val="00A9725F"/>
    <w:rsid w:val="00A974F8"/>
    <w:rsid w:val="00A9796C"/>
    <w:rsid w:val="00A97B5D"/>
    <w:rsid w:val="00A97BC1"/>
    <w:rsid w:val="00AA0B23"/>
    <w:rsid w:val="00AA2082"/>
    <w:rsid w:val="00AA21AA"/>
    <w:rsid w:val="00AA2AF9"/>
    <w:rsid w:val="00AA2F8E"/>
    <w:rsid w:val="00AA3AF0"/>
    <w:rsid w:val="00AA4297"/>
    <w:rsid w:val="00AA4724"/>
    <w:rsid w:val="00AA4A36"/>
    <w:rsid w:val="00AA510F"/>
    <w:rsid w:val="00AA5192"/>
    <w:rsid w:val="00AA52FB"/>
    <w:rsid w:val="00AA5AC2"/>
    <w:rsid w:val="00AA6CF5"/>
    <w:rsid w:val="00AA7610"/>
    <w:rsid w:val="00AB0867"/>
    <w:rsid w:val="00AB1D0C"/>
    <w:rsid w:val="00AB362A"/>
    <w:rsid w:val="00AB4B64"/>
    <w:rsid w:val="00AB647E"/>
    <w:rsid w:val="00AB6AC5"/>
    <w:rsid w:val="00AB73D0"/>
    <w:rsid w:val="00AC011D"/>
    <w:rsid w:val="00AC0408"/>
    <w:rsid w:val="00AC112C"/>
    <w:rsid w:val="00AC1639"/>
    <w:rsid w:val="00AC2BC0"/>
    <w:rsid w:val="00AC3611"/>
    <w:rsid w:val="00AC3A8C"/>
    <w:rsid w:val="00AC6CD5"/>
    <w:rsid w:val="00AC6D80"/>
    <w:rsid w:val="00AC73BF"/>
    <w:rsid w:val="00AC74D0"/>
    <w:rsid w:val="00AC7E2D"/>
    <w:rsid w:val="00AD0068"/>
    <w:rsid w:val="00AD0483"/>
    <w:rsid w:val="00AD05D3"/>
    <w:rsid w:val="00AD0758"/>
    <w:rsid w:val="00AD0EB1"/>
    <w:rsid w:val="00AD1EB2"/>
    <w:rsid w:val="00AD358D"/>
    <w:rsid w:val="00AD44A7"/>
    <w:rsid w:val="00AD4F42"/>
    <w:rsid w:val="00AD6CFC"/>
    <w:rsid w:val="00AD7FF1"/>
    <w:rsid w:val="00AE0793"/>
    <w:rsid w:val="00AE0896"/>
    <w:rsid w:val="00AE38AA"/>
    <w:rsid w:val="00AE391A"/>
    <w:rsid w:val="00AE41C4"/>
    <w:rsid w:val="00AE4D0A"/>
    <w:rsid w:val="00AE4EF0"/>
    <w:rsid w:val="00AE6B4D"/>
    <w:rsid w:val="00AE73FF"/>
    <w:rsid w:val="00AF1033"/>
    <w:rsid w:val="00AF13E5"/>
    <w:rsid w:val="00AF1F76"/>
    <w:rsid w:val="00AF4396"/>
    <w:rsid w:val="00AF50C1"/>
    <w:rsid w:val="00AF659D"/>
    <w:rsid w:val="00AF6666"/>
    <w:rsid w:val="00B00D0F"/>
    <w:rsid w:val="00B028AE"/>
    <w:rsid w:val="00B051BF"/>
    <w:rsid w:val="00B07D7E"/>
    <w:rsid w:val="00B10924"/>
    <w:rsid w:val="00B10CCE"/>
    <w:rsid w:val="00B11033"/>
    <w:rsid w:val="00B11899"/>
    <w:rsid w:val="00B118BB"/>
    <w:rsid w:val="00B11FE2"/>
    <w:rsid w:val="00B12700"/>
    <w:rsid w:val="00B12F1A"/>
    <w:rsid w:val="00B13CFA"/>
    <w:rsid w:val="00B143AF"/>
    <w:rsid w:val="00B159DE"/>
    <w:rsid w:val="00B15A49"/>
    <w:rsid w:val="00B15DBA"/>
    <w:rsid w:val="00B16455"/>
    <w:rsid w:val="00B16FFA"/>
    <w:rsid w:val="00B1704B"/>
    <w:rsid w:val="00B22F87"/>
    <w:rsid w:val="00B243FF"/>
    <w:rsid w:val="00B254C2"/>
    <w:rsid w:val="00B260E2"/>
    <w:rsid w:val="00B30249"/>
    <w:rsid w:val="00B30355"/>
    <w:rsid w:val="00B30A5A"/>
    <w:rsid w:val="00B34102"/>
    <w:rsid w:val="00B3715A"/>
    <w:rsid w:val="00B377FF"/>
    <w:rsid w:val="00B407D7"/>
    <w:rsid w:val="00B40843"/>
    <w:rsid w:val="00B40D69"/>
    <w:rsid w:val="00B42053"/>
    <w:rsid w:val="00B420CC"/>
    <w:rsid w:val="00B42228"/>
    <w:rsid w:val="00B42721"/>
    <w:rsid w:val="00B4287A"/>
    <w:rsid w:val="00B42A6F"/>
    <w:rsid w:val="00B43164"/>
    <w:rsid w:val="00B43ED0"/>
    <w:rsid w:val="00B461A1"/>
    <w:rsid w:val="00B46D95"/>
    <w:rsid w:val="00B47A65"/>
    <w:rsid w:val="00B51157"/>
    <w:rsid w:val="00B512D4"/>
    <w:rsid w:val="00B51BEF"/>
    <w:rsid w:val="00B52B38"/>
    <w:rsid w:val="00B534E1"/>
    <w:rsid w:val="00B548AF"/>
    <w:rsid w:val="00B55123"/>
    <w:rsid w:val="00B55BB5"/>
    <w:rsid w:val="00B563D1"/>
    <w:rsid w:val="00B56B3F"/>
    <w:rsid w:val="00B56D8A"/>
    <w:rsid w:val="00B62881"/>
    <w:rsid w:val="00B62B73"/>
    <w:rsid w:val="00B64450"/>
    <w:rsid w:val="00B649F0"/>
    <w:rsid w:val="00B651D1"/>
    <w:rsid w:val="00B65277"/>
    <w:rsid w:val="00B65F58"/>
    <w:rsid w:val="00B65FCB"/>
    <w:rsid w:val="00B6659A"/>
    <w:rsid w:val="00B673D1"/>
    <w:rsid w:val="00B67E14"/>
    <w:rsid w:val="00B67E88"/>
    <w:rsid w:val="00B718DE"/>
    <w:rsid w:val="00B72C63"/>
    <w:rsid w:val="00B74584"/>
    <w:rsid w:val="00B75A1D"/>
    <w:rsid w:val="00B75F30"/>
    <w:rsid w:val="00B832D8"/>
    <w:rsid w:val="00B8381C"/>
    <w:rsid w:val="00B840AA"/>
    <w:rsid w:val="00B84558"/>
    <w:rsid w:val="00B8498F"/>
    <w:rsid w:val="00B86858"/>
    <w:rsid w:val="00B875E7"/>
    <w:rsid w:val="00B90026"/>
    <w:rsid w:val="00B91115"/>
    <w:rsid w:val="00B913B5"/>
    <w:rsid w:val="00B91508"/>
    <w:rsid w:val="00B919A0"/>
    <w:rsid w:val="00B91DB9"/>
    <w:rsid w:val="00B922D4"/>
    <w:rsid w:val="00B93817"/>
    <w:rsid w:val="00B93EC9"/>
    <w:rsid w:val="00B940D4"/>
    <w:rsid w:val="00B942C7"/>
    <w:rsid w:val="00B942FC"/>
    <w:rsid w:val="00B94A2C"/>
    <w:rsid w:val="00B956B4"/>
    <w:rsid w:val="00B95A6A"/>
    <w:rsid w:val="00B96DEB"/>
    <w:rsid w:val="00B9755D"/>
    <w:rsid w:val="00BA04BF"/>
    <w:rsid w:val="00BA0C07"/>
    <w:rsid w:val="00BA0EFB"/>
    <w:rsid w:val="00BA1614"/>
    <w:rsid w:val="00BA21D1"/>
    <w:rsid w:val="00BA370C"/>
    <w:rsid w:val="00BA4429"/>
    <w:rsid w:val="00BA45C1"/>
    <w:rsid w:val="00BA5085"/>
    <w:rsid w:val="00BA5DFC"/>
    <w:rsid w:val="00BA6350"/>
    <w:rsid w:val="00BA772A"/>
    <w:rsid w:val="00BA7EED"/>
    <w:rsid w:val="00BB0887"/>
    <w:rsid w:val="00BB1F2A"/>
    <w:rsid w:val="00BB20C7"/>
    <w:rsid w:val="00BB29D1"/>
    <w:rsid w:val="00BB314A"/>
    <w:rsid w:val="00BB3BBF"/>
    <w:rsid w:val="00BB3C87"/>
    <w:rsid w:val="00BB5098"/>
    <w:rsid w:val="00BC042A"/>
    <w:rsid w:val="00BC0598"/>
    <w:rsid w:val="00BC0C3E"/>
    <w:rsid w:val="00BC1012"/>
    <w:rsid w:val="00BC1BCD"/>
    <w:rsid w:val="00BC22F0"/>
    <w:rsid w:val="00BC29EA"/>
    <w:rsid w:val="00BC34EB"/>
    <w:rsid w:val="00BC4323"/>
    <w:rsid w:val="00BC4DF5"/>
    <w:rsid w:val="00BC7953"/>
    <w:rsid w:val="00BD0B7D"/>
    <w:rsid w:val="00BD12E7"/>
    <w:rsid w:val="00BD1C50"/>
    <w:rsid w:val="00BD3925"/>
    <w:rsid w:val="00BD466F"/>
    <w:rsid w:val="00BD5AD0"/>
    <w:rsid w:val="00BD6B2D"/>
    <w:rsid w:val="00BD6F78"/>
    <w:rsid w:val="00BD70BD"/>
    <w:rsid w:val="00BD719D"/>
    <w:rsid w:val="00BE0258"/>
    <w:rsid w:val="00BE1447"/>
    <w:rsid w:val="00BE215D"/>
    <w:rsid w:val="00BE37E5"/>
    <w:rsid w:val="00BE3C1E"/>
    <w:rsid w:val="00BE57DD"/>
    <w:rsid w:val="00BE76CB"/>
    <w:rsid w:val="00BE7A59"/>
    <w:rsid w:val="00BF0AF1"/>
    <w:rsid w:val="00BF0D0D"/>
    <w:rsid w:val="00BF1809"/>
    <w:rsid w:val="00BF1A41"/>
    <w:rsid w:val="00BF3FDF"/>
    <w:rsid w:val="00BF4F68"/>
    <w:rsid w:val="00BF50B5"/>
    <w:rsid w:val="00BF5F22"/>
    <w:rsid w:val="00BF685D"/>
    <w:rsid w:val="00BF71C6"/>
    <w:rsid w:val="00BF72CA"/>
    <w:rsid w:val="00BF7CD8"/>
    <w:rsid w:val="00C00849"/>
    <w:rsid w:val="00C02BE9"/>
    <w:rsid w:val="00C02CE1"/>
    <w:rsid w:val="00C035B9"/>
    <w:rsid w:val="00C036F3"/>
    <w:rsid w:val="00C03923"/>
    <w:rsid w:val="00C04B21"/>
    <w:rsid w:val="00C0563C"/>
    <w:rsid w:val="00C06136"/>
    <w:rsid w:val="00C069D8"/>
    <w:rsid w:val="00C07BAE"/>
    <w:rsid w:val="00C07C15"/>
    <w:rsid w:val="00C1064A"/>
    <w:rsid w:val="00C13270"/>
    <w:rsid w:val="00C1346A"/>
    <w:rsid w:val="00C13818"/>
    <w:rsid w:val="00C156BF"/>
    <w:rsid w:val="00C17602"/>
    <w:rsid w:val="00C20026"/>
    <w:rsid w:val="00C2023E"/>
    <w:rsid w:val="00C208C0"/>
    <w:rsid w:val="00C216C2"/>
    <w:rsid w:val="00C21E41"/>
    <w:rsid w:val="00C2371B"/>
    <w:rsid w:val="00C2552B"/>
    <w:rsid w:val="00C25DC1"/>
    <w:rsid w:val="00C25ECF"/>
    <w:rsid w:val="00C25FA6"/>
    <w:rsid w:val="00C2685E"/>
    <w:rsid w:val="00C26B59"/>
    <w:rsid w:val="00C27CB3"/>
    <w:rsid w:val="00C309E1"/>
    <w:rsid w:val="00C30A95"/>
    <w:rsid w:val="00C31397"/>
    <w:rsid w:val="00C35384"/>
    <w:rsid w:val="00C35CA3"/>
    <w:rsid w:val="00C35DDE"/>
    <w:rsid w:val="00C36163"/>
    <w:rsid w:val="00C40212"/>
    <w:rsid w:val="00C41B9B"/>
    <w:rsid w:val="00C42B7B"/>
    <w:rsid w:val="00C43441"/>
    <w:rsid w:val="00C450C9"/>
    <w:rsid w:val="00C45DB2"/>
    <w:rsid w:val="00C46745"/>
    <w:rsid w:val="00C46F16"/>
    <w:rsid w:val="00C47C07"/>
    <w:rsid w:val="00C501AA"/>
    <w:rsid w:val="00C50961"/>
    <w:rsid w:val="00C517BE"/>
    <w:rsid w:val="00C5294A"/>
    <w:rsid w:val="00C53CF7"/>
    <w:rsid w:val="00C54128"/>
    <w:rsid w:val="00C5419F"/>
    <w:rsid w:val="00C55F0D"/>
    <w:rsid w:val="00C5688D"/>
    <w:rsid w:val="00C56914"/>
    <w:rsid w:val="00C5754E"/>
    <w:rsid w:val="00C57F83"/>
    <w:rsid w:val="00C60F5B"/>
    <w:rsid w:val="00C612D7"/>
    <w:rsid w:val="00C61C8C"/>
    <w:rsid w:val="00C627A6"/>
    <w:rsid w:val="00C6295C"/>
    <w:rsid w:val="00C62A1B"/>
    <w:rsid w:val="00C62C1D"/>
    <w:rsid w:val="00C63381"/>
    <w:rsid w:val="00C63E8B"/>
    <w:rsid w:val="00C648E1"/>
    <w:rsid w:val="00C64A73"/>
    <w:rsid w:val="00C651D3"/>
    <w:rsid w:val="00C65AC2"/>
    <w:rsid w:val="00C660A2"/>
    <w:rsid w:val="00C66219"/>
    <w:rsid w:val="00C66E8D"/>
    <w:rsid w:val="00C66FD2"/>
    <w:rsid w:val="00C67306"/>
    <w:rsid w:val="00C67A04"/>
    <w:rsid w:val="00C67D84"/>
    <w:rsid w:val="00C71F7B"/>
    <w:rsid w:val="00C7255D"/>
    <w:rsid w:val="00C7322E"/>
    <w:rsid w:val="00C73777"/>
    <w:rsid w:val="00C73E3E"/>
    <w:rsid w:val="00C74DE6"/>
    <w:rsid w:val="00C75933"/>
    <w:rsid w:val="00C75D0A"/>
    <w:rsid w:val="00C77C8A"/>
    <w:rsid w:val="00C77D06"/>
    <w:rsid w:val="00C80FC3"/>
    <w:rsid w:val="00C81927"/>
    <w:rsid w:val="00C85E07"/>
    <w:rsid w:val="00C86604"/>
    <w:rsid w:val="00C867BB"/>
    <w:rsid w:val="00C90BF4"/>
    <w:rsid w:val="00C90E41"/>
    <w:rsid w:val="00C91632"/>
    <w:rsid w:val="00C9277D"/>
    <w:rsid w:val="00C92B09"/>
    <w:rsid w:val="00C92FAE"/>
    <w:rsid w:val="00C9486A"/>
    <w:rsid w:val="00C969EE"/>
    <w:rsid w:val="00C96A1F"/>
    <w:rsid w:val="00C96E2E"/>
    <w:rsid w:val="00CA1649"/>
    <w:rsid w:val="00CA2193"/>
    <w:rsid w:val="00CA38F0"/>
    <w:rsid w:val="00CA46C8"/>
    <w:rsid w:val="00CA564E"/>
    <w:rsid w:val="00CA56A3"/>
    <w:rsid w:val="00CA5AD0"/>
    <w:rsid w:val="00CA64CD"/>
    <w:rsid w:val="00CB0E29"/>
    <w:rsid w:val="00CB1902"/>
    <w:rsid w:val="00CB2E57"/>
    <w:rsid w:val="00CB2F1E"/>
    <w:rsid w:val="00CB46BE"/>
    <w:rsid w:val="00CB5662"/>
    <w:rsid w:val="00CB67F0"/>
    <w:rsid w:val="00CC1259"/>
    <w:rsid w:val="00CC153F"/>
    <w:rsid w:val="00CC210C"/>
    <w:rsid w:val="00CC2999"/>
    <w:rsid w:val="00CC39E2"/>
    <w:rsid w:val="00CC3E85"/>
    <w:rsid w:val="00CC577A"/>
    <w:rsid w:val="00CC5F29"/>
    <w:rsid w:val="00CC6707"/>
    <w:rsid w:val="00CC7E42"/>
    <w:rsid w:val="00CD0B56"/>
    <w:rsid w:val="00CD0D8B"/>
    <w:rsid w:val="00CD1301"/>
    <w:rsid w:val="00CD1E63"/>
    <w:rsid w:val="00CD2007"/>
    <w:rsid w:val="00CD2BAD"/>
    <w:rsid w:val="00CD31FF"/>
    <w:rsid w:val="00CD368F"/>
    <w:rsid w:val="00CD3BF2"/>
    <w:rsid w:val="00CD4573"/>
    <w:rsid w:val="00CD5846"/>
    <w:rsid w:val="00CD6A47"/>
    <w:rsid w:val="00CD6A87"/>
    <w:rsid w:val="00CD7749"/>
    <w:rsid w:val="00CE2293"/>
    <w:rsid w:val="00CE2DE3"/>
    <w:rsid w:val="00CE34D2"/>
    <w:rsid w:val="00CF1C54"/>
    <w:rsid w:val="00CF1F53"/>
    <w:rsid w:val="00CF2169"/>
    <w:rsid w:val="00CF2A56"/>
    <w:rsid w:val="00CF2BD1"/>
    <w:rsid w:val="00CF388F"/>
    <w:rsid w:val="00CF5BB1"/>
    <w:rsid w:val="00CF6239"/>
    <w:rsid w:val="00CF67D9"/>
    <w:rsid w:val="00CF758B"/>
    <w:rsid w:val="00D020F2"/>
    <w:rsid w:val="00D021A3"/>
    <w:rsid w:val="00D02863"/>
    <w:rsid w:val="00D028F2"/>
    <w:rsid w:val="00D03772"/>
    <w:rsid w:val="00D04F40"/>
    <w:rsid w:val="00D05BF3"/>
    <w:rsid w:val="00D1108C"/>
    <w:rsid w:val="00D11AB2"/>
    <w:rsid w:val="00D1245B"/>
    <w:rsid w:val="00D1293C"/>
    <w:rsid w:val="00D12F96"/>
    <w:rsid w:val="00D13DC5"/>
    <w:rsid w:val="00D16124"/>
    <w:rsid w:val="00D1709C"/>
    <w:rsid w:val="00D17AEB"/>
    <w:rsid w:val="00D2083A"/>
    <w:rsid w:val="00D226BA"/>
    <w:rsid w:val="00D22D42"/>
    <w:rsid w:val="00D23CBA"/>
    <w:rsid w:val="00D25E98"/>
    <w:rsid w:val="00D27023"/>
    <w:rsid w:val="00D31576"/>
    <w:rsid w:val="00D316C0"/>
    <w:rsid w:val="00D33058"/>
    <w:rsid w:val="00D34E98"/>
    <w:rsid w:val="00D35C5E"/>
    <w:rsid w:val="00D3685D"/>
    <w:rsid w:val="00D3763B"/>
    <w:rsid w:val="00D37ACD"/>
    <w:rsid w:val="00D404CF"/>
    <w:rsid w:val="00D40A4C"/>
    <w:rsid w:val="00D416F4"/>
    <w:rsid w:val="00D427CB"/>
    <w:rsid w:val="00D42BC1"/>
    <w:rsid w:val="00D44AD8"/>
    <w:rsid w:val="00D45229"/>
    <w:rsid w:val="00D47DB5"/>
    <w:rsid w:val="00D47DCF"/>
    <w:rsid w:val="00D50361"/>
    <w:rsid w:val="00D52663"/>
    <w:rsid w:val="00D52DC7"/>
    <w:rsid w:val="00D52E26"/>
    <w:rsid w:val="00D539E3"/>
    <w:rsid w:val="00D53C40"/>
    <w:rsid w:val="00D53ED2"/>
    <w:rsid w:val="00D54C7D"/>
    <w:rsid w:val="00D556AE"/>
    <w:rsid w:val="00D55F63"/>
    <w:rsid w:val="00D567E2"/>
    <w:rsid w:val="00D6054D"/>
    <w:rsid w:val="00D60993"/>
    <w:rsid w:val="00D60C79"/>
    <w:rsid w:val="00D60C9C"/>
    <w:rsid w:val="00D61381"/>
    <w:rsid w:val="00D631D5"/>
    <w:rsid w:val="00D63E56"/>
    <w:rsid w:val="00D6443A"/>
    <w:rsid w:val="00D6758D"/>
    <w:rsid w:val="00D67A83"/>
    <w:rsid w:val="00D70815"/>
    <w:rsid w:val="00D70848"/>
    <w:rsid w:val="00D70C5F"/>
    <w:rsid w:val="00D70D39"/>
    <w:rsid w:val="00D70DBA"/>
    <w:rsid w:val="00D73AB5"/>
    <w:rsid w:val="00D73D6D"/>
    <w:rsid w:val="00D74EFC"/>
    <w:rsid w:val="00D74F57"/>
    <w:rsid w:val="00D750DE"/>
    <w:rsid w:val="00D7528E"/>
    <w:rsid w:val="00D75AC1"/>
    <w:rsid w:val="00D75D5A"/>
    <w:rsid w:val="00D766C3"/>
    <w:rsid w:val="00D76C9B"/>
    <w:rsid w:val="00D7768A"/>
    <w:rsid w:val="00D77EB8"/>
    <w:rsid w:val="00D80F83"/>
    <w:rsid w:val="00D81358"/>
    <w:rsid w:val="00D8184B"/>
    <w:rsid w:val="00D82D3E"/>
    <w:rsid w:val="00D834F1"/>
    <w:rsid w:val="00D83EFE"/>
    <w:rsid w:val="00D8791F"/>
    <w:rsid w:val="00D90DC1"/>
    <w:rsid w:val="00D913F3"/>
    <w:rsid w:val="00D917BB"/>
    <w:rsid w:val="00D92232"/>
    <w:rsid w:val="00D92E25"/>
    <w:rsid w:val="00D93252"/>
    <w:rsid w:val="00D9396A"/>
    <w:rsid w:val="00D94756"/>
    <w:rsid w:val="00D963BB"/>
    <w:rsid w:val="00D97F80"/>
    <w:rsid w:val="00D97FAD"/>
    <w:rsid w:val="00DA01C5"/>
    <w:rsid w:val="00DA2462"/>
    <w:rsid w:val="00DA278E"/>
    <w:rsid w:val="00DA2E17"/>
    <w:rsid w:val="00DA390A"/>
    <w:rsid w:val="00DA638C"/>
    <w:rsid w:val="00DA7694"/>
    <w:rsid w:val="00DA78A6"/>
    <w:rsid w:val="00DB010F"/>
    <w:rsid w:val="00DB0C69"/>
    <w:rsid w:val="00DB10DC"/>
    <w:rsid w:val="00DB2689"/>
    <w:rsid w:val="00DB2A1B"/>
    <w:rsid w:val="00DB2E4D"/>
    <w:rsid w:val="00DB5238"/>
    <w:rsid w:val="00DB55E9"/>
    <w:rsid w:val="00DB5859"/>
    <w:rsid w:val="00DB5B21"/>
    <w:rsid w:val="00DB5FF2"/>
    <w:rsid w:val="00DB70E7"/>
    <w:rsid w:val="00DC10DE"/>
    <w:rsid w:val="00DC15A3"/>
    <w:rsid w:val="00DC163C"/>
    <w:rsid w:val="00DC1ED0"/>
    <w:rsid w:val="00DC273C"/>
    <w:rsid w:val="00DC2E82"/>
    <w:rsid w:val="00DC2FEB"/>
    <w:rsid w:val="00DC37CA"/>
    <w:rsid w:val="00DC3C20"/>
    <w:rsid w:val="00DC48F0"/>
    <w:rsid w:val="00DC49E4"/>
    <w:rsid w:val="00DC4FAA"/>
    <w:rsid w:val="00DC59EB"/>
    <w:rsid w:val="00DC5F6A"/>
    <w:rsid w:val="00DC613E"/>
    <w:rsid w:val="00DC65F1"/>
    <w:rsid w:val="00DC7172"/>
    <w:rsid w:val="00DC73A3"/>
    <w:rsid w:val="00DD0886"/>
    <w:rsid w:val="00DD1B1C"/>
    <w:rsid w:val="00DD2F75"/>
    <w:rsid w:val="00DD2F9E"/>
    <w:rsid w:val="00DD46BE"/>
    <w:rsid w:val="00DD47A3"/>
    <w:rsid w:val="00DD4C66"/>
    <w:rsid w:val="00DD4F0A"/>
    <w:rsid w:val="00DD511E"/>
    <w:rsid w:val="00DD57D9"/>
    <w:rsid w:val="00DD64EF"/>
    <w:rsid w:val="00DD6D01"/>
    <w:rsid w:val="00DD7504"/>
    <w:rsid w:val="00DD7684"/>
    <w:rsid w:val="00DD7941"/>
    <w:rsid w:val="00DE12C2"/>
    <w:rsid w:val="00DE2395"/>
    <w:rsid w:val="00DE2BAA"/>
    <w:rsid w:val="00DE3996"/>
    <w:rsid w:val="00DE4890"/>
    <w:rsid w:val="00DE50DD"/>
    <w:rsid w:val="00DE5907"/>
    <w:rsid w:val="00DE6794"/>
    <w:rsid w:val="00DE74F5"/>
    <w:rsid w:val="00DE7745"/>
    <w:rsid w:val="00DF07E8"/>
    <w:rsid w:val="00DF0D25"/>
    <w:rsid w:val="00DF1291"/>
    <w:rsid w:val="00DF1B50"/>
    <w:rsid w:val="00DF1B61"/>
    <w:rsid w:val="00DF3048"/>
    <w:rsid w:val="00DF343E"/>
    <w:rsid w:val="00DF3FC2"/>
    <w:rsid w:val="00DF3FFA"/>
    <w:rsid w:val="00DF42A7"/>
    <w:rsid w:val="00DF4391"/>
    <w:rsid w:val="00DF4985"/>
    <w:rsid w:val="00DF4BD2"/>
    <w:rsid w:val="00DF6BD8"/>
    <w:rsid w:val="00DF6EA8"/>
    <w:rsid w:val="00DF7070"/>
    <w:rsid w:val="00DF7807"/>
    <w:rsid w:val="00DF7A97"/>
    <w:rsid w:val="00DF7B31"/>
    <w:rsid w:val="00E0041A"/>
    <w:rsid w:val="00E0095E"/>
    <w:rsid w:val="00E02344"/>
    <w:rsid w:val="00E027E9"/>
    <w:rsid w:val="00E028EF"/>
    <w:rsid w:val="00E02A91"/>
    <w:rsid w:val="00E05552"/>
    <w:rsid w:val="00E05A87"/>
    <w:rsid w:val="00E06190"/>
    <w:rsid w:val="00E06330"/>
    <w:rsid w:val="00E06ABC"/>
    <w:rsid w:val="00E06DB2"/>
    <w:rsid w:val="00E0734A"/>
    <w:rsid w:val="00E078AA"/>
    <w:rsid w:val="00E10CE7"/>
    <w:rsid w:val="00E1216F"/>
    <w:rsid w:val="00E12921"/>
    <w:rsid w:val="00E134EE"/>
    <w:rsid w:val="00E13649"/>
    <w:rsid w:val="00E158DB"/>
    <w:rsid w:val="00E16377"/>
    <w:rsid w:val="00E1700C"/>
    <w:rsid w:val="00E20A94"/>
    <w:rsid w:val="00E227FE"/>
    <w:rsid w:val="00E2368D"/>
    <w:rsid w:val="00E238A7"/>
    <w:rsid w:val="00E23D8B"/>
    <w:rsid w:val="00E246AA"/>
    <w:rsid w:val="00E2509C"/>
    <w:rsid w:val="00E26014"/>
    <w:rsid w:val="00E26150"/>
    <w:rsid w:val="00E300B7"/>
    <w:rsid w:val="00E301CF"/>
    <w:rsid w:val="00E32E5D"/>
    <w:rsid w:val="00E32F37"/>
    <w:rsid w:val="00E33007"/>
    <w:rsid w:val="00E34AC0"/>
    <w:rsid w:val="00E34F2E"/>
    <w:rsid w:val="00E37A7E"/>
    <w:rsid w:val="00E37CAE"/>
    <w:rsid w:val="00E37EEE"/>
    <w:rsid w:val="00E40323"/>
    <w:rsid w:val="00E43089"/>
    <w:rsid w:val="00E443CE"/>
    <w:rsid w:val="00E44F10"/>
    <w:rsid w:val="00E4582D"/>
    <w:rsid w:val="00E45A08"/>
    <w:rsid w:val="00E46A4F"/>
    <w:rsid w:val="00E50C75"/>
    <w:rsid w:val="00E51895"/>
    <w:rsid w:val="00E51B4D"/>
    <w:rsid w:val="00E51F04"/>
    <w:rsid w:val="00E52CB9"/>
    <w:rsid w:val="00E548EA"/>
    <w:rsid w:val="00E55045"/>
    <w:rsid w:val="00E55966"/>
    <w:rsid w:val="00E55C07"/>
    <w:rsid w:val="00E56970"/>
    <w:rsid w:val="00E577F5"/>
    <w:rsid w:val="00E57E79"/>
    <w:rsid w:val="00E600B9"/>
    <w:rsid w:val="00E61B05"/>
    <w:rsid w:val="00E6347B"/>
    <w:rsid w:val="00E63CA9"/>
    <w:rsid w:val="00E64075"/>
    <w:rsid w:val="00E654DC"/>
    <w:rsid w:val="00E70FA5"/>
    <w:rsid w:val="00E7204D"/>
    <w:rsid w:val="00E735DD"/>
    <w:rsid w:val="00E73EA5"/>
    <w:rsid w:val="00E74EE3"/>
    <w:rsid w:val="00E751E5"/>
    <w:rsid w:val="00E768C5"/>
    <w:rsid w:val="00E77259"/>
    <w:rsid w:val="00E80E8B"/>
    <w:rsid w:val="00E82BB6"/>
    <w:rsid w:val="00E8394A"/>
    <w:rsid w:val="00E909E8"/>
    <w:rsid w:val="00E91D12"/>
    <w:rsid w:val="00E93001"/>
    <w:rsid w:val="00E931F6"/>
    <w:rsid w:val="00E9429D"/>
    <w:rsid w:val="00E9466D"/>
    <w:rsid w:val="00E94EE3"/>
    <w:rsid w:val="00E950C5"/>
    <w:rsid w:val="00E96936"/>
    <w:rsid w:val="00E96B4D"/>
    <w:rsid w:val="00E970F6"/>
    <w:rsid w:val="00E975C6"/>
    <w:rsid w:val="00EA1878"/>
    <w:rsid w:val="00EA31F2"/>
    <w:rsid w:val="00EA388C"/>
    <w:rsid w:val="00EA58E4"/>
    <w:rsid w:val="00EA6760"/>
    <w:rsid w:val="00EA6CE0"/>
    <w:rsid w:val="00EB0434"/>
    <w:rsid w:val="00EB11F9"/>
    <w:rsid w:val="00EB1D30"/>
    <w:rsid w:val="00EB26BA"/>
    <w:rsid w:val="00EB2BFC"/>
    <w:rsid w:val="00EB2EE8"/>
    <w:rsid w:val="00EB5578"/>
    <w:rsid w:val="00EC0941"/>
    <w:rsid w:val="00EC0BA7"/>
    <w:rsid w:val="00EC0C40"/>
    <w:rsid w:val="00EC0FA6"/>
    <w:rsid w:val="00EC1039"/>
    <w:rsid w:val="00EC2144"/>
    <w:rsid w:val="00EC4063"/>
    <w:rsid w:val="00EC46F7"/>
    <w:rsid w:val="00EC59F7"/>
    <w:rsid w:val="00EC794D"/>
    <w:rsid w:val="00ED3419"/>
    <w:rsid w:val="00ED381B"/>
    <w:rsid w:val="00ED5228"/>
    <w:rsid w:val="00EE1237"/>
    <w:rsid w:val="00EE292E"/>
    <w:rsid w:val="00EE3234"/>
    <w:rsid w:val="00EE38C2"/>
    <w:rsid w:val="00EE40BE"/>
    <w:rsid w:val="00EE4195"/>
    <w:rsid w:val="00EE4556"/>
    <w:rsid w:val="00EE5C15"/>
    <w:rsid w:val="00EF37F5"/>
    <w:rsid w:val="00EF48A5"/>
    <w:rsid w:val="00EF4FA5"/>
    <w:rsid w:val="00EF56A5"/>
    <w:rsid w:val="00EF56C4"/>
    <w:rsid w:val="00EF6ADC"/>
    <w:rsid w:val="00F00AA5"/>
    <w:rsid w:val="00F01286"/>
    <w:rsid w:val="00F012C9"/>
    <w:rsid w:val="00F01700"/>
    <w:rsid w:val="00F0462D"/>
    <w:rsid w:val="00F048E8"/>
    <w:rsid w:val="00F06EB8"/>
    <w:rsid w:val="00F076D9"/>
    <w:rsid w:val="00F110A5"/>
    <w:rsid w:val="00F11D6A"/>
    <w:rsid w:val="00F12EEB"/>
    <w:rsid w:val="00F134C1"/>
    <w:rsid w:val="00F13630"/>
    <w:rsid w:val="00F143CD"/>
    <w:rsid w:val="00F16342"/>
    <w:rsid w:val="00F16B34"/>
    <w:rsid w:val="00F173FA"/>
    <w:rsid w:val="00F17769"/>
    <w:rsid w:val="00F207BE"/>
    <w:rsid w:val="00F20BF9"/>
    <w:rsid w:val="00F2130B"/>
    <w:rsid w:val="00F21D76"/>
    <w:rsid w:val="00F2341C"/>
    <w:rsid w:val="00F235D6"/>
    <w:rsid w:val="00F239F8"/>
    <w:rsid w:val="00F24296"/>
    <w:rsid w:val="00F24442"/>
    <w:rsid w:val="00F249B6"/>
    <w:rsid w:val="00F26E25"/>
    <w:rsid w:val="00F27758"/>
    <w:rsid w:val="00F27B0E"/>
    <w:rsid w:val="00F27D63"/>
    <w:rsid w:val="00F30185"/>
    <w:rsid w:val="00F3260A"/>
    <w:rsid w:val="00F33832"/>
    <w:rsid w:val="00F33882"/>
    <w:rsid w:val="00F33D1D"/>
    <w:rsid w:val="00F33F81"/>
    <w:rsid w:val="00F34212"/>
    <w:rsid w:val="00F35F6F"/>
    <w:rsid w:val="00F3676F"/>
    <w:rsid w:val="00F36ABF"/>
    <w:rsid w:val="00F40C34"/>
    <w:rsid w:val="00F4115B"/>
    <w:rsid w:val="00F415E9"/>
    <w:rsid w:val="00F41E76"/>
    <w:rsid w:val="00F4206B"/>
    <w:rsid w:val="00F4254B"/>
    <w:rsid w:val="00F4290E"/>
    <w:rsid w:val="00F4547B"/>
    <w:rsid w:val="00F45B45"/>
    <w:rsid w:val="00F500DF"/>
    <w:rsid w:val="00F51852"/>
    <w:rsid w:val="00F518BE"/>
    <w:rsid w:val="00F51AAE"/>
    <w:rsid w:val="00F51FF4"/>
    <w:rsid w:val="00F541F6"/>
    <w:rsid w:val="00F544A3"/>
    <w:rsid w:val="00F54D75"/>
    <w:rsid w:val="00F5508A"/>
    <w:rsid w:val="00F551E8"/>
    <w:rsid w:val="00F56C76"/>
    <w:rsid w:val="00F56FEA"/>
    <w:rsid w:val="00F6150D"/>
    <w:rsid w:val="00F61692"/>
    <w:rsid w:val="00F616AB"/>
    <w:rsid w:val="00F61AFD"/>
    <w:rsid w:val="00F6208A"/>
    <w:rsid w:val="00F620E1"/>
    <w:rsid w:val="00F62B55"/>
    <w:rsid w:val="00F62EAE"/>
    <w:rsid w:val="00F637F1"/>
    <w:rsid w:val="00F64927"/>
    <w:rsid w:val="00F64F25"/>
    <w:rsid w:val="00F6570B"/>
    <w:rsid w:val="00F702BE"/>
    <w:rsid w:val="00F71FC0"/>
    <w:rsid w:val="00F72E06"/>
    <w:rsid w:val="00F73A4E"/>
    <w:rsid w:val="00F73B7F"/>
    <w:rsid w:val="00F73D6C"/>
    <w:rsid w:val="00F74210"/>
    <w:rsid w:val="00F75829"/>
    <w:rsid w:val="00F76B31"/>
    <w:rsid w:val="00F777B5"/>
    <w:rsid w:val="00F77968"/>
    <w:rsid w:val="00F83201"/>
    <w:rsid w:val="00F842B8"/>
    <w:rsid w:val="00F850E5"/>
    <w:rsid w:val="00F85151"/>
    <w:rsid w:val="00F855AC"/>
    <w:rsid w:val="00F858F5"/>
    <w:rsid w:val="00F87488"/>
    <w:rsid w:val="00F87F56"/>
    <w:rsid w:val="00F91483"/>
    <w:rsid w:val="00F923D1"/>
    <w:rsid w:val="00F93DF3"/>
    <w:rsid w:val="00F95170"/>
    <w:rsid w:val="00F96912"/>
    <w:rsid w:val="00F97730"/>
    <w:rsid w:val="00FA0393"/>
    <w:rsid w:val="00FA115C"/>
    <w:rsid w:val="00FA3839"/>
    <w:rsid w:val="00FA4F3D"/>
    <w:rsid w:val="00FA52DE"/>
    <w:rsid w:val="00FA6C0A"/>
    <w:rsid w:val="00FA7897"/>
    <w:rsid w:val="00FB0A21"/>
    <w:rsid w:val="00FB1EE0"/>
    <w:rsid w:val="00FB2144"/>
    <w:rsid w:val="00FB319A"/>
    <w:rsid w:val="00FB34E9"/>
    <w:rsid w:val="00FB4300"/>
    <w:rsid w:val="00FB56C0"/>
    <w:rsid w:val="00FB5836"/>
    <w:rsid w:val="00FB5B90"/>
    <w:rsid w:val="00FB6271"/>
    <w:rsid w:val="00FB6415"/>
    <w:rsid w:val="00FB68B7"/>
    <w:rsid w:val="00FB7462"/>
    <w:rsid w:val="00FC0FE2"/>
    <w:rsid w:val="00FC117D"/>
    <w:rsid w:val="00FC2177"/>
    <w:rsid w:val="00FC231D"/>
    <w:rsid w:val="00FC588D"/>
    <w:rsid w:val="00FC6564"/>
    <w:rsid w:val="00FC6E1C"/>
    <w:rsid w:val="00FD0166"/>
    <w:rsid w:val="00FD0DB1"/>
    <w:rsid w:val="00FD196F"/>
    <w:rsid w:val="00FD1C78"/>
    <w:rsid w:val="00FD3BE0"/>
    <w:rsid w:val="00FD4395"/>
    <w:rsid w:val="00FD4AE4"/>
    <w:rsid w:val="00FD4CA0"/>
    <w:rsid w:val="00FD5D3C"/>
    <w:rsid w:val="00FD6CB3"/>
    <w:rsid w:val="00FD6E3E"/>
    <w:rsid w:val="00FD7487"/>
    <w:rsid w:val="00FD7C6B"/>
    <w:rsid w:val="00FE0B81"/>
    <w:rsid w:val="00FE0D3E"/>
    <w:rsid w:val="00FE10F6"/>
    <w:rsid w:val="00FE180F"/>
    <w:rsid w:val="00FE209B"/>
    <w:rsid w:val="00FE495D"/>
    <w:rsid w:val="00FE4C64"/>
    <w:rsid w:val="00FE5FD7"/>
    <w:rsid w:val="00FE5FED"/>
    <w:rsid w:val="00FE6B6C"/>
    <w:rsid w:val="00FF0B2E"/>
    <w:rsid w:val="00FF25F8"/>
    <w:rsid w:val="00FF35AF"/>
    <w:rsid w:val="00FF5DE5"/>
    <w:rsid w:val="00FF6E30"/>
    <w:rsid w:val="00FF7705"/>
    <w:rsid w:val="00FF7D63"/>
  </w:rsids>
  <m:mathPr>
    <m:mathFont m:val="Cambria Math"/>
    <m:brkBin m:val="before"/>
    <m:brkBinSub m:val="--"/>
    <m:smallFrac/>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3D4C15"/>
    <w:pPr>
      <w:spacing w:after="0" w:line="240" w:lineRule="auto"/>
    </w:pPr>
    <w:rPr>
      <w:rFonts w:ascii="Times New Roman" w:eastAsia="Times New Roman" w:hAnsi="Times New Roman" w:cs="Times New Roman"/>
      <w:sz w:val="24"/>
      <w:szCs w:val="24"/>
      <w:lang w:eastAsia="lt-LT"/>
    </w:rPr>
  </w:style>
  <w:style w:type="paragraph" w:styleId="Heading1">
    <w:name w:val="heading 1"/>
    <w:basedOn w:val="Normal"/>
    <w:next w:val="Normal"/>
    <w:link w:val="Heading1Char2"/>
    <w:qFormat/>
    <w:rsid w:val="003D4C15"/>
    <w:pPr>
      <w:jc w:val="both"/>
      <w:outlineLvl w:val="0"/>
    </w:pPr>
    <w:rPr>
      <w:b/>
      <w:sz w:val="22"/>
      <w:szCs w:val="22"/>
      <w:u w:val="single"/>
    </w:rPr>
  </w:style>
  <w:style w:type="paragraph" w:styleId="Heading2">
    <w:name w:val="heading 2"/>
    <w:basedOn w:val="Normal"/>
    <w:next w:val="Normal"/>
    <w:link w:val="Heading2Char"/>
    <w:autoRedefine/>
    <w:uiPriority w:val="9"/>
    <w:unhideWhenUsed/>
    <w:qFormat/>
    <w:rsid w:val="00D3763B"/>
    <w:pPr>
      <w:shd w:val="clear" w:color="auto" w:fill="FFFFFF"/>
      <w:tabs>
        <w:tab w:val="left" w:pos="567"/>
      </w:tabs>
      <w:jc w:val="both"/>
      <w:outlineLvl w:val="1"/>
    </w:pPr>
    <w:rPr>
      <w:rFonts w:asciiTheme="minorHAnsi" w:hAnsiTheme="minorHAnsi" w:cstheme="minorHAnsi"/>
      <w:i/>
      <w:sz w:val="22"/>
      <w:szCs w:val="22"/>
    </w:rPr>
  </w:style>
  <w:style w:type="paragraph" w:styleId="Heading3">
    <w:name w:val="heading 3"/>
    <w:basedOn w:val="Normal"/>
    <w:next w:val="Normal"/>
    <w:link w:val="Heading3Char"/>
    <w:uiPriority w:val="9"/>
    <w:unhideWhenUsed/>
    <w:rsid w:val="003D4C15"/>
    <w:pPr>
      <w:jc w:val="both"/>
      <w:outlineLvl w:val="2"/>
    </w:pPr>
    <w:rPr>
      <w:i/>
      <w:sz w:val="22"/>
      <w:szCs w:val="22"/>
    </w:rPr>
  </w:style>
  <w:style w:type="paragraph" w:styleId="Heading4">
    <w:name w:val="heading 4"/>
    <w:basedOn w:val="Normal"/>
    <w:next w:val="Normal"/>
    <w:link w:val="Heading4Char"/>
    <w:uiPriority w:val="9"/>
    <w:unhideWhenUsed/>
    <w:rsid w:val="003D4C15"/>
    <w:pPr>
      <w:keepNext/>
      <w:ind w:firstLine="720"/>
      <w:jc w:val="both"/>
      <w:outlineLvl w:val="3"/>
    </w:pPr>
    <w:rPr>
      <w:b/>
      <w:bCs/>
      <w:sz w:val="22"/>
      <w:szCs w:val="28"/>
      <w:u w:val="single"/>
    </w:rPr>
  </w:style>
  <w:style w:type="paragraph" w:styleId="Heading5">
    <w:name w:val="heading 5"/>
    <w:basedOn w:val="Normal"/>
    <w:next w:val="Normal"/>
    <w:link w:val="Heading5Char"/>
    <w:uiPriority w:val="9"/>
    <w:unhideWhenUsed/>
    <w:rsid w:val="003D4C15"/>
    <w:pPr>
      <w:jc w:val="both"/>
      <w:outlineLvl w:val="4"/>
    </w:pPr>
    <w:rPr>
      <w:bCs/>
      <w:i/>
      <w:iCs/>
      <w:sz w:val="22"/>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2">
    <w:name w:val="Heading 1 Char2"/>
    <w:basedOn w:val="DefaultParagraphFont"/>
    <w:link w:val="Heading1"/>
    <w:rsid w:val="003D4C15"/>
    <w:rPr>
      <w:rFonts w:ascii="Times New Roman" w:eastAsia="Times New Roman" w:hAnsi="Times New Roman" w:cs="Times New Roman"/>
      <w:b/>
      <w:u w:val="single"/>
      <w:lang w:eastAsia="lt-LT"/>
    </w:rPr>
  </w:style>
  <w:style w:type="character" w:customStyle="1" w:styleId="Heading2Char">
    <w:name w:val="Heading 2 Char"/>
    <w:basedOn w:val="DefaultParagraphFont"/>
    <w:link w:val="Heading2"/>
    <w:uiPriority w:val="9"/>
    <w:rsid w:val="00D3763B"/>
    <w:rPr>
      <w:rFonts w:eastAsia="Times New Roman" w:cstheme="minorHAnsi"/>
      <w:i/>
      <w:shd w:val="clear" w:color="auto" w:fill="FFFFFF"/>
      <w:lang w:eastAsia="lt-LT"/>
    </w:rPr>
  </w:style>
  <w:style w:type="character" w:customStyle="1" w:styleId="Heading3Char">
    <w:name w:val="Heading 3 Char"/>
    <w:basedOn w:val="DefaultParagraphFont"/>
    <w:link w:val="Heading3"/>
    <w:uiPriority w:val="9"/>
    <w:rsid w:val="003D4C15"/>
    <w:rPr>
      <w:rFonts w:ascii="Times New Roman" w:eastAsia="Times New Roman" w:hAnsi="Times New Roman" w:cs="Times New Roman"/>
      <w:i/>
      <w:lang w:eastAsia="lt-LT"/>
    </w:rPr>
  </w:style>
  <w:style w:type="character" w:customStyle="1" w:styleId="Heading4Char">
    <w:name w:val="Heading 4 Char"/>
    <w:basedOn w:val="DefaultParagraphFont"/>
    <w:link w:val="Heading4"/>
    <w:uiPriority w:val="9"/>
    <w:rsid w:val="003D4C15"/>
    <w:rPr>
      <w:rFonts w:ascii="Times New Roman" w:eastAsia="Times New Roman" w:hAnsi="Times New Roman" w:cs="Times New Roman"/>
      <w:b/>
      <w:bCs/>
      <w:szCs w:val="28"/>
      <w:u w:val="single"/>
      <w:lang w:eastAsia="lt-LT"/>
    </w:rPr>
  </w:style>
  <w:style w:type="character" w:customStyle="1" w:styleId="Heading5Char">
    <w:name w:val="Heading 5 Char"/>
    <w:basedOn w:val="DefaultParagraphFont"/>
    <w:link w:val="Heading5"/>
    <w:uiPriority w:val="9"/>
    <w:rsid w:val="003D4C15"/>
    <w:rPr>
      <w:rFonts w:ascii="Times New Roman" w:eastAsia="Times New Roman" w:hAnsi="Times New Roman" w:cs="Times New Roman"/>
      <w:bCs/>
      <w:i/>
      <w:iCs/>
      <w:szCs w:val="26"/>
      <w:lang w:eastAsia="lt-LT"/>
    </w:rPr>
  </w:style>
  <w:style w:type="paragraph" w:styleId="Header">
    <w:name w:val="header"/>
    <w:basedOn w:val="Normal"/>
    <w:link w:val="HeaderChar"/>
    <w:uiPriority w:val="99"/>
    <w:rsid w:val="003D4C15"/>
    <w:pPr>
      <w:tabs>
        <w:tab w:val="center" w:pos="4153"/>
        <w:tab w:val="right" w:pos="8306"/>
      </w:tabs>
    </w:pPr>
    <w:rPr>
      <w:lang w:val="en-GB" w:eastAsia="en-US"/>
    </w:rPr>
  </w:style>
  <w:style w:type="character" w:customStyle="1" w:styleId="HeaderChar">
    <w:name w:val="Header Char"/>
    <w:basedOn w:val="DefaultParagraphFont"/>
    <w:link w:val="Header"/>
    <w:uiPriority w:val="99"/>
    <w:rsid w:val="003D4C15"/>
    <w:rPr>
      <w:rFonts w:ascii="Times New Roman" w:eastAsia="Times New Roman" w:hAnsi="Times New Roman" w:cs="Times New Roman"/>
      <w:sz w:val="24"/>
      <w:szCs w:val="24"/>
      <w:lang w:val="en-GB"/>
    </w:rPr>
  </w:style>
  <w:style w:type="paragraph" w:styleId="Footer">
    <w:name w:val="footer"/>
    <w:basedOn w:val="Normal"/>
    <w:link w:val="FooterChar"/>
    <w:rsid w:val="003D4C15"/>
    <w:pPr>
      <w:tabs>
        <w:tab w:val="center" w:pos="4153"/>
        <w:tab w:val="right" w:pos="8306"/>
      </w:tabs>
    </w:pPr>
  </w:style>
  <w:style w:type="character" w:customStyle="1" w:styleId="FooterChar">
    <w:name w:val="Footer Char"/>
    <w:basedOn w:val="DefaultParagraphFont"/>
    <w:link w:val="Footer"/>
    <w:rsid w:val="003D4C15"/>
    <w:rPr>
      <w:rFonts w:ascii="Times New Roman" w:eastAsia="Times New Roman" w:hAnsi="Times New Roman" w:cs="Times New Roman"/>
      <w:sz w:val="24"/>
      <w:szCs w:val="24"/>
      <w:lang w:eastAsia="lt-LT"/>
    </w:rPr>
  </w:style>
  <w:style w:type="character" w:styleId="PageNumber">
    <w:name w:val="page number"/>
    <w:basedOn w:val="DefaultParagraphFont"/>
    <w:rsid w:val="003D4C15"/>
  </w:style>
  <w:style w:type="paragraph" w:styleId="NormalWeb">
    <w:name w:val="Normal (Web)"/>
    <w:basedOn w:val="Normal"/>
    <w:link w:val="NormalWebChar"/>
    <w:uiPriority w:val="99"/>
    <w:rsid w:val="003D4C15"/>
    <w:pPr>
      <w:spacing w:before="100" w:beforeAutospacing="1" w:after="100" w:afterAutospacing="1"/>
    </w:pPr>
    <w:rPr>
      <w:lang w:val="en-US" w:eastAsia="en-US"/>
    </w:rPr>
  </w:style>
  <w:style w:type="paragraph" w:customStyle="1" w:styleId="Style12">
    <w:name w:val="Style12"/>
    <w:basedOn w:val="Normal"/>
    <w:rsid w:val="003D4C15"/>
    <w:pPr>
      <w:widowControl w:val="0"/>
      <w:autoSpaceDE w:val="0"/>
      <w:autoSpaceDN w:val="0"/>
      <w:adjustRightInd w:val="0"/>
      <w:spacing w:line="276" w:lineRule="exact"/>
      <w:ind w:firstLine="1622"/>
      <w:jc w:val="both"/>
    </w:pPr>
  </w:style>
  <w:style w:type="character" w:styleId="Hyperlink">
    <w:name w:val="Hyperlink"/>
    <w:basedOn w:val="DefaultParagraphFont"/>
    <w:uiPriority w:val="99"/>
    <w:rsid w:val="003D4C15"/>
    <w:rPr>
      <w:color w:val="0000FF"/>
      <w:u w:val="single"/>
    </w:rPr>
  </w:style>
  <w:style w:type="paragraph" w:styleId="BodyTextIndent2">
    <w:name w:val="Body Text Indent 2"/>
    <w:basedOn w:val="Normal"/>
    <w:link w:val="BodyTextIndent2Char"/>
    <w:rsid w:val="003D4C15"/>
    <w:pPr>
      <w:ind w:firstLine="540"/>
      <w:jc w:val="both"/>
    </w:pPr>
    <w:rPr>
      <w:bCs/>
      <w:lang w:eastAsia="en-US"/>
    </w:rPr>
  </w:style>
  <w:style w:type="character" w:customStyle="1" w:styleId="BodyTextIndent2Char">
    <w:name w:val="Body Text Indent 2 Char"/>
    <w:basedOn w:val="DefaultParagraphFont"/>
    <w:link w:val="BodyTextIndent2"/>
    <w:rsid w:val="003D4C15"/>
    <w:rPr>
      <w:rFonts w:ascii="Times New Roman" w:eastAsia="Times New Roman" w:hAnsi="Times New Roman" w:cs="Times New Roman"/>
      <w:bCs/>
      <w:sz w:val="24"/>
      <w:szCs w:val="24"/>
    </w:rPr>
  </w:style>
  <w:style w:type="paragraph" w:styleId="BodyText">
    <w:name w:val="Body Text"/>
    <w:basedOn w:val="Normal"/>
    <w:link w:val="BodyTextChar"/>
    <w:unhideWhenUsed/>
    <w:rsid w:val="003D4C15"/>
    <w:pPr>
      <w:spacing w:after="120"/>
    </w:pPr>
  </w:style>
  <w:style w:type="character" w:customStyle="1" w:styleId="BodyTextChar">
    <w:name w:val="Body Text Char"/>
    <w:basedOn w:val="DefaultParagraphFont"/>
    <w:link w:val="BodyText"/>
    <w:rsid w:val="003D4C15"/>
    <w:rPr>
      <w:rFonts w:ascii="Times New Roman" w:eastAsia="Times New Roman" w:hAnsi="Times New Roman" w:cs="Times New Roman"/>
      <w:sz w:val="24"/>
      <w:szCs w:val="24"/>
      <w:lang w:eastAsia="lt-LT"/>
    </w:rPr>
  </w:style>
  <w:style w:type="paragraph" w:styleId="HTMLPreformatted">
    <w:name w:val="HTML Preformatted"/>
    <w:basedOn w:val="Normal"/>
    <w:link w:val="HTMLPreformattedChar"/>
    <w:uiPriority w:val="99"/>
    <w:rsid w:val="003D4C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sz w:val="20"/>
      <w:szCs w:val="20"/>
      <w:lang w:val="en-GB" w:eastAsia="en-US"/>
    </w:rPr>
  </w:style>
  <w:style w:type="character" w:customStyle="1" w:styleId="HTMLPreformattedChar">
    <w:name w:val="HTML Preformatted Char"/>
    <w:basedOn w:val="DefaultParagraphFont"/>
    <w:link w:val="HTMLPreformatted"/>
    <w:uiPriority w:val="99"/>
    <w:rsid w:val="003D4C15"/>
    <w:rPr>
      <w:rFonts w:ascii="Arial Unicode MS" w:eastAsia="Arial Unicode MS" w:hAnsi="Arial Unicode MS" w:cs="Times New Roman"/>
      <w:sz w:val="20"/>
      <w:szCs w:val="20"/>
      <w:lang w:val="en-GB"/>
    </w:rPr>
  </w:style>
  <w:style w:type="character" w:customStyle="1" w:styleId="FontStyle27">
    <w:name w:val="Font Style27"/>
    <w:basedOn w:val="DefaultParagraphFont"/>
    <w:rsid w:val="003D4C15"/>
    <w:rPr>
      <w:rFonts w:ascii="Times New Roman" w:hAnsi="Times New Roman" w:cs="Times New Roman"/>
      <w:sz w:val="20"/>
      <w:szCs w:val="20"/>
    </w:rPr>
  </w:style>
  <w:style w:type="character" w:customStyle="1" w:styleId="FontStyle31">
    <w:name w:val="Font Style31"/>
    <w:basedOn w:val="DefaultParagraphFont"/>
    <w:rsid w:val="003D4C15"/>
    <w:rPr>
      <w:rFonts w:ascii="Times New Roman" w:hAnsi="Times New Roman" w:cs="Times New Roman"/>
      <w:sz w:val="22"/>
      <w:szCs w:val="22"/>
    </w:rPr>
  </w:style>
  <w:style w:type="character" w:customStyle="1" w:styleId="FontStyle21">
    <w:name w:val="Font Style21"/>
    <w:basedOn w:val="DefaultParagraphFont"/>
    <w:uiPriority w:val="99"/>
    <w:rsid w:val="003D4C15"/>
    <w:rPr>
      <w:rFonts w:ascii="Times New Roman" w:hAnsi="Times New Roman" w:cs="Times New Roman"/>
      <w:sz w:val="20"/>
      <w:szCs w:val="20"/>
    </w:rPr>
  </w:style>
  <w:style w:type="paragraph" w:styleId="DocumentMap">
    <w:name w:val="Document Map"/>
    <w:basedOn w:val="Normal"/>
    <w:link w:val="DocumentMapChar"/>
    <w:uiPriority w:val="99"/>
    <w:semiHidden/>
    <w:unhideWhenUsed/>
    <w:rsid w:val="003D4C15"/>
    <w:rPr>
      <w:rFonts w:ascii="Tahoma" w:hAnsi="Tahoma" w:cs="Tahoma"/>
      <w:sz w:val="16"/>
      <w:szCs w:val="16"/>
    </w:rPr>
  </w:style>
  <w:style w:type="character" w:customStyle="1" w:styleId="DocumentMapChar">
    <w:name w:val="Document Map Char"/>
    <w:basedOn w:val="DefaultParagraphFont"/>
    <w:link w:val="DocumentMap"/>
    <w:uiPriority w:val="99"/>
    <w:semiHidden/>
    <w:rsid w:val="003D4C15"/>
    <w:rPr>
      <w:rFonts w:ascii="Tahoma" w:eastAsia="Times New Roman" w:hAnsi="Tahoma" w:cs="Tahoma"/>
      <w:sz w:val="16"/>
      <w:szCs w:val="16"/>
      <w:lang w:eastAsia="lt-LT"/>
    </w:rPr>
  </w:style>
  <w:style w:type="character" w:customStyle="1" w:styleId="FontStyle32">
    <w:name w:val="Font Style32"/>
    <w:basedOn w:val="DefaultParagraphFont"/>
    <w:rsid w:val="003D4C15"/>
    <w:rPr>
      <w:rFonts w:ascii="Times New Roman" w:hAnsi="Times New Roman" w:cs="Times New Roman"/>
      <w:sz w:val="20"/>
      <w:szCs w:val="20"/>
    </w:rPr>
  </w:style>
  <w:style w:type="paragraph" w:styleId="BodyTextIndent">
    <w:name w:val="Body Text Indent"/>
    <w:basedOn w:val="Normal"/>
    <w:link w:val="BodyTextIndentChar"/>
    <w:uiPriority w:val="99"/>
    <w:unhideWhenUsed/>
    <w:rsid w:val="003D4C15"/>
    <w:pPr>
      <w:spacing w:after="120"/>
      <w:ind w:left="283"/>
    </w:pPr>
  </w:style>
  <w:style w:type="character" w:customStyle="1" w:styleId="BodyTextIndentChar">
    <w:name w:val="Body Text Indent Char"/>
    <w:basedOn w:val="DefaultParagraphFont"/>
    <w:link w:val="BodyTextIndent"/>
    <w:uiPriority w:val="99"/>
    <w:rsid w:val="003D4C15"/>
    <w:rPr>
      <w:rFonts w:ascii="Times New Roman" w:eastAsia="Times New Roman" w:hAnsi="Times New Roman" w:cs="Times New Roman"/>
      <w:sz w:val="24"/>
      <w:szCs w:val="24"/>
      <w:lang w:eastAsia="lt-LT"/>
    </w:rPr>
  </w:style>
  <w:style w:type="paragraph" w:styleId="FootnoteText">
    <w:name w:val="footnote text"/>
    <w:basedOn w:val="Normal"/>
    <w:link w:val="FootnoteTextChar"/>
    <w:semiHidden/>
    <w:rsid w:val="003D4C15"/>
    <w:rPr>
      <w:sz w:val="20"/>
      <w:szCs w:val="20"/>
    </w:rPr>
  </w:style>
  <w:style w:type="character" w:customStyle="1" w:styleId="FootnoteTextChar">
    <w:name w:val="Footnote Text Char"/>
    <w:basedOn w:val="DefaultParagraphFont"/>
    <w:link w:val="FootnoteText"/>
    <w:semiHidden/>
    <w:rsid w:val="003D4C15"/>
    <w:rPr>
      <w:rFonts w:ascii="Times New Roman" w:eastAsia="Times New Roman" w:hAnsi="Times New Roman" w:cs="Times New Roman"/>
      <w:sz w:val="20"/>
      <w:szCs w:val="20"/>
      <w:lang w:eastAsia="lt-LT"/>
    </w:rPr>
  </w:style>
  <w:style w:type="character" w:styleId="FootnoteReference">
    <w:name w:val="footnote reference"/>
    <w:basedOn w:val="DefaultParagraphFont"/>
    <w:semiHidden/>
    <w:rsid w:val="003D4C15"/>
    <w:rPr>
      <w:vertAlign w:val="superscript"/>
    </w:rPr>
  </w:style>
  <w:style w:type="paragraph" w:styleId="TOC1">
    <w:name w:val="toc 1"/>
    <w:basedOn w:val="Normal"/>
    <w:next w:val="Normal"/>
    <w:autoRedefine/>
    <w:uiPriority w:val="39"/>
    <w:unhideWhenUsed/>
    <w:qFormat/>
    <w:rsid w:val="003D4C15"/>
    <w:pPr>
      <w:tabs>
        <w:tab w:val="right" w:leader="dot" w:pos="9639"/>
      </w:tabs>
      <w:spacing w:before="120" w:after="120"/>
      <w:jc w:val="both"/>
    </w:pPr>
    <w:rPr>
      <w:rFonts w:asciiTheme="minorHAnsi" w:hAnsiTheme="minorHAnsi"/>
      <w:b/>
      <w:bCs/>
      <w:caps/>
      <w:sz w:val="22"/>
      <w:szCs w:val="20"/>
    </w:rPr>
  </w:style>
  <w:style w:type="paragraph" w:styleId="TOC2">
    <w:name w:val="toc 2"/>
    <w:basedOn w:val="Normal"/>
    <w:next w:val="Normal"/>
    <w:autoRedefine/>
    <w:uiPriority w:val="39"/>
    <w:unhideWhenUsed/>
    <w:qFormat/>
    <w:rsid w:val="003D4C15"/>
    <w:pPr>
      <w:tabs>
        <w:tab w:val="right" w:leader="dot" w:pos="9639"/>
      </w:tabs>
      <w:ind w:left="240"/>
      <w:jc w:val="both"/>
    </w:pPr>
    <w:rPr>
      <w:rFonts w:asciiTheme="minorHAnsi" w:hAnsiTheme="minorHAnsi"/>
      <w:i/>
      <w:sz w:val="22"/>
      <w:szCs w:val="20"/>
    </w:rPr>
  </w:style>
  <w:style w:type="paragraph" w:styleId="TOC3">
    <w:name w:val="toc 3"/>
    <w:basedOn w:val="Normal"/>
    <w:next w:val="Normal"/>
    <w:autoRedefine/>
    <w:uiPriority w:val="39"/>
    <w:unhideWhenUsed/>
    <w:qFormat/>
    <w:rsid w:val="003D4C15"/>
    <w:pPr>
      <w:tabs>
        <w:tab w:val="right" w:leader="dot" w:pos="9628"/>
      </w:tabs>
      <w:ind w:left="480"/>
      <w:jc w:val="both"/>
    </w:pPr>
    <w:rPr>
      <w:rFonts w:asciiTheme="minorHAnsi" w:hAnsiTheme="minorHAnsi"/>
      <w:i/>
      <w:iCs/>
      <w:sz w:val="22"/>
      <w:szCs w:val="20"/>
    </w:rPr>
  </w:style>
  <w:style w:type="paragraph" w:styleId="TOC4">
    <w:name w:val="toc 4"/>
    <w:basedOn w:val="Normal"/>
    <w:next w:val="Normal"/>
    <w:autoRedefine/>
    <w:uiPriority w:val="39"/>
    <w:unhideWhenUsed/>
    <w:rsid w:val="003D4C15"/>
    <w:pPr>
      <w:ind w:left="720"/>
    </w:pPr>
    <w:rPr>
      <w:rFonts w:ascii="Calibri" w:hAnsi="Calibri"/>
      <w:sz w:val="18"/>
      <w:szCs w:val="18"/>
    </w:rPr>
  </w:style>
  <w:style w:type="paragraph" w:styleId="NoSpacing">
    <w:name w:val="No Spacing"/>
    <w:link w:val="NoSpacingChar"/>
    <w:uiPriority w:val="1"/>
    <w:qFormat/>
    <w:rsid w:val="003D4C15"/>
    <w:pPr>
      <w:spacing w:after="0" w:line="240" w:lineRule="auto"/>
    </w:pPr>
    <w:rPr>
      <w:rFonts w:ascii="Calibri" w:eastAsia="Times New Roman" w:hAnsi="Calibri" w:cs="Times New Roman"/>
    </w:rPr>
  </w:style>
  <w:style w:type="character" w:customStyle="1" w:styleId="NoSpacingChar">
    <w:name w:val="No Spacing Char"/>
    <w:basedOn w:val="DefaultParagraphFont"/>
    <w:link w:val="NoSpacing"/>
    <w:uiPriority w:val="1"/>
    <w:rsid w:val="003D4C15"/>
    <w:rPr>
      <w:rFonts w:ascii="Calibri" w:eastAsia="Times New Roman" w:hAnsi="Calibri" w:cs="Times New Roman"/>
    </w:rPr>
  </w:style>
  <w:style w:type="paragraph" w:styleId="BalloonText">
    <w:name w:val="Balloon Text"/>
    <w:basedOn w:val="Normal"/>
    <w:link w:val="BalloonTextChar"/>
    <w:uiPriority w:val="99"/>
    <w:semiHidden/>
    <w:unhideWhenUsed/>
    <w:rsid w:val="003D4C15"/>
    <w:rPr>
      <w:rFonts w:ascii="Tahoma" w:hAnsi="Tahoma" w:cs="Tahoma"/>
      <w:sz w:val="16"/>
      <w:szCs w:val="16"/>
    </w:rPr>
  </w:style>
  <w:style w:type="character" w:customStyle="1" w:styleId="BalloonTextChar">
    <w:name w:val="Balloon Text Char"/>
    <w:basedOn w:val="DefaultParagraphFont"/>
    <w:link w:val="BalloonText"/>
    <w:uiPriority w:val="99"/>
    <w:semiHidden/>
    <w:rsid w:val="003D4C15"/>
    <w:rPr>
      <w:rFonts w:ascii="Tahoma" w:eastAsia="Times New Roman" w:hAnsi="Tahoma" w:cs="Tahoma"/>
      <w:sz w:val="16"/>
      <w:szCs w:val="16"/>
      <w:lang w:eastAsia="lt-LT"/>
    </w:rPr>
  </w:style>
  <w:style w:type="character" w:styleId="FollowedHyperlink">
    <w:name w:val="FollowedHyperlink"/>
    <w:basedOn w:val="DefaultParagraphFont"/>
    <w:uiPriority w:val="99"/>
    <w:semiHidden/>
    <w:unhideWhenUsed/>
    <w:rsid w:val="003D4C15"/>
    <w:rPr>
      <w:color w:val="800080"/>
      <w:u w:val="single"/>
    </w:rPr>
  </w:style>
  <w:style w:type="paragraph" w:styleId="TOC5">
    <w:name w:val="toc 5"/>
    <w:basedOn w:val="Normal"/>
    <w:next w:val="Normal"/>
    <w:autoRedefine/>
    <w:uiPriority w:val="39"/>
    <w:unhideWhenUsed/>
    <w:rsid w:val="003D4C15"/>
    <w:pPr>
      <w:ind w:left="960"/>
    </w:pPr>
    <w:rPr>
      <w:rFonts w:ascii="Calibri" w:hAnsi="Calibri"/>
      <w:sz w:val="18"/>
      <w:szCs w:val="18"/>
    </w:rPr>
  </w:style>
  <w:style w:type="character" w:styleId="Emphasis">
    <w:name w:val="Emphasis"/>
    <w:basedOn w:val="DefaultParagraphFont"/>
    <w:qFormat/>
    <w:rsid w:val="003D4C15"/>
    <w:rPr>
      <w:rFonts w:ascii="Times New Roman" w:hAnsi="Times New Roman"/>
      <w:i/>
      <w:iCs/>
      <w:sz w:val="22"/>
    </w:rPr>
  </w:style>
  <w:style w:type="character" w:customStyle="1" w:styleId="Pagrindinistekstas11">
    <w:name w:val="Pagrindinis tekstas (11)_"/>
    <w:basedOn w:val="DefaultParagraphFont"/>
    <w:link w:val="Pagrindinistekstas110"/>
    <w:rsid w:val="003D4C15"/>
    <w:rPr>
      <w:sz w:val="23"/>
      <w:szCs w:val="23"/>
      <w:shd w:val="clear" w:color="auto" w:fill="FFFFFF"/>
    </w:rPr>
  </w:style>
  <w:style w:type="paragraph" w:customStyle="1" w:styleId="Pagrindinistekstas110">
    <w:name w:val="Pagrindinis tekstas (11)"/>
    <w:basedOn w:val="Normal"/>
    <w:link w:val="Pagrindinistekstas11"/>
    <w:rsid w:val="003D4C15"/>
    <w:pPr>
      <w:shd w:val="clear" w:color="auto" w:fill="FFFFFF"/>
      <w:spacing w:line="274" w:lineRule="exact"/>
      <w:jc w:val="both"/>
    </w:pPr>
    <w:rPr>
      <w:rFonts w:asciiTheme="minorHAnsi" w:eastAsiaTheme="minorHAnsi" w:hAnsiTheme="minorHAnsi" w:cstheme="minorBidi"/>
      <w:sz w:val="23"/>
      <w:szCs w:val="23"/>
      <w:shd w:val="clear" w:color="auto" w:fill="FFFFFF"/>
      <w:lang w:eastAsia="en-US"/>
    </w:rPr>
  </w:style>
  <w:style w:type="paragraph" w:styleId="CommentText">
    <w:name w:val="annotation text"/>
    <w:basedOn w:val="Normal"/>
    <w:link w:val="CommentTextChar"/>
    <w:uiPriority w:val="99"/>
    <w:unhideWhenUsed/>
    <w:rsid w:val="003D4C15"/>
    <w:pPr>
      <w:spacing w:after="200" w:line="276" w:lineRule="auto"/>
    </w:pPr>
    <w:rPr>
      <w:rFonts w:ascii="Calibri" w:eastAsia="Calibri" w:hAnsi="Calibri"/>
      <w:sz w:val="20"/>
      <w:szCs w:val="20"/>
      <w:lang w:eastAsia="en-US"/>
    </w:rPr>
  </w:style>
  <w:style w:type="character" w:customStyle="1" w:styleId="CommentTextChar">
    <w:name w:val="Comment Text Char"/>
    <w:basedOn w:val="DefaultParagraphFont"/>
    <w:link w:val="CommentText"/>
    <w:uiPriority w:val="99"/>
    <w:rsid w:val="003D4C15"/>
    <w:rPr>
      <w:rFonts w:ascii="Calibri" w:eastAsia="Calibri" w:hAnsi="Calibri" w:cs="Times New Roman"/>
      <w:sz w:val="20"/>
      <w:szCs w:val="20"/>
    </w:rPr>
  </w:style>
  <w:style w:type="paragraph" w:styleId="BodyTextIndent3">
    <w:name w:val="Body Text Indent 3"/>
    <w:basedOn w:val="Normal"/>
    <w:link w:val="BodyTextIndent3Char"/>
    <w:unhideWhenUsed/>
    <w:rsid w:val="003D4C15"/>
    <w:pPr>
      <w:spacing w:after="120"/>
      <w:ind w:left="283"/>
    </w:pPr>
    <w:rPr>
      <w:sz w:val="16"/>
      <w:szCs w:val="16"/>
    </w:rPr>
  </w:style>
  <w:style w:type="character" w:customStyle="1" w:styleId="BodyTextIndent3Char">
    <w:name w:val="Body Text Indent 3 Char"/>
    <w:basedOn w:val="DefaultParagraphFont"/>
    <w:link w:val="BodyTextIndent3"/>
    <w:rsid w:val="003D4C15"/>
    <w:rPr>
      <w:rFonts w:ascii="Times New Roman" w:eastAsia="Times New Roman" w:hAnsi="Times New Roman" w:cs="Times New Roman"/>
      <w:sz w:val="16"/>
      <w:szCs w:val="16"/>
      <w:lang w:eastAsia="lt-LT"/>
    </w:rPr>
  </w:style>
  <w:style w:type="character" w:customStyle="1" w:styleId="Pagrindinistekstas5">
    <w:name w:val="Pagrindinis tekstas5"/>
    <w:rsid w:val="003D4C15"/>
    <w:rPr>
      <w:rFonts w:ascii="Times New Roman" w:hAnsi="Times New Roman" w:cs="Times New Roman"/>
      <w:sz w:val="23"/>
      <w:szCs w:val="23"/>
      <w:u w:val="single"/>
      <w:shd w:val="clear" w:color="auto" w:fill="FFFFFF"/>
    </w:rPr>
  </w:style>
  <w:style w:type="paragraph" w:styleId="TOCHeading">
    <w:name w:val="TOC Heading"/>
    <w:basedOn w:val="Heading1"/>
    <w:next w:val="Normal"/>
    <w:uiPriority w:val="39"/>
    <w:semiHidden/>
    <w:unhideWhenUsed/>
    <w:qFormat/>
    <w:rsid w:val="003D4C15"/>
    <w:pPr>
      <w:keepLines/>
      <w:spacing w:before="480" w:line="276" w:lineRule="auto"/>
      <w:jc w:val="left"/>
      <w:outlineLvl w:val="9"/>
    </w:pPr>
    <w:rPr>
      <w:rFonts w:ascii="Cambria" w:hAnsi="Cambria"/>
      <w:color w:val="365F91"/>
      <w:sz w:val="28"/>
      <w:szCs w:val="28"/>
    </w:rPr>
  </w:style>
  <w:style w:type="character" w:customStyle="1" w:styleId="Pagrindinistekstas3">
    <w:name w:val="Pagrindinis tekstas3"/>
    <w:basedOn w:val="DefaultParagraphFont"/>
    <w:uiPriority w:val="99"/>
    <w:rsid w:val="003D4C15"/>
    <w:rPr>
      <w:rFonts w:ascii="Times New Roman" w:hAnsi="Times New Roman" w:cs="Times New Roman"/>
      <w:spacing w:val="0"/>
      <w:sz w:val="22"/>
      <w:szCs w:val="22"/>
      <w:u w:val="single"/>
    </w:rPr>
  </w:style>
  <w:style w:type="character" w:customStyle="1" w:styleId="statymonr">
    <w:name w:val="statymonr"/>
    <w:basedOn w:val="DefaultParagraphFont"/>
    <w:uiPriority w:val="99"/>
    <w:rsid w:val="003D4C15"/>
  </w:style>
  <w:style w:type="character" w:customStyle="1" w:styleId="typewriter">
    <w:name w:val="typewriter"/>
    <w:basedOn w:val="DefaultParagraphFont"/>
    <w:rsid w:val="003D4C15"/>
    <w:rPr>
      <w:rFonts w:ascii="Courier New" w:hAnsi="Courier New" w:cs="Courier New" w:hint="default"/>
    </w:rPr>
  </w:style>
  <w:style w:type="character" w:customStyle="1" w:styleId="Typewriter0">
    <w:name w:val="Typewriter"/>
    <w:rsid w:val="003D4C15"/>
    <w:rPr>
      <w:rFonts w:ascii="Courier New" w:hAnsi="Courier New" w:cs="Courier New"/>
      <w:sz w:val="20"/>
      <w:szCs w:val="20"/>
    </w:rPr>
  </w:style>
  <w:style w:type="character" w:customStyle="1" w:styleId="Heading1Char1">
    <w:name w:val="Heading 1 Char1"/>
    <w:rsid w:val="003D4C15"/>
    <w:rPr>
      <w:sz w:val="28"/>
      <w:lang w:eastAsia="en-US"/>
    </w:rPr>
  </w:style>
  <w:style w:type="paragraph" w:styleId="ListParagraph">
    <w:name w:val="List Paragraph"/>
    <w:basedOn w:val="Normal"/>
    <w:link w:val="ListParagraphChar"/>
    <w:uiPriority w:val="34"/>
    <w:qFormat/>
    <w:rsid w:val="003D4C15"/>
    <w:pPr>
      <w:spacing w:after="200" w:line="276" w:lineRule="auto"/>
      <w:ind w:left="720"/>
      <w:contextualSpacing/>
    </w:pPr>
    <w:rPr>
      <w:rFonts w:eastAsia="Calibri"/>
      <w:szCs w:val="22"/>
      <w:lang w:eastAsia="en-US"/>
    </w:rPr>
  </w:style>
  <w:style w:type="character" w:customStyle="1" w:styleId="apple-converted-space">
    <w:name w:val="apple-converted-space"/>
    <w:basedOn w:val="DefaultParagraphFont"/>
    <w:rsid w:val="003D4C15"/>
  </w:style>
  <w:style w:type="character" w:customStyle="1" w:styleId="FontStyle61">
    <w:name w:val="Font Style61"/>
    <w:basedOn w:val="DefaultParagraphFont"/>
    <w:uiPriority w:val="99"/>
    <w:rsid w:val="003D4C15"/>
    <w:rPr>
      <w:rFonts w:ascii="Times New Roman" w:hAnsi="Times New Roman" w:cs="Times New Roman"/>
      <w:sz w:val="22"/>
      <w:szCs w:val="22"/>
    </w:rPr>
  </w:style>
  <w:style w:type="character" w:customStyle="1" w:styleId="FontStyle25">
    <w:name w:val="Font Style25"/>
    <w:rsid w:val="003D4C15"/>
    <w:rPr>
      <w:rFonts w:ascii="Times New Roman" w:hAnsi="Times New Roman" w:cs="Times New Roman"/>
      <w:sz w:val="22"/>
      <w:szCs w:val="22"/>
    </w:rPr>
  </w:style>
  <w:style w:type="character" w:customStyle="1" w:styleId="FontStyle58">
    <w:name w:val="Font Style58"/>
    <w:basedOn w:val="DefaultParagraphFont"/>
    <w:rsid w:val="003D4C15"/>
    <w:rPr>
      <w:rFonts w:ascii="Microsoft Sans Serif" w:hAnsi="Microsoft Sans Serif" w:cs="Microsoft Sans Serif" w:hint="default"/>
      <w:sz w:val="20"/>
      <w:szCs w:val="20"/>
    </w:rPr>
  </w:style>
  <w:style w:type="character" w:customStyle="1" w:styleId="FontStyle47">
    <w:name w:val="Font Style47"/>
    <w:basedOn w:val="DefaultParagraphFont"/>
    <w:uiPriority w:val="99"/>
    <w:rsid w:val="003D4C15"/>
    <w:rPr>
      <w:rFonts w:ascii="Times New Roman" w:hAnsi="Times New Roman" w:cs="Times New Roman"/>
      <w:sz w:val="22"/>
      <w:szCs w:val="22"/>
    </w:rPr>
  </w:style>
  <w:style w:type="character" w:customStyle="1" w:styleId="FontStyle26">
    <w:name w:val="Font Style26"/>
    <w:basedOn w:val="DefaultParagraphFont"/>
    <w:rsid w:val="003D4C15"/>
    <w:rPr>
      <w:rFonts w:ascii="Times New Roman" w:hAnsi="Times New Roman" w:cs="Times New Roman"/>
      <w:i/>
      <w:iCs/>
      <w:sz w:val="22"/>
      <w:szCs w:val="22"/>
    </w:rPr>
  </w:style>
  <w:style w:type="character" w:customStyle="1" w:styleId="FontStyle22">
    <w:name w:val="Font Style22"/>
    <w:basedOn w:val="DefaultParagraphFont"/>
    <w:uiPriority w:val="99"/>
    <w:rsid w:val="003D4C15"/>
    <w:rPr>
      <w:rFonts w:ascii="Times New Roman" w:hAnsi="Times New Roman" w:cs="Times New Roman"/>
      <w:i/>
      <w:iCs/>
      <w:sz w:val="20"/>
      <w:szCs w:val="20"/>
    </w:rPr>
  </w:style>
  <w:style w:type="character" w:customStyle="1" w:styleId="FontStyle23">
    <w:name w:val="Font Style23"/>
    <w:basedOn w:val="DefaultParagraphFont"/>
    <w:uiPriority w:val="99"/>
    <w:rsid w:val="003D4C15"/>
    <w:rPr>
      <w:rFonts w:ascii="Times New Roman" w:hAnsi="Times New Roman" w:cs="Times New Roman"/>
      <w:b/>
      <w:bCs/>
      <w:sz w:val="22"/>
      <w:szCs w:val="22"/>
    </w:rPr>
  </w:style>
  <w:style w:type="paragraph" w:customStyle="1" w:styleId="tajtip">
    <w:name w:val="tajtip"/>
    <w:basedOn w:val="Normal"/>
    <w:rsid w:val="003D4C15"/>
    <w:pPr>
      <w:spacing w:before="100" w:beforeAutospacing="1" w:after="100" w:afterAutospacing="1"/>
    </w:pPr>
  </w:style>
  <w:style w:type="character" w:styleId="Strong">
    <w:name w:val="Strong"/>
    <w:uiPriority w:val="22"/>
    <w:qFormat/>
    <w:rsid w:val="003D4C15"/>
    <w:rPr>
      <w:b/>
      <w:bCs/>
    </w:rPr>
  </w:style>
  <w:style w:type="character" w:customStyle="1" w:styleId="dnr">
    <w:name w:val="dnr"/>
    <w:basedOn w:val="DefaultParagraphFont"/>
    <w:rsid w:val="003D4C15"/>
  </w:style>
  <w:style w:type="character" w:customStyle="1" w:styleId="apple-style-span">
    <w:name w:val="apple-style-span"/>
    <w:basedOn w:val="DefaultParagraphFont"/>
    <w:rsid w:val="003D4C15"/>
  </w:style>
  <w:style w:type="paragraph" w:customStyle="1" w:styleId="bodytext0">
    <w:name w:val="bodytext"/>
    <w:basedOn w:val="Normal"/>
    <w:uiPriority w:val="99"/>
    <w:rsid w:val="003D4C15"/>
    <w:pPr>
      <w:spacing w:before="100" w:beforeAutospacing="1" w:after="100" w:afterAutospacing="1"/>
    </w:pPr>
  </w:style>
  <w:style w:type="character" w:customStyle="1" w:styleId="quatationtext">
    <w:name w:val="quatation_text"/>
    <w:basedOn w:val="DefaultParagraphFont"/>
    <w:rsid w:val="003D4C15"/>
    <w:rPr>
      <w:rFonts w:ascii="Arial" w:hAnsi="Arial" w:cs="Arial" w:hint="default"/>
      <w:b/>
      <w:bCs/>
      <w:vanish w:val="0"/>
      <w:webHidden w:val="0"/>
      <w:color w:val="4A473C"/>
      <w:sz w:val="11"/>
      <w:szCs w:val="11"/>
      <w:specVanish w:val="0"/>
    </w:rPr>
  </w:style>
  <w:style w:type="character" w:customStyle="1" w:styleId="FontStyle13">
    <w:name w:val="Font Style13"/>
    <w:basedOn w:val="DefaultParagraphFont"/>
    <w:rsid w:val="003D4C15"/>
    <w:rPr>
      <w:rFonts w:ascii="Times New Roman" w:hAnsi="Times New Roman" w:cs="Times New Roman"/>
      <w:sz w:val="20"/>
      <w:szCs w:val="20"/>
    </w:rPr>
  </w:style>
  <w:style w:type="character" w:customStyle="1" w:styleId="FontStyle11">
    <w:name w:val="Font Style11"/>
    <w:basedOn w:val="DefaultParagraphFont"/>
    <w:rsid w:val="003D4C15"/>
    <w:rPr>
      <w:rFonts w:ascii="Times New Roman" w:hAnsi="Times New Roman" w:cs="Times New Roman"/>
      <w:sz w:val="22"/>
      <w:szCs w:val="22"/>
    </w:rPr>
  </w:style>
  <w:style w:type="paragraph" w:customStyle="1" w:styleId="ListParagraph1">
    <w:name w:val="List Paragraph1"/>
    <w:basedOn w:val="Normal"/>
    <w:rsid w:val="003D4C15"/>
    <w:pPr>
      <w:spacing w:after="200" w:line="276" w:lineRule="auto"/>
      <w:ind w:left="720"/>
      <w:contextualSpacing/>
    </w:pPr>
    <w:rPr>
      <w:rFonts w:eastAsia="Calibri"/>
      <w:szCs w:val="22"/>
      <w:lang w:eastAsia="en-US"/>
    </w:rPr>
  </w:style>
  <w:style w:type="character" w:customStyle="1" w:styleId="FontStyle46">
    <w:name w:val="Font Style46"/>
    <w:basedOn w:val="DefaultParagraphFont"/>
    <w:rsid w:val="003D4C15"/>
    <w:rPr>
      <w:rFonts w:ascii="Times New Roman" w:hAnsi="Times New Roman" w:cs="Times New Roman"/>
      <w:b/>
      <w:bCs/>
      <w:sz w:val="20"/>
      <w:szCs w:val="20"/>
    </w:rPr>
  </w:style>
  <w:style w:type="character" w:customStyle="1" w:styleId="CharChar10">
    <w:name w:val="Char Char10"/>
    <w:basedOn w:val="DefaultParagraphFont"/>
    <w:rsid w:val="003D4C15"/>
    <w:rPr>
      <w:sz w:val="28"/>
      <w:lang w:eastAsia="en-US"/>
    </w:rPr>
  </w:style>
  <w:style w:type="character" w:customStyle="1" w:styleId="FontStyle12">
    <w:name w:val="Font Style12"/>
    <w:basedOn w:val="DefaultParagraphFont"/>
    <w:rsid w:val="003D4C15"/>
    <w:rPr>
      <w:rFonts w:ascii="Times New Roman" w:hAnsi="Times New Roman" w:cs="Times New Roman"/>
      <w:i/>
      <w:iCs/>
      <w:sz w:val="22"/>
      <w:szCs w:val="22"/>
    </w:rPr>
  </w:style>
  <w:style w:type="character" w:customStyle="1" w:styleId="FontStyle14">
    <w:name w:val="Font Style14"/>
    <w:basedOn w:val="DefaultParagraphFont"/>
    <w:rsid w:val="003D4C15"/>
    <w:rPr>
      <w:rFonts w:ascii="Times New Roman" w:hAnsi="Times New Roman" w:cs="Times New Roman"/>
      <w:b/>
      <w:bCs/>
      <w:sz w:val="22"/>
      <w:szCs w:val="22"/>
    </w:rPr>
  </w:style>
  <w:style w:type="paragraph" w:customStyle="1" w:styleId="DiagramaDiagramaDiagramaDiagramaDiagramaDiagrama1DiagramaDiagramaDiagrama">
    <w:name w:val="Diagrama Diagrama Diagrama Diagrama Diagrama Diagrama1 Diagrama Diagrama Diagrama"/>
    <w:basedOn w:val="Normal"/>
    <w:next w:val="Normal"/>
    <w:rsid w:val="003D4C15"/>
    <w:pPr>
      <w:spacing w:before="120" w:after="120"/>
      <w:jc w:val="center"/>
    </w:pPr>
    <w:rPr>
      <w:b/>
      <w:bCs/>
      <w:snapToGrid w:val="0"/>
      <w:u w:val="single"/>
      <w:lang w:eastAsia="en-GB"/>
    </w:rPr>
  </w:style>
  <w:style w:type="character" w:customStyle="1" w:styleId="PagrindinistekstasPusjuodis4">
    <w:name w:val="Pagrindinis tekstas + Pusjuodis4"/>
    <w:basedOn w:val="DefaultParagraphFont"/>
    <w:rsid w:val="003D4C15"/>
    <w:rPr>
      <w:rFonts w:ascii="Times New Roman" w:hAnsi="Times New Roman" w:cs="Times New Roman"/>
      <w:b/>
      <w:bCs/>
      <w:spacing w:val="0"/>
      <w:sz w:val="23"/>
      <w:szCs w:val="23"/>
    </w:rPr>
  </w:style>
  <w:style w:type="paragraph" w:styleId="TOC6">
    <w:name w:val="toc 6"/>
    <w:basedOn w:val="Normal"/>
    <w:next w:val="Normal"/>
    <w:autoRedefine/>
    <w:uiPriority w:val="39"/>
    <w:unhideWhenUsed/>
    <w:rsid w:val="003D4C15"/>
    <w:pPr>
      <w:ind w:left="1200"/>
    </w:pPr>
    <w:rPr>
      <w:rFonts w:ascii="Calibri" w:hAnsi="Calibri"/>
      <w:sz w:val="18"/>
      <w:szCs w:val="18"/>
    </w:rPr>
  </w:style>
  <w:style w:type="paragraph" w:styleId="TOC7">
    <w:name w:val="toc 7"/>
    <w:basedOn w:val="Normal"/>
    <w:next w:val="Normal"/>
    <w:autoRedefine/>
    <w:uiPriority w:val="39"/>
    <w:unhideWhenUsed/>
    <w:rsid w:val="003D4C15"/>
    <w:pPr>
      <w:ind w:left="1440"/>
    </w:pPr>
    <w:rPr>
      <w:rFonts w:ascii="Calibri" w:hAnsi="Calibri"/>
      <w:sz w:val="18"/>
      <w:szCs w:val="18"/>
    </w:rPr>
  </w:style>
  <w:style w:type="paragraph" w:styleId="TOC8">
    <w:name w:val="toc 8"/>
    <w:basedOn w:val="Normal"/>
    <w:next w:val="Normal"/>
    <w:autoRedefine/>
    <w:uiPriority w:val="39"/>
    <w:unhideWhenUsed/>
    <w:rsid w:val="003D4C15"/>
    <w:pPr>
      <w:ind w:left="1680"/>
    </w:pPr>
    <w:rPr>
      <w:rFonts w:ascii="Calibri" w:hAnsi="Calibri"/>
      <w:sz w:val="18"/>
      <w:szCs w:val="18"/>
    </w:rPr>
  </w:style>
  <w:style w:type="paragraph" w:styleId="TOC9">
    <w:name w:val="toc 9"/>
    <w:basedOn w:val="Normal"/>
    <w:next w:val="Normal"/>
    <w:autoRedefine/>
    <w:uiPriority w:val="39"/>
    <w:unhideWhenUsed/>
    <w:rsid w:val="003D4C15"/>
    <w:pPr>
      <w:ind w:left="1920"/>
    </w:pPr>
    <w:rPr>
      <w:rFonts w:ascii="Calibri" w:hAnsi="Calibri"/>
      <w:sz w:val="18"/>
      <w:szCs w:val="18"/>
    </w:rPr>
  </w:style>
  <w:style w:type="character" w:customStyle="1" w:styleId="FontStyle54">
    <w:name w:val="Font Style54"/>
    <w:basedOn w:val="DefaultParagraphFont"/>
    <w:uiPriority w:val="99"/>
    <w:rsid w:val="003D4C15"/>
    <w:rPr>
      <w:rFonts w:ascii="Courier New" w:hAnsi="Courier New" w:cs="Courier New"/>
      <w:sz w:val="22"/>
      <w:szCs w:val="22"/>
    </w:rPr>
  </w:style>
  <w:style w:type="character" w:customStyle="1" w:styleId="Pagrindinistekstas24">
    <w:name w:val="Pagrindinis tekstas (2)4"/>
    <w:basedOn w:val="DefaultParagraphFont"/>
    <w:uiPriority w:val="99"/>
    <w:rsid w:val="003D4C15"/>
    <w:rPr>
      <w:rFonts w:ascii="Calibri" w:hAnsi="Calibri" w:cs="Calibri"/>
      <w:b/>
      <w:bCs/>
      <w:spacing w:val="0"/>
      <w:sz w:val="22"/>
      <w:szCs w:val="22"/>
      <w:u w:val="single"/>
      <w:shd w:val="clear" w:color="auto" w:fill="FFFFFF"/>
    </w:rPr>
  </w:style>
  <w:style w:type="character" w:customStyle="1" w:styleId="Pagrindinistekstas2Kursyvas2">
    <w:name w:val="Pagrindinis tekstas (2) + Kursyvas2"/>
    <w:basedOn w:val="DefaultParagraphFont"/>
    <w:uiPriority w:val="99"/>
    <w:rsid w:val="003D4C15"/>
    <w:rPr>
      <w:rFonts w:ascii="Calibri" w:hAnsi="Calibri" w:cs="Calibri"/>
      <w:b/>
      <w:bCs/>
      <w:i/>
      <w:iCs/>
      <w:spacing w:val="0"/>
      <w:sz w:val="22"/>
      <w:szCs w:val="22"/>
      <w:shd w:val="clear" w:color="auto" w:fill="FFFFFF"/>
    </w:rPr>
  </w:style>
  <w:style w:type="character" w:customStyle="1" w:styleId="FontStyle17">
    <w:name w:val="Font Style17"/>
    <w:basedOn w:val="DefaultParagraphFont"/>
    <w:rsid w:val="003D4C15"/>
    <w:rPr>
      <w:rFonts w:ascii="Times New Roman" w:hAnsi="Times New Roman" w:cs="Times New Roman"/>
      <w:sz w:val="24"/>
      <w:szCs w:val="24"/>
    </w:rPr>
  </w:style>
  <w:style w:type="character" w:customStyle="1" w:styleId="Pagrindinistekstas711">
    <w:name w:val="Pagrindinis tekstas (7) + 11"/>
    <w:aliases w:val="5 tšk.6,Ne kursyvas,Pagrindinis tekstas (6) + 11,5 tšk.,Pagrindinis tekstas + 11,5 t_k."/>
    <w:uiPriority w:val="99"/>
    <w:rsid w:val="003D4C15"/>
    <w:rPr>
      <w:i/>
      <w:iCs/>
      <w:sz w:val="23"/>
      <w:szCs w:val="23"/>
      <w:shd w:val="clear" w:color="auto" w:fill="FFFFFF"/>
    </w:rPr>
  </w:style>
  <w:style w:type="character" w:customStyle="1" w:styleId="Pagrindinistekstas117">
    <w:name w:val="Pagrindinis tekstas + 117"/>
    <w:aliases w:val="5 t_k.9,Ne kursyvas7"/>
    <w:uiPriority w:val="99"/>
    <w:rsid w:val="003D4C15"/>
    <w:rPr>
      <w:i w:val="0"/>
      <w:iCs w:val="0"/>
      <w:sz w:val="23"/>
      <w:szCs w:val="23"/>
      <w:u w:val="single"/>
      <w:shd w:val="clear" w:color="auto" w:fill="FFFFFF"/>
    </w:rPr>
  </w:style>
  <w:style w:type="character" w:customStyle="1" w:styleId="FontStyle37">
    <w:name w:val="Font Style37"/>
    <w:basedOn w:val="DefaultParagraphFont"/>
    <w:rsid w:val="003D4C15"/>
    <w:rPr>
      <w:rFonts w:ascii="Times New Roman" w:hAnsi="Times New Roman" w:cs="Times New Roman"/>
      <w:sz w:val="22"/>
      <w:szCs w:val="22"/>
    </w:rPr>
  </w:style>
  <w:style w:type="paragraph" w:customStyle="1" w:styleId="ISTATYMAS">
    <w:name w:val="ISTATYMAS"/>
    <w:rsid w:val="003D4C15"/>
    <w:pPr>
      <w:autoSpaceDE w:val="0"/>
      <w:autoSpaceDN w:val="0"/>
      <w:adjustRightInd w:val="0"/>
      <w:spacing w:after="0" w:line="240" w:lineRule="auto"/>
      <w:jc w:val="center"/>
    </w:pPr>
    <w:rPr>
      <w:rFonts w:ascii="TimesLT" w:eastAsia="Times New Roman" w:hAnsi="TimesLT" w:cs="Times New Roman"/>
      <w:sz w:val="20"/>
      <w:szCs w:val="20"/>
      <w:lang w:val="en-US"/>
    </w:rPr>
  </w:style>
  <w:style w:type="character" w:customStyle="1" w:styleId="FontStyle30">
    <w:name w:val="Font Style30"/>
    <w:uiPriority w:val="99"/>
    <w:rsid w:val="003D4C15"/>
    <w:rPr>
      <w:rFonts w:ascii="Times New Roman" w:hAnsi="Times New Roman" w:cs="Times New Roman"/>
      <w:sz w:val="20"/>
      <w:szCs w:val="20"/>
    </w:rPr>
  </w:style>
  <w:style w:type="character" w:customStyle="1" w:styleId="FontStyle48">
    <w:name w:val="Font Style48"/>
    <w:basedOn w:val="DefaultParagraphFont"/>
    <w:rsid w:val="003D4C15"/>
    <w:rPr>
      <w:rFonts w:ascii="Arial Narrow" w:hAnsi="Arial Narrow" w:cs="Arial Narrow"/>
      <w:i/>
      <w:iCs/>
      <w:sz w:val="18"/>
      <w:szCs w:val="18"/>
    </w:rPr>
  </w:style>
  <w:style w:type="character" w:customStyle="1" w:styleId="FontStyle49">
    <w:name w:val="Font Style49"/>
    <w:basedOn w:val="DefaultParagraphFont"/>
    <w:rsid w:val="003D4C15"/>
    <w:rPr>
      <w:rFonts w:ascii="Times New Roman" w:hAnsi="Times New Roman" w:cs="Times New Roman"/>
      <w:sz w:val="20"/>
      <w:szCs w:val="20"/>
    </w:rPr>
  </w:style>
  <w:style w:type="paragraph" w:styleId="Subtitle">
    <w:name w:val="Subtitle"/>
    <w:basedOn w:val="Normal"/>
    <w:next w:val="Normal"/>
    <w:link w:val="SubtitleChar"/>
    <w:uiPriority w:val="11"/>
    <w:qFormat/>
    <w:rsid w:val="003D4C15"/>
    <w:pPr>
      <w:spacing w:after="60"/>
      <w:jc w:val="center"/>
      <w:outlineLvl w:val="1"/>
    </w:pPr>
    <w:rPr>
      <w:rFonts w:ascii="Cambria" w:hAnsi="Cambria"/>
    </w:rPr>
  </w:style>
  <w:style w:type="character" w:customStyle="1" w:styleId="SubtitleChar">
    <w:name w:val="Subtitle Char"/>
    <w:basedOn w:val="DefaultParagraphFont"/>
    <w:link w:val="Subtitle"/>
    <w:uiPriority w:val="11"/>
    <w:rsid w:val="003D4C15"/>
    <w:rPr>
      <w:rFonts w:ascii="Cambria" w:eastAsia="Times New Roman" w:hAnsi="Cambria" w:cs="Times New Roman"/>
      <w:sz w:val="24"/>
      <w:szCs w:val="24"/>
      <w:lang w:eastAsia="lt-LT"/>
    </w:rPr>
  </w:style>
  <w:style w:type="paragraph" w:styleId="Index1">
    <w:name w:val="index 1"/>
    <w:basedOn w:val="Normal"/>
    <w:next w:val="Normal"/>
    <w:autoRedefine/>
    <w:uiPriority w:val="99"/>
    <w:semiHidden/>
    <w:unhideWhenUsed/>
    <w:rsid w:val="003D4C15"/>
    <w:pPr>
      <w:ind w:left="240" w:hanging="240"/>
    </w:pPr>
  </w:style>
  <w:style w:type="character" w:customStyle="1" w:styleId="normal-h">
    <w:name w:val="normal-h"/>
    <w:basedOn w:val="DefaultParagraphFont"/>
    <w:rsid w:val="003D4C15"/>
  </w:style>
  <w:style w:type="paragraph" w:customStyle="1" w:styleId="Sraopastraipa1">
    <w:name w:val="Sąrašo pastraipa1"/>
    <w:basedOn w:val="Normal"/>
    <w:rsid w:val="003D4C15"/>
    <w:pPr>
      <w:ind w:left="720"/>
    </w:pPr>
    <w:rPr>
      <w:rFonts w:eastAsia="Calibri"/>
      <w:sz w:val="20"/>
      <w:szCs w:val="20"/>
      <w:lang w:eastAsia="en-US"/>
    </w:rPr>
  </w:style>
  <w:style w:type="paragraph" w:customStyle="1" w:styleId="tactin">
    <w:name w:val="tactin"/>
    <w:basedOn w:val="Normal"/>
    <w:rsid w:val="003D4C15"/>
    <w:pPr>
      <w:spacing w:before="100" w:beforeAutospacing="1" w:after="100" w:afterAutospacing="1"/>
    </w:pPr>
  </w:style>
  <w:style w:type="character" w:customStyle="1" w:styleId="Pagrindinistekstas7">
    <w:name w:val="Pagrindinis tekstas (7)_"/>
    <w:basedOn w:val="DefaultParagraphFont"/>
    <w:link w:val="Pagrindinistekstas71"/>
    <w:rsid w:val="003D4C15"/>
    <w:rPr>
      <w:shd w:val="clear" w:color="auto" w:fill="FFFFFF"/>
    </w:rPr>
  </w:style>
  <w:style w:type="paragraph" w:customStyle="1" w:styleId="Pagrindinistekstas71">
    <w:name w:val="Pagrindinis tekstas (7)1"/>
    <w:basedOn w:val="Normal"/>
    <w:link w:val="Pagrindinistekstas7"/>
    <w:rsid w:val="003D4C15"/>
    <w:pPr>
      <w:shd w:val="clear" w:color="auto" w:fill="FFFFFF"/>
      <w:spacing w:before="540" w:line="278" w:lineRule="exact"/>
    </w:pPr>
    <w:rPr>
      <w:rFonts w:asciiTheme="minorHAnsi" w:eastAsiaTheme="minorHAnsi" w:hAnsiTheme="minorHAnsi" w:cstheme="minorBidi"/>
      <w:sz w:val="22"/>
      <w:szCs w:val="22"/>
      <w:lang w:eastAsia="en-US"/>
    </w:rPr>
  </w:style>
  <w:style w:type="character" w:customStyle="1" w:styleId="CharChar7">
    <w:name w:val="Char Char7"/>
    <w:rsid w:val="003D4C15"/>
    <w:rPr>
      <w:sz w:val="28"/>
      <w:lang w:eastAsia="en-US"/>
    </w:rPr>
  </w:style>
  <w:style w:type="character" w:customStyle="1" w:styleId="CharChar4">
    <w:name w:val="Char Char4"/>
    <w:basedOn w:val="DefaultParagraphFont"/>
    <w:rsid w:val="003D4C15"/>
    <w:rPr>
      <w:rFonts w:ascii="Times New Roman" w:eastAsia="Times New Roman" w:hAnsi="Times New Roman" w:cs="Times New Roman"/>
      <w:sz w:val="28"/>
      <w:szCs w:val="20"/>
      <w:lang w:val="lt-LT"/>
    </w:rPr>
  </w:style>
  <w:style w:type="character" w:customStyle="1" w:styleId="CharChar12">
    <w:name w:val="Char Char12"/>
    <w:rsid w:val="003D4C15"/>
    <w:rPr>
      <w:sz w:val="28"/>
      <w:lang w:eastAsia="en-US"/>
    </w:rPr>
  </w:style>
  <w:style w:type="character" w:customStyle="1" w:styleId="CharChar8">
    <w:name w:val="Char Char8"/>
    <w:rsid w:val="003D4C15"/>
    <w:rPr>
      <w:sz w:val="28"/>
      <w:lang w:eastAsia="en-US"/>
    </w:rPr>
  </w:style>
  <w:style w:type="character" w:customStyle="1" w:styleId="FontStyle51">
    <w:name w:val="Font Style51"/>
    <w:basedOn w:val="DefaultParagraphFont"/>
    <w:rsid w:val="003D4C15"/>
    <w:rPr>
      <w:rFonts w:ascii="Times New Roman" w:hAnsi="Times New Roman" w:cs="Times New Roman"/>
      <w:i/>
      <w:iCs/>
      <w:sz w:val="20"/>
      <w:szCs w:val="20"/>
    </w:rPr>
  </w:style>
  <w:style w:type="character" w:customStyle="1" w:styleId="CharChar9">
    <w:name w:val="Char Char9"/>
    <w:rsid w:val="003D4C15"/>
    <w:rPr>
      <w:sz w:val="28"/>
      <w:lang w:eastAsia="en-US"/>
    </w:rPr>
  </w:style>
  <w:style w:type="character" w:customStyle="1" w:styleId="CharChar6">
    <w:name w:val="Char Char6"/>
    <w:rsid w:val="003D4C15"/>
    <w:rPr>
      <w:sz w:val="28"/>
      <w:lang w:eastAsia="en-US"/>
    </w:rPr>
  </w:style>
  <w:style w:type="character" w:customStyle="1" w:styleId="Pagrindinistekstas">
    <w:name w:val="Pagrindinis tekstas_"/>
    <w:basedOn w:val="DefaultParagraphFont"/>
    <w:link w:val="Pagrindinistekstas1"/>
    <w:locked/>
    <w:rsid w:val="003D4C15"/>
    <w:rPr>
      <w:spacing w:val="4"/>
      <w:sz w:val="21"/>
      <w:szCs w:val="21"/>
      <w:shd w:val="clear" w:color="auto" w:fill="FFFFFF"/>
    </w:rPr>
  </w:style>
  <w:style w:type="paragraph" w:customStyle="1" w:styleId="Pagrindinistekstas1">
    <w:name w:val="Pagrindinis tekstas1"/>
    <w:basedOn w:val="Normal"/>
    <w:link w:val="Pagrindinistekstas"/>
    <w:rsid w:val="003D4C15"/>
    <w:pPr>
      <w:shd w:val="clear" w:color="auto" w:fill="FFFFFF"/>
      <w:spacing w:line="274" w:lineRule="exact"/>
      <w:jc w:val="both"/>
    </w:pPr>
    <w:rPr>
      <w:rFonts w:asciiTheme="minorHAnsi" w:eastAsiaTheme="minorHAnsi" w:hAnsiTheme="minorHAnsi" w:cstheme="minorBidi"/>
      <w:spacing w:val="4"/>
      <w:sz w:val="21"/>
      <w:szCs w:val="21"/>
      <w:lang w:eastAsia="en-US"/>
    </w:rPr>
  </w:style>
  <w:style w:type="character" w:customStyle="1" w:styleId="Bodytext4NotBold">
    <w:name w:val="Body text (4) + Not Bold"/>
    <w:aliases w:val="Not Italic"/>
    <w:basedOn w:val="DefaultParagraphFont"/>
    <w:rsid w:val="003D4C15"/>
    <w:rPr>
      <w:rFonts w:ascii="Times New Roman" w:hAnsi="Times New Roman" w:cs="Times New Roman"/>
      <w:b/>
      <w:bCs/>
      <w:i/>
      <w:iCs/>
      <w:color w:val="000000"/>
      <w:spacing w:val="0"/>
      <w:w w:val="100"/>
      <w:position w:val="0"/>
      <w:shd w:val="clear" w:color="auto" w:fill="FFFFFF"/>
      <w:lang w:val="lt-LT" w:eastAsia="lt-LT"/>
    </w:rPr>
  </w:style>
  <w:style w:type="paragraph" w:customStyle="1" w:styleId="Default">
    <w:name w:val="Default"/>
    <w:rsid w:val="003D4C15"/>
    <w:pPr>
      <w:autoSpaceDE w:val="0"/>
      <w:autoSpaceDN w:val="0"/>
      <w:adjustRightInd w:val="0"/>
      <w:spacing w:after="0" w:line="240" w:lineRule="auto"/>
    </w:pPr>
    <w:rPr>
      <w:rFonts w:ascii="Times New Roman" w:eastAsia="Times New Roman" w:hAnsi="Times New Roman" w:cs="Times New Roman"/>
      <w:color w:val="000000"/>
      <w:sz w:val="24"/>
      <w:szCs w:val="24"/>
      <w:lang w:eastAsia="lt-LT"/>
    </w:rPr>
  </w:style>
  <w:style w:type="character" w:styleId="CommentReference">
    <w:name w:val="annotation reference"/>
    <w:basedOn w:val="DefaultParagraphFont"/>
    <w:uiPriority w:val="99"/>
    <w:semiHidden/>
    <w:unhideWhenUsed/>
    <w:rsid w:val="003D4C15"/>
    <w:rPr>
      <w:sz w:val="16"/>
      <w:szCs w:val="16"/>
    </w:rPr>
  </w:style>
  <w:style w:type="paragraph" w:customStyle="1" w:styleId="Sraopastraipa2">
    <w:name w:val="Sąrašo pastraipa2"/>
    <w:basedOn w:val="Normal"/>
    <w:rsid w:val="003D4C15"/>
    <w:pPr>
      <w:ind w:left="720"/>
    </w:pPr>
    <w:rPr>
      <w:rFonts w:eastAsia="Calibri"/>
      <w:sz w:val="20"/>
      <w:szCs w:val="20"/>
      <w:lang w:eastAsia="en-US"/>
    </w:rPr>
  </w:style>
  <w:style w:type="character" w:customStyle="1" w:styleId="Heading1Char">
    <w:name w:val="Heading 1 Char"/>
    <w:locked/>
    <w:rsid w:val="003D4C15"/>
    <w:rPr>
      <w:sz w:val="28"/>
      <w:lang w:eastAsia="en-US"/>
    </w:rPr>
  </w:style>
  <w:style w:type="paragraph" w:customStyle="1" w:styleId="tajtipfb">
    <w:name w:val="tajtipfb"/>
    <w:basedOn w:val="Normal"/>
    <w:rsid w:val="003D4C15"/>
    <w:pPr>
      <w:spacing w:before="100" w:beforeAutospacing="1" w:after="100" w:afterAutospacing="1"/>
    </w:pPr>
  </w:style>
  <w:style w:type="character" w:customStyle="1" w:styleId="clear">
    <w:name w:val="clear"/>
    <w:basedOn w:val="DefaultParagraphFont"/>
    <w:rsid w:val="003D4C15"/>
  </w:style>
  <w:style w:type="paragraph" w:customStyle="1" w:styleId="Betarp1">
    <w:name w:val="Be tarpų1"/>
    <w:rsid w:val="003D4C15"/>
    <w:pPr>
      <w:spacing w:after="0" w:line="240" w:lineRule="auto"/>
    </w:pPr>
    <w:rPr>
      <w:rFonts w:ascii="Times New Roman" w:eastAsia="Times New Roman" w:hAnsi="Times New Roman" w:cs="Times New Roman"/>
      <w:sz w:val="24"/>
      <w:szCs w:val="20"/>
    </w:rPr>
  </w:style>
  <w:style w:type="character" w:styleId="SubtleEmphasis">
    <w:name w:val="Subtle Emphasis"/>
    <w:basedOn w:val="DefaultParagraphFont"/>
    <w:uiPriority w:val="19"/>
    <w:qFormat/>
    <w:rsid w:val="003D4C15"/>
    <w:rPr>
      <w:i/>
      <w:iCs/>
      <w:color w:val="808080" w:themeColor="text1" w:themeTint="7F"/>
    </w:rPr>
  </w:style>
  <w:style w:type="paragraph" w:customStyle="1" w:styleId="Apzvalgai1">
    <w:name w:val="Apzvalgai1"/>
    <w:basedOn w:val="Heading1"/>
    <w:link w:val="Apzvalgai1Char"/>
    <w:qFormat/>
    <w:rsid w:val="003D4C15"/>
  </w:style>
  <w:style w:type="paragraph" w:customStyle="1" w:styleId="ApzvalgaiItalikas">
    <w:name w:val="Apzvalgai_Italikas"/>
    <w:basedOn w:val="Heading2"/>
    <w:link w:val="ApzvalgaiItalikasChar"/>
    <w:rsid w:val="003D4C15"/>
  </w:style>
  <w:style w:type="character" w:customStyle="1" w:styleId="Apzvalgai1Char">
    <w:name w:val="Apzvalgai1 Char"/>
    <w:basedOn w:val="Heading1Char2"/>
    <w:link w:val="Apzvalgai1"/>
    <w:rsid w:val="003D4C15"/>
    <w:rPr>
      <w:rFonts w:ascii="Times New Roman" w:eastAsia="Times New Roman" w:hAnsi="Times New Roman" w:cs="Times New Roman"/>
      <w:b/>
      <w:u w:val="single"/>
      <w:lang w:eastAsia="lt-LT"/>
    </w:rPr>
  </w:style>
  <w:style w:type="character" w:customStyle="1" w:styleId="ApzvalgaiItalikasChar">
    <w:name w:val="Apzvalgai_Italikas Char"/>
    <w:basedOn w:val="Heading2Char"/>
    <w:link w:val="ApzvalgaiItalikas"/>
    <w:rsid w:val="003D4C15"/>
    <w:rPr>
      <w:rFonts w:eastAsia="Arial Unicode MS" w:cs="Times New Roman"/>
      <w:i/>
      <w:iCs w:val="0"/>
      <w:color w:val="000000"/>
      <w:szCs w:val="24"/>
      <w:shd w:val="clear" w:color="auto" w:fill="FFFFFF"/>
      <w:lang w:eastAsia="lt-LT"/>
    </w:rPr>
  </w:style>
  <w:style w:type="character" w:customStyle="1" w:styleId="FontStyle16">
    <w:name w:val="Font Style16"/>
    <w:uiPriority w:val="99"/>
    <w:rsid w:val="003D4C15"/>
    <w:rPr>
      <w:rFonts w:ascii="Palatino Linotype" w:hAnsi="Palatino Linotype" w:cs="Palatino Linotype"/>
      <w:sz w:val="20"/>
      <w:szCs w:val="20"/>
    </w:rPr>
  </w:style>
  <w:style w:type="character" w:customStyle="1" w:styleId="Pagrindinistekstas2">
    <w:name w:val="Pagrindinis tekstas2"/>
    <w:basedOn w:val="DefaultParagraphFont"/>
    <w:uiPriority w:val="99"/>
    <w:rsid w:val="003D4C15"/>
    <w:rPr>
      <w:rFonts w:ascii="Times New Roman" w:eastAsia="Times New Roman" w:hAnsi="Times New Roman" w:cs="Times New Roman"/>
      <w:b w:val="0"/>
      <w:bCs w:val="0"/>
      <w:i w:val="0"/>
      <w:iCs w:val="0"/>
      <w:smallCaps w:val="0"/>
      <w:strike w:val="0"/>
      <w:spacing w:val="3"/>
      <w:sz w:val="21"/>
      <w:szCs w:val="21"/>
      <w:u w:val="single"/>
    </w:rPr>
  </w:style>
  <w:style w:type="character" w:customStyle="1" w:styleId="HeaderChar1">
    <w:name w:val="Header Char1"/>
    <w:basedOn w:val="DefaultParagraphFont"/>
    <w:uiPriority w:val="99"/>
    <w:locked/>
    <w:rsid w:val="003D4C15"/>
    <w:rPr>
      <w:rFonts w:ascii="Calibri" w:eastAsia="Times New Roman" w:hAnsi="Calibri" w:cs="Calibri"/>
      <w:sz w:val="24"/>
      <w:szCs w:val="24"/>
      <w:lang w:val="en-GB" w:eastAsia="en-US"/>
    </w:rPr>
  </w:style>
  <w:style w:type="paragraph" w:customStyle="1" w:styleId="Betarp2">
    <w:name w:val="Be tarpų2"/>
    <w:rsid w:val="003D4C15"/>
    <w:pPr>
      <w:spacing w:after="0" w:line="240" w:lineRule="auto"/>
    </w:pPr>
    <w:rPr>
      <w:rFonts w:ascii="Times New Roman" w:eastAsia="Times New Roman" w:hAnsi="Times New Roman" w:cs="Times New Roman"/>
      <w:sz w:val="24"/>
      <w:szCs w:val="20"/>
    </w:rPr>
  </w:style>
  <w:style w:type="character" w:customStyle="1" w:styleId="NormalWebChar">
    <w:name w:val="Normal (Web) Char"/>
    <w:link w:val="NormalWeb"/>
    <w:uiPriority w:val="99"/>
    <w:rsid w:val="003D4C15"/>
    <w:rPr>
      <w:rFonts w:ascii="Times New Roman" w:eastAsia="Times New Roman" w:hAnsi="Times New Roman" w:cs="Times New Roman"/>
      <w:sz w:val="24"/>
      <w:szCs w:val="24"/>
      <w:lang w:val="en-US"/>
    </w:rPr>
  </w:style>
  <w:style w:type="character" w:customStyle="1" w:styleId="bold">
    <w:name w:val="bold"/>
    <w:uiPriority w:val="99"/>
    <w:rsid w:val="003D4C15"/>
  </w:style>
  <w:style w:type="paragraph" w:styleId="CommentSubject">
    <w:name w:val="annotation subject"/>
    <w:basedOn w:val="CommentText"/>
    <w:next w:val="CommentText"/>
    <w:link w:val="CommentSubjectChar"/>
    <w:uiPriority w:val="99"/>
    <w:semiHidden/>
    <w:unhideWhenUsed/>
    <w:rsid w:val="003D4C15"/>
    <w:pPr>
      <w:spacing w:after="0" w:line="240" w:lineRule="auto"/>
    </w:pPr>
    <w:rPr>
      <w:rFonts w:ascii="Times New Roman" w:eastAsia="Times New Roman" w:hAnsi="Times New Roman"/>
      <w:b/>
      <w:bCs/>
      <w:lang w:eastAsia="lt-LT"/>
    </w:rPr>
  </w:style>
  <w:style w:type="character" w:customStyle="1" w:styleId="CommentSubjectChar">
    <w:name w:val="Comment Subject Char"/>
    <w:basedOn w:val="CommentTextChar"/>
    <w:link w:val="CommentSubject"/>
    <w:uiPriority w:val="99"/>
    <w:semiHidden/>
    <w:rsid w:val="003D4C15"/>
    <w:rPr>
      <w:rFonts w:ascii="Times New Roman" w:eastAsia="Times New Roman" w:hAnsi="Times New Roman" w:cs="Times New Roman"/>
      <w:b/>
      <w:bCs/>
      <w:sz w:val="20"/>
      <w:szCs w:val="20"/>
      <w:lang w:eastAsia="lt-LT"/>
    </w:rPr>
  </w:style>
  <w:style w:type="paragraph" w:customStyle="1" w:styleId="taltipfb">
    <w:name w:val="taltipfb"/>
    <w:basedOn w:val="Normal"/>
    <w:rsid w:val="003D4C15"/>
    <w:pPr>
      <w:spacing w:before="100" w:beforeAutospacing="1" w:after="100" w:afterAutospacing="1"/>
    </w:pPr>
  </w:style>
  <w:style w:type="character" w:customStyle="1" w:styleId="FontStyle19">
    <w:name w:val="Font Style19"/>
    <w:basedOn w:val="DefaultParagraphFont"/>
    <w:rsid w:val="003D4C15"/>
    <w:rPr>
      <w:rFonts w:ascii="Times New Roman" w:hAnsi="Times New Roman" w:cs="Times New Roman"/>
      <w:sz w:val="20"/>
      <w:szCs w:val="20"/>
    </w:rPr>
  </w:style>
  <w:style w:type="character" w:customStyle="1" w:styleId="FontStyle20">
    <w:name w:val="Font Style20"/>
    <w:basedOn w:val="DefaultParagraphFont"/>
    <w:rsid w:val="003D4C15"/>
    <w:rPr>
      <w:rFonts w:ascii="Times New Roman" w:hAnsi="Times New Roman" w:cs="Times New Roman"/>
      <w:sz w:val="22"/>
      <w:szCs w:val="22"/>
    </w:rPr>
  </w:style>
  <w:style w:type="character" w:customStyle="1" w:styleId="sfbbfee58">
    <w:name w:val="sfbbfee58"/>
    <w:basedOn w:val="DefaultParagraphFont"/>
    <w:rsid w:val="003D4C15"/>
  </w:style>
  <w:style w:type="paragraph" w:customStyle="1" w:styleId="Style3">
    <w:name w:val="Style3"/>
    <w:basedOn w:val="Normal"/>
    <w:rsid w:val="003D4C15"/>
    <w:pPr>
      <w:widowControl w:val="0"/>
      <w:autoSpaceDE w:val="0"/>
      <w:autoSpaceDN w:val="0"/>
      <w:adjustRightInd w:val="0"/>
      <w:spacing w:line="274" w:lineRule="exact"/>
      <w:ind w:firstLine="442"/>
      <w:jc w:val="both"/>
    </w:pPr>
    <w:rPr>
      <w:rFonts w:ascii="Arial" w:hAnsi="Arial"/>
    </w:rPr>
  </w:style>
  <w:style w:type="character" w:customStyle="1" w:styleId="FontStyle15">
    <w:name w:val="Font Style15"/>
    <w:uiPriority w:val="99"/>
    <w:rsid w:val="007F3163"/>
    <w:rPr>
      <w:rFonts w:ascii="Times New Roman" w:hAnsi="Times New Roman" w:cs="Times New Roman"/>
      <w:b/>
      <w:bCs/>
      <w:sz w:val="20"/>
      <w:szCs w:val="20"/>
    </w:rPr>
  </w:style>
  <w:style w:type="paragraph" w:customStyle="1" w:styleId="tip">
    <w:name w:val="tip"/>
    <w:basedOn w:val="Normal"/>
    <w:rsid w:val="00F24296"/>
    <w:pPr>
      <w:spacing w:before="100" w:beforeAutospacing="1" w:after="100" w:afterAutospacing="1"/>
    </w:pPr>
  </w:style>
  <w:style w:type="character" w:customStyle="1" w:styleId="Neapdorotaspaminjimas1">
    <w:name w:val="Neapdorotas paminėjimas1"/>
    <w:basedOn w:val="DefaultParagraphFont"/>
    <w:uiPriority w:val="99"/>
    <w:semiHidden/>
    <w:unhideWhenUsed/>
    <w:rsid w:val="00AC73BF"/>
    <w:rPr>
      <w:color w:val="808080"/>
      <w:shd w:val="clear" w:color="auto" w:fill="E6E6E6"/>
    </w:rPr>
  </w:style>
  <w:style w:type="paragraph" w:customStyle="1" w:styleId="Style9">
    <w:name w:val="Style9"/>
    <w:basedOn w:val="Normal"/>
    <w:uiPriority w:val="99"/>
    <w:rsid w:val="00B64450"/>
    <w:pPr>
      <w:widowControl w:val="0"/>
      <w:autoSpaceDE w:val="0"/>
      <w:autoSpaceDN w:val="0"/>
      <w:adjustRightInd w:val="0"/>
      <w:spacing w:line="250" w:lineRule="exact"/>
      <w:ind w:hanging="346"/>
      <w:jc w:val="both"/>
    </w:pPr>
    <w:rPr>
      <w:rFonts w:eastAsiaTheme="minorEastAsia"/>
    </w:rPr>
  </w:style>
  <w:style w:type="paragraph" w:customStyle="1" w:styleId="Style22">
    <w:name w:val="Style22"/>
    <w:basedOn w:val="Normal"/>
    <w:rsid w:val="0045349D"/>
    <w:pPr>
      <w:widowControl w:val="0"/>
      <w:autoSpaceDE w:val="0"/>
      <w:autoSpaceDN w:val="0"/>
      <w:adjustRightInd w:val="0"/>
      <w:spacing w:line="274" w:lineRule="exact"/>
    </w:pPr>
    <w:rPr>
      <w:rFonts w:ascii="Arial" w:hAnsi="Arial" w:cs="Arial"/>
    </w:rPr>
  </w:style>
  <w:style w:type="character" w:customStyle="1" w:styleId="Neapdorotaspaminjimas2">
    <w:name w:val="Neapdorotas paminėjimas2"/>
    <w:basedOn w:val="DefaultParagraphFont"/>
    <w:uiPriority w:val="99"/>
    <w:semiHidden/>
    <w:unhideWhenUsed/>
    <w:rsid w:val="00715AA9"/>
    <w:rPr>
      <w:color w:val="808080"/>
      <w:shd w:val="clear" w:color="auto" w:fill="E6E6E6"/>
    </w:rPr>
  </w:style>
  <w:style w:type="character" w:customStyle="1" w:styleId="ListParagraphChar">
    <w:name w:val="List Paragraph Char"/>
    <w:link w:val="ListParagraph"/>
    <w:uiPriority w:val="34"/>
    <w:locked/>
    <w:rsid w:val="00B42228"/>
    <w:rPr>
      <w:rFonts w:ascii="Times New Roman" w:eastAsia="Calibri" w:hAnsi="Times New Roman" w:cs="Times New Roman"/>
      <w:sz w:val="24"/>
    </w:rPr>
  </w:style>
  <w:style w:type="character" w:customStyle="1" w:styleId="Bodytext2">
    <w:name w:val="Body text (2)"/>
    <w:basedOn w:val="DefaultParagraphFont"/>
    <w:uiPriority w:val="99"/>
    <w:rsid w:val="00B42228"/>
    <w:rPr>
      <w:rFonts w:ascii="Times New Roman" w:hAnsi="Times New Roman" w:cs="Times New Roman" w:hint="default"/>
      <w:shd w:val="clear" w:color="auto" w:fill="FFFFFF"/>
    </w:rPr>
  </w:style>
  <w:style w:type="character" w:customStyle="1" w:styleId="Bodytext2Bold">
    <w:name w:val="Body text (2) + Bold"/>
    <w:basedOn w:val="DefaultParagraphFont"/>
    <w:rsid w:val="00D61381"/>
    <w:rPr>
      <w:rFonts w:ascii="Times New Roman" w:eastAsia="Times New Roman" w:hAnsi="Times New Roman" w:cs="Times New Roman" w:hint="default"/>
      <w:b/>
      <w:bCs/>
      <w:color w:val="000000"/>
      <w:spacing w:val="0"/>
      <w:w w:val="100"/>
      <w:position w:val="0"/>
      <w:sz w:val="24"/>
      <w:szCs w:val="24"/>
      <w:shd w:val="clear" w:color="auto" w:fill="FFFFFF"/>
      <w:lang w:val="lt-LT" w:eastAsia="lt-LT" w:bidi="lt-LT"/>
    </w:rPr>
  </w:style>
  <w:style w:type="character" w:customStyle="1" w:styleId="Neapdorotaspaminjimas3">
    <w:name w:val="Neapdorotas paminėjimas3"/>
    <w:basedOn w:val="DefaultParagraphFont"/>
    <w:uiPriority w:val="99"/>
    <w:semiHidden/>
    <w:unhideWhenUsed/>
    <w:rsid w:val="00AD7FF1"/>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3D4C15"/>
    <w:pPr>
      <w:spacing w:after="0" w:line="240" w:lineRule="auto"/>
    </w:pPr>
    <w:rPr>
      <w:rFonts w:ascii="Times New Roman" w:eastAsia="Times New Roman" w:hAnsi="Times New Roman" w:cs="Times New Roman"/>
      <w:sz w:val="24"/>
      <w:szCs w:val="24"/>
      <w:lang w:eastAsia="lt-LT"/>
    </w:rPr>
  </w:style>
  <w:style w:type="paragraph" w:styleId="Heading1">
    <w:name w:val="heading 1"/>
    <w:basedOn w:val="Normal"/>
    <w:next w:val="Normal"/>
    <w:link w:val="Heading1Char2"/>
    <w:qFormat/>
    <w:rsid w:val="003D4C15"/>
    <w:pPr>
      <w:jc w:val="both"/>
      <w:outlineLvl w:val="0"/>
    </w:pPr>
    <w:rPr>
      <w:b/>
      <w:sz w:val="22"/>
      <w:szCs w:val="22"/>
      <w:u w:val="single"/>
    </w:rPr>
  </w:style>
  <w:style w:type="paragraph" w:styleId="Heading2">
    <w:name w:val="heading 2"/>
    <w:basedOn w:val="Normal"/>
    <w:next w:val="Normal"/>
    <w:link w:val="Heading2Char"/>
    <w:autoRedefine/>
    <w:uiPriority w:val="9"/>
    <w:unhideWhenUsed/>
    <w:qFormat/>
    <w:rsid w:val="00D3763B"/>
    <w:pPr>
      <w:shd w:val="clear" w:color="auto" w:fill="FFFFFF"/>
      <w:tabs>
        <w:tab w:val="left" w:pos="567"/>
      </w:tabs>
      <w:jc w:val="both"/>
      <w:outlineLvl w:val="1"/>
    </w:pPr>
    <w:rPr>
      <w:rFonts w:asciiTheme="minorHAnsi" w:hAnsiTheme="minorHAnsi" w:cstheme="minorHAnsi"/>
      <w:i/>
      <w:sz w:val="22"/>
      <w:szCs w:val="22"/>
    </w:rPr>
  </w:style>
  <w:style w:type="paragraph" w:styleId="Heading3">
    <w:name w:val="heading 3"/>
    <w:basedOn w:val="Normal"/>
    <w:next w:val="Normal"/>
    <w:link w:val="Heading3Char"/>
    <w:uiPriority w:val="9"/>
    <w:unhideWhenUsed/>
    <w:rsid w:val="003D4C15"/>
    <w:pPr>
      <w:jc w:val="both"/>
      <w:outlineLvl w:val="2"/>
    </w:pPr>
    <w:rPr>
      <w:i/>
      <w:sz w:val="22"/>
      <w:szCs w:val="22"/>
    </w:rPr>
  </w:style>
  <w:style w:type="paragraph" w:styleId="Heading4">
    <w:name w:val="heading 4"/>
    <w:basedOn w:val="Normal"/>
    <w:next w:val="Normal"/>
    <w:link w:val="Heading4Char"/>
    <w:uiPriority w:val="9"/>
    <w:unhideWhenUsed/>
    <w:rsid w:val="003D4C15"/>
    <w:pPr>
      <w:keepNext/>
      <w:ind w:firstLine="720"/>
      <w:jc w:val="both"/>
      <w:outlineLvl w:val="3"/>
    </w:pPr>
    <w:rPr>
      <w:b/>
      <w:bCs/>
      <w:sz w:val="22"/>
      <w:szCs w:val="28"/>
      <w:u w:val="single"/>
    </w:rPr>
  </w:style>
  <w:style w:type="paragraph" w:styleId="Heading5">
    <w:name w:val="heading 5"/>
    <w:basedOn w:val="Normal"/>
    <w:next w:val="Normal"/>
    <w:link w:val="Heading5Char"/>
    <w:uiPriority w:val="9"/>
    <w:unhideWhenUsed/>
    <w:rsid w:val="003D4C15"/>
    <w:pPr>
      <w:jc w:val="both"/>
      <w:outlineLvl w:val="4"/>
    </w:pPr>
    <w:rPr>
      <w:bCs/>
      <w:i/>
      <w:iCs/>
      <w:sz w:val="22"/>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2">
    <w:name w:val="Heading 1 Char2"/>
    <w:basedOn w:val="DefaultParagraphFont"/>
    <w:link w:val="Heading1"/>
    <w:rsid w:val="003D4C15"/>
    <w:rPr>
      <w:rFonts w:ascii="Times New Roman" w:eastAsia="Times New Roman" w:hAnsi="Times New Roman" w:cs="Times New Roman"/>
      <w:b/>
      <w:u w:val="single"/>
      <w:lang w:eastAsia="lt-LT"/>
    </w:rPr>
  </w:style>
  <w:style w:type="character" w:customStyle="1" w:styleId="Heading2Char">
    <w:name w:val="Heading 2 Char"/>
    <w:basedOn w:val="DefaultParagraphFont"/>
    <w:link w:val="Heading2"/>
    <w:uiPriority w:val="9"/>
    <w:rsid w:val="00D3763B"/>
    <w:rPr>
      <w:rFonts w:eastAsia="Times New Roman" w:cstheme="minorHAnsi"/>
      <w:i/>
      <w:shd w:val="clear" w:color="auto" w:fill="FFFFFF"/>
      <w:lang w:eastAsia="lt-LT"/>
    </w:rPr>
  </w:style>
  <w:style w:type="character" w:customStyle="1" w:styleId="Heading3Char">
    <w:name w:val="Heading 3 Char"/>
    <w:basedOn w:val="DefaultParagraphFont"/>
    <w:link w:val="Heading3"/>
    <w:uiPriority w:val="9"/>
    <w:rsid w:val="003D4C15"/>
    <w:rPr>
      <w:rFonts w:ascii="Times New Roman" w:eastAsia="Times New Roman" w:hAnsi="Times New Roman" w:cs="Times New Roman"/>
      <w:i/>
      <w:lang w:eastAsia="lt-LT"/>
    </w:rPr>
  </w:style>
  <w:style w:type="character" w:customStyle="1" w:styleId="Heading4Char">
    <w:name w:val="Heading 4 Char"/>
    <w:basedOn w:val="DefaultParagraphFont"/>
    <w:link w:val="Heading4"/>
    <w:uiPriority w:val="9"/>
    <w:rsid w:val="003D4C15"/>
    <w:rPr>
      <w:rFonts w:ascii="Times New Roman" w:eastAsia="Times New Roman" w:hAnsi="Times New Roman" w:cs="Times New Roman"/>
      <w:b/>
      <w:bCs/>
      <w:szCs w:val="28"/>
      <w:u w:val="single"/>
      <w:lang w:eastAsia="lt-LT"/>
    </w:rPr>
  </w:style>
  <w:style w:type="character" w:customStyle="1" w:styleId="Heading5Char">
    <w:name w:val="Heading 5 Char"/>
    <w:basedOn w:val="DefaultParagraphFont"/>
    <w:link w:val="Heading5"/>
    <w:uiPriority w:val="9"/>
    <w:rsid w:val="003D4C15"/>
    <w:rPr>
      <w:rFonts w:ascii="Times New Roman" w:eastAsia="Times New Roman" w:hAnsi="Times New Roman" w:cs="Times New Roman"/>
      <w:bCs/>
      <w:i/>
      <w:iCs/>
      <w:szCs w:val="26"/>
      <w:lang w:eastAsia="lt-LT"/>
    </w:rPr>
  </w:style>
  <w:style w:type="paragraph" w:styleId="Header">
    <w:name w:val="header"/>
    <w:basedOn w:val="Normal"/>
    <w:link w:val="HeaderChar"/>
    <w:uiPriority w:val="99"/>
    <w:rsid w:val="003D4C15"/>
    <w:pPr>
      <w:tabs>
        <w:tab w:val="center" w:pos="4153"/>
        <w:tab w:val="right" w:pos="8306"/>
      </w:tabs>
    </w:pPr>
    <w:rPr>
      <w:lang w:val="en-GB" w:eastAsia="en-US"/>
    </w:rPr>
  </w:style>
  <w:style w:type="character" w:customStyle="1" w:styleId="HeaderChar">
    <w:name w:val="Header Char"/>
    <w:basedOn w:val="DefaultParagraphFont"/>
    <w:link w:val="Header"/>
    <w:uiPriority w:val="99"/>
    <w:rsid w:val="003D4C15"/>
    <w:rPr>
      <w:rFonts w:ascii="Times New Roman" w:eastAsia="Times New Roman" w:hAnsi="Times New Roman" w:cs="Times New Roman"/>
      <w:sz w:val="24"/>
      <w:szCs w:val="24"/>
      <w:lang w:val="en-GB"/>
    </w:rPr>
  </w:style>
  <w:style w:type="paragraph" w:styleId="Footer">
    <w:name w:val="footer"/>
    <w:basedOn w:val="Normal"/>
    <w:link w:val="FooterChar"/>
    <w:rsid w:val="003D4C15"/>
    <w:pPr>
      <w:tabs>
        <w:tab w:val="center" w:pos="4153"/>
        <w:tab w:val="right" w:pos="8306"/>
      </w:tabs>
    </w:pPr>
  </w:style>
  <w:style w:type="character" w:customStyle="1" w:styleId="FooterChar">
    <w:name w:val="Footer Char"/>
    <w:basedOn w:val="DefaultParagraphFont"/>
    <w:link w:val="Footer"/>
    <w:rsid w:val="003D4C15"/>
    <w:rPr>
      <w:rFonts w:ascii="Times New Roman" w:eastAsia="Times New Roman" w:hAnsi="Times New Roman" w:cs="Times New Roman"/>
      <w:sz w:val="24"/>
      <w:szCs w:val="24"/>
      <w:lang w:eastAsia="lt-LT"/>
    </w:rPr>
  </w:style>
  <w:style w:type="character" w:styleId="PageNumber">
    <w:name w:val="page number"/>
    <w:basedOn w:val="DefaultParagraphFont"/>
    <w:rsid w:val="003D4C15"/>
  </w:style>
  <w:style w:type="paragraph" w:styleId="NormalWeb">
    <w:name w:val="Normal (Web)"/>
    <w:basedOn w:val="Normal"/>
    <w:link w:val="NormalWebChar"/>
    <w:uiPriority w:val="99"/>
    <w:rsid w:val="003D4C15"/>
    <w:pPr>
      <w:spacing w:before="100" w:beforeAutospacing="1" w:after="100" w:afterAutospacing="1"/>
    </w:pPr>
    <w:rPr>
      <w:lang w:val="en-US" w:eastAsia="en-US"/>
    </w:rPr>
  </w:style>
  <w:style w:type="paragraph" w:customStyle="1" w:styleId="Style12">
    <w:name w:val="Style12"/>
    <w:basedOn w:val="Normal"/>
    <w:rsid w:val="003D4C15"/>
    <w:pPr>
      <w:widowControl w:val="0"/>
      <w:autoSpaceDE w:val="0"/>
      <w:autoSpaceDN w:val="0"/>
      <w:adjustRightInd w:val="0"/>
      <w:spacing w:line="276" w:lineRule="exact"/>
      <w:ind w:firstLine="1622"/>
      <w:jc w:val="both"/>
    </w:pPr>
  </w:style>
  <w:style w:type="character" w:styleId="Hyperlink">
    <w:name w:val="Hyperlink"/>
    <w:basedOn w:val="DefaultParagraphFont"/>
    <w:uiPriority w:val="99"/>
    <w:rsid w:val="003D4C15"/>
    <w:rPr>
      <w:color w:val="0000FF"/>
      <w:u w:val="single"/>
    </w:rPr>
  </w:style>
  <w:style w:type="paragraph" w:styleId="BodyTextIndent2">
    <w:name w:val="Body Text Indent 2"/>
    <w:basedOn w:val="Normal"/>
    <w:link w:val="BodyTextIndent2Char"/>
    <w:rsid w:val="003D4C15"/>
    <w:pPr>
      <w:ind w:firstLine="540"/>
      <w:jc w:val="both"/>
    </w:pPr>
    <w:rPr>
      <w:bCs/>
      <w:lang w:eastAsia="en-US"/>
    </w:rPr>
  </w:style>
  <w:style w:type="character" w:customStyle="1" w:styleId="BodyTextIndent2Char">
    <w:name w:val="Body Text Indent 2 Char"/>
    <w:basedOn w:val="DefaultParagraphFont"/>
    <w:link w:val="BodyTextIndent2"/>
    <w:rsid w:val="003D4C15"/>
    <w:rPr>
      <w:rFonts w:ascii="Times New Roman" w:eastAsia="Times New Roman" w:hAnsi="Times New Roman" w:cs="Times New Roman"/>
      <w:bCs/>
      <w:sz w:val="24"/>
      <w:szCs w:val="24"/>
    </w:rPr>
  </w:style>
  <w:style w:type="paragraph" w:styleId="BodyText">
    <w:name w:val="Body Text"/>
    <w:basedOn w:val="Normal"/>
    <w:link w:val="BodyTextChar"/>
    <w:unhideWhenUsed/>
    <w:rsid w:val="003D4C15"/>
    <w:pPr>
      <w:spacing w:after="120"/>
    </w:pPr>
  </w:style>
  <w:style w:type="character" w:customStyle="1" w:styleId="BodyTextChar">
    <w:name w:val="Body Text Char"/>
    <w:basedOn w:val="DefaultParagraphFont"/>
    <w:link w:val="BodyText"/>
    <w:rsid w:val="003D4C15"/>
    <w:rPr>
      <w:rFonts w:ascii="Times New Roman" w:eastAsia="Times New Roman" w:hAnsi="Times New Roman" w:cs="Times New Roman"/>
      <w:sz w:val="24"/>
      <w:szCs w:val="24"/>
      <w:lang w:eastAsia="lt-LT"/>
    </w:rPr>
  </w:style>
  <w:style w:type="paragraph" w:styleId="HTMLPreformatted">
    <w:name w:val="HTML Preformatted"/>
    <w:basedOn w:val="Normal"/>
    <w:link w:val="HTMLPreformattedChar"/>
    <w:uiPriority w:val="99"/>
    <w:rsid w:val="003D4C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sz w:val="20"/>
      <w:szCs w:val="20"/>
      <w:lang w:val="en-GB" w:eastAsia="en-US"/>
    </w:rPr>
  </w:style>
  <w:style w:type="character" w:customStyle="1" w:styleId="HTMLPreformattedChar">
    <w:name w:val="HTML Preformatted Char"/>
    <w:basedOn w:val="DefaultParagraphFont"/>
    <w:link w:val="HTMLPreformatted"/>
    <w:uiPriority w:val="99"/>
    <w:rsid w:val="003D4C15"/>
    <w:rPr>
      <w:rFonts w:ascii="Arial Unicode MS" w:eastAsia="Arial Unicode MS" w:hAnsi="Arial Unicode MS" w:cs="Times New Roman"/>
      <w:sz w:val="20"/>
      <w:szCs w:val="20"/>
      <w:lang w:val="en-GB"/>
    </w:rPr>
  </w:style>
  <w:style w:type="character" w:customStyle="1" w:styleId="FontStyle27">
    <w:name w:val="Font Style27"/>
    <w:basedOn w:val="DefaultParagraphFont"/>
    <w:rsid w:val="003D4C15"/>
    <w:rPr>
      <w:rFonts w:ascii="Times New Roman" w:hAnsi="Times New Roman" w:cs="Times New Roman"/>
      <w:sz w:val="20"/>
      <w:szCs w:val="20"/>
    </w:rPr>
  </w:style>
  <w:style w:type="character" w:customStyle="1" w:styleId="FontStyle31">
    <w:name w:val="Font Style31"/>
    <w:basedOn w:val="DefaultParagraphFont"/>
    <w:rsid w:val="003D4C15"/>
    <w:rPr>
      <w:rFonts w:ascii="Times New Roman" w:hAnsi="Times New Roman" w:cs="Times New Roman"/>
      <w:sz w:val="22"/>
      <w:szCs w:val="22"/>
    </w:rPr>
  </w:style>
  <w:style w:type="character" w:customStyle="1" w:styleId="FontStyle21">
    <w:name w:val="Font Style21"/>
    <w:basedOn w:val="DefaultParagraphFont"/>
    <w:uiPriority w:val="99"/>
    <w:rsid w:val="003D4C15"/>
    <w:rPr>
      <w:rFonts w:ascii="Times New Roman" w:hAnsi="Times New Roman" w:cs="Times New Roman"/>
      <w:sz w:val="20"/>
      <w:szCs w:val="20"/>
    </w:rPr>
  </w:style>
  <w:style w:type="paragraph" w:styleId="DocumentMap">
    <w:name w:val="Document Map"/>
    <w:basedOn w:val="Normal"/>
    <w:link w:val="DocumentMapChar"/>
    <w:uiPriority w:val="99"/>
    <w:semiHidden/>
    <w:unhideWhenUsed/>
    <w:rsid w:val="003D4C15"/>
    <w:rPr>
      <w:rFonts w:ascii="Tahoma" w:hAnsi="Tahoma" w:cs="Tahoma"/>
      <w:sz w:val="16"/>
      <w:szCs w:val="16"/>
    </w:rPr>
  </w:style>
  <w:style w:type="character" w:customStyle="1" w:styleId="DocumentMapChar">
    <w:name w:val="Document Map Char"/>
    <w:basedOn w:val="DefaultParagraphFont"/>
    <w:link w:val="DocumentMap"/>
    <w:uiPriority w:val="99"/>
    <w:semiHidden/>
    <w:rsid w:val="003D4C15"/>
    <w:rPr>
      <w:rFonts w:ascii="Tahoma" w:eastAsia="Times New Roman" w:hAnsi="Tahoma" w:cs="Tahoma"/>
      <w:sz w:val="16"/>
      <w:szCs w:val="16"/>
      <w:lang w:eastAsia="lt-LT"/>
    </w:rPr>
  </w:style>
  <w:style w:type="character" w:customStyle="1" w:styleId="FontStyle32">
    <w:name w:val="Font Style32"/>
    <w:basedOn w:val="DefaultParagraphFont"/>
    <w:rsid w:val="003D4C15"/>
    <w:rPr>
      <w:rFonts w:ascii="Times New Roman" w:hAnsi="Times New Roman" w:cs="Times New Roman"/>
      <w:sz w:val="20"/>
      <w:szCs w:val="20"/>
    </w:rPr>
  </w:style>
  <w:style w:type="paragraph" w:styleId="BodyTextIndent">
    <w:name w:val="Body Text Indent"/>
    <w:basedOn w:val="Normal"/>
    <w:link w:val="BodyTextIndentChar"/>
    <w:uiPriority w:val="99"/>
    <w:unhideWhenUsed/>
    <w:rsid w:val="003D4C15"/>
    <w:pPr>
      <w:spacing w:after="120"/>
      <w:ind w:left="283"/>
    </w:pPr>
  </w:style>
  <w:style w:type="character" w:customStyle="1" w:styleId="BodyTextIndentChar">
    <w:name w:val="Body Text Indent Char"/>
    <w:basedOn w:val="DefaultParagraphFont"/>
    <w:link w:val="BodyTextIndent"/>
    <w:uiPriority w:val="99"/>
    <w:rsid w:val="003D4C15"/>
    <w:rPr>
      <w:rFonts w:ascii="Times New Roman" w:eastAsia="Times New Roman" w:hAnsi="Times New Roman" w:cs="Times New Roman"/>
      <w:sz w:val="24"/>
      <w:szCs w:val="24"/>
      <w:lang w:eastAsia="lt-LT"/>
    </w:rPr>
  </w:style>
  <w:style w:type="paragraph" w:styleId="FootnoteText">
    <w:name w:val="footnote text"/>
    <w:basedOn w:val="Normal"/>
    <w:link w:val="FootnoteTextChar"/>
    <w:semiHidden/>
    <w:rsid w:val="003D4C15"/>
    <w:rPr>
      <w:sz w:val="20"/>
      <w:szCs w:val="20"/>
    </w:rPr>
  </w:style>
  <w:style w:type="character" w:customStyle="1" w:styleId="FootnoteTextChar">
    <w:name w:val="Footnote Text Char"/>
    <w:basedOn w:val="DefaultParagraphFont"/>
    <w:link w:val="FootnoteText"/>
    <w:semiHidden/>
    <w:rsid w:val="003D4C15"/>
    <w:rPr>
      <w:rFonts w:ascii="Times New Roman" w:eastAsia="Times New Roman" w:hAnsi="Times New Roman" w:cs="Times New Roman"/>
      <w:sz w:val="20"/>
      <w:szCs w:val="20"/>
      <w:lang w:eastAsia="lt-LT"/>
    </w:rPr>
  </w:style>
  <w:style w:type="character" w:styleId="FootnoteReference">
    <w:name w:val="footnote reference"/>
    <w:basedOn w:val="DefaultParagraphFont"/>
    <w:semiHidden/>
    <w:rsid w:val="003D4C15"/>
    <w:rPr>
      <w:vertAlign w:val="superscript"/>
    </w:rPr>
  </w:style>
  <w:style w:type="paragraph" w:styleId="TOC1">
    <w:name w:val="toc 1"/>
    <w:basedOn w:val="Normal"/>
    <w:next w:val="Normal"/>
    <w:autoRedefine/>
    <w:uiPriority w:val="39"/>
    <w:unhideWhenUsed/>
    <w:qFormat/>
    <w:rsid w:val="003D4C15"/>
    <w:pPr>
      <w:tabs>
        <w:tab w:val="right" w:leader="dot" w:pos="9639"/>
      </w:tabs>
      <w:spacing w:before="120" w:after="120"/>
      <w:jc w:val="both"/>
    </w:pPr>
    <w:rPr>
      <w:rFonts w:asciiTheme="minorHAnsi" w:hAnsiTheme="minorHAnsi"/>
      <w:b/>
      <w:bCs/>
      <w:caps/>
      <w:sz w:val="22"/>
      <w:szCs w:val="20"/>
    </w:rPr>
  </w:style>
  <w:style w:type="paragraph" w:styleId="TOC2">
    <w:name w:val="toc 2"/>
    <w:basedOn w:val="Normal"/>
    <w:next w:val="Normal"/>
    <w:autoRedefine/>
    <w:uiPriority w:val="39"/>
    <w:unhideWhenUsed/>
    <w:qFormat/>
    <w:rsid w:val="003D4C15"/>
    <w:pPr>
      <w:tabs>
        <w:tab w:val="right" w:leader="dot" w:pos="9639"/>
      </w:tabs>
      <w:ind w:left="240"/>
      <w:jc w:val="both"/>
    </w:pPr>
    <w:rPr>
      <w:rFonts w:asciiTheme="minorHAnsi" w:hAnsiTheme="minorHAnsi"/>
      <w:i/>
      <w:sz w:val="22"/>
      <w:szCs w:val="20"/>
    </w:rPr>
  </w:style>
  <w:style w:type="paragraph" w:styleId="TOC3">
    <w:name w:val="toc 3"/>
    <w:basedOn w:val="Normal"/>
    <w:next w:val="Normal"/>
    <w:autoRedefine/>
    <w:uiPriority w:val="39"/>
    <w:unhideWhenUsed/>
    <w:qFormat/>
    <w:rsid w:val="003D4C15"/>
    <w:pPr>
      <w:tabs>
        <w:tab w:val="right" w:leader="dot" w:pos="9628"/>
      </w:tabs>
      <w:ind w:left="480"/>
      <w:jc w:val="both"/>
    </w:pPr>
    <w:rPr>
      <w:rFonts w:asciiTheme="minorHAnsi" w:hAnsiTheme="minorHAnsi"/>
      <w:i/>
      <w:iCs/>
      <w:sz w:val="22"/>
      <w:szCs w:val="20"/>
    </w:rPr>
  </w:style>
  <w:style w:type="paragraph" w:styleId="TOC4">
    <w:name w:val="toc 4"/>
    <w:basedOn w:val="Normal"/>
    <w:next w:val="Normal"/>
    <w:autoRedefine/>
    <w:uiPriority w:val="39"/>
    <w:unhideWhenUsed/>
    <w:rsid w:val="003D4C15"/>
    <w:pPr>
      <w:ind w:left="720"/>
    </w:pPr>
    <w:rPr>
      <w:rFonts w:ascii="Calibri" w:hAnsi="Calibri"/>
      <w:sz w:val="18"/>
      <w:szCs w:val="18"/>
    </w:rPr>
  </w:style>
  <w:style w:type="paragraph" w:styleId="NoSpacing">
    <w:name w:val="No Spacing"/>
    <w:link w:val="NoSpacingChar"/>
    <w:uiPriority w:val="1"/>
    <w:qFormat/>
    <w:rsid w:val="003D4C15"/>
    <w:pPr>
      <w:spacing w:after="0" w:line="240" w:lineRule="auto"/>
    </w:pPr>
    <w:rPr>
      <w:rFonts w:ascii="Calibri" w:eastAsia="Times New Roman" w:hAnsi="Calibri" w:cs="Times New Roman"/>
    </w:rPr>
  </w:style>
  <w:style w:type="character" w:customStyle="1" w:styleId="NoSpacingChar">
    <w:name w:val="No Spacing Char"/>
    <w:basedOn w:val="DefaultParagraphFont"/>
    <w:link w:val="NoSpacing"/>
    <w:uiPriority w:val="1"/>
    <w:rsid w:val="003D4C15"/>
    <w:rPr>
      <w:rFonts w:ascii="Calibri" w:eastAsia="Times New Roman" w:hAnsi="Calibri" w:cs="Times New Roman"/>
    </w:rPr>
  </w:style>
  <w:style w:type="paragraph" w:styleId="BalloonText">
    <w:name w:val="Balloon Text"/>
    <w:basedOn w:val="Normal"/>
    <w:link w:val="BalloonTextChar"/>
    <w:uiPriority w:val="99"/>
    <w:semiHidden/>
    <w:unhideWhenUsed/>
    <w:rsid w:val="003D4C15"/>
    <w:rPr>
      <w:rFonts w:ascii="Tahoma" w:hAnsi="Tahoma" w:cs="Tahoma"/>
      <w:sz w:val="16"/>
      <w:szCs w:val="16"/>
    </w:rPr>
  </w:style>
  <w:style w:type="character" w:customStyle="1" w:styleId="BalloonTextChar">
    <w:name w:val="Balloon Text Char"/>
    <w:basedOn w:val="DefaultParagraphFont"/>
    <w:link w:val="BalloonText"/>
    <w:uiPriority w:val="99"/>
    <w:semiHidden/>
    <w:rsid w:val="003D4C15"/>
    <w:rPr>
      <w:rFonts w:ascii="Tahoma" w:eastAsia="Times New Roman" w:hAnsi="Tahoma" w:cs="Tahoma"/>
      <w:sz w:val="16"/>
      <w:szCs w:val="16"/>
      <w:lang w:eastAsia="lt-LT"/>
    </w:rPr>
  </w:style>
  <w:style w:type="character" w:styleId="FollowedHyperlink">
    <w:name w:val="FollowedHyperlink"/>
    <w:basedOn w:val="DefaultParagraphFont"/>
    <w:uiPriority w:val="99"/>
    <w:semiHidden/>
    <w:unhideWhenUsed/>
    <w:rsid w:val="003D4C15"/>
    <w:rPr>
      <w:color w:val="800080"/>
      <w:u w:val="single"/>
    </w:rPr>
  </w:style>
  <w:style w:type="paragraph" w:styleId="TOC5">
    <w:name w:val="toc 5"/>
    <w:basedOn w:val="Normal"/>
    <w:next w:val="Normal"/>
    <w:autoRedefine/>
    <w:uiPriority w:val="39"/>
    <w:unhideWhenUsed/>
    <w:rsid w:val="003D4C15"/>
    <w:pPr>
      <w:ind w:left="960"/>
    </w:pPr>
    <w:rPr>
      <w:rFonts w:ascii="Calibri" w:hAnsi="Calibri"/>
      <w:sz w:val="18"/>
      <w:szCs w:val="18"/>
    </w:rPr>
  </w:style>
  <w:style w:type="character" w:styleId="Emphasis">
    <w:name w:val="Emphasis"/>
    <w:basedOn w:val="DefaultParagraphFont"/>
    <w:qFormat/>
    <w:rsid w:val="003D4C15"/>
    <w:rPr>
      <w:rFonts w:ascii="Times New Roman" w:hAnsi="Times New Roman"/>
      <w:i/>
      <w:iCs/>
      <w:sz w:val="22"/>
    </w:rPr>
  </w:style>
  <w:style w:type="character" w:customStyle="1" w:styleId="Pagrindinistekstas11">
    <w:name w:val="Pagrindinis tekstas (11)_"/>
    <w:basedOn w:val="DefaultParagraphFont"/>
    <w:link w:val="Pagrindinistekstas110"/>
    <w:rsid w:val="003D4C15"/>
    <w:rPr>
      <w:sz w:val="23"/>
      <w:szCs w:val="23"/>
      <w:shd w:val="clear" w:color="auto" w:fill="FFFFFF"/>
    </w:rPr>
  </w:style>
  <w:style w:type="paragraph" w:customStyle="1" w:styleId="Pagrindinistekstas110">
    <w:name w:val="Pagrindinis tekstas (11)"/>
    <w:basedOn w:val="Normal"/>
    <w:link w:val="Pagrindinistekstas11"/>
    <w:rsid w:val="003D4C15"/>
    <w:pPr>
      <w:shd w:val="clear" w:color="auto" w:fill="FFFFFF"/>
      <w:spacing w:line="274" w:lineRule="exact"/>
      <w:jc w:val="both"/>
    </w:pPr>
    <w:rPr>
      <w:rFonts w:asciiTheme="minorHAnsi" w:eastAsiaTheme="minorHAnsi" w:hAnsiTheme="minorHAnsi" w:cstheme="minorBidi"/>
      <w:sz w:val="23"/>
      <w:szCs w:val="23"/>
      <w:shd w:val="clear" w:color="auto" w:fill="FFFFFF"/>
      <w:lang w:eastAsia="en-US"/>
    </w:rPr>
  </w:style>
  <w:style w:type="paragraph" w:styleId="CommentText">
    <w:name w:val="annotation text"/>
    <w:basedOn w:val="Normal"/>
    <w:link w:val="CommentTextChar"/>
    <w:uiPriority w:val="99"/>
    <w:unhideWhenUsed/>
    <w:rsid w:val="003D4C15"/>
    <w:pPr>
      <w:spacing w:after="200" w:line="276" w:lineRule="auto"/>
    </w:pPr>
    <w:rPr>
      <w:rFonts w:ascii="Calibri" w:eastAsia="Calibri" w:hAnsi="Calibri"/>
      <w:sz w:val="20"/>
      <w:szCs w:val="20"/>
      <w:lang w:eastAsia="en-US"/>
    </w:rPr>
  </w:style>
  <w:style w:type="character" w:customStyle="1" w:styleId="CommentTextChar">
    <w:name w:val="Comment Text Char"/>
    <w:basedOn w:val="DefaultParagraphFont"/>
    <w:link w:val="CommentText"/>
    <w:uiPriority w:val="99"/>
    <w:rsid w:val="003D4C15"/>
    <w:rPr>
      <w:rFonts w:ascii="Calibri" w:eastAsia="Calibri" w:hAnsi="Calibri" w:cs="Times New Roman"/>
      <w:sz w:val="20"/>
      <w:szCs w:val="20"/>
    </w:rPr>
  </w:style>
  <w:style w:type="paragraph" w:styleId="BodyTextIndent3">
    <w:name w:val="Body Text Indent 3"/>
    <w:basedOn w:val="Normal"/>
    <w:link w:val="BodyTextIndent3Char"/>
    <w:unhideWhenUsed/>
    <w:rsid w:val="003D4C15"/>
    <w:pPr>
      <w:spacing w:after="120"/>
      <w:ind w:left="283"/>
    </w:pPr>
    <w:rPr>
      <w:sz w:val="16"/>
      <w:szCs w:val="16"/>
    </w:rPr>
  </w:style>
  <w:style w:type="character" w:customStyle="1" w:styleId="BodyTextIndent3Char">
    <w:name w:val="Body Text Indent 3 Char"/>
    <w:basedOn w:val="DefaultParagraphFont"/>
    <w:link w:val="BodyTextIndent3"/>
    <w:rsid w:val="003D4C15"/>
    <w:rPr>
      <w:rFonts w:ascii="Times New Roman" w:eastAsia="Times New Roman" w:hAnsi="Times New Roman" w:cs="Times New Roman"/>
      <w:sz w:val="16"/>
      <w:szCs w:val="16"/>
      <w:lang w:eastAsia="lt-LT"/>
    </w:rPr>
  </w:style>
  <w:style w:type="character" w:customStyle="1" w:styleId="Pagrindinistekstas5">
    <w:name w:val="Pagrindinis tekstas5"/>
    <w:rsid w:val="003D4C15"/>
    <w:rPr>
      <w:rFonts w:ascii="Times New Roman" w:hAnsi="Times New Roman" w:cs="Times New Roman"/>
      <w:sz w:val="23"/>
      <w:szCs w:val="23"/>
      <w:u w:val="single"/>
      <w:shd w:val="clear" w:color="auto" w:fill="FFFFFF"/>
    </w:rPr>
  </w:style>
  <w:style w:type="paragraph" w:styleId="TOCHeading">
    <w:name w:val="TOC Heading"/>
    <w:basedOn w:val="Heading1"/>
    <w:next w:val="Normal"/>
    <w:uiPriority w:val="39"/>
    <w:semiHidden/>
    <w:unhideWhenUsed/>
    <w:qFormat/>
    <w:rsid w:val="003D4C15"/>
    <w:pPr>
      <w:keepLines/>
      <w:spacing w:before="480" w:line="276" w:lineRule="auto"/>
      <w:jc w:val="left"/>
      <w:outlineLvl w:val="9"/>
    </w:pPr>
    <w:rPr>
      <w:rFonts w:ascii="Cambria" w:hAnsi="Cambria"/>
      <w:color w:val="365F91"/>
      <w:sz w:val="28"/>
      <w:szCs w:val="28"/>
    </w:rPr>
  </w:style>
  <w:style w:type="character" w:customStyle="1" w:styleId="Pagrindinistekstas3">
    <w:name w:val="Pagrindinis tekstas3"/>
    <w:basedOn w:val="DefaultParagraphFont"/>
    <w:uiPriority w:val="99"/>
    <w:rsid w:val="003D4C15"/>
    <w:rPr>
      <w:rFonts w:ascii="Times New Roman" w:hAnsi="Times New Roman" w:cs="Times New Roman"/>
      <w:spacing w:val="0"/>
      <w:sz w:val="22"/>
      <w:szCs w:val="22"/>
      <w:u w:val="single"/>
    </w:rPr>
  </w:style>
  <w:style w:type="character" w:customStyle="1" w:styleId="statymonr">
    <w:name w:val="statymonr"/>
    <w:basedOn w:val="DefaultParagraphFont"/>
    <w:uiPriority w:val="99"/>
    <w:rsid w:val="003D4C15"/>
  </w:style>
  <w:style w:type="character" w:customStyle="1" w:styleId="typewriter">
    <w:name w:val="typewriter"/>
    <w:basedOn w:val="DefaultParagraphFont"/>
    <w:rsid w:val="003D4C15"/>
    <w:rPr>
      <w:rFonts w:ascii="Courier New" w:hAnsi="Courier New" w:cs="Courier New" w:hint="default"/>
    </w:rPr>
  </w:style>
  <w:style w:type="character" w:customStyle="1" w:styleId="Typewriter0">
    <w:name w:val="Typewriter"/>
    <w:rsid w:val="003D4C15"/>
    <w:rPr>
      <w:rFonts w:ascii="Courier New" w:hAnsi="Courier New" w:cs="Courier New"/>
      <w:sz w:val="20"/>
      <w:szCs w:val="20"/>
    </w:rPr>
  </w:style>
  <w:style w:type="character" w:customStyle="1" w:styleId="Heading1Char1">
    <w:name w:val="Heading 1 Char1"/>
    <w:rsid w:val="003D4C15"/>
    <w:rPr>
      <w:sz w:val="28"/>
      <w:lang w:eastAsia="en-US"/>
    </w:rPr>
  </w:style>
  <w:style w:type="paragraph" w:styleId="ListParagraph">
    <w:name w:val="List Paragraph"/>
    <w:basedOn w:val="Normal"/>
    <w:link w:val="ListParagraphChar"/>
    <w:uiPriority w:val="34"/>
    <w:qFormat/>
    <w:rsid w:val="003D4C15"/>
    <w:pPr>
      <w:spacing w:after="200" w:line="276" w:lineRule="auto"/>
      <w:ind w:left="720"/>
      <w:contextualSpacing/>
    </w:pPr>
    <w:rPr>
      <w:rFonts w:eastAsia="Calibri"/>
      <w:szCs w:val="22"/>
      <w:lang w:eastAsia="en-US"/>
    </w:rPr>
  </w:style>
  <w:style w:type="character" w:customStyle="1" w:styleId="apple-converted-space">
    <w:name w:val="apple-converted-space"/>
    <w:basedOn w:val="DefaultParagraphFont"/>
    <w:rsid w:val="003D4C15"/>
  </w:style>
  <w:style w:type="character" w:customStyle="1" w:styleId="FontStyle61">
    <w:name w:val="Font Style61"/>
    <w:basedOn w:val="DefaultParagraphFont"/>
    <w:uiPriority w:val="99"/>
    <w:rsid w:val="003D4C15"/>
    <w:rPr>
      <w:rFonts w:ascii="Times New Roman" w:hAnsi="Times New Roman" w:cs="Times New Roman"/>
      <w:sz w:val="22"/>
      <w:szCs w:val="22"/>
    </w:rPr>
  </w:style>
  <w:style w:type="character" w:customStyle="1" w:styleId="FontStyle25">
    <w:name w:val="Font Style25"/>
    <w:rsid w:val="003D4C15"/>
    <w:rPr>
      <w:rFonts w:ascii="Times New Roman" w:hAnsi="Times New Roman" w:cs="Times New Roman"/>
      <w:sz w:val="22"/>
      <w:szCs w:val="22"/>
    </w:rPr>
  </w:style>
  <w:style w:type="character" w:customStyle="1" w:styleId="FontStyle58">
    <w:name w:val="Font Style58"/>
    <w:basedOn w:val="DefaultParagraphFont"/>
    <w:rsid w:val="003D4C15"/>
    <w:rPr>
      <w:rFonts w:ascii="Microsoft Sans Serif" w:hAnsi="Microsoft Sans Serif" w:cs="Microsoft Sans Serif" w:hint="default"/>
      <w:sz w:val="20"/>
      <w:szCs w:val="20"/>
    </w:rPr>
  </w:style>
  <w:style w:type="character" w:customStyle="1" w:styleId="FontStyle47">
    <w:name w:val="Font Style47"/>
    <w:basedOn w:val="DefaultParagraphFont"/>
    <w:uiPriority w:val="99"/>
    <w:rsid w:val="003D4C15"/>
    <w:rPr>
      <w:rFonts w:ascii="Times New Roman" w:hAnsi="Times New Roman" w:cs="Times New Roman"/>
      <w:sz w:val="22"/>
      <w:szCs w:val="22"/>
    </w:rPr>
  </w:style>
  <w:style w:type="character" w:customStyle="1" w:styleId="FontStyle26">
    <w:name w:val="Font Style26"/>
    <w:basedOn w:val="DefaultParagraphFont"/>
    <w:rsid w:val="003D4C15"/>
    <w:rPr>
      <w:rFonts w:ascii="Times New Roman" w:hAnsi="Times New Roman" w:cs="Times New Roman"/>
      <w:i/>
      <w:iCs/>
      <w:sz w:val="22"/>
      <w:szCs w:val="22"/>
    </w:rPr>
  </w:style>
  <w:style w:type="character" w:customStyle="1" w:styleId="FontStyle22">
    <w:name w:val="Font Style22"/>
    <w:basedOn w:val="DefaultParagraphFont"/>
    <w:uiPriority w:val="99"/>
    <w:rsid w:val="003D4C15"/>
    <w:rPr>
      <w:rFonts w:ascii="Times New Roman" w:hAnsi="Times New Roman" w:cs="Times New Roman"/>
      <w:i/>
      <w:iCs/>
      <w:sz w:val="20"/>
      <w:szCs w:val="20"/>
    </w:rPr>
  </w:style>
  <w:style w:type="character" w:customStyle="1" w:styleId="FontStyle23">
    <w:name w:val="Font Style23"/>
    <w:basedOn w:val="DefaultParagraphFont"/>
    <w:uiPriority w:val="99"/>
    <w:rsid w:val="003D4C15"/>
    <w:rPr>
      <w:rFonts w:ascii="Times New Roman" w:hAnsi="Times New Roman" w:cs="Times New Roman"/>
      <w:b/>
      <w:bCs/>
      <w:sz w:val="22"/>
      <w:szCs w:val="22"/>
    </w:rPr>
  </w:style>
  <w:style w:type="paragraph" w:customStyle="1" w:styleId="tajtip">
    <w:name w:val="tajtip"/>
    <w:basedOn w:val="Normal"/>
    <w:rsid w:val="003D4C15"/>
    <w:pPr>
      <w:spacing w:before="100" w:beforeAutospacing="1" w:after="100" w:afterAutospacing="1"/>
    </w:pPr>
  </w:style>
  <w:style w:type="character" w:styleId="Strong">
    <w:name w:val="Strong"/>
    <w:uiPriority w:val="22"/>
    <w:qFormat/>
    <w:rsid w:val="003D4C15"/>
    <w:rPr>
      <w:b/>
      <w:bCs/>
    </w:rPr>
  </w:style>
  <w:style w:type="character" w:customStyle="1" w:styleId="dnr">
    <w:name w:val="dnr"/>
    <w:basedOn w:val="DefaultParagraphFont"/>
    <w:rsid w:val="003D4C15"/>
  </w:style>
  <w:style w:type="character" w:customStyle="1" w:styleId="apple-style-span">
    <w:name w:val="apple-style-span"/>
    <w:basedOn w:val="DefaultParagraphFont"/>
    <w:rsid w:val="003D4C15"/>
  </w:style>
  <w:style w:type="paragraph" w:customStyle="1" w:styleId="bodytext0">
    <w:name w:val="bodytext"/>
    <w:basedOn w:val="Normal"/>
    <w:uiPriority w:val="99"/>
    <w:rsid w:val="003D4C15"/>
    <w:pPr>
      <w:spacing w:before="100" w:beforeAutospacing="1" w:after="100" w:afterAutospacing="1"/>
    </w:pPr>
  </w:style>
  <w:style w:type="character" w:customStyle="1" w:styleId="quatationtext">
    <w:name w:val="quatation_text"/>
    <w:basedOn w:val="DefaultParagraphFont"/>
    <w:rsid w:val="003D4C15"/>
    <w:rPr>
      <w:rFonts w:ascii="Arial" w:hAnsi="Arial" w:cs="Arial" w:hint="default"/>
      <w:b/>
      <w:bCs/>
      <w:vanish w:val="0"/>
      <w:webHidden w:val="0"/>
      <w:color w:val="4A473C"/>
      <w:sz w:val="11"/>
      <w:szCs w:val="11"/>
      <w:specVanish w:val="0"/>
    </w:rPr>
  </w:style>
  <w:style w:type="character" w:customStyle="1" w:styleId="FontStyle13">
    <w:name w:val="Font Style13"/>
    <w:basedOn w:val="DefaultParagraphFont"/>
    <w:rsid w:val="003D4C15"/>
    <w:rPr>
      <w:rFonts w:ascii="Times New Roman" w:hAnsi="Times New Roman" w:cs="Times New Roman"/>
      <w:sz w:val="20"/>
      <w:szCs w:val="20"/>
    </w:rPr>
  </w:style>
  <w:style w:type="character" w:customStyle="1" w:styleId="FontStyle11">
    <w:name w:val="Font Style11"/>
    <w:basedOn w:val="DefaultParagraphFont"/>
    <w:rsid w:val="003D4C15"/>
    <w:rPr>
      <w:rFonts w:ascii="Times New Roman" w:hAnsi="Times New Roman" w:cs="Times New Roman"/>
      <w:sz w:val="22"/>
      <w:szCs w:val="22"/>
    </w:rPr>
  </w:style>
  <w:style w:type="paragraph" w:customStyle="1" w:styleId="ListParagraph1">
    <w:name w:val="List Paragraph1"/>
    <w:basedOn w:val="Normal"/>
    <w:rsid w:val="003D4C15"/>
    <w:pPr>
      <w:spacing w:after="200" w:line="276" w:lineRule="auto"/>
      <w:ind w:left="720"/>
      <w:contextualSpacing/>
    </w:pPr>
    <w:rPr>
      <w:rFonts w:eastAsia="Calibri"/>
      <w:szCs w:val="22"/>
      <w:lang w:eastAsia="en-US"/>
    </w:rPr>
  </w:style>
  <w:style w:type="character" w:customStyle="1" w:styleId="FontStyle46">
    <w:name w:val="Font Style46"/>
    <w:basedOn w:val="DefaultParagraphFont"/>
    <w:rsid w:val="003D4C15"/>
    <w:rPr>
      <w:rFonts w:ascii="Times New Roman" w:hAnsi="Times New Roman" w:cs="Times New Roman"/>
      <w:b/>
      <w:bCs/>
      <w:sz w:val="20"/>
      <w:szCs w:val="20"/>
    </w:rPr>
  </w:style>
  <w:style w:type="character" w:customStyle="1" w:styleId="CharChar10">
    <w:name w:val="Char Char10"/>
    <w:basedOn w:val="DefaultParagraphFont"/>
    <w:rsid w:val="003D4C15"/>
    <w:rPr>
      <w:sz w:val="28"/>
      <w:lang w:eastAsia="en-US"/>
    </w:rPr>
  </w:style>
  <w:style w:type="character" w:customStyle="1" w:styleId="FontStyle12">
    <w:name w:val="Font Style12"/>
    <w:basedOn w:val="DefaultParagraphFont"/>
    <w:rsid w:val="003D4C15"/>
    <w:rPr>
      <w:rFonts w:ascii="Times New Roman" w:hAnsi="Times New Roman" w:cs="Times New Roman"/>
      <w:i/>
      <w:iCs/>
      <w:sz w:val="22"/>
      <w:szCs w:val="22"/>
    </w:rPr>
  </w:style>
  <w:style w:type="character" w:customStyle="1" w:styleId="FontStyle14">
    <w:name w:val="Font Style14"/>
    <w:basedOn w:val="DefaultParagraphFont"/>
    <w:rsid w:val="003D4C15"/>
    <w:rPr>
      <w:rFonts w:ascii="Times New Roman" w:hAnsi="Times New Roman" w:cs="Times New Roman"/>
      <w:b/>
      <w:bCs/>
      <w:sz w:val="22"/>
      <w:szCs w:val="22"/>
    </w:rPr>
  </w:style>
  <w:style w:type="paragraph" w:customStyle="1" w:styleId="DiagramaDiagramaDiagramaDiagramaDiagramaDiagrama1DiagramaDiagramaDiagrama">
    <w:name w:val="Diagrama Diagrama Diagrama Diagrama Diagrama Diagrama1 Diagrama Diagrama Diagrama"/>
    <w:basedOn w:val="Normal"/>
    <w:next w:val="Normal"/>
    <w:rsid w:val="003D4C15"/>
    <w:pPr>
      <w:spacing w:before="120" w:after="120"/>
      <w:jc w:val="center"/>
    </w:pPr>
    <w:rPr>
      <w:b/>
      <w:bCs/>
      <w:snapToGrid w:val="0"/>
      <w:u w:val="single"/>
      <w:lang w:eastAsia="en-GB"/>
    </w:rPr>
  </w:style>
  <w:style w:type="character" w:customStyle="1" w:styleId="PagrindinistekstasPusjuodis4">
    <w:name w:val="Pagrindinis tekstas + Pusjuodis4"/>
    <w:basedOn w:val="DefaultParagraphFont"/>
    <w:rsid w:val="003D4C15"/>
    <w:rPr>
      <w:rFonts w:ascii="Times New Roman" w:hAnsi="Times New Roman" w:cs="Times New Roman"/>
      <w:b/>
      <w:bCs/>
      <w:spacing w:val="0"/>
      <w:sz w:val="23"/>
      <w:szCs w:val="23"/>
    </w:rPr>
  </w:style>
  <w:style w:type="paragraph" w:styleId="TOC6">
    <w:name w:val="toc 6"/>
    <w:basedOn w:val="Normal"/>
    <w:next w:val="Normal"/>
    <w:autoRedefine/>
    <w:uiPriority w:val="39"/>
    <w:unhideWhenUsed/>
    <w:rsid w:val="003D4C15"/>
    <w:pPr>
      <w:ind w:left="1200"/>
    </w:pPr>
    <w:rPr>
      <w:rFonts w:ascii="Calibri" w:hAnsi="Calibri"/>
      <w:sz w:val="18"/>
      <w:szCs w:val="18"/>
    </w:rPr>
  </w:style>
  <w:style w:type="paragraph" w:styleId="TOC7">
    <w:name w:val="toc 7"/>
    <w:basedOn w:val="Normal"/>
    <w:next w:val="Normal"/>
    <w:autoRedefine/>
    <w:uiPriority w:val="39"/>
    <w:unhideWhenUsed/>
    <w:rsid w:val="003D4C15"/>
    <w:pPr>
      <w:ind w:left="1440"/>
    </w:pPr>
    <w:rPr>
      <w:rFonts w:ascii="Calibri" w:hAnsi="Calibri"/>
      <w:sz w:val="18"/>
      <w:szCs w:val="18"/>
    </w:rPr>
  </w:style>
  <w:style w:type="paragraph" w:styleId="TOC8">
    <w:name w:val="toc 8"/>
    <w:basedOn w:val="Normal"/>
    <w:next w:val="Normal"/>
    <w:autoRedefine/>
    <w:uiPriority w:val="39"/>
    <w:unhideWhenUsed/>
    <w:rsid w:val="003D4C15"/>
    <w:pPr>
      <w:ind w:left="1680"/>
    </w:pPr>
    <w:rPr>
      <w:rFonts w:ascii="Calibri" w:hAnsi="Calibri"/>
      <w:sz w:val="18"/>
      <w:szCs w:val="18"/>
    </w:rPr>
  </w:style>
  <w:style w:type="paragraph" w:styleId="TOC9">
    <w:name w:val="toc 9"/>
    <w:basedOn w:val="Normal"/>
    <w:next w:val="Normal"/>
    <w:autoRedefine/>
    <w:uiPriority w:val="39"/>
    <w:unhideWhenUsed/>
    <w:rsid w:val="003D4C15"/>
    <w:pPr>
      <w:ind w:left="1920"/>
    </w:pPr>
    <w:rPr>
      <w:rFonts w:ascii="Calibri" w:hAnsi="Calibri"/>
      <w:sz w:val="18"/>
      <w:szCs w:val="18"/>
    </w:rPr>
  </w:style>
  <w:style w:type="character" w:customStyle="1" w:styleId="FontStyle54">
    <w:name w:val="Font Style54"/>
    <w:basedOn w:val="DefaultParagraphFont"/>
    <w:uiPriority w:val="99"/>
    <w:rsid w:val="003D4C15"/>
    <w:rPr>
      <w:rFonts w:ascii="Courier New" w:hAnsi="Courier New" w:cs="Courier New"/>
      <w:sz w:val="22"/>
      <w:szCs w:val="22"/>
    </w:rPr>
  </w:style>
  <w:style w:type="character" w:customStyle="1" w:styleId="Pagrindinistekstas24">
    <w:name w:val="Pagrindinis tekstas (2)4"/>
    <w:basedOn w:val="DefaultParagraphFont"/>
    <w:uiPriority w:val="99"/>
    <w:rsid w:val="003D4C15"/>
    <w:rPr>
      <w:rFonts w:ascii="Calibri" w:hAnsi="Calibri" w:cs="Calibri"/>
      <w:b/>
      <w:bCs/>
      <w:spacing w:val="0"/>
      <w:sz w:val="22"/>
      <w:szCs w:val="22"/>
      <w:u w:val="single"/>
      <w:shd w:val="clear" w:color="auto" w:fill="FFFFFF"/>
    </w:rPr>
  </w:style>
  <w:style w:type="character" w:customStyle="1" w:styleId="Pagrindinistekstas2Kursyvas2">
    <w:name w:val="Pagrindinis tekstas (2) + Kursyvas2"/>
    <w:basedOn w:val="DefaultParagraphFont"/>
    <w:uiPriority w:val="99"/>
    <w:rsid w:val="003D4C15"/>
    <w:rPr>
      <w:rFonts w:ascii="Calibri" w:hAnsi="Calibri" w:cs="Calibri"/>
      <w:b/>
      <w:bCs/>
      <w:i/>
      <w:iCs/>
      <w:spacing w:val="0"/>
      <w:sz w:val="22"/>
      <w:szCs w:val="22"/>
      <w:shd w:val="clear" w:color="auto" w:fill="FFFFFF"/>
    </w:rPr>
  </w:style>
  <w:style w:type="character" w:customStyle="1" w:styleId="FontStyle17">
    <w:name w:val="Font Style17"/>
    <w:basedOn w:val="DefaultParagraphFont"/>
    <w:rsid w:val="003D4C15"/>
    <w:rPr>
      <w:rFonts w:ascii="Times New Roman" w:hAnsi="Times New Roman" w:cs="Times New Roman"/>
      <w:sz w:val="24"/>
      <w:szCs w:val="24"/>
    </w:rPr>
  </w:style>
  <w:style w:type="character" w:customStyle="1" w:styleId="Pagrindinistekstas711">
    <w:name w:val="Pagrindinis tekstas (7) + 11"/>
    <w:aliases w:val="5 tšk.6,Ne kursyvas,Pagrindinis tekstas (6) + 11,5 tšk.,Pagrindinis tekstas + 11,5 t_k."/>
    <w:uiPriority w:val="99"/>
    <w:rsid w:val="003D4C15"/>
    <w:rPr>
      <w:i/>
      <w:iCs/>
      <w:sz w:val="23"/>
      <w:szCs w:val="23"/>
      <w:shd w:val="clear" w:color="auto" w:fill="FFFFFF"/>
    </w:rPr>
  </w:style>
  <w:style w:type="character" w:customStyle="1" w:styleId="Pagrindinistekstas117">
    <w:name w:val="Pagrindinis tekstas + 117"/>
    <w:aliases w:val="5 t_k.9,Ne kursyvas7"/>
    <w:uiPriority w:val="99"/>
    <w:rsid w:val="003D4C15"/>
    <w:rPr>
      <w:i w:val="0"/>
      <w:iCs w:val="0"/>
      <w:sz w:val="23"/>
      <w:szCs w:val="23"/>
      <w:u w:val="single"/>
      <w:shd w:val="clear" w:color="auto" w:fill="FFFFFF"/>
    </w:rPr>
  </w:style>
  <w:style w:type="character" w:customStyle="1" w:styleId="FontStyle37">
    <w:name w:val="Font Style37"/>
    <w:basedOn w:val="DefaultParagraphFont"/>
    <w:rsid w:val="003D4C15"/>
    <w:rPr>
      <w:rFonts w:ascii="Times New Roman" w:hAnsi="Times New Roman" w:cs="Times New Roman"/>
      <w:sz w:val="22"/>
      <w:szCs w:val="22"/>
    </w:rPr>
  </w:style>
  <w:style w:type="paragraph" w:customStyle="1" w:styleId="ISTATYMAS">
    <w:name w:val="ISTATYMAS"/>
    <w:rsid w:val="003D4C15"/>
    <w:pPr>
      <w:autoSpaceDE w:val="0"/>
      <w:autoSpaceDN w:val="0"/>
      <w:adjustRightInd w:val="0"/>
      <w:spacing w:after="0" w:line="240" w:lineRule="auto"/>
      <w:jc w:val="center"/>
    </w:pPr>
    <w:rPr>
      <w:rFonts w:ascii="TimesLT" w:eastAsia="Times New Roman" w:hAnsi="TimesLT" w:cs="Times New Roman"/>
      <w:sz w:val="20"/>
      <w:szCs w:val="20"/>
      <w:lang w:val="en-US"/>
    </w:rPr>
  </w:style>
  <w:style w:type="character" w:customStyle="1" w:styleId="FontStyle30">
    <w:name w:val="Font Style30"/>
    <w:uiPriority w:val="99"/>
    <w:rsid w:val="003D4C15"/>
    <w:rPr>
      <w:rFonts w:ascii="Times New Roman" w:hAnsi="Times New Roman" w:cs="Times New Roman"/>
      <w:sz w:val="20"/>
      <w:szCs w:val="20"/>
    </w:rPr>
  </w:style>
  <w:style w:type="character" w:customStyle="1" w:styleId="FontStyle48">
    <w:name w:val="Font Style48"/>
    <w:basedOn w:val="DefaultParagraphFont"/>
    <w:rsid w:val="003D4C15"/>
    <w:rPr>
      <w:rFonts w:ascii="Arial Narrow" w:hAnsi="Arial Narrow" w:cs="Arial Narrow"/>
      <w:i/>
      <w:iCs/>
      <w:sz w:val="18"/>
      <w:szCs w:val="18"/>
    </w:rPr>
  </w:style>
  <w:style w:type="character" w:customStyle="1" w:styleId="FontStyle49">
    <w:name w:val="Font Style49"/>
    <w:basedOn w:val="DefaultParagraphFont"/>
    <w:rsid w:val="003D4C15"/>
    <w:rPr>
      <w:rFonts w:ascii="Times New Roman" w:hAnsi="Times New Roman" w:cs="Times New Roman"/>
      <w:sz w:val="20"/>
      <w:szCs w:val="20"/>
    </w:rPr>
  </w:style>
  <w:style w:type="paragraph" w:styleId="Subtitle">
    <w:name w:val="Subtitle"/>
    <w:basedOn w:val="Normal"/>
    <w:next w:val="Normal"/>
    <w:link w:val="SubtitleChar"/>
    <w:uiPriority w:val="11"/>
    <w:qFormat/>
    <w:rsid w:val="003D4C15"/>
    <w:pPr>
      <w:spacing w:after="60"/>
      <w:jc w:val="center"/>
      <w:outlineLvl w:val="1"/>
    </w:pPr>
    <w:rPr>
      <w:rFonts w:ascii="Cambria" w:hAnsi="Cambria"/>
    </w:rPr>
  </w:style>
  <w:style w:type="character" w:customStyle="1" w:styleId="SubtitleChar">
    <w:name w:val="Subtitle Char"/>
    <w:basedOn w:val="DefaultParagraphFont"/>
    <w:link w:val="Subtitle"/>
    <w:uiPriority w:val="11"/>
    <w:rsid w:val="003D4C15"/>
    <w:rPr>
      <w:rFonts w:ascii="Cambria" w:eastAsia="Times New Roman" w:hAnsi="Cambria" w:cs="Times New Roman"/>
      <w:sz w:val="24"/>
      <w:szCs w:val="24"/>
      <w:lang w:eastAsia="lt-LT"/>
    </w:rPr>
  </w:style>
  <w:style w:type="paragraph" w:styleId="Index1">
    <w:name w:val="index 1"/>
    <w:basedOn w:val="Normal"/>
    <w:next w:val="Normal"/>
    <w:autoRedefine/>
    <w:uiPriority w:val="99"/>
    <w:semiHidden/>
    <w:unhideWhenUsed/>
    <w:rsid w:val="003D4C15"/>
    <w:pPr>
      <w:ind w:left="240" w:hanging="240"/>
    </w:pPr>
  </w:style>
  <w:style w:type="character" w:customStyle="1" w:styleId="normal-h">
    <w:name w:val="normal-h"/>
    <w:basedOn w:val="DefaultParagraphFont"/>
    <w:rsid w:val="003D4C15"/>
  </w:style>
  <w:style w:type="paragraph" w:customStyle="1" w:styleId="Sraopastraipa1">
    <w:name w:val="Sąrašo pastraipa1"/>
    <w:basedOn w:val="Normal"/>
    <w:rsid w:val="003D4C15"/>
    <w:pPr>
      <w:ind w:left="720"/>
    </w:pPr>
    <w:rPr>
      <w:rFonts w:eastAsia="Calibri"/>
      <w:sz w:val="20"/>
      <w:szCs w:val="20"/>
      <w:lang w:eastAsia="en-US"/>
    </w:rPr>
  </w:style>
  <w:style w:type="paragraph" w:customStyle="1" w:styleId="tactin">
    <w:name w:val="tactin"/>
    <w:basedOn w:val="Normal"/>
    <w:rsid w:val="003D4C15"/>
    <w:pPr>
      <w:spacing w:before="100" w:beforeAutospacing="1" w:after="100" w:afterAutospacing="1"/>
    </w:pPr>
  </w:style>
  <w:style w:type="character" w:customStyle="1" w:styleId="Pagrindinistekstas7">
    <w:name w:val="Pagrindinis tekstas (7)_"/>
    <w:basedOn w:val="DefaultParagraphFont"/>
    <w:link w:val="Pagrindinistekstas71"/>
    <w:rsid w:val="003D4C15"/>
    <w:rPr>
      <w:shd w:val="clear" w:color="auto" w:fill="FFFFFF"/>
    </w:rPr>
  </w:style>
  <w:style w:type="paragraph" w:customStyle="1" w:styleId="Pagrindinistekstas71">
    <w:name w:val="Pagrindinis tekstas (7)1"/>
    <w:basedOn w:val="Normal"/>
    <w:link w:val="Pagrindinistekstas7"/>
    <w:rsid w:val="003D4C15"/>
    <w:pPr>
      <w:shd w:val="clear" w:color="auto" w:fill="FFFFFF"/>
      <w:spacing w:before="540" w:line="278" w:lineRule="exact"/>
    </w:pPr>
    <w:rPr>
      <w:rFonts w:asciiTheme="minorHAnsi" w:eastAsiaTheme="minorHAnsi" w:hAnsiTheme="minorHAnsi" w:cstheme="minorBidi"/>
      <w:sz w:val="22"/>
      <w:szCs w:val="22"/>
      <w:lang w:eastAsia="en-US"/>
    </w:rPr>
  </w:style>
  <w:style w:type="character" w:customStyle="1" w:styleId="CharChar7">
    <w:name w:val="Char Char7"/>
    <w:rsid w:val="003D4C15"/>
    <w:rPr>
      <w:sz w:val="28"/>
      <w:lang w:eastAsia="en-US"/>
    </w:rPr>
  </w:style>
  <w:style w:type="character" w:customStyle="1" w:styleId="CharChar4">
    <w:name w:val="Char Char4"/>
    <w:basedOn w:val="DefaultParagraphFont"/>
    <w:rsid w:val="003D4C15"/>
    <w:rPr>
      <w:rFonts w:ascii="Times New Roman" w:eastAsia="Times New Roman" w:hAnsi="Times New Roman" w:cs="Times New Roman"/>
      <w:sz w:val="28"/>
      <w:szCs w:val="20"/>
      <w:lang w:val="lt-LT"/>
    </w:rPr>
  </w:style>
  <w:style w:type="character" w:customStyle="1" w:styleId="CharChar12">
    <w:name w:val="Char Char12"/>
    <w:rsid w:val="003D4C15"/>
    <w:rPr>
      <w:sz w:val="28"/>
      <w:lang w:eastAsia="en-US"/>
    </w:rPr>
  </w:style>
  <w:style w:type="character" w:customStyle="1" w:styleId="CharChar8">
    <w:name w:val="Char Char8"/>
    <w:rsid w:val="003D4C15"/>
    <w:rPr>
      <w:sz w:val="28"/>
      <w:lang w:eastAsia="en-US"/>
    </w:rPr>
  </w:style>
  <w:style w:type="character" w:customStyle="1" w:styleId="FontStyle51">
    <w:name w:val="Font Style51"/>
    <w:basedOn w:val="DefaultParagraphFont"/>
    <w:rsid w:val="003D4C15"/>
    <w:rPr>
      <w:rFonts w:ascii="Times New Roman" w:hAnsi="Times New Roman" w:cs="Times New Roman"/>
      <w:i/>
      <w:iCs/>
      <w:sz w:val="20"/>
      <w:szCs w:val="20"/>
    </w:rPr>
  </w:style>
  <w:style w:type="character" w:customStyle="1" w:styleId="CharChar9">
    <w:name w:val="Char Char9"/>
    <w:rsid w:val="003D4C15"/>
    <w:rPr>
      <w:sz w:val="28"/>
      <w:lang w:eastAsia="en-US"/>
    </w:rPr>
  </w:style>
  <w:style w:type="character" w:customStyle="1" w:styleId="CharChar6">
    <w:name w:val="Char Char6"/>
    <w:rsid w:val="003D4C15"/>
    <w:rPr>
      <w:sz w:val="28"/>
      <w:lang w:eastAsia="en-US"/>
    </w:rPr>
  </w:style>
  <w:style w:type="character" w:customStyle="1" w:styleId="Pagrindinistekstas">
    <w:name w:val="Pagrindinis tekstas_"/>
    <w:basedOn w:val="DefaultParagraphFont"/>
    <w:link w:val="Pagrindinistekstas1"/>
    <w:locked/>
    <w:rsid w:val="003D4C15"/>
    <w:rPr>
      <w:spacing w:val="4"/>
      <w:sz w:val="21"/>
      <w:szCs w:val="21"/>
      <w:shd w:val="clear" w:color="auto" w:fill="FFFFFF"/>
    </w:rPr>
  </w:style>
  <w:style w:type="paragraph" w:customStyle="1" w:styleId="Pagrindinistekstas1">
    <w:name w:val="Pagrindinis tekstas1"/>
    <w:basedOn w:val="Normal"/>
    <w:link w:val="Pagrindinistekstas"/>
    <w:rsid w:val="003D4C15"/>
    <w:pPr>
      <w:shd w:val="clear" w:color="auto" w:fill="FFFFFF"/>
      <w:spacing w:line="274" w:lineRule="exact"/>
      <w:jc w:val="both"/>
    </w:pPr>
    <w:rPr>
      <w:rFonts w:asciiTheme="minorHAnsi" w:eastAsiaTheme="minorHAnsi" w:hAnsiTheme="minorHAnsi" w:cstheme="minorBidi"/>
      <w:spacing w:val="4"/>
      <w:sz w:val="21"/>
      <w:szCs w:val="21"/>
      <w:lang w:eastAsia="en-US"/>
    </w:rPr>
  </w:style>
  <w:style w:type="character" w:customStyle="1" w:styleId="Bodytext4NotBold">
    <w:name w:val="Body text (4) + Not Bold"/>
    <w:aliases w:val="Not Italic"/>
    <w:basedOn w:val="DefaultParagraphFont"/>
    <w:rsid w:val="003D4C15"/>
    <w:rPr>
      <w:rFonts w:ascii="Times New Roman" w:hAnsi="Times New Roman" w:cs="Times New Roman"/>
      <w:b/>
      <w:bCs/>
      <w:i/>
      <w:iCs/>
      <w:color w:val="000000"/>
      <w:spacing w:val="0"/>
      <w:w w:val="100"/>
      <w:position w:val="0"/>
      <w:shd w:val="clear" w:color="auto" w:fill="FFFFFF"/>
      <w:lang w:val="lt-LT" w:eastAsia="lt-LT"/>
    </w:rPr>
  </w:style>
  <w:style w:type="paragraph" w:customStyle="1" w:styleId="Default">
    <w:name w:val="Default"/>
    <w:rsid w:val="003D4C15"/>
    <w:pPr>
      <w:autoSpaceDE w:val="0"/>
      <w:autoSpaceDN w:val="0"/>
      <w:adjustRightInd w:val="0"/>
      <w:spacing w:after="0" w:line="240" w:lineRule="auto"/>
    </w:pPr>
    <w:rPr>
      <w:rFonts w:ascii="Times New Roman" w:eastAsia="Times New Roman" w:hAnsi="Times New Roman" w:cs="Times New Roman"/>
      <w:color w:val="000000"/>
      <w:sz w:val="24"/>
      <w:szCs w:val="24"/>
      <w:lang w:eastAsia="lt-LT"/>
    </w:rPr>
  </w:style>
  <w:style w:type="character" w:styleId="CommentReference">
    <w:name w:val="annotation reference"/>
    <w:basedOn w:val="DefaultParagraphFont"/>
    <w:uiPriority w:val="99"/>
    <w:semiHidden/>
    <w:unhideWhenUsed/>
    <w:rsid w:val="003D4C15"/>
    <w:rPr>
      <w:sz w:val="16"/>
      <w:szCs w:val="16"/>
    </w:rPr>
  </w:style>
  <w:style w:type="paragraph" w:customStyle="1" w:styleId="Sraopastraipa2">
    <w:name w:val="Sąrašo pastraipa2"/>
    <w:basedOn w:val="Normal"/>
    <w:rsid w:val="003D4C15"/>
    <w:pPr>
      <w:ind w:left="720"/>
    </w:pPr>
    <w:rPr>
      <w:rFonts w:eastAsia="Calibri"/>
      <w:sz w:val="20"/>
      <w:szCs w:val="20"/>
      <w:lang w:eastAsia="en-US"/>
    </w:rPr>
  </w:style>
  <w:style w:type="character" w:customStyle="1" w:styleId="Heading1Char">
    <w:name w:val="Heading 1 Char"/>
    <w:locked/>
    <w:rsid w:val="003D4C15"/>
    <w:rPr>
      <w:sz w:val="28"/>
      <w:lang w:eastAsia="en-US"/>
    </w:rPr>
  </w:style>
  <w:style w:type="paragraph" w:customStyle="1" w:styleId="tajtipfb">
    <w:name w:val="tajtipfb"/>
    <w:basedOn w:val="Normal"/>
    <w:rsid w:val="003D4C15"/>
    <w:pPr>
      <w:spacing w:before="100" w:beforeAutospacing="1" w:after="100" w:afterAutospacing="1"/>
    </w:pPr>
  </w:style>
  <w:style w:type="character" w:customStyle="1" w:styleId="clear">
    <w:name w:val="clear"/>
    <w:basedOn w:val="DefaultParagraphFont"/>
    <w:rsid w:val="003D4C15"/>
  </w:style>
  <w:style w:type="paragraph" w:customStyle="1" w:styleId="Betarp1">
    <w:name w:val="Be tarpų1"/>
    <w:rsid w:val="003D4C15"/>
    <w:pPr>
      <w:spacing w:after="0" w:line="240" w:lineRule="auto"/>
    </w:pPr>
    <w:rPr>
      <w:rFonts w:ascii="Times New Roman" w:eastAsia="Times New Roman" w:hAnsi="Times New Roman" w:cs="Times New Roman"/>
      <w:sz w:val="24"/>
      <w:szCs w:val="20"/>
    </w:rPr>
  </w:style>
  <w:style w:type="character" w:styleId="SubtleEmphasis">
    <w:name w:val="Subtle Emphasis"/>
    <w:basedOn w:val="DefaultParagraphFont"/>
    <w:uiPriority w:val="19"/>
    <w:qFormat/>
    <w:rsid w:val="003D4C15"/>
    <w:rPr>
      <w:i/>
      <w:iCs/>
      <w:color w:val="808080" w:themeColor="text1" w:themeTint="7F"/>
    </w:rPr>
  </w:style>
  <w:style w:type="paragraph" w:customStyle="1" w:styleId="Apzvalgai1">
    <w:name w:val="Apzvalgai1"/>
    <w:basedOn w:val="Heading1"/>
    <w:link w:val="Apzvalgai1Char"/>
    <w:qFormat/>
    <w:rsid w:val="003D4C15"/>
  </w:style>
  <w:style w:type="paragraph" w:customStyle="1" w:styleId="ApzvalgaiItalikas">
    <w:name w:val="Apzvalgai_Italikas"/>
    <w:basedOn w:val="Heading2"/>
    <w:link w:val="ApzvalgaiItalikasChar"/>
    <w:rsid w:val="003D4C15"/>
  </w:style>
  <w:style w:type="character" w:customStyle="1" w:styleId="Apzvalgai1Char">
    <w:name w:val="Apzvalgai1 Char"/>
    <w:basedOn w:val="Heading1Char2"/>
    <w:link w:val="Apzvalgai1"/>
    <w:rsid w:val="003D4C15"/>
    <w:rPr>
      <w:rFonts w:ascii="Times New Roman" w:eastAsia="Times New Roman" w:hAnsi="Times New Roman" w:cs="Times New Roman"/>
      <w:b/>
      <w:u w:val="single"/>
      <w:lang w:eastAsia="lt-LT"/>
    </w:rPr>
  </w:style>
  <w:style w:type="character" w:customStyle="1" w:styleId="ApzvalgaiItalikasChar">
    <w:name w:val="Apzvalgai_Italikas Char"/>
    <w:basedOn w:val="Heading2Char"/>
    <w:link w:val="ApzvalgaiItalikas"/>
    <w:rsid w:val="003D4C15"/>
    <w:rPr>
      <w:rFonts w:eastAsia="Arial Unicode MS" w:cs="Times New Roman"/>
      <w:i/>
      <w:iCs w:val="0"/>
      <w:color w:val="000000"/>
      <w:szCs w:val="24"/>
      <w:shd w:val="clear" w:color="auto" w:fill="FFFFFF"/>
      <w:lang w:eastAsia="lt-LT"/>
    </w:rPr>
  </w:style>
  <w:style w:type="character" w:customStyle="1" w:styleId="FontStyle16">
    <w:name w:val="Font Style16"/>
    <w:uiPriority w:val="99"/>
    <w:rsid w:val="003D4C15"/>
    <w:rPr>
      <w:rFonts w:ascii="Palatino Linotype" w:hAnsi="Palatino Linotype" w:cs="Palatino Linotype"/>
      <w:sz w:val="20"/>
      <w:szCs w:val="20"/>
    </w:rPr>
  </w:style>
  <w:style w:type="character" w:customStyle="1" w:styleId="Pagrindinistekstas2">
    <w:name w:val="Pagrindinis tekstas2"/>
    <w:basedOn w:val="DefaultParagraphFont"/>
    <w:uiPriority w:val="99"/>
    <w:rsid w:val="003D4C15"/>
    <w:rPr>
      <w:rFonts w:ascii="Times New Roman" w:eastAsia="Times New Roman" w:hAnsi="Times New Roman" w:cs="Times New Roman"/>
      <w:b w:val="0"/>
      <w:bCs w:val="0"/>
      <w:i w:val="0"/>
      <w:iCs w:val="0"/>
      <w:smallCaps w:val="0"/>
      <w:strike w:val="0"/>
      <w:spacing w:val="3"/>
      <w:sz w:val="21"/>
      <w:szCs w:val="21"/>
      <w:u w:val="single"/>
    </w:rPr>
  </w:style>
  <w:style w:type="character" w:customStyle="1" w:styleId="HeaderChar1">
    <w:name w:val="Header Char1"/>
    <w:basedOn w:val="DefaultParagraphFont"/>
    <w:uiPriority w:val="99"/>
    <w:locked/>
    <w:rsid w:val="003D4C15"/>
    <w:rPr>
      <w:rFonts w:ascii="Calibri" w:eastAsia="Times New Roman" w:hAnsi="Calibri" w:cs="Calibri"/>
      <w:sz w:val="24"/>
      <w:szCs w:val="24"/>
      <w:lang w:val="en-GB" w:eastAsia="en-US"/>
    </w:rPr>
  </w:style>
  <w:style w:type="paragraph" w:customStyle="1" w:styleId="Betarp2">
    <w:name w:val="Be tarpų2"/>
    <w:rsid w:val="003D4C15"/>
    <w:pPr>
      <w:spacing w:after="0" w:line="240" w:lineRule="auto"/>
    </w:pPr>
    <w:rPr>
      <w:rFonts w:ascii="Times New Roman" w:eastAsia="Times New Roman" w:hAnsi="Times New Roman" w:cs="Times New Roman"/>
      <w:sz w:val="24"/>
      <w:szCs w:val="20"/>
    </w:rPr>
  </w:style>
  <w:style w:type="character" w:customStyle="1" w:styleId="NormalWebChar">
    <w:name w:val="Normal (Web) Char"/>
    <w:link w:val="NormalWeb"/>
    <w:uiPriority w:val="99"/>
    <w:rsid w:val="003D4C15"/>
    <w:rPr>
      <w:rFonts w:ascii="Times New Roman" w:eastAsia="Times New Roman" w:hAnsi="Times New Roman" w:cs="Times New Roman"/>
      <w:sz w:val="24"/>
      <w:szCs w:val="24"/>
      <w:lang w:val="en-US"/>
    </w:rPr>
  </w:style>
  <w:style w:type="character" w:customStyle="1" w:styleId="bold">
    <w:name w:val="bold"/>
    <w:uiPriority w:val="99"/>
    <w:rsid w:val="003D4C15"/>
  </w:style>
  <w:style w:type="paragraph" w:styleId="CommentSubject">
    <w:name w:val="annotation subject"/>
    <w:basedOn w:val="CommentText"/>
    <w:next w:val="CommentText"/>
    <w:link w:val="CommentSubjectChar"/>
    <w:uiPriority w:val="99"/>
    <w:semiHidden/>
    <w:unhideWhenUsed/>
    <w:rsid w:val="003D4C15"/>
    <w:pPr>
      <w:spacing w:after="0" w:line="240" w:lineRule="auto"/>
    </w:pPr>
    <w:rPr>
      <w:rFonts w:ascii="Times New Roman" w:eastAsia="Times New Roman" w:hAnsi="Times New Roman"/>
      <w:b/>
      <w:bCs/>
      <w:lang w:eastAsia="lt-LT"/>
    </w:rPr>
  </w:style>
  <w:style w:type="character" w:customStyle="1" w:styleId="CommentSubjectChar">
    <w:name w:val="Comment Subject Char"/>
    <w:basedOn w:val="CommentTextChar"/>
    <w:link w:val="CommentSubject"/>
    <w:uiPriority w:val="99"/>
    <w:semiHidden/>
    <w:rsid w:val="003D4C15"/>
    <w:rPr>
      <w:rFonts w:ascii="Times New Roman" w:eastAsia="Times New Roman" w:hAnsi="Times New Roman" w:cs="Times New Roman"/>
      <w:b/>
      <w:bCs/>
      <w:sz w:val="20"/>
      <w:szCs w:val="20"/>
      <w:lang w:eastAsia="lt-LT"/>
    </w:rPr>
  </w:style>
  <w:style w:type="paragraph" w:customStyle="1" w:styleId="taltipfb">
    <w:name w:val="taltipfb"/>
    <w:basedOn w:val="Normal"/>
    <w:rsid w:val="003D4C15"/>
    <w:pPr>
      <w:spacing w:before="100" w:beforeAutospacing="1" w:after="100" w:afterAutospacing="1"/>
    </w:pPr>
  </w:style>
  <w:style w:type="character" w:customStyle="1" w:styleId="FontStyle19">
    <w:name w:val="Font Style19"/>
    <w:basedOn w:val="DefaultParagraphFont"/>
    <w:rsid w:val="003D4C15"/>
    <w:rPr>
      <w:rFonts w:ascii="Times New Roman" w:hAnsi="Times New Roman" w:cs="Times New Roman"/>
      <w:sz w:val="20"/>
      <w:szCs w:val="20"/>
    </w:rPr>
  </w:style>
  <w:style w:type="character" w:customStyle="1" w:styleId="FontStyle20">
    <w:name w:val="Font Style20"/>
    <w:basedOn w:val="DefaultParagraphFont"/>
    <w:rsid w:val="003D4C15"/>
    <w:rPr>
      <w:rFonts w:ascii="Times New Roman" w:hAnsi="Times New Roman" w:cs="Times New Roman"/>
      <w:sz w:val="22"/>
      <w:szCs w:val="22"/>
    </w:rPr>
  </w:style>
  <w:style w:type="character" w:customStyle="1" w:styleId="sfbbfee58">
    <w:name w:val="sfbbfee58"/>
    <w:basedOn w:val="DefaultParagraphFont"/>
    <w:rsid w:val="003D4C15"/>
  </w:style>
  <w:style w:type="paragraph" w:customStyle="1" w:styleId="Style3">
    <w:name w:val="Style3"/>
    <w:basedOn w:val="Normal"/>
    <w:rsid w:val="003D4C15"/>
    <w:pPr>
      <w:widowControl w:val="0"/>
      <w:autoSpaceDE w:val="0"/>
      <w:autoSpaceDN w:val="0"/>
      <w:adjustRightInd w:val="0"/>
      <w:spacing w:line="274" w:lineRule="exact"/>
      <w:ind w:firstLine="442"/>
      <w:jc w:val="both"/>
    </w:pPr>
    <w:rPr>
      <w:rFonts w:ascii="Arial" w:hAnsi="Arial"/>
    </w:rPr>
  </w:style>
  <w:style w:type="character" w:customStyle="1" w:styleId="FontStyle15">
    <w:name w:val="Font Style15"/>
    <w:uiPriority w:val="99"/>
    <w:rsid w:val="007F3163"/>
    <w:rPr>
      <w:rFonts w:ascii="Times New Roman" w:hAnsi="Times New Roman" w:cs="Times New Roman"/>
      <w:b/>
      <w:bCs/>
      <w:sz w:val="20"/>
      <w:szCs w:val="20"/>
    </w:rPr>
  </w:style>
  <w:style w:type="paragraph" w:customStyle="1" w:styleId="tip">
    <w:name w:val="tip"/>
    <w:basedOn w:val="Normal"/>
    <w:rsid w:val="00F24296"/>
    <w:pPr>
      <w:spacing w:before="100" w:beforeAutospacing="1" w:after="100" w:afterAutospacing="1"/>
    </w:pPr>
  </w:style>
  <w:style w:type="character" w:customStyle="1" w:styleId="Neapdorotaspaminjimas1">
    <w:name w:val="Neapdorotas paminėjimas1"/>
    <w:basedOn w:val="DefaultParagraphFont"/>
    <w:uiPriority w:val="99"/>
    <w:semiHidden/>
    <w:unhideWhenUsed/>
    <w:rsid w:val="00AC73BF"/>
    <w:rPr>
      <w:color w:val="808080"/>
      <w:shd w:val="clear" w:color="auto" w:fill="E6E6E6"/>
    </w:rPr>
  </w:style>
  <w:style w:type="paragraph" w:customStyle="1" w:styleId="Style9">
    <w:name w:val="Style9"/>
    <w:basedOn w:val="Normal"/>
    <w:uiPriority w:val="99"/>
    <w:rsid w:val="00B64450"/>
    <w:pPr>
      <w:widowControl w:val="0"/>
      <w:autoSpaceDE w:val="0"/>
      <w:autoSpaceDN w:val="0"/>
      <w:adjustRightInd w:val="0"/>
      <w:spacing w:line="250" w:lineRule="exact"/>
      <w:ind w:hanging="346"/>
      <w:jc w:val="both"/>
    </w:pPr>
    <w:rPr>
      <w:rFonts w:eastAsiaTheme="minorEastAsia"/>
    </w:rPr>
  </w:style>
  <w:style w:type="paragraph" w:customStyle="1" w:styleId="Style22">
    <w:name w:val="Style22"/>
    <w:basedOn w:val="Normal"/>
    <w:rsid w:val="0045349D"/>
    <w:pPr>
      <w:widowControl w:val="0"/>
      <w:autoSpaceDE w:val="0"/>
      <w:autoSpaceDN w:val="0"/>
      <w:adjustRightInd w:val="0"/>
      <w:spacing w:line="274" w:lineRule="exact"/>
    </w:pPr>
    <w:rPr>
      <w:rFonts w:ascii="Arial" w:hAnsi="Arial" w:cs="Arial"/>
    </w:rPr>
  </w:style>
  <w:style w:type="character" w:customStyle="1" w:styleId="Neapdorotaspaminjimas2">
    <w:name w:val="Neapdorotas paminėjimas2"/>
    <w:basedOn w:val="DefaultParagraphFont"/>
    <w:uiPriority w:val="99"/>
    <w:semiHidden/>
    <w:unhideWhenUsed/>
    <w:rsid w:val="00715AA9"/>
    <w:rPr>
      <w:color w:val="808080"/>
      <w:shd w:val="clear" w:color="auto" w:fill="E6E6E6"/>
    </w:rPr>
  </w:style>
  <w:style w:type="character" w:customStyle="1" w:styleId="ListParagraphChar">
    <w:name w:val="List Paragraph Char"/>
    <w:link w:val="ListParagraph"/>
    <w:uiPriority w:val="34"/>
    <w:locked/>
    <w:rsid w:val="00B42228"/>
    <w:rPr>
      <w:rFonts w:ascii="Times New Roman" w:eastAsia="Calibri" w:hAnsi="Times New Roman" w:cs="Times New Roman"/>
      <w:sz w:val="24"/>
    </w:rPr>
  </w:style>
  <w:style w:type="character" w:customStyle="1" w:styleId="Bodytext2">
    <w:name w:val="Body text (2)"/>
    <w:basedOn w:val="DefaultParagraphFont"/>
    <w:uiPriority w:val="99"/>
    <w:rsid w:val="00B42228"/>
    <w:rPr>
      <w:rFonts w:ascii="Times New Roman" w:hAnsi="Times New Roman" w:cs="Times New Roman" w:hint="default"/>
      <w:shd w:val="clear" w:color="auto" w:fill="FFFFFF"/>
    </w:rPr>
  </w:style>
  <w:style w:type="character" w:customStyle="1" w:styleId="Bodytext2Bold">
    <w:name w:val="Body text (2) + Bold"/>
    <w:basedOn w:val="DefaultParagraphFont"/>
    <w:rsid w:val="00D61381"/>
    <w:rPr>
      <w:rFonts w:ascii="Times New Roman" w:eastAsia="Times New Roman" w:hAnsi="Times New Roman" w:cs="Times New Roman" w:hint="default"/>
      <w:b/>
      <w:bCs/>
      <w:color w:val="000000"/>
      <w:spacing w:val="0"/>
      <w:w w:val="100"/>
      <w:position w:val="0"/>
      <w:sz w:val="24"/>
      <w:szCs w:val="24"/>
      <w:shd w:val="clear" w:color="auto" w:fill="FFFFFF"/>
      <w:lang w:val="lt-LT" w:eastAsia="lt-LT" w:bidi="lt-LT"/>
    </w:rPr>
  </w:style>
  <w:style w:type="character" w:customStyle="1" w:styleId="Neapdorotaspaminjimas3">
    <w:name w:val="Neapdorotas paminėjimas3"/>
    <w:basedOn w:val="DefaultParagraphFont"/>
    <w:uiPriority w:val="99"/>
    <w:semiHidden/>
    <w:unhideWhenUsed/>
    <w:rsid w:val="00AD7F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2014">
      <w:bodyDiv w:val="1"/>
      <w:marLeft w:val="0"/>
      <w:marRight w:val="0"/>
      <w:marTop w:val="0"/>
      <w:marBottom w:val="0"/>
      <w:divBdr>
        <w:top w:val="none" w:sz="0" w:space="0" w:color="auto"/>
        <w:left w:val="none" w:sz="0" w:space="0" w:color="auto"/>
        <w:bottom w:val="none" w:sz="0" w:space="0" w:color="auto"/>
        <w:right w:val="none" w:sz="0" w:space="0" w:color="auto"/>
      </w:divBdr>
    </w:div>
    <w:div w:id="16082935">
      <w:bodyDiv w:val="1"/>
      <w:marLeft w:val="0"/>
      <w:marRight w:val="0"/>
      <w:marTop w:val="0"/>
      <w:marBottom w:val="0"/>
      <w:divBdr>
        <w:top w:val="none" w:sz="0" w:space="0" w:color="auto"/>
        <w:left w:val="none" w:sz="0" w:space="0" w:color="auto"/>
        <w:bottom w:val="none" w:sz="0" w:space="0" w:color="auto"/>
        <w:right w:val="none" w:sz="0" w:space="0" w:color="auto"/>
      </w:divBdr>
    </w:div>
    <w:div w:id="24067043">
      <w:bodyDiv w:val="1"/>
      <w:marLeft w:val="0"/>
      <w:marRight w:val="0"/>
      <w:marTop w:val="0"/>
      <w:marBottom w:val="0"/>
      <w:divBdr>
        <w:top w:val="none" w:sz="0" w:space="0" w:color="auto"/>
        <w:left w:val="none" w:sz="0" w:space="0" w:color="auto"/>
        <w:bottom w:val="none" w:sz="0" w:space="0" w:color="auto"/>
        <w:right w:val="none" w:sz="0" w:space="0" w:color="auto"/>
      </w:divBdr>
    </w:div>
    <w:div w:id="37049238">
      <w:bodyDiv w:val="1"/>
      <w:marLeft w:val="0"/>
      <w:marRight w:val="0"/>
      <w:marTop w:val="0"/>
      <w:marBottom w:val="0"/>
      <w:divBdr>
        <w:top w:val="none" w:sz="0" w:space="0" w:color="auto"/>
        <w:left w:val="none" w:sz="0" w:space="0" w:color="auto"/>
        <w:bottom w:val="none" w:sz="0" w:space="0" w:color="auto"/>
        <w:right w:val="none" w:sz="0" w:space="0" w:color="auto"/>
      </w:divBdr>
    </w:div>
    <w:div w:id="40714135">
      <w:bodyDiv w:val="1"/>
      <w:marLeft w:val="0"/>
      <w:marRight w:val="0"/>
      <w:marTop w:val="0"/>
      <w:marBottom w:val="0"/>
      <w:divBdr>
        <w:top w:val="none" w:sz="0" w:space="0" w:color="auto"/>
        <w:left w:val="none" w:sz="0" w:space="0" w:color="auto"/>
        <w:bottom w:val="none" w:sz="0" w:space="0" w:color="auto"/>
        <w:right w:val="none" w:sz="0" w:space="0" w:color="auto"/>
      </w:divBdr>
    </w:div>
    <w:div w:id="53313444">
      <w:bodyDiv w:val="1"/>
      <w:marLeft w:val="0"/>
      <w:marRight w:val="0"/>
      <w:marTop w:val="0"/>
      <w:marBottom w:val="0"/>
      <w:divBdr>
        <w:top w:val="none" w:sz="0" w:space="0" w:color="auto"/>
        <w:left w:val="none" w:sz="0" w:space="0" w:color="auto"/>
        <w:bottom w:val="none" w:sz="0" w:space="0" w:color="auto"/>
        <w:right w:val="none" w:sz="0" w:space="0" w:color="auto"/>
      </w:divBdr>
    </w:div>
    <w:div w:id="61880185">
      <w:bodyDiv w:val="1"/>
      <w:marLeft w:val="0"/>
      <w:marRight w:val="0"/>
      <w:marTop w:val="0"/>
      <w:marBottom w:val="0"/>
      <w:divBdr>
        <w:top w:val="none" w:sz="0" w:space="0" w:color="auto"/>
        <w:left w:val="none" w:sz="0" w:space="0" w:color="auto"/>
        <w:bottom w:val="none" w:sz="0" w:space="0" w:color="auto"/>
        <w:right w:val="none" w:sz="0" w:space="0" w:color="auto"/>
      </w:divBdr>
    </w:div>
    <w:div w:id="63453348">
      <w:bodyDiv w:val="1"/>
      <w:marLeft w:val="0"/>
      <w:marRight w:val="0"/>
      <w:marTop w:val="0"/>
      <w:marBottom w:val="0"/>
      <w:divBdr>
        <w:top w:val="none" w:sz="0" w:space="0" w:color="auto"/>
        <w:left w:val="none" w:sz="0" w:space="0" w:color="auto"/>
        <w:bottom w:val="none" w:sz="0" w:space="0" w:color="auto"/>
        <w:right w:val="none" w:sz="0" w:space="0" w:color="auto"/>
      </w:divBdr>
    </w:div>
    <w:div w:id="69351867">
      <w:bodyDiv w:val="1"/>
      <w:marLeft w:val="0"/>
      <w:marRight w:val="0"/>
      <w:marTop w:val="0"/>
      <w:marBottom w:val="0"/>
      <w:divBdr>
        <w:top w:val="none" w:sz="0" w:space="0" w:color="auto"/>
        <w:left w:val="none" w:sz="0" w:space="0" w:color="auto"/>
        <w:bottom w:val="none" w:sz="0" w:space="0" w:color="auto"/>
        <w:right w:val="none" w:sz="0" w:space="0" w:color="auto"/>
      </w:divBdr>
    </w:div>
    <w:div w:id="76289486">
      <w:bodyDiv w:val="1"/>
      <w:marLeft w:val="0"/>
      <w:marRight w:val="0"/>
      <w:marTop w:val="0"/>
      <w:marBottom w:val="0"/>
      <w:divBdr>
        <w:top w:val="none" w:sz="0" w:space="0" w:color="auto"/>
        <w:left w:val="none" w:sz="0" w:space="0" w:color="auto"/>
        <w:bottom w:val="none" w:sz="0" w:space="0" w:color="auto"/>
        <w:right w:val="none" w:sz="0" w:space="0" w:color="auto"/>
      </w:divBdr>
    </w:div>
    <w:div w:id="77144399">
      <w:bodyDiv w:val="1"/>
      <w:marLeft w:val="0"/>
      <w:marRight w:val="0"/>
      <w:marTop w:val="0"/>
      <w:marBottom w:val="0"/>
      <w:divBdr>
        <w:top w:val="none" w:sz="0" w:space="0" w:color="auto"/>
        <w:left w:val="none" w:sz="0" w:space="0" w:color="auto"/>
        <w:bottom w:val="none" w:sz="0" w:space="0" w:color="auto"/>
        <w:right w:val="none" w:sz="0" w:space="0" w:color="auto"/>
      </w:divBdr>
    </w:div>
    <w:div w:id="92165038">
      <w:bodyDiv w:val="1"/>
      <w:marLeft w:val="0"/>
      <w:marRight w:val="0"/>
      <w:marTop w:val="0"/>
      <w:marBottom w:val="0"/>
      <w:divBdr>
        <w:top w:val="none" w:sz="0" w:space="0" w:color="auto"/>
        <w:left w:val="none" w:sz="0" w:space="0" w:color="auto"/>
        <w:bottom w:val="none" w:sz="0" w:space="0" w:color="auto"/>
        <w:right w:val="none" w:sz="0" w:space="0" w:color="auto"/>
      </w:divBdr>
    </w:div>
    <w:div w:id="92940110">
      <w:bodyDiv w:val="1"/>
      <w:marLeft w:val="0"/>
      <w:marRight w:val="0"/>
      <w:marTop w:val="0"/>
      <w:marBottom w:val="0"/>
      <w:divBdr>
        <w:top w:val="none" w:sz="0" w:space="0" w:color="auto"/>
        <w:left w:val="none" w:sz="0" w:space="0" w:color="auto"/>
        <w:bottom w:val="none" w:sz="0" w:space="0" w:color="auto"/>
        <w:right w:val="none" w:sz="0" w:space="0" w:color="auto"/>
      </w:divBdr>
    </w:div>
    <w:div w:id="108475406">
      <w:bodyDiv w:val="1"/>
      <w:marLeft w:val="0"/>
      <w:marRight w:val="0"/>
      <w:marTop w:val="0"/>
      <w:marBottom w:val="0"/>
      <w:divBdr>
        <w:top w:val="none" w:sz="0" w:space="0" w:color="auto"/>
        <w:left w:val="none" w:sz="0" w:space="0" w:color="auto"/>
        <w:bottom w:val="none" w:sz="0" w:space="0" w:color="auto"/>
        <w:right w:val="none" w:sz="0" w:space="0" w:color="auto"/>
      </w:divBdr>
      <w:divsChild>
        <w:div w:id="650015789">
          <w:marLeft w:val="0"/>
          <w:marRight w:val="0"/>
          <w:marTop w:val="0"/>
          <w:marBottom w:val="0"/>
          <w:divBdr>
            <w:top w:val="none" w:sz="0" w:space="0" w:color="auto"/>
            <w:left w:val="none" w:sz="0" w:space="0" w:color="auto"/>
            <w:bottom w:val="none" w:sz="0" w:space="0" w:color="auto"/>
            <w:right w:val="none" w:sz="0" w:space="0" w:color="auto"/>
          </w:divBdr>
          <w:divsChild>
            <w:div w:id="2145736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019656">
      <w:bodyDiv w:val="1"/>
      <w:marLeft w:val="0"/>
      <w:marRight w:val="0"/>
      <w:marTop w:val="0"/>
      <w:marBottom w:val="0"/>
      <w:divBdr>
        <w:top w:val="none" w:sz="0" w:space="0" w:color="auto"/>
        <w:left w:val="none" w:sz="0" w:space="0" w:color="auto"/>
        <w:bottom w:val="none" w:sz="0" w:space="0" w:color="auto"/>
        <w:right w:val="none" w:sz="0" w:space="0" w:color="auto"/>
      </w:divBdr>
    </w:div>
    <w:div w:id="117841610">
      <w:bodyDiv w:val="1"/>
      <w:marLeft w:val="0"/>
      <w:marRight w:val="0"/>
      <w:marTop w:val="0"/>
      <w:marBottom w:val="0"/>
      <w:divBdr>
        <w:top w:val="none" w:sz="0" w:space="0" w:color="auto"/>
        <w:left w:val="none" w:sz="0" w:space="0" w:color="auto"/>
        <w:bottom w:val="none" w:sz="0" w:space="0" w:color="auto"/>
        <w:right w:val="none" w:sz="0" w:space="0" w:color="auto"/>
      </w:divBdr>
    </w:div>
    <w:div w:id="126554837">
      <w:bodyDiv w:val="1"/>
      <w:marLeft w:val="0"/>
      <w:marRight w:val="0"/>
      <w:marTop w:val="0"/>
      <w:marBottom w:val="0"/>
      <w:divBdr>
        <w:top w:val="none" w:sz="0" w:space="0" w:color="auto"/>
        <w:left w:val="none" w:sz="0" w:space="0" w:color="auto"/>
        <w:bottom w:val="none" w:sz="0" w:space="0" w:color="auto"/>
        <w:right w:val="none" w:sz="0" w:space="0" w:color="auto"/>
      </w:divBdr>
    </w:div>
    <w:div w:id="126702315">
      <w:bodyDiv w:val="1"/>
      <w:marLeft w:val="0"/>
      <w:marRight w:val="0"/>
      <w:marTop w:val="0"/>
      <w:marBottom w:val="0"/>
      <w:divBdr>
        <w:top w:val="none" w:sz="0" w:space="0" w:color="auto"/>
        <w:left w:val="none" w:sz="0" w:space="0" w:color="auto"/>
        <w:bottom w:val="none" w:sz="0" w:space="0" w:color="auto"/>
        <w:right w:val="none" w:sz="0" w:space="0" w:color="auto"/>
      </w:divBdr>
    </w:div>
    <w:div w:id="132139601">
      <w:bodyDiv w:val="1"/>
      <w:marLeft w:val="0"/>
      <w:marRight w:val="0"/>
      <w:marTop w:val="0"/>
      <w:marBottom w:val="0"/>
      <w:divBdr>
        <w:top w:val="none" w:sz="0" w:space="0" w:color="auto"/>
        <w:left w:val="none" w:sz="0" w:space="0" w:color="auto"/>
        <w:bottom w:val="none" w:sz="0" w:space="0" w:color="auto"/>
        <w:right w:val="none" w:sz="0" w:space="0" w:color="auto"/>
      </w:divBdr>
    </w:div>
    <w:div w:id="134958088">
      <w:bodyDiv w:val="1"/>
      <w:marLeft w:val="0"/>
      <w:marRight w:val="0"/>
      <w:marTop w:val="0"/>
      <w:marBottom w:val="0"/>
      <w:divBdr>
        <w:top w:val="none" w:sz="0" w:space="0" w:color="auto"/>
        <w:left w:val="none" w:sz="0" w:space="0" w:color="auto"/>
        <w:bottom w:val="none" w:sz="0" w:space="0" w:color="auto"/>
        <w:right w:val="none" w:sz="0" w:space="0" w:color="auto"/>
      </w:divBdr>
      <w:divsChild>
        <w:div w:id="2034384347">
          <w:marLeft w:val="0"/>
          <w:marRight w:val="0"/>
          <w:marTop w:val="0"/>
          <w:marBottom w:val="0"/>
          <w:divBdr>
            <w:top w:val="none" w:sz="0" w:space="0" w:color="auto"/>
            <w:left w:val="none" w:sz="0" w:space="0" w:color="auto"/>
            <w:bottom w:val="none" w:sz="0" w:space="0" w:color="auto"/>
            <w:right w:val="none" w:sz="0" w:space="0" w:color="auto"/>
          </w:divBdr>
          <w:divsChild>
            <w:div w:id="169222983">
              <w:marLeft w:val="0"/>
              <w:marRight w:val="0"/>
              <w:marTop w:val="0"/>
              <w:marBottom w:val="0"/>
              <w:divBdr>
                <w:top w:val="none" w:sz="0" w:space="0" w:color="auto"/>
                <w:left w:val="none" w:sz="0" w:space="0" w:color="auto"/>
                <w:bottom w:val="none" w:sz="0" w:space="0" w:color="auto"/>
                <w:right w:val="none" w:sz="0" w:space="0" w:color="auto"/>
              </w:divBdr>
              <w:divsChild>
                <w:div w:id="1775049607">
                  <w:marLeft w:val="0"/>
                  <w:marRight w:val="0"/>
                  <w:marTop w:val="0"/>
                  <w:marBottom w:val="0"/>
                  <w:divBdr>
                    <w:top w:val="none" w:sz="0" w:space="0" w:color="auto"/>
                    <w:left w:val="none" w:sz="0" w:space="0" w:color="auto"/>
                    <w:bottom w:val="none" w:sz="0" w:space="0" w:color="auto"/>
                    <w:right w:val="none" w:sz="0" w:space="0" w:color="auto"/>
                  </w:divBdr>
                  <w:divsChild>
                    <w:div w:id="1450321575">
                      <w:marLeft w:val="0"/>
                      <w:marRight w:val="0"/>
                      <w:marTop w:val="0"/>
                      <w:marBottom w:val="0"/>
                      <w:divBdr>
                        <w:top w:val="none" w:sz="0" w:space="0" w:color="auto"/>
                        <w:left w:val="none" w:sz="0" w:space="0" w:color="auto"/>
                        <w:bottom w:val="none" w:sz="0" w:space="0" w:color="auto"/>
                        <w:right w:val="none" w:sz="0" w:space="0" w:color="auto"/>
                      </w:divBdr>
                      <w:divsChild>
                        <w:div w:id="205139563">
                          <w:marLeft w:val="0"/>
                          <w:marRight w:val="0"/>
                          <w:marTop w:val="0"/>
                          <w:marBottom w:val="0"/>
                          <w:divBdr>
                            <w:top w:val="none" w:sz="0" w:space="0" w:color="auto"/>
                            <w:left w:val="none" w:sz="0" w:space="0" w:color="auto"/>
                            <w:bottom w:val="none" w:sz="0" w:space="0" w:color="auto"/>
                            <w:right w:val="none" w:sz="0" w:space="0" w:color="auto"/>
                          </w:divBdr>
                          <w:divsChild>
                            <w:div w:id="610236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0000386">
      <w:bodyDiv w:val="1"/>
      <w:marLeft w:val="0"/>
      <w:marRight w:val="0"/>
      <w:marTop w:val="0"/>
      <w:marBottom w:val="0"/>
      <w:divBdr>
        <w:top w:val="none" w:sz="0" w:space="0" w:color="auto"/>
        <w:left w:val="none" w:sz="0" w:space="0" w:color="auto"/>
        <w:bottom w:val="none" w:sz="0" w:space="0" w:color="auto"/>
        <w:right w:val="none" w:sz="0" w:space="0" w:color="auto"/>
      </w:divBdr>
    </w:div>
    <w:div w:id="152991608">
      <w:bodyDiv w:val="1"/>
      <w:marLeft w:val="0"/>
      <w:marRight w:val="0"/>
      <w:marTop w:val="0"/>
      <w:marBottom w:val="0"/>
      <w:divBdr>
        <w:top w:val="none" w:sz="0" w:space="0" w:color="auto"/>
        <w:left w:val="none" w:sz="0" w:space="0" w:color="auto"/>
        <w:bottom w:val="none" w:sz="0" w:space="0" w:color="auto"/>
        <w:right w:val="none" w:sz="0" w:space="0" w:color="auto"/>
      </w:divBdr>
    </w:div>
    <w:div w:id="153837528">
      <w:bodyDiv w:val="1"/>
      <w:marLeft w:val="0"/>
      <w:marRight w:val="0"/>
      <w:marTop w:val="0"/>
      <w:marBottom w:val="0"/>
      <w:divBdr>
        <w:top w:val="none" w:sz="0" w:space="0" w:color="auto"/>
        <w:left w:val="none" w:sz="0" w:space="0" w:color="auto"/>
        <w:bottom w:val="none" w:sz="0" w:space="0" w:color="auto"/>
        <w:right w:val="none" w:sz="0" w:space="0" w:color="auto"/>
      </w:divBdr>
    </w:div>
    <w:div w:id="155998113">
      <w:bodyDiv w:val="1"/>
      <w:marLeft w:val="0"/>
      <w:marRight w:val="0"/>
      <w:marTop w:val="0"/>
      <w:marBottom w:val="0"/>
      <w:divBdr>
        <w:top w:val="none" w:sz="0" w:space="0" w:color="auto"/>
        <w:left w:val="none" w:sz="0" w:space="0" w:color="auto"/>
        <w:bottom w:val="none" w:sz="0" w:space="0" w:color="auto"/>
        <w:right w:val="none" w:sz="0" w:space="0" w:color="auto"/>
      </w:divBdr>
    </w:div>
    <w:div w:id="164514539">
      <w:bodyDiv w:val="1"/>
      <w:marLeft w:val="0"/>
      <w:marRight w:val="0"/>
      <w:marTop w:val="0"/>
      <w:marBottom w:val="0"/>
      <w:divBdr>
        <w:top w:val="none" w:sz="0" w:space="0" w:color="auto"/>
        <w:left w:val="none" w:sz="0" w:space="0" w:color="auto"/>
        <w:bottom w:val="none" w:sz="0" w:space="0" w:color="auto"/>
        <w:right w:val="none" w:sz="0" w:space="0" w:color="auto"/>
      </w:divBdr>
    </w:div>
    <w:div w:id="170872991">
      <w:bodyDiv w:val="1"/>
      <w:marLeft w:val="0"/>
      <w:marRight w:val="0"/>
      <w:marTop w:val="0"/>
      <w:marBottom w:val="0"/>
      <w:divBdr>
        <w:top w:val="none" w:sz="0" w:space="0" w:color="auto"/>
        <w:left w:val="none" w:sz="0" w:space="0" w:color="auto"/>
        <w:bottom w:val="none" w:sz="0" w:space="0" w:color="auto"/>
        <w:right w:val="none" w:sz="0" w:space="0" w:color="auto"/>
      </w:divBdr>
    </w:div>
    <w:div w:id="177431403">
      <w:bodyDiv w:val="1"/>
      <w:marLeft w:val="0"/>
      <w:marRight w:val="0"/>
      <w:marTop w:val="0"/>
      <w:marBottom w:val="0"/>
      <w:divBdr>
        <w:top w:val="none" w:sz="0" w:space="0" w:color="auto"/>
        <w:left w:val="none" w:sz="0" w:space="0" w:color="auto"/>
        <w:bottom w:val="none" w:sz="0" w:space="0" w:color="auto"/>
        <w:right w:val="none" w:sz="0" w:space="0" w:color="auto"/>
      </w:divBdr>
    </w:div>
    <w:div w:id="184249174">
      <w:bodyDiv w:val="1"/>
      <w:marLeft w:val="0"/>
      <w:marRight w:val="0"/>
      <w:marTop w:val="0"/>
      <w:marBottom w:val="0"/>
      <w:divBdr>
        <w:top w:val="none" w:sz="0" w:space="0" w:color="auto"/>
        <w:left w:val="none" w:sz="0" w:space="0" w:color="auto"/>
        <w:bottom w:val="none" w:sz="0" w:space="0" w:color="auto"/>
        <w:right w:val="none" w:sz="0" w:space="0" w:color="auto"/>
      </w:divBdr>
    </w:div>
    <w:div w:id="186456767">
      <w:bodyDiv w:val="1"/>
      <w:marLeft w:val="0"/>
      <w:marRight w:val="0"/>
      <w:marTop w:val="0"/>
      <w:marBottom w:val="0"/>
      <w:divBdr>
        <w:top w:val="none" w:sz="0" w:space="0" w:color="auto"/>
        <w:left w:val="none" w:sz="0" w:space="0" w:color="auto"/>
        <w:bottom w:val="none" w:sz="0" w:space="0" w:color="auto"/>
        <w:right w:val="none" w:sz="0" w:space="0" w:color="auto"/>
      </w:divBdr>
    </w:div>
    <w:div w:id="186912018">
      <w:bodyDiv w:val="1"/>
      <w:marLeft w:val="0"/>
      <w:marRight w:val="0"/>
      <w:marTop w:val="0"/>
      <w:marBottom w:val="0"/>
      <w:divBdr>
        <w:top w:val="none" w:sz="0" w:space="0" w:color="auto"/>
        <w:left w:val="none" w:sz="0" w:space="0" w:color="auto"/>
        <w:bottom w:val="none" w:sz="0" w:space="0" w:color="auto"/>
        <w:right w:val="none" w:sz="0" w:space="0" w:color="auto"/>
      </w:divBdr>
    </w:div>
    <w:div w:id="193426692">
      <w:bodyDiv w:val="1"/>
      <w:marLeft w:val="0"/>
      <w:marRight w:val="0"/>
      <w:marTop w:val="0"/>
      <w:marBottom w:val="0"/>
      <w:divBdr>
        <w:top w:val="none" w:sz="0" w:space="0" w:color="auto"/>
        <w:left w:val="none" w:sz="0" w:space="0" w:color="auto"/>
        <w:bottom w:val="none" w:sz="0" w:space="0" w:color="auto"/>
        <w:right w:val="none" w:sz="0" w:space="0" w:color="auto"/>
      </w:divBdr>
    </w:div>
    <w:div w:id="199903159">
      <w:bodyDiv w:val="1"/>
      <w:marLeft w:val="0"/>
      <w:marRight w:val="0"/>
      <w:marTop w:val="0"/>
      <w:marBottom w:val="0"/>
      <w:divBdr>
        <w:top w:val="none" w:sz="0" w:space="0" w:color="auto"/>
        <w:left w:val="none" w:sz="0" w:space="0" w:color="auto"/>
        <w:bottom w:val="none" w:sz="0" w:space="0" w:color="auto"/>
        <w:right w:val="none" w:sz="0" w:space="0" w:color="auto"/>
      </w:divBdr>
    </w:div>
    <w:div w:id="205417135">
      <w:bodyDiv w:val="1"/>
      <w:marLeft w:val="0"/>
      <w:marRight w:val="0"/>
      <w:marTop w:val="0"/>
      <w:marBottom w:val="0"/>
      <w:divBdr>
        <w:top w:val="none" w:sz="0" w:space="0" w:color="auto"/>
        <w:left w:val="none" w:sz="0" w:space="0" w:color="auto"/>
        <w:bottom w:val="none" w:sz="0" w:space="0" w:color="auto"/>
        <w:right w:val="none" w:sz="0" w:space="0" w:color="auto"/>
      </w:divBdr>
    </w:div>
    <w:div w:id="210507255">
      <w:bodyDiv w:val="1"/>
      <w:marLeft w:val="0"/>
      <w:marRight w:val="0"/>
      <w:marTop w:val="0"/>
      <w:marBottom w:val="0"/>
      <w:divBdr>
        <w:top w:val="none" w:sz="0" w:space="0" w:color="auto"/>
        <w:left w:val="none" w:sz="0" w:space="0" w:color="auto"/>
        <w:bottom w:val="none" w:sz="0" w:space="0" w:color="auto"/>
        <w:right w:val="none" w:sz="0" w:space="0" w:color="auto"/>
      </w:divBdr>
    </w:div>
    <w:div w:id="210852490">
      <w:bodyDiv w:val="1"/>
      <w:marLeft w:val="0"/>
      <w:marRight w:val="0"/>
      <w:marTop w:val="0"/>
      <w:marBottom w:val="0"/>
      <w:divBdr>
        <w:top w:val="none" w:sz="0" w:space="0" w:color="auto"/>
        <w:left w:val="none" w:sz="0" w:space="0" w:color="auto"/>
        <w:bottom w:val="none" w:sz="0" w:space="0" w:color="auto"/>
        <w:right w:val="none" w:sz="0" w:space="0" w:color="auto"/>
      </w:divBdr>
    </w:div>
    <w:div w:id="244725114">
      <w:bodyDiv w:val="1"/>
      <w:marLeft w:val="0"/>
      <w:marRight w:val="0"/>
      <w:marTop w:val="0"/>
      <w:marBottom w:val="0"/>
      <w:divBdr>
        <w:top w:val="none" w:sz="0" w:space="0" w:color="auto"/>
        <w:left w:val="none" w:sz="0" w:space="0" w:color="auto"/>
        <w:bottom w:val="none" w:sz="0" w:space="0" w:color="auto"/>
        <w:right w:val="none" w:sz="0" w:space="0" w:color="auto"/>
      </w:divBdr>
    </w:div>
    <w:div w:id="248853669">
      <w:bodyDiv w:val="1"/>
      <w:marLeft w:val="0"/>
      <w:marRight w:val="0"/>
      <w:marTop w:val="0"/>
      <w:marBottom w:val="0"/>
      <w:divBdr>
        <w:top w:val="none" w:sz="0" w:space="0" w:color="auto"/>
        <w:left w:val="none" w:sz="0" w:space="0" w:color="auto"/>
        <w:bottom w:val="none" w:sz="0" w:space="0" w:color="auto"/>
        <w:right w:val="none" w:sz="0" w:space="0" w:color="auto"/>
      </w:divBdr>
    </w:div>
    <w:div w:id="249242670">
      <w:bodyDiv w:val="1"/>
      <w:marLeft w:val="0"/>
      <w:marRight w:val="0"/>
      <w:marTop w:val="0"/>
      <w:marBottom w:val="0"/>
      <w:divBdr>
        <w:top w:val="none" w:sz="0" w:space="0" w:color="auto"/>
        <w:left w:val="none" w:sz="0" w:space="0" w:color="auto"/>
        <w:bottom w:val="none" w:sz="0" w:space="0" w:color="auto"/>
        <w:right w:val="none" w:sz="0" w:space="0" w:color="auto"/>
      </w:divBdr>
    </w:div>
    <w:div w:id="256400924">
      <w:bodyDiv w:val="1"/>
      <w:marLeft w:val="0"/>
      <w:marRight w:val="0"/>
      <w:marTop w:val="0"/>
      <w:marBottom w:val="0"/>
      <w:divBdr>
        <w:top w:val="none" w:sz="0" w:space="0" w:color="auto"/>
        <w:left w:val="none" w:sz="0" w:space="0" w:color="auto"/>
        <w:bottom w:val="none" w:sz="0" w:space="0" w:color="auto"/>
        <w:right w:val="none" w:sz="0" w:space="0" w:color="auto"/>
      </w:divBdr>
    </w:div>
    <w:div w:id="258373143">
      <w:bodyDiv w:val="1"/>
      <w:marLeft w:val="0"/>
      <w:marRight w:val="0"/>
      <w:marTop w:val="0"/>
      <w:marBottom w:val="0"/>
      <w:divBdr>
        <w:top w:val="none" w:sz="0" w:space="0" w:color="auto"/>
        <w:left w:val="none" w:sz="0" w:space="0" w:color="auto"/>
        <w:bottom w:val="none" w:sz="0" w:space="0" w:color="auto"/>
        <w:right w:val="none" w:sz="0" w:space="0" w:color="auto"/>
      </w:divBdr>
    </w:div>
    <w:div w:id="260649560">
      <w:bodyDiv w:val="1"/>
      <w:marLeft w:val="0"/>
      <w:marRight w:val="0"/>
      <w:marTop w:val="0"/>
      <w:marBottom w:val="0"/>
      <w:divBdr>
        <w:top w:val="none" w:sz="0" w:space="0" w:color="auto"/>
        <w:left w:val="none" w:sz="0" w:space="0" w:color="auto"/>
        <w:bottom w:val="none" w:sz="0" w:space="0" w:color="auto"/>
        <w:right w:val="none" w:sz="0" w:space="0" w:color="auto"/>
      </w:divBdr>
    </w:div>
    <w:div w:id="272633961">
      <w:bodyDiv w:val="1"/>
      <w:marLeft w:val="0"/>
      <w:marRight w:val="0"/>
      <w:marTop w:val="0"/>
      <w:marBottom w:val="0"/>
      <w:divBdr>
        <w:top w:val="none" w:sz="0" w:space="0" w:color="auto"/>
        <w:left w:val="none" w:sz="0" w:space="0" w:color="auto"/>
        <w:bottom w:val="none" w:sz="0" w:space="0" w:color="auto"/>
        <w:right w:val="none" w:sz="0" w:space="0" w:color="auto"/>
      </w:divBdr>
    </w:div>
    <w:div w:id="278294194">
      <w:bodyDiv w:val="1"/>
      <w:marLeft w:val="0"/>
      <w:marRight w:val="0"/>
      <w:marTop w:val="0"/>
      <w:marBottom w:val="0"/>
      <w:divBdr>
        <w:top w:val="none" w:sz="0" w:space="0" w:color="auto"/>
        <w:left w:val="none" w:sz="0" w:space="0" w:color="auto"/>
        <w:bottom w:val="none" w:sz="0" w:space="0" w:color="auto"/>
        <w:right w:val="none" w:sz="0" w:space="0" w:color="auto"/>
      </w:divBdr>
    </w:div>
    <w:div w:id="278534154">
      <w:bodyDiv w:val="1"/>
      <w:marLeft w:val="0"/>
      <w:marRight w:val="0"/>
      <w:marTop w:val="0"/>
      <w:marBottom w:val="0"/>
      <w:divBdr>
        <w:top w:val="none" w:sz="0" w:space="0" w:color="auto"/>
        <w:left w:val="none" w:sz="0" w:space="0" w:color="auto"/>
        <w:bottom w:val="none" w:sz="0" w:space="0" w:color="auto"/>
        <w:right w:val="none" w:sz="0" w:space="0" w:color="auto"/>
      </w:divBdr>
    </w:div>
    <w:div w:id="294720192">
      <w:bodyDiv w:val="1"/>
      <w:marLeft w:val="0"/>
      <w:marRight w:val="0"/>
      <w:marTop w:val="0"/>
      <w:marBottom w:val="0"/>
      <w:divBdr>
        <w:top w:val="none" w:sz="0" w:space="0" w:color="auto"/>
        <w:left w:val="none" w:sz="0" w:space="0" w:color="auto"/>
        <w:bottom w:val="none" w:sz="0" w:space="0" w:color="auto"/>
        <w:right w:val="none" w:sz="0" w:space="0" w:color="auto"/>
      </w:divBdr>
    </w:div>
    <w:div w:id="295137788">
      <w:bodyDiv w:val="1"/>
      <w:marLeft w:val="0"/>
      <w:marRight w:val="0"/>
      <w:marTop w:val="0"/>
      <w:marBottom w:val="0"/>
      <w:divBdr>
        <w:top w:val="none" w:sz="0" w:space="0" w:color="auto"/>
        <w:left w:val="none" w:sz="0" w:space="0" w:color="auto"/>
        <w:bottom w:val="none" w:sz="0" w:space="0" w:color="auto"/>
        <w:right w:val="none" w:sz="0" w:space="0" w:color="auto"/>
      </w:divBdr>
    </w:div>
    <w:div w:id="296106721">
      <w:bodyDiv w:val="1"/>
      <w:marLeft w:val="0"/>
      <w:marRight w:val="0"/>
      <w:marTop w:val="0"/>
      <w:marBottom w:val="0"/>
      <w:divBdr>
        <w:top w:val="none" w:sz="0" w:space="0" w:color="auto"/>
        <w:left w:val="none" w:sz="0" w:space="0" w:color="auto"/>
        <w:bottom w:val="none" w:sz="0" w:space="0" w:color="auto"/>
        <w:right w:val="none" w:sz="0" w:space="0" w:color="auto"/>
      </w:divBdr>
    </w:div>
    <w:div w:id="296492661">
      <w:bodyDiv w:val="1"/>
      <w:marLeft w:val="0"/>
      <w:marRight w:val="0"/>
      <w:marTop w:val="0"/>
      <w:marBottom w:val="0"/>
      <w:divBdr>
        <w:top w:val="none" w:sz="0" w:space="0" w:color="auto"/>
        <w:left w:val="none" w:sz="0" w:space="0" w:color="auto"/>
        <w:bottom w:val="none" w:sz="0" w:space="0" w:color="auto"/>
        <w:right w:val="none" w:sz="0" w:space="0" w:color="auto"/>
      </w:divBdr>
    </w:div>
    <w:div w:id="304436823">
      <w:bodyDiv w:val="1"/>
      <w:marLeft w:val="0"/>
      <w:marRight w:val="0"/>
      <w:marTop w:val="0"/>
      <w:marBottom w:val="0"/>
      <w:divBdr>
        <w:top w:val="none" w:sz="0" w:space="0" w:color="auto"/>
        <w:left w:val="none" w:sz="0" w:space="0" w:color="auto"/>
        <w:bottom w:val="none" w:sz="0" w:space="0" w:color="auto"/>
        <w:right w:val="none" w:sz="0" w:space="0" w:color="auto"/>
      </w:divBdr>
    </w:div>
    <w:div w:id="306974681">
      <w:bodyDiv w:val="1"/>
      <w:marLeft w:val="0"/>
      <w:marRight w:val="0"/>
      <w:marTop w:val="0"/>
      <w:marBottom w:val="0"/>
      <w:divBdr>
        <w:top w:val="none" w:sz="0" w:space="0" w:color="auto"/>
        <w:left w:val="none" w:sz="0" w:space="0" w:color="auto"/>
        <w:bottom w:val="none" w:sz="0" w:space="0" w:color="auto"/>
        <w:right w:val="none" w:sz="0" w:space="0" w:color="auto"/>
      </w:divBdr>
    </w:div>
    <w:div w:id="313801799">
      <w:bodyDiv w:val="1"/>
      <w:marLeft w:val="0"/>
      <w:marRight w:val="0"/>
      <w:marTop w:val="0"/>
      <w:marBottom w:val="0"/>
      <w:divBdr>
        <w:top w:val="none" w:sz="0" w:space="0" w:color="auto"/>
        <w:left w:val="none" w:sz="0" w:space="0" w:color="auto"/>
        <w:bottom w:val="none" w:sz="0" w:space="0" w:color="auto"/>
        <w:right w:val="none" w:sz="0" w:space="0" w:color="auto"/>
      </w:divBdr>
    </w:div>
    <w:div w:id="318458432">
      <w:bodyDiv w:val="1"/>
      <w:marLeft w:val="0"/>
      <w:marRight w:val="0"/>
      <w:marTop w:val="0"/>
      <w:marBottom w:val="0"/>
      <w:divBdr>
        <w:top w:val="none" w:sz="0" w:space="0" w:color="auto"/>
        <w:left w:val="none" w:sz="0" w:space="0" w:color="auto"/>
        <w:bottom w:val="none" w:sz="0" w:space="0" w:color="auto"/>
        <w:right w:val="none" w:sz="0" w:space="0" w:color="auto"/>
      </w:divBdr>
    </w:div>
    <w:div w:id="325401687">
      <w:bodyDiv w:val="1"/>
      <w:marLeft w:val="0"/>
      <w:marRight w:val="0"/>
      <w:marTop w:val="0"/>
      <w:marBottom w:val="0"/>
      <w:divBdr>
        <w:top w:val="none" w:sz="0" w:space="0" w:color="auto"/>
        <w:left w:val="none" w:sz="0" w:space="0" w:color="auto"/>
        <w:bottom w:val="none" w:sz="0" w:space="0" w:color="auto"/>
        <w:right w:val="none" w:sz="0" w:space="0" w:color="auto"/>
      </w:divBdr>
    </w:div>
    <w:div w:id="331031355">
      <w:bodyDiv w:val="1"/>
      <w:marLeft w:val="0"/>
      <w:marRight w:val="0"/>
      <w:marTop w:val="0"/>
      <w:marBottom w:val="0"/>
      <w:divBdr>
        <w:top w:val="none" w:sz="0" w:space="0" w:color="auto"/>
        <w:left w:val="none" w:sz="0" w:space="0" w:color="auto"/>
        <w:bottom w:val="none" w:sz="0" w:space="0" w:color="auto"/>
        <w:right w:val="none" w:sz="0" w:space="0" w:color="auto"/>
      </w:divBdr>
    </w:div>
    <w:div w:id="343410130">
      <w:bodyDiv w:val="1"/>
      <w:marLeft w:val="0"/>
      <w:marRight w:val="0"/>
      <w:marTop w:val="0"/>
      <w:marBottom w:val="0"/>
      <w:divBdr>
        <w:top w:val="none" w:sz="0" w:space="0" w:color="auto"/>
        <w:left w:val="none" w:sz="0" w:space="0" w:color="auto"/>
        <w:bottom w:val="none" w:sz="0" w:space="0" w:color="auto"/>
        <w:right w:val="none" w:sz="0" w:space="0" w:color="auto"/>
      </w:divBdr>
    </w:div>
    <w:div w:id="361201336">
      <w:bodyDiv w:val="1"/>
      <w:marLeft w:val="0"/>
      <w:marRight w:val="0"/>
      <w:marTop w:val="0"/>
      <w:marBottom w:val="0"/>
      <w:divBdr>
        <w:top w:val="none" w:sz="0" w:space="0" w:color="auto"/>
        <w:left w:val="none" w:sz="0" w:space="0" w:color="auto"/>
        <w:bottom w:val="none" w:sz="0" w:space="0" w:color="auto"/>
        <w:right w:val="none" w:sz="0" w:space="0" w:color="auto"/>
      </w:divBdr>
    </w:div>
    <w:div w:id="362096018">
      <w:bodyDiv w:val="1"/>
      <w:marLeft w:val="0"/>
      <w:marRight w:val="0"/>
      <w:marTop w:val="0"/>
      <w:marBottom w:val="0"/>
      <w:divBdr>
        <w:top w:val="none" w:sz="0" w:space="0" w:color="auto"/>
        <w:left w:val="none" w:sz="0" w:space="0" w:color="auto"/>
        <w:bottom w:val="none" w:sz="0" w:space="0" w:color="auto"/>
        <w:right w:val="none" w:sz="0" w:space="0" w:color="auto"/>
      </w:divBdr>
    </w:div>
    <w:div w:id="365184787">
      <w:bodyDiv w:val="1"/>
      <w:marLeft w:val="0"/>
      <w:marRight w:val="0"/>
      <w:marTop w:val="0"/>
      <w:marBottom w:val="0"/>
      <w:divBdr>
        <w:top w:val="none" w:sz="0" w:space="0" w:color="auto"/>
        <w:left w:val="none" w:sz="0" w:space="0" w:color="auto"/>
        <w:bottom w:val="none" w:sz="0" w:space="0" w:color="auto"/>
        <w:right w:val="none" w:sz="0" w:space="0" w:color="auto"/>
      </w:divBdr>
    </w:div>
    <w:div w:id="366370560">
      <w:bodyDiv w:val="1"/>
      <w:marLeft w:val="0"/>
      <w:marRight w:val="0"/>
      <w:marTop w:val="0"/>
      <w:marBottom w:val="0"/>
      <w:divBdr>
        <w:top w:val="none" w:sz="0" w:space="0" w:color="auto"/>
        <w:left w:val="none" w:sz="0" w:space="0" w:color="auto"/>
        <w:bottom w:val="none" w:sz="0" w:space="0" w:color="auto"/>
        <w:right w:val="none" w:sz="0" w:space="0" w:color="auto"/>
      </w:divBdr>
    </w:div>
    <w:div w:id="371031559">
      <w:bodyDiv w:val="1"/>
      <w:marLeft w:val="0"/>
      <w:marRight w:val="0"/>
      <w:marTop w:val="0"/>
      <w:marBottom w:val="0"/>
      <w:divBdr>
        <w:top w:val="none" w:sz="0" w:space="0" w:color="auto"/>
        <w:left w:val="none" w:sz="0" w:space="0" w:color="auto"/>
        <w:bottom w:val="none" w:sz="0" w:space="0" w:color="auto"/>
        <w:right w:val="none" w:sz="0" w:space="0" w:color="auto"/>
      </w:divBdr>
    </w:div>
    <w:div w:id="387611474">
      <w:bodyDiv w:val="1"/>
      <w:marLeft w:val="0"/>
      <w:marRight w:val="0"/>
      <w:marTop w:val="0"/>
      <w:marBottom w:val="0"/>
      <w:divBdr>
        <w:top w:val="none" w:sz="0" w:space="0" w:color="auto"/>
        <w:left w:val="none" w:sz="0" w:space="0" w:color="auto"/>
        <w:bottom w:val="none" w:sz="0" w:space="0" w:color="auto"/>
        <w:right w:val="none" w:sz="0" w:space="0" w:color="auto"/>
      </w:divBdr>
    </w:div>
    <w:div w:id="399056460">
      <w:bodyDiv w:val="1"/>
      <w:marLeft w:val="0"/>
      <w:marRight w:val="0"/>
      <w:marTop w:val="0"/>
      <w:marBottom w:val="0"/>
      <w:divBdr>
        <w:top w:val="none" w:sz="0" w:space="0" w:color="auto"/>
        <w:left w:val="none" w:sz="0" w:space="0" w:color="auto"/>
        <w:bottom w:val="none" w:sz="0" w:space="0" w:color="auto"/>
        <w:right w:val="none" w:sz="0" w:space="0" w:color="auto"/>
      </w:divBdr>
    </w:div>
    <w:div w:id="403070731">
      <w:bodyDiv w:val="1"/>
      <w:marLeft w:val="0"/>
      <w:marRight w:val="0"/>
      <w:marTop w:val="0"/>
      <w:marBottom w:val="0"/>
      <w:divBdr>
        <w:top w:val="none" w:sz="0" w:space="0" w:color="auto"/>
        <w:left w:val="none" w:sz="0" w:space="0" w:color="auto"/>
        <w:bottom w:val="none" w:sz="0" w:space="0" w:color="auto"/>
        <w:right w:val="none" w:sz="0" w:space="0" w:color="auto"/>
      </w:divBdr>
    </w:div>
    <w:div w:id="404496224">
      <w:bodyDiv w:val="1"/>
      <w:marLeft w:val="0"/>
      <w:marRight w:val="0"/>
      <w:marTop w:val="0"/>
      <w:marBottom w:val="0"/>
      <w:divBdr>
        <w:top w:val="none" w:sz="0" w:space="0" w:color="auto"/>
        <w:left w:val="none" w:sz="0" w:space="0" w:color="auto"/>
        <w:bottom w:val="none" w:sz="0" w:space="0" w:color="auto"/>
        <w:right w:val="none" w:sz="0" w:space="0" w:color="auto"/>
      </w:divBdr>
    </w:div>
    <w:div w:id="409350305">
      <w:bodyDiv w:val="1"/>
      <w:marLeft w:val="0"/>
      <w:marRight w:val="0"/>
      <w:marTop w:val="0"/>
      <w:marBottom w:val="0"/>
      <w:divBdr>
        <w:top w:val="none" w:sz="0" w:space="0" w:color="auto"/>
        <w:left w:val="none" w:sz="0" w:space="0" w:color="auto"/>
        <w:bottom w:val="none" w:sz="0" w:space="0" w:color="auto"/>
        <w:right w:val="none" w:sz="0" w:space="0" w:color="auto"/>
      </w:divBdr>
    </w:div>
    <w:div w:id="413362384">
      <w:bodyDiv w:val="1"/>
      <w:marLeft w:val="0"/>
      <w:marRight w:val="0"/>
      <w:marTop w:val="0"/>
      <w:marBottom w:val="0"/>
      <w:divBdr>
        <w:top w:val="none" w:sz="0" w:space="0" w:color="auto"/>
        <w:left w:val="none" w:sz="0" w:space="0" w:color="auto"/>
        <w:bottom w:val="none" w:sz="0" w:space="0" w:color="auto"/>
        <w:right w:val="none" w:sz="0" w:space="0" w:color="auto"/>
      </w:divBdr>
    </w:div>
    <w:div w:id="416555560">
      <w:bodyDiv w:val="1"/>
      <w:marLeft w:val="0"/>
      <w:marRight w:val="0"/>
      <w:marTop w:val="0"/>
      <w:marBottom w:val="0"/>
      <w:divBdr>
        <w:top w:val="none" w:sz="0" w:space="0" w:color="auto"/>
        <w:left w:val="none" w:sz="0" w:space="0" w:color="auto"/>
        <w:bottom w:val="none" w:sz="0" w:space="0" w:color="auto"/>
        <w:right w:val="none" w:sz="0" w:space="0" w:color="auto"/>
      </w:divBdr>
    </w:div>
    <w:div w:id="434906742">
      <w:bodyDiv w:val="1"/>
      <w:marLeft w:val="0"/>
      <w:marRight w:val="0"/>
      <w:marTop w:val="0"/>
      <w:marBottom w:val="0"/>
      <w:divBdr>
        <w:top w:val="none" w:sz="0" w:space="0" w:color="auto"/>
        <w:left w:val="none" w:sz="0" w:space="0" w:color="auto"/>
        <w:bottom w:val="none" w:sz="0" w:space="0" w:color="auto"/>
        <w:right w:val="none" w:sz="0" w:space="0" w:color="auto"/>
      </w:divBdr>
    </w:div>
    <w:div w:id="440413541">
      <w:bodyDiv w:val="1"/>
      <w:marLeft w:val="0"/>
      <w:marRight w:val="0"/>
      <w:marTop w:val="0"/>
      <w:marBottom w:val="0"/>
      <w:divBdr>
        <w:top w:val="none" w:sz="0" w:space="0" w:color="auto"/>
        <w:left w:val="none" w:sz="0" w:space="0" w:color="auto"/>
        <w:bottom w:val="none" w:sz="0" w:space="0" w:color="auto"/>
        <w:right w:val="none" w:sz="0" w:space="0" w:color="auto"/>
      </w:divBdr>
    </w:div>
    <w:div w:id="440995032">
      <w:bodyDiv w:val="1"/>
      <w:marLeft w:val="0"/>
      <w:marRight w:val="0"/>
      <w:marTop w:val="0"/>
      <w:marBottom w:val="0"/>
      <w:divBdr>
        <w:top w:val="none" w:sz="0" w:space="0" w:color="auto"/>
        <w:left w:val="none" w:sz="0" w:space="0" w:color="auto"/>
        <w:bottom w:val="none" w:sz="0" w:space="0" w:color="auto"/>
        <w:right w:val="none" w:sz="0" w:space="0" w:color="auto"/>
      </w:divBdr>
    </w:div>
    <w:div w:id="448283433">
      <w:bodyDiv w:val="1"/>
      <w:marLeft w:val="0"/>
      <w:marRight w:val="0"/>
      <w:marTop w:val="0"/>
      <w:marBottom w:val="0"/>
      <w:divBdr>
        <w:top w:val="none" w:sz="0" w:space="0" w:color="auto"/>
        <w:left w:val="none" w:sz="0" w:space="0" w:color="auto"/>
        <w:bottom w:val="none" w:sz="0" w:space="0" w:color="auto"/>
        <w:right w:val="none" w:sz="0" w:space="0" w:color="auto"/>
      </w:divBdr>
    </w:div>
    <w:div w:id="450322547">
      <w:bodyDiv w:val="1"/>
      <w:marLeft w:val="0"/>
      <w:marRight w:val="0"/>
      <w:marTop w:val="0"/>
      <w:marBottom w:val="0"/>
      <w:divBdr>
        <w:top w:val="none" w:sz="0" w:space="0" w:color="auto"/>
        <w:left w:val="none" w:sz="0" w:space="0" w:color="auto"/>
        <w:bottom w:val="none" w:sz="0" w:space="0" w:color="auto"/>
        <w:right w:val="none" w:sz="0" w:space="0" w:color="auto"/>
      </w:divBdr>
    </w:div>
    <w:div w:id="452099890">
      <w:bodyDiv w:val="1"/>
      <w:marLeft w:val="0"/>
      <w:marRight w:val="0"/>
      <w:marTop w:val="0"/>
      <w:marBottom w:val="0"/>
      <w:divBdr>
        <w:top w:val="none" w:sz="0" w:space="0" w:color="auto"/>
        <w:left w:val="none" w:sz="0" w:space="0" w:color="auto"/>
        <w:bottom w:val="none" w:sz="0" w:space="0" w:color="auto"/>
        <w:right w:val="none" w:sz="0" w:space="0" w:color="auto"/>
      </w:divBdr>
    </w:div>
    <w:div w:id="461660045">
      <w:bodyDiv w:val="1"/>
      <w:marLeft w:val="0"/>
      <w:marRight w:val="0"/>
      <w:marTop w:val="0"/>
      <w:marBottom w:val="0"/>
      <w:divBdr>
        <w:top w:val="none" w:sz="0" w:space="0" w:color="auto"/>
        <w:left w:val="none" w:sz="0" w:space="0" w:color="auto"/>
        <w:bottom w:val="none" w:sz="0" w:space="0" w:color="auto"/>
        <w:right w:val="none" w:sz="0" w:space="0" w:color="auto"/>
      </w:divBdr>
    </w:div>
    <w:div w:id="462504817">
      <w:bodyDiv w:val="1"/>
      <w:marLeft w:val="0"/>
      <w:marRight w:val="0"/>
      <w:marTop w:val="0"/>
      <w:marBottom w:val="0"/>
      <w:divBdr>
        <w:top w:val="none" w:sz="0" w:space="0" w:color="auto"/>
        <w:left w:val="none" w:sz="0" w:space="0" w:color="auto"/>
        <w:bottom w:val="none" w:sz="0" w:space="0" w:color="auto"/>
        <w:right w:val="none" w:sz="0" w:space="0" w:color="auto"/>
      </w:divBdr>
    </w:div>
    <w:div w:id="465467989">
      <w:bodyDiv w:val="1"/>
      <w:marLeft w:val="0"/>
      <w:marRight w:val="0"/>
      <w:marTop w:val="0"/>
      <w:marBottom w:val="0"/>
      <w:divBdr>
        <w:top w:val="none" w:sz="0" w:space="0" w:color="auto"/>
        <w:left w:val="none" w:sz="0" w:space="0" w:color="auto"/>
        <w:bottom w:val="none" w:sz="0" w:space="0" w:color="auto"/>
        <w:right w:val="none" w:sz="0" w:space="0" w:color="auto"/>
      </w:divBdr>
    </w:div>
    <w:div w:id="468593361">
      <w:bodyDiv w:val="1"/>
      <w:marLeft w:val="0"/>
      <w:marRight w:val="0"/>
      <w:marTop w:val="0"/>
      <w:marBottom w:val="0"/>
      <w:divBdr>
        <w:top w:val="none" w:sz="0" w:space="0" w:color="auto"/>
        <w:left w:val="none" w:sz="0" w:space="0" w:color="auto"/>
        <w:bottom w:val="none" w:sz="0" w:space="0" w:color="auto"/>
        <w:right w:val="none" w:sz="0" w:space="0" w:color="auto"/>
      </w:divBdr>
    </w:div>
    <w:div w:id="469713817">
      <w:bodyDiv w:val="1"/>
      <w:marLeft w:val="0"/>
      <w:marRight w:val="0"/>
      <w:marTop w:val="0"/>
      <w:marBottom w:val="0"/>
      <w:divBdr>
        <w:top w:val="none" w:sz="0" w:space="0" w:color="auto"/>
        <w:left w:val="none" w:sz="0" w:space="0" w:color="auto"/>
        <w:bottom w:val="none" w:sz="0" w:space="0" w:color="auto"/>
        <w:right w:val="none" w:sz="0" w:space="0" w:color="auto"/>
      </w:divBdr>
    </w:div>
    <w:div w:id="472407931">
      <w:bodyDiv w:val="1"/>
      <w:marLeft w:val="0"/>
      <w:marRight w:val="0"/>
      <w:marTop w:val="0"/>
      <w:marBottom w:val="0"/>
      <w:divBdr>
        <w:top w:val="none" w:sz="0" w:space="0" w:color="auto"/>
        <w:left w:val="none" w:sz="0" w:space="0" w:color="auto"/>
        <w:bottom w:val="none" w:sz="0" w:space="0" w:color="auto"/>
        <w:right w:val="none" w:sz="0" w:space="0" w:color="auto"/>
      </w:divBdr>
    </w:div>
    <w:div w:id="475492424">
      <w:bodyDiv w:val="1"/>
      <w:marLeft w:val="0"/>
      <w:marRight w:val="0"/>
      <w:marTop w:val="0"/>
      <w:marBottom w:val="0"/>
      <w:divBdr>
        <w:top w:val="none" w:sz="0" w:space="0" w:color="auto"/>
        <w:left w:val="none" w:sz="0" w:space="0" w:color="auto"/>
        <w:bottom w:val="none" w:sz="0" w:space="0" w:color="auto"/>
        <w:right w:val="none" w:sz="0" w:space="0" w:color="auto"/>
      </w:divBdr>
    </w:div>
    <w:div w:id="484394462">
      <w:bodyDiv w:val="1"/>
      <w:marLeft w:val="0"/>
      <w:marRight w:val="0"/>
      <w:marTop w:val="0"/>
      <w:marBottom w:val="0"/>
      <w:divBdr>
        <w:top w:val="none" w:sz="0" w:space="0" w:color="auto"/>
        <w:left w:val="none" w:sz="0" w:space="0" w:color="auto"/>
        <w:bottom w:val="none" w:sz="0" w:space="0" w:color="auto"/>
        <w:right w:val="none" w:sz="0" w:space="0" w:color="auto"/>
      </w:divBdr>
    </w:div>
    <w:div w:id="487094099">
      <w:bodyDiv w:val="1"/>
      <w:marLeft w:val="0"/>
      <w:marRight w:val="0"/>
      <w:marTop w:val="0"/>
      <w:marBottom w:val="0"/>
      <w:divBdr>
        <w:top w:val="none" w:sz="0" w:space="0" w:color="auto"/>
        <w:left w:val="none" w:sz="0" w:space="0" w:color="auto"/>
        <w:bottom w:val="none" w:sz="0" w:space="0" w:color="auto"/>
        <w:right w:val="none" w:sz="0" w:space="0" w:color="auto"/>
      </w:divBdr>
    </w:div>
    <w:div w:id="491529891">
      <w:bodyDiv w:val="1"/>
      <w:marLeft w:val="0"/>
      <w:marRight w:val="0"/>
      <w:marTop w:val="0"/>
      <w:marBottom w:val="0"/>
      <w:divBdr>
        <w:top w:val="none" w:sz="0" w:space="0" w:color="auto"/>
        <w:left w:val="none" w:sz="0" w:space="0" w:color="auto"/>
        <w:bottom w:val="none" w:sz="0" w:space="0" w:color="auto"/>
        <w:right w:val="none" w:sz="0" w:space="0" w:color="auto"/>
      </w:divBdr>
    </w:div>
    <w:div w:id="498274177">
      <w:bodyDiv w:val="1"/>
      <w:marLeft w:val="0"/>
      <w:marRight w:val="0"/>
      <w:marTop w:val="0"/>
      <w:marBottom w:val="0"/>
      <w:divBdr>
        <w:top w:val="none" w:sz="0" w:space="0" w:color="auto"/>
        <w:left w:val="none" w:sz="0" w:space="0" w:color="auto"/>
        <w:bottom w:val="none" w:sz="0" w:space="0" w:color="auto"/>
        <w:right w:val="none" w:sz="0" w:space="0" w:color="auto"/>
      </w:divBdr>
    </w:div>
    <w:div w:id="501699448">
      <w:bodyDiv w:val="1"/>
      <w:marLeft w:val="0"/>
      <w:marRight w:val="0"/>
      <w:marTop w:val="0"/>
      <w:marBottom w:val="0"/>
      <w:divBdr>
        <w:top w:val="none" w:sz="0" w:space="0" w:color="auto"/>
        <w:left w:val="none" w:sz="0" w:space="0" w:color="auto"/>
        <w:bottom w:val="none" w:sz="0" w:space="0" w:color="auto"/>
        <w:right w:val="none" w:sz="0" w:space="0" w:color="auto"/>
      </w:divBdr>
    </w:div>
    <w:div w:id="524826580">
      <w:bodyDiv w:val="1"/>
      <w:marLeft w:val="0"/>
      <w:marRight w:val="0"/>
      <w:marTop w:val="0"/>
      <w:marBottom w:val="0"/>
      <w:divBdr>
        <w:top w:val="none" w:sz="0" w:space="0" w:color="auto"/>
        <w:left w:val="none" w:sz="0" w:space="0" w:color="auto"/>
        <w:bottom w:val="none" w:sz="0" w:space="0" w:color="auto"/>
        <w:right w:val="none" w:sz="0" w:space="0" w:color="auto"/>
      </w:divBdr>
    </w:div>
    <w:div w:id="530537982">
      <w:bodyDiv w:val="1"/>
      <w:marLeft w:val="0"/>
      <w:marRight w:val="0"/>
      <w:marTop w:val="0"/>
      <w:marBottom w:val="0"/>
      <w:divBdr>
        <w:top w:val="none" w:sz="0" w:space="0" w:color="auto"/>
        <w:left w:val="none" w:sz="0" w:space="0" w:color="auto"/>
        <w:bottom w:val="none" w:sz="0" w:space="0" w:color="auto"/>
        <w:right w:val="none" w:sz="0" w:space="0" w:color="auto"/>
      </w:divBdr>
    </w:div>
    <w:div w:id="557012660">
      <w:bodyDiv w:val="1"/>
      <w:marLeft w:val="0"/>
      <w:marRight w:val="0"/>
      <w:marTop w:val="0"/>
      <w:marBottom w:val="0"/>
      <w:divBdr>
        <w:top w:val="none" w:sz="0" w:space="0" w:color="auto"/>
        <w:left w:val="none" w:sz="0" w:space="0" w:color="auto"/>
        <w:bottom w:val="none" w:sz="0" w:space="0" w:color="auto"/>
        <w:right w:val="none" w:sz="0" w:space="0" w:color="auto"/>
      </w:divBdr>
    </w:div>
    <w:div w:id="561674042">
      <w:bodyDiv w:val="1"/>
      <w:marLeft w:val="0"/>
      <w:marRight w:val="0"/>
      <w:marTop w:val="0"/>
      <w:marBottom w:val="0"/>
      <w:divBdr>
        <w:top w:val="none" w:sz="0" w:space="0" w:color="auto"/>
        <w:left w:val="none" w:sz="0" w:space="0" w:color="auto"/>
        <w:bottom w:val="none" w:sz="0" w:space="0" w:color="auto"/>
        <w:right w:val="none" w:sz="0" w:space="0" w:color="auto"/>
      </w:divBdr>
    </w:div>
    <w:div w:id="561715103">
      <w:bodyDiv w:val="1"/>
      <w:marLeft w:val="0"/>
      <w:marRight w:val="0"/>
      <w:marTop w:val="0"/>
      <w:marBottom w:val="0"/>
      <w:divBdr>
        <w:top w:val="none" w:sz="0" w:space="0" w:color="auto"/>
        <w:left w:val="none" w:sz="0" w:space="0" w:color="auto"/>
        <w:bottom w:val="none" w:sz="0" w:space="0" w:color="auto"/>
        <w:right w:val="none" w:sz="0" w:space="0" w:color="auto"/>
      </w:divBdr>
    </w:div>
    <w:div w:id="564878599">
      <w:bodyDiv w:val="1"/>
      <w:marLeft w:val="0"/>
      <w:marRight w:val="0"/>
      <w:marTop w:val="0"/>
      <w:marBottom w:val="0"/>
      <w:divBdr>
        <w:top w:val="none" w:sz="0" w:space="0" w:color="auto"/>
        <w:left w:val="none" w:sz="0" w:space="0" w:color="auto"/>
        <w:bottom w:val="none" w:sz="0" w:space="0" w:color="auto"/>
        <w:right w:val="none" w:sz="0" w:space="0" w:color="auto"/>
      </w:divBdr>
    </w:div>
    <w:div w:id="572473160">
      <w:bodyDiv w:val="1"/>
      <w:marLeft w:val="0"/>
      <w:marRight w:val="0"/>
      <w:marTop w:val="0"/>
      <w:marBottom w:val="0"/>
      <w:divBdr>
        <w:top w:val="none" w:sz="0" w:space="0" w:color="auto"/>
        <w:left w:val="none" w:sz="0" w:space="0" w:color="auto"/>
        <w:bottom w:val="none" w:sz="0" w:space="0" w:color="auto"/>
        <w:right w:val="none" w:sz="0" w:space="0" w:color="auto"/>
      </w:divBdr>
    </w:div>
    <w:div w:id="592711726">
      <w:bodyDiv w:val="1"/>
      <w:marLeft w:val="0"/>
      <w:marRight w:val="0"/>
      <w:marTop w:val="0"/>
      <w:marBottom w:val="0"/>
      <w:divBdr>
        <w:top w:val="none" w:sz="0" w:space="0" w:color="auto"/>
        <w:left w:val="none" w:sz="0" w:space="0" w:color="auto"/>
        <w:bottom w:val="none" w:sz="0" w:space="0" w:color="auto"/>
        <w:right w:val="none" w:sz="0" w:space="0" w:color="auto"/>
      </w:divBdr>
    </w:div>
    <w:div w:id="600837639">
      <w:bodyDiv w:val="1"/>
      <w:marLeft w:val="0"/>
      <w:marRight w:val="0"/>
      <w:marTop w:val="0"/>
      <w:marBottom w:val="0"/>
      <w:divBdr>
        <w:top w:val="none" w:sz="0" w:space="0" w:color="auto"/>
        <w:left w:val="none" w:sz="0" w:space="0" w:color="auto"/>
        <w:bottom w:val="none" w:sz="0" w:space="0" w:color="auto"/>
        <w:right w:val="none" w:sz="0" w:space="0" w:color="auto"/>
      </w:divBdr>
    </w:div>
    <w:div w:id="625507360">
      <w:bodyDiv w:val="1"/>
      <w:marLeft w:val="0"/>
      <w:marRight w:val="0"/>
      <w:marTop w:val="0"/>
      <w:marBottom w:val="0"/>
      <w:divBdr>
        <w:top w:val="none" w:sz="0" w:space="0" w:color="auto"/>
        <w:left w:val="none" w:sz="0" w:space="0" w:color="auto"/>
        <w:bottom w:val="none" w:sz="0" w:space="0" w:color="auto"/>
        <w:right w:val="none" w:sz="0" w:space="0" w:color="auto"/>
      </w:divBdr>
    </w:div>
    <w:div w:id="627665738">
      <w:bodyDiv w:val="1"/>
      <w:marLeft w:val="0"/>
      <w:marRight w:val="0"/>
      <w:marTop w:val="0"/>
      <w:marBottom w:val="0"/>
      <w:divBdr>
        <w:top w:val="none" w:sz="0" w:space="0" w:color="auto"/>
        <w:left w:val="none" w:sz="0" w:space="0" w:color="auto"/>
        <w:bottom w:val="none" w:sz="0" w:space="0" w:color="auto"/>
        <w:right w:val="none" w:sz="0" w:space="0" w:color="auto"/>
      </w:divBdr>
    </w:div>
    <w:div w:id="627709401">
      <w:bodyDiv w:val="1"/>
      <w:marLeft w:val="0"/>
      <w:marRight w:val="0"/>
      <w:marTop w:val="0"/>
      <w:marBottom w:val="0"/>
      <w:divBdr>
        <w:top w:val="none" w:sz="0" w:space="0" w:color="auto"/>
        <w:left w:val="none" w:sz="0" w:space="0" w:color="auto"/>
        <w:bottom w:val="none" w:sz="0" w:space="0" w:color="auto"/>
        <w:right w:val="none" w:sz="0" w:space="0" w:color="auto"/>
      </w:divBdr>
    </w:div>
    <w:div w:id="630479981">
      <w:bodyDiv w:val="1"/>
      <w:marLeft w:val="0"/>
      <w:marRight w:val="0"/>
      <w:marTop w:val="0"/>
      <w:marBottom w:val="0"/>
      <w:divBdr>
        <w:top w:val="none" w:sz="0" w:space="0" w:color="auto"/>
        <w:left w:val="none" w:sz="0" w:space="0" w:color="auto"/>
        <w:bottom w:val="none" w:sz="0" w:space="0" w:color="auto"/>
        <w:right w:val="none" w:sz="0" w:space="0" w:color="auto"/>
      </w:divBdr>
    </w:div>
    <w:div w:id="631138764">
      <w:bodyDiv w:val="1"/>
      <w:marLeft w:val="0"/>
      <w:marRight w:val="0"/>
      <w:marTop w:val="0"/>
      <w:marBottom w:val="0"/>
      <w:divBdr>
        <w:top w:val="none" w:sz="0" w:space="0" w:color="auto"/>
        <w:left w:val="none" w:sz="0" w:space="0" w:color="auto"/>
        <w:bottom w:val="none" w:sz="0" w:space="0" w:color="auto"/>
        <w:right w:val="none" w:sz="0" w:space="0" w:color="auto"/>
      </w:divBdr>
    </w:div>
    <w:div w:id="633289330">
      <w:bodyDiv w:val="1"/>
      <w:marLeft w:val="0"/>
      <w:marRight w:val="0"/>
      <w:marTop w:val="0"/>
      <w:marBottom w:val="0"/>
      <w:divBdr>
        <w:top w:val="none" w:sz="0" w:space="0" w:color="auto"/>
        <w:left w:val="none" w:sz="0" w:space="0" w:color="auto"/>
        <w:bottom w:val="none" w:sz="0" w:space="0" w:color="auto"/>
        <w:right w:val="none" w:sz="0" w:space="0" w:color="auto"/>
      </w:divBdr>
    </w:div>
    <w:div w:id="640040477">
      <w:bodyDiv w:val="1"/>
      <w:marLeft w:val="0"/>
      <w:marRight w:val="0"/>
      <w:marTop w:val="0"/>
      <w:marBottom w:val="0"/>
      <w:divBdr>
        <w:top w:val="none" w:sz="0" w:space="0" w:color="auto"/>
        <w:left w:val="none" w:sz="0" w:space="0" w:color="auto"/>
        <w:bottom w:val="none" w:sz="0" w:space="0" w:color="auto"/>
        <w:right w:val="none" w:sz="0" w:space="0" w:color="auto"/>
      </w:divBdr>
    </w:div>
    <w:div w:id="643391887">
      <w:bodyDiv w:val="1"/>
      <w:marLeft w:val="0"/>
      <w:marRight w:val="0"/>
      <w:marTop w:val="0"/>
      <w:marBottom w:val="0"/>
      <w:divBdr>
        <w:top w:val="none" w:sz="0" w:space="0" w:color="auto"/>
        <w:left w:val="none" w:sz="0" w:space="0" w:color="auto"/>
        <w:bottom w:val="none" w:sz="0" w:space="0" w:color="auto"/>
        <w:right w:val="none" w:sz="0" w:space="0" w:color="auto"/>
      </w:divBdr>
    </w:div>
    <w:div w:id="647787542">
      <w:bodyDiv w:val="1"/>
      <w:marLeft w:val="0"/>
      <w:marRight w:val="0"/>
      <w:marTop w:val="0"/>
      <w:marBottom w:val="0"/>
      <w:divBdr>
        <w:top w:val="none" w:sz="0" w:space="0" w:color="auto"/>
        <w:left w:val="none" w:sz="0" w:space="0" w:color="auto"/>
        <w:bottom w:val="none" w:sz="0" w:space="0" w:color="auto"/>
        <w:right w:val="none" w:sz="0" w:space="0" w:color="auto"/>
      </w:divBdr>
    </w:div>
    <w:div w:id="653678239">
      <w:bodyDiv w:val="1"/>
      <w:marLeft w:val="0"/>
      <w:marRight w:val="0"/>
      <w:marTop w:val="0"/>
      <w:marBottom w:val="0"/>
      <w:divBdr>
        <w:top w:val="none" w:sz="0" w:space="0" w:color="auto"/>
        <w:left w:val="none" w:sz="0" w:space="0" w:color="auto"/>
        <w:bottom w:val="none" w:sz="0" w:space="0" w:color="auto"/>
        <w:right w:val="none" w:sz="0" w:space="0" w:color="auto"/>
      </w:divBdr>
      <w:divsChild>
        <w:div w:id="129833366">
          <w:marLeft w:val="0"/>
          <w:marRight w:val="0"/>
          <w:marTop w:val="0"/>
          <w:marBottom w:val="0"/>
          <w:divBdr>
            <w:top w:val="none" w:sz="0" w:space="0" w:color="auto"/>
            <w:left w:val="none" w:sz="0" w:space="0" w:color="auto"/>
            <w:bottom w:val="none" w:sz="0" w:space="0" w:color="auto"/>
            <w:right w:val="none" w:sz="0" w:space="0" w:color="auto"/>
          </w:divBdr>
          <w:divsChild>
            <w:div w:id="72163350">
              <w:marLeft w:val="0"/>
              <w:marRight w:val="0"/>
              <w:marTop w:val="0"/>
              <w:marBottom w:val="0"/>
              <w:divBdr>
                <w:top w:val="none" w:sz="0" w:space="0" w:color="auto"/>
                <w:left w:val="none" w:sz="0" w:space="0" w:color="auto"/>
                <w:bottom w:val="none" w:sz="0" w:space="0" w:color="auto"/>
                <w:right w:val="none" w:sz="0" w:space="0" w:color="auto"/>
              </w:divBdr>
              <w:divsChild>
                <w:div w:id="1806700245">
                  <w:marLeft w:val="0"/>
                  <w:marRight w:val="0"/>
                  <w:marTop w:val="0"/>
                  <w:marBottom w:val="0"/>
                  <w:divBdr>
                    <w:top w:val="none" w:sz="0" w:space="0" w:color="auto"/>
                    <w:left w:val="none" w:sz="0" w:space="0" w:color="auto"/>
                    <w:bottom w:val="none" w:sz="0" w:space="0" w:color="auto"/>
                    <w:right w:val="none" w:sz="0" w:space="0" w:color="auto"/>
                  </w:divBdr>
                  <w:divsChild>
                    <w:div w:id="1700662412">
                      <w:marLeft w:val="0"/>
                      <w:marRight w:val="0"/>
                      <w:marTop w:val="0"/>
                      <w:marBottom w:val="0"/>
                      <w:divBdr>
                        <w:top w:val="none" w:sz="0" w:space="0" w:color="auto"/>
                        <w:left w:val="none" w:sz="0" w:space="0" w:color="auto"/>
                        <w:bottom w:val="none" w:sz="0" w:space="0" w:color="auto"/>
                        <w:right w:val="none" w:sz="0" w:space="0" w:color="auto"/>
                      </w:divBdr>
                      <w:divsChild>
                        <w:div w:id="1797945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65209376">
      <w:bodyDiv w:val="1"/>
      <w:marLeft w:val="0"/>
      <w:marRight w:val="0"/>
      <w:marTop w:val="0"/>
      <w:marBottom w:val="0"/>
      <w:divBdr>
        <w:top w:val="none" w:sz="0" w:space="0" w:color="auto"/>
        <w:left w:val="none" w:sz="0" w:space="0" w:color="auto"/>
        <w:bottom w:val="none" w:sz="0" w:space="0" w:color="auto"/>
        <w:right w:val="none" w:sz="0" w:space="0" w:color="auto"/>
      </w:divBdr>
    </w:div>
    <w:div w:id="675571701">
      <w:bodyDiv w:val="1"/>
      <w:marLeft w:val="0"/>
      <w:marRight w:val="0"/>
      <w:marTop w:val="0"/>
      <w:marBottom w:val="0"/>
      <w:divBdr>
        <w:top w:val="none" w:sz="0" w:space="0" w:color="auto"/>
        <w:left w:val="none" w:sz="0" w:space="0" w:color="auto"/>
        <w:bottom w:val="none" w:sz="0" w:space="0" w:color="auto"/>
        <w:right w:val="none" w:sz="0" w:space="0" w:color="auto"/>
      </w:divBdr>
    </w:div>
    <w:div w:id="677654976">
      <w:bodyDiv w:val="1"/>
      <w:marLeft w:val="0"/>
      <w:marRight w:val="0"/>
      <w:marTop w:val="0"/>
      <w:marBottom w:val="0"/>
      <w:divBdr>
        <w:top w:val="none" w:sz="0" w:space="0" w:color="auto"/>
        <w:left w:val="none" w:sz="0" w:space="0" w:color="auto"/>
        <w:bottom w:val="none" w:sz="0" w:space="0" w:color="auto"/>
        <w:right w:val="none" w:sz="0" w:space="0" w:color="auto"/>
      </w:divBdr>
    </w:div>
    <w:div w:id="683821038">
      <w:bodyDiv w:val="1"/>
      <w:marLeft w:val="0"/>
      <w:marRight w:val="0"/>
      <w:marTop w:val="0"/>
      <w:marBottom w:val="0"/>
      <w:divBdr>
        <w:top w:val="none" w:sz="0" w:space="0" w:color="auto"/>
        <w:left w:val="none" w:sz="0" w:space="0" w:color="auto"/>
        <w:bottom w:val="none" w:sz="0" w:space="0" w:color="auto"/>
        <w:right w:val="none" w:sz="0" w:space="0" w:color="auto"/>
      </w:divBdr>
    </w:div>
    <w:div w:id="684019641">
      <w:bodyDiv w:val="1"/>
      <w:marLeft w:val="0"/>
      <w:marRight w:val="0"/>
      <w:marTop w:val="0"/>
      <w:marBottom w:val="0"/>
      <w:divBdr>
        <w:top w:val="none" w:sz="0" w:space="0" w:color="auto"/>
        <w:left w:val="none" w:sz="0" w:space="0" w:color="auto"/>
        <w:bottom w:val="none" w:sz="0" w:space="0" w:color="auto"/>
        <w:right w:val="none" w:sz="0" w:space="0" w:color="auto"/>
      </w:divBdr>
    </w:div>
    <w:div w:id="688259553">
      <w:bodyDiv w:val="1"/>
      <w:marLeft w:val="0"/>
      <w:marRight w:val="0"/>
      <w:marTop w:val="0"/>
      <w:marBottom w:val="0"/>
      <w:divBdr>
        <w:top w:val="none" w:sz="0" w:space="0" w:color="auto"/>
        <w:left w:val="none" w:sz="0" w:space="0" w:color="auto"/>
        <w:bottom w:val="none" w:sz="0" w:space="0" w:color="auto"/>
        <w:right w:val="none" w:sz="0" w:space="0" w:color="auto"/>
      </w:divBdr>
    </w:div>
    <w:div w:id="697582033">
      <w:bodyDiv w:val="1"/>
      <w:marLeft w:val="0"/>
      <w:marRight w:val="0"/>
      <w:marTop w:val="0"/>
      <w:marBottom w:val="0"/>
      <w:divBdr>
        <w:top w:val="none" w:sz="0" w:space="0" w:color="auto"/>
        <w:left w:val="none" w:sz="0" w:space="0" w:color="auto"/>
        <w:bottom w:val="none" w:sz="0" w:space="0" w:color="auto"/>
        <w:right w:val="none" w:sz="0" w:space="0" w:color="auto"/>
      </w:divBdr>
    </w:div>
    <w:div w:id="712777892">
      <w:bodyDiv w:val="1"/>
      <w:marLeft w:val="0"/>
      <w:marRight w:val="0"/>
      <w:marTop w:val="0"/>
      <w:marBottom w:val="0"/>
      <w:divBdr>
        <w:top w:val="none" w:sz="0" w:space="0" w:color="auto"/>
        <w:left w:val="none" w:sz="0" w:space="0" w:color="auto"/>
        <w:bottom w:val="none" w:sz="0" w:space="0" w:color="auto"/>
        <w:right w:val="none" w:sz="0" w:space="0" w:color="auto"/>
      </w:divBdr>
    </w:div>
    <w:div w:id="722215836">
      <w:bodyDiv w:val="1"/>
      <w:marLeft w:val="0"/>
      <w:marRight w:val="0"/>
      <w:marTop w:val="0"/>
      <w:marBottom w:val="0"/>
      <w:divBdr>
        <w:top w:val="none" w:sz="0" w:space="0" w:color="auto"/>
        <w:left w:val="none" w:sz="0" w:space="0" w:color="auto"/>
        <w:bottom w:val="none" w:sz="0" w:space="0" w:color="auto"/>
        <w:right w:val="none" w:sz="0" w:space="0" w:color="auto"/>
      </w:divBdr>
    </w:div>
    <w:div w:id="724185224">
      <w:bodyDiv w:val="1"/>
      <w:marLeft w:val="0"/>
      <w:marRight w:val="0"/>
      <w:marTop w:val="0"/>
      <w:marBottom w:val="0"/>
      <w:divBdr>
        <w:top w:val="none" w:sz="0" w:space="0" w:color="auto"/>
        <w:left w:val="none" w:sz="0" w:space="0" w:color="auto"/>
        <w:bottom w:val="none" w:sz="0" w:space="0" w:color="auto"/>
        <w:right w:val="none" w:sz="0" w:space="0" w:color="auto"/>
      </w:divBdr>
    </w:div>
    <w:div w:id="727608462">
      <w:bodyDiv w:val="1"/>
      <w:marLeft w:val="0"/>
      <w:marRight w:val="0"/>
      <w:marTop w:val="0"/>
      <w:marBottom w:val="0"/>
      <w:divBdr>
        <w:top w:val="none" w:sz="0" w:space="0" w:color="auto"/>
        <w:left w:val="none" w:sz="0" w:space="0" w:color="auto"/>
        <w:bottom w:val="none" w:sz="0" w:space="0" w:color="auto"/>
        <w:right w:val="none" w:sz="0" w:space="0" w:color="auto"/>
      </w:divBdr>
    </w:div>
    <w:div w:id="731584841">
      <w:bodyDiv w:val="1"/>
      <w:marLeft w:val="0"/>
      <w:marRight w:val="0"/>
      <w:marTop w:val="0"/>
      <w:marBottom w:val="0"/>
      <w:divBdr>
        <w:top w:val="none" w:sz="0" w:space="0" w:color="auto"/>
        <w:left w:val="none" w:sz="0" w:space="0" w:color="auto"/>
        <w:bottom w:val="none" w:sz="0" w:space="0" w:color="auto"/>
        <w:right w:val="none" w:sz="0" w:space="0" w:color="auto"/>
      </w:divBdr>
    </w:div>
    <w:div w:id="734623378">
      <w:bodyDiv w:val="1"/>
      <w:marLeft w:val="0"/>
      <w:marRight w:val="0"/>
      <w:marTop w:val="0"/>
      <w:marBottom w:val="0"/>
      <w:divBdr>
        <w:top w:val="none" w:sz="0" w:space="0" w:color="auto"/>
        <w:left w:val="none" w:sz="0" w:space="0" w:color="auto"/>
        <w:bottom w:val="none" w:sz="0" w:space="0" w:color="auto"/>
        <w:right w:val="none" w:sz="0" w:space="0" w:color="auto"/>
      </w:divBdr>
    </w:div>
    <w:div w:id="736510427">
      <w:bodyDiv w:val="1"/>
      <w:marLeft w:val="0"/>
      <w:marRight w:val="0"/>
      <w:marTop w:val="0"/>
      <w:marBottom w:val="0"/>
      <w:divBdr>
        <w:top w:val="none" w:sz="0" w:space="0" w:color="auto"/>
        <w:left w:val="none" w:sz="0" w:space="0" w:color="auto"/>
        <w:bottom w:val="none" w:sz="0" w:space="0" w:color="auto"/>
        <w:right w:val="none" w:sz="0" w:space="0" w:color="auto"/>
      </w:divBdr>
    </w:div>
    <w:div w:id="742219204">
      <w:bodyDiv w:val="1"/>
      <w:marLeft w:val="0"/>
      <w:marRight w:val="0"/>
      <w:marTop w:val="0"/>
      <w:marBottom w:val="0"/>
      <w:divBdr>
        <w:top w:val="none" w:sz="0" w:space="0" w:color="auto"/>
        <w:left w:val="none" w:sz="0" w:space="0" w:color="auto"/>
        <w:bottom w:val="none" w:sz="0" w:space="0" w:color="auto"/>
        <w:right w:val="none" w:sz="0" w:space="0" w:color="auto"/>
      </w:divBdr>
    </w:div>
    <w:div w:id="755979063">
      <w:bodyDiv w:val="1"/>
      <w:marLeft w:val="0"/>
      <w:marRight w:val="0"/>
      <w:marTop w:val="0"/>
      <w:marBottom w:val="0"/>
      <w:divBdr>
        <w:top w:val="none" w:sz="0" w:space="0" w:color="auto"/>
        <w:left w:val="none" w:sz="0" w:space="0" w:color="auto"/>
        <w:bottom w:val="none" w:sz="0" w:space="0" w:color="auto"/>
        <w:right w:val="none" w:sz="0" w:space="0" w:color="auto"/>
      </w:divBdr>
    </w:div>
    <w:div w:id="757748159">
      <w:bodyDiv w:val="1"/>
      <w:marLeft w:val="0"/>
      <w:marRight w:val="0"/>
      <w:marTop w:val="0"/>
      <w:marBottom w:val="0"/>
      <w:divBdr>
        <w:top w:val="none" w:sz="0" w:space="0" w:color="auto"/>
        <w:left w:val="none" w:sz="0" w:space="0" w:color="auto"/>
        <w:bottom w:val="none" w:sz="0" w:space="0" w:color="auto"/>
        <w:right w:val="none" w:sz="0" w:space="0" w:color="auto"/>
      </w:divBdr>
    </w:div>
    <w:div w:id="763191672">
      <w:bodyDiv w:val="1"/>
      <w:marLeft w:val="0"/>
      <w:marRight w:val="0"/>
      <w:marTop w:val="0"/>
      <w:marBottom w:val="0"/>
      <w:divBdr>
        <w:top w:val="none" w:sz="0" w:space="0" w:color="auto"/>
        <w:left w:val="none" w:sz="0" w:space="0" w:color="auto"/>
        <w:bottom w:val="none" w:sz="0" w:space="0" w:color="auto"/>
        <w:right w:val="none" w:sz="0" w:space="0" w:color="auto"/>
      </w:divBdr>
    </w:div>
    <w:div w:id="767774378">
      <w:bodyDiv w:val="1"/>
      <w:marLeft w:val="0"/>
      <w:marRight w:val="0"/>
      <w:marTop w:val="0"/>
      <w:marBottom w:val="0"/>
      <w:divBdr>
        <w:top w:val="none" w:sz="0" w:space="0" w:color="auto"/>
        <w:left w:val="none" w:sz="0" w:space="0" w:color="auto"/>
        <w:bottom w:val="none" w:sz="0" w:space="0" w:color="auto"/>
        <w:right w:val="none" w:sz="0" w:space="0" w:color="auto"/>
      </w:divBdr>
    </w:div>
    <w:div w:id="792791251">
      <w:bodyDiv w:val="1"/>
      <w:marLeft w:val="0"/>
      <w:marRight w:val="0"/>
      <w:marTop w:val="0"/>
      <w:marBottom w:val="0"/>
      <w:divBdr>
        <w:top w:val="none" w:sz="0" w:space="0" w:color="auto"/>
        <w:left w:val="none" w:sz="0" w:space="0" w:color="auto"/>
        <w:bottom w:val="none" w:sz="0" w:space="0" w:color="auto"/>
        <w:right w:val="none" w:sz="0" w:space="0" w:color="auto"/>
      </w:divBdr>
    </w:div>
    <w:div w:id="818495541">
      <w:bodyDiv w:val="1"/>
      <w:marLeft w:val="0"/>
      <w:marRight w:val="0"/>
      <w:marTop w:val="0"/>
      <w:marBottom w:val="0"/>
      <w:divBdr>
        <w:top w:val="none" w:sz="0" w:space="0" w:color="auto"/>
        <w:left w:val="none" w:sz="0" w:space="0" w:color="auto"/>
        <w:bottom w:val="none" w:sz="0" w:space="0" w:color="auto"/>
        <w:right w:val="none" w:sz="0" w:space="0" w:color="auto"/>
      </w:divBdr>
    </w:div>
    <w:div w:id="823164768">
      <w:bodyDiv w:val="1"/>
      <w:marLeft w:val="0"/>
      <w:marRight w:val="0"/>
      <w:marTop w:val="0"/>
      <w:marBottom w:val="0"/>
      <w:divBdr>
        <w:top w:val="none" w:sz="0" w:space="0" w:color="auto"/>
        <w:left w:val="none" w:sz="0" w:space="0" w:color="auto"/>
        <w:bottom w:val="none" w:sz="0" w:space="0" w:color="auto"/>
        <w:right w:val="none" w:sz="0" w:space="0" w:color="auto"/>
      </w:divBdr>
    </w:div>
    <w:div w:id="828406337">
      <w:bodyDiv w:val="1"/>
      <w:marLeft w:val="0"/>
      <w:marRight w:val="0"/>
      <w:marTop w:val="0"/>
      <w:marBottom w:val="0"/>
      <w:divBdr>
        <w:top w:val="none" w:sz="0" w:space="0" w:color="auto"/>
        <w:left w:val="none" w:sz="0" w:space="0" w:color="auto"/>
        <w:bottom w:val="none" w:sz="0" w:space="0" w:color="auto"/>
        <w:right w:val="none" w:sz="0" w:space="0" w:color="auto"/>
      </w:divBdr>
    </w:div>
    <w:div w:id="829255520">
      <w:bodyDiv w:val="1"/>
      <w:marLeft w:val="0"/>
      <w:marRight w:val="0"/>
      <w:marTop w:val="0"/>
      <w:marBottom w:val="0"/>
      <w:divBdr>
        <w:top w:val="none" w:sz="0" w:space="0" w:color="auto"/>
        <w:left w:val="none" w:sz="0" w:space="0" w:color="auto"/>
        <w:bottom w:val="none" w:sz="0" w:space="0" w:color="auto"/>
        <w:right w:val="none" w:sz="0" w:space="0" w:color="auto"/>
      </w:divBdr>
    </w:div>
    <w:div w:id="830680406">
      <w:bodyDiv w:val="1"/>
      <w:marLeft w:val="0"/>
      <w:marRight w:val="0"/>
      <w:marTop w:val="0"/>
      <w:marBottom w:val="0"/>
      <w:divBdr>
        <w:top w:val="none" w:sz="0" w:space="0" w:color="auto"/>
        <w:left w:val="none" w:sz="0" w:space="0" w:color="auto"/>
        <w:bottom w:val="none" w:sz="0" w:space="0" w:color="auto"/>
        <w:right w:val="none" w:sz="0" w:space="0" w:color="auto"/>
      </w:divBdr>
    </w:div>
    <w:div w:id="843280191">
      <w:bodyDiv w:val="1"/>
      <w:marLeft w:val="0"/>
      <w:marRight w:val="0"/>
      <w:marTop w:val="0"/>
      <w:marBottom w:val="0"/>
      <w:divBdr>
        <w:top w:val="none" w:sz="0" w:space="0" w:color="auto"/>
        <w:left w:val="none" w:sz="0" w:space="0" w:color="auto"/>
        <w:bottom w:val="none" w:sz="0" w:space="0" w:color="auto"/>
        <w:right w:val="none" w:sz="0" w:space="0" w:color="auto"/>
      </w:divBdr>
    </w:div>
    <w:div w:id="860628744">
      <w:bodyDiv w:val="1"/>
      <w:marLeft w:val="0"/>
      <w:marRight w:val="0"/>
      <w:marTop w:val="0"/>
      <w:marBottom w:val="0"/>
      <w:divBdr>
        <w:top w:val="none" w:sz="0" w:space="0" w:color="auto"/>
        <w:left w:val="none" w:sz="0" w:space="0" w:color="auto"/>
        <w:bottom w:val="none" w:sz="0" w:space="0" w:color="auto"/>
        <w:right w:val="none" w:sz="0" w:space="0" w:color="auto"/>
      </w:divBdr>
    </w:div>
    <w:div w:id="883296314">
      <w:bodyDiv w:val="1"/>
      <w:marLeft w:val="0"/>
      <w:marRight w:val="0"/>
      <w:marTop w:val="0"/>
      <w:marBottom w:val="0"/>
      <w:divBdr>
        <w:top w:val="none" w:sz="0" w:space="0" w:color="auto"/>
        <w:left w:val="none" w:sz="0" w:space="0" w:color="auto"/>
        <w:bottom w:val="none" w:sz="0" w:space="0" w:color="auto"/>
        <w:right w:val="none" w:sz="0" w:space="0" w:color="auto"/>
      </w:divBdr>
    </w:div>
    <w:div w:id="885145956">
      <w:bodyDiv w:val="1"/>
      <w:marLeft w:val="0"/>
      <w:marRight w:val="0"/>
      <w:marTop w:val="0"/>
      <w:marBottom w:val="0"/>
      <w:divBdr>
        <w:top w:val="none" w:sz="0" w:space="0" w:color="auto"/>
        <w:left w:val="none" w:sz="0" w:space="0" w:color="auto"/>
        <w:bottom w:val="none" w:sz="0" w:space="0" w:color="auto"/>
        <w:right w:val="none" w:sz="0" w:space="0" w:color="auto"/>
      </w:divBdr>
    </w:div>
    <w:div w:id="885526905">
      <w:bodyDiv w:val="1"/>
      <w:marLeft w:val="0"/>
      <w:marRight w:val="0"/>
      <w:marTop w:val="0"/>
      <w:marBottom w:val="0"/>
      <w:divBdr>
        <w:top w:val="none" w:sz="0" w:space="0" w:color="auto"/>
        <w:left w:val="none" w:sz="0" w:space="0" w:color="auto"/>
        <w:bottom w:val="none" w:sz="0" w:space="0" w:color="auto"/>
        <w:right w:val="none" w:sz="0" w:space="0" w:color="auto"/>
      </w:divBdr>
    </w:div>
    <w:div w:id="887187252">
      <w:bodyDiv w:val="1"/>
      <w:marLeft w:val="0"/>
      <w:marRight w:val="0"/>
      <w:marTop w:val="0"/>
      <w:marBottom w:val="0"/>
      <w:divBdr>
        <w:top w:val="none" w:sz="0" w:space="0" w:color="auto"/>
        <w:left w:val="none" w:sz="0" w:space="0" w:color="auto"/>
        <w:bottom w:val="none" w:sz="0" w:space="0" w:color="auto"/>
        <w:right w:val="none" w:sz="0" w:space="0" w:color="auto"/>
      </w:divBdr>
    </w:div>
    <w:div w:id="887257130">
      <w:bodyDiv w:val="1"/>
      <w:marLeft w:val="0"/>
      <w:marRight w:val="0"/>
      <w:marTop w:val="0"/>
      <w:marBottom w:val="0"/>
      <w:divBdr>
        <w:top w:val="none" w:sz="0" w:space="0" w:color="auto"/>
        <w:left w:val="none" w:sz="0" w:space="0" w:color="auto"/>
        <w:bottom w:val="none" w:sz="0" w:space="0" w:color="auto"/>
        <w:right w:val="none" w:sz="0" w:space="0" w:color="auto"/>
      </w:divBdr>
    </w:div>
    <w:div w:id="890074709">
      <w:bodyDiv w:val="1"/>
      <w:marLeft w:val="0"/>
      <w:marRight w:val="0"/>
      <w:marTop w:val="0"/>
      <w:marBottom w:val="0"/>
      <w:divBdr>
        <w:top w:val="none" w:sz="0" w:space="0" w:color="auto"/>
        <w:left w:val="none" w:sz="0" w:space="0" w:color="auto"/>
        <w:bottom w:val="none" w:sz="0" w:space="0" w:color="auto"/>
        <w:right w:val="none" w:sz="0" w:space="0" w:color="auto"/>
      </w:divBdr>
    </w:div>
    <w:div w:id="899094898">
      <w:bodyDiv w:val="1"/>
      <w:marLeft w:val="0"/>
      <w:marRight w:val="0"/>
      <w:marTop w:val="0"/>
      <w:marBottom w:val="0"/>
      <w:divBdr>
        <w:top w:val="none" w:sz="0" w:space="0" w:color="auto"/>
        <w:left w:val="none" w:sz="0" w:space="0" w:color="auto"/>
        <w:bottom w:val="none" w:sz="0" w:space="0" w:color="auto"/>
        <w:right w:val="none" w:sz="0" w:space="0" w:color="auto"/>
      </w:divBdr>
    </w:div>
    <w:div w:id="901259831">
      <w:bodyDiv w:val="1"/>
      <w:marLeft w:val="0"/>
      <w:marRight w:val="0"/>
      <w:marTop w:val="0"/>
      <w:marBottom w:val="0"/>
      <w:divBdr>
        <w:top w:val="none" w:sz="0" w:space="0" w:color="auto"/>
        <w:left w:val="none" w:sz="0" w:space="0" w:color="auto"/>
        <w:bottom w:val="none" w:sz="0" w:space="0" w:color="auto"/>
        <w:right w:val="none" w:sz="0" w:space="0" w:color="auto"/>
      </w:divBdr>
    </w:div>
    <w:div w:id="902132495">
      <w:bodyDiv w:val="1"/>
      <w:marLeft w:val="0"/>
      <w:marRight w:val="0"/>
      <w:marTop w:val="0"/>
      <w:marBottom w:val="0"/>
      <w:divBdr>
        <w:top w:val="none" w:sz="0" w:space="0" w:color="auto"/>
        <w:left w:val="none" w:sz="0" w:space="0" w:color="auto"/>
        <w:bottom w:val="none" w:sz="0" w:space="0" w:color="auto"/>
        <w:right w:val="none" w:sz="0" w:space="0" w:color="auto"/>
      </w:divBdr>
    </w:div>
    <w:div w:id="908423367">
      <w:bodyDiv w:val="1"/>
      <w:marLeft w:val="0"/>
      <w:marRight w:val="0"/>
      <w:marTop w:val="0"/>
      <w:marBottom w:val="0"/>
      <w:divBdr>
        <w:top w:val="none" w:sz="0" w:space="0" w:color="auto"/>
        <w:left w:val="none" w:sz="0" w:space="0" w:color="auto"/>
        <w:bottom w:val="none" w:sz="0" w:space="0" w:color="auto"/>
        <w:right w:val="none" w:sz="0" w:space="0" w:color="auto"/>
      </w:divBdr>
    </w:div>
    <w:div w:id="919948146">
      <w:bodyDiv w:val="1"/>
      <w:marLeft w:val="0"/>
      <w:marRight w:val="0"/>
      <w:marTop w:val="0"/>
      <w:marBottom w:val="0"/>
      <w:divBdr>
        <w:top w:val="none" w:sz="0" w:space="0" w:color="auto"/>
        <w:left w:val="none" w:sz="0" w:space="0" w:color="auto"/>
        <w:bottom w:val="none" w:sz="0" w:space="0" w:color="auto"/>
        <w:right w:val="none" w:sz="0" w:space="0" w:color="auto"/>
      </w:divBdr>
    </w:div>
    <w:div w:id="927227959">
      <w:bodyDiv w:val="1"/>
      <w:marLeft w:val="0"/>
      <w:marRight w:val="0"/>
      <w:marTop w:val="0"/>
      <w:marBottom w:val="0"/>
      <w:divBdr>
        <w:top w:val="none" w:sz="0" w:space="0" w:color="auto"/>
        <w:left w:val="none" w:sz="0" w:space="0" w:color="auto"/>
        <w:bottom w:val="none" w:sz="0" w:space="0" w:color="auto"/>
        <w:right w:val="none" w:sz="0" w:space="0" w:color="auto"/>
      </w:divBdr>
    </w:div>
    <w:div w:id="933710010">
      <w:bodyDiv w:val="1"/>
      <w:marLeft w:val="0"/>
      <w:marRight w:val="0"/>
      <w:marTop w:val="0"/>
      <w:marBottom w:val="0"/>
      <w:divBdr>
        <w:top w:val="none" w:sz="0" w:space="0" w:color="auto"/>
        <w:left w:val="none" w:sz="0" w:space="0" w:color="auto"/>
        <w:bottom w:val="none" w:sz="0" w:space="0" w:color="auto"/>
        <w:right w:val="none" w:sz="0" w:space="0" w:color="auto"/>
      </w:divBdr>
    </w:div>
    <w:div w:id="934561031">
      <w:bodyDiv w:val="1"/>
      <w:marLeft w:val="0"/>
      <w:marRight w:val="0"/>
      <w:marTop w:val="0"/>
      <w:marBottom w:val="0"/>
      <w:divBdr>
        <w:top w:val="none" w:sz="0" w:space="0" w:color="auto"/>
        <w:left w:val="none" w:sz="0" w:space="0" w:color="auto"/>
        <w:bottom w:val="none" w:sz="0" w:space="0" w:color="auto"/>
        <w:right w:val="none" w:sz="0" w:space="0" w:color="auto"/>
      </w:divBdr>
    </w:div>
    <w:div w:id="936909442">
      <w:bodyDiv w:val="1"/>
      <w:marLeft w:val="0"/>
      <w:marRight w:val="0"/>
      <w:marTop w:val="0"/>
      <w:marBottom w:val="0"/>
      <w:divBdr>
        <w:top w:val="none" w:sz="0" w:space="0" w:color="auto"/>
        <w:left w:val="none" w:sz="0" w:space="0" w:color="auto"/>
        <w:bottom w:val="none" w:sz="0" w:space="0" w:color="auto"/>
        <w:right w:val="none" w:sz="0" w:space="0" w:color="auto"/>
      </w:divBdr>
    </w:div>
    <w:div w:id="941374467">
      <w:bodyDiv w:val="1"/>
      <w:marLeft w:val="0"/>
      <w:marRight w:val="0"/>
      <w:marTop w:val="0"/>
      <w:marBottom w:val="0"/>
      <w:divBdr>
        <w:top w:val="none" w:sz="0" w:space="0" w:color="auto"/>
        <w:left w:val="none" w:sz="0" w:space="0" w:color="auto"/>
        <w:bottom w:val="none" w:sz="0" w:space="0" w:color="auto"/>
        <w:right w:val="none" w:sz="0" w:space="0" w:color="auto"/>
      </w:divBdr>
    </w:div>
    <w:div w:id="943876719">
      <w:bodyDiv w:val="1"/>
      <w:marLeft w:val="0"/>
      <w:marRight w:val="0"/>
      <w:marTop w:val="0"/>
      <w:marBottom w:val="0"/>
      <w:divBdr>
        <w:top w:val="none" w:sz="0" w:space="0" w:color="auto"/>
        <w:left w:val="none" w:sz="0" w:space="0" w:color="auto"/>
        <w:bottom w:val="none" w:sz="0" w:space="0" w:color="auto"/>
        <w:right w:val="none" w:sz="0" w:space="0" w:color="auto"/>
      </w:divBdr>
    </w:div>
    <w:div w:id="952908181">
      <w:bodyDiv w:val="1"/>
      <w:marLeft w:val="0"/>
      <w:marRight w:val="0"/>
      <w:marTop w:val="0"/>
      <w:marBottom w:val="0"/>
      <w:divBdr>
        <w:top w:val="none" w:sz="0" w:space="0" w:color="auto"/>
        <w:left w:val="none" w:sz="0" w:space="0" w:color="auto"/>
        <w:bottom w:val="none" w:sz="0" w:space="0" w:color="auto"/>
        <w:right w:val="none" w:sz="0" w:space="0" w:color="auto"/>
      </w:divBdr>
    </w:div>
    <w:div w:id="957681673">
      <w:bodyDiv w:val="1"/>
      <w:marLeft w:val="0"/>
      <w:marRight w:val="0"/>
      <w:marTop w:val="0"/>
      <w:marBottom w:val="0"/>
      <w:divBdr>
        <w:top w:val="none" w:sz="0" w:space="0" w:color="auto"/>
        <w:left w:val="none" w:sz="0" w:space="0" w:color="auto"/>
        <w:bottom w:val="none" w:sz="0" w:space="0" w:color="auto"/>
        <w:right w:val="none" w:sz="0" w:space="0" w:color="auto"/>
      </w:divBdr>
    </w:div>
    <w:div w:id="958879771">
      <w:bodyDiv w:val="1"/>
      <w:marLeft w:val="0"/>
      <w:marRight w:val="0"/>
      <w:marTop w:val="0"/>
      <w:marBottom w:val="0"/>
      <w:divBdr>
        <w:top w:val="none" w:sz="0" w:space="0" w:color="auto"/>
        <w:left w:val="none" w:sz="0" w:space="0" w:color="auto"/>
        <w:bottom w:val="none" w:sz="0" w:space="0" w:color="auto"/>
        <w:right w:val="none" w:sz="0" w:space="0" w:color="auto"/>
      </w:divBdr>
    </w:div>
    <w:div w:id="964307617">
      <w:bodyDiv w:val="1"/>
      <w:marLeft w:val="0"/>
      <w:marRight w:val="0"/>
      <w:marTop w:val="0"/>
      <w:marBottom w:val="0"/>
      <w:divBdr>
        <w:top w:val="none" w:sz="0" w:space="0" w:color="auto"/>
        <w:left w:val="none" w:sz="0" w:space="0" w:color="auto"/>
        <w:bottom w:val="none" w:sz="0" w:space="0" w:color="auto"/>
        <w:right w:val="none" w:sz="0" w:space="0" w:color="auto"/>
      </w:divBdr>
    </w:div>
    <w:div w:id="965770709">
      <w:bodyDiv w:val="1"/>
      <w:marLeft w:val="0"/>
      <w:marRight w:val="0"/>
      <w:marTop w:val="0"/>
      <w:marBottom w:val="0"/>
      <w:divBdr>
        <w:top w:val="none" w:sz="0" w:space="0" w:color="auto"/>
        <w:left w:val="none" w:sz="0" w:space="0" w:color="auto"/>
        <w:bottom w:val="none" w:sz="0" w:space="0" w:color="auto"/>
        <w:right w:val="none" w:sz="0" w:space="0" w:color="auto"/>
      </w:divBdr>
    </w:div>
    <w:div w:id="966398811">
      <w:bodyDiv w:val="1"/>
      <w:marLeft w:val="0"/>
      <w:marRight w:val="0"/>
      <w:marTop w:val="0"/>
      <w:marBottom w:val="0"/>
      <w:divBdr>
        <w:top w:val="none" w:sz="0" w:space="0" w:color="auto"/>
        <w:left w:val="none" w:sz="0" w:space="0" w:color="auto"/>
        <w:bottom w:val="none" w:sz="0" w:space="0" w:color="auto"/>
        <w:right w:val="none" w:sz="0" w:space="0" w:color="auto"/>
      </w:divBdr>
    </w:div>
    <w:div w:id="966468140">
      <w:bodyDiv w:val="1"/>
      <w:marLeft w:val="0"/>
      <w:marRight w:val="0"/>
      <w:marTop w:val="0"/>
      <w:marBottom w:val="0"/>
      <w:divBdr>
        <w:top w:val="none" w:sz="0" w:space="0" w:color="auto"/>
        <w:left w:val="none" w:sz="0" w:space="0" w:color="auto"/>
        <w:bottom w:val="none" w:sz="0" w:space="0" w:color="auto"/>
        <w:right w:val="none" w:sz="0" w:space="0" w:color="auto"/>
      </w:divBdr>
    </w:div>
    <w:div w:id="973293939">
      <w:bodyDiv w:val="1"/>
      <w:marLeft w:val="0"/>
      <w:marRight w:val="0"/>
      <w:marTop w:val="0"/>
      <w:marBottom w:val="0"/>
      <w:divBdr>
        <w:top w:val="none" w:sz="0" w:space="0" w:color="auto"/>
        <w:left w:val="none" w:sz="0" w:space="0" w:color="auto"/>
        <w:bottom w:val="none" w:sz="0" w:space="0" w:color="auto"/>
        <w:right w:val="none" w:sz="0" w:space="0" w:color="auto"/>
      </w:divBdr>
    </w:div>
    <w:div w:id="980617391">
      <w:bodyDiv w:val="1"/>
      <w:marLeft w:val="0"/>
      <w:marRight w:val="0"/>
      <w:marTop w:val="0"/>
      <w:marBottom w:val="0"/>
      <w:divBdr>
        <w:top w:val="none" w:sz="0" w:space="0" w:color="auto"/>
        <w:left w:val="none" w:sz="0" w:space="0" w:color="auto"/>
        <w:bottom w:val="none" w:sz="0" w:space="0" w:color="auto"/>
        <w:right w:val="none" w:sz="0" w:space="0" w:color="auto"/>
      </w:divBdr>
    </w:div>
    <w:div w:id="982851659">
      <w:bodyDiv w:val="1"/>
      <w:marLeft w:val="0"/>
      <w:marRight w:val="0"/>
      <w:marTop w:val="0"/>
      <w:marBottom w:val="0"/>
      <w:divBdr>
        <w:top w:val="none" w:sz="0" w:space="0" w:color="auto"/>
        <w:left w:val="none" w:sz="0" w:space="0" w:color="auto"/>
        <w:bottom w:val="none" w:sz="0" w:space="0" w:color="auto"/>
        <w:right w:val="none" w:sz="0" w:space="0" w:color="auto"/>
      </w:divBdr>
    </w:div>
    <w:div w:id="990257527">
      <w:bodyDiv w:val="1"/>
      <w:marLeft w:val="0"/>
      <w:marRight w:val="0"/>
      <w:marTop w:val="0"/>
      <w:marBottom w:val="0"/>
      <w:divBdr>
        <w:top w:val="none" w:sz="0" w:space="0" w:color="auto"/>
        <w:left w:val="none" w:sz="0" w:space="0" w:color="auto"/>
        <w:bottom w:val="none" w:sz="0" w:space="0" w:color="auto"/>
        <w:right w:val="none" w:sz="0" w:space="0" w:color="auto"/>
      </w:divBdr>
    </w:div>
    <w:div w:id="1005784547">
      <w:bodyDiv w:val="1"/>
      <w:marLeft w:val="0"/>
      <w:marRight w:val="0"/>
      <w:marTop w:val="0"/>
      <w:marBottom w:val="0"/>
      <w:divBdr>
        <w:top w:val="none" w:sz="0" w:space="0" w:color="auto"/>
        <w:left w:val="none" w:sz="0" w:space="0" w:color="auto"/>
        <w:bottom w:val="none" w:sz="0" w:space="0" w:color="auto"/>
        <w:right w:val="none" w:sz="0" w:space="0" w:color="auto"/>
      </w:divBdr>
    </w:div>
    <w:div w:id="1007711790">
      <w:bodyDiv w:val="1"/>
      <w:marLeft w:val="0"/>
      <w:marRight w:val="0"/>
      <w:marTop w:val="0"/>
      <w:marBottom w:val="0"/>
      <w:divBdr>
        <w:top w:val="none" w:sz="0" w:space="0" w:color="auto"/>
        <w:left w:val="none" w:sz="0" w:space="0" w:color="auto"/>
        <w:bottom w:val="none" w:sz="0" w:space="0" w:color="auto"/>
        <w:right w:val="none" w:sz="0" w:space="0" w:color="auto"/>
      </w:divBdr>
      <w:divsChild>
        <w:div w:id="1666669212">
          <w:marLeft w:val="0"/>
          <w:marRight w:val="0"/>
          <w:marTop w:val="0"/>
          <w:marBottom w:val="0"/>
          <w:divBdr>
            <w:top w:val="none" w:sz="0" w:space="0" w:color="auto"/>
            <w:left w:val="none" w:sz="0" w:space="0" w:color="auto"/>
            <w:bottom w:val="none" w:sz="0" w:space="0" w:color="auto"/>
            <w:right w:val="none" w:sz="0" w:space="0" w:color="auto"/>
          </w:divBdr>
          <w:divsChild>
            <w:div w:id="797991445">
              <w:marLeft w:val="0"/>
              <w:marRight w:val="0"/>
              <w:marTop w:val="0"/>
              <w:marBottom w:val="0"/>
              <w:divBdr>
                <w:top w:val="none" w:sz="0" w:space="0" w:color="auto"/>
                <w:left w:val="none" w:sz="0" w:space="0" w:color="auto"/>
                <w:bottom w:val="none" w:sz="0" w:space="0" w:color="auto"/>
                <w:right w:val="none" w:sz="0" w:space="0" w:color="auto"/>
              </w:divBdr>
              <w:divsChild>
                <w:div w:id="1581216654">
                  <w:marLeft w:val="0"/>
                  <w:marRight w:val="0"/>
                  <w:marTop w:val="0"/>
                  <w:marBottom w:val="0"/>
                  <w:divBdr>
                    <w:top w:val="none" w:sz="0" w:space="0" w:color="auto"/>
                    <w:left w:val="none" w:sz="0" w:space="0" w:color="auto"/>
                    <w:bottom w:val="none" w:sz="0" w:space="0" w:color="auto"/>
                    <w:right w:val="none" w:sz="0" w:space="0" w:color="auto"/>
                  </w:divBdr>
                  <w:divsChild>
                    <w:div w:id="924145969">
                      <w:marLeft w:val="0"/>
                      <w:marRight w:val="0"/>
                      <w:marTop w:val="0"/>
                      <w:marBottom w:val="0"/>
                      <w:divBdr>
                        <w:top w:val="none" w:sz="0" w:space="0" w:color="auto"/>
                        <w:left w:val="none" w:sz="0" w:space="0" w:color="auto"/>
                        <w:bottom w:val="none" w:sz="0" w:space="0" w:color="auto"/>
                        <w:right w:val="none" w:sz="0" w:space="0" w:color="auto"/>
                      </w:divBdr>
                      <w:divsChild>
                        <w:div w:id="724111409">
                          <w:marLeft w:val="0"/>
                          <w:marRight w:val="0"/>
                          <w:marTop w:val="0"/>
                          <w:marBottom w:val="0"/>
                          <w:divBdr>
                            <w:top w:val="none" w:sz="0" w:space="0" w:color="auto"/>
                            <w:left w:val="none" w:sz="0" w:space="0" w:color="auto"/>
                            <w:bottom w:val="none" w:sz="0" w:space="0" w:color="auto"/>
                            <w:right w:val="none" w:sz="0" w:space="0" w:color="auto"/>
                          </w:divBdr>
                          <w:divsChild>
                            <w:div w:id="41100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6807629">
      <w:bodyDiv w:val="1"/>
      <w:marLeft w:val="0"/>
      <w:marRight w:val="0"/>
      <w:marTop w:val="0"/>
      <w:marBottom w:val="0"/>
      <w:divBdr>
        <w:top w:val="none" w:sz="0" w:space="0" w:color="auto"/>
        <w:left w:val="none" w:sz="0" w:space="0" w:color="auto"/>
        <w:bottom w:val="none" w:sz="0" w:space="0" w:color="auto"/>
        <w:right w:val="none" w:sz="0" w:space="0" w:color="auto"/>
      </w:divBdr>
    </w:div>
    <w:div w:id="1017270533">
      <w:bodyDiv w:val="1"/>
      <w:marLeft w:val="0"/>
      <w:marRight w:val="0"/>
      <w:marTop w:val="0"/>
      <w:marBottom w:val="0"/>
      <w:divBdr>
        <w:top w:val="none" w:sz="0" w:space="0" w:color="auto"/>
        <w:left w:val="none" w:sz="0" w:space="0" w:color="auto"/>
        <w:bottom w:val="none" w:sz="0" w:space="0" w:color="auto"/>
        <w:right w:val="none" w:sz="0" w:space="0" w:color="auto"/>
      </w:divBdr>
    </w:div>
    <w:div w:id="1032192314">
      <w:bodyDiv w:val="1"/>
      <w:marLeft w:val="0"/>
      <w:marRight w:val="0"/>
      <w:marTop w:val="0"/>
      <w:marBottom w:val="0"/>
      <w:divBdr>
        <w:top w:val="none" w:sz="0" w:space="0" w:color="auto"/>
        <w:left w:val="none" w:sz="0" w:space="0" w:color="auto"/>
        <w:bottom w:val="none" w:sz="0" w:space="0" w:color="auto"/>
        <w:right w:val="none" w:sz="0" w:space="0" w:color="auto"/>
      </w:divBdr>
    </w:div>
    <w:div w:id="1036083421">
      <w:bodyDiv w:val="1"/>
      <w:marLeft w:val="0"/>
      <w:marRight w:val="0"/>
      <w:marTop w:val="0"/>
      <w:marBottom w:val="0"/>
      <w:divBdr>
        <w:top w:val="none" w:sz="0" w:space="0" w:color="auto"/>
        <w:left w:val="none" w:sz="0" w:space="0" w:color="auto"/>
        <w:bottom w:val="none" w:sz="0" w:space="0" w:color="auto"/>
        <w:right w:val="none" w:sz="0" w:space="0" w:color="auto"/>
      </w:divBdr>
    </w:div>
    <w:div w:id="1036852095">
      <w:bodyDiv w:val="1"/>
      <w:marLeft w:val="0"/>
      <w:marRight w:val="0"/>
      <w:marTop w:val="0"/>
      <w:marBottom w:val="0"/>
      <w:divBdr>
        <w:top w:val="none" w:sz="0" w:space="0" w:color="auto"/>
        <w:left w:val="none" w:sz="0" w:space="0" w:color="auto"/>
        <w:bottom w:val="none" w:sz="0" w:space="0" w:color="auto"/>
        <w:right w:val="none" w:sz="0" w:space="0" w:color="auto"/>
      </w:divBdr>
    </w:div>
    <w:div w:id="1038697998">
      <w:bodyDiv w:val="1"/>
      <w:marLeft w:val="0"/>
      <w:marRight w:val="0"/>
      <w:marTop w:val="0"/>
      <w:marBottom w:val="0"/>
      <w:divBdr>
        <w:top w:val="none" w:sz="0" w:space="0" w:color="auto"/>
        <w:left w:val="none" w:sz="0" w:space="0" w:color="auto"/>
        <w:bottom w:val="none" w:sz="0" w:space="0" w:color="auto"/>
        <w:right w:val="none" w:sz="0" w:space="0" w:color="auto"/>
      </w:divBdr>
    </w:div>
    <w:div w:id="1040591063">
      <w:bodyDiv w:val="1"/>
      <w:marLeft w:val="0"/>
      <w:marRight w:val="0"/>
      <w:marTop w:val="0"/>
      <w:marBottom w:val="0"/>
      <w:divBdr>
        <w:top w:val="none" w:sz="0" w:space="0" w:color="auto"/>
        <w:left w:val="none" w:sz="0" w:space="0" w:color="auto"/>
        <w:bottom w:val="none" w:sz="0" w:space="0" w:color="auto"/>
        <w:right w:val="none" w:sz="0" w:space="0" w:color="auto"/>
      </w:divBdr>
    </w:div>
    <w:div w:id="1049692733">
      <w:bodyDiv w:val="1"/>
      <w:marLeft w:val="0"/>
      <w:marRight w:val="0"/>
      <w:marTop w:val="0"/>
      <w:marBottom w:val="0"/>
      <w:divBdr>
        <w:top w:val="none" w:sz="0" w:space="0" w:color="auto"/>
        <w:left w:val="none" w:sz="0" w:space="0" w:color="auto"/>
        <w:bottom w:val="none" w:sz="0" w:space="0" w:color="auto"/>
        <w:right w:val="none" w:sz="0" w:space="0" w:color="auto"/>
      </w:divBdr>
      <w:divsChild>
        <w:div w:id="2173106">
          <w:marLeft w:val="0"/>
          <w:marRight w:val="0"/>
          <w:marTop w:val="0"/>
          <w:marBottom w:val="0"/>
          <w:divBdr>
            <w:top w:val="none" w:sz="0" w:space="0" w:color="auto"/>
            <w:left w:val="none" w:sz="0" w:space="0" w:color="auto"/>
            <w:bottom w:val="none" w:sz="0" w:space="0" w:color="auto"/>
            <w:right w:val="none" w:sz="0" w:space="0" w:color="auto"/>
          </w:divBdr>
          <w:divsChild>
            <w:div w:id="2038965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3432086">
      <w:bodyDiv w:val="1"/>
      <w:marLeft w:val="0"/>
      <w:marRight w:val="0"/>
      <w:marTop w:val="0"/>
      <w:marBottom w:val="0"/>
      <w:divBdr>
        <w:top w:val="none" w:sz="0" w:space="0" w:color="auto"/>
        <w:left w:val="none" w:sz="0" w:space="0" w:color="auto"/>
        <w:bottom w:val="none" w:sz="0" w:space="0" w:color="auto"/>
        <w:right w:val="none" w:sz="0" w:space="0" w:color="auto"/>
      </w:divBdr>
    </w:div>
    <w:div w:id="1054545631">
      <w:bodyDiv w:val="1"/>
      <w:marLeft w:val="0"/>
      <w:marRight w:val="0"/>
      <w:marTop w:val="0"/>
      <w:marBottom w:val="0"/>
      <w:divBdr>
        <w:top w:val="none" w:sz="0" w:space="0" w:color="auto"/>
        <w:left w:val="none" w:sz="0" w:space="0" w:color="auto"/>
        <w:bottom w:val="none" w:sz="0" w:space="0" w:color="auto"/>
        <w:right w:val="none" w:sz="0" w:space="0" w:color="auto"/>
      </w:divBdr>
    </w:div>
    <w:div w:id="1058013449">
      <w:bodyDiv w:val="1"/>
      <w:marLeft w:val="0"/>
      <w:marRight w:val="0"/>
      <w:marTop w:val="0"/>
      <w:marBottom w:val="0"/>
      <w:divBdr>
        <w:top w:val="none" w:sz="0" w:space="0" w:color="auto"/>
        <w:left w:val="none" w:sz="0" w:space="0" w:color="auto"/>
        <w:bottom w:val="none" w:sz="0" w:space="0" w:color="auto"/>
        <w:right w:val="none" w:sz="0" w:space="0" w:color="auto"/>
      </w:divBdr>
    </w:div>
    <w:div w:id="1070930780">
      <w:bodyDiv w:val="1"/>
      <w:marLeft w:val="0"/>
      <w:marRight w:val="0"/>
      <w:marTop w:val="0"/>
      <w:marBottom w:val="0"/>
      <w:divBdr>
        <w:top w:val="none" w:sz="0" w:space="0" w:color="auto"/>
        <w:left w:val="none" w:sz="0" w:space="0" w:color="auto"/>
        <w:bottom w:val="none" w:sz="0" w:space="0" w:color="auto"/>
        <w:right w:val="none" w:sz="0" w:space="0" w:color="auto"/>
      </w:divBdr>
    </w:div>
    <w:div w:id="1079864182">
      <w:bodyDiv w:val="1"/>
      <w:marLeft w:val="0"/>
      <w:marRight w:val="0"/>
      <w:marTop w:val="0"/>
      <w:marBottom w:val="0"/>
      <w:divBdr>
        <w:top w:val="none" w:sz="0" w:space="0" w:color="auto"/>
        <w:left w:val="none" w:sz="0" w:space="0" w:color="auto"/>
        <w:bottom w:val="none" w:sz="0" w:space="0" w:color="auto"/>
        <w:right w:val="none" w:sz="0" w:space="0" w:color="auto"/>
      </w:divBdr>
    </w:div>
    <w:div w:id="1096512458">
      <w:bodyDiv w:val="1"/>
      <w:marLeft w:val="0"/>
      <w:marRight w:val="0"/>
      <w:marTop w:val="0"/>
      <w:marBottom w:val="0"/>
      <w:divBdr>
        <w:top w:val="none" w:sz="0" w:space="0" w:color="auto"/>
        <w:left w:val="none" w:sz="0" w:space="0" w:color="auto"/>
        <w:bottom w:val="none" w:sz="0" w:space="0" w:color="auto"/>
        <w:right w:val="none" w:sz="0" w:space="0" w:color="auto"/>
      </w:divBdr>
    </w:div>
    <w:div w:id="1101028576">
      <w:bodyDiv w:val="1"/>
      <w:marLeft w:val="0"/>
      <w:marRight w:val="0"/>
      <w:marTop w:val="0"/>
      <w:marBottom w:val="0"/>
      <w:divBdr>
        <w:top w:val="none" w:sz="0" w:space="0" w:color="auto"/>
        <w:left w:val="none" w:sz="0" w:space="0" w:color="auto"/>
        <w:bottom w:val="none" w:sz="0" w:space="0" w:color="auto"/>
        <w:right w:val="none" w:sz="0" w:space="0" w:color="auto"/>
      </w:divBdr>
    </w:div>
    <w:div w:id="1106342702">
      <w:bodyDiv w:val="1"/>
      <w:marLeft w:val="0"/>
      <w:marRight w:val="0"/>
      <w:marTop w:val="0"/>
      <w:marBottom w:val="0"/>
      <w:divBdr>
        <w:top w:val="none" w:sz="0" w:space="0" w:color="auto"/>
        <w:left w:val="none" w:sz="0" w:space="0" w:color="auto"/>
        <w:bottom w:val="none" w:sz="0" w:space="0" w:color="auto"/>
        <w:right w:val="none" w:sz="0" w:space="0" w:color="auto"/>
      </w:divBdr>
    </w:div>
    <w:div w:id="1112893672">
      <w:bodyDiv w:val="1"/>
      <w:marLeft w:val="0"/>
      <w:marRight w:val="0"/>
      <w:marTop w:val="0"/>
      <w:marBottom w:val="0"/>
      <w:divBdr>
        <w:top w:val="none" w:sz="0" w:space="0" w:color="auto"/>
        <w:left w:val="none" w:sz="0" w:space="0" w:color="auto"/>
        <w:bottom w:val="none" w:sz="0" w:space="0" w:color="auto"/>
        <w:right w:val="none" w:sz="0" w:space="0" w:color="auto"/>
      </w:divBdr>
    </w:div>
    <w:div w:id="1115563806">
      <w:bodyDiv w:val="1"/>
      <w:marLeft w:val="0"/>
      <w:marRight w:val="0"/>
      <w:marTop w:val="0"/>
      <w:marBottom w:val="0"/>
      <w:divBdr>
        <w:top w:val="none" w:sz="0" w:space="0" w:color="auto"/>
        <w:left w:val="none" w:sz="0" w:space="0" w:color="auto"/>
        <w:bottom w:val="none" w:sz="0" w:space="0" w:color="auto"/>
        <w:right w:val="none" w:sz="0" w:space="0" w:color="auto"/>
      </w:divBdr>
    </w:div>
    <w:div w:id="1118257030">
      <w:bodyDiv w:val="1"/>
      <w:marLeft w:val="0"/>
      <w:marRight w:val="0"/>
      <w:marTop w:val="0"/>
      <w:marBottom w:val="0"/>
      <w:divBdr>
        <w:top w:val="none" w:sz="0" w:space="0" w:color="auto"/>
        <w:left w:val="none" w:sz="0" w:space="0" w:color="auto"/>
        <w:bottom w:val="none" w:sz="0" w:space="0" w:color="auto"/>
        <w:right w:val="none" w:sz="0" w:space="0" w:color="auto"/>
      </w:divBdr>
    </w:div>
    <w:div w:id="1118984835">
      <w:bodyDiv w:val="1"/>
      <w:marLeft w:val="0"/>
      <w:marRight w:val="0"/>
      <w:marTop w:val="0"/>
      <w:marBottom w:val="0"/>
      <w:divBdr>
        <w:top w:val="none" w:sz="0" w:space="0" w:color="auto"/>
        <w:left w:val="none" w:sz="0" w:space="0" w:color="auto"/>
        <w:bottom w:val="none" w:sz="0" w:space="0" w:color="auto"/>
        <w:right w:val="none" w:sz="0" w:space="0" w:color="auto"/>
      </w:divBdr>
    </w:div>
    <w:div w:id="1123036690">
      <w:bodyDiv w:val="1"/>
      <w:marLeft w:val="0"/>
      <w:marRight w:val="0"/>
      <w:marTop w:val="0"/>
      <w:marBottom w:val="0"/>
      <w:divBdr>
        <w:top w:val="none" w:sz="0" w:space="0" w:color="auto"/>
        <w:left w:val="none" w:sz="0" w:space="0" w:color="auto"/>
        <w:bottom w:val="none" w:sz="0" w:space="0" w:color="auto"/>
        <w:right w:val="none" w:sz="0" w:space="0" w:color="auto"/>
      </w:divBdr>
    </w:div>
    <w:div w:id="1128014453">
      <w:bodyDiv w:val="1"/>
      <w:marLeft w:val="0"/>
      <w:marRight w:val="0"/>
      <w:marTop w:val="0"/>
      <w:marBottom w:val="0"/>
      <w:divBdr>
        <w:top w:val="none" w:sz="0" w:space="0" w:color="auto"/>
        <w:left w:val="none" w:sz="0" w:space="0" w:color="auto"/>
        <w:bottom w:val="none" w:sz="0" w:space="0" w:color="auto"/>
        <w:right w:val="none" w:sz="0" w:space="0" w:color="auto"/>
      </w:divBdr>
    </w:div>
    <w:div w:id="1131434612">
      <w:bodyDiv w:val="1"/>
      <w:marLeft w:val="0"/>
      <w:marRight w:val="0"/>
      <w:marTop w:val="0"/>
      <w:marBottom w:val="0"/>
      <w:divBdr>
        <w:top w:val="none" w:sz="0" w:space="0" w:color="auto"/>
        <w:left w:val="none" w:sz="0" w:space="0" w:color="auto"/>
        <w:bottom w:val="none" w:sz="0" w:space="0" w:color="auto"/>
        <w:right w:val="none" w:sz="0" w:space="0" w:color="auto"/>
      </w:divBdr>
    </w:div>
    <w:div w:id="1137841366">
      <w:bodyDiv w:val="1"/>
      <w:marLeft w:val="0"/>
      <w:marRight w:val="0"/>
      <w:marTop w:val="0"/>
      <w:marBottom w:val="0"/>
      <w:divBdr>
        <w:top w:val="none" w:sz="0" w:space="0" w:color="auto"/>
        <w:left w:val="none" w:sz="0" w:space="0" w:color="auto"/>
        <w:bottom w:val="none" w:sz="0" w:space="0" w:color="auto"/>
        <w:right w:val="none" w:sz="0" w:space="0" w:color="auto"/>
      </w:divBdr>
    </w:div>
    <w:div w:id="1144002523">
      <w:bodyDiv w:val="1"/>
      <w:marLeft w:val="0"/>
      <w:marRight w:val="0"/>
      <w:marTop w:val="0"/>
      <w:marBottom w:val="0"/>
      <w:divBdr>
        <w:top w:val="none" w:sz="0" w:space="0" w:color="auto"/>
        <w:left w:val="none" w:sz="0" w:space="0" w:color="auto"/>
        <w:bottom w:val="none" w:sz="0" w:space="0" w:color="auto"/>
        <w:right w:val="none" w:sz="0" w:space="0" w:color="auto"/>
      </w:divBdr>
    </w:div>
    <w:div w:id="1147285703">
      <w:bodyDiv w:val="1"/>
      <w:marLeft w:val="0"/>
      <w:marRight w:val="0"/>
      <w:marTop w:val="0"/>
      <w:marBottom w:val="0"/>
      <w:divBdr>
        <w:top w:val="none" w:sz="0" w:space="0" w:color="auto"/>
        <w:left w:val="none" w:sz="0" w:space="0" w:color="auto"/>
        <w:bottom w:val="none" w:sz="0" w:space="0" w:color="auto"/>
        <w:right w:val="none" w:sz="0" w:space="0" w:color="auto"/>
      </w:divBdr>
    </w:div>
    <w:div w:id="1155411866">
      <w:bodyDiv w:val="1"/>
      <w:marLeft w:val="0"/>
      <w:marRight w:val="0"/>
      <w:marTop w:val="0"/>
      <w:marBottom w:val="0"/>
      <w:divBdr>
        <w:top w:val="none" w:sz="0" w:space="0" w:color="auto"/>
        <w:left w:val="none" w:sz="0" w:space="0" w:color="auto"/>
        <w:bottom w:val="none" w:sz="0" w:space="0" w:color="auto"/>
        <w:right w:val="none" w:sz="0" w:space="0" w:color="auto"/>
      </w:divBdr>
    </w:div>
    <w:div w:id="1160266439">
      <w:bodyDiv w:val="1"/>
      <w:marLeft w:val="0"/>
      <w:marRight w:val="0"/>
      <w:marTop w:val="0"/>
      <w:marBottom w:val="0"/>
      <w:divBdr>
        <w:top w:val="none" w:sz="0" w:space="0" w:color="auto"/>
        <w:left w:val="none" w:sz="0" w:space="0" w:color="auto"/>
        <w:bottom w:val="none" w:sz="0" w:space="0" w:color="auto"/>
        <w:right w:val="none" w:sz="0" w:space="0" w:color="auto"/>
      </w:divBdr>
    </w:div>
    <w:div w:id="1188258423">
      <w:bodyDiv w:val="1"/>
      <w:marLeft w:val="0"/>
      <w:marRight w:val="0"/>
      <w:marTop w:val="0"/>
      <w:marBottom w:val="0"/>
      <w:divBdr>
        <w:top w:val="none" w:sz="0" w:space="0" w:color="auto"/>
        <w:left w:val="none" w:sz="0" w:space="0" w:color="auto"/>
        <w:bottom w:val="none" w:sz="0" w:space="0" w:color="auto"/>
        <w:right w:val="none" w:sz="0" w:space="0" w:color="auto"/>
      </w:divBdr>
    </w:div>
    <w:div w:id="1206604130">
      <w:bodyDiv w:val="1"/>
      <w:marLeft w:val="0"/>
      <w:marRight w:val="0"/>
      <w:marTop w:val="0"/>
      <w:marBottom w:val="0"/>
      <w:divBdr>
        <w:top w:val="none" w:sz="0" w:space="0" w:color="auto"/>
        <w:left w:val="none" w:sz="0" w:space="0" w:color="auto"/>
        <w:bottom w:val="none" w:sz="0" w:space="0" w:color="auto"/>
        <w:right w:val="none" w:sz="0" w:space="0" w:color="auto"/>
      </w:divBdr>
    </w:div>
    <w:div w:id="1221674761">
      <w:bodyDiv w:val="1"/>
      <w:marLeft w:val="0"/>
      <w:marRight w:val="0"/>
      <w:marTop w:val="0"/>
      <w:marBottom w:val="0"/>
      <w:divBdr>
        <w:top w:val="none" w:sz="0" w:space="0" w:color="auto"/>
        <w:left w:val="none" w:sz="0" w:space="0" w:color="auto"/>
        <w:bottom w:val="none" w:sz="0" w:space="0" w:color="auto"/>
        <w:right w:val="none" w:sz="0" w:space="0" w:color="auto"/>
      </w:divBdr>
    </w:div>
    <w:div w:id="1229420775">
      <w:bodyDiv w:val="1"/>
      <w:marLeft w:val="0"/>
      <w:marRight w:val="0"/>
      <w:marTop w:val="0"/>
      <w:marBottom w:val="0"/>
      <w:divBdr>
        <w:top w:val="none" w:sz="0" w:space="0" w:color="auto"/>
        <w:left w:val="none" w:sz="0" w:space="0" w:color="auto"/>
        <w:bottom w:val="none" w:sz="0" w:space="0" w:color="auto"/>
        <w:right w:val="none" w:sz="0" w:space="0" w:color="auto"/>
      </w:divBdr>
    </w:div>
    <w:div w:id="1239749189">
      <w:bodyDiv w:val="1"/>
      <w:marLeft w:val="0"/>
      <w:marRight w:val="0"/>
      <w:marTop w:val="0"/>
      <w:marBottom w:val="0"/>
      <w:divBdr>
        <w:top w:val="none" w:sz="0" w:space="0" w:color="auto"/>
        <w:left w:val="none" w:sz="0" w:space="0" w:color="auto"/>
        <w:bottom w:val="none" w:sz="0" w:space="0" w:color="auto"/>
        <w:right w:val="none" w:sz="0" w:space="0" w:color="auto"/>
      </w:divBdr>
    </w:div>
    <w:div w:id="1244342018">
      <w:bodyDiv w:val="1"/>
      <w:marLeft w:val="0"/>
      <w:marRight w:val="0"/>
      <w:marTop w:val="0"/>
      <w:marBottom w:val="0"/>
      <w:divBdr>
        <w:top w:val="none" w:sz="0" w:space="0" w:color="auto"/>
        <w:left w:val="none" w:sz="0" w:space="0" w:color="auto"/>
        <w:bottom w:val="none" w:sz="0" w:space="0" w:color="auto"/>
        <w:right w:val="none" w:sz="0" w:space="0" w:color="auto"/>
      </w:divBdr>
    </w:div>
    <w:div w:id="1249385505">
      <w:bodyDiv w:val="1"/>
      <w:marLeft w:val="0"/>
      <w:marRight w:val="0"/>
      <w:marTop w:val="0"/>
      <w:marBottom w:val="0"/>
      <w:divBdr>
        <w:top w:val="none" w:sz="0" w:space="0" w:color="auto"/>
        <w:left w:val="none" w:sz="0" w:space="0" w:color="auto"/>
        <w:bottom w:val="none" w:sz="0" w:space="0" w:color="auto"/>
        <w:right w:val="none" w:sz="0" w:space="0" w:color="auto"/>
      </w:divBdr>
    </w:div>
    <w:div w:id="1250037923">
      <w:bodyDiv w:val="1"/>
      <w:marLeft w:val="0"/>
      <w:marRight w:val="0"/>
      <w:marTop w:val="0"/>
      <w:marBottom w:val="0"/>
      <w:divBdr>
        <w:top w:val="none" w:sz="0" w:space="0" w:color="auto"/>
        <w:left w:val="none" w:sz="0" w:space="0" w:color="auto"/>
        <w:bottom w:val="none" w:sz="0" w:space="0" w:color="auto"/>
        <w:right w:val="none" w:sz="0" w:space="0" w:color="auto"/>
      </w:divBdr>
    </w:div>
    <w:div w:id="1252814435">
      <w:bodyDiv w:val="1"/>
      <w:marLeft w:val="0"/>
      <w:marRight w:val="0"/>
      <w:marTop w:val="0"/>
      <w:marBottom w:val="0"/>
      <w:divBdr>
        <w:top w:val="none" w:sz="0" w:space="0" w:color="auto"/>
        <w:left w:val="none" w:sz="0" w:space="0" w:color="auto"/>
        <w:bottom w:val="none" w:sz="0" w:space="0" w:color="auto"/>
        <w:right w:val="none" w:sz="0" w:space="0" w:color="auto"/>
      </w:divBdr>
    </w:div>
    <w:div w:id="1260219529">
      <w:bodyDiv w:val="1"/>
      <w:marLeft w:val="0"/>
      <w:marRight w:val="0"/>
      <w:marTop w:val="0"/>
      <w:marBottom w:val="0"/>
      <w:divBdr>
        <w:top w:val="none" w:sz="0" w:space="0" w:color="auto"/>
        <w:left w:val="none" w:sz="0" w:space="0" w:color="auto"/>
        <w:bottom w:val="none" w:sz="0" w:space="0" w:color="auto"/>
        <w:right w:val="none" w:sz="0" w:space="0" w:color="auto"/>
      </w:divBdr>
    </w:div>
    <w:div w:id="1282033063">
      <w:bodyDiv w:val="1"/>
      <w:marLeft w:val="0"/>
      <w:marRight w:val="0"/>
      <w:marTop w:val="0"/>
      <w:marBottom w:val="0"/>
      <w:divBdr>
        <w:top w:val="none" w:sz="0" w:space="0" w:color="auto"/>
        <w:left w:val="none" w:sz="0" w:space="0" w:color="auto"/>
        <w:bottom w:val="none" w:sz="0" w:space="0" w:color="auto"/>
        <w:right w:val="none" w:sz="0" w:space="0" w:color="auto"/>
      </w:divBdr>
    </w:div>
    <w:div w:id="1291981414">
      <w:bodyDiv w:val="1"/>
      <w:marLeft w:val="0"/>
      <w:marRight w:val="0"/>
      <w:marTop w:val="0"/>
      <w:marBottom w:val="0"/>
      <w:divBdr>
        <w:top w:val="none" w:sz="0" w:space="0" w:color="auto"/>
        <w:left w:val="none" w:sz="0" w:space="0" w:color="auto"/>
        <w:bottom w:val="none" w:sz="0" w:space="0" w:color="auto"/>
        <w:right w:val="none" w:sz="0" w:space="0" w:color="auto"/>
      </w:divBdr>
    </w:div>
    <w:div w:id="1294023434">
      <w:bodyDiv w:val="1"/>
      <w:marLeft w:val="0"/>
      <w:marRight w:val="0"/>
      <w:marTop w:val="0"/>
      <w:marBottom w:val="0"/>
      <w:divBdr>
        <w:top w:val="none" w:sz="0" w:space="0" w:color="auto"/>
        <w:left w:val="none" w:sz="0" w:space="0" w:color="auto"/>
        <w:bottom w:val="none" w:sz="0" w:space="0" w:color="auto"/>
        <w:right w:val="none" w:sz="0" w:space="0" w:color="auto"/>
      </w:divBdr>
    </w:div>
    <w:div w:id="1306548505">
      <w:bodyDiv w:val="1"/>
      <w:marLeft w:val="0"/>
      <w:marRight w:val="0"/>
      <w:marTop w:val="0"/>
      <w:marBottom w:val="0"/>
      <w:divBdr>
        <w:top w:val="none" w:sz="0" w:space="0" w:color="auto"/>
        <w:left w:val="none" w:sz="0" w:space="0" w:color="auto"/>
        <w:bottom w:val="none" w:sz="0" w:space="0" w:color="auto"/>
        <w:right w:val="none" w:sz="0" w:space="0" w:color="auto"/>
      </w:divBdr>
    </w:div>
    <w:div w:id="1317145764">
      <w:bodyDiv w:val="1"/>
      <w:marLeft w:val="0"/>
      <w:marRight w:val="0"/>
      <w:marTop w:val="0"/>
      <w:marBottom w:val="0"/>
      <w:divBdr>
        <w:top w:val="none" w:sz="0" w:space="0" w:color="auto"/>
        <w:left w:val="none" w:sz="0" w:space="0" w:color="auto"/>
        <w:bottom w:val="none" w:sz="0" w:space="0" w:color="auto"/>
        <w:right w:val="none" w:sz="0" w:space="0" w:color="auto"/>
      </w:divBdr>
    </w:div>
    <w:div w:id="1319068671">
      <w:bodyDiv w:val="1"/>
      <w:marLeft w:val="0"/>
      <w:marRight w:val="0"/>
      <w:marTop w:val="0"/>
      <w:marBottom w:val="0"/>
      <w:divBdr>
        <w:top w:val="none" w:sz="0" w:space="0" w:color="auto"/>
        <w:left w:val="none" w:sz="0" w:space="0" w:color="auto"/>
        <w:bottom w:val="none" w:sz="0" w:space="0" w:color="auto"/>
        <w:right w:val="none" w:sz="0" w:space="0" w:color="auto"/>
      </w:divBdr>
    </w:div>
    <w:div w:id="1333558490">
      <w:bodyDiv w:val="1"/>
      <w:marLeft w:val="0"/>
      <w:marRight w:val="0"/>
      <w:marTop w:val="0"/>
      <w:marBottom w:val="0"/>
      <w:divBdr>
        <w:top w:val="none" w:sz="0" w:space="0" w:color="auto"/>
        <w:left w:val="none" w:sz="0" w:space="0" w:color="auto"/>
        <w:bottom w:val="none" w:sz="0" w:space="0" w:color="auto"/>
        <w:right w:val="none" w:sz="0" w:space="0" w:color="auto"/>
      </w:divBdr>
    </w:div>
    <w:div w:id="1337805030">
      <w:bodyDiv w:val="1"/>
      <w:marLeft w:val="0"/>
      <w:marRight w:val="0"/>
      <w:marTop w:val="0"/>
      <w:marBottom w:val="0"/>
      <w:divBdr>
        <w:top w:val="none" w:sz="0" w:space="0" w:color="auto"/>
        <w:left w:val="none" w:sz="0" w:space="0" w:color="auto"/>
        <w:bottom w:val="none" w:sz="0" w:space="0" w:color="auto"/>
        <w:right w:val="none" w:sz="0" w:space="0" w:color="auto"/>
      </w:divBdr>
    </w:div>
    <w:div w:id="1349214247">
      <w:bodyDiv w:val="1"/>
      <w:marLeft w:val="0"/>
      <w:marRight w:val="0"/>
      <w:marTop w:val="0"/>
      <w:marBottom w:val="0"/>
      <w:divBdr>
        <w:top w:val="none" w:sz="0" w:space="0" w:color="auto"/>
        <w:left w:val="none" w:sz="0" w:space="0" w:color="auto"/>
        <w:bottom w:val="none" w:sz="0" w:space="0" w:color="auto"/>
        <w:right w:val="none" w:sz="0" w:space="0" w:color="auto"/>
      </w:divBdr>
    </w:div>
    <w:div w:id="1357737018">
      <w:bodyDiv w:val="1"/>
      <w:marLeft w:val="0"/>
      <w:marRight w:val="0"/>
      <w:marTop w:val="0"/>
      <w:marBottom w:val="0"/>
      <w:divBdr>
        <w:top w:val="none" w:sz="0" w:space="0" w:color="auto"/>
        <w:left w:val="none" w:sz="0" w:space="0" w:color="auto"/>
        <w:bottom w:val="none" w:sz="0" w:space="0" w:color="auto"/>
        <w:right w:val="none" w:sz="0" w:space="0" w:color="auto"/>
      </w:divBdr>
    </w:div>
    <w:div w:id="1359358464">
      <w:bodyDiv w:val="1"/>
      <w:marLeft w:val="0"/>
      <w:marRight w:val="0"/>
      <w:marTop w:val="0"/>
      <w:marBottom w:val="0"/>
      <w:divBdr>
        <w:top w:val="none" w:sz="0" w:space="0" w:color="auto"/>
        <w:left w:val="none" w:sz="0" w:space="0" w:color="auto"/>
        <w:bottom w:val="none" w:sz="0" w:space="0" w:color="auto"/>
        <w:right w:val="none" w:sz="0" w:space="0" w:color="auto"/>
      </w:divBdr>
    </w:div>
    <w:div w:id="1360820198">
      <w:bodyDiv w:val="1"/>
      <w:marLeft w:val="0"/>
      <w:marRight w:val="0"/>
      <w:marTop w:val="0"/>
      <w:marBottom w:val="0"/>
      <w:divBdr>
        <w:top w:val="none" w:sz="0" w:space="0" w:color="auto"/>
        <w:left w:val="none" w:sz="0" w:space="0" w:color="auto"/>
        <w:bottom w:val="none" w:sz="0" w:space="0" w:color="auto"/>
        <w:right w:val="none" w:sz="0" w:space="0" w:color="auto"/>
      </w:divBdr>
    </w:div>
    <w:div w:id="1368220679">
      <w:bodyDiv w:val="1"/>
      <w:marLeft w:val="0"/>
      <w:marRight w:val="0"/>
      <w:marTop w:val="0"/>
      <w:marBottom w:val="0"/>
      <w:divBdr>
        <w:top w:val="none" w:sz="0" w:space="0" w:color="auto"/>
        <w:left w:val="none" w:sz="0" w:space="0" w:color="auto"/>
        <w:bottom w:val="none" w:sz="0" w:space="0" w:color="auto"/>
        <w:right w:val="none" w:sz="0" w:space="0" w:color="auto"/>
      </w:divBdr>
    </w:div>
    <w:div w:id="1374495938">
      <w:bodyDiv w:val="1"/>
      <w:marLeft w:val="0"/>
      <w:marRight w:val="0"/>
      <w:marTop w:val="0"/>
      <w:marBottom w:val="0"/>
      <w:divBdr>
        <w:top w:val="none" w:sz="0" w:space="0" w:color="auto"/>
        <w:left w:val="none" w:sz="0" w:space="0" w:color="auto"/>
        <w:bottom w:val="none" w:sz="0" w:space="0" w:color="auto"/>
        <w:right w:val="none" w:sz="0" w:space="0" w:color="auto"/>
      </w:divBdr>
    </w:div>
    <w:div w:id="1391002612">
      <w:bodyDiv w:val="1"/>
      <w:marLeft w:val="0"/>
      <w:marRight w:val="0"/>
      <w:marTop w:val="0"/>
      <w:marBottom w:val="0"/>
      <w:divBdr>
        <w:top w:val="none" w:sz="0" w:space="0" w:color="auto"/>
        <w:left w:val="none" w:sz="0" w:space="0" w:color="auto"/>
        <w:bottom w:val="none" w:sz="0" w:space="0" w:color="auto"/>
        <w:right w:val="none" w:sz="0" w:space="0" w:color="auto"/>
      </w:divBdr>
    </w:div>
    <w:div w:id="1391804764">
      <w:bodyDiv w:val="1"/>
      <w:marLeft w:val="0"/>
      <w:marRight w:val="0"/>
      <w:marTop w:val="0"/>
      <w:marBottom w:val="0"/>
      <w:divBdr>
        <w:top w:val="none" w:sz="0" w:space="0" w:color="auto"/>
        <w:left w:val="none" w:sz="0" w:space="0" w:color="auto"/>
        <w:bottom w:val="none" w:sz="0" w:space="0" w:color="auto"/>
        <w:right w:val="none" w:sz="0" w:space="0" w:color="auto"/>
      </w:divBdr>
    </w:div>
    <w:div w:id="1403411202">
      <w:bodyDiv w:val="1"/>
      <w:marLeft w:val="0"/>
      <w:marRight w:val="0"/>
      <w:marTop w:val="0"/>
      <w:marBottom w:val="0"/>
      <w:divBdr>
        <w:top w:val="none" w:sz="0" w:space="0" w:color="auto"/>
        <w:left w:val="none" w:sz="0" w:space="0" w:color="auto"/>
        <w:bottom w:val="none" w:sz="0" w:space="0" w:color="auto"/>
        <w:right w:val="none" w:sz="0" w:space="0" w:color="auto"/>
      </w:divBdr>
    </w:div>
    <w:div w:id="1435396497">
      <w:bodyDiv w:val="1"/>
      <w:marLeft w:val="0"/>
      <w:marRight w:val="0"/>
      <w:marTop w:val="0"/>
      <w:marBottom w:val="0"/>
      <w:divBdr>
        <w:top w:val="none" w:sz="0" w:space="0" w:color="auto"/>
        <w:left w:val="none" w:sz="0" w:space="0" w:color="auto"/>
        <w:bottom w:val="none" w:sz="0" w:space="0" w:color="auto"/>
        <w:right w:val="none" w:sz="0" w:space="0" w:color="auto"/>
      </w:divBdr>
    </w:div>
    <w:div w:id="1450665012">
      <w:bodyDiv w:val="1"/>
      <w:marLeft w:val="0"/>
      <w:marRight w:val="0"/>
      <w:marTop w:val="0"/>
      <w:marBottom w:val="0"/>
      <w:divBdr>
        <w:top w:val="none" w:sz="0" w:space="0" w:color="auto"/>
        <w:left w:val="none" w:sz="0" w:space="0" w:color="auto"/>
        <w:bottom w:val="none" w:sz="0" w:space="0" w:color="auto"/>
        <w:right w:val="none" w:sz="0" w:space="0" w:color="auto"/>
      </w:divBdr>
    </w:div>
    <w:div w:id="1466853561">
      <w:bodyDiv w:val="1"/>
      <w:marLeft w:val="0"/>
      <w:marRight w:val="0"/>
      <w:marTop w:val="0"/>
      <w:marBottom w:val="0"/>
      <w:divBdr>
        <w:top w:val="none" w:sz="0" w:space="0" w:color="auto"/>
        <w:left w:val="none" w:sz="0" w:space="0" w:color="auto"/>
        <w:bottom w:val="none" w:sz="0" w:space="0" w:color="auto"/>
        <w:right w:val="none" w:sz="0" w:space="0" w:color="auto"/>
      </w:divBdr>
    </w:div>
    <w:div w:id="1470049964">
      <w:bodyDiv w:val="1"/>
      <w:marLeft w:val="0"/>
      <w:marRight w:val="0"/>
      <w:marTop w:val="0"/>
      <w:marBottom w:val="0"/>
      <w:divBdr>
        <w:top w:val="none" w:sz="0" w:space="0" w:color="auto"/>
        <w:left w:val="none" w:sz="0" w:space="0" w:color="auto"/>
        <w:bottom w:val="none" w:sz="0" w:space="0" w:color="auto"/>
        <w:right w:val="none" w:sz="0" w:space="0" w:color="auto"/>
      </w:divBdr>
    </w:div>
    <w:div w:id="1470395224">
      <w:bodyDiv w:val="1"/>
      <w:marLeft w:val="0"/>
      <w:marRight w:val="0"/>
      <w:marTop w:val="0"/>
      <w:marBottom w:val="0"/>
      <w:divBdr>
        <w:top w:val="none" w:sz="0" w:space="0" w:color="auto"/>
        <w:left w:val="none" w:sz="0" w:space="0" w:color="auto"/>
        <w:bottom w:val="none" w:sz="0" w:space="0" w:color="auto"/>
        <w:right w:val="none" w:sz="0" w:space="0" w:color="auto"/>
      </w:divBdr>
    </w:div>
    <w:div w:id="1479035122">
      <w:bodyDiv w:val="1"/>
      <w:marLeft w:val="0"/>
      <w:marRight w:val="0"/>
      <w:marTop w:val="0"/>
      <w:marBottom w:val="0"/>
      <w:divBdr>
        <w:top w:val="none" w:sz="0" w:space="0" w:color="auto"/>
        <w:left w:val="none" w:sz="0" w:space="0" w:color="auto"/>
        <w:bottom w:val="none" w:sz="0" w:space="0" w:color="auto"/>
        <w:right w:val="none" w:sz="0" w:space="0" w:color="auto"/>
      </w:divBdr>
    </w:div>
    <w:div w:id="1481268060">
      <w:bodyDiv w:val="1"/>
      <w:marLeft w:val="0"/>
      <w:marRight w:val="0"/>
      <w:marTop w:val="0"/>
      <w:marBottom w:val="0"/>
      <w:divBdr>
        <w:top w:val="none" w:sz="0" w:space="0" w:color="auto"/>
        <w:left w:val="none" w:sz="0" w:space="0" w:color="auto"/>
        <w:bottom w:val="none" w:sz="0" w:space="0" w:color="auto"/>
        <w:right w:val="none" w:sz="0" w:space="0" w:color="auto"/>
      </w:divBdr>
    </w:div>
    <w:div w:id="1481775025">
      <w:bodyDiv w:val="1"/>
      <w:marLeft w:val="0"/>
      <w:marRight w:val="0"/>
      <w:marTop w:val="0"/>
      <w:marBottom w:val="0"/>
      <w:divBdr>
        <w:top w:val="none" w:sz="0" w:space="0" w:color="auto"/>
        <w:left w:val="none" w:sz="0" w:space="0" w:color="auto"/>
        <w:bottom w:val="none" w:sz="0" w:space="0" w:color="auto"/>
        <w:right w:val="none" w:sz="0" w:space="0" w:color="auto"/>
      </w:divBdr>
    </w:div>
    <w:div w:id="1488402824">
      <w:bodyDiv w:val="1"/>
      <w:marLeft w:val="0"/>
      <w:marRight w:val="0"/>
      <w:marTop w:val="0"/>
      <w:marBottom w:val="0"/>
      <w:divBdr>
        <w:top w:val="none" w:sz="0" w:space="0" w:color="auto"/>
        <w:left w:val="none" w:sz="0" w:space="0" w:color="auto"/>
        <w:bottom w:val="none" w:sz="0" w:space="0" w:color="auto"/>
        <w:right w:val="none" w:sz="0" w:space="0" w:color="auto"/>
      </w:divBdr>
    </w:div>
    <w:div w:id="1489442704">
      <w:bodyDiv w:val="1"/>
      <w:marLeft w:val="0"/>
      <w:marRight w:val="0"/>
      <w:marTop w:val="0"/>
      <w:marBottom w:val="0"/>
      <w:divBdr>
        <w:top w:val="none" w:sz="0" w:space="0" w:color="auto"/>
        <w:left w:val="none" w:sz="0" w:space="0" w:color="auto"/>
        <w:bottom w:val="none" w:sz="0" w:space="0" w:color="auto"/>
        <w:right w:val="none" w:sz="0" w:space="0" w:color="auto"/>
      </w:divBdr>
    </w:div>
    <w:div w:id="1496527081">
      <w:bodyDiv w:val="1"/>
      <w:marLeft w:val="0"/>
      <w:marRight w:val="0"/>
      <w:marTop w:val="0"/>
      <w:marBottom w:val="0"/>
      <w:divBdr>
        <w:top w:val="none" w:sz="0" w:space="0" w:color="auto"/>
        <w:left w:val="none" w:sz="0" w:space="0" w:color="auto"/>
        <w:bottom w:val="none" w:sz="0" w:space="0" w:color="auto"/>
        <w:right w:val="none" w:sz="0" w:space="0" w:color="auto"/>
      </w:divBdr>
    </w:div>
    <w:div w:id="1503741773">
      <w:bodyDiv w:val="1"/>
      <w:marLeft w:val="0"/>
      <w:marRight w:val="0"/>
      <w:marTop w:val="0"/>
      <w:marBottom w:val="0"/>
      <w:divBdr>
        <w:top w:val="none" w:sz="0" w:space="0" w:color="auto"/>
        <w:left w:val="none" w:sz="0" w:space="0" w:color="auto"/>
        <w:bottom w:val="none" w:sz="0" w:space="0" w:color="auto"/>
        <w:right w:val="none" w:sz="0" w:space="0" w:color="auto"/>
      </w:divBdr>
    </w:div>
    <w:div w:id="1511063930">
      <w:bodyDiv w:val="1"/>
      <w:marLeft w:val="0"/>
      <w:marRight w:val="0"/>
      <w:marTop w:val="0"/>
      <w:marBottom w:val="0"/>
      <w:divBdr>
        <w:top w:val="none" w:sz="0" w:space="0" w:color="auto"/>
        <w:left w:val="none" w:sz="0" w:space="0" w:color="auto"/>
        <w:bottom w:val="none" w:sz="0" w:space="0" w:color="auto"/>
        <w:right w:val="none" w:sz="0" w:space="0" w:color="auto"/>
      </w:divBdr>
    </w:div>
    <w:div w:id="1511329316">
      <w:bodyDiv w:val="1"/>
      <w:marLeft w:val="0"/>
      <w:marRight w:val="0"/>
      <w:marTop w:val="0"/>
      <w:marBottom w:val="0"/>
      <w:divBdr>
        <w:top w:val="none" w:sz="0" w:space="0" w:color="auto"/>
        <w:left w:val="none" w:sz="0" w:space="0" w:color="auto"/>
        <w:bottom w:val="none" w:sz="0" w:space="0" w:color="auto"/>
        <w:right w:val="none" w:sz="0" w:space="0" w:color="auto"/>
      </w:divBdr>
    </w:div>
    <w:div w:id="1527985070">
      <w:bodyDiv w:val="1"/>
      <w:marLeft w:val="0"/>
      <w:marRight w:val="0"/>
      <w:marTop w:val="0"/>
      <w:marBottom w:val="0"/>
      <w:divBdr>
        <w:top w:val="none" w:sz="0" w:space="0" w:color="auto"/>
        <w:left w:val="none" w:sz="0" w:space="0" w:color="auto"/>
        <w:bottom w:val="none" w:sz="0" w:space="0" w:color="auto"/>
        <w:right w:val="none" w:sz="0" w:space="0" w:color="auto"/>
      </w:divBdr>
    </w:div>
    <w:div w:id="1531186382">
      <w:bodyDiv w:val="1"/>
      <w:marLeft w:val="0"/>
      <w:marRight w:val="0"/>
      <w:marTop w:val="0"/>
      <w:marBottom w:val="0"/>
      <w:divBdr>
        <w:top w:val="none" w:sz="0" w:space="0" w:color="auto"/>
        <w:left w:val="none" w:sz="0" w:space="0" w:color="auto"/>
        <w:bottom w:val="none" w:sz="0" w:space="0" w:color="auto"/>
        <w:right w:val="none" w:sz="0" w:space="0" w:color="auto"/>
      </w:divBdr>
    </w:div>
    <w:div w:id="1536888565">
      <w:bodyDiv w:val="1"/>
      <w:marLeft w:val="0"/>
      <w:marRight w:val="0"/>
      <w:marTop w:val="0"/>
      <w:marBottom w:val="0"/>
      <w:divBdr>
        <w:top w:val="none" w:sz="0" w:space="0" w:color="auto"/>
        <w:left w:val="none" w:sz="0" w:space="0" w:color="auto"/>
        <w:bottom w:val="none" w:sz="0" w:space="0" w:color="auto"/>
        <w:right w:val="none" w:sz="0" w:space="0" w:color="auto"/>
      </w:divBdr>
    </w:div>
    <w:div w:id="1544631234">
      <w:bodyDiv w:val="1"/>
      <w:marLeft w:val="0"/>
      <w:marRight w:val="0"/>
      <w:marTop w:val="0"/>
      <w:marBottom w:val="0"/>
      <w:divBdr>
        <w:top w:val="none" w:sz="0" w:space="0" w:color="auto"/>
        <w:left w:val="none" w:sz="0" w:space="0" w:color="auto"/>
        <w:bottom w:val="none" w:sz="0" w:space="0" w:color="auto"/>
        <w:right w:val="none" w:sz="0" w:space="0" w:color="auto"/>
      </w:divBdr>
    </w:div>
    <w:div w:id="1548104325">
      <w:bodyDiv w:val="1"/>
      <w:marLeft w:val="0"/>
      <w:marRight w:val="0"/>
      <w:marTop w:val="0"/>
      <w:marBottom w:val="0"/>
      <w:divBdr>
        <w:top w:val="none" w:sz="0" w:space="0" w:color="auto"/>
        <w:left w:val="none" w:sz="0" w:space="0" w:color="auto"/>
        <w:bottom w:val="none" w:sz="0" w:space="0" w:color="auto"/>
        <w:right w:val="none" w:sz="0" w:space="0" w:color="auto"/>
      </w:divBdr>
    </w:div>
    <w:div w:id="1548643504">
      <w:bodyDiv w:val="1"/>
      <w:marLeft w:val="0"/>
      <w:marRight w:val="0"/>
      <w:marTop w:val="0"/>
      <w:marBottom w:val="0"/>
      <w:divBdr>
        <w:top w:val="none" w:sz="0" w:space="0" w:color="auto"/>
        <w:left w:val="none" w:sz="0" w:space="0" w:color="auto"/>
        <w:bottom w:val="none" w:sz="0" w:space="0" w:color="auto"/>
        <w:right w:val="none" w:sz="0" w:space="0" w:color="auto"/>
      </w:divBdr>
    </w:div>
    <w:div w:id="1558123918">
      <w:bodyDiv w:val="1"/>
      <w:marLeft w:val="0"/>
      <w:marRight w:val="0"/>
      <w:marTop w:val="0"/>
      <w:marBottom w:val="0"/>
      <w:divBdr>
        <w:top w:val="none" w:sz="0" w:space="0" w:color="auto"/>
        <w:left w:val="none" w:sz="0" w:space="0" w:color="auto"/>
        <w:bottom w:val="none" w:sz="0" w:space="0" w:color="auto"/>
        <w:right w:val="none" w:sz="0" w:space="0" w:color="auto"/>
      </w:divBdr>
    </w:div>
    <w:div w:id="1559168613">
      <w:bodyDiv w:val="1"/>
      <w:marLeft w:val="0"/>
      <w:marRight w:val="0"/>
      <w:marTop w:val="0"/>
      <w:marBottom w:val="0"/>
      <w:divBdr>
        <w:top w:val="none" w:sz="0" w:space="0" w:color="auto"/>
        <w:left w:val="none" w:sz="0" w:space="0" w:color="auto"/>
        <w:bottom w:val="none" w:sz="0" w:space="0" w:color="auto"/>
        <w:right w:val="none" w:sz="0" w:space="0" w:color="auto"/>
      </w:divBdr>
    </w:div>
    <w:div w:id="1568028137">
      <w:bodyDiv w:val="1"/>
      <w:marLeft w:val="0"/>
      <w:marRight w:val="0"/>
      <w:marTop w:val="0"/>
      <w:marBottom w:val="0"/>
      <w:divBdr>
        <w:top w:val="none" w:sz="0" w:space="0" w:color="auto"/>
        <w:left w:val="none" w:sz="0" w:space="0" w:color="auto"/>
        <w:bottom w:val="none" w:sz="0" w:space="0" w:color="auto"/>
        <w:right w:val="none" w:sz="0" w:space="0" w:color="auto"/>
      </w:divBdr>
    </w:div>
    <w:div w:id="1578052144">
      <w:bodyDiv w:val="1"/>
      <w:marLeft w:val="0"/>
      <w:marRight w:val="0"/>
      <w:marTop w:val="0"/>
      <w:marBottom w:val="0"/>
      <w:divBdr>
        <w:top w:val="none" w:sz="0" w:space="0" w:color="auto"/>
        <w:left w:val="none" w:sz="0" w:space="0" w:color="auto"/>
        <w:bottom w:val="none" w:sz="0" w:space="0" w:color="auto"/>
        <w:right w:val="none" w:sz="0" w:space="0" w:color="auto"/>
      </w:divBdr>
    </w:div>
    <w:div w:id="1583834929">
      <w:bodyDiv w:val="1"/>
      <w:marLeft w:val="0"/>
      <w:marRight w:val="0"/>
      <w:marTop w:val="0"/>
      <w:marBottom w:val="0"/>
      <w:divBdr>
        <w:top w:val="none" w:sz="0" w:space="0" w:color="auto"/>
        <w:left w:val="none" w:sz="0" w:space="0" w:color="auto"/>
        <w:bottom w:val="none" w:sz="0" w:space="0" w:color="auto"/>
        <w:right w:val="none" w:sz="0" w:space="0" w:color="auto"/>
      </w:divBdr>
    </w:div>
    <w:div w:id="1603027833">
      <w:bodyDiv w:val="1"/>
      <w:marLeft w:val="0"/>
      <w:marRight w:val="0"/>
      <w:marTop w:val="0"/>
      <w:marBottom w:val="0"/>
      <w:divBdr>
        <w:top w:val="none" w:sz="0" w:space="0" w:color="auto"/>
        <w:left w:val="none" w:sz="0" w:space="0" w:color="auto"/>
        <w:bottom w:val="none" w:sz="0" w:space="0" w:color="auto"/>
        <w:right w:val="none" w:sz="0" w:space="0" w:color="auto"/>
      </w:divBdr>
    </w:div>
    <w:div w:id="1616214066">
      <w:bodyDiv w:val="1"/>
      <w:marLeft w:val="0"/>
      <w:marRight w:val="0"/>
      <w:marTop w:val="0"/>
      <w:marBottom w:val="0"/>
      <w:divBdr>
        <w:top w:val="none" w:sz="0" w:space="0" w:color="auto"/>
        <w:left w:val="none" w:sz="0" w:space="0" w:color="auto"/>
        <w:bottom w:val="none" w:sz="0" w:space="0" w:color="auto"/>
        <w:right w:val="none" w:sz="0" w:space="0" w:color="auto"/>
      </w:divBdr>
    </w:div>
    <w:div w:id="1617564900">
      <w:bodyDiv w:val="1"/>
      <w:marLeft w:val="0"/>
      <w:marRight w:val="0"/>
      <w:marTop w:val="0"/>
      <w:marBottom w:val="0"/>
      <w:divBdr>
        <w:top w:val="none" w:sz="0" w:space="0" w:color="auto"/>
        <w:left w:val="none" w:sz="0" w:space="0" w:color="auto"/>
        <w:bottom w:val="none" w:sz="0" w:space="0" w:color="auto"/>
        <w:right w:val="none" w:sz="0" w:space="0" w:color="auto"/>
      </w:divBdr>
    </w:div>
    <w:div w:id="1624844852">
      <w:bodyDiv w:val="1"/>
      <w:marLeft w:val="0"/>
      <w:marRight w:val="0"/>
      <w:marTop w:val="0"/>
      <w:marBottom w:val="0"/>
      <w:divBdr>
        <w:top w:val="none" w:sz="0" w:space="0" w:color="auto"/>
        <w:left w:val="none" w:sz="0" w:space="0" w:color="auto"/>
        <w:bottom w:val="none" w:sz="0" w:space="0" w:color="auto"/>
        <w:right w:val="none" w:sz="0" w:space="0" w:color="auto"/>
      </w:divBdr>
    </w:div>
    <w:div w:id="1627464757">
      <w:bodyDiv w:val="1"/>
      <w:marLeft w:val="0"/>
      <w:marRight w:val="0"/>
      <w:marTop w:val="0"/>
      <w:marBottom w:val="0"/>
      <w:divBdr>
        <w:top w:val="none" w:sz="0" w:space="0" w:color="auto"/>
        <w:left w:val="none" w:sz="0" w:space="0" w:color="auto"/>
        <w:bottom w:val="none" w:sz="0" w:space="0" w:color="auto"/>
        <w:right w:val="none" w:sz="0" w:space="0" w:color="auto"/>
      </w:divBdr>
    </w:div>
    <w:div w:id="1627858580">
      <w:bodyDiv w:val="1"/>
      <w:marLeft w:val="0"/>
      <w:marRight w:val="0"/>
      <w:marTop w:val="0"/>
      <w:marBottom w:val="0"/>
      <w:divBdr>
        <w:top w:val="none" w:sz="0" w:space="0" w:color="auto"/>
        <w:left w:val="none" w:sz="0" w:space="0" w:color="auto"/>
        <w:bottom w:val="none" w:sz="0" w:space="0" w:color="auto"/>
        <w:right w:val="none" w:sz="0" w:space="0" w:color="auto"/>
      </w:divBdr>
    </w:div>
    <w:div w:id="1635089931">
      <w:bodyDiv w:val="1"/>
      <w:marLeft w:val="0"/>
      <w:marRight w:val="0"/>
      <w:marTop w:val="0"/>
      <w:marBottom w:val="0"/>
      <w:divBdr>
        <w:top w:val="none" w:sz="0" w:space="0" w:color="auto"/>
        <w:left w:val="none" w:sz="0" w:space="0" w:color="auto"/>
        <w:bottom w:val="none" w:sz="0" w:space="0" w:color="auto"/>
        <w:right w:val="none" w:sz="0" w:space="0" w:color="auto"/>
      </w:divBdr>
    </w:div>
    <w:div w:id="1639258692">
      <w:bodyDiv w:val="1"/>
      <w:marLeft w:val="0"/>
      <w:marRight w:val="0"/>
      <w:marTop w:val="0"/>
      <w:marBottom w:val="0"/>
      <w:divBdr>
        <w:top w:val="none" w:sz="0" w:space="0" w:color="auto"/>
        <w:left w:val="none" w:sz="0" w:space="0" w:color="auto"/>
        <w:bottom w:val="none" w:sz="0" w:space="0" w:color="auto"/>
        <w:right w:val="none" w:sz="0" w:space="0" w:color="auto"/>
      </w:divBdr>
    </w:div>
    <w:div w:id="1650397859">
      <w:bodyDiv w:val="1"/>
      <w:marLeft w:val="0"/>
      <w:marRight w:val="0"/>
      <w:marTop w:val="0"/>
      <w:marBottom w:val="0"/>
      <w:divBdr>
        <w:top w:val="none" w:sz="0" w:space="0" w:color="auto"/>
        <w:left w:val="none" w:sz="0" w:space="0" w:color="auto"/>
        <w:bottom w:val="none" w:sz="0" w:space="0" w:color="auto"/>
        <w:right w:val="none" w:sz="0" w:space="0" w:color="auto"/>
      </w:divBdr>
    </w:div>
    <w:div w:id="1662007774">
      <w:bodyDiv w:val="1"/>
      <w:marLeft w:val="0"/>
      <w:marRight w:val="0"/>
      <w:marTop w:val="0"/>
      <w:marBottom w:val="0"/>
      <w:divBdr>
        <w:top w:val="none" w:sz="0" w:space="0" w:color="auto"/>
        <w:left w:val="none" w:sz="0" w:space="0" w:color="auto"/>
        <w:bottom w:val="none" w:sz="0" w:space="0" w:color="auto"/>
        <w:right w:val="none" w:sz="0" w:space="0" w:color="auto"/>
      </w:divBdr>
    </w:div>
    <w:div w:id="1675916921">
      <w:bodyDiv w:val="1"/>
      <w:marLeft w:val="0"/>
      <w:marRight w:val="0"/>
      <w:marTop w:val="0"/>
      <w:marBottom w:val="0"/>
      <w:divBdr>
        <w:top w:val="none" w:sz="0" w:space="0" w:color="auto"/>
        <w:left w:val="none" w:sz="0" w:space="0" w:color="auto"/>
        <w:bottom w:val="none" w:sz="0" w:space="0" w:color="auto"/>
        <w:right w:val="none" w:sz="0" w:space="0" w:color="auto"/>
      </w:divBdr>
    </w:div>
    <w:div w:id="1708024804">
      <w:bodyDiv w:val="1"/>
      <w:marLeft w:val="0"/>
      <w:marRight w:val="0"/>
      <w:marTop w:val="0"/>
      <w:marBottom w:val="0"/>
      <w:divBdr>
        <w:top w:val="none" w:sz="0" w:space="0" w:color="auto"/>
        <w:left w:val="none" w:sz="0" w:space="0" w:color="auto"/>
        <w:bottom w:val="none" w:sz="0" w:space="0" w:color="auto"/>
        <w:right w:val="none" w:sz="0" w:space="0" w:color="auto"/>
      </w:divBdr>
    </w:div>
    <w:div w:id="1708722711">
      <w:bodyDiv w:val="1"/>
      <w:marLeft w:val="0"/>
      <w:marRight w:val="0"/>
      <w:marTop w:val="0"/>
      <w:marBottom w:val="0"/>
      <w:divBdr>
        <w:top w:val="none" w:sz="0" w:space="0" w:color="auto"/>
        <w:left w:val="none" w:sz="0" w:space="0" w:color="auto"/>
        <w:bottom w:val="none" w:sz="0" w:space="0" w:color="auto"/>
        <w:right w:val="none" w:sz="0" w:space="0" w:color="auto"/>
      </w:divBdr>
    </w:div>
    <w:div w:id="1716588210">
      <w:bodyDiv w:val="1"/>
      <w:marLeft w:val="0"/>
      <w:marRight w:val="0"/>
      <w:marTop w:val="0"/>
      <w:marBottom w:val="0"/>
      <w:divBdr>
        <w:top w:val="none" w:sz="0" w:space="0" w:color="auto"/>
        <w:left w:val="none" w:sz="0" w:space="0" w:color="auto"/>
        <w:bottom w:val="none" w:sz="0" w:space="0" w:color="auto"/>
        <w:right w:val="none" w:sz="0" w:space="0" w:color="auto"/>
      </w:divBdr>
    </w:div>
    <w:div w:id="1720588310">
      <w:bodyDiv w:val="1"/>
      <w:marLeft w:val="0"/>
      <w:marRight w:val="0"/>
      <w:marTop w:val="0"/>
      <w:marBottom w:val="0"/>
      <w:divBdr>
        <w:top w:val="none" w:sz="0" w:space="0" w:color="auto"/>
        <w:left w:val="none" w:sz="0" w:space="0" w:color="auto"/>
        <w:bottom w:val="none" w:sz="0" w:space="0" w:color="auto"/>
        <w:right w:val="none" w:sz="0" w:space="0" w:color="auto"/>
      </w:divBdr>
    </w:div>
    <w:div w:id="1731345894">
      <w:bodyDiv w:val="1"/>
      <w:marLeft w:val="0"/>
      <w:marRight w:val="0"/>
      <w:marTop w:val="0"/>
      <w:marBottom w:val="0"/>
      <w:divBdr>
        <w:top w:val="none" w:sz="0" w:space="0" w:color="auto"/>
        <w:left w:val="none" w:sz="0" w:space="0" w:color="auto"/>
        <w:bottom w:val="none" w:sz="0" w:space="0" w:color="auto"/>
        <w:right w:val="none" w:sz="0" w:space="0" w:color="auto"/>
      </w:divBdr>
    </w:div>
    <w:div w:id="1737631852">
      <w:bodyDiv w:val="1"/>
      <w:marLeft w:val="0"/>
      <w:marRight w:val="0"/>
      <w:marTop w:val="0"/>
      <w:marBottom w:val="0"/>
      <w:divBdr>
        <w:top w:val="none" w:sz="0" w:space="0" w:color="auto"/>
        <w:left w:val="none" w:sz="0" w:space="0" w:color="auto"/>
        <w:bottom w:val="none" w:sz="0" w:space="0" w:color="auto"/>
        <w:right w:val="none" w:sz="0" w:space="0" w:color="auto"/>
      </w:divBdr>
    </w:div>
    <w:div w:id="1738892214">
      <w:bodyDiv w:val="1"/>
      <w:marLeft w:val="0"/>
      <w:marRight w:val="0"/>
      <w:marTop w:val="0"/>
      <w:marBottom w:val="0"/>
      <w:divBdr>
        <w:top w:val="none" w:sz="0" w:space="0" w:color="auto"/>
        <w:left w:val="none" w:sz="0" w:space="0" w:color="auto"/>
        <w:bottom w:val="none" w:sz="0" w:space="0" w:color="auto"/>
        <w:right w:val="none" w:sz="0" w:space="0" w:color="auto"/>
      </w:divBdr>
    </w:div>
    <w:div w:id="1751927574">
      <w:bodyDiv w:val="1"/>
      <w:marLeft w:val="0"/>
      <w:marRight w:val="0"/>
      <w:marTop w:val="0"/>
      <w:marBottom w:val="0"/>
      <w:divBdr>
        <w:top w:val="none" w:sz="0" w:space="0" w:color="auto"/>
        <w:left w:val="none" w:sz="0" w:space="0" w:color="auto"/>
        <w:bottom w:val="none" w:sz="0" w:space="0" w:color="auto"/>
        <w:right w:val="none" w:sz="0" w:space="0" w:color="auto"/>
      </w:divBdr>
    </w:div>
    <w:div w:id="1782069118">
      <w:bodyDiv w:val="1"/>
      <w:marLeft w:val="0"/>
      <w:marRight w:val="0"/>
      <w:marTop w:val="0"/>
      <w:marBottom w:val="0"/>
      <w:divBdr>
        <w:top w:val="none" w:sz="0" w:space="0" w:color="auto"/>
        <w:left w:val="none" w:sz="0" w:space="0" w:color="auto"/>
        <w:bottom w:val="none" w:sz="0" w:space="0" w:color="auto"/>
        <w:right w:val="none" w:sz="0" w:space="0" w:color="auto"/>
      </w:divBdr>
    </w:div>
    <w:div w:id="1790930100">
      <w:bodyDiv w:val="1"/>
      <w:marLeft w:val="0"/>
      <w:marRight w:val="0"/>
      <w:marTop w:val="0"/>
      <w:marBottom w:val="0"/>
      <w:divBdr>
        <w:top w:val="none" w:sz="0" w:space="0" w:color="auto"/>
        <w:left w:val="none" w:sz="0" w:space="0" w:color="auto"/>
        <w:bottom w:val="none" w:sz="0" w:space="0" w:color="auto"/>
        <w:right w:val="none" w:sz="0" w:space="0" w:color="auto"/>
      </w:divBdr>
    </w:div>
    <w:div w:id="1793162623">
      <w:bodyDiv w:val="1"/>
      <w:marLeft w:val="0"/>
      <w:marRight w:val="0"/>
      <w:marTop w:val="0"/>
      <w:marBottom w:val="0"/>
      <w:divBdr>
        <w:top w:val="none" w:sz="0" w:space="0" w:color="auto"/>
        <w:left w:val="none" w:sz="0" w:space="0" w:color="auto"/>
        <w:bottom w:val="none" w:sz="0" w:space="0" w:color="auto"/>
        <w:right w:val="none" w:sz="0" w:space="0" w:color="auto"/>
      </w:divBdr>
      <w:divsChild>
        <w:div w:id="260649293">
          <w:marLeft w:val="0"/>
          <w:marRight w:val="0"/>
          <w:marTop w:val="0"/>
          <w:marBottom w:val="0"/>
          <w:divBdr>
            <w:top w:val="none" w:sz="0" w:space="0" w:color="auto"/>
            <w:left w:val="none" w:sz="0" w:space="0" w:color="auto"/>
            <w:bottom w:val="none" w:sz="0" w:space="0" w:color="auto"/>
            <w:right w:val="none" w:sz="0" w:space="0" w:color="auto"/>
          </w:divBdr>
        </w:div>
        <w:div w:id="1587615141">
          <w:marLeft w:val="0"/>
          <w:marRight w:val="0"/>
          <w:marTop w:val="0"/>
          <w:marBottom w:val="0"/>
          <w:divBdr>
            <w:top w:val="none" w:sz="0" w:space="0" w:color="auto"/>
            <w:left w:val="none" w:sz="0" w:space="0" w:color="auto"/>
            <w:bottom w:val="none" w:sz="0" w:space="0" w:color="auto"/>
            <w:right w:val="none" w:sz="0" w:space="0" w:color="auto"/>
          </w:divBdr>
        </w:div>
      </w:divsChild>
    </w:div>
    <w:div w:id="1796562158">
      <w:bodyDiv w:val="1"/>
      <w:marLeft w:val="0"/>
      <w:marRight w:val="0"/>
      <w:marTop w:val="0"/>
      <w:marBottom w:val="0"/>
      <w:divBdr>
        <w:top w:val="none" w:sz="0" w:space="0" w:color="auto"/>
        <w:left w:val="none" w:sz="0" w:space="0" w:color="auto"/>
        <w:bottom w:val="none" w:sz="0" w:space="0" w:color="auto"/>
        <w:right w:val="none" w:sz="0" w:space="0" w:color="auto"/>
      </w:divBdr>
    </w:div>
    <w:div w:id="1797291986">
      <w:bodyDiv w:val="1"/>
      <w:marLeft w:val="0"/>
      <w:marRight w:val="0"/>
      <w:marTop w:val="0"/>
      <w:marBottom w:val="0"/>
      <w:divBdr>
        <w:top w:val="none" w:sz="0" w:space="0" w:color="auto"/>
        <w:left w:val="none" w:sz="0" w:space="0" w:color="auto"/>
        <w:bottom w:val="none" w:sz="0" w:space="0" w:color="auto"/>
        <w:right w:val="none" w:sz="0" w:space="0" w:color="auto"/>
      </w:divBdr>
    </w:div>
    <w:div w:id="1804612812">
      <w:bodyDiv w:val="1"/>
      <w:marLeft w:val="0"/>
      <w:marRight w:val="0"/>
      <w:marTop w:val="0"/>
      <w:marBottom w:val="0"/>
      <w:divBdr>
        <w:top w:val="none" w:sz="0" w:space="0" w:color="auto"/>
        <w:left w:val="none" w:sz="0" w:space="0" w:color="auto"/>
        <w:bottom w:val="none" w:sz="0" w:space="0" w:color="auto"/>
        <w:right w:val="none" w:sz="0" w:space="0" w:color="auto"/>
      </w:divBdr>
    </w:div>
    <w:div w:id="1806727860">
      <w:bodyDiv w:val="1"/>
      <w:marLeft w:val="0"/>
      <w:marRight w:val="0"/>
      <w:marTop w:val="0"/>
      <w:marBottom w:val="0"/>
      <w:divBdr>
        <w:top w:val="none" w:sz="0" w:space="0" w:color="auto"/>
        <w:left w:val="none" w:sz="0" w:space="0" w:color="auto"/>
        <w:bottom w:val="none" w:sz="0" w:space="0" w:color="auto"/>
        <w:right w:val="none" w:sz="0" w:space="0" w:color="auto"/>
      </w:divBdr>
    </w:div>
    <w:div w:id="1817524639">
      <w:bodyDiv w:val="1"/>
      <w:marLeft w:val="0"/>
      <w:marRight w:val="0"/>
      <w:marTop w:val="0"/>
      <w:marBottom w:val="0"/>
      <w:divBdr>
        <w:top w:val="none" w:sz="0" w:space="0" w:color="auto"/>
        <w:left w:val="none" w:sz="0" w:space="0" w:color="auto"/>
        <w:bottom w:val="none" w:sz="0" w:space="0" w:color="auto"/>
        <w:right w:val="none" w:sz="0" w:space="0" w:color="auto"/>
      </w:divBdr>
    </w:div>
    <w:div w:id="1830556290">
      <w:bodyDiv w:val="1"/>
      <w:marLeft w:val="0"/>
      <w:marRight w:val="0"/>
      <w:marTop w:val="0"/>
      <w:marBottom w:val="0"/>
      <w:divBdr>
        <w:top w:val="none" w:sz="0" w:space="0" w:color="auto"/>
        <w:left w:val="none" w:sz="0" w:space="0" w:color="auto"/>
        <w:bottom w:val="none" w:sz="0" w:space="0" w:color="auto"/>
        <w:right w:val="none" w:sz="0" w:space="0" w:color="auto"/>
      </w:divBdr>
    </w:div>
    <w:div w:id="1830824006">
      <w:bodyDiv w:val="1"/>
      <w:marLeft w:val="0"/>
      <w:marRight w:val="0"/>
      <w:marTop w:val="0"/>
      <w:marBottom w:val="0"/>
      <w:divBdr>
        <w:top w:val="none" w:sz="0" w:space="0" w:color="auto"/>
        <w:left w:val="none" w:sz="0" w:space="0" w:color="auto"/>
        <w:bottom w:val="none" w:sz="0" w:space="0" w:color="auto"/>
        <w:right w:val="none" w:sz="0" w:space="0" w:color="auto"/>
      </w:divBdr>
    </w:div>
    <w:div w:id="1835216784">
      <w:bodyDiv w:val="1"/>
      <w:marLeft w:val="0"/>
      <w:marRight w:val="0"/>
      <w:marTop w:val="0"/>
      <w:marBottom w:val="0"/>
      <w:divBdr>
        <w:top w:val="none" w:sz="0" w:space="0" w:color="auto"/>
        <w:left w:val="none" w:sz="0" w:space="0" w:color="auto"/>
        <w:bottom w:val="none" w:sz="0" w:space="0" w:color="auto"/>
        <w:right w:val="none" w:sz="0" w:space="0" w:color="auto"/>
      </w:divBdr>
    </w:div>
    <w:div w:id="1839955549">
      <w:bodyDiv w:val="1"/>
      <w:marLeft w:val="0"/>
      <w:marRight w:val="0"/>
      <w:marTop w:val="0"/>
      <w:marBottom w:val="0"/>
      <w:divBdr>
        <w:top w:val="none" w:sz="0" w:space="0" w:color="auto"/>
        <w:left w:val="none" w:sz="0" w:space="0" w:color="auto"/>
        <w:bottom w:val="none" w:sz="0" w:space="0" w:color="auto"/>
        <w:right w:val="none" w:sz="0" w:space="0" w:color="auto"/>
      </w:divBdr>
    </w:div>
    <w:div w:id="1850871110">
      <w:bodyDiv w:val="1"/>
      <w:marLeft w:val="0"/>
      <w:marRight w:val="0"/>
      <w:marTop w:val="0"/>
      <w:marBottom w:val="0"/>
      <w:divBdr>
        <w:top w:val="none" w:sz="0" w:space="0" w:color="auto"/>
        <w:left w:val="none" w:sz="0" w:space="0" w:color="auto"/>
        <w:bottom w:val="none" w:sz="0" w:space="0" w:color="auto"/>
        <w:right w:val="none" w:sz="0" w:space="0" w:color="auto"/>
      </w:divBdr>
    </w:div>
    <w:div w:id="1870413879">
      <w:bodyDiv w:val="1"/>
      <w:marLeft w:val="0"/>
      <w:marRight w:val="0"/>
      <w:marTop w:val="0"/>
      <w:marBottom w:val="0"/>
      <w:divBdr>
        <w:top w:val="none" w:sz="0" w:space="0" w:color="auto"/>
        <w:left w:val="none" w:sz="0" w:space="0" w:color="auto"/>
        <w:bottom w:val="none" w:sz="0" w:space="0" w:color="auto"/>
        <w:right w:val="none" w:sz="0" w:space="0" w:color="auto"/>
      </w:divBdr>
    </w:div>
    <w:div w:id="1876887311">
      <w:bodyDiv w:val="1"/>
      <w:marLeft w:val="0"/>
      <w:marRight w:val="0"/>
      <w:marTop w:val="0"/>
      <w:marBottom w:val="0"/>
      <w:divBdr>
        <w:top w:val="none" w:sz="0" w:space="0" w:color="auto"/>
        <w:left w:val="none" w:sz="0" w:space="0" w:color="auto"/>
        <w:bottom w:val="none" w:sz="0" w:space="0" w:color="auto"/>
        <w:right w:val="none" w:sz="0" w:space="0" w:color="auto"/>
      </w:divBdr>
    </w:div>
    <w:div w:id="1880244953">
      <w:bodyDiv w:val="1"/>
      <w:marLeft w:val="0"/>
      <w:marRight w:val="0"/>
      <w:marTop w:val="0"/>
      <w:marBottom w:val="0"/>
      <w:divBdr>
        <w:top w:val="none" w:sz="0" w:space="0" w:color="auto"/>
        <w:left w:val="none" w:sz="0" w:space="0" w:color="auto"/>
        <w:bottom w:val="none" w:sz="0" w:space="0" w:color="auto"/>
        <w:right w:val="none" w:sz="0" w:space="0" w:color="auto"/>
      </w:divBdr>
    </w:div>
    <w:div w:id="1902516504">
      <w:bodyDiv w:val="1"/>
      <w:marLeft w:val="0"/>
      <w:marRight w:val="0"/>
      <w:marTop w:val="0"/>
      <w:marBottom w:val="0"/>
      <w:divBdr>
        <w:top w:val="none" w:sz="0" w:space="0" w:color="auto"/>
        <w:left w:val="none" w:sz="0" w:space="0" w:color="auto"/>
        <w:bottom w:val="none" w:sz="0" w:space="0" w:color="auto"/>
        <w:right w:val="none" w:sz="0" w:space="0" w:color="auto"/>
      </w:divBdr>
    </w:div>
    <w:div w:id="1904480775">
      <w:bodyDiv w:val="1"/>
      <w:marLeft w:val="0"/>
      <w:marRight w:val="0"/>
      <w:marTop w:val="0"/>
      <w:marBottom w:val="0"/>
      <w:divBdr>
        <w:top w:val="none" w:sz="0" w:space="0" w:color="auto"/>
        <w:left w:val="none" w:sz="0" w:space="0" w:color="auto"/>
        <w:bottom w:val="none" w:sz="0" w:space="0" w:color="auto"/>
        <w:right w:val="none" w:sz="0" w:space="0" w:color="auto"/>
      </w:divBdr>
    </w:div>
    <w:div w:id="1928536465">
      <w:bodyDiv w:val="1"/>
      <w:marLeft w:val="0"/>
      <w:marRight w:val="0"/>
      <w:marTop w:val="0"/>
      <w:marBottom w:val="0"/>
      <w:divBdr>
        <w:top w:val="none" w:sz="0" w:space="0" w:color="auto"/>
        <w:left w:val="none" w:sz="0" w:space="0" w:color="auto"/>
        <w:bottom w:val="none" w:sz="0" w:space="0" w:color="auto"/>
        <w:right w:val="none" w:sz="0" w:space="0" w:color="auto"/>
      </w:divBdr>
    </w:div>
    <w:div w:id="1931888353">
      <w:bodyDiv w:val="1"/>
      <w:marLeft w:val="0"/>
      <w:marRight w:val="0"/>
      <w:marTop w:val="0"/>
      <w:marBottom w:val="0"/>
      <w:divBdr>
        <w:top w:val="none" w:sz="0" w:space="0" w:color="auto"/>
        <w:left w:val="none" w:sz="0" w:space="0" w:color="auto"/>
        <w:bottom w:val="none" w:sz="0" w:space="0" w:color="auto"/>
        <w:right w:val="none" w:sz="0" w:space="0" w:color="auto"/>
      </w:divBdr>
    </w:div>
    <w:div w:id="1937791146">
      <w:bodyDiv w:val="1"/>
      <w:marLeft w:val="0"/>
      <w:marRight w:val="0"/>
      <w:marTop w:val="0"/>
      <w:marBottom w:val="0"/>
      <w:divBdr>
        <w:top w:val="none" w:sz="0" w:space="0" w:color="auto"/>
        <w:left w:val="none" w:sz="0" w:space="0" w:color="auto"/>
        <w:bottom w:val="none" w:sz="0" w:space="0" w:color="auto"/>
        <w:right w:val="none" w:sz="0" w:space="0" w:color="auto"/>
      </w:divBdr>
    </w:div>
    <w:div w:id="1940336047">
      <w:bodyDiv w:val="1"/>
      <w:marLeft w:val="0"/>
      <w:marRight w:val="0"/>
      <w:marTop w:val="0"/>
      <w:marBottom w:val="0"/>
      <w:divBdr>
        <w:top w:val="none" w:sz="0" w:space="0" w:color="auto"/>
        <w:left w:val="none" w:sz="0" w:space="0" w:color="auto"/>
        <w:bottom w:val="none" w:sz="0" w:space="0" w:color="auto"/>
        <w:right w:val="none" w:sz="0" w:space="0" w:color="auto"/>
      </w:divBdr>
    </w:div>
    <w:div w:id="1941644815">
      <w:bodyDiv w:val="1"/>
      <w:marLeft w:val="0"/>
      <w:marRight w:val="0"/>
      <w:marTop w:val="0"/>
      <w:marBottom w:val="0"/>
      <w:divBdr>
        <w:top w:val="none" w:sz="0" w:space="0" w:color="auto"/>
        <w:left w:val="none" w:sz="0" w:space="0" w:color="auto"/>
        <w:bottom w:val="none" w:sz="0" w:space="0" w:color="auto"/>
        <w:right w:val="none" w:sz="0" w:space="0" w:color="auto"/>
      </w:divBdr>
      <w:divsChild>
        <w:div w:id="1639341512">
          <w:marLeft w:val="0"/>
          <w:marRight w:val="0"/>
          <w:marTop w:val="0"/>
          <w:marBottom w:val="0"/>
          <w:divBdr>
            <w:top w:val="none" w:sz="0" w:space="0" w:color="auto"/>
            <w:left w:val="none" w:sz="0" w:space="0" w:color="auto"/>
            <w:bottom w:val="none" w:sz="0" w:space="0" w:color="auto"/>
            <w:right w:val="none" w:sz="0" w:space="0" w:color="auto"/>
          </w:divBdr>
          <w:divsChild>
            <w:div w:id="1811628946">
              <w:marLeft w:val="0"/>
              <w:marRight w:val="0"/>
              <w:marTop w:val="0"/>
              <w:marBottom w:val="0"/>
              <w:divBdr>
                <w:top w:val="none" w:sz="0" w:space="0" w:color="auto"/>
                <w:left w:val="none" w:sz="0" w:space="0" w:color="auto"/>
                <w:bottom w:val="none" w:sz="0" w:space="0" w:color="auto"/>
                <w:right w:val="none" w:sz="0" w:space="0" w:color="auto"/>
              </w:divBdr>
              <w:divsChild>
                <w:div w:id="75592955">
                  <w:marLeft w:val="0"/>
                  <w:marRight w:val="0"/>
                  <w:marTop w:val="0"/>
                  <w:marBottom w:val="0"/>
                  <w:divBdr>
                    <w:top w:val="none" w:sz="0" w:space="0" w:color="auto"/>
                    <w:left w:val="none" w:sz="0" w:space="0" w:color="auto"/>
                    <w:bottom w:val="none" w:sz="0" w:space="0" w:color="auto"/>
                    <w:right w:val="none" w:sz="0" w:space="0" w:color="auto"/>
                  </w:divBdr>
                  <w:divsChild>
                    <w:div w:id="2097361747">
                      <w:marLeft w:val="0"/>
                      <w:marRight w:val="0"/>
                      <w:marTop w:val="0"/>
                      <w:marBottom w:val="0"/>
                      <w:divBdr>
                        <w:top w:val="none" w:sz="0" w:space="0" w:color="auto"/>
                        <w:left w:val="none" w:sz="0" w:space="0" w:color="auto"/>
                        <w:bottom w:val="none" w:sz="0" w:space="0" w:color="auto"/>
                        <w:right w:val="none" w:sz="0" w:space="0" w:color="auto"/>
                      </w:divBdr>
                      <w:divsChild>
                        <w:div w:id="438914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68464764">
      <w:bodyDiv w:val="1"/>
      <w:marLeft w:val="0"/>
      <w:marRight w:val="0"/>
      <w:marTop w:val="0"/>
      <w:marBottom w:val="0"/>
      <w:divBdr>
        <w:top w:val="none" w:sz="0" w:space="0" w:color="auto"/>
        <w:left w:val="none" w:sz="0" w:space="0" w:color="auto"/>
        <w:bottom w:val="none" w:sz="0" w:space="0" w:color="auto"/>
        <w:right w:val="none" w:sz="0" w:space="0" w:color="auto"/>
      </w:divBdr>
      <w:divsChild>
        <w:div w:id="1801265651">
          <w:marLeft w:val="0"/>
          <w:marRight w:val="0"/>
          <w:marTop w:val="0"/>
          <w:marBottom w:val="0"/>
          <w:divBdr>
            <w:top w:val="none" w:sz="0" w:space="0" w:color="auto"/>
            <w:left w:val="none" w:sz="0" w:space="0" w:color="auto"/>
            <w:bottom w:val="none" w:sz="0" w:space="0" w:color="auto"/>
            <w:right w:val="none" w:sz="0" w:space="0" w:color="auto"/>
          </w:divBdr>
          <w:divsChild>
            <w:div w:id="1630239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8966503">
      <w:bodyDiv w:val="1"/>
      <w:marLeft w:val="0"/>
      <w:marRight w:val="0"/>
      <w:marTop w:val="0"/>
      <w:marBottom w:val="0"/>
      <w:divBdr>
        <w:top w:val="none" w:sz="0" w:space="0" w:color="auto"/>
        <w:left w:val="none" w:sz="0" w:space="0" w:color="auto"/>
        <w:bottom w:val="none" w:sz="0" w:space="0" w:color="auto"/>
        <w:right w:val="none" w:sz="0" w:space="0" w:color="auto"/>
      </w:divBdr>
    </w:div>
    <w:div w:id="1969161943">
      <w:bodyDiv w:val="1"/>
      <w:marLeft w:val="0"/>
      <w:marRight w:val="0"/>
      <w:marTop w:val="0"/>
      <w:marBottom w:val="0"/>
      <w:divBdr>
        <w:top w:val="none" w:sz="0" w:space="0" w:color="auto"/>
        <w:left w:val="none" w:sz="0" w:space="0" w:color="auto"/>
        <w:bottom w:val="none" w:sz="0" w:space="0" w:color="auto"/>
        <w:right w:val="none" w:sz="0" w:space="0" w:color="auto"/>
      </w:divBdr>
    </w:div>
    <w:div w:id="1969357499">
      <w:bodyDiv w:val="1"/>
      <w:marLeft w:val="0"/>
      <w:marRight w:val="0"/>
      <w:marTop w:val="0"/>
      <w:marBottom w:val="0"/>
      <w:divBdr>
        <w:top w:val="none" w:sz="0" w:space="0" w:color="auto"/>
        <w:left w:val="none" w:sz="0" w:space="0" w:color="auto"/>
        <w:bottom w:val="none" w:sz="0" w:space="0" w:color="auto"/>
        <w:right w:val="none" w:sz="0" w:space="0" w:color="auto"/>
      </w:divBdr>
    </w:div>
    <w:div w:id="1976838082">
      <w:bodyDiv w:val="1"/>
      <w:marLeft w:val="0"/>
      <w:marRight w:val="0"/>
      <w:marTop w:val="0"/>
      <w:marBottom w:val="0"/>
      <w:divBdr>
        <w:top w:val="none" w:sz="0" w:space="0" w:color="auto"/>
        <w:left w:val="none" w:sz="0" w:space="0" w:color="auto"/>
        <w:bottom w:val="none" w:sz="0" w:space="0" w:color="auto"/>
        <w:right w:val="none" w:sz="0" w:space="0" w:color="auto"/>
      </w:divBdr>
    </w:div>
    <w:div w:id="1982610408">
      <w:bodyDiv w:val="1"/>
      <w:marLeft w:val="0"/>
      <w:marRight w:val="0"/>
      <w:marTop w:val="0"/>
      <w:marBottom w:val="0"/>
      <w:divBdr>
        <w:top w:val="none" w:sz="0" w:space="0" w:color="auto"/>
        <w:left w:val="none" w:sz="0" w:space="0" w:color="auto"/>
        <w:bottom w:val="none" w:sz="0" w:space="0" w:color="auto"/>
        <w:right w:val="none" w:sz="0" w:space="0" w:color="auto"/>
      </w:divBdr>
    </w:div>
    <w:div w:id="1988127026">
      <w:bodyDiv w:val="1"/>
      <w:marLeft w:val="0"/>
      <w:marRight w:val="0"/>
      <w:marTop w:val="0"/>
      <w:marBottom w:val="0"/>
      <w:divBdr>
        <w:top w:val="none" w:sz="0" w:space="0" w:color="auto"/>
        <w:left w:val="none" w:sz="0" w:space="0" w:color="auto"/>
        <w:bottom w:val="none" w:sz="0" w:space="0" w:color="auto"/>
        <w:right w:val="none" w:sz="0" w:space="0" w:color="auto"/>
      </w:divBdr>
    </w:div>
    <w:div w:id="1995798111">
      <w:bodyDiv w:val="1"/>
      <w:marLeft w:val="0"/>
      <w:marRight w:val="0"/>
      <w:marTop w:val="0"/>
      <w:marBottom w:val="0"/>
      <w:divBdr>
        <w:top w:val="none" w:sz="0" w:space="0" w:color="auto"/>
        <w:left w:val="none" w:sz="0" w:space="0" w:color="auto"/>
        <w:bottom w:val="none" w:sz="0" w:space="0" w:color="auto"/>
        <w:right w:val="none" w:sz="0" w:space="0" w:color="auto"/>
      </w:divBdr>
    </w:div>
    <w:div w:id="2013027005">
      <w:bodyDiv w:val="1"/>
      <w:marLeft w:val="0"/>
      <w:marRight w:val="0"/>
      <w:marTop w:val="0"/>
      <w:marBottom w:val="0"/>
      <w:divBdr>
        <w:top w:val="none" w:sz="0" w:space="0" w:color="auto"/>
        <w:left w:val="none" w:sz="0" w:space="0" w:color="auto"/>
        <w:bottom w:val="none" w:sz="0" w:space="0" w:color="auto"/>
        <w:right w:val="none" w:sz="0" w:space="0" w:color="auto"/>
      </w:divBdr>
    </w:div>
    <w:div w:id="2025587761">
      <w:bodyDiv w:val="1"/>
      <w:marLeft w:val="0"/>
      <w:marRight w:val="0"/>
      <w:marTop w:val="0"/>
      <w:marBottom w:val="0"/>
      <w:divBdr>
        <w:top w:val="none" w:sz="0" w:space="0" w:color="auto"/>
        <w:left w:val="none" w:sz="0" w:space="0" w:color="auto"/>
        <w:bottom w:val="none" w:sz="0" w:space="0" w:color="auto"/>
        <w:right w:val="none" w:sz="0" w:space="0" w:color="auto"/>
      </w:divBdr>
    </w:div>
    <w:div w:id="2030830961">
      <w:bodyDiv w:val="1"/>
      <w:marLeft w:val="0"/>
      <w:marRight w:val="0"/>
      <w:marTop w:val="0"/>
      <w:marBottom w:val="0"/>
      <w:divBdr>
        <w:top w:val="none" w:sz="0" w:space="0" w:color="auto"/>
        <w:left w:val="none" w:sz="0" w:space="0" w:color="auto"/>
        <w:bottom w:val="none" w:sz="0" w:space="0" w:color="auto"/>
        <w:right w:val="none" w:sz="0" w:space="0" w:color="auto"/>
      </w:divBdr>
    </w:div>
    <w:div w:id="2050179240">
      <w:bodyDiv w:val="1"/>
      <w:marLeft w:val="0"/>
      <w:marRight w:val="0"/>
      <w:marTop w:val="0"/>
      <w:marBottom w:val="0"/>
      <w:divBdr>
        <w:top w:val="none" w:sz="0" w:space="0" w:color="auto"/>
        <w:left w:val="none" w:sz="0" w:space="0" w:color="auto"/>
        <w:bottom w:val="none" w:sz="0" w:space="0" w:color="auto"/>
        <w:right w:val="none" w:sz="0" w:space="0" w:color="auto"/>
      </w:divBdr>
    </w:div>
    <w:div w:id="2054306237">
      <w:bodyDiv w:val="1"/>
      <w:marLeft w:val="0"/>
      <w:marRight w:val="0"/>
      <w:marTop w:val="0"/>
      <w:marBottom w:val="0"/>
      <w:divBdr>
        <w:top w:val="none" w:sz="0" w:space="0" w:color="auto"/>
        <w:left w:val="none" w:sz="0" w:space="0" w:color="auto"/>
        <w:bottom w:val="none" w:sz="0" w:space="0" w:color="auto"/>
        <w:right w:val="none" w:sz="0" w:space="0" w:color="auto"/>
      </w:divBdr>
    </w:div>
    <w:div w:id="2064283006">
      <w:bodyDiv w:val="1"/>
      <w:marLeft w:val="0"/>
      <w:marRight w:val="0"/>
      <w:marTop w:val="0"/>
      <w:marBottom w:val="0"/>
      <w:divBdr>
        <w:top w:val="none" w:sz="0" w:space="0" w:color="auto"/>
        <w:left w:val="none" w:sz="0" w:space="0" w:color="auto"/>
        <w:bottom w:val="none" w:sz="0" w:space="0" w:color="auto"/>
        <w:right w:val="none" w:sz="0" w:space="0" w:color="auto"/>
      </w:divBdr>
    </w:div>
    <w:div w:id="2069912423">
      <w:bodyDiv w:val="1"/>
      <w:marLeft w:val="0"/>
      <w:marRight w:val="0"/>
      <w:marTop w:val="0"/>
      <w:marBottom w:val="0"/>
      <w:divBdr>
        <w:top w:val="none" w:sz="0" w:space="0" w:color="auto"/>
        <w:left w:val="none" w:sz="0" w:space="0" w:color="auto"/>
        <w:bottom w:val="none" w:sz="0" w:space="0" w:color="auto"/>
        <w:right w:val="none" w:sz="0" w:space="0" w:color="auto"/>
      </w:divBdr>
    </w:div>
    <w:div w:id="2070809037">
      <w:bodyDiv w:val="1"/>
      <w:marLeft w:val="0"/>
      <w:marRight w:val="0"/>
      <w:marTop w:val="0"/>
      <w:marBottom w:val="0"/>
      <w:divBdr>
        <w:top w:val="none" w:sz="0" w:space="0" w:color="auto"/>
        <w:left w:val="none" w:sz="0" w:space="0" w:color="auto"/>
        <w:bottom w:val="none" w:sz="0" w:space="0" w:color="auto"/>
        <w:right w:val="none" w:sz="0" w:space="0" w:color="auto"/>
      </w:divBdr>
    </w:div>
    <w:div w:id="2072192357">
      <w:bodyDiv w:val="1"/>
      <w:marLeft w:val="0"/>
      <w:marRight w:val="0"/>
      <w:marTop w:val="0"/>
      <w:marBottom w:val="0"/>
      <w:divBdr>
        <w:top w:val="none" w:sz="0" w:space="0" w:color="auto"/>
        <w:left w:val="none" w:sz="0" w:space="0" w:color="auto"/>
        <w:bottom w:val="none" w:sz="0" w:space="0" w:color="auto"/>
        <w:right w:val="none" w:sz="0" w:space="0" w:color="auto"/>
      </w:divBdr>
    </w:div>
    <w:div w:id="2075471534">
      <w:bodyDiv w:val="1"/>
      <w:marLeft w:val="0"/>
      <w:marRight w:val="0"/>
      <w:marTop w:val="0"/>
      <w:marBottom w:val="0"/>
      <w:divBdr>
        <w:top w:val="none" w:sz="0" w:space="0" w:color="auto"/>
        <w:left w:val="none" w:sz="0" w:space="0" w:color="auto"/>
        <w:bottom w:val="none" w:sz="0" w:space="0" w:color="auto"/>
        <w:right w:val="none" w:sz="0" w:space="0" w:color="auto"/>
      </w:divBdr>
    </w:div>
    <w:div w:id="2077512111">
      <w:bodyDiv w:val="1"/>
      <w:marLeft w:val="0"/>
      <w:marRight w:val="0"/>
      <w:marTop w:val="0"/>
      <w:marBottom w:val="0"/>
      <w:divBdr>
        <w:top w:val="none" w:sz="0" w:space="0" w:color="auto"/>
        <w:left w:val="none" w:sz="0" w:space="0" w:color="auto"/>
        <w:bottom w:val="none" w:sz="0" w:space="0" w:color="auto"/>
        <w:right w:val="none" w:sz="0" w:space="0" w:color="auto"/>
      </w:divBdr>
    </w:div>
    <w:div w:id="2089575769">
      <w:bodyDiv w:val="1"/>
      <w:marLeft w:val="0"/>
      <w:marRight w:val="0"/>
      <w:marTop w:val="0"/>
      <w:marBottom w:val="0"/>
      <w:divBdr>
        <w:top w:val="none" w:sz="0" w:space="0" w:color="auto"/>
        <w:left w:val="none" w:sz="0" w:space="0" w:color="auto"/>
        <w:bottom w:val="none" w:sz="0" w:space="0" w:color="auto"/>
        <w:right w:val="none" w:sz="0" w:space="0" w:color="auto"/>
      </w:divBdr>
    </w:div>
    <w:div w:id="2099206950">
      <w:bodyDiv w:val="1"/>
      <w:marLeft w:val="0"/>
      <w:marRight w:val="0"/>
      <w:marTop w:val="0"/>
      <w:marBottom w:val="0"/>
      <w:divBdr>
        <w:top w:val="none" w:sz="0" w:space="0" w:color="auto"/>
        <w:left w:val="none" w:sz="0" w:space="0" w:color="auto"/>
        <w:bottom w:val="none" w:sz="0" w:space="0" w:color="auto"/>
        <w:right w:val="none" w:sz="0" w:space="0" w:color="auto"/>
      </w:divBdr>
    </w:div>
    <w:div w:id="2108574609">
      <w:bodyDiv w:val="1"/>
      <w:marLeft w:val="0"/>
      <w:marRight w:val="0"/>
      <w:marTop w:val="0"/>
      <w:marBottom w:val="0"/>
      <w:divBdr>
        <w:top w:val="none" w:sz="0" w:space="0" w:color="auto"/>
        <w:left w:val="none" w:sz="0" w:space="0" w:color="auto"/>
        <w:bottom w:val="none" w:sz="0" w:space="0" w:color="auto"/>
        <w:right w:val="none" w:sz="0" w:space="0" w:color="auto"/>
      </w:divBdr>
    </w:div>
    <w:div w:id="2108691745">
      <w:bodyDiv w:val="1"/>
      <w:marLeft w:val="0"/>
      <w:marRight w:val="0"/>
      <w:marTop w:val="0"/>
      <w:marBottom w:val="0"/>
      <w:divBdr>
        <w:top w:val="none" w:sz="0" w:space="0" w:color="auto"/>
        <w:left w:val="none" w:sz="0" w:space="0" w:color="auto"/>
        <w:bottom w:val="none" w:sz="0" w:space="0" w:color="auto"/>
        <w:right w:val="none" w:sz="0" w:space="0" w:color="auto"/>
      </w:divBdr>
    </w:div>
    <w:div w:id="2108848155">
      <w:bodyDiv w:val="1"/>
      <w:marLeft w:val="0"/>
      <w:marRight w:val="0"/>
      <w:marTop w:val="0"/>
      <w:marBottom w:val="0"/>
      <w:divBdr>
        <w:top w:val="none" w:sz="0" w:space="0" w:color="auto"/>
        <w:left w:val="none" w:sz="0" w:space="0" w:color="auto"/>
        <w:bottom w:val="none" w:sz="0" w:space="0" w:color="auto"/>
        <w:right w:val="none" w:sz="0" w:space="0" w:color="auto"/>
      </w:divBdr>
    </w:div>
    <w:div w:id="21167793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e-tar.lt/portal/lt/legalAct/cf759700813511e8ae2bfd1913d66d57" TargetMode="External"/><Relationship Id="rId18" Type="http://schemas.openxmlformats.org/officeDocument/2006/relationships/hyperlink" Target="https://www.e-tar.lt/portal/lt/legalAct/027969d06f2311e8b83be60b2e217f90" TargetMode="External"/><Relationship Id="rId26" Type="http://schemas.openxmlformats.org/officeDocument/2006/relationships/hyperlink" Target="https://www.e-tar.lt/portal/lt/legalAct/454c26f074a311e8ae2bfd1913d66d57" TargetMode="External"/><Relationship Id="rId3" Type="http://schemas.openxmlformats.org/officeDocument/2006/relationships/styles" Target="styles.xml"/><Relationship Id="rId21" Type="http://schemas.openxmlformats.org/officeDocument/2006/relationships/hyperlink" Target="https://www.e-tar.lt/portal/lt/legalAct/227feb2074a311e8ae2bfd1913d66d57" TargetMode="External"/><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s://www.e-tar.lt/portal/lt/legalAct/b54bf8d0941111e8b93ad15b34c9248c" TargetMode="External"/><Relationship Id="rId17" Type="http://schemas.openxmlformats.org/officeDocument/2006/relationships/hyperlink" Target="https://www.e-tar.lt/portal/lt/legalAct/38cab4a074a311e8ae2bfd1913d66d57" TargetMode="External"/><Relationship Id="rId25" Type="http://schemas.openxmlformats.org/officeDocument/2006/relationships/hyperlink" Target="https://www.e-tar.lt/portal/lt/legalAct/f0d607a094da11e8b93ad15b34c9248c"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e-tar.lt/portal/lt/legalAct/56e3efb074a311e8ae2bfd1913d66d57" TargetMode="External"/><Relationship Id="rId20" Type="http://schemas.openxmlformats.org/officeDocument/2006/relationships/hyperlink" Target="https://www.e-tar.lt/portal/lt/legalAct/95b5da407fa311e8ae2bfd1913d66d57" TargetMode="External"/><Relationship Id="rId29" Type="http://schemas.openxmlformats.org/officeDocument/2006/relationships/hyperlink" Target="https://www.e-tar.lt/portal/lt/legalAct/0af4e2b090ed11e8b93ad15b34c9248c"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e-tar.lt/portal/lt/legalAct/e3747dc073d911e8ae2bfd1913d66d57" TargetMode="External"/><Relationship Id="rId24" Type="http://schemas.openxmlformats.org/officeDocument/2006/relationships/hyperlink" Target="https://www.e-tar.lt/portal/lt/legalAct/1b15835095a411e8b93ad15b34c9248c" TargetMode="External"/><Relationship Id="rId32"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yperlink" Target="https://www.e-tar.lt/portal/lt/legalAct/eeba2d306f2211e8b83be60b2e217f90" TargetMode="External"/><Relationship Id="rId23" Type="http://schemas.openxmlformats.org/officeDocument/2006/relationships/hyperlink" Target="https://www.e-tar.lt/portal/lt/legalAct/6c189bf0756c11e8ae2bfd1913d66d57" TargetMode="External"/><Relationship Id="rId28" Type="http://schemas.openxmlformats.org/officeDocument/2006/relationships/hyperlink" Target="https://www.e-tar.lt/portal/lt/legalAct/13fca62095a411e8b93ad15b34c9248c" TargetMode="External"/><Relationship Id="rId10" Type="http://schemas.openxmlformats.org/officeDocument/2006/relationships/hyperlink" Target="https://www.e-tar.lt/portal/lt/legalAct/1ac002706b3511e8bbc2876081bf7fb5" TargetMode="External"/><Relationship Id="rId19" Type="http://schemas.openxmlformats.org/officeDocument/2006/relationships/hyperlink" Target="https://www.e-tar.lt/portal/lt/legalAct/d18d13e085ec11e8af589337bf1eb893" TargetMode="External"/><Relationship Id="rId31"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s://www.e-tar.lt/portal/lt/legalAct/6e766210756c11e8ae2bfd1913d66d57" TargetMode="External"/><Relationship Id="rId22" Type="http://schemas.openxmlformats.org/officeDocument/2006/relationships/hyperlink" Target="https://www.e-tar.lt/portal/lt/legalAct/550354f0973611e8b93ad15b34c9248c" TargetMode="External"/><Relationship Id="rId27" Type="http://schemas.openxmlformats.org/officeDocument/2006/relationships/hyperlink" Target="https://www.e-tar.lt/portal/lt/index" TargetMode="External"/><Relationship Id="rId30" Type="http://schemas.openxmlformats.org/officeDocument/2006/relationships/header" Target="header1.xml"/><Relationship Id="rId8" Type="http://schemas.openxmlformats.org/officeDocument/2006/relationships/endnotes" Target="endnote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92E6545-47ED-4D91-AA66-234A9649F1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27</Pages>
  <Words>73761</Words>
  <Characters>42044</Characters>
  <Application>Microsoft Office Word</Application>
  <DocSecurity>4</DocSecurity>
  <Lines>350</Lines>
  <Paragraphs>231</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Grizli777</Company>
  <LinksUpToDate>false</LinksUpToDate>
  <CharactersWithSpaces>115574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Lina Gudeliauskienė</dc:creator>
  <cp:lastModifiedBy>marius</cp:lastModifiedBy>
  <cp:revision>2</cp:revision>
  <cp:lastPrinted>2018-10-01T08:54:00Z</cp:lastPrinted>
  <dcterms:created xsi:type="dcterms:W3CDTF">2018-10-01T08:54:00Z</dcterms:created>
  <dcterms:modified xsi:type="dcterms:W3CDTF">2018-10-01T08:54:00Z</dcterms:modified>
</cp:coreProperties>
</file>