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28CD" w:rsidRPr="00B77C61" w:rsidRDefault="000028CD" w:rsidP="00C87E7D">
      <w:pPr>
        <w:pStyle w:val="NoSpacing1"/>
        <w:ind w:firstLine="0"/>
        <w:jc w:val="center"/>
        <w:rPr>
          <w:rFonts w:ascii="Times New Roman" w:hAnsi="Times New Roman"/>
        </w:rPr>
      </w:pPr>
      <w:bookmarkStart w:id="0" w:name="_GoBack"/>
      <w:bookmarkEnd w:id="0"/>
    </w:p>
    <w:p w:rsidR="000028CD" w:rsidRPr="00B77C61" w:rsidRDefault="000028CD" w:rsidP="00C87E7D">
      <w:pPr>
        <w:pStyle w:val="NoSpacing1"/>
        <w:ind w:firstLine="0"/>
        <w:jc w:val="center"/>
        <w:rPr>
          <w:rFonts w:ascii="Times New Roman" w:hAnsi="Times New Roman"/>
        </w:rPr>
      </w:pPr>
      <w:r w:rsidRPr="00B77C61">
        <w:rPr>
          <w:rFonts w:ascii="Times New Roman" w:hAnsi="Times New Roman"/>
          <w:noProof/>
          <w:lang w:eastAsia="lt-LT"/>
        </w:rPr>
        <w:drawing>
          <wp:inline distT="0" distB="0" distL="0" distR="0" wp14:anchorId="59F4548E" wp14:editId="0D5CA20F">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p>
    <w:p w:rsidR="000028CD" w:rsidRPr="00B77C61" w:rsidRDefault="000028CD" w:rsidP="00C87E7D">
      <w:pPr>
        <w:pStyle w:val="NoSpacing1"/>
        <w:ind w:firstLine="0"/>
        <w:jc w:val="center"/>
        <w:rPr>
          <w:rFonts w:ascii="Times New Roman" w:hAnsi="Times New Roman"/>
        </w:rPr>
      </w:pPr>
      <w:r w:rsidRPr="00B77C61">
        <w:rPr>
          <w:rFonts w:ascii="Times New Roman" w:hAnsi="Times New Roman"/>
          <w:noProof/>
          <w:lang w:eastAsia="lt-LT"/>
        </w:rPr>
        <mc:AlternateContent>
          <mc:Choice Requires="wps">
            <w:drawing>
              <wp:anchor distT="0" distB="0" distL="114300" distR="114300" simplePos="0" relativeHeight="251660288" behindDoc="0" locked="0" layoutInCell="0" allowOverlap="1" wp14:anchorId="35C1D518" wp14:editId="6818C3AC">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FE1EA"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B77C61">
        <w:rPr>
          <w:rFonts w:ascii="Times New Roman" w:hAnsi="Times New Roman"/>
          <w:noProof/>
          <w:lang w:eastAsia="lt-LT"/>
        </w:rPr>
        <mc:AlternateContent>
          <mc:Choice Requires="wps">
            <w:drawing>
              <wp:anchor distT="0" distB="0" distL="114300" distR="114300" simplePos="0" relativeHeight="251659264" behindDoc="0" locked="0" layoutInCell="0" allowOverlap="1" wp14:anchorId="1917820A" wp14:editId="35E48A55">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75BA3"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B77C61">
        <w:rPr>
          <w:rFonts w:ascii="Times New Roman" w:hAnsi="Times New Roman"/>
          <w:noProof/>
          <w:lang w:eastAsia="lt-LT"/>
        </w:rPr>
        <mc:AlternateContent>
          <mc:Choice Requires="wps">
            <w:drawing>
              <wp:anchor distT="0" distB="0" distL="114300" distR="114300" simplePos="0" relativeHeight="251662336" behindDoc="0" locked="0" layoutInCell="0" allowOverlap="1" wp14:anchorId="1B9BAA69" wp14:editId="3DE53538">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5609A"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B77C61">
        <w:rPr>
          <w:rFonts w:ascii="Times New Roman" w:hAnsi="Times New Roman"/>
          <w:noProof/>
          <w:lang w:eastAsia="lt-LT"/>
        </w:rPr>
        <mc:AlternateContent>
          <mc:Choice Requires="wps">
            <w:drawing>
              <wp:anchor distT="0" distB="0" distL="114300" distR="114300" simplePos="0" relativeHeight="251661312" behindDoc="0" locked="0" layoutInCell="0" allowOverlap="1" wp14:anchorId="1D376C3A" wp14:editId="723FC076">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687F2"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rsidR="000028CD" w:rsidRPr="00B77C61" w:rsidRDefault="000028CD" w:rsidP="00C87E7D">
      <w:pPr>
        <w:pStyle w:val="NoSpacing1"/>
        <w:ind w:firstLine="0"/>
        <w:jc w:val="center"/>
        <w:rPr>
          <w:rFonts w:asciiTheme="minorHAnsi" w:hAnsiTheme="minorHAnsi"/>
          <w:smallCaps/>
          <w:sz w:val="52"/>
          <w:szCs w:val="52"/>
        </w:rPr>
      </w:pPr>
      <w:r w:rsidRPr="00B77C61">
        <w:rPr>
          <w:rFonts w:asciiTheme="minorHAnsi" w:hAnsiTheme="minorHAnsi"/>
          <w:smallCaps/>
          <w:sz w:val="52"/>
          <w:szCs w:val="52"/>
        </w:rPr>
        <w:t xml:space="preserve">Europos Sąjungos Teisingumo Teismo </w:t>
      </w:r>
    </w:p>
    <w:p w:rsidR="000028CD" w:rsidRPr="00B77C61" w:rsidRDefault="000028CD" w:rsidP="00C87E7D">
      <w:pPr>
        <w:pStyle w:val="NoSpacing1"/>
        <w:ind w:firstLine="0"/>
        <w:jc w:val="center"/>
        <w:rPr>
          <w:rFonts w:asciiTheme="minorHAnsi" w:hAnsiTheme="minorHAnsi"/>
          <w:smallCaps/>
          <w:sz w:val="52"/>
          <w:szCs w:val="52"/>
        </w:rPr>
      </w:pPr>
      <w:r w:rsidRPr="00B77C61">
        <w:rPr>
          <w:rFonts w:asciiTheme="minorHAnsi" w:hAnsiTheme="minorHAnsi"/>
          <w:smallCaps/>
          <w:sz w:val="52"/>
          <w:szCs w:val="52"/>
        </w:rPr>
        <w:t>praktikos apžvalga</w:t>
      </w:r>
    </w:p>
    <w:p w:rsidR="000028CD" w:rsidRPr="00B77C61" w:rsidRDefault="000028CD" w:rsidP="00C87E7D">
      <w:pPr>
        <w:pStyle w:val="NoSpacing1"/>
        <w:ind w:firstLine="0"/>
        <w:jc w:val="center"/>
        <w:rPr>
          <w:rFonts w:asciiTheme="minorHAnsi" w:hAnsiTheme="minorHAnsi"/>
          <w:b/>
          <w:smallCaps/>
          <w:sz w:val="32"/>
          <w:szCs w:val="32"/>
          <w:u w:val="single"/>
        </w:rPr>
      </w:pPr>
      <w:r w:rsidRPr="00B77C61">
        <w:rPr>
          <w:rFonts w:asciiTheme="minorHAnsi" w:hAnsiTheme="minorHAnsi"/>
          <w:b/>
          <w:smallCaps/>
          <w:sz w:val="32"/>
          <w:szCs w:val="32"/>
          <w:u w:val="single"/>
        </w:rPr>
        <w:t>2017 m. rugsėjo 1 d.–2017 m. gruodžio 31 d.</w:t>
      </w: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p>
    <w:p w:rsidR="000028CD" w:rsidRPr="00B77C61" w:rsidRDefault="000028CD" w:rsidP="00C87E7D">
      <w:pPr>
        <w:jc w:val="center"/>
        <w:rPr>
          <w:rFonts w:asciiTheme="minorHAnsi" w:hAnsiTheme="minorHAnsi"/>
          <w:b/>
          <w:smallCaps/>
          <w:sz w:val="28"/>
          <w:szCs w:val="28"/>
        </w:rPr>
      </w:pPr>
      <w:r w:rsidRPr="00B77C61">
        <w:rPr>
          <w:rFonts w:asciiTheme="minorHAnsi" w:hAnsiTheme="minorHAnsi"/>
          <w:b/>
          <w:smallCaps/>
          <w:sz w:val="28"/>
          <w:szCs w:val="28"/>
        </w:rPr>
        <w:t xml:space="preserve">Apžvalgą parengė </w:t>
      </w:r>
    </w:p>
    <w:p w:rsidR="000028CD" w:rsidRPr="00B77C61" w:rsidRDefault="000028CD" w:rsidP="00C87E7D">
      <w:pPr>
        <w:jc w:val="center"/>
        <w:rPr>
          <w:rFonts w:asciiTheme="minorHAnsi" w:hAnsiTheme="minorHAnsi"/>
          <w:b/>
          <w:smallCaps/>
          <w:sz w:val="28"/>
          <w:szCs w:val="28"/>
        </w:rPr>
      </w:pPr>
      <w:r w:rsidRPr="00B77C61">
        <w:rPr>
          <w:rFonts w:asciiTheme="minorHAnsi" w:hAnsiTheme="minorHAnsi"/>
          <w:b/>
          <w:smallCaps/>
          <w:sz w:val="28"/>
          <w:szCs w:val="28"/>
        </w:rPr>
        <w:t xml:space="preserve">Lietuvos vyriausiojo administracinio teismo </w:t>
      </w:r>
    </w:p>
    <w:p w:rsidR="000028CD" w:rsidRPr="00B77C61" w:rsidRDefault="000028CD" w:rsidP="00C87E7D">
      <w:pPr>
        <w:jc w:val="center"/>
        <w:rPr>
          <w:b/>
          <w:color w:val="000000"/>
        </w:rPr>
      </w:pPr>
      <w:r w:rsidRPr="00B77C61">
        <w:rPr>
          <w:rFonts w:asciiTheme="minorHAnsi" w:hAnsiTheme="minorHAnsi"/>
          <w:b/>
          <w:smallCaps/>
          <w:sz w:val="28"/>
          <w:szCs w:val="28"/>
        </w:rPr>
        <w:t>Teismų praktikos departamentas</w:t>
      </w:r>
      <w:r w:rsidRPr="00B77C61">
        <w:rPr>
          <w:b/>
          <w:smallCaps/>
        </w:rPr>
        <w:t xml:space="preserve"> </w:t>
      </w:r>
      <w:r w:rsidRPr="00B77C61">
        <w:rPr>
          <w:b/>
          <w:color w:val="000000"/>
        </w:rPr>
        <w:br w:type="page"/>
      </w:r>
    </w:p>
    <w:p w:rsidR="000028CD" w:rsidRPr="00B77C61" w:rsidRDefault="000028CD" w:rsidP="00C87E7D">
      <w:pPr>
        <w:jc w:val="center"/>
        <w:rPr>
          <w:rFonts w:asciiTheme="minorHAnsi" w:hAnsiTheme="minorHAnsi"/>
          <w:b/>
          <w:color w:val="323E4F" w:themeColor="text2" w:themeShade="BF"/>
        </w:rPr>
      </w:pPr>
      <w:r w:rsidRPr="00B77C61">
        <w:rPr>
          <w:rFonts w:asciiTheme="minorHAnsi" w:hAnsiTheme="minorHAnsi"/>
          <w:b/>
          <w:color w:val="323E4F" w:themeColor="text2" w:themeShade="BF"/>
        </w:rPr>
        <w:lastRenderedPageBreak/>
        <w:t>EUROPOS SĄJUNGOS TEISINGUMO TEISMO PRAKTIKOS APŽVALGA</w:t>
      </w:r>
    </w:p>
    <w:p w:rsidR="000028CD" w:rsidRPr="00B77C61" w:rsidRDefault="000028CD" w:rsidP="00C87E7D">
      <w:pPr>
        <w:jc w:val="center"/>
        <w:rPr>
          <w:rFonts w:asciiTheme="minorHAnsi" w:hAnsiTheme="minorHAnsi"/>
          <w:color w:val="323E4F" w:themeColor="text2" w:themeShade="BF"/>
        </w:rPr>
      </w:pPr>
      <w:r w:rsidRPr="00B77C61">
        <w:rPr>
          <w:rFonts w:asciiTheme="minorHAnsi" w:hAnsiTheme="minorHAnsi"/>
          <w:color w:val="323E4F" w:themeColor="text2" w:themeShade="BF"/>
        </w:rPr>
        <w:t>(2017 m. rugsėjo 1 d.–2017 m. gruodžio 31 d.)</w:t>
      </w:r>
    </w:p>
    <w:sdt>
      <w:sdtPr>
        <w:rPr>
          <w:rFonts w:ascii="Calibri" w:eastAsia="Calibri" w:hAnsi="Calibri" w:cs="Times New Roman"/>
          <w:b w:val="0"/>
          <w:color w:val="auto"/>
          <w:szCs w:val="22"/>
          <w:lang w:eastAsia="en-US"/>
        </w:rPr>
        <w:id w:val="769124419"/>
        <w:docPartObj>
          <w:docPartGallery w:val="Table of Contents"/>
          <w:docPartUnique/>
        </w:docPartObj>
      </w:sdtPr>
      <w:sdtEndPr>
        <w:rPr>
          <w:bCs/>
        </w:rPr>
      </w:sdtEndPr>
      <w:sdtContent>
        <w:p w:rsidR="000028CD" w:rsidRPr="00B77C61" w:rsidRDefault="000028CD" w:rsidP="00C87E7D">
          <w:pPr>
            <w:pStyle w:val="Turinioantrat"/>
            <w:spacing w:before="0" w:line="240" w:lineRule="auto"/>
          </w:pPr>
        </w:p>
        <w:p w:rsidR="005B7A97" w:rsidRDefault="000028CD">
          <w:pPr>
            <w:pStyle w:val="Turinys1"/>
            <w:rPr>
              <w:rFonts w:asciiTheme="minorHAnsi" w:eastAsiaTheme="minorEastAsia" w:hAnsiTheme="minorHAnsi" w:cstheme="minorBidi"/>
              <w:b w:val="0"/>
              <w:bCs w:val="0"/>
              <w:color w:val="auto"/>
              <w:kern w:val="0"/>
            </w:rPr>
          </w:pPr>
          <w:r w:rsidRPr="00B77C61">
            <w:rPr>
              <w:noProof w:val="0"/>
            </w:rPr>
            <w:fldChar w:fldCharType="begin"/>
          </w:r>
          <w:r w:rsidRPr="00B77C61">
            <w:rPr>
              <w:noProof w:val="0"/>
            </w:rPr>
            <w:instrText xml:space="preserve"> TOC \o "1-3" \h \z \u </w:instrText>
          </w:r>
          <w:r w:rsidRPr="00B77C61">
            <w:rPr>
              <w:noProof w:val="0"/>
            </w:rPr>
            <w:fldChar w:fldCharType="separate"/>
          </w:r>
          <w:hyperlink w:anchor="_Toc512411022" w:history="1">
            <w:r w:rsidR="005B7A97" w:rsidRPr="00101E26">
              <w:rPr>
                <w:rStyle w:val="Hipersaitas"/>
              </w:rPr>
              <w:t>UŽSIENIEČIŲ TEISINĖ PADĖTIS</w:t>
            </w:r>
            <w:r w:rsidR="005B7A97">
              <w:rPr>
                <w:webHidden/>
              </w:rPr>
              <w:tab/>
            </w:r>
            <w:r w:rsidR="005B7A97">
              <w:rPr>
                <w:webHidden/>
              </w:rPr>
              <w:fldChar w:fldCharType="begin"/>
            </w:r>
            <w:r w:rsidR="005B7A97">
              <w:rPr>
                <w:webHidden/>
              </w:rPr>
              <w:instrText xml:space="preserve"> PAGEREF _Toc512411022 \h </w:instrText>
            </w:r>
            <w:r w:rsidR="005B7A97">
              <w:rPr>
                <w:webHidden/>
              </w:rPr>
            </w:r>
            <w:r w:rsidR="005B7A97">
              <w:rPr>
                <w:webHidden/>
              </w:rPr>
              <w:fldChar w:fldCharType="separate"/>
            </w:r>
            <w:r w:rsidR="005B7A97">
              <w:rPr>
                <w:webHidden/>
              </w:rPr>
              <w:t>4</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23" w:history="1">
            <w:r w:rsidR="005B7A97" w:rsidRPr="00101E26">
              <w:rPr>
                <w:rStyle w:val="Hipersaitas"/>
                <w:noProof/>
              </w:rPr>
              <w:t>2017 m. spalio 25 d. didžiosios kolegijos prejudicinis sprendimas byloje C-201/16</w:t>
            </w:r>
            <w:r w:rsidR="005B7A97">
              <w:rPr>
                <w:noProof/>
                <w:webHidden/>
              </w:rPr>
              <w:tab/>
            </w:r>
            <w:r w:rsidR="005B7A97">
              <w:rPr>
                <w:noProof/>
                <w:webHidden/>
              </w:rPr>
              <w:fldChar w:fldCharType="begin"/>
            </w:r>
            <w:r w:rsidR="005B7A97">
              <w:rPr>
                <w:noProof/>
                <w:webHidden/>
              </w:rPr>
              <w:instrText xml:space="preserve"> PAGEREF _Toc512411023 \h </w:instrText>
            </w:r>
            <w:r w:rsidR="005B7A97">
              <w:rPr>
                <w:noProof/>
                <w:webHidden/>
              </w:rPr>
            </w:r>
            <w:r w:rsidR="005B7A97">
              <w:rPr>
                <w:noProof/>
                <w:webHidden/>
              </w:rPr>
              <w:fldChar w:fldCharType="separate"/>
            </w:r>
            <w:r w:rsidR="005B7A97">
              <w:rPr>
                <w:noProof/>
                <w:webHidden/>
              </w:rPr>
              <w:t>4</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24" w:history="1">
            <w:r w:rsidR="005B7A97" w:rsidRPr="00101E26">
              <w:rPr>
                <w:rStyle w:val="Hipersaitas"/>
                <w:noProof/>
              </w:rPr>
              <w:t xml:space="preserve">Dėl </w:t>
            </w:r>
            <w:r w:rsidR="005B7A97" w:rsidRPr="00101E26">
              <w:rPr>
                <w:rStyle w:val="Hipersaitas"/>
                <w:noProof/>
                <w:shd w:val="clear" w:color="auto" w:fill="FFFFFF"/>
              </w:rPr>
              <w:t>atsakomybės automatinio perėjimo prašančiajai valstybei narei, kai sueina šešių mėnesių terminas</w:t>
            </w:r>
            <w:r w:rsidR="005B7A97">
              <w:rPr>
                <w:noProof/>
                <w:webHidden/>
              </w:rPr>
              <w:tab/>
            </w:r>
            <w:r w:rsidR="005B7A97">
              <w:rPr>
                <w:noProof/>
                <w:webHidden/>
              </w:rPr>
              <w:fldChar w:fldCharType="begin"/>
            </w:r>
            <w:r w:rsidR="005B7A97">
              <w:rPr>
                <w:noProof/>
                <w:webHidden/>
              </w:rPr>
              <w:instrText xml:space="preserve"> PAGEREF _Toc512411024 \h </w:instrText>
            </w:r>
            <w:r w:rsidR="005B7A97">
              <w:rPr>
                <w:noProof/>
                <w:webHidden/>
              </w:rPr>
            </w:r>
            <w:r w:rsidR="005B7A97">
              <w:rPr>
                <w:noProof/>
                <w:webHidden/>
              </w:rPr>
              <w:fldChar w:fldCharType="separate"/>
            </w:r>
            <w:r w:rsidR="005B7A97">
              <w:rPr>
                <w:noProof/>
                <w:webHidden/>
              </w:rPr>
              <w:t>4</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25" w:history="1">
            <w:r w:rsidR="005B7A97" w:rsidRPr="00101E26">
              <w:rPr>
                <w:rStyle w:val="Hipersaitas"/>
                <w:rFonts w:eastAsia="Times New Roman"/>
                <w:noProof/>
                <w:lang w:eastAsia="lt-LT"/>
              </w:rPr>
              <w:t>Dėl tarptautinės apsaugos prašytojo teisės pasinaudoti veiksminga ir sparčia teisių gynybos priemone, kuri leistų jam remtis šio reglamento 29 straipsnio 1 ir 2 dalyse apibrėžto šešių mėnesių termino pasibaigimu, kai šis terminas baigėsi vėliau, nei buvo priimtas sprendimas dėl perdavimo</w:t>
            </w:r>
            <w:r w:rsidR="005B7A97">
              <w:rPr>
                <w:noProof/>
                <w:webHidden/>
              </w:rPr>
              <w:tab/>
            </w:r>
            <w:r w:rsidR="005B7A97">
              <w:rPr>
                <w:noProof/>
                <w:webHidden/>
              </w:rPr>
              <w:fldChar w:fldCharType="begin"/>
            </w:r>
            <w:r w:rsidR="005B7A97">
              <w:rPr>
                <w:noProof/>
                <w:webHidden/>
              </w:rPr>
              <w:instrText xml:space="preserve"> PAGEREF _Toc512411025 \h </w:instrText>
            </w:r>
            <w:r w:rsidR="005B7A97">
              <w:rPr>
                <w:noProof/>
                <w:webHidden/>
              </w:rPr>
            </w:r>
            <w:r w:rsidR="005B7A97">
              <w:rPr>
                <w:noProof/>
                <w:webHidden/>
              </w:rPr>
              <w:fldChar w:fldCharType="separate"/>
            </w:r>
            <w:r w:rsidR="005B7A97">
              <w:rPr>
                <w:noProof/>
                <w:webHidden/>
              </w:rPr>
              <w:t>5</w:t>
            </w:r>
            <w:r w:rsidR="005B7A97">
              <w:rPr>
                <w:noProof/>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26" w:history="1">
            <w:r w:rsidR="005B7A97" w:rsidRPr="00101E26">
              <w:rPr>
                <w:rStyle w:val="Hipersaitas"/>
                <w:noProof/>
              </w:rPr>
              <w:t>2017 m. rugsėjo 14 d. prejudicinis sprendimas byloje C</w:t>
            </w:r>
            <w:r w:rsidR="005B7A97" w:rsidRPr="00101E26">
              <w:rPr>
                <w:rStyle w:val="Hipersaitas"/>
                <w:noProof/>
              </w:rPr>
              <w:noBreakHyphen/>
              <w:t>18/16</w:t>
            </w:r>
            <w:r w:rsidR="005B7A97">
              <w:rPr>
                <w:noProof/>
                <w:webHidden/>
              </w:rPr>
              <w:tab/>
            </w:r>
            <w:r w:rsidR="005B7A97">
              <w:rPr>
                <w:noProof/>
                <w:webHidden/>
              </w:rPr>
              <w:fldChar w:fldCharType="begin"/>
            </w:r>
            <w:r w:rsidR="005B7A97">
              <w:rPr>
                <w:noProof/>
                <w:webHidden/>
              </w:rPr>
              <w:instrText xml:space="preserve"> PAGEREF _Toc512411026 \h </w:instrText>
            </w:r>
            <w:r w:rsidR="005B7A97">
              <w:rPr>
                <w:noProof/>
                <w:webHidden/>
              </w:rPr>
            </w:r>
            <w:r w:rsidR="005B7A97">
              <w:rPr>
                <w:noProof/>
                <w:webHidden/>
              </w:rPr>
              <w:fldChar w:fldCharType="separate"/>
            </w:r>
            <w:r w:rsidR="005B7A97">
              <w:rPr>
                <w:noProof/>
                <w:webHidden/>
              </w:rPr>
              <w:t>6</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27" w:history="1">
            <w:r w:rsidR="005B7A97" w:rsidRPr="00101E26">
              <w:rPr>
                <w:rStyle w:val="Hipersaitas"/>
                <w:noProof/>
              </w:rPr>
              <w:t>Dėl Direktyvos 2013/33 nuostatų, numatančių teisę sulaikyti tarptautinės apsaugos pasiprašiusį trečiosios šalies pilietį arba asmenį be pilietybės, dėl kurio dar nėra priimtas galutinis sprendimas, atitikties ES pagrindinių teisių chartijos 6 straipsniui, įtvirtinančiam teisę į laisvę ir saugumą</w:t>
            </w:r>
            <w:r w:rsidR="005B7A97">
              <w:rPr>
                <w:noProof/>
                <w:webHidden/>
              </w:rPr>
              <w:tab/>
            </w:r>
            <w:r w:rsidR="005B7A97">
              <w:rPr>
                <w:noProof/>
                <w:webHidden/>
              </w:rPr>
              <w:fldChar w:fldCharType="begin"/>
            </w:r>
            <w:r w:rsidR="005B7A97">
              <w:rPr>
                <w:noProof/>
                <w:webHidden/>
              </w:rPr>
              <w:instrText xml:space="preserve"> PAGEREF _Toc512411027 \h </w:instrText>
            </w:r>
            <w:r w:rsidR="005B7A97">
              <w:rPr>
                <w:noProof/>
                <w:webHidden/>
              </w:rPr>
            </w:r>
            <w:r w:rsidR="005B7A97">
              <w:rPr>
                <w:noProof/>
                <w:webHidden/>
              </w:rPr>
              <w:fldChar w:fldCharType="separate"/>
            </w:r>
            <w:r w:rsidR="005B7A97">
              <w:rPr>
                <w:noProof/>
                <w:webHidden/>
              </w:rPr>
              <w:t>6</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28" w:history="1">
            <w:r w:rsidR="005B7A97" w:rsidRPr="00101E26">
              <w:rPr>
                <w:rStyle w:val="Hipersaitas"/>
              </w:rPr>
              <w:t>SOCIALINĖ POLITIKA</w:t>
            </w:r>
            <w:r w:rsidR="005B7A97">
              <w:rPr>
                <w:webHidden/>
              </w:rPr>
              <w:tab/>
            </w:r>
            <w:r w:rsidR="005B7A97">
              <w:rPr>
                <w:webHidden/>
              </w:rPr>
              <w:fldChar w:fldCharType="begin"/>
            </w:r>
            <w:r w:rsidR="005B7A97">
              <w:rPr>
                <w:webHidden/>
              </w:rPr>
              <w:instrText xml:space="preserve"> PAGEREF _Toc512411028 \h </w:instrText>
            </w:r>
            <w:r w:rsidR="005B7A97">
              <w:rPr>
                <w:webHidden/>
              </w:rPr>
            </w:r>
            <w:r w:rsidR="005B7A97">
              <w:rPr>
                <w:webHidden/>
              </w:rPr>
              <w:fldChar w:fldCharType="separate"/>
            </w:r>
            <w:r w:rsidR="005B7A97">
              <w:rPr>
                <w:webHidden/>
              </w:rPr>
              <w:t>9</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29" w:history="1">
            <w:r w:rsidR="005B7A97" w:rsidRPr="00101E26">
              <w:rPr>
                <w:rStyle w:val="Hipersaitas"/>
                <w:rFonts w:cs="Calibri"/>
                <w:noProof/>
              </w:rPr>
              <w:t>2017 m. spalio 18 d. prejudicinis sprendimas byloje C-409/16</w:t>
            </w:r>
            <w:r w:rsidR="005B7A97">
              <w:rPr>
                <w:noProof/>
                <w:webHidden/>
              </w:rPr>
              <w:tab/>
            </w:r>
            <w:r w:rsidR="005B7A97">
              <w:rPr>
                <w:noProof/>
                <w:webHidden/>
              </w:rPr>
              <w:fldChar w:fldCharType="begin"/>
            </w:r>
            <w:r w:rsidR="005B7A97">
              <w:rPr>
                <w:noProof/>
                <w:webHidden/>
              </w:rPr>
              <w:instrText xml:space="preserve"> PAGEREF _Toc512411029 \h </w:instrText>
            </w:r>
            <w:r w:rsidR="005B7A97">
              <w:rPr>
                <w:noProof/>
                <w:webHidden/>
              </w:rPr>
            </w:r>
            <w:r w:rsidR="005B7A97">
              <w:rPr>
                <w:noProof/>
                <w:webHidden/>
              </w:rPr>
              <w:fldChar w:fldCharType="separate"/>
            </w:r>
            <w:r w:rsidR="005B7A97">
              <w:rPr>
                <w:noProof/>
                <w:webHidden/>
              </w:rPr>
              <w:t>9</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30" w:history="1">
            <w:r w:rsidR="005B7A97" w:rsidRPr="00101E26">
              <w:rPr>
                <w:rStyle w:val="Hipersaitas"/>
                <w:rFonts w:cstheme="minorHAnsi"/>
                <w:noProof/>
              </w:rPr>
              <w:t>Dėl d</w:t>
            </w:r>
            <w:r w:rsidR="005B7A97" w:rsidRPr="00101E26">
              <w:rPr>
                <w:rStyle w:val="Hipersaitas"/>
                <w:rFonts w:eastAsia="Times New Roman" w:cstheme="minorHAnsi"/>
                <w:noProof/>
                <w:lang w:eastAsia="lt-LT"/>
              </w:rPr>
              <w:t>irektyvų 2006/54 ir 76/207 taikymo srities</w:t>
            </w:r>
            <w:r w:rsidR="005B7A97">
              <w:rPr>
                <w:noProof/>
                <w:webHidden/>
              </w:rPr>
              <w:tab/>
            </w:r>
            <w:r w:rsidR="005B7A97">
              <w:rPr>
                <w:noProof/>
                <w:webHidden/>
              </w:rPr>
              <w:fldChar w:fldCharType="begin"/>
            </w:r>
            <w:r w:rsidR="005B7A97">
              <w:rPr>
                <w:noProof/>
                <w:webHidden/>
              </w:rPr>
              <w:instrText xml:space="preserve"> PAGEREF _Toc512411030 \h </w:instrText>
            </w:r>
            <w:r w:rsidR="005B7A97">
              <w:rPr>
                <w:noProof/>
                <w:webHidden/>
              </w:rPr>
            </w:r>
            <w:r w:rsidR="005B7A97">
              <w:rPr>
                <w:noProof/>
                <w:webHidden/>
              </w:rPr>
              <w:fldChar w:fldCharType="separate"/>
            </w:r>
            <w:r w:rsidR="005B7A97">
              <w:rPr>
                <w:noProof/>
                <w:webHidden/>
              </w:rPr>
              <w:t>9</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31" w:history="1">
            <w:r w:rsidR="005B7A97" w:rsidRPr="00101E26">
              <w:rPr>
                <w:rStyle w:val="Hipersaitas"/>
                <w:rFonts w:cstheme="minorHAnsi"/>
                <w:noProof/>
              </w:rPr>
              <w:t>Dėl valstybės narės teisės akto, pagal kurį leidimas kandidatams dalyvauti priėmimo konkurse į šios valstybės narės policijos mokyklą siejamas su minimalaus 1,70 m fizinio ūgio reikalavimu, neatsižvelgiant į jų lytį</w:t>
            </w:r>
            <w:r w:rsidR="005B7A97">
              <w:rPr>
                <w:noProof/>
                <w:webHidden/>
              </w:rPr>
              <w:tab/>
            </w:r>
            <w:r w:rsidR="005B7A97">
              <w:rPr>
                <w:noProof/>
                <w:webHidden/>
              </w:rPr>
              <w:fldChar w:fldCharType="begin"/>
            </w:r>
            <w:r w:rsidR="005B7A97">
              <w:rPr>
                <w:noProof/>
                <w:webHidden/>
              </w:rPr>
              <w:instrText xml:space="preserve"> PAGEREF _Toc512411031 \h </w:instrText>
            </w:r>
            <w:r w:rsidR="005B7A97">
              <w:rPr>
                <w:noProof/>
                <w:webHidden/>
              </w:rPr>
            </w:r>
            <w:r w:rsidR="005B7A97">
              <w:rPr>
                <w:noProof/>
                <w:webHidden/>
              </w:rPr>
              <w:fldChar w:fldCharType="separate"/>
            </w:r>
            <w:r w:rsidR="005B7A97">
              <w:rPr>
                <w:noProof/>
                <w:webHidden/>
              </w:rPr>
              <w:t>10</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32" w:history="1">
            <w:r w:rsidR="005B7A97" w:rsidRPr="00101E26">
              <w:rPr>
                <w:rStyle w:val="Hipersaitas"/>
              </w:rPr>
              <w:t>APMOKESTINIMAS</w:t>
            </w:r>
            <w:r w:rsidR="005B7A97">
              <w:rPr>
                <w:webHidden/>
              </w:rPr>
              <w:tab/>
            </w:r>
            <w:r w:rsidR="005B7A97">
              <w:rPr>
                <w:webHidden/>
              </w:rPr>
              <w:fldChar w:fldCharType="begin"/>
            </w:r>
            <w:r w:rsidR="005B7A97">
              <w:rPr>
                <w:webHidden/>
              </w:rPr>
              <w:instrText xml:space="preserve"> PAGEREF _Toc512411032 \h </w:instrText>
            </w:r>
            <w:r w:rsidR="005B7A97">
              <w:rPr>
                <w:webHidden/>
              </w:rPr>
            </w:r>
            <w:r w:rsidR="005B7A97">
              <w:rPr>
                <w:webHidden/>
              </w:rPr>
              <w:fldChar w:fldCharType="separate"/>
            </w:r>
            <w:r w:rsidR="005B7A97">
              <w:rPr>
                <w:webHidden/>
              </w:rPr>
              <w:t>11</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33" w:history="1">
            <w:r w:rsidR="005B7A97" w:rsidRPr="00101E26">
              <w:rPr>
                <w:rStyle w:val="Hipersaitas"/>
                <w:rFonts w:cs="Calibri"/>
                <w:noProof/>
              </w:rPr>
              <w:t>2017 m. rugsėjo 21 d. prejudicinis sprendimas byloje C-441/16</w:t>
            </w:r>
            <w:r w:rsidR="005B7A97">
              <w:rPr>
                <w:noProof/>
                <w:webHidden/>
              </w:rPr>
              <w:tab/>
            </w:r>
            <w:r w:rsidR="005B7A97">
              <w:rPr>
                <w:noProof/>
                <w:webHidden/>
              </w:rPr>
              <w:fldChar w:fldCharType="begin"/>
            </w:r>
            <w:r w:rsidR="005B7A97">
              <w:rPr>
                <w:noProof/>
                <w:webHidden/>
              </w:rPr>
              <w:instrText xml:space="preserve"> PAGEREF _Toc512411033 \h </w:instrText>
            </w:r>
            <w:r w:rsidR="005B7A97">
              <w:rPr>
                <w:noProof/>
                <w:webHidden/>
              </w:rPr>
            </w:r>
            <w:r w:rsidR="005B7A97">
              <w:rPr>
                <w:noProof/>
                <w:webHidden/>
              </w:rPr>
              <w:fldChar w:fldCharType="separate"/>
            </w:r>
            <w:r w:rsidR="005B7A97">
              <w:rPr>
                <w:noProof/>
                <w:webHidden/>
              </w:rPr>
              <w:t>11</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34" w:history="1">
            <w:r w:rsidR="005B7A97" w:rsidRPr="00101E26">
              <w:rPr>
                <w:rStyle w:val="Hipersaitas"/>
                <w:noProof/>
              </w:rPr>
              <w:t>Dėl apmokestinamojo asmens teisės į sumokėto PVM grąžinimą (PVM atskaitą) už prekes, kurios dėl kontrahento sutartinių įsipareigojimų nevykdymo buvo nepanaudotos šio asmens veikloje</w:t>
            </w:r>
            <w:r w:rsidR="005B7A97">
              <w:rPr>
                <w:noProof/>
                <w:webHidden/>
              </w:rPr>
              <w:tab/>
            </w:r>
            <w:r w:rsidR="005B7A97">
              <w:rPr>
                <w:noProof/>
                <w:webHidden/>
              </w:rPr>
              <w:fldChar w:fldCharType="begin"/>
            </w:r>
            <w:r w:rsidR="005B7A97">
              <w:rPr>
                <w:noProof/>
                <w:webHidden/>
              </w:rPr>
              <w:instrText xml:space="preserve"> PAGEREF _Toc512411034 \h </w:instrText>
            </w:r>
            <w:r w:rsidR="005B7A97">
              <w:rPr>
                <w:noProof/>
                <w:webHidden/>
              </w:rPr>
            </w:r>
            <w:r w:rsidR="005B7A97">
              <w:rPr>
                <w:noProof/>
                <w:webHidden/>
              </w:rPr>
              <w:fldChar w:fldCharType="separate"/>
            </w:r>
            <w:r w:rsidR="005B7A97">
              <w:rPr>
                <w:noProof/>
                <w:webHidden/>
              </w:rPr>
              <w:t>12</w:t>
            </w:r>
            <w:r w:rsidR="005B7A97">
              <w:rPr>
                <w:noProof/>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35" w:history="1">
            <w:r w:rsidR="005B7A97" w:rsidRPr="00101E26">
              <w:rPr>
                <w:rStyle w:val="Hipersaitas"/>
                <w:rFonts w:cs="Calibri"/>
                <w:noProof/>
              </w:rPr>
              <w:t>2017 m. lapkričio 9 d. prejudicinis sprendimas byloje C</w:t>
            </w:r>
            <w:r w:rsidR="005B7A97" w:rsidRPr="00101E26">
              <w:rPr>
                <w:rStyle w:val="Hipersaitas"/>
                <w:rFonts w:ascii="Cambria Math" w:hAnsi="Cambria Math" w:cs="Cambria Math"/>
                <w:noProof/>
              </w:rPr>
              <w:t>‑</w:t>
            </w:r>
            <w:r w:rsidR="005B7A97" w:rsidRPr="00101E26">
              <w:rPr>
                <w:rStyle w:val="Hipersaitas"/>
                <w:rFonts w:cs="Calibri"/>
                <w:noProof/>
              </w:rPr>
              <w:t>298/16</w:t>
            </w:r>
            <w:r w:rsidR="005B7A97">
              <w:rPr>
                <w:noProof/>
                <w:webHidden/>
              </w:rPr>
              <w:tab/>
            </w:r>
            <w:r w:rsidR="005B7A97">
              <w:rPr>
                <w:noProof/>
                <w:webHidden/>
              </w:rPr>
              <w:fldChar w:fldCharType="begin"/>
            </w:r>
            <w:r w:rsidR="005B7A97">
              <w:rPr>
                <w:noProof/>
                <w:webHidden/>
              </w:rPr>
              <w:instrText xml:space="preserve"> PAGEREF _Toc512411035 \h </w:instrText>
            </w:r>
            <w:r w:rsidR="005B7A97">
              <w:rPr>
                <w:noProof/>
                <w:webHidden/>
              </w:rPr>
            </w:r>
            <w:r w:rsidR="005B7A97">
              <w:rPr>
                <w:noProof/>
                <w:webHidden/>
              </w:rPr>
              <w:fldChar w:fldCharType="separate"/>
            </w:r>
            <w:r w:rsidR="005B7A97">
              <w:rPr>
                <w:noProof/>
                <w:webHidden/>
              </w:rPr>
              <w:t>13</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36" w:history="1">
            <w:r w:rsidR="005B7A97" w:rsidRPr="00101E26">
              <w:rPr>
                <w:rStyle w:val="Hipersaitas"/>
                <w:noProof/>
              </w:rPr>
              <w:t>Dėl apmokestinamojo asmens teisės susipažinti su mokesčių administratoriaus administracinėje byloje turimais dokumentais, į kuriuos valdžios įstaiga atsižvelgė priimdama savo sprendimą</w:t>
            </w:r>
            <w:r w:rsidR="005B7A97">
              <w:rPr>
                <w:noProof/>
                <w:webHidden/>
              </w:rPr>
              <w:tab/>
            </w:r>
            <w:r w:rsidR="005B7A97">
              <w:rPr>
                <w:noProof/>
                <w:webHidden/>
              </w:rPr>
              <w:fldChar w:fldCharType="begin"/>
            </w:r>
            <w:r w:rsidR="005B7A97">
              <w:rPr>
                <w:noProof/>
                <w:webHidden/>
              </w:rPr>
              <w:instrText xml:space="preserve"> PAGEREF _Toc512411036 \h </w:instrText>
            </w:r>
            <w:r w:rsidR="005B7A97">
              <w:rPr>
                <w:noProof/>
                <w:webHidden/>
              </w:rPr>
            </w:r>
            <w:r w:rsidR="005B7A97">
              <w:rPr>
                <w:noProof/>
                <w:webHidden/>
              </w:rPr>
              <w:fldChar w:fldCharType="separate"/>
            </w:r>
            <w:r w:rsidR="005B7A97">
              <w:rPr>
                <w:noProof/>
                <w:webHidden/>
              </w:rPr>
              <w:t>13</w:t>
            </w:r>
            <w:r w:rsidR="005B7A97">
              <w:rPr>
                <w:noProof/>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37" w:history="1">
            <w:r w:rsidR="005B7A97" w:rsidRPr="00101E26">
              <w:rPr>
                <w:rStyle w:val="Hipersaitas"/>
                <w:rFonts w:cs="Calibri"/>
                <w:noProof/>
              </w:rPr>
              <w:t>2017 m. lapkričio 22 d. prejudicinis sprendimas byloje C</w:t>
            </w:r>
            <w:r w:rsidR="005B7A97" w:rsidRPr="00101E26">
              <w:rPr>
                <w:rStyle w:val="Hipersaitas"/>
                <w:rFonts w:ascii="Cambria Math" w:hAnsi="Cambria Math" w:cs="Cambria Math"/>
                <w:noProof/>
              </w:rPr>
              <w:t>‑</w:t>
            </w:r>
            <w:r w:rsidR="005B7A97" w:rsidRPr="00101E26">
              <w:rPr>
                <w:rStyle w:val="Hipersaitas"/>
                <w:rFonts w:cs="Calibri"/>
                <w:noProof/>
              </w:rPr>
              <w:t>224/16</w:t>
            </w:r>
            <w:r w:rsidR="005B7A97">
              <w:rPr>
                <w:noProof/>
                <w:webHidden/>
              </w:rPr>
              <w:tab/>
            </w:r>
            <w:r w:rsidR="005B7A97">
              <w:rPr>
                <w:noProof/>
                <w:webHidden/>
              </w:rPr>
              <w:fldChar w:fldCharType="begin"/>
            </w:r>
            <w:r w:rsidR="005B7A97">
              <w:rPr>
                <w:noProof/>
                <w:webHidden/>
              </w:rPr>
              <w:instrText xml:space="preserve"> PAGEREF _Toc512411037 \h </w:instrText>
            </w:r>
            <w:r w:rsidR="005B7A97">
              <w:rPr>
                <w:noProof/>
                <w:webHidden/>
              </w:rPr>
            </w:r>
            <w:r w:rsidR="005B7A97">
              <w:rPr>
                <w:noProof/>
                <w:webHidden/>
              </w:rPr>
              <w:fldChar w:fldCharType="separate"/>
            </w:r>
            <w:r w:rsidR="005B7A97">
              <w:rPr>
                <w:noProof/>
                <w:webHidden/>
              </w:rPr>
              <w:t>14</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38" w:history="1">
            <w:r w:rsidR="005B7A97" w:rsidRPr="00101E26">
              <w:rPr>
                <w:rStyle w:val="Hipersaitas"/>
                <w:noProof/>
              </w:rPr>
              <w:t>Dėl TIR konvencijoje numatytos mokesčių administratoriaus pareigos prieš pateikiant garantuojančiajai asociacijai reikalavimą sumokėti atitinkamus importo muitus ir mokesčius reikalauti, kad juos sumokėtų TIR knygelės turėtojas</w:t>
            </w:r>
            <w:r w:rsidR="005B7A97">
              <w:rPr>
                <w:noProof/>
                <w:webHidden/>
              </w:rPr>
              <w:tab/>
            </w:r>
            <w:r w:rsidR="005B7A97">
              <w:rPr>
                <w:noProof/>
                <w:webHidden/>
              </w:rPr>
              <w:fldChar w:fldCharType="begin"/>
            </w:r>
            <w:r w:rsidR="005B7A97">
              <w:rPr>
                <w:noProof/>
                <w:webHidden/>
              </w:rPr>
              <w:instrText xml:space="preserve"> PAGEREF _Toc512411038 \h </w:instrText>
            </w:r>
            <w:r w:rsidR="005B7A97">
              <w:rPr>
                <w:noProof/>
                <w:webHidden/>
              </w:rPr>
            </w:r>
            <w:r w:rsidR="005B7A97">
              <w:rPr>
                <w:noProof/>
                <w:webHidden/>
              </w:rPr>
              <w:fldChar w:fldCharType="separate"/>
            </w:r>
            <w:r w:rsidR="005B7A97">
              <w:rPr>
                <w:noProof/>
                <w:webHidden/>
              </w:rPr>
              <w:t>15</w:t>
            </w:r>
            <w:r w:rsidR="005B7A97">
              <w:rPr>
                <w:noProof/>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39" w:history="1">
            <w:r w:rsidR="005B7A97" w:rsidRPr="00101E26">
              <w:rPr>
                <w:rStyle w:val="Hipersaitas"/>
                <w:rFonts w:cs="Calibri"/>
                <w:noProof/>
              </w:rPr>
              <w:t>2017 m. spalio 19 d. prejudicinis sprendimas byloje C</w:t>
            </w:r>
            <w:r w:rsidR="005B7A97" w:rsidRPr="00101E26">
              <w:rPr>
                <w:rStyle w:val="Hipersaitas"/>
                <w:rFonts w:ascii="Cambria Math" w:hAnsi="Cambria Math" w:cs="Cambria Math"/>
                <w:noProof/>
              </w:rPr>
              <w:t>‑</w:t>
            </w:r>
            <w:r w:rsidR="005B7A97" w:rsidRPr="00101E26">
              <w:rPr>
                <w:rStyle w:val="Hipersaitas"/>
                <w:rFonts w:cs="Calibri"/>
                <w:noProof/>
              </w:rPr>
              <w:t>101/16</w:t>
            </w:r>
            <w:r w:rsidR="005B7A97">
              <w:rPr>
                <w:noProof/>
                <w:webHidden/>
              </w:rPr>
              <w:tab/>
            </w:r>
            <w:r w:rsidR="005B7A97">
              <w:rPr>
                <w:noProof/>
                <w:webHidden/>
              </w:rPr>
              <w:fldChar w:fldCharType="begin"/>
            </w:r>
            <w:r w:rsidR="005B7A97">
              <w:rPr>
                <w:noProof/>
                <w:webHidden/>
              </w:rPr>
              <w:instrText xml:space="preserve"> PAGEREF _Toc512411039 \h </w:instrText>
            </w:r>
            <w:r w:rsidR="005B7A97">
              <w:rPr>
                <w:noProof/>
                <w:webHidden/>
              </w:rPr>
            </w:r>
            <w:r w:rsidR="005B7A97">
              <w:rPr>
                <w:noProof/>
                <w:webHidden/>
              </w:rPr>
              <w:fldChar w:fldCharType="separate"/>
            </w:r>
            <w:r w:rsidR="005B7A97">
              <w:rPr>
                <w:noProof/>
                <w:webHidden/>
              </w:rPr>
              <w:t>16</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40" w:history="1">
            <w:r w:rsidR="005B7A97" w:rsidRPr="00101E26">
              <w:rPr>
                <w:rStyle w:val="Hipersaitas"/>
                <w:noProof/>
              </w:rPr>
              <w:t>Dėl apmokestinamojo asmens pareigos mokesčių administratoriaus interneto svetainėje patikrinti, ar jo kontrahentas nėra pripažintas nevykdančiu veiklos neįvykdymo, kaip pagrindo paneigti jo teisė į pirkimo PVM atskaitą</w:t>
            </w:r>
            <w:r w:rsidR="005B7A97">
              <w:rPr>
                <w:noProof/>
                <w:webHidden/>
              </w:rPr>
              <w:tab/>
            </w:r>
            <w:r w:rsidR="005B7A97">
              <w:rPr>
                <w:noProof/>
                <w:webHidden/>
              </w:rPr>
              <w:fldChar w:fldCharType="begin"/>
            </w:r>
            <w:r w:rsidR="005B7A97">
              <w:rPr>
                <w:noProof/>
                <w:webHidden/>
              </w:rPr>
              <w:instrText xml:space="preserve"> PAGEREF _Toc512411040 \h </w:instrText>
            </w:r>
            <w:r w:rsidR="005B7A97">
              <w:rPr>
                <w:noProof/>
                <w:webHidden/>
              </w:rPr>
            </w:r>
            <w:r w:rsidR="005B7A97">
              <w:rPr>
                <w:noProof/>
                <w:webHidden/>
              </w:rPr>
              <w:fldChar w:fldCharType="separate"/>
            </w:r>
            <w:r w:rsidR="005B7A97">
              <w:rPr>
                <w:noProof/>
                <w:webHidden/>
              </w:rPr>
              <w:t>17</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41" w:history="1">
            <w:r w:rsidR="005B7A97" w:rsidRPr="00101E26">
              <w:rPr>
                <w:rStyle w:val="Hipersaitas"/>
              </w:rPr>
              <w:t>KONKURENCIJA</w:t>
            </w:r>
            <w:r w:rsidR="005B7A97">
              <w:rPr>
                <w:webHidden/>
              </w:rPr>
              <w:tab/>
            </w:r>
            <w:r w:rsidR="005B7A97">
              <w:rPr>
                <w:webHidden/>
              </w:rPr>
              <w:fldChar w:fldCharType="begin"/>
            </w:r>
            <w:r w:rsidR="005B7A97">
              <w:rPr>
                <w:webHidden/>
              </w:rPr>
              <w:instrText xml:space="preserve"> PAGEREF _Toc512411041 \h </w:instrText>
            </w:r>
            <w:r w:rsidR="005B7A97">
              <w:rPr>
                <w:webHidden/>
              </w:rPr>
            </w:r>
            <w:r w:rsidR="005B7A97">
              <w:rPr>
                <w:webHidden/>
              </w:rPr>
              <w:fldChar w:fldCharType="separate"/>
            </w:r>
            <w:r w:rsidR="005B7A97">
              <w:rPr>
                <w:webHidden/>
              </w:rPr>
              <w:t>18</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42" w:history="1">
            <w:r w:rsidR="005B7A97" w:rsidRPr="00101E26">
              <w:rPr>
                <w:rStyle w:val="Hipersaitas"/>
                <w:noProof/>
              </w:rPr>
              <w:t>2017 m. gruodžio 6 d. prejudicinis sprendimas byloje C-230/16</w:t>
            </w:r>
            <w:r w:rsidR="005B7A97">
              <w:rPr>
                <w:noProof/>
                <w:webHidden/>
              </w:rPr>
              <w:tab/>
            </w:r>
            <w:r w:rsidR="005B7A97">
              <w:rPr>
                <w:noProof/>
                <w:webHidden/>
              </w:rPr>
              <w:fldChar w:fldCharType="begin"/>
            </w:r>
            <w:r w:rsidR="005B7A97">
              <w:rPr>
                <w:noProof/>
                <w:webHidden/>
              </w:rPr>
              <w:instrText xml:space="preserve"> PAGEREF _Toc512411042 \h </w:instrText>
            </w:r>
            <w:r w:rsidR="005B7A97">
              <w:rPr>
                <w:noProof/>
                <w:webHidden/>
              </w:rPr>
            </w:r>
            <w:r w:rsidR="005B7A97">
              <w:rPr>
                <w:noProof/>
                <w:webHidden/>
              </w:rPr>
              <w:fldChar w:fldCharType="separate"/>
            </w:r>
            <w:r w:rsidR="005B7A97">
              <w:rPr>
                <w:noProof/>
                <w:webHidden/>
              </w:rPr>
              <w:t>18</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43" w:history="1">
            <w:r w:rsidR="005B7A97" w:rsidRPr="00101E26">
              <w:rPr>
                <w:rStyle w:val="Hipersaitas"/>
                <w:rFonts w:eastAsia="Times New Roman" w:cstheme="minorHAnsi"/>
                <w:noProof/>
                <w:lang w:eastAsia="lt-LT"/>
              </w:rPr>
              <w:t>Dėl prabangos prekių pasirinktinio platinimo sistemos, kuria visų pirma siekiama apsaugoti šių prekių prabangos įvaizdį, suderinimo su SESV 101 straipsnio 1 dalimi</w:t>
            </w:r>
            <w:r w:rsidR="005B7A97">
              <w:rPr>
                <w:noProof/>
                <w:webHidden/>
              </w:rPr>
              <w:tab/>
            </w:r>
            <w:r w:rsidR="005B7A97">
              <w:rPr>
                <w:noProof/>
                <w:webHidden/>
              </w:rPr>
              <w:fldChar w:fldCharType="begin"/>
            </w:r>
            <w:r w:rsidR="005B7A97">
              <w:rPr>
                <w:noProof/>
                <w:webHidden/>
              </w:rPr>
              <w:instrText xml:space="preserve"> PAGEREF _Toc512411043 \h </w:instrText>
            </w:r>
            <w:r w:rsidR="005B7A97">
              <w:rPr>
                <w:noProof/>
                <w:webHidden/>
              </w:rPr>
            </w:r>
            <w:r w:rsidR="005B7A97">
              <w:rPr>
                <w:noProof/>
                <w:webHidden/>
              </w:rPr>
              <w:fldChar w:fldCharType="separate"/>
            </w:r>
            <w:r w:rsidR="005B7A97">
              <w:rPr>
                <w:noProof/>
                <w:webHidden/>
              </w:rPr>
              <w:t>19</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44" w:history="1">
            <w:r w:rsidR="005B7A97" w:rsidRPr="00101E26">
              <w:rPr>
                <w:rStyle w:val="Hipersaitas"/>
                <w:rFonts w:eastAsia="Times New Roman" w:cstheme="minorHAnsi"/>
                <w:noProof/>
                <w:lang w:eastAsia="lt-LT"/>
              </w:rPr>
              <w:t>Dėl sutarties nuostatos, pagal kurią prabangos prekių pasirinktinio platinimo sistemoje, kuria visų pirma siekiama apsaugoti šių prekių prabangos įvaizdį, dalyvaujantiems įgaliotiesiems platintojams draudžiama matomai naudotis trečiųjų šalių platformomis ir internete parduoti sutartyje numatytas prekes, suderinimo su SESV 101 straipsnio 1 dalimi</w:t>
            </w:r>
            <w:r w:rsidR="005B7A97">
              <w:rPr>
                <w:noProof/>
                <w:webHidden/>
              </w:rPr>
              <w:tab/>
            </w:r>
            <w:r w:rsidR="005B7A97">
              <w:rPr>
                <w:noProof/>
                <w:webHidden/>
              </w:rPr>
              <w:fldChar w:fldCharType="begin"/>
            </w:r>
            <w:r w:rsidR="005B7A97">
              <w:rPr>
                <w:noProof/>
                <w:webHidden/>
              </w:rPr>
              <w:instrText xml:space="preserve"> PAGEREF _Toc512411044 \h </w:instrText>
            </w:r>
            <w:r w:rsidR="005B7A97">
              <w:rPr>
                <w:noProof/>
                <w:webHidden/>
              </w:rPr>
            </w:r>
            <w:r w:rsidR="005B7A97">
              <w:rPr>
                <w:noProof/>
                <w:webHidden/>
              </w:rPr>
              <w:fldChar w:fldCharType="separate"/>
            </w:r>
            <w:r w:rsidR="005B7A97">
              <w:rPr>
                <w:noProof/>
                <w:webHidden/>
              </w:rPr>
              <w:t>20</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45" w:history="1">
            <w:r w:rsidR="005B7A97" w:rsidRPr="00101E26">
              <w:rPr>
                <w:rStyle w:val="Hipersaitas"/>
                <w:rFonts w:eastAsia="Times New Roman" w:cstheme="minorHAnsi"/>
                <w:noProof/>
                <w:lang w:eastAsia="lt-LT"/>
              </w:rPr>
              <w:t xml:space="preserve">Dėl prabangos prekių pasirinktinio platinimo sistemos nariams, kurie rinkoje dirba kaip platintojai, nustatyto draudimo prekiaujant internetu naudotis trečiųjų įmonių paslaugomis, kai tas naudojimasis </w:t>
            </w:r>
            <w:r w:rsidR="005B7A97" w:rsidRPr="00101E26">
              <w:rPr>
                <w:rStyle w:val="Hipersaitas"/>
                <w:rFonts w:eastAsia="Times New Roman" w:cstheme="minorHAnsi"/>
                <w:noProof/>
                <w:lang w:eastAsia="lt-LT"/>
              </w:rPr>
              <w:lastRenderedPageBreak/>
              <w:t>matomas, vertinimo kaip klientų apribojimo, kaip tai suprantama pagal Reglamento 330/2010 4 straipsnio b punktą, ar kaip pasyvaus pardavimo galutiniams vartotojams ribojimo, kaip tai suprantama pagal to paties reglamento 4 straipsnio c punktą</w:t>
            </w:r>
            <w:r w:rsidR="005B7A97">
              <w:rPr>
                <w:noProof/>
                <w:webHidden/>
              </w:rPr>
              <w:tab/>
            </w:r>
            <w:r w:rsidR="005B7A97">
              <w:rPr>
                <w:noProof/>
                <w:webHidden/>
              </w:rPr>
              <w:fldChar w:fldCharType="begin"/>
            </w:r>
            <w:r w:rsidR="005B7A97">
              <w:rPr>
                <w:noProof/>
                <w:webHidden/>
              </w:rPr>
              <w:instrText xml:space="preserve"> PAGEREF _Toc512411045 \h </w:instrText>
            </w:r>
            <w:r w:rsidR="005B7A97">
              <w:rPr>
                <w:noProof/>
                <w:webHidden/>
              </w:rPr>
            </w:r>
            <w:r w:rsidR="005B7A97">
              <w:rPr>
                <w:noProof/>
                <w:webHidden/>
              </w:rPr>
              <w:fldChar w:fldCharType="separate"/>
            </w:r>
            <w:r w:rsidR="005B7A97">
              <w:rPr>
                <w:noProof/>
                <w:webHidden/>
              </w:rPr>
              <w:t>21</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46" w:history="1">
            <w:r w:rsidR="005B7A97" w:rsidRPr="00101E26">
              <w:rPr>
                <w:rStyle w:val="Hipersaitas"/>
              </w:rPr>
              <w:t>ASMENS DUOMENŲ APSAUGA</w:t>
            </w:r>
            <w:r w:rsidR="005B7A97">
              <w:rPr>
                <w:webHidden/>
              </w:rPr>
              <w:tab/>
            </w:r>
            <w:r w:rsidR="005B7A97">
              <w:rPr>
                <w:webHidden/>
              </w:rPr>
              <w:fldChar w:fldCharType="begin"/>
            </w:r>
            <w:r w:rsidR="005B7A97">
              <w:rPr>
                <w:webHidden/>
              </w:rPr>
              <w:instrText xml:space="preserve"> PAGEREF _Toc512411046 \h </w:instrText>
            </w:r>
            <w:r w:rsidR="005B7A97">
              <w:rPr>
                <w:webHidden/>
              </w:rPr>
            </w:r>
            <w:r w:rsidR="005B7A97">
              <w:rPr>
                <w:webHidden/>
              </w:rPr>
              <w:fldChar w:fldCharType="separate"/>
            </w:r>
            <w:r w:rsidR="005B7A97">
              <w:rPr>
                <w:webHidden/>
              </w:rPr>
              <w:t>22</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47" w:history="1">
            <w:r w:rsidR="005B7A97" w:rsidRPr="00101E26">
              <w:rPr>
                <w:rStyle w:val="Hipersaitas"/>
                <w:rFonts w:cs="Calibri"/>
                <w:noProof/>
              </w:rPr>
              <w:t>2017 m. gruodžio 20 d. prejudicinis sprendimas byloje C-434/16</w:t>
            </w:r>
            <w:r w:rsidR="005B7A97">
              <w:rPr>
                <w:noProof/>
                <w:webHidden/>
              </w:rPr>
              <w:tab/>
            </w:r>
            <w:r w:rsidR="005B7A97">
              <w:rPr>
                <w:noProof/>
                <w:webHidden/>
              </w:rPr>
              <w:fldChar w:fldCharType="begin"/>
            </w:r>
            <w:r w:rsidR="005B7A97">
              <w:rPr>
                <w:noProof/>
                <w:webHidden/>
              </w:rPr>
              <w:instrText xml:space="preserve"> PAGEREF _Toc512411047 \h </w:instrText>
            </w:r>
            <w:r w:rsidR="005B7A97">
              <w:rPr>
                <w:noProof/>
                <w:webHidden/>
              </w:rPr>
            </w:r>
            <w:r w:rsidR="005B7A97">
              <w:rPr>
                <w:noProof/>
                <w:webHidden/>
              </w:rPr>
              <w:fldChar w:fldCharType="separate"/>
            </w:r>
            <w:r w:rsidR="005B7A97">
              <w:rPr>
                <w:noProof/>
                <w:webHidden/>
              </w:rPr>
              <w:t>22</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48" w:history="1">
            <w:r w:rsidR="005B7A97" w:rsidRPr="00101E26">
              <w:rPr>
                <w:rStyle w:val="Hipersaitas"/>
                <w:noProof/>
              </w:rPr>
              <w:t>Dėl egzaminuojamojo per egzaminą pateiktų raštiškų atsakymų ir egzaminuotojo dėl šių atsakymų pateiktų atitinkamų pastabų kaip asmens duomenų vertinimo</w:t>
            </w:r>
            <w:r w:rsidR="005B7A97">
              <w:rPr>
                <w:noProof/>
                <w:webHidden/>
              </w:rPr>
              <w:tab/>
            </w:r>
            <w:r w:rsidR="005B7A97">
              <w:rPr>
                <w:noProof/>
                <w:webHidden/>
              </w:rPr>
              <w:fldChar w:fldCharType="begin"/>
            </w:r>
            <w:r w:rsidR="005B7A97">
              <w:rPr>
                <w:noProof/>
                <w:webHidden/>
              </w:rPr>
              <w:instrText xml:space="preserve"> PAGEREF _Toc512411048 \h </w:instrText>
            </w:r>
            <w:r w:rsidR="005B7A97">
              <w:rPr>
                <w:noProof/>
                <w:webHidden/>
              </w:rPr>
            </w:r>
            <w:r w:rsidR="005B7A97">
              <w:rPr>
                <w:noProof/>
                <w:webHidden/>
              </w:rPr>
              <w:fldChar w:fldCharType="separate"/>
            </w:r>
            <w:r w:rsidR="005B7A97">
              <w:rPr>
                <w:noProof/>
                <w:webHidden/>
              </w:rPr>
              <w:t>22</w:t>
            </w:r>
            <w:r w:rsidR="005B7A97">
              <w:rPr>
                <w:noProof/>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49" w:history="1">
            <w:r w:rsidR="005B7A97" w:rsidRPr="00101E26">
              <w:rPr>
                <w:rStyle w:val="Hipersaitas"/>
                <w:noProof/>
              </w:rPr>
              <w:t>2017 m. rugsėjo 27 d. prejudicinis sprendimas byloje C</w:t>
            </w:r>
            <w:r w:rsidR="005B7A97" w:rsidRPr="00101E26">
              <w:rPr>
                <w:rStyle w:val="Hipersaitas"/>
                <w:noProof/>
              </w:rPr>
              <w:noBreakHyphen/>
              <w:t>73/16</w:t>
            </w:r>
            <w:r w:rsidR="005B7A97">
              <w:rPr>
                <w:noProof/>
                <w:webHidden/>
              </w:rPr>
              <w:tab/>
            </w:r>
            <w:r w:rsidR="005B7A97">
              <w:rPr>
                <w:noProof/>
                <w:webHidden/>
              </w:rPr>
              <w:fldChar w:fldCharType="begin"/>
            </w:r>
            <w:r w:rsidR="005B7A97">
              <w:rPr>
                <w:noProof/>
                <w:webHidden/>
              </w:rPr>
              <w:instrText xml:space="preserve"> PAGEREF _Toc512411049 \h </w:instrText>
            </w:r>
            <w:r w:rsidR="005B7A97">
              <w:rPr>
                <w:noProof/>
                <w:webHidden/>
              </w:rPr>
            </w:r>
            <w:r w:rsidR="005B7A97">
              <w:rPr>
                <w:noProof/>
                <w:webHidden/>
              </w:rPr>
              <w:fldChar w:fldCharType="separate"/>
            </w:r>
            <w:r w:rsidR="005B7A97">
              <w:rPr>
                <w:noProof/>
                <w:webHidden/>
              </w:rPr>
              <w:t>24</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0" w:history="1">
            <w:r w:rsidR="005B7A97" w:rsidRPr="00101E26">
              <w:rPr>
                <w:rStyle w:val="Hipersaitas"/>
                <w:noProof/>
              </w:rPr>
              <w:t>Dėl asmens, tvirtinančio, kad pažeista jo teisė į asmens duomenų apsaugą, užtikrinama Direktyvoje 95/46, teisės pareikšti ieškinį teisme siejimo su sąlyga prieš tai išnaudoti apskundimo galimybes nacionalinėse administracinėse institucijose</w:t>
            </w:r>
            <w:r w:rsidR="005B7A97">
              <w:rPr>
                <w:noProof/>
                <w:webHidden/>
              </w:rPr>
              <w:tab/>
            </w:r>
            <w:r w:rsidR="005B7A97">
              <w:rPr>
                <w:noProof/>
                <w:webHidden/>
              </w:rPr>
              <w:fldChar w:fldCharType="begin"/>
            </w:r>
            <w:r w:rsidR="005B7A97">
              <w:rPr>
                <w:noProof/>
                <w:webHidden/>
              </w:rPr>
              <w:instrText xml:space="preserve"> PAGEREF _Toc512411050 \h </w:instrText>
            </w:r>
            <w:r w:rsidR="005B7A97">
              <w:rPr>
                <w:noProof/>
                <w:webHidden/>
              </w:rPr>
            </w:r>
            <w:r w:rsidR="005B7A97">
              <w:rPr>
                <w:noProof/>
                <w:webHidden/>
              </w:rPr>
              <w:fldChar w:fldCharType="separate"/>
            </w:r>
            <w:r w:rsidR="005B7A97">
              <w:rPr>
                <w:noProof/>
                <w:webHidden/>
              </w:rPr>
              <w:t>24</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1" w:history="1">
            <w:r w:rsidR="005B7A97" w:rsidRPr="00101E26">
              <w:rPr>
                <w:rStyle w:val="Hipersaitas"/>
                <w:noProof/>
              </w:rPr>
              <w:t>Dėl nacionalinio teismo teisės kaip asmens duomenų apsaugos, užtikrinamos pagal Direktyvą 95/46, pažeidimo įrodymą atmesti registrą, kurį pateikia suinteresuotasis asmuo ir kuriame yra jo asmens duomenų</w:t>
            </w:r>
            <w:r w:rsidR="005B7A97">
              <w:rPr>
                <w:noProof/>
                <w:webHidden/>
              </w:rPr>
              <w:tab/>
            </w:r>
            <w:r w:rsidR="005B7A97">
              <w:rPr>
                <w:noProof/>
                <w:webHidden/>
              </w:rPr>
              <w:fldChar w:fldCharType="begin"/>
            </w:r>
            <w:r w:rsidR="005B7A97">
              <w:rPr>
                <w:noProof/>
                <w:webHidden/>
              </w:rPr>
              <w:instrText xml:space="preserve"> PAGEREF _Toc512411051 \h </w:instrText>
            </w:r>
            <w:r w:rsidR="005B7A97">
              <w:rPr>
                <w:noProof/>
                <w:webHidden/>
              </w:rPr>
            </w:r>
            <w:r w:rsidR="005B7A97">
              <w:rPr>
                <w:noProof/>
                <w:webHidden/>
              </w:rPr>
              <w:fldChar w:fldCharType="separate"/>
            </w:r>
            <w:r w:rsidR="005B7A97">
              <w:rPr>
                <w:noProof/>
                <w:webHidden/>
              </w:rPr>
              <w:t>25</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2" w:history="1">
            <w:r w:rsidR="005B7A97" w:rsidRPr="00101E26">
              <w:rPr>
                <w:rStyle w:val="Hipersaitas"/>
                <w:noProof/>
              </w:rPr>
              <w:t>Dėl valstybės narės institucijų teisės tvarkyti asmens duomenis renkant mokesčius ir kovojant su jų slėpimu, sudarant registrą, be susijusių asmenų sutikimo</w:t>
            </w:r>
            <w:r w:rsidR="005B7A97">
              <w:rPr>
                <w:noProof/>
                <w:webHidden/>
              </w:rPr>
              <w:tab/>
            </w:r>
            <w:r w:rsidR="005B7A97">
              <w:rPr>
                <w:noProof/>
                <w:webHidden/>
              </w:rPr>
              <w:fldChar w:fldCharType="begin"/>
            </w:r>
            <w:r w:rsidR="005B7A97">
              <w:rPr>
                <w:noProof/>
                <w:webHidden/>
              </w:rPr>
              <w:instrText xml:space="preserve"> PAGEREF _Toc512411052 \h </w:instrText>
            </w:r>
            <w:r w:rsidR="005B7A97">
              <w:rPr>
                <w:noProof/>
                <w:webHidden/>
              </w:rPr>
            </w:r>
            <w:r w:rsidR="005B7A97">
              <w:rPr>
                <w:noProof/>
                <w:webHidden/>
              </w:rPr>
              <w:fldChar w:fldCharType="separate"/>
            </w:r>
            <w:r w:rsidR="005B7A97">
              <w:rPr>
                <w:noProof/>
                <w:webHidden/>
              </w:rPr>
              <w:t>26</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53" w:history="1">
            <w:r w:rsidR="005B7A97" w:rsidRPr="00101E26">
              <w:rPr>
                <w:rStyle w:val="Hipersaitas"/>
              </w:rPr>
              <w:t>LAISVAS DARBUOTOJŲ IR SAVARANKIŠKAI DIRBANČIŲ ASMENŲ JUDĖJIMAS</w:t>
            </w:r>
            <w:r w:rsidR="005B7A97">
              <w:rPr>
                <w:webHidden/>
              </w:rPr>
              <w:tab/>
            </w:r>
            <w:r w:rsidR="005B7A97">
              <w:rPr>
                <w:webHidden/>
              </w:rPr>
              <w:fldChar w:fldCharType="begin"/>
            </w:r>
            <w:r w:rsidR="005B7A97">
              <w:rPr>
                <w:webHidden/>
              </w:rPr>
              <w:instrText xml:space="preserve"> PAGEREF _Toc512411053 \h </w:instrText>
            </w:r>
            <w:r w:rsidR="005B7A97">
              <w:rPr>
                <w:webHidden/>
              </w:rPr>
            </w:r>
            <w:r w:rsidR="005B7A97">
              <w:rPr>
                <w:webHidden/>
              </w:rPr>
              <w:fldChar w:fldCharType="separate"/>
            </w:r>
            <w:r w:rsidR="005B7A97">
              <w:rPr>
                <w:webHidden/>
              </w:rPr>
              <w:t>27</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54" w:history="1">
            <w:r w:rsidR="005B7A97" w:rsidRPr="00101E26">
              <w:rPr>
                <w:rStyle w:val="Hipersaitas"/>
                <w:noProof/>
              </w:rPr>
              <w:t>2017 m. gruodžio 20 d. prejudicinis sprendimas byloje C-442/16</w:t>
            </w:r>
            <w:r w:rsidR="005B7A97">
              <w:rPr>
                <w:noProof/>
                <w:webHidden/>
              </w:rPr>
              <w:tab/>
            </w:r>
            <w:r w:rsidR="005B7A97">
              <w:rPr>
                <w:noProof/>
                <w:webHidden/>
              </w:rPr>
              <w:fldChar w:fldCharType="begin"/>
            </w:r>
            <w:r w:rsidR="005B7A97">
              <w:rPr>
                <w:noProof/>
                <w:webHidden/>
              </w:rPr>
              <w:instrText xml:space="preserve"> PAGEREF _Toc512411054 \h </w:instrText>
            </w:r>
            <w:r w:rsidR="005B7A97">
              <w:rPr>
                <w:noProof/>
                <w:webHidden/>
              </w:rPr>
            </w:r>
            <w:r w:rsidR="005B7A97">
              <w:rPr>
                <w:noProof/>
                <w:webHidden/>
              </w:rPr>
              <w:fldChar w:fldCharType="separate"/>
            </w:r>
            <w:r w:rsidR="005B7A97">
              <w:rPr>
                <w:noProof/>
                <w:webHidden/>
              </w:rPr>
              <w:t>27</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5" w:history="1">
            <w:r w:rsidR="005B7A97" w:rsidRPr="00101E26">
              <w:rPr>
                <w:rStyle w:val="Hipersaitas"/>
                <w:rFonts w:eastAsia="Times New Roman"/>
                <w:noProof/>
                <w:lang w:eastAsia="lt-LT"/>
              </w:rPr>
              <w:t>Dėl nutraukusio veiklą savarankiškai dirbusio asmens teisės išsaugoti savarankiškai dirbančio asmens statusą Direktyvos 2004/38 prasme</w:t>
            </w:r>
            <w:r w:rsidR="005B7A97">
              <w:rPr>
                <w:noProof/>
                <w:webHidden/>
              </w:rPr>
              <w:tab/>
            </w:r>
            <w:r w:rsidR="005B7A97">
              <w:rPr>
                <w:noProof/>
                <w:webHidden/>
              </w:rPr>
              <w:fldChar w:fldCharType="begin"/>
            </w:r>
            <w:r w:rsidR="005B7A97">
              <w:rPr>
                <w:noProof/>
                <w:webHidden/>
              </w:rPr>
              <w:instrText xml:space="preserve"> PAGEREF _Toc512411055 \h </w:instrText>
            </w:r>
            <w:r w:rsidR="005B7A97">
              <w:rPr>
                <w:noProof/>
                <w:webHidden/>
              </w:rPr>
            </w:r>
            <w:r w:rsidR="005B7A97">
              <w:rPr>
                <w:noProof/>
                <w:webHidden/>
              </w:rPr>
              <w:fldChar w:fldCharType="separate"/>
            </w:r>
            <w:r w:rsidR="005B7A97">
              <w:rPr>
                <w:noProof/>
                <w:webHidden/>
              </w:rPr>
              <w:t>27</w:t>
            </w:r>
            <w:r w:rsidR="005B7A97">
              <w:rPr>
                <w:noProof/>
                <w:webHidden/>
              </w:rPr>
              <w:fldChar w:fldCharType="end"/>
            </w:r>
          </w:hyperlink>
        </w:p>
        <w:p w:rsidR="005B7A97" w:rsidRDefault="00A87A78">
          <w:pPr>
            <w:pStyle w:val="Turinys1"/>
            <w:rPr>
              <w:rFonts w:asciiTheme="minorHAnsi" w:eastAsiaTheme="minorEastAsia" w:hAnsiTheme="minorHAnsi" w:cstheme="minorBidi"/>
              <w:b w:val="0"/>
              <w:bCs w:val="0"/>
              <w:color w:val="auto"/>
              <w:kern w:val="0"/>
            </w:rPr>
          </w:pPr>
          <w:hyperlink w:anchor="_Toc512411056" w:history="1">
            <w:r w:rsidR="005B7A97" w:rsidRPr="00CD3EFE">
              <w:rPr>
                <w:rStyle w:val="Hipersaitas"/>
              </w:rPr>
              <w:t xml:space="preserve"> VAIRUOTOJO PAŽYMĖJIMO PRIPAŽINIMAS</w:t>
            </w:r>
            <w:r w:rsidR="005B7A97">
              <w:rPr>
                <w:webHidden/>
              </w:rPr>
              <w:tab/>
            </w:r>
            <w:r w:rsidR="005B7A97">
              <w:rPr>
                <w:webHidden/>
              </w:rPr>
              <w:fldChar w:fldCharType="begin"/>
            </w:r>
            <w:r w:rsidR="005B7A97">
              <w:rPr>
                <w:webHidden/>
              </w:rPr>
              <w:instrText xml:space="preserve"> PAGEREF _Toc512411056 \h </w:instrText>
            </w:r>
            <w:r w:rsidR="005B7A97">
              <w:rPr>
                <w:webHidden/>
              </w:rPr>
            </w:r>
            <w:r w:rsidR="005B7A97">
              <w:rPr>
                <w:webHidden/>
              </w:rPr>
              <w:fldChar w:fldCharType="separate"/>
            </w:r>
            <w:r w:rsidR="005B7A97">
              <w:rPr>
                <w:webHidden/>
              </w:rPr>
              <w:t>29</w:t>
            </w:r>
            <w:r w:rsidR="005B7A97">
              <w:rPr>
                <w:webHidden/>
              </w:rPr>
              <w:fldChar w:fldCharType="end"/>
            </w:r>
          </w:hyperlink>
        </w:p>
        <w:p w:rsidR="005B7A97" w:rsidRDefault="00A87A78">
          <w:pPr>
            <w:pStyle w:val="Turinys2"/>
            <w:tabs>
              <w:tab w:val="right" w:leader="dot" w:pos="9628"/>
            </w:tabs>
            <w:rPr>
              <w:rFonts w:asciiTheme="minorHAnsi" w:eastAsiaTheme="minorEastAsia" w:hAnsiTheme="minorHAnsi" w:cstheme="minorBidi"/>
              <w:b w:val="0"/>
              <w:noProof/>
              <w:color w:val="auto"/>
              <w:lang w:eastAsia="lt-LT"/>
            </w:rPr>
          </w:pPr>
          <w:hyperlink w:anchor="_Toc512411057" w:history="1">
            <w:r w:rsidR="005B7A97" w:rsidRPr="00101E26">
              <w:rPr>
                <w:rStyle w:val="Hipersaitas"/>
                <w:noProof/>
              </w:rPr>
              <w:t>2017 m. spalio 26 d. prejudicinis sprendimas byloje C-195/16</w:t>
            </w:r>
            <w:r w:rsidR="005B7A97">
              <w:rPr>
                <w:noProof/>
                <w:webHidden/>
              </w:rPr>
              <w:tab/>
            </w:r>
            <w:r w:rsidR="005B7A97">
              <w:rPr>
                <w:noProof/>
                <w:webHidden/>
              </w:rPr>
              <w:fldChar w:fldCharType="begin"/>
            </w:r>
            <w:r w:rsidR="005B7A97">
              <w:rPr>
                <w:noProof/>
                <w:webHidden/>
              </w:rPr>
              <w:instrText xml:space="preserve"> PAGEREF _Toc512411057 \h </w:instrText>
            </w:r>
            <w:r w:rsidR="005B7A97">
              <w:rPr>
                <w:noProof/>
                <w:webHidden/>
              </w:rPr>
            </w:r>
            <w:r w:rsidR="005B7A97">
              <w:rPr>
                <w:noProof/>
                <w:webHidden/>
              </w:rPr>
              <w:fldChar w:fldCharType="separate"/>
            </w:r>
            <w:r w:rsidR="005B7A97">
              <w:rPr>
                <w:noProof/>
                <w:webHidden/>
              </w:rPr>
              <w:t>29</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8" w:history="1">
            <w:r w:rsidR="005B7A97" w:rsidRPr="00101E26">
              <w:rPr>
                <w:rStyle w:val="Hipersaitas"/>
                <w:rFonts w:eastAsia="Times New Roman"/>
                <w:noProof/>
                <w:shd w:val="clear" w:color="auto" w:fill="FFFFFF"/>
                <w:lang w:eastAsia="lt-LT"/>
              </w:rPr>
              <w:t>Dėl Direktyvos 2006/126 nuostatos „valstybių narių išduodami vairuotojo pažymėjimai yra tarpusavyje pripažįstami“ reikšmės</w:t>
            </w:r>
            <w:r w:rsidR="005B7A97">
              <w:rPr>
                <w:noProof/>
                <w:webHidden/>
              </w:rPr>
              <w:tab/>
            </w:r>
            <w:r w:rsidR="005B7A97">
              <w:rPr>
                <w:noProof/>
                <w:webHidden/>
              </w:rPr>
              <w:fldChar w:fldCharType="begin"/>
            </w:r>
            <w:r w:rsidR="005B7A97">
              <w:rPr>
                <w:noProof/>
                <w:webHidden/>
              </w:rPr>
              <w:instrText xml:space="preserve"> PAGEREF _Toc512411058 \h </w:instrText>
            </w:r>
            <w:r w:rsidR="005B7A97">
              <w:rPr>
                <w:noProof/>
                <w:webHidden/>
              </w:rPr>
            </w:r>
            <w:r w:rsidR="005B7A97">
              <w:rPr>
                <w:noProof/>
                <w:webHidden/>
              </w:rPr>
              <w:fldChar w:fldCharType="separate"/>
            </w:r>
            <w:r w:rsidR="005B7A97">
              <w:rPr>
                <w:noProof/>
                <w:webHidden/>
              </w:rPr>
              <w:t>29</w:t>
            </w:r>
            <w:r w:rsidR="005B7A97">
              <w:rPr>
                <w:noProof/>
                <w:webHidden/>
              </w:rPr>
              <w:fldChar w:fldCharType="end"/>
            </w:r>
          </w:hyperlink>
        </w:p>
        <w:p w:rsidR="005B7A97" w:rsidRDefault="00A87A78">
          <w:pPr>
            <w:pStyle w:val="Turinys3"/>
            <w:tabs>
              <w:tab w:val="right" w:leader="dot" w:pos="9628"/>
            </w:tabs>
            <w:rPr>
              <w:rFonts w:asciiTheme="minorHAnsi" w:eastAsiaTheme="minorEastAsia" w:hAnsiTheme="minorHAnsi" w:cstheme="minorBidi"/>
              <w:noProof/>
              <w:lang w:eastAsia="lt-LT"/>
            </w:rPr>
          </w:pPr>
          <w:hyperlink w:anchor="_Toc512411059" w:history="1">
            <w:r w:rsidR="005B7A97" w:rsidRPr="00101E26">
              <w:rPr>
                <w:rStyle w:val="Hipersaitas"/>
                <w:rFonts w:eastAsia="Times New Roman"/>
                <w:noProof/>
                <w:shd w:val="clear" w:color="auto" w:fill="FFFFFF"/>
                <w:lang w:eastAsia="lt-LT"/>
              </w:rPr>
              <w:t>Dėl valstybės narės kompetencijos nustatyti sankciją asmeniui, neturinčiam nustatyto pavyzdžio vairuotojo pažymėjimo</w:t>
            </w:r>
            <w:r w:rsidR="005B7A97">
              <w:rPr>
                <w:noProof/>
                <w:webHidden/>
              </w:rPr>
              <w:tab/>
            </w:r>
            <w:r w:rsidR="005B7A97">
              <w:rPr>
                <w:noProof/>
                <w:webHidden/>
              </w:rPr>
              <w:fldChar w:fldCharType="begin"/>
            </w:r>
            <w:r w:rsidR="005B7A97">
              <w:rPr>
                <w:noProof/>
                <w:webHidden/>
              </w:rPr>
              <w:instrText xml:space="preserve"> PAGEREF _Toc512411059 \h </w:instrText>
            </w:r>
            <w:r w:rsidR="005B7A97">
              <w:rPr>
                <w:noProof/>
                <w:webHidden/>
              </w:rPr>
            </w:r>
            <w:r w:rsidR="005B7A97">
              <w:rPr>
                <w:noProof/>
                <w:webHidden/>
              </w:rPr>
              <w:fldChar w:fldCharType="separate"/>
            </w:r>
            <w:r w:rsidR="005B7A97">
              <w:rPr>
                <w:noProof/>
                <w:webHidden/>
              </w:rPr>
              <w:t>30</w:t>
            </w:r>
            <w:r w:rsidR="005B7A97">
              <w:rPr>
                <w:noProof/>
                <w:webHidden/>
              </w:rPr>
              <w:fldChar w:fldCharType="end"/>
            </w:r>
          </w:hyperlink>
        </w:p>
        <w:p w:rsidR="000028CD" w:rsidRPr="00B77C61" w:rsidRDefault="000028CD" w:rsidP="00C87E7D">
          <w:r w:rsidRPr="00B77C61">
            <w:rPr>
              <w:color w:val="323E4F" w:themeColor="text2" w:themeShade="BF"/>
            </w:rPr>
            <w:fldChar w:fldCharType="end"/>
          </w:r>
        </w:p>
      </w:sdtContent>
    </w:sdt>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Default="000028CD" w:rsidP="00C87E7D">
      <w:pPr>
        <w:rPr>
          <w:rFonts w:asciiTheme="minorHAnsi" w:hAnsiTheme="minorHAnsi"/>
          <w:b/>
          <w:i/>
          <w:color w:val="44546A" w:themeColor="text2"/>
        </w:rPr>
      </w:pPr>
    </w:p>
    <w:p w:rsidR="00736158" w:rsidRDefault="00736158" w:rsidP="00C87E7D">
      <w:pPr>
        <w:rPr>
          <w:rFonts w:asciiTheme="minorHAnsi" w:hAnsiTheme="minorHAnsi"/>
          <w:b/>
          <w:i/>
          <w:color w:val="44546A" w:themeColor="text2"/>
        </w:rPr>
      </w:pPr>
    </w:p>
    <w:p w:rsidR="00736158" w:rsidRDefault="00736158" w:rsidP="00C87E7D">
      <w:pPr>
        <w:rPr>
          <w:rFonts w:asciiTheme="minorHAnsi" w:hAnsiTheme="minorHAnsi"/>
          <w:b/>
          <w:i/>
          <w:color w:val="44546A" w:themeColor="text2"/>
        </w:rPr>
      </w:pPr>
    </w:p>
    <w:p w:rsidR="00736158" w:rsidRPr="00B77C61" w:rsidRDefault="00736158"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i/>
          <w:color w:val="44546A" w:themeColor="text2"/>
        </w:rPr>
      </w:pPr>
    </w:p>
    <w:p w:rsidR="000028CD" w:rsidRPr="00B77C61" w:rsidRDefault="000028CD" w:rsidP="00C87E7D">
      <w:pPr>
        <w:rPr>
          <w:rFonts w:asciiTheme="minorHAnsi" w:hAnsiTheme="minorHAnsi"/>
          <w:b/>
        </w:rPr>
      </w:pPr>
      <w:r w:rsidRPr="00B77C61">
        <w:rPr>
          <w:rFonts w:asciiTheme="minorHAnsi" w:hAnsiTheme="minorHAnsi"/>
          <w:b/>
          <w:i/>
          <w:color w:val="44546A" w:themeColor="text2"/>
        </w:rPr>
        <w:t>Pastaba.</w:t>
      </w:r>
      <w:r w:rsidRPr="00B77C61">
        <w:rPr>
          <w:rFonts w:asciiTheme="minorHAnsi" w:hAnsiTheme="minorHAnsi"/>
          <w:i/>
        </w:rPr>
        <w:t xml:space="preserve"> Šioje apžvalgoje pateikiamos neoficialios Europos Sąjungos Teisingumo Teismo (toliau – ir Teisingumo Teismas, ESTT) procesinių sprendimų santraukos. Šis dokumentas yra skirtas tik inform</w:t>
      </w:r>
      <w:r w:rsidR="006F115F">
        <w:rPr>
          <w:rFonts w:asciiTheme="minorHAnsi" w:hAnsiTheme="minorHAnsi"/>
          <w:i/>
        </w:rPr>
        <w:t>uoti</w:t>
      </w:r>
      <w:r w:rsidRPr="00B77C61">
        <w:rPr>
          <w:rFonts w:asciiTheme="minorHAnsi" w:hAnsiTheme="minorHAnsi"/>
          <w:i/>
        </w:rPr>
        <w:t xml:space="preserve"> ir Lietuvos vyriausiasis administracinis teismas neprisiima atsakomybės už šių procesinių dokumentų vertimus. Oficialius ir išsamius sprendimų tekstus galite rasti Europos Sąjungos Teisingumo Teismo interneto svetainėje </w:t>
      </w:r>
      <w:hyperlink r:id="rId9" w:history="1">
        <w:r w:rsidRPr="00B77C61">
          <w:rPr>
            <w:rStyle w:val="Hipersaitas"/>
            <w:rFonts w:asciiTheme="minorHAnsi" w:hAnsiTheme="minorHAnsi"/>
            <w:i/>
            <w:color w:val="44546A" w:themeColor="text2"/>
          </w:rPr>
          <w:t>http://curia.europa.eu/</w:t>
        </w:r>
      </w:hyperlink>
      <w:r w:rsidRPr="00B77C61">
        <w:rPr>
          <w:rFonts w:asciiTheme="minorHAnsi" w:hAnsiTheme="minorHAnsi"/>
          <w:i/>
        </w:rPr>
        <w:t xml:space="preserve"> ir Europos Sąjungos teisės interneto svetainėje </w:t>
      </w:r>
      <w:hyperlink r:id="rId10" w:history="1">
        <w:r w:rsidRPr="00B77C61">
          <w:rPr>
            <w:rStyle w:val="Hipersaitas"/>
            <w:rFonts w:asciiTheme="minorHAnsi" w:hAnsiTheme="minorHAnsi"/>
            <w:i/>
            <w:color w:val="44546A" w:themeColor="text2"/>
          </w:rPr>
          <w:t>http://eur-lex.europa.eu/</w:t>
        </w:r>
      </w:hyperlink>
      <w:r w:rsidRPr="00B77C61">
        <w:rPr>
          <w:rFonts w:asciiTheme="minorHAnsi" w:hAnsiTheme="minorHAnsi"/>
          <w:i/>
          <w:color w:val="44546A" w:themeColor="text2"/>
        </w:rPr>
        <w:t>.</w:t>
      </w:r>
    </w:p>
    <w:p w:rsidR="000028CD" w:rsidRPr="00B77C61" w:rsidRDefault="000028CD" w:rsidP="00C87E7D">
      <w:pPr>
        <w:jc w:val="left"/>
        <w:rPr>
          <w:rFonts w:asciiTheme="minorHAnsi" w:hAnsiTheme="minorHAnsi"/>
          <w:b/>
        </w:rPr>
      </w:pPr>
      <w:r w:rsidRPr="00B77C61">
        <w:rPr>
          <w:rFonts w:asciiTheme="minorHAnsi" w:hAnsiTheme="minorHAnsi"/>
          <w:b/>
        </w:rPr>
        <w:br w:type="page"/>
      </w:r>
    </w:p>
    <w:p w:rsidR="00C32316" w:rsidRPr="00350827" w:rsidRDefault="00C32316" w:rsidP="00C87E7D">
      <w:pPr>
        <w:pStyle w:val="Antrat1"/>
        <w:keepLines w:val="0"/>
        <w:tabs>
          <w:tab w:val="right" w:leader="dot" w:pos="9639"/>
        </w:tabs>
        <w:spacing w:before="0"/>
        <w:rPr>
          <w:rFonts w:eastAsia="Times New Roman" w:cs="Times New Roman"/>
          <w:b w:val="0"/>
          <w:bCs/>
          <w:kern w:val="32"/>
          <w:szCs w:val="22"/>
          <w:lang w:eastAsia="lt-LT"/>
        </w:rPr>
      </w:pPr>
      <w:bookmarkStart w:id="1" w:name="_Toc512411022"/>
      <w:r w:rsidRPr="00350827">
        <w:rPr>
          <w:rFonts w:eastAsia="Times New Roman" w:cs="Times New Roman"/>
          <w:bCs/>
          <w:kern w:val="32"/>
          <w:szCs w:val="22"/>
          <w:lang w:eastAsia="lt-LT"/>
        </w:rPr>
        <w:lastRenderedPageBreak/>
        <w:t>UŽSIENIEČIŲ TEISINĖ PADĖTIS</w:t>
      </w:r>
      <w:bookmarkEnd w:id="1"/>
    </w:p>
    <w:p w:rsidR="00C32316" w:rsidRDefault="00C32316" w:rsidP="00C87E7D">
      <w:pPr>
        <w:jc w:val="center"/>
        <w:rPr>
          <w:b/>
        </w:rPr>
      </w:pPr>
    </w:p>
    <w:p w:rsidR="00C32316" w:rsidRDefault="00C32316" w:rsidP="00C87E7D">
      <w:pPr>
        <w:pStyle w:val="Antrat2"/>
        <w:rPr>
          <w:b w:val="0"/>
          <w:bCs w:val="0"/>
          <w:i/>
        </w:rPr>
      </w:pPr>
      <w:bookmarkStart w:id="2" w:name="_Toc512411023"/>
      <w:r w:rsidRPr="0031397C">
        <w:t xml:space="preserve">2017 m. spalio 25 d. </w:t>
      </w:r>
      <w:r w:rsidR="00820129" w:rsidRPr="008C2FAD">
        <w:t>didžiosios kolegijos </w:t>
      </w:r>
      <w:r w:rsidRPr="0031397C">
        <w:t>prejudicinis sprendimas byloje C-201/16</w:t>
      </w:r>
      <w:bookmarkEnd w:id="2"/>
    </w:p>
    <w:p w:rsidR="00C32316" w:rsidRPr="0031397C" w:rsidRDefault="00C32316" w:rsidP="00C87E7D">
      <w:pPr>
        <w:jc w:val="center"/>
      </w:pPr>
      <w:r w:rsidRPr="001636B0">
        <w:rPr>
          <w:b/>
          <w:bCs/>
          <w:i/>
        </w:rPr>
        <w:t>Majid Shiri</w:t>
      </w:r>
    </w:p>
    <w:p w:rsidR="00C32316" w:rsidRPr="00350827" w:rsidRDefault="00C32316" w:rsidP="00C87E7D">
      <w:pPr>
        <w:jc w:val="center"/>
        <w:rPr>
          <w:rFonts w:asciiTheme="minorHAnsi" w:hAnsiTheme="minorHAnsi"/>
          <w:b/>
          <w:highlight w:val="yellow"/>
        </w:rPr>
      </w:pPr>
    </w:p>
    <w:p w:rsidR="00C32316" w:rsidRDefault="00C32316" w:rsidP="00C87E7D">
      <w:pPr>
        <w:pStyle w:val="c01pointnumerotealtn"/>
        <w:shd w:val="clear" w:color="auto" w:fill="FFFFFF"/>
        <w:spacing w:before="0" w:beforeAutospacing="0" w:after="0"/>
        <w:ind w:left="0" w:firstLine="567"/>
        <w:rPr>
          <w:rFonts w:asciiTheme="minorHAnsi" w:hAnsiTheme="minorHAnsi"/>
          <w:sz w:val="22"/>
          <w:szCs w:val="22"/>
          <w:shd w:val="clear" w:color="auto" w:fill="FFFFFF"/>
        </w:rPr>
      </w:pPr>
      <w:r w:rsidRPr="0031397C">
        <w:rPr>
          <w:rFonts w:asciiTheme="minorHAnsi" w:hAnsiTheme="minorHAnsi"/>
          <w:sz w:val="22"/>
          <w:szCs w:val="22"/>
        </w:rPr>
        <w:t>Prašymas priimti prejudicinį sprendimą pateiktas iš esmės dėl 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(OL L 180, 2013, p. 31; toliau – reglamentas „Dublinas III“), 27 straipsnio 1 dalies ir 29 straipsnio 1 ir 2 dalių išaiškinimo</w:t>
      </w:r>
      <w:r w:rsidRPr="00874660">
        <w:rPr>
          <w:rFonts w:asciiTheme="minorHAnsi" w:hAnsiTheme="minorHAnsi"/>
          <w:sz w:val="22"/>
          <w:szCs w:val="22"/>
        </w:rPr>
        <w:t>.</w:t>
      </w:r>
    </w:p>
    <w:p w:rsidR="00C32316" w:rsidRDefault="00C32316" w:rsidP="00C87E7D">
      <w:pPr>
        <w:pStyle w:val="c01pointnumerotealtn"/>
        <w:shd w:val="clear" w:color="auto" w:fill="FFFFFF"/>
        <w:spacing w:before="0" w:beforeAutospacing="0" w:after="0"/>
        <w:ind w:left="0" w:firstLine="567"/>
        <w:rPr>
          <w:rFonts w:asciiTheme="minorHAnsi" w:hAnsiTheme="minorHAnsi"/>
          <w:sz w:val="22"/>
          <w:szCs w:val="22"/>
        </w:rPr>
      </w:pPr>
      <w:r w:rsidRPr="0031397C">
        <w:rPr>
          <w:rFonts w:asciiTheme="minorHAnsi" w:hAnsiTheme="minorHAnsi"/>
          <w:sz w:val="22"/>
          <w:szCs w:val="22"/>
          <w:shd w:val="clear" w:color="auto" w:fill="FFFFFF"/>
        </w:rPr>
        <w:t>M. Shiri į valstybių narių teritoriją pateko per Bulgariją; 2015 m. vasario 19 d. šioje valstybėje narėje jis pateikė tarptautinės apsaugos prašymą.</w:t>
      </w:r>
      <w:r>
        <w:rPr>
          <w:rFonts w:asciiTheme="minorHAnsi" w:hAnsiTheme="minorHAnsi"/>
          <w:sz w:val="22"/>
          <w:szCs w:val="22"/>
          <w:shd w:val="clear" w:color="auto" w:fill="FFFFFF"/>
        </w:rPr>
        <w:t xml:space="preserve"> </w:t>
      </w:r>
      <w:r w:rsidRPr="0031397C">
        <w:rPr>
          <w:rFonts w:asciiTheme="minorHAnsi" w:hAnsiTheme="minorHAnsi"/>
          <w:sz w:val="22"/>
          <w:szCs w:val="22"/>
          <w:shd w:val="clear" w:color="auto" w:fill="FFFFFF"/>
        </w:rPr>
        <w:t>Vėliau, 2015 m. kovo 7 d., jis pateikė tarptautinės apsaugos prašymą Austrijoje. 2015 m. kovo 9 d. tarnyba paprašė Bulgarijos valdžios institucijų atsiimti M. Shiri.</w:t>
      </w:r>
      <w:r>
        <w:rPr>
          <w:rFonts w:asciiTheme="minorHAnsi" w:hAnsiTheme="minorHAnsi"/>
          <w:sz w:val="22"/>
          <w:szCs w:val="22"/>
          <w:shd w:val="clear" w:color="auto" w:fill="FFFFFF"/>
        </w:rPr>
        <w:t xml:space="preserve"> </w:t>
      </w:r>
      <w:r w:rsidR="00820129">
        <w:rPr>
          <w:rFonts w:asciiTheme="minorHAnsi" w:hAnsiTheme="minorHAnsi"/>
          <w:sz w:val="22"/>
          <w:szCs w:val="22"/>
          <w:shd w:val="clear" w:color="auto" w:fill="FFFFFF"/>
        </w:rPr>
        <w:t>2015 m. kovo 23 </w:t>
      </w:r>
      <w:r w:rsidRPr="0031397C">
        <w:rPr>
          <w:rFonts w:asciiTheme="minorHAnsi" w:hAnsiTheme="minorHAnsi"/>
          <w:sz w:val="22"/>
          <w:szCs w:val="22"/>
          <w:shd w:val="clear" w:color="auto" w:fill="FFFFFF"/>
        </w:rPr>
        <w:t>d. Bulgarijos valdžios institucijos sutiko patenkinti šį prašymą atsiimti M. Shiri.</w:t>
      </w:r>
      <w:r>
        <w:rPr>
          <w:rFonts w:asciiTheme="minorHAnsi" w:hAnsiTheme="minorHAnsi"/>
          <w:sz w:val="22"/>
          <w:szCs w:val="22"/>
          <w:shd w:val="clear" w:color="auto" w:fill="FFFFFF"/>
        </w:rPr>
        <w:t xml:space="preserve"> </w:t>
      </w:r>
      <w:r w:rsidRPr="0031397C">
        <w:rPr>
          <w:rFonts w:asciiTheme="minorHAnsi" w:hAnsiTheme="minorHAnsi"/>
          <w:sz w:val="22"/>
          <w:szCs w:val="22"/>
          <w:shd w:val="clear" w:color="auto" w:fill="FFFFFF"/>
        </w:rPr>
        <w:t>2015 m. liepos 2 d. tarnyba M. Shiri tarptautinės apsaugos prašymą pripažino nepriimtinu, taip pat nurodė išsiųsti jį iš šalies ir konstatavo, kad jį galima perduoti Bulgarijai.</w:t>
      </w:r>
      <w:r>
        <w:rPr>
          <w:rFonts w:asciiTheme="minorHAnsi" w:hAnsiTheme="minorHAnsi"/>
          <w:sz w:val="22"/>
          <w:szCs w:val="22"/>
          <w:shd w:val="clear" w:color="auto" w:fill="FFFFFF"/>
        </w:rPr>
        <w:t xml:space="preserve"> </w:t>
      </w:r>
      <w:r w:rsidRPr="0031397C">
        <w:rPr>
          <w:rFonts w:asciiTheme="minorHAnsi" w:hAnsiTheme="minorHAnsi"/>
          <w:sz w:val="22"/>
          <w:szCs w:val="22"/>
          <w:shd w:val="clear" w:color="auto" w:fill="FFFFFF"/>
        </w:rPr>
        <w:t xml:space="preserve">M. Shiri apskundė šį sprendimą </w:t>
      </w:r>
      <w:r>
        <w:rPr>
          <w:rFonts w:asciiTheme="minorHAnsi" w:hAnsiTheme="minorHAnsi"/>
          <w:sz w:val="22"/>
          <w:szCs w:val="22"/>
          <w:shd w:val="clear" w:color="auto" w:fill="FFFFFF"/>
        </w:rPr>
        <w:t>Austrijos F</w:t>
      </w:r>
      <w:r w:rsidRPr="0031397C">
        <w:rPr>
          <w:rFonts w:asciiTheme="minorHAnsi" w:hAnsiTheme="minorHAnsi"/>
          <w:sz w:val="22"/>
          <w:szCs w:val="22"/>
          <w:shd w:val="clear" w:color="auto" w:fill="FFFFFF"/>
        </w:rPr>
        <w:t>ederalini</w:t>
      </w:r>
      <w:r>
        <w:rPr>
          <w:rFonts w:asciiTheme="minorHAnsi" w:hAnsiTheme="minorHAnsi"/>
          <w:sz w:val="22"/>
          <w:szCs w:val="22"/>
          <w:shd w:val="clear" w:color="auto" w:fill="FFFFFF"/>
        </w:rPr>
        <w:t>am</w:t>
      </w:r>
      <w:r w:rsidRPr="0031397C">
        <w:rPr>
          <w:rFonts w:asciiTheme="minorHAnsi" w:hAnsiTheme="minorHAnsi"/>
          <w:sz w:val="22"/>
          <w:szCs w:val="22"/>
          <w:shd w:val="clear" w:color="auto" w:fill="FFFFFF"/>
        </w:rPr>
        <w:t xml:space="preserve"> administracini</w:t>
      </w:r>
      <w:r>
        <w:rPr>
          <w:rFonts w:asciiTheme="minorHAnsi" w:hAnsiTheme="minorHAnsi"/>
          <w:sz w:val="22"/>
          <w:szCs w:val="22"/>
          <w:shd w:val="clear" w:color="auto" w:fill="FFFFFF"/>
        </w:rPr>
        <w:t>am</w:t>
      </w:r>
      <w:r w:rsidRPr="0031397C">
        <w:rPr>
          <w:rFonts w:asciiTheme="minorHAnsi" w:hAnsiTheme="minorHAnsi"/>
          <w:sz w:val="22"/>
          <w:szCs w:val="22"/>
          <w:shd w:val="clear" w:color="auto" w:fill="FFFFFF"/>
        </w:rPr>
        <w:t xml:space="preserve"> teism</w:t>
      </w:r>
      <w:r>
        <w:rPr>
          <w:rFonts w:asciiTheme="minorHAnsi" w:hAnsiTheme="minorHAnsi"/>
          <w:sz w:val="22"/>
          <w:szCs w:val="22"/>
          <w:shd w:val="clear" w:color="auto" w:fill="FFFFFF"/>
        </w:rPr>
        <w:t>ui</w:t>
      </w:r>
      <w:r w:rsidRPr="0031397C">
        <w:rPr>
          <w:rFonts w:asciiTheme="minorHAnsi" w:hAnsiTheme="minorHAnsi"/>
          <w:sz w:val="22"/>
          <w:szCs w:val="22"/>
          <w:shd w:val="clear" w:color="auto" w:fill="FFFFFF"/>
        </w:rPr>
        <w:t xml:space="preserve"> ir paprašė sustabdyti sprendimo dėl perdavimo vykdymą. Nenagrinėdamas pastarojo prašym</w:t>
      </w:r>
      <w:r w:rsidR="00801DC1">
        <w:rPr>
          <w:rFonts w:asciiTheme="minorHAnsi" w:hAnsiTheme="minorHAnsi"/>
          <w:sz w:val="22"/>
          <w:szCs w:val="22"/>
          <w:shd w:val="clear" w:color="auto" w:fill="FFFFFF"/>
        </w:rPr>
        <w:t>o</w:t>
      </w:r>
      <w:r w:rsidRPr="0031397C">
        <w:rPr>
          <w:rFonts w:asciiTheme="minorHAnsi" w:hAnsiTheme="minorHAnsi"/>
          <w:sz w:val="22"/>
          <w:szCs w:val="22"/>
          <w:shd w:val="clear" w:color="auto" w:fill="FFFFFF"/>
        </w:rPr>
        <w:t>, minėtas teismas 2015 m. liepos 20 d. panaikino minėtą sprendimą remdamasis tuo, kad dėl M. Shiri pažeidžiamumo, kurį lėmė jo sveikatos būklė, tarnyba turėjo išnagrinėti galimybę pasinaudoti reglamento „Dublinas III“ 17 straipsnio 1 dalyje numatyta teise.</w:t>
      </w:r>
      <w:r>
        <w:rPr>
          <w:rFonts w:asciiTheme="minorHAnsi" w:hAnsiTheme="minorHAnsi"/>
          <w:sz w:val="22"/>
          <w:szCs w:val="22"/>
          <w:shd w:val="clear" w:color="auto" w:fill="FFFFFF"/>
        </w:rPr>
        <w:t xml:space="preserve"> </w:t>
      </w:r>
      <w:r w:rsidRPr="0031397C">
        <w:rPr>
          <w:rFonts w:asciiTheme="minorHAnsi" w:hAnsiTheme="minorHAnsi"/>
          <w:sz w:val="22"/>
          <w:szCs w:val="22"/>
          <w:shd w:val="clear" w:color="auto" w:fill="FFFFFF"/>
        </w:rPr>
        <w:t>Panaikinus minėtą sprendimą, naujame, 2015 m. rugsėjo 3 d. priimtame, sprendime tarnyba pripažino M. Shiri pateiktą tarptautinės apsaugos prašymą nepriimtinu, nurodė jį išsiųsti iš šalies ir konstatavo, kad jį galima perduoti Bulgarijai.</w:t>
      </w:r>
      <w:r>
        <w:rPr>
          <w:rFonts w:asciiTheme="minorHAnsi" w:hAnsiTheme="minorHAnsi"/>
          <w:sz w:val="22"/>
          <w:szCs w:val="22"/>
          <w:shd w:val="clear" w:color="auto" w:fill="FFFFFF"/>
        </w:rPr>
        <w:t xml:space="preserve"> </w:t>
      </w:r>
      <w:r w:rsidRPr="0031397C">
        <w:rPr>
          <w:rFonts w:asciiTheme="minorHAnsi" w:hAnsiTheme="minorHAnsi"/>
          <w:sz w:val="22"/>
          <w:szCs w:val="22"/>
          <w:shd w:val="clear" w:color="auto" w:fill="FFFFFF"/>
        </w:rPr>
        <w:t xml:space="preserve">Dėl šio sprendimo M. Shiri </w:t>
      </w:r>
      <w:r>
        <w:rPr>
          <w:rFonts w:asciiTheme="minorHAnsi" w:hAnsiTheme="minorHAnsi"/>
          <w:sz w:val="22"/>
          <w:szCs w:val="22"/>
          <w:shd w:val="clear" w:color="auto" w:fill="FFFFFF"/>
        </w:rPr>
        <w:t xml:space="preserve">vėl </w:t>
      </w:r>
      <w:r w:rsidRPr="0031397C">
        <w:rPr>
          <w:rFonts w:asciiTheme="minorHAnsi" w:hAnsiTheme="minorHAnsi"/>
          <w:sz w:val="22"/>
          <w:szCs w:val="22"/>
          <w:shd w:val="clear" w:color="auto" w:fill="FFFFFF"/>
        </w:rPr>
        <w:t>pateikė skundą</w:t>
      </w:r>
      <w:r>
        <w:rPr>
          <w:rFonts w:asciiTheme="minorHAnsi" w:hAnsiTheme="minorHAnsi"/>
          <w:sz w:val="22"/>
          <w:szCs w:val="22"/>
          <w:shd w:val="clear" w:color="auto" w:fill="FFFFFF"/>
        </w:rPr>
        <w:t>. P</w:t>
      </w:r>
      <w:r w:rsidRPr="0031397C">
        <w:rPr>
          <w:rFonts w:asciiTheme="minorHAnsi" w:hAnsiTheme="minorHAnsi"/>
          <w:sz w:val="22"/>
          <w:szCs w:val="22"/>
          <w:shd w:val="clear" w:color="auto" w:fill="FFFFFF"/>
        </w:rPr>
        <w:t>apildomose pastabose M. Shiri teigė, kad, praėjus reglamento „Dub</w:t>
      </w:r>
      <w:r w:rsidR="00820129">
        <w:rPr>
          <w:rFonts w:asciiTheme="minorHAnsi" w:hAnsiTheme="minorHAnsi"/>
          <w:sz w:val="22"/>
          <w:szCs w:val="22"/>
          <w:shd w:val="clear" w:color="auto" w:fill="FFFFFF"/>
        </w:rPr>
        <w:t>linas III“ 29 straipsnio 1 ir 2 </w:t>
      </w:r>
      <w:r w:rsidRPr="0031397C">
        <w:rPr>
          <w:rFonts w:asciiTheme="minorHAnsi" w:hAnsiTheme="minorHAnsi"/>
          <w:sz w:val="22"/>
          <w:szCs w:val="22"/>
          <w:shd w:val="clear" w:color="auto" w:fill="FFFFFF"/>
        </w:rPr>
        <w:t>dalyse nustatytam šešių mėnesių perdavimo terminui (pasibaigusiu papildomų pastabų pateikimo dieną), Austrijos Respublika tapo už tarptautinės apsaugos prašymo nagrinėjimą atsakinga valstybė narė.</w:t>
      </w:r>
      <w:r>
        <w:rPr>
          <w:rFonts w:asciiTheme="minorHAnsi" w:hAnsiTheme="minorHAnsi"/>
          <w:sz w:val="22"/>
          <w:szCs w:val="22"/>
          <w:shd w:val="clear" w:color="auto" w:fill="FFFFFF"/>
        </w:rPr>
        <w:t xml:space="preserve"> 20</w:t>
      </w:r>
      <w:r w:rsidRPr="0031397C">
        <w:rPr>
          <w:rFonts w:asciiTheme="minorHAnsi" w:hAnsiTheme="minorHAnsi"/>
          <w:sz w:val="22"/>
          <w:szCs w:val="22"/>
          <w:shd w:val="clear" w:color="auto" w:fill="FFFFFF"/>
        </w:rPr>
        <w:t>15 m. rugsėjo 30 d. sprendimu Federalinis administracinis teismas atmetė skundą, nepriimdamas sprendimo dėl prašymo sustabdyti sprendimo vykdymą. Dėl M. Shiri 2015 m. rugsėjo 23 d. pareiškime, kuriame išdėstomos papildomos pastabos, išplėtoto argumento, jog pasibaigė reglamento „Dublinas III“ 29 straipsnio 1 ir 2 dalyse nustatytas šešių mėnesių terminas, jis nusprendė, kad panaikinus 2015 m. liepos 2 d. tarnybos sprendimą ir grąžinus jai bylą nagrinėti iš naujo pradėtas skaičiuoti naujas šešių mėnesių terminas nuo to momento, kai M. Shiri perdavimas vėl tapo įmanomas, būtent – nuo septintos dienos po to, kai buvo gautas jo pateiktas skundas, tai yra nuo 2015 m. rugsėjo 24 d. Todėl Federalinis administracinis teismas nusprendė, kad atsakomybė už M. Shiri pateikto tarptautinės apsaugos prašymo nagrinėjimą vėl teko Bulgarijos Respublikai ir per tą laiką neperėjo Austrijos Respublikai.</w:t>
      </w:r>
      <w:r>
        <w:rPr>
          <w:rFonts w:asciiTheme="minorHAnsi" w:hAnsiTheme="minorHAnsi"/>
          <w:sz w:val="22"/>
          <w:szCs w:val="22"/>
          <w:shd w:val="clear" w:color="auto" w:fill="FFFFFF"/>
        </w:rPr>
        <w:t xml:space="preserve"> Kasacinį skundą gavęs teismas </w:t>
      </w:r>
      <w:r w:rsidRPr="0031397C">
        <w:rPr>
          <w:rFonts w:asciiTheme="minorHAnsi" w:hAnsiTheme="minorHAnsi"/>
          <w:sz w:val="22"/>
          <w:szCs w:val="22"/>
          <w:shd w:val="clear" w:color="auto" w:fill="FFFFFF"/>
        </w:rPr>
        <w:t>mano, kad, prieš nusprendžiant dėl galimo M. Shiri taikytino perdavimo termino pasibaigimo, reikia patikrinti, ar tarptautinės apsaugos prašytojas gali pareikšti, jog praėjus šešių mėnesių perdavimo terminui atsakomybė už jo prašymo nagrinėjimą perėjo prašančiajai valstybei narei, ir ar vien šio termino pasibaigimo pakanka tam, kad pereitų atsakomybė</w:t>
      </w:r>
      <w:r>
        <w:rPr>
          <w:rFonts w:asciiTheme="minorHAnsi" w:hAnsiTheme="minorHAnsi"/>
          <w:iCs/>
          <w:sz w:val="22"/>
          <w:szCs w:val="22"/>
          <w:shd w:val="clear" w:color="auto" w:fill="FFFFFF"/>
        </w:rPr>
        <w:t xml:space="preserve"> (11–20 punktai)</w:t>
      </w:r>
      <w:r w:rsidRPr="00874660">
        <w:rPr>
          <w:rFonts w:asciiTheme="minorHAnsi" w:hAnsiTheme="minorHAnsi"/>
          <w:iCs/>
          <w:sz w:val="22"/>
          <w:szCs w:val="22"/>
          <w:shd w:val="clear" w:color="auto" w:fill="FFFFFF"/>
        </w:rPr>
        <w:t>.</w:t>
      </w:r>
    </w:p>
    <w:p w:rsidR="00C32316" w:rsidRPr="00350827" w:rsidRDefault="00C32316" w:rsidP="00C87E7D">
      <w:pPr>
        <w:pStyle w:val="c01pointnumerotealtn"/>
        <w:shd w:val="clear" w:color="auto" w:fill="FFFFFF"/>
        <w:spacing w:before="0" w:beforeAutospacing="0" w:after="0"/>
        <w:ind w:left="0" w:firstLine="567"/>
        <w:rPr>
          <w:rFonts w:asciiTheme="minorHAnsi" w:hAnsiTheme="minorHAnsi"/>
          <w:sz w:val="22"/>
          <w:szCs w:val="22"/>
        </w:rPr>
      </w:pPr>
    </w:p>
    <w:p w:rsidR="00C32316" w:rsidRDefault="00C32316" w:rsidP="00C87E7D">
      <w:pPr>
        <w:pStyle w:val="Antrat3"/>
        <w:ind w:firstLine="567"/>
        <w:rPr>
          <w:shd w:val="clear" w:color="auto" w:fill="FFFFFF"/>
        </w:rPr>
      </w:pPr>
      <w:bookmarkStart w:id="3" w:name="_Toc512411024"/>
      <w:r w:rsidRPr="00065C4B">
        <w:t xml:space="preserve">Dėl </w:t>
      </w:r>
      <w:r w:rsidRPr="00065C4B">
        <w:rPr>
          <w:shd w:val="clear" w:color="auto" w:fill="FFFFFF"/>
        </w:rPr>
        <w:t>atsakomybės automatinio perėjimo prašančiajai valstybei narei,</w:t>
      </w:r>
      <w:r>
        <w:rPr>
          <w:shd w:val="clear" w:color="auto" w:fill="FFFFFF"/>
        </w:rPr>
        <w:t xml:space="preserve"> kai sueina šešių mėnesių terminas</w:t>
      </w:r>
      <w:bookmarkEnd w:id="3"/>
      <w:r w:rsidR="00C87E7D">
        <w:rPr>
          <w:shd w:val="clear" w:color="auto" w:fill="FFFFFF"/>
        </w:rPr>
        <w:t xml:space="preserve"> </w:t>
      </w:r>
    </w:p>
    <w:p w:rsidR="00C32316" w:rsidRPr="00C32316" w:rsidRDefault="00C32316" w:rsidP="00C87E7D"/>
    <w:p w:rsidR="00C32316" w:rsidRPr="00350827" w:rsidRDefault="00C32316" w:rsidP="00C87E7D">
      <w:pPr>
        <w:shd w:val="clear" w:color="auto" w:fill="FFFFFF"/>
        <w:ind w:firstLine="567"/>
        <w:rPr>
          <w:rFonts w:asciiTheme="minorHAnsi" w:hAnsiTheme="minorHAnsi"/>
          <w:shd w:val="clear" w:color="auto" w:fill="FFFFFF"/>
        </w:rPr>
      </w:pPr>
      <w:bookmarkStart w:id="4" w:name="point33"/>
      <w:r w:rsidRPr="002438EB">
        <w:rPr>
          <w:rFonts w:asciiTheme="minorHAnsi" w:hAnsiTheme="minorHAnsi"/>
          <w:shd w:val="clear" w:color="auto" w:fill="FFFFFF"/>
        </w:rPr>
        <w:t xml:space="preserve">Antruoju klausimu, kurį </w:t>
      </w:r>
      <w:r>
        <w:rPr>
          <w:rFonts w:asciiTheme="minorHAnsi" w:hAnsiTheme="minorHAnsi"/>
          <w:shd w:val="clear" w:color="auto" w:fill="FFFFFF"/>
        </w:rPr>
        <w:t xml:space="preserve">Teisingumo Teismas nusprendė </w:t>
      </w:r>
      <w:r w:rsidRPr="002438EB">
        <w:rPr>
          <w:rFonts w:asciiTheme="minorHAnsi" w:hAnsiTheme="minorHAnsi"/>
          <w:shd w:val="clear" w:color="auto" w:fill="FFFFFF"/>
        </w:rPr>
        <w:t>nagrinėti pirmiausia, prašymą priimti prejudicinį sprendimą pateikęs teismas iš esmės siek</w:t>
      </w:r>
      <w:r>
        <w:rPr>
          <w:rFonts w:asciiTheme="minorHAnsi" w:hAnsiTheme="minorHAnsi"/>
          <w:shd w:val="clear" w:color="auto" w:fill="FFFFFF"/>
        </w:rPr>
        <w:t>ė</w:t>
      </w:r>
      <w:r w:rsidRPr="002438EB">
        <w:rPr>
          <w:rFonts w:asciiTheme="minorHAnsi" w:hAnsiTheme="minorHAnsi"/>
          <w:shd w:val="clear" w:color="auto" w:fill="FFFFFF"/>
        </w:rPr>
        <w:t xml:space="preserve"> išsiaiškinti, ar reglamento „Dublinas III“ 29 straipsnio 2 dalis turi būti aiškinama taip, kad jeigu per šio reglamento 29 straipsnio 1 ir 2 dalyje apibrėžtą šešių mėnesių terminą perdavimas neįvykdomas, atsakomybė automatiškai pereina prašančiajai valstybei narei, ir nebūtina, kad atsakinga valstybė narė atsisakytų atitinkamą asmenį perimti savo žinion arba jį atsiimti</w:t>
      </w:r>
      <w:r>
        <w:rPr>
          <w:rFonts w:asciiTheme="minorHAnsi" w:hAnsiTheme="minorHAnsi"/>
          <w:shd w:val="clear" w:color="auto" w:fill="FFFFFF"/>
        </w:rPr>
        <w:t xml:space="preserve"> (26 punktas)</w:t>
      </w:r>
      <w:r w:rsidRPr="00C00190">
        <w:rPr>
          <w:rFonts w:asciiTheme="minorHAnsi" w:hAnsiTheme="minorHAnsi"/>
          <w:shd w:val="clear" w:color="auto" w:fill="FFFFFF"/>
        </w:rPr>
        <w:t>.</w:t>
      </w:r>
    </w:p>
    <w:bookmarkEnd w:id="4"/>
    <w:p w:rsidR="00C32316" w:rsidRDefault="00C32316" w:rsidP="00C87E7D">
      <w:pPr>
        <w:shd w:val="clear" w:color="auto" w:fill="FFFFFF"/>
        <w:ind w:firstLine="567"/>
        <w:rPr>
          <w:rFonts w:asciiTheme="minorHAnsi" w:eastAsia="Times New Roman" w:hAnsiTheme="minorHAnsi"/>
          <w:lang w:eastAsia="lt-LT"/>
        </w:rPr>
      </w:pPr>
      <w:r>
        <w:rPr>
          <w:rFonts w:asciiTheme="minorHAnsi" w:eastAsia="Times New Roman" w:hAnsiTheme="minorHAnsi"/>
          <w:lang w:eastAsia="lt-LT"/>
        </w:rPr>
        <w:t xml:space="preserve">Teisingumo Teismas nurodė, kad </w:t>
      </w:r>
      <w:r w:rsidRPr="002438EB">
        <w:rPr>
          <w:rFonts w:asciiTheme="minorHAnsi" w:eastAsia="Times New Roman" w:hAnsiTheme="minorHAnsi"/>
          <w:lang w:eastAsia="lt-LT"/>
        </w:rPr>
        <w:t xml:space="preserve">Reglamento „Dublinas III“ 29 straipsnio 1 dalies pirmoje pastraipoje numatyta, </w:t>
      </w:r>
      <w:r>
        <w:rPr>
          <w:rFonts w:asciiTheme="minorHAnsi" w:eastAsia="Times New Roman" w:hAnsiTheme="minorHAnsi"/>
          <w:lang w:eastAsia="lt-LT"/>
        </w:rPr>
        <w:t>jog</w:t>
      </w:r>
      <w:r w:rsidRPr="002438EB">
        <w:rPr>
          <w:rFonts w:asciiTheme="minorHAnsi" w:eastAsia="Times New Roman" w:hAnsiTheme="minorHAnsi"/>
          <w:lang w:eastAsia="lt-LT"/>
        </w:rPr>
        <w:t xml:space="preserve"> atitinkamas asmuo perduodamas kiek praktiškai įmanoma greičiau, bet ne vėliau kaip per šešis mėnesius nuo to momento, kai kita valstybė narė patenkina prašymą atitinkamą asmenį perimti savo žinion arba atsiimti, arba nuo galutinio sprendimo dėl skundo ar peržiūrėjimo priėmimo, jei sprendimo vykdymas buvo sustabdytas.</w:t>
      </w:r>
      <w:r>
        <w:rPr>
          <w:rFonts w:asciiTheme="minorHAnsi" w:eastAsia="Times New Roman" w:hAnsiTheme="minorHAnsi"/>
          <w:lang w:eastAsia="lt-LT"/>
        </w:rPr>
        <w:t xml:space="preserve"> I</w:t>
      </w:r>
      <w:r w:rsidRPr="002438EB">
        <w:rPr>
          <w:rFonts w:asciiTheme="minorHAnsi" w:eastAsia="Times New Roman" w:hAnsiTheme="minorHAnsi"/>
          <w:lang w:eastAsia="lt-LT"/>
        </w:rPr>
        <w:t xml:space="preserve">š šio reglamento 27 straipsnio 3 dalies c punkto matyti, jog kai nacionalinėje teisėje numatyta, kad atitinkamam asmeniui suteikiama galimybė prašyti teismo sustabdyti sprendimo dėl perdavimo vykdymą, kol nagrinėjamas jo skundas ar peržiūrimas sprendimas, tas teismas turi priimti </w:t>
      </w:r>
      <w:r w:rsidRPr="002438EB">
        <w:rPr>
          <w:rFonts w:asciiTheme="minorHAnsi" w:eastAsia="Times New Roman" w:hAnsiTheme="minorHAnsi"/>
          <w:lang w:eastAsia="lt-LT"/>
        </w:rPr>
        <w:lastRenderedPageBreak/>
        <w:t>sprendimą per pagrįstą terminą ir, jei prašymas atmetamas, išdėstyti sprendimą pagrindžiančius motyvus.</w:t>
      </w:r>
      <w:r>
        <w:rPr>
          <w:rFonts w:asciiTheme="minorHAnsi" w:eastAsia="Times New Roman" w:hAnsiTheme="minorHAnsi"/>
          <w:lang w:eastAsia="lt-LT"/>
        </w:rPr>
        <w:t xml:space="preserve"> </w:t>
      </w:r>
      <w:r w:rsidRPr="002438EB">
        <w:rPr>
          <w:rFonts w:asciiTheme="minorHAnsi" w:eastAsia="Times New Roman" w:hAnsiTheme="minorHAnsi"/>
          <w:lang w:eastAsia="lt-LT"/>
        </w:rPr>
        <w:t>Minėto reglamento 29 straipsnio 2 dalyje nurodyta, kad tais atvejais, kai perdavimas per šešis mėnesius neįvykdomas, atsakinga valstybė narė atleidžiama nuo pareigų atitinkamą asmenį perimti savo žinion arba atsiimti, o atsakomybė pereina prašančiajai valstybei narei.</w:t>
      </w:r>
      <w:r>
        <w:rPr>
          <w:rFonts w:asciiTheme="minorHAnsi" w:eastAsia="Times New Roman" w:hAnsiTheme="minorHAnsi"/>
          <w:lang w:eastAsia="lt-LT"/>
        </w:rPr>
        <w:t xml:space="preserve"> Teisingumo Teismo nuomone, i</w:t>
      </w:r>
      <w:r w:rsidRPr="002438EB">
        <w:rPr>
          <w:rFonts w:asciiTheme="minorHAnsi" w:eastAsia="Times New Roman" w:hAnsiTheme="minorHAnsi"/>
          <w:lang w:eastAsia="lt-LT"/>
        </w:rPr>
        <w:t xml:space="preserve">š pačios šios nuostatos formuluotės matyti, kad joje numatytas automatinis atsakomybės perėjimas prašančiajai valstybei narei ir nereikalaujama jokios atsakingos valstybės narės reakcijos </w:t>
      </w:r>
      <w:r>
        <w:rPr>
          <w:rFonts w:asciiTheme="minorHAnsi" w:eastAsia="Times New Roman" w:hAnsiTheme="minorHAnsi"/>
          <w:lang w:eastAsia="lt-LT"/>
        </w:rPr>
        <w:t>(27–30 punktai)</w:t>
      </w:r>
      <w:r w:rsidRPr="00A14039">
        <w:rPr>
          <w:rFonts w:asciiTheme="minorHAnsi" w:eastAsia="Times New Roman" w:hAnsiTheme="minorHAnsi"/>
          <w:lang w:eastAsia="lt-LT"/>
        </w:rPr>
        <w:t>.</w:t>
      </w:r>
    </w:p>
    <w:p w:rsidR="00C32316" w:rsidRPr="00056E50" w:rsidRDefault="00C32316" w:rsidP="00C87E7D">
      <w:pPr>
        <w:shd w:val="clear" w:color="auto" w:fill="FFFFFF"/>
        <w:ind w:firstLine="567"/>
        <w:rPr>
          <w:rFonts w:asciiTheme="minorHAnsi" w:eastAsia="Times New Roman" w:hAnsiTheme="minorHAnsi"/>
          <w:lang w:eastAsia="lt-LT"/>
        </w:rPr>
      </w:pPr>
      <w:r w:rsidRPr="00065C4B">
        <w:rPr>
          <w:rFonts w:asciiTheme="minorHAnsi" w:eastAsia="Times New Roman" w:hAnsiTheme="minorHAnsi"/>
          <w:lang w:eastAsia="lt-LT"/>
        </w:rPr>
        <w:t>Iš tiesų, nors šio reglamento 8 straipsnyje atsakinga valstybė narė įpareigojama sudaryti sąlygas kuo greičiau perduoti prašytoją, jokia šio reglamento nuostata nesuteikia šiai valstybei narei teisės, tiesiogiai ar netiesiogiai patenkinus prašymą perimti atitinkamą asmenį savo žinion arba jį atsiimti pagal reglamento „Dublinas III“ 22 ar 25 straipsnį, priimti naują sprendimą dėl ketinimo perimti šį asmenį savo žinion arba jį atsiimti.</w:t>
      </w:r>
      <w:r>
        <w:rPr>
          <w:rFonts w:asciiTheme="minorHAnsi" w:eastAsia="Times New Roman" w:hAnsiTheme="minorHAnsi"/>
          <w:lang w:eastAsia="lt-LT"/>
        </w:rPr>
        <w:t xml:space="preserve"> Taigi </w:t>
      </w:r>
      <w:r w:rsidRPr="00BA7FE1">
        <w:rPr>
          <w:rFonts w:asciiTheme="minorHAnsi" w:eastAsia="Times New Roman" w:hAnsiTheme="minorHAnsi"/>
          <w:u w:val="single"/>
          <w:lang w:eastAsia="lt-LT"/>
        </w:rPr>
        <w:t>jeigu per šio reglamento 29 straipsnio 1 ir 2 dalyse apibrėžtą šešių mėnesių terminą perdavimas neįvykdomas, atsakomybė automatiškai pereina prašančiajai valstybei narei, ir nebūtina, kad atsakinga valstybė narė atsisakytų atitinkamą asmenį perimti savo žinion arba jį atsiimti</w:t>
      </w:r>
      <w:r>
        <w:rPr>
          <w:rFonts w:asciiTheme="minorHAnsi" w:eastAsia="Times New Roman" w:hAnsiTheme="minorHAnsi"/>
          <w:lang w:eastAsia="lt-LT"/>
        </w:rPr>
        <w:t xml:space="preserve"> (33–34 punktai)</w:t>
      </w:r>
      <w:r w:rsidRPr="00056E50">
        <w:rPr>
          <w:rFonts w:asciiTheme="minorHAnsi" w:eastAsia="Times New Roman" w:hAnsiTheme="minorHAnsi"/>
          <w:lang w:eastAsia="lt-LT"/>
        </w:rPr>
        <w:t>.</w:t>
      </w:r>
    </w:p>
    <w:p w:rsidR="00C32316" w:rsidRDefault="00C32316" w:rsidP="00C87E7D">
      <w:pPr>
        <w:shd w:val="clear" w:color="auto" w:fill="FFFFFF"/>
        <w:ind w:firstLine="567"/>
        <w:rPr>
          <w:rFonts w:asciiTheme="minorHAnsi" w:eastAsia="Times New Roman" w:hAnsiTheme="minorHAnsi"/>
          <w:lang w:eastAsia="lt-LT"/>
        </w:rPr>
      </w:pPr>
    </w:p>
    <w:p w:rsidR="00C32316" w:rsidRDefault="00C32316" w:rsidP="00C87E7D">
      <w:pPr>
        <w:pStyle w:val="Antrat3"/>
        <w:ind w:firstLine="567"/>
        <w:rPr>
          <w:rFonts w:eastAsia="Times New Roman"/>
          <w:b w:val="0"/>
          <w:lang w:eastAsia="lt-LT"/>
        </w:rPr>
      </w:pPr>
      <w:bookmarkStart w:id="5" w:name="_Toc512411025"/>
      <w:r w:rsidRPr="00BA7FE1">
        <w:rPr>
          <w:rFonts w:eastAsia="Times New Roman"/>
          <w:lang w:eastAsia="lt-LT"/>
        </w:rPr>
        <w:t>Dėl tarptautinės apsaugos prašytojo teisės pasinaudoti veiksminga ir sparčia teisių gynybos priemone, kuri leistų jam remtis šio reglamento 29 straipsnio 1 ir 2 dalyse apibrėžto šešių mėnesių termino pasibaigimu, kai šis terminas baigėsi vėliau, nei buvo priimtas sprendimas dėl perdavimo</w:t>
      </w:r>
      <w:bookmarkEnd w:id="5"/>
    </w:p>
    <w:p w:rsidR="00C32316" w:rsidRPr="00056E50" w:rsidRDefault="00C32316" w:rsidP="00C87E7D">
      <w:pPr>
        <w:shd w:val="clear" w:color="auto" w:fill="FFFFFF"/>
        <w:ind w:firstLine="567"/>
        <w:rPr>
          <w:rFonts w:asciiTheme="minorHAnsi" w:eastAsia="Times New Roman" w:hAnsiTheme="minorHAnsi"/>
          <w:b/>
          <w:lang w:eastAsia="lt-LT"/>
        </w:rPr>
      </w:pPr>
    </w:p>
    <w:p w:rsidR="00C32316" w:rsidRDefault="00C32316" w:rsidP="00C87E7D">
      <w:pPr>
        <w:shd w:val="clear" w:color="auto" w:fill="FFFFFF"/>
        <w:ind w:firstLine="567"/>
        <w:rPr>
          <w:rFonts w:asciiTheme="minorHAnsi" w:eastAsia="Times New Roman" w:hAnsiTheme="minorHAnsi"/>
          <w:lang w:eastAsia="lt-LT"/>
        </w:rPr>
      </w:pPr>
      <w:r w:rsidRPr="00065C4B">
        <w:rPr>
          <w:rFonts w:asciiTheme="minorHAnsi" w:eastAsia="Times New Roman" w:hAnsiTheme="minorHAnsi"/>
          <w:lang w:eastAsia="lt-LT"/>
        </w:rPr>
        <w:t>Pirmuoju klausimu prašymą priimti prejudicinį sprendimą pateikęs teismas iš esmės siek</w:t>
      </w:r>
      <w:r>
        <w:rPr>
          <w:rFonts w:asciiTheme="minorHAnsi" w:eastAsia="Times New Roman" w:hAnsiTheme="minorHAnsi"/>
          <w:lang w:eastAsia="lt-LT"/>
        </w:rPr>
        <w:t>ė</w:t>
      </w:r>
      <w:r w:rsidRPr="00065C4B">
        <w:rPr>
          <w:rFonts w:asciiTheme="minorHAnsi" w:eastAsia="Times New Roman" w:hAnsiTheme="minorHAnsi"/>
          <w:lang w:eastAsia="lt-LT"/>
        </w:rPr>
        <w:t xml:space="preserve"> išsiaiškinti, ar reglamento „Dublinas III“ 27 straipsnio 1 dalis, siejama su šio reglamento 19 konstatuojamąja dalimi, aiškintina taip, kad tarptautinės apsaugos prašytojas, skųsdamas sprendimą jį perduoti, gali remtis tuo, jog baigėsi šio reglamento 29 straipsnio 1 ir 2 dalyse apibrėžtas šešių mėnesių terminas</w:t>
      </w:r>
      <w:r>
        <w:rPr>
          <w:rFonts w:asciiTheme="minorHAnsi" w:eastAsia="Times New Roman" w:hAnsiTheme="minorHAnsi"/>
          <w:lang w:eastAsia="lt-LT"/>
        </w:rPr>
        <w:t xml:space="preserve"> (35 punktas)</w:t>
      </w:r>
      <w:r w:rsidRPr="007275A7">
        <w:rPr>
          <w:rFonts w:asciiTheme="minorHAnsi" w:eastAsia="Times New Roman" w:hAnsiTheme="minorHAnsi"/>
          <w:lang w:eastAsia="lt-LT"/>
        </w:rPr>
        <w:t>.</w:t>
      </w:r>
    </w:p>
    <w:p w:rsidR="00C32316" w:rsidRDefault="00C32316" w:rsidP="00C87E7D">
      <w:pPr>
        <w:shd w:val="clear" w:color="auto" w:fill="FFFFFF"/>
        <w:ind w:firstLine="567"/>
        <w:rPr>
          <w:rFonts w:asciiTheme="minorHAnsi" w:eastAsia="Times New Roman" w:hAnsiTheme="minorHAnsi"/>
          <w:lang w:eastAsia="lt-LT"/>
        </w:rPr>
      </w:pPr>
      <w:r>
        <w:rPr>
          <w:rFonts w:asciiTheme="minorHAnsi" w:eastAsia="Times New Roman" w:hAnsiTheme="minorHAnsi"/>
          <w:lang w:eastAsia="lt-LT"/>
        </w:rPr>
        <w:t xml:space="preserve">Teisingumo Teismas nurodė, kad </w:t>
      </w:r>
      <w:r w:rsidRPr="001D0FED">
        <w:rPr>
          <w:rFonts w:asciiTheme="minorHAnsi" w:eastAsia="Times New Roman" w:hAnsiTheme="minorHAnsi"/>
          <w:lang w:eastAsia="lt-LT"/>
        </w:rPr>
        <w:t xml:space="preserve">reglamentu „Dublinas III“ nustatytos perėmimo savo žinion arba atsiėmimo procedūros turi būti vykdomos laikantis kelių imperatyvių terminų, tarp kurių – šio reglamento 29 straipsnio 1 ir 2 dalyse nurodytas šešių mėnesių terminas. Nors šiomis nuostatomis reglamentuojama perėmimo savo žinion procedūra, jos, kaip ir minėto reglamento III skyriuje išdėstyti kriterijai, taip pat padeda nustatyti atsakingą valstybę narę. </w:t>
      </w:r>
      <w:r>
        <w:rPr>
          <w:rFonts w:asciiTheme="minorHAnsi" w:eastAsia="Times New Roman" w:hAnsiTheme="minorHAnsi"/>
          <w:lang w:eastAsia="lt-LT"/>
        </w:rPr>
        <w:t>Š</w:t>
      </w:r>
      <w:r w:rsidRPr="001D0FED">
        <w:rPr>
          <w:rFonts w:asciiTheme="minorHAnsi" w:eastAsia="Times New Roman" w:hAnsiTheme="minorHAnsi"/>
          <w:lang w:eastAsia="lt-LT"/>
        </w:rPr>
        <w:t>io termino pasibaigimas lemia automatinį atsakomybės perėjimą iš prašančiosios valstybės narės atsakingai valstybei narei, jeigu prašytojo perdavimas iš pirmosios valstybės narės į antrąją neįvykdytas.</w:t>
      </w:r>
      <w:bookmarkStart w:id="6" w:name="point40"/>
      <w:r>
        <w:rPr>
          <w:rFonts w:asciiTheme="minorHAnsi" w:eastAsia="Times New Roman" w:hAnsiTheme="minorHAnsi"/>
          <w:lang w:eastAsia="lt-LT"/>
        </w:rPr>
        <w:t xml:space="preserve"> </w:t>
      </w:r>
      <w:bookmarkEnd w:id="6"/>
      <w:r w:rsidRPr="001D0FED">
        <w:rPr>
          <w:rFonts w:asciiTheme="minorHAnsi" w:eastAsia="Times New Roman" w:hAnsiTheme="minorHAnsi"/>
          <w:lang w:eastAsia="lt-LT"/>
        </w:rPr>
        <w:t>Šiomis aplinkybėmis, siekiant užtikrinti, kad ginčijamas sprendimas dėl perdavimo priimtas teisingai pritaikius šias procedūras, teismas, kuriam pateiktas skundas dėl sprendimo perduoti, turi galėti išnagrinėti tarptautinės apsaugos prašytojo teiginius, jog tas sprendimas priimtas pažeidžiant reglamento „Dublinas III“ 29 straipsnio 2 dalyje įtvirtintas nuostatas, turint omenyje, kad minėto sprendimo priėmimo dieną prašančioji valstybė narė jau buvo tapusi atsakinga valstybe nare dėl to, kad pasibaigė šio reglamento 29 straipsnio 1 ir 2 dalyse apibrėžtas šešių mėnesių terminas</w:t>
      </w:r>
      <w:r>
        <w:rPr>
          <w:rFonts w:asciiTheme="minorHAnsi" w:eastAsia="Times New Roman" w:hAnsiTheme="minorHAnsi"/>
          <w:lang w:eastAsia="lt-LT"/>
        </w:rPr>
        <w:t xml:space="preserve"> (39–40 punktai)</w:t>
      </w:r>
      <w:r w:rsidRPr="00005F1D">
        <w:rPr>
          <w:rFonts w:asciiTheme="minorHAnsi" w:eastAsia="Times New Roman" w:hAnsiTheme="minorHAnsi"/>
          <w:lang w:eastAsia="lt-LT"/>
        </w:rPr>
        <w:t>.</w:t>
      </w:r>
    </w:p>
    <w:p w:rsidR="00C32316" w:rsidRDefault="00C32316" w:rsidP="00C87E7D">
      <w:pPr>
        <w:shd w:val="clear" w:color="auto" w:fill="FFFFFF"/>
        <w:ind w:firstLine="567"/>
        <w:rPr>
          <w:rFonts w:asciiTheme="minorHAnsi" w:eastAsia="Times New Roman" w:hAnsiTheme="minorHAnsi"/>
          <w:lang w:eastAsia="lt-LT"/>
        </w:rPr>
      </w:pPr>
      <w:r>
        <w:rPr>
          <w:rFonts w:asciiTheme="minorHAnsi" w:eastAsia="Times New Roman" w:hAnsiTheme="minorHAnsi"/>
          <w:lang w:eastAsia="lt-LT"/>
        </w:rPr>
        <w:t xml:space="preserve">Teisingumo Teismas </w:t>
      </w:r>
      <w:r w:rsidRPr="003A218C">
        <w:rPr>
          <w:rFonts w:asciiTheme="minorHAnsi" w:eastAsia="Times New Roman" w:hAnsiTheme="minorHAnsi"/>
          <w:lang w:eastAsia="lt-LT"/>
        </w:rPr>
        <w:t>pažymė</w:t>
      </w:r>
      <w:r>
        <w:rPr>
          <w:rFonts w:asciiTheme="minorHAnsi" w:eastAsia="Times New Roman" w:hAnsiTheme="minorHAnsi"/>
          <w:lang w:eastAsia="lt-LT"/>
        </w:rPr>
        <w:t>jo</w:t>
      </w:r>
      <w:r w:rsidRPr="003A218C">
        <w:rPr>
          <w:rFonts w:asciiTheme="minorHAnsi" w:eastAsia="Times New Roman" w:hAnsiTheme="minorHAnsi"/>
          <w:lang w:eastAsia="lt-LT"/>
        </w:rPr>
        <w:t>, kad</w:t>
      </w:r>
      <w:r>
        <w:rPr>
          <w:rFonts w:asciiTheme="minorHAnsi" w:eastAsia="Times New Roman" w:hAnsiTheme="minorHAnsi"/>
          <w:lang w:eastAsia="lt-LT"/>
        </w:rPr>
        <w:t xml:space="preserve"> </w:t>
      </w:r>
      <w:r w:rsidRPr="003A218C">
        <w:rPr>
          <w:rFonts w:asciiTheme="minorHAnsi" w:eastAsia="Times New Roman" w:hAnsiTheme="minorHAnsi"/>
          <w:u w:val="single"/>
          <w:lang w:eastAsia="lt-LT"/>
        </w:rPr>
        <w:t>reglamento „Dublinas III“ 29 straipsnyje numatyti terminai yra nustatyti ne tik sprendimui dėl perdavimo priimti, bet ir jam įvykdyti. Vadinasi, šie terminai gali pasibaigti jau priėmus sprendimą dėl perdavimo</w:t>
      </w:r>
      <w:r>
        <w:rPr>
          <w:rFonts w:asciiTheme="minorHAnsi" w:eastAsia="Times New Roman" w:hAnsiTheme="minorHAnsi"/>
          <w:lang w:eastAsia="lt-LT"/>
        </w:rPr>
        <w:t xml:space="preserve"> (41</w:t>
      </w:r>
      <w:r w:rsidRPr="003A218C">
        <w:rPr>
          <w:rFonts w:asciiTheme="minorHAnsi" w:eastAsia="Times New Roman" w:hAnsiTheme="minorHAnsi"/>
          <w:lang w:eastAsia="lt-LT"/>
        </w:rPr>
        <w:t>–4</w:t>
      </w:r>
      <w:r>
        <w:rPr>
          <w:rFonts w:asciiTheme="minorHAnsi" w:eastAsia="Times New Roman" w:hAnsiTheme="minorHAnsi"/>
          <w:lang w:eastAsia="lt-LT"/>
        </w:rPr>
        <w:t>2</w:t>
      </w:r>
      <w:r w:rsidRPr="003A218C">
        <w:rPr>
          <w:rFonts w:asciiTheme="minorHAnsi" w:eastAsia="Times New Roman" w:hAnsiTheme="minorHAnsi"/>
          <w:lang w:eastAsia="lt-LT"/>
        </w:rPr>
        <w:t> punktai</w:t>
      </w:r>
      <w:r>
        <w:rPr>
          <w:rFonts w:asciiTheme="minorHAnsi" w:eastAsia="Times New Roman" w:hAnsiTheme="minorHAnsi"/>
          <w:lang w:eastAsia="lt-LT"/>
        </w:rPr>
        <w:t>)</w:t>
      </w:r>
      <w:r w:rsidRPr="003A218C">
        <w:rPr>
          <w:rFonts w:asciiTheme="minorHAnsi" w:eastAsia="Times New Roman" w:hAnsiTheme="minorHAnsi"/>
          <w:lang w:eastAsia="lt-LT"/>
        </w:rPr>
        <w:t xml:space="preserve">. </w:t>
      </w:r>
    </w:p>
    <w:p w:rsidR="00C32316" w:rsidRPr="003A218C" w:rsidRDefault="00C32316" w:rsidP="00C87E7D">
      <w:pPr>
        <w:shd w:val="clear" w:color="auto" w:fill="FFFFFF"/>
        <w:ind w:firstLine="567"/>
        <w:rPr>
          <w:rFonts w:asciiTheme="minorHAnsi" w:eastAsia="Times New Roman" w:hAnsiTheme="minorHAnsi"/>
          <w:lang w:eastAsia="lt-LT"/>
        </w:rPr>
      </w:pPr>
      <w:r w:rsidRPr="003A218C">
        <w:rPr>
          <w:rFonts w:asciiTheme="minorHAnsi" w:eastAsia="Times New Roman" w:hAnsiTheme="minorHAnsi"/>
          <w:lang w:eastAsia="lt-LT"/>
        </w:rPr>
        <w:t xml:space="preserve">Be kita ko, </w:t>
      </w:r>
      <w:r>
        <w:rPr>
          <w:rFonts w:asciiTheme="minorHAnsi" w:eastAsia="Times New Roman" w:hAnsiTheme="minorHAnsi"/>
          <w:lang w:eastAsia="lt-LT"/>
        </w:rPr>
        <w:t xml:space="preserve">Teisingumo Teismas </w:t>
      </w:r>
      <w:r w:rsidRPr="003A218C">
        <w:rPr>
          <w:rFonts w:asciiTheme="minorHAnsi" w:eastAsia="Times New Roman" w:hAnsiTheme="minorHAnsi"/>
          <w:lang w:eastAsia="lt-LT"/>
        </w:rPr>
        <w:t>pažymė</w:t>
      </w:r>
      <w:r>
        <w:rPr>
          <w:rFonts w:asciiTheme="minorHAnsi" w:eastAsia="Times New Roman" w:hAnsiTheme="minorHAnsi"/>
          <w:lang w:eastAsia="lt-LT"/>
        </w:rPr>
        <w:t>jo</w:t>
      </w:r>
      <w:r w:rsidRPr="003A218C">
        <w:rPr>
          <w:rFonts w:asciiTheme="minorHAnsi" w:eastAsia="Times New Roman" w:hAnsiTheme="minorHAnsi"/>
          <w:lang w:eastAsia="lt-LT"/>
        </w:rPr>
        <w:t>, kad pagrindinėje byloje atitinkamas asmuo nurodo, jog šio reglamento 29 straipsnio 1 ir 2 dalyse apibrėžtas šešių mėnesių terminas pasibaigė vėliau, negu buvo priimtas sprendimas dėl perdavimo.</w:t>
      </w:r>
      <w:r>
        <w:rPr>
          <w:rFonts w:asciiTheme="minorHAnsi" w:eastAsia="Times New Roman" w:hAnsiTheme="minorHAnsi"/>
          <w:lang w:eastAsia="lt-LT"/>
        </w:rPr>
        <w:t xml:space="preserve"> T</w:t>
      </w:r>
      <w:r w:rsidRPr="003A218C">
        <w:rPr>
          <w:rFonts w:asciiTheme="minorHAnsi" w:eastAsia="Times New Roman" w:hAnsiTheme="minorHAnsi"/>
          <w:lang w:eastAsia="lt-LT"/>
        </w:rPr>
        <w:t>okioje situacijoje prašančiosios valstybės narės kompetentingos valdžios institucijos negali pradėti atitinkamo asmens perdavimo kitai valstybei narei; atvirkščiai, jos privalo savo iniciatyva imtis būtinų priemonių pirmosios valstybės narės atsakomybei pripažinti ir nedelsiant pradėti šio asmens pateikto tarptautinės apsaugos prašymo nagrinėjimą</w:t>
      </w:r>
      <w:r>
        <w:rPr>
          <w:rFonts w:asciiTheme="minorHAnsi" w:eastAsia="Times New Roman" w:hAnsiTheme="minorHAnsi"/>
          <w:lang w:eastAsia="lt-LT"/>
        </w:rPr>
        <w:t xml:space="preserve">. </w:t>
      </w:r>
      <w:r w:rsidRPr="00BA7FE1">
        <w:rPr>
          <w:rFonts w:asciiTheme="minorHAnsi" w:eastAsia="Times New Roman" w:hAnsiTheme="minorHAnsi"/>
          <w:lang w:eastAsia="lt-LT"/>
        </w:rPr>
        <w:t xml:space="preserve">Atsižvelgiant, pirma, į reglamento „Dublinas III“ 19 konstatuojamojoje dalyje nurodytą tikslą užtikrinti, laikantis Europos Sąjungos pagrindinių teisių chartijos 47 straipsnio, veiksmingą atitinkamų asmenų teisių apsaugą ir, antra, į tikslą užtikrinti spartų už tarptautinės apsaugos prašymo nagrinėjimą atsakingos valstybės narės nustatymą, tiek paisant tokios apsaugos prašytojų interesų, tiek siekiant tinkamo šiuo reglamentu sukurtos sistemos veikimo, </w:t>
      </w:r>
      <w:r w:rsidRPr="00BA7FE1">
        <w:rPr>
          <w:rFonts w:asciiTheme="minorHAnsi" w:eastAsia="Times New Roman" w:hAnsiTheme="minorHAnsi"/>
          <w:u w:val="single"/>
          <w:lang w:eastAsia="lt-LT"/>
        </w:rPr>
        <w:t>prašytojas turi turėti galimybę pasinaudoti veiksminga ir sparčia teisių gynybos priemone, kuri leistų jam remtis šio reglamento 29 straipsnio 1 ir 2 dalyse apibrėžto šešių mėnesių termino pasibaigimu, kai šis terminas baigėsi vėliau, nei buvo priimtas sprendimas dėl perdavimo</w:t>
      </w:r>
      <w:r>
        <w:rPr>
          <w:rFonts w:asciiTheme="minorHAnsi" w:eastAsia="Times New Roman" w:hAnsiTheme="minorHAnsi"/>
          <w:lang w:eastAsia="lt-LT"/>
        </w:rPr>
        <w:t xml:space="preserve"> (</w:t>
      </w:r>
      <w:r w:rsidRPr="003A218C">
        <w:rPr>
          <w:rFonts w:asciiTheme="minorHAnsi" w:eastAsia="Times New Roman" w:hAnsiTheme="minorHAnsi"/>
          <w:lang w:eastAsia="lt-LT"/>
        </w:rPr>
        <w:t>4</w:t>
      </w:r>
      <w:r>
        <w:rPr>
          <w:rFonts w:asciiTheme="minorHAnsi" w:eastAsia="Times New Roman" w:hAnsiTheme="minorHAnsi"/>
          <w:lang w:eastAsia="lt-LT"/>
        </w:rPr>
        <w:t>2</w:t>
      </w:r>
      <w:r w:rsidRPr="003A218C">
        <w:rPr>
          <w:rFonts w:asciiTheme="minorHAnsi" w:eastAsia="Times New Roman" w:hAnsiTheme="minorHAnsi"/>
          <w:lang w:eastAsia="lt-LT"/>
        </w:rPr>
        <w:t>–4</w:t>
      </w:r>
      <w:r>
        <w:rPr>
          <w:rFonts w:asciiTheme="minorHAnsi" w:eastAsia="Times New Roman" w:hAnsiTheme="minorHAnsi"/>
          <w:lang w:eastAsia="lt-LT"/>
        </w:rPr>
        <w:t>4</w:t>
      </w:r>
      <w:r w:rsidRPr="003A218C">
        <w:rPr>
          <w:rFonts w:asciiTheme="minorHAnsi" w:eastAsia="Times New Roman" w:hAnsiTheme="minorHAnsi"/>
          <w:lang w:eastAsia="lt-LT"/>
        </w:rPr>
        <w:t> punktai</w:t>
      </w:r>
      <w:r>
        <w:rPr>
          <w:rFonts w:asciiTheme="minorHAnsi" w:eastAsia="Times New Roman" w:hAnsiTheme="minorHAnsi"/>
          <w:lang w:eastAsia="lt-LT"/>
        </w:rPr>
        <w:t>)</w:t>
      </w:r>
      <w:r w:rsidRPr="003A218C">
        <w:rPr>
          <w:rFonts w:asciiTheme="minorHAnsi" w:eastAsia="Times New Roman" w:hAnsiTheme="minorHAnsi"/>
          <w:lang w:eastAsia="lt-LT"/>
        </w:rPr>
        <w:t>.</w:t>
      </w:r>
    </w:p>
    <w:p w:rsidR="00C32316" w:rsidRPr="002E3761" w:rsidRDefault="00C32316" w:rsidP="00C87E7D">
      <w:pPr>
        <w:shd w:val="clear" w:color="auto" w:fill="FFFFFF"/>
        <w:ind w:firstLine="567"/>
        <w:rPr>
          <w:rFonts w:asciiTheme="minorHAnsi" w:eastAsia="Times New Roman" w:hAnsiTheme="minorHAnsi"/>
          <w:lang w:eastAsia="lt-LT"/>
        </w:rPr>
      </w:pPr>
    </w:p>
    <w:p w:rsidR="00C32316" w:rsidRPr="00350827" w:rsidRDefault="00C32316" w:rsidP="00C87E7D">
      <w:pPr>
        <w:ind w:firstLine="567"/>
        <w:rPr>
          <w:rFonts w:asciiTheme="minorHAnsi" w:hAnsiTheme="minorHAnsi"/>
          <w:b/>
        </w:rPr>
      </w:pPr>
      <w:r w:rsidRPr="00350827">
        <w:rPr>
          <w:rFonts w:asciiTheme="minorHAnsi" w:hAnsiTheme="minorHAnsi"/>
          <w:b/>
        </w:rPr>
        <w:t>Remdamasis šiais motyvais, Teisingumo Teismas (</w:t>
      </w:r>
      <w:r>
        <w:rPr>
          <w:rFonts w:asciiTheme="minorHAnsi" w:hAnsiTheme="minorHAnsi"/>
          <w:b/>
        </w:rPr>
        <w:t>didžioji</w:t>
      </w:r>
      <w:r w:rsidRPr="00350827">
        <w:rPr>
          <w:rFonts w:asciiTheme="minorHAnsi" w:hAnsiTheme="minorHAnsi"/>
          <w:b/>
        </w:rPr>
        <w:t xml:space="preserve"> kolegija) nusprendė:</w:t>
      </w:r>
    </w:p>
    <w:p w:rsidR="00C32316" w:rsidRPr="00350827" w:rsidRDefault="00C32316" w:rsidP="00C87E7D">
      <w:pPr>
        <w:ind w:firstLine="567"/>
        <w:rPr>
          <w:rFonts w:asciiTheme="minorHAnsi" w:hAnsiTheme="minorHAnsi"/>
          <w:b/>
          <w:u w:val="single"/>
        </w:rPr>
      </w:pPr>
    </w:p>
    <w:p w:rsidR="00C32316" w:rsidRPr="00005F1D" w:rsidRDefault="00C32316" w:rsidP="00C87E7D">
      <w:pPr>
        <w:ind w:firstLine="567"/>
        <w:rPr>
          <w:rFonts w:asciiTheme="minorHAnsi" w:eastAsia="Times New Roman" w:hAnsiTheme="minorHAnsi"/>
          <w:bCs/>
          <w:lang w:eastAsia="lt-LT"/>
        </w:rPr>
      </w:pPr>
      <w:r w:rsidRPr="00005F1D">
        <w:rPr>
          <w:rFonts w:asciiTheme="minorHAnsi" w:eastAsia="Times New Roman" w:hAnsiTheme="minorHAnsi"/>
          <w:bCs/>
          <w:lang w:eastAsia="lt-LT"/>
        </w:rPr>
        <w:lastRenderedPageBreak/>
        <w:t xml:space="preserve">1. </w:t>
      </w:r>
      <w:r w:rsidRPr="00BA7FE1">
        <w:rPr>
          <w:rFonts w:asciiTheme="minorHAnsi" w:eastAsia="Times New Roman" w:hAnsiTheme="minorHAnsi"/>
          <w:bCs/>
          <w:lang w:eastAsia="lt-LT"/>
        </w:rPr>
        <w:t>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29 straipsnio 2 dalis turi būti aiškinama taip, kad jeigu per šio reglamento 29 straipsnio 1 ir 2 dalyse apibrėžtą šešių mėnesių terminą perdavimas neįvykdomas, atsakomybė automatiškai pereina prašančiajai valstybei narei, ir nebūtina, kad atsakinga valstybė narė atsisakytų atitinkamą asmenį perimti savo žinion arba jį atsiimti.</w:t>
      </w:r>
    </w:p>
    <w:p w:rsidR="00C32316" w:rsidRPr="00BA7FE1" w:rsidRDefault="00C32316" w:rsidP="00C87E7D">
      <w:pPr>
        <w:ind w:firstLine="567"/>
        <w:rPr>
          <w:rFonts w:asciiTheme="minorHAnsi" w:eastAsia="Times New Roman" w:hAnsiTheme="minorHAnsi"/>
          <w:bCs/>
          <w:lang w:eastAsia="lt-LT"/>
        </w:rPr>
      </w:pPr>
      <w:r w:rsidRPr="00005F1D">
        <w:rPr>
          <w:rFonts w:asciiTheme="minorHAnsi" w:eastAsia="Times New Roman" w:hAnsiTheme="minorHAnsi"/>
          <w:bCs/>
          <w:lang w:eastAsia="lt-LT"/>
        </w:rPr>
        <w:t>2</w:t>
      </w:r>
      <w:r w:rsidRPr="00BA7FE1">
        <w:rPr>
          <w:rFonts w:asciiTheme="minorHAnsi" w:eastAsia="Times New Roman" w:hAnsiTheme="minorHAnsi"/>
          <w:bCs/>
          <w:lang w:eastAsia="lt-LT"/>
        </w:rPr>
        <w:t>.</w:t>
      </w:r>
      <w:r>
        <w:rPr>
          <w:rFonts w:asciiTheme="minorHAnsi" w:eastAsia="Times New Roman" w:hAnsiTheme="minorHAnsi"/>
          <w:bCs/>
          <w:lang w:eastAsia="lt-LT"/>
        </w:rPr>
        <w:t xml:space="preserve"> </w:t>
      </w:r>
      <w:r w:rsidRPr="00BA7FE1">
        <w:rPr>
          <w:rFonts w:asciiTheme="minorHAnsi" w:eastAsia="Times New Roman" w:hAnsiTheme="minorHAnsi"/>
          <w:bCs/>
          <w:lang w:eastAsia="lt-LT"/>
        </w:rPr>
        <w:t>Reglamento Nr. 604/2013 27 straipsnio 1 dalis, siejama su šio reglamento 19 konstatuojamąja dalimi, ir Europos Sąjungos pagrindinių teisių chartijos 47 straipsnis aiškintini taip, kad tarptautinės apsaugos prašytojas turi turėti galimybę pasinaudoti veiksminga ir sparčia teisių gynybos priemone, kuri leistų jam remtis šio reglamento 29 straipsnio 1 ir 2 dalyse apibrėžto šešių mėnesių termino pasibaigimu, kai šis terminas baigėsi vėliau, nei buvo priimtas sprendimas dėl perdavimo. Nacionalinės teisės aktuose, kaip nagrinėjamieji pagrindinėje byloje, pripažįstama tarptautinės apsaugos prašytojo teisė, paduodant skundą dėl sprendimo jį perduoti, nurodyti aplinkybes, atsiradusias vėliau, nei buvo priimtas toks sprendimas, atitinka šią pareigą numatyti veiksmingą ir sparčią teisių gynybos priemonę.</w:t>
      </w:r>
    </w:p>
    <w:p w:rsidR="00C32316" w:rsidRPr="00350827" w:rsidRDefault="00A87A78" w:rsidP="00C87E7D">
      <w:pPr>
        <w:ind w:firstLine="567"/>
      </w:pPr>
      <w:hyperlink r:id="rId11" w:history="1">
        <w:r w:rsidR="00C32316" w:rsidRPr="00BA7FE1">
          <w:rPr>
            <w:rStyle w:val="Hipersaitas"/>
          </w:rPr>
          <w:t>Prieiga internete</w:t>
        </w:r>
      </w:hyperlink>
    </w:p>
    <w:p w:rsidR="00C32316" w:rsidRPr="00350827" w:rsidRDefault="00C32316" w:rsidP="00C87E7D"/>
    <w:p w:rsidR="00C32316" w:rsidRPr="00350827" w:rsidRDefault="00C32316" w:rsidP="00C87E7D">
      <w:pPr>
        <w:pStyle w:val="Antrat2"/>
        <w:rPr>
          <w:b w:val="0"/>
          <w:bCs w:val="0"/>
          <w:iCs w:val="0"/>
        </w:rPr>
      </w:pPr>
      <w:bookmarkStart w:id="7" w:name="_Toc512411026"/>
      <w:r w:rsidRPr="00243D7B">
        <w:t>2017 m. rugsėjo 14 d.</w:t>
      </w:r>
      <w:r>
        <w:t xml:space="preserve"> </w:t>
      </w:r>
      <w:r w:rsidRPr="00350827">
        <w:t xml:space="preserve">prejudicinis sprendimas byloje </w:t>
      </w:r>
      <w:r w:rsidRPr="00243D7B">
        <w:t>C</w:t>
      </w:r>
      <w:r w:rsidRPr="00243D7B">
        <w:noBreakHyphen/>
        <w:t>18/16</w:t>
      </w:r>
      <w:bookmarkEnd w:id="7"/>
    </w:p>
    <w:p w:rsidR="00C32316" w:rsidRPr="00350827" w:rsidRDefault="00C32316" w:rsidP="00C87E7D">
      <w:pPr>
        <w:jc w:val="center"/>
        <w:rPr>
          <w:b/>
          <w:bCs/>
          <w:i/>
        </w:rPr>
      </w:pPr>
      <w:r w:rsidRPr="00243D7B">
        <w:rPr>
          <w:b/>
          <w:bCs/>
          <w:i/>
        </w:rPr>
        <w:t>K. prieš Staatssecretaris van Veiligheid en Justitie</w:t>
      </w:r>
    </w:p>
    <w:p w:rsidR="00C32316" w:rsidRPr="00350827" w:rsidRDefault="00C32316" w:rsidP="00C87E7D">
      <w:pPr>
        <w:rPr>
          <w:b/>
        </w:rPr>
      </w:pPr>
    </w:p>
    <w:p w:rsidR="00C32316" w:rsidRPr="00350827" w:rsidRDefault="00C32316" w:rsidP="00C87E7D">
      <w:pPr>
        <w:ind w:firstLine="567"/>
      </w:pPr>
      <w:r w:rsidRPr="00350827">
        <w:t>Prašyma</w:t>
      </w:r>
      <w:r>
        <w:t>s</w:t>
      </w:r>
      <w:r w:rsidRPr="00350827">
        <w:t xml:space="preserve"> priimti prejudicinį sprendimą </w:t>
      </w:r>
      <w:r w:rsidRPr="00243D7B">
        <w:t>pateiktas dėl 2013 m. birželio 26 d. Europos Parlamento ir Tarybos direktyvos 2013/33/ES, kuria nustatomos normos dėl tarptautinės apsaugos prašytojų priėmimo (OL L 180, 2013, p. 96), 8 straipsnio 3 dalies pirmos pastraipos a ir b punktų galiojimo</w:t>
      </w:r>
      <w:r w:rsidRPr="00350827">
        <w:t>.</w:t>
      </w:r>
    </w:p>
    <w:p w:rsidR="00C32316" w:rsidRPr="00953F54" w:rsidRDefault="00C32316" w:rsidP="00C87E7D">
      <w:pPr>
        <w:ind w:firstLine="567"/>
      </w:pPr>
      <w:r w:rsidRPr="00953F54">
        <w:t>Ieškovas pagrindinėje byloje, trečiosios šalies pilietis, iš Vienos (Austrija) atskrido į Amsterdamo Schipholio (Nyderlandai) oro uostą. Tą pačią dieną jis ketino toliau skristi į Edinburgą (Jungtinė Karalystė).</w:t>
      </w:r>
      <w:r>
        <w:t xml:space="preserve"> </w:t>
      </w:r>
      <w:r w:rsidRPr="00953F54">
        <w:t>Atliekant dokumentų patikrą prieš įlaipinant į lėktuvą, skrendantį į Edinburgą, kilo įtarimų, kad jis naudojasi suklastotu pasu, todėl jis buvo sulaikytas.</w:t>
      </w:r>
      <w:r>
        <w:t xml:space="preserve"> B</w:t>
      </w:r>
      <w:r w:rsidRPr="00953F54">
        <w:t>audžiamųjų bylų teismas pripažino prokuratūros vykdytą ieškovo pagrindinėje byloje persekiojimą nepriimtinu. Remiantis „įsakymu nedelsiant paleisti“ buvo nurodytą jį paleisti.</w:t>
      </w:r>
      <w:r>
        <w:t xml:space="preserve"> I</w:t>
      </w:r>
      <w:r w:rsidRPr="00953F54">
        <w:t xml:space="preserve">eškovas pagrindinėje byloje pateikė prieglobsčio prašymą. Tos pačios dienos sprendimu jis buvo sulaikytas pagal </w:t>
      </w:r>
      <w:r>
        <w:t>nacionalinės teisės nuostatas</w:t>
      </w:r>
      <w:r w:rsidRPr="00953F54">
        <w:t>, kuri</w:t>
      </w:r>
      <w:r>
        <w:t>omis</w:t>
      </w:r>
      <w:r w:rsidRPr="00953F54">
        <w:t xml:space="preserve"> perkelti Direktyvos 2013/33 8 straipsnio 3 dalies pirmos pastraipos a ir b punktai. Šis sprendimas buvo pagrįstas tuo, kad reikėjo sulaikyti siekiant nustatyti ieškovo tapatybę arba pilietybę ir informaciją, būtiną vertinant jo prašymą, nes buvo pavojus, kad jis pasislėps.</w:t>
      </w:r>
      <w:r>
        <w:t xml:space="preserve"> I</w:t>
      </w:r>
      <w:r w:rsidRPr="00953F54">
        <w:t>eškovas pagrindinėje byloje apskundė sprendimą jį sulaikyti ir pareikalavo atlyginti žalą.</w:t>
      </w:r>
      <w:r>
        <w:t xml:space="preserve"> </w:t>
      </w:r>
      <w:r w:rsidRPr="00953F54">
        <w:t xml:space="preserve">Per prašymą priimti prejudicinį sprendimą pateikusio teismo posėdį </w:t>
      </w:r>
      <w:r>
        <w:t>ieškovas</w:t>
      </w:r>
      <w:r w:rsidRPr="00953F54">
        <w:t xml:space="preserve"> buvo vieną kartą išklausytas dėl jo prieglobsčio prašymo, bet sprendimas dėl to dar nebuvo priimtas. Taigi prašymo priimti prejudicinį sprendimą paskelbimo dieną nebuvo priimtas sprendimas šį asmenį grąžinti.</w:t>
      </w:r>
      <w:r>
        <w:t xml:space="preserve"> </w:t>
      </w:r>
      <w:r w:rsidRPr="00953F54">
        <w:t xml:space="preserve">Pagrindinėje byloje </w:t>
      </w:r>
      <w:r>
        <w:t>ieškovas</w:t>
      </w:r>
      <w:r w:rsidRPr="00953F54">
        <w:t xml:space="preserve"> tvirtin</w:t>
      </w:r>
      <w:r>
        <w:t>o</w:t>
      </w:r>
      <w:r w:rsidRPr="00953F54">
        <w:t xml:space="preserve">, kad Direktyvos 2013/33 8 straipsnio 3 dalies pirmos pastraipos a ir b punktai prieštarauja </w:t>
      </w:r>
      <w:r w:rsidR="00736158">
        <w:t xml:space="preserve">Žmogaus teisių ir pagrindinių laisvių apsaugos konvencijos (toliau – ir </w:t>
      </w:r>
      <w:r w:rsidRPr="00953F54">
        <w:t>EŽTK</w:t>
      </w:r>
      <w:r w:rsidR="00736158">
        <w:t>)</w:t>
      </w:r>
      <w:r w:rsidRPr="00953F54">
        <w:t xml:space="preserve"> 5 straipsniui, todėl ir </w:t>
      </w:r>
      <w:r w:rsidR="00D972E8" w:rsidRPr="00BA7FE1">
        <w:rPr>
          <w:rFonts w:asciiTheme="minorHAnsi" w:eastAsia="Times New Roman" w:hAnsiTheme="minorHAnsi"/>
          <w:lang w:eastAsia="lt-LT"/>
        </w:rPr>
        <w:t>Europos Sąjungos pagrindinių teisių chartijos</w:t>
      </w:r>
      <w:r w:rsidR="00D972E8" w:rsidRPr="00953F54">
        <w:t xml:space="preserve"> </w:t>
      </w:r>
      <w:r w:rsidR="00D972E8">
        <w:t>(toliau – ir Chartija)</w:t>
      </w:r>
      <w:r w:rsidRPr="00953F54">
        <w:t xml:space="preserve"> 6 straipsniui</w:t>
      </w:r>
      <w:r>
        <w:t xml:space="preserve"> (17</w:t>
      </w:r>
      <w:r w:rsidRPr="00953F54">
        <w:t>–</w:t>
      </w:r>
      <w:r>
        <w:t>24</w:t>
      </w:r>
      <w:r w:rsidRPr="00953F54">
        <w:t xml:space="preserve"> punktai</w:t>
      </w:r>
      <w:r>
        <w:t>)</w:t>
      </w:r>
      <w:r w:rsidRPr="00953F54">
        <w:t>.</w:t>
      </w:r>
    </w:p>
    <w:p w:rsidR="00C32316" w:rsidRDefault="00C32316" w:rsidP="00C87E7D">
      <w:pPr>
        <w:ind w:firstLine="567"/>
      </w:pPr>
      <w:bookmarkStart w:id="8" w:name="point24"/>
    </w:p>
    <w:p w:rsidR="00C32316" w:rsidRDefault="00C32316" w:rsidP="00C87E7D">
      <w:pPr>
        <w:pStyle w:val="Antrat3"/>
        <w:ind w:firstLine="567"/>
        <w:rPr>
          <w:b w:val="0"/>
          <w:bCs w:val="0"/>
        </w:rPr>
      </w:pPr>
      <w:bookmarkStart w:id="9" w:name="_Toc512411027"/>
      <w:r w:rsidRPr="006451F4">
        <w:t>Dėl Direktyvos 2013/33 nuostatų</w:t>
      </w:r>
      <w:r>
        <w:t>, numatančių teisę sulaikyti</w:t>
      </w:r>
      <w:r w:rsidRPr="00B6056A">
        <w:t> tarptautinės apsaugos pasipraš</w:t>
      </w:r>
      <w:r>
        <w:t>iusį</w:t>
      </w:r>
      <w:r w:rsidRPr="00B6056A">
        <w:t xml:space="preserve"> trečiosios šalies piliet</w:t>
      </w:r>
      <w:r>
        <w:t>į</w:t>
      </w:r>
      <w:r w:rsidRPr="00B6056A">
        <w:t xml:space="preserve"> arba asm</w:t>
      </w:r>
      <w:r>
        <w:t>enį</w:t>
      </w:r>
      <w:r w:rsidRPr="00B6056A">
        <w:t xml:space="preserve"> be pilietybės, dėl kurio dar nėra priimtas galutinis sprendimas</w:t>
      </w:r>
      <w:r>
        <w:t>, atitikties ES pagrindinių teisių chartijos 6 straipsniui, įtvirtinančiam t</w:t>
      </w:r>
      <w:r w:rsidRPr="00B6056A">
        <w:t>eis</w:t>
      </w:r>
      <w:r>
        <w:t>ę</w:t>
      </w:r>
      <w:r w:rsidRPr="00B6056A">
        <w:t xml:space="preserve"> į laisvę ir saugumą</w:t>
      </w:r>
      <w:bookmarkEnd w:id="9"/>
      <w:r w:rsidRPr="00953F54">
        <w:t xml:space="preserve"> </w:t>
      </w:r>
    </w:p>
    <w:p w:rsidR="00C32316" w:rsidRPr="00953F54" w:rsidRDefault="00C32316" w:rsidP="00C87E7D">
      <w:pPr>
        <w:ind w:firstLine="567"/>
        <w:rPr>
          <w:b/>
          <w:bCs/>
        </w:rPr>
      </w:pPr>
    </w:p>
    <w:p w:rsidR="00C32316" w:rsidRPr="00953F54" w:rsidRDefault="00C32316" w:rsidP="00C87E7D">
      <w:pPr>
        <w:ind w:firstLine="567"/>
      </w:pPr>
      <w:r w:rsidRPr="00953F54">
        <w:t>Savo prejudiciniu klausimu prašymą priimti prejudicinį sprendimą pateikęs teismas iš esmės praš</w:t>
      </w:r>
      <w:r>
        <w:t>ė</w:t>
      </w:r>
      <w:r w:rsidRPr="00953F54">
        <w:t xml:space="preserve"> Teisingumo Teismo išnagrinėti Direktyvos 2013/33 8 straipsnio 3 dalies pirmos pastraipos a ir b punktų galiojimą atsižvelgiant į Chartijos 6 straipsnį (</w:t>
      </w:r>
      <w:r>
        <w:t>31</w:t>
      </w:r>
      <w:r w:rsidRPr="00953F54">
        <w:t> punktas).</w:t>
      </w:r>
    </w:p>
    <w:p w:rsidR="00C32316" w:rsidRDefault="00C32316" w:rsidP="00C87E7D">
      <w:pPr>
        <w:ind w:firstLine="567"/>
      </w:pPr>
      <w:r>
        <w:t>Teisingumo Teismas v</w:t>
      </w:r>
      <w:r w:rsidRPr="00953F54">
        <w:t>isų pirma primin</w:t>
      </w:r>
      <w:r>
        <w:t>ė</w:t>
      </w:r>
      <w:r w:rsidRPr="00953F54">
        <w:t>, kad nors, kaip patvirtina E</w:t>
      </w:r>
      <w:r>
        <w:t xml:space="preserve">uropos </w:t>
      </w:r>
      <w:r w:rsidRPr="00953F54">
        <w:t>S</w:t>
      </w:r>
      <w:r>
        <w:t>ąjungos sutarties</w:t>
      </w:r>
      <w:r w:rsidRPr="00953F54">
        <w:t> 6 straipsnio 3 dalis, EŽTK pripažįstamos pagrindinės teisės sudaro Sąjungos teisės bendruosius principus ir nors pagal Chartijos 52 straipsnio 3 dalį Chartijoje įtvirtintoms teisėms, atitinkančioms EŽTK užtikrinamas teises, suteikiama ta pati prasmė ir apimtis kaip suteikta minėtos konvencijos, pastaroji, kol Sąjunga prie jos neprisijungė, nėra į jos teisės sistemą formaliai integruota teisės priemonė. Taigi, sprendžiant Direktyvos 2013/33 8 straipsnio 3 dalies pirmos pastraipos a ir b punktų galiojimo klausimą reikia remtis tik pagrindinėmis teisėmis, kurias užtikrina Chartija</w:t>
      </w:r>
      <w:r>
        <w:t xml:space="preserve"> </w:t>
      </w:r>
      <w:r w:rsidRPr="00953F54">
        <w:t>(3</w:t>
      </w:r>
      <w:r>
        <w:t>2</w:t>
      </w:r>
      <w:r w:rsidRPr="00953F54">
        <w:t> punktas).</w:t>
      </w:r>
    </w:p>
    <w:p w:rsidR="00C32316" w:rsidRDefault="00C32316" w:rsidP="00C87E7D">
      <w:pPr>
        <w:ind w:firstLine="567"/>
      </w:pPr>
      <w:r w:rsidRPr="00BD7D76">
        <w:lastRenderedPageBreak/>
        <w:t>Remiantis Chartijos 52 straipsnio 1 dalimi, bet koks apribojimas naudotis šios Chartijos pripažintomis teisėmis ir laisvėmis turi būti numatytas įstatymo ir nekeisti jų esmės. Laikantis proporcingumo principo apribojimai naudotis šiomis teisėmis ir laisvėmis galimi tik tuo atveju, kai jie būtini ir tikrai atitinka Sąjungos pripažintus bendrojo intereso tikslus arba reikalingi tam, kad būtų apsaugotos kitų asmenų teisės ir laisvės.</w:t>
      </w:r>
      <w:r>
        <w:t xml:space="preserve"> </w:t>
      </w:r>
      <w:r w:rsidRPr="00BD7D76">
        <w:t xml:space="preserve">Šiuo klausimu </w:t>
      </w:r>
      <w:r>
        <w:t xml:space="preserve">Teisingumo Teismas </w:t>
      </w:r>
      <w:r w:rsidRPr="00BD7D76">
        <w:t>nurod</w:t>
      </w:r>
      <w:r>
        <w:t>ė</w:t>
      </w:r>
      <w:r w:rsidRPr="00BD7D76">
        <w:t>, kad apribojimas naudotis teise į laisvę, nustatytas Direktyvos 2013/33 8 straipsnio 3 dalies pirmos pastraipos a ir b punktuose, yra numatytas Sąjungos teisėkūros procedūra priimtame akte ir neturi įtakos Chartijos 6 straipsnyje įtvirtintos teisės į laisvę esmei. Šios direktyvos 8 straipsnio 3 dalies pirmos pastraipos a ir b punktai nedaro poveikio šios teisės užtikrinimui ir, kaip matyti iš minėtos nuostatos formuluotės ir šios direktyvos 15 konstatuojamosios dalies, valstybėms narėms suteikia įgaliojimus sulaikyti prieglobsčio prašytoją tik dėl jo asmeninio elgesio ir toje pačioje nuostatoje numatytomis išimtinėmis aplinkybėmis, kurios, be kita ko, turi atitikti visas minėtos direktyvos 8</w:t>
      </w:r>
      <w:r>
        <w:t> </w:t>
      </w:r>
      <w:r w:rsidRPr="00BD7D76">
        <w:t>ir 9 straipsniuose numatytas sąlygas</w:t>
      </w:r>
      <w:r>
        <w:t xml:space="preserve"> </w:t>
      </w:r>
      <w:r w:rsidRPr="00BD7D76">
        <w:t>(</w:t>
      </w:r>
      <w:r>
        <w:t>34</w:t>
      </w:r>
      <w:r w:rsidRPr="00BD7D76">
        <w:t>–</w:t>
      </w:r>
      <w:r>
        <w:t>35</w:t>
      </w:r>
      <w:r w:rsidRPr="00BD7D76">
        <w:t xml:space="preserve"> punktai).</w:t>
      </w:r>
    </w:p>
    <w:p w:rsidR="00C32316" w:rsidRDefault="00C32316" w:rsidP="00C87E7D">
      <w:pPr>
        <w:ind w:firstLine="567"/>
      </w:pPr>
      <w:r>
        <w:t>I</w:t>
      </w:r>
      <w:r w:rsidRPr="00BD7D76">
        <w:t>š SESV 78 straipsnio matyti, kad geras bendros Europos prieglobsčio sistemos veikimas, pagrįstas valstybėms narėms bendrų kriterijų taikymu, yra Sąjungos pripažintas bendrojo intereso tikslas. Be to, remiantis Direktyvos 2013/33 2 konstatuojamąja dalimi, ši sistema padeda pasiekti Sąjungos tikslą laipsniškai sukurti laisvės, saugumo ir teisingumo erdvę asmenims, kurie, aplinkybių verčiami, teisėtai ieško apsaugos Sąjungoje. Vadinasi, priemonė, pagrįsta šios direktyvos 8 straipsnio 3 dalies pirmos pastraipos a ir b punktuose išdėstytais pagrindais, atitinka tikslą užtikrinti gerą bendros Europos prieglobsčio sistemos veikimą, nes taikant šią priemonę leidžiama identifikuoti asmenis, kurie prašo tarptautinės apsaugos, ir, jeigu jie atitinka sąlygas gauti tokią apsaugą, neigiamu atveju išvengti to, kad jie neteisėtai atvyktų į Sąjungos teritoriją ir joje būtų</w:t>
      </w:r>
      <w:r>
        <w:t xml:space="preserve"> (36 punktas).</w:t>
      </w:r>
    </w:p>
    <w:p w:rsidR="00C32316" w:rsidRPr="00BD7D76" w:rsidRDefault="00C32316" w:rsidP="00C87E7D">
      <w:pPr>
        <w:ind w:firstLine="567"/>
      </w:pPr>
      <w:r w:rsidRPr="00BD7D76">
        <w:t xml:space="preserve">Vertinant šio ribojimo proporcingumą, </w:t>
      </w:r>
      <w:r>
        <w:t xml:space="preserve">Teisingumo Teismo manymu, </w:t>
      </w:r>
      <w:r w:rsidRPr="00BD7D76">
        <w:t>reikia atsižvelgti į tai, kad pagal Direktyvos 2013/32 13 straipsnio 1 dalį tarptautinės apsaugos prašytojai turi pareigą bendradarbiauti su kompetentingomis institucijomis, pavyzdžiui, nustatant jų tapatybę, pilietybę ir pagrindus, kuriais grindžiami jų prašymai, o tai apima, jei įmanoma, prašomų dokumentų ir prireikus paaiškinimų ir informacijos pateikimą.</w:t>
      </w:r>
      <w:r>
        <w:t xml:space="preserve"> </w:t>
      </w:r>
      <w:r w:rsidRPr="00BD7D76">
        <w:t>Šiomis aplinkybėmis prašytojo sulaikymas siekiant nustatyti arba patikrinti jo tapatybę arba pilietybę ar nustatyti pagrindus, kuriais grindžiamas jo tarptautinės apsaugos prašymas, kurių negalima nustatyti jo nesulaikius, ypač jeigu kyla pavojus, kad jis slėpsis, leidžia išlaikyti prašytoją nacionalinių institucijų žinioje, kad, be kita ko, jos jį išklausytų ir taip padėtų užkirsti kelią galimam antriniam prašytojų judėjimui, nurodytam Direktyvos 2013/33 12 konstatuojamojoje dalyje, kaip to siekiama 2013 m. birželio 26 d. Europos Parlamento ir Tarybos reglamentu (ES) Nr. 604/2013, kuriuo išdėstomi valstybės narės, atsakingos už trečiosios šalies piliečio arba asmens be pilietybės vienoje iš valstybių narių pateikto tarptautinės apsaugos prašymo nagrinėjimą, nustatymo kriterijai ir mechanizmai (OL L 180, 2013, p. 31). Tuo rem</w:t>
      </w:r>
      <w:r>
        <w:t xml:space="preserve">damasis Teisingumo Teismas </w:t>
      </w:r>
      <w:r w:rsidRPr="00BD7D76">
        <w:t>dar</w:t>
      </w:r>
      <w:r>
        <w:t>ė</w:t>
      </w:r>
      <w:r w:rsidRPr="00BD7D76">
        <w:t xml:space="preserve"> išvad</w:t>
      </w:r>
      <w:r>
        <w:t>ą</w:t>
      </w:r>
      <w:r w:rsidRPr="00BD7D76">
        <w:t xml:space="preserve">, kad ši </w:t>
      </w:r>
      <w:r w:rsidRPr="00BD7D76">
        <w:rPr>
          <w:u w:val="single"/>
        </w:rPr>
        <w:t>sulaikymo priemonė dėl savo pačios pobūdžio yra tinkama geram bendros Europos prieglobsčio sistemos veikimui užtikrinti ir ją taikant galima prisidėti prie šios direktyvos 8 straipsnio 3 dalies pirmos pastraipos a ir b punktais siekiamo tikslo įgyvendinimo</w:t>
      </w:r>
      <w:r>
        <w:t xml:space="preserve"> (</w:t>
      </w:r>
      <w:r w:rsidRPr="00BD7D76">
        <w:t>3</w:t>
      </w:r>
      <w:r>
        <w:t>8</w:t>
      </w:r>
      <w:r w:rsidRPr="00BD7D76">
        <w:t>–3</w:t>
      </w:r>
      <w:r>
        <w:t>9 </w:t>
      </w:r>
      <w:r w:rsidRPr="00BD7D76">
        <w:t>punktai</w:t>
      </w:r>
      <w:r>
        <w:t>)</w:t>
      </w:r>
      <w:r w:rsidRPr="00BD7D76">
        <w:t>.</w:t>
      </w:r>
    </w:p>
    <w:p w:rsidR="00C32316" w:rsidRDefault="00C32316" w:rsidP="00C87E7D">
      <w:pPr>
        <w:ind w:firstLine="567"/>
      </w:pPr>
      <w:r>
        <w:t xml:space="preserve">Spręsdamas dėl </w:t>
      </w:r>
      <w:r w:rsidRPr="00BD7D76">
        <w:t>pagal šią nuostatą valstybėms narėms suteiktų įgaliojimų sulaikyti prieglobsčio prašytoją būtinum</w:t>
      </w:r>
      <w:r>
        <w:t>o Teisingumo Teismas pabrėžė</w:t>
      </w:r>
      <w:r w:rsidRPr="00BD7D76">
        <w:t>, kad, atsižvelgiant į Chartijos 6 straipsnyje įtvirtintos teisės į laisvę svarbą ir į tokį šios teisės ribojimo tokia sulaikymo priemone sunkumą, naudojimosi ja apribojimai neturi viršyti to, kas griežtai būtina.</w:t>
      </w:r>
      <w:r>
        <w:t xml:space="preserve"> </w:t>
      </w:r>
      <w:r w:rsidRPr="00BD7D76">
        <w:t>Šiuo klausimu tiek iš Direktyvos 2013/33 8 straipsnio formuluotės ir konteksto, tiek iš jo genezės aišku, kad įgyvendinant šiuos įgaliojimus turi būti laikomasi visų sąlygų, kuriomis siekiama griežtai apibrėžti tokios priemonės taikymo ribas.</w:t>
      </w:r>
      <w:r>
        <w:t xml:space="preserve"> </w:t>
      </w:r>
      <w:r w:rsidRPr="00BD7D76">
        <w:t>Pirma, Direktyvos 2013/33 8 straipsnio 3 dalies pirmoje pastraipoje išsamiai išvardyti įvairūs sulaikymą pateisinantys pagrindai ir kiekvienas iš šių pagrindų atitinka konkretų poreikį ir yra savarankiško pobūdžio. Šiuo klausimu iš šios direktyvos 8 straipsnio 3 dalies pirmos pastraipos a punkto teksto matyti, kad prašytojui tokia priemonė gali būti taikoma tik tuomet, kai jis, nepaisydamas savo bendradarbiavimo pareigos, nepraneša savo tapatybės arba pilietybės ar nepateikia ją galinčių patvirtinti tapatybės dokumentų. Be to, iš 8 straipsnio 3 dalies pirmos pastraipos b punkto matyti, kad prašytojas gali būti sulaikytas tik tuomet, kai informacija, kuria grindžiamas jo tarptautinės apsaugos prašymas, „asmens nesulaikius negalėtų būti gauta, ypač jei yra pavojus, kad prašytojas pasislėps“.</w:t>
      </w:r>
      <w:r>
        <w:t xml:space="preserve"> </w:t>
      </w:r>
      <w:r w:rsidRPr="00BD7D76">
        <w:t xml:space="preserve">Be to, Direktyvos 2013/33 8 straipsnio 3 dalies antroje pastraipoje nurodyta, kad sulaikymo pagrindai nustatomi pagal nacionalinę teisę. Šiuo klausimu </w:t>
      </w:r>
      <w:r>
        <w:t xml:space="preserve">Teisingumo Teismas </w:t>
      </w:r>
      <w:r w:rsidRPr="00BD7D76">
        <w:t>primin</w:t>
      </w:r>
      <w:r>
        <w:t>ė</w:t>
      </w:r>
      <w:r w:rsidRPr="00BD7D76">
        <w:t xml:space="preserve">, kad kai pagal direktyvos nuostatas valstybėms narėms paliekama diskrecija nustatyti perkėlimo priemones, kurios galėtų būti taikomos skirtingoms numanomoms situacijoms, valstybės narės, įgyvendindamos šias priemones, ne tik privalo savo nacionalinę teisę aiškinti taip, kad ji atitiktų konkrečią direktyvą, bet ir nesivadovauti tokiu jos aiškinimu, kuris </w:t>
      </w:r>
      <w:r w:rsidRPr="00BD7D76">
        <w:lastRenderedPageBreak/>
        <w:t>pažeistų Sąjungos teisės sistemos saugomas pagrindines teises arba kitus bendruosius Sąjungos teisės principus.</w:t>
      </w:r>
      <w:r>
        <w:t xml:space="preserve"> </w:t>
      </w:r>
      <w:r w:rsidRPr="00BD7D76">
        <w:t>Antra, Teisingumo Teismas jau konstatavo, kad kitose šios Direktyvos 2013/33 8 straipsnio dalyse nustatomi svarbūs apribojimai, taikomi valstybėms narėms suteiktai teisei vykdyti sulaikymą. Iš šios direktyvos 8 straipsnio 1 dalies matyti, kad valstybės narės negali sulaikyti asmens vien dėl to, kad jis pateikė tarptautinės apsaugos prašymą. Be to, šios direktyvos 8 straipsnio 2 dalyje nurodyta, kad įsakymas sulaikyti galimas tik tada, kai tai atrodo būtina ir kai atskirai įvertinamas kiekvienas konkretus atvejis, jeigu kitos švelnesnės prievartos priemonės negali būti veiksmingai taikomos. Pagal šios direktyvos 8 straipsnio 4 dalį valstybės narės užtikrina, kad nacionalinėje teisėje būtų nustatytos sulaikymui alternatyvias priemones reglamentuojančios normos, pavyzdžiui, įpareigojimas reguliariai atvykti į atitinkamas institucijas, sumokėti piniginį užstatą arba pareiga neišvykti iš nustatytos vietos.</w:t>
      </w:r>
      <w:r>
        <w:t xml:space="preserve"> </w:t>
      </w:r>
      <w:r w:rsidRPr="00BD7D76">
        <w:t>Direktyvos 2013/33 9 straipsnio 1 dalyje taip pat nustatyta, kad prašytojas sulaikomas tik kuo trumpesnį laiką ir lieka sulaikytas tik tol, kol taikomi šios direktyvos 8 straipsnio 3 dalyje nustatyti pagrindai. Be to, remiantis šios direktyvos 9 straipsnio 2–5 dalimis, priimant įsakymą sulaikyti turi būti laikomasi svarbių procedūrinių ir teisminių garantijų. Pagal minėtos direktyvos 9 straipsnio 2 ir 4 dalis šiame įsakyme reikia raštu nurodyti faktines ir teisines jį pagrindžiančias priežastis, o prieglobsčio prašytojui turi būti suteikta tam tikra informacija kalba, kurią jis supranta, arba pagrįstai manoma, kad supranta. Direktyvos 2013/33 9 straipsnio 3 ir 5 dalyse apibrėžiamos teisminės sulaikymo teisėtumo kontrolės taisyklės, kurias turi taikyti valstybės narės.</w:t>
      </w:r>
      <w:r>
        <w:t xml:space="preserve"> </w:t>
      </w:r>
      <w:r w:rsidRPr="00BD7D76">
        <w:t>Trečia, Teisingumo Teismas taip pat konstatavo, kad Direktyvos 2013/33 8 straipsnio 3 dalies pirmos pastraipos a–c punktuose numatyti sulaikymo pagrindai pagrįsti 2003 m. balandžio 16 d. Europos Tarybos Ministrų Komiteto rekomendacija dėl prieglobsčio prašytojų sulaikymo priemonių ir 1999 m. vasario 26 d. Jungtinių Tautų vyriausiojo pabėgėlių reikalų komisaro biuro (UNHCR) parengtomis gairėmis dėl taikytinų kriterijų ir standartų, susijusių su prieglobsčio prašytojų sulaikymu, iš kurių 2012 m. priimtos redakcijos matyti, kad, pirma, sulaikymas yra išimtinė priemonė ir kad sulaikymas turi būti taikomas tik kaip kraštutinė priemonė tuo atveju, kai nustatoma, kad jis yra būtinas, pagrįstas ir proporcingas teisėtam tikslui</w:t>
      </w:r>
      <w:r>
        <w:t xml:space="preserve"> (40</w:t>
      </w:r>
      <w:r w:rsidRPr="000C1400">
        <w:t>–</w:t>
      </w:r>
      <w:r>
        <w:t>46</w:t>
      </w:r>
      <w:r w:rsidRPr="000C1400">
        <w:t xml:space="preserve"> punktai</w:t>
      </w:r>
      <w:r>
        <w:t>)</w:t>
      </w:r>
      <w:r w:rsidRPr="00BD7D76">
        <w:t>.</w:t>
      </w:r>
      <w:r>
        <w:t xml:space="preserve"> </w:t>
      </w:r>
    </w:p>
    <w:p w:rsidR="00C32316" w:rsidRDefault="00C32316" w:rsidP="00C87E7D">
      <w:pPr>
        <w:ind w:firstLine="567"/>
      </w:pPr>
      <w:r>
        <w:t>Teisingumo Teismo nuomone, n</w:t>
      </w:r>
      <w:r w:rsidRPr="00BD7D76">
        <w:t xml:space="preserve">eatrodo, kad šios direktyvos 8 straipsnio 3 dalies pirmos pastraipos a ir b punktuose nustatyti naudojimosi Chartijos 6 straipsnyje užtikrinama teise apribojimai yra neproporcingi nurodytiems tikslams. Šiuo klausimu </w:t>
      </w:r>
      <w:r>
        <w:t xml:space="preserve">Teisingumo Teismas </w:t>
      </w:r>
      <w:r w:rsidRPr="00BD7D76">
        <w:t>nurod</w:t>
      </w:r>
      <w:r>
        <w:t>ė</w:t>
      </w:r>
      <w:r w:rsidRPr="00BD7D76">
        <w:t xml:space="preserve">, kad </w:t>
      </w:r>
      <w:r w:rsidRPr="000C1400">
        <w:rPr>
          <w:u w:val="single"/>
        </w:rPr>
        <w:t>8 straipsnio 3 dalies pirmos pastraipos a punkte, kaip ir b punkte, nustatyta pusiausvyra tarp siekiamo bendrojo intereso tikslo, t. y. gero bendros Europos prieglobsčio sistemos veikimo, leidžiančio suteikti tarptautinę apsaugą prašytojams, kuriems jos tikrai reikia, ir atmesti tų prašytojų, kurie neatitinka sąlygų ją gauti, prašymus, ir teisės į laisvę ribojimo pritaikius sulaikymo priemonę</w:t>
      </w:r>
      <w:r>
        <w:t xml:space="preserve">. </w:t>
      </w:r>
      <w:r w:rsidRPr="000C1400">
        <w:t xml:space="preserve">Nors siekiant gero bendros Europos prieglobsčio sistemos veikimo faktiškai reikalaujama, kad nacionalinės institucijos turėtų patikimą informaciją apie tarptautinės apsaugos prašytojo tapatybę arba pilietybę ir informaciją, kuria grindžiamas jo prašymas, šia nuostata </w:t>
      </w:r>
      <w:r w:rsidRPr="000C1400">
        <w:rPr>
          <w:u w:val="single"/>
        </w:rPr>
        <w:t>pateisinamos tik tokios sulaikymo priemonės, dėl kurių priimtas įsakymas šioms nacionalinėms institucijoms kiekvienu konkrečiu atveju patikrinus, ar jos proporcingos siekiamiems tikslams. Atliekant tokį patikrinimą reikalaujama užtikrinti, kad būtų įvykdytos visos ši</w:t>
      </w:r>
      <w:r>
        <w:rPr>
          <w:u w:val="single"/>
        </w:rPr>
        <w:t>ame</w:t>
      </w:r>
      <w:r w:rsidRPr="000C1400">
        <w:rPr>
          <w:u w:val="single"/>
        </w:rPr>
        <w:t xml:space="preserve"> sprendim</w:t>
      </w:r>
      <w:r>
        <w:rPr>
          <w:u w:val="single"/>
        </w:rPr>
        <w:t>e</w:t>
      </w:r>
      <w:r w:rsidRPr="000C1400">
        <w:rPr>
          <w:u w:val="single"/>
        </w:rPr>
        <w:t xml:space="preserve"> nurodytos sąlygos ir, be kita ko, kad kiekvienu atveju sulaikymas būtų taikomas kaip kraštutinė priemonė. Be to, turi būti užtikrinama, kad šis sulaikymas jokiu atveju neviršytų trumpiausios galimos trukmės</w:t>
      </w:r>
      <w:r>
        <w:t xml:space="preserve"> (</w:t>
      </w:r>
      <w:r w:rsidRPr="000C1400">
        <w:t>4</w:t>
      </w:r>
      <w:r>
        <w:t>7</w:t>
      </w:r>
      <w:r w:rsidRPr="000C1400">
        <w:t>–4</w:t>
      </w:r>
      <w:r>
        <w:t>8</w:t>
      </w:r>
      <w:r w:rsidRPr="000C1400">
        <w:t xml:space="preserve"> punktai</w:t>
      </w:r>
      <w:r>
        <w:t>)</w:t>
      </w:r>
      <w:r w:rsidRPr="00BD7D76">
        <w:t>.</w:t>
      </w:r>
    </w:p>
    <w:p w:rsidR="00C32316" w:rsidRPr="00B6056A" w:rsidRDefault="00C32316" w:rsidP="00C87E7D">
      <w:pPr>
        <w:ind w:firstLine="567"/>
      </w:pPr>
      <w:r w:rsidRPr="00B6056A">
        <w:t xml:space="preserve">Galiausiai </w:t>
      </w:r>
      <w:r>
        <w:t xml:space="preserve">Teisingumo Teismas </w:t>
      </w:r>
      <w:r w:rsidRPr="00B6056A">
        <w:t>primin</w:t>
      </w:r>
      <w:r>
        <w:t>ė</w:t>
      </w:r>
      <w:r w:rsidRPr="00B6056A">
        <w:t>, kad kadangi Chartijoje įtvirtintos teisės atitinka teises, užtikrinamas EŽTK, pagal Chartijos 52 straipsnio 3 dalį siekiama užtikrinti būtiną Chartijoje įtvirtintų teisių, atitinkančių EŽTK užtikrinamas teises, darnumą, nedarant neigiamos įtakos Sąjungos teisės ir Europos Sąjungos Teisingumo Teismo autonomijai. Vadinasi, siekiant išaiškinti Chartijos 6 straipsnį reikia atsižvelgti į EŽTK 5 straipsnio 1 dalį. Priimdamas Direktyvos 2013/33 8 straipsnio 3 dalies pirmos pastraipos a ir b punktus Sąjungos teisės aktų leidėjas nepažeidė EŽTK 5 straipsnio 1 dalies f punktu suteikiamo apsaugos lygio</w:t>
      </w:r>
      <w:r>
        <w:t>.</w:t>
      </w:r>
      <w:r w:rsidRPr="00B6056A">
        <w:t xml:space="preserve"> Dėl EŽTK 5 straipsnio 1 dalies f punkto sakinio pirmoje dalyje įtvirtintos garantijos, kad niekam negali būti atimta laisvė, nebent asmuo teisėtai sulaikomas arba suimamas dėl to, kad negalėtų be leidimo įvažiuoti į šalį, kurią išaiškino Europos Žmogaus Teisių Teismas, </w:t>
      </w:r>
      <w:r>
        <w:t xml:space="preserve">Teisingumo Teismas </w:t>
      </w:r>
      <w:r w:rsidRPr="00B6056A">
        <w:t>primin</w:t>
      </w:r>
      <w:r>
        <w:t>ė</w:t>
      </w:r>
      <w:r w:rsidRPr="00B6056A">
        <w:t>, kad šia garantija neuždraudžiamos būtinos sulaikymo priemonės, kurių gali būti priimta dėl trečiųjų šalių piliečių, pateikusių tarptautinės apsaugos prašymus, jeigu tokios priemonės yra teisėtos ir įgyvendinamos sąlygomis, kurios atitinka tikslą apsaugoti asmenį nuo savivalės.</w:t>
      </w:r>
      <w:r>
        <w:t xml:space="preserve"> </w:t>
      </w:r>
      <w:r w:rsidRPr="00B6056A">
        <w:t xml:space="preserve">Taigi, iš argumentų, pateiktų nagrinėjant Direktyvos 2013/33 8 straipsnio 3 dalies pirmos pastraipos a ir b punktų galiojimo atsižvelgiant į Chartijos 52 straipsnio 1 dalį klausimą, </w:t>
      </w:r>
      <w:r>
        <w:t xml:space="preserve">Teisingumo Teismo nuomone, </w:t>
      </w:r>
      <w:r w:rsidRPr="00B6056A">
        <w:t>aišku, kad šios direktyvos nuostata, kurios taikymo sritis aiškiai apribota, atitinka šiuos reikalavimus</w:t>
      </w:r>
      <w:r>
        <w:t xml:space="preserve"> (50, 52–53 punktai)</w:t>
      </w:r>
      <w:r w:rsidRPr="00B6056A">
        <w:t>.</w:t>
      </w:r>
    </w:p>
    <w:p w:rsidR="00C32316" w:rsidRPr="00BD7D76" w:rsidRDefault="00C32316" w:rsidP="00C87E7D">
      <w:pPr>
        <w:ind w:firstLine="567"/>
      </w:pPr>
    </w:p>
    <w:bookmarkEnd w:id="8"/>
    <w:p w:rsidR="00C32316" w:rsidRPr="00350827" w:rsidRDefault="00C32316" w:rsidP="00C87E7D">
      <w:pPr>
        <w:ind w:firstLine="567"/>
        <w:rPr>
          <w:b/>
        </w:rPr>
      </w:pPr>
      <w:r w:rsidRPr="00350827">
        <w:rPr>
          <w:b/>
        </w:rPr>
        <w:lastRenderedPageBreak/>
        <w:t>Remdamasis šiais motyvais, Teisingumo Teismas (</w:t>
      </w:r>
      <w:r>
        <w:rPr>
          <w:b/>
        </w:rPr>
        <w:t>ketvirtoji kolegija</w:t>
      </w:r>
      <w:r w:rsidRPr="00350827">
        <w:rPr>
          <w:b/>
        </w:rPr>
        <w:t>) nusprendė:</w:t>
      </w:r>
    </w:p>
    <w:p w:rsidR="00C32316" w:rsidRPr="00350827" w:rsidRDefault="00C32316" w:rsidP="00C87E7D">
      <w:pPr>
        <w:ind w:firstLine="567"/>
        <w:rPr>
          <w:b/>
          <w:u w:val="single"/>
        </w:rPr>
      </w:pPr>
    </w:p>
    <w:p w:rsidR="00C32316" w:rsidRDefault="00C32316" w:rsidP="00C87E7D">
      <w:pPr>
        <w:ind w:firstLine="567"/>
      </w:pPr>
      <w:r w:rsidRPr="00B6056A">
        <w:rPr>
          <w:bCs/>
        </w:rPr>
        <w:t>Išnagrinėjus 2013 m. birželio 26 d. Europos Parlamento ir Tarybos direktyvos 2013/33/ES, kuria nustatomos normos dėl tarptautinės apsaugos prašytojų priėmimo, 8 straipsnio 3 dalies pirmos pastraipos a ir b punktus nebuvo nustatyta nieko, kas galėtų paveikti šios nuostatos galiojimą atsižvelgiant į Europos Sąjungos pagrindinių teisių chartijos 6 straipsnį ir 52 straipsnio 1 ir 3 dalis.</w:t>
      </w:r>
      <w:r w:rsidRPr="00C105B1">
        <w:rPr>
          <w:bCs/>
        </w:rPr>
        <w:t xml:space="preserve"> </w:t>
      </w:r>
    </w:p>
    <w:p w:rsidR="00C32316" w:rsidRDefault="00A87A78" w:rsidP="00C87E7D">
      <w:pPr>
        <w:ind w:firstLine="567"/>
      </w:pPr>
      <w:hyperlink r:id="rId12" w:history="1">
        <w:r w:rsidR="00C32316" w:rsidRPr="00B6056A">
          <w:rPr>
            <w:rStyle w:val="Hipersaitas"/>
          </w:rPr>
          <w:t>Prieiga internete</w:t>
        </w:r>
      </w:hyperlink>
    </w:p>
    <w:p w:rsidR="002F456B" w:rsidRPr="008C2FAD" w:rsidRDefault="002F456B" w:rsidP="00C87E7D">
      <w:pPr>
        <w:pStyle w:val="Antrat1"/>
        <w:rPr>
          <w:rFonts w:eastAsia="Times New Roman"/>
          <w:bCs/>
          <w:color w:val="17365D"/>
          <w:kern w:val="32"/>
          <w:lang w:eastAsia="lt-LT"/>
        </w:rPr>
      </w:pPr>
      <w:bookmarkStart w:id="10" w:name="_Toc497144232"/>
      <w:bookmarkStart w:id="11" w:name="_Toc512411028"/>
      <w:r>
        <w:rPr>
          <w:rFonts w:eastAsia="Times New Roman"/>
          <w:bCs/>
          <w:color w:val="17365D"/>
          <w:kern w:val="32"/>
          <w:lang w:eastAsia="lt-LT"/>
        </w:rPr>
        <w:t>SOCIALINĖ POLITIKA</w:t>
      </w:r>
      <w:bookmarkEnd w:id="10"/>
      <w:bookmarkEnd w:id="11"/>
    </w:p>
    <w:p w:rsidR="002F456B" w:rsidRPr="008C2FAD" w:rsidRDefault="002F456B" w:rsidP="00C87E7D">
      <w:pPr>
        <w:rPr>
          <w:lang w:eastAsia="lt-LT"/>
        </w:rPr>
      </w:pPr>
    </w:p>
    <w:p w:rsidR="002F456B" w:rsidRPr="009056D2" w:rsidRDefault="002F456B" w:rsidP="00C87E7D">
      <w:pPr>
        <w:pStyle w:val="Antrat2"/>
        <w:rPr>
          <w:rFonts w:cs="Calibri"/>
        </w:rPr>
      </w:pPr>
      <w:bookmarkStart w:id="12" w:name="_Toc512411029"/>
      <w:bookmarkStart w:id="13" w:name="_Toc497144233"/>
      <w:r w:rsidRPr="009056D2">
        <w:rPr>
          <w:rFonts w:cs="Calibri"/>
        </w:rPr>
        <w:t>2017 m. spalio 18 d. prejudicinis sprendimas byloje C-409/16</w:t>
      </w:r>
      <w:bookmarkEnd w:id="12"/>
      <w:r w:rsidRPr="009056D2">
        <w:rPr>
          <w:rFonts w:cs="Calibri"/>
        </w:rPr>
        <w:t xml:space="preserve"> </w:t>
      </w:r>
      <w:bookmarkEnd w:id="13"/>
    </w:p>
    <w:p w:rsidR="002F456B" w:rsidRPr="009056D2" w:rsidRDefault="002F456B" w:rsidP="00C87E7D">
      <w:pPr>
        <w:jc w:val="center"/>
        <w:rPr>
          <w:rFonts w:cs="Calibri"/>
          <w:b/>
          <w:i/>
        </w:rPr>
      </w:pPr>
      <w:r w:rsidRPr="009056D2">
        <w:rPr>
          <w:rFonts w:cs="Calibri"/>
          <w:b/>
          <w:i/>
        </w:rPr>
        <w:t>Ypourgos Esoterikon, Ypourgos Ethnikis paideias kai Thriskevmaton</w:t>
      </w:r>
    </w:p>
    <w:p w:rsidR="002F456B" w:rsidRPr="009056D2" w:rsidRDefault="002F456B" w:rsidP="00C87E7D">
      <w:pPr>
        <w:jc w:val="center"/>
        <w:rPr>
          <w:rFonts w:cs="Calibri"/>
          <w:b/>
          <w:i/>
        </w:rPr>
      </w:pPr>
      <w:r w:rsidRPr="009056D2">
        <w:rPr>
          <w:rFonts w:cs="Calibri"/>
          <w:b/>
          <w:i/>
        </w:rPr>
        <w:t>prieš Maria-Eleni Kalliri</w:t>
      </w:r>
    </w:p>
    <w:p w:rsidR="002F456B" w:rsidRPr="009056D2" w:rsidRDefault="002F456B" w:rsidP="00C87E7D">
      <w:pPr>
        <w:ind w:firstLine="540"/>
        <w:rPr>
          <w:rFonts w:cs="Calibri"/>
        </w:rPr>
      </w:pPr>
    </w:p>
    <w:p w:rsidR="002F456B" w:rsidRPr="009056D2" w:rsidRDefault="002F456B" w:rsidP="00C87E7D">
      <w:pPr>
        <w:ind w:firstLine="567"/>
        <w:rPr>
          <w:rFonts w:asciiTheme="minorHAnsi" w:hAnsiTheme="minorHAnsi" w:cstheme="minorHAnsi"/>
        </w:rPr>
      </w:pPr>
      <w:r w:rsidRPr="009056D2">
        <w:rPr>
          <w:rFonts w:asciiTheme="minorHAnsi" w:hAnsiTheme="minorHAnsi" w:cstheme="minorHAnsi"/>
        </w:rPr>
        <w:t>Prašymas priimti prejudicinį sprendimą pateiktas dėl 1976 m. vasario 9 d. Tarybos direktyvos 76/207/EEB dėl vienodo požiūrio į vyrus ir moteris principo taikymo įsidarbinimo, profesinio mokymo, pareigų paaukštinimo ir darbo sąlygų atžvilgiu (OL L 39, 1976, p. 40; 2004 m. specialusis leidimas lietuvių k., 5 sk., 1 t., p. 187), iš dalies pakeistos 2002 m. rugsėjo 23 d. Europos Parlamento ir Tarybos direktyva 2002/73/EB (OL L 269, 2002, p. 15; 2004 m. specialusis leidimas lietuvių k., 5 sk., 4 t., p. 255) (toliau – Direktyva 76/207), ir 2006 m. liepos 5 d. Europos Parlamento ir Tarybos direktyvos 2006/54/EB dėl moterų ir vyrų lygių galimybių ir vienodo požiūrio į moteris ir vyrus užimtumo bei profesinės veiklos srityje principo įgyvendinimo (OL L 204, 2006, p. 23) (toliau – Direktyva 2006/54) (1 punktas).</w:t>
      </w:r>
    </w:p>
    <w:p w:rsidR="002F456B" w:rsidRPr="009056D2" w:rsidRDefault="002F456B" w:rsidP="00C87E7D">
      <w:pPr>
        <w:ind w:firstLine="567"/>
        <w:rPr>
          <w:rFonts w:asciiTheme="minorHAnsi" w:hAnsiTheme="minorHAnsi" w:cstheme="minorHAnsi"/>
        </w:rPr>
      </w:pPr>
      <w:r w:rsidRPr="009056D2">
        <w:rPr>
          <w:rFonts w:asciiTheme="minorHAnsi" w:hAnsiTheme="minorHAnsi" w:cstheme="minorHAnsi"/>
        </w:rPr>
        <w:t xml:space="preserve">Prašymas pateiktas, nagrinėjant </w:t>
      </w:r>
      <w:r w:rsidRPr="009056D2">
        <w:rPr>
          <w:rFonts w:asciiTheme="minorHAnsi" w:hAnsiTheme="minorHAnsi" w:cstheme="minorHAnsi"/>
          <w:i/>
          <w:iCs/>
        </w:rPr>
        <w:t>Ypourgos Esoterikon</w:t>
      </w:r>
      <w:r w:rsidRPr="009056D2">
        <w:rPr>
          <w:rFonts w:asciiTheme="minorHAnsi" w:hAnsiTheme="minorHAnsi" w:cstheme="minorHAnsi"/>
        </w:rPr>
        <w:t xml:space="preserve"> (vidaus reikalų ministras, Graikija) ir </w:t>
      </w:r>
      <w:r w:rsidRPr="009056D2">
        <w:rPr>
          <w:rFonts w:asciiTheme="minorHAnsi" w:hAnsiTheme="minorHAnsi" w:cstheme="minorHAnsi"/>
          <w:i/>
          <w:iCs/>
        </w:rPr>
        <w:t>Ypourgos Ethnikis paideias kai Thriskevmaton</w:t>
      </w:r>
      <w:r w:rsidRPr="009056D2">
        <w:rPr>
          <w:rFonts w:asciiTheme="minorHAnsi" w:hAnsiTheme="minorHAnsi" w:cstheme="minorHAnsi"/>
        </w:rPr>
        <w:t xml:space="preserve"> (nacionalinio švietimo ir religinių reikalų ministras, Graikija) ginčą su Maria–Eleni Kalliri (toliau – pareiškėja), susijusį su jos pateiktu skundu dėl administracinių aktų, priimtų remiantis nacionalinės teisės aktais, pagal kuriuos priėmimo į Graikijos policijos mokyklą konkurse leidžiama dalyvauti kandidatams, kurie atitinka minimalaus ūgio reikalavimą, panaikinimo (2 punktas).</w:t>
      </w:r>
    </w:p>
    <w:p w:rsidR="002F456B" w:rsidRPr="00085476" w:rsidRDefault="002F456B" w:rsidP="00C87E7D">
      <w:pPr>
        <w:ind w:firstLine="567"/>
        <w:rPr>
          <w:rFonts w:asciiTheme="minorHAnsi" w:eastAsia="Times New Roman" w:hAnsiTheme="minorHAnsi" w:cstheme="minorHAnsi"/>
          <w:lang w:eastAsia="lt-LT"/>
        </w:rPr>
      </w:pPr>
      <w:r w:rsidRPr="009056D2">
        <w:rPr>
          <w:rFonts w:asciiTheme="minorHAnsi" w:eastAsia="Times New Roman" w:hAnsiTheme="minorHAnsi" w:cstheme="minorHAnsi"/>
          <w:lang w:eastAsia="lt-LT"/>
        </w:rPr>
        <w:t xml:space="preserve">Remiantis Prezidento dekretų nuostatomis ir Graikijos policijos vadovo sprendimu, buvo paskelbtas pranešimas apie konkursą dėl registracijos 2007–2008 akademiniams metams į Graikijos policijos pareigūnų ir tarnautojų mokyklas. Pagal šio pranešimo apie konkursą nuostatą, šio konkurso kandidatai turėjo būti ne mažesni kaip 1,70 m be batų. Pareiškėja pateikė prašymą dalyvauti šiame konkurse su reikalaujamais pagrindžiamaisiais dokumentais Vrachačio policijos komisariatui (Graikija); šis jai grąžino dokumentus, nes jos ūgis (1,68 m) mažesnis negu pagal Prezidento dekreto reikalaujamas minimalus 1,70 m ūgis. Remdamasis šiuo Vrachačio policijos komisariato grąžinimo aktu, administracija neleido pareiškėjai dalyvauti nagrinėjamame konkurse. Pareiškėja užginčijo šį atsisakymą </w:t>
      </w:r>
      <w:r w:rsidRPr="00085476">
        <w:rPr>
          <w:rFonts w:asciiTheme="minorHAnsi" w:eastAsia="Times New Roman" w:hAnsiTheme="minorHAnsi" w:cstheme="minorHAnsi"/>
          <w:lang w:eastAsia="lt-LT"/>
        </w:rPr>
        <w:t>Atėnų apeliaciniam administraciniam teismui, šis patenkino jos skundą ir nusprendė, kad aktuali Prezidento dekreto nuostata prieštarauja konstituciniam lyčių lygybės principui, ir panaikino šias nuostatas. Vidaus reikalų ministras ir nacionalinio švietimo ir religinių reikalų ministras apskundė šį sprendimą prašymą priimti prejudicinį sprendimą pateikusiam teismui (8</w:t>
      </w:r>
      <w:r w:rsidR="003B0EE7" w:rsidRPr="00085476">
        <w:rPr>
          <w:rFonts w:asciiTheme="minorHAnsi" w:eastAsia="Times New Roman" w:hAnsiTheme="minorHAnsi" w:cstheme="minorHAnsi"/>
          <w:lang w:eastAsia="lt-LT"/>
        </w:rPr>
        <w:t>–13 </w:t>
      </w:r>
      <w:r w:rsidRPr="00085476">
        <w:rPr>
          <w:rFonts w:asciiTheme="minorHAnsi" w:eastAsia="Times New Roman" w:hAnsiTheme="minorHAnsi" w:cstheme="minorHAnsi"/>
          <w:lang w:eastAsia="lt-LT"/>
        </w:rPr>
        <w:t>punktai).</w:t>
      </w:r>
      <w:bookmarkStart w:id="14" w:name="point14"/>
      <w:r w:rsidRPr="00085476">
        <w:rPr>
          <w:rFonts w:asciiTheme="minorHAnsi" w:eastAsia="Times New Roman" w:hAnsiTheme="minorHAnsi" w:cstheme="minorHAnsi"/>
          <w:lang w:eastAsia="lt-LT"/>
        </w:rPr>
        <w:t xml:space="preserve"> </w:t>
      </w:r>
    </w:p>
    <w:p w:rsidR="002F456B" w:rsidRPr="00085476" w:rsidRDefault="002F456B" w:rsidP="00C87E7D">
      <w:pPr>
        <w:ind w:firstLine="567"/>
        <w:rPr>
          <w:rFonts w:asciiTheme="minorHAnsi" w:eastAsia="Times New Roman" w:hAnsiTheme="minorHAnsi" w:cstheme="minorHAnsi"/>
          <w:lang w:eastAsia="lt-LT"/>
        </w:rPr>
      </w:pPr>
      <w:r w:rsidRPr="00085476">
        <w:rPr>
          <w:rFonts w:asciiTheme="minorHAnsi" w:eastAsia="Times New Roman" w:hAnsiTheme="minorHAnsi" w:cstheme="minorHAnsi"/>
          <w:lang w:eastAsia="lt-LT"/>
        </w:rPr>
        <w:t xml:space="preserve">Šiomis </w:t>
      </w:r>
      <w:bookmarkEnd w:id="14"/>
      <w:r w:rsidRPr="00085476">
        <w:rPr>
          <w:rFonts w:asciiTheme="minorHAnsi" w:eastAsia="Times New Roman" w:hAnsiTheme="minorHAnsi" w:cstheme="minorHAnsi"/>
          <w:lang w:eastAsia="lt-LT"/>
        </w:rPr>
        <w:t>aplinkybėmis Graikijos Valstybės Taryba nusprendė sustabdyti bylos nagrinėjimą ir pateikti Teisingumo Teismui prejudicinį klausimą (14 punktas).</w:t>
      </w:r>
    </w:p>
    <w:p w:rsidR="002F456B" w:rsidRPr="00085476" w:rsidRDefault="002F456B" w:rsidP="00C87E7D">
      <w:pPr>
        <w:ind w:firstLine="567"/>
        <w:rPr>
          <w:rFonts w:asciiTheme="minorHAnsi" w:hAnsiTheme="minorHAnsi" w:cstheme="minorHAnsi"/>
          <w:b/>
        </w:rPr>
      </w:pPr>
    </w:p>
    <w:p w:rsidR="002F456B" w:rsidRPr="00085476" w:rsidRDefault="002F456B" w:rsidP="00C87E7D">
      <w:pPr>
        <w:pStyle w:val="Antrat3"/>
        <w:ind w:firstLine="567"/>
        <w:rPr>
          <w:rFonts w:cstheme="minorHAnsi"/>
          <w:b w:val="0"/>
        </w:rPr>
      </w:pPr>
      <w:bookmarkStart w:id="15" w:name="_Toc512411030"/>
      <w:r w:rsidRPr="00085476">
        <w:rPr>
          <w:rFonts w:cstheme="minorHAnsi"/>
        </w:rPr>
        <w:t>Dėl d</w:t>
      </w:r>
      <w:r w:rsidRPr="00085476">
        <w:rPr>
          <w:rFonts w:eastAsia="Times New Roman" w:cstheme="minorHAnsi"/>
          <w:lang w:eastAsia="lt-LT"/>
        </w:rPr>
        <w:t>irektyvų 2006/54 ir 76/207 taikymo srities</w:t>
      </w:r>
      <w:bookmarkEnd w:id="15"/>
    </w:p>
    <w:p w:rsidR="002F456B" w:rsidRPr="00085476" w:rsidRDefault="002F456B" w:rsidP="00C87E7D">
      <w:pPr>
        <w:ind w:firstLine="567"/>
        <w:rPr>
          <w:rFonts w:asciiTheme="minorHAnsi" w:hAnsiTheme="minorHAnsi" w:cstheme="minorHAnsi"/>
          <w:b/>
        </w:rPr>
      </w:pPr>
    </w:p>
    <w:p w:rsidR="002F456B" w:rsidRPr="00085476" w:rsidRDefault="002F456B" w:rsidP="00C87E7D">
      <w:pPr>
        <w:ind w:firstLine="567"/>
        <w:rPr>
          <w:rFonts w:asciiTheme="minorHAnsi" w:eastAsia="Times New Roman" w:hAnsiTheme="minorHAnsi" w:cstheme="minorHAnsi"/>
          <w:lang w:eastAsia="lt-LT"/>
        </w:rPr>
      </w:pPr>
      <w:r w:rsidRPr="00085476">
        <w:rPr>
          <w:rFonts w:asciiTheme="minorHAnsi" w:hAnsiTheme="minorHAnsi" w:cstheme="minorHAnsi"/>
        </w:rPr>
        <w:t xml:space="preserve">Teisingumo Teismas pirmiausia aiškinosi, ar pagrindinėje byloje nagrinėjamas ginčas patenka į direktyvų 76/207 ir 2006/54 nuostatų taikymo sritį ir pažymėjo, kad </w:t>
      </w:r>
      <w:r w:rsidRPr="00085476">
        <w:rPr>
          <w:rFonts w:asciiTheme="minorHAnsi" w:eastAsia="Times New Roman" w:hAnsiTheme="minorHAnsi" w:cstheme="minorHAnsi"/>
          <w:lang w:eastAsia="lt-LT"/>
        </w:rPr>
        <w:t xml:space="preserve">ginčas susijęs su administraciniais aktais, priimtais 2007 m. po to, kai pareiškėja pateikė prašymą dalyvauti priėmimo konkurse į Graikijos policijos pareigūnų ir tarnautojų mokyklas 2007–2008 akademiniais metais. Pagal Direktyvos 2006/54 33 straipsnio pirmą pastraipą direktyvos perkėlimo terminas baigėsi 2008 m. rugpjūčio 15 d. Be to, pagal šios direktyvos 34 straipsnio 1 dalį, Direktyva 76/207 panaikinama nuo 2009 m. rugpjūčio 15 d. Taigi pagrindinėje byloje nagrinėjamoms faktinėms aplinkybėms </w:t>
      </w:r>
      <w:r w:rsidRPr="00085476">
        <w:rPr>
          <w:rFonts w:asciiTheme="minorHAnsi" w:eastAsia="Times New Roman" w:hAnsiTheme="minorHAnsi" w:cstheme="minorHAnsi"/>
          <w:i/>
          <w:iCs/>
          <w:lang w:eastAsia="lt-LT"/>
        </w:rPr>
        <w:t>ratione temporis</w:t>
      </w:r>
      <w:r w:rsidRPr="00085476">
        <w:rPr>
          <w:rFonts w:asciiTheme="minorHAnsi" w:eastAsia="Times New Roman" w:hAnsiTheme="minorHAnsi" w:cstheme="minorHAnsi"/>
          <w:lang w:eastAsia="lt-LT"/>
        </w:rPr>
        <w:t xml:space="preserve"> taikytinos ne Direktyvos 2006/54, o Direktyvos 76/207 nuostatos (17–20 punktai).</w:t>
      </w:r>
    </w:p>
    <w:p w:rsidR="002F456B" w:rsidRPr="00085476" w:rsidRDefault="002F456B" w:rsidP="00C87E7D">
      <w:pPr>
        <w:ind w:firstLine="567"/>
        <w:rPr>
          <w:rFonts w:asciiTheme="minorHAnsi" w:eastAsia="Times New Roman" w:hAnsiTheme="minorHAnsi" w:cstheme="minorHAnsi"/>
          <w:lang w:eastAsia="lt-LT"/>
        </w:rPr>
      </w:pPr>
      <w:r w:rsidRPr="00085476">
        <w:rPr>
          <w:rFonts w:asciiTheme="minorHAnsi" w:eastAsia="Times New Roman" w:hAnsiTheme="minorHAnsi" w:cstheme="minorHAnsi"/>
          <w:lang w:eastAsia="lt-LT"/>
        </w:rPr>
        <w:t xml:space="preserve">Direktyvos 76/207 tikslas – valstybėse narėse įgyvendinti vienodo požiūrio į vyrus ir moteris principą įsidarbinimo, įskaitant pareigų paaukštinimą, ir profesinio mokymo srityje. Pagal šios direktyvos 3 straipsnio </w:t>
      </w:r>
      <w:r w:rsidRPr="00085476">
        <w:rPr>
          <w:rFonts w:asciiTheme="minorHAnsi" w:eastAsia="Times New Roman" w:hAnsiTheme="minorHAnsi" w:cstheme="minorHAnsi"/>
          <w:lang w:eastAsia="lt-LT"/>
        </w:rPr>
        <w:lastRenderedPageBreak/>
        <w:t xml:space="preserve">1 dalies a punktą, draudžiama bet kokia tiesioginė ar netiesioginė diskriminacija dėl lyties privačiame ar valstybiniame sektoriuje, įskaitant valstybės įstaigas, dėl įsidarbinimo, savarankiško įsidarbinimo ir profesinės veiklos, įskaitant atrankos kriterijus ir priėmimo į darbą sąlygas. Tuo remiantis, Direktyva 76/207 taikoma įsidarbinti siekiančiam asmeniui, kiek tai susiję, be kita ko, su atrankos kriterijais ir priėmimo į darbą sąlygomis (žr. 2016 m. liepos 28 d. Sprendimo </w:t>
      </w:r>
      <w:r w:rsidRPr="00085476">
        <w:rPr>
          <w:rFonts w:asciiTheme="minorHAnsi" w:eastAsia="Times New Roman" w:hAnsiTheme="minorHAnsi" w:cstheme="minorHAnsi"/>
          <w:i/>
          <w:iCs/>
          <w:lang w:eastAsia="lt-LT"/>
        </w:rPr>
        <w:t>Kratzer</w:t>
      </w:r>
      <w:r w:rsidRPr="00085476">
        <w:rPr>
          <w:rFonts w:asciiTheme="minorHAnsi" w:eastAsia="Times New Roman" w:hAnsiTheme="minorHAnsi" w:cstheme="minorHAnsi"/>
          <w:lang w:eastAsia="lt-LT"/>
        </w:rPr>
        <w:t>, C-423/15, EU:C:2016:604, 34 punktą). Toks atvejis yra tuomet, kai asmuo, nagrinėjamu atveju – pareiškėja, pateikia paraišką dalyvauti priėmimo konkurse į valstybės narės policijos mokyklą. Taigi pagrindinėje byloje nagrinėjamu teisės aktu, kuriame numatyta, kad asmenims, mažesniems negu 1,70 m, negali būti leidžiama dalyvauti priėmimo į Graikijos policijos mokyklą konkurse, daromas poveikis šių darbuotojų priėmimo į darbą sąlygoms, todėl jis turi būti laikomas nustatančiu priėmimo į darbą valstybiniame sektoriuje taisykles, kaip tai suprantama pagal Direktyvos 76/207 3 straipsnio 1 dalies a punktą (pagal analogi</w:t>
      </w:r>
      <w:r w:rsidR="003B0EE7" w:rsidRPr="00085476">
        <w:rPr>
          <w:rFonts w:asciiTheme="minorHAnsi" w:eastAsia="Times New Roman" w:hAnsiTheme="minorHAnsi" w:cstheme="minorHAnsi"/>
          <w:lang w:eastAsia="lt-LT"/>
        </w:rPr>
        <w:t>ją žr. 2014 m. lapkričio 13 d. 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Vital Pérez</w:t>
      </w:r>
      <w:r w:rsidRPr="00085476">
        <w:rPr>
          <w:rFonts w:asciiTheme="minorHAnsi" w:eastAsia="Times New Roman" w:hAnsiTheme="minorHAnsi" w:cstheme="minorHAnsi"/>
          <w:lang w:eastAsia="lt-LT"/>
        </w:rPr>
        <w:t xml:space="preserve">, C-416/13, EU:C:2014:2371, 30 punktą ir 2016 m. lapkričio 15 d. </w:t>
      </w:r>
      <w:r w:rsidR="003B0EE7" w:rsidRPr="00085476">
        <w:rPr>
          <w:rFonts w:asciiTheme="minorHAnsi" w:eastAsia="Times New Roman" w:hAnsiTheme="minorHAnsi" w:cstheme="minorHAnsi"/>
          <w:lang w:eastAsia="lt-LT"/>
        </w:rPr>
        <w:t>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Salaberria Sorondo</w:t>
      </w:r>
      <w:r w:rsidRPr="00085476">
        <w:rPr>
          <w:rFonts w:asciiTheme="minorHAnsi" w:eastAsia="Times New Roman" w:hAnsiTheme="minorHAnsi" w:cstheme="minorHAnsi"/>
          <w:lang w:eastAsia="lt-LT"/>
        </w:rPr>
        <w:t>, C-258/15, EU:C:2016:873, 25 punktą). Taigi prašymą priimti prejudicinį sprendimą pateikusio teismo nagrinėjamas ginčas patenka į Direktyvos 7</w:t>
      </w:r>
      <w:r w:rsidR="003B0EE7" w:rsidRPr="00085476">
        <w:rPr>
          <w:rFonts w:asciiTheme="minorHAnsi" w:eastAsia="Times New Roman" w:hAnsiTheme="minorHAnsi" w:cstheme="minorHAnsi"/>
          <w:lang w:eastAsia="lt-LT"/>
        </w:rPr>
        <w:t>6/207 materialinę taikymo sritį</w:t>
      </w:r>
      <w:r w:rsidRPr="00085476">
        <w:rPr>
          <w:rFonts w:asciiTheme="minorHAnsi" w:eastAsia="Times New Roman" w:hAnsiTheme="minorHAnsi" w:cstheme="minorHAnsi"/>
          <w:lang w:eastAsia="lt-LT"/>
        </w:rPr>
        <w:t xml:space="preserve"> (21–26 punktai).</w:t>
      </w:r>
    </w:p>
    <w:p w:rsidR="002F456B" w:rsidRPr="00085476" w:rsidRDefault="002F456B" w:rsidP="00C87E7D">
      <w:pPr>
        <w:ind w:firstLine="567"/>
        <w:rPr>
          <w:rFonts w:asciiTheme="minorHAnsi" w:eastAsia="Times New Roman" w:hAnsiTheme="minorHAnsi" w:cstheme="minorHAnsi"/>
          <w:lang w:eastAsia="lt-LT"/>
        </w:rPr>
      </w:pPr>
    </w:p>
    <w:p w:rsidR="002F456B" w:rsidRPr="00085476" w:rsidRDefault="002F456B" w:rsidP="00C87E7D">
      <w:pPr>
        <w:pStyle w:val="Antrat3"/>
        <w:ind w:firstLine="567"/>
        <w:rPr>
          <w:rFonts w:cstheme="minorHAnsi"/>
          <w:b w:val="0"/>
        </w:rPr>
      </w:pPr>
      <w:bookmarkStart w:id="16" w:name="_Toc512411031"/>
      <w:r w:rsidRPr="00085476">
        <w:rPr>
          <w:rFonts w:cstheme="minorHAnsi"/>
        </w:rPr>
        <w:t>Dėl valstybės narės teisės akto, pagal kurį leidimas kandidatams dalyvauti priėmimo konkurse į šios valstybės narės policijos mokyklą siejamas su minimalaus 1,70 m fizinio ūgio reikalavimu, neatsižvelgiant į jų lytį</w:t>
      </w:r>
      <w:bookmarkEnd w:id="16"/>
    </w:p>
    <w:p w:rsidR="002F456B" w:rsidRPr="00085476" w:rsidRDefault="002F456B" w:rsidP="00C87E7D">
      <w:pPr>
        <w:ind w:firstLine="567"/>
        <w:rPr>
          <w:rFonts w:asciiTheme="minorHAnsi" w:hAnsiTheme="minorHAnsi" w:cstheme="minorHAnsi"/>
          <w:b/>
        </w:rPr>
      </w:pPr>
    </w:p>
    <w:p w:rsidR="002F456B" w:rsidRPr="00085476" w:rsidRDefault="002F456B" w:rsidP="00C87E7D">
      <w:pPr>
        <w:ind w:firstLine="567"/>
        <w:rPr>
          <w:rFonts w:asciiTheme="minorHAnsi" w:eastAsia="Times New Roman" w:hAnsiTheme="minorHAnsi" w:cstheme="minorHAnsi"/>
          <w:lang w:eastAsia="lt-LT"/>
        </w:rPr>
      </w:pPr>
      <w:r w:rsidRPr="00085476">
        <w:rPr>
          <w:rFonts w:asciiTheme="minorHAnsi" w:hAnsiTheme="minorHAnsi" w:cstheme="minorHAnsi"/>
        </w:rPr>
        <w:t xml:space="preserve">Šiuo aspektu Teisingumo Teismas pažymėjo, kad analizuojamas nacionalinės teisės aktas </w:t>
      </w:r>
      <w:r w:rsidRPr="00085476">
        <w:rPr>
          <w:rFonts w:asciiTheme="minorHAnsi" w:eastAsia="Times New Roman" w:hAnsiTheme="minorHAnsi" w:cstheme="minorHAnsi"/>
          <w:lang w:eastAsia="lt-LT"/>
        </w:rPr>
        <w:t xml:space="preserve">neįtvirtina tiesioginės diskriminacijos, kaip ji suprantama pagal Direktyvos 76/207 2 straipsnio 2 dalies pirmą įtrauką, kadangi </w:t>
      </w:r>
      <w:r w:rsidRPr="00085476">
        <w:rPr>
          <w:rFonts w:asciiTheme="minorHAnsi" w:hAnsiTheme="minorHAnsi" w:cstheme="minorHAnsi"/>
        </w:rPr>
        <w:t>pagal šį teisės aktą asmenys, nesvarbu, kokia jų lytis, pateikiantys paraiškas dalyvauti priėmimo konkurse į policijos mokyklą, vertinami vienodai. Tačiau t</w:t>
      </w:r>
      <w:r w:rsidRPr="00085476">
        <w:rPr>
          <w:rFonts w:asciiTheme="minorHAnsi" w:eastAsia="Times New Roman" w:hAnsiTheme="minorHAnsi" w:cstheme="minorHAnsi"/>
          <w:lang w:eastAsia="lt-LT"/>
        </w:rPr>
        <w:t>oks teisės aktas gali sukurti netiesioginę diskriminaciją, kaip ji suprantama pagal šio straipsnio 2 dalies antrą įtrauką. Pagal Teisingumo Teismo suformuotą jurisprudenciją netiesioginė diskriminacija atsiranda tuomet, kai nacionalinė priemonė, nors ir suformuluota neutraliai, iš tikrųjų daro nepalankų poveikį didesniam skaičiui moterų nei vyrų (be kita ko, žr.</w:t>
      </w:r>
      <w:r w:rsidR="003A02CF" w:rsidRPr="00085476">
        <w:rPr>
          <w:rFonts w:asciiTheme="minorHAnsi" w:eastAsia="Times New Roman" w:hAnsiTheme="minorHAnsi" w:cstheme="minorHAnsi"/>
          <w:lang w:eastAsia="lt-LT"/>
        </w:rPr>
        <w:t> </w:t>
      </w:r>
      <w:r w:rsidRPr="00085476">
        <w:rPr>
          <w:rFonts w:asciiTheme="minorHAnsi" w:eastAsia="Times New Roman" w:hAnsiTheme="minorHAnsi" w:cstheme="minorHAnsi"/>
          <w:lang w:eastAsia="lt-LT"/>
        </w:rPr>
        <w:t xml:space="preserve">1997 m. spalio 2 d. </w:t>
      </w:r>
      <w:r w:rsidR="003A02CF" w:rsidRPr="00085476">
        <w:rPr>
          <w:rFonts w:asciiTheme="minorHAnsi" w:eastAsia="Times New Roman" w:hAnsiTheme="minorHAnsi" w:cstheme="minorHAnsi"/>
          <w:lang w:eastAsia="lt-LT"/>
        </w:rPr>
        <w:t>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Kording</w:t>
      </w:r>
      <w:r w:rsidRPr="00085476">
        <w:rPr>
          <w:rFonts w:asciiTheme="minorHAnsi" w:eastAsia="Times New Roman" w:hAnsiTheme="minorHAnsi" w:cstheme="minorHAnsi"/>
          <w:lang w:eastAsia="lt-LT"/>
        </w:rPr>
        <w:t>, C-100/95, EU:C:1997:453, 16 pu</w:t>
      </w:r>
      <w:r w:rsidR="003A02CF" w:rsidRPr="00085476">
        <w:rPr>
          <w:rFonts w:asciiTheme="minorHAnsi" w:eastAsia="Times New Roman" w:hAnsiTheme="minorHAnsi" w:cstheme="minorHAnsi"/>
          <w:lang w:eastAsia="lt-LT"/>
        </w:rPr>
        <w:t>nktą ir 2013 m. birželio 20 d. 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Riežniece</w:t>
      </w:r>
      <w:r w:rsidRPr="00085476">
        <w:rPr>
          <w:rFonts w:asciiTheme="minorHAnsi" w:eastAsia="Times New Roman" w:hAnsiTheme="minorHAnsi" w:cstheme="minorHAnsi"/>
          <w:lang w:eastAsia="lt-LT"/>
        </w:rPr>
        <w:t>, C-7/12, EU:C:2013:410, 39 punktą). Prašymą priimti prejudicinį sprendimą pateikęs teismas savo sprendime pats konstatavo, kad daugiau moterų negu vyrų yra mažesnės nei 1,70 m, todėl taikant šį teisės aktą, joms daromas labai nepalankus poveikis, palyginti su vyrais, kiek tai susiję su leidimu dalyvauti priėmimo konkurse į Graikijos policijos pareigūnų ir tarnautojų mokyklas. Todėl pagrindinėje byloje nagrinėjamas teisės aktas sukuria netiesioginę diskriminaciją (28–32 punktai).</w:t>
      </w:r>
    </w:p>
    <w:p w:rsidR="002F456B" w:rsidRPr="00085476" w:rsidRDefault="002F456B" w:rsidP="00C87E7D">
      <w:pPr>
        <w:ind w:firstLine="567"/>
        <w:rPr>
          <w:rFonts w:asciiTheme="minorHAnsi" w:eastAsia="Times New Roman" w:hAnsiTheme="minorHAnsi" w:cstheme="minorHAnsi"/>
          <w:lang w:eastAsia="lt-LT"/>
        </w:rPr>
      </w:pPr>
      <w:r w:rsidRPr="00085476">
        <w:rPr>
          <w:rFonts w:asciiTheme="minorHAnsi" w:eastAsia="Times New Roman" w:hAnsiTheme="minorHAnsi" w:cstheme="minorHAnsi"/>
          <w:lang w:eastAsia="lt-LT"/>
        </w:rPr>
        <w:t>Vis dėlto pagal Direktyvos 76/207 2 straipsnio 2 dalies antrą įtrauką, toks teisės aktas nesukuria pagal šią direktyvą uždraustos netiesioginės diskriminacijos, jeigu jį objektyviai pateisina teisėtas tikslas ir šio tikslo siekiama tinkamomis ir būtinomis priemonėmis (33 punktas). Šiuo aspektu Graikijos vyriausybė tvirtina, kad pagrindinėje byloje nagrinėjamu teisės aktu siekiama suteikti galimybę Graikijos policijai veiksmingai vykdyti savo užduotį ir kad tam tikros fizinės savybės, pavyzdžiui, minimalus fizinis ūgis, yra būtina ir tinkama sąlyga siekti šio tikslo.</w:t>
      </w:r>
      <w:bookmarkStart w:id="17" w:name="point36"/>
      <w:r w:rsidRPr="00085476">
        <w:rPr>
          <w:rFonts w:asciiTheme="minorHAnsi" w:eastAsia="Times New Roman" w:hAnsiTheme="minorHAnsi" w:cstheme="minorHAnsi"/>
          <w:lang w:eastAsia="lt-LT"/>
        </w:rPr>
        <w:t xml:space="preserve"> </w:t>
      </w:r>
      <w:bookmarkEnd w:id="17"/>
      <w:r w:rsidRPr="00085476">
        <w:rPr>
          <w:rFonts w:asciiTheme="minorHAnsi" w:eastAsia="Times New Roman" w:hAnsiTheme="minorHAnsi" w:cstheme="minorHAnsi"/>
          <w:lang w:eastAsia="lt-LT"/>
        </w:rPr>
        <w:t>Teisingumo Teismas jau yra nusprendęs, kad siekis užtikrinti policijos tarnybų operatyvumą ir sklandžią veiklą yra teisėtas tikslas (dėl 2000 m. lapkričio 27 d. Tarybos direktyvos 2000/78/EB, nustatančios vienodo požiūrio užimtumo ir profesinėje srityje bendruosius pagrindus (OL L 303, 2000, p. 16; 2004 m. specialusis leidimas lietuvių k., 5 sk., 4 t., p. 79), kurios struktūra, nuostatos ir tikslas labai panašūs į Direktyvos 76/207 struktūrą, nuostatas ir tikslą, 4 straipsnio 1 dali</w:t>
      </w:r>
      <w:r w:rsidR="003A02CF" w:rsidRPr="00085476">
        <w:rPr>
          <w:rFonts w:asciiTheme="minorHAnsi" w:eastAsia="Times New Roman" w:hAnsiTheme="minorHAnsi" w:cstheme="minorHAnsi"/>
          <w:lang w:eastAsia="lt-LT"/>
        </w:rPr>
        <w:t>es žr. 2014 m. lapkričio 13 d. 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Vital Pérez</w:t>
      </w:r>
      <w:r w:rsidRPr="00085476">
        <w:rPr>
          <w:rFonts w:asciiTheme="minorHAnsi" w:eastAsia="Times New Roman" w:hAnsiTheme="minorHAnsi" w:cstheme="minorHAnsi"/>
          <w:lang w:eastAsia="lt-LT"/>
        </w:rPr>
        <w:t>, C</w:t>
      </w:r>
      <w:r w:rsidRPr="00085476">
        <w:rPr>
          <w:rFonts w:asciiTheme="minorHAnsi" w:eastAsia="Times New Roman" w:hAnsiTheme="minorHAnsi" w:cstheme="minorHAnsi"/>
          <w:lang w:eastAsia="lt-LT"/>
        </w:rPr>
        <w:noBreakHyphen/>
        <w:t xml:space="preserve">416/13, EU:C:2014:2371, 44 punktą ir 2016 m. lapkričio 15 d. </w:t>
      </w:r>
      <w:r w:rsidR="003A02CF" w:rsidRPr="00085476">
        <w:rPr>
          <w:rFonts w:asciiTheme="minorHAnsi" w:eastAsia="Times New Roman" w:hAnsiTheme="minorHAnsi" w:cstheme="minorHAnsi"/>
          <w:lang w:eastAsia="lt-LT"/>
        </w:rPr>
        <w:t>s</w:t>
      </w:r>
      <w:r w:rsidRPr="00085476">
        <w:rPr>
          <w:rFonts w:asciiTheme="minorHAnsi" w:eastAsia="Times New Roman" w:hAnsiTheme="minorHAnsi" w:cstheme="minorHAnsi"/>
          <w:lang w:eastAsia="lt-LT"/>
        </w:rPr>
        <w:t xml:space="preserve">prendimo </w:t>
      </w:r>
      <w:r w:rsidRPr="00085476">
        <w:rPr>
          <w:rFonts w:asciiTheme="minorHAnsi" w:eastAsia="Times New Roman" w:hAnsiTheme="minorHAnsi" w:cstheme="minorHAnsi"/>
          <w:i/>
          <w:iCs/>
          <w:lang w:eastAsia="lt-LT"/>
        </w:rPr>
        <w:t>Salaberria Sorondo</w:t>
      </w:r>
      <w:r w:rsidRPr="00085476">
        <w:rPr>
          <w:rFonts w:asciiTheme="minorHAnsi" w:eastAsia="Times New Roman" w:hAnsiTheme="minorHAnsi" w:cstheme="minorHAnsi"/>
          <w:lang w:eastAsia="lt-LT"/>
        </w:rPr>
        <w:t>, C</w:t>
      </w:r>
      <w:r w:rsidRPr="00085476">
        <w:rPr>
          <w:rFonts w:asciiTheme="minorHAnsi" w:eastAsia="Times New Roman" w:hAnsiTheme="minorHAnsi" w:cstheme="minorHAnsi"/>
          <w:lang w:eastAsia="lt-LT"/>
        </w:rPr>
        <w:noBreakHyphen/>
        <w:t xml:space="preserve">258/15, EU:C:2016:873, 38 punktą). Taigi reikia patikrinti, ar minimalaus fizinio ūgio reikalavimas, kaip numatytasis pagrindinėje byloje nagrinėjame teisės akte, yra tinkamas jame numatytam tikslui pasiekti ir neviršija to, kas būtina jam įgyvendinti. Nors šiuo klausimu aišku, kad vykdant policijos funkcijas, susijusias su asmenų ir turto apsauga, nusikalstamas veikas padariusių asmenų sulaikymu ir priežiūra bei prevenciniu patruliavimu, gali prireikti naudoti fizinę jėgą ir turėti specialų fizinį tinkamumą, tam tikroms policijos funkcijoms, pavyzdžiui, pagalbai piliečiams ar eismo reguliavimui, atlikti tikriausiai nereikia didelių fizinių pajėgumų (šiuo klausimu žr. 2014 m. lapkričio 13 d. Sprendimo </w:t>
      </w:r>
      <w:r w:rsidRPr="00085476">
        <w:rPr>
          <w:rFonts w:asciiTheme="minorHAnsi" w:eastAsia="Times New Roman" w:hAnsiTheme="minorHAnsi" w:cstheme="minorHAnsi"/>
          <w:i/>
          <w:iCs/>
          <w:lang w:eastAsia="lt-LT"/>
        </w:rPr>
        <w:t>Vital Pérez</w:t>
      </w:r>
      <w:r w:rsidRPr="00085476">
        <w:rPr>
          <w:rFonts w:asciiTheme="minorHAnsi" w:eastAsia="Times New Roman" w:hAnsiTheme="minorHAnsi" w:cstheme="minorHAnsi"/>
          <w:lang w:eastAsia="lt-LT"/>
        </w:rPr>
        <w:t xml:space="preserve">, C-416/13, EU:C:2014:2371, 39 ir 40 punktus). Be to, suponuojant, kad visoms Graikijos policijos vykdomoms funkcijoms reikia specialaus fizinio tinkamumo, toks tinkamumas nebūtinai susijęs su minimaliu fiziniu ūgiu ir mažesni asmenys nėra akivaizdžiai netinkami (35–39 punktai). Bet kuriuo atveju pagrindinėje byloje nagrinėjamu teisės aktu siekiamą tikslą galima įgyvendinti moteriškos lyties asmenims mažiau nepalankiomis priemonėmis, </w:t>
      </w:r>
      <w:r w:rsidRPr="00085476">
        <w:rPr>
          <w:rFonts w:asciiTheme="minorHAnsi" w:eastAsia="Times New Roman" w:hAnsiTheme="minorHAnsi" w:cstheme="minorHAnsi"/>
          <w:lang w:eastAsia="lt-LT"/>
        </w:rPr>
        <w:lastRenderedPageBreak/>
        <w:t>pavyzdžiui, priėmimo konkurso į policijos pareigūnų ir tarnautojų mokyklas kandidatų išankstinė atranka rengiant specialius testus, suteikiančius galimybę patikrinti jų fizinius gebėjimus. Taigi nedarant poveikio patikrinimams, kuriuos turi atlikti prašymą priimti prejudicinį sprendimą pateikęs teismas, minėti teisės aktai nėra pateisinami (42–43 punktai).</w:t>
      </w:r>
    </w:p>
    <w:p w:rsidR="002F456B" w:rsidRPr="00085476" w:rsidRDefault="002F456B" w:rsidP="00C87E7D">
      <w:pPr>
        <w:ind w:firstLine="567"/>
        <w:rPr>
          <w:rFonts w:asciiTheme="minorHAnsi" w:eastAsia="Times New Roman" w:hAnsiTheme="minorHAnsi" w:cstheme="minorHAnsi"/>
          <w:lang w:eastAsia="lt-LT"/>
        </w:rPr>
      </w:pPr>
    </w:p>
    <w:p w:rsidR="002F456B" w:rsidRPr="00085476" w:rsidRDefault="002F456B" w:rsidP="00C87E7D">
      <w:pPr>
        <w:pStyle w:val="c01pointnumerotealtn"/>
        <w:spacing w:before="0" w:beforeAutospacing="0" w:after="0"/>
        <w:ind w:left="0" w:firstLine="567"/>
        <w:rPr>
          <w:rFonts w:asciiTheme="minorHAnsi" w:hAnsiTheme="minorHAnsi" w:cstheme="minorHAnsi"/>
          <w:sz w:val="22"/>
          <w:szCs w:val="22"/>
        </w:rPr>
      </w:pPr>
      <w:r w:rsidRPr="00085476">
        <w:rPr>
          <w:rFonts w:asciiTheme="minorHAnsi" w:hAnsiTheme="minorHAnsi" w:cstheme="minorHAnsi"/>
          <w:b/>
          <w:sz w:val="22"/>
          <w:szCs w:val="22"/>
        </w:rPr>
        <w:t>Remdamasis šiais motyvais, Teisingumo Teismas (pirmoji kolegija) nusprendė:</w:t>
      </w:r>
    </w:p>
    <w:p w:rsidR="002F456B" w:rsidRPr="00085476" w:rsidRDefault="002F456B" w:rsidP="00C87E7D">
      <w:pPr>
        <w:pStyle w:val="c01pointnumerotealtn"/>
        <w:spacing w:before="0" w:beforeAutospacing="0" w:after="0"/>
        <w:ind w:left="0" w:firstLine="567"/>
        <w:rPr>
          <w:rFonts w:asciiTheme="minorHAnsi" w:hAnsiTheme="minorHAnsi" w:cstheme="minorHAnsi"/>
          <w:bCs/>
          <w:sz w:val="22"/>
          <w:szCs w:val="22"/>
        </w:rPr>
      </w:pPr>
    </w:p>
    <w:p w:rsidR="002F456B" w:rsidRPr="00085476" w:rsidRDefault="002F456B" w:rsidP="00C87E7D">
      <w:pPr>
        <w:pStyle w:val="c01pointnumerotealtn"/>
        <w:spacing w:before="0" w:beforeAutospacing="0" w:after="0"/>
        <w:ind w:left="0" w:firstLine="567"/>
        <w:rPr>
          <w:rFonts w:asciiTheme="minorHAnsi" w:hAnsiTheme="minorHAnsi" w:cstheme="minorHAnsi"/>
          <w:bCs/>
          <w:sz w:val="22"/>
          <w:szCs w:val="22"/>
        </w:rPr>
      </w:pPr>
      <w:r w:rsidRPr="00085476">
        <w:rPr>
          <w:rFonts w:asciiTheme="minorHAnsi" w:hAnsiTheme="minorHAnsi" w:cstheme="minorHAnsi"/>
          <w:bCs/>
          <w:sz w:val="22"/>
          <w:szCs w:val="22"/>
        </w:rPr>
        <w:t>1976 m. vasario 9 d. Tarybos direktyvos 76/207/EEB dėl vienodo požiūrio į vyrus ir moteris principo taikymo įsidarbinimo, profesinio mokymo, pareigų paaukštinimo ir darbo sąlygų atžvilgiu, iš dalies pakeistos 2002 m. rugsėjo 23 d. Europos Parlamento ir Tarybos direktyva 2002/73/EB, nuostatos turi būti aiškinamos taip, kad jomis draudžiamas valstybės narės teisės aktas, kaip antai nagrinėjamas pagrindinėje byloje, pagal kurį leidimas kandidatams dalyvauti priėmimo į šios valstybės narės policijos mokyklą konkurse siejamas su minimaliu 1,70 m fizinio ūgio reikalavimu, neatsižvelgiant į jų lytį, nes šis teisės aktas daro nepalankų poveikį didesniam skaičiui moteriškos nei vyriškos lyties asmenų ir jis nėra tinkamas ir būtinas įgyvendinant juo siekiamą teisėtą tikslą, o tai turi patikrinti prašymą priimti prejudicinį sprendimą pateikęs teismas.</w:t>
      </w:r>
    </w:p>
    <w:p w:rsidR="002F456B" w:rsidRDefault="00A87A78" w:rsidP="00C87E7D">
      <w:pPr>
        <w:pStyle w:val="c01pointnumerotealtn"/>
        <w:spacing w:before="0" w:beforeAutospacing="0" w:after="0"/>
        <w:ind w:left="0" w:firstLine="567"/>
        <w:rPr>
          <w:rStyle w:val="Hipersaitas"/>
          <w:rFonts w:asciiTheme="minorHAnsi" w:hAnsiTheme="minorHAnsi" w:cstheme="minorHAnsi"/>
          <w:bCs/>
          <w:sz w:val="22"/>
          <w:szCs w:val="22"/>
        </w:rPr>
      </w:pPr>
      <w:hyperlink r:id="rId13" w:history="1">
        <w:r w:rsidR="002F456B" w:rsidRPr="004859F3">
          <w:rPr>
            <w:rStyle w:val="Hipersaitas"/>
            <w:rFonts w:asciiTheme="minorHAnsi" w:hAnsiTheme="minorHAnsi" w:cstheme="minorHAnsi"/>
            <w:bCs/>
            <w:sz w:val="22"/>
            <w:szCs w:val="22"/>
          </w:rPr>
          <w:t>Prieiga internete</w:t>
        </w:r>
      </w:hyperlink>
    </w:p>
    <w:p w:rsidR="0036339B" w:rsidRDefault="0036339B" w:rsidP="00C87E7D">
      <w:pPr>
        <w:pStyle w:val="c01pointnumerotealtn"/>
        <w:spacing w:before="0" w:beforeAutospacing="0" w:after="0"/>
        <w:ind w:left="0" w:firstLine="567"/>
        <w:rPr>
          <w:rStyle w:val="Hipersaitas"/>
          <w:rFonts w:asciiTheme="minorHAnsi" w:hAnsiTheme="minorHAnsi" w:cstheme="minorHAnsi"/>
          <w:bCs/>
          <w:sz w:val="22"/>
          <w:szCs w:val="22"/>
        </w:rPr>
      </w:pPr>
    </w:p>
    <w:p w:rsidR="0036339B" w:rsidRDefault="0036339B" w:rsidP="00C87E7D">
      <w:pPr>
        <w:pStyle w:val="Antrat1"/>
        <w:spacing w:before="0"/>
        <w:rPr>
          <w:rFonts w:eastAsia="Times New Roman"/>
          <w:bCs/>
          <w:color w:val="17365D"/>
          <w:kern w:val="32"/>
          <w:lang w:eastAsia="lt-LT"/>
        </w:rPr>
      </w:pPr>
      <w:bookmarkStart w:id="18" w:name="_Toc512411032"/>
      <w:r>
        <w:rPr>
          <w:rFonts w:eastAsia="Times New Roman"/>
          <w:bCs/>
          <w:color w:val="17365D"/>
          <w:kern w:val="32"/>
          <w:lang w:eastAsia="lt-LT"/>
        </w:rPr>
        <w:t>APMOKESTINIMAS</w:t>
      </w:r>
      <w:bookmarkEnd w:id="18"/>
    </w:p>
    <w:p w:rsidR="00416E50" w:rsidRDefault="00416E50" w:rsidP="00C87E7D">
      <w:pPr>
        <w:pStyle w:val="c01pointnumerotealtn"/>
        <w:spacing w:before="0" w:beforeAutospacing="0" w:after="0"/>
        <w:ind w:left="0" w:firstLine="567"/>
        <w:rPr>
          <w:rStyle w:val="Hipersaitas"/>
          <w:rFonts w:asciiTheme="minorHAnsi" w:hAnsiTheme="minorHAnsi" w:cstheme="minorHAnsi"/>
          <w:bCs/>
          <w:sz w:val="22"/>
          <w:szCs w:val="22"/>
        </w:rPr>
      </w:pPr>
    </w:p>
    <w:p w:rsidR="0036339B" w:rsidRPr="00B45B9B" w:rsidRDefault="0036339B" w:rsidP="00C87E7D">
      <w:pPr>
        <w:pStyle w:val="Antrat2"/>
        <w:rPr>
          <w:rFonts w:cs="Calibri"/>
        </w:rPr>
      </w:pPr>
      <w:bookmarkStart w:id="19" w:name="_Toc511911496"/>
      <w:bookmarkStart w:id="20" w:name="_Toc512411033"/>
      <w:r w:rsidRPr="00B45B9B">
        <w:rPr>
          <w:rFonts w:cs="Calibri"/>
        </w:rPr>
        <w:t>2017 m. rugsėjo 21 d. prejudicinis sprendimas byloje C-441/16</w:t>
      </w:r>
      <w:bookmarkEnd w:id="19"/>
      <w:bookmarkEnd w:id="20"/>
    </w:p>
    <w:p w:rsidR="0036339B" w:rsidRPr="00B45B9B" w:rsidRDefault="0036339B" w:rsidP="00C87E7D">
      <w:pPr>
        <w:jc w:val="center"/>
        <w:rPr>
          <w:rFonts w:cs="Calibri"/>
          <w:b/>
          <w:i/>
        </w:rPr>
      </w:pPr>
      <w:r w:rsidRPr="00B45B9B">
        <w:rPr>
          <w:rFonts w:cs="Calibri"/>
          <w:b/>
          <w:i/>
        </w:rPr>
        <w:t xml:space="preserve">SMS group GmbH </w:t>
      </w:r>
      <w:r w:rsidRPr="0036339B">
        <w:rPr>
          <w:rFonts w:cs="Calibri"/>
          <w:b/>
          <w:i/>
        </w:rPr>
        <w:t>prieš</w:t>
      </w:r>
      <w:r w:rsidRPr="00B45B9B">
        <w:rPr>
          <w:rFonts w:cs="Calibri"/>
          <w:b/>
        </w:rPr>
        <w:t xml:space="preserve"> </w:t>
      </w:r>
      <w:r w:rsidRPr="00B45B9B">
        <w:rPr>
          <w:rFonts w:cs="Calibri"/>
          <w:b/>
          <w:i/>
        </w:rPr>
        <w:t>Direcţia Generală Regională a Finanțelor Publice București,</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 xml:space="preserve">Prašymas priimti prejudicinį sprendimą pateiktas dėl 1979 m. gruodžio 6 d. Aštuntosios Tarybos direktyvos 79/1072/EEB dėl valstybių narių apyvartos mokesčių įstatymų suderinimo – pridėtinės vertės mokesčio grąžinimo apmokestinamiesiems asmenims, kurie nėra įsisteigę šalies teritorijoje, tvarka (toliau ir – Aštuntoji direktyva) 2–6 straipsnių ir 2006 m. lapkričio 28 d. Tarybos direktyvos 2006/112/EB dėl pridėtinės vertės mokesčio bendros sistemos (toliau – ir PVM direktyva) 170 straipsnio išaiškinimo. Šis prašymas pateiktas nagrinėjant </w:t>
      </w:r>
      <w:r w:rsidRPr="00B45B9B">
        <w:rPr>
          <w:rFonts w:cs="Calibri"/>
          <w:i/>
        </w:rPr>
        <w:t xml:space="preserve">SMS group GmbH </w:t>
      </w:r>
      <w:r w:rsidRPr="0036339B">
        <w:rPr>
          <w:rFonts w:cs="Calibri"/>
        </w:rPr>
        <w:t>(</w:t>
      </w:r>
      <w:r w:rsidRPr="00B45B9B">
        <w:rPr>
          <w:rFonts w:cs="Calibri"/>
        </w:rPr>
        <w:t xml:space="preserve">toliau – ir SMS grupė) ir Rumunijos mokesčių administratoriaus ginčą dėl pridėtinės vertės mokesčio (toliau – ir PVM), kurį sumokėjo </w:t>
      </w:r>
      <w:r w:rsidRPr="0036339B">
        <w:rPr>
          <w:rFonts w:cs="Calibri"/>
          <w:i/>
        </w:rPr>
        <w:t>SMS grupė</w:t>
      </w:r>
      <w:r w:rsidRPr="00B45B9B">
        <w:rPr>
          <w:rFonts w:cs="Calibri"/>
        </w:rPr>
        <w:t xml:space="preserve"> Rumunijoje 2009 m., grąžinimo</w:t>
      </w:r>
      <w:r>
        <w:rPr>
          <w:rFonts w:cs="Calibri"/>
        </w:rPr>
        <w:t xml:space="preserve"> (1 </w:t>
      </w:r>
      <w:r w:rsidRPr="00B45B9B">
        <w:rPr>
          <w:rFonts w:cs="Calibri"/>
        </w:rPr>
        <w:t>ir 2 punktai).</w:t>
      </w:r>
    </w:p>
    <w:p w:rsidR="0036339B" w:rsidRPr="00B45B9B" w:rsidRDefault="0036339B" w:rsidP="00C87E7D">
      <w:pPr>
        <w:ind w:firstLine="540"/>
        <w:rPr>
          <w:rFonts w:cs="Calibri"/>
        </w:rPr>
      </w:pPr>
      <w:r w:rsidRPr="00B45B9B">
        <w:rPr>
          <w:rFonts w:cs="Calibri"/>
        </w:rPr>
        <w:t xml:space="preserve">Pagrindinėje byloje nustatyta, kad </w:t>
      </w:r>
      <w:r w:rsidRPr="0036339B">
        <w:rPr>
          <w:rFonts w:cs="Calibri"/>
          <w:i/>
        </w:rPr>
        <w:t>SMS grupė</w:t>
      </w:r>
      <w:r w:rsidRPr="00B45B9B">
        <w:rPr>
          <w:rFonts w:cs="Calibri"/>
        </w:rPr>
        <w:t xml:space="preserve"> (Vokietijoje įsteigta bendrovė), kaip pardavėja sudarė sutartį su </w:t>
      </w:r>
      <w:r w:rsidRPr="00B45B9B">
        <w:rPr>
          <w:rFonts w:cs="Calibri"/>
          <w:i/>
        </w:rPr>
        <w:t>Zimekon Handels GmbH Autriche</w:t>
      </w:r>
      <w:r w:rsidRPr="00B45B9B">
        <w:rPr>
          <w:rFonts w:cs="Calibri"/>
        </w:rPr>
        <w:t xml:space="preserve"> (toliau – pirkėja) dėl vamzdžių suvirinimo sistemos (toliau – RSA). RSA gavėja buvo bendrovė </w:t>
      </w:r>
      <w:r w:rsidRPr="00B45B9B">
        <w:rPr>
          <w:rFonts w:cs="Calibri"/>
          <w:i/>
        </w:rPr>
        <w:t>OOO Zimekon Ukraine</w:t>
      </w:r>
      <w:r w:rsidRPr="00B45B9B">
        <w:rPr>
          <w:rFonts w:cs="Calibri"/>
        </w:rPr>
        <w:t xml:space="preserve">. Pagal sutartyje numatytą mokėjimo planą pirkėja prieš pradedant pirmuosius RSA gamybos darbus iki 2008 m. kovo mėn. turėjo sumokėti 2 milijonų eurų avansą, paskui 800 000 eurų iki 2008 m. balandžio 15 d., papildomai 1 milijoną eurų iki 2008 m. gegužės 15 d. ir galiausiai 1 milijoną eurų iki 2008 m. birželio 15 d. Gavėjai turėjo būti pristatyta nuo 2009 m. birželio 1 d. iki 2009 m. rugsėjo 30 d. su sąlyga, kad visi sutartyje numatyti mokėjimai bus atlikti nustatytu laiku. Nors pirkėja 2008 m. birželio 26 d. sumokėjo tik 2 milijonų eurų avansą, </w:t>
      </w:r>
      <w:r w:rsidRPr="00B45B9B">
        <w:rPr>
          <w:rFonts w:cs="Calibri"/>
          <w:i/>
        </w:rPr>
        <w:t>SMS Meer</w:t>
      </w:r>
      <w:r w:rsidRPr="00B45B9B">
        <w:rPr>
          <w:rFonts w:cs="Calibri"/>
        </w:rPr>
        <w:t xml:space="preserve"> (toliau bendrai – </w:t>
      </w:r>
      <w:r w:rsidRPr="00B45B9B">
        <w:rPr>
          <w:rFonts w:cs="Calibri"/>
          <w:i/>
        </w:rPr>
        <w:t>SMS grupė</w:t>
      </w:r>
      <w:r w:rsidRPr="00B45B9B">
        <w:rPr>
          <w:rFonts w:cs="Calibri"/>
        </w:rPr>
        <w:t xml:space="preserve">) sudarė subrangos sutartį su Turkijos bendrove, dėl įrangos, kuri pardavėjui buvo reikalinga RSA gamybai (toliau – aptariamos prekės), tiekimo. 2008 m. lapkričio 5 d. pirkėjos prašymu sutarties vykdymas buvo sustabdytas iki 2009 m. rugsėjo 1 d. dėl pirkėjos finansinių sunkumų. Pardavėjas prašė, kad pirkėja atliktų likusius mokėjimus ir nurodė, kad darbai nebus tęsiami, kol nebus sumokėtos mokėtinos sumos. 2009 m. rugsėjo 14 d. pardavėjas importavo iš Turkijos aptariamas prekes ir sumokėjo su tuo susijusį PVM – 1 487 739 Rumunijos lėjų (RON) (apie 327500 eurų) sumą. Po importo šios prekės buvo laikomos sandėlyje Rumunijoje. Kadangi pirkėja neatliko likusių mokėjimų, sutartis Nr. 27 nebuvo vykdoma. SMS grupės teigimu, aptariamos prekės negalėjo būti naudojamos kituose projektuose ir ji ketina jas priduoti kaip metalo laužą. 2009 m. gruodžio 23 d. </w:t>
      </w:r>
      <w:r w:rsidRPr="00B45B9B">
        <w:rPr>
          <w:rFonts w:cs="Calibri"/>
          <w:i/>
        </w:rPr>
        <w:t>SMS grupė</w:t>
      </w:r>
      <w:r w:rsidRPr="00B45B9B">
        <w:rPr>
          <w:rFonts w:cs="Calibri"/>
        </w:rPr>
        <w:t xml:space="preserve"> paprašė mokesčių administratoriaus grąžinti Rumunijoje sumokėtą PVM dėl aptariamų prekių importo. Atsakydama į mokesčių administratoriaus prašymą pateikti daugiau informacijos ši bendrovė teigė, kad minėtos sutarties neįvykdymo atveju ji ketino prekes eksportuoti. Vis dėlto, ji nepateikė konkrečios informacijos dėl šio eksporto paskirties vietos ar datos. Atitinkamai mokesčių administratorius atsisakė grąžinti PVM, nes nusprendė, kad </w:t>
      </w:r>
      <w:r w:rsidRPr="0036339B">
        <w:rPr>
          <w:rFonts w:cs="Calibri"/>
          <w:i/>
        </w:rPr>
        <w:t>SMS Meer</w:t>
      </w:r>
      <w:r w:rsidRPr="00B45B9B">
        <w:rPr>
          <w:rFonts w:cs="Calibri"/>
        </w:rPr>
        <w:t xml:space="preserve"> nepateikė pateisinančių dokumentų, susijusių su vėlesniu aptariamų prekių gabenimu ir jų galutiniu gavėju (22–28 punktai).</w:t>
      </w:r>
    </w:p>
    <w:p w:rsidR="0036339B" w:rsidRPr="00B45B9B" w:rsidRDefault="0036339B" w:rsidP="00C87E7D">
      <w:pPr>
        <w:ind w:firstLine="540"/>
        <w:rPr>
          <w:rFonts w:cs="Calibri"/>
        </w:rPr>
      </w:pPr>
      <w:r w:rsidRPr="00B45B9B">
        <w:rPr>
          <w:rFonts w:cs="Calibri"/>
        </w:rPr>
        <w:t xml:space="preserve">Ginčui dėl tokio mokesčių administratoriaus sprendimo pasiekus kasacinės instancijos teismą, šis nutarė sustabdyti bylos nagrinėjimą ir kreiptis į Teisingumo Teismą su prašymu išaiškinti, ar Aštuntąją </w:t>
      </w:r>
      <w:r w:rsidRPr="00B45B9B">
        <w:rPr>
          <w:rFonts w:cs="Calibri"/>
        </w:rPr>
        <w:lastRenderedPageBreak/>
        <w:t>direktyvą, kartu su PVM direktyvos 170 straipsniu, reikia aiškinti taip, kad ji draudžia valstybei narei nesuteikti apmokestinamajam asmeniui, kuris neįsisteigęs jos teritorijoje, teisės susigrąžinti PVM, kurį jis sumokėjo už importuotas prekes, esant tokiai situacijai, kaip nagrinėjama pagrindinėje byloje, kai importo momentu sutarties, dėl kurios apmokestinamasis asmuo nusipirko ir importavo šias prekes, vykdymas yra sustabdytas, sandoris, kuriam jos turėjo būti panaudotos, galiausiai nėra įvykdytas, o apmokestinamasis asmuo nepateikė įrodymo dėl prekių tolesnio gabenimo (33 punktas).</w:t>
      </w:r>
    </w:p>
    <w:p w:rsidR="0036339B" w:rsidRPr="00B45B9B" w:rsidRDefault="0036339B" w:rsidP="00C87E7D">
      <w:pPr>
        <w:ind w:firstLine="540"/>
        <w:rPr>
          <w:rFonts w:cs="Calibri"/>
        </w:rPr>
      </w:pPr>
      <w:r w:rsidRPr="00B45B9B">
        <w:rPr>
          <w:rFonts w:cs="Calibri"/>
        </w:rPr>
        <w:t>Atsakydama į šį klausimą Europos Sąjungos teisminė institucija priminė, kad valstybėje narėje įsisteigusio apmokestinamojo asmens teisė į kitoje valstybėje narėje sumokėto PVM grąžinimą, kaip tai numatyta Aštuntojoje direktyvoje, atitinka jam PVM direktyvoje numatytą teisę į pirkimo PVM atskaitą jo valstybėje narėje (38 punktas). Konkrečiau kalbėdamas apie teisės į grąžinimą sąlygas, ši Europos Sąjungos teisminė institucija nurodė, kad iš PVM direktyvos 170 straipsnio kartu su jos 169 straipsniu, matyti, kad visi apmokestinamieji asmenys, kurie, kaip nurodyta Aštuntosios direktyvos 1 straipsnyje, nėra įsisteigę valstybėje narėje, į kurią importuoja PVM apmokestinamas prekes, turi teisę susigrąžinti šį mokestį, jei prekės ir paslaugos naudojamos vykdant sandorius, susijusius su PVM direktyvos 9 straipsnio 1 dalies antroje pastraipoje numatyta veikla, vykdoma už valstybės narės, kurioje šis mokestis yra mokėtinas arba sumokėtas, ribų, už kuriuos būtų galima atskaityti PVM, jeigu jie būtų vykdomi toje valstybėje narėje arba vykdant tam tikruose neapmokestinamus sandorius (41 punktas). Pagal PVM direktyvos 70 ir 167 straipsnius ši teisė į grąžinimą atsiranda tada, kai atsiranda prievolė mokėti mokestį, t. y. kai atliekamas prekių importas (</w:t>
      </w:r>
      <w:r>
        <w:rPr>
          <w:rFonts w:cs="Calibri"/>
        </w:rPr>
        <w:t>42 </w:t>
      </w:r>
      <w:r w:rsidRPr="00B45B9B">
        <w:rPr>
          <w:rFonts w:cs="Calibri"/>
        </w:rPr>
        <w:t>punktas).</w:t>
      </w:r>
    </w:p>
    <w:p w:rsidR="0036339B" w:rsidRPr="00B45B9B" w:rsidRDefault="0036339B" w:rsidP="00C87E7D">
      <w:pPr>
        <w:ind w:firstLine="540"/>
        <w:rPr>
          <w:rFonts w:cs="Calibri"/>
        </w:rPr>
      </w:pPr>
      <w:r w:rsidRPr="00B45B9B">
        <w:rPr>
          <w:rFonts w:cs="Calibri"/>
        </w:rPr>
        <w:t xml:space="preserve">Nagrinėtu atveju pripažinta, kad </w:t>
      </w:r>
      <w:r w:rsidRPr="00B45B9B">
        <w:rPr>
          <w:rFonts w:cs="Calibri"/>
          <w:i/>
        </w:rPr>
        <w:t>SMS grupė</w:t>
      </w:r>
      <w:r w:rsidRPr="00B45B9B">
        <w:rPr>
          <w:rFonts w:cs="Calibri"/>
        </w:rPr>
        <w:t xml:space="preserve"> tenkino Aštuntosios direktyvos 1 straipsnyje numatytas dvi kumuliacines sąlygas: pirma, aptariamas apmokestinamasis asmuo per šios direktyvos 7 straipsnio 1 dalyje numatytą laikotarpį neturėjo turėti fiksuotos vietos šalyje, kurioje prašė grąžinimo; antra, jis netiekė prekių ir neteikė paslaugų, kurios būtų laikomos patiektomis ar suteiktomis toje valstybėje (43 ir 44 punktai). Be to, asmuo, kuris importuoja prekes ekonominei veiklai, kaip tai suprantama pagal šią nuostatą, tai atlieka kaip apmokestinamasis asmuo, net jei šios prekės iškart nėra naudojamos tai ekonominei veiklai (46 punktas).</w:t>
      </w:r>
    </w:p>
    <w:p w:rsidR="0036339B" w:rsidRPr="00B45B9B" w:rsidRDefault="0036339B" w:rsidP="00C87E7D">
      <w:pPr>
        <w:ind w:firstLine="540"/>
        <w:rPr>
          <w:rFonts w:cs="Calibri"/>
        </w:rPr>
      </w:pPr>
    </w:p>
    <w:p w:rsidR="0036339B" w:rsidRPr="0036339B" w:rsidRDefault="0036339B" w:rsidP="00C87E7D">
      <w:pPr>
        <w:pStyle w:val="Antrat3"/>
        <w:ind w:firstLine="567"/>
      </w:pPr>
      <w:bookmarkStart w:id="21" w:name="_Toc511911497"/>
      <w:bookmarkStart w:id="22" w:name="_Toc512411034"/>
      <w:r w:rsidRPr="0036339B">
        <w:t>Dėl apmokestinamojo asmens teisės į sumokėto PVM grąžinimą (PVM atskaitą) už prekes, kurios dėl kontrahento sutartinių įsipareigojimų nevykdymo buvo nepanaudotos šio asmens veikloje</w:t>
      </w:r>
      <w:bookmarkEnd w:id="21"/>
      <w:bookmarkEnd w:id="22"/>
    </w:p>
    <w:p w:rsidR="0036339B" w:rsidRPr="00B45B9B" w:rsidRDefault="0036339B" w:rsidP="00C87E7D">
      <w:pPr>
        <w:ind w:firstLine="540"/>
        <w:rPr>
          <w:rFonts w:cs="Calibri"/>
        </w:rPr>
      </w:pPr>
    </w:p>
    <w:p w:rsidR="0036339B" w:rsidRPr="00B45B9B" w:rsidRDefault="0036339B" w:rsidP="00C87E7D">
      <w:pPr>
        <w:ind w:firstLine="539"/>
        <w:rPr>
          <w:rFonts w:cs="Calibri"/>
        </w:rPr>
      </w:pPr>
      <w:r w:rsidRPr="00B45B9B">
        <w:rPr>
          <w:rFonts w:cs="Calibri"/>
        </w:rPr>
        <w:t xml:space="preserve">Šiame kontekste Teisingumo Teismas nurodė, kad </w:t>
      </w:r>
      <w:r w:rsidRPr="00B45B9B">
        <w:rPr>
          <w:rFonts w:cs="Calibri"/>
          <w:i/>
        </w:rPr>
        <w:t>SMS grupė</w:t>
      </w:r>
      <w:r w:rsidRPr="00B45B9B">
        <w:rPr>
          <w:rFonts w:cs="Calibri"/>
        </w:rPr>
        <w:t>, gavusi 2 milijonų eurų apmokėjimą, 2008</w:t>
      </w:r>
      <w:r w:rsidR="004421E1">
        <w:rPr>
          <w:rFonts w:cs="Calibri"/>
        </w:rPr>
        <w:t> </w:t>
      </w:r>
      <w:r w:rsidRPr="00B45B9B">
        <w:rPr>
          <w:rFonts w:cs="Calibri"/>
        </w:rPr>
        <w:t xml:space="preserve">m. birželio 26 d. sudarė subrangos sutartį dėl aptariamų prekių, kurios buvo nupirktos kaip RSA pagaminti reikalinga įranga, todėl vykdydama sutartį, t. y. ši bendrovė aptariamas prekes importavo ketindama vykdyti ekonominę veiklą, o tai įrodo objektyvūs duomenys (49 punktas). </w:t>
      </w:r>
      <w:r w:rsidRPr="00B45B9B">
        <w:rPr>
          <w:rFonts w:cs="Calibri"/>
          <w:u w:val="single"/>
        </w:rPr>
        <w:t>Vien aplinkybė, kad sutarties vykdymas sustabdytas dieną, kai aptariamos prekės buvo importuotos, neturi reikšmės, nes, visų pirma, preziumuotina, jog SMS grupė būtų pažeidusi savo sutartines pareigas subrangovo atžvilgiu, jei būtų atsisakiusi prekių tiekimo tik dėl sutarties vykdymo sustabdymo. Be to, tik po prekių importo sutartis galutinai buvo neįvykdyta dėl priežasčių, kurios nepriklausė nuo SMS grupė valios, t. y. dėl mokėjimų sunkumų, su kuriais susidūrė pirkėja</w:t>
      </w:r>
      <w:r w:rsidRPr="00B45B9B">
        <w:rPr>
          <w:rFonts w:cs="Calibri"/>
        </w:rPr>
        <w:t xml:space="preserve"> (50 punktas). </w:t>
      </w:r>
      <w:r w:rsidR="004421E1">
        <w:rPr>
          <w:rFonts w:cs="Calibri"/>
        </w:rPr>
        <w:t>Taigi</w:t>
      </w:r>
      <w:r w:rsidRPr="00B45B9B">
        <w:rPr>
          <w:rFonts w:cs="Calibri"/>
        </w:rPr>
        <w:t xml:space="preserve"> importuodama aptariamas prekes </w:t>
      </w:r>
      <w:r w:rsidRPr="00B45B9B">
        <w:rPr>
          <w:rFonts w:cs="Calibri"/>
          <w:i/>
        </w:rPr>
        <w:t>SMS grupė</w:t>
      </w:r>
      <w:r w:rsidRPr="00B45B9B">
        <w:rPr>
          <w:rFonts w:cs="Calibri"/>
        </w:rPr>
        <w:t xml:space="preserve"> veikė kaip apmokestinamasis asmuo (51 punktas).</w:t>
      </w:r>
    </w:p>
    <w:p w:rsidR="0036339B" w:rsidRPr="00B45B9B" w:rsidRDefault="0036339B" w:rsidP="00C87E7D">
      <w:pPr>
        <w:ind w:firstLine="539"/>
        <w:rPr>
          <w:rFonts w:cs="Calibri"/>
        </w:rPr>
      </w:pPr>
      <w:r w:rsidRPr="00B45B9B">
        <w:rPr>
          <w:rFonts w:cs="Calibri"/>
        </w:rPr>
        <w:t>Galiausiai Teisingumo Teismas, kalbėdamas apie aptariamų prekių naudoj</w:t>
      </w:r>
      <w:r w:rsidR="004421E1">
        <w:rPr>
          <w:rFonts w:cs="Calibri"/>
        </w:rPr>
        <w:t>imą vykdant sandorius, numatytu</w:t>
      </w:r>
      <w:r w:rsidRPr="00B45B9B">
        <w:rPr>
          <w:rFonts w:cs="Calibri"/>
        </w:rPr>
        <w:t>s PVM direktyvos 170 straipsnyje,</w:t>
      </w:r>
      <w:r w:rsidR="004421E1">
        <w:rPr>
          <w:rFonts w:cs="Calibri"/>
        </w:rPr>
        <w:t xml:space="preserve"> nurodė, jog</w:t>
      </w:r>
      <w:r w:rsidRPr="00B45B9B">
        <w:rPr>
          <w:rFonts w:cs="Calibri"/>
        </w:rPr>
        <w:t xml:space="preserve"> neginčytina, kad RSA, dėl kurių </w:t>
      </w:r>
      <w:r w:rsidRPr="004421E1">
        <w:rPr>
          <w:rFonts w:cs="Calibri"/>
          <w:i/>
        </w:rPr>
        <w:t>SMS Meer</w:t>
      </w:r>
      <w:r w:rsidRPr="00B45B9B">
        <w:rPr>
          <w:rFonts w:cs="Calibri"/>
        </w:rPr>
        <w:t xml:space="preserve"> įsigijo šias prekes, gavėja yra Ukrainoje. Todėl šių prekių importas buvo įvykdytas tam, kad galiausiai būtų įvykdytas eksportas, kaip tai suprantama pagal PVM direktyvos 146 straipsnį, t. y. sandoris, </w:t>
      </w:r>
      <w:r w:rsidR="004421E1">
        <w:rPr>
          <w:rFonts w:cs="Calibri"/>
        </w:rPr>
        <w:t>kurį nurodo šios direktyvos 170 </w:t>
      </w:r>
      <w:r w:rsidRPr="00B45B9B">
        <w:rPr>
          <w:rFonts w:cs="Calibri"/>
        </w:rPr>
        <w:t>straipsnis (52 punktas).</w:t>
      </w:r>
    </w:p>
    <w:p w:rsidR="0036339B" w:rsidRPr="00B45B9B" w:rsidRDefault="0036339B" w:rsidP="00C87E7D">
      <w:pPr>
        <w:ind w:firstLine="540"/>
        <w:rPr>
          <w:rFonts w:cs="Calibri"/>
        </w:rPr>
      </w:pPr>
      <w:r w:rsidRPr="00B45B9B">
        <w:rPr>
          <w:rFonts w:cs="Calibri"/>
        </w:rPr>
        <w:t xml:space="preserve">Šiomis aplinkybėmis Europos Sąjungos teisminė institucija konstatavo, kad importuodama aptariamas prekes į Rumuniją </w:t>
      </w:r>
      <w:r w:rsidRPr="00B45B9B">
        <w:rPr>
          <w:rFonts w:cs="Calibri"/>
          <w:i/>
        </w:rPr>
        <w:t>SMS grupė</w:t>
      </w:r>
      <w:r w:rsidRPr="00B45B9B">
        <w:rPr>
          <w:rFonts w:cs="Calibri"/>
        </w:rPr>
        <w:t xml:space="preserve"> įgijo teisę į sumokėto PVM grąžinimą (53 punktas). </w:t>
      </w:r>
      <w:r w:rsidRPr="00B45B9B">
        <w:rPr>
          <w:rFonts w:cs="Calibri"/>
          <w:u w:val="single"/>
        </w:rPr>
        <w:t xml:space="preserve">Šios teisės egzistavimu neleidžia abejoti faktas, kad sandoris, kuriam turėjo būti panaudotos aptariamos prekės, galiausiai nebuvo įvykdytas ir </w:t>
      </w:r>
      <w:r w:rsidRPr="00B45B9B">
        <w:rPr>
          <w:rFonts w:cs="Calibri"/>
          <w:i/>
          <w:u w:val="single"/>
        </w:rPr>
        <w:t>SMS grupė</w:t>
      </w:r>
      <w:r w:rsidRPr="00B45B9B">
        <w:rPr>
          <w:rFonts w:cs="Calibri"/>
          <w:u w:val="single"/>
        </w:rPr>
        <w:t xml:space="preserve"> negalėjo pateikti mokesčių administratoriaus reikalaujamų įrodymų dėl tolesnio šių prekių gabenimo</w:t>
      </w:r>
      <w:r w:rsidRPr="00B45B9B">
        <w:rPr>
          <w:rFonts w:cs="Calibri"/>
        </w:rPr>
        <w:t xml:space="preserve"> (54 punktas).</w:t>
      </w:r>
    </w:p>
    <w:p w:rsidR="0036339B" w:rsidRPr="00B45B9B" w:rsidRDefault="0036339B" w:rsidP="00C87E7D">
      <w:pPr>
        <w:ind w:firstLine="540"/>
        <w:rPr>
          <w:rFonts w:cs="Calibri"/>
        </w:rPr>
      </w:pPr>
    </w:p>
    <w:p w:rsidR="0036339B" w:rsidRPr="00B45B9B" w:rsidRDefault="0036339B" w:rsidP="00C87E7D">
      <w:pPr>
        <w:ind w:firstLine="540"/>
        <w:rPr>
          <w:rFonts w:cs="Calibri"/>
          <w:b/>
        </w:rPr>
      </w:pPr>
      <w:r w:rsidRPr="00B45B9B">
        <w:rPr>
          <w:rFonts w:cs="Calibri"/>
          <w:b/>
        </w:rPr>
        <w:t>Remdamasis šiais motyvais, Teisingumo Teismas (dešimtoji kolegija) nusprendė:</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 xml:space="preserve">Aštuntąją direktyvą kartu su PVM direktyvos 170 straipsniu, reikia aiškinti taip, kad ji draudžia valstybei narei nesuteikti apmokestinamajam asmeniui, kuris neįsisteigęs jos teritorijoje, teisės susigrąžinti PVM, kurį </w:t>
      </w:r>
      <w:r w:rsidRPr="00B45B9B">
        <w:rPr>
          <w:rFonts w:cs="Calibri"/>
        </w:rPr>
        <w:lastRenderedPageBreak/>
        <w:t>jis sumokėjo už importuotas prekes, esant tokiai situacijai, kaip nagrinėjama pagrindinėje byloje, kai importo momentu sutarties, dėl kurios apmokestinamasis asmuo nusipirko ir importavo šias prekes, vykdymas yra sustabdytas, sandoris, kuriam jos turėjo būti panaudotos, galiausiai nėra įvykdytas, o apmokestinamasis asmuo nepateikė įrodymo dėl prekių tolesnio gabenimo.</w:t>
      </w:r>
    </w:p>
    <w:p w:rsidR="0036339B" w:rsidRPr="00B45B9B" w:rsidRDefault="00A87A78" w:rsidP="00C87E7D">
      <w:pPr>
        <w:ind w:firstLine="540"/>
        <w:rPr>
          <w:rFonts w:cs="Calibri"/>
        </w:rPr>
      </w:pPr>
      <w:hyperlink r:id="rId14" w:history="1">
        <w:r w:rsidR="0036339B" w:rsidRPr="00B45B9B">
          <w:rPr>
            <w:rStyle w:val="Hipersaitas"/>
            <w:rFonts w:cs="Calibri"/>
          </w:rPr>
          <w:t>Prieiga internete</w:t>
        </w:r>
      </w:hyperlink>
    </w:p>
    <w:p w:rsidR="0036339B" w:rsidRPr="00B45B9B" w:rsidRDefault="0036339B" w:rsidP="00C87E7D">
      <w:pPr>
        <w:ind w:firstLine="540"/>
        <w:rPr>
          <w:rFonts w:cs="Calibri"/>
        </w:rPr>
      </w:pPr>
    </w:p>
    <w:p w:rsidR="0036339B" w:rsidRPr="00B45B9B" w:rsidRDefault="0036339B" w:rsidP="00C87E7D">
      <w:pPr>
        <w:pStyle w:val="Antrat2"/>
        <w:rPr>
          <w:rFonts w:cs="Calibri"/>
        </w:rPr>
      </w:pPr>
      <w:bookmarkStart w:id="23" w:name="_Toc511911498"/>
      <w:bookmarkStart w:id="24" w:name="_Toc512411035"/>
      <w:r w:rsidRPr="00B45B9B">
        <w:rPr>
          <w:rFonts w:cs="Calibri"/>
        </w:rPr>
        <w:t>2017 m. lapkričio 9 d. prejudicinis sprendimas byloje C</w:t>
      </w:r>
      <w:bookmarkStart w:id="25" w:name="_Hlk511045964"/>
      <w:r w:rsidRPr="00D03043">
        <w:rPr>
          <w:rFonts w:ascii="Cambria Math" w:hAnsi="Cambria Math" w:cs="Cambria Math"/>
        </w:rPr>
        <w:t>‑</w:t>
      </w:r>
      <w:r w:rsidRPr="00B45B9B">
        <w:rPr>
          <w:rFonts w:cs="Calibri"/>
        </w:rPr>
        <w:t>298/16</w:t>
      </w:r>
      <w:bookmarkEnd w:id="23"/>
      <w:bookmarkEnd w:id="24"/>
    </w:p>
    <w:bookmarkEnd w:id="25"/>
    <w:p w:rsidR="0036339B" w:rsidRPr="00B45B9B" w:rsidRDefault="0036339B" w:rsidP="00C87E7D">
      <w:pPr>
        <w:jc w:val="center"/>
        <w:rPr>
          <w:rFonts w:cs="Calibri"/>
          <w:b/>
          <w:i/>
        </w:rPr>
      </w:pPr>
      <w:r w:rsidRPr="00B45B9B">
        <w:rPr>
          <w:rFonts w:cs="Calibri"/>
          <w:b/>
          <w:i/>
        </w:rPr>
        <w:t>Teodor Ispas ir Anduţa Ispas</w:t>
      </w:r>
      <w:r w:rsidRPr="00B45B9B">
        <w:rPr>
          <w:rFonts w:cs="Calibri"/>
          <w:b/>
        </w:rPr>
        <w:t xml:space="preserve"> </w:t>
      </w:r>
      <w:r w:rsidRPr="00AE0936">
        <w:rPr>
          <w:rFonts w:cs="Calibri"/>
          <w:b/>
          <w:i/>
        </w:rPr>
        <w:t>prieš</w:t>
      </w:r>
      <w:r w:rsidRPr="00B45B9B">
        <w:rPr>
          <w:rFonts w:cs="Calibri"/>
          <w:b/>
        </w:rPr>
        <w:t xml:space="preserve"> </w:t>
      </w:r>
      <w:r w:rsidRPr="00B45B9B">
        <w:rPr>
          <w:rFonts w:cs="Calibri"/>
          <w:b/>
          <w:i/>
        </w:rPr>
        <w:t>Direcţia Generală a Finanţelor Publice Cluj</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Prašymas priimti prejudicinį sprendimą buvo pateiktas dėl Sąjungos teisėje įtvirtinto bendrojo teisės į gynybą užtikrinimo principo išaiškinimo. Šis prašymas buvo pateiktas nagrinėjant Teodor Ispas ir jo sutuoktinės Anduţa Ispas (toliau ir – sutuoktiniai Ispas) ginčą su Rumunijos mokesčiu administratoriumi dėl pranešimo apie apmokestinimą pridėtinės vertės mokesčiu (PVM) (1 ir 2 punktai).</w:t>
      </w:r>
    </w:p>
    <w:p w:rsidR="0036339B" w:rsidRPr="00B45B9B" w:rsidRDefault="0036339B" w:rsidP="00C87E7D">
      <w:pPr>
        <w:ind w:firstLine="540"/>
        <w:rPr>
          <w:rFonts w:cs="Calibri"/>
        </w:rPr>
      </w:pPr>
      <w:r w:rsidRPr="00B45B9B">
        <w:rPr>
          <w:rFonts w:cs="Calibri"/>
        </w:rPr>
        <w:t>Pagrindinėje byloje nustatyta, kad buvo atliktas sutuoktinių Ispas, kurie yra nekilnojamojo turto projektų vystytojai, mokestinis patikrinimas, apimantis laikotarpį nuo 2007 m. sausio 1 d. iki 2011 m. gruodžio 31 d. Atlikus šį mokestinį patikrinimą buvo nustatyta, kad sutuoktiniams Ispas savivaldybė išdavė penkis statybos leidimus ir kad pagal šiuos leidimus pastatyti butai buvo parduodami nuo 2007 m. gruodžio mėn. Manydamas, kad sudarydami 73 pardavimo sutartis sutuoktiniai Ispas vykdė ekonominę veiklą, nes tokie sandoriai buvo sudaromi nuolat, mokesčių administratorius nusprendė, kad jie turėjo PVM mokėtojų statusą, o atitinkami sandoriai turėjo būti apmokestinti šiuo mokesčiu. Mokesčių administratorius taip pat vertino, kad ši ekonominė veikla buvo pradėta vykdyti tuomet, kai buvo patirtos pirmosios išlaidos, susijusios su atitinkamų pastatų statyba, o ne jų pardavimo dieną. Todėl mokesčių administratorius parengė du pranešimus apie mokėtinus mokesčius, kuriuose nurodyta, kad kiekvienas sutuoktinis papildomai turi sumokėti 513 489 Rumunijos lėjų (RON) (apie 114 000 EUR) PVM, ir su juo susijusias sumas (9–12 punktai).</w:t>
      </w:r>
    </w:p>
    <w:p w:rsidR="0036339B" w:rsidRPr="00B45B9B" w:rsidRDefault="0036339B" w:rsidP="00C87E7D">
      <w:pPr>
        <w:ind w:firstLine="540"/>
        <w:rPr>
          <w:rFonts w:cs="Calibri"/>
        </w:rPr>
      </w:pPr>
      <w:r w:rsidRPr="00B45B9B">
        <w:rPr>
          <w:rFonts w:cs="Calibri"/>
        </w:rPr>
        <w:t>Sutuoktiniai Ispas užginčijo šiuos pranešimus teigdami, kad minėti pranešimai yra negaliojantys, nes buvo pažeista jų teisė į gynybą. Manė, kad mokesčių administratorius turėjo ne tiesiog juos pakviesti į galutinę diskusiją, o savo iniciatyva sudaryti galimybę susipažinti su visa svarbia informacija, kuria remdamasis jis priėmė galutinę mokestinio patikrinimo ataskaitą ir parengė abu pranešimus apie mokėtinus mokesčius, tam, kad jie turėtų galimybę vėliau ją užginčyti (13 ir 14 punktai).</w:t>
      </w:r>
    </w:p>
    <w:p w:rsidR="0036339B" w:rsidRPr="00B45B9B" w:rsidRDefault="0036339B" w:rsidP="00C87E7D">
      <w:pPr>
        <w:ind w:firstLine="540"/>
        <w:rPr>
          <w:rFonts w:cs="Calibri"/>
        </w:rPr>
      </w:pPr>
      <w:r w:rsidRPr="00B45B9B">
        <w:rPr>
          <w:rFonts w:cs="Calibri"/>
        </w:rPr>
        <w:t>Savo ruožtu nacionalinis teismas nutarė sustabdyti bylos nagrinėjimą ir kreiptis į Teisingumo Teismą su prašymu išaiškinti, ar Sąjungos teisėje įtvirtintas bendrasis teisės į gynybą užtikrinimo principas turi būti aiškinamas taip, kad pagal jį reikalaujama, jog per nacionalines administracines procedūras dėl PVM apmokestinamos vertės patikrinimo ir nustatymo privačiam asmeniui būtų sudaryta galimybė susipažinti su visa informacija ir visais dokumentais, kurie yra administracinėje byloje ir į kuriuos valdžios institucija atsižvelgia priimdama savo sprendimą (25 punktas).</w:t>
      </w:r>
    </w:p>
    <w:p w:rsidR="0036339B" w:rsidRPr="00B45B9B" w:rsidRDefault="0036339B" w:rsidP="00C87E7D">
      <w:pPr>
        <w:ind w:firstLine="540"/>
        <w:rPr>
          <w:rFonts w:cs="Calibri"/>
        </w:rPr>
      </w:pPr>
    </w:p>
    <w:p w:rsidR="0036339B" w:rsidRPr="0036339B" w:rsidRDefault="0036339B" w:rsidP="00C87E7D">
      <w:pPr>
        <w:pStyle w:val="Antrat3"/>
        <w:ind w:firstLine="567"/>
      </w:pPr>
      <w:bookmarkStart w:id="26" w:name="_Toc511911499"/>
      <w:bookmarkStart w:id="27" w:name="_Toc512411036"/>
      <w:r w:rsidRPr="0036339B">
        <w:t>Dėl apmokestinamojo asmens teisės susipažinti su mokesčių administratoriaus administracinėje byloje turimais dokumentais</w:t>
      </w:r>
      <w:r w:rsidR="00523518">
        <w:t>,</w:t>
      </w:r>
      <w:r w:rsidRPr="0036339B">
        <w:t xml:space="preserve"> į kuriuos valdžios įstaiga atsižvelgė priimdama savo sprendimą</w:t>
      </w:r>
      <w:bookmarkEnd w:id="26"/>
      <w:bookmarkEnd w:id="27"/>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Šiuo klausimu Teisingumo Teismas pirmiausia priminė, kad teisės į gynybą laikymasis yra bendrasis Sąjungos teisės principas, kuris turi būti taikomas, kai valdžios institucija ketina priimti aktą asmens nenaudai. Pagal šį principą asmenims, kuriems skirti sprendimai, turintys reikšmingą poveikį jų interesams, būtina suteikti galimybę naudingai pateikti savo nuomonę dėl elementų, kuriais valdžios institucija grindžia savo sprendimą. Valstybių narių valdžios institucijos tokią pareigą turi, kai priima sprendimus, kuriems taikoma Sąjungos teisė, nors taikytinuose Sąjungos teisės aktuose toks formalumas aiškiai nenumatytas (26 punktas). Šis reikalavimas sudaryti galimybę naudingai pateikti savo nuomonę dėl elementų, kuriais valdžios institucija grindžia savo sprendimą, suponuoja, kad šio sprendimo adresatams yra sudaryta galimybė susipažinti su šiais elementais (31 punktas).</w:t>
      </w:r>
    </w:p>
    <w:p w:rsidR="0036339B" w:rsidRPr="00B45B9B" w:rsidRDefault="0036339B" w:rsidP="00C87E7D">
      <w:pPr>
        <w:ind w:firstLine="540"/>
        <w:rPr>
          <w:rFonts w:cs="Calibri"/>
        </w:rPr>
      </w:pPr>
      <w:r w:rsidRPr="00B45B9B">
        <w:rPr>
          <w:rFonts w:cs="Calibri"/>
        </w:rPr>
        <w:t xml:space="preserve">Šiuo atžvilgiu </w:t>
      </w:r>
      <w:r w:rsidRPr="00B45B9B">
        <w:rPr>
          <w:rFonts w:cs="Calibri"/>
          <w:u w:val="single"/>
        </w:rPr>
        <w:t xml:space="preserve">nacionalinės mokesčių institucijos </w:t>
      </w:r>
      <w:r w:rsidRPr="00B45B9B">
        <w:rPr>
          <w:rFonts w:cs="Calibri"/>
          <w:b/>
          <w:u w:val="single"/>
        </w:rPr>
        <w:t>neturi</w:t>
      </w:r>
      <w:r w:rsidRPr="00B45B9B">
        <w:rPr>
          <w:rFonts w:cs="Calibri"/>
          <w:u w:val="single"/>
        </w:rPr>
        <w:t xml:space="preserve"> bendros pareigos leisti susipažinti su visais jų turimais dokumentais ar savo iniciatyva perduoti dokumentus ir informaciją, kuriais grindžiamas numatomas priimti sprendimas</w:t>
      </w:r>
      <w:r w:rsidRPr="00B45B9B">
        <w:rPr>
          <w:rFonts w:cs="Calibri"/>
        </w:rPr>
        <w:t xml:space="preserve"> (32 punktas). Vykdant mokestinio patikrinimo procedūrą, kuria siekiama išsiaiškinti, ar mokesčių mokėtojai įvykdė savo pareigas šioje srityje, pagrįsta tikėtis, kad šie paprašys leisti susipažinti su šiais dokumentais ir informacija tam, kad prireikus galėtų pateikti savo paaiškinimus ar pagrindus dėl mokesčių administratoriaus požiūrio (33 punktas). </w:t>
      </w:r>
      <w:r w:rsidRPr="00B45B9B">
        <w:rPr>
          <w:rFonts w:cs="Calibri"/>
          <w:u w:val="single"/>
        </w:rPr>
        <w:t>Vis</w:t>
      </w:r>
      <w:r w:rsidR="00523518">
        <w:rPr>
          <w:rFonts w:cs="Calibri"/>
          <w:u w:val="single"/>
        </w:rPr>
        <w:t xml:space="preserve"> </w:t>
      </w:r>
      <w:r w:rsidRPr="00B45B9B">
        <w:rPr>
          <w:rFonts w:cs="Calibri"/>
          <w:u w:val="single"/>
        </w:rPr>
        <w:t xml:space="preserve">dėlto pagal teisės į gynybą veiksmingo užtikrinimo </w:t>
      </w:r>
      <w:r w:rsidRPr="00B45B9B">
        <w:rPr>
          <w:rFonts w:cs="Calibri"/>
          <w:u w:val="single"/>
        </w:rPr>
        <w:lastRenderedPageBreak/>
        <w:t>principą reikalaujama, kad būtų reali galimybė susipažinti su šiais dokumentais ir informacija, nebent bendrojo intereso tikslai pateisina šios galimybės apribojimą</w:t>
      </w:r>
      <w:r w:rsidRPr="00B45B9B">
        <w:rPr>
          <w:rFonts w:cs="Calibri"/>
        </w:rPr>
        <w:t xml:space="preserve"> (34 punktas).</w:t>
      </w:r>
    </w:p>
    <w:p w:rsidR="0036339B" w:rsidRPr="00B45B9B" w:rsidRDefault="0036339B" w:rsidP="00C87E7D">
      <w:pPr>
        <w:ind w:firstLine="540"/>
        <w:rPr>
          <w:rFonts w:cs="Calibri"/>
        </w:rPr>
      </w:pPr>
      <w:r w:rsidRPr="00B45B9B">
        <w:rPr>
          <w:rFonts w:cs="Calibri"/>
        </w:rPr>
        <w:t xml:space="preserve">Sąjungos teisėje įtvirtintas bendrasis teisės į gynybą užtikrinimo principas nėra absoliuti prerogatyva, jam </w:t>
      </w:r>
      <w:r w:rsidRPr="00B45B9B">
        <w:rPr>
          <w:rFonts w:cs="Calibri"/>
          <w:u w:val="single"/>
        </w:rPr>
        <w:t xml:space="preserve">gali būti taikomi apribojimai </w:t>
      </w:r>
      <w:r w:rsidRPr="00B45B9B">
        <w:rPr>
          <w:rFonts w:cs="Calibri"/>
          <w:b/>
          <w:u w:val="single"/>
        </w:rPr>
        <w:t>su sąlyga</w:t>
      </w:r>
      <w:r w:rsidRPr="00B45B9B">
        <w:rPr>
          <w:rFonts w:cs="Calibri"/>
          <w:u w:val="single"/>
        </w:rPr>
        <w:t>, kad jie iš tikrųjų atitinka bendrojo intereso tikslus, kurių siekiama nagrinėjama priemone, ir, atsižvelgiant į siekiamą tikslą, tai nėra neproporcingas ir netoleruotinas kišimasis, pažeidžiantis pačią užtikrinamų teisių esmę</w:t>
      </w:r>
      <w:r w:rsidRPr="00B45B9B">
        <w:rPr>
          <w:rFonts w:cs="Calibri"/>
        </w:rPr>
        <w:t xml:space="preserve"> (35 punktas). Šiuo aspektu per mokestinio patikrinimo ir PVM apmokestinamos vertės nustatymo procedūrą tokiais apribojimais, įtvirtintais nacionalinės teisės aktuose, gali būti siekiama, be kita ko, apsaugoti konfidencialumą ar profesinę paslaptį, kuriems gali pakenkti galimybė susipažinti su tam tikra informacija ar tam tikrais dokumentais (36 punktas).</w:t>
      </w:r>
    </w:p>
    <w:p w:rsidR="0036339B" w:rsidRPr="00B45B9B" w:rsidRDefault="0036339B" w:rsidP="00C87E7D">
      <w:pPr>
        <w:ind w:firstLine="540"/>
        <w:rPr>
          <w:rFonts w:cs="Calibri"/>
        </w:rPr>
      </w:pPr>
    </w:p>
    <w:p w:rsidR="0036339B" w:rsidRPr="00B45B9B" w:rsidRDefault="0036339B" w:rsidP="00C87E7D">
      <w:pPr>
        <w:ind w:firstLine="540"/>
        <w:rPr>
          <w:rFonts w:cs="Calibri"/>
          <w:b/>
        </w:rPr>
      </w:pPr>
      <w:r w:rsidRPr="00B45B9B">
        <w:rPr>
          <w:rFonts w:cs="Calibri"/>
          <w:b/>
        </w:rPr>
        <w:t>Remdamasis šiais motyvais, Teisingumo Teismas (trečioji kolegija) nusprendė:</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Sąjungos teisėje įtvirtintas bendrasis teisės į gynybą užtikrinimo principas turi būti aiškinamas taip, kad per administracines procedūras dėl pridėtinės vertės mokesčiu apmokestinamos vertės patikrinimo ir nustatymo privačiam asmeniui turi būti sudaryta galimybė jo prašymu susipažinti su informacija ir dokumentais, kurie yra administracinėje byloje ir į kuriuos valdžios institucija atsižvelgia priimdama savo sprendimą, nebent bendrojo intereso tikslai pateisina galimybės susipažinti su šia informacija ir šiais dokumentais apribojimą.</w:t>
      </w:r>
    </w:p>
    <w:p w:rsidR="0036339B" w:rsidRPr="00B45B9B" w:rsidRDefault="00A87A78" w:rsidP="00C87E7D">
      <w:pPr>
        <w:ind w:firstLine="540"/>
        <w:rPr>
          <w:rFonts w:cs="Calibri"/>
        </w:rPr>
      </w:pPr>
      <w:hyperlink r:id="rId15" w:history="1">
        <w:r w:rsidR="0036339B" w:rsidRPr="00B45B9B">
          <w:rPr>
            <w:rStyle w:val="Hipersaitas"/>
            <w:rFonts w:cs="Calibri"/>
          </w:rPr>
          <w:t>Prieiga internete</w:t>
        </w:r>
      </w:hyperlink>
    </w:p>
    <w:p w:rsidR="0036339B" w:rsidRPr="00B45B9B" w:rsidRDefault="0036339B" w:rsidP="00C87E7D">
      <w:pPr>
        <w:ind w:firstLine="540"/>
        <w:rPr>
          <w:rFonts w:cs="Calibri"/>
        </w:rPr>
      </w:pPr>
    </w:p>
    <w:p w:rsidR="0036339B" w:rsidRPr="00B45B9B" w:rsidRDefault="0036339B" w:rsidP="00C87E7D">
      <w:pPr>
        <w:pStyle w:val="Antrat2"/>
        <w:rPr>
          <w:rFonts w:cs="Calibri"/>
        </w:rPr>
      </w:pPr>
      <w:bookmarkStart w:id="28" w:name="_Toc511911500"/>
      <w:bookmarkStart w:id="29" w:name="_Toc512411037"/>
      <w:r w:rsidRPr="00B45B9B">
        <w:rPr>
          <w:rFonts w:cs="Calibri"/>
        </w:rPr>
        <w:t>2017 m. lapkričio 22 d. prejudicinis sprendimas byloje C</w:t>
      </w:r>
      <w:r w:rsidRPr="00D03043">
        <w:rPr>
          <w:rFonts w:ascii="Cambria Math" w:hAnsi="Cambria Math" w:cs="Cambria Math"/>
        </w:rPr>
        <w:t>‑</w:t>
      </w:r>
      <w:r w:rsidRPr="00B45B9B">
        <w:rPr>
          <w:rFonts w:cs="Calibri"/>
        </w:rPr>
        <w:t>224/16</w:t>
      </w:r>
      <w:bookmarkEnd w:id="28"/>
      <w:bookmarkEnd w:id="29"/>
    </w:p>
    <w:p w:rsidR="0036339B" w:rsidRPr="00B45B9B" w:rsidRDefault="0036339B" w:rsidP="00C87E7D">
      <w:pPr>
        <w:jc w:val="center"/>
        <w:rPr>
          <w:rFonts w:cs="Calibri"/>
          <w:b/>
          <w:i/>
        </w:rPr>
      </w:pPr>
      <w:r w:rsidRPr="00B45B9B">
        <w:rPr>
          <w:rFonts w:cs="Calibri"/>
          <w:b/>
          <w:i/>
        </w:rPr>
        <w:t>Asotsiatsia na balgarskite predpriyatia sa mezhdunarodni prevozi i patishtata (Aebtri)</w:t>
      </w:r>
    </w:p>
    <w:p w:rsidR="0036339B" w:rsidRPr="00B45B9B" w:rsidRDefault="0036339B" w:rsidP="00C87E7D">
      <w:pPr>
        <w:jc w:val="center"/>
        <w:rPr>
          <w:rFonts w:cs="Calibri"/>
          <w:b/>
          <w:i/>
        </w:rPr>
      </w:pPr>
      <w:r w:rsidRPr="001738B4">
        <w:rPr>
          <w:rFonts w:cs="Calibri"/>
          <w:b/>
          <w:i/>
        </w:rPr>
        <w:t>prieš</w:t>
      </w:r>
      <w:r w:rsidRPr="00B45B9B">
        <w:rPr>
          <w:rFonts w:cs="Calibri"/>
          <w:b/>
        </w:rPr>
        <w:t xml:space="preserve"> </w:t>
      </w:r>
      <w:r w:rsidRPr="00B45B9B">
        <w:rPr>
          <w:rFonts w:cs="Calibri"/>
          <w:b/>
          <w:i/>
        </w:rPr>
        <w:t>Nachalnik na Mitnitsa Burgas</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 xml:space="preserve">Prašymas priimti prejudicinį sprendimą pateiktas dėl, be kita ko, 1975 m. lapkričio 14 d. Ženevoje pasirašytos ir Europos ekonominės bendrijos vardu 1978 m. liepos 25 </w:t>
      </w:r>
      <w:r w:rsidR="001738B4">
        <w:rPr>
          <w:rFonts w:cs="Calibri"/>
        </w:rPr>
        <w:t>d. Tarybos reglamentu (EEB) Nr. </w:t>
      </w:r>
      <w:r w:rsidRPr="00B45B9B">
        <w:rPr>
          <w:rFonts w:cs="Calibri"/>
        </w:rPr>
        <w:t xml:space="preserve">2112/78 (patvirtintos Muitinės konvencijos dėl tarptautinio krovinių gabenimo su TIR knygelėmis (toliau – TIR konvencija arba konvencija) 8 ir 11 straipsnių, 1992 m. spalio 12 </w:t>
      </w:r>
      <w:r w:rsidR="001738B4">
        <w:rPr>
          <w:rFonts w:cs="Calibri"/>
        </w:rPr>
        <w:t>d. Tarybos reglamento (EEB) Nr. </w:t>
      </w:r>
      <w:r w:rsidRPr="00B45B9B">
        <w:rPr>
          <w:rFonts w:cs="Calibri"/>
        </w:rPr>
        <w:t xml:space="preserve">2913/92, nustatančio Bendrijos muitinės kodeksą (toliau ir – Muitinės kodeksas), ir 1993 m. liepos 2 d. Komisijos reglamento (EEB) Nr. 2454/93, išdėstančio [tam tikras Bendrijos muitinės kodekso] įgyvendinimo nuostatas (toliau – Įgyvendinimo reglamentas) nuostatų išaiškinimo. Šis prašymas pateiktas nagrinėjant garantuojančiosios asociacijos </w:t>
      </w:r>
      <w:r w:rsidRPr="00B45B9B">
        <w:rPr>
          <w:rFonts w:cs="Calibri"/>
          <w:i/>
        </w:rPr>
        <w:t>Aebtri</w:t>
      </w:r>
      <w:r w:rsidRPr="00B45B9B">
        <w:rPr>
          <w:rFonts w:cs="Calibri"/>
        </w:rPr>
        <w:t xml:space="preserve"> ir Bulgarijos muitinės įstaigos ginčą dėl sprendimo priverstinai išieškoti muitų ir pridėtinės vertės mokesčio (PVM) skolą, atsiradusią dėl pažeidimų, padarytų vykdant tarptautinį prekių gabenimą keliais naudojant TIR knygelę, kartu su teisės aktuose numatytomis palūkanomis</w:t>
      </w:r>
      <w:r w:rsidR="001738B4">
        <w:rPr>
          <w:rFonts w:cs="Calibri"/>
        </w:rPr>
        <w:t xml:space="preserve"> (1 ir 2 </w:t>
      </w:r>
      <w:r w:rsidRPr="00B45B9B">
        <w:rPr>
          <w:rFonts w:cs="Calibri"/>
        </w:rPr>
        <w:t>punktai).</w:t>
      </w:r>
    </w:p>
    <w:p w:rsidR="0036339B" w:rsidRPr="00B45B9B" w:rsidRDefault="0036339B" w:rsidP="00C87E7D">
      <w:pPr>
        <w:ind w:firstLine="540"/>
        <w:rPr>
          <w:rFonts w:cs="Calibri"/>
        </w:rPr>
      </w:pPr>
      <w:r w:rsidRPr="00B45B9B">
        <w:rPr>
          <w:rFonts w:cs="Calibri"/>
        </w:rPr>
        <w:t xml:space="preserve">Pagrindinėje byloje buvo nustatyta, kad 2008 m. lapkričio 11 d. Turkijoje įsteigta bendrovė </w:t>
      </w:r>
      <w:r w:rsidRPr="00B45B9B">
        <w:rPr>
          <w:rFonts w:cs="Calibri"/>
          <w:i/>
        </w:rPr>
        <w:t>Surgut</w:t>
      </w:r>
      <w:r w:rsidRPr="00B45B9B">
        <w:rPr>
          <w:rFonts w:cs="Calibri"/>
        </w:rPr>
        <w:t xml:space="preserve"> Bulgarijos muitinės poste, naudodama TIR knygelę, pradėjo prekių tranzito procedūrą. Kaip gabenamų prekių paskirties vieta buvo nurodytas Rumunijoje esantis muitinės postas. Bulgarijos muitinė negavo jokios informacijos apie šios TIR operacijos užbaigimą, todėl, remdamasi Įgyvendinimo reglamento 455a straipsniu, 2009 m. balandžio 29 d. pradėjo minėtos operacijos užbaigimo tyrimo procedūrą ir kreipėsi į Rumunijos muitinę. Atsakydama ši nurodė, kad jai nebuvo pateiktas nei atitinkamas krovinys, nei TIR knygelė ir kad ji negalėjo gauti informacijos šiuo klausimu. 2009 m. rugsėjo 10 d. Bulgarijos muitinės sprendimu buvo nustatytas </w:t>
      </w:r>
      <w:r w:rsidRPr="00B45B9B">
        <w:rPr>
          <w:rFonts w:cs="Calibri"/>
          <w:i/>
        </w:rPr>
        <w:t>Sargut</w:t>
      </w:r>
      <w:r w:rsidRPr="00B45B9B">
        <w:rPr>
          <w:rFonts w:cs="Calibri"/>
        </w:rPr>
        <w:t xml:space="preserve"> mokėtinos skolos muitinei, susidariusios dėl nesumokėtų muitų ir PVM, dydis ir nuo šių sumų mokėtinos teisės aktuose numatytos palūkanos. Apie šį sprendimą buvo pranešta </w:t>
      </w:r>
      <w:r w:rsidRPr="00B45B9B">
        <w:rPr>
          <w:rFonts w:cs="Calibri"/>
          <w:i/>
        </w:rPr>
        <w:t>Sargut</w:t>
      </w:r>
      <w:r w:rsidRPr="00B45B9B">
        <w:rPr>
          <w:rFonts w:cs="Calibri"/>
        </w:rPr>
        <w:t xml:space="preserve"> ir </w:t>
      </w:r>
      <w:r w:rsidRPr="00B45B9B">
        <w:rPr>
          <w:rFonts w:cs="Calibri"/>
          <w:i/>
        </w:rPr>
        <w:t>Aebtri</w:t>
      </w:r>
      <w:r w:rsidRPr="00B45B9B">
        <w:rPr>
          <w:rFonts w:cs="Calibri"/>
        </w:rPr>
        <w:t xml:space="preserve">. </w:t>
      </w:r>
      <w:r w:rsidR="001738B4">
        <w:rPr>
          <w:rFonts w:cs="Calibri"/>
        </w:rPr>
        <w:t>2010 </w:t>
      </w:r>
      <w:r w:rsidRPr="00B45B9B">
        <w:rPr>
          <w:rFonts w:cs="Calibri"/>
        </w:rPr>
        <w:t xml:space="preserve">m. lapkričio 15 d. raštu </w:t>
      </w:r>
      <w:r w:rsidRPr="00B45B9B">
        <w:rPr>
          <w:rFonts w:cs="Calibri"/>
          <w:i/>
        </w:rPr>
        <w:t>Aebtri</w:t>
      </w:r>
      <w:r w:rsidRPr="00B45B9B">
        <w:rPr>
          <w:rFonts w:cs="Calibri"/>
        </w:rPr>
        <w:t xml:space="preserve"> buvo paprašyta sumokėti skolą, tačiau per TIR konvencijoje nustatytą trijų mėnesių terminą ji neįvykdė šio prašymo. 2012 m. rugsėjo 5 d. muitinės įstaiga priėmė sprendimą dėl priverstinio atitinkamų sumų išieškojimo iš </w:t>
      </w:r>
      <w:r w:rsidRPr="00B45B9B">
        <w:rPr>
          <w:rFonts w:cs="Calibri"/>
          <w:i/>
        </w:rPr>
        <w:t>Aebtri</w:t>
      </w:r>
      <w:r w:rsidRPr="00B45B9B">
        <w:rPr>
          <w:rFonts w:cs="Calibri"/>
        </w:rPr>
        <w:t xml:space="preserve"> (31–37 punktai)</w:t>
      </w:r>
    </w:p>
    <w:p w:rsidR="0036339B" w:rsidRPr="00B45B9B" w:rsidRDefault="0036339B" w:rsidP="00C87E7D">
      <w:pPr>
        <w:ind w:firstLine="540"/>
        <w:rPr>
          <w:rFonts w:cs="Calibri"/>
        </w:rPr>
      </w:pPr>
      <w:r w:rsidRPr="00B45B9B">
        <w:rPr>
          <w:rFonts w:cs="Calibri"/>
        </w:rPr>
        <w:t xml:space="preserve">Ginčą dėl tokio sprendimo nagrinėjęs teismas, be kita ko, nustatė, kad Rumunijos bendrovė </w:t>
      </w:r>
      <w:r w:rsidRPr="00B45B9B">
        <w:rPr>
          <w:rFonts w:cs="Calibri"/>
          <w:i/>
        </w:rPr>
        <w:t>Irem Corporation</w:t>
      </w:r>
      <w:r w:rsidRPr="00B45B9B">
        <w:rPr>
          <w:rFonts w:cs="Calibri"/>
        </w:rPr>
        <w:t xml:space="preserve"> gavo pagrindinėje byloje nagrinėtą krovinį ir gaudama jį žinojo, jog šis krovinys buvo gabenamas naudojant TIR knygelę, tačiau nebuvo jokių įrodymų, kad krovinys buvo deklaruotas paskirties muitinės įstaigoje (44 ir 45 punktai).</w:t>
      </w:r>
    </w:p>
    <w:p w:rsidR="0036339B" w:rsidRPr="00B45B9B" w:rsidRDefault="0036339B" w:rsidP="00C87E7D">
      <w:pPr>
        <w:ind w:firstLine="540"/>
        <w:rPr>
          <w:rFonts w:cs="Calibri"/>
        </w:rPr>
      </w:pPr>
      <w:r w:rsidRPr="00B45B9B">
        <w:rPr>
          <w:rFonts w:cs="Calibri"/>
        </w:rPr>
        <w:t xml:space="preserve">Įvertinęs kilusio ginčo aplinkybes, nacionalinis teismas kreipėsi į Teisingumo Teismą su prašymu išaiškinti, ar Įgyvendinimo reglamento 457 straipsnio 2 dalis ir TIR konvencijos 8 straipsnio 7 dalis, vertinamos kartu, turi būti aiškinamos taip, kad tokiu atveju kaip nagrinėjamas muitinė laikėsi pastarojoje nuostatoje </w:t>
      </w:r>
      <w:r w:rsidRPr="00B45B9B">
        <w:rPr>
          <w:rFonts w:cs="Calibri"/>
        </w:rPr>
        <w:lastRenderedPageBreak/>
        <w:t>nustatytos pareigos prieš pateikiant reikalavimą garantuojančiajai asociacijai sumokėti atitinkamus importo muitus ir mokesčius reikalauti, jei įmanoma, kad juos sumokėtų TIR knygelės turėtojas kaip tiesiogiai už šių sumų sumokėjimą atsakingas asmuo (55 punktas).</w:t>
      </w:r>
    </w:p>
    <w:p w:rsidR="0036339B" w:rsidRPr="00B45B9B" w:rsidRDefault="0036339B" w:rsidP="00C87E7D">
      <w:pPr>
        <w:ind w:firstLine="540"/>
        <w:rPr>
          <w:rFonts w:cs="Calibri"/>
        </w:rPr>
      </w:pPr>
    </w:p>
    <w:p w:rsidR="0036339B" w:rsidRPr="001738B4" w:rsidRDefault="0036339B" w:rsidP="00C87E7D">
      <w:pPr>
        <w:pStyle w:val="Antrat3"/>
        <w:ind w:firstLine="567"/>
      </w:pPr>
      <w:bookmarkStart w:id="30" w:name="_Toc511911501"/>
      <w:bookmarkStart w:id="31" w:name="_Toc512411038"/>
      <w:r w:rsidRPr="001738B4">
        <w:t>Dėl TIR konvencijoje numatytos mokesčių administratoriaus pareigos prieš pateikiant garantuojančiajai asociacijai reikalavimą sumokėti atitinkamus importo muitus ir mokesčius reikalauti, kad juos sumokėtų TIR knygelės turėtojas</w:t>
      </w:r>
      <w:bookmarkEnd w:id="30"/>
      <w:bookmarkEnd w:id="31"/>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TIR konvencijos 8 straipsnio 7 dalyje nurodyta, kad kompetentingos institucijos, prieš pateikdamos reikalavimą garantuojančiajai asociacijai, turi, jei įmanoma, „[reikalauti,] kad [atitinkamas sumas] sumokėtų tiesiogiai už jų mokėjimą atsakingas asmuo ar asmenys“ (58 punktas). Nors ir Muitinės kodekse, ir Įgyvendinimo reglamente yra nuostatų, kuriomis TIR konvencijoje numatyta tvarka perkeliama į minėtus teisės aktus, ir patikslinamos tam tikros minėtos tvarkos įgyvendinimo sąlygos, tose nuostatose nėra jokių nuorodų dėl konkrečių priemonių, kurių kompetentingos institucijos, prieš pateikdamos reikalavimą garantuojančiajai asociacijai, turi imtis, norėdamos reikalauti šių sumų sumokėjimo iš jų tiesioginio skolininko ar tiesioginių skolininkų (59 punktas).</w:t>
      </w:r>
    </w:p>
    <w:p w:rsidR="0036339B" w:rsidRPr="00B45B9B" w:rsidRDefault="0036339B" w:rsidP="00C87E7D">
      <w:pPr>
        <w:ind w:firstLine="540"/>
        <w:rPr>
          <w:rFonts w:cs="Calibri"/>
        </w:rPr>
      </w:pPr>
      <w:r w:rsidRPr="00B45B9B">
        <w:rPr>
          <w:rFonts w:cs="Calibri"/>
        </w:rPr>
        <w:t>Teisingumo Teismas akcentavo, kad žodžiai „requérir le paiement“ ir „require payment“, pavartoti atitinkamai TIR konvencijos 8 straipsnio 7 dalies versijose prancūzų ir anglų kalbomis, nėra nei aiškūs, nei vienareikšmiški, ypač kiek tai susiję su konkrečių veiksmų, kurių gali imtis atitinkamos kompetentingos institucijos, pobūdžiu (66 punktas). Tačiau aiškinamojoje pastaboje dėl šios TIR konvencijos nuostatos konkrečiai nurodyta, kad tarp priemonių, kurių turi imtis kompetentingos institucijos, reikalaudamos mokėjimo iš tiesioginio skolininko (-ų), turi būti „bent pranešimas, kad TIR operacija nebuvo pripažinta įvykdyta, ir (arba) mokėjimo reikalavimo perdavimas TIR knygelės turėtojui“ (67 punktas).</w:t>
      </w:r>
    </w:p>
    <w:p w:rsidR="0036339B" w:rsidRPr="00B45B9B" w:rsidRDefault="0036339B" w:rsidP="00C87E7D">
      <w:pPr>
        <w:ind w:firstLine="540"/>
        <w:rPr>
          <w:rFonts w:cs="Calibri"/>
        </w:rPr>
      </w:pPr>
      <w:r w:rsidRPr="00B45B9B">
        <w:rPr>
          <w:rFonts w:cs="Calibri"/>
        </w:rPr>
        <w:t>Atitinkamai, atsižvelgdama į tai, kad minėtame paaiškinime vartojamas žodis „bent“, Europos Sąjungos teisminė institucija akcentavo būtinybę išsiaiškinti, ar ir kokiomis sąlygomis tam, kad būtų laikomasi minėtoje 8 straipsnio 7 dalyje nustatytos taisyklės, gali būti būtina, kad kompetentinga muitinė darytų daugiau, nei to minimaliai reikalaujama (68 punktas).</w:t>
      </w:r>
    </w:p>
    <w:p w:rsidR="0036339B" w:rsidRPr="00B45B9B" w:rsidRDefault="0036339B" w:rsidP="00C87E7D">
      <w:pPr>
        <w:ind w:firstLine="540"/>
        <w:rPr>
          <w:rFonts w:cs="Calibri"/>
        </w:rPr>
      </w:pPr>
      <w:r w:rsidRPr="00B45B9B">
        <w:rPr>
          <w:rFonts w:cs="Calibri"/>
        </w:rPr>
        <w:t>Šiuo klausimu, įvertinęs aktualias TIR konvencijos nuostatas, Teisingumo Teismas akcentavo, kad reikalaujant iš kompetentingos muitinės įstaigos pirmiausia išnaudoti visas išieškojimo galimybes, kurių ji gali imtis prieš tiesiogiai už skolos sumokėjimą atsakingą asmenį ar asmenis, o tai reikštų, kad tam tikrais atvejais ji turėtų pareikšti ieškinius ir pradėti prieš tokius asmenis, kurie gali būti įsteigti kitose valstybėse narėse arba, kaip pagrindinėje byloje, trečiojoje valstybėje, vykdymo procedūras, pirma, kiltų pavojus, kad minėta įstaiga nebegalės išieškoti aptariamų sumų (dėl galimų tokių veiksmų terminų), kurias turi padengti garantuojančioji asociacija. Iš tikrųjų šiuo atveju reikia, be kita ko, atsižvelgti į terminus, per kuriuos reikalavimas sumokėti turi būti pateiktas garantuojančiajai asociacijai pagal TIR konvencijos 11 straipsnio 2 dalį (76 punktas). Antra, dėl tokio reikalavimo muitinė turėtų imtis galimai labai sudėtingų veiksmų, nesuderinamų nei su aplinkybe, kad muitų ir mokesčių kaip užstato pateikimas, kurio atsisakyta pagal TIR konvencijos 4 straipsnį, būtent turėjo leisti muitinei išvengti pareigos imtis tokių veiksmų, nei su konvencijoje atliktu atsakomybės paskirstymu muitinei ir garantuojančiosioms asociacijoms (77 punktas). Be to, dėl tokio reikalavimo kiltų didelė rizika, kad tiesiogiai už skolos sumokėjimą atsakingo asmens nemokumo atveju minėta įstaiga galiausia turėtų padengti priverstinio išieškojimo išlaidas, kurios gali būti didelės (78 punktas).</w:t>
      </w:r>
    </w:p>
    <w:p w:rsidR="0036339B" w:rsidRPr="00B45B9B" w:rsidRDefault="0036339B" w:rsidP="00C87E7D">
      <w:pPr>
        <w:ind w:firstLine="540"/>
        <w:rPr>
          <w:rFonts w:cs="Calibri"/>
        </w:rPr>
      </w:pPr>
      <w:r w:rsidRPr="00B45B9B">
        <w:rPr>
          <w:rFonts w:cs="Calibri"/>
        </w:rPr>
        <w:t xml:space="preserve">Teisingumo Teismas taip pat akcentavo, </w:t>
      </w:r>
      <w:r w:rsidR="001738B4">
        <w:rPr>
          <w:rFonts w:cs="Calibri"/>
        </w:rPr>
        <w:t>jog</w:t>
      </w:r>
      <w:r w:rsidRPr="00B45B9B">
        <w:rPr>
          <w:rFonts w:cs="Calibri"/>
        </w:rPr>
        <w:t xml:space="preserve"> iš TIR konvencijos 8 straipsnio 1 dalies matyti, kad garantijos sutartimi garantuojančiosios asociacijos įsipareigoja sumokėti tiesioginių skolininkų mokėtinus muitus, be to, kartu ir solidariai su minėtais skolininkais privalo sumokėti minėtas sumas, net jei pagal šios konvencijos 8 straipsnio 7 dalį kompetentingos institucijos, prieš pateikdamos reikalavimą garantuojančiajai asociacijai, turi reikalauti, jei įmanoma, kad jas sumokėtų tiesiogiai už jų mokėjimą atsakingas asmuo ar asmenys (79 punktas). </w:t>
      </w:r>
      <w:r w:rsidRPr="00B45B9B">
        <w:rPr>
          <w:rFonts w:cs="Calibri"/>
          <w:u w:val="single"/>
        </w:rPr>
        <w:t>Tačiau tokia atsakomybė reiškia, kad pati garantuojančioji asociacija yra aptariamų sumų skolininkė kartu su tiesiogiai už jų sumokėjimą atsakingais asmenimis</w:t>
      </w:r>
      <w:r w:rsidRPr="00B45B9B">
        <w:rPr>
          <w:rFonts w:cs="Calibri"/>
        </w:rPr>
        <w:t xml:space="preserve">. Be to, iš paties solidariosios atsakomybės pobūdžio išplaukia, kad kiekvienas skolininkas atsako už visą skolos sumą ir kad kreditorius iš esmės gali pats pasirinkti ir reikalauti, kad šią skolą sumokėtų arba vienas, arba keli skolininkai (80 punktas). Turint omenyje tokį bendrą ir solidarų garantuojančiosios asociacijos atsakomybės muitinei pobūdį, </w:t>
      </w:r>
      <w:r w:rsidRPr="00B45B9B">
        <w:rPr>
          <w:rFonts w:cs="Calibri"/>
          <w:u w:val="single"/>
        </w:rPr>
        <w:t>TIR konvencijos 8 straipsnio 7 dalyje numatytas reikalavimas reikalauti iš tiesioginio skolininko sumokėti aptariamas sumas negali būti aiškinamas kaip lemiantis situaciją, kai garantuojančiosios asociacijos atsakomybė iš esmės bus tik papildoma, palyginti su minėto asmens atsakomybe</w:t>
      </w:r>
      <w:r w:rsidRPr="00B45B9B">
        <w:rPr>
          <w:rFonts w:cs="Calibri"/>
        </w:rPr>
        <w:t xml:space="preserve">. Taip būtų tuo atveju, jei </w:t>
      </w:r>
      <w:r w:rsidRPr="00B45B9B">
        <w:rPr>
          <w:rFonts w:cs="Calibri"/>
        </w:rPr>
        <w:lastRenderedPageBreak/>
        <w:t>dėl tokio reikalavimo kompetentinga muitinė privalėtų tęsti skolos išieškojimą iš tiesioginio skolininko iki vykdymo stadijos (81 punktas).</w:t>
      </w:r>
    </w:p>
    <w:p w:rsidR="0036339B" w:rsidRPr="00B45B9B" w:rsidRDefault="0036339B" w:rsidP="00C87E7D">
      <w:pPr>
        <w:ind w:firstLine="540"/>
        <w:rPr>
          <w:rFonts w:cs="Calibri"/>
        </w:rPr>
      </w:pPr>
      <w:r w:rsidRPr="00B45B9B">
        <w:rPr>
          <w:rFonts w:cs="Calibri"/>
        </w:rPr>
        <w:t xml:space="preserve">Šiomis aplinkybėmis Teisingumo Teismas konstatavo, kad </w:t>
      </w:r>
      <w:r w:rsidRPr="00B45B9B">
        <w:rPr>
          <w:rFonts w:cs="Calibri"/>
          <w:u w:val="single"/>
        </w:rPr>
        <w:t>TIR konvencijos 8 straipsnio 7 dalis, siejama su dėl šios nuostatos pateikta aiškinamąja pastaba, turi būti aiškinama taip, kad muitinė paiso savo pareigos reikalauti mokėjimo iš tiesioginio skolininko, jei laikosi minėtoje aiškinamojoje pastaboje nustatytų minimalių reikalavimų</w:t>
      </w:r>
      <w:r w:rsidRPr="00B45B9B">
        <w:rPr>
          <w:rFonts w:cs="Calibri"/>
        </w:rPr>
        <w:t xml:space="preserve"> (86 punktas).</w:t>
      </w:r>
    </w:p>
    <w:p w:rsidR="0036339B" w:rsidRPr="00B45B9B" w:rsidRDefault="0036339B" w:rsidP="00C87E7D">
      <w:pPr>
        <w:ind w:firstLine="540"/>
        <w:rPr>
          <w:rFonts w:cs="Calibri"/>
        </w:rPr>
      </w:pPr>
    </w:p>
    <w:p w:rsidR="0036339B" w:rsidRPr="00B45B9B" w:rsidRDefault="0036339B" w:rsidP="00C87E7D">
      <w:pPr>
        <w:ind w:firstLine="540"/>
        <w:rPr>
          <w:rFonts w:cs="Calibri"/>
          <w:b/>
        </w:rPr>
      </w:pPr>
      <w:r w:rsidRPr="00B45B9B">
        <w:rPr>
          <w:rFonts w:cs="Calibri"/>
          <w:b/>
        </w:rPr>
        <w:t>Remdamasis šiais motyvais, Teisingumo Teismas (antroji kolegija) nusprendė:</w:t>
      </w:r>
    </w:p>
    <w:p w:rsidR="0036339B" w:rsidRPr="00B45B9B" w:rsidRDefault="0036339B" w:rsidP="00C87E7D">
      <w:pPr>
        <w:ind w:firstLine="540"/>
        <w:rPr>
          <w:rFonts w:cs="Calibri"/>
          <w:b/>
        </w:rPr>
      </w:pPr>
    </w:p>
    <w:p w:rsidR="0036339B" w:rsidRPr="00B45B9B" w:rsidRDefault="0036339B" w:rsidP="00C87E7D">
      <w:pPr>
        <w:ind w:firstLine="540"/>
        <w:rPr>
          <w:rFonts w:cs="Calibri"/>
        </w:rPr>
      </w:pPr>
      <w:r w:rsidRPr="00B45B9B">
        <w:rPr>
          <w:rFonts w:cs="Calibri"/>
        </w:rPr>
        <w:t>&lt;...&gt;</w:t>
      </w:r>
    </w:p>
    <w:p w:rsidR="0036339B" w:rsidRPr="00B45B9B" w:rsidRDefault="0036339B" w:rsidP="00C87E7D">
      <w:pPr>
        <w:ind w:firstLine="540"/>
        <w:rPr>
          <w:rFonts w:cs="Calibri"/>
        </w:rPr>
      </w:pPr>
      <w:r w:rsidRPr="00B45B9B">
        <w:rPr>
          <w:rFonts w:cs="Calibri"/>
        </w:rPr>
        <w:t>TIR konvencijos 8 straipsnio 7 dalis turi būti aiškinama taip, kad tokiu atveju kaip nagrinėjamas pagrindinėje byloje muitinė laikėsi šioje nuostatoje numatytos pareigos prieš pateikiant garantuojančiajai asociacijai reikalavimą sumokėti atitinkamus importo muitus ir mokesčius reikalauti, jei įmanoma, kad juos sumokėtų TIR knygelės turėtojas kaip tiesiogiai už šių sumų sumokėjimą atsakingas asmuo.</w:t>
      </w:r>
    </w:p>
    <w:p w:rsidR="0036339B" w:rsidRPr="00B45B9B" w:rsidRDefault="0036339B" w:rsidP="00C87E7D">
      <w:pPr>
        <w:ind w:firstLine="540"/>
        <w:rPr>
          <w:rFonts w:cs="Calibri"/>
        </w:rPr>
      </w:pPr>
      <w:r w:rsidRPr="00B45B9B">
        <w:rPr>
          <w:rFonts w:cs="Calibri"/>
        </w:rPr>
        <w:t>&lt;...&gt;</w:t>
      </w:r>
    </w:p>
    <w:p w:rsidR="0036339B" w:rsidRPr="00B45B9B" w:rsidRDefault="00A87A78" w:rsidP="00C87E7D">
      <w:pPr>
        <w:ind w:firstLine="540"/>
        <w:rPr>
          <w:rFonts w:cs="Calibri"/>
        </w:rPr>
      </w:pPr>
      <w:hyperlink r:id="rId16" w:history="1">
        <w:r w:rsidR="0036339B" w:rsidRPr="00B45B9B">
          <w:rPr>
            <w:rStyle w:val="Hipersaitas"/>
            <w:rFonts w:cs="Calibri"/>
          </w:rPr>
          <w:t>Prieiga internete</w:t>
        </w:r>
      </w:hyperlink>
    </w:p>
    <w:p w:rsidR="0036339B" w:rsidRPr="00B45B9B" w:rsidRDefault="0036339B" w:rsidP="00C87E7D">
      <w:pPr>
        <w:ind w:firstLine="540"/>
        <w:rPr>
          <w:rFonts w:cs="Calibri"/>
        </w:rPr>
      </w:pPr>
    </w:p>
    <w:p w:rsidR="0036339B" w:rsidRPr="00B45B9B" w:rsidRDefault="0036339B" w:rsidP="00C87E7D">
      <w:pPr>
        <w:pStyle w:val="Antrat2"/>
        <w:rPr>
          <w:rFonts w:cs="Calibri"/>
        </w:rPr>
      </w:pPr>
      <w:bookmarkStart w:id="32" w:name="_Toc511911502"/>
      <w:bookmarkStart w:id="33" w:name="_Toc512411039"/>
      <w:r w:rsidRPr="00B45B9B">
        <w:rPr>
          <w:rFonts w:cs="Calibri"/>
        </w:rPr>
        <w:t>2017 m. spalio 19 d. prejudicinis sprendimas byloje C</w:t>
      </w:r>
      <w:r w:rsidRPr="00D03043">
        <w:rPr>
          <w:rFonts w:ascii="Cambria Math" w:hAnsi="Cambria Math" w:cs="Cambria Math"/>
        </w:rPr>
        <w:t>‑</w:t>
      </w:r>
      <w:r w:rsidRPr="00B45B9B">
        <w:rPr>
          <w:rFonts w:cs="Calibri"/>
        </w:rPr>
        <w:t>101/16</w:t>
      </w:r>
      <w:bookmarkEnd w:id="32"/>
      <w:bookmarkEnd w:id="33"/>
    </w:p>
    <w:p w:rsidR="0036339B" w:rsidRPr="00B45B9B" w:rsidRDefault="0036339B" w:rsidP="00C87E7D">
      <w:pPr>
        <w:jc w:val="center"/>
        <w:rPr>
          <w:rFonts w:cs="Calibri"/>
          <w:b/>
          <w:i/>
        </w:rPr>
      </w:pPr>
      <w:r w:rsidRPr="00B45B9B">
        <w:rPr>
          <w:rFonts w:cs="Calibri"/>
          <w:b/>
          <w:i/>
        </w:rPr>
        <w:t xml:space="preserve">SC Paper Consult SRL </w:t>
      </w:r>
      <w:r w:rsidRPr="001738B4">
        <w:rPr>
          <w:rFonts w:cs="Calibri"/>
          <w:b/>
          <w:i/>
        </w:rPr>
        <w:t>prieš</w:t>
      </w:r>
      <w:r w:rsidRPr="00B45B9B">
        <w:rPr>
          <w:rFonts w:cs="Calibri"/>
          <w:b/>
          <w:i/>
        </w:rPr>
        <w:t xml:space="preserve"> Direcția Regională a</w:t>
      </w:r>
      <w:r w:rsidR="00B71D62">
        <w:rPr>
          <w:rFonts w:cs="Calibri"/>
          <w:b/>
          <w:i/>
        </w:rPr>
        <w:t xml:space="preserve"> Finanțelor Publice Cluj-Napoca</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 xml:space="preserve">Prašymas priimti prejudicinį sprendimą pateiktas dėl 2006 m. lapkričio 28 d. Tarybos direktyvos 2006/112/EB dėl pridėtinės vertės mokesčio bendros sistemos, iš dalies pakeistos 2010 m. liepos 13 d. Tarybos direktyva 2010/45/ES (toliau ir – PVM direktyva), aiškinimo. Jis buvo pateiktas nagrinėjant SC </w:t>
      </w:r>
      <w:r w:rsidRPr="00B45B9B">
        <w:rPr>
          <w:rFonts w:cs="Calibri"/>
          <w:i/>
        </w:rPr>
        <w:t xml:space="preserve">Paper Consult SRL </w:t>
      </w:r>
      <w:r w:rsidRPr="00B45B9B">
        <w:rPr>
          <w:rFonts w:cs="Calibri"/>
        </w:rPr>
        <w:t xml:space="preserve">(toliau – </w:t>
      </w:r>
      <w:r w:rsidRPr="00B45B9B">
        <w:rPr>
          <w:rFonts w:cs="Calibri"/>
          <w:i/>
        </w:rPr>
        <w:t>Paper Consult</w:t>
      </w:r>
      <w:r w:rsidRPr="00B45B9B">
        <w:rPr>
          <w:rFonts w:cs="Calibri"/>
        </w:rPr>
        <w:t xml:space="preserve">) ginčą su Rumunijos mokesčių administratoriumi dėl </w:t>
      </w:r>
      <w:r w:rsidRPr="00B45B9B">
        <w:rPr>
          <w:rFonts w:cs="Calibri"/>
          <w:i/>
        </w:rPr>
        <w:t>Paper Consult</w:t>
      </w:r>
      <w:r w:rsidRPr="00B45B9B">
        <w:rPr>
          <w:rFonts w:cs="Calibri"/>
        </w:rPr>
        <w:t xml:space="preserve"> ginčijamo administracinio sprendimo, kuriuo buvo atsisakyta suteikti jai teisę į pridėtinės vertės mokesčio (PVM), sumokėto už iš</w:t>
      </w:r>
      <w:r w:rsidRPr="00B45B9B">
        <w:rPr>
          <w:rFonts w:cs="Calibri"/>
          <w:i/>
        </w:rPr>
        <w:t xml:space="preserve"> SC Rom Packaging SPRL</w:t>
      </w:r>
      <w:r w:rsidRPr="00B45B9B">
        <w:rPr>
          <w:rFonts w:cs="Calibri"/>
        </w:rPr>
        <w:t xml:space="preserve"> (toliau – </w:t>
      </w:r>
      <w:r w:rsidRPr="00B45B9B">
        <w:rPr>
          <w:rFonts w:cs="Calibri"/>
          <w:i/>
        </w:rPr>
        <w:t>Rom Packaging</w:t>
      </w:r>
      <w:r w:rsidRPr="00B45B9B">
        <w:rPr>
          <w:rFonts w:cs="Calibri"/>
        </w:rPr>
        <w:t>) įsigytas paslaugas, atskaitą, nes pastaroji bendrovė sutarties sudarymo dieną buvo paskelbta „veiklos nevykdančia“ mokesčių mokėtoja (1 ir 2 punktai).</w:t>
      </w:r>
    </w:p>
    <w:p w:rsidR="0036339B" w:rsidRPr="00B45B9B" w:rsidRDefault="0036339B" w:rsidP="00C87E7D">
      <w:pPr>
        <w:ind w:firstLine="540"/>
        <w:rPr>
          <w:rFonts w:cs="Calibri"/>
        </w:rPr>
      </w:pPr>
      <w:r w:rsidRPr="00B45B9B">
        <w:rPr>
          <w:rFonts w:cs="Calibri"/>
        </w:rPr>
        <w:t xml:space="preserve">Pagrindinėje byloje buvo nustatyta, kad 2012 m. gegužės 11 d. sprendimu mokesčių institucijos konstatavo, kad </w:t>
      </w:r>
      <w:r w:rsidRPr="00B45B9B">
        <w:rPr>
          <w:rFonts w:cs="Calibri"/>
          <w:i/>
        </w:rPr>
        <w:t>Rom Packaging</w:t>
      </w:r>
      <w:r w:rsidRPr="00B45B9B">
        <w:rPr>
          <w:rFonts w:cs="Calibri"/>
        </w:rPr>
        <w:t xml:space="preserve"> suteikė paslaugų </w:t>
      </w:r>
      <w:r w:rsidRPr="00B45B9B">
        <w:rPr>
          <w:rFonts w:cs="Calibri"/>
          <w:i/>
        </w:rPr>
        <w:t>Paper Consult</w:t>
      </w:r>
      <w:r w:rsidRPr="00B45B9B">
        <w:rPr>
          <w:rFonts w:cs="Calibri"/>
        </w:rPr>
        <w:t xml:space="preserve"> už 190 340 Rumunijos</w:t>
      </w:r>
      <w:r w:rsidR="001738B4">
        <w:rPr>
          <w:rFonts w:cs="Calibri"/>
        </w:rPr>
        <w:t xml:space="preserve"> lėjų (RON) (apie 44 560 </w:t>
      </w:r>
      <w:r w:rsidRPr="00B45B9B">
        <w:rPr>
          <w:rFonts w:cs="Calibri"/>
        </w:rPr>
        <w:t xml:space="preserve">EUR) be PVM pagal 2011 m. sausio 3 d. sudarytą paslaugų teikimo sutartį. Kadangi </w:t>
      </w:r>
      <w:r w:rsidRPr="00B45B9B">
        <w:rPr>
          <w:rFonts w:cs="Calibri"/>
          <w:i/>
        </w:rPr>
        <w:t>Rom Packaging</w:t>
      </w:r>
      <w:r w:rsidRPr="00B45B9B">
        <w:rPr>
          <w:rFonts w:cs="Calibri"/>
        </w:rPr>
        <w:t xml:space="preserve"> buvo paskelbta nuo 2010 m. spalio 7 d. nevykdanti veiklos ir nuo 2010 m. lapkričio 1 d. išbraukta iš PVM mokėtojų registro dėl to, kad nepateikė įstatyme nurodytų mokesčių deklaracijų, mokesčių administratorius nusprendė, kad </w:t>
      </w:r>
      <w:r w:rsidRPr="00B45B9B">
        <w:rPr>
          <w:rFonts w:cs="Calibri"/>
          <w:i/>
        </w:rPr>
        <w:t>Paper Consult</w:t>
      </w:r>
      <w:r w:rsidRPr="00B45B9B">
        <w:rPr>
          <w:rFonts w:cs="Calibri"/>
        </w:rPr>
        <w:t xml:space="preserve"> neturi teisės atskaityti už </w:t>
      </w:r>
      <w:r w:rsidRPr="00B45B9B">
        <w:rPr>
          <w:rFonts w:cs="Calibri"/>
          <w:i/>
        </w:rPr>
        <w:t>Rom Packaging</w:t>
      </w:r>
      <w:r w:rsidRPr="00B45B9B">
        <w:rPr>
          <w:rFonts w:cs="Calibri"/>
        </w:rPr>
        <w:t xml:space="preserve"> suteiktas paslaugas sumokėto PVM sumos (20 ir 21 punktai). Skųsdama tokį sprendimą </w:t>
      </w:r>
      <w:r w:rsidRPr="00B45B9B">
        <w:rPr>
          <w:rFonts w:cs="Calibri"/>
          <w:i/>
        </w:rPr>
        <w:t>Paper Consult</w:t>
      </w:r>
      <w:r w:rsidRPr="00B45B9B">
        <w:rPr>
          <w:rFonts w:cs="Calibri"/>
        </w:rPr>
        <w:t xml:space="preserve"> neginčijo mokesčių institucijų nustatytų faktinių aplinkybių, tačiau ji nurodė, kad 2010 m. rugsėjo 21 d. mokesčių administratoriaus sprendimas, kuriuo </w:t>
      </w:r>
      <w:r w:rsidRPr="00B45B9B">
        <w:rPr>
          <w:rFonts w:cs="Calibri"/>
          <w:i/>
        </w:rPr>
        <w:t>Rom Packaging</w:t>
      </w:r>
      <w:r w:rsidRPr="00B45B9B">
        <w:rPr>
          <w:rFonts w:cs="Calibri"/>
        </w:rPr>
        <w:t xml:space="preserve"> buvo paskelbta nevykdančia veiklos, jai nebuvo pateiktas ir buvo paskelbtas tik mokesčių administratoriaus būstinėje ir internetinėje svetainėje. </w:t>
      </w:r>
      <w:r w:rsidRPr="00B45B9B">
        <w:rPr>
          <w:rFonts w:cs="Calibri"/>
          <w:i/>
        </w:rPr>
        <w:t>Paper Consult</w:t>
      </w:r>
      <w:r w:rsidRPr="00B45B9B">
        <w:rPr>
          <w:rFonts w:cs="Calibri"/>
        </w:rPr>
        <w:t xml:space="preserve"> nurodė, kad tokiomis aplinkybėmis šiuo sprendimu negalima remtis prieš ją ir jis negali būti pagrindas atmesti jos teisę į PVM atskaitą (22 punktas).</w:t>
      </w:r>
    </w:p>
    <w:p w:rsidR="0036339B" w:rsidRPr="00B45B9B" w:rsidRDefault="0036339B" w:rsidP="00C87E7D">
      <w:pPr>
        <w:ind w:firstLine="540"/>
        <w:rPr>
          <w:rFonts w:cs="Calibri"/>
        </w:rPr>
      </w:pPr>
      <w:r w:rsidRPr="00B45B9B">
        <w:rPr>
          <w:rFonts w:cs="Calibri"/>
        </w:rPr>
        <w:t>Ginčui pasiekus apeliacinės instancijos teismą, šis nutarė sustabdyti bylos nagrinėjimą ir kreiptis į Teisingumo Teismą su prašymu išaiškinti, ar PVM direktyva turi būti aiškinama taip, jog ji draudžia tokį nacionalinį reglamentavimą, kaip nagrinėjamas pagrindinėje byloje, pagal kurį atsisakoma suteikti teisę į PVM atskaitą apmokestinamajam asmeniui, jei ūkio subjektas, suteikęs jam paslaugą, dėl kurios išrašytoje sąskaitoje faktūroje atskirai nurodytos išlaidos ir PVM, valstybės narės mokesčių administratoriaus buvo paskelbtas nevykdančiu veiklos, tačiau tai buvo paskelbta tik visiems šios valstybės narės apmokestinamiesiems asmenims prieinamame interneto tinklalapyje (33 punktas).</w:t>
      </w:r>
    </w:p>
    <w:p w:rsidR="0036339B" w:rsidRPr="00B45B9B" w:rsidRDefault="0036339B" w:rsidP="00C87E7D">
      <w:pPr>
        <w:ind w:firstLine="540"/>
        <w:rPr>
          <w:rFonts w:cs="Calibri"/>
        </w:rPr>
      </w:pPr>
      <w:r w:rsidRPr="00B45B9B">
        <w:rPr>
          <w:rFonts w:cs="Calibri"/>
        </w:rPr>
        <w:t>Apibendrinusi nuoseklią Teisingumo Teismo jurisprudenciją, ši Europos Sąjungos teisminė institucija priminė, kad pagrindinis PVM neutralumo principas reikalauja, kad būtų suteikta teisė į pirkimo PVM atskaitą, jeigu esminiai reikalavimai įvykdyti, net jei apmokestinamieji asmenys neįvykdė kai kurių formos reikalavimų (41 punktas). Gali būti kitaip, jei dėl formalių reikalavimų pažeidimo negalima pateikti tikslių įrodymų, kad įvykdyti esminiai reikalavimai (42 punktas). Taip pat gali būti atsisakyta suteikti teisę į atskaitą, jei remiantis objektyviais įrodymais nustatoma, kad šios teisės prašoma sukčiaujant ar piktnaudžiaujant (43 punktas).</w:t>
      </w:r>
    </w:p>
    <w:p w:rsidR="0036339B" w:rsidRPr="00B45B9B" w:rsidRDefault="0036339B" w:rsidP="00C87E7D">
      <w:pPr>
        <w:ind w:firstLine="540"/>
        <w:rPr>
          <w:rFonts w:cs="Calibri"/>
        </w:rPr>
      </w:pPr>
      <w:r w:rsidRPr="00B45B9B">
        <w:rPr>
          <w:rFonts w:cs="Calibri"/>
        </w:rPr>
        <w:lastRenderedPageBreak/>
        <w:t>Dėl pagrindinėje byloje taikyto nacionalinio reguliavimo buvo nustatyta, kad dėl Rumunijos valdžios institucijų patiriamų sunkumų kovojant su sukčiavimu PVM srityje Rumunijos teisės aktų leidėjas nustatė mokesčių vengimo prevencijos mechanizmą, mokesčių mokėtojus, kurių netinkamas elgesys mokesčių srityje trukdo renkant PVM nustatyti pažeidimus ir yra sukčiavimo požymis, paskelbti nevykdančiais veiklos. Be to, nesumokėtas PVM turi įtakos prekės ar paslaugos kainai ir suteikia konkurencinį pranašumą, leidžiantį padidinti pardavimų apimtį, todėl piniginės baudos nėra pakankama priemonė kovojant su sukčiavimu PVM srityje (46 punktas). Teisingumo Teismas pripažino, kad toks tikslas yra valstybių narių pareigos imtis visų teisėkūros ir administracinių priemonių, būtinų viso mokėtino PVM surinkimui jos teritorijoje užtikrinti ir kovoti su sukčiavimu, išplaukiančios iš Sąjungos teisės. Be to, yra tiesioginis ryšys tarp pajamų iš PVM gavimo laikantis taikytinos Sąjungos teisės ir atitinkamų lėšų iš PVM įtraukimo į Sąjungos biudžetą, nes bet koks trūkumas gaunant pirmąsias potencialiai sumažins antrąsias (47 punktas).</w:t>
      </w:r>
    </w:p>
    <w:p w:rsidR="0036339B" w:rsidRPr="00B45B9B" w:rsidRDefault="0036339B" w:rsidP="00C87E7D">
      <w:pPr>
        <w:ind w:firstLine="540"/>
        <w:rPr>
          <w:rFonts w:cs="Calibri"/>
        </w:rPr>
      </w:pPr>
    </w:p>
    <w:p w:rsidR="0036339B" w:rsidRPr="00B71D62" w:rsidRDefault="0036339B" w:rsidP="00C87E7D">
      <w:pPr>
        <w:pStyle w:val="Antrat3"/>
        <w:ind w:firstLine="567"/>
      </w:pPr>
      <w:bookmarkStart w:id="34" w:name="_Toc511911503"/>
      <w:bookmarkStart w:id="35" w:name="_Toc512411040"/>
      <w:r w:rsidRPr="00B71D62">
        <w:t>Dėl apmokestinamojo asmens pareigos mokesčių administratoriaus interneto svetainėje patikrinti, ar jo kontrahentas nėra pripažintas nevykdančiu veiklos</w:t>
      </w:r>
      <w:r w:rsidR="006023A2">
        <w:t>,</w:t>
      </w:r>
      <w:r w:rsidRPr="00B71D62">
        <w:t xml:space="preserve"> neįvykdymo, kaip pagrindo paneigti jo teis</w:t>
      </w:r>
      <w:r w:rsidR="007037B5">
        <w:t>ę</w:t>
      </w:r>
      <w:r w:rsidRPr="00B71D62">
        <w:t xml:space="preserve"> į pirkimo PVM atskaitą</w:t>
      </w:r>
      <w:bookmarkEnd w:id="34"/>
      <w:bookmarkEnd w:id="35"/>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 xml:space="preserve">Šiuo klausimu Teisingumo Teismas priminė, kad </w:t>
      </w:r>
      <w:r w:rsidRPr="00B45B9B">
        <w:rPr>
          <w:rFonts w:cs="Calibri"/>
          <w:u w:val="single"/>
        </w:rPr>
        <w:t>valstybės narės privalo tikrinti apmokestinamųjų asmenų deklaracijas, jų sąskaitas ir kitus svarbius dokumentus, taip pat apskaičiuoti ir surinkti mokėtiną mokestį</w:t>
      </w:r>
      <w:r w:rsidRPr="00B45B9B">
        <w:rPr>
          <w:rFonts w:cs="Calibri"/>
        </w:rPr>
        <w:t xml:space="preserve"> (48 punktas). Pagal PVM direktyvos 273 straipsnio pirmą pastraipą valstybės narės gali nustatyti kitas pareigas nei numatytos šioje direktyvoje, kai jos mano, kad šios pareigos būtinos teisingam PVM surinkimui užtikrinti ir sukčiavimui išvengti (49 punktas). Tačiau jos neturi viršyti to, kas būtina šiems tikslams pasiekti, </w:t>
      </w:r>
      <w:r w:rsidRPr="00B45B9B">
        <w:rPr>
          <w:rFonts w:cs="Calibri"/>
          <w:u w:val="single"/>
        </w:rPr>
        <w:t>jos neturi būti naudojamos taip, kad dėl jų sistemingai būtų abejojama teise į PVM atskaitą, todėl ir PVM neutralumu, kuris yra bendros PVM sistemos pagrindinis principas</w:t>
      </w:r>
      <w:r w:rsidRPr="00B45B9B">
        <w:rPr>
          <w:rFonts w:cs="Calibri"/>
        </w:rPr>
        <w:t xml:space="preserve"> (50 punktas).</w:t>
      </w:r>
    </w:p>
    <w:p w:rsidR="0036339B" w:rsidRPr="00B45B9B" w:rsidRDefault="0036339B" w:rsidP="00C87E7D">
      <w:pPr>
        <w:ind w:firstLine="540"/>
        <w:rPr>
          <w:rFonts w:cs="Calibri"/>
        </w:rPr>
      </w:pPr>
      <w:r w:rsidRPr="00B45B9B">
        <w:rPr>
          <w:rFonts w:cs="Calibri"/>
          <w:u w:val="single"/>
        </w:rPr>
        <w:t xml:space="preserve">Mokesčių administratorius </w:t>
      </w:r>
      <w:r w:rsidRPr="00B45B9B">
        <w:rPr>
          <w:rFonts w:cs="Calibri"/>
          <w:b/>
          <w:u w:val="single"/>
        </w:rPr>
        <w:t>negali</w:t>
      </w:r>
      <w:r w:rsidRPr="00B45B9B">
        <w:rPr>
          <w:rFonts w:cs="Calibri"/>
          <w:u w:val="single"/>
        </w:rPr>
        <w:t xml:space="preserve"> versti apmokestinamojo asmens atlikti jo tiekėjo sudėtingus ir nuodugnius patikrinimus, taip </w:t>
      </w:r>
      <w:r w:rsidRPr="00B45B9B">
        <w:rPr>
          <w:rFonts w:cs="Calibri"/>
          <w:i/>
          <w:u w:val="single"/>
        </w:rPr>
        <w:t xml:space="preserve">de facto </w:t>
      </w:r>
      <w:r w:rsidRPr="00B45B9B">
        <w:rPr>
          <w:rFonts w:cs="Calibri"/>
          <w:u w:val="single"/>
        </w:rPr>
        <w:t>perduodamas jam savo tyrimo funkcijas</w:t>
      </w:r>
      <w:r w:rsidRPr="00B45B9B">
        <w:rPr>
          <w:rFonts w:cs="Calibri"/>
        </w:rPr>
        <w:t xml:space="preserve"> (51 punktas). Tačiau Sąjungos teisei neprieštarauja reikalavimas, kad ūkio subjektas imtųsi bet kokių priemonių, kurių gali būti pagrįstai reikalaujama, kad įsitikintų, jog sudaromas sandoris neįtraukia jo į sukčiavimą mokesčių srityje (52 punktas).</w:t>
      </w:r>
    </w:p>
    <w:p w:rsidR="0036339B" w:rsidRPr="00B45B9B" w:rsidRDefault="0036339B" w:rsidP="00C87E7D">
      <w:pPr>
        <w:ind w:firstLine="540"/>
        <w:rPr>
          <w:rFonts w:cs="Calibri"/>
        </w:rPr>
      </w:pPr>
      <w:r w:rsidRPr="00B45B9B">
        <w:rPr>
          <w:rFonts w:cs="Calibri"/>
        </w:rPr>
        <w:t xml:space="preserve">Šiais klausimais Teisingumo Teismas konstatavo, kad pagrindinėje byloje nagrinėtas reglamentavimas neperduoda apmokestinamajam asmeniui mokesčių administratoriaus tenkančių tyrimo funkcijų, o tik informuoja jį apie administracinio tyrimo rezultatus, iš kurių matyti, kad mokesčių mokėtojas, pripažintas nevykdančiu veiklos, yra nebekontroliuojamas kompetentingos valdžios institucijos, nes šis asmuo nevykdo įstatyme nustatytos pareigos deklaruoti arba jis deklaravo tokią informaciją apie pagrindinę būstinę, kuri kompetentingoms mokesčių institucijoms neleidžia nustatyti tokios buveinės, arba savo pagrindinėje buveinėje arba deklaruotoje gyvenamoje vietoje jis nevykdo veiklos (53 punktas). Vienintelė apmokestinamojo asmens pareiga iš tikrųjų yra patikrinti mokesčių mokėtojų, kurie paskelbti nevykdančiais veiklos, sąrašą, pateikiamą mokesčių administratoriaus būstinėje ir skelbiamą jo interneto tinklalapyje, ir toks patikrinimas yra lengvai atliekamas (54 punktas). </w:t>
      </w:r>
      <w:r w:rsidRPr="00B45B9B">
        <w:rPr>
          <w:rFonts w:cs="Calibri"/>
          <w:u w:val="single"/>
        </w:rPr>
        <w:t>Taigi, įpareigojant asmenį atlikti šį patikrinimą, nacionaliniais aktais siekiama teisėto ir net Sąjungos teisėje nustatyto tikslo, t. y. siekiama užtikrinti, kad būtų tinkamai renkamas PVM ir užkertamas kelias sukčiavimui, todėl tokio patikrinimo galima pagrįstai reikalauti iš ūkio subjekto</w:t>
      </w:r>
      <w:r w:rsidRPr="00B45B9B">
        <w:rPr>
          <w:rFonts w:cs="Calibri"/>
        </w:rPr>
        <w:t xml:space="preserve"> (55 punktas).</w:t>
      </w:r>
    </w:p>
    <w:p w:rsidR="0036339B" w:rsidRPr="00B45B9B" w:rsidRDefault="0036339B" w:rsidP="00C87E7D">
      <w:pPr>
        <w:ind w:firstLine="540"/>
        <w:rPr>
          <w:rFonts w:cs="Calibri"/>
        </w:rPr>
      </w:pPr>
      <w:r w:rsidRPr="00B45B9B">
        <w:rPr>
          <w:rFonts w:cs="Calibri"/>
        </w:rPr>
        <w:t xml:space="preserve">Vis dėlto Teisingumo Teismas akcentavo būtinybę įvertinti, ar minėtas nacionalinis reglamentavimas neviršija to, kas būtina tikslui pasiekti, šiuo aspektu pirmiausia nurodydamas, kad </w:t>
      </w:r>
      <w:r w:rsidRPr="00B45B9B">
        <w:rPr>
          <w:rFonts w:cs="Calibri"/>
          <w:u w:val="single"/>
        </w:rPr>
        <w:t>nors įstatyme numatytos mokesčių deklaracijos nepateikimas gali būti laikomas sukčiavimo požymiu, tai nepaneigiamai neįrodo sukčiavimo PVM srityje</w:t>
      </w:r>
      <w:r w:rsidRPr="00B45B9B">
        <w:rPr>
          <w:rFonts w:cs="Calibri"/>
        </w:rPr>
        <w:t xml:space="preserve">. Be to, iš Teisingumo Teismui pateiktos medžiagos buvo matyti, kad net jei apmokestinamasis asmuo įvykdė reikalavimus ir buvo išbrauktas iš veiklos nevykdančių mokesčių mokėtojų sąrašo, nacionalinėje teisėje numatyta sankcija nebuvo panaikinama, todėl prekės ar paslaugos pirkėjas negalėjo pasinaudoti teise į PVM atskaitą. </w:t>
      </w:r>
    </w:p>
    <w:p w:rsidR="0036339B" w:rsidRPr="00B45B9B" w:rsidRDefault="0036339B" w:rsidP="00C87E7D">
      <w:pPr>
        <w:ind w:firstLine="540"/>
        <w:rPr>
          <w:rFonts w:cs="Calibri"/>
        </w:rPr>
      </w:pPr>
      <w:r w:rsidRPr="00B45B9B">
        <w:rPr>
          <w:rFonts w:cs="Calibri"/>
        </w:rPr>
        <w:t>Šiuo klausimu Rumunijos vyriausybė nurodė, kad įstatymas buvo pakeis</w:t>
      </w:r>
      <w:r w:rsidR="00B71D62">
        <w:rPr>
          <w:rFonts w:cs="Calibri"/>
        </w:rPr>
        <w:t>tas ir kad nuo 2017 m. sausio 1 </w:t>
      </w:r>
      <w:r w:rsidRPr="00B45B9B">
        <w:rPr>
          <w:rFonts w:cs="Calibri"/>
        </w:rPr>
        <w:t xml:space="preserve">d. veiklos nevykdančiu paskelbtam mokesčių mokėtojui atnaujinus veiklą veiklos nevykdymo mokestinės pasekmės panaikinamos tiek pačiam mokėtojui, tiek jo prekybos partneriams, kurie susigrąžina teisę į PVM atskaitą už veiklos nevykdymo laikotarpiu sudarytus sandorius (57 punktas). Taigi Rumunijos nacionalinė teisė nenumatė apmokestinamojo asmens, pardavėjo, situacijos patikslinimo, nepaisant to, kad įrodyta, jog apmokestinamasis asmuo, pirkėjas, sumokėjo PVM, nes sprendimas nesuteikti teisės į atskaitą buvo galutinis (59 punktas). </w:t>
      </w:r>
      <w:r w:rsidRPr="00B45B9B">
        <w:rPr>
          <w:rFonts w:cs="Calibri"/>
          <w:u w:val="single"/>
        </w:rPr>
        <w:t xml:space="preserve">Tačiau apmokestinamojo asmens negalėjimas įrodyti, kad sandoriai, sudaryti su ūkio subjektu, </w:t>
      </w:r>
      <w:r w:rsidRPr="00B45B9B">
        <w:rPr>
          <w:rFonts w:cs="Calibri"/>
          <w:u w:val="single"/>
        </w:rPr>
        <w:lastRenderedPageBreak/>
        <w:t>kuris paskelbtas nevykdančiu veiklos, atitinka PBM direktyvos numatytas sąlygas, būtent kad PVM į biudžetą sumokėjo šis ūkio subjektas, viršija tai, kas būtina šia direktyva siekiamiems tikslams pasiekti</w:t>
      </w:r>
      <w:r w:rsidRPr="00B45B9B">
        <w:rPr>
          <w:rFonts w:cs="Calibri"/>
        </w:rPr>
        <w:t xml:space="preserve"> (60 punktas).</w:t>
      </w:r>
    </w:p>
    <w:p w:rsidR="0036339B" w:rsidRPr="00B45B9B" w:rsidRDefault="0036339B" w:rsidP="00C87E7D">
      <w:pPr>
        <w:ind w:firstLine="540"/>
        <w:rPr>
          <w:rFonts w:cs="Calibri"/>
        </w:rPr>
      </w:pPr>
    </w:p>
    <w:p w:rsidR="0036339B" w:rsidRPr="00B45B9B" w:rsidRDefault="0036339B" w:rsidP="00C87E7D">
      <w:pPr>
        <w:ind w:firstLine="540"/>
        <w:rPr>
          <w:rFonts w:cs="Calibri"/>
          <w:b/>
        </w:rPr>
      </w:pPr>
      <w:r w:rsidRPr="00B45B9B">
        <w:rPr>
          <w:rFonts w:cs="Calibri"/>
          <w:b/>
        </w:rPr>
        <w:t>Remdamasis šiais motyvais, Teisingumo Teismas (antroji kolegija) nusprendė:</w:t>
      </w:r>
    </w:p>
    <w:p w:rsidR="0036339B" w:rsidRPr="00B45B9B" w:rsidRDefault="0036339B" w:rsidP="00C87E7D">
      <w:pPr>
        <w:ind w:firstLine="540"/>
        <w:rPr>
          <w:rFonts w:cs="Calibri"/>
        </w:rPr>
      </w:pPr>
    </w:p>
    <w:p w:rsidR="0036339B" w:rsidRPr="00B45B9B" w:rsidRDefault="0036339B" w:rsidP="00C87E7D">
      <w:pPr>
        <w:ind w:firstLine="540"/>
        <w:rPr>
          <w:rFonts w:cs="Calibri"/>
        </w:rPr>
      </w:pPr>
      <w:r w:rsidRPr="00B45B9B">
        <w:rPr>
          <w:rFonts w:cs="Calibri"/>
        </w:rPr>
        <w:t>PVM direktyva turi būti aiškinama taip, jog ji draudžia tokį nacionalinį reglamentavimą, kaip nagrinėjamas pagrindinėje byloje, pagal kurį atsisakoma suteikti teisę į pridėtinės vertės mokesčio atskaitą apmokestinamajam asmeniui, jei ūkio subjektas, suteikęs jam paslaugą, dėl kurios išrašytoje sąskaitoje faktūroje atskirai nurodytos išlaidos ir pridėtinės vertės mokestis, valstybės narės mokesčių administratoriaus buvo paskelbtas nevykdančiu veiklos, tačiau tai buvo paskelbta tik visiems šios valstybės narės apmokestinamiesiems asmenims prieinamame interneto tinklalapyje, kai šis atsisakymas suteikti teisę į atskaitą yra nuolatinis ir galutinis, neleidžiant pateikti sukčiavimo ar mokestinių pajamų praradimo nebuvimo įrodymų.</w:t>
      </w:r>
    </w:p>
    <w:p w:rsidR="0036339B" w:rsidRPr="00B45B9B" w:rsidRDefault="00A87A78" w:rsidP="00C87E7D">
      <w:pPr>
        <w:ind w:firstLine="540"/>
        <w:rPr>
          <w:rFonts w:cs="Calibri"/>
        </w:rPr>
      </w:pPr>
      <w:hyperlink r:id="rId17" w:history="1">
        <w:r w:rsidR="0036339B" w:rsidRPr="00B45B9B">
          <w:rPr>
            <w:rStyle w:val="Hipersaitas"/>
            <w:rFonts w:cs="Calibri"/>
          </w:rPr>
          <w:t>Prieiga internete</w:t>
        </w:r>
      </w:hyperlink>
    </w:p>
    <w:p w:rsidR="00D65A51" w:rsidRDefault="00D65A51" w:rsidP="00D65A51">
      <w:pPr>
        <w:rPr>
          <w:rFonts w:eastAsia="Times New Roman"/>
          <w:bCs/>
          <w:color w:val="17365D"/>
          <w:kern w:val="32"/>
          <w:lang w:eastAsia="lt-LT"/>
        </w:rPr>
      </w:pPr>
    </w:p>
    <w:p w:rsidR="00416E50" w:rsidRDefault="00416E50" w:rsidP="00D65A51">
      <w:pPr>
        <w:pStyle w:val="Antrat1"/>
        <w:spacing w:before="0"/>
        <w:rPr>
          <w:rFonts w:eastAsia="Times New Roman"/>
          <w:bCs/>
          <w:color w:val="17365D"/>
          <w:kern w:val="32"/>
          <w:lang w:eastAsia="lt-LT"/>
        </w:rPr>
      </w:pPr>
      <w:bookmarkStart w:id="36" w:name="_Toc512411041"/>
      <w:r w:rsidRPr="004859F3">
        <w:rPr>
          <w:rFonts w:eastAsia="Times New Roman"/>
          <w:bCs/>
          <w:color w:val="17365D"/>
          <w:kern w:val="32"/>
          <w:lang w:eastAsia="lt-LT"/>
        </w:rPr>
        <w:t>KONKURENCIJA</w:t>
      </w:r>
      <w:bookmarkEnd w:id="36"/>
    </w:p>
    <w:p w:rsidR="00416E50" w:rsidRDefault="00416E50" w:rsidP="00C87E7D">
      <w:pPr>
        <w:rPr>
          <w:lang w:eastAsia="lt-LT"/>
        </w:rPr>
      </w:pPr>
    </w:p>
    <w:p w:rsidR="00416E50" w:rsidRPr="00085476" w:rsidRDefault="00416E50" w:rsidP="00C87E7D">
      <w:pPr>
        <w:pStyle w:val="Antrat2"/>
        <w:rPr>
          <w:b w:val="0"/>
        </w:rPr>
      </w:pPr>
      <w:bookmarkStart w:id="37" w:name="_Toc512411042"/>
      <w:r w:rsidRPr="00085476">
        <w:t>2017 m. gruodžio 6 d. prejudicinis sprendimas byloje C-230/16</w:t>
      </w:r>
      <w:bookmarkEnd w:id="37"/>
    </w:p>
    <w:p w:rsidR="00416E50" w:rsidRPr="00085476" w:rsidRDefault="00416E50" w:rsidP="00C87E7D">
      <w:pPr>
        <w:jc w:val="center"/>
        <w:rPr>
          <w:b/>
          <w:i/>
          <w:lang w:eastAsia="lt-LT"/>
        </w:rPr>
      </w:pPr>
      <w:r w:rsidRPr="00085476">
        <w:rPr>
          <w:b/>
          <w:i/>
          <w:lang w:eastAsia="lt-LT"/>
        </w:rPr>
        <w:t>Coty Germany GmbH prieš Parfümerie Akzente GmbH</w:t>
      </w:r>
    </w:p>
    <w:p w:rsidR="00416E50" w:rsidRPr="00085476" w:rsidRDefault="00416E50" w:rsidP="00C87E7D">
      <w:pPr>
        <w:ind w:firstLine="567"/>
        <w:rPr>
          <w:lang w:eastAsia="lt-LT"/>
        </w:rPr>
      </w:pP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 xml:space="preserve">Prašymas priimti prejudicinį sprendimą pateiktas dėl SESV 101 straipsnio 1 dalies ir 2010 m. balandžio 20 d. Komisijos reglamento (ES) Nr. 330/2010 dėl Sutarties dėl Europos Sąjungos veikimo 101 straipsnio 3 dalies taikymo vertikaliųjų susitarimų ir suderintų veiksmų rūšims (OL L 102, 2010, p. 1) (toliau – </w:t>
      </w:r>
      <w:r w:rsidRPr="00D65A51">
        <w:rPr>
          <w:rFonts w:asciiTheme="minorHAnsi" w:eastAsia="Times New Roman" w:hAnsiTheme="minorHAnsi" w:cstheme="minorHAnsi"/>
          <w:bCs/>
          <w:lang w:eastAsia="lt-LT"/>
        </w:rPr>
        <w:t>Reglamentas 330/2010</w:t>
      </w:r>
      <w:r w:rsidRPr="00085476">
        <w:rPr>
          <w:rFonts w:asciiTheme="minorHAnsi" w:eastAsia="Times New Roman" w:hAnsiTheme="minorHAnsi" w:cstheme="minorHAnsi"/>
          <w:bCs/>
          <w:lang w:eastAsia="lt-LT"/>
        </w:rPr>
        <w:t>) 4 straipsnio b ir c punktų išaiškinimo (1 punktas).</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Šis prašymas pateiktas, nagrinėjant Vokietijoje įsteigtos prabangių kosmetikos prekių tiekėjos Coty Germany GmbH ir tų prekių įgaliotosios platintojos Parfümerie Akzente GmbH ginčą dėl pastarajai bendrovei nustatyto draudimo pagal Coty Germany ir jos įgaliotųjų platintojų pasirinktinio platinimo sutartį prekiaujant internetu sutartyje nurodytomis prekėmis naudotis neįgaliotųjų trečiųjų įmonių paslaugomis, kai tas naudojimasis matomas (2 punktas).</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Coty Germany Vokietijoje prekiauja prabangiomis kosmetikos prekėmis. Ji prekiauja tam tikrais šio sektoriaus prekių ženklais per pasirinktinio platinimo tinklą, remdamasi pasirinktinio platinimo sutartimi, kuria taip pat naudojasi su ja susijusios įmonės. Ši sutartis papildyta įvairiomis specialiosiomis sutartimis, skirtomis to tinklo veiklai organizuoti.</w:t>
      </w:r>
      <w:bookmarkStart w:id="38" w:name="point9"/>
      <w:r w:rsidRPr="00085476">
        <w:rPr>
          <w:rFonts w:asciiTheme="minorHAnsi" w:eastAsia="Times New Roman" w:hAnsiTheme="minorHAnsi" w:cstheme="minorHAnsi"/>
          <w:bCs/>
          <w:lang w:eastAsia="lt-LT"/>
        </w:rPr>
        <w:t xml:space="preserve"> </w:t>
      </w:r>
      <w:bookmarkEnd w:id="38"/>
      <w:r w:rsidRPr="00085476">
        <w:rPr>
          <w:rFonts w:asciiTheme="minorHAnsi" w:eastAsia="Times New Roman" w:hAnsiTheme="minorHAnsi" w:cstheme="minorHAnsi"/>
          <w:bCs/>
          <w:lang w:eastAsia="lt-LT"/>
        </w:rPr>
        <w:t>Parfümerie Akzente jau daug metų kaip įgaliotoji platintoja platina Coty Germany prekes stacionariose prekybos vietose ir internetu. Parfümerie Akzente internete prekiauja iš dalies naudodamasi savo internetine parduotuve ir iš dalies platforma „amazon.de“. Dėl stacionarios prekybos pasirinktinio platinimo sutartyje nustatyta, kad kiekvieną platintojo pardavimo vietą turi patvirtinti Coty Germany, o tai reiškia, kad kiekviena pardavimo vieta turi atitikti tam tikrus tos sutarties 2 straipsnyje nurodytus reikalavimus dėl tų pardavimo vietų aplinkos, interjero ir įrangos. Į šalių sutartis įtraukto papildomo susitarimo dėl prekybos internetu 1 straipsnio 3 dalyje nustatyta, kad „įgaliotajam platintojui draudžiama vadintis kitu pavadinimu arba naudotis trečiosios įmonės, kuriai nebuvo suteiktas įgaliojimas, paslaugomis“. Įsigaliojus Reglamentui Nr. 330/2010, Coty Germany pakeitė tinklo pasirinktinio platinimo sutartis ir šį papildomą susitarimą ir pastarojo susitarimo I išlygos 1 dalies pirmoje pastraipoje nustatė, kad „įgaliotasis platintojas turi teisę siūlyti ir parduoti produktus internetu, tačiau tik su sąlyga, kad įgaliotasis platintojas savo prekybą internetu tvarkys kaip įgaliotos parduotuvės „elektroninę vitriną“ ir bus išsaugotas produktų prabangos įvaizdis“. Be to, papildomo susitarimo I išlygos 1 dalies 3 punkte aiškiai draudžiama naudoti kitą komercinį pavadinimą ir naudotis trečiosios įmonės, kuri nėra įgaliotoji Coty Prestige platintoja, paslaugomis, kai tas naudojimasis matomas. Parfümerie Akzente atsisakė pasirašyti padarytus pasirinktinio platinimo sutarties pakeitimus. Coty Germany pareiškė ieškinį nacionaliniame pirmosios instancijos teisme, kad šis uždraustų atsakovei pagrindinėje byloje pagal minėtos I išlygos 1 dalies 3 punktą platinti ginčijamo prekių ženklo prekes per „amazon.de“ platformą. Šis teismas ieškinį atmetė motyvuodamas tuo, kad ginčijama sutarties sąlyga prieštarauja Gesetz gegen Wettbewerbsbeschränkungen (Įstatymas dėl konkurencijos ribojimo) 1 straipsniui arba SESV 101 straipsnio 1 daliai. Jis nusprendė, kad tikslas apsaugoti prestižinį prekės ženklo įvaizdį negali pateisinti, remiantis 2011 m.</w:t>
      </w:r>
      <w:r w:rsidR="007B6FCC" w:rsidRPr="00085476">
        <w:rPr>
          <w:rFonts w:asciiTheme="minorHAnsi" w:eastAsia="Times New Roman" w:hAnsiTheme="minorHAnsi" w:cstheme="minorHAnsi"/>
          <w:bCs/>
          <w:lang w:eastAsia="lt-LT"/>
        </w:rPr>
        <w:t xml:space="preserve"> spalio 13 d. s</w:t>
      </w:r>
      <w:r w:rsidRPr="00085476">
        <w:rPr>
          <w:rFonts w:asciiTheme="minorHAnsi" w:eastAsia="Times New Roman" w:hAnsiTheme="minorHAnsi" w:cstheme="minorHAnsi"/>
          <w:bCs/>
          <w:lang w:eastAsia="lt-LT"/>
        </w:rPr>
        <w:t xml:space="preserve">prendimu </w:t>
      </w:r>
      <w:r w:rsidRPr="00085476">
        <w:rPr>
          <w:rFonts w:asciiTheme="minorHAnsi" w:eastAsia="Times New Roman" w:hAnsiTheme="minorHAnsi" w:cstheme="minorHAnsi"/>
          <w:bCs/>
          <w:i/>
          <w:lang w:eastAsia="lt-LT"/>
        </w:rPr>
        <w:t>Pierre Fabre Dermo</w:t>
      </w:r>
      <w:r w:rsidRPr="00085476">
        <w:rPr>
          <w:rFonts w:asciiTheme="minorHAnsi" w:eastAsia="Times New Roman" w:hAnsiTheme="minorHAnsi" w:cstheme="minorHAnsi"/>
          <w:bCs/>
          <w:i/>
          <w:lang w:eastAsia="lt-LT"/>
        </w:rPr>
        <w:noBreakHyphen/>
        <w:t xml:space="preserve">Cosmétique </w:t>
      </w:r>
      <w:r w:rsidRPr="00085476">
        <w:rPr>
          <w:rFonts w:asciiTheme="minorHAnsi" w:eastAsia="Times New Roman" w:hAnsiTheme="minorHAnsi" w:cstheme="minorHAnsi"/>
          <w:bCs/>
          <w:lang w:eastAsia="lt-LT"/>
        </w:rPr>
        <w:t>(C</w:t>
      </w:r>
      <w:r w:rsidRPr="00085476">
        <w:rPr>
          <w:rFonts w:asciiTheme="minorHAnsi" w:eastAsia="Times New Roman" w:hAnsiTheme="minorHAnsi" w:cstheme="minorHAnsi"/>
          <w:bCs/>
          <w:lang w:eastAsia="lt-LT"/>
        </w:rPr>
        <w:noBreakHyphen/>
        <w:t xml:space="preserve">439/09, EU:C:2011:649), tokios iš esmės ribojančios konkurenciją pasirinktinio </w:t>
      </w:r>
      <w:r w:rsidRPr="00085476">
        <w:rPr>
          <w:rFonts w:asciiTheme="minorHAnsi" w:eastAsia="Times New Roman" w:hAnsiTheme="minorHAnsi" w:cstheme="minorHAnsi"/>
          <w:bCs/>
          <w:lang w:eastAsia="lt-LT"/>
        </w:rPr>
        <w:lastRenderedPageBreak/>
        <w:t>platinimo sistemos taikymo. Coty Germany pateikė apeliacinį skundą Frankfurto prie Maino aukštesniajam apygardos teismui. Šiam teismui kyla klausimas dėl šių dviejų ginčo šalių sutartinių santykių teisėtumo, atsižvelgiant į Sąjungos konkurencijos teisę (8–19 punktai).</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Šiomis aplinkybėmis Frankfurto prie Maino aukštesnysis apygardos teismas nutarė sustabdyti bylos nagrinėjimą ir pateikti Teisingumo Teismui prejudicinius klausimus (20 punktas).</w:t>
      </w:r>
    </w:p>
    <w:p w:rsidR="00416E50" w:rsidRPr="00085476" w:rsidRDefault="00416E50" w:rsidP="00C87E7D">
      <w:pPr>
        <w:ind w:firstLine="567"/>
        <w:rPr>
          <w:rFonts w:ascii="Verdana" w:hAnsi="Verdana"/>
          <w:sz w:val="18"/>
          <w:szCs w:val="18"/>
        </w:rPr>
      </w:pPr>
    </w:p>
    <w:p w:rsidR="00416E50" w:rsidRPr="00085476" w:rsidRDefault="00416E50" w:rsidP="00C87E7D">
      <w:pPr>
        <w:pStyle w:val="Antrat3"/>
        <w:ind w:firstLine="567"/>
        <w:rPr>
          <w:rFonts w:eastAsia="Times New Roman" w:cstheme="minorHAnsi"/>
          <w:b w:val="0"/>
          <w:bCs w:val="0"/>
          <w:lang w:eastAsia="lt-LT"/>
        </w:rPr>
      </w:pPr>
      <w:bookmarkStart w:id="39" w:name="_Toc512411043"/>
      <w:r w:rsidRPr="00085476">
        <w:rPr>
          <w:rFonts w:eastAsia="Times New Roman" w:cstheme="minorHAnsi"/>
          <w:lang w:eastAsia="lt-LT"/>
        </w:rPr>
        <w:t>Dėl prabangos prekių pasirinktinio platinimo sistemos, kuria visų pirma siekiama apsaugoti šių prekių prabangos įvaizdį, suderinimo su SESV 101 straipsnio 1 dalimi</w:t>
      </w:r>
      <w:bookmarkEnd w:id="39"/>
    </w:p>
    <w:p w:rsidR="00416E50" w:rsidRPr="00085476" w:rsidRDefault="00416E50" w:rsidP="00C87E7D">
      <w:pPr>
        <w:ind w:firstLine="567"/>
        <w:rPr>
          <w:rFonts w:asciiTheme="minorHAnsi" w:eastAsia="Times New Roman" w:hAnsiTheme="minorHAnsi" w:cstheme="minorHAnsi"/>
          <w:bCs/>
          <w:lang w:eastAsia="lt-LT"/>
        </w:rPr>
      </w:pP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Pagal SESV 101 straipsnio 1 dalį, kaip nesuderinami su vidaus rinka yra draudžiami visi įmonių susitarimai, įmonių asociacijų sprendimai ir suderinti veiksmai, kurie gali paveikti valstybių narių tarpusavio prekybą ir kurių tikslas ar poveikis yra konkurencijos trukdymas, ribojimas arba iškraipymas vidaus rinkoje.</w:t>
      </w:r>
      <w:bookmarkStart w:id="40" w:name="point23"/>
      <w:r w:rsidRPr="00085476">
        <w:rPr>
          <w:rFonts w:asciiTheme="minorHAnsi" w:eastAsia="Times New Roman" w:hAnsiTheme="minorHAnsi" w:cstheme="minorHAnsi"/>
          <w:bCs/>
          <w:lang w:eastAsia="lt-LT"/>
        </w:rPr>
        <w:t xml:space="preserve"> </w:t>
      </w:r>
      <w:bookmarkEnd w:id="40"/>
      <w:r w:rsidRPr="00085476">
        <w:rPr>
          <w:rFonts w:asciiTheme="minorHAnsi" w:eastAsia="Times New Roman" w:hAnsiTheme="minorHAnsi" w:cstheme="minorHAnsi"/>
          <w:bCs/>
          <w:lang w:eastAsia="lt-LT"/>
        </w:rPr>
        <w:t>Dėl pasirinktinio platinimo sistemą sudarančių susitarimų Teisingumo Teismas yra nurodęs, kad tokiais susitarimais neišvengiamai daroma įtaka konkurencijai vidaus rinkoje. Vis dėlto pasirinktinio platinimo tinklo organizavimui netaikomas SESV 101 straipsnio 1 dalyje numatytas draudimas, jei perpardavėjai pasirenkami remiantis objektyviais kokybiniais kriterijais, vienodai nustatytais visiems potencialiems perpardavėjams ir taikomais nediskriminuojant, jei tokio platinimo tinklo reikia dėl atitinkamos prekės savybių siekiant apsaugoti jos kokybę ir užtikrinti gerą jos naudojimą ir, galiausiai, jei nustatytais kriterijais neviršijama tai, ka</w:t>
      </w:r>
      <w:r w:rsidR="007B6FCC" w:rsidRPr="00085476">
        <w:rPr>
          <w:rFonts w:asciiTheme="minorHAnsi" w:eastAsia="Times New Roman" w:hAnsiTheme="minorHAnsi" w:cstheme="minorHAnsi"/>
          <w:bCs/>
          <w:lang w:eastAsia="lt-LT"/>
        </w:rPr>
        <w:t>s būtina (2011 m. spalio 13 d. 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Pierre Fabre Dermo-Cosmétique</w:t>
      </w:r>
      <w:r w:rsidRPr="00085476">
        <w:rPr>
          <w:rFonts w:asciiTheme="minorHAnsi" w:eastAsia="Times New Roman" w:hAnsiTheme="minorHAnsi" w:cstheme="minorHAnsi"/>
          <w:bCs/>
          <w:lang w:eastAsia="lt-LT"/>
        </w:rPr>
        <w:t>, C</w:t>
      </w:r>
      <w:r w:rsidRPr="00085476">
        <w:rPr>
          <w:rFonts w:asciiTheme="minorHAnsi" w:eastAsia="Times New Roman" w:hAnsiTheme="minorHAnsi" w:cstheme="minorHAnsi"/>
          <w:bCs/>
          <w:lang w:eastAsia="lt-LT"/>
        </w:rPr>
        <w:noBreakHyphen/>
        <w:t>439/09, EU:C:2011:649, 41 punktas ir nurodyta jurisprudencija) (22–24 punktai). Dėl klausimo, ar pasirinktinis platinimas gali būti reikalingas prabangos prekėms, Teisingumo Teismas priminė, kad tokių prekių kokybė priklauso ne tik nuo materialių savybių, bet ir nuo patrauklumo ir prestižo įvaizdžio, suteikiančių joms prabangos įspūdį, kad tas įspūdis yra esminis tokių prekių aspektas, kad jas vartotojai išskirtų iš kitų panašių prekių, ir kad dėl tos priežasties pakenkimas prabangos įspūdžiui gali pakenkti pačiai šių prekių kokybei (šiuo klausi</w:t>
      </w:r>
      <w:r w:rsidR="007B6FCC" w:rsidRPr="00085476">
        <w:rPr>
          <w:rFonts w:asciiTheme="minorHAnsi" w:eastAsia="Times New Roman" w:hAnsiTheme="minorHAnsi" w:cstheme="minorHAnsi"/>
          <w:bCs/>
          <w:lang w:eastAsia="lt-LT"/>
        </w:rPr>
        <w:t>mu žr. 2009 m. balandžio 23 d. 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Copad</w:t>
      </w:r>
      <w:r w:rsidRPr="00085476">
        <w:rPr>
          <w:rFonts w:asciiTheme="minorHAnsi" w:eastAsia="Times New Roman" w:hAnsiTheme="minorHAnsi" w:cstheme="minorHAnsi"/>
          <w:bCs/>
          <w:lang w:eastAsia="lt-LT"/>
        </w:rPr>
        <w:t>, C</w:t>
      </w:r>
      <w:r w:rsidRPr="00085476">
        <w:rPr>
          <w:rFonts w:asciiTheme="minorHAnsi" w:eastAsia="Times New Roman" w:hAnsiTheme="minorHAnsi" w:cstheme="minorHAnsi"/>
          <w:bCs/>
          <w:lang w:eastAsia="lt-LT"/>
        </w:rPr>
        <w:noBreakHyphen/>
        <w:t>59/08, EU:C:2009:260, 24–26 punktus ir nurodytą jurisprudenciją). Pasirinktinio platinimo sistemai būdingi požymiai ir sąlygos jau savaime gali apsaugoti kokybę ir užtikrinti tinkamą tokių prekių naud</w:t>
      </w:r>
      <w:r w:rsidR="007B6FCC" w:rsidRPr="00085476">
        <w:rPr>
          <w:rFonts w:asciiTheme="minorHAnsi" w:eastAsia="Times New Roman" w:hAnsiTheme="minorHAnsi" w:cstheme="minorHAnsi"/>
          <w:bCs/>
          <w:lang w:eastAsia="lt-LT"/>
        </w:rPr>
        <w:t>ojimą (2009 m. balandžio 23 d. 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Copad</w:t>
      </w:r>
      <w:r w:rsidRPr="00085476">
        <w:rPr>
          <w:rFonts w:asciiTheme="minorHAnsi" w:eastAsia="Times New Roman" w:hAnsiTheme="minorHAnsi" w:cstheme="minorHAnsi"/>
          <w:bCs/>
          <w:lang w:eastAsia="lt-LT"/>
        </w:rPr>
        <w:t>, C</w:t>
      </w:r>
      <w:r w:rsidRPr="00085476">
        <w:rPr>
          <w:rFonts w:asciiTheme="minorHAnsi" w:eastAsia="Times New Roman" w:hAnsiTheme="minorHAnsi" w:cstheme="minorHAnsi"/>
          <w:bCs/>
          <w:lang w:eastAsia="lt-LT"/>
        </w:rPr>
        <w:noBreakHyphen/>
        <w:t xml:space="preserve">59/08, EU:C:2009:260, 28 punktas ir nurodyta jurisprudencija). Teisingumo Teismas, be kita ko, yra nusprendęs, kad pasirinktinio platinimo sistemos organizavimas siekiant užtikrinti, kad pardavimo vietose prestižo prekės būtų pateikiamos kaip vertingos, prisideda prie aptariamų prekių reputacijos, taigi ir prie jų prabangos įspūdžio išsaugojimo (šiuo klausimu žr. 2009 m. balandžio 23 d. </w:t>
      </w:r>
      <w:r w:rsidR="007B6FCC" w:rsidRPr="00085476">
        <w:rPr>
          <w:rFonts w:asciiTheme="minorHAnsi" w:eastAsia="Times New Roman" w:hAnsiTheme="minorHAnsi" w:cstheme="minorHAnsi"/>
          <w:bCs/>
          <w:lang w:eastAsia="lt-LT"/>
        </w:rPr>
        <w:t>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Copad</w:t>
      </w:r>
      <w:r w:rsidRPr="00085476">
        <w:rPr>
          <w:rFonts w:asciiTheme="minorHAnsi" w:eastAsia="Times New Roman" w:hAnsiTheme="minorHAnsi" w:cstheme="minorHAnsi"/>
          <w:bCs/>
          <w:lang w:eastAsia="lt-LT"/>
        </w:rPr>
        <w:t>, C</w:t>
      </w:r>
      <w:r w:rsidRPr="00085476">
        <w:rPr>
          <w:rFonts w:asciiTheme="minorHAnsi" w:eastAsia="Times New Roman" w:hAnsiTheme="minorHAnsi" w:cstheme="minorHAnsi"/>
          <w:bCs/>
          <w:lang w:eastAsia="lt-LT"/>
        </w:rPr>
        <w:noBreakHyphen/>
        <w:t xml:space="preserve">59/08, EU:C:2009:260, 29 punktą). Taigi matyti, kad prabangos prekėms dėl jų savybių ir pobūdžio gali prireikti sukurti pasirinktinio platinimo sistemą, kad būtų apsaugota jų kokybė ir užtikrintas geras naudojimas. </w:t>
      </w:r>
      <w:r w:rsidRPr="00085476">
        <w:rPr>
          <w:rFonts w:asciiTheme="minorHAnsi" w:hAnsiTheme="minorHAnsi" w:cstheme="minorHAnsi"/>
        </w:rPr>
        <w:t>Todėl prabangos prekių pasirinktinio platinimo sistema, kuria visų pirma siekiama apsaugoti šių prekių prabangos įvaizdį, neprieštarauja SESV 101 straipsnio 1 daliai, jeigu laikomasi apžv</w:t>
      </w:r>
      <w:r w:rsidR="005B263C" w:rsidRPr="00085476">
        <w:rPr>
          <w:rFonts w:asciiTheme="minorHAnsi" w:hAnsiTheme="minorHAnsi" w:cstheme="minorHAnsi"/>
        </w:rPr>
        <w:t>e</w:t>
      </w:r>
      <w:r w:rsidRPr="00085476">
        <w:rPr>
          <w:rFonts w:asciiTheme="minorHAnsi" w:hAnsiTheme="minorHAnsi" w:cstheme="minorHAnsi"/>
        </w:rPr>
        <w:t>lgiamo sprendimo 24 punkte nustatytų sąlygų (25–</w:t>
      </w:r>
      <w:r w:rsidRPr="00085476">
        <w:rPr>
          <w:rFonts w:asciiTheme="minorHAnsi" w:eastAsia="Times New Roman" w:hAnsiTheme="minorHAnsi" w:cstheme="minorHAnsi"/>
          <w:bCs/>
          <w:lang w:eastAsia="lt-LT"/>
        </w:rPr>
        <w:t>29 punktai).</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Teisingumo Teismas šiame kontekste atkreipė dėmesį, kad priešingai nei tvirtina Parfümerie Akzente ir Vokietijos bei Liuksemburgo vyriausybės, šios išvados n</w:t>
      </w:r>
      <w:r w:rsidR="005B263C" w:rsidRPr="00085476">
        <w:rPr>
          <w:rFonts w:asciiTheme="minorHAnsi" w:eastAsia="Times New Roman" w:hAnsiTheme="minorHAnsi" w:cstheme="minorHAnsi"/>
          <w:bCs/>
          <w:lang w:eastAsia="lt-LT"/>
        </w:rPr>
        <w:t>epaneigia 2011 m. spalio 13 d. 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Pierre Fabre Dermo-Cosmétique</w:t>
      </w:r>
      <w:r w:rsidRPr="00085476">
        <w:rPr>
          <w:rFonts w:asciiTheme="minorHAnsi" w:eastAsia="Times New Roman" w:hAnsiTheme="minorHAnsi" w:cstheme="minorHAnsi"/>
          <w:bCs/>
          <w:lang w:eastAsia="lt-LT"/>
        </w:rPr>
        <w:t xml:space="preserve"> (C</w:t>
      </w:r>
      <w:r w:rsidRPr="00085476">
        <w:rPr>
          <w:rFonts w:asciiTheme="minorHAnsi" w:eastAsia="Times New Roman" w:hAnsiTheme="minorHAnsi" w:cstheme="minorHAnsi"/>
          <w:bCs/>
          <w:lang w:eastAsia="lt-LT"/>
        </w:rPr>
        <w:noBreakHyphen/>
        <w:t>439/09, EU:C:2011:649) 46 punkte išdėstytas teiginys, kadangi tas teiginys turi būti skaitomas ir aiškinamas, atsižvelgiant į to sprendimo kontekstą. Byloje, kurioje priimtas minėtas sprendimas, prašymą priimti prejudicinį sprendimą pateikęs teismas teiravosi ne apskritai dėl pasirinktinio platinimo sistemos, o dėl taikant tokią sistemą įgaliotiesiems platintojams nustatytos sutarties specialiosios sąlygos, pagal kurią visiškai draudžiama internete prekiauti sutartyje nurodytomis prekėmis, suderinamumo su SESV 101 straipsnio 1 dalimi. Taip pat reikia pažymėti, kad prekės, kurioms taikoma šioje byloje aptariama pasirinktinio platinimo sistema, buvo ne prabangos prekės, o kosmetikos ir kūno higienos prekės. Tokiomis aplinkybėmis Teisingumo Teismas šioje byloje nusprendė, kad poreikis apsaugoti nagrinėjamų kosmetikos ir kūno higienos prekių prestižo įvaizdį nėra teisėtas reikalavimas siekiant pagrįsti visišką draudimą šias priemones parduoti internetu. Dėl tos priežasties to sprendimo 46 punkte išdėstytas vertinimas buvo susijęs tik su byloje, kurioje priimtas tas sprendimas, aptariamomis prekėmis ir su toje byloje nagrinėta sutarties sąlyga. R</w:t>
      </w:r>
      <w:r w:rsidR="005B263C" w:rsidRPr="00085476">
        <w:rPr>
          <w:rFonts w:asciiTheme="minorHAnsi" w:eastAsia="Times New Roman" w:hAnsiTheme="minorHAnsi" w:cstheme="minorHAnsi"/>
          <w:bCs/>
          <w:lang w:eastAsia="lt-LT"/>
        </w:rPr>
        <w:t>emiantis 2011 m. spalio 13 d. s</w:t>
      </w:r>
      <w:r w:rsidRPr="00085476">
        <w:rPr>
          <w:rFonts w:asciiTheme="minorHAnsi" w:eastAsia="Times New Roman" w:hAnsiTheme="minorHAnsi" w:cstheme="minorHAnsi"/>
          <w:bCs/>
          <w:lang w:eastAsia="lt-LT"/>
        </w:rPr>
        <w:t xml:space="preserve">prendimu </w:t>
      </w:r>
      <w:r w:rsidRPr="00085476">
        <w:rPr>
          <w:rFonts w:asciiTheme="minorHAnsi" w:eastAsia="Times New Roman" w:hAnsiTheme="minorHAnsi" w:cstheme="minorHAnsi"/>
          <w:bCs/>
          <w:i/>
          <w:lang w:eastAsia="lt-LT"/>
        </w:rPr>
        <w:t>Pierre Fabre Dermo-Cosmétique</w:t>
      </w:r>
      <w:r w:rsidRPr="00085476">
        <w:rPr>
          <w:rFonts w:asciiTheme="minorHAnsi" w:eastAsia="Times New Roman" w:hAnsiTheme="minorHAnsi" w:cstheme="minorHAnsi"/>
          <w:bCs/>
          <w:lang w:eastAsia="lt-LT"/>
        </w:rPr>
        <w:t xml:space="preserve"> (C</w:t>
      </w:r>
      <w:r w:rsidRPr="00085476">
        <w:rPr>
          <w:rFonts w:asciiTheme="minorHAnsi" w:eastAsia="Times New Roman" w:hAnsiTheme="minorHAnsi" w:cstheme="minorHAnsi"/>
          <w:bCs/>
          <w:lang w:eastAsia="lt-LT"/>
        </w:rPr>
        <w:noBreakHyphen/>
        <w:t>439/09, EU:C:2011:649) negalima teigti, kad jo 46 punkte siekta įtvirtinti principinį pripažinimą, kad nuo šiol prabangos įvaizdžio apsauga nebegalima pateisinti konkurencijos ribojimo, kylančio dėl pasirinktinio platinimo tinklo sukūrimo ir taikymo bet kokioms prekėms, ypač prabangos prekėms, ir taip pakeisti šio sprendimo 25–27 punktuose nurodytos Teisingumo Teismo jurisprudencijos (30–35 punktai).</w:t>
      </w:r>
    </w:p>
    <w:p w:rsidR="00416E50" w:rsidRPr="00085476" w:rsidRDefault="00416E50" w:rsidP="00C87E7D">
      <w:pPr>
        <w:ind w:firstLine="567"/>
        <w:rPr>
          <w:rFonts w:asciiTheme="minorHAnsi" w:eastAsia="Times New Roman" w:hAnsiTheme="minorHAnsi" w:cstheme="minorHAnsi"/>
          <w:bCs/>
          <w:lang w:eastAsia="lt-LT"/>
        </w:rPr>
      </w:pPr>
    </w:p>
    <w:p w:rsidR="00416E50" w:rsidRPr="00085476" w:rsidRDefault="00416E50" w:rsidP="00C87E7D">
      <w:pPr>
        <w:pStyle w:val="Antrat3"/>
        <w:ind w:firstLine="567"/>
        <w:rPr>
          <w:rFonts w:eastAsia="Times New Roman" w:cstheme="minorHAnsi"/>
          <w:b w:val="0"/>
          <w:bCs w:val="0"/>
          <w:lang w:eastAsia="lt-LT"/>
        </w:rPr>
      </w:pPr>
      <w:bookmarkStart w:id="41" w:name="_Toc512411044"/>
      <w:r w:rsidRPr="00085476">
        <w:rPr>
          <w:rFonts w:eastAsia="Times New Roman" w:cstheme="minorHAnsi"/>
          <w:lang w:eastAsia="lt-LT"/>
        </w:rPr>
        <w:lastRenderedPageBreak/>
        <w:t>Dėl sutarties nuostatos, pagal kurią prabangos prekių pasirinktinio platinimo sistemoje, kuria visų pirma siekiama apsaugoti šių prekių prabangos įvaizdį, dalyvaujantiems įgaliotiesiems platintojams draudžiama matomai naudotis trečiųjų šalių platformomis ir internete parduoti sutartyje numatytas prekes, suderinimo su SESV 101 straipsnio 1 dalimi</w:t>
      </w:r>
      <w:bookmarkEnd w:id="41"/>
    </w:p>
    <w:p w:rsidR="00416E50" w:rsidRPr="00085476" w:rsidRDefault="00416E50" w:rsidP="00C87E7D">
      <w:pPr>
        <w:ind w:firstLine="567"/>
        <w:rPr>
          <w:rFonts w:asciiTheme="minorHAnsi" w:eastAsia="Times New Roman" w:hAnsiTheme="minorHAnsi" w:cstheme="minorHAnsi"/>
          <w:b/>
          <w:bCs/>
          <w:lang w:eastAsia="lt-LT"/>
        </w:rPr>
      </w:pP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Pirma, Teisingumo Teismas nurodė, kad, kaip galima teigti remiantis nagrinėjant pirmąjį klausimą atliktais vertinimais, atsižvelgiant į šių prekių pobūdį ir joms būdingas savybes, tikslas apsaugoti jų prabangos įvaizdį pateisina šių prekių pasirinktinio platinimo sistemos organizavimą. Kai taikoma tokia sistema, specialioji sutarties sąlyga, kuria siekiama apsaugoti aptariamų prekių prabangos įvaizdį, neprieštarauja SESV 101 straipsnio 1 daliai, jeigu perpardavėjai atrenkami, atsižvelgiant į objektyvius kokybinius kriterijus, nustatytus vienodai visiems galimiems perpardavėjams ir taikomus nediskriminuojant, ir jeigu nustatytais kriterijais neviršijama tai, kas būtina (39–40 punktai).</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 xml:space="preserve">Šiuo atveju neginčytina, kad pagrindinėje byloje nagrinėjama sutarties nuostata siekiama apsaugoti nagrinėjamų prekių prabangos ir prestižo įvaizdį. Be to, remiantis Teisingumo Teismui pateikta bylos medžiaga darytina išvada, jog prašymą priimti prejudicinį sprendimą pateikęs teismas mano, kad ši sąlyga yra objektyvi, vienoda ir kad ji taikoma nediskriminuojant visiems įgaliotiesiems platintojams. Todėl reikia patikrinti, ar tokiomis aplinkybėmis, kaip nagrinėjamos pagrindinėje byloje, tiekėjo nustatytas draudimas įgaliotiesiems platintojams matomai naudotis trečiųjų šalių platformomis aptariamas prabangos prekes parduodant internete yra proporcingas atsižvelgiant į siekiamą tikslą, t. y. ar toks draudimas yra tinkamas siekiant apsaugoti šių prekių prabangos įvaizdį ir ar juo neviršijama tai, kad būtina tam tikslui pasiekti. Dėl pagrindinėje byloje aptariamo draudimo tinkamumo atsižvelgiant į siekiamą tikslą, pažymėta, visų pirma, kad įgaliotiesiems platintojams nustatyta pareiga internete parduoti sutartyje numatytas prekes tik naudojantis savo internetinėmis parduotuvėmis ir tiems platintojams nustatytas draudimas naudotis kitu komerciniu pavadinimu ir matomai naudotis trečiosiomis platformomis tiekėjui iš karto užtikrina, jog parduodant šias prekes elektroninėje erdvėje tos prekės bus siejamos išimtinai su įgaliotaisiais platintojais. Tačiau, kadangi toks siejimas yra būtent vienas iš taikant tokią sistemą siekiamų tikslų, pagrindinėje byloje nagrinėjamas draudimas yra nuoseklus ribojimas, atsižvelgiant į pasirinktinio platinimo sistemai būdingas savybes. Todėl, jeigu, kaip galima teigti remiantis Teisingumo Teismo jurisprudencija, dėl šių savybių pasirinktinio platinimo sistema tampa tinkama priemone prabangios prekių prabangos įvaizdžiui apsaugoti ir jei taip prisideda prie šių prekių kokybės išsaugojimo (šiuo klausimu žr. 2009 m. balandžio 23 d. </w:t>
      </w:r>
      <w:r w:rsidR="006961AD" w:rsidRPr="00085476">
        <w:rPr>
          <w:rFonts w:asciiTheme="minorHAnsi" w:eastAsia="Times New Roman" w:hAnsiTheme="minorHAnsi" w:cstheme="minorHAnsi"/>
          <w:bCs/>
          <w:lang w:eastAsia="lt-LT"/>
        </w:rPr>
        <w:t>s</w:t>
      </w:r>
      <w:r w:rsidRPr="00085476">
        <w:rPr>
          <w:rFonts w:asciiTheme="minorHAnsi" w:eastAsia="Times New Roman" w:hAnsiTheme="minorHAnsi" w:cstheme="minorHAnsi"/>
          <w:bCs/>
          <w:lang w:eastAsia="lt-LT"/>
        </w:rPr>
        <w:t xml:space="preserve">prendimo </w:t>
      </w:r>
      <w:r w:rsidRPr="00085476">
        <w:rPr>
          <w:rFonts w:asciiTheme="minorHAnsi" w:eastAsia="Times New Roman" w:hAnsiTheme="minorHAnsi" w:cstheme="minorHAnsi"/>
          <w:bCs/>
          <w:i/>
          <w:lang w:eastAsia="lt-LT"/>
        </w:rPr>
        <w:t>Copad</w:t>
      </w:r>
      <w:r w:rsidRPr="00085476">
        <w:rPr>
          <w:rFonts w:asciiTheme="minorHAnsi" w:eastAsia="Times New Roman" w:hAnsiTheme="minorHAnsi" w:cstheme="minorHAnsi"/>
          <w:bCs/>
          <w:lang w:eastAsia="lt-LT"/>
        </w:rPr>
        <w:t>, C</w:t>
      </w:r>
      <w:r w:rsidRPr="00085476">
        <w:rPr>
          <w:rFonts w:asciiTheme="minorHAnsi" w:eastAsia="Times New Roman" w:hAnsiTheme="minorHAnsi" w:cstheme="minorHAnsi"/>
          <w:bCs/>
          <w:lang w:eastAsia="lt-LT"/>
        </w:rPr>
        <w:noBreakHyphen/>
        <w:t>59/08, EU:C:2009:260, 28 ir 29 punktus ir nurodytą jurisprudenciją), ribojimas, kaip antai kylantis iš pagrindinėje byloje aptariamo draudimo, kurio rezultatas būdingas šioms savybėms, taip pat turi būti laikomas galinčiu apsaugoti tų prekių prabangos įvaizdį ir kokybę. Be to, pagrindinėje byloje aptariamas draudimas leidžia prabangos prekių tiekėjui kontroliuoti, kad jo prekės bus parduodamos internetu tokioje aplinkoje, kuri atitiktų kokybės reikalavimus, dėl kurių jis susitarė su įgaliotaisiais platintojais. Iš tiesų, jeigu platintojas nesilaiko tiekėjo nustatytų kokybės reikalavimų, pastarasis gali reikšti pretenzijas šiam platintojui remdamasis tarp šių šalių egzistuojančiu sutartiniu ryšiu. Vis dėlto sutartinio ryšio tarp tiekėjo ir trečiųjų šalių platformų nebuvimas yra kliūtis tiekėjui tokiu pagrindu reikalauti, kad naudojantis šiomis platformomis būtų laikomasi kokybės reikalavimų, kuriuos jis nustatė įgaliotiesiems platintojams. Prabangos prekių pardavimas internetu per šių prekių pasirinktinio platinimo sistemai nepriklausančias platformas, kai tiekėjas neturi galimybės kontroliuoti, kokiomis sąlygomis parduodamos jo prekės, kelia pavojų, kad šių prekių pateikimas internete bus sugadintas ir taip bus padaryta žalos jų prabangos įvaizdžiui, taigi ir pačiai jų esmei. Trečia, atsižvelgiant į tai, kad šios platformos yra bet kokių prekių pardavimo kanalas, tai, kad prabangos prekės neparduodamos per tokias platformas ir kad jų pardavimas internetu vyksta tik įgaliotųjų platintojų internetinėse parduotuvėse, prisideda prie prabangos įvaizdžio, kuris susidaro vartotojams, taigi ir prie vienos iš pagrindinių vartotojų geidžiamų šių prekių savybių išsaugojimo. Todėl prabangos prekių tiekėjo nustatytas draudimas įgaliotiesiems platintojams matomai naudotis trečiųjų šalių platformomis šias prekes parduodant internetu yra tinkama priemonė siekiant apsaugoti šių prekių prabangos įvaizdį (42–51 punktai).</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Dėl klausimo, ar pagrindinėje byloje nagrinėjamu draudimu viršijama tai, kas būtina užsibrėžtam tikslui pasiekti, pažymėta, pirma, kad, priešingai, nei byloje, kurioje</w:t>
      </w:r>
      <w:r w:rsidR="00A755D7" w:rsidRPr="00085476">
        <w:rPr>
          <w:rFonts w:asciiTheme="minorHAnsi" w:eastAsia="Times New Roman" w:hAnsiTheme="minorHAnsi" w:cstheme="minorHAnsi"/>
          <w:bCs/>
          <w:lang w:eastAsia="lt-LT"/>
        </w:rPr>
        <w:t xml:space="preserve"> priimtas 2011 m. spalio 13 d. s</w:t>
      </w:r>
      <w:r w:rsidRPr="00085476">
        <w:rPr>
          <w:rFonts w:asciiTheme="minorHAnsi" w:eastAsia="Times New Roman" w:hAnsiTheme="minorHAnsi" w:cstheme="minorHAnsi"/>
          <w:bCs/>
          <w:lang w:eastAsia="lt-LT"/>
        </w:rPr>
        <w:t xml:space="preserve">prendimas </w:t>
      </w:r>
      <w:r w:rsidRPr="00085476">
        <w:rPr>
          <w:rFonts w:asciiTheme="minorHAnsi" w:eastAsia="Times New Roman" w:hAnsiTheme="minorHAnsi" w:cstheme="minorHAnsi"/>
          <w:bCs/>
          <w:i/>
          <w:lang w:eastAsia="lt-LT"/>
        </w:rPr>
        <w:t xml:space="preserve">Pierre Fabre Dermo-Cosmétique </w:t>
      </w:r>
      <w:r w:rsidRPr="00085476">
        <w:rPr>
          <w:rFonts w:asciiTheme="minorHAnsi" w:eastAsia="Times New Roman" w:hAnsiTheme="minorHAnsi" w:cstheme="minorHAnsi"/>
          <w:bCs/>
          <w:lang w:eastAsia="lt-LT"/>
        </w:rPr>
        <w:t>(C</w:t>
      </w:r>
      <w:r w:rsidRPr="00085476">
        <w:rPr>
          <w:rFonts w:asciiTheme="minorHAnsi" w:eastAsia="Times New Roman" w:hAnsiTheme="minorHAnsi" w:cstheme="minorHAnsi"/>
          <w:bCs/>
          <w:lang w:eastAsia="lt-LT"/>
        </w:rPr>
        <w:noBreakHyphen/>
        <w:t xml:space="preserve">439/09, EU:C:2011:649), pagrindinėje byloje nagrinėjama sąlyga nenustato griežto draudimo įgaliotiesiems platintojams internetu parduoti sutartyje numatytas prekes. Iš tiesų, remiantis šia sąlyga sutartyje numatytas prekes draudžiama internetu parduoti tik per trečiųjų šalių platformas, kurių dalyvavimas vartotojams matomas. Todėl įgaliotiesiems platintojams leidžiama internetu </w:t>
      </w:r>
      <w:r w:rsidRPr="00085476">
        <w:rPr>
          <w:rFonts w:asciiTheme="minorHAnsi" w:eastAsia="Times New Roman" w:hAnsiTheme="minorHAnsi" w:cstheme="minorHAnsi"/>
          <w:bCs/>
          <w:lang w:eastAsia="lt-LT"/>
        </w:rPr>
        <w:lastRenderedPageBreak/>
        <w:t>parduoti sutartyje numatytas prekes tiek per savo interneto svetaines, nes jie turi įgaliotos parduotuvės elektroninę vitriną ir taip išsaugoma prekių prabangos savybė, tiek per neįgaliotųjų trečiųjų šalių platformas, kai jų dalyvavimas vartotojui yra nematomas.</w:t>
      </w:r>
      <w:bookmarkStart w:id="42" w:name="point54"/>
      <w:r w:rsidRPr="00085476">
        <w:rPr>
          <w:rFonts w:asciiTheme="minorHAnsi" w:eastAsia="Times New Roman" w:hAnsiTheme="minorHAnsi" w:cstheme="minorHAnsi"/>
          <w:bCs/>
          <w:lang w:eastAsia="lt-LT"/>
        </w:rPr>
        <w:t xml:space="preserve"> </w:t>
      </w:r>
      <w:bookmarkEnd w:id="42"/>
      <w:r w:rsidRPr="00085476">
        <w:rPr>
          <w:rFonts w:asciiTheme="minorHAnsi" w:eastAsia="Times New Roman" w:hAnsiTheme="minorHAnsi" w:cstheme="minorHAnsi"/>
          <w:bCs/>
          <w:lang w:eastAsia="lt-LT"/>
        </w:rPr>
        <w:t>Paminėta, kad, kaip galima teigti remiantis 2016 m. rugsėjo 15 d. nustatytais preliminariais elektroninės prekybos sektoriaus tyrimo, kurį Komisija atliko remdamasi 2002 m. gruodžio 16 d. Tarybos reglamentu (EB) Nr. 1/2003 dėl konkurencijos taisyklių, nustatytų [SESV 101 ir 102] straipsniuose, įgyvendinimo, rezultatais, nepaisant didėjančios trečiųjų šalių platformų svarbos parduodant platintojų prekes, pats svarbiausias platinimo kanalas platinant internetu vis dėlto yra platintojams priklausančios internetinės parduotuvės, kurias turi daugiau kaip 90 % apklaustų platintojų. Remiantis tokiais duomenimis, galima teigti, kad ieškovės pagrindinėje byloje nustatytas draudimas įgaliotiesiems platintojams matomai naudotis trečiųjų šalių platformomis parduodant prabangos prekes internetu neviršija to, kas būtina šių prekių prabangos įvaizdžiui apsaugoti. Atsižvelgiant į tiekėjo ir trečiųjų šalių platformų sutartinių santykių nebuvimą, kurie jam leistų reikalauti, kad naudojantis šiomis platformomis būtų laikomasi įgaliotiesiems platintojams nustatytų kokybės reikalavimų, tiems platintojams suteiktas leidimas naudotis tokiomis platformomis, jeigu jos atitinka iš anksto nustatytus kokybės reikalavimus, negali būti laikomas tokiu pat veiksmingu, kaip pagrindinėje byloje nagrinėjamas draudimas. Tuo remiantis, daryta išvada, kad toks draudimas yra teisėtas, atsižvelgiant į SESV 101 straipsnio 1 dalį, tačiau tai patikrinti privalo prašymą priimti prejudicinį sprendimą pateikęs teismas (52–57 punktai).</w:t>
      </w:r>
    </w:p>
    <w:p w:rsidR="00416E50" w:rsidRPr="00085476" w:rsidRDefault="00416E50" w:rsidP="00C87E7D">
      <w:pPr>
        <w:ind w:firstLine="567"/>
        <w:rPr>
          <w:rFonts w:asciiTheme="minorHAnsi" w:eastAsia="Times New Roman" w:hAnsiTheme="minorHAnsi" w:cstheme="minorHAnsi"/>
          <w:bCs/>
          <w:lang w:eastAsia="lt-LT"/>
        </w:rPr>
      </w:pPr>
    </w:p>
    <w:p w:rsidR="00416E50" w:rsidRPr="00085476" w:rsidRDefault="00416E50" w:rsidP="00C87E7D">
      <w:pPr>
        <w:pStyle w:val="Antrat3"/>
        <w:ind w:firstLine="567"/>
        <w:rPr>
          <w:rFonts w:eastAsia="Times New Roman" w:cstheme="minorHAnsi"/>
          <w:b w:val="0"/>
          <w:bCs w:val="0"/>
          <w:lang w:eastAsia="lt-LT"/>
        </w:rPr>
      </w:pPr>
      <w:bookmarkStart w:id="43" w:name="_Toc512411045"/>
      <w:r w:rsidRPr="00085476">
        <w:rPr>
          <w:rFonts w:eastAsia="Times New Roman" w:cstheme="minorHAnsi"/>
          <w:lang w:eastAsia="lt-LT"/>
        </w:rPr>
        <w:t>Dėl prabangos prekių pasirinktinio platinimo sistemos nariams, kurie rinkoje dirba kaip platintojai, nustatyto draudimo prekiaujant internetu naudotis trečiųjų įmonių paslaugomis, kai tas naudojimasis matomas, vertinimo kaip klientų apribojimo, kaip tai suprantama pagal Reglamento 330/2010 4 straipsnio b punktą, ar kaip pasyvaus pardavimo galutiniams vartotojams ribojimo, kaip tai suprantama pagal to paties reglamento 4 straipsnio c punktą</w:t>
      </w:r>
      <w:bookmarkEnd w:id="43"/>
    </w:p>
    <w:p w:rsidR="00416E50" w:rsidRPr="00085476" w:rsidRDefault="00416E50" w:rsidP="00C87E7D">
      <w:pPr>
        <w:ind w:firstLine="567"/>
        <w:rPr>
          <w:rFonts w:asciiTheme="minorHAnsi" w:eastAsia="Times New Roman" w:hAnsiTheme="minorHAnsi" w:cstheme="minorHAnsi"/>
          <w:b/>
          <w:bCs/>
          <w:lang w:eastAsia="lt-LT"/>
        </w:rPr>
      </w:pP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Reglamento 330/2010 2 straipsnio 1 dalyje nustatyta: „Remiantis [SESV] 101 straipsnio 3 dalimi ir atsižvelgiant į šio reglamento nuostatas skelbiama, kad [SESV] 101 straipsnio 1 dalis netaikoma vertikaliesiems susitarimams. Ši išimtis taikoma tik tada, kai tokiuose susitarimu</w:t>
      </w:r>
      <w:r w:rsidR="00A755D7" w:rsidRPr="00085476">
        <w:rPr>
          <w:rFonts w:asciiTheme="minorHAnsi" w:eastAsia="Times New Roman" w:hAnsiTheme="minorHAnsi" w:cstheme="minorHAnsi"/>
          <w:bCs/>
          <w:lang w:eastAsia="lt-LT"/>
        </w:rPr>
        <w:t>ose yra vertikaliųjų apribojimų</w:t>
      </w:r>
      <w:r w:rsidRPr="00085476">
        <w:rPr>
          <w:rFonts w:asciiTheme="minorHAnsi" w:eastAsia="Times New Roman" w:hAnsiTheme="minorHAnsi" w:cstheme="minorHAnsi"/>
          <w:bCs/>
          <w:lang w:eastAsia="lt-LT"/>
        </w:rPr>
        <w:t>“ (5 punktas).</w:t>
      </w:r>
    </w:p>
    <w:p w:rsidR="00416E50" w:rsidRPr="00085476" w:rsidRDefault="00416E50" w:rsidP="00C87E7D">
      <w:pPr>
        <w:ind w:firstLine="567"/>
        <w:rPr>
          <w:rFonts w:asciiTheme="minorHAnsi" w:eastAsia="Times New Roman" w:hAnsiTheme="minorHAnsi" w:cstheme="minorHAnsi"/>
          <w:bCs/>
          <w:lang w:eastAsia="lt-LT"/>
        </w:rPr>
      </w:pPr>
      <w:r w:rsidRPr="00085476">
        <w:rPr>
          <w:rFonts w:asciiTheme="minorHAnsi" w:eastAsia="Times New Roman" w:hAnsiTheme="minorHAnsi" w:cstheme="minorHAnsi"/>
          <w:bCs/>
          <w:lang w:eastAsia="lt-LT"/>
        </w:rPr>
        <w:t xml:space="preserve">Pagal Reglamento 330/2010 4 straipsnio b ir c punktus to reglamento 2 straipsnyje numatyta išimtis netaikoma vertikaliesiems susitarimams, kuriais siekiama arba apriboti teritoriją, kurioje pirkėjas, kuris yra susitarimo šalis, gali parduoti sutartyje nurodytas prekes ar paslaugas, arba apriboti pasirinktinio platinimo sistemos narių, vykdančių mažmeninę prekybą, aktyvius arba pasyvius pardavimus galutiniams vartotojams. Taigi reikia patikrinti, ar pagrindinėje byloje nagrinėjama sutarties sąlyga apriboja klientus, kuriems įgaliotieji platintojai gali parduoti aptariamas prabangos prekes, arba ar ta sąlyga ribojami įgaliotųjų platintojų pasyvūs pardavimai galutiniams vartotojams. Priešingai nei sąlyga, aptariama byloje, kurioje priimtas 2011 m. spalio 13 d. </w:t>
      </w:r>
      <w:r w:rsidR="00A755D7" w:rsidRPr="00085476">
        <w:rPr>
          <w:rFonts w:asciiTheme="minorHAnsi" w:eastAsia="Times New Roman" w:hAnsiTheme="minorHAnsi" w:cstheme="minorHAnsi"/>
          <w:bCs/>
          <w:lang w:eastAsia="lt-LT"/>
        </w:rPr>
        <w:t>s</w:t>
      </w:r>
      <w:r w:rsidRPr="00085476">
        <w:rPr>
          <w:rFonts w:asciiTheme="minorHAnsi" w:eastAsia="Times New Roman" w:hAnsiTheme="minorHAnsi" w:cstheme="minorHAnsi"/>
          <w:bCs/>
          <w:lang w:eastAsia="lt-LT"/>
        </w:rPr>
        <w:t xml:space="preserve">prendimas </w:t>
      </w:r>
      <w:r w:rsidRPr="00085476">
        <w:rPr>
          <w:rFonts w:asciiTheme="minorHAnsi" w:eastAsia="Times New Roman" w:hAnsiTheme="minorHAnsi" w:cstheme="minorHAnsi"/>
          <w:bCs/>
          <w:i/>
          <w:lang w:eastAsia="lt-LT"/>
        </w:rPr>
        <w:t>Pierre Fabre Dermo-Cosmétique</w:t>
      </w:r>
      <w:r w:rsidRPr="00085476">
        <w:rPr>
          <w:rFonts w:asciiTheme="minorHAnsi" w:eastAsia="Times New Roman" w:hAnsiTheme="minorHAnsi" w:cstheme="minorHAnsi"/>
          <w:bCs/>
          <w:lang w:eastAsia="lt-LT"/>
        </w:rPr>
        <w:t xml:space="preserve"> (C</w:t>
      </w:r>
      <w:r w:rsidRPr="00085476">
        <w:rPr>
          <w:rFonts w:asciiTheme="minorHAnsi" w:eastAsia="Times New Roman" w:hAnsiTheme="minorHAnsi" w:cstheme="minorHAnsi"/>
          <w:bCs/>
          <w:lang w:eastAsia="lt-LT"/>
        </w:rPr>
        <w:noBreakHyphen/>
        <w:t>439/09, EU:C:2011:649), šioje byloje nagrinėjama sąlyga nedraudžia naudotis internetu parduodant sutartyje numatytas prekes. Remiantis Teisingumo Teismui pateikta bylos medžiaga, matyti, kad neatrodo, jog būtų įmanoma iš visų pirkėjų internetu išskirti trečiųjų šalių platformų klientus. Galiausiai remiantis Teisingumo Teismo turima bylos medžiaga, taip pat darytina išvada, kad pagal pagrindinėje byloje nagrinėjamą pasirinktinio platinimo sutartį tam tikromis sąlygomis įgaliotiesiems platintojams leidžiama reklamuotis internete trečiųjų šalių platformose ir naudoti internetines paieškos sistemas taip, kad klientai, naudodamiesi tokiomis paieškos sistemomis, paprastai galėtų rasti įgaliotųjų platintojų pasiūlymus internete. Tokiomis aplinkybėmis, net jeigu pagrindinėje byloje aptariamas draudimas riboja konkretų pardavimo internetu būdą, toks draudimas nėra nei platintojų klientų apribojimas, kaip tai suprantama pagal Reglamento 330/2010 4 straipsnio b punktą, nei įgaliotųjų platintojų pasyvaus pardavimo galutiniams klientams ribojimas, kaip tai suprantama pagal to paties reglamento 4 straipsnio c punktą (63–68 punktai).</w:t>
      </w:r>
    </w:p>
    <w:p w:rsidR="00416E50" w:rsidRPr="00085476" w:rsidRDefault="00416E50" w:rsidP="00C87E7D">
      <w:pPr>
        <w:ind w:firstLine="567"/>
        <w:rPr>
          <w:rFonts w:asciiTheme="minorHAnsi" w:eastAsia="Times New Roman" w:hAnsiTheme="minorHAnsi" w:cstheme="minorHAnsi"/>
          <w:bCs/>
          <w:lang w:eastAsia="lt-LT"/>
        </w:rPr>
      </w:pPr>
    </w:p>
    <w:p w:rsidR="00416E50" w:rsidRPr="00085476" w:rsidRDefault="00416E50" w:rsidP="00C87E7D">
      <w:pPr>
        <w:pStyle w:val="c01pointnumerotealtn"/>
        <w:spacing w:before="0" w:beforeAutospacing="0" w:after="0"/>
        <w:ind w:left="0" w:firstLine="567"/>
        <w:rPr>
          <w:rFonts w:asciiTheme="minorHAnsi" w:hAnsiTheme="minorHAnsi" w:cstheme="minorHAnsi"/>
          <w:b/>
          <w:sz w:val="22"/>
          <w:szCs w:val="22"/>
        </w:rPr>
      </w:pPr>
      <w:r w:rsidRPr="00085476">
        <w:rPr>
          <w:rFonts w:asciiTheme="minorHAnsi" w:hAnsiTheme="minorHAnsi" w:cstheme="minorHAnsi"/>
          <w:b/>
          <w:sz w:val="22"/>
          <w:szCs w:val="22"/>
        </w:rPr>
        <w:t>Remdamasis šiais motyvais, Teisingumo Teismas (pirmoji kolegija) nusprendė:</w:t>
      </w:r>
    </w:p>
    <w:p w:rsidR="00416E50" w:rsidRPr="00085476" w:rsidRDefault="00416E50" w:rsidP="00C87E7D">
      <w:pPr>
        <w:pStyle w:val="c01pointnumerotealtn"/>
        <w:spacing w:before="0" w:beforeAutospacing="0" w:after="0"/>
        <w:ind w:left="0" w:firstLine="567"/>
        <w:rPr>
          <w:rFonts w:ascii="Verdana" w:hAnsi="Verdana"/>
          <w:b/>
          <w:bCs/>
          <w:sz w:val="18"/>
          <w:szCs w:val="18"/>
        </w:rPr>
      </w:pPr>
    </w:p>
    <w:p w:rsidR="00416E50" w:rsidRPr="00085476" w:rsidRDefault="00416E50" w:rsidP="00C87E7D">
      <w:pPr>
        <w:pStyle w:val="c01pointnumerotealtn"/>
        <w:numPr>
          <w:ilvl w:val="0"/>
          <w:numId w:val="1"/>
        </w:numPr>
        <w:tabs>
          <w:tab w:val="left" w:pos="567"/>
          <w:tab w:val="left" w:pos="851"/>
          <w:tab w:val="left" w:pos="1134"/>
        </w:tabs>
        <w:spacing w:before="0" w:beforeAutospacing="0" w:after="0"/>
        <w:ind w:left="0" w:firstLine="567"/>
        <w:rPr>
          <w:rFonts w:asciiTheme="minorHAnsi" w:hAnsiTheme="minorHAnsi" w:cstheme="minorHAnsi"/>
          <w:bCs/>
          <w:sz w:val="22"/>
          <w:szCs w:val="22"/>
        </w:rPr>
      </w:pPr>
      <w:r w:rsidRPr="00085476">
        <w:rPr>
          <w:rFonts w:asciiTheme="minorHAnsi" w:hAnsiTheme="minorHAnsi" w:cstheme="minorHAnsi"/>
          <w:bCs/>
          <w:sz w:val="22"/>
          <w:szCs w:val="22"/>
        </w:rPr>
        <w:t xml:space="preserve">SESV 101 straipsnio 1 dalis turi būti aiškinama taip, kad prabangos prekių pasirinktinio platinimo sistema, kurią taikant visų pirma siekiama apsaugoti šių prekių prabangos įvaizdį, neprieštarauja šiai nuostatai, jeigu perpardavėjai atrenkami atsižvelgiant į objektyvius kokybinius kriterijus, nustatytus vienodai </w:t>
      </w:r>
      <w:r w:rsidRPr="00085476">
        <w:rPr>
          <w:rFonts w:asciiTheme="minorHAnsi" w:hAnsiTheme="minorHAnsi" w:cstheme="minorHAnsi"/>
          <w:bCs/>
          <w:sz w:val="22"/>
          <w:szCs w:val="22"/>
        </w:rPr>
        <w:lastRenderedPageBreak/>
        <w:t xml:space="preserve">visiems galimiems perpardavėjams ir taikomus nediskriminuojant, ir jeigu nustatytais kriterijais neviršijama tai, kas būtina. </w:t>
      </w:r>
    </w:p>
    <w:p w:rsidR="00416E50" w:rsidRPr="00085476" w:rsidRDefault="00416E50" w:rsidP="00C87E7D">
      <w:pPr>
        <w:pStyle w:val="c01pointnumerotealtn"/>
        <w:numPr>
          <w:ilvl w:val="0"/>
          <w:numId w:val="1"/>
        </w:numPr>
        <w:tabs>
          <w:tab w:val="left" w:pos="851"/>
        </w:tabs>
        <w:spacing w:before="0" w:beforeAutospacing="0" w:after="0"/>
        <w:ind w:left="0" w:firstLine="567"/>
        <w:rPr>
          <w:rFonts w:asciiTheme="minorHAnsi" w:hAnsiTheme="minorHAnsi" w:cstheme="minorHAnsi"/>
          <w:bCs/>
          <w:sz w:val="22"/>
          <w:szCs w:val="22"/>
        </w:rPr>
      </w:pPr>
      <w:r w:rsidRPr="00085476">
        <w:rPr>
          <w:rFonts w:asciiTheme="minorHAnsi" w:hAnsiTheme="minorHAnsi" w:cstheme="minorHAnsi"/>
          <w:bCs/>
          <w:sz w:val="22"/>
          <w:szCs w:val="22"/>
        </w:rPr>
        <w:t>SESV 101 straipsnio 1 dalis turi būti aiškinama taip, kad ja nedraudžiama taikyti pagrindinėje byloje nagrinėjamos sąlygos, pagal kurią prabangos prekių pasirinktinio platinimo sistemos, taikomos visų pirma siekiant apsaugoti šių prekių prabangos įvaizdį, įgaliotiesiems platintojams uždrausta matomai naudotis trečiųjų šalių platformomis sutartyje numatytas prekes parduodant internetu, nes šia sąlyga siekiama apsaugoti tų prekių prabangos įvaizdį, ji nustatyta vienodai, taikoma nediskriminuojant ir yra proporcinga siekiamam tikslui, o tai, ar taip yra, turi patikrinti prašymą priimti prejudicinį sprendimą pateikęs teismas.</w:t>
      </w:r>
    </w:p>
    <w:p w:rsidR="00416E50" w:rsidRPr="00085476" w:rsidRDefault="00416E50" w:rsidP="00C87E7D">
      <w:pPr>
        <w:pStyle w:val="c01pointnumerotealtn"/>
        <w:numPr>
          <w:ilvl w:val="0"/>
          <w:numId w:val="1"/>
        </w:numPr>
        <w:tabs>
          <w:tab w:val="left" w:pos="426"/>
          <w:tab w:val="left" w:pos="851"/>
        </w:tabs>
        <w:spacing w:before="0" w:beforeAutospacing="0" w:after="0"/>
        <w:ind w:left="0" w:firstLine="567"/>
        <w:rPr>
          <w:rFonts w:asciiTheme="minorHAnsi" w:hAnsiTheme="minorHAnsi" w:cstheme="minorHAnsi"/>
          <w:bCs/>
          <w:sz w:val="22"/>
          <w:szCs w:val="22"/>
        </w:rPr>
      </w:pPr>
      <w:r w:rsidRPr="00085476">
        <w:rPr>
          <w:rFonts w:asciiTheme="minorHAnsi" w:hAnsiTheme="minorHAnsi" w:cstheme="minorHAnsi"/>
          <w:bCs/>
          <w:sz w:val="22"/>
          <w:szCs w:val="22"/>
        </w:rPr>
        <w:t>2010 m. balandžio 20 d. Komisijos reglamento (ES) Nr. 330/2010 dėl Sutarties dėl Europos Sąjungos veikimo 101 straipsnio 3 dalies taikymo vertikaliųjų susitarimų ir suderintų veiksmų rūšims 4 straipsnis turi būti aiškinamas taip, kad pagrindinėje byloje nagrinėjamomis aplinkybėmis prabangos prekių pasirinktinio platinimo sistemos nariams, kurie rinkoje dirba kaip platintojai, nustatytas draudimas prekiaujant internetu naudotis trečiųjų įmonių paslaugomis, kai tas naudojimasis matomas, nėra nei klientų apribojimas, kaip tai suprantama pagal šio reglamento 4 straipsnio b punktą, nei pasyvaus pardavimo galutiniams vartotojams ribojimas, kaip tai suprantama pagal to reglamento 4 straipsnio c punktą.</w:t>
      </w:r>
    </w:p>
    <w:p w:rsidR="00416E50" w:rsidRDefault="00A87A78" w:rsidP="00C87E7D">
      <w:pPr>
        <w:pStyle w:val="c01pointnumerotealtn"/>
        <w:spacing w:before="0" w:beforeAutospacing="0" w:after="0"/>
        <w:ind w:left="0" w:firstLine="567"/>
        <w:rPr>
          <w:rFonts w:asciiTheme="minorHAnsi" w:hAnsiTheme="minorHAnsi" w:cstheme="minorHAnsi"/>
          <w:bCs/>
          <w:color w:val="333333"/>
          <w:sz w:val="22"/>
          <w:szCs w:val="22"/>
        </w:rPr>
      </w:pPr>
      <w:hyperlink r:id="rId18" w:history="1">
        <w:r w:rsidR="00416E50" w:rsidRPr="002C1DB3">
          <w:rPr>
            <w:rStyle w:val="Hipersaitas"/>
            <w:rFonts w:asciiTheme="minorHAnsi" w:hAnsiTheme="minorHAnsi" w:cstheme="minorHAnsi"/>
            <w:bCs/>
            <w:sz w:val="22"/>
            <w:szCs w:val="22"/>
          </w:rPr>
          <w:t>Prieiga internete</w:t>
        </w:r>
      </w:hyperlink>
    </w:p>
    <w:p w:rsidR="002F456B" w:rsidRDefault="002F456B" w:rsidP="00C87E7D">
      <w:pPr>
        <w:rPr>
          <w:rFonts w:eastAsia="Times New Roman"/>
          <w:bCs/>
          <w:color w:val="17365D"/>
          <w:kern w:val="32"/>
          <w:lang w:eastAsia="lt-LT"/>
        </w:rPr>
      </w:pPr>
    </w:p>
    <w:p w:rsidR="000028CD" w:rsidRPr="00B77C61" w:rsidRDefault="000028CD" w:rsidP="00C87E7D">
      <w:pPr>
        <w:pStyle w:val="Antrat1"/>
        <w:spacing w:before="0"/>
        <w:rPr>
          <w:rFonts w:eastAsia="Times New Roman"/>
          <w:bCs/>
          <w:color w:val="17365D"/>
          <w:kern w:val="32"/>
          <w:lang w:eastAsia="lt-LT"/>
        </w:rPr>
      </w:pPr>
      <w:bookmarkStart w:id="44" w:name="_Toc512411046"/>
      <w:r w:rsidRPr="00B77C61">
        <w:rPr>
          <w:rFonts w:eastAsia="Times New Roman"/>
          <w:bCs/>
          <w:color w:val="17365D"/>
          <w:kern w:val="32"/>
          <w:lang w:eastAsia="lt-LT"/>
        </w:rPr>
        <w:t>ASMENS DUOMENŲ APSAUGA</w:t>
      </w:r>
      <w:bookmarkEnd w:id="44"/>
    </w:p>
    <w:p w:rsidR="000028CD" w:rsidRPr="00B77C61" w:rsidRDefault="000028CD" w:rsidP="00C87E7D">
      <w:pPr>
        <w:rPr>
          <w:lang w:eastAsia="lt-LT"/>
        </w:rPr>
      </w:pPr>
    </w:p>
    <w:p w:rsidR="000028CD" w:rsidRPr="00B77C61" w:rsidRDefault="000028CD" w:rsidP="00C87E7D">
      <w:pPr>
        <w:pStyle w:val="Antrat2"/>
        <w:rPr>
          <w:rFonts w:cs="Calibri"/>
        </w:rPr>
      </w:pPr>
      <w:bookmarkStart w:id="45" w:name="_Toc494898844"/>
      <w:bookmarkStart w:id="46" w:name="_Toc512411047"/>
      <w:r w:rsidRPr="00B77C61">
        <w:rPr>
          <w:rFonts w:cs="Calibri"/>
        </w:rPr>
        <w:t>2017 m. gruodžio 20 d. prejudicinis sprendimas byloje C-</w:t>
      </w:r>
      <w:bookmarkEnd w:id="45"/>
      <w:r w:rsidRPr="00B77C61">
        <w:rPr>
          <w:rFonts w:cs="Calibri"/>
        </w:rPr>
        <w:t>434/16</w:t>
      </w:r>
      <w:bookmarkEnd w:id="46"/>
    </w:p>
    <w:p w:rsidR="000028CD" w:rsidRPr="00B77C61" w:rsidRDefault="000028CD" w:rsidP="00C87E7D">
      <w:pPr>
        <w:jc w:val="center"/>
        <w:rPr>
          <w:rFonts w:cs="Calibri"/>
          <w:b/>
          <w:bCs/>
          <w:i/>
        </w:rPr>
      </w:pPr>
      <w:r w:rsidRPr="00B77C61">
        <w:rPr>
          <w:rFonts w:cs="Calibri"/>
          <w:b/>
          <w:bCs/>
          <w:i/>
        </w:rPr>
        <w:t>Peter Nowak</w:t>
      </w:r>
      <w:r w:rsidRPr="00B77C61">
        <w:rPr>
          <w:rFonts w:cs="Calibri"/>
          <w:b/>
        </w:rPr>
        <w:t xml:space="preserve"> </w:t>
      </w:r>
      <w:r w:rsidRPr="00B77C61">
        <w:rPr>
          <w:rFonts w:cs="Calibri"/>
          <w:b/>
          <w:i/>
        </w:rPr>
        <w:t>prieš</w:t>
      </w:r>
      <w:r w:rsidRPr="00B77C61">
        <w:rPr>
          <w:rFonts w:cs="Calibri"/>
          <w:b/>
        </w:rPr>
        <w:t xml:space="preserve"> </w:t>
      </w:r>
      <w:r w:rsidRPr="00B77C61">
        <w:rPr>
          <w:rFonts w:cs="Calibri"/>
          <w:b/>
          <w:bCs/>
          <w:i/>
        </w:rPr>
        <w:t>Data Protection Commissioner</w:t>
      </w:r>
    </w:p>
    <w:p w:rsidR="000028CD" w:rsidRPr="00B77C61" w:rsidRDefault="000028CD" w:rsidP="00C87E7D">
      <w:pPr>
        <w:jc w:val="center"/>
        <w:rPr>
          <w:rFonts w:cs="Calibri"/>
        </w:rPr>
      </w:pPr>
    </w:p>
    <w:p w:rsidR="000028CD" w:rsidRPr="00B77C61" w:rsidRDefault="000028CD" w:rsidP="00C87E7D">
      <w:pPr>
        <w:ind w:firstLine="567"/>
        <w:rPr>
          <w:rFonts w:cs="Calibri"/>
        </w:rPr>
      </w:pPr>
      <w:r w:rsidRPr="00B77C61">
        <w:rPr>
          <w:rFonts w:cs="Calibri"/>
        </w:rPr>
        <w:t>Prašymas priimti prejudicinį sprendimą susijęs su 1995 m. spalio 24 d. Europos Parlamento ir Tarybos direktyvos 95/46/EB dėl asmenų apsaugos tvarkant asmens duomenis ir dėl laisvo tokių duomenų judėjimo (OL L 281, 1995, p. 31; 2004 m. specialusis leidimas lietuvių k. 13 sk., 15 t., p. 355) (toliau – ir Direktyva 95/46) išaiškinimu.</w:t>
      </w:r>
      <w:r w:rsidRPr="00B77C61">
        <w:t xml:space="preserve"> </w:t>
      </w:r>
      <w:r w:rsidRPr="00B77C61">
        <w:rPr>
          <w:rFonts w:cs="Calibri"/>
        </w:rPr>
        <w:t xml:space="preserve">Šis prašymas pateiktas nagrinėjant Peter Nowak ginčą su </w:t>
      </w:r>
      <w:r w:rsidRPr="00B77C61">
        <w:rPr>
          <w:rFonts w:cs="Calibri"/>
          <w:i/>
          <w:iCs/>
        </w:rPr>
        <w:t>Data Protection Commissioner</w:t>
      </w:r>
      <w:r w:rsidRPr="00B77C61">
        <w:rPr>
          <w:rFonts w:cs="Calibri"/>
        </w:rPr>
        <w:t xml:space="preserve"> (duomenų apsaugos komisaras, Airija) dėl pastarojo atsisakymo leisti P. Nowak susipažinti su egzamino, kurį jis laikė </w:t>
      </w:r>
      <w:r w:rsidRPr="00B77C61">
        <w:rPr>
          <w:rFonts w:cs="Calibri"/>
          <w:i/>
          <w:iCs/>
        </w:rPr>
        <w:t>Institute of Chartered Accountants of Ireland</w:t>
      </w:r>
      <w:r w:rsidRPr="00B77C61">
        <w:rPr>
          <w:rFonts w:cs="Calibri"/>
        </w:rPr>
        <w:t xml:space="preserve"> (Airijos licencijuotų apskaitininkų institute), ištaisyto darbo kopija, motyvuojant tuo, kad jame esanti informacija nėra asmens duomenys (1 ir 2 punktai).</w:t>
      </w:r>
    </w:p>
    <w:p w:rsidR="000028CD" w:rsidRPr="00B77C61" w:rsidRDefault="000028CD" w:rsidP="00C87E7D">
      <w:pPr>
        <w:ind w:firstLine="540"/>
        <w:rPr>
          <w:rFonts w:cs="Calibri"/>
        </w:rPr>
      </w:pPr>
      <w:r w:rsidRPr="00B77C61">
        <w:rPr>
          <w:rFonts w:cs="Calibri"/>
        </w:rPr>
        <w:t xml:space="preserve">Pagrindinę bylą nagrinėjantis </w:t>
      </w:r>
      <w:r w:rsidRPr="00B77C61">
        <w:rPr>
          <w:rFonts w:cs="Calibri"/>
          <w:i/>
          <w:iCs/>
        </w:rPr>
        <w:t>Supreme Court</w:t>
      </w:r>
      <w:r w:rsidRPr="00B77C61">
        <w:rPr>
          <w:rFonts w:cs="Calibri"/>
        </w:rPr>
        <w:t xml:space="preserve"> (Aukščiausiasis Teismas) nutarė sustabdyti bylos nagrinėjimą ir kreiptis į Teisingumo Teismą su prašymu išaiškinti,</w:t>
      </w:r>
      <w:r w:rsidRPr="00B77C61">
        <w:t xml:space="preserve"> </w:t>
      </w:r>
      <w:r w:rsidRPr="00B77C61">
        <w:rPr>
          <w:rFonts w:cs="Calibri"/>
        </w:rPr>
        <w:t>ar profesinį egzaminą laikančio asmens atsakymuose įrašyta informacija gali būti asmens duomenys, kaip tai suprantama pagal Direktyvą 95/46? (1); Jeigu atsakymas į pirmąjį klausimą būtų toks, kad visa tokia informacija arba jos dalis gali būti asmens duomenys, kaip tai suprantama pagal direktyvą, kokie veiksniai svarbūs nustatant, ar tam tikru konkrečiu atveju toks egzamino darbas yra asmens duomenys, ir kokia svarba turėtų būti teikiama tokiems veiksniams (2) (26 punktas).</w:t>
      </w:r>
    </w:p>
    <w:p w:rsidR="000028CD" w:rsidRPr="00B77C61" w:rsidRDefault="000028CD" w:rsidP="00C87E7D">
      <w:pPr>
        <w:ind w:firstLine="540"/>
        <w:rPr>
          <w:rFonts w:cs="Calibri"/>
        </w:rPr>
      </w:pPr>
    </w:p>
    <w:p w:rsidR="000028CD" w:rsidRPr="00B77C61" w:rsidRDefault="000028CD" w:rsidP="00C87E7D">
      <w:pPr>
        <w:pStyle w:val="Antrat3"/>
        <w:ind w:firstLine="567"/>
      </w:pPr>
      <w:bookmarkStart w:id="47" w:name="_Toc494898845"/>
      <w:bookmarkStart w:id="48" w:name="_Toc512411048"/>
      <w:r w:rsidRPr="00B77C61">
        <w:t xml:space="preserve">Dėl </w:t>
      </w:r>
      <w:bookmarkEnd w:id="47"/>
      <w:r w:rsidR="00024262" w:rsidRPr="00024262">
        <w:t>egzaminuojamojo per egzaminą pateikt</w:t>
      </w:r>
      <w:r w:rsidR="00024262">
        <w:t>ų</w:t>
      </w:r>
      <w:r w:rsidR="00024262" w:rsidRPr="00024262">
        <w:t xml:space="preserve"> raštišk</w:t>
      </w:r>
      <w:r w:rsidR="00024262">
        <w:t>ų</w:t>
      </w:r>
      <w:r w:rsidR="00024262" w:rsidRPr="00024262">
        <w:t xml:space="preserve"> atsakym</w:t>
      </w:r>
      <w:r w:rsidR="00024262">
        <w:t>ų</w:t>
      </w:r>
      <w:r w:rsidR="00024262" w:rsidRPr="00024262">
        <w:t xml:space="preserve"> ir egzamin</w:t>
      </w:r>
      <w:r w:rsidR="00024262">
        <w:t>uotojo dėl šių atsakymų pateiktų atitinkamų pastabų kaip asmens duomenų vertinimo</w:t>
      </w:r>
      <w:bookmarkEnd w:id="48"/>
    </w:p>
    <w:p w:rsidR="000028CD" w:rsidRPr="00B77C61" w:rsidRDefault="000028CD" w:rsidP="00C87E7D">
      <w:pPr>
        <w:ind w:firstLine="540"/>
        <w:rPr>
          <w:rFonts w:cs="Calibri"/>
        </w:rPr>
      </w:pPr>
    </w:p>
    <w:p w:rsidR="000028CD" w:rsidRPr="00B77C61" w:rsidRDefault="000028CD" w:rsidP="00C87E7D">
      <w:pPr>
        <w:ind w:firstLine="540"/>
        <w:rPr>
          <w:rFonts w:cs="Calibri"/>
        </w:rPr>
      </w:pPr>
      <w:r w:rsidRPr="00B77C61">
        <w:rPr>
          <w:rFonts w:cs="Calibri"/>
        </w:rPr>
        <w:t>Teisingumo Teismas pažymėjo, jog prašymą priimti prejudicinį sprendimą pateikęs teismas iš esmės teiraujasi, ar Direktyvos 95/46 2 straipsnio a punktas turi būti aiškinamas taip, kad tokiomis sąlygomis, kaip nagrinėjamos pagrindinėje byloje, profesinį egzaminą laikančio asmens atsakymuose įrašyta informacija ir egzaminuotojo galimai dėl šių atsakymų pateiktos pastabos yra asmens duomenys, kaip tai suprantama pagal šią nuostatą (27 punktas).</w:t>
      </w:r>
    </w:p>
    <w:p w:rsidR="000028CD" w:rsidRPr="00B77C61" w:rsidRDefault="00EF1D6A" w:rsidP="00C87E7D">
      <w:pPr>
        <w:ind w:firstLine="540"/>
      </w:pPr>
      <w:r>
        <w:rPr>
          <w:rFonts w:cs="Calibri"/>
        </w:rPr>
        <w:t>Teismas nurodė, jog a</w:t>
      </w:r>
      <w:r w:rsidR="000028CD" w:rsidRPr="00B77C61">
        <w:rPr>
          <w:rFonts w:cs="Calibri"/>
        </w:rPr>
        <w:t>kivaizdu, kad profesinį egzaminą laikantis asmuo yra fizinis asmuo, kuris gali būti nustatytas arba tiesiogiai, remiantis jo vardu ir pavarde, arba netiesiogiai – pagal jo identifikacijos numerį, kurie nurodyti egzamino darbo kopijoje arba ant šios kopijos viršelio (29 punktas).</w:t>
      </w:r>
      <w:r w:rsidR="000028CD" w:rsidRPr="00B77C61">
        <w:t xml:space="preserve"> </w:t>
      </w:r>
      <w:r w:rsidR="000028CD" w:rsidRPr="00B77C61">
        <w:rPr>
          <w:rFonts w:cs="Calibri"/>
        </w:rPr>
        <w:t>Šiomis aplinkybėmis neturi reikšmės tai, ar egzaminuotojas, taisydamas ar vertindamas egzamino darbo kopiją, gali id</w:t>
      </w:r>
      <w:r w:rsidR="00D76E46">
        <w:rPr>
          <w:rFonts w:cs="Calibri"/>
        </w:rPr>
        <w:t>entifikuoti egzaminuojamąjį (30 </w:t>
      </w:r>
      <w:r w:rsidR="000028CD" w:rsidRPr="00B77C61">
        <w:rPr>
          <w:rFonts w:cs="Calibri"/>
        </w:rPr>
        <w:t>punktas).</w:t>
      </w:r>
      <w:r w:rsidR="008B0B49">
        <w:rPr>
          <w:rFonts w:cs="Calibri"/>
        </w:rPr>
        <w:t xml:space="preserve"> </w:t>
      </w:r>
      <w:r w:rsidR="000028CD" w:rsidRPr="00B77C61">
        <w:rPr>
          <w:rFonts w:cs="Calibri"/>
        </w:rPr>
        <w:t xml:space="preserve">Teisingumo Teismas pažymėjo, kad iš tiesų frazės „bet kuri informacija“ vartojimas apibrėžiant sąvoką „asmens duomenys“, kuri įtvirtinta Direktyvos 95/46 2 straipsnio a punkte, atspindi Sąjungos teisės akto leidėjo tikslą šiai sąvokai suteikti plačią reikšmę, kuri neapribojama neskelbtina arba asmeninio pobūdžio informacija, o galimai apima bet kokią informaciją – tiek objektyvią, tiek subjektyvią – pranešimo ar vertinimo forma, su sąlyga, kad ji „susijusi“ su suinteresuotu asmeniu </w:t>
      </w:r>
      <w:r w:rsidR="000028CD" w:rsidRPr="00B77C61">
        <w:rPr>
          <w:rFonts w:cs="Calibri"/>
        </w:rPr>
        <w:lastRenderedPageBreak/>
        <w:t>(34</w:t>
      </w:r>
      <w:r w:rsidR="008B0B49">
        <w:rPr>
          <w:rFonts w:cs="Calibri"/>
        </w:rPr>
        <w:t> </w:t>
      </w:r>
      <w:r w:rsidR="000028CD" w:rsidRPr="00B77C61">
        <w:rPr>
          <w:rFonts w:cs="Calibri"/>
        </w:rPr>
        <w:t>punktas).</w:t>
      </w:r>
      <w:r w:rsidR="000028CD" w:rsidRPr="00B77C61">
        <w:t xml:space="preserve"> </w:t>
      </w:r>
      <w:r w:rsidR="000028CD" w:rsidRPr="00B77C61">
        <w:rPr>
          <w:rFonts w:cs="Calibri"/>
        </w:rPr>
        <w:t>Kiek tai susiję su šia paskutine sąlyga, pasakyta, kad ji yra tenkinama, jeigu, atsižvelgiant į informacijos turinį, jos tikslą ir poveikį, yra susijusi su konkrečiu asmeniu (35 punktas).</w:t>
      </w:r>
      <w:r w:rsidR="000028CD" w:rsidRPr="00B77C61">
        <w:t xml:space="preserve"> </w:t>
      </w:r>
    </w:p>
    <w:p w:rsidR="00DF6261" w:rsidRDefault="000028CD" w:rsidP="00C87E7D">
      <w:pPr>
        <w:ind w:firstLine="540"/>
        <w:rPr>
          <w:rFonts w:cs="Calibri"/>
          <w:iCs/>
        </w:rPr>
      </w:pPr>
      <w:r w:rsidRPr="00B77C61">
        <w:t xml:space="preserve">Teisingumo Teismas nusprendė, jog </w:t>
      </w:r>
      <w:r w:rsidRPr="005E4196">
        <w:rPr>
          <w:u w:val="single"/>
        </w:rPr>
        <w:t>e</w:t>
      </w:r>
      <w:r w:rsidRPr="005E4196">
        <w:rPr>
          <w:rFonts w:cs="Calibri"/>
          <w:u w:val="single"/>
        </w:rPr>
        <w:t>gzaminuojamojo raštiški atsakymai yra tokia su asmeniu susijusi informacija</w:t>
      </w:r>
      <w:r w:rsidRPr="00B77C61">
        <w:rPr>
          <w:rFonts w:cs="Calibri"/>
        </w:rPr>
        <w:t xml:space="preserve"> (36 punktas). Pirmiausia, šių atsakymų turinys atspindi egzaminuojamojo žinių lygį ir kompetenciją konkrečioje srityje ir atitinkamai jo mąstymo procesus, įžvalgą ir kritinį mąstymą. Kai egzaminas laikomas raštu, atsakymuose, be kita ko, pateikiama su jo rašysena susijusi informacija (37 punktas)</w:t>
      </w:r>
      <w:r w:rsidRPr="00B77C61">
        <w:rPr>
          <w:rFonts w:cs="Calibri"/>
          <w:iCs/>
        </w:rPr>
        <w:t>.</w:t>
      </w:r>
      <w:r w:rsidRPr="00B77C61">
        <w:t xml:space="preserve"> </w:t>
      </w:r>
      <w:r w:rsidRPr="00B77C61">
        <w:rPr>
          <w:rFonts w:cs="Calibri"/>
          <w:iCs/>
        </w:rPr>
        <w:t xml:space="preserve">Iš tiesų kiekvienu egzaminu siekiama apibrėžti ir nustatyti konkretaus asmens, t. y. egzaminuojamojo, asmeninius užduočių atlikimo rezultatus (41 punktas). </w:t>
      </w:r>
    </w:p>
    <w:p w:rsidR="00DF6261" w:rsidRDefault="00DF6261" w:rsidP="00C87E7D">
      <w:pPr>
        <w:ind w:firstLine="540"/>
      </w:pPr>
      <w:r w:rsidRPr="005E4196">
        <w:rPr>
          <w:rFonts w:cs="Calibri"/>
          <w:iCs/>
          <w:u w:val="single"/>
        </w:rPr>
        <w:t>Dėl egzaminuotojo dėl šių atsakymų pateiktų pastabų pažymėtina, kad jie, kaip ir egzaminuojamojo per egzaminą pateikti atsakymai, yra informacija apie egzaminuojamąjį</w:t>
      </w:r>
      <w:r>
        <w:rPr>
          <w:rFonts w:cs="Calibri"/>
          <w:iCs/>
        </w:rPr>
        <w:t xml:space="preserve"> (42 punktas)</w:t>
      </w:r>
      <w:r w:rsidRPr="00DF6261">
        <w:rPr>
          <w:rFonts w:cs="Calibri"/>
          <w:iCs/>
        </w:rPr>
        <w:t xml:space="preserve">. </w:t>
      </w:r>
      <w:r w:rsidR="000028CD" w:rsidRPr="00B77C61">
        <w:rPr>
          <w:rFonts w:cs="Calibri"/>
          <w:iCs/>
        </w:rPr>
        <w:t>Egzaminuotojo pastabų turinys atspindi egzaminuotojo nuomonę arba vertinimą dėl asmeninių egzaminuojamojo egzamino rezultatų, konkrečiai – dėl jo žinių ir gebėjimų atitinkamoje srityje. Be to, tokiomis pastabomis konkrečiai siekiama leisti užfiksuoti egzaminuotojo egzamino užduočių, kurias atliko egzaminuojamas asmuo, rezultatus, todėl ji pastarajam gali daryti poveikį (</w:t>
      </w:r>
      <w:r w:rsidR="00632D46">
        <w:rPr>
          <w:rFonts w:cs="Calibri"/>
          <w:iCs/>
        </w:rPr>
        <w:t>43 </w:t>
      </w:r>
      <w:r w:rsidR="000028CD" w:rsidRPr="00B77C61">
        <w:rPr>
          <w:rFonts w:cs="Calibri"/>
          <w:iCs/>
        </w:rPr>
        <w:t>punktas).</w:t>
      </w:r>
      <w:r w:rsidR="00632D46" w:rsidRPr="00632D46">
        <w:t xml:space="preserve"> </w:t>
      </w:r>
      <w:r w:rsidRPr="00DF6261">
        <w:t xml:space="preserve">Be to, per egzaminą egzaminuojamojo pateiktų raštiškų atsakymų ir atitinkamų egzaminuotojo dėl šių atsakymų pateiktų pastabų kvalifikavimui, t. y. jų laikymui asmens duomenimis, negali daryti įtakos tai, jog toks kvalifikavimas iš principo egzaminuojamajam suteikia teisę gauti informaciją ar teisę pataisyti duomenis apie save </w:t>
      </w:r>
      <w:r>
        <w:t>(46 punktas)</w:t>
      </w:r>
      <w:r w:rsidRPr="00DF6261">
        <w:t>.</w:t>
      </w:r>
    </w:p>
    <w:p w:rsidR="000028CD" w:rsidRDefault="002E0510" w:rsidP="00C87E7D">
      <w:pPr>
        <w:ind w:firstLine="540"/>
        <w:rPr>
          <w:rFonts w:cs="Calibri"/>
          <w:iCs/>
        </w:rPr>
      </w:pPr>
      <w:r>
        <w:t>N</w:t>
      </w:r>
      <w:r w:rsidRPr="002E0510">
        <w:rPr>
          <w:rFonts w:cs="Calibri"/>
          <w:iCs/>
        </w:rPr>
        <w:t>eginčijama, kad egzaminuojamasis pirmiausia turi teisėtą interesą, susijusį su savo privataus gyvenimo apsauga, galimybe prieštarauti tam, kad jo šiame egzamine pateikti atsakymai ir egzaminuotojo pastabos dėl šių atsakymų būtų tvarkomi nesilaikant egzamino procedūros ir, konkrečiai kalbant, kad būtų perduodami tretiesiems asmenims arba net, negavus egzaminuojamojo sutikimo, paskelbiami viešai. Be to, egzaminą organizuojantis subjektas, kaip asmens duomenų valdytojas, turi užtikrinti, jog šie atsakymai ir pastabos dėl jų būtų saugomi taip, kad tretieji asmenys su jais neteisėtai nesusipažintų</w:t>
      </w:r>
      <w:r>
        <w:rPr>
          <w:rFonts w:cs="Calibri"/>
          <w:iCs/>
        </w:rPr>
        <w:t xml:space="preserve"> (50 punktas)</w:t>
      </w:r>
      <w:r w:rsidRPr="002E0510">
        <w:rPr>
          <w:rFonts w:cs="Calibri"/>
          <w:iCs/>
        </w:rPr>
        <w:t>.</w:t>
      </w:r>
    </w:p>
    <w:p w:rsidR="00947CAF" w:rsidRDefault="002E0510" w:rsidP="00C87E7D">
      <w:pPr>
        <w:ind w:firstLine="540"/>
        <w:rPr>
          <w:rFonts w:cs="Calibri"/>
          <w:iCs/>
        </w:rPr>
      </w:pPr>
      <w:r>
        <w:rPr>
          <w:rFonts w:cs="Calibri"/>
          <w:iCs/>
        </w:rPr>
        <w:t>Toliau konstatuot</w:t>
      </w:r>
      <w:r w:rsidRPr="002E0510">
        <w:rPr>
          <w:rFonts w:cs="Calibri"/>
          <w:iCs/>
        </w:rPr>
        <w:t>a, kad Direktyvos 95/46 12 straipsnio a ir b punktuose numatyta teisė gauti informaciją ar teisė pataisyti duomenis apie save taip pat gali būti pateisinama atsižvelgiant į egzaminuojamojo pateiktus raštiškus atsakymus ir į atitinkamas egzaminuotojo dėl jų pateiktas pastabas</w:t>
      </w:r>
      <w:r>
        <w:rPr>
          <w:rFonts w:cs="Calibri"/>
          <w:iCs/>
        </w:rPr>
        <w:t xml:space="preserve"> (</w:t>
      </w:r>
      <w:r w:rsidR="00E23270">
        <w:rPr>
          <w:rFonts w:cs="Calibri"/>
          <w:iCs/>
        </w:rPr>
        <w:t>51 </w:t>
      </w:r>
      <w:r>
        <w:rPr>
          <w:rFonts w:cs="Calibri"/>
          <w:iCs/>
        </w:rPr>
        <w:t>punktas)</w:t>
      </w:r>
      <w:r w:rsidRPr="002E0510">
        <w:rPr>
          <w:rFonts w:cs="Calibri"/>
          <w:iCs/>
        </w:rPr>
        <w:t>.</w:t>
      </w:r>
      <w:r w:rsidR="00E23270" w:rsidRPr="00E23270">
        <w:t xml:space="preserve"> </w:t>
      </w:r>
      <w:r w:rsidR="00E23270" w:rsidRPr="00E23270">
        <w:rPr>
          <w:rFonts w:cs="Calibri"/>
          <w:iCs/>
        </w:rPr>
        <w:t xml:space="preserve">Žinoma, akivaizdu, kad Direktyvos 95/46 12 straipsnio b punkte numatyta teisė pataisyti tikrai negali egzaminuojamajam leisti „pataisyti“ </w:t>
      </w:r>
      <w:r w:rsidR="00E23270" w:rsidRPr="00E23270">
        <w:rPr>
          <w:rFonts w:cs="Calibri"/>
          <w:i/>
          <w:iCs/>
        </w:rPr>
        <w:t>a posteriori</w:t>
      </w:r>
      <w:r w:rsidR="00E23270" w:rsidRPr="00E23270">
        <w:rPr>
          <w:rFonts w:cs="Calibri"/>
          <w:iCs/>
        </w:rPr>
        <w:t xml:space="preserve"> „klaidingų“ atsakymų</w:t>
      </w:r>
      <w:r w:rsidR="00E23270">
        <w:rPr>
          <w:rFonts w:cs="Calibri"/>
          <w:iCs/>
        </w:rPr>
        <w:t xml:space="preserve"> (52 punktas)</w:t>
      </w:r>
      <w:r w:rsidR="00E23270" w:rsidRPr="00E23270">
        <w:rPr>
          <w:rFonts w:cs="Calibri"/>
          <w:iCs/>
        </w:rPr>
        <w:t>.</w:t>
      </w:r>
      <w:r w:rsidR="00AF537D">
        <w:rPr>
          <w:rFonts w:cs="Calibri"/>
          <w:iCs/>
        </w:rPr>
        <w:t xml:space="preserve"> </w:t>
      </w:r>
      <w:r w:rsidR="00947CAF" w:rsidRPr="00947CAF">
        <w:rPr>
          <w:rFonts w:cs="Calibri"/>
          <w:iCs/>
        </w:rPr>
        <w:t>Kita vertus, gali susiklostyti aplinkybės, kai egzaminuojamojo atsakymai ir egzaminuotojo dėl šių atsakymų pateiktos pastabos yra netikslūs, kaip tai suprantama pagal Direktyvos 95/46 6 straipsnio 1 dalies d punktą, pavyzdžiui, kai per klaidą sukeičiamos egzamino darbo kopijos, dėl to atitinkamam egzaminuojamajam priskiriami kito egzaminuojamojo atsakymai, arba prarandama dalis lapų su šio egzaminuojamojo atsakymais, todėl minėti atsakymai nėra išsamūs, arba galimose egzaminuotojo pastabose netiksliai užfiksuotas jo pateiktas egzaminuojamojo atsakymų vertinimas</w:t>
      </w:r>
      <w:r w:rsidR="00947CAF">
        <w:rPr>
          <w:rFonts w:cs="Calibri"/>
          <w:iCs/>
        </w:rPr>
        <w:t xml:space="preserve"> (54 punktas)</w:t>
      </w:r>
      <w:r w:rsidR="00947CAF" w:rsidRPr="00947CAF">
        <w:rPr>
          <w:rFonts w:cs="Calibri"/>
          <w:iCs/>
        </w:rPr>
        <w:t>.</w:t>
      </w:r>
      <w:r w:rsidR="00947CAF">
        <w:rPr>
          <w:rFonts w:cs="Calibri"/>
          <w:iCs/>
        </w:rPr>
        <w:t xml:space="preserve"> </w:t>
      </w:r>
      <w:r w:rsidR="00947CAF" w:rsidRPr="00947CAF">
        <w:rPr>
          <w:rFonts w:cs="Calibri"/>
          <w:iCs/>
        </w:rPr>
        <w:t>Be to, negalima atmesti galimybės, kad pagal Direktyvos 95/46 12 straipsnio b punktą egzaminuojamasis turi teisę už duomenų tvarkymą atsakingo asmens paprašyti, kad jo atsakymai į egzamino klausimus ir egzaminuotojo dėl jų pateiktos pastabos po tam tikro laiko būtų ištrinti, t. y. sunaikinti</w:t>
      </w:r>
      <w:r w:rsidR="00947CAF">
        <w:rPr>
          <w:rFonts w:cs="Calibri"/>
          <w:iCs/>
        </w:rPr>
        <w:t xml:space="preserve"> (55 punktas)</w:t>
      </w:r>
      <w:r w:rsidR="00947CAF" w:rsidRPr="00947CAF">
        <w:rPr>
          <w:rFonts w:cs="Calibri"/>
          <w:iCs/>
        </w:rPr>
        <w:t>.</w:t>
      </w:r>
    </w:p>
    <w:p w:rsidR="002E0510" w:rsidRDefault="00AF537D" w:rsidP="00C87E7D">
      <w:pPr>
        <w:ind w:firstLine="540"/>
        <w:rPr>
          <w:rFonts w:cs="Calibri"/>
          <w:iCs/>
        </w:rPr>
      </w:pPr>
      <w:r w:rsidRPr="00AF537D">
        <w:rPr>
          <w:rFonts w:cs="Calibri"/>
          <w:iCs/>
        </w:rPr>
        <w:t xml:space="preserve">Kadangi egzaminuojamojo raštiški atsakymai ir galimos egzaminuotojo dėl šių atsakymų pateiktos pastabos turi būti patikrinti, pirmiausia, kiek tai susiję jų tikslumu ir būtinybe juos išsaugoti, kaip tai suprantama pagal Direktyvos 95/46 6 straipsnio 1 dalies d ir e punktus, ir gali būti pataisyti arba ištrinti, remiantis jos </w:t>
      </w:r>
      <w:r w:rsidR="005E4196">
        <w:rPr>
          <w:rFonts w:cs="Calibri"/>
          <w:iCs/>
        </w:rPr>
        <w:t>12 straipsnio b punktu, pažymėt</w:t>
      </w:r>
      <w:r w:rsidRPr="00AF537D">
        <w:rPr>
          <w:rFonts w:cs="Calibri"/>
          <w:iCs/>
        </w:rPr>
        <w:t xml:space="preserve">a, kad tai, jog egzaminuojamajam suteikiama teisė susipažinti su šiais atsakymais ir šiomis pastabomis pagal šios direktyvos 12 straipsnio a punktą, padeda siekti šiame straipsnyje nustatyto tikslo – užtikrinti egzaminuojamojo teisės į privatų gyvenimą apsaugą tvarkant su juo susijusius asmens duomenis (žr. </w:t>
      </w:r>
      <w:r w:rsidRPr="00AF537D">
        <w:rPr>
          <w:rFonts w:cs="Calibri"/>
          <w:i/>
          <w:iCs/>
        </w:rPr>
        <w:t>a contrario</w:t>
      </w:r>
      <w:r w:rsidR="005E4196">
        <w:rPr>
          <w:rFonts w:cs="Calibri"/>
          <w:iCs/>
        </w:rPr>
        <w:t xml:space="preserve"> 2014 m. liepos 17 d. s</w:t>
      </w:r>
      <w:r w:rsidRPr="00AF537D">
        <w:rPr>
          <w:rFonts w:cs="Calibri"/>
          <w:iCs/>
        </w:rPr>
        <w:t xml:space="preserve">prendimo </w:t>
      </w:r>
      <w:r w:rsidRPr="00AF537D">
        <w:rPr>
          <w:rFonts w:cs="Calibri"/>
          <w:i/>
          <w:iCs/>
        </w:rPr>
        <w:t>YS ir kt.</w:t>
      </w:r>
      <w:r w:rsidRPr="00AF537D">
        <w:rPr>
          <w:rFonts w:cs="Calibri"/>
          <w:iCs/>
        </w:rPr>
        <w:t>, C</w:t>
      </w:r>
      <w:r w:rsidRPr="00AF537D">
        <w:rPr>
          <w:rFonts w:cs="Calibri"/>
          <w:iCs/>
        </w:rPr>
        <w:noBreakHyphen/>
        <w:t>141/12 ir C</w:t>
      </w:r>
      <w:r w:rsidRPr="00AF537D">
        <w:rPr>
          <w:rFonts w:cs="Calibri"/>
          <w:iCs/>
        </w:rPr>
        <w:noBreakHyphen/>
        <w:t>372/12, EU:C:2014:2081, 45 ir 46 punktus), neatsižvelgiant į tai, ar tas egzaminuojamasis turi tokią teisę susipažinti su tvarkomais jo asmens duomenimis pagal egzamino procedūrai taikomus nacionalinės teisės aktus</w:t>
      </w:r>
      <w:r w:rsidR="005E4196">
        <w:rPr>
          <w:rFonts w:cs="Calibri"/>
          <w:iCs/>
        </w:rPr>
        <w:t xml:space="preserve"> (56 </w:t>
      </w:r>
      <w:r>
        <w:rPr>
          <w:rFonts w:cs="Calibri"/>
          <w:iCs/>
        </w:rPr>
        <w:t>punktas)</w:t>
      </w:r>
      <w:r w:rsidRPr="00AF537D">
        <w:rPr>
          <w:rFonts w:cs="Calibri"/>
          <w:iCs/>
        </w:rPr>
        <w:t>.</w:t>
      </w:r>
    </w:p>
    <w:p w:rsidR="00947CAF" w:rsidRDefault="00947CAF" w:rsidP="00C87E7D">
      <w:pPr>
        <w:ind w:firstLine="540"/>
        <w:rPr>
          <w:rFonts w:cs="Calibri"/>
          <w:iCs/>
        </w:rPr>
      </w:pPr>
      <w:r>
        <w:rPr>
          <w:rFonts w:cs="Calibri"/>
          <w:iCs/>
        </w:rPr>
        <w:t xml:space="preserve">Teismas priminė, kad </w:t>
      </w:r>
      <w:r w:rsidRPr="00947CAF">
        <w:rPr>
          <w:rFonts w:cs="Calibri"/>
          <w:iCs/>
        </w:rPr>
        <w:t>pagrindinės teisės į privataus gyvenimo gerbimą apsauga, be kita ko, apima kiekvieno fizinio asmens galimybę įsitikinti, kad jo asmens duomenys tikslūs ir tvarkomi teisėtai</w:t>
      </w:r>
      <w:r>
        <w:rPr>
          <w:rFonts w:cs="Calibri"/>
          <w:iCs/>
        </w:rPr>
        <w:t xml:space="preserve"> (57 punktas).</w:t>
      </w:r>
    </w:p>
    <w:p w:rsidR="00947CAF" w:rsidRPr="00B77C61" w:rsidRDefault="00947CAF" w:rsidP="00C87E7D">
      <w:pPr>
        <w:ind w:firstLine="540"/>
        <w:rPr>
          <w:rFonts w:cs="Calibri"/>
          <w:iCs/>
        </w:rPr>
      </w:pPr>
      <w:r>
        <w:rPr>
          <w:rFonts w:cs="Calibri"/>
          <w:iCs/>
        </w:rPr>
        <w:t>Galiausiai pažymėt</w:t>
      </w:r>
      <w:r w:rsidRPr="00947CAF">
        <w:rPr>
          <w:rFonts w:cs="Calibri"/>
          <w:iCs/>
        </w:rPr>
        <w:t>a, viena vertus, kad teisė gauti informaciją ar teisė pataisyti duomenis apie save, remiantis Direktyvos 95/46 12 straipsnio a ir b punktais, netaikoma egzamino klausimams, kurie, kaip tokie, nėra egzaminuojamojo asmens duomenys</w:t>
      </w:r>
      <w:r>
        <w:rPr>
          <w:rFonts w:cs="Calibri"/>
          <w:iCs/>
        </w:rPr>
        <w:t xml:space="preserve"> (58 punktas)</w:t>
      </w:r>
      <w:r w:rsidRPr="00947CAF">
        <w:rPr>
          <w:rFonts w:cs="Calibri"/>
          <w:iCs/>
        </w:rPr>
        <w:t>.</w:t>
      </w:r>
      <w:r>
        <w:rPr>
          <w:rFonts w:cs="Calibri"/>
          <w:iCs/>
        </w:rPr>
        <w:t xml:space="preserve"> Kita vertus, Europos Sąjungos teisė </w:t>
      </w:r>
      <w:r w:rsidRPr="00947CAF">
        <w:rPr>
          <w:rFonts w:cs="Calibri"/>
          <w:iCs/>
        </w:rPr>
        <w:t>numato tam tikrus šių teisių apribojimus</w:t>
      </w:r>
      <w:r>
        <w:rPr>
          <w:rFonts w:cs="Calibri"/>
          <w:iCs/>
        </w:rPr>
        <w:t xml:space="preserve"> (59 punktas). </w:t>
      </w:r>
      <w:r w:rsidRPr="00947CAF">
        <w:rPr>
          <w:rFonts w:cs="Calibri"/>
          <w:iCs/>
        </w:rPr>
        <w:t xml:space="preserve">Taigi, remdamosi Direktyvos 95/46 13 straipsnio 1 dalies g punktu, valstybės narės gali imtis teisėkūros priemonių, kuriomis apribojama pareigų ir teisių, numatytų, visų pirma, </w:t>
      </w:r>
      <w:r w:rsidRPr="00947CAF">
        <w:rPr>
          <w:rFonts w:cs="Calibri"/>
          <w:iCs/>
        </w:rPr>
        <w:lastRenderedPageBreak/>
        <w:t>šios direktyvos 6 straipsnio 1 dalyje ir 12 straipsnyje, apimtis, kai toks apribojimas yra būtinas siekiant apsaugoti kitų asmenų teises ir laisves</w:t>
      </w:r>
      <w:r>
        <w:rPr>
          <w:rFonts w:cs="Calibri"/>
          <w:iCs/>
        </w:rPr>
        <w:t xml:space="preserve"> (60 punktas)</w:t>
      </w:r>
      <w:r w:rsidRPr="00947CAF">
        <w:rPr>
          <w:rFonts w:cs="Calibri"/>
          <w:iCs/>
        </w:rPr>
        <w:t>.</w:t>
      </w:r>
    </w:p>
    <w:p w:rsidR="000028CD" w:rsidRPr="00B77C61" w:rsidRDefault="000028CD" w:rsidP="00C87E7D">
      <w:pPr>
        <w:ind w:firstLine="540"/>
        <w:rPr>
          <w:rFonts w:cs="Calibri"/>
        </w:rPr>
      </w:pPr>
    </w:p>
    <w:p w:rsidR="000028CD" w:rsidRPr="00B77C61" w:rsidRDefault="000028CD" w:rsidP="00C87E7D">
      <w:pPr>
        <w:ind w:firstLine="540"/>
        <w:rPr>
          <w:rFonts w:cs="Calibri"/>
          <w:b/>
        </w:rPr>
      </w:pPr>
      <w:r w:rsidRPr="00B77C61">
        <w:rPr>
          <w:rFonts w:cs="Calibri"/>
          <w:b/>
        </w:rPr>
        <w:t>Remdamasis šiais motyvais, Teisingumo Teismas (antroji kolegija) nusprendė:</w:t>
      </w:r>
    </w:p>
    <w:p w:rsidR="000028CD" w:rsidRPr="00B77C61" w:rsidRDefault="000028CD" w:rsidP="00C87E7D">
      <w:pPr>
        <w:ind w:firstLine="540"/>
        <w:rPr>
          <w:rFonts w:cs="Calibri"/>
        </w:rPr>
      </w:pPr>
    </w:p>
    <w:p w:rsidR="000028CD" w:rsidRPr="00B77C61" w:rsidRDefault="000028CD" w:rsidP="00C87E7D">
      <w:pPr>
        <w:ind w:firstLine="540"/>
        <w:rPr>
          <w:rFonts w:cs="Calibri"/>
          <w:bCs/>
        </w:rPr>
      </w:pPr>
      <w:r w:rsidRPr="00B77C61">
        <w:rPr>
          <w:rFonts w:cs="Calibri"/>
          <w:bCs/>
        </w:rPr>
        <w:t>1995 m. spalio 24 d. Europos Parlamento ir Tarybos direktyvos 95/46/EB dėl asmenų apsaugos tvarkant asmens duomenis ir dėl laisvo tokių duomenų judėjimo 2 straipsnio a punktas turi būti aiškinamas taip, kad tokiomis aplinkybėmis, kokios nagrinėjamos pagrindinėje byloje, egzaminuojamojo per egzaminą pateikti raštiški atsakymai ir egzaminuotojo dėl šių atsakymų pateiktos atitinkamos pastabos yra asmens duomenys, kaip tai suprantama pagal šią nuostatą.</w:t>
      </w:r>
    </w:p>
    <w:p w:rsidR="000028CD" w:rsidRPr="00B77C61" w:rsidRDefault="00A87A78" w:rsidP="00C87E7D">
      <w:pPr>
        <w:ind w:firstLine="540"/>
        <w:rPr>
          <w:rFonts w:cs="Calibri"/>
        </w:rPr>
      </w:pPr>
      <w:hyperlink r:id="rId19" w:history="1">
        <w:r w:rsidR="000028CD" w:rsidRPr="00B77C61">
          <w:rPr>
            <w:rStyle w:val="Hipersaitas"/>
            <w:rFonts w:cs="Calibri"/>
          </w:rPr>
          <w:t>Prieiga internete</w:t>
        </w:r>
      </w:hyperlink>
    </w:p>
    <w:p w:rsidR="000028CD" w:rsidRPr="00B77C61" w:rsidRDefault="000028CD" w:rsidP="00C87E7D">
      <w:pPr>
        <w:tabs>
          <w:tab w:val="right" w:leader="dot" w:pos="9639"/>
        </w:tabs>
        <w:ind w:firstLine="567"/>
      </w:pPr>
      <w:bookmarkStart w:id="49" w:name="_Toc467573926"/>
      <w:bookmarkStart w:id="50" w:name="_Toc436400438"/>
      <w:bookmarkStart w:id="51" w:name="_Toc439688571"/>
    </w:p>
    <w:p w:rsidR="000028CD" w:rsidRPr="00B77C61" w:rsidRDefault="000028CD" w:rsidP="00C87E7D">
      <w:pPr>
        <w:pStyle w:val="Antrat2"/>
      </w:pPr>
      <w:bookmarkStart w:id="52" w:name="_Toc497144244"/>
      <w:bookmarkStart w:id="53" w:name="_Toc512411049"/>
      <w:r w:rsidRPr="00B77C61">
        <w:t xml:space="preserve">2017 m. </w:t>
      </w:r>
      <w:r w:rsidR="00CF4E1E">
        <w:t>rugsėjo 27</w:t>
      </w:r>
      <w:r w:rsidRPr="00B77C61">
        <w:t xml:space="preserve"> d. prejudicinis sprendimas byloje </w:t>
      </w:r>
      <w:bookmarkEnd w:id="52"/>
      <w:r w:rsidR="00CF4E1E" w:rsidRPr="00CF4E1E">
        <w:t>C</w:t>
      </w:r>
      <w:r w:rsidR="00CF4E1E" w:rsidRPr="00CF4E1E">
        <w:noBreakHyphen/>
        <w:t>73/16</w:t>
      </w:r>
      <w:bookmarkEnd w:id="53"/>
    </w:p>
    <w:p w:rsidR="000028CD" w:rsidRPr="00B77C61" w:rsidRDefault="00CF4E1E" w:rsidP="00C87E7D">
      <w:pPr>
        <w:tabs>
          <w:tab w:val="right" w:leader="dot" w:pos="9639"/>
        </w:tabs>
        <w:ind w:firstLine="567"/>
        <w:jc w:val="center"/>
        <w:rPr>
          <w:b/>
          <w:bCs/>
          <w:i/>
        </w:rPr>
      </w:pPr>
      <w:r w:rsidRPr="00CF4E1E">
        <w:rPr>
          <w:b/>
          <w:bCs/>
          <w:i/>
        </w:rPr>
        <w:t>Peter Puškár</w:t>
      </w:r>
      <w:r>
        <w:rPr>
          <w:b/>
          <w:bCs/>
          <w:i/>
        </w:rPr>
        <w:t xml:space="preserve"> </w:t>
      </w:r>
      <w:r w:rsidR="000028CD" w:rsidRPr="00B77C61">
        <w:rPr>
          <w:b/>
          <w:bCs/>
          <w:i/>
        </w:rPr>
        <w:t xml:space="preserve">prieš </w:t>
      </w:r>
      <w:r w:rsidRPr="00CF4E1E">
        <w:rPr>
          <w:b/>
          <w:bCs/>
          <w:i/>
        </w:rPr>
        <w:t>Finančné riaditeľstvo Slovenskej republiky,</w:t>
      </w:r>
      <w:r>
        <w:rPr>
          <w:b/>
          <w:bCs/>
          <w:i/>
        </w:rPr>
        <w:t xml:space="preserve"> </w:t>
      </w:r>
      <w:r w:rsidRPr="00CF4E1E">
        <w:rPr>
          <w:b/>
          <w:bCs/>
          <w:i/>
        </w:rPr>
        <w:t>Kriminálny úrad finančnej správy</w:t>
      </w:r>
    </w:p>
    <w:p w:rsidR="000028CD" w:rsidRPr="00B77C61" w:rsidRDefault="000028CD" w:rsidP="00C87E7D">
      <w:pPr>
        <w:tabs>
          <w:tab w:val="right" w:leader="dot" w:pos="9639"/>
        </w:tabs>
        <w:ind w:firstLine="567"/>
      </w:pPr>
    </w:p>
    <w:p w:rsidR="000028CD" w:rsidRDefault="000028CD" w:rsidP="00C87E7D">
      <w:pPr>
        <w:tabs>
          <w:tab w:val="right" w:leader="dot" w:pos="9639"/>
        </w:tabs>
        <w:ind w:firstLine="567"/>
      </w:pPr>
      <w:r w:rsidRPr="00B77C61">
        <w:t xml:space="preserve">Prašymas priimti prejudicinį sprendimą pateiktas dėl </w:t>
      </w:r>
      <w:r w:rsidR="00B97152" w:rsidRPr="00B97152">
        <w:t>Europos Sąjungos pagrindinių teisių chartijos (toliau</w:t>
      </w:r>
      <w:r w:rsidR="00D65A51">
        <w:t xml:space="preserve"> </w:t>
      </w:r>
      <w:r w:rsidR="00B97152" w:rsidRPr="00B97152">
        <w:t xml:space="preserve">– </w:t>
      </w:r>
      <w:r w:rsidR="00B97152">
        <w:t xml:space="preserve">ir </w:t>
      </w:r>
      <w:r w:rsidR="00B97152" w:rsidRPr="00B97152">
        <w:t xml:space="preserve">Chartija) 7, 8 ir 47 straipsnių, 1995 m. spalio 24 d. Europos Parlamento ir Tarybos direktyvos 95/46/EB dėl asmenų apsaugos tvarkant asmens duomenis ir dėl laisvo tokių duomenų judėjimo (OL L 281, 1995, p. 31; 2004 m. specialusis leidimas lietuvių kalba, 13 skyrius, 15 t., p. 355) </w:t>
      </w:r>
      <w:r w:rsidR="00B97152">
        <w:t xml:space="preserve">(toliau – ir Direktyva </w:t>
      </w:r>
      <w:r w:rsidR="00B97152" w:rsidRPr="00B97152">
        <w:t>95/46</w:t>
      </w:r>
      <w:r w:rsidR="00B97152">
        <w:t xml:space="preserve">) </w:t>
      </w:r>
      <w:r w:rsidR="00B97152" w:rsidRPr="00B97152">
        <w:t xml:space="preserve">1 straipsnio 1 dalies, 7 straipsnio e punkto ir 13 straipsnio 1 dalies e ir f punktų, ESS 4 straipsnio 3 dalies ir SESV 267 straipsnio išaiškinimo. Šis prašymas pateiktas nagrinėjant Peter Puškár ginčą su </w:t>
      </w:r>
      <w:r w:rsidR="00B97152" w:rsidRPr="00B97152">
        <w:rPr>
          <w:i/>
          <w:iCs/>
        </w:rPr>
        <w:t>Finančné riaditel’stvo Slovenskej republiky</w:t>
      </w:r>
      <w:r w:rsidR="00B97152" w:rsidRPr="00B97152">
        <w:t xml:space="preserve"> (Slovakijos Respublikos finansų direktoratas, toliau – Finansų direktoratas) ir </w:t>
      </w:r>
      <w:r w:rsidR="00B97152" w:rsidRPr="00B97152">
        <w:rPr>
          <w:i/>
          <w:iCs/>
        </w:rPr>
        <w:t>Kriminálny úrad finančnej správy</w:t>
      </w:r>
      <w:r w:rsidR="00B97152" w:rsidRPr="00B97152">
        <w:t xml:space="preserve"> (Kovos su finansiniais nusikaltimais tarnyba, Slovakija) dėl ieškinio, kuriuo prašoma nurodyti šioms institucijoms ištrinti P. Puškár pavardę iš asmenų, kuriuos Finansų direktoratas laiko statytiniais, registro, kurį sudarė šis direktoratas rinkdamas mokesčius ir kurį atnaujina jis, jam pavaldžios mokesčių tarnybos ir Kovos su finansiniais nusikaltimais tarnyba </w:t>
      </w:r>
      <w:r w:rsidR="00B97152">
        <w:t xml:space="preserve">(toliau – ginčijamas registras) </w:t>
      </w:r>
      <w:r w:rsidRPr="00B77C61">
        <w:t>(1–2 punktai).</w:t>
      </w:r>
    </w:p>
    <w:p w:rsidR="00B97152" w:rsidRPr="00B77C61" w:rsidRDefault="00DD0F7C" w:rsidP="00C87E7D">
      <w:pPr>
        <w:tabs>
          <w:tab w:val="right" w:leader="dot" w:pos="9639"/>
        </w:tabs>
        <w:ind w:firstLine="567"/>
        <w:rPr>
          <w:rFonts w:asciiTheme="minorHAnsi" w:hAnsiTheme="minorHAnsi"/>
        </w:rPr>
      </w:pPr>
      <w:r>
        <w:rPr>
          <w:rFonts w:asciiTheme="minorHAnsi" w:hAnsiTheme="minorHAnsi"/>
        </w:rPr>
        <w:t xml:space="preserve">Pagrindinėje byloje susiklostė šios faktinės aplinkybės: </w:t>
      </w:r>
      <w:r w:rsidR="003F03CD">
        <w:rPr>
          <w:rFonts w:asciiTheme="minorHAnsi" w:hAnsiTheme="minorHAnsi"/>
        </w:rPr>
        <w:t>m</w:t>
      </w:r>
      <w:r w:rsidR="003F03CD" w:rsidRPr="003F03CD">
        <w:rPr>
          <w:rFonts w:asciiTheme="minorHAnsi" w:hAnsiTheme="minorHAnsi"/>
        </w:rPr>
        <w:t xml:space="preserve">anydamas, kad įrašant pavardę į ginčijamą registrą pažeistos jo asmens teisės, P. Puškár pateikė </w:t>
      </w:r>
      <w:r w:rsidR="003F03CD" w:rsidRPr="003F03CD">
        <w:rPr>
          <w:rFonts w:asciiTheme="minorHAnsi" w:hAnsiTheme="minorHAnsi"/>
          <w:i/>
          <w:iCs/>
        </w:rPr>
        <w:t>Najvyšší súd Slovenskej republiky</w:t>
      </w:r>
      <w:r w:rsidR="003F03CD" w:rsidRPr="003F03CD">
        <w:rPr>
          <w:rFonts w:asciiTheme="minorHAnsi" w:hAnsiTheme="minorHAnsi"/>
        </w:rPr>
        <w:t xml:space="preserve"> (Slovakijos Respublikos Aukščiausiasis Teismas) skundą su reikalavimu nurodyti Finansų direktoratui, visoms jam pavaldžioms mokesčių tarnyboms ir Kovos su finansiniais nusikaltimais tarnybai neįrašyti jo pavardės į ginčijamą arba bet kokį panašų registrą</w:t>
      </w:r>
      <w:r w:rsidR="003F03CD">
        <w:rPr>
          <w:rFonts w:asciiTheme="minorHAnsi" w:hAnsiTheme="minorHAnsi"/>
        </w:rPr>
        <w:t>,</w:t>
      </w:r>
      <w:r w:rsidR="003F03CD" w:rsidRPr="003F03CD">
        <w:rPr>
          <w:rFonts w:asciiTheme="minorHAnsi" w:hAnsiTheme="minorHAnsi"/>
        </w:rPr>
        <w:t xml:space="preserve"> taip pat išbraukti bet kokią su juo susijusią informaciją iš šių registrų ir finansų administravimo elektroninės sistemos.</w:t>
      </w:r>
      <w:r w:rsidR="003F03CD">
        <w:rPr>
          <w:rFonts w:asciiTheme="minorHAnsi" w:hAnsiTheme="minorHAnsi"/>
        </w:rPr>
        <w:t xml:space="preserve"> </w:t>
      </w:r>
      <w:r w:rsidR="003F03CD" w:rsidRPr="003F03CD">
        <w:rPr>
          <w:rFonts w:asciiTheme="minorHAnsi" w:hAnsiTheme="minorHAnsi"/>
        </w:rPr>
        <w:t>P. Puškár nuomone, Finansų direktoratas ir Kovos su finansiniais nusikaltimais tarnyba sudarė ir naudoja ginčijamą registrą, t. y. fizinių asmenų registrą, į kurį, kaip jis nurodo, įtraukti 1 227 asmenys, kuriuos valdžios institucijos vadina „biele kone“ („baltieji žirgai“). Šis pavadinimas vartojamas apibrėžti asmenį, fiktyviai einantį vadovaujamas pareigas. Kiekvienas fizinis asmuo su savo asmens kodu ir mokesčių mokėtojo kodu iš principo susietas su vienu arba keliais juridiniais asmenimis, kurių, P. Puškár teigimu, iš viso yra 3 369, kuriam ar kuriems šis fizinis asmuo dirbo apibrėžtą laikotarpį.</w:t>
      </w:r>
      <w:r w:rsidR="003F03CD" w:rsidRPr="003F03CD">
        <w:t xml:space="preserve"> </w:t>
      </w:r>
      <w:r w:rsidR="003F03CD" w:rsidRPr="003F03CD">
        <w:rPr>
          <w:rFonts w:asciiTheme="minorHAnsi" w:hAnsiTheme="minorHAnsi"/>
        </w:rPr>
        <w:t>Prašymą priimti prejudicinį sprendimą pateikęs teismas nurod</w:t>
      </w:r>
      <w:r w:rsidR="00AE620F">
        <w:rPr>
          <w:rFonts w:asciiTheme="minorHAnsi" w:hAnsiTheme="minorHAnsi"/>
        </w:rPr>
        <w:t>ė</w:t>
      </w:r>
      <w:r w:rsidR="003F03CD" w:rsidRPr="003F03CD">
        <w:rPr>
          <w:rFonts w:asciiTheme="minorHAnsi" w:hAnsiTheme="minorHAnsi"/>
        </w:rPr>
        <w:t xml:space="preserve">, kad Kovos su finansiniais nusikaltimais tarnyba patvirtino, kad ginčijamas registras egzistuoja, bet teigė, kad jį sudarė Finansų direktoratas </w:t>
      </w:r>
      <w:r w:rsidR="003F03CD">
        <w:rPr>
          <w:rFonts w:asciiTheme="minorHAnsi" w:hAnsiTheme="minorHAnsi"/>
        </w:rPr>
        <w:t>(25–27 punktai).</w:t>
      </w:r>
    </w:p>
    <w:p w:rsidR="000028CD" w:rsidRPr="00B77C61" w:rsidRDefault="003F03CD" w:rsidP="00C87E7D">
      <w:pPr>
        <w:tabs>
          <w:tab w:val="right" w:leader="dot" w:pos="9639"/>
        </w:tabs>
        <w:ind w:firstLine="567"/>
      </w:pPr>
      <w:r>
        <w:t>P</w:t>
      </w:r>
      <w:r w:rsidR="000028CD" w:rsidRPr="00B77C61">
        <w:t>agrindinę bylą nagrinėjan</w:t>
      </w:r>
      <w:r>
        <w:t>čiam teismui iškilus klausimams teisės</w:t>
      </w:r>
      <w:r w:rsidRPr="003F03CD">
        <w:t xml:space="preserve"> į asmens duomenų apsaugą</w:t>
      </w:r>
      <w:r>
        <w:t>, tai</w:t>
      </w:r>
      <w:r w:rsidR="00AE620F">
        <w:t>p</w:t>
      </w:r>
      <w:r>
        <w:t xml:space="preserve"> pat</w:t>
      </w:r>
      <w:r w:rsidRPr="00B77C61">
        <w:t xml:space="preserve"> </w:t>
      </w:r>
      <w:r>
        <w:t xml:space="preserve">dėl </w:t>
      </w:r>
      <w:r w:rsidRPr="003F03CD">
        <w:t>teis</w:t>
      </w:r>
      <w:r>
        <w:t>ės į</w:t>
      </w:r>
      <w:r w:rsidRPr="003F03CD">
        <w:t xml:space="preserve"> veiksmingą gynybą teisme</w:t>
      </w:r>
      <w:r>
        <w:t xml:space="preserve">, jis </w:t>
      </w:r>
      <w:r w:rsidR="000028CD" w:rsidRPr="00B77C61">
        <w:t>nutarė sustabdyti bylos nagrinėjimą ir pateikti Teisingumo Teismui prejudicinius klausimus (</w:t>
      </w:r>
      <w:r>
        <w:t>30–32</w:t>
      </w:r>
      <w:r w:rsidR="000028CD" w:rsidRPr="00B77C61">
        <w:t xml:space="preserve"> punkta</w:t>
      </w:r>
      <w:r>
        <w:t>i</w:t>
      </w:r>
      <w:r w:rsidR="000028CD" w:rsidRPr="00B77C61">
        <w:t>).</w:t>
      </w:r>
    </w:p>
    <w:p w:rsidR="000028CD" w:rsidRPr="00B77C61" w:rsidRDefault="000028CD" w:rsidP="00C87E7D">
      <w:pPr>
        <w:tabs>
          <w:tab w:val="right" w:leader="dot" w:pos="9639"/>
        </w:tabs>
        <w:ind w:firstLine="540"/>
      </w:pPr>
    </w:p>
    <w:p w:rsidR="000028CD" w:rsidRDefault="000028CD" w:rsidP="00C87E7D">
      <w:pPr>
        <w:pStyle w:val="Antrat3"/>
        <w:ind w:firstLine="567"/>
      </w:pPr>
      <w:bookmarkStart w:id="54" w:name="_Toc497144245"/>
      <w:bookmarkStart w:id="55" w:name="_Toc512411050"/>
      <w:r w:rsidRPr="00B77C61">
        <w:t xml:space="preserve">Dėl </w:t>
      </w:r>
      <w:bookmarkEnd w:id="54"/>
      <w:r w:rsidR="002103AD" w:rsidRPr="002103AD">
        <w:t xml:space="preserve">asmens, tvirtinančio, kad pažeista jo teisė į asmens duomenų apsaugą, užtikrinama </w:t>
      </w:r>
      <w:r w:rsidR="002103AD">
        <w:t xml:space="preserve">Direktyvoje 95/46, </w:t>
      </w:r>
      <w:r w:rsidR="002103AD" w:rsidRPr="002103AD">
        <w:t>teisė</w:t>
      </w:r>
      <w:r w:rsidR="002103AD">
        <w:t>s</w:t>
      </w:r>
      <w:r w:rsidR="002103AD" w:rsidRPr="002103AD">
        <w:t xml:space="preserve"> </w:t>
      </w:r>
      <w:r w:rsidR="002103AD">
        <w:t>pareikšti ieškinį teisme siejimo</w:t>
      </w:r>
      <w:r w:rsidR="002103AD" w:rsidRPr="002103AD">
        <w:t xml:space="preserve"> su sąlyga prieš tai išnaudoti apskundimo galimybes nacionalinėse administracinėse institucijose</w:t>
      </w:r>
      <w:bookmarkEnd w:id="55"/>
    </w:p>
    <w:p w:rsidR="00230D52" w:rsidRPr="00230D52" w:rsidRDefault="00230D52" w:rsidP="00C87E7D"/>
    <w:p w:rsidR="008B462A" w:rsidRDefault="008B462A" w:rsidP="00C87E7D">
      <w:pPr>
        <w:tabs>
          <w:tab w:val="right" w:leader="dot" w:pos="9639"/>
        </w:tabs>
        <w:ind w:firstLine="567"/>
      </w:pPr>
      <w:r>
        <w:t>P</w:t>
      </w:r>
      <w:r w:rsidRPr="008B462A">
        <w:t xml:space="preserve">irmiausia </w:t>
      </w:r>
      <w:r>
        <w:t>konstatuota</w:t>
      </w:r>
      <w:r w:rsidRPr="008B462A">
        <w:t>, kad ginčijamame registre esantys duomenys, t. y. tam tikrų fizinių asmenų, įskaitant P. Puškár, pavardės yra „asmens duomenys“, kaip jie suprantami pagal Direktyvos 95/46 2 straipsnio a punktą, nes tai yra „informacija, susijusi su asmeniu, kurio tapatybė yra nust</w:t>
      </w:r>
      <w:r>
        <w:t>atyta arba gali būti nustatyta“, taigi</w:t>
      </w:r>
      <w:r w:rsidRPr="008B462A">
        <w:t xml:space="preserve"> ir jų rinkimas, ir naudojimas, atliekami pagrindinėje byloje nagrinėjamų įvairių finansinių institucijų, yra </w:t>
      </w:r>
      <w:r w:rsidRPr="008B462A">
        <w:lastRenderedPageBreak/>
        <w:t xml:space="preserve">„asmens duomenų tvarkymas“, kaip tai suprantama pagal tos pačios direktyvos 2 straipsnio b punktą </w:t>
      </w:r>
      <w:r>
        <w:t>(33–34 punktai)</w:t>
      </w:r>
      <w:r w:rsidRPr="008B462A">
        <w:t>.</w:t>
      </w:r>
    </w:p>
    <w:p w:rsidR="001069BA" w:rsidRDefault="001069BA" w:rsidP="00C87E7D">
      <w:pPr>
        <w:tabs>
          <w:tab w:val="right" w:leader="dot" w:pos="9639"/>
        </w:tabs>
        <w:ind w:firstLine="567"/>
      </w:pPr>
      <w:r w:rsidRPr="001069BA">
        <w:t xml:space="preserve">Pirmuoju klausimu prašymą priimti prejudicinį sprendimą </w:t>
      </w:r>
      <w:r>
        <w:t>pateikęs teismas iš esmės siekė</w:t>
      </w:r>
      <w:r w:rsidRPr="001069BA">
        <w:t xml:space="preserve"> sužinoti, ar Chartijos 47 straipsnis turi būti aiškinamas kaip draudžiantis nacionalinės teisės aktus, pagal kuriuos asmens, tvirtinančio, kad pažeista Direktyvoje 95/46 numatyta jo teisė į asmens duomenų apsaugą, teisė pareikšti ieškinį teisme siejama su sąlyga prieš tai išnaudoti apskundimo galimybes nacionalinėse administracinėse institucijose (toliau – administracinės apskundimo galimybės)</w:t>
      </w:r>
      <w:r w:rsidR="002103AD">
        <w:t xml:space="preserve"> (45 punktas)</w:t>
      </w:r>
      <w:r w:rsidRPr="001069BA">
        <w:t>.</w:t>
      </w:r>
    </w:p>
    <w:p w:rsidR="00230D52" w:rsidRDefault="00230D52" w:rsidP="00C87E7D">
      <w:pPr>
        <w:tabs>
          <w:tab w:val="right" w:leader="dot" w:pos="9639"/>
        </w:tabs>
        <w:ind w:firstLine="567"/>
      </w:pPr>
      <w:r w:rsidRPr="00B77C61">
        <w:t xml:space="preserve">Teismas </w:t>
      </w:r>
      <w:r w:rsidR="00ED51A1">
        <w:t>nustatė</w:t>
      </w:r>
      <w:r w:rsidR="004F1C89">
        <w:t xml:space="preserve">, jog </w:t>
      </w:r>
      <w:r w:rsidR="004F1C89" w:rsidRPr="004F1C89">
        <w:t>pareigos išnaudoti administracinio apskundimo galimybes tikslas – neapkrauti teismų ginčais, kuriuos gali iš karto išspręsti atitinkamos administracinės institucijos, ir padidinti teismo proceso veiksmingumą, kiek tai susiję su ginčais, kuriuose pareiškiami ieškiniai teisme, nors jau buvo pateiktas skundas. Todėl šia pareiga siekiama teisėtų bendrojo intereso tikslų</w:t>
      </w:r>
      <w:r w:rsidR="004F1C89">
        <w:t xml:space="preserve"> (67 punktas)</w:t>
      </w:r>
      <w:r w:rsidR="004F1C89" w:rsidRPr="004F1C89">
        <w:t xml:space="preserve">. </w:t>
      </w:r>
      <w:r w:rsidR="004F1C89">
        <w:t>P</w:t>
      </w:r>
      <w:r w:rsidR="004F1C89" w:rsidRPr="004F1C89">
        <w:t>areiga išnaudoti administracinio apskundimo galimybes yra tinkama priemonė šiems tikslams pasiekti ir nenustatyta jokių už ją švelnesnių priemonių, kuriomis jie būtų įgyvendinami lygiai taip pat veiksmingai</w:t>
      </w:r>
      <w:r w:rsidR="004F1C89">
        <w:t xml:space="preserve"> (68 punktas)</w:t>
      </w:r>
      <w:r w:rsidR="004F1C89" w:rsidRPr="004F1C89">
        <w:t xml:space="preserve">. Be to, nėra akivaizdaus neproporcingumo tarp šių tikslų ir galimų nepatogumų dėl pareigos išnaudoti administracinio apskundimo galimybes (pagal analogiją žr. 2010 m. kovo 18 d. </w:t>
      </w:r>
      <w:r w:rsidR="004F1C89">
        <w:t>s</w:t>
      </w:r>
      <w:r w:rsidR="004F1C89" w:rsidRPr="004F1C89">
        <w:t xml:space="preserve">prendimo </w:t>
      </w:r>
      <w:r w:rsidR="004F1C89" w:rsidRPr="004F1C89">
        <w:rPr>
          <w:i/>
          <w:iCs/>
        </w:rPr>
        <w:t>Alassini ir kt.</w:t>
      </w:r>
      <w:r w:rsidR="004F1C89" w:rsidRPr="004F1C89">
        <w:t>, C</w:t>
      </w:r>
      <w:r w:rsidR="004F1C89" w:rsidRPr="004F1C89">
        <w:noBreakHyphen/>
        <w:t>317/08–C</w:t>
      </w:r>
      <w:r w:rsidR="004F1C89" w:rsidRPr="004F1C89">
        <w:noBreakHyphen/>
        <w:t>320/08, EU:C:2010:146, 65 punktą)</w:t>
      </w:r>
      <w:r w:rsidR="004F1C89">
        <w:t xml:space="preserve"> (69 punktas)</w:t>
      </w:r>
      <w:r w:rsidR="004F1C89" w:rsidRPr="004F1C89">
        <w:t>.</w:t>
      </w:r>
      <w:r w:rsidR="004F1C89">
        <w:t xml:space="preserve"> </w:t>
      </w:r>
      <w:r w:rsidR="00687C29" w:rsidRPr="00687C29">
        <w:t xml:space="preserve">Šiuo atžvilgiu </w:t>
      </w:r>
      <w:r w:rsidR="00687C29">
        <w:t>priminta</w:t>
      </w:r>
      <w:r w:rsidR="00687C29" w:rsidRPr="00687C29">
        <w:t xml:space="preserve">, kad Teisingumo Teismas konstatavo, jog veiksmingos teisminės apsaugos principu, pakartotu Chartijos 47 straipsnyje, nedraudžiami nacionalinės teisės aktai, pagal kuriuos ieškinio teisme pareiškimas elektroninės komunikacijos ir vartojimo srityje susietas su išankstine neteisminės mediacijos procedūra, jeigu šioje per procedūrą nepriimamas šalims privalomas sprendimas, dėl jos iš esmės nevėluojama pateikti ieškinio teisme, sustabdoma atitinkamų teisių senatis ir nepatiriama išlaidų arba šalys patiria tik nereikšmingų išlaidų, jei elektroninis būdas nėra vienintelis, kuriuo vykdoma minėta procedūra, ir yra galimybė išimtiniais atvejais, kai tai būtina greitai padaryti atsižvelgiant į padėties skubą, nustatyti laikinąsias apsaugos priemones (šiuo klausimu žr. 2010 m. kovo 18 d. </w:t>
      </w:r>
      <w:r w:rsidR="00687C29">
        <w:t>s</w:t>
      </w:r>
      <w:r w:rsidR="00687C29" w:rsidRPr="00687C29">
        <w:t xml:space="preserve">prendimo </w:t>
      </w:r>
      <w:r w:rsidR="00687C29" w:rsidRPr="00687C29">
        <w:rPr>
          <w:i/>
          <w:iCs/>
        </w:rPr>
        <w:t>Alassini ir kt.</w:t>
      </w:r>
      <w:r w:rsidR="00687C29" w:rsidRPr="00687C29">
        <w:t>, C</w:t>
      </w:r>
      <w:r w:rsidR="00687C29" w:rsidRPr="00687C29">
        <w:noBreakHyphen/>
        <w:t>317/08–C</w:t>
      </w:r>
      <w:r w:rsidR="00687C29" w:rsidRPr="00687C29">
        <w:noBreakHyphen/>
        <w:t xml:space="preserve">320/08, EU:C:2010:146, 67 punktą ir 2017 m. birželio 14 d. </w:t>
      </w:r>
      <w:r w:rsidR="00687C29">
        <w:t>s</w:t>
      </w:r>
      <w:r w:rsidR="00687C29" w:rsidRPr="00687C29">
        <w:t xml:space="preserve">prendimo </w:t>
      </w:r>
      <w:r w:rsidR="00687C29" w:rsidRPr="00687C29">
        <w:rPr>
          <w:i/>
          <w:iCs/>
        </w:rPr>
        <w:t>Menini ir Rampanelli</w:t>
      </w:r>
      <w:r w:rsidR="00687C29" w:rsidRPr="00687C29">
        <w:t>, C</w:t>
      </w:r>
      <w:r w:rsidR="00687C29" w:rsidRPr="00687C29">
        <w:noBreakHyphen/>
        <w:t>75/16, EU:C:2017:457, 61 punktą)</w:t>
      </w:r>
      <w:r w:rsidR="00687C29">
        <w:t xml:space="preserve"> (70 punktas)</w:t>
      </w:r>
      <w:r w:rsidR="00687C29" w:rsidRPr="00687C29">
        <w:t>.</w:t>
      </w:r>
    </w:p>
    <w:p w:rsidR="00533408" w:rsidRPr="00B77C61" w:rsidRDefault="00533408" w:rsidP="00C87E7D">
      <w:pPr>
        <w:tabs>
          <w:tab w:val="right" w:leader="dot" w:pos="9639"/>
        </w:tabs>
        <w:ind w:firstLine="567"/>
      </w:pPr>
      <w:r>
        <w:t>Teismas nurodė, jog p</w:t>
      </w:r>
      <w:r w:rsidRPr="00533408">
        <w:t>rašymą priimti prejudicinį sprendimą pateikęs teismas turi patikrinti, ar konkretūs pareigos išnaudoti pagal Slovakijos teisę administracinio apskundimo galimybes įgyvendinimo būdai nedaro neproporcingo poveikio teisei pareikšti ieškinį teisme pagal Chartijos 47 straipsnį</w:t>
      </w:r>
      <w:r>
        <w:t xml:space="preserve"> (72 punktas)</w:t>
      </w:r>
      <w:r w:rsidRPr="00533408">
        <w:t>.</w:t>
      </w:r>
    </w:p>
    <w:p w:rsidR="000028CD" w:rsidRPr="00B77C61" w:rsidRDefault="000028CD" w:rsidP="00C87E7D"/>
    <w:p w:rsidR="00230D52" w:rsidRDefault="00230D52" w:rsidP="00C87E7D">
      <w:pPr>
        <w:pStyle w:val="Antrat3"/>
        <w:ind w:firstLine="567"/>
      </w:pPr>
      <w:bookmarkStart w:id="56" w:name="_Toc512411051"/>
      <w:r w:rsidRPr="00B77C61">
        <w:t xml:space="preserve">Dėl </w:t>
      </w:r>
      <w:r w:rsidR="00E04FA8" w:rsidRPr="00E04FA8">
        <w:t>nacionalini</w:t>
      </w:r>
      <w:r w:rsidR="00E04FA8">
        <w:t>o</w:t>
      </w:r>
      <w:r w:rsidR="00E04FA8" w:rsidRPr="00E04FA8">
        <w:t xml:space="preserve"> teism</w:t>
      </w:r>
      <w:r w:rsidR="00E04FA8">
        <w:t>o teisės</w:t>
      </w:r>
      <w:r w:rsidR="00E04FA8" w:rsidRPr="00E04FA8">
        <w:t xml:space="preserve"> kaip asmens duomenų apsaugos, užtikrinamos pagal Direktyvą 95/46, pažeidimo įrodymą atmesti registrą, kurį pateikia suinteresuotasis asmuo ir kuriame yra jo asmens duomenų</w:t>
      </w:r>
      <w:bookmarkEnd w:id="56"/>
    </w:p>
    <w:p w:rsidR="00230D52" w:rsidRDefault="00230D52" w:rsidP="00C87E7D">
      <w:pPr>
        <w:tabs>
          <w:tab w:val="right" w:leader="dot" w:pos="9639"/>
        </w:tabs>
        <w:ind w:firstLine="567"/>
      </w:pPr>
    </w:p>
    <w:p w:rsidR="00230D52" w:rsidRDefault="00FB1885" w:rsidP="00C87E7D">
      <w:pPr>
        <w:tabs>
          <w:tab w:val="left" w:pos="567"/>
        </w:tabs>
      </w:pPr>
      <w:r>
        <w:tab/>
      </w:r>
      <w:r w:rsidRPr="00FB1885">
        <w:t>Trečiuoju klausimu, kurį</w:t>
      </w:r>
      <w:r>
        <w:t>, Teismo vertinimu,</w:t>
      </w:r>
      <w:r w:rsidRPr="00FB1885">
        <w:t xml:space="preserve"> reikia nagrinėti antroje vietoje, prašymą priimti prejudicinį sprendimą pateikęs teismas iš esmės siek</w:t>
      </w:r>
      <w:r>
        <w:t>ė</w:t>
      </w:r>
      <w:r w:rsidRPr="00FB1885">
        <w:t xml:space="preserve"> sužinoti, ar Chartijos 47 straipsnis turi būti aiškinamas taip, kad juo draudžiama nacionaliniam teismui kaip asmens duomenų apsaugos, užtikrinamos pagal Direktyvą 95/46, pažeidimo įrodymą atmesti registrą, kaip antai ginčijamą, kurį pateikia suinteresuotasis asmuo ir kuriame yra jo asmens duomenų, jeigu šis asmuo gavo šį registrą be teisėtai reikalaujamo šių duomenų valdytojo sutikimo</w:t>
      </w:r>
      <w:r>
        <w:t xml:space="preserve"> (77 punktas)</w:t>
      </w:r>
      <w:r w:rsidRPr="00FB1885">
        <w:t>.</w:t>
      </w:r>
    </w:p>
    <w:p w:rsidR="007227E8" w:rsidRDefault="005330C1" w:rsidP="00C87E7D">
      <w:pPr>
        <w:tabs>
          <w:tab w:val="left" w:pos="567"/>
        </w:tabs>
      </w:pPr>
      <w:r>
        <w:tab/>
        <w:t xml:space="preserve">Teismas pažymėjo, kad </w:t>
      </w:r>
      <w:r w:rsidRPr="005330C1">
        <w:t>registro, kaip antai ginčijamo, atmetimas kaip pagal Direktyvą 95/46 užtikrinamos teisės pažeidimo įrodymas yra teisės veiksmingai pareikšti ieškinį teisme, kaip ji suprantama pagal Chartijos 47 straipsnį, apribojimas</w:t>
      </w:r>
      <w:r>
        <w:t xml:space="preserve"> (87 punktas)</w:t>
      </w:r>
      <w:r w:rsidRPr="005330C1">
        <w:t>.</w:t>
      </w:r>
      <w:r w:rsidR="00A93883" w:rsidRPr="00A93883">
        <w:t xml:space="preserve"> </w:t>
      </w:r>
      <w:r w:rsidR="00A93883">
        <w:t>T</w:t>
      </w:r>
      <w:r w:rsidR="00A93883" w:rsidRPr="00A93883">
        <w:t>oks apribojimas pagal Chartijos 52 straipsnio 1 dalį gali būti pateisinamas tik jeigu jis numatytas įstatymo, nekeičia šios teisės esmės ir, remiantis proporcingumo principu, yra būtinas ir tikrai atitinka Sąjungos pripažintus bendrojo intereso tikslus arba reikalingas kitų teisėms ir laisvėms apsaugoti</w:t>
      </w:r>
      <w:r w:rsidR="00A93883">
        <w:t xml:space="preserve"> (88 punktas)</w:t>
      </w:r>
      <w:r w:rsidR="00A93883" w:rsidRPr="00A93883">
        <w:t>.</w:t>
      </w:r>
      <w:r w:rsidR="00A93883">
        <w:tab/>
      </w:r>
      <w:r w:rsidR="00A93883" w:rsidRPr="00A93883">
        <w:t xml:space="preserve">Vadinasi, prašymą priimti prejudicinį sprendimą pateikęs teismas tam, kad galėtų atmesti ginčijamą registrą kaip įrodymą, pirmiausia turi patikrinti, ar toks teisės veiksmingai pareikšti ieškinį apribojimas </w:t>
      </w:r>
      <w:r w:rsidR="00A93883">
        <w:t xml:space="preserve">numatytas nacionalinėje teisėje. </w:t>
      </w:r>
      <w:r w:rsidR="00A93883" w:rsidRPr="00A93883">
        <w:t>Paskui šis teismas turi išnagrinėti, ar toks atmetimas nekeičia pagrindinės teisės į veiksmingą teisinę apsaugą, įtvirtintos Chartijos 47 straipsnyje, esmės</w:t>
      </w:r>
      <w:r w:rsidR="00A93883">
        <w:t xml:space="preserve">. </w:t>
      </w:r>
      <w:r w:rsidR="00A93883" w:rsidRPr="00A93883">
        <w:t>Galiausiai šis teismas turi įvertinti, ar ginčijamo registro kaip įrodymo atmetimas yra būtinas ir tikrai atitinka Sąjungos pripažintus bendruosius interesus arba reikalingas kitų teisėms ir laisvėms apsaugoti</w:t>
      </w:r>
      <w:r w:rsidR="00A93883">
        <w:t xml:space="preserve"> (89–91 punktai)</w:t>
      </w:r>
      <w:r w:rsidR="00A93883" w:rsidRPr="00A93883">
        <w:t>.</w:t>
      </w:r>
    </w:p>
    <w:p w:rsidR="005330C1" w:rsidRDefault="005330C1" w:rsidP="00C87E7D">
      <w:pPr>
        <w:tabs>
          <w:tab w:val="left" w:pos="567"/>
        </w:tabs>
      </w:pPr>
    </w:p>
    <w:p w:rsidR="00230D52" w:rsidRPr="00B77C61" w:rsidRDefault="00230D52" w:rsidP="00C87E7D">
      <w:pPr>
        <w:pStyle w:val="Antrat3"/>
        <w:ind w:firstLine="567"/>
      </w:pPr>
      <w:bookmarkStart w:id="57" w:name="_Toc512411052"/>
      <w:r w:rsidRPr="00B77C61">
        <w:lastRenderedPageBreak/>
        <w:t xml:space="preserve">Dėl </w:t>
      </w:r>
      <w:r w:rsidR="00F00199" w:rsidRPr="00F00199">
        <w:t>valstybės narės institucij</w:t>
      </w:r>
      <w:r w:rsidR="00F00199">
        <w:t xml:space="preserve">ų teisės </w:t>
      </w:r>
      <w:r w:rsidR="00F00199" w:rsidRPr="00F00199">
        <w:t>tvarkyti asmens duomenis renkant mokesčius ir kovojant su jų slėpimu, sudarant registrą, be susijusių asmenų sutikimo</w:t>
      </w:r>
      <w:bookmarkEnd w:id="57"/>
    </w:p>
    <w:p w:rsidR="00230D52" w:rsidRDefault="00230D52" w:rsidP="00C87E7D"/>
    <w:p w:rsidR="00F00199" w:rsidRDefault="00F00199" w:rsidP="00C87E7D">
      <w:pPr>
        <w:tabs>
          <w:tab w:val="right" w:leader="dot" w:pos="9639"/>
        </w:tabs>
        <w:ind w:firstLine="567"/>
      </w:pPr>
      <w:r w:rsidRPr="00F00199">
        <w:t xml:space="preserve">Antruoju klausimu prašymą priimti prejudicinį sprendimą </w:t>
      </w:r>
      <w:r>
        <w:t>pateikęs teismas iš esmės siekė</w:t>
      </w:r>
      <w:r w:rsidRPr="00F00199">
        <w:t xml:space="preserve"> išsiaiškinti, ar Direktyvos 95/46 7 ir 8 straipsniai turi būti aiškinami taip, kad jie valstybės narės institucijoms draudžia tvarkyti asmens duomenis renkant mokestį ir kovojant su mokesčių slėpimu, kaip tai vykdyta sudarant pagrindinėje byloje ginčijamą registrą, be susijusių asmenų sutikimo.</w:t>
      </w:r>
    </w:p>
    <w:p w:rsidR="0013714D" w:rsidRDefault="00230D52" w:rsidP="00C87E7D">
      <w:pPr>
        <w:tabs>
          <w:tab w:val="right" w:leader="dot" w:pos="9639"/>
        </w:tabs>
        <w:ind w:firstLine="567"/>
      </w:pPr>
      <w:r w:rsidRPr="00B77C61">
        <w:t xml:space="preserve">Teisingumo Teismas nurodė, jog </w:t>
      </w:r>
      <w:r w:rsidR="0013714D" w:rsidRPr="0013714D">
        <w:t>registro, koks yra ginčijamas, kuriame yra tam tikrų fizinių asmenų pavardės ir jos susiejamos su vienu ar daugiau juridinių asmenų, kuriame šie asmenys fiktyviai užima vadovaujamas pareigas, sudarymas yra „asmens duomenų tvarkymas“, kaip jis suprantamas pagal Direktyvo</w:t>
      </w:r>
      <w:r w:rsidR="002A798C">
        <w:t xml:space="preserve">s </w:t>
      </w:r>
      <w:r w:rsidR="002A798C" w:rsidRPr="002A798C">
        <w:t>95/46 2 straipsnio b punktą</w:t>
      </w:r>
      <w:r w:rsidR="002A798C">
        <w:t xml:space="preserve"> (103 punktas)</w:t>
      </w:r>
      <w:r w:rsidR="002A798C" w:rsidRPr="002A798C">
        <w:t>.</w:t>
      </w:r>
      <w:r w:rsidR="0013714D" w:rsidRPr="0013714D">
        <w:t xml:space="preserve"> </w:t>
      </w:r>
    </w:p>
    <w:p w:rsidR="0013714D" w:rsidRPr="00B77C61" w:rsidRDefault="0013714D" w:rsidP="00C87E7D">
      <w:pPr>
        <w:tabs>
          <w:tab w:val="right" w:leader="dot" w:pos="9639"/>
        </w:tabs>
        <w:ind w:firstLine="567"/>
      </w:pPr>
      <w:r w:rsidRPr="0013714D">
        <w:t>Direktyvos 95/46 7 straipsnio e punkte numatyta, kad asmens duomenų tvarkymas yra teisėtas, jeigu jo „reikia vykdant užduotį, atliekamą visuomenės labui, arba įgyvendinant oficialius įgaliojimus, suteiktus duomenų valdytojui arba trečiajai šaliai, kuriai atskleidžiami duomenys“.</w:t>
      </w:r>
      <w:r>
        <w:t xml:space="preserve"> </w:t>
      </w:r>
      <w:r w:rsidRPr="0013714D">
        <w:t>Vadinasi, ginčijamas registras gali patekti į šios nuostatos taikymo sritį. Mokesčių rinkimo ir kovos su mokesčių slėpimu tikslai, kuriais sudaromas ginčijamas registras, turi būti laikomi užduotimis visuomenės labui, kaip jos suprantamos pagal šią nuostatą. Vis dėlto prašymą priimti prejudicinį sprendimą pateikęs teismas turi patikrinti, ar šį registrą sudariusios Slovakijos institucijos arba tos institucijos, kurioms jis atskleistas, vykdė šias užduotis pagal Slovakijos teisę</w:t>
      </w:r>
      <w:r>
        <w:t xml:space="preserve"> (106–109 punktai)</w:t>
      </w:r>
      <w:r w:rsidRPr="0013714D">
        <w:t>.</w:t>
      </w:r>
      <w:r>
        <w:t xml:space="preserve"> </w:t>
      </w:r>
      <w:r w:rsidRPr="0013714D">
        <w:t>Prašymą priimti prejudicinį sprendimą pateikęs teismas taip pat turi patikrinti, ar ginčijamo registro sudarymas yra būtinas atliekant pagrindinėje byloje nagrinėjamą užduotį visuomenės labui, pirmiausia atsižvelgiant į aiškų ginčijamo registro sudarymo tikslą, jame nurodytiems asmenims sukeliamas teisines pasekmes ir šio registro viešąjį arba neviešąjį pobūdį</w:t>
      </w:r>
      <w:r>
        <w:t xml:space="preserve">; jei taip, </w:t>
      </w:r>
      <w:r w:rsidRPr="0013714D">
        <w:t>šis teismas dar turėtų patikrinti, ar įvykdytos kitos šioje direktyvoje, visų pirma 6 ir 10–12 straipsniuose, nustatytos šio asmens duo</w:t>
      </w:r>
      <w:r>
        <w:t>menų tvarkymo teisėtumo sąlygos (111, 115 punktai)</w:t>
      </w:r>
      <w:r w:rsidRPr="0013714D">
        <w:t>.</w:t>
      </w:r>
    </w:p>
    <w:p w:rsidR="000028CD" w:rsidRPr="00B77C61" w:rsidRDefault="000028CD" w:rsidP="00C87E7D">
      <w:pPr>
        <w:tabs>
          <w:tab w:val="right" w:leader="dot" w:pos="9639"/>
        </w:tabs>
        <w:ind w:firstLine="567"/>
        <w:rPr>
          <w:b/>
        </w:rPr>
      </w:pPr>
    </w:p>
    <w:p w:rsidR="000028CD" w:rsidRDefault="000028CD" w:rsidP="00C87E7D">
      <w:pPr>
        <w:tabs>
          <w:tab w:val="right" w:leader="dot" w:pos="9639"/>
        </w:tabs>
        <w:ind w:firstLine="567"/>
        <w:rPr>
          <w:b/>
        </w:rPr>
      </w:pPr>
      <w:r w:rsidRPr="00B77C61">
        <w:rPr>
          <w:b/>
        </w:rPr>
        <w:t>Remdamasis šiais motyvais, Teisingumo Teismas (</w:t>
      </w:r>
      <w:r w:rsidR="003F03CD">
        <w:rPr>
          <w:b/>
        </w:rPr>
        <w:t>antroji</w:t>
      </w:r>
      <w:r w:rsidRPr="00B77C61">
        <w:rPr>
          <w:b/>
        </w:rPr>
        <w:t xml:space="preserve"> kolegija) nusprendė:</w:t>
      </w:r>
    </w:p>
    <w:p w:rsidR="00D65A51" w:rsidRPr="00B77C61" w:rsidRDefault="00D65A51" w:rsidP="00C87E7D">
      <w:pPr>
        <w:tabs>
          <w:tab w:val="right" w:leader="dot" w:pos="9639"/>
        </w:tabs>
        <w:ind w:firstLine="567"/>
        <w:rPr>
          <w:b/>
        </w:rPr>
      </w:pPr>
    </w:p>
    <w:p w:rsidR="003F03CD" w:rsidRPr="003F03CD" w:rsidRDefault="003F03CD" w:rsidP="00C87E7D">
      <w:pPr>
        <w:tabs>
          <w:tab w:val="right" w:leader="dot" w:pos="9639"/>
        </w:tabs>
        <w:ind w:firstLine="567"/>
        <w:rPr>
          <w:bCs/>
        </w:rPr>
      </w:pPr>
      <w:r w:rsidRPr="003F03CD">
        <w:rPr>
          <w:bCs/>
        </w:rPr>
        <w:t>1. Europos Sąjungos žmogaus teisių chartijos 47 straipsnis turi būti aiškinamas kaip nedraudžiantis nacionalinės teisės aktų, pagal kuriuos asmens, tvirtinančio, kad pažeista jo teisė į asmens duomenų apsaugą, užtikrinama 1995 m. spalio 24 d. Europos Parlamento ir Tarybos direktyvoje 95/46/EB dėl asmenų apsaugos tvarkant asmens duomenis ir dėl laisvo tokių duomenų judėjimo, teisė pareikšti ieškinį teisme siejama su sąlyga prieš tai išnaudoti apskundimo galimybes nacionalinėse administracinėse institucijose su sąlyga, kad konkretūs šių apskundimo galimybių įgyvendinimo būdai neturi neproporcingo poveikio šioje nuostatoje nustatytai teisei į veiksmingą teisminę gynybą. Pirmiausia svarbu, kad administracinių apskundimo galimybių išnaudojimas nesukeltų esminio uždelsimo pareiškiant ieškinį teisme ir dėl to būtų sustabdyta naudojimosi atitinkamomis teisėmis senatis ir atsirastų didelių išlaidų.</w:t>
      </w:r>
    </w:p>
    <w:p w:rsidR="003F03CD" w:rsidRPr="003F03CD" w:rsidRDefault="003F03CD" w:rsidP="00C87E7D">
      <w:pPr>
        <w:tabs>
          <w:tab w:val="right" w:leader="dot" w:pos="9639"/>
        </w:tabs>
        <w:ind w:firstLine="567"/>
        <w:rPr>
          <w:bCs/>
        </w:rPr>
      </w:pPr>
      <w:r>
        <w:rPr>
          <w:bCs/>
        </w:rPr>
        <w:t>2. </w:t>
      </w:r>
      <w:r w:rsidRPr="003F03CD">
        <w:rPr>
          <w:bCs/>
        </w:rPr>
        <w:t>Europos Sąjungos žmogaus teisių chartijos 47 straipsnis turi būti aiškinamas kaip draudžiantis nacionaliniam teismui kaip asmens duomenų apsaugos, užtikrinamos pagal Direktyvą 95/46, pažeidimo įrodymą atmesti registrą, koks yra ginčijamas, kurį pateikia suinteresuotasis asmuo ir kuriame yra jo asmens duomenų, jeigu šis asmuo gavo šį registrą be teisėtai reikalaujamo šių duomenų valdytojo sutikimo, nebent toks atmetimas numatytas nacionalinėje teisėje, juo nepakenkiama teisės į veiksmingą teisinę gynybą esmei ir paisoma proporcingumo principo.</w:t>
      </w:r>
    </w:p>
    <w:p w:rsidR="003F03CD" w:rsidRPr="003F03CD" w:rsidRDefault="003F03CD" w:rsidP="00C87E7D">
      <w:pPr>
        <w:tabs>
          <w:tab w:val="right" w:leader="dot" w:pos="9639"/>
        </w:tabs>
        <w:ind w:firstLine="567"/>
        <w:rPr>
          <w:bCs/>
        </w:rPr>
      </w:pPr>
      <w:r>
        <w:rPr>
          <w:bCs/>
        </w:rPr>
        <w:t>3. </w:t>
      </w:r>
      <w:r w:rsidRPr="003F03CD">
        <w:rPr>
          <w:bCs/>
        </w:rPr>
        <w:t>Direktyvos 95/46 7 straipsnio e punktas turi būti aiškinamas kaip nedraudžiantis valstybės narės institucijoms tvarkyti asmens duomenis renkant mokesčius ir kovojant su jų slėpimu, kaip tai vykdyta sudarant pagrindinėje byloje ginčijamą registrą, be susijusių asmenų sutikimo, su sąlyga, kad, pirma, šios institucijos vykdo užduotis visuomenės labui pagal nacionalinę teisę, kaip tai suprantama pagal šią nuostatą, kad šio registro sudarymas ir įrašymas susijusių asmenų pavardžių į jį yra tinkamas ir būtinas įgyvendinant siekiamus tikslus, kad yra pakankamai įrodymų preziumuoti, jog susiję asmenys šiame registre yra teisėtai ir, antra, kad įvykdytos visos Direktyvoje 95/46 nustatytos šio asmens duomenų tvarkymo teisėtumo sąlygos.</w:t>
      </w:r>
    </w:p>
    <w:p w:rsidR="000028CD" w:rsidRDefault="00A87A78" w:rsidP="00C87E7D">
      <w:pPr>
        <w:tabs>
          <w:tab w:val="right" w:leader="dot" w:pos="9639"/>
        </w:tabs>
        <w:ind w:firstLine="567"/>
        <w:rPr>
          <w:rStyle w:val="Hipersaitas"/>
        </w:rPr>
      </w:pPr>
      <w:hyperlink r:id="rId20" w:history="1">
        <w:r w:rsidR="000028CD" w:rsidRPr="008E44BD">
          <w:rPr>
            <w:rStyle w:val="Hipersaitas"/>
          </w:rPr>
          <w:t>Prieiga internete</w:t>
        </w:r>
      </w:hyperlink>
    </w:p>
    <w:p w:rsidR="00113E89" w:rsidRDefault="00113E89" w:rsidP="00C87E7D">
      <w:pPr>
        <w:tabs>
          <w:tab w:val="right" w:leader="dot" w:pos="9639"/>
        </w:tabs>
        <w:ind w:firstLine="567"/>
      </w:pPr>
    </w:p>
    <w:p w:rsidR="00D65A51" w:rsidRDefault="00D65A51" w:rsidP="00C87E7D">
      <w:pPr>
        <w:tabs>
          <w:tab w:val="right" w:leader="dot" w:pos="9639"/>
        </w:tabs>
        <w:ind w:firstLine="567"/>
      </w:pPr>
    </w:p>
    <w:p w:rsidR="00D65A51" w:rsidRPr="00B77C61" w:rsidRDefault="00D65A51" w:rsidP="00C87E7D">
      <w:pPr>
        <w:tabs>
          <w:tab w:val="right" w:leader="dot" w:pos="9639"/>
        </w:tabs>
        <w:ind w:firstLine="567"/>
      </w:pPr>
    </w:p>
    <w:p w:rsidR="00133FF5" w:rsidRPr="00F63D47" w:rsidRDefault="00133FF5" w:rsidP="00C87E7D">
      <w:pPr>
        <w:pStyle w:val="Antrat1"/>
        <w:tabs>
          <w:tab w:val="left" w:pos="5387"/>
        </w:tabs>
        <w:spacing w:before="0"/>
        <w:rPr>
          <w:b w:val="0"/>
          <w:bCs/>
          <w:iCs/>
        </w:rPr>
      </w:pPr>
      <w:bookmarkStart w:id="58" w:name="_Toc512411053"/>
      <w:bookmarkEnd w:id="49"/>
      <w:r w:rsidRPr="006451F4">
        <w:rPr>
          <w:rFonts w:eastAsia="Times New Roman" w:cs="Times New Roman"/>
          <w:bCs/>
          <w:kern w:val="32"/>
          <w:szCs w:val="22"/>
          <w:lang w:eastAsia="lt-LT"/>
        </w:rPr>
        <w:lastRenderedPageBreak/>
        <w:t>LAISVAS DARBUOTOJŲ IR SAVARANKIŠKAI DIRBANČIŲ ASMENŲ JUDĖJIMAS</w:t>
      </w:r>
      <w:bookmarkEnd w:id="58"/>
    </w:p>
    <w:p w:rsidR="00133FF5" w:rsidRDefault="00133FF5" w:rsidP="00C87E7D">
      <w:pPr>
        <w:ind w:firstLine="567"/>
        <w:jc w:val="center"/>
        <w:rPr>
          <w:b/>
          <w:bCs/>
          <w:i/>
        </w:rPr>
      </w:pPr>
    </w:p>
    <w:p w:rsidR="00133FF5" w:rsidRPr="003978FD" w:rsidRDefault="00133FF5" w:rsidP="00C87E7D">
      <w:pPr>
        <w:pStyle w:val="Antrat2"/>
        <w:rPr>
          <w:szCs w:val="22"/>
        </w:rPr>
      </w:pPr>
      <w:bookmarkStart w:id="59" w:name="_Toc456193188"/>
      <w:bookmarkStart w:id="60" w:name="_Toc512411054"/>
      <w:r w:rsidRPr="003978FD">
        <w:rPr>
          <w:szCs w:val="22"/>
        </w:rPr>
        <w:t xml:space="preserve">2017 m. gruodžio 20 d. prejudicinis sprendimas byloje </w:t>
      </w:r>
      <w:bookmarkEnd w:id="59"/>
      <w:r w:rsidRPr="003978FD">
        <w:rPr>
          <w:szCs w:val="22"/>
        </w:rPr>
        <w:t>C-442/16</w:t>
      </w:r>
      <w:bookmarkEnd w:id="60"/>
    </w:p>
    <w:p w:rsidR="00133FF5" w:rsidRPr="003978FD" w:rsidRDefault="00133FF5" w:rsidP="00C87E7D">
      <w:pPr>
        <w:jc w:val="center"/>
        <w:rPr>
          <w:rFonts w:asciiTheme="minorHAnsi" w:hAnsiTheme="minorHAnsi"/>
          <w:b/>
        </w:rPr>
      </w:pPr>
      <w:r w:rsidRPr="003978FD">
        <w:rPr>
          <w:rFonts w:asciiTheme="minorHAnsi" w:hAnsiTheme="minorHAnsi"/>
          <w:b/>
          <w:bCs/>
          <w:i/>
          <w:shd w:val="clear" w:color="auto" w:fill="FFFFFF"/>
        </w:rPr>
        <w:t>Florea Gousa</w:t>
      </w:r>
    </w:p>
    <w:p w:rsidR="00133FF5" w:rsidRPr="003978FD" w:rsidRDefault="00133FF5" w:rsidP="00C87E7D">
      <w:pPr>
        <w:jc w:val="center"/>
        <w:rPr>
          <w:rFonts w:asciiTheme="minorHAnsi" w:hAnsiTheme="minorHAnsi"/>
          <w:b/>
        </w:rPr>
      </w:pPr>
    </w:p>
    <w:p w:rsidR="00133FF5" w:rsidRPr="003978FD" w:rsidRDefault="00133FF5" w:rsidP="00C87E7D">
      <w:pPr>
        <w:pStyle w:val="c01pointnumerotealtn"/>
        <w:shd w:val="clear" w:color="auto" w:fill="FFFFFF"/>
        <w:spacing w:before="0" w:beforeAutospacing="0" w:after="0"/>
        <w:ind w:left="0" w:firstLine="567"/>
        <w:rPr>
          <w:rFonts w:asciiTheme="minorHAnsi" w:hAnsiTheme="minorHAnsi"/>
          <w:sz w:val="22"/>
          <w:szCs w:val="22"/>
          <w:shd w:val="clear" w:color="auto" w:fill="FFFFFF"/>
        </w:rPr>
      </w:pPr>
      <w:r w:rsidRPr="003978FD">
        <w:rPr>
          <w:rFonts w:asciiTheme="minorHAnsi" w:hAnsiTheme="minorHAnsi"/>
          <w:sz w:val="22"/>
          <w:szCs w:val="22"/>
        </w:rPr>
        <w:t>Prašymas priimti prejudicinį sprendimą pateiktas dėl 2004 m. balandžio 29 d. Europos Parlamento ir Tarybos direktyvos 2004/38/EB dėl Sąjungos piliečių ir jų šeimos narių teisės laisvai judėti ir gyventi valstybių narių teritorijoje (toliau – ir Direktyva</w:t>
      </w:r>
      <w:r>
        <w:rPr>
          <w:rFonts w:asciiTheme="minorHAnsi" w:hAnsiTheme="minorHAnsi"/>
          <w:sz w:val="22"/>
          <w:szCs w:val="22"/>
        </w:rPr>
        <w:t xml:space="preserve">, Direktyva </w:t>
      </w:r>
      <w:r w:rsidRPr="003978FD">
        <w:rPr>
          <w:rFonts w:asciiTheme="minorHAnsi" w:hAnsiTheme="minorHAnsi"/>
          <w:sz w:val="22"/>
          <w:szCs w:val="22"/>
        </w:rPr>
        <w:t>2004/38/EB) 7 ir 14 straipsnių ir 2004 m. balandžio 29 d. Europos Parlamento ir Tarybos reglamento (EB) Nr. 883/2004 dėl socialinės apsaugos sistemų koordinavimo (toliau – Reglamentas Nr. 883/2004) 4 straipsnio išaiškinimo.</w:t>
      </w:r>
    </w:p>
    <w:p w:rsidR="00133FF5" w:rsidRDefault="00133FF5" w:rsidP="00C87E7D">
      <w:pPr>
        <w:ind w:firstLine="567"/>
        <w:rPr>
          <w:rFonts w:asciiTheme="minorHAnsi" w:eastAsiaTheme="minorEastAsia" w:hAnsiTheme="minorHAnsi" w:cstheme="minorBidi"/>
          <w:lang w:eastAsia="lt-LT"/>
        </w:rPr>
      </w:pPr>
      <w:r w:rsidRPr="003978FD">
        <w:rPr>
          <w:rFonts w:asciiTheme="minorHAnsi" w:hAnsiTheme="minorHAnsi"/>
          <w:shd w:val="clear" w:color="auto" w:fill="FFFFFF"/>
        </w:rPr>
        <w:t xml:space="preserve">Pagrindinėje byloje nagrinėjamas ginčas susijęs su savarankiškai dirbančio asmens statuso nustatymu. </w:t>
      </w:r>
      <w:r w:rsidRPr="003978FD">
        <w:rPr>
          <w:rFonts w:asciiTheme="minorHAnsi" w:eastAsiaTheme="minorEastAsia" w:hAnsiTheme="minorHAnsi" w:cstheme="minorBidi"/>
          <w:lang w:eastAsia="lt-LT"/>
        </w:rPr>
        <w:t xml:space="preserve">Rumunijos pilietis F. Gusa 2007 m. spalio mėn. atvyko į Airiją. Pirmaisiais F. Gusa gyvenimo šioje valstybėje narėje metais jį išlaikė taip pat joje gyvenantys jo pilnamečiai vaikai. Nuo 2008 m. spalio mėn. iki 2012 m. spalio mėn. jis savarankiškai dirbo tinkuotoju ir šiuo pagrindu šioje valstybėje narėje mokėjo mokesčius, socialinio draudimo įmokas ir kitus nuo pajamų mokėtinus mokesčius. </w:t>
      </w:r>
      <w:r>
        <w:rPr>
          <w:rFonts w:asciiTheme="minorHAnsi" w:eastAsiaTheme="minorEastAsia" w:hAnsiTheme="minorHAnsi" w:cstheme="minorBidi"/>
          <w:lang w:eastAsia="lt-LT"/>
        </w:rPr>
        <w:t>2012 m. spalio mėn</w:t>
      </w:r>
      <w:r w:rsidRPr="003978FD">
        <w:rPr>
          <w:rFonts w:asciiTheme="minorHAnsi" w:eastAsiaTheme="minorEastAsia" w:hAnsiTheme="minorHAnsi" w:cstheme="minorBidi"/>
          <w:lang w:eastAsia="lt-LT"/>
        </w:rPr>
        <w:t>. jis nutraukė šią veiklą, nes prasidėjus ekonomikos nuosmukiui nebebuvo darbo ir užsiregistravo Airijos kompetentingose institucijose kaip darbo ieškantis asmuo. Jis nebegavo jokių pajamų, nes jo vaikai išvyko iš Airijos ir neberėmė jo finansiškai. 2012 m. lapkričio mėn. jis pateikė prašymą skirti nedarbo išmoką pagal 2005 m. aktą. Šis prašymas 2012 m. lapkričio 22 d. sprendimu buvo atmestas, motyvuojant tuo, kad F. Gusa neįrodė, jog tą dieną dar turėjo teisę gyventi Airijoje. Nutraukęs savo, kaip savarankiškai dirbančio tinkuotojo, veiklą F. Gusa nebeatitiko šios teisės suteikimo sąlygų, numatytų 2006 m. nutarimo 6 straipsnio 2 dalyje, kuria į Airijos teisę perkeliamas Direktyvos 2004/38 7 straipsnis. Dėl šio sprendimo F. Gusa pateikė administracinį skundą, o kai skundas buvo atmestas, pareiškė ieškinį Aukšta</w:t>
      </w:r>
      <w:r>
        <w:rPr>
          <w:rFonts w:asciiTheme="minorHAnsi" w:eastAsiaTheme="minorEastAsia" w:hAnsiTheme="minorHAnsi" w:cstheme="minorBidi"/>
          <w:lang w:eastAsia="lt-LT"/>
        </w:rPr>
        <w:t xml:space="preserve">jam </w:t>
      </w:r>
      <w:r w:rsidRPr="003978FD">
        <w:rPr>
          <w:rFonts w:asciiTheme="minorHAnsi" w:eastAsiaTheme="minorEastAsia" w:hAnsiTheme="minorHAnsi" w:cstheme="minorBidi"/>
          <w:lang w:eastAsia="lt-LT"/>
        </w:rPr>
        <w:t>teism</w:t>
      </w:r>
      <w:r>
        <w:rPr>
          <w:rFonts w:asciiTheme="minorHAnsi" w:eastAsiaTheme="minorEastAsia" w:hAnsiTheme="minorHAnsi" w:cstheme="minorBidi"/>
          <w:lang w:eastAsia="lt-LT"/>
        </w:rPr>
        <w:t>ui</w:t>
      </w:r>
      <w:r w:rsidRPr="003978FD">
        <w:rPr>
          <w:rFonts w:asciiTheme="minorHAnsi" w:eastAsiaTheme="minorEastAsia" w:hAnsiTheme="minorHAnsi" w:cstheme="minorBidi"/>
          <w:lang w:eastAsia="lt-LT"/>
        </w:rPr>
        <w:t xml:space="preserve">. Jame tvirtino, kad, nors nutraukė veiklą kaip savarankiškai dirbantis asmuo, išsaugojo savarankiškai dirbančio asmens statusą ir teisę gyventi Airijoje pagal Direktyvos 2004/38 7 straipsnį. </w:t>
      </w:r>
      <w:r>
        <w:rPr>
          <w:rFonts w:asciiTheme="minorHAnsi" w:eastAsiaTheme="minorEastAsia" w:hAnsiTheme="minorHAnsi" w:cstheme="minorBidi"/>
          <w:lang w:eastAsia="lt-LT"/>
        </w:rPr>
        <w:t>S</w:t>
      </w:r>
      <w:r w:rsidRPr="003978FD">
        <w:rPr>
          <w:rFonts w:asciiTheme="minorHAnsi" w:eastAsiaTheme="minorEastAsia" w:hAnsiTheme="minorHAnsi" w:cstheme="minorBidi"/>
          <w:lang w:eastAsia="lt-LT"/>
        </w:rPr>
        <w:t>prendimu Aukštasis teismas atmetė ieškinį. Dėl šio sprendimo F. Gusa pateikė apeliacinį skundą Aukščiausia</w:t>
      </w:r>
      <w:r>
        <w:rPr>
          <w:rFonts w:asciiTheme="minorHAnsi" w:eastAsiaTheme="minorEastAsia" w:hAnsiTheme="minorHAnsi" w:cstheme="minorBidi"/>
          <w:lang w:eastAsia="lt-LT"/>
        </w:rPr>
        <w:t>jam</w:t>
      </w:r>
      <w:r w:rsidRPr="003978FD">
        <w:rPr>
          <w:rFonts w:asciiTheme="minorHAnsi" w:eastAsiaTheme="minorEastAsia" w:hAnsiTheme="minorHAnsi" w:cstheme="minorBidi"/>
          <w:lang w:eastAsia="lt-LT"/>
        </w:rPr>
        <w:t xml:space="preserve"> Teism</w:t>
      </w:r>
      <w:r>
        <w:rPr>
          <w:rFonts w:asciiTheme="minorHAnsi" w:eastAsiaTheme="minorEastAsia" w:hAnsiTheme="minorHAnsi" w:cstheme="minorBidi"/>
          <w:lang w:eastAsia="lt-LT"/>
        </w:rPr>
        <w:t>ui (</w:t>
      </w:r>
      <w:r w:rsidRPr="008B7B35">
        <w:rPr>
          <w:rFonts w:asciiTheme="minorHAnsi" w:eastAsiaTheme="minorEastAsia" w:hAnsiTheme="minorHAnsi" w:cstheme="minorBidi"/>
          <w:lang w:eastAsia="lt-LT"/>
        </w:rPr>
        <w:t>16–2</w:t>
      </w:r>
      <w:r>
        <w:rPr>
          <w:rFonts w:asciiTheme="minorHAnsi" w:eastAsiaTheme="minorEastAsia" w:hAnsiTheme="minorHAnsi" w:cstheme="minorBidi"/>
          <w:lang w:eastAsia="lt-LT"/>
        </w:rPr>
        <w:t>1</w:t>
      </w:r>
      <w:r w:rsidRPr="008B7B35">
        <w:rPr>
          <w:rFonts w:asciiTheme="minorHAnsi" w:eastAsiaTheme="minorEastAsia" w:hAnsiTheme="minorHAnsi" w:cstheme="minorBidi"/>
          <w:lang w:eastAsia="lt-LT"/>
        </w:rPr>
        <w:t xml:space="preserve"> punktai</w:t>
      </w:r>
      <w:r>
        <w:rPr>
          <w:rFonts w:asciiTheme="minorHAnsi" w:eastAsiaTheme="minorEastAsia" w:hAnsiTheme="minorHAnsi" w:cstheme="minorBidi"/>
          <w:lang w:eastAsia="lt-LT"/>
        </w:rPr>
        <w:t xml:space="preserve">). </w:t>
      </w:r>
    </w:p>
    <w:p w:rsidR="00133FF5" w:rsidRPr="006451F4" w:rsidRDefault="00133FF5" w:rsidP="00C87E7D">
      <w:pPr>
        <w:ind w:firstLine="567"/>
        <w:rPr>
          <w:rFonts w:asciiTheme="minorHAnsi" w:eastAsiaTheme="minorEastAsia" w:hAnsiTheme="minorHAnsi" w:cstheme="minorBidi"/>
          <w:lang w:eastAsia="lt-LT"/>
        </w:rPr>
      </w:pPr>
      <w:r w:rsidRPr="006451F4">
        <w:rPr>
          <w:rFonts w:asciiTheme="minorHAnsi" w:eastAsiaTheme="minorEastAsia" w:hAnsiTheme="minorHAnsi" w:cstheme="minorBidi"/>
          <w:lang w:eastAsia="lt-LT"/>
        </w:rPr>
        <w:t>Visų pirma šis teismas pažym</w:t>
      </w:r>
      <w:r>
        <w:rPr>
          <w:rFonts w:asciiTheme="minorHAnsi" w:eastAsiaTheme="minorEastAsia" w:hAnsiTheme="minorHAnsi" w:cstheme="minorBidi"/>
          <w:lang w:eastAsia="lt-LT"/>
        </w:rPr>
        <w:t>ėjo</w:t>
      </w:r>
      <w:r w:rsidRPr="006451F4">
        <w:rPr>
          <w:rFonts w:asciiTheme="minorHAnsi" w:eastAsiaTheme="minorEastAsia" w:hAnsiTheme="minorHAnsi" w:cstheme="minorBidi"/>
          <w:lang w:eastAsia="lt-LT"/>
        </w:rPr>
        <w:t>, kad F. Gusa neteigia turintis pakankamai išteklių, kad galėtų pragyventi, ir visavertį sveikatos draudimą, todėl netvirtina turintis teisę gyventi Airijoje pagal Direktyvos 2004/38 7 straipsnio 1 dalies b punktą. Jis taip pat neteigia, kad 2012 m. lapkričio mėn. įgijo teisę nuolat gyventi šioje valstybėje narėje.</w:t>
      </w:r>
      <w:r>
        <w:rPr>
          <w:rFonts w:asciiTheme="minorHAnsi" w:eastAsiaTheme="minorEastAsia" w:hAnsiTheme="minorHAnsi" w:cstheme="minorBidi"/>
          <w:lang w:eastAsia="lt-LT"/>
        </w:rPr>
        <w:t xml:space="preserve"> </w:t>
      </w:r>
      <w:r w:rsidRPr="006451F4">
        <w:rPr>
          <w:rFonts w:asciiTheme="minorHAnsi" w:eastAsiaTheme="minorEastAsia" w:hAnsiTheme="minorHAnsi" w:cstheme="minorBidi"/>
          <w:lang w:eastAsia="lt-LT"/>
        </w:rPr>
        <w:t>Vis dėlto šiam teismui pirmiausia k</w:t>
      </w:r>
      <w:r>
        <w:rPr>
          <w:rFonts w:asciiTheme="minorHAnsi" w:eastAsiaTheme="minorEastAsia" w:hAnsiTheme="minorHAnsi" w:cstheme="minorBidi"/>
          <w:lang w:eastAsia="lt-LT"/>
        </w:rPr>
        <w:t>ilo</w:t>
      </w:r>
      <w:r w:rsidRPr="006451F4">
        <w:rPr>
          <w:rFonts w:asciiTheme="minorHAnsi" w:eastAsiaTheme="minorEastAsia" w:hAnsiTheme="minorHAnsi" w:cstheme="minorBidi"/>
          <w:lang w:eastAsia="lt-LT"/>
        </w:rPr>
        <w:t xml:space="preserve"> klausimas, ar F. Gusa laikytinas išlaikiusiu savarankiškai dirbančio asmens statusą pagal šios direktyvos 7 straipsnio 3 dalies b punktą arba kitą Sąjungos teisės nuostatą, nors ir nutraukė veiklą kaip savarankiškai dirbantis tinkuotojas, ir ar dėl to jis vis dar turi teisę gyventi Airijoje pagal šios direktyvos 7 straipsnio 1 dalies a punktą. Konkrečiai kalbant, prašymą priimti prejudicinį sprendimą pateikęs teismas iš esmės klaus</w:t>
      </w:r>
      <w:r>
        <w:rPr>
          <w:rFonts w:asciiTheme="minorHAnsi" w:eastAsiaTheme="minorEastAsia" w:hAnsiTheme="minorHAnsi" w:cstheme="minorBidi"/>
          <w:lang w:eastAsia="lt-LT"/>
        </w:rPr>
        <w:t>ė</w:t>
      </w:r>
      <w:r w:rsidRPr="006451F4">
        <w:rPr>
          <w:rFonts w:asciiTheme="minorHAnsi" w:eastAsiaTheme="minorEastAsia" w:hAnsiTheme="minorHAnsi" w:cstheme="minorBidi"/>
          <w:lang w:eastAsia="lt-LT"/>
        </w:rPr>
        <w:t>, ar minėtas 7 straipsnio 3 dalies b punktas apima tik asmenis, tapusius bedarbiais ne savo noru po to, kai išdirbo pagal darbo sutartį daugiau kaip vienus metus, ar ši nuostata taikoma ir asmenims, esantiems panašioje situacijoje po to, kai tą laikotarpį dirbo savarankiškai.</w:t>
      </w:r>
      <w:r>
        <w:rPr>
          <w:rFonts w:asciiTheme="minorHAnsi" w:eastAsiaTheme="minorEastAsia" w:hAnsiTheme="minorHAnsi" w:cstheme="minorBidi"/>
          <w:lang w:eastAsia="lt-LT"/>
        </w:rPr>
        <w:t xml:space="preserve"> </w:t>
      </w:r>
      <w:r w:rsidRPr="006451F4">
        <w:rPr>
          <w:rFonts w:asciiTheme="minorHAnsi" w:eastAsiaTheme="minorEastAsia" w:hAnsiTheme="minorHAnsi" w:cstheme="minorBidi"/>
          <w:lang w:eastAsia="lt-LT"/>
        </w:rPr>
        <w:t>Tuo atveju, jei F. Gusa būtų laikomas praradusiu savarankiškai dirbančio asmens statusą, prašymą priimti prejudicinį sprendimą pateikęs teismas iš esmės siek</w:t>
      </w:r>
      <w:r>
        <w:rPr>
          <w:rFonts w:asciiTheme="minorHAnsi" w:eastAsiaTheme="minorEastAsia" w:hAnsiTheme="minorHAnsi" w:cstheme="minorBidi"/>
          <w:lang w:eastAsia="lt-LT"/>
        </w:rPr>
        <w:t>ė</w:t>
      </w:r>
      <w:r w:rsidRPr="006451F4">
        <w:rPr>
          <w:rFonts w:asciiTheme="minorHAnsi" w:eastAsiaTheme="minorEastAsia" w:hAnsiTheme="minorHAnsi" w:cstheme="minorBidi"/>
          <w:lang w:eastAsia="lt-LT"/>
        </w:rPr>
        <w:t xml:space="preserve"> išsiaiškinti, ar jam vis tiek turi būti suteikta teisė gyventi Airijoje pagal kitą Sąjungos teisės nuostatą, nors jis neturi nei pakankamai išteklių, nei visaverčio sveikatos draudimo</w:t>
      </w:r>
      <w:r>
        <w:rPr>
          <w:rFonts w:asciiTheme="minorHAnsi" w:eastAsiaTheme="minorEastAsia" w:hAnsiTheme="minorHAnsi" w:cstheme="minorBidi"/>
          <w:lang w:eastAsia="lt-LT"/>
        </w:rPr>
        <w:t xml:space="preserve">. </w:t>
      </w:r>
      <w:r w:rsidRPr="006451F4">
        <w:rPr>
          <w:rFonts w:asciiTheme="minorHAnsi" w:eastAsiaTheme="minorEastAsia" w:hAnsiTheme="minorHAnsi" w:cstheme="minorBidi"/>
          <w:lang w:eastAsia="lt-LT"/>
        </w:rPr>
        <w:t>Galiausiai, jei į pastarąjį klausimą būtų atsakyta neigiamai, šis teismas klaus</w:t>
      </w:r>
      <w:r>
        <w:rPr>
          <w:rFonts w:asciiTheme="minorHAnsi" w:eastAsiaTheme="minorEastAsia" w:hAnsiTheme="minorHAnsi" w:cstheme="minorBidi"/>
          <w:lang w:eastAsia="lt-LT"/>
        </w:rPr>
        <w:t>ė</w:t>
      </w:r>
      <w:r w:rsidRPr="006451F4">
        <w:rPr>
          <w:rFonts w:asciiTheme="minorHAnsi" w:eastAsiaTheme="minorEastAsia" w:hAnsiTheme="minorHAnsi" w:cstheme="minorBidi"/>
          <w:lang w:eastAsia="lt-LT"/>
        </w:rPr>
        <w:t>, ar atsisakymas skirti F. Gusa 2005 m. akte numatytą nedarbo išmoką, motyvuojant tuo, kad jis neįrodė turintis teisę gyventi šalyje, pažeidžia Sąjungos teisę, konkrečiai Reglamento Nr. 883/2004 4 straipsnį, nes ši išmoka yra „speciali neįmokinė išmoka pinigais“, kaip ji suprantama pagal Regla</w:t>
      </w:r>
      <w:r>
        <w:rPr>
          <w:rFonts w:asciiTheme="minorHAnsi" w:eastAsiaTheme="minorEastAsia" w:hAnsiTheme="minorHAnsi" w:cstheme="minorBidi"/>
          <w:lang w:eastAsia="lt-LT"/>
        </w:rPr>
        <w:t>mento Nr. 883/2004 70 straipsnį (22</w:t>
      </w:r>
      <w:r w:rsidRPr="006451F4">
        <w:rPr>
          <w:rFonts w:asciiTheme="minorHAnsi" w:eastAsiaTheme="minorEastAsia" w:hAnsiTheme="minorHAnsi" w:cstheme="minorBidi"/>
          <w:lang w:eastAsia="lt-LT"/>
        </w:rPr>
        <w:t>–</w:t>
      </w:r>
      <w:r>
        <w:rPr>
          <w:rFonts w:asciiTheme="minorHAnsi" w:eastAsiaTheme="minorEastAsia" w:hAnsiTheme="minorHAnsi" w:cstheme="minorBidi"/>
          <w:lang w:eastAsia="lt-LT"/>
        </w:rPr>
        <w:t>24</w:t>
      </w:r>
      <w:r w:rsidRPr="006451F4">
        <w:rPr>
          <w:rFonts w:asciiTheme="minorHAnsi" w:eastAsiaTheme="minorEastAsia" w:hAnsiTheme="minorHAnsi" w:cstheme="minorBidi"/>
          <w:lang w:eastAsia="lt-LT"/>
        </w:rPr>
        <w:t xml:space="preserve"> punktai</w:t>
      </w:r>
      <w:r>
        <w:rPr>
          <w:rFonts w:asciiTheme="minorHAnsi" w:eastAsiaTheme="minorEastAsia" w:hAnsiTheme="minorHAnsi" w:cstheme="minorBidi"/>
          <w:lang w:eastAsia="lt-LT"/>
        </w:rPr>
        <w:t>)</w:t>
      </w:r>
      <w:r w:rsidRPr="006451F4">
        <w:rPr>
          <w:rFonts w:asciiTheme="minorHAnsi" w:eastAsiaTheme="minorEastAsia" w:hAnsiTheme="minorHAnsi" w:cstheme="minorBidi"/>
          <w:lang w:eastAsia="lt-LT"/>
        </w:rPr>
        <w:t>.</w:t>
      </w:r>
    </w:p>
    <w:p w:rsidR="00133FF5" w:rsidRDefault="00133FF5" w:rsidP="00C87E7D">
      <w:pPr>
        <w:ind w:firstLine="567"/>
        <w:rPr>
          <w:rFonts w:asciiTheme="minorHAnsi" w:eastAsia="Times New Roman" w:hAnsiTheme="minorHAnsi"/>
          <w:lang w:eastAsia="lt-LT"/>
        </w:rPr>
      </w:pPr>
      <w:r w:rsidRPr="003978FD">
        <w:rPr>
          <w:rFonts w:asciiTheme="minorHAnsi" w:eastAsiaTheme="minorEastAsia" w:hAnsiTheme="minorHAnsi" w:cstheme="minorBidi"/>
          <w:lang w:eastAsia="lt-LT"/>
        </w:rPr>
        <w:t xml:space="preserve"> </w:t>
      </w:r>
    </w:p>
    <w:p w:rsidR="00133FF5" w:rsidRDefault="00133FF5" w:rsidP="00C87E7D">
      <w:pPr>
        <w:pStyle w:val="Antrat3"/>
        <w:ind w:firstLine="567"/>
        <w:rPr>
          <w:rFonts w:eastAsia="Times New Roman"/>
          <w:b w:val="0"/>
          <w:lang w:eastAsia="lt-LT"/>
        </w:rPr>
      </w:pPr>
      <w:bookmarkStart w:id="61" w:name="_Toc512411055"/>
      <w:r w:rsidRPr="002D6130">
        <w:rPr>
          <w:rFonts w:eastAsia="Times New Roman"/>
          <w:lang w:eastAsia="lt-LT"/>
        </w:rPr>
        <w:t>Dėl nutraukusio veiklą savarankiškai dirbusio asmens teisės išsaugoti savarankiškai dirbančio asmens statusą</w:t>
      </w:r>
      <w:r>
        <w:rPr>
          <w:rFonts w:eastAsia="Times New Roman"/>
          <w:lang w:eastAsia="lt-LT"/>
        </w:rPr>
        <w:t xml:space="preserve"> </w:t>
      </w:r>
      <w:r w:rsidRPr="002D6130">
        <w:rPr>
          <w:rFonts w:eastAsia="Times New Roman"/>
          <w:lang w:eastAsia="lt-LT"/>
        </w:rPr>
        <w:t>Direktyvos 2004/38</w:t>
      </w:r>
      <w:r>
        <w:rPr>
          <w:rFonts w:eastAsia="Times New Roman"/>
          <w:lang w:eastAsia="lt-LT"/>
        </w:rPr>
        <w:t xml:space="preserve"> prasme</w:t>
      </w:r>
      <w:bookmarkEnd w:id="61"/>
    </w:p>
    <w:p w:rsidR="00133FF5" w:rsidRPr="002D6130" w:rsidRDefault="00133FF5" w:rsidP="00C87E7D">
      <w:pPr>
        <w:ind w:firstLine="567"/>
        <w:rPr>
          <w:rFonts w:asciiTheme="minorHAnsi" w:eastAsia="Times New Roman" w:hAnsiTheme="minorHAnsi"/>
          <w:b/>
          <w:lang w:eastAsia="lt-LT"/>
        </w:rPr>
      </w:pPr>
    </w:p>
    <w:p w:rsidR="00133FF5" w:rsidRPr="003978FD" w:rsidRDefault="00133FF5" w:rsidP="00C87E7D">
      <w:pPr>
        <w:shd w:val="clear" w:color="auto" w:fill="FFFFFF"/>
        <w:ind w:firstLine="567"/>
        <w:rPr>
          <w:rFonts w:asciiTheme="minorHAnsi" w:hAnsiTheme="minorHAnsi"/>
          <w:shd w:val="clear" w:color="auto" w:fill="FFFFFF"/>
        </w:rPr>
      </w:pPr>
      <w:r w:rsidRPr="003978FD">
        <w:rPr>
          <w:rFonts w:asciiTheme="minorHAnsi" w:hAnsiTheme="minorHAnsi"/>
          <w:shd w:val="clear" w:color="auto" w:fill="FFFFFF"/>
        </w:rPr>
        <w:t>Prašymą priimti prejudicinį sprendimą pateikęs teismas pirmuoju klausimu iš esmės siek</w:t>
      </w:r>
      <w:r>
        <w:rPr>
          <w:rFonts w:asciiTheme="minorHAnsi" w:hAnsiTheme="minorHAnsi"/>
          <w:shd w:val="clear" w:color="auto" w:fill="FFFFFF"/>
        </w:rPr>
        <w:t>ė</w:t>
      </w:r>
      <w:r w:rsidRPr="003978FD">
        <w:rPr>
          <w:rFonts w:asciiTheme="minorHAnsi" w:hAnsiTheme="minorHAnsi"/>
          <w:shd w:val="clear" w:color="auto" w:fill="FFFFFF"/>
        </w:rPr>
        <w:t xml:space="preserve"> išsiaiškinti, ar Direktyvos 2004/38 7 straipsnio 3 dalies b punktas turi būti aiškinamas taip, kad valstybės narės pilietis, kuris maždaug ketverius metus teisėtai gyveno ir kaip savarankiškai dirbantis asmuo vykdė veiklą kitoje valstybėje narėje, bet nutraukė šią veiklą dėl darbo nebuvimo, kurį lėmė nuo jo nepriklausančios priežastys, ir užsiregistravo kaip darbo ieškantis asmuo tos valstybės narės kompetentingoje užimtumo tarnyboje, </w:t>
      </w:r>
      <w:r w:rsidRPr="003978FD">
        <w:rPr>
          <w:rFonts w:asciiTheme="minorHAnsi" w:hAnsiTheme="minorHAnsi"/>
          <w:shd w:val="clear" w:color="auto" w:fill="FFFFFF"/>
        </w:rPr>
        <w:lastRenderedPageBreak/>
        <w:t>išsaugo savarankiškai dirbančio asmens statusą pagal šios direktyvos 7 straipsnio 1 dalies a punktą (26</w:t>
      </w:r>
      <w:r>
        <w:rPr>
          <w:rFonts w:asciiTheme="minorHAnsi" w:hAnsiTheme="minorHAnsi"/>
          <w:shd w:val="clear" w:color="auto" w:fill="FFFFFF"/>
        </w:rPr>
        <w:t> </w:t>
      </w:r>
      <w:r w:rsidRPr="003978FD">
        <w:rPr>
          <w:rFonts w:asciiTheme="minorHAnsi" w:hAnsiTheme="minorHAnsi"/>
          <w:shd w:val="clear" w:color="auto" w:fill="FFFFFF"/>
        </w:rPr>
        <w:t>punktas).</w:t>
      </w:r>
    </w:p>
    <w:p w:rsidR="00133FF5" w:rsidRDefault="00133FF5" w:rsidP="00C87E7D">
      <w:pPr>
        <w:ind w:firstLine="567"/>
        <w:rPr>
          <w:u w:val="single"/>
        </w:rPr>
      </w:pPr>
      <w:r w:rsidRPr="003978FD">
        <w:rPr>
          <w:rFonts w:asciiTheme="minorHAnsi" w:eastAsia="Times New Roman" w:hAnsiTheme="minorHAnsi"/>
          <w:lang w:eastAsia="lt-LT"/>
        </w:rPr>
        <w:t>Teisingumo Teismas nurodė, kad p</w:t>
      </w:r>
      <w:r w:rsidRPr="003978FD">
        <w:t xml:space="preserve">agal Direktyvos 2004/38 7 straipsnio 1 dalies a punktą teisę gyventi priimančiojoje valstybėje narėje ilgiau kaip tris mėnesius turi visi Sąjungos piliečiai, jei jie yra pagal darbo sutartį ar savarankiškai dirbantys asmenys toje valstybėje narėje. Šios direktyvos 7 straipsnio 3 dalyje nustatyta, </w:t>
      </w:r>
      <w:r>
        <w:t xml:space="preserve">kad, taikant šio straipsnio 1 </w:t>
      </w:r>
      <w:r w:rsidRPr="003978FD">
        <w:t>dalies a</w:t>
      </w:r>
      <w:r>
        <w:t xml:space="preserve"> </w:t>
      </w:r>
      <w:r w:rsidRPr="003978FD">
        <w:t xml:space="preserve">punktą, Sąjungos pilietis, kuris nebėra pagal darbo sutartį ar savarankiškai dirbantis asmuo, keturiais atvejais vis dėlto išlaiko pagal darbo sutartį ar savarankiškai dirbančio asmens statusą, o vienas iš tokių atvejų, nurodytas minėto 7 straipsnio 3 dalies b punkte, yra situacija, kai atitinkamas Sąjungos pilietis </w:t>
      </w:r>
      <w:r w:rsidRPr="003978FD">
        <w:rPr>
          <w:rFonts w:ascii="Times New Roman" w:hAnsi="Times New Roman"/>
        </w:rPr>
        <w:t>„</w:t>
      </w:r>
      <w:r w:rsidRPr="003978FD">
        <w:t>yra tinkamai užregistruotas bedarbis ne savo noru po to, kai išdirbo daugiau kaip vienus metus, ir yra užregistruotas kaip ieškantis darbo atitinkamoje užimtumo tarnyboje</w:t>
      </w:r>
      <w:r w:rsidRPr="003978FD">
        <w:rPr>
          <w:rFonts w:ascii="Times New Roman" w:hAnsi="Times New Roman"/>
        </w:rPr>
        <w:t>“</w:t>
      </w:r>
      <w:r w:rsidR="00113E89">
        <w:t xml:space="preserve"> (27–28 </w:t>
      </w:r>
      <w:r w:rsidRPr="003978FD">
        <w:t xml:space="preserve">punktai). </w:t>
      </w:r>
    </w:p>
    <w:p w:rsidR="00133FF5" w:rsidRPr="00974848" w:rsidRDefault="00133FF5" w:rsidP="00C87E7D">
      <w:pPr>
        <w:ind w:firstLine="567"/>
      </w:pPr>
      <w:r>
        <w:t>Teisingumo Teismas</w:t>
      </w:r>
      <w:r w:rsidRPr="003978FD">
        <w:t xml:space="preserve"> pažymė</w:t>
      </w:r>
      <w:r>
        <w:t>jo</w:t>
      </w:r>
      <w:r w:rsidRPr="003978FD">
        <w:t xml:space="preserve">, kad, kaip numatyta jos 1 straipsnyje, šioje direktyvoje nustatytos, be kita ko, naudojimosi Sąjungos piliečių ir jų šeimos narių laisvo judėjimo ir gyvenimo valstybių narių teritorijoje teise sąlygos. Šiuo tikslu šios direktyvos 7 straipsnio 1 dalyje atskiriama, be kita ko, ekonomiškai aktyvių piliečių ir ekonomiškai neaktyvių piliečių bei studentų padėtis. Tačiau šioje nuostatoje, kiek tai susiję su minėta pirmąja piliečių kategorija, nedaroma skirtumo tarp tų, kurie priimančiojoje valstybėje narėje </w:t>
      </w:r>
      <w:r w:rsidRPr="00974848">
        <w:t>dirba pagal darbo sutartį, ir tų, kurie joje dirba savarankiškai. Taigi</w:t>
      </w:r>
      <w:r w:rsidRPr="00974848">
        <w:rPr>
          <w:u w:val="single"/>
        </w:rPr>
        <w:t xml:space="preserve"> pagal Direktyvos 2004/38 7 straipsnio 1 dalies a punktą teisė gyventi šalyje suteikiama visiems Sąjungos piliečiams, kurie yra </w:t>
      </w:r>
      <w:r w:rsidRPr="00974848">
        <w:rPr>
          <w:rFonts w:ascii="Times New Roman" w:hAnsi="Times New Roman"/>
          <w:u w:val="single"/>
        </w:rPr>
        <w:t>„</w:t>
      </w:r>
      <w:r w:rsidRPr="00974848">
        <w:rPr>
          <w:u w:val="single"/>
        </w:rPr>
        <w:t>pagal darbo sutartį ar savarankiškai dirbantys asmenys</w:t>
      </w:r>
      <w:r w:rsidRPr="00974848">
        <w:rPr>
          <w:rFonts w:ascii="Times New Roman" w:hAnsi="Times New Roman"/>
          <w:u w:val="single"/>
        </w:rPr>
        <w:t>“</w:t>
      </w:r>
      <w:r w:rsidRPr="00974848">
        <w:rPr>
          <w:u w:val="single"/>
        </w:rPr>
        <w:t xml:space="preserve">. Tuo pačiu aspektu šios direktyvos 7 straipsnio 3 dalies pirmame sakinyje minimi Sąjungos piliečiai, kurie, nors ir nebėra </w:t>
      </w:r>
      <w:r w:rsidRPr="00974848">
        <w:rPr>
          <w:rFonts w:ascii="Times New Roman" w:hAnsi="Times New Roman"/>
          <w:u w:val="single"/>
        </w:rPr>
        <w:t>„</w:t>
      </w:r>
      <w:r w:rsidRPr="00974848">
        <w:rPr>
          <w:u w:val="single"/>
        </w:rPr>
        <w:t>pagal darbo sutartį ar savarankiškai dirbantys asmenys</w:t>
      </w:r>
      <w:r w:rsidRPr="00974848">
        <w:rPr>
          <w:rFonts w:ascii="Times New Roman" w:hAnsi="Times New Roman"/>
          <w:u w:val="single"/>
        </w:rPr>
        <w:t>“</w:t>
      </w:r>
      <w:r w:rsidRPr="00974848">
        <w:rPr>
          <w:u w:val="single"/>
        </w:rPr>
        <w:t xml:space="preserve">, taikant pirma minėtą nuostatą išlaiko </w:t>
      </w:r>
      <w:r w:rsidRPr="00974848">
        <w:rPr>
          <w:rFonts w:ascii="Times New Roman" w:hAnsi="Times New Roman"/>
          <w:u w:val="single"/>
        </w:rPr>
        <w:t>„</w:t>
      </w:r>
      <w:r w:rsidRPr="00974848">
        <w:rPr>
          <w:u w:val="single"/>
        </w:rPr>
        <w:t>pagal darbo sutartį ar savarankiškai dirbančio asmens</w:t>
      </w:r>
      <w:r w:rsidRPr="00974848">
        <w:rPr>
          <w:rFonts w:ascii="Times New Roman" w:hAnsi="Times New Roman"/>
          <w:u w:val="single"/>
        </w:rPr>
        <w:t>“</w:t>
      </w:r>
      <w:r w:rsidRPr="00974848">
        <w:rPr>
          <w:u w:val="single"/>
        </w:rPr>
        <w:t xml:space="preserve"> statusą. Kadangi, remiantis 7 straipsnio 3 dalies b punkto tekstu negalima daryti išvados, kad šis punktas apima tik asmenų, nutraukusių darbą pagal darbo sutartį, o ne asmenų, nutraukusių veiklą kaip savarankiškai dirbantys asmenys, situaciją, atsižvelgiant į Direktyvos 2004/38 bendrą struktūrą ir į minėtos nuostatos pirmą sakinį bei šios direktyvos 7 straipsnio 3 dalies a punktą, minėtas b punktas turi būti suprantamas kaip taikomas šioms abiem asmenų kategorijoms</w:t>
      </w:r>
      <w:r w:rsidR="00B34191">
        <w:t xml:space="preserve"> (35–</w:t>
      </w:r>
      <w:r w:rsidRPr="00974848">
        <w:t>38 punktai).</w:t>
      </w:r>
    </w:p>
    <w:p w:rsidR="00133FF5" w:rsidRDefault="00133FF5" w:rsidP="00C87E7D">
      <w:pPr>
        <w:ind w:firstLine="567"/>
        <w:rPr>
          <w:rFonts w:asciiTheme="minorHAnsi" w:eastAsia="Times New Roman" w:hAnsiTheme="minorHAnsi"/>
          <w:lang w:eastAsia="lt-LT"/>
        </w:rPr>
      </w:pPr>
      <w:r w:rsidRPr="00974848">
        <w:rPr>
          <w:rFonts w:asciiTheme="minorHAnsi" w:eastAsiaTheme="minorEastAsia" w:hAnsiTheme="minorHAnsi" w:cstheme="minorBidi"/>
          <w:lang w:eastAsia="lt-LT"/>
        </w:rPr>
        <w:t>K</w:t>
      </w:r>
      <w:r w:rsidRPr="00974848">
        <w:t xml:space="preserve">aip ir pagal darbo sutartį dirbantis asmuo, kuris gali prarasti darbą ne savo noru, be kita ko, dėl atleidimo iš darbo, taip ir savarankiškai dirbantis asmuo gali būti priverstas nutraukti veiklą. Šis asmuo gali tapti pažeidžiamas, taigi jo situacija gali būti panaši į atleisto pagal darbo sutartį dirbančio asmens situaciją. Tokiomis aplinkybėmis būtų nepateisinama nesuteikti tokiam asmeniui tos pačios apsaugos, kokia naudojasi veiklą nutraukęs pagal darbo sutartį dirbantis asmuo, kiek tai susiję su teisės gyventi šalyje išlaikymu. Toks skirtingas požiūris nepateisinamas ir dėl to, kad asmuo, daugiau kaip vienus metus vykdęs veiklą kaip savarankiškai dirbantis asmuo priimančiojoje valstybėje narėje ir prisidėjęs prie šios valstybės narės socialinės ir mokesčių sistemos mokėdamas mokesčius ir kitas rinkliavas nuo savo pajamų, vertinamas taip pat kaip asmuo, pirmą kartą ieškantis darbo toje valstybėje narėje, niekada joje nevykdęs ekonominės veiklos ir niekada nemokėjęs mokesčių ir įmokų į šią sistemą </w:t>
      </w:r>
      <w:r w:rsidRPr="003978FD">
        <w:t>(4</w:t>
      </w:r>
      <w:r>
        <w:t>3</w:t>
      </w:r>
      <w:r w:rsidR="009E0ADD">
        <w:t>–</w:t>
      </w:r>
      <w:r w:rsidRPr="003978FD">
        <w:t>44 punktai).</w:t>
      </w:r>
    </w:p>
    <w:p w:rsidR="00133FF5" w:rsidRPr="003978FD" w:rsidRDefault="00133FF5" w:rsidP="00C87E7D">
      <w:pPr>
        <w:ind w:firstLine="567"/>
        <w:rPr>
          <w:rFonts w:asciiTheme="minorHAnsi" w:eastAsia="Times New Roman" w:hAnsiTheme="minorHAnsi"/>
          <w:lang w:eastAsia="lt-LT"/>
        </w:rPr>
      </w:pPr>
      <w:r>
        <w:rPr>
          <w:rFonts w:asciiTheme="minorHAnsi" w:eastAsia="Times New Roman" w:hAnsiTheme="minorHAnsi"/>
          <w:lang w:eastAsia="lt-LT"/>
        </w:rPr>
        <w:t xml:space="preserve">Remdamasis tokiais argumentais Teisingumo Teismas </w:t>
      </w:r>
      <w:r w:rsidRPr="00974848">
        <w:rPr>
          <w:rFonts w:asciiTheme="minorHAnsi" w:eastAsia="Times New Roman" w:hAnsiTheme="minorHAnsi"/>
          <w:lang w:eastAsia="lt-LT"/>
        </w:rPr>
        <w:t>dar</w:t>
      </w:r>
      <w:r>
        <w:rPr>
          <w:rFonts w:asciiTheme="minorHAnsi" w:eastAsia="Times New Roman" w:hAnsiTheme="minorHAnsi"/>
          <w:lang w:eastAsia="lt-LT"/>
        </w:rPr>
        <w:t>ė</w:t>
      </w:r>
      <w:r w:rsidRPr="00974848">
        <w:rPr>
          <w:rFonts w:asciiTheme="minorHAnsi" w:eastAsia="Times New Roman" w:hAnsiTheme="minorHAnsi"/>
          <w:lang w:eastAsia="lt-LT"/>
        </w:rPr>
        <w:t xml:space="preserve"> išvad</w:t>
      </w:r>
      <w:r>
        <w:rPr>
          <w:rFonts w:asciiTheme="minorHAnsi" w:eastAsia="Times New Roman" w:hAnsiTheme="minorHAnsi"/>
          <w:lang w:eastAsia="lt-LT"/>
        </w:rPr>
        <w:t>ą</w:t>
      </w:r>
      <w:r w:rsidRPr="00974848">
        <w:rPr>
          <w:rFonts w:asciiTheme="minorHAnsi" w:eastAsia="Times New Roman" w:hAnsiTheme="minorHAnsi"/>
          <w:lang w:eastAsia="lt-LT"/>
        </w:rPr>
        <w:t xml:space="preserve">, kad </w:t>
      </w:r>
      <w:r w:rsidRPr="00974848">
        <w:rPr>
          <w:rFonts w:asciiTheme="minorHAnsi" w:eastAsia="Times New Roman" w:hAnsiTheme="minorHAnsi"/>
          <w:u w:val="single"/>
          <w:lang w:eastAsia="lt-LT"/>
        </w:rPr>
        <w:t>asmuo, kuris daugiau kaip vienus metus vykdė veiklą kaip savarankiškai dirbantis asmuo ir ją nutraukė dėl darbo nebuvimo, kurį lėmė nuo jo nepriklausančios priežastys, gali naudotis pagal Direktyvos 2004/38 7 straipsnio 3 dalies b punktą suteikiama apsauga kaip ir asmuo, ne savo noru praradęs darbą pagal darbo sutartį po to, kai išdirbo tokį patį laikotarpį. Kaip numatyta šioje nuostatoje, veiklos nutraukimas turi būti tinkamai konstatuotas</w:t>
      </w:r>
      <w:r>
        <w:rPr>
          <w:rFonts w:asciiTheme="minorHAnsi" w:eastAsia="Times New Roman" w:hAnsiTheme="minorHAnsi"/>
          <w:u w:val="single"/>
          <w:lang w:eastAsia="lt-LT"/>
        </w:rPr>
        <w:t xml:space="preserve"> (45 punktas)</w:t>
      </w:r>
      <w:r w:rsidRPr="00974848">
        <w:rPr>
          <w:rFonts w:asciiTheme="minorHAnsi" w:eastAsia="Times New Roman" w:hAnsiTheme="minorHAnsi"/>
          <w:lang w:eastAsia="lt-LT"/>
        </w:rPr>
        <w:t>.</w:t>
      </w:r>
    </w:p>
    <w:p w:rsidR="00133FF5" w:rsidRDefault="00133FF5" w:rsidP="00C87E7D">
      <w:pPr>
        <w:shd w:val="clear" w:color="auto" w:fill="FFFFFF"/>
        <w:ind w:firstLine="567"/>
      </w:pPr>
      <w:r w:rsidRPr="003978FD">
        <w:rPr>
          <w:rFonts w:asciiTheme="minorHAnsi" w:eastAsia="Times New Roman" w:hAnsiTheme="minorHAnsi"/>
          <w:lang w:eastAsia="lt-LT"/>
        </w:rPr>
        <w:t xml:space="preserve">Teisingumo Teismas, atsižvelgęs į </w:t>
      </w:r>
      <w:r w:rsidR="0018082B">
        <w:rPr>
          <w:rFonts w:asciiTheme="minorHAnsi" w:eastAsia="Times New Roman" w:hAnsiTheme="minorHAnsi"/>
          <w:lang w:eastAsia="lt-LT"/>
        </w:rPr>
        <w:t xml:space="preserve">pirmojo klausimo </w:t>
      </w:r>
      <w:r>
        <w:rPr>
          <w:rFonts w:asciiTheme="minorHAnsi" w:eastAsia="Times New Roman" w:hAnsiTheme="minorHAnsi"/>
          <w:lang w:eastAsia="lt-LT"/>
        </w:rPr>
        <w:t>atsakymą</w:t>
      </w:r>
      <w:r w:rsidRPr="003978FD">
        <w:rPr>
          <w:rFonts w:asciiTheme="minorHAnsi" w:eastAsia="Times New Roman" w:hAnsiTheme="minorHAnsi"/>
          <w:lang w:eastAsia="lt-LT"/>
        </w:rPr>
        <w:t xml:space="preserve">, nusprendė, kad </w:t>
      </w:r>
      <w:r w:rsidRPr="003978FD">
        <w:t>į antrąjį ir trečiąjį prejudicinius klausimus atsakyti nereikia.</w:t>
      </w:r>
    </w:p>
    <w:p w:rsidR="00133FF5" w:rsidRDefault="00133FF5" w:rsidP="00C87E7D">
      <w:pPr>
        <w:shd w:val="clear" w:color="auto" w:fill="FFFFFF"/>
        <w:ind w:firstLine="567"/>
      </w:pPr>
    </w:p>
    <w:p w:rsidR="00133FF5" w:rsidRPr="003978FD" w:rsidRDefault="00133FF5" w:rsidP="00C87E7D">
      <w:pPr>
        <w:shd w:val="clear" w:color="auto" w:fill="FFFFFF"/>
        <w:ind w:firstLine="567"/>
        <w:rPr>
          <w:rFonts w:asciiTheme="minorHAnsi" w:hAnsiTheme="minorHAnsi"/>
          <w:b/>
        </w:rPr>
      </w:pPr>
      <w:r w:rsidRPr="003978FD">
        <w:rPr>
          <w:rFonts w:asciiTheme="minorHAnsi" w:hAnsiTheme="minorHAnsi"/>
          <w:b/>
        </w:rPr>
        <w:t>Remdamasis šiais motyvais, Teisingumo Teismas (penktoji kolegija) nusprendė:</w:t>
      </w:r>
    </w:p>
    <w:p w:rsidR="00133FF5" w:rsidRPr="003978FD" w:rsidRDefault="00133FF5" w:rsidP="00C87E7D">
      <w:pPr>
        <w:ind w:firstLine="567"/>
        <w:rPr>
          <w:rFonts w:asciiTheme="minorHAnsi" w:hAnsiTheme="minorHAnsi"/>
          <w:b/>
          <w:u w:val="single"/>
        </w:rPr>
      </w:pPr>
    </w:p>
    <w:p w:rsidR="00133FF5" w:rsidRPr="003978FD" w:rsidRDefault="00133FF5" w:rsidP="00C87E7D">
      <w:pPr>
        <w:ind w:firstLine="567"/>
        <w:rPr>
          <w:rFonts w:asciiTheme="minorHAnsi" w:eastAsia="Times New Roman" w:hAnsiTheme="minorHAnsi"/>
          <w:bCs/>
          <w:lang w:eastAsia="lt-LT"/>
        </w:rPr>
      </w:pPr>
      <w:r w:rsidRPr="003978FD">
        <w:rPr>
          <w:rFonts w:asciiTheme="minorHAnsi" w:eastAsia="Times New Roman" w:hAnsiTheme="minorHAnsi"/>
          <w:bCs/>
          <w:lang w:eastAsia="lt-LT"/>
        </w:rPr>
        <w:t>2004 m. balandžio 29 d. Europos Parlamento ir Tarybos direktyvos 2004/38/EB dėl Sąjungos piliečių ir jų šeimos narių teisės laisvai judėti ir gyventi valstybių narių teritorijoje 7 straipsnio 3 dalies b punktas turi būti aiškinamas taip, kad valstybės narės pilietis, kuris maždaug ketverius metus teisėtai gyveno ir kaip savarankiškai dirbantis asmuo vykdė veiklą kitoje valstybėje narėje, bet nutraukė šią veiklą dėl tinkamai konstatuoto darbo nebuvimo, kurį lėmė nuo jo nepriklausančios priežastys, ir užsiregistravo kaip darbo ieškantis asmuo tos valstybės narės kompetentingoje užimtumo tarnyboje, išsaugo savarankiškai dirbančio asmens statusą pagal šios direktyvos 7 straipsnio 1 dalies a punktą.</w:t>
      </w:r>
    </w:p>
    <w:p w:rsidR="00133FF5" w:rsidRPr="00350827" w:rsidRDefault="00A87A78" w:rsidP="00C87E7D">
      <w:pPr>
        <w:ind w:firstLine="567"/>
      </w:pPr>
      <w:hyperlink r:id="rId21" w:history="1">
        <w:r w:rsidR="00133FF5" w:rsidRPr="003978FD">
          <w:rPr>
            <w:rStyle w:val="Hipersaitas"/>
          </w:rPr>
          <w:t>Prieiga internete</w:t>
        </w:r>
      </w:hyperlink>
    </w:p>
    <w:p w:rsidR="00A336BB" w:rsidRPr="008C2FAD" w:rsidRDefault="005726E6" w:rsidP="00A336BB">
      <w:pPr>
        <w:pStyle w:val="Antrat1"/>
        <w:rPr>
          <w:rFonts w:eastAsia="Times New Roman"/>
          <w:bCs/>
          <w:color w:val="17365D"/>
          <w:kern w:val="32"/>
          <w:lang w:eastAsia="lt-LT"/>
        </w:rPr>
      </w:pPr>
      <w:bookmarkStart w:id="62" w:name="_Toc512411056"/>
      <w:bookmarkEnd w:id="50"/>
      <w:bookmarkEnd w:id="51"/>
      <w:r w:rsidRPr="00855CDE">
        <w:rPr>
          <w:rFonts w:eastAsia="Times New Roman"/>
          <w:bCs/>
          <w:color w:val="17365D"/>
          <w:kern w:val="32"/>
          <w:lang w:eastAsia="lt-LT"/>
        </w:rPr>
        <w:lastRenderedPageBreak/>
        <w:t>VAIRUOTOJO PAŽYMĖJIM</w:t>
      </w:r>
      <w:r w:rsidR="005B7A97" w:rsidRPr="00855CDE">
        <w:rPr>
          <w:rFonts w:eastAsia="Times New Roman"/>
          <w:bCs/>
          <w:color w:val="17365D"/>
          <w:kern w:val="32"/>
          <w:lang w:eastAsia="lt-LT"/>
        </w:rPr>
        <w:t>O PRIPAŽINIMAS</w:t>
      </w:r>
      <w:bookmarkEnd w:id="62"/>
    </w:p>
    <w:p w:rsidR="00A336BB" w:rsidRDefault="00A336BB" w:rsidP="00C87E7D">
      <w:pPr>
        <w:ind w:firstLine="567"/>
      </w:pPr>
    </w:p>
    <w:p w:rsidR="00A336BB" w:rsidRPr="00345EAF" w:rsidRDefault="00A336BB" w:rsidP="00345EAF">
      <w:pPr>
        <w:pStyle w:val="Antrat2"/>
        <w:rPr>
          <w:bCs w:val="0"/>
          <w:iCs w:val="0"/>
        </w:rPr>
      </w:pPr>
      <w:bookmarkStart w:id="63" w:name="_Toc512411057"/>
      <w:r w:rsidRPr="00345EAF">
        <w:rPr>
          <w:bCs w:val="0"/>
          <w:iCs w:val="0"/>
        </w:rPr>
        <w:t>2017 m. spalio 26 d. prejudicinis sprendimas byloje C-195/16</w:t>
      </w:r>
      <w:bookmarkEnd w:id="63"/>
    </w:p>
    <w:p w:rsidR="00A336BB" w:rsidRPr="00D65A51" w:rsidRDefault="00A336BB" w:rsidP="00A336BB">
      <w:pPr>
        <w:jc w:val="center"/>
        <w:rPr>
          <w:rFonts w:asciiTheme="minorHAnsi" w:eastAsia="Times New Roman" w:hAnsiTheme="minorHAnsi"/>
          <w:b/>
          <w:bCs/>
          <w:i/>
          <w:iCs/>
          <w:szCs w:val="24"/>
          <w:lang w:eastAsia="lt-LT"/>
        </w:rPr>
      </w:pPr>
      <w:r w:rsidRPr="00D65A51">
        <w:rPr>
          <w:rFonts w:asciiTheme="minorHAnsi" w:eastAsia="Times New Roman" w:hAnsiTheme="minorHAnsi"/>
          <w:b/>
          <w:bCs/>
          <w:i/>
          <w:iCs/>
          <w:szCs w:val="24"/>
          <w:lang w:eastAsia="lt-LT"/>
        </w:rPr>
        <w:t>baudžiamojoje byloje prieš I.</w:t>
      </w:r>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Prašymas priimti prejudicinį sprendimą pateiktas dėl</w:t>
      </w:r>
      <w:r>
        <w:rPr>
          <w:rFonts w:eastAsia="Times New Roman"/>
          <w:shd w:val="clear" w:color="auto" w:fill="FFFFFF"/>
          <w:lang w:eastAsia="lt-LT"/>
        </w:rPr>
        <w:t xml:space="preserve"> Sutarties dėl Europos Sąjungos veikimo (toliau – ir SESV)</w:t>
      </w:r>
      <w:r w:rsidRPr="000A7F4A">
        <w:rPr>
          <w:rFonts w:asciiTheme="minorHAnsi" w:eastAsia="Times New Roman" w:hAnsiTheme="minorHAnsi"/>
          <w:shd w:val="clear" w:color="auto" w:fill="FFFFFF"/>
          <w:lang w:eastAsia="lt-LT"/>
        </w:rPr>
        <w:t xml:space="preserve"> 18, 21, 45, 49 ir 56 straipsnių bei 2006 m. gruodžio 20 d. Europos Parlamento ir Tarybos direktyvos 2006/126/EB dėl vairuotojo pažymėjimų (toliau – </w:t>
      </w:r>
      <w:r>
        <w:rPr>
          <w:rFonts w:eastAsia="Times New Roman"/>
          <w:shd w:val="clear" w:color="auto" w:fill="FFFFFF"/>
          <w:lang w:eastAsia="lt-LT"/>
        </w:rPr>
        <w:t xml:space="preserve">ir </w:t>
      </w:r>
      <w:r w:rsidRPr="000A7F4A">
        <w:rPr>
          <w:rFonts w:asciiTheme="minorHAnsi" w:eastAsia="Times New Roman" w:hAnsiTheme="minorHAnsi"/>
          <w:shd w:val="clear" w:color="auto" w:fill="FFFFFF"/>
          <w:lang w:eastAsia="lt-LT"/>
        </w:rPr>
        <w:t>Direktyva 2006/126) (OL L 403, 2006, p. 18) 2 straipsnio išaiškinimo. Šis prašymas pateiktas nagrinėjant baudžiamąją bylą, iškeltą Prancūzijoje gyvenančiam I., už tai, kad šis Vokietijos teritorijoje vairavo transporto priemonę neturėdamas teisės vairuoti (1 ir 2 punktai).</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 xml:space="preserve">Pagrindinėje byloje nustatyta, kad Prancūzijoje gyvenantis I. 2015 m. gegužės 15 d. buvo sustabdytas Kėlio komunoje (Vokietija), kai vairavo B kategorijos transporto priemonę viešajame kelyje. Jis turėjo galiojančią asmens tapatybės kortelę ir pažymą apie teisės vairuoti nagrinėjimą (toliau – ir PTVN) – laikiną dokumentą, kuris išduodamas visiems kandidatams, Prancūzijoje išlaikiusiems teorinius ir praktinius vairavimo egzaminus B kategorijos vairuotojo pažymėjimui gauti, ir kurį policija pagal Prancūzijos teisės aktus turi traktuoti kaip leidimą vairuoti nacionalinėje teritorijoje keturis mėnesius nuo praktinio egzamino dienos. I. sustabdymo dieną Prancūzijos valdžios institucijos dar nebuvo jam išdavusios galutinio vairuotojo pažymėjimo (18 punktas). </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Manydama, kad atsižvelgiant į tai, jog PTVN galioja tik Prancūzijos teritorijoje, taigi I. neturėjo teisės vairuoti užsienyje, Staatsanwaltschaft Offenburg (Ofenburgo prokuratūra, Vokietija) kreipėsi į Amtsgericht Kehl (Kėlio apylinkės teismas, Vokietija) su prašymu priimti baudžiamąjį įsakymą skirti I. baudą už vairavimą neturint teisės vairuoti. Šis teismas bylos nagrinėjimą sustabdė ir kreipėsi į Teisingumo Teismą, prašydamas priimti prejudicinį sprendimą (19 punktas).</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 xml:space="preserve">Teismas pažymėjo, kad pagrindinėje byloje jis turi įvertinti, ar įvykdytos nusižengimo – vairavimo neturint teisės vairuoti – materialinės sąlygos, ar už nusižengimą turėtų būti taikoma baudžiamoji ar administracinė atsakomybė, o gal I. turėjo teisę vairuoti transporto priemonę Vokietijoje (20 punktas). </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Pagal Prancūzijos teisę nuo to momento, kai I. buvo išduotas PTVN, jis turėjo teisę viešuosiuose keliuose vairuoti B. kategorijos motorines transporto priemones. Iki tol, kol suinteresuotajam asmeniui 2015</w:t>
      </w:r>
      <w:r w:rsidR="00D42E9B">
        <w:rPr>
          <w:rFonts w:asciiTheme="minorHAnsi" w:eastAsia="Times New Roman" w:hAnsiTheme="minorHAnsi"/>
          <w:shd w:val="clear" w:color="auto" w:fill="FFFFFF"/>
          <w:lang w:eastAsia="lt-LT"/>
        </w:rPr>
        <w:t> </w:t>
      </w:r>
      <w:r w:rsidRPr="000A7F4A">
        <w:rPr>
          <w:rFonts w:asciiTheme="minorHAnsi" w:eastAsia="Times New Roman" w:hAnsiTheme="minorHAnsi"/>
          <w:shd w:val="clear" w:color="auto" w:fill="FFFFFF"/>
          <w:lang w:eastAsia="lt-LT"/>
        </w:rPr>
        <w:t xml:space="preserve">m. liepos 9 d. buvo išduotas galutinis vairuotojo pažymėjimas, jis galėjo įrodyti savo teisę vairuoti Prancūzijos teritorijoje, pateikdamas PTVN ir asmens tapatybę patvirtinantį dokumentą. Išduodant PTVN suteikiama teisė vairuoti atitinkamos kategorijos motorinę transporto priemonę ir nėra nustatyta, kad ši teisė galioja tik Prancūzijos teritorijoje. Transporto priemonės vairavimas neturint teisės vairuoti laikomas baudžiamuoju nusižengimu, užtraukiančiu baudžiamąją atsakomybę, o transporto priemonės vairavimas neturint vairuotojo pažymėjimo laikomas nusižengimu, už kurį gresia administracinė nuobauda </w:t>
      </w:r>
      <w:r>
        <w:rPr>
          <w:rFonts w:eastAsia="Times New Roman"/>
          <w:shd w:val="clear" w:color="auto" w:fill="FFFFFF"/>
          <w:lang w:eastAsia="lt-LT"/>
        </w:rPr>
        <w:t>(21–23 </w:t>
      </w:r>
      <w:r w:rsidRPr="000A7F4A">
        <w:rPr>
          <w:rFonts w:asciiTheme="minorHAnsi" w:eastAsia="Times New Roman" w:hAnsiTheme="minorHAnsi"/>
          <w:shd w:val="clear" w:color="auto" w:fill="FFFFFF"/>
          <w:lang w:eastAsia="lt-LT"/>
        </w:rPr>
        <w:t xml:space="preserve">punktai). </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 xml:space="preserve">Prancūzijos teisės aktuose nustatyta, kad PTVN, kaip teisę suteikiantis dokumentas, galioja keturis mėnesius, paprastai per tą laiką išduodamas galutinis vairuotojo pažymėjimas. Gavęs PTVN, kandidatas, norėdamas gauti B kategorijos vairuotojo pažymėjimą, turi tik nustatyta tvarka pateikti prašymą. Vairuotojo pažymėjimas tuomet išduodamas beveik automatiškai. Kandidatas neturi jokios įtakos tam, kiek laiko užtrunka vairuotojo pažymėjimo išdavimas. Jeigu kandidatas per keturis mėnesius galutinio vairuotojo pažymėjimo negauna, PTVN netenka savo, kaip teisę suteikiančio dokumento, statuso, tačiau teisė vairuoti neišnyksta </w:t>
      </w:r>
      <w:r>
        <w:rPr>
          <w:rFonts w:eastAsia="Times New Roman"/>
          <w:shd w:val="clear" w:color="auto" w:fill="FFFFFF"/>
          <w:lang w:eastAsia="lt-LT"/>
        </w:rPr>
        <w:t>(24–</w:t>
      </w:r>
      <w:r w:rsidRPr="000A7F4A">
        <w:rPr>
          <w:rFonts w:asciiTheme="minorHAnsi" w:eastAsia="Times New Roman" w:hAnsiTheme="minorHAnsi"/>
          <w:shd w:val="clear" w:color="auto" w:fill="FFFFFF"/>
          <w:lang w:eastAsia="lt-LT"/>
        </w:rPr>
        <w:t>25 punktai).</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 xml:space="preserve">Prejudicinį sprendimą priimti paprašęs teismas savo klausimais iš esmės siekė išsiaiškinti, ar Direktyvos 2006/126 2 straipsnis turi būti aiškinamas taip, kad pagal jį valstybės narės įpareigojamos pripažinti teisę vairuoti tik tuomet, kai išduodamas galutinis vairuotojo pažymėjimas, kaip teisę suteikiantis dokumentas, o gal pareiga pripažinti taikoma pačiai teisei vairuoti, neatsižvelgiant į tai, ar kompetentinga institucija yra išdavusi galutinį vairuotojo pažymėjimą; ar prieštarauja Direktyvai 2006/126 tai, jog valstybė narė skiria baudžiamąją ar administracinę nuobaudą asmeniui, kuris </w:t>
      </w:r>
      <w:r w:rsidRPr="000A7F4A">
        <w:rPr>
          <w:rFonts w:asciiTheme="minorHAnsi" w:eastAsia="Times New Roman" w:hAnsiTheme="minorHAnsi"/>
          <w:shd w:val="clear" w:color="auto" w:fill="FFFFFF"/>
        </w:rPr>
        <w:t xml:space="preserve">nors ir atitinka šioje direktyvoje numatytas vairuotojo pažymėjimo išdavimo sąlygas, tačiau </w:t>
      </w:r>
      <w:r w:rsidRPr="000A7F4A">
        <w:rPr>
          <w:rFonts w:asciiTheme="minorHAnsi" w:eastAsia="Times New Roman" w:hAnsiTheme="minorHAnsi"/>
          <w:shd w:val="clear" w:color="auto" w:fill="FFFFFF"/>
          <w:lang w:eastAsia="lt-LT"/>
        </w:rPr>
        <w:t>savo teisę vairuoti, įgytą kitoje valstybėje narėje, gali įrodyti pateikdamas tik joje išduotą laikiną pažymą (30, 64 punktai).</w:t>
      </w:r>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345EAF" w:rsidRDefault="00A336BB" w:rsidP="00345EAF">
      <w:pPr>
        <w:pStyle w:val="Antrat3"/>
        <w:ind w:firstLine="567"/>
        <w:rPr>
          <w:rFonts w:eastAsia="Times New Roman"/>
          <w:shd w:val="clear" w:color="auto" w:fill="FFFFFF"/>
          <w:lang w:eastAsia="lt-LT"/>
        </w:rPr>
      </w:pPr>
      <w:bookmarkStart w:id="64" w:name="_Toc512411058"/>
      <w:r w:rsidRPr="00345EAF">
        <w:rPr>
          <w:rFonts w:eastAsia="Times New Roman"/>
          <w:shd w:val="clear" w:color="auto" w:fill="FFFFFF"/>
          <w:lang w:eastAsia="lt-LT"/>
        </w:rPr>
        <w:t>Dėl Direktyvos 2006/126 nuostatos „valstybių narių išduodami vairuotojo pažymėjimai yra tarpusavyje pripažįstami“ reikšmės</w:t>
      </w:r>
      <w:bookmarkEnd w:id="64"/>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lastRenderedPageBreak/>
        <w:t>Teisingumo Teismas pažymėjo, kad aiškinant Sąjungos teisės nuostatą, reikia atsižvelgti ne tik į jos formuluotę, bet ir į kontekstą bei teisės akto, kuriame ji įtvirtinta, tikslus (32 punktas). Pagal Direktyvos 2006/126 2 straipsnio 1 dalį „valstybių narių išduodami vairuotojo pažymėjimai yra tarpusavyje pripažįstami“. Remiantis Teisingumo Teismo suformuota jurisprudencija, nurodyt</w:t>
      </w:r>
      <w:r>
        <w:rPr>
          <w:rFonts w:eastAsia="Times New Roman"/>
          <w:shd w:val="clear" w:color="auto" w:fill="FFFFFF"/>
          <w:lang w:eastAsia="lt-LT"/>
        </w:rPr>
        <w:t>oje Direktyvos 2006/126 nuostatoje</w:t>
      </w:r>
      <w:r w:rsidRPr="000A7F4A">
        <w:rPr>
          <w:rFonts w:asciiTheme="minorHAnsi" w:eastAsia="Times New Roman" w:hAnsiTheme="minorHAnsi"/>
          <w:shd w:val="clear" w:color="auto" w:fill="FFFFFF"/>
          <w:lang w:eastAsia="lt-LT"/>
        </w:rPr>
        <w:t xml:space="preserve"> nustatytas valstybių narių išduotų vairuotojo pažymėjimų tarpusavio pripažinimas, netaikant jokių formalumų (žr. 2012 m. balandžio 26 d. </w:t>
      </w:r>
      <w:r>
        <w:rPr>
          <w:rFonts w:eastAsia="Times New Roman"/>
          <w:shd w:val="clear" w:color="auto" w:fill="FFFFFF"/>
          <w:lang w:eastAsia="lt-LT"/>
        </w:rPr>
        <w:t>s</w:t>
      </w:r>
      <w:r w:rsidRPr="000A7F4A">
        <w:rPr>
          <w:rFonts w:asciiTheme="minorHAnsi" w:eastAsia="Times New Roman" w:hAnsiTheme="minorHAnsi"/>
          <w:shd w:val="clear" w:color="auto" w:fill="FFFFFF"/>
          <w:lang w:eastAsia="lt-LT"/>
        </w:rPr>
        <w:t xml:space="preserve">prendimo </w:t>
      </w:r>
      <w:r w:rsidRPr="00B3197F">
        <w:rPr>
          <w:rFonts w:asciiTheme="minorHAnsi" w:eastAsia="Times New Roman" w:hAnsiTheme="minorHAnsi"/>
          <w:i/>
          <w:shd w:val="clear" w:color="auto" w:fill="FFFFFF"/>
          <w:lang w:eastAsia="lt-LT"/>
        </w:rPr>
        <w:t>Hofmann</w:t>
      </w:r>
      <w:r w:rsidRPr="000A7F4A">
        <w:rPr>
          <w:rFonts w:asciiTheme="minorHAnsi" w:eastAsia="Times New Roman" w:hAnsiTheme="minorHAnsi"/>
          <w:shd w:val="clear" w:color="auto" w:fill="FFFFFF"/>
          <w:lang w:eastAsia="lt-LT"/>
        </w:rPr>
        <w:t>, C-</w:t>
      </w:r>
      <w:r>
        <w:rPr>
          <w:rFonts w:eastAsia="Times New Roman"/>
          <w:shd w:val="clear" w:color="auto" w:fill="FFFFFF"/>
          <w:lang w:eastAsia="lt-LT"/>
        </w:rPr>
        <w:t>419/10, EU:C:2012:240, 43 ir 44 </w:t>
      </w:r>
      <w:r w:rsidRPr="000A7F4A">
        <w:rPr>
          <w:rFonts w:asciiTheme="minorHAnsi" w:eastAsia="Times New Roman" w:hAnsiTheme="minorHAnsi"/>
          <w:shd w:val="clear" w:color="auto" w:fill="FFFFFF"/>
          <w:lang w:eastAsia="lt-LT"/>
        </w:rPr>
        <w:t>punktus (</w:t>
      </w:r>
      <w:r>
        <w:rPr>
          <w:rFonts w:eastAsia="Times New Roman"/>
          <w:shd w:val="clear" w:color="auto" w:fill="FFFFFF"/>
          <w:lang w:eastAsia="lt-LT"/>
        </w:rPr>
        <w:t>33–</w:t>
      </w:r>
      <w:r w:rsidRPr="000A7F4A">
        <w:rPr>
          <w:rFonts w:asciiTheme="minorHAnsi" w:eastAsia="Times New Roman" w:hAnsiTheme="minorHAnsi"/>
          <w:shd w:val="clear" w:color="auto" w:fill="FFFFFF"/>
          <w:lang w:eastAsia="lt-LT"/>
        </w:rPr>
        <w:t xml:space="preserve">34 punktai). Šia direktyva sukuriamas vienodo pavyzdžio Bendrijos vairuotojo pažymėjimas, kuris turi pakeisti skirtingus valstybėse narėse galiojančius vairuotojo pažymėjimus (2017 m. balandžio 26 d. </w:t>
      </w:r>
      <w:r>
        <w:rPr>
          <w:rFonts w:eastAsia="Times New Roman"/>
          <w:shd w:val="clear" w:color="auto" w:fill="FFFFFF"/>
          <w:lang w:eastAsia="lt-LT"/>
        </w:rPr>
        <w:t>s</w:t>
      </w:r>
      <w:r w:rsidRPr="000A7F4A">
        <w:rPr>
          <w:rFonts w:asciiTheme="minorHAnsi" w:eastAsia="Times New Roman" w:hAnsiTheme="minorHAnsi"/>
          <w:shd w:val="clear" w:color="auto" w:fill="FFFFFF"/>
          <w:lang w:eastAsia="lt-LT"/>
        </w:rPr>
        <w:t xml:space="preserve">prendimo </w:t>
      </w:r>
      <w:r w:rsidRPr="00B3197F">
        <w:rPr>
          <w:rFonts w:asciiTheme="minorHAnsi" w:eastAsia="Times New Roman" w:hAnsiTheme="minorHAnsi"/>
          <w:i/>
          <w:shd w:val="clear" w:color="auto" w:fill="FFFFFF"/>
          <w:lang w:eastAsia="lt-LT"/>
        </w:rPr>
        <w:t>Popescu</w:t>
      </w:r>
      <w:r w:rsidRPr="000A7F4A">
        <w:rPr>
          <w:rFonts w:asciiTheme="minorHAnsi" w:eastAsia="Times New Roman" w:hAnsiTheme="minorHAnsi"/>
          <w:shd w:val="clear" w:color="auto" w:fill="FFFFFF"/>
          <w:lang w:eastAsia="lt-LT"/>
        </w:rPr>
        <w:t>, C-632/15, EU:C:2017:303, 36 punktas) (39 punktas).</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Jei valstybės narės institucijos vairuotojo pažymėjimą išdavė pagal Dir</w:t>
      </w:r>
      <w:r>
        <w:rPr>
          <w:rFonts w:eastAsia="Times New Roman"/>
          <w:shd w:val="clear" w:color="auto" w:fill="FFFFFF"/>
          <w:lang w:eastAsia="lt-LT"/>
        </w:rPr>
        <w:t>ektyvos 2006/126 1 straipsnio 1 </w:t>
      </w:r>
      <w:r w:rsidRPr="000A7F4A">
        <w:rPr>
          <w:rFonts w:asciiTheme="minorHAnsi" w:eastAsia="Times New Roman" w:hAnsiTheme="minorHAnsi"/>
          <w:shd w:val="clear" w:color="auto" w:fill="FFFFFF"/>
          <w:lang w:eastAsia="lt-LT"/>
        </w:rPr>
        <w:t xml:space="preserve">dalį, kitos valstybės narės neturi teisės tikrinti, ar buvo laikomasi toje direktyvoje numatytų išdavimo sąlygų, nes valstybės narės išduoto vairuotojo pažymėjimo turėjimas turi būti laikomas įrodymu, kad jo turėtojas šias sąlygas tenkino tą dieną, kai tas pažymėjimas buvo jam išduotas (2015 m. balandžio 23 d. </w:t>
      </w:r>
      <w:r>
        <w:rPr>
          <w:rFonts w:eastAsia="Times New Roman"/>
          <w:shd w:val="clear" w:color="auto" w:fill="FFFFFF"/>
          <w:lang w:eastAsia="lt-LT"/>
        </w:rPr>
        <w:t>s</w:t>
      </w:r>
      <w:r w:rsidRPr="000A7F4A">
        <w:rPr>
          <w:rFonts w:asciiTheme="minorHAnsi" w:eastAsia="Times New Roman" w:hAnsiTheme="minorHAnsi"/>
          <w:shd w:val="clear" w:color="auto" w:fill="FFFFFF"/>
          <w:lang w:eastAsia="lt-LT"/>
        </w:rPr>
        <w:t xml:space="preserve">prendimo </w:t>
      </w:r>
      <w:r w:rsidRPr="00B3197F">
        <w:rPr>
          <w:rFonts w:asciiTheme="minorHAnsi" w:eastAsia="Times New Roman" w:hAnsiTheme="minorHAnsi"/>
          <w:i/>
          <w:shd w:val="clear" w:color="auto" w:fill="FFFFFF"/>
          <w:lang w:eastAsia="lt-LT"/>
        </w:rPr>
        <w:t>Aykul</w:t>
      </w:r>
      <w:r w:rsidRPr="000A7F4A">
        <w:rPr>
          <w:rFonts w:asciiTheme="minorHAnsi" w:eastAsia="Times New Roman" w:hAnsiTheme="minorHAnsi"/>
          <w:shd w:val="clear" w:color="auto" w:fill="FFFFFF"/>
          <w:lang w:eastAsia="lt-LT"/>
        </w:rPr>
        <w:t>, C-260/13, EU:C:2015:257, 47 punktas). Atsižvelgdamas į šią jurisprudenciją, taip pat į Direktyvos 2006/126 2 straipsnio 1 dalies lingvistinį aiškinimą ir bendrą šios direktyvos struktūrą, Teisingumo Teismas padarė išvadą, kad šioje nuostatoje, kurioje numatytas „vairuotojo pažymėjimų“ tarpusavio pripažinimas, kalbama apie vairuotojo pažymėjimus kaip apie dokumentus, patvirtinančius teisę vairuoti ir išduotus pagal šios direktyvos nuostatas (47</w:t>
      </w:r>
      <w:r w:rsidR="00B34191">
        <w:rPr>
          <w:rFonts w:asciiTheme="minorHAnsi" w:eastAsia="Times New Roman" w:hAnsiTheme="minorHAnsi"/>
          <w:shd w:val="clear" w:color="auto" w:fill="FFFFFF"/>
          <w:lang w:eastAsia="lt-LT"/>
        </w:rPr>
        <w:t>–</w:t>
      </w:r>
      <w:r w:rsidRPr="000A7F4A">
        <w:rPr>
          <w:rFonts w:asciiTheme="minorHAnsi" w:eastAsia="Times New Roman" w:hAnsiTheme="minorHAnsi"/>
          <w:shd w:val="clear" w:color="auto" w:fill="FFFFFF"/>
          <w:lang w:eastAsia="lt-LT"/>
        </w:rPr>
        <w:t>48 punktai). Vadinasi, valstybėje narėje įgytos teisės vairuoti pripažinimas nėra numatytas Direktyvoje 2006/126, nes šis pripažinimas yra tik toje direktyvoje numatyto vairuotojų pažymėjimų tarpusavio pripažinimo pasekmė (49 punktas).</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 xml:space="preserve">Teisingumo Teismas priminė, kad nacionalinė priemonė, priklausanti Europos Sąjungos lygiu išsamiai suderintai sričiai, turi būti vertinama atsižvelgiant į šios suderinimo priemonės, o ne į pirminės teisės nuostatas (2015 m. lapkričio 12 d. </w:t>
      </w:r>
      <w:r>
        <w:rPr>
          <w:rFonts w:eastAsia="Times New Roman"/>
          <w:shd w:val="clear" w:color="auto" w:fill="FFFFFF"/>
          <w:lang w:eastAsia="lt-LT"/>
        </w:rPr>
        <w:t>s</w:t>
      </w:r>
      <w:r w:rsidRPr="000A7F4A">
        <w:rPr>
          <w:rFonts w:asciiTheme="minorHAnsi" w:eastAsia="Times New Roman" w:hAnsiTheme="minorHAnsi"/>
          <w:shd w:val="clear" w:color="auto" w:fill="FFFFFF"/>
          <w:lang w:eastAsia="lt-LT"/>
        </w:rPr>
        <w:t xml:space="preserve">prendimo </w:t>
      </w:r>
      <w:r w:rsidRPr="00C16E60">
        <w:rPr>
          <w:rFonts w:asciiTheme="minorHAnsi" w:eastAsia="Times New Roman" w:hAnsiTheme="minorHAnsi"/>
          <w:i/>
          <w:shd w:val="clear" w:color="auto" w:fill="FFFFFF"/>
          <w:lang w:eastAsia="lt-LT"/>
        </w:rPr>
        <w:t>Visnapuu</w:t>
      </w:r>
      <w:r w:rsidRPr="000A7F4A">
        <w:rPr>
          <w:rFonts w:asciiTheme="minorHAnsi" w:eastAsia="Times New Roman" w:hAnsiTheme="minorHAnsi"/>
          <w:shd w:val="clear" w:color="auto" w:fill="FFFFFF"/>
          <w:lang w:eastAsia="lt-LT"/>
        </w:rPr>
        <w:t xml:space="preserve">, C-198/14, EU:C:2015:751, 40 punktas ir nurodyta jurisprudencija) (56 punktas). Valstybės narės atsisakymas pripažinti kitoje valstybėje narėje išduotą dokumentą, skirtą patvirtinti teisei vairuoti, kaip antai pagrindinėje byloje nagrinėjamą PTVN, kai šis dokumentas neatitinka Direktyvoje 2006/126 nustatytam vairuotojo pažymėjimo pavyzdžiui keliamų reikalavimų, negali pakenkti nei bendrajam nediskriminavimo principui, įtvirtintam SESV 18 straipsnyje, nei teisei laisvai judėti ir apsigyventi valstybių narių teritorijoje, kuri Sąjungos </w:t>
      </w:r>
      <w:r>
        <w:rPr>
          <w:rFonts w:eastAsia="Times New Roman"/>
          <w:shd w:val="clear" w:color="auto" w:fill="FFFFFF"/>
          <w:lang w:eastAsia="lt-LT"/>
        </w:rPr>
        <w:t>piliečiams pripažįstama SESV 21 </w:t>
      </w:r>
      <w:r w:rsidRPr="000A7F4A">
        <w:rPr>
          <w:rFonts w:asciiTheme="minorHAnsi" w:eastAsia="Times New Roman" w:hAnsiTheme="minorHAnsi"/>
          <w:shd w:val="clear" w:color="auto" w:fill="FFFFFF"/>
          <w:lang w:eastAsia="lt-LT"/>
        </w:rPr>
        <w:t>straipsnyje, nei pagrindinėms laisvėms, garantuojamoms SESV 45, 49 ir 56 straipsniuose (61 punktas). Tai, kad Vokietijoje gyvenantys kandidatai vairuotojo pažymėjimui gauti tokį pažymėjimą šioje valstybėje iš principo gauna iš karto išlaikę praktinį vairavimo egzaminą, o Prancūzijoje gyvenantiems kandidatams paprastai taikomas pereinamasis laikotarpis, per kurį jie turi tik laikiną teritoriniu požiūriu apribotą pažymą, yra nesuderintų administracinių procedūrų taisyklių, kurios skiriasi šiose valstybėse narėse, pasekmė (62</w:t>
      </w:r>
      <w:r>
        <w:rPr>
          <w:rFonts w:eastAsia="Times New Roman"/>
          <w:shd w:val="clear" w:color="auto" w:fill="FFFFFF"/>
          <w:lang w:eastAsia="lt-LT"/>
        </w:rPr>
        <w:t> </w:t>
      </w:r>
      <w:r w:rsidRPr="000A7F4A">
        <w:rPr>
          <w:rFonts w:asciiTheme="minorHAnsi" w:eastAsia="Times New Roman" w:hAnsiTheme="minorHAnsi"/>
          <w:shd w:val="clear" w:color="auto" w:fill="FFFFFF"/>
          <w:lang w:eastAsia="lt-LT"/>
        </w:rPr>
        <w:t>punktas).</w:t>
      </w:r>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345EAF" w:rsidRDefault="00A336BB" w:rsidP="00345EAF">
      <w:pPr>
        <w:pStyle w:val="Antrat3"/>
        <w:ind w:firstLine="567"/>
        <w:rPr>
          <w:rFonts w:eastAsia="Times New Roman"/>
          <w:shd w:val="clear" w:color="auto" w:fill="FFFFFF"/>
          <w:lang w:eastAsia="lt-LT"/>
        </w:rPr>
      </w:pPr>
      <w:bookmarkStart w:id="65" w:name="_Toc512411059"/>
      <w:r w:rsidRPr="00345EAF">
        <w:rPr>
          <w:rFonts w:eastAsia="Times New Roman"/>
          <w:shd w:val="clear" w:color="auto" w:fill="FFFFFF"/>
          <w:lang w:eastAsia="lt-LT"/>
        </w:rPr>
        <w:t>Dėl valstybės narės kompetencijos nustatyti sankciją asmeniui, neturinčiam nustatyto pavyzdžio vairuotojo pažymėjimo</w:t>
      </w:r>
      <w:bookmarkEnd w:id="65"/>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Teisingumo Teismas konstatavo, kad Direktyvos 2006/126 2 straipsnio 1 dalyje numatyta vairuotojo pažymėjimų tarpusavio pripažinimo pareiga neužkerta kelio valstybėms narėms nustatyti sankcijų vairuotojams, negalintiems kompetentingoms institucijoms pateikti pagal minėtus reikalavimus išduoto vairuotojo pažymėjimo, patvirtinančio jų teisę vairuoti. Nesant Sąjungos teisės aktų šioje srityje, valstybės narės turi kompetenciją skirti sankcijas už pareigos pateikti vairuotojo pažymėjimą, atitinkantį Direktyvoje 2006/126 nustatyto vairuotojo pažymėjimo pavyzdžio reikalavimus, nevykdymą asmenims, jų teritorijoje vairuojantiems motorinę transporto priemonę (67</w:t>
      </w:r>
      <w:r>
        <w:rPr>
          <w:rFonts w:eastAsia="Times New Roman"/>
          <w:shd w:val="clear" w:color="auto" w:fill="FFFFFF"/>
          <w:lang w:eastAsia="lt-LT"/>
        </w:rPr>
        <w:t>–</w:t>
      </w:r>
      <w:r w:rsidRPr="000A7F4A">
        <w:rPr>
          <w:rFonts w:asciiTheme="minorHAnsi" w:eastAsia="Times New Roman" w:hAnsiTheme="minorHAnsi"/>
          <w:shd w:val="clear" w:color="auto" w:fill="FFFFFF"/>
          <w:lang w:eastAsia="lt-LT"/>
        </w:rPr>
        <w:t>68 punktai).</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rPr>
        <w:t>Svarbu, kad skirta nuobauda nebūtų neproporcinga pagrindinėje byloje nagrinėjamų faktinių aplinkybių sunkumui. Transporto priemonės vairavimas valstybės narės teritorijoje turint kitoje valstybėje narėje suteiktą teisę vairuoti, tačiau dar neturint pagal Direktyvos 2006/126 nuostatas reikalaujamo pavyzdžio vairuotojo pažymėjimo, atrodo daug mažiau smerktinas už transporto priemonės vairavimą valstybės narės teritorijoje apskritai neturint teisės vairuoti, visų pirma a</w:t>
      </w:r>
      <w:r>
        <w:rPr>
          <w:rFonts w:eastAsia="Times New Roman"/>
          <w:shd w:val="clear" w:color="auto" w:fill="FFFFFF"/>
        </w:rPr>
        <w:t>tsižvelgiant į šio sprendimo 51 </w:t>
      </w:r>
      <w:r w:rsidRPr="000A7F4A">
        <w:rPr>
          <w:rFonts w:asciiTheme="minorHAnsi" w:eastAsia="Times New Roman" w:hAnsiTheme="minorHAnsi"/>
          <w:shd w:val="clear" w:color="auto" w:fill="FFFFFF"/>
        </w:rPr>
        <w:t xml:space="preserve">punkte primintą minėtos direktyvos tikslą gerinti kelių eismo saugumą. </w:t>
      </w:r>
      <w:r w:rsidRPr="000A7F4A">
        <w:rPr>
          <w:rFonts w:asciiTheme="minorHAnsi" w:eastAsia="Times New Roman" w:hAnsiTheme="minorHAnsi"/>
          <w:shd w:val="clear" w:color="auto" w:fill="FFFFFF"/>
          <w:lang w:eastAsia="lt-LT"/>
        </w:rPr>
        <w:t>Atlikdamas analizę tas teismas taip pat turi išnagrinėti, kokį realų pavojų atitinkamas asmuo kėlė kelių eismo saugumui tos valstybės narės teritorijoje (75, 76, 78 punktai)</w:t>
      </w:r>
      <w:r>
        <w:rPr>
          <w:rFonts w:eastAsia="Times New Roman"/>
          <w:shd w:val="clear" w:color="auto" w:fill="FFFFFF"/>
          <w:lang w:eastAsia="lt-LT"/>
        </w:rPr>
        <w:t>.</w:t>
      </w:r>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C16E60" w:rsidRDefault="00A336BB" w:rsidP="00A336BB">
      <w:pPr>
        <w:ind w:firstLine="567"/>
        <w:rPr>
          <w:rFonts w:asciiTheme="minorHAnsi" w:eastAsia="Times New Roman" w:hAnsiTheme="minorHAnsi"/>
          <w:b/>
          <w:shd w:val="clear" w:color="auto" w:fill="FFFFFF"/>
          <w:lang w:eastAsia="lt-LT"/>
        </w:rPr>
      </w:pPr>
      <w:r w:rsidRPr="00C16E60">
        <w:rPr>
          <w:rFonts w:asciiTheme="minorHAnsi" w:eastAsia="Times New Roman" w:hAnsiTheme="minorHAnsi"/>
          <w:b/>
          <w:shd w:val="clear" w:color="auto" w:fill="FFFFFF"/>
          <w:lang w:eastAsia="lt-LT"/>
        </w:rPr>
        <w:lastRenderedPageBreak/>
        <w:t xml:space="preserve">Remdamasis šiais motyvais, Teisingumo Teismas </w:t>
      </w:r>
      <w:r w:rsidR="00E00F16">
        <w:rPr>
          <w:rFonts w:asciiTheme="minorHAnsi" w:eastAsia="Times New Roman" w:hAnsiTheme="minorHAnsi"/>
          <w:b/>
          <w:shd w:val="clear" w:color="auto" w:fill="FFFFFF"/>
          <w:lang w:eastAsia="lt-LT"/>
        </w:rPr>
        <w:t xml:space="preserve">(antroji kolegija) </w:t>
      </w:r>
      <w:r w:rsidRPr="00C16E60">
        <w:rPr>
          <w:rFonts w:asciiTheme="minorHAnsi" w:eastAsia="Times New Roman" w:hAnsiTheme="minorHAnsi"/>
          <w:b/>
          <w:shd w:val="clear" w:color="auto" w:fill="FFFFFF"/>
          <w:lang w:eastAsia="lt-LT"/>
        </w:rPr>
        <w:t>nusprendė:</w:t>
      </w:r>
    </w:p>
    <w:p w:rsidR="00A336BB" w:rsidRPr="000A7F4A" w:rsidRDefault="00A336BB" w:rsidP="00A336BB">
      <w:pPr>
        <w:ind w:firstLine="1296"/>
        <w:rPr>
          <w:rFonts w:asciiTheme="minorHAnsi" w:eastAsia="Times New Roman" w:hAnsiTheme="minorHAnsi"/>
          <w:shd w:val="clear" w:color="auto" w:fill="FFFFFF"/>
          <w:lang w:eastAsia="lt-LT"/>
        </w:rPr>
      </w:pP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1. Direktyvos 2006/126 2 straipsnio 1 dalis ir SESV 18, 21, 45, 49 ir 56 straipsniai aiškintini taip, kad jiems neprieštarauja valstybės narės teisės nuostata, pagal kurią ta valstybė narė gali atsisakyti pripažinti kitoje valstybėje narėje išduotą pažymą, patvirtinančią jos turėtojo teisę vairuoti, kai ši pažyma neatitinka toje direktyvoje numatyto vairuotojo pažymėjimo pavyzdžio reikalavimų, netgi tuo atveju, kai šios pažymos turėtojas yra įvykdęs sąlygas, kurios minėtoje direktyvoje nustatytos vairuotojo pažymėjimui gauti.</w:t>
      </w:r>
    </w:p>
    <w:p w:rsidR="00A336BB" w:rsidRPr="000A7F4A" w:rsidRDefault="00A336BB" w:rsidP="00A336BB">
      <w:pPr>
        <w:ind w:firstLine="567"/>
        <w:rPr>
          <w:rFonts w:asciiTheme="minorHAnsi" w:eastAsia="Times New Roman" w:hAnsiTheme="minorHAnsi"/>
          <w:shd w:val="clear" w:color="auto" w:fill="FFFFFF"/>
          <w:lang w:eastAsia="lt-LT"/>
        </w:rPr>
      </w:pPr>
      <w:r w:rsidRPr="000A7F4A">
        <w:rPr>
          <w:rFonts w:asciiTheme="minorHAnsi" w:eastAsia="Times New Roman" w:hAnsiTheme="minorHAnsi"/>
          <w:shd w:val="clear" w:color="auto" w:fill="FFFFFF"/>
          <w:lang w:eastAsia="lt-LT"/>
        </w:rPr>
        <w:t>2. Direktyvos 2006/126 2 straipsnio 1 dalį ir SESV 21, 45, 49 ir 56 straipsnius reikia aiškinti taip, kad jiems neprieštarauja tai, jog valstybė narė skiria nuobaudą asmeniui, kuris, nors ir atitinka šioje direktyvoje numatytas vairuotojo pažymėjimo išdavimo sąlygas, jos teritorijoje vairuoja motorinę transporto priemonę neturėdamas vairuotojo pažymėjimo, atitinkančio minėtoje direktyvoje nustatyto vairuotojo pažymėjimo pavyzdžio reikalavimus, ir kuris, kol kita valstybė narė jam dar nėra išdavusi tokio pažymėjimo, savo teisę vairuoti, įgytą toje kitoje valstybėje narėje, gali įrodyti pateikdamas tik joje išduotą laikiną pažymą, su sąlyga, kad ši nuobauda nėra neproporcinga atitinkamų faktinių aplinkybių sunkumui. Teismas, vertindamas atitinkamo asmens padaryto nusižengimo sunkumą, kaip į galimą lengvinančią aplinkybę turi atsižvelgti į tai, kad atitinkamas asmuo įgijo teisę vairuoti kitoje valstybėje narėje, kurią patvirtina tos kitos valstybės narės išduota pažyma, kuri atitinkamo asmens prašymu iki jos galiojimo pabaigos bus pakeista vairuotojo pažymėjimu, atitinkančiu Direktyvoje 2006/126 nustatyto vairuotojo pažymėjimo pavyzdžio reikalavimus. Atlikdamas analizę tas teismas taip pat turi išnagrinėti, kokį realų pavojų atitinkamas asmuo kėlė kelių eismo saugumui tos valstybės narės teritorijoje.</w:t>
      </w:r>
    </w:p>
    <w:p w:rsidR="00A336BB" w:rsidRPr="000A7F4A" w:rsidRDefault="00A87A78" w:rsidP="00A336BB">
      <w:pPr>
        <w:ind w:firstLine="567"/>
        <w:rPr>
          <w:rStyle w:val="Hipersaitas"/>
        </w:rPr>
      </w:pPr>
      <w:hyperlink r:id="rId22" w:history="1">
        <w:r w:rsidR="00A336BB" w:rsidRPr="000A7F4A">
          <w:rPr>
            <w:rStyle w:val="Hipersaitas"/>
          </w:rPr>
          <w:t>Prieiga internete</w:t>
        </w:r>
      </w:hyperlink>
    </w:p>
    <w:p w:rsidR="00A336BB" w:rsidRPr="00350827" w:rsidRDefault="00A336BB" w:rsidP="00C87E7D">
      <w:pPr>
        <w:ind w:firstLine="567"/>
      </w:pPr>
    </w:p>
    <w:sectPr w:rsidR="00A336BB" w:rsidRPr="00350827" w:rsidSect="00736158">
      <w:headerReference w:type="default" r:id="rId23"/>
      <w:footerReference w:type="default" r:id="rId24"/>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A78" w:rsidRDefault="00A87A78">
      <w:r>
        <w:separator/>
      </w:r>
    </w:p>
  </w:endnote>
  <w:endnote w:type="continuationSeparator" w:id="0">
    <w:p w:rsidR="00A87A78" w:rsidRDefault="00A87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2FF" w:usb1="420024FF" w:usb2="00000000" w:usb3="00000000" w:csb0="0000019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rsidR="00E00F16" w:rsidRPr="0078181C" w:rsidRDefault="00E00F16"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5B7A97">
              <w:rPr>
                <w:rFonts w:asciiTheme="minorHAnsi" w:hAnsiTheme="minorHAnsi"/>
                <w:bCs/>
                <w:noProof/>
                <w:sz w:val="20"/>
                <w:szCs w:val="20"/>
              </w:rPr>
              <w:t>7</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5B7A97">
              <w:rPr>
                <w:rFonts w:asciiTheme="minorHAnsi" w:hAnsiTheme="minorHAnsi"/>
                <w:bCs/>
                <w:noProof/>
                <w:sz w:val="20"/>
                <w:szCs w:val="20"/>
              </w:rPr>
              <w:t>31</w:t>
            </w:r>
            <w:r w:rsidRPr="00F15916">
              <w:rPr>
                <w:rFonts w:asciiTheme="minorHAnsi" w:hAnsiTheme="minorHAnsi"/>
                <w:bCs/>
                <w:sz w:val="20"/>
                <w:szCs w:val="20"/>
              </w:rPr>
              <w:fldChar w:fldCharType="end"/>
            </w:r>
          </w:p>
        </w:sdtContent>
      </w:sdt>
    </w:sdtContent>
  </w:sdt>
  <w:p w:rsidR="00E00F16" w:rsidRDefault="00E00F1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A78" w:rsidRDefault="00A87A78">
      <w:r>
        <w:separator/>
      </w:r>
    </w:p>
  </w:footnote>
  <w:footnote w:type="continuationSeparator" w:id="0">
    <w:p w:rsidR="00A87A78" w:rsidRDefault="00A87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149"/>
      <w:gridCol w:w="2381"/>
    </w:tblGrid>
    <w:tr w:rsidR="00E00F16" w:rsidRPr="000967FF" w:rsidTr="00736158">
      <w:tc>
        <w:tcPr>
          <w:tcW w:w="7230" w:type="dxa"/>
        </w:tcPr>
        <w:p w:rsidR="00E00F16" w:rsidRPr="0021377E" w:rsidRDefault="00E00F16"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rsidR="00E00F16" w:rsidRPr="0021377E" w:rsidRDefault="00E00F16" w:rsidP="0084081F">
          <w:pPr>
            <w:rPr>
              <w:color w:val="323E4F" w:themeColor="text2" w:themeShade="BF"/>
              <w:sz w:val="20"/>
              <w:szCs w:val="20"/>
            </w:rPr>
          </w:pPr>
          <w:r>
            <w:rPr>
              <w:color w:val="323E4F" w:themeColor="text2" w:themeShade="BF"/>
              <w:sz w:val="20"/>
              <w:szCs w:val="20"/>
            </w:rPr>
            <w:t>2017 09</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1–201</w:t>
          </w:r>
          <w:r>
            <w:rPr>
              <w:color w:val="323E4F" w:themeColor="text2" w:themeShade="BF"/>
              <w:sz w:val="20"/>
              <w:szCs w:val="20"/>
            </w:rPr>
            <w:t>7 12</w:t>
          </w:r>
          <w:r w:rsidRPr="0021377E">
            <w:rPr>
              <w:color w:val="323E4F" w:themeColor="text2" w:themeShade="BF"/>
              <w:sz w:val="20"/>
              <w:szCs w:val="20"/>
            </w:rPr>
            <w:t xml:space="preserve"> </w:t>
          </w:r>
          <w:r>
            <w:rPr>
              <w:color w:val="323E4F" w:themeColor="text2" w:themeShade="BF"/>
              <w:sz w:val="20"/>
              <w:szCs w:val="20"/>
            </w:rPr>
            <w:t>31</w:t>
          </w:r>
        </w:p>
      </w:tc>
    </w:tr>
  </w:tbl>
  <w:p w:rsidR="00E00F16" w:rsidRDefault="00E00F16"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28CD"/>
    <w:rsid w:val="00024262"/>
    <w:rsid w:val="00085476"/>
    <w:rsid w:val="000949AB"/>
    <w:rsid w:val="000C2557"/>
    <w:rsid w:val="001069BA"/>
    <w:rsid w:val="00113E89"/>
    <w:rsid w:val="00133FF5"/>
    <w:rsid w:val="0013714D"/>
    <w:rsid w:val="00172B30"/>
    <w:rsid w:val="001738B4"/>
    <w:rsid w:val="00176687"/>
    <w:rsid w:val="0018082B"/>
    <w:rsid w:val="00180D5D"/>
    <w:rsid w:val="001B5613"/>
    <w:rsid w:val="002103AD"/>
    <w:rsid w:val="0021623E"/>
    <w:rsid w:val="002303AE"/>
    <w:rsid w:val="00230D52"/>
    <w:rsid w:val="00256E6C"/>
    <w:rsid w:val="002965B8"/>
    <w:rsid w:val="002A1113"/>
    <w:rsid w:val="002A6D4C"/>
    <w:rsid w:val="002A798C"/>
    <w:rsid w:val="002E0510"/>
    <w:rsid w:val="002F456B"/>
    <w:rsid w:val="00311AA2"/>
    <w:rsid w:val="003137EE"/>
    <w:rsid w:val="00345EAF"/>
    <w:rsid w:val="0036339B"/>
    <w:rsid w:val="00397750"/>
    <w:rsid w:val="003A02CF"/>
    <w:rsid w:val="003B0EE7"/>
    <w:rsid w:val="003B7B59"/>
    <w:rsid w:val="003E5F38"/>
    <w:rsid w:val="003F03CD"/>
    <w:rsid w:val="00416E50"/>
    <w:rsid w:val="00440561"/>
    <w:rsid w:val="004421E1"/>
    <w:rsid w:val="004A5014"/>
    <w:rsid w:val="004F1C89"/>
    <w:rsid w:val="00502863"/>
    <w:rsid w:val="005071A7"/>
    <w:rsid w:val="00523518"/>
    <w:rsid w:val="005330C1"/>
    <w:rsid w:val="00533408"/>
    <w:rsid w:val="0055152C"/>
    <w:rsid w:val="00552AAB"/>
    <w:rsid w:val="005726E6"/>
    <w:rsid w:val="005B0DBF"/>
    <w:rsid w:val="005B263C"/>
    <w:rsid w:val="005B7A97"/>
    <w:rsid w:val="005E4196"/>
    <w:rsid w:val="006023A2"/>
    <w:rsid w:val="00632D46"/>
    <w:rsid w:val="00687C29"/>
    <w:rsid w:val="006961AD"/>
    <w:rsid w:val="006C51AD"/>
    <w:rsid w:val="006F115F"/>
    <w:rsid w:val="007037B5"/>
    <w:rsid w:val="00706A41"/>
    <w:rsid w:val="007227E8"/>
    <w:rsid w:val="00736158"/>
    <w:rsid w:val="00770190"/>
    <w:rsid w:val="0079174B"/>
    <w:rsid w:val="007B6FCC"/>
    <w:rsid w:val="00801DC1"/>
    <w:rsid w:val="00820129"/>
    <w:rsid w:val="0084081F"/>
    <w:rsid w:val="00855CDE"/>
    <w:rsid w:val="008B0B49"/>
    <w:rsid w:val="008B462A"/>
    <w:rsid w:val="008E44BD"/>
    <w:rsid w:val="008E4AE3"/>
    <w:rsid w:val="009056D2"/>
    <w:rsid w:val="00914E63"/>
    <w:rsid w:val="00947CAF"/>
    <w:rsid w:val="009577CC"/>
    <w:rsid w:val="00972E19"/>
    <w:rsid w:val="00982F80"/>
    <w:rsid w:val="00984AE0"/>
    <w:rsid w:val="00994C74"/>
    <w:rsid w:val="009A6C89"/>
    <w:rsid w:val="009D7FC3"/>
    <w:rsid w:val="009E0ADD"/>
    <w:rsid w:val="009E64BC"/>
    <w:rsid w:val="00A336BB"/>
    <w:rsid w:val="00A67979"/>
    <w:rsid w:val="00A755D7"/>
    <w:rsid w:val="00A87A78"/>
    <w:rsid w:val="00A93883"/>
    <w:rsid w:val="00AE0936"/>
    <w:rsid w:val="00AE620F"/>
    <w:rsid w:val="00AF537D"/>
    <w:rsid w:val="00B22BC0"/>
    <w:rsid w:val="00B300E7"/>
    <w:rsid w:val="00B34191"/>
    <w:rsid w:val="00B43DDA"/>
    <w:rsid w:val="00B71D62"/>
    <w:rsid w:val="00B97152"/>
    <w:rsid w:val="00C32316"/>
    <w:rsid w:val="00C85AFF"/>
    <w:rsid w:val="00C87E7D"/>
    <w:rsid w:val="00CD3EFE"/>
    <w:rsid w:val="00CF4E1E"/>
    <w:rsid w:val="00D22202"/>
    <w:rsid w:val="00D25E4F"/>
    <w:rsid w:val="00D42E9B"/>
    <w:rsid w:val="00D47A49"/>
    <w:rsid w:val="00D65A51"/>
    <w:rsid w:val="00D67028"/>
    <w:rsid w:val="00D76E46"/>
    <w:rsid w:val="00D972E8"/>
    <w:rsid w:val="00DA1958"/>
    <w:rsid w:val="00DB0DEC"/>
    <w:rsid w:val="00DD0F7C"/>
    <w:rsid w:val="00DF6261"/>
    <w:rsid w:val="00E00F16"/>
    <w:rsid w:val="00E04FA8"/>
    <w:rsid w:val="00E13DEA"/>
    <w:rsid w:val="00E23270"/>
    <w:rsid w:val="00EC1D2F"/>
    <w:rsid w:val="00ED51A1"/>
    <w:rsid w:val="00EF1D6A"/>
    <w:rsid w:val="00F00199"/>
    <w:rsid w:val="00F86895"/>
    <w:rsid w:val="00FB18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06A41"/>
    <w:pPr>
      <w:keepNext/>
      <w:keepLines/>
      <w:spacing w:before="240"/>
      <w:jc w:val="center"/>
      <w:outlineLvl w:val="0"/>
    </w:pPr>
    <w:rPr>
      <w:rFonts w:asciiTheme="minorHAnsi" w:eastAsiaTheme="majorEastAsia" w:hAnsiTheme="minorHAnsi" w:cstheme="majorBid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0028CD"/>
    <w:rPr>
      <w:rFonts w:eastAsiaTheme="majorEastAsia" w:cstheme="majorBidi"/>
      <w:b/>
      <w:bCs/>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0028CD"/>
    <w:pPr>
      <w:tabs>
        <w:tab w:val="right" w:leader="dot" w:pos="9628"/>
      </w:tabs>
      <w:spacing w:after="100"/>
    </w:pPr>
    <w:rPr>
      <w:rFonts w:eastAsia="Times New Roman"/>
      <w:b/>
      <w:bCs/>
      <w:noProof/>
      <w:color w:val="323E4F" w:themeColor="text2" w:themeShade="BF"/>
      <w:kern w:val="32"/>
      <w:lang w:eastAsia="lt-LT"/>
    </w:rPr>
  </w:style>
  <w:style w:type="paragraph" w:styleId="Turinys2">
    <w:name w:val="toc 2"/>
    <w:basedOn w:val="prastasis"/>
    <w:next w:val="prastasis"/>
    <w:autoRedefine/>
    <w:uiPriority w:val="39"/>
    <w:unhideWhenUsed/>
    <w:rsid w:val="000028CD"/>
    <w:pPr>
      <w:spacing w:after="100"/>
      <w:ind w:left="220"/>
    </w:pPr>
    <w:rPr>
      <w:b/>
      <w:color w:val="323E4F" w:themeColor="text2" w:themeShade="BF"/>
    </w:rPr>
  </w:style>
  <w:style w:type="paragraph" w:styleId="Turinys3">
    <w:name w:val="toc 3"/>
    <w:basedOn w:val="prastasis"/>
    <w:next w:val="prastasis"/>
    <w:autoRedefine/>
    <w:uiPriority w:val="39"/>
    <w:unhideWhenUsed/>
    <w:rsid w:val="000028CD"/>
    <w:pPr>
      <w:spacing w:after="100"/>
      <w:ind w:left="440"/>
    </w:p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rsid w:val="00C32316"/>
    <w:pPr>
      <w:spacing w:before="100" w:beforeAutospacing="1" w:after="240"/>
      <w:ind w:left="567" w:hanging="539"/>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uria.europa.eu/juris/document/document.jsf?text=&amp;docid=195664&amp;pageIndex=0&amp;doclang=LT&amp;mode=lst&amp;dir=&amp;occ=first&amp;part=1&amp;cid=292559" TargetMode="External"/><Relationship Id="rId18" Type="http://schemas.openxmlformats.org/officeDocument/2006/relationships/hyperlink" Target="http://curia.europa.eu/juris/document/document.jsf?text=&amp;docid=197487&amp;pageIndex=0&amp;doclang=LT&amp;mode=lst&amp;dir=&amp;occ=first&amp;part=1&amp;cid=29931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curia.europa.eu/juris/document/document.jsf?text=&amp;docid=198063&amp;pageIndex=0&amp;doclang=LT&amp;mode=lst&amp;dir=&amp;occ=first&amp;part=1&amp;cid=207980" TargetMode="External"/><Relationship Id="rId7" Type="http://schemas.openxmlformats.org/officeDocument/2006/relationships/endnotes" Target="endnotes.xml"/><Relationship Id="rId12" Type="http://schemas.openxmlformats.org/officeDocument/2006/relationships/hyperlink" Target="http://curia.europa.eu/juris/document/document.jsf?text=&amp;docid=194431&amp;pageIndex=0&amp;doclang=LT&amp;mode=lst&amp;dir=&amp;occ=first&amp;part=1&amp;cid=214035" TargetMode="External"/><Relationship Id="rId17" Type="http://schemas.openxmlformats.org/officeDocument/2006/relationships/hyperlink" Target="http://curia.europa.eu/juris/document/document.jsf?text=&amp;docid=195735&amp;pageIndex=0&amp;doclang=LT&amp;mode=lst&amp;dir=&amp;occ=first&amp;part=1&amp;cid=7439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uria.europa.eu/juris/document/document.jsf?text=&amp;docid=197002&amp;pageIndex=0&amp;doclang=LT&amp;mode=lst&amp;dir=&amp;occ=first&amp;part=1&amp;cid=73795" TargetMode="External"/><Relationship Id="rId20" Type="http://schemas.openxmlformats.org/officeDocument/2006/relationships/hyperlink" Target="http://curia.europa.eu/juris/document/document.jsf?text=&amp;docid=195046&amp;pageIndex=0&amp;doclang=LT&amp;mode=lst&amp;dir=&amp;occ=first&amp;part=1&amp;cid=1444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uria.europa.eu/juris/document/document.jsf?text=&amp;docid=195947&amp;pageIndex=0&amp;doclang=LT&amp;mode=lst&amp;dir=&amp;occ=first&amp;part=1&amp;cid=20658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curia.europa.eu/juris/document/document.jsf;jsessionid=9ea7d0f130de5808d622e94948848e499de95ad04f19.e34KaxiLc3eQc40LaxqMbN4Pb3aLe0?text=&amp;docid=196496&amp;pageIndex=0&amp;doclang=LT&amp;mode=lst&amp;dir=&amp;occ=first&amp;part=1&amp;cid=79578" TargetMode="External"/><Relationship Id="rId23" Type="http://schemas.openxmlformats.org/officeDocument/2006/relationships/header" Target="header1.xml"/><Relationship Id="rId10" Type="http://schemas.openxmlformats.org/officeDocument/2006/relationships/hyperlink" Target="http://eur-lex.europa.eu/" TargetMode="External"/><Relationship Id="rId19" Type="http://schemas.openxmlformats.org/officeDocument/2006/relationships/hyperlink" Target="http://curia.europa.eu/juris/document/document.jsf;jsessionid=9ea7d2dc30dd045414f3ac7542d7b1aaa8cbb6a06b00.e34KaxiLc3qMb40Rch0SaxyNbhr0?text=&amp;docid=198059&amp;pageIndex=0&amp;doclang=LT&amp;mode=lst&amp;dir=&amp;occ=first&amp;part=1&amp;cid=254557"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curia.europa.eu/juris/document/document.jsf;jsessionid=9ea7d2dc30ddd134a803548e4bd88238daa7cd3e32b8.e34KaxiLc3qMb40Rch0SaxyNbN90?text=&amp;docid=194785&amp;pageIndex=0&amp;doclang=LT&amp;mode=req&amp;dir=&amp;occ=first&amp;part=1&amp;cid=70477" TargetMode="External"/><Relationship Id="rId22" Type="http://schemas.openxmlformats.org/officeDocument/2006/relationships/hyperlink" Target="http://curia.europa.eu/juris/document/document.jsf?text=&amp;docid=196121&amp;pageIndex=0&amp;doclang=LT&amp;mode=lst&amp;dir=&amp;occ=first&amp;part=1&amp;cid=53714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62C91-15E3-4E69-8B9E-E6B05D8E6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Pages>
  <Words>21630</Words>
  <Characters>123291</Characters>
  <Application>Microsoft Office Word</Application>
  <DocSecurity>0</DocSecurity>
  <Lines>1027</Lines>
  <Paragraphs>289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7</cp:revision>
  <dcterms:created xsi:type="dcterms:W3CDTF">2018-04-26T04:55:00Z</dcterms:created>
  <dcterms:modified xsi:type="dcterms:W3CDTF">2018-05-11T12:03:00Z</dcterms:modified>
</cp:coreProperties>
</file>